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C573D3" w14:textId="77777777" w:rsidR="00BF0197" w:rsidRDefault="0060276A" w:rsidP="00B25970">
      <w:pPr>
        <w:rPr>
          <w:lang w:val="lt-LT"/>
        </w:rPr>
      </w:pPr>
      <w:bookmarkStart w:id="0" w:name="_Toc392590079"/>
      <w:bookmarkStart w:id="1" w:name="_Toc393381196"/>
      <w:r>
        <w:rPr>
          <w:noProof/>
          <w:lang w:val="lt-LT" w:eastAsia="lt-LT"/>
        </w:rPr>
        <mc:AlternateContent>
          <mc:Choice Requires="wpg">
            <w:drawing>
              <wp:anchor distT="0" distB="0" distL="114300" distR="114300" simplePos="0" relativeHeight="251658752" behindDoc="0" locked="0" layoutInCell="1" allowOverlap="1" wp14:anchorId="5D389652" wp14:editId="5EEBA945">
                <wp:simplePos x="0" y="0"/>
                <wp:positionH relativeFrom="column">
                  <wp:posOffset>-510363</wp:posOffset>
                </wp:positionH>
                <wp:positionV relativeFrom="paragraph">
                  <wp:posOffset>-935665</wp:posOffset>
                </wp:positionV>
                <wp:extent cx="7612912" cy="10749516"/>
                <wp:effectExtent l="0" t="0" r="7620" b="0"/>
                <wp:wrapNone/>
                <wp:docPr id="214" name="Group 214"/>
                <wp:cNvGraphicFramePr/>
                <a:graphic xmlns:a="http://schemas.openxmlformats.org/drawingml/2006/main">
                  <a:graphicData uri="http://schemas.microsoft.com/office/word/2010/wordprocessingGroup">
                    <wpg:wgp>
                      <wpg:cNvGrpSpPr/>
                      <wpg:grpSpPr>
                        <a:xfrm>
                          <a:off x="0" y="0"/>
                          <a:ext cx="7612912" cy="10749516"/>
                          <a:chOff x="0" y="0"/>
                          <a:chExt cx="7612912" cy="10749516"/>
                        </a:xfrm>
                      </wpg:grpSpPr>
                      <pic:pic xmlns:pic="http://schemas.openxmlformats.org/drawingml/2006/picture">
                        <pic:nvPicPr>
                          <pic:cNvPr id="189" name="Picture 189"/>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7612912" cy="10749516"/>
                          </a:xfrm>
                          <a:prstGeom prst="rect">
                            <a:avLst/>
                          </a:prstGeom>
                        </pic:spPr>
                      </pic:pic>
                      <wps:wsp>
                        <wps:cNvPr id="10" name="Stačiakampis 10"/>
                        <wps:cNvSpPr/>
                        <wps:spPr>
                          <a:xfrm>
                            <a:off x="4306186" y="1095153"/>
                            <a:ext cx="2860158" cy="520996"/>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062C5D" w14:textId="77777777" w:rsidR="00A65A8D" w:rsidRPr="00DC0038" w:rsidRDefault="00A65A8D" w:rsidP="0060276A">
                              <w:pPr>
                                <w:jc w:val="center"/>
                                <w:rPr>
                                  <w:sz w:val="60"/>
                                  <w:szCs w:val="60"/>
                                  <w:lang w:val="lt-LT"/>
                                </w:rPr>
                              </w:pPr>
                              <w:r w:rsidRPr="00DC0038">
                                <w:rPr>
                                  <w:sz w:val="60"/>
                                  <w:szCs w:val="60"/>
                                  <w:lang w:val="lt-LT"/>
                                </w:rPr>
                                <w:t>2015</w:t>
                              </w:r>
                            </w:p>
                            <w:p w14:paraId="0BE0C674" w14:textId="77777777" w:rsidR="00A65A8D" w:rsidRPr="00DC0038" w:rsidRDefault="00A65A8D" w:rsidP="00DC0038">
                              <w:pPr>
                                <w:jc w:val="center"/>
                                <w:rPr>
                                  <w:sz w:val="60"/>
                                  <w:szCs w:val="60"/>
                                  <w:lang w:val="lt-L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Stačiakampis 10"/>
                        <wps:cNvSpPr/>
                        <wps:spPr>
                          <a:xfrm>
                            <a:off x="1913861" y="4742121"/>
                            <a:ext cx="2626242" cy="26576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9D644B" w14:textId="77777777" w:rsidR="00A65A8D" w:rsidRPr="00DC0038" w:rsidRDefault="00A65A8D" w:rsidP="0060276A">
                              <w:pPr>
                                <w:jc w:val="center"/>
                                <w:rPr>
                                  <w:sz w:val="60"/>
                                  <w:szCs w:val="60"/>
                                  <w:lang w:val="lt-L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14" o:spid="_x0000_s1026" style="position:absolute;margin-left:-40.2pt;margin-top:-73.65pt;width:599.45pt;height:846.4pt;z-index:251658752" coordsize="76129,107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 o:spid="_x0000_s1027" type="#_x0000_t75" style="position:absolute;width:76129;height:107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7mQnCAAAA3AAAAA8AAABkcnMvZG93bnJldi54bWxET01rwkAQvRf8D8sI3upGQbHRVaRQ0Hqp&#10;qYLehuyYpM3OLtltjP++Kwje5vE+Z7HqTC1aanxlWcFomIAgzq2uuFBw+P54nYHwAVljbZkU3MjD&#10;atl7WWCq7ZX31GahEDGEfYoKyhBcKqXPSzLoh9YRR+5iG4MhwqaQusFrDDe1HCfJVBqsODaU6Oi9&#10;pPw3+zMKjnjMtrS7nE+u/bQ/fHPj/ddEqUG/W89BBOrCU/xwb3ScP3uD+zPxAr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e5kJwgAAANwAAAAPAAAAAAAAAAAAAAAAAJ8C&#10;AABkcnMvZG93bnJldi54bWxQSwUGAAAAAAQABAD3AAAAjgMAAAAA&#10;">
                  <v:imagedata r:id="rId11" o:title=""/>
                  <v:path arrowok="t"/>
                </v:shape>
                <v:rect id="Stačiakampis 10" o:spid="_x0000_s1028" style="position:absolute;left:43061;top:10951;width:28602;height:5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QkMUA&#10;AADbAAAADwAAAGRycy9kb3ducmV2LnhtbESPQWvDMAyF74X9B6PBbq2zwUrJ6pZtsLJj15bS3USs&#10;xmGxbGKnSfvrp8NgN4n39N6n5Xr0rbpQl5rABh5nBSjiKtiGawOH/cd0ASplZIttYDJwpQTr1d1k&#10;iaUNA3/RZZdrJSGcSjTgco6l1qly5DHNQiQW7Rw6j1nWrta2w0HCfaufimKuPTYsDQ4jvTuqfna9&#10;NxA3h+332b3FYX49Pm/Guj/dmt6Yh/vx9QVUpjH/m/+uP63gC738Ig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RCQxQAAANsAAAAPAAAAAAAAAAAAAAAAAJgCAABkcnMv&#10;ZG93bnJldi54bWxQSwUGAAAAAAQABAD1AAAAigMAAAAA&#10;" fillcolor="#4f81bd [3204]" stroked="f" strokeweight="2pt">
                  <v:textbox>
                    <w:txbxContent>
                      <w:p w14:paraId="54062C5D" w14:textId="77777777" w:rsidR="00A65A8D" w:rsidRPr="00DC0038" w:rsidRDefault="00A65A8D" w:rsidP="0060276A">
                        <w:pPr>
                          <w:jc w:val="center"/>
                          <w:rPr>
                            <w:sz w:val="60"/>
                            <w:szCs w:val="60"/>
                            <w:lang w:val="lt-LT"/>
                          </w:rPr>
                        </w:pPr>
                        <w:r w:rsidRPr="00DC0038">
                          <w:rPr>
                            <w:sz w:val="60"/>
                            <w:szCs w:val="60"/>
                            <w:lang w:val="lt-LT"/>
                          </w:rPr>
                          <w:t>2015</w:t>
                        </w:r>
                      </w:p>
                      <w:p w14:paraId="0BE0C674" w14:textId="77777777" w:rsidR="00A65A8D" w:rsidRPr="00DC0038" w:rsidRDefault="00A65A8D" w:rsidP="00DC0038">
                        <w:pPr>
                          <w:jc w:val="center"/>
                          <w:rPr>
                            <w:sz w:val="60"/>
                            <w:szCs w:val="60"/>
                            <w:lang w:val="lt-LT"/>
                          </w:rPr>
                        </w:pPr>
                      </w:p>
                    </w:txbxContent>
                  </v:textbox>
                </v:rect>
                <v:rect id="Stačiakampis 10" o:spid="_x0000_s1029" style="position:absolute;left:19138;top:47421;width:26263;height:2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sZcUA&#10;AADcAAAADwAAAGRycy9kb3ducmV2LnhtbESPQWsCMRSE7wX/Q3hCbzWrosjWKFVQerQqpb09Ns/N&#10;0s1L2GTd1V9vCoUeh5n5hlmue1uLKzWhcqxgPMpAEBdOV1wqOJ92LwsQISJrrB2TghsFWK8GT0vM&#10;tev4g67HWIoE4ZCjAhOjz6UMhSGLYeQ8cfIurrEYk2xKqRvsEtzWcpJlc2mx4rRg0NPWUPFzbK0C&#10;vz8fvi9m47v57XO278v26161Sj0P+7dXEJH6+B/+a79rBZPxFH7Pp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KxlxQAAANwAAAAPAAAAAAAAAAAAAAAAAJgCAABkcnMv&#10;ZG93bnJldi54bWxQSwUGAAAAAAQABAD1AAAAigMAAAAA&#10;" fillcolor="#4f81bd [3204]" stroked="f" strokeweight="2pt">
                  <v:textbox>
                    <w:txbxContent>
                      <w:p w14:paraId="6A9D644B" w14:textId="77777777" w:rsidR="00A65A8D" w:rsidRPr="00DC0038" w:rsidRDefault="00A65A8D" w:rsidP="0060276A">
                        <w:pPr>
                          <w:jc w:val="center"/>
                          <w:rPr>
                            <w:sz w:val="60"/>
                            <w:szCs w:val="60"/>
                            <w:lang w:val="lt-LT"/>
                          </w:rPr>
                        </w:pPr>
                      </w:p>
                    </w:txbxContent>
                  </v:textbox>
                </v:rect>
              </v:group>
            </w:pict>
          </mc:Fallback>
        </mc:AlternateContent>
      </w:r>
    </w:p>
    <w:p w14:paraId="36F93D9E" w14:textId="77777777" w:rsidR="00D555C1" w:rsidRDefault="00D555C1">
      <w:pPr>
        <w:rPr>
          <w:rFonts w:ascii="Georgia" w:eastAsia="PMingLiU" w:hAnsi="Georgia" w:cs="Times New Roman"/>
          <w:sz w:val="32"/>
          <w:szCs w:val="32"/>
          <w:lang w:val="lt-LT"/>
        </w:rPr>
      </w:pPr>
      <w:r>
        <w:rPr>
          <w:rFonts w:ascii="Georgia" w:eastAsia="PMingLiU" w:hAnsi="Georgia" w:cs="Times New Roman"/>
          <w:sz w:val="32"/>
          <w:szCs w:val="32"/>
          <w:lang w:val="lt-LT"/>
        </w:rPr>
        <w:br w:type="page"/>
      </w:r>
    </w:p>
    <w:sdt>
      <w:sdtPr>
        <w:rPr>
          <w:rFonts w:asciiTheme="minorHAnsi" w:eastAsiaTheme="minorHAnsi" w:hAnsiTheme="minorHAnsi" w:cstheme="minorBidi"/>
          <w:b w:val="0"/>
          <w:bCs w:val="0"/>
          <w:color w:val="auto"/>
          <w:sz w:val="22"/>
          <w:szCs w:val="22"/>
          <w:lang w:val="lt-LT" w:eastAsia="en-US"/>
        </w:rPr>
        <w:id w:val="-1240335002"/>
        <w:docPartObj>
          <w:docPartGallery w:val="Table of Contents"/>
          <w:docPartUnique/>
        </w:docPartObj>
      </w:sdtPr>
      <w:sdtEndPr>
        <w:rPr>
          <w:rFonts w:ascii="Georgia" w:hAnsi="Georgia"/>
        </w:rPr>
      </w:sdtEndPr>
      <w:sdtContent>
        <w:p w14:paraId="12BDB9AE" w14:textId="77777777" w:rsidR="00EE14AD" w:rsidRPr="003D1E6F" w:rsidRDefault="00BB54BF">
          <w:pPr>
            <w:pStyle w:val="Turinioantrat"/>
            <w:rPr>
              <w:lang w:val="lt-LT" w:eastAsia="en-US"/>
            </w:rPr>
          </w:pPr>
          <w:r w:rsidRPr="003D1E6F">
            <w:rPr>
              <w:lang w:val="lt-LT" w:eastAsia="en-US"/>
            </w:rPr>
            <w:t>Turinys</w:t>
          </w:r>
        </w:p>
        <w:p w14:paraId="1389158A" w14:textId="77777777" w:rsidR="00BB54BF" w:rsidRPr="004E3FB1" w:rsidRDefault="00BB54BF" w:rsidP="00BB54BF">
          <w:pPr>
            <w:rPr>
              <w:rFonts w:ascii="Georgia" w:hAnsi="Georgia"/>
              <w:lang w:val="lt-LT" w:eastAsia="ja-JP"/>
            </w:rPr>
          </w:pPr>
          <w:bookmarkStart w:id="2" w:name="_GoBack"/>
          <w:bookmarkEnd w:id="2"/>
        </w:p>
        <w:p w14:paraId="0D0C13FF" w14:textId="6A51CEF4" w:rsidR="00DA65C2" w:rsidRDefault="00EE14AD">
          <w:pPr>
            <w:pStyle w:val="Turinys1"/>
            <w:tabs>
              <w:tab w:val="right" w:leader="dot" w:pos="9016"/>
            </w:tabs>
            <w:rPr>
              <w:rFonts w:eastAsiaTheme="minorEastAsia"/>
              <w:noProof/>
            </w:rPr>
          </w:pPr>
          <w:r w:rsidRPr="000F589D">
            <w:rPr>
              <w:rFonts w:ascii="Georgia" w:hAnsi="Georgia"/>
              <w:szCs w:val="20"/>
              <w:lang w:val="lt-LT"/>
            </w:rPr>
            <w:fldChar w:fldCharType="begin"/>
          </w:r>
          <w:r w:rsidRPr="000F589D">
            <w:rPr>
              <w:rFonts w:ascii="Georgia" w:hAnsi="Georgia"/>
              <w:szCs w:val="20"/>
              <w:lang w:val="lt-LT"/>
            </w:rPr>
            <w:instrText xml:space="preserve"> TOC \o "1-3" \h \z \u </w:instrText>
          </w:r>
          <w:r w:rsidRPr="000F589D">
            <w:rPr>
              <w:rFonts w:ascii="Georgia" w:hAnsi="Georgia"/>
              <w:szCs w:val="20"/>
              <w:lang w:val="lt-LT"/>
            </w:rPr>
            <w:fldChar w:fldCharType="separate"/>
          </w:r>
          <w:hyperlink w:anchor="_Toc417378353" w:history="1">
            <w:r w:rsidR="00DA65C2" w:rsidRPr="004528C4">
              <w:rPr>
                <w:rStyle w:val="Hipersaitas"/>
                <w:noProof/>
                <w:lang w:val="lt-LT"/>
              </w:rPr>
              <w:t>Lentelių sąrašas</w:t>
            </w:r>
            <w:r w:rsidR="00DA65C2">
              <w:rPr>
                <w:noProof/>
                <w:webHidden/>
              </w:rPr>
              <w:tab/>
            </w:r>
            <w:r w:rsidR="00DA65C2">
              <w:rPr>
                <w:noProof/>
                <w:webHidden/>
              </w:rPr>
              <w:fldChar w:fldCharType="begin"/>
            </w:r>
            <w:r w:rsidR="00DA65C2">
              <w:rPr>
                <w:noProof/>
                <w:webHidden/>
              </w:rPr>
              <w:instrText xml:space="preserve"> PAGEREF _Toc417378353 \h </w:instrText>
            </w:r>
            <w:r w:rsidR="00DA65C2">
              <w:rPr>
                <w:noProof/>
                <w:webHidden/>
              </w:rPr>
            </w:r>
            <w:r w:rsidR="00DA65C2">
              <w:rPr>
                <w:noProof/>
                <w:webHidden/>
              </w:rPr>
              <w:fldChar w:fldCharType="separate"/>
            </w:r>
            <w:r w:rsidR="00CB6759">
              <w:rPr>
                <w:noProof/>
                <w:webHidden/>
              </w:rPr>
              <w:t>7</w:t>
            </w:r>
            <w:r w:rsidR="00DA65C2">
              <w:rPr>
                <w:noProof/>
                <w:webHidden/>
              </w:rPr>
              <w:fldChar w:fldCharType="end"/>
            </w:r>
          </w:hyperlink>
        </w:p>
        <w:p w14:paraId="2367CE58" w14:textId="404ED97D" w:rsidR="00DA65C2" w:rsidRDefault="00A65A8D">
          <w:pPr>
            <w:pStyle w:val="Turinys1"/>
            <w:tabs>
              <w:tab w:val="right" w:leader="dot" w:pos="9016"/>
            </w:tabs>
            <w:rPr>
              <w:rFonts w:eastAsiaTheme="minorEastAsia"/>
              <w:noProof/>
            </w:rPr>
          </w:pPr>
          <w:hyperlink w:anchor="_Toc417378354" w:history="1">
            <w:r w:rsidR="00DA65C2" w:rsidRPr="004528C4">
              <w:rPr>
                <w:rStyle w:val="Hipersaitas"/>
                <w:noProof/>
                <w:lang w:val="lt-LT"/>
              </w:rPr>
              <w:t>Paveikslų sąrašas</w:t>
            </w:r>
            <w:r w:rsidR="00DA65C2">
              <w:rPr>
                <w:noProof/>
                <w:webHidden/>
              </w:rPr>
              <w:tab/>
            </w:r>
            <w:r w:rsidR="00DA65C2">
              <w:rPr>
                <w:noProof/>
                <w:webHidden/>
              </w:rPr>
              <w:fldChar w:fldCharType="begin"/>
            </w:r>
            <w:r w:rsidR="00DA65C2">
              <w:rPr>
                <w:noProof/>
                <w:webHidden/>
              </w:rPr>
              <w:instrText xml:space="preserve"> PAGEREF _Toc417378354 \h </w:instrText>
            </w:r>
            <w:r w:rsidR="00DA65C2">
              <w:rPr>
                <w:noProof/>
                <w:webHidden/>
              </w:rPr>
            </w:r>
            <w:r w:rsidR="00DA65C2">
              <w:rPr>
                <w:noProof/>
                <w:webHidden/>
              </w:rPr>
              <w:fldChar w:fldCharType="separate"/>
            </w:r>
            <w:r w:rsidR="00CB6759">
              <w:rPr>
                <w:noProof/>
                <w:webHidden/>
              </w:rPr>
              <w:t>12</w:t>
            </w:r>
            <w:r w:rsidR="00DA65C2">
              <w:rPr>
                <w:noProof/>
                <w:webHidden/>
              </w:rPr>
              <w:fldChar w:fldCharType="end"/>
            </w:r>
          </w:hyperlink>
        </w:p>
        <w:p w14:paraId="6063BBFE" w14:textId="3227DD3B" w:rsidR="00DA65C2" w:rsidRDefault="00A65A8D">
          <w:pPr>
            <w:pStyle w:val="Turinys1"/>
            <w:tabs>
              <w:tab w:val="right" w:leader="dot" w:pos="9016"/>
            </w:tabs>
            <w:rPr>
              <w:rFonts w:eastAsiaTheme="minorEastAsia"/>
              <w:noProof/>
            </w:rPr>
          </w:pPr>
          <w:hyperlink w:anchor="_Toc417378355" w:history="1">
            <w:r w:rsidR="00DA65C2" w:rsidRPr="004528C4">
              <w:rPr>
                <w:rStyle w:val="Hipersaitas"/>
                <w:noProof/>
                <w:lang w:val="lt-LT"/>
              </w:rPr>
              <w:t>Žodynas</w:t>
            </w:r>
            <w:r w:rsidR="00DA65C2">
              <w:rPr>
                <w:noProof/>
                <w:webHidden/>
              </w:rPr>
              <w:tab/>
            </w:r>
            <w:r w:rsidR="00DA65C2">
              <w:rPr>
                <w:noProof/>
                <w:webHidden/>
              </w:rPr>
              <w:fldChar w:fldCharType="begin"/>
            </w:r>
            <w:r w:rsidR="00DA65C2">
              <w:rPr>
                <w:noProof/>
                <w:webHidden/>
              </w:rPr>
              <w:instrText xml:space="preserve"> PAGEREF _Toc417378355 \h </w:instrText>
            </w:r>
            <w:r w:rsidR="00DA65C2">
              <w:rPr>
                <w:noProof/>
                <w:webHidden/>
              </w:rPr>
            </w:r>
            <w:r w:rsidR="00DA65C2">
              <w:rPr>
                <w:noProof/>
                <w:webHidden/>
              </w:rPr>
              <w:fldChar w:fldCharType="separate"/>
            </w:r>
            <w:r w:rsidR="00CB6759">
              <w:rPr>
                <w:noProof/>
                <w:webHidden/>
              </w:rPr>
              <w:t>15</w:t>
            </w:r>
            <w:r w:rsidR="00DA65C2">
              <w:rPr>
                <w:noProof/>
                <w:webHidden/>
              </w:rPr>
              <w:fldChar w:fldCharType="end"/>
            </w:r>
          </w:hyperlink>
        </w:p>
        <w:p w14:paraId="6D2FD7B0" w14:textId="762F9B52" w:rsidR="00DA65C2" w:rsidRDefault="00A65A8D">
          <w:pPr>
            <w:pStyle w:val="Turinys1"/>
            <w:tabs>
              <w:tab w:val="left" w:pos="660"/>
              <w:tab w:val="right" w:leader="dot" w:pos="9016"/>
            </w:tabs>
            <w:rPr>
              <w:rFonts w:eastAsiaTheme="minorEastAsia"/>
              <w:noProof/>
            </w:rPr>
          </w:pPr>
          <w:hyperlink w:anchor="_Toc417378356" w:history="1">
            <w:r w:rsidR="00DA65C2" w:rsidRPr="004528C4">
              <w:rPr>
                <w:rStyle w:val="Hipersaitas"/>
                <w:noProof/>
                <w:lang w:val="lt-LT"/>
              </w:rPr>
              <w:t>1.</w:t>
            </w:r>
            <w:r w:rsidR="00DA65C2">
              <w:rPr>
                <w:rFonts w:eastAsiaTheme="minorEastAsia"/>
                <w:noProof/>
              </w:rPr>
              <w:tab/>
            </w:r>
            <w:r w:rsidR="00DA65C2" w:rsidRPr="004528C4">
              <w:rPr>
                <w:rStyle w:val="Hipersaitas"/>
                <w:noProof/>
                <w:lang w:val="lt-LT"/>
              </w:rPr>
              <w:t>Įžanga – ex ante vertinimo pagrindimas</w:t>
            </w:r>
            <w:r w:rsidR="00DA65C2">
              <w:rPr>
                <w:noProof/>
                <w:webHidden/>
              </w:rPr>
              <w:tab/>
            </w:r>
            <w:r w:rsidR="00DA65C2">
              <w:rPr>
                <w:noProof/>
                <w:webHidden/>
              </w:rPr>
              <w:fldChar w:fldCharType="begin"/>
            </w:r>
            <w:r w:rsidR="00DA65C2">
              <w:rPr>
                <w:noProof/>
                <w:webHidden/>
              </w:rPr>
              <w:instrText xml:space="preserve"> PAGEREF _Toc417378356 \h </w:instrText>
            </w:r>
            <w:r w:rsidR="00DA65C2">
              <w:rPr>
                <w:noProof/>
                <w:webHidden/>
              </w:rPr>
            </w:r>
            <w:r w:rsidR="00DA65C2">
              <w:rPr>
                <w:noProof/>
                <w:webHidden/>
              </w:rPr>
              <w:fldChar w:fldCharType="separate"/>
            </w:r>
            <w:r w:rsidR="00CB6759">
              <w:rPr>
                <w:noProof/>
                <w:webHidden/>
              </w:rPr>
              <w:t>18</w:t>
            </w:r>
            <w:r w:rsidR="00DA65C2">
              <w:rPr>
                <w:noProof/>
                <w:webHidden/>
              </w:rPr>
              <w:fldChar w:fldCharType="end"/>
            </w:r>
          </w:hyperlink>
        </w:p>
        <w:p w14:paraId="5F7261AA" w14:textId="499DCAC1" w:rsidR="00DA65C2" w:rsidRDefault="00A65A8D">
          <w:pPr>
            <w:pStyle w:val="Turinys2"/>
            <w:tabs>
              <w:tab w:val="left" w:pos="880"/>
              <w:tab w:val="right" w:leader="dot" w:pos="9016"/>
            </w:tabs>
            <w:rPr>
              <w:rFonts w:eastAsiaTheme="minorEastAsia"/>
              <w:noProof/>
            </w:rPr>
          </w:pPr>
          <w:hyperlink w:anchor="_Toc417378357" w:history="1">
            <w:r w:rsidR="00DA65C2" w:rsidRPr="004528C4">
              <w:rPr>
                <w:rStyle w:val="Hipersaitas"/>
                <w:noProof/>
                <w:lang w:val="lt-LT"/>
              </w:rPr>
              <w:t>1.1.</w:t>
            </w:r>
            <w:r w:rsidR="00DA65C2">
              <w:rPr>
                <w:rFonts w:eastAsiaTheme="minorEastAsia"/>
                <w:noProof/>
              </w:rPr>
              <w:tab/>
            </w:r>
            <w:r w:rsidR="00DA65C2" w:rsidRPr="004528C4">
              <w:rPr>
                <w:rStyle w:val="Hipersaitas"/>
                <w:noProof/>
                <w:lang w:val="lt-LT"/>
              </w:rPr>
              <w:t>Energijos efektyvumo finansinių priemonių suderinamumas su ES ir nacionaliniais strateginiais tikslais energijos efektyvumo srityje</w:t>
            </w:r>
            <w:r w:rsidR="00DA65C2">
              <w:rPr>
                <w:noProof/>
                <w:webHidden/>
              </w:rPr>
              <w:tab/>
            </w:r>
            <w:r w:rsidR="00DA65C2">
              <w:rPr>
                <w:noProof/>
                <w:webHidden/>
              </w:rPr>
              <w:fldChar w:fldCharType="begin"/>
            </w:r>
            <w:r w:rsidR="00DA65C2">
              <w:rPr>
                <w:noProof/>
                <w:webHidden/>
              </w:rPr>
              <w:instrText xml:space="preserve"> PAGEREF _Toc417378357 \h </w:instrText>
            </w:r>
            <w:r w:rsidR="00DA65C2">
              <w:rPr>
                <w:noProof/>
                <w:webHidden/>
              </w:rPr>
            </w:r>
            <w:r w:rsidR="00DA65C2">
              <w:rPr>
                <w:noProof/>
                <w:webHidden/>
              </w:rPr>
              <w:fldChar w:fldCharType="separate"/>
            </w:r>
            <w:r w:rsidR="00CB6759">
              <w:rPr>
                <w:noProof/>
                <w:webHidden/>
              </w:rPr>
              <w:t>19</w:t>
            </w:r>
            <w:r w:rsidR="00DA65C2">
              <w:rPr>
                <w:noProof/>
                <w:webHidden/>
              </w:rPr>
              <w:fldChar w:fldCharType="end"/>
            </w:r>
          </w:hyperlink>
        </w:p>
        <w:p w14:paraId="421991CC" w14:textId="5EC4B4AC" w:rsidR="00DA65C2" w:rsidRDefault="00A65A8D">
          <w:pPr>
            <w:pStyle w:val="Turinys2"/>
            <w:tabs>
              <w:tab w:val="left" w:pos="1100"/>
              <w:tab w:val="right" w:leader="dot" w:pos="9016"/>
            </w:tabs>
            <w:rPr>
              <w:rFonts w:eastAsiaTheme="minorEastAsia"/>
              <w:noProof/>
            </w:rPr>
          </w:pPr>
          <w:hyperlink w:anchor="_Toc417378358" w:history="1">
            <w:r w:rsidR="00DA65C2" w:rsidRPr="004528C4">
              <w:rPr>
                <w:rStyle w:val="Hipersaitas"/>
                <w:noProof/>
                <w:lang w:val="lt-LT"/>
              </w:rPr>
              <w:t>1.1.1.</w:t>
            </w:r>
            <w:r w:rsidR="00DA65C2">
              <w:rPr>
                <w:rFonts w:eastAsiaTheme="minorEastAsia"/>
                <w:noProof/>
              </w:rPr>
              <w:tab/>
            </w:r>
            <w:r w:rsidR="00DA65C2" w:rsidRPr="004528C4">
              <w:rPr>
                <w:rStyle w:val="Hipersaitas"/>
                <w:noProof/>
                <w:lang w:val="lt-LT"/>
              </w:rPr>
              <w:t>ES ir nacionaliniai strateginiai dokumentai, aktualūs energijos efektyvumo srityje</w:t>
            </w:r>
            <w:r w:rsidR="00DA65C2">
              <w:rPr>
                <w:noProof/>
                <w:webHidden/>
              </w:rPr>
              <w:tab/>
            </w:r>
            <w:r w:rsidR="00DA65C2">
              <w:rPr>
                <w:noProof/>
                <w:webHidden/>
              </w:rPr>
              <w:fldChar w:fldCharType="begin"/>
            </w:r>
            <w:r w:rsidR="00DA65C2">
              <w:rPr>
                <w:noProof/>
                <w:webHidden/>
              </w:rPr>
              <w:instrText xml:space="preserve"> PAGEREF _Toc417378358 \h </w:instrText>
            </w:r>
            <w:r w:rsidR="00DA65C2">
              <w:rPr>
                <w:noProof/>
                <w:webHidden/>
              </w:rPr>
            </w:r>
            <w:r w:rsidR="00DA65C2">
              <w:rPr>
                <w:noProof/>
                <w:webHidden/>
              </w:rPr>
              <w:fldChar w:fldCharType="separate"/>
            </w:r>
            <w:r w:rsidR="00CB6759">
              <w:rPr>
                <w:noProof/>
                <w:webHidden/>
              </w:rPr>
              <w:t>19</w:t>
            </w:r>
            <w:r w:rsidR="00DA65C2">
              <w:rPr>
                <w:noProof/>
                <w:webHidden/>
              </w:rPr>
              <w:fldChar w:fldCharType="end"/>
            </w:r>
          </w:hyperlink>
        </w:p>
        <w:p w14:paraId="69FB0D2F" w14:textId="1350C410" w:rsidR="00DA65C2" w:rsidRDefault="00A65A8D">
          <w:pPr>
            <w:pStyle w:val="Turinys2"/>
            <w:tabs>
              <w:tab w:val="left" w:pos="1100"/>
              <w:tab w:val="right" w:leader="dot" w:pos="9016"/>
            </w:tabs>
            <w:rPr>
              <w:rFonts w:eastAsiaTheme="minorEastAsia"/>
              <w:noProof/>
            </w:rPr>
          </w:pPr>
          <w:hyperlink w:anchor="_Toc417378359" w:history="1">
            <w:r w:rsidR="00DA65C2" w:rsidRPr="004528C4">
              <w:rPr>
                <w:rStyle w:val="Hipersaitas"/>
                <w:noProof/>
                <w:lang w:val="lt-LT"/>
              </w:rPr>
              <w:t>1.1.2.</w:t>
            </w:r>
            <w:r w:rsidR="00DA65C2">
              <w:rPr>
                <w:rFonts w:eastAsiaTheme="minorEastAsia"/>
                <w:noProof/>
              </w:rPr>
              <w:tab/>
            </w:r>
            <w:r w:rsidR="00DA65C2" w:rsidRPr="004528C4">
              <w:rPr>
                <w:rStyle w:val="Hipersaitas"/>
                <w:noProof/>
                <w:lang w:val="lt-LT"/>
              </w:rPr>
              <w:t>Finansinių priemonių suderinamumas su ES ir nacionaliniais strateginiais dokumentais</w:t>
            </w:r>
            <w:r w:rsidR="00DA65C2">
              <w:rPr>
                <w:noProof/>
                <w:webHidden/>
              </w:rPr>
              <w:tab/>
            </w:r>
            <w:r w:rsidR="00DA65C2">
              <w:rPr>
                <w:noProof/>
                <w:webHidden/>
              </w:rPr>
              <w:fldChar w:fldCharType="begin"/>
            </w:r>
            <w:r w:rsidR="00DA65C2">
              <w:rPr>
                <w:noProof/>
                <w:webHidden/>
              </w:rPr>
              <w:instrText xml:space="preserve"> PAGEREF _Toc417378359 \h </w:instrText>
            </w:r>
            <w:r w:rsidR="00DA65C2">
              <w:rPr>
                <w:noProof/>
                <w:webHidden/>
              </w:rPr>
            </w:r>
            <w:r w:rsidR="00DA65C2">
              <w:rPr>
                <w:noProof/>
                <w:webHidden/>
              </w:rPr>
              <w:fldChar w:fldCharType="separate"/>
            </w:r>
            <w:r w:rsidR="00CB6759">
              <w:rPr>
                <w:noProof/>
                <w:webHidden/>
              </w:rPr>
              <w:t>24</w:t>
            </w:r>
            <w:r w:rsidR="00DA65C2">
              <w:rPr>
                <w:noProof/>
                <w:webHidden/>
              </w:rPr>
              <w:fldChar w:fldCharType="end"/>
            </w:r>
          </w:hyperlink>
        </w:p>
        <w:p w14:paraId="5F35A840" w14:textId="1C7E584E" w:rsidR="00DA65C2" w:rsidRDefault="00A65A8D">
          <w:pPr>
            <w:pStyle w:val="Turinys2"/>
            <w:tabs>
              <w:tab w:val="left" w:pos="880"/>
              <w:tab w:val="right" w:leader="dot" w:pos="9016"/>
            </w:tabs>
            <w:rPr>
              <w:rFonts w:eastAsiaTheme="minorEastAsia"/>
              <w:noProof/>
            </w:rPr>
          </w:pPr>
          <w:hyperlink w:anchor="_Toc417378360" w:history="1">
            <w:r w:rsidR="00DA65C2" w:rsidRPr="004528C4">
              <w:rPr>
                <w:rStyle w:val="Hipersaitas"/>
                <w:noProof/>
                <w:lang w:val="lt-LT"/>
              </w:rPr>
              <w:t>1.2.</w:t>
            </w:r>
            <w:r w:rsidR="00DA65C2">
              <w:rPr>
                <w:rFonts w:eastAsiaTheme="minorEastAsia"/>
                <w:noProof/>
              </w:rPr>
              <w:tab/>
            </w:r>
            <w:r w:rsidR="00DA65C2" w:rsidRPr="004528C4">
              <w:rPr>
                <w:rStyle w:val="Hipersaitas"/>
                <w:noProof/>
                <w:lang w:val="lt-LT"/>
              </w:rPr>
              <w:t>Finansinės priemonės, įgyvendintos energijos efektyvumo srityje 2007-2013 m. periodu</w:t>
            </w:r>
            <w:r w:rsidR="00DA65C2">
              <w:rPr>
                <w:noProof/>
                <w:webHidden/>
              </w:rPr>
              <w:tab/>
            </w:r>
            <w:r w:rsidR="00DA65C2">
              <w:rPr>
                <w:noProof/>
                <w:webHidden/>
              </w:rPr>
              <w:fldChar w:fldCharType="begin"/>
            </w:r>
            <w:r w:rsidR="00DA65C2">
              <w:rPr>
                <w:noProof/>
                <w:webHidden/>
              </w:rPr>
              <w:instrText xml:space="preserve"> PAGEREF _Toc417378360 \h </w:instrText>
            </w:r>
            <w:r w:rsidR="00DA65C2">
              <w:rPr>
                <w:noProof/>
                <w:webHidden/>
              </w:rPr>
            </w:r>
            <w:r w:rsidR="00DA65C2">
              <w:rPr>
                <w:noProof/>
                <w:webHidden/>
              </w:rPr>
              <w:fldChar w:fldCharType="separate"/>
            </w:r>
            <w:r w:rsidR="00CB6759">
              <w:rPr>
                <w:noProof/>
                <w:webHidden/>
              </w:rPr>
              <w:t>27</w:t>
            </w:r>
            <w:r w:rsidR="00DA65C2">
              <w:rPr>
                <w:noProof/>
                <w:webHidden/>
              </w:rPr>
              <w:fldChar w:fldCharType="end"/>
            </w:r>
          </w:hyperlink>
        </w:p>
        <w:p w14:paraId="288499D6" w14:textId="360E6E8B" w:rsidR="00DA65C2" w:rsidRDefault="00A65A8D">
          <w:pPr>
            <w:pStyle w:val="Turinys2"/>
            <w:tabs>
              <w:tab w:val="left" w:pos="880"/>
              <w:tab w:val="right" w:leader="dot" w:pos="9016"/>
            </w:tabs>
            <w:rPr>
              <w:rFonts w:eastAsiaTheme="minorEastAsia"/>
              <w:noProof/>
            </w:rPr>
          </w:pPr>
          <w:hyperlink w:anchor="_Toc417378361" w:history="1">
            <w:r w:rsidR="00DA65C2" w:rsidRPr="004528C4">
              <w:rPr>
                <w:rStyle w:val="Hipersaitas"/>
                <w:noProof/>
                <w:lang w:val="lt-LT"/>
              </w:rPr>
              <w:t>1.3.</w:t>
            </w:r>
            <w:r w:rsidR="00DA65C2">
              <w:rPr>
                <w:rFonts w:eastAsiaTheme="minorEastAsia"/>
                <w:noProof/>
              </w:rPr>
              <w:tab/>
            </w:r>
            <w:r w:rsidR="00DA65C2" w:rsidRPr="004528C4">
              <w:rPr>
                <w:rStyle w:val="Hipersaitas"/>
                <w:noProof/>
                <w:lang w:val="lt-LT"/>
              </w:rPr>
              <w:t>Finansinių priemonių įgyvendinimo alternatyvos atsižvelgiant į ES reglamentų nuostatas</w:t>
            </w:r>
            <w:r w:rsidR="00DA65C2">
              <w:rPr>
                <w:noProof/>
                <w:webHidden/>
              </w:rPr>
              <w:tab/>
            </w:r>
            <w:r w:rsidR="00DA65C2">
              <w:rPr>
                <w:noProof/>
                <w:webHidden/>
              </w:rPr>
              <w:fldChar w:fldCharType="begin"/>
            </w:r>
            <w:r w:rsidR="00DA65C2">
              <w:rPr>
                <w:noProof/>
                <w:webHidden/>
              </w:rPr>
              <w:instrText xml:space="preserve"> PAGEREF _Toc417378361 \h </w:instrText>
            </w:r>
            <w:r w:rsidR="00DA65C2">
              <w:rPr>
                <w:noProof/>
                <w:webHidden/>
              </w:rPr>
            </w:r>
            <w:r w:rsidR="00DA65C2">
              <w:rPr>
                <w:noProof/>
                <w:webHidden/>
              </w:rPr>
              <w:fldChar w:fldCharType="separate"/>
            </w:r>
            <w:r w:rsidR="00CB6759">
              <w:rPr>
                <w:noProof/>
                <w:webHidden/>
              </w:rPr>
              <w:t>28</w:t>
            </w:r>
            <w:r w:rsidR="00DA65C2">
              <w:rPr>
                <w:noProof/>
                <w:webHidden/>
              </w:rPr>
              <w:fldChar w:fldCharType="end"/>
            </w:r>
          </w:hyperlink>
        </w:p>
        <w:p w14:paraId="020E6084" w14:textId="62B3ABE7" w:rsidR="00DA65C2" w:rsidRDefault="00A65A8D">
          <w:pPr>
            <w:pStyle w:val="Turinys1"/>
            <w:tabs>
              <w:tab w:val="left" w:pos="660"/>
              <w:tab w:val="right" w:leader="dot" w:pos="9016"/>
            </w:tabs>
            <w:rPr>
              <w:rFonts w:eastAsiaTheme="minorEastAsia"/>
              <w:noProof/>
            </w:rPr>
          </w:pPr>
          <w:hyperlink w:anchor="_Toc417378362" w:history="1">
            <w:r w:rsidR="00DA65C2" w:rsidRPr="004528C4">
              <w:rPr>
                <w:rStyle w:val="Hipersaitas"/>
                <w:rFonts w:cs="Arial"/>
                <w:noProof/>
                <w:lang w:val="lt-LT"/>
              </w:rPr>
              <w:t>2.</w:t>
            </w:r>
            <w:r w:rsidR="00DA65C2">
              <w:rPr>
                <w:rFonts w:eastAsiaTheme="minorEastAsia"/>
                <w:noProof/>
              </w:rPr>
              <w:tab/>
            </w:r>
            <w:r w:rsidR="00DA65C2" w:rsidRPr="004528C4">
              <w:rPr>
                <w:rStyle w:val="Hipersaitas"/>
                <w:noProof/>
                <w:lang w:val="lt-LT"/>
              </w:rPr>
              <w:t>Rinkos trūkumų/nepakankamumų analizė ir priežastys</w:t>
            </w:r>
            <w:r w:rsidR="00DA65C2">
              <w:rPr>
                <w:noProof/>
                <w:webHidden/>
              </w:rPr>
              <w:tab/>
            </w:r>
            <w:r w:rsidR="00DA65C2">
              <w:rPr>
                <w:noProof/>
                <w:webHidden/>
              </w:rPr>
              <w:fldChar w:fldCharType="begin"/>
            </w:r>
            <w:r w:rsidR="00DA65C2">
              <w:rPr>
                <w:noProof/>
                <w:webHidden/>
              </w:rPr>
              <w:instrText xml:space="preserve"> PAGEREF _Toc417378362 \h </w:instrText>
            </w:r>
            <w:r w:rsidR="00DA65C2">
              <w:rPr>
                <w:noProof/>
                <w:webHidden/>
              </w:rPr>
            </w:r>
            <w:r w:rsidR="00DA65C2">
              <w:rPr>
                <w:noProof/>
                <w:webHidden/>
              </w:rPr>
              <w:fldChar w:fldCharType="separate"/>
            </w:r>
            <w:r w:rsidR="00CB6759">
              <w:rPr>
                <w:noProof/>
                <w:webHidden/>
              </w:rPr>
              <w:t>36</w:t>
            </w:r>
            <w:r w:rsidR="00DA65C2">
              <w:rPr>
                <w:noProof/>
                <w:webHidden/>
              </w:rPr>
              <w:fldChar w:fldCharType="end"/>
            </w:r>
          </w:hyperlink>
        </w:p>
        <w:p w14:paraId="7C995D26" w14:textId="21D69BDB" w:rsidR="00DA65C2" w:rsidRDefault="00A65A8D">
          <w:pPr>
            <w:pStyle w:val="Turinys2"/>
            <w:tabs>
              <w:tab w:val="left" w:pos="880"/>
              <w:tab w:val="right" w:leader="dot" w:pos="9016"/>
            </w:tabs>
            <w:rPr>
              <w:rFonts w:eastAsiaTheme="minorEastAsia"/>
              <w:noProof/>
            </w:rPr>
          </w:pPr>
          <w:hyperlink w:anchor="_Toc417378363" w:history="1">
            <w:r w:rsidR="00DA65C2" w:rsidRPr="004528C4">
              <w:rPr>
                <w:rStyle w:val="Hipersaitas"/>
                <w:noProof/>
                <w:lang w:val="lt-LT"/>
              </w:rPr>
              <w:t>2.1.</w:t>
            </w:r>
            <w:r w:rsidR="00DA65C2">
              <w:rPr>
                <w:rFonts w:eastAsiaTheme="minorEastAsia"/>
                <w:noProof/>
              </w:rPr>
              <w:tab/>
            </w:r>
            <w:r w:rsidR="00DA65C2" w:rsidRPr="004528C4">
              <w:rPr>
                <w:rStyle w:val="Hipersaitas"/>
                <w:noProof/>
                <w:lang w:val="lt-LT"/>
              </w:rPr>
              <w:t>Sektoriaus infrastruktūros, naudojamos viešųjų paslaugų teikimui, apžvalga</w:t>
            </w:r>
            <w:r w:rsidR="00DA65C2">
              <w:rPr>
                <w:noProof/>
                <w:webHidden/>
              </w:rPr>
              <w:tab/>
            </w:r>
            <w:r w:rsidR="00DA65C2">
              <w:rPr>
                <w:noProof/>
                <w:webHidden/>
              </w:rPr>
              <w:fldChar w:fldCharType="begin"/>
            </w:r>
            <w:r w:rsidR="00DA65C2">
              <w:rPr>
                <w:noProof/>
                <w:webHidden/>
              </w:rPr>
              <w:instrText xml:space="preserve"> PAGEREF _Toc417378363 \h </w:instrText>
            </w:r>
            <w:r w:rsidR="00DA65C2">
              <w:rPr>
                <w:noProof/>
                <w:webHidden/>
              </w:rPr>
            </w:r>
            <w:r w:rsidR="00DA65C2">
              <w:rPr>
                <w:noProof/>
                <w:webHidden/>
              </w:rPr>
              <w:fldChar w:fldCharType="separate"/>
            </w:r>
            <w:r w:rsidR="00CB6759">
              <w:rPr>
                <w:noProof/>
                <w:webHidden/>
              </w:rPr>
              <w:t>36</w:t>
            </w:r>
            <w:r w:rsidR="00DA65C2">
              <w:rPr>
                <w:noProof/>
                <w:webHidden/>
              </w:rPr>
              <w:fldChar w:fldCharType="end"/>
            </w:r>
          </w:hyperlink>
        </w:p>
        <w:p w14:paraId="229779AA" w14:textId="4125D95B" w:rsidR="00DA65C2" w:rsidRDefault="00A65A8D">
          <w:pPr>
            <w:pStyle w:val="Turinys2"/>
            <w:tabs>
              <w:tab w:val="left" w:pos="1100"/>
              <w:tab w:val="right" w:leader="dot" w:pos="9016"/>
            </w:tabs>
            <w:rPr>
              <w:rFonts w:eastAsiaTheme="minorEastAsia"/>
              <w:noProof/>
            </w:rPr>
          </w:pPr>
          <w:hyperlink w:anchor="_Toc417378364" w:history="1">
            <w:r w:rsidR="00DA65C2" w:rsidRPr="004528C4">
              <w:rPr>
                <w:rStyle w:val="Hipersaitas"/>
                <w:noProof/>
                <w:lang w:val="lt-LT"/>
              </w:rPr>
              <w:t>2.1.1.</w:t>
            </w:r>
            <w:r w:rsidR="00DA65C2">
              <w:rPr>
                <w:rFonts w:eastAsiaTheme="minorEastAsia"/>
                <w:noProof/>
              </w:rPr>
              <w:tab/>
            </w:r>
            <w:r w:rsidR="00DA65C2" w:rsidRPr="004528C4">
              <w:rPr>
                <w:rStyle w:val="Hipersaitas"/>
                <w:noProof/>
                <w:lang w:val="lt-LT"/>
              </w:rPr>
              <w:t>Viešieji pastatai</w:t>
            </w:r>
            <w:r w:rsidR="00DA65C2">
              <w:rPr>
                <w:noProof/>
                <w:webHidden/>
              </w:rPr>
              <w:tab/>
            </w:r>
            <w:r w:rsidR="00DA65C2">
              <w:rPr>
                <w:noProof/>
                <w:webHidden/>
              </w:rPr>
              <w:fldChar w:fldCharType="begin"/>
            </w:r>
            <w:r w:rsidR="00DA65C2">
              <w:rPr>
                <w:noProof/>
                <w:webHidden/>
              </w:rPr>
              <w:instrText xml:space="preserve"> PAGEREF _Toc417378364 \h </w:instrText>
            </w:r>
            <w:r w:rsidR="00DA65C2">
              <w:rPr>
                <w:noProof/>
                <w:webHidden/>
              </w:rPr>
            </w:r>
            <w:r w:rsidR="00DA65C2">
              <w:rPr>
                <w:noProof/>
                <w:webHidden/>
              </w:rPr>
              <w:fldChar w:fldCharType="separate"/>
            </w:r>
            <w:r w:rsidR="00CB6759">
              <w:rPr>
                <w:noProof/>
                <w:webHidden/>
              </w:rPr>
              <w:t>36</w:t>
            </w:r>
            <w:r w:rsidR="00DA65C2">
              <w:rPr>
                <w:noProof/>
                <w:webHidden/>
              </w:rPr>
              <w:fldChar w:fldCharType="end"/>
            </w:r>
          </w:hyperlink>
        </w:p>
        <w:p w14:paraId="282326BB" w14:textId="641045C2" w:rsidR="00DA65C2" w:rsidRDefault="00A65A8D">
          <w:pPr>
            <w:pStyle w:val="Turinys2"/>
            <w:tabs>
              <w:tab w:val="left" w:pos="1100"/>
              <w:tab w:val="right" w:leader="dot" w:pos="9016"/>
            </w:tabs>
            <w:rPr>
              <w:rFonts w:eastAsiaTheme="minorEastAsia"/>
              <w:noProof/>
            </w:rPr>
          </w:pPr>
          <w:hyperlink w:anchor="_Toc417378365" w:history="1">
            <w:r w:rsidR="00DA65C2" w:rsidRPr="004528C4">
              <w:rPr>
                <w:rStyle w:val="Hipersaitas"/>
                <w:noProof/>
                <w:lang w:val="lt-LT"/>
              </w:rPr>
              <w:t>2.1.2.</w:t>
            </w:r>
            <w:r w:rsidR="00DA65C2">
              <w:rPr>
                <w:rFonts w:eastAsiaTheme="minorEastAsia"/>
                <w:noProof/>
              </w:rPr>
              <w:tab/>
            </w:r>
            <w:r w:rsidR="00DA65C2" w:rsidRPr="004528C4">
              <w:rPr>
                <w:rStyle w:val="Hipersaitas"/>
                <w:noProof/>
                <w:lang w:val="lt-LT"/>
              </w:rPr>
              <w:t>Daugiabučiai namai</w:t>
            </w:r>
            <w:r w:rsidR="00DA65C2">
              <w:rPr>
                <w:noProof/>
                <w:webHidden/>
              </w:rPr>
              <w:tab/>
            </w:r>
            <w:r w:rsidR="00DA65C2">
              <w:rPr>
                <w:noProof/>
                <w:webHidden/>
              </w:rPr>
              <w:fldChar w:fldCharType="begin"/>
            </w:r>
            <w:r w:rsidR="00DA65C2">
              <w:rPr>
                <w:noProof/>
                <w:webHidden/>
              </w:rPr>
              <w:instrText xml:space="preserve"> PAGEREF _Toc417378365 \h </w:instrText>
            </w:r>
            <w:r w:rsidR="00DA65C2">
              <w:rPr>
                <w:noProof/>
                <w:webHidden/>
              </w:rPr>
            </w:r>
            <w:r w:rsidR="00DA65C2">
              <w:rPr>
                <w:noProof/>
                <w:webHidden/>
              </w:rPr>
              <w:fldChar w:fldCharType="separate"/>
            </w:r>
            <w:r w:rsidR="00CB6759">
              <w:rPr>
                <w:noProof/>
                <w:webHidden/>
              </w:rPr>
              <w:t>38</w:t>
            </w:r>
            <w:r w:rsidR="00DA65C2">
              <w:rPr>
                <w:noProof/>
                <w:webHidden/>
              </w:rPr>
              <w:fldChar w:fldCharType="end"/>
            </w:r>
          </w:hyperlink>
        </w:p>
        <w:p w14:paraId="6791A1B5" w14:textId="5F510B2D" w:rsidR="00DA65C2" w:rsidRDefault="00A65A8D">
          <w:pPr>
            <w:pStyle w:val="Turinys2"/>
            <w:tabs>
              <w:tab w:val="left" w:pos="1100"/>
              <w:tab w:val="right" w:leader="dot" w:pos="9016"/>
            </w:tabs>
            <w:rPr>
              <w:rFonts w:eastAsiaTheme="minorEastAsia"/>
              <w:noProof/>
            </w:rPr>
          </w:pPr>
          <w:hyperlink w:anchor="_Toc417378366" w:history="1">
            <w:r w:rsidR="00DA65C2" w:rsidRPr="004528C4">
              <w:rPr>
                <w:rStyle w:val="Hipersaitas"/>
                <w:noProof/>
                <w:lang w:val="lt-LT"/>
              </w:rPr>
              <w:t>2.1.3.</w:t>
            </w:r>
            <w:r w:rsidR="00DA65C2">
              <w:rPr>
                <w:rFonts w:eastAsiaTheme="minorEastAsia"/>
                <w:noProof/>
              </w:rPr>
              <w:tab/>
            </w:r>
            <w:r w:rsidR="00DA65C2" w:rsidRPr="004528C4">
              <w:rPr>
                <w:rStyle w:val="Hipersaitas"/>
                <w:noProof/>
                <w:lang w:val="lt-LT"/>
              </w:rPr>
              <w:t>Gatvių apšvietimas</w:t>
            </w:r>
            <w:r w:rsidR="00DA65C2">
              <w:rPr>
                <w:noProof/>
                <w:webHidden/>
              </w:rPr>
              <w:tab/>
            </w:r>
            <w:r w:rsidR="00DA65C2">
              <w:rPr>
                <w:noProof/>
                <w:webHidden/>
              </w:rPr>
              <w:fldChar w:fldCharType="begin"/>
            </w:r>
            <w:r w:rsidR="00DA65C2">
              <w:rPr>
                <w:noProof/>
                <w:webHidden/>
              </w:rPr>
              <w:instrText xml:space="preserve"> PAGEREF _Toc417378366 \h </w:instrText>
            </w:r>
            <w:r w:rsidR="00DA65C2">
              <w:rPr>
                <w:noProof/>
                <w:webHidden/>
              </w:rPr>
            </w:r>
            <w:r w:rsidR="00DA65C2">
              <w:rPr>
                <w:noProof/>
                <w:webHidden/>
              </w:rPr>
              <w:fldChar w:fldCharType="separate"/>
            </w:r>
            <w:r w:rsidR="00CB6759">
              <w:rPr>
                <w:noProof/>
                <w:webHidden/>
              </w:rPr>
              <w:t>39</w:t>
            </w:r>
            <w:r w:rsidR="00DA65C2">
              <w:rPr>
                <w:noProof/>
                <w:webHidden/>
              </w:rPr>
              <w:fldChar w:fldCharType="end"/>
            </w:r>
          </w:hyperlink>
        </w:p>
        <w:p w14:paraId="58F58B6C" w14:textId="4326A62C" w:rsidR="00DA65C2" w:rsidRDefault="00A65A8D">
          <w:pPr>
            <w:pStyle w:val="Turinys2"/>
            <w:tabs>
              <w:tab w:val="left" w:pos="880"/>
              <w:tab w:val="right" w:leader="dot" w:pos="9016"/>
            </w:tabs>
            <w:rPr>
              <w:rFonts w:eastAsiaTheme="minorEastAsia"/>
              <w:noProof/>
            </w:rPr>
          </w:pPr>
          <w:hyperlink w:anchor="_Toc417378367" w:history="1">
            <w:r w:rsidR="00DA65C2" w:rsidRPr="004528C4">
              <w:rPr>
                <w:rStyle w:val="Hipersaitas"/>
                <w:noProof/>
                <w:lang w:val="lt-LT"/>
              </w:rPr>
              <w:t>2.2.</w:t>
            </w:r>
            <w:r w:rsidR="00DA65C2">
              <w:rPr>
                <w:rFonts w:eastAsiaTheme="minorEastAsia"/>
                <w:noProof/>
              </w:rPr>
              <w:tab/>
            </w:r>
            <w:r w:rsidR="00DA65C2" w:rsidRPr="004528C4">
              <w:rPr>
                <w:rStyle w:val="Hipersaitas"/>
                <w:noProof/>
                <w:lang w:val="lt-LT"/>
              </w:rPr>
              <w:t>Investicijų paklausos ir finansavimo pasiūlos įvertinimas</w:t>
            </w:r>
            <w:r w:rsidR="00DA65C2">
              <w:rPr>
                <w:noProof/>
                <w:webHidden/>
              </w:rPr>
              <w:tab/>
            </w:r>
            <w:r w:rsidR="00DA65C2">
              <w:rPr>
                <w:noProof/>
                <w:webHidden/>
              </w:rPr>
              <w:fldChar w:fldCharType="begin"/>
            </w:r>
            <w:r w:rsidR="00DA65C2">
              <w:rPr>
                <w:noProof/>
                <w:webHidden/>
              </w:rPr>
              <w:instrText xml:space="preserve"> PAGEREF _Toc417378367 \h </w:instrText>
            </w:r>
            <w:r w:rsidR="00DA65C2">
              <w:rPr>
                <w:noProof/>
                <w:webHidden/>
              </w:rPr>
            </w:r>
            <w:r w:rsidR="00DA65C2">
              <w:rPr>
                <w:noProof/>
                <w:webHidden/>
              </w:rPr>
              <w:fldChar w:fldCharType="separate"/>
            </w:r>
            <w:r w:rsidR="00CB6759">
              <w:rPr>
                <w:noProof/>
                <w:webHidden/>
              </w:rPr>
              <w:t>40</w:t>
            </w:r>
            <w:r w:rsidR="00DA65C2">
              <w:rPr>
                <w:noProof/>
                <w:webHidden/>
              </w:rPr>
              <w:fldChar w:fldCharType="end"/>
            </w:r>
          </w:hyperlink>
        </w:p>
        <w:p w14:paraId="5EF292F0" w14:textId="3CC1C43F" w:rsidR="00DA65C2" w:rsidRDefault="00A65A8D">
          <w:pPr>
            <w:pStyle w:val="Turinys2"/>
            <w:tabs>
              <w:tab w:val="left" w:pos="1100"/>
              <w:tab w:val="right" w:leader="dot" w:pos="9016"/>
            </w:tabs>
            <w:rPr>
              <w:rFonts w:eastAsiaTheme="minorEastAsia"/>
              <w:noProof/>
            </w:rPr>
          </w:pPr>
          <w:hyperlink w:anchor="_Toc417378368" w:history="1">
            <w:r w:rsidR="00DA65C2" w:rsidRPr="004528C4">
              <w:rPr>
                <w:rStyle w:val="Hipersaitas"/>
                <w:noProof/>
                <w:lang w:val="lt-LT"/>
              </w:rPr>
              <w:t>2.2.1.</w:t>
            </w:r>
            <w:r w:rsidR="00DA65C2">
              <w:rPr>
                <w:rFonts w:eastAsiaTheme="minorEastAsia"/>
                <w:noProof/>
              </w:rPr>
              <w:tab/>
            </w:r>
            <w:r w:rsidR="00DA65C2" w:rsidRPr="004528C4">
              <w:rPr>
                <w:rStyle w:val="Hipersaitas"/>
                <w:noProof/>
                <w:lang w:val="lt-LT"/>
              </w:rPr>
              <w:t>Investicijų paklausos analizė</w:t>
            </w:r>
            <w:r w:rsidR="00DA65C2">
              <w:rPr>
                <w:noProof/>
                <w:webHidden/>
              </w:rPr>
              <w:tab/>
            </w:r>
            <w:r w:rsidR="00DA65C2">
              <w:rPr>
                <w:noProof/>
                <w:webHidden/>
              </w:rPr>
              <w:fldChar w:fldCharType="begin"/>
            </w:r>
            <w:r w:rsidR="00DA65C2">
              <w:rPr>
                <w:noProof/>
                <w:webHidden/>
              </w:rPr>
              <w:instrText xml:space="preserve"> PAGEREF _Toc417378368 \h </w:instrText>
            </w:r>
            <w:r w:rsidR="00DA65C2">
              <w:rPr>
                <w:noProof/>
                <w:webHidden/>
              </w:rPr>
            </w:r>
            <w:r w:rsidR="00DA65C2">
              <w:rPr>
                <w:noProof/>
                <w:webHidden/>
              </w:rPr>
              <w:fldChar w:fldCharType="separate"/>
            </w:r>
            <w:r w:rsidR="00CB6759">
              <w:rPr>
                <w:noProof/>
                <w:webHidden/>
              </w:rPr>
              <w:t>40</w:t>
            </w:r>
            <w:r w:rsidR="00DA65C2">
              <w:rPr>
                <w:noProof/>
                <w:webHidden/>
              </w:rPr>
              <w:fldChar w:fldCharType="end"/>
            </w:r>
          </w:hyperlink>
        </w:p>
        <w:p w14:paraId="1AFBDFD3" w14:textId="70926BB1" w:rsidR="00DA65C2" w:rsidRDefault="00A65A8D">
          <w:pPr>
            <w:pStyle w:val="Turinys2"/>
            <w:tabs>
              <w:tab w:val="left" w:pos="1320"/>
              <w:tab w:val="right" w:leader="dot" w:pos="9016"/>
            </w:tabs>
            <w:rPr>
              <w:rFonts w:eastAsiaTheme="minorEastAsia"/>
              <w:noProof/>
            </w:rPr>
          </w:pPr>
          <w:hyperlink w:anchor="_Toc417378369" w:history="1">
            <w:r w:rsidR="00DA65C2" w:rsidRPr="004528C4">
              <w:rPr>
                <w:rStyle w:val="Hipersaitas"/>
                <w:noProof/>
                <w:lang w:val="lt-LT"/>
              </w:rPr>
              <w:t>2.2.1.1.</w:t>
            </w:r>
            <w:r w:rsidR="00DA65C2">
              <w:rPr>
                <w:rFonts w:eastAsiaTheme="minorEastAsia"/>
                <w:noProof/>
              </w:rPr>
              <w:tab/>
            </w:r>
            <w:r w:rsidR="00DA65C2" w:rsidRPr="004528C4">
              <w:rPr>
                <w:rStyle w:val="Hipersaitas"/>
                <w:noProof/>
                <w:lang w:val="lt-LT"/>
              </w:rPr>
              <w:t>Bendri energijos taupymo tikslai</w:t>
            </w:r>
            <w:r w:rsidR="00DA65C2">
              <w:rPr>
                <w:noProof/>
                <w:webHidden/>
              </w:rPr>
              <w:tab/>
            </w:r>
            <w:r w:rsidR="00DA65C2">
              <w:rPr>
                <w:noProof/>
                <w:webHidden/>
              </w:rPr>
              <w:fldChar w:fldCharType="begin"/>
            </w:r>
            <w:r w:rsidR="00DA65C2">
              <w:rPr>
                <w:noProof/>
                <w:webHidden/>
              </w:rPr>
              <w:instrText xml:space="preserve"> PAGEREF _Toc417378369 \h </w:instrText>
            </w:r>
            <w:r w:rsidR="00DA65C2">
              <w:rPr>
                <w:noProof/>
                <w:webHidden/>
              </w:rPr>
            </w:r>
            <w:r w:rsidR="00DA65C2">
              <w:rPr>
                <w:noProof/>
                <w:webHidden/>
              </w:rPr>
              <w:fldChar w:fldCharType="separate"/>
            </w:r>
            <w:r w:rsidR="00CB6759">
              <w:rPr>
                <w:noProof/>
                <w:webHidden/>
              </w:rPr>
              <w:t>40</w:t>
            </w:r>
            <w:r w:rsidR="00DA65C2">
              <w:rPr>
                <w:noProof/>
                <w:webHidden/>
              </w:rPr>
              <w:fldChar w:fldCharType="end"/>
            </w:r>
          </w:hyperlink>
        </w:p>
        <w:p w14:paraId="4BC664F0" w14:textId="3C3A5817" w:rsidR="00DA65C2" w:rsidRDefault="00A65A8D">
          <w:pPr>
            <w:pStyle w:val="Turinys2"/>
            <w:tabs>
              <w:tab w:val="left" w:pos="1320"/>
              <w:tab w:val="right" w:leader="dot" w:pos="9016"/>
            </w:tabs>
            <w:rPr>
              <w:rFonts w:eastAsiaTheme="minorEastAsia"/>
              <w:noProof/>
            </w:rPr>
          </w:pPr>
          <w:hyperlink w:anchor="_Toc417378370" w:history="1">
            <w:r w:rsidR="00DA65C2" w:rsidRPr="004528C4">
              <w:rPr>
                <w:rStyle w:val="Hipersaitas"/>
                <w:noProof/>
                <w:lang w:val="lt-LT"/>
              </w:rPr>
              <w:t>2.2.1.2.</w:t>
            </w:r>
            <w:r w:rsidR="00DA65C2">
              <w:rPr>
                <w:rFonts w:eastAsiaTheme="minorEastAsia"/>
                <w:noProof/>
              </w:rPr>
              <w:tab/>
            </w:r>
            <w:r w:rsidR="00DA65C2" w:rsidRPr="004528C4">
              <w:rPr>
                <w:rStyle w:val="Hipersaitas"/>
                <w:noProof/>
                <w:lang w:val="lt-LT"/>
              </w:rPr>
              <w:t>Viešųjų pastatų modernizavimo paklausos skaičiavimas</w:t>
            </w:r>
            <w:r w:rsidR="00DA65C2">
              <w:rPr>
                <w:noProof/>
                <w:webHidden/>
              </w:rPr>
              <w:tab/>
            </w:r>
            <w:r w:rsidR="00DA65C2">
              <w:rPr>
                <w:noProof/>
                <w:webHidden/>
              </w:rPr>
              <w:fldChar w:fldCharType="begin"/>
            </w:r>
            <w:r w:rsidR="00DA65C2">
              <w:rPr>
                <w:noProof/>
                <w:webHidden/>
              </w:rPr>
              <w:instrText xml:space="preserve"> PAGEREF _Toc417378370 \h </w:instrText>
            </w:r>
            <w:r w:rsidR="00DA65C2">
              <w:rPr>
                <w:noProof/>
                <w:webHidden/>
              </w:rPr>
            </w:r>
            <w:r w:rsidR="00DA65C2">
              <w:rPr>
                <w:noProof/>
                <w:webHidden/>
              </w:rPr>
              <w:fldChar w:fldCharType="separate"/>
            </w:r>
            <w:r w:rsidR="00CB6759">
              <w:rPr>
                <w:noProof/>
                <w:webHidden/>
              </w:rPr>
              <w:t>41</w:t>
            </w:r>
            <w:r w:rsidR="00DA65C2">
              <w:rPr>
                <w:noProof/>
                <w:webHidden/>
              </w:rPr>
              <w:fldChar w:fldCharType="end"/>
            </w:r>
          </w:hyperlink>
        </w:p>
        <w:p w14:paraId="151B2960" w14:textId="25524EB0" w:rsidR="00DA65C2" w:rsidRDefault="00A65A8D">
          <w:pPr>
            <w:pStyle w:val="Turinys2"/>
            <w:tabs>
              <w:tab w:val="left" w:pos="1320"/>
              <w:tab w:val="right" w:leader="dot" w:pos="9016"/>
            </w:tabs>
            <w:rPr>
              <w:rFonts w:eastAsiaTheme="minorEastAsia"/>
              <w:noProof/>
            </w:rPr>
          </w:pPr>
          <w:hyperlink w:anchor="_Toc417378371" w:history="1">
            <w:r w:rsidR="00DA65C2" w:rsidRPr="004528C4">
              <w:rPr>
                <w:rStyle w:val="Hipersaitas"/>
                <w:noProof/>
                <w:lang w:val="lt-LT"/>
              </w:rPr>
              <w:t>2.2.1.3.</w:t>
            </w:r>
            <w:r w:rsidR="00DA65C2">
              <w:rPr>
                <w:rFonts w:eastAsiaTheme="minorEastAsia"/>
                <w:noProof/>
              </w:rPr>
              <w:tab/>
            </w:r>
            <w:r w:rsidR="00DA65C2" w:rsidRPr="004528C4">
              <w:rPr>
                <w:rStyle w:val="Hipersaitas"/>
                <w:noProof/>
                <w:lang w:val="lt-LT"/>
              </w:rPr>
              <w:t>Daugiabučių modernizavimo paklausos skaičiavimas</w:t>
            </w:r>
            <w:r w:rsidR="00DA65C2">
              <w:rPr>
                <w:noProof/>
                <w:webHidden/>
              </w:rPr>
              <w:tab/>
            </w:r>
            <w:r w:rsidR="00DA65C2">
              <w:rPr>
                <w:noProof/>
                <w:webHidden/>
              </w:rPr>
              <w:fldChar w:fldCharType="begin"/>
            </w:r>
            <w:r w:rsidR="00DA65C2">
              <w:rPr>
                <w:noProof/>
                <w:webHidden/>
              </w:rPr>
              <w:instrText xml:space="preserve"> PAGEREF _Toc417378371 \h </w:instrText>
            </w:r>
            <w:r w:rsidR="00DA65C2">
              <w:rPr>
                <w:noProof/>
                <w:webHidden/>
              </w:rPr>
            </w:r>
            <w:r w:rsidR="00DA65C2">
              <w:rPr>
                <w:noProof/>
                <w:webHidden/>
              </w:rPr>
              <w:fldChar w:fldCharType="separate"/>
            </w:r>
            <w:r w:rsidR="00CB6759">
              <w:rPr>
                <w:noProof/>
                <w:webHidden/>
              </w:rPr>
              <w:t>47</w:t>
            </w:r>
            <w:r w:rsidR="00DA65C2">
              <w:rPr>
                <w:noProof/>
                <w:webHidden/>
              </w:rPr>
              <w:fldChar w:fldCharType="end"/>
            </w:r>
          </w:hyperlink>
        </w:p>
        <w:p w14:paraId="4E0F07B7" w14:textId="61A171BB" w:rsidR="00DA65C2" w:rsidRDefault="00A65A8D">
          <w:pPr>
            <w:pStyle w:val="Turinys2"/>
            <w:tabs>
              <w:tab w:val="left" w:pos="1320"/>
              <w:tab w:val="right" w:leader="dot" w:pos="9016"/>
            </w:tabs>
            <w:rPr>
              <w:rFonts w:eastAsiaTheme="minorEastAsia"/>
              <w:noProof/>
            </w:rPr>
          </w:pPr>
          <w:hyperlink w:anchor="_Toc417378372" w:history="1">
            <w:r w:rsidR="00DA65C2" w:rsidRPr="004528C4">
              <w:rPr>
                <w:rStyle w:val="Hipersaitas"/>
                <w:noProof/>
                <w:lang w:val="lt-LT"/>
              </w:rPr>
              <w:t>2.2.1.4.</w:t>
            </w:r>
            <w:r w:rsidR="00DA65C2">
              <w:rPr>
                <w:rFonts w:eastAsiaTheme="minorEastAsia"/>
                <w:noProof/>
              </w:rPr>
              <w:tab/>
            </w:r>
            <w:r w:rsidR="00DA65C2" w:rsidRPr="004528C4">
              <w:rPr>
                <w:rStyle w:val="Hipersaitas"/>
                <w:noProof/>
                <w:lang w:val="lt-LT"/>
              </w:rPr>
              <w:t>Gatvių apšvietimo tinklo modernizavimo paklausos skaičiavimas</w:t>
            </w:r>
            <w:r w:rsidR="00DA65C2">
              <w:rPr>
                <w:noProof/>
                <w:webHidden/>
              </w:rPr>
              <w:tab/>
            </w:r>
            <w:r w:rsidR="00DA65C2">
              <w:rPr>
                <w:noProof/>
                <w:webHidden/>
              </w:rPr>
              <w:fldChar w:fldCharType="begin"/>
            </w:r>
            <w:r w:rsidR="00DA65C2">
              <w:rPr>
                <w:noProof/>
                <w:webHidden/>
              </w:rPr>
              <w:instrText xml:space="preserve"> PAGEREF _Toc417378372 \h </w:instrText>
            </w:r>
            <w:r w:rsidR="00DA65C2">
              <w:rPr>
                <w:noProof/>
                <w:webHidden/>
              </w:rPr>
            </w:r>
            <w:r w:rsidR="00DA65C2">
              <w:rPr>
                <w:noProof/>
                <w:webHidden/>
              </w:rPr>
              <w:fldChar w:fldCharType="separate"/>
            </w:r>
            <w:r w:rsidR="00CB6759">
              <w:rPr>
                <w:noProof/>
                <w:webHidden/>
              </w:rPr>
              <w:t>50</w:t>
            </w:r>
            <w:r w:rsidR="00DA65C2">
              <w:rPr>
                <w:noProof/>
                <w:webHidden/>
              </w:rPr>
              <w:fldChar w:fldCharType="end"/>
            </w:r>
          </w:hyperlink>
        </w:p>
        <w:p w14:paraId="31A7C808" w14:textId="0994EAD4" w:rsidR="00DA65C2" w:rsidRDefault="00A65A8D">
          <w:pPr>
            <w:pStyle w:val="Turinys2"/>
            <w:tabs>
              <w:tab w:val="left" w:pos="1320"/>
              <w:tab w:val="right" w:leader="dot" w:pos="9016"/>
            </w:tabs>
            <w:rPr>
              <w:rFonts w:eastAsiaTheme="minorEastAsia"/>
              <w:noProof/>
            </w:rPr>
          </w:pPr>
          <w:hyperlink w:anchor="_Toc417378373" w:history="1">
            <w:r w:rsidR="00DA65C2" w:rsidRPr="004528C4">
              <w:rPr>
                <w:rStyle w:val="Hipersaitas"/>
                <w:noProof/>
                <w:lang w:val="lt-LT"/>
              </w:rPr>
              <w:t>2.2.1.5.</w:t>
            </w:r>
            <w:r w:rsidR="00DA65C2">
              <w:rPr>
                <w:rFonts w:eastAsiaTheme="minorEastAsia"/>
                <w:noProof/>
              </w:rPr>
              <w:tab/>
            </w:r>
            <w:r w:rsidR="00DA65C2" w:rsidRPr="004528C4">
              <w:rPr>
                <w:rStyle w:val="Hipersaitas"/>
                <w:noProof/>
                <w:lang w:val="lt-LT"/>
              </w:rPr>
              <w:t>Investicijų paklausos duomenys</w:t>
            </w:r>
            <w:r w:rsidR="00DA65C2">
              <w:rPr>
                <w:noProof/>
                <w:webHidden/>
              </w:rPr>
              <w:tab/>
            </w:r>
            <w:r w:rsidR="00DA65C2">
              <w:rPr>
                <w:noProof/>
                <w:webHidden/>
              </w:rPr>
              <w:fldChar w:fldCharType="begin"/>
            </w:r>
            <w:r w:rsidR="00DA65C2">
              <w:rPr>
                <w:noProof/>
                <w:webHidden/>
              </w:rPr>
              <w:instrText xml:space="preserve"> PAGEREF _Toc417378373 \h </w:instrText>
            </w:r>
            <w:r w:rsidR="00DA65C2">
              <w:rPr>
                <w:noProof/>
                <w:webHidden/>
              </w:rPr>
            </w:r>
            <w:r w:rsidR="00DA65C2">
              <w:rPr>
                <w:noProof/>
                <w:webHidden/>
              </w:rPr>
              <w:fldChar w:fldCharType="separate"/>
            </w:r>
            <w:r w:rsidR="00CB6759">
              <w:rPr>
                <w:noProof/>
                <w:webHidden/>
              </w:rPr>
              <w:t>51</w:t>
            </w:r>
            <w:r w:rsidR="00DA65C2">
              <w:rPr>
                <w:noProof/>
                <w:webHidden/>
              </w:rPr>
              <w:fldChar w:fldCharType="end"/>
            </w:r>
          </w:hyperlink>
        </w:p>
        <w:p w14:paraId="0CB19880" w14:textId="31017CF7" w:rsidR="00DA65C2" w:rsidRDefault="00A65A8D">
          <w:pPr>
            <w:pStyle w:val="Turinys2"/>
            <w:tabs>
              <w:tab w:val="left" w:pos="1100"/>
              <w:tab w:val="right" w:leader="dot" w:pos="9016"/>
            </w:tabs>
            <w:rPr>
              <w:rFonts w:eastAsiaTheme="minorEastAsia"/>
              <w:noProof/>
            </w:rPr>
          </w:pPr>
          <w:hyperlink w:anchor="_Toc417378374" w:history="1">
            <w:r w:rsidR="00DA65C2" w:rsidRPr="004528C4">
              <w:rPr>
                <w:rStyle w:val="Hipersaitas"/>
                <w:noProof/>
                <w:lang w:val="lt-LT"/>
              </w:rPr>
              <w:t>2.2.2.</w:t>
            </w:r>
            <w:r w:rsidR="00DA65C2">
              <w:rPr>
                <w:rFonts w:eastAsiaTheme="minorEastAsia"/>
                <w:noProof/>
              </w:rPr>
              <w:tab/>
            </w:r>
            <w:r w:rsidR="00DA65C2" w:rsidRPr="004528C4">
              <w:rPr>
                <w:rStyle w:val="Hipersaitas"/>
                <w:noProof/>
                <w:lang w:val="lt-LT"/>
              </w:rPr>
              <w:t>Investicijų pasiūlos analizė</w:t>
            </w:r>
            <w:r w:rsidR="00DA65C2">
              <w:rPr>
                <w:noProof/>
                <w:webHidden/>
              </w:rPr>
              <w:tab/>
            </w:r>
            <w:r w:rsidR="00DA65C2">
              <w:rPr>
                <w:noProof/>
                <w:webHidden/>
              </w:rPr>
              <w:fldChar w:fldCharType="begin"/>
            </w:r>
            <w:r w:rsidR="00DA65C2">
              <w:rPr>
                <w:noProof/>
                <w:webHidden/>
              </w:rPr>
              <w:instrText xml:space="preserve"> PAGEREF _Toc417378374 \h </w:instrText>
            </w:r>
            <w:r w:rsidR="00DA65C2">
              <w:rPr>
                <w:noProof/>
                <w:webHidden/>
              </w:rPr>
            </w:r>
            <w:r w:rsidR="00DA65C2">
              <w:rPr>
                <w:noProof/>
                <w:webHidden/>
              </w:rPr>
              <w:fldChar w:fldCharType="separate"/>
            </w:r>
            <w:r w:rsidR="00CB6759">
              <w:rPr>
                <w:noProof/>
                <w:webHidden/>
              </w:rPr>
              <w:t>52</w:t>
            </w:r>
            <w:r w:rsidR="00DA65C2">
              <w:rPr>
                <w:noProof/>
                <w:webHidden/>
              </w:rPr>
              <w:fldChar w:fldCharType="end"/>
            </w:r>
          </w:hyperlink>
        </w:p>
        <w:p w14:paraId="143425D1" w14:textId="2123E12E" w:rsidR="00DA65C2" w:rsidRDefault="00A65A8D">
          <w:pPr>
            <w:pStyle w:val="Turinys2"/>
            <w:tabs>
              <w:tab w:val="left" w:pos="1320"/>
              <w:tab w:val="right" w:leader="dot" w:pos="9016"/>
            </w:tabs>
            <w:rPr>
              <w:rFonts w:eastAsiaTheme="minorEastAsia"/>
              <w:noProof/>
            </w:rPr>
          </w:pPr>
          <w:hyperlink w:anchor="_Toc417378375" w:history="1">
            <w:r w:rsidR="00DA65C2" w:rsidRPr="004528C4">
              <w:rPr>
                <w:rStyle w:val="Hipersaitas"/>
                <w:noProof/>
                <w:lang w:val="lt-LT"/>
              </w:rPr>
              <w:t>2.2.2.1.</w:t>
            </w:r>
            <w:r w:rsidR="00DA65C2">
              <w:rPr>
                <w:rFonts w:eastAsiaTheme="minorEastAsia"/>
                <w:noProof/>
              </w:rPr>
              <w:tab/>
            </w:r>
            <w:r w:rsidR="00DA65C2" w:rsidRPr="004528C4">
              <w:rPr>
                <w:rStyle w:val="Hipersaitas"/>
                <w:noProof/>
                <w:lang w:val="lt-LT"/>
              </w:rPr>
              <w:t>Dabartinis projektų finansavimas</w:t>
            </w:r>
            <w:r w:rsidR="00DA65C2">
              <w:rPr>
                <w:noProof/>
                <w:webHidden/>
              </w:rPr>
              <w:tab/>
            </w:r>
            <w:r w:rsidR="00DA65C2">
              <w:rPr>
                <w:noProof/>
                <w:webHidden/>
              </w:rPr>
              <w:fldChar w:fldCharType="begin"/>
            </w:r>
            <w:r w:rsidR="00DA65C2">
              <w:rPr>
                <w:noProof/>
                <w:webHidden/>
              </w:rPr>
              <w:instrText xml:space="preserve"> PAGEREF _Toc417378375 \h </w:instrText>
            </w:r>
            <w:r w:rsidR="00DA65C2">
              <w:rPr>
                <w:noProof/>
                <w:webHidden/>
              </w:rPr>
            </w:r>
            <w:r w:rsidR="00DA65C2">
              <w:rPr>
                <w:noProof/>
                <w:webHidden/>
              </w:rPr>
              <w:fldChar w:fldCharType="separate"/>
            </w:r>
            <w:r w:rsidR="00CB6759">
              <w:rPr>
                <w:noProof/>
                <w:webHidden/>
              </w:rPr>
              <w:t>52</w:t>
            </w:r>
            <w:r w:rsidR="00DA65C2">
              <w:rPr>
                <w:noProof/>
                <w:webHidden/>
              </w:rPr>
              <w:fldChar w:fldCharType="end"/>
            </w:r>
          </w:hyperlink>
        </w:p>
        <w:p w14:paraId="2F9B890F" w14:textId="78826631" w:rsidR="00DA65C2" w:rsidRDefault="00A65A8D">
          <w:pPr>
            <w:pStyle w:val="Turinys2"/>
            <w:tabs>
              <w:tab w:val="left" w:pos="1320"/>
              <w:tab w:val="right" w:leader="dot" w:pos="9016"/>
            </w:tabs>
            <w:rPr>
              <w:rFonts w:eastAsiaTheme="minorEastAsia"/>
              <w:noProof/>
            </w:rPr>
          </w:pPr>
          <w:hyperlink w:anchor="_Toc417378376" w:history="1">
            <w:r w:rsidR="00DA65C2" w:rsidRPr="004528C4">
              <w:rPr>
                <w:rStyle w:val="Hipersaitas"/>
                <w:noProof/>
                <w:lang w:val="lt-LT"/>
              </w:rPr>
              <w:t>2.2.2.2.</w:t>
            </w:r>
            <w:r w:rsidR="00DA65C2">
              <w:rPr>
                <w:rFonts w:eastAsiaTheme="minorEastAsia"/>
                <w:noProof/>
              </w:rPr>
              <w:tab/>
            </w:r>
            <w:r w:rsidR="00DA65C2" w:rsidRPr="004528C4">
              <w:rPr>
                <w:rStyle w:val="Hipersaitas"/>
                <w:noProof/>
                <w:lang w:val="lt-LT"/>
              </w:rPr>
              <w:t>Potencialus 2014-2020 m. laikotarpio projektų finansavimas</w:t>
            </w:r>
            <w:r w:rsidR="00DA65C2">
              <w:rPr>
                <w:noProof/>
                <w:webHidden/>
              </w:rPr>
              <w:tab/>
            </w:r>
            <w:r w:rsidR="00DA65C2">
              <w:rPr>
                <w:noProof/>
                <w:webHidden/>
              </w:rPr>
              <w:fldChar w:fldCharType="begin"/>
            </w:r>
            <w:r w:rsidR="00DA65C2">
              <w:rPr>
                <w:noProof/>
                <w:webHidden/>
              </w:rPr>
              <w:instrText xml:space="preserve"> PAGEREF _Toc417378376 \h </w:instrText>
            </w:r>
            <w:r w:rsidR="00DA65C2">
              <w:rPr>
                <w:noProof/>
                <w:webHidden/>
              </w:rPr>
            </w:r>
            <w:r w:rsidR="00DA65C2">
              <w:rPr>
                <w:noProof/>
                <w:webHidden/>
              </w:rPr>
              <w:fldChar w:fldCharType="separate"/>
            </w:r>
            <w:r w:rsidR="00CB6759">
              <w:rPr>
                <w:noProof/>
                <w:webHidden/>
              </w:rPr>
              <w:t>55</w:t>
            </w:r>
            <w:r w:rsidR="00DA65C2">
              <w:rPr>
                <w:noProof/>
                <w:webHidden/>
              </w:rPr>
              <w:fldChar w:fldCharType="end"/>
            </w:r>
          </w:hyperlink>
        </w:p>
        <w:p w14:paraId="7CE5DEE2" w14:textId="3D9766C1" w:rsidR="00DA65C2" w:rsidRDefault="00A65A8D">
          <w:pPr>
            <w:pStyle w:val="Turinys2"/>
            <w:tabs>
              <w:tab w:val="left" w:pos="1320"/>
              <w:tab w:val="right" w:leader="dot" w:pos="9016"/>
            </w:tabs>
            <w:rPr>
              <w:rFonts w:eastAsiaTheme="minorEastAsia"/>
              <w:noProof/>
            </w:rPr>
          </w:pPr>
          <w:hyperlink w:anchor="_Toc417378377" w:history="1">
            <w:r w:rsidR="00DA65C2" w:rsidRPr="004528C4">
              <w:rPr>
                <w:rStyle w:val="Hipersaitas"/>
                <w:noProof/>
                <w:lang w:val="lt-LT"/>
              </w:rPr>
              <w:t>2.2.2.3.</w:t>
            </w:r>
            <w:r w:rsidR="00DA65C2">
              <w:rPr>
                <w:rFonts w:eastAsiaTheme="minorEastAsia"/>
                <w:noProof/>
              </w:rPr>
              <w:tab/>
            </w:r>
            <w:r w:rsidR="00DA65C2" w:rsidRPr="004528C4">
              <w:rPr>
                <w:rStyle w:val="Hipersaitas"/>
                <w:noProof/>
                <w:lang w:val="lt-LT"/>
              </w:rPr>
              <w:t>Finansavimo pasiūlos apibendrinimas</w:t>
            </w:r>
            <w:r w:rsidR="00DA65C2">
              <w:rPr>
                <w:noProof/>
                <w:webHidden/>
              </w:rPr>
              <w:tab/>
            </w:r>
            <w:r w:rsidR="00DA65C2">
              <w:rPr>
                <w:noProof/>
                <w:webHidden/>
              </w:rPr>
              <w:fldChar w:fldCharType="begin"/>
            </w:r>
            <w:r w:rsidR="00DA65C2">
              <w:rPr>
                <w:noProof/>
                <w:webHidden/>
              </w:rPr>
              <w:instrText xml:space="preserve"> PAGEREF _Toc417378377 \h </w:instrText>
            </w:r>
            <w:r w:rsidR="00DA65C2">
              <w:rPr>
                <w:noProof/>
                <w:webHidden/>
              </w:rPr>
            </w:r>
            <w:r w:rsidR="00DA65C2">
              <w:rPr>
                <w:noProof/>
                <w:webHidden/>
              </w:rPr>
              <w:fldChar w:fldCharType="separate"/>
            </w:r>
            <w:r w:rsidR="00CB6759">
              <w:rPr>
                <w:noProof/>
                <w:webHidden/>
              </w:rPr>
              <w:t>64</w:t>
            </w:r>
            <w:r w:rsidR="00DA65C2">
              <w:rPr>
                <w:noProof/>
                <w:webHidden/>
              </w:rPr>
              <w:fldChar w:fldCharType="end"/>
            </w:r>
          </w:hyperlink>
        </w:p>
        <w:p w14:paraId="19A48D86" w14:textId="744DC4D0" w:rsidR="00DA65C2" w:rsidRDefault="00A65A8D">
          <w:pPr>
            <w:pStyle w:val="Turinys2"/>
            <w:tabs>
              <w:tab w:val="left" w:pos="880"/>
              <w:tab w:val="right" w:leader="dot" w:pos="9016"/>
            </w:tabs>
            <w:rPr>
              <w:rFonts w:eastAsiaTheme="minorEastAsia"/>
              <w:noProof/>
            </w:rPr>
          </w:pPr>
          <w:hyperlink w:anchor="_Toc417378378" w:history="1">
            <w:r w:rsidR="00DA65C2" w:rsidRPr="004528C4">
              <w:rPr>
                <w:rStyle w:val="Hipersaitas"/>
                <w:noProof/>
                <w:lang w:val="lt-LT"/>
              </w:rPr>
              <w:t>2.3.</w:t>
            </w:r>
            <w:r w:rsidR="00DA65C2">
              <w:rPr>
                <w:rFonts w:eastAsiaTheme="minorEastAsia"/>
                <w:noProof/>
              </w:rPr>
              <w:tab/>
            </w:r>
            <w:r w:rsidR="00DA65C2" w:rsidRPr="004528C4">
              <w:rPr>
                <w:rStyle w:val="Hipersaitas"/>
                <w:noProof/>
                <w:lang w:val="lt-LT"/>
              </w:rPr>
              <w:t>Investicijų trūkumo įvertinimas</w:t>
            </w:r>
            <w:r w:rsidR="00DA65C2">
              <w:rPr>
                <w:noProof/>
                <w:webHidden/>
              </w:rPr>
              <w:tab/>
            </w:r>
            <w:r w:rsidR="00DA65C2">
              <w:rPr>
                <w:noProof/>
                <w:webHidden/>
              </w:rPr>
              <w:fldChar w:fldCharType="begin"/>
            </w:r>
            <w:r w:rsidR="00DA65C2">
              <w:rPr>
                <w:noProof/>
                <w:webHidden/>
              </w:rPr>
              <w:instrText xml:space="preserve"> PAGEREF _Toc417378378 \h </w:instrText>
            </w:r>
            <w:r w:rsidR="00DA65C2">
              <w:rPr>
                <w:noProof/>
                <w:webHidden/>
              </w:rPr>
            </w:r>
            <w:r w:rsidR="00DA65C2">
              <w:rPr>
                <w:noProof/>
                <w:webHidden/>
              </w:rPr>
              <w:fldChar w:fldCharType="separate"/>
            </w:r>
            <w:r w:rsidR="00CB6759">
              <w:rPr>
                <w:noProof/>
                <w:webHidden/>
              </w:rPr>
              <w:t>65</w:t>
            </w:r>
            <w:r w:rsidR="00DA65C2">
              <w:rPr>
                <w:noProof/>
                <w:webHidden/>
              </w:rPr>
              <w:fldChar w:fldCharType="end"/>
            </w:r>
          </w:hyperlink>
        </w:p>
        <w:p w14:paraId="58D60640" w14:textId="6684636F" w:rsidR="00DA65C2" w:rsidRDefault="00A65A8D">
          <w:pPr>
            <w:pStyle w:val="Turinys2"/>
            <w:tabs>
              <w:tab w:val="left" w:pos="880"/>
              <w:tab w:val="right" w:leader="dot" w:pos="9016"/>
            </w:tabs>
            <w:rPr>
              <w:rFonts w:eastAsiaTheme="minorEastAsia"/>
              <w:noProof/>
            </w:rPr>
          </w:pPr>
          <w:hyperlink w:anchor="_Toc417378379" w:history="1">
            <w:r w:rsidR="00DA65C2" w:rsidRPr="004528C4">
              <w:rPr>
                <w:rStyle w:val="Hipersaitas"/>
                <w:noProof/>
                <w:lang w:val="lt-LT"/>
              </w:rPr>
              <w:t>2.4.</w:t>
            </w:r>
            <w:r w:rsidR="00DA65C2">
              <w:rPr>
                <w:rFonts w:eastAsiaTheme="minorEastAsia"/>
                <w:noProof/>
              </w:rPr>
              <w:tab/>
            </w:r>
            <w:r w:rsidR="00DA65C2" w:rsidRPr="004528C4">
              <w:rPr>
                <w:rStyle w:val="Hipersaitas"/>
                <w:noProof/>
                <w:lang w:val="lt-LT"/>
              </w:rPr>
              <w:t>Rinkos gyvybingumo ir investicijų trūkumo susidarymo priežasčių analizė</w:t>
            </w:r>
            <w:r w:rsidR="00DA65C2">
              <w:rPr>
                <w:noProof/>
                <w:webHidden/>
              </w:rPr>
              <w:tab/>
            </w:r>
            <w:r w:rsidR="00DA65C2">
              <w:rPr>
                <w:noProof/>
                <w:webHidden/>
              </w:rPr>
              <w:fldChar w:fldCharType="begin"/>
            </w:r>
            <w:r w:rsidR="00DA65C2">
              <w:rPr>
                <w:noProof/>
                <w:webHidden/>
              </w:rPr>
              <w:instrText xml:space="preserve"> PAGEREF _Toc417378379 \h </w:instrText>
            </w:r>
            <w:r w:rsidR="00DA65C2">
              <w:rPr>
                <w:noProof/>
                <w:webHidden/>
              </w:rPr>
            </w:r>
            <w:r w:rsidR="00DA65C2">
              <w:rPr>
                <w:noProof/>
                <w:webHidden/>
              </w:rPr>
              <w:fldChar w:fldCharType="separate"/>
            </w:r>
            <w:r w:rsidR="00CB6759">
              <w:rPr>
                <w:noProof/>
                <w:webHidden/>
              </w:rPr>
              <w:t>66</w:t>
            </w:r>
            <w:r w:rsidR="00DA65C2">
              <w:rPr>
                <w:noProof/>
                <w:webHidden/>
              </w:rPr>
              <w:fldChar w:fldCharType="end"/>
            </w:r>
          </w:hyperlink>
        </w:p>
        <w:p w14:paraId="25BAA469" w14:textId="7FE78D89" w:rsidR="00DA65C2" w:rsidRDefault="00A65A8D">
          <w:pPr>
            <w:pStyle w:val="Turinys1"/>
            <w:tabs>
              <w:tab w:val="left" w:pos="660"/>
              <w:tab w:val="right" w:leader="dot" w:pos="9016"/>
            </w:tabs>
            <w:rPr>
              <w:rFonts w:eastAsiaTheme="minorEastAsia"/>
              <w:noProof/>
            </w:rPr>
          </w:pPr>
          <w:hyperlink w:anchor="_Toc417378380" w:history="1">
            <w:r w:rsidR="00DA65C2" w:rsidRPr="004528C4">
              <w:rPr>
                <w:rStyle w:val="Hipersaitas"/>
                <w:rFonts w:cs="Arial"/>
                <w:noProof/>
                <w:lang w:val="lt-LT"/>
              </w:rPr>
              <w:t>3.</w:t>
            </w:r>
            <w:r w:rsidR="00DA65C2">
              <w:rPr>
                <w:rFonts w:eastAsiaTheme="minorEastAsia"/>
                <w:noProof/>
              </w:rPr>
              <w:tab/>
            </w:r>
            <w:r w:rsidR="00DA65C2" w:rsidRPr="004528C4">
              <w:rPr>
                <w:rStyle w:val="Hipersaitas"/>
                <w:noProof/>
                <w:lang w:val="lt-LT"/>
              </w:rPr>
              <w:t>Papildomų privačių lėšų pritraukimas</w:t>
            </w:r>
            <w:r w:rsidR="00DA65C2">
              <w:rPr>
                <w:noProof/>
                <w:webHidden/>
              </w:rPr>
              <w:tab/>
            </w:r>
            <w:r w:rsidR="00DA65C2">
              <w:rPr>
                <w:noProof/>
                <w:webHidden/>
              </w:rPr>
              <w:fldChar w:fldCharType="begin"/>
            </w:r>
            <w:r w:rsidR="00DA65C2">
              <w:rPr>
                <w:noProof/>
                <w:webHidden/>
              </w:rPr>
              <w:instrText xml:space="preserve"> PAGEREF _Toc417378380 \h </w:instrText>
            </w:r>
            <w:r w:rsidR="00DA65C2">
              <w:rPr>
                <w:noProof/>
                <w:webHidden/>
              </w:rPr>
            </w:r>
            <w:r w:rsidR="00DA65C2">
              <w:rPr>
                <w:noProof/>
                <w:webHidden/>
              </w:rPr>
              <w:fldChar w:fldCharType="separate"/>
            </w:r>
            <w:r w:rsidR="00CB6759">
              <w:rPr>
                <w:noProof/>
                <w:webHidden/>
              </w:rPr>
              <w:t>76</w:t>
            </w:r>
            <w:r w:rsidR="00DA65C2">
              <w:rPr>
                <w:noProof/>
                <w:webHidden/>
              </w:rPr>
              <w:fldChar w:fldCharType="end"/>
            </w:r>
          </w:hyperlink>
        </w:p>
        <w:p w14:paraId="04421DD9" w14:textId="712DB667" w:rsidR="00DA65C2" w:rsidRDefault="00A65A8D">
          <w:pPr>
            <w:pStyle w:val="Turinys2"/>
            <w:tabs>
              <w:tab w:val="left" w:pos="880"/>
              <w:tab w:val="right" w:leader="dot" w:pos="9016"/>
            </w:tabs>
            <w:rPr>
              <w:rFonts w:eastAsiaTheme="minorEastAsia"/>
              <w:noProof/>
            </w:rPr>
          </w:pPr>
          <w:hyperlink w:anchor="_Toc417378381" w:history="1">
            <w:r w:rsidR="00DA65C2" w:rsidRPr="004528C4">
              <w:rPr>
                <w:rStyle w:val="Hipersaitas"/>
                <w:noProof/>
                <w:lang w:val="lt-LT"/>
              </w:rPr>
              <w:t>3.1.</w:t>
            </w:r>
            <w:r w:rsidR="00DA65C2">
              <w:rPr>
                <w:rFonts w:eastAsiaTheme="minorEastAsia"/>
                <w:noProof/>
              </w:rPr>
              <w:tab/>
            </w:r>
            <w:r w:rsidR="00DA65C2" w:rsidRPr="004528C4">
              <w:rPr>
                <w:rStyle w:val="Hipersaitas"/>
                <w:noProof/>
                <w:lang w:val="lt-LT"/>
              </w:rPr>
              <w:t>Potencialių privačių lėšų šaltinių identifikavimas</w:t>
            </w:r>
            <w:r w:rsidR="00DA65C2">
              <w:rPr>
                <w:noProof/>
                <w:webHidden/>
              </w:rPr>
              <w:tab/>
            </w:r>
            <w:r w:rsidR="00DA65C2">
              <w:rPr>
                <w:noProof/>
                <w:webHidden/>
              </w:rPr>
              <w:fldChar w:fldCharType="begin"/>
            </w:r>
            <w:r w:rsidR="00DA65C2">
              <w:rPr>
                <w:noProof/>
                <w:webHidden/>
              </w:rPr>
              <w:instrText xml:space="preserve"> PAGEREF _Toc417378381 \h </w:instrText>
            </w:r>
            <w:r w:rsidR="00DA65C2">
              <w:rPr>
                <w:noProof/>
                <w:webHidden/>
              </w:rPr>
            </w:r>
            <w:r w:rsidR="00DA65C2">
              <w:rPr>
                <w:noProof/>
                <w:webHidden/>
              </w:rPr>
              <w:fldChar w:fldCharType="separate"/>
            </w:r>
            <w:r w:rsidR="00CB6759">
              <w:rPr>
                <w:noProof/>
                <w:webHidden/>
              </w:rPr>
              <w:t>76</w:t>
            </w:r>
            <w:r w:rsidR="00DA65C2">
              <w:rPr>
                <w:noProof/>
                <w:webHidden/>
              </w:rPr>
              <w:fldChar w:fldCharType="end"/>
            </w:r>
          </w:hyperlink>
        </w:p>
        <w:p w14:paraId="777FCF2B" w14:textId="01BB945E" w:rsidR="00DA65C2" w:rsidRDefault="00A65A8D">
          <w:pPr>
            <w:pStyle w:val="Turinys2"/>
            <w:tabs>
              <w:tab w:val="left" w:pos="880"/>
              <w:tab w:val="right" w:leader="dot" w:pos="9016"/>
            </w:tabs>
            <w:rPr>
              <w:rFonts w:eastAsiaTheme="minorEastAsia"/>
              <w:noProof/>
            </w:rPr>
          </w:pPr>
          <w:hyperlink w:anchor="_Toc417378382" w:history="1">
            <w:r w:rsidR="00DA65C2" w:rsidRPr="004528C4">
              <w:rPr>
                <w:rStyle w:val="Hipersaitas"/>
                <w:noProof/>
                <w:lang w:val="lt-LT"/>
              </w:rPr>
              <w:t>3.2.</w:t>
            </w:r>
            <w:r w:rsidR="00DA65C2">
              <w:rPr>
                <w:rFonts w:eastAsiaTheme="minorEastAsia"/>
                <w:noProof/>
              </w:rPr>
              <w:tab/>
            </w:r>
            <w:r w:rsidR="00DA65C2" w:rsidRPr="004528C4">
              <w:rPr>
                <w:rStyle w:val="Hipersaitas"/>
                <w:noProof/>
                <w:lang w:val="lt-LT"/>
              </w:rPr>
              <w:t>Lygio ir būdo privačių lėšų pritraukimui nustatymas</w:t>
            </w:r>
            <w:r w:rsidR="00DA65C2">
              <w:rPr>
                <w:noProof/>
                <w:webHidden/>
              </w:rPr>
              <w:tab/>
            </w:r>
            <w:r w:rsidR="00DA65C2">
              <w:rPr>
                <w:noProof/>
                <w:webHidden/>
              </w:rPr>
              <w:fldChar w:fldCharType="begin"/>
            </w:r>
            <w:r w:rsidR="00DA65C2">
              <w:rPr>
                <w:noProof/>
                <w:webHidden/>
              </w:rPr>
              <w:instrText xml:space="preserve"> PAGEREF _Toc417378382 \h </w:instrText>
            </w:r>
            <w:r w:rsidR="00DA65C2">
              <w:rPr>
                <w:noProof/>
                <w:webHidden/>
              </w:rPr>
            </w:r>
            <w:r w:rsidR="00DA65C2">
              <w:rPr>
                <w:noProof/>
                <w:webHidden/>
              </w:rPr>
              <w:fldChar w:fldCharType="separate"/>
            </w:r>
            <w:r w:rsidR="00CB6759">
              <w:rPr>
                <w:noProof/>
                <w:webHidden/>
              </w:rPr>
              <w:t>99</w:t>
            </w:r>
            <w:r w:rsidR="00DA65C2">
              <w:rPr>
                <w:noProof/>
                <w:webHidden/>
              </w:rPr>
              <w:fldChar w:fldCharType="end"/>
            </w:r>
          </w:hyperlink>
        </w:p>
        <w:p w14:paraId="7D3B8D71" w14:textId="143792DF" w:rsidR="00DA65C2" w:rsidRDefault="00A65A8D">
          <w:pPr>
            <w:pStyle w:val="Turinys2"/>
            <w:tabs>
              <w:tab w:val="left" w:pos="880"/>
              <w:tab w:val="right" w:leader="dot" w:pos="9016"/>
            </w:tabs>
            <w:rPr>
              <w:rFonts w:eastAsiaTheme="minorEastAsia"/>
              <w:noProof/>
            </w:rPr>
          </w:pPr>
          <w:hyperlink w:anchor="_Toc417378383" w:history="1">
            <w:r w:rsidR="00DA65C2" w:rsidRPr="004528C4">
              <w:rPr>
                <w:rStyle w:val="Hipersaitas"/>
                <w:noProof/>
                <w:lang w:val="lt-LT"/>
              </w:rPr>
              <w:t>3.3.</w:t>
            </w:r>
            <w:r w:rsidR="00DA65C2">
              <w:rPr>
                <w:rFonts w:eastAsiaTheme="minorEastAsia"/>
                <w:noProof/>
              </w:rPr>
              <w:tab/>
            </w:r>
            <w:r w:rsidR="00DA65C2" w:rsidRPr="004528C4">
              <w:rPr>
                <w:rStyle w:val="Hipersaitas"/>
                <w:noProof/>
                <w:lang w:val="lt-LT"/>
              </w:rPr>
              <w:t>Skatinamųjų elementų  įvertinimas</w:t>
            </w:r>
            <w:r w:rsidR="00DA65C2">
              <w:rPr>
                <w:noProof/>
                <w:webHidden/>
              </w:rPr>
              <w:tab/>
            </w:r>
            <w:r w:rsidR="00DA65C2">
              <w:rPr>
                <w:noProof/>
                <w:webHidden/>
              </w:rPr>
              <w:fldChar w:fldCharType="begin"/>
            </w:r>
            <w:r w:rsidR="00DA65C2">
              <w:rPr>
                <w:noProof/>
                <w:webHidden/>
              </w:rPr>
              <w:instrText xml:space="preserve"> PAGEREF _Toc417378383 \h </w:instrText>
            </w:r>
            <w:r w:rsidR="00DA65C2">
              <w:rPr>
                <w:noProof/>
                <w:webHidden/>
              </w:rPr>
            </w:r>
            <w:r w:rsidR="00DA65C2">
              <w:rPr>
                <w:noProof/>
                <w:webHidden/>
              </w:rPr>
              <w:fldChar w:fldCharType="separate"/>
            </w:r>
            <w:r w:rsidR="00CB6759">
              <w:rPr>
                <w:noProof/>
                <w:webHidden/>
              </w:rPr>
              <w:t>101</w:t>
            </w:r>
            <w:r w:rsidR="00DA65C2">
              <w:rPr>
                <w:noProof/>
                <w:webHidden/>
              </w:rPr>
              <w:fldChar w:fldCharType="end"/>
            </w:r>
          </w:hyperlink>
        </w:p>
        <w:p w14:paraId="70AE2CBF" w14:textId="330A3BBF" w:rsidR="00DA65C2" w:rsidRDefault="00A65A8D">
          <w:pPr>
            <w:pStyle w:val="Turinys1"/>
            <w:tabs>
              <w:tab w:val="left" w:pos="660"/>
              <w:tab w:val="right" w:leader="dot" w:pos="9016"/>
            </w:tabs>
            <w:rPr>
              <w:rFonts w:eastAsiaTheme="minorEastAsia"/>
              <w:noProof/>
            </w:rPr>
          </w:pPr>
          <w:hyperlink w:anchor="_Toc417378384" w:history="1">
            <w:r w:rsidR="00DA65C2" w:rsidRPr="004528C4">
              <w:rPr>
                <w:rStyle w:val="Hipersaitas"/>
                <w:rFonts w:cs="Arial"/>
                <w:noProof/>
                <w:lang w:val="lt-LT"/>
              </w:rPr>
              <w:t>4.</w:t>
            </w:r>
            <w:r w:rsidR="00DA65C2">
              <w:rPr>
                <w:rFonts w:eastAsiaTheme="minorEastAsia"/>
                <w:noProof/>
              </w:rPr>
              <w:tab/>
            </w:r>
            <w:r w:rsidR="00DA65C2" w:rsidRPr="004528C4">
              <w:rPr>
                <w:rStyle w:val="Hipersaitas"/>
                <w:noProof/>
                <w:lang w:val="lt-LT"/>
              </w:rPr>
              <w:t>Finansinės priemonės pridėtinė vertė ir suderinamumas su kitomis viešųjų intervencijų formomis</w:t>
            </w:r>
            <w:r w:rsidR="00DA65C2">
              <w:rPr>
                <w:noProof/>
                <w:webHidden/>
              </w:rPr>
              <w:tab/>
            </w:r>
            <w:r w:rsidR="00DA65C2">
              <w:rPr>
                <w:noProof/>
                <w:webHidden/>
              </w:rPr>
              <w:fldChar w:fldCharType="begin"/>
            </w:r>
            <w:r w:rsidR="00DA65C2">
              <w:rPr>
                <w:noProof/>
                <w:webHidden/>
              </w:rPr>
              <w:instrText xml:space="preserve"> PAGEREF _Toc417378384 \h </w:instrText>
            </w:r>
            <w:r w:rsidR="00DA65C2">
              <w:rPr>
                <w:noProof/>
                <w:webHidden/>
              </w:rPr>
            </w:r>
            <w:r w:rsidR="00DA65C2">
              <w:rPr>
                <w:noProof/>
                <w:webHidden/>
              </w:rPr>
              <w:fldChar w:fldCharType="separate"/>
            </w:r>
            <w:r w:rsidR="00CB6759">
              <w:rPr>
                <w:noProof/>
                <w:webHidden/>
              </w:rPr>
              <w:t>103</w:t>
            </w:r>
            <w:r w:rsidR="00DA65C2">
              <w:rPr>
                <w:noProof/>
                <w:webHidden/>
              </w:rPr>
              <w:fldChar w:fldCharType="end"/>
            </w:r>
          </w:hyperlink>
        </w:p>
        <w:p w14:paraId="64F78F99" w14:textId="2AA2EADA" w:rsidR="00DA65C2" w:rsidRDefault="00A65A8D">
          <w:pPr>
            <w:pStyle w:val="Turinys2"/>
            <w:tabs>
              <w:tab w:val="left" w:pos="880"/>
              <w:tab w:val="right" w:leader="dot" w:pos="9016"/>
            </w:tabs>
            <w:rPr>
              <w:rFonts w:eastAsiaTheme="minorEastAsia"/>
              <w:noProof/>
            </w:rPr>
          </w:pPr>
          <w:hyperlink w:anchor="_Toc417378385" w:history="1">
            <w:r w:rsidR="00DA65C2" w:rsidRPr="004528C4">
              <w:rPr>
                <w:rStyle w:val="Hipersaitas"/>
                <w:noProof/>
                <w:lang w:val="lt-LT"/>
              </w:rPr>
              <w:t>4.1.</w:t>
            </w:r>
            <w:r w:rsidR="00DA65C2">
              <w:rPr>
                <w:rFonts w:eastAsiaTheme="minorEastAsia"/>
                <w:noProof/>
              </w:rPr>
              <w:tab/>
            </w:r>
            <w:r w:rsidR="00DA65C2" w:rsidRPr="004528C4">
              <w:rPr>
                <w:rStyle w:val="Hipersaitas"/>
                <w:noProof/>
                <w:lang w:val="lt-LT"/>
              </w:rPr>
              <w:t>Kiekybinis pridėtinės vertės vertinimas - jautrumo analizė ir alternatyvų palyginimas</w:t>
            </w:r>
            <w:r w:rsidR="00DA65C2">
              <w:rPr>
                <w:noProof/>
                <w:webHidden/>
              </w:rPr>
              <w:tab/>
            </w:r>
            <w:r w:rsidR="00DA65C2">
              <w:rPr>
                <w:noProof/>
                <w:webHidden/>
              </w:rPr>
              <w:fldChar w:fldCharType="begin"/>
            </w:r>
            <w:r w:rsidR="00DA65C2">
              <w:rPr>
                <w:noProof/>
                <w:webHidden/>
              </w:rPr>
              <w:instrText xml:space="preserve"> PAGEREF _Toc417378385 \h </w:instrText>
            </w:r>
            <w:r w:rsidR="00DA65C2">
              <w:rPr>
                <w:noProof/>
                <w:webHidden/>
              </w:rPr>
            </w:r>
            <w:r w:rsidR="00DA65C2">
              <w:rPr>
                <w:noProof/>
                <w:webHidden/>
              </w:rPr>
              <w:fldChar w:fldCharType="separate"/>
            </w:r>
            <w:r w:rsidR="00CB6759">
              <w:rPr>
                <w:noProof/>
                <w:webHidden/>
              </w:rPr>
              <w:t>108</w:t>
            </w:r>
            <w:r w:rsidR="00DA65C2">
              <w:rPr>
                <w:noProof/>
                <w:webHidden/>
              </w:rPr>
              <w:fldChar w:fldCharType="end"/>
            </w:r>
          </w:hyperlink>
        </w:p>
        <w:p w14:paraId="084CD64C" w14:textId="47186637" w:rsidR="00DA65C2" w:rsidRDefault="00A65A8D">
          <w:pPr>
            <w:pStyle w:val="Turinys2"/>
            <w:tabs>
              <w:tab w:val="left" w:pos="1100"/>
              <w:tab w:val="right" w:leader="dot" w:pos="9016"/>
            </w:tabs>
            <w:rPr>
              <w:rFonts w:eastAsiaTheme="minorEastAsia"/>
              <w:noProof/>
            </w:rPr>
          </w:pPr>
          <w:hyperlink w:anchor="_Toc417378386" w:history="1">
            <w:r w:rsidR="00DA65C2" w:rsidRPr="004528C4">
              <w:rPr>
                <w:rStyle w:val="Hipersaitas"/>
                <w:noProof/>
                <w:lang w:val="lt-LT"/>
              </w:rPr>
              <w:t>4.1.1.</w:t>
            </w:r>
            <w:r w:rsidR="00DA65C2">
              <w:rPr>
                <w:rFonts w:eastAsiaTheme="minorEastAsia"/>
                <w:noProof/>
              </w:rPr>
              <w:tab/>
            </w:r>
            <w:r w:rsidR="00DA65C2" w:rsidRPr="004528C4">
              <w:rPr>
                <w:rStyle w:val="Hipersaitas"/>
                <w:noProof/>
                <w:lang w:val="lt-LT"/>
              </w:rPr>
              <w:t>Daugiabučių renovacijos jautrumo analizė</w:t>
            </w:r>
            <w:r w:rsidR="00DA65C2">
              <w:rPr>
                <w:noProof/>
                <w:webHidden/>
              </w:rPr>
              <w:tab/>
            </w:r>
            <w:r w:rsidR="00DA65C2">
              <w:rPr>
                <w:noProof/>
                <w:webHidden/>
              </w:rPr>
              <w:fldChar w:fldCharType="begin"/>
            </w:r>
            <w:r w:rsidR="00DA65C2">
              <w:rPr>
                <w:noProof/>
                <w:webHidden/>
              </w:rPr>
              <w:instrText xml:space="preserve"> PAGEREF _Toc417378386 \h </w:instrText>
            </w:r>
            <w:r w:rsidR="00DA65C2">
              <w:rPr>
                <w:noProof/>
                <w:webHidden/>
              </w:rPr>
            </w:r>
            <w:r w:rsidR="00DA65C2">
              <w:rPr>
                <w:noProof/>
                <w:webHidden/>
              </w:rPr>
              <w:fldChar w:fldCharType="separate"/>
            </w:r>
            <w:r w:rsidR="00CB6759">
              <w:rPr>
                <w:noProof/>
                <w:webHidden/>
              </w:rPr>
              <w:t>108</w:t>
            </w:r>
            <w:r w:rsidR="00DA65C2">
              <w:rPr>
                <w:noProof/>
                <w:webHidden/>
              </w:rPr>
              <w:fldChar w:fldCharType="end"/>
            </w:r>
          </w:hyperlink>
        </w:p>
        <w:p w14:paraId="06C5E2CD" w14:textId="0E162E97" w:rsidR="00DA65C2" w:rsidRDefault="00A65A8D">
          <w:pPr>
            <w:pStyle w:val="Turinys2"/>
            <w:tabs>
              <w:tab w:val="left" w:pos="1100"/>
              <w:tab w:val="right" w:leader="dot" w:pos="9016"/>
            </w:tabs>
            <w:rPr>
              <w:rFonts w:eastAsiaTheme="minorEastAsia"/>
              <w:noProof/>
            </w:rPr>
          </w:pPr>
          <w:hyperlink w:anchor="_Toc417378387" w:history="1">
            <w:r w:rsidR="00DA65C2" w:rsidRPr="004528C4">
              <w:rPr>
                <w:rStyle w:val="Hipersaitas"/>
                <w:noProof/>
                <w:lang w:val="lt-LT"/>
              </w:rPr>
              <w:t>4.1.2.</w:t>
            </w:r>
            <w:r w:rsidR="00DA65C2">
              <w:rPr>
                <w:rFonts w:eastAsiaTheme="minorEastAsia"/>
                <w:noProof/>
              </w:rPr>
              <w:tab/>
            </w:r>
            <w:r w:rsidR="00DA65C2" w:rsidRPr="004528C4">
              <w:rPr>
                <w:rStyle w:val="Hipersaitas"/>
                <w:noProof/>
                <w:lang w:val="lt-LT"/>
              </w:rPr>
              <w:t>Viešųjų pastatų renovacijos jautrumo analizė</w:t>
            </w:r>
            <w:r w:rsidR="00DA65C2">
              <w:rPr>
                <w:noProof/>
                <w:webHidden/>
              </w:rPr>
              <w:tab/>
            </w:r>
            <w:r w:rsidR="00DA65C2">
              <w:rPr>
                <w:noProof/>
                <w:webHidden/>
              </w:rPr>
              <w:fldChar w:fldCharType="begin"/>
            </w:r>
            <w:r w:rsidR="00DA65C2">
              <w:rPr>
                <w:noProof/>
                <w:webHidden/>
              </w:rPr>
              <w:instrText xml:space="preserve"> PAGEREF _Toc417378387 \h </w:instrText>
            </w:r>
            <w:r w:rsidR="00DA65C2">
              <w:rPr>
                <w:noProof/>
                <w:webHidden/>
              </w:rPr>
            </w:r>
            <w:r w:rsidR="00DA65C2">
              <w:rPr>
                <w:noProof/>
                <w:webHidden/>
              </w:rPr>
              <w:fldChar w:fldCharType="separate"/>
            </w:r>
            <w:r w:rsidR="00CB6759">
              <w:rPr>
                <w:noProof/>
                <w:webHidden/>
              </w:rPr>
              <w:t>111</w:t>
            </w:r>
            <w:r w:rsidR="00DA65C2">
              <w:rPr>
                <w:noProof/>
                <w:webHidden/>
              </w:rPr>
              <w:fldChar w:fldCharType="end"/>
            </w:r>
          </w:hyperlink>
        </w:p>
        <w:p w14:paraId="709A86FF" w14:textId="04060BD5" w:rsidR="00DA65C2" w:rsidRDefault="00A65A8D">
          <w:pPr>
            <w:pStyle w:val="Turinys2"/>
            <w:tabs>
              <w:tab w:val="left" w:pos="1100"/>
              <w:tab w:val="right" w:leader="dot" w:pos="9016"/>
            </w:tabs>
            <w:rPr>
              <w:rFonts w:eastAsiaTheme="minorEastAsia"/>
              <w:noProof/>
            </w:rPr>
          </w:pPr>
          <w:hyperlink w:anchor="_Toc417378388" w:history="1">
            <w:r w:rsidR="00DA65C2" w:rsidRPr="004528C4">
              <w:rPr>
                <w:rStyle w:val="Hipersaitas"/>
                <w:noProof/>
                <w:lang w:val="lt-LT"/>
              </w:rPr>
              <w:t>4.1.3.</w:t>
            </w:r>
            <w:r w:rsidR="00DA65C2">
              <w:rPr>
                <w:rFonts w:eastAsiaTheme="minorEastAsia"/>
                <w:noProof/>
              </w:rPr>
              <w:tab/>
            </w:r>
            <w:r w:rsidR="00DA65C2" w:rsidRPr="004528C4">
              <w:rPr>
                <w:rStyle w:val="Hipersaitas"/>
                <w:noProof/>
                <w:lang w:val="lt-LT"/>
              </w:rPr>
              <w:t>Alternatyvų palyginimas</w:t>
            </w:r>
            <w:r w:rsidR="00DA65C2">
              <w:rPr>
                <w:noProof/>
                <w:webHidden/>
              </w:rPr>
              <w:tab/>
            </w:r>
            <w:r w:rsidR="00DA65C2">
              <w:rPr>
                <w:noProof/>
                <w:webHidden/>
              </w:rPr>
              <w:fldChar w:fldCharType="begin"/>
            </w:r>
            <w:r w:rsidR="00DA65C2">
              <w:rPr>
                <w:noProof/>
                <w:webHidden/>
              </w:rPr>
              <w:instrText xml:space="preserve"> PAGEREF _Toc417378388 \h </w:instrText>
            </w:r>
            <w:r w:rsidR="00DA65C2">
              <w:rPr>
                <w:noProof/>
                <w:webHidden/>
              </w:rPr>
            </w:r>
            <w:r w:rsidR="00DA65C2">
              <w:rPr>
                <w:noProof/>
                <w:webHidden/>
              </w:rPr>
              <w:fldChar w:fldCharType="separate"/>
            </w:r>
            <w:r w:rsidR="00CB6759">
              <w:rPr>
                <w:noProof/>
                <w:webHidden/>
              </w:rPr>
              <w:t>116</w:t>
            </w:r>
            <w:r w:rsidR="00DA65C2">
              <w:rPr>
                <w:noProof/>
                <w:webHidden/>
              </w:rPr>
              <w:fldChar w:fldCharType="end"/>
            </w:r>
          </w:hyperlink>
        </w:p>
        <w:p w14:paraId="7339CB23" w14:textId="7700ADF6" w:rsidR="00DA65C2" w:rsidRDefault="00A65A8D">
          <w:pPr>
            <w:pStyle w:val="Turinys2"/>
            <w:tabs>
              <w:tab w:val="left" w:pos="1320"/>
              <w:tab w:val="right" w:leader="dot" w:pos="9016"/>
            </w:tabs>
            <w:rPr>
              <w:rFonts w:eastAsiaTheme="minorEastAsia"/>
              <w:noProof/>
            </w:rPr>
          </w:pPr>
          <w:hyperlink w:anchor="_Toc417378389" w:history="1">
            <w:r w:rsidR="00DA65C2" w:rsidRPr="004528C4">
              <w:rPr>
                <w:rStyle w:val="Hipersaitas"/>
                <w:noProof/>
                <w:lang w:val="lt-LT"/>
              </w:rPr>
              <w:t>4.1.3.1.</w:t>
            </w:r>
            <w:r w:rsidR="00DA65C2">
              <w:rPr>
                <w:rFonts w:eastAsiaTheme="minorEastAsia"/>
                <w:noProof/>
              </w:rPr>
              <w:tab/>
            </w:r>
            <w:r w:rsidR="00DA65C2" w:rsidRPr="004528C4">
              <w:rPr>
                <w:rStyle w:val="Hipersaitas"/>
                <w:noProof/>
                <w:lang w:val="lt-LT"/>
              </w:rPr>
              <w:t>Daugiabučiai</w:t>
            </w:r>
            <w:r w:rsidR="00DA65C2">
              <w:rPr>
                <w:noProof/>
                <w:webHidden/>
              </w:rPr>
              <w:tab/>
            </w:r>
            <w:r w:rsidR="00DA65C2">
              <w:rPr>
                <w:noProof/>
                <w:webHidden/>
              </w:rPr>
              <w:fldChar w:fldCharType="begin"/>
            </w:r>
            <w:r w:rsidR="00DA65C2">
              <w:rPr>
                <w:noProof/>
                <w:webHidden/>
              </w:rPr>
              <w:instrText xml:space="preserve"> PAGEREF _Toc417378389 \h </w:instrText>
            </w:r>
            <w:r w:rsidR="00DA65C2">
              <w:rPr>
                <w:noProof/>
                <w:webHidden/>
              </w:rPr>
            </w:r>
            <w:r w:rsidR="00DA65C2">
              <w:rPr>
                <w:noProof/>
                <w:webHidden/>
              </w:rPr>
              <w:fldChar w:fldCharType="separate"/>
            </w:r>
            <w:r w:rsidR="00CB6759">
              <w:rPr>
                <w:noProof/>
                <w:webHidden/>
              </w:rPr>
              <w:t>116</w:t>
            </w:r>
            <w:r w:rsidR="00DA65C2">
              <w:rPr>
                <w:noProof/>
                <w:webHidden/>
              </w:rPr>
              <w:fldChar w:fldCharType="end"/>
            </w:r>
          </w:hyperlink>
        </w:p>
        <w:p w14:paraId="0B32EA24" w14:textId="701EB06C" w:rsidR="00DA65C2" w:rsidRDefault="00A65A8D">
          <w:pPr>
            <w:pStyle w:val="Turinys2"/>
            <w:tabs>
              <w:tab w:val="left" w:pos="1320"/>
              <w:tab w:val="right" w:leader="dot" w:pos="9016"/>
            </w:tabs>
            <w:rPr>
              <w:rFonts w:eastAsiaTheme="minorEastAsia"/>
              <w:noProof/>
            </w:rPr>
          </w:pPr>
          <w:hyperlink w:anchor="_Toc417378390" w:history="1">
            <w:r w:rsidR="00DA65C2" w:rsidRPr="004528C4">
              <w:rPr>
                <w:rStyle w:val="Hipersaitas"/>
                <w:noProof/>
                <w:lang w:val="lt-LT"/>
              </w:rPr>
              <w:t>4.1.3.2.</w:t>
            </w:r>
            <w:r w:rsidR="00DA65C2">
              <w:rPr>
                <w:rFonts w:eastAsiaTheme="minorEastAsia"/>
                <w:noProof/>
              </w:rPr>
              <w:tab/>
            </w:r>
            <w:r w:rsidR="00DA65C2" w:rsidRPr="004528C4">
              <w:rPr>
                <w:rStyle w:val="Hipersaitas"/>
                <w:noProof/>
                <w:lang w:val="lt-LT"/>
              </w:rPr>
              <w:t>Savivaldybių viešieji pastatai</w:t>
            </w:r>
            <w:r w:rsidR="00DA65C2">
              <w:rPr>
                <w:noProof/>
                <w:webHidden/>
              </w:rPr>
              <w:tab/>
            </w:r>
            <w:r w:rsidR="00DA65C2">
              <w:rPr>
                <w:noProof/>
                <w:webHidden/>
              </w:rPr>
              <w:fldChar w:fldCharType="begin"/>
            </w:r>
            <w:r w:rsidR="00DA65C2">
              <w:rPr>
                <w:noProof/>
                <w:webHidden/>
              </w:rPr>
              <w:instrText xml:space="preserve"> PAGEREF _Toc417378390 \h </w:instrText>
            </w:r>
            <w:r w:rsidR="00DA65C2">
              <w:rPr>
                <w:noProof/>
                <w:webHidden/>
              </w:rPr>
            </w:r>
            <w:r w:rsidR="00DA65C2">
              <w:rPr>
                <w:noProof/>
                <w:webHidden/>
              </w:rPr>
              <w:fldChar w:fldCharType="separate"/>
            </w:r>
            <w:r w:rsidR="00CB6759">
              <w:rPr>
                <w:noProof/>
                <w:webHidden/>
              </w:rPr>
              <w:t>138</w:t>
            </w:r>
            <w:r w:rsidR="00DA65C2">
              <w:rPr>
                <w:noProof/>
                <w:webHidden/>
              </w:rPr>
              <w:fldChar w:fldCharType="end"/>
            </w:r>
          </w:hyperlink>
        </w:p>
        <w:p w14:paraId="3B4D1443" w14:textId="64631B63" w:rsidR="00DA65C2" w:rsidRDefault="00A65A8D">
          <w:pPr>
            <w:pStyle w:val="Turinys2"/>
            <w:tabs>
              <w:tab w:val="left" w:pos="1320"/>
              <w:tab w:val="right" w:leader="dot" w:pos="9016"/>
            </w:tabs>
            <w:rPr>
              <w:rFonts w:eastAsiaTheme="minorEastAsia"/>
              <w:noProof/>
            </w:rPr>
          </w:pPr>
          <w:hyperlink w:anchor="_Toc417378391" w:history="1">
            <w:r w:rsidR="00DA65C2" w:rsidRPr="004528C4">
              <w:rPr>
                <w:rStyle w:val="Hipersaitas"/>
                <w:noProof/>
                <w:lang w:val="lt-LT"/>
              </w:rPr>
              <w:t>4.1.3.3.</w:t>
            </w:r>
            <w:r w:rsidR="00DA65C2">
              <w:rPr>
                <w:rFonts w:eastAsiaTheme="minorEastAsia"/>
                <w:noProof/>
              </w:rPr>
              <w:tab/>
            </w:r>
            <w:r w:rsidR="00DA65C2" w:rsidRPr="004528C4">
              <w:rPr>
                <w:rStyle w:val="Hipersaitas"/>
                <w:noProof/>
                <w:lang w:val="lt-LT"/>
              </w:rPr>
              <w:t>Centrinės valdžios viešieji pastatai</w:t>
            </w:r>
            <w:r w:rsidR="00DA65C2">
              <w:rPr>
                <w:noProof/>
                <w:webHidden/>
              </w:rPr>
              <w:tab/>
            </w:r>
            <w:r w:rsidR="00DA65C2">
              <w:rPr>
                <w:noProof/>
                <w:webHidden/>
              </w:rPr>
              <w:fldChar w:fldCharType="begin"/>
            </w:r>
            <w:r w:rsidR="00DA65C2">
              <w:rPr>
                <w:noProof/>
                <w:webHidden/>
              </w:rPr>
              <w:instrText xml:space="preserve"> PAGEREF _Toc417378391 \h </w:instrText>
            </w:r>
            <w:r w:rsidR="00DA65C2">
              <w:rPr>
                <w:noProof/>
                <w:webHidden/>
              </w:rPr>
            </w:r>
            <w:r w:rsidR="00DA65C2">
              <w:rPr>
                <w:noProof/>
                <w:webHidden/>
              </w:rPr>
              <w:fldChar w:fldCharType="separate"/>
            </w:r>
            <w:r w:rsidR="00CB6759">
              <w:rPr>
                <w:noProof/>
                <w:webHidden/>
              </w:rPr>
              <w:t>149</w:t>
            </w:r>
            <w:r w:rsidR="00DA65C2">
              <w:rPr>
                <w:noProof/>
                <w:webHidden/>
              </w:rPr>
              <w:fldChar w:fldCharType="end"/>
            </w:r>
          </w:hyperlink>
        </w:p>
        <w:p w14:paraId="170F1620" w14:textId="491EA46B" w:rsidR="00DA65C2" w:rsidRDefault="00A65A8D">
          <w:pPr>
            <w:pStyle w:val="Turinys2"/>
            <w:tabs>
              <w:tab w:val="left" w:pos="1320"/>
              <w:tab w:val="right" w:leader="dot" w:pos="9016"/>
            </w:tabs>
            <w:rPr>
              <w:rFonts w:eastAsiaTheme="minorEastAsia"/>
              <w:noProof/>
            </w:rPr>
          </w:pPr>
          <w:hyperlink w:anchor="_Toc417378392" w:history="1">
            <w:r w:rsidR="00DA65C2" w:rsidRPr="004528C4">
              <w:rPr>
                <w:rStyle w:val="Hipersaitas"/>
                <w:noProof/>
                <w:lang w:val="lt-LT"/>
              </w:rPr>
              <w:t>4.1.3.4.</w:t>
            </w:r>
            <w:r w:rsidR="00DA65C2">
              <w:rPr>
                <w:rFonts w:eastAsiaTheme="minorEastAsia"/>
                <w:noProof/>
              </w:rPr>
              <w:tab/>
            </w:r>
            <w:r w:rsidR="00DA65C2" w:rsidRPr="004528C4">
              <w:rPr>
                <w:rStyle w:val="Hipersaitas"/>
                <w:noProof/>
                <w:lang w:val="lt-LT"/>
              </w:rPr>
              <w:t>Gatvių apšvietimas</w:t>
            </w:r>
            <w:r w:rsidR="00DA65C2">
              <w:rPr>
                <w:noProof/>
                <w:webHidden/>
              </w:rPr>
              <w:tab/>
            </w:r>
            <w:r w:rsidR="00DA65C2">
              <w:rPr>
                <w:noProof/>
                <w:webHidden/>
              </w:rPr>
              <w:fldChar w:fldCharType="begin"/>
            </w:r>
            <w:r w:rsidR="00DA65C2">
              <w:rPr>
                <w:noProof/>
                <w:webHidden/>
              </w:rPr>
              <w:instrText xml:space="preserve"> PAGEREF _Toc417378392 \h </w:instrText>
            </w:r>
            <w:r w:rsidR="00DA65C2">
              <w:rPr>
                <w:noProof/>
                <w:webHidden/>
              </w:rPr>
            </w:r>
            <w:r w:rsidR="00DA65C2">
              <w:rPr>
                <w:noProof/>
                <w:webHidden/>
              </w:rPr>
              <w:fldChar w:fldCharType="separate"/>
            </w:r>
            <w:r w:rsidR="00CB6759">
              <w:rPr>
                <w:noProof/>
                <w:webHidden/>
              </w:rPr>
              <w:t>166</w:t>
            </w:r>
            <w:r w:rsidR="00DA65C2">
              <w:rPr>
                <w:noProof/>
                <w:webHidden/>
              </w:rPr>
              <w:fldChar w:fldCharType="end"/>
            </w:r>
          </w:hyperlink>
        </w:p>
        <w:p w14:paraId="38D07D8D" w14:textId="37967596" w:rsidR="00DA65C2" w:rsidRDefault="00A65A8D">
          <w:pPr>
            <w:pStyle w:val="Turinys2"/>
            <w:tabs>
              <w:tab w:val="left" w:pos="880"/>
              <w:tab w:val="right" w:leader="dot" w:pos="9016"/>
            </w:tabs>
            <w:rPr>
              <w:rFonts w:eastAsiaTheme="minorEastAsia"/>
              <w:noProof/>
            </w:rPr>
          </w:pPr>
          <w:hyperlink w:anchor="_Toc417378393" w:history="1">
            <w:r w:rsidR="00DA65C2" w:rsidRPr="004528C4">
              <w:rPr>
                <w:rStyle w:val="Hipersaitas"/>
                <w:noProof/>
                <w:lang w:val="lt-LT"/>
              </w:rPr>
              <w:t>4.2.</w:t>
            </w:r>
            <w:r w:rsidR="00DA65C2">
              <w:rPr>
                <w:rFonts w:eastAsiaTheme="minorEastAsia"/>
                <w:noProof/>
              </w:rPr>
              <w:tab/>
            </w:r>
            <w:r w:rsidR="00DA65C2" w:rsidRPr="004528C4">
              <w:rPr>
                <w:rStyle w:val="Hipersaitas"/>
                <w:noProof/>
                <w:lang w:val="lt-LT"/>
              </w:rPr>
              <w:t>Kokybinis pridėtinės vertės vertinimas</w:t>
            </w:r>
            <w:r w:rsidR="00DA65C2">
              <w:rPr>
                <w:noProof/>
                <w:webHidden/>
              </w:rPr>
              <w:tab/>
            </w:r>
            <w:r w:rsidR="00DA65C2">
              <w:rPr>
                <w:noProof/>
                <w:webHidden/>
              </w:rPr>
              <w:fldChar w:fldCharType="begin"/>
            </w:r>
            <w:r w:rsidR="00DA65C2">
              <w:rPr>
                <w:noProof/>
                <w:webHidden/>
              </w:rPr>
              <w:instrText xml:space="preserve"> PAGEREF _Toc417378393 \h </w:instrText>
            </w:r>
            <w:r w:rsidR="00DA65C2">
              <w:rPr>
                <w:noProof/>
                <w:webHidden/>
              </w:rPr>
            </w:r>
            <w:r w:rsidR="00DA65C2">
              <w:rPr>
                <w:noProof/>
                <w:webHidden/>
              </w:rPr>
              <w:fldChar w:fldCharType="separate"/>
            </w:r>
            <w:r w:rsidR="00CB6759">
              <w:rPr>
                <w:noProof/>
                <w:webHidden/>
              </w:rPr>
              <w:t>181</w:t>
            </w:r>
            <w:r w:rsidR="00DA65C2">
              <w:rPr>
                <w:noProof/>
                <w:webHidden/>
              </w:rPr>
              <w:fldChar w:fldCharType="end"/>
            </w:r>
          </w:hyperlink>
        </w:p>
        <w:p w14:paraId="316D5F58" w14:textId="2229D7BB" w:rsidR="00DA65C2" w:rsidRDefault="00A65A8D">
          <w:pPr>
            <w:pStyle w:val="Turinys2"/>
            <w:tabs>
              <w:tab w:val="left" w:pos="1100"/>
              <w:tab w:val="right" w:leader="dot" w:pos="9016"/>
            </w:tabs>
            <w:rPr>
              <w:rFonts w:eastAsiaTheme="minorEastAsia"/>
              <w:noProof/>
            </w:rPr>
          </w:pPr>
          <w:hyperlink w:anchor="_Toc417378394" w:history="1">
            <w:r w:rsidR="00DA65C2" w:rsidRPr="004528C4">
              <w:rPr>
                <w:rStyle w:val="Hipersaitas"/>
                <w:noProof/>
                <w:lang w:val="lt-LT"/>
              </w:rPr>
              <w:t>4.2.1.</w:t>
            </w:r>
            <w:r w:rsidR="00DA65C2">
              <w:rPr>
                <w:rFonts w:eastAsiaTheme="minorEastAsia"/>
                <w:noProof/>
              </w:rPr>
              <w:tab/>
            </w:r>
            <w:r w:rsidR="00DA65C2" w:rsidRPr="004528C4">
              <w:rPr>
                <w:rStyle w:val="Hipersaitas"/>
                <w:noProof/>
                <w:lang w:val="lt-LT"/>
              </w:rPr>
              <w:t>SSGG analizė. Daugiabučių namų renovacija</w:t>
            </w:r>
            <w:r w:rsidR="00DA65C2">
              <w:rPr>
                <w:noProof/>
                <w:webHidden/>
              </w:rPr>
              <w:tab/>
            </w:r>
            <w:r w:rsidR="00DA65C2">
              <w:rPr>
                <w:noProof/>
                <w:webHidden/>
              </w:rPr>
              <w:fldChar w:fldCharType="begin"/>
            </w:r>
            <w:r w:rsidR="00DA65C2">
              <w:rPr>
                <w:noProof/>
                <w:webHidden/>
              </w:rPr>
              <w:instrText xml:space="preserve"> PAGEREF _Toc417378394 \h </w:instrText>
            </w:r>
            <w:r w:rsidR="00DA65C2">
              <w:rPr>
                <w:noProof/>
                <w:webHidden/>
              </w:rPr>
            </w:r>
            <w:r w:rsidR="00DA65C2">
              <w:rPr>
                <w:noProof/>
                <w:webHidden/>
              </w:rPr>
              <w:fldChar w:fldCharType="separate"/>
            </w:r>
            <w:r w:rsidR="00CB6759">
              <w:rPr>
                <w:noProof/>
                <w:webHidden/>
              </w:rPr>
              <w:t>181</w:t>
            </w:r>
            <w:r w:rsidR="00DA65C2">
              <w:rPr>
                <w:noProof/>
                <w:webHidden/>
              </w:rPr>
              <w:fldChar w:fldCharType="end"/>
            </w:r>
          </w:hyperlink>
        </w:p>
        <w:p w14:paraId="4BEF73A2" w14:textId="3A45EB6A" w:rsidR="00DA65C2" w:rsidRDefault="00A65A8D">
          <w:pPr>
            <w:pStyle w:val="Turinys2"/>
            <w:tabs>
              <w:tab w:val="left" w:pos="1100"/>
              <w:tab w:val="right" w:leader="dot" w:pos="9016"/>
            </w:tabs>
            <w:rPr>
              <w:rFonts w:eastAsiaTheme="minorEastAsia"/>
              <w:noProof/>
            </w:rPr>
          </w:pPr>
          <w:hyperlink w:anchor="_Toc417378395" w:history="1">
            <w:r w:rsidR="00DA65C2" w:rsidRPr="004528C4">
              <w:rPr>
                <w:rStyle w:val="Hipersaitas"/>
                <w:noProof/>
                <w:lang w:val="lt-LT"/>
              </w:rPr>
              <w:t>4.2.2.</w:t>
            </w:r>
            <w:r w:rsidR="00DA65C2">
              <w:rPr>
                <w:rFonts w:eastAsiaTheme="minorEastAsia"/>
                <w:noProof/>
              </w:rPr>
              <w:tab/>
            </w:r>
            <w:r w:rsidR="00DA65C2" w:rsidRPr="004528C4">
              <w:rPr>
                <w:rStyle w:val="Hipersaitas"/>
                <w:noProof/>
                <w:lang w:val="lt-LT"/>
              </w:rPr>
              <w:t>SSGG analizė. Viešųjų pastatų modernizavimas</w:t>
            </w:r>
            <w:r w:rsidR="00DA65C2">
              <w:rPr>
                <w:noProof/>
                <w:webHidden/>
              </w:rPr>
              <w:tab/>
            </w:r>
            <w:r w:rsidR="00DA65C2">
              <w:rPr>
                <w:noProof/>
                <w:webHidden/>
              </w:rPr>
              <w:fldChar w:fldCharType="begin"/>
            </w:r>
            <w:r w:rsidR="00DA65C2">
              <w:rPr>
                <w:noProof/>
                <w:webHidden/>
              </w:rPr>
              <w:instrText xml:space="preserve"> PAGEREF _Toc417378395 \h </w:instrText>
            </w:r>
            <w:r w:rsidR="00DA65C2">
              <w:rPr>
                <w:noProof/>
                <w:webHidden/>
              </w:rPr>
            </w:r>
            <w:r w:rsidR="00DA65C2">
              <w:rPr>
                <w:noProof/>
                <w:webHidden/>
              </w:rPr>
              <w:fldChar w:fldCharType="separate"/>
            </w:r>
            <w:r w:rsidR="00CB6759">
              <w:rPr>
                <w:noProof/>
                <w:webHidden/>
              </w:rPr>
              <w:t>182</w:t>
            </w:r>
            <w:r w:rsidR="00DA65C2">
              <w:rPr>
                <w:noProof/>
                <w:webHidden/>
              </w:rPr>
              <w:fldChar w:fldCharType="end"/>
            </w:r>
          </w:hyperlink>
        </w:p>
        <w:p w14:paraId="3C33DE53" w14:textId="27650A1D" w:rsidR="00DA65C2" w:rsidRDefault="00A65A8D">
          <w:pPr>
            <w:pStyle w:val="Turinys2"/>
            <w:tabs>
              <w:tab w:val="left" w:pos="1100"/>
              <w:tab w:val="right" w:leader="dot" w:pos="9016"/>
            </w:tabs>
            <w:rPr>
              <w:rFonts w:eastAsiaTheme="minorEastAsia"/>
              <w:noProof/>
            </w:rPr>
          </w:pPr>
          <w:hyperlink w:anchor="_Toc417378396" w:history="1">
            <w:r w:rsidR="00DA65C2" w:rsidRPr="004528C4">
              <w:rPr>
                <w:rStyle w:val="Hipersaitas"/>
                <w:noProof/>
              </w:rPr>
              <w:t>4.2.3.</w:t>
            </w:r>
            <w:r w:rsidR="00DA65C2">
              <w:rPr>
                <w:rFonts w:eastAsiaTheme="minorEastAsia"/>
                <w:noProof/>
              </w:rPr>
              <w:tab/>
            </w:r>
            <w:r w:rsidR="00DA65C2" w:rsidRPr="004528C4">
              <w:rPr>
                <w:rStyle w:val="Hipersaitas"/>
                <w:noProof/>
                <w:lang w:val="lt-LT"/>
              </w:rPr>
              <w:t>SSGG analizė. Gatvių apšvietimo modernizavimas</w:t>
            </w:r>
            <w:r w:rsidR="00DA65C2">
              <w:rPr>
                <w:noProof/>
                <w:webHidden/>
              </w:rPr>
              <w:tab/>
            </w:r>
            <w:r w:rsidR="00DA65C2">
              <w:rPr>
                <w:noProof/>
                <w:webHidden/>
              </w:rPr>
              <w:fldChar w:fldCharType="begin"/>
            </w:r>
            <w:r w:rsidR="00DA65C2">
              <w:rPr>
                <w:noProof/>
                <w:webHidden/>
              </w:rPr>
              <w:instrText xml:space="preserve"> PAGEREF _Toc417378396 \h </w:instrText>
            </w:r>
            <w:r w:rsidR="00DA65C2">
              <w:rPr>
                <w:noProof/>
                <w:webHidden/>
              </w:rPr>
            </w:r>
            <w:r w:rsidR="00DA65C2">
              <w:rPr>
                <w:noProof/>
                <w:webHidden/>
              </w:rPr>
              <w:fldChar w:fldCharType="separate"/>
            </w:r>
            <w:r w:rsidR="00CB6759">
              <w:rPr>
                <w:noProof/>
                <w:webHidden/>
              </w:rPr>
              <w:t>183</w:t>
            </w:r>
            <w:r w:rsidR="00DA65C2">
              <w:rPr>
                <w:noProof/>
                <w:webHidden/>
              </w:rPr>
              <w:fldChar w:fldCharType="end"/>
            </w:r>
          </w:hyperlink>
        </w:p>
        <w:p w14:paraId="2CE4F324" w14:textId="6A41D4BF" w:rsidR="00DA65C2" w:rsidRDefault="00A65A8D">
          <w:pPr>
            <w:pStyle w:val="Turinys2"/>
            <w:tabs>
              <w:tab w:val="left" w:pos="880"/>
              <w:tab w:val="right" w:leader="dot" w:pos="9016"/>
            </w:tabs>
            <w:rPr>
              <w:rFonts w:eastAsiaTheme="minorEastAsia"/>
              <w:noProof/>
            </w:rPr>
          </w:pPr>
          <w:hyperlink w:anchor="_Toc417378397" w:history="1">
            <w:r w:rsidR="00DA65C2" w:rsidRPr="004528C4">
              <w:rPr>
                <w:rStyle w:val="Hipersaitas"/>
                <w:noProof/>
                <w:lang w:val="lt-LT"/>
              </w:rPr>
              <w:t>4.3.</w:t>
            </w:r>
            <w:r w:rsidR="00DA65C2">
              <w:rPr>
                <w:rFonts w:eastAsiaTheme="minorEastAsia"/>
                <w:noProof/>
              </w:rPr>
              <w:tab/>
            </w:r>
            <w:r w:rsidR="00DA65C2" w:rsidRPr="004528C4">
              <w:rPr>
                <w:rStyle w:val="Hipersaitas"/>
                <w:noProof/>
                <w:lang w:val="lt-LT"/>
              </w:rPr>
              <w:t>Sverto efekto skaičiavimas</w:t>
            </w:r>
            <w:r w:rsidR="00DA65C2">
              <w:rPr>
                <w:noProof/>
                <w:webHidden/>
              </w:rPr>
              <w:tab/>
            </w:r>
            <w:r w:rsidR="00DA65C2">
              <w:rPr>
                <w:noProof/>
                <w:webHidden/>
              </w:rPr>
              <w:fldChar w:fldCharType="begin"/>
            </w:r>
            <w:r w:rsidR="00DA65C2">
              <w:rPr>
                <w:noProof/>
                <w:webHidden/>
              </w:rPr>
              <w:instrText xml:space="preserve"> PAGEREF _Toc417378397 \h </w:instrText>
            </w:r>
            <w:r w:rsidR="00DA65C2">
              <w:rPr>
                <w:noProof/>
                <w:webHidden/>
              </w:rPr>
            </w:r>
            <w:r w:rsidR="00DA65C2">
              <w:rPr>
                <w:noProof/>
                <w:webHidden/>
              </w:rPr>
              <w:fldChar w:fldCharType="separate"/>
            </w:r>
            <w:r w:rsidR="00CB6759">
              <w:rPr>
                <w:noProof/>
                <w:webHidden/>
              </w:rPr>
              <w:t>184</w:t>
            </w:r>
            <w:r w:rsidR="00DA65C2">
              <w:rPr>
                <w:noProof/>
                <w:webHidden/>
              </w:rPr>
              <w:fldChar w:fldCharType="end"/>
            </w:r>
          </w:hyperlink>
        </w:p>
        <w:p w14:paraId="66506F83" w14:textId="7A8B97E6" w:rsidR="00DA65C2" w:rsidRDefault="00A65A8D">
          <w:pPr>
            <w:pStyle w:val="Turinys2"/>
            <w:tabs>
              <w:tab w:val="left" w:pos="880"/>
              <w:tab w:val="right" w:leader="dot" w:pos="9016"/>
            </w:tabs>
            <w:rPr>
              <w:rFonts w:eastAsiaTheme="minorEastAsia"/>
              <w:noProof/>
            </w:rPr>
          </w:pPr>
          <w:hyperlink w:anchor="_Toc417378398" w:history="1">
            <w:r w:rsidR="00DA65C2" w:rsidRPr="004528C4">
              <w:rPr>
                <w:rStyle w:val="Hipersaitas"/>
                <w:noProof/>
                <w:lang w:val="lt-LT"/>
              </w:rPr>
              <w:t>4.4.</w:t>
            </w:r>
            <w:r w:rsidR="00DA65C2">
              <w:rPr>
                <w:rFonts w:eastAsiaTheme="minorEastAsia"/>
                <w:noProof/>
              </w:rPr>
              <w:tab/>
            </w:r>
            <w:r w:rsidR="00DA65C2" w:rsidRPr="004528C4">
              <w:rPr>
                <w:rStyle w:val="Hipersaitas"/>
                <w:noProof/>
                <w:lang w:val="lt-LT"/>
              </w:rPr>
              <w:t>Visų alternatyvų palyginimas</w:t>
            </w:r>
            <w:r w:rsidR="00DA65C2">
              <w:rPr>
                <w:noProof/>
                <w:webHidden/>
              </w:rPr>
              <w:tab/>
            </w:r>
            <w:r w:rsidR="00DA65C2">
              <w:rPr>
                <w:noProof/>
                <w:webHidden/>
              </w:rPr>
              <w:fldChar w:fldCharType="begin"/>
            </w:r>
            <w:r w:rsidR="00DA65C2">
              <w:rPr>
                <w:noProof/>
                <w:webHidden/>
              </w:rPr>
              <w:instrText xml:space="preserve"> PAGEREF _Toc417378398 \h </w:instrText>
            </w:r>
            <w:r w:rsidR="00DA65C2">
              <w:rPr>
                <w:noProof/>
                <w:webHidden/>
              </w:rPr>
            </w:r>
            <w:r w:rsidR="00DA65C2">
              <w:rPr>
                <w:noProof/>
                <w:webHidden/>
              </w:rPr>
              <w:fldChar w:fldCharType="separate"/>
            </w:r>
            <w:r w:rsidR="00CB6759">
              <w:rPr>
                <w:noProof/>
                <w:webHidden/>
              </w:rPr>
              <w:t>188</w:t>
            </w:r>
            <w:r w:rsidR="00DA65C2">
              <w:rPr>
                <w:noProof/>
                <w:webHidden/>
              </w:rPr>
              <w:fldChar w:fldCharType="end"/>
            </w:r>
          </w:hyperlink>
        </w:p>
        <w:p w14:paraId="36D2E0B6" w14:textId="584F3DB3" w:rsidR="00DA65C2" w:rsidRDefault="00A65A8D">
          <w:pPr>
            <w:pStyle w:val="Turinys2"/>
            <w:tabs>
              <w:tab w:val="left" w:pos="1100"/>
              <w:tab w:val="right" w:leader="dot" w:pos="9016"/>
            </w:tabs>
            <w:rPr>
              <w:rFonts w:eastAsiaTheme="minorEastAsia"/>
              <w:noProof/>
            </w:rPr>
          </w:pPr>
          <w:hyperlink w:anchor="_Toc417378399" w:history="1">
            <w:r w:rsidR="00DA65C2" w:rsidRPr="004528C4">
              <w:rPr>
                <w:rStyle w:val="Hipersaitas"/>
                <w:noProof/>
                <w:lang w:val="lt-LT"/>
              </w:rPr>
              <w:t>4.4.1.</w:t>
            </w:r>
            <w:r w:rsidR="00DA65C2">
              <w:rPr>
                <w:rFonts w:eastAsiaTheme="minorEastAsia"/>
                <w:noProof/>
              </w:rPr>
              <w:tab/>
            </w:r>
            <w:r w:rsidR="00DA65C2" w:rsidRPr="004528C4">
              <w:rPr>
                <w:rStyle w:val="Hipersaitas"/>
                <w:noProof/>
                <w:lang w:val="lt-LT"/>
              </w:rPr>
              <w:t>Daugiabučių renovacijos scenarijų palyginimas</w:t>
            </w:r>
            <w:r w:rsidR="00DA65C2">
              <w:rPr>
                <w:noProof/>
                <w:webHidden/>
              </w:rPr>
              <w:tab/>
            </w:r>
            <w:r w:rsidR="00DA65C2">
              <w:rPr>
                <w:noProof/>
                <w:webHidden/>
              </w:rPr>
              <w:fldChar w:fldCharType="begin"/>
            </w:r>
            <w:r w:rsidR="00DA65C2">
              <w:rPr>
                <w:noProof/>
                <w:webHidden/>
              </w:rPr>
              <w:instrText xml:space="preserve"> PAGEREF _Toc417378399 \h </w:instrText>
            </w:r>
            <w:r w:rsidR="00DA65C2">
              <w:rPr>
                <w:noProof/>
                <w:webHidden/>
              </w:rPr>
            </w:r>
            <w:r w:rsidR="00DA65C2">
              <w:rPr>
                <w:noProof/>
                <w:webHidden/>
              </w:rPr>
              <w:fldChar w:fldCharType="separate"/>
            </w:r>
            <w:r w:rsidR="00CB6759">
              <w:rPr>
                <w:noProof/>
                <w:webHidden/>
              </w:rPr>
              <w:t>188</w:t>
            </w:r>
            <w:r w:rsidR="00DA65C2">
              <w:rPr>
                <w:noProof/>
                <w:webHidden/>
              </w:rPr>
              <w:fldChar w:fldCharType="end"/>
            </w:r>
          </w:hyperlink>
        </w:p>
        <w:p w14:paraId="53038414" w14:textId="72FEF27C" w:rsidR="00DA65C2" w:rsidRDefault="00A65A8D">
          <w:pPr>
            <w:pStyle w:val="Turinys2"/>
            <w:tabs>
              <w:tab w:val="left" w:pos="1100"/>
              <w:tab w:val="right" w:leader="dot" w:pos="9016"/>
            </w:tabs>
            <w:rPr>
              <w:rFonts w:eastAsiaTheme="minorEastAsia"/>
              <w:noProof/>
            </w:rPr>
          </w:pPr>
          <w:hyperlink w:anchor="_Toc417378400" w:history="1">
            <w:r w:rsidR="00DA65C2" w:rsidRPr="004528C4">
              <w:rPr>
                <w:rStyle w:val="Hipersaitas"/>
                <w:noProof/>
                <w:lang w:val="lt-LT"/>
              </w:rPr>
              <w:t>4.4.2.</w:t>
            </w:r>
            <w:r w:rsidR="00DA65C2">
              <w:rPr>
                <w:rFonts w:eastAsiaTheme="minorEastAsia"/>
                <w:noProof/>
              </w:rPr>
              <w:tab/>
            </w:r>
            <w:r w:rsidR="00DA65C2" w:rsidRPr="004528C4">
              <w:rPr>
                <w:rStyle w:val="Hipersaitas"/>
                <w:noProof/>
                <w:lang w:val="lt-LT"/>
              </w:rPr>
              <w:t>Centrinės valdžios pastatų renovavimo modelių palyginimas</w:t>
            </w:r>
            <w:r w:rsidR="00DA65C2">
              <w:rPr>
                <w:noProof/>
                <w:webHidden/>
              </w:rPr>
              <w:tab/>
            </w:r>
            <w:r w:rsidR="00DA65C2">
              <w:rPr>
                <w:noProof/>
                <w:webHidden/>
              </w:rPr>
              <w:fldChar w:fldCharType="begin"/>
            </w:r>
            <w:r w:rsidR="00DA65C2">
              <w:rPr>
                <w:noProof/>
                <w:webHidden/>
              </w:rPr>
              <w:instrText xml:space="preserve"> PAGEREF _Toc417378400 \h </w:instrText>
            </w:r>
            <w:r w:rsidR="00DA65C2">
              <w:rPr>
                <w:noProof/>
                <w:webHidden/>
              </w:rPr>
            </w:r>
            <w:r w:rsidR="00DA65C2">
              <w:rPr>
                <w:noProof/>
                <w:webHidden/>
              </w:rPr>
              <w:fldChar w:fldCharType="separate"/>
            </w:r>
            <w:r w:rsidR="00CB6759">
              <w:rPr>
                <w:noProof/>
                <w:webHidden/>
              </w:rPr>
              <w:t>190</w:t>
            </w:r>
            <w:r w:rsidR="00DA65C2">
              <w:rPr>
                <w:noProof/>
                <w:webHidden/>
              </w:rPr>
              <w:fldChar w:fldCharType="end"/>
            </w:r>
          </w:hyperlink>
        </w:p>
        <w:p w14:paraId="48EEC490" w14:textId="39A985EB" w:rsidR="00DA65C2" w:rsidRDefault="00A65A8D">
          <w:pPr>
            <w:pStyle w:val="Turinys2"/>
            <w:tabs>
              <w:tab w:val="left" w:pos="1100"/>
              <w:tab w:val="right" w:leader="dot" w:pos="9016"/>
            </w:tabs>
            <w:rPr>
              <w:rFonts w:eastAsiaTheme="minorEastAsia"/>
              <w:noProof/>
            </w:rPr>
          </w:pPr>
          <w:hyperlink w:anchor="_Toc417378401" w:history="1">
            <w:r w:rsidR="00DA65C2" w:rsidRPr="004528C4">
              <w:rPr>
                <w:rStyle w:val="Hipersaitas"/>
                <w:noProof/>
                <w:lang w:val="lt-LT"/>
              </w:rPr>
              <w:t>4.4.3.</w:t>
            </w:r>
            <w:r w:rsidR="00DA65C2">
              <w:rPr>
                <w:rFonts w:eastAsiaTheme="minorEastAsia"/>
                <w:noProof/>
              </w:rPr>
              <w:tab/>
            </w:r>
            <w:r w:rsidR="00DA65C2" w:rsidRPr="004528C4">
              <w:rPr>
                <w:rStyle w:val="Hipersaitas"/>
                <w:noProof/>
                <w:lang w:val="lt-LT"/>
              </w:rPr>
              <w:t>Gatvių apšvietimo modernizavimo scenarijų palyginimas</w:t>
            </w:r>
            <w:r w:rsidR="00DA65C2">
              <w:rPr>
                <w:noProof/>
                <w:webHidden/>
              </w:rPr>
              <w:tab/>
            </w:r>
            <w:r w:rsidR="00DA65C2">
              <w:rPr>
                <w:noProof/>
                <w:webHidden/>
              </w:rPr>
              <w:fldChar w:fldCharType="begin"/>
            </w:r>
            <w:r w:rsidR="00DA65C2">
              <w:rPr>
                <w:noProof/>
                <w:webHidden/>
              </w:rPr>
              <w:instrText xml:space="preserve"> PAGEREF _Toc417378401 \h </w:instrText>
            </w:r>
            <w:r w:rsidR="00DA65C2">
              <w:rPr>
                <w:noProof/>
                <w:webHidden/>
              </w:rPr>
            </w:r>
            <w:r w:rsidR="00DA65C2">
              <w:rPr>
                <w:noProof/>
                <w:webHidden/>
              </w:rPr>
              <w:fldChar w:fldCharType="separate"/>
            </w:r>
            <w:r w:rsidR="00CB6759">
              <w:rPr>
                <w:noProof/>
                <w:webHidden/>
              </w:rPr>
              <w:t>192</w:t>
            </w:r>
            <w:r w:rsidR="00DA65C2">
              <w:rPr>
                <w:noProof/>
                <w:webHidden/>
              </w:rPr>
              <w:fldChar w:fldCharType="end"/>
            </w:r>
          </w:hyperlink>
        </w:p>
        <w:p w14:paraId="0AF7A53A" w14:textId="3783606A" w:rsidR="00DA65C2" w:rsidRDefault="00A65A8D">
          <w:pPr>
            <w:pStyle w:val="Turinys2"/>
            <w:tabs>
              <w:tab w:val="left" w:pos="1100"/>
              <w:tab w:val="right" w:leader="dot" w:pos="9016"/>
            </w:tabs>
            <w:rPr>
              <w:rFonts w:eastAsiaTheme="minorEastAsia"/>
              <w:noProof/>
            </w:rPr>
          </w:pPr>
          <w:hyperlink w:anchor="_Toc417378402" w:history="1">
            <w:r w:rsidR="00DA65C2" w:rsidRPr="004528C4">
              <w:rPr>
                <w:rStyle w:val="Hipersaitas"/>
                <w:noProof/>
                <w:lang w:val="lt-LT"/>
              </w:rPr>
              <w:t>4.4.4.</w:t>
            </w:r>
            <w:r w:rsidR="00DA65C2">
              <w:rPr>
                <w:rFonts w:eastAsiaTheme="minorEastAsia"/>
                <w:noProof/>
              </w:rPr>
              <w:tab/>
            </w:r>
            <w:r w:rsidR="00DA65C2" w:rsidRPr="004528C4">
              <w:rPr>
                <w:rStyle w:val="Hipersaitas"/>
                <w:noProof/>
                <w:lang w:val="lt-LT"/>
              </w:rPr>
              <w:t>Savivaldybių pastatų modernizavimo modelių palyginimas</w:t>
            </w:r>
            <w:r w:rsidR="00DA65C2">
              <w:rPr>
                <w:noProof/>
                <w:webHidden/>
              </w:rPr>
              <w:tab/>
            </w:r>
            <w:r w:rsidR="00DA65C2">
              <w:rPr>
                <w:noProof/>
                <w:webHidden/>
              </w:rPr>
              <w:fldChar w:fldCharType="begin"/>
            </w:r>
            <w:r w:rsidR="00DA65C2">
              <w:rPr>
                <w:noProof/>
                <w:webHidden/>
              </w:rPr>
              <w:instrText xml:space="preserve"> PAGEREF _Toc417378402 \h </w:instrText>
            </w:r>
            <w:r w:rsidR="00DA65C2">
              <w:rPr>
                <w:noProof/>
                <w:webHidden/>
              </w:rPr>
            </w:r>
            <w:r w:rsidR="00DA65C2">
              <w:rPr>
                <w:noProof/>
                <w:webHidden/>
              </w:rPr>
              <w:fldChar w:fldCharType="separate"/>
            </w:r>
            <w:r w:rsidR="00CB6759">
              <w:rPr>
                <w:noProof/>
                <w:webHidden/>
              </w:rPr>
              <w:t>193</w:t>
            </w:r>
            <w:r w:rsidR="00DA65C2">
              <w:rPr>
                <w:noProof/>
                <w:webHidden/>
              </w:rPr>
              <w:fldChar w:fldCharType="end"/>
            </w:r>
          </w:hyperlink>
        </w:p>
        <w:p w14:paraId="598A5E89" w14:textId="46168665" w:rsidR="00DA65C2" w:rsidRDefault="00A65A8D">
          <w:pPr>
            <w:pStyle w:val="Turinys2"/>
            <w:tabs>
              <w:tab w:val="left" w:pos="880"/>
              <w:tab w:val="right" w:leader="dot" w:pos="9016"/>
            </w:tabs>
            <w:rPr>
              <w:rFonts w:eastAsiaTheme="minorEastAsia"/>
              <w:noProof/>
            </w:rPr>
          </w:pPr>
          <w:hyperlink w:anchor="_Toc417378403" w:history="1">
            <w:r w:rsidR="00DA65C2" w:rsidRPr="004528C4">
              <w:rPr>
                <w:rStyle w:val="Hipersaitas"/>
                <w:noProof/>
                <w:lang w:val="lt-LT"/>
              </w:rPr>
              <w:t>4.5.</w:t>
            </w:r>
            <w:r w:rsidR="00DA65C2">
              <w:rPr>
                <w:rFonts w:eastAsiaTheme="minorEastAsia"/>
                <w:noProof/>
              </w:rPr>
              <w:tab/>
            </w:r>
            <w:r w:rsidR="00DA65C2" w:rsidRPr="004528C4">
              <w:rPr>
                <w:rStyle w:val="Hipersaitas"/>
                <w:noProof/>
                <w:lang w:val="lt-LT"/>
              </w:rPr>
              <w:t>Finansinės priemonės darna su kitomis viešųjų intervencijų formomis</w:t>
            </w:r>
            <w:r w:rsidR="00DA65C2">
              <w:rPr>
                <w:noProof/>
                <w:webHidden/>
              </w:rPr>
              <w:tab/>
            </w:r>
            <w:r w:rsidR="00DA65C2">
              <w:rPr>
                <w:noProof/>
                <w:webHidden/>
              </w:rPr>
              <w:fldChar w:fldCharType="begin"/>
            </w:r>
            <w:r w:rsidR="00DA65C2">
              <w:rPr>
                <w:noProof/>
                <w:webHidden/>
              </w:rPr>
              <w:instrText xml:space="preserve"> PAGEREF _Toc417378403 \h </w:instrText>
            </w:r>
            <w:r w:rsidR="00DA65C2">
              <w:rPr>
                <w:noProof/>
                <w:webHidden/>
              </w:rPr>
            </w:r>
            <w:r w:rsidR="00DA65C2">
              <w:rPr>
                <w:noProof/>
                <w:webHidden/>
              </w:rPr>
              <w:fldChar w:fldCharType="separate"/>
            </w:r>
            <w:r w:rsidR="00CB6759">
              <w:rPr>
                <w:noProof/>
                <w:webHidden/>
              </w:rPr>
              <w:t>195</w:t>
            </w:r>
            <w:r w:rsidR="00DA65C2">
              <w:rPr>
                <w:noProof/>
                <w:webHidden/>
              </w:rPr>
              <w:fldChar w:fldCharType="end"/>
            </w:r>
          </w:hyperlink>
        </w:p>
        <w:p w14:paraId="2C599E03" w14:textId="692E99E5" w:rsidR="00DA65C2" w:rsidRDefault="00A65A8D">
          <w:pPr>
            <w:pStyle w:val="Turinys2"/>
            <w:tabs>
              <w:tab w:val="left" w:pos="880"/>
              <w:tab w:val="right" w:leader="dot" w:pos="9016"/>
            </w:tabs>
            <w:rPr>
              <w:rFonts w:eastAsiaTheme="minorEastAsia"/>
              <w:noProof/>
            </w:rPr>
          </w:pPr>
          <w:hyperlink w:anchor="_Toc417378404" w:history="1">
            <w:r w:rsidR="00DA65C2" w:rsidRPr="004528C4">
              <w:rPr>
                <w:rStyle w:val="Hipersaitas"/>
                <w:noProof/>
                <w:lang w:val="lt-LT"/>
              </w:rPr>
              <w:t>4.6.</w:t>
            </w:r>
            <w:r w:rsidR="00DA65C2">
              <w:rPr>
                <w:rFonts w:eastAsiaTheme="minorEastAsia"/>
                <w:noProof/>
              </w:rPr>
              <w:tab/>
            </w:r>
            <w:r w:rsidR="00DA65C2" w:rsidRPr="004528C4">
              <w:rPr>
                <w:rStyle w:val="Hipersaitas"/>
                <w:noProof/>
                <w:lang w:val="lt-LT"/>
              </w:rPr>
              <w:t>Finansinių priemonių poveikis valstybės biudžeto deficitui ir valstybės skolai</w:t>
            </w:r>
            <w:r w:rsidR="00DA65C2">
              <w:rPr>
                <w:noProof/>
                <w:webHidden/>
              </w:rPr>
              <w:tab/>
            </w:r>
            <w:r w:rsidR="00DA65C2">
              <w:rPr>
                <w:noProof/>
                <w:webHidden/>
              </w:rPr>
              <w:fldChar w:fldCharType="begin"/>
            </w:r>
            <w:r w:rsidR="00DA65C2">
              <w:rPr>
                <w:noProof/>
                <w:webHidden/>
              </w:rPr>
              <w:instrText xml:space="preserve"> PAGEREF _Toc417378404 \h </w:instrText>
            </w:r>
            <w:r w:rsidR="00DA65C2">
              <w:rPr>
                <w:noProof/>
                <w:webHidden/>
              </w:rPr>
            </w:r>
            <w:r w:rsidR="00DA65C2">
              <w:rPr>
                <w:noProof/>
                <w:webHidden/>
              </w:rPr>
              <w:fldChar w:fldCharType="separate"/>
            </w:r>
            <w:r w:rsidR="00CB6759">
              <w:rPr>
                <w:noProof/>
                <w:webHidden/>
              </w:rPr>
              <w:t>197</w:t>
            </w:r>
            <w:r w:rsidR="00DA65C2">
              <w:rPr>
                <w:noProof/>
                <w:webHidden/>
              </w:rPr>
              <w:fldChar w:fldCharType="end"/>
            </w:r>
          </w:hyperlink>
        </w:p>
        <w:p w14:paraId="050FB6AE" w14:textId="3BD2D1CA" w:rsidR="00DA65C2" w:rsidRDefault="00A65A8D">
          <w:pPr>
            <w:pStyle w:val="Turinys1"/>
            <w:tabs>
              <w:tab w:val="left" w:pos="660"/>
              <w:tab w:val="right" w:leader="dot" w:pos="9016"/>
            </w:tabs>
            <w:rPr>
              <w:rFonts w:eastAsiaTheme="minorEastAsia"/>
              <w:noProof/>
            </w:rPr>
          </w:pPr>
          <w:hyperlink w:anchor="_Toc417378405" w:history="1">
            <w:r w:rsidR="00DA65C2" w:rsidRPr="004528C4">
              <w:rPr>
                <w:rStyle w:val="Hipersaitas"/>
                <w:rFonts w:cs="Arial"/>
                <w:noProof/>
                <w:lang w:val="lt-LT"/>
              </w:rPr>
              <w:t>5.</w:t>
            </w:r>
            <w:r w:rsidR="00DA65C2">
              <w:rPr>
                <w:rFonts w:eastAsiaTheme="minorEastAsia"/>
                <w:noProof/>
              </w:rPr>
              <w:tab/>
            </w:r>
            <w:r w:rsidR="00DA65C2" w:rsidRPr="004528C4">
              <w:rPr>
                <w:rStyle w:val="Hipersaitas"/>
                <w:noProof/>
                <w:lang w:val="lt-LT"/>
              </w:rPr>
              <w:t>Valstybės pagalba</w:t>
            </w:r>
            <w:r w:rsidR="00DA65C2">
              <w:rPr>
                <w:noProof/>
                <w:webHidden/>
              </w:rPr>
              <w:tab/>
            </w:r>
            <w:r w:rsidR="00DA65C2">
              <w:rPr>
                <w:noProof/>
                <w:webHidden/>
              </w:rPr>
              <w:fldChar w:fldCharType="begin"/>
            </w:r>
            <w:r w:rsidR="00DA65C2">
              <w:rPr>
                <w:noProof/>
                <w:webHidden/>
              </w:rPr>
              <w:instrText xml:space="preserve"> PAGEREF _Toc417378405 \h </w:instrText>
            </w:r>
            <w:r w:rsidR="00DA65C2">
              <w:rPr>
                <w:noProof/>
                <w:webHidden/>
              </w:rPr>
            </w:r>
            <w:r w:rsidR="00DA65C2">
              <w:rPr>
                <w:noProof/>
                <w:webHidden/>
              </w:rPr>
              <w:fldChar w:fldCharType="separate"/>
            </w:r>
            <w:r w:rsidR="00CB6759">
              <w:rPr>
                <w:noProof/>
                <w:webHidden/>
              </w:rPr>
              <w:t>199</w:t>
            </w:r>
            <w:r w:rsidR="00DA65C2">
              <w:rPr>
                <w:noProof/>
                <w:webHidden/>
              </w:rPr>
              <w:fldChar w:fldCharType="end"/>
            </w:r>
          </w:hyperlink>
        </w:p>
        <w:p w14:paraId="46DFDFAB" w14:textId="21C705EE" w:rsidR="00DA65C2" w:rsidRDefault="00A65A8D">
          <w:pPr>
            <w:pStyle w:val="Turinys2"/>
            <w:tabs>
              <w:tab w:val="left" w:pos="880"/>
              <w:tab w:val="right" w:leader="dot" w:pos="9016"/>
            </w:tabs>
            <w:rPr>
              <w:rFonts w:eastAsiaTheme="minorEastAsia"/>
              <w:noProof/>
            </w:rPr>
          </w:pPr>
          <w:hyperlink w:anchor="_Toc417378406" w:history="1">
            <w:r w:rsidR="00DA65C2" w:rsidRPr="004528C4">
              <w:rPr>
                <w:rStyle w:val="Hipersaitas"/>
                <w:noProof/>
                <w:lang w:val="lt-LT"/>
              </w:rPr>
              <w:t>5.1.</w:t>
            </w:r>
            <w:r w:rsidR="00DA65C2">
              <w:rPr>
                <w:rFonts w:eastAsiaTheme="minorEastAsia"/>
                <w:noProof/>
              </w:rPr>
              <w:tab/>
            </w:r>
            <w:r w:rsidR="00DA65C2" w:rsidRPr="004528C4">
              <w:rPr>
                <w:rStyle w:val="Hipersaitas"/>
                <w:noProof/>
                <w:lang w:val="lt-LT"/>
              </w:rPr>
              <w:t>Valstybės pagalbos teikimo požymių apibūdinimas</w:t>
            </w:r>
            <w:r w:rsidR="00DA65C2">
              <w:rPr>
                <w:noProof/>
                <w:webHidden/>
              </w:rPr>
              <w:tab/>
            </w:r>
            <w:r w:rsidR="00DA65C2">
              <w:rPr>
                <w:noProof/>
                <w:webHidden/>
              </w:rPr>
              <w:fldChar w:fldCharType="begin"/>
            </w:r>
            <w:r w:rsidR="00DA65C2">
              <w:rPr>
                <w:noProof/>
                <w:webHidden/>
              </w:rPr>
              <w:instrText xml:space="preserve"> PAGEREF _Toc417378406 \h </w:instrText>
            </w:r>
            <w:r w:rsidR="00DA65C2">
              <w:rPr>
                <w:noProof/>
                <w:webHidden/>
              </w:rPr>
            </w:r>
            <w:r w:rsidR="00DA65C2">
              <w:rPr>
                <w:noProof/>
                <w:webHidden/>
              </w:rPr>
              <w:fldChar w:fldCharType="separate"/>
            </w:r>
            <w:r w:rsidR="00CB6759">
              <w:rPr>
                <w:noProof/>
                <w:webHidden/>
              </w:rPr>
              <w:t>200</w:t>
            </w:r>
            <w:r w:rsidR="00DA65C2">
              <w:rPr>
                <w:noProof/>
                <w:webHidden/>
              </w:rPr>
              <w:fldChar w:fldCharType="end"/>
            </w:r>
          </w:hyperlink>
        </w:p>
        <w:p w14:paraId="15946E47" w14:textId="6B3B433D" w:rsidR="00DA65C2" w:rsidRDefault="00A65A8D">
          <w:pPr>
            <w:pStyle w:val="Turinys2"/>
            <w:tabs>
              <w:tab w:val="left" w:pos="1100"/>
              <w:tab w:val="right" w:leader="dot" w:pos="9016"/>
            </w:tabs>
            <w:rPr>
              <w:rFonts w:eastAsiaTheme="minorEastAsia"/>
              <w:noProof/>
            </w:rPr>
          </w:pPr>
          <w:hyperlink w:anchor="_Toc417378407" w:history="1">
            <w:r w:rsidR="00DA65C2" w:rsidRPr="004528C4">
              <w:rPr>
                <w:rStyle w:val="Hipersaitas"/>
                <w:noProof/>
                <w:lang w:val="lt-LT"/>
              </w:rPr>
              <w:t>5.1.1.</w:t>
            </w:r>
            <w:r w:rsidR="00DA65C2">
              <w:rPr>
                <w:rFonts w:eastAsiaTheme="minorEastAsia"/>
                <w:noProof/>
              </w:rPr>
              <w:tab/>
            </w:r>
            <w:r w:rsidR="00DA65C2" w:rsidRPr="004528C4">
              <w:rPr>
                <w:rStyle w:val="Hipersaitas"/>
                <w:noProof/>
                <w:lang w:val="lt-LT"/>
              </w:rPr>
              <w:t>Priemonės priskyrimas viešajam sektoriui</w:t>
            </w:r>
            <w:r w:rsidR="00DA65C2">
              <w:rPr>
                <w:noProof/>
                <w:webHidden/>
              </w:rPr>
              <w:tab/>
            </w:r>
            <w:r w:rsidR="00DA65C2">
              <w:rPr>
                <w:noProof/>
                <w:webHidden/>
              </w:rPr>
              <w:fldChar w:fldCharType="begin"/>
            </w:r>
            <w:r w:rsidR="00DA65C2">
              <w:rPr>
                <w:noProof/>
                <w:webHidden/>
              </w:rPr>
              <w:instrText xml:space="preserve"> PAGEREF _Toc417378407 \h </w:instrText>
            </w:r>
            <w:r w:rsidR="00DA65C2">
              <w:rPr>
                <w:noProof/>
                <w:webHidden/>
              </w:rPr>
            </w:r>
            <w:r w:rsidR="00DA65C2">
              <w:rPr>
                <w:noProof/>
                <w:webHidden/>
              </w:rPr>
              <w:fldChar w:fldCharType="separate"/>
            </w:r>
            <w:r w:rsidR="00CB6759">
              <w:rPr>
                <w:noProof/>
                <w:webHidden/>
              </w:rPr>
              <w:t>200</w:t>
            </w:r>
            <w:r w:rsidR="00DA65C2">
              <w:rPr>
                <w:noProof/>
                <w:webHidden/>
              </w:rPr>
              <w:fldChar w:fldCharType="end"/>
            </w:r>
          </w:hyperlink>
        </w:p>
        <w:p w14:paraId="7A575462" w14:textId="5B8F7BD0" w:rsidR="00DA65C2" w:rsidRDefault="00A65A8D">
          <w:pPr>
            <w:pStyle w:val="Turinys2"/>
            <w:tabs>
              <w:tab w:val="left" w:pos="1100"/>
              <w:tab w:val="right" w:leader="dot" w:pos="9016"/>
            </w:tabs>
            <w:rPr>
              <w:rFonts w:eastAsiaTheme="minorEastAsia"/>
              <w:noProof/>
            </w:rPr>
          </w:pPr>
          <w:hyperlink w:anchor="_Toc417378408" w:history="1">
            <w:r w:rsidR="00DA65C2" w:rsidRPr="004528C4">
              <w:rPr>
                <w:rStyle w:val="Hipersaitas"/>
                <w:noProof/>
                <w:lang w:val="lt-LT"/>
              </w:rPr>
              <w:t>5.1.2.</w:t>
            </w:r>
            <w:r w:rsidR="00DA65C2">
              <w:rPr>
                <w:rFonts w:eastAsiaTheme="minorEastAsia"/>
                <w:noProof/>
              </w:rPr>
              <w:tab/>
            </w:r>
            <w:r w:rsidR="00DA65C2" w:rsidRPr="004528C4">
              <w:rPr>
                <w:rStyle w:val="Hipersaitas"/>
                <w:noProof/>
                <w:lang w:val="lt-LT"/>
              </w:rPr>
              <w:t>Ekonominio pranašumo suteikimas</w:t>
            </w:r>
            <w:r w:rsidR="00DA65C2">
              <w:rPr>
                <w:noProof/>
                <w:webHidden/>
              </w:rPr>
              <w:tab/>
            </w:r>
            <w:r w:rsidR="00DA65C2">
              <w:rPr>
                <w:noProof/>
                <w:webHidden/>
              </w:rPr>
              <w:fldChar w:fldCharType="begin"/>
            </w:r>
            <w:r w:rsidR="00DA65C2">
              <w:rPr>
                <w:noProof/>
                <w:webHidden/>
              </w:rPr>
              <w:instrText xml:space="preserve"> PAGEREF _Toc417378408 \h </w:instrText>
            </w:r>
            <w:r w:rsidR="00DA65C2">
              <w:rPr>
                <w:noProof/>
                <w:webHidden/>
              </w:rPr>
            </w:r>
            <w:r w:rsidR="00DA65C2">
              <w:rPr>
                <w:noProof/>
                <w:webHidden/>
              </w:rPr>
              <w:fldChar w:fldCharType="separate"/>
            </w:r>
            <w:r w:rsidR="00CB6759">
              <w:rPr>
                <w:noProof/>
                <w:webHidden/>
              </w:rPr>
              <w:t>201</w:t>
            </w:r>
            <w:r w:rsidR="00DA65C2">
              <w:rPr>
                <w:noProof/>
                <w:webHidden/>
              </w:rPr>
              <w:fldChar w:fldCharType="end"/>
            </w:r>
          </w:hyperlink>
        </w:p>
        <w:p w14:paraId="034D3575" w14:textId="2A8DAFC2" w:rsidR="00DA65C2" w:rsidRDefault="00A65A8D">
          <w:pPr>
            <w:pStyle w:val="Turinys2"/>
            <w:tabs>
              <w:tab w:val="left" w:pos="1100"/>
              <w:tab w:val="right" w:leader="dot" w:pos="9016"/>
            </w:tabs>
            <w:rPr>
              <w:rFonts w:eastAsiaTheme="minorEastAsia"/>
              <w:noProof/>
            </w:rPr>
          </w:pPr>
          <w:hyperlink w:anchor="_Toc417378409" w:history="1">
            <w:r w:rsidR="00DA65C2" w:rsidRPr="004528C4">
              <w:rPr>
                <w:rStyle w:val="Hipersaitas"/>
                <w:noProof/>
                <w:lang w:val="lt-LT"/>
              </w:rPr>
              <w:t>5.1.3.</w:t>
            </w:r>
            <w:r w:rsidR="00DA65C2">
              <w:rPr>
                <w:rFonts w:eastAsiaTheme="minorEastAsia"/>
                <w:noProof/>
              </w:rPr>
              <w:tab/>
            </w:r>
            <w:r w:rsidR="00DA65C2" w:rsidRPr="004528C4">
              <w:rPr>
                <w:rStyle w:val="Hipersaitas"/>
                <w:noProof/>
                <w:lang w:val="lt-LT"/>
              </w:rPr>
              <w:t>Priemonės selektyvumas</w:t>
            </w:r>
            <w:r w:rsidR="00DA65C2">
              <w:rPr>
                <w:noProof/>
                <w:webHidden/>
              </w:rPr>
              <w:tab/>
            </w:r>
            <w:r w:rsidR="00DA65C2">
              <w:rPr>
                <w:noProof/>
                <w:webHidden/>
              </w:rPr>
              <w:fldChar w:fldCharType="begin"/>
            </w:r>
            <w:r w:rsidR="00DA65C2">
              <w:rPr>
                <w:noProof/>
                <w:webHidden/>
              </w:rPr>
              <w:instrText xml:space="preserve"> PAGEREF _Toc417378409 \h </w:instrText>
            </w:r>
            <w:r w:rsidR="00DA65C2">
              <w:rPr>
                <w:noProof/>
                <w:webHidden/>
              </w:rPr>
            </w:r>
            <w:r w:rsidR="00DA65C2">
              <w:rPr>
                <w:noProof/>
                <w:webHidden/>
              </w:rPr>
              <w:fldChar w:fldCharType="separate"/>
            </w:r>
            <w:r w:rsidR="00CB6759">
              <w:rPr>
                <w:noProof/>
                <w:webHidden/>
              </w:rPr>
              <w:t>202</w:t>
            </w:r>
            <w:r w:rsidR="00DA65C2">
              <w:rPr>
                <w:noProof/>
                <w:webHidden/>
              </w:rPr>
              <w:fldChar w:fldCharType="end"/>
            </w:r>
          </w:hyperlink>
        </w:p>
        <w:p w14:paraId="440874BD" w14:textId="189C6D1C" w:rsidR="00DA65C2" w:rsidRDefault="00A65A8D">
          <w:pPr>
            <w:pStyle w:val="Turinys2"/>
            <w:tabs>
              <w:tab w:val="left" w:pos="1100"/>
              <w:tab w:val="right" w:leader="dot" w:pos="9016"/>
            </w:tabs>
            <w:rPr>
              <w:rFonts w:eastAsiaTheme="minorEastAsia"/>
              <w:noProof/>
            </w:rPr>
          </w:pPr>
          <w:hyperlink w:anchor="_Toc417378410" w:history="1">
            <w:r w:rsidR="00DA65C2" w:rsidRPr="004528C4">
              <w:rPr>
                <w:rStyle w:val="Hipersaitas"/>
                <w:noProof/>
                <w:lang w:val="lt-LT"/>
              </w:rPr>
              <w:t>5.1.4.</w:t>
            </w:r>
            <w:r w:rsidR="00DA65C2">
              <w:rPr>
                <w:rFonts w:eastAsiaTheme="minorEastAsia"/>
                <w:noProof/>
              </w:rPr>
              <w:tab/>
            </w:r>
            <w:r w:rsidR="00DA65C2" w:rsidRPr="004528C4">
              <w:rPr>
                <w:rStyle w:val="Hipersaitas"/>
                <w:noProof/>
                <w:lang w:val="lt-LT"/>
              </w:rPr>
              <w:t>Priemonės poveikis konkurencijai ir (ar) prekybai</w:t>
            </w:r>
            <w:r w:rsidR="00DA65C2">
              <w:rPr>
                <w:noProof/>
                <w:webHidden/>
              </w:rPr>
              <w:tab/>
            </w:r>
            <w:r w:rsidR="00DA65C2">
              <w:rPr>
                <w:noProof/>
                <w:webHidden/>
              </w:rPr>
              <w:fldChar w:fldCharType="begin"/>
            </w:r>
            <w:r w:rsidR="00DA65C2">
              <w:rPr>
                <w:noProof/>
                <w:webHidden/>
              </w:rPr>
              <w:instrText xml:space="preserve"> PAGEREF _Toc417378410 \h </w:instrText>
            </w:r>
            <w:r w:rsidR="00DA65C2">
              <w:rPr>
                <w:noProof/>
                <w:webHidden/>
              </w:rPr>
            </w:r>
            <w:r w:rsidR="00DA65C2">
              <w:rPr>
                <w:noProof/>
                <w:webHidden/>
              </w:rPr>
              <w:fldChar w:fldCharType="separate"/>
            </w:r>
            <w:r w:rsidR="00CB6759">
              <w:rPr>
                <w:noProof/>
                <w:webHidden/>
              </w:rPr>
              <w:t>202</w:t>
            </w:r>
            <w:r w:rsidR="00DA65C2">
              <w:rPr>
                <w:noProof/>
                <w:webHidden/>
              </w:rPr>
              <w:fldChar w:fldCharType="end"/>
            </w:r>
          </w:hyperlink>
        </w:p>
        <w:p w14:paraId="13734916" w14:textId="44129786" w:rsidR="00DA65C2" w:rsidRDefault="00A65A8D">
          <w:pPr>
            <w:pStyle w:val="Turinys2"/>
            <w:tabs>
              <w:tab w:val="left" w:pos="880"/>
              <w:tab w:val="right" w:leader="dot" w:pos="9016"/>
            </w:tabs>
            <w:rPr>
              <w:rFonts w:eastAsiaTheme="minorEastAsia"/>
              <w:noProof/>
            </w:rPr>
          </w:pPr>
          <w:hyperlink w:anchor="_Toc417378411" w:history="1">
            <w:r w:rsidR="00DA65C2" w:rsidRPr="004528C4">
              <w:rPr>
                <w:rStyle w:val="Hipersaitas"/>
                <w:noProof/>
                <w:lang w:val="lt-LT"/>
              </w:rPr>
              <w:t>5.2.</w:t>
            </w:r>
            <w:r w:rsidR="00DA65C2">
              <w:rPr>
                <w:rFonts w:eastAsiaTheme="minorEastAsia"/>
                <w:noProof/>
              </w:rPr>
              <w:tab/>
            </w:r>
            <w:r w:rsidR="00DA65C2" w:rsidRPr="004528C4">
              <w:rPr>
                <w:rStyle w:val="Hipersaitas"/>
                <w:noProof/>
                <w:lang w:val="lt-LT"/>
              </w:rPr>
              <w:t>Numatomų vykdyti finansinių priemonių apribojimai, susiję su valstybės pagalbos taisyklių reikalavimais</w:t>
            </w:r>
            <w:r w:rsidR="00DA65C2">
              <w:rPr>
                <w:noProof/>
                <w:webHidden/>
              </w:rPr>
              <w:tab/>
            </w:r>
            <w:r w:rsidR="00DA65C2">
              <w:rPr>
                <w:noProof/>
                <w:webHidden/>
              </w:rPr>
              <w:fldChar w:fldCharType="begin"/>
            </w:r>
            <w:r w:rsidR="00DA65C2">
              <w:rPr>
                <w:noProof/>
                <w:webHidden/>
              </w:rPr>
              <w:instrText xml:space="preserve"> PAGEREF _Toc417378411 \h </w:instrText>
            </w:r>
            <w:r w:rsidR="00DA65C2">
              <w:rPr>
                <w:noProof/>
                <w:webHidden/>
              </w:rPr>
            </w:r>
            <w:r w:rsidR="00DA65C2">
              <w:rPr>
                <w:noProof/>
                <w:webHidden/>
              </w:rPr>
              <w:fldChar w:fldCharType="separate"/>
            </w:r>
            <w:r w:rsidR="00CB6759">
              <w:rPr>
                <w:noProof/>
                <w:webHidden/>
              </w:rPr>
              <w:t>203</w:t>
            </w:r>
            <w:r w:rsidR="00DA65C2">
              <w:rPr>
                <w:noProof/>
                <w:webHidden/>
              </w:rPr>
              <w:fldChar w:fldCharType="end"/>
            </w:r>
          </w:hyperlink>
        </w:p>
        <w:p w14:paraId="48C793FA" w14:textId="184BCD0B" w:rsidR="00DA65C2" w:rsidRDefault="00A65A8D">
          <w:pPr>
            <w:pStyle w:val="Turinys2"/>
            <w:tabs>
              <w:tab w:val="left" w:pos="1100"/>
              <w:tab w:val="right" w:leader="dot" w:pos="9016"/>
            </w:tabs>
            <w:rPr>
              <w:rFonts w:eastAsiaTheme="minorEastAsia"/>
              <w:noProof/>
            </w:rPr>
          </w:pPr>
          <w:hyperlink w:anchor="_Toc417378412" w:history="1">
            <w:r w:rsidR="00DA65C2" w:rsidRPr="004528C4">
              <w:rPr>
                <w:rStyle w:val="Hipersaitas"/>
                <w:noProof/>
                <w:lang w:val="lt-LT"/>
              </w:rPr>
              <w:t>5.2.1.</w:t>
            </w:r>
            <w:r w:rsidR="00DA65C2">
              <w:rPr>
                <w:rFonts w:eastAsiaTheme="minorEastAsia"/>
                <w:noProof/>
              </w:rPr>
              <w:tab/>
            </w:r>
            <w:r w:rsidR="00DA65C2" w:rsidRPr="004528C4">
              <w:rPr>
                <w:rStyle w:val="Hipersaitas"/>
                <w:noProof/>
                <w:lang w:val="lt-LT"/>
              </w:rPr>
              <w:t>Daugiabučių renovacijos finansinių priemonių vertinimas</w:t>
            </w:r>
            <w:r w:rsidR="00DA65C2">
              <w:rPr>
                <w:noProof/>
                <w:webHidden/>
              </w:rPr>
              <w:tab/>
            </w:r>
            <w:r w:rsidR="00DA65C2">
              <w:rPr>
                <w:noProof/>
                <w:webHidden/>
              </w:rPr>
              <w:fldChar w:fldCharType="begin"/>
            </w:r>
            <w:r w:rsidR="00DA65C2">
              <w:rPr>
                <w:noProof/>
                <w:webHidden/>
              </w:rPr>
              <w:instrText xml:space="preserve"> PAGEREF _Toc417378412 \h </w:instrText>
            </w:r>
            <w:r w:rsidR="00DA65C2">
              <w:rPr>
                <w:noProof/>
                <w:webHidden/>
              </w:rPr>
            </w:r>
            <w:r w:rsidR="00DA65C2">
              <w:rPr>
                <w:noProof/>
                <w:webHidden/>
              </w:rPr>
              <w:fldChar w:fldCharType="separate"/>
            </w:r>
            <w:r w:rsidR="00CB6759">
              <w:rPr>
                <w:noProof/>
                <w:webHidden/>
              </w:rPr>
              <w:t>203</w:t>
            </w:r>
            <w:r w:rsidR="00DA65C2">
              <w:rPr>
                <w:noProof/>
                <w:webHidden/>
              </w:rPr>
              <w:fldChar w:fldCharType="end"/>
            </w:r>
          </w:hyperlink>
        </w:p>
        <w:p w14:paraId="2B84C67F" w14:textId="2F05DEE9" w:rsidR="00DA65C2" w:rsidRDefault="00A65A8D">
          <w:pPr>
            <w:pStyle w:val="Turinys2"/>
            <w:tabs>
              <w:tab w:val="left" w:pos="1320"/>
              <w:tab w:val="right" w:leader="dot" w:pos="9016"/>
            </w:tabs>
            <w:rPr>
              <w:rFonts w:eastAsiaTheme="minorEastAsia"/>
              <w:noProof/>
            </w:rPr>
          </w:pPr>
          <w:hyperlink w:anchor="_Toc417378413" w:history="1">
            <w:r w:rsidR="00DA65C2" w:rsidRPr="004528C4">
              <w:rPr>
                <w:rStyle w:val="Hipersaitas"/>
                <w:noProof/>
                <w:lang w:val="lt-LT"/>
              </w:rPr>
              <w:t>5.2.1.1.</w:t>
            </w:r>
            <w:r w:rsidR="00DA65C2">
              <w:rPr>
                <w:rFonts w:eastAsiaTheme="minorEastAsia"/>
                <w:noProof/>
              </w:rPr>
              <w:tab/>
            </w:r>
            <w:r w:rsidR="00DA65C2" w:rsidRPr="004528C4">
              <w:rPr>
                <w:rStyle w:val="Hipersaitas"/>
                <w:noProof/>
                <w:lang w:val="lt-LT"/>
              </w:rPr>
              <w:t>Priemonės įgyvendinimo mechanizmo klasifikavimas</w:t>
            </w:r>
            <w:r w:rsidR="00DA65C2">
              <w:rPr>
                <w:noProof/>
                <w:webHidden/>
              </w:rPr>
              <w:tab/>
            </w:r>
            <w:r w:rsidR="00DA65C2">
              <w:rPr>
                <w:noProof/>
                <w:webHidden/>
              </w:rPr>
              <w:fldChar w:fldCharType="begin"/>
            </w:r>
            <w:r w:rsidR="00DA65C2">
              <w:rPr>
                <w:noProof/>
                <w:webHidden/>
              </w:rPr>
              <w:instrText xml:space="preserve"> PAGEREF _Toc417378413 \h </w:instrText>
            </w:r>
            <w:r w:rsidR="00DA65C2">
              <w:rPr>
                <w:noProof/>
                <w:webHidden/>
              </w:rPr>
            </w:r>
            <w:r w:rsidR="00DA65C2">
              <w:rPr>
                <w:noProof/>
                <w:webHidden/>
              </w:rPr>
              <w:fldChar w:fldCharType="separate"/>
            </w:r>
            <w:r w:rsidR="00CB6759">
              <w:rPr>
                <w:noProof/>
                <w:webHidden/>
              </w:rPr>
              <w:t>204</w:t>
            </w:r>
            <w:r w:rsidR="00DA65C2">
              <w:rPr>
                <w:noProof/>
                <w:webHidden/>
              </w:rPr>
              <w:fldChar w:fldCharType="end"/>
            </w:r>
          </w:hyperlink>
        </w:p>
        <w:p w14:paraId="1FBFC676" w14:textId="0F45682A" w:rsidR="00DA65C2" w:rsidRDefault="00A65A8D">
          <w:pPr>
            <w:pStyle w:val="Turinys2"/>
            <w:tabs>
              <w:tab w:val="left" w:pos="1320"/>
              <w:tab w:val="right" w:leader="dot" w:pos="9016"/>
            </w:tabs>
            <w:rPr>
              <w:rFonts w:eastAsiaTheme="minorEastAsia"/>
              <w:noProof/>
            </w:rPr>
          </w:pPr>
          <w:hyperlink w:anchor="_Toc417378414" w:history="1">
            <w:r w:rsidR="00DA65C2" w:rsidRPr="004528C4">
              <w:rPr>
                <w:rStyle w:val="Hipersaitas"/>
                <w:noProof/>
                <w:lang w:val="lt-LT"/>
              </w:rPr>
              <w:t>5.2.1.2.</w:t>
            </w:r>
            <w:r w:rsidR="00DA65C2">
              <w:rPr>
                <w:rFonts w:eastAsiaTheme="minorEastAsia"/>
                <w:noProof/>
              </w:rPr>
              <w:tab/>
            </w:r>
            <w:r w:rsidR="00DA65C2" w:rsidRPr="004528C4">
              <w:rPr>
                <w:rStyle w:val="Hipersaitas"/>
                <w:noProof/>
                <w:lang w:val="lt-LT"/>
              </w:rPr>
              <w:t>Priemonės įgyvendinimo suderinamumo vertinimas</w:t>
            </w:r>
            <w:r w:rsidR="00DA65C2">
              <w:rPr>
                <w:noProof/>
                <w:webHidden/>
              </w:rPr>
              <w:tab/>
            </w:r>
            <w:r w:rsidR="00DA65C2">
              <w:rPr>
                <w:noProof/>
                <w:webHidden/>
              </w:rPr>
              <w:fldChar w:fldCharType="begin"/>
            </w:r>
            <w:r w:rsidR="00DA65C2">
              <w:rPr>
                <w:noProof/>
                <w:webHidden/>
              </w:rPr>
              <w:instrText xml:space="preserve"> PAGEREF _Toc417378414 \h </w:instrText>
            </w:r>
            <w:r w:rsidR="00DA65C2">
              <w:rPr>
                <w:noProof/>
                <w:webHidden/>
              </w:rPr>
            </w:r>
            <w:r w:rsidR="00DA65C2">
              <w:rPr>
                <w:noProof/>
                <w:webHidden/>
              </w:rPr>
              <w:fldChar w:fldCharType="separate"/>
            </w:r>
            <w:r w:rsidR="00CB6759">
              <w:rPr>
                <w:noProof/>
                <w:webHidden/>
              </w:rPr>
              <w:t>209</w:t>
            </w:r>
            <w:r w:rsidR="00DA65C2">
              <w:rPr>
                <w:noProof/>
                <w:webHidden/>
              </w:rPr>
              <w:fldChar w:fldCharType="end"/>
            </w:r>
          </w:hyperlink>
        </w:p>
        <w:p w14:paraId="1B2D6BEB" w14:textId="74B9CCBA" w:rsidR="00DA65C2" w:rsidRDefault="00A65A8D">
          <w:pPr>
            <w:pStyle w:val="Turinys2"/>
            <w:tabs>
              <w:tab w:val="left" w:pos="1320"/>
              <w:tab w:val="right" w:leader="dot" w:pos="9016"/>
            </w:tabs>
            <w:rPr>
              <w:rFonts w:eastAsiaTheme="minorEastAsia"/>
              <w:noProof/>
            </w:rPr>
          </w:pPr>
          <w:hyperlink w:anchor="_Toc417378415" w:history="1">
            <w:r w:rsidR="00DA65C2" w:rsidRPr="004528C4">
              <w:rPr>
                <w:rStyle w:val="Hipersaitas"/>
                <w:noProof/>
                <w:lang w:val="lt-LT"/>
              </w:rPr>
              <w:t>5.2.1.3.</w:t>
            </w:r>
            <w:r w:rsidR="00DA65C2">
              <w:rPr>
                <w:rFonts w:eastAsiaTheme="minorEastAsia"/>
                <w:noProof/>
              </w:rPr>
              <w:tab/>
            </w:r>
            <w:r w:rsidR="00DA65C2" w:rsidRPr="004528C4">
              <w:rPr>
                <w:rStyle w:val="Hipersaitas"/>
                <w:noProof/>
                <w:lang w:val="lt-LT"/>
              </w:rPr>
              <w:t>Priemonės įgyvendinimo vertinimo išvada</w:t>
            </w:r>
            <w:r w:rsidR="00DA65C2">
              <w:rPr>
                <w:noProof/>
                <w:webHidden/>
              </w:rPr>
              <w:tab/>
            </w:r>
            <w:r w:rsidR="00DA65C2">
              <w:rPr>
                <w:noProof/>
                <w:webHidden/>
              </w:rPr>
              <w:fldChar w:fldCharType="begin"/>
            </w:r>
            <w:r w:rsidR="00DA65C2">
              <w:rPr>
                <w:noProof/>
                <w:webHidden/>
              </w:rPr>
              <w:instrText xml:space="preserve"> PAGEREF _Toc417378415 \h </w:instrText>
            </w:r>
            <w:r w:rsidR="00DA65C2">
              <w:rPr>
                <w:noProof/>
                <w:webHidden/>
              </w:rPr>
            </w:r>
            <w:r w:rsidR="00DA65C2">
              <w:rPr>
                <w:noProof/>
                <w:webHidden/>
              </w:rPr>
              <w:fldChar w:fldCharType="separate"/>
            </w:r>
            <w:r w:rsidR="00CB6759">
              <w:rPr>
                <w:noProof/>
                <w:webHidden/>
              </w:rPr>
              <w:t>210</w:t>
            </w:r>
            <w:r w:rsidR="00DA65C2">
              <w:rPr>
                <w:noProof/>
                <w:webHidden/>
              </w:rPr>
              <w:fldChar w:fldCharType="end"/>
            </w:r>
          </w:hyperlink>
        </w:p>
        <w:p w14:paraId="3891E20D" w14:textId="16EFE1A0" w:rsidR="00DA65C2" w:rsidRDefault="00A65A8D">
          <w:pPr>
            <w:pStyle w:val="Turinys2"/>
            <w:tabs>
              <w:tab w:val="left" w:pos="1100"/>
              <w:tab w:val="right" w:leader="dot" w:pos="9016"/>
            </w:tabs>
            <w:rPr>
              <w:rFonts w:eastAsiaTheme="minorEastAsia"/>
              <w:noProof/>
            </w:rPr>
          </w:pPr>
          <w:hyperlink w:anchor="_Toc417378416" w:history="1">
            <w:r w:rsidR="00DA65C2" w:rsidRPr="004528C4">
              <w:rPr>
                <w:rStyle w:val="Hipersaitas"/>
                <w:noProof/>
                <w:lang w:val="lt-LT"/>
              </w:rPr>
              <w:t>5.2.2.</w:t>
            </w:r>
            <w:r w:rsidR="00DA65C2">
              <w:rPr>
                <w:rFonts w:eastAsiaTheme="minorEastAsia"/>
                <w:noProof/>
              </w:rPr>
              <w:tab/>
            </w:r>
            <w:r w:rsidR="00DA65C2" w:rsidRPr="004528C4">
              <w:rPr>
                <w:rStyle w:val="Hipersaitas"/>
                <w:noProof/>
                <w:lang w:val="lt-LT"/>
              </w:rPr>
              <w:t>Centrinės valdžios pastatų renovacijos finansinių priemonių vertinimas</w:t>
            </w:r>
            <w:r w:rsidR="00DA65C2">
              <w:rPr>
                <w:noProof/>
                <w:webHidden/>
              </w:rPr>
              <w:tab/>
            </w:r>
            <w:r w:rsidR="00DA65C2">
              <w:rPr>
                <w:noProof/>
                <w:webHidden/>
              </w:rPr>
              <w:fldChar w:fldCharType="begin"/>
            </w:r>
            <w:r w:rsidR="00DA65C2">
              <w:rPr>
                <w:noProof/>
                <w:webHidden/>
              </w:rPr>
              <w:instrText xml:space="preserve"> PAGEREF _Toc417378416 \h </w:instrText>
            </w:r>
            <w:r w:rsidR="00DA65C2">
              <w:rPr>
                <w:noProof/>
                <w:webHidden/>
              </w:rPr>
            </w:r>
            <w:r w:rsidR="00DA65C2">
              <w:rPr>
                <w:noProof/>
                <w:webHidden/>
              </w:rPr>
              <w:fldChar w:fldCharType="separate"/>
            </w:r>
            <w:r w:rsidR="00CB6759">
              <w:rPr>
                <w:noProof/>
                <w:webHidden/>
              </w:rPr>
              <w:t>210</w:t>
            </w:r>
            <w:r w:rsidR="00DA65C2">
              <w:rPr>
                <w:noProof/>
                <w:webHidden/>
              </w:rPr>
              <w:fldChar w:fldCharType="end"/>
            </w:r>
          </w:hyperlink>
        </w:p>
        <w:p w14:paraId="4F99D1BB" w14:textId="0BAF79BD" w:rsidR="00DA65C2" w:rsidRDefault="00A65A8D">
          <w:pPr>
            <w:pStyle w:val="Turinys2"/>
            <w:tabs>
              <w:tab w:val="left" w:pos="1320"/>
              <w:tab w:val="right" w:leader="dot" w:pos="9016"/>
            </w:tabs>
            <w:rPr>
              <w:rFonts w:eastAsiaTheme="minorEastAsia"/>
              <w:noProof/>
            </w:rPr>
          </w:pPr>
          <w:hyperlink w:anchor="_Toc417378417" w:history="1">
            <w:r w:rsidR="00DA65C2" w:rsidRPr="004528C4">
              <w:rPr>
                <w:rStyle w:val="Hipersaitas"/>
                <w:noProof/>
                <w:lang w:val="lt-LT"/>
              </w:rPr>
              <w:t>5.2.2.1.</w:t>
            </w:r>
            <w:r w:rsidR="00DA65C2">
              <w:rPr>
                <w:rFonts w:eastAsiaTheme="minorEastAsia"/>
                <w:noProof/>
              </w:rPr>
              <w:tab/>
            </w:r>
            <w:r w:rsidR="00DA65C2" w:rsidRPr="004528C4">
              <w:rPr>
                <w:rStyle w:val="Hipersaitas"/>
                <w:noProof/>
                <w:lang w:val="lt-LT"/>
              </w:rPr>
              <w:t>Priemonės įgyvendinimo mechanizmo klasifikavimas</w:t>
            </w:r>
            <w:r w:rsidR="00DA65C2">
              <w:rPr>
                <w:noProof/>
                <w:webHidden/>
              </w:rPr>
              <w:tab/>
            </w:r>
            <w:r w:rsidR="00DA65C2">
              <w:rPr>
                <w:noProof/>
                <w:webHidden/>
              </w:rPr>
              <w:fldChar w:fldCharType="begin"/>
            </w:r>
            <w:r w:rsidR="00DA65C2">
              <w:rPr>
                <w:noProof/>
                <w:webHidden/>
              </w:rPr>
              <w:instrText xml:space="preserve"> PAGEREF _Toc417378417 \h </w:instrText>
            </w:r>
            <w:r w:rsidR="00DA65C2">
              <w:rPr>
                <w:noProof/>
                <w:webHidden/>
              </w:rPr>
            </w:r>
            <w:r w:rsidR="00DA65C2">
              <w:rPr>
                <w:noProof/>
                <w:webHidden/>
              </w:rPr>
              <w:fldChar w:fldCharType="separate"/>
            </w:r>
            <w:r w:rsidR="00CB6759">
              <w:rPr>
                <w:noProof/>
                <w:webHidden/>
              </w:rPr>
              <w:t>211</w:t>
            </w:r>
            <w:r w:rsidR="00DA65C2">
              <w:rPr>
                <w:noProof/>
                <w:webHidden/>
              </w:rPr>
              <w:fldChar w:fldCharType="end"/>
            </w:r>
          </w:hyperlink>
        </w:p>
        <w:p w14:paraId="5B0FD7F0" w14:textId="65DE0D7E" w:rsidR="00DA65C2" w:rsidRDefault="00A65A8D">
          <w:pPr>
            <w:pStyle w:val="Turinys2"/>
            <w:tabs>
              <w:tab w:val="left" w:pos="1320"/>
              <w:tab w:val="right" w:leader="dot" w:pos="9016"/>
            </w:tabs>
            <w:rPr>
              <w:rFonts w:eastAsiaTheme="minorEastAsia"/>
              <w:noProof/>
            </w:rPr>
          </w:pPr>
          <w:hyperlink w:anchor="_Toc417378418" w:history="1">
            <w:r w:rsidR="00DA65C2" w:rsidRPr="004528C4">
              <w:rPr>
                <w:rStyle w:val="Hipersaitas"/>
                <w:noProof/>
                <w:lang w:val="lt-LT"/>
              </w:rPr>
              <w:t>5.2.2.2.</w:t>
            </w:r>
            <w:r w:rsidR="00DA65C2">
              <w:rPr>
                <w:rFonts w:eastAsiaTheme="minorEastAsia"/>
                <w:noProof/>
              </w:rPr>
              <w:tab/>
            </w:r>
            <w:r w:rsidR="00DA65C2" w:rsidRPr="004528C4">
              <w:rPr>
                <w:rStyle w:val="Hipersaitas"/>
                <w:noProof/>
                <w:lang w:val="lt-LT"/>
              </w:rPr>
              <w:t>Priemonės įgyvendinimo suderinamumo vertinimas</w:t>
            </w:r>
            <w:r w:rsidR="00DA65C2">
              <w:rPr>
                <w:noProof/>
                <w:webHidden/>
              </w:rPr>
              <w:tab/>
            </w:r>
            <w:r w:rsidR="00DA65C2">
              <w:rPr>
                <w:noProof/>
                <w:webHidden/>
              </w:rPr>
              <w:fldChar w:fldCharType="begin"/>
            </w:r>
            <w:r w:rsidR="00DA65C2">
              <w:rPr>
                <w:noProof/>
                <w:webHidden/>
              </w:rPr>
              <w:instrText xml:space="preserve"> PAGEREF _Toc417378418 \h </w:instrText>
            </w:r>
            <w:r w:rsidR="00DA65C2">
              <w:rPr>
                <w:noProof/>
                <w:webHidden/>
              </w:rPr>
            </w:r>
            <w:r w:rsidR="00DA65C2">
              <w:rPr>
                <w:noProof/>
                <w:webHidden/>
              </w:rPr>
              <w:fldChar w:fldCharType="separate"/>
            </w:r>
            <w:r w:rsidR="00CB6759">
              <w:rPr>
                <w:noProof/>
                <w:webHidden/>
              </w:rPr>
              <w:t>213</w:t>
            </w:r>
            <w:r w:rsidR="00DA65C2">
              <w:rPr>
                <w:noProof/>
                <w:webHidden/>
              </w:rPr>
              <w:fldChar w:fldCharType="end"/>
            </w:r>
          </w:hyperlink>
        </w:p>
        <w:p w14:paraId="09DBE656" w14:textId="12B87FB4" w:rsidR="00DA65C2" w:rsidRDefault="00A65A8D">
          <w:pPr>
            <w:pStyle w:val="Turinys2"/>
            <w:tabs>
              <w:tab w:val="left" w:pos="1320"/>
              <w:tab w:val="right" w:leader="dot" w:pos="9016"/>
            </w:tabs>
            <w:rPr>
              <w:rFonts w:eastAsiaTheme="minorEastAsia"/>
              <w:noProof/>
            </w:rPr>
          </w:pPr>
          <w:hyperlink w:anchor="_Toc417378419" w:history="1">
            <w:r w:rsidR="00DA65C2" w:rsidRPr="004528C4">
              <w:rPr>
                <w:rStyle w:val="Hipersaitas"/>
                <w:noProof/>
                <w:lang w:val="lt-LT"/>
              </w:rPr>
              <w:t>5.2.2.3.</w:t>
            </w:r>
            <w:r w:rsidR="00DA65C2">
              <w:rPr>
                <w:rFonts w:eastAsiaTheme="minorEastAsia"/>
                <w:noProof/>
              </w:rPr>
              <w:tab/>
            </w:r>
            <w:r w:rsidR="00DA65C2" w:rsidRPr="004528C4">
              <w:rPr>
                <w:rStyle w:val="Hipersaitas"/>
                <w:noProof/>
                <w:lang w:val="lt-LT"/>
              </w:rPr>
              <w:t>Priemonės įgyvendinimo vertinimo išvada</w:t>
            </w:r>
            <w:r w:rsidR="00DA65C2">
              <w:rPr>
                <w:noProof/>
                <w:webHidden/>
              </w:rPr>
              <w:tab/>
            </w:r>
            <w:r w:rsidR="00DA65C2">
              <w:rPr>
                <w:noProof/>
                <w:webHidden/>
              </w:rPr>
              <w:fldChar w:fldCharType="begin"/>
            </w:r>
            <w:r w:rsidR="00DA65C2">
              <w:rPr>
                <w:noProof/>
                <w:webHidden/>
              </w:rPr>
              <w:instrText xml:space="preserve"> PAGEREF _Toc417378419 \h </w:instrText>
            </w:r>
            <w:r w:rsidR="00DA65C2">
              <w:rPr>
                <w:noProof/>
                <w:webHidden/>
              </w:rPr>
            </w:r>
            <w:r w:rsidR="00DA65C2">
              <w:rPr>
                <w:noProof/>
                <w:webHidden/>
              </w:rPr>
              <w:fldChar w:fldCharType="separate"/>
            </w:r>
            <w:r w:rsidR="00CB6759">
              <w:rPr>
                <w:noProof/>
                <w:webHidden/>
              </w:rPr>
              <w:t>213</w:t>
            </w:r>
            <w:r w:rsidR="00DA65C2">
              <w:rPr>
                <w:noProof/>
                <w:webHidden/>
              </w:rPr>
              <w:fldChar w:fldCharType="end"/>
            </w:r>
          </w:hyperlink>
        </w:p>
        <w:p w14:paraId="5420240B" w14:textId="4B07E991" w:rsidR="00DA65C2" w:rsidRDefault="00A65A8D">
          <w:pPr>
            <w:pStyle w:val="Turinys2"/>
            <w:tabs>
              <w:tab w:val="left" w:pos="1100"/>
              <w:tab w:val="right" w:leader="dot" w:pos="9016"/>
            </w:tabs>
            <w:rPr>
              <w:rFonts w:eastAsiaTheme="minorEastAsia"/>
              <w:noProof/>
            </w:rPr>
          </w:pPr>
          <w:hyperlink w:anchor="_Toc417378420" w:history="1">
            <w:r w:rsidR="00DA65C2" w:rsidRPr="004528C4">
              <w:rPr>
                <w:rStyle w:val="Hipersaitas"/>
                <w:noProof/>
                <w:lang w:val="lt-LT"/>
              </w:rPr>
              <w:t>5.2.3.</w:t>
            </w:r>
            <w:r w:rsidR="00DA65C2">
              <w:rPr>
                <w:rFonts w:eastAsiaTheme="minorEastAsia"/>
                <w:noProof/>
              </w:rPr>
              <w:tab/>
            </w:r>
            <w:r w:rsidR="00DA65C2" w:rsidRPr="004528C4">
              <w:rPr>
                <w:rStyle w:val="Hipersaitas"/>
                <w:noProof/>
                <w:lang w:val="lt-LT"/>
              </w:rPr>
              <w:t>Gatvių apšvietimo finansinių priemonių vertinimas</w:t>
            </w:r>
            <w:r w:rsidR="00DA65C2">
              <w:rPr>
                <w:noProof/>
                <w:webHidden/>
              </w:rPr>
              <w:tab/>
            </w:r>
            <w:r w:rsidR="00DA65C2">
              <w:rPr>
                <w:noProof/>
                <w:webHidden/>
              </w:rPr>
              <w:fldChar w:fldCharType="begin"/>
            </w:r>
            <w:r w:rsidR="00DA65C2">
              <w:rPr>
                <w:noProof/>
                <w:webHidden/>
              </w:rPr>
              <w:instrText xml:space="preserve"> PAGEREF _Toc417378420 \h </w:instrText>
            </w:r>
            <w:r w:rsidR="00DA65C2">
              <w:rPr>
                <w:noProof/>
                <w:webHidden/>
              </w:rPr>
            </w:r>
            <w:r w:rsidR="00DA65C2">
              <w:rPr>
                <w:noProof/>
                <w:webHidden/>
              </w:rPr>
              <w:fldChar w:fldCharType="separate"/>
            </w:r>
            <w:r w:rsidR="00CB6759">
              <w:rPr>
                <w:noProof/>
                <w:webHidden/>
              </w:rPr>
              <w:t>214</w:t>
            </w:r>
            <w:r w:rsidR="00DA65C2">
              <w:rPr>
                <w:noProof/>
                <w:webHidden/>
              </w:rPr>
              <w:fldChar w:fldCharType="end"/>
            </w:r>
          </w:hyperlink>
        </w:p>
        <w:p w14:paraId="701399AD" w14:textId="09983CF7" w:rsidR="00DA65C2" w:rsidRDefault="00A65A8D">
          <w:pPr>
            <w:pStyle w:val="Turinys2"/>
            <w:tabs>
              <w:tab w:val="left" w:pos="1320"/>
              <w:tab w:val="right" w:leader="dot" w:pos="9016"/>
            </w:tabs>
            <w:rPr>
              <w:rFonts w:eastAsiaTheme="minorEastAsia"/>
              <w:noProof/>
            </w:rPr>
          </w:pPr>
          <w:hyperlink w:anchor="_Toc417378421" w:history="1">
            <w:r w:rsidR="00DA65C2" w:rsidRPr="004528C4">
              <w:rPr>
                <w:rStyle w:val="Hipersaitas"/>
                <w:noProof/>
                <w:lang w:val="lt-LT"/>
              </w:rPr>
              <w:t>5.2.3.1.</w:t>
            </w:r>
            <w:r w:rsidR="00DA65C2">
              <w:rPr>
                <w:rFonts w:eastAsiaTheme="minorEastAsia"/>
                <w:noProof/>
              </w:rPr>
              <w:tab/>
            </w:r>
            <w:r w:rsidR="00DA65C2" w:rsidRPr="004528C4">
              <w:rPr>
                <w:rStyle w:val="Hipersaitas"/>
                <w:noProof/>
                <w:lang w:val="lt-LT"/>
              </w:rPr>
              <w:t>Priemonės įgyvendinimo mechanizmo klasifikavimas</w:t>
            </w:r>
            <w:r w:rsidR="00DA65C2">
              <w:rPr>
                <w:noProof/>
                <w:webHidden/>
              </w:rPr>
              <w:tab/>
            </w:r>
            <w:r w:rsidR="00DA65C2">
              <w:rPr>
                <w:noProof/>
                <w:webHidden/>
              </w:rPr>
              <w:fldChar w:fldCharType="begin"/>
            </w:r>
            <w:r w:rsidR="00DA65C2">
              <w:rPr>
                <w:noProof/>
                <w:webHidden/>
              </w:rPr>
              <w:instrText xml:space="preserve"> PAGEREF _Toc417378421 \h </w:instrText>
            </w:r>
            <w:r w:rsidR="00DA65C2">
              <w:rPr>
                <w:noProof/>
                <w:webHidden/>
              </w:rPr>
            </w:r>
            <w:r w:rsidR="00DA65C2">
              <w:rPr>
                <w:noProof/>
                <w:webHidden/>
              </w:rPr>
              <w:fldChar w:fldCharType="separate"/>
            </w:r>
            <w:r w:rsidR="00CB6759">
              <w:rPr>
                <w:noProof/>
                <w:webHidden/>
              </w:rPr>
              <w:t>214</w:t>
            </w:r>
            <w:r w:rsidR="00DA65C2">
              <w:rPr>
                <w:noProof/>
                <w:webHidden/>
              </w:rPr>
              <w:fldChar w:fldCharType="end"/>
            </w:r>
          </w:hyperlink>
        </w:p>
        <w:p w14:paraId="3AFB8054" w14:textId="306788AD" w:rsidR="00DA65C2" w:rsidRDefault="00A65A8D">
          <w:pPr>
            <w:pStyle w:val="Turinys2"/>
            <w:tabs>
              <w:tab w:val="left" w:pos="1320"/>
              <w:tab w:val="right" w:leader="dot" w:pos="9016"/>
            </w:tabs>
            <w:rPr>
              <w:rFonts w:eastAsiaTheme="minorEastAsia"/>
              <w:noProof/>
            </w:rPr>
          </w:pPr>
          <w:hyperlink w:anchor="_Toc417378422" w:history="1">
            <w:r w:rsidR="00DA65C2" w:rsidRPr="004528C4">
              <w:rPr>
                <w:rStyle w:val="Hipersaitas"/>
                <w:noProof/>
                <w:lang w:val="lt-LT"/>
              </w:rPr>
              <w:t>5.2.3.2.</w:t>
            </w:r>
            <w:r w:rsidR="00DA65C2">
              <w:rPr>
                <w:rFonts w:eastAsiaTheme="minorEastAsia"/>
                <w:noProof/>
              </w:rPr>
              <w:tab/>
            </w:r>
            <w:r w:rsidR="00DA65C2" w:rsidRPr="004528C4">
              <w:rPr>
                <w:rStyle w:val="Hipersaitas"/>
                <w:noProof/>
                <w:lang w:val="lt-LT"/>
              </w:rPr>
              <w:t>Priemonės įgyvendinimo vertinimo išvada</w:t>
            </w:r>
            <w:r w:rsidR="00DA65C2">
              <w:rPr>
                <w:noProof/>
                <w:webHidden/>
              </w:rPr>
              <w:tab/>
            </w:r>
            <w:r w:rsidR="00DA65C2">
              <w:rPr>
                <w:noProof/>
                <w:webHidden/>
              </w:rPr>
              <w:fldChar w:fldCharType="begin"/>
            </w:r>
            <w:r w:rsidR="00DA65C2">
              <w:rPr>
                <w:noProof/>
                <w:webHidden/>
              </w:rPr>
              <w:instrText xml:space="preserve"> PAGEREF _Toc417378422 \h </w:instrText>
            </w:r>
            <w:r w:rsidR="00DA65C2">
              <w:rPr>
                <w:noProof/>
                <w:webHidden/>
              </w:rPr>
            </w:r>
            <w:r w:rsidR="00DA65C2">
              <w:rPr>
                <w:noProof/>
                <w:webHidden/>
              </w:rPr>
              <w:fldChar w:fldCharType="separate"/>
            </w:r>
            <w:r w:rsidR="00CB6759">
              <w:rPr>
                <w:noProof/>
                <w:webHidden/>
              </w:rPr>
              <w:t>217</w:t>
            </w:r>
            <w:r w:rsidR="00DA65C2">
              <w:rPr>
                <w:noProof/>
                <w:webHidden/>
              </w:rPr>
              <w:fldChar w:fldCharType="end"/>
            </w:r>
          </w:hyperlink>
        </w:p>
        <w:p w14:paraId="5D76E15E" w14:textId="0EF3307D" w:rsidR="00DA65C2" w:rsidRDefault="00A65A8D">
          <w:pPr>
            <w:pStyle w:val="Turinys2"/>
            <w:tabs>
              <w:tab w:val="left" w:pos="1100"/>
              <w:tab w:val="right" w:leader="dot" w:pos="9016"/>
            </w:tabs>
            <w:rPr>
              <w:rFonts w:eastAsiaTheme="minorEastAsia"/>
              <w:noProof/>
            </w:rPr>
          </w:pPr>
          <w:hyperlink w:anchor="_Toc417378423" w:history="1">
            <w:r w:rsidR="00DA65C2" w:rsidRPr="004528C4">
              <w:rPr>
                <w:rStyle w:val="Hipersaitas"/>
                <w:noProof/>
                <w:lang w:val="lt-LT"/>
              </w:rPr>
              <w:t>5.2.4.</w:t>
            </w:r>
            <w:r w:rsidR="00DA65C2">
              <w:rPr>
                <w:rFonts w:eastAsiaTheme="minorEastAsia"/>
                <w:noProof/>
              </w:rPr>
              <w:tab/>
            </w:r>
            <w:r w:rsidR="00DA65C2" w:rsidRPr="004528C4">
              <w:rPr>
                <w:rStyle w:val="Hipersaitas"/>
                <w:noProof/>
                <w:lang w:val="lt-LT"/>
              </w:rPr>
              <w:t>Savivaldybės pastatų renovacijos finansinių priemonių vertinimas</w:t>
            </w:r>
            <w:r w:rsidR="00DA65C2">
              <w:rPr>
                <w:noProof/>
                <w:webHidden/>
              </w:rPr>
              <w:tab/>
            </w:r>
            <w:r w:rsidR="00DA65C2">
              <w:rPr>
                <w:noProof/>
                <w:webHidden/>
              </w:rPr>
              <w:fldChar w:fldCharType="begin"/>
            </w:r>
            <w:r w:rsidR="00DA65C2">
              <w:rPr>
                <w:noProof/>
                <w:webHidden/>
              </w:rPr>
              <w:instrText xml:space="preserve"> PAGEREF _Toc417378423 \h </w:instrText>
            </w:r>
            <w:r w:rsidR="00DA65C2">
              <w:rPr>
                <w:noProof/>
                <w:webHidden/>
              </w:rPr>
            </w:r>
            <w:r w:rsidR="00DA65C2">
              <w:rPr>
                <w:noProof/>
                <w:webHidden/>
              </w:rPr>
              <w:fldChar w:fldCharType="separate"/>
            </w:r>
            <w:r w:rsidR="00CB6759">
              <w:rPr>
                <w:noProof/>
                <w:webHidden/>
              </w:rPr>
              <w:t>217</w:t>
            </w:r>
            <w:r w:rsidR="00DA65C2">
              <w:rPr>
                <w:noProof/>
                <w:webHidden/>
              </w:rPr>
              <w:fldChar w:fldCharType="end"/>
            </w:r>
          </w:hyperlink>
        </w:p>
        <w:p w14:paraId="34B0BE99" w14:textId="2297E482" w:rsidR="00DA65C2" w:rsidRDefault="00A65A8D">
          <w:pPr>
            <w:pStyle w:val="Turinys2"/>
            <w:tabs>
              <w:tab w:val="left" w:pos="1320"/>
              <w:tab w:val="right" w:leader="dot" w:pos="9016"/>
            </w:tabs>
            <w:rPr>
              <w:rFonts w:eastAsiaTheme="minorEastAsia"/>
              <w:noProof/>
            </w:rPr>
          </w:pPr>
          <w:hyperlink w:anchor="_Toc417378424" w:history="1">
            <w:r w:rsidR="00DA65C2" w:rsidRPr="004528C4">
              <w:rPr>
                <w:rStyle w:val="Hipersaitas"/>
                <w:noProof/>
                <w:lang w:val="lt-LT"/>
              </w:rPr>
              <w:t>5.2.4.1.</w:t>
            </w:r>
            <w:r w:rsidR="00DA65C2">
              <w:rPr>
                <w:rFonts w:eastAsiaTheme="minorEastAsia"/>
                <w:noProof/>
              </w:rPr>
              <w:tab/>
            </w:r>
            <w:r w:rsidR="00DA65C2" w:rsidRPr="004528C4">
              <w:rPr>
                <w:rStyle w:val="Hipersaitas"/>
                <w:noProof/>
                <w:lang w:val="lt-LT"/>
              </w:rPr>
              <w:t>Priemonės įgyvendinimo mechanizmo klasifikavimas</w:t>
            </w:r>
            <w:r w:rsidR="00DA65C2">
              <w:rPr>
                <w:noProof/>
                <w:webHidden/>
              </w:rPr>
              <w:tab/>
            </w:r>
            <w:r w:rsidR="00DA65C2">
              <w:rPr>
                <w:noProof/>
                <w:webHidden/>
              </w:rPr>
              <w:fldChar w:fldCharType="begin"/>
            </w:r>
            <w:r w:rsidR="00DA65C2">
              <w:rPr>
                <w:noProof/>
                <w:webHidden/>
              </w:rPr>
              <w:instrText xml:space="preserve"> PAGEREF _Toc417378424 \h </w:instrText>
            </w:r>
            <w:r w:rsidR="00DA65C2">
              <w:rPr>
                <w:noProof/>
                <w:webHidden/>
              </w:rPr>
            </w:r>
            <w:r w:rsidR="00DA65C2">
              <w:rPr>
                <w:noProof/>
                <w:webHidden/>
              </w:rPr>
              <w:fldChar w:fldCharType="separate"/>
            </w:r>
            <w:r w:rsidR="00CB6759">
              <w:rPr>
                <w:noProof/>
                <w:webHidden/>
              </w:rPr>
              <w:t>218</w:t>
            </w:r>
            <w:r w:rsidR="00DA65C2">
              <w:rPr>
                <w:noProof/>
                <w:webHidden/>
              </w:rPr>
              <w:fldChar w:fldCharType="end"/>
            </w:r>
          </w:hyperlink>
        </w:p>
        <w:p w14:paraId="7B8CB930" w14:textId="38261270" w:rsidR="00DA65C2" w:rsidRDefault="00A65A8D">
          <w:pPr>
            <w:pStyle w:val="Turinys2"/>
            <w:tabs>
              <w:tab w:val="left" w:pos="1320"/>
              <w:tab w:val="right" w:leader="dot" w:pos="9016"/>
            </w:tabs>
            <w:rPr>
              <w:rFonts w:eastAsiaTheme="minorEastAsia"/>
              <w:noProof/>
            </w:rPr>
          </w:pPr>
          <w:hyperlink w:anchor="_Toc417378425" w:history="1">
            <w:r w:rsidR="00DA65C2" w:rsidRPr="004528C4">
              <w:rPr>
                <w:rStyle w:val="Hipersaitas"/>
                <w:noProof/>
                <w:lang w:val="lt-LT"/>
              </w:rPr>
              <w:t>5.2.4.2.</w:t>
            </w:r>
            <w:r w:rsidR="00DA65C2">
              <w:rPr>
                <w:rFonts w:eastAsiaTheme="minorEastAsia"/>
                <w:noProof/>
              </w:rPr>
              <w:tab/>
            </w:r>
            <w:r w:rsidR="00DA65C2" w:rsidRPr="004528C4">
              <w:rPr>
                <w:rStyle w:val="Hipersaitas"/>
                <w:noProof/>
                <w:lang w:val="lt-LT"/>
              </w:rPr>
              <w:t>Priemonės įgyvendinimo suderinamumo vertinimas</w:t>
            </w:r>
            <w:r w:rsidR="00DA65C2">
              <w:rPr>
                <w:noProof/>
                <w:webHidden/>
              </w:rPr>
              <w:tab/>
            </w:r>
            <w:r w:rsidR="00DA65C2">
              <w:rPr>
                <w:noProof/>
                <w:webHidden/>
              </w:rPr>
              <w:fldChar w:fldCharType="begin"/>
            </w:r>
            <w:r w:rsidR="00DA65C2">
              <w:rPr>
                <w:noProof/>
                <w:webHidden/>
              </w:rPr>
              <w:instrText xml:space="preserve"> PAGEREF _Toc417378425 \h </w:instrText>
            </w:r>
            <w:r w:rsidR="00DA65C2">
              <w:rPr>
                <w:noProof/>
                <w:webHidden/>
              </w:rPr>
            </w:r>
            <w:r w:rsidR="00DA65C2">
              <w:rPr>
                <w:noProof/>
                <w:webHidden/>
              </w:rPr>
              <w:fldChar w:fldCharType="separate"/>
            </w:r>
            <w:r w:rsidR="00CB6759">
              <w:rPr>
                <w:noProof/>
                <w:webHidden/>
              </w:rPr>
              <w:t>220</w:t>
            </w:r>
            <w:r w:rsidR="00DA65C2">
              <w:rPr>
                <w:noProof/>
                <w:webHidden/>
              </w:rPr>
              <w:fldChar w:fldCharType="end"/>
            </w:r>
          </w:hyperlink>
        </w:p>
        <w:p w14:paraId="60A95CD3" w14:textId="279E29E8" w:rsidR="00DA65C2" w:rsidRDefault="00A65A8D">
          <w:pPr>
            <w:pStyle w:val="Turinys2"/>
            <w:tabs>
              <w:tab w:val="left" w:pos="1320"/>
              <w:tab w:val="right" w:leader="dot" w:pos="9016"/>
            </w:tabs>
            <w:rPr>
              <w:rFonts w:eastAsiaTheme="minorEastAsia"/>
              <w:noProof/>
            </w:rPr>
          </w:pPr>
          <w:hyperlink w:anchor="_Toc417378426" w:history="1">
            <w:r w:rsidR="00DA65C2" w:rsidRPr="004528C4">
              <w:rPr>
                <w:rStyle w:val="Hipersaitas"/>
                <w:noProof/>
                <w:lang w:val="lt-LT"/>
              </w:rPr>
              <w:t>5.2.4.3.</w:t>
            </w:r>
            <w:r w:rsidR="00DA65C2">
              <w:rPr>
                <w:rFonts w:eastAsiaTheme="minorEastAsia"/>
                <w:noProof/>
              </w:rPr>
              <w:tab/>
            </w:r>
            <w:r w:rsidR="00DA65C2" w:rsidRPr="004528C4">
              <w:rPr>
                <w:rStyle w:val="Hipersaitas"/>
                <w:noProof/>
                <w:lang w:val="lt-LT"/>
              </w:rPr>
              <w:t>Priemonės įgyvendinimo vertinimo išvada</w:t>
            </w:r>
            <w:r w:rsidR="00DA65C2">
              <w:rPr>
                <w:noProof/>
                <w:webHidden/>
              </w:rPr>
              <w:tab/>
            </w:r>
            <w:r w:rsidR="00DA65C2">
              <w:rPr>
                <w:noProof/>
                <w:webHidden/>
              </w:rPr>
              <w:fldChar w:fldCharType="begin"/>
            </w:r>
            <w:r w:rsidR="00DA65C2">
              <w:rPr>
                <w:noProof/>
                <w:webHidden/>
              </w:rPr>
              <w:instrText xml:space="preserve"> PAGEREF _Toc417378426 \h </w:instrText>
            </w:r>
            <w:r w:rsidR="00DA65C2">
              <w:rPr>
                <w:noProof/>
                <w:webHidden/>
              </w:rPr>
            </w:r>
            <w:r w:rsidR="00DA65C2">
              <w:rPr>
                <w:noProof/>
                <w:webHidden/>
              </w:rPr>
              <w:fldChar w:fldCharType="separate"/>
            </w:r>
            <w:r w:rsidR="00CB6759">
              <w:rPr>
                <w:noProof/>
                <w:webHidden/>
              </w:rPr>
              <w:t>222</w:t>
            </w:r>
            <w:r w:rsidR="00DA65C2">
              <w:rPr>
                <w:noProof/>
                <w:webHidden/>
              </w:rPr>
              <w:fldChar w:fldCharType="end"/>
            </w:r>
          </w:hyperlink>
        </w:p>
        <w:p w14:paraId="5C5AE431" w14:textId="79BA6D3D" w:rsidR="00DA65C2" w:rsidRDefault="00A65A8D">
          <w:pPr>
            <w:pStyle w:val="Turinys1"/>
            <w:tabs>
              <w:tab w:val="left" w:pos="660"/>
              <w:tab w:val="right" w:leader="dot" w:pos="9016"/>
            </w:tabs>
            <w:rPr>
              <w:rFonts w:eastAsiaTheme="minorEastAsia"/>
              <w:noProof/>
            </w:rPr>
          </w:pPr>
          <w:hyperlink w:anchor="_Toc417378427" w:history="1">
            <w:r w:rsidR="00DA65C2" w:rsidRPr="004528C4">
              <w:rPr>
                <w:rStyle w:val="Hipersaitas"/>
                <w:rFonts w:cs="Arial"/>
                <w:noProof/>
                <w:lang w:val="lt-LT"/>
              </w:rPr>
              <w:t>6.</w:t>
            </w:r>
            <w:r w:rsidR="00DA65C2">
              <w:rPr>
                <w:rFonts w:eastAsiaTheme="minorEastAsia"/>
                <w:noProof/>
              </w:rPr>
              <w:tab/>
            </w:r>
            <w:r w:rsidR="00DA65C2" w:rsidRPr="004528C4">
              <w:rPr>
                <w:rStyle w:val="Hipersaitas"/>
                <w:noProof/>
                <w:lang w:val="lt-LT"/>
              </w:rPr>
              <w:t>Finansinių priemonių patirtis Lietuvoje ir kitose šalyse</w:t>
            </w:r>
            <w:r w:rsidR="00DA65C2">
              <w:rPr>
                <w:noProof/>
                <w:webHidden/>
              </w:rPr>
              <w:tab/>
            </w:r>
            <w:r w:rsidR="00DA65C2">
              <w:rPr>
                <w:noProof/>
                <w:webHidden/>
              </w:rPr>
              <w:fldChar w:fldCharType="begin"/>
            </w:r>
            <w:r w:rsidR="00DA65C2">
              <w:rPr>
                <w:noProof/>
                <w:webHidden/>
              </w:rPr>
              <w:instrText xml:space="preserve"> PAGEREF _Toc417378427 \h </w:instrText>
            </w:r>
            <w:r w:rsidR="00DA65C2">
              <w:rPr>
                <w:noProof/>
                <w:webHidden/>
              </w:rPr>
            </w:r>
            <w:r w:rsidR="00DA65C2">
              <w:rPr>
                <w:noProof/>
                <w:webHidden/>
              </w:rPr>
              <w:fldChar w:fldCharType="separate"/>
            </w:r>
            <w:r w:rsidR="00CB6759">
              <w:rPr>
                <w:noProof/>
                <w:webHidden/>
              </w:rPr>
              <w:t>223</w:t>
            </w:r>
            <w:r w:rsidR="00DA65C2">
              <w:rPr>
                <w:noProof/>
                <w:webHidden/>
              </w:rPr>
              <w:fldChar w:fldCharType="end"/>
            </w:r>
          </w:hyperlink>
        </w:p>
        <w:p w14:paraId="25F107F7" w14:textId="7FFDB3B1" w:rsidR="00DA65C2" w:rsidRDefault="00A65A8D">
          <w:pPr>
            <w:pStyle w:val="Turinys2"/>
            <w:tabs>
              <w:tab w:val="left" w:pos="880"/>
              <w:tab w:val="right" w:leader="dot" w:pos="9016"/>
            </w:tabs>
            <w:rPr>
              <w:rFonts w:eastAsiaTheme="minorEastAsia"/>
              <w:noProof/>
            </w:rPr>
          </w:pPr>
          <w:hyperlink w:anchor="_Toc417378428" w:history="1">
            <w:r w:rsidR="00DA65C2" w:rsidRPr="004528C4">
              <w:rPr>
                <w:rStyle w:val="Hipersaitas"/>
                <w:noProof/>
                <w:lang w:val="lt-LT"/>
              </w:rPr>
              <w:t>6.1.</w:t>
            </w:r>
            <w:r w:rsidR="00DA65C2">
              <w:rPr>
                <w:rFonts w:eastAsiaTheme="minorEastAsia"/>
                <w:noProof/>
              </w:rPr>
              <w:tab/>
            </w:r>
            <w:r w:rsidR="00DA65C2" w:rsidRPr="004528C4">
              <w:rPr>
                <w:rStyle w:val="Hipersaitas"/>
                <w:noProof/>
                <w:lang w:val="lt-LT"/>
              </w:rPr>
              <w:t>Finansinių priemonių identifikavimas</w:t>
            </w:r>
            <w:r w:rsidR="00DA65C2">
              <w:rPr>
                <w:noProof/>
                <w:webHidden/>
              </w:rPr>
              <w:tab/>
            </w:r>
            <w:r w:rsidR="00DA65C2">
              <w:rPr>
                <w:noProof/>
                <w:webHidden/>
              </w:rPr>
              <w:fldChar w:fldCharType="begin"/>
            </w:r>
            <w:r w:rsidR="00DA65C2">
              <w:rPr>
                <w:noProof/>
                <w:webHidden/>
              </w:rPr>
              <w:instrText xml:space="preserve"> PAGEREF _Toc417378428 \h </w:instrText>
            </w:r>
            <w:r w:rsidR="00DA65C2">
              <w:rPr>
                <w:noProof/>
                <w:webHidden/>
              </w:rPr>
            </w:r>
            <w:r w:rsidR="00DA65C2">
              <w:rPr>
                <w:noProof/>
                <w:webHidden/>
              </w:rPr>
              <w:fldChar w:fldCharType="separate"/>
            </w:r>
            <w:r w:rsidR="00CB6759">
              <w:rPr>
                <w:noProof/>
                <w:webHidden/>
              </w:rPr>
              <w:t>223</w:t>
            </w:r>
            <w:r w:rsidR="00DA65C2">
              <w:rPr>
                <w:noProof/>
                <w:webHidden/>
              </w:rPr>
              <w:fldChar w:fldCharType="end"/>
            </w:r>
          </w:hyperlink>
        </w:p>
        <w:p w14:paraId="2ACB523E" w14:textId="42E39B24" w:rsidR="00DA65C2" w:rsidRDefault="00A65A8D">
          <w:pPr>
            <w:pStyle w:val="Turinys2"/>
            <w:tabs>
              <w:tab w:val="left" w:pos="880"/>
              <w:tab w:val="right" w:leader="dot" w:pos="9016"/>
            </w:tabs>
            <w:rPr>
              <w:rFonts w:eastAsiaTheme="minorEastAsia"/>
              <w:noProof/>
            </w:rPr>
          </w:pPr>
          <w:hyperlink w:anchor="_Toc417378429" w:history="1">
            <w:r w:rsidR="00DA65C2" w:rsidRPr="004528C4">
              <w:rPr>
                <w:rStyle w:val="Hipersaitas"/>
                <w:noProof/>
                <w:lang w:val="lt-LT"/>
              </w:rPr>
              <w:t>6.2.</w:t>
            </w:r>
            <w:r w:rsidR="00DA65C2">
              <w:rPr>
                <w:rFonts w:eastAsiaTheme="minorEastAsia"/>
                <w:noProof/>
              </w:rPr>
              <w:tab/>
            </w:r>
            <w:r w:rsidR="00DA65C2" w:rsidRPr="004528C4">
              <w:rPr>
                <w:rStyle w:val="Hipersaitas"/>
                <w:noProof/>
                <w:lang w:val="lt-LT"/>
              </w:rPr>
              <w:t>Įgyta patirtis bei atvejų studijos</w:t>
            </w:r>
            <w:r w:rsidR="00DA65C2">
              <w:rPr>
                <w:noProof/>
                <w:webHidden/>
              </w:rPr>
              <w:tab/>
            </w:r>
            <w:r w:rsidR="00DA65C2">
              <w:rPr>
                <w:noProof/>
                <w:webHidden/>
              </w:rPr>
              <w:fldChar w:fldCharType="begin"/>
            </w:r>
            <w:r w:rsidR="00DA65C2">
              <w:rPr>
                <w:noProof/>
                <w:webHidden/>
              </w:rPr>
              <w:instrText xml:space="preserve"> PAGEREF _Toc417378429 \h </w:instrText>
            </w:r>
            <w:r w:rsidR="00DA65C2">
              <w:rPr>
                <w:noProof/>
                <w:webHidden/>
              </w:rPr>
            </w:r>
            <w:r w:rsidR="00DA65C2">
              <w:rPr>
                <w:noProof/>
                <w:webHidden/>
              </w:rPr>
              <w:fldChar w:fldCharType="separate"/>
            </w:r>
            <w:r w:rsidR="00CB6759">
              <w:rPr>
                <w:noProof/>
                <w:webHidden/>
              </w:rPr>
              <w:t>226</w:t>
            </w:r>
            <w:r w:rsidR="00DA65C2">
              <w:rPr>
                <w:noProof/>
                <w:webHidden/>
              </w:rPr>
              <w:fldChar w:fldCharType="end"/>
            </w:r>
          </w:hyperlink>
        </w:p>
        <w:p w14:paraId="551EE140" w14:textId="30C38813" w:rsidR="00DA65C2" w:rsidRDefault="00A65A8D">
          <w:pPr>
            <w:pStyle w:val="Turinys2"/>
            <w:tabs>
              <w:tab w:val="left" w:pos="880"/>
              <w:tab w:val="right" w:leader="dot" w:pos="9016"/>
            </w:tabs>
            <w:rPr>
              <w:rFonts w:eastAsiaTheme="minorEastAsia"/>
              <w:noProof/>
            </w:rPr>
          </w:pPr>
          <w:hyperlink w:anchor="_Toc417378430" w:history="1">
            <w:r w:rsidR="00DA65C2" w:rsidRPr="004528C4">
              <w:rPr>
                <w:rStyle w:val="Hipersaitas"/>
                <w:noProof/>
                <w:lang w:val="lt-LT"/>
              </w:rPr>
              <w:t>6.3.</w:t>
            </w:r>
            <w:r w:rsidR="00DA65C2">
              <w:rPr>
                <w:rFonts w:eastAsiaTheme="minorEastAsia"/>
                <w:noProof/>
              </w:rPr>
              <w:tab/>
            </w:r>
            <w:r w:rsidR="00DA65C2" w:rsidRPr="004528C4">
              <w:rPr>
                <w:rStyle w:val="Hipersaitas"/>
                <w:noProof/>
                <w:lang w:val="lt-LT"/>
              </w:rPr>
              <w:t>Patirties pritaikymas Lietuvoje – rizikos analizė</w:t>
            </w:r>
            <w:r w:rsidR="00DA65C2">
              <w:rPr>
                <w:noProof/>
                <w:webHidden/>
              </w:rPr>
              <w:tab/>
            </w:r>
            <w:r w:rsidR="00DA65C2">
              <w:rPr>
                <w:noProof/>
                <w:webHidden/>
              </w:rPr>
              <w:fldChar w:fldCharType="begin"/>
            </w:r>
            <w:r w:rsidR="00DA65C2">
              <w:rPr>
                <w:noProof/>
                <w:webHidden/>
              </w:rPr>
              <w:instrText xml:space="preserve"> PAGEREF _Toc417378430 \h </w:instrText>
            </w:r>
            <w:r w:rsidR="00DA65C2">
              <w:rPr>
                <w:noProof/>
                <w:webHidden/>
              </w:rPr>
            </w:r>
            <w:r w:rsidR="00DA65C2">
              <w:rPr>
                <w:noProof/>
                <w:webHidden/>
              </w:rPr>
              <w:fldChar w:fldCharType="separate"/>
            </w:r>
            <w:r w:rsidR="00CB6759">
              <w:rPr>
                <w:noProof/>
                <w:webHidden/>
              </w:rPr>
              <w:t>235</w:t>
            </w:r>
            <w:r w:rsidR="00DA65C2">
              <w:rPr>
                <w:noProof/>
                <w:webHidden/>
              </w:rPr>
              <w:fldChar w:fldCharType="end"/>
            </w:r>
          </w:hyperlink>
        </w:p>
        <w:p w14:paraId="1CB42E17" w14:textId="58480C21" w:rsidR="00DA65C2" w:rsidRDefault="00A65A8D">
          <w:pPr>
            <w:pStyle w:val="Turinys1"/>
            <w:tabs>
              <w:tab w:val="left" w:pos="660"/>
              <w:tab w:val="right" w:leader="dot" w:pos="9016"/>
            </w:tabs>
            <w:rPr>
              <w:rFonts w:eastAsiaTheme="minorEastAsia"/>
              <w:noProof/>
            </w:rPr>
          </w:pPr>
          <w:hyperlink w:anchor="_Toc417378431" w:history="1">
            <w:r w:rsidR="00DA65C2" w:rsidRPr="004528C4">
              <w:rPr>
                <w:rStyle w:val="Hipersaitas"/>
                <w:rFonts w:cs="Arial"/>
                <w:noProof/>
                <w:lang w:val="lt-LT"/>
              </w:rPr>
              <w:t>7.</w:t>
            </w:r>
            <w:r w:rsidR="00DA65C2">
              <w:rPr>
                <w:rFonts w:eastAsiaTheme="minorEastAsia"/>
                <w:noProof/>
              </w:rPr>
              <w:tab/>
            </w:r>
            <w:r w:rsidR="00DA65C2" w:rsidRPr="004528C4">
              <w:rPr>
                <w:rStyle w:val="Hipersaitas"/>
                <w:noProof/>
                <w:lang w:val="lt-LT"/>
              </w:rPr>
              <w:t>Investavimo strategija</w:t>
            </w:r>
            <w:r w:rsidR="00DA65C2">
              <w:rPr>
                <w:noProof/>
                <w:webHidden/>
              </w:rPr>
              <w:tab/>
            </w:r>
            <w:r w:rsidR="00DA65C2">
              <w:rPr>
                <w:noProof/>
                <w:webHidden/>
              </w:rPr>
              <w:fldChar w:fldCharType="begin"/>
            </w:r>
            <w:r w:rsidR="00DA65C2">
              <w:rPr>
                <w:noProof/>
                <w:webHidden/>
              </w:rPr>
              <w:instrText xml:space="preserve"> PAGEREF _Toc417378431 \h </w:instrText>
            </w:r>
            <w:r w:rsidR="00DA65C2">
              <w:rPr>
                <w:noProof/>
                <w:webHidden/>
              </w:rPr>
            </w:r>
            <w:r w:rsidR="00DA65C2">
              <w:rPr>
                <w:noProof/>
                <w:webHidden/>
              </w:rPr>
              <w:fldChar w:fldCharType="separate"/>
            </w:r>
            <w:r w:rsidR="00CB6759">
              <w:rPr>
                <w:noProof/>
                <w:webHidden/>
              </w:rPr>
              <w:t>236</w:t>
            </w:r>
            <w:r w:rsidR="00DA65C2">
              <w:rPr>
                <w:noProof/>
                <w:webHidden/>
              </w:rPr>
              <w:fldChar w:fldCharType="end"/>
            </w:r>
          </w:hyperlink>
        </w:p>
        <w:p w14:paraId="4758FA07" w14:textId="5F0635EA" w:rsidR="00DA65C2" w:rsidRDefault="00A65A8D">
          <w:pPr>
            <w:pStyle w:val="Turinys2"/>
            <w:tabs>
              <w:tab w:val="left" w:pos="880"/>
              <w:tab w:val="right" w:leader="dot" w:pos="9016"/>
            </w:tabs>
            <w:rPr>
              <w:rFonts w:eastAsiaTheme="minorEastAsia"/>
              <w:noProof/>
            </w:rPr>
          </w:pPr>
          <w:hyperlink w:anchor="_Toc417378432" w:history="1">
            <w:r w:rsidR="00DA65C2" w:rsidRPr="004528C4">
              <w:rPr>
                <w:rStyle w:val="Hipersaitas"/>
                <w:noProof/>
                <w:lang w:val="lt-LT"/>
              </w:rPr>
              <w:t>7.1.</w:t>
            </w:r>
            <w:r w:rsidR="00DA65C2">
              <w:rPr>
                <w:rFonts w:eastAsiaTheme="minorEastAsia"/>
                <w:noProof/>
              </w:rPr>
              <w:tab/>
            </w:r>
            <w:r w:rsidR="00DA65C2" w:rsidRPr="004528C4">
              <w:rPr>
                <w:rStyle w:val="Hipersaitas"/>
                <w:noProof/>
                <w:lang w:val="lt-LT"/>
              </w:rPr>
              <w:t>Daugiabučių modernizavimo investavimo strategija</w:t>
            </w:r>
            <w:r w:rsidR="00DA65C2">
              <w:rPr>
                <w:noProof/>
                <w:webHidden/>
              </w:rPr>
              <w:tab/>
            </w:r>
            <w:r w:rsidR="00DA65C2">
              <w:rPr>
                <w:noProof/>
                <w:webHidden/>
              </w:rPr>
              <w:fldChar w:fldCharType="begin"/>
            </w:r>
            <w:r w:rsidR="00DA65C2">
              <w:rPr>
                <w:noProof/>
                <w:webHidden/>
              </w:rPr>
              <w:instrText xml:space="preserve"> PAGEREF _Toc417378432 \h </w:instrText>
            </w:r>
            <w:r w:rsidR="00DA65C2">
              <w:rPr>
                <w:noProof/>
                <w:webHidden/>
              </w:rPr>
            </w:r>
            <w:r w:rsidR="00DA65C2">
              <w:rPr>
                <w:noProof/>
                <w:webHidden/>
              </w:rPr>
              <w:fldChar w:fldCharType="separate"/>
            </w:r>
            <w:r w:rsidR="00CB6759">
              <w:rPr>
                <w:noProof/>
                <w:webHidden/>
              </w:rPr>
              <w:t>236</w:t>
            </w:r>
            <w:r w:rsidR="00DA65C2">
              <w:rPr>
                <w:noProof/>
                <w:webHidden/>
              </w:rPr>
              <w:fldChar w:fldCharType="end"/>
            </w:r>
          </w:hyperlink>
        </w:p>
        <w:p w14:paraId="3B7CB7EF" w14:textId="0C4F2961" w:rsidR="00DA65C2" w:rsidRDefault="00A65A8D">
          <w:pPr>
            <w:pStyle w:val="Turinys2"/>
            <w:tabs>
              <w:tab w:val="left" w:pos="1100"/>
              <w:tab w:val="right" w:leader="dot" w:pos="9016"/>
            </w:tabs>
            <w:rPr>
              <w:rFonts w:eastAsiaTheme="minorEastAsia"/>
              <w:noProof/>
            </w:rPr>
          </w:pPr>
          <w:hyperlink w:anchor="_Toc417378433" w:history="1">
            <w:r w:rsidR="00DA65C2" w:rsidRPr="004528C4">
              <w:rPr>
                <w:rStyle w:val="Hipersaitas"/>
                <w:noProof/>
                <w:lang w:val="lt-LT"/>
              </w:rPr>
              <w:t>7.1.1.</w:t>
            </w:r>
            <w:r w:rsidR="00DA65C2">
              <w:rPr>
                <w:rFonts w:eastAsiaTheme="minorEastAsia"/>
                <w:noProof/>
              </w:rPr>
              <w:tab/>
            </w:r>
            <w:r w:rsidR="00DA65C2" w:rsidRPr="004528C4">
              <w:rPr>
                <w:rStyle w:val="Hipersaitas"/>
                <w:noProof/>
                <w:lang w:val="lt-LT"/>
              </w:rPr>
              <w:t>Finansinės priemonės apimtis ir tiksliniai galutiniai naudos gavėjai</w:t>
            </w:r>
            <w:r w:rsidR="00DA65C2">
              <w:rPr>
                <w:noProof/>
                <w:webHidden/>
              </w:rPr>
              <w:tab/>
            </w:r>
            <w:r w:rsidR="00DA65C2">
              <w:rPr>
                <w:noProof/>
                <w:webHidden/>
              </w:rPr>
              <w:fldChar w:fldCharType="begin"/>
            </w:r>
            <w:r w:rsidR="00DA65C2">
              <w:rPr>
                <w:noProof/>
                <w:webHidden/>
              </w:rPr>
              <w:instrText xml:space="preserve"> PAGEREF _Toc417378433 \h </w:instrText>
            </w:r>
            <w:r w:rsidR="00DA65C2">
              <w:rPr>
                <w:noProof/>
                <w:webHidden/>
              </w:rPr>
            </w:r>
            <w:r w:rsidR="00DA65C2">
              <w:rPr>
                <w:noProof/>
                <w:webHidden/>
              </w:rPr>
              <w:fldChar w:fldCharType="separate"/>
            </w:r>
            <w:r w:rsidR="00CB6759">
              <w:rPr>
                <w:noProof/>
                <w:webHidden/>
              </w:rPr>
              <w:t>236</w:t>
            </w:r>
            <w:r w:rsidR="00DA65C2">
              <w:rPr>
                <w:noProof/>
                <w:webHidden/>
              </w:rPr>
              <w:fldChar w:fldCharType="end"/>
            </w:r>
          </w:hyperlink>
        </w:p>
        <w:p w14:paraId="3AA91A0D" w14:textId="53F319C5" w:rsidR="00DA65C2" w:rsidRDefault="00A65A8D">
          <w:pPr>
            <w:pStyle w:val="Turinys2"/>
            <w:tabs>
              <w:tab w:val="left" w:pos="1100"/>
              <w:tab w:val="right" w:leader="dot" w:pos="9016"/>
            </w:tabs>
            <w:rPr>
              <w:rFonts w:eastAsiaTheme="minorEastAsia"/>
              <w:noProof/>
            </w:rPr>
          </w:pPr>
          <w:hyperlink w:anchor="_Toc417378434" w:history="1">
            <w:r w:rsidR="00DA65C2" w:rsidRPr="004528C4">
              <w:rPr>
                <w:rStyle w:val="Hipersaitas"/>
                <w:noProof/>
                <w:lang w:val="lt-LT"/>
              </w:rPr>
              <w:t>7.1.2.</w:t>
            </w:r>
            <w:r w:rsidR="00DA65C2">
              <w:rPr>
                <w:rFonts w:eastAsiaTheme="minorEastAsia"/>
                <w:noProof/>
              </w:rPr>
              <w:tab/>
            </w:r>
            <w:r w:rsidR="00DA65C2" w:rsidRPr="004528C4">
              <w:rPr>
                <w:rStyle w:val="Hipersaitas"/>
                <w:noProof/>
                <w:lang w:val="lt-LT"/>
              </w:rPr>
              <w:t>Finansinio produkto parinkimas</w:t>
            </w:r>
            <w:r w:rsidR="00DA65C2">
              <w:rPr>
                <w:noProof/>
                <w:webHidden/>
              </w:rPr>
              <w:tab/>
            </w:r>
            <w:r w:rsidR="00DA65C2">
              <w:rPr>
                <w:noProof/>
                <w:webHidden/>
              </w:rPr>
              <w:fldChar w:fldCharType="begin"/>
            </w:r>
            <w:r w:rsidR="00DA65C2">
              <w:rPr>
                <w:noProof/>
                <w:webHidden/>
              </w:rPr>
              <w:instrText xml:space="preserve"> PAGEREF _Toc417378434 \h </w:instrText>
            </w:r>
            <w:r w:rsidR="00DA65C2">
              <w:rPr>
                <w:noProof/>
                <w:webHidden/>
              </w:rPr>
            </w:r>
            <w:r w:rsidR="00DA65C2">
              <w:rPr>
                <w:noProof/>
                <w:webHidden/>
              </w:rPr>
              <w:fldChar w:fldCharType="separate"/>
            </w:r>
            <w:r w:rsidR="00CB6759">
              <w:rPr>
                <w:noProof/>
                <w:webHidden/>
              </w:rPr>
              <w:t>237</w:t>
            </w:r>
            <w:r w:rsidR="00DA65C2">
              <w:rPr>
                <w:noProof/>
                <w:webHidden/>
              </w:rPr>
              <w:fldChar w:fldCharType="end"/>
            </w:r>
          </w:hyperlink>
        </w:p>
        <w:p w14:paraId="0459307B" w14:textId="303088DD" w:rsidR="00DA65C2" w:rsidRDefault="00A65A8D">
          <w:pPr>
            <w:pStyle w:val="Turinys2"/>
            <w:tabs>
              <w:tab w:val="left" w:pos="1100"/>
              <w:tab w:val="right" w:leader="dot" w:pos="9016"/>
            </w:tabs>
            <w:rPr>
              <w:rFonts w:eastAsiaTheme="minorEastAsia"/>
              <w:noProof/>
            </w:rPr>
          </w:pPr>
          <w:hyperlink w:anchor="_Toc417378435" w:history="1">
            <w:r w:rsidR="00DA65C2" w:rsidRPr="004528C4">
              <w:rPr>
                <w:rStyle w:val="Hipersaitas"/>
                <w:noProof/>
                <w:lang w:val="lt-LT"/>
              </w:rPr>
              <w:t>7.1.3.</w:t>
            </w:r>
            <w:r w:rsidR="00DA65C2">
              <w:rPr>
                <w:rFonts w:eastAsiaTheme="minorEastAsia"/>
                <w:noProof/>
              </w:rPr>
              <w:tab/>
            </w:r>
            <w:r w:rsidR="00DA65C2" w:rsidRPr="004528C4">
              <w:rPr>
                <w:rStyle w:val="Hipersaitas"/>
                <w:noProof/>
                <w:lang w:val="lt-LT"/>
              </w:rPr>
              <w:t>Finansinės priemonės derinimas su parama</w:t>
            </w:r>
            <w:r w:rsidR="00DA65C2">
              <w:rPr>
                <w:noProof/>
                <w:webHidden/>
              </w:rPr>
              <w:tab/>
            </w:r>
            <w:r w:rsidR="00DA65C2">
              <w:rPr>
                <w:noProof/>
                <w:webHidden/>
              </w:rPr>
              <w:fldChar w:fldCharType="begin"/>
            </w:r>
            <w:r w:rsidR="00DA65C2">
              <w:rPr>
                <w:noProof/>
                <w:webHidden/>
              </w:rPr>
              <w:instrText xml:space="preserve"> PAGEREF _Toc417378435 \h </w:instrText>
            </w:r>
            <w:r w:rsidR="00DA65C2">
              <w:rPr>
                <w:noProof/>
                <w:webHidden/>
              </w:rPr>
            </w:r>
            <w:r w:rsidR="00DA65C2">
              <w:rPr>
                <w:noProof/>
                <w:webHidden/>
              </w:rPr>
              <w:fldChar w:fldCharType="separate"/>
            </w:r>
            <w:r w:rsidR="00CB6759">
              <w:rPr>
                <w:noProof/>
                <w:webHidden/>
              </w:rPr>
              <w:t>238</w:t>
            </w:r>
            <w:r w:rsidR="00DA65C2">
              <w:rPr>
                <w:noProof/>
                <w:webHidden/>
              </w:rPr>
              <w:fldChar w:fldCharType="end"/>
            </w:r>
          </w:hyperlink>
        </w:p>
        <w:p w14:paraId="6CA5844C" w14:textId="50FF4825" w:rsidR="00DA65C2" w:rsidRDefault="00A65A8D">
          <w:pPr>
            <w:pStyle w:val="Turinys2"/>
            <w:tabs>
              <w:tab w:val="left" w:pos="1100"/>
              <w:tab w:val="right" w:leader="dot" w:pos="9016"/>
            </w:tabs>
            <w:rPr>
              <w:rFonts w:eastAsiaTheme="minorEastAsia"/>
              <w:noProof/>
            </w:rPr>
          </w:pPr>
          <w:hyperlink w:anchor="_Toc417378436" w:history="1">
            <w:r w:rsidR="00DA65C2" w:rsidRPr="004528C4">
              <w:rPr>
                <w:rStyle w:val="Hipersaitas"/>
                <w:noProof/>
                <w:lang w:val="lt-LT"/>
              </w:rPr>
              <w:t>7.1.4.</w:t>
            </w:r>
            <w:r w:rsidR="00DA65C2">
              <w:rPr>
                <w:rFonts w:eastAsiaTheme="minorEastAsia"/>
                <w:noProof/>
              </w:rPr>
              <w:tab/>
            </w:r>
            <w:r w:rsidR="00DA65C2" w:rsidRPr="004528C4">
              <w:rPr>
                <w:rStyle w:val="Hipersaitas"/>
                <w:noProof/>
                <w:lang w:val="lt-LT"/>
              </w:rPr>
              <w:t>Finansinės priemonės įgyvendinimo struktūra</w:t>
            </w:r>
            <w:r w:rsidR="00DA65C2">
              <w:rPr>
                <w:noProof/>
                <w:webHidden/>
              </w:rPr>
              <w:tab/>
            </w:r>
            <w:r w:rsidR="00DA65C2">
              <w:rPr>
                <w:noProof/>
                <w:webHidden/>
              </w:rPr>
              <w:fldChar w:fldCharType="begin"/>
            </w:r>
            <w:r w:rsidR="00DA65C2">
              <w:rPr>
                <w:noProof/>
                <w:webHidden/>
              </w:rPr>
              <w:instrText xml:space="preserve"> PAGEREF _Toc417378436 \h </w:instrText>
            </w:r>
            <w:r w:rsidR="00DA65C2">
              <w:rPr>
                <w:noProof/>
                <w:webHidden/>
              </w:rPr>
            </w:r>
            <w:r w:rsidR="00DA65C2">
              <w:rPr>
                <w:noProof/>
                <w:webHidden/>
              </w:rPr>
              <w:fldChar w:fldCharType="separate"/>
            </w:r>
            <w:r w:rsidR="00CB6759">
              <w:rPr>
                <w:noProof/>
                <w:webHidden/>
              </w:rPr>
              <w:t>239</w:t>
            </w:r>
            <w:r w:rsidR="00DA65C2">
              <w:rPr>
                <w:noProof/>
                <w:webHidden/>
              </w:rPr>
              <w:fldChar w:fldCharType="end"/>
            </w:r>
          </w:hyperlink>
        </w:p>
        <w:p w14:paraId="24D1387E" w14:textId="6C7FA6AE" w:rsidR="00DA65C2" w:rsidRDefault="00A65A8D">
          <w:pPr>
            <w:pStyle w:val="Turinys2"/>
            <w:tabs>
              <w:tab w:val="left" w:pos="1320"/>
              <w:tab w:val="right" w:leader="dot" w:pos="9016"/>
            </w:tabs>
            <w:rPr>
              <w:rFonts w:eastAsiaTheme="minorEastAsia"/>
              <w:noProof/>
            </w:rPr>
          </w:pPr>
          <w:hyperlink w:anchor="_Toc417378437" w:history="1">
            <w:r w:rsidR="00DA65C2" w:rsidRPr="004528C4">
              <w:rPr>
                <w:rStyle w:val="Hipersaitas"/>
                <w:noProof/>
                <w:lang w:val="lt-LT"/>
              </w:rPr>
              <w:t>7.1.4.1.</w:t>
            </w:r>
            <w:r w:rsidR="00DA65C2">
              <w:rPr>
                <w:rFonts w:eastAsiaTheme="minorEastAsia"/>
                <w:noProof/>
              </w:rPr>
              <w:tab/>
            </w:r>
            <w:r w:rsidR="00DA65C2" w:rsidRPr="004528C4">
              <w:rPr>
                <w:rStyle w:val="Hipersaitas"/>
                <w:noProof/>
                <w:lang w:val="lt-LT"/>
              </w:rPr>
              <w:t>2014-2020 lėšų investavimas į esamą JESSICA fondą (fondų fondo tęsinys)</w:t>
            </w:r>
            <w:r w:rsidR="00DA65C2">
              <w:rPr>
                <w:noProof/>
                <w:webHidden/>
              </w:rPr>
              <w:tab/>
            </w:r>
            <w:r w:rsidR="00DA65C2">
              <w:rPr>
                <w:noProof/>
                <w:webHidden/>
              </w:rPr>
              <w:fldChar w:fldCharType="begin"/>
            </w:r>
            <w:r w:rsidR="00DA65C2">
              <w:rPr>
                <w:noProof/>
                <w:webHidden/>
              </w:rPr>
              <w:instrText xml:space="preserve"> PAGEREF _Toc417378437 \h </w:instrText>
            </w:r>
            <w:r w:rsidR="00DA65C2">
              <w:rPr>
                <w:noProof/>
                <w:webHidden/>
              </w:rPr>
            </w:r>
            <w:r w:rsidR="00DA65C2">
              <w:rPr>
                <w:noProof/>
                <w:webHidden/>
              </w:rPr>
              <w:fldChar w:fldCharType="separate"/>
            </w:r>
            <w:r w:rsidR="00CB6759">
              <w:rPr>
                <w:noProof/>
                <w:webHidden/>
              </w:rPr>
              <w:t>241</w:t>
            </w:r>
            <w:r w:rsidR="00DA65C2">
              <w:rPr>
                <w:noProof/>
                <w:webHidden/>
              </w:rPr>
              <w:fldChar w:fldCharType="end"/>
            </w:r>
          </w:hyperlink>
        </w:p>
        <w:p w14:paraId="09710E5F" w14:textId="782A48FC" w:rsidR="00DA65C2" w:rsidRDefault="00A65A8D">
          <w:pPr>
            <w:pStyle w:val="Turinys2"/>
            <w:tabs>
              <w:tab w:val="left" w:pos="1320"/>
              <w:tab w:val="right" w:leader="dot" w:pos="9016"/>
            </w:tabs>
            <w:rPr>
              <w:rFonts w:eastAsiaTheme="minorEastAsia"/>
              <w:noProof/>
            </w:rPr>
          </w:pPr>
          <w:hyperlink w:anchor="_Toc417378438" w:history="1">
            <w:r w:rsidR="00DA65C2" w:rsidRPr="004528C4">
              <w:rPr>
                <w:rStyle w:val="Hipersaitas"/>
                <w:noProof/>
                <w:lang w:val="lt-LT"/>
              </w:rPr>
              <w:t>7.1.4.2.</w:t>
            </w:r>
            <w:r w:rsidR="00DA65C2">
              <w:rPr>
                <w:rFonts w:eastAsiaTheme="minorEastAsia"/>
                <w:noProof/>
              </w:rPr>
              <w:tab/>
            </w:r>
            <w:r w:rsidR="00DA65C2" w:rsidRPr="004528C4">
              <w:rPr>
                <w:rStyle w:val="Hipersaitas"/>
                <w:noProof/>
                <w:lang w:val="lt-LT"/>
              </w:rPr>
              <w:t>Juridinio asmens statusą turinčio fondo steigimas</w:t>
            </w:r>
            <w:r w:rsidR="00DA65C2">
              <w:rPr>
                <w:noProof/>
                <w:webHidden/>
              </w:rPr>
              <w:tab/>
            </w:r>
            <w:r w:rsidR="00DA65C2">
              <w:rPr>
                <w:noProof/>
                <w:webHidden/>
              </w:rPr>
              <w:fldChar w:fldCharType="begin"/>
            </w:r>
            <w:r w:rsidR="00DA65C2">
              <w:rPr>
                <w:noProof/>
                <w:webHidden/>
              </w:rPr>
              <w:instrText xml:space="preserve"> PAGEREF _Toc417378438 \h </w:instrText>
            </w:r>
            <w:r w:rsidR="00DA65C2">
              <w:rPr>
                <w:noProof/>
                <w:webHidden/>
              </w:rPr>
            </w:r>
            <w:r w:rsidR="00DA65C2">
              <w:rPr>
                <w:noProof/>
                <w:webHidden/>
              </w:rPr>
              <w:fldChar w:fldCharType="separate"/>
            </w:r>
            <w:r w:rsidR="00CB6759">
              <w:rPr>
                <w:noProof/>
                <w:webHidden/>
              </w:rPr>
              <w:t>243</w:t>
            </w:r>
            <w:r w:rsidR="00DA65C2">
              <w:rPr>
                <w:noProof/>
                <w:webHidden/>
              </w:rPr>
              <w:fldChar w:fldCharType="end"/>
            </w:r>
          </w:hyperlink>
        </w:p>
        <w:p w14:paraId="514108C2" w14:textId="093EDB6B" w:rsidR="00DA65C2" w:rsidRDefault="00A65A8D">
          <w:pPr>
            <w:pStyle w:val="Turinys2"/>
            <w:tabs>
              <w:tab w:val="left" w:pos="1320"/>
              <w:tab w:val="right" w:leader="dot" w:pos="9016"/>
            </w:tabs>
            <w:rPr>
              <w:rFonts w:eastAsiaTheme="minorEastAsia"/>
              <w:noProof/>
            </w:rPr>
          </w:pPr>
          <w:hyperlink w:anchor="_Toc417378439" w:history="1">
            <w:r w:rsidR="00DA65C2" w:rsidRPr="004528C4">
              <w:rPr>
                <w:rStyle w:val="Hipersaitas"/>
                <w:noProof/>
                <w:lang w:val="lt-LT"/>
              </w:rPr>
              <w:t>7.1.4.3.</w:t>
            </w:r>
            <w:r w:rsidR="00DA65C2">
              <w:rPr>
                <w:rFonts w:eastAsiaTheme="minorEastAsia"/>
                <w:noProof/>
              </w:rPr>
              <w:tab/>
            </w:r>
            <w:r w:rsidR="00DA65C2" w:rsidRPr="004528C4">
              <w:rPr>
                <w:rStyle w:val="Hipersaitas"/>
                <w:noProof/>
                <w:lang w:val="lt-LT"/>
              </w:rPr>
              <w:t>2014-2020 lėšų investavimas į esamą JESSICA fondą ir investicinio fondo steigimas Lietuvoje</w:t>
            </w:r>
            <w:r w:rsidR="00DA65C2">
              <w:rPr>
                <w:noProof/>
                <w:webHidden/>
              </w:rPr>
              <w:tab/>
            </w:r>
            <w:r w:rsidR="00DA65C2">
              <w:rPr>
                <w:noProof/>
                <w:webHidden/>
              </w:rPr>
              <w:fldChar w:fldCharType="begin"/>
            </w:r>
            <w:r w:rsidR="00DA65C2">
              <w:rPr>
                <w:noProof/>
                <w:webHidden/>
              </w:rPr>
              <w:instrText xml:space="preserve"> PAGEREF _Toc417378439 \h </w:instrText>
            </w:r>
            <w:r w:rsidR="00DA65C2">
              <w:rPr>
                <w:noProof/>
                <w:webHidden/>
              </w:rPr>
            </w:r>
            <w:r w:rsidR="00DA65C2">
              <w:rPr>
                <w:noProof/>
                <w:webHidden/>
              </w:rPr>
              <w:fldChar w:fldCharType="separate"/>
            </w:r>
            <w:r w:rsidR="00CB6759">
              <w:rPr>
                <w:noProof/>
                <w:webHidden/>
              </w:rPr>
              <w:t>244</w:t>
            </w:r>
            <w:r w:rsidR="00DA65C2">
              <w:rPr>
                <w:noProof/>
                <w:webHidden/>
              </w:rPr>
              <w:fldChar w:fldCharType="end"/>
            </w:r>
          </w:hyperlink>
        </w:p>
        <w:p w14:paraId="46F9E7CC" w14:textId="4B7452B0" w:rsidR="00DA65C2" w:rsidRDefault="00A65A8D">
          <w:pPr>
            <w:pStyle w:val="Turinys2"/>
            <w:tabs>
              <w:tab w:val="left" w:pos="1320"/>
              <w:tab w:val="right" w:leader="dot" w:pos="9016"/>
            </w:tabs>
            <w:rPr>
              <w:rFonts w:eastAsiaTheme="minorEastAsia"/>
              <w:noProof/>
            </w:rPr>
          </w:pPr>
          <w:hyperlink w:anchor="_Toc417378440" w:history="1">
            <w:r w:rsidR="00DA65C2" w:rsidRPr="004528C4">
              <w:rPr>
                <w:rStyle w:val="Hipersaitas"/>
                <w:noProof/>
                <w:lang w:val="lt-LT"/>
              </w:rPr>
              <w:t>7.1.4.4.</w:t>
            </w:r>
            <w:r w:rsidR="00DA65C2">
              <w:rPr>
                <w:rFonts w:eastAsiaTheme="minorEastAsia"/>
                <w:noProof/>
              </w:rPr>
              <w:tab/>
            </w:r>
            <w:r w:rsidR="00DA65C2" w:rsidRPr="004528C4">
              <w:rPr>
                <w:rStyle w:val="Hipersaitas"/>
                <w:noProof/>
                <w:lang w:val="lt-LT"/>
              </w:rPr>
              <w:t>Siūloma įgyvendinti alternatyva</w:t>
            </w:r>
            <w:r w:rsidR="00DA65C2">
              <w:rPr>
                <w:noProof/>
                <w:webHidden/>
              </w:rPr>
              <w:tab/>
            </w:r>
            <w:r w:rsidR="00DA65C2">
              <w:rPr>
                <w:noProof/>
                <w:webHidden/>
              </w:rPr>
              <w:fldChar w:fldCharType="begin"/>
            </w:r>
            <w:r w:rsidR="00DA65C2">
              <w:rPr>
                <w:noProof/>
                <w:webHidden/>
              </w:rPr>
              <w:instrText xml:space="preserve"> PAGEREF _Toc417378440 \h </w:instrText>
            </w:r>
            <w:r w:rsidR="00DA65C2">
              <w:rPr>
                <w:noProof/>
                <w:webHidden/>
              </w:rPr>
            </w:r>
            <w:r w:rsidR="00DA65C2">
              <w:rPr>
                <w:noProof/>
                <w:webHidden/>
              </w:rPr>
              <w:fldChar w:fldCharType="separate"/>
            </w:r>
            <w:r w:rsidR="00CB6759">
              <w:rPr>
                <w:noProof/>
                <w:webHidden/>
              </w:rPr>
              <w:t>246</w:t>
            </w:r>
            <w:r w:rsidR="00DA65C2">
              <w:rPr>
                <w:noProof/>
                <w:webHidden/>
              </w:rPr>
              <w:fldChar w:fldCharType="end"/>
            </w:r>
          </w:hyperlink>
        </w:p>
        <w:p w14:paraId="7C3E5778" w14:textId="48951A54" w:rsidR="00DA65C2" w:rsidRDefault="00A65A8D">
          <w:pPr>
            <w:pStyle w:val="Turinys2"/>
            <w:tabs>
              <w:tab w:val="left" w:pos="1100"/>
              <w:tab w:val="right" w:leader="dot" w:pos="9016"/>
            </w:tabs>
            <w:rPr>
              <w:rFonts w:eastAsiaTheme="minorEastAsia"/>
              <w:noProof/>
            </w:rPr>
          </w:pPr>
          <w:hyperlink w:anchor="_Toc417378441" w:history="1">
            <w:r w:rsidR="00DA65C2" w:rsidRPr="004528C4">
              <w:rPr>
                <w:rStyle w:val="Hipersaitas"/>
                <w:noProof/>
                <w:lang w:val="lt-LT"/>
              </w:rPr>
              <w:t>7.1.5.</w:t>
            </w:r>
            <w:r w:rsidR="00DA65C2">
              <w:rPr>
                <w:rFonts w:eastAsiaTheme="minorEastAsia"/>
                <w:noProof/>
              </w:rPr>
              <w:tab/>
            </w:r>
            <w:r w:rsidR="00DA65C2" w:rsidRPr="004528C4">
              <w:rPr>
                <w:rStyle w:val="Hipersaitas"/>
                <w:noProof/>
                <w:lang w:val="lt-LT"/>
              </w:rPr>
              <w:t>Tikėtinų rezultatų nustatymas ir skaičiavimas</w:t>
            </w:r>
            <w:r w:rsidR="00DA65C2">
              <w:rPr>
                <w:noProof/>
                <w:webHidden/>
              </w:rPr>
              <w:tab/>
            </w:r>
            <w:r w:rsidR="00DA65C2">
              <w:rPr>
                <w:noProof/>
                <w:webHidden/>
              </w:rPr>
              <w:fldChar w:fldCharType="begin"/>
            </w:r>
            <w:r w:rsidR="00DA65C2">
              <w:rPr>
                <w:noProof/>
                <w:webHidden/>
              </w:rPr>
              <w:instrText xml:space="preserve"> PAGEREF _Toc417378441 \h </w:instrText>
            </w:r>
            <w:r w:rsidR="00DA65C2">
              <w:rPr>
                <w:noProof/>
                <w:webHidden/>
              </w:rPr>
            </w:r>
            <w:r w:rsidR="00DA65C2">
              <w:rPr>
                <w:noProof/>
                <w:webHidden/>
              </w:rPr>
              <w:fldChar w:fldCharType="separate"/>
            </w:r>
            <w:r w:rsidR="00CB6759">
              <w:rPr>
                <w:noProof/>
                <w:webHidden/>
              </w:rPr>
              <w:t>255</w:t>
            </w:r>
            <w:r w:rsidR="00DA65C2">
              <w:rPr>
                <w:noProof/>
                <w:webHidden/>
              </w:rPr>
              <w:fldChar w:fldCharType="end"/>
            </w:r>
          </w:hyperlink>
        </w:p>
        <w:p w14:paraId="7EAE990A" w14:textId="1B1FF40A" w:rsidR="00DA65C2" w:rsidRDefault="00A65A8D">
          <w:pPr>
            <w:pStyle w:val="Turinys2"/>
            <w:tabs>
              <w:tab w:val="left" w:pos="1100"/>
              <w:tab w:val="right" w:leader="dot" w:pos="9016"/>
            </w:tabs>
            <w:rPr>
              <w:rFonts w:eastAsiaTheme="minorEastAsia"/>
              <w:noProof/>
            </w:rPr>
          </w:pPr>
          <w:hyperlink w:anchor="_Toc417378442" w:history="1">
            <w:r w:rsidR="00DA65C2" w:rsidRPr="004528C4">
              <w:rPr>
                <w:rStyle w:val="Hipersaitas"/>
                <w:noProof/>
                <w:lang w:val="lt-LT"/>
              </w:rPr>
              <w:t>7.1.6.</w:t>
            </w:r>
            <w:r w:rsidR="00DA65C2">
              <w:rPr>
                <w:rFonts w:eastAsiaTheme="minorEastAsia"/>
                <w:noProof/>
              </w:rPr>
              <w:tab/>
            </w:r>
            <w:r w:rsidR="00DA65C2" w:rsidRPr="004528C4">
              <w:rPr>
                <w:rStyle w:val="Hipersaitas"/>
                <w:noProof/>
                <w:lang w:val="lt-LT"/>
              </w:rPr>
              <w:t>Finansinės priemonės rezultatų prisidėjimas prie strateginių tikslų</w:t>
            </w:r>
            <w:r w:rsidR="00DA65C2">
              <w:rPr>
                <w:noProof/>
                <w:webHidden/>
              </w:rPr>
              <w:tab/>
            </w:r>
            <w:r w:rsidR="00DA65C2">
              <w:rPr>
                <w:noProof/>
                <w:webHidden/>
              </w:rPr>
              <w:fldChar w:fldCharType="begin"/>
            </w:r>
            <w:r w:rsidR="00DA65C2">
              <w:rPr>
                <w:noProof/>
                <w:webHidden/>
              </w:rPr>
              <w:instrText xml:space="preserve"> PAGEREF _Toc417378442 \h </w:instrText>
            </w:r>
            <w:r w:rsidR="00DA65C2">
              <w:rPr>
                <w:noProof/>
                <w:webHidden/>
              </w:rPr>
            </w:r>
            <w:r w:rsidR="00DA65C2">
              <w:rPr>
                <w:noProof/>
                <w:webHidden/>
              </w:rPr>
              <w:fldChar w:fldCharType="separate"/>
            </w:r>
            <w:r w:rsidR="00CB6759">
              <w:rPr>
                <w:noProof/>
                <w:webHidden/>
              </w:rPr>
              <w:t>255</w:t>
            </w:r>
            <w:r w:rsidR="00DA65C2">
              <w:rPr>
                <w:noProof/>
                <w:webHidden/>
              </w:rPr>
              <w:fldChar w:fldCharType="end"/>
            </w:r>
          </w:hyperlink>
        </w:p>
        <w:p w14:paraId="0B321DFB" w14:textId="33E1F036" w:rsidR="00DA65C2" w:rsidRDefault="00A65A8D">
          <w:pPr>
            <w:pStyle w:val="Turinys2"/>
            <w:tabs>
              <w:tab w:val="left" w:pos="1100"/>
              <w:tab w:val="right" w:leader="dot" w:pos="9016"/>
            </w:tabs>
            <w:rPr>
              <w:rFonts w:eastAsiaTheme="minorEastAsia"/>
              <w:noProof/>
            </w:rPr>
          </w:pPr>
          <w:hyperlink w:anchor="_Toc417378443" w:history="1">
            <w:r w:rsidR="00DA65C2" w:rsidRPr="004528C4">
              <w:rPr>
                <w:rStyle w:val="Hipersaitas"/>
                <w:noProof/>
                <w:lang w:val="lt-LT"/>
              </w:rPr>
              <w:t>7.1.7.</w:t>
            </w:r>
            <w:r w:rsidR="00DA65C2">
              <w:rPr>
                <w:rFonts w:eastAsiaTheme="minorEastAsia"/>
                <w:noProof/>
              </w:rPr>
              <w:tab/>
            </w:r>
            <w:r w:rsidR="00DA65C2" w:rsidRPr="004528C4">
              <w:rPr>
                <w:rStyle w:val="Hipersaitas"/>
                <w:noProof/>
                <w:lang w:val="lt-LT"/>
              </w:rPr>
              <w:t>Stebėsenos sistemos apibrėžimas</w:t>
            </w:r>
            <w:r w:rsidR="00DA65C2">
              <w:rPr>
                <w:noProof/>
                <w:webHidden/>
              </w:rPr>
              <w:tab/>
            </w:r>
            <w:r w:rsidR="00DA65C2">
              <w:rPr>
                <w:noProof/>
                <w:webHidden/>
              </w:rPr>
              <w:fldChar w:fldCharType="begin"/>
            </w:r>
            <w:r w:rsidR="00DA65C2">
              <w:rPr>
                <w:noProof/>
                <w:webHidden/>
              </w:rPr>
              <w:instrText xml:space="preserve"> PAGEREF _Toc417378443 \h </w:instrText>
            </w:r>
            <w:r w:rsidR="00DA65C2">
              <w:rPr>
                <w:noProof/>
                <w:webHidden/>
              </w:rPr>
            </w:r>
            <w:r w:rsidR="00DA65C2">
              <w:rPr>
                <w:noProof/>
                <w:webHidden/>
              </w:rPr>
              <w:fldChar w:fldCharType="separate"/>
            </w:r>
            <w:r w:rsidR="00CB6759">
              <w:rPr>
                <w:noProof/>
                <w:webHidden/>
              </w:rPr>
              <w:t>257</w:t>
            </w:r>
            <w:r w:rsidR="00DA65C2">
              <w:rPr>
                <w:noProof/>
                <w:webHidden/>
              </w:rPr>
              <w:fldChar w:fldCharType="end"/>
            </w:r>
          </w:hyperlink>
        </w:p>
        <w:p w14:paraId="1CB4D7B7" w14:textId="7DC91384" w:rsidR="00DA65C2" w:rsidRDefault="00A65A8D">
          <w:pPr>
            <w:pStyle w:val="Turinys2"/>
            <w:tabs>
              <w:tab w:val="left" w:pos="880"/>
              <w:tab w:val="right" w:leader="dot" w:pos="9016"/>
            </w:tabs>
            <w:rPr>
              <w:rFonts w:eastAsiaTheme="minorEastAsia"/>
              <w:noProof/>
            </w:rPr>
          </w:pPr>
          <w:hyperlink w:anchor="_Toc417378444" w:history="1">
            <w:r w:rsidR="00DA65C2" w:rsidRPr="004528C4">
              <w:rPr>
                <w:rStyle w:val="Hipersaitas"/>
                <w:noProof/>
                <w:lang w:val="lt-LT"/>
              </w:rPr>
              <w:t>7.2.</w:t>
            </w:r>
            <w:r w:rsidR="00DA65C2">
              <w:rPr>
                <w:rFonts w:eastAsiaTheme="minorEastAsia"/>
                <w:noProof/>
              </w:rPr>
              <w:tab/>
            </w:r>
            <w:r w:rsidR="00DA65C2" w:rsidRPr="004528C4">
              <w:rPr>
                <w:rStyle w:val="Hipersaitas"/>
                <w:noProof/>
                <w:lang w:val="lt-LT"/>
              </w:rPr>
              <w:t>Centrinės valdžios viešųjų pastatų ir gatvių apšvietimo modernizavimo investavimo strategija</w:t>
            </w:r>
            <w:r w:rsidR="00DA65C2">
              <w:rPr>
                <w:noProof/>
                <w:webHidden/>
              </w:rPr>
              <w:tab/>
            </w:r>
            <w:r w:rsidR="00DA65C2">
              <w:rPr>
                <w:noProof/>
                <w:webHidden/>
              </w:rPr>
              <w:fldChar w:fldCharType="begin"/>
            </w:r>
            <w:r w:rsidR="00DA65C2">
              <w:rPr>
                <w:noProof/>
                <w:webHidden/>
              </w:rPr>
              <w:instrText xml:space="preserve"> PAGEREF _Toc417378444 \h </w:instrText>
            </w:r>
            <w:r w:rsidR="00DA65C2">
              <w:rPr>
                <w:noProof/>
                <w:webHidden/>
              </w:rPr>
            </w:r>
            <w:r w:rsidR="00DA65C2">
              <w:rPr>
                <w:noProof/>
                <w:webHidden/>
              </w:rPr>
              <w:fldChar w:fldCharType="separate"/>
            </w:r>
            <w:r w:rsidR="00CB6759">
              <w:rPr>
                <w:noProof/>
                <w:webHidden/>
              </w:rPr>
              <w:t>259</w:t>
            </w:r>
            <w:r w:rsidR="00DA65C2">
              <w:rPr>
                <w:noProof/>
                <w:webHidden/>
              </w:rPr>
              <w:fldChar w:fldCharType="end"/>
            </w:r>
          </w:hyperlink>
        </w:p>
        <w:p w14:paraId="60C43D6D" w14:textId="25FEAF3B" w:rsidR="00DA65C2" w:rsidRDefault="00A65A8D">
          <w:pPr>
            <w:pStyle w:val="Turinys2"/>
            <w:tabs>
              <w:tab w:val="left" w:pos="1100"/>
              <w:tab w:val="right" w:leader="dot" w:pos="9016"/>
            </w:tabs>
            <w:rPr>
              <w:rFonts w:eastAsiaTheme="minorEastAsia"/>
              <w:noProof/>
            </w:rPr>
          </w:pPr>
          <w:hyperlink w:anchor="_Toc417378445" w:history="1">
            <w:r w:rsidR="00DA65C2" w:rsidRPr="004528C4">
              <w:rPr>
                <w:rStyle w:val="Hipersaitas"/>
                <w:noProof/>
                <w:lang w:val="lt-LT"/>
              </w:rPr>
              <w:t>7.2.1.</w:t>
            </w:r>
            <w:r w:rsidR="00DA65C2">
              <w:rPr>
                <w:rFonts w:eastAsiaTheme="minorEastAsia"/>
                <w:noProof/>
              </w:rPr>
              <w:tab/>
            </w:r>
            <w:r w:rsidR="00DA65C2" w:rsidRPr="004528C4">
              <w:rPr>
                <w:rStyle w:val="Hipersaitas"/>
                <w:noProof/>
                <w:lang w:val="lt-LT"/>
              </w:rPr>
              <w:t>Finansinių priemonių apimtis ir tiksliniai galutiniai naudos gavėjai</w:t>
            </w:r>
            <w:r w:rsidR="00DA65C2">
              <w:rPr>
                <w:noProof/>
                <w:webHidden/>
              </w:rPr>
              <w:tab/>
            </w:r>
            <w:r w:rsidR="00DA65C2">
              <w:rPr>
                <w:noProof/>
                <w:webHidden/>
              </w:rPr>
              <w:fldChar w:fldCharType="begin"/>
            </w:r>
            <w:r w:rsidR="00DA65C2">
              <w:rPr>
                <w:noProof/>
                <w:webHidden/>
              </w:rPr>
              <w:instrText xml:space="preserve"> PAGEREF _Toc417378445 \h </w:instrText>
            </w:r>
            <w:r w:rsidR="00DA65C2">
              <w:rPr>
                <w:noProof/>
                <w:webHidden/>
              </w:rPr>
            </w:r>
            <w:r w:rsidR="00DA65C2">
              <w:rPr>
                <w:noProof/>
                <w:webHidden/>
              </w:rPr>
              <w:fldChar w:fldCharType="separate"/>
            </w:r>
            <w:r w:rsidR="00CB6759">
              <w:rPr>
                <w:noProof/>
                <w:webHidden/>
              </w:rPr>
              <w:t>259</w:t>
            </w:r>
            <w:r w:rsidR="00DA65C2">
              <w:rPr>
                <w:noProof/>
                <w:webHidden/>
              </w:rPr>
              <w:fldChar w:fldCharType="end"/>
            </w:r>
          </w:hyperlink>
        </w:p>
        <w:p w14:paraId="63757668" w14:textId="36954313" w:rsidR="00DA65C2" w:rsidRDefault="00A65A8D">
          <w:pPr>
            <w:pStyle w:val="Turinys2"/>
            <w:tabs>
              <w:tab w:val="left" w:pos="1100"/>
              <w:tab w:val="right" w:leader="dot" w:pos="9016"/>
            </w:tabs>
            <w:rPr>
              <w:rFonts w:eastAsiaTheme="minorEastAsia"/>
              <w:noProof/>
            </w:rPr>
          </w:pPr>
          <w:hyperlink w:anchor="_Toc417378446" w:history="1">
            <w:r w:rsidR="00DA65C2" w:rsidRPr="004528C4">
              <w:rPr>
                <w:rStyle w:val="Hipersaitas"/>
                <w:noProof/>
                <w:lang w:val="lt-LT"/>
              </w:rPr>
              <w:t>7.2.2.</w:t>
            </w:r>
            <w:r w:rsidR="00DA65C2">
              <w:rPr>
                <w:rFonts w:eastAsiaTheme="minorEastAsia"/>
                <w:noProof/>
              </w:rPr>
              <w:tab/>
            </w:r>
            <w:r w:rsidR="00DA65C2" w:rsidRPr="004528C4">
              <w:rPr>
                <w:rStyle w:val="Hipersaitas"/>
                <w:noProof/>
                <w:lang w:val="lt-LT"/>
              </w:rPr>
              <w:t>Finansinio produkto parinkimas</w:t>
            </w:r>
            <w:r w:rsidR="00DA65C2">
              <w:rPr>
                <w:noProof/>
                <w:webHidden/>
              </w:rPr>
              <w:tab/>
            </w:r>
            <w:r w:rsidR="00DA65C2">
              <w:rPr>
                <w:noProof/>
                <w:webHidden/>
              </w:rPr>
              <w:fldChar w:fldCharType="begin"/>
            </w:r>
            <w:r w:rsidR="00DA65C2">
              <w:rPr>
                <w:noProof/>
                <w:webHidden/>
              </w:rPr>
              <w:instrText xml:space="preserve"> PAGEREF _Toc417378446 \h </w:instrText>
            </w:r>
            <w:r w:rsidR="00DA65C2">
              <w:rPr>
                <w:noProof/>
                <w:webHidden/>
              </w:rPr>
            </w:r>
            <w:r w:rsidR="00DA65C2">
              <w:rPr>
                <w:noProof/>
                <w:webHidden/>
              </w:rPr>
              <w:fldChar w:fldCharType="separate"/>
            </w:r>
            <w:r w:rsidR="00CB6759">
              <w:rPr>
                <w:noProof/>
                <w:webHidden/>
              </w:rPr>
              <w:t>261</w:t>
            </w:r>
            <w:r w:rsidR="00DA65C2">
              <w:rPr>
                <w:noProof/>
                <w:webHidden/>
              </w:rPr>
              <w:fldChar w:fldCharType="end"/>
            </w:r>
          </w:hyperlink>
        </w:p>
        <w:p w14:paraId="2C4C5EA1" w14:textId="173B052C" w:rsidR="00DA65C2" w:rsidRDefault="00A65A8D">
          <w:pPr>
            <w:pStyle w:val="Turinys2"/>
            <w:tabs>
              <w:tab w:val="left" w:pos="1100"/>
              <w:tab w:val="right" w:leader="dot" w:pos="9016"/>
            </w:tabs>
            <w:rPr>
              <w:rFonts w:eastAsiaTheme="minorEastAsia"/>
              <w:noProof/>
            </w:rPr>
          </w:pPr>
          <w:hyperlink w:anchor="_Toc417378447" w:history="1">
            <w:r w:rsidR="00DA65C2" w:rsidRPr="004528C4">
              <w:rPr>
                <w:rStyle w:val="Hipersaitas"/>
                <w:noProof/>
                <w:lang w:val="lt-LT"/>
              </w:rPr>
              <w:t>7.2.3.</w:t>
            </w:r>
            <w:r w:rsidR="00DA65C2">
              <w:rPr>
                <w:rFonts w:eastAsiaTheme="minorEastAsia"/>
                <w:noProof/>
              </w:rPr>
              <w:tab/>
            </w:r>
            <w:r w:rsidR="00DA65C2" w:rsidRPr="004528C4">
              <w:rPr>
                <w:rStyle w:val="Hipersaitas"/>
                <w:noProof/>
                <w:lang w:val="lt-LT"/>
              </w:rPr>
              <w:t>Finansinės priemonės derinimas su parama</w:t>
            </w:r>
            <w:r w:rsidR="00DA65C2">
              <w:rPr>
                <w:noProof/>
                <w:webHidden/>
              </w:rPr>
              <w:tab/>
            </w:r>
            <w:r w:rsidR="00DA65C2">
              <w:rPr>
                <w:noProof/>
                <w:webHidden/>
              </w:rPr>
              <w:fldChar w:fldCharType="begin"/>
            </w:r>
            <w:r w:rsidR="00DA65C2">
              <w:rPr>
                <w:noProof/>
                <w:webHidden/>
              </w:rPr>
              <w:instrText xml:space="preserve"> PAGEREF _Toc417378447 \h </w:instrText>
            </w:r>
            <w:r w:rsidR="00DA65C2">
              <w:rPr>
                <w:noProof/>
                <w:webHidden/>
              </w:rPr>
            </w:r>
            <w:r w:rsidR="00DA65C2">
              <w:rPr>
                <w:noProof/>
                <w:webHidden/>
              </w:rPr>
              <w:fldChar w:fldCharType="separate"/>
            </w:r>
            <w:r w:rsidR="00CB6759">
              <w:rPr>
                <w:noProof/>
                <w:webHidden/>
              </w:rPr>
              <w:t>263</w:t>
            </w:r>
            <w:r w:rsidR="00DA65C2">
              <w:rPr>
                <w:noProof/>
                <w:webHidden/>
              </w:rPr>
              <w:fldChar w:fldCharType="end"/>
            </w:r>
          </w:hyperlink>
        </w:p>
        <w:p w14:paraId="08D72115" w14:textId="4E423795" w:rsidR="00DA65C2" w:rsidRDefault="00A65A8D">
          <w:pPr>
            <w:pStyle w:val="Turinys2"/>
            <w:tabs>
              <w:tab w:val="left" w:pos="1100"/>
              <w:tab w:val="right" w:leader="dot" w:pos="9016"/>
            </w:tabs>
            <w:rPr>
              <w:rFonts w:eastAsiaTheme="minorEastAsia"/>
              <w:noProof/>
            </w:rPr>
          </w:pPr>
          <w:hyperlink w:anchor="_Toc417378448" w:history="1">
            <w:r w:rsidR="00DA65C2" w:rsidRPr="004528C4">
              <w:rPr>
                <w:rStyle w:val="Hipersaitas"/>
                <w:noProof/>
                <w:lang w:val="lt-LT"/>
              </w:rPr>
              <w:t>7.2.4.</w:t>
            </w:r>
            <w:r w:rsidR="00DA65C2">
              <w:rPr>
                <w:rFonts w:eastAsiaTheme="minorEastAsia"/>
                <w:noProof/>
              </w:rPr>
              <w:tab/>
            </w:r>
            <w:r w:rsidR="00DA65C2" w:rsidRPr="004528C4">
              <w:rPr>
                <w:rStyle w:val="Hipersaitas"/>
                <w:noProof/>
                <w:lang w:val="lt-LT"/>
              </w:rPr>
              <w:t>Finansinės priemonės įgyvendinimo struktūra</w:t>
            </w:r>
            <w:r w:rsidR="00DA65C2">
              <w:rPr>
                <w:noProof/>
                <w:webHidden/>
              </w:rPr>
              <w:tab/>
            </w:r>
            <w:r w:rsidR="00DA65C2">
              <w:rPr>
                <w:noProof/>
                <w:webHidden/>
              </w:rPr>
              <w:fldChar w:fldCharType="begin"/>
            </w:r>
            <w:r w:rsidR="00DA65C2">
              <w:rPr>
                <w:noProof/>
                <w:webHidden/>
              </w:rPr>
              <w:instrText xml:space="preserve"> PAGEREF _Toc417378448 \h </w:instrText>
            </w:r>
            <w:r w:rsidR="00DA65C2">
              <w:rPr>
                <w:noProof/>
                <w:webHidden/>
              </w:rPr>
            </w:r>
            <w:r w:rsidR="00DA65C2">
              <w:rPr>
                <w:noProof/>
                <w:webHidden/>
              </w:rPr>
              <w:fldChar w:fldCharType="separate"/>
            </w:r>
            <w:r w:rsidR="00CB6759">
              <w:rPr>
                <w:noProof/>
                <w:webHidden/>
              </w:rPr>
              <w:t>265</w:t>
            </w:r>
            <w:r w:rsidR="00DA65C2">
              <w:rPr>
                <w:noProof/>
                <w:webHidden/>
              </w:rPr>
              <w:fldChar w:fldCharType="end"/>
            </w:r>
          </w:hyperlink>
        </w:p>
        <w:p w14:paraId="401CC6E5" w14:textId="5D5B3DB9" w:rsidR="00DA65C2" w:rsidRDefault="00A65A8D">
          <w:pPr>
            <w:pStyle w:val="Turinys2"/>
            <w:tabs>
              <w:tab w:val="left" w:pos="1320"/>
              <w:tab w:val="right" w:leader="dot" w:pos="9016"/>
            </w:tabs>
            <w:rPr>
              <w:rFonts w:eastAsiaTheme="minorEastAsia"/>
              <w:noProof/>
            </w:rPr>
          </w:pPr>
          <w:hyperlink w:anchor="_Toc417378449" w:history="1">
            <w:r w:rsidR="00DA65C2" w:rsidRPr="004528C4">
              <w:rPr>
                <w:rStyle w:val="Hipersaitas"/>
                <w:noProof/>
                <w:lang w:val="lt-LT"/>
              </w:rPr>
              <w:t>7.2.4.1.</w:t>
            </w:r>
            <w:r w:rsidR="00DA65C2">
              <w:rPr>
                <w:rFonts w:eastAsiaTheme="minorEastAsia"/>
                <w:noProof/>
              </w:rPr>
              <w:tab/>
            </w:r>
            <w:r w:rsidR="00DA65C2" w:rsidRPr="004528C4">
              <w:rPr>
                <w:rStyle w:val="Hipersaitas"/>
                <w:noProof/>
                <w:lang w:val="lt-LT"/>
              </w:rPr>
              <w:t>Fondų fondo sukūrimas</w:t>
            </w:r>
            <w:r w:rsidR="00DA65C2">
              <w:rPr>
                <w:noProof/>
                <w:webHidden/>
              </w:rPr>
              <w:tab/>
            </w:r>
            <w:r w:rsidR="00DA65C2">
              <w:rPr>
                <w:noProof/>
                <w:webHidden/>
              </w:rPr>
              <w:fldChar w:fldCharType="begin"/>
            </w:r>
            <w:r w:rsidR="00DA65C2">
              <w:rPr>
                <w:noProof/>
                <w:webHidden/>
              </w:rPr>
              <w:instrText xml:space="preserve"> PAGEREF _Toc417378449 \h </w:instrText>
            </w:r>
            <w:r w:rsidR="00DA65C2">
              <w:rPr>
                <w:noProof/>
                <w:webHidden/>
              </w:rPr>
            </w:r>
            <w:r w:rsidR="00DA65C2">
              <w:rPr>
                <w:noProof/>
                <w:webHidden/>
              </w:rPr>
              <w:fldChar w:fldCharType="separate"/>
            </w:r>
            <w:r w:rsidR="00CB6759">
              <w:rPr>
                <w:noProof/>
                <w:webHidden/>
              </w:rPr>
              <w:t>267</w:t>
            </w:r>
            <w:r w:rsidR="00DA65C2">
              <w:rPr>
                <w:noProof/>
                <w:webHidden/>
              </w:rPr>
              <w:fldChar w:fldCharType="end"/>
            </w:r>
          </w:hyperlink>
        </w:p>
        <w:p w14:paraId="2B0715BC" w14:textId="105BBFF2" w:rsidR="00DA65C2" w:rsidRDefault="00A65A8D">
          <w:pPr>
            <w:pStyle w:val="Turinys2"/>
            <w:tabs>
              <w:tab w:val="left" w:pos="1320"/>
              <w:tab w:val="right" w:leader="dot" w:pos="9016"/>
            </w:tabs>
            <w:rPr>
              <w:rFonts w:eastAsiaTheme="minorEastAsia"/>
              <w:noProof/>
            </w:rPr>
          </w:pPr>
          <w:hyperlink w:anchor="_Toc417378450" w:history="1">
            <w:r w:rsidR="00DA65C2" w:rsidRPr="004528C4">
              <w:rPr>
                <w:rStyle w:val="Hipersaitas"/>
                <w:noProof/>
                <w:lang w:val="lt-LT"/>
              </w:rPr>
              <w:t>7.2.4.2.</w:t>
            </w:r>
            <w:r w:rsidR="00DA65C2">
              <w:rPr>
                <w:rFonts w:eastAsiaTheme="minorEastAsia"/>
                <w:noProof/>
              </w:rPr>
              <w:tab/>
            </w:r>
            <w:r w:rsidR="00DA65C2" w:rsidRPr="004528C4">
              <w:rPr>
                <w:rStyle w:val="Hipersaitas"/>
                <w:noProof/>
                <w:lang w:val="lt-LT"/>
              </w:rPr>
              <w:t>Juridinio asmens statusą turinčio fondo steigimas</w:t>
            </w:r>
            <w:r w:rsidR="00DA65C2">
              <w:rPr>
                <w:noProof/>
                <w:webHidden/>
              </w:rPr>
              <w:tab/>
            </w:r>
            <w:r w:rsidR="00DA65C2">
              <w:rPr>
                <w:noProof/>
                <w:webHidden/>
              </w:rPr>
              <w:fldChar w:fldCharType="begin"/>
            </w:r>
            <w:r w:rsidR="00DA65C2">
              <w:rPr>
                <w:noProof/>
                <w:webHidden/>
              </w:rPr>
              <w:instrText xml:space="preserve"> PAGEREF _Toc417378450 \h </w:instrText>
            </w:r>
            <w:r w:rsidR="00DA65C2">
              <w:rPr>
                <w:noProof/>
                <w:webHidden/>
              </w:rPr>
            </w:r>
            <w:r w:rsidR="00DA65C2">
              <w:rPr>
                <w:noProof/>
                <w:webHidden/>
              </w:rPr>
              <w:fldChar w:fldCharType="separate"/>
            </w:r>
            <w:r w:rsidR="00CB6759">
              <w:rPr>
                <w:noProof/>
                <w:webHidden/>
              </w:rPr>
              <w:t>269</w:t>
            </w:r>
            <w:r w:rsidR="00DA65C2">
              <w:rPr>
                <w:noProof/>
                <w:webHidden/>
              </w:rPr>
              <w:fldChar w:fldCharType="end"/>
            </w:r>
          </w:hyperlink>
        </w:p>
        <w:p w14:paraId="49D99F45" w14:textId="2ADF634F" w:rsidR="00DA65C2" w:rsidRDefault="00A65A8D">
          <w:pPr>
            <w:pStyle w:val="Turinys2"/>
            <w:tabs>
              <w:tab w:val="left" w:pos="1320"/>
              <w:tab w:val="right" w:leader="dot" w:pos="9016"/>
            </w:tabs>
            <w:rPr>
              <w:rFonts w:eastAsiaTheme="minorEastAsia"/>
              <w:noProof/>
            </w:rPr>
          </w:pPr>
          <w:hyperlink w:anchor="_Toc417378451" w:history="1">
            <w:r w:rsidR="00DA65C2" w:rsidRPr="004528C4">
              <w:rPr>
                <w:rStyle w:val="Hipersaitas"/>
                <w:noProof/>
                <w:lang w:val="lt-LT"/>
              </w:rPr>
              <w:t>7.2.4.3.</w:t>
            </w:r>
            <w:r w:rsidR="00DA65C2">
              <w:rPr>
                <w:rFonts w:eastAsiaTheme="minorEastAsia"/>
                <w:noProof/>
              </w:rPr>
              <w:tab/>
            </w:r>
            <w:r w:rsidR="00DA65C2" w:rsidRPr="004528C4">
              <w:rPr>
                <w:rStyle w:val="Hipersaitas"/>
                <w:noProof/>
                <w:lang w:val="lt-LT"/>
              </w:rPr>
              <w:t>Fondų fondo ir investicinio fondo (turinčio juridinio asmens statusą) steigimas</w:t>
            </w:r>
            <w:r w:rsidR="00DA65C2">
              <w:rPr>
                <w:noProof/>
                <w:webHidden/>
              </w:rPr>
              <w:tab/>
            </w:r>
            <w:r w:rsidR="00DA65C2">
              <w:rPr>
                <w:noProof/>
                <w:webHidden/>
              </w:rPr>
              <w:fldChar w:fldCharType="begin"/>
            </w:r>
            <w:r w:rsidR="00DA65C2">
              <w:rPr>
                <w:noProof/>
                <w:webHidden/>
              </w:rPr>
              <w:instrText xml:space="preserve"> PAGEREF _Toc417378451 \h </w:instrText>
            </w:r>
            <w:r w:rsidR="00DA65C2">
              <w:rPr>
                <w:noProof/>
                <w:webHidden/>
              </w:rPr>
            </w:r>
            <w:r w:rsidR="00DA65C2">
              <w:rPr>
                <w:noProof/>
                <w:webHidden/>
              </w:rPr>
              <w:fldChar w:fldCharType="separate"/>
            </w:r>
            <w:r w:rsidR="00CB6759">
              <w:rPr>
                <w:noProof/>
                <w:webHidden/>
              </w:rPr>
              <w:t>270</w:t>
            </w:r>
            <w:r w:rsidR="00DA65C2">
              <w:rPr>
                <w:noProof/>
                <w:webHidden/>
              </w:rPr>
              <w:fldChar w:fldCharType="end"/>
            </w:r>
          </w:hyperlink>
        </w:p>
        <w:p w14:paraId="3CBFE8F7" w14:textId="56F1909C" w:rsidR="00DA65C2" w:rsidRDefault="00A65A8D">
          <w:pPr>
            <w:pStyle w:val="Turinys2"/>
            <w:tabs>
              <w:tab w:val="left" w:pos="1320"/>
              <w:tab w:val="right" w:leader="dot" w:pos="9016"/>
            </w:tabs>
            <w:rPr>
              <w:rFonts w:eastAsiaTheme="minorEastAsia"/>
              <w:noProof/>
            </w:rPr>
          </w:pPr>
          <w:hyperlink w:anchor="_Toc417378452" w:history="1">
            <w:r w:rsidR="00DA65C2" w:rsidRPr="004528C4">
              <w:rPr>
                <w:rStyle w:val="Hipersaitas"/>
                <w:noProof/>
                <w:lang w:val="lt-LT"/>
              </w:rPr>
              <w:t>7.2.4.4.</w:t>
            </w:r>
            <w:r w:rsidR="00DA65C2">
              <w:rPr>
                <w:rFonts w:eastAsiaTheme="minorEastAsia"/>
                <w:noProof/>
              </w:rPr>
              <w:tab/>
            </w:r>
            <w:r w:rsidR="00DA65C2" w:rsidRPr="004528C4">
              <w:rPr>
                <w:rStyle w:val="Hipersaitas"/>
                <w:noProof/>
                <w:lang w:val="lt-LT"/>
              </w:rPr>
              <w:t>Siūloma įgyvendinti alternatyva</w:t>
            </w:r>
            <w:r w:rsidR="00DA65C2">
              <w:rPr>
                <w:noProof/>
                <w:webHidden/>
              </w:rPr>
              <w:tab/>
            </w:r>
            <w:r w:rsidR="00DA65C2">
              <w:rPr>
                <w:noProof/>
                <w:webHidden/>
              </w:rPr>
              <w:fldChar w:fldCharType="begin"/>
            </w:r>
            <w:r w:rsidR="00DA65C2">
              <w:rPr>
                <w:noProof/>
                <w:webHidden/>
              </w:rPr>
              <w:instrText xml:space="preserve"> PAGEREF _Toc417378452 \h </w:instrText>
            </w:r>
            <w:r w:rsidR="00DA65C2">
              <w:rPr>
                <w:noProof/>
                <w:webHidden/>
              </w:rPr>
            </w:r>
            <w:r w:rsidR="00DA65C2">
              <w:rPr>
                <w:noProof/>
                <w:webHidden/>
              </w:rPr>
              <w:fldChar w:fldCharType="separate"/>
            </w:r>
            <w:r w:rsidR="00CB6759">
              <w:rPr>
                <w:noProof/>
                <w:webHidden/>
              </w:rPr>
              <w:t>272</w:t>
            </w:r>
            <w:r w:rsidR="00DA65C2">
              <w:rPr>
                <w:noProof/>
                <w:webHidden/>
              </w:rPr>
              <w:fldChar w:fldCharType="end"/>
            </w:r>
          </w:hyperlink>
        </w:p>
        <w:p w14:paraId="29592FD6" w14:textId="0C459262" w:rsidR="00DA65C2" w:rsidRDefault="00A65A8D">
          <w:pPr>
            <w:pStyle w:val="Turinys2"/>
            <w:tabs>
              <w:tab w:val="left" w:pos="1100"/>
              <w:tab w:val="right" w:leader="dot" w:pos="9016"/>
            </w:tabs>
            <w:rPr>
              <w:rFonts w:eastAsiaTheme="minorEastAsia"/>
              <w:noProof/>
            </w:rPr>
          </w:pPr>
          <w:hyperlink w:anchor="_Toc417378453" w:history="1">
            <w:r w:rsidR="00DA65C2" w:rsidRPr="004528C4">
              <w:rPr>
                <w:rStyle w:val="Hipersaitas"/>
                <w:noProof/>
                <w:lang w:val="lt-LT"/>
              </w:rPr>
              <w:t>7.2.5.</w:t>
            </w:r>
            <w:r w:rsidR="00DA65C2">
              <w:rPr>
                <w:rFonts w:eastAsiaTheme="minorEastAsia"/>
                <w:noProof/>
              </w:rPr>
              <w:tab/>
            </w:r>
            <w:r w:rsidR="00DA65C2" w:rsidRPr="004528C4">
              <w:rPr>
                <w:rStyle w:val="Hipersaitas"/>
                <w:noProof/>
                <w:lang w:val="lt-LT"/>
              </w:rPr>
              <w:t>Tikėtinų rezultatų nustatymas ir skaičiavimas</w:t>
            </w:r>
            <w:r w:rsidR="00DA65C2">
              <w:rPr>
                <w:noProof/>
                <w:webHidden/>
              </w:rPr>
              <w:tab/>
            </w:r>
            <w:r w:rsidR="00DA65C2">
              <w:rPr>
                <w:noProof/>
                <w:webHidden/>
              </w:rPr>
              <w:fldChar w:fldCharType="begin"/>
            </w:r>
            <w:r w:rsidR="00DA65C2">
              <w:rPr>
                <w:noProof/>
                <w:webHidden/>
              </w:rPr>
              <w:instrText xml:space="preserve"> PAGEREF _Toc417378453 \h </w:instrText>
            </w:r>
            <w:r w:rsidR="00DA65C2">
              <w:rPr>
                <w:noProof/>
                <w:webHidden/>
              </w:rPr>
            </w:r>
            <w:r w:rsidR="00DA65C2">
              <w:rPr>
                <w:noProof/>
                <w:webHidden/>
              </w:rPr>
              <w:fldChar w:fldCharType="separate"/>
            </w:r>
            <w:r w:rsidR="00CB6759">
              <w:rPr>
                <w:noProof/>
                <w:webHidden/>
              </w:rPr>
              <w:t>276</w:t>
            </w:r>
            <w:r w:rsidR="00DA65C2">
              <w:rPr>
                <w:noProof/>
                <w:webHidden/>
              </w:rPr>
              <w:fldChar w:fldCharType="end"/>
            </w:r>
          </w:hyperlink>
        </w:p>
        <w:p w14:paraId="5D8CF1FE" w14:textId="640D67AE" w:rsidR="00DA65C2" w:rsidRDefault="00A65A8D">
          <w:pPr>
            <w:pStyle w:val="Turinys2"/>
            <w:tabs>
              <w:tab w:val="left" w:pos="1100"/>
              <w:tab w:val="right" w:leader="dot" w:pos="9016"/>
            </w:tabs>
            <w:rPr>
              <w:rFonts w:eastAsiaTheme="minorEastAsia"/>
              <w:noProof/>
            </w:rPr>
          </w:pPr>
          <w:hyperlink w:anchor="_Toc417378454" w:history="1">
            <w:r w:rsidR="00DA65C2" w:rsidRPr="004528C4">
              <w:rPr>
                <w:rStyle w:val="Hipersaitas"/>
                <w:noProof/>
                <w:lang w:val="lt-LT"/>
              </w:rPr>
              <w:t>7.2.6.</w:t>
            </w:r>
            <w:r w:rsidR="00DA65C2">
              <w:rPr>
                <w:rFonts w:eastAsiaTheme="minorEastAsia"/>
                <w:noProof/>
              </w:rPr>
              <w:tab/>
            </w:r>
            <w:r w:rsidR="00DA65C2" w:rsidRPr="004528C4">
              <w:rPr>
                <w:rStyle w:val="Hipersaitas"/>
                <w:noProof/>
                <w:lang w:val="lt-LT"/>
              </w:rPr>
              <w:t>Finansinės priemonės rezultatų prisidėjimas prie strateginių tikslų</w:t>
            </w:r>
            <w:r w:rsidR="00DA65C2">
              <w:rPr>
                <w:noProof/>
                <w:webHidden/>
              </w:rPr>
              <w:tab/>
            </w:r>
            <w:r w:rsidR="00DA65C2">
              <w:rPr>
                <w:noProof/>
                <w:webHidden/>
              </w:rPr>
              <w:fldChar w:fldCharType="begin"/>
            </w:r>
            <w:r w:rsidR="00DA65C2">
              <w:rPr>
                <w:noProof/>
                <w:webHidden/>
              </w:rPr>
              <w:instrText xml:space="preserve"> PAGEREF _Toc417378454 \h </w:instrText>
            </w:r>
            <w:r w:rsidR="00DA65C2">
              <w:rPr>
                <w:noProof/>
                <w:webHidden/>
              </w:rPr>
            </w:r>
            <w:r w:rsidR="00DA65C2">
              <w:rPr>
                <w:noProof/>
                <w:webHidden/>
              </w:rPr>
              <w:fldChar w:fldCharType="separate"/>
            </w:r>
            <w:r w:rsidR="00CB6759">
              <w:rPr>
                <w:noProof/>
                <w:webHidden/>
              </w:rPr>
              <w:t>277</w:t>
            </w:r>
            <w:r w:rsidR="00DA65C2">
              <w:rPr>
                <w:noProof/>
                <w:webHidden/>
              </w:rPr>
              <w:fldChar w:fldCharType="end"/>
            </w:r>
          </w:hyperlink>
        </w:p>
        <w:p w14:paraId="032C8188" w14:textId="714F733F" w:rsidR="00DA65C2" w:rsidRDefault="00A65A8D">
          <w:pPr>
            <w:pStyle w:val="Turinys2"/>
            <w:tabs>
              <w:tab w:val="left" w:pos="1100"/>
              <w:tab w:val="right" w:leader="dot" w:pos="9016"/>
            </w:tabs>
            <w:rPr>
              <w:rFonts w:eastAsiaTheme="minorEastAsia"/>
              <w:noProof/>
            </w:rPr>
          </w:pPr>
          <w:hyperlink w:anchor="_Toc417378455" w:history="1">
            <w:r w:rsidR="00DA65C2" w:rsidRPr="004528C4">
              <w:rPr>
                <w:rStyle w:val="Hipersaitas"/>
                <w:noProof/>
                <w:lang w:val="lt-LT"/>
              </w:rPr>
              <w:t>7.2.7.</w:t>
            </w:r>
            <w:r w:rsidR="00DA65C2">
              <w:rPr>
                <w:rFonts w:eastAsiaTheme="minorEastAsia"/>
                <w:noProof/>
              </w:rPr>
              <w:tab/>
            </w:r>
            <w:r w:rsidR="00DA65C2" w:rsidRPr="004528C4">
              <w:rPr>
                <w:rStyle w:val="Hipersaitas"/>
                <w:noProof/>
                <w:lang w:val="lt-LT"/>
              </w:rPr>
              <w:t>Stebėsenos sistemos apibrėžimas</w:t>
            </w:r>
            <w:r w:rsidR="00DA65C2">
              <w:rPr>
                <w:noProof/>
                <w:webHidden/>
              </w:rPr>
              <w:tab/>
            </w:r>
            <w:r w:rsidR="00DA65C2">
              <w:rPr>
                <w:noProof/>
                <w:webHidden/>
              </w:rPr>
              <w:fldChar w:fldCharType="begin"/>
            </w:r>
            <w:r w:rsidR="00DA65C2">
              <w:rPr>
                <w:noProof/>
                <w:webHidden/>
              </w:rPr>
              <w:instrText xml:space="preserve"> PAGEREF _Toc417378455 \h </w:instrText>
            </w:r>
            <w:r w:rsidR="00DA65C2">
              <w:rPr>
                <w:noProof/>
                <w:webHidden/>
              </w:rPr>
            </w:r>
            <w:r w:rsidR="00DA65C2">
              <w:rPr>
                <w:noProof/>
                <w:webHidden/>
              </w:rPr>
              <w:fldChar w:fldCharType="separate"/>
            </w:r>
            <w:r w:rsidR="00CB6759">
              <w:rPr>
                <w:noProof/>
                <w:webHidden/>
              </w:rPr>
              <w:t>279</w:t>
            </w:r>
            <w:r w:rsidR="00DA65C2">
              <w:rPr>
                <w:noProof/>
                <w:webHidden/>
              </w:rPr>
              <w:fldChar w:fldCharType="end"/>
            </w:r>
          </w:hyperlink>
        </w:p>
        <w:p w14:paraId="5D71F33B" w14:textId="10052D74" w:rsidR="00DA65C2" w:rsidRDefault="00A65A8D">
          <w:pPr>
            <w:pStyle w:val="Turinys2"/>
            <w:tabs>
              <w:tab w:val="left" w:pos="880"/>
              <w:tab w:val="right" w:leader="dot" w:pos="9016"/>
            </w:tabs>
            <w:rPr>
              <w:rFonts w:eastAsiaTheme="minorEastAsia"/>
              <w:noProof/>
            </w:rPr>
          </w:pPr>
          <w:hyperlink w:anchor="_Toc417378456" w:history="1">
            <w:r w:rsidR="00DA65C2" w:rsidRPr="004528C4">
              <w:rPr>
                <w:rStyle w:val="Hipersaitas"/>
                <w:noProof/>
                <w:lang w:val="lt-LT"/>
              </w:rPr>
              <w:t>7.3.</w:t>
            </w:r>
            <w:r w:rsidR="00DA65C2">
              <w:rPr>
                <w:rFonts w:eastAsiaTheme="minorEastAsia"/>
                <w:noProof/>
              </w:rPr>
              <w:tab/>
            </w:r>
            <w:r w:rsidR="00DA65C2" w:rsidRPr="004528C4">
              <w:rPr>
                <w:rStyle w:val="Hipersaitas"/>
                <w:noProof/>
                <w:lang w:val="lt-LT"/>
              </w:rPr>
              <w:t>Savivaldybių viešųjų pastatų modernizavimo investavimo strategija</w:t>
            </w:r>
            <w:r w:rsidR="00DA65C2">
              <w:rPr>
                <w:noProof/>
                <w:webHidden/>
              </w:rPr>
              <w:tab/>
            </w:r>
            <w:r w:rsidR="00DA65C2">
              <w:rPr>
                <w:noProof/>
                <w:webHidden/>
              </w:rPr>
              <w:fldChar w:fldCharType="begin"/>
            </w:r>
            <w:r w:rsidR="00DA65C2">
              <w:rPr>
                <w:noProof/>
                <w:webHidden/>
              </w:rPr>
              <w:instrText xml:space="preserve"> PAGEREF _Toc417378456 \h </w:instrText>
            </w:r>
            <w:r w:rsidR="00DA65C2">
              <w:rPr>
                <w:noProof/>
                <w:webHidden/>
              </w:rPr>
            </w:r>
            <w:r w:rsidR="00DA65C2">
              <w:rPr>
                <w:noProof/>
                <w:webHidden/>
              </w:rPr>
              <w:fldChar w:fldCharType="separate"/>
            </w:r>
            <w:r w:rsidR="00CB6759">
              <w:rPr>
                <w:noProof/>
                <w:webHidden/>
              </w:rPr>
              <w:t>281</w:t>
            </w:r>
            <w:r w:rsidR="00DA65C2">
              <w:rPr>
                <w:noProof/>
                <w:webHidden/>
              </w:rPr>
              <w:fldChar w:fldCharType="end"/>
            </w:r>
          </w:hyperlink>
        </w:p>
        <w:p w14:paraId="778CFA72" w14:textId="31AD6E78" w:rsidR="00DA65C2" w:rsidRDefault="00A65A8D">
          <w:pPr>
            <w:pStyle w:val="Turinys2"/>
            <w:tabs>
              <w:tab w:val="left" w:pos="1100"/>
              <w:tab w:val="right" w:leader="dot" w:pos="9016"/>
            </w:tabs>
            <w:rPr>
              <w:rFonts w:eastAsiaTheme="minorEastAsia"/>
              <w:noProof/>
            </w:rPr>
          </w:pPr>
          <w:hyperlink w:anchor="_Toc417378457" w:history="1">
            <w:r w:rsidR="00DA65C2" w:rsidRPr="004528C4">
              <w:rPr>
                <w:rStyle w:val="Hipersaitas"/>
                <w:noProof/>
                <w:lang w:val="lt-LT"/>
              </w:rPr>
              <w:t>7.3.1.</w:t>
            </w:r>
            <w:r w:rsidR="00DA65C2">
              <w:rPr>
                <w:rFonts w:eastAsiaTheme="minorEastAsia"/>
                <w:noProof/>
              </w:rPr>
              <w:tab/>
            </w:r>
            <w:r w:rsidR="00DA65C2" w:rsidRPr="004528C4">
              <w:rPr>
                <w:rStyle w:val="Hipersaitas"/>
                <w:noProof/>
                <w:lang w:val="lt-LT"/>
              </w:rPr>
              <w:t>Finansinių priemonių apimtis ir tiksliniai galutiniai naudos gavėjai</w:t>
            </w:r>
            <w:r w:rsidR="00DA65C2">
              <w:rPr>
                <w:noProof/>
                <w:webHidden/>
              </w:rPr>
              <w:tab/>
            </w:r>
            <w:r w:rsidR="00DA65C2">
              <w:rPr>
                <w:noProof/>
                <w:webHidden/>
              </w:rPr>
              <w:fldChar w:fldCharType="begin"/>
            </w:r>
            <w:r w:rsidR="00DA65C2">
              <w:rPr>
                <w:noProof/>
                <w:webHidden/>
              </w:rPr>
              <w:instrText xml:space="preserve"> PAGEREF _Toc417378457 \h </w:instrText>
            </w:r>
            <w:r w:rsidR="00DA65C2">
              <w:rPr>
                <w:noProof/>
                <w:webHidden/>
              </w:rPr>
            </w:r>
            <w:r w:rsidR="00DA65C2">
              <w:rPr>
                <w:noProof/>
                <w:webHidden/>
              </w:rPr>
              <w:fldChar w:fldCharType="separate"/>
            </w:r>
            <w:r w:rsidR="00CB6759">
              <w:rPr>
                <w:noProof/>
                <w:webHidden/>
              </w:rPr>
              <w:t>281</w:t>
            </w:r>
            <w:r w:rsidR="00DA65C2">
              <w:rPr>
                <w:noProof/>
                <w:webHidden/>
              </w:rPr>
              <w:fldChar w:fldCharType="end"/>
            </w:r>
          </w:hyperlink>
        </w:p>
        <w:p w14:paraId="7670DA5A" w14:textId="6573B554" w:rsidR="00DA65C2" w:rsidRDefault="00A65A8D">
          <w:pPr>
            <w:pStyle w:val="Turinys2"/>
            <w:tabs>
              <w:tab w:val="left" w:pos="1100"/>
              <w:tab w:val="right" w:leader="dot" w:pos="9016"/>
            </w:tabs>
            <w:rPr>
              <w:rFonts w:eastAsiaTheme="minorEastAsia"/>
              <w:noProof/>
            </w:rPr>
          </w:pPr>
          <w:hyperlink w:anchor="_Toc417378458" w:history="1">
            <w:r w:rsidR="00DA65C2" w:rsidRPr="004528C4">
              <w:rPr>
                <w:rStyle w:val="Hipersaitas"/>
                <w:noProof/>
                <w:lang w:val="lt-LT"/>
              </w:rPr>
              <w:t>7.3.2.</w:t>
            </w:r>
            <w:r w:rsidR="00DA65C2">
              <w:rPr>
                <w:rFonts w:eastAsiaTheme="minorEastAsia"/>
                <w:noProof/>
              </w:rPr>
              <w:tab/>
            </w:r>
            <w:r w:rsidR="00DA65C2" w:rsidRPr="004528C4">
              <w:rPr>
                <w:rStyle w:val="Hipersaitas"/>
                <w:noProof/>
                <w:lang w:val="lt-LT"/>
              </w:rPr>
              <w:t>Finansinio produkto parinkimas</w:t>
            </w:r>
            <w:r w:rsidR="00DA65C2">
              <w:rPr>
                <w:noProof/>
                <w:webHidden/>
              </w:rPr>
              <w:tab/>
            </w:r>
            <w:r w:rsidR="00DA65C2">
              <w:rPr>
                <w:noProof/>
                <w:webHidden/>
              </w:rPr>
              <w:fldChar w:fldCharType="begin"/>
            </w:r>
            <w:r w:rsidR="00DA65C2">
              <w:rPr>
                <w:noProof/>
                <w:webHidden/>
              </w:rPr>
              <w:instrText xml:space="preserve"> PAGEREF _Toc417378458 \h </w:instrText>
            </w:r>
            <w:r w:rsidR="00DA65C2">
              <w:rPr>
                <w:noProof/>
                <w:webHidden/>
              </w:rPr>
            </w:r>
            <w:r w:rsidR="00DA65C2">
              <w:rPr>
                <w:noProof/>
                <w:webHidden/>
              </w:rPr>
              <w:fldChar w:fldCharType="separate"/>
            </w:r>
            <w:r w:rsidR="00CB6759">
              <w:rPr>
                <w:noProof/>
                <w:webHidden/>
              </w:rPr>
              <w:t>284</w:t>
            </w:r>
            <w:r w:rsidR="00DA65C2">
              <w:rPr>
                <w:noProof/>
                <w:webHidden/>
              </w:rPr>
              <w:fldChar w:fldCharType="end"/>
            </w:r>
          </w:hyperlink>
        </w:p>
        <w:p w14:paraId="6275A11C" w14:textId="23003926" w:rsidR="00DA65C2" w:rsidRDefault="00A65A8D">
          <w:pPr>
            <w:pStyle w:val="Turinys2"/>
            <w:tabs>
              <w:tab w:val="left" w:pos="1100"/>
              <w:tab w:val="right" w:leader="dot" w:pos="9016"/>
            </w:tabs>
            <w:rPr>
              <w:rFonts w:eastAsiaTheme="minorEastAsia"/>
              <w:noProof/>
            </w:rPr>
          </w:pPr>
          <w:hyperlink w:anchor="_Toc417378459" w:history="1">
            <w:r w:rsidR="00DA65C2" w:rsidRPr="004528C4">
              <w:rPr>
                <w:rStyle w:val="Hipersaitas"/>
                <w:noProof/>
                <w:lang w:val="lt-LT"/>
              </w:rPr>
              <w:t>7.3.3.</w:t>
            </w:r>
            <w:r w:rsidR="00DA65C2">
              <w:rPr>
                <w:rFonts w:eastAsiaTheme="minorEastAsia"/>
                <w:noProof/>
              </w:rPr>
              <w:tab/>
            </w:r>
            <w:r w:rsidR="00DA65C2" w:rsidRPr="004528C4">
              <w:rPr>
                <w:rStyle w:val="Hipersaitas"/>
                <w:noProof/>
                <w:lang w:val="lt-LT"/>
              </w:rPr>
              <w:t>Finansinės priemonės derinimas su parama</w:t>
            </w:r>
            <w:r w:rsidR="00DA65C2">
              <w:rPr>
                <w:noProof/>
                <w:webHidden/>
              </w:rPr>
              <w:tab/>
            </w:r>
            <w:r w:rsidR="00DA65C2">
              <w:rPr>
                <w:noProof/>
                <w:webHidden/>
              </w:rPr>
              <w:fldChar w:fldCharType="begin"/>
            </w:r>
            <w:r w:rsidR="00DA65C2">
              <w:rPr>
                <w:noProof/>
                <w:webHidden/>
              </w:rPr>
              <w:instrText xml:space="preserve"> PAGEREF _Toc417378459 \h </w:instrText>
            </w:r>
            <w:r w:rsidR="00DA65C2">
              <w:rPr>
                <w:noProof/>
                <w:webHidden/>
              </w:rPr>
            </w:r>
            <w:r w:rsidR="00DA65C2">
              <w:rPr>
                <w:noProof/>
                <w:webHidden/>
              </w:rPr>
              <w:fldChar w:fldCharType="separate"/>
            </w:r>
            <w:r w:rsidR="00CB6759">
              <w:rPr>
                <w:noProof/>
                <w:webHidden/>
              </w:rPr>
              <w:t>285</w:t>
            </w:r>
            <w:r w:rsidR="00DA65C2">
              <w:rPr>
                <w:noProof/>
                <w:webHidden/>
              </w:rPr>
              <w:fldChar w:fldCharType="end"/>
            </w:r>
          </w:hyperlink>
        </w:p>
        <w:p w14:paraId="55B29719" w14:textId="5A9D3447" w:rsidR="00DA65C2" w:rsidRDefault="00A65A8D">
          <w:pPr>
            <w:pStyle w:val="Turinys2"/>
            <w:tabs>
              <w:tab w:val="left" w:pos="1100"/>
              <w:tab w:val="right" w:leader="dot" w:pos="9016"/>
            </w:tabs>
            <w:rPr>
              <w:rFonts w:eastAsiaTheme="minorEastAsia"/>
              <w:noProof/>
            </w:rPr>
          </w:pPr>
          <w:hyperlink w:anchor="_Toc417378460" w:history="1">
            <w:r w:rsidR="00DA65C2" w:rsidRPr="004528C4">
              <w:rPr>
                <w:rStyle w:val="Hipersaitas"/>
                <w:noProof/>
                <w:lang w:val="lt-LT"/>
              </w:rPr>
              <w:t>7.3.4.</w:t>
            </w:r>
            <w:r w:rsidR="00DA65C2">
              <w:rPr>
                <w:rFonts w:eastAsiaTheme="minorEastAsia"/>
                <w:noProof/>
              </w:rPr>
              <w:tab/>
            </w:r>
            <w:r w:rsidR="00DA65C2" w:rsidRPr="004528C4">
              <w:rPr>
                <w:rStyle w:val="Hipersaitas"/>
                <w:noProof/>
                <w:lang w:val="lt-LT"/>
              </w:rPr>
              <w:t>Finansinės priemonės įgyvendinimo struktūra</w:t>
            </w:r>
            <w:r w:rsidR="00DA65C2">
              <w:rPr>
                <w:noProof/>
                <w:webHidden/>
              </w:rPr>
              <w:tab/>
            </w:r>
            <w:r w:rsidR="00DA65C2">
              <w:rPr>
                <w:noProof/>
                <w:webHidden/>
              </w:rPr>
              <w:fldChar w:fldCharType="begin"/>
            </w:r>
            <w:r w:rsidR="00DA65C2">
              <w:rPr>
                <w:noProof/>
                <w:webHidden/>
              </w:rPr>
              <w:instrText xml:space="preserve"> PAGEREF _Toc417378460 \h </w:instrText>
            </w:r>
            <w:r w:rsidR="00DA65C2">
              <w:rPr>
                <w:noProof/>
                <w:webHidden/>
              </w:rPr>
            </w:r>
            <w:r w:rsidR="00DA65C2">
              <w:rPr>
                <w:noProof/>
                <w:webHidden/>
              </w:rPr>
              <w:fldChar w:fldCharType="separate"/>
            </w:r>
            <w:r w:rsidR="00CB6759">
              <w:rPr>
                <w:noProof/>
                <w:webHidden/>
              </w:rPr>
              <w:t>286</w:t>
            </w:r>
            <w:r w:rsidR="00DA65C2">
              <w:rPr>
                <w:noProof/>
                <w:webHidden/>
              </w:rPr>
              <w:fldChar w:fldCharType="end"/>
            </w:r>
          </w:hyperlink>
        </w:p>
        <w:p w14:paraId="3F5B7173" w14:textId="5BEB80F3" w:rsidR="00DA65C2" w:rsidRDefault="00A65A8D">
          <w:pPr>
            <w:pStyle w:val="Turinys2"/>
            <w:tabs>
              <w:tab w:val="left" w:pos="1320"/>
              <w:tab w:val="right" w:leader="dot" w:pos="9016"/>
            </w:tabs>
            <w:rPr>
              <w:rFonts w:eastAsiaTheme="minorEastAsia"/>
              <w:noProof/>
            </w:rPr>
          </w:pPr>
          <w:hyperlink w:anchor="_Toc417378461" w:history="1">
            <w:r w:rsidR="00DA65C2" w:rsidRPr="004528C4">
              <w:rPr>
                <w:rStyle w:val="Hipersaitas"/>
                <w:noProof/>
                <w:lang w:val="lt-LT"/>
              </w:rPr>
              <w:t>7.3.4.1.</w:t>
            </w:r>
            <w:r w:rsidR="00DA65C2">
              <w:rPr>
                <w:rFonts w:eastAsiaTheme="minorEastAsia"/>
                <w:noProof/>
              </w:rPr>
              <w:tab/>
            </w:r>
            <w:r w:rsidR="00DA65C2" w:rsidRPr="004528C4">
              <w:rPr>
                <w:rStyle w:val="Hipersaitas"/>
                <w:noProof/>
                <w:lang w:val="lt-LT"/>
              </w:rPr>
              <w:t>Finansinės priemonės arba fondų fondo sukūrimas</w:t>
            </w:r>
            <w:r w:rsidR="00DA65C2">
              <w:rPr>
                <w:noProof/>
                <w:webHidden/>
              </w:rPr>
              <w:tab/>
            </w:r>
            <w:r w:rsidR="00DA65C2">
              <w:rPr>
                <w:noProof/>
                <w:webHidden/>
              </w:rPr>
              <w:fldChar w:fldCharType="begin"/>
            </w:r>
            <w:r w:rsidR="00DA65C2">
              <w:rPr>
                <w:noProof/>
                <w:webHidden/>
              </w:rPr>
              <w:instrText xml:space="preserve"> PAGEREF _Toc417378461 \h </w:instrText>
            </w:r>
            <w:r w:rsidR="00DA65C2">
              <w:rPr>
                <w:noProof/>
                <w:webHidden/>
              </w:rPr>
            </w:r>
            <w:r w:rsidR="00DA65C2">
              <w:rPr>
                <w:noProof/>
                <w:webHidden/>
              </w:rPr>
              <w:fldChar w:fldCharType="separate"/>
            </w:r>
            <w:r w:rsidR="00CB6759">
              <w:rPr>
                <w:noProof/>
                <w:webHidden/>
              </w:rPr>
              <w:t>288</w:t>
            </w:r>
            <w:r w:rsidR="00DA65C2">
              <w:rPr>
                <w:noProof/>
                <w:webHidden/>
              </w:rPr>
              <w:fldChar w:fldCharType="end"/>
            </w:r>
          </w:hyperlink>
        </w:p>
        <w:p w14:paraId="321C1AAD" w14:textId="74BEDF76" w:rsidR="00DA65C2" w:rsidRDefault="00A65A8D">
          <w:pPr>
            <w:pStyle w:val="Turinys2"/>
            <w:tabs>
              <w:tab w:val="left" w:pos="1320"/>
              <w:tab w:val="right" w:leader="dot" w:pos="9016"/>
            </w:tabs>
            <w:rPr>
              <w:rFonts w:eastAsiaTheme="minorEastAsia"/>
              <w:noProof/>
            </w:rPr>
          </w:pPr>
          <w:hyperlink w:anchor="_Toc417378462" w:history="1">
            <w:r w:rsidR="00DA65C2" w:rsidRPr="004528C4">
              <w:rPr>
                <w:rStyle w:val="Hipersaitas"/>
                <w:noProof/>
                <w:lang w:val="lt-LT"/>
              </w:rPr>
              <w:t>7.3.4.2.</w:t>
            </w:r>
            <w:r w:rsidR="00DA65C2">
              <w:rPr>
                <w:rFonts w:eastAsiaTheme="minorEastAsia"/>
                <w:noProof/>
              </w:rPr>
              <w:tab/>
            </w:r>
            <w:r w:rsidR="00DA65C2" w:rsidRPr="004528C4">
              <w:rPr>
                <w:rStyle w:val="Hipersaitas"/>
                <w:noProof/>
                <w:lang w:val="lt-LT"/>
              </w:rPr>
              <w:t>Finansinės priemonės sukūrimas ir juridinio asmens statusą turinčio fondo steigimas</w:t>
            </w:r>
            <w:r w:rsidR="00DA65C2">
              <w:rPr>
                <w:noProof/>
                <w:webHidden/>
              </w:rPr>
              <w:tab/>
            </w:r>
            <w:r w:rsidR="00DA65C2">
              <w:rPr>
                <w:noProof/>
                <w:webHidden/>
              </w:rPr>
              <w:fldChar w:fldCharType="begin"/>
            </w:r>
            <w:r w:rsidR="00DA65C2">
              <w:rPr>
                <w:noProof/>
                <w:webHidden/>
              </w:rPr>
              <w:instrText xml:space="preserve"> PAGEREF _Toc417378462 \h </w:instrText>
            </w:r>
            <w:r w:rsidR="00DA65C2">
              <w:rPr>
                <w:noProof/>
                <w:webHidden/>
              </w:rPr>
            </w:r>
            <w:r w:rsidR="00DA65C2">
              <w:rPr>
                <w:noProof/>
                <w:webHidden/>
              </w:rPr>
              <w:fldChar w:fldCharType="separate"/>
            </w:r>
            <w:r w:rsidR="00CB6759">
              <w:rPr>
                <w:noProof/>
                <w:webHidden/>
              </w:rPr>
              <w:t>289</w:t>
            </w:r>
            <w:r w:rsidR="00DA65C2">
              <w:rPr>
                <w:noProof/>
                <w:webHidden/>
              </w:rPr>
              <w:fldChar w:fldCharType="end"/>
            </w:r>
          </w:hyperlink>
        </w:p>
        <w:p w14:paraId="7B3826C7" w14:textId="598FB55D" w:rsidR="00DA65C2" w:rsidRDefault="00A65A8D">
          <w:pPr>
            <w:pStyle w:val="Turinys2"/>
            <w:tabs>
              <w:tab w:val="left" w:pos="1320"/>
              <w:tab w:val="right" w:leader="dot" w:pos="9016"/>
            </w:tabs>
            <w:rPr>
              <w:rFonts w:eastAsiaTheme="minorEastAsia"/>
              <w:noProof/>
            </w:rPr>
          </w:pPr>
          <w:hyperlink w:anchor="_Toc417378463" w:history="1">
            <w:r w:rsidR="00DA65C2" w:rsidRPr="004528C4">
              <w:rPr>
                <w:rStyle w:val="Hipersaitas"/>
                <w:noProof/>
                <w:lang w:val="lt-LT"/>
              </w:rPr>
              <w:t>7.3.4.3.</w:t>
            </w:r>
            <w:r w:rsidR="00DA65C2">
              <w:rPr>
                <w:rFonts w:eastAsiaTheme="minorEastAsia"/>
                <w:noProof/>
              </w:rPr>
              <w:tab/>
            </w:r>
            <w:r w:rsidR="00DA65C2" w:rsidRPr="004528C4">
              <w:rPr>
                <w:rStyle w:val="Hipersaitas"/>
                <w:noProof/>
                <w:lang w:val="lt-LT"/>
              </w:rPr>
              <w:t>Finansinės priemonės ir investicinio fondo (turinčio juridinio asmens statusą) steigimas</w:t>
            </w:r>
            <w:r w:rsidR="00DA65C2">
              <w:rPr>
                <w:noProof/>
                <w:webHidden/>
              </w:rPr>
              <w:tab/>
            </w:r>
            <w:r w:rsidR="00DA65C2">
              <w:rPr>
                <w:noProof/>
                <w:webHidden/>
              </w:rPr>
              <w:fldChar w:fldCharType="begin"/>
            </w:r>
            <w:r w:rsidR="00DA65C2">
              <w:rPr>
                <w:noProof/>
                <w:webHidden/>
              </w:rPr>
              <w:instrText xml:space="preserve"> PAGEREF _Toc417378463 \h </w:instrText>
            </w:r>
            <w:r w:rsidR="00DA65C2">
              <w:rPr>
                <w:noProof/>
                <w:webHidden/>
              </w:rPr>
            </w:r>
            <w:r w:rsidR="00DA65C2">
              <w:rPr>
                <w:noProof/>
                <w:webHidden/>
              </w:rPr>
              <w:fldChar w:fldCharType="separate"/>
            </w:r>
            <w:r w:rsidR="00CB6759">
              <w:rPr>
                <w:noProof/>
                <w:webHidden/>
              </w:rPr>
              <w:t>291</w:t>
            </w:r>
            <w:r w:rsidR="00DA65C2">
              <w:rPr>
                <w:noProof/>
                <w:webHidden/>
              </w:rPr>
              <w:fldChar w:fldCharType="end"/>
            </w:r>
          </w:hyperlink>
        </w:p>
        <w:p w14:paraId="34348885" w14:textId="792DA898" w:rsidR="00DA65C2" w:rsidRDefault="00A65A8D">
          <w:pPr>
            <w:pStyle w:val="Turinys2"/>
            <w:tabs>
              <w:tab w:val="left" w:pos="1320"/>
              <w:tab w:val="right" w:leader="dot" w:pos="9016"/>
            </w:tabs>
            <w:rPr>
              <w:rFonts w:eastAsiaTheme="minorEastAsia"/>
              <w:noProof/>
            </w:rPr>
          </w:pPr>
          <w:hyperlink w:anchor="_Toc417378464" w:history="1">
            <w:r w:rsidR="00DA65C2" w:rsidRPr="004528C4">
              <w:rPr>
                <w:rStyle w:val="Hipersaitas"/>
                <w:noProof/>
                <w:lang w:val="lt-LT"/>
              </w:rPr>
              <w:t>7.3.4.4.</w:t>
            </w:r>
            <w:r w:rsidR="00DA65C2">
              <w:rPr>
                <w:rFonts w:eastAsiaTheme="minorEastAsia"/>
                <w:noProof/>
              </w:rPr>
              <w:tab/>
            </w:r>
            <w:r w:rsidR="00DA65C2" w:rsidRPr="004528C4">
              <w:rPr>
                <w:rStyle w:val="Hipersaitas"/>
                <w:noProof/>
                <w:lang w:val="lt-LT"/>
              </w:rPr>
              <w:t>Siūloma įgyvendinti alternatyva</w:t>
            </w:r>
            <w:r w:rsidR="00DA65C2">
              <w:rPr>
                <w:noProof/>
                <w:webHidden/>
              </w:rPr>
              <w:tab/>
            </w:r>
            <w:r w:rsidR="00DA65C2">
              <w:rPr>
                <w:noProof/>
                <w:webHidden/>
              </w:rPr>
              <w:fldChar w:fldCharType="begin"/>
            </w:r>
            <w:r w:rsidR="00DA65C2">
              <w:rPr>
                <w:noProof/>
                <w:webHidden/>
              </w:rPr>
              <w:instrText xml:space="preserve"> PAGEREF _Toc417378464 \h </w:instrText>
            </w:r>
            <w:r w:rsidR="00DA65C2">
              <w:rPr>
                <w:noProof/>
                <w:webHidden/>
              </w:rPr>
            </w:r>
            <w:r w:rsidR="00DA65C2">
              <w:rPr>
                <w:noProof/>
                <w:webHidden/>
              </w:rPr>
              <w:fldChar w:fldCharType="separate"/>
            </w:r>
            <w:r w:rsidR="00CB6759">
              <w:rPr>
                <w:noProof/>
                <w:webHidden/>
              </w:rPr>
              <w:t>293</w:t>
            </w:r>
            <w:r w:rsidR="00DA65C2">
              <w:rPr>
                <w:noProof/>
                <w:webHidden/>
              </w:rPr>
              <w:fldChar w:fldCharType="end"/>
            </w:r>
          </w:hyperlink>
        </w:p>
        <w:p w14:paraId="5E662344" w14:textId="67A9BA10" w:rsidR="00DA65C2" w:rsidRDefault="00A65A8D">
          <w:pPr>
            <w:pStyle w:val="Turinys2"/>
            <w:tabs>
              <w:tab w:val="left" w:pos="1320"/>
              <w:tab w:val="right" w:leader="dot" w:pos="9016"/>
            </w:tabs>
            <w:rPr>
              <w:rFonts w:eastAsiaTheme="minorEastAsia"/>
              <w:noProof/>
            </w:rPr>
          </w:pPr>
          <w:hyperlink w:anchor="_Toc417378465" w:history="1">
            <w:r w:rsidR="00DA65C2" w:rsidRPr="004528C4">
              <w:rPr>
                <w:rStyle w:val="Hipersaitas"/>
                <w:noProof/>
                <w:lang w:val="lt-LT"/>
              </w:rPr>
              <w:t>7.3.4.4.1.</w:t>
            </w:r>
            <w:r w:rsidR="00DA65C2">
              <w:rPr>
                <w:rFonts w:eastAsiaTheme="minorEastAsia"/>
                <w:noProof/>
              </w:rPr>
              <w:tab/>
            </w:r>
            <w:r w:rsidR="00DA65C2" w:rsidRPr="004528C4">
              <w:rPr>
                <w:rStyle w:val="Hipersaitas"/>
                <w:noProof/>
                <w:lang w:val="lt-LT"/>
              </w:rPr>
              <w:t>Investicinis fondas išperkantis ateities pinigų srautus</w:t>
            </w:r>
            <w:r w:rsidR="00DA65C2">
              <w:rPr>
                <w:noProof/>
                <w:webHidden/>
              </w:rPr>
              <w:tab/>
            </w:r>
            <w:r w:rsidR="00DA65C2">
              <w:rPr>
                <w:noProof/>
                <w:webHidden/>
              </w:rPr>
              <w:fldChar w:fldCharType="begin"/>
            </w:r>
            <w:r w:rsidR="00DA65C2">
              <w:rPr>
                <w:noProof/>
                <w:webHidden/>
              </w:rPr>
              <w:instrText xml:space="preserve"> PAGEREF _Toc417378465 \h </w:instrText>
            </w:r>
            <w:r w:rsidR="00DA65C2">
              <w:rPr>
                <w:noProof/>
                <w:webHidden/>
              </w:rPr>
            </w:r>
            <w:r w:rsidR="00DA65C2">
              <w:rPr>
                <w:noProof/>
                <w:webHidden/>
              </w:rPr>
              <w:fldChar w:fldCharType="separate"/>
            </w:r>
            <w:r w:rsidR="00CB6759">
              <w:rPr>
                <w:noProof/>
                <w:webHidden/>
              </w:rPr>
              <w:t>295</w:t>
            </w:r>
            <w:r w:rsidR="00DA65C2">
              <w:rPr>
                <w:noProof/>
                <w:webHidden/>
              </w:rPr>
              <w:fldChar w:fldCharType="end"/>
            </w:r>
          </w:hyperlink>
        </w:p>
        <w:p w14:paraId="0F63D673" w14:textId="7553F8C3" w:rsidR="00DA65C2" w:rsidRDefault="00A65A8D">
          <w:pPr>
            <w:pStyle w:val="Turinys2"/>
            <w:tabs>
              <w:tab w:val="left" w:pos="1320"/>
              <w:tab w:val="right" w:leader="dot" w:pos="9016"/>
            </w:tabs>
            <w:rPr>
              <w:rFonts w:eastAsiaTheme="minorEastAsia"/>
              <w:noProof/>
            </w:rPr>
          </w:pPr>
          <w:hyperlink w:anchor="_Toc417378466" w:history="1">
            <w:r w:rsidR="00DA65C2" w:rsidRPr="004528C4">
              <w:rPr>
                <w:rStyle w:val="Hipersaitas"/>
                <w:noProof/>
              </w:rPr>
              <w:t>7.3.4.4.2.</w:t>
            </w:r>
            <w:r w:rsidR="00DA65C2">
              <w:rPr>
                <w:rFonts w:eastAsiaTheme="minorEastAsia"/>
                <w:noProof/>
              </w:rPr>
              <w:tab/>
            </w:r>
            <w:r w:rsidR="00DA65C2" w:rsidRPr="004528C4">
              <w:rPr>
                <w:rStyle w:val="Hipersaitas"/>
                <w:noProof/>
                <w:lang w:val="lt-LT"/>
              </w:rPr>
              <w:t>Rizikos pasidalijimo fondas</w:t>
            </w:r>
            <w:r w:rsidR="00DA65C2">
              <w:rPr>
                <w:noProof/>
                <w:webHidden/>
              </w:rPr>
              <w:tab/>
            </w:r>
            <w:r w:rsidR="00DA65C2">
              <w:rPr>
                <w:noProof/>
                <w:webHidden/>
              </w:rPr>
              <w:fldChar w:fldCharType="begin"/>
            </w:r>
            <w:r w:rsidR="00DA65C2">
              <w:rPr>
                <w:noProof/>
                <w:webHidden/>
              </w:rPr>
              <w:instrText xml:space="preserve"> PAGEREF _Toc417378466 \h </w:instrText>
            </w:r>
            <w:r w:rsidR="00DA65C2">
              <w:rPr>
                <w:noProof/>
                <w:webHidden/>
              </w:rPr>
            </w:r>
            <w:r w:rsidR="00DA65C2">
              <w:rPr>
                <w:noProof/>
                <w:webHidden/>
              </w:rPr>
              <w:fldChar w:fldCharType="separate"/>
            </w:r>
            <w:r w:rsidR="00CB6759">
              <w:rPr>
                <w:noProof/>
                <w:webHidden/>
              </w:rPr>
              <w:t>297</w:t>
            </w:r>
            <w:r w:rsidR="00DA65C2">
              <w:rPr>
                <w:noProof/>
                <w:webHidden/>
              </w:rPr>
              <w:fldChar w:fldCharType="end"/>
            </w:r>
          </w:hyperlink>
        </w:p>
        <w:p w14:paraId="0426BF17" w14:textId="317B41D5" w:rsidR="00DA65C2" w:rsidRDefault="00A65A8D">
          <w:pPr>
            <w:pStyle w:val="Turinys2"/>
            <w:tabs>
              <w:tab w:val="left" w:pos="1100"/>
              <w:tab w:val="right" w:leader="dot" w:pos="9016"/>
            </w:tabs>
            <w:rPr>
              <w:rFonts w:eastAsiaTheme="minorEastAsia"/>
              <w:noProof/>
            </w:rPr>
          </w:pPr>
          <w:hyperlink w:anchor="_Toc417378467" w:history="1">
            <w:r w:rsidR="00DA65C2" w:rsidRPr="004528C4">
              <w:rPr>
                <w:rStyle w:val="Hipersaitas"/>
                <w:noProof/>
                <w:lang w:val="lt-LT"/>
              </w:rPr>
              <w:t>7.3.5.</w:t>
            </w:r>
            <w:r w:rsidR="00DA65C2">
              <w:rPr>
                <w:rFonts w:eastAsiaTheme="minorEastAsia"/>
                <w:noProof/>
              </w:rPr>
              <w:tab/>
            </w:r>
            <w:r w:rsidR="00DA65C2" w:rsidRPr="004528C4">
              <w:rPr>
                <w:rStyle w:val="Hipersaitas"/>
                <w:noProof/>
                <w:lang w:val="lt-LT"/>
              </w:rPr>
              <w:t>Tikėtinų rezultatų nustatymas ir skaičiavimas</w:t>
            </w:r>
            <w:r w:rsidR="00DA65C2">
              <w:rPr>
                <w:noProof/>
                <w:webHidden/>
              </w:rPr>
              <w:tab/>
            </w:r>
            <w:r w:rsidR="00DA65C2">
              <w:rPr>
                <w:noProof/>
                <w:webHidden/>
              </w:rPr>
              <w:fldChar w:fldCharType="begin"/>
            </w:r>
            <w:r w:rsidR="00DA65C2">
              <w:rPr>
                <w:noProof/>
                <w:webHidden/>
              </w:rPr>
              <w:instrText xml:space="preserve"> PAGEREF _Toc417378467 \h </w:instrText>
            </w:r>
            <w:r w:rsidR="00DA65C2">
              <w:rPr>
                <w:noProof/>
                <w:webHidden/>
              </w:rPr>
            </w:r>
            <w:r w:rsidR="00DA65C2">
              <w:rPr>
                <w:noProof/>
                <w:webHidden/>
              </w:rPr>
              <w:fldChar w:fldCharType="separate"/>
            </w:r>
            <w:r w:rsidR="00CB6759">
              <w:rPr>
                <w:noProof/>
                <w:webHidden/>
              </w:rPr>
              <w:t>299</w:t>
            </w:r>
            <w:r w:rsidR="00DA65C2">
              <w:rPr>
                <w:noProof/>
                <w:webHidden/>
              </w:rPr>
              <w:fldChar w:fldCharType="end"/>
            </w:r>
          </w:hyperlink>
        </w:p>
        <w:p w14:paraId="5D7D8981" w14:textId="60995EEB" w:rsidR="00DA65C2" w:rsidRDefault="00A65A8D">
          <w:pPr>
            <w:pStyle w:val="Turinys2"/>
            <w:tabs>
              <w:tab w:val="left" w:pos="1100"/>
              <w:tab w:val="right" w:leader="dot" w:pos="9016"/>
            </w:tabs>
            <w:rPr>
              <w:rFonts w:eastAsiaTheme="minorEastAsia"/>
              <w:noProof/>
            </w:rPr>
          </w:pPr>
          <w:hyperlink w:anchor="_Toc417378468" w:history="1">
            <w:r w:rsidR="00DA65C2" w:rsidRPr="004528C4">
              <w:rPr>
                <w:rStyle w:val="Hipersaitas"/>
                <w:noProof/>
                <w:lang w:val="lt-LT"/>
              </w:rPr>
              <w:t>7.3.6.</w:t>
            </w:r>
            <w:r w:rsidR="00DA65C2">
              <w:rPr>
                <w:rFonts w:eastAsiaTheme="minorEastAsia"/>
                <w:noProof/>
              </w:rPr>
              <w:tab/>
            </w:r>
            <w:r w:rsidR="00DA65C2" w:rsidRPr="004528C4">
              <w:rPr>
                <w:rStyle w:val="Hipersaitas"/>
                <w:noProof/>
                <w:lang w:val="lt-LT"/>
              </w:rPr>
              <w:t>Finansinės priemonės rezultatų prisidėjimas prie strateginių tikslų</w:t>
            </w:r>
            <w:r w:rsidR="00DA65C2">
              <w:rPr>
                <w:noProof/>
                <w:webHidden/>
              </w:rPr>
              <w:tab/>
            </w:r>
            <w:r w:rsidR="00DA65C2">
              <w:rPr>
                <w:noProof/>
                <w:webHidden/>
              </w:rPr>
              <w:fldChar w:fldCharType="begin"/>
            </w:r>
            <w:r w:rsidR="00DA65C2">
              <w:rPr>
                <w:noProof/>
                <w:webHidden/>
              </w:rPr>
              <w:instrText xml:space="preserve"> PAGEREF _Toc417378468 \h </w:instrText>
            </w:r>
            <w:r w:rsidR="00DA65C2">
              <w:rPr>
                <w:noProof/>
                <w:webHidden/>
              </w:rPr>
            </w:r>
            <w:r w:rsidR="00DA65C2">
              <w:rPr>
                <w:noProof/>
                <w:webHidden/>
              </w:rPr>
              <w:fldChar w:fldCharType="separate"/>
            </w:r>
            <w:r w:rsidR="00CB6759">
              <w:rPr>
                <w:noProof/>
                <w:webHidden/>
              </w:rPr>
              <w:t>299</w:t>
            </w:r>
            <w:r w:rsidR="00DA65C2">
              <w:rPr>
                <w:noProof/>
                <w:webHidden/>
              </w:rPr>
              <w:fldChar w:fldCharType="end"/>
            </w:r>
          </w:hyperlink>
        </w:p>
        <w:p w14:paraId="341103E3" w14:textId="76DB55B4" w:rsidR="00DA65C2" w:rsidRDefault="00A65A8D">
          <w:pPr>
            <w:pStyle w:val="Turinys2"/>
            <w:tabs>
              <w:tab w:val="left" w:pos="1100"/>
              <w:tab w:val="right" w:leader="dot" w:pos="9016"/>
            </w:tabs>
            <w:rPr>
              <w:rFonts w:eastAsiaTheme="minorEastAsia"/>
              <w:noProof/>
            </w:rPr>
          </w:pPr>
          <w:hyperlink w:anchor="_Toc417378469" w:history="1">
            <w:r w:rsidR="00DA65C2" w:rsidRPr="004528C4">
              <w:rPr>
                <w:rStyle w:val="Hipersaitas"/>
                <w:noProof/>
                <w:lang w:val="lt-LT"/>
              </w:rPr>
              <w:t>7.3.7.</w:t>
            </w:r>
            <w:r w:rsidR="00DA65C2">
              <w:rPr>
                <w:rFonts w:eastAsiaTheme="minorEastAsia"/>
                <w:noProof/>
              </w:rPr>
              <w:tab/>
            </w:r>
            <w:r w:rsidR="00DA65C2" w:rsidRPr="004528C4">
              <w:rPr>
                <w:rStyle w:val="Hipersaitas"/>
                <w:noProof/>
                <w:lang w:val="lt-LT"/>
              </w:rPr>
              <w:t>Stebėsenos sistemos apibrėžimas</w:t>
            </w:r>
            <w:r w:rsidR="00DA65C2">
              <w:rPr>
                <w:noProof/>
                <w:webHidden/>
              </w:rPr>
              <w:tab/>
            </w:r>
            <w:r w:rsidR="00DA65C2">
              <w:rPr>
                <w:noProof/>
                <w:webHidden/>
              </w:rPr>
              <w:fldChar w:fldCharType="begin"/>
            </w:r>
            <w:r w:rsidR="00DA65C2">
              <w:rPr>
                <w:noProof/>
                <w:webHidden/>
              </w:rPr>
              <w:instrText xml:space="preserve"> PAGEREF _Toc417378469 \h </w:instrText>
            </w:r>
            <w:r w:rsidR="00DA65C2">
              <w:rPr>
                <w:noProof/>
                <w:webHidden/>
              </w:rPr>
            </w:r>
            <w:r w:rsidR="00DA65C2">
              <w:rPr>
                <w:noProof/>
                <w:webHidden/>
              </w:rPr>
              <w:fldChar w:fldCharType="separate"/>
            </w:r>
            <w:r w:rsidR="00CB6759">
              <w:rPr>
                <w:noProof/>
                <w:webHidden/>
              </w:rPr>
              <w:t>301</w:t>
            </w:r>
            <w:r w:rsidR="00DA65C2">
              <w:rPr>
                <w:noProof/>
                <w:webHidden/>
              </w:rPr>
              <w:fldChar w:fldCharType="end"/>
            </w:r>
          </w:hyperlink>
        </w:p>
        <w:p w14:paraId="0BCEF622" w14:textId="5773CFA7" w:rsidR="00DA65C2" w:rsidRDefault="00A65A8D">
          <w:pPr>
            <w:pStyle w:val="Turinys1"/>
            <w:tabs>
              <w:tab w:val="left" w:pos="660"/>
              <w:tab w:val="right" w:leader="dot" w:pos="9016"/>
            </w:tabs>
            <w:rPr>
              <w:rFonts w:eastAsiaTheme="minorEastAsia"/>
              <w:noProof/>
            </w:rPr>
          </w:pPr>
          <w:hyperlink w:anchor="_Toc417378470" w:history="1">
            <w:r w:rsidR="00DA65C2" w:rsidRPr="004528C4">
              <w:rPr>
                <w:rStyle w:val="Hipersaitas"/>
                <w:rFonts w:cs="Arial"/>
                <w:noProof/>
                <w:lang w:val="lt-LT"/>
              </w:rPr>
              <w:t>8.</w:t>
            </w:r>
            <w:r w:rsidR="00DA65C2">
              <w:rPr>
                <w:rFonts w:eastAsiaTheme="minorEastAsia"/>
                <w:noProof/>
              </w:rPr>
              <w:tab/>
            </w:r>
            <w:r w:rsidR="00DA65C2" w:rsidRPr="004528C4">
              <w:rPr>
                <w:rStyle w:val="Hipersaitas"/>
                <w:noProof/>
                <w:lang w:val="lt-LT"/>
              </w:rPr>
              <w:t>Ataskaitos pabaiga</w:t>
            </w:r>
            <w:r w:rsidR="00DA65C2">
              <w:rPr>
                <w:noProof/>
                <w:webHidden/>
              </w:rPr>
              <w:tab/>
            </w:r>
            <w:r w:rsidR="00DA65C2">
              <w:rPr>
                <w:noProof/>
                <w:webHidden/>
              </w:rPr>
              <w:fldChar w:fldCharType="begin"/>
            </w:r>
            <w:r w:rsidR="00DA65C2">
              <w:rPr>
                <w:noProof/>
                <w:webHidden/>
              </w:rPr>
              <w:instrText xml:space="preserve"> PAGEREF _Toc417378470 \h </w:instrText>
            </w:r>
            <w:r w:rsidR="00DA65C2">
              <w:rPr>
                <w:noProof/>
                <w:webHidden/>
              </w:rPr>
            </w:r>
            <w:r w:rsidR="00DA65C2">
              <w:rPr>
                <w:noProof/>
                <w:webHidden/>
              </w:rPr>
              <w:fldChar w:fldCharType="separate"/>
            </w:r>
            <w:r w:rsidR="00CB6759">
              <w:rPr>
                <w:noProof/>
                <w:webHidden/>
              </w:rPr>
              <w:t>302</w:t>
            </w:r>
            <w:r w:rsidR="00DA65C2">
              <w:rPr>
                <w:noProof/>
                <w:webHidden/>
              </w:rPr>
              <w:fldChar w:fldCharType="end"/>
            </w:r>
          </w:hyperlink>
        </w:p>
        <w:p w14:paraId="1DC52196" w14:textId="10F21DDA" w:rsidR="00DA65C2" w:rsidRDefault="00A65A8D">
          <w:pPr>
            <w:pStyle w:val="Turinys2"/>
            <w:tabs>
              <w:tab w:val="left" w:pos="880"/>
              <w:tab w:val="right" w:leader="dot" w:pos="9016"/>
            </w:tabs>
            <w:rPr>
              <w:rFonts w:eastAsiaTheme="minorEastAsia"/>
              <w:noProof/>
            </w:rPr>
          </w:pPr>
          <w:hyperlink w:anchor="_Toc417378471" w:history="1">
            <w:r w:rsidR="00DA65C2" w:rsidRPr="004528C4">
              <w:rPr>
                <w:rStyle w:val="Hipersaitas"/>
                <w:noProof/>
                <w:lang w:val="lt-LT"/>
              </w:rPr>
              <w:t>8.1.</w:t>
            </w:r>
            <w:r w:rsidR="00DA65C2">
              <w:rPr>
                <w:rFonts w:eastAsiaTheme="minorEastAsia"/>
                <w:noProof/>
              </w:rPr>
              <w:tab/>
            </w:r>
            <w:r w:rsidR="00DA65C2" w:rsidRPr="004528C4">
              <w:rPr>
                <w:rStyle w:val="Hipersaitas"/>
                <w:noProof/>
                <w:lang w:val="lt-LT"/>
              </w:rPr>
              <w:t>Nuostatos ex ante vertinimo peržiūrėjimui</w:t>
            </w:r>
            <w:r w:rsidR="00DA65C2">
              <w:rPr>
                <w:noProof/>
                <w:webHidden/>
              </w:rPr>
              <w:tab/>
            </w:r>
            <w:r w:rsidR="00DA65C2">
              <w:rPr>
                <w:noProof/>
                <w:webHidden/>
              </w:rPr>
              <w:fldChar w:fldCharType="begin"/>
            </w:r>
            <w:r w:rsidR="00DA65C2">
              <w:rPr>
                <w:noProof/>
                <w:webHidden/>
              </w:rPr>
              <w:instrText xml:space="preserve"> PAGEREF _Toc417378471 \h </w:instrText>
            </w:r>
            <w:r w:rsidR="00DA65C2">
              <w:rPr>
                <w:noProof/>
                <w:webHidden/>
              </w:rPr>
            </w:r>
            <w:r w:rsidR="00DA65C2">
              <w:rPr>
                <w:noProof/>
                <w:webHidden/>
              </w:rPr>
              <w:fldChar w:fldCharType="separate"/>
            </w:r>
            <w:r w:rsidR="00CB6759">
              <w:rPr>
                <w:noProof/>
                <w:webHidden/>
              </w:rPr>
              <w:t>302</w:t>
            </w:r>
            <w:r w:rsidR="00DA65C2">
              <w:rPr>
                <w:noProof/>
                <w:webHidden/>
              </w:rPr>
              <w:fldChar w:fldCharType="end"/>
            </w:r>
          </w:hyperlink>
        </w:p>
        <w:p w14:paraId="2EA649EA" w14:textId="336FE20D" w:rsidR="00DA65C2" w:rsidRDefault="00A65A8D">
          <w:pPr>
            <w:pStyle w:val="Turinys2"/>
            <w:tabs>
              <w:tab w:val="left" w:pos="880"/>
              <w:tab w:val="right" w:leader="dot" w:pos="9016"/>
            </w:tabs>
            <w:rPr>
              <w:rFonts w:eastAsiaTheme="minorEastAsia"/>
              <w:noProof/>
            </w:rPr>
          </w:pPr>
          <w:hyperlink w:anchor="_Toc417378472" w:history="1">
            <w:r w:rsidR="00DA65C2" w:rsidRPr="004528C4">
              <w:rPr>
                <w:rStyle w:val="Hipersaitas"/>
                <w:noProof/>
                <w:lang w:val="lt-LT"/>
              </w:rPr>
              <w:t>8.2.</w:t>
            </w:r>
            <w:r w:rsidR="00DA65C2">
              <w:rPr>
                <w:rFonts w:eastAsiaTheme="minorEastAsia"/>
                <w:noProof/>
              </w:rPr>
              <w:tab/>
            </w:r>
            <w:r w:rsidR="00DA65C2" w:rsidRPr="004528C4">
              <w:rPr>
                <w:rStyle w:val="Hipersaitas"/>
                <w:noProof/>
                <w:lang w:val="lt-LT"/>
              </w:rPr>
              <w:t>Ex ante santrauka ir išvados</w:t>
            </w:r>
            <w:r w:rsidR="00DA65C2">
              <w:rPr>
                <w:noProof/>
                <w:webHidden/>
              </w:rPr>
              <w:tab/>
            </w:r>
            <w:r w:rsidR="00DA65C2">
              <w:rPr>
                <w:noProof/>
                <w:webHidden/>
              </w:rPr>
              <w:fldChar w:fldCharType="begin"/>
            </w:r>
            <w:r w:rsidR="00DA65C2">
              <w:rPr>
                <w:noProof/>
                <w:webHidden/>
              </w:rPr>
              <w:instrText xml:space="preserve"> PAGEREF _Toc417378472 \h </w:instrText>
            </w:r>
            <w:r w:rsidR="00DA65C2">
              <w:rPr>
                <w:noProof/>
                <w:webHidden/>
              </w:rPr>
            </w:r>
            <w:r w:rsidR="00DA65C2">
              <w:rPr>
                <w:noProof/>
                <w:webHidden/>
              </w:rPr>
              <w:fldChar w:fldCharType="separate"/>
            </w:r>
            <w:r w:rsidR="00CB6759">
              <w:rPr>
                <w:noProof/>
                <w:webHidden/>
              </w:rPr>
              <w:t>303</w:t>
            </w:r>
            <w:r w:rsidR="00DA65C2">
              <w:rPr>
                <w:noProof/>
                <w:webHidden/>
              </w:rPr>
              <w:fldChar w:fldCharType="end"/>
            </w:r>
          </w:hyperlink>
        </w:p>
        <w:p w14:paraId="3C6E685B" w14:textId="663FECDB" w:rsidR="00DA65C2" w:rsidRDefault="00A65A8D">
          <w:pPr>
            <w:pStyle w:val="Turinys1"/>
            <w:tabs>
              <w:tab w:val="left" w:pos="660"/>
              <w:tab w:val="right" w:leader="dot" w:pos="9016"/>
            </w:tabs>
            <w:rPr>
              <w:rFonts w:eastAsiaTheme="minorEastAsia"/>
              <w:noProof/>
            </w:rPr>
          </w:pPr>
          <w:hyperlink w:anchor="_Toc417378473" w:history="1">
            <w:r w:rsidR="00DA65C2" w:rsidRPr="004528C4">
              <w:rPr>
                <w:rStyle w:val="Hipersaitas"/>
                <w:rFonts w:cs="Arial"/>
                <w:noProof/>
                <w:lang w:val="lt-LT"/>
              </w:rPr>
              <w:t>9.</w:t>
            </w:r>
            <w:r w:rsidR="00DA65C2">
              <w:rPr>
                <w:rFonts w:eastAsiaTheme="minorEastAsia"/>
                <w:noProof/>
              </w:rPr>
              <w:tab/>
            </w:r>
            <w:r w:rsidR="00DA65C2" w:rsidRPr="004528C4">
              <w:rPr>
                <w:rStyle w:val="Hipersaitas"/>
                <w:noProof/>
                <w:lang w:val="lt-LT"/>
              </w:rPr>
              <w:t>Priedai</w:t>
            </w:r>
            <w:r w:rsidR="00DA65C2">
              <w:rPr>
                <w:noProof/>
                <w:webHidden/>
              </w:rPr>
              <w:tab/>
            </w:r>
            <w:r w:rsidR="00DA65C2">
              <w:rPr>
                <w:noProof/>
                <w:webHidden/>
              </w:rPr>
              <w:fldChar w:fldCharType="begin"/>
            </w:r>
            <w:r w:rsidR="00DA65C2">
              <w:rPr>
                <w:noProof/>
                <w:webHidden/>
              </w:rPr>
              <w:instrText xml:space="preserve"> PAGEREF _Toc417378473 \h </w:instrText>
            </w:r>
            <w:r w:rsidR="00DA65C2">
              <w:rPr>
                <w:noProof/>
                <w:webHidden/>
              </w:rPr>
            </w:r>
            <w:r w:rsidR="00DA65C2">
              <w:rPr>
                <w:noProof/>
                <w:webHidden/>
              </w:rPr>
              <w:fldChar w:fldCharType="separate"/>
            </w:r>
            <w:r w:rsidR="00CB6759">
              <w:rPr>
                <w:noProof/>
                <w:webHidden/>
              </w:rPr>
              <w:t>308</w:t>
            </w:r>
            <w:r w:rsidR="00DA65C2">
              <w:rPr>
                <w:noProof/>
                <w:webHidden/>
              </w:rPr>
              <w:fldChar w:fldCharType="end"/>
            </w:r>
          </w:hyperlink>
        </w:p>
        <w:p w14:paraId="72A6366F" w14:textId="3D6E691F" w:rsidR="00DA65C2" w:rsidRDefault="00A65A8D">
          <w:pPr>
            <w:pStyle w:val="Turinys2"/>
            <w:tabs>
              <w:tab w:val="right" w:leader="dot" w:pos="9016"/>
            </w:tabs>
            <w:rPr>
              <w:rFonts w:eastAsiaTheme="minorEastAsia"/>
              <w:noProof/>
            </w:rPr>
          </w:pPr>
          <w:hyperlink w:anchor="_Toc417378474" w:history="1">
            <w:r w:rsidR="00DA65C2" w:rsidRPr="004528C4">
              <w:rPr>
                <w:rStyle w:val="Hipersaitas"/>
                <w:noProof/>
                <w:lang w:val="lt-LT"/>
              </w:rPr>
              <w:t>Priedas Nr. 1. JESSICA programos kvietimų palyginimas</w:t>
            </w:r>
            <w:r w:rsidR="00DA65C2">
              <w:rPr>
                <w:noProof/>
                <w:webHidden/>
              </w:rPr>
              <w:tab/>
            </w:r>
            <w:r w:rsidR="00DA65C2">
              <w:rPr>
                <w:noProof/>
                <w:webHidden/>
              </w:rPr>
              <w:fldChar w:fldCharType="begin"/>
            </w:r>
            <w:r w:rsidR="00DA65C2">
              <w:rPr>
                <w:noProof/>
                <w:webHidden/>
              </w:rPr>
              <w:instrText xml:space="preserve"> PAGEREF _Toc417378474 \h </w:instrText>
            </w:r>
            <w:r w:rsidR="00DA65C2">
              <w:rPr>
                <w:noProof/>
                <w:webHidden/>
              </w:rPr>
            </w:r>
            <w:r w:rsidR="00DA65C2">
              <w:rPr>
                <w:noProof/>
                <w:webHidden/>
              </w:rPr>
              <w:fldChar w:fldCharType="separate"/>
            </w:r>
            <w:r w:rsidR="00CB6759">
              <w:rPr>
                <w:noProof/>
                <w:webHidden/>
              </w:rPr>
              <w:t>308</w:t>
            </w:r>
            <w:r w:rsidR="00DA65C2">
              <w:rPr>
                <w:noProof/>
                <w:webHidden/>
              </w:rPr>
              <w:fldChar w:fldCharType="end"/>
            </w:r>
          </w:hyperlink>
        </w:p>
        <w:p w14:paraId="6D83362F" w14:textId="4FC3A2C0" w:rsidR="00DA65C2" w:rsidRDefault="00A65A8D">
          <w:pPr>
            <w:pStyle w:val="Turinys2"/>
            <w:tabs>
              <w:tab w:val="right" w:leader="dot" w:pos="9016"/>
            </w:tabs>
            <w:rPr>
              <w:rFonts w:eastAsiaTheme="minorEastAsia"/>
              <w:noProof/>
            </w:rPr>
          </w:pPr>
          <w:hyperlink w:anchor="_Toc417378475" w:history="1">
            <w:r w:rsidR="00DA65C2" w:rsidRPr="004528C4">
              <w:rPr>
                <w:rStyle w:val="Hipersaitas"/>
                <w:noProof/>
                <w:lang w:val="lt-LT"/>
              </w:rPr>
              <w:t>Priedas Nr. 2. Valdymo mokesčio apžvalga pagal Deleguoto reglamento nuostatas</w:t>
            </w:r>
            <w:r w:rsidR="00DA65C2">
              <w:rPr>
                <w:noProof/>
                <w:webHidden/>
              </w:rPr>
              <w:tab/>
            </w:r>
            <w:r w:rsidR="00DA65C2">
              <w:rPr>
                <w:noProof/>
                <w:webHidden/>
              </w:rPr>
              <w:fldChar w:fldCharType="begin"/>
            </w:r>
            <w:r w:rsidR="00DA65C2">
              <w:rPr>
                <w:noProof/>
                <w:webHidden/>
              </w:rPr>
              <w:instrText xml:space="preserve"> PAGEREF _Toc417378475 \h </w:instrText>
            </w:r>
            <w:r w:rsidR="00DA65C2">
              <w:rPr>
                <w:noProof/>
                <w:webHidden/>
              </w:rPr>
            </w:r>
            <w:r w:rsidR="00DA65C2">
              <w:rPr>
                <w:noProof/>
                <w:webHidden/>
              </w:rPr>
              <w:fldChar w:fldCharType="separate"/>
            </w:r>
            <w:r w:rsidR="00CB6759">
              <w:rPr>
                <w:noProof/>
                <w:webHidden/>
              </w:rPr>
              <w:t>310</w:t>
            </w:r>
            <w:r w:rsidR="00DA65C2">
              <w:rPr>
                <w:noProof/>
                <w:webHidden/>
              </w:rPr>
              <w:fldChar w:fldCharType="end"/>
            </w:r>
          </w:hyperlink>
        </w:p>
        <w:p w14:paraId="5DC29EA3" w14:textId="1F478D73" w:rsidR="00DA65C2" w:rsidRDefault="00A65A8D">
          <w:pPr>
            <w:pStyle w:val="Turinys2"/>
            <w:tabs>
              <w:tab w:val="right" w:leader="dot" w:pos="9016"/>
            </w:tabs>
            <w:rPr>
              <w:rFonts w:eastAsiaTheme="minorEastAsia"/>
              <w:noProof/>
            </w:rPr>
          </w:pPr>
          <w:hyperlink w:anchor="_Toc417378476" w:history="1">
            <w:r w:rsidR="00DA65C2" w:rsidRPr="004528C4">
              <w:rPr>
                <w:rStyle w:val="Hipersaitas"/>
                <w:noProof/>
                <w:lang w:val="lt-LT"/>
              </w:rPr>
              <w:t>Priedas Nr. 3. Lietuvos apžvalga</w:t>
            </w:r>
            <w:r w:rsidR="00DA65C2">
              <w:rPr>
                <w:noProof/>
                <w:webHidden/>
              </w:rPr>
              <w:tab/>
            </w:r>
            <w:r w:rsidR="00DA65C2">
              <w:rPr>
                <w:noProof/>
                <w:webHidden/>
              </w:rPr>
              <w:fldChar w:fldCharType="begin"/>
            </w:r>
            <w:r w:rsidR="00DA65C2">
              <w:rPr>
                <w:noProof/>
                <w:webHidden/>
              </w:rPr>
              <w:instrText xml:space="preserve"> PAGEREF _Toc417378476 \h </w:instrText>
            </w:r>
            <w:r w:rsidR="00DA65C2">
              <w:rPr>
                <w:noProof/>
                <w:webHidden/>
              </w:rPr>
            </w:r>
            <w:r w:rsidR="00DA65C2">
              <w:rPr>
                <w:noProof/>
                <w:webHidden/>
              </w:rPr>
              <w:fldChar w:fldCharType="separate"/>
            </w:r>
            <w:r w:rsidR="00CB6759">
              <w:rPr>
                <w:noProof/>
                <w:webHidden/>
              </w:rPr>
              <w:t>312</w:t>
            </w:r>
            <w:r w:rsidR="00DA65C2">
              <w:rPr>
                <w:noProof/>
                <w:webHidden/>
              </w:rPr>
              <w:fldChar w:fldCharType="end"/>
            </w:r>
          </w:hyperlink>
        </w:p>
        <w:p w14:paraId="0E4CACE8" w14:textId="170A2542" w:rsidR="00DA65C2" w:rsidRDefault="00A65A8D">
          <w:pPr>
            <w:pStyle w:val="Turinys2"/>
            <w:tabs>
              <w:tab w:val="right" w:leader="dot" w:pos="9016"/>
            </w:tabs>
            <w:rPr>
              <w:rFonts w:eastAsiaTheme="minorEastAsia"/>
              <w:noProof/>
            </w:rPr>
          </w:pPr>
          <w:hyperlink w:anchor="_Toc417378477" w:history="1">
            <w:r w:rsidR="00DA65C2" w:rsidRPr="004528C4">
              <w:rPr>
                <w:rStyle w:val="Hipersaitas"/>
                <w:noProof/>
                <w:lang w:val="lt-LT"/>
              </w:rPr>
              <w:t>Priedas Nr. 4. Bulgarijos apžvalga</w:t>
            </w:r>
            <w:r w:rsidR="00DA65C2">
              <w:rPr>
                <w:noProof/>
                <w:webHidden/>
              </w:rPr>
              <w:tab/>
            </w:r>
            <w:r w:rsidR="00DA65C2">
              <w:rPr>
                <w:noProof/>
                <w:webHidden/>
              </w:rPr>
              <w:fldChar w:fldCharType="begin"/>
            </w:r>
            <w:r w:rsidR="00DA65C2">
              <w:rPr>
                <w:noProof/>
                <w:webHidden/>
              </w:rPr>
              <w:instrText xml:space="preserve"> PAGEREF _Toc417378477 \h </w:instrText>
            </w:r>
            <w:r w:rsidR="00DA65C2">
              <w:rPr>
                <w:noProof/>
                <w:webHidden/>
              </w:rPr>
            </w:r>
            <w:r w:rsidR="00DA65C2">
              <w:rPr>
                <w:noProof/>
                <w:webHidden/>
              </w:rPr>
              <w:fldChar w:fldCharType="separate"/>
            </w:r>
            <w:r w:rsidR="00CB6759">
              <w:rPr>
                <w:noProof/>
                <w:webHidden/>
              </w:rPr>
              <w:t>323</w:t>
            </w:r>
            <w:r w:rsidR="00DA65C2">
              <w:rPr>
                <w:noProof/>
                <w:webHidden/>
              </w:rPr>
              <w:fldChar w:fldCharType="end"/>
            </w:r>
          </w:hyperlink>
        </w:p>
        <w:p w14:paraId="2E920405" w14:textId="68B30280" w:rsidR="00DA65C2" w:rsidRDefault="00A65A8D">
          <w:pPr>
            <w:pStyle w:val="Turinys2"/>
            <w:tabs>
              <w:tab w:val="right" w:leader="dot" w:pos="9016"/>
            </w:tabs>
            <w:rPr>
              <w:rFonts w:eastAsiaTheme="minorEastAsia"/>
              <w:noProof/>
            </w:rPr>
          </w:pPr>
          <w:hyperlink w:anchor="_Toc417378478" w:history="1">
            <w:r w:rsidR="00DA65C2" w:rsidRPr="004528C4">
              <w:rPr>
                <w:rStyle w:val="Hipersaitas"/>
                <w:noProof/>
                <w:lang w:val="lt-LT"/>
              </w:rPr>
              <w:t>Priedas Nr. 5. Jungtinės karalystės (UK) apžvalga</w:t>
            </w:r>
            <w:r w:rsidR="00DA65C2">
              <w:rPr>
                <w:noProof/>
                <w:webHidden/>
              </w:rPr>
              <w:tab/>
            </w:r>
            <w:r w:rsidR="00DA65C2">
              <w:rPr>
                <w:noProof/>
                <w:webHidden/>
              </w:rPr>
              <w:fldChar w:fldCharType="begin"/>
            </w:r>
            <w:r w:rsidR="00DA65C2">
              <w:rPr>
                <w:noProof/>
                <w:webHidden/>
              </w:rPr>
              <w:instrText xml:space="preserve"> PAGEREF _Toc417378478 \h </w:instrText>
            </w:r>
            <w:r w:rsidR="00DA65C2">
              <w:rPr>
                <w:noProof/>
                <w:webHidden/>
              </w:rPr>
            </w:r>
            <w:r w:rsidR="00DA65C2">
              <w:rPr>
                <w:noProof/>
                <w:webHidden/>
              </w:rPr>
              <w:fldChar w:fldCharType="separate"/>
            </w:r>
            <w:r w:rsidR="00CB6759">
              <w:rPr>
                <w:noProof/>
                <w:webHidden/>
              </w:rPr>
              <w:t>335</w:t>
            </w:r>
            <w:r w:rsidR="00DA65C2">
              <w:rPr>
                <w:noProof/>
                <w:webHidden/>
              </w:rPr>
              <w:fldChar w:fldCharType="end"/>
            </w:r>
          </w:hyperlink>
        </w:p>
        <w:p w14:paraId="32B0EF16" w14:textId="7B441C74" w:rsidR="00DA65C2" w:rsidRDefault="00A65A8D">
          <w:pPr>
            <w:pStyle w:val="Turinys2"/>
            <w:tabs>
              <w:tab w:val="right" w:leader="dot" w:pos="9016"/>
            </w:tabs>
            <w:rPr>
              <w:rFonts w:eastAsiaTheme="minorEastAsia"/>
              <w:noProof/>
            </w:rPr>
          </w:pPr>
          <w:hyperlink w:anchor="_Toc417378479" w:history="1">
            <w:r w:rsidR="00DA65C2" w:rsidRPr="004528C4">
              <w:rPr>
                <w:rStyle w:val="Hipersaitas"/>
                <w:noProof/>
                <w:lang w:val="lt-LT"/>
              </w:rPr>
              <w:t>Priedas Nr. 6. Rizikos faktoriai ir jų valdymo planas.</w:t>
            </w:r>
            <w:r w:rsidR="00DA65C2">
              <w:rPr>
                <w:noProof/>
                <w:webHidden/>
              </w:rPr>
              <w:tab/>
            </w:r>
            <w:r w:rsidR="00DA65C2">
              <w:rPr>
                <w:noProof/>
                <w:webHidden/>
              </w:rPr>
              <w:fldChar w:fldCharType="begin"/>
            </w:r>
            <w:r w:rsidR="00DA65C2">
              <w:rPr>
                <w:noProof/>
                <w:webHidden/>
              </w:rPr>
              <w:instrText xml:space="preserve"> PAGEREF _Toc417378479 \h </w:instrText>
            </w:r>
            <w:r w:rsidR="00DA65C2">
              <w:rPr>
                <w:noProof/>
                <w:webHidden/>
              </w:rPr>
            </w:r>
            <w:r w:rsidR="00DA65C2">
              <w:rPr>
                <w:noProof/>
                <w:webHidden/>
              </w:rPr>
              <w:fldChar w:fldCharType="separate"/>
            </w:r>
            <w:r w:rsidR="00CB6759">
              <w:rPr>
                <w:noProof/>
                <w:webHidden/>
              </w:rPr>
              <w:t>348</w:t>
            </w:r>
            <w:r w:rsidR="00DA65C2">
              <w:rPr>
                <w:noProof/>
                <w:webHidden/>
              </w:rPr>
              <w:fldChar w:fldCharType="end"/>
            </w:r>
          </w:hyperlink>
        </w:p>
        <w:p w14:paraId="48D0EC78" w14:textId="7F049947" w:rsidR="00DA65C2" w:rsidRDefault="00A65A8D">
          <w:pPr>
            <w:pStyle w:val="Turinys2"/>
            <w:tabs>
              <w:tab w:val="right" w:leader="dot" w:pos="9016"/>
            </w:tabs>
            <w:rPr>
              <w:rFonts w:eastAsiaTheme="minorEastAsia"/>
              <w:noProof/>
            </w:rPr>
          </w:pPr>
          <w:hyperlink w:anchor="_Toc417378480" w:history="1">
            <w:r w:rsidR="00DA65C2" w:rsidRPr="004528C4">
              <w:rPr>
                <w:rStyle w:val="Hipersaitas"/>
                <w:noProof/>
                <w:lang w:val="lt-LT"/>
              </w:rPr>
              <w:t>Priedas Nr. 7. Komercinių bankų apklausos metu gautos informacijos santrauka</w:t>
            </w:r>
            <w:r w:rsidR="00DA65C2">
              <w:rPr>
                <w:noProof/>
                <w:webHidden/>
              </w:rPr>
              <w:tab/>
            </w:r>
            <w:r w:rsidR="00DA65C2">
              <w:rPr>
                <w:noProof/>
                <w:webHidden/>
              </w:rPr>
              <w:fldChar w:fldCharType="begin"/>
            </w:r>
            <w:r w:rsidR="00DA65C2">
              <w:rPr>
                <w:noProof/>
                <w:webHidden/>
              </w:rPr>
              <w:instrText xml:space="preserve"> PAGEREF _Toc417378480 \h </w:instrText>
            </w:r>
            <w:r w:rsidR="00DA65C2">
              <w:rPr>
                <w:noProof/>
                <w:webHidden/>
              </w:rPr>
            </w:r>
            <w:r w:rsidR="00DA65C2">
              <w:rPr>
                <w:noProof/>
                <w:webHidden/>
              </w:rPr>
              <w:fldChar w:fldCharType="separate"/>
            </w:r>
            <w:r w:rsidR="00CB6759">
              <w:rPr>
                <w:noProof/>
                <w:webHidden/>
              </w:rPr>
              <w:t>363</w:t>
            </w:r>
            <w:r w:rsidR="00DA65C2">
              <w:rPr>
                <w:noProof/>
                <w:webHidden/>
              </w:rPr>
              <w:fldChar w:fldCharType="end"/>
            </w:r>
          </w:hyperlink>
        </w:p>
        <w:p w14:paraId="120C8A65" w14:textId="6E7944D5" w:rsidR="00DA65C2" w:rsidRDefault="00A65A8D">
          <w:pPr>
            <w:pStyle w:val="Turinys2"/>
            <w:tabs>
              <w:tab w:val="right" w:leader="dot" w:pos="9016"/>
            </w:tabs>
            <w:rPr>
              <w:rFonts w:eastAsiaTheme="minorEastAsia"/>
              <w:noProof/>
            </w:rPr>
          </w:pPr>
          <w:hyperlink w:anchor="_Toc417378481" w:history="1">
            <w:r w:rsidR="00DA65C2" w:rsidRPr="004528C4">
              <w:rPr>
                <w:rStyle w:val="Hipersaitas"/>
                <w:noProof/>
                <w:lang w:val="lt-LT"/>
              </w:rPr>
              <w:t>Priedas Nr. 8. Gatvių apšvietimo modernizavimo poreikis pagal savivaldybes</w:t>
            </w:r>
            <w:r w:rsidR="00DA65C2">
              <w:rPr>
                <w:noProof/>
                <w:webHidden/>
              </w:rPr>
              <w:tab/>
            </w:r>
            <w:r w:rsidR="00DA65C2">
              <w:rPr>
                <w:noProof/>
                <w:webHidden/>
              </w:rPr>
              <w:fldChar w:fldCharType="begin"/>
            </w:r>
            <w:r w:rsidR="00DA65C2">
              <w:rPr>
                <w:noProof/>
                <w:webHidden/>
              </w:rPr>
              <w:instrText xml:space="preserve"> PAGEREF _Toc417378481 \h </w:instrText>
            </w:r>
            <w:r w:rsidR="00DA65C2">
              <w:rPr>
                <w:noProof/>
                <w:webHidden/>
              </w:rPr>
            </w:r>
            <w:r w:rsidR="00DA65C2">
              <w:rPr>
                <w:noProof/>
                <w:webHidden/>
              </w:rPr>
              <w:fldChar w:fldCharType="separate"/>
            </w:r>
            <w:r w:rsidR="00CB6759">
              <w:rPr>
                <w:noProof/>
                <w:webHidden/>
              </w:rPr>
              <w:t>369</w:t>
            </w:r>
            <w:r w:rsidR="00DA65C2">
              <w:rPr>
                <w:noProof/>
                <w:webHidden/>
              </w:rPr>
              <w:fldChar w:fldCharType="end"/>
            </w:r>
          </w:hyperlink>
        </w:p>
        <w:p w14:paraId="0625ED28" w14:textId="3D528BF3" w:rsidR="00DA65C2" w:rsidRDefault="00A65A8D">
          <w:pPr>
            <w:pStyle w:val="Turinys2"/>
            <w:tabs>
              <w:tab w:val="right" w:leader="dot" w:pos="9016"/>
            </w:tabs>
            <w:rPr>
              <w:rFonts w:eastAsiaTheme="minorEastAsia"/>
              <w:noProof/>
            </w:rPr>
          </w:pPr>
          <w:hyperlink w:anchor="_Toc417378482" w:history="1">
            <w:r w:rsidR="00DA65C2" w:rsidRPr="004528C4">
              <w:rPr>
                <w:rStyle w:val="Hipersaitas"/>
                <w:noProof/>
                <w:lang w:val="lt-LT"/>
              </w:rPr>
              <w:t>Priedas Nr. 9. Daugiabučių modernizavimo fondo valdytojo paskyrimo alternatyvų analizė.</w:t>
            </w:r>
            <w:r w:rsidR="00DA65C2">
              <w:rPr>
                <w:noProof/>
                <w:webHidden/>
              </w:rPr>
              <w:tab/>
            </w:r>
            <w:r w:rsidR="00DA65C2">
              <w:rPr>
                <w:noProof/>
                <w:webHidden/>
              </w:rPr>
              <w:fldChar w:fldCharType="begin"/>
            </w:r>
            <w:r w:rsidR="00DA65C2">
              <w:rPr>
                <w:noProof/>
                <w:webHidden/>
              </w:rPr>
              <w:instrText xml:space="preserve"> PAGEREF _Toc417378482 \h </w:instrText>
            </w:r>
            <w:r w:rsidR="00DA65C2">
              <w:rPr>
                <w:noProof/>
                <w:webHidden/>
              </w:rPr>
            </w:r>
            <w:r w:rsidR="00DA65C2">
              <w:rPr>
                <w:noProof/>
                <w:webHidden/>
              </w:rPr>
              <w:fldChar w:fldCharType="separate"/>
            </w:r>
            <w:r w:rsidR="00CB6759">
              <w:rPr>
                <w:noProof/>
                <w:webHidden/>
              </w:rPr>
              <w:t>375</w:t>
            </w:r>
            <w:r w:rsidR="00DA65C2">
              <w:rPr>
                <w:noProof/>
                <w:webHidden/>
              </w:rPr>
              <w:fldChar w:fldCharType="end"/>
            </w:r>
          </w:hyperlink>
        </w:p>
        <w:p w14:paraId="7807CE4D" w14:textId="22CFCAC3" w:rsidR="00DA65C2" w:rsidRDefault="00A65A8D">
          <w:pPr>
            <w:pStyle w:val="Turinys2"/>
            <w:tabs>
              <w:tab w:val="right" w:leader="dot" w:pos="9016"/>
            </w:tabs>
            <w:rPr>
              <w:rFonts w:eastAsiaTheme="minorEastAsia"/>
              <w:noProof/>
            </w:rPr>
          </w:pPr>
          <w:hyperlink w:anchor="_Toc417378483" w:history="1">
            <w:r w:rsidR="00DA65C2" w:rsidRPr="004528C4">
              <w:rPr>
                <w:rStyle w:val="Hipersaitas"/>
                <w:noProof/>
                <w:lang w:val="lt-LT"/>
              </w:rPr>
              <w:t>Priedas Nr. 10. Centrinės valdžios pasatų ir gatvių apšvietimo modernizavimo fondo valdytojo paskyrimo alternatyvų analizė</w:t>
            </w:r>
            <w:r w:rsidR="00DA65C2">
              <w:rPr>
                <w:noProof/>
                <w:webHidden/>
              </w:rPr>
              <w:tab/>
            </w:r>
            <w:r w:rsidR="00DA65C2">
              <w:rPr>
                <w:noProof/>
                <w:webHidden/>
              </w:rPr>
              <w:fldChar w:fldCharType="begin"/>
            </w:r>
            <w:r w:rsidR="00DA65C2">
              <w:rPr>
                <w:noProof/>
                <w:webHidden/>
              </w:rPr>
              <w:instrText xml:space="preserve"> PAGEREF _Toc417378483 \h </w:instrText>
            </w:r>
            <w:r w:rsidR="00DA65C2">
              <w:rPr>
                <w:noProof/>
                <w:webHidden/>
              </w:rPr>
            </w:r>
            <w:r w:rsidR="00DA65C2">
              <w:rPr>
                <w:noProof/>
                <w:webHidden/>
              </w:rPr>
              <w:fldChar w:fldCharType="separate"/>
            </w:r>
            <w:r w:rsidR="00CB6759">
              <w:rPr>
                <w:noProof/>
                <w:webHidden/>
              </w:rPr>
              <w:t>383</w:t>
            </w:r>
            <w:r w:rsidR="00DA65C2">
              <w:rPr>
                <w:noProof/>
                <w:webHidden/>
              </w:rPr>
              <w:fldChar w:fldCharType="end"/>
            </w:r>
          </w:hyperlink>
        </w:p>
        <w:p w14:paraId="5E8257B5" w14:textId="18A25A62" w:rsidR="00DA65C2" w:rsidRDefault="00A65A8D">
          <w:pPr>
            <w:pStyle w:val="Turinys2"/>
            <w:tabs>
              <w:tab w:val="right" w:leader="dot" w:pos="9016"/>
            </w:tabs>
            <w:rPr>
              <w:rFonts w:eastAsiaTheme="minorEastAsia"/>
              <w:noProof/>
            </w:rPr>
          </w:pPr>
          <w:hyperlink w:anchor="_Toc417378484" w:history="1">
            <w:r w:rsidR="00DA65C2" w:rsidRPr="004528C4">
              <w:rPr>
                <w:rStyle w:val="Hipersaitas"/>
                <w:noProof/>
                <w:lang w:val="lt-LT"/>
              </w:rPr>
              <w:t>Priedas Nr. 11. Savivaldybių pastatų modernizavimo fondo valdytojo paskyrimo alternatyvų analizė.</w:t>
            </w:r>
            <w:r w:rsidR="00DA65C2">
              <w:rPr>
                <w:noProof/>
                <w:webHidden/>
              </w:rPr>
              <w:tab/>
            </w:r>
            <w:r w:rsidR="00DA65C2">
              <w:rPr>
                <w:noProof/>
                <w:webHidden/>
              </w:rPr>
              <w:fldChar w:fldCharType="begin"/>
            </w:r>
            <w:r w:rsidR="00DA65C2">
              <w:rPr>
                <w:noProof/>
                <w:webHidden/>
              </w:rPr>
              <w:instrText xml:space="preserve"> PAGEREF _Toc417378484 \h </w:instrText>
            </w:r>
            <w:r w:rsidR="00DA65C2">
              <w:rPr>
                <w:noProof/>
                <w:webHidden/>
              </w:rPr>
            </w:r>
            <w:r w:rsidR="00DA65C2">
              <w:rPr>
                <w:noProof/>
                <w:webHidden/>
              </w:rPr>
              <w:fldChar w:fldCharType="separate"/>
            </w:r>
            <w:r w:rsidR="00CB6759">
              <w:rPr>
                <w:noProof/>
                <w:webHidden/>
              </w:rPr>
              <w:t>391</w:t>
            </w:r>
            <w:r w:rsidR="00DA65C2">
              <w:rPr>
                <w:noProof/>
                <w:webHidden/>
              </w:rPr>
              <w:fldChar w:fldCharType="end"/>
            </w:r>
          </w:hyperlink>
        </w:p>
        <w:p w14:paraId="496B9EC8" w14:textId="77777777" w:rsidR="00EE14AD" w:rsidRPr="0012248F" w:rsidRDefault="00EE14AD">
          <w:pPr>
            <w:rPr>
              <w:rFonts w:ascii="Georgia" w:hAnsi="Georgia"/>
              <w:lang w:val="lt-LT"/>
            </w:rPr>
          </w:pPr>
          <w:r w:rsidRPr="000F589D">
            <w:rPr>
              <w:rFonts w:ascii="Georgia" w:hAnsi="Georgia"/>
              <w:b/>
              <w:bCs/>
              <w:szCs w:val="20"/>
              <w:lang w:val="lt-LT"/>
            </w:rPr>
            <w:fldChar w:fldCharType="end"/>
          </w:r>
        </w:p>
      </w:sdtContent>
    </w:sdt>
    <w:p w14:paraId="40B74B4D" w14:textId="77777777" w:rsidR="00EE14AD" w:rsidRPr="0012248F" w:rsidRDefault="00EE14AD">
      <w:pPr>
        <w:rPr>
          <w:rFonts w:ascii="Georgia" w:eastAsiaTheme="majorEastAsia" w:hAnsi="Georgia" w:cstheme="majorBidi"/>
          <w:b/>
          <w:bCs/>
          <w:color w:val="365F91" w:themeColor="accent1" w:themeShade="BF"/>
          <w:lang w:val="lt-LT"/>
        </w:rPr>
      </w:pPr>
      <w:r w:rsidRPr="0012248F">
        <w:rPr>
          <w:rFonts w:ascii="Georgia" w:hAnsi="Georgia"/>
          <w:lang w:val="lt-LT"/>
        </w:rPr>
        <w:br w:type="page"/>
      </w:r>
    </w:p>
    <w:p w14:paraId="52D0B159" w14:textId="77777777" w:rsidR="00FC2E80" w:rsidRPr="009F55BB" w:rsidRDefault="00FC2E80" w:rsidP="003D1E6F">
      <w:pPr>
        <w:pStyle w:val="Antrat1"/>
        <w:rPr>
          <w:lang w:val="lt-LT"/>
        </w:rPr>
      </w:pPr>
      <w:bookmarkStart w:id="3" w:name="_Toc417378353"/>
      <w:r w:rsidRPr="009F55BB">
        <w:rPr>
          <w:lang w:val="lt-LT"/>
        </w:rPr>
        <w:lastRenderedPageBreak/>
        <w:t>Lentelių sąrašas</w:t>
      </w:r>
      <w:bookmarkEnd w:id="3"/>
    </w:p>
    <w:p w14:paraId="2B307E26" w14:textId="77777777" w:rsidR="00FC2E80" w:rsidRPr="00FC2E80" w:rsidRDefault="00FC2E80" w:rsidP="00FC2E80">
      <w:pPr>
        <w:rPr>
          <w:lang w:val="lt-LT"/>
        </w:rPr>
      </w:pPr>
    </w:p>
    <w:p w14:paraId="6E916675" w14:textId="4A01407D" w:rsidR="00AA3082" w:rsidRDefault="00FC2E80">
      <w:pPr>
        <w:pStyle w:val="Iliustracijsraas"/>
        <w:tabs>
          <w:tab w:val="right" w:leader="dot" w:pos="9016"/>
        </w:tabs>
        <w:rPr>
          <w:rFonts w:eastAsiaTheme="minorEastAsia" w:cs="Arial Unicode MS"/>
          <w:noProof/>
          <w:lang w:bidi="lo-LA"/>
        </w:rPr>
      </w:pPr>
      <w:r w:rsidRPr="00A90CB3">
        <w:rPr>
          <w:rFonts w:ascii="Georgia" w:hAnsi="Georgia"/>
          <w:lang w:val="lt-LT"/>
        </w:rPr>
        <w:fldChar w:fldCharType="begin"/>
      </w:r>
      <w:r w:rsidRPr="00A90CB3">
        <w:rPr>
          <w:rFonts w:ascii="Georgia" w:hAnsi="Georgia"/>
          <w:lang w:val="lt-LT"/>
        </w:rPr>
        <w:instrText xml:space="preserve"> TOC \h \z \c "Lentelė" </w:instrText>
      </w:r>
      <w:r w:rsidRPr="00A90CB3">
        <w:rPr>
          <w:rFonts w:ascii="Georgia" w:hAnsi="Georgia"/>
          <w:lang w:val="lt-LT"/>
        </w:rPr>
        <w:fldChar w:fldCharType="separate"/>
      </w:r>
      <w:hyperlink w:anchor="_Toc460321582" w:history="1">
        <w:r w:rsidR="00AA3082" w:rsidRPr="003D7275">
          <w:rPr>
            <w:rStyle w:val="Hipersaitas"/>
            <w:noProof/>
            <w:lang w:val="lt-LT"/>
          </w:rPr>
          <w:t xml:space="preserve">Lentelė 1. </w:t>
        </w:r>
        <w:r w:rsidR="00AA3082" w:rsidRPr="003D7275">
          <w:rPr>
            <w:rStyle w:val="Hipersaitas"/>
            <w:rFonts w:cs="Georgia"/>
            <w:noProof/>
            <w:lang w:val="lt-LT"/>
          </w:rPr>
          <w:t>Energijos efektyvumo veiklų tipų suderinamumas su ES ir nacionaliniais strateginiais dokumentais.</w:t>
        </w:r>
        <w:r w:rsidR="00AA3082">
          <w:rPr>
            <w:noProof/>
            <w:webHidden/>
          </w:rPr>
          <w:tab/>
        </w:r>
        <w:r w:rsidR="00AA3082">
          <w:rPr>
            <w:noProof/>
            <w:webHidden/>
          </w:rPr>
          <w:fldChar w:fldCharType="begin"/>
        </w:r>
        <w:r w:rsidR="00AA3082">
          <w:rPr>
            <w:noProof/>
            <w:webHidden/>
          </w:rPr>
          <w:instrText xml:space="preserve"> PAGEREF _Toc460321582 \h </w:instrText>
        </w:r>
        <w:r w:rsidR="00AA3082">
          <w:rPr>
            <w:noProof/>
            <w:webHidden/>
          </w:rPr>
        </w:r>
        <w:r w:rsidR="00AA3082">
          <w:rPr>
            <w:noProof/>
            <w:webHidden/>
          </w:rPr>
          <w:fldChar w:fldCharType="separate"/>
        </w:r>
        <w:r w:rsidR="00AA3082">
          <w:rPr>
            <w:noProof/>
            <w:webHidden/>
          </w:rPr>
          <w:t>23</w:t>
        </w:r>
        <w:r w:rsidR="00AA3082">
          <w:rPr>
            <w:noProof/>
            <w:webHidden/>
          </w:rPr>
          <w:fldChar w:fldCharType="end"/>
        </w:r>
      </w:hyperlink>
    </w:p>
    <w:p w14:paraId="5B149655" w14:textId="210634F7" w:rsidR="00AA3082" w:rsidRDefault="00A65A8D">
      <w:pPr>
        <w:pStyle w:val="Iliustracijsraas"/>
        <w:tabs>
          <w:tab w:val="right" w:leader="dot" w:pos="9016"/>
        </w:tabs>
        <w:rPr>
          <w:rFonts w:eastAsiaTheme="minorEastAsia" w:cs="Arial Unicode MS"/>
          <w:noProof/>
          <w:lang w:bidi="lo-LA"/>
        </w:rPr>
      </w:pPr>
      <w:hyperlink w:anchor="_Toc460321583" w:history="1">
        <w:r w:rsidR="00AA3082" w:rsidRPr="003D7275">
          <w:rPr>
            <w:rStyle w:val="Hipersaitas"/>
            <w:noProof/>
            <w:lang w:val="lt-LT"/>
          </w:rPr>
          <w:t xml:space="preserve">Lentelė 2. </w:t>
        </w:r>
        <w:r w:rsidR="00AA3082" w:rsidRPr="003D7275">
          <w:rPr>
            <w:rStyle w:val="Hipersaitas"/>
            <w:rFonts w:cs="Georgia"/>
            <w:noProof/>
            <w:lang w:val="lt-LT"/>
          </w:rPr>
          <w:t>Finansinių priemonių ir paramos intensyvumo sumažinimo privalumai ir trūkumai.</w:t>
        </w:r>
        <w:r w:rsidR="00AA3082">
          <w:rPr>
            <w:noProof/>
            <w:webHidden/>
          </w:rPr>
          <w:tab/>
        </w:r>
        <w:r w:rsidR="00AA3082">
          <w:rPr>
            <w:noProof/>
            <w:webHidden/>
          </w:rPr>
          <w:fldChar w:fldCharType="begin"/>
        </w:r>
        <w:r w:rsidR="00AA3082">
          <w:rPr>
            <w:noProof/>
            <w:webHidden/>
          </w:rPr>
          <w:instrText xml:space="preserve"> PAGEREF _Toc460321583 \h </w:instrText>
        </w:r>
        <w:r w:rsidR="00AA3082">
          <w:rPr>
            <w:noProof/>
            <w:webHidden/>
          </w:rPr>
        </w:r>
        <w:r w:rsidR="00AA3082">
          <w:rPr>
            <w:noProof/>
            <w:webHidden/>
          </w:rPr>
          <w:fldChar w:fldCharType="separate"/>
        </w:r>
        <w:r w:rsidR="00AA3082">
          <w:rPr>
            <w:noProof/>
            <w:webHidden/>
          </w:rPr>
          <w:t>25</w:t>
        </w:r>
        <w:r w:rsidR="00AA3082">
          <w:rPr>
            <w:noProof/>
            <w:webHidden/>
          </w:rPr>
          <w:fldChar w:fldCharType="end"/>
        </w:r>
      </w:hyperlink>
    </w:p>
    <w:p w14:paraId="3FD81039" w14:textId="28ED8952" w:rsidR="00AA3082" w:rsidRDefault="00A65A8D">
      <w:pPr>
        <w:pStyle w:val="Iliustracijsraas"/>
        <w:tabs>
          <w:tab w:val="right" w:leader="dot" w:pos="9016"/>
        </w:tabs>
        <w:rPr>
          <w:rFonts w:eastAsiaTheme="minorEastAsia" w:cs="Arial Unicode MS"/>
          <w:noProof/>
          <w:lang w:bidi="lo-LA"/>
        </w:rPr>
      </w:pPr>
      <w:hyperlink w:anchor="_Toc460321584" w:history="1">
        <w:r w:rsidR="00AA3082" w:rsidRPr="003D7275">
          <w:rPr>
            <w:rStyle w:val="Hipersaitas"/>
            <w:noProof/>
            <w:lang w:val="lt-LT"/>
          </w:rPr>
          <w:t xml:space="preserve">Lentelė 3. </w:t>
        </w:r>
        <w:r w:rsidR="00AA3082" w:rsidRPr="003D7275">
          <w:rPr>
            <w:rStyle w:val="Hipersaitas"/>
            <w:rFonts w:cs="Georgia"/>
            <w:noProof/>
            <w:lang w:val="lt-LT"/>
          </w:rPr>
          <w:t>2007-2013 m. periodu įgyvendintų finansinių priemonių tipai ir skaičius.</w:t>
        </w:r>
        <w:r w:rsidR="00AA3082">
          <w:rPr>
            <w:noProof/>
            <w:webHidden/>
          </w:rPr>
          <w:tab/>
        </w:r>
        <w:r w:rsidR="00AA3082">
          <w:rPr>
            <w:noProof/>
            <w:webHidden/>
          </w:rPr>
          <w:fldChar w:fldCharType="begin"/>
        </w:r>
        <w:r w:rsidR="00AA3082">
          <w:rPr>
            <w:noProof/>
            <w:webHidden/>
          </w:rPr>
          <w:instrText xml:space="preserve"> PAGEREF _Toc460321584 \h </w:instrText>
        </w:r>
        <w:r w:rsidR="00AA3082">
          <w:rPr>
            <w:noProof/>
            <w:webHidden/>
          </w:rPr>
        </w:r>
        <w:r w:rsidR="00AA3082">
          <w:rPr>
            <w:noProof/>
            <w:webHidden/>
          </w:rPr>
          <w:fldChar w:fldCharType="separate"/>
        </w:r>
        <w:r w:rsidR="00AA3082">
          <w:rPr>
            <w:noProof/>
            <w:webHidden/>
          </w:rPr>
          <w:t>26</w:t>
        </w:r>
        <w:r w:rsidR="00AA3082">
          <w:rPr>
            <w:noProof/>
            <w:webHidden/>
          </w:rPr>
          <w:fldChar w:fldCharType="end"/>
        </w:r>
      </w:hyperlink>
    </w:p>
    <w:p w14:paraId="5EF33046" w14:textId="5FE464DD" w:rsidR="00AA3082" w:rsidRDefault="00A65A8D">
      <w:pPr>
        <w:pStyle w:val="Iliustracijsraas"/>
        <w:tabs>
          <w:tab w:val="right" w:leader="dot" w:pos="9016"/>
        </w:tabs>
        <w:rPr>
          <w:rFonts w:eastAsiaTheme="minorEastAsia" w:cs="Arial Unicode MS"/>
          <w:noProof/>
          <w:lang w:bidi="lo-LA"/>
        </w:rPr>
      </w:pPr>
      <w:hyperlink w:anchor="_Toc460321585" w:history="1">
        <w:r w:rsidR="00AA3082" w:rsidRPr="003D7275">
          <w:rPr>
            <w:rStyle w:val="Hipersaitas"/>
            <w:noProof/>
            <w:lang w:val="lt-LT"/>
          </w:rPr>
          <w:t xml:space="preserve">Lentelė 4. </w:t>
        </w:r>
        <w:r w:rsidR="00AA3082" w:rsidRPr="003D7275">
          <w:rPr>
            <w:rStyle w:val="Hipersaitas"/>
            <w:rFonts w:cs="Georgia"/>
            <w:noProof/>
            <w:lang w:val="lt-LT"/>
          </w:rPr>
          <w:t>2007–2013 m. ir 2014–2020 m. periodų finansinių priemonių panaudojimo skirtumai.</w:t>
        </w:r>
        <w:r w:rsidR="00AA3082">
          <w:rPr>
            <w:noProof/>
            <w:webHidden/>
          </w:rPr>
          <w:tab/>
        </w:r>
        <w:r w:rsidR="00AA3082">
          <w:rPr>
            <w:noProof/>
            <w:webHidden/>
          </w:rPr>
          <w:fldChar w:fldCharType="begin"/>
        </w:r>
        <w:r w:rsidR="00AA3082">
          <w:rPr>
            <w:noProof/>
            <w:webHidden/>
          </w:rPr>
          <w:instrText xml:space="preserve"> PAGEREF _Toc460321585 \h </w:instrText>
        </w:r>
        <w:r w:rsidR="00AA3082">
          <w:rPr>
            <w:noProof/>
            <w:webHidden/>
          </w:rPr>
        </w:r>
        <w:r w:rsidR="00AA3082">
          <w:rPr>
            <w:noProof/>
            <w:webHidden/>
          </w:rPr>
          <w:fldChar w:fldCharType="separate"/>
        </w:r>
        <w:r w:rsidR="00AA3082">
          <w:rPr>
            <w:noProof/>
            <w:webHidden/>
          </w:rPr>
          <w:t>27</w:t>
        </w:r>
        <w:r w:rsidR="00AA3082">
          <w:rPr>
            <w:noProof/>
            <w:webHidden/>
          </w:rPr>
          <w:fldChar w:fldCharType="end"/>
        </w:r>
      </w:hyperlink>
    </w:p>
    <w:p w14:paraId="328FD7E7" w14:textId="01DB1D79" w:rsidR="00AA3082" w:rsidRDefault="00A65A8D">
      <w:pPr>
        <w:pStyle w:val="Iliustracijsraas"/>
        <w:tabs>
          <w:tab w:val="right" w:leader="dot" w:pos="9016"/>
        </w:tabs>
        <w:rPr>
          <w:rFonts w:eastAsiaTheme="minorEastAsia" w:cs="Arial Unicode MS"/>
          <w:noProof/>
          <w:lang w:bidi="lo-LA"/>
        </w:rPr>
      </w:pPr>
      <w:hyperlink w:anchor="_Toc460321586" w:history="1">
        <w:r w:rsidR="00AA3082" w:rsidRPr="003D7275">
          <w:rPr>
            <w:rStyle w:val="Hipersaitas"/>
            <w:noProof/>
            <w:lang w:val="lt-LT"/>
          </w:rPr>
          <w:t>Lentelė 5. Viešųjų pastatų skaičius ir tipai, 2014 m. sausio 1 d.</w:t>
        </w:r>
        <w:r w:rsidR="00AA3082">
          <w:rPr>
            <w:noProof/>
            <w:webHidden/>
          </w:rPr>
          <w:tab/>
        </w:r>
        <w:r w:rsidR="00AA3082">
          <w:rPr>
            <w:noProof/>
            <w:webHidden/>
          </w:rPr>
          <w:fldChar w:fldCharType="begin"/>
        </w:r>
        <w:r w:rsidR="00AA3082">
          <w:rPr>
            <w:noProof/>
            <w:webHidden/>
          </w:rPr>
          <w:instrText xml:space="preserve"> PAGEREF _Toc460321586 \h </w:instrText>
        </w:r>
        <w:r w:rsidR="00AA3082">
          <w:rPr>
            <w:noProof/>
            <w:webHidden/>
          </w:rPr>
        </w:r>
        <w:r w:rsidR="00AA3082">
          <w:rPr>
            <w:noProof/>
            <w:webHidden/>
          </w:rPr>
          <w:fldChar w:fldCharType="separate"/>
        </w:r>
        <w:r w:rsidR="00AA3082">
          <w:rPr>
            <w:noProof/>
            <w:webHidden/>
          </w:rPr>
          <w:t>34</w:t>
        </w:r>
        <w:r w:rsidR="00AA3082">
          <w:rPr>
            <w:noProof/>
            <w:webHidden/>
          </w:rPr>
          <w:fldChar w:fldCharType="end"/>
        </w:r>
      </w:hyperlink>
    </w:p>
    <w:p w14:paraId="535A9707" w14:textId="46DE9718" w:rsidR="00AA3082" w:rsidRDefault="00A65A8D">
      <w:pPr>
        <w:pStyle w:val="Iliustracijsraas"/>
        <w:tabs>
          <w:tab w:val="right" w:leader="dot" w:pos="9016"/>
        </w:tabs>
        <w:rPr>
          <w:rFonts w:eastAsiaTheme="minorEastAsia" w:cs="Arial Unicode MS"/>
          <w:noProof/>
          <w:lang w:bidi="lo-LA"/>
        </w:rPr>
      </w:pPr>
      <w:hyperlink w:anchor="_Toc460321587" w:history="1">
        <w:r w:rsidR="00AA3082" w:rsidRPr="003D7275">
          <w:rPr>
            <w:rStyle w:val="Hipersaitas"/>
            <w:noProof/>
            <w:lang w:val="lt-LT"/>
          </w:rPr>
          <w:t xml:space="preserve">Lentelė 6. </w:t>
        </w:r>
        <w:r w:rsidR="00AA3082" w:rsidRPr="003D7275">
          <w:rPr>
            <w:rStyle w:val="Hipersaitas"/>
            <w:rFonts w:cs="Georgia"/>
            <w:noProof/>
            <w:lang w:val="lt-LT"/>
          </w:rPr>
          <w:t>Viešosios paskirties pastatų pasiskirstymas pagal statybos metus.</w:t>
        </w:r>
        <w:r w:rsidR="00AA3082">
          <w:rPr>
            <w:noProof/>
            <w:webHidden/>
          </w:rPr>
          <w:tab/>
        </w:r>
        <w:r w:rsidR="00AA3082">
          <w:rPr>
            <w:noProof/>
            <w:webHidden/>
          </w:rPr>
          <w:fldChar w:fldCharType="begin"/>
        </w:r>
        <w:r w:rsidR="00AA3082">
          <w:rPr>
            <w:noProof/>
            <w:webHidden/>
          </w:rPr>
          <w:instrText xml:space="preserve"> PAGEREF _Toc460321587 \h </w:instrText>
        </w:r>
        <w:r w:rsidR="00AA3082">
          <w:rPr>
            <w:noProof/>
            <w:webHidden/>
          </w:rPr>
        </w:r>
        <w:r w:rsidR="00AA3082">
          <w:rPr>
            <w:noProof/>
            <w:webHidden/>
          </w:rPr>
          <w:fldChar w:fldCharType="separate"/>
        </w:r>
        <w:r w:rsidR="00AA3082">
          <w:rPr>
            <w:noProof/>
            <w:webHidden/>
          </w:rPr>
          <w:t>34</w:t>
        </w:r>
        <w:r w:rsidR="00AA3082">
          <w:rPr>
            <w:noProof/>
            <w:webHidden/>
          </w:rPr>
          <w:fldChar w:fldCharType="end"/>
        </w:r>
      </w:hyperlink>
    </w:p>
    <w:p w14:paraId="5560C6C7" w14:textId="481919FB" w:rsidR="00AA3082" w:rsidRDefault="00A65A8D">
      <w:pPr>
        <w:pStyle w:val="Iliustracijsraas"/>
        <w:tabs>
          <w:tab w:val="right" w:leader="dot" w:pos="9016"/>
        </w:tabs>
        <w:rPr>
          <w:rFonts w:eastAsiaTheme="minorEastAsia" w:cs="Arial Unicode MS"/>
          <w:noProof/>
          <w:lang w:bidi="lo-LA"/>
        </w:rPr>
      </w:pPr>
      <w:hyperlink w:anchor="_Toc460321588" w:history="1">
        <w:r w:rsidR="00AA3082" w:rsidRPr="003D7275">
          <w:rPr>
            <w:rStyle w:val="Hipersaitas"/>
            <w:noProof/>
            <w:lang w:val="lt-LT"/>
          </w:rPr>
          <w:t xml:space="preserve">Lentelė 7. </w:t>
        </w:r>
        <w:r w:rsidR="00AA3082" w:rsidRPr="003D7275">
          <w:rPr>
            <w:rStyle w:val="Hipersaitas"/>
            <w:rFonts w:cs="Georgia"/>
            <w:noProof/>
            <w:lang w:val="lt-LT"/>
          </w:rPr>
          <w:t>Viešųjų pastatų teritorinis pasiskirstymas.</w:t>
        </w:r>
        <w:r w:rsidR="00AA3082">
          <w:rPr>
            <w:noProof/>
            <w:webHidden/>
          </w:rPr>
          <w:tab/>
        </w:r>
        <w:r w:rsidR="00AA3082">
          <w:rPr>
            <w:noProof/>
            <w:webHidden/>
          </w:rPr>
          <w:fldChar w:fldCharType="begin"/>
        </w:r>
        <w:r w:rsidR="00AA3082">
          <w:rPr>
            <w:noProof/>
            <w:webHidden/>
          </w:rPr>
          <w:instrText xml:space="preserve"> PAGEREF _Toc460321588 \h </w:instrText>
        </w:r>
        <w:r w:rsidR="00AA3082">
          <w:rPr>
            <w:noProof/>
            <w:webHidden/>
          </w:rPr>
        </w:r>
        <w:r w:rsidR="00AA3082">
          <w:rPr>
            <w:noProof/>
            <w:webHidden/>
          </w:rPr>
          <w:fldChar w:fldCharType="separate"/>
        </w:r>
        <w:r w:rsidR="00AA3082">
          <w:rPr>
            <w:noProof/>
            <w:webHidden/>
          </w:rPr>
          <w:t>35</w:t>
        </w:r>
        <w:r w:rsidR="00AA3082">
          <w:rPr>
            <w:noProof/>
            <w:webHidden/>
          </w:rPr>
          <w:fldChar w:fldCharType="end"/>
        </w:r>
      </w:hyperlink>
    </w:p>
    <w:p w14:paraId="7CB694F5" w14:textId="25A0739C" w:rsidR="00AA3082" w:rsidRDefault="00A65A8D">
      <w:pPr>
        <w:pStyle w:val="Iliustracijsraas"/>
        <w:tabs>
          <w:tab w:val="right" w:leader="dot" w:pos="9016"/>
        </w:tabs>
        <w:rPr>
          <w:rFonts w:eastAsiaTheme="minorEastAsia" w:cs="Arial Unicode MS"/>
          <w:noProof/>
          <w:lang w:bidi="lo-LA"/>
        </w:rPr>
      </w:pPr>
      <w:hyperlink w:anchor="_Toc460321589" w:history="1">
        <w:r w:rsidR="00AA3082" w:rsidRPr="003D7275">
          <w:rPr>
            <w:rStyle w:val="Hipersaitas"/>
            <w:noProof/>
            <w:lang w:val="lt-LT"/>
          </w:rPr>
          <w:t xml:space="preserve">Lentelė 8. </w:t>
        </w:r>
        <w:r w:rsidR="00AA3082" w:rsidRPr="003D7275">
          <w:rPr>
            <w:rStyle w:val="Hipersaitas"/>
            <w:rFonts w:cs="Georgia"/>
            <w:noProof/>
            <w:lang w:val="lt-LT"/>
          </w:rPr>
          <w:t>Daugiabučiai namai pagal statybos metus, 2010 metų pr. duomenys.</w:t>
        </w:r>
        <w:r w:rsidR="00AA3082">
          <w:rPr>
            <w:noProof/>
            <w:webHidden/>
          </w:rPr>
          <w:tab/>
        </w:r>
        <w:r w:rsidR="00AA3082">
          <w:rPr>
            <w:noProof/>
            <w:webHidden/>
          </w:rPr>
          <w:fldChar w:fldCharType="begin"/>
        </w:r>
        <w:r w:rsidR="00AA3082">
          <w:rPr>
            <w:noProof/>
            <w:webHidden/>
          </w:rPr>
          <w:instrText xml:space="preserve"> PAGEREF _Toc460321589 \h </w:instrText>
        </w:r>
        <w:r w:rsidR="00AA3082">
          <w:rPr>
            <w:noProof/>
            <w:webHidden/>
          </w:rPr>
        </w:r>
        <w:r w:rsidR="00AA3082">
          <w:rPr>
            <w:noProof/>
            <w:webHidden/>
          </w:rPr>
          <w:fldChar w:fldCharType="separate"/>
        </w:r>
        <w:r w:rsidR="00AA3082">
          <w:rPr>
            <w:noProof/>
            <w:webHidden/>
          </w:rPr>
          <w:t>36</w:t>
        </w:r>
        <w:r w:rsidR="00AA3082">
          <w:rPr>
            <w:noProof/>
            <w:webHidden/>
          </w:rPr>
          <w:fldChar w:fldCharType="end"/>
        </w:r>
      </w:hyperlink>
    </w:p>
    <w:p w14:paraId="037D84F3" w14:textId="6349D537" w:rsidR="00AA3082" w:rsidRDefault="00A65A8D">
      <w:pPr>
        <w:pStyle w:val="Iliustracijsraas"/>
        <w:tabs>
          <w:tab w:val="right" w:leader="dot" w:pos="9016"/>
        </w:tabs>
        <w:rPr>
          <w:rFonts w:eastAsiaTheme="minorEastAsia" w:cs="Arial Unicode MS"/>
          <w:noProof/>
          <w:lang w:bidi="lo-LA"/>
        </w:rPr>
      </w:pPr>
      <w:hyperlink w:anchor="_Toc460321590" w:history="1">
        <w:r w:rsidR="00AA3082" w:rsidRPr="003D7275">
          <w:rPr>
            <w:rStyle w:val="Hipersaitas"/>
            <w:noProof/>
            <w:lang w:val="lt-LT"/>
          </w:rPr>
          <w:t>Lentelė 9. G</w:t>
        </w:r>
        <w:r w:rsidR="00AA3082" w:rsidRPr="003D7275">
          <w:rPr>
            <w:rStyle w:val="Hipersaitas"/>
            <w:rFonts w:cs="Georgia"/>
            <w:noProof/>
            <w:lang w:val="lt-LT"/>
          </w:rPr>
          <w:t>yvenamųjų ir viešosios paskirties pastatų sutaupymo laiko grafikas 2015-2020 m. periodu.</w:t>
        </w:r>
        <w:r w:rsidR="00AA3082">
          <w:rPr>
            <w:noProof/>
            <w:webHidden/>
          </w:rPr>
          <w:tab/>
        </w:r>
        <w:r w:rsidR="00AA3082">
          <w:rPr>
            <w:noProof/>
            <w:webHidden/>
          </w:rPr>
          <w:fldChar w:fldCharType="begin"/>
        </w:r>
        <w:r w:rsidR="00AA3082">
          <w:rPr>
            <w:noProof/>
            <w:webHidden/>
          </w:rPr>
          <w:instrText xml:space="preserve"> PAGEREF _Toc460321590 \h </w:instrText>
        </w:r>
        <w:r w:rsidR="00AA3082">
          <w:rPr>
            <w:noProof/>
            <w:webHidden/>
          </w:rPr>
        </w:r>
        <w:r w:rsidR="00AA3082">
          <w:rPr>
            <w:noProof/>
            <w:webHidden/>
          </w:rPr>
          <w:fldChar w:fldCharType="separate"/>
        </w:r>
        <w:r w:rsidR="00AA3082">
          <w:rPr>
            <w:noProof/>
            <w:webHidden/>
          </w:rPr>
          <w:t>38</w:t>
        </w:r>
        <w:r w:rsidR="00AA3082">
          <w:rPr>
            <w:noProof/>
            <w:webHidden/>
          </w:rPr>
          <w:fldChar w:fldCharType="end"/>
        </w:r>
      </w:hyperlink>
    </w:p>
    <w:p w14:paraId="01622131" w14:textId="268CC6E8" w:rsidR="00AA3082" w:rsidRDefault="00A65A8D">
      <w:pPr>
        <w:pStyle w:val="Iliustracijsraas"/>
        <w:tabs>
          <w:tab w:val="right" w:leader="dot" w:pos="9016"/>
        </w:tabs>
        <w:rPr>
          <w:rFonts w:eastAsiaTheme="minorEastAsia" w:cs="Arial Unicode MS"/>
          <w:noProof/>
          <w:lang w:bidi="lo-LA"/>
        </w:rPr>
      </w:pPr>
      <w:hyperlink w:anchor="_Toc460321591" w:history="1">
        <w:r w:rsidR="00AA3082" w:rsidRPr="003D7275">
          <w:rPr>
            <w:rStyle w:val="Hipersaitas"/>
            <w:noProof/>
            <w:lang w:val="lt-LT"/>
          </w:rPr>
          <w:t>Lentelė 10. Viešųjų pastatų p</w:t>
        </w:r>
        <w:r w:rsidR="00AA3082" w:rsidRPr="003D7275">
          <w:rPr>
            <w:rStyle w:val="Hipersaitas"/>
            <w:rFonts w:cs="Georgia"/>
            <w:noProof/>
            <w:lang w:val="lt-LT"/>
          </w:rPr>
          <w:t>aklausos skaičiavimo prielaidos ir paklausos rodiklių skaičiavimas, kai viešųjų pastatų renovacijos plotas paskaičiuojamas proporcingai (skaičiuojant faktinių dydžių metodu)</w:t>
        </w:r>
        <w:r w:rsidR="00AA3082">
          <w:rPr>
            <w:noProof/>
            <w:webHidden/>
          </w:rPr>
          <w:tab/>
        </w:r>
        <w:r w:rsidR="00AA3082">
          <w:rPr>
            <w:noProof/>
            <w:webHidden/>
          </w:rPr>
          <w:fldChar w:fldCharType="begin"/>
        </w:r>
        <w:r w:rsidR="00AA3082">
          <w:rPr>
            <w:noProof/>
            <w:webHidden/>
          </w:rPr>
          <w:instrText xml:space="preserve"> PAGEREF _Toc460321591 \h </w:instrText>
        </w:r>
        <w:r w:rsidR="00AA3082">
          <w:rPr>
            <w:noProof/>
            <w:webHidden/>
          </w:rPr>
        </w:r>
        <w:r w:rsidR="00AA3082">
          <w:rPr>
            <w:noProof/>
            <w:webHidden/>
          </w:rPr>
          <w:fldChar w:fldCharType="separate"/>
        </w:r>
        <w:r w:rsidR="00AA3082">
          <w:rPr>
            <w:noProof/>
            <w:webHidden/>
          </w:rPr>
          <w:t>40</w:t>
        </w:r>
        <w:r w:rsidR="00AA3082">
          <w:rPr>
            <w:noProof/>
            <w:webHidden/>
          </w:rPr>
          <w:fldChar w:fldCharType="end"/>
        </w:r>
      </w:hyperlink>
    </w:p>
    <w:p w14:paraId="2CA01025" w14:textId="622E4B13" w:rsidR="00AA3082" w:rsidRDefault="00A65A8D">
      <w:pPr>
        <w:pStyle w:val="Iliustracijsraas"/>
        <w:tabs>
          <w:tab w:val="right" w:leader="dot" w:pos="9016"/>
        </w:tabs>
        <w:rPr>
          <w:rFonts w:eastAsiaTheme="minorEastAsia" w:cs="Arial Unicode MS"/>
          <w:noProof/>
          <w:lang w:bidi="lo-LA"/>
        </w:rPr>
      </w:pPr>
      <w:hyperlink w:anchor="_Toc460321592" w:history="1">
        <w:r w:rsidR="00AA3082" w:rsidRPr="003D7275">
          <w:rPr>
            <w:rStyle w:val="Hipersaitas"/>
            <w:noProof/>
            <w:lang w:val="lt-LT"/>
          </w:rPr>
          <w:t>Lentelė 11. Viešųjų pastatų p</w:t>
        </w:r>
        <w:r w:rsidR="00AA3082" w:rsidRPr="003D7275">
          <w:rPr>
            <w:rStyle w:val="Hipersaitas"/>
            <w:rFonts w:cs="Georgia"/>
            <w:noProof/>
            <w:lang w:val="lt-LT"/>
          </w:rPr>
          <w:t>aklausos skaičiavimo prielaidos ir paklausos rodiklių skaičiavimas, kai centrinės valdžios renovuojamų pastatų kiekis atitinka (neviršija) Energijos efektyvumo direktyvos įsipareigojimus (skaičiuojant faktinių dydžių metodu)</w:t>
        </w:r>
        <w:r w:rsidR="00AA3082">
          <w:rPr>
            <w:noProof/>
            <w:webHidden/>
          </w:rPr>
          <w:tab/>
        </w:r>
        <w:r w:rsidR="00AA3082">
          <w:rPr>
            <w:noProof/>
            <w:webHidden/>
          </w:rPr>
          <w:fldChar w:fldCharType="begin"/>
        </w:r>
        <w:r w:rsidR="00AA3082">
          <w:rPr>
            <w:noProof/>
            <w:webHidden/>
          </w:rPr>
          <w:instrText xml:space="preserve"> PAGEREF _Toc460321592 \h </w:instrText>
        </w:r>
        <w:r w:rsidR="00AA3082">
          <w:rPr>
            <w:noProof/>
            <w:webHidden/>
          </w:rPr>
        </w:r>
        <w:r w:rsidR="00AA3082">
          <w:rPr>
            <w:noProof/>
            <w:webHidden/>
          </w:rPr>
          <w:fldChar w:fldCharType="separate"/>
        </w:r>
        <w:r w:rsidR="00AA3082">
          <w:rPr>
            <w:noProof/>
            <w:webHidden/>
          </w:rPr>
          <w:t>41</w:t>
        </w:r>
        <w:r w:rsidR="00AA3082">
          <w:rPr>
            <w:noProof/>
            <w:webHidden/>
          </w:rPr>
          <w:fldChar w:fldCharType="end"/>
        </w:r>
      </w:hyperlink>
    </w:p>
    <w:p w14:paraId="13982FE4" w14:textId="78A3FED1" w:rsidR="00AA3082" w:rsidRDefault="00A65A8D">
      <w:pPr>
        <w:pStyle w:val="Iliustracijsraas"/>
        <w:tabs>
          <w:tab w:val="right" w:leader="dot" w:pos="9016"/>
        </w:tabs>
        <w:rPr>
          <w:rFonts w:eastAsiaTheme="minorEastAsia" w:cs="Arial Unicode MS"/>
          <w:noProof/>
          <w:lang w:bidi="lo-LA"/>
        </w:rPr>
      </w:pPr>
      <w:hyperlink w:anchor="_Toc460321593" w:history="1">
        <w:r w:rsidR="00AA3082" w:rsidRPr="003D7275">
          <w:rPr>
            <w:rStyle w:val="Hipersaitas"/>
            <w:noProof/>
            <w:lang w:val="lt-LT"/>
          </w:rPr>
          <w:t>Lentelė 12. Viešųjų pastatų p</w:t>
        </w:r>
        <w:r w:rsidR="00AA3082" w:rsidRPr="003D7275">
          <w:rPr>
            <w:rStyle w:val="Hipersaitas"/>
            <w:rFonts w:cs="Georgia"/>
            <w:noProof/>
            <w:lang w:val="lt-LT"/>
          </w:rPr>
          <w:t>aklausos skaičiavimo prielaidos ir paklausos rodiklių skaičiavimas, kai viešųjų pastatų renovacijos plotas paskaičiuojamas proporcingai (skaičiuojant skaičiuotinų dydžių metodu)</w:t>
        </w:r>
        <w:r w:rsidR="00AA3082">
          <w:rPr>
            <w:noProof/>
            <w:webHidden/>
          </w:rPr>
          <w:tab/>
        </w:r>
        <w:r w:rsidR="00AA3082">
          <w:rPr>
            <w:noProof/>
            <w:webHidden/>
          </w:rPr>
          <w:fldChar w:fldCharType="begin"/>
        </w:r>
        <w:r w:rsidR="00AA3082">
          <w:rPr>
            <w:noProof/>
            <w:webHidden/>
          </w:rPr>
          <w:instrText xml:space="preserve"> PAGEREF _Toc460321593 \h </w:instrText>
        </w:r>
        <w:r w:rsidR="00AA3082">
          <w:rPr>
            <w:noProof/>
            <w:webHidden/>
          </w:rPr>
        </w:r>
        <w:r w:rsidR="00AA3082">
          <w:rPr>
            <w:noProof/>
            <w:webHidden/>
          </w:rPr>
          <w:fldChar w:fldCharType="separate"/>
        </w:r>
        <w:r w:rsidR="00AA3082">
          <w:rPr>
            <w:noProof/>
            <w:webHidden/>
          </w:rPr>
          <w:t>42</w:t>
        </w:r>
        <w:r w:rsidR="00AA3082">
          <w:rPr>
            <w:noProof/>
            <w:webHidden/>
          </w:rPr>
          <w:fldChar w:fldCharType="end"/>
        </w:r>
      </w:hyperlink>
    </w:p>
    <w:p w14:paraId="5071F1A4" w14:textId="11FE00BC" w:rsidR="00AA3082" w:rsidRDefault="00A65A8D">
      <w:pPr>
        <w:pStyle w:val="Iliustracijsraas"/>
        <w:tabs>
          <w:tab w:val="right" w:leader="dot" w:pos="9016"/>
        </w:tabs>
        <w:rPr>
          <w:rFonts w:eastAsiaTheme="minorEastAsia" w:cs="Arial Unicode MS"/>
          <w:noProof/>
          <w:lang w:bidi="lo-LA"/>
        </w:rPr>
      </w:pPr>
      <w:hyperlink w:anchor="_Toc460321594" w:history="1">
        <w:r w:rsidR="00AA3082" w:rsidRPr="003D7275">
          <w:rPr>
            <w:rStyle w:val="Hipersaitas"/>
            <w:noProof/>
            <w:lang w:val="lt-LT"/>
          </w:rPr>
          <w:t>Lentelė 13. Viešųjų pastatų p</w:t>
        </w:r>
        <w:r w:rsidR="00AA3082" w:rsidRPr="003D7275">
          <w:rPr>
            <w:rStyle w:val="Hipersaitas"/>
            <w:rFonts w:cs="Georgia"/>
            <w:noProof/>
            <w:lang w:val="lt-LT"/>
          </w:rPr>
          <w:t>aklausos skaičiavimo prielaidos ir paklausos rodiklių skaičiavimas, kai centrinės valdžios renovuojamų pastatų kiekis atitinka (neviršija) Energijos efektyvumo direktyvos įsipareigojimus (skaičiuojant skaičiuotinų dydžių metodu)</w:t>
        </w:r>
        <w:r w:rsidR="00AA3082">
          <w:rPr>
            <w:noProof/>
            <w:webHidden/>
          </w:rPr>
          <w:tab/>
        </w:r>
        <w:r w:rsidR="00AA3082">
          <w:rPr>
            <w:noProof/>
            <w:webHidden/>
          </w:rPr>
          <w:fldChar w:fldCharType="begin"/>
        </w:r>
        <w:r w:rsidR="00AA3082">
          <w:rPr>
            <w:noProof/>
            <w:webHidden/>
          </w:rPr>
          <w:instrText xml:space="preserve"> PAGEREF _Toc460321594 \h </w:instrText>
        </w:r>
        <w:r w:rsidR="00AA3082">
          <w:rPr>
            <w:noProof/>
            <w:webHidden/>
          </w:rPr>
        </w:r>
        <w:r w:rsidR="00AA3082">
          <w:rPr>
            <w:noProof/>
            <w:webHidden/>
          </w:rPr>
          <w:fldChar w:fldCharType="separate"/>
        </w:r>
        <w:r w:rsidR="00AA3082">
          <w:rPr>
            <w:noProof/>
            <w:webHidden/>
          </w:rPr>
          <w:t>43</w:t>
        </w:r>
        <w:r w:rsidR="00AA3082">
          <w:rPr>
            <w:noProof/>
            <w:webHidden/>
          </w:rPr>
          <w:fldChar w:fldCharType="end"/>
        </w:r>
      </w:hyperlink>
    </w:p>
    <w:p w14:paraId="3E4FFE6D" w14:textId="42C31048" w:rsidR="00AA3082" w:rsidRDefault="00A65A8D">
      <w:pPr>
        <w:pStyle w:val="Iliustracijsraas"/>
        <w:tabs>
          <w:tab w:val="right" w:leader="dot" w:pos="9016"/>
        </w:tabs>
        <w:rPr>
          <w:rFonts w:eastAsiaTheme="minorEastAsia" w:cs="Arial Unicode MS"/>
          <w:noProof/>
          <w:lang w:bidi="lo-LA"/>
        </w:rPr>
      </w:pPr>
      <w:hyperlink w:anchor="_Toc460321595" w:history="1">
        <w:r w:rsidR="00AA3082" w:rsidRPr="003D7275">
          <w:rPr>
            <w:rStyle w:val="Hipersaitas"/>
            <w:noProof/>
            <w:lang w:val="lt-LT"/>
          </w:rPr>
          <w:t>Lentelė 14. Daugiabučių pastatų p</w:t>
        </w:r>
        <w:r w:rsidR="00AA3082" w:rsidRPr="003D7275">
          <w:rPr>
            <w:rStyle w:val="Hipersaitas"/>
            <w:rFonts w:cs="Georgia"/>
            <w:noProof/>
            <w:lang w:val="lt-LT"/>
          </w:rPr>
          <w:t>aklausos skaičiavimo prielaidos ir paklausos rodiklių skaičiavimas (skaičiuojant faktinių dydžių metodu)</w:t>
        </w:r>
        <w:r w:rsidR="00AA3082">
          <w:rPr>
            <w:noProof/>
            <w:webHidden/>
          </w:rPr>
          <w:tab/>
        </w:r>
        <w:r w:rsidR="00AA3082">
          <w:rPr>
            <w:noProof/>
            <w:webHidden/>
          </w:rPr>
          <w:fldChar w:fldCharType="begin"/>
        </w:r>
        <w:r w:rsidR="00AA3082">
          <w:rPr>
            <w:noProof/>
            <w:webHidden/>
          </w:rPr>
          <w:instrText xml:space="preserve"> PAGEREF _Toc460321595 \h </w:instrText>
        </w:r>
        <w:r w:rsidR="00AA3082">
          <w:rPr>
            <w:noProof/>
            <w:webHidden/>
          </w:rPr>
        </w:r>
        <w:r w:rsidR="00AA3082">
          <w:rPr>
            <w:noProof/>
            <w:webHidden/>
          </w:rPr>
          <w:fldChar w:fldCharType="separate"/>
        </w:r>
        <w:r w:rsidR="00AA3082">
          <w:rPr>
            <w:noProof/>
            <w:webHidden/>
          </w:rPr>
          <w:t>46</w:t>
        </w:r>
        <w:r w:rsidR="00AA3082">
          <w:rPr>
            <w:noProof/>
            <w:webHidden/>
          </w:rPr>
          <w:fldChar w:fldCharType="end"/>
        </w:r>
      </w:hyperlink>
    </w:p>
    <w:p w14:paraId="1DE075AA" w14:textId="687BEBE5" w:rsidR="00AA3082" w:rsidRDefault="00A65A8D">
      <w:pPr>
        <w:pStyle w:val="Iliustracijsraas"/>
        <w:tabs>
          <w:tab w:val="right" w:leader="dot" w:pos="9016"/>
        </w:tabs>
        <w:rPr>
          <w:rFonts w:eastAsiaTheme="minorEastAsia" w:cs="Arial Unicode MS"/>
          <w:noProof/>
          <w:lang w:bidi="lo-LA"/>
        </w:rPr>
      </w:pPr>
      <w:hyperlink w:anchor="_Toc460321596" w:history="1">
        <w:r w:rsidR="00AA3082" w:rsidRPr="003D7275">
          <w:rPr>
            <w:rStyle w:val="Hipersaitas"/>
            <w:noProof/>
            <w:lang w:val="lt-LT"/>
          </w:rPr>
          <w:t>Lentelė 15. Daugiabučių pastatų p</w:t>
        </w:r>
        <w:r w:rsidR="00AA3082" w:rsidRPr="003D7275">
          <w:rPr>
            <w:rStyle w:val="Hipersaitas"/>
            <w:rFonts w:cs="Georgia"/>
            <w:noProof/>
            <w:lang w:val="lt-LT"/>
          </w:rPr>
          <w:t>aklausos skaičiavimo prielaidos ir paklausos rodiklių skaičiavimas (skaičiuojant skaičiuotinų dydžių metodu)</w:t>
        </w:r>
        <w:r w:rsidR="00AA3082">
          <w:rPr>
            <w:noProof/>
            <w:webHidden/>
          </w:rPr>
          <w:tab/>
        </w:r>
        <w:r w:rsidR="00AA3082">
          <w:rPr>
            <w:noProof/>
            <w:webHidden/>
          </w:rPr>
          <w:fldChar w:fldCharType="begin"/>
        </w:r>
        <w:r w:rsidR="00AA3082">
          <w:rPr>
            <w:noProof/>
            <w:webHidden/>
          </w:rPr>
          <w:instrText xml:space="preserve"> PAGEREF _Toc460321596 \h </w:instrText>
        </w:r>
        <w:r w:rsidR="00AA3082">
          <w:rPr>
            <w:noProof/>
            <w:webHidden/>
          </w:rPr>
        </w:r>
        <w:r w:rsidR="00AA3082">
          <w:rPr>
            <w:noProof/>
            <w:webHidden/>
          </w:rPr>
          <w:fldChar w:fldCharType="separate"/>
        </w:r>
        <w:r w:rsidR="00AA3082">
          <w:rPr>
            <w:noProof/>
            <w:webHidden/>
          </w:rPr>
          <w:t>47</w:t>
        </w:r>
        <w:r w:rsidR="00AA3082">
          <w:rPr>
            <w:noProof/>
            <w:webHidden/>
          </w:rPr>
          <w:fldChar w:fldCharType="end"/>
        </w:r>
      </w:hyperlink>
    </w:p>
    <w:p w14:paraId="470EBAF9" w14:textId="33A07549" w:rsidR="00AA3082" w:rsidRDefault="00A65A8D">
      <w:pPr>
        <w:pStyle w:val="Iliustracijsraas"/>
        <w:tabs>
          <w:tab w:val="right" w:leader="dot" w:pos="9016"/>
        </w:tabs>
        <w:rPr>
          <w:rFonts w:eastAsiaTheme="minorEastAsia" w:cs="Arial Unicode MS"/>
          <w:noProof/>
          <w:lang w:bidi="lo-LA"/>
        </w:rPr>
      </w:pPr>
      <w:hyperlink w:anchor="_Toc460321597" w:history="1">
        <w:r w:rsidR="00AA3082" w:rsidRPr="003D7275">
          <w:rPr>
            <w:rStyle w:val="Hipersaitas"/>
            <w:noProof/>
            <w:lang w:val="lt-LT"/>
          </w:rPr>
          <w:t>Lentelė 16. Gatvių apšvietimo tinklo modernizavimo p</w:t>
        </w:r>
        <w:r w:rsidR="00AA3082" w:rsidRPr="003D7275">
          <w:rPr>
            <w:rStyle w:val="Hipersaitas"/>
            <w:rFonts w:cs="Georgia"/>
            <w:noProof/>
            <w:lang w:val="lt-LT"/>
          </w:rPr>
          <w:t>aklausos skaičiavimo prielaidos ir paklausos rodiklių skaičiavimas (skaičiuojant skaičiuotinų dydžių metodu)</w:t>
        </w:r>
        <w:r w:rsidR="00AA3082">
          <w:rPr>
            <w:noProof/>
            <w:webHidden/>
          </w:rPr>
          <w:tab/>
        </w:r>
        <w:r w:rsidR="00AA3082">
          <w:rPr>
            <w:noProof/>
            <w:webHidden/>
          </w:rPr>
          <w:fldChar w:fldCharType="begin"/>
        </w:r>
        <w:r w:rsidR="00AA3082">
          <w:rPr>
            <w:noProof/>
            <w:webHidden/>
          </w:rPr>
          <w:instrText xml:space="preserve"> PAGEREF _Toc460321597 \h </w:instrText>
        </w:r>
        <w:r w:rsidR="00AA3082">
          <w:rPr>
            <w:noProof/>
            <w:webHidden/>
          </w:rPr>
        </w:r>
        <w:r w:rsidR="00AA3082">
          <w:rPr>
            <w:noProof/>
            <w:webHidden/>
          </w:rPr>
          <w:fldChar w:fldCharType="separate"/>
        </w:r>
        <w:r w:rsidR="00AA3082">
          <w:rPr>
            <w:noProof/>
            <w:webHidden/>
          </w:rPr>
          <w:t>48</w:t>
        </w:r>
        <w:r w:rsidR="00AA3082">
          <w:rPr>
            <w:noProof/>
            <w:webHidden/>
          </w:rPr>
          <w:fldChar w:fldCharType="end"/>
        </w:r>
      </w:hyperlink>
    </w:p>
    <w:p w14:paraId="1B27AF7C" w14:textId="600EB8A5" w:rsidR="00AA3082" w:rsidRDefault="00A65A8D">
      <w:pPr>
        <w:pStyle w:val="Iliustracijsraas"/>
        <w:tabs>
          <w:tab w:val="right" w:leader="dot" w:pos="9016"/>
        </w:tabs>
        <w:rPr>
          <w:rFonts w:eastAsiaTheme="minorEastAsia" w:cs="Arial Unicode MS"/>
          <w:noProof/>
          <w:lang w:bidi="lo-LA"/>
        </w:rPr>
      </w:pPr>
      <w:hyperlink w:anchor="_Toc460321598" w:history="1">
        <w:r w:rsidR="00AA3082" w:rsidRPr="003D7275">
          <w:rPr>
            <w:rStyle w:val="Hipersaitas"/>
            <w:noProof/>
            <w:lang w:val="lt-LT"/>
          </w:rPr>
          <w:t>Lentelė 17. Investicijų paklausos duomenys.</w:t>
        </w:r>
        <w:r w:rsidR="00AA3082">
          <w:rPr>
            <w:noProof/>
            <w:webHidden/>
          </w:rPr>
          <w:tab/>
        </w:r>
        <w:r w:rsidR="00AA3082">
          <w:rPr>
            <w:noProof/>
            <w:webHidden/>
          </w:rPr>
          <w:fldChar w:fldCharType="begin"/>
        </w:r>
        <w:r w:rsidR="00AA3082">
          <w:rPr>
            <w:noProof/>
            <w:webHidden/>
          </w:rPr>
          <w:instrText xml:space="preserve"> PAGEREF _Toc460321598 \h </w:instrText>
        </w:r>
        <w:r w:rsidR="00AA3082">
          <w:rPr>
            <w:noProof/>
            <w:webHidden/>
          </w:rPr>
        </w:r>
        <w:r w:rsidR="00AA3082">
          <w:rPr>
            <w:noProof/>
            <w:webHidden/>
          </w:rPr>
          <w:fldChar w:fldCharType="separate"/>
        </w:r>
        <w:r w:rsidR="00AA3082">
          <w:rPr>
            <w:noProof/>
            <w:webHidden/>
          </w:rPr>
          <w:t>49</w:t>
        </w:r>
        <w:r w:rsidR="00AA3082">
          <w:rPr>
            <w:noProof/>
            <w:webHidden/>
          </w:rPr>
          <w:fldChar w:fldCharType="end"/>
        </w:r>
      </w:hyperlink>
    </w:p>
    <w:p w14:paraId="5C83F765" w14:textId="671FD6E8" w:rsidR="00AA3082" w:rsidRDefault="00A65A8D">
      <w:pPr>
        <w:pStyle w:val="Iliustracijsraas"/>
        <w:tabs>
          <w:tab w:val="right" w:leader="dot" w:pos="9016"/>
        </w:tabs>
        <w:rPr>
          <w:rFonts w:eastAsiaTheme="minorEastAsia" w:cs="Arial Unicode MS"/>
          <w:noProof/>
          <w:lang w:bidi="lo-LA"/>
        </w:rPr>
      </w:pPr>
      <w:hyperlink w:anchor="_Toc460321599" w:history="1">
        <w:r w:rsidR="00AA3082" w:rsidRPr="003D7275">
          <w:rPr>
            <w:rStyle w:val="Hipersaitas"/>
            <w:noProof/>
            <w:lang w:val="lt-LT"/>
          </w:rPr>
          <w:t xml:space="preserve">Lentelė 18. </w:t>
        </w:r>
        <w:r w:rsidR="00AA3082" w:rsidRPr="003D7275">
          <w:rPr>
            <w:rStyle w:val="Hipersaitas"/>
            <w:rFonts w:cs="Georgia"/>
            <w:noProof/>
            <w:lang w:val="lt-LT"/>
          </w:rPr>
          <w:t>JESSICA KF 2009-2013 m. paskelbtų kvietimų charakteristikos.</w:t>
        </w:r>
        <w:r w:rsidR="00AA3082">
          <w:rPr>
            <w:noProof/>
            <w:webHidden/>
          </w:rPr>
          <w:tab/>
        </w:r>
        <w:r w:rsidR="00AA3082">
          <w:rPr>
            <w:noProof/>
            <w:webHidden/>
          </w:rPr>
          <w:fldChar w:fldCharType="begin"/>
        </w:r>
        <w:r w:rsidR="00AA3082">
          <w:rPr>
            <w:noProof/>
            <w:webHidden/>
          </w:rPr>
          <w:instrText xml:space="preserve"> PAGEREF _Toc460321599 \h </w:instrText>
        </w:r>
        <w:r w:rsidR="00AA3082">
          <w:rPr>
            <w:noProof/>
            <w:webHidden/>
          </w:rPr>
        </w:r>
        <w:r w:rsidR="00AA3082">
          <w:rPr>
            <w:noProof/>
            <w:webHidden/>
          </w:rPr>
          <w:fldChar w:fldCharType="separate"/>
        </w:r>
        <w:r w:rsidR="00AA3082">
          <w:rPr>
            <w:noProof/>
            <w:webHidden/>
          </w:rPr>
          <w:t>51</w:t>
        </w:r>
        <w:r w:rsidR="00AA3082">
          <w:rPr>
            <w:noProof/>
            <w:webHidden/>
          </w:rPr>
          <w:fldChar w:fldCharType="end"/>
        </w:r>
      </w:hyperlink>
    </w:p>
    <w:p w14:paraId="4DB6C53E" w14:textId="08F990D0" w:rsidR="00AA3082" w:rsidRDefault="00A65A8D">
      <w:pPr>
        <w:pStyle w:val="Iliustracijsraas"/>
        <w:tabs>
          <w:tab w:val="right" w:leader="dot" w:pos="9016"/>
        </w:tabs>
        <w:rPr>
          <w:rFonts w:eastAsiaTheme="minorEastAsia" w:cs="Arial Unicode MS"/>
          <w:noProof/>
          <w:lang w:bidi="lo-LA"/>
        </w:rPr>
      </w:pPr>
      <w:hyperlink w:anchor="_Toc460321600" w:history="1">
        <w:r w:rsidR="00AA3082" w:rsidRPr="003D7275">
          <w:rPr>
            <w:rStyle w:val="Hipersaitas"/>
            <w:noProof/>
            <w:lang w:val="lt-LT"/>
          </w:rPr>
          <w:t>Lentelė 19. Viešųjų pastatų renovacijos Ūkio ministerijos 2007-2013 m. priemonių palyginimas.</w:t>
        </w:r>
        <w:r w:rsidR="00AA3082">
          <w:rPr>
            <w:noProof/>
            <w:webHidden/>
          </w:rPr>
          <w:tab/>
        </w:r>
        <w:r w:rsidR="00AA3082">
          <w:rPr>
            <w:noProof/>
            <w:webHidden/>
          </w:rPr>
          <w:fldChar w:fldCharType="begin"/>
        </w:r>
        <w:r w:rsidR="00AA3082">
          <w:rPr>
            <w:noProof/>
            <w:webHidden/>
          </w:rPr>
          <w:instrText xml:space="preserve"> PAGEREF _Toc460321600 \h </w:instrText>
        </w:r>
        <w:r w:rsidR="00AA3082">
          <w:rPr>
            <w:noProof/>
            <w:webHidden/>
          </w:rPr>
        </w:r>
        <w:r w:rsidR="00AA3082">
          <w:rPr>
            <w:noProof/>
            <w:webHidden/>
          </w:rPr>
          <w:fldChar w:fldCharType="separate"/>
        </w:r>
        <w:r w:rsidR="00AA3082">
          <w:rPr>
            <w:noProof/>
            <w:webHidden/>
          </w:rPr>
          <w:t>52</w:t>
        </w:r>
        <w:r w:rsidR="00AA3082">
          <w:rPr>
            <w:noProof/>
            <w:webHidden/>
          </w:rPr>
          <w:fldChar w:fldCharType="end"/>
        </w:r>
      </w:hyperlink>
    </w:p>
    <w:p w14:paraId="77B9B669" w14:textId="4D4CD3CC" w:rsidR="00AA3082" w:rsidRDefault="00A65A8D">
      <w:pPr>
        <w:pStyle w:val="Iliustracijsraas"/>
        <w:tabs>
          <w:tab w:val="right" w:leader="dot" w:pos="9016"/>
        </w:tabs>
        <w:rPr>
          <w:rFonts w:eastAsiaTheme="minorEastAsia" w:cs="Arial Unicode MS"/>
          <w:noProof/>
          <w:lang w:bidi="lo-LA"/>
        </w:rPr>
      </w:pPr>
      <w:hyperlink w:anchor="_Toc460321601" w:history="1">
        <w:r w:rsidR="00AA3082" w:rsidRPr="003D7275">
          <w:rPr>
            <w:rStyle w:val="Hipersaitas"/>
            <w:noProof/>
            <w:lang w:val="lt-LT"/>
          </w:rPr>
          <w:t>Lentelė 20. Komercinių bankų portfelio prognozė (mln. Lt.)</w:t>
        </w:r>
        <w:r w:rsidR="00AA3082">
          <w:rPr>
            <w:noProof/>
            <w:webHidden/>
          </w:rPr>
          <w:tab/>
        </w:r>
        <w:r w:rsidR="00AA3082">
          <w:rPr>
            <w:noProof/>
            <w:webHidden/>
          </w:rPr>
          <w:fldChar w:fldCharType="begin"/>
        </w:r>
        <w:r w:rsidR="00AA3082">
          <w:rPr>
            <w:noProof/>
            <w:webHidden/>
          </w:rPr>
          <w:instrText xml:space="preserve"> PAGEREF _Toc460321601 \h </w:instrText>
        </w:r>
        <w:r w:rsidR="00AA3082">
          <w:rPr>
            <w:noProof/>
            <w:webHidden/>
          </w:rPr>
        </w:r>
        <w:r w:rsidR="00AA3082">
          <w:rPr>
            <w:noProof/>
            <w:webHidden/>
          </w:rPr>
          <w:fldChar w:fldCharType="separate"/>
        </w:r>
        <w:r w:rsidR="00AA3082">
          <w:rPr>
            <w:noProof/>
            <w:webHidden/>
          </w:rPr>
          <w:t>54</w:t>
        </w:r>
        <w:r w:rsidR="00AA3082">
          <w:rPr>
            <w:noProof/>
            <w:webHidden/>
          </w:rPr>
          <w:fldChar w:fldCharType="end"/>
        </w:r>
      </w:hyperlink>
    </w:p>
    <w:p w14:paraId="2A97C0A6" w14:textId="30112E5D" w:rsidR="00AA3082" w:rsidRDefault="00A65A8D">
      <w:pPr>
        <w:pStyle w:val="Iliustracijsraas"/>
        <w:tabs>
          <w:tab w:val="right" w:leader="dot" w:pos="9016"/>
        </w:tabs>
        <w:rPr>
          <w:rFonts w:eastAsiaTheme="minorEastAsia" w:cs="Arial Unicode MS"/>
          <w:noProof/>
          <w:lang w:bidi="lo-LA"/>
        </w:rPr>
      </w:pPr>
      <w:hyperlink w:anchor="_Toc460321602" w:history="1">
        <w:r w:rsidR="00AA3082" w:rsidRPr="003D7275">
          <w:rPr>
            <w:rStyle w:val="Hipersaitas"/>
            <w:noProof/>
            <w:lang w:val="lt-LT"/>
          </w:rPr>
          <w:t>Lentelė 21. ESCO modelio rizikos.</w:t>
        </w:r>
        <w:r w:rsidR="00AA3082">
          <w:rPr>
            <w:noProof/>
            <w:webHidden/>
          </w:rPr>
          <w:tab/>
        </w:r>
        <w:r w:rsidR="00AA3082">
          <w:rPr>
            <w:noProof/>
            <w:webHidden/>
          </w:rPr>
          <w:fldChar w:fldCharType="begin"/>
        </w:r>
        <w:r w:rsidR="00AA3082">
          <w:rPr>
            <w:noProof/>
            <w:webHidden/>
          </w:rPr>
          <w:instrText xml:space="preserve"> PAGEREF _Toc460321602 \h </w:instrText>
        </w:r>
        <w:r w:rsidR="00AA3082">
          <w:rPr>
            <w:noProof/>
            <w:webHidden/>
          </w:rPr>
        </w:r>
        <w:r w:rsidR="00AA3082">
          <w:rPr>
            <w:noProof/>
            <w:webHidden/>
          </w:rPr>
          <w:fldChar w:fldCharType="separate"/>
        </w:r>
        <w:r w:rsidR="00AA3082">
          <w:rPr>
            <w:noProof/>
            <w:webHidden/>
          </w:rPr>
          <w:t>58</w:t>
        </w:r>
        <w:r w:rsidR="00AA3082">
          <w:rPr>
            <w:noProof/>
            <w:webHidden/>
          </w:rPr>
          <w:fldChar w:fldCharType="end"/>
        </w:r>
      </w:hyperlink>
    </w:p>
    <w:p w14:paraId="1AC6665E" w14:textId="75605979" w:rsidR="00AA3082" w:rsidRDefault="00A65A8D">
      <w:pPr>
        <w:pStyle w:val="Iliustracijsraas"/>
        <w:tabs>
          <w:tab w:val="right" w:leader="dot" w:pos="9016"/>
        </w:tabs>
        <w:rPr>
          <w:rFonts w:eastAsiaTheme="minorEastAsia" w:cs="Arial Unicode MS"/>
          <w:noProof/>
          <w:lang w:bidi="lo-LA"/>
        </w:rPr>
      </w:pPr>
      <w:hyperlink w:anchor="_Toc460321603" w:history="1">
        <w:r w:rsidR="00AA3082" w:rsidRPr="003D7275">
          <w:rPr>
            <w:rStyle w:val="Hipersaitas"/>
            <w:noProof/>
            <w:lang w:val="lt-LT"/>
          </w:rPr>
          <w:t>Lentelė 22. Savivaldybių skolinimosi padėtis 2013 m.</w:t>
        </w:r>
        <w:r w:rsidR="00AA3082">
          <w:rPr>
            <w:noProof/>
            <w:webHidden/>
          </w:rPr>
          <w:tab/>
        </w:r>
        <w:r w:rsidR="00AA3082">
          <w:rPr>
            <w:noProof/>
            <w:webHidden/>
          </w:rPr>
          <w:fldChar w:fldCharType="begin"/>
        </w:r>
        <w:r w:rsidR="00AA3082">
          <w:rPr>
            <w:noProof/>
            <w:webHidden/>
          </w:rPr>
          <w:instrText xml:space="preserve"> PAGEREF _Toc460321603 \h </w:instrText>
        </w:r>
        <w:r w:rsidR="00AA3082">
          <w:rPr>
            <w:noProof/>
            <w:webHidden/>
          </w:rPr>
        </w:r>
        <w:r w:rsidR="00AA3082">
          <w:rPr>
            <w:noProof/>
            <w:webHidden/>
          </w:rPr>
          <w:fldChar w:fldCharType="separate"/>
        </w:r>
        <w:r w:rsidR="00AA3082">
          <w:rPr>
            <w:noProof/>
            <w:webHidden/>
          </w:rPr>
          <w:t>62</w:t>
        </w:r>
        <w:r w:rsidR="00AA3082">
          <w:rPr>
            <w:noProof/>
            <w:webHidden/>
          </w:rPr>
          <w:fldChar w:fldCharType="end"/>
        </w:r>
      </w:hyperlink>
    </w:p>
    <w:p w14:paraId="4851D141" w14:textId="4B3EEAED" w:rsidR="00AA3082" w:rsidRDefault="00A65A8D">
      <w:pPr>
        <w:pStyle w:val="Iliustracijsraas"/>
        <w:tabs>
          <w:tab w:val="right" w:leader="dot" w:pos="9016"/>
        </w:tabs>
        <w:rPr>
          <w:rFonts w:eastAsiaTheme="minorEastAsia" w:cs="Arial Unicode MS"/>
          <w:noProof/>
          <w:lang w:bidi="lo-LA"/>
        </w:rPr>
      </w:pPr>
      <w:hyperlink w:anchor="_Toc460321604" w:history="1">
        <w:r w:rsidR="00AA3082" w:rsidRPr="003D7275">
          <w:rPr>
            <w:rStyle w:val="Hipersaitas"/>
            <w:noProof/>
            <w:lang w:val="lt-LT"/>
          </w:rPr>
          <w:t xml:space="preserve">Lentelė 23. </w:t>
        </w:r>
        <w:r w:rsidR="00AA3082" w:rsidRPr="003D7275">
          <w:rPr>
            <w:rStyle w:val="Hipersaitas"/>
            <w:rFonts w:cs="Georgia"/>
            <w:noProof/>
            <w:lang w:val="lt-LT"/>
          </w:rPr>
          <w:t>Finansavimo šaltinių energijos efektyvumo projektams duomenų apibendrinimas.</w:t>
        </w:r>
        <w:r w:rsidR="00AA3082">
          <w:rPr>
            <w:noProof/>
            <w:webHidden/>
          </w:rPr>
          <w:tab/>
        </w:r>
        <w:r w:rsidR="00AA3082">
          <w:rPr>
            <w:noProof/>
            <w:webHidden/>
          </w:rPr>
          <w:fldChar w:fldCharType="begin"/>
        </w:r>
        <w:r w:rsidR="00AA3082">
          <w:rPr>
            <w:noProof/>
            <w:webHidden/>
          </w:rPr>
          <w:instrText xml:space="preserve"> PAGEREF _Toc460321604 \h </w:instrText>
        </w:r>
        <w:r w:rsidR="00AA3082">
          <w:rPr>
            <w:noProof/>
            <w:webHidden/>
          </w:rPr>
        </w:r>
        <w:r w:rsidR="00AA3082">
          <w:rPr>
            <w:noProof/>
            <w:webHidden/>
          </w:rPr>
          <w:fldChar w:fldCharType="separate"/>
        </w:r>
        <w:r w:rsidR="00AA3082">
          <w:rPr>
            <w:noProof/>
            <w:webHidden/>
          </w:rPr>
          <w:t>63</w:t>
        </w:r>
        <w:r w:rsidR="00AA3082">
          <w:rPr>
            <w:noProof/>
            <w:webHidden/>
          </w:rPr>
          <w:fldChar w:fldCharType="end"/>
        </w:r>
      </w:hyperlink>
    </w:p>
    <w:p w14:paraId="05D591CB" w14:textId="4EF301C4" w:rsidR="00AA3082" w:rsidRDefault="00A65A8D">
      <w:pPr>
        <w:pStyle w:val="Iliustracijsraas"/>
        <w:tabs>
          <w:tab w:val="right" w:leader="dot" w:pos="9016"/>
        </w:tabs>
        <w:rPr>
          <w:rFonts w:eastAsiaTheme="minorEastAsia" w:cs="Arial Unicode MS"/>
          <w:noProof/>
          <w:lang w:bidi="lo-LA"/>
        </w:rPr>
      </w:pPr>
      <w:hyperlink w:anchor="_Toc460321605" w:history="1">
        <w:r w:rsidR="00AA3082" w:rsidRPr="003D7275">
          <w:rPr>
            <w:rStyle w:val="Hipersaitas"/>
            <w:noProof/>
            <w:lang w:val="lt-LT"/>
          </w:rPr>
          <w:t>Lentelė 24. Rinkos investicijų trūkumo įvertinimo duomenys.</w:t>
        </w:r>
        <w:r w:rsidR="00AA3082">
          <w:rPr>
            <w:noProof/>
            <w:webHidden/>
          </w:rPr>
          <w:tab/>
        </w:r>
        <w:r w:rsidR="00AA3082">
          <w:rPr>
            <w:noProof/>
            <w:webHidden/>
          </w:rPr>
          <w:fldChar w:fldCharType="begin"/>
        </w:r>
        <w:r w:rsidR="00AA3082">
          <w:rPr>
            <w:noProof/>
            <w:webHidden/>
          </w:rPr>
          <w:instrText xml:space="preserve"> PAGEREF _Toc460321605 \h </w:instrText>
        </w:r>
        <w:r w:rsidR="00AA3082">
          <w:rPr>
            <w:noProof/>
            <w:webHidden/>
          </w:rPr>
        </w:r>
        <w:r w:rsidR="00AA3082">
          <w:rPr>
            <w:noProof/>
            <w:webHidden/>
          </w:rPr>
          <w:fldChar w:fldCharType="separate"/>
        </w:r>
        <w:r w:rsidR="00AA3082">
          <w:rPr>
            <w:noProof/>
            <w:webHidden/>
          </w:rPr>
          <w:t>63</w:t>
        </w:r>
        <w:r w:rsidR="00AA3082">
          <w:rPr>
            <w:noProof/>
            <w:webHidden/>
          </w:rPr>
          <w:fldChar w:fldCharType="end"/>
        </w:r>
      </w:hyperlink>
    </w:p>
    <w:p w14:paraId="6D46D0CA" w14:textId="0E80C943" w:rsidR="00AA3082" w:rsidRDefault="00A65A8D">
      <w:pPr>
        <w:pStyle w:val="Iliustracijsraas"/>
        <w:tabs>
          <w:tab w:val="right" w:leader="dot" w:pos="9016"/>
        </w:tabs>
        <w:rPr>
          <w:rFonts w:eastAsiaTheme="minorEastAsia" w:cs="Arial Unicode MS"/>
          <w:noProof/>
          <w:lang w:bidi="lo-LA"/>
        </w:rPr>
      </w:pPr>
      <w:hyperlink w:anchor="_Toc460321606" w:history="1">
        <w:r w:rsidR="00AA3082" w:rsidRPr="003D7275">
          <w:rPr>
            <w:rStyle w:val="Hipersaitas"/>
            <w:noProof/>
            <w:lang w:val="lt-LT"/>
          </w:rPr>
          <w:t>Lentelė 25. Pagrindiniai ERPB veiklos ir finansiniai rodikliai.</w:t>
        </w:r>
        <w:r w:rsidR="00AA3082">
          <w:rPr>
            <w:noProof/>
            <w:webHidden/>
          </w:rPr>
          <w:tab/>
        </w:r>
        <w:r w:rsidR="00AA3082">
          <w:rPr>
            <w:noProof/>
            <w:webHidden/>
          </w:rPr>
          <w:fldChar w:fldCharType="begin"/>
        </w:r>
        <w:r w:rsidR="00AA3082">
          <w:rPr>
            <w:noProof/>
            <w:webHidden/>
          </w:rPr>
          <w:instrText xml:space="preserve"> PAGEREF _Toc460321606 \h </w:instrText>
        </w:r>
        <w:r w:rsidR="00AA3082">
          <w:rPr>
            <w:noProof/>
            <w:webHidden/>
          </w:rPr>
        </w:r>
        <w:r w:rsidR="00AA3082">
          <w:rPr>
            <w:noProof/>
            <w:webHidden/>
          </w:rPr>
          <w:fldChar w:fldCharType="separate"/>
        </w:r>
        <w:r w:rsidR="00AA3082">
          <w:rPr>
            <w:noProof/>
            <w:webHidden/>
          </w:rPr>
          <w:t>74</w:t>
        </w:r>
        <w:r w:rsidR="00AA3082">
          <w:rPr>
            <w:noProof/>
            <w:webHidden/>
          </w:rPr>
          <w:fldChar w:fldCharType="end"/>
        </w:r>
      </w:hyperlink>
    </w:p>
    <w:p w14:paraId="50C4D07D" w14:textId="1513CF50" w:rsidR="00AA3082" w:rsidRDefault="00A65A8D">
      <w:pPr>
        <w:pStyle w:val="Iliustracijsraas"/>
        <w:tabs>
          <w:tab w:val="right" w:leader="dot" w:pos="9016"/>
        </w:tabs>
        <w:rPr>
          <w:rFonts w:eastAsiaTheme="minorEastAsia" w:cs="Arial Unicode MS"/>
          <w:noProof/>
          <w:lang w:bidi="lo-LA"/>
        </w:rPr>
      </w:pPr>
      <w:hyperlink w:anchor="_Toc460321607" w:history="1">
        <w:r w:rsidR="00AA3082" w:rsidRPr="003D7275">
          <w:rPr>
            <w:rStyle w:val="Hipersaitas"/>
            <w:noProof/>
            <w:lang w:val="lt-LT"/>
          </w:rPr>
          <w:t>Lentelė 26</w:t>
        </w:r>
        <w:r w:rsidR="00AA3082" w:rsidRPr="003D7275">
          <w:rPr>
            <w:rStyle w:val="Hipersaitas"/>
            <w:rFonts w:cs="Arial"/>
            <w:noProof/>
            <w:lang w:val="lt-LT"/>
          </w:rPr>
          <w:t xml:space="preserve">. </w:t>
        </w:r>
        <w:r w:rsidR="00AA3082" w:rsidRPr="003D7275">
          <w:rPr>
            <w:rStyle w:val="Hipersaitas"/>
            <w:noProof/>
            <w:lang w:val="lt-LT"/>
          </w:rPr>
          <w:t>ERPB veiklos rodikliai Lietuvoje.</w:t>
        </w:r>
        <w:r w:rsidR="00AA3082">
          <w:rPr>
            <w:noProof/>
            <w:webHidden/>
          </w:rPr>
          <w:tab/>
        </w:r>
        <w:r w:rsidR="00AA3082">
          <w:rPr>
            <w:noProof/>
            <w:webHidden/>
          </w:rPr>
          <w:fldChar w:fldCharType="begin"/>
        </w:r>
        <w:r w:rsidR="00AA3082">
          <w:rPr>
            <w:noProof/>
            <w:webHidden/>
          </w:rPr>
          <w:instrText xml:space="preserve"> PAGEREF _Toc460321607 \h </w:instrText>
        </w:r>
        <w:r w:rsidR="00AA3082">
          <w:rPr>
            <w:noProof/>
            <w:webHidden/>
          </w:rPr>
        </w:r>
        <w:r w:rsidR="00AA3082">
          <w:rPr>
            <w:noProof/>
            <w:webHidden/>
          </w:rPr>
          <w:fldChar w:fldCharType="separate"/>
        </w:r>
        <w:r w:rsidR="00AA3082">
          <w:rPr>
            <w:noProof/>
            <w:webHidden/>
          </w:rPr>
          <w:t>77</w:t>
        </w:r>
        <w:r w:rsidR="00AA3082">
          <w:rPr>
            <w:noProof/>
            <w:webHidden/>
          </w:rPr>
          <w:fldChar w:fldCharType="end"/>
        </w:r>
      </w:hyperlink>
    </w:p>
    <w:p w14:paraId="297F3609" w14:textId="69861AB9" w:rsidR="00AA3082" w:rsidRDefault="00A65A8D">
      <w:pPr>
        <w:pStyle w:val="Iliustracijsraas"/>
        <w:tabs>
          <w:tab w:val="right" w:leader="dot" w:pos="9016"/>
        </w:tabs>
        <w:rPr>
          <w:rFonts w:eastAsiaTheme="minorEastAsia" w:cs="Arial Unicode MS"/>
          <w:noProof/>
          <w:lang w:bidi="lo-LA"/>
        </w:rPr>
      </w:pPr>
      <w:hyperlink w:anchor="_Toc460321608" w:history="1">
        <w:r w:rsidR="00AA3082" w:rsidRPr="003D7275">
          <w:rPr>
            <w:rStyle w:val="Hipersaitas"/>
            <w:noProof/>
            <w:lang w:val="lt-LT"/>
          </w:rPr>
          <w:t>Lentelė 27. ERPB portfelio raida Lietuvoje 2008-2013 metais.</w:t>
        </w:r>
        <w:r w:rsidR="00AA3082">
          <w:rPr>
            <w:noProof/>
            <w:webHidden/>
          </w:rPr>
          <w:tab/>
        </w:r>
        <w:r w:rsidR="00AA3082">
          <w:rPr>
            <w:noProof/>
            <w:webHidden/>
          </w:rPr>
          <w:fldChar w:fldCharType="begin"/>
        </w:r>
        <w:r w:rsidR="00AA3082">
          <w:rPr>
            <w:noProof/>
            <w:webHidden/>
          </w:rPr>
          <w:instrText xml:space="preserve"> PAGEREF _Toc460321608 \h </w:instrText>
        </w:r>
        <w:r w:rsidR="00AA3082">
          <w:rPr>
            <w:noProof/>
            <w:webHidden/>
          </w:rPr>
        </w:r>
        <w:r w:rsidR="00AA3082">
          <w:rPr>
            <w:noProof/>
            <w:webHidden/>
          </w:rPr>
          <w:fldChar w:fldCharType="separate"/>
        </w:r>
        <w:r w:rsidR="00AA3082">
          <w:rPr>
            <w:noProof/>
            <w:webHidden/>
          </w:rPr>
          <w:t>77</w:t>
        </w:r>
        <w:r w:rsidR="00AA3082">
          <w:rPr>
            <w:noProof/>
            <w:webHidden/>
          </w:rPr>
          <w:fldChar w:fldCharType="end"/>
        </w:r>
      </w:hyperlink>
    </w:p>
    <w:p w14:paraId="1048BCF5" w14:textId="0C044379" w:rsidR="00AA3082" w:rsidRDefault="00A65A8D">
      <w:pPr>
        <w:pStyle w:val="Iliustracijsraas"/>
        <w:tabs>
          <w:tab w:val="right" w:leader="dot" w:pos="9016"/>
        </w:tabs>
        <w:rPr>
          <w:rFonts w:eastAsiaTheme="minorEastAsia" w:cs="Arial Unicode MS"/>
          <w:noProof/>
          <w:lang w:bidi="lo-LA"/>
        </w:rPr>
      </w:pPr>
      <w:hyperlink w:anchor="_Toc460321609" w:history="1">
        <w:r w:rsidR="00AA3082" w:rsidRPr="003D7275">
          <w:rPr>
            <w:rStyle w:val="Hipersaitas"/>
            <w:noProof/>
            <w:lang w:val="lt-LT"/>
          </w:rPr>
          <w:t>Lentelė 28. ERPB siūlomų produktų sąlygos.</w:t>
        </w:r>
        <w:r w:rsidR="00AA3082">
          <w:rPr>
            <w:noProof/>
            <w:webHidden/>
          </w:rPr>
          <w:tab/>
        </w:r>
        <w:r w:rsidR="00AA3082">
          <w:rPr>
            <w:noProof/>
            <w:webHidden/>
          </w:rPr>
          <w:fldChar w:fldCharType="begin"/>
        </w:r>
        <w:r w:rsidR="00AA3082">
          <w:rPr>
            <w:noProof/>
            <w:webHidden/>
          </w:rPr>
          <w:instrText xml:space="preserve"> PAGEREF _Toc460321609 \h </w:instrText>
        </w:r>
        <w:r w:rsidR="00AA3082">
          <w:rPr>
            <w:noProof/>
            <w:webHidden/>
          </w:rPr>
        </w:r>
        <w:r w:rsidR="00AA3082">
          <w:rPr>
            <w:noProof/>
            <w:webHidden/>
          </w:rPr>
          <w:fldChar w:fldCharType="separate"/>
        </w:r>
        <w:r w:rsidR="00AA3082">
          <w:rPr>
            <w:noProof/>
            <w:webHidden/>
          </w:rPr>
          <w:t>79</w:t>
        </w:r>
        <w:r w:rsidR="00AA3082">
          <w:rPr>
            <w:noProof/>
            <w:webHidden/>
          </w:rPr>
          <w:fldChar w:fldCharType="end"/>
        </w:r>
      </w:hyperlink>
    </w:p>
    <w:p w14:paraId="5185B3A2" w14:textId="6A2A7B24" w:rsidR="00AA3082" w:rsidRDefault="00A65A8D">
      <w:pPr>
        <w:pStyle w:val="Iliustracijsraas"/>
        <w:tabs>
          <w:tab w:val="right" w:leader="dot" w:pos="9016"/>
        </w:tabs>
        <w:rPr>
          <w:rFonts w:eastAsiaTheme="minorEastAsia" w:cs="Arial Unicode MS"/>
          <w:noProof/>
          <w:lang w:bidi="lo-LA"/>
        </w:rPr>
      </w:pPr>
      <w:hyperlink w:anchor="_Toc460321610" w:history="1">
        <w:r w:rsidR="00AA3082" w:rsidRPr="003D7275">
          <w:rPr>
            <w:rStyle w:val="Hipersaitas"/>
            <w:noProof/>
            <w:lang w:val="lt-LT"/>
          </w:rPr>
          <w:t>Lentelė 29. Pagrindiniai NIB veiklos ir finansiniai rodikliai.</w:t>
        </w:r>
        <w:r w:rsidR="00AA3082">
          <w:rPr>
            <w:noProof/>
            <w:webHidden/>
          </w:rPr>
          <w:tab/>
        </w:r>
        <w:r w:rsidR="00AA3082">
          <w:rPr>
            <w:noProof/>
            <w:webHidden/>
          </w:rPr>
          <w:fldChar w:fldCharType="begin"/>
        </w:r>
        <w:r w:rsidR="00AA3082">
          <w:rPr>
            <w:noProof/>
            <w:webHidden/>
          </w:rPr>
          <w:instrText xml:space="preserve"> PAGEREF _Toc460321610 \h </w:instrText>
        </w:r>
        <w:r w:rsidR="00AA3082">
          <w:rPr>
            <w:noProof/>
            <w:webHidden/>
          </w:rPr>
        </w:r>
        <w:r w:rsidR="00AA3082">
          <w:rPr>
            <w:noProof/>
            <w:webHidden/>
          </w:rPr>
          <w:fldChar w:fldCharType="separate"/>
        </w:r>
        <w:r w:rsidR="00AA3082">
          <w:rPr>
            <w:noProof/>
            <w:webHidden/>
          </w:rPr>
          <w:t>81</w:t>
        </w:r>
        <w:r w:rsidR="00AA3082">
          <w:rPr>
            <w:noProof/>
            <w:webHidden/>
          </w:rPr>
          <w:fldChar w:fldCharType="end"/>
        </w:r>
      </w:hyperlink>
    </w:p>
    <w:p w14:paraId="11492346" w14:textId="52EE9330" w:rsidR="00AA3082" w:rsidRDefault="00A65A8D">
      <w:pPr>
        <w:pStyle w:val="Iliustracijsraas"/>
        <w:tabs>
          <w:tab w:val="right" w:leader="dot" w:pos="9016"/>
        </w:tabs>
        <w:rPr>
          <w:rFonts w:eastAsiaTheme="minorEastAsia" w:cs="Arial Unicode MS"/>
          <w:noProof/>
          <w:lang w:bidi="lo-LA"/>
        </w:rPr>
      </w:pPr>
      <w:hyperlink w:anchor="_Toc460321611" w:history="1">
        <w:r w:rsidR="00AA3082" w:rsidRPr="003D7275">
          <w:rPr>
            <w:rStyle w:val="Hipersaitas"/>
            <w:noProof/>
            <w:lang w:val="lt-LT"/>
          </w:rPr>
          <w:t>Lentelė 30. Sutartys pasirašytos per CLEERE priemonę (mln. eurų)</w:t>
        </w:r>
        <w:r w:rsidR="00AA3082">
          <w:rPr>
            <w:noProof/>
            <w:webHidden/>
          </w:rPr>
          <w:tab/>
        </w:r>
        <w:r w:rsidR="00AA3082">
          <w:rPr>
            <w:noProof/>
            <w:webHidden/>
          </w:rPr>
          <w:fldChar w:fldCharType="begin"/>
        </w:r>
        <w:r w:rsidR="00AA3082">
          <w:rPr>
            <w:noProof/>
            <w:webHidden/>
          </w:rPr>
          <w:instrText xml:space="preserve"> PAGEREF _Toc460321611 \h </w:instrText>
        </w:r>
        <w:r w:rsidR="00AA3082">
          <w:rPr>
            <w:noProof/>
            <w:webHidden/>
          </w:rPr>
        </w:r>
        <w:r w:rsidR="00AA3082">
          <w:rPr>
            <w:noProof/>
            <w:webHidden/>
          </w:rPr>
          <w:fldChar w:fldCharType="separate"/>
        </w:r>
        <w:r w:rsidR="00AA3082">
          <w:rPr>
            <w:noProof/>
            <w:webHidden/>
          </w:rPr>
          <w:t>82</w:t>
        </w:r>
        <w:r w:rsidR="00AA3082">
          <w:rPr>
            <w:noProof/>
            <w:webHidden/>
          </w:rPr>
          <w:fldChar w:fldCharType="end"/>
        </w:r>
      </w:hyperlink>
    </w:p>
    <w:p w14:paraId="3DDAEA9A" w14:textId="669B98D9" w:rsidR="00AA3082" w:rsidRDefault="00A65A8D">
      <w:pPr>
        <w:pStyle w:val="Iliustracijsraas"/>
        <w:tabs>
          <w:tab w:val="right" w:leader="dot" w:pos="9016"/>
        </w:tabs>
        <w:rPr>
          <w:rFonts w:eastAsiaTheme="minorEastAsia" w:cs="Arial Unicode MS"/>
          <w:noProof/>
          <w:lang w:bidi="lo-LA"/>
        </w:rPr>
      </w:pPr>
      <w:hyperlink w:anchor="_Toc460321612" w:history="1">
        <w:r w:rsidR="00AA3082" w:rsidRPr="003D7275">
          <w:rPr>
            <w:rStyle w:val="Hipersaitas"/>
            <w:noProof/>
            <w:lang w:val="lt-LT"/>
          </w:rPr>
          <w:t>Lentelė 31. NIB suteiktos paskolos energetikos ir aplinkos sektoriuose 2008-2013 m.</w:t>
        </w:r>
        <w:r w:rsidR="00AA3082">
          <w:rPr>
            <w:noProof/>
            <w:webHidden/>
          </w:rPr>
          <w:tab/>
        </w:r>
        <w:r w:rsidR="00AA3082">
          <w:rPr>
            <w:noProof/>
            <w:webHidden/>
          </w:rPr>
          <w:fldChar w:fldCharType="begin"/>
        </w:r>
        <w:r w:rsidR="00AA3082">
          <w:rPr>
            <w:noProof/>
            <w:webHidden/>
          </w:rPr>
          <w:instrText xml:space="preserve"> PAGEREF _Toc460321612 \h </w:instrText>
        </w:r>
        <w:r w:rsidR="00AA3082">
          <w:rPr>
            <w:noProof/>
            <w:webHidden/>
          </w:rPr>
        </w:r>
        <w:r w:rsidR="00AA3082">
          <w:rPr>
            <w:noProof/>
            <w:webHidden/>
          </w:rPr>
          <w:fldChar w:fldCharType="separate"/>
        </w:r>
        <w:r w:rsidR="00AA3082">
          <w:rPr>
            <w:noProof/>
            <w:webHidden/>
          </w:rPr>
          <w:t>83</w:t>
        </w:r>
        <w:r w:rsidR="00AA3082">
          <w:rPr>
            <w:noProof/>
            <w:webHidden/>
          </w:rPr>
          <w:fldChar w:fldCharType="end"/>
        </w:r>
      </w:hyperlink>
    </w:p>
    <w:p w14:paraId="1266FC4D" w14:textId="42EE48F2" w:rsidR="00AA3082" w:rsidRDefault="00A65A8D">
      <w:pPr>
        <w:pStyle w:val="Iliustracijsraas"/>
        <w:tabs>
          <w:tab w:val="right" w:leader="dot" w:pos="9016"/>
        </w:tabs>
        <w:rPr>
          <w:rFonts w:eastAsiaTheme="minorEastAsia" w:cs="Arial Unicode MS"/>
          <w:noProof/>
          <w:lang w:bidi="lo-LA"/>
        </w:rPr>
      </w:pPr>
      <w:hyperlink w:anchor="_Toc460321613" w:history="1">
        <w:r w:rsidR="00AA3082" w:rsidRPr="003D7275">
          <w:rPr>
            <w:rStyle w:val="Hipersaitas"/>
            <w:noProof/>
            <w:lang w:val="lt-LT"/>
          </w:rPr>
          <w:t>Lentelė 32. NIB Lietuvoje finansuotų projektų skaičius ir vertė.</w:t>
        </w:r>
        <w:r w:rsidR="00AA3082">
          <w:rPr>
            <w:noProof/>
            <w:webHidden/>
          </w:rPr>
          <w:tab/>
        </w:r>
        <w:r w:rsidR="00AA3082">
          <w:rPr>
            <w:noProof/>
            <w:webHidden/>
          </w:rPr>
          <w:fldChar w:fldCharType="begin"/>
        </w:r>
        <w:r w:rsidR="00AA3082">
          <w:rPr>
            <w:noProof/>
            <w:webHidden/>
          </w:rPr>
          <w:instrText xml:space="preserve"> PAGEREF _Toc460321613 \h </w:instrText>
        </w:r>
        <w:r w:rsidR="00AA3082">
          <w:rPr>
            <w:noProof/>
            <w:webHidden/>
          </w:rPr>
        </w:r>
        <w:r w:rsidR="00AA3082">
          <w:rPr>
            <w:noProof/>
            <w:webHidden/>
          </w:rPr>
          <w:fldChar w:fldCharType="separate"/>
        </w:r>
        <w:r w:rsidR="00AA3082">
          <w:rPr>
            <w:noProof/>
            <w:webHidden/>
          </w:rPr>
          <w:t>84</w:t>
        </w:r>
        <w:r w:rsidR="00AA3082">
          <w:rPr>
            <w:noProof/>
            <w:webHidden/>
          </w:rPr>
          <w:fldChar w:fldCharType="end"/>
        </w:r>
      </w:hyperlink>
    </w:p>
    <w:p w14:paraId="13E9CE19" w14:textId="045ED475" w:rsidR="00AA3082" w:rsidRDefault="00A65A8D">
      <w:pPr>
        <w:pStyle w:val="Iliustracijsraas"/>
        <w:tabs>
          <w:tab w:val="right" w:leader="dot" w:pos="9016"/>
        </w:tabs>
        <w:rPr>
          <w:rFonts w:eastAsiaTheme="minorEastAsia" w:cs="Arial Unicode MS"/>
          <w:noProof/>
          <w:lang w:bidi="lo-LA"/>
        </w:rPr>
      </w:pPr>
      <w:hyperlink w:anchor="_Toc460321614" w:history="1">
        <w:r w:rsidR="00AA3082" w:rsidRPr="003D7275">
          <w:rPr>
            <w:rStyle w:val="Hipersaitas"/>
            <w:noProof/>
            <w:lang w:val="lt-LT"/>
          </w:rPr>
          <w:t>Lentelė 33. NIB siūlomų finansinių produktų sąlygos.</w:t>
        </w:r>
        <w:r w:rsidR="00AA3082">
          <w:rPr>
            <w:noProof/>
            <w:webHidden/>
          </w:rPr>
          <w:tab/>
        </w:r>
        <w:r w:rsidR="00AA3082">
          <w:rPr>
            <w:noProof/>
            <w:webHidden/>
          </w:rPr>
          <w:fldChar w:fldCharType="begin"/>
        </w:r>
        <w:r w:rsidR="00AA3082">
          <w:rPr>
            <w:noProof/>
            <w:webHidden/>
          </w:rPr>
          <w:instrText xml:space="preserve"> PAGEREF _Toc460321614 \h </w:instrText>
        </w:r>
        <w:r w:rsidR="00AA3082">
          <w:rPr>
            <w:noProof/>
            <w:webHidden/>
          </w:rPr>
        </w:r>
        <w:r w:rsidR="00AA3082">
          <w:rPr>
            <w:noProof/>
            <w:webHidden/>
          </w:rPr>
          <w:fldChar w:fldCharType="separate"/>
        </w:r>
        <w:r w:rsidR="00AA3082">
          <w:rPr>
            <w:noProof/>
            <w:webHidden/>
          </w:rPr>
          <w:t>84</w:t>
        </w:r>
        <w:r w:rsidR="00AA3082">
          <w:rPr>
            <w:noProof/>
            <w:webHidden/>
          </w:rPr>
          <w:fldChar w:fldCharType="end"/>
        </w:r>
      </w:hyperlink>
    </w:p>
    <w:p w14:paraId="0B944A6F" w14:textId="302F73BF" w:rsidR="00AA3082" w:rsidRDefault="00A65A8D">
      <w:pPr>
        <w:pStyle w:val="Iliustracijsraas"/>
        <w:tabs>
          <w:tab w:val="right" w:leader="dot" w:pos="9016"/>
        </w:tabs>
        <w:rPr>
          <w:rFonts w:eastAsiaTheme="minorEastAsia" w:cs="Arial Unicode MS"/>
          <w:noProof/>
          <w:lang w:bidi="lo-LA"/>
        </w:rPr>
      </w:pPr>
      <w:hyperlink w:anchor="_Toc460321615" w:history="1">
        <w:r w:rsidR="00AA3082" w:rsidRPr="003D7275">
          <w:rPr>
            <w:rStyle w:val="Hipersaitas"/>
            <w:noProof/>
            <w:lang w:val="lt-LT"/>
          </w:rPr>
          <w:t>Lentelė 34. Pagrindiniai EIB veiklos ir finansiniai rodikliai.</w:t>
        </w:r>
        <w:r w:rsidR="00AA3082">
          <w:rPr>
            <w:noProof/>
            <w:webHidden/>
          </w:rPr>
          <w:tab/>
        </w:r>
        <w:r w:rsidR="00AA3082">
          <w:rPr>
            <w:noProof/>
            <w:webHidden/>
          </w:rPr>
          <w:fldChar w:fldCharType="begin"/>
        </w:r>
        <w:r w:rsidR="00AA3082">
          <w:rPr>
            <w:noProof/>
            <w:webHidden/>
          </w:rPr>
          <w:instrText xml:space="preserve"> PAGEREF _Toc460321615 \h </w:instrText>
        </w:r>
        <w:r w:rsidR="00AA3082">
          <w:rPr>
            <w:noProof/>
            <w:webHidden/>
          </w:rPr>
        </w:r>
        <w:r w:rsidR="00AA3082">
          <w:rPr>
            <w:noProof/>
            <w:webHidden/>
          </w:rPr>
          <w:fldChar w:fldCharType="separate"/>
        </w:r>
        <w:r w:rsidR="00AA3082">
          <w:rPr>
            <w:noProof/>
            <w:webHidden/>
          </w:rPr>
          <w:t>86</w:t>
        </w:r>
        <w:r w:rsidR="00AA3082">
          <w:rPr>
            <w:noProof/>
            <w:webHidden/>
          </w:rPr>
          <w:fldChar w:fldCharType="end"/>
        </w:r>
      </w:hyperlink>
    </w:p>
    <w:p w14:paraId="52F84463" w14:textId="179FBE62" w:rsidR="00AA3082" w:rsidRDefault="00A65A8D">
      <w:pPr>
        <w:pStyle w:val="Iliustracijsraas"/>
        <w:tabs>
          <w:tab w:val="right" w:leader="dot" w:pos="9016"/>
        </w:tabs>
        <w:rPr>
          <w:rFonts w:eastAsiaTheme="minorEastAsia" w:cs="Arial Unicode MS"/>
          <w:noProof/>
          <w:lang w:bidi="lo-LA"/>
        </w:rPr>
      </w:pPr>
      <w:hyperlink w:anchor="_Toc460321616" w:history="1">
        <w:r w:rsidR="00AA3082" w:rsidRPr="003D7275">
          <w:rPr>
            <w:rStyle w:val="Hipersaitas"/>
            <w:noProof/>
            <w:lang w:val="lt-LT"/>
          </w:rPr>
          <w:t>Lentelė 35. EIB veikla Lietuvoje 2008-2013 m.</w:t>
        </w:r>
        <w:r w:rsidR="00AA3082">
          <w:rPr>
            <w:noProof/>
            <w:webHidden/>
          </w:rPr>
          <w:tab/>
        </w:r>
        <w:r w:rsidR="00AA3082">
          <w:rPr>
            <w:noProof/>
            <w:webHidden/>
          </w:rPr>
          <w:fldChar w:fldCharType="begin"/>
        </w:r>
        <w:r w:rsidR="00AA3082">
          <w:rPr>
            <w:noProof/>
            <w:webHidden/>
          </w:rPr>
          <w:instrText xml:space="preserve"> PAGEREF _Toc460321616 \h </w:instrText>
        </w:r>
        <w:r w:rsidR="00AA3082">
          <w:rPr>
            <w:noProof/>
            <w:webHidden/>
          </w:rPr>
        </w:r>
        <w:r w:rsidR="00AA3082">
          <w:rPr>
            <w:noProof/>
            <w:webHidden/>
          </w:rPr>
          <w:fldChar w:fldCharType="separate"/>
        </w:r>
        <w:r w:rsidR="00AA3082">
          <w:rPr>
            <w:noProof/>
            <w:webHidden/>
          </w:rPr>
          <w:t>91</w:t>
        </w:r>
        <w:r w:rsidR="00AA3082">
          <w:rPr>
            <w:noProof/>
            <w:webHidden/>
          </w:rPr>
          <w:fldChar w:fldCharType="end"/>
        </w:r>
      </w:hyperlink>
    </w:p>
    <w:p w14:paraId="19646F6C" w14:textId="453585FC" w:rsidR="00AA3082" w:rsidRDefault="00A65A8D">
      <w:pPr>
        <w:pStyle w:val="Iliustracijsraas"/>
        <w:tabs>
          <w:tab w:val="right" w:leader="dot" w:pos="9016"/>
        </w:tabs>
        <w:rPr>
          <w:rFonts w:eastAsiaTheme="minorEastAsia" w:cs="Arial Unicode MS"/>
          <w:noProof/>
          <w:lang w:bidi="lo-LA"/>
        </w:rPr>
      </w:pPr>
      <w:hyperlink w:anchor="_Toc460321617" w:history="1">
        <w:r w:rsidR="00AA3082" w:rsidRPr="003D7275">
          <w:rPr>
            <w:rStyle w:val="Hipersaitas"/>
            <w:noProof/>
            <w:lang w:val="lt-LT"/>
          </w:rPr>
          <w:t>Lentelė 36. EIB siūlomų finansinių produktų sąlygos.</w:t>
        </w:r>
        <w:r w:rsidR="00AA3082">
          <w:rPr>
            <w:noProof/>
            <w:webHidden/>
          </w:rPr>
          <w:tab/>
        </w:r>
        <w:r w:rsidR="00AA3082">
          <w:rPr>
            <w:noProof/>
            <w:webHidden/>
          </w:rPr>
          <w:fldChar w:fldCharType="begin"/>
        </w:r>
        <w:r w:rsidR="00AA3082">
          <w:rPr>
            <w:noProof/>
            <w:webHidden/>
          </w:rPr>
          <w:instrText xml:space="preserve"> PAGEREF _Toc460321617 \h </w:instrText>
        </w:r>
        <w:r w:rsidR="00AA3082">
          <w:rPr>
            <w:noProof/>
            <w:webHidden/>
          </w:rPr>
        </w:r>
        <w:r w:rsidR="00AA3082">
          <w:rPr>
            <w:noProof/>
            <w:webHidden/>
          </w:rPr>
          <w:fldChar w:fldCharType="separate"/>
        </w:r>
        <w:r w:rsidR="00AA3082">
          <w:rPr>
            <w:noProof/>
            <w:webHidden/>
          </w:rPr>
          <w:t>91</w:t>
        </w:r>
        <w:r w:rsidR="00AA3082">
          <w:rPr>
            <w:noProof/>
            <w:webHidden/>
          </w:rPr>
          <w:fldChar w:fldCharType="end"/>
        </w:r>
      </w:hyperlink>
    </w:p>
    <w:p w14:paraId="3D133376" w14:textId="605A2C36" w:rsidR="00AA3082" w:rsidRDefault="00A65A8D">
      <w:pPr>
        <w:pStyle w:val="Iliustracijsraas"/>
        <w:tabs>
          <w:tab w:val="right" w:leader="dot" w:pos="9016"/>
        </w:tabs>
        <w:rPr>
          <w:rFonts w:eastAsiaTheme="minorEastAsia" w:cs="Arial Unicode MS"/>
          <w:noProof/>
          <w:lang w:bidi="lo-LA"/>
        </w:rPr>
      </w:pPr>
      <w:hyperlink w:anchor="_Toc460321618" w:history="1">
        <w:r w:rsidR="00AA3082" w:rsidRPr="003D7275">
          <w:rPr>
            <w:rStyle w:val="Hipersaitas"/>
            <w:noProof/>
            <w:lang w:val="lt-LT"/>
          </w:rPr>
          <w:t>Lentelė 37. Pagrindiniai CEB veiklos ir finansiniai rodikliai.</w:t>
        </w:r>
        <w:r w:rsidR="00AA3082">
          <w:rPr>
            <w:noProof/>
            <w:webHidden/>
          </w:rPr>
          <w:tab/>
        </w:r>
        <w:r w:rsidR="00AA3082">
          <w:rPr>
            <w:noProof/>
            <w:webHidden/>
          </w:rPr>
          <w:fldChar w:fldCharType="begin"/>
        </w:r>
        <w:r w:rsidR="00AA3082">
          <w:rPr>
            <w:noProof/>
            <w:webHidden/>
          </w:rPr>
          <w:instrText xml:space="preserve"> PAGEREF _Toc460321618 \h </w:instrText>
        </w:r>
        <w:r w:rsidR="00AA3082">
          <w:rPr>
            <w:noProof/>
            <w:webHidden/>
          </w:rPr>
        </w:r>
        <w:r w:rsidR="00AA3082">
          <w:rPr>
            <w:noProof/>
            <w:webHidden/>
          </w:rPr>
          <w:fldChar w:fldCharType="separate"/>
        </w:r>
        <w:r w:rsidR="00AA3082">
          <w:rPr>
            <w:noProof/>
            <w:webHidden/>
          </w:rPr>
          <w:t>93</w:t>
        </w:r>
        <w:r w:rsidR="00AA3082">
          <w:rPr>
            <w:noProof/>
            <w:webHidden/>
          </w:rPr>
          <w:fldChar w:fldCharType="end"/>
        </w:r>
      </w:hyperlink>
    </w:p>
    <w:p w14:paraId="24AA1CAC" w14:textId="3A0099D5" w:rsidR="00AA3082" w:rsidRDefault="00A65A8D">
      <w:pPr>
        <w:pStyle w:val="Iliustracijsraas"/>
        <w:tabs>
          <w:tab w:val="right" w:leader="dot" w:pos="9016"/>
        </w:tabs>
        <w:rPr>
          <w:rFonts w:eastAsiaTheme="minorEastAsia" w:cs="Arial Unicode MS"/>
          <w:noProof/>
          <w:lang w:bidi="lo-LA"/>
        </w:rPr>
      </w:pPr>
      <w:hyperlink w:anchor="_Toc460321619" w:history="1">
        <w:r w:rsidR="00AA3082" w:rsidRPr="003D7275">
          <w:rPr>
            <w:rStyle w:val="Hipersaitas"/>
            <w:noProof/>
            <w:lang w:val="lt-LT"/>
          </w:rPr>
          <w:t>Lentelė 38</w:t>
        </w:r>
        <w:r w:rsidR="00AA3082" w:rsidRPr="003D7275">
          <w:rPr>
            <w:rStyle w:val="Hipersaitas"/>
            <w:rFonts w:cs="Arial"/>
            <w:noProof/>
            <w:lang w:val="lt-LT"/>
          </w:rPr>
          <w:t xml:space="preserve">. </w:t>
        </w:r>
        <w:r w:rsidR="00AA3082" w:rsidRPr="003D7275">
          <w:rPr>
            <w:rStyle w:val="Hipersaitas"/>
            <w:noProof/>
            <w:lang w:val="lt-LT"/>
          </w:rPr>
          <w:t>Patvirtinta projektų ir išmokėta lėšų Lietuvoje 2008-2012 m.</w:t>
        </w:r>
        <w:r w:rsidR="00AA3082">
          <w:rPr>
            <w:noProof/>
            <w:webHidden/>
          </w:rPr>
          <w:tab/>
        </w:r>
        <w:r w:rsidR="00AA3082">
          <w:rPr>
            <w:noProof/>
            <w:webHidden/>
          </w:rPr>
          <w:fldChar w:fldCharType="begin"/>
        </w:r>
        <w:r w:rsidR="00AA3082">
          <w:rPr>
            <w:noProof/>
            <w:webHidden/>
          </w:rPr>
          <w:instrText xml:space="preserve"> PAGEREF _Toc460321619 \h </w:instrText>
        </w:r>
        <w:r w:rsidR="00AA3082">
          <w:rPr>
            <w:noProof/>
            <w:webHidden/>
          </w:rPr>
        </w:r>
        <w:r w:rsidR="00AA3082">
          <w:rPr>
            <w:noProof/>
            <w:webHidden/>
          </w:rPr>
          <w:fldChar w:fldCharType="separate"/>
        </w:r>
        <w:r w:rsidR="00AA3082">
          <w:rPr>
            <w:noProof/>
            <w:webHidden/>
          </w:rPr>
          <w:t>94</w:t>
        </w:r>
        <w:r w:rsidR="00AA3082">
          <w:rPr>
            <w:noProof/>
            <w:webHidden/>
          </w:rPr>
          <w:fldChar w:fldCharType="end"/>
        </w:r>
      </w:hyperlink>
    </w:p>
    <w:p w14:paraId="2D1AAE0E" w14:textId="5F92BBBB" w:rsidR="00AA3082" w:rsidRDefault="00A65A8D">
      <w:pPr>
        <w:pStyle w:val="Iliustracijsraas"/>
        <w:tabs>
          <w:tab w:val="right" w:leader="dot" w:pos="9016"/>
        </w:tabs>
        <w:rPr>
          <w:rFonts w:eastAsiaTheme="minorEastAsia" w:cs="Arial Unicode MS"/>
          <w:noProof/>
          <w:lang w:bidi="lo-LA"/>
        </w:rPr>
      </w:pPr>
      <w:hyperlink w:anchor="_Toc460321620" w:history="1">
        <w:r w:rsidR="00AA3082" w:rsidRPr="003D7275">
          <w:rPr>
            <w:rStyle w:val="Hipersaitas"/>
            <w:noProof/>
            <w:lang w:val="lt-LT"/>
          </w:rPr>
          <w:t>Lentelė 39. CEB siūlomų finansinių produktų sąlygos.</w:t>
        </w:r>
        <w:r w:rsidR="00AA3082">
          <w:rPr>
            <w:noProof/>
            <w:webHidden/>
          </w:rPr>
          <w:tab/>
        </w:r>
        <w:r w:rsidR="00AA3082">
          <w:rPr>
            <w:noProof/>
            <w:webHidden/>
          </w:rPr>
          <w:fldChar w:fldCharType="begin"/>
        </w:r>
        <w:r w:rsidR="00AA3082">
          <w:rPr>
            <w:noProof/>
            <w:webHidden/>
          </w:rPr>
          <w:instrText xml:space="preserve"> PAGEREF _Toc460321620 \h </w:instrText>
        </w:r>
        <w:r w:rsidR="00AA3082">
          <w:rPr>
            <w:noProof/>
            <w:webHidden/>
          </w:rPr>
        </w:r>
        <w:r w:rsidR="00AA3082">
          <w:rPr>
            <w:noProof/>
            <w:webHidden/>
          </w:rPr>
          <w:fldChar w:fldCharType="separate"/>
        </w:r>
        <w:r w:rsidR="00AA3082">
          <w:rPr>
            <w:noProof/>
            <w:webHidden/>
          </w:rPr>
          <w:t>95</w:t>
        </w:r>
        <w:r w:rsidR="00AA3082">
          <w:rPr>
            <w:noProof/>
            <w:webHidden/>
          </w:rPr>
          <w:fldChar w:fldCharType="end"/>
        </w:r>
      </w:hyperlink>
    </w:p>
    <w:p w14:paraId="73941212" w14:textId="1DD1CA1B" w:rsidR="00AA3082" w:rsidRDefault="00A65A8D">
      <w:pPr>
        <w:pStyle w:val="Iliustracijsraas"/>
        <w:tabs>
          <w:tab w:val="right" w:leader="dot" w:pos="9016"/>
        </w:tabs>
        <w:rPr>
          <w:rFonts w:eastAsiaTheme="minorEastAsia" w:cs="Arial Unicode MS"/>
          <w:noProof/>
          <w:lang w:bidi="lo-LA"/>
        </w:rPr>
      </w:pPr>
      <w:hyperlink w:anchor="_Toc460321621" w:history="1">
        <w:r w:rsidR="00AA3082" w:rsidRPr="003D7275">
          <w:rPr>
            <w:rStyle w:val="Hipersaitas"/>
            <w:noProof/>
            <w:lang w:val="lt-LT"/>
          </w:rPr>
          <w:t>Lentelė 40. Privačių investuotojų lėšų pritraukimas į fondų fondo lygmenį.</w:t>
        </w:r>
        <w:r w:rsidR="00AA3082">
          <w:rPr>
            <w:noProof/>
            <w:webHidden/>
          </w:rPr>
          <w:tab/>
        </w:r>
        <w:r w:rsidR="00AA3082">
          <w:rPr>
            <w:noProof/>
            <w:webHidden/>
          </w:rPr>
          <w:fldChar w:fldCharType="begin"/>
        </w:r>
        <w:r w:rsidR="00AA3082">
          <w:rPr>
            <w:noProof/>
            <w:webHidden/>
          </w:rPr>
          <w:instrText xml:space="preserve"> PAGEREF _Toc460321621 \h </w:instrText>
        </w:r>
        <w:r w:rsidR="00AA3082">
          <w:rPr>
            <w:noProof/>
            <w:webHidden/>
          </w:rPr>
        </w:r>
        <w:r w:rsidR="00AA3082">
          <w:rPr>
            <w:noProof/>
            <w:webHidden/>
          </w:rPr>
          <w:fldChar w:fldCharType="separate"/>
        </w:r>
        <w:r w:rsidR="00AA3082">
          <w:rPr>
            <w:noProof/>
            <w:webHidden/>
          </w:rPr>
          <w:t>98</w:t>
        </w:r>
        <w:r w:rsidR="00AA3082">
          <w:rPr>
            <w:noProof/>
            <w:webHidden/>
          </w:rPr>
          <w:fldChar w:fldCharType="end"/>
        </w:r>
      </w:hyperlink>
    </w:p>
    <w:p w14:paraId="12862538" w14:textId="09F3A2CE" w:rsidR="00AA3082" w:rsidRDefault="00A65A8D">
      <w:pPr>
        <w:pStyle w:val="Iliustracijsraas"/>
        <w:tabs>
          <w:tab w:val="right" w:leader="dot" w:pos="9016"/>
        </w:tabs>
        <w:rPr>
          <w:rFonts w:eastAsiaTheme="minorEastAsia" w:cs="Arial Unicode MS"/>
          <w:noProof/>
          <w:lang w:bidi="lo-LA"/>
        </w:rPr>
      </w:pPr>
      <w:hyperlink w:anchor="_Toc460321622" w:history="1">
        <w:r w:rsidR="00AA3082" w:rsidRPr="003D7275">
          <w:rPr>
            <w:rStyle w:val="Hipersaitas"/>
            <w:noProof/>
            <w:lang w:val="lt-LT"/>
          </w:rPr>
          <w:t>Lentelė 41. Privačių investuotojų lėšų pritraukimas į finansinės priemonės lygmenį</w:t>
        </w:r>
        <w:r w:rsidR="00AA3082">
          <w:rPr>
            <w:noProof/>
            <w:webHidden/>
          </w:rPr>
          <w:tab/>
        </w:r>
        <w:r w:rsidR="00AA3082">
          <w:rPr>
            <w:noProof/>
            <w:webHidden/>
          </w:rPr>
          <w:fldChar w:fldCharType="begin"/>
        </w:r>
        <w:r w:rsidR="00AA3082">
          <w:rPr>
            <w:noProof/>
            <w:webHidden/>
          </w:rPr>
          <w:instrText xml:space="preserve"> PAGEREF _Toc460321622 \h </w:instrText>
        </w:r>
        <w:r w:rsidR="00AA3082">
          <w:rPr>
            <w:noProof/>
            <w:webHidden/>
          </w:rPr>
        </w:r>
        <w:r w:rsidR="00AA3082">
          <w:rPr>
            <w:noProof/>
            <w:webHidden/>
          </w:rPr>
          <w:fldChar w:fldCharType="separate"/>
        </w:r>
        <w:r w:rsidR="00AA3082">
          <w:rPr>
            <w:noProof/>
            <w:webHidden/>
          </w:rPr>
          <w:t>99</w:t>
        </w:r>
        <w:r w:rsidR="00AA3082">
          <w:rPr>
            <w:noProof/>
            <w:webHidden/>
          </w:rPr>
          <w:fldChar w:fldCharType="end"/>
        </w:r>
      </w:hyperlink>
    </w:p>
    <w:p w14:paraId="3F4E7F61" w14:textId="761C624B" w:rsidR="00AA3082" w:rsidRDefault="00A65A8D">
      <w:pPr>
        <w:pStyle w:val="Iliustracijsraas"/>
        <w:tabs>
          <w:tab w:val="right" w:leader="dot" w:pos="9016"/>
        </w:tabs>
        <w:rPr>
          <w:rFonts w:eastAsiaTheme="minorEastAsia" w:cs="Arial Unicode MS"/>
          <w:noProof/>
          <w:lang w:bidi="lo-LA"/>
        </w:rPr>
      </w:pPr>
      <w:hyperlink w:anchor="_Toc460321623" w:history="1">
        <w:r w:rsidR="00AA3082" w:rsidRPr="003D7275">
          <w:rPr>
            <w:rStyle w:val="Hipersaitas"/>
            <w:noProof/>
            <w:lang w:val="lt-LT"/>
          </w:rPr>
          <w:t>Lentelė 42. Daugiabučių renovacijos jautrumo analizės prielaidos.</w:t>
        </w:r>
        <w:r w:rsidR="00AA3082">
          <w:rPr>
            <w:noProof/>
            <w:webHidden/>
          </w:rPr>
          <w:tab/>
        </w:r>
        <w:r w:rsidR="00AA3082">
          <w:rPr>
            <w:noProof/>
            <w:webHidden/>
          </w:rPr>
          <w:fldChar w:fldCharType="begin"/>
        </w:r>
        <w:r w:rsidR="00AA3082">
          <w:rPr>
            <w:noProof/>
            <w:webHidden/>
          </w:rPr>
          <w:instrText xml:space="preserve"> PAGEREF _Toc460321623 \h </w:instrText>
        </w:r>
        <w:r w:rsidR="00AA3082">
          <w:rPr>
            <w:noProof/>
            <w:webHidden/>
          </w:rPr>
        </w:r>
        <w:r w:rsidR="00AA3082">
          <w:rPr>
            <w:noProof/>
            <w:webHidden/>
          </w:rPr>
          <w:fldChar w:fldCharType="separate"/>
        </w:r>
        <w:r w:rsidR="00AA3082">
          <w:rPr>
            <w:noProof/>
            <w:webHidden/>
          </w:rPr>
          <w:t>106</w:t>
        </w:r>
        <w:r w:rsidR="00AA3082">
          <w:rPr>
            <w:noProof/>
            <w:webHidden/>
          </w:rPr>
          <w:fldChar w:fldCharType="end"/>
        </w:r>
      </w:hyperlink>
    </w:p>
    <w:p w14:paraId="41798242" w14:textId="1590084C" w:rsidR="00AA3082" w:rsidRDefault="00A65A8D">
      <w:pPr>
        <w:pStyle w:val="Iliustracijsraas"/>
        <w:tabs>
          <w:tab w:val="right" w:leader="dot" w:pos="9016"/>
        </w:tabs>
        <w:rPr>
          <w:rFonts w:eastAsiaTheme="minorEastAsia" w:cs="Arial Unicode MS"/>
          <w:noProof/>
          <w:lang w:bidi="lo-LA"/>
        </w:rPr>
      </w:pPr>
      <w:hyperlink w:anchor="_Toc460321624" w:history="1">
        <w:r w:rsidR="00AA3082" w:rsidRPr="003D7275">
          <w:rPr>
            <w:rStyle w:val="Hipersaitas"/>
            <w:noProof/>
            <w:lang w:val="lt-LT"/>
          </w:rPr>
          <w:t>Lentelė 43. Sutaupytos energijos ir subsidijos poreikio santykio jautrumo analizė.</w:t>
        </w:r>
        <w:r w:rsidR="00AA3082">
          <w:rPr>
            <w:noProof/>
            <w:webHidden/>
          </w:rPr>
          <w:tab/>
        </w:r>
        <w:r w:rsidR="00AA3082">
          <w:rPr>
            <w:noProof/>
            <w:webHidden/>
          </w:rPr>
          <w:fldChar w:fldCharType="begin"/>
        </w:r>
        <w:r w:rsidR="00AA3082">
          <w:rPr>
            <w:noProof/>
            <w:webHidden/>
          </w:rPr>
          <w:instrText xml:space="preserve"> PAGEREF _Toc460321624 \h </w:instrText>
        </w:r>
        <w:r w:rsidR="00AA3082">
          <w:rPr>
            <w:noProof/>
            <w:webHidden/>
          </w:rPr>
        </w:r>
        <w:r w:rsidR="00AA3082">
          <w:rPr>
            <w:noProof/>
            <w:webHidden/>
          </w:rPr>
          <w:fldChar w:fldCharType="separate"/>
        </w:r>
        <w:r w:rsidR="00AA3082">
          <w:rPr>
            <w:noProof/>
            <w:webHidden/>
          </w:rPr>
          <w:t>107</w:t>
        </w:r>
        <w:r w:rsidR="00AA3082">
          <w:rPr>
            <w:noProof/>
            <w:webHidden/>
          </w:rPr>
          <w:fldChar w:fldCharType="end"/>
        </w:r>
      </w:hyperlink>
    </w:p>
    <w:p w14:paraId="6D86E588" w14:textId="120059B5" w:rsidR="00AA3082" w:rsidRDefault="00A65A8D">
      <w:pPr>
        <w:pStyle w:val="Iliustracijsraas"/>
        <w:tabs>
          <w:tab w:val="right" w:leader="dot" w:pos="9016"/>
        </w:tabs>
        <w:rPr>
          <w:rFonts w:eastAsiaTheme="minorEastAsia" w:cs="Arial Unicode MS"/>
          <w:noProof/>
          <w:lang w:bidi="lo-LA"/>
        </w:rPr>
      </w:pPr>
      <w:hyperlink w:anchor="_Toc460321625" w:history="1">
        <w:r w:rsidR="00AA3082" w:rsidRPr="003D7275">
          <w:rPr>
            <w:rStyle w:val="Hipersaitas"/>
            <w:noProof/>
            <w:lang w:val="lt-LT"/>
          </w:rPr>
          <w:t>Lentelė 44. Šilumos kainos ir galimo sutaupymo santykio jautrumo analizės rezultatai (su subsidija)</w:t>
        </w:r>
        <w:r w:rsidR="00AA3082">
          <w:rPr>
            <w:noProof/>
            <w:webHidden/>
          </w:rPr>
          <w:tab/>
        </w:r>
        <w:r w:rsidR="00AA3082">
          <w:rPr>
            <w:noProof/>
            <w:webHidden/>
          </w:rPr>
          <w:fldChar w:fldCharType="begin"/>
        </w:r>
        <w:r w:rsidR="00AA3082">
          <w:rPr>
            <w:noProof/>
            <w:webHidden/>
          </w:rPr>
          <w:instrText xml:space="preserve"> PAGEREF _Toc460321625 \h </w:instrText>
        </w:r>
        <w:r w:rsidR="00AA3082">
          <w:rPr>
            <w:noProof/>
            <w:webHidden/>
          </w:rPr>
        </w:r>
        <w:r w:rsidR="00AA3082">
          <w:rPr>
            <w:noProof/>
            <w:webHidden/>
          </w:rPr>
          <w:fldChar w:fldCharType="separate"/>
        </w:r>
        <w:r w:rsidR="00AA3082">
          <w:rPr>
            <w:noProof/>
            <w:webHidden/>
          </w:rPr>
          <w:t>107</w:t>
        </w:r>
        <w:r w:rsidR="00AA3082">
          <w:rPr>
            <w:noProof/>
            <w:webHidden/>
          </w:rPr>
          <w:fldChar w:fldCharType="end"/>
        </w:r>
      </w:hyperlink>
    </w:p>
    <w:p w14:paraId="6B207E27" w14:textId="5FF4A68C" w:rsidR="00AA3082" w:rsidRDefault="00A65A8D">
      <w:pPr>
        <w:pStyle w:val="Iliustracijsraas"/>
        <w:tabs>
          <w:tab w:val="right" w:leader="dot" w:pos="9016"/>
        </w:tabs>
        <w:rPr>
          <w:rFonts w:eastAsiaTheme="minorEastAsia" w:cs="Arial Unicode MS"/>
          <w:noProof/>
          <w:lang w:bidi="lo-LA"/>
        </w:rPr>
      </w:pPr>
      <w:hyperlink w:anchor="_Toc460321626" w:history="1">
        <w:r w:rsidR="00AA3082" w:rsidRPr="003D7275">
          <w:rPr>
            <w:rStyle w:val="Hipersaitas"/>
            <w:noProof/>
            <w:lang w:val="lt-LT"/>
          </w:rPr>
          <w:t>Lentelė 45. Šilumos kainos ir galimo sutaupymo santykio jautrumo analizė (be subsidijos)</w:t>
        </w:r>
        <w:r w:rsidR="00AA3082">
          <w:rPr>
            <w:noProof/>
            <w:webHidden/>
          </w:rPr>
          <w:tab/>
        </w:r>
        <w:r w:rsidR="00AA3082">
          <w:rPr>
            <w:noProof/>
            <w:webHidden/>
          </w:rPr>
          <w:fldChar w:fldCharType="begin"/>
        </w:r>
        <w:r w:rsidR="00AA3082">
          <w:rPr>
            <w:noProof/>
            <w:webHidden/>
          </w:rPr>
          <w:instrText xml:space="preserve"> PAGEREF _Toc460321626 \h </w:instrText>
        </w:r>
        <w:r w:rsidR="00AA3082">
          <w:rPr>
            <w:noProof/>
            <w:webHidden/>
          </w:rPr>
        </w:r>
        <w:r w:rsidR="00AA3082">
          <w:rPr>
            <w:noProof/>
            <w:webHidden/>
          </w:rPr>
          <w:fldChar w:fldCharType="separate"/>
        </w:r>
        <w:r w:rsidR="00AA3082">
          <w:rPr>
            <w:noProof/>
            <w:webHidden/>
          </w:rPr>
          <w:t>108</w:t>
        </w:r>
        <w:r w:rsidR="00AA3082">
          <w:rPr>
            <w:noProof/>
            <w:webHidden/>
          </w:rPr>
          <w:fldChar w:fldCharType="end"/>
        </w:r>
      </w:hyperlink>
    </w:p>
    <w:p w14:paraId="58947FCC" w14:textId="408AB946" w:rsidR="00AA3082" w:rsidRDefault="00A65A8D">
      <w:pPr>
        <w:pStyle w:val="Iliustracijsraas"/>
        <w:tabs>
          <w:tab w:val="right" w:leader="dot" w:pos="9016"/>
        </w:tabs>
        <w:rPr>
          <w:rFonts w:eastAsiaTheme="minorEastAsia" w:cs="Arial Unicode MS"/>
          <w:noProof/>
          <w:lang w:bidi="lo-LA"/>
        </w:rPr>
      </w:pPr>
      <w:hyperlink w:anchor="_Toc460321627" w:history="1">
        <w:r w:rsidR="00AA3082" w:rsidRPr="003D7275">
          <w:rPr>
            <w:rStyle w:val="Hipersaitas"/>
            <w:noProof/>
            <w:lang w:val="lt-LT"/>
          </w:rPr>
          <w:t>Lentelė 46. Energijos kainos ir subsidijos elemento santykio analizė.</w:t>
        </w:r>
        <w:r w:rsidR="00AA3082">
          <w:rPr>
            <w:noProof/>
            <w:webHidden/>
          </w:rPr>
          <w:tab/>
        </w:r>
        <w:r w:rsidR="00AA3082">
          <w:rPr>
            <w:noProof/>
            <w:webHidden/>
          </w:rPr>
          <w:fldChar w:fldCharType="begin"/>
        </w:r>
        <w:r w:rsidR="00AA3082">
          <w:rPr>
            <w:noProof/>
            <w:webHidden/>
          </w:rPr>
          <w:instrText xml:space="preserve"> PAGEREF _Toc460321627 \h </w:instrText>
        </w:r>
        <w:r w:rsidR="00AA3082">
          <w:rPr>
            <w:noProof/>
            <w:webHidden/>
          </w:rPr>
        </w:r>
        <w:r w:rsidR="00AA3082">
          <w:rPr>
            <w:noProof/>
            <w:webHidden/>
          </w:rPr>
          <w:fldChar w:fldCharType="separate"/>
        </w:r>
        <w:r w:rsidR="00AA3082">
          <w:rPr>
            <w:noProof/>
            <w:webHidden/>
          </w:rPr>
          <w:t>108</w:t>
        </w:r>
        <w:r w:rsidR="00AA3082">
          <w:rPr>
            <w:noProof/>
            <w:webHidden/>
          </w:rPr>
          <w:fldChar w:fldCharType="end"/>
        </w:r>
      </w:hyperlink>
    </w:p>
    <w:p w14:paraId="53F7A906" w14:textId="7B13C5A6" w:rsidR="00AA3082" w:rsidRDefault="00A65A8D">
      <w:pPr>
        <w:pStyle w:val="Iliustracijsraas"/>
        <w:tabs>
          <w:tab w:val="right" w:leader="dot" w:pos="9016"/>
        </w:tabs>
        <w:rPr>
          <w:rFonts w:eastAsiaTheme="minorEastAsia" w:cs="Arial Unicode MS"/>
          <w:noProof/>
          <w:lang w:bidi="lo-LA"/>
        </w:rPr>
      </w:pPr>
      <w:hyperlink w:anchor="_Toc460321628" w:history="1">
        <w:r w:rsidR="00AA3082" w:rsidRPr="003D7275">
          <w:rPr>
            <w:rStyle w:val="Hipersaitas"/>
            <w:noProof/>
            <w:lang w:val="lt-LT"/>
          </w:rPr>
          <w:t>Lentelė 47. Energijos kainos augimo ir subsidijos elemento santykio jautrumo analizė.</w:t>
        </w:r>
        <w:r w:rsidR="00AA3082">
          <w:rPr>
            <w:noProof/>
            <w:webHidden/>
          </w:rPr>
          <w:tab/>
        </w:r>
        <w:r w:rsidR="00AA3082">
          <w:rPr>
            <w:noProof/>
            <w:webHidden/>
          </w:rPr>
          <w:fldChar w:fldCharType="begin"/>
        </w:r>
        <w:r w:rsidR="00AA3082">
          <w:rPr>
            <w:noProof/>
            <w:webHidden/>
          </w:rPr>
          <w:instrText xml:space="preserve"> PAGEREF _Toc460321628 \h </w:instrText>
        </w:r>
        <w:r w:rsidR="00AA3082">
          <w:rPr>
            <w:noProof/>
            <w:webHidden/>
          </w:rPr>
        </w:r>
        <w:r w:rsidR="00AA3082">
          <w:rPr>
            <w:noProof/>
            <w:webHidden/>
          </w:rPr>
          <w:fldChar w:fldCharType="separate"/>
        </w:r>
        <w:r w:rsidR="00AA3082">
          <w:rPr>
            <w:noProof/>
            <w:webHidden/>
          </w:rPr>
          <w:t>109</w:t>
        </w:r>
        <w:r w:rsidR="00AA3082">
          <w:rPr>
            <w:noProof/>
            <w:webHidden/>
          </w:rPr>
          <w:fldChar w:fldCharType="end"/>
        </w:r>
      </w:hyperlink>
    </w:p>
    <w:p w14:paraId="5F1C24F1" w14:textId="13FFAC3B" w:rsidR="00AA3082" w:rsidRDefault="00A65A8D">
      <w:pPr>
        <w:pStyle w:val="Iliustracijsraas"/>
        <w:tabs>
          <w:tab w:val="right" w:leader="dot" w:pos="9016"/>
        </w:tabs>
        <w:rPr>
          <w:rFonts w:eastAsiaTheme="minorEastAsia" w:cs="Arial Unicode MS"/>
          <w:noProof/>
          <w:lang w:bidi="lo-LA"/>
        </w:rPr>
      </w:pPr>
      <w:hyperlink w:anchor="_Toc460321629" w:history="1">
        <w:r w:rsidR="00AA3082" w:rsidRPr="003D7275">
          <w:rPr>
            <w:rStyle w:val="Hipersaitas"/>
            <w:noProof/>
            <w:lang w:val="lt-LT"/>
          </w:rPr>
          <w:t>Lentelė 48. Kitos viešųjų pastatų renovacijos jautrumo analizės prielaidos.</w:t>
        </w:r>
        <w:r w:rsidR="00AA3082">
          <w:rPr>
            <w:noProof/>
            <w:webHidden/>
          </w:rPr>
          <w:tab/>
        </w:r>
        <w:r w:rsidR="00AA3082">
          <w:rPr>
            <w:noProof/>
            <w:webHidden/>
          </w:rPr>
          <w:fldChar w:fldCharType="begin"/>
        </w:r>
        <w:r w:rsidR="00AA3082">
          <w:rPr>
            <w:noProof/>
            <w:webHidden/>
          </w:rPr>
          <w:instrText xml:space="preserve"> PAGEREF _Toc460321629 \h </w:instrText>
        </w:r>
        <w:r w:rsidR="00AA3082">
          <w:rPr>
            <w:noProof/>
            <w:webHidden/>
          </w:rPr>
        </w:r>
        <w:r w:rsidR="00AA3082">
          <w:rPr>
            <w:noProof/>
            <w:webHidden/>
          </w:rPr>
          <w:fldChar w:fldCharType="separate"/>
        </w:r>
        <w:r w:rsidR="00AA3082">
          <w:rPr>
            <w:noProof/>
            <w:webHidden/>
          </w:rPr>
          <w:t>109</w:t>
        </w:r>
        <w:r w:rsidR="00AA3082">
          <w:rPr>
            <w:noProof/>
            <w:webHidden/>
          </w:rPr>
          <w:fldChar w:fldCharType="end"/>
        </w:r>
      </w:hyperlink>
    </w:p>
    <w:p w14:paraId="55C2229E" w14:textId="3A01279C" w:rsidR="00AA3082" w:rsidRDefault="00A65A8D">
      <w:pPr>
        <w:pStyle w:val="Iliustracijsraas"/>
        <w:tabs>
          <w:tab w:val="right" w:leader="dot" w:pos="9016"/>
        </w:tabs>
        <w:rPr>
          <w:rFonts w:eastAsiaTheme="minorEastAsia" w:cs="Arial Unicode MS"/>
          <w:noProof/>
          <w:lang w:bidi="lo-LA"/>
        </w:rPr>
      </w:pPr>
      <w:hyperlink w:anchor="_Toc460321630" w:history="1">
        <w:r w:rsidR="00AA3082" w:rsidRPr="003D7275">
          <w:rPr>
            <w:rStyle w:val="Hipersaitas"/>
            <w:noProof/>
            <w:lang w:val="lt-LT"/>
          </w:rPr>
          <w:t>Lentelė 49. Sutaupytos energijos ir subsidijos poreikio santykio jautrumo analizė.</w:t>
        </w:r>
        <w:r w:rsidR="00AA3082">
          <w:rPr>
            <w:noProof/>
            <w:webHidden/>
          </w:rPr>
          <w:tab/>
        </w:r>
        <w:r w:rsidR="00AA3082">
          <w:rPr>
            <w:noProof/>
            <w:webHidden/>
          </w:rPr>
          <w:fldChar w:fldCharType="begin"/>
        </w:r>
        <w:r w:rsidR="00AA3082">
          <w:rPr>
            <w:noProof/>
            <w:webHidden/>
          </w:rPr>
          <w:instrText xml:space="preserve"> PAGEREF _Toc460321630 \h </w:instrText>
        </w:r>
        <w:r w:rsidR="00AA3082">
          <w:rPr>
            <w:noProof/>
            <w:webHidden/>
          </w:rPr>
        </w:r>
        <w:r w:rsidR="00AA3082">
          <w:rPr>
            <w:noProof/>
            <w:webHidden/>
          </w:rPr>
          <w:fldChar w:fldCharType="separate"/>
        </w:r>
        <w:r w:rsidR="00AA3082">
          <w:rPr>
            <w:noProof/>
            <w:webHidden/>
          </w:rPr>
          <w:t>110</w:t>
        </w:r>
        <w:r w:rsidR="00AA3082">
          <w:rPr>
            <w:noProof/>
            <w:webHidden/>
          </w:rPr>
          <w:fldChar w:fldCharType="end"/>
        </w:r>
      </w:hyperlink>
    </w:p>
    <w:p w14:paraId="13B6E4E9" w14:textId="1F34724E" w:rsidR="00AA3082" w:rsidRDefault="00A65A8D">
      <w:pPr>
        <w:pStyle w:val="Iliustracijsraas"/>
        <w:tabs>
          <w:tab w:val="right" w:leader="dot" w:pos="9016"/>
        </w:tabs>
        <w:rPr>
          <w:rFonts w:eastAsiaTheme="minorEastAsia" w:cs="Arial Unicode MS"/>
          <w:noProof/>
          <w:lang w:bidi="lo-LA"/>
        </w:rPr>
      </w:pPr>
      <w:hyperlink w:anchor="_Toc460321631" w:history="1">
        <w:r w:rsidR="00AA3082" w:rsidRPr="003D7275">
          <w:rPr>
            <w:rStyle w:val="Hipersaitas"/>
            <w:noProof/>
            <w:lang w:val="lt-LT"/>
          </w:rPr>
          <w:t>Lentelė 50. Šilumos kainos ir galimo sutaupymo santykio jautrumo analizės rezultatai (su subsidija).</w:t>
        </w:r>
        <w:r w:rsidR="00AA3082">
          <w:rPr>
            <w:noProof/>
            <w:webHidden/>
          </w:rPr>
          <w:tab/>
        </w:r>
        <w:r w:rsidR="00AA3082">
          <w:rPr>
            <w:noProof/>
            <w:webHidden/>
          </w:rPr>
          <w:fldChar w:fldCharType="begin"/>
        </w:r>
        <w:r w:rsidR="00AA3082">
          <w:rPr>
            <w:noProof/>
            <w:webHidden/>
          </w:rPr>
          <w:instrText xml:space="preserve"> PAGEREF _Toc460321631 \h </w:instrText>
        </w:r>
        <w:r w:rsidR="00AA3082">
          <w:rPr>
            <w:noProof/>
            <w:webHidden/>
          </w:rPr>
        </w:r>
        <w:r w:rsidR="00AA3082">
          <w:rPr>
            <w:noProof/>
            <w:webHidden/>
          </w:rPr>
          <w:fldChar w:fldCharType="separate"/>
        </w:r>
        <w:r w:rsidR="00AA3082">
          <w:rPr>
            <w:noProof/>
            <w:webHidden/>
          </w:rPr>
          <w:t>110</w:t>
        </w:r>
        <w:r w:rsidR="00AA3082">
          <w:rPr>
            <w:noProof/>
            <w:webHidden/>
          </w:rPr>
          <w:fldChar w:fldCharType="end"/>
        </w:r>
      </w:hyperlink>
    </w:p>
    <w:p w14:paraId="6A788C7E" w14:textId="14739FD0" w:rsidR="00AA3082" w:rsidRDefault="00A65A8D">
      <w:pPr>
        <w:pStyle w:val="Iliustracijsraas"/>
        <w:tabs>
          <w:tab w:val="right" w:leader="dot" w:pos="9016"/>
        </w:tabs>
        <w:rPr>
          <w:rFonts w:eastAsiaTheme="minorEastAsia" w:cs="Arial Unicode MS"/>
          <w:noProof/>
          <w:lang w:bidi="lo-LA"/>
        </w:rPr>
      </w:pPr>
      <w:hyperlink w:anchor="_Toc460321632" w:history="1">
        <w:r w:rsidR="00AA3082" w:rsidRPr="003D7275">
          <w:rPr>
            <w:rStyle w:val="Hipersaitas"/>
            <w:noProof/>
            <w:lang w:val="lt-LT"/>
          </w:rPr>
          <w:t>Lentelė 51. Šilumos kainos ir galimo sutaupymo santykio jautrumo analizė (be subsidijos)</w:t>
        </w:r>
        <w:r w:rsidR="00AA3082">
          <w:rPr>
            <w:noProof/>
            <w:webHidden/>
          </w:rPr>
          <w:tab/>
        </w:r>
        <w:r w:rsidR="00AA3082">
          <w:rPr>
            <w:noProof/>
            <w:webHidden/>
          </w:rPr>
          <w:fldChar w:fldCharType="begin"/>
        </w:r>
        <w:r w:rsidR="00AA3082">
          <w:rPr>
            <w:noProof/>
            <w:webHidden/>
          </w:rPr>
          <w:instrText xml:space="preserve"> PAGEREF _Toc460321632 \h </w:instrText>
        </w:r>
        <w:r w:rsidR="00AA3082">
          <w:rPr>
            <w:noProof/>
            <w:webHidden/>
          </w:rPr>
        </w:r>
        <w:r w:rsidR="00AA3082">
          <w:rPr>
            <w:noProof/>
            <w:webHidden/>
          </w:rPr>
          <w:fldChar w:fldCharType="separate"/>
        </w:r>
        <w:r w:rsidR="00AA3082">
          <w:rPr>
            <w:noProof/>
            <w:webHidden/>
          </w:rPr>
          <w:t>111</w:t>
        </w:r>
        <w:r w:rsidR="00AA3082">
          <w:rPr>
            <w:noProof/>
            <w:webHidden/>
          </w:rPr>
          <w:fldChar w:fldCharType="end"/>
        </w:r>
      </w:hyperlink>
    </w:p>
    <w:p w14:paraId="2DB2B36A" w14:textId="0F0D2974" w:rsidR="00AA3082" w:rsidRDefault="00A65A8D">
      <w:pPr>
        <w:pStyle w:val="Iliustracijsraas"/>
        <w:tabs>
          <w:tab w:val="right" w:leader="dot" w:pos="9016"/>
        </w:tabs>
        <w:rPr>
          <w:rFonts w:eastAsiaTheme="minorEastAsia" w:cs="Arial Unicode MS"/>
          <w:noProof/>
          <w:lang w:bidi="lo-LA"/>
        </w:rPr>
      </w:pPr>
      <w:hyperlink w:anchor="_Toc460321633" w:history="1">
        <w:r w:rsidR="00AA3082" w:rsidRPr="003D7275">
          <w:rPr>
            <w:rStyle w:val="Hipersaitas"/>
            <w:noProof/>
            <w:lang w:val="lt-LT"/>
          </w:rPr>
          <w:t>Lentelė 52. Energijos kainos ir subsidijos elemento santykio analizė.</w:t>
        </w:r>
        <w:r w:rsidR="00AA3082">
          <w:rPr>
            <w:noProof/>
            <w:webHidden/>
          </w:rPr>
          <w:tab/>
        </w:r>
        <w:r w:rsidR="00AA3082">
          <w:rPr>
            <w:noProof/>
            <w:webHidden/>
          </w:rPr>
          <w:fldChar w:fldCharType="begin"/>
        </w:r>
        <w:r w:rsidR="00AA3082">
          <w:rPr>
            <w:noProof/>
            <w:webHidden/>
          </w:rPr>
          <w:instrText xml:space="preserve"> PAGEREF _Toc460321633 \h </w:instrText>
        </w:r>
        <w:r w:rsidR="00AA3082">
          <w:rPr>
            <w:noProof/>
            <w:webHidden/>
          </w:rPr>
        </w:r>
        <w:r w:rsidR="00AA3082">
          <w:rPr>
            <w:noProof/>
            <w:webHidden/>
          </w:rPr>
          <w:fldChar w:fldCharType="separate"/>
        </w:r>
        <w:r w:rsidR="00AA3082">
          <w:rPr>
            <w:noProof/>
            <w:webHidden/>
          </w:rPr>
          <w:t>111</w:t>
        </w:r>
        <w:r w:rsidR="00AA3082">
          <w:rPr>
            <w:noProof/>
            <w:webHidden/>
          </w:rPr>
          <w:fldChar w:fldCharType="end"/>
        </w:r>
      </w:hyperlink>
    </w:p>
    <w:p w14:paraId="3B99A3BA" w14:textId="1052173A" w:rsidR="00AA3082" w:rsidRDefault="00A65A8D">
      <w:pPr>
        <w:pStyle w:val="Iliustracijsraas"/>
        <w:tabs>
          <w:tab w:val="right" w:leader="dot" w:pos="9016"/>
        </w:tabs>
        <w:rPr>
          <w:rFonts w:eastAsiaTheme="minorEastAsia" w:cs="Arial Unicode MS"/>
          <w:noProof/>
          <w:lang w:bidi="lo-LA"/>
        </w:rPr>
      </w:pPr>
      <w:hyperlink w:anchor="_Toc460321634" w:history="1">
        <w:r w:rsidR="00AA3082" w:rsidRPr="003D7275">
          <w:rPr>
            <w:rStyle w:val="Hipersaitas"/>
            <w:noProof/>
            <w:lang w:val="lt-LT"/>
          </w:rPr>
          <w:t>Lentelė 53. Energijos kainos augimo ir subsidijos elemento jautrumo analizė.</w:t>
        </w:r>
        <w:r w:rsidR="00AA3082">
          <w:rPr>
            <w:noProof/>
            <w:webHidden/>
          </w:rPr>
          <w:tab/>
        </w:r>
        <w:r w:rsidR="00AA3082">
          <w:rPr>
            <w:noProof/>
            <w:webHidden/>
          </w:rPr>
          <w:fldChar w:fldCharType="begin"/>
        </w:r>
        <w:r w:rsidR="00AA3082">
          <w:rPr>
            <w:noProof/>
            <w:webHidden/>
          </w:rPr>
          <w:instrText xml:space="preserve"> PAGEREF _Toc460321634 \h </w:instrText>
        </w:r>
        <w:r w:rsidR="00AA3082">
          <w:rPr>
            <w:noProof/>
            <w:webHidden/>
          </w:rPr>
        </w:r>
        <w:r w:rsidR="00AA3082">
          <w:rPr>
            <w:noProof/>
            <w:webHidden/>
          </w:rPr>
          <w:fldChar w:fldCharType="separate"/>
        </w:r>
        <w:r w:rsidR="00AA3082">
          <w:rPr>
            <w:noProof/>
            <w:webHidden/>
          </w:rPr>
          <w:t>112</w:t>
        </w:r>
        <w:r w:rsidR="00AA3082">
          <w:rPr>
            <w:noProof/>
            <w:webHidden/>
          </w:rPr>
          <w:fldChar w:fldCharType="end"/>
        </w:r>
      </w:hyperlink>
    </w:p>
    <w:p w14:paraId="102AF595" w14:textId="336ECB29" w:rsidR="00AA3082" w:rsidRDefault="00A65A8D">
      <w:pPr>
        <w:pStyle w:val="Iliustracijsraas"/>
        <w:tabs>
          <w:tab w:val="right" w:leader="dot" w:pos="9016"/>
        </w:tabs>
        <w:rPr>
          <w:rFonts w:eastAsiaTheme="minorEastAsia" w:cs="Arial Unicode MS"/>
          <w:noProof/>
          <w:lang w:bidi="lo-LA"/>
        </w:rPr>
      </w:pPr>
      <w:hyperlink w:anchor="_Toc460321635" w:history="1">
        <w:r w:rsidR="00AA3082" w:rsidRPr="003D7275">
          <w:rPr>
            <w:rStyle w:val="Hipersaitas"/>
            <w:noProof/>
            <w:lang w:val="lt-LT"/>
          </w:rPr>
          <w:t>Lentelė 54. Scenarijaus Nr. 1 prielaidos</w:t>
        </w:r>
        <w:r w:rsidR="00AA3082">
          <w:rPr>
            <w:noProof/>
            <w:webHidden/>
          </w:rPr>
          <w:tab/>
        </w:r>
        <w:r w:rsidR="00AA3082">
          <w:rPr>
            <w:noProof/>
            <w:webHidden/>
          </w:rPr>
          <w:fldChar w:fldCharType="begin"/>
        </w:r>
        <w:r w:rsidR="00AA3082">
          <w:rPr>
            <w:noProof/>
            <w:webHidden/>
          </w:rPr>
          <w:instrText xml:space="preserve"> PAGEREF _Toc460321635 \h </w:instrText>
        </w:r>
        <w:r w:rsidR="00AA3082">
          <w:rPr>
            <w:noProof/>
            <w:webHidden/>
          </w:rPr>
        </w:r>
        <w:r w:rsidR="00AA3082">
          <w:rPr>
            <w:noProof/>
            <w:webHidden/>
          </w:rPr>
          <w:fldChar w:fldCharType="separate"/>
        </w:r>
        <w:r w:rsidR="00AA3082">
          <w:rPr>
            <w:noProof/>
            <w:webHidden/>
          </w:rPr>
          <w:t>115</w:t>
        </w:r>
        <w:r w:rsidR="00AA3082">
          <w:rPr>
            <w:noProof/>
            <w:webHidden/>
          </w:rPr>
          <w:fldChar w:fldCharType="end"/>
        </w:r>
      </w:hyperlink>
    </w:p>
    <w:p w14:paraId="5B1C14E4" w14:textId="446E0236" w:rsidR="00AA3082" w:rsidRDefault="00A65A8D">
      <w:pPr>
        <w:pStyle w:val="Iliustracijsraas"/>
        <w:tabs>
          <w:tab w:val="right" w:leader="dot" w:pos="9016"/>
        </w:tabs>
        <w:rPr>
          <w:rFonts w:eastAsiaTheme="minorEastAsia" w:cs="Arial Unicode MS"/>
          <w:noProof/>
          <w:lang w:bidi="lo-LA"/>
        </w:rPr>
      </w:pPr>
      <w:hyperlink w:anchor="_Toc460321636" w:history="1">
        <w:r w:rsidR="00AA3082" w:rsidRPr="003D7275">
          <w:rPr>
            <w:rStyle w:val="Hipersaitas"/>
            <w:noProof/>
            <w:lang w:val="lt-LT"/>
          </w:rPr>
          <w:t>Lentelė 55. Scenarijaus Nr. 1 įgyvendinimo prognozė</w:t>
        </w:r>
        <w:r w:rsidR="00AA3082">
          <w:rPr>
            <w:noProof/>
            <w:webHidden/>
          </w:rPr>
          <w:tab/>
        </w:r>
        <w:r w:rsidR="00AA3082">
          <w:rPr>
            <w:noProof/>
            <w:webHidden/>
          </w:rPr>
          <w:fldChar w:fldCharType="begin"/>
        </w:r>
        <w:r w:rsidR="00AA3082">
          <w:rPr>
            <w:noProof/>
            <w:webHidden/>
          </w:rPr>
          <w:instrText xml:space="preserve"> PAGEREF _Toc460321636 \h </w:instrText>
        </w:r>
        <w:r w:rsidR="00AA3082">
          <w:rPr>
            <w:noProof/>
            <w:webHidden/>
          </w:rPr>
        </w:r>
        <w:r w:rsidR="00AA3082">
          <w:rPr>
            <w:noProof/>
            <w:webHidden/>
          </w:rPr>
          <w:fldChar w:fldCharType="separate"/>
        </w:r>
        <w:r w:rsidR="00AA3082">
          <w:rPr>
            <w:noProof/>
            <w:webHidden/>
          </w:rPr>
          <w:t>116</w:t>
        </w:r>
        <w:r w:rsidR="00AA3082">
          <w:rPr>
            <w:noProof/>
            <w:webHidden/>
          </w:rPr>
          <w:fldChar w:fldCharType="end"/>
        </w:r>
      </w:hyperlink>
    </w:p>
    <w:p w14:paraId="5F5A5EC5" w14:textId="13E2A4C4" w:rsidR="00AA3082" w:rsidRDefault="00A65A8D">
      <w:pPr>
        <w:pStyle w:val="Iliustracijsraas"/>
        <w:tabs>
          <w:tab w:val="right" w:leader="dot" w:pos="9016"/>
        </w:tabs>
        <w:rPr>
          <w:rFonts w:eastAsiaTheme="minorEastAsia" w:cs="Arial Unicode MS"/>
          <w:noProof/>
          <w:lang w:bidi="lo-LA"/>
        </w:rPr>
      </w:pPr>
      <w:hyperlink w:anchor="_Toc460321637" w:history="1">
        <w:r w:rsidR="00AA3082" w:rsidRPr="003D7275">
          <w:rPr>
            <w:rStyle w:val="Hipersaitas"/>
            <w:noProof/>
            <w:lang w:val="lt-LT"/>
          </w:rPr>
          <w:t>Lentelė 56. Scenarijaus Nr. 1 rezultatai</w:t>
        </w:r>
        <w:r w:rsidR="00AA3082">
          <w:rPr>
            <w:noProof/>
            <w:webHidden/>
          </w:rPr>
          <w:tab/>
        </w:r>
        <w:r w:rsidR="00AA3082">
          <w:rPr>
            <w:noProof/>
            <w:webHidden/>
          </w:rPr>
          <w:fldChar w:fldCharType="begin"/>
        </w:r>
        <w:r w:rsidR="00AA3082">
          <w:rPr>
            <w:noProof/>
            <w:webHidden/>
          </w:rPr>
          <w:instrText xml:space="preserve"> PAGEREF _Toc460321637 \h </w:instrText>
        </w:r>
        <w:r w:rsidR="00AA3082">
          <w:rPr>
            <w:noProof/>
            <w:webHidden/>
          </w:rPr>
        </w:r>
        <w:r w:rsidR="00AA3082">
          <w:rPr>
            <w:noProof/>
            <w:webHidden/>
          </w:rPr>
          <w:fldChar w:fldCharType="separate"/>
        </w:r>
        <w:r w:rsidR="00AA3082">
          <w:rPr>
            <w:noProof/>
            <w:webHidden/>
          </w:rPr>
          <w:t>116</w:t>
        </w:r>
        <w:r w:rsidR="00AA3082">
          <w:rPr>
            <w:noProof/>
            <w:webHidden/>
          </w:rPr>
          <w:fldChar w:fldCharType="end"/>
        </w:r>
      </w:hyperlink>
    </w:p>
    <w:p w14:paraId="28F293A5" w14:textId="1A246713" w:rsidR="00AA3082" w:rsidRDefault="00A65A8D">
      <w:pPr>
        <w:pStyle w:val="Iliustracijsraas"/>
        <w:tabs>
          <w:tab w:val="right" w:leader="dot" w:pos="9016"/>
        </w:tabs>
        <w:rPr>
          <w:rFonts w:eastAsiaTheme="minorEastAsia" w:cs="Arial Unicode MS"/>
          <w:noProof/>
          <w:lang w:bidi="lo-LA"/>
        </w:rPr>
      </w:pPr>
      <w:hyperlink w:anchor="_Toc460321638" w:history="1">
        <w:r w:rsidR="00AA3082" w:rsidRPr="003D7275">
          <w:rPr>
            <w:rStyle w:val="Hipersaitas"/>
            <w:noProof/>
            <w:lang w:val="lt-LT"/>
          </w:rPr>
          <w:t>Lentelė 57. Scenarijaus Nr. 2 prielaidos</w:t>
        </w:r>
        <w:r w:rsidR="00AA3082">
          <w:rPr>
            <w:noProof/>
            <w:webHidden/>
          </w:rPr>
          <w:tab/>
        </w:r>
        <w:r w:rsidR="00AA3082">
          <w:rPr>
            <w:noProof/>
            <w:webHidden/>
          </w:rPr>
          <w:fldChar w:fldCharType="begin"/>
        </w:r>
        <w:r w:rsidR="00AA3082">
          <w:rPr>
            <w:noProof/>
            <w:webHidden/>
          </w:rPr>
          <w:instrText xml:space="preserve"> PAGEREF _Toc460321638 \h </w:instrText>
        </w:r>
        <w:r w:rsidR="00AA3082">
          <w:rPr>
            <w:noProof/>
            <w:webHidden/>
          </w:rPr>
        </w:r>
        <w:r w:rsidR="00AA3082">
          <w:rPr>
            <w:noProof/>
            <w:webHidden/>
          </w:rPr>
          <w:fldChar w:fldCharType="separate"/>
        </w:r>
        <w:r w:rsidR="00AA3082">
          <w:rPr>
            <w:noProof/>
            <w:webHidden/>
          </w:rPr>
          <w:t>117</w:t>
        </w:r>
        <w:r w:rsidR="00AA3082">
          <w:rPr>
            <w:noProof/>
            <w:webHidden/>
          </w:rPr>
          <w:fldChar w:fldCharType="end"/>
        </w:r>
      </w:hyperlink>
    </w:p>
    <w:p w14:paraId="7D16DFE1" w14:textId="4E06BB2E" w:rsidR="00AA3082" w:rsidRDefault="00A65A8D">
      <w:pPr>
        <w:pStyle w:val="Iliustracijsraas"/>
        <w:tabs>
          <w:tab w:val="right" w:leader="dot" w:pos="9016"/>
        </w:tabs>
        <w:rPr>
          <w:rFonts w:eastAsiaTheme="minorEastAsia" w:cs="Arial Unicode MS"/>
          <w:noProof/>
          <w:lang w:bidi="lo-LA"/>
        </w:rPr>
      </w:pPr>
      <w:hyperlink w:anchor="_Toc460321639" w:history="1">
        <w:r w:rsidR="00AA3082" w:rsidRPr="003D7275">
          <w:rPr>
            <w:rStyle w:val="Hipersaitas"/>
            <w:noProof/>
            <w:lang w:val="lt-LT"/>
          </w:rPr>
          <w:t>Lentelė 58. Scenarijaus Nr. 2 įgyvendinimo prognozė</w:t>
        </w:r>
        <w:r w:rsidR="00AA3082">
          <w:rPr>
            <w:noProof/>
            <w:webHidden/>
          </w:rPr>
          <w:tab/>
        </w:r>
        <w:r w:rsidR="00AA3082">
          <w:rPr>
            <w:noProof/>
            <w:webHidden/>
          </w:rPr>
          <w:fldChar w:fldCharType="begin"/>
        </w:r>
        <w:r w:rsidR="00AA3082">
          <w:rPr>
            <w:noProof/>
            <w:webHidden/>
          </w:rPr>
          <w:instrText xml:space="preserve"> PAGEREF _Toc460321639 \h </w:instrText>
        </w:r>
        <w:r w:rsidR="00AA3082">
          <w:rPr>
            <w:noProof/>
            <w:webHidden/>
          </w:rPr>
        </w:r>
        <w:r w:rsidR="00AA3082">
          <w:rPr>
            <w:noProof/>
            <w:webHidden/>
          </w:rPr>
          <w:fldChar w:fldCharType="separate"/>
        </w:r>
        <w:r w:rsidR="00AA3082">
          <w:rPr>
            <w:noProof/>
            <w:webHidden/>
          </w:rPr>
          <w:t>118</w:t>
        </w:r>
        <w:r w:rsidR="00AA3082">
          <w:rPr>
            <w:noProof/>
            <w:webHidden/>
          </w:rPr>
          <w:fldChar w:fldCharType="end"/>
        </w:r>
      </w:hyperlink>
    </w:p>
    <w:p w14:paraId="7197AAC1" w14:textId="2629545C" w:rsidR="00AA3082" w:rsidRDefault="00A65A8D">
      <w:pPr>
        <w:pStyle w:val="Iliustracijsraas"/>
        <w:tabs>
          <w:tab w:val="right" w:leader="dot" w:pos="9016"/>
        </w:tabs>
        <w:rPr>
          <w:rFonts w:eastAsiaTheme="minorEastAsia" w:cs="Arial Unicode MS"/>
          <w:noProof/>
          <w:lang w:bidi="lo-LA"/>
        </w:rPr>
      </w:pPr>
      <w:hyperlink w:anchor="_Toc460321640" w:history="1">
        <w:r w:rsidR="00AA3082" w:rsidRPr="003D7275">
          <w:rPr>
            <w:rStyle w:val="Hipersaitas"/>
            <w:noProof/>
            <w:lang w:val="lt-LT"/>
          </w:rPr>
          <w:t>Lentelė 59. Scenarijaus Nr. 2 rezultatai</w:t>
        </w:r>
        <w:r w:rsidR="00AA3082">
          <w:rPr>
            <w:noProof/>
            <w:webHidden/>
          </w:rPr>
          <w:tab/>
        </w:r>
        <w:r w:rsidR="00AA3082">
          <w:rPr>
            <w:noProof/>
            <w:webHidden/>
          </w:rPr>
          <w:fldChar w:fldCharType="begin"/>
        </w:r>
        <w:r w:rsidR="00AA3082">
          <w:rPr>
            <w:noProof/>
            <w:webHidden/>
          </w:rPr>
          <w:instrText xml:space="preserve"> PAGEREF _Toc460321640 \h </w:instrText>
        </w:r>
        <w:r w:rsidR="00AA3082">
          <w:rPr>
            <w:noProof/>
            <w:webHidden/>
          </w:rPr>
        </w:r>
        <w:r w:rsidR="00AA3082">
          <w:rPr>
            <w:noProof/>
            <w:webHidden/>
          </w:rPr>
          <w:fldChar w:fldCharType="separate"/>
        </w:r>
        <w:r w:rsidR="00AA3082">
          <w:rPr>
            <w:noProof/>
            <w:webHidden/>
          </w:rPr>
          <w:t>118</w:t>
        </w:r>
        <w:r w:rsidR="00AA3082">
          <w:rPr>
            <w:noProof/>
            <w:webHidden/>
          </w:rPr>
          <w:fldChar w:fldCharType="end"/>
        </w:r>
      </w:hyperlink>
    </w:p>
    <w:p w14:paraId="627E9D3B" w14:textId="4E29F2B0" w:rsidR="00AA3082" w:rsidRDefault="00A65A8D">
      <w:pPr>
        <w:pStyle w:val="Iliustracijsraas"/>
        <w:tabs>
          <w:tab w:val="right" w:leader="dot" w:pos="9016"/>
        </w:tabs>
        <w:rPr>
          <w:rFonts w:eastAsiaTheme="minorEastAsia" w:cs="Arial Unicode MS"/>
          <w:noProof/>
          <w:lang w:bidi="lo-LA"/>
        </w:rPr>
      </w:pPr>
      <w:hyperlink w:anchor="_Toc460321641" w:history="1">
        <w:r w:rsidR="00AA3082" w:rsidRPr="003D7275">
          <w:rPr>
            <w:rStyle w:val="Hipersaitas"/>
            <w:noProof/>
            <w:lang w:val="lt-LT"/>
          </w:rPr>
          <w:t>Lentelė 60. Scenarijaus Nr. 3 prielaidos:</w:t>
        </w:r>
        <w:r w:rsidR="00AA3082">
          <w:rPr>
            <w:noProof/>
            <w:webHidden/>
          </w:rPr>
          <w:tab/>
        </w:r>
        <w:r w:rsidR="00AA3082">
          <w:rPr>
            <w:noProof/>
            <w:webHidden/>
          </w:rPr>
          <w:fldChar w:fldCharType="begin"/>
        </w:r>
        <w:r w:rsidR="00AA3082">
          <w:rPr>
            <w:noProof/>
            <w:webHidden/>
          </w:rPr>
          <w:instrText xml:space="preserve"> PAGEREF _Toc460321641 \h </w:instrText>
        </w:r>
        <w:r w:rsidR="00AA3082">
          <w:rPr>
            <w:noProof/>
            <w:webHidden/>
          </w:rPr>
        </w:r>
        <w:r w:rsidR="00AA3082">
          <w:rPr>
            <w:noProof/>
            <w:webHidden/>
          </w:rPr>
          <w:fldChar w:fldCharType="separate"/>
        </w:r>
        <w:r w:rsidR="00AA3082">
          <w:rPr>
            <w:noProof/>
            <w:webHidden/>
          </w:rPr>
          <w:t>119</w:t>
        </w:r>
        <w:r w:rsidR="00AA3082">
          <w:rPr>
            <w:noProof/>
            <w:webHidden/>
          </w:rPr>
          <w:fldChar w:fldCharType="end"/>
        </w:r>
      </w:hyperlink>
    </w:p>
    <w:p w14:paraId="2E62C8A9" w14:textId="2EFC7CBC" w:rsidR="00AA3082" w:rsidRDefault="00A65A8D">
      <w:pPr>
        <w:pStyle w:val="Iliustracijsraas"/>
        <w:tabs>
          <w:tab w:val="right" w:leader="dot" w:pos="9016"/>
        </w:tabs>
        <w:rPr>
          <w:rFonts w:eastAsiaTheme="minorEastAsia" w:cs="Arial Unicode MS"/>
          <w:noProof/>
          <w:lang w:bidi="lo-LA"/>
        </w:rPr>
      </w:pPr>
      <w:hyperlink w:anchor="_Toc460321642" w:history="1">
        <w:r w:rsidR="00AA3082" w:rsidRPr="003D7275">
          <w:rPr>
            <w:rStyle w:val="Hipersaitas"/>
            <w:noProof/>
            <w:lang w:val="lt-LT"/>
          </w:rPr>
          <w:t>Lentelė 61. Scenarijaus Nr. 3 paskolų finansinės priemonės įgyvendinimo prognozė</w:t>
        </w:r>
        <w:r w:rsidR="00AA3082">
          <w:rPr>
            <w:noProof/>
            <w:webHidden/>
          </w:rPr>
          <w:tab/>
        </w:r>
        <w:r w:rsidR="00AA3082">
          <w:rPr>
            <w:noProof/>
            <w:webHidden/>
          </w:rPr>
          <w:fldChar w:fldCharType="begin"/>
        </w:r>
        <w:r w:rsidR="00AA3082">
          <w:rPr>
            <w:noProof/>
            <w:webHidden/>
          </w:rPr>
          <w:instrText xml:space="preserve"> PAGEREF _Toc460321642 \h </w:instrText>
        </w:r>
        <w:r w:rsidR="00AA3082">
          <w:rPr>
            <w:noProof/>
            <w:webHidden/>
          </w:rPr>
        </w:r>
        <w:r w:rsidR="00AA3082">
          <w:rPr>
            <w:noProof/>
            <w:webHidden/>
          </w:rPr>
          <w:fldChar w:fldCharType="separate"/>
        </w:r>
        <w:r w:rsidR="00AA3082">
          <w:rPr>
            <w:noProof/>
            <w:webHidden/>
          </w:rPr>
          <w:t>121</w:t>
        </w:r>
        <w:r w:rsidR="00AA3082">
          <w:rPr>
            <w:noProof/>
            <w:webHidden/>
          </w:rPr>
          <w:fldChar w:fldCharType="end"/>
        </w:r>
      </w:hyperlink>
    </w:p>
    <w:p w14:paraId="1EB8C846" w14:textId="3BFD5F24" w:rsidR="00AA3082" w:rsidRDefault="00A65A8D">
      <w:pPr>
        <w:pStyle w:val="Iliustracijsraas"/>
        <w:tabs>
          <w:tab w:val="right" w:leader="dot" w:pos="9016"/>
        </w:tabs>
        <w:rPr>
          <w:rFonts w:eastAsiaTheme="minorEastAsia" w:cs="Arial Unicode MS"/>
          <w:noProof/>
          <w:lang w:bidi="lo-LA"/>
        </w:rPr>
      </w:pPr>
      <w:hyperlink w:anchor="_Toc460321643" w:history="1">
        <w:r w:rsidR="00AA3082" w:rsidRPr="003D7275">
          <w:rPr>
            <w:rStyle w:val="Hipersaitas"/>
            <w:noProof/>
            <w:lang w:val="lt-LT"/>
          </w:rPr>
          <w:t>Lentelė 62. Scenarijaus Nr. 3 garantijų finansinės priemonės įgyvendinimo prognozė</w:t>
        </w:r>
        <w:r w:rsidR="00AA3082">
          <w:rPr>
            <w:noProof/>
            <w:webHidden/>
          </w:rPr>
          <w:tab/>
        </w:r>
        <w:r w:rsidR="00AA3082">
          <w:rPr>
            <w:noProof/>
            <w:webHidden/>
          </w:rPr>
          <w:fldChar w:fldCharType="begin"/>
        </w:r>
        <w:r w:rsidR="00AA3082">
          <w:rPr>
            <w:noProof/>
            <w:webHidden/>
          </w:rPr>
          <w:instrText xml:space="preserve"> PAGEREF _Toc460321643 \h </w:instrText>
        </w:r>
        <w:r w:rsidR="00AA3082">
          <w:rPr>
            <w:noProof/>
            <w:webHidden/>
          </w:rPr>
        </w:r>
        <w:r w:rsidR="00AA3082">
          <w:rPr>
            <w:noProof/>
            <w:webHidden/>
          </w:rPr>
          <w:fldChar w:fldCharType="separate"/>
        </w:r>
        <w:r w:rsidR="00AA3082">
          <w:rPr>
            <w:noProof/>
            <w:webHidden/>
          </w:rPr>
          <w:t>121</w:t>
        </w:r>
        <w:r w:rsidR="00AA3082">
          <w:rPr>
            <w:noProof/>
            <w:webHidden/>
          </w:rPr>
          <w:fldChar w:fldCharType="end"/>
        </w:r>
      </w:hyperlink>
    </w:p>
    <w:p w14:paraId="31E7E6D8" w14:textId="0E2CC882" w:rsidR="00AA3082" w:rsidRDefault="00A65A8D">
      <w:pPr>
        <w:pStyle w:val="Iliustracijsraas"/>
        <w:tabs>
          <w:tab w:val="right" w:leader="dot" w:pos="9016"/>
        </w:tabs>
        <w:rPr>
          <w:rFonts w:eastAsiaTheme="minorEastAsia" w:cs="Arial Unicode MS"/>
          <w:noProof/>
          <w:lang w:bidi="lo-LA"/>
        </w:rPr>
      </w:pPr>
      <w:hyperlink w:anchor="_Toc460321644" w:history="1">
        <w:r w:rsidR="00AA3082" w:rsidRPr="003D7275">
          <w:rPr>
            <w:rStyle w:val="Hipersaitas"/>
            <w:noProof/>
            <w:lang w:val="lt-LT"/>
          </w:rPr>
          <w:t>Lentelė 63. Scenarijaus Nr. 3 rezultatai</w:t>
        </w:r>
        <w:r w:rsidR="00AA3082">
          <w:rPr>
            <w:noProof/>
            <w:webHidden/>
          </w:rPr>
          <w:tab/>
        </w:r>
        <w:r w:rsidR="00AA3082">
          <w:rPr>
            <w:noProof/>
            <w:webHidden/>
          </w:rPr>
          <w:fldChar w:fldCharType="begin"/>
        </w:r>
        <w:r w:rsidR="00AA3082">
          <w:rPr>
            <w:noProof/>
            <w:webHidden/>
          </w:rPr>
          <w:instrText xml:space="preserve"> PAGEREF _Toc460321644 \h </w:instrText>
        </w:r>
        <w:r w:rsidR="00AA3082">
          <w:rPr>
            <w:noProof/>
            <w:webHidden/>
          </w:rPr>
        </w:r>
        <w:r w:rsidR="00AA3082">
          <w:rPr>
            <w:noProof/>
            <w:webHidden/>
          </w:rPr>
          <w:fldChar w:fldCharType="separate"/>
        </w:r>
        <w:r w:rsidR="00AA3082">
          <w:rPr>
            <w:noProof/>
            <w:webHidden/>
          </w:rPr>
          <w:t>121</w:t>
        </w:r>
        <w:r w:rsidR="00AA3082">
          <w:rPr>
            <w:noProof/>
            <w:webHidden/>
          </w:rPr>
          <w:fldChar w:fldCharType="end"/>
        </w:r>
      </w:hyperlink>
    </w:p>
    <w:p w14:paraId="288FB5E6" w14:textId="49CE1498" w:rsidR="00AA3082" w:rsidRDefault="00A65A8D">
      <w:pPr>
        <w:pStyle w:val="Iliustracijsraas"/>
        <w:tabs>
          <w:tab w:val="right" w:leader="dot" w:pos="9016"/>
        </w:tabs>
        <w:rPr>
          <w:rFonts w:eastAsiaTheme="minorEastAsia" w:cs="Arial Unicode MS"/>
          <w:noProof/>
          <w:lang w:bidi="lo-LA"/>
        </w:rPr>
      </w:pPr>
      <w:hyperlink w:anchor="_Toc460321645" w:history="1">
        <w:r w:rsidR="00AA3082" w:rsidRPr="003D7275">
          <w:rPr>
            <w:rStyle w:val="Hipersaitas"/>
            <w:noProof/>
            <w:lang w:val="lt-LT"/>
          </w:rPr>
          <w:t>Lentelė 64. Scenarijaus Nr. 4 prielaidos:</w:t>
        </w:r>
        <w:r w:rsidR="00AA3082">
          <w:rPr>
            <w:noProof/>
            <w:webHidden/>
          </w:rPr>
          <w:tab/>
        </w:r>
        <w:r w:rsidR="00AA3082">
          <w:rPr>
            <w:noProof/>
            <w:webHidden/>
          </w:rPr>
          <w:fldChar w:fldCharType="begin"/>
        </w:r>
        <w:r w:rsidR="00AA3082">
          <w:rPr>
            <w:noProof/>
            <w:webHidden/>
          </w:rPr>
          <w:instrText xml:space="preserve"> PAGEREF _Toc460321645 \h </w:instrText>
        </w:r>
        <w:r w:rsidR="00AA3082">
          <w:rPr>
            <w:noProof/>
            <w:webHidden/>
          </w:rPr>
        </w:r>
        <w:r w:rsidR="00AA3082">
          <w:rPr>
            <w:noProof/>
            <w:webHidden/>
          </w:rPr>
          <w:fldChar w:fldCharType="separate"/>
        </w:r>
        <w:r w:rsidR="00AA3082">
          <w:rPr>
            <w:noProof/>
            <w:webHidden/>
          </w:rPr>
          <w:t>122</w:t>
        </w:r>
        <w:r w:rsidR="00AA3082">
          <w:rPr>
            <w:noProof/>
            <w:webHidden/>
          </w:rPr>
          <w:fldChar w:fldCharType="end"/>
        </w:r>
      </w:hyperlink>
    </w:p>
    <w:p w14:paraId="2C4212B2" w14:textId="62111689" w:rsidR="00AA3082" w:rsidRDefault="00A65A8D">
      <w:pPr>
        <w:pStyle w:val="Iliustracijsraas"/>
        <w:tabs>
          <w:tab w:val="right" w:leader="dot" w:pos="9016"/>
        </w:tabs>
        <w:rPr>
          <w:rFonts w:eastAsiaTheme="minorEastAsia" w:cs="Arial Unicode MS"/>
          <w:noProof/>
          <w:lang w:bidi="lo-LA"/>
        </w:rPr>
      </w:pPr>
      <w:hyperlink w:anchor="_Toc460321646" w:history="1">
        <w:r w:rsidR="00AA3082" w:rsidRPr="003D7275">
          <w:rPr>
            <w:rStyle w:val="Hipersaitas"/>
            <w:noProof/>
            <w:lang w:val="lt-LT"/>
          </w:rPr>
          <w:t>Lentelė 65. Scenarijaus Nr. 4 įgyvendinimo prognozė</w:t>
        </w:r>
        <w:r w:rsidR="00AA3082">
          <w:rPr>
            <w:noProof/>
            <w:webHidden/>
          </w:rPr>
          <w:tab/>
        </w:r>
        <w:r w:rsidR="00AA3082">
          <w:rPr>
            <w:noProof/>
            <w:webHidden/>
          </w:rPr>
          <w:fldChar w:fldCharType="begin"/>
        </w:r>
        <w:r w:rsidR="00AA3082">
          <w:rPr>
            <w:noProof/>
            <w:webHidden/>
          </w:rPr>
          <w:instrText xml:space="preserve"> PAGEREF _Toc460321646 \h </w:instrText>
        </w:r>
        <w:r w:rsidR="00AA3082">
          <w:rPr>
            <w:noProof/>
            <w:webHidden/>
          </w:rPr>
        </w:r>
        <w:r w:rsidR="00AA3082">
          <w:rPr>
            <w:noProof/>
            <w:webHidden/>
          </w:rPr>
          <w:fldChar w:fldCharType="separate"/>
        </w:r>
        <w:r w:rsidR="00AA3082">
          <w:rPr>
            <w:noProof/>
            <w:webHidden/>
          </w:rPr>
          <w:t>124</w:t>
        </w:r>
        <w:r w:rsidR="00AA3082">
          <w:rPr>
            <w:noProof/>
            <w:webHidden/>
          </w:rPr>
          <w:fldChar w:fldCharType="end"/>
        </w:r>
      </w:hyperlink>
    </w:p>
    <w:p w14:paraId="7DD3FDD8" w14:textId="34AD324F" w:rsidR="00AA3082" w:rsidRDefault="00A65A8D">
      <w:pPr>
        <w:pStyle w:val="Iliustracijsraas"/>
        <w:tabs>
          <w:tab w:val="right" w:leader="dot" w:pos="9016"/>
        </w:tabs>
        <w:rPr>
          <w:rFonts w:eastAsiaTheme="minorEastAsia" w:cs="Arial Unicode MS"/>
          <w:noProof/>
          <w:lang w:bidi="lo-LA"/>
        </w:rPr>
      </w:pPr>
      <w:hyperlink w:anchor="_Toc460321647" w:history="1">
        <w:r w:rsidR="00AA3082" w:rsidRPr="003D7275">
          <w:rPr>
            <w:rStyle w:val="Hipersaitas"/>
            <w:noProof/>
            <w:lang w:val="lt-LT"/>
          </w:rPr>
          <w:t>Lentelė 66. Scenarijaus Nr. 4 rezultatai</w:t>
        </w:r>
        <w:r w:rsidR="00AA3082">
          <w:rPr>
            <w:noProof/>
            <w:webHidden/>
          </w:rPr>
          <w:tab/>
        </w:r>
        <w:r w:rsidR="00AA3082">
          <w:rPr>
            <w:noProof/>
            <w:webHidden/>
          </w:rPr>
          <w:fldChar w:fldCharType="begin"/>
        </w:r>
        <w:r w:rsidR="00AA3082">
          <w:rPr>
            <w:noProof/>
            <w:webHidden/>
          </w:rPr>
          <w:instrText xml:space="preserve"> PAGEREF _Toc460321647 \h </w:instrText>
        </w:r>
        <w:r w:rsidR="00AA3082">
          <w:rPr>
            <w:noProof/>
            <w:webHidden/>
          </w:rPr>
        </w:r>
        <w:r w:rsidR="00AA3082">
          <w:rPr>
            <w:noProof/>
            <w:webHidden/>
          </w:rPr>
          <w:fldChar w:fldCharType="separate"/>
        </w:r>
        <w:r w:rsidR="00AA3082">
          <w:rPr>
            <w:noProof/>
            <w:webHidden/>
          </w:rPr>
          <w:t>124</w:t>
        </w:r>
        <w:r w:rsidR="00AA3082">
          <w:rPr>
            <w:noProof/>
            <w:webHidden/>
          </w:rPr>
          <w:fldChar w:fldCharType="end"/>
        </w:r>
      </w:hyperlink>
    </w:p>
    <w:p w14:paraId="48BE36BD" w14:textId="6480DD28" w:rsidR="00AA3082" w:rsidRDefault="00A65A8D">
      <w:pPr>
        <w:pStyle w:val="Iliustracijsraas"/>
        <w:tabs>
          <w:tab w:val="right" w:leader="dot" w:pos="9016"/>
        </w:tabs>
        <w:rPr>
          <w:rFonts w:eastAsiaTheme="minorEastAsia" w:cs="Arial Unicode MS"/>
          <w:noProof/>
          <w:lang w:bidi="lo-LA"/>
        </w:rPr>
      </w:pPr>
      <w:hyperlink w:anchor="_Toc460321648" w:history="1">
        <w:r w:rsidR="00AA3082" w:rsidRPr="003D7275">
          <w:rPr>
            <w:rStyle w:val="Hipersaitas"/>
            <w:noProof/>
            <w:lang w:val="lt-LT"/>
          </w:rPr>
          <w:t>Lentelė 67. Scenarijaus Nr. 5 prielaidos</w:t>
        </w:r>
        <w:r w:rsidR="00AA3082">
          <w:rPr>
            <w:noProof/>
            <w:webHidden/>
          </w:rPr>
          <w:tab/>
        </w:r>
        <w:r w:rsidR="00AA3082">
          <w:rPr>
            <w:noProof/>
            <w:webHidden/>
          </w:rPr>
          <w:fldChar w:fldCharType="begin"/>
        </w:r>
        <w:r w:rsidR="00AA3082">
          <w:rPr>
            <w:noProof/>
            <w:webHidden/>
          </w:rPr>
          <w:instrText xml:space="preserve"> PAGEREF _Toc460321648 \h </w:instrText>
        </w:r>
        <w:r w:rsidR="00AA3082">
          <w:rPr>
            <w:noProof/>
            <w:webHidden/>
          </w:rPr>
        </w:r>
        <w:r w:rsidR="00AA3082">
          <w:rPr>
            <w:noProof/>
            <w:webHidden/>
          </w:rPr>
          <w:fldChar w:fldCharType="separate"/>
        </w:r>
        <w:r w:rsidR="00AA3082">
          <w:rPr>
            <w:noProof/>
            <w:webHidden/>
          </w:rPr>
          <w:t>125</w:t>
        </w:r>
        <w:r w:rsidR="00AA3082">
          <w:rPr>
            <w:noProof/>
            <w:webHidden/>
          </w:rPr>
          <w:fldChar w:fldCharType="end"/>
        </w:r>
      </w:hyperlink>
    </w:p>
    <w:p w14:paraId="4446C075" w14:textId="1B86FF57" w:rsidR="00AA3082" w:rsidRDefault="00A65A8D">
      <w:pPr>
        <w:pStyle w:val="Iliustracijsraas"/>
        <w:tabs>
          <w:tab w:val="right" w:leader="dot" w:pos="9016"/>
        </w:tabs>
        <w:rPr>
          <w:rFonts w:eastAsiaTheme="minorEastAsia" w:cs="Arial Unicode MS"/>
          <w:noProof/>
          <w:lang w:bidi="lo-LA"/>
        </w:rPr>
      </w:pPr>
      <w:hyperlink w:anchor="_Toc460321649" w:history="1">
        <w:r w:rsidR="00AA3082" w:rsidRPr="003D7275">
          <w:rPr>
            <w:rStyle w:val="Hipersaitas"/>
            <w:noProof/>
            <w:lang w:val="lt-LT"/>
          </w:rPr>
          <w:t>Lentelė 68. Scenarijaus Nr. 5 įgyvendinimo prognozė</w:t>
        </w:r>
        <w:r w:rsidR="00AA3082">
          <w:rPr>
            <w:noProof/>
            <w:webHidden/>
          </w:rPr>
          <w:tab/>
        </w:r>
        <w:r w:rsidR="00AA3082">
          <w:rPr>
            <w:noProof/>
            <w:webHidden/>
          </w:rPr>
          <w:fldChar w:fldCharType="begin"/>
        </w:r>
        <w:r w:rsidR="00AA3082">
          <w:rPr>
            <w:noProof/>
            <w:webHidden/>
          </w:rPr>
          <w:instrText xml:space="preserve"> PAGEREF _Toc460321649 \h </w:instrText>
        </w:r>
        <w:r w:rsidR="00AA3082">
          <w:rPr>
            <w:noProof/>
            <w:webHidden/>
          </w:rPr>
        </w:r>
        <w:r w:rsidR="00AA3082">
          <w:rPr>
            <w:noProof/>
            <w:webHidden/>
          </w:rPr>
          <w:fldChar w:fldCharType="separate"/>
        </w:r>
        <w:r w:rsidR="00AA3082">
          <w:rPr>
            <w:noProof/>
            <w:webHidden/>
          </w:rPr>
          <w:t>127</w:t>
        </w:r>
        <w:r w:rsidR="00AA3082">
          <w:rPr>
            <w:noProof/>
            <w:webHidden/>
          </w:rPr>
          <w:fldChar w:fldCharType="end"/>
        </w:r>
      </w:hyperlink>
    </w:p>
    <w:p w14:paraId="69523380" w14:textId="70D32B5B" w:rsidR="00AA3082" w:rsidRDefault="00A65A8D">
      <w:pPr>
        <w:pStyle w:val="Iliustracijsraas"/>
        <w:tabs>
          <w:tab w:val="right" w:leader="dot" w:pos="9016"/>
        </w:tabs>
        <w:rPr>
          <w:rFonts w:eastAsiaTheme="minorEastAsia" w:cs="Arial Unicode MS"/>
          <w:noProof/>
          <w:lang w:bidi="lo-LA"/>
        </w:rPr>
      </w:pPr>
      <w:hyperlink w:anchor="_Toc460321650" w:history="1">
        <w:r w:rsidR="00AA3082" w:rsidRPr="003D7275">
          <w:rPr>
            <w:rStyle w:val="Hipersaitas"/>
            <w:noProof/>
            <w:lang w:val="lt-LT"/>
          </w:rPr>
          <w:t>Lentelė 69. Scenarijaus Nr. 5 rezultatai</w:t>
        </w:r>
        <w:r w:rsidR="00AA3082">
          <w:rPr>
            <w:noProof/>
            <w:webHidden/>
          </w:rPr>
          <w:tab/>
        </w:r>
        <w:r w:rsidR="00AA3082">
          <w:rPr>
            <w:noProof/>
            <w:webHidden/>
          </w:rPr>
          <w:fldChar w:fldCharType="begin"/>
        </w:r>
        <w:r w:rsidR="00AA3082">
          <w:rPr>
            <w:noProof/>
            <w:webHidden/>
          </w:rPr>
          <w:instrText xml:space="preserve"> PAGEREF _Toc460321650 \h </w:instrText>
        </w:r>
        <w:r w:rsidR="00AA3082">
          <w:rPr>
            <w:noProof/>
            <w:webHidden/>
          </w:rPr>
        </w:r>
        <w:r w:rsidR="00AA3082">
          <w:rPr>
            <w:noProof/>
            <w:webHidden/>
          </w:rPr>
          <w:fldChar w:fldCharType="separate"/>
        </w:r>
        <w:r w:rsidR="00AA3082">
          <w:rPr>
            <w:noProof/>
            <w:webHidden/>
          </w:rPr>
          <w:t>127</w:t>
        </w:r>
        <w:r w:rsidR="00AA3082">
          <w:rPr>
            <w:noProof/>
            <w:webHidden/>
          </w:rPr>
          <w:fldChar w:fldCharType="end"/>
        </w:r>
      </w:hyperlink>
    </w:p>
    <w:p w14:paraId="118E9E07" w14:textId="12B79F11" w:rsidR="00AA3082" w:rsidRDefault="00A65A8D">
      <w:pPr>
        <w:pStyle w:val="Iliustracijsraas"/>
        <w:tabs>
          <w:tab w:val="right" w:leader="dot" w:pos="9016"/>
        </w:tabs>
        <w:rPr>
          <w:rFonts w:eastAsiaTheme="minorEastAsia" w:cs="Arial Unicode MS"/>
          <w:noProof/>
          <w:lang w:bidi="lo-LA"/>
        </w:rPr>
      </w:pPr>
      <w:hyperlink w:anchor="_Toc460321651" w:history="1">
        <w:r w:rsidR="00AA3082" w:rsidRPr="003D7275">
          <w:rPr>
            <w:rStyle w:val="Hipersaitas"/>
            <w:noProof/>
            <w:lang w:val="lt-LT"/>
          </w:rPr>
          <w:t>Lentelė 70. Scenarijaus Nr. 6 prielaidos:</w:t>
        </w:r>
        <w:r w:rsidR="00AA3082">
          <w:rPr>
            <w:noProof/>
            <w:webHidden/>
          </w:rPr>
          <w:tab/>
        </w:r>
        <w:r w:rsidR="00AA3082">
          <w:rPr>
            <w:noProof/>
            <w:webHidden/>
          </w:rPr>
          <w:fldChar w:fldCharType="begin"/>
        </w:r>
        <w:r w:rsidR="00AA3082">
          <w:rPr>
            <w:noProof/>
            <w:webHidden/>
          </w:rPr>
          <w:instrText xml:space="preserve"> PAGEREF _Toc460321651 \h </w:instrText>
        </w:r>
        <w:r w:rsidR="00AA3082">
          <w:rPr>
            <w:noProof/>
            <w:webHidden/>
          </w:rPr>
        </w:r>
        <w:r w:rsidR="00AA3082">
          <w:rPr>
            <w:noProof/>
            <w:webHidden/>
          </w:rPr>
          <w:fldChar w:fldCharType="separate"/>
        </w:r>
        <w:r w:rsidR="00AA3082">
          <w:rPr>
            <w:noProof/>
            <w:webHidden/>
          </w:rPr>
          <w:t>128</w:t>
        </w:r>
        <w:r w:rsidR="00AA3082">
          <w:rPr>
            <w:noProof/>
            <w:webHidden/>
          </w:rPr>
          <w:fldChar w:fldCharType="end"/>
        </w:r>
      </w:hyperlink>
    </w:p>
    <w:p w14:paraId="275134EE" w14:textId="3FDEC732" w:rsidR="00AA3082" w:rsidRDefault="00A65A8D">
      <w:pPr>
        <w:pStyle w:val="Iliustracijsraas"/>
        <w:tabs>
          <w:tab w:val="right" w:leader="dot" w:pos="9016"/>
        </w:tabs>
        <w:rPr>
          <w:rFonts w:eastAsiaTheme="minorEastAsia" w:cs="Arial Unicode MS"/>
          <w:noProof/>
          <w:lang w:bidi="lo-LA"/>
        </w:rPr>
      </w:pPr>
      <w:hyperlink w:anchor="_Toc460321652" w:history="1">
        <w:r w:rsidR="00AA3082" w:rsidRPr="003D7275">
          <w:rPr>
            <w:rStyle w:val="Hipersaitas"/>
            <w:noProof/>
            <w:lang w:val="lt-LT"/>
          </w:rPr>
          <w:t>Lentelė 71. Scenarijaus Nr. 6 paskolų finansinės priemonės įgyvendinimo prognozė</w:t>
        </w:r>
        <w:r w:rsidR="00AA3082">
          <w:rPr>
            <w:noProof/>
            <w:webHidden/>
          </w:rPr>
          <w:tab/>
        </w:r>
        <w:r w:rsidR="00AA3082">
          <w:rPr>
            <w:noProof/>
            <w:webHidden/>
          </w:rPr>
          <w:fldChar w:fldCharType="begin"/>
        </w:r>
        <w:r w:rsidR="00AA3082">
          <w:rPr>
            <w:noProof/>
            <w:webHidden/>
          </w:rPr>
          <w:instrText xml:space="preserve"> PAGEREF _Toc460321652 \h </w:instrText>
        </w:r>
        <w:r w:rsidR="00AA3082">
          <w:rPr>
            <w:noProof/>
            <w:webHidden/>
          </w:rPr>
        </w:r>
        <w:r w:rsidR="00AA3082">
          <w:rPr>
            <w:noProof/>
            <w:webHidden/>
          </w:rPr>
          <w:fldChar w:fldCharType="separate"/>
        </w:r>
        <w:r w:rsidR="00AA3082">
          <w:rPr>
            <w:noProof/>
            <w:webHidden/>
          </w:rPr>
          <w:t>130</w:t>
        </w:r>
        <w:r w:rsidR="00AA3082">
          <w:rPr>
            <w:noProof/>
            <w:webHidden/>
          </w:rPr>
          <w:fldChar w:fldCharType="end"/>
        </w:r>
      </w:hyperlink>
    </w:p>
    <w:p w14:paraId="716865C0" w14:textId="00E9FE1E" w:rsidR="00AA3082" w:rsidRDefault="00A65A8D">
      <w:pPr>
        <w:pStyle w:val="Iliustracijsraas"/>
        <w:tabs>
          <w:tab w:val="right" w:leader="dot" w:pos="9016"/>
        </w:tabs>
        <w:rPr>
          <w:rFonts w:eastAsiaTheme="minorEastAsia" w:cs="Arial Unicode MS"/>
          <w:noProof/>
          <w:lang w:bidi="lo-LA"/>
        </w:rPr>
      </w:pPr>
      <w:hyperlink w:anchor="_Toc460321653" w:history="1">
        <w:r w:rsidR="00AA3082" w:rsidRPr="003D7275">
          <w:rPr>
            <w:rStyle w:val="Hipersaitas"/>
            <w:noProof/>
            <w:lang w:val="lt-LT"/>
          </w:rPr>
          <w:t>Lentelė 72. Scenarijaus Nr. 6 garantijų finansinės priemonės įgyvendinimo prognozė</w:t>
        </w:r>
        <w:r w:rsidR="00AA3082">
          <w:rPr>
            <w:noProof/>
            <w:webHidden/>
          </w:rPr>
          <w:tab/>
        </w:r>
        <w:r w:rsidR="00AA3082">
          <w:rPr>
            <w:noProof/>
            <w:webHidden/>
          </w:rPr>
          <w:fldChar w:fldCharType="begin"/>
        </w:r>
        <w:r w:rsidR="00AA3082">
          <w:rPr>
            <w:noProof/>
            <w:webHidden/>
          </w:rPr>
          <w:instrText xml:space="preserve"> PAGEREF _Toc460321653 \h </w:instrText>
        </w:r>
        <w:r w:rsidR="00AA3082">
          <w:rPr>
            <w:noProof/>
            <w:webHidden/>
          </w:rPr>
        </w:r>
        <w:r w:rsidR="00AA3082">
          <w:rPr>
            <w:noProof/>
            <w:webHidden/>
          </w:rPr>
          <w:fldChar w:fldCharType="separate"/>
        </w:r>
        <w:r w:rsidR="00AA3082">
          <w:rPr>
            <w:noProof/>
            <w:webHidden/>
          </w:rPr>
          <w:t>130</w:t>
        </w:r>
        <w:r w:rsidR="00AA3082">
          <w:rPr>
            <w:noProof/>
            <w:webHidden/>
          </w:rPr>
          <w:fldChar w:fldCharType="end"/>
        </w:r>
      </w:hyperlink>
    </w:p>
    <w:p w14:paraId="4D14680B" w14:textId="4DCB1EBE" w:rsidR="00AA3082" w:rsidRDefault="00A65A8D">
      <w:pPr>
        <w:pStyle w:val="Iliustracijsraas"/>
        <w:tabs>
          <w:tab w:val="right" w:leader="dot" w:pos="9016"/>
        </w:tabs>
        <w:rPr>
          <w:rFonts w:eastAsiaTheme="minorEastAsia" w:cs="Arial Unicode MS"/>
          <w:noProof/>
          <w:lang w:bidi="lo-LA"/>
        </w:rPr>
      </w:pPr>
      <w:hyperlink w:anchor="_Toc460321654" w:history="1">
        <w:r w:rsidR="00AA3082" w:rsidRPr="003D7275">
          <w:rPr>
            <w:rStyle w:val="Hipersaitas"/>
            <w:noProof/>
            <w:lang w:val="lt-LT"/>
          </w:rPr>
          <w:t>Lentelė 73. Scenarijaus Nr. 6 rezultatai</w:t>
        </w:r>
        <w:r w:rsidR="00AA3082">
          <w:rPr>
            <w:noProof/>
            <w:webHidden/>
          </w:rPr>
          <w:tab/>
        </w:r>
        <w:r w:rsidR="00AA3082">
          <w:rPr>
            <w:noProof/>
            <w:webHidden/>
          </w:rPr>
          <w:fldChar w:fldCharType="begin"/>
        </w:r>
        <w:r w:rsidR="00AA3082">
          <w:rPr>
            <w:noProof/>
            <w:webHidden/>
          </w:rPr>
          <w:instrText xml:space="preserve"> PAGEREF _Toc460321654 \h </w:instrText>
        </w:r>
        <w:r w:rsidR="00AA3082">
          <w:rPr>
            <w:noProof/>
            <w:webHidden/>
          </w:rPr>
        </w:r>
        <w:r w:rsidR="00AA3082">
          <w:rPr>
            <w:noProof/>
            <w:webHidden/>
          </w:rPr>
          <w:fldChar w:fldCharType="separate"/>
        </w:r>
        <w:r w:rsidR="00AA3082">
          <w:rPr>
            <w:noProof/>
            <w:webHidden/>
          </w:rPr>
          <w:t>130</w:t>
        </w:r>
        <w:r w:rsidR="00AA3082">
          <w:rPr>
            <w:noProof/>
            <w:webHidden/>
          </w:rPr>
          <w:fldChar w:fldCharType="end"/>
        </w:r>
      </w:hyperlink>
    </w:p>
    <w:p w14:paraId="22E83A0D" w14:textId="3C323475" w:rsidR="00AA3082" w:rsidRDefault="00A65A8D">
      <w:pPr>
        <w:pStyle w:val="Iliustracijsraas"/>
        <w:tabs>
          <w:tab w:val="right" w:leader="dot" w:pos="9016"/>
        </w:tabs>
        <w:rPr>
          <w:rFonts w:eastAsiaTheme="minorEastAsia" w:cs="Arial Unicode MS"/>
          <w:noProof/>
          <w:lang w:bidi="lo-LA"/>
        </w:rPr>
      </w:pPr>
      <w:hyperlink w:anchor="_Toc460321655" w:history="1">
        <w:r w:rsidR="00AA3082" w:rsidRPr="003D7275">
          <w:rPr>
            <w:rStyle w:val="Hipersaitas"/>
            <w:noProof/>
            <w:lang w:val="lt-LT"/>
          </w:rPr>
          <w:t>Lentelė 74. Scenarijaus Nr. 2 prielaidos</w:t>
        </w:r>
        <w:r w:rsidR="00AA3082">
          <w:rPr>
            <w:noProof/>
            <w:webHidden/>
          </w:rPr>
          <w:tab/>
        </w:r>
        <w:r w:rsidR="00AA3082">
          <w:rPr>
            <w:noProof/>
            <w:webHidden/>
          </w:rPr>
          <w:fldChar w:fldCharType="begin"/>
        </w:r>
        <w:r w:rsidR="00AA3082">
          <w:rPr>
            <w:noProof/>
            <w:webHidden/>
          </w:rPr>
          <w:instrText xml:space="preserve"> PAGEREF _Toc460321655 \h </w:instrText>
        </w:r>
        <w:r w:rsidR="00AA3082">
          <w:rPr>
            <w:noProof/>
            <w:webHidden/>
          </w:rPr>
        </w:r>
        <w:r w:rsidR="00AA3082">
          <w:rPr>
            <w:noProof/>
            <w:webHidden/>
          </w:rPr>
          <w:fldChar w:fldCharType="separate"/>
        </w:r>
        <w:r w:rsidR="00AA3082">
          <w:rPr>
            <w:noProof/>
            <w:webHidden/>
          </w:rPr>
          <w:t>131</w:t>
        </w:r>
        <w:r w:rsidR="00AA3082">
          <w:rPr>
            <w:noProof/>
            <w:webHidden/>
          </w:rPr>
          <w:fldChar w:fldCharType="end"/>
        </w:r>
      </w:hyperlink>
    </w:p>
    <w:p w14:paraId="4207C636" w14:textId="44D817CA" w:rsidR="00AA3082" w:rsidRDefault="00A65A8D">
      <w:pPr>
        <w:pStyle w:val="Iliustracijsraas"/>
        <w:tabs>
          <w:tab w:val="right" w:leader="dot" w:pos="9016"/>
        </w:tabs>
        <w:rPr>
          <w:rFonts w:eastAsiaTheme="minorEastAsia" w:cs="Arial Unicode MS"/>
          <w:noProof/>
          <w:lang w:bidi="lo-LA"/>
        </w:rPr>
      </w:pPr>
      <w:hyperlink w:anchor="_Toc460321656" w:history="1">
        <w:r w:rsidR="00AA3082" w:rsidRPr="003D7275">
          <w:rPr>
            <w:rStyle w:val="Hipersaitas"/>
            <w:noProof/>
            <w:lang w:val="lt-LT"/>
          </w:rPr>
          <w:t>Lentelė 75. Scenarijaus Nr. 7 įgyvendinimo prognozė</w:t>
        </w:r>
        <w:r w:rsidR="00AA3082">
          <w:rPr>
            <w:noProof/>
            <w:webHidden/>
          </w:rPr>
          <w:tab/>
        </w:r>
        <w:r w:rsidR="00AA3082">
          <w:rPr>
            <w:noProof/>
            <w:webHidden/>
          </w:rPr>
          <w:fldChar w:fldCharType="begin"/>
        </w:r>
        <w:r w:rsidR="00AA3082">
          <w:rPr>
            <w:noProof/>
            <w:webHidden/>
          </w:rPr>
          <w:instrText xml:space="preserve"> PAGEREF _Toc460321656 \h </w:instrText>
        </w:r>
        <w:r w:rsidR="00AA3082">
          <w:rPr>
            <w:noProof/>
            <w:webHidden/>
          </w:rPr>
        </w:r>
        <w:r w:rsidR="00AA3082">
          <w:rPr>
            <w:noProof/>
            <w:webHidden/>
          </w:rPr>
          <w:fldChar w:fldCharType="separate"/>
        </w:r>
        <w:r w:rsidR="00AA3082">
          <w:rPr>
            <w:noProof/>
            <w:webHidden/>
          </w:rPr>
          <w:t>132</w:t>
        </w:r>
        <w:r w:rsidR="00AA3082">
          <w:rPr>
            <w:noProof/>
            <w:webHidden/>
          </w:rPr>
          <w:fldChar w:fldCharType="end"/>
        </w:r>
      </w:hyperlink>
    </w:p>
    <w:p w14:paraId="3F4BD604" w14:textId="5CC1B47A" w:rsidR="00AA3082" w:rsidRDefault="00A65A8D">
      <w:pPr>
        <w:pStyle w:val="Iliustracijsraas"/>
        <w:tabs>
          <w:tab w:val="right" w:leader="dot" w:pos="9016"/>
        </w:tabs>
        <w:rPr>
          <w:rFonts w:eastAsiaTheme="minorEastAsia" w:cs="Arial Unicode MS"/>
          <w:noProof/>
          <w:lang w:bidi="lo-LA"/>
        </w:rPr>
      </w:pPr>
      <w:hyperlink w:anchor="_Toc460321657" w:history="1">
        <w:r w:rsidR="00AA3082" w:rsidRPr="003D7275">
          <w:rPr>
            <w:rStyle w:val="Hipersaitas"/>
            <w:noProof/>
            <w:lang w:val="lt-LT"/>
          </w:rPr>
          <w:t>Lentelė 76. Scenarijaus Nr. 7 rezultatai</w:t>
        </w:r>
        <w:r w:rsidR="00AA3082">
          <w:rPr>
            <w:noProof/>
            <w:webHidden/>
          </w:rPr>
          <w:tab/>
        </w:r>
        <w:r w:rsidR="00AA3082">
          <w:rPr>
            <w:noProof/>
            <w:webHidden/>
          </w:rPr>
          <w:fldChar w:fldCharType="begin"/>
        </w:r>
        <w:r w:rsidR="00AA3082">
          <w:rPr>
            <w:noProof/>
            <w:webHidden/>
          </w:rPr>
          <w:instrText xml:space="preserve"> PAGEREF _Toc460321657 \h </w:instrText>
        </w:r>
        <w:r w:rsidR="00AA3082">
          <w:rPr>
            <w:noProof/>
            <w:webHidden/>
          </w:rPr>
        </w:r>
        <w:r w:rsidR="00AA3082">
          <w:rPr>
            <w:noProof/>
            <w:webHidden/>
          </w:rPr>
          <w:fldChar w:fldCharType="separate"/>
        </w:r>
        <w:r w:rsidR="00AA3082">
          <w:rPr>
            <w:noProof/>
            <w:webHidden/>
          </w:rPr>
          <w:t>132</w:t>
        </w:r>
        <w:r w:rsidR="00AA3082">
          <w:rPr>
            <w:noProof/>
            <w:webHidden/>
          </w:rPr>
          <w:fldChar w:fldCharType="end"/>
        </w:r>
      </w:hyperlink>
    </w:p>
    <w:p w14:paraId="5B5E2D78" w14:textId="23E8CF8F" w:rsidR="00AA3082" w:rsidRDefault="00A65A8D">
      <w:pPr>
        <w:pStyle w:val="Iliustracijsraas"/>
        <w:tabs>
          <w:tab w:val="right" w:leader="dot" w:pos="9016"/>
        </w:tabs>
        <w:rPr>
          <w:rFonts w:eastAsiaTheme="minorEastAsia" w:cs="Arial Unicode MS"/>
          <w:noProof/>
          <w:lang w:bidi="lo-LA"/>
        </w:rPr>
      </w:pPr>
      <w:hyperlink w:anchor="_Toc460321658" w:history="1">
        <w:r w:rsidR="00AA3082" w:rsidRPr="003D7275">
          <w:rPr>
            <w:rStyle w:val="Hipersaitas"/>
            <w:noProof/>
            <w:lang w:val="lt-LT"/>
          </w:rPr>
          <w:t>Lentelė 77. Scenarijaus Nr. 5 prielaidos</w:t>
        </w:r>
        <w:r w:rsidR="00AA3082">
          <w:rPr>
            <w:noProof/>
            <w:webHidden/>
          </w:rPr>
          <w:tab/>
        </w:r>
        <w:r w:rsidR="00AA3082">
          <w:rPr>
            <w:noProof/>
            <w:webHidden/>
          </w:rPr>
          <w:fldChar w:fldCharType="begin"/>
        </w:r>
        <w:r w:rsidR="00AA3082">
          <w:rPr>
            <w:noProof/>
            <w:webHidden/>
          </w:rPr>
          <w:instrText xml:space="preserve"> PAGEREF _Toc460321658 \h </w:instrText>
        </w:r>
        <w:r w:rsidR="00AA3082">
          <w:rPr>
            <w:noProof/>
            <w:webHidden/>
          </w:rPr>
        </w:r>
        <w:r w:rsidR="00AA3082">
          <w:rPr>
            <w:noProof/>
            <w:webHidden/>
          </w:rPr>
          <w:fldChar w:fldCharType="separate"/>
        </w:r>
        <w:r w:rsidR="00AA3082">
          <w:rPr>
            <w:noProof/>
            <w:webHidden/>
          </w:rPr>
          <w:t>133</w:t>
        </w:r>
        <w:r w:rsidR="00AA3082">
          <w:rPr>
            <w:noProof/>
            <w:webHidden/>
          </w:rPr>
          <w:fldChar w:fldCharType="end"/>
        </w:r>
      </w:hyperlink>
    </w:p>
    <w:p w14:paraId="47034283" w14:textId="24076D2C" w:rsidR="00AA3082" w:rsidRDefault="00A65A8D">
      <w:pPr>
        <w:pStyle w:val="Iliustracijsraas"/>
        <w:tabs>
          <w:tab w:val="right" w:leader="dot" w:pos="9016"/>
        </w:tabs>
        <w:rPr>
          <w:rFonts w:eastAsiaTheme="minorEastAsia" w:cs="Arial Unicode MS"/>
          <w:noProof/>
          <w:lang w:bidi="lo-LA"/>
        </w:rPr>
      </w:pPr>
      <w:hyperlink w:anchor="_Toc460321659" w:history="1">
        <w:r w:rsidR="00AA3082" w:rsidRPr="003D7275">
          <w:rPr>
            <w:rStyle w:val="Hipersaitas"/>
            <w:noProof/>
            <w:lang w:val="lt-LT"/>
          </w:rPr>
          <w:t>Lentelė 78. Scenarijaus Nr. 8 įgyvendinimo prognozė</w:t>
        </w:r>
        <w:r w:rsidR="00AA3082">
          <w:rPr>
            <w:noProof/>
            <w:webHidden/>
          </w:rPr>
          <w:tab/>
        </w:r>
        <w:r w:rsidR="00AA3082">
          <w:rPr>
            <w:noProof/>
            <w:webHidden/>
          </w:rPr>
          <w:fldChar w:fldCharType="begin"/>
        </w:r>
        <w:r w:rsidR="00AA3082">
          <w:rPr>
            <w:noProof/>
            <w:webHidden/>
          </w:rPr>
          <w:instrText xml:space="preserve"> PAGEREF _Toc460321659 \h </w:instrText>
        </w:r>
        <w:r w:rsidR="00AA3082">
          <w:rPr>
            <w:noProof/>
            <w:webHidden/>
          </w:rPr>
        </w:r>
        <w:r w:rsidR="00AA3082">
          <w:rPr>
            <w:noProof/>
            <w:webHidden/>
          </w:rPr>
          <w:fldChar w:fldCharType="separate"/>
        </w:r>
        <w:r w:rsidR="00AA3082">
          <w:rPr>
            <w:noProof/>
            <w:webHidden/>
          </w:rPr>
          <w:t>135</w:t>
        </w:r>
        <w:r w:rsidR="00AA3082">
          <w:rPr>
            <w:noProof/>
            <w:webHidden/>
          </w:rPr>
          <w:fldChar w:fldCharType="end"/>
        </w:r>
      </w:hyperlink>
    </w:p>
    <w:p w14:paraId="631B8756" w14:textId="457719BE" w:rsidR="00AA3082" w:rsidRDefault="00A65A8D">
      <w:pPr>
        <w:pStyle w:val="Iliustracijsraas"/>
        <w:tabs>
          <w:tab w:val="right" w:leader="dot" w:pos="9016"/>
        </w:tabs>
        <w:rPr>
          <w:rFonts w:eastAsiaTheme="minorEastAsia" w:cs="Arial Unicode MS"/>
          <w:noProof/>
          <w:lang w:bidi="lo-LA"/>
        </w:rPr>
      </w:pPr>
      <w:hyperlink w:anchor="_Toc460321660" w:history="1">
        <w:r w:rsidR="00AA3082" w:rsidRPr="003D7275">
          <w:rPr>
            <w:rStyle w:val="Hipersaitas"/>
            <w:noProof/>
            <w:lang w:val="lt-LT"/>
          </w:rPr>
          <w:t>Lentelė 79. Scenarijaus Nr. 8 rezultatai</w:t>
        </w:r>
        <w:r w:rsidR="00AA3082">
          <w:rPr>
            <w:noProof/>
            <w:webHidden/>
          </w:rPr>
          <w:tab/>
        </w:r>
        <w:r w:rsidR="00AA3082">
          <w:rPr>
            <w:noProof/>
            <w:webHidden/>
          </w:rPr>
          <w:fldChar w:fldCharType="begin"/>
        </w:r>
        <w:r w:rsidR="00AA3082">
          <w:rPr>
            <w:noProof/>
            <w:webHidden/>
          </w:rPr>
          <w:instrText xml:space="preserve"> PAGEREF _Toc460321660 \h </w:instrText>
        </w:r>
        <w:r w:rsidR="00AA3082">
          <w:rPr>
            <w:noProof/>
            <w:webHidden/>
          </w:rPr>
        </w:r>
        <w:r w:rsidR="00AA3082">
          <w:rPr>
            <w:noProof/>
            <w:webHidden/>
          </w:rPr>
          <w:fldChar w:fldCharType="separate"/>
        </w:r>
        <w:r w:rsidR="00AA3082">
          <w:rPr>
            <w:noProof/>
            <w:webHidden/>
          </w:rPr>
          <w:t>135</w:t>
        </w:r>
        <w:r w:rsidR="00AA3082">
          <w:rPr>
            <w:noProof/>
            <w:webHidden/>
          </w:rPr>
          <w:fldChar w:fldCharType="end"/>
        </w:r>
      </w:hyperlink>
    </w:p>
    <w:p w14:paraId="3223CFBA" w14:textId="11B4F9E6" w:rsidR="00AA3082" w:rsidRDefault="00A65A8D">
      <w:pPr>
        <w:pStyle w:val="Iliustracijsraas"/>
        <w:tabs>
          <w:tab w:val="right" w:leader="dot" w:pos="9016"/>
        </w:tabs>
        <w:rPr>
          <w:rFonts w:eastAsiaTheme="minorEastAsia" w:cs="Arial Unicode MS"/>
          <w:noProof/>
          <w:lang w:bidi="lo-LA"/>
        </w:rPr>
      </w:pPr>
      <w:hyperlink w:anchor="_Toc460321661" w:history="1">
        <w:r w:rsidR="00AA3082" w:rsidRPr="003D7275">
          <w:rPr>
            <w:rStyle w:val="Hipersaitas"/>
            <w:noProof/>
            <w:lang w:val="lt-LT"/>
          </w:rPr>
          <w:t>Lentelė 80. Scenarijaus Nr. 1 prielaidos</w:t>
        </w:r>
        <w:r w:rsidR="00AA3082">
          <w:rPr>
            <w:noProof/>
            <w:webHidden/>
          </w:rPr>
          <w:tab/>
        </w:r>
        <w:r w:rsidR="00AA3082">
          <w:rPr>
            <w:noProof/>
            <w:webHidden/>
          </w:rPr>
          <w:fldChar w:fldCharType="begin"/>
        </w:r>
        <w:r w:rsidR="00AA3082">
          <w:rPr>
            <w:noProof/>
            <w:webHidden/>
          </w:rPr>
          <w:instrText xml:space="preserve"> PAGEREF _Toc460321661 \h </w:instrText>
        </w:r>
        <w:r w:rsidR="00AA3082">
          <w:rPr>
            <w:noProof/>
            <w:webHidden/>
          </w:rPr>
        </w:r>
        <w:r w:rsidR="00AA3082">
          <w:rPr>
            <w:noProof/>
            <w:webHidden/>
          </w:rPr>
          <w:fldChar w:fldCharType="separate"/>
        </w:r>
        <w:r w:rsidR="00AA3082">
          <w:rPr>
            <w:noProof/>
            <w:webHidden/>
          </w:rPr>
          <w:t>137</w:t>
        </w:r>
        <w:r w:rsidR="00AA3082">
          <w:rPr>
            <w:noProof/>
            <w:webHidden/>
          </w:rPr>
          <w:fldChar w:fldCharType="end"/>
        </w:r>
      </w:hyperlink>
    </w:p>
    <w:p w14:paraId="22E4D21D" w14:textId="3C88C08A" w:rsidR="00AA3082" w:rsidRDefault="00A65A8D">
      <w:pPr>
        <w:pStyle w:val="Iliustracijsraas"/>
        <w:tabs>
          <w:tab w:val="right" w:leader="dot" w:pos="9016"/>
        </w:tabs>
        <w:rPr>
          <w:rFonts w:eastAsiaTheme="minorEastAsia" w:cs="Arial Unicode MS"/>
          <w:noProof/>
          <w:lang w:bidi="lo-LA"/>
        </w:rPr>
      </w:pPr>
      <w:hyperlink w:anchor="_Toc460321662" w:history="1">
        <w:r w:rsidR="00AA3082" w:rsidRPr="003D7275">
          <w:rPr>
            <w:rStyle w:val="Hipersaitas"/>
            <w:noProof/>
            <w:lang w:val="lt-LT"/>
          </w:rPr>
          <w:t>Lentelė 81. Scenarijaus Nr. 1 įgyvendinimo prognozė</w:t>
        </w:r>
        <w:r w:rsidR="00AA3082">
          <w:rPr>
            <w:noProof/>
            <w:webHidden/>
          </w:rPr>
          <w:tab/>
        </w:r>
        <w:r w:rsidR="00AA3082">
          <w:rPr>
            <w:noProof/>
            <w:webHidden/>
          </w:rPr>
          <w:fldChar w:fldCharType="begin"/>
        </w:r>
        <w:r w:rsidR="00AA3082">
          <w:rPr>
            <w:noProof/>
            <w:webHidden/>
          </w:rPr>
          <w:instrText xml:space="preserve"> PAGEREF _Toc460321662 \h </w:instrText>
        </w:r>
        <w:r w:rsidR="00AA3082">
          <w:rPr>
            <w:noProof/>
            <w:webHidden/>
          </w:rPr>
        </w:r>
        <w:r w:rsidR="00AA3082">
          <w:rPr>
            <w:noProof/>
            <w:webHidden/>
          </w:rPr>
          <w:fldChar w:fldCharType="separate"/>
        </w:r>
        <w:r w:rsidR="00AA3082">
          <w:rPr>
            <w:noProof/>
            <w:webHidden/>
          </w:rPr>
          <w:t>138</w:t>
        </w:r>
        <w:r w:rsidR="00AA3082">
          <w:rPr>
            <w:noProof/>
            <w:webHidden/>
          </w:rPr>
          <w:fldChar w:fldCharType="end"/>
        </w:r>
      </w:hyperlink>
    </w:p>
    <w:p w14:paraId="3F5D5736" w14:textId="4FB7B0AA" w:rsidR="00AA3082" w:rsidRDefault="00A65A8D">
      <w:pPr>
        <w:pStyle w:val="Iliustracijsraas"/>
        <w:tabs>
          <w:tab w:val="right" w:leader="dot" w:pos="9016"/>
        </w:tabs>
        <w:rPr>
          <w:rFonts w:eastAsiaTheme="minorEastAsia" w:cs="Arial Unicode MS"/>
          <w:noProof/>
          <w:lang w:bidi="lo-LA"/>
        </w:rPr>
      </w:pPr>
      <w:hyperlink w:anchor="_Toc460321663" w:history="1">
        <w:r w:rsidR="00AA3082" w:rsidRPr="003D7275">
          <w:rPr>
            <w:rStyle w:val="Hipersaitas"/>
            <w:noProof/>
            <w:lang w:val="lt-LT"/>
          </w:rPr>
          <w:t>Lentelė 82. Scenarijaus Nr. 1 rezultatai</w:t>
        </w:r>
        <w:r w:rsidR="00AA3082">
          <w:rPr>
            <w:noProof/>
            <w:webHidden/>
          </w:rPr>
          <w:tab/>
        </w:r>
        <w:r w:rsidR="00AA3082">
          <w:rPr>
            <w:noProof/>
            <w:webHidden/>
          </w:rPr>
          <w:fldChar w:fldCharType="begin"/>
        </w:r>
        <w:r w:rsidR="00AA3082">
          <w:rPr>
            <w:noProof/>
            <w:webHidden/>
          </w:rPr>
          <w:instrText xml:space="preserve"> PAGEREF _Toc460321663 \h </w:instrText>
        </w:r>
        <w:r w:rsidR="00AA3082">
          <w:rPr>
            <w:noProof/>
            <w:webHidden/>
          </w:rPr>
        </w:r>
        <w:r w:rsidR="00AA3082">
          <w:rPr>
            <w:noProof/>
            <w:webHidden/>
          </w:rPr>
          <w:fldChar w:fldCharType="separate"/>
        </w:r>
        <w:r w:rsidR="00AA3082">
          <w:rPr>
            <w:noProof/>
            <w:webHidden/>
          </w:rPr>
          <w:t>138</w:t>
        </w:r>
        <w:r w:rsidR="00AA3082">
          <w:rPr>
            <w:noProof/>
            <w:webHidden/>
          </w:rPr>
          <w:fldChar w:fldCharType="end"/>
        </w:r>
      </w:hyperlink>
    </w:p>
    <w:p w14:paraId="7AE780B0" w14:textId="039BAC26" w:rsidR="00AA3082" w:rsidRDefault="00A65A8D">
      <w:pPr>
        <w:pStyle w:val="Iliustracijsraas"/>
        <w:tabs>
          <w:tab w:val="right" w:leader="dot" w:pos="9016"/>
        </w:tabs>
        <w:rPr>
          <w:rFonts w:eastAsiaTheme="minorEastAsia" w:cs="Arial Unicode MS"/>
          <w:noProof/>
          <w:lang w:bidi="lo-LA"/>
        </w:rPr>
      </w:pPr>
      <w:hyperlink w:anchor="_Toc460321664" w:history="1">
        <w:r w:rsidR="00AA3082" w:rsidRPr="003D7275">
          <w:rPr>
            <w:rStyle w:val="Hipersaitas"/>
            <w:noProof/>
            <w:lang w:val="lt-LT"/>
          </w:rPr>
          <w:t>Lentelė 83. Scenarijaus Nr. 2 Prielaidos</w:t>
        </w:r>
        <w:r w:rsidR="00AA3082">
          <w:rPr>
            <w:noProof/>
            <w:webHidden/>
          </w:rPr>
          <w:tab/>
        </w:r>
        <w:r w:rsidR="00AA3082">
          <w:rPr>
            <w:noProof/>
            <w:webHidden/>
          </w:rPr>
          <w:fldChar w:fldCharType="begin"/>
        </w:r>
        <w:r w:rsidR="00AA3082">
          <w:rPr>
            <w:noProof/>
            <w:webHidden/>
          </w:rPr>
          <w:instrText xml:space="preserve"> PAGEREF _Toc460321664 \h </w:instrText>
        </w:r>
        <w:r w:rsidR="00AA3082">
          <w:rPr>
            <w:noProof/>
            <w:webHidden/>
          </w:rPr>
        </w:r>
        <w:r w:rsidR="00AA3082">
          <w:rPr>
            <w:noProof/>
            <w:webHidden/>
          </w:rPr>
          <w:fldChar w:fldCharType="separate"/>
        </w:r>
        <w:r w:rsidR="00AA3082">
          <w:rPr>
            <w:noProof/>
            <w:webHidden/>
          </w:rPr>
          <w:t>139</w:t>
        </w:r>
        <w:r w:rsidR="00AA3082">
          <w:rPr>
            <w:noProof/>
            <w:webHidden/>
          </w:rPr>
          <w:fldChar w:fldCharType="end"/>
        </w:r>
      </w:hyperlink>
    </w:p>
    <w:p w14:paraId="1E40EA7B" w14:textId="35132984" w:rsidR="00AA3082" w:rsidRDefault="00A65A8D">
      <w:pPr>
        <w:pStyle w:val="Iliustracijsraas"/>
        <w:tabs>
          <w:tab w:val="right" w:leader="dot" w:pos="9016"/>
        </w:tabs>
        <w:rPr>
          <w:rFonts w:eastAsiaTheme="minorEastAsia" w:cs="Arial Unicode MS"/>
          <w:noProof/>
          <w:lang w:bidi="lo-LA"/>
        </w:rPr>
      </w:pPr>
      <w:hyperlink w:anchor="_Toc460321665" w:history="1">
        <w:r w:rsidR="00AA3082" w:rsidRPr="003D7275">
          <w:rPr>
            <w:rStyle w:val="Hipersaitas"/>
            <w:noProof/>
            <w:lang w:val="lt-LT"/>
          </w:rPr>
          <w:t>Lentelė 84. Scenarijaus Nr. 2 įgyvendinimo prognozė</w:t>
        </w:r>
        <w:r w:rsidR="00AA3082">
          <w:rPr>
            <w:noProof/>
            <w:webHidden/>
          </w:rPr>
          <w:tab/>
        </w:r>
        <w:r w:rsidR="00AA3082">
          <w:rPr>
            <w:noProof/>
            <w:webHidden/>
          </w:rPr>
          <w:fldChar w:fldCharType="begin"/>
        </w:r>
        <w:r w:rsidR="00AA3082">
          <w:rPr>
            <w:noProof/>
            <w:webHidden/>
          </w:rPr>
          <w:instrText xml:space="preserve"> PAGEREF _Toc460321665 \h </w:instrText>
        </w:r>
        <w:r w:rsidR="00AA3082">
          <w:rPr>
            <w:noProof/>
            <w:webHidden/>
          </w:rPr>
        </w:r>
        <w:r w:rsidR="00AA3082">
          <w:rPr>
            <w:noProof/>
            <w:webHidden/>
          </w:rPr>
          <w:fldChar w:fldCharType="separate"/>
        </w:r>
        <w:r w:rsidR="00AA3082">
          <w:rPr>
            <w:noProof/>
            <w:webHidden/>
          </w:rPr>
          <w:t>140</w:t>
        </w:r>
        <w:r w:rsidR="00AA3082">
          <w:rPr>
            <w:noProof/>
            <w:webHidden/>
          </w:rPr>
          <w:fldChar w:fldCharType="end"/>
        </w:r>
      </w:hyperlink>
    </w:p>
    <w:p w14:paraId="3B7044FB" w14:textId="0FB52719" w:rsidR="00AA3082" w:rsidRDefault="00A65A8D">
      <w:pPr>
        <w:pStyle w:val="Iliustracijsraas"/>
        <w:tabs>
          <w:tab w:val="right" w:leader="dot" w:pos="9016"/>
        </w:tabs>
        <w:rPr>
          <w:rFonts w:eastAsiaTheme="minorEastAsia" w:cs="Arial Unicode MS"/>
          <w:noProof/>
          <w:lang w:bidi="lo-LA"/>
        </w:rPr>
      </w:pPr>
      <w:hyperlink w:anchor="_Toc460321666" w:history="1">
        <w:r w:rsidR="00AA3082" w:rsidRPr="003D7275">
          <w:rPr>
            <w:rStyle w:val="Hipersaitas"/>
            <w:noProof/>
            <w:lang w:val="lt-LT"/>
          </w:rPr>
          <w:t>Lentelė 85. Scenarijaus Nr. 2 rezultatai</w:t>
        </w:r>
        <w:r w:rsidR="00AA3082">
          <w:rPr>
            <w:noProof/>
            <w:webHidden/>
          </w:rPr>
          <w:tab/>
        </w:r>
        <w:r w:rsidR="00AA3082">
          <w:rPr>
            <w:noProof/>
            <w:webHidden/>
          </w:rPr>
          <w:fldChar w:fldCharType="begin"/>
        </w:r>
        <w:r w:rsidR="00AA3082">
          <w:rPr>
            <w:noProof/>
            <w:webHidden/>
          </w:rPr>
          <w:instrText xml:space="preserve"> PAGEREF _Toc460321666 \h </w:instrText>
        </w:r>
        <w:r w:rsidR="00AA3082">
          <w:rPr>
            <w:noProof/>
            <w:webHidden/>
          </w:rPr>
        </w:r>
        <w:r w:rsidR="00AA3082">
          <w:rPr>
            <w:noProof/>
            <w:webHidden/>
          </w:rPr>
          <w:fldChar w:fldCharType="separate"/>
        </w:r>
        <w:r w:rsidR="00AA3082">
          <w:rPr>
            <w:noProof/>
            <w:webHidden/>
          </w:rPr>
          <w:t>140</w:t>
        </w:r>
        <w:r w:rsidR="00AA3082">
          <w:rPr>
            <w:noProof/>
            <w:webHidden/>
          </w:rPr>
          <w:fldChar w:fldCharType="end"/>
        </w:r>
      </w:hyperlink>
    </w:p>
    <w:p w14:paraId="5D1311EC" w14:textId="7B44F395" w:rsidR="00AA3082" w:rsidRDefault="00A65A8D">
      <w:pPr>
        <w:pStyle w:val="Iliustracijsraas"/>
        <w:tabs>
          <w:tab w:val="right" w:leader="dot" w:pos="9016"/>
        </w:tabs>
        <w:rPr>
          <w:rFonts w:eastAsiaTheme="minorEastAsia" w:cs="Arial Unicode MS"/>
          <w:noProof/>
          <w:lang w:bidi="lo-LA"/>
        </w:rPr>
      </w:pPr>
      <w:hyperlink w:anchor="_Toc460321667" w:history="1">
        <w:r w:rsidR="00AA3082" w:rsidRPr="003D7275">
          <w:rPr>
            <w:rStyle w:val="Hipersaitas"/>
            <w:noProof/>
            <w:lang w:val="lt-LT"/>
          </w:rPr>
          <w:t>Lentelė 86. Scenarijaus Nr. 3 prielaidos</w:t>
        </w:r>
        <w:r w:rsidR="00AA3082">
          <w:rPr>
            <w:noProof/>
            <w:webHidden/>
          </w:rPr>
          <w:tab/>
        </w:r>
        <w:r w:rsidR="00AA3082">
          <w:rPr>
            <w:noProof/>
            <w:webHidden/>
          </w:rPr>
          <w:fldChar w:fldCharType="begin"/>
        </w:r>
        <w:r w:rsidR="00AA3082">
          <w:rPr>
            <w:noProof/>
            <w:webHidden/>
          </w:rPr>
          <w:instrText xml:space="preserve"> PAGEREF _Toc460321667 \h </w:instrText>
        </w:r>
        <w:r w:rsidR="00AA3082">
          <w:rPr>
            <w:noProof/>
            <w:webHidden/>
          </w:rPr>
        </w:r>
        <w:r w:rsidR="00AA3082">
          <w:rPr>
            <w:noProof/>
            <w:webHidden/>
          </w:rPr>
          <w:fldChar w:fldCharType="separate"/>
        </w:r>
        <w:r w:rsidR="00AA3082">
          <w:rPr>
            <w:noProof/>
            <w:webHidden/>
          </w:rPr>
          <w:t>141</w:t>
        </w:r>
        <w:r w:rsidR="00AA3082">
          <w:rPr>
            <w:noProof/>
            <w:webHidden/>
          </w:rPr>
          <w:fldChar w:fldCharType="end"/>
        </w:r>
      </w:hyperlink>
    </w:p>
    <w:p w14:paraId="3FA3622D" w14:textId="52FEB86E" w:rsidR="00AA3082" w:rsidRDefault="00A65A8D">
      <w:pPr>
        <w:pStyle w:val="Iliustracijsraas"/>
        <w:tabs>
          <w:tab w:val="right" w:leader="dot" w:pos="9016"/>
        </w:tabs>
        <w:rPr>
          <w:rFonts w:eastAsiaTheme="minorEastAsia" w:cs="Arial Unicode MS"/>
          <w:noProof/>
          <w:lang w:bidi="lo-LA"/>
        </w:rPr>
      </w:pPr>
      <w:hyperlink w:anchor="_Toc460321668" w:history="1">
        <w:r w:rsidR="00AA3082" w:rsidRPr="003D7275">
          <w:rPr>
            <w:rStyle w:val="Hipersaitas"/>
            <w:noProof/>
            <w:lang w:val="lt-LT"/>
          </w:rPr>
          <w:t>Lentelė 87. Scenarijaus Nr. 3 lengvatinių paskolų modelio įgyvendinimo prognozė</w:t>
        </w:r>
        <w:r w:rsidR="00AA3082">
          <w:rPr>
            <w:noProof/>
            <w:webHidden/>
          </w:rPr>
          <w:tab/>
        </w:r>
        <w:r w:rsidR="00AA3082">
          <w:rPr>
            <w:noProof/>
            <w:webHidden/>
          </w:rPr>
          <w:fldChar w:fldCharType="begin"/>
        </w:r>
        <w:r w:rsidR="00AA3082">
          <w:rPr>
            <w:noProof/>
            <w:webHidden/>
          </w:rPr>
          <w:instrText xml:space="preserve"> PAGEREF _Toc460321668 \h </w:instrText>
        </w:r>
        <w:r w:rsidR="00AA3082">
          <w:rPr>
            <w:noProof/>
            <w:webHidden/>
          </w:rPr>
        </w:r>
        <w:r w:rsidR="00AA3082">
          <w:rPr>
            <w:noProof/>
            <w:webHidden/>
          </w:rPr>
          <w:fldChar w:fldCharType="separate"/>
        </w:r>
        <w:r w:rsidR="00AA3082">
          <w:rPr>
            <w:noProof/>
            <w:webHidden/>
          </w:rPr>
          <w:t>142</w:t>
        </w:r>
        <w:r w:rsidR="00AA3082">
          <w:rPr>
            <w:noProof/>
            <w:webHidden/>
          </w:rPr>
          <w:fldChar w:fldCharType="end"/>
        </w:r>
      </w:hyperlink>
    </w:p>
    <w:p w14:paraId="79FA3136" w14:textId="061305AE" w:rsidR="00AA3082" w:rsidRDefault="00A65A8D">
      <w:pPr>
        <w:pStyle w:val="Iliustracijsraas"/>
        <w:tabs>
          <w:tab w:val="right" w:leader="dot" w:pos="9016"/>
        </w:tabs>
        <w:rPr>
          <w:rFonts w:eastAsiaTheme="minorEastAsia" w:cs="Arial Unicode MS"/>
          <w:noProof/>
          <w:lang w:bidi="lo-LA"/>
        </w:rPr>
      </w:pPr>
      <w:hyperlink w:anchor="_Toc460321669" w:history="1">
        <w:r w:rsidR="00AA3082" w:rsidRPr="003D7275">
          <w:rPr>
            <w:rStyle w:val="Hipersaitas"/>
            <w:noProof/>
            <w:lang w:val="lt-LT"/>
          </w:rPr>
          <w:t>Lentelė 88. Scenarijaus Nr. 3 garantijų modelio įgyvendinimo prognozė</w:t>
        </w:r>
        <w:r w:rsidR="00AA3082">
          <w:rPr>
            <w:noProof/>
            <w:webHidden/>
          </w:rPr>
          <w:tab/>
        </w:r>
        <w:r w:rsidR="00AA3082">
          <w:rPr>
            <w:noProof/>
            <w:webHidden/>
          </w:rPr>
          <w:fldChar w:fldCharType="begin"/>
        </w:r>
        <w:r w:rsidR="00AA3082">
          <w:rPr>
            <w:noProof/>
            <w:webHidden/>
          </w:rPr>
          <w:instrText xml:space="preserve"> PAGEREF _Toc460321669 \h </w:instrText>
        </w:r>
        <w:r w:rsidR="00AA3082">
          <w:rPr>
            <w:noProof/>
            <w:webHidden/>
          </w:rPr>
        </w:r>
        <w:r w:rsidR="00AA3082">
          <w:rPr>
            <w:noProof/>
            <w:webHidden/>
          </w:rPr>
          <w:fldChar w:fldCharType="separate"/>
        </w:r>
        <w:r w:rsidR="00AA3082">
          <w:rPr>
            <w:noProof/>
            <w:webHidden/>
          </w:rPr>
          <w:t>143</w:t>
        </w:r>
        <w:r w:rsidR="00AA3082">
          <w:rPr>
            <w:noProof/>
            <w:webHidden/>
          </w:rPr>
          <w:fldChar w:fldCharType="end"/>
        </w:r>
      </w:hyperlink>
    </w:p>
    <w:p w14:paraId="0E3ECECB" w14:textId="0F068834" w:rsidR="00AA3082" w:rsidRDefault="00A65A8D">
      <w:pPr>
        <w:pStyle w:val="Iliustracijsraas"/>
        <w:tabs>
          <w:tab w:val="right" w:leader="dot" w:pos="9016"/>
        </w:tabs>
        <w:rPr>
          <w:rFonts w:eastAsiaTheme="minorEastAsia" w:cs="Arial Unicode MS"/>
          <w:noProof/>
          <w:lang w:bidi="lo-LA"/>
        </w:rPr>
      </w:pPr>
      <w:hyperlink w:anchor="_Toc460321670" w:history="1">
        <w:r w:rsidR="00AA3082" w:rsidRPr="003D7275">
          <w:rPr>
            <w:rStyle w:val="Hipersaitas"/>
            <w:noProof/>
            <w:lang w:val="lt-LT"/>
          </w:rPr>
          <w:t>Lentelė 89. Scenarijaus Nr. 3 rezultatai</w:t>
        </w:r>
        <w:r w:rsidR="00AA3082">
          <w:rPr>
            <w:noProof/>
            <w:webHidden/>
          </w:rPr>
          <w:tab/>
        </w:r>
        <w:r w:rsidR="00AA3082">
          <w:rPr>
            <w:noProof/>
            <w:webHidden/>
          </w:rPr>
          <w:fldChar w:fldCharType="begin"/>
        </w:r>
        <w:r w:rsidR="00AA3082">
          <w:rPr>
            <w:noProof/>
            <w:webHidden/>
          </w:rPr>
          <w:instrText xml:space="preserve"> PAGEREF _Toc460321670 \h </w:instrText>
        </w:r>
        <w:r w:rsidR="00AA3082">
          <w:rPr>
            <w:noProof/>
            <w:webHidden/>
          </w:rPr>
        </w:r>
        <w:r w:rsidR="00AA3082">
          <w:rPr>
            <w:noProof/>
            <w:webHidden/>
          </w:rPr>
          <w:fldChar w:fldCharType="separate"/>
        </w:r>
        <w:r w:rsidR="00AA3082">
          <w:rPr>
            <w:noProof/>
            <w:webHidden/>
          </w:rPr>
          <w:t>143</w:t>
        </w:r>
        <w:r w:rsidR="00AA3082">
          <w:rPr>
            <w:noProof/>
            <w:webHidden/>
          </w:rPr>
          <w:fldChar w:fldCharType="end"/>
        </w:r>
      </w:hyperlink>
    </w:p>
    <w:p w14:paraId="1A90040F" w14:textId="200AB9CC" w:rsidR="00AA3082" w:rsidRDefault="00A65A8D">
      <w:pPr>
        <w:pStyle w:val="Iliustracijsraas"/>
        <w:tabs>
          <w:tab w:val="right" w:leader="dot" w:pos="9016"/>
        </w:tabs>
        <w:rPr>
          <w:rFonts w:eastAsiaTheme="minorEastAsia" w:cs="Arial Unicode MS"/>
          <w:noProof/>
          <w:lang w:bidi="lo-LA"/>
        </w:rPr>
      </w:pPr>
      <w:hyperlink w:anchor="_Toc460321671" w:history="1">
        <w:r w:rsidR="00AA3082" w:rsidRPr="003D7275">
          <w:rPr>
            <w:rStyle w:val="Hipersaitas"/>
            <w:noProof/>
            <w:lang w:val="lt-LT"/>
          </w:rPr>
          <w:t>Lentelė 90. Scenarijaus Nr. 4 Prielaidos</w:t>
        </w:r>
        <w:r w:rsidR="00AA3082">
          <w:rPr>
            <w:noProof/>
            <w:webHidden/>
          </w:rPr>
          <w:tab/>
        </w:r>
        <w:r w:rsidR="00AA3082">
          <w:rPr>
            <w:noProof/>
            <w:webHidden/>
          </w:rPr>
          <w:fldChar w:fldCharType="begin"/>
        </w:r>
        <w:r w:rsidR="00AA3082">
          <w:rPr>
            <w:noProof/>
            <w:webHidden/>
          </w:rPr>
          <w:instrText xml:space="preserve"> PAGEREF _Toc460321671 \h </w:instrText>
        </w:r>
        <w:r w:rsidR="00AA3082">
          <w:rPr>
            <w:noProof/>
            <w:webHidden/>
          </w:rPr>
        </w:r>
        <w:r w:rsidR="00AA3082">
          <w:rPr>
            <w:noProof/>
            <w:webHidden/>
          </w:rPr>
          <w:fldChar w:fldCharType="separate"/>
        </w:r>
        <w:r w:rsidR="00AA3082">
          <w:rPr>
            <w:noProof/>
            <w:webHidden/>
          </w:rPr>
          <w:t>144</w:t>
        </w:r>
        <w:r w:rsidR="00AA3082">
          <w:rPr>
            <w:noProof/>
            <w:webHidden/>
          </w:rPr>
          <w:fldChar w:fldCharType="end"/>
        </w:r>
      </w:hyperlink>
    </w:p>
    <w:p w14:paraId="21F883C6" w14:textId="1022636B" w:rsidR="00AA3082" w:rsidRDefault="00A65A8D">
      <w:pPr>
        <w:pStyle w:val="Iliustracijsraas"/>
        <w:tabs>
          <w:tab w:val="right" w:leader="dot" w:pos="9016"/>
        </w:tabs>
        <w:rPr>
          <w:rFonts w:eastAsiaTheme="minorEastAsia" w:cs="Arial Unicode MS"/>
          <w:noProof/>
          <w:lang w:bidi="lo-LA"/>
        </w:rPr>
      </w:pPr>
      <w:hyperlink w:anchor="_Toc460321672" w:history="1">
        <w:r w:rsidR="00AA3082" w:rsidRPr="003D7275">
          <w:rPr>
            <w:rStyle w:val="Hipersaitas"/>
            <w:noProof/>
            <w:lang w:val="lt-LT"/>
          </w:rPr>
          <w:t>Lentelė 91. Scenarijaus Nr. 4 įgyvendinimo prognozė</w:t>
        </w:r>
        <w:r w:rsidR="00AA3082">
          <w:rPr>
            <w:noProof/>
            <w:webHidden/>
          </w:rPr>
          <w:tab/>
        </w:r>
        <w:r w:rsidR="00AA3082">
          <w:rPr>
            <w:noProof/>
            <w:webHidden/>
          </w:rPr>
          <w:fldChar w:fldCharType="begin"/>
        </w:r>
        <w:r w:rsidR="00AA3082">
          <w:rPr>
            <w:noProof/>
            <w:webHidden/>
          </w:rPr>
          <w:instrText xml:space="preserve"> PAGEREF _Toc460321672 \h </w:instrText>
        </w:r>
        <w:r w:rsidR="00AA3082">
          <w:rPr>
            <w:noProof/>
            <w:webHidden/>
          </w:rPr>
        </w:r>
        <w:r w:rsidR="00AA3082">
          <w:rPr>
            <w:noProof/>
            <w:webHidden/>
          </w:rPr>
          <w:fldChar w:fldCharType="separate"/>
        </w:r>
        <w:r w:rsidR="00AA3082">
          <w:rPr>
            <w:noProof/>
            <w:webHidden/>
          </w:rPr>
          <w:t>145</w:t>
        </w:r>
        <w:r w:rsidR="00AA3082">
          <w:rPr>
            <w:noProof/>
            <w:webHidden/>
          </w:rPr>
          <w:fldChar w:fldCharType="end"/>
        </w:r>
      </w:hyperlink>
    </w:p>
    <w:p w14:paraId="55E411FA" w14:textId="3CE9B6B8" w:rsidR="00AA3082" w:rsidRDefault="00A65A8D">
      <w:pPr>
        <w:pStyle w:val="Iliustracijsraas"/>
        <w:tabs>
          <w:tab w:val="right" w:leader="dot" w:pos="9016"/>
        </w:tabs>
        <w:rPr>
          <w:rFonts w:eastAsiaTheme="minorEastAsia" w:cs="Arial Unicode MS"/>
          <w:noProof/>
          <w:lang w:bidi="lo-LA"/>
        </w:rPr>
      </w:pPr>
      <w:hyperlink w:anchor="_Toc460321673" w:history="1">
        <w:r w:rsidR="00AA3082" w:rsidRPr="003D7275">
          <w:rPr>
            <w:rStyle w:val="Hipersaitas"/>
            <w:noProof/>
            <w:lang w:val="lt-LT"/>
          </w:rPr>
          <w:t>Lentelė 92. Scenarijaus Nr. 4 rezultatai</w:t>
        </w:r>
        <w:r w:rsidR="00AA3082">
          <w:rPr>
            <w:noProof/>
            <w:webHidden/>
          </w:rPr>
          <w:tab/>
        </w:r>
        <w:r w:rsidR="00AA3082">
          <w:rPr>
            <w:noProof/>
            <w:webHidden/>
          </w:rPr>
          <w:fldChar w:fldCharType="begin"/>
        </w:r>
        <w:r w:rsidR="00AA3082">
          <w:rPr>
            <w:noProof/>
            <w:webHidden/>
          </w:rPr>
          <w:instrText xml:space="preserve"> PAGEREF _Toc460321673 \h </w:instrText>
        </w:r>
        <w:r w:rsidR="00AA3082">
          <w:rPr>
            <w:noProof/>
            <w:webHidden/>
          </w:rPr>
        </w:r>
        <w:r w:rsidR="00AA3082">
          <w:rPr>
            <w:noProof/>
            <w:webHidden/>
          </w:rPr>
          <w:fldChar w:fldCharType="separate"/>
        </w:r>
        <w:r w:rsidR="00AA3082">
          <w:rPr>
            <w:noProof/>
            <w:webHidden/>
          </w:rPr>
          <w:t>145</w:t>
        </w:r>
        <w:r w:rsidR="00AA3082">
          <w:rPr>
            <w:noProof/>
            <w:webHidden/>
          </w:rPr>
          <w:fldChar w:fldCharType="end"/>
        </w:r>
      </w:hyperlink>
    </w:p>
    <w:p w14:paraId="299295DD" w14:textId="39488F43" w:rsidR="00AA3082" w:rsidRDefault="00A65A8D">
      <w:pPr>
        <w:pStyle w:val="Iliustracijsraas"/>
        <w:tabs>
          <w:tab w:val="right" w:leader="dot" w:pos="9016"/>
        </w:tabs>
        <w:rPr>
          <w:rFonts w:eastAsiaTheme="minorEastAsia" w:cs="Arial Unicode MS"/>
          <w:noProof/>
          <w:lang w:bidi="lo-LA"/>
        </w:rPr>
      </w:pPr>
      <w:hyperlink w:anchor="_Toc460321674" w:history="1">
        <w:r w:rsidR="00AA3082" w:rsidRPr="003D7275">
          <w:rPr>
            <w:rStyle w:val="Hipersaitas"/>
            <w:noProof/>
            <w:lang w:val="lt-LT"/>
          </w:rPr>
          <w:t>Lentelė 93. Scenarijaus Nr. 5 prielaidos</w:t>
        </w:r>
        <w:r w:rsidR="00AA3082">
          <w:rPr>
            <w:noProof/>
            <w:webHidden/>
          </w:rPr>
          <w:tab/>
        </w:r>
        <w:r w:rsidR="00AA3082">
          <w:rPr>
            <w:noProof/>
            <w:webHidden/>
          </w:rPr>
          <w:fldChar w:fldCharType="begin"/>
        </w:r>
        <w:r w:rsidR="00AA3082">
          <w:rPr>
            <w:noProof/>
            <w:webHidden/>
          </w:rPr>
          <w:instrText xml:space="preserve"> PAGEREF _Toc460321674 \h </w:instrText>
        </w:r>
        <w:r w:rsidR="00AA3082">
          <w:rPr>
            <w:noProof/>
            <w:webHidden/>
          </w:rPr>
        </w:r>
        <w:r w:rsidR="00AA3082">
          <w:rPr>
            <w:noProof/>
            <w:webHidden/>
          </w:rPr>
          <w:fldChar w:fldCharType="separate"/>
        </w:r>
        <w:r w:rsidR="00AA3082">
          <w:rPr>
            <w:noProof/>
            <w:webHidden/>
          </w:rPr>
          <w:t>146</w:t>
        </w:r>
        <w:r w:rsidR="00AA3082">
          <w:rPr>
            <w:noProof/>
            <w:webHidden/>
          </w:rPr>
          <w:fldChar w:fldCharType="end"/>
        </w:r>
      </w:hyperlink>
    </w:p>
    <w:p w14:paraId="778C044B" w14:textId="00A3B51B" w:rsidR="00AA3082" w:rsidRDefault="00A65A8D">
      <w:pPr>
        <w:pStyle w:val="Iliustracijsraas"/>
        <w:tabs>
          <w:tab w:val="right" w:leader="dot" w:pos="9016"/>
        </w:tabs>
        <w:rPr>
          <w:rFonts w:eastAsiaTheme="minorEastAsia" w:cs="Arial Unicode MS"/>
          <w:noProof/>
          <w:lang w:bidi="lo-LA"/>
        </w:rPr>
      </w:pPr>
      <w:hyperlink w:anchor="_Toc460321675" w:history="1">
        <w:r w:rsidR="00AA3082" w:rsidRPr="003D7275">
          <w:rPr>
            <w:rStyle w:val="Hipersaitas"/>
            <w:noProof/>
            <w:lang w:val="lt-LT"/>
          </w:rPr>
          <w:t>Lentelė 94. Scenarijaus Nr. 5 įgyvendinimo prognozė.</w:t>
        </w:r>
        <w:r w:rsidR="00AA3082">
          <w:rPr>
            <w:noProof/>
            <w:webHidden/>
          </w:rPr>
          <w:tab/>
        </w:r>
        <w:r w:rsidR="00AA3082">
          <w:rPr>
            <w:noProof/>
            <w:webHidden/>
          </w:rPr>
          <w:fldChar w:fldCharType="begin"/>
        </w:r>
        <w:r w:rsidR="00AA3082">
          <w:rPr>
            <w:noProof/>
            <w:webHidden/>
          </w:rPr>
          <w:instrText xml:space="preserve"> PAGEREF _Toc460321675 \h </w:instrText>
        </w:r>
        <w:r w:rsidR="00AA3082">
          <w:rPr>
            <w:noProof/>
            <w:webHidden/>
          </w:rPr>
        </w:r>
        <w:r w:rsidR="00AA3082">
          <w:rPr>
            <w:noProof/>
            <w:webHidden/>
          </w:rPr>
          <w:fldChar w:fldCharType="separate"/>
        </w:r>
        <w:r w:rsidR="00AA3082">
          <w:rPr>
            <w:noProof/>
            <w:webHidden/>
          </w:rPr>
          <w:t>147</w:t>
        </w:r>
        <w:r w:rsidR="00AA3082">
          <w:rPr>
            <w:noProof/>
            <w:webHidden/>
          </w:rPr>
          <w:fldChar w:fldCharType="end"/>
        </w:r>
      </w:hyperlink>
    </w:p>
    <w:p w14:paraId="518D9640" w14:textId="51954DF5" w:rsidR="00AA3082" w:rsidRDefault="00A65A8D">
      <w:pPr>
        <w:pStyle w:val="Iliustracijsraas"/>
        <w:tabs>
          <w:tab w:val="right" w:leader="dot" w:pos="9016"/>
        </w:tabs>
        <w:rPr>
          <w:rFonts w:eastAsiaTheme="minorEastAsia" w:cs="Arial Unicode MS"/>
          <w:noProof/>
          <w:lang w:bidi="lo-LA"/>
        </w:rPr>
      </w:pPr>
      <w:hyperlink w:anchor="_Toc460321676" w:history="1">
        <w:r w:rsidR="00AA3082" w:rsidRPr="003D7275">
          <w:rPr>
            <w:rStyle w:val="Hipersaitas"/>
            <w:noProof/>
            <w:lang w:val="lt-LT"/>
          </w:rPr>
          <w:t>Lentelė 95. Scenarijaus Nr. 5 rezultatai:</w:t>
        </w:r>
        <w:r w:rsidR="00AA3082">
          <w:rPr>
            <w:noProof/>
            <w:webHidden/>
          </w:rPr>
          <w:tab/>
        </w:r>
        <w:r w:rsidR="00AA3082">
          <w:rPr>
            <w:noProof/>
            <w:webHidden/>
          </w:rPr>
          <w:fldChar w:fldCharType="begin"/>
        </w:r>
        <w:r w:rsidR="00AA3082">
          <w:rPr>
            <w:noProof/>
            <w:webHidden/>
          </w:rPr>
          <w:instrText xml:space="preserve"> PAGEREF _Toc460321676 \h </w:instrText>
        </w:r>
        <w:r w:rsidR="00AA3082">
          <w:rPr>
            <w:noProof/>
            <w:webHidden/>
          </w:rPr>
        </w:r>
        <w:r w:rsidR="00AA3082">
          <w:rPr>
            <w:noProof/>
            <w:webHidden/>
          </w:rPr>
          <w:fldChar w:fldCharType="separate"/>
        </w:r>
        <w:r w:rsidR="00AA3082">
          <w:rPr>
            <w:noProof/>
            <w:webHidden/>
          </w:rPr>
          <w:t>147</w:t>
        </w:r>
        <w:r w:rsidR="00AA3082">
          <w:rPr>
            <w:noProof/>
            <w:webHidden/>
          </w:rPr>
          <w:fldChar w:fldCharType="end"/>
        </w:r>
      </w:hyperlink>
    </w:p>
    <w:p w14:paraId="3FC9E965" w14:textId="4290A49D" w:rsidR="00AA3082" w:rsidRDefault="00A65A8D">
      <w:pPr>
        <w:pStyle w:val="Iliustracijsraas"/>
        <w:tabs>
          <w:tab w:val="right" w:leader="dot" w:pos="9016"/>
        </w:tabs>
        <w:rPr>
          <w:rFonts w:eastAsiaTheme="minorEastAsia" w:cs="Arial Unicode MS"/>
          <w:noProof/>
          <w:lang w:bidi="lo-LA"/>
        </w:rPr>
      </w:pPr>
      <w:hyperlink w:anchor="_Toc460321677" w:history="1">
        <w:r w:rsidR="00AA3082" w:rsidRPr="003D7275">
          <w:rPr>
            <w:rStyle w:val="Hipersaitas"/>
            <w:noProof/>
            <w:lang w:val="lt-LT"/>
          </w:rPr>
          <w:t>Lentelė 96. Scenarijaus Nr. 1 prielaidos</w:t>
        </w:r>
        <w:r w:rsidR="00AA3082">
          <w:rPr>
            <w:noProof/>
            <w:webHidden/>
          </w:rPr>
          <w:tab/>
        </w:r>
        <w:r w:rsidR="00AA3082">
          <w:rPr>
            <w:noProof/>
            <w:webHidden/>
          </w:rPr>
          <w:fldChar w:fldCharType="begin"/>
        </w:r>
        <w:r w:rsidR="00AA3082">
          <w:rPr>
            <w:noProof/>
            <w:webHidden/>
          </w:rPr>
          <w:instrText xml:space="preserve"> PAGEREF _Toc460321677 \h </w:instrText>
        </w:r>
        <w:r w:rsidR="00AA3082">
          <w:rPr>
            <w:noProof/>
            <w:webHidden/>
          </w:rPr>
        </w:r>
        <w:r w:rsidR="00AA3082">
          <w:rPr>
            <w:noProof/>
            <w:webHidden/>
          </w:rPr>
          <w:fldChar w:fldCharType="separate"/>
        </w:r>
        <w:r w:rsidR="00AA3082">
          <w:rPr>
            <w:noProof/>
            <w:webHidden/>
          </w:rPr>
          <w:t>149</w:t>
        </w:r>
        <w:r w:rsidR="00AA3082">
          <w:rPr>
            <w:noProof/>
            <w:webHidden/>
          </w:rPr>
          <w:fldChar w:fldCharType="end"/>
        </w:r>
      </w:hyperlink>
    </w:p>
    <w:p w14:paraId="400BA0DB" w14:textId="044DC248" w:rsidR="00AA3082" w:rsidRDefault="00A65A8D">
      <w:pPr>
        <w:pStyle w:val="Iliustracijsraas"/>
        <w:tabs>
          <w:tab w:val="right" w:leader="dot" w:pos="9016"/>
        </w:tabs>
        <w:rPr>
          <w:rFonts w:eastAsiaTheme="minorEastAsia" w:cs="Arial Unicode MS"/>
          <w:noProof/>
          <w:lang w:bidi="lo-LA"/>
        </w:rPr>
      </w:pPr>
      <w:hyperlink w:anchor="_Toc460321678" w:history="1">
        <w:r w:rsidR="00AA3082" w:rsidRPr="003D7275">
          <w:rPr>
            <w:rStyle w:val="Hipersaitas"/>
            <w:noProof/>
            <w:lang w:val="lt-LT"/>
          </w:rPr>
          <w:t>Lentelė 97. Scenarijaus Nr. 1 įgyvendinimo prognozė</w:t>
        </w:r>
        <w:r w:rsidR="00AA3082">
          <w:rPr>
            <w:noProof/>
            <w:webHidden/>
          </w:rPr>
          <w:tab/>
        </w:r>
        <w:r w:rsidR="00AA3082">
          <w:rPr>
            <w:noProof/>
            <w:webHidden/>
          </w:rPr>
          <w:fldChar w:fldCharType="begin"/>
        </w:r>
        <w:r w:rsidR="00AA3082">
          <w:rPr>
            <w:noProof/>
            <w:webHidden/>
          </w:rPr>
          <w:instrText xml:space="preserve"> PAGEREF _Toc460321678 \h </w:instrText>
        </w:r>
        <w:r w:rsidR="00AA3082">
          <w:rPr>
            <w:noProof/>
            <w:webHidden/>
          </w:rPr>
        </w:r>
        <w:r w:rsidR="00AA3082">
          <w:rPr>
            <w:noProof/>
            <w:webHidden/>
          </w:rPr>
          <w:fldChar w:fldCharType="separate"/>
        </w:r>
        <w:r w:rsidR="00AA3082">
          <w:rPr>
            <w:noProof/>
            <w:webHidden/>
          </w:rPr>
          <w:t>150</w:t>
        </w:r>
        <w:r w:rsidR="00AA3082">
          <w:rPr>
            <w:noProof/>
            <w:webHidden/>
          </w:rPr>
          <w:fldChar w:fldCharType="end"/>
        </w:r>
      </w:hyperlink>
    </w:p>
    <w:p w14:paraId="1926D13F" w14:textId="4D445ABE" w:rsidR="00AA3082" w:rsidRDefault="00A65A8D">
      <w:pPr>
        <w:pStyle w:val="Iliustracijsraas"/>
        <w:tabs>
          <w:tab w:val="right" w:leader="dot" w:pos="9016"/>
        </w:tabs>
        <w:rPr>
          <w:rFonts w:eastAsiaTheme="minorEastAsia" w:cs="Arial Unicode MS"/>
          <w:noProof/>
          <w:lang w:bidi="lo-LA"/>
        </w:rPr>
      </w:pPr>
      <w:hyperlink w:anchor="_Toc460321679" w:history="1">
        <w:r w:rsidR="00AA3082" w:rsidRPr="003D7275">
          <w:rPr>
            <w:rStyle w:val="Hipersaitas"/>
            <w:noProof/>
            <w:lang w:val="lt-LT"/>
          </w:rPr>
          <w:t>Lentelė 98. Scenarijaus Nr. 1 rezultatai</w:t>
        </w:r>
        <w:r w:rsidR="00AA3082">
          <w:rPr>
            <w:noProof/>
            <w:webHidden/>
          </w:rPr>
          <w:tab/>
        </w:r>
        <w:r w:rsidR="00AA3082">
          <w:rPr>
            <w:noProof/>
            <w:webHidden/>
          </w:rPr>
          <w:fldChar w:fldCharType="begin"/>
        </w:r>
        <w:r w:rsidR="00AA3082">
          <w:rPr>
            <w:noProof/>
            <w:webHidden/>
          </w:rPr>
          <w:instrText xml:space="preserve"> PAGEREF _Toc460321679 \h </w:instrText>
        </w:r>
        <w:r w:rsidR="00AA3082">
          <w:rPr>
            <w:noProof/>
            <w:webHidden/>
          </w:rPr>
        </w:r>
        <w:r w:rsidR="00AA3082">
          <w:rPr>
            <w:noProof/>
            <w:webHidden/>
          </w:rPr>
          <w:fldChar w:fldCharType="separate"/>
        </w:r>
        <w:r w:rsidR="00AA3082">
          <w:rPr>
            <w:noProof/>
            <w:webHidden/>
          </w:rPr>
          <w:t>150</w:t>
        </w:r>
        <w:r w:rsidR="00AA3082">
          <w:rPr>
            <w:noProof/>
            <w:webHidden/>
          </w:rPr>
          <w:fldChar w:fldCharType="end"/>
        </w:r>
      </w:hyperlink>
    </w:p>
    <w:p w14:paraId="01360FA5" w14:textId="756C2E61" w:rsidR="00AA3082" w:rsidRDefault="00A65A8D">
      <w:pPr>
        <w:pStyle w:val="Iliustracijsraas"/>
        <w:tabs>
          <w:tab w:val="right" w:leader="dot" w:pos="9016"/>
        </w:tabs>
        <w:rPr>
          <w:rFonts w:eastAsiaTheme="minorEastAsia" w:cs="Arial Unicode MS"/>
          <w:noProof/>
          <w:lang w:bidi="lo-LA"/>
        </w:rPr>
      </w:pPr>
      <w:hyperlink w:anchor="_Toc460321680" w:history="1">
        <w:r w:rsidR="00AA3082" w:rsidRPr="003D7275">
          <w:rPr>
            <w:rStyle w:val="Hipersaitas"/>
            <w:noProof/>
            <w:lang w:val="lt-LT"/>
          </w:rPr>
          <w:t>Lentelė 99. Scenarijaus Nr. 2 Prielaidos</w:t>
        </w:r>
        <w:r w:rsidR="00AA3082">
          <w:rPr>
            <w:noProof/>
            <w:webHidden/>
          </w:rPr>
          <w:tab/>
        </w:r>
        <w:r w:rsidR="00AA3082">
          <w:rPr>
            <w:noProof/>
            <w:webHidden/>
          </w:rPr>
          <w:fldChar w:fldCharType="begin"/>
        </w:r>
        <w:r w:rsidR="00AA3082">
          <w:rPr>
            <w:noProof/>
            <w:webHidden/>
          </w:rPr>
          <w:instrText xml:space="preserve"> PAGEREF _Toc460321680 \h </w:instrText>
        </w:r>
        <w:r w:rsidR="00AA3082">
          <w:rPr>
            <w:noProof/>
            <w:webHidden/>
          </w:rPr>
        </w:r>
        <w:r w:rsidR="00AA3082">
          <w:rPr>
            <w:noProof/>
            <w:webHidden/>
          </w:rPr>
          <w:fldChar w:fldCharType="separate"/>
        </w:r>
        <w:r w:rsidR="00AA3082">
          <w:rPr>
            <w:noProof/>
            <w:webHidden/>
          </w:rPr>
          <w:t>151</w:t>
        </w:r>
        <w:r w:rsidR="00AA3082">
          <w:rPr>
            <w:noProof/>
            <w:webHidden/>
          </w:rPr>
          <w:fldChar w:fldCharType="end"/>
        </w:r>
      </w:hyperlink>
    </w:p>
    <w:p w14:paraId="1202D16F" w14:textId="639C6B91" w:rsidR="00AA3082" w:rsidRDefault="00A65A8D">
      <w:pPr>
        <w:pStyle w:val="Iliustracijsraas"/>
        <w:tabs>
          <w:tab w:val="right" w:leader="dot" w:pos="9016"/>
        </w:tabs>
        <w:rPr>
          <w:rFonts w:eastAsiaTheme="minorEastAsia" w:cs="Arial Unicode MS"/>
          <w:noProof/>
          <w:lang w:bidi="lo-LA"/>
        </w:rPr>
      </w:pPr>
      <w:hyperlink w:anchor="_Toc460321681" w:history="1">
        <w:r w:rsidR="00AA3082" w:rsidRPr="003D7275">
          <w:rPr>
            <w:rStyle w:val="Hipersaitas"/>
            <w:noProof/>
            <w:lang w:val="lt-LT"/>
          </w:rPr>
          <w:t>Lentelė 100. Scenarijaus Nr. 2 įgyvendinimo prognozė</w:t>
        </w:r>
        <w:r w:rsidR="00AA3082">
          <w:rPr>
            <w:noProof/>
            <w:webHidden/>
          </w:rPr>
          <w:tab/>
        </w:r>
        <w:r w:rsidR="00AA3082">
          <w:rPr>
            <w:noProof/>
            <w:webHidden/>
          </w:rPr>
          <w:fldChar w:fldCharType="begin"/>
        </w:r>
        <w:r w:rsidR="00AA3082">
          <w:rPr>
            <w:noProof/>
            <w:webHidden/>
          </w:rPr>
          <w:instrText xml:space="preserve"> PAGEREF _Toc460321681 \h </w:instrText>
        </w:r>
        <w:r w:rsidR="00AA3082">
          <w:rPr>
            <w:noProof/>
            <w:webHidden/>
          </w:rPr>
        </w:r>
        <w:r w:rsidR="00AA3082">
          <w:rPr>
            <w:noProof/>
            <w:webHidden/>
          </w:rPr>
          <w:fldChar w:fldCharType="separate"/>
        </w:r>
        <w:r w:rsidR="00AA3082">
          <w:rPr>
            <w:noProof/>
            <w:webHidden/>
          </w:rPr>
          <w:t>152</w:t>
        </w:r>
        <w:r w:rsidR="00AA3082">
          <w:rPr>
            <w:noProof/>
            <w:webHidden/>
          </w:rPr>
          <w:fldChar w:fldCharType="end"/>
        </w:r>
      </w:hyperlink>
    </w:p>
    <w:p w14:paraId="1129546A" w14:textId="178788BE" w:rsidR="00AA3082" w:rsidRDefault="00A65A8D">
      <w:pPr>
        <w:pStyle w:val="Iliustracijsraas"/>
        <w:tabs>
          <w:tab w:val="right" w:leader="dot" w:pos="9016"/>
        </w:tabs>
        <w:rPr>
          <w:rFonts w:eastAsiaTheme="minorEastAsia" w:cs="Arial Unicode MS"/>
          <w:noProof/>
          <w:lang w:bidi="lo-LA"/>
        </w:rPr>
      </w:pPr>
      <w:hyperlink w:anchor="_Toc460321682" w:history="1">
        <w:r w:rsidR="00AA3082" w:rsidRPr="003D7275">
          <w:rPr>
            <w:rStyle w:val="Hipersaitas"/>
            <w:noProof/>
            <w:lang w:val="lt-LT"/>
          </w:rPr>
          <w:t>Lentelė 101. Scenarijaus Nr. 2 rezultatai</w:t>
        </w:r>
        <w:r w:rsidR="00AA3082">
          <w:rPr>
            <w:noProof/>
            <w:webHidden/>
          </w:rPr>
          <w:tab/>
        </w:r>
        <w:r w:rsidR="00AA3082">
          <w:rPr>
            <w:noProof/>
            <w:webHidden/>
          </w:rPr>
          <w:fldChar w:fldCharType="begin"/>
        </w:r>
        <w:r w:rsidR="00AA3082">
          <w:rPr>
            <w:noProof/>
            <w:webHidden/>
          </w:rPr>
          <w:instrText xml:space="preserve"> PAGEREF _Toc460321682 \h </w:instrText>
        </w:r>
        <w:r w:rsidR="00AA3082">
          <w:rPr>
            <w:noProof/>
            <w:webHidden/>
          </w:rPr>
        </w:r>
        <w:r w:rsidR="00AA3082">
          <w:rPr>
            <w:noProof/>
            <w:webHidden/>
          </w:rPr>
          <w:fldChar w:fldCharType="separate"/>
        </w:r>
        <w:r w:rsidR="00AA3082">
          <w:rPr>
            <w:noProof/>
            <w:webHidden/>
          </w:rPr>
          <w:t>152</w:t>
        </w:r>
        <w:r w:rsidR="00AA3082">
          <w:rPr>
            <w:noProof/>
            <w:webHidden/>
          </w:rPr>
          <w:fldChar w:fldCharType="end"/>
        </w:r>
      </w:hyperlink>
    </w:p>
    <w:p w14:paraId="79981140" w14:textId="6A120338" w:rsidR="00AA3082" w:rsidRDefault="00A65A8D">
      <w:pPr>
        <w:pStyle w:val="Iliustracijsraas"/>
        <w:tabs>
          <w:tab w:val="right" w:leader="dot" w:pos="9016"/>
        </w:tabs>
        <w:rPr>
          <w:rFonts w:eastAsiaTheme="minorEastAsia" w:cs="Arial Unicode MS"/>
          <w:noProof/>
          <w:lang w:bidi="lo-LA"/>
        </w:rPr>
      </w:pPr>
      <w:hyperlink w:anchor="_Toc460321683" w:history="1">
        <w:r w:rsidR="00AA3082" w:rsidRPr="003D7275">
          <w:rPr>
            <w:rStyle w:val="Hipersaitas"/>
            <w:noProof/>
            <w:lang w:val="lt-LT"/>
          </w:rPr>
          <w:t>Lentelė 102. Scenarijaus Nr. 3 prielaidos</w:t>
        </w:r>
        <w:r w:rsidR="00AA3082">
          <w:rPr>
            <w:noProof/>
            <w:webHidden/>
          </w:rPr>
          <w:tab/>
        </w:r>
        <w:r w:rsidR="00AA3082">
          <w:rPr>
            <w:noProof/>
            <w:webHidden/>
          </w:rPr>
          <w:fldChar w:fldCharType="begin"/>
        </w:r>
        <w:r w:rsidR="00AA3082">
          <w:rPr>
            <w:noProof/>
            <w:webHidden/>
          </w:rPr>
          <w:instrText xml:space="preserve"> PAGEREF _Toc460321683 \h </w:instrText>
        </w:r>
        <w:r w:rsidR="00AA3082">
          <w:rPr>
            <w:noProof/>
            <w:webHidden/>
          </w:rPr>
        </w:r>
        <w:r w:rsidR="00AA3082">
          <w:rPr>
            <w:noProof/>
            <w:webHidden/>
          </w:rPr>
          <w:fldChar w:fldCharType="separate"/>
        </w:r>
        <w:r w:rsidR="00AA3082">
          <w:rPr>
            <w:noProof/>
            <w:webHidden/>
          </w:rPr>
          <w:t>153</w:t>
        </w:r>
        <w:r w:rsidR="00AA3082">
          <w:rPr>
            <w:noProof/>
            <w:webHidden/>
          </w:rPr>
          <w:fldChar w:fldCharType="end"/>
        </w:r>
      </w:hyperlink>
    </w:p>
    <w:p w14:paraId="59DAC949" w14:textId="1317E87C" w:rsidR="00AA3082" w:rsidRDefault="00A65A8D">
      <w:pPr>
        <w:pStyle w:val="Iliustracijsraas"/>
        <w:tabs>
          <w:tab w:val="right" w:leader="dot" w:pos="9016"/>
        </w:tabs>
        <w:rPr>
          <w:rFonts w:eastAsiaTheme="minorEastAsia" w:cs="Arial Unicode MS"/>
          <w:noProof/>
          <w:lang w:bidi="lo-LA"/>
        </w:rPr>
      </w:pPr>
      <w:hyperlink w:anchor="_Toc460321684" w:history="1">
        <w:r w:rsidR="00AA3082" w:rsidRPr="003D7275">
          <w:rPr>
            <w:rStyle w:val="Hipersaitas"/>
            <w:noProof/>
            <w:lang w:val="lt-LT"/>
          </w:rPr>
          <w:t>Lentelė 103. Scenarijaus Nr. 3 lengvatinių paskolų modelio įgyvendinimo prognozė</w:t>
        </w:r>
        <w:r w:rsidR="00AA3082">
          <w:rPr>
            <w:noProof/>
            <w:webHidden/>
          </w:rPr>
          <w:tab/>
        </w:r>
        <w:r w:rsidR="00AA3082">
          <w:rPr>
            <w:noProof/>
            <w:webHidden/>
          </w:rPr>
          <w:fldChar w:fldCharType="begin"/>
        </w:r>
        <w:r w:rsidR="00AA3082">
          <w:rPr>
            <w:noProof/>
            <w:webHidden/>
          </w:rPr>
          <w:instrText xml:space="preserve"> PAGEREF _Toc460321684 \h </w:instrText>
        </w:r>
        <w:r w:rsidR="00AA3082">
          <w:rPr>
            <w:noProof/>
            <w:webHidden/>
          </w:rPr>
        </w:r>
        <w:r w:rsidR="00AA3082">
          <w:rPr>
            <w:noProof/>
            <w:webHidden/>
          </w:rPr>
          <w:fldChar w:fldCharType="separate"/>
        </w:r>
        <w:r w:rsidR="00AA3082">
          <w:rPr>
            <w:noProof/>
            <w:webHidden/>
          </w:rPr>
          <w:t>155</w:t>
        </w:r>
        <w:r w:rsidR="00AA3082">
          <w:rPr>
            <w:noProof/>
            <w:webHidden/>
          </w:rPr>
          <w:fldChar w:fldCharType="end"/>
        </w:r>
      </w:hyperlink>
    </w:p>
    <w:p w14:paraId="3968CF82" w14:textId="2F4FD4E1" w:rsidR="00AA3082" w:rsidRDefault="00A65A8D">
      <w:pPr>
        <w:pStyle w:val="Iliustracijsraas"/>
        <w:tabs>
          <w:tab w:val="right" w:leader="dot" w:pos="9016"/>
        </w:tabs>
        <w:rPr>
          <w:rFonts w:eastAsiaTheme="minorEastAsia" w:cs="Arial Unicode MS"/>
          <w:noProof/>
          <w:lang w:bidi="lo-LA"/>
        </w:rPr>
      </w:pPr>
      <w:hyperlink w:anchor="_Toc460321685" w:history="1">
        <w:r w:rsidR="00AA3082" w:rsidRPr="003D7275">
          <w:rPr>
            <w:rStyle w:val="Hipersaitas"/>
            <w:noProof/>
            <w:lang w:val="lt-LT"/>
          </w:rPr>
          <w:t>Lentelė 104. Scenarijaus Nr. 3 garantijų modelio įgyvendinimo prognozė</w:t>
        </w:r>
        <w:r w:rsidR="00AA3082">
          <w:rPr>
            <w:noProof/>
            <w:webHidden/>
          </w:rPr>
          <w:tab/>
        </w:r>
        <w:r w:rsidR="00AA3082">
          <w:rPr>
            <w:noProof/>
            <w:webHidden/>
          </w:rPr>
          <w:fldChar w:fldCharType="begin"/>
        </w:r>
        <w:r w:rsidR="00AA3082">
          <w:rPr>
            <w:noProof/>
            <w:webHidden/>
          </w:rPr>
          <w:instrText xml:space="preserve"> PAGEREF _Toc460321685 \h </w:instrText>
        </w:r>
        <w:r w:rsidR="00AA3082">
          <w:rPr>
            <w:noProof/>
            <w:webHidden/>
          </w:rPr>
        </w:r>
        <w:r w:rsidR="00AA3082">
          <w:rPr>
            <w:noProof/>
            <w:webHidden/>
          </w:rPr>
          <w:fldChar w:fldCharType="separate"/>
        </w:r>
        <w:r w:rsidR="00AA3082">
          <w:rPr>
            <w:noProof/>
            <w:webHidden/>
          </w:rPr>
          <w:t>155</w:t>
        </w:r>
        <w:r w:rsidR="00AA3082">
          <w:rPr>
            <w:noProof/>
            <w:webHidden/>
          </w:rPr>
          <w:fldChar w:fldCharType="end"/>
        </w:r>
      </w:hyperlink>
    </w:p>
    <w:p w14:paraId="04ED8DD7" w14:textId="0AB4C331" w:rsidR="00AA3082" w:rsidRDefault="00A65A8D">
      <w:pPr>
        <w:pStyle w:val="Iliustracijsraas"/>
        <w:tabs>
          <w:tab w:val="right" w:leader="dot" w:pos="9016"/>
        </w:tabs>
        <w:rPr>
          <w:rFonts w:eastAsiaTheme="minorEastAsia" w:cs="Arial Unicode MS"/>
          <w:noProof/>
          <w:lang w:bidi="lo-LA"/>
        </w:rPr>
      </w:pPr>
      <w:hyperlink w:anchor="_Toc460321686" w:history="1">
        <w:r w:rsidR="00AA3082" w:rsidRPr="003D7275">
          <w:rPr>
            <w:rStyle w:val="Hipersaitas"/>
            <w:noProof/>
            <w:lang w:val="lt-LT"/>
          </w:rPr>
          <w:t>Lentelė 105. Scenarijaus Nr. 3 rezultatai</w:t>
        </w:r>
        <w:r w:rsidR="00AA3082">
          <w:rPr>
            <w:noProof/>
            <w:webHidden/>
          </w:rPr>
          <w:tab/>
        </w:r>
        <w:r w:rsidR="00AA3082">
          <w:rPr>
            <w:noProof/>
            <w:webHidden/>
          </w:rPr>
          <w:fldChar w:fldCharType="begin"/>
        </w:r>
        <w:r w:rsidR="00AA3082">
          <w:rPr>
            <w:noProof/>
            <w:webHidden/>
          </w:rPr>
          <w:instrText xml:space="preserve"> PAGEREF _Toc460321686 \h </w:instrText>
        </w:r>
        <w:r w:rsidR="00AA3082">
          <w:rPr>
            <w:noProof/>
            <w:webHidden/>
          </w:rPr>
        </w:r>
        <w:r w:rsidR="00AA3082">
          <w:rPr>
            <w:noProof/>
            <w:webHidden/>
          </w:rPr>
          <w:fldChar w:fldCharType="separate"/>
        </w:r>
        <w:r w:rsidR="00AA3082">
          <w:rPr>
            <w:noProof/>
            <w:webHidden/>
          </w:rPr>
          <w:t>155</w:t>
        </w:r>
        <w:r w:rsidR="00AA3082">
          <w:rPr>
            <w:noProof/>
            <w:webHidden/>
          </w:rPr>
          <w:fldChar w:fldCharType="end"/>
        </w:r>
      </w:hyperlink>
    </w:p>
    <w:p w14:paraId="28671BE4" w14:textId="33279BAA" w:rsidR="00AA3082" w:rsidRDefault="00A65A8D">
      <w:pPr>
        <w:pStyle w:val="Iliustracijsraas"/>
        <w:tabs>
          <w:tab w:val="right" w:leader="dot" w:pos="9016"/>
        </w:tabs>
        <w:rPr>
          <w:rFonts w:eastAsiaTheme="minorEastAsia" w:cs="Arial Unicode MS"/>
          <w:noProof/>
          <w:lang w:bidi="lo-LA"/>
        </w:rPr>
      </w:pPr>
      <w:hyperlink w:anchor="_Toc460321687" w:history="1">
        <w:r w:rsidR="00AA3082" w:rsidRPr="003D7275">
          <w:rPr>
            <w:rStyle w:val="Hipersaitas"/>
            <w:noProof/>
            <w:lang w:val="lt-LT"/>
          </w:rPr>
          <w:t>Lentelė 106. Scenarijaus Nr. 4 prielaidos</w:t>
        </w:r>
        <w:r w:rsidR="00AA3082">
          <w:rPr>
            <w:noProof/>
            <w:webHidden/>
          </w:rPr>
          <w:tab/>
        </w:r>
        <w:r w:rsidR="00AA3082">
          <w:rPr>
            <w:noProof/>
            <w:webHidden/>
          </w:rPr>
          <w:fldChar w:fldCharType="begin"/>
        </w:r>
        <w:r w:rsidR="00AA3082">
          <w:rPr>
            <w:noProof/>
            <w:webHidden/>
          </w:rPr>
          <w:instrText xml:space="preserve"> PAGEREF _Toc460321687 \h </w:instrText>
        </w:r>
        <w:r w:rsidR="00AA3082">
          <w:rPr>
            <w:noProof/>
            <w:webHidden/>
          </w:rPr>
        </w:r>
        <w:r w:rsidR="00AA3082">
          <w:rPr>
            <w:noProof/>
            <w:webHidden/>
          </w:rPr>
          <w:fldChar w:fldCharType="separate"/>
        </w:r>
        <w:r w:rsidR="00AA3082">
          <w:rPr>
            <w:noProof/>
            <w:webHidden/>
          </w:rPr>
          <w:t>156</w:t>
        </w:r>
        <w:r w:rsidR="00AA3082">
          <w:rPr>
            <w:noProof/>
            <w:webHidden/>
          </w:rPr>
          <w:fldChar w:fldCharType="end"/>
        </w:r>
      </w:hyperlink>
    </w:p>
    <w:p w14:paraId="16A5C8CE" w14:textId="55C4D0B6" w:rsidR="00AA3082" w:rsidRDefault="00A65A8D">
      <w:pPr>
        <w:pStyle w:val="Iliustracijsraas"/>
        <w:tabs>
          <w:tab w:val="right" w:leader="dot" w:pos="9016"/>
        </w:tabs>
        <w:rPr>
          <w:rFonts w:eastAsiaTheme="minorEastAsia" w:cs="Arial Unicode MS"/>
          <w:noProof/>
          <w:lang w:bidi="lo-LA"/>
        </w:rPr>
      </w:pPr>
      <w:hyperlink w:anchor="_Toc460321688" w:history="1">
        <w:r w:rsidR="00AA3082" w:rsidRPr="003D7275">
          <w:rPr>
            <w:rStyle w:val="Hipersaitas"/>
            <w:noProof/>
            <w:lang w:val="lt-LT"/>
          </w:rPr>
          <w:t>Lentelė 107. Scenarijaus Nr. 4 paskolų su galimybe išpirkti ateities finansinius srautus įgyvendinimo prognozė</w:t>
        </w:r>
        <w:r w:rsidR="00AA3082">
          <w:rPr>
            <w:noProof/>
            <w:webHidden/>
          </w:rPr>
          <w:tab/>
        </w:r>
        <w:r w:rsidR="00AA3082">
          <w:rPr>
            <w:noProof/>
            <w:webHidden/>
          </w:rPr>
          <w:fldChar w:fldCharType="begin"/>
        </w:r>
        <w:r w:rsidR="00AA3082">
          <w:rPr>
            <w:noProof/>
            <w:webHidden/>
          </w:rPr>
          <w:instrText xml:space="preserve"> PAGEREF _Toc460321688 \h </w:instrText>
        </w:r>
        <w:r w:rsidR="00AA3082">
          <w:rPr>
            <w:noProof/>
            <w:webHidden/>
          </w:rPr>
        </w:r>
        <w:r w:rsidR="00AA3082">
          <w:rPr>
            <w:noProof/>
            <w:webHidden/>
          </w:rPr>
          <w:fldChar w:fldCharType="separate"/>
        </w:r>
        <w:r w:rsidR="00AA3082">
          <w:rPr>
            <w:noProof/>
            <w:webHidden/>
          </w:rPr>
          <w:t>158</w:t>
        </w:r>
        <w:r w:rsidR="00AA3082">
          <w:rPr>
            <w:noProof/>
            <w:webHidden/>
          </w:rPr>
          <w:fldChar w:fldCharType="end"/>
        </w:r>
      </w:hyperlink>
    </w:p>
    <w:p w14:paraId="71154B8B" w14:textId="507603CC" w:rsidR="00AA3082" w:rsidRDefault="00A65A8D">
      <w:pPr>
        <w:pStyle w:val="Iliustracijsraas"/>
        <w:tabs>
          <w:tab w:val="right" w:leader="dot" w:pos="9016"/>
        </w:tabs>
        <w:rPr>
          <w:rFonts w:eastAsiaTheme="minorEastAsia" w:cs="Arial Unicode MS"/>
          <w:noProof/>
          <w:lang w:bidi="lo-LA"/>
        </w:rPr>
      </w:pPr>
      <w:hyperlink w:anchor="_Toc460321689" w:history="1">
        <w:r w:rsidR="00AA3082" w:rsidRPr="003D7275">
          <w:rPr>
            <w:rStyle w:val="Hipersaitas"/>
            <w:noProof/>
            <w:lang w:val="lt-LT"/>
          </w:rPr>
          <w:t>Lentelė 108. Scenarijaus Nr. 4 garantijų priemonės įgyvendinimo prognozė</w:t>
        </w:r>
        <w:r w:rsidR="00AA3082">
          <w:rPr>
            <w:noProof/>
            <w:webHidden/>
          </w:rPr>
          <w:tab/>
        </w:r>
        <w:r w:rsidR="00AA3082">
          <w:rPr>
            <w:noProof/>
            <w:webHidden/>
          </w:rPr>
          <w:fldChar w:fldCharType="begin"/>
        </w:r>
        <w:r w:rsidR="00AA3082">
          <w:rPr>
            <w:noProof/>
            <w:webHidden/>
          </w:rPr>
          <w:instrText xml:space="preserve"> PAGEREF _Toc460321689 \h </w:instrText>
        </w:r>
        <w:r w:rsidR="00AA3082">
          <w:rPr>
            <w:noProof/>
            <w:webHidden/>
          </w:rPr>
        </w:r>
        <w:r w:rsidR="00AA3082">
          <w:rPr>
            <w:noProof/>
            <w:webHidden/>
          </w:rPr>
          <w:fldChar w:fldCharType="separate"/>
        </w:r>
        <w:r w:rsidR="00AA3082">
          <w:rPr>
            <w:noProof/>
            <w:webHidden/>
          </w:rPr>
          <w:t>158</w:t>
        </w:r>
        <w:r w:rsidR="00AA3082">
          <w:rPr>
            <w:noProof/>
            <w:webHidden/>
          </w:rPr>
          <w:fldChar w:fldCharType="end"/>
        </w:r>
      </w:hyperlink>
    </w:p>
    <w:p w14:paraId="590002FD" w14:textId="6C6349D9" w:rsidR="00AA3082" w:rsidRDefault="00A65A8D">
      <w:pPr>
        <w:pStyle w:val="Iliustracijsraas"/>
        <w:tabs>
          <w:tab w:val="right" w:leader="dot" w:pos="9016"/>
        </w:tabs>
        <w:rPr>
          <w:rFonts w:eastAsiaTheme="minorEastAsia" w:cs="Arial Unicode MS"/>
          <w:noProof/>
          <w:lang w:bidi="lo-LA"/>
        </w:rPr>
      </w:pPr>
      <w:hyperlink w:anchor="_Toc460321690" w:history="1">
        <w:r w:rsidR="00AA3082" w:rsidRPr="003D7275">
          <w:rPr>
            <w:rStyle w:val="Hipersaitas"/>
            <w:noProof/>
            <w:lang w:val="lt-LT"/>
          </w:rPr>
          <w:t>Lentelė 109. Scenarijaus Nr. 4 rezultatai:</w:t>
        </w:r>
        <w:r w:rsidR="00AA3082">
          <w:rPr>
            <w:noProof/>
            <w:webHidden/>
          </w:rPr>
          <w:tab/>
        </w:r>
        <w:r w:rsidR="00AA3082">
          <w:rPr>
            <w:noProof/>
            <w:webHidden/>
          </w:rPr>
          <w:fldChar w:fldCharType="begin"/>
        </w:r>
        <w:r w:rsidR="00AA3082">
          <w:rPr>
            <w:noProof/>
            <w:webHidden/>
          </w:rPr>
          <w:instrText xml:space="preserve"> PAGEREF _Toc460321690 \h </w:instrText>
        </w:r>
        <w:r w:rsidR="00AA3082">
          <w:rPr>
            <w:noProof/>
            <w:webHidden/>
          </w:rPr>
        </w:r>
        <w:r w:rsidR="00AA3082">
          <w:rPr>
            <w:noProof/>
            <w:webHidden/>
          </w:rPr>
          <w:fldChar w:fldCharType="separate"/>
        </w:r>
        <w:r w:rsidR="00AA3082">
          <w:rPr>
            <w:noProof/>
            <w:webHidden/>
          </w:rPr>
          <w:t>158</w:t>
        </w:r>
        <w:r w:rsidR="00AA3082">
          <w:rPr>
            <w:noProof/>
            <w:webHidden/>
          </w:rPr>
          <w:fldChar w:fldCharType="end"/>
        </w:r>
      </w:hyperlink>
    </w:p>
    <w:p w14:paraId="707F8889" w14:textId="476F1584" w:rsidR="00AA3082" w:rsidRDefault="00A65A8D">
      <w:pPr>
        <w:pStyle w:val="Iliustracijsraas"/>
        <w:tabs>
          <w:tab w:val="right" w:leader="dot" w:pos="9016"/>
        </w:tabs>
        <w:rPr>
          <w:rFonts w:eastAsiaTheme="minorEastAsia" w:cs="Arial Unicode MS"/>
          <w:noProof/>
          <w:lang w:bidi="lo-LA"/>
        </w:rPr>
      </w:pPr>
      <w:hyperlink w:anchor="_Toc460321691" w:history="1">
        <w:r w:rsidR="00AA3082" w:rsidRPr="003D7275">
          <w:rPr>
            <w:rStyle w:val="Hipersaitas"/>
            <w:noProof/>
            <w:lang w:val="lt-LT"/>
          </w:rPr>
          <w:t>Lentelė 110. Scenarijaus Nr. 5 prielaidos</w:t>
        </w:r>
        <w:r w:rsidR="00AA3082">
          <w:rPr>
            <w:noProof/>
            <w:webHidden/>
          </w:rPr>
          <w:tab/>
        </w:r>
        <w:r w:rsidR="00AA3082">
          <w:rPr>
            <w:noProof/>
            <w:webHidden/>
          </w:rPr>
          <w:fldChar w:fldCharType="begin"/>
        </w:r>
        <w:r w:rsidR="00AA3082">
          <w:rPr>
            <w:noProof/>
            <w:webHidden/>
          </w:rPr>
          <w:instrText xml:space="preserve"> PAGEREF _Toc460321691 \h </w:instrText>
        </w:r>
        <w:r w:rsidR="00AA3082">
          <w:rPr>
            <w:noProof/>
            <w:webHidden/>
          </w:rPr>
        </w:r>
        <w:r w:rsidR="00AA3082">
          <w:rPr>
            <w:noProof/>
            <w:webHidden/>
          </w:rPr>
          <w:fldChar w:fldCharType="separate"/>
        </w:r>
        <w:r w:rsidR="00AA3082">
          <w:rPr>
            <w:noProof/>
            <w:webHidden/>
          </w:rPr>
          <w:t>159</w:t>
        </w:r>
        <w:r w:rsidR="00AA3082">
          <w:rPr>
            <w:noProof/>
            <w:webHidden/>
          </w:rPr>
          <w:fldChar w:fldCharType="end"/>
        </w:r>
      </w:hyperlink>
    </w:p>
    <w:p w14:paraId="67A5EDCC" w14:textId="1102C7FC" w:rsidR="00AA3082" w:rsidRDefault="00A65A8D">
      <w:pPr>
        <w:pStyle w:val="Iliustracijsraas"/>
        <w:tabs>
          <w:tab w:val="right" w:leader="dot" w:pos="9016"/>
        </w:tabs>
        <w:rPr>
          <w:rFonts w:eastAsiaTheme="minorEastAsia" w:cs="Arial Unicode MS"/>
          <w:noProof/>
          <w:lang w:bidi="lo-LA"/>
        </w:rPr>
      </w:pPr>
      <w:hyperlink w:anchor="_Toc460321692" w:history="1">
        <w:r w:rsidR="00AA3082" w:rsidRPr="003D7275">
          <w:rPr>
            <w:rStyle w:val="Hipersaitas"/>
            <w:noProof/>
            <w:lang w:val="lt-LT"/>
          </w:rPr>
          <w:t>Lentelė 111. Scenarijaus Nr. 5 įgyvendinimo prognozė.</w:t>
        </w:r>
        <w:r w:rsidR="00AA3082">
          <w:rPr>
            <w:noProof/>
            <w:webHidden/>
          </w:rPr>
          <w:tab/>
        </w:r>
        <w:r w:rsidR="00AA3082">
          <w:rPr>
            <w:noProof/>
            <w:webHidden/>
          </w:rPr>
          <w:fldChar w:fldCharType="begin"/>
        </w:r>
        <w:r w:rsidR="00AA3082">
          <w:rPr>
            <w:noProof/>
            <w:webHidden/>
          </w:rPr>
          <w:instrText xml:space="preserve"> PAGEREF _Toc460321692 \h </w:instrText>
        </w:r>
        <w:r w:rsidR="00AA3082">
          <w:rPr>
            <w:noProof/>
            <w:webHidden/>
          </w:rPr>
        </w:r>
        <w:r w:rsidR="00AA3082">
          <w:rPr>
            <w:noProof/>
            <w:webHidden/>
          </w:rPr>
          <w:fldChar w:fldCharType="separate"/>
        </w:r>
        <w:r w:rsidR="00AA3082">
          <w:rPr>
            <w:noProof/>
            <w:webHidden/>
          </w:rPr>
          <w:t>160</w:t>
        </w:r>
        <w:r w:rsidR="00AA3082">
          <w:rPr>
            <w:noProof/>
            <w:webHidden/>
          </w:rPr>
          <w:fldChar w:fldCharType="end"/>
        </w:r>
      </w:hyperlink>
    </w:p>
    <w:p w14:paraId="63A09907" w14:textId="3C887218" w:rsidR="00AA3082" w:rsidRDefault="00A65A8D">
      <w:pPr>
        <w:pStyle w:val="Iliustracijsraas"/>
        <w:tabs>
          <w:tab w:val="right" w:leader="dot" w:pos="9016"/>
        </w:tabs>
        <w:rPr>
          <w:rFonts w:eastAsiaTheme="minorEastAsia" w:cs="Arial Unicode MS"/>
          <w:noProof/>
          <w:lang w:bidi="lo-LA"/>
        </w:rPr>
      </w:pPr>
      <w:hyperlink w:anchor="_Toc460321693" w:history="1">
        <w:r w:rsidR="00AA3082" w:rsidRPr="003D7275">
          <w:rPr>
            <w:rStyle w:val="Hipersaitas"/>
            <w:noProof/>
            <w:lang w:val="lt-LT"/>
          </w:rPr>
          <w:t>Lentelė 112. Scenarijaus Nr. 5 rezultatai:</w:t>
        </w:r>
        <w:r w:rsidR="00AA3082">
          <w:rPr>
            <w:noProof/>
            <w:webHidden/>
          </w:rPr>
          <w:tab/>
        </w:r>
        <w:r w:rsidR="00AA3082">
          <w:rPr>
            <w:noProof/>
            <w:webHidden/>
          </w:rPr>
          <w:fldChar w:fldCharType="begin"/>
        </w:r>
        <w:r w:rsidR="00AA3082">
          <w:rPr>
            <w:noProof/>
            <w:webHidden/>
          </w:rPr>
          <w:instrText xml:space="preserve"> PAGEREF _Toc460321693 \h </w:instrText>
        </w:r>
        <w:r w:rsidR="00AA3082">
          <w:rPr>
            <w:noProof/>
            <w:webHidden/>
          </w:rPr>
        </w:r>
        <w:r w:rsidR="00AA3082">
          <w:rPr>
            <w:noProof/>
            <w:webHidden/>
          </w:rPr>
          <w:fldChar w:fldCharType="separate"/>
        </w:r>
        <w:r w:rsidR="00AA3082">
          <w:rPr>
            <w:noProof/>
            <w:webHidden/>
          </w:rPr>
          <w:t>160</w:t>
        </w:r>
        <w:r w:rsidR="00AA3082">
          <w:rPr>
            <w:noProof/>
            <w:webHidden/>
          </w:rPr>
          <w:fldChar w:fldCharType="end"/>
        </w:r>
      </w:hyperlink>
    </w:p>
    <w:p w14:paraId="231B8D4B" w14:textId="40F5A269" w:rsidR="00AA3082" w:rsidRDefault="00A65A8D">
      <w:pPr>
        <w:pStyle w:val="Iliustracijsraas"/>
        <w:tabs>
          <w:tab w:val="right" w:leader="dot" w:pos="9016"/>
        </w:tabs>
        <w:rPr>
          <w:rFonts w:eastAsiaTheme="minorEastAsia" w:cs="Arial Unicode MS"/>
          <w:noProof/>
          <w:lang w:bidi="lo-LA"/>
        </w:rPr>
      </w:pPr>
      <w:hyperlink w:anchor="_Toc460321694" w:history="1">
        <w:r w:rsidR="00AA3082" w:rsidRPr="003D7275">
          <w:rPr>
            <w:rStyle w:val="Hipersaitas"/>
            <w:noProof/>
            <w:lang w:val="lt-LT"/>
          </w:rPr>
          <w:t>Lentelė 113. Scenarijaus Nr. 6 Prielaidos</w:t>
        </w:r>
        <w:r w:rsidR="00AA3082">
          <w:rPr>
            <w:noProof/>
            <w:webHidden/>
          </w:rPr>
          <w:tab/>
        </w:r>
        <w:r w:rsidR="00AA3082">
          <w:rPr>
            <w:noProof/>
            <w:webHidden/>
          </w:rPr>
          <w:fldChar w:fldCharType="begin"/>
        </w:r>
        <w:r w:rsidR="00AA3082">
          <w:rPr>
            <w:noProof/>
            <w:webHidden/>
          </w:rPr>
          <w:instrText xml:space="preserve"> PAGEREF _Toc460321694 \h </w:instrText>
        </w:r>
        <w:r w:rsidR="00AA3082">
          <w:rPr>
            <w:noProof/>
            <w:webHidden/>
          </w:rPr>
        </w:r>
        <w:r w:rsidR="00AA3082">
          <w:rPr>
            <w:noProof/>
            <w:webHidden/>
          </w:rPr>
          <w:fldChar w:fldCharType="separate"/>
        </w:r>
        <w:r w:rsidR="00AA3082">
          <w:rPr>
            <w:noProof/>
            <w:webHidden/>
          </w:rPr>
          <w:t>161</w:t>
        </w:r>
        <w:r w:rsidR="00AA3082">
          <w:rPr>
            <w:noProof/>
            <w:webHidden/>
          </w:rPr>
          <w:fldChar w:fldCharType="end"/>
        </w:r>
      </w:hyperlink>
    </w:p>
    <w:p w14:paraId="7308315D" w14:textId="323E0A80" w:rsidR="00AA3082" w:rsidRDefault="00A65A8D">
      <w:pPr>
        <w:pStyle w:val="Iliustracijsraas"/>
        <w:tabs>
          <w:tab w:val="right" w:leader="dot" w:pos="9016"/>
        </w:tabs>
        <w:rPr>
          <w:rFonts w:eastAsiaTheme="minorEastAsia" w:cs="Arial Unicode MS"/>
          <w:noProof/>
          <w:lang w:bidi="lo-LA"/>
        </w:rPr>
      </w:pPr>
      <w:hyperlink w:anchor="_Toc460321695" w:history="1">
        <w:r w:rsidR="00AA3082" w:rsidRPr="003D7275">
          <w:rPr>
            <w:rStyle w:val="Hipersaitas"/>
            <w:noProof/>
            <w:lang w:val="lt-LT"/>
          </w:rPr>
          <w:t>Lentelė 114. Scenarijaus Nr. 6 įgyvendinimo prognozė</w:t>
        </w:r>
        <w:r w:rsidR="00AA3082">
          <w:rPr>
            <w:noProof/>
            <w:webHidden/>
          </w:rPr>
          <w:tab/>
        </w:r>
        <w:r w:rsidR="00AA3082">
          <w:rPr>
            <w:noProof/>
            <w:webHidden/>
          </w:rPr>
          <w:fldChar w:fldCharType="begin"/>
        </w:r>
        <w:r w:rsidR="00AA3082">
          <w:rPr>
            <w:noProof/>
            <w:webHidden/>
          </w:rPr>
          <w:instrText xml:space="preserve"> PAGEREF _Toc460321695 \h </w:instrText>
        </w:r>
        <w:r w:rsidR="00AA3082">
          <w:rPr>
            <w:noProof/>
            <w:webHidden/>
          </w:rPr>
        </w:r>
        <w:r w:rsidR="00AA3082">
          <w:rPr>
            <w:noProof/>
            <w:webHidden/>
          </w:rPr>
          <w:fldChar w:fldCharType="separate"/>
        </w:r>
        <w:r w:rsidR="00AA3082">
          <w:rPr>
            <w:noProof/>
            <w:webHidden/>
          </w:rPr>
          <w:t>162</w:t>
        </w:r>
        <w:r w:rsidR="00AA3082">
          <w:rPr>
            <w:noProof/>
            <w:webHidden/>
          </w:rPr>
          <w:fldChar w:fldCharType="end"/>
        </w:r>
      </w:hyperlink>
    </w:p>
    <w:p w14:paraId="1C5AA2B1" w14:textId="6EB11BF4" w:rsidR="00AA3082" w:rsidRDefault="00A65A8D">
      <w:pPr>
        <w:pStyle w:val="Iliustracijsraas"/>
        <w:tabs>
          <w:tab w:val="right" w:leader="dot" w:pos="9016"/>
        </w:tabs>
        <w:rPr>
          <w:rFonts w:eastAsiaTheme="minorEastAsia" w:cs="Arial Unicode MS"/>
          <w:noProof/>
          <w:lang w:bidi="lo-LA"/>
        </w:rPr>
      </w:pPr>
      <w:hyperlink w:anchor="_Toc460321696" w:history="1">
        <w:r w:rsidR="00AA3082" w:rsidRPr="003D7275">
          <w:rPr>
            <w:rStyle w:val="Hipersaitas"/>
            <w:noProof/>
            <w:lang w:val="lt-LT"/>
          </w:rPr>
          <w:t>Lentelė 115. Scenarijaus Nr. 6 rezultatai</w:t>
        </w:r>
        <w:r w:rsidR="00AA3082">
          <w:rPr>
            <w:noProof/>
            <w:webHidden/>
          </w:rPr>
          <w:tab/>
        </w:r>
        <w:r w:rsidR="00AA3082">
          <w:rPr>
            <w:noProof/>
            <w:webHidden/>
          </w:rPr>
          <w:fldChar w:fldCharType="begin"/>
        </w:r>
        <w:r w:rsidR="00AA3082">
          <w:rPr>
            <w:noProof/>
            <w:webHidden/>
          </w:rPr>
          <w:instrText xml:space="preserve"> PAGEREF _Toc460321696 \h </w:instrText>
        </w:r>
        <w:r w:rsidR="00AA3082">
          <w:rPr>
            <w:noProof/>
            <w:webHidden/>
          </w:rPr>
        </w:r>
        <w:r w:rsidR="00AA3082">
          <w:rPr>
            <w:noProof/>
            <w:webHidden/>
          </w:rPr>
          <w:fldChar w:fldCharType="separate"/>
        </w:r>
        <w:r w:rsidR="00AA3082">
          <w:rPr>
            <w:noProof/>
            <w:webHidden/>
          </w:rPr>
          <w:t>162</w:t>
        </w:r>
        <w:r w:rsidR="00AA3082">
          <w:rPr>
            <w:noProof/>
            <w:webHidden/>
          </w:rPr>
          <w:fldChar w:fldCharType="end"/>
        </w:r>
      </w:hyperlink>
    </w:p>
    <w:p w14:paraId="5C2014F9" w14:textId="558FD8F5" w:rsidR="00AA3082" w:rsidRDefault="00A65A8D">
      <w:pPr>
        <w:pStyle w:val="Iliustracijsraas"/>
        <w:tabs>
          <w:tab w:val="right" w:leader="dot" w:pos="9016"/>
        </w:tabs>
        <w:rPr>
          <w:rFonts w:eastAsiaTheme="minorEastAsia" w:cs="Arial Unicode MS"/>
          <w:noProof/>
          <w:lang w:bidi="lo-LA"/>
        </w:rPr>
      </w:pPr>
      <w:hyperlink w:anchor="_Toc460321697" w:history="1">
        <w:r w:rsidR="00AA3082" w:rsidRPr="003D7275">
          <w:rPr>
            <w:rStyle w:val="Hipersaitas"/>
            <w:noProof/>
            <w:lang w:val="lt-LT"/>
          </w:rPr>
          <w:t>Lentelė 116. Scenarijaus Nr. 7 Prielaidos</w:t>
        </w:r>
        <w:r w:rsidR="00AA3082">
          <w:rPr>
            <w:noProof/>
            <w:webHidden/>
          </w:rPr>
          <w:tab/>
        </w:r>
        <w:r w:rsidR="00AA3082">
          <w:rPr>
            <w:noProof/>
            <w:webHidden/>
          </w:rPr>
          <w:fldChar w:fldCharType="begin"/>
        </w:r>
        <w:r w:rsidR="00AA3082">
          <w:rPr>
            <w:noProof/>
            <w:webHidden/>
          </w:rPr>
          <w:instrText xml:space="preserve"> PAGEREF _Toc460321697 \h </w:instrText>
        </w:r>
        <w:r w:rsidR="00AA3082">
          <w:rPr>
            <w:noProof/>
            <w:webHidden/>
          </w:rPr>
        </w:r>
        <w:r w:rsidR="00AA3082">
          <w:rPr>
            <w:noProof/>
            <w:webHidden/>
          </w:rPr>
          <w:fldChar w:fldCharType="separate"/>
        </w:r>
        <w:r w:rsidR="00AA3082">
          <w:rPr>
            <w:noProof/>
            <w:webHidden/>
          </w:rPr>
          <w:t>163</w:t>
        </w:r>
        <w:r w:rsidR="00AA3082">
          <w:rPr>
            <w:noProof/>
            <w:webHidden/>
          </w:rPr>
          <w:fldChar w:fldCharType="end"/>
        </w:r>
      </w:hyperlink>
    </w:p>
    <w:p w14:paraId="55D188E5" w14:textId="0C36CC07" w:rsidR="00AA3082" w:rsidRDefault="00A65A8D">
      <w:pPr>
        <w:pStyle w:val="Iliustracijsraas"/>
        <w:tabs>
          <w:tab w:val="right" w:leader="dot" w:pos="9016"/>
        </w:tabs>
        <w:rPr>
          <w:rFonts w:eastAsiaTheme="minorEastAsia" w:cs="Arial Unicode MS"/>
          <w:noProof/>
          <w:lang w:bidi="lo-LA"/>
        </w:rPr>
      </w:pPr>
      <w:hyperlink w:anchor="_Toc460321698" w:history="1">
        <w:r w:rsidR="00AA3082" w:rsidRPr="003D7275">
          <w:rPr>
            <w:rStyle w:val="Hipersaitas"/>
            <w:noProof/>
            <w:lang w:val="lt-LT"/>
          </w:rPr>
          <w:t>Lentelė 117. Scenarijaus Nr. 7 įgyvendinimo prognozė</w:t>
        </w:r>
        <w:r w:rsidR="00AA3082">
          <w:rPr>
            <w:noProof/>
            <w:webHidden/>
          </w:rPr>
          <w:tab/>
        </w:r>
        <w:r w:rsidR="00AA3082">
          <w:rPr>
            <w:noProof/>
            <w:webHidden/>
          </w:rPr>
          <w:fldChar w:fldCharType="begin"/>
        </w:r>
        <w:r w:rsidR="00AA3082">
          <w:rPr>
            <w:noProof/>
            <w:webHidden/>
          </w:rPr>
          <w:instrText xml:space="preserve"> PAGEREF _Toc460321698 \h </w:instrText>
        </w:r>
        <w:r w:rsidR="00AA3082">
          <w:rPr>
            <w:noProof/>
            <w:webHidden/>
          </w:rPr>
        </w:r>
        <w:r w:rsidR="00AA3082">
          <w:rPr>
            <w:noProof/>
            <w:webHidden/>
          </w:rPr>
          <w:fldChar w:fldCharType="separate"/>
        </w:r>
        <w:r w:rsidR="00AA3082">
          <w:rPr>
            <w:noProof/>
            <w:webHidden/>
          </w:rPr>
          <w:t>164</w:t>
        </w:r>
        <w:r w:rsidR="00AA3082">
          <w:rPr>
            <w:noProof/>
            <w:webHidden/>
          </w:rPr>
          <w:fldChar w:fldCharType="end"/>
        </w:r>
      </w:hyperlink>
    </w:p>
    <w:p w14:paraId="627D9D5E" w14:textId="21E27426" w:rsidR="00AA3082" w:rsidRDefault="00A65A8D">
      <w:pPr>
        <w:pStyle w:val="Iliustracijsraas"/>
        <w:tabs>
          <w:tab w:val="right" w:leader="dot" w:pos="9016"/>
        </w:tabs>
        <w:rPr>
          <w:rFonts w:eastAsiaTheme="minorEastAsia" w:cs="Arial Unicode MS"/>
          <w:noProof/>
          <w:lang w:bidi="lo-LA"/>
        </w:rPr>
      </w:pPr>
      <w:hyperlink w:anchor="_Toc460321699" w:history="1">
        <w:r w:rsidR="00AA3082" w:rsidRPr="003D7275">
          <w:rPr>
            <w:rStyle w:val="Hipersaitas"/>
            <w:noProof/>
            <w:lang w:val="lt-LT"/>
          </w:rPr>
          <w:t>Lentelė 118. Scenarijaus Nr. 7 rezultatai</w:t>
        </w:r>
        <w:r w:rsidR="00AA3082">
          <w:rPr>
            <w:noProof/>
            <w:webHidden/>
          </w:rPr>
          <w:tab/>
        </w:r>
        <w:r w:rsidR="00AA3082">
          <w:rPr>
            <w:noProof/>
            <w:webHidden/>
          </w:rPr>
          <w:fldChar w:fldCharType="begin"/>
        </w:r>
        <w:r w:rsidR="00AA3082">
          <w:rPr>
            <w:noProof/>
            <w:webHidden/>
          </w:rPr>
          <w:instrText xml:space="preserve"> PAGEREF _Toc460321699 \h </w:instrText>
        </w:r>
        <w:r w:rsidR="00AA3082">
          <w:rPr>
            <w:noProof/>
            <w:webHidden/>
          </w:rPr>
        </w:r>
        <w:r w:rsidR="00AA3082">
          <w:rPr>
            <w:noProof/>
            <w:webHidden/>
          </w:rPr>
          <w:fldChar w:fldCharType="separate"/>
        </w:r>
        <w:r w:rsidR="00AA3082">
          <w:rPr>
            <w:noProof/>
            <w:webHidden/>
          </w:rPr>
          <w:t>164</w:t>
        </w:r>
        <w:r w:rsidR="00AA3082">
          <w:rPr>
            <w:noProof/>
            <w:webHidden/>
          </w:rPr>
          <w:fldChar w:fldCharType="end"/>
        </w:r>
      </w:hyperlink>
    </w:p>
    <w:p w14:paraId="080B19BC" w14:textId="7CE7B687" w:rsidR="00AA3082" w:rsidRDefault="00A65A8D">
      <w:pPr>
        <w:pStyle w:val="Iliustracijsraas"/>
        <w:tabs>
          <w:tab w:val="right" w:leader="dot" w:pos="9016"/>
        </w:tabs>
        <w:rPr>
          <w:rFonts w:eastAsiaTheme="minorEastAsia" w:cs="Arial Unicode MS"/>
          <w:noProof/>
          <w:lang w:bidi="lo-LA"/>
        </w:rPr>
      </w:pPr>
      <w:hyperlink w:anchor="_Toc460321700" w:history="1">
        <w:r w:rsidR="00AA3082" w:rsidRPr="003D7275">
          <w:rPr>
            <w:rStyle w:val="Hipersaitas"/>
            <w:noProof/>
            <w:lang w:val="lt-LT"/>
          </w:rPr>
          <w:t>Lentelė 119. Scenarijaus Nr. 1 Prielaidos</w:t>
        </w:r>
        <w:r w:rsidR="00AA3082">
          <w:rPr>
            <w:noProof/>
            <w:webHidden/>
          </w:rPr>
          <w:tab/>
        </w:r>
        <w:r w:rsidR="00AA3082">
          <w:rPr>
            <w:noProof/>
            <w:webHidden/>
          </w:rPr>
          <w:fldChar w:fldCharType="begin"/>
        </w:r>
        <w:r w:rsidR="00AA3082">
          <w:rPr>
            <w:noProof/>
            <w:webHidden/>
          </w:rPr>
          <w:instrText xml:space="preserve"> PAGEREF _Toc460321700 \h </w:instrText>
        </w:r>
        <w:r w:rsidR="00AA3082">
          <w:rPr>
            <w:noProof/>
            <w:webHidden/>
          </w:rPr>
        </w:r>
        <w:r w:rsidR="00AA3082">
          <w:rPr>
            <w:noProof/>
            <w:webHidden/>
          </w:rPr>
          <w:fldChar w:fldCharType="separate"/>
        </w:r>
        <w:r w:rsidR="00AA3082">
          <w:rPr>
            <w:noProof/>
            <w:webHidden/>
          </w:rPr>
          <w:t>165</w:t>
        </w:r>
        <w:r w:rsidR="00AA3082">
          <w:rPr>
            <w:noProof/>
            <w:webHidden/>
          </w:rPr>
          <w:fldChar w:fldCharType="end"/>
        </w:r>
      </w:hyperlink>
    </w:p>
    <w:p w14:paraId="2CE6FB11" w14:textId="1B624583" w:rsidR="00AA3082" w:rsidRDefault="00A65A8D">
      <w:pPr>
        <w:pStyle w:val="Iliustracijsraas"/>
        <w:tabs>
          <w:tab w:val="right" w:leader="dot" w:pos="9016"/>
        </w:tabs>
        <w:rPr>
          <w:rFonts w:eastAsiaTheme="minorEastAsia" w:cs="Arial Unicode MS"/>
          <w:noProof/>
          <w:lang w:bidi="lo-LA"/>
        </w:rPr>
      </w:pPr>
      <w:hyperlink w:anchor="_Toc460321701" w:history="1">
        <w:r w:rsidR="00AA3082" w:rsidRPr="003D7275">
          <w:rPr>
            <w:rStyle w:val="Hipersaitas"/>
            <w:noProof/>
            <w:lang w:val="lt-LT"/>
          </w:rPr>
          <w:t>Lentelė 120. Scenarijaus Nr. 1 įgyvendinimo prognozė</w:t>
        </w:r>
        <w:r w:rsidR="00AA3082">
          <w:rPr>
            <w:noProof/>
            <w:webHidden/>
          </w:rPr>
          <w:tab/>
        </w:r>
        <w:r w:rsidR="00AA3082">
          <w:rPr>
            <w:noProof/>
            <w:webHidden/>
          </w:rPr>
          <w:fldChar w:fldCharType="begin"/>
        </w:r>
        <w:r w:rsidR="00AA3082">
          <w:rPr>
            <w:noProof/>
            <w:webHidden/>
          </w:rPr>
          <w:instrText xml:space="preserve"> PAGEREF _Toc460321701 \h </w:instrText>
        </w:r>
        <w:r w:rsidR="00AA3082">
          <w:rPr>
            <w:noProof/>
            <w:webHidden/>
          </w:rPr>
        </w:r>
        <w:r w:rsidR="00AA3082">
          <w:rPr>
            <w:noProof/>
            <w:webHidden/>
          </w:rPr>
          <w:fldChar w:fldCharType="separate"/>
        </w:r>
        <w:r w:rsidR="00AA3082">
          <w:rPr>
            <w:noProof/>
            <w:webHidden/>
          </w:rPr>
          <w:t>166</w:t>
        </w:r>
        <w:r w:rsidR="00AA3082">
          <w:rPr>
            <w:noProof/>
            <w:webHidden/>
          </w:rPr>
          <w:fldChar w:fldCharType="end"/>
        </w:r>
      </w:hyperlink>
    </w:p>
    <w:p w14:paraId="343A96BD" w14:textId="61EE6345" w:rsidR="00AA3082" w:rsidRDefault="00A65A8D">
      <w:pPr>
        <w:pStyle w:val="Iliustracijsraas"/>
        <w:tabs>
          <w:tab w:val="right" w:leader="dot" w:pos="9016"/>
        </w:tabs>
        <w:rPr>
          <w:rFonts w:eastAsiaTheme="minorEastAsia" w:cs="Arial Unicode MS"/>
          <w:noProof/>
          <w:lang w:bidi="lo-LA"/>
        </w:rPr>
      </w:pPr>
      <w:hyperlink w:anchor="_Toc460321702" w:history="1">
        <w:r w:rsidR="00AA3082" w:rsidRPr="003D7275">
          <w:rPr>
            <w:rStyle w:val="Hipersaitas"/>
            <w:noProof/>
            <w:lang w:val="lt-LT"/>
          </w:rPr>
          <w:t>Lentelė 121. Scenarijaus Nr. 1 rezultatai</w:t>
        </w:r>
        <w:r w:rsidR="00AA3082">
          <w:rPr>
            <w:noProof/>
            <w:webHidden/>
          </w:rPr>
          <w:tab/>
        </w:r>
        <w:r w:rsidR="00AA3082">
          <w:rPr>
            <w:noProof/>
            <w:webHidden/>
          </w:rPr>
          <w:fldChar w:fldCharType="begin"/>
        </w:r>
        <w:r w:rsidR="00AA3082">
          <w:rPr>
            <w:noProof/>
            <w:webHidden/>
          </w:rPr>
          <w:instrText xml:space="preserve"> PAGEREF _Toc460321702 \h </w:instrText>
        </w:r>
        <w:r w:rsidR="00AA3082">
          <w:rPr>
            <w:noProof/>
            <w:webHidden/>
          </w:rPr>
        </w:r>
        <w:r w:rsidR="00AA3082">
          <w:rPr>
            <w:noProof/>
            <w:webHidden/>
          </w:rPr>
          <w:fldChar w:fldCharType="separate"/>
        </w:r>
        <w:r w:rsidR="00AA3082">
          <w:rPr>
            <w:noProof/>
            <w:webHidden/>
          </w:rPr>
          <w:t>166</w:t>
        </w:r>
        <w:r w:rsidR="00AA3082">
          <w:rPr>
            <w:noProof/>
            <w:webHidden/>
          </w:rPr>
          <w:fldChar w:fldCharType="end"/>
        </w:r>
      </w:hyperlink>
    </w:p>
    <w:p w14:paraId="46B5A926" w14:textId="5426DE9D" w:rsidR="00AA3082" w:rsidRDefault="00A65A8D">
      <w:pPr>
        <w:pStyle w:val="Iliustracijsraas"/>
        <w:tabs>
          <w:tab w:val="right" w:leader="dot" w:pos="9016"/>
        </w:tabs>
        <w:rPr>
          <w:rFonts w:eastAsiaTheme="minorEastAsia" w:cs="Arial Unicode MS"/>
          <w:noProof/>
          <w:lang w:bidi="lo-LA"/>
        </w:rPr>
      </w:pPr>
      <w:hyperlink w:anchor="_Toc460321703" w:history="1">
        <w:r w:rsidR="00AA3082" w:rsidRPr="003D7275">
          <w:rPr>
            <w:rStyle w:val="Hipersaitas"/>
            <w:noProof/>
            <w:lang w:val="lt-LT"/>
          </w:rPr>
          <w:t>Lentelė 122. Scenarijaus Nr. 2 prielaidos</w:t>
        </w:r>
        <w:r w:rsidR="00AA3082">
          <w:rPr>
            <w:noProof/>
            <w:webHidden/>
          </w:rPr>
          <w:tab/>
        </w:r>
        <w:r w:rsidR="00AA3082">
          <w:rPr>
            <w:noProof/>
            <w:webHidden/>
          </w:rPr>
          <w:fldChar w:fldCharType="begin"/>
        </w:r>
        <w:r w:rsidR="00AA3082">
          <w:rPr>
            <w:noProof/>
            <w:webHidden/>
          </w:rPr>
          <w:instrText xml:space="preserve"> PAGEREF _Toc460321703 \h </w:instrText>
        </w:r>
        <w:r w:rsidR="00AA3082">
          <w:rPr>
            <w:noProof/>
            <w:webHidden/>
          </w:rPr>
        </w:r>
        <w:r w:rsidR="00AA3082">
          <w:rPr>
            <w:noProof/>
            <w:webHidden/>
          </w:rPr>
          <w:fldChar w:fldCharType="separate"/>
        </w:r>
        <w:r w:rsidR="00AA3082">
          <w:rPr>
            <w:noProof/>
            <w:webHidden/>
          </w:rPr>
          <w:t>167</w:t>
        </w:r>
        <w:r w:rsidR="00AA3082">
          <w:rPr>
            <w:noProof/>
            <w:webHidden/>
          </w:rPr>
          <w:fldChar w:fldCharType="end"/>
        </w:r>
      </w:hyperlink>
    </w:p>
    <w:p w14:paraId="42270480" w14:textId="036710C1" w:rsidR="00AA3082" w:rsidRDefault="00A65A8D">
      <w:pPr>
        <w:pStyle w:val="Iliustracijsraas"/>
        <w:tabs>
          <w:tab w:val="right" w:leader="dot" w:pos="9016"/>
        </w:tabs>
        <w:rPr>
          <w:rFonts w:eastAsiaTheme="minorEastAsia" w:cs="Arial Unicode MS"/>
          <w:noProof/>
          <w:lang w:bidi="lo-LA"/>
        </w:rPr>
      </w:pPr>
      <w:hyperlink w:anchor="_Toc460321704" w:history="1">
        <w:r w:rsidR="00AA3082" w:rsidRPr="003D7275">
          <w:rPr>
            <w:rStyle w:val="Hipersaitas"/>
            <w:noProof/>
            <w:lang w:val="lt-LT"/>
          </w:rPr>
          <w:t>Lentelė 123. Scenarijaus Nr. 2 įgyvendinimo prognozė</w:t>
        </w:r>
        <w:r w:rsidR="00AA3082">
          <w:rPr>
            <w:noProof/>
            <w:webHidden/>
          </w:rPr>
          <w:tab/>
        </w:r>
        <w:r w:rsidR="00AA3082">
          <w:rPr>
            <w:noProof/>
            <w:webHidden/>
          </w:rPr>
          <w:fldChar w:fldCharType="begin"/>
        </w:r>
        <w:r w:rsidR="00AA3082">
          <w:rPr>
            <w:noProof/>
            <w:webHidden/>
          </w:rPr>
          <w:instrText xml:space="preserve"> PAGEREF _Toc460321704 \h </w:instrText>
        </w:r>
        <w:r w:rsidR="00AA3082">
          <w:rPr>
            <w:noProof/>
            <w:webHidden/>
          </w:rPr>
        </w:r>
        <w:r w:rsidR="00AA3082">
          <w:rPr>
            <w:noProof/>
            <w:webHidden/>
          </w:rPr>
          <w:fldChar w:fldCharType="separate"/>
        </w:r>
        <w:r w:rsidR="00AA3082">
          <w:rPr>
            <w:noProof/>
            <w:webHidden/>
          </w:rPr>
          <w:t>168</w:t>
        </w:r>
        <w:r w:rsidR="00AA3082">
          <w:rPr>
            <w:noProof/>
            <w:webHidden/>
          </w:rPr>
          <w:fldChar w:fldCharType="end"/>
        </w:r>
      </w:hyperlink>
    </w:p>
    <w:p w14:paraId="6DE47957" w14:textId="7A387AFD" w:rsidR="00AA3082" w:rsidRDefault="00A65A8D">
      <w:pPr>
        <w:pStyle w:val="Iliustracijsraas"/>
        <w:tabs>
          <w:tab w:val="right" w:leader="dot" w:pos="9016"/>
        </w:tabs>
        <w:rPr>
          <w:rFonts w:eastAsiaTheme="minorEastAsia" w:cs="Arial Unicode MS"/>
          <w:noProof/>
          <w:lang w:bidi="lo-LA"/>
        </w:rPr>
      </w:pPr>
      <w:hyperlink w:anchor="_Toc460321705" w:history="1">
        <w:r w:rsidR="00AA3082" w:rsidRPr="003D7275">
          <w:rPr>
            <w:rStyle w:val="Hipersaitas"/>
            <w:noProof/>
            <w:lang w:val="lt-LT"/>
          </w:rPr>
          <w:t>Lentelė 124. Scenarijaus Nr.2 rezultatai</w:t>
        </w:r>
        <w:r w:rsidR="00AA3082">
          <w:rPr>
            <w:noProof/>
            <w:webHidden/>
          </w:rPr>
          <w:tab/>
        </w:r>
        <w:r w:rsidR="00AA3082">
          <w:rPr>
            <w:noProof/>
            <w:webHidden/>
          </w:rPr>
          <w:fldChar w:fldCharType="begin"/>
        </w:r>
        <w:r w:rsidR="00AA3082">
          <w:rPr>
            <w:noProof/>
            <w:webHidden/>
          </w:rPr>
          <w:instrText xml:space="preserve"> PAGEREF _Toc460321705 \h </w:instrText>
        </w:r>
        <w:r w:rsidR="00AA3082">
          <w:rPr>
            <w:noProof/>
            <w:webHidden/>
          </w:rPr>
        </w:r>
        <w:r w:rsidR="00AA3082">
          <w:rPr>
            <w:noProof/>
            <w:webHidden/>
          </w:rPr>
          <w:fldChar w:fldCharType="separate"/>
        </w:r>
        <w:r w:rsidR="00AA3082">
          <w:rPr>
            <w:noProof/>
            <w:webHidden/>
          </w:rPr>
          <w:t>168</w:t>
        </w:r>
        <w:r w:rsidR="00AA3082">
          <w:rPr>
            <w:noProof/>
            <w:webHidden/>
          </w:rPr>
          <w:fldChar w:fldCharType="end"/>
        </w:r>
      </w:hyperlink>
    </w:p>
    <w:p w14:paraId="710FEC73" w14:textId="75E2DEB5" w:rsidR="00AA3082" w:rsidRDefault="00A65A8D">
      <w:pPr>
        <w:pStyle w:val="Iliustracijsraas"/>
        <w:tabs>
          <w:tab w:val="right" w:leader="dot" w:pos="9016"/>
        </w:tabs>
        <w:rPr>
          <w:rFonts w:eastAsiaTheme="minorEastAsia" w:cs="Arial Unicode MS"/>
          <w:noProof/>
          <w:lang w:bidi="lo-LA"/>
        </w:rPr>
      </w:pPr>
      <w:hyperlink w:anchor="_Toc460321706" w:history="1">
        <w:r w:rsidR="00AA3082" w:rsidRPr="003D7275">
          <w:rPr>
            <w:rStyle w:val="Hipersaitas"/>
            <w:noProof/>
            <w:lang w:val="lt-LT"/>
          </w:rPr>
          <w:t>Lentelė 125. Scenarijaus Nr. 3 prielaidos</w:t>
        </w:r>
        <w:r w:rsidR="00AA3082">
          <w:rPr>
            <w:noProof/>
            <w:webHidden/>
          </w:rPr>
          <w:tab/>
        </w:r>
        <w:r w:rsidR="00AA3082">
          <w:rPr>
            <w:noProof/>
            <w:webHidden/>
          </w:rPr>
          <w:fldChar w:fldCharType="begin"/>
        </w:r>
        <w:r w:rsidR="00AA3082">
          <w:rPr>
            <w:noProof/>
            <w:webHidden/>
          </w:rPr>
          <w:instrText xml:space="preserve"> PAGEREF _Toc460321706 \h </w:instrText>
        </w:r>
        <w:r w:rsidR="00AA3082">
          <w:rPr>
            <w:noProof/>
            <w:webHidden/>
          </w:rPr>
        </w:r>
        <w:r w:rsidR="00AA3082">
          <w:rPr>
            <w:noProof/>
            <w:webHidden/>
          </w:rPr>
          <w:fldChar w:fldCharType="separate"/>
        </w:r>
        <w:r w:rsidR="00AA3082">
          <w:rPr>
            <w:noProof/>
            <w:webHidden/>
          </w:rPr>
          <w:t>169</w:t>
        </w:r>
        <w:r w:rsidR="00AA3082">
          <w:rPr>
            <w:noProof/>
            <w:webHidden/>
          </w:rPr>
          <w:fldChar w:fldCharType="end"/>
        </w:r>
      </w:hyperlink>
    </w:p>
    <w:p w14:paraId="0AEEDCB6" w14:textId="1739B2BD" w:rsidR="00AA3082" w:rsidRDefault="00A65A8D">
      <w:pPr>
        <w:pStyle w:val="Iliustracijsraas"/>
        <w:tabs>
          <w:tab w:val="right" w:leader="dot" w:pos="9016"/>
        </w:tabs>
        <w:rPr>
          <w:rFonts w:eastAsiaTheme="minorEastAsia" w:cs="Arial Unicode MS"/>
          <w:noProof/>
          <w:lang w:bidi="lo-LA"/>
        </w:rPr>
      </w:pPr>
      <w:hyperlink w:anchor="_Toc460321707" w:history="1">
        <w:r w:rsidR="00AA3082" w:rsidRPr="003D7275">
          <w:rPr>
            <w:rStyle w:val="Hipersaitas"/>
            <w:noProof/>
            <w:lang w:val="lt-LT"/>
          </w:rPr>
          <w:t>Lentelė 126. Scenarijaus Nr. 3 paskolų modelio įgyvendinimo prognozė</w:t>
        </w:r>
        <w:r w:rsidR="00AA3082">
          <w:rPr>
            <w:noProof/>
            <w:webHidden/>
          </w:rPr>
          <w:tab/>
        </w:r>
        <w:r w:rsidR="00AA3082">
          <w:rPr>
            <w:noProof/>
            <w:webHidden/>
          </w:rPr>
          <w:fldChar w:fldCharType="begin"/>
        </w:r>
        <w:r w:rsidR="00AA3082">
          <w:rPr>
            <w:noProof/>
            <w:webHidden/>
          </w:rPr>
          <w:instrText xml:space="preserve"> PAGEREF _Toc460321707 \h </w:instrText>
        </w:r>
        <w:r w:rsidR="00AA3082">
          <w:rPr>
            <w:noProof/>
            <w:webHidden/>
          </w:rPr>
        </w:r>
        <w:r w:rsidR="00AA3082">
          <w:rPr>
            <w:noProof/>
            <w:webHidden/>
          </w:rPr>
          <w:fldChar w:fldCharType="separate"/>
        </w:r>
        <w:r w:rsidR="00AA3082">
          <w:rPr>
            <w:noProof/>
            <w:webHidden/>
          </w:rPr>
          <w:t>170</w:t>
        </w:r>
        <w:r w:rsidR="00AA3082">
          <w:rPr>
            <w:noProof/>
            <w:webHidden/>
          </w:rPr>
          <w:fldChar w:fldCharType="end"/>
        </w:r>
      </w:hyperlink>
    </w:p>
    <w:p w14:paraId="0895D902" w14:textId="3A0A8189" w:rsidR="00AA3082" w:rsidRDefault="00A65A8D">
      <w:pPr>
        <w:pStyle w:val="Iliustracijsraas"/>
        <w:tabs>
          <w:tab w:val="right" w:leader="dot" w:pos="9016"/>
        </w:tabs>
        <w:rPr>
          <w:rFonts w:eastAsiaTheme="minorEastAsia" w:cs="Arial Unicode MS"/>
          <w:noProof/>
          <w:lang w:bidi="lo-LA"/>
        </w:rPr>
      </w:pPr>
      <w:hyperlink w:anchor="_Toc460321708" w:history="1">
        <w:r w:rsidR="00AA3082" w:rsidRPr="003D7275">
          <w:rPr>
            <w:rStyle w:val="Hipersaitas"/>
            <w:noProof/>
            <w:lang w:val="lt-LT"/>
          </w:rPr>
          <w:t>Lentelė 127. Scenarijaus Nr. 3 garantijų modelio įgyvendinimo prognozė</w:t>
        </w:r>
        <w:r w:rsidR="00AA3082">
          <w:rPr>
            <w:noProof/>
            <w:webHidden/>
          </w:rPr>
          <w:tab/>
        </w:r>
        <w:r w:rsidR="00AA3082">
          <w:rPr>
            <w:noProof/>
            <w:webHidden/>
          </w:rPr>
          <w:fldChar w:fldCharType="begin"/>
        </w:r>
        <w:r w:rsidR="00AA3082">
          <w:rPr>
            <w:noProof/>
            <w:webHidden/>
          </w:rPr>
          <w:instrText xml:space="preserve"> PAGEREF _Toc460321708 \h </w:instrText>
        </w:r>
        <w:r w:rsidR="00AA3082">
          <w:rPr>
            <w:noProof/>
            <w:webHidden/>
          </w:rPr>
        </w:r>
        <w:r w:rsidR="00AA3082">
          <w:rPr>
            <w:noProof/>
            <w:webHidden/>
          </w:rPr>
          <w:fldChar w:fldCharType="separate"/>
        </w:r>
        <w:r w:rsidR="00AA3082">
          <w:rPr>
            <w:noProof/>
            <w:webHidden/>
          </w:rPr>
          <w:t>170</w:t>
        </w:r>
        <w:r w:rsidR="00AA3082">
          <w:rPr>
            <w:noProof/>
            <w:webHidden/>
          </w:rPr>
          <w:fldChar w:fldCharType="end"/>
        </w:r>
      </w:hyperlink>
    </w:p>
    <w:p w14:paraId="77B2DF9D" w14:textId="287A44A2" w:rsidR="00AA3082" w:rsidRDefault="00A65A8D">
      <w:pPr>
        <w:pStyle w:val="Iliustracijsraas"/>
        <w:tabs>
          <w:tab w:val="right" w:leader="dot" w:pos="9016"/>
        </w:tabs>
        <w:rPr>
          <w:rFonts w:eastAsiaTheme="minorEastAsia" w:cs="Arial Unicode MS"/>
          <w:noProof/>
          <w:lang w:bidi="lo-LA"/>
        </w:rPr>
      </w:pPr>
      <w:hyperlink w:anchor="_Toc460321709" w:history="1">
        <w:r w:rsidR="00AA3082" w:rsidRPr="003D7275">
          <w:rPr>
            <w:rStyle w:val="Hipersaitas"/>
            <w:noProof/>
            <w:lang w:val="lt-LT"/>
          </w:rPr>
          <w:t>Lentelė 128. Scenarijaus Nr. 3 rezultatai</w:t>
        </w:r>
        <w:r w:rsidR="00AA3082">
          <w:rPr>
            <w:noProof/>
            <w:webHidden/>
          </w:rPr>
          <w:tab/>
        </w:r>
        <w:r w:rsidR="00AA3082">
          <w:rPr>
            <w:noProof/>
            <w:webHidden/>
          </w:rPr>
          <w:fldChar w:fldCharType="begin"/>
        </w:r>
        <w:r w:rsidR="00AA3082">
          <w:rPr>
            <w:noProof/>
            <w:webHidden/>
          </w:rPr>
          <w:instrText xml:space="preserve"> PAGEREF _Toc460321709 \h </w:instrText>
        </w:r>
        <w:r w:rsidR="00AA3082">
          <w:rPr>
            <w:noProof/>
            <w:webHidden/>
          </w:rPr>
        </w:r>
        <w:r w:rsidR="00AA3082">
          <w:rPr>
            <w:noProof/>
            <w:webHidden/>
          </w:rPr>
          <w:fldChar w:fldCharType="separate"/>
        </w:r>
        <w:r w:rsidR="00AA3082">
          <w:rPr>
            <w:noProof/>
            <w:webHidden/>
          </w:rPr>
          <w:t>170</w:t>
        </w:r>
        <w:r w:rsidR="00AA3082">
          <w:rPr>
            <w:noProof/>
            <w:webHidden/>
          </w:rPr>
          <w:fldChar w:fldCharType="end"/>
        </w:r>
      </w:hyperlink>
    </w:p>
    <w:p w14:paraId="24398B97" w14:textId="56754A11" w:rsidR="00AA3082" w:rsidRDefault="00A65A8D">
      <w:pPr>
        <w:pStyle w:val="Iliustracijsraas"/>
        <w:tabs>
          <w:tab w:val="right" w:leader="dot" w:pos="9016"/>
        </w:tabs>
        <w:rPr>
          <w:rFonts w:eastAsiaTheme="minorEastAsia" w:cs="Arial Unicode MS"/>
          <w:noProof/>
          <w:lang w:bidi="lo-LA"/>
        </w:rPr>
      </w:pPr>
      <w:hyperlink w:anchor="_Toc460321710" w:history="1">
        <w:r w:rsidR="00AA3082" w:rsidRPr="003D7275">
          <w:rPr>
            <w:rStyle w:val="Hipersaitas"/>
            <w:noProof/>
            <w:lang w:val="lt-LT"/>
          </w:rPr>
          <w:t>Lentelė 129. Scenarijaus Nr. 4 prielaidos</w:t>
        </w:r>
        <w:r w:rsidR="00AA3082">
          <w:rPr>
            <w:noProof/>
            <w:webHidden/>
          </w:rPr>
          <w:tab/>
        </w:r>
        <w:r w:rsidR="00AA3082">
          <w:rPr>
            <w:noProof/>
            <w:webHidden/>
          </w:rPr>
          <w:fldChar w:fldCharType="begin"/>
        </w:r>
        <w:r w:rsidR="00AA3082">
          <w:rPr>
            <w:noProof/>
            <w:webHidden/>
          </w:rPr>
          <w:instrText xml:space="preserve"> PAGEREF _Toc460321710 \h </w:instrText>
        </w:r>
        <w:r w:rsidR="00AA3082">
          <w:rPr>
            <w:noProof/>
            <w:webHidden/>
          </w:rPr>
        </w:r>
        <w:r w:rsidR="00AA3082">
          <w:rPr>
            <w:noProof/>
            <w:webHidden/>
          </w:rPr>
          <w:fldChar w:fldCharType="separate"/>
        </w:r>
        <w:r w:rsidR="00AA3082">
          <w:rPr>
            <w:noProof/>
            <w:webHidden/>
          </w:rPr>
          <w:t>171</w:t>
        </w:r>
        <w:r w:rsidR="00AA3082">
          <w:rPr>
            <w:noProof/>
            <w:webHidden/>
          </w:rPr>
          <w:fldChar w:fldCharType="end"/>
        </w:r>
      </w:hyperlink>
    </w:p>
    <w:p w14:paraId="4EACD594" w14:textId="02C6C815" w:rsidR="00AA3082" w:rsidRDefault="00A65A8D">
      <w:pPr>
        <w:pStyle w:val="Iliustracijsraas"/>
        <w:tabs>
          <w:tab w:val="right" w:leader="dot" w:pos="9016"/>
        </w:tabs>
        <w:rPr>
          <w:rFonts w:eastAsiaTheme="minorEastAsia" w:cs="Arial Unicode MS"/>
          <w:noProof/>
          <w:lang w:bidi="lo-LA"/>
        </w:rPr>
      </w:pPr>
      <w:hyperlink w:anchor="_Toc460321711" w:history="1">
        <w:r w:rsidR="00AA3082" w:rsidRPr="003D7275">
          <w:rPr>
            <w:rStyle w:val="Hipersaitas"/>
            <w:noProof/>
            <w:lang w:val="lt-LT"/>
          </w:rPr>
          <w:t>Lentelė 130. Scenarijaus Nr. 4 paskolų su išpirkimo galimybe įgyvendinimo prognozė</w:t>
        </w:r>
        <w:r w:rsidR="00AA3082">
          <w:rPr>
            <w:noProof/>
            <w:webHidden/>
          </w:rPr>
          <w:tab/>
        </w:r>
        <w:r w:rsidR="00AA3082">
          <w:rPr>
            <w:noProof/>
            <w:webHidden/>
          </w:rPr>
          <w:fldChar w:fldCharType="begin"/>
        </w:r>
        <w:r w:rsidR="00AA3082">
          <w:rPr>
            <w:noProof/>
            <w:webHidden/>
          </w:rPr>
          <w:instrText xml:space="preserve"> PAGEREF _Toc460321711 \h </w:instrText>
        </w:r>
        <w:r w:rsidR="00AA3082">
          <w:rPr>
            <w:noProof/>
            <w:webHidden/>
          </w:rPr>
        </w:r>
        <w:r w:rsidR="00AA3082">
          <w:rPr>
            <w:noProof/>
            <w:webHidden/>
          </w:rPr>
          <w:fldChar w:fldCharType="separate"/>
        </w:r>
        <w:r w:rsidR="00AA3082">
          <w:rPr>
            <w:noProof/>
            <w:webHidden/>
          </w:rPr>
          <w:t>172</w:t>
        </w:r>
        <w:r w:rsidR="00AA3082">
          <w:rPr>
            <w:noProof/>
            <w:webHidden/>
          </w:rPr>
          <w:fldChar w:fldCharType="end"/>
        </w:r>
      </w:hyperlink>
    </w:p>
    <w:p w14:paraId="578A71AB" w14:textId="466E1D82" w:rsidR="00AA3082" w:rsidRDefault="00A65A8D">
      <w:pPr>
        <w:pStyle w:val="Iliustracijsraas"/>
        <w:tabs>
          <w:tab w:val="right" w:leader="dot" w:pos="9016"/>
        </w:tabs>
        <w:rPr>
          <w:rFonts w:eastAsiaTheme="minorEastAsia" w:cs="Arial Unicode MS"/>
          <w:noProof/>
          <w:lang w:bidi="lo-LA"/>
        </w:rPr>
      </w:pPr>
      <w:hyperlink w:anchor="_Toc460321712" w:history="1">
        <w:r w:rsidR="00AA3082" w:rsidRPr="003D7275">
          <w:rPr>
            <w:rStyle w:val="Hipersaitas"/>
            <w:noProof/>
            <w:lang w:val="lt-LT"/>
          </w:rPr>
          <w:t>Lentelė 131. Scenarijaus Nr. 4 garantijų priemonės įgyvendinimo prognozė</w:t>
        </w:r>
        <w:r w:rsidR="00AA3082">
          <w:rPr>
            <w:noProof/>
            <w:webHidden/>
          </w:rPr>
          <w:tab/>
        </w:r>
        <w:r w:rsidR="00AA3082">
          <w:rPr>
            <w:noProof/>
            <w:webHidden/>
          </w:rPr>
          <w:fldChar w:fldCharType="begin"/>
        </w:r>
        <w:r w:rsidR="00AA3082">
          <w:rPr>
            <w:noProof/>
            <w:webHidden/>
          </w:rPr>
          <w:instrText xml:space="preserve"> PAGEREF _Toc460321712 \h </w:instrText>
        </w:r>
        <w:r w:rsidR="00AA3082">
          <w:rPr>
            <w:noProof/>
            <w:webHidden/>
          </w:rPr>
        </w:r>
        <w:r w:rsidR="00AA3082">
          <w:rPr>
            <w:noProof/>
            <w:webHidden/>
          </w:rPr>
          <w:fldChar w:fldCharType="separate"/>
        </w:r>
        <w:r w:rsidR="00AA3082">
          <w:rPr>
            <w:noProof/>
            <w:webHidden/>
          </w:rPr>
          <w:t>173</w:t>
        </w:r>
        <w:r w:rsidR="00AA3082">
          <w:rPr>
            <w:noProof/>
            <w:webHidden/>
          </w:rPr>
          <w:fldChar w:fldCharType="end"/>
        </w:r>
      </w:hyperlink>
    </w:p>
    <w:p w14:paraId="7537A454" w14:textId="7C66036E" w:rsidR="00AA3082" w:rsidRDefault="00A65A8D">
      <w:pPr>
        <w:pStyle w:val="Iliustracijsraas"/>
        <w:tabs>
          <w:tab w:val="right" w:leader="dot" w:pos="9016"/>
        </w:tabs>
        <w:rPr>
          <w:rFonts w:eastAsiaTheme="minorEastAsia" w:cs="Arial Unicode MS"/>
          <w:noProof/>
          <w:lang w:bidi="lo-LA"/>
        </w:rPr>
      </w:pPr>
      <w:hyperlink w:anchor="_Toc460321713" w:history="1">
        <w:r w:rsidR="00AA3082" w:rsidRPr="003D7275">
          <w:rPr>
            <w:rStyle w:val="Hipersaitas"/>
            <w:noProof/>
            <w:lang w:val="lt-LT"/>
          </w:rPr>
          <w:t>Lentelė 132. Scenarijaus Nr. 4 rezultatai</w:t>
        </w:r>
        <w:r w:rsidR="00AA3082">
          <w:rPr>
            <w:noProof/>
            <w:webHidden/>
          </w:rPr>
          <w:tab/>
        </w:r>
        <w:r w:rsidR="00AA3082">
          <w:rPr>
            <w:noProof/>
            <w:webHidden/>
          </w:rPr>
          <w:fldChar w:fldCharType="begin"/>
        </w:r>
        <w:r w:rsidR="00AA3082">
          <w:rPr>
            <w:noProof/>
            <w:webHidden/>
          </w:rPr>
          <w:instrText xml:space="preserve"> PAGEREF _Toc460321713 \h </w:instrText>
        </w:r>
        <w:r w:rsidR="00AA3082">
          <w:rPr>
            <w:noProof/>
            <w:webHidden/>
          </w:rPr>
        </w:r>
        <w:r w:rsidR="00AA3082">
          <w:rPr>
            <w:noProof/>
            <w:webHidden/>
          </w:rPr>
          <w:fldChar w:fldCharType="separate"/>
        </w:r>
        <w:r w:rsidR="00AA3082">
          <w:rPr>
            <w:noProof/>
            <w:webHidden/>
          </w:rPr>
          <w:t>173</w:t>
        </w:r>
        <w:r w:rsidR="00AA3082">
          <w:rPr>
            <w:noProof/>
            <w:webHidden/>
          </w:rPr>
          <w:fldChar w:fldCharType="end"/>
        </w:r>
      </w:hyperlink>
    </w:p>
    <w:p w14:paraId="72A82A57" w14:textId="0F5ECB4B" w:rsidR="00AA3082" w:rsidRDefault="00A65A8D">
      <w:pPr>
        <w:pStyle w:val="Iliustracijsraas"/>
        <w:tabs>
          <w:tab w:val="right" w:leader="dot" w:pos="9016"/>
        </w:tabs>
        <w:rPr>
          <w:rFonts w:eastAsiaTheme="minorEastAsia" w:cs="Arial Unicode MS"/>
          <w:noProof/>
          <w:lang w:bidi="lo-LA"/>
        </w:rPr>
      </w:pPr>
      <w:hyperlink w:anchor="_Toc460321714" w:history="1">
        <w:r w:rsidR="00AA3082" w:rsidRPr="003D7275">
          <w:rPr>
            <w:rStyle w:val="Hipersaitas"/>
            <w:noProof/>
            <w:lang w:val="lt-LT"/>
          </w:rPr>
          <w:t>Lentelė 133. Scenarijaus Nr. 4 prielaidos</w:t>
        </w:r>
        <w:r w:rsidR="00AA3082">
          <w:rPr>
            <w:noProof/>
            <w:webHidden/>
          </w:rPr>
          <w:tab/>
        </w:r>
        <w:r w:rsidR="00AA3082">
          <w:rPr>
            <w:noProof/>
            <w:webHidden/>
          </w:rPr>
          <w:fldChar w:fldCharType="begin"/>
        </w:r>
        <w:r w:rsidR="00AA3082">
          <w:rPr>
            <w:noProof/>
            <w:webHidden/>
          </w:rPr>
          <w:instrText xml:space="preserve"> PAGEREF _Toc460321714 \h </w:instrText>
        </w:r>
        <w:r w:rsidR="00AA3082">
          <w:rPr>
            <w:noProof/>
            <w:webHidden/>
          </w:rPr>
        </w:r>
        <w:r w:rsidR="00AA3082">
          <w:rPr>
            <w:noProof/>
            <w:webHidden/>
          </w:rPr>
          <w:fldChar w:fldCharType="separate"/>
        </w:r>
        <w:r w:rsidR="00AA3082">
          <w:rPr>
            <w:noProof/>
            <w:webHidden/>
          </w:rPr>
          <w:t>173</w:t>
        </w:r>
        <w:r w:rsidR="00AA3082">
          <w:rPr>
            <w:noProof/>
            <w:webHidden/>
          </w:rPr>
          <w:fldChar w:fldCharType="end"/>
        </w:r>
      </w:hyperlink>
    </w:p>
    <w:p w14:paraId="386D4750" w14:textId="5DED95C4" w:rsidR="00AA3082" w:rsidRDefault="00A65A8D">
      <w:pPr>
        <w:pStyle w:val="Iliustracijsraas"/>
        <w:tabs>
          <w:tab w:val="right" w:leader="dot" w:pos="9016"/>
        </w:tabs>
        <w:rPr>
          <w:rFonts w:eastAsiaTheme="minorEastAsia" w:cs="Arial Unicode MS"/>
          <w:noProof/>
          <w:lang w:bidi="lo-LA"/>
        </w:rPr>
      </w:pPr>
      <w:hyperlink w:anchor="_Toc460321715" w:history="1">
        <w:r w:rsidR="00AA3082" w:rsidRPr="003D7275">
          <w:rPr>
            <w:rStyle w:val="Hipersaitas"/>
            <w:noProof/>
            <w:lang w:val="lt-LT"/>
          </w:rPr>
          <w:t>Lentelė 134. Scenarijaus Nr. 5 garantijų priemonės įgyvendinimo prognozė</w:t>
        </w:r>
        <w:r w:rsidR="00AA3082">
          <w:rPr>
            <w:noProof/>
            <w:webHidden/>
          </w:rPr>
          <w:tab/>
        </w:r>
        <w:r w:rsidR="00AA3082">
          <w:rPr>
            <w:noProof/>
            <w:webHidden/>
          </w:rPr>
          <w:fldChar w:fldCharType="begin"/>
        </w:r>
        <w:r w:rsidR="00AA3082">
          <w:rPr>
            <w:noProof/>
            <w:webHidden/>
          </w:rPr>
          <w:instrText xml:space="preserve"> PAGEREF _Toc460321715 \h </w:instrText>
        </w:r>
        <w:r w:rsidR="00AA3082">
          <w:rPr>
            <w:noProof/>
            <w:webHidden/>
          </w:rPr>
        </w:r>
        <w:r w:rsidR="00AA3082">
          <w:rPr>
            <w:noProof/>
            <w:webHidden/>
          </w:rPr>
          <w:fldChar w:fldCharType="separate"/>
        </w:r>
        <w:r w:rsidR="00AA3082">
          <w:rPr>
            <w:noProof/>
            <w:webHidden/>
          </w:rPr>
          <w:t>175</w:t>
        </w:r>
        <w:r w:rsidR="00AA3082">
          <w:rPr>
            <w:noProof/>
            <w:webHidden/>
          </w:rPr>
          <w:fldChar w:fldCharType="end"/>
        </w:r>
      </w:hyperlink>
    </w:p>
    <w:p w14:paraId="53559DB4" w14:textId="46FC4F93" w:rsidR="00AA3082" w:rsidRDefault="00A65A8D">
      <w:pPr>
        <w:pStyle w:val="Iliustracijsraas"/>
        <w:tabs>
          <w:tab w:val="right" w:leader="dot" w:pos="9016"/>
        </w:tabs>
        <w:rPr>
          <w:rFonts w:eastAsiaTheme="minorEastAsia" w:cs="Arial Unicode MS"/>
          <w:noProof/>
          <w:lang w:bidi="lo-LA"/>
        </w:rPr>
      </w:pPr>
      <w:hyperlink w:anchor="_Toc460321716" w:history="1">
        <w:r w:rsidR="00AA3082" w:rsidRPr="003D7275">
          <w:rPr>
            <w:rStyle w:val="Hipersaitas"/>
            <w:noProof/>
            <w:lang w:val="lt-LT"/>
          </w:rPr>
          <w:t>Lentelė 135. Scenarijaus Nr. 5 rezultatai</w:t>
        </w:r>
        <w:r w:rsidR="00AA3082">
          <w:rPr>
            <w:noProof/>
            <w:webHidden/>
          </w:rPr>
          <w:tab/>
        </w:r>
        <w:r w:rsidR="00AA3082">
          <w:rPr>
            <w:noProof/>
            <w:webHidden/>
          </w:rPr>
          <w:fldChar w:fldCharType="begin"/>
        </w:r>
        <w:r w:rsidR="00AA3082">
          <w:rPr>
            <w:noProof/>
            <w:webHidden/>
          </w:rPr>
          <w:instrText xml:space="preserve"> PAGEREF _Toc460321716 \h </w:instrText>
        </w:r>
        <w:r w:rsidR="00AA3082">
          <w:rPr>
            <w:noProof/>
            <w:webHidden/>
          </w:rPr>
        </w:r>
        <w:r w:rsidR="00AA3082">
          <w:rPr>
            <w:noProof/>
            <w:webHidden/>
          </w:rPr>
          <w:fldChar w:fldCharType="separate"/>
        </w:r>
        <w:r w:rsidR="00AA3082">
          <w:rPr>
            <w:noProof/>
            <w:webHidden/>
          </w:rPr>
          <w:t>175</w:t>
        </w:r>
        <w:r w:rsidR="00AA3082">
          <w:rPr>
            <w:noProof/>
            <w:webHidden/>
          </w:rPr>
          <w:fldChar w:fldCharType="end"/>
        </w:r>
      </w:hyperlink>
    </w:p>
    <w:p w14:paraId="168FF3D6" w14:textId="6DB3C5EF" w:rsidR="00AA3082" w:rsidRDefault="00A65A8D">
      <w:pPr>
        <w:pStyle w:val="Iliustracijsraas"/>
        <w:tabs>
          <w:tab w:val="right" w:leader="dot" w:pos="9016"/>
        </w:tabs>
        <w:rPr>
          <w:rFonts w:eastAsiaTheme="minorEastAsia" w:cs="Arial Unicode MS"/>
          <w:noProof/>
          <w:lang w:bidi="lo-LA"/>
        </w:rPr>
      </w:pPr>
      <w:hyperlink w:anchor="_Toc460321717" w:history="1">
        <w:r w:rsidR="00AA3082" w:rsidRPr="003D7275">
          <w:rPr>
            <w:rStyle w:val="Hipersaitas"/>
            <w:noProof/>
            <w:lang w:val="lt-LT"/>
          </w:rPr>
          <w:t>Lentelė 136. Scenarijaus Nr. 6 prielaidos</w:t>
        </w:r>
        <w:r w:rsidR="00AA3082">
          <w:rPr>
            <w:noProof/>
            <w:webHidden/>
          </w:rPr>
          <w:tab/>
        </w:r>
        <w:r w:rsidR="00AA3082">
          <w:rPr>
            <w:noProof/>
            <w:webHidden/>
          </w:rPr>
          <w:fldChar w:fldCharType="begin"/>
        </w:r>
        <w:r w:rsidR="00AA3082">
          <w:rPr>
            <w:noProof/>
            <w:webHidden/>
          </w:rPr>
          <w:instrText xml:space="preserve"> PAGEREF _Toc460321717 \h </w:instrText>
        </w:r>
        <w:r w:rsidR="00AA3082">
          <w:rPr>
            <w:noProof/>
            <w:webHidden/>
          </w:rPr>
        </w:r>
        <w:r w:rsidR="00AA3082">
          <w:rPr>
            <w:noProof/>
            <w:webHidden/>
          </w:rPr>
          <w:fldChar w:fldCharType="separate"/>
        </w:r>
        <w:r w:rsidR="00AA3082">
          <w:rPr>
            <w:noProof/>
            <w:webHidden/>
          </w:rPr>
          <w:t>176</w:t>
        </w:r>
        <w:r w:rsidR="00AA3082">
          <w:rPr>
            <w:noProof/>
            <w:webHidden/>
          </w:rPr>
          <w:fldChar w:fldCharType="end"/>
        </w:r>
      </w:hyperlink>
    </w:p>
    <w:p w14:paraId="2B8A0C5F" w14:textId="7A353A8B" w:rsidR="00AA3082" w:rsidRDefault="00A65A8D">
      <w:pPr>
        <w:pStyle w:val="Iliustracijsraas"/>
        <w:tabs>
          <w:tab w:val="right" w:leader="dot" w:pos="9016"/>
        </w:tabs>
        <w:rPr>
          <w:rFonts w:eastAsiaTheme="minorEastAsia" w:cs="Arial Unicode MS"/>
          <w:noProof/>
          <w:lang w:bidi="lo-LA"/>
        </w:rPr>
      </w:pPr>
      <w:hyperlink w:anchor="_Toc460321718" w:history="1">
        <w:r w:rsidR="00AA3082" w:rsidRPr="003D7275">
          <w:rPr>
            <w:rStyle w:val="Hipersaitas"/>
            <w:noProof/>
            <w:lang w:val="lt-LT"/>
          </w:rPr>
          <w:t>Lentelė 137. Scenarijaus Nr. 6 lengvatinių paskolų ir bankų bendro finansavimo finansinė priemonė</w:t>
        </w:r>
        <w:r w:rsidR="00AA3082">
          <w:rPr>
            <w:noProof/>
            <w:webHidden/>
          </w:rPr>
          <w:tab/>
        </w:r>
        <w:r w:rsidR="00AA3082">
          <w:rPr>
            <w:noProof/>
            <w:webHidden/>
          </w:rPr>
          <w:fldChar w:fldCharType="begin"/>
        </w:r>
        <w:r w:rsidR="00AA3082">
          <w:rPr>
            <w:noProof/>
            <w:webHidden/>
          </w:rPr>
          <w:instrText xml:space="preserve"> PAGEREF _Toc460321718 \h </w:instrText>
        </w:r>
        <w:r w:rsidR="00AA3082">
          <w:rPr>
            <w:noProof/>
            <w:webHidden/>
          </w:rPr>
        </w:r>
        <w:r w:rsidR="00AA3082">
          <w:rPr>
            <w:noProof/>
            <w:webHidden/>
          </w:rPr>
          <w:fldChar w:fldCharType="separate"/>
        </w:r>
        <w:r w:rsidR="00AA3082">
          <w:rPr>
            <w:noProof/>
            <w:webHidden/>
          </w:rPr>
          <w:t>177</w:t>
        </w:r>
        <w:r w:rsidR="00AA3082">
          <w:rPr>
            <w:noProof/>
            <w:webHidden/>
          </w:rPr>
          <w:fldChar w:fldCharType="end"/>
        </w:r>
      </w:hyperlink>
    </w:p>
    <w:p w14:paraId="6A0951C1" w14:textId="433F99D5" w:rsidR="00AA3082" w:rsidRDefault="00A65A8D">
      <w:pPr>
        <w:pStyle w:val="Iliustracijsraas"/>
        <w:tabs>
          <w:tab w:val="right" w:leader="dot" w:pos="9016"/>
        </w:tabs>
        <w:rPr>
          <w:rFonts w:eastAsiaTheme="minorEastAsia" w:cs="Arial Unicode MS"/>
          <w:noProof/>
          <w:lang w:bidi="lo-LA"/>
        </w:rPr>
      </w:pPr>
      <w:hyperlink w:anchor="_Toc460321719" w:history="1">
        <w:r w:rsidR="00AA3082" w:rsidRPr="003D7275">
          <w:rPr>
            <w:rStyle w:val="Hipersaitas"/>
            <w:noProof/>
            <w:lang w:val="lt-LT"/>
          </w:rPr>
          <w:t>Lentelė 138. Scenarijaus Nr. 6 rezultatai</w:t>
        </w:r>
        <w:r w:rsidR="00AA3082">
          <w:rPr>
            <w:noProof/>
            <w:webHidden/>
          </w:rPr>
          <w:tab/>
        </w:r>
        <w:r w:rsidR="00AA3082">
          <w:rPr>
            <w:noProof/>
            <w:webHidden/>
          </w:rPr>
          <w:fldChar w:fldCharType="begin"/>
        </w:r>
        <w:r w:rsidR="00AA3082">
          <w:rPr>
            <w:noProof/>
            <w:webHidden/>
          </w:rPr>
          <w:instrText xml:space="preserve"> PAGEREF _Toc460321719 \h </w:instrText>
        </w:r>
        <w:r w:rsidR="00AA3082">
          <w:rPr>
            <w:noProof/>
            <w:webHidden/>
          </w:rPr>
        </w:r>
        <w:r w:rsidR="00AA3082">
          <w:rPr>
            <w:noProof/>
            <w:webHidden/>
          </w:rPr>
          <w:fldChar w:fldCharType="separate"/>
        </w:r>
        <w:r w:rsidR="00AA3082">
          <w:rPr>
            <w:noProof/>
            <w:webHidden/>
          </w:rPr>
          <w:t>177</w:t>
        </w:r>
        <w:r w:rsidR="00AA3082">
          <w:rPr>
            <w:noProof/>
            <w:webHidden/>
          </w:rPr>
          <w:fldChar w:fldCharType="end"/>
        </w:r>
      </w:hyperlink>
    </w:p>
    <w:p w14:paraId="029250A1" w14:textId="57B92D4E" w:rsidR="00AA3082" w:rsidRDefault="00A65A8D">
      <w:pPr>
        <w:pStyle w:val="Iliustracijsraas"/>
        <w:tabs>
          <w:tab w:val="right" w:leader="dot" w:pos="9016"/>
        </w:tabs>
        <w:rPr>
          <w:rFonts w:eastAsiaTheme="minorEastAsia" w:cs="Arial Unicode MS"/>
          <w:noProof/>
          <w:lang w:bidi="lo-LA"/>
        </w:rPr>
      </w:pPr>
      <w:hyperlink w:anchor="_Toc460321720" w:history="1">
        <w:r w:rsidR="00AA3082" w:rsidRPr="003D7275">
          <w:rPr>
            <w:rStyle w:val="Hipersaitas"/>
            <w:noProof/>
            <w:lang w:val="lt-LT"/>
          </w:rPr>
          <w:t>Lentelė 139. Scenarijaus Nr. 7 prielaidos</w:t>
        </w:r>
        <w:r w:rsidR="00AA3082">
          <w:rPr>
            <w:noProof/>
            <w:webHidden/>
          </w:rPr>
          <w:tab/>
        </w:r>
        <w:r w:rsidR="00AA3082">
          <w:rPr>
            <w:noProof/>
            <w:webHidden/>
          </w:rPr>
          <w:fldChar w:fldCharType="begin"/>
        </w:r>
        <w:r w:rsidR="00AA3082">
          <w:rPr>
            <w:noProof/>
            <w:webHidden/>
          </w:rPr>
          <w:instrText xml:space="preserve"> PAGEREF _Toc460321720 \h </w:instrText>
        </w:r>
        <w:r w:rsidR="00AA3082">
          <w:rPr>
            <w:noProof/>
            <w:webHidden/>
          </w:rPr>
        </w:r>
        <w:r w:rsidR="00AA3082">
          <w:rPr>
            <w:noProof/>
            <w:webHidden/>
          </w:rPr>
          <w:fldChar w:fldCharType="separate"/>
        </w:r>
        <w:r w:rsidR="00AA3082">
          <w:rPr>
            <w:noProof/>
            <w:webHidden/>
          </w:rPr>
          <w:t>178</w:t>
        </w:r>
        <w:r w:rsidR="00AA3082">
          <w:rPr>
            <w:noProof/>
            <w:webHidden/>
          </w:rPr>
          <w:fldChar w:fldCharType="end"/>
        </w:r>
      </w:hyperlink>
    </w:p>
    <w:p w14:paraId="422BD91A" w14:textId="75972AAC" w:rsidR="00AA3082" w:rsidRDefault="00A65A8D">
      <w:pPr>
        <w:pStyle w:val="Iliustracijsraas"/>
        <w:tabs>
          <w:tab w:val="right" w:leader="dot" w:pos="9016"/>
        </w:tabs>
        <w:rPr>
          <w:rFonts w:eastAsiaTheme="minorEastAsia" w:cs="Arial Unicode MS"/>
          <w:noProof/>
          <w:lang w:bidi="lo-LA"/>
        </w:rPr>
      </w:pPr>
      <w:hyperlink w:anchor="_Toc460321721" w:history="1">
        <w:r w:rsidR="00AA3082" w:rsidRPr="003D7275">
          <w:rPr>
            <w:rStyle w:val="Hipersaitas"/>
            <w:noProof/>
            <w:lang w:val="lt-LT"/>
          </w:rPr>
          <w:t>Lentelė 140. Scenarijaus Nr. 7 lengvatinių paskolų finansinė priemonė</w:t>
        </w:r>
        <w:r w:rsidR="00AA3082">
          <w:rPr>
            <w:noProof/>
            <w:webHidden/>
          </w:rPr>
          <w:tab/>
        </w:r>
        <w:r w:rsidR="00AA3082">
          <w:rPr>
            <w:noProof/>
            <w:webHidden/>
          </w:rPr>
          <w:fldChar w:fldCharType="begin"/>
        </w:r>
        <w:r w:rsidR="00AA3082">
          <w:rPr>
            <w:noProof/>
            <w:webHidden/>
          </w:rPr>
          <w:instrText xml:space="preserve"> PAGEREF _Toc460321721 \h </w:instrText>
        </w:r>
        <w:r w:rsidR="00AA3082">
          <w:rPr>
            <w:noProof/>
            <w:webHidden/>
          </w:rPr>
        </w:r>
        <w:r w:rsidR="00AA3082">
          <w:rPr>
            <w:noProof/>
            <w:webHidden/>
          </w:rPr>
          <w:fldChar w:fldCharType="separate"/>
        </w:r>
        <w:r w:rsidR="00AA3082">
          <w:rPr>
            <w:noProof/>
            <w:webHidden/>
          </w:rPr>
          <w:t>179</w:t>
        </w:r>
        <w:r w:rsidR="00AA3082">
          <w:rPr>
            <w:noProof/>
            <w:webHidden/>
          </w:rPr>
          <w:fldChar w:fldCharType="end"/>
        </w:r>
      </w:hyperlink>
    </w:p>
    <w:p w14:paraId="27347F29" w14:textId="2D677934" w:rsidR="00AA3082" w:rsidRDefault="00A65A8D">
      <w:pPr>
        <w:pStyle w:val="Iliustracijsraas"/>
        <w:tabs>
          <w:tab w:val="right" w:leader="dot" w:pos="9016"/>
        </w:tabs>
        <w:rPr>
          <w:rFonts w:eastAsiaTheme="minorEastAsia" w:cs="Arial Unicode MS"/>
          <w:noProof/>
          <w:lang w:bidi="lo-LA"/>
        </w:rPr>
      </w:pPr>
      <w:hyperlink w:anchor="_Toc460321722" w:history="1">
        <w:r w:rsidR="00AA3082" w:rsidRPr="003D7275">
          <w:rPr>
            <w:rStyle w:val="Hipersaitas"/>
            <w:noProof/>
            <w:lang w:val="lt-LT"/>
          </w:rPr>
          <w:t>Lentelė 141. Scenarijaus Nr. 7 rezultatai</w:t>
        </w:r>
        <w:r w:rsidR="00AA3082">
          <w:rPr>
            <w:noProof/>
            <w:webHidden/>
          </w:rPr>
          <w:tab/>
        </w:r>
        <w:r w:rsidR="00AA3082">
          <w:rPr>
            <w:noProof/>
            <w:webHidden/>
          </w:rPr>
          <w:fldChar w:fldCharType="begin"/>
        </w:r>
        <w:r w:rsidR="00AA3082">
          <w:rPr>
            <w:noProof/>
            <w:webHidden/>
          </w:rPr>
          <w:instrText xml:space="preserve"> PAGEREF _Toc460321722 \h </w:instrText>
        </w:r>
        <w:r w:rsidR="00AA3082">
          <w:rPr>
            <w:noProof/>
            <w:webHidden/>
          </w:rPr>
        </w:r>
        <w:r w:rsidR="00AA3082">
          <w:rPr>
            <w:noProof/>
            <w:webHidden/>
          </w:rPr>
          <w:fldChar w:fldCharType="separate"/>
        </w:r>
        <w:r w:rsidR="00AA3082">
          <w:rPr>
            <w:noProof/>
            <w:webHidden/>
          </w:rPr>
          <w:t>179</w:t>
        </w:r>
        <w:r w:rsidR="00AA3082">
          <w:rPr>
            <w:noProof/>
            <w:webHidden/>
          </w:rPr>
          <w:fldChar w:fldCharType="end"/>
        </w:r>
      </w:hyperlink>
    </w:p>
    <w:p w14:paraId="23FF01AB" w14:textId="5C909C19" w:rsidR="00AA3082" w:rsidRDefault="00A65A8D">
      <w:pPr>
        <w:pStyle w:val="Iliustracijsraas"/>
        <w:tabs>
          <w:tab w:val="right" w:leader="dot" w:pos="9016"/>
        </w:tabs>
        <w:rPr>
          <w:rFonts w:eastAsiaTheme="minorEastAsia" w:cs="Arial Unicode MS"/>
          <w:noProof/>
          <w:lang w:bidi="lo-LA"/>
        </w:rPr>
      </w:pPr>
      <w:hyperlink w:anchor="_Toc460321723" w:history="1">
        <w:r w:rsidR="00AA3082" w:rsidRPr="003D7275">
          <w:rPr>
            <w:rStyle w:val="Hipersaitas"/>
            <w:noProof/>
            <w:lang w:val="lt-LT"/>
          </w:rPr>
          <w:t xml:space="preserve">Lentelė 142. </w:t>
        </w:r>
        <w:r w:rsidR="00AA3082" w:rsidRPr="003D7275">
          <w:rPr>
            <w:rStyle w:val="Hipersaitas"/>
            <w:rFonts w:cs="Georgia"/>
            <w:noProof/>
            <w:lang w:val="lt-LT"/>
          </w:rPr>
          <w:t>Daugiabučių renovacijos finansavimo sverto efekto rodikliai pagal atskirus scenarijus</w:t>
        </w:r>
        <w:r w:rsidR="00AA3082">
          <w:rPr>
            <w:noProof/>
            <w:webHidden/>
          </w:rPr>
          <w:tab/>
        </w:r>
        <w:r w:rsidR="00AA3082">
          <w:rPr>
            <w:noProof/>
            <w:webHidden/>
          </w:rPr>
          <w:fldChar w:fldCharType="begin"/>
        </w:r>
        <w:r w:rsidR="00AA3082">
          <w:rPr>
            <w:noProof/>
            <w:webHidden/>
          </w:rPr>
          <w:instrText xml:space="preserve"> PAGEREF _Toc460321723 \h </w:instrText>
        </w:r>
        <w:r w:rsidR="00AA3082">
          <w:rPr>
            <w:noProof/>
            <w:webHidden/>
          </w:rPr>
        </w:r>
        <w:r w:rsidR="00AA3082">
          <w:rPr>
            <w:noProof/>
            <w:webHidden/>
          </w:rPr>
          <w:fldChar w:fldCharType="separate"/>
        </w:r>
        <w:r w:rsidR="00AA3082">
          <w:rPr>
            <w:noProof/>
            <w:webHidden/>
          </w:rPr>
          <w:t>183</w:t>
        </w:r>
        <w:r w:rsidR="00AA3082">
          <w:rPr>
            <w:noProof/>
            <w:webHidden/>
          </w:rPr>
          <w:fldChar w:fldCharType="end"/>
        </w:r>
      </w:hyperlink>
    </w:p>
    <w:p w14:paraId="08EFB253" w14:textId="57350200" w:rsidR="00AA3082" w:rsidRDefault="00A65A8D">
      <w:pPr>
        <w:pStyle w:val="Iliustracijsraas"/>
        <w:tabs>
          <w:tab w:val="right" w:leader="dot" w:pos="9016"/>
        </w:tabs>
        <w:rPr>
          <w:rFonts w:eastAsiaTheme="minorEastAsia" w:cs="Arial Unicode MS"/>
          <w:noProof/>
          <w:lang w:bidi="lo-LA"/>
        </w:rPr>
      </w:pPr>
      <w:hyperlink w:anchor="_Toc460321724" w:history="1">
        <w:r w:rsidR="00AA3082" w:rsidRPr="003D7275">
          <w:rPr>
            <w:rStyle w:val="Hipersaitas"/>
            <w:noProof/>
            <w:lang w:val="lt-LT"/>
          </w:rPr>
          <w:t xml:space="preserve">Lentelė 143. </w:t>
        </w:r>
        <w:r w:rsidR="00AA3082" w:rsidRPr="003D7275">
          <w:rPr>
            <w:rStyle w:val="Hipersaitas"/>
            <w:rFonts w:cs="Georgia"/>
            <w:noProof/>
            <w:lang w:val="lt-LT"/>
          </w:rPr>
          <w:t>Centrinės valdžios viešųjų pastatų renovacijos finansavimo sverto efekto rodikliai pagal atskirus scenarijus</w:t>
        </w:r>
        <w:r w:rsidR="00AA3082">
          <w:rPr>
            <w:noProof/>
            <w:webHidden/>
          </w:rPr>
          <w:tab/>
        </w:r>
        <w:r w:rsidR="00AA3082">
          <w:rPr>
            <w:noProof/>
            <w:webHidden/>
          </w:rPr>
          <w:fldChar w:fldCharType="begin"/>
        </w:r>
        <w:r w:rsidR="00AA3082">
          <w:rPr>
            <w:noProof/>
            <w:webHidden/>
          </w:rPr>
          <w:instrText xml:space="preserve"> PAGEREF _Toc460321724 \h </w:instrText>
        </w:r>
        <w:r w:rsidR="00AA3082">
          <w:rPr>
            <w:noProof/>
            <w:webHidden/>
          </w:rPr>
        </w:r>
        <w:r w:rsidR="00AA3082">
          <w:rPr>
            <w:noProof/>
            <w:webHidden/>
          </w:rPr>
          <w:fldChar w:fldCharType="separate"/>
        </w:r>
        <w:r w:rsidR="00AA3082">
          <w:rPr>
            <w:noProof/>
            <w:webHidden/>
          </w:rPr>
          <w:t>184</w:t>
        </w:r>
        <w:r w:rsidR="00AA3082">
          <w:rPr>
            <w:noProof/>
            <w:webHidden/>
          </w:rPr>
          <w:fldChar w:fldCharType="end"/>
        </w:r>
      </w:hyperlink>
    </w:p>
    <w:p w14:paraId="6E98CC47" w14:textId="78456C26" w:rsidR="00AA3082" w:rsidRDefault="00A65A8D">
      <w:pPr>
        <w:pStyle w:val="Iliustracijsraas"/>
        <w:tabs>
          <w:tab w:val="right" w:leader="dot" w:pos="9016"/>
        </w:tabs>
        <w:rPr>
          <w:rFonts w:eastAsiaTheme="minorEastAsia" w:cs="Arial Unicode MS"/>
          <w:noProof/>
          <w:lang w:bidi="lo-LA"/>
        </w:rPr>
      </w:pPr>
      <w:hyperlink w:anchor="_Toc460321725" w:history="1">
        <w:r w:rsidR="00AA3082" w:rsidRPr="003D7275">
          <w:rPr>
            <w:rStyle w:val="Hipersaitas"/>
            <w:noProof/>
            <w:lang w:val="lt-LT"/>
          </w:rPr>
          <w:t xml:space="preserve">Lentelė 144. </w:t>
        </w:r>
        <w:r w:rsidR="00AA3082" w:rsidRPr="003D7275">
          <w:rPr>
            <w:rStyle w:val="Hipersaitas"/>
            <w:rFonts w:cs="Georgia"/>
            <w:noProof/>
            <w:lang w:val="lt-LT"/>
          </w:rPr>
          <w:t>Gatvių apšvietimui modernizuoti sverto rodikliai pagal atskirus scenarijus</w:t>
        </w:r>
        <w:r w:rsidR="00AA3082">
          <w:rPr>
            <w:noProof/>
            <w:webHidden/>
          </w:rPr>
          <w:tab/>
        </w:r>
        <w:r w:rsidR="00AA3082">
          <w:rPr>
            <w:noProof/>
            <w:webHidden/>
          </w:rPr>
          <w:fldChar w:fldCharType="begin"/>
        </w:r>
        <w:r w:rsidR="00AA3082">
          <w:rPr>
            <w:noProof/>
            <w:webHidden/>
          </w:rPr>
          <w:instrText xml:space="preserve"> PAGEREF _Toc460321725 \h </w:instrText>
        </w:r>
        <w:r w:rsidR="00AA3082">
          <w:rPr>
            <w:noProof/>
            <w:webHidden/>
          </w:rPr>
        </w:r>
        <w:r w:rsidR="00AA3082">
          <w:rPr>
            <w:noProof/>
            <w:webHidden/>
          </w:rPr>
          <w:fldChar w:fldCharType="separate"/>
        </w:r>
        <w:r w:rsidR="00AA3082">
          <w:rPr>
            <w:noProof/>
            <w:webHidden/>
          </w:rPr>
          <w:t>185</w:t>
        </w:r>
        <w:r w:rsidR="00AA3082">
          <w:rPr>
            <w:noProof/>
            <w:webHidden/>
          </w:rPr>
          <w:fldChar w:fldCharType="end"/>
        </w:r>
      </w:hyperlink>
    </w:p>
    <w:p w14:paraId="76E1AD7C" w14:textId="7ABB6F3F" w:rsidR="00AA3082" w:rsidRDefault="00A65A8D">
      <w:pPr>
        <w:pStyle w:val="Iliustracijsraas"/>
        <w:tabs>
          <w:tab w:val="right" w:leader="dot" w:pos="9016"/>
        </w:tabs>
        <w:rPr>
          <w:rFonts w:eastAsiaTheme="minorEastAsia" w:cs="Arial Unicode MS"/>
          <w:noProof/>
          <w:lang w:bidi="lo-LA"/>
        </w:rPr>
      </w:pPr>
      <w:hyperlink w:anchor="_Toc460321726" w:history="1">
        <w:r w:rsidR="00AA3082" w:rsidRPr="003D7275">
          <w:rPr>
            <w:rStyle w:val="Hipersaitas"/>
            <w:noProof/>
            <w:lang w:val="lt-LT"/>
          </w:rPr>
          <w:t xml:space="preserve">Lentelė 145. </w:t>
        </w:r>
        <w:r w:rsidR="00AA3082" w:rsidRPr="003D7275">
          <w:rPr>
            <w:rStyle w:val="Hipersaitas"/>
            <w:rFonts w:cs="Georgia"/>
            <w:noProof/>
            <w:lang w:val="lt-LT"/>
          </w:rPr>
          <w:t>Savivaldybių viešųjų pastatų modernizavimo finansinio sverto efekto rodikliai pagal atskirus scenarijus</w:t>
        </w:r>
        <w:r w:rsidR="00AA3082">
          <w:rPr>
            <w:noProof/>
            <w:webHidden/>
          </w:rPr>
          <w:tab/>
        </w:r>
        <w:r w:rsidR="00AA3082">
          <w:rPr>
            <w:noProof/>
            <w:webHidden/>
          </w:rPr>
          <w:fldChar w:fldCharType="begin"/>
        </w:r>
        <w:r w:rsidR="00AA3082">
          <w:rPr>
            <w:noProof/>
            <w:webHidden/>
          </w:rPr>
          <w:instrText xml:space="preserve"> PAGEREF _Toc460321726 \h </w:instrText>
        </w:r>
        <w:r w:rsidR="00AA3082">
          <w:rPr>
            <w:noProof/>
            <w:webHidden/>
          </w:rPr>
        </w:r>
        <w:r w:rsidR="00AA3082">
          <w:rPr>
            <w:noProof/>
            <w:webHidden/>
          </w:rPr>
          <w:fldChar w:fldCharType="separate"/>
        </w:r>
        <w:r w:rsidR="00AA3082">
          <w:rPr>
            <w:noProof/>
            <w:webHidden/>
          </w:rPr>
          <w:t>186</w:t>
        </w:r>
        <w:r w:rsidR="00AA3082">
          <w:rPr>
            <w:noProof/>
            <w:webHidden/>
          </w:rPr>
          <w:fldChar w:fldCharType="end"/>
        </w:r>
      </w:hyperlink>
    </w:p>
    <w:p w14:paraId="4AC96B40" w14:textId="615B77CF" w:rsidR="00AA3082" w:rsidRDefault="00A65A8D">
      <w:pPr>
        <w:pStyle w:val="Iliustracijsraas"/>
        <w:tabs>
          <w:tab w:val="right" w:leader="dot" w:pos="9016"/>
        </w:tabs>
        <w:rPr>
          <w:rFonts w:eastAsiaTheme="minorEastAsia" w:cs="Arial Unicode MS"/>
          <w:noProof/>
          <w:lang w:bidi="lo-LA"/>
        </w:rPr>
      </w:pPr>
      <w:hyperlink w:anchor="_Toc460321727" w:history="1">
        <w:r w:rsidR="00AA3082" w:rsidRPr="003D7275">
          <w:rPr>
            <w:rStyle w:val="Hipersaitas"/>
            <w:noProof/>
            <w:lang w:val="lt-LT"/>
          </w:rPr>
          <w:t>Lentelė 146. Skirtingų scenarijų palyginimas</w:t>
        </w:r>
        <w:r w:rsidR="00AA3082">
          <w:rPr>
            <w:noProof/>
            <w:webHidden/>
          </w:rPr>
          <w:tab/>
        </w:r>
        <w:r w:rsidR="00AA3082">
          <w:rPr>
            <w:noProof/>
            <w:webHidden/>
          </w:rPr>
          <w:fldChar w:fldCharType="begin"/>
        </w:r>
        <w:r w:rsidR="00AA3082">
          <w:rPr>
            <w:noProof/>
            <w:webHidden/>
          </w:rPr>
          <w:instrText xml:space="preserve"> PAGEREF _Toc460321727 \h </w:instrText>
        </w:r>
        <w:r w:rsidR="00AA3082">
          <w:rPr>
            <w:noProof/>
            <w:webHidden/>
          </w:rPr>
        </w:r>
        <w:r w:rsidR="00AA3082">
          <w:rPr>
            <w:noProof/>
            <w:webHidden/>
          </w:rPr>
          <w:fldChar w:fldCharType="separate"/>
        </w:r>
        <w:r w:rsidR="00AA3082">
          <w:rPr>
            <w:noProof/>
            <w:webHidden/>
          </w:rPr>
          <w:t>187</w:t>
        </w:r>
        <w:r w:rsidR="00AA3082">
          <w:rPr>
            <w:noProof/>
            <w:webHidden/>
          </w:rPr>
          <w:fldChar w:fldCharType="end"/>
        </w:r>
      </w:hyperlink>
    </w:p>
    <w:p w14:paraId="2C24642C" w14:textId="1196EC5D" w:rsidR="00AA3082" w:rsidRDefault="00A65A8D">
      <w:pPr>
        <w:pStyle w:val="Iliustracijsraas"/>
        <w:tabs>
          <w:tab w:val="right" w:leader="dot" w:pos="9016"/>
        </w:tabs>
        <w:rPr>
          <w:rFonts w:eastAsiaTheme="minorEastAsia" w:cs="Arial Unicode MS"/>
          <w:noProof/>
          <w:lang w:bidi="lo-LA"/>
        </w:rPr>
      </w:pPr>
      <w:hyperlink w:anchor="_Toc460321728" w:history="1">
        <w:r w:rsidR="00AA3082" w:rsidRPr="003D7275">
          <w:rPr>
            <w:rStyle w:val="Hipersaitas"/>
            <w:noProof/>
            <w:lang w:val="lt-LT"/>
          </w:rPr>
          <w:t>Lentelė 147. Skirtingų scenarijų palyginimas</w:t>
        </w:r>
        <w:r w:rsidR="00AA3082">
          <w:rPr>
            <w:noProof/>
            <w:webHidden/>
          </w:rPr>
          <w:tab/>
        </w:r>
        <w:r w:rsidR="00AA3082">
          <w:rPr>
            <w:noProof/>
            <w:webHidden/>
          </w:rPr>
          <w:fldChar w:fldCharType="begin"/>
        </w:r>
        <w:r w:rsidR="00AA3082">
          <w:rPr>
            <w:noProof/>
            <w:webHidden/>
          </w:rPr>
          <w:instrText xml:space="preserve"> PAGEREF _Toc460321728 \h </w:instrText>
        </w:r>
        <w:r w:rsidR="00AA3082">
          <w:rPr>
            <w:noProof/>
            <w:webHidden/>
          </w:rPr>
        </w:r>
        <w:r w:rsidR="00AA3082">
          <w:rPr>
            <w:noProof/>
            <w:webHidden/>
          </w:rPr>
          <w:fldChar w:fldCharType="separate"/>
        </w:r>
        <w:r w:rsidR="00AA3082">
          <w:rPr>
            <w:noProof/>
            <w:webHidden/>
          </w:rPr>
          <w:t>189</w:t>
        </w:r>
        <w:r w:rsidR="00AA3082">
          <w:rPr>
            <w:noProof/>
            <w:webHidden/>
          </w:rPr>
          <w:fldChar w:fldCharType="end"/>
        </w:r>
      </w:hyperlink>
    </w:p>
    <w:p w14:paraId="0B23B15F" w14:textId="606E8786" w:rsidR="00AA3082" w:rsidRDefault="00A65A8D">
      <w:pPr>
        <w:pStyle w:val="Iliustracijsraas"/>
        <w:tabs>
          <w:tab w:val="right" w:leader="dot" w:pos="9016"/>
        </w:tabs>
        <w:rPr>
          <w:rFonts w:eastAsiaTheme="minorEastAsia" w:cs="Arial Unicode MS"/>
          <w:noProof/>
          <w:lang w:bidi="lo-LA"/>
        </w:rPr>
      </w:pPr>
      <w:hyperlink w:anchor="_Toc460321729" w:history="1">
        <w:r w:rsidR="00AA3082" w:rsidRPr="003D7275">
          <w:rPr>
            <w:rStyle w:val="Hipersaitas"/>
            <w:noProof/>
            <w:lang w:val="lt-LT"/>
          </w:rPr>
          <w:t>Lentelė 148. Skirtingų scenarijų palyginimas</w:t>
        </w:r>
        <w:r w:rsidR="00AA3082">
          <w:rPr>
            <w:noProof/>
            <w:webHidden/>
          </w:rPr>
          <w:tab/>
        </w:r>
        <w:r w:rsidR="00AA3082">
          <w:rPr>
            <w:noProof/>
            <w:webHidden/>
          </w:rPr>
          <w:fldChar w:fldCharType="begin"/>
        </w:r>
        <w:r w:rsidR="00AA3082">
          <w:rPr>
            <w:noProof/>
            <w:webHidden/>
          </w:rPr>
          <w:instrText xml:space="preserve"> PAGEREF _Toc460321729 \h </w:instrText>
        </w:r>
        <w:r w:rsidR="00AA3082">
          <w:rPr>
            <w:noProof/>
            <w:webHidden/>
          </w:rPr>
        </w:r>
        <w:r w:rsidR="00AA3082">
          <w:rPr>
            <w:noProof/>
            <w:webHidden/>
          </w:rPr>
          <w:fldChar w:fldCharType="separate"/>
        </w:r>
        <w:r w:rsidR="00AA3082">
          <w:rPr>
            <w:noProof/>
            <w:webHidden/>
          </w:rPr>
          <w:t>191</w:t>
        </w:r>
        <w:r w:rsidR="00AA3082">
          <w:rPr>
            <w:noProof/>
            <w:webHidden/>
          </w:rPr>
          <w:fldChar w:fldCharType="end"/>
        </w:r>
      </w:hyperlink>
    </w:p>
    <w:p w14:paraId="735844A1" w14:textId="734F5FE1" w:rsidR="00AA3082" w:rsidRDefault="00A65A8D">
      <w:pPr>
        <w:pStyle w:val="Iliustracijsraas"/>
        <w:tabs>
          <w:tab w:val="right" w:leader="dot" w:pos="9016"/>
        </w:tabs>
        <w:rPr>
          <w:rFonts w:eastAsiaTheme="minorEastAsia" w:cs="Arial Unicode MS"/>
          <w:noProof/>
          <w:lang w:bidi="lo-LA"/>
        </w:rPr>
      </w:pPr>
      <w:hyperlink w:anchor="_Toc460321730" w:history="1">
        <w:r w:rsidR="00AA3082" w:rsidRPr="003D7275">
          <w:rPr>
            <w:rStyle w:val="Hipersaitas"/>
            <w:noProof/>
            <w:lang w:val="lt-LT"/>
          </w:rPr>
          <w:t>Lentelė 149. Skirtingų scenarijų palyginimas</w:t>
        </w:r>
        <w:r w:rsidR="00AA3082">
          <w:rPr>
            <w:noProof/>
            <w:webHidden/>
          </w:rPr>
          <w:tab/>
        </w:r>
        <w:r w:rsidR="00AA3082">
          <w:rPr>
            <w:noProof/>
            <w:webHidden/>
          </w:rPr>
          <w:fldChar w:fldCharType="begin"/>
        </w:r>
        <w:r w:rsidR="00AA3082">
          <w:rPr>
            <w:noProof/>
            <w:webHidden/>
          </w:rPr>
          <w:instrText xml:space="preserve"> PAGEREF _Toc460321730 \h </w:instrText>
        </w:r>
        <w:r w:rsidR="00AA3082">
          <w:rPr>
            <w:noProof/>
            <w:webHidden/>
          </w:rPr>
        </w:r>
        <w:r w:rsidR="00AA3082">
          <w:rPr>
            <w:noProof/>
            <w:webHidden/>
          </w:rPr>
          <w:fldChar w:fldCharType="separate"/>
        </w:r>
        <w:r w:rsidR="00AA3082">
          <w:rPr>
            <w:noProof/>
            <w:webHidden/>
          </w:rPr>
          <w:t>192</w:t>
        </w:r>
        <w:r w:rsidR="00AA3082">
          <w:rPr>
            <w:noProof/>
            <w:webHidden/>
          </w:rPr>
          <w:fldChar w:fldCharType="end"/>
        </w:r>
      </w:hyperlink>
    </w:p>
    <w:p w14:paraId="1C4DBA65" w14:textId="24B1E8FF" w:rsidR="00AA3082" w:rsidRDefault="00A65A8D">
      <w:pPr>
        <w:pStyle w:val="Iliustracijsraas"/>
        <w:tabs>
          <w:tab w:val="right" w:leader="dot" w:pos="9016"/>
        </w:tabs>
        <w:rPr>
          <w:rFonts w:eastAsiaTheme="minorEastAsia" w:cs="Arial Unicode MS"/>
          <w:noProof/>
          <w:lang w:bidi="lo-LA"/>
        </w:rPr>
      </w:pPr>
      <w:hyperlink w:anchor="_Toc460321731" w:history="1">
        <w:r w:rsidR="00AA3082" w:rsidRPr="003D7275">
          <w:rPr>
            <w:rStyle w:val="Hipersaitas"/>
            <w:noProof/>
            <w:lang w:val="lt-LT"/>
          </w:rPr>
          <w:t>Lentelė 150. Finansinių priemonių įgyvendinimo finansinė pažanga.</w:t>
        </w:r>
        <w:r w:rsidR="00AA3082">
          <w:rPr>
            <w:noProof/>
            <w:webHidden/>
          </w:rPr>
          <w:tab/>
        </w:r>
        <w:r w:rsidR="00AA3082">
          <w:rPr>
            <w:noProof/>
            <w:webHidden/>
          </w:rPr>
          <w:fldChar w:fldCharType="begin"/>
        </w:r>
        <w:r w:rsidR="00AA3082">
          <w:rPr>
            <w:noProof/>
            <w:webHidden/>
          </w:rPr>
          <w:instrText xml:space="preserve"> PAGEREF _Toc460321731 \h </w:instrText>
        </w:r>
        <w:r w:rsidR="00AA3082">
          <w:rPr>
            <w:noProof/>
            <w:webHidden/>
          </w:rPr>
        </w:r>
        <w:r w:rsidR="00AA3082">
          <w:rPr>
            <w:noProof/>
            <w:webHidden/>
          </w:rPr>
          <w:fldChar w:fldCharType="separate"/>
        </w:r>
        <w:r w:rsidR="00AA3082">
          <w:rPr>
            <w:noProof/>
            <w:webHidden/>
          </w:rPr>
          <w:t>221</w:t>
        </w:r>
        <w:r w:rsidR="00AA3082">
          <w:rPr>
            <w:noProof/>
            <w:webHidden/>
          </w:rPr>
          <w:fldChar w:fldCharType="end"/>
        </w:r>
      </w:hyperlink>
    </w:p>
    <w:p w14:paraId="6CF4695D" w14:textId="1D5A710B" w:rsidR="00AA3082" w:rsidRDefault="00A65A8D">
      <w:pPr>
        <w:pStyle w:val="Iliustracijsraas"/>
        <w:tabs>
          <w:tab w:val="right" w:leader="dot" w:pos="9016"/>
        </w:tabs>
        <w:rPr>
          <w:rFonts w:eastAsiaTheme="minorEastAsia" w:cs="Arial Unicode MS"/>
          <w:noProof/>
          <w:lang w:bidi="lo-LA"/>
        </w:rPr>
      </w:pPr>
      <w:hyperlink w:anchor="_Toc460321732" w:history="1">
        <w:r w:rsidR="00AA3082" w:rsidRPr="003D7275">
          <w:rPr>
            <w:rStyle w:val="Hipersaitas"/>
            <w:noProof/>
            <w:lang w:val="lt-LT"/>
          </w:rPr>
          <w:t>Lentelė 151</w:t>
        </w:r>
        <w:r w:rsidR="00AA3082" w:rsidRPr="003D7275">
          <w:rPr>
            <w:rStyle w:val="Hipersaitas"/>
            <w:iCs/>
            <w:noProof/>
            <w:lang w:val="lt-LT"/>
          </w:rPr>
          <w:t xml:space="preserve">. </w:t>
        </w:r>
        <w:r w:rsidR="00AA3082" w:rsidRPr="003D7275">
          <w:rPr>
            <w:rStyle w:val="Hipersaitas"/>
            <w:noProof/>
            <w:lang w:val="lt-LT"/>
          </w:rPr>
          <w:t>Energijos efektyvumo/atsinaujinančių energijos išteklių projektus finansuojančios finansinės priemonės</w:t>
        </w:r>
        <w:r w:rsidR="00AA3082">
          <w:rPr>
            <w:noProof/>
            <w:webHidden/>
          </w:rPr>
          <w:tab/>
        </w:r>
        <w:r w:rsidR="00AA3082">
          <w:rPr>
            <w:noProof/>
            <w:webHidden/>
          </w:rPr>
          <w:fldChar w:fldCharType="begin"/>
        </w:r>
        <w:r w:rsidR="00AA3082">
          <w:rPr>
            <w:noProof/>
            <w:webHidden/>
          </w:rPr>
          <w:instrText xml:space="preserve"> PAGEREF _Toc460321732 \h </w:instrText>
        </w:r>
        <w:r w:rsidR="00AA3082">
          <w:rPr>
            <w:noProof/>
            <w:webHidden/>
          </w:rPr>
        </w:r>
        <w:r w:rsidR="00AA3082">
          <w:rPr>
            <w:noProof/>
            <w:webHidden/>
          </w:rPr>
          <w:fldChar w:fldCharType="separate"/>
        </w:r>
        <w:r w:rsidR="00AA3082">
          <w:rPr>
            <w:noProof/>
            <w:webHidden/>
          </w:rPr>
          <w:t>222</w:t>
        </w:r>
        <w:r w:rsidR="00AA3082">
          <w:rPr>
            <w:noProof/>
            <w:webHidden/>
          </w:rPr>
          <w:fldChar w:fldCharType="end"/>
        </w:r>
      </w:hyperlink>
    </w:p>
    <w:p w14:paraId="777B0938" w14:textId="17A4B42E" w:rsidR="00AA3082" w:rsidRDefault="00A65A8D">
      <w:pPr>
        <w:pStyle w:val="Iliustracijsraas"/>
        <w:tabs>
          <w:tab w:val="right" w:leader="dot" w:pos="9016"/>
        </w:tabs>
        <w:rPr>
          <w:rFonts w:eastAsiaTheme="minorEastAsia" w:cs="Arial Unicode MS"/>
          <w:noProof/>
          <w:lang w:bidi="lo-LA"/>
        </w:rPr>
      </w:pPr>
      <w:hyperlink w:anchor="_Toc460321733" w:history="1">
        <w:r w:rsidR="00AA3082" w:rsidRPr="003D7275">
          <w:rPr>
            <w:rStyle w:val="Hipersaitas"/>
            <w:noProof/>
            <w:lang w:val="lt-LT"/>
          </w:rPr>
          <w:t>Lentelė 152</w:t>
        </w:r>
        <w:r w:rsidR="00AA3082" w:rsidRPr="003D7275">
          <w:rPr>
            <w:rStyle w:val="Hipersaitas"/>
            <w:iCs/>
            <w:noProof/>
            <w:lang w:val="lt-LT"/>
          </w:rPr>
          <w:t xml:space="preserve">. </w:t>
        </w:r>
        <w:r w:rsidR="00AA3082" w:rsidRPr="003D7275">
          <w:rPr>
            <w:rStyle w:val="Hipersaitas"/>
            <w:noProof/>
            <w:lang w:val="lt-LT"/>
          </w:rPr>
          <w:t>Energijos efektyvumo ir atsinaujinančių energijos išteklių projektų finansavimas pagal siūlomų produktų tipus ir išmokėtas lėšas.</w:t>
        </w:r>
        <w:r w:rsidR="00AA3082">
          <w:rPr>
            <w:noProof/>
            <w:webHidden/>
          </w:rPr>
          <w:tab/>
        </w:r>
        <w:r w:rsidR="00AA3082">
          <w:rPr>
            <w:noProof/>
            <w:webHidden/>
          </w:rPr>
          <w:fldChar w:fldCharType="begin"/>
        </w:r>
        <w:r w:rsidR="00AA3082">
          <w:rPr>
            <w:noProof/>
            <w:webHidden/>
          </w:rPr>
          <w:instrText xml:space="preserve"> PAGEREF _Toc460321733 \h </w:instrText>
        </w:r>
        <w:r w:rsidR="00AA3082">
          <w:rPr>
            <w:noProof/>
            <w:webHidden/>
          </w:rPr>
        </w:r>
        <w:r w:rsidR="00AA3082">
          <w:rPr>
            <w:noProof/>
            <w:webHidden/>
          </w:rPr>
          <w:fldChar w:fldCharType="separate"/>
        </w:r>
        <w:r w:rsidR="00AA3082">
          <w:rPr>
            <w:noProof/>
            <w:webHidden/>
          </w:rPr>
          <w:t>223</w:t>
        </w:r>
        <w:r w:rsidR="00AA3082">
          <w:rPr>
            <w:noProof/>
            <w:webHidden/>
          </w:rPr>
          <w:fldChar w:fldCharType="end"/>
        </w:r>
      </w:hyperlink>
    </w:p>
    <w:p w14:paraId="461DB409" w14:textId="18E1C3B0" w:rsidR="00AA3082" w:rsidRDefault="00A65A8D">
      <w:pPr>
        <w:pStyle w:val="Iliustracijsraas"/>
        <w:tabs>
          <w:tab w:val="right" w:leader="dot" w:pos="9016"/>
        </w:tabs>
        <w:rPr>
          <w:rFonts w:eastAsiaTheme="minorEastAsia" w:cs="Arial Unicode MS"/>
          <w:noProof/>
          <w:lang w:bidi="lo-LA"/>
        </w:rPr>
      </w:pPr>
      <w:hyperlink w:anchor="_Toc460321734" w:history="1">
        <w:r w:rsidR="00AA3082" w:rsidRPr="003D7275">
          <w:rPr>
            <w:rStyle w:val="Hipersaitas"/>
            <w:noProof/>
          </w:rPr>
          <w:t xml:space="preserve">Lentelė 153. </w:t>
        </w:r>
        <w:r w:rsidR="00AA3082" w:rsidRPr="003D7275">
          <w:rPr>
            <w:rStyle w:val="Hipersaitas"/>
            <w:noProof/>
            <w:lang w:val="lt-LT"/>
          </w:rPr>
          <w:t>Fondo veiklos 1 alternatyvos privalumų ir trūkumų palygimas</w:t>
        </w:r>
        <w:r w:rsidR="00AA3082">
          <w:rPr>
            <w:noProof/>
            <w:webHidden/>
          </w:rPr>
          <w:tab/>
        </w:r>
        <w:r w:rsidR="00AA3082">
          <w:rPr>
            <w:noProof/>
            <w:webHidden/>
          </w:rPr>
          <w:fldChar w:fldCharType="begin"/>
        </w:r>
        <w:r w:rsidR="00AA3082">
          <w:rPr>
            <w:noProof/>
            <w:webHidden/>
          </w:rPr>
          <w:instrText xml:space="preserve"> PAGEREF _Toc460321734 \h </w:instrText>
        </w:r>
        <w:r w:rsidR="00AA3082">
          <w:rPr>
            <w:noProof/>
            <w:webHidden/>
          </w:rPr>
        </w:r>
        <w:r w:rsidR="00AA3082">
          <w:rPr>
            <w:noProof/>
            <w:webHidden/>
          </w:rPr>
          <w:fldChar w:fldCharType="separate"/>
        </w:r>
        <w:r w:rsidR="00AA3082">
          <w:rPr>
            <w:noProof/>
            <w:webHidden/>
          </w:rPr>
          <w:t>241</w:t>
        </w:r>
        <w:r w:rsidR="00AA3082">
          <w:rPr>
            <w:noProof/>
            <w:webHidden/>
          </w:rPr>
          <w:fldChar w:fldCharType="end"/>
        </w:r>
      </w:hyperlink>
    </w:p>
    <w:p w14:paraId="7C909F7F" w14:textId="0E813E55" w:rsidR="00AA3082" w:rsidRDefault="00A65A8D">
      <w:pPr>
        <w:pStyle w:val="Iliustracijsraas"/>
        <w:tabs>
          <w:tab w:val="right" w:leader="dot" w:pos="9016"/>
        </w:tabs>
        <w:rPr>
          <w:rFonts w:eastAsiaTheme="minorEastAsia" w:cs="Arial Unicode MS"/>
          <w:noProof/>
          <w:lang w:bidi="lo-LA"/>
        </w:rPr>
      </w:pPr>
      <w:hyperlink w:anchor="_Toc460321735" w:history="1">
        <w:r w:rsidR="00AA3082" w:rsidRPr="003D7275">
          <w:rPr>
            <w:rStyle w:val="Hipersaitas"/>
            <w:noProof/>
            <w:lang w:val="lt-LT"/>
          </w:rPr>
          <w:t>Lentelė 154. Fondo veiklos 2 alternatyvos privalumų ir trūkumų palygimas</w:t>
        </w:r>
        <w:r w:rsidR="00AA3082">
          <w:rPr>
            <w:noProof/>
            <w:webHidden/>
          </w:rPr>
          <w:tab/>
        </w:r>
        <w:r w:rsidR="00AA3082">
          <w:rPr>
            <w:noProof/>
            <w:webHidden/>
          </w:rPr>
          <w:fldChar w:fldCharType="begin"/>
        </w:r>
        <w:r w:rsidR="00AA3082">
          <w:rPr>
            <w:noProof/>
            <w:webHidden/>
          </w:rPr>
          <w:instrText xml:space="preserve"> PAGEREF _Toc460321735 \h </w:instrText>
        </w:r>
        <w:r w:rsidR="00AA3082">
          <w:rPr>
            <w:noProof/>
            <w:webHidden/>
          </w:rPr>
        </w:r>
        <w:r w:rsidR="00AA3082">
          <w:rPr>
            <w:noProof/>
            <w:webHidden/>
          </w:rPr>
          <w:fldChar w:fldCharType="separate"/>
        </w:r>
        <w:r w:rsidR="00AA3082">
          <w:rPr>
            <w:noProof/>
            <w:webHidden/>
          </w:rPr>
          <w:t>242</w:t>
        </w:r>
        <w:r w:rsidR="00AA3082">
          <w:rPr>
            <w:noProof/>
            <w:webHidden/>
          </w:rPr>
          <w:fldChar w:fldCharType="end"/>
        </w:r>
      </w:hyperlink>
    </w:p>
    <w:p w14:paraId="5343D05C" w14:textId="200CA787" w:rsidR="00AA3082" w:rsidRDefault="00A65A8D">
      <w:pPr>
        <w:pStyle w:val="Iliustracijsraas"/>
        <w:tabs>
          <w:tab w:val="right" w:leader="dot" w:pos="9016"/>
        </w:tabs>
        <w:rPr>
          <w:rFonts w:eastAsiaTheme="minorEastAsia" w:cs="Arial Unicode MS"/>
          <w:noProof/>
          <w:lang w:bidi="lo-LA"/>
        </w:rPr>
      </w:pPr>
      <w:hyperlink w:anchor="_Toc460321736" w:history="1">
        <w:r w:rsidR="00AA3082" w:rsidRPr="003D7275">
          <w:rPr>
            <w:rStyle w:val="Hipersaitas"/>
            <w:noProof/>
          </w:rPr>
          <w:t xml:space="preserve">Lentelė 155. </w:t>
        </w:r>
        <w:r w:rsidR="00AA3082" w:rsidRPr="003D7275">
          <w:rPr>
            <w:rStyle w:val="Hipersaitas"/>
            <w:noProof/>
            <w:lang w:val="lt-LT"/>
          </w:rPr>
          <w:t>Fondo veiklos 3 alternatyvos privalumų ir trūkumų palygimas.</w:t>
        </w:r>
        <w:r w:rsidR="00AA3082">
          <w:rPr>
            <w:noProof/>
            <w:webHidden/>
          </w:rPr>
          <w:tab/>
        </w:r>
        <w:r w:rsidR="00AA3082">
          <w:rPr>
            <w:noProof/>
            <w:webHidden/>
          </w:rPr>
          <w:fldChar w:fldCharType="begin"/>
        </w:r>
        <w:r w:rsidR="00AA3082">
          <w:rPr>
            <w:noProof/>
            <w:webHidden/>
          </w:rPr>
          <w:instrText xml:space="preserve"> PAGEREF _Toc460321736 \h </w:instrText>
        </w:r>
        <w:r w:rsidR="00AA3082">
          <w:rPr>
            <w:noProof/>
            <w:webHidden/>
          </w:rPr>
        </w:r>
        <w:r w:rsidR="00AA3082">
          <w:rPr>
            <w:noProof/>
            <w:webHidden/>
          </w:rPr>
          <w:fldChar w:fldCharType="separate"/>
        </w:r>
        <w:r w:rsidR="00AA3082">
          <w:rPr>
            <w:noProof/>
            <w:webHidden/>
          </w:rPr>
          <w:t>243</w:t>
        </w:r>
        <w:r w:rsidR="00AA3082">
          <w:rPr>
            <w:noProof/>
            <w:webHidden/>
          </w:rPr>
          <w:fldChar w:fldCharType="end"/>
        </w:r>
      </w:hyperlink>
    </w:p>
    <w:p w14:paraId="6B9D31C3" w14:textId="5FD9D6D1" w:rsidR="00AA3082" w:rsidRDefault="00A65A8D">
      <w:pPr>
        <w:pStyle w:val="Iliustracijsraas"/>
        <w:tabs>
          <w:tab w:val="right" w:leader="dot" w:pos="9016"/>
        </w:tabs>
        <w:rPr>
          <w:rFonts w:eastAsiaTheme="minorEastAsia" w:cs="Arial Unicode MS"/>
          <w:noProof/>
          <w:lang w:bidi="lo-LA"/>
        </w:rPr>
      </w:pPr>
      <w:hyperlink w:anchor="_Toc460321737" w:history="1">
        <w:r w:rsidR="00AA3082" w:rsidRPr="003D7275">
          <w:rPr>
            <w:rStyle w:val="Hipersaitas"/>
            <w:noProof/>
            <w:lang w:val="lt-LT"/>
          </w:rPr>
          <w:t>Lentelė 156. Tikėtini finansinės priemonės rezultatai.</w:t>
        </w:r>
        <w:r w:rsidR="00AA3082">
          <w:rPr>
            <w:noProof/>
            <w:webHidden/>
          </w:rPr>
          <w:tab/>
        </w:r>
        <w:r w:rsidR="00AA3082">
          <w:rPr>
            <w:noProof/>
            <w:webHidden/>
          </w:rPr>
          <w:fldChar w:fldCharType="begin"/>
        </w:r>
        <w:r w:rsidR="00AA3082">
          <w:rPr>
            <w:noProof/>
            <w:webHidden/>
          </w:rPr>
          <w:instrText xml:space="preserve"> PAGEREF _Toc460321737 \h </w:instrText>
        </w:r>
        <w:r w:rsidR="00AA3082">
          <w:rPr>
            <w:noProof/>
            <w:webHidden/>
          </w:rPr>
        </w:r>
        <w:r w:rsidR="00AA3082">
          <w:rPr>
            <w:noProof/>
            <w:webHidden/>
          </w:rPr>
          <w:fldChar w:fldCharType="separate"/>
        </w:r>
        <w:r w:rsidR="00AA3082">
          <w:rPr>
            <w:noProof/>
            <w:webHidden/>
          </w:rPr>
          <w:t>253</w:t>
        </w:r>
        <w:r w:rsidR="00AA3082">
          <w:rPr>
            <w:noProof/>
            <w:webHidden/>
          </w:rPr>
          <w:fldChar w:fldCharType="end"/>
        </w:r>
      </w:hyperlink>
    </w:p>
    <w:p w14:paraId="088AE59A" w14:textId="5351251B" w:rsidR="00AA3082" w:rsidRDefault="00A65A8D">
      <w:pPr>
        <w:pStyle w:val="Iliustracijsraas"/>
        <w:tabs>
          <w:tab w:val="right" w:leader="dot" w:pos="9016"/>
        </w:tabs>
        <w:rPr>
          <w:rFonts w:eastAsiaTheme="minorEastAsia" w:cs="Arial Unicode MS"/>
          <w:noProof/>
          <w:lang w:bidi="lo-LA"/>
        </w:rPr>
      </w:pPr>
      <w:hyperlink w:anchor="_Toc460321738" w:history="1">
        <w:r w:rsidR="00AA3082" w:rsidRPr="003D7275">
          <w:rPr>
            <w:rStyle w:val="Hipersaitas"/>
            <w:noProof/>
            <w:lang w:val="lt-LT"/>
          </w:rPr>
          <w:t>Lentelė 157. Tikėtini daugiabučių renovacijos</w:t>
        </w:r>
        <w:r w:rsidR="00AA3082" w:rsidRPr="003D7275">
          <w:rPr>
            <w:rStyle w:val="Hipersaitas"/>
            <w:rFonts w:eastAsia="Times New Roman"/>
            <w:noProof/>
            <w:lang w:val="lt-LT" w:eastAsia="lt-LT"/>
          </w:rPr>
          <w:t xml:space="preserve"> </w:t>
        </w:r>
        <w:r w:rsidR="00AA3082" w:rsidRPr="003D7275">
          <w:rPr>
            <w:rStyle w:val="Hipersaitas"/>
            <w:noProof/>
            <w:lang w:val="lt-LT"/>
          </w:rPr>
          <w:t>energijos sutaupymo ir taršos mažinimo rezultatai.</w:t>
        </w:r>
        <w:r w:rsidR="00AA3082">
          <w:rPr>
            <w:noProof/>
            <w:webHidden/>
          </w:rPr>
          <w:tab/>
        </w:r>
        <w:r w:rsidR="00AA3082">
          <w:rPr>
            <w:noProof/>
            <w:webHidden/>
          </w:rPr>
          <w:fldChar w:fldCharType="begin"/>
        </w:r>
        <w:r w:rsidR="00AA3082">
          <w:rPr>
            <w:noProof/>
            <w:webHidden/>
          </w:rPr>
          <w:instrText xml:space="preserve"> PAGEREF _Toc460321738 \h </w:instrText>
        </w:r>
        <w:r w:rsidR="00AA3082">
          <w:rPr>
            <w:noProof/>
            <w:webHidden/>
          </w:rPr>
        </w:r>
        <w:r w:rsidR="00AA3082">
          <w:rPr>
            <w:noProof/>
            <w:webHidden/>
          </w:rPr>
          <w:fldChar w:fldCharType="separate"/>
        </w:r>
        <w:r w:rsidR="00AA3082">
          <w:rPr>
            <w:noProof/>
            <w:webHidden/>
          </w:rPr>
          <w:t>255</w:t>
        </w:r>
        <w:r w:rsidR="00AA3082">
          <w:rPr>
            <w:noProof/>
            <w:webHidden/>
          </w:rPr>
          <w:fldChar w:fldCharType="end"/>
        </w:r>
      </w:hyperlink>
    </w:p>
    <w:p w14:paraId="5396FDD1" w14:textId="41E3C6B6" w:rsidR="00AA3082" w:rsidRDefault="00A65A8D">
      <w:pPr>
        <w:pStyle w:val="Iliustracijsraas"/>
        <w:tabs>
          <w:tab w:val="right" w:leader="dot" w:pos="9016"/>
        </w:tabs>
        <w:rPr>
          <w:rFonts w:eastAsiaTheme="minorEastAsia" w:cs="Arial Unicode MS"/>
          <w:noProof/>
          <w:lang w:bidi="lo-LA"/>
        </w:rPr>
      </w:pPr>
      <w:hyperlink w:anchor="_Toc460321739" w:history="1">
        <w:r w:rsidR="00AA3082" w:rsidRPr="003D7275">
          <w:rPr>
            <w:rStyle w:val="Hipersaitas"/>
            <w:noProof/>
            <w:lang w:val="lt-LT"/>
          </w:rPr>
          <w:t>Lentelė 158. Pirmosios fondo kūrimo alternatyvos viešiesiems pastatams ir gatvių apšvietimui privalumų ir trūkumų palyginimas.</w:t>
        </w:r>
        <w:r w:rsidR="00AA3082">
          <w:rPr>
            <w:noProof/>
            <w:webHidden/>
          </w:rPr>
          <w:tab/>
        </w:r>
        <w:r w:rsidR="00AA3082">
          <w:rPr>
            <w:noProof/>
            <w:webHidden/>
          </w:rPr>
          <w:fldChar w:fldCharType="begin"/>
        </w:r>
        <w:r w:rsidR="00AA3082">
          <w:rPr>
            <w:noProof/>
            <w:webHidden/>
          </w:rPr>
          <w:instrText xml:space="preserve"> PAGEREF _Toc460321739 \h </w:instrText>
        </w:r>
        <w:r w:rsidR="00AA3082">
          <w:rPr>
            <w:noProof/>
            <w:webHidden/>
          </w:rPr>
        </w:r>
        <w:r w:rsidR="00AA3082">
          <w:rPr>
            <w:noProof/>
            <w:webHidden/>
          </w:rPr>
          <w:fldChar w:fldCharType="separate"/>
        </w:r>
        <w:r w:rsidR="00AA3082">
          <w:rPr>
            <w:noProof/>
            <w:webHidden/>
          </w:rPr>
          <w:t>266</w:t>
        </w:r>
        <w:r w:rsidR="00AA3082">
          <w:rPr>
            <w:noProof/>
            <w:webHidden/>
          </w:rPr>
          <w:fldChar w:fldCharType="end"/>
        </w:r>
      </w:hyperlink>
    </w:p>
    <w:p w14:paraId="62940F98" w14:textId="0593E9FC" w:rsidR="00AA3082" w:rsidRDefault="00A65A8D">
      <w:pPr>
        <w:pStyle w:val="Iliustracijsraas"/>
        <w:tabs>
          <w:tab w:val="right" w:leader="dot" w:pos="9016"/>
        </w:tabs>
        <w:rPr>
          <w:rFonts w:eastAsiaTheme="minorEastAsia" w:cs="Arial Unicode MS"/>
          <w:noProof/>
          <w:lang w:bidi="lo-LA"/>
        </w:rPr>
      </w:pPr>
      <w:hyperlink w:anchor="_Toc460321740" w:history="1">
        <w:r w:rsidR="00AA3082" w:rsidRPr="003D7275">
          <w:rPr>
            <w:rStyle w:val="Hipersaitas"/>
            <w:noProof/>
            <w:lang w:val="lt-LT"/>
          </w:rPr>
          <w:t>Lentelė 159. Antrosios fondo kūrimo alternatyvos viešiesiems pastatams ir gatvių apšvietimui privalumų ir trūkumų palyginimas</w:t>
        </w:r>
        <w:r w:rsidR="00AA3082">
          <w:rPr>
            <w:noProof/>
            <w:webHidden/>
          </w:rPr>
          <w:tab/>
        </w:r>
        <w:r w:rsidR="00AA3082">
          <w:rPr>
            <w:noProof/>
            <w:webHidden/>
          </w:rPr>
          <w:fldChar w:fldCharType="begin"/>
        </w:r>
        <w:r w:rsidR="00AA3082">
          <w:rPr>
            <w:noProof/>
            <w:webHidden/>
          </w:rPr>
          <w:instrText xml:space="preserve"> PAGEREF _Toc460321740 \h </w:instrText>
        </w:r>
        <w:r w:rsidR="00AA3082">
          <w:rPr>
            <w:noProof/>
            <w:webHidden/>
          </w:rPr>
        </w:r>
        <w:r w:rsidR="00AA3082">
          <w:rPr>
            <w:noProof/>
            <w:webHidden/>
          </w:rPr>
          <w:fldChar w:fldCharType="separate"/>
        </w:r>
        <w:r w:rsidR="00AA3082">
          <w:rPr>
            <w:noProof/>
            <w:webHidden/>
          </w:rPr>
          <w:t>268</w:t>
        </w:r>
        <w:r w:rsidR="00AA3082">
          <w:rPr>
            <w:noProof/>
            <w:webHidden/>
          </w:rPr>
          <w:fldChar w:fldCharType="end"/>
        </w:r>
      </w:hyperlink>
    </w:p>
    <w:p w14:paraId="65271DCC" w14:textId="5D2B6141" w:rsidR="00AA3082" w:rsidRDefault="00A65A8D">
      <w:pPr>
        <w:pStyle w:val="Iliustracijsraas"/>
        <w:tabs>
          <w:tab w:val="right" w:leader="dot" w:pos="9016"/>
        </w:tabs>
        <w:rPr>
          <w:rFonts w:eastAsiaTheme="minorEastAsia" w:cs="Arial Unicode MS"/>
          <w:noProof/>
          <w:lang w:bidi="lo-LA"/>
        </w:rPr>
      </w:pPr>
      <w:hyperlink w:anchor="_Toc460321741" w:history="1">
        <w:r w:rsidR="00AA3082" w:rsidRPr="003D7275">
          <w:rPr>
            <w:rStyle w:val="Hipersaitas"/>
            <w:noProof/>
            <w:lang w:val="lt-LT"/>
          </w:rPr>
          <w:t>Lentelė 160. Trečiosios fondo kūrimo alternatyvos viešiesiems pastatams ir gatvių apšvietimui privalumų ir trūkumų palyginimas</w:t>
        </w:r>
        <w:r w:rsidR="00AA3082">
          <w:rPr>
            <w:noProof/>
            <w:webHidden/>
          </w:rPr>
          <w:tab/>
        </w:r>
        <w:r w:rsidR="00AA3082">
          <w:rPr>
            <w:noProof/>
            <w:webHidden/>
          </w:rPr>
          <w:fldChar w:fldCharType="begin"/>
        </w:r>
        <w:r w:rsidR="00AA3082">
          <w:rPr>
            <w:noProof/>
            <w:webHidden/>
          </w:rPr>
          <w:instrText xml:space="preserve"> PAGEREF _Toc460321741 \h </w:instrText>
        </w:r>
        <w:r w:rsidR="00AA3082">
          <w:rPr>
            <w:noProof/>
            <w:webHidden/>
          </w:rPr>
        </w:r>
        <w:r w:rsidR="00AA3082">
          <w:rPr>
            <w:noProof/>
            <w:webHidden/>
          </w:rPr>
          <w:fldChar w:fldCharType="separate"/>
        </w:r>
        <w:r w:rsidR="00AA3082">
          <w:rPr>
            <w:noProof/>
            <w:webHidden/>
          </w:rPr>
          <w:t>269</w:t>
        </w:r>
        <w:r w:rsidR="00AA3082">
          <w:rPr>
            <w:noProof/>
            <w:webHidden/>
          </w:rPr>
          <w:fldChar w:fldCharType="end"/>
        </w:r>
      </w:hyperlink>
    </w:p>
    <w:p w14:paraId="28AF044F" w14:textId="4839663D" w:rsidR="00AA3082" w:rsidRDefault="00A65A8D">
      <w:pPr>
        <w:pStyle w:val="Iliustracijsraas"/>
        <w:tabs>
          <w:tab w:val="right" w:leader="dot" w:pos="9016"/>
        </w:tabs>
        <w:rPr>
          <w:rFonts w:eastAsiaTheme="minorEastAsia" w:cs="Arial Unicode MS"/>
          <w:noProof/>
          <w:lang w:bidi="lo-LA"/>
        </w:rPr>
      </w:pPr>
      <w:hyperlink w:anchor="_Toc460321742" w:history="1">
        <w:r w:rsidR="00AA3082" w:rsidRPr="003D7275">
          <w:rPr>
            <w:rStyle w:val="Hipersaitas"/>
            <w:noProof/>
            <w:lang w:val="lt-LT"/>
          </w:rPr>
          <w:t>Lentelė 161. Tikėtini finansinės priemonės rezultatai centrinės valdžios pastatų renovacijai.</w:t>
        </w:r>
        <w:r w:rsidR="00AA3082">
          <w:rPr>
            <w:noProof/>
            <w:webHidden/>
          </w:rPr>
          <w:tab/>
        </w:r>
        <w:r w:rsidR="00AA3082">
          <w:rPr>
            <w:noProof/>
            <w:webHidden/>
          </w:rPr>
          <w:fldChar w:fldCharType="begin"/>
        </w:r>
        <w:r w:rsidR="00AA3082">
          <w:rPr>
            <w:noProof/>
            <w:webHidden/>
          </w:rPr>
          <w:instrText xml:space="preserve"> PAGEREF _Toc460321742 \h </w:instrText>
        </w:r>
        <w:r w:rsidR="00AA3082">
          <w:rPr>
            <w:noProof/>
            <w:webHidden/>
          </w:rPr>
        </w:r>
        <w:r w:rsidR="00AA3082">
          <w:rPr>
            <w:noProof/>
            <w:webHidden/>
          </w:rPr>
          <w:fldChar w:fldCharType="separate"/>
        </w:r>
        <w:r w:rsidR="00AA3082">
          <w:rPr>
            <w:noProof/>
            <w:webHidden/>
          </w:rPr>
          <w:t>274</w:t>
        </w:r>
        <w:r w:rsidR="00AA3082">
          <w:rPr>
            <w:noProof/>
            <w:webHidden/>
          </w:rPr>
          <w:fldChar w:fldCharType="end"/>
        </w:r>
      </w:hyperlink>
    </w:p>
    <w:p w14:paraId="5D452570" w14:textId="4F398424" w:rsidR="00AA3082" w:rsidRDefault="00A65A8D">
      <w:pPr>
        <w:pStyle w:val="Iliustracijsraas"/>
        <w:tabs>
          <w:tab w:val="right" w:leader="dot" w:pos="9016"/>
        </w:tabs>
        <w:rPr>
          <w:rFonts w:eastAsiaTheme="minorEastAsia" w:cs="Arial Unicode MS"/>
          <w:noProof/>
          <w:lang w:bidi="lo-LA"/>
        </w:rPr>
      </w:pPr>
      <w:hyperlink w:anchor="_Toc460321743" w:history="1">
        <w:r w:rsidR="00AA3082" w:rsidRPr="003D7275">
          <w:rPr>
            <w:rStyle w:val="Hipersaitas"/>
            <w:noProof/>
            <w:lang w:val="lt-LT"/>
          </w:rPr>
          <w:t>Lentelė 162. Tikėtini finansinės priemonės rezultatai gatvių apšvietimui.</w:t>
        </w:r>
        <w:r w:rsidR="00AA3082">
          <w:rPr>
            <w:noProof/>
            <w:webHidden/>
          </w:rPr>
          <w:tab/>
        </w:r>
        <w:r w:rsidR="00AA3082">
          <w:rPr>
            <w:noProof/>
            <w:webHidden/>
          </w:rPr>
          <w:fldChar w:fldCharType="begin"/>
        </w:r>
        <w:r w:rsidR="00AA3082">
          <w:rPr>
            <w:noProof/>
            <w:webHidden/>
          </w:rPr>
          <w:instrText xml:space="preserve"> PAGEREF _Toc460321743 \h </w:instrText>
        </w:r>
        <w:r w:rsidR="00AA3082">
          <w:rPr>
            <w:noProof/>
            <w:webHidden/>
          </w:rPr>
        </w:r>
        <w:r w:rsidR="00AA3082">
          <w:rPr>
            <w:noProof/>
            <w:webHidden/>
          </w:rPr>
          <w:fldChar w:fldCharType="separate"/>
        </w:r>
        <w:r w:rsidR="00AA3082">
          <w:rPr>
            <w:noProof/>
            <w:webHidden/>
          </w:rPr>
          <w:t>274</w:t>
        </w:r>
        <w:r w:rsidR="00AA3082">
          <w:rPr>
            <w:noProof/>
            <w:webHidden/>
          </w:rPr>
          <w:fldChar w:fldCharType="end"/>
        </w:r>
      </w:hyperlink>
    </w:p>
    <w:p w14:paraId="40BA1241" w14:textId="1F86DB7B" w:rsidR="00AA3082" w:rsidRDefault="00A65A8D">
      <w:pPr>
        <w:pStyle w:val="Iliustracijsraas"/>
        <w:tabs>
          <w:tab w:val="right" w:leader="dot" w:pos="9016"/>
        </w:tabs>
        <w:rPr>
          <w:rFonts w:eastAsiaTheme="minorEastAsia" w:cs="Arial Unicode MS"/>
          <w:noProof/>
          <w:lang w:bidi="lo-LA"/>
        </w:rPr>
      </w:pPr>
      <w:hyperlink w:anchor="_Toc460321744" w:history="1">
        <w:r w:rsidR="00AA3082" w:rsidRPr="003D7275">
          <w:rPr>
            <w:rStyle w:val="Hipersaitas"/>
            <w:noProof/>
            <w:lang w:val="lt-LT"/>
          </w:rPr>
          <w:t>Lentelė 163. Tikėtini centrinės valdžios pastatų renovacijos energijos sutaupymo ir taršos mažinimo rezultatai.</w:t>
        </w:r>
        <w:r w:rsidR="00AA3082">
          <w:rPr>
            <w:noProof/>
            <w:webHidden/>
          </w:rPr>
          <w:tab/>
        </w:r>
        <w:r w:rsidR="00AA3082">
          <w:rPr>
            <w:noProof/>
            <w:webHidden/>
          </w:rPr>
          <w:fldChar w:fldCharType="begin"/>
        </w:r>
        <w:r w:rsidR="00AA3082">
          <w:rPr>
            <w:noProof/>
            <w:webHidden/>
          </w:rPr>
          <w:instrText xml:space="preserve"> PAGEREF _Toc460321744 \h </w:instrText>
        </w:r>
        <w:r w:rsidR="00AA3082">
          <w:rPr>
            <w:noProof/>
            <w:webHidden/>
          </w:rPr>
        </w:r>
        <w:r w:rsidR="00AA3082">
          <w:rPr>
            <w:noProof/>
            <w:webHidden/>
          </w:rPr>
          <w:fldChar w:fldCharType="separate"/>
        </w:r>
        <w:r w:rsidR="00AA3082">
          <w:rPr>
            <w:noProof/>
            <w:webHidden/>
          </w:rPr>
          <w:t>276</w:t>
        </w:r>
        <w:r w:rsidR="00AA3082">
          <w:rPr>
            <w:noProof/>
            <w:webHidden/>
          </w:rPr>
          <w:fldChar w:fldCharType="end"/>
        </w:r>
      </w:hyperlink>
    </w:p>
    <w:p w14:paraId="3D5B15EA" w14:textId="6E800957" w:rsidR="00AA3082" w:rsidRDefault="00A65A8D">
      <w:pPr>
        <w:pStyle w:val="Iliustracijsraas"/>
        <w:tabs>
          <w:tab w:val="right" w:leader="dot" w:pos="9016"/>
        </w:tabs>
        <w:rPr>
          <w:rFonts w:eastAsiaTheme="minorEastAsia" w:cs="Arial Unicode MS"/>
          <w:noProof/>
          <w:lang w:bidi="lo-LA"/>
        </w:rPr>
      </w:pPr>
      <w:hyperlink w:anchor="_Toc460321745" w:history="1">
        <w:r w:rsidR="00AA3082" w:rsidRPr="003D7275">
          <w:rPr>
            <w:rStyle w:val="Hipersaitas"/>
            <w:noProof/>
            <w:lang w:val="lt-LT"/>
          </w:rPr>
          <w:t xml:space="preserve">Lentelė 164. Tikėtini </w:t>
        </w:r>
        <w:r w:rsidR="00AA3082" w:rsidRPr="003D7275">
          <w:rPr>
            <w:rStyle w:val="Hipersaitas"/>
            <w:rFonts w:eastAsia="Times New Roman"/>
            <w:noProof/>
            <w:lang w:val="lt-LT" w:eastAsia="lt-LT"/>
          </w:rPr>
          <w:t xml:space="preserve">gatvių apšvietimo modernizavimo </w:t>
        </w:r>
        <w:r w:rsidR="00AA3082" w:rsidRPr="003D7275">
          <w:rPr>
            <w:rStyle w:val="Hipersaitas"/>
            <w:noProof/>
            <w:lang w:val="lt-LT"/>
          </w:rPr>
          <w:t>energijos sutaupymo ir taršos mažinimo rezultatai.</w:t>
        </w:r>
        <w:r w:rsidR="00AA3082">
          <w:rPr>
            <w:noProof/>
            <w:webHidden/>
          </w:rPr>
          <w:tab/>
        </w:r>
        <w:r w:rsidR="00AA3082">
          <w:rPr>
            <w:noProof/>
            <w:webHidden/>
          </w:rPr>
          <w:fldChar w:fldCharType="begin"/>
        </w:r>
        <w:r w:rsidR="00AA3082">
          <w:rPr>
            <w:noProof/>
            <w:webHidden/>
          </w:rPr>
          <w:instrText xml:space="preserve"> PAGEREF _Toc460321745 \h </w:instrText>
        </w:r>
        <w:r w:rsidR="00AA3082">
          <w:rPr>
            <w:noProof/>
            <w:webHidden/>
          </w:rPr>
        </w:r>
        <w:r w:rsidR="00AA3082">
          <w:rPr>
            <w:noProof/>
            <w:webHidden/>
          </w:rPr>
          <w:fldChar w:fldCharType="separate"/>
        </w:r>
        <w:r w:rsidR="00AA3082">
          <w:rPr>
            <w:noProof/>
            <w:webHidden/>
          </w:rPr>
          <w:t>276</w:t>
        </w:r>
        <w:r w:rsidR="00AA3082">
          <w:rPr>
            <w:noProof/>
            <w:webHidden/>
          </w:rPr>
          <w:fldChar w:fldCharType="end"/>
        </w:r>
      </w:hyperlink>
    </w:p>
    <w:p w14:paraId="6A6484BA" w14:textId="5C58F89E" w:rsidR="00AA3082" w:rsidRDefault="00A65A8D">
      <w:pPr>
        <w:pStyle w:val="Iliustracijsraas"/>
        <w:tabs>
          <w:tab w:val="right" w:leader="dot" w:pos="9016"/>
        </w:tabs>
        <w:rPr>
          <w:rFonts w:eastAsiaTheme="minorEastAsia" w:cs="Arial Unicode MS"/>
          <w:noProof/>
          <w:lang w:bidi="lo-LA"/>
        </w:rPr>
      </w:pPr>
      <w:hyperlink w:anchor="_Toc460321746" w:history="1">
        <w:r w:rsidR="00AA3082" w:rsidRPr="003D7275">
          <w:rPr>
            <w:rStyle w:val="Hipersaitas"/>
            <w:noProof/>
          </w:rPr>
          <w:t>Lentelė 165. Rekomenduojamų teisės aktų pakeitimų sąrašas savivaldybių viešųjų pastatų modernizavimo finansinės priemonės įgyvendinimui.</w:t>
        </w:r>
        <w:r w:rsidR="00AA3082">
          <w:rPr>
            <w:noProof/>
            <w:webHidden/>
          </w:rPr>
          <w:tab/>
        </w:r>
        <w:r w:rsidR="00AA3082">
          <w:rPr>
            <w:noProof/>
            <w:webHidden/>
          </w:rPr>
          <w:fldChar w:fldCharType="begin"/>
        </w:r>
        <w:r w:rsidR="00AA3082">
          <w:rPr>
            <w:noProof/>
            <w:webHidden/>
          </w:rPr>
          <w:instrText xml:space="preserve"> PAGEREF _Toc460321746 \h </w:instrText>
        </w:r>
        <w:r w:rsidR="00AA3082">
          <w:rPr>
            <w:noProof/>
            <w:webHidden/>
          </w:rPr>
        </w:r>
        <w:r w:rsidR="00AA3082">
          <w:rPr>
            <w:noProof/>
            <w:webHidden/>
          </w:rPr>
          <w:fldChar w:fldCharType="separate"/>
        </w:r>
        <w:r w:rsidR="00AA3082">
          <w:rPr>
            <w:noProof/>
            <w:webHidden/>
          </w:rPr>
          <w:t>280</w:t>
        </w:r>
        <w:r w:rsidR="00AA3082">
          <w:rPr>
            <w:noProof/>
            <w:webHidden/>
          </w:rPr>
          <w:fldChar w:fldCharType="end"/>
        </w:r>
      </w:hyperlink>
    </w:p>
    <w:p w14:paraId="2D44C1CB" w14:textId="7D7A710D" w:rsidR="00AA3082" w:rsidRDefault="00A65A8D">
      <w:pPr>
        <w:pStyle w:val="Iliustracijsraas"/>
        <w:tabs>
          <w:tab w:val="right" w:leader="dot" w:pos="9016"/>
        </w:tabs>
        <w:rPr>
          <w:rFonts w:eastAsiaTheme="minorEastAsia" w:cs="Arial Unicode MS"/>
          <w:noProof/>
          <w:lang w:bidi="lo-LA"/>
        </w:rPr>
      </w:pPr>
      <w:hyperlink w:anchor="_Toc460321747" w:history="1">
        <w:r w:rsidR="00AA3082" w:rsidRPr="003D7275">
          <w:rPr>
            <w:rStyle w:val="Hipersaitas"/>
            <w:noProof/>
            <w:lang w:val="lt-LT"/>
          </w:rPr>
          <w:t>Lentelė 166. Pirmosios finansinės priemonės kūrimo ir valdymo alternatyvos viešiesiems pastatams privalumų ir trūkumų palyginimas.</w:t>
        </w:r>
        <w:r w:rsidR="00AA3082">
          <w:rPr>
            <w:noProof/>
            <w:webHidden/>
          </w:rPr>
          <w:tab/>
        </w:r>
        <w:r w:rsidR="00AA3082">
          <w:rPr>
            <w:noProof/>
            <w:webHidden/>
          </w:rPr>
          <w:fldChar w:fldCharType="begin"/>
        </w:r>
        <w:r w:rsidR="00AA3082">
          <w:rPr>
            <w:noProof/>
            <w:webHidden/>
          </w:rPr>
          <w:instrText xml:space="preserve"> PAGEREF _Toc460321747 \h </w:instrText>
        </w:r>
        <w:r w:rsidR="00AA3082">
          <w:rPr>
            <w:noProof/>
            <w:webHidden/>
          </w:rPr>
        </w:r>
        <w:r w:rsidR="00AA3082">
          <w:rPr>
            <w:noProof/>
            <w:webHidden/>
          </w:rPr>
          <w:fldChar w:fldCharType="separate"/>
        </w:r>
        <w:r w:rsidR="00AA3082">
          <w:rPr>
            <w:noProof/>
            <w:webHidden/>
          </w:rPr>
          <w:t>287</w:t>
        </w:r>
        <w:r w:rsidR="00AA3082">
          <w:rPr>
            <w:noProof/>
            <w:webHidden/>
          </w:rPr>
          <w:fldChar w:fldCharType="end"/>
        </w:r>
      </w:hyperlink>
    </w:p>
    <w:p w14:paraId="41CB43A4" w14:textId="7552F2DC" w:rsidR="00AA3082" w:rsidRDefault="00A65A8D">
      <w:pPr>
        <w:pStyle w:val="Iliustracijsraas"/>
        <w:tabs>
          <w:tab w:val="right" w:leader="dot" w:pos="9016"/>
        </w:tabs>
        <w:rPr>
          <w:rFonts w:eastAsiaTheme="minorEastAsia" w:cs="Arial Unicode MS"/>
          <w:noProof/>
          <w:lang w:bidi="lo-LA"/>
        </w:rPr>
      </w:pPr>
      <w:hyperlink w:anchor="_Toc460321748" w:history="1">
        <w:r w:rsidR="00AA3082" w:rsidRPr="003D7275">
          <w:rPr>
            <w:rStyle w:val="Hipersaitas"/>
            <w:noProof/>
            <w:lang w:val="lt-LT"/>
          </w:rPr>
          <w:t>Lentelė 167. Antrosios fondo kūrimo alternatyvos savivaldybių viešiesiems pastatams modernizuoti privalumų ir trūkumų palyginimas</w:t>
        </w:r>
        <w:r w:rsidR="00AA3082">
          <w:rPr>
            <w:noProof/>
            <w:webHidden/>
          </w:rPr>
          <w:tab/>
        </w:r>
        <w:r w:rsidR="00AA3082">
          <w:rPr>
            <w:noProof/>
            <w:webHidden/>
          </w:rPr>
          <w:fldChar w:fldCharType="begin"/>
        </w:r>
        <w:r w:rsidR="00AA3082">
          <w:rPr>
            <w:noProof/>
            <w:webHidden/>
          </w:rPr>
          <w:instrText xml:space="preserve"> PAGEREF _Toc460321748 \h </w:instrText>
        </w:r>
        <w:r w:rsidR="00AA3082">
          <w:rPr>
            <w:noProof/>
            <w:webHidden/>
          </w:rPr>
        </w:r>
        <w:r w:rsidR="00AA3082">
          <w:rPr>
            <w:noProof/>
            <w:webHidden/>
          </w:rPr>
          <w:fldChar w:fldCharType="separate"/>
        </w:r>
        <w:r w:rsidR="00AA3082">
          <w:rPr>
            <w:noProof/>
            <w:webHidden/>
          </w:rPr>
          <w:t>289</w:t>
        </w:r>
        <w:r w:rsidR="00AA3082">
          <w:rPr>
            <w:noProof/>
            <w:webHidden/>
          </w:rPr>
          <w:fldChar w:fldCharType="end"/>
        </w:r>
      </w:hyperlink>
    </w:p>
    <w:p w14:paraId="2DEEBB94" w14:textId="6349833C" w:rsidR="00AA3082" w:rsidRDefault="00A65A8D">
      <w:pPr>
        <w:pStyle w:val="Iliustracijsraas"/>
        <w:tabs>
          <w:tab w:val="right" w:leader="dot" w:pos="9016"/>
        </w:tabs>
        <w:rPr>
          <w:rFonts w:eastAsiaTheme="minorEastAsia" w:cs="Arial Unicode MS"/>
          <w:noProof/>
          <w:lang w:bidi="lo-LA"/>
        </w:rPr>
      </w:pPr>
      <w:hyperlink w:anchor="_Toc460321749" w:history="1">
        <w:r w:rsidR="00AA3082" w:rsidRPr="003D7275">
          <w:rPr>
            <w:rStyle w:val="Hipersaitas"/>
            <w:noProof/>
            <w:lang w:val="lt-LT"/>
          </w:rPr>
          <w:t>Lentelė 168. Trečiosios fondo kūrimo alternatyvos savivaldybių viešiesiems pastatams modernizuoti privalumų ir trūkumų palyginimas</w:t>
        </w:r>
        <w:r w:rsidR="00AA3082">
          <w:rPr>
            <w:noProof/>
            <w:webHidden/>
          </w:rPr>
          <w:tab/>
        </w:r>
        <w:r w:rsidR="00AA3082">
          <w:rPr>
            <w:noProof/>
            <w:webHidden/>
          </w:rPr>
          <w:fldChar w:fldCharType="begin"/>
        </w:r>
        <w:r w:rsidR="00AA3082">
          <w:rPr>
            <w:noProof/>
            <w:webHidden/>
          </w:rPr>
          <w:instrText xml:space="preserve"> PAGEREF _Toc460321749 \h </w:instrText>
        </w:r>
        <w:r w:rsidR="00AA3082">
          <w:rPr>
            <w:noProof/>
            <w:webHidden/>
          </w:rPr>
        </w:r>
        <w:r w:rsidR="00AA3082">
          <w:rPr>
            <w:noProof/>
            <w:webHidden/>
          </w:rPr>
          <w:fldChar w:fldCharType="separate"/>
        </w:r>
        <w:r w:rsidR="00AA3082">
          <w:rPr>
            <w:noProof/>
            <w:webHidden/>
          </w:rPr>
          <w:t>290</w:t>
        </w:r>
        <w:r w:rsidR="00AA3082">
          <w:rPr>
            <w:noProof/>
            <w:webHidden/>
          </w:rPr>
          <w:fldChar w:fldCharType="end"/>
        </w:r>
      </w:hyperlink>
    </w:p>
    <w:p w14:paraId="3A9EDDCE" w14:textId="3765B526" w:rsidR="00AA3082" w:rsidRDefault="00A65A8D">
      <w:pPr>
        <w:pStyle w:val="Iliustracijsraas"/>
        <w:tabs>
          <w:tab w:val="right" w:leader="dot" w:pos="9016"/>
        </w:tabs>
        <w:rPr>
          <w:rFonts w:eastAsiaTheme="minorEastAsia" w:cs="Arial Unicode MS"/>
          <w:noProof/>
          <w:lang w:bidi="lo-LA"/>
        </w:rPr>
      </w:pPr>
      <w:hyperlink w:anchor="_Toc460321750" w:history="1">
        <w:r w:rsidR="00AA3082" w:rsidRPr="003D7275">
          <w:rPr>
            <w:rStyle w:val="Hipersaitas"/>
            <w:noProof/>
            <w:lang w:val="lt-LT"/>
          </w:rPr>
          <w:t>Lentelė 169. Tikėtini finansinės priemonės rezultatai savivaldybių viešųjų pastatų modernizavimui</w:t>
        </w:r>
        <w:r w:rsidR="00AA3082">
          <w:rPr>
            <w:noProof/>
            <w:webHidden/>
          </w:rPr>
          <w:tab/>
        </w:r>
        <w:r w:rsidR="00AA3082">
          <w:rPr>
            <w:noProof/>
            <w:webHidden/>
          </w:rPr>
          <w:fldChar w:fldCharType="begin"/>
        </w:r>
        <w:r w:rsidR="00AA3082">
          <w:rPr>
            <w:noProof/>
            <w:webHidden/>
          </w:rPr>
          <w:instrText xml:space="preserve"> PAGEREF _Toc460321750 \h </w:instrText>
        </w:r>
        <w:r w:rsidR="00AA3082">
          <w:rPr>
            <w:noProof/>
            <w:webHidden/>
          </w:rPr>
        </w:r>
        <w:r w:rsidR="00AA3082">
          <w:rPr>
            <w:noProof/>
            <w:webHidden/>
          </w:rPr>
          <w:fldChar w:fldCharType="separate"/>
        </w:r>
        <w:r w:rsidR="00AA3082">
          <w:rPr>
            <w:noProof/>
            <w:webHidden/>
          </w:rPr>
          <w:t>297</w:t>
        </w:r>
        <w:r w:rsidR="00AA3082">
          <w:rPr>
            <w:noProof/>
            <w:webHidden/>
          </w:rPr>
          <w:fldChar w:fldCharType="end"/>
        </w:r>
      </w:hyperlink>
    </w:p>
    <w:p w14:paraId="7BAFF4C9" w14:textId="02DD33B6" w:rsidR="00AA3082" w:rsidRDefault="00A65A8D">
      <w:pPr>
        <w:pStyle w:val="Iliustracijsraas"/>
        <w:tabs>
          <w:tab w:val="right" w:leader="dot" w:pos="9016"/>
        </w:tabs>
        <w:rPr>
          <w:rFonts w:eastAsiaTheme="minorEastAsia" w:cs="Arial Unicode MS"/>
          <w:noProof/>
          <w:lang w:bidi="lo-LA"/>
        </w:rPr>
      </w:pPr>
      <w:hyperlink w:anchor="_Toc460321751" w:history="1">
        <w:r w:rsidR="00AA3082" w:rsidRPr="003D7275">
          <w:rPr>
            <w:rStyle w:val="Hipersaitas"/>
            <w:noProof/>
            <w:lang w:val="lt-LT"/>
          </w:rPr>
          <w:t xml:space="preserve">Lentelė 170. Tikėtini </w:t>
        </w:r>
        <w:r w:rsidR="00AA3082" w:rsidRPr="003D7275">
          <w:rPr>
            <w:rStyle w:val="Hipersaitas"/>
            <w:rFonts w:eastAsia="Times New Roman"/>
            <w:noProof/>
            <w:lang w:val="lt-LT" w:eastAsia="lt-LT"/>
          </w:rPr>
          <w:t xml:space="preserve">savivaldybių pastatų modernizacijos </w:t>
        </w:r>
        <w:r w:rsidR="00AA3082" w:rsidRPr="003D7275">
          <w:rPr>
            <w:rStyle w:val="Hipersaitas"/>
            <w:noProof/>
            <w:lang w:val="lt-LT"/>
          </w:rPr>
          <w:t>energijos sutaupymo ir taršos mažinimo rezultatai.</w:t>
        </w:r>
        <w:r w:rsidR="00AA3082">
          <w:rPr>
            <w:noProof/>
            <w:webHidden/>
          </w:rPr>
          <w:tab/>
        </w:r>
        <w:r w:rsidR="00AA3082">
          <w:rPr>
            <w:noProof/>
            <w:webHidden/>
          </w:rPr>
          <w:fldChar w:fldCharType="begin"/>
        </w:r>
        <w:r w:rsidR="00AA3082">
          <w:rPr>
            <w:noProof/>
            <w:webHidden/>
          </w:rPr>
          <w:instrText xml:space="preserve"> PAGEREF _Toc460321751 \h </w:instrText>
        </w:r>
        <w:r w:rsidR="00AA3082">
          <w:rPr>
            <w:noProof/>
            <w:webHidden/>
          </w:rPr>
        </w:r>
        <w:r w:rsidR="00AA3082">
          <w:rPr>
            <w:noProof/>
            <w:webHidden/>
          </w:rPr>
          <w:fldChar w:fldCharType="separate"/>
        </w:r>
        <w:r w:rsidR="00AA3082">
          <w:rPr>
            <w:noProof/>
            <w:webHidden/>
          </w:rPr>
          <w:t>298</w:t>
        </w:r>
        <w:r w:rsidR="00AA3082">
          <w:rPr>
            <w:noProof/>
            <w:webHidden/>
          </w:rPr>
          <w:fldChar w:fldCharType="end"/>
        </w:r>
      </w:hyperlink>
    </w:p>
    <w:p w14:paraId="4F6F3220" w14:textId="4908B841" w:rsidR="00FC2E80" w:rsidRPr="009F55BB" w:rsidRDefault="00FC2E80" w:rsidP="00E91778">
      <w:pPr>
        <w:jc w:val="both"/>
        <w:rPr>
          <w:rFonts w:ascii="Georgia" w:hAnsi="Georgia"/>
          <w:lang w:val="lt-LT"/>
        </w:rPr>
      </w:pPr>
      <w:r w:rsidRPr="00A90CB3">
        <w:rPr>
          <w:rFonts w:ascii="Georgia" w:hAnsi="Georgia"/>
          <w:lang w:val="lt-LT"/>
        </w:rPr>
        <w:fldChar w:fldCharType="end"/>
      </w:r>
    </w:p>
    <w:p w14:paraId="77E2E172" w14:textId="77777777" w:rsidR="00FC2E80" w:rsidRPr="009F55BB" w:rsidRDefault="00FC2E80" w:rsidP="009F55BB">
      <w:pPr>
        <w:jc w:val="both"/>
        <w:rPr>
          <w:rFonts w:ascii="Georgia" w:hAnsi="Georgia"/>
          <w:lang w:val="lt-LT"/>
        </w:rPr>
      </w:pPr>
      <w:r w:rsidRPr="009F55BB">
        <w:rPr>
          <w:rFonts w:ascii="Georgia" w:hAnsi="Georgia"/>
          <w:lang w:val="lt-LT"/>
        </w:rPr>
        <w:br w:type="page"/>
      </w:r>
    </w:p>
    <w:p w14:paraId="55EFBADD" w14:textId="77777777" w:rsidR="0010799D" w:rsidRPr="003D1E6F" w:rsidRDefault="0010799D" w:rsidP="003D1E6F">
      <w:pPr>
        <w:pStyle w:val="Antrat1"/>
        <w:rPr>
          <w:lang w:val="lt-LT"/>
        </w:rPr>
      </w:pPr>
      <w:bookmarkStart w:id="4" w:name="_Toc417378354"/>
      <w:r w:rsidRPr="003D1E6F">
        <w:rPr>
          <w:lang w:val="lt-LT"/>
        </w:rPr>
        <w:lastRenderedPageBreak/>
        <w:t>Paveikslų sąrašas</w:t>
      </w:r>
      <w:bookmarkEnd w:id="4"/>
    </w:p>
    <w:p w14:paraId="68E09237" w14:textId="77777777" w:rsidR="0010799D" w:rsidRPr="009F55BB" w:rsidRDefault="0010799D" w:rsidP="009F55BB">
      <w:pPr>
        <w:jc w:val="both"/>
        <w:rPr>
          <w:rFonts w:ascii="Georgia" w:hAnsi="Georgia"/>
          <w:lang w:val="lt-LT"/>
        </w:rPr>
      </w:pPr>
    </w:p>
    <w:p w14:paraId="0A563155" w14:textId="7F1B695C" w:rsidR="00DA65C2" w:rsidRDefault="0010799D">
      <w:pPr>
        <w:pStyle w:val="Iliustracijsraas"/>
        <w:tabs>
          <w:tab w:val="right" w:leader="dot" w:pos="9016"/>
        </w:tabs>
        <w:rPr>
          <w:rFonts w:eastAsiaTheme="minorEastAsia"/>
          <w:noProof/>
        </w:rPr>
      </w:pPr>
      <w:r w:rsidRPr="009F55BB">
        <w:rPr>
          <w:rFonts w:ascii="Georgia" w:hAnsi="Georgia"/>
          <w:lang w:val="lt-LT"/>
        </w:rPr>
        <w:fldChar w:fldCharType="begin"/>
      </w:r>
      <w:r w:rsidRPr="009F55BB">
        <w:rPr>
          <w:rFonts w:ascii="Georgia" w:hAnsi="Georgia"/>
          <w:lang w:val="lt-LT"/>
        </w:rPr>
        <w:instrText xml:space="preserve"> TOC \h \z \c "Paveikslas" </w:instrText>
      </w:r>
      <w:r w:rsidRPr="009F55BB">
        <w:rPr>
          <w:rFonts w:ascii="Georgia" w:hAnsi="Georgia"/>
          <w:lang w:val="lt-LT"/>
        </w:rPr>
        <w:fldChar w:fldCharType="separate"/>
      </w:r>
      <w:hyperlink w:anchor="_Toc417378278" w:history="1">
        <w:r w:rsidR="00DA65C2" w:rsidRPr="006C100C">
          <w:rPr>
            <w:rStyle w:val="Hipersaitas"/>
            <w:noProof/>
            <w:lang w:val="lt-LT"/>
          </w:rPr>
          <w:t>Paveikslas 1.</w:t>
        </w:r>
        <w:r w:rsidR="00DA65C2" w:rsidRPr="006C100C">
          <w:rPr>
            <w:rStyle w:val="Hipersaitas"/>
            <w:rFonts w:cs="Georgia"/>
            <w:noProof/>
            <w:lang w:val="lt-LT"/>
          </w:rPr>
          <w:t xml:space="preserve"> Finansinių priemonių įgyvendinimo 2014-2020 m. periodu alternatyvos.</w:t>
        </w:r>
        <w:r w:rsidR="00DA65C2">
          <w:rPr>
            <w:noProof/>
            <w:webHidden/>
          </w:rPr>
          <w:tab/>
        </w:r>
        <w:r w:rsidR="00DA65C2">
          <w:rPr>
            <w:noProof/>
            <w:webHidden/>
          </w:rPr>
          <w:fldChar w:fldCharType="begin"/>
        </w:r>
        <w:r w:rsidR="00DA65C2">
          <w:rPr>
            <w:noProof/>
            <w:webHidden/>
          </w:rPr>
          <w:instrText xml:space="preserve"> PAGEREF _Toc417378278 \h </w:instrText>
        </w:r>
        <w:r w:rsidR="00DA65C2">
          <w:rPr>
            <w:noProof/>
            <w:webHidden/>
          </w:rPr>
        </w:r>
        <w:r w:rsidR="00DA65C2">
          <w:rPr>
            <w:noProof/>
            <w:webHidden/>
          </w:rPr>
          <w:fldChar w:fldCharType="separate"/>
        </w:r>
        <w:r w:rsidR="00AA3082">
          <w:rPr>
            <w:noProof/>
            <w:webHidden/>
          </w:rPr>
          <w:t>29</w:t>
        </w:r>
        <w:r w:rsidR="00DA65C2">
          <w:rPr>
            <w:noProof/>
            <w:webHidden/>
          </w:rPr>
          <w:fldChar w:fldCharType="end"/>
        </w:r>
      </w:hyperlink>
    </w:p>
    <w:p w14:paraId="27AF4C31" w14:textId="4C9AFD64" w:rsidR="00DA65C2" w:rsidRDefault="00A65A8D">
      <w:pPr>
        <w:pStyle w:val="Iliustracijsraas"/>
        <w:tabs>
          <w:tab w:val="right" w:leader="dot" w:pos="9016"/>
        </w:tabs>
        <w:rPr>
          <w:rFonts w:eastAsiaTheme="minorEastAsia"/>
          <w:noProof/>
        </w:rPr>
      </w:pPr>
      <w:hyperlink w:anchor="_Toc417378279" w:history="1">
        <w:r w:rsidR="00DA65C2" w:rsidRPr="006C100C">
          <w:rPr>
            <w:rStyle w:val="Hipersaitas"/>
            <w:noProof/>
            <w:lang w:val="lt-LT"/>
          </w:rPr>
          <w:t xml:space="preserve">Paveikslas 2. </w:t>
        </w:r>
        <w:r w:rsidR="00DA65C2" w:rsidRPr="006C100C">
          <w:rPr>
            <w:rStyle w:val="Hipersaitas"/>
            <w:rFonts w:cs="Georgia"/>
            <w:noProof/>
            <w:lang w:val="lt-LT"/>
          </w:rPr>
          <w:t>Finansinių priemonių valdymo ir įgyvendinimo alternatyvos.</w:t>
        </w:r>
        <w:r w:rsidR="00DA65C2">
          <w:rPr>
            <w:noProof/>
            <w:webHidden/>
          </w:rPr>
          <w:tab/>
        </w:r>
        <w:r w:rsidR="00DA65C2">
          <w:rPr>
            <w:noProof/>
            <w:webHidden/>
          </w:rPr>
          <w:fldChar w:fldCharType="begin"/>
        </w:r>
        <w:r w:rsidR="00DA65C2">
          <w:rPr>
            <w:noProof/>
            <w:webHidden/>
          </w:rPr>
          <w:instrText xml:space="preserve"> PAGEREF _Toc417378279 \h </w:instrText>
        </w:r>
        <w:r w:rsidR="00DA65C2">
          <w:rPr>
            <w:noProof/>
            <w:webHidden/>
          </w:rPr>
        </w:r>
        <w:r w:rsidR="00DA65C2">
          <w:rPr>
            <w:noProof/>
            <w:webHidden/>
          </w:rPr>
          <w:fldChar w:fldCharType="separate"/>
        </w:r>
        <w:r w:rsidR="00AA3082">
          <w:rPr>
            <w:noProof/>
            <w:webHidden/>
          </w:rPr>
          <w:t>32</w:t>
        </w:r>
        <w:r w:rsidR="00DA65C2">
          <w:rPr>
            <w:noProof/>
            <w:webHidden/>
          </w:rPr>
          <w:fldChar w:fldCharType="end"/>
        </w:r>
      </w:hyperlink>
    </w:p>
    <w:p w14:paraId="0B0AC421" w14:textId="25F548E8" w:rsidR="00DA65C2" w:rsidRDefault="00A65A8D">
      <w:pPr>
        <w:pStyle w:val="Iliustracijsraas"/>
        <w:tabs>
          <w:tab w:val="right" w:leader="dot" w:pos="9016"/>
        </w:tabs>
        <w:rPr>
          <w:rFonts w:eastAsiaTheme="minorEastAsia"/>
          <w:noProof/>
        </w:rPr>
      </w:pPr>
      <w:hyperlink w:anchor="_Toc417378280" w:history="1">
        <w:r w:rsidR="00DA65C2" w:rsidRPr="006C100C">
          <w:rPr>
            <w:rStyle w:val="Hipersaitas"/>
            <w:noProof/>
            <w:lang w:val="lt-LT"/>
          </w:rPr>
          <w:t>Paveikslas 3. Galimos finansinės priemonės įgyvendinimo struktūros.</w:t>
        </w:r>
        <w:r w:rsidR="00DA65C2">
          <w:rPr>
            <w:noProof/>
            <w:webHidden/>
          </w:rPr>
          <w:tab/>
        </w:r>
        <w:r w:rsidR="00DA65C2">
          <w:rPr>
            <w:noProof/>
            <w:webHidden/>
          </w:rPr>
          <w:fldChar w:fldCharType="begin"/>
        </w:r>
        <w:r w:rsidR="00DA65C2">
          <w:rPr>
            <w:noProof/>
            <w:webHidden/>
          </w:rPr>
          <w:instrText xml:space="preserve"> PAGEREF _Toc417378280 \h </w:instrText>
        </w:r>
        <w:r w:rsidR="00DA65C2">
          <w:rPr>
            <w:noProof/>
            <w:webHidden/>
          </w:rPr>
        </w:r>
        <w:r w:rsidR="00DA65C2">
          <w:rPr>
            <w:noProof/>
            <w:webHidden/>
          </w:rPr>
          <w:fldChar w:fldCharType="separate"/>
        </w:r>
        <w:r w:rsidR="00AA3082">
          <w:rPr>
            <w:noProof/>
            <w:webHidden/>
          </w:rPr>
          <w:t>32</w:t>
        </w:r>
        <w:r w:rsidR="00DA65C2">
          <w:rPr>
            <w:noProof/>
            <w:webHidden/>
          </w:rPr>
          <w:fldChar w:fldCharType="end"/>
        </w:r>
      </w:hyperlink>
    </w:p>
    <w:p w14:paraId="3712CEAD" w14:textId="3A6E0D6F" w:rsidR="00DA65C2" w:rsidRDefault="00A65A8D">
      <w:pPr>
        <w:pStyle w:val="Iliustracijsraas"/>
        <w:tabs>
          <w:tab w:val="right" w:leader="dot" w:pos="9016"/>
        </w:tabs>
        <w:rPr>
          <w:rFonts w:eastAsiaTheme="minorEastAsia"/>
          <w:noProof/>
        </w:rPr>
      </w:pPr>
      <w:hyperlink w:anchor="_Toc417378281" w:history="1">
        <w:r w:rsidR="00DA65C2" w:rsidRPr="006C100C">
          <w:rPr>
            <w:rStyle w:val="Hipersaitas"/>
            <w:noProof/>
            <w:lang w:val="lt-LT"/>
          </w:rPr>
          <w:t>Paveikslas 4.</w:t>
        </w:r>
        <w:r w:rsidR="00DA65C2" w:rsidRPr="006C100C">
          <w:rPr>
            <w:rStyle w:val="Hipersaitas"/>
            <w:rFonts w:cs="Georgia"/>
            <w:noProof/>
            <w:lang w:val="lt-LT"/>
          </w:rPr>
          <w:t xml:space="preserve"> </w:t>
        </w:r>
        <w:r w:rsidR="00DA65C2" w:rsidRPr="006C100C">
          <w:rPr>
            <w:rStyle w:val="Hipersaitas"/>
            <w:noProof/>
            <w:lang w:val="lt-LT"/>
          </w:rPr>
          <w:t>Energijos sutaupymo galimybių pasiskirstymo tarp gyvenamųjų ir viešosios paskirties pastatų prielaidos</w:t>
        </w:r>
        <w:r w:rsidR="00DA65C2" w:rsidRPr="006C100C">
          <w:rPr>
            <w:rStyle w:val="Hipersaitas"/>
            <w:rFonts w:cs="Georgia"/>
            <w:noProof/>
            <w:lang w:val="lt-LT"/>
          </w:rPr>
          <w:t>.</w:t>
        </w:r>
        <w:r w:rsidR="00DA65C2">
          <w:rPr>
            <w:noProof/>
            <w:webHidden/>
          </w:rPr>
          <w:tab/>
        </w:r>
        <w:r w:rsidR="00DA65C2">
          <w:rPr>
            <w:noProof/>
            <w:webHidden/>
          </w:rPr>
          <w:fldChar w:fldCharType="begin"/>
        </w:r>
        <w:r w:rsidR="00DA65C2">
          <w:rPr>
            <w:noProof/>
            <w:webHidden/>
          </w:rPr>
          <w:instrText xml:space="preserve"> PAGEREF _Toc417378281 \h </w:instrText>
        </w:r>
        <w:r w:rsidR="00DA65C2">
          <w:rPr>
            <w:noProof/>
            <w:webHidden/>
          </w:rPr>
        </w:r>
        <w:r w:rsidR="00DA65C2">
          <w:rPr>
            <w:noProof/>
            <w:webHidden/>
          </w:rPr>
          <w:fldChar w:fldCharType="separate"/>
        </w:r>
        <w:r w:rsidR="00AA3082">
          <w:rPr>
            <w:noProof/>
            <w:webHidden/>
          </w:rPr>
          <w:t>39</w:t>
        </w:r>
        <w:r w:rsidR="00DA65C2">
          <w:rPr>
            <w:noProof/>
            <w:webHidden/>
          </w:rPr>
          <w:fldChar w:fldCharType="end"/>
        </w:r>
      </w:hyperlink>
    </w:p>
    <w:p w14:paraId="678F8E86" w14:textId="217D9BFA" w:rsidR="00DA65C2" w:rsidRDefault="00A65A8D">
      <w:pPr>
        <w:pStyle w:val="Iliustracijsraas"/>
        <w:tabs>
          <w:tab w:val="right" w:leader="dot" w:pos="9016"/>
        </w:tabs>
        <w:rPr>
          <w:rFonts w:eastAsiaTheme="minorEastAsia"/>
          <w:noProof/>
        </w:rPr>
      </w:pPr>
      <w:hyperlink w:anchor="_Toc417378282" w:history="1">
        <w:r w:rsidR="00DA65C2" w:rsidRPr="006C100C">
          <w:rPr>
            <w:rStyle w:val="Hipersaitas"/>
            <w:noProof/>
            <w:lang w:val="lt-LT"/>
          </w:rPr>
          <w:t xml:space="preserve">Paveikslas 5. Ne finansų korporacijoms išduotos naujos paskolos 2006 – 2013 m. laikotarpiu. </w:t>
        </w:r>
        <w:r w:rsidR="00DA65C2" w:rsidRPr="006C100C">
          <w:rPr>
            <w:rStyle w:val="Hipersaitas"/>
            <w:i/>
            <w:noProof/>
            <w:lang w:val="lt-LT"/>
          </w:rPr>
          <w:t>Šaltinis: KPMG studija</w:t>
        </w:r>
        <w:r w:rsidR="00DA65C2">
          <w:rPr>
            <w:noProof/>
            <w:webHidden/>
          </w:rPr>
          <w:tab/>
        </w:r>
        <w:r w:rsidR="00DA65C2">
          <w:rPr>
            <w:noProof/>
            <w:webHidden/>
          </w:rPr>
          <w:fldChar w:fldCharType="begin"/>
        </w:r>
        <w:r w:rsidR="00DA65C2">
          <w:rPr>
            <w:noProof/>
            <w:webHidden/>
          </w:rPr>
          <w:instrText xml:space="preserve"> PAGEREF _Toc417378282 \h </w:instrText>
        </w:r>
        <w:r w:rsidR="00DA65C2">
          <w:rPr>
            <w:noProof/>
            <w:webHidden/>
          </w:rPr>
        </w:r>
        <w:r w:rsidR="00DA65C2">
          <w:rPr>
            <w:noProof/>
            <w:webHidden/>
          </w:rPr>
          <w:fldChar w:fldCharType="separate"/>
        </w:r>
        <w:r w:rsidR="00AA3082">
          <w:rPr>
            <w:noProof/>
            <w:webHidden/>
          </w:rPr>
          <w:t>54</w:t>
        </w:r>
        <w:r w:rsidR="00DA65C2">
          <w:rPr>
            <w:noProof/>
            <w:webHidden/>
          </w:rPr>
          <w:fldChar w:fldCharType="end"/>
        </w:r>
      </w:hyperlink>
    </w:p>
    <w:p w14:paraId="095B960E" w14:textId="50E41C37" w:rsidR="00DA65C2" w:rsidRDefault="00A65A8D">
      <w:pPr>
        <w:pStyle w:val="Iliustracijsraas"/>
        <w:tabs>
          <w:tab w:val="right" w:leader="dot" w:pos="9016"/>
        </w:tabs>
        <w:rPr>
          <w:rFonts w:eastAsiaTheme="minorEastAsia"/>
          <w:noProof/>
        </w:rPr>
      </w:pPr>
      <w:hyperlink w:anchor="_Toc417378283" w:history="1">
        <w:r w:rsidR="00DA65C2" w:rsidRPr="006C100C">
          <w:rPr>
            <w:rStyle w:val="Hipersaitas"/>
            <w:noProof/>
            <w:lang w:val="lt-LT"/>
          </w:rPr>
          <w:t>Paveikslas 6. Bankų suteiktų paskolų eurais nefinansinėms korporacijoms ilgesniam nei 5 metų laikotarpiui palūkanų norma, proc.</w:t>
        </w:r>
        <w:r w:rsidR="00DA65C2">
          <w:rPr>
            <w:noProof/>
            <w:webHidden/>
          </w:rPr>
          <w:tab/>
        </w:r>
        <w:r w:rsidR="00DA65C2">
          <w:rPr>
            <w:noProof/>
            <w:webHidden/>
          </w:rPr>
          <w:fldChar w:fldCharType="begin"/>
        </w:r>
        <w:r w:rsidR="00DA65C2">
          <w:rPr>
            <w:noProof/>
            <w:webHidden/>
          </w:rPr>
          <w:instrText xml:space="preserve"> PAGEREF _Toc417378283 \h </w:instrText>
        </w:r>
        <w:r w:rsidR="00DA65C2">
          <w:rPr>
            <w:noProof/>
            <w:webHidden/>
          </w:rPr>
        </w:r>
        <w:r w:rsidR="00DA65C2">
          <w:rPr>
            <w:noProof/>
            <w:webHidden/>
          </w:rPr>
          <w:fldChar w:fldCharType="separate"/>
        </w:r>
        <w:r w:rsidR="00AA3082">
          <w:rPr>
            <w:noProof/>
            <w:webHidden/>
          </w:rPr>
          <w:t>55</w:t>
        </w:r>
        <w:r w:rsidR="00DA65C2">
          <w:rPr>
            <w:noProof/>
            <w:webHidden/>
          </w:rPr>
          <w:fldChar w:fldCharType="end"/>
        </w:r>
      </w:hyperlink>
    </w:p>
    <w:p w14:paraId="199855BB" w14:textId="119B226D" w:rsidR="00DA65C2" w:rsidRDefault="00A65A8D">
      <w:pPr>
        <w:pStyle w:val="Iliustracijsraas"/>
        <w:tabs>
          <w:tab w:val="right" w:leader="dot" w:pos="9016"/>
        </w:tabs>
        <w:rPr>
          <w:rFonts w:eastAsiaTheme="minorEastAsia"/>
          <w:noProof/>
        </w:rPr>
      </w:pPr>
      <w:hyperlink w:anchor="_Toc417378284" w:history="1">
        <w:r w:rsidR="00DA65C2" w:rsidRPr="006C100C">
          <w:rPr>
            <w:rStyle w:val="Hipersaitas"/>
            <w:noProof/>
            <w:lang w:val="lt-LT"/>
          </w:rPr>
          <w:t xml:space="preserve">Paveikslas 7. Pastatų remonto sąnaudų elementų kainų indeksai 2004-2013, palyginti su indekso baziniu laikotarpiu (2010 m. = 100). </w:t>
        </w:r>
        <w:r w:rsidR="00DA65C2" w:rsidRPr="006C100C">
          <w:rPr>
            <w:rStyle w:val="Hipersaitas"/>
            <w:i/>
            <w:noProof/>
            <w:lang w:val="lt-LT"/>
          </w:rPr>
          <w:t>Šaltinis: Lietuvos statistikos departamentas.</w:t>
        </w:r>
        <w:r w:rsidR="00DA65C2">
          <w:rPr>
            <w:noProof/>
            <w:webHidden/>
          </w:rPr>
          <w:tab/>
        </w:r>
        <w:r w:rsidR="00DA65C2">
          <w:rPr>
            <w:noProof/>
            <w:webHidden/>
          </w:rPr>
          <w:fldChar w:fldCharType="begin"/>
        </w:r>
        <w:r w:rsidR="00DA65C2">
          <w:rPr>
            <w:noProof/>
            <w:webHidden/>
          </w:rPr>
          <w:instrText xml:space="preserve"> PAGEREF _Toc417378284 \h </w:instrText>
        </w:r>
        <w:r w:rsidR="00DA65C2">
          <w:rPr>
            <w:noProof/>
            <w:webHidden/>
          </w:rPr>
        </w:r>
        <w:r w:rsidR="00DA65C2">
          <w:rPr>
            <w:noProof/>
            <w:webHidden/>
          </w:rPr>
          <w:fldChar w:fldCharType="separate"/>
        </w:r>
        <w:r w:rsidR="00AA3082">
          <w:rPr>
            <w:noProof/>
            <w:webHidden/>
          </w:rPr>
          <w:t>67</w:t>
        </w:r>
        <w:r w:rsidR="00DA65C2">
          <w:rPr>
            <w:noProof/>
            <w:webHidden/>
          </w:rPr>
          <w:fldChar w:fldCharType="end"/>
        </w:r>
      </w:hyperlink>
    </w:p>
    <w:p w14:paraId="041D94B8" w14:textId="5F354B1D" w:rsidR="00DA65C2" w:rsidRDefault="00A65A8D">
      <w:pPr>
        <w:pStyle w:val="Iliustracijsraas"/>
        <w:tabs>
          <w:tab w:val="right" w:leader="dot" w:pos="9016"/>
        </w:tabs>
        <w:rPr>
          <w:rFonts w:eastAsiaTheme="minorEastAsia"/>
          <w:noProof/>
        </w:rPr>
      </w:pPr>
      <w:hyperlink w:anchor="_Toc417378285" w:history="1">
        <w:r w:rsidR="00DA65C2" w:rsidRPr="006C100C">
          <w:rPr>
            <w:rStyle w:val="Hipersaitas"/>
            <w:noProof/>
            <w:lang w:val="lt-LT"/>
          </w:rPr>
          <w:t xml:space="preserve">Paveikslas 8. ESCO rinkos barjerai Lietuvoje. </w:t>
        </w:r>
        <w:r w:rsidR="00DA65C2" w:rsidRPr="006C100C">
          <w:rPr>
            <w:rStyle w:val="Hipersaitas"/>
            <w:i/>
            <w:noProof/>
            <w:lang w:val="lt-LT"/>
          </w:rPr>
          <w:t>Šaltinis: Europos Komisijos 2013 m. ESCO rinkos ataskaita.</w:t>
        </w:r>
        <w:r w:rsidR="00DA65C2">
          <w:rPr>
            <w:noProof/>
            <w:webHidden/>
          </w:rPr>
          <w:tab/>
        </w:r>
        <w:r w:rsidR="00DA65C2">
          <w:rPr>
            <w:noProof/>
            <w:webHidden/>
          </w:rPr>
          <w:fldChar w:fldCharType="begin"/>
        </w:r>
        <w:r w:rsidR="00DA65C2">
          <w:rPr>
            <w:noProof/>
            <w:webHidden/>
          </w:rPr>
          <w:instrText xml:space="preserve"> PAGEREF _Toc417378285 \h </w:instrText>
        </w:r>
        <w:r w:rsidR="00DA65C2">
          <w:rPr>
            <w:noProof/>
            <w:webHidden/>
          </w:rPr>
        </w:r>
        <w:r w:rsidR="00DA65C2">
          <w:rPr>
            <w:noProof/>
            <w:webHidden/>
          </w:rPr>
          <w:fldChar w:fldCharType="separate"/>
        </w:r>
        <w:r w:rsidR="00AA3082">
          <w:rPr>
            <w:noProof/>
            <w:webHidden/>
          </w:rPr>
          <w:t>72</w:t>
        </w:r>
        <w:r w:rsidR="00DA65C2">
          <w:rPr>
            <w:noProof/>
            <w:webHidden/>
          </w:rPr>
          <w:fldChar w:fldCharType="end"/>
        </w:r>
      </w:hyperlink>
    </w:p>
    <w:p w14:paraId="7DDF09A4" w14:textId="2555D0A9" w:rsidR="00DA65C2" w:rsidRDefault="00A65A8D">
      <w:pPr>
        <w:pStyle w:val="Iliustracijsraas"/>
        <w:tabs>
          <w:tab w:val="right" w:leader="dot" w:pos="9016"/>
        </w:tabs>
        <w:rPr>
          <w:rFonts w:eastAsiaTheme="minorEastAsia"/>
          <w:noProof/>
        </w:rPr>
      </w:pPr>
      <w:hyperlink w:anchor="_Toc417378286" w:history="1">
        <w:r w:rsidR="00DA65C2" w:rsidRPr="006C100C">
          <w:rPr>
            <w:rStyle w:val="Hipersaitas"/>
            <w:noProof/>
            <w:lang w:val="lt-LT"/>
          </w:rPr>
          <w:t>Paveikslas 9.</w:t>
        </w:r>
        <w:r w:rsidR="00DA65C2" w:rsidRPr="006C100C">
          <w:rPr>
            <w:rStyle w:val="Hipersaitas"/>
            <w:noProof/>
            <w:lang w:val="lt-LT" w:eastAsia="lt-LT"/>
          </w:rPr>
          <w:t xml:space="preserve"> ESCO rinkos Lietuvoje ypatybės.</w:t>
        </w:r>
        <w:r w:rsidR="00DA65C2" w:rsidRPr="006C100C">
          <w:rPr>
            <w:rStyle w:val="Hipersaitas"/>
            <w:i/>
            <w:noProof/>
            <w:lang w:val="lt-LT"/>
          </w:rPr>
          <w:t xml:space="preserve"> Šaltinis: Europos Komisijos 2013 m. ESCO rinkos ataskaita.</w:t>
        </w:r>
        <w:r w:rsidR="00DA65C2">
          <w:rPr>
            <w:noProof/>
            <w:webHidden/>
          </w:rPr>
          <w:tab/>
        </w:r>
        <w:r w:rsidR="00DA65C2">
          <w:rPr>
            <w:noProof/>
            <w:webHidden/>
          </w:rPr>
          <w:fldChar w:fldCharType="begin"/>
        </w:r>
        <w:r w:rsidR="00DA65C2">
          <w:rPr>
            <w:noProof/>
            <w:webHidden/>
          </w:rPr>
          <w:instrText xml:space="preserve"> PAGEREF _Toc417378286 \h </w:instrText>
        </w:r>
        <w:r w:rsidR="00DA65C2">
          <w:rPr>
            <w:noProof/>
            <w:webHidden/>
          </w:rPr>
        </w:r>
        <w:r w:rsidR="00DA65C2">
          <w:rPr>
            <w:noProof/>
            <w:webHidden/>
          </w:rPr>
          <w:fldChar w:fldCharType="separate"/>
        </w:r>
        <w:r w:rsidR="00AA3082">
          <w:rPr>
            <w:noProof/>
            <w:webHidden/>
          </w:rPr>
          <w:t>73</w:t>
        </w:r>
        <w:r w:rsidR="00DA65C2">
          <w:rPr>
            <w:noProof/>
            <w:webHidden/>
          </w:rPr>
          <w:fldChar w:fldCharType="end"/>
        </w:r>
      </w:hyperlink>
    </w:p>
    <w:p w14:paraId="7081DE9F" w14:textId="1B7164F4" w:rsidR="00DA65C2" w:rsidRDefault="00A65A8D">
      <w:pPr>
        <w:pStyle w:val="Iliustracijsraas"/>
        <w:tabs>
          <w:tab w:val="right" w:leader="dot" w:pos="9016"/>
        </w:tabs>
        <w:rPr>
          <w:rFonts w:eastAsiaTheme="minorEastAsia"/>
          <w:noProof/>
        </w:rPr>
      </w:pPr>
      <w:hyperlink w:anchor="_Toc417378287" w:history="1">
        <w:r w:rsidR="00DA65C2" w:rsidRPr="006C100C">
          <w:rPr>
            <w:rStyle w:val="Hipersaitas"/>
            <w:noProof/>
            <w:lang w:val="lt-LT"/>
          </w:rPr>
          <w:t>Paveikslas 10. ERPB 2013 m. finansuotų projektų pasiskirstymas pagal sektorius</w:t>
        </w:r>
        <w:r w:rsidR="00DA65C2">
          <w:rPr>
            <w:noProof/>
            <w:webHidden/>
          </w:rPr>
          <w:tab/>
        </w:r>
        <w:r w:rsidR="00DA65C2">
          <w:rPr>
            <w:noProof/>
            <w:webHidden/>
          </w:rPr>
          <w:fldChar w:fldCharType="begin"/>
        </w:r>
        <w:r w:rsidR="00DA65C2">
          <w:rPr>
            <w:noProof/>
            <w:webHidden/>
          </w:rPr>
          <w:instrText xml:space="preserve"> PAGEREF _Toc417378287 \h </w:instrText>
        </w:r>
        <w:r w:rsidR="00DA65C2">
          <w:rPr>
            <w:noProof/>
            <w:webHidden/>
          </w:rPr>
        </w:r>
        <w:r w:rsidR="00DA65C2">
          <w:rPr>
            <w:noProof/>
            <w:webHidden/>
          </w:rPr>
          <w:fldChar w:fldCharType="separate"/>
        </w:r>
        <w:r w:rsidR="00AA3082">
          <w:rPr>
            <w:noProof/>
            <w:webHidden/>
          </w:rPr>
          <w:t>75</w:t>
        </w:r>
        <w:r w:rsidR="00DA65C2">
          <w:rPr>
            <w:noProof/>
            <w:webHidden/>
          </w:rPr>
          <w:fldChar w:fldCharType="end"/>
        </w:r>
      </w:hyperlink>
    </w:p>
    <w:p w14:paraId="41467851" w14:textId="3387C54F" w:rsidR="00DA65C2" w:rsidRDefault="00A65A8D">
      <w:pPr>
        <w:pStyle w:val="Iliustracijsraas"/>
        <w:tabs>
          <w:tab w:val="right" w:leader="dot" w:pos="9016"/>
        </w:tabs>
        <w:rPr>
          <w:rFonts w:eastAsiaTheme="minorEastAsia"/>
          <w:noProof/>
        </w:rPr>
      </w:pPr>
      <w:hyperlink w:anchor="_Toc417378288" w:history="1">
        <w:r w:rsidR="00DA65C2" w:rsidRPr="006C100C">
          <w:rPr>
            <w:rStyle w:val="Hipersaitas"/>
            <w:noProof/>
            <w:lang w:val="lt-LT"/>
          </w:rPr>
          <w:t>Paveikslas 11. ERPB Lietuvoje finansuojamų projektų pasiskirstymas pagal sektorius.</w:t>
        </w:r>
        <w:r w:rsidR="00DA65C2">
          <w:rPr>
            <w:noProof/>
            <w:webHidden/>
          </w:rPr>
          <w:tab/>
        </w:r>
        <w:r w:rsidR="00DA65C2">
          <w:rPr>
            <w:noProof/>
            <w:webHidden/>
          </w:rPr>
          <w:fldChar w:fldCharType="begin"/>
        </w:r>
        <w:r w:rsidR="00DA65C2">
          <w:rPr>
            <w:noProof/>
            <w:webHidden/>
          </w:rPr>
          <w:instrText xml:space="preserve"> PAGEREF _Toc417378288 \h </w:instrText>
        </w:r>
        <w:r w:rsidR="00DA65C2">
          <w:rPr>
            <w:noProof/>
            <w:webHidden/>
          </w:rPr>
        </w:r>
        <w:r w:rsidR="00DA65C2">
          <w:rPr>
            <w:noProof/>
            <w:webHidden/>
          </w:rPr>
          <w:fldChar w:fldCharType="separate"/>
        </w:r>
        <w:r w:rsidR="00AA3082">
          <w:rPr>
            <w:noProof/>
            <w:webHidden/>
          </w:rPr>
          <w:t>78</w:t>
        </w:r>
        <w:r w:rsidR="00DA65C2">
          <w:rPr>
            <w:noProof/>
            <w:webHidden/>
          </w:rPr>
          <w:fldChar w:fldCharType="end"/>
        </w:r>
      </w:hyperlink>
    </w:p>
    <w:p w14:paraId="47828D53" w14:textId="55A42DA0" w:rsidR="00DA65C2" w:rsidRDefault="00A65A8D">
      <w:pPr>
        <w:pStyle w:val="Iliustracijsraas"/>
        <w:tabs>
          <w:tab w:val="right" w:leader="dot" w:pos="9016"/>
        </w:tabs>
        <w:rPr>
          <w:rFonts w:eastAsiaTheme="minorEastAsia"/>
          <w:noProof/>
        </w:rPr>
      </w:pPr>
      <w:hyperlink w:anchor="_Toc417378289" w:history="1">
        <w:r w:rsidR="00DA65C2" w:rsidRPr="006C100C">
          <w:rPr>
            <w:rStyle w:val="Hipersaitas"/>
            <w:noProof/>
            <w:lang w:val="lt-LT"/>
          </w:rPr>
          <w:t>Paveikslas 12. 2013 m. pasirašytų sutarčių pasiskirstymas pagal sektorius</w:t>
        </w:r>
        <w:r w:rsidR="00DA65C2">
          <w:rPr>
            <w:noProof/>
            <w:webHidden/>
          </w:rPr>
          <w:tab/>
        </w:r>
        <w:r w:rsidR="00DA65C2">
          <w:rPr>
            <w:noProof/>
            <w:webHidden/>
          </w:rPr>
          <w:fldChar w:fldCharType="begin"/>
        </w:r>
        <w:r w:rsidR="00DA65C2">
          <w:rPr>
            <w:noProof/>
            <w:webHidden/>
          </w:rPr>
          <w:instrText xml:space="preserve"> PAGEREF _Toc417378289 \h </w:instrText>
        </w:r>
        <w:r w:rsidR="00DA65C2">
          <w:rPr>
            <w:noProof/>
            <w:webHidden/>
          </w:rPr>
        </w:r>
        <w:r w:rsidR="00DA65C2">
          <w:rPr>
            <w:noProof/>
            <w:webHidden/>
          </w:rPr>
          <w:fldChar w:fldCharType="separate"/>
        </w:r>
        <w:r w:rsidR="00AA3082">
          <w:rPr>
            <w:noProof/>
            <w:webHidden/>
          </w:rPr>
          <w:t>82</w:t>
        </w:r>
        <w:r w:rsidR="00DA65C2">
          <w:rPr>
            <w:noProof/>
            <w:webHidden/>
          </w:rPr>
          <w:fldChar w:fldCharType="end"/>
        </w:r>
      </w:hyperlink>
    </w:p>
    <w:p w14:paraId="76747115" w14:textId="5E83C73B" w:rsidR="00DA65C2" w:rsidRDefault="00A65A8D">
      <w:pPr>
        <w:pStyle w:val="Iliustracijsraas"/>
        <w:tabs>
          <w:tab w:val="right" w:leader="dot" w:pos="9016"/>
        </w:tabs>
        <w:rPr>
          <w:rFonts w:eastAsiaTheme="minorEastAsia"/>
          <w:noProof/>
        </w:rPr>
      </w:pPr>
      <w:hyperlink w:anchor="_Toc417378290" w:history="1">
        <w:r w:rsidR="00DA65C2" w:rsidRPr="006C100C">
          <w:rPr>
            <w:rStyle w:val="Hipersaitas"/>
            <w:noProof/>
            <w:lang w:val="lt-LT"/>
          </w:rPr>
          <w:t>Paveikslas 13. 2013 m. pasirašytų sutarčių pasiskirstymas pagal sektorius (Europos Sąjungoje) (mln. eurų)</w:t>
        </w:r>
        <w:r w:rsidR="00DA65C2">
          <w:rPr>
            <w:noProof/>
            <w:webHidden/>
          </w:rPr>
          <w:tab/>
        </w:r>
        <w:r w:rsidR="00DA65C2">
          <w:rPr>
            <w:noProof/>
            <w:webHidden/>
          </w:rPr>
          <w:fldChar w:fldCharType="begin"/>
        </w:r>
        <w:r w:rsidR="00DA65C2">
          <w:rPr>
            <w:noProof/>
            <w:webHidden/>
          </w:rPr>
          <w:instrText xml:space="preserve"> PAGEREF _Toc417378290 \h </w:instrText>
        </w:r>
        <w:r w:rsidR="00DA65C2">
          <w:rPr>
            <w:noProof/>
            <w:webHidden/>
          </w:rPr>
        </w:r>
        <w:r w:rsidR="00DA65C2">
          <w:rPr>
            <w:noProof/>
            <w:webHidden/>
          </w:rPr>
          <w:fldChar w:fldCharType="separate"/>
        </w:r>
        <w:r w:rsidR="00AA3082">
          <w:rPr>
            <w:noProof/>
            <w:webHidden/>
          </w:rPr>
          <w:t>87</w:t>
        </w:r>
        <w:r w:rsidR="00DA65C2">
          <w:rPr>
            <w:noProof/>
            <w:webHidden/>
          </w:rPr>
          <w:fldChar w:fldCharType="end"/>
        </w:r>
      </w:hyperlink>
    </w:p>
    <w:p w14:paraId="6C231ADA" w14:textId="7B8807E9" w:rsidR="00DA65C2" w:rsidRDefault="00A65A8D">
      <w:pPr>
        <w:pStyle w:val="Iliustracijsraas"/>
        <w:tabs>
          <w:tab w:val="right" w:leader="dot" w:pos="9016"/>
        </w:tabs>
        <w:rPr>
          <w:rFonts w:eastAsiaTheme="minorEastAsia"/>
          <w:noProof/>
        </w:rPr>
      </w:pPr>
      <w:hyperlink w:anchor="_Toc417378291" w:history="1">
        <w:r w:rsidR="00DA65C2" w:rsidRPr="006C100C">
          <w:rPr>
            <w:rStyle w:val="Hipersaitas"/>
            <w:noProof/>
            <w:lang w:val="lt-LT"/>
          </w:rPr>
          <w:t>Paveikslas 14. 2013 m. pasirašytų sutarčių pasiskirstymas pagal sektorius (Valstybės partnerės) (mln. eurų).</w:t>
        </w:r>
        <w:r w:rsidR="00DA65C2">
          <w:rPr>
            <w:noProof/>
            <w:webHidden/>
          </w:rPr>
          <w:tab/>
        </w:r>
        <w:r w:rsidR="00DA65C2">
          <w:rPr>
            <w:noProof/>
            <w:webHidden/>
          </w:rPr>
          <w:fldChar w:fldCharType="begin"/>
        </w:r>
        <w:r w:rsidR="00DA65C2">
          <w:rPr>
            <w:noProof/>
            <w:webHidden/>
          </w:rPr>
          <w:instrText xml:space="preserve"> PAGEREF _Toc417378291 \h </w:instrText>
        </w:r>
        <w:r w:rsidR="00DA65C2">
          <w:rPr>
            <w:noProof/>
            <w:webHidden/>
          </w:rPr>
        </w:r>
        <w:r w:rsidR="00DA65C2">
          <w:rPr>
            <w:noProof/>
            <w:webHidden/>
          </w:rPr>
          <w:fldChar w:fldCharType="separate"/>
        </w:r>
        <w:r w:rsidR="00AA3082">
          <w:rPr>
            <w:noProof/>
            <w:webHidden/>
          </w:rPr>
          <w:t>87</w:t>
        </w:r>
        <w:r w:rsidR="00DA65C2">
          <w:rPr>
            <w:noProof/>
            <w:webHidden/>
          </w:rPr>
          <w:fldChar w:fldCharType="end"/>
        </w:r>
      </w:hyperlink>
    </w:p>
    <w:p w14:paraId="19CA1083" w14:textId="38C29CAB" w:rsidR="00DA65C2" w:rsidRDefault="00A65A8D">
      <w:pPr>
        <w:pStyle w:val="Iliustracijsraas"/>
        <w:tabs>
          <w:tab w:val="right" w:leader="dot" w:pos="9016"/>
        </w:tabs>
        <w:rPr>
          <w:rFonts w:eastAsiaTheme="minorEastAsia"/>
          <w:noProof/>
        </w:rPr>
      </w:pPr>
      <w:hyperlink w:anchor="_Toc417378292" w:history="1">
        <w:r w:rsidR="00DA65C2" w:rsidRPr="006C100C">
          <w:rPr>
            <w:rStyle w:val="Hipersaitas"/>
            <w:noProof/>
            <w:lang w:val="lt-LT"/>
          </w:rPr>
          <w:t>Paveikslas 15. EIB paskolų pasiskirstymas pagal sektorius</w:t>
        </w:r>
        <w:r w:rsidR="00DA65C2">
          <w:rPr>
            <w:noProof/>
            <w:webHidden/>
          </w:rPr>
          <w:tab/>
        </w:r>
        <w:r w:rsidR="00DA65C2">
          <w:rPr>
            <w:noProof/>
            <w:webHidden/>
          </w:rPr>
          <w:fldChar w:fldCharType="begin"/>
        </w:r>
        <w:r w:rsidR="00DA65C2">
          <w:rPr>
            <w:noProof/>
            <w:webHidden/>
          </w:rPr>
          <w:instrText xml:space="preserve"> PAGEREF _Toc417378292 \h </w:instrText>
        </w:r>
        <w:r w:rsidR="00DA65C2">
          <w:rPr>
            <w:noProof/>
            <w:webHidden/>
          </w:rPr>
        </w:r>
        <w:r w:rsidR="00DA65C2">
          <w:rPr>
            <w:noProof/>
            <w:webHidden/>
          </w:rPr>
          <w:fldChar w:fldCharType="separate"/>
        </w:r>
        <w:r w:rsidR="00AA3082">
          <w:rPr>
            <w:noProof/>
            <w:webHidden/>
          </w:rPr>
          <w:t>90</w:t>
        </w:r>
        <w:r w:rsidR="00DA65C2">
          <w:rPr>
            <w:noProof/>
            <w:webHidden/>
          </w:rPr>
          <w:fldChar w:fldCharType="end"/>
        </w:r>
      </w:hyperlink>
    </w:p>
    <w:p w14:paraId="77E83A0B" w14:textId="7623095B" w:rsidR="00DA65C2" w:rsidRDefault="00A65A8D">
      <w:pPr>
        <w:pStyle w:val="Iliustracijsraas"/>
        <w:tabs>
          <w:tab w:val="right" w:leader="dot" w:pos="9016"/>
        </w:tabs>
        <w:rPr>
          <w:rFonts w:eastAsiaTheme="minorEastAsia"/>
          <w:noProof/>
        </w:rPr>
      </w:pPr>
      <w:hyperlink w:anchor="_Toc417378293" w:history="1">
        <w:r w:rsidR="00DA65C2" w:rsidRPr="006C100C">
          <w:rPr>
            <w:rStyle w:val="Hipersaitas"/>
            <w:noProof/>
            <w:lang w:val="lt-LT"/>
          </w:rPr>
          <w:t>Paveikslas 16. 2013 m. pasirašytų sutarčių pasiskirstymas pagal sektorius</w:t>
        </w:r>
        <w:r w:rsidR="00DA65C2">
          <w:rPr>
            <w:noProof/>
            <w:webHidden/>
          </w:rPr>
          <w:tab/>
        </w:r>
        <w:r w:rsidR="00DA65C2">
          <w:rPr>
            <w:noProof/>
            <w:webHidden/>
          </w:rPr>
          <w:fldChar w:fldCharType="begin"/>
        </w:r>
        <w:r w:rsidR="00DA65C2">
          <w:rPr>
            <w:noProof/>
            <w:webHidden/>
          </w:rPr>
          <w:instrText xml:space="preserve"> PAGEREF _Toc417378293 \h </w:instrText>
        </w:r>
        <w:r w:rsidR="00DA65C2">
          <w:rPr>
            <w:noProof/>
            <w:webHidden/>
          </w:rPr>
        </w:r>
        <w:r w:rsidR="00DA65C2">
          <w:rPr>
            <w:noProof/>
            <w:webHidden/>
          </w:rPr>
          <w:fldChar w:fldCharType="separate"/>
        </w:r>
        <w:r w:rsidR="00AA3082">
          <w:rPr>
            <w:noProof/>
            <w:webHidden/>
          </w:rPr>
          <w:t>93</w:t>
        </w:r>
        <w:r w:rsidR="00DA65C2">
          <w:rPr>
            <w:noProof/>
            <w:webHidden/>
          </w:rPr>
          <w:fldChar w:fldCharType="end"/>
        </w:r>
      </w:hyperlink>
    </w:p>
    <w:p w14:paraId="2307AAA3" w14:textId="3839E4E4" w:rsidR="00DA65C2" w:rsidRDefault="00A65A8D">
      <w:pPr>
        <w:pStyle w:val="Iliustracijsraas"/>
        <w:tabs>
          <w:tab w:val="right" w:leader="dot" w:pos="9016"/>
        </w:tabs>
        <w:rPr>
          <w:rFonts w:eastAsiaTheme="minorEastAsia"/>
          <w:noProof/>
        </w:rPr>
      </w:pPr>
      <w:hyperlink w:anchor="_Toc417378294" w:history="1">
        <w:r w:rsidR="00DA65C2" w:rsidRPr="006C100C">
          <w:rPr>
            <w:rStyle w:val="Hipersaitas"/>
            <w:noProof/>
            <w:lang w:val="lt-LT"/>
          </w:rPr>
          <w:t>Paveikslas 17. Finansinės priemonės lygiai, kuriuose galimas papildomų lėšų pritraukimas.</w:t>
        </w:r>
        <w:r w:rsidR="00DA65C2">
          <w:rPr>
            <w:noProof/>
            <w:webHidden/>
          </w:rPr>
          <w:tab/>
        </w:r>
        <w:r w:rsidR="00DA65C2">
          <w:rPr>
            <w:noProof/>
            <w:webHidden/>
          </w:rPr>
          <w:fldChar w:fldCharType="begin"/>
        </w:r>
        <w:r w:rsidR="00DA65C2">
          <w:rPr>
            <w:noProof/>
            <w:webHidden/>
          </w:rPr>
          <w:instrText xml:space="preserve"> PAGEREF _Toc417378294 \h </w:instrText>
        </w:r>
        <w:r w:rsidR="00DA65C2">
          <w:rPr>
            <w:noProof/>
            <w:webHidden/>
          </w:rPr>
        </w:r>
        <w:r w:rsidR="00DA65C2">
          <w:rPr>
            <w:noProof/>
            <w:webHidden/>
          </w:rPr>
          <w:fldChar w:fldCharType="separate"/>
        </w:r>
        <w:r w:rsidR="00AA3082">
          <w:rPr>
            <w:noProof/>
            <w:webHidden/>
          </w:rPr>
          <w:t>98</w:t>
        </w:r>
        <w:r w:rsidR="00DA65C2">
          <w:rPr>
            <w:noProof/>
            <w:webHidden/>
          </w:rPr>
          <w:fldChar w:fldCharType="end"/>
        </w:r>
      </w:hyperlink>
    </w:p>
    <w:p w14:paraId="782A05C1" w14:textId="7A13EC79" w:rsidR="00DA65C2" w:rsidRDefault="00A65A8D">
      <w:pPr>
        <w:pStyle w:val="Iliustracijsraas"/>
        <w:tabs>
          <w:tab w:val="right" w:leader="dot" w:pos="9016"/>
        </w:tabs>
        <w:rPr>
          <w:rFonts w:eastAsiaTheme="minorEastAsia"/>
          <w:noProof/>
        </w:rPr>
      </w:pPr>
      <w:hyperlink w:anchor="_Toc417378295" w:history="1">
        <w:r w:rsidR="00DA65C2" w:rsidRPr="006C100C">
          <w:rPr>
            <w:rStyle w:val="Hipersaitas"/>
            <w:noProof/>
            <w:lang w:val="lt-LT"/>
          </w:rPr>
          <w:t>Paveikslas 18. Fondų fondo sukūrimo modelis.</w:t>
        </w:r>
        <w:r w:rsidR="00DA65C2">
          <w:rPr>
            <w:noProof/>
            <w:webHidden/>
          </w:rPr>
          <w:tab/>
        </w:r>
        <w:r w:rsidR="00DA65C2">
          <w:rPr>
            <w:noProof/>
            <w:webHidden/>
          </w:rPr>
          <w:fldChar w:fldCharType="begin"/>
        </w:r>
        <w:r w:rsidR="00DA65C2">
          <w:rPr>
            <w:noProof/>
            <w:webHidden/>
          </w:rPr>
          <w:instrText xml:space="preserve"> PAGEREF _Toc417378295 \h </w:instrText>
        </w:r>
        <w:r w:rsidR="00DA65C2">
          <w:rPr>
            <w:noProof/>
            <w:webHidden/>
          </w:rPr>
        </w:r>
        <w:r w:rsidR="00DA65C2">
          <w:rPr>
            <w:noProof/>
            <w:webHidden/>
          </w:rPr>
          <w:fldChar w:fldCharType="separate"/>
        </w:r>
        <w:r w:rsidR="00AA3082">
          <w:rPr>
            <w:noProof/>
            <w:webHidden/>
          </w:rPr>
          <w:t>102</w:t>
        </w:r>
        <w:r w:rsidR="00DA65C2">
          <w:rPr>
            <w:noProof/>
            <w:webHidden/>
          </w:rPr>
          <w:fldChar w:fldCharType="end"/>
        </w:r>
      </w:hyperlink>
    </w:p>
    <w:p w14:paraId="7F2BB572" w14:textId="28904081" w:rsidR="00DA65C2" w:rsidRDefault="00A65A8D">
      <w:pPr>
        <w:pStyle w:val="Iliustracijsraas"/>
        <w:tabs>
          <w:tab w:val="right" w:leader="dot" w:pos="9016"/>
        </w:tabs>
        <w:rPr>
          <w:rFonts w:eastAsiaTheme="minorEastAsia"/>
          <w:noProof/>
        </w:rPr>
      </w:pPr>
      <w:hyperlink w:anchor="_Toc417378296" w:history="1">
        <w:r w:rsidR="00DA65C2" w:rsidRPr="006C100C">
          <w:rPr>
            <w:rStyle w:val="Hipersaitas"/>
            <w:noProof/>
            <w:lang w:val="lt-LT"/>
          </w:rPr>
          <w:t>Paveikslas 19. Juridinio asmens statusą turinčio fondo steigimo modelis.</w:t>
        </w:r>
        <w:r w:rsidR="00DA65C2">
          <w:rPr>
            <w:noProof/>
            <w:webHidden/>
          </w:rPr>
          <w:tab/>
        </w:r>
        <w:r w:rsidR="00DA65C2">
          <w:rPr>
            <w:noProof/>
            <w:webHidden/>
          </w:rPr>
          <w:fldChar w:fldCharType="begin"/>
        </w:r>
        <w:r w:rsidR="00DA65C2">
          <w:rPr>
            <w:noProof/>
            <w:webHidden/>
          </w:rPr>
          <w:instrText xml:space="preserve"> PAGEREF _Toc417378296 \h </w:instrText>
        </w:r>
        <w:r w:rsidR="00DA65C2">
          <w:rPr>
            <w:noProof/>
            <w:webHidden/>
          </w:rPr>
        </w:r>
        <w:r w:rsidR="00DA65C2">
          <w:rPr>
            <w:noProof/>
            <w:webHidden/>
          </w:rPr>
          <w:fldChar w:fldCharType="separate"/>
        </w:r>
        <w:r w:rsidR="00AA3082">
          <w:rPr>
            <w:noProof/>
            <w:webHidden/>
          </w:rPr>
          <w:t>103</w:t>
        </w:r>
        <w:r w:rsidR="00DA65C2">
          <w:rPr>
            <w:noProof/>
            <w:webHidden/>
          </w:rPr>
          <w:fldChar w:fldCharType="end"/>
        </w:r>
      </w:hyperlink>
    </w:p>
    <w:p w14:paraId="4ADCCBD4" w14:textId="709F59F7" w:rsidR="00DA65C2" w:rsidRDefault="00A65A8D">
      <w:pPr>
        <w:pStyle w:val="Iliustracijsraas"/>
        <w:tabs>
          <w:tab w:val="right" w:leader="dot" w:pos="9016"/>
        </w:tabs>
        <w:rPr>
          <w:rFonts w:eastAsiaTheme="minorEastAsia"/>
          <w:noProof/>
        </w:rPr>
      </w:pPr>
      <w:hyperlink w:anchor="_Toc417378297" w:history="1">
        <w:r w:rsidR="00DA65C2" w:rsidRPr="006C100C">
          <w:rPr>
            <w:rStyle w:val="Hipersaitas"/>
            <w:noProof/>
            <w:lang w:val="lt-LT"/>
          </w:rPr>
          <w:t>Paveikslas 20. Fondų fondo ir investicinio fondo (turinčio juridinio asmens statusą) steigimas</w:t>
        </w:r>
        <w:r w:rsidR="00DA65C2">
          <w:rPr>
            <w:noProof/>
            <w:webHidden/>
          </w:rPr>
          <w:tab/>
        </w:r>
        <w:r w:rsidR="00DA65C2">
          <w:rPr>
            <w:noProof/>
            <w:webHidden/>
          </w:rPr>
          <w:fldChar w:fldCharType="begin"/>
        </w:r>
        <w:r w:rsidR="00DA65C2">
          <w:rPr>
            <w:noProof/>
            <w:webHidden/>
          </w:rPr>
          <w:instrText xml:space="preserve"> PAGEREF _Toc417378297 \h </w:instrText>
        </w:r>
        <w:r w:rsidR="00DA65C2">
          <w:rPr>
            <w:noProof/>
            <w:webHidden/>
          </w:rPr>
        </w:r>
        <w:r w:rsidR="00DA65C2">
          <w:rPr>
            <w:noProof/>
            <w:webHidden/>
          </w:rPr>
          <w:fldChar w:fldCharType="separate"/>
        </w:r>
        <w:r w:rsidR="00AA3082">
          <w:rPr>
            <w:noProof/>
            <w:webHidden/>
          </w:rPr>
          <w:t>104</w:t>
        </w:r>
        <w:r w:rsidR="00DA65C2">
          <w:rPr>
            <w:noProof/>
            <w:webHidden/>
          </w:rPr>
          <w:fldChar w:fldCharType="end"/>
        </w:r>
      </w:hyperlink>
    </w:p>
    <w:p w14:paraId="13844FC5" w14:textId="704F8B20" w:rsidR="00DA65C2" w:rsidRDefault="00A65A8D">
      <w:pPr>
        <w:pStyle w:val="Iliustracijsraas"/>
        <w:tabs>
          <w:tab w:val="right" w:leader="dot" w:pos="9016"/>
        </w:tabs>
        <w:rPr>
          <w:rFonts w:eastAsiaTheme="minorEastAsia"/>
          <w:noProof/>
        </w:rPr>
      </w:pPr>
      <w:hyperlink w:anchor="_Toc417378298" w:history="1">
        <w:r w:rsidR="00DA65C2" w:rsidRPr="006C100C">
          <w:rPr>
            <w:rStyle w:val="Hipersaitas"/>
            <w:noProof/>
            <w:lang w:val="lt-LT"/>
          </w:rPr>
          <w:t>Paveikslas 21. Daugiabučių scenarijaus Nr. 1 veikimo schema.</w:t>
        </w:r>
        <w:r w:rsidR="00DA65C2">
          <w:rPr>
            <w:noProof/>
            <w:webHidden/>
          </w:rPr>
          <w:tab/>
        </w:r>
        <w:r w:rsidR="00DA65C2">
          <w:rPr>
            <w:noProof/>
            <w:webHidden/>
          </w:rPr>
          <w:fldChar w:fldCharType="begin"/>
        </w:r>
        <w:r w:rsidR="00DA65C2">
          <w:rPr>
            <w:noProof/>
            <w:webHidden/>
          </w:rPr>
          <w:instrText xml:space="preserve"> PAGEREF _Toc417378298 \h </w:instrText>
        </w:r>
        <w:r w:rsidR="00DA65C2">
          <w:rPr>
            <w:noProof/>
            <w:webHidden/>
          </w:rPr>
        </w:r>
        <w:r w:rsidR="00DA65C2">
          <w:rPr>
            <w:noProof/>
            <w:webHidden/>
          </w:rPr>
          <w:fldChar w:fldCharType="separate"/>
        </w:r>
        <w:r w:rsidR="00AA3082">
          <w:rPr>
            <w:noProof/>
            <w:webHidden/>
          </w:rPr>
          <w:t>115</w:t>
        </w:r>
        <w:r w:rsidR="00DA65C2">
          <w:rPr>
            <w:noProof/>
            <w:webHidden/>
          </w:rPr>
          <w:fldChar w:fldCharType="end"/>
        </w:r>
      </w:hyperlink>
    </w:p>
    <w:p w14:paraId="55F5048B" w14:textId="1458EB78" w:rsidR="00DA65C2" w:rsidRDefault="00A65A8D">
      <w:pPr>
        <w:pStyle w:val="Iliustracijsraas"/>
        <w:tabs>
          <w:tab w:val="right" w:leader="dot" w:pos="9016"/>
        </w:tabs>
        <w:rPr>
          <w:rFonts w:eastAsiaTheme="minorEastAsia"/>
          <w:noProof/>
        </w:rPr>
      </w:pPr>
      <w:hyperlink w:anchor="_Toc417378299" w:history="1">
        <w:r w:rsidR="00DA65C2" w:rsidRPr="006C100C">
          <w:rPr>
            <w:rStyle w:val="Hipersaitas"/>
            <w:noProof/>
            <w:lang w:val="lt-LT"/>
          </w:rPr>
          <w:t>Paveikslas 22. Daugiabučių scenarijaus Nr. 2 schema.</w:t>
        </w:r>
        <w:r w:rsidR="00DA65C2">
          <w:rPr>
            <w:noProof/>
            <w:webHidden/>
          </w:rPr>
          <w:tab/>
        </w:r>
        <w:r w:rsidR="00DA65C2">
          <w:rPr>
            <w:noProof/>
            <w:webHidden/>
          </w:rPr>
          <w:fldChar w:fldCharType="begin"/>
        </w:r>
        <w:r w:rsidR="00DA65C2">
          <w:rPr>
            <w:noProof/>
            <w:webHidden/>
          </w:rPr>
          <w:instrText xml:space="preserve"> PAGEREF _Toc417378299 \h </w:instrText>
        </w:r>
        <w:r w:rsidR="00DA65C2">
          <w:rPr>
            <w:noProof/>
            <w:webHidden/>
          </w:rPr>
        </w:r>
        <w:r w:rsidR="00DA65C2">
          <w:rPr>
            <w:noProof/>
            <w:webHidden/>
          </w:rPr>
          <w:fldChar w:fldCharType="separate"/>
        </w:r>
        <w:r w:rsidR="00AA3082">
          <w:rPr>
            <w:noProof/>
            <w:webHidden/>
          </w:rPr>
          <w:t>117</w:t>
        </w:r>
        <w:r w:rsidR="00DA65C2">
          <w:rPr>
            <w:noProof/>
            <w:webHidden/>
          </w:rPr>
          <w:fldChar w:fldCharType="end"/>
        </w:r>
      </w:hyperlink>
    </w:p>
    <w:p w14:paraId="33BC2961" w14:textId="37234963" w:rsidR="00DA65C2" w:rsidRDefault="00A65A8D">
      <w:pPr>
        <w:pStyle w:val="Iliustracijsraas"/>
        <w:tabs>
          <w:tab w:val="right" w:leader="dot" w:pos="9016"/>
        </w:tabs>
        <w:rPr>
          <w:rFonts w:eastAsiaTheme="minorEastAsia"/>
          <w:noProof/>
        </w:rPr>
      </w:pPr>
      <w:hyperlink w:anchor="_Toc417378300" w:history="1">
        <w:r w:rsidR="00DA65C2" w:rsidRPr="006C100C">
          <w:rPr>
            <w:rStyle w:val="Hipersaitas"/>
            <w:noProof/>
            <w:lang w:val="lt-LT"/>
          </w:rPr>
          <w:t>Paveikslas 23. Daugiabučių scenarijaus Nr. 3 schema.</w:t>
        </w:r>
        <w:r w:rsidR="00DA65C2">
          <w:rPr>
            <w:noProof/>
            <w:webHidden/>
          </w:rPr>
          <w:tab/>
        </w:r>
        <w:r w:rsidR="00DA65C2">
          <w:rPr>
            <w:noProof/>
            <w:webHidden/>
          </w:rPr>
          <w:fldChar w:fldCharType="begin"/>
        </w:r>
        <w:r w:rsidR="00DA65C2">
          <w:rPr>
            <w:noProof/>
            <w:webHidden/>
          </w:rPr>
          <w:instrText xml:space="preserve"> PAGEREF _Toc417378300 \h </w:instrText>
        </w:r>
        <w:r w:rsidR="00DA65C2">
          <w:rPr>
            <w:noProof/>
            <w:webHidden/>
          </w:rPr>
        </w:r>
        <w:r w:rsidR="00DA65C2">
          <w:rPr>
            <w:noProof/>
            <w:webHidden/>
          </w:rPr>
          <w:fldChar w:fldCharType="separate"/>
        </w:r>
        <w:r w:rsidR="00AA3082">
          <w:rPr>
            <w:noProof/>
            <w:webHidden/>
          </w:rPr>
          <w:t>119</w:t>
        </w:r>
        <w:r w:rsidR="00DA65C2">
          <w:rPr>
            <w:noProof/>
            <w:webHidden/>
          </w:rPr>
          <w:fldChar w:fldCharType="end"/>
        </w:r>
      </w:hyperlink>
    </w:p>
    <w:p w14:paraId="548C42C2" w14:textId="359D9D54" w:rsidR="00DA65C2" w:rsidRDefault="00A65A8D">
      <w:pPr>
        <w:pStyle w:val="Iliustracijsraas"/>
        <w:tabs>
          <w:tab w:val="right" w:leader="dot" w:pos="9016"/>
        </w:tabs>
        <w:rPr>
          <w:rFonts w:eastAsiaTheme="minorEastAsia"/>
          <w:noProof/>
        </w:rPr>
      </w:pPr>
      <w:hyperlink w:anchor="_Toc417378301" w:history="1">
        <w:r w:rsidR="00DA65C2" w:rsidRPr="006C100C">
          <w:rPr>
            <w:rStyle w:val="Hipersaitas"/>
            <w:noProof/>
            <w:lang w:val="lt-LT"/>
          </w:rPr>
          <w:t>Paveikslas 24. Daugiabučių scenarijaus Nr. 4 schema.</w:t>
        </w:r>
        <w:r w:rsidR="00DA65C2">
          <w:rPr>
            <w:noProof/>
            <w:webHidden/>
          </w:rPr>
          <w:tab/>
        </w:r>
        <w:r w:rsidR="00DA65C2">
          <w:rPr>
            <w:noProof/>
            <w:webHidden/>
          </w:rPr>
          <w:fldChar w:fldCharType="begin"/>
        </w:r>
        <w:r w:rsidR="00DA65C2">
          <w:rPr>
            <w:noProof/>
            <w:webHidden/>
          </w:rPr>
          <w:instrText xml:space="preserve"> PAGEREF _Toc417378301 \h </w:instrText>
        </w:r>
        <w:r w:rsidR="00DA65C2">
          <w:rPr>
            <w:noProof/>
            <w:webHidden/>
          </w:rPr>
        </w:r>
        <w:r w:rsidR="00DA65C2">
          <w:rPr>
            <w:noProof/>
            <w:webHidden/>
          </w:rPr>
          <w:fldChar w:fldCharType="separate"/>
        </w:r>
        <w:r w:rsidR="00AA3082">
          <w:rPr>
            <w:noProof/>
            <w:webHidden/>
          </w:rPr>
          <w:t>122</w:t>
        </w:r>
        <w:r w:rsidR="00DA65C2">
          <w:rPr>
            <w:noProof/>
            <w:webHidden/>
          </w:rPr>
          <w:fldChar w:fldCharType="end"/>
        </w:r>
      </w:hyperlink>
    </w:p>
    <w:p w14:paraId="23E9E21F" w14:textId="27980EF0" w:rsidR="00DA65C2" w:rsidRDefault="00A65A8D">
      <w:pPr>
        <w:pStyle w:val="Iliustracijsraas"/>
        <w:tabs>
          <w:tab w:val="right" w:leader="dot" w:pos="9016"/>
        </w:tabs>
        <w:rPr>
          <w:rFonts w:eastAsiaTheme="minorEastAsia"/>
          <w:noProof/>
        </w:rPr>
      </w:pPr>
      <w:hyperlink w:anchor="_Toc417378302" w:history="1">
        <w:r w:rsidR="00DA65C2" w:rsidRPr="006C100C">
          <w:rPr>
            <w:rStyle w:val="Hipersaitas"/>
            <w:noProof/>
            <w:lang w:val="lt-LT"/>
          </w:rPr>
          <w:t>Paveikslas 25. Daugiabučių scenarijaus Nr. 5 schema.</w:t>
        </w:r>
        <w:r w:rsidR="00DA65C2">
          <w:rPr>
            <w:noProof/>
            <w:webHidden/>
          </w:rPr>
          <w:tab/>
        </w:r>
        <w:r w:rsidR="00DA65C2">
          <w:rPr>
            <w:noProof/>
            <w:webHidden/>
          </w:rPr>
          <w:fldChar w:fldCharType="begin"/>
        </w:r>
        <w:r w:rsidR="00DA65C2">
          <w:rPr>
            <w:noProof/>
            <w:webHidden/>
          </w:rPr>
          <w:instrText xml:space="preserve"> PAGEREF _Toc417378302 \h </w:instrText>
        </w:r>
        <w:r w:rsidR="00DA65C2">
          <w:rPr>
            <w:noProof/>
            <w:webHidden/>
          </w:rPr>
        </w:r>
        <w:r w:rsidR="00DA65C2">
          <w:rPr>
            <w:noProof/>
            <w:webHidden/>
          </w:rPr>
          <w:fldChar w:fldCharType="separate"/>
        </w:r>
        <w:r w:rsidR="00AA3082">
          <w:rPr>
            <w:noProof/>
            <w:webHidden/>
          </w:rPr>
          <w:t>125</w:t>
        </w:r>
        <w:r w:rsidR="00DA65C2">
          <w:rPr>
            <w:noProof/>
            <w:webHidden/>
          </w:rPr>
          <w:fldChar w:fldCharType="end"/>
        </w:r>
      </w:hyperlink>
    </w:p>
    <w:p w14:paraId="5E948A57" w14:textId="2B443BE0" w:rsidR="00DA65C2" w:rsidRDefault="00A65A8D">
      <w:pPr>
        <w:pStyle w:val="Iliustracijsraas"/>
        <w:tabs>
          <w:tab w:val="right" w:leader="dot" w:pos="9016"/>
        </w:tabs>
        <w:rPr>
          <w:rFonts w:eastAsiaTheme="minorEastAsia"/>
          <w:noProof/>
        </w:rPr>
      </w:pPr>
      <w:hyperlink w:anchor="_Toc417378303" w:history="1">
        <w:r w:rsidR="00DA65C2" w:rsidRPr="006C100C">
          <w:rPr>
            <w:rStyle w:val="Hipersaitas"/>
            <w:noProof/>
            <w:lang w:val="lt-LT"/>
          </w:rPr>
          <w:t>Paveikslas 26. Daugiabučių scenarijaus Nr. 6 schema.</w:t>
        </w:r>
        <w:r w:rsidR="00DA65C2">
          <w:rPr>
            <w:noProof/>
            <w:webHidden/>
          </w:rPr>
          <w:tab/>
        </w:r>
        <w:r w:rsidR="00DA65C2">
          <w:rPr>
            <w:noProof/>
            <w:webHidden/>
          </w:rPr>
          <w:fldChar w:fldCharType="begin"/>
        </w:r>
        <w:r w:rsidR="00DA65C2">
          <w:rPr>
            <w:noProof/>
            <w:webHidden/>
          </w:rPr>
          <w:instrText xml:space="preserve"> PAGEREF _Toc417378303 \h </w:instrText>
        </w:r>
        <w:r w:rsidR="00DA65C2">
          <w:rPr>
            <w:noProof/>
            <w:webHidden/>
          </w:rPr>
        </w:r>
        <w:r w:rsidR="00DA65C2">
          <w:rPr>
            <w:noProof/>
            <w:webHidden/>
          </w:rPr>
          <w:fldChar w:fldCharType="separate"/>
        </w:r>
        <w:r w:rsidR="00AA3082">
          <w:rPr>
            <w:noProof/>
            <w:webHidden/>
          </w:rPr>
          <w:t>128</w:t>
        </w:r>
        <w:r w:rsidR="00DA65C2">
          <w:rPr>
            <w:noProof/>
            <w:webHidden/>
          </w:rPr>
          <w:fldChar w:fldCharType="end"/>
        </w:r>
      </w:hyperlink>
    </w:p>
    <w:p w14:paraId="038C0599" w14:textId="6E78CDF2" w:rsidR="00DA65C2" w:rsidRDefault="00A65A8D">
      <w:pPr>
        <w:pStyle w:val="Iliustracijsraas"/>
        <w:tabs>
          <w:tab w:val="right" w:leader="dot" w:pos="9016"/>
        </w:tabs>
        <w:rPr>
          <w:rFonts w:eastAsiaTheme="minorEastAsia"/>
          <w:noProof/>
        </w:rPr>
      </w:pPr>
      <w:hyperlink w:anchor="_Toc417378304" w:history="1">
        <w:r w:rsidR="00DA65C2" w:rsidRPr="006C100C">
          <w:rPr>
            <w:rStyle w:val="Hipersaitas"/>
            <w:noProof/>
            <w:lang w:val="lt-LT"/>
          </w:rPr>
          <w:t>Paveikslas 27. Daugiabučių scenarijaus Nr. 7 schema.</w:t>
        </w:r>
        <w:r w:rsidR="00DA65C2">
          <w:rPr>
            <w:noProof/>
            <w:webHidden/>
          </w:rPr>
          <w:tab/>
        </w:r>
        <w:r w:rsidR="00DA65C2">
          <w:rPr>
            <w:noProof/>
            <w:webHidden/>
          </w:rPr>
          <w:fldChar w:fldCharType="begin"/>
        </w:r>
        <w:r w:rsidR="00DA65C2">
          <w:rPr>
            <w:noProof/>
            <w:webHidden/>
          </w:rPr>
          <w:instrText xml:space="preserve"> PAGEREF _Toc417378304 \h </w:instrText>
        </w:r>
        <w:r w:rsidR="00DA65C2">
          <w:rPr>
            <w:noProof/>
            <w:webHidden/>
          </w:rPr>
        </w:r>
        <w:r w:rsidR="00DA65C2">
          <w:rPr>
            <w:noProof/>
            <w:webHidden/>
          </w:rPr>
          <w:fldChar w:fldCharType="separate"/>
        </w:r>
        <w:r w:rsidR="00AA3082">
          <w:rPr>
            <w:noProof/>
            <w:webHidden/>
          </w:rPr>
          <w:t>131</w:t>
        </w:r>
        <w:r w:rsidR="00DA65C2">
          <w:rPr>
            <w:noProof/>
            <w:webHidden/>
          </w:rPr>
          <w:fldChar w:fldCharType="end"/>
        </w:r>
      </w:hyperlink>
    </w:p>
    <w:p w14:paraId="2DBF77D4" w14:textId="45D66966" w:rsidR="00DA65C2" w:rsidRDefault="00A65A8D">
      <w:pPr>
        <w:pStyle w:val="Iliustracijsraas"/>
        <w:tabs>
          <w:tab w:val="right" w:leader="dot" w:pos="9016"/>
        </w:tabs>
        <w:rPr>
          <w:rFonts w:eastAsiaTheme="minorEastAsia"/>
          <w:noProof/>
        </w:rPr>
      </w:pPr>
      <w:hyperlink w:anchor="_Toc417378305" w:history="1">
        <w:r w:rsidR="00DA65C2" w:rsidRPr="006C100C">
          <w:rPr>
            <w:rStyle w:val="Hipersaitas"/>
            <w:noProof/>
            <w:lang w:val="lt-LT"/>
          </w:rPr>
          <w:t>Paveikslas 28. Daugiabučių scenarijaus Nr. 8 schema.</w:t>
        </w:r>
        <w:r w:rsidR="00DA65C2">
          <w:rPr>
            <w:noProof/>
            <w:webHidden/>
          </w:rPr>
          <w:tab/>
        </w:r>
        <w:r w:rsidR="00DA65C2">
          <w:rPr>
            <w:noProof/>
            <w:webHidden/>
          </w:rPr>
          <w:fldChar w:fldCharType="begin"/>
        </w:r>
        <w:r w:rsidR="00DA65C2">
          <w:rPr>
            <w:noProof/>
            <w:webHidden/>
          </w:rPr>
          <w:instrText xml:space="preserve"> PAGEREF _Toc417378305 \h </w:instrText>
        </w:r>
        <w:r w:rsidR="00DA65C2">
          <w:rPr>
            <w:noProof/>
            <w:webHidden/>
          </w:rPr>
        </w:r>
        <w:r w:rsidR="00DA65C2">
          <w:rPr>
            <w:noProof/>
            <w:webHidden/>
          </w:rPr>
          <w:fldChar w:fldCharType="separate"/>
        </w:r>
        <w:r w:rsidR="00AA3082">
          <w:rPr>
            <w:noProof/>
            <w:webHidden/>
          </w:rPr>
          <w:t>133</w:t>
        </w:r>
        <w:r w:rsidR="00DA65C2">
          <w:rPr>
            <w:noProof/>
            <w:webHidden/>
          </w:rPr>
          <w:fldChar w:fldCharType="end"/>
        </w:r>
      </w:hyperlink>
    </w:p>
    <w:p w14:paraId="2564D12A" w14:textId="4F1966D3" w:rsidR="00DA65C2" w:rsidRDefault="00A65A8D">
      <w:pPr>
        <w:pStyle w:val="Iliustracijsraas"/>
        <w:tabs>
          <w:tab w:val="right" w:leader="dot" w:pos="9016"/>
        </w:tabs>
        <w:rPr>
          <w:rFonts w:eastAsiaTheme="minorEastAsia"/>
          <w:noProof/>
        </w:rPr>
      </w:pPr>
      <w:hyperlink w:anchor="_Toc417378306" w:history="1">
        <w:r w:rsidR="00DA65C2" w:rsidRPr="006C100C">
          <w:rPr>
            <w:rStyle w:val="Hipersaitas"/>
            <w:noProof/>
            <w:lang w:val="lt-LT"/>
          </w:rPr>
          <w:t>Paveikslas 29. Savivaldybių viešųjų pastatų scenarijaus Nr. 1 schema.</w:t>
        </w:r>
        <w:r w:rsidR="00DA65C2">
          <w:rPr>
            <w:noProof/>
            <w:webHidden/>
          </w:rPr>
          <w:tab/>
        </w:r>
        <w:r w:rsidR="00DA65C2">
          <w:rPr>
            <w:noProof/>
            <w:webHidden/>
          </w:rPr>
          <w:fldChar w:fldCharType="begin"/>
        </w:r>
        <w:r w:rsidR="00DA65C2">
          <w:rPr>
            <w:noProof/>
            <w:webHidden/>
          </w:rPr>
          <w:instrText xml:space="preserve"> PAGEREF _Toc417378306 \h </w:instrText>
        </w:r>
        <w:r w:rsidR="00DA65C2">
          <w:rPr>
            <w:noProof/>
            <w:webHidden/>
          </w:rPr>
        </w:r>
        <w:r w:rsidR="00DA65C2">
          <w:rPr>
            <w:noProof/>
            <w:webHidden/>
          </w:rPr>
          <w:fldChar w:fldCharType="separate"/>
        </w:r>
        <w:r w:rsidR="00AA3082">
          <w:rPr>
            <w:noProof/>
            <w:webHidden/>
          </w:rPr>
          <w:t>137</w:t>
        </w:r>
        <w:r w:rsidR="00DA65C2">
          <w:rPr>
            <w:noProof/>
            <w:webHidden/>
          </w:rPr>
          <w:fldChar w:fldCharType="end"/>
        </w:r>
      </w:hyperlink>
    </w:p>
    <w:p w14:paraId="27B9073C" w14:textId="1E9F4D8B" w:rsidR="00DA65C2" w:rsidRDefault="00A65A8D">
      <w:pPr>
        <w:pStyle w:val="Iliustracijsraas"/>
        <w:tabs>
          <w:tab w:val="right" w:leader="dot" w:pos="9016"/>
        </w:tabs>
        <w:rPr>
          <w:rFonts w:eastAsiaTheme="minorEastAsia"/>
          <w:noProof/>
        </w:rPr>
      </w:pPr>
      <w:hyperlink w:anchor="_Toc417378307" w:history="1">
        <w:r w:rsidR="00DA65C2" w:rsidRPr="006C100C">
          <w:rPr>
            <w:rStyle w:val="Hipersaitas"/>
            <w:noProof/>
            <w:lang w:val="lt-LT"/>
          </w:rPr>
          <w:t>Paveikslas 30. Savivaldybių viešųjų pastatų scenarijaus Nr. 2 schema.</w:t>
        </w:r>
        <w:r w:rsidR="00DA65C2">
          <w:rPr>
            <w:noProof/>
            <w:webHidden/>
          </w:rPr>
          <w:tab/>
        </w:r>
        <w:r w:rsidR="00DA65C2">
          <w:rPr>
            <w:noProof/>
            <w:webHidden/>
          </w:rPr>
          <w:fldChar w:fldCharType="begin"/>
        </w:r>
        <w:r w:rsidR="00DA65C2">
          <w:rPr>
            <w:noProof/>
            <w:webHidden/>
          </w:rPr>
          <w:instrText xml:space="preserve"> PAGEREF _Toc417378307 \h </w:instrText>
        </w:r>
        <w:r w:rsidR="00DA65C2">
          <w:rPr>
            <w:noProof/>
            <w:webHidden/>
          </w:rPr>
        </w:r>
        <w:r w:rsidR="00DA65C2">
          <w:rPr>
            <w:noProof/>
            <w:webHidden/>
          </w:rPr>
          <w:fldChar w:fldCharType="separate"/>
        </w:r>
        <w:r w:rsidR="00AA3082">
          <w:rPr>
            <w:noProof/>
            <w:webHidden/>
          </w:rPr>
          <w:t>139</w:t>
        </w:r>
        <w:r w:rsidR="00DA65C2">
          <w:rPr>
            <w:noProof/>
            <w:webHidden/>
          </w:rPr>
          <w:fldChar w:fldCharType="end"/>
        </w:r>
      </w:hyperlink>
    </w:p>
    <w:p w14:paraId="00574D83" w14:textId="73973100" w:rsidR="00DA65C2" w:rsidRDefault="00A65A8D">
      <w:pPr>
        <w:pStyle w:val="Iliustracijsraas"/>
        <w:tabs>
          <w:tab w:val="right" w:leader="dot" w:pos="9016"/>
        </w:tabs>
        <w:rPr>
          <w:rFonts w:eastAsiaTheme="minorEastAsia"/>
          <w:noProof/>
        </w:rPr>
      </w:pPr>
      <w:hyperlink w:anchor="_Toc417378308" w:history="1">
        <w:r w:rsidR="00DA65C2" w:rsidRPr="006C100C">
          <w:rPr>
            <w:rStyle w:val="Hipersaitas"/>
            <w:noProof/>
            <w:lang w:val="lt-LT"/>
          </w:rPr>
          <w:t>Paveikslas 31. Savivaldybių viešųjų pastatų scenarijaus Nr. 3 schema.</w:t>
        </w:r>
        <w:r w:rsidR="00DA65C2">
          <w:rPr>
            <w:noProof/>
            <w:webHidden/>
          </w:rPr>
          <w:tab/>
        </w:r>
        <w:r w:rsidR="00DA65C2">
          <w:rPr>
            <w:noProof/>
            <w:webHidden/>
          </w:rPr>
          <w:fldChar w:fldCharType="begin"/>
        </w:r>
        <w:r w:rsidR="00DA65C2">
          <w:rPr>
            <w:noProof/>
            <w:webHidden/>
          </w:rPr>
          <w:instrText xml:space="preserve"> PAGEREF _Toc417378308 \h </w:instrText>
        </w:r>
        <w:r w:rsidR="00DA65C2">
          <w:rPr>
            <w:noProof/>
            <w:webHidden/>
          </w:rPr>
        </w:r>
        <w:r w:rsidR="00DA65C2">
          <w:rPr>
            <w:noProof/>
            <w:webHidden/>
          </w:rPr>
          <w:fldChar w:fldCharType="separate"/>
        </w:r>
        <w:r w:rsidR="00AA3082">
          <w:rPr>
            <w:noProof/>
            <w:webHidden/>
          </w:rPr>
          <w:t>141</w:t>
        </w:r>
        <w:r w:rsidR="00DA65C2">
          <w:rPr>
            <w:noProof/>
            <w:webHidden/>
          </w:rPr>
          <w:fldChar w:fldCharType="end"/>
        </w:r>
      </w:hyperlink>
    </w:p>
    <w:p w14:paraId="30453D5C" w14:textId="7C98ABC7" w:rsidR="00DA65C2" w:rsidRDefault="00A65A8D">
      <w:pPr>
        <w:pStyle w:val="Iliustracijsraas"/>
        <w:tabs>
          <w:tab w:val="right" w:leader="dot" w:pos="9016"/>
        </w:tabs>
        <w:rPr>
          <w:rFonts w:eastAsiaTheme="minorEastAsia"/>
          <w:noProof/>
        </w:rPr>
      </w:pPr>
      <w:hyperlink w:anchor="_Toc417378309" w:history="1">
        <w:r w:rsidR="00DA65C2" w:rsidRPr="006C100C">
          <w:rPr>
            <w:rStyle w:val="Hipersaitas"/>
            <w:noProof/>
            <w:lang w:val="lt-LT"/>
          </w:rPr>
          <w:t>Paveikslas 32. Savivaldybių viešųjų pastatų scenarijaus Nr. 4 schema.</w:t>
        </w:r>
        <w:r w:rsidR="00DA65C2">
          <w:rPr>
            <w:noProof/>
            <w:webHidden/>
          </w:rPr>
          <w:tab/>
        </w:r>
        <w:r w:rsidR="00DA65C2">
          <w:rPr>
            <w:noProof/>
            <w:webHidden/>
          </w:rPr>
          <w:fldChar w:fldCharType="begin"/>
        </w:r>
        <w:r w:rsidR="00DA65C2">
          <w:rPr>
            <w:noProof/>
            <w:webHidden/>
          </w:rPr>
          <w:instrText xml:space="preserve"> PAGEREF _Toc417378309 \h </w:instrText>
        </w:r>
        <w:r w:rsidR="00DA65C2">
          <w:rPr>
            <w:noProof/>
            <w:webHidden/>
          </w:rPr>
        </w:r>
        <w:r w:rsidR="00DA65C2">
          <w:rPr>
            <w:noProof/>
            <w:webHidden/>
          </w:rPr>
          <w:fldChar w:fldCharType="separate"/>
        </w:r>
        <w:r w:rsidR="00AA3082">
          <w:rPr>
            <w:noProof/>
            <w:webHidden/>
          </w:rPr>
          <w:t>143</w:t>
        </w:r>
        <w:r w:rsidR="00DA65C2">
          <w:rPr>
            <w:noProof/>
            <w:webHidden/>
          </w:rPr>
          <w:fldChar w:fldCharType="end"/>
        </w:r>
      </w:hyperlink>
    </w:p>
    <w:p w14:paraId="6B4FB0B0" w14:textId="1C73C0CF" w:rsidR="00DA65C2" w:rsidRDefault="00A65A8D">
      <w:pPr>
        <w:pStyle w:val="Iliustracijsraas"/>
        <w:tabs>
          <w:tab w:val="right" w:leader="dot" w:pos="9016"/>
        </w:tabs>
        <w:rPr>
          <w:rFonts w:eastAsiaTheme="minorEastAsia"/>
          <w:noProof/>
        </w:rPr>
      </w:pPr>
      <w:hyperlink w:anchor="_Toc417378310" w:history="1">
        <w:r w:rsidR="00DA65C2" w:rsidRPr="006C100C">
          <w:rPr>
            <w:rStyle w:val="Hipersaitas"/>
            <w:noProof/>
            <w:lang w:val="lt-LT"/>
          </w:rPr>
          <w:t>Paveikslas 33. Savivaldybių viešųjų pastatų scenarijaus Nr. 5 schema.</w:t>
        </w:r>
        <w:r w:rsidR="00DA65C2">
          <w:rPr>
            <w:noProof/>
            <w:webHidden/>
          </w:rPr>
          <w:tab/>
        </w:r>
        <w:r w:rsidR="00DA65C2">
          <w:rPr>
            <w:noProof/>
            <w:webHidden/>
          </w:rPr>
          <w:fldChar w:fldCharType="begin"/>
        </w:r>
        <w:r w:rsidR="00DA65C2">
          <w:rPr>
            <w:noProof/>
            <w:webHidden/>
          </w:rPr>
          <w:instrText xml:space="preserve"> PAGEREF _Toc417378310 \h </w:instrText>
        </w:r>
        <w:r w:rsidR="00DA65C2">
          <w:rPr>
            <w:noProof/>
            <w:webHidden/>
          </w:rPr>
        </w:r>
        <w:r w:rsidR="00DA65C2">
          <w:rPr>
            <w:noProof/>
            <w:webHidden/>
          </w:rPr>
          <w:fldChar w:fldCharType="separate"/>
        </w:r>
        <w:r w:rsidR="00AA3082">
          <w:rPr>
            <w:noProof/>
            <w:webHidden/>
          </w:rPr>
          <w:t>145</w:t>
        </w:r>
        <w:r w:rsidR="00DA65C2">
          <w:rPr>
            <w:noProof/>
            <w:webHidden/>
          </w:rPr>
          <w:fldChar w:fldCharType="end"/>
        </w:r>
      </w:hyperlink>
    </w:p>
    <w:p w14:paraId="6B3A35FD" w14:textId="2757EE67" w:rsidR="00DA65C2" w:rsidRDefault="00A65A8D">
      <w:pPr>
        <w:pStyle w:val="Iliustracijsraas"/>
        <w:tabs>
          <w:tab w:val="right" w:leader="dot" w:pos="9016"/>
        </w:tabs>
        <w:rPr>
          <w:rFonts w:eastAsiaTheme="minorEastAsia"/>
          <w:noProof/>
        </w:rPr>
      </w:pPr>
      <w:hyperlink w:anchor="_Toc417378311" w:history="1">
        <w:r w:rsidR="00DA65C2" w:rsidRPr="006C100C">
          <w:rPr>
            <w:rStyle w:val="Hipersaitas"/>
            <w:noProof/>
            <w:lang w:val="lt-LT"/>
          </w:rPr>
          <w:t>Paveikslas 34. Viešųjų pastatų scenarijaus Nr. 1 schema.</w:t>
        </w:r>
        <w:r w:rsidR="00DA65C2">
          <w:rPr>
            <w:noProof/>
            <w:webHidden/>
          </w:rPr>
          <w:tab/>
        </w:r>
        <w:r w:rsidR="00DA65C2">
          <w:rPr>
            <w:noProof/>
            <w:webHidden/>
          </w:rPr>
          <w:fldChar w:fldCharType="begin"/>
        </w:r>
        <w:r w:rsidR="00DA65C2">
          <w:rPr>
            <w:noProof/>
            <w:webHidden/>
          </w:rPr>
          <w:instrText xml:space="preserve"> PAGEREF _Toc417378311 \h </w:instrText>
        </w:r>
        <w:r w:rsidR="00DA65C2">
          <w:rPr>
            <w:noProof/>
            <w:webHidden/>
          </w:rPr>
        </w:r>
        <w:r w:rsidR="00DA65C2">
          <w:rPr>
            <w:noProof/>
            <w:webHidden/>
          </w:rPr>
          <w:fldChar w:fldCharType="separate"/>
        </w:r>
        <w:r w:rsidR="00AA3082">
          <w:rPr>
            <w:noProof/>
            <w:webHidden/>
          </w:rPr>
          <w:t>149</w:t>
        </w:r>
        <w:r w:rsidR="00DA65C2">
          <w:rPr>
            <w:noProof/>
            <w:webHidden/>
          </w:rPr>
          <w:fldChar w:fldCharType="end"/>
        </w:r>
      </w:hyperlink>
    </w:p>
    <w:p w14:paraId="33361409" w14:textId="3E455024" w:rsidR="00DA65C2" w:rsidRDefault="00A65A8D">
      <w:pPr>
        <w:pStyle w:val="Iliustracijsraas"/>
        <w:tabs>
          <w:tab w:val="right" w:leader="dot" w:pos="9016"/>
        </w:tabs>
        <w:rPr>
          <w:rFonts w:eastAsiaTheme="minorEastAsia"/>
          <w:noProof/>
        </w:rPr>
      </w:pPr>
      <w:hyperlink w:anchor="_Toc417378312" w:history="1">
        <w:r w:rsidR="00DA65C2" w:rsidRPr="006C100C">
          <w:rPr>
            <w:rStyle w:val="Hipersaitas"/>
            <w:noProof/>
            <w:lang w:val="lt-LT"/>
          </w:rPr>
          <w:t>Paveikslas 35. Viešųjų pastatų scenarijaus Nr. 2 schema.</w:t>
        </w:r>
        <w:r w:rsidR="00DA65C2">
          <w:rPr>
            <w:noProof/>
            <w:webHidden/>
          </w:rPr>
          <w:tab/>
        </w:r>
        <w:r w:rsidR="00DA65C2">
          <w:rPr>
            <w:noProof/>
            <w:webHidden/>
          </w:rPr>
          <w:fldChar w:fldCharType="begin"/>
        </w:r>
        <w:r w:rsidR="00DA65C2">
          <w:rPr>
            <w:noProof/>
            <w:webHidden/>
          </w:rPr>
          <w:instrText xml:space="preserve"> PAGEREF _Toc417378312 \h </w:instrText>
        </w:r>
        <w:r w:rsidR="00DA65C2">
          <w:rPr>
            <w:noProof/>
            <w:webHidden/>
          </w:rPr>
        </w:r>
        <w:r w:rsidR="00DA65C2">
          <w:rPr>
            <w:noProof/>
            <w:webHidden/>
          </w:rPr>
          <w:fldChar w:fldCharType="separate"/>
        </w:r>
        <w:r w:rsidR="00AA3082">
          <w:rPr>
            <w:noProof/>
            <w:webHidden/>
          </w:rPr>
          <w:t>150</w:t>
        </w:r>
        <w:r w:rsidR="00DA65C2">
          <w:rPr>
            <w:noProof/>
            <w:webHidden/>
          </w:rPr>
          <w:fldChar w:fldCharType="end"/>
        </w:r>
      </w:hyperlink>
    </w:p>
    <w:p w14:paraId="3CAB711D" w14:textId="4792156C" w:rsidR="00DA65C2" w:rsidRDefault="00A65A8D">
      <w:pPr>
        <w:pStyle w:val="Iliustracijsraas"/>
        <w:tabs>
          <w:tab w:val="right" w:leader="dot" w:pos="9016"/>
        </w:tabs>
        <w:rPr>
          <w:rFonts w:eastAsiaTheme="minorEastAsia"/>
          <w:noProof/>
        </w:rPr>
      </w:pPr>
      <w:hyperlink w:anchor="_Toc417378313" w:history="1">
        <w:r w:rsidR="00DA65C2" w:rsidRPr="006C100C">
          <w:rPr>
            <w:rStyle w:val="Hipersaitas"/>
            <w:noProof/>
            <w:lang w:val="lt-LT"/>
          </w:rPr>
          <w:t>Paveikslas 36. Viešųjų pastatų scenarijaus Nr. 3 schema.</w:t>
        </w:r>
        <w:r w:rsidR="00DA65C2">
          <w:rPr>
            <w:noProof/>
            <w:webHidden/>
          </w:rPr>
          <w:tab/>
        </w:r>
        <w:r w:rsidR="00DA65C2">
          <w:rPr>
            <w:noProof/>
            <w:webHidden/>
          </w:rPr>
          <w:fldChar w:fldCharType="begin"/>
        </w:r>
        <w:r w:rsidR="00DA65C2">
          <w:rPr>
            <w:noProof/>
            <w:webHidden/>
          </w:rPr>
          <w:instrText xml:space="preserve"> PAGEREF _Toc417378313 \h </w:instrText>
        </w:r>
        <w:r w:rsidR="00DA65C2">
          <w:rPr>
            <w:noProof/>
            <w:webHidden/>
          </w:rPr>
        </w:r>
        <w:r w:rsidR="00DA65C2">
          <w:rPr>
            <w:noProof/>
            <w:webHidden/>
          </w:rPr>
          <w:fldChar w:fldCharType="separate"/>
        </w:r>
        <w:r w:rsidR="00AA3082">
          <w:rPr>
            <w:noProof/>
            <w:webHidden/>
          </w:rPr>
          <w:t>153</w:t>
        </w:r>
        <w:r w:rsidR="00DA65C2">
          <w:rPr>
            <w:noProof/>
            <w:webHidden/>
          </w:rPr>
          <w:fldChar w:fldCharType="end"/>
        </w:r>
      </w:hyperlink>
    </w:p>
    <w:p w14:paraId="181F4931" w14:textId="4BFACA35" w:rsidR="00DA65C2" w:rsidRDefault="00A65A8D">
      <w:pPr>
        <w:pStyle w:val="Iliustracijsraas"/>
        <w:tabs>
          <w:tab w:val="right" w:leader="dot" w:pos="9016"/>
        </w:tabs>
        <w:rPr>
          <w:rFonts w:eastAsiaTheme="minorEastAsia"/>
          <w:noProof/>
        </w:rPr>
      </w:pPr>
      <w:hyperlink w:anchor="_Toc417378314" w:history="1">
        <w:r w:rsidR="00DA65C2" w:rsidRPr="006C100C">
          <w:rPr>
            <w:rStyle w:val="Hipersaitas"/>
            <w:noProof/>
            <w:lang w:val="lt-LT"/>
          </w:rPr>
          <w:t>Paveikslas 37. Viešųjų pastatų scenarijaus Nr. 4 schema.</w:t>
        </w:r>
        <w:r w:rsidR="00DA65C2">
          <w:rPr>
            <w:noProof/>
            <w:webHidden/>
          </w:rPr>
          <w:tab/>
        </w:r>
        <w:r w:rsidR="00DA65C2">
          <w:rPr>
            <w:noProof/>
            <w:webHidden/>
          </w:rPr>
          <w:fldChar w:fldCharType="begin"/>
        </w:r>
        <w:r w:rsidR="00DA65C2">
          <w:rPr>
            <w:noProof/>
            <w:webHidden/>
          </w:rPr>
          <w:instrText xml:space="preserve"> PAGEREF _Toc417378314 \h </w:instrText>
        </w:r>
        <w:r w:rsidR="00DA65C2">
          <w:rPr>
            <w:noProof/>
            <w:webHidden/>
          </w:rPr>
        </w:r>
        <w:r w:rsidR="00DA65C2">
          <w:rPr>
            <w:noProof/>
            <w:webHidden/>
          </w:rPr>
          <w:fldChar w:fldCharType="separate"/>
        </w:r>
        <w:r w:rsidR="00AA3082">
          <w:rPr>
            <w:noProof/>
            <w:webHidden/>
          </w:rPr>
          <w:t>156</w:t>
        </w:r>
        <w:r w:rsidR="00DA65C2">
          <w:rPr>
            <w:noProof/>
            <w:webHidden/>
          </w:rPr>
          <w:fldChar w:fldCharType="end"/>
        </w:r>
      </w:hyperlink>
    </w:p>
    <w:p w14:paraId="0347A69C" w14:textId="7ED282EF" w:rsidR="00DA65C2" w:rsidRDefault="00A65A8D">
      <w:pPr>
        <w:pStyle w:val="Iliustracijsraas"/>
        <w:tabs>
          <w:tab w:val="right" w:leader="dot" w:pos="9016"/>
        </w:tabs>
        <w:rPr>
          <w:rFonts w:eastAsiaTheme="minorEastAsia"/>
          <w:noProof/>
        </w:rPr>
      </w:pPr>
      <w:hyperlink w:anchor="_Toc417378315" w:history="1">
        <w:r w:rsidR="00DA65C2" w:rsidRPr="006C100C">
          <w:rPr>
            <w:rStyle w:val="Hipersaitas"/>
            <w:noProof/>
            <w:lang w:val="lt-LT"/>
          </w:rPr>
          <w:t>Paveikslas 38. Viešųjų pastatų scenarijaus Nr. 5 schema.</w:t>
        </w:r>
        <w:r w:rsidR="00DA65C2">
          <w:rPr>
            <w:noProof/>
            <w:webHidden/>
          </w:rPr>
          <w:tab/>
        </w:r>
        <w:r w:rsidR="00DA65C2">
          <w:rPr>
            <w:noProof/>
            <w:webHidden/>
          </w:rPr>
          <w:fldChar w:fldCharType="begin"/>
        </w:r>
        <w:r w:rsidR="00DA65C2">
          <w:rPr>
            <w:noProof/>
            <w:webHidden/>
          </w:rPr>
          <w:instrText xml:space="preserve"> PAGEREF _Toc417378315 \h </w:instrText>
        </w:r>
        <w:r w:rsidR="00DA65C2">
          <w:rPr>
            <w:noProof/>
            <w:webHidden/>
          </w:rPr>
        </w:r>
        <w:r w:rsidR="00DA65C2">
          <w:rPr>
            <w:noProof/>
            <w:webHidden/>
          </w:rPr>
          <w:fldChar w:fldCharType="separate"/>
        </w:r>
        <w:r w:rsidR="00AA3082">
          <w:rPr>
            <w:noProof/>
            <w:webHidden/>
          </w:rPr>
          <w:t>159</w:t>
        </w:r>
        <w:r w:rsidR="00DA65C2">
          <w:rPr>
            <w:noProof/>
            <w:webHidden/>
          </w:rPr>
          <w:fldChar w:fldCharType="end"/>
        </w:r>
      </w:hyperlink>
    </w:p>
    <w:p w14:paraId="6ECF5EEC" w14:textId="60D0911A" w:rsidR="00DA65C2" w:rsidRDefault="00A65A8D">
      <w:pPr>
        <w:pStyle w:val="Iliustracijsraas"/>
        <w:tabs>
          <w:tab w:val="right" w:leader="dot" w:pos="9016"/>
        </w:tabs>
        <w:rPr>
          <w:rFonts w:eastAsiaTheme="minorEastAsia"/>
          <w:noProof/>
        </w:rPr>
      </w:pPr>
      <w:hyperlink w:anchor="_Toc417378316" w:history="1">
        <w:r w:rsidR="00DA65C2" w:rsidRPr="006C100C">
          <w:rPr>
            <w:rStyle w:val="Hipersaitas"/>
            <w:noProof/>
            <w:lang w:val="lt-LT"/>
          </w:rPr>
          <w:t>Paveikslas 39. Viešųjų pastatų scenarijaus Nr. 6 schema.</w:t>
        </w:r>
        <w:r w:rsidR="00DA65C2">
          <w:rPr>
            <w:noProof/>
            <w:webHidden/>
          </w:rPr>
          <w:tab/>
        </w:r>
        <w:r w:rsidR="00DA65C2">
          <w:rPr>
            <w:noProof/>
            <w:webHidden/>
          </w:rPr>
          <w:fldChar w:fldCharType="begin"/>
        </w:r>
        <w:r w:rsidR="00DA65C2">
          <w:rPr>
            <w:noProof/>
            <w:webHidden/>
          </w:rPr>
          <w:instrText xml:space="preserve"> PAGEREF _Toc417378316 \h </w:instrText>
        </w:r>
        <w:r w:rsidR="00DA65C2">
          <w:rPr>
            <w:noProof/>
            <w:webHidden/>
          </w:rPr>
        </w:r>
        <w:r w:rsidR="00DA65C2">
          <w:rPr>
            <w:noProof/>
            <w:webHidden/>
          </w:rPr>
          <w:fldChar w:fldCharType="separate"/>
        </w:r>
        <w:r w:rsidR="00AA3082">
          <w:rPr>
            <w:noProof/>
            <w:webHidden/>
          </w:rPr>
          <w:t>161</w:t>
        </w:r>
        <w:r w:rsidR="00DA65C2">
          <w:rPr>
            <w:noProof/>
            <w:webHidden/>
          </w:rPr>
          <w:fldChar w:fldCharType="end"/>
        </w:r>
      </w:hyperlink>
    </w:p>
    <w:p w14:paraId="2479830B" w14:textId="5672169C" w:rsidR="00DA65C2" w:rsidRDefault="00A65A8D">
      <w:pPr>
        <w:pStyle w:val="Iliustracijsraas"/>
        <w:tabs>
          <w:tab w:val="right" w:leader="dot" w:pos="9016"/>
        </w:tabs>
        <w:rPr>
          <w:rFonts w:eastAsiaTheme="minorEastAsia"/>
          <w:noProof/>
        </w:rPr>
      </w:pPr>
      <w:hyperlink w:anchor="_Toc417378317" w:history="1">
        <w:r w:rsidR="00DA65C2" w:rsidRPr="006C100C">
          <w:rPr>
            <w:rStyle w:val="Hipersaitas"/>
            <w:noProof/>
            <w:lang w:val="lt-LT"/>
          </w:rPr>
          <w:t>Paveikslas 40. Viešųjų pastatų scenarijaus Nr. 7 schema.</w:t>
        </w:r>
        <w:r w:rsidR="00DA65C2">
          <w:rPr>
            <w:noProof/>
            <w:webHidden/>
          </w:rPr>
          <w:tab/>
        </w:r>
        <w:r w:rsidR="00DA65C2">
          <w:rPr>
            <w:noProof/>
            <w:webHidden/>
          </w:rPr>
          <w:fldChar w:fldCharType="begin"/>
        </w:r>
        <w:r w:rsidR="00DA65C2">
          <w:rPr>
            <w:noProof/>
            <w:webHidden/>
          </w:rPr>
          <w:instrText xml:space="preserve"> PAGEREF _Toc417378317 \h </w:instrText>
        </w:r>
        <w:r w:rsidR="00DA65C2">
          <w:rPr>
            <w:noProof/>
            <w:webHidden/>
          </w:rPr>
        </w:r>
        <w:r w:rsidR="00DA65C2">
          <w:rPr>
            <w:noProof/>
            <w:webHidden/>
          </w:rPr>
          <w:fldChar w:fldCharType="separate"/>
        </w:r>
        <w:r w:rsidR="00AA3082">
          <w:rPr>
            <w:noProof/>
            <w:webHidden/>
          </w:rPr>
          <w:t>163</w:t>
        </w:r>
        <w:r w:rsidR="00DA65C2">
          <w:rPr>
            <w:noProof/>
            <w:webHidden/>
          </w:rPr>
          <w:fldChar w:fldCharType="end"/>
        </w:r>
      </w:hyperlink>
    </w:p>
    <w:p w14:paraId="64A4F86A" w14:textId="56F16AF4" w:rsidR="00DA65C2" w:rsidRDefault="00A65A8D">
      <w:pPr>
        <w:pStyle w:val="Iliustracijsraas"/>
        <w:tabs>
          <w:tab w:val="right" w:leader="dot" w:pos="9016"/>
        </w:tabs>
        <w:rPr>
          <w:rFonts w:eastAsiaTheme="minorEastAsia"/>
          <w:noProof/>
        </w:rPr>
      </w:pPr>
      <w:hyperlink w:anchor="_Toc417378318" w:history="1">
        <w:r w:rsidR="00DA65C2" w:rsidRPr="006C100C">
          <w:rPr>
            <w:rStyle w:val="Hipersaitas"/>
            <w:noProof/>
            <w:lang w:val="lt-LT"/>
          </w:rPr>
          <w:t>Paveikslas 41. Gatvių apšvietimo scenarijaus Nr. 1 schema.</w:t>
        </w:r>
        <w:r w:rsidR="00DA65C2">
          <w:rPr>
            <w:noProof/>
            <w:webHidden/>
          </w:rPr>
          <w:tab/>
        </w:r>
        <w:r w:rsidR="00DA65C2">
          <w:rPr>
            <w:noProof/>
            <w:webHidden/>
          </w:rPr>
          <w:fldChar w:fldCharType="begin"/>
        </w:r>
        <w:r w:rsidR="00DA65C2">
          <w:rPr>
            <w:noProof/>
            <w:webHidden/>
          </w:rPr>
          <w:instrText xml:space="preserve"> PAGEREF _Toc417378318 \h </w:instrText>
        </w:r>
        <w:r w:rsidR="00DA65C2">
          <w:rPr>
            <w:noProof/>
            <w:webHidden/>
          </w:rPr>
        </w:r>
        <w:r w:rsidR="00DA65C2">
          <w:rPr>
            <w:noProof/>
            <w:webHidden/>
          </w:rPr>
          <w:fldChar w:fldCharType="separate"/>
        </w:r>
        <w:r w:rsidR="00AA3082">
          <w:rPr>
            <w:noProof/>
            <w:webHidden/>
          </w:rPr>
          <w:t>165</w:t>
        </w:r>
        <w:r w:rsidR="00DA65C2">
          <w:rPr>
            <w:noProof/>
            <w:webHidden/>
          </w:rPr>
          <w:fldChar w:fldCharType="end"/>
        </w:r>
      </w:hyperlink>
    </w:p>
    <w:p w14:paraId="27DAD5EC" w14:textId="4D296B5E" w:rsidR="00DA65C2" w:rsidRDefault="00A65A8D">
      <w:pPr>
        <w:pStyle w:val="Iliustracijsraas"/>
        <w:tabs>
          <w:tab w:val="right" w:leader="dot" w:pos="9016"/>
        </w:tabs>
        <w:rPr>
          <w:rFonts w:eastAsiaTheme="minorEastAsia"/>
          <w:noProof/>
        </w:rPr>
      </w:pPr>
      <w:hyperlink w:anchor="_Toc417378319" w:history="1">
        <w:r w:rsidR="00DA65C2" w:rsidRPr="006C100C">
          <w:rPr>
            <w:rStyle w:val="Hipersaitas"/>
            <w:noProof/>
            <w:lang w:val="lt-LT"/>
          </w:rPr>
          <w:t>Paveikslas 42. Gatvių apšvietimo scenarijaus Nr. 2 schema.</w:t>
        </w:r>
        <w:r w:rsidR="00DA65C2">
          <w:rPr>
            <w:noProof/>
            <w:webHidden/>
          </w:rPr>
          <w:tab/>
        </w:r>
        <w:r w:rsidR="00DA65C2">
          <w:rPr>
            <w:noProof/>
            <w:webHidden/>
          </w:rPr>
          <w:fldChar w:fldCharType="begin"/>
        </w:r>
        <w:r w:rsidR="00DA65C2">
          <w:rPr>
            <w:noProof/>
            <w:webHidden/>
          </w:rPr>
          <w:instrText xml:space="preserve"> PAGEREF _Toc417378319 \h </w:instrText>
        </w:r>
        <w:r w:rsidR="00DA65C2">
          <w:rPr>
            <w:noProof/>
            <w:webHidden/>
          </w:rPr>
        </w:r>
        <w:r w:rsidR="00DA65C2">
          <w:rPr>
            <w:noProof/>
            <w:webHidden/>
          </w:rPr>
          <w:fldChar w:fldCharType="separate"/>
        </w:r>
        <w:r w:rsidR="00AA3082">
          <w:rPr>
            <w:noProof/>
            <w:webHidden/>
          </w:rPr>
          <w:t>167</w:t>
        </w:r>
        <w:r w:rsidR="00DA65C2">
          <w:rPr>
            <w:noProof/>
            <w:webHidden/>
          </w:rPr>
          <w:fldChar w:fldCharType="end"/>
        </w:r>
      </w:hyperlink>
    </w:p>
    <w:p w14:paraId="114D894B" w14:textId="6AA17415" w:rsidR="00DA65C2" w:rsidRDefault="00A65A8D">
      <w:pPr>
        <w:pStyle w:val="Iliustracijsraas"/>
        <w:tabs>
          <w:tab w:val="right" w:leader="dot" w:pos="9016"/>
        </w:tabs>
        <w:rPr>
          <w:rFonts w:eastAsiaTheme="minorEastAsia"/>
          <w:noProof/>
        </w:rPr>
      </w:pPr>
      <w:hyperlink w:anchor="_Toc417378320" w:history="1">
        <w:r w:rsidR="00DA65C2" w:rsidRPr="006C100C">
          <w:rPr>
            <w:rStyle w:val="Hipersaitas"/>
            <w:noProof/>
            <w:lang w:val="lt-LT"/>
          </w:rPr>
          <w:t>Paveikslas 43. Gatvių apšvietimo scenarijaus Nr. 3 schema.</w:t>
        </w:r>
        <w:r w:rsidR="00DA65C2">
          <w:rPr>
            <w:noProof/>
            <w:webHidden/>
          </w:rPr>
          <w:tab/>
        </w:r>
        <w:r w:rsidR="00DA65C2">
          <w:rPr>
            <w:noProof/>
            <w:webHidden/>
          </w:rPr>
          <w:fldChar w:fldCharType="begin"/>
        </w:r>
        <w:r w:rsidR="00DA65C2">
          <w:rPr>
            <w:noProof/>
            <w:webHidden/>
          </w:rPr>
          <w:instrText xml:space="preserve"> PAGEREF _Toc417378320 \h </w:instrText>
        </w:r>
        <w:r w:rsidR="00DA65C2">
          <w:rPr>
            <w:noProof/>
            <w:webHidden/>
          </w:rPr>
        </w:r>
        <w:r w:rsidR="00DA65C2">
          <w:rPr>
            <w:noProof/>
            <w:webHidden/>
          </w:rPr>
          <w:fldChar w:fldCharType="separate"/>
        </w:r>
        <w:r w:rsidR="00AA3082">
          <w:rPr>
            <w:noProof/>
            <w:webHidden/>
          </w:rPr>
          <w:t>168</w:t>
        </w:r>
        <w:r w:rsidR="00DA65C2">
          <w:rPr>
            <w:noProof/>
            <w:webHidden/>
          </w:rPr>
          <w:fldChar w:fldCharType="end"/>
        </w:r>
      </w:hyperlink>
    </w:p>
    <w:p w14:paraId="6698AB74" w14:textId="227C4AC5" w:rsidR="00DA65C2" w:rsidRDefault="00A65A8D">
      <w:pPr>
        <w:pStyle w:val="Iliustracijsraas"/>
        <w:tabs>
          <w:tab w:val="right" w:leader="dot" w:pos="9016"/>
        </w:tabs>
        <w:rPr>
          <w:rFonts w:eastAsiaTheme="minorEastAsia"/>
          <w:noProof/>
        </w:rPr>
      </w:pPr>
      <w:hyperlink w:anchor="_Toc417378321" w:history="1">
        <w:r w:rsidR="00DA65C2" w:rsidRPr="006C100C">
          <w:rPr>
            <w:rStyle w:val="Hipersaitas"/>
            <w:noProof/>
            <w:lang w:val="lt-LT"/>
          </w:rPr>
          <w:t>Paveikslas 44. Gatvių apšvietimo scenarijaus Nr. 4 schema.</w:t>
        </w:r>
        <w:r w:rsidR="00DA65C2">
          <w:rPr>
            <w:noProof/>
            <w:webHidden/>
          </w:rPr>
          <w:tab/>
        </w:r>
        <w:r w:rsidR="00DA65C2">
          <w:rPr>
            <w:noProof/>
            <w:webHidden/>
          </w:rPr>
          <w:fldChar w:fldCharType="begin"/>
        </w:r>
        <w:r w:rsidR="00DA65C2">
          <w:rPr>
            <w:noProof/>
            <w:webHidden/>
          </w:rPr>
          <w:instrText xml:space="preserve"> PAGEREF _Toc417378321 \h </w:instrText>
        </w:r>
        <w:r w:rsidR="00DA65C2">
          <w:rPr>
            <w:noProof/>
            <w:webHidden/>
          </w:rPr>
        </w:r>
        <w:r w:rsidR="00DA65C2">
          <w:rPr>
            <w:noProof/>
            <w:webHidden/>
          </w:rPr>
          <w:fldChar w:fldCharType="separate"/>
        </w:r>
        <w:r w:rsidR="00AA3082">
          <w:rPr>
            <w:noProof/>
            <w:webHidden/>
          </w:rPr>
          <w:t>171</w:t>
        </w:r>
        <w:r w:rsidR="00DA65C2">
          <w:rPr>
            <w:noProof/>
            <w:webHidden/>
          </w:rPr>
          <w:fldChar w:fldCharType="end"/>
        </w:r>
      </w:hyperlink>
    </w:p>
    <w:p w14:paraId="09F67D9A" w14:textId="3C7C29C2" w:rsidR="00DA65C2" w:rsidRDefault="00A65A8D">
      <w:pPr>
        <w:pStyle w:val="Iliustracijsraas"/>
        <w:tabs>
          <w:tab w:val="right" w:leader="dot" w:pos="9016"/>
        </w:tabs>
        <w:rPr>
          <w:rFonts w:eastAsiaTheme="minorEastAsia"/>
          <w:noProof/>
        </w:rPr>
      </w:pPr>
      <w:hyperlink w:anchor="_Toc417378322" w:history="1">
        <w:r w:rsidR="00DA65C2" w:rsidRPr="006C100C">
          <w:rPr>
            <w:rStyle w:val="Hipersaitas"/>
            <w:noProof/>
            <w:lang w:val="lt-LT"/>
          </w:rPr>
          <w:t>Paveikslas 45. Gatvių apšvietimo scenarijaus Nr. 5 schema.</w:t>
        </w:r>
        <w:r w:rsidR="00DA65C2">
          <w:rPr>
            <w:noProof/>
            <w:webHidden/>
          </w:rPr>
          <w:tab/>
        </w:r>
        <w:r w:rsidR="00DA65C2">
          <w:rPr>
            <w:noProof/>
            <w:webHidden/>
          </w:rPr>
          <w:fldChar w:fldCharType="begin"/>
        </w:r>
        <w:r w:rsidR="00DA65C2">
          <w:rPr>
            <w:noProof/>
            <w:webHidden/>
          </w:rPr>
          <w:instrText xml:space="preserve"> PAGEREF _Toc417378322 \h </w:instrText>
        </w:r>
        <w:r w:rsidR="00DA65C2">
          <w:rPr>
            <w:noProof/>
            <w:webHidden/>
          </w:rPr>
        </w:r>
        <w:r w:rsidR="00DA65C2">
          <w:rPr>
            <w:noProof/>
            <w:webHidden/>
          </w:rPr>
          <w:fldChar w:fldCharType="separate"/>
        </w:r>
        <w:r w:rsidR="00AA3082">
          <w:rPr>
            <w:noProof/>
            <w:webHidden/>
          </w:rPr>
          <w:t>173</w:t>
        </w:r>
        <w:r w:rsidR="00DA65C2">
          <w:rPr>
            <w:noProof/>
            <w:webHidden/>
          </w:rPr>
          <w:fldChar w:fldCharType="end"/>
        </w:r>
      </w:hyperlink>
    </w:p>
    <w:p w14:paraId="503D251B" w14:textId="5CB38898" w:rsidR="00DA65C2" w:rsidRDefault="00A65A8D">
      <w:pPr>
        <w:pStyle w:val="Iliustracijsraas"/>
        <w:tabs>
          <w:tab w:val="right" w:leader="dot" w:pos="9016"/>
        </w:tabs>
        <w:rPr>
          <w:rFonts w:eastAsiaTheme="minorEastAsia"/>
          <w:noProof/>
        </w:rPr>
      </w:pPr>
      <w:hyperlink w:anchor="_Toc417378323" w:history="1">
        <w:r w:rsidR="00DA65C2" w:rsidRPr="006C100C">
          <w:rPr>
            <w:rStyle w:val="Hipersaitas"/>
            <w:noProof/>
            <w:lang w:val="lt-LT"/>
          </w:rPr>
          <w:t>Paveikslas 46. Gatvių apšvietimo scenarijaus Nr. 6 schema.</w:t>
        </w:r>
        <w:r w:rsidR="00DA65C2">
          <w:rPr>
            <w:noProof/>
            <w:webHidden/>
          </w:rPr>
          <w:tab/>
        </w:r>
        <w:r w:rsidR="00DA65C2">
          <w:rPr>
            <w:noProof/>
            <w:webHidden/>
          </w:rPr>
          <w:fldChar w:fldCharType="begin"/>
        </w:r>
        <w:r w:rsidR="00DA65C2">
          <w:rPr>
            <w:noProof/>
            <w:webHidden/>
          </w:rPr>
          <w:instrText xml:space="preserve"> PAGEREF _Toc417378323 \h </w:instrText>
        </w:r>
        <w:r w:rsidR="00DA65C2">
          <w:rPr>
            <w:noProof/>
            <w:webHidden/>
          </w:rPr>
        </w:r>
        <w:r w:rsidR="00DA65C2">
          <w:rPr>
            <w:noProof/>
            <w:webHidden/>
          </w:rPr>
          <w:fldChar w:fldCharType="separate"/>
        </w:r>
        <w:r w:rsidR="00AA3082">
          <w:rPr>
            <w:noProof/>
            <w:webHidden/>
          </w:rPr>
          <w:t>175</w:t>
        </w:r>
        <w:r w:rsidR="00DA65C2">
          <w:rPr>
            <w:noProof/>
            <w:webHidden/>
          </w:rPr>
          <w:fldChar w:fldCharType="end"/>
        </w:r>
      </w:hyperlink>
    </w:p>
    <w:p w14:paraId="54C5646F" w14:textId="7B4792D0" w:rsidR="00DA65C2" w:rsidRDefault="00A65A8D">
      <w:pPr>
        <w:pStyle w:val="Iliustracijsraas"/>
        <w:tabs>
          <w:tab w:val="right" w:leader="dot" w:pos="9016"/>
        </w:tabs>
        <w:rPr>
          <w:rFonts w:eastAsiaTheme="minorEastAsia"/>
          <w:noProof/>
        </w:rPr>
      </w:pPr>
      <w:hyperlink w:anchor="_Toc417378324" w:history="1">
        <w:r w:rsidR="00DA65C2" w:rsidRPr="006C100C">
          <w:rPr>
            <w:rStyle w:val="Hipersaitas"/>
            <w:noProof/>
            <w:lang w:val="lt-LT"/>
          </w:rPr>
          <w:t>Paveikslas 47. Gatvių apšvietimo scenarijaus Nr. 7 schema.</w:t>
        </w:r>
        <w:r w:rsidR="00DA65C2">
          <w:rPr>
            <w:noProof/>
            <w:webHidden/>
          </w:rPr>
          <w:tab/>
        </w:r>
        <w:r w:rsidR="00DA65C2">
          <w:rPr>
            <w:noProof/>
            <w:webHidden/>
          </w:rPr>
          <w:fldChar w:fldCharType="begin"/>
        </w:r>
        <w:r w:rsidR="00DA65C2">
          <w:rPr>
            <w:noProof/>
            <w:webHidden/>
          </w:rPr>
          <w:instrText xml:space="preserve"> PAGEREF _Toc417378324 \h </w:instrText>
        </w:r>
        <w:r w:rsidR="00DA65C2">
          <w:rPr>
            <w:noProof/>
            <w:webHidden/>
          </w:rPr>
        </w:r>
        <w:r w:rsidR="00DA65C2">
          <w:rPr>
            <w:noProof/>
            <w:webHidden/>
          </w:rPr>
          <w:fldChar w:fldCharType="separate"/>
        </w:r>
        <w:r w:rsidR="00AA3082">
          <w:rPr>
            <w:noProof/>
            <w:webHidden/>
          </w:rPr>
          <w:t>178</w:t>
        </w:r>
        <w:r w:rsidR="00DA65C2">
          <w:rPr>
            <w:noProof/>
            <w:webHidden/>
          </w:rPr>
          <w:fldChar w:fldCharType="end"/>
        </w:r>
      </w:hyperlink>
    </w:p>
    <w:p w14:paraId="33AAD82F" w14:textId="22DC181D" w:rsidR="00DA65C2" w:rsidRDefault="00A65A8D">
      <w:pPr>
        <w:pStyle w:val="Iliustracijsraas"/>
        <w:tabs>
          <w:tab w:val="right" w:leader="dot" w:pos="9016"/>
        </w:tabs>
        <w:rPr>
          <w:rFonts w:eastAsiaTheme="minorEastAsia"/>
          <w:noProof/>
        </w:rPr>
      </w:pPr>
      <w:hyperlink w:anchor="_Toc417378325" w:history="1">
        <w:r w:rsidR="00DA65C2" w:rsidRPr="006C100C">
          <w:rPr>
            <w:rStyle w:val="Hipersaitas"/>
            <w:noProof/>
            <w:lang w:val="lt-LT"/>
          </w:rPr>
          <w:t>Paveikslas 48. Siūlomas finansinis produktas daugiabučių renovacijai.</w:t>
        </w:r>
        <w:r w:rsidR="00DA65C2">
          <w:rPr>
            <w:noProof/>
            <w:webHidden/>
          </w:rPr>
          <w:tab/>
        </w:r>
        <w:r w:rsidR="00DA65C2">
          <w:rPr>
            <w:noProof/>
            <w:webHidden/>
          </w:rPr>
          <w:fldChar w:fldCharType="begin"/>
        </w:r>
        <w:r w:rsidR="00DA65C2">
          <w:rPr>
            <w:noProof/>
            <w:webHidden/>
          </w:rPr>
          <w:instrText xml:space="preserve"> PAGEREF _Toc417378325 \h </w:instrText>
        </w:r>
        <w:r w:rsidR="00DA65C2">
          <w:rPr>
            <w:noProof/>
            <w:webHidden/>
          </w:rPr>
        </w:r>
        <w:r w:rsidR="00DA65C2">
          <w:rPr>
            <w:noProof/>
            <w:webHidden/>
          </w:rPr>
          <w:fldChar w:fldCharType="separate"/>
        </w:r>
        <w:r w:rsidR="00AA3082">
          <w:rPr>
            <w:noProof/>
            <w:webHidden/>
          </w:rPr>
          <w:t>236</w:t>
        </w:r>
        <w:r w:rsidR="00DA65C2">
          <w:rPr>
            <w:noProof/>
            <w:webHidden/>
          </w:rPr>
          <w:fldChar w:fldCharType="end"/>
        </w:r>
      </w:hyperlink>
    </w:p>
    <w:p w14:paraId="3C343F18" w14:textId="21BC0046" w:rsidR="00DA65C2" w:rsidRDefault="00A65A8D">
      <w:pPr>
        <w:pStyle w:val="Iliustracijsraas"/>
        <w:tabs>
          <w:tab w:val="right" w:leader="dot" w:pos="9016"/>
        </w:tabs>
        <w:rPr>
          <w:rFonts w:eastAsiaTheme="minorEastAsia"/>
          <w:noProof/>
        </w:rPr>
      </w:pPr>
      <w:hyperlink w:anchor="_Toc417378326" w:history="1">
        <w:r w:rsidR="00DA65C2" w:rsidRPr="006C100C">
          <w:rPr>
            <w:rStyle w:val="Hipersaitas"/>
            <w:noProof/>
          </w:rPr>
          <w:t xml:space="preserve">Paveikslas 49. </w:t>
        </w:r>
        <w:r w:rsidR="00DA65C2" w:rsidRPr="006C100C">
          <w:rPr>
            <w:rStyle w:val="Hipersaitas"/>
            <w:noProof/>
            <w:lang w:val="lt-LT"/>
          </w:rPr>
          <w:t>Siūloma finansinės priemonės įgyvendinimo struktūra.</w:t>
        </w:r>
        <w:r w:rsidR="00DA65C2">
          <w:rPr>
            <w:noProof/>
            <w:webHidden/>
          </w:rPr>
          <w:tab/>
        </w:r>
        <w:r w:rsidR="00DA65C2">
          <w:rPr>
            <w:noProof/>
            <w:webHidden/>
          </w:rPr>
          <w:fldChar w:fldCharType="begin"/>
        </w:r>
        <w:r w:rsidR="00DA65C2">
          <w:rPr>
            <w:noProof/>
            <w:webHidden/>
          </w:rPr>
          <w:instrText xml:space="preserve"> PAGEREF _Toc417378326 \h </w:instrText>
        </w:r>
        <w:r w:rsidR="00DA65C2">
          <w:rPr>
            <w:noProof/>
            <w:webHidden/>
          </w:rPr>
        </w:r>
        <w:r w:rsidR="00DA65C2">
          <w:rPr>
            <w:noProof/>
            <w:webHidden/>
          </w:rPr>
          <w:fldChar w:fldCharType="separate"/>
        </w:r>
        <w:r w:rsidR="00AA3082">
          <w:rPr>
            <w:noProof/>
            <w:webHidden/>
          </w:rPr>
          <w:t>238</w:t>
        </w:r>
        <w:r w:rsidR="00DA65C2">
          <w:rPr>
            <w:noProof/>
            <w:webHidden/>
          </w:rPr>
          <w:fldChar w:fldCharType="end"/>
        </w:r>
      </w:hyperlink>
    </w:p>
    <w:p w14:paraId="3B654227" w14:textId="0E723C26" w:rsidR="00DA65C2" w:rsidRDefault="00A65A8D">
      <w:pPr>
        <w:pStyle w:val="Iliustracijsraas"/>
        <w:tabs>
          <w:tab w:val="right" w:leader="dot" w:pos="9016"/>
        </w:tabs>
        <w:rPr>
          <w:rFonts w:eastAsiaTheme="minorEastAsia"/>
          <w:noProof/>
        </w:rPr>
      </w:pPr>
      <w:hyperlink w:anchor="_Toc417378327" w:history="1">
        <w:r w:rsidR="00DA65C2" w:rsidRPr="006C100C">
          <w:rPr>
            <w:rStyle w:val="Hipersaitas"/>
            <w:noProof/>
            <w:lang w:val="lt-LT"/>
          </w:rPr>
          <w:t>Paveikslas 50. 2014-2020 lėšų investavimas į esamą JESSICA fondą.</w:t>
        </w:r>
        <w:r w:rsidR="00DA65C2">
          <w:rPr>
            <w:noProof/>
            <w:webHidden/>
          </w:rPr>
          <w:tab/>
        </w:r>
        <w:r w:rsidR="00DA65C2">
          <w:rPr>
            <w:noProof/>
            <w:webHidden/>
          </w:rPr>
          <w:fldChar w:fldCharType="begin"/>
        </w:r>
        <w:r w:rsidR="00DA65C2">
          <w:rPr>
            <w:noProof/>
            <w:webHidden/>
          </w:rPr>
          <w:instrText xml:space="preserve"> PAGEREF _Toc417378327 \h </w:instrText>
        </w:r>
        <w:r w:rsidR="00DA65C2">
          <w:rPr>
            <w:noProof/>
            <w:webHidden/>
          </w:rPr>
        </w:r>
        <w:r w:rsidR="00DA65C2">
          <w:rPr>
            <w:noProof/>
            <w:webHidden/>
          </w:rPr>
          <w:fldChar w:fldCharType="separate"/>
        </w:r>
        <w:r w:rsidR="00AA3082">
          <w:rPr>
            <w:noProof/>
            <w:webHidden/>
          </w:rPr>
          <w:t>240</w:t>
        </w:r>
        <w:r w:rsidR="00DA65C2">
          <w:rPr>
            <w:noProof/>
            <w:webHidden/>
          </w:rPr>
          <w:fldChar w:fldCharType="end"/>
        </w:r>
      </w:hyperlink>
    </w:p>
    <w:p w14:paraId="36A7A21E" w14:textId="2F1686EB" w:rsidR="00DA65C2" w:rsidRDefault="00A65A8D">
      <w:pPr>
        <w:pStyle w:val="Iliustracijsraas"/>
        <w:tabs>
          <w:tab w:val="right" w:leader="dot" w:pos="9016"/>
        </w:tabs>
        <w:rPr>
          <w:rFonts w:eastAsiaTheme="minorEastAsia"/>
          <w:noProof/>
        </w:rPr>
      </w:pPr>
      <w:hyperlink w:anchor="_Toc417378328" w:history="1">
        <w:r w:rsidR="00DA65C2" w:rsidRPr="006C100C">
          <w:rPr>
            <w:rStyle w:val="Hipersaitas"/>
            <w:noProof/>
            <w:lang w:val="lt-LT"/>
          </w:rPr>
          <w:t>Paveikslas 51. Juridinio asmens statusą turinčio fondo steigimas Lietuvoje.</w:t>
        </w:r>
        <w:r w:rsidR="00DA65C2">
          <w:rPr>
            <w:noProof/>
            <w:webHidden/>
          </w:rPr>
          <w:tab/>
        </w:r>
        <w:r w:rsidR="00DA65C2">
          <w:rPr>
            <w:noProof/>
            <w:webHidden/>
          </w:rPr>
          <w:fldChar w:fldCharType="begin"/>
        </w:r>
        <w:r w:rsidR="00DA65C2">
          <w:rPr>
            <w:noProof/>
            <w:webHidden/>
          </w:rPr>
          <w:instrText xml:space="preserve"> PAGEREF _Toc417378328 \h </w:instrText>
        </w:r>
        <w:r w:rsidR="00DA65C2">
          <w:rPr>
            <w:noProof/>
            <w:webHidden/>
          </w:rPr>
        </w:r>
        <w:r w:rsidR="00DA65C2">
          <w:rPr>
            <w:noProof/>
            <w:webHidden/>
          </w:rPr>
          <w:fldChar w:fldCharType="separate"/>
        </w:r>
        <w:r w:rsidR="00AA3082">
          <w:rPr>
            <w:noProof/>
            <w:webHidden/>
          </w:rPr>
          <w:t>241</w:t>
        </w:r>
        <w:r w:rsidR="00DA65C2">
          <w:rPr>
            <w:noProof/>
            <w:webHidden/>
          </w:rPr>
          <w:fldChar w:fldCharType="end"/>
        </w:r>
      </w:hyperlink>
    </w:p>
    <w:p w14:paraId="58032B78" w14:textId="67A7B9B7" w:rsidR="00DA65C2" w:rsidRDefault="00A65A8D">
      <w:pPr>
        <w:pStyle w:val="Iliustracijsraas"/>
        <w:tabs>
          <w:tab w:val="right" w:leader="dot" w:pos="9016"/>
        </w:tabs>
        <w:rPr>
          <w:rFonts w:eastAsiaTheme="minorEastAsia"/>
          <w:noProof/>
        </w:rPr>
      </w:pPr>
      <w:hyperlink w:anchor="_Toc417378329" w:history="1">
        <w:r w:rsidR="00DA65C2" w:rsidRPr="006C100C">
          <w:rPr>
            <w:rStyle w:val="Hipersaitas"/>
            <w:noProof/>
            <w:lang w:val="lt-LT"/>
          </w:rPr>
          <w:t>Paveikslas 52. 2014-2020 lėšų investavimas į esamą JESSICA fondą ir investicinio fondo steigimas Lietuvoje.</w:t>
        </w:r>
        <w:r w:rsidR="00DA65C2">
          <w:rPr>
            <w:noProof/>
            <w:webHidden/>
          </w:rPr>
          <w:tab/>
        </w:r>
        <w:r w:rsidR="00DA65C2">
          <w:rPr>
            <w:noProof/>
            <w:webHidden/>
          </w:rPr>
          <w:fldChar w:fldCharType="begin"/>
        </w:r>
        <w:r w:rsidR="00DA65C2">
          <w:rPr>
            <w:noProof/>
            <w:webHidden/>
          </w:rPr>
          <w:instrText xml:space="preserve"> PAGEREF _Toc417378329 \h </w:instrText>
        </w:r>
        <w:r w:rsidR="00DA65C2">
          <w:rPr>
            <w:noProof/>
            <w:webHidden/>
          </w:rPr>
        </w:r>
        <w:r w:rsidR="00DA65C2">
          <w:rPr>
            <w:noProof/>
            <w:webHidden/>
          </w:rPr>
          <w:fldChar w:fldCharType="separate"/>
        </w:r>
        <w:r w:rsidR="00AA3082">
          <w:rPr>
            <w:noProof/>
            <w:webHidden/>
          </w:rPr>
          <w:t>243</w:t>
        </w:r>
        <w:r w:rsidR="00DA65C2">
          <w:rPr>
            <w:noProof/>
            <w:webHidden/>
          </w:rPr>
          <w:fldChar w:fldCharType="end"/>
        </w:r>
      </w:hyperlink>
    </w:p>
    <w:p w14:paraId="0CA77AE1" w14:textId="4603087B" w:rsidR="00DA65C2" w:rsidRDefault="00A65A8D">
      <w:pPr>
        <w:pStyle w:val="Iliustracijsraas"/>
        <w:tabs>
          <w:tab w:val="right" w:leader="dot" w:pos="9016"/>
        </w:tabs>
        <w:rPr>
          <w:rFonts w:eastAsiaTheme="minorEastAsia"/>
          <w:noProof/>
        </w:rPr>
      </w:pPr>
      <w:hyperlink w:anchor="_Toc417378330" w:history="1">
        <w:r w:rsidR="00DA65C2" w:rsidRPr="006C100C">
          <w:rPr>
            <w:rStyle w:val="Hipersaitas"/>
            <w:noProof/>
            <w:lang w:val="lt-LT"/>
          </w:rPr>
          <w:t>Paveikslas 53. Naujo juridinio asmens statusą turinčio fondo steigimas Lietuvoje.</w:t>
        </w:r>
        <w:r w:rsidR="00DA65C2">
          <w:rPr>
            <w:noProof/>
            <w:webHidden/>
          </w:rPr>
          <w:tab/>
        </w:r>
        <w:r w:rsidR="00DA65C2">
          <w:rPr>
            <w:noProof/>
            <w:webHidden/>
          </w:rPr>
          <w:fldChar w:fldCharType="begin"/>
        </w:r>
        <w:r w:rsidR="00DA65C2">
          <w:rPr>
            <w:noProof/>
            <w:webHidden/>
          </w:rPr>
          <w:instrText xml:space="preserve"> PAGEREF _Toc417378330 \h </w:instrText>
        </w:r>
        <w:r w:rsidR="00DA65C2">
          <w:rPr>
            <w:noProof/>
            <w:webHidden/>
          </w:rPr>
        </w:r>
        <w:r w:rsidR="00DA65C2">
          <w:rPr>
            <w:noProof/>
            <w:webHidden/>
          </w:rPr>
          <w:fldChar w:fldCharType="separate"/>
        </w:r>
        <w:r w:rsidR="00AA3082">
          <w:rPr>
            <w:noProof/>
            <w:webHidden/>
          </w:rPr>
          <w:t>244</w:t>
        </w:r>
        <w:r w:rsidR="00DA65C2">
          <w:rPr>
            <w:noProof/>
            <w:webHidden/>
          </w:rPr>
          <w:fldChar w:fldCharType="end"/>
        </w:r>
      </w:hyperlink>
    </w:p>
    <w:p w14:paraId="1021CCE1" w14:textId="580B4634" w:rsidR="00DA65C2" w:rsidRDefault="00A65A8D">
      <w:pPr>
        <w:pStyle w:val="Iliustracijsraas"/>
        <w:tabs>
          <w:tab w:val="right" w:leader="dot" w:pos="9016"/>
        </w:tabs>
        <w:rPr>
          <w:rFonts w:eastAsiaTheme="minorEastAsia"/>
          <w:noProof/>
        </w:rPr>
      </w:pPr>
      <w:hyperlink w:anchor="_Toc417378331" w:history="1">
        <w:r w:rsidR="00DA65C2" w:rsidRPr="006C100C">
          <w:rPr>
            <w:rStyle w:val="Hipersaitas"/>
            <w:noProof/>
            <w:lang w:val="lt-LT"/>
          </w:rPr>
          <w:t>Paveikslas 54. Perėjimas iš JESSICA KF į 2014-2020 m. fondą.</w:t>
        </w:r>
        <w:r w:rsidR="00DA65C2">
          <w:rPr>
            <w:noProof/>
            <w:webHidden/>
          </w:rPr>
          <w:tab/>
        </w:r>
        <w:r w:rsidR="00DA65C2">
          <w:rPr>
            <w:noProof/>
            <w:webHidden/>
          </w:rPr>
          <w:fldChar w:fldCharType="begin"/>
        </w:r>
        <w:r w:rsidR="00DA65C2">
          <w:rPr>
            <w:noProof/>
            <w:webHidden/>
          </w:rPr>
          <w:instrText xml:space="preserve"> PAGEREF _Toc417378331 \h </w:instrText>
        </w:r>
        <w:r w:rsidR="00DA65C2">
          <w:rPr>
            <w:noProof/>
            <w:webHidden/>
          </w:rPr>
        </w:r>
        <w:r w:rsidR="00DA65C2">
          <w:rPr>
            <w:noProof/>
            <w:webHidden/>
          </w:rPr>
          <w:fldChar w:fldCharType="separate"/>
        </w:r>
        <w:r w:rsidR="00AA3082">
          <w:rPr>
            <w:noProof/>
            <w:webHidden/>
          </w:rPr>
          <w:t>245</w:t>
        </w:r>
        <w:r w:rsidR="00DA65C2">
          <w:rPr>
            <w:noProof/>
            <w:webHidden/>
          </w:rPr>
          <w:fldChar w:fldCharType="end"/>
        </w:r>
      </w:hyperlink>
    </w:p>
    <w:p w14:paraId="7BBD7D9F" w14:textId="44F8EDB9" w:rsidR="00DA65C2" w:rsidRDefault="00A65A8D">
      <w:pPr>
        <w:pStyle w:val="Iliustracijsraas"/>
        <w:tabs>
          <w:tab w:val="right" w:leader="dot" w:pos="9016"/>
        </w:tabs>
        <w:rPr>
          <w:rFonts w:eastAsiaTheme="minorEastAsia"/>
          <w:noProof/>
        </w:rPr>
      </w:pPr>
      <w:hyperlink w:anchor="_Toc417378332" w:history="1">
        <w:r w:rsidR="00DA65C2" w:rsidRPr="006C100C">
          <w:rPr>
            <w:rStyle w:val="Hipersaitas"/>
            <w:noProof/>
            <w:lang w:val="lt-LT"/>
          </w:rPr>
          <w:t>Paveikslas 55. Galima fondo kaip KŪB struktūra.</w:t>
        </w:r>
        <w:r w:rsidR="00DA65C2">
          <w:rPr>
            <w:noProof/>
            <w:webHidden/>
          </w:rPr>
          <w:tab/>
        </w:r>
        <w:r w:rsidR="00DA65C2">
          <w:rPr>
            <w:noProof/>
            <w:webHidden/>
          </w:rPr>
          <w:fldChar w:fldCharType="begin"/>
        </w:r>
        <w:r w:rsidR="00DA65C2">
          <w:rPr>
            <w:noProof/>
            <w:webHidden/>
          </w:rPr>
          <w:instrText xml:space="preserve"> PAGEREF _Toc417378332 \h </w:instrText>
        </w:r>
        <w:r w:rsidR="00DA65C2">
          <w:rPr>
            <w:noProof/>
            <w:webHidden/>
          </w:rPr>
        </w:r>
        <w:r w:rsidR="00DA65C2">
          <w:rPr>
            <w:noProof/>
            <w:webHidden/>
          </w:rPr>
          <w:fldChar w:fldCharType="separate"/>
        </w:r>
        <w:r w:rsidR="00AA3082">
          <w:rPr>
            <w:noProof/>
            <w:webHidden/>
          </w:rPr>
          <w:t>249</w:t>
        </w:r>
        <w:r w:rsidR="00DA65C2">
          <w:rPr>
            <w:noProof/>
            <w:webHidden/>
          </w:rPr>
          <w:fldChar w:fldCharType="end"/>
        </w:r>
      </w:hyperlink>
    </w:p>
    <w:p w14:paraId="2F892B35" w14:textId="1C60E256" w:rsidR="00DA65C2" w:rsidRDefault="00A65A8D">
      <w:pPr>
        <w:pStyle w:val="Iliustracijsraas"/>
        <w:tabs>
          <w:tab w:val="right" w:leader="dot" w:pos="9016"/>
        </w:tabs>
        <w:rPr>
          <w:rFonts w:eastAsiaTheme="minorEastAsia"/>
          <w:noProof/>
        </w:rPr>
      </w:pPr>
      <w:hyperlink w:anchor="_Toc417378333" w:history="1">
        <w:r w:rsidR="00DA65C2" w:rsidRPr="006C100C">
          <w:rPr>
            <w:rStyle w:val="Hipersaitas"/>
            <w:noProof/>
            <w:lang w:val="lt-LT"/>
          </w:rPr>
          <w:t>Paveikslas 56. Pagrindiniai stebėsenos elementai</w:t>
        </w:r>
        <w:r w:rsidR="00DA65C2">
          <w:rPr>
            <w:noProof/>
            <w:webHidden/>
          </w:rPr>
          <w:tab/>
        </w:r>
        <w:r w:rsidR="00DA65C2">
          <w:rPr>
            <w:noProof/>
            <w:webHidden/>
          </w:rPr>
          <w:fldChar w:fldCharType="begin"/>
        </w:r>
        <w:r w:rsidR="00DA65C2">
          <w:rPr>
            <w:noProof/>
            <w:webHidden/>
          </w:rPr>
          <w:instrText xml:space="preserve"> PAGEREF _Toc417378333 \h </w:instrText>
        </w:r>
        <w:r w:rsidR="00DA65C2">
          <w:rPr>
            <w:noProof/>
            <w:webHidden/>
          </w:rPr>
        </w:r>
        <w:r w:rsidR="00DA65C2">
          <w:rPr>
            <w:noProof/>
            <w:webHidden/>
          </w:rPr>
          <w:fldChar w:fldCharType="separate"/>
        </w:r>
        <w:r w:rsidR="00AA3082">
          <w:rPr>
            <w:noProof/>
            <w:webHidden/>
          </w:rPr>
          <w:t>255</w:t>
        </w:r>
        <w:r w:rsidR="00DA65C2">
          <w:rPr>
            <w:noProof/>
            <w:webHidden/>
          </w:rPr>
          <w:fldChar w:fldCharType="end"/>
        </w:r>
      </w:hyperlink>
    </w:p>
    <w:p w14:paraId="3C4B6034" w14:textId="34423475" w:rsidR="00DA65C2" w:rsidRDefault="00A65A8D">
      <w:pPr>
        <w:pStyle w:val="Iliustracijsraas"/>
        <w:tabs>
          <w:tab w:val="right" w:leader="dot" w:pos="9016"/>
        </w:tabs>
        <w:rPr>
          <w:rFonts w:eastAsiaTheme="minorEastAsia"/>
          <w:noProof/>
        </w:rPr>
      </w:pPr>
      <w:hyperlink w:anchor="_Toc417378334" w:history="1">
        <w:r w:rsidR="00DA65C2" w:rsidRPr="006C100C">
          <w:rPr>
            <w:rStyle w:val="Hipersaitas"/>
            <w:noProof/>
            <w:lang w:val="lt-LT"/>
          </w:rPr>
          <w:t xml:space="preserve">Paveikslas 57. </w:t>
        </w:r>
        <w:r w:rsidR="00DA65C2" w:rsidRPr="006C100C">
          <w:rPr>
            <w:rStyle w:val="Hipersaitas"/>
            <w:rFonts w:eastAsia="Times New Roman"/>
            <w:noProof/>
            <w:lang w:val="lt-LT" w:eastAsia="lt-LT"/>
          </w:rPr>
          <w:t>ESCO modelio schema</w:t>
        </w:r>
        <w:r w:rsidR="00DA65C2">
          <w:rPr>
            <w:noProof/>
            <w:webHidden/>
          </w:rPr>
          <w:tab/>
        </w:r>
        <w:r w:rsidR="00DA65C2">
          <w:rPr>
            <w:noProof/>
            <w:webHidden/>
          </w:rPr>
          <w:fldChar w:fldCharType="begin"/>
        </w:r>
        <w:r w:rsidR="00DA65C2">
          <w:rPr>
            <w:noProof/>
            <w:webHidden/>
          </w:rPr>
          <w:instrText xml:space="preserve"> PAGEREF _Toc417378334 \h </w:instrText>
        </w:r>
        <w:r w:rsidR="00DA65C2">
          <w:rPr>
            <w:noProof/>
            <w:webHidden/>
          </w:rPr>
        </w:r>
        <w:r w:rsidR="00DA65C2">
          <w:rPr>
            <w:noProof/>
            <w:webHidden/>
          </w:rPr>
          <w:fldChar w:fldCharType="separate"/>
        </w:r>
        <w:r w:rsidR="00AA3082">
          <w:rPr>
            <w:noProof/>
            <w:webHidden/>
          </w:rPr>
          <w:t>258</w:t>
        </w:r>
        <w:r w:rsidR="00DA65C2">
          <w:rPr>
            <w:noProof/>
            <w:webHidden/>
          </w:rPr>
          <w:fldChar w:fldCharType="end"/>
        </w:r>
      </w:hyperlink>
    </w:p>
    <w:p w14:paraId="32B67D76" w14:textId="200C269B" w:rsidR="00DA65C2" w:rsidRDefault="00A65A8D">
      <w:pPr>
        <w:pStyle w:val="Iliustracijsraas"/>
        <w:tabs>
          <w:tab w:val="right" w:leader="dot" w:pos="9016"/>
        </w:tabs>
        <w:rPr>
          <w:rFonts w:eastAsiaTheme="minorEastAsia"/>
          <w:noProof/>
        </w:rPr>
      </w:pPr>
      <w:hyperlink w:anchor="_Toc417378335" w:history="1">
        <w:r w:rsidR="00DA65C2" w:rsidRPr="006C100C">
          <w:rPr>
            <w:rStyle w:val="Hipersaitas"/>
            <w:noProof/>
            <w:lang w:val="lt-LT"/>
          </w:rPr>
          <w:t xml:space="preserve">Paveikslas 58. </w:t>
        </w:r>
        <w:r w:rsidR="00DA65C2" w:rsidRPr="006C100C">
          <w:rPr>
            <w:rStyle w:val="Hipersaitas"/>
            <w:rFonts w:eastAsia="Times New Roman"/>
            <w:noProof/>
            <w:lang w:val="lt-LT" w:eastAsia="lt-LT"/>
          </w:rPr>
          <w:t>ESCO modelio naudos pasiskirstymas</w:t>
        </w:r>
        <w:r w:rsidR="00DA65C2">
          <w:rPr>
            <w:noProof/>
            <w:webHidden/>
          </w:rPr>
          <w:tab/>
        </w:r>
        <w:r w:rsidR="00DA65C2">
          <w:rPr>
            <w:noProof/>
            <w:webHidden/>
          </w:rPr>
          <w:fldChar w:fldCharType="begin"/>
        </w:r>
        <w:r w:rsidR="00DA65C2">
          <w:rPr>
            <w:noProof/>
            <w:webHidden/>
          </w:rPr>
          <w:instrText xml:space="preserve"> PAGEREF _Toc417378335 \h </w:instrText>
        </w:r>
        <w:r w:rsidR="00DA65C2">
          <w:rPr>
            <w:noProof/>
            <w:webHidden/>
          </w:rPr>
        </w:r>
        <w:r w:rsidR="00DA65C2">
          <w:rPr>
            <w:noProof/>
            <w:webHidden/>
          </w:rPr>
          <w:fldChar w:fldCharType="separate"/>
        </w:r>
        <w:r w:rsidR="00AA3082">
          <w:rPr>
            <w:noProof/>
            <w:webHidden/>
          </w:rPr>
          <w:t>259</w:t>
        </w:r>
        <w:r w:rsidR="00DA65C2">
          <w:rPr>
            <w:noProof/>
            <w:webHidden/>
          </w:rPr>
          <w:fldChar w:fldCharType="end"/>
        </w:r>
      </w:hyperlink>
    </w:p>
    <w:p w14:paraId="1DF7F827" w14:textId="5B3955CF" w:rsidR="00DA65C2" w:rsidRDefault="00A65A8D">
      <w:pPr>
        <w:pStyle w:val="Iliustracijsraas"/>
        <w:tabs>
          <w:tab w:val="right" w:leader="dot" w:pos="9016"/>
        </w:tabs>
        <w:rPr>
          <w:rFonts w:eastAsiaTheme="minorEastAsia"/>
          <w:noProof/>
        </w:rPr>
      </w:pPr>
      <w:hyperlink w:anchor="_Toc417378336" w:history="1">
        <w:r w:rsidR="00DA65C2" w:rsidRPr="006C100C">
          <w:rPr>
            <w:rStyle w:val="Hipersaitas"/>
            <w:noProof/>
            <w:lang w:val="lt-LT"/>
          </w:rPr>
          <w:t xml:space="preserve">Paveikslas 59. </w:t>
        </w:r>
        <w:r w:rsidR="00DA65C2" w:rsidRPr="006C100C">
          <w:rPr>
            <w:rStyle w:val="Hipersaitas"/>
            <w:rFonts w:eastAsia="Times New Roman"/>
            <w:noProof/>
            <w:lang w:val="lt-LT" w:eastAsia="lt-LT"/>
          </w:rPr>
          <w:t>Siūloma centrinės valdžios pastatų renovacijos, naudojant finansines priemones, schema</w:t>
        </w:r>
        <w:r w:rsidR="00DA65C2">
          <w:rPr>
            <w:noProof/>
            <w:webHidden/>
          </w:rPr>
          <w:tab/>
        </w:r>
        <w:r w:rsidR="00DA65C2">
          <w:rPr>
            <w:noProof/>
            <w:webHidden/>
          </w:rPr>
          <w:fldChar w:fldCharType="begin"/>
        </w:r>
        <w:r w:rsidR="00DA65C2">
          <w:rPr>
            <w:noProof/>
            <w:webHidden/>
          </w:rPr>
          <w:instrText xml:space="preserve"> PAGEREF _Toc417378336 \h </w:instrText>
        </w:r>
        <w:r w:rsidR="00DA65C2">
          <w:rPr>
            <w:noProof/>
            <w:webHidden/>
          </w:rPr>
        </w:r>
        <w:r w:rsidR="00DA65C2">
          <w:rPr>
            <w:noProof/>
            <w:webHidden/>
          </w:rPr>
          <w:fldChar w:fldCharType="separate"/>
        </w:r>
        <w:r w:rsidR="00AA3082">
          <w:rPr>
            <w:noProof/>
            <w:webHidden/>
          </w:rPr>
          <w:t>260</w:t>
        </w:r>
        <w:r w:rsidR="00DA65C2">
          <w:rPr>
            <w:noProof/>
            <w:webHidden/>
          </w:rPr>
          <w:fldChar w:fldCharType="end"/>
        </w:r>
      </w:hyperlink>
    </w:p>
    <w:p w14:paraId="4CF7B34E" w14:textId="7D59C93D" w:rsidR="00DA65C2" w:rsidRDefault="00A65A8D">
      <w:pPr>
        <w:pStyle w:val="Iliustracijsraas"/>
        <w:tabs>
          <w:tab w:val="right" w:leader="dot" w:pos="9016"/>
        </w:tabs>
        <w:rPr>
          <w:rFonts w:eastAsiaTheme="minorEastAsia"/>
          <w:noProof/>
        </w:rPr>
      </w:pPr>
      <w:hyperlink w:anchor="_Toc417378337" w:history="1">
        <w:r w:rsidR="00DA65C2" w:rsidRPr="006C100C">
          <w:rPr>
            <w:rStyle w:val="Hipersaitas"/>
            <w:noProof/>
            <w:lang w:val="lt-LT"/>
          </w:rPr>
          <w:t>Paveikslas 60. Siūloma gatvių apšvietimo atnaujinimo, naudojant finansines priemones, schema</w:t>
        </w:r>
        <w:r w:rsidR="00DA65C2">
          <w:rPr>
            <w:noProof/>
            <w:webHidden/>
          </w:rPr>
          <w:tab/>
        </w:r>
        <w:r w:rsidR="00DA65C2">
          <w:rPr>
            <w:noProof/>
            <w:webHidden/>
          </w:rPr>
          <w:fldChar w:fldCharType="begin"/>
        </w:r>
        <w:r w:rsidR="00DA65C2">
          <w:rPr>
            <w:noProof/>
            <w:webHidden/>
          </w:rPr>
          <w:instrText xml:space="preserve"> PAGEREF _Toc417378337 \h </w:instrText>
        </w:r>
        <w:r w:rsidR="00DA65C2">
          <w:rPr>
            <w:noProof/>
            <w:webHidden/>
          </w:rPr>
        </w:r>
        <w:r w:rsidR="00DA65C2">
          <w:rPr>
            <w:noProof/>
            <w:webHidden/>
          </w:rPr>
          <w:fldChar w:fldCharType="separate"/>
        </w:r>
        <w:r w:rsidR="00AA3082">
          <w:rPr>
            <w:noProof/>
            <w:webHidden/>
          </w:rPr>
          <w:t>261</w:t>
        </w:r>
        <w:r w:rsidR="00DA65C2">
          <w:rPr>
            <w:noProof/>
            <w:webHidden/>
          </w:rPr>
          <w:fldChar w:fldCharType="end"/>
        </w:r>
      </w:hyperlink>
    </w:p>
    <w:p w14:paraId="55A68795" w14:textId="2C66CF6B" w:rsidR="00DA65C2" w:rsidRDefault="00A65A8D">
      <w:pPr>
        <w:pStyle w:val="Iliustracijsraas"/>
        <w:tabs>
          <w:tab w:val="right" w:leader="dot" w:pos="9016"/>
        </w:tabs>
        <w:rPr>
          <w:rFonts w:eastAsiaTheme="minorEastAsia"/>
          <w:noProof/>
        </w:rPr>
      </w:pPr>
      <w:hyperlink w:anchor="_Toc417378338" w:history="1">
        <w:r w:rsidR="00DA65C2" w:rsidRPr="006C100C">
          <w:rPr>
            <w:rStyle w:val="Hipersaitas"/>
            <w:noProof/>
            <w:lang w:val="lt-LT"/>
          </w:rPr>
          <w:t>Paveikslas 61. II ir III valdymo struktūros</w:t>
        </w:r>
        <w:r w:rsidR="00DA65C2">
          <w:rPr>
            <w:noProof/>
            <w:webHidden/>
          </w:rPr>
          <w:tab/>
        </w:r>
        <w:r w:rsidR="00DA65C2">
          <w:rPr>
            <w:noProof/>
            <w:webHidden/>
          </w:rPr>
          <w:fldChar w:fldCharType="begin"/>
        </w:r>
        <w:r w:rsidR="00DA65C2">
          <w:rPr>
            <w:noProof/>
            <w:webHidden/>
          </w:rPr>
          <w:instrText xml:space="preserve"> PAGEREF _Toc417378338 \h </w:instrText>
        </w:r>
        <w:r w:rsidR="00DA65C2">
          <w:rPr>
            <w:noProof/>
            <w:webHidden/>
          </w:rPr>
        </w:r>
        <w:r w:rsidR="00DA65C2">
          <w:rPr>
            <w:noProof/>
            <w:webHidden/>
          </w:rPr>
          <w:fldChar w:fldCharType="separate"/>
        </w:r>
        <w:r w:rsidR="00AA3082">
          <w:rPr>
            <w:noProof/>
            <w:webHidden/>
          </w:rPr>
          <w:t>264</w:t>
        </w:r>
        <w:r w:rsidR="00DA65C2">
          <w:rPr>
            <w:noProof/>
            <w:webHidden/>
          </w:rPr>
          <w:fldChar w:fldCharType="end"/>
        </w:r>
      </w:hyperlink>
    </w:p>
    <w:p w14:paraId="70AC4D92" w14:textId="6004B6E3" w:rsidR="00DA65C2" w:rsidRDefault="00A65A8D">
      <w:pPr>
        <w:pStyle w:val="Iliustracijsraas"/>
        <w:tabs>
          <w:tab w:val="right" w:leader="dot" w:pos="9016"/>
        </w:tabs>
        <w:rPr>
          <w:rFonts w:eastAsiaTheme="minorEastAsia"/>
          <w:noProof/>
        </w:rPr>
      </w:pPr>
      <w:hyperlink w:anchor="_Toc417378339" w:history="1">
        <w:r w:rsidR="00DA65C2" w:rsidRPr="006C100C">
          <w:rPr>
            <w:rStyle w:val="Hipersaitas"/>
            <w:noProof/>
            <w:lang w:val="lt-LT"/>
          </w:rPr>
          <w:t>Paveikslas 62. Siūloma valdymo struktūra fondų fondui.</w:t>
        </w:r>
        <w:r w:rsidR="00DA65C2">
          <w:rPr>
            <w:noProof/>
            <w:webHidden/>
          </w:rPr>
          <w:tab/>
        </w:r>
        <w:r w:rsidR="00DA65C2">
          <w:rPr>
            <w:noProof/>
            <w:webHidden/>
          </w:rPr>
          <w:fldChar w:fldCharType="begin"/>
        </w:r>
        <w:r w:rsidR="00DA65C2">
          <w:rPr>
            <w:noProof/>
            <w:webHidden/>
          </w:rPr>
          <w:instrText xml:space="preserve"> PAGEREF _Toc417378339 \h </w:instrText>
        </w:r>
        <w:r w:rsidR="00DA65C2">
          <w:rPr>
            <w:noProof/>
            <w:webHidden/>
          </w:rPr>
        </w:r>
        <w:r w:rsidR="00DA65C2">
          <w:rPr>
            <w:noProof/>
            <w:webHidden/>
          </w:rPr>
          <w:fldChar w:fldCharType="separate"/>
        </w:r>
        <w:r w:rsidR="00AA3082">
          <w:rPr>
            <w:noProof/>
            <w:webHidden/>
          </w:rPr>
          <w:t>264</w:t>
        </w:r>
        <w:r w:rsidR="00DA65C2">
          <w:rPr>
            <w:noProof/>
            <w:webHidden/>
          </w:rPr>
          <w:fldChar w:fldCharType="end"/>
        </w:r>
      </w:hyperlink>
    </w:p>
    <w:p w14:paraId="1D28D034" w14:textId="2C2F5107" w:rsidR="00DA65C2" w:rsidRDefault="00A65A8D">
      <w:pPr>
        <w:pStyle w:val="Iliustracijsraas"/>
        <w:tabs>
          <w:tab w:val="right" w:leader="dot" w:pos="9016"/>
        </w:tabs>
        <w:rPr>
          <w:rFonts w:eastAsiaTheme="minorEastAsia"/>
          <w:noProof/>
        </w:rPr>
      </w:pPr>
      <w:hyperlink w:anchor="_Toc417378340" w:history="1">
        <w:r w:rsidR="00DA65C2" w:rsidRPr="006C100C">
          <w:rPr>
            <w:rStyle w:val="Hipersaitas"/>
            <w:noProof/>
            <w:lang w:val="lt-LT"/>
          </w:rPr>
          <w:t xml:space="preserve">Paveikslas 63. Fondų </w:t>
        </w:r>
        <w:r w:rsidR="00DA65C2" w:rsidRPr="006C100C">
          <w:rPr>
            <w:rStyle w:val="Hipersaitas"/>
            <w:rFonts w:eastAsia="Times New Roman"/>
            <w:noProof/>
            <w:lang w:val="lt-LT" w:eastAsia="lt-LT"/>
          </w:rPr>
          <w:t>fondo sukūrimas</w:t>
        </w:r>
        <w:r w:rsidR="00DA65C2">
          <w:rPr>
            <w:noProof/>
            <w:webHidden/>
          </w:rPr>
          <w:tab/>
        </w:r>
        <w:r w:rsidR="00DA65C2">
          <w:rPr>
            <w:noProof/>
            <w:webHidden/>
          </w:rPr>
          <w:fldChar w:fldCharType="begin"/>
        </w:r>
        <w:r w:rsidR="00DA65C2">
          <w:rPr>
            <w:noProof/>
            <w:webHidden/>
          </w:rPr>
          <w:instrText xml:space="preserve"> PAGEREF _Toc417378340 \h </w:instrText>
        </w:r>
        <w:r w:rsidR="00DA65C2">
          <w:rPr>
            <w:noProof/>
            <w:webHidden/>
          </w:rPr>
        </w:r>
        <w:r w:rsidR="00DA65C2">
          <w:rPr>
            <w:noProof/>
            <w:webHidden/>
          </w:rPr>
          <w:fldChar w:fldCharType="separate"/>
        </w:r>
        <w:r w:rsidR="00AA3082">
          <w:rPr>
            <w:noProof/>
            <w:webHidden/>
          </w:rPr>
          <w:t>265</w:t>
        </w:r>
        <w:r w:rsidR="00DA65C2">
          <w:rPr>
            <w:noProof/>
            <w:webHidden/>
          </w:rPr>
          <w:fldChar w:fldCharType="end"/>
        </w:r>
      </w:hyperlink>
    </w:p>
    <w:p w14:paraId="41C81F9A" w14:textId="237AE24E" w:rsidR="00DA65C2" w:rsidRDefault="00A65A8D">
      <w:pPr>
        <w:pStyle w:val="Iliustracijsraas"/>
        <w:tabs>
          <w:tab w:val="right" w:leader="dot" w:pos="9016"/>
        </w:tabs>
        <w:rPr>
          <w:rFonts w:eastAsiaTheme="minorEastAsia"/>
          <w:noProof/>
        </w:rPr>
      </w:pPr>
      <w:hyperlink w:anchor="_Toc417378341" w:history="1">
        <w:r w:rsidR="00DA65C2" w:rsidRPr="006C100C">
          <w:rPr>
            <w:rStyle w:val="Hipersaitas"/>
            <w:noProof/>
            <w:lang w:val="lt-LT"/>
          </w:rPr>
          <w:t>Paveikslas 64.</w:t>
        </w:r>
        <w:r w:rsidR="00DA65C2" w:rsidRPr="006C100C">
          <w:rPr>
            <w:rStyle w:val="Hipersaitas"/>
            <w:rFonts w:eastAsia="Times New Roman"/>
            <w:noProof/>
            <w:lang w:val="lt-LT" w:eastAsia="lt-LT"/>
          </w:rPr>
          <w:t xml:space="preserve"> Juridinio asmens statusą turinčio fondo steigimas Lietuvoje</w:t>
        </w:r>
        <w:r w:rsidR="00DA65C2">
          <w:rPr>
            <w:noProof/>
            <w:webHidden/>
          </w:rPr>
          <w:tab/>
        </w:r>
        <w:r w:rsidR="00DA65C2">
          <w:rPr>
            <w:noProof/>
            <w:webHidden/>
          </w:rPr>
          <w:fldChar w:fldCharType="begin"/>
        </w:r>
        <w:r w:rsidR="00DA65C2">
          <w:rPr>
            <w:noProof/>
            <w:webHidden/>
          </w:rPr>
          <w:instrText xml:space="preserve"> PAGEREF _Toc417378341 \h </w:instrText>
        </w:r>
        <w:r w:rsidR="00DA65C2">
          <w:rPr>
            <w:noProof/>
            <w:webHidden/>
          </w:rPr>
        </w:r>
        <w:r w:rsidR="00DA65C2">
          <w:rPr>
            <w:noProof/>
            <w:webHidden/>
          </w:rPr>
          <w:fldChar w:fldCharType="separate"/>
        </w:r>
        <w:r w:rsidR="00AA3082">
          <w:rPr>
            <w:noProof/>
            <w:webHidden/>
          </w:rPr>
          <w:t>267</w:t>
        </w:r>
        <w:r w:rsidR="00DA65C2">
          <w:rPr>
            <w:noProof/>
            <w:webHidden/>
          </w:rPr>
          <w:fldChar w:fldCharType="end"/>
        </w:r>
      </w:hyperlink>
    </w:p>
    <w:p w14:paraId="35712014" w14:textId="6FA52194" w:rsidR="00DA65C2" w:rsidRDefault="00A65A8D">
      <w:pPr>
        <w:pStyle w:val="Iliustracijsraas"/>
        <w:tabs>
          <w:tab w:val="right" w:leader="dot" w:pos="9016"/>
        </w:tabs>
        <w:rPr>
          <w:rFonts w:eastAsiaTheme="minorEastAsia"/>
          <w:noProof/>
        </w:rPr>
      </w:pPr>
      <w:hyperlink w:anchor="_Toc417378342" w:history="1">
        <w:r w:rsidR="00DA65C2" w:rsidRPr="006C100C">
          <w:rPr>
            <w:rStyle w:val="Hipersaitas"/>
            <w:noProof/>
            <w:lang w:val="lt-LT"/>
          </w:rPr>
          <w:t xml:space="preserve">Paveikslas 65. </w:t>
        </w:r>
        <w:r w:rsidR="00DA65C2" w:rsidRPr="006C100C">
          <w:rPr>
            <w:rStyle w:val="Hipersaitas"/>
            <w:rFonts w:eastAsia="Times New Roman"/>
            <w:noProof/>
            <w:lang w:val="lt-LT" w:eastAsia="lt-LT"/>
          </w:rPr>
          <w:t>2014-2020 lėšų investavimas fondą (sąskaitų rinkinį finansų įstaigoje) ir investicinio fondo steigimas</w:t>
        </w:r>
        <w:r w:rsidR="00DA65C2">
          <w:rPr>
            <w:noProof/>
            <w:webHidden/>
          </w:rPr>
          <w:tab/>
        </w:r>
        <w:r w:rsidR="00DA65C2">
          <w:rPr>
            <w:noProof/>
            <w:webHidden/>
          </w:rPr>
          <w:fldChar w:fldCharType="begin"/>
        </w:r>
        <w:r w:rsidR="00DA65C2">
          <w:rPr>
            <w:noProof/>
            <w:webHidden/>
          </w:rPr>
          <w:instrText xml:space="preserve"> PAGEREF _Toc417378342 \h </w:instrText>
        </w:r>
        <w:r w:rsidR="00DA65C2">
          <w:rPr>
            <w:noProof/>
            <w:webHidden/>
          </w:rPr>
        </w:r>
        <w:r w:rsidR="00DA65C2">
          <w:rPr>
            <w:noProof/>
            <w:webHidden/>
          </w:rPr>
          <w:fldChar w:fldCharType="separate"/>
        </w:r>
        <w:r w:rsidR="00AA3082">
          <w:rPr>
            <w:noProof/>
            <w:webHidden/>
          </w:rPr>
          <w:t>269</w:t>
        </w:r>
        <w:r w:rsidR="00DA65C2">
          <w:rPr>
            <w:noProof/>
            <w:webHidden/>
          </w:rPr>
          <w:fldChar w:fldCharType="end"/>
        </w:r>
      </w:hyperlink>
    </w:p>
    <w:p w14:paraId="4FE85D88" w14:textId="38C88A68" w:rsidR="00DA65C2" w:rsidRDefault="00A65A8D">
      <w:pPr>
        <w:pStyle w:val="Iliustracijsraas"/>
        <w:tabs>
          <w:tab w:val="right" w:leader="dot" w:pos="9016"/>
        </w:tabs>
        <w:rPr>
          <w:rFonts w:eastAsiaTheme="minorEastAsia"/>
          <w:noProof/>
        </w:rPr>
      </w:pPr>
      <w:hyperlink w:anchor="_Toc417378343" w:history="1">
        <w:r w:rsidR="00DA65C2" w:rsidRPr="006C100C">
          <w:rPr>
            <w:rStyle w:val="Hipersaitas"/>
            <w:noProof/>
            <w:lang w:val="lt-LT"/>
          </w:rPr>
          <w:t>Paveikslas 66. 2014-2020 lėšų investavimas į fondų fondą (sąskaitų rinkinį finansų įstaigoje) ir investicinio fondo steigimas Lietuvoje</w:t>
        </w:r>
        <w:r w:rsidR="00DA65C2">
          <w:rPr>
            <w:noProof/>
            <w:webHidden/>
          </w:rPr>
          <w:tab/>
        </w:r>
        <w:r w:rsidR="00DA65C2">
          <w:rPr>
            <w:noProof/>
            <w:webHidden/>
          </w:rPr>
          <w:fldChar w:fldCharType="begin"/>
        </w:r>
        <w:r w:rsidR="00DA65C2">
          <w:rPr>
            <w:noProof/>
            <w:webHidden/>
          </w:rPr>
          <w:instrText xml:space="preserve"> PAGEREF _Toc417378343 \h </w:instrText>
        </w:r>
        <w:r w:rsidR="00DA65C2">
          <w:rPr>
            <w:noProof/>
            <w:webHidden/>
          </w:rPr>
        </w:r>
        <w:r w:rsidR="00DA65C2">
          <w:rPr>
            <w:noProof/>
            <w:webHidden/>
          </w:rPr>
          <w:fldChar w:fldCharType="separate"/>
        </w:r>
        <w:r w:rsidR="00AA3082">
          <w:rPr>
            <w:noProof/>
            <w:webHidden/>
          </w:rPr>
          <w:t>271</w:t>
        </w:r>
        <w:r w:rsidR="00DA65C2">
          <w:rPr>
            <w:noProof/>
            <w:webHidden/>
          </w:rPr>
          <w:fldChar w:fldCharType="end"/>
        </w:r>
      </w:hyperlink>
    </w:p>
    <w:p w14:paraId="20590213" w14:textId="5A6114D0" w:rsidR="00DA65C2" w:rsidRDefault="00A65A8D">
      <w:pPr>
        <w:pStyle w:val="Iliustracijsraas"/>
        <w:tabs>
          <w:tab w:val="right" w:leader="dot" w:pos="9016"/>
        </w:tabs>
        <w:rPr>
          <w:rFonts w:eastAsiaTheme="minorEastAsia"/>
          <w:noProof/>
        </w:rPr>
      </w:pPr>
      <w:hyperlink w:anchor="_Toc417378344" w:history="1">
        <w:r w:rsidR="00DA65C2" w:rsidRPr="006C100C">
          <w:rPr>
            <w:rStyle w:val="Hipersaitas"/>
            <w:noProof/>
            <w:lang w:val="lt-LT"/>
          </w:rPr>
          <w:t>Paveikslas 67. Pagrindiniai stebėsenos elementai</w:t>
        </w:r>
        <w:r w:rsidR="00DA65C2">
          <w:rPr>
            <w:noProof/>
            <w:webHidden/>
          </w:rPr>
          <w:tab/>
        </w:r>
        <w:r w:rsidR="00DA65C2">
          <w:rPr>
            <w:noProof/>
            <w:webHidden/>
          </w:rPr>
          <w:fldChar w:fldCharType="begin"/>
        </w:r>
        <w:r w:rsidR="00DA65C2">
          <w:rPr>
            <w:noProof/>
            <w:webHidden/>
          </w:rPr>
          <w:instrText xml:space="preserve"> PAGEREF _Toc417378344 \h </w:instrText>
        </w:r>
        <w:r w:rsidR="00DA65C2">
          <w:rPr>
            <w:noProof/>
            <w:webHidden/>
          </w:rPr>
        </w:r>
        <w:r w:rsidR="00DA65C2">
          <w:rPr>
            <w:noProof/>
            <w:webHidden/>
          </w:rPr>
          <w:fldChar w:fldCharType="separate"/>
        </w:r>
        <w:r w:rsidR="00AA3082">
          <w:rPr>
            <w:noProof/>
            <w:webHidden/>
          </w:rPr>
          <w:t>277</w:t>
        </w:r>
        <w:r w:rsidR="00DA65C2">
          <w:rPr>
            <w:noProof/>
            <w:webHidden/>
          </w:rPr>
          <w:fldChar w:fldCharType="end"/>
        </w:r>
      </w:hyperlink>
    </w:p>
    <w:p w14:paraId="11B15A50" w14:textId="0AA7A970" w:rsidR="00DA65C2" w:rsidRDefault="00A65A8D">
      <w:pPr>
        <w:pStyle w:val="Iliustracijsraas"/>
        <w:tabs>
          <w:tab w:val="right" w:leader="dot" w:pos="9016"/>
        </w:tabs>
        <w:rPr>
          <w:rFonts w:eastAsiaTheme="minorEastAsia"/>
          <w:noProof/>
        </w:rPr>
      </w:pPr>
      <w:hyperlink w:anchor="_Toc417378345" w:history="1">
        <w:r w:rsidR="00DA65C2" w:rsidRPr="006C100C">
          <w:rPr>
            <w:rStyle w:val="Hipersaitas"/>
            <w:noProof/>
            <w:lang w:val="lt-LT"/>
          </w:rPr>
          <w:t xml:space="preserve">Paveikslas 68. </w:t>
        </w:r>
        <w:r w:rsidR="00DA65C2" w:rsidRPr="006C100C">
          <w:rPr>
            <w:rStyle w:val="Hipersaitas"/>
            <w:rFonts w:eastAsia="Times New Roman"/>
            <w:noProof/>
            <w:lang w:val="lt-LT" w:eastAsia="lt-LT"/>
          </w:rPr>
          <w:t>Siūloma savivaldybių viešųjų pastatų renovacijos, naudojant finansines priemones, schema</w:t>
        </w:r>
        <w:r w:rsidR="00DA65C2">
          <w:rPr>
            <w:noProof/>
            <w:webHidden/>
          </w:rPr>
          <w:tab/>
        </w:r>
        <w:r w:rsidR="00DA65C2">
          <w:rPr>
            <w:noProof/>
            <w:webHidden/>
          </w:rPr>
          <w:fldChar w:fldCharType="begin"/>
        </w:r>
        <w:r w:rsidR="00DA65C2">
          <w:rPr>
            <w:noProof/>
            <w:webHidden/>
          </w:rPr>
          <w:instrText xml:space="preserve"> PAGEREF _Toc417378345 \h </w:instrText>
        </w:r>
        <w:r w:rsidR="00DA65C2">
          <w:rPr>
            <w:noProof/>
            <w:webHidden/>
          </w:rPr>
        </w:r>
        <w:r w:rsidR="00DA65C2">
          <w:rPr>
            <w:noProof/>
            <w:webHidden/>
          </w:rPr>
          <w:fldChar w:fldCharType="separate"/>
        </w:r>
        <w:r w:rsidR="00AA3082">
          <w:rPr>
            <w:noProof/>
            <w:webHidden/>
          </w:rPr>
          <w:t>283</w:t>
        </w:r>
        <w:r w:rsidR="00DA65C2">
          <w:rPr>
            <w:noProof/>
            <w:webHidden/>
          </w:rPr>
          <w:fldChar w:fldCharType="end"/>
        </w:r>
      </w:hyperlink>
    </w:p>
    <w:p w14:paraId="5BE26682" w14:textId="422D6A40" w:rsidR="00DA65C2" w:rsidRDefault="00A65A8D">
      <w:pPr>
        <w:pStyle w:val="Iliustracijsraas"/>
        <w:tabs>
          <w:tab w:val="right" w:leader="dot" w:pos="9016"/>
        </w:tabs>
        <w:rPr>
          <w:rFonts w:eastAsiaTheme="minorEastAsia"/>
          <w:noProof/>
        </w:rPr>
      </w:pPr>
      <w:hyperlink w:anchor="_Toc417378346" w:history="1">
        <w:r w:rsidR="00DA65C2" w:rsidRPr="006C100C">
          <w:rPr>
            <w:rStyle w:val="Hipersaitas"/>
            <w:noProof/>
            <w:lang w:val="lt-LT"/>
          </w:rPr>
          <w:t>Paveikslas 69. Finansinės priemonės arba fondų fondo valdymo struktūros</w:t>
        </w:r>
        <w:r w:rsidR="00DA65C2">
          <w:rPr>
            <w:noProof/>
            <w:webHidden/>
          </w:rPr>
          <w:tab/>
        </w:r>
        <w:r w:rsidR="00DA65C2">
          <w:rPr>
            <w:noProof/>
            <w:webHidden/>
          </w:rPr>
          <w:fldChar w:fldCharType="begin"/>
        </w:r>
        <w:r w:rsidR="00DA65C2">
          <w:rPr>
            <w:noProof/>
            <w:webHidden/>
          </w:rPr>
          <w:instrText xml:space="preserve"> PAGEREF _Toc417378346 \h </w:instrText>
        </w:r>
        <w:r w:rsidR="00DA65C2">
          <w:rPr>
            <w:noProof/>
            <w:webHidden/>
          </w:rPr>
        </w:r>
        <w:r w:rsidR="00DA65C2">
          <w:rPr>
            <w:noProof/>
            <w:webHidden/>
          </w:rPr>
          <w:fldChar w:fldCharType="separate"/>
        </w:r>
        <w:r w:rsidR="00AA3082">
          <w:rPr>
            <w:noProof/>
            <w:webHidden/>
          </w:rPr>
          <w:t>285</w:t>
        </w:r>
        <w:r w:rsidR="00DA65C2">
          <w:rPr>
            <w:noProof/>
            <w:webHidden/>
          </w:rPr>
          <w:fldChar w:fldCharType="end"/>
        </w:r>
      </w:hyperlink>
    </w:p>
    <w:p w14:paraId="178372F4" w14:textId="5FF30ED6" w:rsidR="00DA65C2" w:rsidRDefault="00A65A8D">
      <w:pPr>
        <w:pStyle w:val="Iliustracijsraas"/>
        <w:tabs>
          <w:tab w:val="right" w:leader="dot" w:pos="9016"/>
        </w:tabs>
        <w:rPr>
          <w:rFonts w:eastAsiaTheme="minorEastAsia"/>
          <w:noProof/>
        </w:rPr>
      </w:pPr>
      <w:hyperlink w:anchor="_Toc417378347" w:history="1">
        <w:r w:rsidR="00DA65C2" w:rsidRPr="006C100C">
          <w:rPr>
            <w:rStyle w:val="Hipersaitas"/>
            <w:noProof/>
            <w:lang w:val="lt-LT"/>
          </w:rPr>
          <w:t xml:space="preserve">Paveikslas 70. Finansinės priemonės arba fondų </w:t>
        </w:r>
        <w:r w:rsidR="00DA65C2" w:rsidRPr="006C100C">
          <w:rPr>
            <w:rStyle w:val="Hipersaitas"/>
            <w:rFonts w:eastAsia="Times New Roman"/>
            <w:noProof/>
            <w:lang w:val="lt-LT" w:eastAsia="lt-LT"/>
          </w:rPr>
          <w:t>fondo sukūrimas</w:t>
        </w:r>
        <w:r w:rsidR="00DA65C2">
          <w:rPr>
            <w:noProof/>
            <w:webHidden/>
          </w:rPr>
          <w:tab/>
        </w:r>
        <w:r w:rsidR="00DA65C2">
          <w:rPr>
            <w:noProof/>
            <w:webHidden/>
          </w:rPr>
          <w:fldChar w:fldCharType="begin"/>
        </w:r>
        <w:r w:rsidR="00DA65C2">
          <w:rPr>
            <w:noProof/>
            <w:webHidden/>
          </w:rPr>
          <w:instrText xml:space="preserve"> PAGEREF _Toc417378347 \h </w:instrText>
        </w:r>
        <w:r w:rsidR="00DA65C2">
          <w:rPr>
            <w:noProof/>
            <w:webHidden/>
          </w:rPr>
        </w:r>
        <w:r w:rsidR="00DA65C2">
          <w:rPr>
            <w:noProof/>
            <w:webHidden/>
          </w:rPr>
          <w:fldChar w:fldCharType="separate"/>
        </w:r>
        <w:r w:rsidR="00AA3082">
          <w:rPr>
            <w:noProof/>
            <w:webHidden/>
          </w:rPr>
          <w:t>286</w:t>
        </w:r>
        <w:r w:rsidR="00DA65C2">
          <w:rPr>
            <w:noProof/>
            <w:webHidden/>
          </w:rPr>
          <w:fldChar w:fldCharType="end"/>
        </w:r>
      </w:hyperlink>
    </w:p>
    <w:p w14:paraId="28DDB96F" w14:textId="49CEC859" w:rsidR="00DA65C2" w:rsidRDefault="00A65A8D">
      <w:pPr>
        <w:pStyle w:val="Iliustracijsraas"/>
        <w:tabs>
          <w:tab w:val="right" w:leader="dot" w:pos="9016"/>
        </w:tabs>
        <w:rPr>
          <w:rFonts w:eastAsiaTheme="minorEastAsia"/>
          <w:noProof/>
        </w:rPr>
      </w:pPr>
      <w:hyperlink w:anchor="_Toc417378348" w:history="1">
        <w:r w:rsidR="00DA65C2" w:rsidRPr="006C100C">
          <w:rPr>
            <w:rStyle w:val="Hipersaitas"/>
            <w:noProof/>
            <w:lang w:val="lt-LT"/>
          </w:rPr>
          <w:t>Paveikslas 71.</w:t>
        </w:r>
        <w:r w:rsidR="00DA65C2" w:rsidRPr="006C100C">
          <w:rPr>
            <w:rStyle w:val="Hipersaitas"/>
            <w:rFonts w:eastAsia="Times New Roman"/>
            <w:noProof/>
            <w:lang w:val="lt-LT" w:eastAsia="lt-LT"/>
          </w:rPr>
          <w:t xml:space="preserve"> Juridinio asmens statusą turinčio fondo steigimas Lietuvoje</w:t>
        </w:r>
        <w:r w:rsidR="00DA65C2">
          <w:rPr>
            <w:noProof/>
            <w:webHidden/>
          </w:rPr>
          <w:tab/>
        </w:r>
        <w:r w:rsidR="00DA65C2">
          <w:rPr>
            <w:noProof/>
            <w:webHidden/>
          </w:rPr>
          <w:fldChar w:fldCharType="begin"/>
        </w:r>
        <w:r w:rsidR="00DA65C2">
          <w:rPr>
            <w:noProof/>
            <w:webHidden/>
          </w:rPr>
          <w:instrText xml:space="preserve"> PAGEREF _Toc417378348 \h </w:instrText>
        </w:r>
        <w:r w:rsidR="00DA65C2">
          <w:rPr>
            <w:noProof/>
            <w:webHidden/>
          </w:rPr>
        </w:r>
        <w:r w:rsidR="00DA65C2">
          <w:rPr>
            <w:noProof/>
            <w:webHidden/>
          </w:rPr>
          <w:fldChar w:fldCharType="separate"/>
        </w:r>
        <w:r w:rsidR="00AA3082">
          <w:rPr>
            <w:noProof/>
            <w:webHidden/>
          </w:rPr>
          <w:t>288</w:t>
        </w:r>
        <w:r w:rsidR="00DA65C2">
          <w:rPr>
            <w:noProof/>
            <w:webHidden/>
          </w:rPr>
          <w:fldChar w:fldCharType="end"/>
        </w:r>
      </w:hyperlink>
    </w:p>
    <w:p w14:paraId="5D1F930A" w14:textId="321694CF" w:rsidR="00DA65C2" w:rsidRDefault="00A65A8D">
      <w:pPr>
        <w:pStyle w:val="Iliustracijsraas"/>
        <w:tabs>
          <w:tab w:val="right" w:leader="dot" w:pos="9016"/>
        </w:tabs>
        <w:rPr>
          <w:rFonts w:eastAsiaTheme="minorEastAsia"/>
          <w:noProof/>
        </w:rPr>
      </w:pPr>
      <w:hyperlink w:anchor="_Toc417378349" w:history="1">
        <w:r w:rsidR="00DA65C2" w:rsidRPr="006C100C">
          <w:rPr>
            <w:rStyle w:val="Hipersaitas"/>
            <w:noProof/>
            <w:lang w:val="lt-LT"/>
          </w:rPr>
          <w:t xml:space="preserve">Paveikslas 72. </w:t>
        </w:r>
        <w:r w:rsidR="00DA65C2" w:rsidRPr="006C100C">
          <w:rPr>
            <w:rStyle w:val="Hipersaitas"/>
            <w:rFonts w:eastAsia="Times New Roman"/>
            <w:noProof/>
            <w:lang w:val="lt-LT" w:eastAsia="lt-LT"/>
          </w:rPr>
          <w:t>2014-2020 lėšų investavimas  finansinę priemonę (sąskaitų rinkinį finansų įstaigoje) ir investicinio fondo steigimas</w:t>
        </w:r>
        <w:r w:rsidR="00DA65C2">
          <w:rPr>
            <w:noProof/>
            <w:webHidden/>
          </w:rPr>
          <w:tab/>
        </w:r>
        <w:r w:rsidR="00DA65C2">
          <w:rPr>
            <w:noProof/>
            <w:webHidden/>
          </w:rPr>
          <w:fldChar w:fldCharType="begin"/>
        </w:r>
        <w:r w:rsidR="00DA65C2">
          <w:rPr>
            <w:noProof/>
            <w:webHidden/>
          </w:rPr>
          <w:instrText xml:space="preserve"> PAGEREF _Toc417378349 \h </w:instrText>
        </w:r>
        <w:r w:rsidR="00DA65C2">
          <w:rPr>
            <w:noProof/>
            <w:webHidden/>
          </w:rPr>
        </w:r>
        <w:r w:rsidR="00DA65C2">
          <w:rPr>
            <w:noProof/>
            <w:webHidden/>
          </w:rPr>
          <w:fldChar w:fldCharType="separate"/>
        </w:r>
        <w:r w:rsidR="00AA3082">
          <w:rPr>
            <w:noProof/>
            <w:webHidden/>
          </w:rPr>
          <w:t>290</w:t>
        </w:r>
        <w:r w:rsidR="00DA65C2">
          <w:rPr>
            <w:noProof/>
            <w:webHidden/>
          </w:rPr>
          <w:fldChar w:fldCharType="end"/>
        </w:r>
      </w:hyperlink>
    </w:p>
    <w:p w14:paraId="1F58DDEC" w14:textId="696D938A" w:rsidR="00DA65C2" w:rsidRDefault="00A65A8D">
      <w:pPr>
        <w:pStyle w:val="Iliustracijsraas"/>
        <w:tabs>
          <w:tab w:val="right" w:leader="dot" w:pos="9016"/>
        </w:tabs>
        <w:rPr>
          <w:rFonts w:eastAsiaTheme="minorEastAsia"/>
          <w:noProof/>
        </w:rPr>
      </w:pPr>
      <w:hyperlink w:anchor="_Toc417378350" w:history="1">
        <w:r w:rsidR="00DA65C2" w:rsidRPr="006C100C">
          <w:rPr>
            <w:rStyle w:val="Hipersaitas"/>
            <w:noProof/>
            <w:lang w:val="lt-LT"/>
          </w:rPr>
          <w:t>Paveikslas 73. 2014-2020 lėšų investavimas į finansinę priemonę ar fondų fondą (sąskaitų rinkinį finansų įstaigoje) ir investicinio fondo steigimas Lietuvoje</w:t>
        </w:r>
        <w:r w:rsidR="00DA65C2">
          <w:rPr>
            <w:noProof/>
            <w:webHidden/>
          </w:rPr>
          <w:tab/>
        </w:r>
        <w:r w:rsidR="00DA65C2">
          <w:rPr>
            <w:noProof/>
            <w:webHidden/>
          </w:rPr>
          <w:fldChar w:fldCharType="begin"/>
        </w:r>
        <w:r w:rsidR="00DA65C2">
          <w:rPr>
            <w:noProof/>
            <w:webHidden/>
          </w:rPr>
          <w:instrText xml:space="preserve"> PAGEREF _Toc417378350 \h </w:instrText>
        </w:r>
        <w:r w:rsidR="00DA65C2">
          <w:rPr>
            <w:noProof/>
            <w:webHidden/>
          </w:rPr>
        </w:r>
        <w:r w:rsidR="00DA65C2">
          <w:rPr>
            <w:noProof/>
            <w:webHidden/>
          </w:rPr>
          <w:fldChar w:fldCharType="separate"/>
        </w:r>
        <w:r w:rsidR="00AA3082">
          <w:rPr>
            <w:noProof/>
            <w:webHidden/>
          </w:rPr>
          <w:t>294</w:t>
        </w:r>
        <w:r w:rsidR="00DA65C2">
          <w:rPr>
            <w:noProof/>
            <w:webHidden/>
          </w:rPr>
          <w:fldChar w:fldCharType="end"/>
        </w:r>
      </w:hyperlink>
    </w:p>
    <w:p w14:paraId="2F4660CE" w14:textId="33C72F7D" w:rsidR="00DA65C2" w:rsidRDefault="00A65A8D">
      <w:pPr>
        <w:pStyle w:val="Iliustracijsraas"/>
        <w:tabs>
          <w:tab w:val="right" w:leader="dot" w:pos="9016"/>
        </w:tabs>
        <w:rPr>
          <w:rFonts w:eastAsiaTheme="minorEastAsia"/>
          <w:noProof/>
        </w:rPr>
      </w:pPr>
      <w:hyperlink w:anchor="_Toc417378351" w:history="1">
        <w:r w:rsidR="00DA65C2" w:rsidRPr="006C100C">
          <w:rPr>
            <w:rStyle w:val="Hipersaitas"/>
            <w:noProof/>
            <w:lang w:val="lt-LT"/>
          </w:rPr>
          <w:t>Paveikslas 74. Pereinamojo laikotarpio finansinės priemonės įgyvendinimas.</w:t>
        </w:r>
        <w:r w:rsidR="00DA65C2">
          <w:rPr>
            <w:noProof/>
            <w:webHidden/>
          </w:rPr>
          <w:tab/>
        </w:r>
        <w:r w:rsidR="00DA65C2">
          <w:rPr>
            <w:noProof/>
            <w:webHidden/>
          </w:rPr>
          <w:fldChar w:fldCharType="begin"/>
        </w:r>
        <w:r w:rsidR="00DA65C2">
          <w:rPr>
            <w:noProof/>
            <w:webHidden/>
          </w:rPr>
          <w:instrText xml:space="preserve"> PAGEREF _Toc417378351 \h </w:instrText>
        </w:r>
        <w:r w:rsidR="00DA65C2">
          <w:rPr>
            <w:noProof/>
            <w:webHidden/>
          </w:rPr>
        </w:r>
        <w:r w:rsidR="00DA65C2">
          <w:rPr>
            <w:noProof/>
            <w:webHidden/>
          </w:rPr>
          <w:fldChar w:fldCharType="separate"/>
        </w:r>
        <w:r w:rsidR="00AA3082">
          <w:rPr>
            <w:noProof/>
            <w:webHidden/>
          </w:rPr>
          <w:t>296</w:t>
        </w:r>
        <w:r w:rsidR="00DA65C2">
          <w:rPr>
            <w:noProof/>
            <w:webHidden/>
          </w:rPr>
          <w:fldChar w:fldCharType="end"/>
        </w:r>
      </w:hyperlink>
    </w:p>
    <w:p w14:paraId="39FC8FE9" w14:textId="5099869F" w:rsidR="00DA65C2" w:rsidRDefault="00A65A8D">
      <w:pPr>
        <w:pStyle w:val="Iliustracijsraas"/>
        <w:tabs>
          <w:tab w:val="right" w:leader="dot" w:pos="9016"/>
        </w:tabs>
        <w:rPr>
          <w:rFonts w:eastAsiaTheme="minorEastAsia"/>
          <w:noProof/>
        </w:rPr>
      </w:pPr>
      <w:hyperlink w:anchor="_Toc417378352" w:history="1">
        <w:r w:rsidR="00DA65C2" w:rsidRPr="006C100C">
          <w:rPr>
            <w:rStyle w:val="Hipersaitas"/>
            <w:noProof/>
            <w:lang w:val="lt-LT"/>
          </w:rPr>
          <w:t>Paveikslas 75. Pagrindiniai stebėsenos elementai</w:t>
        </w:r>
        <w:r w:rsidR="00DA65C2">
          <w:rPr>
            <w:noProof/>
            <w:webHidden/>
          </w:rPr>
          <w:tab/>
        </w:r>
        <w:r w:rsidR="00DA65C2">
          <w:rPr>
            <w:noProof/>
            <w:webHidden/>
          </w:rPr>
          <w:fldChar w:fldCharType="begin"/>
        </w:r>
        <w:r w:rsidR="00DA65C2">
          <w:rPr>
            <w:noProof/>
            <w:webHidden/>
          </w:rPr>
          <w:instrText xml:space="preserve"> PAGEREF _Toc417378352 \h </w:instrText>
        </w:r>
        <w:r w:rsidR="00DA65C2">
          <w:rPr>
            <w:noProof/>
            <w:webHidden/>
          </w:rPr>
        </w:r>
        <w:r w:rsidR="00DA65C2">
          <w:rPr>
            <w:noProof/>
            <w:webHidden/>
          </w:rPr>
          <w:fldChar w:fldCharType="separate"/>
        </w:r>
        <w:r w:rsidR="00AA3082">
          <w:rPr>
            <w:noProof/>
            <w:webHidden/>
          </w:rPr>
          <w:t>299</w:t>
        </w:r>
        <w:r w:rsidR="00DA65C2">
          <w:rPr>
            <w:noProof/>
            <w:webHidden/>
          </w:rPr>
          <w:fldChar w:fldCharType="end"/>
        </w:r>
      </w:hyperlink>
    </w:p>
    <w:p w14:paraId="2929A5A7" w14:textId="77777777" w:rsidR="00FC2E80" w:rsidRDefault="0010799D" w:rsidP="009F55BB">
      <w:pPr>
        <w:pStyle w:val="Antrat"/>
        <w:spacing w:line="276" w:lineRule="auto"/>
        <w:jc w:val="both"/>
        <w:rPr>
          <w:rFonts w:asciiTheme="majorHAnsi" w:eastAsiaTheme="majorEastAsia" w:hAnsiTheme="majorHAnsi" w:cstheme="majorBidi"/>
          <w:b w:val="0"/>
          <w:bCs w:val="0"/>
          <w:color w:val="365F91" w:themeColor="accent1" w:themeShade="BF"/>
          <w:sz w:val="28"/>
          <w:szCs w:val="28"/>
          <w:lang w:val="lt-LT"/>
        </w:rPr>
      </w:pPr>
      <w:r w:rsidRPr="009F55BB">
        <w:rPr>
          <w:sz w:val="22"/>
          <w:szCs w:val="22"/>
          <w:lang w:val="lt-LT"/>
        </w:rPr>
        <w:fldChar w:fldCharType="end"/>
      </w:r>
      <w:r w:rsidR="00FC2E80">
        <w:rPr>
          <w:lang w:val="lt-LT"/>
        </w:rPr>
        <w:br w:type="page"/>
      </w:r>
    </w:p>
    <w:p w14:paraId="3DC4C080" w14:textId="77777777" w:rsidR="008278D4" w:rsidRPr="00DF3A8E" w:rsidRDefault="004838BF" w:rsidP="008278D4">
      <w:pPr>
        <w:pStyle w:val="Antrat1"/>
        <w:rPr>
          <w:lang w:val="lt-LT"/>
        </w:rPr>
      </w:pPr>
      <w:bookmarkStart w:id="5" w:name="_Toc417378355"/>
      <w:r w:rsidRPr="00DF3A8E">
        <w:rPr>
          <w:lang w:val="lt-LT"/>
        </w:rPr>
        <w:lastRenderedPageBreak/>
        <w:t>Žodynas</w:t>
      </w:r>
      <w:bookmarkEnd w:id="5"/>
    </w:p>
    <w:tbl>
      <w:tblPr>
        <w:tblStyle w:val="Lentelstinklelis"/>
        <w:tblW w:w="5000" w:type="pct"/>
        <w:tblLayout w:type="fixed"/>
        <w:tblLook w:val="04A0" w:firstRow="1" w:lastRow="0" w:firstColumn="1" w:lastColumn="0" w:noHBand="0" w:noVBand="1"/>
      </w:tblPr>
      <w:tblGrid>
        <w:gridCol w:w="1527"/>
        <w:gridCol w:w="7715"/>
      </w:tblGrid>
      <w:tr w:rsidR="00E91778" w:rsidRPr="00DF3A8E" w14:paraId="282DC51D" w14:textId="77777777" w:rsidTr="00466A70">
        <w:tc>
          <w:tcPr>
            <w:tcW w:w="826" w:type="pct"/>
          </w:tcPr>
          <w:p w14:paraId="4019B741" w14:textId="77777777" w:rsidR="00E91778" w:rsidRDefault="00E91778" w:rsidP="001D54C7">
            <w:pPr>
              <w:jc w:val="both"/>
              <w:rPr>
                <w:rFonts w:ascii="Georgia" w:hAnsi="Georgia" w:cs="Times New Roman"/>
                <w:sz w:val="20"/>
                <w:lang w:val="lt-LT"/>
              </w:rPr>
            </w:pPr>
            <w:r>
              <w:rPr>
                <w:rFonts w:ascii="Georgia" w:hAnsi="Georgia" w:cs="Times New Roman"/>
                <w:sz w:val="20"/>
                <w:lang w:val="lt-LT"/>
              </w:rPr>
              <w:t xml:space="preserve">2014-2020 m. ES lėšos </w:t>
            </w:r>
          </w:p>
        </w:tc>
        <w:tc>
          <w:tcPr>
            <w:tcW w:w="4174" w:type="pct"/>
          </w:tcPr>
          <w:p w14:paraId="359820C4" w14:textId="77777777" w:rsidR="00E91778" w:rsidRPr="00DF3A8E" w:rsidRDefault="00E91778" w:rsidP="001D54C7">
            <w:pPr>
              <w:spacing w:after="200" w:line="276" w:lineRule="auto"/>
              <w:jc w:val="both"/>
              <w:rPr>
                <w:rFonts w:ascii="Georgia" w:hAnsi="Georgia" w:cs="Times New Roman"/>
                <w:sz w:val="20"/>
                <w:lang w:val="lt-LT"/>
              </w:rPr>
            </w:pPr>
            <w:r>
              <w:rPr>
                <w:rFonts w:ascii="Georgia" w:hAnsi="Georgia" w:cs="Times New Roman"/>
                <w:sz w:val="20"/>
                <w:lang w:val="lt-LT"/>
              </w:rPr>
              <w:t>Pagal 2014-2020 metų Europos Sąjungos fondų investicijų veiksmų programą projektų finansavimui skiriamos lėšos</w:t>
            </w:r>
          </w:p>
        </w:tc>
      </w:tr>
      <w:tr w:rsidR="00E91778" w:rsidRPr="00DF3A8E" w14:paraId="6B68BAF4" w14:textId="77777777" w:rsidTr="00466A70">
        <w:tc>
          <w:tcPr>
            <w:tcW w:w="826" w:type="pct"/>
          </w:tcPr>
          <w:p w14:paraId="7EEFAF11" w14:textId="77777777" w:rsidR="00E91778" w:rsidRDefault="00E91778" w:rsidP="001D54C7">
            <w:pPr>
              <w:jc w:val="both"/>
              <w:rPr>
                <w:rFonts w:ascii="Georgia" w:hAnsi="Georgia" w:cs="Times New Roman"/>
                <w:sz w:val="20"/>
                <w:lang w:val="lt-LT"/>
              </w:rPr>
            </w:pPr>
            <w:r>
              <w:rPr>
                <w:rFonts w:ascii="Georgia" w:hAnsi="Georgia" w:cs="Times New Roman"/>
                <w:sz w:val="20"/>
                <w:lang w:val="lt-LT"/>
              </w:rPr>
              <w:t>2014-2020 m. veiksmų programa</w:t>
            </w:r>
          </w:p>
        </w:tc>
        <w:tc>
          <w:tcPr>
            <w:tcW w:w="4174" w:type="pct"/>
          </w:tcPr>
          <w:p w14:paraId="4C1C0E98" w14:textId="77777777" w:rsidR="00E91778" w:rsidRPr="00DF3A8E" w:rsidRDefault="00E91778" w:rsidP="001D54C7">
            <w:pPr>
              <w:spacing w:after="200" w:line="276" w:lineRule="auto"/>
              <w:jc w:val="both"/>
              <w:rPr>
                <w:rFonts w:ascii="Georgia" w:hAnsi="Georgia" w:cs="Times New Roman"/>
                <w:sz w:val="20"/>
                <w:lang w:val="lt-LT"/>
              </w:rPr>
            </w:pPr>
            <w:r>
              <w:rPr>
                <w:rFonts w:ascii="Georgia" w:hAnsi="Georgia" w:cs="Times New Roman"/>
                <w:sz w:val="20"/>
                <w:lang w:val="lt-LT"/>
              </w:rPr>
              <w:t xml:space="preserve">2014 m. rugsėjo 8 d. Europos Komisijos patvirtinta </w:t>
            </w:r>
            <w:r w:rsidRPr="00F42F19">
              <w:rPr>
                <w:rFonts w:ascii="Georgia" w:hAnsi="Georgia" w:cs="Times New Roman"/>
                <w:sz w:val="20"/>
                <w:lang w:val="lt-LT"/>
              </w:rPr>
              <w:t xml:space="preserve">2014-2020 metų Europos </w:t>
            </w:r>
            <w:r>
              <w:rPr>
                <w:rFonts w:ascii="Georgia" w:hAnsi="Georgia" w:cs="Times New Roman"/>
                <w:sz w:val="20"/>
                <w:lang w:val="lt-LT"/>
              </w:rPr>
              <w:t>S</w:t>
            </w:r>
            <w:r w:rsidRPr="00F42F19">
              <w:rPr>
                <w:rFonts w:ascii="Georgia" w:hAnsi="Georgia" w:cs="Times New Roman"/>
                <w:sz w:val="20"/>
                <w:lang w:val="lt-LT"/>
              </w:rPr>
              <w:t>ąjungos fondų investicijų veiksmų programa</w:t>
            </w:r>
          </w:p>
        </w:tc>
      </w:tr>
      <w:tr w:rsidR="00E91778" w:rsidRPr="00E547D4" w14:paraId="7F1F912D" w14:textId="77777777" w:rsidTr="00466A70">
        <w:tc>
          <w:tcPr>
            <w:tcW w:w="826" w:type="pct"/>
          </w:tcPr>
          <w:p w14:paraId="2BD90566" w14:textId="77777777" w:rsidR="00E91778" w:rsidRPr="00C33CA0" w:rsidRDefault="00E91778" w:rsidP="001D54C7">
            <w:pPr>
              <w:jc w:val="both"/>
              <w:rPr>
                <w:rFonts w:ascii="Georgia" w:hAnsi="Georgia" w:cs="Times New Roman"/>
                <w:sz w:val="20"/>
                <w:lang w:val="lt-LT"/>
              </w:rPr>
            </w:pPr>
            <w:r w:rsidRPr="00C33CA0">
              <w:rPr>
                <w:rFonts w:ascii="Georgia" w:hAnsi="Georgia" w:cs="Times New Roman"/>
                <w:sz w:val="20"/>
                <w:lang w:val="lt-LT"/>
              </w:rPr>
              <w:t>2014-2020 m. periodas</w:t>
            </w:r>
          </w:p>
        </w:tc>
        <w:tc>
          <w:tcPr>
            <w:tcW w:w="4174" w:type="pct"/>
          </w:tcPr>
          <w:p w14:paraId="3FB0DD1E" w14:textId="77777777" w:rsidR="00E91778" w:rsidRPr="00C33CA0" w:rsidRDefault="00E91778" w:rsidP="001D54C7">
            <w:pPr>
              <w:spacing w:after="200" w:line="276" w:lineRule="auto"/>
              <w:jc w:val="both"/>
              <w:rPr>
                <w:rFonts w:ascii="Georgia" w:hAnsi="Georgia" w:cs="Times New Roman"/>
                <w:sz w:val="20"/>
                <w:lang w:val="lt-LT"/>
              </w:rPr>
            </w:pPr>
            <w:r w:rsidRPr="00C33CA0">
              <w:rPr>
                <w:rFonts w:ascii="Georgia" w:hAnsi="Georgia" w:cs="Times New Roman"/>
                <w:sz w:val="20"/>
                <w:lang w:val="lt-LT"/>
              </w:rPr>
              <w:t>2014-2020 m. laikotarpis, kuriam skiriamos ESI fondų lėšos įgyvendinti 2014-2020 m. veiksmų programą</w:t>
            </w:r>
          </w:p>
        </w:tc>
      </w:tr>
      <w:tr w:rsidR="00E91778" w:rsidRPr="00DF3A8E" w14:paraId="5A0FAF6D" w14:textId="77777777" w:rsidTr="00466A70">
        <w:tc>
          <w:tcPr>
            <w:tcW w:w="826" w:type="pct"/>
          </w:tcPr>
          <w:p w14:paraId="79115DE9" w14:textId="77777777" w:rsidR="00E91778" w:rsidRPr="00C33CA0" w:rsidRDefault="00E91778" w:rsidP="001D54C7">
            <w:pPr>
              <w:jc w:val="both"/>
              <w:rPr>
                <w:rFonts w:ascii="Georgia" w:hAnsi="Georgia" w:cs="Times New Roman"/>
                <w:sz w:val="20"/>
                <w:lang w:val="lt-LT"/>
              </w:rPr>
            </w:pPr>
            <w:r w:rsidRPr="00C33CA0">
              <w:rPr>
                <w:rFonts w:ascii="Georgia" w:hAnsi="Georgia" w:cs="Times New Roman"/>
                <w:sz w:val="20"/>
                <w:lang w:val="lt-LT"/>
              </w:rPr>
              <w:t>2007-2013 m. periodas</w:t>
            </w:r>
          </w:p>
        </w:tc>
        <w:tc>
          <w:tcPr>
            <w:tcW w:w="4174" w:type="pct"/>
          </w:tcPr>
          <w:p w14:paraId="2A4CA982" w14:textId="77777777" w:rsidR="00E91778" w:rsidRPr="00DF3A8E" w:rsidRDefault="00E91778" w:rsidP="001D54C7">
            <w:pPr>
              <w:spacing w:after="200" w:line="276" w:lineRule="auto"/>
              <w:jc w:val="both"/>
              <w:rPr>
                <w:rFonts w:ascii="Georgia" w:hAnsi="Georgia" w:cs="Times New Roman"/>
                <w:sz w:val="20"/>
                <w:lang w:val="lt-LT"/>
              </w:rPr>
            </w:pPr>
            <w:r w:rsidRPr="00C33CA0">
              <w:rPr>
                <w:rFonts w:ascii="Georgia" w:hAnsi="Georgia" w:cs="Times New Roman"/>
                <w:sz w:val="20"/>
                <w:lang w:val="lt-LT"/>
              </w:rPr>
              <w:t>2007-2013 m. laikotarpis, kuriam buvo skirtos ESI fondų lėšos įgyvendinti 2007-2013 m. Sanglaudos skatinimo veiksmų programą, 2007-2013 m. Ekonomikos augimo veiksmų programą ir 2007-2013 m. Žmogiškųjų išteklių plėtros veiksmų programą</w:t>
            </w:r>
          </w:p>
        </w:tc>
      </w:tr>
      <w:tr w:rsidR="00E91778" w:rsidRPr="00DF3A8E" w14:paraId="3587A924" w14:textId="77777777" w:rsidTr="00466A70">
        <w:tc>
          <w:tcPr>
            <w:tcW w:w="826" w:type="pct"/>
          </w:tcPr>
          <w:p w14:paraId="26C9C237" w14:textId="77777777" w:rsidR="00E91778" w:rsidRPr="00DF3A8E" w:rsidRDefault="00E91778" w:rsidP="001D54C7">
            <w:pPr>
              <w:spacing w:after="200" w:line="276" w:lineRule="auto"/>
              <w:jc w:val="both"/>
              <w:rPr>
                <w:rFonts w:ascii="Georgia" w:hAnsi="Georgia" w:cs="Times New Roman"/>
                <w:sz w:val="20"/>
                <w:lang w:val="lt-LT"/>
              </w:rPr>
            </w:pPr>
            <w:r>
              <w:rPr>
                <w:rFonts w:ascii="Georgia" w:hAnsi="Georgia" w:cs="Times New Roman"/>
                <w:sz w:val="20"/>
                <w:lang w:val="lt-LT"/>
              </w:rPr>
              <w:t>Bendrųjų nuostatų r</w:t>
            </w:r>
            <w:r w:rsidRPr="00DF3A8E">
              <w:rPr>
                <w:rFonts w:ascii="Georgia" w:hAnsi="Georgia" w:cs="Times New Roman"/>
                <w:sz w:val="20"/>
                <w:lang w:val="lt-LT"/>
              </w:rPr>
              <w:t>eglamentas</w:t>
            </w:r>
          </w:p>
        </w:tc>
        <w:tc>
          <w:tcPr>
            <w:tcW w:w="4174" w:type="pct"/>
          </w:tcPr>
          <w:p w14:paraId="252C74C0" w14:textId="77777777" w:rsidR="00E91778" w:rsidRPr="00DF3A8E" w:rsidRDefault="00E91778" w:rsidP="001D54C7">
            <w:pPr>
              <w:spacing w:after="200" w:line="276" w:lineRule="auto"/>
              <w:jc w:val="both"/>
              <w:rPr>
                <w:rFonts w:ascii="Georgia" w:hAnsi="Georgia" w:cs="Times New Roman"/>
                <w:sz w:val="20"/>
                <w:lang w:val="lt-LT"/>
              </w:rPr>
            </w:pPr>
            <w:r>
              <w:rPr>
                <w:rFonts w:ascii="Georgia" w:hAnsi="Georgia" w:cs="Times New Roman"/>
                <w:sz w:val="20"/>
                <w:lang w:val="lt-LT"/>
              </w:rPr>
              <w:t xml:space="preserve"> 2013 m. gruodžio 17 d. Europos Parlamento ir Tarybos reglamentas (ES) Nr. 1303/2013, kuriuo nustatomos Europos regioninės plėtros fondui, Europos socialiniam fondui, Sanglaudos fondui, Europos žemės ūkio fondui kaimo plėtrai ir Europos jūros reikalų ir žuvininkystės fondui bendros nuostatos ir Europos regioninės plėtros fondui, Europos socialiniam fondui, Sanglaudos fondui ir Europos jūros reikalų ir žuvininkystės fondui taikytinos bendrosios nuostatos ir panaikinamas Tarybos reglamentas (EB) Nr. 1083/2006</w:t>
            </w:r>
          </w:p>
        </w:tc>
      </w:tr>
      <w:tr w:rsidR="00E91778" w:rsidRPr="00DF3A8E" w14:paraId="2FDC6DF9" w14:textId="77777777" w:rsidTr="00466A70">
        <w:tc>
          <w:tcPr>
            <w:tcW w:w="826" w:type="pct"/>
          </w:tcPr>
          <w:p w14:paraId="3070972E" w14:textId="77777777" w:rsidR="00E91778" w:rsidRPr="00DF3A8E" w:rsidRDefault="00E91778" w:rsidP="001D54C7">
            <w:pPr>
              <w:jc w:val="both"/>
              <w:rPr>
                <w:rFonts w:ascii="Georgia" w:hAnsi="Georgia" w:cs="Times New Roman"/>
                <w:sz w:val="20"/>
                <w:lang w:val="lt-LT"/>
              </w:rPr>
            </w:pPr>
            <w:r>
              <w:rPr>
                <w:rFonts w:ascii="Georgia" w:hAnsi="Georgia" w:cs="Times New Roman"/>
                <w:sz w:val="20"/>
                <w:lang w:val="lt-LT"/>
              </w:rPr>
              <w:t>BETA</w:t>
            </w:r>
          </w:p>
        </w:tc>
        <w:tc>
          <w:tcPr>
            <w:tcW w:w="4174" w:type="pct"/>
          </w:tcPr>
          <w:p w14:paraId="6A649607" w14:textId="77777777" w:rsidR="00E91778" w:rsidRPr="00DF3A8E" w:rsidRDefault="00E91778" w:rsidP="001D54C7">
            <w:pPr>
              <w:spacing w:after="200" w:line="276" w:lineRule="auto"/>
              <w:jc w:val="both"/>
              <w:rPr>
                <w:rFonts w:ascii="Georgia" w:hAnsi="Georgia" w:cs="Times New Roman"/>
                <w:sz w:val="20"/>
                <w:lang w:val="lt-LT"/>
              </w:rPr>
            </w:pPr>
            <w:r>
              <w:rPr>
                <w:rFonts w:ascii="Georgia" w:hAnsi="Georgia" w:cs="Times New Roman"/>
                <w:sz w:val="20"/>
                <w:lang w:val="lt-LT"/>
              </w:rPr>
              <w:t>VšĮ „</w:t>
            </w:r>
            <w:r w:rsidRPr="008E0EC6">
              <w:rPr>
                <w:rFonts w:ascii="Georgia" w:hAnsi="Georgia" w:cs="Times New Roman"/>
                <w:sz w:val="20"/>
                <w:lang w:val="lt-LT"/>
              </w:rPr>
              <w:t>Būsto energijos taupymo agentūra</w:t>
            </w:r>
            <w:r>
              <w:rPr>
                <w:rFonts w:ascii="Georgia" w:hAnsi="Georgia" w:cs="Times New Roman"/>
                <w:sz w:val="20"/>
                <w:lang w:val="lt-LT"/>
              </w:rPr>
              <w:t>“</w:t>
            </w:r>
          </w:p>
        </w:tc>
      </w:tr>
      <w:tr w:rsidR="00E91778" w:rsidRPr="00DF3A8E" w14:paraId="6ED5DB77" w14:textId="77777777" w:rsidTr="00466A70">
        <w:tc>
          <w:tcPr>
            <w:tcW w:w="826" w:type="pct"/>
          </w:tcPr>
          <w:p w14:paraId="3673C4B8" w14:textId="77777777" w:rsidR="00E91778" w:rsidRDefault="00E91778" w:rsidP="001D54C7">
            <w:pPr>
              <w:jc w:val="both"/>
              <w:rPr>
                <w:rFonts w:ascii="Georgia" w:hAnsi="Georgia" w:cs="Times New Roman"/>
                <w:sz w:val="20"/>
                <w:lang w:val="lt-LT"/>
              </w:rPr>
            </w:pPr>
            <w:r>
              <w:rPr>
                <w:rFonts w:ascii="Georgia" w:hAnsi="Georgia" w:cs="Arial"/>
                <w:sz w:val="20"/>
                <w:szCs w:val="20"/>
                <w:lang w:val="lt-LT"/>
              </w:rPr>
              <w:t>CEB</w:t>
            </w:r>
          </w:p>
        </w:tc>
        <w:tc>
          <w:tcPr>
            <w:tcW w:w="4174" w:type="pct"/>
          </w:tcPr>
          <w:p w14:paraId="124EA9D4" w14:textId="77777777" w:rsidR="00E91778" w:rsidRDefault="00E91778" w:rsidP="001D54C7">
            <w:pPr>
              <w:jc w:val="both"/>
              <w:rPr>
                <w:rFonts w:ascii="Georgia" w:hAnsi="Georgia" w:cs="Times New Roman"/>
                <w:sz w:val="20"/>
                <w:lang w:val="lt-LT"/>
              </w:rPr>
            </w:pPr>
            <w:r>
              <w:rPr>
                <w:rFonts w:ascii="Georgia" w:hAnsi="Georgia" w:cs="Arial"/>
                <w:sz w:val="20"/>
                <w:szCs w:val="20"/>
                <w:lang w:val="lt-LT"/>
              </w:rPr>
              <w:t>Europos Tarybos vystymo bankas (</w:t>
            </w:r>
            <w:r>
              <w:rPr>
                <w:rFonts w:ascii="Georgia" w:hAnsi="Georgia" w:cs="Arial"/>
                <w:i/>
                <w:sz w:val="20"/>
                <w:szCs w:val="20"/>
                <w:lang w:val="lt-LT"/>
              </w:rPr>
              <w:t>angl. Council of Europe Development Bank</w:t>
            </w:r>
            <w:r>
              <w:rPr>
                <w:rFonts w:ascii="Georgia" w:hAnsi="Georgia" w:cs="Arial"/>
                <w:sz w:val="20"/>
                <w:szCs w:val="20"/>
                <w:lang w:val="lt-LT"/>
              </w:rPr>
              <w:t>)</w:t>
            </w:r>
          </w:p>
        </w:tc>
      </w:tr>
      <w:tr w:rsidR="00E91778" w:rsidRPr="00E547D4" w14:paraId="33356975" w14:textId="77777777" w:rsidTr="00466A70">
        <w:tc>
          <w:tcPr>
            <w:tcW w:w="826" w:type="pct"/>
          </w:tcPr>
          <w:p w14:paraId="1D515FF1" w14:textId="77777777" w:rsidR="00E91778" w:rsidRPr="00C33CA0" w:rsidRDefault="00E91778" w:rsidP="001D54C7">
            <w:pPr>
              <w:jc w:val="both"/>
              <w:rPr>
                <w:rFonts w:ascii="Georgia" w:hAnsi="Georgia" w:cs="Times New Roman"/>
                <w:sz w:val="20"/>
                <w:lang w:val="lt-LT"/>
              </w:rPr>
            </w:pPr>
            <w:r w:rsidRPr="00C33CA0">
              <w:rPr>
                <w:rFonts w:ascii="Georgia" w:hAnsi="Georgia" w:cs="Times New Roman"/>
                <w:sz w:val="20"/>
                <w:lang w:val="lt-LT"/>
              </w:rPr>
              <w:t>Centrinės valdžios pastatai</w:t>
            </w:r>
          </w:p>
        </w:tc>
        <w:tc>
          <w:tcPr>
            <w:tcW w:w="4174" w:type="pct"/>
          </w:tcPr>
          <w:p w14:paraId="55DA4FD4" w14:textId="77777777" w:rsidR="00E91778" w:rsidRPr="00C33CA0" w:rsidRDefault="00E91778" w:rsidP="001D54C7">
            <w:pPr>
              <w:spacing w:after="200" w:line="276" w:lineRule="auto"/>
              <w:jc w:val="both"/>
              <w:rPr>
                <w:rFonts w:ascii="Georgia" w:hAnsi="Georgia" w:cs="Times New Roman"/>
                <w:sz w:val="20"/>
                <w:lang w:val="lt-LT"/>
              </w:rPr>
            </w:pPr>
            <w:r w:rsidRPr="00C33CA0">
              <w:rPr>
                <w:rFonts w:ascii="Georgia" w:hAnsi="Georgia" w:cs="Times New Roman"/>
                <w:sz w:val="20"/>
                <w:lang w:val="lt-LT"/>
              </w:rPr>
              <w:t>Centrinės valdžios subjektams priklausantys ir jų naudojami šildomi ir (arba) vėsinami pastatai</w:t>
            </w:r>
          </w:p>
        </w:tc>
      </w:tr>
      <w:tr w:rsidR="00E91778" w:rsidRPr="00DF3A8E" w14:paraId="48929CC0" w14:textId="77777777" w:rsidTr="00466A70">
        <w:tc>
          <w:tcPr>
            <w:tcW w:w="826" w:type="pct"/>
          </w:tcPr>
          <w:p w14:paraId="231B877F" w14:textId="77777777" w:rsidR="00E91778" w:rsidRDefault="00E91778" w:rsidP="001D54C7">
            <w:pPr>
              <w:jc w:val="both"/>
              <w:rPr>
                <w:rFonts w:ascii="Georgia" w:hAnsi="Georgia" w:cs="Arial"/>
                <w:sz w:val="20"/>
                <w:szCs w:val="20"/>
                <w:lang w:val="lt-LT"/>
              </w:rPr>
            </w:pPr>
            <w:r>
              <w:rPr>
                <w:rFonts w:ascii="Georgia" w:hAnsi="Georgia" w:cs="Arial"/>
                <w:sz w:val="20"/>
                <w:szCs w:val="20"/>
                <w:lang w:val="lt-LT"/>
              </w:rPr>
              <w:t>CLEERE</w:t>
            </w:r>
          </w:p>
        </w:tc>
        <w:tc>
          <w:tcPr>
            <w:tcW w:w="4174" w:type="pct"/>
          </w:tcPr>
          <w:p w14:paraId="7229CC61" w14:textId="77777777" w:rsidR="00E91778" w:rsidRDefault="00E91778" w:rsidP="001D54C7">
            <w:pPr>
              <w:jc w:val="both"/>
              <w:rPr>
                <w:rFonts w:ascii="Georgia" w:hAnsi="Georgia" w:cs="Arial"/>
                <w:sz w:val="20"/>
                <w:szCs w:val="20"/>
                <w:lang w:val="lt-LT"/>
              </w:rPr>
            </w:pPr>
            <w:r>
              <w:rPr>
                <w:rFonts w:ascii="Georgia" w:hAnsi="Georgia" w:cs="Arial"/>
                <w:sz w:val="20"/>
                <w:szCs w:val="20"/>
                <w:lang w:val="lt-LT"/>
              </w:rPr>
              <w:t>Klimato kaitos, energijos efektyvumo ir atsinaujinančių energijos išteklių (</w:t>
            </w:r>
            <w:r>
              <w:rPr>
                <w:rFonts w:ascii="Georgia" w:hAnsi="Georgia" w:cs="Arial"/>
                <w:i/>
                <w:sz w:val="20"/>
                <w:szCs w:val="20"/>
                <w:lang w:val="lt-LT"/>
              </w:rPr>
              <w:t>angl. The Climate Change, Energy Efficiency and Renewable Energy</w:t>
            </w:r>
            <w:r>
              <w:rPr>
                <w:rFonts w:ascii="Georgia" w:hAnsi="Georgia" w:cs="Arial"/>
                <w:sz w:val="20"/>
                <w:szCs w:val="20"/>
                <w:lang w:val="lt-LT"/>
              </w:rPr>
              <w:t>)</w:t>
            </w:r>
          </w:p>
        </w:tc>
      </w:tr>
      <w:tr w:rsidR="00E91778" w:rsidRPr="00DF3A8E" w14:paraId="6A1FD12D" w14:textId="77777777" w:rsidTr="00466A70">
        <w:tc>
          <w:tcPr>
            <w:tcW w:w="826" w:type="pct"/>
          </w:tcPr>
          <w:p w14:paraId="3B9440CD" w14:textId="77777777" w:rsidR="00E91778" w:rsidRPr="00DF3A8E" w:rsidRDefault="00E91778" w:rsidP="001D54C7">
            <w:pPr>
              <w:spacing w:after="200" w:line="276" w:lineRule="auto"/>
              <w:jc w:val="both"/>
              <w:rPr>
                <w:rFonts w:ascii="Georgia" w:hAnsi="Georgia" w:cs="Times New Roman"/>
                <w:sz w:val="20"/>
                <w:lang w:val="lt-LT"/>
              </w:rPr>
            </w:pPr>
            <w:r w:rsidRPr="00DF3A8E">
              <w:rPr>
                <w:rFonts w:ascii="Georgia" w:hAnsi="Georgia" w:cs="Times New Roman"/>
                <w:sz w:val="20"/>
                <w:lang w:val="lt-LT"/>
              </w:rPr>
              <w:t xml:space="preserve">Deleguotas </w:t>
            </w:r>
            <w:r>
              <w:rPr>
                <w:rFonts w:ascii="Georgia" w:hAnsi="Georgia" w:cs="Times New Roman"/>
                <w:sz w:val="20"/>
                <w:lang w:val="lt-LT"/>
              </w:rPr>
              <w:t>reglamentas</w:t>
            </w:r>
          </w:p>
        </w:tc>
        <w:tc>
          <w:tcPr>
            <w:tcW w:w="4174" w:type="pct"/>
          </w:tcPr>
          <w:p w14:paraId="4186C427" w14:textId="77777777" w:rsidR="00E91778" w:rsidRPr="00DF3A8E" w:rsidRDefault="00E91778" w:rsidP="001D54C7">
            <w:pPr>
              <w:spacing w:after="200" w:line="276" w:lineRule="auto"/>
              <w:jc w:val="both"/>
              <w:rPr>
                <w:rFonts w:ascii="Georgia" w:hAnsi="Georgia" w:cs="Times New Roman"/>
                <w:sz w:val="20"/>
                <w:lang w:val="lt-LT"/>
              </w:rPr>
            </w:pPr>
            <w:r>
              <w:rPr>
                <w:rFonts w:ascii="Georgia" w:hAnsi="Georgia" w:cs="Times New Roman"/>
                <w:sz w:val="20"/>
                <w:lang w:val="lt-LT"/>
              </w:rPr>
              <w:t xml:space="preserve"> 2014 m. kovo 3 d. Komisijos deleguotasis reglamentas (ES) Nr. 480/2014, kuriuo </w:t>
            </w:r>
            <w:r w:rsidRPr="00DE194B">
              <w:rPr>
                <w:rFonts w:ascii="Georgia" w:hAnsi="Georgia" w:cs="Times New Roman"/>
                <w:sz w:val="20"/>
                <w:lang w:val="lt-LT"/>
              </w:rPr>
              <w:t>papildomas</w:t>
            </w:r>
            <w:r>
              <w:rPr>
                <w:rFonts w:ascii="Georgia" w:hAnsi="Georgia" w:cs="Times New Roman"/>
                <w:sz w:val="20"/>
                <w:lang w:val="lt-LT"/>
              </w:rPr>
              <w:t xml:space="preserve"> </w:t>
            </w:r>
            <w:r w:rsidRPr="00DE194B">
              <w:rPr>
                <w:rFonts w:ascii="Georgia" w:hAnsi="Georgia" w:cs="Times New Roman"/>
                <w:sz w:val="20"/>
                <w:lang w:val="lt-LT"/>
              </w:rPr>
              <w:t>Europos Parlamento ir Tarybos reglamentas (ES) Nr. 1303/2013, kuriuo</w:t>
            </w:r>
            <w:r>
              <w:rPr>
                <w:rFonts w:ascii="Georgia" w:hAnsi="Georgia" w:cs="Times New Roman"/>
                <w:sz w:val="20"/>
                <w:lang w:val="lt-LT"/>
              </w:rPr>
              <w:t xml:space="preserve"> nustatomos </w:t>
            </w:r>
            <w:r w:rsidRPr="00DE194B">
              <w:rPr>
                <w:rFonts w:ascii="Georgia" w:hAnsi="Georgia" w:cs="Times New Roman"/>
                <w:sz w:val="20"/>
                <w:lang w:val="lt-LT"/>
              </w:rPr>
              <w:t>Europos regionin</w:t>
            </w:r>
            <w:r>
              <w:rPr>
                <w:rFonts w:ascii="Georgia" w:hAnsi="Georgia" w:cs="Times New Roman"/>
                <w:sz w:val="20"/>
                <w:lang w:val="lt-LT"/>
              </w:rPr>
              <w:t>ė</w:t>
            </w:r>
            <w:r w:rsidRPr="00DE194B">
              <w:rPr>
                <w:rFonts w:ascii="Georgia" w:hAnsi="Georgia" w:cs="Times New Roman"/>
                <w:sz w:val="20"/>
                <w:lang w:val="lt-LT"/>
              </w:rPr>
              <w:t>s pl</w:t>
            </w:r>
            <w:r>
              <w:rPr>
                <w:rFonts w:ascii="Georgia" w:hAnsi="Georgia" w:cs="Times New Roman"/>
                <w:sz w:val="20"/>
                <w:lang w:val="lt-LT"/>
              </w:rPr>
              <w:t>ė</w:t>
            </w:r>
            <w:r w:rsidRPr="00DE194B">
              <w:rPr>
                <w:rFonts w:ascii="Georgia" w:hAnsi="Georgia" w:cs="Times New Roman"/>
                <w:sz w:val="20"/>
                <w:lang w:val="lt-LT"/>
              </w:rPr>
              <w:t xml:space="preserve">tros fondui, Europos socialiniam fondui, Sanglaudos fondui, Europos </w:t>
            </w:r>
            <w:r>
              <w:rPr>
                <w:rFonts w:ascii="Georgia" w:hAnsi="Georgia" w:cs="Times New Roman"/>
                <w:sz w:val="20"/>
                <w:lang w:val="lt-LT"/>
              </w:rPr>
              <w:t>žemės</w:t>
            </w:r>
            <w:r w:rsidRPr="00DE194B">
              <w:rPr>
                <w:rFonts w:ascii="Georgia" w:hAnsi="Georgia" w:cs="Times New Roman"/>
                <w:sz w:val="20"/>
                <w:lang w:val="lt-LT"/>
              </w:rPr>
              <w:t xml:space="preserve"> ūkio fondui kaimo pl</w:t>
            </w:r>
            <w:r>
              <w:rPr>
                <w:rFonts w:ascii="Georgia" w:hAnsi="Georgia" w:cs="Times New Roman"/>
                <w:sz w:val="20"/>
                <w:lang w:val="lt-LT"/>
              </w:rPr>
              <w:t>ėtrai ir Europos jūrų</w:t>
            </w:r>
            <w:r w:rsidRPr="00DE194B">
              <w:rPr>
                <w:rFonts w:ascii="Georgia" w:hAnsi="Georgia" w:cs="Times New Roman"/>
                <w:sz w:val="20"/>
                <w:lang w:val="lt-LT"/>
              </w:rPr>
              <w:t xml:space="preserve"> reikal</w:t>
            </w:r>
            <w:r>
              <w:rPr>
                <w:rFonts w:ascii="Georgia" w:hAnsi="Georgia" w:cs="Times New Roman"/>
                <w:sz w:val="20"/>
                <w:lang w:val="lt-LT"/>
              </w:rPr>
              <w:t>ų ir žuvininkystė</w:t>
            </w:r>
            <w:r w:rsidRPr="00DE194B">
              <w:rPr>
                <w:rFonts w:ascii="Georgia" w:hAnsi="Georgia" w:cs="Times New Roman"/>
                <w:sz w:val="20"/>
                <w:lang w:val="lt-LT"/>
              </w:rPr>
              <w:t>s fondui bendros nuostatos</w:t>
            </w:r>
            <w:r>
              <w:rPr>
                <w:rFonts w:ascii="Georgia" w:hAnsi="Georgia" w:cs="Times New Roman"/>
                <w:sz w:val="20"/>
                <w:lang w:val="lt-LT"/>
              </w:rPr>
              <w:t xml:space="preserve"> ir Europos regioninės plė</w:t>
            </w:r>
            <w:r w:rsidRPr="00DE194B">
              <w:rPr>
                <w:rFonts w:ascii="Georgia" w:hAnsi="Georgia" w:cs="Times New Roman"/>
                <w:sz w:val="20"/>
                <w:lang w:val="lt-LT"/>
              </w:rPr>
              <w:t>tros fondui, Europos socialiniam fondui, Sanglaudos fondui ir Europos jūr</w:t>
            </w:r>
            <w:r>
              <w:rPr>
                <w:rFonts w:ascii="Georgia" w:hAnsi="Georgia" w:cs="Times New Roman"/>
                <w:sz w:val="20"/>
                <w:lang w:val="lt-LT"/>
              </w:rPr>
              <w:t>ų</w:t>
            </w:r>
            <w:r w:rsidRPr="00DE194B">
              <w:rPr>
                <w:rFonts w:ascii="Georgia" w:hAnsi="Georgia" w:cs="Times New Roman"/>
                <w:sz w:val="20"/>
                <w:lang w:val="lt-LT"/>
              </w:rPr>
              <w:t xml:space="preserve"> reikal</w:t>
            </w:r>
            <w:r>
              <w:rPr>
                <w:rFonts w:ascii="Georgia" w:hAnsi="Georgia" w:cs="Times New Roman"/>
                <w:sz w:val="20"/>
                <w:lang w:val="lt-LT"/>
              </w:rPr>
              <w:t>ų ir žuvininkystė</w:t>
            </w:r>
            <w:r w:rsidRPr="00DE194B">
              <w:rPr>
                <w:rFonts w:ascii="Georgia" w:hAnsi="Georgia" w:cs="Times New Roman"/>
                <w:sz w:val="20"/>
                <w:lang w:val="lt-LT"/>
              </w:rPr>
              <w:t>s fondui taikytinos bendrosios nuostatos</w:t>
            </w:r>
          </w:p>
        </w:tc>
      </w:tr>
      <w:tr w:rsidR="00E91778" w:rsidRPr="00DF3A8E" w14:paraId="6B453145" w14:textId="77777777" w:rsidTr="00466A70">
        <w:tc>
          <w:tcPr>
            <w:tcW w:w="826" w:type="pct"/>
          </w:tcPr>
          <w:p w14:paraId="61A89059" w14:textId="77777777" w:rsidR="00E91778" w:rsidRDefault="00E91778" w:rsidP="001D54C7">
            <w:pPr>
              <w:jc w:val="both"/>
              <w:rPr>
                <w:rFonts w:ascii="Georgia" w:hAnsi="Georgia" w:cs="Arial"/>
                <w:sz w:val="20"/>
                <w:szCs w:val="20"/>
                <w:lang w:val="lt-LT"/>
              </w:rPr>
            </w:pPr>
            <w:r w:rsidRPr="00B566FF">
              <w:rPr>
                <w:rFonts w:ascii="Georgia" w:hAnsi="Georgia" w:cs="Arial"/>
                <w:sz w:val="20"/>
                <w:szCs w:val="20"/>
                <w:lang w:val="lt-LT"/>
              </w:rPr>
              <w:t>DSCR</w:t>
            </w:r>
          </w:p>
        </w:tc>
        <w:tc>
          <w:tcPr>
            <w:tcW w:w="4174" w:type="pct"/>
          </w:tcPr>
          <w:p w14:paraId="1AB6A0D8" w14:textId="77777777" w:rsidR="00E91778" w:rsidRDefault="00E91778" w:rsidP="001D54C7">
            <w:pPr>
              <w:jc w:val="both"/>
              <w:rPr>
                <w:rFonts w:ascii="Georgia" w:hAnsi="Georgia" w:cs="Arial"/>
                <w:sz w:val="20"/>
                <w:szCs w:val="20"/>
                <w:lang w:val="lt-LT"/>
              </w:rPr>
            </w:pPr>
            <w:r>
              <w:rPr>
                <w:rFonts w:ascii="Georgia" w:hAnsi="Georgia" w:cs="Arial"/>
                <w:sz w:val="20"/>
                <w:szCs w:val="20"/>
                <w:lang w:val="lt-LT"/>
              </w:rPr>
              <w:t>F</w:t>
            </w:r>
            <w:r w:rsidRPr="00B566FF">
              <w:rPr>
                <w:rFonts w:ascii="Georgia" w:hAnsi="Georgia" w:cs="Arial"/>
                <w:sz w:val="20"/>
                <w:szCs w:val="20"/>
                <w:lang w:val="lt-LT"/>
              </w:rPr>
              <w:t>inansinių skolų aptarnavimo rodiklis, parodantis gebėjimą apmokėti finansi</w:t>
            </w:r>
            <w:r>
              <w:rPr>
                <w:rFonts w:ascii="Georgia" w:hAnsi="Georgia" w:cs="Arial"/>
                <w:sz w:val="20"/>
                <w:szCs w:val="20"/>
                <w:lang w:val="lt-LT"/>
              </w:rPr>
              <w:t>nes skolas. Angliškas trumpinys, angl.</w:t>
            </w:r>
            <w:r w:rsidRPr="00B566FF">
              <w:rPr>
                <w:rFonts w:ascii="Georgia" w:hAnsi="Georgia" w:cs="Arial"/>
                <w:sz w:val="20"/>
                <w:szCs w:val="20"/>
                <w:lang w:val="lt-LT"/>
              </w:rPr>
              <w:t xml:space="preserve"> Debt-Service Coverage Ratio.</w:t>
            </w:r>
          </w:p>
        </w:tc>
      </w:tr>
      <w:tr w:rsidR="00E91778" w:rsidRPr="00DF3A8E" w14:paraId="6256535F" w14:textId="77777777" w:rsidTr="00466A70">
        <w:tc>
          <w:tcPr>
            <w:tcW w:w="826" w:type="pct"/>
          </w:tcPr>
          <w:p w14:paraId="588003C0" w14:textId="77777777" w:rsidR="00E91778" w:rsidRDefault="00E91778" w:rsidP="001D54C7">
            <w:pPr>
              <w:jc w:val="both"/>
              <w:rPr>
                <w:rFonts w:ascii="Georgia" w:hAnsi="Georgia" w:cs="Arial"/>
                <w:sz w:val="20"/>
                <w:szCs w:val="20"/>
                <w:lang w:val="lt-LT"/>
              </w:rPr>
            </w:pPr>
            <w:r w:rsidRPr="00421AE2">
              <w:rPr>
                <w:rFonts w:ascii="Georgia" w:hAnsi="Georgia" w:cs="Arial"/>
                <w:sz w:val="20"/>
                <w:szCs w:val="20"/>
                <w:lang w:val="lt-LT"/>
              </w:rPr>
              <w:t>DSRA</w:t>
            </w:r>
          </w:p>
        </w:tc>
        <w:tc>
          <w:tcPr>
            <w:tcW w:w="4174" w:type="pct"/>
          </w:tcPr>
          <w:p w14:paraId="421CB4F1" w14:textId="77777777" w:rsidR="00E91778" w:rsidRDefault="00E91778" w:rsidP="001D54C7">
            <w:pPr>
              <w:jc w:val="both"/>
              <w:rPr>
                <w:rFonts w:ascii="Georgia" w:hAnsi="Georgia" w:cs="Arial"/>
                <w:sz w:val="20"/>
                <w:szCs w:val="20"/>
                <w:lang w:val="lt-LT"/>
              </w:rPr>
            </w:pPr>
            <w:r>
              <w:rPr>
                <w:rFonts w:ascii="Georgia" w:hAnsi="Georgia" w:cs="Arial"/>
                <w:sz w:val="20"/>
                <w:szCs w:val="20"/>
                <w:lang w:val="lt-LT"/>
              </w:rPr>
              <w:t>P</w:t>
            </w:r>
            <w:r w:rsidRPr="00421AE2">
              <w:rPr>
                <w:rFonts w:ascii="Georgia" w:hAnsi="Georgia" w:cs="Arial"/>
                <w:sz w:val="20"/>
                <w:szCs w:val="20"/>
                <w:lang w:val="lt-LT"/>
              </w:rPr>
              <w:t>askolų aptarnavimo rezerv</w:t>
            </w:r>
            <w:r>
              <w:rPr>
                <w:rFonts w:ascii="Georgia" w:hAnsi="Georgia" w:cs="Arial"/>
                <w:sz w:val="20"/>
                <w:szCs w:val="20"/>
                <w:lang w:val="lt-LT"/>
              </w:rPr>
              <w:t>o rodiklis</w:t>
            </w:r>
            <w:r w:rsidRPr="00421AE2">
              <w:rPr>
                <w:rFonts w:ascii="Georgia" w:hAnsi="Georgia" w:cs="Arial"/>
                <w:sz w:val="20"/>
                <w:szCs w:val="20"/>
                <w:lang w:val="lt-LT"/>
              </w:rPr>
              <w:t xml:space="preserve"> (</w:t>
            </w:r>
            <w:r>
              <w:rPr>
                <w:rFonts w:ascii="Georgia" w:hAnsi="Georgia" w:cs="Arial"/>
                <w:sz w:val="20"/>
                <w:szCs w:val="20"/>
                <w:lang w:val="lt-LT"/>
              </w:rPr>
              <w:t xml:space="preserve">angl. </w:t>
            </w:r>
            <w:r w:rsidRPr="00421AE2">
              <w:rPr>
                <w:rFonts w:ascii="Georgia" w:hAnsi="Georgia" w:cs="Arial"/>
                <w:sz w:val="20"/>
                <w:szCs w:val="20"/>
                <w:lang w:val="lt-LT"/>
              </w:rPr>
              <w:t>debt service reserve account)</w:t>
            </w:r>
          </w:p>
        </w:tc>
      </w:tr>
      <w:tr w:rsidR="00E91778" w:rsidRPr="00DF3A8E" w14:paraId="5BC99EDB" w14:textId="77777777" w:rsidTr="00466A70">
        <w:tc>
          <w:tcPr>
            <w:tcW w:w="826" w:type="pct"/>
          </w:tcPr>
          <w:p w14:paraId="24C94AD7" w14:textId="77777777" w:rsidR="00E91778" w:rsidRDefault="00E91778" w:rsidP="001D54C7">
            <w:pPr>
              <w:jc w:val="both"/>
              <w:rPr>
                <w:rFonts w:ascii="Georgia" w:hAnsi="Georgia" w:cs="Arial"/>
                <w:sz w:val="20"/>
                <w:szCs w:val="20"/>
                <w:lang w:val="lt-LT"/>
              </w:rPr>
            </w:pPr>
            <w:r>
              <w:rPr>
                <w:rFonts w:ascii="Georgia" w:hAnsi="Georgia" w:cs="Arial"/>
                <w:sz w:val="20"/>
                <w:szCs w:val="20"/>
                <w:lang w:val="lt-LT"/>
              </w:rPr>
              <w:t>EEEF</w:t>
            </w:r>
          </w:p>
        </w:tc>
        <w:tc>
          <w:tcPr>
            <w:tcW w:w="4174" w:type="pct"/>
          </w:tcPr>
          <w:p w14:paraId="5948E016" w14:textId="77777777" w:rsidR="00E91778" w:rsidRDefault="00E91778" w:rsidP="001D54C7">
            <w:pPr>
              <w:jc w:val="both"/>
              <w:rPr>
                <w:rFonts w:ascii="Georgia" w:hAnsi="Georgia" w:cs="Arial"/>
                <w:sz w:val="20"/>
                <w:szCs w:val="20"/>
                <w:lang w:val="lt-LT"/>
              </w:rPr>
            </w:pPr>
            <w:r>
              <w:rPr>
                <w:rFonts w:ascii="Georgia" w:hAnsi="Georgia" w:cs="Arial"/>
                <w:sz w:val="20"/>
                <w:szCs w:val="20"/>
                <w:lang w:val="lt-LT"/>
              </w:rPr>
              <w:t>Europos energetinio efektyvumo fondas (</w:t>
            </w:r>
            <w:r>
              <w:rPr>
                <w:rFonts w:ascii="Georgia" w:hAnsi="Georgia" w:cs="Arial"/>
                <w:i/>
                <w:sz w:val="20"/>
                <w:szCs w:val="20"/>
                <w:lang w:val="lt-LT"/>
              </w:rPr>
              <w:t>angl. European Energy Efficiency Fund</w:t>
            </w:r>
            <w:r>
              <w:rPr>
                <w:rFonts w:ascii="Georgia" w:hAnsi="Georgia" w:cs="Arial"/>
                <w:sz w:val="20"/>
                <w:szCs w:val="20"/>
                <w:lang w:val="lt-LT"/>
              </w:rPr>
              <w:t xml:space="preserve">) </w:t>
            </w:r>
          </w:p>
        </w:tc>
      </w:tr>
      <w:tr w:rsidR="00E91778" w:rsidRPr="00DF3A8E" w14:paraId="29CAE47C" w14:textId="77777777" w:rsidTr="00466A70">
        <w:tc>
          <w:tcPr>
            <w:tcW w:w="826" w:type="pct"/>
          </w:tcPr>
          <w:p w14:paraId="60E022DB" w14:textId="77777777" w:rsidR="00E91778" w:rsidRPr="00B27446" w:rsidRDefault="00E91778" w:rsidP="001D54C7">
            <w:pPr>
              <w:jc w:val="both"/>
              <w:rPr>
                <w:rFonts w:ascii="Georgia" w:hAnsi="Georgia" w:cs="Arial"/>
                <w:sz w:val="20"/>
                <w:szCs w:val="20"/>
                <w:lang w:val="lt-LT"/>
              </w:rPr>
            </w:pPr>
            <w:r w:rsidRPr="00B27446">
              <w:rPr>
                <w:rFonts w:ascii="Georgia" w:hAnsi="Georgia"/>
                <w:sz w:val="20"/>
                <w:szCs w:val="20"/>
                <w:lang w:val="lt-LT"/>
              </w:rPr>
              <w:t>EERSF</w:t>
            </w:r>
          </w:p>
        </w:tc>
        <w:tc>
          <w:tcPr>
            <w:tcW w:w="4174" w:type="pct"/>
          </w:tcPr>
          <w:p w14:paraId="11A60999" w14:textId="77777777" w:rsidR="00E91778" w:rsidRPr="00B27446" w:rsidRDefault="00E91778" w:rsidP="001D54C7">
            <w:pPr>
              <w:jc w:val="both"/>
              <w:rPr>
                <w:rFonts w:ascii="Georgia" w:hAnsi="Georgia" w:cs="Arial"/>
                <w:sz w:val="20"/>
                <w:szCs w:val="20"/>
                <w:lang w:val="lt-LT"/>
              </w:rPr>
            </w:pPr>
            <w:r w:rsidRPr="00B27446">
              <w:rPr>
                <w:rFonts w:ascii="Georgia" w:hAnsi="Georgia"/>
                <w:bCs/>
                <w:sz w:val="20"/>
                <w:szCs w:val="20"/>
                <w:lang w:val="lt-LT"/>
              </w:rPr>
              <w:t xml:space="preserve">Energijos efektyvumo ir atsinaujinančių išteklių fondas Bulgarijoje </w:t>
            </w:r>
          </w:p>
        </w:tc>
      </w:tr>
      <w:tr w:rsidR="00E91778" w:rsidRPr="00DF3A8E" w14:paraId="37F9DDA3" w14:textId="77777777" w:rsidTr="00466A70">
        <w:tc>
          <w:tcPr>
            <w:tcW w:w="826" w:type="pct"/>
          </w:tcPr>
          <w:p w14:paraId="67AC41D6" w14:textId="77777777" w:rsidR="00E91778" w:rsidRPr="00DF3A8E" w:rsidRDefault="00E91778" w:rsidP="001D54C7">
            <w:pPr>
              <w:jc w:val="both"/>
              <w:rPr>
                <w:rFonts w:ascii="Georgia" w:hAnsi="Georgia" w:cs="Times New Roman"/>
                <w:sz w:val="20"/>
                <w:lang w:val="lt-LT"/>
              </w:rPr>
            </w:pPr>
            <w:r>
              <w:rPr>
                <w:rFonts w:ascii="Georgia" w:hAnsi="Georgia" w:cs="Times New Roman"/>
                <w:sz w:val="20"/>
                <w:lang w:val="lt-LT"/>
              </w:rPr>
              <w:t>EIB</w:t>
            </w:r>
          </w:p>
        </w:tc>
        <w:tc>
          <w:tcPr>
            <w:tcW w:w="4174" w:type="pct"/>
          </w:tcPr>
          <w:p w14:paraId="566691F2" w14:textId="77777777" w:rsidR="00E91778" w:rsidRPr="00DF3A8E" w:rsidRDefault="00E91778" w:rsidP="001D54C7">
            <w:pPr>
              <w:spacing w:after="200" w:line="276" w:lineRule="auto"/>
              <w:jc w:val="both"/>
              <w:rPr>
                <w:rFonts w:ascii="Georgia" w:hAnsi="Georgia" w:cs="Times New Roman"/>
                <w:sz w:val="20"/>
                <w:lang w:val="lt-LT"/>
              </w:rPr>
            </w:pPr>
            <w:r>
              <w:rPr>
                <w:rFonts w:ascii="Georgia" w:hAnsi="Georgia" w:cs="Times New Roman"/>
                <w:sz w:val="20"/>
                <w:lang w:val="lt-LT"/>
              </w:rPr>
              <w:t>Europos investicijų bankas</w:t>
            </w:r>
          </w:p>
        </w:tc>
      </w:tr>
      <w:tr w:rsidR="00E91778" w:rsidRPr="00DF3A8E" w14:paraId="7CA6EC77" w14:textId="77777777" w:rsidTr="00466A70">
        <w:tc>
          <w:tcPr>
            <w:tcW w:w="826" w:type="pct"/>
          </w:tcPr>
          <w:p w14:paraId="07B87F33" w14:textId="77777777" w:rsidR="00E91778" w:rsidRDefault="00E91778" w:rsidP="001D54C7">
            <w:pPr>
              <w:jc w:val="both"/>
              <w:rPr>
                <w:rFonts w:ascii="Georgia" w:hAnsi="Georgia" w:cs="Times New Roman"/>
                <w:sz w:val="20"/>
                <w:lang w:val="lt-LT"/>
              </w:rPr>
            </w:pPr>
            <w:r>
              <w:rPr>
                <w:rFonts w:ascii="Georgia" w:hAnsi="Georgia" w:cs="Arial"/>
                <w:sz w:val="20"/>
                <w:szCs w:val="20"/>
                <w:lang w:val="lt-LT"/>
              </w:rPr>
              <w:t>EIF</w:t>
            </w:r>
          </w:p>
        </w:tc>
        <w:tc>
          <w:tcPr>
            <w:tcW w:w="4174" w:type="pct"/>
          </w:tcPr>
          <w:p w14:paraId="4BF477DB" w14:textId="77777777" w:rsidR="00E91778" w:rsidRDefault="00E91778" w:rsidP="001D54C7">
            <w:pPr>
              <w:jc w:val="both"/>
              <w:rPr>
                <w:rFonts w:ascii="Georgia" w:hAnsi="Georgia" w:cs="Times New Roman"/>
                <w:sz w:val="20"/>
                <w:lang w:val="lt-LT"/>
              </w:rPr>
            </w:pPr>
            <w:r>
              <w:rPr>
                <w:rFonts w:ascii="Georgia" w:hAnsi="Georgia" w:cs="Arial"/>
                <w:sz w:val="20"/>
                <w:szCs w:val="20"/>
                <w:lang w:val="lt-LT"/>
              </w:rPr>
              <w:t>Europos investicijų fondas (</w:t>
            </w:r>
            <w:r>
              <w:rPr>
                <w:rFonts w:ascii="Georgia" w:hAnsi="Georgia" w:cs="Arial"/>
                <w:i/>
                <w:sz w:val="20"/>
                <w:szCs w:val="20"/>
                <w:lang w:val="lt-LT"/>
              </w:rPr>
              <w:t>angl. European Investment Fund</w:t>
            </w:r>
            <w:r>
              <w:rPr>
                <w:rFonts w:ascii="Georgia" w:hAnsi="Georgia" w:cs="Arial"/>
                <w:sz w:val="20"/>
                <w:szCs w:val="20"/>
                <w:lang w:val="lt-LT"/>
              </w:rPr>
              <w:t>)</w:t>
            </w:r>
          </w:p>
        </w:tc>
      </w:tr>
      <w:tr w:rsidR="00E91778" w:rsidRPr="00DF3A8E" w14:paraId="62A9ABE3" w14:textId="77777777" w:rsidTr="00466A70">
        <w:tc>
          <w:tcPr>
            <w:tcW w:w="826" w:type="pct"/>
          </w:tcPr>
          <w:p w14:paraId="2ACA7E41" w14:textId="77777777" w:rsidR="00E91778" w:rsidRPr="00DF3A8E" w:rsidRDefault="00E91778" w:rsidP="001D54C7">
            <w:pPr>
              <w:jc w:val="both"/>
              <w:rPr>
                <w:rFonts w:ascii="Georgia" w:hAnsi="Georgia" w:cs="Times New Roman"/>
                <w:sz w:val="20"/>
                <w:lang w:val="lt-LT"/>
              </w:rPr>
            </w:pPr>
            <w:r>
              <w:rPr>
                <w:rFonts w:ascii="Georgia" w:hAnsi="Georgia" w:cs="Times New Roman"/>
                <w:sz w:val="20"/>
                <w:lang w:val="lt-LT"/>
              </w:rPr>
              <w:t>Energijos efektyvumo direktyva</w:t>
            </w:r>
          </w:p>
        </w:tc>
        <w:tc>
          <w:tcPr>
            <w:tcW w:w="4174" w:type="pct"/>
          </w:tcPr>
          <w:p w14:paraId="355A422E" w14:textId="77777777" w:rsidR="00E91778" w:rsidRPr="00DF3A8E" w:rsidRDefault="00E91778" w:rsidP="001D54C7">
            <w:pPr>
              <w:spacing w:after="200" w:line="276" w:lineRule="auto"/>
              <w:jc w:val="both"/>
              <w:rPr>
                <w:rFonts w:ascii="Georgia" w:hAnsi="Georgia" w:cs="Times New Roman"/>
                <w:sz w:val="20"/>
                <w:lang w:val="lt-LT"/>
              </w:rPr>
            </w:pPr>
            <w:r w:rsidRPr="008E0EC6">
              <w:rPr>
                <w:rFonts w:ascii="Georgia" w:hAnsi="Georgia" w:cs="Times New Roman"/>
                <w:sz w:val="20"/>
                <w:lang w:val="lt-LT"/>
              </w:rPr>
              <w:t xml:space="preserve">2012 m. spalio 25 d. </w:t>
            </w:r>
            <w:r>
              <w:rPr>
                <w:rFonts w:ascii="Georgia" w:hAnsi="Georgia" w:cs="Times New Roman"/>
                <w:sz w:val="20"/>
                <w:lang w:val="lt-LT"/>
              </w:rPr>
              <w:t>E</w:t>
            </w:r>
            <w:r w:rsidRPr="008E0EC6">
              <w:rPr>
                <w:rFonts w:ascii="Georgia" w:hAnsi="Georgia" w:cs="Times New Roman"/>
                <w:sz w:val="20"/>
                <w:lang w:val="lt-LT"/>
              </w:rPr>
              <w:t xml:space="preserve">uropos </w:t>
            </w:r>
            <w:r>
              <w:rPr>
                <w:rFonts w:ascii="Georgia" w:hAnsi="Georgia" w:cs="Times New Roman"/>
                <w:sz w:val="20"/>
                <w:lang w:val="lt-LT"/>
              </w:rPr>
              <w:t>P</w:t>
            </w:r>
            <w:r w:rsidRPr="008E0EC6">
              <w:rPr>
                <w:rFonts w:ascii="Georgia" w:hAnsi="Georgia" w:cs="Times New Roman"/>
                <w:sz w:val="20"/>
                <w:lang w:val="lt-LT"/>
              </w:rPr>
              <w:t xml:space="preserve">arlamento ir </w:t>
            </w:r>
            <w:r>
              <w:rPr>
                <w:rFonts w:ascii="Georgia" w:hAnsi="Georgia" w:cs="Times New Roman"/>
                <w:sz w:val="20"/>
                <w:lang w:val="lt-LT"/>
              </w:rPr>
              <w:t>T</w:t>
            </w:r>
            <w:r w:rsidRPr="008E0EC6">
              <w:rPr>
                <w:rFonts w:ascii="Georgia" w:hAnsi="Georgia" w:cs="Times New Roman"/>
                <w:sz w:val="20"/>
                <w:lang w:val="lt-LT"/>
              </w:rPr>
              <w:t>arybos direktyva 2012/27/ES</w:t>
            </w:r>
            <w:r>
              <w:rPr>
                <w:rFonts w:ascii="Georgia" w:hAnsi="Georgia" w:cs="Times New Roman"/>
                <w:sz w:val="20"/>
                <w:lang w:val="lt-LT"/>
              </w:rPr>
              <w:t xml:space="preserve"> d</w:t>
            </w:r>
            <w:r w:rsidRPr="008E0EC6">
              <w:rPr>
                <w:rFonts w:ascii="Georgia" w:hAnsi="Georgia" w:cs="Times New Roman"/>
                <w:sz w:val="20"/>
                <w:lang w:val="lt-LT"/>
              </w:rPr>
              <w:t>ėl energijos vartojimo efektyvumo</w:t>
            </w:r>
            <w:r>
              <w:rPr>
                <w:rFonts w:ascii="Georgia" w:hAnsi="Georgia" w:cs="Times New Roman"/>
                <w:sz w:val="20"/>
                <w:lang w:val="lt-LT"/>
              </w:rPr>
              <w:t>, kuria iš dalies keičiamos direktyvos 2009/125/EB ir 2010/30/ES bei kuria panaikinamos direktyvos 2004/8/EB ir 2006/32/EB</w:t>
            </w:r>
          </w:p>
        </w:tc>
      </w:tr>
      <w:tr w:rsidR="00E91778" w:rsidRPr="00DF3A8E" w14:paraId="66820C16" w14:textId="77777777" w:rsidTr="00466A70">
        <w:tc>
          <w:tcPr>
            <w:tcW w:w="826" w:type="pct"/>
          </w:tcPr>
          <w:p w14:paraId="223400C1" w14:textId="77777777" w:rsidR="00E91778" w:rsidRDefault="00E91778" w:rsidP="001D54C7">
            <w:pPr>
              <w:jc w:val="both"/>
              <w:rPr>
                <w:rFonts w:ascii="Georgia" w:hAnsi="Georgia" w:cs="Arial"/>
                <w:sz w:val="20"/>
                <w:szCs w:val="20"/>
                <w:lang w:val="lt-LT"/>
              </w:rPr>
            </w:pPr>
            <w:r w:rsidRPr="00E649A6">
              <w:rPr>
                <w:rFonts w:ascii="Georgia" w:hAnsi="Georgia"/>
                <w:sz w:val="20"/>
                <w:szCs w:val="20"/>
                <w:lang w:val="lt-LT"/>
              </w:rPr>
              <w:t>ERPF</w:t>
            </w:r>
          </w:p>
        </w:tc>
        <w:tc>
          <w:tcPr>
            <w:tcW w:w="4174" w:type="pct"/>
          </w:tcPr>
          <w:p w14:paraId="400DA50F" w14:textId="77777777" w:rsidR="00E91778" w:rsidRDefault="00E91778" w:rsidP="001D54C7">
            <w:pPr>
              <w:jc w:val="both"/>
              <w:rPr>
                <w:rFonts w:ascii="Georgia" w:hAnsi="Georgia" w:cs="Arial"/>
                <w:sz w:val="20"/>
                <w:szCs w:val="20"/>
                <w:lang w:val="lt-LT"/>
              </w:rPr>
            </w:pPr>
            <w:r w:rsidRPr="001C01F1">
              <w:rPr>
                <w:rFonts w:ascii="Georgia" w:hAnsi="Georgia" w:cs="Arial"/>
                <w:sz w:val="20"/>
                <w:szCs w:val="20"/>
                <w:lang w:val="lt-LT"/>
              </w:rPr>
              <w:t>Europos regioninės plėtros fondas</w:t>
            </w:r>
          </w:p>
        </w:tc>
      </w:tr>
      <w:tr w:rsidR="00E91778" w:rsidRPr="00DF3A8E" w14:paraId="30E6C3EA" w14:textId="77777777" w:rsidTr="00466A70">
        <w:tc>
          <w:tcPr>
            <w:tcW w:w="826" w:type="pct"/>
          </w:tcPr>
          <w:p w14:paraId="26168774" w14:textId="77777777" w:rsidR="00E91778" w:rsidRDefault="00E91778" w:rsidP="001D54C7">
            <w:pPr>
              <w:jc w:val="both"/>
              <w:rPr>
                <w:rFonts w:ascii="Georgia" w:hAnsi="Georgia" w:cs="Times New Roman"/>
                <w:sz w:val="20"/>
                <w:lang w:val="lt-LT"/>
              </w:rPr>
            </w:pPr>
            <w:r>
              <w:rPr>
                <w:rFonts w:ascii="Georgia" w:hAnsi="Georgia" w:cs="Arial"/>
                <w:sz w:val="20"/>
                <w:szCs w:val="20"/>
                <w:lang w:val="lt-LT"/>
              </w:rPr>
              <w:t>ERPB</w:t>
            </w:r>
          </w:p>
        </w:tc>
        <w:tc>
          <w:tcPr>
            <w:tcW w:w="4174" w:type="pct"/>
          </w:tcPr>
          <w:p w14:paraId="4957305A" w14:textId="77777777" w:rsidR="00E91778" w:rsidRDefault="00E91778" w:rsidP="001D54C7">
            <w:pPr>
              <w:jc w:val="both"/>
              <w:rPr>
                <w:rFonts w:ascii="Georgia" w:hAnsi="Georgia" w:cs="Times New Roman"/>
                <w:sz w:val="20"/>
                <w:lang w:val="lt-LT"/>
              </w:rPr>
            </w:pPr>
            <w:r>
              <w:rPr>
                <w:rFonts w:ascii="Georgia" w:hAnsi="Georgia" w:cs="Arial"/>
                <w:sz w:val="20"/>
                <w:szCs w:val="20"/>
                <w:lang w:val="lt-LT"/>
              </w:rPr>
              <w:t>Europos rekonstrukcijos ir plėtros bankas (</w:t>
            </w:r>
            <w:r>
              <w:rPr>
                <w:rFonts w:ascii="Georgia" w:hAnsi="Georgia" w:cs="Arial"/>
                <w:i/>
                <w:sz w:val="20"/>
                <w:szCs w:val="20"/>
                <w:lang w:val="lt-LT"/>
              </w:rPr>
              <w:t>angl. European Bank for Restructuring and Development</w:t>
            </w:r>
            <w:r>
              <w:rPr>
                <w:rFonts w:ascii="Georgia" w:hAnsi="Georgia" w:cs="Arial"/>
                <w:sz w:val="20"/>
                <w:szCs w:val="20"/>
                <w:lang w:val="lt-LT"/>
              </w:rPr>
              <w:t>)</w:t>
            </w:r>
          </w:p>
        </w:tc>
      </w:tr>
      <w:tr w:rsidR="00E91778" w:rsidRPr="00DF3A8E" w14:paraId="31462D2E" w14:textId="77777777" w:rsidTr="00466A70">
        <w:tc>
          <w:tcPr>
            <w:tcW w:w="826" w:type="pct"/>
          </w:tcPr>
          <w:p w14:paraId="1FF6ABF8" w14:textId="77777777" w:rsidR="00E91778" w:rsidRDefault="00E91778" w:rsidP="001D54C7">
            <w:pPr>
              <w:jc w:val="both"/>
              <w:rPr>
                <w:rFonts w:ascii="Georgia" w:hAnsi="Georgia" w:cs="Times New Roman"/>
                <w:sz w:val="20"/>
                <w:lang w:val="lt-LT"/>
              </w:rPr>
            </w:pPr>
            <w:r>
              <w:rPr>
                <w:rFonts w:ascii="Georgia" w:hAnsi="Georgia" w:cs="Times New Roman"/>
                <w:sz w:val="20"/>
                <w:lang w:val="lt-LT"/>
              </w:rPr>
              <w:t>ES</w:t>
            </w:r>
          </w:p>
        </w:tc>
        <w:tc>
          <w:tcPr>
            <w:tcW w:w="4174" w:type="pct"/>
          </w:tcPr>
          <w:p w14:paraId="55301944" w14:textId="77777777" w:rsidR="00E91778" w:rsidRPr="00DF3A8E" w:rsidRDefault="00E91778" w:rsidP="001D54C7">
            <w:pPr>
              <w:spacing w:after="200" w:line="276" w:lineRule="auto"/>
              <w:jc w:val="both"/>
              <w:rPr>
                <w:rFonts w:ascii="Georgia" w:hAnsi="Georgia" w:cs="Times New Roman"/>
                <w:sz w:val="20"/>
                <w:lang w:val="lt-LT"/>
              </w:rPr>
            </w:pPr>
            <w:r>
              <w:rPr>
                <w:rFonts w:ascii="Georgia" w:hAnsi="Georgia" w:cs="Times New Roman"/>
                <w:sz w:val="20"/>
                <w:lang w:val="lt-LT"/>
              </w:rPr>
              <w:t>Europos Sąjunga</w:t>
            </w:r>
          </w:p>
        </w:tc>
      </w:tr>
      <w:tr w:rsidR="00E91778" w:rsidRPr="00DF3A8E" w14:paraId="7102764A" w14:textId="77777777" w:rsidTr="00466A70">
        <w:tc>
          <w:tcPr>
            <w:tcW w:w="826" w:type="pct"/>
          </w:tcPr>
          <w:p w14:paraId="6C4011A1" w14:textId="77777777" w:rsidR="00E91778" w:rsidRPr="00DF3A8E" w:rsidRDefault="00E91778" w:rsidP="001D54C7">
            <w:pPr>
              <w:jc w:val="both"/>
              <w:rPr>
                <w:rFonts w:ascii="Georgia" w:hAnsi="Georgia" w:cs="Times New Roman"/>
                <w:sz w:val="20"/>
                <w:lang w:val="lt-LT"/>
              </w:rPr>
            </w:pPr>
            <w:r w:rsidRPr="00DF3A8E">
              <w:rPr>
                <w:rFonts w:ascii="Georgia" w:hAnsi="Georgia" w:cs="Times New Roman"/>
                <w:sz w:val="20"/>
                <w:lang w:val="lt-LT"/>
              </w:rPr>
              <w:lastRenderedPageBreak/>
              <w:t>ES</w:t>
            </w:r>
            <w:r>
              <w:rPr>
                <w:rFonts w:ascii="Georgia" w:hAnsi="Georgia" w:cs="Times New Roman"/>
                <w:sz w:val="20"/>
                <w:lang w:val="lt-LT"/>
              </w:rPr>
              <w:t>I fondų lėšos</w:t>
            </w:r>
          </w:p>
        </w:tc>
        <w:tc>
          <w:tcPr>
            <w:tcW w:w="4174" w:type="pct"/>
          </w:tcPr>
          <w:p w14:paraId="70F1381C" w14:textId="77777777" w:rsidR="00E91778" w:rsidRPr="00DF3A8E" w:rsidRDefault="00E91778" w:rsidP="001D54C7">
            <w:pPr>
              <w:spacing w:after="200" w:line="276" w:lineRule="auto"/>
              <w:jc w:val="both"/>
              <w:rPr>
                <w:rFonts w:ascii="Georgia" w:hAnsi="Georgia" w:cs="Times New Roman"/>
                <w:sz w:val="20"/>
                <w:lang w:val="lt-LT"/>
              </w:rPr>
            </w:pPr>
            <w:r w:rsidRPr="00D91720">
              <w:rPr>
                <w:rFonts w:ascii="Georgia" w:hAnsi="Georgia" w:cs="Times New Roman"/>
                <w:sz w:val="20"/>
                <w:lang w:val="lt-LT"/>
              </w:rPr>
              <w:t>ES str</w:t>
            </w:r>
            <w:r>
              <w:rPr>
                <w:rFonts w:ascii="Georgia" w:hAnsi="Georgia" w:cs="Times New Roman"/>
                <w:sz w:val="20"/>
                <w:lang w:val="lt-LT"/>
              </w:rPr>
              <w:t>uktūrinių</w:t>
            </w:r>
            <w:r w:rsidRPr="00D91720">
              <w:rPr>
                <w:rFonts w:ascii="Georgia" w:hAnsi="Georgia" w:cs="Times New Roman"/>
                <w:sz w:val="20"/>
                <w:lang w:val="lt-LT"/>
              </w:rPr>
              <w:t xml:space="preserve"> ir investicini</w:t>
            </w:r>
            <w:r>
              <w:rPr>
                <w:rFonts w:ascii="Georgia" w:hAnsi="Georgia" w:cs="Times New Roman"/>
                <w:sz w:val="20"/>
                <w:lang w:val="lt-LT"/>
              </w:rPr>
              <w:t>ų fondų lėšos</w:t>
            </w:r>
          </w:p>
        </w:tc>
      </w:tr>
      <w:tr w:rsidR="00E91778" w:rsidRPr="00DF3A8E" w14:paraId="0EDA42E6" w14:textId="77777777" w:rsidTr="00466A70">
        <w:tc>
          <w:tcPr>
            <w:tcW w:w="826" w:type="pct"/>
          </w:tcPr>
          <w:p w14:paraId="0680F949" w14:textId="77777777" w:rsidR="00E91778" w:rsidRDefault="00E91778" w:rsidP="001D54C7">
            <w:pPr>
              <w:jc w:val="both"/>
              <w:rPr>
                <w:rFonts w:ascii="Georgia" w:hAnsi="Georgia" w:cs="Arial"/>
                <w:sz w:val="20"/>
                <w:szCs w:val="20"/>
                <w:lang w:val="lt-LT"/>
              </w:rPr>
            </w:pPr>
            <w:r>
              <w:rPr>
                <w:rFonts w:ascii="Georgia" w:hAnsi="Georgia" w:cs="Arial"/>
                <w:sz w:val="20"/>
                <w:szCs w:val="20"/>
                <w:lang w:val="lt-LT"/>
              </w:rPr>
              <w:t>ESCO</w:t>
            </w:r>
          </w:p>
        </w:tc>
        <w:tc>
          <w:tcPr>
            <w:tcW w:w="4174" w:type="pct"/>
          </w:tcPr>
          <w:p w14:paraId="1CE81780" w14:textId="77777777" w:rsidR="00E91778" w:rsidRDefault="00E91778" w:rsidP="001D54C7">
            <w:pPr>
              <w:jc w:val="both"/>
              <w:rPr>
                <w:rFonts w:ascii="Georgia" w:hAnsi="Georgia" w:cs="Arial"/>
                <w:sz w:val="20"/>
                <w:szCs w:val="20"/>
                <w:lang w:val="lt-LT"/>
              </w:rPr>
            </w:pPr>
            <w:r>
              <w:rPr>
                <w:rFonts w:ascii="Georgia" w:hAnsi="Georgia" w:cs="Georgia"/>
                <w:sz w:val="20"/>
                <w:szCs w:val="20"/>
                <w:lang w:val="lt-LT"/>
              </w:rPr>
              <w:t>E</w:t>
            </w:r>
            <w:r w:rsidRPr="002B4E42">
              <w:rPr>
                <w:rFonts w:ascii="Georgia" w:hAnsi="Georgia" w:cs="Georgia"/>
                <w:sz w:val="20"/>
                <w:szCs w:val="20"/>
                <w:lang w:val="lt-LT"/>
              </w:rPr>
              <w:t xml:space="preserve">nergetinių paslaugų </w:t>
            </w:r>
            <w:r>
              <w:rPr>
                <w:rFonts w:ascii="Georgia" w:hAnsi="Georgia" w:cs="Georgia"/>
                <w:sz w:val="20"/>
                <w:szCs w:val="20"/>
                <w:lang w:val="lt-LT"/>
              </w:rPr>
              <w:t xml:space="preserve">bendrovė (angl. </w:t>
            </w:r>
            <w:r>
              <w:rPr>
                <w:rFonts w:ascii="Georgia" w:hAnsi="Georgia" w:cs="Georgia"/>
                <w:i/>
                <w:sz w:val="20"/>
                <w:szCs w:val="20"/>
                <w:lang w:val="lt-LT"/>
              </w:rPr>
              <w:t>energy service companies)</w:t>
            </w:r>
          </w:p>
        </w:tc>
      </w:tr>
      <w:tr w:rsidR="00E91778" w:rsidRPr="00DF3A8E" w14:paraId="26EB22F4" w14:textId="77777777" w:rsidTr="00466A70">
        <w:tc>
          <w:tcPr>
            <w:tcW w:w="826" w:type="pct"/>
          </w:tcPr>
          <w:p w14:paraId="66452A46" w14:textId="77777777" w:rsidR="00E91778" w:rsidRDefault="00E91778" w:rsidP="001D54C7">
            <w:pPr>
              <w:jc w:val="both"/>
              <w:rPr>
                <w:rFonts w:ascii="Georgia" w:hAnsi="Georgia" w:cs="Times New Roman"/>
                <w:sz w:val="20"/>
                <w:lang w:val="lt-LT"/>
              </w:rPr>
            </w:pPr>
            <w:r>
              <w:rPr>
                <w:rFonts w:ascii="Georgia" w:hAnsi="Georgia" w:cs="Times New Roman"/>
                <w:sz w:val="20"/>
                <w:lang w:val="lt-LT"/>
              </w:rPr>
              <w:t>Ex ante vertinimo metodologija</w:t>
            </w:r>
          </w:p>
        </w:tc>
        <w:tc>
          <w:tcPr>
            <w:tcW w:w="4174" w:type="pct"/>
          </w:tcPr>
          <w:p w14:paraId="0673AC87" w14:textId="77777777" w:rsidR="00E91778" w:rsidRDefault="00E91778" w:rsidP="001D54C7">
            <w:pPr>
              <w:spacing w:after="200" w:line="276" w:lineRule="auto"/>
              <w:jc w:val="both"/>
              <w:rPr>
                <w:rFonts w:ascii="Georgia" w:hAnsi="Georgia" w:cs="Times New Roman"/>
                <w:sz w:val="20"/>
                <w:lang w:val="lt-LT"/>
              </w:rPr>
            </w:pPr>
            <w:r>
              <w:rPr>
                <w:rFonts w:ascii="Georgia" w:hAnsi="Georgia" w:cs="Times New Roman"/>
                <w:sz w:val="20"/>
                <w:lang w:val="lt-LT"/>
              </w:rPr>
              <w:t>Europos Komisijos bendradarbiaujant su EIB parengta ex ante vertinimo metodologija „</w:t>
            </w:r>
            <w:r w:rsidRPr="00485E21">
              <w:rPr>
                <w:rFonts w:ascii="Georgia" w:hAnsi="Georgia" w:cs="Times New Roman"/>
                <w:sz w:val="20"/>
                <w:lang w:val="lt-LT"/>
              </w:rPr>
              <w:t>Ex-ante assessment methodology for financial instruments in the 2014-2020 programming period</w:t>
            </w:r>
            <w:r>
              <w:rPr>
                <w:rFonts w:ascii="Georgia" w:hAnsi="Georgia" w:cs="Times New Roman"/>
                <w:sz w:val="20"/>
                <w:lang w:val="lt-LT"/>
              </w:rPr>
              <w:t>“, susidedanti iš penkių atskirų dalių. Šiame ex ante vertinime referuojama į I-ąją ir IV-ąją ex ante metodologijos dalis.</w:t>
            </w:r>
          </w:p>
          <w:p w14:paraId="1EAE7C81" w14:textId="77777777" w:rsidR="00E91778" w:rsidRPr="00DF3A8E" w:rsidRDefault="00E91778" w:rsidP="001D54C7">
            <w:pPr>
              <w:spacing w:after="200" w:line="276" w:lineRule="auto"/>
              <w:jc w:val="both"/>
              <w:rPr>
                <w:rFonts w:ascii="Georgia" w:hAnsi="Georgia" w:cs="Times New Roman"/>
                <w:sz w:val="20"/>
                <w:lang w:val="lt-LT"/>
              </w:rPr>
            </w:pPr>
            <w:r>
              <w:rPr>
                <w:rFonts w:ascii="Georgia" w:hAnsi="Georgia" w:cs="Times New Roman"/>
                <w:sz w:val="20"/>
                <w:lang w:val="lt-LT"/>
              </w:rPr>
              <w:t>(</w:t>
            </w:r>
            <w:r w:rsidRPr="00485E21">
              <w:rPr>
                <w:rFonts w:ascii="Georgia" w:hAnsi="Georgia" w:cs="Times New Roman"/>
                <w:sz w:val="20"/>
                <w:lang w:val="lt-LT"/>
              </w:rPr>
              <w:t>http://ec.europa.eu/regional_policy/information/guidelines/index_en.cfm#4</w:t>
            </w:r>
            <w:r>
              <w:rPr>
                <w:rFonts w:ascii="Georgia" w:hAnsi="Georgia" w:cs="Times New Roman"/>
                <w:sz w:val="20"/>
                <w:lang w:val="lt-LT"/>
              </w:rPr>
              <w:t>)</w:t>
            </w:r>
          </w:p>
        </w:tc>
      </w:tr>
      <w:tr w:rsidR="00E91778" w:rsidRPr="00DF3A8E" w14:paraId="1B7EB0D7" w14:textId="77777777" w:rsidTr="00466A70">
        <w:tc>
          <w:tcPr>
            <w:tcW w:w="826" w:type="pct"/>
          </w:tcPr>
          <w:p w14:paraId="25A8A610" w14:textId="77777777" w:rsidR="00E91778" w:rsidRDefault="00E91778" w:rsidP="001D54C7">
            <w:pPr>
              <w:jc w:val="both"/>
              <w:rPr>
                <w:rFonts w:ascii="Georgia" w:hAnsi="Georgia" w:cs="Arial"/>
                <w:sz w:val="20"/>
                <w:szCs w:val="20"/>
                <w:lang w:val="lt-LT"/>
              </w:rPr>
            </w:pPr>
            <w:r>
              <w:rPr>
                <w:rFonts w:ascii="Georgia" w:hAnsi="Georgia" w:cs="Arial"/>
                <w:sz w:val="20"/>
                <w:szCs w:val="20"/>
                <w:lang w:val="lt-LT"/>
              </w:rPr>
              <w:t>Finansinė priemonė</w:t>
            </w:r>
          </w:p>
        </w:tc>
        <w:tc>
          <w:tcPr>
            <w:tcW w:w="4174" w:type="pct"/>
          </w:tcPr>
          <w:p w14:paraId="51F768DC" w14:textId="77777777" w:rsidR="00E91778" w:rsidRDefault="00E91778" w:rsidP="001D54C7">
            <w:pPr>
              <w:jc w:val="both"/>
              <w:rPr>
                <w:rFonts w:ascii="Georgia" w:hAnsi="Georgia" w:cs="Arial"/>
                <w:sz w:val="20"/>
                <w:szCs w:val="20"/>
                <w:lang w:val="lt-LT"/>
              </w:rPr>
            </w:pPr>
            <w:r>
              <w:rPr>
                <w:rFonts w:ascii="Georgia" w:hAnsi="Georgia" w:cs="Arial"/>
                <w:sz w:val="20"/>
                <w:szCs w:val="20"/>
                <w:lang w:val="lt-LT"/>
              </w:rPr>
              <w:t>Europos Sąjungos finansinės paramos priemonės, papildomumo pagrindu teikiamos iš biudžeto siekiant vieno ar kelių konkrečių Sąjungos politikos tikslų. Tokios priemonės gali būti investicijos į nuosavą kapitalą ar kvazinuosavą kapitalą, paskolos ar garantijos, arba kitos rizikos pasidalijimo priemonės, kurios prireikus gali būti derinamos su dotacijomis. Sąvoka apibrėžta Europos Parlamento ir Tarybos reglamente (ES) Nr. 966/2012 dėl Sąjungos bendrajam biudžetui taikomų finansinių taisyklių ir kuriuo panaikinamas Tarybos reglamentas (EB) Nr. 1605/2002.</w:t>
            </w:r>
          </w:p>
        </w:tc>
      </w:tr>
      <w:tr w:rsidR="00E91778" w:rsidRPr="00DF3A8E" w14:paraId="1F5012DD" w14:textId="77777777" w:rsidTr="00466A70">
        <w:tc>
          <w:tcPr>
            <w:tcW w:w="826" w:type="pct"/>
          </w:tcPr>
          <w:p w14:paraId="6652F7AD" w14:textId="77777777" w:rsidR="00E91778" w:rsidRDefault="00E91778" w:rsidP="001D54C7">
            <w:pPr>
              <w:jc w:val="both"/>
              <w:rPr>
                <w:rFonts w:ascii="Georgia" w:hAnsi="Georgia" w:cs="Arial"/>
                <w:sz w:val="20"/>
                <w:szCs w:val="20"/>
                <w:lang w:val="lt-LT"/>
              </w:rPr>
            </w:pPr>
            <w:r>
              <w:rPr>
                <w:rFonts w:ascii="Georgia" w:hAnsi="Georgia" w:cs="Arial"/>
                <w:sz w:val="20"/>
                <w:szCs w:val="20"/>
                <w:lang w:val="lt-LT"/>
              </w:rPr>
              <w:t>JESSICA</w:t>
            </w:r>
          </w:p>
        </w:tc>
        <w:tc>
          <w:tcPr>
            <w:tcW w:w="4174" w:type="pct"/>
          </w:tcPr>
          <w:p w14:paraId="17F4A44E" w14:textId="77777777" w:rsidR="00E91778" w:rsidRPr="009F18F7" w:rsidRDefault="00E91778" w:rsidP="001D54C7">
            <w:pPr>
              <w:jc w:val="both"/>
            </w:pPr>
            <w:r>
              <w:rPr>
                <w:rFonts w:ascii="Georgia" w:hAnsi="Georgia" w:cs="Arial"/>
                <w:sz w:val="20"/>
                <w:szCs w:val="20"/>
                <w:lang w:val="lt-LT"/>
              </w:rPr>
              <w:t>Bendra Europos parama tvarioms investicijoms į miestų teritorijas (</w:t>
            </w:r>
            <w:r>
              <w:rPr>
                <w:rFonts w:ascii="Georgia" w:hAnsi="Georgia" w:cs="Arial"/>
                <w:i/>
                <w:sz w:val="20"/>
                <w:szCs w:val="20"/>
                <w:lang w:val="lt-LT"/>
              </w:rPr>
              <w:t>angl. Joint European Support for Sustainable Investment in City Areas</w:t>
            </w:r>
            <w:r>
              <w:rPr>
                <w:rFonts w:ascii="Georgia" w:hAnsi="Georgia" w:cs="Arial"/>
                <w:sz w:val="20"/>
                <w:szCs w:val="20"/>
                <w:lang w:val="lt-LT"/>
              </w:rPr>
              <w:t>)</w:t>
            </w:r>
          </w:p>
        </w:tc>
      </w:tr>
      <w:tr w:rsidR="00E91778" w:rsidRPr="00DF3A8E" w14:paraId="1364ABDD" w14:textId="77777777" w:rsidTr="00466A70">
        <w:tc>
          <w:tcPr>
            <w:tcW w:w="826" w:type="pct"/>
          </w:tcPr>
          <w:p w14:paraId="5DF0698C" w14:textId="77777777" w:rsidR="00E91778" w:rsidRDefault="00E91778" w:rsidP="001D54C7">
            <w:pPr>
              <w:jc w:val="both"/>
              <w:rPr>
                <w:rFonts w:ascii="Georgia" w:hAnsi="Georgia" w:cs="Arial"/>
                <w:sz w:val="20"/>
                <w:szCs w:val="20"/>
                <w:lang w:val="lt-LT"/>
              </w:rPr>
            </w:pPr>
            <w:r>
              <w:rPr>
                <w:rFonts w:ascii="Georgia" w:hAnsi="Georgia" w:cs="Arial"/>
                <w:sz w:val="20"/>
                <w:szCs w:val="20"/>
                <w:lang w:val="lt-LT"/>
              </w:rPr>
              <w:t>JEREMIE</w:t>
            </w:r>
          </w:p>
        </w:tc>
        <w:tc>
          <w:tcPr>
            <w:tcW w:w="4174" w:type="pct"/>
          </w:tcPr>
          <w:p w14:paraId="6B0E01B7" w14:textId="77777777" w:rsidR="00E91778" w:rsidRDefault="00E91778" w:rsidP="001D54C7">
            <w:pPr>
              <w:jc w:val="both"/>
              <w:rPr>
                <w:rFonts w:ascii="Georgia" w:hAnsi="Georgia" w:cs="Arial"/>
                <w:sz w:val="20"/>
                <w:szCs w:val="20"/>
                <w:lang w:val="lt-LT"/>
              </w:rPr>
            </w:pPr>
            <w:r w:rsidRPr="002C7030">
              <w:rPr>
                <w:rFonts w:ascii="Georgia" w:hAnsi="Georgia" w:cs="Arial"/>
                <w:sz w:val="20"/>
                <w:szCs w:val="20"/>
                <w:lang w:val="lt-LT"/>
              </w:rPr>
              <w:t>Bendrieji Europos ištekliai labai mažom</w:t>
            </w:r>
            <w:r>
              <w:rPr>
                <w:rFonts w:ascii="Georgia" w:hAnsi="Georgia" w:cs="Arial"/>
                <w:sz w:val="20"/>
                <w:szCs w:val="20"/>
                <w:lang w:val="lt-LT"/>
              </w:rPr>
              <w:t>s, mažoms ir vidutinėms įmonėms</w:t>
            </w:r>
            <w:r w:rsidRPr="002C7030">
              <w:rPr>
                <w:rFonts w:ascii="Georgia" w:hAnsi="Georgia" w:cs="Arial"/>
                <w:sz w:val="20"/>
                <w:szCs w:val="20"/>
                <w:lang w:val="lt-LT"/>
              </w:rPr>
              <w:t xml:space="preserve"> </w:t>
            </w:r>
            <w:r>
              <w:rPr>
                <w:rFonts w:ascii="Georgia" w:hAnsi="Georgia" w:cs="Arial"/>
                <w:sz w:val="20"/>
                <w:szCs w:val="20"/>
                <w:lang w:val="lt-LT"/>
              </w:rPr>
              <w:t>(</w:t>
            </w:r>
            <w:r w:rsidRPr="002C7030">
              <w:rPr>
                <w:rFonts w:ascii="Georgia" w:hAnsi="Georgia" w:cs="Arial"/>
                <w:i/>
                <w:sz w:val="20"/>
                <w:szCs w:val="20"/>
                <w:lang w:val="lt-LT"/>
              </w:rPr>
              <w:t>angl. Joint European Resources for Micro to Medium Enterprises</w:t>
            </w:r>
            <w:r>
              <w:rPr>
                <w:rFonts w:ascii="Georgia" w:hAnsi="Georgia" w:cs="Arial"/>
                <w:sz w:val="20"/>
                <w:szCs w:val="20"/>
                <w:lang w:val="lt-LT"/>
              </w:rPr>
              <w:t>)</w:t>
            </w:r>
          </w:p>
        </w:tc>
      </w:tr>
      <w:tr w:rsidR="00E91778" w:rsidRPr="00DF3A8E" w14:paraId="31949D35" w14:textId="77777777" w:rsidTr="00466A70">
        <w:tc>
          <w:tcPr>
            <w:tcW w:w="826" w:type="pct"/>
          </w:tcPr>
          <w:p w14:paraId="182203CC" w14:textId="77777777" w:rsidR="00E91778" w:rsidRPr="00DF3A8E" w:rsidRDefault="00E91778" w:rsidP="001D54C7">
            <w:pPr>
              <w:jc w:val="both"/>
              <w:rPr>
                <w:rFonts w:ascii="Georgia" w:hAnsi="Georgia" w:cs="Times New Roman"/>
                <w:sz w:val="20"/>
                <w:lang w:val="lt-LT"/>
              </w:rPr>
            </w:pPr>
            <w:r>
              <w:rPr>
                <w:rFonts w:ascii="Georgia" w:hAnsi="Georgia" w:cs="Times New Roman"/>
                <w:sz w:val="20"/>
                <w:lang w:val="lt-LT"/>
              </w:rPr>
              <w:t>JESSICA KF</w:t>
            </w:r>
          </w:p>
        </w:tc>
        <w:tc>
          <w:tcPr>
            <w:tcW w:w="4174" w:type="pct"/>
          </w:tcPr>
          <w:p w14:paraId="6BF859A9" w14:textId="77777777" w:rsidR="00E91778" w:rsidRPr="00DF3A8E" w:rsidRDefault="00E91778" w:rsidP="001D54C7">
            <w:pPr>
              <w:spacing w:after="200" w:line="276" w:lineRule="auto"/>
              <w:jc w:val="both"/>
              <w:rPr>
                <w:rFonts w:ascii="Georgia" w:hAnsi="Georgia" w:cs="Times New Roman"/>
                <w:sz w:val="20"/>
                <w:lang w:val="lt-LT"/>
              </w:rPr>
            </w:pPr>
            <w:r>
              <w:rPr>
                <w:rFonts w:ascii="Georgia" w:hAnsi="Georgia" w:cs="Times New Roman"/>
                <w:sz w:val="20"/>
                <w:lang w:val="lt-LT"/>
              </w:rPr>
              <w:t>JESSICA kontroliuojantis fondas</w:t>
            </w:r>
          </w:p>
        </w:tc>
      </w:tr>
      <w:tr w:rsidR="00E91778" w:rsidRPr="00DF3A8E" w14:paraId="35F3F2B9" w14:textId="77777777" w:rsidTr="00466A70">
        <w:tc>
          <w:tcPr>
            <w:tcW w:w="826" w:type="pct"/>
          </w:tcPr>
          <w:p w14:paraId="2D5FDAFD" w14:textId="77777777" w:rsidR="00E91778" w:rsidRPr="00DF3A8E" w:rsidRDefault="00E91778" w:rsidP="001D54C7">
            <w:pPr>
              <w:spacing w:after="200" w:line="276" w:lineRule="auto"/>
              <w:jc w:val="both"/>
              <w:rPr>
                <w:rFonts w:ascii="Georgia" w:hAnsi="Georgia" w:cs="Times New Roman"/>
                <w:sz w:val="20"/>
                <w:lang w:val="lt-LT"/>
              </w:rPr>
            </w:pPr>
            <w:r w:rsidRPr="00DF3A8E">
              <w:rPr>
                <w:rFonts w:ascii="Georgia" w:hAnsi="Georgia" w:cs="Times New Roman"/>
                <w:sz w:val="20"/>
                <w:lang w:val="lt-LT"/>
              </w:rPr>
              <w:t>KPMG studija</w:t>
            </w:r>
          </w:p>
        </w:tc>
        <w:tc>
          <w:tcPr>
            <w:tcW w:w="4174" w:type="pct"/>
          </w:tcPr>
          <w:p w14:paraId="5160E27E" w14:textId="77777777" w:rsidR="00E91778" w:rsidRPr="00DF3A8E" w:rsidRDefault="00E91778" w:rsidP="001D54C7">
            <w:pPr>
              <w:spacing w:after="200" w:line="276" w:lineRule="auto"/>
              <w:jc w:val="both"/>
              <w:rPr>
                <w:rFonts w:ascii="Georgia" w:hAnsi="Georgia" w:cs="Times New Roman"/>
                <w:sz w:val="20"/>
                <w:lang w:val="lt-LT"/>
              </w:rPr>
            </w:pPr>
            <w:r w:rsidRPr="00DF3A8E">
              <w:rPr>
                <w:rFonts w:ascii="Georgia" w:hAnsi="Georgia" w:cs="Times New Roman"/>
                <w:sz w:val="20"/>
                <w:lang w:val="lt-LT"/>
              </w:rPr>
              <w:t>Europos rekonstrukcijos ir plėtros banko užsakymu UAB „KPMG Baltics“, „Glimstedt“ advokatų kontor</w:t>
            </w:r>
            <w:r>
              <w:rPr>
                <w:rFonts w:ascii="Georgia" w:hAnsi="Georgia" w:cs="Times New Roman"/>
                <w:sz w:val="20"/>
                <w:lang w:val="lt-LT"/>
              </w:rPr>
              <w:t>os</w:t>
            </w:r>
            <w:r w:rsidRPr="00DF3A8E">
              <w:rPr>
                <w:rFonts w:ascii="Georgia" w:hAnsi="Georgia" w:cs="Times New Roman"/>
                <w:sz w:val="20"/>
                <w:lang w:val="lt-LT"/>
              </w:rPr>
              <w:t xml:space="preserve"> ir UAB „Ekotermija“ atlikta „Energijos vartojimo efektyvumo projektų Lietuvos viešajame sektoriuje rinkos paklausos studija“</w:t>
            </w:r>
          </w:p>
          <w:p w14:paraId="0CDDD9A9" w14:textId="77777777" w:rsidR="00E91778" w:rsidRPr="00DF3A8E" w:rsidRDefault="00E91778" w:rsidP="001D54C7">
            <w:pPr>
              <w:spacing w:after="200" w:line="276" w:lineRule="auto"/>
              <w:jc w:val="both"/>
              <w:rPr>
                <w:rFonts w:ascii="Georgia" w:hAnsi="Georgia" w:cs="Times New Roman"/>
                <w:sz w:val="20"/>
                <w:lang w:val="lt-LT"/>
              </w:rPr>
            </w:pPr>
            <w:r w:rsidRPr="00DF3A8E">
              <w:rPr>
                <w:rFonts w:ascii="Georgia" w:hAnsi="Georgia" w:cs="Times New Roman"/>
                <w:sz w:val="20"/>
                <w:lang w:val="lt-LT"/>
              </w:rPr>
              <w:t>(</w:t>
            </w:r>
            <w:hyperlink r:id="rId12" w:history="1">
              <w:r w:rsidRPr="00C33CA0">
                <w:rPr>
                  <w:rFonts w:ascii="Georgia" w:hAnsi="Georgia" w:cs="Times New Roman"/>
                  <w:sz w:val="20"/>
                  <w:lang w:val="lt-LT"/>
                </w:rPr>
                <w:t>http://www.enmin.lt/lt/activity/veiklos_kryptys/strateginis_planavimas_ir_ES/ESCO_studija.pdf</w:t>
              </w:r>
            </w:hyperlink>
            <w:r w:rsidRPr="00DF3A8E">
              <w:rPr>
                <w:rFonts w:ascii="Georgia" w:hAnsi="Georgia" w:cs="Times New Roman"/>
                <w:sz w:val="20"/>
                <w:lang w:val="lt-LT"/>
              </w:rPr>
              <w:t xml:space="preserve">) </w:t>
            </w:r>
          </w:p>
        </w:tc>
      </w:tr>
      <w:tr w:rsidR="00E91778" w:rsidRPr="00DF3A8E" w14:paraId="026F4CCE" w14:textId="77777777" w:rsidTr="00466A70">
        <w:tc>
          <w:tcPr>
            <w:tcW w:w="826" w:type="pct"/>
          </w:tcPr>
          <w:p w14:paraId="6AB3843D" w14:textId="77777777" w:rsidR="00E91778" w:rsidRDefault="00E91778" w:rsidP="001D54C7">
            <w:pPr>
              <w:jc w:val="both"/>
              <w:rPr>
                <w:rFonts w:ascii="Georgia" w:hAnsi="Georgia" w:cs="Arial"/>
                <w:sz w:val="20"/>
                <w:szCs w:val="20"/>
                <w:lang w:val="lt-LT"/>
              </w:rPr>
            </w:pPr>
            <w:r w:rsidRPr="00B566FF">
              <w:rPr>
                <w:rFonts w:ascii="Georgia" w:hAnsi="Georgia" w:cs="Arial"/>
                <w:sz w:val="20"/>
                <w:szCs w:val="20"/>
                <w:lang w:val="lt-LT"/>
              </w:rPr>
              <w:t>LCR</w:t>
            </w:r>
          </w:p>
        </w:tc>
        <w:tc>
          <w:tcPr>
            <w:tcW w:w="4174" w:type="pct"/>
          </w:tcPr>
          <w:p w14:paraId="03E4FA9F" w14:textId="77777777" w:rsidR="00E91778" w:rsidRDefault="00E91778" w:rsidP="001D54C7">
            <w:pPr>
              <w:jc w:val="both"/>
              <w:rPr>
                <w:rFonts w:ascii="Georgia" w:hAnsi="Georgia" w:cs="Arial"/>
                <w:sz w:val="20"/>
                <w:szCs w:val="20"/>
                <w:lang w:val="lt-LT"/>
              </w:rPr>
            </w:pPr>
            <w:r>
              <w:rPr>
                <w:rFonts w:ascii="Georgia" w:hAnsi="Georgia" w:cs="Arial"/>
                <w:sz w:val="20"/>
                <w:szCs w:val="20"/>
                <w:lang w:val="lt-LT"/>
              </w:rPr>
              <w:t>P</w:t>
            </w:r>
            <w:r w:rsidRPr="00B566FF">
              <w:rPr>
                <w:rFonts w:ascii="Georgia" w:hAnsi="Georgia" w:cs="Arial"/>
                <w:sz w:val="20"/>
                <w:szCs w:val="20"/>
                <w:lang w:val="lt-LT"/>
              </w:rPr>
              <w:t xml:space="preserve">adengimo likvidžiuoju turtu rodiklis (angl. liquidity coverage ratio) </w:t>
            </w:r>
          </w:p>
        </w:tc>
      </w:tr>
      <w:tr w:rsidR="00E91778" w:rsidRPr="00DF3A8E" w14:paraId="25DCB722" w14:textId="77777777" w:rsidTr="00466A70">
        <w:tc>
          <w:tcPr>
            <w:tcW w:w="826" w:type="pct"/>
          </w:tcPr>
          <w:p w14:paraId="02E2204E" w14:textId="77777777" w:rsidR="00E91778" w:rsidRPr="00B27446" w:rsidRDefault="00E91778" w:rsidP="001D54C7">
            <w:pPr>
              <w:jc w:val="both"/>
              <w:rPr>
                <w:rFonts w:ascii="Georgia" w:hAnsi="Georgia" w:cs="Arial"/>
                <w:sz w:val="20"/>
                <w:szCs w:val="20"/>
                <w:lang w:val="lt-LT"/>
              </w:rPr>
            </w:pPr>
            <w:r w:rsidRPr="00B27446">
              <w:rPr>
                <w:rFonts w:ascii="Georgia" w:hAnsi="Georgia"/>
                <w:bCs/>
                <w:sz w:val="20"/>
                <w:szCs w:val="20"/>
                <w:lang w:val="lt-LT"/>
              </w:rPr>
              <w:t>LEEF</w:t>
            </w:r>
          </w:p>
        </w:tc>
        <w:tc>
          <w:tcPr>
            <w:tcW w:w="4174" w:type="pct"/>
          </w:tcPr>
          <w:p w14:paraId="37FDFCEC" w14:textId="77777777" w:rsidR="00E91778" w:rsidRPr="00B27446" w:rsidRDefault="00E91778" w:rsidP="001D54C7">
            <w:pPr>
              <w:jc w:val="both"/>
              <w:rPr>
                <w:rFonts w:ascii="Georgia" w:hAnsi="Georgia" w:cs="Arial"/>
                <w:sz w:val="20"/>
                <w:szCs w:val="20"/>
                <w:lang w:val="lt-LT"/>
              </w:rPr>
            </w:pPr>
            <w:r w:rsidRPr="00B27446">
              <w:rPr>
                <w:rFonts w:ascii="Georgia" w:hAnsi="Georgia"/>
                <w:bCs/>
                <w:sz w:val="20"/>
                <w:szCs w:val="20"/>
                <w:lang w:val="lt-LT"/>
              </w:rPr>
              <w:t xml:space="preserve">Londono energetinio efektyvumo fondas Jungtinėje Karalystėje </w:t>
            </w:r>
          </w:p>
        </w:tc>
      </w:tr>
      <w:tr w:rsidR="00E91778" w:rsidRPr="00DF3A8E" w14:paraId="0212EAF3" w14:textId="77777777" w:rsidTr="00466A70">
        <w:tc>
          <w:tcPr>
            <w:tcW w:w="826" w:type="pct"/>
          </w:tcPr>
          <w:p w14:paraId="1F6A578A" w14:textId="77777777" w:rsidR="00E91778" w:rsidRPr="00B27446" w:rsidRDefault="00E91778" w:rsidP="001D54C7">
            <w:pPr>
              <w:jc w:val="both"/>
              <w:rPr>
                <w:rFonts w:ascii="Georgia" w:hAnsi="Georgia" w:cs="Arial"/>
                <w:sz w:val="20"/>
                <w:szCs w:val="20"/>
                <w:lang w:val="lt-LT"/>
              </w:rPr>
            </w:pPr>
            <w:r w:rsidRPr="00B27446">
              <w:rPr>
                <w:rFonts w:ascii="Georgia" w:hAnsi="Georgia"/>
                <w:sz w:val="20"/>
                <w:szCs w:val="20"/>
                <w:lang w:val="lt-LT"/>
              </w:rPr>
              <w:t>LGF</w:t>
            </w:r>
          </w:p>
        </w:tc>
        <w:tc>
          <w:tcPr>
            <w:tcW w:w="4174" w:type="pct"/>
          </w:tcPr>
          <w:p w14:paraId="4DAD07D9" w14:textId="77777777" w:rsidR="00E91778" w:rsidRPr="00B27446" w:rsidRDefault="00E91778" w:rsidP="001D54C7">
            <w:pPr>
              <w:jc w:val="both"/>
              <w:rPr>
                <w:rFonts w:ascii="Georgia" w:hAnsi="Georgia" w:cs="Arial"/>
                <w:sz w:val="20"/>
                <w:szCs w:val="20"/>
                <w:lang w:val="lt-LT"/>
              </w:rPr>
            </w:pPr>
            <w:r w:rsidRPr="00B27446">
              <w:rPr>
                <w:rFonts w:ascii="Georgia" w:hAnsi="Georgia"/>
                <w:sz w:val="20"/>
                <w:szCs w:val="20"/>
                <w:lang w:val="lt-LT"/>
              </w:rPr>
              <w:t>Londono žaliasis fondas</w:t>
            </w:r>
          </w:p>
        </w:tc>
      </w:tr>
      <w:tr w:rsidR="00E91778" w:rsidRPr="00DF3A8E" w14:paraId="07EF966A" w14:textId="77777777" w:rsidTr="00466A70">
        <w:tc>
          <w:tcPr>
            <w:tcW w:w="826" w:type="pct"/>
          </w:tcPr>
          <w:p w14:paraId="2ACC1AF6" w14:textId="77777777" w:rsidR="00E91778" w:rsidRDefault="00E91778" w:rsidP="001D54C7">
            <w:pPr>
              <w:jc w:val="both"/>
              <w:rPr>
                <w:rFonts w:ascii="Georgia" w:hAnsi="Georgia" w:cs="Arial"/>
                <w:sz w:val="20"/>
                <w:szCs w:val="20"/>
                <w:lang w:val="lt-LT"/>
              </w:rPr>
            </w:pPr>
            <w:r w:rsidRPr="00421AE2">
              <w:rPr>
                <w:rFonts w:ascii="Georgia" w:hAnsi="Georgia" w:cs="Arial"/>
                <w:sz w:val="20"/>
                <w:szCs w:val="20"/>
                <w:lang w:val="lt-LT"/>
              </w:rPr>
              <w:t>MRA</w:t>
            </w:r>
          </w:p>
        </w:tc>
        <w:tc>
          <w:tcPr>
            <w:tcW w:w="4174" w:type="pct"/>
          </w:tcPr>
          <w:p w14:paraId="73330910" w14:textId="77777777" w:rsidR="00E91778" w:rsidRDefault="00E91778" w:rsidP="001D54C7">
            <w:pPr>
              <w:jc w:val="both"/>
              <w:rPr>
                <w:rFonts w:ascii="Georgia" w:hAnsi="Georgia" w:cs="Arial"/>
                <w:sz w:val="20"/>
                <w:szCs w:val="20"/>
                <w:lang w:val="lt-LT"/>
              </w:rPr>
            </w:pPr>
            <w:r>
              <w:rPr>
                <w:rFonts w:ascii="Georgia" w:hAnsi="Georgia" w:cs="Arial"/>
                <w:sz w:val="20"/>
                <w:szCs w:val="20"/>
                <w:lang w:val="lt-LT"/>
              </w:rPr>
              <w:t>Gamybos paskolų pakartotinių investicijų rezervo rodiklis</w:t>
            </w:r>
            <w:r w:rsidRPr="00421AE2">
              <w:rPr>
                <w:rFonts w:ascii="Georgia" w:hAnsi="Georgia" w:cs="Arial"/>
                <w:sz w:val="20"/>
                <w:szCs w:val="20"/>
                <w:lang w:val="lt-LT"/>
              </w:rPr>
              <w:t xml:space="preserve"> (</w:t>
            </w:r>
            <w:r>
              <w:rPr>
                <w:rFonts w:ascii="Georgia" w:hAnsi="Georgia" w:cs="Arial"/>
                <w:sz w:val="20"/>
                <w:szCs w:val="20"/>
                <w:lang w:val="lt-LT"/>
              </w:rPr>
              <w:t xml:space="preserve">angl. </w:t>
            </w:r>
            <w:r w:rsidRPr="00421AE2">
              <w:rPr>
                <w:rFonts w:ascii="Georgia" w:hAnsi="Georgia" w:cs="Arial"/>
                <w:sz w:val="20"/>
                <w:szCs w:val="20"/>
                <w:lang w:val="lt-LT"/>
              </w:rPr>
              <w:t>Manufacturing Reinvestment Account)</w:t>
            </w:r>
          </w:p>
        </w:tc>
      </w:tr>
      <w:tr w:rsidR="00E91778" w:rsidRPr="00DF3A8E" w14:paraId="54C88AEB" w14:textId="77777777" w:rsidTr="00466A70">
        <w:tc>
          <w:tcPr>
            <w:tcW w:w="826" w:type="pct"/>
          </w:tcPr>
          <w:p w14:paraId="0D6A0DB1" w14:textId="77777777" w:rsidR="00E91778" w:rsidRDefault="00E91778" w:rsidP="001D54C7">
            <w:pPr>
              <w:jc w:val="both"/>
              <w:rPr>
                <w:rFonts w:ascii="Georgia" w:hAnsi="Georgia" w:cs="Arial"/>
                <w:sz w:val="20"/>
                <w:szCs w:val="20"/>
                <w:lang w:val="lt-LT"/>
              </w:rPr>
            </w:pPr>
            <w:r>
              <w:rPr>
                <w:rFonts w:ascii="Georgia" w:hAnsi="Georgia" w:cs="Arial"/>
                <w:sz w:val="20"/>
                <w:szCs w:val="20"/>
                <w:lang w:val="lt-LT"/>
              </w:rPr>
              <w:t>MTEP</w:t>
            </w:r>
          </w:p>
        </w:tc>
        <w:tc>
          <w:tcPr>
            <w:tcW w:w="4174" w:type="pct"/>
          </w:tcPr>
          <w:p w14:paraId="389C0715" w14:textId="77777777" w:rsidR="00E91778" w:rsidRDefault="00E91778" w:rsidP="001D54C7">
            <w:pPr>
              <w:jc w:val="both"/>
              <w:rPr>
                <w:rFonts w:ascii="Georgia" w:hAnsi="Georgia" w:cs="Arial"/>
                <w:sz w:val="20"/>
                <w:szCs w:val="20"/>
                <w:lang w:val="lt-LT"/>
              </w:rPr>
            </w:pPr>
            <w:r>
              <w:rPr>
                <w:rFonts w:ascii="Georgia" w:hAnsi="Georgia" w:cs="Arial"/>
                <w:sz w:val="20"/>
                <w:szCs w:val="20"/>
                <w:lang w:val="lt-LT"/>
              </w:rPr>
              <w:t>M</w:t>
            </w:r>
            <w:r w:rsidRPr="006F263E">
              <w:rPr>
                <w:rFonts w:ascii="Georgia" w:hAnsi="Georgia" w:cs="Arial"/>
                <w:sz w:val="20"/>
                <w:szCs w:val="20"/>
                <w:lang w:val="lt-LT"/>
              </w:rPr>
              <w:t>okslini</w:t>
            </w:r>
            <w:r>
              <w:rPr>
                <w:rFonts w:ascii="Georgia" w:hAnsi="Georgia" w:cs="Arial"/>
                <w:sz w:val="20"/>
                <w:szCs w:val="20"/>
                <w:lang w:val="lt-LT"/>
              </w:rPr>
              <w:t>ai tyrimai ir eksperimentinė plėtra</w:t>
            </w:r>
          </w:p>
        </w:tc>
      </w:tr>
      <w:tr w:rsidR="00E91778" w:rsidRPr="00DF3A8E" w14:paraId="7EF79128" w14:textId="77777777" w:rsidTr="00466A70">
        <w:tc>
          <w:tcPr>
            <w:tcW w:w="826" w:type="pct"/>
          </w:tcPr>
          <w:p w14:paraId="2C862E7E" w14:textId="77777777" w:rsidR="00E91778" w:rsidRDefault="00E91778" w:rsidP="001D54C7">
            <w:pPr>
              <w:jc w:val="both"/>
              <w:rPr>
                <w:rFonts w:ascii="Georgia" w:hAnsi="Georgia" w:cs="Arial"/>
                <w:sz w:val="20"/>
                <w:szCs w:val="20"/>
                <w:lang w:val="lt-LT"/>
              </w:rPr>
            </w:pPr>
            <w:r>
              <w:rPr>
                <w:rFonts w:ascii="Georgia" w:hAnsi="Georgia" w:cs="Arial"/>
                <w:sz w:val="20"/>
                <w:szCs w:val="20"/>
                <w:lang w:val="lt-LT"/>
              </w:rPr>
              <w:t>MVĮ</w:t>
            </w:r>
          </w:p>
        </w:tc>
        <w:tc>
          <w:tcPr>
            <w:tcW w:w="4174" w:type="pct"/>
          </w:tcPr>
          <w:p w14:paraId="32B25870" w14:textId="77777777" w:rsidR="00E91778" w:rsidRDefault="00E91778" w:rsidP="001D54C7">
            <w:pPr>
              <w:jc w:val="both"/>
              <w:rPr>
                <w:rFonts w:ascii="Georgia" w:hAnsi="Georgia" w:cs="Arial"/>
                <w:sz w:val="20"/>
                <w:szCs w:val="20"/>
                <w:lang w:val="lt-LT"/>
              </w:rPr>
            </w:pPr>
            <w:r>
              <w:rPr>
                <w:rFonts w:ascii="Georgia" w:hAnsi="Georgia" w:cs="Arial"/>
                <w:sz w:val="20"/>
                <w:szCs w:val="20"/>
                <w:lang w:val="lt-LT"/>
              </w:rPr>
              <w:t>Mažos ir vidutinės įmonės</w:t>
            </w:r>
          </w:p>
        </w:tc>
      </w:tr>
      <w:tr w:rsidR="00E91778" w:rsidRPr="00DF3A8E" w14:paraId="56C16ED6" w14:textId="77777777" w:rsidTr="00466A70">
        <w:tc>
          <w:tcPr>
            <w:tcW w:w="826" w:type="pct"/>
          </w:tcPr>
          <w:p w14:paraId="7A88AEE1" w14:textId="77777777" w:rsidR="00E91778" w:rsidRDefault="00E91778" w:rsidP="001D54C7">
            <w:pPr>
              <w:jc w:val="both"/>
              <w:rPr>
                <w:rFonts w:ascii="Georgia" w:hAnsi="Georgia" w:cs="Times New Roman"/>
                <w:sz w:val="20"/>
                <w:lang w:val="lt-LT"/>
              </w:rPr>
            </w:pPr>
            <w:r>
              <w:rPr>
                <w:rFonts w:ascii="Georgia" w:hAnsi="Georgia" w:cs="Arial"/>
                <w:sz w:val="20"/>
                <w:szCs w:val="20"/>
                <w:lang w:val="lt-LT"/>
              </w:rPr>
              <w:t>NIB</w:t>
            </w:r>
          </w:p>
        </w:tc>
        <w:tc>
          <w:tcPr>
            <w:tcW w:w="4174" w:type="pct"/>
          </w:tcPr>
          <w:p w14:paraId="68A9D79C" w14:textId="77777777" w:rsidR="00E91778" w:rsidRDefault="00E91778" w:rsidP="001D54C7">
            <w:pPr>
              <w:jc w:val="both"/>
              <w:rPr>
                <w:rFonts w:ascii="Georgia" w:hAnsi="Georgia" w:cs="Times New Roman"/>
                <w:sz w:val="20"/>
                <w:lang w:val="lt-LT"/>
              </w:rPr>
            </w:pPr>
            <w:r>
              <w:rPr>
                <w:rFonts w:ascii="Georgia" w:hAnsi="Georgia" w:cs="Arial"/>
                <w:sz w:val="20"/>
                <w:szCs w:val="20"/>
                <w:lang w:val="lt-LT"/>
              </w:rPr>
              <w:t>Šiaurės investicijų bankas (</w:t>
            </w:r>
            <w:r>
              <w:rPr>
                <w:rFonts w:ascii="Georgia" w:hAnsi="Georgia" w:cs="Arial"/>
                <w:i/>
                <w:sz w:val="20"/>
                <w:szCs w:val="20"/>
                <w:lang w:val="lt-LT"/>
              </w:rPr>
              <w:t>angl. Nordic Investment Bank</w:t>
            </w:r>
            <w:r>
              <w:rPr>
                <w:rFonts w:ascii="Georgia" w:hAnsi="Georgia" w:cs="Arial"/>
                <w:sz w:val="20"/>
                <w:szCs w:val="20"/>
                <w:lang w:val="lt-LT"/>
              </w:rPr>
              <w:t>)</w:t>
            </w:r>
          </w:p>
        </w:tc>
      </w:tr>
      <w:tr w:rsidR="00E91778" w:rsidRPr="00DF3A8E" w14:paraId="0C7D23B2" w14:textId="77777777" w:rsidTr="00466A70">
        <w:tc>
          <w:tcPr>
            <w:tcW w:w="826" w:type="pct"/>
          </w:tcPr>
          <w:p w14:paraId="55C5E88C" w14:textId="77777777" w:rsidR="00E91778" w:rsidRDefault="00E91778" w:rsidP="001D54C7">
            <w:pPr>
              <w:jc w:val="both"/>
              <w:rPr>
                <w:rFonts w:ascii="Georgia" w:hAnsi="Georgia" w:cs="Arial"/>
                <w:sz w:val="20"/>
                <w:szCs w:val="20"/>
                <w:lang w:val="lt-LT"/>
              </w:rPr>
            </w:pPr>
            <w:r>
              <w:rPr>
                <w:rFonts w:ascii="Georgia" w:hAnsi="Georgia" w:cs="Arial"/>
                <w:sz w:val="20"/>
                <w:szCs w:val="20"/>
                <w:lang w:val="lt-LT"/>
              </w:rPr>
              <w:t>PVM</w:t>
            </w:r>
          </w:p>
        </w:tc>
        <w:tc>
          <w:tcPr>
            <w:tcW w:w="4174" w:type="pct"/>
          </w:tcPr>
          <w:p w14:paraId="247736C7" w14:textId="77777777" w:rsidR="00E91778" w:rsidRDefault="00E91778" w:rsidP="001D54C7">
            <w:pPr>
              <w:jc w:val="both"/>
              <w:rPr>
                <w:rFonts w:ascii="Georgia" w:hAnsi="Georgia" w:cs="Arial"/>
                <w:sz w:val="20"/>
                <w:szCs w:val="20"/>
                <w:lang w:val="lt-LT"/>
              </w:rPr>
            </w:pPr>
            <w:r>
              <w:rPr>
                <w:rFonts w:ascii="Georgia" w:hAnsi="Georgia" w:cs="Arial"/>
                <w:sz w:val="20"/>
                <w:szCs w:val="20"/>
                <w:lang w:val="lt-LT"/>
              </w:rPr>
              <w:t>Pridėtinės vertės mokestis</w:t>
            </w:r>
          </w:p>
        </w:tc>
      </w:tr>
      <w:tr w:rsidR="00E91778" w:rsidRPr="00DF3A8E" w14:paraId="0CA38640" w14:textId="77777777" w:rsidTr="00466A70">
        <w:tc>
          <w:tcPr>
            <w:tcW w:w="826" w:type="pct"/>
          </w:tcPr>
          <w:p w14:paraId="37CF2E5E" w14:textId="77777777" w:rsidR="00E91778" w:rsidRPr="00DF3A8E" w:rsidRDefault="00E91778" w:rsidP="001D54C7">
            <w:pPr>
              <w:spacing w:after="200" w:line="276" w:lineRule="auto"/>
              <w:jc w:val="both"/>
              <w:rPr>
                <w:rFonts w:ascii="Georgia" w:hAnsi="Georgia" w:cs="Times New Roman"/>
                <w:sz w:val="20"/>
                <w:lang w:val="lt-LT"/>
              </w:rPr>
            </w:pPr>
            <w:r w:rsidRPr="00DF3A8E">
              <w:rPr>
                <w:rFonts w:ascii="Georgia" w:hAnsi="Georgia" w:cs="Times New Roman"/>
                <w:sz w:val="20"/>
                <w:lang w:val="lt-LT"/>
              </w:rPr>
              <w:t>PwC studija</w:t>
            </w:r>
          </w:p>
        </w:tc>
        <w:tc>
          <w:tcPr>
            <w:tcW w:w="4174" w:type="pct"/>
          </w:tcPr>
          <w:p w14:paraId="2232A9A9" w14:textId="77777777" w:rsidR="00E91778" w:rsidRPr="00DF3A8E" w:rsidRDefault="00E91778" w:rsidP="001D54C7">
            <w:pPr>
              <w:spacing w:after="200" w:line="276" w:lineRule="auto"/>
              <w:jc w:val="both"/>
              <w:rPr>
                <w:rFonts w:ascii="Georgia" w:hAnsi="Georgia" w:cs="Times New Roman"/>
                <w:sz w:val="20"/>
                <w:lang w:val="lt-LT"/>
              </w:rPr>
            </w:pPr>
            <w:r w:rsidRPr="00DF3A8E">
              <w:rPr>
                <w:rFonts w:ascii="Georgia" w:hAnsi="Georgia" w:cs="Times New Roman"/>
                <w:sz w:val="20"/>
                <w:lang w:val="lt-LT"/>
              </w:rPr>
              <w:t xml:space="preserve">Europos investicijų banko </w:t>
            </w:r>
            <w:r w:rsidRPr="00DE194B">
              <w:rPr>
                <w:rFonts w:ascii="Georgia" w:hAnsi="Georgia" w:cs="Times New Roman"/>
                <w:sz w:val="20"/>
                <w:lang w:val="lt-LT"/>
              </w:rPr>
              <w:t xml:space="preserve">užsakymu </w:t>
            </w:r>
            <w:r w:rsidRPr="00C33CA0">
              <w:rPr>
                <w:rFonts w:ascii="Georgia" w:hAnsi="Georgia" w:cs="Times New Roman"/>
                <w:sz w:val="20"/>
                <w:lang w:val="lt-LT"/>
              </w:rPr>
              <w:t>PricewaterhouseCoopers</w:t>
            </w:r>
            <w:r w:rsidRPr="00DE194B">
              <w:rPr>
                <w:rFonts w:ascii="Georgia" w:hAnsi="Georgia" w:cs="Times New Roman"/>
                <w:sz w:val="20"/>
                <w:lang w:val="lt-LT"/>
              </w:rPr>
              <w:t xml:space="preserve"> atlikta</w:t>
            </w:r>
            <w:r w:rsidRPr="00DF3A8E">
              <w:rPr>
                <w:rFonts w:ascii="Georgia" w:hAnsi="Georgia" w:cs="Times New Roman"/>
                <w:sz w:val="20"/>
                <w:lang w:val="lt-LT"/>
              </w:rPr>
              <w:t xml:space="preserve"> studija </w:t>
            </w:r>
            <w:r>
              <w:rPr>
                <w:rFonts w:ascii="Georgia" w:hAnsi="Georgia" w:cs="Times New Roman"/>
                <w:sz w:val="20"/>
                <w:lang w:val="lt-LT"/>
              </w:rPr>
              <w:t>„</w:t>
            </w:r>
            <w:r w:rsidRPr="00DF3A8E">
              <w:rPr>
                <w:rFonts w:ascii="Georgia" w:hAnsi="Georgia" w:cs="Times New Roman"/>
                <w:sz w:val="20"/>
                <w:lang w:val="lt-LT"/>
              </w:rPr>
              <w:t>JESSICA 2014-2020 evaluation study for Lithuania</w:t>
            </w:r>
            <w:r>
              <w:rPr>
                <w:rFonts w:ascii="Georgia" w:hAnsi="Georgia" w:cs="Times New Roman"/>
                <w:sz w:val="20"/>
                <w:lang w:val="lt-LT"/>
              </w:rPr>
              <w:t>“</w:t>
            </w:r>
            <w:r w:rsidRPr="00DF3A8E">
              <w:rPr>
                <w:rFonts w:ascii="Georgia" w:hAnsi="Georgia" w:cs="Times New Roman"/>
                <w:sz w:val="20"/>
                <w:lang w:val="lt-LT"/>
              </w:rPr>
              <w:t>.</w:t>
            </w:r>
          </w:p>
        </w:tc>
      </w:tr>
      <w:tr w:rsidR="00E91778" w:rsidRPr="00DF3A8E" w14:paraId="275FD668" w14:textId="77777777" w:rsidTr="00466A70">
        <w:tc>
          <w:tcPr>
            <w:tcW w:w="826" w:type="pct"/>
          </w:tcPr>
          <w:p w14:paraId="7861EE28" w14:textId="77777777" w:rsidR="00E91778" w:rsidRDefault="00E91778" w:rsidP="001D54C7">
            <w:pPr>
              <w:jc w:val="both"/>
              <w:rPr>
                <w:rFonts w:ascii="Georgia" w:hAnsi="Georgia" w:cs="Times New Roman"/>
                <w:sz w:val="20"/>
                <w:lang w:val="lt-LT"/>
              </w:rPr>
            </w:pPr>
            <w:r>
              <w:rPr>
                <w:rFonts w:ascii="Georgia" w:hAnsi="Georgia" w:cs="Times New Roman"/>
                <w:sz w:val="20"/>
                <w:lang w:val="lt-LT"/>
              </w:rPr>
              <w:t>ROE (angl. return on equity)</w:t>
            </w:r>
          </w:p>
        </w:tc>
        <w:tc>
          <w:tcPr>
            <w:tcW w:w="4174" w:type="pct"/>
          </w:tcPr>
          <w:p w14:paraId="5FFA7B7A" w14:textId="77777777" w:rsidR="00E91778" w:rsidRPr="00DF3A8E" w:rsidRDefault="00E91778" w:rsidP="001D54C7">
            <w:pPr>
              <w:spacing w:after="200" w:line="276" w:lineRule="auto"/>
              <w:jc w:val="both"/>
              <w:rPr>
                <w:rFonts w:ascii="Georgia" w:hAnsi="Georgia" w:cs="Times New Roman"/>
                <w:sz w:val="20"/>
                <w:lang w:val="lt-LT"/>
              </w:rPr>
            </w:pPr>
            <w:r>
              <w:rPr>
                <w:rFonts w:ascii="Georgia" w:hAnsi="Georgia" w:cs="Times New Roman"/>
                <w:sz w:val="20"/>
                <w:lang w:val="lt-LT"/>
              </w:rPr>
              <w:t>Nuosavo kapitalo pelningumo rodiklis, skaičiuojamas kaip grynojo pelno ir nuosavo kapitalo santykis</w:t>
            </w:r>
          </w:p>
        </w:tc>
      </w:tr>
      <w:tr w:rsidR="00E91778" w:rsidRPr="00DF3A8E" w14:paraId="2E1D4799" w14:textId="77777777" w:rsidTr="00466A70">
        <w:tc>
          <w:tcPr>
            <w:tcW w:w="826" w:type="pct"/>
          </w:tcPr>
          <w:p w14:paraId="22B11A84" w14:textId="77777777" w:rsidR="00E91778" w:rsidRPr="008330A3" w:rsidRDefault="00E91778" w:rsidP="001D54C7">
            <w:pPr>
              <w:jc w:val="both"/>
              <w:rPr>
                <w:rFonts w:ascii="Georgia" w:hAnsi="Georgia" w:cs="Times New Roman"/>
                <w:sz w:val="20"/>
                <w:lang w:val="lt-LT"/>
              </w:rPr>
            </w:pPr>
            <w:r w:rsidRPr="008330A3">
              <w:rPr>
                <w:rFonts w:ascii="Georgia" w:hAnsi="Georgia" w:cs="Times New Roman"/>
                <w:sz w:val="20"/>
                <w:lang w:val="lt-LT"/>
              </w:rPr>
              <w:t>Savivaldybių</w:t>
            </w:r>
            <w:r>
              <w:rPr>
                <w:rFonts w:ascii="Georgia" w:hAnsi="Georgia" w:cs="Times New Roman"/>
                <w:sz w:val="20"/>
                <w:lang w:val="lt-LT"/>
              </w:rPr>
              <w:t xml:space="preserve"> (viešieji)</w:t>
            </w:r>
            <w:r w:rsidRPr="008330A3">
              <w:rPr>
                <w:rFonts w:ascii="Georgia" w:hAnsi="Georgia" w:cs="Times New Roman"/>
                <w:sz w:val="20"/>
                <w:lang w:val="lt-LT"/>
              </w:rPr>
              <w:t xml:space="preserve"> pastatai</w:t>
            </w:r>
          </w:p>
        </w:tc>
        <w:tc>
          <w:tcPr>
            <w:tcW w:w="4174" w:type="pct"/>
          </w:tcPr>
          <w:p w14:paraId="7F52FF68" w14:textId="77777777" w:rsidR="00E91778" w:rsidRPr="00DF3A8E" w:rsidRDefault="00E91778" w:rsidP="001D54C7">
            <w:pPr>
              <w:spacing w:after="200" w:line="276" w:lineRule="auto"/>
              <w:jc w:val="both"/>
              <w:rPr>
                <w:rFonts w:ascii="Georgia" w:hAnsi="Georgia" w:cs="Times New Roman"/>
                <w:sz w:val="20"/>
                <w:lang w:val="lt-LT"/>
              </w:rPr>
            </w:pPr>
            <w:r w:rsidRPr="008330A3">
              <w:rPr>
                <w:rFonts w:ascii="Georgia" w:hAnsi="Georgia" w:cs="Times New Roman"/>
                <w:sz w:val="20"/>
                <w:lang w:val="lt-LT"/>
              </w:rPr>
              <w:t>Savivaldybių nuosavybės teise valdomi pastatai</w:t>
            </w:r>
            <w:r>
              <w:rPr>
                <w:rFonts w:ascii="Georgia" w:hAnsi="Georgia" w:cs="Times New Roman"/>
                <w:sz w:val="20"/>
                <w:lang w:val="lt-LT"/>
              </w:rPr>
              <w:t xml:space="preserve"> </w:t>
            </w:r>
          </w:p>
        </w:tc>
      </w:tr>
      <w:tr w:rsidR="00E91778" w:rsidRPr="00DF3A8E" w14:paraId="38A623D8" w14:textId="77777777" w:rsidTr="00466A70">
        <w:tc>
          <w:tcPr>
            <w:tcW w:w="826" w:type="pct"/>
          </w:tcPr>
          <w:p w14:paraId="34507427" w14:textId="77777777" w:rsidR="00E91778" w:rsidRDefault="00E91778" w:rsidP="001D54C7">
            <w:pPr>
              <w:jc w:val="both"/>
              <w:rPr>
                <w:rFonts w:ascii="Georgia" w:hAnsi="Georgia" w:cs="Arial"/>
                <w:sz w:val="20"/>
                <w:szCs w:val="20"/>
                <w:lang w:val="lt-LT"/>
              </w:rPr>
            </w:pPr>
            <w:r>
              <w:rPr>
                <w:rStyle w:val="hps"/>
                <w:rFonts w:ascii="Georgia" w:hAnsi="Georgia" w:cs="Arial"/>
                <w:sz w:val="20"/>
                <w:szCs w:val="20"/>
                <w:lang w:val="lt-LT"/>
              </w:rPr>
              <w:t>SEFF</w:t>
            </w:r>
          </w:p>
        </w:tc>
        <w:tc>
          <w:tcPr>
            <w:tcW w:w="4174" w:type="pct"/>
          </w:tcPr>
          <w:p w14:paraId="0D84BF28" w14:textId="77777777" w:rsidR="00E91778" w:rsidRDefault="00E91778" w:rsidP="001D54C7">
            <w:pPr>
              <w:jc w:val="both"/>
              <w:rPr>
                <w:rFonts w:ascii="Georgia" w:hAnsi="Georgia" w:cs="Arial"/>
                <w:sz w:val="20"/>
                <w:szCs w:val="20"/>
                <w:lang w:val="lt-LT"/>
              </w:rPr>
            </w:pPr>
            <w:r>
              <w:rPr>
                <w:rStyle w:val="hps"/>
                <w:rFonts w:ascii="Georgia" w:hAnsi="Georgia" w:cs="Arial"/>
                <w:sz w:val="20"/>
                <w:szCs w:val="20"/>
                <w:lang w:val="lt-LT"/>
              </w:rPr>
              <w:t>Tvarios energijos finansavimo priemonės (</w:t>
            </w:r>
            <w:r>
              <w:rPr>
                <w:rStyle w:val="hps"/>
                <w:rFonts w:ascii="Georgia" w:hAnsi="Georgia" w:cs="Arial"/>
                <w:i/>
                <w:sz w:val="20"/>
                <w:szCs w:val="20"/>
                <w:lang w:val="lt-LT"/>
              </w:rPr>
              <w:t>angl. Sustainable Energy Financing Facilities</w:t>
            </w:r>
            <w:r>
              <w:rPr>
                <w:rStyle w:val="hps"/>
                <w:rFonts w:ascii="Georgia" w:hAnsi="Georgia" w:cs="Arial"/>
                <w:sz w:val="20"/>
                <w:szCs w:val="20"/>
                <w:lang w:val="lt-LT"/>
              </w:rPr>
              <w:t>)</w:t>
            </w:r>
          </w:p>
        </w:tc>
      </w:tr>
      <w:tr w:rsidR="00E91778" w:rsidRPr="00DF3A8E" w14:paraId="27813CCA" w14:textId="77777777" w:rsidTr="00466A70">
        <w:tc>
          <w:tcPr>
            <w:tcW w:w="826" w:type="pct"/>
          </w:tcPr>
          <w:p w14:paraId="58B9E5CA" w14:textId="77777777" w:rsidR="00E91778" w:rsidRDefault="00E91778" w:rsidP="001D54C7">
            <w:pPr>
              <w:jc w:val="both"/>
              <w:rPr>
                <w:rFonts w:ascii="Georgia" w:hAnsi="Georgia" w:cs="Times New Roman"/>
                <w:sz w:val="20"/>
                <w:lang w:val="lt-LT"/>
              </w:rPr>
            </w:pPr>
            <w:r>
              <w:rPr>
                <w:rFonts w:ascii="Georgia" w:hAnsi="Georgia" w:cs="Arial"/>
                <w:sz w:val="20"/>
                <w:szCs w:val="20"/>
                <w:lang w:val="lt-LT"/>
              </w:rPr>
              <w:t>SEI</w:t>
            </w:r>
          </w:p>
        </w:tc>
        <w:tc>
          <w:tcPr>
            <w:tcW w:w="4174" w:type="pct"/>
          </w:tcPr>
          <w:p w14:paraId="6EB16BCB" w14:textId="77777777" w:rsidR="00E91778" w:rsidRDefault="00E91778" w:rsidP="001D54C7">
            <w:pPr>
              <w:jc w:val="both"/>
              <w:rPr>
                <w:rFonts w:ascii="Georgia" w:hAnsi="Georgia" w:cs="Times New Roman"/>
                <w:sz w:val="20"/>
                <w:lang w:val="lt-LT"/>
              </w:rPr>
            </w:pPr>
            <w:r>
              <w:rPr>
                <w:rFonts w:ascii="Georgia" w:hAnsi="Georgia" w:cs="Arial"/>
                <w:sz w:val="20"/>
                <w:szCs w:val="20"/>
                <w:lang w:val="lt-LT"/>
              </w:rPr>
              <w:t>Tvarios energetikos iniciatyva (</w:t>
            </w:r>
            <w:r>
              <w:rPr>
                <w:rFonts w:ascii="Georgia" w:hAnsi="Georgia" w:cs="Arial"/>
                <w:i/>
                <w:sz w:val="20"/>
                <w:szCs w:val="20"/>
                <w:lang w:val="lt-LT"/>
              </w:rPr>
              <w:t>angl. Sustainable Energy Initiative</w:t>
            </w:r>
            <w:r>
              <w:rPr>
                <w:rFonts w:ascii="Georgia" w:hAnsi="Georgia" w:cs="Arial"/>
                <w:sz w:val="20"/>
                <w:szCs w:val="20"/>
                <w:lang w:val="lt-LT"/>
              </w:rPr>
              <w:t>)</w:t>
            </w:r>
          </w:p>
        </w:tc>
      </w:tr>
      <w:tr w:rsidR="00E91778" w:rsidRPr="00DF3A8E" w14:paraId="35C027CE" w14:textId="77777777" w:rsidTr="00466A70">
        <w:tc>
          <w:tcPr>
            <w:tcW w:w="826" w:type="pct"/>
          </w:tcPr>
          <w:p w14:paraId="2405D68B" w14:textId="77777777" w:rsidR="00E91778" w:rsidRDefault="00E91778" w:rsidP="001D54C7">
            <w:pPr>
              <w:jc w:val="both"/>
              <w:rPr>
                <w:rFonts w:ascii="Georgia" w:hAnsi="Georgia" w:cs="Times New Roman"/>
                <w:sz w:val="20"/>
                <w:lang w:val="lt-LT"/>
              </w:rPr>
            </w:pPr>
            <w:r>
              <w:rPr>
                <w:rFonts w:ascii="Georgia" w:hAnsi="Georgia" w:cs="Arial"/>
                <w:sz w:val="20"/>
                <w:szCs w:val="20"/>
                <w:lang w:val="lt-LT"/>
              </w:rPr>
              <w:t>SRI</w:t>
            </w:r>
          </w:p>
        </w:tc>
        <w:tc>
          <w:tcPr>
            <w:tcW w:w="4174" w:type="pct"/>
          </w:tcPr>
          <w:p w14:paraId="0F045F13" w14:textId="77777777" w:rsidR="00E91778" w:rsidRDefault="00E91778" w:rsidP="001D54C7">
            <w:pPr>
              <w:jc w:val="both"/>
              <w:rPr>
                <w:rFonts w:ascii="Georgia" w:hAnsi="Georgia" w:cs="Times New Roman"/>
                <w:sz w:val="20"/>
                <w:lang w:val="lt-LT"/>
              </w:rPr>
            </w:pPr>
            <w:r>
              <w:rPr>
                <w:rFonts w:ascii="Georgia" w:hAnsi="Georgia" w:cs="Arial"/>
                <w:sz w:val="20"/>
                <w:szCs w:val="20"/>
                <w:lang w:val="lt-LT"/>
              </w:rPr>
              <w:t>Tvarių išteklių iniciatyva (</w:t>
            </w:r>
            <w:r>
              <w:rPr>
                <w:rFonts w:ascii="Georgia" w:hAnsi="Georgia" w:cs="Arial"/>
                <w:i/>
                <w:sz w:val="20"/>
                <w:szCs w:val="20"/>
                <w:lang w:val="lt-LT"/>
              </w:rPr>
              <w:t>angl.</w:t>
            </w:r>
            <w:r>
              <w:rPr>
                <w:rFonts w:ascii="Georgia" w:hAnsi="Georgia" w:cs="Arial"/>
                <w:sz w:val="20"/>
                <w:szCs w:val="20"/>
                <w:lang w:val="lt-LT"/>
              </w:rPr>
              <w:t xml:space="preserve"> </w:t>
            </w:r>
            <w:r>
              <w:rPr>
                <w:rFonts w:ascii="Georgia" w:hAnsi="Georgia" w:cs="Arial"/>
                <w:i/>
                <w:sz w:val="20"/>
                <w:szCs w:val="20"/>
                <w:lang w:val="lt-LT"/>
              </w:rPr>
              <w:t>Sustainable Resource Initiative</w:t>
            </w:r>
            <w:r>
              <w:rPr>
                <w:rFonts w:ascii="Georgia" w:hAnsi="Georgia" w:cs="Arial"/>
                <w:sz w:val="20"/>
                <w:szCs w:val="20"/>
                <w:lang w:val="lt-LT"/>
              </w:rPr>
              <w:t>)</w:t>
            </w:r>
          </w:p>
        </w:tc>
      </w:tr>
      <w:tr w:rsidR="00E91778" w:rsidRPr="00DF3A8E" w14:paraId="5B127298" w14:textId="77777777" w:rsidTr="00466A70">
        <w:tc>
          <w:tcPr>
            <w:tcW w:w="826" w:type="pct"/>
          </w:tcPr>
          <w:p w14:paraId="27C3E3C0" w14:textId="77777777" w:rsidR="00E91778" w:rsidRDefault="00E91778" w:rsidP="001D54C7">
            <w:pPr>
              <w:jc w:val="both"/>
              <w:rPr>
                <w:rFonts w:ascii="Georgia" w:hAnsi="Georgia" w:cs="Times New Roman"/>
                <w:sz w:val="20"/>
                <w:lang w:val="lt-LT"/>
              </w:rPr>
            </w:pPr>
            <w:r>
              <w:rPr>
                <w:rFonts w:ascii="Georgia" w:hAnsi="Georgia" w:cs="Times New Roman"/>
                <w:sz w:val="20"/>
                <w:lang w:val="lt-LT"/>
              </w:rPr>
              <w:t>Statybos techninis reglamentas</w:t>
            </w:r>
          </w:p>
        </w:tc>
        <w:tc>
          <w:tcPr>
            <w:tcW w:w="4174" w:type="pct"/>
          </w:tcPr>
          <w:p w14:paraId="21051564" w14:textId="77777777" w:rsidR="00E91778" w:rsidRDefault="00E91778" w:rsidP="001D54C7">
            <w:pPr>
              <w:spacing w:after="200" w:line="276" w:lineRule="auto"/>
              <w:jc w:val="both"/>
              <w:rPr>
                <w:rFonts w:ascii="Georgia" w:hAnsi="Georgia" w:cs="Times New Roman"/>
                <w:sz w:val="20"/>
                <w:lang w:val="lt-LT"/>
              </w:rPr>
            </w:pPr>
            <w:r>
              <w:rPr>
                <w:rFonts w:ascii="Georgia" w:hAnsi="Georgia" w:cs="Times New Roman"/>
                <w:sz w:val="20"/>
                <w:lang w:val="lt-LT"/>
              </w:rPr>
              <w:t>S</w:t>
            </w:r>
            <w:r w:rsidRPr="008D7228">
              <w:rPr>
                <w:rFonts w:ascii="Georgia" w:hAnsi="Georgia" w:cs="Times New Roman"/>
                <w:sz w:val="20"/>
                <w:lang w:val="lt-LT"/>
              </w:rPr>
              <w:t>tatybos techninis reglamentas</w:t>
            </w:r>
            <w:r>
              <w:rPr>
                <w:rFonts w:ascii="Georgia" w:hAnsi="Georgia" w:cs="Times New Roman"/>
                <w:sz w:val="20"/>
                <w:lang w:val="lt-LT"/>
              </w:rPr>
              <w:t xml:space="preserve"> STR</w:t>
            </w:r>
            <w:r w:rsidRPr="008D7228">
              <w:rPr>
                <w:rFonts w:ascii="Georgia" w:hAnsi="Georgia" w:cs="Times New Roman"/>
                <w:sz w:val="20"/>
                <w:lang w:val="lt-LT"/>
              </w:rPr>
              <w:t xml:space="preserve"> 2.01.09:2005</w:t>
            </w:r>
            <w:r>
              <w:rPr>
                <w:rFonts w:ascii="Georgia" w:hAnsi="Georgia" w:cs="Times New Roman"/>
                <w:sz w:val="20"/>
                <w:lang w:val="lt-LT"/>
              </w:rPr>
              <w:t xml:space="preserve"> pastatų energinis naudingumas, </w:t>
            </w:r>
            <w:r w:rsidRPr="008D7228">
              <w:rPr>
                <w:rFonts w:ascii="Georgia" w:hAnsi="Georgia" w:cs="Times New Roman"/>
                <w:sz w:val="20"/>
                <w:lang w:val="lt-LT"/>
              </w:rPr>
              <w:t>energinio naudingumo sertifikavimas</w:t>
            </w:r>
            <w:r>
              <w:rPr>
                <w:rFonts w:ascii="Georgia" w:hAnsi="Georgia" w:cs="Times New Roman"/>
                <w:sz w:val="20"/>
                <w:lang w:val="lt-LT"/>
              </w:rPr>
              <w:t>, p</w:t>
            </w:r>
            <w:r w:rsidRPr="008D7228">
              <w:rPr>
                <w:rFonts w:ascii="Georgia" w:hAnsi="Georgia" w:cs="Times New Roman"/>
                <w:sz w:val="20"/>
                <w:lang w:val="lt-LT"/>
              </w:rPr>
              <w:t>atvirtinta</w:t>
            </w:r>
            <w:r>
              <w:rPr>
                <w:rFonts w:ascii="Georgia" w:hAnsi="Georgia" w:cs="Times New Roman"/>
                <w:sz w:val="20"/>
                <w:lang w:val="lt-LT"/>
              </w:rPr>
              <w:t xml:space="preserve">s </w:t>
            </w:r>
            <w:r w:rsidRPr="008D7228">
              <w:rPr>
                <w:rFonts w:ascii="Georgia" w:hAnsi="Georgia" w:cs="Times New Roman"/>
                <w:sz w:val="20"/>
                <w:lang w:val="lt-LT"/>
              </w:rPr>
              <w:t>Lietuvos Respublikos aplinkos</w:t>
            </w:r>
            <w:r>
              <w:rPr>
                <w:rFonts w:ascii="Georgia" w:hAnsi="Georgia" w:cs="Times New Roman"/>
                <w:sz w:val="20"/>
                <w:lang w:val="lt-LT"/>
              </w:rPr>
              <w:t xml:space="preserve"> </w:t>
            </w:r>
            <w:r w:rsidRPr="008D7228">
              <w:rPr>
                <w:rFonts w:ascii="Georgia" w:hAnsi="Georgia" w:cs="Times New Roman"/>
                <w:sz w:val="20"/>
                <w:lang w:val="lt-LT"/>
              </w:rPr>
              <w:t>ministro 2005 m. gruodžio 20 d.</w:t>
            </w:r>
            <w:r>
              <w:rPr>
                <w:rFonts w:ascii="Georgia" w:hAnsi="Georgia" w:cs="Times New Roman"/>
                <w:sz w:val="20"/>
                <w:lang w:val="lt-LT"/>
              </w:rPr>
              <w:t xml:space="preserve"> įsakymu Nr. D1-624</w:t>
            </w:r>
          </w:p>
        </w:tc>
      </w:tr>
      <w:tr w:rsidR="00E91778" w:rsidRPr="00DF3A8E" w14:paraId="7DE50B11" w14:textId="77777777" w:rsidTr="00466A70">
        <w:tc>
          <w:tcPr>
            <w:tcW w:w="826" w:type="pct"/>
          </w:tcPr>
          <w:p w14:paraId="6DC3262E" w14:textId="77777777" w:rsidR="00E91778" w:rsidRDefault="00E91778" w:rsidP="001D54C7">
            <w:pPr>
              <w:jc w:val="both"/>
              <w:rPr>
                <w:rFonts w:ascii="Georgia" w:hAnsi="Georgia" w:cs="Arial"/>
                <w:sz w:val="20"/>
                <w:szCs w:val="20"/>
                <w:lang w:val="lt-LT"/>
              </w:rPr>
            </w:pPr>
            <w:r>
              <w:rPr>
                <w:rFonts w:ascii="Georgia" w:hAnsi="Georgia" w:cs="Arial"/>
                <w:sz w:val="20"/>
                <w:szCs w:val="20"/>
                <w:lang w:val="lt-LT"/>
              </w:rPr>
              <w:t>TEN-E</w:t>
            </w:r>
          </w:p>
        </w:tc>
        <w:tc>
          <w:tcPr>
            <w:tcW w:w="4174" w:type="pct"/>
          </w:tcPr>
          <w:p w14:paraId="729CA14D" w14:textId="77777777" w:rsidR="00E91778" w:rsidRDefault="00E91778" w:rsidP="001D54C7">
            <w:pPr>
              <w:jc w:val="both"/>
              <w:rPr>
                <w:rFonts w:ascii="Georgia" w:hAnsi="Georgia" w:cs="Arial"/>
                <w:sz w:val="20"/>
                <w:szCs w:val="20"/>
                <w:lang w:val="lt-LT"/>
              </w:rPr>
            </w:pPr>
            <w:r w:rsidRPr="009F18F7">
              <w:rPr>
                <w:rFonts w:ascii="Georgia" w:hAnsi="Georgia" w:cs="Arial"/>
                <w:sz w:val="20"/>
                <w:szCs w:val="20"/>
                <w:lang w:val="lt-LT"/>
              </w:rPr>
              <w:t xml:space="preserve">Europos Sąjungos </w:t>
            </w:r>
            <w:r>
              <w:rPr>
                <w:rFonts w:ascii="Georgia" w:hAnsi="Georgia" w:cs="Arial"/>
                <w:sz w:val="20"/>
                <w:szCs w:val="20"/>
                <w:lang w:val="lt-LT"/>
              </w:rPr>
              <w:t>t</w:t>
            </w:r>
            <w:r w:rsidRPr="009F18F7">
              <w:rPr>
                <w:rFonts w:ascii="Georgia" w:hAnsi="Georgia" w:cs="Arial"/>
                <w:sz w:val="20"/>
                <w:szCs w:val="20"/>
                <w:lang w:val="lt-LT"/>
              </w:rPr>
              <w:t>r</w:t>
            </w:r>
            <w:r>
              <w:rPr>
                <w:rFonts w:ascii="Georgia" w:hAnsi="Georgia" w:cs="Arial"/>
                <w:sz w:val="20"/>
                <w:szCs w:val="20"/>
                <w:lang w:val="lt-LT"/>
              </w:rPr>
              <w:t>anseuropinis energetikos tinklas</w:t>
            </w:r>
          </w:p>
        </w:tc>
      </w:tr>
      <w:tr w:rsidR="00E91778" w:rsidRPr="00DF3A8E" w14:paraId="59221BC8" w14:textId="77777777" w:rsidTr="00466A70">
        <w:tc>
          <w:tcPr>
            <w:tcW w:w="826" w:type="pct"/>
          </w:tcPr>
          <w:p w14:paraId="56E6945E" w14:textId="77777777" w:rsidR="00E91778" w:rsidRDefault="00E91778" w:rsidP="001D54C7">
            <w:pPr>
              <w:jc w:val="both"/>
              <w:rPr>
                <w:rFonts w:ascii="Georgia" w:hAnsi="Georgia" w:cs="Arial"/>
                <w:sz w:val="20"/>
                <w:szCs w:val="20"/>
                <w:lang w:val="lt-LT"/>
              </w:rPr>
            </w:pPr>
            <w:r w:rsidRPr="009F18F7">
              <w:rPr>
                <w:rFonts w:ascii="Georgia" w:hAnsi="Georgia" w:cs="Arial"/>
                <w:sz w:val="20"/>
                <w:szCs w:val="20"/>
                <w:lang w:val="lt-LT"/>
              </w:rPr>
              <w:t>TEN-T</w:t>
            </w:r>
          </w:p>
        </w:tc>
        <w:tc>
          <w:tcPr>
            <w:tcW w:w="4174" w:type="pct"/>
          </w:tcPr>
          <w:p w14:paraId="66D6CA77" w14:textId="77777777" w:rsidR="00E91778" w:rsidRDefault="00E91778" w:rsidP="001D54C7">
            <w:pPr>
              <w:jc w:val="both"/>
              <w:rPr>
                <w:rFonts w:ascii="Georgia" w:hAnsi="Georgia" w:cs="Arial"/>
                <w:sz w:val="20"/>
                <w:szCs w:val="20"/>
                <w:lang w:val="lt-LT"/>
              </w:rPr>
            </w:pPr>
            <w:r w:rsidRPr="009F18F7">
              <w:rPr>
                <w:rFonts w:ascii="Georgia" w:hAnsi="Georgia" w:cs="Arial"/>
                <w:sz w:val="20"/>
                <w:szCs w:val="20"/>
                <w:lang w:val="lt-LT"/>
              </w:rPr>
              <w:t>Europos Sąjungos t</w:t>
            </w:r>
            <w:r>
              <w:rPr>
                <w:rFonts w:ascii="Georgia" w:hAnsi="Georgia" w:cs="Arial"/>
                <w:sz w:val="20"/>
                <w:szCs w:val="20"/>
                <w:lang w:val="lt-LT"/>
              </w:rPr>
              <w:t>ranseuropinis transporto tinklas</w:t>
            </w:r>
          </w:p>
        </w:tc>
      </w:tr>
      <w:tr w:rsidR="00E91778" w:rsidRPr="00DF3A8E" w14:paraId="72A46DF2" w14:textId="77777777" w:rsidTr="00466A70">
        <w:tc>
          <w:tcPr>
            <w:tcW w:w="826" w:type="pct"/>
          </w:tcPr>
          <w:p w14:paraId="0C90BEB9" w14:textId="77777777" w:rsidR="00E91778" w:rsidRDefault="00E91778" w:rsidP="001D54C7">
            <w:pPr>
              <w:jc w:val="both"/>
              <w:rPr>
                <w:rFonts w:ascii="Georgia" w:hAnsi="Georgia" w:cs="Times New Roman"/>
                <w:sz w:val="20"/>
                <w:lang w:val="lt-LT"/>
              </w:rPr>
            </w:pPr>
            <w:r>
              <w:rPr>
                <w:rFonts w:ascii="Georgia" w:hAnsi="Georgia" w:cs="Times New Roman"/>
                <w:sz w:val="20"/>
                <w:lang w:val="lt-LT"/>
              </w:rPr>
              <w:lastRenderedPageBreak/>
              <w:t>Viešieji pastatai</w:t>
            </w:r>
          </w:p>
        </w:tc>
        <w:tc>
          <w:tcPr>
            <w:tcW w:w="4174" w:type="pct"/>
          </w:tcPr>
          <w:p w14:paraId="27F16460" w14:textId="77777777" w:rsidR="00E91778" w:rsidRPr="00DF3A8E" w:rsidRDefault="00E91778" w:rsidP="001D54C7">
            <w:pPr>
              <w:spacing w:after="200" w:line="276" w:lineRule="auto"/>
              <w:jc w:val="both"/>
              <w:rPr>
                <w:rFonts w:ascii="Georgia" w:hAnsi="Georgia" w:cs="Times New Roman"/>
                <w:sz w:val="20"/>
                <w:lang w:val="lt-LT"/>
              </w:rPr>
            </w:pPr>
            <w:r>
              <w:rPr>
                <w:rFonts w:ascii="Georgia" w:hAnsi="Georgia" w:cs="Times New Roman"/>
                <w:sz w:val="20"/>
                <w:lang w:val="lt-LT"/>
              </w:rPr>
              <w:t>Centrinės valdžios ir savivaldybių viešieji pastatai bendrai</w:t>
            </w:r>
          </w:p>
        </w:tc>
      </w:tr>
      <w:tr w:rsidR="00E91778" w:rsidRPr="00DF3A8E" w14:paraId="04FC68D6" w14:textId="77777777" w:rsidTr="00466A70">
        <w:tc>
          <w:tcPr>
            <w:tcW w:w="826" w:type="pct"/>
          </w:tcPr>
          <w:p w14:paraId="291ACA29" w14:textId="77777777" w:rsidR="00E91778" w:rsidRPr="00DF3A8E" w:rsidRDefault="00E91778" w:rsidP="001D54C7">
            <w:pPr>
              <w:jc w:val="both"/>
              <w:rPr>
                <w:rFonts w:ascii="Georgia" w:hAnsi="Georgia" w:cs="Times New Roman"/>
                <w:sz w:val="20"/>
                <w:lang w:val="lt-LT"/>
              </w:rPr>
            </w:pPr>
            <w:r>
              <w:rPr>
                <w:rFonts w:ascii="Georgia" w:hAnsi="Georgia" w:cs="Times New Roman"/>
                <w:sz w:val="20"/>
                <w:lang w:val="lt-LT"/>
              </w:rPr>
              <w:t>VIPA</w:t>
            </w:r>
          </w:p>
        </w:tc>
        <w:tc>
          <w:tcPr>
            <w:tcW w:w="4174" w:type="pct"/>
          </w:tcPr>
          <w:p w14:paraId="03CA5A72" w14:textId="77777777" w:rsidR="00E91778" w:rsidRPr="00DF3A8E" w:rsidRDefault="00E91778" w:rsidP="001D54C7">
            <w:pPr>
              <w:spacing w:after="200" w:line="276" w:lineRule="auto"/>
              <w:jc w:val="both"/>
              <w:rPr>
                <w:rFonts w:ascii="Georgia" w:hAnsi="Georgia" w:cs="Times New Roman"/>
                <w:sz w:val="20"/>
                <w:lang w:val="lt-LT"/>
              </w:rPr>
            </w:pPr>
            <w:r>
              <w:rPr>
                <w:rFonts w:ascii="Georgia" w:hAnsi="Georgia" w:cs="Times New Roman"/>
                <w:sz w:val="20"/>
                <w:lang w:val="lt-LT"/>
              </w:rPr>
              <w:t>UAB „Viešųjų investicijų plėtros agentūra“</w:t>
            </w:r>
          </w:p>
        </w:tc>
      </w:tr>
      <w:tr w:rsidR="00E91778" w:rsidRPr="00DF3A8E" w14:paraId="0E324131" w14:textId="77777777" w:rsidTr="00466A70">
        <w:tc>
          <w:tcPr>
            <w:tcW w:w="826" w:type="pct"/>
          </w:tcPr>
          <w:p w14:paraId="624E8DAA" w14:textId="77777777" w:rsidR="00E91778" w:rsidRDefault="00E91778" w:rsidP="001D54C7">
            <w:pPr>
              <w:jc w:val="both"/>
              <w:rPr>
                <w:rFonts w:ascii="Georgia" w:hAnsi="Georgia" w:cs="Arial"/>
                <w:sz w:val="20"/>
                <w:szCs w:val="20"/>
                <w:lang w:val="lt-LT"/>
              </w:rPr>
            </w:pPr>
            <w:r w:rsidRPr="005D2DC0">
              <w:rPr>
                <w:rFonts w:ascii="Georgia" w:hAnsi="Georgia" w:cs="Arial"/>
                <w:sz w:val="20"/>
                <w:szCs w:val="20"/>
                <w:lang w:val="lt-LT"/>
              </w:rPr>
              <w:t>VPSP</w:t>
            </w:r>
          </w:p>
        </w:tc>
        <w:tc>
          <w:tcPr>
            <w:tcW w:w="4174" w:type="pct"/>
          </w:tcPr>
          <w:p w14:paraId="7A9DAE3D" w14:textId="77777777" w:rsidR="00E91778" w:rsidRDefault="00E91778" w:rsidP="001D54C7">
            <w:pPr>
              <w:jc w:val="both"/>
              <w:rPr>
                <w:rFonts w:ascii="Georgia" w:hAnsi="Georgia" w:cs="Arial"/>
                <w:sz w:val="20"/>
                <w:szCs w:val="20"/>
                <w:lang w:val="lt-LT"/>
              </w:rPr>
            </w:pPr>
            <w:r>
              <w:rPr>
                <w:rFonts w:ascii="Georgia" w:hAnsi="Georgia" w:cs="Arial"/>
                <w:sz w:val="20"/>
                <w:szCs w:val="20"/>
                <w:lang w:val="lt-LT"/>
              </w:rPr>
              <w:t>V</w:t>
            </w:r>
            <w:r w:rsidRPr="005D2DC0">
              <w:rPr>
                <w:rFonts w:ascii="Georgia" w:hAnsi="Georgia" w:cs="Arial"/>
                <w:sz w:val="20"/>
                <w:szCs w:val="20"/>
                <w:lang w:val="lt-LT"/>
              </w:rPr>
              <w:t>iešojo i</w:t>
            </w:r>
            <w:r>
              <w:rPr>
                <w:rFonts w:ascii="Georgia" w:hAnsi="Georgia" w:cs="Arial"/>
                <w:sz w:val="20"/>
                <w:szCs w:val="20"/>
                <w:lang w:val="lt-LT"/>
              </w:rPr>
              <w:t>r privataus sektorių partnerystė</w:t>
            </w:r>
          </w:p>
        </w:tc>
      </w:tr>
    </w:tbl>
    <w:p w14:paraId="38FB9EFC" w14:textId="77777777" w:rsidR="00332C26" w:rsidRPr="00DF3A8E" w:rsidRDefault="00332C26">
      <w:pPr>
        <w:rPr>
          <w:rFonts w:asciiTheme="majorHAnsi" w:eastAsiaTheme="majorEastAsia" w:hAnsiTheme="majorHAnsi" w:cstheme="majorBidi"/>
          <w:b/>
          <w:bCs/>
          <w:color w:val="365F91" w:themeColor="accent1" w:themeShade="BF"/>
          <w:sz w:val="28"/>
          <w:szCs w:val="28"/>
          <w:lang w:val="lt-LT"/>
        </w:rPr>
      </w:pPr>
    </w:p>
    <w:p w14:paraId="280F0D81" w14:textId="77777777" w:rsidR="00747655" w:rsidRPr="00DF3A8E" w:rsidRDefault="00747655">
      <w:pPr>
        <w:rPr>
          <w:rFonts w:asciiTheme="majorHAnsi" w:eastAsiaTheme="majorEastAsia" w:hAnsiTheme="majorHAnsi" w:cstheme="majorBidi"/>
          <w:b/>
          <w:bCs/>
          <w:color w:val="365F91" w:themeColor="accent1" w:themeShade="BF"/>
          <w:sz w:val="28"/>
          <w:szCs w:val="28"/>
          <w:lang w:val="lt-LT"/>
        </w:rPr>
      </w:pPr>
      <w:r w:rsidRPr="00DF3A8E">
        <w:rPr>
          <w:lang w:val="lt-LT"/>
        </w:rPr>
        <w:br w:type="page"/>
      </w:r>
    </w:p>
    <w:p w14:paraId="6485CD2D" w14:textId="77777777" w:rsidR="00EE14AD" w:rsidRPr="00DF3A8E" w:rsidRDefault="00EE14AD" w:rsidP="00EE14AD">
      <w:pPr>
        <w:pStyle w:val="Antrat1"/>
        <w:numPr>
          <w:ilvl w:val="0"/>
          <w:numId w:val="1"/>
        </w:numPr>
        <w:rPr>
          <w:lang w:val="lt-LT"/>
        </w:rPr>
      </w:pPr>
      <w:bookmarkStart w:id="6" w:name="_Toc417378356"/>
      <w:r w:rsidRPr="00DF3A8E">
        <w:rPr>
          <w:lang w:val="lt-LT"/>
        </w:rPr>
        <w:lastRenderedPageBreak/>
        <w:t xml:space="preserve">Įžanga – ex ante </w:t>
      </w:r>
      <w:r w:rsidR="004527AD">
        <w:rPr>
          <w:lang w:val="lt-LT"/>
        </w:rPr>
        <w:t>vertinimo</w:t>
      </w:r>
      <w:r w:rsidR="004527AD" w:rsidRPr="00DF3A8E">
        <w:rPr>
          <w:lang w:val="lt-LT"/>
        </w:rPr>
        <w:t xml:space="preserve"> </w:t>
      </w:r>
      <w:r w:rsidRPr="00DF3A8E">
        <w:rPr>
          <w:lang w:val="lt-LT"/>
        </w:rPr>
        <w:t>pagrindimas</w:t>
      </w:r>
      <w:bookmarkEnd w:id="0"/>
      <w:bookmarkEnd w:id="1"/>
      <w:bookmarkEnd w:id="6"/>
    </w:p>
    <w:p w14:paraId="7C1D23D7" w14:textId="77777777" w:rsidR="00EE14AD" w:rsidRPr="00DF3A8E" w:rsidRDefault="00EE14AD" w:rsidP="00EE14AD">
      <w:pPr>
        <w:jc w:val="both"/>
        <w:rPr>
          <w:rFonts w:ascii="Georgia" w:hAnsi="Georgia" w:cs="Times New Roman"/>
          <w:sz w:val="20"/>
          <w:lang w:val="lt-LT"/>
        </w:rPr>
      </w:pPr>
    </w:p>
    <w:p w14:paraId="04F4EFE9" w14:textId="77777777" w:rsidR="004527AD" w:rsidRDefault="00214DC9" w:rsidP="00336C16">
      <w:pPr>
        <w:jc w:val="both"/>
        <w:rPr>
          <w:rFonts w:ascii="Georgia" w:hAnsi="Georgia" w:cs="Times New Roman"/>
          <w:sz w:val="20"/>
          <w:lang w:val="lt-LT"/>
        </w:rPr>
      </w:pPr>
      <w:r>
        <w:rPr>
          <w:rFonts w:ascii="Georgia" w:hAnsi="Georgia" w:cs="Times New Roman"/>
          <w:sz w:val="20"/>
          <w:lang w:val="lt-LT"/>
        </w:rPr>
        <w:t xml:space="preserve">Vienas iš projektų finansavimo būdų ESI fondų lėšomis yra finansinės priemonės, kurios gali būti įgyvendinamos per teikiamas paskolas, garantijas ar kitas rizikos pasidalijimo priemones. </w:t>
      </w:r>
      <w:r w:rsidR="00A90CB3">
        <w:rPr>
          <w:rFonts w:ascii="Georgia" w:hAnsi="Georgia" w:cs="Times New Roman"/>
          <w:sz w:val="20"/>
          <w:lang w:val="lt-LT"/>
        </w:rPr>
        <w:t>Finansinės priemonės yra tvarus finansavimo būdas ilguoju laikotarpiu ir finansinės priemonės tampa vis svarbesnės panaudojant ESI fondų lėšas</w:t>
      </w:r>
      <w:r>
        <w:rPr>
          <w:rFonts w:ascii="Georgia" w:hAnsi="Georgia" w:cs="Times New Roman"/>
          <w:sz w:val="20"/>
          <w:lang w:val="lt-LT"/>
        </w:rPr>
        <w:t>,</w:t>
      </w:r>
      <w:r w:rsidR="00A90CB3">
        <w:rPr>
          <w:rFonts w:ascii="Georgia" w:hAnsi="Georgia" w:cs="Times New Roman"/>
          <w:sz w:val="20"/>
          <w:lang w:val="lt-LT"/>
        </w:rPr>
        <w:t xml:space="preserve"> </w:t>
      </w:r>
      <w:r>
        <w:rPr>
          <w:rFonts w:ascii="Georgia" w:hAnsi="Georgia" w:cs="Times New Roman"/>
          <w:sz w:val="20"/>
          <w:lang w:val="lt-LT"/>
        </w:rPr>
        <w:t>k</w:t>
      </w:r>
      <w:r w:rsidR="00D002D8">
        <w:rPr>
          <w:rFonts w:ascii="Georgia" w:hAnsi="Georgia" w:cs="Times New Roman"/>
          <w:sz w:val="20"/>
          <w:lang w:val="lt-LT"/>
        </w:rPr>
        <w:t>aip tai pažymėta Bendrųjų nuostatų reglamento preambulės (34)-(35) punktuose.</w:t>
      </w:r>
      <w:r w:rsidR="004527AD">
        <w:rPr>
          <w:rFonts w:ascii="Georgia" w:hAnsi="Georgia" w:cs="Times New Roman"/>
          <w:sz w:val="20"/>
          <w:lang w:val="lt-LT"/>
        </w:rPr>
        <w:t xml:space="preserve"> Vadovaujantis Bendrųjų nuostatų reglamento 37.2 punktu, </w:t>
      </w:r>
      <w:r w:rsidR="004527AD" w:rsidRPr="004527AD">
        <w:rPr>
          <w:rFonts w:ascii="Georgia" w:hAnsi="Georgia" w:cs="Times New Roman"/>
          <w:sz w:val="20"/>
          <w:lang w:val="lt-LT"/>
        </w:rPr>
        <w:t>finansinių</w:t>
      </w:r>
      <w:r w:rsidR="004527AD">
        <w:rPr>
          <w:rFonts w:ascii="Georgia" w:hAnsi="Georgia" w:cs="Times New Roman"/>
          <w:sz w:val="20"/>
          <w:lang w:val="lt-LT"/>
        </w:rPr>
        <w:t xml:space="preserve"> priemonių parama grindžiama ex </w:t>
      </w:r>
      <w:r w:rsidR="004527AD" w:rsidRPr="004527AD">
        <w:rPr>
          <w:rFonts w:ascii="Georgia" w:hAnsi="Georgia" w:cs="Times New Roman"/>
          <w:sz w:val="20"/>
          <w:lang w:val="lt-LT"/>
        </w:rPr>
        <w:t xml:space="preserve">ante vertinimu, kurį atliekant turi būti nustatyti rinkos trūkumai arba </w:t>
      </w:r>
      <w:r w:rsidR="008330A3">
        <w:rPr>
          <w:rFonts w:ascii="Georgia" w:hAnsi="Georgia" w:cs="Times New Roman"/>
          <w:sz w:val="20"/>
          <w:lang w:val="lt-LT"/>
        </w:rPr>
        <w:t>ne</w:t>
      </w:r>
      <w:r w:rsidR="004527AD" w:rsidRPr="004527AD">
        <w:rPr>
          <w:rFonts w:ascii="Georgia" w:hAnsi="Georgia" w:cs="Times New Roman"/>
          <w:sz w:val="20"/>
          <w:lang w:val="lt-LT"/>
        </w:rPr>
        <w:t>optimalios investavimo situacijos, apskaičiuotas investicijų poreiki</w:t>
      </w:r>
      <w:r w:rsidR="008330A3">
        <w:rPr>
          <w:rFonts w:ascii="Georgia" w:hAnsi="Georgia" w:cs="Times New Roman"/>
          <w:sz w:val="20"/>
          <w:lang w:val="lt-LT"/>
        </w:rPr>
        <w:t>o mastas</w:t>
      </w:r>
      <w:r w:rsidR="004527AD" w:rsidRPr="004527AD">
        <w:rPr>
          <w:rFonts w:ascii="Georgia" w:hAnsi="Georgia" w:cs="Times New Roman"/>
          <w:sz w:val="20"/>
          <w:lang w:val="lt-LT"/>
        </w:rPr>
        <w:t xml:space="preserve">, </w:t>
      </w:r>
      <w:r w:rsidR="0084246B" w:rsidRPr="0084246B">
        <w:rPr>
          <w:rFonts w:ascii="Georgia" w:hAnsi="Georgia" w:cs="Times New Roman"/>
          <w:sz w:val="20"/>
          <w:lang w:val="lt-LT"/>
        </w:rPr>
        <w:t>įvertintas poreikis reikiamas investicijas finansuoti finansin</w:t>
      </w:r>
      <w:r w:rsidR="0084246B">
        <w:rPr>
          <w:rFonts w:ascii="Georgia" w:hAnsi="Georgia" w:cs="Times New Roman"/>
          <w:sz w:val="20"/>
          <w:lang w:val="lt-LT"/>
        </w:rPr>
        <w:t xml:space="preserve">ių </w:t>
      </w:r>
      <w:r w:rsidR="0084246B" w:rsidRPr="0084246B">
        <w:rPr>
          <w:rFonts w:ascii="Georgia" w:hAnsi="Georgia" w:cs="Times New Roman"/>
          <w:sz w:val="20"/>
          <w:lang w:val="lt-LT"/>
        </w:rPr>
        <w:t>priemon</w:t>
      </w:r>
      <w:r w:rsidR="0084246B">
        <w:rPr>
          <w:rFonts w:ascii="Georgia" w:hAnsi="Georgia" w:cs="Times New Roman"/>
          <w:sz w:val="20"/>
          <w:lang w:val="lt-LT"/>
        </w:rPr>
        <w:t>ių pagalba</w:t>
      </w:r>
      <w:r w:rsidR="004527AD" w:rsidRPr="004527AD">
        <w:rPr>
          <w:rFonts w:ascii="Georgia" w:hAnsi="Georgia" w:cs="Times New Roman"/>
          <w:sz w:val="20"/>
          <w:lang w:val="lt-LT"/>
        </w:rPr>
        <w:t xml:space="preserve">. Nustačius poreikį steigti finansines priemones, turi būti pasiūlyti </w:t>
      </w:r>
      <w:r w:rsidR="008330A3">
        <w:rPr>
          <w:rFonts w:ascii="Georgia" w:hAnsi="Georgia" w:cs="Times New Roman"/>
          <w:sz w:val="20"/>
          <w:lang w:val="lt-LT"/>
        </w:rPr>
        <w:t>efektyviausi</w:t>
      </w:r>
      <w:r w:rsidR="004527AD" w:rsidRPr="004527AD">
        <w:rPr>
          <w:rFonts w:ascii="Georgia" w:hAnsi="Georgia" w:cs="Times New Roman"/>
          <w:sz w:val="20"/>
          <w:lang w:val="lt-LT"/>
        </w:rPr>
        <w:t xml:space="preserve"> finansinių priemonių tipai, jų valdymo struktūra, investavimo strategija. Ex</w:t>
      </w:r>
      <w:r w:rsidR="004527AD">
        <w:rPr>
          <w:rFonts w:ascii="Georgia" w:hAnsi="Georgia" w:cs="Times New Roman"/>
          <w:sz w:val="20"/>
          <w:lang w:val="lt-LT"/>
        </w:rPr>
        <w:t xml:space="preserve"> </w:t>
      </w:r>
      <w:r w:rsidR="004527AD" w:rsidRPr="004527AD">
        <w:rPr>
          <w:rFonts w:ascii="Georgia" w:hAnsi="Georgia" w:cs="Times New Roman"/>
          <w:sz w:val="20"/>
          <w:lang w:val="lt-LT"/>
        </w:rPr>
        <w:t>ante vertinimas turi būti baigtas iki vadovaujančiajai institucijai priimant sprendimą dėl įnaš</w:t>
      </w:r>
      <w:r w:rsidR="008330A3">
        <w:rPr>
          <w:rFonts w:ascii="Georgia" w:hAnsi="Georgia" w:cs="Times New Roman"/>
          <w:sz w:val="20"/>
          <w:lang w:val="lt-LT"/>
        </w:rPr>
        <w:t>o</w:t>
      </w:r>
      <w:r w:rsidR="004527AD" w:rsidRPr="004527AD">
        <w:rPr>
          <w:rFonts w:ascii="Georgia" w:hAnsi="Georgia" w:cs="Times New Roman"/>
          <w:sz w:val="20"/>
          <w:lang w:val="lt-LT"/>
        </w:rPr>
        <w:t xml:space="preserve"> </w:t>
      </w:r>
      <w:r w:rsidR="008330A3" w:rsidRPr="004527AD">
        <w:rPr>
          <w:rFonts w:ascii="Georgia" w:hAnsi="Georgia" w:cs="Times New Roman"/>
          <w:sz w:val="20"/>
          <w:lang w:val="lt-LT"/>
        </w:rPr>
        <w:t xml:space="preserve">skyrimo finansinei priemonei </w:t>
      </w:r>
      <w:r w:rsidR="004527AD" w:rsidRPr="004527AD">
        <w:rPr>
          <w:rFonts w:ascii="Georgia" w:hAnsi="Georgia" w:cs="Times New Roman"/>
          <w:sz w:val="20"/>
          <w:lang w:val="lt-LT"/>
        </w:rPr>
        <w:t xml:space="preserve">pagal </w:t>
      </w:r>
      <w:r w:rsidR="008330A3">
        <w:rPr>
          <w:rFonts w:ascii="Georgia" w:hAnsi="Georgia" w:cs="Times New Roman"/>
          <w:sz w:val="20"/>
          <w:lang w:val="lt-LT"/>
        </w:rPr>
        <w:t xml:space="preserve">2014-2020 m. veiksmų </w:t>
      </w:r>
      <w:r w:rsidR="004527AD" w:rsidRPr="004527AD">
        <w:rPr>
          <w:rFonts w:ascii="Georgia" w:hAnsi="Georgia" w:cs="Times New Roman"/>
          <w:sz w:val="20"/>
          <w:lang w:val="lt-LT"/>
        </w:rPr>
        <w:t>programą.</w:t>
      </w:r>
    </w:p>
    <w:p w14:paraId="43A47A69" w14:textId="77777777" w:rsidR="004527AD" w:rsidRDefault="006D7DCC" w:rsidP="00336C16">
      <w:pPr>
        <w:jc w:val="both"/>
        <w:rPr>
          <w:rFonts w:ascii="Georgia" w:hAnsi="Georgia" w:cs="Times New Roman"/>
          <w:sz w:val="20"/>
          <w:lang w:val="lt-LT"/>
        </w:rPr>
      </w:pPr>
      <w:r>
        <w:rPr>
          <w:rFonts w:ascii="Georgia" w:hAnsi="Georgia" w:cs="Times New Roman"/>
          <w:sz w:val="20"/>
          <w:lang w:val="lt-LT"/>
        </w:rPr>
        <w:t>EIB</w:t>
      </w:r>
      <w:r w:rsidR="004527AD">
        <w:rPr>
          <w:rFonts w:ascii="Georgia" w:hAnsi="Georgia" w:cs="Times New Roman"/>
          <w:sz w:val="20"/>
          <w:lang w:val="lt-LT"/>
        </w:rPr>
        <w:t xml:space="preserve"> užsakymu 2013-2014 m. buvo atliekama PwC studija, kuria buvo siekiama įvertinti JESSICA KF tęstinumą </w:t>
      </w:r>
      <w:r w:rsidR="005606CE">
        <w:rPr>
          <w:rFonts w:ascii="Georgia" w:hAnsi="Georgia" w:cs="Times New Roman"/>
          <w:sz w:val="20"/>
          <w:lang w:val="lt-LT"/>
        </w:rPr>
        <w:t>2014-2020 m. periodu,</w:t>
      </w:r>
      <w:r w:rsidR="004527AD">
        <w:rPr>
          <w:rFonts w:ascii="Georgia" w:hAnsi="Georgia" w:cs="Times New Roman"/>
          <w:sz w:val="20"/>
          <w:lang w:val="lt-LT"/>
        </w:rPr>
        <w:t xml:space="preserve"> išanalizuoti potencialius ūkio sektorius finansinių priemonių taikymui</w:t>
      </w:r>
      <w:r w:rsidR="005606CE">
        <w:rPr>
          <w:rFonts w:ascii="Georgia" w:hAnsi="Georgia" w:cs="Times New Roman"/>
          <w:sz w:val="20"/>
          <w:lang w:val="lt-LT"/>
        </w:rPr>
        <w:t xml:space="preserve"> bei atlikti pilotinį ex ante vertinimą daugiabučių, viešųjų pastatų ir gatvių apšvietimo modernizavimo sritims</w:t>
      </w:r>
      <w:r w:rsidR="004527AD">
        <w:rPr>
          <w:rFonts w:ascii="Georgia" w:hAnsi="Georgia" w:cs="Times New Roman"/>
          <w:sz w:val="20"/>
          <w:lang w:val="lt-LT"/>
        </w:rPr>
        <w:t xml:space="preserve">. Atsižvelgiant į tai, kad PwC studija buvo atlikta iki Bendrųjų nuostatų reglamento patvirtinimo, kuris apibrėžia ex ante vertinimo turinį, </w:t>
      </w:r>
      <w:r w:rsidR="005606CE">
        <w:rPr>
          <w:rFonts w:ascii="Georgia" w:hAnsi="Georgia" w:cs="Times New Roman"/>
          <w:sz w:val="20"/>
          <w:lang w:val="lt-LT"/>
        </w:rPr>
        <w:t xml:space="preserve">PwC studijoje atliktas pilotinis ex ante vertinimas </w:t>
      </w:r>
      <w:r w:rsidR="004B5E13">
        <w:rPr>
          <w:rFonts w:ascii="Georgia" w:hAnsi="Georgia" w:cs="Times New Roman"/>
          <w:sz w:val="20"/>
          <w:lang w:val="lt-LT"/>
        </w:rPr>
        <w:t>apėmė ne vis</w:t>
      </w:r>
      <w:r w:rsidR="008330A3">
        <w:rPr>
          <w:rFonts w:ascii="Georgia" w:hAnsi="Georgia" w:cs="Times New Roman"/>
          <w:sz w:val="20"/>
          <w:lang w:val="lt-LT"/>
        </w:rPr>
        <w:t>us būtinu</w:t>
      </w:r>
      <w:r w:rsidR="004B5E13">
        <w:rPr>
          <w:rFonts w:ascii="Georgia" w:hAnsi="Georgia" w:cs="Times New Roman"/>
          <w:sz w:val="20"/>
          <w:lang w:val="lt-LT"/>
        </w:rPr>
        <w:t xml:space="preserve">s </w:t>
      </w:r>
      <w:r w:rsidR="008330A3">
        <w:rPr>
          <w:rFonts w:ascii="Georgia" w:hAnsi="Georgia" w:cs="Times New Roman"/>
          <w:sz w:val="20"/>
          <w:lang w:val="lt-LT"/>
        </w:rPr>
        <w:t>aspektus</w:t>
      </w:r>
      <w:r w:rsidR="005606CE">
        <w:rPr>
          <w:rFonts w:ascii="Georgia" w:hAnsi="Georgia" w:cs="Times New Roman"/>
          <w:sz w:val="20"/>
          <w:lang w:val="lt-LT"/>
        </w:rPr>
        <w:t xml:space="preserve">. </w:t>
      </w:r>
    </w:p>
    <w:p w14:paraId="17F8F3E6" w14:textId="77777777" w:rsidR="008330A3" w:rsidRDefault="004527AD" w:rsidP="00C86588">
      <w:pPr>
        <w:jc w:val="both"/>
        <w:rPr>
          <w:rFonts w:ascii="Georgia" w:hAnsi="Georgia" w:cs="Times New Roman"/>
          <w:sz w:val="20"/>
          <w:lang w:val="lt-LT"/>
        </w:rPr>
      </w:pPr>
      <w:r>
        <w:rPr>
          <w:rFonts w:ascii="Georgia" w:hAnsi="Georgia" w:cs="Times New Roman"/>
          <w:sz w:val="20"/>
          <w:lang w:val="lt-LT"/>
        </w:rPr>
        <w:t>Atsižvelg</w:t>
      </w:r>
      <w:r w:rsidR="005606CE">
        <w:rPr>
          <w:rFonts w:ascii="Georgia" w:hAnsi="Georgia" w:cs="Times New Roman"/>
          <w:sz w:val="20"/>
          <w:lang w:val="lt-LT"/>
        </w:rPr>
        <w:t>dama</w:t>
      </w:r>
      <w:r>
        <w:rPr>
          <w:rFonts w:ascii="Georgia" w:hAnsi="Georgia" w:cs="Times New Roman"/>
          <w:sz w:val="20"/>
          <w:lang w:val="lt-LT"/>
        </w:rPr>
        <w:t xml:space="preserve"> į teisinį reglamentavimą</w:t>
      </w:r>
      <w:r w:rsidR="005606CE">
        <w:rPr>
          <w:rFonts w:ascii="Georgia" w:hAnsi="Georgia" w:cs="Times New Roman"/>
          <w:sz w:val="20"/>
          <w:lang w:val="lt-LT"/>
        </w:rPr>
        <w:t xml:space="preserve"> bei poreikį papildyti PwC studijoje atliktą pilotinį ex ante vertinimą</w:t>
      </w:r>
      <w:r>
        <w:rPr>
          <w:rFonts w:ascii="Georgia" w:hAnsi="Georgia" w:cs="Times New Roman"/>
          <w:sz w:val="20"/>
          <w:lang w:val="lt-LT"/>
        </w:rPr>
        <w:t xml:space="preserve">, </w:t>
      </w:r>
      <w:r w:rsidR="005606CE">
        <w:rPr>
          <w:rFonts w:ascii="Georgia" w:hAnsi="Georgia" w:cs="Times New Roman"/>
          <w:sz w:val="20"/>
          <w:lang w:val="lt-LT"/>
        </w:rPr>
        <w:t xml:space="preserve">taip pat </w:t>
      </w:r>
      <w:r w:rsidRPr="004527AD">
        <w:rPr>
          <w:rFonts w:ascii="Georgia" w:hAnsi="Georgia" w:cs="Times New Roman"/>
          <w:sz w:val="20"/>
          <w:lang w:val="lt-LT"/>
        </w:rPr>
        <w:t>vykdydama ES</w:t>
      </w:r>
      <w:r w:rsidR="005606CE">
        <w:rPr>
          <w:rFonts w:ascii="Georgia" w:hAnsi="Georgia" w:cs="Times New Roman"/>
          <w:sz w:val="20"/>
          <w:lang w:val="lt-LT"/>
        </w:rPr>
        <w:t>I</w:t>
      </w:r>
      <w:r w:rsidRPr="004527AD">
        <w:rPr>
          <w:rFonts w:ascii="Georgia" w:hAnsi="Georgia" w:cs="Times New Roman"/>
          <w:sz w:val="20"/>
          <w:lang w:val="lt-LT"/>
        </w:rPr>
        <w:t xml:space="preserve"> fondų vadovaujančiosios institucijos funkcijas bei siekdama užtikrinti efektyvų </w:t>
      </w:r>
      <w:r w:rsidR="005606CE">
        <w:rPr>
          <w:rFonts w:ascii="Georgia" w:hAnsi="Georgia" w:cs="Times New Roman"/>
          <w:sz w:val="20"/>
          <w:lang w:val="lt-LT"/>
        </w:rPr>
        <w:t>ESI fondų</w:t>
      </w:r>
      <w:r w:rsidRPr="004527AD">
        <w:rPr>
          <w:rFonts w:ascii="Georgia" w:hAnsi="Georgia" w:cs="Times New Roman"/>
          <w:sz w:val="20"/>
          <w:lang w:val="lt-LT"/>
        </w:rPr>
        <w:t xml:space="preserve"> p</w:t>
      </w:r>
      <w:r w:rsidR="00214DC9">
        <w:rPr>
          <w:rFonts w:ascii="Georgia" w:hAnsi="Georgia" w:cs="Times New Roman"/>
          <w:sz w:val="20"/>
          <w:lang w:val="lt-LT"/>
        </w:rPr>
        <w:t>anaudojimą, Finansų ministerija</w:t>
      </w:r>
      <w:r w:rsidRPr="004527AD">
        <w:rPr>
          <w:rFonts w:ascii="Georgia" w:hAnsi="Georgia" w:cs="Times New Roman"/>
          <w:sz w:val="20"/>
          <w:lang w:val="lt-LT"/>
        </w:rPr>
        <w:t xml:space="preserve"> inicijavo Viešosios infrastruktūros</w:t>
      </w:r>
      <w:r w:rsidR="005606CE">
        <w:rPr>
          <w:rFonts w:ascii="Georgia" w:hAnsi="Georgia" w:cs="Times New Roman"/>
          <w:sz w:val="20"/>
          <w:lang w:val="lt-LT"/>
        </w:rPr>
        <w:t xml:space="preserve"> ir Energijos efektyvumo ex ante vertinimus</w:t>
      </w:r>
      <w:r w:rsidR="00214DC9">
        <w:rPr>
          <w:rStyle w:val="Puslapioinaosnuoroda"/>
          <w:rFonts w:ascii="Georgia" w:hAnsi="Georgia" w:cs="Times New Roman"/>
          <w:sz w:val="20"/>
          <w:lang w:val="lt-LT"/>
        </w:rPr>
        <w:footnoteReference w:id="2"/>
      </w:r>
      <w:r w:rsidR="005606CE">
        <w:rPr>
          <w:rFonts w:ascii="Georgia" w:hAnsi="Georgia" w:cs="Times New Roman"/>
          <w:sz w:val="20"/>
          <w:lang w:val="lt-LT"/>
        </w:rPr>
        <w:t xml:space="preserve">. Viešosios infrastruktūros ex ante vertinimas apima įvairius viešosios infrastruktūros sektorius, tokius kaip aplinkosaugos, vandentvarkos, energetikos, transporto, švietimo, kultūros bei socialinius sektorius. Viešosios infrastruktūros ex ante vertinime energetikos srityje nagrinėjamos </w:t>
      </w:r>
      <w:r w:rsidR="00BC232B">
        <w:rPr>
          <w:rFonts w:ascii="Georgia" w:hAnsi="Georgia" w:cs="Times New Roman"/>
          <w:sz w:val="20"/>
          <w:lang w:val="lt-LT"/>
        </w:rPr>
        <w:t xml:space="preserve">šilumos tinklų, elektros tinklų, dujų tinklų ir atsinaujinančių energijos išteklių </w:t>
      </w:r>
      <w:r w:rsidR="005606CE">
        <w:rPr>
          <w:rFonts w:ascii="Georgia" w:hAnsi="Georgia" w:cs="Times New Roman"/>
          <w:sz w:val="20"/>
          <w:lang w:val="lt-LT"/>
        </w:rPr>
        <w:t>sritys</w:t>
      </w:r>
      <w:r w:rsidR="00342BFB">
        <w:rPr>
          <w:rFonts w:ascii="Georgia" w:hAnsi="Georgia" w:cs="Times New Roman"/>
          <w:sz w:val="20"/>
          <w:lang w:val="lt-LT"/>
        </w:rPr>
        <w:t>.</w:t>
      </w:r>
      <w:r w:rsidR="00BC232B">
        <w:rPr>
          <w:rFonts w:ascii="Georgia" w:hAnsi="Georgia" w:cs="Times New Roman"/>
          <w:sz w:val="20"/>
          <w:lang w:val="lt-LT"/>
        </w:rPr>
        <w:t xml:space="preserve"> </w:t>
      </w:r>
    </w:p>
    <w:p w14:paraId="44B18BA8" w14:textId="77777777" w:rsidR="00336C16" w:rsidRDefault="00342BFB" w:rsidP="00C86588">
      <w:pPr>
        <w:jc w:val="both"/>
        <w:rPr>
          <w:rFonts w:ascii="Georgia" w:hAnsi="Georgia" w:cs="Times New Roman"/>
          <w:sz w:val="20"/>
          <w:lang w:val="lt-LT"/>
        </w:rPr>
      </w:pPr>
      <w:r>
        <w:rPr>
          <w:rFonts w:ascii="Georgia" w:hAnsi="Georgia" w:cs="Times New Roman"/>
          <w:sz w:val="20"/>
          <w:lang w:val="lt-LT"/>
        </w:rPr>
        <w:t>Ši</w:t>
      </w:r>
      <w:r w:rsidR="008330A3">
        <w:rPr>
          <w:rFonts w:ascii="Georgia" w:hAnsi="Georgia" w:cs="Times New Roman"/>
          <w:sz w:val="20"/>
          <w:lang w:val="lt-LT"/>
        </w:rPr>
        <w:t>s</w:t>
      </w:r>
      <w:r>
        <w:rPr>
          <w:rFonts w:ascii="Georgia" w:hAnsi="Georgia" w:cs="Times New Roman"/>
          <w:sz w:val="20"/>
          <w:lang w:val="lt-LT"/>
        </w:rPr>
        <w:t xml:space="preserve"> </w:t>
      </w:r>
      <w:r w:rsidR="00336C16">
        <w:rPr>
          <w:rFonts w:ascii="Georgia" w:hAnsi="Georgia" w:cs="Times New Roman"/>
          <w:sz w:val="20"/>
          <w:lang w:val="lt-LT"/>
        </w:rPr>
        <w:t xml:space="preserve">Energijos vartojimo efektyvumo ex ante </w:t>
      </w:r>
      <w:r w:rsidR="008330A3">
        <w:rPr>
          <w:rFonts w:ascii="Georgia" w:hAnsi="Georgia" w:cs="Times New Roman"/>
          <w:sz w:val="20"/>
          <w:lang w:val="lt-LT"/>
        </w:rPr>
        <w:t>vertinimas</w:t>
      </w:r>
      <w:r w:rsidR="00336C16">
        <w:rPr>
          <w:rFonts w:ascii="Georgia" w:hAnsi="Georgia" w:cs="Times New Roman"/>
          <w:sz w:val="20"/>
          <w:lang w:val="lt-LT"/>
        </w:rPr>
        <w:t xml:space="preserve"> apima daugiabučių namų modernizavim</w:t>
      </w:r>
      <w:r w:rsidR="00A67DBD">
        <w:rPr>
          <w:rFonts w:ascii="Georgia" w:hAnsi="Georgia" w:cs="Times New Roman"/>
          <w:sz w:val="20"/>
          <w:lang w:val="lt-LT"/>
        </w:rPr>
        <w:t>ą</w:t>
      </w:r>
      <w:r w:rsidR="00336C16">
        <w:rPr>
          <w:rFonts w:ascii="Georgia" w:hAnsi="Georgia" w:cs="Times New Roman"/>
          <w:sz w:val="20"/>
          <w:lang w:val="lt-LT"/>
        </w:rPr>
        <w:t xml:space="preserve">, </w:t>
      </w:r>
      <w:r w:rsidR="006D41CA">
        <w:rPr>
          <w:rFonts w:ascii="Georgia" w:hAnsi="Georgia" w:cs="Times New Roman"/>
          <w:sz w:val="20"/>
          <w:lang w:val="lt-LT"/>
        </w:rPr>
        <w:t>centrinės valdžios</w:t>
      </w:r>
      <w:r w:rsidR="00A67DBD">
        <w:rPr>
          <w:rFonts w:ascii="Georgia" w:hAnsi="Georgia" w:cs="Times New Roman"/>
          <w:sz w:val="20"/>
          <w:lang w:val="lt-LT"/>
        </w:rPr>
        <w:t xml:space="preserve"> pastatų modernizavimą, gatvių apšvietimo modernizavimą</w:t>
      </w:r>
      <w:r w:rsidR="00336C16">
        <w:rPr>
          <w:rFonts w:ascii="Georgia" w:hAnsi="Georgia" w:cs="Times New Roman"/>
          <w:sz w:val="20"/>
          <w:lang w:val="lt-LT"/>
        </w:rPr>
        <w:t xml:space="preserve"> ir </w:t>
      </w:r>
      <w:r w:rsidR="006D41CA">
        <w:rPr>
          <w:rFonts w:ascii="Georgia" w:hAnsi="Georgia" w:cs="Times New Roman"/>
          <w:sz w:val="20"/>
          <w:lang w:val="lt-LT"/>
        </w:rPr>
        <w:t xml:space="preserve">savivaldybių </w:t>
      </w:r>
      <w:r w:rsidR="00336C16">
        <w:rPr>
          <w:rFonts w:ascii="Georgia" w:hAnsi="Georgia" w:cs="Times New Roman"/>
          <w:sz w:val="20"/>
          <w:lang w:val="lt-LT"/>
        </w:rPr>
        <w:t>viešųjų pastatų modernizavim</w:t>
      </w:r>
      <w:r w:rsidR="00A67DBD">
        <w:rPr>
          <w:rFonts w:ascii="Georgia" w:hAnsi="Georgia" w:cs="Times New Roman"/>
          <w:sz w:val="20"/>
          <w:lang w:val="lt-LT"/>
        </w:rPr>
        <w:t>ą</w:t>
      </w:r>
      <w:r w:rsidR="00336C16">
        <w:rPr>
          <w:rFonts w:ascii="Georgia" w:hAnsi="Georgia" w:cs="Times New Roman"/>
          <w:sz w:val="20"/>
          <w:lang w:val="lt-LT"/>
        </w:rPr>
        <w:t>. Analizės metu siekiama įvertinti įvairius finansavimo modelius ir finansavimo sąlygas, įvairių tipų finansines priemones</w:t>
      </w:r>
      <w:r w:rsidR="00A67DBD">
        <w:rPr>
          <w:rFonts w:ascii="Georgia" w:hAnsi="Georgia" w:cs="Times New Roman"/>
          <w:sz w:val="20"/>
          <w:lang w:val="lt-LT"/>
        </w:rPr>
        <w:t>,</w:t>
      </w:r>
      <w:r w:rsidR="00336C16">
        <w:rPr>
          <w:rFonts w:ascii="Georgia" w:hAnsi="Georgia" w:cs="Times New Roman"/>
          <w:sz w:val="20"/>
          <w:lang w:val="lt-LT"/>
        </w:rPr>
        <w:t xml:space="preserve"> jų administravimo tvark</w:t>
      </w:r>
      <w:r w:rsidR="00A67DBD">
        <w:rPr>
          <w:rFonts w:ascii="Georgia" w:hAnsi="Georgia" w:cs="Times New Roman"/>
          <w:sz w:val="20"/>
          <w:lang w:val="lt-LT"/>
        </w:rPr>
        <w:t xml:space="preserve">ą bei </w:t>
      </w:r>
      <w:r w:rsidR="00336C16">
        <w:rPr>
          <w:rFonts w:ascii="Georgia" w:hAnsi="Georgia" w:cs="Times New Roman"/>
          <w:sz w:val="20"/>
          <w:lang w:val="lt-LT"/>
        </w:rPr>
        <w:t>galimybes pritraukti privačius išteklius. Atsižvelgiant į visus šiuos aspektus siekia</w:t>
      </w:r>
      <w:r w:rsidR="001F5C99">
        <w:rPr>
          <w:rFonts w:ascii="Georgia" w:hAnsi="Georgia" w:cs="Times New Roman"/>
          <w:sz w:val="20"/>
          <w:lang w:val="lt-LT"/>
        </w:rPr>
        <w:t xml:space="preserve">ma pasiūlyti </w:t>
      </w:r>
      <w:r w:rsidR="006D41CA">
        <w:rPr>
          <w:rFonts w:ascii="Georgia" w:hAnsi="Georgia" w:cs="Times New Roman"/>
          <w:sz w:val="20"/>
          <w:lang w:val="lt-LT"/>
        </w:rPr>
        <w:t xml:space="preserve">optimaliausius </w:t>
      </w:r>
      <w:r w:rsidR="001F5C99">
        <w:rPr>
          <w:rFonts w:ascii="Georgia" w:hAnsi="Georgia" w:cs="Times New Roman"/>
          <w:sz w:val="20"/>
          <w:lang w:val="lt-LT"/>
        </w:rPr>
        <w:t>ESI</w:t>
      </w:r>
      <w:r w:rsidR="00336C16">
        <w:rPr>
          <w:rFonts w:ascii="Georgia" w:hAnsi="Georgia" w:cs="Times New Roman"/>
          <w:sz w:val="20"/>
          <w:lang w:val="lt-LT"/>
        </w:rPr>
        <w:t xml:space="preserve"> fondų </w:t>
      </w:r>
      <w:r w:rsidR="006D41CA">
        <w:rPr>
          <w:rFonts w:ascii="Georgia" w:hAnsi="Georgia" w:cs="Times New Roman"/>
          <w:sz w:val="20"/>
          <w:lang w:val="lt-LT"/>
        </w:rPr>
        <w:t>panaudojimo būdus</w:t>
      </w:r>
      <w:r w:rsidR="00A67DBD">
        <w:rPr>
          <w:rFonts w:ascii="Georgia" w:hAnsi="Georgia" w:cs="Times New Roman"/>
          <w:sz w:val="20"/>
          <w:lang w:val="lt-LT"/>
        </w:rPr>
        <w:t xml:space="preserve"> įgyvendinant finansines priemones</w:t>
      </w:r>
      <w:r w:rsidR="00336C16">
        <w:rPr>
          <w:rFonts w:ascii="Georgia" w:hAnsi="Georgia" w:cs="Times New Roman"/>
          <w:sz w:val="20"/>
          <w:lang w:val="lt-LT"/>
        </w:rPr>
        <w:t xml:space="preserve">. </w:t>
      </w:r>
    </w:p>
    <w:p w14:paraId="6A478259" w14:textId="77777777" w:rsidR="00A67DBD" w:rsidRDefault="008330A3" w:rsidP="008330A3">
      <w:pPr>
        <w:jc w:val="both"/>
        <w:rPr>
          <w:rFonts w:ascii="Georgia" w:hAnsi="Georgia" w:cs="Times New Roman"/>
          <w:sz w:val="20"/>
          <w:lang w:val="lt-LT"/>
        </w:rPr>
      </w:pPr>
      <w:bookmarkStart w:id="7" w:name="_Toc393381197"/>
      <w:r>
        <w:rPr>
          <w:rFonts w:ascii="Georgia" w:hAnsi="Georgia" w:cs="Times New Roman"/>
          <w:sz w:val="20"/>
          <w:lang w:val="lt-LT"/>
        </w:rPr>
        <w:t>Šis</w:t>
      </w:r>
      <w:r w:rsidR="00DA40CC" w:rsidRPr="008330A3">
        <w:rPr>
          <w:rFonts w:ascii="Georgia" w:hAnsi="Georgia" w:cs="Times New Roman"/>
          <w:sz w:val="20"/>
          <w:lang w:val="lt-LT"/>
        </w:rPr>
        <w:t xml:space="preserve"> ex ante vertinimas parengtas vadovaujantis Bendrųjų nuostatų reglamento </w:t>
      </w:r>
      <w:r w:rsidR="00D002D8" w:rsidRPr="008330A3">
        <w:rPr>
          <w:rFonts w:ascii="Georgia" w:hAnsi="Georgia" w:cs="Times New Roman"/>
          <w:sz w:val="20"/>
          <w:lang w:val="lt-LT"/>
        </w:rPr>
        <w:t>37.2 dalyje</w:t>
      </w:r>
      <w:r>
        <w:rPr>
          <w:rFonts w:ascii="Georgia" w:hAnsi="Georgia" w:cs="Times New Roman"/>
          <w:sz w:val="20"/>
          <w:lang w:val="lt-LT"/>
        </w:rPr>
        <w:t xml:space="preserve"> apibrėžtais reikalavimais ex ante vertinimui, </w:t>
      </w:r>
      <w:r w:rsidR="00D002D8" w:rsidRPr="008330A3">
        <w:rPr>
          <w:rFonts w:ascii="Georgia" w:hAnsi="Georgia" w:cs="Times New Roman"/>
          <w:sz w:val="20"/>
          <w:lang w:val="lt-LT"/>
        </w:rPr>
        <w:t xml:space="preserve">bei vadovaujantis ex ante </w:t>
      </w:r>
      <w:r>
        <w:rPr>
          <w:rFonts w:ascii="Georgia" w:hAnsi="Georgia" w:cs="Times New Roman"/>
          <w:sz w:val="20"/>
          <w:lang w:val="lt-LT"/>
        </w:rPr>
        <w:t>vertinimo</w:t>
      </w:r>
      <w:r w:rsidR="00D002D8" w:rsidRPr="008330A3">
        <w:rPr>
          <w:rFonts w:ascii="Georgia" w:hAnsi="Georgia" w:cs="Times New Roman"/>
          <w:sz w:val="20"/>
          <w:lang w:val="lt-LT"/>
        </w:rPr>
        <w:t xml:space="preserve"> metodo</w:t>
      </w:r>
      <w:r w:rsidR="0084246B">
        <w:rPr>
          <w:rFonts w:ascii="Georgia" w:hAnsi="Georgia" w:cs="Times New Roman"/>
          <w:sz w:val="20"/>
          <w:lang w:val="lt-LT"/>
        </w:rPr>
        <w:t>lo</w:t>
      </w:r>
      <w:r w:rsidR="00D002D8" w:rsidRPr="008330A3">
        <w:rPr>
          <w:rFonts w:ascii="Georgia" w:hAnsi="Georgia" w:cs="Times New Roman"/>
          <w:sz w:val="20"/>
          <w:lang w:val="lt-LT"/>
        </w:rPr>
        <w:t xml:space="preserve">gija. </w:t>
      </w:r>
    </w:p>
    <w:p w14:paraId="546073C3" w14:textId="77777777" w:rsidR="008330A3" w:rsidRPr="008330A3" w:rsidRDefault="008330A3" w:rsidP="008330A3">
      <w:pPr>
        <w:jc w:val="both"/>
        <w:rPr>
          <w:rFonts w:ascii="Georgia" w:hAnsi="Georgia" w:cs="Times New Roman"/>
          <w:sz w:val="20"/>
          <w:lang w:val="lt-LT"/>
        </w:rPr>
      </w:pPr>
    </w:p>
    <w:p w14:paraId="1345DB1B" w14:textId="77777777" w:rsidR="00485E21" w:rsidRDefault="00485E21">
      <w:pPr>
        <w:rPr>
          <w:rFonts w:asciiTheme="majorHAnsi" w:eastAsiaTheme="majorEastAsia" w:hAnsiTheme="majorHAnsi" w:cstheme="majorBidi"/>
          <w:b/>
          <w:bCs/>
          <w:color w:val="4F81BD" w:themeColor="accent1"/>
          <w:sz w:val="26"/>
          <w:szCs w:val="26"/>
          <w:lang w:val="lt-LT"/>
        </w:rPr>
      </w:pPr>
      <w:r>
        <w:rPr>
          <w:lang w:val="lt-LT"/>
        </w:rPr>
        <w:br w:type="page"/>
      </w:r>
    </w:p>
    <w:p w14:paraId="79F3576C" w14:textId="77777777" w:rsidR="00336C16" w:rsidRDefault="00336C16" w:rsidP="00C03122">
      <w:pPr>
        <w:pStyle w:val="Antrat2"/>
        <w:numPr>
          <w:ilvl w:val="1"/>
          <w:numId w:val="38"/>
        </w:numPr>
        <w:rPr>
          <w:lang w:val="lt-LT"/>
        </w:rPr>
      </w:pPr>
      <w:bookmarkStart w:id="8" w:name="_Toc417378357"/>
      <w:r>
        <w:rPr>
          <w:lang w:val="lt-LT"/>
        </w:rPr>
        <w:lastRenderedPageBreak/>
        <w:t xml:space="preserve">Energijos efektyvumo finansinių priemonių suderinamumas su </w:t>
      </w:r>
      <w:bookmarkEnd w:id="7"/>
      <w:r w:rsidR="00CC2E6F">
        <w:rPr>
          <w:lang w:val="lt-LT"/>
        </w:rPr>
        <w:t>ES</w:t>
      </w:r>
      <w:r w:rsidR="00A67DBD">
        <w:rPr>
          <w:lang w:val="lt-LT"/>
        </w:rPr>
        <w:t xml:space="preserve"> ir nacionaliniais </w:t>
      </w:r>
      <w:r>
        <w:rPr>
          <w:lang w:val="lt-LT"/>
        </w:rPr>
        <w:t>strateginiais tikslais energijos efektyvumo srityje</w:t>
      </w:r>
      <w:bookmarkEnd w:id="8"/>
    </w:p>
    <w:p w14:paraId="076DC86B" w14:textId="77777777" w:rsidR="0083461E" w:rsidRPr="0083461E" w:rsidRDefault="00CC2E6F" w:rsidP="00C03122">
      <w:pPr>
        <w:pStyle w:val="Antrat2"/>
        <w:numPr>
          <w:ilvl w:val="2"/>
          <w:numId w:val="38"/>
        </w:numPr>
        <w:rPr>
          <w:lang w:val="lt-LT"/>
        </w:rPr>
      </w:pPr>
      <w:bookmarkStart w:id="9" w:name="_Toc417378358"/>
      <w:r>
        <w:rPr>
          <w:lang w:val="lt-LT"/>
        </w:rPr>
        <w:t>ES</w:t>
      </w:r>
      <w:r w:rsidR="0083461E">
        <w:rPr>
          <w:lang w:val="lt-LT"/>
        </w:rPr>
        <w:t xml:space="preserve"> ir nacionaliniai strateginiai dokumentai, aktualūs energijos efektyvumo srityje</w:t>
      </w:r>
      <w:bookmarkEnd w:id="9"/>
    </w:p>
    <w:p w14:paraId="19AE5FDB" w14:textId="77777777" w:rsidR="00336C16" w:rsidRDefault="00336C16" w:rsidP="00336C16">
      <w:pPr>
        <w:jc w:val="both"/>
        <w:rPr>
          <w:rFonts w:ascii="Georgia" w:hAnsi="Georgia" w:cs="Times New Roman"/>
          <w:sz w:val="20"/>
          <w:lang w:val="lt-LT"/>
        </w:rPr>
      </w:pPr>
    </w:p>
    <w:p w14:paraId="51A003C3" w14:textId="77777777" w:rsidR="00336C16" w:rsidRDefault="00336C16" w:rsidP="00336C16">
      <w:pPr>
        <w:jc w:val="both"/>
        <w:rPr>
          <w:rFonts w:ascii="Georgia" w:hAnsi="Georgia" w:cs="Times New Roman"/>
          <w:sz w:val="20"/>
          <w:lang w:val="lt-LT"/>
        </w:rPr>
      </w:pPr>
      <w:r>
        <w:rPr>
          <w:rFonts w:ascii="Georgia" w:hAnsi="Georgia" w:cs="Times New Roman"/>
          <w:sz w:val="20"/>
          <w:lang w:val="lt-LT"/>
        </w:rPr>
        <w:t xml:space="preserve">Energijos efektyvumas yra viena iš </w:t>
      </w:r>
      <w:r w:rsidR="00CC2E6F">
        <w:rPr>
          <w:rFonts w:ascii="Georgia" w:hAnsi="Georgia" w:cs="Times New Roman"/>
          <w:sz w:val="20"/>
          <w:lang w:val="lt-LT"/>
        </w:rPr>
        <w:t>ES</w:t>
      </w:r>
      <w:r w:rsidR="00A67DBD">
        <w:rPr>
          <w:rFonts w:ascii="Georgia" w:hAnsi="Georgia" w:cs="Times New Roman"/>
          <w:sz w:val="20"/>
          <w:lang w:val="lt-LT"/>
        </w:rPr>
        <w:t xml:space="preserve"> bei Lietuvos</w:t>
      </w:r>
      <w:r>
        <w:rPr>
          <w:rFonts w:ascii="Georgia" w:hAnsi="Georgia" w:cs="Times New Roman"/>
          <w:sz w:val="20"/>
          <w:lang w:val="lt-LT"/>
        </w:rPr>
        <w:t xml:space="preserve"> strateginių krypčių, kurioms skiriamas ypatingas dėmesys, dideli finansiniai ištekliai ir keliami ambicingi siekiai. Energijos efektyvumo srities strateginiai tikslai, keliami reikalavimai ir rezultatai yra įvardijami daugelyje strateginių dokumentų. Toliau trumpai </w:t>
      </w:r>
      <w:r w:rsidR="00A67DBD">
        <w:rPr>
          <w:rFonts w:ascii="Georgia" w:hAnsi="Georgia" w:cs="Times New Roman"/>
          <w:sz w:val="20"/>
          <w:lang w:val="lt-LT"/>
        </w:rPr>
        <w:t>aptariami pagrindiniai strateginiai dokumentai bei jų keliami tikslai.</w:t>
      </w:r>
      <w:r>
        <w:rPr>
          <w:rFonts w:ascii="Georgia" w:hAnsi="Georgia" w:cs="Times New Roman"/>
          <w:sz w:val="20"/>
          <w:lang w:val="lt-LT"/>
        </w:rPr>
        <w:t xml:space="preserve"> </w:t>
      </w:r>
    </w:p>
    <w:p w14:paraId="02BD3A51" w14:textId="77777777" w:rsidR="00336C16" w:rsidRDefault="00336C16" w:rsidP="00336C16">
      <w:pPr>
        <w:autoSpaceDE w:val="0"/>
        <w:autoSpaceDN w:val="0"/>
        <w:adjustRightInd w:val="0"/>
        <w:jc w:val="both"/>
        <w:rPr>
          <w:rFonts w:ascii="Georgia" w:hAnsi="Georgia" w:cs="Georgia"/>
          <w:b/>
          <w:i/>
          <w:sz w:val="20"/>
          <w:szCs w:val="20"/>
          <w:lang w:val="lt-LT"/>
        </w:rPr>
      </w:pPr>
      <w:r>
        <w:rPr>
          <w:rFonts w:ascii="Georgia" w:hAnsi="Georgia" w:cs="Georgia"/>
          <w:b/>
          <w:i/>
          <w:sz w:val="20"/>
          <w:szCs w:val="20"/>
          <w:lang w:val="lt-LT"/>
        </w:rPr>
        <w:t>Europa 2020</w:t>
      </w:r>
    </w:p>
    <w:p w14:paraId="3072ED2C" w14:textId="77777777" w:rsidR="00336C16" w:rsidRDefault="00336C16" w:rsidP="00336C16">
      <w:pPr>
        <w:jc w:val="both"/>
        <w:rPr>
          <w:rFonts w:ascii="Georgia" w:hAnsi="Georgia" w:cs="Times New Roman"/>
          <w:sz w:val="20"/>
          <w:lang w:val="lt-LT"/>
        </w:rPr>
      </w:pPr>
      <w:r>
        <w:rPr>
          <w:rFonts w:ascii="Georgia" w:hAnsi="Georgia" w:cs="Georgia"/>
          <w:sz w:val="20"/>
          <w:szCs w:val="20"/>
          <w:lang w:val="lt-LT"/>
        </w:rPr>
        <w:t>„</w:t>
      </w:r>
      <w:r>
        <w:rPr>
          <w:rFonts w:ascii="Georgia" w:hAnsi="Georgia" w:cs="Times New Roman"/>
          <w:sz w:val="20"/>
          <w:lang w:val="lt-LT"/>
        </w:rPr>
        <w:t xml:space="preserve">Europa 2020“ – tai šio dešimtmečio ES ekonomikos augimo strategija. Šia strategija kryptingai siekiama, kad ES ekonomika taptų pažangi, tvari ir integracinė. ES užsibrėžė penkių sričių – užimtumo, inovacijų, švietimo, socialinės įtraukties ir klimato bei energetikos – tikslus, o kiekviena valstybė narė nusistatė nacionalinius šių sričių tikslus. Strategija grindžiama konkrečiais ES ir nacionalinio lygmenų veiksmais. Klimato kaitos ir energetikos </w:t>
      </w:r>
      <w:r w:rsidR="00A67DBD">
        <w:rPr>
          <w:rFonts w:ascii="Georgia" w:hAnsi="Georgia" w:cs="Times New Roman"/>
          <w:sz w:val="20"/>
          <w:lang w:val="lt-LT"/>
        </w:rPr>
        <w:t xml:space="preserve">sritims </w:t>
      </w:r>
      <w:r>
        <w:rPr>
          <w:rFonts w:ascii="Georgia" w:hAnsi="Georgia" w:cs="Times New Roman"/>
          <w:sz w:val="20"/>
          <w:lang w:val="lt-LT"/>
        </w:rPr>
        <w:t>keliami tikslai, dar vadinami 20-20-20 tikslais</w:t>
      </w:r>
      <w:r w:rsidR="00A67DBD">
        <w:rPr>
          <w:rFonts w:ascii="Georgia" w:hAnsi="Georgia" w:cs="Times New Roman"/>
          <w:sz w:val="20"/>
          <w:lang w:val="lt-LT"/>
        </w:rPr>
        <w:t>, yra šie</w:t>
      </w:r>
      <w:r>
        <w:rPr>
          <w:rFonts w:ascii="Georgia" w:hAnsi="Georgia" w:cs="Times New Roman"/>
          <w:sz w:val="20"/>
          <w:lang w:val="lt-LT"/>
        </w:rPr>
        <w:t>:</w:t>
      </w:r>
    </w:p>
    <w:p w14:paraId="44019038" w14:textId="77777777" w:rsidR="00336C16" w:rsidRDefault="00336C16" w:rsidP="00C03122">
      <w:pPr>
        <w:pStyle w:val="Sraopastraipa"/>
        <w:numPr>
          <w:ilvl w:val="0"/>
          <w:numId w:val="39"/>
        </w:numPr>
        <w:autoSpaceDE w:val="0"/>
        <w:autoSpaceDN w:val="0"/>
        <w:adjustRightInd w:val="0"/>
        <w:jc w:val="both"/>
        <w:rPr>
          <w:rFonts w:ascii="Georgia" w:hAnsi="Georgia" w:cs="Georgia"/>
          <w:sz w:val="20"/>
          <w:szCs w:val="20"/>
          <w:lang w:val="lt-LT"/>
        </w:rPr>
      </w:pPr>
      <w:r>
        <w:rPr>
          <w:rFonts w:ascii="Georgia" w:hAnsi="Georgia" w:cs="Georgia"/>
          <w:sz w:val="20"/>
          <w:szCs w:val="20"/>
          <w:lang w:val="lt-LT"/>
        </w:rPr>
        <w:t>šiltnamio efektą sukeliančių dujų kiekis turėtų būti sumažintas 20 % (arba net 30 %, jei tam bus tinkamos sąlygos), palyginti su 1990 m. rodikliais;</w:t>
      </w:r>
    </w:p>
    <w:p w14:paraId="0B06A005" w14:textId="77777777" w:rsidR="00336C16" w:rsidRDefault="00336C16" w:rsidP="00C03122">
      <w:pPr>
        <w:pStyle w:val="Sraopastraipa"/>
        <w:numPr>
          <w:ilvl w:val="0"/>
          <w:numId w:val="39"/>
        </w:numPr>
        <w:autoSpaceDE w:val="0"/>
        <w:autoSpaceDN w:val="0"/>
        <w:adjustRightInd w:val="0"/>
        <w:jc w:val="both"/>
        <w:rPr>
          <w:rFonts w:ascii="Georgia" w:hAnsi="Georgia" w:cs="Georgia"/>
          <w:sz w:val="20"/>
          <w:szCs w:val="20"/>
          <w:lang w:val="lt-LT"/>
        </w:rPr>
      </w:pPr>
      <w:r>
        <w:rPr>
          <w:rFonts w:ascii="Georgia" w:hAnsi="Georgia" w:cs="Georgia"/>
          <w:sz w:val="20"/>
          <w:szCs w:val="20"/>
          <w:lang w:val="lt-LT"/>
        </w:rPr>
        <w:t>20 % energijos turėtų būti gaminama iš atsinaujinančiųjų šaltinių;</w:t>
      </w:r>
    </w:p>
    <w:p w14:paraId="183593F8" w14:textId="77777777" w:rsidR="00336C16" w:rsidRDefault="00336C16" w:rsidP="00C03122">
      <w:pPr>
        <w:pStyle w:val="Sraopastraipa"/>
        <w:numPr>
          <w:ilvl w:val="0"/>
          <w:numId w:val="39"/>
        </w:numPr>
        <w:autoSpaceDE w:val="0"/>
        <w:autoSpaceDN w:val="0"/>
        <w:adjustRightInd w:val="0"/>
        <w:jc w:val="both"/>
        <w:rPr>
          <w:rFonts w:ascii="Georgia" w:hAnsi="Georgia" w:cs="Georgia"/>
          <w:sz w:val="20"/>
          <w:szCs w:val="20"/>
          <w:lang w:val="lt-LT"/>
        </w:rPr>
      </w:pPr>
      <w:r>
        <w:rPr>
          <w:rFonts w:ascii="Georgia" w:hAnsi="Georgia" w:cs="Georgia"/>
          <w:sz w:val="20"/>
          <w:szCs w:val="20"/>
          <w:lang w:val="lt-LT"/>
        </w:rPr>
        <w:t>energijos vartojimo efektyvumas turėtų būti padidintas 20 %.</w:t>
      </w:r>
    </w:p>
    <w:p w14:paraId="5A7A54C1" w14:textId="77777777" w:rsidR="009E6616" w:rsidRDefault="00336C16" w:rsidP="00336C16">
      <w:pPr>
        <w:autoSpaceDE w:val="0"/>
        <w:autoSpaceDN w:val="0"/>
        <w:adjustRightInd w:val="0"/>
        <w:jc w:val="both"/>
        <w:rPr>
          <w:rFonts w:ascii="Georgia" w:hAnsi="Georgia" w:cs="Georgia"/>
          <w:b/>
          <w:i/>
          <w:sz w:val="20"/>
          <w:szCs w:val="20"/>
          <w:lang w:val="lt-LT"/>
        </w:rPr>
      </w:pPr>
      <w:r>
        <w:rPr>
          <w:rFonts w:ascii="Georgia" w:hAnsi="Georgia" w:cs="Georgia"/>
          <w:b/>
          <w:i/>
          <w:sz w:val="20"/>
          <w:szCs w:val="20"/>
          <w:lang w:val="lt-LT"/>
        </w:rPr>
        <w:t xml:space="preserve">Energijos efektyvumo direktyva </w:t>
      </w:r>
    </w:p>
    <w:p w14:paraId="22124AC7" w14:textId="77777777"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Energijos efektyvumo direktyva yra vykdomasis dokumentas, kuriame šalims narėms numatomi reikalavimai, kuriuos įvykdžius bus užtikrintas vieno iš </w:t>
      </w:r>
      <w:r w:rsidR="009E6616">
        <w:rPr>
          <w:rFonts w:ascii="Georgia" w:hAnsi="Georgia" w:cs="Georgia"/>
          <w:sz w:val="20"/>
          <w:szCs w:val="20"/>
          <w:lang w:val="lt-LT"/>
        </w:rPr>
        <w:t>strategijos „</w:t>
      </w:r>
      <w:r>
        <w:rPr>
          <w:rFonts w:ascii="Georgia" w:hAnsi="Georgia" w:cs="Georgia"/>
          <w:sz w:val="20"/>
          <w:szCs w:val="20"/>
          <w:lang w:val="lt-LT"/>
        </w:rPr>
        <w:t>Europa 2020</w:t>
      </w:r>
      <w:r w:rsidR="009E6616">
        <w:rPr>
          <w:rFonts w:ascii="Georgia" w:hAnsi="Georgia" w:cs="Georgia"/>
          <w:sz w:val="20"/>
          <w:szCs w:val="20"/>
          <w:lang w:val="lt-LT"/>
        </w:rPr>
        <w:t>“</w:t>
      </w:r>
      <w:r>
        <w:rPr>
          <w:rFonts w:ascii="Georgia" w:hAnsi="Georgia" w:cs="Georgia"/>
          <w:sz w:val="20"/>
          <w:szCs w:val="20"/>
          <w:lang w:val="lt-LT"/>
        </w:rPr>
        <w:t xml:space="preserve"> tikslų – energijos vartojimo efektyvumas padidintas 20% – pasiekimas. </w:t>
      </w:r>
    </w:p>
    <w:p w14:paraId="32CB85E4" w14:textId="77777777"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Viena iš </w:t>
      </w:r>
      <w:r w:rsidR="009E6616">
        <w:rPr>
          <w:rFonts w:ascii="Georgia" w:hAnsi="Georgia" w:cs="Georgia"/>
          <w:sz w:val="20"/>
          <w:szCs w:val="20"/>
          <w:lang w:val="lt-LT"/>
        </w:rPr>
        <w:t xml:space="preserve">reglamentuojamų </w:t>
      </w:r>
      <w:r>
        <w:rPr>
          <w:rFonts w:ascii="Georgia" w:hAnsi="Georgia" w:cs="Georgia"/>
          <w:sz w:val="20"/>
          <w:szCs w:val="20"/>
          <w:lang w:val="lt-LT"/>
        </w:rPr>
        <w:t>sričių yra pastatų renovacija</w:t>
      </w:r>
      <w:r w:rsidR="009E6616">
        <w:rPr>
          <w:rFonts w:ascii="Georgia" w:hAnsi="Georgia" w:cs="Georgia"/>
          <w:sz w:val="20"/>
          <w:szCs w:val="20"/>
          <w:lang w:val="lt-LT"/>
        </w:rPr>
        <w:t>, kaip tai apibrėžta Energijos efektyvumo direktyvos 5.1 punkte</w:t>
      </w:r>
      <w:r>
        <w:rPr>
          <w:rFonts w:ascii="Georgia" w:hAnsi="Georgia" w:cs="Georgia"/>
          <w:sz w:val="20"/>
          <w:szCs w:val="20"/>
          <w:lang w:val="lt-LT"/>
        </w:rPr>
        <w:t>: „V</w:t>
      </w:r>
      <w:r>
        <w:rPr>
          <w:rFonts w:ascii="Georgia" w:hAnsi="Georgia" w:cs="Georgia"/>
          <w:i/>
          <w:sz w:val="20"/>
          <w:szCs w:val="20"/>
          <w:lang w:val="lt-LT"/>
        </w:rPr>
        <w:t>alstybė narė užtikrin</w:t>
      </w:r>
      <w:r w:rsidR="009E6616">
        <w:rPr>
          <w:rFonts w:ascii="Georgia" w:hAnsi="Georgia" w:cs="Georgia"/>
          <w:i/>
          <w:sz w:val="20"/>
          <w:szCs w:val="20"/>
          <w:lang w:val="lt-LT"/>
        </w:rPr>
        <w:t>a</w:t>
      </w:r>
      <w:r>
        <w:rPr>
          <w:rFonts w:ascii="Georgia" w:hAnsi="Georgia" w:cs="Georgia"/>
          <w:i/>
          <w:sz w:val="20"/>
          <w:szCs w:val="20"/>
          <w:lang w:val="lt-LT"/>
        </w:rPr>
        <w:t>, kad nuo 2014 m. sausio 1 d. kasmet būtų renovuojama 3% bendro centrinės valdžios subjektams priklausančių ir jų naudojamų šildomų ir (arba) vėsinamų pastatų patalpų ploto, kad būtų įvykdyti bent minimalūs energinio naudingumo reikalavimai</w:t>
      </w:r>
      <w:r w:rsidR="009E6616">
        <w:rPr>
          <w:rFonts w:ascii="Georgia" w:hAnsi="Georgia" w:cs="Georgia"/>
          <w:i/>
          <w:sz w:val="20"/>
          <w:szCs w:val="20"/>
          <w:lang w:val="lt-LT"/>
        </w:rPr>
        <w:t>, kuriuos ji nustatė taikydama Direktyvos 2010/31/ES 4 straipsnį</w:t>
      </w:r>
      <w:r>
        <w:rPr>
          <w:rFonts w:ascii="Georgia" w:hAnsi="Georgia" w:cs="Georgia"/>
          <w:i/>
          <w:sz w:val="20"/>
          <w:szCs w:val="20"/>
          <w:lang w:val="lt-LT"/>
        </w:rPr>
        <w:t xml:space="preserve">. 3% rodiklis apskaičiuojamas pagal atitinkamos valstybės narės centrinės valdžios subjektams priklausančių ir jų naudojamų pastatų, kurie kiekvienų metų sausio 1 d. neatitinka </w:t>
      </w:r>
      <w:r w:rsidR="009E6616">
        <w:rPr>
          <w:rFonts w:ascii="Georgia" w:hAnsi="Georgia" w:cs="Georgia"/>
          <w:i/>
          <w:sz w:val="20"/>
          <w:szCs w:val="20"/>
          <w:lang w:val="lt-LT"/>
        </w:rPr>
        <w:t xml:space="preserve">taikant Direktyvos 2010/31/ES 4 straipsnį </w:t>
      </w:r>
      <w:r>
        <w:rPr>
          <w:rFonts w:ascii="Georgia" w:hAnsi="Georgia" w:cs="Georgia"/>
          <w:i/>
          <w:sz w:val="20"/>
          <w:szCs w:val="20"/>
          <w:lang w:val="lt-LT"/>
        </w:rPr>
        <w:t>nustatytų nacionalinių minimalių energinio naudingumo reikalavimų ir kurių bendras naudingasis patalpų plotas viršija 500 kv. m. Nuo 2015 m. liepos 9 d. ta ribinė vertė sumažinama iki 250 kv. m</w:t>
      </w:r>
      <w:r>
        <w:rPr>
          <w:rFonts w:ascii="Georgia" w:hAnsi="Georgia" w:cs="Georgia"/>
          <w:sz w:val="20"/>
          <w:szCs w:val="20"/>
          <w:lang w:val="lt-LT"/>
        </w:rPr>
        <w:t>.“.</w:t>
      </w:r>
    </w:p>
    <w:p w14:paraId="44DC4E40" w14:textId="77777777" w:rsidR="00336C16" w:rsidRDefault="00336C16" w:rsidP="00336C16">
      <w:pPr>
        <w:autoSpaceDE w:val="0"/>
        <w:autoSpaceDN w:val="0"/>
        <w:adjustRightInd w:val="0"/>
        <w:jc w:val="both"/>
        <w:rPr>
          <w:rFonts w:ascii="Georgia" w:hAnsi="Georgia" w:cs="Georgia"/>
          <w:i/>
          <w:sz w:val="20"/>
          <w:szCs w:val="20"/>
          <w:lang w:val="lt-LT"/>
        </w:rPr>
      </w:pPr>
      <w:r>
        <w:rPr>
          <w:rFonts w:ascii="Georgia" w:hAnsi="Georgia" w:cs="Georgia"/>
          <w:sz w:val="20"/>
          <w:szCs w:val="20"/>
          <w:lang w:val="lt-LT"/>
        </w:rPr>
        <w:t>Daugiabučių modernizavimo srityje taip pat yra aktualių direktyvinių reikalavimų, kurie daro įtaką netgi konkrečių techninių priemonių diegimui daugiabučiuose, tokių kaip pavyzdžiui individualūs skaitikliai: „</w:t>
      </w:r>
      <w:r>
        <w:rPr>
          <w:rFonts w:ascii="Georgia" w:hAnsi="Georgia" w:cs="Georgia"/>
          <w:i/>
          <w:sz w:val="20"/>
          <w:szCs w:val="20"/>
          <w:lang w:val="lt-LT"/>
        </w:rPr>
        <w:t xml:space="preserve">Daugiabučiuose ir daugeliui paskirčių naudojamuose pastatuose, kuriuose yra centrinis šilumos/vėsumos tiekimo šaltinis arba kuriuos patarnauja centralizuoto šilumos tiekimo tinklas ar centrinis daug pastatų aptarnaujantis šaltinis, ne vėliau kaip 2016 m. gruodžio 31 d. taip pat įrengiami individualaus suvartojimo skaitikliai, kuriais, jei tai techniškai įmanoma ir ekonomiškai </w:t>
      </w:r>
      <w:r>
        <w:rPr>
          <w:rFonts w:ascii="Georgia" w:hAnsi="Georgia" w:cs="Georgia"/>
          <w:i/>
          <w:sz w:val="20"/>
          <w:szCs w:val="20"/>
          <w:lang w:val="lt-LT"/>
        </w:rPr>
        <w:lastRenderedPageBreak/>
        <w:t>veiksminga, būtų matuojamas kiekvienos patalpos šilumos, vėsumos ir karšto vandens suvartojimas.“</w:t>
      </w:r>
      <w:r w:rsidR="009E6616">
        <w:rPr>
          <w:rStyle w:val="Puslapioinaosnuoroda"/>
          <w:rFonts w:ascii="Georgia" w:hAnsi="Georgia" w:cs="Georgia"/>
          <w:i/>
          <w:sz w:val="20"/>
          <w:szCs w:val="20"/>
          <w:lang w:val="lt-LT"/>
        </w:rPr>
        <w:footnoteReference w:id="3"/>
      </w:r>
    </w:p>
    <w:p w14:paraId="52B2BF98" w14:textId="77777777"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Energijos efektyvumo direktyva taip pat reglamentuoja įpareigojimų sistemos sukūrimą, įmonių energetinių auditų atlikimą, skatina viešąsias organizacijas vietiniu ar regioniniu lygmeniu pasitvirtinti energijos vartojimo efektyvumo planus, skatina siekti kuo aukštesnės energetinių auditų kokybės bei didinti visuomenės informuotumą apie energetinių auditų teikiamą naudą, skatina užtikrinti kuo tikslesnę sąskaitose už suvartotą energiją pateikiamą informaciją ir kt. </w:t>
      </w:r>
    </w:p>
    <w:p w14:paraId="2E6D1BF6" w14:textId="77777777" w:rsidR="00336C16" w:rsidRDefault="00336C16" w:rsidP="00336C16">
      <w:pPr>
        <w:autoSpaceDE w:val="0"/>
        <w:autoSpaceDN w:val="0"/>
        <w:adjustRightInd w:val="0"/>
        <w:jc w:val="both"/>
        <w:rPr>
          <w:rFonts w:ascii="Georgia" w:hAnsi="Georgia" w:cs="Georgia"/>
          <w:i/>
          <w:sz w:val="20"/>
          <w:szCs w:val="20"/>
          <w:lang w:val="lt-LT"/>
        </w:rPr>
      </w:pPr>
      <w:r>
        <w:rPr>
          <w:rFonts w:ascii="Georgia" w:hAnsi="Georgia" w:cs="Georgia"/>
          <w:sz w:val="20"/>
          <w:szCs w:val="20"/>
          <w:lang w:val="lt-LT"/>
        </w:rPr>
        <w:t xml:space="preserve">Energijos efektyvumo direktyva skatina valstybes nares remti energetinių paslaugų rinką (angl. </w:t>
      </w:r>
      <w:r>
        <w:rPr>
          <w:rFonts w:ascii="Georgia" w:hAnsi="Georgia" w:cs="Georgia"/>
          <w:i/>
          <w:sz w:val="20"/>
          <w:szCs w:val="20"/>
          <w:lang w:val="lt-LT"/>
        </w:rPr>
        <w:t>ESCO market</w:t>
      </w:r>
      <w:r>
        <w:rPr>
          <w:rFonts w:ascii="Georgia" w:hAnsi="Georgia" w:cs="Georgia"/>
          <w:sz w:val="20"/>
          <w:szCs w:val="20"/>
          <w:lang w:val="lt-LT"/>
        </w:rPr>
        <w:t>) platinant reikiamą informaciją, skatina kokybės ženklų kūrimą ir kt. Šios analizės apimtyje itin svarbi Energijos efektyvumo direktyvos 18</w:t>
      </w:r>
      <w:r w:rsidR="009E6616">
        <w:rPr>
          <w:rFonts w:ascii="Georgia" w:hAnsi="Georgia" w:cs="Georgia"/>
          <w:sz w:val="20"/>
          <w:szCs w:val="20"/>
          <w:lang w:val="lt-LT"/>
        </w:rPr>
        <w:t>.</w:t>
      </w:r>
      <w:r>
        <w:rPr>
          <w:rFonts w:ascii="Georgia" w:hAnsi="Georgia" w:cs="Georgia"/>
          <w:sz w:val="20"/>
          <w:szCs w:val="20"/>
          <w:lang w:val="lt-LT"/>
        </w:rPr>
        <w:t>1</w:t>
      </w:r>
      <w:r w:rsidR="009E6616">
        <w:rPr>
          <w:rFonts w:ascii="Georgia" w:hAnsi="Georgia" w:cs="Georgia"/>
          <w:sz w:val="20"/>
          <w:szCs w:val="20"/>
          <w:lang w:val="lt-LT"/>
        </w:rPr>
        <w:t>(d) punkto</w:t>
      </w:r>
      <w:r>
        <w:rPr>
          <w:rFonts w:ascii="Georgia" w:hAnsi="Georgia" w:cs="Georgia"/>
          <w:sz w:val="20"/>
          <w:szCs w:val="20"/>
          <w:lang w:val="lt-LT"/>
        </w:rPr>
        <w:t xml:space="preserve"> nuostata: „</w:t>
      </w:r>
      <w:r>
        <w:rPr>
          <w:rFonts w:ascii="Georgia" w:hAnsi="Georgia" w:cs="Georgia"/>
          <w:i/>
          <w:sz w:val="20"/>
          <w:szCs w:val="20"/>
          <w:lang w:val="lt-LT"/>
        </w:rPr>
        <w:t>valstybės narės [...]</w:t>
      </w:r>
      <w:r w:rsidR="009E6616">
        <w:rPr>
          <w:rFonts w:ascii="Georgia" w:hAnsi="Georgia" w:cs="Georgia"/>
          <w:i/>
          <w:sz w:val="20"/>
          <w:szCs w:val="20"/>
          <w:lang w:val="lt-LT"/>
        </w:rPr>
        <w:t xml:space="preserve"> </w:t>
      </w:r>
      <w:r>
        <w:rPr>
          <w:rFonts w:ascii="Georgia" w:hAnsi="Georgia" w:cs="Georgia"/>
          <w:i/>
          <w:sz w:val="20"/>
          <w:szCs w:val="20"/>
          <w:lang w:val="lt-LT"/>
        </w:rPr>
        <w:t>remia viešąjį sektorių jam priimant pasiūlymus dėl energetinių paslaugų, visų pirma dėl pastatų atnaujinimo; tai daroma: i) rengiant pavyzdines sutartis dėl energijos vartojimo efektyvumo [...]; teikiant informaciją apie sutarčių dėl energijos vartojimo efektyvumo geriausios praktikos pavyzdžius, įskaitant, prireikus, kaštų ir naudos analizę, paremtą gyvavimo ciklo metodu“.</w:t>
      </w:r>
    </w:p>
    <w:p w14:paraId="2AD67BDE" w14:textId="77777777" w:rsidR="00336C16" w:rsidRDefault="009E66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Kaip numatyta Energijos efektyvumo direktyvos 24.2 punkte, v</w:t>
      </w:r>
      <w:r w:rsidR="00336C16">
        <w:rPr>
          <w:rFonts w:ascii="Georgia" w:hAnsi="Georgia" w:cs="Georgia"/>
          <w:sz w:val="20"/>
          <w:szCs w:val="20"/>
          <w:lang w:val="lt-LT"/>
        </w:rPr>
        <w:t xml:space="preserve">isos šalys narės turi pasirengti </w:t>
      </w:r>
      <w:r>
        <w:rPr>
          <w:rFonts w:ascii="Georgia" w:hAnsi="Georgia" w:cs="Georgia"/>
          <w:sz w:val="20"/>
          <w:szCs w:val="20"/>
          <w:lang w:val="lt-LT"/>
        </w:rPr>
        <w:t>nacionalinius e</w:t>
      </w:r>
      <w:r w:rsidR="00336C16">
        <w:rPr>
          <w:rFonts w:ascii="Georgia" w:hAnsi="Georgia" w:cs="Georgia"/>
          <w:sz w:val="20"/>
          <w:szCs w:val="20"/>
          <w:lang w:val="lt-LT"/>
        </w:rPr>
        <w:t>nergijos efektyvumo veiksmų planus, kuriais vadovaujantis bus įgyvendinami Energijos efektyvumo direktyvos keliami 20-20-20 reikalavimai.</w:t>
      </w:r>
      <w:r w:rsidR="00A57A16">
        <w:rPr>
          <w:rFonts w:ascii="Georgia" w:hAnsi="Georgia" w:cs="Georgia"/>
          <w:sz w:val="20"/>
          <w:szCs w:val="20"/>
          <w:lang w:val="lt-LT"/>
        </w:rPr>
        <w:t xml:space="preserve"> Lietuvos nacionalinis energijos efektyvumo veiksmų planas buvo patvirtintas LR energetikos ministro 2014 m. gegužės 30 d. įsakymu Nr. 1-149. Nacionalinis energijos efektyvumo veiksmų planas yra vykdomojo pobūdžio dokumentas, todėl šiame ex ante vertinimo skyriuje detaliau nėra aprašomas.</w:t>
      </w:r>
    </w:p>
    <w:p w14:paraId="015AC2C7" w14:textId="77777777" w:rsidR="00336C16" w:rsidRDefault="00336C16" w:rsidP="00336C16">
      <w:pPr>
        <w:autoSpaceDE w:val="0"/>
        <w:autoSpaceDN w:val="0"/>
        <w:adjustRightInd w:val="0"/>
        <w:jc w:val="both"/>
        <w:rPr>
          <w:rFonts w:ascii="Georgia" w:hAnsi="Georgia" w:cs="Georgia"/>
          <w:b/>
          <w:i/>
          <w:sz w:val="20"/>
          <w:szCs w:val="20"/>
          <w:lang w:val="lt-LT"/>
        </w:rPr>
      </w:pPr>
      <w:r>
        <w:rPr>
          <w:rFonts w:ascii="Georgia" w:hAnsi="Georgia" w:cs="Georgia"/>
          <w:b/>
          <w:i/>
          <w:sz w:val="20"/>
          <w:szCs w:val="20"/>
          <w:lang w:val="lt-LT"/>
        </w:rPr>
        <w:t>Pastatų energinio naudingumo direktyva Nr. 2010/31/ES</w:t>
      </w:r>
    </w:p>
    <w:p w14:paraId="11EEF894" w14:textId="77777777"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Pastatų energinio naudingumo direktyva yra Energinio efektyvumo direktyvą papildantis dokumentas, kurioje reglamentuojamas pastatų energinio naudingumo didinimas </w:t>
      </w:r>
      <w:r w:rsidR="00CC2E6F">
        <w:rPr>
          <w:rFonts w:ascii="Georgia" w:hAnsi="Georgia" w:cs="Georgia"/>
          <w:sz w:val="20"/>
          <w:szCs w:val="20"/>
          <w:lang w:val="lt-LT"/>
        </w:rPr>
        <w:t>ES</w:t>
      </w:r>
      <w:r>
        <w:rPr>
          <w:rFonts w:ascii="Georgia" w:hAnsi="Georgia" w:cs="Georgia"/>
          <w:sz w:val="20"/>
          <w:szCs w:val="20"/>
          <w:lang w:val="lt-LT"/>
        </w:rPr>
        <w:t xml:space="preserve"> atsižvelgiant į išorės klimato sąlygas ir vietos ypatybes, taip pat į patalpų mikroklimato reikalavimus ir ekonominį efektyvumą. </w:t>
      </w:r>
    </w:p>
    <w:p w14:paraId="17C306A8" w14:textId="77777777" w:rsidR="00336C16" w:rsidRDefault="00E22181" w:rsidP="00336C16">
      <w:pPr>
        <w:autoSpaceDE w:val="0"/>
        <w:autoSpaceDN w:val="0"/>
        <w:adjustRightInd w:val="0"/>
        <w:jc w:val="both"/>
        <w:rPr>
          <w:rFonts w:ascii="Georgia" w:hAnsi="Georgia" w:cs="Georgia"/>
          <w:b/>
          <w:i/>
          <w:sz w:val="20"/>
          <w:szCs w:val="20"/>
          <w:lang w:val="lt-LT"/>
        </w:rPr>
      </w:pPr>
      <w:r>
        <w:rPr>
          <w:rFonts w:ascii="Georgia" w:hAnsi="Georgia" w:cs="Georgia"/>
          <w:b/>
          <w:i/>
          <w:sz w:val="20"/>
          <w:szCs w:val="20"/>
          <w:lang w:val="lt-LT"/>
        </w:rPr>
        <w:t>Bendrųjų</w:t>
      </w:r>
      <w:r w:rsidR="00336C16">
        <w:rPr>
          <w:rFonts w:ascii="Georgia" w:hAnsi="Georgia" w:cs="Georgia"/>
          <w:b/>
          <w:i/>
          <w:sz w:val="20"/>
          <w:szCs w:val="20"/>
          <w:lang w:val="lt-LT"/>
        </w:rPr>
        <w:t xml:space="preserve"> nuostatų reglamentas</w:t>
      </w:r>
    </w:p>
    <w:p w14:paraId="2FE3258C" w14:textId="77777777" w:rsidR="00336C16" w:rsidRDefault="00E22181"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B</w:t>
      </w:r>
      <w:r w:rsidR="00336C16">
        <w:rPr>
          <w:rFonts w:ascii="Georgia" w:hAnsi="Georgia" w:cs="Georgia"/>
          <w:sz w:val="20"/>
          <w:szCs w:val="20"/>
          <w:lang w:val="lt-LT"/>
        </w:rPr>
        <w:t xml:space="preserve">endrųjų nuostatų reglamentas nustato ESI fondų teminius tikslus. Pagal šiuos teminius tikslus nustatomi konkretūs kiekvieno ESI fondo prioritetai, nurodomi konkrečiam fondui taikomose taisyklėse. Ketvirtasis teminis tikslas yra aktualiausias šio </w:t>
      </w:r>
      <w:r w:rsidR="00336C16" w:rsidRPr="00485E21">
        <w:rPr>
          <w:rFonts w:ascii="Georgia" w:hAnsi="Georgia" w:cs="Georgia"/>
          <w:sz w:val="20"/>
          <w:szCs w:val="20"/>
          <w:lang w:val="lt-LT"/>
        </w:rPr>
        <w:t>ex ante</w:t>
      </w:r>
      <w:r w:rsidR="00336C16">
        <w:rPr>
          <w:rFonts w:ascii="Georgia" w:hAnsi="Georgia" w:cs="Georgia"/>
          <w:i/>
          <w:sz w:val="20"/>
          <w:szCs w:val="20"/>
          <w:lang w:val="lt-LT"/>
        </w:rPr>
        <w:t xml:space="preserve"> </w:t>
      </w:r>
      <w:r>
        <w:rPr>
          <w:rFonts w:ascii="Georgia" w:hAnsi="Georgia" w:cs="Georgia"/>
          <w:sz w:val="20"/>
          <w:szCs w:val="20"/>
          <w:lang w:val="lt-LT"/>
        </w:rPr>
        <w:t xml:space="preserve">vertinimo </w:t>
      </w:r>
      <w:r w:rsidR="00336C16">
        <w:rPr>
          <w:rFonts w:ascii="Georgia" w:hAnsi="Georgia" w:cs="Georgia"/>
          <w:sz w:val="20"/>
          <w:szCs w:val="20"/>
          <w:lang w:val="lt-LT"/>
        </w:rPr>
        <w:t xml:space="preserve">apimtyje: </w:t>
      </w:r>
      <w:r w:rsidR="00336C16">
        <w:rPr>
          <w:rFonts w:ascii="Georgia" w:hAnsi="Georgia" w:cs="Georgia"/>
          <w:i/>
          <w:sz w:val="20"/>
          <w:szCs w:val="20"/>
          <w:lang w:val="lt-LT"/>
        </w:rPr>
        <w:t>„(4) perėjimo prie mažai anglies dioksido į aplinką išskiriančių technologijų ekonomikos visuose sektoriuose rėmimas“.</w:t>
      </w:r>
    </w:p>
    <w:p w14:paraId="38244B22" w14:textId="77777777" w:rsidR="00336C16" w:rsidRDefault="00336C16" w:rsidP="00336C16">
      <w:pPr>
        <w:autoSpaceDE w:val="0"/>
        <w:autoSpaceDN w:val="0"/>
        <w:adjustRightInd w:val="0"/>
        <w:jc w:val="both"/>
        <w:rPr>
          <w:rFonts w:ascii="Georgia" w:hAnsi="Georgia" w:cs="Georgia"/>
          <w:b/>
          <w:i/>
          <w:sz w:val="20"/>
          <w:szCs w:val="20"/>
          <w:lang w:val="lt-LT"/>
        </w:rPr>
      </w:pPr>
      <w:r>
        <w:rPr>
          <w:rFonts w:ascii="Georgia" w:hAnsi="Georgia" w:cs="Georgia"/>
          <w:b/>
          <w:i/>
          <w:sz w:val="20"/>
          <w:szCs w:val="20"/>
          <w:lang w:val="lt-LT"/>
        </w:rPr>
        <w:t>Europos regioninės plėtros fondo reglamentas Nr. 1301/2013</w:t>
      </w:r>
    </w:p>
    <w:p w14:paraId="63631C52" w14:textId="77777777"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Europos regioninės plėtros fondo lėšomis remiamos </w:t>
      </w:r>
      <w:r w:rsidR="00E22181">
        <w:rPr>
          <w:rFonts w:ascii="Georgia" w:hAnsi="Georgia" w:cs="Georgia"/>
          <w:sz w:val="20"/>
          <w:szCs w:val="20"/>
          <w:lang w:val="lt-LT"/>
        </w:rPr>
        <w:t>B</w:t>
      </w:r>
      <w:r>
        <w:rPr>
          <w:rFonts w:ascii="Georgia" w:hAnsi="Georgia" w:cs="Georgia"/>
          <w:sz w:val="20"/>
          <w:szCs w:val="20"/>
          <w:lang w:val="lt-LT"/>
        </w:rPr>
        <w:t>endrųjų nuostatų reglamente nustatyto 4-ojo teminio tikslo veiklos yra detalizuojamos Europos regioninės plėtros fondo reglamento</w:t>
      </w:r>
      <w:r w:rsidR="00E22181">
        <w:rPr>
          <w:rFonts w:ascii="Georgia" w:hAnsi="Georgia" w:cs="Georgia"/>
          <w:sz w:val="20"/>
          <w:szCs w:val="20"/>
          <w:lang w:val="lt-LT"/>
        </w:rPr>
        <w:t xml:space="preserve"> 5 straipsnio</w:t>
      </w:r>
      <w:r>
        <w:rPr>
          <w:rFonts w:ascii="Georgia" w:hAnsi="Georgia" w:cs="Georgia"/>
          <w:sz w:val="20"/>
          <w:szCs w:val="20"/>
          <w:lang w:val="lt-LT"/>
        </w:rPr>
        <w:t xml:space="preserve"> nuostatose:</w:t>
      </w:r>
    </w:p>
    <w:p w14:paraId="6C426A86" w14:textId="77777777" w:rsidR="00336C16" w:rsidRDefault="00336C16" w:rsidP="00336C16">
      <w:pPr>
        <w:autoSpaceDE w:val="0"/>
        <w:autoSpaceDN w:val="0"/>
        <w:adjustRightInd w:val="0"/>
        <w:jc w:val="both"/>
        <w:rPr>
          <w:rFonts w:ascii="Georgia" w:hAnsi="Georgia" w:cs="Georgia"/>
          <w:i/>
          <w:sz w:val="20"/>
          <w:szCs w:val="20"/>
          <w:lang w:val="lt-LT"/>
        </w:rPr>
      </w:pPr>
      <w:r>
        <w:rPr>
          <w:rFonts w:ascii="Georgia" w:hAnsi="Georgia" w:cs="Georgia"/>
          <w:i/>
          <w:sz w:val="20"/>
          <w:szCs w:val="20"/>
          <w:lang w:val="lt-LT"/>
        </w:rPr>
        <w:t>„(4) perėjimo prie mažai anglies dioksido į aplinką išskiriančių technologijų ekonomikos visuose sektoriuose rėmimas:</w:t>
      </w:r>
    </w:p>
    <w:p w14:paraId="4AFD96BB" w14:textId="77777777" w:rsidR="00336C16" w:rsidRDefault="00336C16" w:rsidP="00C03122">
      <w:pPr>
        <w:pStyle w:val="Sraopastraipa"/>
        <w:numPr>
          <w:ilvl w:val="0"/>
          <w:numId w:val="40"/>
        </w:numPr>
        <w:autoSpaceDE w:val="0"/>
        <w:autoSpaceDN w:val="0"/>
        <w:adjustRightInd w:val="0"/>
        <w:jc w:val="both"/>
        <w:rPr>
          <w:rFonts w:ascii="Georgia" w:hAnsi="Georgia" w:cs="Georgia"/>
          <w:i/>
          <w:sz w:val="20"/>
          <w:szCs w:val="20"/>
          <w:lang w:val="lt-LT"/>
        </w:rPr>
      </w:pPr>
      <w:r>
        <w:rPr>
          <w:rFonts w:ascii="Georgia" w:hAnsi="Georgia" w:cs="Georgia"/>
          <w:i/>
          <w:sz w:val="20"/>
          <w:szCs w:val="20"/>
          <w:lang w:val="lt-LT"/>
        </w:rPr>
        <w:t>skatinant energijos, gaunamos iš atsinaujinančių energijos išteklių, gamybą ir paskirstymą;</w:t>
      </w:r>
    </w:p>
    <w:p w14:paraId="7D8C6E1B" w14:textId="77777777" w:rsidR="00336C16" w:rsidRDefault="00336C16" w:rsidP="00C03122">
      <w:pPr>
        <w:pStyle w:val="Sraopastraipa"/>
        <w:numPr>
          <w:ilvl w:val="0"/>
          <w:numId w:val="40"/>
        </w:numPr>
        <w:autoSpaceDE w:val="0"/>
        <w:autoSpaceDN w:val="0"/>
        <w:adjustRightInd w:val="0"/>
        <w:jc w:val="both"/>
        <w:rPr>
          <w:rFonts w:ascii="Georgia" w:hAnsi="Georgia" w:cs="Georgia"/>
          <w:i/>
          <w:sz w:val="20"/>
          <w:szCs w:val="20"/>
          <w:lang w:val="lt-LT"/>
        </w:rPr>
      </w:pPr>
      <w:r>
        <w:rPr>
          <w:rFonts w:ascii="Georgia" w:hAnsi="Georgia" w:cs="Georgia"/>
          <w:i/>
          <w:sz w:val="20"/>
          <w:szCs w:val="20"/>
          <w:lang w:val="lt-LT"/>
        </w:rPr>
        <w:t xml:space="preserve">skatinant energijos vartojimo efektyvumą ir atsinaujinančiosios energijos naudojimą įmonėse; </w:t>
      </w:r>
    </w:p>
    <w:p w14:paraId="0F68EA69" w14:textId="77777777" w:rsidR="00336C16" w:rsidRDefault="00336C16" w:rsidP="00C03122">
      <w:pPr>
        <w:pStyle w:val="Sraopastraipa"/>
        <w:numPr>
          <w:ilvl w:val="0"/>
          <w:numId w:val="40"/>
        </w:numPr>
        <w:autoSpaceDE w:val="0"/>
        <w:autoSpaceDN w:val="0"/>
        <w:adjustRightInd w:val="0"/>
        <w:jc w:val="both"/>
        <w:rPr>
          <w:rFonts w:ascii="Georgia" w:hAnsi="Georgia" w:cs="Georgia"/>
          <w:i/>
          <w:sz w:val="20"/>
          <w:szCs w:val="20"/>
          <w:lang w:val="lt-LT"/>
        </w:rPr>
      </w:pPr>
      <w:r>
        <w:rPr>
          <w:rFonts w:ascii="Georgia" w:hAnsi="Georgia" w:cs="Georgia"/>
          <w:i/>
          <w:sz w:val="20"/>
          <w:szCs w:val="20"/>
          <w:lang w:val="lt-LT"/>
        </w:rPr>
        <w:lastRenderedPageBreak/>
        <w:t xml:space="preserve">remiant energijos vartojimo efektyvumą, pažangų energijos valdymą ir atsinaujinančiosios energijos vartojimą viešojoje infrastruktūroje, įskaitant viešuosius pastatus, ir būstų sektoriuje; </w:t>
      </w:r>
    </w:p>
    <w:p w14:paraId="46F58780" w14:textId="77777777" w:rsidR="00336C16" w:rsidRDefault="00336C16" w:rsidP="00C03122">
      <w:pPr>
        <w:pStyle w:val="Sraopastraipa"/>
        <w:numPr>
          <w:ilvl w:val="0"/>
          <w:numId w:val="40"/>
        </w:numPr>
        <w:autoSpaceDE w:val="0"/>
        <w:autoSpaceDN w:val="0"/>
        <w:adjustRightInd w:val="0"/>
        <w:jc w:val="both"/>
        <w:rPr>
          <w:rFonts w:ascii="Georgia" w:hAnsi="Georgia" w:cs="Georgia"/>
          <w:i/>
          <w:sz w:val="20"/>
          <w:szCs w:val="20"/>
          <w:lang w:val="lt-LT"/>
        </w:rPr>
      </w:pPr>
      <w:r>
        <w:rPr>
          <w:rFonts w:ascii="Georgia" w:hAnsi="Georgia" w:cs="Georgia"/>
          <w:i/>
          <w:sz w:val="20"/>
          <w:szCs w:val="20"/>
          <w:lang w:val="lt-LT"/>
        </w:rPr>
        <w:t xml:space="preserve">plėtojant ir diegiant žemoje ir vidutinėje įtampoje veikiančias pažangiąsias paskirstymo sistemas; </w:t>
      </w:r>
    </w:p>
    <w:p w14:paraId="545C0CAB" w14:textId="77777777" w:rsidR="00336C16" w:rsidRDefault="00336C16" w:rsidP="00C03122">
      <w:pPr>
        <w:pStyle w:val="Sraopastraipa"/>
        <w:numPr>
          <w:ilvl w:val="0"/>
          <w:numId w:val="40"/>
        </w:numPr>
        <w:autoSpaceDE w:val="0"/>
        <w:autoSpaceDN w:val="0"/>
        <w:adjustRightInd w:val="0"/>
        <w:jc w:val="both"/>
        <w:rPr>
          <w:rFonts w:ascii="Georgia" w:hAnsi="Georgia" w:cs="Georgia"/>
          <w:i/>
          <w:sz w:val="20"/>
          <w:szCs w:val="20"/>
          <w:lang w:val="lt-LT"/>
        </w:rPr>
      </w:pPr>
      <w:r>
        <w:rPr>
          <w:rFonts w:ascii="Georgia" w:hAnsi="Georgia" w:cs="Georgia"/>
          <w:i/>
          <w:sz w:val="20"/>
          <w:szCs w:val="20"/>
          <w:lang w:val="lt-LT"/>
        </w:rPr>
        <w:t xml:space="preserve">skatinant anglies dioksido kiekio mažinimo visų rūšių teritorijose, ypač miesto teritorijose, strategijas, taip pat skatinant tvarų ir įvairiarūšį judrumą miestuose ir su švelninimu susijusias prisitaikymo priemones; </w:t>
      </w:r>
    </w:p>
    <w:p w14:paraId="6A5EEDC9" w14:textId="77777777" w:rsidR="00336C16" w:rsidRDefault="00336C16" w:rsidP="00C03122">
      <w:pPr>
        <w:pStyle w:val="Sraopastraipa"/>
        <w:numPr>
          <w:ilvl w:val="0"/>
          <w:numId w:val="40"/>
        </w:numPr>
        <w:autoSpaceDE w:val="0"/>
        <w:autoSpaceDN w:val="0"/>
        <w:adjustRightInd w:val="0"/>
        <w:jc w:val="both"/>
        <w:rPr>
          <w:rFonts w:ascii="Georgia" w:hAnsi="Georgia" w:cs="Georgia"/>
          <w:i/>
          <w:sz w:val="20"/>
          <w:szCs w:val="20"/>
          <w:lang w:val="lt-LT"/>
        </w:rPr>
      </w:pPr>
      <w:r>
        <w:rPr>
          <w:rFonts w:ascii="Georgia" w:hAnsi="Georgia" w:cs="Georgia"/>
          <w:i/>
          <w:sz w:val="20"/>
          <w:szCs w:val="20"/>
          <w:lang w:val="lt-LT"/>
        </w:rPr>
        <w:t>skatinant mokslinius tyrimus ir inovacijos mažo anglies dioksido kiekio technologijų srityje ir tokių technologijų diegimą;</w:t>
      </w:r>
    </w:p>
    <w:p w14:paraId="56D526EA" w14:textId="77777777" w:rsidR="00336C16" w:rsidRDefault="00336C16" w:rsidP="00C03122">
      <w:pPr>
        <w:pStyle w:val="Sraopastraipa"/>
        <w:numPr>
          <w:ilvl w:val="0"/>
          <w:numId w:val="40"/>
        </w:numPr>
        <w:autoSpaceDE w:val="0"/>
        <w:autoSpaceDN w:val="0"/>
        <w:adjustRightInd w:val="0"/>
        <w:jc w:val="both"/>
        <w:rPr>
          <w:rFonts w:ascii="Georgia" w:hAnsi="Georgia" w:cs="Georgia"/>
          <w:i/>
          <w:sz w:val="20"/>
          <w:szCs w:val="20"/>
          <w:lang w:val="lt-LT"/>
        </w:rPr>
      </w:pPr>
      <w:r>
        <w:rPr>
          <w:rFonts w:ascii="Georgia" w:hAnsi="Georgia" w:cs="Georgia"/>
          <w:i/>
          <w:sz w:val="20"/>
          <w:szCs w:val="20"/>
          <w:lang w:val="lt-LT"/>
        </w:rPr>
        <w:t>skatinant didelio efektyvumo bendros šilumos ir elektros energijos gamybą, grindžiamą naudingosios šilumos paklausa.“</w:t>
      </w:r>
    </w:p>
    <w:p w14:paraId="4A42B241" w14:textId="77777777" w:rsidR="00336C16" w:rsidRPr="00485E21" w:rsidRDefault="00336C16" w:rsidP="00336C16">
      <w:pPr>
        <w:autoSpaceDE w:val="0"/>
        <w:autoSpaceDN w:val="0"/>
        <w:adjustRightInd w:val="0"/>
        <w:jc w:val="both"/>
        <w:rPr>
          <w:rFonts w:ascii="Georgia" w:hAnsi="Georgia" w:cs="Georgia"/>
          <w:b/>
          <w:i/>
          <w:sz w:val="20"/>
          <w:szCs w:val="20"/>
          <w:lang w:val="lt-LT"/>
        </w:rPr>
      </w:pPr>
      <w:r w:rsidRPr="00485E21">
        <w:rPr>
          <w:rFonts w:ascii="Georgia" w:hAnsi="Georgia" w:cs="Georgia"/>
          <w:b/>
          <w:i/>
          <w:sz w:val="20"/>
          <w:szCs w:val="20"/>
          <w:lang w:val="lt-LT"/>
        </w:rPr>
        <w:t xml:space="preserve">2014-2020 </w:t>
      </w:r>
      <w:r w:rsidR="00E22181" w:rsidRPr="00485E21">
        <w:rPr>
          <w:rFonts w:ascii="Georgia" w:hAnsi="Georgia" w:cs="Georgia"/>
          <w:b/>
          <w:i/>
          <w:sz w:val="20"/>
          <w:szCs w:val="20"/>
          <w:lang w:val="lt-LT"/>
        </w:rPr>
        <w:t xml:space="preserve">m. </w:t>
      </w:r>
      <w:r w:rsidRPr="00485E21">
        <w:rPr>
          <w:rFonts w:ascii="Georgia" w:hAnsi="Georgia" w:cs="Georgia"/>
          <w:b/>
          <w:i/>
          <w:sz w:val="20"/>
          <w:szCs w:val="20"/>
          <w:lang w:val="lt-LT"/>
        </w:rPr>
        <w:t xml:space="preserve">veiksmų programa </w:t>
      </w:r>
    </w:p>
    <w:p w14:paraId="7BBD39E2" w14:textId="77777777"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2014-2020 m</w:t>
      </w:r>
      <w:r w:rsidR="00E22181">
        <w:rPr>
          <w:rFonts w:ascii="Georgia" w:hAnsi="Georgia" w:cs="Georgia"/>
          <w:sz w:val="20"/>
          <w:szCs w:val="20"/>
          <w:lang w:val="lt-LT"/>
        </w:rPr>
        <w:t xml:space="preserve">. </w:t>
      </w:r>
      <w:r>
        <w:rPr>
          <w:rFonts w:ascii="Georgia" w:hAnsi="Georgia" w:cs="Georgia"/>
          <w:sz w:val="20"/>
          <w:szCs w:val="20"/>
          <w:lang w:val="lt-LT"/>
        </w:rPr>
        <w:t>veiksmų programos 4-asis prioritetas „Energijos efektyvumo ir atsinaujinančių išteklių energijos gamybos ir naudojimo skatinimas“ detalizuoja veiklas, remtinas įvairiose energijos efektyvumo srityse. Ši</w:t>
      </w:r>
      <w:r w:rsidR="0072319B">
        <w:rPr>
          <w:rFonts w:ascii="Georgia" w:hAnsi="Georgia" w:cs="Georgia"/>
          <w:sz w:val="20"/>
          <w:szCs w:val="20"/>
          <w:lang w:val="lt-LT"/>
        </w:rPr>
        <w:t>ame</w:t>
      </w:r>
      <w:r>
        <w:rPr>
          <w:rFonts w:ascii="Georgia" w:hAnsi="Georgia" w:cs="Georgia"/>
          <w:sz w:val="20"/>
          <w:szCs w:val="20"/>
          <w:lang w:val="lt-LT"/>
        </w:rPr>
        <w:t xml:space="preserve"> </w:t>
      </w:r>
      <w:r w:rsidRPr="00485E21">
        <w:rPr>
          <w:rFonts w:ascii="Georgia" w:hAnsi="Georgia" w:cs="Georgia"/>
          <w:sz w:val="20"/>
          <w:szCs w:val="20"/>
          <w:lang w:val="lt-LT"/>
        </w:rPr>
        <w:t>ex ante</w:t>
      </w:r>
      <w:r w:rsidR="0072319B">
        <w:rPr>
          <w:rFonts w:ascii="Georgia" w:hAnsi="Georgia" w:cs="Georgia"/>
          <w:sz w:val="20"/>
          <w:szCs w:val="20"/>
          <w:lang w:val="lt-LT"/>
        </w:rPr>
        <w:t xml:space="preserve"> vertinime</w:t>
      </w:r>
      <w:r>
        <w:rPr>
          <w:rFonts w:ascii="Georgia" w:hAnsi="Georgia" w:cs="Georgia"/>
          <w:sz w:val="20"/>
          <w:szCs w:val="20"/>
          <w:lang w:val="lt-LT"/>
        </w:rPr>
        <w:t xml:space="preserve"> analizuojamos veiklos yra išskiriamos 4.3 investiciniame prioritete „Energijos vartojimo efektyvumo, pažangaus energijos valdymo ir AIE vartojimo viešosiose infrastruktūrose, įskaitant viešuosius pastatus ir gyvenamųjų namų sektorių, rėmimas“ ir 4.3.1 konkrečiame uždavinyje „Sumažinti energijos suvartojimą viešojoje infrastruktūroje ir daugiabučiuose namuose“. </w:t>
      </w:r>
    </w:p>
    <w:p w14:paraId="25627DE0" w14:textId="77777777"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Minėto konkretaus uždavinio detaliame aprašyme minima, kad daugiausia energijos įmanoma sutaupyti pramonės ir namų ūkiuose – iš viso 61 proc., taip pat nemažas energijos taupymo potencialas yra ir modernizuojant gatvių apšvietimą: sėkmingai įgyvendinus tokius projektus, būtų galima sutaupyti iki 50 proc. energijos, o eksploatacijos sąnaudos sumažėtų 60 proc.</w:t>
      </w:r>
    </w:p>
    <w:p w14:paraId="4E83CE12" w14:textId="77777777"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4.3 investicinio prioriteto numatomos remti šios veiklos:</w:t>
      </w:r>
    </w:p>
    <w:p w14:paraId="31855E42" w14:textId="77777777" w:rsidR="00336C16" w:rsidRDefault="00336C16" w:rsidP="00C03122">
      <w:pPr>
        <w:pStyle w:val="Sraopastraipa"/>
        <w:numPr>
          <w:ilvl w:val="0"/>
          <w:numId w:val="41"/>
        </w:numPr>
        <w:autoSpaceDE w:val="0"/>
        <w:autoSpaceDN w:val="0"/>
        <w:adjustRightInd w:val="0"/>
        <w:ind w:left="426" w:hanging="426"/>
        <w:jc w:val="both"/>
        <w:rPr>
          <w:rFonts w:ascii="Georgia" w:hAnsi="Georgia" w:cs="Georgia"/>
          <w:sz w:val="20"/>
          <w:szCs w:val="20"/>
          <w:lang w:val="lt-LT"/>
        </w:rPr>
      </w:pPr>
      <w:r>
        <w:rPr>
          <w:rFonts w:ascii="Georgia" w:hAnsi="Georgia" w:cs="Georgia"/>
          <w:sz w:val="20"/>
          <w:szCs w:val="20"/>
          <w:u w:val="single"/>
          <w:lang w:val="lt-LT"/>
        </w:rPr>
        <w:t>Daugiabučių namų atnaujinimas ir modernizavimas</w:t>
      </w:r>
      <w:r>
        <w:rPr>
          <w:rFonts w:ascii="Georgia" w:hAnsi="Georgia" w:cs="Georgia"/>
          <w:sz w:val="20"/>
          <w:szCs w:val="20"/>
          <w:lang w:val="lt-LT"/>
        </w:rPr>
        <w:t xml:space="preserve"> energetinį efektyvumą didinančiomis priemonėmis (įskaitant socialinių grupių gyvenamosios paskirties pastatus). Numatoma finansuoti pastato energetinį naudingumą didinančias ir kitas pastato atnaujinimo (modernizavimo) (įskaitant kapitalinę renovaciją) priemones (šildymo ir karšto vandens sistemų, ventiliacijos ir rekuperacijos sistemų pertvarkymas, keitimas ar įrengimas, pastato fasado sienų šiltinimas įskaitant sienų konstrukcijos defektų pašalinimą ir nuogrindos sutvarkymą, balkonų ar lodžijų įstiklinimas, jų esamos konstrukcijos sustiprinimas ar įrengimas, taip pat laiptinių lauko durų ir patalpų langų keitimas į mažiau šilumą praleidžiančius, rūsio perdangos šiltinimas, liftų atnaujinimas, kitų pastato bendrojo naudojimo inžinerinių sistemų sutvarkymas ir kitos tiesiogiai su atliekamais darbais susijusios priemonės), įskaitant AIE juose diegimą ir įrengimą, siekiant atitikti ne mažesnę kaip C pastato energinio naudingumo klasę.</w:t>
      </w:r>
    </w:p>
    <w:p w14:paraId="647DDC05" w14:textId="77777777" w:rsidR="00336C16" w:rsidRDefault="00336C16" w:rsidP="00C03122">
      <w:pPr>
        <w:pStyle w:val="Sraopastraipa"/>
        <w:numPr>
          <w:ilvl w:val="0"/>
          <w:numId w:val="41"/>
        </w:numPr>
        <w:autoSpaceDE w:val="0"/>
        <w:autoSpaceDN w:val="0"/>
        <w:adjustRightInd w:val="0"/>
        <w:ind w:left="426" w:hanging="426"/>
        <w:jc w:val="both"/>
        <w:rPr>
          <w:rFonts w:ascii="Georgia" w:hAnsi="Georgia" w:cs="Georgia"/>
          <w:sz w:val="20"/>
          <w:szCs w:val="20"/>
          <w:lang w:val="lt-LT"/>
        </w:rPr>
      </w:pPr>
      <w:r>
        <w:rPr>
          <w:rFonts w:ascii="Georgia" w:hAnsi="Georgia" w:cs="Georgia"/>
          <w:sz w:val="20"/>
          <w:szCs w:val="20"/>
          <w:lang w:val="lt-LT"/>
        </w:rPr>
        <w:t>Viešosios paskirties pastatų ir daugiabučių namų atnaujinimo skatinimas ir priežiūra. Numatoma finansuoti skatinimo veiklas (viešosios paskirties pastatų ir daugiabučių namų modernizavimo viešinimas, viešosios paskirties pastatų valdytojų ir daugiabučių namų savininkų informavimas ir konsultavimas), rengti tipinius ir investicinius projektus, taip pat vykdyti projektų įgyvendinimo priežiūrą, kontrolę.</w:t>
      </w:r>
    </w:p>
    <w:p w14:paraId="4B6EA80C" w14:textId="77777777" w:rsidR="00336C16" w:rsidRDefault="00336C16" w:rsidP="00C03122">
      <w:pPr>
        <w:pStyle w:val="Sraopastraipa"/>
        <w:numPr>
          <w:ilvl w:val="0"/>
          <w:numId w:val="41"/>
        </w:numPr>
        <w:autoSpaceDE w:val="0"/>
        <w:autoSpaceDN w:val="0"/>
        <w:adjustRightInd w:val="0"/>
        <w:ind w:left="426" w:hanging="426"/>
        <w:jc w:val="both"/>
        <w:rPr>
          <w:rFonts w:ascii="Georgia" w:hAnsi="Georgia" w:cs="Georgia"/>
          <w:sz w:val="20"/>
          <w:szCs w:val="20"/>
          <w:lang w:val="lt-LT"/>
        </w:rPr>
      </w:pPr>
      <w:r>
        <w:rPr>
          <w:rFonts w:ascii="Georgia" w:hAnsi="Georgia" w:cs="Georgia"/>
          <w:sz w:val="20"/>
          <w:szCs w:val="20"/>
          <w:u w:val="single"/>
          <w:lang w:val="lt-LT"/>
        </w:rPr>
        <w:t>Savivaldybių institucijų ir įstaigų naudojamų pastatų renovacija ir modernizavimas</w:t>
      </w:r>
      <w:r>
        <w:rPr>
          <w:rFonts w:ascii="Georgia" w:hAnsi="Georgia" w:cs="Georgia"/>
          <w:sz w:val="20"/>
          <w:szCs w:val="20"/>
          <w:lang w:val="lt-LT"/>
        </w:rPr>
        <w:t>. Planuojama remti savivaldybių institucijų ir įstaigų pastatų (vietos savivaldos administracinės paskirties, kultūros, švietimo ir mokslo, gydymo paskirties pastatų ir kitų pastatų (pavyzdžiui sporto ir specialiosios paskirties)), priklausančių savivaldybių institucijoms ir įstaigoms nuosavybės teise ir (arba) valdomų kitais teisėtais pagrindais, renovavimo priemones (išorinių atitvarų remontas ir (arba) rekonstravimas, pastatų energetikos sistemų modernizavimas ir (arba) rekonstravimas ir kitos susijusios priemonės), siekiant pagerinti pastatų energines savybes, atsižvelgiant į energinio naudingumo susitarimų principą, taip pat AIE panaudojimo energijos gamybai juose skatinimui.</w:t>
      </w:r>
    </w:p>
    <w:p w14:paraId="6F31B457" w14:textId="77777777" w:rsidR="00336C16" w:rsidRDefault="00336C16" w:rsidP="00C03122">
      <w:pPr>
        <w:pStyle w:val="Sraopastraipa"/>
        <w:numPr>
          <w:ilvl w:val="0"/>
          <w:numId w:val="41"/>
        </w:numPr>
        <w:autoSpaceDE w:val="0"/>
        <w:autoSpaceDN w:val="0"/>
        <w:adjustRightInd w:val="0"/>
        <w:ind w:left="426" w:hanging="426"/>
        <w:jc w:val="both"/>
        <w:rPr>
          <w:rFonts w:ascii="Georgia" w:hAnsi="Georgia" w:cs="Georgia"/>
          <w:sz w:val="20"/>
          <w:szCs w:val="20"/>
          <w:lang w:val="lt-LT"/>
        </w:rPr>
      </w:pPr>
      <w:r>
        <w:rPr>
          <w:rFonts w:ascii="Georgia" w:hAnsi="Georgia" w:cs="Georgia"/>
          <w:sz w:val="20"/>
          <w:szCs w:val="20"/>
          <w:u w:val="single"/>
          <w:lang w:val="lt-LT"/>
        </w:rPr>
        <w:lastRenderedPageBreak/>
        <w:t>Valstybės institucijų ir įstaigų naudojamų pastatų renovacija ir modernizavimas</w:t>
      </w:r>
      <w:r>
        <w:rPr>
          <w:rFonts w:ascii="Georgia" w:hAnsi="Georgia" w:cs="Georgia"/>
          <w:sz w:val="20"/>
          <w:szCs w:val="20"/>
          <w:lang w:val="lt-LT"/>
        </w:rPr>
        <w:t>. Planuojama remti valstybei nuosavybės teise priklausančių šildomų ir (arba) vėsinamų valstybės institucijų ir įstaigų – valstybinio administravimo subjektų naudojamų pastatų renovavimo priemones (išorinių atitvarų remontas ir (arba) rekonstravimas, pastatų energetikos sistemų modernizavimas ir (arba) rekonstravimas ir kitos susijusios priemonės), siekiant pagerinti pastatų energines savybes, atsižvelgiant į energinio naudingumo susitarimų principą, taip pat AIE panaudojimo energijos gamybai juose skatinimui.</w:t>
      </w:r>
    </w:p>
    <w:p w14:paraId="60E06198" w14:textId="77777777" w:rsidR="00336C16" w:rsidRDefault="00336C16" w:rsidP="00C03122">
      <w:pPr>
        <w:pStyle w:val="Sraopastraipa"/>
        <w:numPr>
          <w:ilvl w:val="0"/>
          <w:numId w:val="41"/>
        </w:numPr>
        <w:autoSpaceDE w:val="0"/>
        <w:autoSpaceDN w:val="0"/>
        <w:adjustRightInd w:val="0"/>
        <w:ind w:left="426" w:hanging="426"/>
        <w:jc w:val="both"/>
        <w:rPr>
          <w:rFonts w:ascii="Georgia" w:hAnsi="Georgia" w:cs="Georgia"/>
          <w:sz w:val="20"/>
          <w:szCs w:val="20"/>
          <w:lang w:val="lt-LT"/>
        </w:rPr>
      </w:pPr>
      <w:r>
        <w:rPr>
          <w:rFonts w:ascii="Georgia" w:hAnsi="Georgia" w:cs="Georgia"/>
          <w:sz w:val="20"/>
          <w:szCs w:val="20"/>
          <w:u w:val="single"/>
          <w:lang w:val="lt-LT"/>
        </w:rPr>
        <w:t>Miestų gatvių apšvietimo modernizavimas</w:t>
      </w:r>
      <w:r>
        <w:rPr>
          <w:rFonts w:ascii="Georgia" w:hAnsi="Georgia" w:cs="Georgia"/>
          <w:sz w:val="20"/>
          <w:szCs w:val="20"/>
          <w:lang w:val="lt-LT"/>
        </w:rPr>
        <w:t xml:space="preserve"> (planuojama remti šviestuvų, atramų atnaujinimą, intelektualios kontrolės sistemos diegimą, skirstymo bei maitinimo spintų atnaujinimą).</w:t>
      </w:r>
    </w:p>
    <w:p w14:paraId="1B0CE4F4" w14:textId="77777777" w:rsidR="00336C16" w:rsidRPr="00485E21" w:rsidRDefault="00336C16" w:rsidP="00336C16">
      <w:pPr>
        <w:autoSpaceDE w:val="0"/>
        <w:autoSpaceDN w:val="0"/>
        <w:adjustRightInd w:val="0"/>
        <w:jc w:val="both"/>
        <w:rPr>
          <w:rFonts w:ascii="Georgia" w:hAnsi="Georgia" w:cs="Georgia"/>
          <w:b/>
          <w:i/>
          <w:sz w:val="20"/>
          <w:szCs w:val="20"/>
          <w:lang w:val="lt-LT"/>
        </w:rPr>
      </w:pPr>
      <w:r w:rsidRPr="00485E21">
        <w:rPr>
          <w:rFonts w:ascii="Georgia" w:hAnsi="Georgia" w:cs="Georgia"/>
          <w:b/>
          <w:i/>
          <w:sz w:val="20"/>
          <w:szCs w:val="20"/>
          <w:lang w:val="lt-LT"/>
        </w:rPr>
        <w:t>2014-2020 nacionalinės pažangos programa</w:t>
      </w:r>
    </w:p>
    <w:p w14:paraId="58B82B39" w14:textId="77777777" w:rsidR="00336C16" w:rsidRDefault="00336C16" w:rsidP="0072319B">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2014–2020 metų nacionalinės pažangos programa</w:t>
      </w:r>
      <w:r w:rsidR="0072319B">
        <w:rPr>
          <w:rFonts w:ascii="Georgia" w:hAnsi="Georgia" w:cs="Georgia"/>
          <w:sz w:val="20"/>
          <w:szCs w:val="20"/>
          <w:lang w:val="lt-LT"/>
        </w:rPr>
        <w:t xml:space="preserve">, patvirtinta </w:t>
      </w:r>
      <w:r w:rsidR="0072319B" w:rsidRPr="0072319B">
        <w:rPr>
          <w:rFonts w:ascii="Georgia" w:hAnsi="Georgia" w:cs="Georgia"/>
          <w:sz w:val="20"/>
          <w:szCs w:val="20"/>
          <w:lang w:val="lt-LT"/>
        </w:rPr>
        <w:t>Lietuvos Respublikos Vyriausybės</w:t>
      </w:r>
      <w:r w:rsidR="0072319B">
        <w:rPr>
          <w:rFonts w:ascii="Georgia" w:hAnsi="Georgia" w:cs="Georgia"/>
          <w:sz w:val="20"/>
          <w:szCs w:val="20"/>
          <w:lang w:val="lt-LT"/>
        </w:rPr>
        <w:t xml:space="preserve"> </w:t>
      </w:r>
      <w:r w:rsidR="0072319B" w:rsidRPr="0072319B">
        <w:rPr>
          <w:rFonts w:ascii="Georgia" w:hAnsi="Georgia" w:cs="Georgia"/>
          <w:sz w:val="20"/>
          <w:szCs w:val="20"/>
          <w:lang w:val="lt-LT"/>
        </w:rPr>
        <w:t>2012 m. lapkričio 28 d. nutarimu Nr. 1482</w:t>
      </w:r>
      <w:r w:rsidR="0072319B">
        <w:rPr>
          <w:rFonts w:ascii="Georgia" w:hAnsi="Georgia" w:cs="Georgia"/>
          <w:sz w:val="20"/>
          <w:szCs w:val="20"/>
          <w:lang w:val="lt-LT"/>
        </w:rPr>
        <w:t>,</w:t>
      </w:r>
      <w:r>
        <w:rPr>
          <w:rFonts w:ascii="Georgia" w:hAnsi="Georgia" w:cs="Georgia"/>
          <w:sz w:val="20"/>
          <w:szCs w:val="20"/>
          <w:lang w:val="lt-LT"/>
        </w:rPr>
        <w:t xml:space="preserve"> </w:t>
      </w:r>
      <w:r w:rsidR="0072319B">
        <w:rPr>
          <w:rFonts w:ascii="Georgia" w:hAnsi="Georgia" w:cs="Georgia"/>
          <w:sz w:val="20"/>
          <w:szCs w:val="20"/>
          <w:lang w:val="lt-LT"/>
        </w:rPr>
        <w:t xml:space="preserve">buvo parengta </w:t>
      </w:r>
      <w:r>
        <w:rPr>
          <w:rFonts w:ascii="Georgia" w:hAnsi="Georgia" w:cs="Georgia"/>
          <w:sz w:val="20"/>
          <w:szCs w:val="20"/>
          <w:lang w:val="lt-LT"/>
        </w:rPr>
        <w:t xml:space="preserve">siekiant įgyvendinti valstybės pažangos strategiją „Lietuvos pažangos strategija „Lietuva 2030“ ir sukurti pažangią, modernią ir stiprią valstybę, pasižyminčią sumanios visuomenės, sumanios ekonomikos ir sumanaus valdymo derme. Viena iš nacionalinės pažangos programos </w:t>
      </w:r>
      <w:r w:rsidR="0072319B">
        <w:rPr>
          <w:rFonts w:ascii="Georgia" w:hAnsi="Georgia" w:cs="Georgia"/>
          <w:sz w:val="20"/>
          <w:szCs w:val="20"/>
          <w:lang w:val="lt-LT"/>
        </w:rPr>
        <w:t xml:space="preserve">remiamų </w:t>
      </w:r>
      <w:r>
        <w:rPr>
          <w:rFonts w:ascii="Georgia" w:hAnsi="Georgia" w:cs="Georgia"/>
          <w:sz w:val="20"/>
          <w:szCs w:val="20"/>
          <w:lang w:val="lt-LT"/>
        </w:rPr>
        <w:t>sričių – energijos efektyvumas, apibrėžiamas nacionalinės pažangos programos 3.3 tikslo apimtyje. Konkrečias veiklas energijos efektyvumo srityje numato 3.3.2 uždavinys „užtikrinti darnų energijos išteklių naudojimą“. Numatomos šios svarbiausios uždavinio kryptys:</w:t>
      </w:r>
    </w:p>
    <w:p w14:paraId="2C5F0798" w14:textId="77777777" w:rsidR="00336C16" w:rsidRDefault="00336C16" w:rsidP="00336C16">
      <w:pPr>
        <w:autoSpaceDE w:val="0"/>
        <w:autoSpaceDN w:val="0"/>
        <w:adjustRightInd w:val="0"/>
        <w:jc w:val="both"/>
        <w:rPr>
          <w:rFonts w:ascii="Georgia" w:hAnsi="Georgia" w:cs="Georgia"/>
          <w:i/>
          <w:sz w:val="20"/>
          <w:szCs w:val="20"/>
          <w:lang w:val="lt-LT"/>
        </w:rPr>
      </w:pPr>
      <w:r>
        <w:rPr>
          <w:rFonts w:ascii="Georgia" w:hAnsi="Georgia" w:cs="Georgia"/>
          <w:i/>
          <w:sz w:val="20"/>
          <w:szCs w:val="20"/>
          <w:lang w:val="lt-LT"/>
        </w:rPr>
        <w:t>„3.3.2.1.     skatinti atsinaujinančių energijos išteklių gamybą ir naudojimą;</w:t>
      </w:r>
    </w:p>
    <w:p w14:paraId="54B31C8C" w14:textId="77777777" w:rsidR="00336C16" w:rsidRDefault="00336C16" w:rsidP="00336C16">
      <w:pPr>
        <w:autoSpaceDE w:val="0"/>
        <w:autoSpaceDN w:val="0"/>
        <w:adjustRightInd w:val="0"/>
        <w:jc w:val="both"/>
        <w:rPr>
          <w:rFonts w:ascii="Georgia" w:hAnsi="Georgia" w:cs="Georgia"/>
          <w:i/>
          <w:sz w:val="20"/>
          <w:szCs w:val="20"/>
          <w:lang w:val="lt-LT"/>
        </w:rPr>
      </w:pPr>
      <w:r>
        <w:rPr>
          <w:rFonts w:ascii="Georgia" w:hAnsi="Georgia" w:cs="Georgia"/>
          <w:i/>
          <w:sz w:val="20"/>
          <w:szCs w:val="20"/>
          <w:lang w:val="lt-LT"/>
        </w:rPr>
        <w:t>3.3.2.2.     remti energijos vartojimo efektyvumą gyvenamųjų namų ir viešųjų pastatų sektoriuose;</w:t>
      </w:r>
    </w:p>
    <w:p w14:paraId="765B07E3" w14:textId="77777777" w:rsidR="00336C16" w:rsidRDefault="00336C16" w:rsidP="00336C16">
      <w:pPr>
        <w:autoSpaceDE w:val="0"/>
        <w:autoSpaceDN w:val="0"/>
        <w:adjustRightInd w:val="0"/>
        <w:jc w:val="both"/>
        <w:rPr>
          <w:rFonts w:ascii="Georgia" w:hAnsi="Georgia" w:cs="Georgia"/>
          <w:i/>
          <w:sz w:val="20"/>
          <w:szCs w:val="20"/>
          <w:lang w:val="lt-LT"/>
        </w:rPr>
      </w:pPr>
      <w:r>
        <w:rPr>
          <w:rFonts w:ascii="Georgia" w:hAnsi="Georgia" w:cs="Georgia"/>
          <w:i/>
          <w:sz w:val="20"/>
          <w:szCs w:val="20"/>
          <w:lang w:val="lt-LT"/>
        </w:rPr>
        <w:t>3.3.2.3.     kurti ir diegti modernias energiją ir kitus gamtos išteklius tausojančias technologijas ir procesų valdymo sistemas;</w:t>
      </w:r>
    </w:p>
    <w:p w14:paraId="1D4A9849" w14:textId="77777777" w:rsidR="00336C16" w:rsidRDefault="00336C16" w:rsidP="00336C16">
      <w:pPr>
        <w:autoSpaceDE w:val="0"/>
        <w:autoSpaceDN w:val="0"/>
        <w:adjustRightInd w:val="0"/>
        <w:jc w:val="both"/>
        <w:rPr>
          <w:rFonts w:ascii="Georgia" w:hAnsi="Georgia" w:cs="Georgia"/>
          <w:i/>
          <w:sz w:val="20"/>
          <w:szCs w:val="20"/>
          <w:lang w:val="lt-LT"/>
        </w:rPr>
      </w:pPr>
      <w:r>
        <w:rPr>
          <w:rFonts w:ascii="Georgia" w:hAnsi="Georgia" w:cs="Georgia"/>
          <w:i/>
          <w:sz w:val="20"/>
          <w:szCs w:val="20"/>
          <w:lang w:val="lt-LT"/>
        </w:rPr>
        <w:t>3.3.2.4.     didinti energijos išteklių naudojimo efektyvumą energijos gamybos ir naudojimo srityse;</w:t>
      </w:r>
    </w:p>
    <w:p w14:paraId="51C0F612" w14:textId="77777777" w:rsidR="00336C16" w:rsidRDefault="00336C16" w:rsidP="00336C16">
      <w:pPr>
        <w:autoSpaceDE w:val="0"/>
        <w:autoSpaceDN w:val="0"/>
        <w:adjustRightInd w:val="0"/>
        <w:jc w:val="both"/>
        <w:rPr>
          <w:rFonts w:ascii="Georgia" w:hAnsi="Georgia" w:cs="Georgia"/>
          <w:i/>
          <w:sz w:val="20"/>
          <w:szCs w:val="20"/>
          <w:lang w:val="lt-LT"/>
        </w:rPr>
      </w:pPr>
      <w:r>
        <w:rPr>
          <w:rFonts w:ascii="Georgia" w:hAnsi="Georgia" w:cs="Georgia"/>
          <w:i/>
          <w:sz w:val="20"/>
          <w:szCs w:val="20"/>
          <w:lang w:val="lt-LT"/>
        </w:rPr>
        <w:t>3.3.2.5.     plėtoti elektra ir kitais alternatyviais degalais varomų transporto priemonių naudojimą ir skatinti intermodalumą.“</w:t>
      </w:r>
    </w:p>
    <w:p w14:paraId="72ACEA4D" w14:textId="77777777" w:rsidR="00336C16" w:rsidRPr="00485E21" w:rsidRDefault="00336C16" w:rsidP="00336C16">
      <w:pPr>
        <w:autoSpaceDE w:val="0"/>
        <w:autoSpaceDN w:val="0"/>
        <w:adjustRightInd w:val="0"/>
        <w:jc w:val="both"/>
        <w:rPr>
          <w:rFonts w:ascii="Georgia" w:hAnsi="Georgia" w:cs="Georgia"/>
          <w:b/>
          <w:i/>
          <w:sz w:val="20"/>
          <w:szCs w:val="20"/>
          <w:lang w:val="lt-LT"/>
        </w:rPr>
      </w:pPr>
      <w:r w:rsidRPr="00485E21">
        <w:rPr>
          <w:rFonts w:ascii="Georgia" w:hAnsi="Georgia" w:cs="Georgia"/>
          <w:b/>
          <w:i/>
          <w:sz w:val="20"/>
          <w:szCs w:val="20"/>
          <w:lang w:val="lt-LT"/>
        </w:rPr>
        <w:t>Nacionalinė energetinės nepriklausomybės strategija</w:t>
      </w:r>
    </w:p>
    <w:p w14:paraId="6EA57D09" w14:textId="77777777" w:rsidR="00336C16" w:rsidRDefault="00336C16" w:rsidP="00336C16">
      <w:pPr>
        <w:autoSpaceDE w:val="0"/>
        <w:autoSpaceDN w:val="0"/>
        <w:adjustRightInd w:val="0"/>
        <w:jc w:val="both"/>
        <w:rPr>
          <w:rFonts w:ascii="Georgia" w:hAnsi="Georgia" w:cs="Georgia"/>
          <w:i/>
          <w:sz w:val="20"/>
          <w:szCs w:val="20"/>
          <w:lang w:val="lt-LT"/>
        </w:rPr>
      </w:pPr>
      <w:r>
        <w:rPr>
          <w:rFonts w:ascii="Georgia" w:hAnsi="Georgia" w:cs="Georgia"/>
          <w:sz w:val="20"/>
          <w:szCs w:val="20"/>
          <w:lang w:val="lt-LT"/>
        </w:rPr>
        <w:t xml:space="preserve">Lietuvos Respublikos </w:t>
      </w:r>
      <w:r w:rsidR="0072319B">
        <w:rPr>
          <w:rFonts w:ascii="Georgia" w:hAnsi="Georgia" w:cs="Georgia"/>
          <w:sz w:val="20"/>
          <w:szCs w:val="20"/>
          <w:lang w:val="lt-LT"/>
        </w:rPr>
        <w:t>S</w:t>
      </w:r>
      <w:r>
        <w:rPr>
          <w:rFonts w:ascii="Georgia" w:hAnsi="Georgia" w:cs="Georgia"/>
          <w:sz w:val="20"/>
          <w:szCs w:val="20"/>
          <w:lang w:val="lt-LT"/>
        </w:rPr>
        <w:t xml:space="preserve">eimas </w:t>
      </w:r>
      <w:r w:rsidR="0072319B">
        <w:rPr>
          <w:rFonts w:ascii="Georgia" w:hAnsi="Georgia" w:cs="Georgia"/>
          <w:sz w:val="20"/>
          <w:szCs w:val="20"/>
          <w:lang w:val="lt-LT"/>
        </w:rPr>
        <w:t>2012</w:t>
      </w:r>
      <w:r w:rsidR="00FC2CF2">
        <w:rPr>
          <w:rFonts w:ascii="Georgia" w:hAnsi="Georgia" w:cs="Georgia"/>
          <w:sz w:val="20"/>
          <w:szCs w:val="20"/>
          <w:lang w:val="lt-LT"/>
        </w:rPr>
        <w:t xml:space="preserve"> metų </w:t>
      </w:r>
      <w:r>
        <w:rPr>
          <w:rFonts w:ascii="Georgia" w:hAnsi="Georgia" w:cs="Georgia"/>
          <w:sz w:val="20"/>
          <w:szCs w:val="20"/>
          <w:lang w:val="lt-LT"/>
        </w:rPr>
        <w:t xml:space="preserve">birželio 26 d. </w:t>
      </w:r>
      <w:r w:rsidR="0072319B">
        <w:rPr>
          <w:rFonts w:ascii="Georgia" w:hAnsi="Georgia" w:cs="Georgia"/>
          <w:sz w:val="20"/>
          <w:szCs w:val="20"/>
          <w:lang w:val="lt-LT"/>
        </w:rPr>
        <w:t xml:space="preserve">nutarimu </w:t>
      </w:r>
      <w:r>
        <w:rPr>
          <w:rFonts w:ascii="Georgia" w:hAnsi="Georgia" w:cs="Georgia"/>
          <w:sz w:val="20"/>
          <w:szCs w:val="20"/>
          <w:lang w:val="lt-LT"/>
        </w:rPr>
        <w:t xml:space="preserve">Nr. XI-2133 patvirtino Nacionalinės energetinės nepriklausomybės strategiją, kuri nustato pagrindinius Lietuvos energetikos sektoriaus tikslus ir jų įgyvendinimo kryptis iki 2020 metų ir numato Lietuvos energetikos sektoriaus plėtros gaires iki 2030 ir iki 2050 metų. Svarbiausias šioje strategijoje numatomų energetikos politikos krypčių ir veiksmų tikslas – Lietuvos energetinės nepriklausomybės iki 2020 metų užtikrinimas, sustiprinsiantis Lietuvos energetinį saugumą ir konkurencingumą. Šios strategijos 11 punktas numato, kad </w:t>
      </w:r>
      <w:r>
        <w:rPr>
          <w:rFonts w:ascii="Georgia" w:hAnsi="Georgia" w:cs="Georgia"/>
          <w:i/>
          <w:sz w:val="20"/>
          <w:szCs w:val="20"/>
          <w:lang w:val="lt-LT"/>
        </w:rPr>
        <w:t>„Energetinio efektyvumo didinimo srityje iki 2020 metų bus siekiama kiekvienais metais po 1,5 % didinti vartojimo efektyvumą ir taip stiprinti Lietuvos energetinę nepriklausomybę, konkurencingumą ir darnią plėtrą“.</w:t>
      </w:r>
    </w:p>
    <w:p w14:paraId="5DBAC637" w14:textId="77777777" w:rsidR="0072319B" w:rsidRDefault="0072319B" w:rsidP="00336C16">
      <w:pPr>
        <w:autoSpaceDE w:val="0"/>
        <w:autoSpaceDN w:val="0"/>
        <w:adjustRightInd w:val="0"/>
        <w:jc w:val="both"/>
        <w:rPr>
          <w:rFonts w:ascii="Georgia" w:hAnsi="Georgia" w:cs="Georgia"/>
          <w:b/>
          <w:i/>
          <w:sz w:val="20"/>
          <w:szCs w:val="20"/>
          <w:lang w:val="lt-LT"/>
        </w:rPr>
      </w:pPr>
      <w:r w:rsidRPr="00485E21">
        <w:rPr>
          <w:rFonts w:ascii="Georgia" w:hAnsi="Georgia" w:cs="Georgia"/>
          <w:b/>
          <w:i/>
          <w:sz w:val="20"/>
          <w:szCs w:val="20"/>
          <w:lang w:val="lt-LT"/>
        </w:rPr>
        <w:t>Ilgalaikė pastatų nacionalinio fondo atnaujinimo strategija</w:t>
      </w:r>
    </w:p>
    <w:p w14:paraId="6153273C" w14:textId="77777777" w:rsidR="0072319B" w:rsidRPr="00485E21" w:rsidRDefault="00736291"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Šiuo metu</w:t>
      </w:r>
      <w:r w:rsidR="004A00F8">
        <w:rPr>
          <w:rStyle w:val="Puslapioinaosnuoroda"/>
          <w:rFonts w:ascii="Georgia" w:hAnsi="Georgia" w:cs="Georgia"/>
          <w:sz w:val="20"/>
          <w:szCs w:val="20"/>
          <w:lang w:val="lt-LT"/>
        </w:rPr>
        <w:footnoteReference w:id="4"/>
      </w:r>
      <w:r>
        <w:rPr>
          <w:rFonts w:ascii="Georgia" w:hAnsi="Georgia" w:cs="Georgia"/>
          <w:sz w:val="20"/>
          <w:szCs w:val="20"/>
          <w:lang w:val="lt-LT"/>
        </w:rPr>
        <w:t xml:space="preserve"> Energetikos ministerija rengia Ilgalaikę pastatų nacionalinio fondo atnaujinimo strategiją, kurios paskirtis – nustatyti pagrindines valstybės politikos kryptis investicijų telkimui pastatų naciona</w:t>
      </w:r>
      <w:r w:rsidR="004A00F8">
        <w:rPr>
          <w:rFonts w:ascii="Georgia" w:hAnsi="Georgia" w:cs="Georgia"/>
          <w:sz w:val="20"/>
          <w:szCs w:val="20"/>
          <w:lang w:val="lt-LT"/>
        </w:rPr>
        <w:t>linio fondo atnaujinimo srityje. Ilgalaikės pastatų nacionalinio fondo atnaujinimo strategijos projekte apibrėžta, kad Lietuvos trumpalaikis nacionalinio pastatų fondo atnaujinimo tikslas iki 2020 metų yra at</w:t>
      </w:r>
      <w:r w:rsidR="00B279A0">
        <w:rPr>
          <w:rFonts w:ascii="Georgia" w:hAnsi="Georgia" w:cs="Georgia"/>
          <w:sz w:val="20"/>
          <w:szCs w:val="20"/>
          <w:lang w:val="lt-LT"/>
        </w:rPr>
        <w:t xml:space="preserve">naujinti energetiškai neefektyvius gyvenamuosius ir negyvenamuosius pastatus didinant jų energijos vartojimo efektyvumą. Strategijos projekte nurodyta, jog iki 2020 metų siekiama atnaujinti </w:t>
      </w:r>
      <w:r w:rsidR="00B279A0">
        <w:rPr>
          <w:rFonts w:ascii="Georgia" w:hAnsi="Georgia" w:cs="Georgia"/>
          <w:sz w:val="20"/>
          <w:szCs w:val="20"/>
          <w:lang w:val="lt-LT"/>
        </w:rPr>
        <w:lastRenderedPageBreak/>
        <w:t>3500-4000 daugiabučių ir 700 000 kv.</w:t>
      </w:r>
      <w:r w:rsidR="00F65508">
        <w:rPr>
          <w:rFonts w:ascii="Georgia" w:hAnsi="Georgia" w:cs="Georgia"/>
          <w:sz w:val="20"/>
          <w:szCs w:val="20"/>
          <w:lang w:val="lt-LT"/>
        </w:rPr>
        <w:t xml:space="preserve"> </w:t>
      </w:r>
      <w:r w:rsidR="00B279A0">
        <w:rPr>
          <w:rFonts w:ascii="Georgia" w:hAnsi="Georgia" w:cs="Georgia"/>
          <w:sz w:val="20"/>
          <w:szCs w:val="20"/>
          <w:lang w:val="lt-LT"/>
        </w:rPr>
        <w:t>m. viešojo sektoriaus pastatų ploto. Strategija nurodo, jog šiems tikslams pasiekti bus pasitelkiamos ESI fondų lėšos (1,5</w:t>
      </w:r>
      <w:r w:rsidR="00065F2F">
        <w:rPr>
          <w:rFonts w:ascii="Georgia" w:hAnsi="Georgia" w:cs="Georgia"/>
          <w:sz w:val="20"/>
          <w:szCs w:val="20"/>
          <w:lang w:val="lt-LT"/>
        </w:rPr>
        <w:t>5</w:t>
      </w:r>
      <w:r w:rsidR="00B279A0">
        <w:rPr>
          <w:rFonts w:ascii="Georgia" w:hAnsi="Georgia" w:cs="Georgia"/>
          <w:sz w:val="20"/>
          <w:szCs w:val="20"/>
          <w:lang w:val="lt-LT"/>
        </w:rPr>
        <w:t xml:space="preserve"> mlrd. litų) ir siekiama pritraukti privačias investicijas įgyvendinant finansines priemones.</w:t>
      </w:r>
    </w:p>
    <w:p w14:paraId="4E152148" w14:textId="77777777" w:rsidR="0083461E" w:rsidRDefault="0083461E">
      <w:pPr>
        <w:rPr>
          <w:rFonts w:asciiTheme="majorHAnsi" w:eastAsiaTheme="majorEastAsia" w:hAnsiTheme="majorHAnsi" w:cstheme="majorBidi"/>
          <w:b/>
          <w:bCs/>
          <w:color w:val="4F81BD" w:themeColor="accent1"/>
          <w:sz w:val="26"/>
          <w:szCs w:val="26"/>
          <w:lang w:val="lt-LT"/>
        </w:rPr>
      </w:pPr>
      <w:r>
        <w:rPr>
          <w:lang w:val="lt-LT"/>
        </w:rPr>
        <w:br w:type="page"/>
      </w:r>
    </w:p>
    <w:p w14:paraId="1BAAA3FF" w14:textId="77777777" w:rsidR="00336C16" w:rsidRPr="00485E21" w:rsidRDefault="00336C16" w:rsidP="00C03122">
      <w:pPr>
        <w:pStyle w:val="Antrat2"/>
        <w:numPr>
          <w:ilvl w:val="2"/>
          <w:numId w:val="38"/>
        </w:numPr>
        <w:rPr>
          <w:lang w:val="lt-LT"/>
        </w:rPr>
      </w:pPr>
      <w:bookmarkStart w:id="10" w:name="_Toc417378359"/>
      <w:r w:rsidRPr="00485E21">
        <w:rPr>
          <w:lang w:val="lt-LT"/>
        </w:rPr>
        <w:lastRenderedPageBreak/>
        <w:t>Finansinių priemonių suderinamumas su ES ir nacionaliniais strateginiais dokumentais</w:t>
      </w:r>
      <w:bookmarkEnd w:id="10"/>
    </w:p>
    <w:p w14:paraId="7C622322" w14:textId="77777777" w:rsidR="0083461E" w:rsidRDefault="0083461E" w:rsidP="00336C16">
      <w:pPr>
        <w:autoSpaceDE w:val="0"/>
        <w:autoSpaceDN w:val="0"/>
        <w:adjustRightInd w:val="0"/>
        <w:jc w:val="both"/>
        <w:rPr>
          <w:rFonts w:ascii="Georgia" w:hAnsi="Georgia" w:cs="Georgia"/>
          <w:sz w:val="20"/>
          <w:szCs w:val="20"/>
          <w:lang w:val="lt-LT"/>
        </w:rPr>
      </w:pPr>
    </w:p>
    <w:p w14:paraId="5BEAC3B7" w14:textId="77777777" w:rsidR="00336C16" w:rsidRDefault="0083461E" w:rsidP="0083461E">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B</w:t>
      </w:r>
      <w:r w:rsidR="00336C16">
        <w:rPr>
          <w:rFonts w:ascii="Georgia" w:hAnsi="Georgia" w:cs="Georgia"/>
          <w:sz w:val="20"/>
          <w:szCs w:val="20"/>
          <w:lang w:val="lt-LT"/>
        </w:rPr>
        <w:t xml:space="preserve">endrųjų nuostatų reglamento preambulėje atkreipiamas dėmesys, kad finansinės priemonės yra itin svarbios dėl savo kuriamo sverto efekto, galimybės derinti įvairias viešųjų ir privačiųjų finansų formas bei lėšų grįžtamojo efekto. Dėl visų šių priežasčių finansinių priemonių parama yra tvaresnė ilguoju laikotarpiu. Finansinių priemonių kūrimas skatina vadovaujančias institucijas viešuosius finansus valdyti pagal verslo administravimo principus įgyvendinant viešosios politikos tikslus bei skatinant galutinius naudos gavėjus didinti jų projektų kokybę ir finansinę discipliną. Sverto efektas bei gebėjimas pritraukti privačius išteklius yra ypatingai svarbūs, kai biudžeto ištekliai yra suvaržyti ir riboti. </w:t>
      </w:r>
    </w:p>
    <w:p w14:paraId="586320C4" w14:textId="77777777" w:rsidR="00336C16" w:rsidRDefault="00336C16" w:rsidP="00936224">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Kaip yra atkreiptas dėmesys e</w:t>
      </w:r>
      <w:r w:rsidR="00936224">
        <w:rPr>
          <w:rFonts w:ascii="Georgia" w:hAnsi="Georgia" w:cs="Georgia"/>
          <w:sz w:val="20"/>
          <w:szCs w:val="20"/>
          <w:lang w:val="lt-LT"/>
        </w:rPr>
        <w:t>x ante vertinimo metodologijos IV</w:t>
      </w:r>
      <w:r>
        <w:rPr>
          <w:rFonts w:ascii="Georgia" w:hAnsi="Georgia" w:cs="Georgia"/>
          <w:sz w:val="20"/>
          <w:szCs w:val="20"/>
          <w:lang w:val="lt-LT"/>
        </w:rPr>
        <w:t xml:space="preserve"> dalyje, projektai, kurie įgyvendina perėjimo prie mažai anglies dioksido į aplinką išskiriančių technologijų ekonomikos veiklas, ypač investicijos į energijos efektyvumą ir atsinaujinančius energijos išteklius, yra itin tinkami grįžtamojo pobūdžio finansinėms priemonėms. Viena vertus, energijos efektyvumo ir atsinaujinančių energijos išteklių investicijos sukuria finansinę ir ekonominę grąžą per patirtus sutaupymus, produktyvesnį turtą, energijos saugą, darbo vietų kūrimą bei gyvenimo kokybės gerėjimą. Kita vertus, poreikis kapitalo investicijoms yra didesnis nei privatūs šaltiniai būtų linkę suteikti. Todėl investicijos į energijos efektyvumo ir atsinaujinančius energijos išteklius yra neoptimalių investavimo situacijų bei rinkos ir reguliavimo trūkumų objektas. Minėtoje ex ante vertinimo metodologijos 4 dalyje taip pat pažymėta, kad subsidijos elementas dažnai bus reikalingas finansuoti dalį energijos efektyvumo ir atsinaujinančių energijos išteklių projektų, ypač subsidijos elementas bus reikalingas tiems projektams, kurie turi labai žemą arba neigiamą vidinę grąžos normą (angl. </w:t>
      </w:r>
      <w:r w:rsidRPr="00936224">
        <w:rPr>
          <w:rFonts w:ascii="Georgia" w:hAnsi="Georgia" w:cs="Georgia"/>
          <w:i/>
          <w:sz w:val="20"/>
          <w:szCs w:val="20"/>
          <w:lang w:val="lt-LT"/>
        </w:rPr>
        <w:t xml:space="preserve">IRR – </w:t>
      </w:r>
      <w:r w:rsidRPr="00F65508">
        <w:rPr>
          <w:rFonts w:ascii="Georgia" w:hAnsi="Georgia" w:cs="Georgia"/>
          <w:i/>
          <w:sz w:val="20"/>
          <w:szCs w:val="20"/>
        </w:rPr>
        <w:t>internal rate of return</w:t>
      </w:r>
      <w:r>
        <w:rPr>
          <w:rFonts w:ascii="Georgia" w:hAnsi="Georgia" w:cs="Georgia"/>
          <w:sz w:val="20"/>
          <w:szCs w:val="20"/>
          <w:lang w:val="lt-LT"/>
        </w:rPr>
        <w:t xml:space="preserve">) arba jei </w:t>
      </w:r>
      <w:r w:rsidR="0083461E">
        <w:rPr>
          <w:rFonts w:ascii="Georgia" w:hAnsi="Georgia" w:cs="Georgia"/>
          <w:sz w:val="20"/>
          <w:szCs w:val="20"/>
          <w:lang w:val="lt-LT"/>
        </w:rPr>
        <w:t xml:space="preserve">subsidijos </w:t>
      </w:r>
      <w:r>
        <w:rPr>
          <w:rFonts w:ascii="Georgia" w:hAnsi="Georgia" w:cs="Georgia"/>
          <w:sz w:val="20"/>
          <w:szCs w:val="20"/>
          <w:lang w:val="lt-LT"/>
        </w:rPr>
        <w:t xml:space="preserve">elementas reikalingas dėl socialinių priežasčių arba siekiant įgyvendinti kapitalinę renovaciją.  </w:t>
      </w:r>
    </w:p>
    <w:p w14:paraId="6DECDE82" w14:textId="77777777" w:rsidR="00336C16" w:rsidRDefault="00336C16" w:rsidP="00936224">
      <w:pPr>
        <w:autoSpaceDE w:val="0"/>
        <w:autoSpaceDN w:val="0"/>
        <w:adjustRightInd w:val="0"/>
        <w:spacing w:after="0"/>
        <w:jc w:val="both"/>
        <w:rPr>
          <w:rFonts w:ascii="Georgia" w:hAnsi="Georgia" w:cs="Georgia"/>
          <w:sz w:val="20"/>
          <w:szCs w:val="20"/>
          <w:highlight w:val="yellow"/>
          <w:lang w:val="lt-LT"/>
        </w:rPr>
      </w:pPr>
    </w:p>
    <w:p w14:paraId="3321233A" w14:textId="77777777" w:rsidR="00336C16" w:rsidRDefault="00336C16" w:rsidP="0083461E">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Žemiau pateiktoje lentelėje pateiktas kiekvienos iš šioje analizėje tiriamų veiklų suderinamumas su 2014-2020 m. veiksmų programa ir kitais </w:t>
      </w:r>
      <w:r w:rsidR="00CC2E6F">
        <w:rPr>
          <w:rFonts w:ascii="Georgia" w:hAnsi="Georgia" w:cs="Georgia"/>
          <w:sz w:val="20"/>
          <w:szCs w:val="20"/>
          <w:lang w:val="lt-LT"/>
        </w:rPr>
        <w:t>ES</w:t>
      </w:r>
      <w:r>
        <w:rPr>
          <w:rFonts w:ascii="Georgia" w:hAnsi="Georgia" w:cs="Georgia"/>
          <w:sz w:val="20"/>
          <w:szCs w:val="20"/>
          <w:lang w:val="lt-LT"/>
        </w:rPr>
        <w:t xml:space="preserve"> bei nacionaliniais strateginiais dokumentais. Analizės metu buvo </w:t>
      </w:r>
      <w:r w:rsidR="0083461E">
        <w:rPr>
          <w:rFonts w:ascii="Georgia" w:hAnsi="Georgia" w:cs="Georgia"/>
          <w:sz w:val="20"/>
          <w:szCs w:val="20"/>
          <w:lang w:val="lt-LT"/>
        </w:rPr>
        <w:t>nustatyta</w:t>
      </w:r>
      <w:r>
        <w:rPr>
          <w:rFonts w:ascii="Georgia" w:hAnsi="Georgia" w:cs="Georgia"/>
          <w:sz w:val="20"/>
          <w:szCs w:val="20"/>
          <w:lang w:val="lt-LT"/>
        </w:rPr>
        <w:t xml:space="preserve">, kad energijos efektyvumo veiklos </w:t>
      </w:r>
      <w:r w:rsidR="0083461E">
        <w:rPr>
          <w:rFonts w:ascii="Georgia" w:hAnsi="Georgia" w:cs="Georgia"/>
          <w:sz w:val="20"/>
          <w:szCs w:val="20"/>
          <w:lang w:val="lt-LT"/>
        </w:rPr>
        <w:t>dera</w:t>
      </w:r>
      <w:r>
        <w:rPr>
          <w:rFonts w:ascii="Georgia" w:hAnsi="Georgia" w:cs="Georgia"/>
          <w:sz w:val="20"/>
          <w:szCs w:val="20"/>
          <w:lang w:val="lt-LT"/>
        </w:rPr>
        <w:t xml:space="preserve"> su strateginių dokumentų keliamais tikslais, strateginiai dokumentai palaiko, remia ir skatina šias energijos efektyvumo veiklas. </w:t>
      </w:r>
    </w:p>
    <w:p w14:paraId="1951479B" w14:textId="2DD7EDF7" w:rsidR="00336C16" w:rsidRPr="001F5C99" w:rsidRDefault="001F5C99" w:rsidP="001F5C99">
      <w:pPr>
        <w:pStyle w:val="Antrat"/>
        <w:jc w:val="both"/>
      </w:pPr>
      <w:bookmarkStart w:id="11" w:name="_Toc460321582"/>
      <w:r w:rsidRPr="00936224">
        <w:rPr>
          <w:lang w:val="lt-LT"/>
        </w:rPr>
        <w:t xml:space="preserve">Lentelė </w:t>
      </w:r>
      <w:r w:rsidRPr="00936224">
        <w:rPr>
          <w:lang w:val="lt-LT"/>
        </w:rPr>
        <w:fldChar w:fldCharType="begin"/>
      </w:r>
      <w:r w:rsidRPr="00936224">
        <w:rPr>
          <w:lang w:val="lt-LT"/>
        </w:rPr>
        <w:instrText xml:space="preserve"> SEQ Lentelė \* ARABIC </w:instrText>
      </w:r>
      <w:r w:rsidRPr="00936224">
        <w:rPr>
          <w:lang w:val="lt-LT"/>
        </w:rPr>
        <w:fldChar w:fldCharType="separate"/>
      </w:r>
      <w:r w:rsidR="00AA3082">
        <w:rPr>
          <w:noProof/>
          <w:lang w:val="lt-LT"/>
        </w:rPr>
        <w:t>1</w:t>
      </w:r>
      <w:r w:rsidRPr="00936224">
        <w:rPr>
          <w:lang w:val="lt-LT"/>
        </w:rPr>
        <w:fldChar w:fldCharType="end"/>
      </w:r>
      <w:r w:rsidRPr="00936224">
        <w:rPr>
          <w:lang w:val="lt-LT"/>
        </w:rPr>
        <w:t xml:space="preserve">. </w:t>
      </w:r>
      <w:r w:rsidRPr="001E4B4F">
        <w:rPr>
          <w:rFonts w:cs="Georgia"/>
          <w:szCs w:val="20"/>
          <w:lang w:val="lt-LT"/>
        </w:rPr>
        <w:t xml:space="preserve">Energijos efektyvumo veiklų tipų suderinamumas su </w:t>
      </w:r>
      <w:r w:rsidR="00CC2E6F" w:rsidRPr="001E4B4F">
        <w:rPr>
          <w:rFonts w:cs="Georgia"/>
          <w:szCs w:val="20"/>
          <w:lang w:val="lt-LT"/>
        </w:rPr>
        <w:t>ES</w:t>
      </w:r>
      <w:r w:rsidRPr="009D6C03">
        <w:rPr>
          <w:rFonts w:cs="Georgia"/>
          <w:szCs w:val="20"/>
          <w:lang w:val="lt-LT"/>
        </w:rPr>
        <w:t xml:space="preserve"> ir</w:t>
      </w:r>
      <w:r>
        <w:rPr>
          <w:rFonts w:cs="Georgia"/>
          <w:szCs w:val="20"/>
          <w:lang w:val="lt-LT"/>
        </w:rPr>
        <w:t xml:space="preserve"> nacionaliniais strateginiais dokumentais.</w:t>
      </w:r>
      <w:bookmarkEnd w:id="11"/>
    </w:p>
    <w:tbl>
      <w:tblPr>
        <w:tblStyle w:val="viesussraas2parykinimas"/>
        <w:tblW w:w="5000" w:type="pct"/>
        <w:tblLook w:val="04A0" w:firstRow="1" w:lastRow="0" w:firstColumn="1" w:lastColumn="0" w:noHBand="0" w:noVBand="1"/>
      </w:tblPr>
      <w:tblGrid>
        <w:gridCol w:w="2047"/>
        <w:gridCol w:w="2397"/>
        <w:gridCol w:w="2399"/>
        <w:gridCol w:w="2399"/>
      </w:tblGrid>
      <w:tr w:rsidR="00336C16" w:rsidRPr="00714494" w14:paraId="6DB6F299" w14:textId="77777777" w:rsidTr="00466A70">
        <w:trPr>
          <w:cnfStyle w:val="100000000000" w:firstRow="1" w:lastRow="0" w:firstColumn="0" w:lastColumn="0" w:oddVBand="0" w:evenVBand="0" w:oddHBand="0" w:evenHBand="0" w:firstRowFirstColumn="0" w:firstRowLastColumn="0" w:lastRowFirstColumn="0" w:lastRowLastColumn="0"/>
          <w:cantSplit/>
          <w:trHeight w:val="139"/>
          <w:tblHeader/>
        </w:trPr>
        <w:tc>
          <w:tcPr>
            <w:cnfStyle w:val="001000000000" w:firstRow="0" w:lastRow="0" w:firstColumn="1" w:lastColumn="0" w:oddVBand="0" w:evenVBand="0" w:oddHBand="0" w:evenHBand="0" w:firstRowFirstColumn="0" w:firstRowLastColumn="0" w:lastRowFirstColumn="0" w:lastRowLastColumn="0"/>
            <w:tcW w:w="1107" w:type="pct"/>
            <w:tcBorders>
              <w:top w:val="single" w:sz="8" w:space="0" w:color="C0504D" w:themeColor="accent2"/>
              <w:left w:val="single" w:sz="8" w:space="0" w:color="C0504D" w:themeColor="accent2"/>
              <w:bottom w:val="nil"/>
              <w:right w:val="nil"/>
            </w:tcBorders>
            <w:hideMark/>
          </w:tcPr>
          <w:p w14:paraId="5E34CF7C" w14:textId="77777777" w:rsidR="00336C16" w:rsidRPr="00714494" w:rsidRDefault="00336C16" w:rsidP="00466A70">
            <w:pPr>
              <w:autoSpaceDE w:val="0"/>
              <w:autoSpaceDN w:val="0"/>
              <w:adjustRightInd w:val="0"/>
              <w:jc w:val="center"/>
              <w:rPr>
                <w:rFonts w:ascii="Georgia" w:hAnsi="Georgia" w:cs="Georgia"/>
                <w:sz w:val="20"/>
                <w:szCs w:val="20"/>
              </w:rPr>
            </w:pPr>
            <w:r w:rsidRPr="00714494">
              <w:rPr>
                <w:rFonts w:ascii="Georgia" w:hAnsi="Georgia" w:cs="Georgia"/>
                <w:sz w:val="20"/>
                <w:szCs w:val="20"/>
              </w:rPr>
              <w:t>Veiklos tipas</w:t>
            </w:r>
          </w:p>
        </w:tc>
        <w:tc>
          <w:tcPr>
            <w:tcW w:w="1297" w:type="pct"/>
            <w:tcBorders>
              <w:top w:val="single" w:sz="8" w:space="0" w:color="C0504D" w:themeColor="accent2"/>
              <w:left w:val="nil"/>
              <w:bottom w:val="nil"/>
              <w:right w:val="nil"/>
            </w:tcBorders>
            <w:hideMark/>
          </w:tcPr>
          <w:p w14:paraId="2B08C182" w14:textId="77777777" w:rsidR="00336C16" w:rsidRPr="00714494" w:rsidRDefault="00336C16" w:rsidP="00466A7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sidRPr="00714494">
              <w:rPr>
                <w:rFonts w:ascii="Georgia" w:hAnsi="Georgia" w:cs="Georgia"/>
                <w:sz w:val="20"/>
                <w:szCs w:val="20"/>
              </w:rPr>
              <w:t>Veiksmų programos prioritetas</w:t>
            </w:r>
          </w:p>
        </w:tc>
        <w:tc>
          <w:tcPr>
            <w:tcW w:w="1298" w:type="pct"/>
            <w:tcBorders>
              <w:top w:val="single" w:sz="8" w:space="0" w:color="C0504D" w:themeColor="accent2"/>
              <w:left w:val="nil"/>
              <w:bottom w:val="nil"/>
              <w:right w:val="nil"/>
            </w:tcBorders>
            <w:hideMark/>
          </w:tcPr>
          <w:p w14:paraId="09F45C91" w14:textId="77777777" w:rsidR="00336C16" w:rsidRPr="00714494" w:rsidRDefault="00336C16" w:rsidP="00466A7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sidRPr="00714494">
              <w:rPr>
                <w:rFonts w:ascii="Georgia" w:hAnsi="Georgia" w:cs="Georgia"/>
                <w:sz w:val="20"/>
                <w:szCs w:val="20"/>
              </w:rPr>
              <w:t>Ryšys su ES lygmens strateginiais dokumentais</w:t>
            </w:r>
          </w:p>
        </w:tc>
        <w:tc>
          <w:tcPr>
            <w:tcW w:w="1298" w:type="pct"/>
            <w:tcBorders>
              <w:top w:val="single" w:sz="8" w:space="0" w:color="C0504D" w:themeColor="accent2"/>
              <w:left w:val="nil"/>
              <w:bottom w:val="nil"/>
              <w:right w:val="single" w:sz="8" w:space="0" w:color="C0504D" w:themeColor="accent2"/>
            </w:tcBorders>
            <w:hideMark/>
          </w:tcPr>
          <w:p w14:paraId="7E8FCCF6" w14:textId="77777777" w:rsidR="00336C16" w:rsidRPr="00714494" w:rsidRDefault="00336C16" w:rsidP="00466A7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sidRPr="00714494">
              <w:rPr>
                <w:rFonts w:ascii="Georgia" w:hAnsi="Georgia" w:cs="Georgia"/>
                <w:sz w:val="20"/>
                <w:szCs w:val="20"/>
              </w:rPr>
              <w:t>Ryšys su nacionaliniais strateginiais dokumentais</w:t>
            </w:r>
          </w:p>
        </w:tc>
      </w:tr>
      <w:tr w:rsidR="00336C16" w14:paraId="45ABE9CF" w14:textId="77777777" w:rsidTr="00466A70">
        <w:trPr>
          <w:cnfStyle w:val="000000100000" w:firstRow="0" w:lastRow="0" w:firstColumn="0" w:lastColumn="0" w:oddVBand="0" w:evenVBand="0" w:oddHBand="1" w:evenHBand="0" w:firstRowFirstColumn="0" w:firstRowLastColumn="0" w:lastRowFirstColumn="0" w:lastRowLastColumn="0"/>
          <w:cantSplit/>
          <w:trHeight w:val="306"/>
        </w:trPr>
        <w:tc>
          <w:tcPr>
            <w:cnfStyle w:val="001000000000" w:firstRow="0" w:lastRow="0" w:firstColumn="1" w:lastColumn="0" w:oddVBand="0" w:evenVBand="0" w:oddHBand="0" w:evenHBand="0" w:firstRowFirstColumn="0" w:firstRowLastColumn="0" w:lastRowFirstColumn="0" w:lastRowLastColumn="0"/>
            <w:tcW w:w="1107" w:type="pct"/>
            <w:vMerge w:val="restart"/>
            <w:tcBorders>
              <w:right w:val="nil"/>
            </w:tcBorders>
            <w:hideMark/>
          </w:tcPr>
          <w:p w14:paraId="1E85D3E4" w14:textId="77777777" w:rsidR="00336C16" w:rsidRDefault="00336C16" w:rsidP="00936224">
            <w:pPr>
              <w:autoSpaceDE w:val="0"/>
              <w:autoSpaceDN w:val="0"/>
              <w:adjustRightInd w:val="0"/>
              <w:jc w:val="both"/>
              <w:rPr>
                <w:rFonts w:ascii="Georgia" w:hAnsi="Georgia" w:cs="Georgia"/>
                <w:sz w:val="20"/>
                <w:szCs w:val="20"/>
              </w:rPr>
            </w:pPr>
            <w:r>
              <w:rPr>
                <w:rFonts w:ascii="Georgia" w:hAnsi="Georgia" w:cs="Georgia"/>
                <w:sz w:val="20"/>
                <w:szCs w:val="20"/>
              </w:rPr>
              <w:t xml:space="preserve">Daugiabučių namų </w:t>
            </w:r>
            <w:r w:rsidR="00936224">
              <w:rPr>
                <w:rFonts w:ascii="Georgia" w:hAnsi="Georgia" w:cs="Georgia"/>
                <w:sz w:val="20"/>
                <w:szCs w:val="20"/>
              </w:rPr>
              <w:t>modernizavimas</w:t>
            </w:r>
          </w:p>
        </w:tc>
        <w:tc>
          <w:tcPr>
            <w:tcW w:w="1297" w:type="pct"/>
            <w:vMerge w:val="restart"/>
            <w:tcBorders>
              <w:left w:val="nil"/>
              <w:right w:val="nil"/>
            </w:tcBorders>
            <w:hideMark/>
          </w:tcPr>
          <w:p w14:paraId="0F1E927F" w14:textId="77777777"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4 prioritetas „Energijos efektyvumo ir atsinaujinančių išteklių energijos gamybos ir naudojimo skatinimas“</w:t>
            </w:r>
          </w:p>
        </w:tc>
        <w:tc>
          <w:tcPr>
            <w:tcW w:w="1298" w:type="pct"/>
            <w:tcBorders>
              <w:left w:val="nil"/>
              <w:right w:val="nil"/>
            </w:tcBorders>
            <w:hideMark/>
          </w:tcPr>
          <w:p w14:paraId="22E6BC40" w14:textId="77777777"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Europa 2020 – 3 tikslas „Klimato kaita ir energetikos tvarumas“</w:t>
            </w:r>
          </w:p>
        </w:tc>
        <w:tc>
          <w:tcPr>
            <w:tcW w:w="1298" w:type="pct"/>
            <w:vMerge w:val="restart"/>
            <w:tcBorders>
              <w:left w:val="nil"/>
              <w:bottom w:val="nil"/>
            </w:tcBorders>
            <w:hideMark/>
          </w:tcPr>
          <w:p w14:paraId="08D099E0" w14:textId="77777777"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Nacionalinės pažangos strategija – 3.3.2 uždavinys</w:t>
            </w:r>
          </w:p>
        </w:tc>
      </w:tr>
      <w:tr w:rsidR="00336C16" w14:paraId="17421AA0" w14:textId="77777777" w:rsidTr="00466A70">
        <w:trPr>
          <w:cantSplit/>
          <w:trHeight w:val="305"/>
        </w:trPr>
        <w:tc>
          <w:tcPr>
            <w:cnfStyle w:val="001000000000" w:firstRow="0" w:lastRow="0" w:firstColumn="1" w:lastColumn="0" w:oddVBand="0" w:evenVBand="0" w:oddHBand="0" w:evenHBand="0" w:firstRowFirstColumn="0" w:firstRowLastColumn="0" w:lastRowFirstColumn="0" w:lastRowLastColumn="0"/>
            <w:tcW w:w="1107" w:type="pct"/>
            <w:vMerge/>
            <w:tcBorders>
              <w:top w:val="single" w:sz="8" w:space="0" w:color="C0504D" w:themeColor="accent2"/>
              <w:left w:val="single" w:sz="8" w:space="0" w:color="C0504D" w:themeColor="accent2"/>
              <w:bottom w:val="single" w:sz="8" w:space="0" w:color="C0504D" w:themeColor="accent2"/>
              <w:right w:val="nil"/>
            </w:tcBorders>
            <w:vAlign w:val="center"/>
            <w:hideMark/>
          </w:tcPr>
          <w:p w14:paraId="6F359651" w14:textId="77777777" w:rsidR="00336C16" w:rsidRDefault="00336C16">
            <w:pPr>
              <w:rPr>
                <w:rFonts w:ascii="Georgia" w:hAnsi="Georgia" w:cs="Georgia"/>
                <w:sz w:val="20"/>
                <w:szCs w:val="20"/>
              </w:rPr>
            </w:pPr>
          </w:p>
        </w:tc>
        <w:tc>
          <w:tcPr>
            <w:tcW w:w="1297" w:type="pct"/>
            <w:vMerge/>
            <w:tcBorders>
              <w:top w:val="single" w:sz="8" w:space="0" w:color="C0504D" w:themeColor="accent2"/>
              <w:left w:val="nil"/>
              <w:bottom w:val="single" w:sz="8" w:space="0" w:color="C0504D" w:themeColor="accent2"/>
              <w:right w:val="nil"/>
            </w:tcBorders>
            <w:vAlign w:val="center"/>
            <w:hideMark/>
          </w:tcPr>
          <w:p w14:paraId="75D4A5BF" w14:textId="77777777" w:rsidR="00336C16"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1298" w:type="pct"/>
            <w:tcBorders>
              <w:top w:val="nil"/>
              <w:left w:val="nil"/>
              <w:bottom w:val="nil"/>
              <w:right w:val="nil"/>
            </w:tcBorders>
            <w:hideMark/>
          </w:tcPr>
          <w:p w14:paraId="79E78832" w14:textId="77777777"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Energijos efektyvumo direktyva</w:t>
            </w:r>
          </w:p>
        </w:tc>
        <w:tc>
          <w:tcPr>
            <w:tcW w:w="1298" w:type="pct"/>
            <w:vMerge/>
            <w:tcBorders>
              <w:top w:val="single" w:sz="8" w:space="0" w:color="C0504D" w:themeColor="accent2"/>
              <w:left w:val="nil"/>
              <w:bottom w:val="nil"/>
              <w:right w:val="single" w:sz="8" w:space="0" w:color="C0504D" w:themeColor="accent2"/>
            </w:tcBorders>
            <w:vAlign w:val="center"/>
            <w:hideMark/>
          </w:tcPr>
          <w:p w14:paraId="4260D116" w14:textId="77777777" w:rsidR="00336C16"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r>
      <w:tr w:rsidR="00336C16" w14:paraId="36ACFE77" w14:textId="77777777" w:rsidTr="00466A70">
        <w:trPr>
          <w:cnfStyle w:val="000000100000" w:firstRow="0" w:lastRow="0" w:firstColumn="0" w:lastColumn="0" w:oddVBand="0" w:evenVBand="0" w:oddHBand="1" w:evenHBand="0" w:firstRowFirstColumn="0" w:firstRowLastColumn="0" w:lastRowFirstColumn="0" w:lastRowLastColumn="0"/>
          <w:cantSplit/>
          <w:trHeight w:val="305"/>
        </w:trPr>
        <w:tc>
          <w:tcPr>
            <w:cnfStyle w:val="001000000000" w:firstRow="0" w:lastRow="0" w:firstColumn="1" w:lastColumn="0" w:oddVBand="0" w:evenVBand="0" w:oddHBand="0" w:evenHBand="0" w:firstRowFirstColumn="0" w:firstRowLastColumn="0" w:lastRowFirstColumn="0" w:lastRowLastColumn="0"/>
            <w:tcW w:w="1107" w:type="pct"/>
            <w:vMerge/>
            <w:tcBorders>
              <w:right w:val="nil"/>
            </w:tcBorders>
            <w:vAlign w:val="center"/>
            <w:hideMark/>
          </w:tcPr>
          <w:p w14:paraId="5E043999" w14:textId="77777777" w:rsidR="00336C16" w:rsidRDefault="00336C16">
            <w:pPr>
              <w:rPr>
                <w:rFonts w:ascii="Georgia" w:hAnsi="Georgia" w:cs="Georgia"/>
                <w:sz w:val="20"/>
                <w:szCs w:val="20"/>
              </w:rPr>
            </w:pPr>
          </w:p>
        </w:tc>
        <w:tc>
          <w:tcPr>
            <w:tcW w:w="1297" w:type="pct"/>
            <w:vMerge/>
            <w:tcBorders>
              <w:left w:val="nil"/>
              <w:right w:val="nil"/>
            </w:tcBorders>
            <w:vAlign w:val="center"/>
            <w:hideMark/>
          </w:tcPr>
          <w:p w14:paraId="63229BBD" w14:textId="77777777" w:rsidR="00336C16"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1298" w:type="pct"/>
            <w:tcBorders>
              <w:left w:val="nil"/>
              <w:right w:val="nil"/>
            </w:tcBorders>
            <w:hideMark/>
          </w:tcPr>
          <w:p w14:paraId="41BD96D9" w14:textId="77777777"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Bendrųjų nuostatų reglamentas – 9 straipsnis, 4 teminis tikslas</w:t>
            </w:r>
          </w:p>
        </w:tc>
        <w:tc>
          <w:tcPr>
            <w:tcW w:w="1298" w:type="pct"/>
            <w:vMerge w:val="restart"/>
            <w:tcBorders>
              <w:left w:val="nil"/>
              <w:bottom w:val="nil"/>
            </w:tcBorders>
            <w:hideMark/>
          </w:tcPr>
          <w:p w14:paraId="2150DFF8" w14:textId="77777777"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Nacionalinė energetinės nepriklausomybės strategija – energetinio efektyvumo didinimo strategija</w:t>
            </w:r>
          </w:p>
        </w:tc>
      </w:tr>
      <w:tr w:rsidR="00336C16" w14:paraId="7CF15BD6" w14:textId="77777777" w:rsidTr="00466A70">
        <w:trPr>
          <w:cantSplit/>
          <w:trHeight w:val="509"/>
        </w:trPr>
        <w:tc>
          <w:tcPr>
            <w:cnfStyle w:val="001000000000" w:firstRow="0" w:lastRow="0" w:firstColumn="1" w:lastColumn="0" w:oddVBand="0" w:evenVBand="0" w:oddHBand="0" w:evenHBand="0" w:firstRowFirstColumn="0" w:firstRowLastColumn="0" w:lastRowFirstColumn="0" w:lastRowLastColumn="0"/>
            <w:tcW w:w="1107" w:type="pct"/>
            <w:vMerge/>
            <w:tcBorders>
              <w:top w:val="single" w:sz="8" w:space="0" w:color="C0504D" w:themeColor="accent2"/>
              <w:left w:val="single" w:sz="8" w:space="0" w:color="C0504D" w:themeColor="accent2"/>
              <w:bottom w:val="single" w:sz="8" w:space="0" w:color="C0504D" w:themeColor="accent2"/>
              <w:right w:val="nil"/>
            </w:tcBorders>
            <w:vAlign w:val="center"/>
            <w:hideMark/>
          </w:tcPr>
          <w:p w14:paraId="25AAFF1D" w14:textId="77777777" w:rsidR="00336C16" w:rsidRDefault="00336C16">
            <w:pPr>
              <w:rPr>
                <w:rFonts w:ascii="Georgia" w:hAnsi="Georgia" w:cs="Georgia"/>
                <w:sz w:val="20"/>
                <w:szCs w:val="20"/>
              </w:rPr>
            </w:pPr>
          </w:p>
        </w:tc>
        <w:tc>
          <w:tcPr>
            <w:tcW w:w="1297" w:type="pct"/>
            <w:vMerge/>
            <w:tcBorders>
              <w:top w:val="single" w:sz="8" w:space="0" w:color="C0504D" w:themeColor="accent2"/>
              <w:left w:val="nil"/>
              <w:bottom w:val="single" w:sz="8" w:space="0" w:color="C0504D" w:themeColor="accent2"/>
              <w:right w:val="nil"/>
            </w:tcBorders>
            <w:vAlign w:val="center"/>
            <w:hideMark/>
          </w:tcPr>
          <w:p w14:paraId="2C09B3E2" w14:textId="77777777" w:rsidR="00336C16"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1298" w:type="pct"/>
            <w:vMerge w:val="restart"/>
            <w:tcBorders>
              <w:top w:val="nil"/>
              <w:left w:val="nil"/>
              <w:bottom w:val="single" w:sz="8" w:space="0" w:color="C0504D" w:themeColor="accent2"/>
              <w:right w:val="nil"/>
            </w:tcBorders>
            <w:hideMark/>
          </w:tcPr>
          <w:p w14:paraId="0B46AF5C" w14:textId="77777777"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 xml:space="preserve">Europos regioninės plėtros fondo </w:t>
            </w:r>
            <w:r>
              <w:rPr>
                <w:rFonts w:ascii="Georgia" w:hAnsi="Georgia" w:cs="Georgia"/>
                <w:sz w:val="20"/>
                <w:szCs w:val="20"/>
              </w:rPr>
              <w:lastRenderedPageBreak/>
              <w:t>reglamentas – 5 straipsnis, 4 investavimo prioritetas</w:t>
            </w:r>
          </w:p>
        </w:tc>
        <w:tc>
          <w:tcPr>
            <w:tcW w:w="1298" w:type="pct"/>
            <w:vMerge/>
            <w:tcBorders>
              <w:top w:val="single" w:sz="8" w:space="0" w:color="C0504D" w:themeColor="accent2"/>
              <w:left w:val="nil"/>
              <w:bottom w:val="nil"/>
              <w:right w:val="single" w:sz="8" w:space="0" w:color="C0504D" w:themeColor="accent2"/>
            </w:tcBorders>
            <w:vAlign w:val="center"/>
            <w:hideMark/>
          </w:tcPr>
          <w:p w14:paraId="31C21020" w14:textId="77777777" w:rsidR="00336C16"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r>
      <w:tr w:rsidR="00336C16" w14:paraId="306DB62C" w14:textId="77777777" w:rsidTr="00466A70">
        <w:trPr>
          <w:cnfStyle w:val="000000100000" w:firstRow="0" w:lastRow="0" w:firstColumn="0" w:lastColumn="0" w:oddVBand="0" w:evenVBand="0" w:oddHBand="1" w:evenHBand="0" w:firstRowFirstColumn="0" w:firstRowLastColumn="0" w:lastRowFirstColumn="0" w:lastRowLastColumn="0"/>
          <w:cantSplit/>
          <w:trHeight w:val="306"/>
        </w:trPr>
        <w:tc>
          <w:tcPr>
            <w:cnfStyle w:val="001000000000" w:firstRow="0" w:lastRow="0" w:firstColumn="1" w:lastColumn="0" w:oddVBand="0" w:evenVBand="0" w:oddHBand="0" w:evenHBand="0" w:firstRowFirstColumn="0" w:firstRowLastColumn="0" w:lastRowFirstColumn="0" w:lastRowLastColumn="0"/>
            <w:tcW w:w="1107" w:type="pct"/>
            <w:vMerge/>
            <w:tcBorders>
              <w:right w:val="nil"/>
            </w:tcBorders>
            <w:vAlign w:val="center"/>
            <w:hideMark/>
          </w:tcPr>
          <w:p w14:paraId="525D1422" w14:textId="77777777" w:rsidR="00336C16" w:rsidRDefault="00336C16">
            <w:pPr>
              <w:rPr>
                <w:rFonts w:ascii="Georgia" w:hAnsi="Georgia" w:cs="Georgia"/>
                <w:sz w:val="20"/>
                <w:szCs w:val="20"/>
              </w:rPr>
            </w:pPr>
          </w:p>
        </w:tc>
        <w:tc>
          <w:tcPr>
            <w:tcW w:w="1297" w:type="pct"/>
            <w:vMerge/>
            <w:tcBorders>
              <w:left w:val="nil"/>
              <w:right w:val="nil"/>
            </w:tcBorders>
            <w:vAlign w:val="center"/>
            <w:hideMark/>
          </w:tcPr>
          <w:p w14:paraId="57DA2BB3" w14:textId="77777777" w:rsidR="00336C16"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1298" w:type="pct"/>
            <w:vMerge/>
            <w:tcBorders>
              <w:top w:val="nil"/>
              <w:left w:val="nil"/>
              <w:right w:val="nil"/>
            </w:tcBorders>
            <w:vAlign w:val="center"/>
            <w:hideMark/>
          </w:tcPr>
          <w:p w14:paraId="67CB5993" w14:textId="77777777" w:rsidR="00336C16"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1298" w:type="pct"/>
            <w:tcBorders>
              <w:left w:val="nil"/>
            </w:tcBorders>
            <w:hideMark/>
          </w:tcPr>
          <w:p w14:paraId="7F385DA6" w14:textId="77777777"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2014 m. energijos vartojimo efektyvumo veiksmų planas 3.2 dalis „energijos vartojimo efektyvumo didinimo priemonės namų ūkių sektoriuje“</w:t>
            </w:r>
          </w:p>
        </w:tc>
      </w:tr>
      <w:tr w:rsidR="00336C16" w14:paraId="1BC8597A" w14:textId="77777777" w:rsidTr="00466A70">
        <w:trPr>
          <w:cantSplit/>
          <w:trHeight w:val="306"/>
        </w:trPr>
        <w:tc>
          <w:tcPr>
            <w:cnfStyle w:val="001000000000" w:firstRow="0" w:lastRow="0" w:firstColumn="1" w:lastColumn="0" w:oddVBand="0" w:evenVBand="0" w:oddHBand="0" w:evenHBand="0" w:firstRowFirstColumn="0" w:firstRowLastColumn="0" w:lastRowFirstColumn="0" w:lastRowLastColumn="0"/>
            <w:tcW w:w="1107" w:type="pct"/>
            <w:vMerge w:val="restart"/>
            <w:tcBorders>
              <w:top w:val="nil"/>
              <w:left w:val="single" w:sz="8" w:space="0" w:color="C0504D" w:themeColor="accent2"/>
              <w:bottom w:val="nil"/>
              <w:right w:val="nil"/>
            </w:tcBorders>
            <w:hideMark/>
          </w:tcPr>
          <w:p w14:paraId="7BF27C0A" w14:textId="77777777" w:rsidR="00336C16" w:rsidRDefault="00336C16" w:rsidP="00936224">
            <w:pPr>
              <w:autoSpaceDE w:val="0"/>
              <w:autoSpaceDN w:val="0"/>
              <w:adjustRightInd w:val="0"/>
              <w:jc w:val="both"/>
              <w:rPr>
                <w:rFonts w:ascii="Georgia" w:hAnsi="Georgia" w:cs="Georgia"/>
                <w:sz w:val="20"/>
                <w:szCs w:val="20"/>
              </w:rPr>
            </w:pPr>
            <w:r>
              <w:rPr>
                <w:rFonts w:ascii="Georgia" w:hAnsi="Georgia" w:cs="Georgia"/>
                <w:sz w:val="20"/>
                <w:szCs w:val="20"/>
              </w:rPr>
              <w:lastRenderedPageBreak/>
              <w:t xml:space="preserve">Savivaldybių viešųjų pastatų </w:t>
            </w:r>
            <w:r w:rsidR="00936224">
              <w:rPr>
                <w:rFonts w:ascii="Georgia" w:hAnsi="Georgia" w:cs="Georgia"/>
                <w:sz w:val="20"/>
                <w:szCs w:val="20"/>
              </w:rPr>
              <w:t>modernizavimas</w:t>
            </w:r>
          </w:p>
        </w:tc>
        <w:tc>
          <w:tcPr>
            <w:tcW w:w="1297" w:type="pct"/>
            <w:vMerge w:val="restart"/>
            <w:tcBorders>
              <w:top w:val="nil"/>
              <w:left w:val="nil"/>
              <w:bottom w:val="nil"/>
              <w:right w:val="nil"/>
            </w:tcBorders>
            <w:hideMark/>
          </w:tcPr>
          <w:p w14:paraId="208D8578" w14:textId="77777777"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4 prioritetas „Energijos efektyvumo ir atsinaujinančių išteklių energijos gamybos ir naudojimo skatinimas“</w:t>
            </w:r>
          </w:p>
        </w:tc>
        <w:tc>
          <w:tcPr>
            <w:tcW w:w="1298" w:type="pct"/>
            <w:tcBorders>
              <w:top w:val="nil"/>
              <w:left w:val="nil"/>
              <w:bottom w:val="nil"/>
              <w:right w:val="nil"/>
            </w:tcBorders>
            <w:hideMark/>
          </w:tcPr>
          <w:p w14:paraId="70460D8E" w14:textId="77777777"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Europa 2020 – 3 tikslas „Klimato kaita ir energetikos tvarumas“</w:t>
            </w:r>
          </w:p>
        </w:tc>
        <w:tc>
          <w:tcPr>
            <w:tcW w:w="1298" w:type="pct"/>
            <w:vMerge w:val="restart"/>
            <w:tcBorders>
              <w:top w:val="nil"/>
              <w:left w:val="nil"/>
              <w:bottom w:val="single" w:sz="8" w:space="0" w:color="C0504D" w:themeColor="accent2"/>
              <w:right w:val="single" w:sz="8" w:space="0" w:color="C0504D" w:themeColor="accent2"/>
            </w:tcBorders>
            <w:hideMark/>
          </w:tcPr>
          <w:p w14:paraId="4A82ECEF" w14:textId="77777777"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Nacionalinės pažangos strategija – 3.3.2 uždavinys</w:t>
            </w:r>
          </w:p>
        </w:tc>
      </w:tr>
      <w:tr w:rsidR="00336C16" w14:paraId="5ACC42BE" w14:textId="77777777" w:rsidTr="00466A70">
        <w:trPr>
          <w:cnfStyle w:val="000000100000" w:firstRow="0" w:lastRow="0" w:firstColumn="0" w:lastColumn="0" w:oddVBand="0" w:evenVBand="0" w:oddHBand="1" w:evenHBand="0" w:firstRowFirstColumn="0" w:firstRowLastColumn="0" w:lastRowFirstColumn="0" w:lastRowLastColumn="0"/>
          <w:cantSplit/>
          <w:trHeight w:val="305"/>
        </w:trPr>
        <w:tc>
          <w:tcPr>
            <w:cnfStyle w:val="001000000000" w:firstRow="0" w:lastRow="0" w:firstColumn="1" w:lastColumn="0" w:oddVBand="0" w:evenVBand="0" w:oddHBand="0" w:evenHBand="0" w:firstRowFirstColumn="0" w:firstRowLastColumn="0" w:lastRowFirstColumn="0" w:lastRowLastColumn="0"/>
            <w:tcW w:w="1107" w:type="pct"/>
            <w:vMerge/>
            <w:tcBorders>
              <w:top w:val="nil"/>
              <w:bottom w:val="nil"/>
              <w:right w:val="nil"/>
            </w:tcBorders>
            <w:vAlign w:val="center"/>
            <w:hideMark/>
          </w:tcPr>
          <w:p w14:paraId="701D7030" w14:textId="77777777" w:rsidR="00336C16" w:rsidRDefault="00336C16">
            <w:pPr>
              <w:rPr>
                <w:rFonts w:ascii="Georgia" w:hAnsi="Georgia" w:cs="Georgia"/>
                <w:sz w:val="20"/>
                <w:szCs w:val="20"/>
              </w:rPr>
            </w:pPr>
          </w:p>
        </w:tc>
        <w:tc>
          <w:tcPr>
            <w:tcW w:w="1297" w:type="pct"/>
            <w:vMerge/>
            <w:tcBorders>
              <w:top w:val="nil"/>
              <w:left w:val="nil"/>
              <w:bottom w:val="nil"/>
              <w:right w:val="nil"/>
            </w:tcBorders>
            <w:vAlign w:val="center"/>
            <w:hideMark/>
          </w:tcPr>
          <w:p w14:paraId="3465DD98" w14:textId="77777777" w:rsidR="00336C16"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1298" w:type="pct"/>
            <w:tcBorders>
              <w:left w:val="nil"/>
              <w:right w:val="nil"/>
            </w:tcBorders>
            <w:hideMark/>
          </w:tcPr>
          <w:p w14:paraId="42F2E94F" w14:textId="77777777"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Energijos efektyvumo direktyva</w:t>
            </w:r>
          </w:p>
        </w:tc>
        <w:tc>
          <w:tcPr>
            <w:tcW w:w="1298" w:type="pct"/>
            <w:vMerge/>
            <w:tcBorders>
              <w:top w:val="nil"/>
              <w:left w:val="nil"/>
            </w:tcBorders>
            <w:vAlign w:val="center"/>
            <w:hideMark/>
          </w:tcPr>
          <w:p w14:paraId="7BED5469" w14:textId="77777777" w:rsidR="00336C16"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r>
      <w:tr w:rsidR="00336C16" w14:paraId="549EF7A5" w14:textId="77777777" w:rsidTr="00466A70">
        <w:trPr>
          <w:cantSplit/>
          <w:trHeight w:val="305"/>
        </w:trPr>
        <w:tc>
          <w:tcPr>
            <w:cnfStyle w:val="001000000000" w:firstRow="0" w:lastRow="0" w:firstColumn="1" w:lastColumn="0" w:oddVBand="0" w:evenVBand="0" w:oddHBand="0" w:evenHBand="0" w:firstRowFirstColumn="0" w:firstRowLastColumn="0" w:lastRowFirstColumn="0" w:lastRowLastColumn="0"/>
            <w:tcW w:w="1107" w:type="pct"/>
            <w:vMerge/>
            <w:tcBorders>
              <w:top w:val="nil"/>
              <w:left w:val="single" w:sz="8" w:space="0" w:color="C0504D" w:themeColor="accent2"/>
              <w:bottom w:val="nil"/>
              <w:right w:val="nil"/>
            </w:tcBorders>
            <w:vAlign w:val="center"/>
            <w:hideMark/>
          </w:tcPr>
          <w:p w14:paraId="692963F0" w14:textId="77777777" w:rsidR="00336C16" w:rsidRDefault="00336C16">
            <w:pPr>
              <w:rPr>
                <w:rFonts w:ascii="Georgia" w:hAnsi="Georgia" w:cs="Georgia"/>
                <w:sz w:val="20"/>
                <w:szCs w:val="20"/>
              </w:rPr>
            </w:pPr>
          </w:p>
        </w:tc>
        <w:tc>
          <w:tcPr>
            <w:tcW w:w="1297" w:type="pct"/>
            <w:vMerge/>
            <w:tcBorders>
              <w:top w:val="nil"/>
              <w:left w:val="nil"/>
              <w:bottom w:val="nil"/>
              <w:right w:val="nil"/>
            </w:tcBorders>
            <w:vAlign w:val="center"/>
            <w:hideMark/>
          </w:tcPr>
          <w:p w14:paraId="73EBE41F" w14:textId="77777777" w:rsidR="00336C16"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1298" w:type="pct"/>
            <w:tcBorders>
              <w:top w:val="nil"/>
              <w:left w:val="nil"/>
              <w:bottom w:val="nil"/>
              <w:right w:val="nil"/>
            </w:tcBorders>
            <w:hideMark/>
          </w:tcPr>
          <w:p w14:paraId="3B9B75B8" w14:textId="77777777"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Bendrųjų nuostatų reglamentas– 9 straipsnis, 4 teminis tikslas</w:t>
            </w:r>
          </w:p>
        </w:tc>
        <w:tc>
          <w:tcPr>
            <w:tcW w:w="1298" w:type="pct"/>
            <w:vMerge w:val="restart"/>
            <w:tcBorders>
              <w:top w:val="nil"/>
              <w:left w:val="nil"/>
              <w:bottom w:val="single" w:sz="8" w:space="0" w:color="C0504D" w:themeColor="accent2"/>
              <w:right w:val="single" w:sz="8" w:space="0" w:color="C0504D" w:themeColor="accent2"/>
            </w:tcBorders>
            <w:hideMark/>
          </w:tcPr>
          <w:p w14:paraId="55FFE271" w14:textId="77777777"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Nacionalinė energetinės nepriklausomybės strategija – energetinio efektyvumo didinimo strategija</w:t>
            </w:r>
          </w:p>
        </w:tc>
      </w:tr>
      <w:tr w:rsidR="00336C16" w14:paraId="313EAAF3" w14:textId="77777777" w:rsidTr="00466A70">
        <w:trPr>
          <w:cnfStyle w:val="000000100000" w:firstRow="0" w:lastRow="0" w:firstColumn="0" w:lastColumn="0" w:oddVBand="0" w:evenVBand="0" w:oddHBand="1" w:evenHBand="0" w:firstRowFirstColumn="0" w:firstRowLastColumn="0" w:lastRowFirstColumn="0" w:lastRowLastColumn="0"/>
          <w:cantSplit/>
          <w:trHeight w:val="509"/>
        </w:trPr>
        <w:tc>
          <w:tcPr>
            <w:cnfStyle w:val="001000000000" w:firstRow="0" w:lastRow="0" w:firstColumn="1" w:lastColumn="0" w:oddVBand="0" w:evenVBand="0" w:oddHBand="0" w:evenHBand="0" w:firstRowFirstColumn="0" w:firstRowLastColumn="0" w:lastRowFirstColumn="0" w:lastRowLastColumn="0"/>
            <w:tcW w:w="1107" w:type="pct"/>
            <w:vMerge/>
            <w:tcBorders>
              <w:top w:val="nil"/>
              <w:bottom w:val="nil"/>
              <w:right w:val="nil"/>
            </w:tcBorders>
            <w:vAlign w:val="center"/>
            <w:hideMark/>
          </w:tcPr>
          <w:p w14:paraId="718F52AD" w14:textId="77777777" w:rsidR="00336C16" w:rsidRDefault="00336C16">
            <w:pPr>
              <w:rPr>
                <w:rFonts w:ascii="Georgia" w:hAnsi="Georgia" w:cs="Georgia"/>
                <w:sz w:val="20"/>
                <w:szCs w:val="20"/>
              </w:rPr>
            </w:pPr>
          </w:p>
        </w:tc>
        <w:tc>
          <w:tcPr>
            <w:tcW w:w="1297" w:type="pct"/>
            <w:vMerge/>
            <w:tcBorders>
              <w:top w:val="nil"/>
              <w:left w:val="nil"/>
              <w:bottom w:val="nil"/>
              <w:right w:val="nil"/>
            </w:tcBorders>
            <w:vAlign w:val="center"/>
            <w:hideMark/>
          </w:tcPr>
          <w:p w14:paraId="2263999B" w14:textId="77777777" w:rsidR="00336C16"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1298" w:type="pct"/>
            <w:vMerge w:val="restart"/>
            <w:tcBorders>
              <w:left w:val="nil"/>
              <w:bottom w:val="nil"/>
              <w:right w:val="nil"/>
            </w:tcBorders>
            <w:hideMark/>
          </w:tcPr>
          <w:p w14:paraId="6208925E" w14:textId="77777777"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Europos regioninės plėtros fondo reglamentas– 5 straipsnis, 4 investavimo prioritetas</w:t>
            </w:r>
          </w:p>
        </w:tc>
        <w:tc>
          <w:tcPr>
            <w:tcW w:w="1298" w:type="pct"/>
            <w:vMerge/>
            <w:tcBorders>
              <w:top w:val="nil"/>
              <w:left w:val="nil"/>
            </w:tcBorders>
            <w:vAlign w:val="center"/>
            <w:hideMark/>
          </w:tcPr>
          <w:p w14:paraId="7DE40FCA" w14:textId="77777777" w:rsidR="00336C16"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r>
      <w:tr w:rsidR="00336C16" w14:paraId="1DDC4645" w14:textId="77777777" w:rsidTr="00466A70">
        <w:trPr>
          <w:cantSplit/>
          <w:trHeight w:val="306"/>
        </w:trPr>
        <w:tc>
          <w:tcPr>
            <w:cnfStyle w:val="001000000000" w:firstRow="0" w:lastRow="0" w:firstColumn="1" w:lastColumn="0" w:oddVBand="0" w:evenVBand="0" w:oddHBand="0" w:evenHBand="0" w:firstRowFirstColumn="0" w:firstRowLastColumn="0" w:lastRowFirstColumn="0" w:lastRowLastColumn="0"/>
            <w:tcW w:w="1107" w:type="pct"/>
            <w:vMerge/>
            <w:tcBorders>
              <w:top w:val="nil"/>
              <w:left w:val="single" w:sz="8" w:space="0" w:color="C0504D" w:themeColor="accent2"/>
              <w:bottom w:val="nil"/>
              <w:right w:val="nil"/>
            </w:tcBorders>
            <w:vAlign w:val="center"/>
            <w:hideMark/>
          </w:tcPr>
          <w:p w14:paraId="4C30FBC7" w14:textId="77777777" w:rsidR="00336C16" w:rsidRDefault="00336C16">
            <w:pPr>
              <w:rPr>
                <w:rFonts w:ascii="Georgia" w:hAnsi="Georgia" w:cs="Georgia"/>
                <w:sz w:val="20"/>
                <w:szCs w:val="20"/>
              </w:rPr>
            </w:pPr>
          </w:p>
        </w:tc>
        <w:tc>
          <w:tcPr>
            <w:tcW w:w="1297" w:type="pct"/>
            <w:vMerge/>
            <w:tcBorders>
              <w:top w:val="nil"/>
              <w:left w:val="nil"/>
              <w:bottom w:val="nil"/>
              <w:right w:val="nil"/>
            </w:tcBorders>
            <w:vAlign w:val="center"/>
            <w:hideMark/>
          </w:tcPr>
          <w:p w14:paraId="0E37D06C" w14:textId="77777777" w:rsidR="00336C16"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1298" w:type="pct"/>
            <w:vMerge/>
            <w:tcBorders>
              <w:top w:val="single" w:sz="8" w:space="0" w:color="C0504D" w:themeColor="accent2"/>
              <w:left w:val="nil"/>
              <w:bottom w:val="nil"/>
              <w:right w:val="nil"/>
            </w:tcBorders>
            <w:vAlign w:val="center"/>
            <w:hideMark/>
          </w:tcPr>
          <w:p w14:paraId="0E436B85" w14:textId="77777777" w:rsidR="00336C16"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1298" w:type="pct"/>
            <w:tcBorders>
              <w:top w:val="nil"/>
              <w:left w:val="nil"/>
              <w:bottom w:val="nil"/>
              <w:right w:val="single" w:sz="8" w:space="0" w:color="C0504D" w:themeColor="accent2"/>
            </w:tcBorders>
            <w:hideMark/>
          </w:tcPr>
          <w:p w14:paraId="4B808E34" w14:textId="77777777"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2014 m. energijos vartojimo efektyvumo veiksmų planas 3.3 dalis „energijos vartojimo efektyvumo didinimo priemonės paslaugų sektoriuje“</w:t>
            </w:r>
          </w:p>
        </w:tc>
      </w:tr>
      <w:tr w:rsidR="00336C16" w14:paraId="30FDE7B8" w14:textId="77777777" w:rsidTr="00466A70">
        <w:trPr>
          <w:cnfStyle w:val="000000100000" w:firstRow="0" w:lastRow="0" w:firstColumn="0" w:lastColumn="0" w:oddVBand="0" w:evenVBand="0" w:oddHBand="1" w:evenHBand="0" w:firstRowFirstColumn="0" w:firstRowLastColumn="0" w:lastRowFirstColumn="0" w:lastRowLastColumn="0"/>
          <w:cantSplit/>
          <w:trHeight w:val="306"/>
        </w:trPr>
        <w:tc>
          <w:tcPr>
            <w:cnfStyle w:val="001000000000" w:firstRow="0" w:lastRow="0" w:firstColumn="1" w:lastColumn="0" w:oddVBand="0" w:evenVBand="0" w:oddHBand="0" w:evenHBand="0" w:firstRowFirstColumn="0" w:firstRowLastColumn="0" w:lastRowFirstColumn="0" w:lastRowLastColumn="0"/>
            <w:tcW w:w="1107" w:type="pct"/>
            <w:vMerge w:val="restart"/>
            <w:tcBorders>
              <w:right w:val="nil"/>
            </w:tcBorders>
            <w:hideMark/>
          </w:tcPr>
          <w:p w14:paraId="268095B1" w14:textId="77777777" w:rsidR="00336C16" w:rsidRDefault="00336C16" w:rsidP="00936224">
            <w:pPr>
              <w:autoSpaceDE w:val="0"/>
              <w:autoSpaceDN w:val="0"/>
              <w:adjustRightInd w:val="0"/>
              <w:jc w:val="both"/>
              <w:rPr>
                <w:rFonts w:ascii="Georgia" w:hAnsi="Georgia" w:cs="Georgia"/>
                <w:sz w:val="20"/>
                <w:szCs w:val="20"/>
              </w:rPr>
            </w:pPr>
            <w:r>
              <w:rPr>
                <w:rFonts w:ascii="Georgia" w:hAnsi="Georgia" w:cs="Georgia"/>
                <w:sz w:val="20"/>
                <w:szCs w:val="20"/>
              </w:rPr>
              <w:t xml:space="preserve">Valstybės viešųjų pastatų </w:t>
            </w:r>
            <w:r w:rsidR="00936224">
              <w:rPr>
                <w:rFonts w:ascii="Georgia" w:hAnsi="Georgia" w:cs="Georgia"/>
                <w:sz w:val="20"/>
                <w:szCs w:val="20"/>
              </w:rPr>
              <w:t>modernizavimas</w:t>
            </w:r>
          </w:p>
        </w:tc>
        <w:tc>
          <w:tcPr>
            <w:tcW w:w="1297" w:type="pct"/>
            <w:vMerge w:val="restart"/>
            <w:tcBorders>
              <w:left w:val="nil"/>
              <w:right w:val="nil"/>
            </w:tcBorders>
            <w:hideMark/>
          </w:tcPr>
          <w:p w14:paraId="2DFB6BDD" w14:textId="77777777"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4 prioritetas „Energijos efektyvumo ir atsinaujinančių išteklių energijos gamybos ir naudojimo skatinimas“</w:t>
            </w:r>
          </w:p>
        </w:tc>
        <w:tc>
          <w:tcPr>
            <w:tcW w:w="1298" w:type="pct"/>
            <w:tcBorders>
              <w:left w:val="nil"/>
              <w:right w:val="nil"/>
            </w:tcBorders>
            <w:hideMark/>
          </w:tcPr>
          <w:p w14:paraId="2165B87B" w14:textId="77777777"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Europa 2020 – 3 tikslas „Klimato kaita ir energetikos tvarumas“</w:t>
            </w:r>
          </w:p>
        </w:tc>
        <w:tc>
          <w:tcPr>
            <w:tcW w:w="1298" w:type="pct"/>
            <w:vMerge w:val="restart"/>
            <w:tcBorders>
              <w:left w:val="nil"/>
              <w:bottom w:val="nil"/>
            </w:tcBorders>
            <w:hideMark/>
          </w:tcPr>
          <w:p w14:paraId="56630D31" w14:textId="77777777"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Nacionalinės pažangos strategija – 3.3.2 uždavinys</w:t>
            </w:r>
          </w:p>
        </w:tc>
      </w:tr>
      <w:tr w:rsidR="00336C16" w14:paraId="48A26D7B" w14:textId="77777777" w:rsidTr="00466A70">
        <w:trPr>
          <w:cantSplit/>
          <w:trHeight w:val="305"/>
        </w:trPr>
        <w:tc>
          <w:tcPr>
            <w:cnfStyle w:val="001000000000" w:firstRow="0" w:lastRow="0" w:firstColumn="1" w:lastColumn="0" w:oddVBand="0" w:evenVBand="0" w:oddHBand="0" w:evenHBand="0" w:firstRowFirstColumn="0" w:firstRowLastColumn="0" w:lastRowFirstColumn="0" w:lastRowLastColumn="0"/>
            <w:tcW w:w="1107" w:type="pct"/>
            <w:vMerge/>
            <w:tcBorders>
              <w:top w:val="single" w:sz="8" w:space="0" w:color="C0504D" w:themeColor="accent2"/>
              <w:left w:val="single" w:sz="8" w:space="0" w:color="C0504D" w:themeColor="accent2"/>
              <w:bottom w:val="single" w:sz="8" w:space="0" w:color="C0504D" w:themeColor="accent2"/>
              <w:right w:val="nil"/>
            </w:tcBorders>
            <w:vAlign w:val="center"/>
            <w:hideMark/>
          </w:tcPr>
          <w:p w14:paraId="17AF4C4C" w14:textId="77777777" w:rsidR="00336C16" w:rsidRDefault="00336C16">
            <w:pPr>
              <w:rPr>
                <w:rFonts w:ascii="Georgia" w:hAnsi="Georgia" w:cs="Georgia"/>
                <w:sz w:val="20"/>
                <w:szCs w:val="20"/>
              </w:rPr>
            </w:pPr>
          </w:p>
        </w:tc>
        <w:tc>
          <w:tcPr>
            <w:tcW w:w="1297" w:type="pct"/>
            <w:vMerge/>
            <w:tcBorders>
              <w:top w:val="single" w:sz="8" w:space="0" w:color="C0504D" w:themeColor="accent2"/>
              <w:left w:val="nil"/>
              <w:bottom w:val="single" w:sz="8" w:space="0" w:color="C0504D" w:themeColor="accent2"/>
              <w:right w:val="nil"/>
            </w:tcBorders>
            <w:vAlign w:val="center"/>
            <w:hideMark/>
          </w:tcPr>
          <w:p w14:paraId="3B0EB9E7" w14:textId="77777777" w:rsidR="00336C16"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1298" w:type="pct"/>
            <w:tcBorders>
              <w:top w:val="nil"/>
              <w:left w:val="nil"/>
              <w:bottom w:val="nil"/>
              <w:right w:val="nil"/>
            </w:tcBorders>
            <w:hideMark/>
          </w:tcPr>
          <w:p w14:paraId="3EFEB8E5" w14:textId="77777777"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Energijos efektyvumo direktyva</w:t>
            </w:r>
          </w:p>
        </w:tc>
        <w:tc>
          <w:tcPr>
            <w:tcW w:w="1298" w:type="pct"/>
            <w:vMerge/>
            <w:tcBorders>
              <w:top w:val="single" w:sz="8" w:space="0" w:color="C0504D" w:themeColor="accent2"/>
              <w:left w:val="nil"/>
              <w:bottom w:val="nil"/>
              <w:right w:val="single" w:sz="8" w:space="0" w:color="C0504D" w:themeColor="accent2"/>
            </w:tcBorders>
            <w:vAlign w:val="center"/>
            <w:hideMark/>
          </w:tcPr>
          <w:p w14:paraId="4D080B32" w14:textId="77777777" w:rsidR="00336C16"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r>
      <w:tr w:rsidR="00336C16" w14:paraId="0F0FA4DE" w14:textId="77777777" w:rsidTr="00466A70">
        <w:trPr>
          <w:cnfStyle w:val="000000100000" w:firstRow="0" w:lastRow="0" w:firstColumn="0" w:lastColumn="0" w:oddVBand="0" w:evenVBand="0" w:oddHBand="1" w:evenHBand="0" w:firstRowFirstColumn="0" w:firstRowLastColumn="0" w:lastRowFirstColumn="0" w:lastRowLastColumn="0"/>
          <w:cantSplit/>
          <w:trHeight w:val="305"/>
        </w:trPr>
        <w:tc>
          <w:tcPr>
            <w:cnfStyle w:val="001000000000" w:firstRow="0" w:lastRow="0" w:firstColumn="1" w:lastColumn="0" w:oddVBand="0" w:evenVBand="0" w:oddHBand="0" w:evenHBand="0" w:firstRowFirstColumn="0" w:firstRowLastColumn="0" w:lastRowFirstColumn="0" w:lastRowLastColumn="0"/>
            <w:tcW w:w="1107" w:type="pct"/>
            <w:vMerge/>
            <w:tcBorders>
              <w:right w:val="nil"/>
            </w:tcBorders>
            <w:vAlign w:val="center"/>
            <w:hideMark/>
          </w:tcPr>
          <w:p w14:paraId="1A4EEC3D" w14:textId="77777777" w:rsidR="00336C16" w:rsidRDefault="00336C16">
            <w:pPr>
              <w:rPr>
                <w:rFonts w:ascii="Georgia" w:hAnsi="Georgia" w:cs="Georgia"/>
                <w:sz w:val="20"/>
                <w:szCs w:val="20"/>
              </w:rPr>
            </w:pPr>
          </w:p>
        </w:tc>
        <w:tc>
          <w:tcPr>
            <w:tcW w:w="1297" w:type="pct"/>
            <w:vMerge/>
            <w:tcBorders>
              <w:left w:val="nil"/>
              <w:right w:val="nil"/>
            </w:tcBorders>
            <w:vAlign w:val="center"/>
            <w:hideMark/>
          </w:tcPr>
          <w:p w14:paraId="60C9B0DB" w14:textId="77777777" w:rsidR="00336C16"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1298" w:type="pct"/>
            <w:tcBorders>
              <w:left w:val="nil"/>
              <w:right w:val="nil"/>
            </w:tcBorders>
            <w:hideMark/>
          </w:tcPr>
          <w:p w14:paraId="3492B373" w14:textId="77777777"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Bendrųjų nuostatų reglamentas– 9 straipsnis, 4 teminis tikslas</w:t>
            </w:r>
          </w:p>
        </w:tc>
        <w:tc>
          <w:tcPr>
            <w:tcW w:w="1298" w:type="pct"/>
            <w:vMerge w:val="restart"/>
            <w:tcBorders>
              <w:left w:val="nil"/>
              <w:bottom w:val="nil"/>
            </w:tcBorders>
            <w:hideMark/>
          </w:tcPr>
          <w:p w14:paraId="7AFB2036" w14:textId="77777777"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Nacionalinė energetinės nepriklausomybės strategija – energetinio efektyvumo didinimo strategija</w:t>
            </w:r>
          </w:p>
        </w:tc>
      </w:tr>
      <w:tr w:rsidR="00336C16" w14:paraId="1CD4E9D4" w14:textId="77777777" w:rsidTr="00466A70">
        <w:trPr>
          <w:cantSplit/>
          <w:trHeight w:val="509"/>
        </w:trPr>
        <w:tc>
          <w:tcPr>
            <w:cnfStyle w:val="001000000000" w:firstRow="0" w:lastRow="0" w:firstColumn="1" w:lastColumn="0" w:oddVBand="0" w:evenVBand="0" w:oddHBand="0" w:evenHBand="0" w:firstRowFirstColumn="0" w:firstRowLastColumn="0" w:lastRowFirstColumn="0" w:lastRowLastColumn="0"/>
            <w:tcW w:w="1107" w:type="pct"/>
            <w:vMerge/>
            <w:tcBorders>
              <w:top w:val="single" w:sz="8" w:space="0" w:color="C0504D" w:themeColor="accent2"/>
              <w:left w:val="single" w:sz="8" w:space="0" w:color="C0504D" w:themeColor="accent2"/>
              <w:bottom w:val="single" w:sz="8" w:space="0" w:color="C0504D" w:themeColor="accent2"/>
              <w:right w:val="nil"/>
            </w:tcBorders>
            <w:vAlign w:val="center"/>
            <w:hideMark/>
          </w:tcPr>
          <w:p w14:paraId="663485D4" w14:textId="77777777" w:rsidR="00336C16" w:rsidRDefault="00336C16">
            <w:pPr>
              <w:rPr>
                <w:rFonts w:ascii="Georgia" w:hAnsi="Georgia" w:cs="Georgia"/>
                <w:sz w:val="20"/>
                <w:szCs w:val="20"/>
              </w:rPr>
            </w:pPr>
          </w:p>
        </w:tc>
        <w:tc>
          <w:tcPr>
            <w:tcW w:w="1297" w:type="pct"/>
            <w:vMerge/>
            <w:tcBorders>
              <w:top w:val="single" w:sz="8" w:space="0" w:color="C0504D" w:themeColor="accent2"/>
              <w:left w:val="nil"/>
              <w:bottom w:val="single" w:sz="8" w:space="0" w:color="C0504D" w:themeColor="accent2"/>
              <w:right w:val="nil"/>
            </w:tcBorders>
            <w:vAlign w:val="center"/>
            <w:hideMark/>
          </w:tcPr>
          <w:p w14:paraId="07FF042A" w14:textId="77777777" w:rsidR="00336C16"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1298" w:type="pct"/>
            <w:vMerge w:val="restart"/>
            <w:tcBorders>
              <w:top w:val="nil"/>
              <w:left w:val="nil"/>
              <w:bottom w:val="single" w:sz="8" w:space="0" w:color="C0504D" w:themeColor="accent2"/>
              <w:right w:val="nil"/>
            </w:tcBorders>
            <w:hideMark/>
          </w:tcPr>
          <w:p w14:paraId="5D4F732F" w14:textId="77777777"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Europos regioninės plėtros fondo reglamentas– 5 straipsnis, 4 investavimo prioritetas</w:t>
            </w:r>
          </w:p>
        </w:tc>
        <w:tc>
          <w:tcPr>
            <w:tcW w:w="1298" w:type="pct"/>
            <w:vMerge/>
            <w:tcBorders>
              <w:top w:val="single" w:sz="8" w:space="0" w:color="C0504D" w:themeColor="accent2"/>
              <w:left w:val="nil"/>
              <w:bottom w:val="nil"/>
              <w:right w:val="single" w:sz="8" w:space="0" w:color="C0504D" w:themeColor="accent2"/>
            </w:tcBorders>
            <w:vAlign w:val="center"/>
            <w:hideMark/>
          </w:tcPr>
          <w:p w14:paraId="4C02A731" w14:textId="77777777" w:rsidR="00336C16"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r>
      <w:tr w:rsidR="00336C16" w14:paraId="423AA85E" w14:textId="77777777" w:rsidTr="00466A70">
        <w:trPr>
          <w:cnfStyle w:val="000000100000" w:firstRow="0" w:lastRow="0" w:firstColumn="0" w:lastColumn="0" w:oddVBand="0" w:evenVBand="0" w:oddHBand="1" w:evenHBand="0" w:firstRowFirstColumn="0" w:firstRowLastColumn="0" w:lastRowFirstColumn="0" w:lastRowLastColumn="0"/>
          <w:cantSplit/>
          <w:trHeight w:val="306"/>
        </w:trPr>
        <w:tc>
          <w:tcPr>
            <w:cnfStyle w:val="001000000000" w:firstRow="0" w:lastRow="0" w:firstColumn="1" w:lastColumn="0" w:oddVBand="0" w:evenVBand="0" w:oddHBand="0" w:evenHBand="0" w:firstRowFirstColumn="0" w:firstRowLastColumn="0" w:lastRowFirstColumn="0" w:lastRowLastColumn="0"/>
            <w:tcW w:w="1107" w:type="pct"/>
            <w:vMerge/>
            <w:tcBorders>
              <w:right w:val="nil"/>
            </w:tcBorders>
            <w:vAlign w:val="center"/>
            <w:hideMark/>
          </w:tcPr>
          <w:p w14:paraId="2F1B3A7D" w14:textId="77777777" w:rsidR="00336C16" w:rsidRDefault="00336C16">
            <w:pPr>
              <w:rPr>
                <w:rFonts w:ascii="Georgia" w:hAnsi="Georgia" w:cs="Georgia"/>
                <w:sz w:val="20"/>
                <w:szCs w:val="20"/>
              </w:rPr>
            </w:pPr>
          </w:p>
        </w:tc>
        <w:tc>
          <w:tcPr>
            <w:tcW w:w="1297" w:type="pct"/>
            <w:vMerge/>
            <w:tcBorders>
              <w:left w:val="nil"/>
              <w:right w:val="nil"/>
            </w:tcBorders>
            <w:vAlign w:val="center"/>
            <w:hideMark/>
          </w:tcPr>
          <w:p w14:paraId="429FAA65" w14:textId="77777777" w:rsidR="00336C16"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1298" w:type="pct"/>
            <w:vMerge/>
            <w:tcBorders>
              <w:top w:val="nil"/>
              <w:left w:val="nil"/>
              <w:right w:val="nil"/>
            </w:tcBorders>
            <w:vAlign w:val="center"/>
            <w:hideMark/>
          </w:tcPr>
          <w:p w14:paraId="0258CE7F" w14:textId="77777777" w:rsidR="00336C16"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1298" w:type="pct"/>
            <w:tcBorders>
              <w:left w:val="nil"/>
            </w:tcBorders>
            <w:hideMark/>
          </w:tcPr>
          <w:p w14:paraId="23F67D89" w14:textId="77777777"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2014 m. energijos vartojimo efektyvumo veiksmų planas 3.3 dalis „energijos vartojimo efektyvumo didinimo priemonės paslaugų sektoriuje“</w:t>
            </w:r>
          </w:p>
        </w:tc>
      </w:tr>
      <w:tr w:rsidR="00336C16" w14:paraId="60F0ED77" w14:textId="77777777" w:rsidTr="00466A70">
        <w:trPr>
          <w:cantSplit/>
          <w:trHeight w:val="306"/>
        </w:trPr>
        <w:tc>
          <w:tcPr>
            <w:cnfStyle w:val="001000000000" w:firstRow="0" w:lastRow="0" w:firstColumn="1" w:lastColumn="0" w:oddVBand="0" w:evenVBand="0" w:oddHBand="0" w:evenHBand="0" w:firstRowFirstColumn="0" w:firstRowLastColumn="0" w:lastRowFirstColumn="0" w:lastRowLastColumn="0"/>
            <w:tcW w:w="1107" w:type="pct"/>
            <w:vMerge w:val="restart"/>
            <w:tcBorders>
              <w:top w:val="nil"/>
              <w:left w:val="single" w:sz="8" w:space="0" w:color="C0504D" w:themeColor="accent2"/>
              <w:bottom w:val="single" w:sz="8" w:space="0" w:color="C0504D" w:themeColor="accent2"/>
              <w:right w:val="nil"/>
            </w:tcBorders>
            <w:hideMark/>
          </w:tcPr>
          <w:p w14:paraId="5F5A0672" w14:textId="77777777" w:rsidR="00336C16" w:rsidRDefault="00336C16">
            <w:pPr>
              <w:autoSpaceDE w:val="0"/>
              <w:autoSpaceDN w:val="0"/>
              <w:adjustRightInd w:val="0"/>
              <w:jc w:val="both"/>
              <w:rPr>
                <w:rFonts w:ascii="Georgia" w:hAnsi="Georgia" w:cs="Georgia"/>
                <w:sz w:val="20"/>
                <w:szCs w:val="20"/>
              </w:rPr>
            </w:pPr>
            <w:r>
              <w:rPr>
                <w:rFonts w:ascii="Georgia" w:hAnsi="Georgia" w:cs="Georgia"/>
                <w:sz w:val="20"/>
                <w:szCs w:val="20"/>
              </w:rPr>
              <w:t>Gatvių apšvietimo modernizavimas</w:t>
            </w:r>
          </w:p>
        </w:tc>
        <w:tc>
          <w:tcPr>
            <w:tcW w:w="1297" w:type="pct"/>
            <w:vMerge w:val="restart"/>
            <w:tcBorders>
              <w:top w:val="nil"/>
              <w:left w:val="nil"/>
              <w:bottom w:val="single" w:sz="8" w:space="0" w:color="C0504D" w:themeColor="accent2"/>
              <w:right w:val="nil"/>
            </w:tcBorders>
            <w:hideMark/>
          </w:tcPr>
          <w:p w14:paraId="1BB63DA0" w14:textId="77777777"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4 prioritetas „Energijos efektyvumo ir atsinaujinančių išteklių energijos gamybos ir naudojimo skatinimas“</w:t>
            </w:r>
          </w:p>
        </w:tc>
        <w:tc>
          <w:tcPr>
            <w:tcW w:w="1298" w:type="pct"/>
            <w:tcBorders>
              <w:top w:val="nil"/>
              <w:left w:val="nil"/>
              <w:bottom w:val="nil"/>
              <w:right w:val="nil"/>
            </w:tcBorders>
            <w:hideMark/>
          </w:tcPr>
          <w:p w14:paraId="3966E06B" w14:textId="77777777"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Europa 2020 – 3 tikslas „Klimato kaita ir energetikos tvarumas“</w:t>
            </w:r>
          </w:p>
        </w:tc>
        <w:tc>
          <w:tcPr>
            <w:tcW w:w="1298" w:type="pct"/>
            <w:vMerge w:val="restart"/>
            <w:tcBorders>
              <w:top w:val="nil"/>
              <w:left w:val="nil"/>
              <w:bottom w:val="single" w:sz="8" w:space="0" w:color="C0504D" w:themeColor="accent2"/>
              <w:right w:val="single" w:sz="8" w:space="0" w:color="C0504D" w:themeColor="accent2"/>
            </w:tcBorders>
            <w:hideMark/>
          </w:tcPr>
          <w:p w14:paraId="3ABC32AD" w14:textId="77777777"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Nacionalinės pažangos strategija – 3.3.2 uždavinys</w:t>
            </w:r>
          </w:p>
        </w:tc>
      </w:tr>
      <w:tr w:rsidR="00336C16" w14:paraId="2B9ECAF7" w14:textId="77777777" w:rsidTr="00466A70">
        <w:trPr>
          <w:cnfStyle w:val="000000100000" w:firstRow="0" w:lastRow="0" w:firstColumn="0" w:lastColumn="0" w:oddVBand="0" w:evenVBand="0" w:oddHBand="1" w:evenHBand="0" w:firstRowFirstColumn="0" w:firstRowLastColumn="0" w:lastRowFirstColumn="0" w:lastRowLastColumn="0"/>
          <w:cantSplit/>
          <w:trHeight w:val="305"/>
        </w:trPr>
        <w:tc>
          <w:tcPr>
            <w:cnfStyle w:val="001000000000" w:firstRow="0" w:lastRow="0" w:firstColumn="1" w:lastColumn="0" w:oddVBand="0" w:evenVBand="0" w:oddHBand="0" w:evenHBand="0" w:firstRowFirstColumn="0" w:firstRowLastColumn="0" w:lastRowFirstColumn="0" w:lastRowLastColumn="0"/>
            <w:tcW w:w="1107" w:type="pct"/>
            <w:vMerge/>
            <w:tcBorders>
              <w:top w:val="nil"/>
              <w:right w:val="nil"/>
            </w:tcBorders>
            <w:vAlign w:val="center"/>
            <w:hideMark/>
          </w:tcPr>
          <w:p w14:paraId="15D2C72C" w14:textId="77777777" w:rsidR="00336C16" w:rsidRDefault="00336C16">
            <w:pPr>
              <w:rPr>
                <w:rFonts w:ascii="Georgia" w:hAnsi="Georgia" w:cs="Georgia"/>
                <w:sz w:val="20"/>
                <w:szCs w:val="20"/>
              </w:rPr>
            </w:pPr>
          </w:p>
        </w:tc>
        <w:tc>
          <w:tcPr>
            <w:tcW w:w="1297" w:type="pct"/>
            <w:vMerge/>
            <w:tcBorders>
              <w:top w:val="nil"/>
              <w:left w:val="nil"/>
              <w:right w:val="nil"/>
            </w:tcBorders>
            <w:vAlign w:val="center"/>
            <w:hideMark/>
          </w:tcPr>
          <w:p w14:paraId="522FADC3" w14:textId="77777777" w:rsidR="00336C16"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1298" w:type="pct"/>
            <w:tcBorders>
              <w:left w:val="nil"/>
              <w:right w:val="nil"/>
            </w:tcBorders>
            <w:hideMark/>
          </w:tcPr>
          <w:p w14:paraId="0A29F653" w14:textId="77777777"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Energijos efektyvumo direktyva</w:t>
            </w:r>
          </w:p>
        </w:tc>
        <w:tc>
          <w:tcPr>
            <w:tcW w:w="1298" w:type="pct"/>
            <w:vMerge/>
            <w:tcBorders>
              <w:top w:val="nil"/>
              <w:left w:val="nil"/>
            </w:tcBorders>
            <w:vAlign w:val="center"/>
            <w:hideMark/>
          </w:tcPr>
          <w:p w14:paraId="06DB7186" w14:textId="77777777" w:rsidR="00336C16"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r>
      <w:tr w:rsidR="00336C16" w14:paraId="76CD1FC2" w14:textId="77777777" w:rsidTr="00466A70">
        <w:trPr>
          <w:cantSplit/>
          <w:trHeight w:val="305"/>
        </w:trPr>
        <w:tc>
          <w:tcPr>
            <w:cnfStyle w:val="001000000000" w:firstRow="0" w:lastRow="0" w:firstColumn="1" w:lastColumn="0" w:oddVBand="0" w:evenVBand="0" w:oddHBand="0" w:evenHBand="0" w:firstRowFirstColumn="0" w:firstRowLastColumn="0" w:lastRowFirstColumn="0" w:lastRowLastColumn="0"/>
            <w:tcW w:w="1107" w:type="pct"/>
            <w:vMerge/>
            <w:tcBorders>
              <w:top w:val="nil"/>
              <w:left w:val="single" w:sz="8" w:space="0" w:color="C0504D" w:themeColor="accent2"/>
              <w:bottom w:val="single" w:sz="8" w:space="0" w:color="C0504D" w:themeColor="accent2"/>
              <w:right w:val="nil"/>
            </w:tcBorders>
            <w:vAlign w:val="center"/>
            <w:hideMark/>
          </w:tcPr>
          <w:p w14:paraId="05DD42CC" w14:textId="77777777" w:rsidR="00336C16" w:rsidRDefault="00336C16">
            <w:pPr>
              <w:rPr>
                <w:rFonts w:ascii="Georgia" w:hAnsi="Georgia" w:cs="Georgia"/>
                <w:sz w:val="20"/>
                <w:szCs w:val="20"/>
              </w:rPr>
            </w:pPr>
          </w:p>
        </w:tc>
        <w:tc>
          <w:tcPr>
            <w:tcW w:w="1297" w:type="pct"/>
            <w:vMerge/>
            <w:tcBorders>
              <w:top w:val="nil"/>
              <w:left w:val="nil"/>
              <w:bottom w:val="single" w:sz="8" w:space="0" w:color="C0504D" w:themeColor="accent2"/>
              <w:right w:val="nil"/>
            </w:tcBorders>
            <w:vAlign w:val="center"/>
            <w:hideMark/>
          </w:tcPr>
          <w:p w14:paraId="14583027" w14:textId="77777777" w:rsidR="00336C16" w:rsidRDefault="00336C16">
            <w:pP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1298" w:type="pct"/>
            <w:tcBorders>
              <w:top w:val="nil"/>
              <w:left w:val="nil"/>
              <w:bottom w:val="nil"/>
              <w:right w:val="nil"/>
            </w:tcBorders>
            <w:hideMark/>
          </w:tcPr>
          <w:p w14:paraId="163C09CF" w14:textId="77777777"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Bendrųjų nuostatų reglamentas– 9 straipsnis, 4 teminis tikslas</w:t>
            </w:r>
          </w:p>
        </w:tc>
        <w:tc>
          <w:tcPr>
            <w:tcW w:w="1298" w:type="pct"/>
            <w:vMerge w:val="restart"/>
            <w:tcBorders>
              <w:top w:val="nil"/>
              <w:left w:val="nil"/>
              <w:bottom w:val="single" w:sz="8" w:space="0" w:color="C0504D" w:themeColor="accent2"/>
              <w:right w:val="single" w:sz="8" w:space="0" w:color="C0504D" w:themeColor="accent2"/>
            </w:tcBorders>
            <w:hideMark/>
          </w:tcPr>
          <w:p w14:paraId="1851022C" w14:textId="77777777"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 xml:space="preserve">Nacionalinė energetinės nepriklausomybės strategija – energetinio efektyvumo didinimo </w:t>
            </w:r>
            <w:r>
              <w:rPr>
                <w:rFonts w:ascii="Georgia" w:hAnsi="Georgia" w:cs="Georgia"/>
                <w:sz w:val="20"/>
                <w:szCs w:val="20"/>
              </w:rPr>
              <w:lastRenderedPageBreak/>
              <w:t>strategija</w:t>
            </w:r>
          </w:p>
        </w:tc>
      </w:tr>
      <w:tr w:rsidR="00336C16" w14:paraId="5CE2B79C" w14:textId="77777777" w:rsidTr="00466A70">
        <w:trPr>
          <w:cnfStyle w:val="000000100000" w:firstRow="0" w:lastRow="0" w:firstColumn="0" w:lastColumn="0" w:oddVBand="0" w:evenVBand="0" w:oddHBand="1" w:evenHBand="0" w:firstRowFirstColumn="0" w:firstRowLastColumn="0" w:lastRowFirstColumn="0" w:lastRowLastColumn="0"/>
          <w:cantSplit/>
          <w:trHeight w:val="305"/>
        </w:trPr>
        <w:tc>
          <w:tcPr>
            <w:cnfStyle w:val="001000000000" w:firstRow="0" w:lastRow="0" w:firstColumn="1" w:lastColumn="0" w:oddVBand="0" w:evenVBand="0" w:oddHBand="0" w:evenHBand="0" w:firstRowFirstColumn="0" w:firstRowLastColumn="0" w:lastRowFirstColumn="0" w:lastRowLastColumn="0"/>
            <w:tcW w:w="1107" w:type="pct"/>
            <w:vMerge/>
            <w:tcBorders>
              <w:top w:val="nil"/>
              <w:right w:val="nil"/>
            </w:tcBorders>
            <w:vAlign w:val="center"/>
            <w:hideMark/>
          </w:tcPr>
          <w:p w14:paraId="36484426" w14:textId="77777777" w:rsidR="00336C16" w:rsidRDefault="00336C16">
            <w:pPr>
              <w:rPr>
                <w:rFonts w:ascii="Georgia" w:hAnsi="Georgia" w:cs="Georgia"/>
                <w:sz w:val="20"/>
                <w:szCs w:val="20"/>
              </w:rPr>
            </w:pPr>
          </w:p>
        </w:tc>
        <w:tc>
          <w:tcPr>
            <w:tcW w:w="1297" w:type="pct"/>
            <w:vMerge/>
            <w:tcBorders>
              <w:top w:val="nil"/>
              <w:left w:val="nil"/>
              <w:right w:val="nil"/>
            </w:tcBorders>
            <w:vAlign w:val="center"/>
            <w:hideMark/>
          </w:tcPr>
          <w:p w14:paraId="0D6B2439" w14:textId="77777777" w:rsidR="00336C16"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1298" w:type="pct"/>
            <w:tcBorders>
              <w:left w:val="nil"/>
              <w:right w:val="nil"/>
            </w:tcBorders>
            <w:hideMark/>
          </w:tcPr>
          <w:p w14:paraId="62595DF2" w14:textId="77777777"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Europos regioninės plėtros fondo reglamentas – 5 straipsnis, 4 investavimo prioritetas</w:t>
            </w:r>
          </w:p>
        </w:tc>
        <w:tc>
          <w:tcPr>
            <w:tcW w:w="1298" w:type="pct"/>
            <w:vMerge/>
            <w:tcBorders>
              <w:top w:val="nil"/>
              <w:left w:val="nil"/>
            </w:tcBorders>
            <w:vAlign w:val="center"/>
            <w:hideMark/>
          </w:tcPr>
          <w:p w14:paraId="1975F272" w14:textId="77777777" w:rsidR="00336C16" w:rsidRDefault="00336C16">
            <w:pP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r>
    </w:tbl>
    <w:p w14:paraId="00AABE5B" w14:textId="77777777" w:rsidR="00336C16" w:rsidRDefault="00336C16" w:rsidP="00336C16">
      <w:pPr>
        <w:autoSpaceDE w:val="0"/>
        <w:autoSpaceDN w:val="0"/>
        <w:adjustRightInd w:val="0"/>
        <w:jc w:val="both"/>
        <w:rPr>
          <w:rFonts w:ascii="Georgia" w:hAnsi="Georgia" w:cs="Georgia"/>
          <w:sz w:val="20"/>
          <w:szCs w:val="20"/>
          <w:lang w:val="lt-LT"/>
        </w:rPr>
      </w:pPr>
    </w:p>
    <w:p w14:paraId="31556501" w14:textId="77777777"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Finansinės priemonės gali būti būdas padidinti privataus sektoriaus suinteresuotumą ir motyvaciją atsirinkti efektyviausius ir kuriančius pridėtinę vertę projektus. Kaip alternatyva finansinėms priemonėms galėtų būti svarstomas paramos intensyvumo tarp teikiamos subsidijos ir bendrojo finansavimo keitimas (pvz. mažinamas subsidijos dydis ir taip projekto vykdytojai skatinami ieškoti privačių išteklių užsitikrinti bendrąjį finansavimą). </w:t>
      </w:r>
      <w:r w:rsidR="0083461E">
        <w:rPr>
          <w:rFonts w:ascii="Georgia" w:hAnsi="Georgia" w:cs="Georgia"/>
          <w:sz w:val="20"/>
          <w:szCs w:val="20"/>
          <w:lang w:val="lt-LT"/>
        </w:rPr>
        <w:t>F</w:t>
      </w:r>
      <w:r>
        <w:rPr>
          <w:rFonts w:ascii="Georgia" w:hAnsi="Georgia" w:cs="Georgia"/>
          <w:sz w:val="20"/>
          <w:szCs w:val="20"/>
          <w:lang w:val="lt-LT"/>
        </w:rPr>
        <w:t>inansin</w:t>
      </w:r>
      <w:r w:rsidR="0083461E">
        <w:rPr>
          <w:rFonts w:ascii="Georgia" w:hAnsi="Georgia" w:cs="Georgia"/>
          <w:sz w:val="20"/>
          <w:szCs w:val="20"/>
          <w:lang w:val="lt-LT"/>
        </w:rPr>
        <w:t>ių</w:t>
      </w:r>
      <w:r>
        <w:rPr>
          <w:rFonts w:ascii="Georgia" w:hAnsi="Georgia" w:cs="Georgia"/>
          <w:sz w:val="20"/>
          <w:szCs w:val="20"/>
          <w:lang w:val="lt-LT"/>
        </w:rPr>
        <w:t xml:space="preserve"> priemon</w:t>
      </w:r>
      <w:r w:rsidR="0083461E">
        <w:rPr>
          <w:rFonts w:ascii="Georgia" w:hAnsi="Georgia" w:cs="Georgia"/>
          <w:sz w:val="20"/>
          <w:szCs w:val="20"/>
          <w:lang w:val="lt-LT"/>
        </w:rPr>
        <w:t>ių ir</w:t>
      </w:r>
      <w:r>
        <w:rPr>
          <w:rFonts w:ascii="Georgia" w:hAnsi="Georgia" w:cs="Georgia"/>
          <w:sz w:val="20"/>
          <w:szCs w:val="20"/>
          <w:lang w:val="lt-LT"/>
        </w:rPr>
        <w:t xml:space="preserve"> paramos intensyvumo sumažinim</w:t>
      </w:r>
      <w:r w:rsidR="0083461E">
        <w:rPr>
          <w:rFonts w:ascii="Georgia" w:hAnsi="Georgia" w:cs="Georgia"/>
          <w:sz w:val="20"/>
          <w:szCs w:val="20"/>
          <w:lang w:val="lt-LT"/>
        </w:rPr>
        <w:t>o</w:t>
      </w:r>
      <w:r>
        <w:rPr>
          <w:rFonts w:ascii="Georgia" w:hAnsi="Georgia" w:cs="Georgia"/>
          <w:sz w:val="20"/>
          <w:szCs w:val="20"/>
          <w:lang w:val="lt-LT"/>
        </w:rPr>
        <w:t xml:space="preserve"> privalumų ir trūkumų</w:t>
      </w:r>
      <w:r w:rsidR="0083461E">
        <w:rPr>
          <w:rFonts w:ascii="Georgia" w:hAnsi="Georgia" w:cs="Georgia"/>
          <w:sz w:val="20"/>
          <w:szCs w:val="20"/>
          <w:lang w:val="lt-LT"/>
        </w:rPr>
        <w:t xml:space="preserve"> palyginimas </w:t>
      </w:r>
      <w:r>
        <w:rPr>
          <w:rFonts w:ascii="Georgia" w:hAnsi="Georgia" w:cs="Georgia"/>
          <w:sz w:val="20"/>
          <w:szCs w:val="20"/>
          <w:lang w:val="lt-LT"/>
        </w:rPr>
        <w:t>yra pateikt</w:t>
      </w:r>
      <w:r w:rsidR="0083461E">
        <w:rPr>
          <w:rFonts w:ascii="Georgia" w:hAnsi="Georgia" w:cs="Georgia"/>
          <w:sz w:val="20"/>
          <w:szCs w:val="20"/>
          <w:lang w:val="lt-LT"/>
        </w:rPr>
        <w:t>as</w:t>
      </w:r>
      <w:r>
        <w:rPr>
          <w:rFonts w:ascii="Georgia" w:hAnsi="Georgia" w:cs="Georgia"/>
          <w:sz w:val="20"/>
          <w:szCs w:val="20"/>
          <w:lang w:val="lt-LT"/>
        </w:rPr>
        <w:t xml:space="preserve"> lentelėje žemiau. </w:t>
      </w:r>
    </w:p>
    <w:p w14:paraId="341096D4" w14:textId="4DF93BDF" w:rsidR="00336C16" w:rsidRPr="00936224" w:rsidRDefault="00931CAF" w:rsidP="00931CAF">
      <w:pPr>
        <w:pStyle w:val="Antrat"/>
        <w:jc w:val="both"/>
        <w:rPr>
          <w:lang w:val="lt-LT"/>
        </w:rPr>
      </w:pPr>
      <w:bookmarkStart w:id="12" w:name="_Toc460321583"/>
      <w:r w:rsidRPr="00936224">
        <w:rPr>
          <w:lang w:val="lt-LT"/>
        </w:rPr>
        <w:t xml:space="preserve">Lentelė </w:t>
      </w:r>
      <w:r w:rsidRPr="00936224">
        <w:rPr>
          <w:lang w:val="lt-LT"/>
        </w:rPr>
        <w:fldChar w:fldCharType="begin"/>
      </w:r>
      <w:r w:rsidRPr="00936224">
        <w:rPr>
          <w:lang w:val="lt-LT"/>
        </w:rPr>
        <w:instrText xml:space="preserve"> SEQ Lentelė \* ARABIC </w:instrText>
      </w:r>
      <w:r w:rsidRPr="00936224">
        <w:rPr>
          <w:lang w:val="lt-LT"/>
        </w:rPr>
        <w:fldChar w:fldCharType="separate"/>
      </w:r>
      <w:r w:rsidR="00AA3082">
        <w:rPr>
          <w:noProof/>
          <w:lang w:val="lt-LT"/>
        </w:rPr>
        <w:t>2</w:t>
      </w:r>
      <w:r w:rsidRPr="00936224">
        <w:rPr>
          <w:lang w:val="lt-LT"/>
        </w:rPr>
        <w:fldChar w:fldCharType="end"/>
      </w:r>
      <w:r w:rsidRPr="00936224">
        <w:rPr>
          <w:lang w:val="lt-LT"/>
        </w:rPr>
        <w:t xml:space="preserve">. </w:t>
      </w:r>
      <w:r w:rsidRPr="001E4B4F">
        <w:rPr>
          <w:rFonts w:cs="Georgia"/>
          <w:szCs w:val="20"/>
          <w:lang w:val="lt-LT"/>
        </w:rPr>
        <w:t>Finansinių priemonių ir paramos intensyvumo sumažinimo privalumai ir trūkumai.</w:t>
      </w:r>
      <w:bookmarkEnd w:id="12"/>
    </w:p>
    <w:tbl>
      <w:tblPr>
        <w:tblStyle w:val="viesussraas2parykinimas"/>
        <w:tblW w:w="5000" w:type="pct"/>
        <w:tblLook w:val="04A0" w:firstRow="1" w:lastRow="0" w:firstColumn="1" w:lastColumn="0" w:noHBand="0" w:noVBand="1"/>
      </w:tblPr>
      <w:tblGrid>
        <w:gridCol w:w="2310"/>
        <w:gridCol w:w="2310"/>
        <w:gridCol w:w="2311"/>
        <w:gridCol w:w="2311"/>
      </w:tblGrid>
      <w:tr w:rsidR="00336C16" w:rsidRPr="00714494" w14:paraId="79178891" w14:textId="77777777" w:rsidTr="0071449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00" w:type="pct"/>
            <w:gridSpan w:val="2"/>
            <w:hideMark/>
          </w:tcPr>
          <w:p w14:paraId="7B772295" w14:textId="77777777" w:rsidR="00336C16" w:rsidRPr="00714494" w:rsidRDefault="00336C16">
            <w:pPr>
              <w:autoSpaceDE w:val="0"/>
              <w:autoSpaceDN w:val="0"/>
              <w:adjustRightInd w:val="0"/>
              <w:jc w:val="center"/>
              <w:rPr>
                <w:rFonts w:ascii="Georgia" w:hAnsi="Georgia" w:cs="Georgia"/>
                <w:sz w:val="20"/>
                <w:szCs w:val="20"/>
              </w:rPr>
            </w:pPr>
            <w:r w:rsidRPr="00714494">
              <w:rPr>
                <w:rFonts w:ascii="Georgia" w:hAnsi="Georgia" w:cs="Georgia"/>
                <w:sz w:val="20"/>
                <w:szCs w:val="20"/>
              </w:rPr>
              <w:t>Finansinės priemonės</w:t>
            </w:r>
          </w:p>
        </w:tc>
        <w:tc>
          <w:tcPr>
            <w:tcW w:w="2500" w:type="pct"/>
            <w:gridSpan w:val="2"/>
            <w:hideMark/>
          </w:tcPr>
          <w:p w14:paraId="2476B557" w14:textId="77777777" w:rsidR="00336C16" w:rsidRPr="00714494"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sidRPr="00714494">
              <w:rPr>
                <w:rFonts w:ascii="Georgia" w:hAnsi="Georgia" w:cs="Georgia"/>
                <w:sz w:val="20"/>
                <w:szCs w:val="20"/>
              </w:rPr>
              <w:t>Paramos intensyvumo keitimas</w:t>
            </w:r>
          </w:p>
        </w:tc>
      </w:tr>
      <w:tr w:rsidR="00336C16" w:rsidRPr="00714494" w14:paraId="5E7E51C0" w14:textId="77777777" w:rsidTr="0071449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50" w:type="pct"/>
            <w:hideMark/>
          </w:tcPr>
          <w:p w14:paraId="16DF2B33" w14:textId="77777777" w:rsidR="00336C16" w:rsidRPr="00714494" w:rsidRDefault="00336C16">
            <w:pPr>
              <w:autoSpaceDE w:val="0"/>
              <w:autoSpaceDN w:val="0"/>
              <w:adjustRightInd w:val="0"/>
              <w:jc w:val="center"/>
              <w:rPr>
                <w:rFonts w:ascii="Georgia" w:hAnsi="Georgia" w:cs="Georgia"/>
                <w:b w:val="0"/>
                <w:sz w:val="20"/>
                <w:szCs w:val="20"/>
              </w:rPr>
            </w:pPr>
            <w:r w:rsidRPr="00714494">
              <w:rPr>
                <w:rFonts w:ascii="Georgia" w:hAnsi="Georgia" w:cs="Georgia"/>
                <w:b w:val="0"/>
                <w:sz w:val="20"/>
                <w:szCs w:val="20"/>
              </w:rPr>
              <w:t>Privalumai</w:t>
            </w:r>
          </w:p>
        </w:tc>
        <w:tc>
          <w:tcPr>
            <w:tcW w:w="1250" w:type="pct"/>
            <w:hideMark/>
          </w:tcPr>
          <w:p w14:paraId="0A88F535" w14:textId="77777777" w:rsidR="00336C16" w:rsidRPr="00714494"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b w:val="0"/>
                <w:sz w:val="20"/>
                <w:szCs w:val="20"/>
              </w:rPr>
            </w:pPr>
            <w:r w:rsidRPr="00714494">
              <w:rPr>
                <w:rFonts w:ascii="Georgia" w:hAnsi="Georgia" w:cs="Georgia"/>
                <w:b w:val="0"/>
                <w:sz w:val="20"/>
                <w:szCs w:val="20"/>
              </w:rPr>
              <w:t>Trūkumai</w:t>
            </w:r>
          </w:p>
        </w:tc>
        <w:tc>
          <w:tcPr>
            <w:tcW w:w="1250" w:type="pct"/>
            <w:hideMark/>
          </w:tcPr>
          <w:p w14:paraId="4333B624" w14:textId="77777777" w:rsidR="00336C16" w:rsidRPr="00714494"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b w:val="0"/>
                <w:sz w:val="20"/>
                <w:szCs w:val="20"/>
              </w:rPr>
            </w:pPr>
            <w:r w:rsidRPr="00714494">
              <w:rPr>
                <w:rFonts w:ascii="Georgia" w:hAnsi="Georgia" w:cs="Georgia"/>
                <w:b w:val="0"/>
                <w:sz w:val="20"/>
                <w:szCs w:val="20"/>
              </w:rPr>
              <w:t>Privalumai</w:t>
            </w:r>
          </w:p>
        </w:tc>
        <w:tc>
          <w:tcPr>
            <w:tcW w:w="1250" w:type="pct"/>
            <w:hideMark/>
          </w:tcPr>
          <w:p w14:paraId="31DF4C49" w14:textId="77777777" w:rsidR="00336C16" w:rsidRPr="00714494"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b w:val="0"/>
                <w:sz w:val="20"/>
                <w:szCs w:val="20"/>
              </w:rPr>
            </w:pPr>
            <w:r w:rsidRPr="00714494">
              <w:rPr>
                <w:rFonts w:ascii="Georgia" w:hAnsi="Georgia" w:cs="Georgia"/>
                <w:b w:val="0"/>
                <w:sz w:val="20"/>
                <w:szCs w:val="20"/>
              </w:rPr>
              <w:t>Trūkumai</w:t>
            </w:r>
          </w:p>
        </w:tc>
      </w:tr>
      <w:tr w:rsidR="00336C16" w14:paraId="543A68E8" w14:textId="77777777" w:rsidTr="00466A7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hideMark/>
          </w:tcPr>
          <w:p w14:paraId="2F132CA9" w14:textId="77777777" w:rsidR="00336C16" w:rsidRPr="00931CAF" w:rsidRDefault="00336C16">
            <w:pPr>
              <w:autoSpaceDE w:val="0"/>
              <w:autoSpaceDN w:val="0"/>
              <w:adjustRightInd w:val="0"/>
              <w:jc w:val="both"/>
              <w:rPr>
                <w:rFonts w:ascii="Georgia" w:hAnsi="Georgia" w:cs="Georgia"/>
                <w:b w:val="0"/>
                <w:sz w:val="20"/>
                <w:szCs w:val="20"/>
              </w:rPr>
            </w:pPr>
            <w:r w:rsidRPr="00E00767">
              <w:rPr>
                <w:rFonts w:ascii="Georgia" w:hAnsi="Georgia" w:cs="Georgia"/>
                <w:sz w:val="20"/>
                <w:szCs w:val="20"/>
              </w:rPr>
              <w:t xml:space="preserve">Laipsniškas sektoriaus perėjimas nuo subsidijų prie paskolų </w:t>
            </w:r>
          </w:p>
        </w:tc>
        <w:tc>
          <w:tcPr>
            <w:tcW w:w="1250" w:type="pct"/>
            <w:hideMark/>
          </w:tcPr>
          <w:p w14:paraId="0DA5172E" w14:textId="77777777"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Potencialiai sudėtingesnė ir sąlyginai brangesnė įgyvendinimo struktūra</w:t>
            </w:r>
          </w:p>
        </w:tc>
        <w:tc>
          <w:tcPr>
            <w:tcW w:w="1250" w:type="pct"/>
            <w:hideMark/>
          </w:tcPr>
          <w:p w14:paraId="1176F3A4" w14:textId="77777777"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Paprastesnė įgyvendinimo struktūra</w:t>
            </w:r>
          </w:p>
        </w:tc>
        <w:tc>
          <w:tcPr>
            <w:tcW w:w="1250" w:type="pct"/>
            <w:hideMark/>
          </w:tcPr>
          <w:p w14:paraId="1B6D8956" w14:textId="77777777"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Mažiau sklandus perėjimas nuo subsidijų prie paskolų</w:t>
            </w:r>
          </w:p>
        </w:tc>
      </w:tr>
      <w:tr w:rsidR="00336C16" w14:paraId="081BFDE3" w14:textId="77777777" w:rsidTr="00466A70">
        <w:trPr>
          <w:cantSplit/>
        </w:trPr>
        <w:tc>
          <w:tcPr>
            <w:cnfStyle w:val="001000000000" w:firstRow="0" w:lastRow="0" w:firstColumn="1" w:lastColumn="0" w:oddVBand="0" w:evenVBand="0" w:oddHBand="0" w:evenHBand="0" w:firstRowFirstColumn="0" w:firstRowLastColumn="0" w:lastRowFirstColumn="0" w:lastRowLastColumn="0"/>
            <w:tcW w:w="1250" w:type="pct"/>
            <w:hideMark/>
          </w:tcPr>
          <w:p w14:paraId="5FD75CC1" w14:textId="77777777" w:rsidR="00336C16" w:rsidRPr="00931CAF" w:rsidRDefault="00336C16">
            <w:pPr>
              <w:autoSpaceDE w:val="0"/>
              <w:autoSpaceDN w:val="0"/>
              <w:adjustRightInd w:val="0"/>
              <w:jc w:val="both"/>
              <w:rPr>
                <w:rFonts w:ascii="Georgia" w:hAnsi="Georgia" w:cs="Georgia"/>
                <w:b w:val="0"/>
                <w:sz w:val="20"/>
                <w:szCs w:val="20"/>
              </w:rPr>
            </w:pPr>
            <w:r w:rsidRPr="00E00767">
              <w:rPr>
                <w:rFonts w:ascii="Georgia" w:hAnsi="Georgia" w:cs="Georgia"/>
                <w:sz w:val="20"/>
                <w:szCs w:val="20"/>
              </w:rPr>
              <w:t>Grįžtančios lėšos</w:t>
            </w:r>
          </w:p>
        </w:tc>
        <w:tc>
          <w:tcPr>
            <w:tcW w:w="1250" w:type="pct"/>
            <w:hideMark/>
          </w:tcPr>
          <w:p w14:paraId="640E3519" w14:textId="77777777"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Papildomas valstybės įsikišimas</w:t>
            </w:r>
          </w:p>
        </w:tc>
        <w:tc>
          <w:tcPr>
            <w:tcW w:w="1250" w:type="pct"/>
            <w:hideMark/>
          </w:tcPr>
          <w:p w14:paraId="1017E9E2" w14:textId="77777777"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Greitesnis projektų startas</w:t>
            </w:r>
            <w:r w:rsidR="00E00767">
              <w:rPr>
                <w:rFonts w:ascii="Georgia" w:hAnsi="Georgia" w:cs="Georgia"/>
                <w:sz w:val="20"/>
                <w:szCs w:val="20"/>
              </w:rPr>
              <w:t>, dėl turimos patirties tokios schemos įgyvendinime</w:t>
            </w:r>
          </w:p>
        </w:tc>
        <w:tc>
          <w:tcPr>
            <w:tcW w:w="1250" w:type="pct"/>
            <w:hideMark/>
          </w:tcPr>
          <w:p w14:paraId="007448DD" w14:textId="77777777"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Didesnė skolinimosi kaina kai projektų vykdytojai skolinasi iš privataus sektoriaus</w:t>
            </w:r>
          </w:p>
        </w:tc>
      </w:tr>
      <w:tr w:rsidR="00336C16" w14:paraId="7871D982" w14:textId="77777777" w:rsidTr="00466A7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hideMark/>
          </w:tcPr>
          <w:p w14:paraId="34E79867" w14:textId="77777777" w:rsidR="00336C16" w:rsidRPr="00931CAF" w:rsidRDefault="00336C16">
            <w:pPr>
              <w:autoSpaceDE w:val="0"/>
              <w:autoSpaceDN w:val="0"/>
              <w:adjustRightInd w:val="0"/>
              <w:jc w:val="both"/>
              <w:rPr>
                <w:rFonts w:ascii="Georgia" w:hAnsi="Georgia" w:cs="Georgia"/>
                <w:b w:val="0"/>
                <w:sz w:val="20"/>
                <w:szCs w:val="20"/>
              </w:rPr>
            </w:pPr>
            <w:r w:rsidRPr="00E00767">
              <w:rPr>
                <w:rFonts w:ascii="Georgia" w:hAnsi="Georgia" w:cs="Georgia"/>
                <w:sz w:val="20"/>
                <w:szCs w:val="20"/>
              </w:rPr>
              <w:t>Sverto efektas – pritraukiamos privačių investuotojų lėšos</w:t>
            </w:r>
          </w:p>
        </w:tc>
        <w:tc>
          <w:tcPr>
            <w:tcW w:w="1250" w:type="pct"/>
            <w:hideMark/>
          </w:tcPr>
          <w:p w14:paraId="33CE6978" w14:textId="77777777"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Potencialiai ilgiau užtrunkantis projektų startas</w:t>
            </w:r>
          </w:p>
        </w:tc>
        <w:tc>
          <w:tcPr>
            <w:tcW w:w="1250" w:type="pct"/>
          </w:tcPr>
          <w:p w14:paraId="10B0EBB6" w14:textId="77777777"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1250" w:type="pct"/>
          </w:tcPr>
          <w:p w14:paraId="6E4F6F68" w14:textId="77777777"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r>
      <w:tr w:rsidR="00336C16" w14:paraId="03F25162" w14:textId="77777777" w:rsidTr="00466A70">
        <w:trPr>
          <w:cantSplit/>
        </w:trPr>
        <w:tc>
          <w:tcPr>
            <w:cnfStyle w:val="001000000000" w:firstRow="0" w:lastRow="0" w:firstColumn="1" w:lastColumn="0" w:oddVBand="0" w:evenVBand="0" w:oddHBand="0" w:evenHBand="0" w:firstRowFirstColumn="0" w:firstRowLastColumn="0" w:lastRowFirstColumn="0" w:lastRowLastColumn="0"/>
            <w:tcW w:w="1250" w:type="pct"/>
            <w:hideMark/>
          </w:tcPr>
          <w:p w14:paraId="42B24809" w14:textId="77777777" w:rsidR="00336C16" w:rsidRPr="00931CAF" w:rsidRDefault="00336C16">
            <w:pPr>
              <w:autoSpaceDE w:val="0"/>
              <w:autoSpaceDN w:val="0"/>
              <w:adjustRightInd w:val="0"/>
              <w:jc w:val="both"/>
              <w:rPr>
                <w:rFonts w:ascii="Georgia" w:hAnsi="Georgia" w:cs="Georgia"/>
                <w:b w:val="0"/>
                <w:sz w:val="20"/>
                <w:szCs w:val="20"/>
              </w:rPr>
            </w:pPr>
            <w:r w:rsidRPr="00E00767">
              <w:rPr>
                <w:rFonts w:ascii="Georgia" w:hAnsi="Georgia" w:cs="Georgia"/>
                <w:sz w:val="20"/>
                <w:szCs w:val="20"/>
              </w:rPr>
              <w:t>Tęstinumas – galimybės panaudoti grįžusias lėšas tiems patiems tikslams po 2014-2020 periodo</w:t>
            </w:r>
          </w:p>
        </w:tc>
        <w:tc>
          <w:tcPr>
            <w:tcW w:w="1250" w:type="pct"/>
            <w:hideMark/>
          </w:tcPr>
          <w:p w14:paraId="4C826C31" w14:textId="77777777" w:rsidR="00336C16" w:rsidRDefault="00336C16" w:rsidP="00E0076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 xml:space="preserve">Socialiai jautrus mechanizmas, ypač jeigu įgyvendinimas daro įtaką </w:t>
            </w:r>
            <w:r w:rsidR="00E00767">
              <w:rPr>
                <w:rFonts w:ascii="Georgia" w:hAnsi="Georgia" w:cs="Georgia"/>
                <w:sz w:val="20"/>
                <w:szCs w:val="20"/>
              </w:rPr>
              <w:t xml:space="preserve">mokėtinų sumų </w:t>
            </w:r>
            <w:r>
              <w:rPr>
                <w:rFonts w:ascii="Georgia" w:hAnsi="Georgia" w:cs="Georgia"/>
                <w:sz w:val="20"/>
                <w:szCs w:val="20"/>
              </w:rPr>
              <w:t>dydžiui</w:t>
            </w:r>
          </w:p>
        </w:tc>
        <w:tc>
          <w:tcPr>
            <w:tcW w:w="1250" w:type="pct"/>
          </w:tcPr>
          <w:p w14:paraId="427D755C" w14:textId="77777777"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1250" w:type="pct"/>
          </w:tcPr>
          <w:p w14:paraId="620C10ED" w14:textId="77777777"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r>
      <w:tr w:rsidR="00336C16" w14:paraId="4FD0D33C" w14:textId="77777777" w:rsidTr="00466A7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hideMark/>
          </w:tcPr>
          <w:p w14:paraId="0228C4B1" w14:textId="77777777" w:rsidR="00336C16" w:rsidRPr="00931CAF" w:rsidRDefault="00336C16">
            <w:pPr>
              <w:autoSpaceDE w:val="0"/>
              <w:autoSpaceDN w:val="0"/>
              <w:adjustRightInd w:val="0"/>
              <w:jc w:val="both"/>
              <w:rPr>
                <w:rFonts w:ascii="Georgia" w:hAnsi="Georgia" w:cs="Georgia"/>
                <w:b w:val="0"/>
                <w:sz w:val="20"/>
                <w:szCs w:val="20"/>
              </w:rPr>
            </w:pPr>
            <w:r w:rsidRPr="00E00767">
              <w:rPr>
                <w:rFonts w:ascii="Georgia" w:hAnsi="Georgia" w:cs="Georgia"/>
                <w:sz w:val="20"/>
                <w:szCs w:val="20"/>
              </w:rPr>
              <w:t>Lėšų prieinamumas ilgesnį laikotarpį</w:t>
            </w:r>
          </w:p>
        </w:tc>
        <w:tc>
          <w:tcPr>
            <w:tcW w:w="1250" w:type="pct"/>
          </w:tcPr>
          <w:p w14:paraId="710E7498" w14:textId="77777777"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1250" w:type="pct"/>
          </w:tcPr>
          <w:p w14:paraId="529BD133" w14:textId="77777777"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1250" w:type="pct"/>
          </w:tcPr>
          <w:p w14:paraId="3EB5642C" w14:textId="77777777"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r>
      <w:tr w:rsidR="00336C16" w14:paraId="3AD7B578" w14:textId="77777777" w:rsidTr="00466A70">
        <w:trPr>
          <w:cantSplit/>
        </w:trPr>
        <w:tc>
          <w:tcPr>
            <w:cnfStyle w:val="001000000000" w:firstRow="0" w:lastRow="0" w:firstColumn="1" w:lastColumn="0" w:oddVBand="0" w:evenVBand="0" w:oddHBand="0" w:evenHBand="0" w:firstRowFirstColumn="0" w:firstRowLastColumn="0" w:lastRowFirstColumn="0" w:lastRowLastColumn="0"/>
            <w:tcW w:w="1250" w:type="pct"/>
            <w:hideMark/>
          </w:tcPr>
          <w:p w14:paraId="19448A2D" w14:textId="77777777" w:rsidR="00336C16" w:rsidRPr="00931CAF" w:rsidRDefault="00336C16">
            <w:pPr>
              <w:autoSpaceDE w:val="0"/>
              <w:autoSpaceDN w:val="0"/>
              <w:adjustRightInd w:val="0"/>
              <w:jc w:val="both"/>
              <w:rPr>
                <w:rFonts w:ascii="Georgia" w:hAnsi="Georgia" w:cs="Georgia"/>
                <w:b w:val="0"/>
                <w:sz w:val="20"/>
                <w:szCs w:val="20"/>
              </w:rPr>
            </w:pPr>
            <w:r w:rsidRPr="00E00767">
              <w:rPr>
                <w:rFonts w:ascii="Georgia" w:hAnsi="Georgia" w:cs="Georgia"/>
                <w:sz w:val="20"/>
                <w:szCs w:val="20"/>
              </w:rPr>
              <w:t>Išduodamos pigesnės paskolos, todėl sukuriamos paskatos projektų vykdytojams skolintis</w:t>
            </w:r>
          </w:p>
        </w:tc>
        <w:tc>
          <w:tcPr>
            <w:tcW w:w="1250" w:type="pct"/>
          </w:tcPr>
          <w:p w14:paraId="7575B0F8" w14:textId="77777777"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1250" w:type="pct"/>
          </w:tcPr>
          <w:p w14:paraId="3F130504" w14:textId="77777777"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c>
          <w:tcPr>
            <w:tcW w:w="1250" w:type="pct"/>
          </w:tcPr>
          <w:p w14:paraId="57B44C15" w14:textId="77777777"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p>
        </w:tc>
      </w:tr>
      <w:tr w:rsidR="00336C16" w14:paraId="75773ED3" w14:textId="77777777" w:rsidTr="00466A7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hideMark/>
          </w:tcPr>
          <w:p w14:paraId="00598F65" w14:textId="77777777" w:rsidR="00336C16" w:rsidRPr="00931CAF" w:rsidRDefault="00336C16">
            <w:pPr>
              <w:autoSpaceDE w:val="0"/>
              <w:autoSpaceDN w:val="0"/>
              <w:adjustRightInd w:val="0"/>
              <w:jc w:val="both"/>
              <w:rPr>
                <w:rFonts w:ascii="Georgia" w:hAnsi="Georgia" w:cs="Georgia"/>
                <w:b w:val="0"/>
                <w:sz w:val="20"/>
                <w:szCs w:val="20"/>
              </w:rPr>
            </w:pPr>
            <w:r w:rsidRPr="00E00767">
              <w:rPr>
                <w:rFonts w:ascii="Georgia" w:hAnsi="Georgia" w:cs="Georgia"/>
                <w:sz w:val="20"/>
                <w:szCs w:val="20"/>
              </w:rPr>
              <w:t>Žymiai efektyvesnis ES lėšų panaudojimas</w:t>
            </w:r>
          </w:p>
        </w:tc>
        <w:tc>
          <w:tcPr>
            <w:tcW w:w="1250" w:type="pct"/>
          </w:tcPr>
          <w:p w14:paraId="06DEBE28" w14:textId="77777777"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1250" w:type="pct"/>
          </w:tcPr>
          <w:p w14:paraId="2A31BB4F" w14:textId="77777777"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1250" w:type="pct"/>
          </w:tcPr>
          <w:p w14:paraId="50EB7F16" w14:textId="77777777"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r>
    </w:tbl>
    <w:p w14:paraId="7AB22646" w14:textId="77777777" w:rsidR="00336C16" w:rsidRDefault="00336C16" w:rsidP="00336C16">
      <w:pPr>
        <w:autoSpaceDE w:val="0"/>
        <w:autoSpaceDN w:val="0"/>
        <w:adjustRightInd w:val="0"/>
        <w:jc w:val="both"/>
        <w:rPr>
          <w:rFonts w:ascii="Georgia" w:hAnsi="Georgia" w:cs="Georgia"/>
          <w:sz w:val="20"/>
          <w:szCs w:val="20"/>
          <w:lang w:val="lt-LT"/>
        </w:rPr>
      </w:pPr>
    </w:p>
    <w:p w14:paraId="1F7354ED" w14:textId="77777777" w:rsidR="00336C16" w:rsidRDefault="00AE2576" w:rsidP="00466A70">
      <w:pPr>
        <w:pStyle w:val="Antrat2"/>
        <w:keepLines w:val="0"/>
        <w:numPr>
          <w:ilvl w:val="1"/>
          <w:numId w:val="38"/>
        </w:numPr>
        <w:ind w:left="1077"/>
        <w:rPr>
          <w:lang w:val="lt-LT"/>
        </w:rPr>
      </w:pPr>
      <w:bookmarkStart w:id="13" w:name="_Toc393381198"/>
      <w:bookmarkStart w:id="14" w:name="_Toc417378360"/>
      <w:r>
        <w:rPr>
          <w:lang w:val="lt-LT"/>
        </w:rPr>
        <w:lastRenderedPageBreak/>
        <w:t>F</w:t>
      </w:r>
      <w:r w:rsidR="0083461E">
        <w:rPr>
          <w:lang w:val="lt-LT"/>
        </w:rPr>
        <w:t>inansinės priemonės,</w:t>
      </w:r>
      <w:r w:rsidR="00336C16">
        <w:rPr>
          <w:lang w:val="lt-LT"/>
        </w:rPr>
        <w:t xml:space="preserve"> </w:t>
      </w:r>
      <w:r w:rsidR="0083461E">
        <w:rPr>
          <w:lang w:val="lt-LT"/>
        </w:rPr>
        <w:t>įgyvendintos energijos efektyvumo</w:t>
      </w:r>
      <w:r w:rsidR="00336C16">
        <w:rPr>
          <w:lang w:val="lt-LT"/>
        </w:rPr>
        <w:t xml:space="preserve"> srityje 2007-2013</w:t>
      </w:r>
      <w:r w:rsidR="0083461E">
        <w:rPr>
          <w:lang w:val="lt-LT"/>
        </w:rPr>
        <w:t xml:space="preserve"> m. </w:t>
      </w:r>
      <w:bookmarkEnd w:id="13"/>
      <w:r w:rsidR="00336C16">
        <w:rPr>
          <w:lang w:val="lt-LT"/>
        </w:rPr>
        <w:t>periodu</w:t>
      </w:r>
      <w:bookmarkEnd w:id="14"/>
      <w:r w:rsidR="00336C16">
        <w:rPr>
          <w:lang w:val="lt-LT"/>
        </w:rPr>
        <w:t xml:space="preserve"> </w:t>
      </w:r>
    </w:p>
    <w:p w14:paraId="268DC790" w14:textId="77777777" w:rsidR="00336C16" w:rsidRDefault="00336C16" w:rsidP="00466A70">
      <w:pPr>
        <w:keepNext/>
        <w:autoSpaceDE w:val="0"/>
        <w:autoSpaceDN w:val="0"/>
        <w:adjustRightInd w:val="0"/>
        <w:spacing w:after="0" w:line="240" w:lineRule="auto"/>
        <w:rPr>
          <w:rFonts w:ascii="Georgia" w:hAnsi="Georgia" w:cs="Georgia"/>
          <w:sz w:val="20"/>
          <w:szCs w:val="20"/>
          <w:lang w:val="lt-LT"/>
        </w:rPr>
      </w:pPr>
    </w:p>
    <w:p w14:paraId="282DB362" w14:textId="77777777" w:rsidR="00336C16" w:rsidRDefault="00336C16" w:rsidP="00336C16">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Finansinių priemonių panaudojimas įvairių projektų finansavimui įvairiose Europos šalyse yra gana plačiai naudojamas jau ne vienerius metus. Nuo finansinių priemonių atsiradimo ir per 2007-2013 m. periodą jų reikšmė smarkiai išaugo: dabar apie 5% Europos regioninės plėtros fondo ir apie 0,7% Europos socialinio fondo išteklių yra įgyvendinami per finansines priemones. </w:t>
      </w:r>
    </w:p>
    <w:p w14:paraId="7C4788CB" w14:textId="77777777" w:rsidR="00336C16" w:rsidRDefault="00336C16" w:rsidP="00336C16">
      <w:pPr>
        <w:autoSpaceDE w:val="0"/>
        <w:autoSpaceDN w:val="0"/>
        <w:adjustRightInd w:val="0"/>
        <w:spacing w:after="0"/>
        <w:jc w:val="both"/>
        <w:rPr>
          <w:rFonts w:ascii="Georgia" w:hAnsi="Georgia" w:cs="Georgia"/>
          <w:sz w:val="20"/>
          <w:szCs w:val="20"/>
          <w:lang w:val="lt-LT"/>
        </w:rPr>
      </w:pPr>
    </w:p>
    <w:p w14:paraId="5F57DDEA" w14:textId="77777777" w:rsidR="00336C16" w:rsidRDefault="00336C16" w:rsidP="00336C16">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Per 2007-2013 m. periodą finansinės priemonės buvo pasitelktos remti mažas ir vidutines įmones, miestų plėtrą ir energijos efektyvumo veiklas. 2007-2013 m. periodu įgyvendintos finansinės priemonės nurodytos lentelėje žemiau. </w:t>
      </w:r>
    </w:p>
    <w:p w14:paraId="48E931C0" w14:textId="77777777" w:rsidR="00336C16" w:rsidRDefault="00336C16" w:rsidP="00336C16">
      <w:pPr>
        <w:autoSpaceDE w:val="0"/>
        <w:autoSpaceDN w:val="0"/>
        <w:adjustRightInd w:val="0"/>
        <w:spacing w:after="0"/>
        <w:jc w:val="both"/>
        <w:rPr>
          <w:rFonts w:ascii="Georgia" w:hAnsi="Georgia" w:cs="Georgia"/>
          <w:sz w:val="20"/>
          <w:szCs w:val="20"/>
          <w:lang w:val="lt-LT"/>
        </w:rPr>
      </w:pPr>
    </w:p>
    <w:p w14:paraId="35266120" w14:textId="4F8C3FA1" w:rsidR="00336C16" w:rsidRPr="00936224" w:rsidRDefault="00931CAF" w:rsidP="00931CAF">
      <w:pPr>
        <w:pStyle w:val="Antrat"/>
        <w:jc w:val="both"/>
        <w:rPr>
          <w:lang w:val="lt-LT"/>
        </w:rPr>
      </w:pPr>
      <w:bookmarkStart w:id="15" w:name="_Toc460321584"/>
      <w:r w:rsidRPr="00936224">
        <w:rPr>
          <w:lang w:val="lt-LT"/>
        </w:rPr>
        <w:t xml:space="preserve">Lentelė </w:t>
      </w:r>
      <w:r w:rsidRPr="00936224">
        <w:rPr>
          <w:lang w:val="lt-LT"/>
        </w:rPr>
        <w:fldChar w:fldCharType="begin"/>
      </w:r>
      <w:r w:rsidRPr="00936224">
        <w:rPr>
          <w:lang w:val="lt-LT"/>
        </w:rPr>
        <w:instrText xml:space="preserve"> SEQ Lentelė \* ARABIC </w:instrText>
      </w:r>
      <w:r w:rsidRPr="00936224">
        <w:rPr>
          <w:lang w:val="lt-LT"/>
        </w:rPr>
        <w:fldChar w:fldCharType="separate"/>
      </w:r>
      <w:r w:rsidR="00AA3082">
        <w:rPr>
          <w:noProof/>
          <w:lang w:val="lt-LT"/>
        </w:rPr>
        <w:t>3</w:t>
      </w:r>
      <w:r w:rsidRPr="00936224">
        <w:rPr>
          <w:lang w:val="lt-LT"/>
        </w:rPr>
        <w:fldChar w:fldCharType="end"/>
      </w:r>
      <w:r w:rsidRPr="00936224">
        <w:rPr>
          <w:lang w:val="lt-LT"/>
        </w:rPr>
        <w:t xml:space="preserve">. </w:t>
      </w:r>
      <w:r w:rsidRPr="001E4B4F">
        <w:rPr>
          <w:rFonts w:cs="Georgia"/>
          <w:szCs w:val="20"/>
          <w:lang w:val="lt-LT"/>
        </w:rPr>
        <w:t>2007-2013 m. periodu įgyvendintų finansinių priemonių tipai</w:t>
      </w:r>
      <w:r w:rsidR="0089342F" w:rsidRPr="001E4B4F">
        <w:rPr>
          <w:rFonts w:cs="Georgia"/>
          <w:szCs w:val="20"/>
          <w:lang w:val="lt-LT"/>
        </w:rPr>
        <w:t xml:space="preserve"> ir skaičius.</w:t>
      </w:r>
      <w:bookmarkEnd w:id="15"/>
    </w:p>
    <w:tbl>
      <w:tblPr>
        <w:tblStyle w:val="viesussraas2parykinimas"/>
        <w:tblW w:w="5000" w:type="pct"/>
        <w:tblLook w:val="04A0" w:firstRow="1" w:lastRow="0" w:firstColumn="1" w:lastColumn="0" w:noHBand="0" w:noVBand="1"/>
      </w:tblPr>
      <w:tblGrid>
        <w:gridCol w:w="3080"/>
        <w:gridCol w:w="3081"/>
        <w:gridCol w:w="3081"/>
      </w:tblGrid>
      <w:tr w:rsidR="00336C16" w:rsidRPr="00714494" w14:paraId="0AA2FF99" w14:textId="77777777" w:rsidTr="00C95047">
        <w:trPr>
          <w:cnfStyle w:val="100000000000" w:firstRow="1" w:lastRow="0" w:firstColumn="0" w:lastColumn="0" w:oddVBand="0" w:evenVBand="0" w:oddHBand="0" w:evenHBand="0" w:firstRowFirstColumn="0" w:firstRowLastColumn="0" w:lastRowFirstColumn="0" w:lastRowLastColumn="0"/>
          <w:trHeight w:val="373"/>
          <w:tblHeader/>
        </w:trPr>
        <w:tc>
          <w:tcPr>
            <w:cnfStyle w:val="001000000000" w:firstRow="0" w:lastRow="0" w:firstColumn="1" w:lastColumn="0" w:oddVBand="0" w:evenVBand="0" w:oddHBand="0" w:evenHBand="0" w:firstRowFirstColumn="0" w:firstRowLastColumn="0" w:lastRowFirstColumn="0" w:lastRowLastColumn="0"/>
            <w:tcW w:w="1666" w:type="pct"/>
            <w:tcBorders>
              <w:top w:val="single" w:sz="8" w:space="0" w:color="C0504D" w:themeColor="accent2"/>
              <w:left w:val="single" w:sz="8" w:space="0" w:color="C0504D" w:themeColor="accent2"/>
              <w:bottom w:val="nil"/>
              <w:right w:val="nil"/>
            </w:tcBorders>
            <w:hideMark/>
          </w:tcPr>
          <w:p w14:paraId="1C68E251" w14:textId="77777777" w:rsidR="00336C16" w:rsidRPr="00714494" w:rsidRDefault="00336C16" w:rsidP="00C95047">
            <w:pPr>
              <w:autoSpaceDE w:val="0"/>
              <w:autoSpaceDN w:val="0"/>
              <w:adjustRightInd w:val="0"/>
              <w:jc w:val="center"/>
              <w:rPr>
                <w:rFonts w:ascii="Georgia" w:hAnsi="Georgia" w:cs="Georgia"/>
                <w:sz w:val="20"/>
                <w:szCs w:val="20"/>
              </w:rPr>
            </w:pPr>
            <w:r w:rsidRPr="00714494">
              <w:rPr>
                <w:rFonts w:ascii="Georgia" w:hAnsi="Georgia" w:cs="Georgia"/>
                <w:sz w:val="20"/>
                <w:szCs w:val="20"/>
              </w:rPr>
              <w:t>Sektorius</w:t>
            </w:r>
          </w:p>
        </w:tc>
        <w:tc>
          <w:tcPr>
            <w:tcW w:w="1667" w:type="pct"/>
            <w:tcBorders>
              <w:top w:val="single" w:sz="8" w:space="0" w:color="C0504D" w:themeColor="accent2"/>
              <w:left w:val="nil"/>
              <w:bottom w:val="nil"/>
              <w:right w:val="nil"/>
            </w:tcBorders>
            <w:hideMark/>
          </w:tcPr>
          <w:p w14:paraId="7EBF0128" w14:textId="77777777" w:rsidR="00336C16" w:rsidRPr="00714494" w:rsidRDefault="00336C16" w:rsidP="00C9504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sidRPr="00714494">
              <w:rPr>
                <w:rFonts w:ascii="Georgia" w:hAnsi="Georgia" w:cs="Georgia"/>
                <w:sz w:val="20"/>
                <w:szCs w:val="20"/>
              </w:rPr>
              <w:t>Paramos tipas</w:t>
            </w:r>
          </w:p>
        </w:tc>
        <w:tc>
          <w:tcPr>
            <w:tcW w:w="1667" w:type="pct"/>
            <w:tcBorders>
              <w:top w:val="single" w:sz="8" w:space="0" w:color="C0504D" w:themeColor="accent2"/>
              <w:left w:val="nil"/>
              <w:bottom w:val="nil"/>
              <w:right w:val="single" w:sz="8" w:space="0" w:color="C0504D" w:themeColor="accent2"/>
            </w:tcBorders>
            <w:hideMark/>
          </w:tcPr>
          <w:p w14:paraId="009C6388" w14:textId="77777777" w:rsidR="00336C16" w:rsidRPr="00714494" w:rsidRDefault="00336C16" w:rsidP="00C9504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sidRPr="00714494">
              <w:rPr>
                <w:rFonts w:ascii="Georgia" w:hAnsi="Georgia" w:cs="Georgia"/>
                <w:sz w:val="20"/>
                <w:szCs w:val="20"/>
              </w:rPr>
              <w:t>Finansinių priemonių skaičius</w:t>
            </w:r>
          </w:p>
        </w:tc>
      </w:tr>
      <w:tr w:rsidR="00336C16" w14:paraId="74705BA7" w14:textId="77777777" w:rsidTr="00466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right w:val="nil"/>
            </w:tcBorders>
            <w:hideMark/>
          </w:tcPr>
          <w:p w14:paraId="2A3443FC" w14:textId="77777777" w:rsidR="00336C16" w:rsidRDefault="00336C16" w:rsidP="0089342F">
            <w:pPr>
              <w:autoSpaceDE w:val="0"/>
              <w:autoSpaceDN w:val="0"/>
              <w:adjustRightInd w:val="0"/>
              <w:jc w:val="both"/>
              <w:rPr>
                <w:rFonts w:ascii="Georgia" w:hAnsi="Georgia" w:cs="Georgia"/>
                <w:sz w:val="20"/>
                <w:szCs w:val="20"/>
              </w:rPr>
            </w:pPr>
            <w:r>
              <w:rPr>
                <w:rFonts w:ascii="Georgia" w:hAnsi="Georgia" w:cs="Georgia"/>
                <w:sz w:val="20"/>
                <w:szCs w:val="20"/>
              </w:rPr>
              <w:t xml:space="preserve">Parama </w:t>
            </w:r>
            <w:r w:rsidR="0089342F">
              <w:rPr>
                <w:rFonts w:ascii="Georgia" w:hAnsi="Georgia" w:cs="Georgia"/>
                <w:sz w:val="20"/>
                <w:szCs w:val="20"/>
              </w:rPr>
              <w:t xml:space="preserve">mažoms ir vidutinėms įmonėms </w:t>
            </w:r>
            <w:r>
              <w:rPr>
                <w:rFonts w:ascii="Georgia" w:hAnsi="Georgia" w:cs="Georgia"/>
                <w:sz w:val="20"/>
                <w:szCs w:val="20"/>
              </w:rPr>
              <w:t>(ERPF lėšomis)</w:t>
            </w:r>
          </w:p>
        </w:tc>
        <w:tc>
          <w:tcPr>
            <w:tcW w:w="1667" w:type="pct"/>
            <w:tcBorders>
              <w:left w:val="nil"/>
              <w:right w:val="nil"/>
            </w:tcBorders>
            <w:hideMark/>
          </w:tcPr>
          <w:p w14:paraId="3220F0C1" w14:textId="77777777" w:rsidR="00336C16" w:rsidRDefault="00336C16" w:rsidP="00C03122">
            <w:pPr>
              <w:pStyle w:val="Sraopastraipa"/>
              <w:numPr>
                <w:ilvl w:val="0"/>
                <w:numId w:val="42"/>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Paskolos</w:t>
            </w:r>
          </w:p>
          <w:p w14:paraId="34C0E1E9" w14:textId="77777777" w:rsidR="00336C16" w:rsidRDefault="00336C16" w:rsidP="00C03122">
            <w:pPr>
              <w:pStyle w:val="Sraopastraipa"/>
              <w:numPr>
                <w:ilvl w:val="0"/>
                <w:numId w:val="42"/>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Garantijos</w:t>
            </w:r>
          </w:p>
          <w:p w14:paraId="66A775E8" w14:textId="77777777" w:rsidR="00336C16" w:rsidRDefault="00336C16" w:rsidP="00C03122">
            <w:pPr>
              <w:pStyle w:val="Sraopastraipa"/>
              <w:numPr>
                <w:ilvl w:val="0"/>
                <w:numId w:val="42"/>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Bendros investicijos</w:t>
            </w:r>
          </w:p>
          <w:p w14:paraId="416327B3" w14:textId="77777777" w:rsidR="00336C16" w:rsidRDefault="00336C16" w:rsidP="00C03122">
            <w:pPr>
              <w:pStyle w:val="Sraopastraipa"/>
              <w:numPr>
                <w:ilvl w:val="0"/>
                <w:numId w:val="42"/>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Kapitalas</w:t>
            </w:r>
          </w:p>
          <w:p w14:paraId="13F6DB17" w14:textId="77777777" w:rsidR="00336C16" w:rsidRDefault="00336C16" w:rsidP="00C03122">
            <w:pPr>
              <w:pStyle w:val="Sraopastraipa"/>
              <w:numPr>
                <w:ilvl w:val="0"/>
                <w:numId w:val="42"/>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Mezaninas</w:t>
            </w:r>
          </w:p>
          <w:p w14:paraId="003FCBC3" w14:textId="77777777" w:rsidR="00336C16" w:rsidRDefault="00336C16" w:rsidP="00C03122">
            <w:pPr>
              <w:pStyle w:val="Sraopastraipa"/>
              <w:numPr>
                <w:ilvl w:val="0"/>
                <w:numId w:val="42"/>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Rizikos kapitalas</w:t>
            </w:r>
          </w:p>
        </w:tc>
        <w:tc>
          <w:tcPr>
            <w:tcW w:w="1667" w:type="pct"/>
            <w:tcBorders>
              <w:left w:val="nil"/>
            </w:tcBorders>
            <w:hideMark/>
          </w:tcPr>
          <w:p w14:paraId="2A78B97B" w14:textId="77777777"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831</w:t>
            </w:r>
          </w:p>
        </w:tc>
      </w:tr>
      <w:tr w:rsidR="00336C16" w14:paraId="2F9625A0" w14:textId="77777777" w:rsidTr="00466A70">
        <w:tc>
          <w:tcPr>
            <w:cnfStyle w:val="001000000000" w:firstRow="0" w:lastRow="0" w:firstColumn="1" w:lastColumn="0" w:oddVBand="0" w:evenVBand="0" w:oddHBand="0" w:evenHBand="0" w:firstRowFirstColumn="0" w:firstRowLastColumn="0" w:lastRowFirstColumn="0" w:lastRowLastColumn="0"/>
            <w:tcW w:w="1666" w:type="pct"/>
            <w:tcBorders>
              <w:top w:val="nil"/>
              <w:left w:val="single" w:sz="8" w:space="0" w:color="C0504D" w:themeColor="accent2"/>
              <w:bottom w:val="nil"/>
              <w:right w:val="nil"/>
            </w:tcBorders>
            <w:hideMark/>
          </w:tcPr>
          <w:p w14:paraId="15791832" w14:textId="77777777" w:rsidR="00336C16" w:rsidRDefault="00336C16">
            <w:pPr>
              <w:autoSpaceDE w:val="0"/>
              <w:autoSpaceDN w:val="0"/>
              <w:adjustRightInd w:val="0"/>
              <w:jc w:val="both"/>
              <w:rPr>
                <w:rFonts w:ascii="Georgia" w:hAnsi="Georgia" w:cs="Georgia"/>
                <w:sz w:val="20"/>
                <w:szCs w:val="20"/>
              </w:rPr>
            </w:pPr>
            <w:r>
              <w:rPr>
                <w:rFonts w:ascii="Georgia" w:hAnsi="Georgia" w:cs="Georgia"/>
                <w:sz w:val="20"/>
                <w:szCs w:val="20"/>
              </w:rPr>
              <w:t>Miestų plėtra</w:t>
            </w:r>
          </w:p>
        </w:tc>
        <w:tc>
          <w:tcPr>
            <w:tcW w:w="1667" w:type="pct"/>
            <w:tcBorders>
              <w:top w:val="nil"/>
              <w:left w:val="nil"/>
              <w:bottom w:val="nil"/>
              <w:right w:val="nil"/>
            </w:tcBorders>
            <w:hideMark/>
          </w:tcPr>
          <w:p w14:paraId="61A1F9D3" w14:textId="77777777" w:rsidR="00336C16" w:rsidRDefault="00336C16" w:rsidP="00C03122">
            <w:pPr>
              <w:pStyle w:val="Sraopastraipa"/>
              <w:numPr>
                <w:ilvl w:val="0"/>
                <w:numId w:val="43"/>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Garantijos</w:t>
            </w:r>
          </w:p>
          <w:p w14:paraId="1DF9EE51" w14:textId="77777777" w:rsidR="00336C16" w:rsidRDefault="00336C16" w:rsidP="00C03122">
            <w:pPr>
              <w:pStyle w:val="Sraopastraipa"/>
              <w:numPr>
                <w:ilvl w:val="0"/>
                <w:numId w:val="43"/>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Investicinės paskolos</w:t>
            </w:r>
          </w:p>
          <w:p w14:paraId="18386B07" w14:textId="77777777" w:rsidR="00336C16" w:rsidRDefault="00336C16" w:rsidP="00C03122">
            <w:pPr>
              <w:pStyle w:val="Sraopastraipa"/>
              <w:numPr>
                <w:ilvl w:val="0"/>
                <w:numId w:val="43"/>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Mezaninas</w:t>
            </w:r>
          </w:p>
          <w:p w14:paraId="476E979A" w14:textId="77777777" w:rsidR="00336C16" w:rsidRDefault="00336C16" w:rsidP="00C03122">
            <w:pPr>
              <w:pStyle w:val="Sraopastraipa"/>
              <w:numPr>
                <w:ilvl w:val="0"/>
                <w:numId w:val="43"/>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Kapitalas</w:t>
            </w:r>
          </w:p>
        </w:tc>
        <w:tc>
          <w:tcPr>
            <w:tcW w:w="1667" w:type="pct"/>
            <w:tcBorders>
              <w:top w:val="nil"/>
              <w:left w:val="nil"/>
              <w:bottom w:val="nil"/>
              <w:right w:val="single" w:sz="8" w:space="0" w:color="C0504D" w:themeColor="accent2"/>
            </w:tcBorders>
            <w:hideMark/>
          </w:tcPr>
          <w:p w14:paraId="78BAC14A" w14:textId="77777777"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56</w:t>
            </w:r>
          </w:p>
        </w:tc>
      </w:tr>
      <w:tr w:rsidR="00336C16" w14:paraId="3965A666" w14:textId="77777777" w:rsidTr="00466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right w:val="nil"/>
            </w:tcBorders>
            <w:hideMark/>
          </w:tcPr>
          <w:p w14:paraId="2E2E3AC6" w14:textId="77777777" w:rsidR="00336C16" w:rsidRDefault="00336C16">
            <w:pPr>
              <w:autoSpaceDE w:val="0"/>
              <w:autoSpaceDN w:val="0"/>
              <w:adjustRightInd w:val="0"/>
              <w:jc w:val="both"/>
              <w:rPr>
                <w:rFonts w:ascii="Georgia" w:hAnsi="Georgia" w:cs="Georgia"/>
                <w:sz w:val="20"/>
                <w:szCs w:val="20"/>
              </w:rPr>
            </w:pPr>
            <w:r>
              <w:rPr>
                <w:rFonts w:ascii="Georgia" w:hAnsi="Georgia" w:cs="Georgia"/>
                <w:sz w:val="20"/>
                <w:szCs w:val="20"/>
              </w:rPr>
              <w:t>Energijos efektyvumas ir atsinaujinantys energijos ištekliai</w:t>
            </w:r>
          </w:p>
        </w:tc>
        <w:tc>
          <w:tcPr>
            <w:tcW w:w="1667" w:type="pct"/>
            <w:tcBorders>
              <w:left w:val="nil"/>
              <w:right w:val="nil"/>
            </w:tcBorders>
            <w:hideMark/>
          </w:tcPr>
          <w:p w14:paraId="3E919AFE" w14:textId="77777777" w:rsidR="00336C16" w:rsidRDefault="00336C16" w:rsidP="00C03122">
            <w:pPr>
              <w:pStyle w:val="Sraopastraipa"/>
              <w:numPr>
                <w:ilvl w:val="0"/>
                <w:numId w:val="44"/>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Investicinės paskolos</w:t>
            </w:r>
          </w:p>
          <w:p w14:paraId="72F3CCAD" w14:textId="77777777" w:rsidR="00336C16" w:rsidRDefault="00336C16" w:rsidP="00C03122">
            <w:pPr>
              <w:pStyle w:val="Sraopastraipa"/>
              <w:numPr>
                <w:ilvl w:val="0"/>
                <w:numId w:val="44"/>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Mezaninas</w:t>
            </w:r>
          </w:p>
          <w:p w14:paraId="0DFFF0DA" w14:textId="77777777" w:rsidR="00336C16" w:rsidRDefault="00336C16" w:rsidP="00C03122">
            <w:pPr>
              <w:pStyle w:val="Sraopastraipa"/>
              <w:numPr>
                <w:ilvl w:val="0"/>
                <w:numId w:val="44"/>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Kapitalas</w:t>
            </w:r>
          </w:p>
        </w:tc>
        <w:tc>
          <w:tcPr>
            <w:tcW w:w="1667" w:type="pct"/>
            <w:tcBorders>
              <w:left w:val="nil"/>
            </w:tcBorders>
            <w:hideMark/>
          </w:tcPr>
          <w:p w14:paraId="2EC7932B" w14:textId="77777777" w:rsidR="00336C16" w:rsidRDefault="00336C1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20</w:t>
            </w:r>
          </w:p>
        </w:tc>
      </w:tr>
      <w:tr w:rsidR="00336C16" w14:paraId="55C108A0" w14:textId="77777777" w:rsidTr="00466A70">
        <w:tc>
          <w:tcPr>
            <w:cnfStyle w:val="001000000000" w:firstRow="0" w:lastRow="0" w:firstColumn="1" w:lastColumn="0" w:oddVBand="0" w:evenVBand="0" w:oddHBand="0" w:evenHBand="0" w:firstRowFirstColumn="0" w:firstRowLastColumn="0" w:lastRowFirstColumn="0" w:lastRowLastColumn="0"/>
            <w:tcW w:w="1666" w:type="pct"/>
            <w:tcBorders>
              <w:top w:val="nil"/>
              <w:left w:val="single" w:sz="8" w:space="0" w:color="C0504D" w:themeColor="accent2"/>
              <w:bottom w:val="single" w:sz="8" w:space="0" w:color="C0504D" w:themeColor="accent2"/>
              <w:right w:val="nil"/>
            </w:tcBorders>
            <w:hideMark/>
          </w:tcPr>
          <w:p w14:paraId="0BAD5F5D" w14:textId="77777777" w:rsidR="00336C16" w:rsidRDefault="00336C16" w:rsidP="0089342F">
            <w:pPr>
              <w:autoSpaceDE w:val="0"/>
              <w:autoSpaceDN w:val="0"/>
              <w:adjustRightInd w:val="0"/>
              <w:jc w:val="both"/>
              <w:rPr>
                <w:rFonts w:ascii="Georgia" w:hAnsi="Georgia" w:cs="Georgia"/>
                <w:sz w:val="20"/>
                <w:szCs w:val="20"/>
              </w:rPr>
            </w:pPr>
            <w:r>
              <w:rPr>
                <w:rFonts w:ascii="Georgia" w:hAnsi="Georgia" w:cs="Georgia"/>
                <w:sz w:val="20"/>
                <w:szCs w:val="20"/>
              </w:rPr>
              <w:t xml:space="preserve">Parama </w:t>
            </w:r>
            <w:r w:rsidR="0089342F">
              <w:rPr>
                <w:rFonts w:ascii="Georgia" w:hAnsi="Georgia" w:cs="Georgia"/>
                <w:sz w:val="20"/>
                <w:szCs w:val="20"/>
              </w:rPr>
              <w:t xml:space="preserve">mažoms ir vidutinėms įmonėms </w:t>
            </w:r>
            <w:r>
              <w:rPr>
                <w:rFonts w:ascii="Georgia" w:hAnsi="Georgia" w:cs="Georgia"/>
                <w:sz w:val="20"/>
                <w:szCs w:val="20"/>
              </w:rPr>
              <w:t>(ESF lėšomis)</w:t>
            </w:r>
          </w:p>
        </w:tc>
        <w:tc>
          <w:tcPr>
            <w:tcW w:w="1667" w:type="pct"/>
            <w:tcBorders>
              <w:top w:val="nil"/>
              <w:left w:val="nil"/>
              <w:bottom w:val="single" w:sz="8" w:space="0" w:color="C0504D" w:themeColor="accent2"/>
              <w:right w:val="nil"/>
            </w:tcBorders>
            <w:hideMark/>
          </w:tcPr>
          <w:p w14:paraId="15303121" w14:textId="77777777" w:rsidR="00336C16" w:rsidRDefault="00336C16" w:rsidP="00C03122">
            <w:pPr>
              <w:pStyle w:val="Sraopastraipa"/>
              <w:numPr>
                <w:ilvl w:val="0"/>
                <w:numId w:val="45"/>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Daugiausia paskolos</w:t>
            </w:r>
          </w:p>
        </w:tc>
        <w:tc>
          <w:tcPr>
            <w:tcW w:w="1667" w:type="pct"/>
            <w:tcBorders>
              <w:top w:val="nil"/>
              <w:left w:val="nil"/>
              <w:bottom w:val="single" w:sz="8" w:space="0" w:color="C0504D" w:themeColor="accent2"/>
              <w:right w:val="single" w:sz="8" w:space="0" w:color="C0504D" w:themeColor="accent2"/>
            </w:tcBorders>
            <w:hideMark/>
          </w:tcPr>
          <w:p w14:paraId="74D97742" w14:textId="77777777" w:rsidR="00336C16" w:rsidRDefault="00336C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33</w:t>
            </w:r>
          </w:p>
        </w:tc>
      </w:tr>
    </w:tbl>
    <w:p w14:paraId="6974C075" w14:textId="77777777" w:rsidR="00336C16" w:rsidRPr="00936224" w:rsidRDefault="0089342F" w:rsidP="00336C16">
      <w:pPr>
        <w:autoSpaceDE w:val="0"/>
        <w:autoSpaceDN w:val="0"/>
        <w:adjustRightInd w:val="0"/>
        <w:spacing w:after="0" w:line="240" w:lineRule="auto"/>
        <w:jc w:val="both"/>
        <w:rPr>
          <w:rFonts w:ascii="Georgia" w:hAnsi="Georgia" w:cs="Georgia"/>
          <w:sz w:val="18"/>
          <w:szCs w:val="20"/>
          <w:lang w:val="lt-LT"/>
        </w:rPr>
      </w:pPr>
      <w:r w:rsidRPr="00936224">
        <w:rPr>
          <w:rFonts w:ascii="Georgia" w:hAnsi="Georgia" w:cs="Georgia"/>
          <w:i/>
          <w:sz w:val="20"/>
          <w:szCs w:val="20"/>
          <w:lang w:val="lt-LT"/>
        </w:rPr>
        <w:t xml:space="preserve">Šaltinis: </w:t>
      </w:r>
      <w:r w:rsidRPr="00F65508">
        <w:rPr>
          <w:rFonts w:ascii="Georgia" w:hAnsi="Georgia" w:cs="Georgia"/>
          <w:i/>
          <w:sz w:val="20"/>
          <w:szCs w:val="20"/>
        </w:rPr>
        <w:t>Summary Report on the progress made in financing and implementing financial engineering instruments co-financed by Structural Funds, programming period 2007 – 2013, situation as at 31 December 2012, DG Regio, DG Empl, September 2013</w:t>
      </w:r>
    </w:p>
    <w:p w14:paraId="3F083CA5" w14:textId="77777777" w:rsidR="0089342F" w:rsidRDefault="0089342F" w:rsidP="00336C16">
      <w:pPr>
        <w:autoSpaceDE w:val="0"/>
        <w:autoSpaceDN w:val="0"/>
        <w:adjustRightInd w:val="0"/>
        <w:spacing w:after="0" w:line="240" w:lineRule="auto"/>
        <w:jc w:val="both"/>
        <w:rPr>
          <w:rFonts w:ascii="Georgia" w:hAnsi="Georgia" w:cs="Georgia"/>
          <w:sz w:val="20"/>
          <w:szCs w:val="20"/>
          <w:lang w:val="lt-LT"/>
        </w:rPr>
      </w:pPr>
    </w:p>
    <w:p w14:paraId="3A0B4E3F" w14:textId="77777777" w:rsidR="00336C16" w:rsidRDefault="00336C16" w:rsidP="00336C16">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Finansinės priemonės Lietuvoje 2007-2013 m. periodu buvo naudojamos remti </w:t>
      </w:r>
      <w:r w:rsidR="0089342F">
        <w:rPr>
          <w:rFonts w:ascii="Georgia" w:hAnsi="Georgia" w:cs="Georgia"/>
          <w:sz w:val="20"/>
          <w:szCs w:val="20"/>
          <w:lang w:val="lt-LT"/>
        </w:rPr>
        <w:t xml:space="preserve">mažas ir vidutines įmones </w:t>
      </w:r>
      <w:r>
        <w:rPr>
          <w:rFonts w:ascii="Georgia" w:hAnsi="Georgia" w:cs="Georgia"/>
          <w:sz w:val="20"/>
          <w:szCs w:val="20"/>
          <w:lang w:val="lt-LT"/>
        </w:rPr>
        <w:t xml:space="preserve">(JEREMIE iniciatyva) bei </w:t>
      </w:r>
      <w:r w:rsidR="0089342F">
        <w:rPr>
          <w:rFonts w:ascii="Georgia" w:hAnsi="Georgia" w:cs="Georgia"/>
          <w:sz w:val="20"/>
          <w:szCs w:val="20"/>
          <w:lang w:val="lt-LT"/>
        </w:rPr>
        <w:t xml:space="preserve">modernizuoti </w:t>
      </w:r>
      <w:r>
        <w:rPr>
          <w:rFonts w:ascii="Georgia" w:hAnsi="Georgia" w:cs="Georgia"/>
          <w:sz w:val="20"/>
          <w:szCs w:val="20"/>
          <w:lang w:val="lt-LT"/>
        </w:rPr>
        <w:t xml:space="preserve">daugiabučius namus ir aukštojo mokslo bei profesinio mokymo įstaigų bendrabučius (JESSICA </w:t>
      </w:r>
      <w:r w:rsidR="00936224">
        <w:rPr>
          <w:rFonts w:ascii="Georgia" w:hAnsi="Georgia" w:cs="Georgia"/>
          <w:sz w:val="20"/>
          <w:szCs w:val="20"/>
          <w:lang w:val="lt-LT"/>
        </w:rPr>
        <w:t>KF</w:t>
      </w:r>
      <w:r>
        <w:rPr>
          <w:rFonts w:ascii="Georgia" w:hAnsi="Georgia" w:cs="Georgia"/>
          <w:sz w:val="20"/>
          <w:szCs w:val="20"/>
          <w:lang w:val="lt-LT"/>
        </w:rPr>
        <w:t xml:space="preserve">). Kadangi finansinės priemonės verslo subjektams nėra šio ex ante </w:t>
      </w:r>
      <w:r w:rsidR="0089342F">
        <w:rPr>
          <w:rFonts w:ascii="Georgia" w:hAnsi="Georgia" w:cs="Georgia"/>
          <w:sz w:val="20"/>
          <w:szCs w:val="20"/>
          <w:lang w:val="lt-LT"/>
        </w:rPr>
        <w:t xml:space="preserve">vertinimo </w:t>
      </w:r>
      <w:r>
        <w:rPr>
          <w:rFonts w:ascii="Georgia" w:hAnsi="Georgia" w:cs="Georgia"/>
          <w:sz w:val="20"/>
          <w:szCs w:val="20"/>
          <w:lang w:val="lt-LT"/>
        </w:rPr>
        <w:t xml:space="preserve">objektas, toliau nagrinėjamas tik JESSICA </w:t>
      </w:r>
      <w:r w:rsidR="0089342F">
        <w:rPr>
          <w:rFonts w:ascii="Georgia" w:hAnsi="Georgia" w:cs="Georgia"/>
          <w:sz w:val="20"/>
          <w:szCs w:val="20"/>
          <w:lang w:val="lt-LT"/>
        </w:rPr>
        <w:t>KF</w:t>
      </w:r>
      <w:r>
        <w:rPr>
          <w:rFonts w:ascii="Georgia" w:hAnsi="Georgia" w:cs="Georgia"/>
          <w:sz w:val="20"/>
          <w:szCs w:val="20"/>
          <w:lang w:val="lt-LT"/>
        </w:rPr>
        <w:t xml:space="preserve">. </w:t>
      </w:r>
    </w:p>
    <w:p w14:paraId="5EC5AB97" w14:textId="77777777" w:rsidR="00336C16" w:rsidRDefault="00336C16" w:rsidP="00336C16">
      <w:pPr>
        <w:autoSpaceDE w:val="0"/>
        <w:autoSpaceDN w:val="0"/>
        <w:adjustRightInd w:val="0"/>
        <w:spacing w:after="0"/>
        <w:jc w:val="both"/>
        <w:rPr>
          <w:rFonts w:ascii="Georgia" w:hAnsi="Georgia" w:cs="Georgia"/>
          <w:sz w:val="20"/>
          <w:szCs w:val="20"/>
          <w:lang w:val="lt-LT"/>
        </w:rPr>
      </w:pPr>
    </w:p>
    <w:p w14:paraId="60549E7D" w14:textId="77777777" w:rsidR="00336C16" w:rsidRDefault="00336C16" w:rsidP="00336C16">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2009 m. birželio 11 d. Finansų ministerija, Aplinkos ministerija ir </w:t>
      </w:r>
      <w:r w:rsidR="0089342F">
        <w:rPr>
          <w:rFonts w:ascii="Georgia" w:hAnsi="Georgia" w:cs="Georgia"/>
          <w:sz w:val="20"/>
          <w:szCs w:val="20"/>
          <w:lang w:val="lt-LT"/>
        </w:rPr>
        <w:t>EIB</w:t>
      </w:r>
      <w:r>
        <w:rPr>
          <w:rFonts w:ascii="Georgia" w:hAnsi="Georgia" w:cs="Georgia"/>
          <w:sz w:val="20"/>
          <w:szCs w:val="20"/>
          <w:lang w:val="lt-LT"/>
        </w:rPr>
        <w:t xml:space="preserve"> pasirašė finansavimo sutartį, kuria buvo įsteigtas JESSICA </w:t>
      </w:r>
      <w:r w:rsidR="0089342F">
        <w:rPr>
          <w:rFonts w:ascii="Georgia" w:hAnsi="Georgia" w:cs="Georgia"/>
          <w:sz w:val="20"/>
          <w:szCs w:val="20"/>
          <w:lang w:val="lt-LT"/>
        </w:rPr>
        <w:t>KF</w:t>
      </w:r>
      <w:r>
        <w:rPr>
          <w:rFonts w:ascii="Georgia" w:hAnsi="Georgia" w:cs="Georgia"/>
          <w:sz w:val="20"/>
          <w:szCs w:val="20"/>
          <w:lang w:val="lt-LT"/>
        </w:rPr>
        <w:t>. JESSICA KF Investavimo strategijoje numatytas finansinis produktas – lengvatinės paskolos daugiabučių namų modernizavimui. JESSICA KF dydis – 227 mln. eurų, iš kurių 127 mln.</w:t>
      </w:r>
      <w:r w:rsidR="0089342F">
        <w:rPr>
          <w:rFonts w:ascii="Georgia" w:hAnsi="Georgia" w:cs="Georgia"/>
          <w:sz w:val="20"/>
          <w:szCs w:val="20"/>
          <w:lang w:val="lt-LT"/>
        </w:rPr>
        <w:t xml:space="preserve"> eurų</w:t>
      </w:r>
      <w:r>
        <w:rPr>
          <w:rFonts w:ascii="Georgia" w:hAnsi="Georgia" w:cs="Georgia"/>
          <w:sz w:val="20"/>
          <w:szCs w:val="20"/>
          <w:lang w:val="lt-LT"/>
        </w:rPr>
        <w:t xml:space="preserve"> ERPF lėšos ir 100 mln.</w:t>
      </w:r>
      <w:r w:rsidR="0089342F">
        <w:rPr>
          <w:rFonts w:ascii="Georgia" w:hAnsi="Georgia" w:cs="Georgia"/>
          <w:sz w:val="20"/>
          <w:szCs w:val="20"/>
          <w:lang w:val="lt-LT"/>
        </w:rPr>
        <w:t xml:space="preserve"> eurų</w:t>
      </w:r>
      <w:r>
        <w:rPr>
          <w:rFonts w:ascii="Georgia" w:hAnsi="Georgia" w:cs="Georgia"/>
          <w:sz w:val="20"/>
          <w:szCs w:val="20"/>
          <w:lang w:val="lt-LT"/>
        </w:rPr>
        <w:t xml:space="preserve"> nacionalinės biudžeto lėšos. Į fondą pirmiausia buvo pervesta 149 mln. eurų – 127 mln.</w:t>
      </w:r>
      <w:r w:rsidR="0089342F">
        <w:rPr>
          <w:rFonts w:ascii="Georgia" w:hAnsi="Georgia" w:cs="Georgia"/>
          <w:sz w:val="20"/>
          <w:szCs w:val="20"/>
          <w:lang w:val="lt-LT"/>
        </w:rPr>
        <w:t xml:space="preserve"> eurų</w:t>
      </w:r>
      <w:r>
        <w:rPr>
          <w:rFonts w:ascii="Georgia" w:hAnsi="Georgia" w:cs="Georgia"/>
          <w:sz w:val="20"/>
          <w:szCs w:val="20"/>
          <w:lang w:val="lt-LT"/>
        </w:rPr>
        <w:t xml:space="preserve"> ERPF ir 20 mln.</w:t>
      </w:r>
      <w:r w:rsidR="0089342F">
        <w:rPr>
          <w:rFonts w:ascii="Georgia" w:hAnsi="Georgia" w:cs="Georgia"/>
          <w:sz w:val="20"/>
          <w:szCs w:val="20"/>
          <w:lang w:val="lt-LT"/>
        </w:rPr>
        <w:t xml:space="preserve"> eurų</w:t>
      </w:r>
      <w:r>
        <w:rPr>
          <w:rFonts w:ascii="Georgia" w:hAnsi="Georgia" w:cs="Georgia"/>
          <w:sz w:val="20"/>
          <w:szCs w:val="20"/>
          <w:lang w:val="lt-LT"/>
        </w:rPr>
        <w:t xml:space="preserve"> nacionalinių biudžeto lėšų. </w:t>
      </w:r>
    </w:p>
    <w:p w14:paraId="29510B10" w14:textId="77777777" w:rsidR="00336C16" w:rsidRDefault="00336C16" w:rsidP="00336C16">
      <w:pPr>
        <w:autoSpaceDE w:val="0"/>
        <w:autoSpaceDN w:val="0"/>
        <w:adjustRightInd w:val="0"/>
        <w:spacing w:after="0"/>
        <w:jc w:val="both"/>
        <w:rPr>
          <w:rFonts w:ascii="Georgia" w:hAnsi="Georgia" w:cs="Georgia"/>
          <w:sz w:val="20"/>
          <w:szCs w:val="20"/>
          <w:lang w:val="lt-LT"/>
        </w:rPr>
      </w:pPr>
    </w:p>
    <w:p w14:paraId="25221CA3" w14:textId="77777777" w:rsidR="00336C16" w:rsidRDefault="00336C16" w:rsidP="00336C16">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2009 metų pabaigoje buvo identifikuotas poreikis prie JESSICA KF veiklų įtraukti ir bendrabučių renovacijos projektus. 2010 m. vasario mėn. EIB šiam tikslui parengė studiją, kurioje buvo numatyta, </w:t>
      </w:r>
      <w:r>
        <w:rPr>
          <w:rFonts w:ascii="Georgia" w:hAnsi="Georgia" w:cs="Georgia"/>
          <w:sz w:val="20"/>
          <w:szCs w:val="20"/>
          <w:lang w:val="lt-LT"/>
        </w:rPr>
        <w:lastRenderedPageBreak/>
        <w:t xml:space="preserve">kad tinkamiausias finansinis produktas bendrabučių renovacijai yra labai panašus </w:t>
      </w:r>
      <w:r w:rsidR="0089342F">
        <w:rPr>
          <w:rFonts w:ascii="Georgia" w:hAnsi="Georgia" w:cs="Georgia"/>
          <w:sz w:val="20"/>
          <w:szCs w:val="20"/>
          <w:lang w:val="lt-LT"/>
        </w:rPr>
        <w:t>į</w:t>
      </w:r>
      <w:r>
        <w:rPr>
          <w:rFonts w:ascii="Georgia" w:hAnsi="Georgia" w:cs="Georgia"/>
          <w:sz w:val="20"/>
          <w:szCs w:val="20"/>
          <w:lang w:val="lt-LT"/>
        </w:rPr>
        <w:t xml:space="preserve"> daugiabučių</w:t>
      </w:r>
      <w:r w:rsidR="0089342F">
        <w:rPr>
          <w:rFonts w:ascii="Georgia" w:hAnsi="Georgia" w:cs="Georgia"/>
          <w:sz w:val="20"/>
          <w:szCs w:val="20"/>
          <w:lang w:val="lt-LT"/>
        </w:rPr>
        <w:t xml:space="preserve"> modernizavimo finansinį produktą</w:t>
      </w:r>
      <w:r>
        <w:rPr>
          <w:rStyle w:val="Puslapioinaosnuoroda"/>
          <w:rFonts w:ascii="Georgia" w:hAnsi="Georgia" w:cs="Georgia"/>
          <w:sz w:val="20"/>
          <w:szCs w:val="20"/>
          <w:lang w:val="lt-LT"/>
        </w:rPr>
        <w:footnoteReference w:id="5"/>
      </w:r>
      <w:r>
        <w:rPr>
          <w:rFonts w:ascii="Georgia" w:hAnsi="Georgia" w:cs="Georgia"/>
          <w:sz w:val="20"/>
          <w:szCs w:val="20"/>
          <w:lang w:val="lt-LT"/>
        </w:rPr>
        <w:t xml:space="preserve">. </w:t>
      </w:r>
    </w:p>
    <w:p w14:paraId="28B1590E" w14:textId="77777777" w:rsidR="00A73D8E" w:rsidRDefault="00A73D8E" w:rsidP="00336C16">
      <w:pPr>
        <w:autoSpaceDE w:val="0"/>
        <w:autoSpaceDN w:val="0"/>
        <w:adjustRightInd w:val="0"/>
        <w:spacing w:after="0" w:line="240" w:lineRule="auto"/>
        <w:rPr>
          <w:rFonts w:ascii="Georgia" w:hAnsi="Georgia" w:cs="Georgia"/>
          <w:sz w:val="20"/>
          <w:szCs w:val="20"/>
          <w:lang w:val="lt-LT"/>
        </w:rPr>
      </w:pPr>
    </w:p>
    <w:p w14:paraId="36B23EA2" w14:textId="77777777" w:rsidR="00336C16" w:rsidRDefault="00336C16" w:rsidP="00936224">
      <w:pPr>
        <w:autoSpaceDE w:val="0"/>
        <w:autoSpaceDN w:val="0"/>
        <w:adjustRightInd w:val="0"/>
        <w:spacing w:after="0"/>
        <w:jc w:val="both"/>
        <w:rPr>
          <w:rFonts w:ascii="Georgia,Bold" w:hAnsi="Georgia,Bold" w:cs="Georgia,Bold"/>
          <w:b/>
          <w:bCs/>
          <w:color w:val="FFFFFF"/>
          <w:sz w:val="18"/>
          <w:szCs w:val="18"/>
          <w:lang w:val="lt-LT"/>
        </w:rPr>
      </w:pPr>
      <w:r>
        <w:rPr>
          <w:rFonts w:ascii="Georgia" w:hAnsi="Georgia" w:cs="Georgia"/>
          <w:sz w:val="20"/>
          <w:szCs w:val="20"/>
          <w:lang w:val="lt-LT"/>
        </w:rPr>
        <w:t xml:space="preserve">JESSICA KF patirtis, kilusios problemos, jų sprendimo būdai bei išmoktos pamokos nagrinėjamos </w:t>
      </w:r>
      <w:r w:rsidR="00CC2E6F">
        <w:rPr>
          <w:rFonts w:ascii="Georgia" w:hAnsi="Georgia" w:cs="Georgia"/>
          <w:sz w:val="20"/>
          <w:szCs w:val="20"/>
          <w:lang w:val="lt-LT"/>
        </w:rPr>
        <w:t xml:space="preserve">6-ame </w:t>
      </w:r>
      <w:r>
        <w:rPr>
          <w:rFonts w:ascii="Georgia" w:hAnsi="Georgia" w:cs="Georgia"/>
          <w:sz w:val="20"/>
          <w:szCs w:val="20"/>
          <w:lang w:val="lt-LT"/>
        </w:rPr>
        <w:t>skyriu</w:t>
      </w:r>
      <w:r w:rsidR="00CC2E6F">
        <w:rPr>
          <w:rFonts w:ascii="Georgia" w:hAnsi="Georgia" w:cs="Georgia"/>
          <w:sz w:val="20"/>
          <w:szCs w:val="20"/>
          <w:lang w:val="lt-LT"/>
        </w:rPr>
        <w:t>j</w:t>
      </w:r>
      <w:r>
        <w:rPr>
          <w:rFonts w:ascii="Georgia" w:hAnsi="Georgia" w:cs="Georgia"/>
          <w:sz w:val="20"/>
          <w:szCs w:val="20"/>
          <w:lang w:val="lt-LT"/>
        </w:rPr>
        <w:t xml:space="preserve">e. </w:t>
      </w:r>
    </w:p>
    <w:p w14:paraId="6F19B0CE" w14:textId="77777777" w:rsidR="00336C16" w:rsidRDefault="00336C16" w:rsidP="00336C16">
      <w:pPr>
        <w:rPr>
          <w:rFonts w:ascii="Georgia" w:hAnsi="Georgia" w:cs="Georgia"/>
          <w:sz w:val="20"/>
          <w:szCs w:val="20"/>
          <w:lang w:val="lt-LT"/>
        </w:rPr>
      </w:pPr>
      <w:r>
        <w:rPr>
          <w:rFonts w:ascii="Georgia,Bold" w:hAnsi="Georgia,Bold" w:cs="Georgia,Bold"/>
          <w:b/>
          <w:bCs/>
          <w:color w:val="FFFFFF"/>
          <w:sz w:val="18"/>
          <w:szCs w:val="18"/>
          <w:lang w:val="lt-LT"/>
        </w:rPr>
        <w:t>(</w:t>
      </w:r>
    </w:p>
    <w:p w14:paraId="47A0B483" w14:textId="77777777" w:rsidR="00336C16" w:rsidRDefault="00336C16" w:rsidP="00C03122">
      <w:pPr>
        <w:pStyle w:val="Antrat2"/>
        <w:numPr>
          <w:ilvl w:val="1"/>
          <w:numId w:val="38"/>
        </w:numPr>
        <w:rPr>
          <w:lang w:val="lt-LT"/>
        </w:rPr>
      </w:pPr>
      <w:bookmarkStart w:id="16" w:name="_Toc393381199"/>
      <w:bookmarkStart w:id="17" w:name="_Toc417378361"/>
      <w:r>
        <w:rPr>
          <w:lang w:val="lt-LT"/>
        </w:rPr>
        <w:t xml:space="preserve">Finansinių priemonių įgyvendinimo alternatyvos atsižvelgiant į </w:t>
      </w:r>
      <w:r w:rsidR="00B378B1">
        <w:rPr>
          <w:lang w:val="lt-LT"/>
        </w:rPr>
        <w:t xml:space="preserve">ES reglamentų </w:t>
      </w:r>
      <w:r>
        <w:rPr>
          <w:lang w:val="lt-LT"/>
        </w:rPr>
        <w:t>nuostatas</w:t>
      </w:r>
      <w:bookmarkEnd w:id="16"/>
      <w:bookmarkEnd w:id="17"/>
    </w:p>
    <w:p w14:paraId="7B39F228" w14:textId="77777777" w:rsidR="00336C16" w:rsidRDefault="00336C16" w:rsidP="00336C16">
      <w:pPr>
        <w:autoSpaceDE w:val="0"/>
        <w:autoSpaceDN w:val="0"/>
        <w:adjustRightInd w:val="0"/>
        <w:spacing w:after="0" w:line="240" w:lineRule="auto"/>
        <w:rPr>
          <w:rFonts w:ascii="Georgia" w:hAnsi="Georgia" w:cs="Georgia"/>
          <w:sz w:val="20"/>
          <w:szCs w:val="20"/>
          <w:lang w:val="lt-LT"/>
        </w:rPr>
      </w:pPr>
    </w:p>
    <w:p w14:paraId="790BF04C" w14:textId="77777777" w:rsidR="00336C16" w:rsidRDefault="00336C16" w:rsidP="00336C16">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2007-2013 m. period</w:t>
      </w:r>
      <w:r w:rsidR="00CC2E6F">
        <w:rPr>
          <w:rFonts w:ascii="Georgia" w:hAnsi="Georgia" w:cs="Georgia"/>
          <w:sz w:val="20"/>
          <w:szCs w:val="20"/>
          <w:lang w:val="lt-LT"/>
        </w:rPr>
        <w:t>u</w:t>
      </w:r>
      <w:r>
        <w:rPr>
          <w:rFonts w:ascii="Georgia" w:hAnsi="Georgia" w:cs="Georgia"/>
          <w:sz w:val="20"/>
          <w:szCs w:val="20"/>
          <w:lang w:val="lt-LT"/>
        </w:rPr>
        <w:t xml:space="preserve"> buvo įgyvendinta nemažai finansinių priemonių, todėl Europos Komisija iš daugybės finansinių priemonių pavyzdžių identifikavo tobulintinus finansinių priemonių įgyvendinimo aspektus</w:t>
      </w:r>
      <w:r>
        <w:rPr>
          <w:rStyle w:val="Puslapioinaosnuoroda"/>
          <w:rFonts w:ascii="Georgia" w:hAnsi="Georgia" w:cs="Georgia"/>
          <w:sz w:val="20"/>
          <w:szCs w:val="20"/>
          <w:lang w:val="lt-LT"/>
        </w:rPr>
        <w:footnoteReference w:id="6"/>
      </w:r>
      <w:r>
        <w:rPr>
          <w:rFonts w:ascii="Georgia" w:hAnsi="Georgia" w:cs="Georgia"/>
          <w:sz w:val="20"/>
          <w:szCs w:val="20"/>
          <w:lang w:val="lt-LT"/>
        </w:rPr>
        <w:t>:</w:t>
      </w:r>
    </w:p>
    <w:p w14:paraId="5A0E98E8" w14:textId="77777777" w:rsidR="00336C16" w:rsidRDefault="00336C16" w:rsidP="00C03122">
      <w:pPr>
        <w:pStyle w:val="Sraopastraipa"/>
        <w:numPr>
          <w:ilvl w:val="0"/>
          <w:numId w:val="45"/>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Finansinių priemonių įgyvendinimo visuose lygmenyse kompetencijų tobulinimas;</w:t>
      </w:r>
    </w:p>
    <w:p w14:paraId="7D0CDB83" w14:textId="77777777" w:rsidR="00336C16" w:rsidRDefault="00336C16" w:rsidP="00C03122">
      <w:pPr>
        <w:pStyle w:val="Sraopastraipa"/>
        <w:numPr>
          <w:ilvl w:val="0"/>
          <w:numId w:val="45"/>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Stipresnė ES finansinio įnašo finansinei priemonei priežiūra ir kontrolė;</w:t>
      </w:r>
    </w:p>
    <w:p w14:paraId="714E2B9F" w14:textId="77777777" w:rsidR="00336C16" w:rsidRDefault="00336C16" w:rsidP="00C03122">
      <w:pPr>
        <w:pStyle w:val="Sraopastraipa"/>
        <w:numPr>
          <w:ilvl w:val="0"/>
          <w:numId w:val="45"/>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Finansinės priemonės kritinės masės siekimas, ypač tikslinės rinkos dydžio, efektyvaus potencialaus projektų kiekio ir apimties, teisingo geografinio padengimo aspektais;</w:t>
      </w:r>
    </w:p>
    <w:p w14:paraId="5EEC567D" w14:textId="77777777" w:rsidR="00336C16" w:rsidRDefault="00336C16" w:rsidP="00C03122">
      <w:pPr>
        <w:pStyle w:val="Sraopastraipa"/>
        <w:numPr>
          <w:ilvl w:val="0"/>
          <w:numId w:val="45"/>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Efektyvaus lėšų išmokėjimo užtikrinimas. </w:t>
      </w:r>
    </w:p>
    <w:p w14:paraId="2BBEF09F" w14:textId="77777777" w:rsidR="00336C16" w:rsidRDefault="00336C16" w:rsidP="00336C16">
      <w:pPr>
        <w:autoSpaceDE w:val="0"/>
        <w:autoSpaceDN w:val="0"/>
        <w:adjustRightInd w:val="0"/>
        <w:spacing w:after="0"/>
        <w:jc w:val="both"/>
        <w:rPr>
          <w:rFonts w:ascii="Georgia" w:hAnsi="Georgia" w:cs="Georgia"/>
          <w:sz w:val="20"/>
          <w:szCs w:val="20"/>
          <w:lang w:val="lt-LT"/>
        </w:rPr>
      </w:pPr>
    </w:p>
    <w:p w14:paraId="5721DD3A" w14:textId="77777777" w:rsidR="00336C16" w:rsidRDefault="00336C16" w:rsidP="00336C16">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Atsižvelgiant į visus šiuos aspektus, 2014-2020 m. periodo teisinė bazė buvo pritaikyta toliau plėsti ir stiprinti finansinių priemonių įgyvendinimą kaip tvarų ir efektyvų būdą papildyti tradicines subsidijų teikimo schemas. Taip pat Europos Komisija rengia finansinių priemonių techninės paramos platformą 2014-2020 m. periodui, kurios tikslas </w:t>
      </w:r>
      <w:r w:rsidR="00CC2E6F">
        <w:rPr>
          <w:rFonts w:ascii="Georgia" w:hAnsi="Georgia" w:cs="Georgia"/>
          <w:sz w:val="20"/>
          <w:szCs w:val="20"/>
          <w:lang w:val="lt-LT"/>
        </w:rPr>
        <w:t xml:space="preserve">– </w:t>
      </w:r>
      <w:r>
        <w:rPr>
          <w:rFonts w:ascii="Georgia" w:hAnsi="Georgia" w:cs="Georgia"/>
          <w:sz w:val="20"/>
          <w:szCs w:val="20"/>
          <w:lang w:val="lt-LT"/>
        </w:rPr>
        <w:t>padėti</w:t>
      </w:r>
      <w:r w:rsidR="00CC2E6F">
        <w:rPr>
          <w:rFonts w:ascii="Georgia" w:hAnsi="Georgia" w:cs="Georgia"/>
          <w:sz w:val="20"/>
          <w:szCs w:val="20"/>
          <w:lang w:val="lt-LT"/>
        </w:rPr>
        <w:t xml:space="preserve"> </w:t>
      </w:r>
      <w:r>
        <w:rPr>
          <w:rFonts w:ascii="Georgia" w:hAnsi="Georgia" w:cs="Georgia"/>
          <w:sz w:val="20"/>
          <w:szCs w:val="20"/>
          <w:lang w:val="lt-LT"/>
        </w:rPr>
        <w:t xml:space="preserve">vadovaujančioms institucijoms finansinių priemonių įgyvendinime įvairiomis priemonėmis, pvz. komunikacija, situacijų analizėmis, mokymais, išaiškinimais. </w:t>
      </w:r>
    </w:p>
    <w:p w14:paraId="4930CF43" w14:textId="77777777" w:rsidR="00336C16" w:rsidRDefault="00336C16" w:rsidP="00336C16">
      <w:pPr>
        <w:autoSpaceDE w:val="0"/>
        <w:autoSpaceDN w:val="0"/>
        <w:adjustRightInd w:val="0"/>
        <w:spacing w:after="0"/>
        <w:jc w:val="both"/>
        <w:rPr>
          <w:rFonts w:ascii="Georgia" w:hAnsi="Georgia" w:cs="Georgia"/>
          <w:sz w:val="20"/>
          <w:szCs w:val="20"/>
          <w:lang w:val="lt-LT"/>
        </w:rPr>
      </w:pPr>
    </w:p>
    <w:p w14:paraId="708C2B55" w14:textId="77777777" w:rsidR="00336C16" w:rsidRDefault="00336C16" w:rsidP="00336C16">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2007-2013 m. ir 2014-2020 m. periodų esminiai finansinių priemonių reglamentavimo ir įgyvendinimo skirtumai pateikti lentelėje žemiau. </w:t>
      </w:r>
    </w:p>
    <w:p w14:paraId="4C674E98" w14:textId="77777777" w:rsidR="00336C16" w:rsidRDefault="00336C16" w:rsidP="00336C16">
      <w:pPr>
        <w:autoSpaceDE w:val="0"/>
        <w:autoSpaceDN w:val="0"/>
        <w:adjustRightInd w:val="0"/>
        <w:spacing w:after="0"/>
        <w:jc w:val="both"/>
        <w:rPr>
          <w:rFonts w:ascii="Georgia" w:hAnsi="Georgia" w:cs="Georgia"/>
          <w:sz w:val="20"/>
          <w:szCs w:val="20"/>
          <w:lang w:val="lt-LT"/>
        </w:rPr>
      </w:pPr>
    </w:p>
    <w:p w14:paraId="323EFAA8" w14:textId="58D59B24" w:rsidR="00931CAF" w:rsidRPr="00936224" w:rsidRDefault="00931CAF" w:rsidP="00931CAF">
      <w:pPr>
        <w:pStyle w:val="Antrat"/>
        <w:jc w:val="both"/>
        <w:rPr>
          <w:lang w:val="lt-LT"/>
        </w:rPr>
      </w:pPr>
      <w:bookmarkStart w:id="18" w:name="_Toc460321585"/>
      <w:r w:rsidRPr="00936224">
        <w:rPr>
          <w:lang w:val="lt-LT"/>
        </w:rPr>
        <w:t xml:space="preserve">Lentelė </w:t>
      </w:r>
      <w:r w:rsidRPr="00936224">
        <w:rPr>
          <w:lang w:val="lt-LT"/>
        </w:rPr>
        <w:fldChar w:fldCharType="begin"/>
      </w:r>
      <w:r w:rsidRPr="00936224">
        <w:rPr>
          <w:lang w:val="lt-LT"/>
        </w:rPr>
        <w:instrText xml:space="preserve"> SEQ Lentelė \* ARABIC </w:instrText>
      </w:r>
      <w:r w:rsidRPr="00936224">
        <w:rPr>
          <w:lang w:val="lt-LT"/>
        </w:rPr>
        <w:fldChar w:fldCharType="separate"/>
      </w:r>
      <w:r w:rsidR="00AA3082">
        <w:rPr>
          <w:noProof/>
          <w:lang w:val="lt-LT"/>
        </w:rPr>
        <w:t>4</w:t>
      </w:r>
      <w:r w:rsidRPr="00936224">
        <w:rPr>
          <w:lang w:val="lt-LT"/>
        </w:rPr>
        <w:fldChar w:fldCharType="end"/>
      </w:r>
      <w:r w:rsidRPr="00936224">
        <w:rPr>
          <w:lang w:val="lt-LT"/>
        </w:rPr>
        <w:t xml:space="preserve">. </w:t>
      </w:r>
      <w:r w:rsidRPr="001E4B4F">
        <w:rPr>
          <w:rFonts w:cs="Georgia"/>
          <w:szCs w:val="20"/>
          <w:lang w:val="lt-LT"/>
        </w:rPr>
        <w:t xml:space="preserve">2007–2013 m. ir 2014–2020 m. </w:t>
      </w:r>
      <w:r w:rsidR="00EA7A6C" w:rsidRPr="001E4B4F">
        <w:rPr>
          <w:rFonts w:cs="Georgia"/>
          <w:szCs w:val="20"/>
          <w:lang w:val="lt-LT"/>
        </w:rPr>
        <w:t>periodų</w:t>
      </w:r>
      <w:r w:rsidRPr="001E4B4F">
        <w:rPr>
          <w:rFonts w:cs="Georgia"/>
          <w:szCs w:val="20"/>
          <w:lang w:val="lt-LT"/>
        </w:rPr>
        <w:t xml:space="preserve"> finansinių </w:t>
      </w:r>
      <w:r w:rsidR="00EA7A6C" w:rsidRPr="009D6C03">
        <w:rPr>
          <w:rFonts w:cs="Georgia"/>
          <w:szCs w:val="20"/>
          <w:lang w:val="lt-LT"/>
        </w:rPr>
        <w:t>priemoni</w:t>
      </w:r>
      <w:r w:rsidRPr="00F214B9">
        <w:rPr>
          <w:rFonts w:cs="Georgia"/>
          <w:szCs w:val="20"/>
          <w:lang w:val="lt-LT"/>
        </w:rPr>
        <w:t>ų panaudojimo skirtumai.</w:t>
      </w:r>
      <w:bookmarkEnd w:id="18"/>
      <w:r w:rsidRPr="00F214B9">
        <w:rPr>
          <w:rFonts w:cs="Georgia"/>
          <w:szCs w:val="20"/>
          <w:lang w:val="lt-LT"/>
        </w:rPr>
        <w:t xml:space="preserve"> </w:t>
      </w:r>
    </w:p>
    <w:tbl>
      <w:tblPr>
        <w:tblStyle w:val="viesussraas2parykinimas"/>
        <w:tblW w:w="5000" w:type="pct"/>
        <w:tblLayout w:type="fixed"/>
        <w:tblLook w:val="04A0" w:firstRow="1" w:lastRow="0" w:firstColumn="1" w:lastColumn="0" w:noHBand="0" w:noVBand="1"/>
      </w:tblPr>
      <w:tblGrid>
        <w:gridCol w:w="1521"/>
        <w:gridCol w:w="2556"/>
        <w:gridCol w:w="3039"/>
        <w:gridCol w:w="2126"/>
      </w:tblGrid>
      <w:tr w:rsidR="00336C16" w:rsidRPr="00714494" w14:paraId="6D743D79" w14:textId="77777777" w:rsidTr="006A3B80">
        <w:trPr>
          <w:cnfStyle w:val="100000000000" w:firstRow="1" w:lastRow="0" w:firstColumn="0" w:lastColumn="0" w:oddVBand="0" w:evenVBand="0" w:oddHBand="0" w:evenHBand="0" w:firstRowFirstColumn="0" w:firstRowLastColumn="0" w:lastRowFirstColumn="0" w:lastRowLastColumn="0"/>
          <w:trHeight w:val="76"/>
          <w:tblHeader/>
        </w:trPr>
        <w:tc>
          <w:tcPr>
            <w:cnfStyle w:val="001000000000" w:firstRow="0" w:lastRow="0" w:firstColumn="1" w:lastColumn="0" w:oddVBand="0" w:evenVBand="0" w:oddHBand="0" w:evenHBand="0" w:firstRowFirstColumn="0" w:firstRowLastColumn="0" w:lastRowFirstColumn="0" w:lastRowLastColumn="0"/>
            <w:tcW w:w="823" w:type="pct"/>
            <w:tcBorders>
              <w:top w:val="single" w:sz="8" w:space="0" w:color="C0504D" w:themeColor="accent2"/>
              <w:left w:val="single" w:sz="8" w:space="0" w:color="C0504D" w:themeColor="accent2"/>
              <w:bottom w:val="nil"/>
              <w:right w:val="single" w:sz="8" w:space="0" w:color="C0504D" w:themeColor="accent2"/>
            </w:tcBorders>
            <w:hideMark/>
          </w:tcPr>
          <w:p w14:paraId="3522C5EA" w14:textId="77777777" w:rsidR="00336C16" w:rsidRPr="00714494" w:rsidRDefault="00336C16" w:rsidP="00C95047">
            <w:pPr>
              <w:widowControl w:val="0"/>
              <w:autoSpaceDE w:val="0"/>
              <w:autoSpaceDN w:val="0"/>
              <w:adjustRightInd w:val="0"/>
              <w:jc w:val="center"/>
              <w:rPr>
                <w:rFonts w:ascii="Georgia" w:hAnsi="Georgia" w:cs="Arial"/>
                <w:sz w:val="20"/>
                <w:szCs w:val="20"/>
              </w:rPr>
            </w:pPr>
            <w:r w:rsidRPr="00714494">
              <w:rPr>
                <w:rFonts w:ascii="Georgia" w:hAnsi="Georgia" w:cs="Arial"/>
                <w:sz w:val="20"/>
                <w:szCs w:val="20"/>
              </w:rPr>
              <w:t>Tema</w:t>
            </w:r>
          </w:p>
        </w:tc>
        <w:tc>
          <w:tcPr>
            <w:tcW w:w="1383" w:type="pct"/>
            <w:tcBorders>
              <w:top w:val="single" w:sz="8" w:space="0" w:color="C0504D" w:themeColor="accent2"/>
              <w:left w:val="nil"/>
              <w:bottom w:val="nil"/>
              <w:right w:val="nil"/>
            </w:tcBorders>
            <w:hideMark/>
          </w:tcPr>
          <w:p w14:paraId="120F7568" w14:textId="77777777" w:rsidR="00336C16" w:rsidRPr="00714494" w:rsidRDefault="00336C16" w:rsidP="00C95047">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rPr>
            </w:pPr>
            <w:r w:rsidRPr="00714494">
              <w:rPr>
                <w:rFonts w:ascii="Georgia" w:hAnsi="Georgia" w:cs="Arial"/>
                <w:sz w:val="20"/>
                <w:szCs w:val="20"/>
              </w:rPr>
              <w:t>2007–2013</w:t>
            </w:r>
          </w:p>
        </w:tc>
        <w:tc>
          <w:tcPr>
            <w:tcW w:w="1644" w:type="pct"/>
            <w:tcBorders>
              <w:top w:val="single" w:sz="8" w:space="0" w:color="C0504D" w:themeColor="accent2"/>
              <w:left w:val="single" w:sz="8" w:space="0" w:color="C0504D" w:themeColor="accent2"/>
              <w:bottom w:val="nil"/>
              <w:right w:val="single" w:sz="8" w:space="0" w:color="C0504D" w:themeColor="accent2"/>
            </w:tcBorders>
            <w:hideMark/>
          </w:tcPr>
          <w:p w14:paraId="7617D09F" w14:textId="77777777" w:rsidR="00336C16" w:rsidRPr="00714494" w:rsidRDefault="00336C16" w:rsidP="00C95047">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rPr>
            </w:pPr>
            <w:r w:rsidRPr="00714494">
              <w:rPr>
                <w:rFonts w:ascii="Georgia" w:hAnsi="Georgia" w:cs="Arial"/>
                <w:sz w:val="20"/>
                <w:szCs w:val="20"/>
              </w:rPr>
              <w:t>2014–2020</w:t>
            </w:r>
          </w:p>
        </w:tc>
        <w:tc>
          <w:tcPr>
            <w:tcW w:w="1150" w:type="pct"/>
            <w:tcBorders>
              <w:top w:val="single" w:sz="8" w:space="0" w:color="C0504D" w:themeColor="accent2"/>
              <w:left w:val="nil"/>
              <w:bottom w:val="nil"/>
              <w:right w:val="single" w:sz="8" w:space="0" w:color="C0504D" w:themeColor="accent2"/>
            </w:tcBorders>
            <w:hideMark/>
          </w:tcPr>
          <w:p w14:paraId="0AAB6CA9" w14:textId="77777777" w:rsidR="00336C16" w:rsidRPr="00714494" w:rsidRDefault="00336C16" w:rsidP="00C95047">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rPr>
            </w:pPr>
            <w:r w:rsidRPr="00714494">
              <w:rPr>
                <w:rFonts w:ascii="Georgia" w:hAnsi="Georgia" w:cs="Arial"/>
                <w:sz w:val="20"/>
                <w:szCs w:val="20"/>
              </w:rPr>
              <w:t>Pokytis</w:t>
            </w:r>
          </w:p>
        </w:tc>
      </w:tr>
      <w:tr w:rsidR="00336C16" w14:paraId="4F8170AC" w14:textId="77777777" w:rsidTr="00936224">
        <w:trPr>
          <w:cnfStyle w:val="000000100000" w:firstRow="0" w:lastRow="0" w:firstColumn="0" w:lastColumn="0" w:oddVBand="0" w:evenVBand="0" w:oddHBand="1" w:evenHBand="0" w:firstRowFirstColumn="0" w:firstRowLastColumn="0" w:lastRowFirstColumn="0" w:lastRowLastColumn="0"/>
          <w:cantSplit/>
          <w:trHeight w:val="541"/>
        </w:trPr>
        <w:tc>
          <w:tcPr>
            <w:cnfStyle w:val="001000000000" w:firstRow="0" w:lastRow="0" w:firstColumn="1" w:lastColumn="0" w:oddVBand="0" w:evenVBand="0" w:oddHBand="0" w:evenHBand="0" w:firstRowFirstColumn="0" w:firstRowLastColumn="0" w:lastRowFirstColumn="0" w:lastRowLastColumn="0"/>
            <w:tcW w:w="823" w:type="pct"/>
            <w:tcBorders>
              <w:right w:val="single" w:sz="8" w:space="0" w:color="C0504D" w:themeColor="accent2"/>
            </w:tcBorders>
            <w:hideMark/>
          </w:tcPr>
          <w:p w14:paraId="1F673FFF" w14:textId="77777777" w:rsidR="00336C16" w:rsidRDefault="00336C16" w:rsidP="00C95047">
            <w:pPr>
              <w:widowControl w:val="0"/>
              <w:autoSpaceDE w:val="0"/>
              <w:autoSpaceDN w:val="0"/>
              <w:adjustRightInd w:val="0"/>
              <w:rPr>
                <w:rFonts w:ascii="Georgia" w:hAnsi="Georgia" w:cs="Arial"/>
                <w:color w:val="000000"/>
                <w:sz w:val="20"/>
                <w:szCs w:val="20"/>
              </w:rPr>
            </w:pPr>
            <w:r>
              <w:rPr>
                <w:rFonts w:ascii="Georgia" w:hAnsi="Georgia" w:cs="Arial"/>
                <w:b w:val="0"/>
                <w:color w:val="000000"/>
                <w:sz w:val="20"/>
                <w:szCs w:val="20"/>
              </w:rPr>
              <w:t xml:space="preserve">Remiama veikla </w:t>
            </w:r>
          </w:p>
        </w:tc>
        <w:tc>
          <w:tcPr>
            <w:tcW w:w="1383" w:type="pct"/>
            <w:tcBorders>
              <w:left w:val="nil"/>
              <w:right w:val="nil"/>
            </w:tcBorders>
            <w:hideMark/>
          </w:tcPr>
          <w:p w14:paraId="570EE8FC" w14:textId="77777777" w:rsidR="00336C16" w:rsidRDefault="00336C16" w:rsidP="00C9504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Apribojimai sektoriams, paramos gavėjams: remiam</w:t>
            </w:r>
            <w:r w:rsidR="00EA7A6C">
              <w:rPr>
                <w:rFonts w:ascii="Georgia" w:hAnsi="Georgia" w:cs="Arial"/>
                <w:color w:val="000000"/>
                <w:sz w:val="20"/>
                <w:szCs w:val="20"/>
              </w:rPr>
              <w:t>os</w:t>
            </w:r>
            <w:r>
              <w:rPr>
                <w:rFonts w:ascii="Georgia" w:hAnsi="Georgia" w:cs="Arial"/>
                <w:color w:val="000000"/>
                <w:sz w:val="20"/>
                <w:szCs w:val="20"/>
              </w:rPr>
              <w:t xml:space="preserve"> </w:t>
            </w:r>
            <w:r w:rsidR="00EA7A6C">
              <w:rPr>
                <w:rFonts w:ascii="Georgia" w:hAnsi="Georgia" w:cs="Arial"/>
                <w:color w:val="000000"/>
                <w:sz w:val="20"/>
                <w:szCs w:val="20"/>
              </w:rPr>
              <w:t>mažos ir vidutinės įmonės</w:t>
            </w:r>
            <w:r>
              <w:rPr>
                <w:rFonts w:ascii="Georgia" w:hAnsi="Georgia" w:cs="Arial"/>
                <w:color w:val="000000"/>
                <w:sz w:val="20"/>
                <w:szCs w:val="20"/>
              </w:rPr>
              <w:t>, miestų plėtra ir energijos vartojimo efektyvumo didinimas</w:t>
            </w:r>
            <w:r w:rsidR="000470B4">
              <w:rPr>
                <w:rFonts w:ascii="Georgia" w:hAnsi="Georgia" w:cs="Arial"/>
                <w:color w:val="000000"/>
                <w:sz w:val="20"/>
                <w:szCs w:val="20"/>
              </w:rPr>
              <w:t>. 2007-2013 metų laikotarpyje finansin</w:t>
            </w:r>
            <w:r w:rsidR="00D96817">
              <w:rPr>
                <w:rFonts w:ascii="Georgia" w:hAnsi="Georgia" w:cs="Arial"/>
                <w:color w:val="000000"/>
                <w:sz w:val="20"/>
                <w:szCs w:val="20"/>
              </w:rPr>
              <w:t>ių</w:t>
            </w:r>
            <w:r w:rsidR="000470B4">
              <w:rPr>
                <w:rFonts w:ascii="Georgia" w:hAnsi="Georgia" w:cs="Arial"/>
                <w:color w:val="000000"/>
                <w:sz w:val="20"/>
                <w:szCs w:val="20"/>
              </w:rPr>
              <w:t xml:space="preserve"> priemon</w:t>
            </w:r>
            <w:r w:rsidR="00D96817">
              <w:rPr>
                <w:rFonts w:ascii="Georgia" w:hAnsi="Georgia" w:cs="Arial"/>
                <w:color w:val="000000"/>
                <w:sz w:val="20"/>
                <w:szCs w:val="20"/>
              </w:rPr>
              <w:t>ių įgyvendinimui</w:t>
            </w:r>
            <w:r w:rsidR="000470B4">
              <w:rPr>
                <w:rFonts w:ascii="Georgia" w:hAnsi="Georgia" w:cs="Arial"/>
                <w:color w:val="000000"/>
                <w:sz w:val="20"/>
                <w:szCs w:val="20"/>
              </w:rPr>
              <w:t xml:space="preserve"> negalėjo būti </w:t>
            </w:r>
            <w:r w:rsidR="00D96817">
              <w:rPr>
                <w:rFonts w:ascii="Georgia" w:hAnsi="Georgia" w:cs="Arial"/>
                <w:color w:val="000000"/>
                <w:sz w:val="20"/>
                <w:szCs w:val="20"/>
              </w:rPr>
              <w:t>naudojamos</w:t>
            </w:r>
            <w:r w:rsidR="000470B4">
              <w:rPr>
                <w:rFonts w:ascii="Georgia" w:hAnsi="Georgia" w:cs="Arial"/>
                <w:color w:val="000000"/>
                <w:sz w:val="20"/>
                <w:szCs w:val="20"/>
              </w:rPr>
              <w:t xml:space="preserve"> Sanglaudos fond</w:t>
            </w:r>
            <w:r w:rsidR="00936224">
              <w:rPr>
                <w:rFonts w:ascii="Georgia" w:hAnsi="Georgia" w:cs="Arial"/>
                <w:color w:val="000000"/>
                <w:sz w:val="20"/>
                <w:szCs w:val="20"/>
              </w:rPr>
              <w:t>o</w:t>
            </w:r>
            <w:r w:rsidR="00D96817">
              <w:rPr>
                <w:rFonts w:ascii="Georgia" w:hAnsi="Georgia" w:cs="Arial"/>
                <w:color w:val="000000"/>
                <w:sz w:val="20"/>
                <w:szCs w:val="20"/>
              </w:rPr>
              <w:t xml:space="preserve"> lėšos</w:t>
            </w:r>
            <w:r w:rsidR="000470B4">
              <w:rPr>
                <w:rFonts w:ascii="Georgia" w:hAnsi="Georgia" w:cs="Arial"/>
                <w:color w:val="000000"/>
                <w:sz w:val="20"/>
                <w:szCs w:val="20"/>
              </w:rPr>
              <w:t>.</w:t>
            </w:r>
            <w:r>
              <w:rPr>
                <w:rFonts w:ascii="Georgia" w:hAnsi="Georgia" w:cs="Arial"/>
                <w:color w:val="000000"/>
                <w:sz w:val="20"/>
                <w:szCs w:val="20"/>
              </w:rPr>
              <w:t xml:space="preserve"> </w:t>
            </w:r>
          </w:p>
        </w:tc>
        <w:tc>
          <w:tcPr>
            <w:tcW w:w="1644" w:type="pct"/>
            <w:tcBorders>
              <w:left w:val="single" w:sz="8" w:space="0" w:color="C0504D" w:themeColor="accent2"/>
              <w:right w:val="single" w:sz="8" w:space="0" w:color="C0504D" w:themeColor="accent2"/>
            </w:tcBorders>
            <w:hideMark/>
          </w:tcPr>
          <w:p w14:paraId="720CF318" w14:textId="77777777" w:rsidR="00336C16" w:rsidRDefault="00336C16" w:rsidP="00C9504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Valstybės narės ir valdymo institucijos gali naudoti finansines priemones visų teminių tikslų įgyvendinimui, jei yra užtikrinama nauda ir efektyvumas</w:t>
            </w:r>
          </w:p>
        </w:tc>
        <w:tc>
          <w:tcPr>
            <w:tcW w:w="1150" w:type="pct"/>
            <w:tcBorders>
              <w:left w:val="nil"/>
            </w:tcBorders>
            <w:hideMark/>
          </w:tcPr>
          <w:p w14:paraId="75D6E0F8" w14:textId="77777777" w:rsidR="00336C16" w:rsidRDefault="00336C16" w:rsidP="00C9504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Užtikrinamas lankstumas ES valstybėms narėms ir regionams dėl paramos gavėjų, tikslinių sektorių projektų ir veiklos</w:t>
            </w:r>
          </w:p>
        </w:tc>
      </w:tr>
      <w:tr w:rsidR="00336C16" w14:paraId="7400D7BF" w14:textId="77777777" w:rsidTr="00936224">
        <w:trPr>
          <w:cantSplit/>
          <w:trHeight w:val="452"/>
        </w:trPr>
        <w:tc>
          <w:tcPr>
            <w:cnfStyle w:val="001000000000" w:firstRow="0" w:lastRow="0" w:firstColumn="1" w:lastColumn="0" w:oddVBand="0" w:evenVBand="0" w:oddHBand="0" w:evenHBand="0" w:firstRowFirstColumn="0" w:firstRowLastColumn="0" w:lastRowFirstColumn="0" w:lastRowLastColumn="0"/>
            <w:tcW w:w="823" w:type="pct"/>
            <w:tcBorders>
              <w:top w:val="nil"/>
              <w:left w:val="single" w:sz="8" w:space="0" w:color="C0504D" w:themeColor="accent2"/>
              <w:bottom w:val="nil"/>
              <w:right w:val="single" w:sz="8" w:space="0" w:color="C0504D" w:themeColor="accent2"/>
            </w:tcBorders>
            <w:hideMark/>
          </w:tcPr>
          <w:p w14:paraId="33CC4396" w14:textId="77777777" w:rsidR="00336C16" w:rsidRDefault="00336C16" w:rsidP="00C95047">
            <w:pPr>
              <w:widowControl w:val="0"/>
              <w:autoSpaceDE w:val="0"/>
              <w:autoSpaceDN w:val="0"/>
              <w:adjustRightInd w:val="0"/>
              <w:rPr>
                <w:rFonts w:ascii="Georgia" w:hAnsi="Georgia" w:cs="Arial"/>
                <w:color w:val="000000"/>
                <w:sz w:val="20"/>
                <w:szCs w:val="20"/>
              </w:rPr>
            </w:pPr>
            <w:r>
              <w:rPr>
                <w:rFonts w:ascii="Georgia" w:hAnsi="Georgia" w:cs="Arial"/>
                <w:b w:val="0"/>
                <w:color w:val="000000"/>
                <w:sz w:val="20"/>
                <w:szCs w:val="20"/>
              </w:rPr>
              <w:lastRenderedPageBreak/>
              <w:t>Priemonių</w:t>
            </w:r>
          </w:p>
          <w:p w14:paraId="3E49A7CF" w14:textId="77777777" w:rsidR="00336C16" w:rsidRDefault="00336C16" w:rsidP="00C95047">
            <w:pPr>
              <w:widowControl w:val="0"/>
              <w:autoSpaceDE w:val="0"/>
              <w:autoSpaceDN w:val="0"/>
              <w:adjustRightInd w:val="0"/>
              <w:rPr>
                <w:rFonts w:ascii="Georgia" w:hAnsi="Georgia" w:cs="Arial"/>
                <w:color w:val="000000"/>
                <w:sz w:val="20"/>
                <w:szCs w:val="20"/>
              </w:rPr>
            </w:pPr>
            <w:r>
              <w:rPr>
                <w:rFonts w:ascii="Georgia" w:hAnsi="Georgia" w:cs="Arial"/>
                <w:b w:val="0"/>
                <w:color w:val="000000"/>
                <w:sz w:val="20"/>
                <w:szCs w:val="20"/>
              </w:rPr>
              <w:t xml:space="preserve">sinergija </w:t>
            </w:r>
          </w:p>
        </w:tc>
        <w:tc>
          <w:tcPr>
            <w:tcW w:w="1383" w:type="pct"/>
            <w:tcBorders>
              <w:top w:val="nil"/>
              <w:left w:val="nil"/>
              <w:bottom w:val="nil"/>
              <w:right w:val="nil"/>
            </w:tcBorders>
            <w:hideMark/>
          </w:tcPr>
          <w:p w14:paraId="2AB793A1" w14:textId="77777777" w:rsidR="00336C16" w:rsidRDefault="00EA7A6C" w:rsidP="00C950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Finansinių priemonių derinimas su kitomis paramos formomis neapibrėžtas</w:t>
            </w:r>
          </w:p>
        </w:tc>
        <w:tc>
          <w:tcPr>
            <w:tcW w:w="1644" w:type="pct"/>
            <w:tcBorders>
              <w:top w:val="nil"/>
              <w:left w:val="single" w:sz="8" w:space="0" w:color="C0504D" w:themeColor="accent2"/>
              <w:bottom w:val="nil"/>
              <w:right w:val="single" w:sz="8" w:space="0" w:color="C0504D" w:themeColor="accent2"/>
            </w:tcBorders>
            <w:hideMark/>
          </w:tcPr>
          <w:p w14:paraId="5FA762C0" w14:textId="77777777" w:rsidR="00336C16" w:rsidRDefault="00336C16" w:rsidP="00C950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 xml:space="preserve">Finansinės priemonės gali būti derinamos su dotacijomis, subsidijomis ir garantijomis. Šiuo atveju kiekviena finansavimo forma turi būti apskaitoma atskirai. </w:t>
            </w:r>
          </w:p>
        </w:tc>
        <w:tc>
          <w:tcPr>
            <w:tcW w:w="1150" w:type="pct"/>
            <w:tcBorders>
              <w:top w:val="nil"/>
              <w:left w:val="nil"/>
              <w:bottom w:val="nil"/>
              <w:right w:val="single" w:sz="8" w:space="0" w:color="C0504D" w:themeColor="accent2"/>
            </w:tcBorders>
            <w:hideMark/>
          </w:tcPr>
          <w:p w14:paraId="338442BB" w14:textId="77777777" w:rsidR="00336C16" w:rsidRDefault="00336C16" w:rsidP="00C950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 xml:space="preserve">Sukuriama sinergija tarp finansinių </w:t>
            </w:r>
            <w:r w:rsidR="00EA7A6C">
              <w:rPr>
                <w:rFonts w:ascii="Georgia" w:hAnsi="Georgia" w:cs="Arial"/>
                <w:color w:val="000000"/>
                <w:sz w:val="20"/>
                <w:szCs w:val="20"/>
              </w:rPr>
              <w:t xml:space="preserve">priemonių </w:t>
            </w:r>
            <w:r>
              <w:rPr>
                <w:rFonts w:ascii="Georgia" w:hAnsi="Georgia" w:cs="Arial"/>
                <w:color w:val="000000"/>
                <w:sz w:val="20"/>
                <w:szCs w:val="20"/>
              </w:rPr>
              <w:t>ir kitų paramos priemonių, pvz., dotacijų</w:t>
            </w:r>
          </w:p>
        </w:tc>
      </w:tr>
      <w:tr w:rsidR="00336C16" w:rsidRPr="006A3B80" w14:paraId="0033D281" w14:textId="77777777" w:rsidTr="006A3B80">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823" w:type="pct"/>
            <w:tcBorders>
              <w:right w:val="single" w:sz="8" w:space="0" w:color="C0504D" w:themeColor="accent2"/>
            </w:tcBorders>
            <w:hideMark/>
          </w:tcPr>
          <w:p w14:paraId="5F61B617" w14:textId="77777777" w:rsidR="00336C16" w:rsidRPr="006A3B80" w:rsidRDefault="00336C16" w:rsidP="00C95047">
            <w:pPr>
              <w:widowControl w:val="0"/>
              <w:autoSpaceDE w:val="0"/>
              <w:autoSpaceDN w:val="0"/>
              <w:adjustRightInd w:val="0"/>
              <w:rPr>
                <w:rFonts w:ascii="Georgia" w:hAnsi="Georgia" w:cs="Arial"/>
                <w:b w:val="0"/>
                <w:color w:val="000000"/>
                <w:sz w:val="20"/>
                <w:szCs w:val="20"/>
              </w:rPr>
            </w:pPr>
            <w:r w:rsidRPr="006A3B80">
              <w:rPr>
                <w:rFonts w:ascii="Georgia" w:hAnsi="Georgia" w:cs="Arial"/>
                <w:b w:val="0"/>
                <w:color w:val="000000"/>
                <w:sz w:val="20"/>
                <w:szCs w:val="20"/>
              </w:rPr>
              <w:t xml:space="preserve">Įgyvendinimo alternatyvos </w:t>
            </w:r>
          </w:p>
        </w:tc>
        <w:tc>
          <w:tcPr>
            <w:tcW w:w="1383" w:type="pct"/>
            <w:tcBorders>
              <w:left w:val="nil"/>
              <w:right w:val="nil"/>
            </w:tcBorders>
          </w:tcPr>
          <w:p w14:paraId="42938C5D" w14:textId="77777777" w:rsidR="00336C16" w:rsidRPr="006A3B80" w:rsidRDefault="00336C16" w:rsidP="00C9504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6A3B80">
              <w:rPr>
                <w:rFonts w:ascii="Georgia" w:hAnsi="Georgia" w:cs="Arial"/>
                <w:color w:val="000000"/>
                <w:sz w:val="20"/>
                <w:szCs w:val="20"/>
              </w:rPr>
              <w:t xml:space="preserve">Finansų inžinerijos </w:t>
            </w:r>
            <w:r w:rsidR="00032456" w:rsidRPr="006A3B80">
              <w:rPr>
                <w:rFonts w:ascii="Georgia" w:hAnsi="Georgia" w:cs="Arial"/>
                <w:color w:val="000000"/>
                <w:sz w:val="20"/>
                <w:szCs w:val="20"/>
              </w:rPr>
              <w:t>priemonės</w:t>
            </w:r>
            <w:r w:rsidRPr="006A3B80">
              <w:rPr>
                <w:rFonts w:ascii="Georgia" w:hAnsi="Georgia" w:cs="Arial"/>
                <w:color w:val="000000"/>
                <w:sz w:val="20"/>
                <w:szCs w:val="20"/>
              </w:rPr>
              <w:t xml:space="preserve">, įskaitant kontroliuojančiuosius fondus, steigiami kaip: </w:t>
            </w:r>
          </w:p>
          <w:p w14:paraId="317C96DD" w14:textId="77777777" w:rsidR="00336C16" w:rsidRPr="006A3B80" w:rsidRDefault="00336C16" w:rsidP="002A576D">
            <w:pPr>
              <w:pStyle w:val="Sraopastraipa"/>
              <w:widowControl w:val="0"/>
              <w:numPr>
                <w:ilvl w:val="0"/>
                <w:numId w:val="4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6A3B80">
              <w:rPr>
                <w:rFonts w:ascii="Georgia" w:hAnsi="Georgia" w:cs="Arial"/>
                <w:color w:val="000000"/>
                <w:sz w:val="20"/>
                <w:szCs w:val="20"/>
              </w:rPr>
              <w:t xml:space="preserve">nepriklausomi juridiniai asmenys, valdomi pagal bendrą finansavimą vykdančių partnerių ar akcininkų sutartis; </w:t>
            </w:r>
          </w:p>
          <w:p w14:paraId="13B47647" w14:textId="77777777" w:rsidR="00336C16" w:rsidRPr="006A3B80" w:rsidRDefault="00336C16" w:rsidP="002A576D">
            <w:pPr>
              <w:pStyle w:val="Sraopastraipa"/>
              <w:widowControl w:val="0"/>
              <w:numPr>
                <w:ilvl w:val="0"/>
                <w:numId w:val="4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6A3B80">
              <w:rPr>
                <w:rFonts w:ascii="Georgia" w:hAnsi="Georgia" w:cs="Arial"/>
                <w:color w:val="000000"/>
                <w:sz w:val="20"/>
                <w:szCs w:val="20"/>
              </w:rPr>
              <w:t xml:space="preserve">atskiras finansų padalinys </w:t>
            </w:r>
            <w:r w:rsidR="006A3B80" w:rsidRPr="006A3B80">
              <w:rPr>
                <w:rFonts w:ascii="Georgia" w:hAnsi="Georgia" w:cs="Arial"/>
                <w:color w:val="000000"/>
                <w:sz w:val="20"/>
                <w:szCs w:val="20"/>
              </w:rPr>
              <w:t>finansų institucijoje</w:t>
            </w:r>
          </w:p>
        </w:tc>
        <w:tc>
          <w:tcPr>
            <w:tcW w:w="1644" w:type="pct"/>
            <w:tcBorders>
              <w:left w:val="single" w:sz="8" w:space="0" w:color="C0504D" w:themeColor="accent2"/>
              <w:right w:val="single" w:sz="8" w:space="0" w:color="C0504D" w:themeColor="accent2"/>
            </w:tcBorders>
            <w:hideMark/>
          </w:tcPr>
          <w:p w14:paraId="0D2A3B0B" w14:textId="77777777" w:rsidR="00336C16" w:rsidRPr="006A3B80" w:rsidRDefault="00336C16" w:rsidP="00C9504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6A3B80">
              <w:rPr>
                <w:rFonts w:ascii="Georgia" w:hAnsi="Georgia" w:cs="Arial"/>
                <w:color w:val="000000"/>
                <w:sz w:val="20"/>
                <w:szCs w:val="20"/>
              </w:rPr>
              <w:t>Remdamos finansines priemones vadovaujančiosios institucijos gali:</w:t>
            </w:r>
          </w:p>
          <w:p w14:paraId="2827BFC8" w14:textId="77777777" w:rsidR="00336C16" w:rsidRPr="006A3B80" w:rsidRDefault="00336C16" w:rsidP="002A576D">
            <w:pPr>
              <w:pStyle w:val="Sraopastraipa"/>
              <w:widowControl w:val="0"/>
              <w:numPr>
                <w:ilvl w:val="0"/>
                <w:numId w:val="4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6A3B80">
              <w:rPr>
                <w:rFonts w:ascii="Georgia" w:hAnsi="Georgia" w:cs="Arial"/>
                <w:color w:val="000000"/>
                <w:sz w:val="20"/>
                <w:szCs w:val="20"/>
              </w:rPr>
              <w:t>investuoti į esamų arba naujų juridinių asmenų, kapitalą;</w:t>
            </w:r>
          </w:p>
          <w:p w14:paraId="17F52AA2" w14:textId="77777777" w:rsidR="00336C16" w:rsidRPr="006A3B80" w:rsidRDefault="00336C16" w:rsidP="002A576D">
            <w:pPr>
              <w:pStyle w:val="Sraopastraipa"/>
              <w:widowControl w:val="0"/>
              <w:numPr>
                <w:ilvl w:val="0"/>
                <w:numId w:val="4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6A3B80">
              <w:rPr>
                <w:rFonts w:ascii="Georgia" w:hAnsi="Georgia" w:cs="Arial"/>
                <w:color w:val="000000"/>
                <w:sz w:val="20"/>
                <w:szCs w:val="20"/>
              </w:rPr>
              <w:t>įgyvendinimo užduotis pavesti vykdyti:</w:t>
            </w:r>
          </w:p>
          <w:p w14:paraId="33714D90" w14:textId="77777777" w:rsidR="00336C16" w:rsidRPr="006A3B80" w:rsidRDefault="00336C16" w:rsidP="002A576D">
            <w:pPr>
              <w:pStyle w:val="Sraopastraipa"/>
              <w:widowControl w:val="0"/>
              <w:numPr>
                <w:ilvl w:val="1"/>
                <w:numId w:val="46"/>
              </w:numPr>
              <w:autoSpaceDE w:val="0"/>
              <w:autoSpaceDN w:val="0"/>
              <w:adjustRightInd w:val="0"/>
              <w:ind w:left="601"/>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6A3B80">
              <w:rPr>
                <w:rFonts w:ascii="Georgia" w:hAnsi="Georgia" w:cs="Arial"/>
                <w:color w:val="000000"/>
                <w:sz w:val="20"/>
                <w:szCs w:val="20"/>
              </w:rPr>
              <w:t>EIB;</w:t>
            </w:r>
          </w:p>
          <w:p w14:paraId="1CB95672" w14:textId="77777777" w:rsidR="00336C16" w:rsidRPr="006A3B80" w:rsidRDefault="00336C16" w:rsidP="002A576D">
            <w:pPr>
              <w:pStyle w:val="Sraopastraipa"/>
              <w:widowControl w:val="0"/>
              <w:numPr>
                <w:ilvl w:val="1"/>
                <w:numId w:val="46"/>
              </w:numPr>
              <w:autoSpaceDE w:val="0"/>
              <w:autoSpaceDN w:val="0"/>
              <w:adjustRightInd w:val="0"/>
              <w:ind w:left="601"/>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6A3B80">
              <w:rPr>
                <w:rFonts w:ascii="Georgia" w:hAnsi="Georgia" w:cs="Arial"/>
                <w:color w:val="000000"/>
                <w:sz w:val="20"/>
                <w:szCs w:val="20"/>
              </w:rPr>
              <w:t>Tarptautinėms finansų įstaigoms, arba valstybėje narėje įsteigtoms finansų įstaigoms;</w:t>
            </w:r>
          </w:p>
          <w:p w14:paraId="0D3611AF" w14:textId="77777777" w:rsidR="00336C16" w:rsidRPr="006A3B80" w:rsidRDefault="00336C16" w:rsidP="002A576D">
            <w:pPr>
              <w:pStyle w:val="Sraopastraipa"/>
              <w:widowControl w:val="0"/>
              <w:numPr>
                <w:ilvl w:val="1"/>
                <w:numId w:val="46"/>
              </w:numPr>
              <w:autoSpaceDE w:val="0"/>
              <w:autoSpaceDN w:val="0"/>
              <w:adjustRightInd w:val="0"/>
              <w:ind w:left="601"/>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6A3B80">
              <w:rPr>
                <w:rFonts w:ascii="Georgia" w:hAnsi="Georgia" w:cs="Arial"/>
                <w:color w:val="000000"/>
                <w:sz w:val="20"/>
                <w:szCs w:val="20"/>
              </w:rPr>
              <w:t>Viešosios arba privačiosios teisės subjektui;</w:t>
            </w:r>
          </w:p>
          <w:p w14:paraId="6E5117E0" w14:textId="77777777" w:rsidR="00336C16" w:rsidRPr="006A3B80" w:rsidRDefault="00336C16" w:rsidP="002A576D">
            <w:pPr>
              <w:pStyle w:val="Sraopastraipa"/>
              <w:widowControl w:val="0"/>
              <w:numPr>
                <w:ilvl w:val="0"/>
                <w:numId w:val="4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6A3B80">
              <w:rPr>
                <w:rFonts w:ascii="Georgia" w:hAnsi="Georgia" w:cs="Arial"/>
                <w:color w:val="000000"/>
                <w:sz w:val="20"/>
                <w:szCs w:val="20"/>
              </w:rPr>
              <w:t xml:space="preserve">Imtis įgyvendinimo užduotis vykdyti tiesiogiai. </w:t>
            </w:r>
          </w:p>
        </w:tc>
        <w:tc>
          <w:tcPr>
            <w:tcW w:w="1150" w:type="pct"/>
            <w:tcBorders>
              <w:left w:val="nil"/>
            </w:tcBorders>
            <w:hideMark/>
          </w:tcPr>
          <w:p w14:paraId="380DDA25" w14:textId="77777777" w:rsidR="00336C16" w:rsidRPr="006A3B80" w:rsidRDefault="00336C16" w:rsidP="00C9504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6A3B80">
              <w:rPr>
                <w:rFonts w:ascii="Georgia" w:hAnsi="Georgia" w:cs="Arial"/>
                <w:color w:val="000000"/>
                <w:sz w:val="20"/>
                <w:szCs w:val="20"/>
              </w:rPr>
              <w:t xml:space="preserve">Komisijos pasiūlyme pateiktos skirtingos </w:t>
            </w:r>
          </w:p>
          <w:p w14:paraId="06769B55" w14:textId="77777777" w:rsidR="00336C16" w:rsidRPr="006A3B80" w:rsidRDefault="00336C16" w:rsidP="00C9504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6A3B80">
              <w:rPr>
                <w:rFonts w:ascii="Georgia" w:hAnsi="Georgia" w:cs="Arial"/>
                <w:color w:val="000000"/>
                <w:sz w:val="20"/>
                <w:szCs w:val="20"/>
              </w:rPr>
              <w:t xml:space="preserve">įgyvendinimo alternatyvos, iš kurių </w:t>
            </w:r>
          </w:p>
          <w:p w14:paraId="0F31AFD9" w14:textId="77777777" w:rsidR="00336C16" w:rsidRPr="006A3B80" w:rsidRDefault="00336C16" w:rsidP="00C9504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sidRPr="006A3B80">
              <w:rPr>
                <w:rFonts w:ascii="Georgia" w:hAnsi="Georgia" w:cs="Arial"/>
                <w:color w:val="000000"/>
                <w:sz w:val="20"/>
                <w:szCs w:val="20"/>
              </w:rPr>
              <w:t>valstybės narės ir vadovaujančiosios institucijos gali pasirinkti joms tinkamiausias</w:t>
            </w:r>
          </w:p>
        </w:tc>
      </w:tr>
      <w:tr w:rsidR="00336C16" w14:paraId="0065357A" w14:textId="77777777" w:rsidTr="006A3B80">
        <w:trPr>
          <w:trHeight w:val="579"/>
        </w:trPr>
        <w:tc>
          <w:tcPr>
            <w:cnfStyle w:val="001000000000" w:firstRow="0" w:lastRow="0" w:firstColumn="1" w:lastColumn="0" w:oddVBand="0" w:evenVBand="0" w:oddHBand="0" w:evenHBand="0" w:firstRowFirstColumn="0" w:firstRowLastColumn="0" w:lastRowFirstColumn="0" w:lastRowLastColumn="0"/>
            <w:tcW w:w="823" w:type="pct"/>
            <w:tcBorders>
              <w:top w:val="nil"/>
              <w:left w:val="single" w:sz="8" w:space="0" w:color="C0504D" w:themeColor="accent2"/>
              <w:bottom w:val="single" w:sz="8" w:space="0" w:color="C0504D" w:themeColor="accent2"/>
              <w:right w:val="single" w:sz="8" w:space="0" w:color="C0504D" w:themeColor="accent2"/>
            </w:tcBorders>
            <w:hideMark/>
          </w:tcPr>
          <w:p w14:paraId="5F1F5AF4" w14:textId="77777777" w:rsidR="00336C16" w:rsidRDefault="00336C16" w:rsidP="006A3B80">
            <w:pPr>
              <w:widowControl w:val="0"/>
              <w:autoSpaceDE w:val="0"/>
              <w:autoSpaceDN w:val="0"/>
              <w:adjustRightInd w:val="0"/>
              <w:rPr>
                <w:rFonts w:ascii="Georgia" w:hAnsi="Georgia" w:cs="Arial"/>
                <w:color w:val="000000"/>
                <w:sz w:val="20"/>
                <w:szCs w:val="20"/>
              </w:rPr>
            </w:pPr>
            <w:r>
              <w:rPr>
                <w:rFonts w:ascii="Georgia" w:hAnsi="Georgia" w:cs="Arial"/>
                <w:b w:val="0"/>
                <w:color w:val="000000"/>
                <w:sz w:val="20"/>
                <w:szCs w:val="20"/>
              </w:rPr>
              <w:t xml:space="preserve">Finansinių priemonių tipai </w:t>
            </w:r>
          </w:p>
        </w:tc>
        <w:tc>
          <w:tcPr>
            <w:tcW w:w="1383" w:type="pct"/>
            <w:tcBorders>
              <w:top w:val="nil"/>
              <w:left w:val="nil"/>
              <w:bottom w:val="single" w:sz="8" w:space="0" w:color="C0504D" w:themeColor="accent2"/>
              <w:right w:val="nil"/>
            </w:tcBorders>
          </w:tcPr>
          <w:p w14:paraId="50F13668" w14:textId="77777777" w:rsidR="00336C16" w:rsidRDefault="00336C16" w:rsidP="006A3B8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Pagal poreikį sukurtos finansinės priemonės</w:t>
            </w:r>
          </w:p>
          <w:p w14:paraId="50C10DFF" w14:textId="77777777" w:rsidR="00336C16" w:rsidRDefault="00336C16" w:rsidP="006A3B8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p>
        </w:tc>
        <w:tc>
          <w:tcPr>
            <w:tcW w:w="1644" w:type="pct"/>
            <w:tcBorders>
              <w:top w:val="nil"/>
              <w:left w:val="single" w:sz="8" w:space="0" w:color="C0504D" w:themeColor="accent2"/>
              <w:bottom w:val="single" w:sz="8" w:space="0" w:color="C0504D" w:themeColor="accent2"/>
              <w:right w:val="single" w:sz="8" w:space="0" w:color="C0504D" w:themeColor="accent2"/>
            </w:tcBorders>
          </w:tcPr>
          <w:p w14:paraId="1942BDCA" w14:textId="77777777" w:rsidR="00336C16" w:rsidRDefault="00336C16" w:rsidP="006A3B8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Vadovaujančios institucijos gali skirti finansinį įnašą šioms finansinėms priemonėms:</w:t>
            </w:r>
          </w:p>
          <w:p w14:paraId="3077B32B" w14:textId="77777777" w:rsidR="00336C16" w:rsidRDefault="00336C16" w:rsidP="002A576D">
            <w:pPr>
              <w:pStyle w:val="Sraopastraipa"/>
              <w:widowControl w:val="0"/>
              <w:numPr>
                <w:ilvl w:val="0"/>
                <w:numId w:val="4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Sąjungos lygmeniu nustatytoms finansinėms priemonėms, kurias tiesiogiai arba netiesiogiai valdo Komisija;</w:t>
            </w:r>
          </w:p>
          <w:p w14:paraId="7B2148B7" w14:textId="77777777" w:rsidR="00336C16" w:rsidRDefault="00336C16" w:rsidP="002A576D">
            <w:pPr>
              <w:pStyle w:val="Sraopastraipa"/>
              <w:widowControl w:val="0"/>
              <w:numPr>
                <w:ilvl w:val="0"/>
                <w:numId w:val="4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Nacionaliniu, regioniniu, tarptautiniu ar tarpvalstybiniu lygmenimis nustatytoms finansinėms priemonėms, kurias valdo arba už kurių valdymą atsako vadovaujančioji institucija:</w:t>
            </w:r>
          </w:p>
          <w:p w14:paraId="46EF9B5A" w14:textId="77777777" w:rsidR="00336C16" w:rsidRDefault="00336C16" w:rsidP="002A576D">
            <w:pPr>
              <w:pStyle w:val="Sraopastraipa"/>
              <w:widowControl w:val="0"/>
              <w:numPr>
                <w:ilvl w:val="1"/>
                <w:numId w:val="46"/>
              </w:numPr>
              <w:autoSpaceDE w:val="0"/>
              <w:autoSpaceDN w:val="0"/>
              <w:adjustRightInd w:val="0"/>
              <w:ind w:left="601"/>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 xml:space="preserve">Finansinėms priemonėms, kurios atitinka Komisijos nustatytas standartines sąlygas pagal šios dalies antra pastraipą (angl. </w:t>
            </w:r>
            <w:r>
              <w:rPr>
                <w:rFonts w:ascii="Georgia" w:hAnsi="Georgia" w:cs="Arial"/>
                <w:i/>
                <w:color w:val="000000"/>
                <w:sz w:val="20"/>
                <w:szCs w:val="20"/>
              </w:rPr>
              <w:t>off the shelf</w:t>
            </w:r>
            <w:r>
              <w:rPr>
                <w:rFonts w:ascii="Georgia" w:hAnsi="Georgia" w:cs="Arial"/>
                <w:color w:val="000000"/>
                <w:sz w:val="20"/>
                <w:szCs w:val="20"/>
              </w:rPr>
              <w:t>)</w:t>
            </w:r>
          </w:p>
          <w:p w14:paraId="7127A3BC" w14:textId="77777777" w:rsidR="00336C16" w:rsidRDefault="00336C16" w:rsidP="002A576D">
            <w:pPr>
              <w:pStyle w:val="Sraopastraipa"/>
              <w:widowControl w:val="0"/>
              <w:numPr>
                <w:ilvl w:val="1"/>
                <w:numId w:val="46"/>
              </w:numPr>
              <w:autoSpaceDE w:val="0"/>
              <w:autoSpaceDN w:val="0"/>
              <w:adjustRightInd w:val="0"/>
              <w:ind w:left="601"/>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Esamoms arba naujoms finansinėms priemonėms, kurios yra specialiai skirtos konkretiems pagal atitinkamą prioritetą nustatytiems tikslams pasiekti.</w:t>
            </w:r>
          </w:p>
        </w:tc>
        <w:tc>
          <w:tcPr>
            <w:tcW w:w="1150" w:type="pct"/>
            <w:tcBorders>
              <w:top w:val="nil"/>
              <w:left w:val="nil"/>
              <w:bottom w:val="single" w:sz="8" w:space="0" w:color="C0504D" w:themeColor="accent2"/>
              <w:right w:val="single" w:sz="8" w:space="0" w:color="C0504D" w:themeColor="accent2"/>
            </w:tcBorders>
            <w:hideMark/>
          </w:tcPr>
          <w:p w14:paraId="18C14D8C" w14:textId="77777777" w:rsidR="00336C16" w:rsidRDefault="00336C16" w:rsidP="006A3B8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 xml:space="preserve">Komisijos pasiūlyme pateiktos skirtingos </w:t>
            </w:r>
          </w:p>
          <w:p w14:paraId="4AC8BD37" w14:textId="77777777" w:rsidR="00336C16" w:rsidRDefault="00336C16" w:rsidP="006A3B8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 xml:space="preserve">įgyvendinimo alternatyvos, iš kurių </w:t>
            </w:r>
          </w:p>
          <w:p w14:paraId="120FBA27" w14:textId="77777777" w:rsidR="00336C16" w:rsidRDefault="00336C16" w:rsidP="006A3B8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valstybės narės ir vadovaujančiosios institucijos gali pasirinkti joms tinkamiausias</w:t>
            </w:r>
          </w:p>
        </w:tc>
      </w:tr>
    </w:tbl>
    <w:p w14:paraId="45C12B7D" w14:textId="77777777" w:rsidR="00336C16" w:rsidRPr="00936224" w:rsidRDefault="00EA7A6C" w:rsidP="00936224">
      <w:pPr>
        <w:pStyle w:val="Antrat"/>
        <w:jc w:val="both"/>
        <w:rPr>
          <w:rFonts w:cs="Georgia"/>
          <w:i/>
          <w:szCs w:val="20"/>
          <w:lang w:val="lt-LT"/>
        </w:rPr>
      </w:pPr>
      <w:r w:rsidRPr="00936224">
        <w:rPr>
          <w:rFonts w:cs="Georgia"/>
          <w:b w:val="0"/>
          <w:i/>
          <w:szCs w:val="20"/>
          <w:lang w:val="lt-LT"/>
        </w:rPr>
        <w:t xml:space="preserve">Šaltinis: </w:t>
      </w:r>
      <w:r>
        <w:rPr>
          <w:rFonts w:cs="Georgia"/>
          <w:b w:val="0"/>
          <w:i/>
          <w:szCs w:val="20"/>
          <w:lang w:val="lt-LT"/>
        </w:rPr>
        <w:t xml:space="preserve">PWC studija bei </w:t>
      </w:r>
      <w:r w:rsidRPr="00936224">
        <w:rPr>
          <w:rFonts w:cs="Georgia"/>
          <w:b w:val="0"/>
          <w:i/>
          <w:szCs w:val="20"/>
          <w:lang w:val="lt-LT"/>
        </w:rPr>
        <w:t>autorių</w:t>
      </w:r>
      <w:r>
        <w:rPr>
          <w:rFonts w:cs="Georgia"/>
          <w:b w:val="0"/>
          <w:i/>
          <w:szCs w:val="20"/>
          <w:lang w:val="lt-LT"/>
        </w:rPr>
        <w:t xml:space="preserve"> papildymai</w:t>
      </w:r>
      <w:r w:rsidRPr="00936224">
        <w:rPr>
          <w:rFonts w:cs="Georgia"/>
          <w:b w:val="0"/>
          <w:i/>
          <w:szCs w:val="20"/>
          <w:lang w:val="lt-LT"/>
        </w:rPr>
        <w:t>.</w:t>
      </w:r>
    </w:p>
    <w:p w14:paraId="1EAE2DA9" w14:textId="77777777" w:rsidR="00EA7A6C" w:rsidRDefault="00EA7A6C" w:rsidP="00336C16">
      <w:pPr>
        <w:autoSpaceDE w:val="0"/>
        <w:autoSpaceDN w:val="0"/>
        <w:adjustRightInd w:val="0"/>
        <w:spacing w:after="0" w:line="240" w:lineRule="auto"/>
        <w:rPr>
          <w:rFonts w:ascii="Arial" w:hAnsi="Arial" w:cs="Arial"/>
          <w:color w:val="000000"/>
          <w:sz w:val="20"/>
          <w:szCs w:val="20"/>
          <w:lang w:val="lt-LT"/>
        </w:rPr>
      </w:pPr>
    </w:p>
    <w:p w14:paraId="1B1A66B1" w14:textId="77777777" w:rsidR="00336C16" w:rsidRDefault="00336C16" w:rsidP="00336C16">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lastRenderedPageBreak/>
        <w:t xml:space="preserve">Schemoje žemiau yra pavaizduotos finansinių priemonių įgyvendinimo 2014-2020 m. periodu alternatyvos. Šios alternatyvos bus nagrinėjamos tolimesnėse analizės dalyse bei bus parenkamas efektyviausias finansinių priemonių įgyvendinimo modelis.  </w:t>
      </w:r>
    </w:p>
    <w:p w14:paraId="5EE253EA" w14:textId="77777777" w:rsidR="00336C16" w:rsidRDefault="00336C16" w:rsidP="00336C16">
      <w:pPr>
        <w:spacing w:after="0"/>
        <w:jc w:val="both"/>
        <w:rPr>
          <w:rFonts w:ascii="Georgia" w:hAnsi="Georgia" w:cs="Georgia"/>
          <w:sz w:val="20"/>
          <w:szCs w:val="20"/>
          <w:lang w:val="lt-LT"/>
        </w:rPr>
      </w:pPr>
    </w:p>
    <w:p w14:paraId="2BBA1A04" w14:textId="77777777" w:rsidR="00336C16" w:rsidRDefault="00336C16" w:rsidP="00336C16">
      <w:pPr>
        <w:spacing w:after="0" w:line="240" w:lineRule="auto"/>
        <w:jc w:val="both"/>
        <w:rPr>
          <w:lang w:val="lt-LT"/>
        </w:rPr>
      </w:pPr>
      <w:r>
        <w:rPr>
          <w:noProof/>
          <w:lang w:val="lt-LT" w:eastAsia="lt-LT"/>
        </w:rPr>
        <w:drawing>
          <wp:inline distT="0" distB="0" distL="0" distR="0" wp14:anchorId="11C9A1F9" wp14:editId="7F578221">
            <wp:extent cx="5720080" cy="4210685"/>
            <wp:effectExtent l="0" t="0" r="0" b="0"/>
            <wp:docPr id="30" name="Paveikslėlis 30"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descr="65"/>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720080" cy="4210685"/>
                    </a:xfrm>
                    <a:prstGeom prst="rect">
                      <a:avLst/>
                    </a:prstGeom>
                    <a:noFill/>
                    <a:ln>
                      <a:noFill/>
                    </a:ln>
                  </pic:spPr>
                </pic:pic>
              </a:graphicData>
            </a:graphic>
          </wp:inline>
        </w:drawing>
      </w:r>
    </w:p>
    <w:p w14:paraId="1D84D569" w14:textId="79AEC885" w:rsidR="00336C16" w:rsidRPr="001E4B4F" w:rsidRDefault="00931CAF" w:rsidP="00931CAF">
      <w:pPr>
        <w:pStyle w:val="Antrat"/>
        <w:rPr>
          <w:rFonts w:cs="Georgia"/>
          <w:szCs w:val="20"/>
          <w:lang w:val="lt-LT"/>
        </w:rPr>
      </w:pPr>
      <w:bookmarkStart w:id="19" w:name="_Toc417378278"/>
      <w:r w:rsidRPr="00936224">
        <w:rPr>
          <w:lang w:val="lt-LT"/>
        </w:rPr>
        <w:t xml:space="preserve">Paveikslas </w:t>
      </w:r>
      <w:r w:rsidRPr="00936224">
        <w:rPr>
          <w:lang w:val="lt-LT"/>
        </w:rPr>
        <w:fldChar w:fldCharType="begin"/>
      </w:r>
      <w:r w:rsidRPr="00936224">
        <w:rPr>
          <w:lang w:val="lt-LT"/>
        </w:rPr>
        <w:instrText xml:space="preserve"> SEQ Paveikslas \* ARABIC </w:instrText>
      </w:r>
      <w:r w:rsidRPr="00936224">
        <w:rPr>
          <w:lang w:val="lt-LT"/>
        </w:rPr>
        <w:fldChar w:fldCharType="separate"/>
      </w:r>
      <w:r w:rsidR="00AA3082">
        <w:rPr>
          <w:noProof/>
          <w:lang w:val="lt-LT"/>
        </w:rPr>
        <w:t>1</w:t>
      </w:r>
      <w:r w:rsidRPr="00936224">
        <w:rPr>
          <w:lang w:val="lt-LT"/>
        </w:rPr>
        <w:fldChar w:fldCharType="end"/>
      </w:r>
      <w:r w:rsidRPr="00936224">
        <w:rPr>
          <w:lang w:val="lt-LT"/>
        </w:rPr>
        <w:t>.</w:t>
      </w:r>
      <w:r w:rsidRPr="001E4B4F">
        <w:rPr>
          <w:rFonts w:cs="Georgia"/>
          <w:szCs w:val="20"/>
          <w:lang w:val="lt-LT"/>
        </w:rPr>
        <w:t xml:space="preserve"> Finansinių priemonių įgyvendinimo 2014-2020 m. periodu alternatyvos.</w:t>
      </w:r>
      <w:bookmarkEnd w:id="19"/>
    </w:p>
    <w:p w14:paraId="0BFBDB57" w14:textId="77777777" w:rsidR="00336C16" w:rsidRDefault="00B279A0" w:rsidP="002A576D">
      <w:pPr>
        <w:pStyle w:val="Sraopastraipa"/>
        <w:numPr>
          <w:ilvl w:val="0"/>
          <w:numId w:val="47"/>
        </w:numPr>
        <w:autoSpaceDE w:val="0"/>
        <w:autoSpaceDN w:val="0"/>
        <w:adjustRightInd w:val="0"/>
        <w:spacing w:after="0"/>
        <w:jc w:val="both"/>
        <w:rPr>
          <w:rFonts w:ascii="Georgia" w:hAnsi="Georgia" w:cs="Georgia"/>
          <w:sz w:val="20"/>
          <w:szCs w:val="20"/>
          <w:lang w:val="lt-LT"/>
        </w:rPr>
      </w:pPr>
      <w:r>
        <w:rPr>
          <w:rFonts w:ascii="Georgia" w:hAnsi="Georgia" w:cs="Arial"/>
          <w:i/>
          <w:color w:val="000000"/>
          <w:sz w:val="20"/>
          <w:szCs w:val="20"/>
          <w:lang w:val="lt-LT"/>
        </w:rPr>
        <w:t>ES</w:t>
      </w:r>
      <w:r w:rsidR="00336C16">
        <w:rPr>
          <w:rFonts w:ascii="Georgia" w:hAnsi="Georgia" w:cs="Arial"/>
          <w:i/>
          <w:color w:val="000000"/>
          <w:sz w:val="20"/>
          <w:szCs w:val="20"/>
          <w:lang w:val="lt-LT"/>
        </w:rPr>
        <w:t xml:space="preserve"> lygmeniu įgyvendinamos finansinės priemonės</w:t>
      </w:r>
      <w:r w:rsidR="00336C16">
        <w:rPr>
          <w:rFonts w:ascii="Georgia" w:hAnsi="Georgia" w:cs="Arial"/>
          <w:color w:val="000000"/>
          <w:sz w:val="20"/>
          <w:szCs w:val="20"/>
          <w:lang w:val="lt-LT"/>
        </w:rPr>
        <w:t xml:space="preserve">. Europos Komisijos parengtoje ex ante vertinimo metodologijoje pažymima, kad </w:t>
      </w:r>
      <w:r>
        <w:rPr>
          <w:rFonts w:ascii="Georgia" w:hAnsi="Georgia" w:cs="Arial"/>
          <w:color w:val="000000"/>
          <w:sz w:val="20"/>
          <w:szCs w:val="20"/>
          <w:lang w:val="lt-LT"/>
        </w:rPr>
        <w:t>ES</w:t>
      </w:r>
      <w:r w:rsidR="00336C16">
        <w:rPr>
          <w:rFonts w:ascii="Georgia" w:hAnsi="Georgia" w:cs="Arial"/>
          <w:color w:val="000000"/>
          <w:sz w:val="20"/>
          <w:szCs w:val="20"/>
          <w:lang w:val="lt-LT"/>
        </w:rPr>
        <w:t xml:space="preserve"> lygmeniu įgyvendinamos finansinės priemonės, kurias tiesiogiai arba netiesiogiai valdo </w:t>
      </w:r>
      <w:r>
        <w:rPr>
          <w:rFonts w:ascii="Georgia" w:hAnsi="Georgia" w:cs="Arial"/>
          <w:color w:val="000000"/>
          <w:sz w:val="20"/>
          <w:szCs w:val="20"/>
          <w:lang w:val="lt-LT"/>
        </w:rPr>
        <w:t xml:space="preserve">Europos </w:t>
      </w:r>
      <w:r w:rsidR="00336C16">
        <w:rPr>
          <w:rFonts w:ascii="Georgia" w:hAnsi="Georgia" w:cs="Arial"/>
          <w:color w:val="000000"/>
          <w:sz w:val="20"/>
          <w:szCs w:val="20"/>
          <w:lang w:val="lt-LT"/>
        </w:rPr>
        <w:t xml:space="preserve">Komisija, yra tinkamas pasirinkimas tais atvejais, kuomet vadovaujančiosios institucijos kompetencijos arba techninės galimybės yra nepakankamos, arba kuomet nėra kritinės masės finansinės priemonės steigimui, o egzistuojanti </w:t>
      </w:r>
      <w:r>
        <w:rPr>
          <w:rFonts w:ascii="Georgia" w:hAnsi="Georgia" w:cs="Arial"/>
          <w:color w:val="000000"/>
          <w:sz w:val="20"/>
          <w:szCs w:val="20"/>
          <w:lang w:val="lt-LT"/>
        </w:rPr>
        <w:t>ES</w:t>
      </w:r>
      <w:r w:rsidR="00336C16">
        <w:rPr>
          <w:rFonts w:ascii="Georgia" w:hAnsi="Georgia" w:cs="Arial"/>
          <w:color w:val="000000"/>
          <w:sz w:val="20"/>
          <w:szCs w:val="20"/>
          <w:lang w:val="lt-LT"/>
        </w:rPr>
        <w:t xml:space="preserve"> lygmeniu įgyvendinama finansinė priemonė pilnai dera su veiksmų programos tikslais. Šios įgyvendinimo alternatyvos privalumai: lėšos panaudojamos pagal patikrintas schemas, kompetentingus ekspertus, be to, </w:t>
      </w:r>
      <w:r>
        <w:rPr>
          <w:rFonts w:ascii="Georgia" w:hAnsi="Georgia" w:cs="Arial"/>
          <w:color w:val="000000"/>
          <w:sz w:val="20"/>
          <w:szCs w:val="20"/>
          <w:lang w:val="lt-LT"/>
        </w:rPr>
        <w:t>bendrojo finansavimo</w:t>
      </w:r>
      <w:r w:rsidR="00336C16">
        <w:rPr>
          <w:rFonts w:ascii="Georgia" w:hAnsi="Georgia" w:cs="Arial"/>
          <w:color w:val="000000"/>
          <w:sz w:val="20"/>
          <w:szCs w:val="20"/>
          <w:lang w:val="lt-LT"/>
        </w:rPr>
        <w:t xml:space="preserve"> rodiklis gali būti padidintas iki 100%</w:t>
      </w:r>
      <w:r w:rsidR="00EF41BB">
        <w:rPr>
          <w:rFonts w:ascii="Georgia" w:hAnsi="Georgia" w:cs="Arial"/>
          <w:color w:val="000000"/>
          <w:sz w:val="20"/>
          <w:szCs w:val="20"/>
          <w:lang w:val="lt-LT"/>
        </w:rPr>
        <w:t xml:space="preserve"> (kaip tai numatyta Bendrųjų nuostatų reglamento 120.7 punkte)</w:t>
      </w:r>
      <w:r w:rsidR="00336C16">
        <w:rPr>
          <w:rFonts w:ascii="Georgia" w:hAnsi="Georgia" w:cs="Arial"/>
          <w:color w:val="000000"/>
          <w:sz w:val="20"/>
          <w:szCs w:val="20"/>
          <w:lang w:val="lt-LT"/>
        </w:rPr>
        <w:t xml:space="preserve">.  </w:t>
      </w:r>
    </w:p>
    <w:p w14:paraId="581A42F0" w14:textId="77777777" w:rsidR="00336C16" w:rsidRDefault="00336C16" w:rsidP="002A576D">
      <w:pPr>
        <w:pStyle w:val="Sraopastraipa"/>
        <w:numPr>
          <w:ilvl w:val="0"/>
          <w:numId w:val="47"/>
        </w:numPr>
        <w:autoSpaceDE w:val="0"/>
        <w:autoSpaceDN w:val="0"/>
        <w:adjustRightInd w:val="0"/>
        <w:spacing w:after="0"/>
        <w:jc w:val="both"/>
        <w:rPr>
          <w:rFonts w:ascii="Georgia" w:hAnsi="Georgia" w:cs="Georgia"/>
          <w:sz w:val="20"/>
          <w:szCs w:val="20"/>
          <w:lang w:val="lt-LT"/>
        </w:rPr>
      </w:pPr>
      <w:r>
        <w:rPr>
          <w:rFonts w:ascii="Georgia" w:hAnsi="Georgia" w:cs="Arial"/>
          <w:i/>
          <w:color w:val="000000"/>
          <w:sz w:val="20"/>
          <w:szCs w:val="20"/>
          <w:lang w:val="lt-LT"/>
        </w:rPr>
        <w:t>Nacionaliniu, regioniniu, tarptautiniu ar tarpvalstybiniu lygmeniu nustatytos finansinės priemonės, kurias valdo arba už kurių valdymą atsako vadovaujančioji institucija</w:t>
      </w:r>
      <w:r>
        <w:rPr>
          <w:rFonts w:ascii="Georgia" w:hAnsi="Georgia" w:cs="Arial"/>
          <w:color w:val="000000"/>
          <w:sz w:val="20"/>
          <w:szCs w:val="20"/>
          <w:lang w:val="lt-LT"/>
        </w:rPr>
        <w:t>. Pasirinkus šią alternatyvą, tolimesniam finansinių priemonių kūrimui yra trys variantai: arba investuoti lėšas į finansinę priemonę įgyvendinančio juridinio asmens kapitalą, arba patikėti finansinės priemonės įgyvendinimą kitai institucijai, arba imtis įgyvendinimo užduotis vykdyti tiesiogiai, kai finansines priemones sudaro tik paskolos arba garantijos.</w:t>
      </w:r>
    </w:p>
    <w:p w14:paraId="0286E315" w14:textId="77777777" w:rsidR="00336C16" w:rsidRDefault="00336C16" w:rsidP="002A576D">
      <w:pPr>
        <w:pStyle w:val="Sraopastraipa"/>
        <w:numPr>
          <w:ilvl w:val="1"/>
          <w:numId w:val="47"/>
        </w:numPr>
        <w:autoSpaceDE w:val="0"/>
        <w:autoSpaceDN w:val="0"/>
        <w:adjustRightInd w:val="0"/>
        <w:spacing w:after="0"/>
        <w:jc w:val="both"/>
        <w:rPr>
          <w:rFonts w:ascii="Georgia" w:hAnsi="Georgia" w:cs="Georgia"/>
          <w:sz w:val="20"/>
          <w:szCs w:val="20"/>
          <w:lang w:val="lt-LT"/>
        </w:rPr>
      </w:pPr>
      <w:r>
        <w:rPr>
          <w:rFonts w:ascii="Georgia" w:hAnsi="Georgia" w:cs="Arial"/>
          <w:i/>
          <w:color w:val="000000"/>
          <w:sz w:val="20"/>
          <w:szCs w:val="20"/>
          <w:lang w:val="lt-LT"/>
        </w:rPr>
        <w:t>Investuojamos lėšos į finansinę priemonę įgyvendinančio juridinio asmens kapitalą</w:t>
      </w:r>
      <w:r>
        <w:rPr>
          <w:rFonts w:ascii="Georgia" w:hAnsi="Georgia" w:cs="Georgia"/>
          <w:sz w:val="20"/>
          <w:szCs w:val="20"/>
          <w:lang w:val="lt-LT"/>
        </w:rPr>
        <w:t>. Pasirašoma finansavimo sutartis bei finansinę priemonę įgyvendinantis subjektas turi parengti investavimo strategiją. Subjektas, įgyvendinantis finansinę priemonę, privalo būti atrinktas pagal taikytinus reikalavimus ir nustatytus atrankos kriterijus, atrankos procesas turi būti skaidrus, objektyvus ir pagrįstas.</w:t>
      </w:r>
    </w:p>
    <w:p w14:paraId="0BC253B4" w14:textId="77777777" w:rsidR="00336C16" w:rsidRDefault="00336C16" w:rsidP="002A576D">
      <w:pPr>
        <w:pStyle w:val="Sraopastraipa"/>
        <w:numPr>
          <w:ilvl w:val="1"/>
          <w:numId w:val="47"/>
        </w:numPr>
        <w:autoSpaceDE w:val="0"/>
        <w:autoSpaceDN w:val="0"/>
        <w:adjustRightInd w:val="0"/>
        <w:spacing w:after="0"/>
        <w:jc w:val="both"/>
        <w:rPr>
          <w:rFonts w:ascii="Georgia" w:hAnsi="Georgia" w:cs="Georgia"/>
          <w:sz w:val="20"/>
          <w:szCs w:val="20"/>
          <w:lang w:val="lt-LT"/>
        </w:rPr>
      </w:pPr>
      <w:r>
        <w:rPr>
          <w:rFonts w:ascii="Georgia" w:hAnsi="Georgia" w:cs="Arial"/>
          <w:i/>
          <w:color w:val="000000"/>
          <w:sz w:val="20"/>
          <w:szCs w:val="20"/>
          <w:lang w:val="lt-LT"/>
        </w:rPr>
        <w:t>Finansinės priemonės įgyvendinimas patikimas kitai institucijai</w:t>
      </w:r>
      <w:r>
        <w:rPr>
          <w:rFonts w:ascii="Georgia" w:hAnsi="Georgia" w:cs="Georgia"/>
          <w:sz w:val="20"/>
          <w:szCs w:val="20"/>
          <w:lang w:val="lt-LT"/>
        </w:rPr>
        <w:t xml:space="preserve">. Pasirašoma finansavimo sutartis bei finansinę priemonę įgyvendinantis subjektas turi parengti </w:t>
      </w:r>
      <w:r>
        <w:rPr>
          <w:rFonts w:ascii="Georgia" w:hAnsi="Georgia" w:cs="Georgia"/>
          <w:sz w:val="20"/>
          <w:szCs w:val="20"/>
          <w:lang w:val="lt-LT"/>
        </w:rPr>
        <w:lastRenderedPageBreak/>
        <w:t>investavimo strategiją. Subjektas, įgyvendinantis finansinę priemonę, privalo būti atrinktas pagal taikytinus reikalavimus ir nustatytus atrankos kriterijus, atrankos procesas turi būti skaidrus, objektyvus ir pagrįstas.</w:t>
      </w:r>
    </w:p>
    <w:p w14:paraId="3911E747" w14:textId="77777777" w:rsidR="00336C16" w:rsidRDefault="00336C16" w:rsidP="002A576D">
      <w:pPr>
        <w:pStyle w:val="Sraopastraipa"/>
        <w:numPr>
          <w:ilvl w:val="1"/>
          <w:numId w:val="47"/>
        </w:numPr>
        <w:autoSpaceDE w:val="0"/>
        <w:autoSpaceDN w:val="0"/>
        <w:adjustRightInd w:val="0"/>
        <w:spacing w:after="0"/>
        <w:jc w:val="both"/>
        <w:rPr>
          <w:rFonts w:ascii="Georgia" w:hAnsi="Georgia" w:cs="Georgia"/>
          <w:sz w:val="20"/>
          <w:szCs w:val="20"/>
          <w:lang w:val="lt-LT"/>
        </w:rPr>
      </w:pPr>
      <w:r>
        <w:rPr>
          <w:rFonts w:ascii="Georgia" w:hAnsi="Georgia" w:cs="Arial"/>
          <w:i/>
          <w:color w:val="000000"/>
          <w:sz w:val="20"/>
          <w:szCs w:val="20"/>
          <w:lang w:val="lt-LT"/>
        </w:rPr>
        <w:t>Vadovaujančioji institucija finansinę priemonę įgyvendina pati, kai finansinę priemonę sudaro tik paskolos arba garantijos</w:t>
      </w:r>
      <w:r>
        <w:rPr>
          <w:rFonts w:ascii="Georgia" w:hAnsi="Georgia" w:cs="Georgia"/>
          <w:sz w:val="20"/>
          <w:szCs w:val="20"/>
          <w:lang w:val="lt-LT"/>
        </w:rPr>
        <w:t xml:space="preserve">. </w:t>
      </w:r>
      <w:r w:rsidR="00E90FDC">
        <w:rPr>
          <w:rFonts w:ascii="Georgia" w:hAnsi="Georgia" w:cs="Georgia"/>
          <w:sz w:val="20"/>
          <w:szCs w:val="20"/>
          <w:lang w:val="lt-LT"/>
        </w:rPr>
        <w:t>F</w:t>
      </w:r>
      <w:r>
        <w:rPr>
          <w:rFonts w:ascii="Georgia" w:hAnsi="Georgia" w:cs="Georgia"/>
          <w:sz w:val="20"/>
          <w:szCs w:val="20"/>
          <w:lang w:val="lt-LT"/>
        </w:rPr>
        <w:t xml:space="preserve">ondas nėra steigiamas, taip pat nėra pasirašoma finansavimo sutartis. Vadovaujančioji institucija turi parengti Investavimo strategiją, kurią peržiūri Stebėsenos komitetas. Mokėjimai iš Europos Komisijos vykdomi tokia pačia tvarka kaip subsidijų ir avansinio mokėjimo </w:t>
      </w:r>
      <w:r w:rsidR="0018202E">
        <w:rPr>
          <w:rFonts w:ascii="Georgia" w:hAnsi="Georgia" w:cs="Georgia"/>
          <w:sz w:val="20"/>
          <w:szCs w:val="20"/>
          <w:lang w:val="lt-LT"/>
        </w:rPr>
        <w:t>atveju</w:t>
      </w:r>
      <w:r>
        <w:rPr>
          <w:rFonts w:ascii="Georgia" w:hAnsi="Georgia" w:cs="Georgia"/>
          <w:sz w:val="20"/>
          <w:szCs w:val="20"/>
          <w:lang w:val="lt-LT"/>
        </w:rPr>
        <w:t xml:space="preserve">. Valdymo mokestis nėra tinkamas finansuoti, tačiau valdymo išlaidos gali būti padengiamos techninės paramos lėšomis. Šis finansinių priemonių steigimo variantas yra priimtinas tais atvejais, kuomet finansinės priemonės apimtis yra nedidelė ir atskiro fondo kūrimas nėra pagrįstas. </w:t>
      </w:r>
    </w:p>
    <w:p w14:paraId="7EE252D1" w14:textId="77777777" w:rsidR="00336C16" w:rsidRDefault="00336C16" w:rsidP="00336C16">
      <w:pPr>
        <w:autoSpaceDE w:val="0"/>
        <w:autoSpaceDN w:val="0"/>
        <w:adjustRightInd w:val="0"/>
        <w:spacing w:after="0"/>
        <w:jc w:val="both"/>
        <w:rPr>
          <w:rFonts w:ascii="Georgia" w:hAnsi="Georgia" w:cs="Georgia"/>
          <w:sz w:val="20"/>
          <w:szCs w:val="20"/>
          <w:lang w:val="lt-LT"/>
        </w:rPr>
      </w:pPr>
    </w:p>
    <w:p w14:paraId="4B900A25" w14:textId="77777777" w:rsidR="00336C16" w:rsidRDefault="00336C16" w:rsidP="00336C16">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Vadovaujantis </w:t>
      </w:r>
      <w:r w:rsidR="00E731B2">
        <w:rPr>
          <w:rFonts w:ascii="Georgia" w:hAnsi="Georgia" w:cs="Georgia"/>
          <w:sz w:val="20"/>
          <w:szCs w:val="20"/>
          <w:lang w:val="lt-LT"/>
        </w:rPr>
        <w:t xml:space="preserve">Bendrųjų </w:t>
      </w:r>
      <w:r>
        <w:rPr>
          <w:rFonts w:ascii="Georgia" w:hAnsi="Georgia" w:cs="Georgia"/>
          <w:sz w:val="20"/>
          <w:szCs w:val="20"/>
          <w:lang w:val="lt-LT"/>
        </w:rPr>
        <w:t>nuostatų reglamento 38</w:t>
      </w:r>
      <w:r w:rsidR="00EF41BB">
        <w:rPr>
          <w:rFonts w:ascii="Georgia" w:hAnsi="Georgia" w:cs="Georgia"/>
          <w:sz w:val="20"/>
          <w:szCs w:val="20"/>
          <w:lang w:val="lt-LT"/>
        </w:rPr>
        <w:t>.</w:t>
      </w:r>
      <w:r>
        <w:rPr>
          <w:rFonts w:ascii="Georgia" w:hAnsi="Georgia" w:cs="Georgia"/>
          <w:sz w:val="20"/>
          <w:szCs w:val="20"/>
          <w:lang w:val="lt-LT"/>
        </w:rPr>
        <w:t xml:space="preserve">4 </w:t>
      </w:r>
      <w:r w:rsidR="00EF41BB">
        <w:rPr>
          <w:rFonts w:ascii="Georgia" w:hAnsi="Georgia" w:cs="Georgia"/>
          <w:sz w:val="20"/>
          <w:szCs w:val="20"/>
          <w:lang w:val="lt-LT"/>
        </w:rPr>
        <w:t>punktu, v</w:t>
      </w:r>
      <w:r>
        <w:rPr>
          <w:rFonts w:ascii="Georgia" w:hAnsi="Georgia" w:cs="Georgia"/>
          <w:sz w:val="20"/>
          <w:szCs w:val="20"/>
          <w:lang w:val="lt-LT"/>
        </w:rPr>
        <w:t>adovaujan</w:t>
      </w:r>
      <w:r w:rsidR="00EF41BB">
        <w:rPr>
          <w:rFonts w:ascii="Georgia" w:hAnsi="Georgia" w:cs="Georgia"/>
          <w:sz w:val="20"/>
          <w:szCs w:val="20"/>
          <w:lang w:val="lt-LT"/>
        </w:rPr>
        <w:t>čioji</w:t>
      </w:r>
      <w:r>
        <w:rPr>
          <w:rFonts w:ascii="Georgia" w:hAnsi="Georgia" w:cs="Georgia"/>
          <w:sz w:val="20"/>
          <w:szCs w:val="20"/>
          <w:lang w:val="lt-LT"/>
        </w:rPr>
        <w:t xml:space="preserve"> institucija remdama nacionaliniu, regioniniu, tarptautiniu ar tarpvalstybiniu lygmenimis nustatytas finansines priemones, kurias valdo arba už kurių valdymą atsako vadovaujančioji institucija, gali:</w:t>
      </w:r>
    </w:p>
    <w:p w14:paraId="6FE20EC5" w14:textId="77777777" w:rsidR="00336C16" w:rsidRPr="00931CAF" w:rsidRDefault="00336C16" w:rsidP="00336C16">
      <w:pPr>
        <w:autoSpaceDE w:val="0"/>
        <w:autoSpaceDN w:val="0"/>
        <w:adjustRightInd w:val="0"/>
        <w:spacing w:after="0"/>
        <w:ind w:left="709"/>
        <w:jc w:val="both"/>
        <w:rPr>
          <w:rFonts w:ascii="Georgia" w:hAnsi="Georgia" w:cs="Georgia"/>
          <w:i/>
          <w:sz w:val="20"/>
          <w:szCs w:val="20"/>
          <w:lang w:val="lt-LT"/>
        </w:rPr>
      </w:pPr>
      <w:r w:rsidRPr="00931CAF">
        <w:rPr>
          <w:rFonts w:ascii="Georgia" w:hAnsi="Georgia" w:cs="Georgia"/>
          <w:i/>
          <w:sz w:val="20"/>
          <w:szCs w:val="20"/>
          <w:lang w:val="lt-LT"/>
        </w:rPr>
        <w:t xml:space="preserve">„a) </w:t>
      </w:r>
      <w:r w:rsidRPr="00931CAF">
        <w:rPr>
          <w:rFonts w:ascii="Georgia" w:hAnsi="Georgia" w:cs="Georgia"/>
          <w:i/>
          <w:sz w:val="20"/>
          <w:szCs w:val="20"/>
          <w:lang w:val="lt-LT"/>
        </w:rPr>
        <w:tab/>
        <w:t>investuoti į esamų arba naujų juridinių asmenų, taip pat ir tų, kurie finansuojami kitų ESI fondų lėšomis, kurių paskirtis – įgyvendinti finansines priemones suderintas su atitinkamų ESI fondų tikslais, ir kurie imsis vykdyti įgyvendinimo užduotis, kapitalą; finansavimas šiems subjektams neviršija sumų, reikalingų naujoms investicijoms įgyvendinti pagal 37 straipsnį ir teikiamas laikantis šio bendrųjų nuostatų reglamento tikslų;</w:t>
      </w:r>
    </w:p>
    <w:p w14:paraId="4E5D99E5" w14:textId="77777777" w:rsidR="00336C16" w:rsidRPr="00931CAF" w:rsidRDefault="00336C16" w:rsidP="00336C16">
      <w:pPr>
        <w:autoSpaceDE w:val="0"/>
        <w:autoSpaceDN w:val="0"/>
        <w:adjustRightInd w:val="0"/>
        <w:spacing w:after="0"/>
        <w:ind w:left="709"/>
        <w:jc w:val="both"/>
        <w:rPr>
          <w:rFonts w:ascii="Georgia" w:hAnsi="Georgia" w:cs="Georgia"/>
          <w:i/>
          <w:sz w:val="20"/>
          <w:szCs w:val="20"/>
          <w:lang w:val="lt-LT"/>
        </w:rPr>
      </w:pPr>
      <w:r w:rsidRPr="00931CAF">
        <w:rPr>
          <w:rFonts w:ascii="Georgia" w:hAnsi="Georgia" w:cs="Georgia"/>
          <w:i/>
          <w:sz w:val="20"/>
          <w:szCs w:val="20"/>
          <w:lang w:val="lt-LT"/>
        </w:rPr>
        <w:t>b)</w:t>
      </w:r>
      <w:r w:rsidRPr="00931CAF">
        <w:rPr>
          <w:rFonts w:ascii="Georgia" w:hAnsi="Georgia" w:cs="Georgia"/>
          <w:i/>
          <w:sz w:val="20"/>
          <w:szCs w:val="20"/>
          <w:lang w:val="lt-LT"/>
        </w:rPr>
        <w:tab/>
        <w:t>įgyvendinimo užduotis pavesti vykdyti:</w:t>
      </w:r>
    </w:p>
    <w:p w14:paraId="77E5C99E" w14:textId="77777777" w:rsidR="00336C16" w:rsidRPr="00931CAF" w:rsidRDefault="00336C16" w:rsidP="00336C16">
      <w:pPr>
        <w:autoSpaceDE w:val="0"/>
        <w:autoSpaceDN w:val="0"/>
        <w:adjustRightInd w:val="0"/>
        <w:spacing w:after="0"/>
        <w:ind w:left="1560"/>
        <w:jc w:val="both"/>
        <w:rPr>
          <w:rFonts w:ascii="Georgia" w:hAnsi="Georgia" w:cs="Georgia"/>
          <w:i/>
          <w:sz w:val="20"/>
          <w:szCs w:val="20"/>
          <w:lang w:val="lt-LT"/>
        </w:rPr>
      </w:pPr>
      <w:r w:rsidRPr="00931CAF">
        <w:rPr>
          <w:rFonts w:ascii="Georgia" w:hAnsi="Georgia" w:cs="Georgia"/>
          <w:i/>
          <w:sz w:val="20"/>
          <w:szCs w:val="20"/>
          <w:lang w:val="lt-LT"/>
        </w:rPr>
        <w:t>i)</w:t>
      </w:r>
      <w:r w:rsidRPr="00931CAF">
        <w:rPr>
          <w:rFonts w:ascii="Georgia" w:hAnsi="Georgia" w:cs="Georgia"/>
          <w:i/>
          <w:sz w:val="20"/>
          <w:szCs w:val="20"/>
          <w:lang w:val="lt-LT"/>
        </w:rPr>
        <w:tab/>
        <w:t xml:space="preserve">EIB; </w:t>
      </w:r>
    </w:p>
    <w:p w14:paraId="4574B406" w14:textId="77777777" w:rsidR="00336C16" w:rsidRPr="00931CAF" w:rsidRDefault="00336C16" w:rsidP="00336C16">
      <w:pPr>
        <w:autoSpaceDE w:val="0"/>
        <w:autoSpaceDN w:val="0"/>
        <w:adjustRightInd w:val="0"/>
        <w:spacing w:after="0"/>
        <w:ind w:left="1560"/>
        <w:jc w:val="both"/>
        <w:rPr>
          <w:rFonts w:ascii="Georgia" w:hAnsi="Georgia" w:cs="Georgia"/>
          <w:i/>
          <w:sz w:val="20"/>
          <w:szCs w:val="20"/>
          <w:lang w:val="lt-LT"/>
        </w:rPr>
      </w:pPr>
      <w:r w:rsidRPr="00931CAF">
        <w:rPr>
          <w:rFonts w:ascii="Georgia" w:hAnsi="Georgia" w:cs="Georgia"/>
          <w:i/>
          <w:sz w:val="20"/>
          <w:szCs w:val="20"/>
          <w:lang w:val="lt-LT"/>
        </w:rPr>
        <w:t>ii)</w:t>
      </w:r>
      <w:r w:rsidRPr="00931CAF">
        <w:rPr>
          <w:rFonts w:ascii="Georgia" w:hAnsi="Georgia" w:cs="Georgia"/>
          <w:i/>
          <w:sz w:val="20"/>
          <w:szCs w:val="20"/>
          <w:lang w:val="lt-LT"/>
        </w:rPr>
        <w:tab/>
        <w:t xml:space="preserve">tarptautinėms finansų įstaigoms, kuriose valstybė narė yra akcininkė, arba valstybėje narėje įsteigtoms finansų įstaigoms, kurių tikslas – siekti viešųjų interesų kontroliuojant valdžios institucijai; </w:t>
      </w:r>
    </w:p>
    <w:p w14:paraId="292B2D50" w14:textId="77777777" w:rsidR="00336C16" w:rsidRPr="00931CAF" w:rsidRDefault="00336C16" w:rsidP="00336C16">
      <w:pPr>
        <w:autoSpaceDE w:val="0"/>
        <w:autoSpaceDN w:val="0"/>
        <w:adjustRightInd w:val="0"/>
        <w:spacing w:after="0"/>
        <w:ind w:left="1560"/>
        <w:jc w:val="both"/>
        <w:rPr>
          <w:rFonts w:ascii="Georgia" w:hAnsi="Georgia" w:cs="Georgia"/>
          <w:i/>
          <w:sz w:val="20"/>
          <w:szCs w:val="20"/>
          <w:lang w:val="lt-LT"/>
        </w:rPr>
      </w:pPr>
      <w:r w:rsidRPr="00931CAF">
        <w:rPr>
          <w:rFonts w:ascii="Georgia" w:hAnsi="Georgia" w:cs="Georgia"/>
          <w:i/>
          <w:sz w:val="20"/>
          <w:szCs w:val="20"/>
          <w:lang w:val="lt-LT"/>
        </w:rPr>
        <w:t>iii)</w:t>
      </w:r>
      <w:r w:rsidRPr="00931CAF">
        <w:rPr>
          <w:rFonts w:ascii="Georgia" w:hAnsi="Georgia" w:cs="Georgia"/>
          <w:i/>
          <w:sz w:val="20"/>
          <w:szCs w:val="20"/>
          <w:lang w:val="lt-LT"/>
        </w:rPr>
        <w:tab/>
        <w:t>viešosios arba privačiosios teisės subjektui; ar</w:t>
      </w:r>
    </w:p>
    <w:p w14:paraId="78761573" w14:textId="77777777" w:rsidR="00336C16" w:rsidRPr="00931CAF" w:rsidRDefault="00336C16" w:rsidP="00336C16">
      <w:pPr>
        <w:autoSpaceDE w:val="0"/>
        <w:autoSpaceDN w:val="0"/>
        <w:adjustRightInd w:val="0"/>
        <w:spacing w:after="0"/>
        <w:ind w:left="709"/>
        <w:jc w:val="both"/>
        <w:rPr>
          <w:rFonts w:ascii="Georgia" w:hAnsi="Georgia" w:cs="Georgia"/>
          <w:i/>
          <w:sz w:val="20"/>
          <w:szCs w:val="20"/>
          <w:lang w:val="lt-LT"/>
        </w:rPr>
      </w:pPr>
      <w:r w:rsidRPr="00931CAF">
        <w:rPr>
          <w:rFonts w:ascii="Georgia" w:hAnsi="Georgia" w:cs="Georgia"/>
          <w:i/>
          <w:sz w:val="20"/>
          <w:szCs w:val="20"/>
          <w:lang w:val="lt-LT"/>
        </w:rPr>
        <w:t>c)</w:t>
      </w:r>
      <w:r w:rsidRPr="00931CAF">
        <w:rPr>
          <w:rFonts w:ascii="Georgia" w:hAnsi="Georgia" w:cs="Georgia"/>
          <w:i/>
          <w:sz w:val="20"/>
          <w:szCs w:val="20"/>
          <w:lang w:val="lt-LT"/>
        </w:rPr>
        <w:tab/>
        <w:t>imtis įgyvendinimo užduotis vykdyti tiesiogiai, kai finansines priemones sudaro tik paskolos arba garantijos. Tuo atveju vadovaujančioji institucija laikoma paramos gavėju, kaip apibrėžta 2 straipsnio 10 punkte.“</w:t>
      </w:r>
    </w:p>
    <w:p w14:paraId="6521D03D" w14:textId="77777777" w:rsidR="00336C16" w:rsidRDefault="00336C16" w:rsidP="00336C16">
      <w:pPr>
        <w:autoSpaceDE w:val="0"/>
        <w:autoSpaceDN w:val="0"/>
        <w:adjustRightInd w:val="0"/>
        <w:spacing w:after="0"/>
        <w:jc w:val="both"/>
        <w:rPr>
          <w:rFonts w:ascii="Georgia" w:hAnsi="Georgia" w:cs="Georgia"/>
          <w:sz w:val="20"/>
          <w:szCs w:val="20"/>
          <w:lang w:val="lt-LT"/>
        </w:rPr>
      </w:pPr>
    </w:p>
    <w:p w14:paraId="5D3EB0EA" w14:textId="77777777" w:rsidR="00336C16" w:rsidRDefault="00455941" w:rsidP="00336C16">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Vadovaujančioji institucija taip pat turi galimybę</w:t>
      </w:r>
      <w:r w:rsidR="00336C16">
        <w:rPr>
          <w:rFonts w:ascii="Georgia" w:hAnsi="Georgia" w:cs="Georgia"/>
          <w:sz w:val="20"/>
          <w:szCs w:val="20"/>
          <w:lang w:val="lt-LT"/>
        </w:rPr>
        <w:t xml:space="preserve"> pasirinkti vieną iš dviejų finansinių priemonių tipų</w:t>
      </w:r>
      <w:r>
        <w:rPr>
          <w:rStyle w:val="Puslapioinaosnuoroda"/>
          <w:rFonts w:ascii="Georgia" w:hAnsi="Georgia" w:cs="Georgia"/>
          <w:sz w:val="20"/>
          <w:szCs w:val="20"/>
          <w:lang w:val="lt-LT"/>
        </w:rPr>
        <w:footnoteReference w:id="7"/>
      </w:r>
      <w:r w:rsidR="00336C16">
        <w:rPr>
          <w:rFonts w:ascii="Georgia" w:hAnsi="Georgia" w:cs="Georgia"/>
          <w:sz w:val="20"/>
          <w:szCs w:val="20"/>
          <w:lang w:val="lt-LT"/>
        </w:rPr>
        <w:t>:</w:t>
      </w:r>
    </w:p>
    <w:p w14:paraId="4915EB68" w14:textId="77777777" w:rsidR="00336C16" w:rsidRDefault="00336C16" w:rsidP="002A576D">
      <w:pPr>
        <w:pStyle w:val="Sraopastraipa"/>
        <w:numPr>
          <w:ilvl w:val="0"/>
          <w:numId w:val="48"/>
        </w:numPr>
        <w:autoSpaceDE w:val="0"/>
        <w:autoSpaceDN w:val="0"/>
        <w:adjustRightInd w:val="0"/>
        <w:spacing w:after="0"/>
        <w:jc w:val="both"/>
        <w:rPr>
          <w:rFonts w:ascii="Georgia" w:hAnsi="Georgia" w:cs="Arial"/>
          <w:color w:val="000000"/>
          <w:sz w:val="20"/>
          <w:szCs w:val="20"/>
          <w:lang w:val="lt-LT"/>
        </w:rPr>
      </w:pPr>
      <w:r>
        <w:rPr>
          <w:rFonts w:ascii="Georgia" w:hAnsi="Georgia" w:cs="Arial"/>
          <w:i/>
          <w:color w:val="000000"/>
          <w:sz w:val="20"/>
          <w:szCs w:val="20"/>
          <w:lang w:val="lt-LT"/>
        </w:rPr>
        <w:t>Fin</w:t>
      </w:r>
      <w:r w:rsidR="00455941">
        <w:rPr>
          <w:rFonts w:ascii="Georgia" w:hAnsi="Georgia" w:cs="Arial"/>
          <w:i/>
          <w:color w:val="000000"/>
          <w:sz w:val="20"/>
          <w:szCs w:val="20"/>
          <w:lang w:val="lt-LT"/>
        </w:rPr>
        <w:t>ansinė</w:t>
      </w:r>
      <w:r>
        <w:rPr>
          <w:rFonts w:ascii="Georgia" w:hAnsi="Georgia" w:cs="Arial"/>
          <w:i/>
          <w:color w:val="000000"/>
          <w:sz w:val="20"/>
          <w:szCs w:val="20"/>
          <w:lang w:val="lt-LT"/>
        </w:rPr>
        <w:t>s priemonės, kurios atitinka Komisijos nustatytas standartines sąlygas pagal šios dalies antra pastraipą (angl.</w:t>
      </w:r>
      <w:r>
        <w:rPr>
          <w:rFonts w:ascii="Georgia" w:hAnsi="Georgia" w:cs="Arial"/>
          <w:color w:val="000000"/>
          <w:sz w:val="20"/>
          <w:szCs w:val="20"/>
          <w:lang w:val="lt-LT"/>
        </w:rPr>
        <w:t xml:space="preserve"> </w:t>
      </w:r>
      <w:r w:rsidRPr="00F65508">
        <w:rPr>
          <w:rFonts w:ascii="Georgia" w:hAnsi="Georgia" w:cs="Arial"/>
          <w:i/>
          <w:color w:val="000000"/>
          <w:sz w:val="20"/>
          <w:szCs w:val="20"/>
        </w:rPr>
        <w:t>off the shelf</w:t>
      </w:r>
      <w:r>
        <w:rPr>
          <w:rFonts w:ascii="Georgia" w:hAnsi="Georgia" w:cs="Arial"/>
          <w:color w:val="000000"/>
          <w:sz w:val="20"/>
          <w:szCs w:val="20"/>
          <w:lang w:val="lt-LT"/>
        </w:rPr>
        <w:t>). Tai naujo tipo finansinės priemonės, kurioms yra taikomos iš anksto nustatytos standartinės sąlygos. Šio tipo finansinių priemonių valstybės pagalbos schema yra iš anksto suderinta su Europos Komisija ir valstybės pagalbos reikalavimais, todėl šalims narėms, pasirinkusioms šią alternatyvą, nereikia analizuoti šio klausimo. Standartinių sąlygų finansinės priemonės yra siūlomos šios:</w:t>
      </w:r>
    </w:p>
    <w:p w14:paraId="68F4CBEC" w14:textId="77777777" w:rsidR="00336C16" w:rsidRDefault="00336C16" w:rsidP="002A576D">
      <w:pPr>
        <w:pStyle w:val="Sraopastraipa"/>
        <w:numPr>
          <w:ilvl w:val="1"/>
          <w:numId w:val="48"/>
        </w:numPr>
        <w:autoSpaceDE w:val="0"/>
        <w:autoSpaceDN w:val="0"/>
        <w:adjustRightInd w:val="0"/>
        <w:spacing w:after="0"/>
        <w:jc w:val="both"/>
        <w:rPr>
          <w:rFonts w:ascii="Georgia" w:hAnsi="Georgia" w:cs="Arial"/>
          <w:color w:val="000000"/>
          <w:sz w:val="20"/>
          <w:szCs w:val="20"/>
          <w:lang w:val="lt-LT"/>
        </w:rPr>
      </w:pPr>
      <w:r>
        <w:rPr>
          <w:rFonts w:ascii="Georgia" w:hAnsi="Georgia" w:cs="Arial"/>
          <w:color w:val="000000"/>
          <w:sz w:val="20"/>
          <w:szCs w:val="20"/>
          <w:lang w:val="lt-LT"/>
        </w:rPr>
        <w:t>Paskolų fondas MVĮ;</w:t>
      </w:r>
    </w:p>
    <w:p w14:paraId="12400018" w14:textId="77777777" w:rsidR="00336C16" w:rsidRDefault="00336C16" w:rsidP="002A576D">
      <w:pPr>
        <w:pStyle w:val="Sraopastraipa"/>
        <w:numPr>
          <w:ilvl w:val="1"/>
          <w:numId w:val="48"/>
        </w:numPr>
        <w:autoSpaceDE w:val="0"/>
        <w:autoSpaceDN w:val="0"/>
        <w:adjustRightInd w:val="0"/>
        <w:spacing w:after="0"/>
        <w:jc w:val="both"/>
        <w:rPr>
          <w:rFonts w:ascii="Georgia" w:hAnsi="Georgia" w:cs="Arial"/>
          <w:color w:val="000000"/>
          <w:sz w:val="20"/>
          <w:szCs w:val="20"/>
          <w:lang w:val="lt-LT"/>
        </w:rPr>
      </w:pPr>
      <w:r>
        <w:rPr>
          <w:rFonts w:ascii="Georgia" w:hAnsi="Georgia" w:cs="Arial"/>
          <w:color w:val="000000"/>
          <w:sz w:val="20"/>
          <w:szCs w:val="20"/>
          <w:lang w:val="lt-LT"/>
        </w:rPr>
        <w:t>Garantijų MVĮ fondas;</w:t>
      </w:r>
    </w:p>
    <w:p w14:paraId="3C5046A6" w14:textId="77777777" w:rsidR="00336C16" w:rsidRDefault="00336C16" w:rsidP="002A576D">
      <w:pPr>
        <w:pStyle w:val="Sraopastraipa"/>
        <w:numPr>
          <w:ilvl w:val="1"/>
          <w:numId w:val="48"/>
        </w:numPr>
        <w:autoSpaceDE w:val="0"/>
        <w:autoSpaceDN w:val="0"/>
        <w:adjustRightInd w:val="0"/>
        <w:spacing w:after="0"/>
        <w:jc w:val="both"/>
        <w:rPr>
          <w:rFonts w:ascii="Georgia" w:hAnsi="Georgia" w:cs="Arial"/>
          <w:color w:val="000000"/>
          <w:sz w:val="20"/>
          <w:szCs w:val="20"/>
          <w:lang w:val="lt-LT"/>
        </w:rPr>
      </w:pPr>
      <w:r>
        <w:rPr>
          <w:rFonts w:ascii="Georgia" w:hAnsi="Georgia" w:cs="Arial"/>
          <w:color w:val="000000"/>
          <w:sz w:val="20"/>
          <w:szCs w:val="20"/>
          <w:lang w:val="lt-LT"/>
        </w:rPr>
        <w:t>Kapitalo investicijų į MVĮ fondas;</w:t>
      </w:r>
    </w:p>
    <w:p w14:paraId="6EB33567" w14:textId="77777777" w:rsidR="00336C16" w:rsidRPr="00455941" w:rsidRDefault="00336C16" w:rsidP="002A576D">
      <w:pPr>
        <w:pStyle w:val="Sraopastraipa"/>
        <w:numPr>
          <w:ilvl w:val="1"/>
          <w:numId w:val="48"/>
        </w:numPr>
        <w:autoSpaceDE w:val="0"/>
        <w:autoSpaceDN w:val="0"/>
        <w:adjustRightInd w:val="0"/>
        <w:spacing w:after="0"/>
        <w:jc w:val="both"/>
        <w:rPr>
          <w:rFonts w:ascii="Georgia" w:hAnsi="Georgia" w:cs="Arial"/>
          <w:b/>
          <w:i/>
          <w:color w:val="000000"/>
          <w:sz w:val="20"/>
          <w:szCs w:val="20"/>
          <w:lang w:val="lt-LT"/>
        </w:rPr>
      </w:pPr>
      <w:r w:rsidRPr="00455941">
        <w:rPr>
          <w:rFonts w:ascii="Georgia" w:hAnsi="Georgia" w:cs="Arial"/>
          <w:b/>
          <w:i/>
          <w:color w:val="000000"/>
          <w:sz w:val="20"/>
          <w:szCs w:val="20"/>
          <w:lang w:val="lt-LT"/>
        </w:rPr>
        <w:t>Paskolų fondas energijos efektyvumo priemonėms pastatų sektoriuje;</w:t>
      </w:r>
    </w:p>
    <w:p w14:paraId="6C14AE38" w14:textId="77777777" w:rsidR="00336C16" w:rsidRDefault="00336C16" w:rsidP="002A576D">
      <w:pPr>
        <w:pStyle w:val="Sraopastraipa"/>
        <w:numPr>
          <w:ilvl w:val="1"/>
          <w:numId w:val="48"/>
        </w:numPr>
        <w:autoSpaceDE w:val="0"/>
        <w:autoSpaceDN w:val="0"/>
        <w:adjustRightInd w:val="0"/>
        <w:spacing w:after="0"/>
        <w:jc w:val="both"/>
        <w:rPr>
          <w:rFonts w:ascii="Georgia" w:hAnsi="Georgia" w:cs="Arial"/>
          <w:color w:val="000000"/>
          <w:sz w:val="20"/>
          <w:szCs w:val="20"/>
          <w:lang w:val="lt-LT"/>
        </w:rPr>
      </w:pPr>
      <w:r>
        <w:rPr>
          <w:rFonts w:ascii="Georgia" w:hAnsi="Georgia" w:cs="Arial"/>
          <w:color w:val="000000"/>
          <w:sz w:val="20"/>
          <w:szCs w:val="20"/>
          <w:lang w:val="lt-LT"/>
        </w:rPr>
        <w:t>Paskolų fondas tvariai miestų plėtrai.</w:t>
      </w:r>
    </w:p>
    <w:p w14:paraId="706C99A5" w14:textId="77777777" w:rsidR="00336C16" w:rsidRDefault="00336C16" w:rsidP="002A576D">
      <w:pPr>
        <w:pStyle w:val="Sraopastraipa"/>
        <w:numPr>
          <w:ilvl w:val="0"/>
          <w:numId w:val="48"/>
        </w:numPr>
        <w:autoSpaceDE w:val="0"/>
        <w:autoSpaceDN w:val="0"/>
        <w:adjustRightInd w:val="0"/>
        <w:spacing w:after="0"/>
        <w:jc w:val="both"/>
        <w:rPr>
          <w:rFonts w:ascii="Georgia" w:hAnsi="Georgia" w:cs="Arial"/>
          <w:color w:val="000000"/>
          <w:sz w:val="20"/>
          <w:szCs w:val="20"/>
          <w:lang w:val="lt-LT"/>
        </w:rPr>
      </w:pPr>
      <w:r>
        <w:rPr>
          <w:rFonts w:ascii="Georgia" w:hAnsi="Georgia" w:cs="Arial"/>
          <w:i/>
          <w:color w:val="000000"/>
          <w:sz w:val="20"/>
          <w:szCs w:val="20"/>
          <w:lang w:val="lt-LT"/>
        </w:rPr>
        <w:t>Nacionaliniu, regioniniu, tarptautiniu ar tarpvalstybiniu lygmenimis nustatytoms finansinėms priemonėms, kurias valdo arba už kurių valdymą atsako vadovaujančioji institucija</w:t>
      </w:r>
      <w:r>
        <w:rPr>
          <w:rFonts w:ascii="Georgia" w:hAnsi="Georgia" w:cs="Arial"/>
          <w:color w:val="000000"/>
          <w:sz w:val="20"/>
          <w:szCs w:val="20"/>
          <w:lang w:val="lt-LT"/>
        </w:rPr>
        <w:t xml:space="preserve">. Tai gali būti nauja arba esama finansinė priemonė, galbūt su reikiamomis modifikacijomis. Renkantis šį finansinių priemonių tipą, privaloma laikytis viešųjų pirkimų ir valstybės pagalbos taikytinų taisyklių. </w:t>
      </w:r>
    </w:p>
    <w:p w14:paraId="114F4029" w14:textId="77777777" w:rsidR="00336C16" w:rsidRDefault="00336C16" w:rsidP="00336C16">
      <w:pPr>
        <w:autoSpaceDE w:val="0"/>
        <w:autoSpaceDN w:val="0"/>
        <w:adjustRightInd w:val="0"/>
        <w:spacing w:after="0"/>
        <w:jc w:val="both"/>
        <w:rPr>
          <w:rFonts w:ascii="Georgia" w:hAnsi="Georgia" w:cs="Arial"/>
          <w:color w:val="000000"/>
          <w:sz w:val="20"/>
          <w:szCs w:val="20"/>
          <w:lang w:val="lt-LT"/>
        </w:rPr>
      </w:pPr>
    </w:p>
    <w:p w14:paraId="285D2A0E" w14:textId="77777777" w:rsidR="002C12CB" w:rsidRPr="002C12CB" w:rsidRDefault="002C12CB" w:rsidP="002C12CB">
      <w:pPr>
        <w:autoSpaceDE w:val="0"/>
        <w:autoSpaceDN w:val="0"/>
        <w:adjustRightInd w:val="0"/>
        <w:spacing w:after="0"/>
        <w:jc w:val="both"/>
        <w:rPr>
          <w:rFonts w:ascii="Georgia" w:hAnsi="Georgia" w:cs="Arial"/>
          <w:color w:val="000000"/>
          <w:sz w:val="20"/>
          <w:szCs w:val="20"/>
          <w:lang w:val="lt-LT"/>
        </w:rPr>
      </w:pPr>
      <w:r>
        <w:rPr>
          <w:rFonts w:ascii="Georgia" w:hAnsi="Georgia" w:cs="Arial"/>
          <w:color w:val="000000"/>
          <w:sz w:val="20"/>
          <w:szCs w:val="20"/>
          <w:lang w:val="lt-LT"/>
        </w:rPr>
        <w:lastRenderedPageBreak/>
        <w:t>Pažymėtina, kad a</w:t>
      </w:r>
      <w:r w:rsidRPr="002C12CB">
        <w:rPr>
          <w:rFonts w:ascii="Georgia" w:hAnsi="Georgia" w:cs="Arial"/>
          <w:color w:val="000000"/>
          <w:sz w:val="20"/>
          <w:szCs w:val="20"/>
          <w:lang w:val="lt-LT"/>
        </w:rPr>
        <w:t xml:space="preserve">lternatyva, kai vadovaujančioji institucija gali skirti finansinį įnašą </w:t>
      </w:r>
      <w:r>
        <w:rPr>
          <w:rFonts w:ascii="Georgia" w:hAnsi="Georgia" w:cs="Arial"/>
          <w:color w:val="000000"/>
          <w:sz w:val="20"/>
          <w:szCs w:val="20"/>
          <w:lang w:val="lt-LT"/>
        </w:rPr>
        <w:t>ES</w:t>
      </w:r>
      <w:r w:rsidRPr="002C12CB">
        <w:rPr>
          <w:rFonts w:ascii="Georgia" w:hAnsi="Georgia" w:cs="Arial"/>
          <w:color w:val="000000"/>
          <w:sz w:val="20"/>
          <w:szCs w:val="20"/>
          <w:lang w:val="lt-LT"/>
        </w:rPr>
        <w:t xml:space="preserve"> lygmeniu nustatytai/-oms finansinei/ -ėms priemonei/-ėms, kurias tiesiogiai arba netiesiogiai valdo Europos Komisija (pvz., Horizon 2020, COSME, LIFE, CEF ir t.t.), nėra priimtina, kadangi:</w:t>
      </w:r>
    </w:p>
    <w:p w14:paraId="192327AA" w14:textId="77777777" w:rsidR="002C12CB" w:rsidRPr="002C12CB" w:rsidRDefault="002C12CB" w:rsidP="002A576D">
      <w:pPr>
        <w:pStyle w:val="Sraopastraipa"/>
        <w:numPr>
          <w:ilvl w:val="0"/>
          <w:numId w:val="99"/>
        </w:numPr>
        <w:autoSpaceDE w:val="0"/>
        <w:autoSpaceDN w:val="0"/>
        <w:adjustRightInd w:val="0"/>
        <w:spacing w:after="0"/>
        <w:jc w:val="both"/>
        <w:rPr>
          <w:rFonts w:ascii="Georgia" w:hAnsi="Georgia" w:cs="Arial"/>
          <w:color w:val="000000"/>
          <w:sz w:val="20"/>
          <w:szCs w:val="20"/>
          <w:lang w:val="lt-LT"/>
        </w:rPr>
      </w:pPr>
      <w:r w:rsidRPr="002C12CB">
        <w:rPr>
          <w:rFonts w:ascii="Georgia" w:hAnsi="Georgia" w:cs="Arial"/>
          <w:color w:val="000000"/>
          <w:sz w:val="20"/>
          <w:szCs w:val="20"/>
          <w:lang w:val="lt-LT"/>
        </w:rPr>
        <w:t>vadovaujančioji institucija turi pakankamai kompetencijų ir techninių galimybių, jog būtų pajėgi suprojektuoti specifinę finansinę/-es priemonę/-es: 2007-2013 m. ES finansiniu laikotarpiu Lietuva buvo viena pirmųjų valstybių ES, kurioje pradėjo sėkmingai funkcionuoti JEREMIE ir JESSICA iniciatyvų finansuojamos finansinės priemonės, vadovaujančioji institucija aktyviai dalyvavo skleidžiant gerąją patirtį ES lygiu;</w:t>
      </w:r>
    </w:p>
    <w:p w14:paraId="74B570A8" w14:textId="77777777" w:rsidR="002C12CB" w:rsidRPr="002C12CB" w:rsidRDefault="002C12CB" w:rsidP="002A576D">
      <w:pPr>
        <w:pStyle w:val="Sraopastraipa"/>
        <w:numPr>
          <w:ilvl w:val="0"/>
          <w:numId w:val="99"/>
        </w:numPr>
        <w:autoSpaceDE w:val="0"/>
        <w:autoSpaceDN w:val="0"/>
        <w:adjustRightInd w:val="0"/>
        <w:spacing w:after="0"/>
        <w:jc w:val="both"/>
        <w:rPr>
          <w:rFonts w:ascii="Georgia" w:hAnsi="Georgia" w:cs="Arial"/>
          <w:color w:val="000000"/>
          <w:sz w:val="20"/>
          <w:szCs w:val="20"/>
          <w:lang w:val="lt-LT"/>
        </w:rPr>
      </w:pPr>
      <w:r w:rsidRPr="002C12CB">
        <w:rPr>
          <w:rFonts w:ascii="Georgia" w:hAnsi="Georgia" w:cs="Arial"/>
          <w:color w:val="000000"/>
          <w:sz w:val="20"/>
          <w:szCs w:val="20"/>
          <w:lang w:val="lt-LT"/>
        </w:rPr>
        <w:t>ES lygmeniu nustatytos finansinės priemonės neatitinka veiksmų programos tikslų ir identifikuoto poreikio intervencijoms: įvertinus nagrinėjamas sritis, turinio požiūriu artimiausia ES lygmeniu nustatyta priemonė yra LIFE programa (4, 5 ir 6 tematiniai tikslai). Tačiau šios programos projektų specifika nesudaro galimybių efektyviai spręsti veiksmų programoje identifikuotų problemų;</w:t>
      </w:r>
    </w:p>
    <w:p w14:paraId="6FAFDD4E" w14:textId="77777777" w:rsidR="002C12CB" w:rsidRPr="002C12CB" w:rsidRDefault="002C12CB" w:rsidP="002A576D">
      <w:pPr>
        <w:pStyle w:val="Sraopastraipa"/>
        <w:numPr>
          <w:ilvl w:val="0"/>
          <w:numId w:val="99"/>
        </w:numPr>
        <w:autoSpaceDE w:val="0"/>
        <w:autoSpaceDN w:val="0"/>
        <w:adjustRightInd w:val="0"/>
        <w:spacing w:after="0"/>
        <w:jc w:val="both"/>
        <w:rPr>
          <w:rFonts w:ascii="Georgia" w:hAnsi="Georgia" w:cs="Arial"/>
          <w:color w:val="000000"/>
          <w:sz w:val="20"/>
          <w:szCs w:val="20"/>
          <w:lang w:val="lt-LT"/>
        </w:rPr>
      </w:pPr>
      <w:r w:rsidRPr="002C12CB">
        <w:rPr>
          <w:rFonts w:ascii="Georgia" w:hAnsi="Georgia" w:cs="Arial"/>
          <w:color w:val="000000"/>
          <w:sz w:val="20"/>
          <w:szCs w:val="20"/>
          <w:lang w:val="lt-LT"/>
        </w:rPr>
        <w:t xml:space="preserve">Lietuvoje energijos efektyvumo sektoriuje yra reikalinga kritinė masė finansinės/-ių priemonės/-ių steigimui tiek potencialių projektų skaičiaus, tiek finansinių apimčių požiūriu. </w:t>
      </w:r>
    </w:p>
    <w:p w14:paraId="48C9F857" w14:textId="77777777" w:rsidR="002C12CB" w:rsidRDefault="002C12CB" w:rsidP="002C12CB">
      <w:pPr>
        <w:autoSpaceDE w:val="0"/>
        <w:autoSpaceDN w:val="0"/>
        <w:adjustRightInd w:val="0"/>
        <w:spacing w:after="0"/>
        <w:jc w:val="both"/>
        <w:rPr>
          <w:rFonts w:ascii="Georgia" w:hAnsi="Georgia" w:cs="Arial"/>
          <w:color w:val="000000"/>
          <w:sz w:val="20"/>
          <w:szCs w:val="20"/>
          <w:lang w:val="lt-LT"/>
        </w:rPr>
      </w:pPr>
    </w:p>
    <w:p w14:paraId="0748F6F4" w14:textId="77777777" w:rsidR="002C12CB" w:rsidRPr="002C12CB" w:rsidRDefault="002C12CB" w:rsidP="002C12CB">
      <w:pPr>
        <w:autoSpaceDE w:val="0"/>
        <w:autoSpaceDN w:val="0"/>
        <w:adjustRightInd w:val="0"/>
        <w:spacing w:after="0"/>
        <w:jc w:val="both"/>
        <w:rPr>
          <w:rFonts w:ascii="Georgia" w:hAnsi="Georgia" w:cs="Arial"/>
          <w:color w:val="000000"/>
          <w:sz w:val="20"/>
          <w:szCs w:val="20"/>
          <w:lang w:val="lt-LT"/>
        </w:rPr>
      </w:pPr>
      <w:r w:rsidRPr="002C12CB">
        <w:rPr>
          <w:rFonts w:ascii="Georgia" w:hAnsi="Georgia" w:cs="Arial"/>
          <w:color w:val="000000"/>
          <w:sz w:val="20"/>
          <w:szCs w:val="20"/>
          <w:lang w:val="lt-LT"/>
        </w:rPr>
        <w:t>Galimybė skirti finansinį įnašą regioniniu, tarptautiniu ar tarpvalstybiniu lygmeniu nustatytoms finansinė</w:t>
      </w:r>
      <w:r>
        <w:rPr>
          <w:rFonts w:ascii="Georgia" w:hAnsi="Georgia" w:cs="Arial"/>
          <w:color w:val="000000"/>
          <w:sz w:val="20"/>
          <w:szCs w:val="20"/>
          <w:lang w:val="lt-LT"/>
        </w:rPr>
        <w:t>m</w:t>
      </w:r>
      <w:r w:rsidRPr="002C12CB">
        <w:rPr>
          <w:rFonts w:ascii="Georgia" w:hAnsi="Georgia" w:cs="Arial"/>
          <w:color w:val="000000"/>
          <w:sz w:val="20"/>
          <w:szCs w:val="20"/>
          <w:lang w:val="lt-LT"/>
        </w:rPr>
        <w:t>s priemonė</w:t>
      </w:r>
      <w:r>
        <w:rPr>
          <w:rFonts w:ascii="Georgia" w:hAnsi="Georgia" w:cs="Arial"/>
          <w:color w:val="000000"/>
          <w:sz w:val="20"/>
          <w:szCs w:val="20"/>
          <w:lang w:val="lt-LT"/>
        </w:rPr>
        <w:t>m</w:t>
      </w:r>
      <w:r w:rsidRPr="002C12CB">
        <w:rPr>
          <w:rFonts w:ascii="Georgia" w:hAnsi="Georgia" w:cs="Arial"/>
          <w:color w:val="000000"/>
          <w:sz w:val="20"/>
          <w:szCs w:val="20"/>
          <w:lang w:val="lt-LT"/>
        </w:rPr>
        <w:t xml:space="preserve">s </w:t>
      </w:r>
      <w:r>
        <w:rPr>
          <w:rFonts w:ascii="Georgia" w:hAnsi="Georgia" w:cs="Arial"/>
          <w:color w:val="000000"/>
          <w:sz w:val="20"/>
          <w:szCs w:val="20"/>
          <w:lang w:val="lt-LT"/>
        </w:rPr>
        <w:t xml:space="preserve">taip pat </w:t>
      </w:r>
      <w:r w:rsidRPr="002C12CB">
        <w:rPr>
          <w:rFonts w:ascii="Georgia" w:hAnsi="Georgia" w:cs="Arial"/>
          <w:color w:val="000000"/>
          <w:sz w:val="20"/>
          <w:szCs w:val="20"/>
          <w:lang w:val="lt-LT"/>
        </w:rPr>
        <w:t>nėra priimtina, kadangi:</w:t>
      </w:r>
    </w:p>
    <w:p w14:paraId="15369DD9" w14:textId="77777777" w:rsidR="002C12CB" w:rsidRPr="002C12CB" w:rsidRDefault="002C12CB" w:rsidP="002A576D">
      <w:pPr>
        <w:pStyle w:val="Sraopastraipa"/>
        <w:numPr>
          <w:ilvl w:val="0"/>
          <w:numId w:val="100"/>
        </w:numPr>
        <w:autoSpaceDE w:val="0"/>
        <w:autoSpaceDN w:val="0"/>
        <w:adjustRightInd w:val="0"/>
        <w:spacing w:after="0"/>
        <w:jc w:val="both"/>
        <w:rPr>
          <w:rFonts w:ascii="Georgia" w:hAnsi="Georgia" w:cs="Arial"/>
          <w:color w:val="000000"/>
          <w:sz w:val="20"/>
          <w:szCs w:val="20"/>
          <w:lang w:val="lt-LT"/>
        </w:rPr>
      </w:pPr>
      <w:r w:rsidRPr="002C12CB">
        <w:rPr>
          <w:rFonts w:ascii="Georgia" w:hAnsi="Georgia" w:cs="Arial"/>
          <w:color w:val="000000"/>
          <w:sz w:val="20"/>
          <w:szCs w:val="20"/>
          <w:lang w:val="lt-LT"/>
        </w:rPr>
        <w:t>regioniniu: Lietuva yra pernelyg maža, jog būtų tikslinga finansines priemones papildomai apriboti geografiškai. Atskiroms teritorijoms galima suteikti įdiegiant papildomas skatinamąsias priemones (pvz. 2007-2013 m. ES finansiniu laikotarpiu JESSICA KF pirmojo ir ketvirtojo kvietimų metu Zarasų, Visagino ir Ignalinos rajonuose įgyvendinamiems projektams taikytas didesnis subsidijos procentas);</w:t>
      </w:r>
    </w:p>
    <w:p w14:paraId="6B5251F1" w14:textId="77777777" w:rsidR="002C12CB" w:rsidRPr="002C12CB" w:rsidRDefault="002C12CB" w:rsidP="002A576D">
      <w:pPr>
        <w:pStyle w:val="Sraopastraipa"/>
        <w:numPr>
          <w:ilvl w:val="0"/>
          <w:numId w:val="100"/>
        </w:numPr>
        <w:autoSpaceDE w:val="0"/>
        <w:autoSpaceDN w:val="0"/>
        <w:adjustRightInd w:val="0"/>
        <w:spacing w:after="0"/>
        <w:jc w:val="both"/>
        <w:rPr>
          <w:rFonts w:ascii="Georgia" w:hAnsi="Georgia" w:cs="Arial"/>
          <w:color w:val="000000"/>
          <w:sz w:val="20"/>
          <w:szCs w:val="20"/>
          <w:lang w:val="lt-LT"/>
        </w:rPr>
      </w:pPr>
      <w:r w:rsidRPr="002C12CB">
        <w:rPr>
          <w:rFonts w:ascii="Georgia" w:hAnsi="Georgia" w:cs="Arial"/>
          <w:color w:val="000000"/>
          <w:sz w:val="20"/>
          <w:szCs w:val="20"/>
          <w:lang w:val="lt-LT"/>
        </w:rPr>
        <w:t>tarptautiniu, tarpvalstybiniu: papildomos sąnaudos siekiant integruoti skirtingų valstybių teisines nuostatas. Be to, įvertinus numatomą projektų turinį, tokio pobūdžio finansinių priemonių steigimas nesukurtų pridėtinės vertės (numatomi projektai, kurių poveikis geografiniu požiūriu yra koncentruotas ir tiesiogiai neįtakoja gretimų valstybių).</w:t>
      </w:r>
    </w:p>
    <w:p w14:paraId="501E68A9" w14:textId="77777777" w:rsidR="002C12CB" w:rsidRDefault="002C12CB" w:rsidP="002C12CB">
      <w:pPr>
        <w:autoSpaceDE w:val="0"/>
        <w:autoSpaceDN w:val="0"/>
        <w:adjustRightInd w:val="0"/>
        <w:spacing w:after="0"/>
        <w:jc w:val="both"/>
        <w:rPr>
          <w:rFonts w:ascii="Georgia" w:hAnsi="Georgia" w:cs="Arial"/>
          <w:color w:val="000000"/>
          <w:sz w:val="20"/>
          <w:szCs w:val="20"/>
          <w:lang w:val="lt-LT"/>
        </w:rPr>
      </w:pPr>
    </w:p>
    <w:p w14:paraId="39A1FAA1" w14:textId="77777777" w:rsidR="002C12CB" w:rsidRPr="002C12CB" w:rsidRDefault="002C12CB" w:rsidP="002C12CB">
      <w:pPr>
        <w:autoSpaceDE w:val="0"/>
        <w:autoSpaceDN w:val="0"/>
        <w:adjustRightInd w:val="0"/>
        <w:spacing w:after="0"/>
        <w:jc w:val="both"/>
        <w:rPr>
          <w:rFonts w:ascii="Georgia" w:hAnsi="Georgia" w:cs="Arial"/>
          <w:color w:val="000000"/>
          <w:sz w:val="20"/>
          <w:szCs w:val="20"/>
          <w:lang w:val="lt-LT"/>
        </w:rPr>
      </w:pPr>
      <w:r w:rsidRPr="002C12CB">
        <w:rPr>
          <w:rFonts w:ascii="Georgia" w:hAnsi="Georgia" w:cs="Arial"/>
          <w:color w:val="000000"/>
          <w:sz w:val="20"/>
          <w:szCs w:val="20"/>
          <w:lang w:val="lt-LT"/>
        </w:rPr>
        <w:t xml:space="preserve">Tuo tarpu finansinių priemonių įgyvendinimas nacionaliniu lygiu 2007-2013 m. ES </w:t>
      </w:r>
      <w:r>
        <w:rPr>
          <w:rFonts w:ascii="Georgia" w:hAnsi="Georgia" w:cs="Arial"/>
          <w:color w:val="000000"/>
          <w:sz w:val="20"/>
          <w:szCs w:val="20"/>
          <w:lang w:val="lt-LT"/>
        </w:rPr>
        <w:t>periodu</w:t>
      </w:r>
      <w:r w:rsidRPr="002C12CB">
        <w:rPr>
          <w:rFonts w:ascii="Georgia" w:hAnsi="Georgia" w:cs="Arial"/>
          <w:color w:val="000000"/>
          <w:sz w:val="20"/>
          <w:szCs w:val="20"/>
          <w:lang w:val="lt-LT"/>
        </w:rPr>
        <w:t xml:space="preserve"> pasiteisino (tiek JESSICA, tiek JEREMIE iniciatyvų atveju).</w:t>
      </w:r>
    </w:p>
    <w:p w14:paraId="1618C729" w14:textId="77777777" w:rsidR="002C12CB" w:rsidRDefault="002C12CB" w:rsidP="002C12CB">
      <w:pPr>
        <w:autoSpaceDE w:val="0"/>
        <w:autoSpaceDN w:val="0"/>
        <w:adjustRightInd w:val="0"/>
        <w:spacing w:after="0"/>
        <w:jc w:val="both"/>
        <w:rPr>
          <w:rFonts w:ascii="Georgia" w:hAnsi="Georgia" w:cs="Arial"/>
          <w:color w:val="000000"/>
          <w:sz w:val="20"/>
          <w:szCs w:val="20"/>
          <w:lang w:val="lt-LT"/>
        </w:rPr>
      </w:pPr>
    </w:p>
    <w:p w14:paraId="4F9D2D1C" w14:textId="77777777" w:rsidR="002C12CB" w:rsidRDefault="002C12CB" w:rsidP="002C12CB">
      <w:pPr>
        <w:autoSpaceDE w:val="0"/>
        <w:autoSpaceDN w:val="0"/>
        <w:adjustRightInd w:val="0"/>
        <w:spacing w:after="0"/>
        <w:jc w:val="both"/>
        <w:rPr>
          <w:rFonts w:ascii="Georgia" w:hAnsi="Georgia" w:cs="Arial"/>
          <w:color w:val="000000"/>
          <w:sz w:val="20"/>
          <w:szCs w:val="20"/>
          <w:lang w:val="lt-LT"/>
        </w:rPr>
      </w:pPr>
      <w:r>
        <w:rPr>
          <w:rFonts w:ascii="Georgia" w:hAnsi="Georgia" w:cs="Arial"/>
          <w:color w:val="000000"/>
          <w:sz w:val="20"/>
          <w:szCs w:val="20"/>
          <w:lang w:val="lt-LT"/>
        </w:rPr>
        <w:t>Atsižvelgiant į tai, tolesniuose ex ante vertinimo skyriuose analizė bus atliekama apsiribojant tik</w:t>
      </w:r>
      <w:r w:rsidRPr="002C12CB">
        <w:rPr>
          <w:rFonts w:ascii="Georgia" w:hAnsi="Georgia" w:cs="Arial"/>
          <w:color w:val="000000"/>
          <w:sz w:val="20"/>
          <w:szCs w:val="20"/>
          <w:lang w:val="lt-LT"/>
        </w:rPr>
        <w:t xml:space="preserve"> galimybe finansinį įnašą skirti nacionaliniu lygiu nustatytai finansinei priemonei/-ėms.</w:t>
      </w:r>
    </w:p>
    <w:p w14:paraId="5BD8745F" w14:textId="77777777" w:rsidR="002C12CB" w:rsidRDefault="002C12CB" w:rsidP="00336C16">
      <w:pPr>
        <w:autoSpaceDE w:val="0"/>
        <w:autoSpaceDN w:val="0"/>
        <w:adjustRightInd w:val="0"/>
        <w:spacing w:after="0"/>
        <w:jc w:val="both"/>
        <w:rPr>
          <w:rFonts w:ascii="Georgia" w:hAnsi="Georgia" w:cs="Georgia"/>
          <w:sz w:val="20"/>
          <w:szCs w:val="20"/>
          <w:lang w:val="lt-LT"/>
        </w:rPr>
      </w:pPr>
    </w:p>
    <w:p w14:paraId="19F53B41" w14:textId="77777777" w:rsidR="00336C16" w:rsidRPr="0018202E" w:rsidRDefault="0018202E" w:rsidP="00336C16">
      <w:pPr>
        <w:autoSpaceDE w:val="0"/>
        <w:autoSpaceDN w:val="0"/>
        <w:adjustRightInd w:val="0"/>
        <w:spacing w:after="0"/>
        <w:jc w:val="both"/>
        <w:rPr>
          <w:rFonts w:ascii="Georgia" w:hAnsi="Georgia" w:cs="Georgia"/>
          <w:sz w:val="20"/>
          <w:szCs w:val="20"/>
          <w:lang w:val="lt-LT"/>
        </w:rPr>
      </w:pPr>
      <w:r w:rsidRPr="00931CAF">
        <w:rPr>
          <w:rFonts w:ascii="Georgia" w:hAnsi="Georgia" w:cs="Georgia"/>
          <w:sz w:val="20"/>
          <w:szCs w:val="20"/>
          <w:lang w:val="lt-LT"/>
        </w:rPr>
        <w:t>Sekančioje schemoje pateikiamos galimos finansinių priemonių valdymo ir įgyvendinimo alternatyvos.</w:t>
      </w:r>
      <w:r w:rsidR="00336C16" w:rsidRPr="0018202E">
        <w:rPr>
          <w:rFonts w:ascii="Georgia" w:hAnsi="Georgia" w:cs="Georgia"/>
          <w:sz w:val="20"/>
          <w:szCs w:val="20"/>
          <w:lang w:val="lt-LT"/>
        </w:rPr>
        <w:t xml:space="preserve"> </w:t>
      </w:r>
    </w:p>
    <w:p w14:paraId="6FEEDED0" w14:textId="77777777" w:rsidR="00336C16" w:rsidRDefault="00336C16" w:rsidP="00336C16">
      <w:pPr>
        <w:autoSpaceDE w:val="0"/>
        <w:autoSpaceDN w:val="0"/>
        <w:adjustRightInd w:val="0"/>
        <w:spacing w:after="0"/>
        <w:jc w:val="both"/>
        <w:rPr>
          <w:rFonts w:ascii="Georgia" w:hAnsi="Georgia" w:cs="Georgia"/>
          <w:sz w:val="20"/>
          <w:szCs w:val="20"/>
          <w:lang w:val="lt-LT"/>
        </w:rPr>
      </w:pPr>
    </w:p>
    <w:p w14:paraId="39E6C63A" w14:textId="77777777" w:rsidR="00455941" w:rsidRDefault="008C214F" w:rsidP="00AA3082">
      <w:pPr>
        <w:keepNext/>
        <w:autoSpaceDE w:val="0"/>
        <w:autoSpaceDN w:val="0"/>
        <w:adjustRightInd w:val="0"/>
        <w:spacing w:after="0"/>
        <w:jc w:val="both"/>
        <w:rPr>
          <w:rFonts w:ascii="Georgia" w:hAnsi="Georgia" w:cs="Georgia"/>
          <w:sz w:val="20"/>
          <w:szCs w:val="20"/>
          <w:lang w:val="lt-LT"/>
        </w:rPr>
      </w:pPr>
      <w:r>
        <w:rPr>
          <w:noProof/>
          <w:lang w:val="lt-LT" w:eastAsia="lt-LT"/>
        </w:rPr>
        <w:lastRenderedPageBreak/>
        <mc:AlternateContent>
          <mc:Choice Requires="wpg">
            <w:drawing>
              <wp:anchor distT="0" distB="0" distL="114300" distR="114300" simplePos="0" relativeHeight="251661312" behindDoc="0" locked="0" layoutInCell="1" allowOverlap="1" wp14:anchorId="5B28206D" wp14:editId="2D70D9EE">
                <wp:simplePos x="0" y="0"/>
                <wp:positionH relativeFrom="column">
                  <wp:posOffset>620726</wp:posOffset>
                </wp:positionH>
                <wp:positionV relativeFrom="paragraph">
                  <wp:posOffset>1056640</wp:posOffset>
                </wp:positionV>
                <wp:extent cx="3797935" cy="2242820"/>
                <wp:effectExtent l="0" t="0" r="0" b="43180"/>
                <wp:wrapNone/>
                <wp:docPr id="31" name="Grupė 34"/>
                <wp:cNvGraphicFramePr/>
                <a:graphic xmlns:a="http://schemas.openxmlformats.org/drawingml/2006/main">
                  <a:graphicData uri="http://schemas.microsoft.com/office/word/2010/wordprocessingGroup">
                    <wpg:wgp>
                      <wpg:cNvGrpSpPr/>
                      <wpg:grpSpPr>
                        <a:xfrm>
                          <a:off x="0" y="0"/>
                          <a:ext cx="3797935" cy="2242820"/>
                          <a:chOff x="0" y="0"/>
                          <a:chExt cx="3797845" cy="2242583"/>
                        </a:xfrm>
                      </wpg:grpSpPr>
                      <wps:wsp>
                        <wps:cNvPr id="35" name="2 teksto laukas"/>
                        <wps:cNvSpPr txBox="1">
                          <a:spLocks noChangeArrowheads="1"/>
                        </wps:cNvSpPr>
                        <wps:spPr bwMode="auto">
                          <a:xfrm>
                            <a:off x="0" y="0"/>
                            <a:ext cx="1265274" cy="372139"/>
                          </a:xfrm>
                          <a:prstGeom prst="round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0F424763" w14:textId="77777777" w:rsidR="00A65A8D" w:rsidRDefault="00A65A8D" w:rsidP="008C214F">
                              <w:pPr>
                                <w:spacing w:after="0" w:line="240" w:lineRule="auto"/>
                                <w:jc w:val="center"/>
                                <w:rPr>
                                  <w:rFonts w:ascii="Arial" w:hAnsi="Arial" w:cs="Arial"/>
                                  <w:sz w:val="16"/>
                                  <w:szCs w:val="16"/>
                                  <w:lang w:val="lt-LT"/>
                                </w:rPr>
                              </w:pPr>
                              <w:r>
                                <w:rPr>
                                  <w:rFonts w:ascii="Arial" w:hAnsi="Arial" w:cs="Arial"/>
                                  <w:sz w:val="16"/>
                                  <w:szCs w:val="16"/>
                                  <w:lang w:val="lt-LT"/>
                                </w:rPr>
                                <w:t>Finansinės priemonės</w:t>
                              </w:r>
                            </w:p>
                            <w:p w14:paraId="7CB94A19" w14:textId="77777777" w:rsidR="00A65A8D" w:rsidRDefault="00A65A8D" w:rsidP="008C214F">
                              <w:pPr>
                                <w:spacing w:after="0" w:line="240" w:lineRule="auto"/>
                                <w:jc w:val="center"/>
                                <w:rPr>
                                  <w:rFonts w:ascii="Arial" w:hAnsi="Arial" w:cs="Arial"/>
                                  <w:sz w:val="16"/>
                                  <w:szCs w:val="16"/>
                                  <w:lang w:val="lt-LT"/>
                                </w:rPr>
                              </w:pPr>
                              <w:r>
                                <w:rPr>
                                  <w:rFonts w:ascii="Arial" w:hAnsi="Arial" w:cs="Arial"/>
                                  <w:sz w:val="16"/>
                                  <w:szCs w:val="16"/>
                                  <w:lang w:val="lt-LT"/>
                                </w:rPr>
                                <w:t>valdytojas</w:t>
                              </w:r>
                            </w:p>
                          </w:txbxContent>
                        </wps:txbx>
                        <wps:bodyPr rot="0" vert="horz" wrap="square" lIns="91440" tIns="45720" rIns="91440" bIns="45720" anchor="t" anchorCtr="0">
                          <a:noAutofit/>
                        </wps:bodyPr>
                      </wps:wsp>
                      <wps:wsp>
                        <wps:cNvPr id="39" name="Stačiakampis 156"/>
                        <wps:cNvSpPr/>
                        <wps:spPr>
                          <a:xfrm>
                            <a:off x="2389781" y="594641"/>
                            <a:ext cx="905774" cy="2587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Stačiakampis 157"/>
                        <wps:cNvSpPr/>
                        <wps:spPr>
                          <a:xfrm>
                            <a:off x="2883445" y="690008"/>
                            <a:ext cx="914400" cy="1552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Alkūninė jungtis 158"/>
                        <wps:cNvCnPr/>
                        <wps:spPr>
                          <a:xfrm rot="16200000" flipH="1">
                            <a:off x="2140144" y="1001353"/>
                            <a:ext cx="1475105" cy="982800"/>
                          </a:xfrm>
                          <a:prstGeom prst="bentConnector3">
                            <a:avLst>
                              <a:gd name="adj1" fmla="val 292"/>
                            </a:avLst>
                          </a:prstGeom>
                          <a:ln w="12700">
                            <a:tailEnd type="arrow"/>
                          </a:ln>
                        </wps:spPr>
                        <wps:style>
                          <a:lnRef idx="1">
                            <a:schemeClr val="accent6"/>
                          </a:lnRef>
                          <a:fillRef idx="0">
                            <a:schemeClr val="accent6"/>
                          </a:fillRef>
                          <a:effectRef idx="0">
                            <a:schemeClr val="accent6"/>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upė 34" o:spid="_x0000_s1030" style="position:absolute;left:0;text-align:left;margin-left:48.9pt;margin-top:83.2pt;width:299.05pt;height:176.6pt;z-index:251661312" coordsize="37978,2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">
                <v:roundrect id="2 teksto laukas" o:spid="_x0000_s1031" style="position:absolute;width:12652;height:37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wicIA&#10;AADbAAAADwAAAGRycy9kb3ducmV2LnhtbESPQYvCMBSE74L/ITzBm6auWKRrlFUUvOlWL94ezdu2&#10;bPPSTaLWf28EYY/DzHzDLFadacSNnK8tK5iMExDEhdU1lwrOp91oDsIHZI2NZVLwIA+rZb+3wEzb&#10;O3/TLQ+liBD2GSqoQmgzKX1RkUE/ti1x9H6sMxiidKXUDu8Rbhr5kSSpNFhzXKiwpU1FxW9+NQr+&#10;arfebaw7Fmmab0/+cGmwvSg1HHRfnyACdeE//G7vtYLpDF5f4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DCJwgAAANsAAAAPAAAAAAAAAAAAAAAAAJgCAABkcnMvZG93&#10;bnJldi54bWxQSwUGAAAAAAQABAD1AAAAhwMAAAAA&#10;" fillcolor="white [3201]" strokecolor="#f79646 [3209]" strokeweight="2pt">
                  <v:textbox>
                    <w:txbxContent>
                      <w:p w14:paraId="0F424763" w14:textId="77777777" w:rsidR="00A65A8D" w:rsidRDefault="00A65A8D" w:rsidP="008C214F">
                        <w:pPr>
                          <w:spacing w:after="0" w:line="240" w:lineRule="auto"/>
                          <w:jc w:val="center"/>
                          <w:rPr>
                            <w:rFonts w:ascii="Arial" w:hAnsi="Arial" w:cs="Arial"/>
                            <w:sz w:val="16"/>
                            <w:szCs w:val="16"/>
                            <w:lang w:val="lt-LT"/>
                          </w:rPr>
                        </w:pPr>
                        <w:r>
                          <w:rPr>
                            <w:rFonts w:ascii="Arial" w:hAnsi="Arial" w:cs="Arial"/>
                            <w:sz w:val="16"/>
                            <w:szCs w:val="16"/>
                            <w:lang w:val="lt-LT"/>
                          </w:rPr>
                          <w:t>Finansinės priemonės</w:t>
                        </w:r>
                      </w:p>
                      <w:p w14:paraId="7CB94A19" w14:textId="77777777" w:rsidR="00A65A8D" w:rsidRDefault="00A65A8D" w:rsidP="008C214F">
                        <w:pPr>
                          <w:spacing w:after="0" w:line="240" w:lineRule="auto"/>
                          <w:jc w:val="center"/>
                          <w:rPr>
                            <w:rFonts w:ascii="Arial" w:hAnsi="Arial" w:cs="Arial"/>
                            <w:sz w:val="16"/>
                            <w:szCs w:val="16"/>
                            <w:lang w:val="lt-LT"/>
                          </w:rPr>
                        </w:pPr>
                        <w:r>
                          <w:rPr>
                            <w:rFonts w:ascii="Arial" w:hAnsi="Arial" w:cs="Arial"/>
                            <w:sz w:val="16"/>
                            <w:szCs w:val="16"/>
                            <w:lang w:val="lt-LT"/>
                          </w:rPr>
                          <w:t>valdytojas</w:t>
                        </w:r>
                      </w:p>
                    </w:txbxContent>
                  </v:textbox>
                </v:roundrect>
                <v:rect id="Stačiakampis 156" o:spid="_x0000_s1032" style="position:absolute;left:23897;top:5946;width:9058;height:2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qqOsQA&#10;AADbAAAADwAAAGRycy9kb3ducmV2LnhtbESPQWvCQBSE70L/w/IEb2ajorapq5RSQ/TWtOn5kX1N&#10;QrNvY3bV9N93BaHHYWa+YTa7wbTiQr1rLCuYRTEI4tLqhisFnx/76SMI55E1tpZJwS852G0fRhtM&#10;tL3yO11yX4kAYZeggtr7LpHSlTUZdJHtiIP3bXuDPsi+krrHa4CbVs7jeCUNNhwWauzotabyJz8b&#10;Befl+vA2fJ3SRREX62PRLjOfdkpNxsPLMwhPg/8P39uZVrB4gtuX8AP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qqjrEAAAA2wAAAA8AAAAAAAAAAAAAAAAAmAIAAGRycy9k&#10;b3ducmV2LnhtbFBLBQYAAAAABAAEAPUAAACJAwAAAAA=&#10;" fillcolor="white [3212]" stroked="f" strokeweight="2pt"/>
                <v:rect id="Stačiakampis 157" o:spid="_x0000_s1033" style="position:absolute;left:28834;top:6900;width:9144;height:1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w2sAA&#10;AADbAAAADwAAAGRycy9kb3ducmV2LnhtbERPy4rCMBTdD/gP4Qqz01QdH1SjyOCIurNa15fm2hab&#10;m04TtfP3ZiHM8nDei1VrKvGgxpWWFQz6EQjizOqScwXn009vBsJ5ZI2VZVLwRw5Wy87HAmNtn3yk&#10;R+JzEULYxaig8L6OpXRZQQZd39bEgbvaxqAPsMmlbvAZwk0lh1E0kQZLDg0F1vRdUHZL7kbBfTzd&#10;b9rL73aURun0kFbjnd/WSn122/UchKfW/4vf7p1W8BXWhy/h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Zw2sAAAADbAAAADwAAAAAAAAAAAAAAAACYAgAAZHJzL2Rvd25y&#10;ZXYueG1sUEsFBgAAAAAEAAQA9QAAAIUDAAAAAA==&#10;" fillcolor="white [3212]" stroked="f" strokeweight="2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lkūninė jungtis 158" o:spid="_x0000_s1034" type="#_x0000_t34" style="position:absolute;left:21400;top:10014;width:14751;height:982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FL+8UAAADbAAAADwAAAGRycy9kb3ducmV2LnhtbESPT2vCQBTE74LfYXlCb7qJLVWiq4gg&#10;SKmHWi/eHtlnEs2+jdnNn/rp3UKhx2FmfsMs170pRUu1KywriCcRCOLU6oIzBafv3XgOwnlkjaVl&#10;UvBDDtar4WCJibYdf1F79JkIEHYJKsi9rxIpXZqTQTexFXHwLrY26IOsM6lr7ALclHIaRe/SYMFh&#10;IceKtjmlt2NjFGzOs+Iavx7a8tC0n/joPpp+e1fqZdRvFiA89f4//NfeawVvMfx+CT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FL+8UAAADbAAAADwAAAAAAAAAA&#10;AAAAAAChAgAAZHJzL2Rvd25yZXYueG1sUEsFBgAAAAAEAAQA+QAAAJMDAAAAAA==&#10;" adj="63" strokecolor="#f68c36 [3049]" strokeweight="1pt">
                  <v:stroke endarrow="open"/>
                </v:shape>
              </v:group>
            </w:pict>
          </mc:Fallback>
        </mc:AlternateContent>
      </w:r>
      <w:r>
        <w:rPr>
          <w:noProof/>
          <w:lang w:val="lt-LT" w:eastAsia="lt-LT"/>
        </w:rPr>
        <w:drawing>
          <wp:inline distT="0" distB="0" distL="0" distR="0" wp14:anchorId="5D653B41" wp14:editId="0F9F0482">
            <wp:extent cx="5730875" cy="3657600"/>
            <wp:effectExtent l="0" t="0" r="3175" b="0"/>
            <wp:docPr id="17" name="Paveikslėlis 28" descr="Paveikslėl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134" descr="Paveikslėlis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730875" cy="3657600"/>
                    </a:xfrm>
                    <a:prstGeom prst="rect">
                      <a:avLst/>
                    </a:prstGeom>
                    <a:noFill/>
                    <a:ln>
                      <a:noFill/>
                    </a:ln>
                  </pic:spPr>
                </pic:pic>
              </a:graphicData>
            </a:graphic>
          </wp:inline>
        </w:drawing>
      </w:r>
    </w:p>
    <w:p w14:paraId="654F71DD" w14:textId="77777777" w:rsidR="00336C16" w:rsidRDefault="00336C16" w:rsidP="00AA3082">
      <w:pPr>
        <w:keepNext/>
        <w:autoSpaceDE w:val="0"/>
        <w:autoSpaceDN w:val="0"/>
        <w:adjustRightInd w:val="0"/>
        <w:spacing w:after="0" w:line="240" w:lineRule="auto"/>
        <w:jc w:val="both"/>
        <w:rPr>
          <w:rFonts w:ascii="Georgia" w:hAnsi="Georgia" w:cs="Georgia"/>
          <w:sz w:val="20"/>
          <w:szCs w:val="20"/>
          <w:lang w:val="lt-LT"/>
        </w:rPr>
      </w:pPr>
    </w:p>
    <w:p w14:paraId="33D02079" w14:textId="6F3F7BF1" w:rsidR="00336C16" w:rsidRPr="001E4B4F" w:rsidRDefault="00931CAF" w:rsidP="00AA3082">
      <w:pPr>
        <w:pStyle w:val="Antrat"/>
        <w:jc w:val="both"/>
        <w:rPr>
          <w:rFonts w:cs="Georgia"/>
          <w:szCs w:val="20"/>
          <w:lang w:val="lt-LT"/>
        </w:rPr>
      </w:pPr>
      <w:bookmarkStart w:id="20" w:name="_Toc417378279"/>
      <w:r w:rsidRPr="00455941">
        <w:rPr>
          <w:lang w:val="lt-LT"/>
        </w:rPr>
        <w:t xml:space="preserve">Paveikslas </w:t>
      </w:r>
      <w:r w:rsidRPr="00455941">
        <w:rPr>
          <w:lang w:val="lt-LT"/>
        </w:rPr>
        <w:fldChar w:fldCharType="begin"/>
      </w:r>
      <w:r w:rsidRPr="00455941">
        <w:rPr>
          <w:lang w:val="lt-LT"/>
        </w:rPr>
        <w:instrText xml:space="preserve"> SEQ Paveikslas \* ARABIC </w:instrText>
      </w:r>
      <w:r w:rsidRPr="00455941">
        <w:rPr>
          <w:lang w:val="lt-LT"/>
        </w:rPr>
        <w:fldChar w:fldCharType="separate"/>
      </w:r>
      <w:r w:rsidR="00AA3082">
        <w:rPr>
          <w:noProof/>
          <w:lang w:val="lt-LT"/>
        </w:rPr>
        <w:t>2</w:t>
      </w:r>
      <w:r w:rsidRPr="00455941">
        <w:rPr>
          <w:lang w:val="lt-LT"/>
        </w:rPr>
        <w:fldChar w:fldCharType="end"/>
      </w:r>
      <w:r w:rsidRPr="00455941">
        <w:rPr>
          <w:lang w:val="lt-LT"/>
        </w:rPr>
        <w:t xml:space="preserve">. </w:t>
      </w:r>
      <w:r w:rsidRPr="001E4B4F">
        <w:rPr>
          <w:rFonts w:cs="Georgia"/>
          <w:szCs w:val="20"/>
          <w:lang w:val="lt-LT"/>
        </w:rPr>
        <w:t>Finansinių priemonių valdymo ir įgyvendinimo alternatyvos.</w:t>
      </w:r>
      <w:bookmarkEnd w:id="20"/>
    </w:p>
    <w:p w14:paraId="527A9F18" w14:textId="77777777" w:rsidR="00336C16" w:rsidRDefault="00336C16" w:rsidP="00336C16">
      <w:pPr>
        <w:autoSpaceDE w:val="0"/>
        <w:autoSpaceDN w:val="0"/>
        <w:adjustRightInd w:val="0"/>
        <w:spacing w:after="0"/>
        <w:jc w:val="both"/>
        <w:rPr>
          <w:rFonts w:ascii="Georgia" w:hAnsi="Georgia" w:cs="Arial"/>
          <w:color w:val="000000"/>
          <w:sz w:val="20"/>
          <w:szCs w:val="20"/>
          <w:lang w:val="lt-LT"/>
        </w:rPr>
      </w:pPr>
      <w:r>
        <w:rPr>
          <w:rFonts w:ascii="Georgia" w:hAnsi="Georgia" w:cs="Georgia"/>
          <w:sz w:val="20"/>
          <w:szCs w:val="20"/>
          <w:lang w:val="lt-LT"/>
        </w:rPr>
        <w:t>Jeigu vadovaujančioji institucija priima sprendimą i</w:t>
      </w:r>
      <w:r>
        <w:rPr>
          <w:rFonts w:ascii="Georgia" w:hAnsi="Georgia" w:cs="Arial"/>
          <w:color w:val="000000"/>
          <w:sz w:val="20"/>
          <w:szCs w:val="20"/>
          <w:lang w:val="lt-LT"/>
        </w:rPr>
        <w:t>nvestuoti lėšas į finansinę priemonę įgyvendinančio juridinio asmens kapitalą arba finansinės priemonės įgyvendinimą patikėti kitai institucijai, finansinė priemonė gali būti steigiama su arba be fondų fondo. Fondų fondas – tai fondas, kuris steigiamas tam, kad sukoncentruoti vienos ar kelių programų lėšas kelioms finansinėms priemonėms, arba priemonėms įgyvendinamoms per finansinius tarpininkus. Fondų fondas gali valdyti finansines priemones, įgyvendinamas pagal skirtingus tematinius tikslus. Numačius fondų fondo steigimą, dalis finansinės priemonės įgyvendinimo veiklų gali būti patikėta keliems finansiniams tarpininkams, kurie teiks finansavimą galutiniams naudos gavėjams. Jeigu bus nuspręsta fondų fondo nesteigti, lėšos galutinius naudos gavėjus pasieks ne per du lygius (fondų fondą ir finansinį tarpininką), o per vieną lygį, t.y.</w:t>
      </w:r>
      <w:r w:rsidR="00873719">
        <w:rPr>
          <w:rFonts w:ascii="Georgia" w:hAnsi="Georgia" w:cs="Arial"/>
          <w:color w:val="000000"/>
          <w:sz w:val="20"/>
          <w:szCs w:val="20"/>
          <w:lang w:val="lt-LT"/>
        </w:rPr>
        <w:t xml:space="preserve"> tik finansinės priemonės valdytoją, kuris tiesiogiai finansuos projektus</w:t>
      </w:r>
      <w:r>
        <w:rPr>
          <w:rFonts w:ascii="Georgia" w:hAnsi="Georgia" w:cs="Arial"/>
          <w:color w:val="000000"/>
          <w:sz w:val="20"/>
          <w:szCs w:val="20"/>
          <w:lang w:val="lt-LT"/>
        </w:rPr>
        <w:t xml:space="preserve">. Jeigu vadovaujančioji institucija priima sprendimą įgyvendinti veiklas pati, paprastai tarp vadovaujančios institucijos ir galutinių naudos gavėjų nėra jokių tarpininkų ir vadovaujanti institucija yra laikoma paramos gavėju, todėl negali  pavesti vienai ar kelioms tarpinėms institucijoms įgyvendinti veiklas vadovaujančios institucijos vardu. </w:t>
      </w:r>
    </w:p>
    <w:p w14:paraId="45362D17" w14:textId="77777777" w:rsidR="00336C16" w:rsidRDefault="00336C16" w:rsidP="00336C16">
      <w:pPr>
        <w:autoSpaceDE w:val="0"/>
        <w:autoSpaceDN w:val="0"/>
        <w:adjustRightInd w:val="0"/>
        <w:spacing w:after="0"/>
        <w:jc w:val="both"/>
        <w:rPr>
          <w:rFonts w:ascii="Georgia" w:hAnsi="Georgia" w:cs="Arial"/>
          <w:color w:val="000000"/>
          <w:sz w:val="20"/>
          <w:szCs w:val="20"/>
          <w:lang w:val="lt-LT"/>
        </w:rPr>
      </w:pPr>
    </w:p>
    <w:p w14:paraId="4A6CAF3C" w14:textId="77777777" w:rsidR="00336C16" w:rsidRDefault="00336C16" w:rsidP="00336C16">
      <w:pPr>
        <w:autoSpaceDE w:val="0"/>
        <w:autoSpaceDN w:val="0"/>
        <w:adjustRightInd w:val="0"/>
        <w:spacing w:after="0"/>
        <w:jc w:val="both"/>
        <w:rPr>
          <w:rFonts w:ascii="Georgia" w:hAnsi="Georgia" w:cs="Arial"/>
          <w:color w:val="000000"/>
          <w:sz w:val="20"/>
          <w:szCs w:val="20"/>
          <w:lang w:val="lt-LT"/>
        </w:rPr>
      </w:pPr>
      <w:r>
        <w:rPr>
          <w:rFonts w:ascii="Georgia" w:hAnsi="Georgia" w:cs="Arial"/>
          <w:color w:val="000000"/>
          <w:sz w:val="20"/>
          <w:szCs w:val="20"/>
          <w:lang w:val="lt-LT"/>
        </w:rPr>
        <w:t xml:space="preserve">Vadovaujantis šiomis nuostatomis </w:t>
      </w:r>
      <w:r w:rsidR="00873719">
        <w:rPr>
          <w:rFonts w:ascii="Georgia" w:hAnsi="Georgia" w:cs="Arial"/>
          <w:color w:val="000000"/>
          <w:sz w:val="20"/>
          <w:szCs w:val="20"/>
          <w:lang w:val="lt-LT"/>
        </w:rPr>
        <w:t>v</w:t>
      </w:r>
      <w:r>
        <w:rPr>
          <w:rFonts w:ascii="Georgia" w:hAnsi="Georgia" w:cs="Arial"/>
          <w:color w:val="000000"/>
          <w:sz w:val="20"/>
          <w:szCs w:val="20"/>
          <w:lang w:val="lt-LT"/>
        </w:rPr>
        <w:t>adovaujančioji institucija gali pasinaudoti trimis pagrindinėmis valdymo struktūromis (</w:t>
      </w:r>
      <w:r w:rsidR="00931CAF">
        <w:rPr>
          <w:rFonts w:ascii="Georgia" w:hAnsi="Georgia" w:cs="Arial"/>
          <w:color w:val="000000"/>
          <w:sz w:val="20"/>
          <w:szCs w:val="20"/>
          <w:lang w:val="lt-LT"/>
        </w:rPr>
        <w:t>paveikslas</w:t>
      </w:r>
      <w:r w:rsidR="001E4B4F">
        <w:rPr>
          <w:rFonts w:ascii="Georgia" w:hAnsi="Georgia" w:cs="Arial"/>
          <w:color w:val="000000"/>
          <w:sz w:val="20"/>
          <w:szCs w:val="20"/>
          <w:lang w:val="lt-LT"/>
        </w:rPr>
        <w:t xml:space="preserve"> aukščiau</w:t>
      </w:r>
      <w:r>
        <w:rPr>
          <w:rFonts w:ascii="Georgia" w:hAnsi="Georgia" w:cs="Arial"/>
          <w:color w:val="000000"/>
          <w:sz w:val="20"/>
          <w:szCs w:val="20"/>
          <w:lang w:val="lt-LT"/>
        </w:rPr>
        <w:t xml:space="preserve">) tam, kad galėtų įgyvendinti pasirinktas finansines priemones. </w:t>
      </w:r>
    </w:p>
    <w:p w14:paraId="468B6F82" w14:textId="77777777" w:rsidR="00336C16" w:rsidRDefault="00336C16" w:rsidP="00336C16">
      <w:pPr>
        <w:rPr>
          <w:rFonts w:ascii="Times New Roman" w:hAnsi="Times New Roman" w:cs="Times New Roman"/>
          <w:sz w:val="24"/>
          <w:szCs w:val="24"/>
          <w:lang w:val="lt-LT"/>
        </w:rPr>
      </w:pPr>
      <w:r>
        <w:rPr>
          <w:noProof/>
          <w:lang w:val="lt-LT" w:eastAsia="lt-LT"/>
        </w:rPr>
        <w:lastRenderedPageBreak/>
        <mc:AlternateContent>
          <mc:Choice Requires="wpc">
            <w:drawing>
              <wp:inline distT="0" distB="0" distL="0" distR="0" wp14:anchorId="627CA52C" wp14:editId="62D980CB">
                <wp:extent cx="5741035" cy="3657600"/>
                <wp:effectExtent l="0" t="0" r="12065" b="0"/>
                <wp:docPr id="33" name="Drobė 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48" name="Rectangle 7"/>
                        <wps:cNvSpPr>
                          <a:spLocks noChangeArrowheads="1"/>
                        </wps:cNvSpPr>
                        <wps:spPr bwMode="auto">
                          <a:xfrm>
                            <a:off x="42900" y="554200"/>
                            <a:ext cx="1802711" cy="3006300"/>
                          </a:xfrm>
                          <a:prstGeom prst="rect">
                            <a:avLst/>
                          </a:prstGeom>
                          <a:solidFill>
                            <a:srgbClr val="FFFFFF"/>
                          </a:solidFill>
                          <a:ln w="19050">
                            <a:solidFill>
                              <a:srgbClr val="E36C0A"/>
                            </a:solidFill>
                            <a:miter lim="800000"/>
                            <a:headEnd/>
                            <a:tailEnd/>
                          </a:ln>
                        </wps:spPr>
                        <wps:bodyPr rot="0" vert="horz" wrap="square" lIns="91440" tIns="45720" rIns="91440" bIns="45720" anchor="t" anchorCtr="0" upright="1">
                          <a:noAutofit/>
                        </wps:bodyPr>
                      </wps:wsp>
                      <wps:wsp>
                        <wps:cNvPr id="449" name="Rectangle 8"/>
                        <wps:cNvSpPr>
                          <a:spLocks noChangeArrowheads="1"/>
                        </wps:cNvSpPr>
                        <wps:spPr bwMode="auto">
                          <a:xfrm>
                            <a:off x="1997612" y="554200"/>
                            <a:ext cx="1802711" cy="3005700"/>
                          </a:xfrm>
                          <a:prstGeom prst="rect">
                            <a:avLst/>
                          </a:prstGeom>
                          <a:solidFill>
                            <a:srgbClr val="FFFFFF"/>
                          </a:solidFill>
                          <a:ln w="19050">
                            <a:solidFill>
                              <a:srgbClr val="E36C0A"/>
                            </a:solidFill>
                            <a:miter lim="800000"/>
                            <a:headEnd/>
                            <a:tailEnd/>
                          </a:ln>
                        </wps:spPr>
                        <wps:bodyPr rot="0" vert="horz" wrap="square" lIns="91440" tIns="45720" rIns="91440" bIns="45720" anchor="t" anchorCtr="0" upright="1">
                          <a:noAutofit/>
                        </wps:bodyPr>
                      </wps:wsp>
                      <wps:wsp>
                        <wps:cNvPr id="450" name="Rectangle 9"/>
                        <wps:cNvSpPr>
                          <a:spLocks noChangeArrowheads="1"/>
                        </wps:cNvSpPr>
                        <wps:spPr bwMode="auto">
                          <a:xfrm>
                            <a:off x="3930124" y="555400"/>
                            <a:ext cx="1802611" cy="3005100"/>
                          </a:xfrm>
                          <a:prstGeom prst="rect">
                            <a:avLst/>
                          </a:prstGeom>
                          <a:solidFill>
                            <a:srgbClr val="FFFFFF"/>
                          </a:solidFill>
                          <a:ln w="19050">
                            <a:solidFill>
                              <a:srgbClr val="E36C0A"/>
                            </a:solidFill>
                            <a:miter lim="800000"/>
                            <a:headEnd/>
                            <a:tailEnd/>
                          </a:ln>
                        </wps:spPr>
                        <wps:bodyPr rot="0" vert="horz" wrap="square" lIns="91440" tIns="45720" rIns="91440" bIns="45720" anchor="t" anchorCtr="0" upright="1">
                          <a:noAutofit/>
                        </wps:bodyPr>
                      </wps:wsp>
                      <wps:wsp>
                        <wps:cNvPr id="451" name="AutoShape 10"/>
                        <wps:cNvSpPr>
                          <a:spLocks noChangeArrowheads="1"/>
                        </wps:cNvSpPr>
                        <wps:spPr bwMode="auto">
                          <a:xfrm>
                            <a:off x="292902" y="735700"/>
                            <a:ext cx="1423609" cy="241200"/>
                          </a:xfrm>
                          <a:prstGeom prst="roundRect">
                            <a:avLst>
                              <a:gd name="adj" fmla="val 16667"/>
                            </a:avLst>
                          </a:prstGeom>
                          <a:solidFill>
                            <a:srgbClr val="E36C0A"/>
                          </a:solidFill>
                          <a:ln w="9525">
                            <a:solidFill>
                              <a:srgbClr val="974706"/>
                            </a:solidFill>
                            <a:round/>
                            <a:headEnd/>
                            <a:tailEnd/>
                          </a:ln>
                        </wps:spPr>
                        <wps:txbx>
                          <w:txbxContent>
                            <w:p w14:paraId="5A0931AF" w14:textId="77777777" w:rsidR="00A65A8D" w:rsidRDefault="00A65A8D" w:rsidP="00336C16">
                              <w:pPr>
                                <w:spacing w:after="0" w:line="240" w:lineRule="auto"/>
                                <w:rPr>
                                  <w:b/>
                                  <w:color w:val="FFFFFF"/>
                                  <w:sz w:val="16"/>
                                  <w:szCs w:val="16"/>
                                </w:rPr>
                              </w:pPr>
                              <w:r>
                                <w:rPr>
                                  <w:b/>
                                  <w:color w:val="FFFFFF"/>
                                  <w:sz w:val="16"/>
                                  <w:szCs w:val="16"/>
                                </w:rPr>
                                <w:t>Vadovaujančioji institucija</w:t>
                              </w:r>
                            </w:p>
                          </w:txbxContent>
                        </wps:txbx>
                        <wps:bodyPr rot="0" vert="horz" wrap="square" lIns="91440" tIns="45720" rIns="91440" bIns="45720" anchor="t" anchorCtr="0" upright="1">
                          <a:noAutofit/>
                        </wps:bodyPr>
                      </wps:wsp>
                      <wps:wsp>
                        <wps:cNvPr id="452" name="AutoShape 11"/>
                        <wps:cNvSpPr>
                          <a:spLocks noChangeArrowheads="1"/>
                        </wps:cNvSpPr>
                        <wps:spPr bwMode="auto">
                          <a:xfrm>
                            <a:off x="2239714" y="735700"/>
                            <a:ext cx="1423709" cy="241200"/>
                          </a:xfrm>
                          <a:prstGeom prst="roundRect">
                            <a:avLst>
                              <a:gd name="adj" fmla="val 16667"/>
                            </a:avLst>
                          </a:prstGeom>
                          <a:solidFill>
                            <a:srgbClr val="E36C0A"/>
                          </a:solidFill>
                          <a:ln w="9525">
                            <a:solidFill>
                              <a:srgbClr val="974706"/>
                            </a:solidFill>
                            <a:round/>
                            <a:headEnd/>
                            <a:tailEnd/>
                          </a:ln>
                        </wps:spPr>
                        <wps:txbx>
                          <w:txbxContent>
                            <w:p w14:paraId="508A7CE6" w14:textId="77777777" w:rsidR="00A65A8D" w:rsidRDefault="00A65A8D" w:rsidP="00336C16">
                              <w:pPr>
                                <w:spacing w:after="0" w:line="240" w:lineRule="auto"/>
                                <w:jc w:val="center"/>
                                <w:rPr>
                                  <w:b/>
                                  <w:color w:val="FFFFFF"/>
                                  <w:sz w:val="16"/>
                                  <w:szCs w:val="16"/>
                                </w:rPr>
                              </w:pPr>
                              <w:r>
                                <w:rPr>
                                  <w:b/>
                                  <w:color w:val="FFFFFF"/>
                                  <w:sz w:val="16"/>
                                  <w:szCs w:val="16"/>
                                </w:rPr>
                                <w:t>Vadovaujančioji institucija</w:t>
                              </w:r>
                            </w:p>
                          </w:txbxContent>
                        </wps:txbx>
                        <wps:bodyPr rot="0" vert="horz" wrap="square" lIns="91440" tIns="45720" rIns="91440" bIns="45720" anchor="t" anchorCtr="0" upright="1">
                          <a:noAutofit/>
                        </wps:bodyPr>
                      </wps:wsp>
                      <wps:wsp>
                        <wps:cNvPr id="454" name="AutoShape 12"/>
                        <wps:cNvSpPr>
                          <a:spLocks noChangeArrowheads="1"/>
                        </wps:cNvSpPr>
                        <wps:spPr bwMode="auto">
                          <a:xfrm>
                            <a:off x="4109225" y="735700"/>
                            <a:ext cx="1423709" cy="241200"/>
                          </a:xfrm>
                          <a:prstGeom prst="roundRect">
                            <a:avLst>
                              <a:gd name="adj" fmla="val 16667"/>
                            </a:avLst>
                          </a:prstGeom>
                          <a:solidFill>
                            <a:srgbClr val="E36C0A"/>
                          </a:solidFill>
                          <a:ln w="9525">
                            <a:solidFill>
                              <a:srgbClr val="974706"/>
                            </a:solidFill>
                            <a:round/>
                            <a:headEnd/>
                            <a:tailEnd/>
                          </a:ln>
                        </wps:spPr>
                        <wps:txbx>
                          <w:txbxContent>
                            <w:p w14:paraId="0359D22C" w14:textId="77777777" w:rsidR="00A65A8D" w:rsidRDefault="00A65A8D" w:rsidP="00336C16">
                              <w:pPr>
                                <w:spacing w:after="0" w:line="240" w:lineRule="auto"/>
                                <w:jc w:val="center"/>
                                <w:rPr>
                                  <w:b/>
                                  <w:color w:val="FFFFFF"/>
                                  <w:sz w:val="16"/>
                                  <w:szCs w:val="16"/>
                                </w:rPr>
                              </w:pPr>
                              <w:r>
                                <w:rPr>
                                  <w:b/>
                                  <w:color w:val="FFFFFF"/>
                                  <w:sz w:val="16"/>
                                  <w:szCs w:val="16"/>
                                </w:rPr>
                                <w:t>Vadovaujančioji institucija</w:t>
                              </w:r>
                            </w:p>
                          </w:txbxContent>
                        </wps:txbx>
                        <wps:bodyPr rot="0" vert="horz" wrap="square" lIns="91440" tIns="45720" rIns="91440" bIns="45720" anchor="t" anchorCtr="0" upright="1">
                          <a:noAutofit/>
                        </wps:bodyPr>
                      </wps:wsp>
                      <wps:wsp>
                        <wps:cNvPr id="455" name="AutoShape 13"/>
                        <wps:cNvSpPr>
                          <a:spLocks noChangeArrowheads="1"/>
                        </wps:cNvSpPr>
                        <wps:spPr bwMode="auto">
                          <a:xfrm>
                            <a:off x="258152" y="2978400"/>
                            <a:ext cx="1486509" cy="464800"/>
                          </a:xfrm>
                          <a:prstGeom prst="roundRect">
                            <a:avLst>
                              <a:gd name="adj" fmla="val 16667"/>
                            </a:avLst>
                          </a:prstGeom>
                          <a:solidFill>
                            <a:srgbClr val="E36C0A"/>
                          </a:solidFill>
                          <a:ln w="9525">
                            <a:solidFill>
                              <a:srgbClr val="974706"/>
                            </a:solidFill>
                            <a:round/>
                            <a:headEnd/>
                            <a:tailEnd/>
                          </a:ln>
                        </wps:spPr>
                        <wps:txbx>
                          <w:txbxContent>
                            <w:p w14:paraId="6E739A4B" w14:textId="77777777" w:rsidR="00A65A8D" w:rsidRDefault="00A65A8D" w:rsidP="00336C16">
                              <w:pPr>
                                <w:spacing w:after="0" w:line="240" w:lineRule="auto"/>
                                <w:jc w:val="center"/>
                                <w:rPr>
                                  <w:b/>
                                  <w:color w:val="FFFFFF"/>
                                  <w:sz w:val="16"/>
                                  <w:szCs w:val="16"/>
                                </w:rPr>
                              </w:pPr>
                              <w:r>
                                <w:rPr>
                                  <w:b/>
                                  <w:color w:val="FFFFFF"/>
                                  <w:sz w:val="16"/>
                                  <w:szCs w:val="16"/>
                                </w:rPr>
                                <w:t>Galutiniai paramos</w:t>
                              </w:r>
                            </w:p>
                            <w:p w14:paraId="63F32E66" w14:textId="77777777" w:rsidR="00A65A8D" w:rsidRDefault="00A65A8D" w:rsidP="00336C16">
                              <w:pPr>
                                <w:spacing w:after="0" w:line="240" w:lineRule="auto"/>
                                <w:jc w:val="center"/>
                                <w:rPr>
                                  <w:b/>
                                  <w:color w:val="FFFFFF"/>
                                  <w:sz w:val="16"/>
                                  <w:szCs w:val="16"/>
                                </w:rPr>
                              </w:pPr>
                              <w:r>
                                <w:rPr>
                                  <w:b/>
                                  <w:color w:val="FFFFFF"/>
                                  <w:sz w:val="16"/>
                                  <w:szCs w:val="16"/>
                                </w:rPr>
                                <w:t xml:space="preserve"> gavėjai</w:t>
                              </w:r>
                            </w:p>
                          </w:txbxContent>
                        </wps:txbx>
                        <wps:bodyPr rot="0" vert="horz" wrap="square" lIns="91440" tIns="45720" rIns="91440" bIns="45720" anchor="t" anchorCtr="0" upright="1">
                          <a:noAutofit/>
                        </wps:bodyPr>
                      </wps:wsp>
                      <wps:wsp>
                        <wps:cNvPr id="456" name="AutoShape 14"/>
                        <wps:cNvSpPr>
                          <a:spLocks noChangeArrowheads="1"/>
                        </wps:cNvSpPr>
                        <wps:spPr bwMode="auto">
                          <a:xfrm>
                            <a:off x="2214409" y="2978900"/>
                            <a:ext cx="1469109" cy="465500"/>
                          </a:xfrm>
                          <a:prstGeom prst="roundRect">
                            <a:avLst>
                              <a:gd name="adj" fmla="val 16667"/>
                            </a:avLst>
                          </a:prstGeom>
                          <a:solidFill>
                            <a:srgbClr val="E36C0A"/>
                          </a:solidFill>
                          <a:ln w="9525">
                            <a:solidFill>
                              <a:srgbClr val="974706"/>
                            </a:solidFill>
                            <a:round/>
                            <a:headEnd/>
                            <a:tailEnd/>
                          </a:ln>
                        </wps:spPr>
                        <wps:txbx>
                          <w:txbxContent>
                            <w:p w14:paraId="77C2CA91" w14:textId="77777777" w:rsidR="00A65A8D" w:rsidRDefault="00A65A8D" w:rsidP="00336C16">
                              <w:pPr>
                                <w:spacing w:after="0" w:line="240" w:lineRule="auto"/>
                                <w:jc w:val="center"/>
                                <w:rPr>
                                  <w:b/>
                                  <w:color w:val="FFFFFF"/>
                                  <w:sz w:val="16"/>
                                  <w:szCs w:val="16"/>
                                </w:rPr>
                              </w:pPr>
                              <w:r>
                                <w:rPr>
                                  <w:b/>
                                  <w:color w:val="FFFFFF"/>
                                  <w:sz w:val="16"/>
                                  <w:szCs w:val="16"/>
                                </w:rPr>
                                <w:t>Galutiniai paramos</w:t>
                              </w:r>
                            </w:p>
                            <w:p w14:paraId="06E207E8" w14:textId="77777777" w:rsidR="00A65A8D" w:rsidRDefault="00A65A8D" w:rsidP="00336C16">
                              <w:pPr>
                                <w:spacing w:after="0" w:line="240" w:lineRule="auto"/>
                                <w:jc w:val="center"/>
                                <w:rPr>
                                  <w:b/>
                                  <w:color w:val="FFFFFF"/>
                                  <w:sz w:val="16"/>
                                  <w:szCs w:val="16"/>
                                </w:rPr>
                              </w:pPr>
                              <w:r>
                                <w:rPr>
                                  <w:b/>
                                  <w:color w:val="FFFFFF"/>
                                  <w:sz w:val="16"/>
                                  <w:szCs w:val="16"/>
                                </w:rPr>
                                <w:t xml:space="preserve"> gavėjai</w:t>
                              </w:r>
                            </w:p>
                            <w:p w14:paraId="2855F0A0" w14:textId="77777777" w:rsidR="00A65A8D" w:rsidRDefault="00A65A8D" w:rsidP="00336C16">
                              <w:pPr>
                                <w:spacing w:after="0" w:line="240" w:lineRule="auto"/>
                                <w:jc w:val="center"/>
                                <w:rPr>
                                  <w:b/>
                                  <w:color w:val="FFFFFF"/>
                                  <w:sz w:val="16"/>
                                  <w:szCs w:val="16"/>
                                </w:rPr>
                              </w:pPr>
                            </w:p>
                          </w:txbxContent>
                        </wps:txbx>
                        <wps:bodyPr rot="0" vert="horz" wrap="square" lIns="91440" tIns="45720" rIns="91440" bIns="45720" anchor="t" anchorCtr="0" upright="1">
                          <a:noAutofit/>
                        </wps:bodyPr>
                      </wps:wsp>
                      <wps:wsp>
                        <wps:cNvPr id="457" name="AutoShape 15"/>
                        <wps:cNvSpPr>
                          <a:spLocks noChangeArrowheads="1"/>
                        </wps:cNvSpPr>
                        <wps:spPr bwMode="auto">
                          <a:xfrm>
                            <a:off x="4109225" y="2979400"/>
                            <a:ext cx="1423709" cy="466200"/>
                          </a:xfrm>
                          <a:prstGeom prst="roundRect">
                            <a:avLst>
                              <a:gd name="adj" fmla="val 16667"/>
                            </a:avLst>
                          </a:prstGeom>
                          <a:solidFill>
                            <a:srgbClr val="E36C0A"/>
                          </a:solidFill>
                          <a:ln w="9525">
                            <a:solidFill>
                              <a:srgbClr val="974706"/>
                            </a:solidFill>
                            <a:round/>
                            <a:headEnd/>
                            <a:tailEnd/>
                          </a:ln>
                        </wps:spPr>
                        <wps:txbx>
                          <w:txbxContent>
                            <w:p w14:paraId="1B93D7A8" w14:textId="77777777" w:rsidR="00A65A8D" w:rsidRDefault="00A65A8D" w:rsidP="00336C16">
                              <w:pPr>
                                <w:spacing w:after="0" w:line="240" w:lineRule="auto"/>
                                <w:jc w:val="center"/>
                                <w:rPr>
                                  <w:b/>
                                  <w:color w:val="FFFFFF"/>
                                  <w:sz w:val="16"/>
                                  <w:szCs w:val="16"/>
                                </w:rPr>
                              </w:pPr>
                              <w:r>
                                <w:rPr>
                                  <w:b/>
                                  <w:color w:val="FFFFFF"/>
                                  <w:sz w:val="16"/>
                                  <w:szCs w:val="16"/>
                                </w:rPr>
                                <w:t>Galutiniai paramos</w:t>
                              </w:r>
                            </w:p>
                            <w:p w14:paraId="11C50853" w14:textId="77777777" w:rsidR="00A65A8D" w:rsidRDefault="00A65A8D" w:rsidP="00336C16">
                              <w:pPr>
                                <w:spacing w:after="0" w:line="240" w:lineRule="auto"/>
                                <w:jc w:val="center"/>
                                <w:rPr>
                                  <w:b/>
                                  <w:color w:val="FFFFFF"/>
                                  <w:sz w:val="16"/>
                                  <w:szCs w:val="16"/>
                                </w:rPr>
                              </w:pPr>
                              <w:r>
                                <w:rPr>
                                  <w:b/>
                                  <w:color w:val="FFFFFF"/>
                                  <w:sz w:val="16"/>
                                  <w:szCs w:val="16"/>
                                </w:rPr>
                                <w:t xml:space="preserve"> gavėjai</w:t>
                              </w:r>
                            </w:p>
                            <w:p w14:paraId="4EDD05C8" w14:textId="77777777" w:rsidR="00A65A8D" w:rsidRDefault="00A65A8D" w:rsidP="00336C16">
                              <w:pPr>
                                <w:spacing w:after="0" w:line="240" w:lineRule="auto"/>
                                <w:jc w:val="center"/>
                                <w:rPr>
                                  <w:b/>
                                  <w:color w:val="FFFFFF"/>
                                  <w:sz w:val="16"/>
                                  <w:szCs w:val="16"/>
                                </w:rPr>
                              </w:pPr>
                            </w:p>
                          </w:txbxContent>
                        </wps:txbx>
                        <wps:bodyPr rot="0" vert="horz" wrap="square" lIns="91440" tIns="45720" rIns="91440" bIns="45720" anchor="t" anchorCtr="0" upright="1">
                          <a:noAutofit/>
                        </wps:bodyPr>
                      </wps:wsp>
                      <wps:wsp>
                        <wps:cNvPr id="458" name="AutoShape 16"/>
                        <wps:cNvSpPr>
                          <a:spLocks noChangeArrowheads="1"/>
                        </wps:cNvSpPr>
                        <wps:spPr bwMode="auto">
                          <a:xfrm>
                            <a:off x="2239714" y="2441050"/>
                            <a:ext cx="1423709" cy="358294"/>
                          </a:xfrm>
                          <a:prstGeom prst="roundRect">
                            <a:avLst>
                              <a:gd name="adj" fmla="val 16667"/>
                            </a:avLst>
                          </a:prstGeom>
                          <a:solidFill>
                            <a:srgbClr val="E36C0A"/>
                          </a:solidFill>
                          <a:ln w="9525">
                            <a:solidFill>
                              <a:srgbClr val="974706"/>
                            </a:solidFill>
                            <a:round/>
                            <a:headEnd/>
                            <a:tailEnd/>
                          </a:ln>
                        </wps:spPr>
                        <wps:txbx>
                          <w:txbxContent>
                            <w:p w14:paraId="2BA347D0" w14:textId="77777777" w:rsidR="00A65A8D" w:rsidRDefault="00A65A8D" w:rsidP="00336C16">
                              <w:pPr>
                                <w:spacing w:after="0" w:line="240" w:lineRule="auto"/>
                                <w:jc w:val="center"/>
                                <w:rPr>
                                  <w:b/>
                                  <w:color w:val="FFFFFF"/>
                                  <w:sz w:val="16"/>
                                  <w:szCs w:val="16"/>
                                </w:rPr>
                              </w:pPr>
                              <w:r>
                                <w:rPr>
                                  <w:b/>
                                  <w:color w:val="FFFFFF"/>
                                  <w:sz w:val="16"/>
                                  <w:szCs w:val="16"/>
                                </w:rPr>
                                <w:t>Finansinės priemonės valdytojas</w:t>
                              </w:r>
                            </w:p>
                          </w:txbxContent>
                        </wps:txbx>
                        <wps:bodyPr rot="0" vert="horz" wrap="square" lIns="91440" tIns="45720" rIns="91440" bIns="45720" anchor="t" anchorCtr="0" upright="1">
                          <a:noAutofit/>
                        </wps:bodyPr>
                      </wps:wsp>
                      <wps:wsp>
                        <wps:cNvPr id="464" name="AutoShape 17"/>
                        <wps:cNvSpPr>
                          <a:spLocks noChangeArrowheads="1"/>
                        </wps:cNvSpPr>
                        <wps:spPr bwMode="auto">
                          <a:xfrm>
                            <a:off x="4105401" y="2498050"/>
                            <a:ext cx="1424509" cy="242100"/>
                          </a:xfrm>
                          <a:prstGeom prst="roundRect">
                            <a:avLst>
                              <a:gd name="adj" fmla="val 16667"/>
                            </a:avLst>
                          </a:prstGeom>
                          <a:solidFill>
                            <a:srgbClr val="E36C0A"/>
                          </a:solidFill>
                          <a:ln w="9525">
                            <a:solidFill>
                              <a:srgbClr val="974706"/>
                            </a:solidFill>
                            <a:prstDash val="dash"/>
                            <a:round/>
                            <a:headEnd/>
                            <a:tailEnd/>
                          </a:ln>
                        </wps:spPr>
                        <wps:txbx>
                          <w:txbxContent>
                            <w:p w14:paraId="4A16F55B" w14:textId="77777777" w:rsidR="00A65A8D" w:rsidRDefault="00A65A8D" w:rsidP="00336C16">
                              <w:pPr>
                                <w:spacing w:after="0" w:line="240" w:lineRule="auto"/>
                                <w:jc w:val="center"/>
                                <w:rPr>
                                  <w:b/>
                                  <w:color w:val="FFFFFF"/>
                                  <w:sz w:val="16"/>
                                  <w:szCs w:val="16"/>
                                </w:rPr>
                              </w:pPr>
                              <w:r>
                                <w:rPr>
                                  <w:b/>
                                  <w:color w:val="FFFFFF"/>
                                  <w:sz w:val="16"/>
                                  <w:szCs w:val="16"/>
                                </w:rPr>
                                <w:t>Finansinis tarpininkas</w:t>
                              </w:r>
                            </w:p>
                          </w:txbxContent>
                        </wps:txbx>
                        <wps:bodyPr rot="0" vert="horz" wrap="square" lIns="91440" tIns="45720" rIns="91440" bIns="45720" anchor="t" anchorCtr="0" upright="1">
                          <a:noAutofit/>
                        </wps:bodyPr>
                      </wps:wsp>
                      <wps:wsp>
                        <wps:cNvPr id="465" name="AutoShape 18"/>
                        <wps:cNvSpPr>
                          <a:spLocks noChangeArrowheads="1"/>
                        </wps:cNvSpPr>
                        <wps:spPr bwMode="auto">
                          <a:xfrm>
                            <a:off x="4110425" y="1171063"/>
                            <a:ext cx="1423709" cy="242000"/>
                          </a:xfrm>
                          <a:prstGeom prst="roundRect">
                            <a:avLst>
                              <a:gd name="adj" fmla="val 16667"/>
                            </a:avLst>
                          </a:prstGeom>
                          <a:solidFill>
                            <a:srgbClr val="E36C0A"/>
                          </a:solidFill>
                          <a:ln w="9525">
                            <a:solidFill>
                              <a:srgbClr val="974706"/>
                            </a:solidFill>
                            <a:round/>
                            <a:headEnd/>
                            <a:tailEnd/>
                          </a:ln>
                        </wps:spPr>
                        <wps:txbx>
                          <w:txbxContent>
                            <w:p w14:paraId="4F2E6EEC" w14:textId="77777777" w:rsidR="00A65A8D" w:rsidRDefault="00A65A8D" w:rsidP="00336C16">
                              <w:pPr>
                                <w:spacing w:after="0" w:line="240" w:lineRule="auto"/>
                                <w:jc w:val="center"/>
                                <w:rPr>
                                  <w:b/>
                                  <w:color w:val="FFFFFF"/>
                                  <w:sz w:val="16"/>
                                  <w:szCs w:val="16"/>
                                </w:rPr>
                              </w:pPr>
                              <w:r>
                                <w:rPr>
                                  <w:b/>
                                  <w:color w:val="FFFFFF"/>
                                  <w:sz w:val="16"/>
                                  <w:szCs w:val="16"/>
                                </w:rPr>
                                <w:t>Fondų fondas</w:t>
                              </w:r>
                            </w:p>
                          </w:txbxContent>
                        </wps:txbx>
                        <wps:bodyPr rot="0" vert="horz" wrap="square" lIns="91440" tIns="45720" rIns="91440" bIns="45720" anchor="t" anchorCtr="0" upright="1">
                          <a:noAutofit/>
                        </wps:bodyPr>
                      </wps:wsp>
                      <wps:wsp>
                        <wps:cNvPr id="467" name="Oval 20"/>
                        <wps:cNvSpPr>
                          <a:spLocks noChangeArrowheads="1"/>
                        </wps:cNvSpPr>
                        <wps:spPr bwMode="auto">
                          <a:xfrm>
                            <a:off x="2381062" y="1591565"/>
                            <a:ext cx="1140207" cy="644400"/>
                          </a:xfrm>
                          <a:prstGeom prst="ellipse">
                            <a:avLst/>
                          </a:prstGeom>
                          <a:solidFill>
                            <a:srgbClr val="FFC000"/>
                          </a:solidFill>
                          <a:ln w="9525">
                            <a:solidFill>
                              <a:srgbClr val="974706"/>
                            </a:solidFill>
                            <a:round/>
                            <a:headEnd/>
                            <a:tailEnd/>
                          </a:ln>
                        </wps:spPr>
                        <wps:txbx>
                          <w:txbxContent>
                            <w:p w14:paraId="268CC852" w14:textId="77777777" w:rsidR="00A65A8D" w:rsidRPr="00873719" w:rsidRDefault="00A65A8D" w:rsidP="001A5AF6">
                              <w:pPr>
                                <w:jc w:val="center"/>
                                <w:rPr>
                                  <w:b/>
                                  <w:color w:val="FFFFFF"/>
                                  <w:lang w:val="lt-LT"/>
                                </w:rPr>
                              </w:pPr>
                              <w:r>
                                <w:rPr>
                                  <w:b/>
                                  <w:color w:val="FFFFFF"/>
                                  <w:sz w:val="18"/>
                                  <w:lang w:val="lt-LT"/>
                                </w:rPr>
                                <w:t>Finansinė priemonė</w:t>
                              </w:r>
                            </w:p>
                            <w:p w14:paraId="01EDB71A" w14:textId="77777777" w:rsidR="00A65A8D" w:rsidRPr="00873719" w:rsidRDefault="00A65A8D" w:rsidP="00336C16">
                              <w:pPr>
                                <w:jc w:val="center"/>
                                <w:rPr>
                                  <w:b/>
                                  <w:color w:val="FFFFFF"/>
                                  <w:lang w:val="lt-LT"/>
                                </w:rPr>
                              </w:pPr>
                            </w:p>
                          </w:txbxContent>
                        </wps:txbx>
                        <wps:bodyPr rot="0" vert="horz" wrap="square" lIns="91440" tIns="45720" rIns="91440" bIns="45720" anchor="t" anchorCtr="0" upright="1">
                          <a:noAutofit/>
                        </wps:bodyPr>
                      </wps:wsp>
                      <wps:wsp>
                        <wps:cNvPr id="469" name="AutoShape 22"/>
                        <wps:cNvCnPr>
                          <a:cxnSpLocks noChangeShapeType="1"/>
                          <a:stCxn id="451" idx="2"/>
                          <a:endCxn id="165" idx="0"/>
                        </wps:cNvCnPr>
                        <wps:spPr bwMode="auto">
                          <a:xfrm>
                            <a:off x="1004707" y="976900"/>
                            <a:ext cx="1771" cy="6185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 name="AutoShape 23"/>
                        <wps:cNvCnPr>
                          <a:cxnSpLocks noChangeShapeType="1"/>
                          <a:stCxn id="165" idx="4"/>
                          <a:endCxn id="455" idx="0"/>
                        </wps:cNvCnPr>
                        <wps:spPr bwMode="auto">
                          <a:xfrm flipH="1">
                            <a:off x="1001407" y="2239348"/>
                            <a:ext cx="5071" cy="7390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 name="AutoShape 24"/>
                        <wps:cNvCnPr>
                          <a:cxnSpLocks noChangeShapeType="1"/>
                          <a:stCxn id="467" idx="4"/>
                          <a:endCxn id="458" idx="0"/>
                        </wps:cNvCnPr>
                        <wps:spPr bwMode="auto">
                          <a:xfrm>
                            <a:off x="2951166" y="2235965"/>
                            <a:ext cx="403" cy="205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AutoShape 25"/>
                        <wps:cNvCnPr>
                          <a:cxnSpLocks noChangeShapeType="1"/>
                          <a:stCxn id="458" idx="2"/>
                          <a:endCxn id="456" idx="0"/>
                        </wps:cNvCnPr>
                        <wps:spPr bwMode="auto">
                          <a:xfrm flipH="1">
                            <a:off x="2948964" y="2799344"/>
                            <a:ext cx="2605" cy="1795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 name="AutoShape 26"/>
                        <wps:cNvCnPr>
                          <a:cxnSpLocks noChangeShapeType="1"/>
                          <a:stCxn id="452" idx="2"/>
                          <a:endCxn id="467" idx="0"/>
                        </wps:cNvCnPr>
                        <wps:spPr bwMode="auto">
                          <a:xfrm flipH="1">
                            <a:off x="2951166" y="976900"/>
                            <a:ext cx="403" cy="614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 name="AutoShape 27"/>
                        <wps:cNvCnPr>
                          <a:cxnSpLocks noChangeShapeType="1"/>
                          <a:stCxn id="465" idx="2"/>
                          <a:endCxn id="166" idx="0"/>
                        </wps:cNvCnPr>
                        <wps:spPr bwMode="auto">
                          <a:xfrm flipH="1">
                            <a:off x="4819497" y="1413063"/>
                            <a:ext cx="2783" cy="1841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5" name="AutoShape 28"/>
                        <wps:cNvCnPr>
                          <a:cxnSpLocks noChangeShapeType="1"/>
                          <a:stCxn id="166" idx="4"/>
                          <a:endCxn id="464" idx="0"/>
                        </wps:cNvCnPr>
                        <wps:spPr bwMode="auto">
                          <a:xfrm flipH="1">
                            <a:off x="4817656" y="2241111"/>
                            <a:ext cx="1841" cy="2569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AutoShape 29"/>
                        <wps:cNvCnPr>
                          <a:cxnSpLocks noChangeShapeType="1"/>
                          <a:stCxn id="464" idx="2"/>
                        </wps:cNvCnPr>
                        <wps:spPr bwMode="auto">
                          <a:xfrm flipH="1">
                            <a:off x="4816332" y="2740150"/>
                            <a:ext cx="1324" cy="24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 name="AutoShape 30"/>
                        <wps:cNvCnPr>
                          <a:cxnSpLocks noChangeShapeType="1"/>
                          <a:stCxn id="464" idx="2"/>
                          <a:endCxn id="457" idx="0"/>
                        </wps:cNvCnPr>
                        <wps:spPr bwMode="auto">
                          <a:xfrm>
                            <a:off x="4817656" y="2740150"/>
                            <a:ext cx="3424" cy="239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8" name="AutoShape 10"/>
                        <wps:cNvSpPr>
                          <a:spLocks noChangeArrowheads="1"/>
                        </wps:cNvSpPr>
                        <wps:spPr bwMode="auto">
                          <a:xfrm>
                            <a:off x="292902" y="180000"/>
                            <a:ext cx="1423209" cy="240600"/>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14:paraId="73A0F53E" w14:textId="77777777" w:rsidR="00A65A8D" w:rsidRDefault="00A65A8D" w:rsidP="00336C16">
                              <w:pPr>
                                <w:pStyle w:val="prastasistinklapis"/>
                                <w:jc w:val="center"/>
                              </w:pPr>
                              <w:r>
                                <w:rPr>
                                  <w:rFonts w:ascii="Calibri" w:eastAsia="Calibri" w:hAnsi="Calibri"/>
                                  <w:b/>
                                  <w:bCs/>
                                  <w:sz w:val="16"/>
                                  <w:szCs w:val="16"/>
                                  <w:lang w:val="en-US"/>
                                </w:rPr>
                                <w:t>I STRUKTŪRA</w:t>
                              </w:r>
                            </w:p>
                          </w:txbxContent>
                        </wps:txbx>
                        <wps:bodyPr rot="0" vert="horz" wrap="square" lIns="91440" tIns="45720" rIns="91440" bIns="45720" anchor="t" anchorCtr="0" upright="1">
                          <a:noAutofit/>
                        </wps:bodyPr>
                      </wps:wsp>
                      <wps:wsp>
                        <wps:cNvPr id="479" name="AutoShape 10"/>
                        <wps:cNvSpPr>
                          <a:spLocks noChangeArrowheads="1"/>
                        </wps:cNvSpPr>
                        <wps:spPr bwMode="auto">
                          <a:xfrm>
                            <a:off x="2194113" y="180000"/>
                            <a:ext cx="1423309" cy="240600"/>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14:paraId="28514968" w14:textId="77777777" w:rsidR="00A65A8D" w:rsidRDefault="00A65A8D" w:rsidP="00336C16">
                              <w:pPr>
                                <w:pStyle w:val="prastasistinklapis"/>
                                <w:jc w:val="center"/>
                              </w:pPr>
                              <w:r>
                                <w:rPr>
                                  <w:rFonts w:ascii="Calibri" w:eastAsia="Calibri" w:hAnsi="Calibri"/>
                                  <w:b/>
                                  <w:bCs/>
                                  <w:sz w:val="16"/>
                                  <w:szCs w:val="16"/>
                                </w:rPr>
                                <w:t>II STRUKTŪRA</w:t>
                              </w:r>
                            </w:p>
                          </w:txbxContent>
                        </wps:txbx>
                        <wps:bodyPr rot="0" vert="horz" wrap="square" lIns="91440" tIns="45720" rIns="91440" bIns="45720" anchor="t" anchorCtr="0" upright="1">
                          <a:noAutofit/>
                        </wps:bodyPr>
                      </wps:wsp>
                      <wps:wsp>
                        <wps:cNvPr id="32" name="AutoShape 10"/>
                        <wps:cNvSpPr>
                          <a:spLocks noChangeArrowheads="1"/>
                        </wps:cNvSpPr>
                        <wps:spPr bwMode="auto">
                          <a:xfrm>
                            <a:off x="4110425" y="180000"/>
                            <a:ext cx="1423309" cy="240600"/>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14:paraId="4EB8B44A" w14:textId="77777777" w:rsidR="00A65A8D" w:rsidRDefault="00A65A8D" w:rsidP="00336C16">
                              <w:pPr>
                                <w:pStyle w:val="prastasistinklapis"/>
                                <w:jc w:val="center"/>
                              </w:pPr>
                              <w:r>
                                <w:rPr>
                                  <w:rFonts w:ascii="Calibri" w:eastAsia="Calibri" w:hAnsi="Calibri"/>
                                  <w:b/>
                                  <w:bCs/>
                                  <w:sz w:val="16"/>
                                  <w:szCs w:val="16"/>
                                </w:rPr>
                                <w:t>III STRUKTŪRA</w:t>
                              </w:r>
                            </w:p>
                          </w:txbxContent>
                        </wps:txbx>
                        <wps:bodyPr rot="0" vert="horz" wrap="square" lIns="91440" tIns="45720" rIns="91440" bIns="45720" anchor="t" anchorCtr="0" upright="1">
                          <a:noAutofit/>
                        </wps:bodyPr>
                      </wps:wsp>
                      <wps:wsp>
                        <wps:cNvPr id="164" name="AutoShape 26"/>
                        <wps:cNvCnPr>
                          <a:cxnSpLocks noChangeShapeType="1"/>
                          <a:stCxn id="454" idx="2"/>
                          <a:endCxn id="465" idx="0"/>
                        </wps:cNvCnPr>
                        <wps:spPr bwMode="auto">
                          <a:xfrm>
                            <a:off x="4821080" y="976900"/>
                            <a:ext cx="1200" cy="1941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Oval 165"/>
                        <wps:cNvSpPr>
                          <a:spLocks noChangeArrowheads="1"/>
                        </wps:cNvSpPr>
                        <wps:spPr bwMode="auto">
                          <a:xfrm>
                            <a:off x="436565" y="1595458"/>
                            <a:ext cx="1139825" cy="643890"/>
                          </a:xfrm>
                          <a:prstGeom prst="ellipse">
                            <a:avLst/>
                          </a:prstGeom>
                          <a:solidFill>
                            <a:srgbClr val="FFC000"/>
                          </a:solidFill>
                          <a:ln w="9525">
                            <a:solidFill>
                              <a:srgbClr val="974706"/>
                            </a:solidFill>
                            <a:round/>
                            <a:headEnd/>
                            <a:tailEnd/>
                          </a:ln>
                        </wps:spPr>
                        <wps:txbx>
                          <w:txbxContent>
                            <w:p w14:paraId="776FB9DE" w14:textId="77777777" w:rsidR="00A65A8D" w:rsidRDefault="00A65A8D" w:rsidP="001A5AF6">
                              <w:pPr>
                                <w:pStyle w:val="prastasistinklapis"/>
                                <w:spacing w:before="0" w:beforeAutospacing="0" w:after="200" w:afterAutospacing="0" w:line="276" w:lineRule="auto"/>
                                <w:jc w:val="center"/>
                              </w:pPr>
                              <w:r>
                                <w:rPr>
                                  <w:rFonts w:ascii="Calibri" w:eastAsia="Calibri" w:hAnsi="Calibri"/>
                                  <w:b/>
                                  <w:bCs/>
                                  <w:color w:val="FFFFFF"/>
                                  <w:sz w:val="18"/>
                                  <w:szCs w:val="18"/>
                                  <w:lang w:val="lt-LT"/>
                                </w:rPr>
                                <w:t>Finansinė priemonė</w:t>
                              </w:r>
                            </w:p>
                            <w:p w14:paraId="143A7E6D" w14:textId="77777777" w:rsidR="00A65A8D" w:rsidRDefault="00A65A8D" w:rsidP="001A5AF6">
                              <w:pPr>
                                <w:pStyle w:val="prastasistinklapis"/>
                                <w:spacing w:before="0" w:beforeAutospacing="0" w:after="200" w:afterAutospacing="0" w:line="276" w:lineRule="auto"/>
                                <w:jc w:val="center"/>
                              </w:pPr>
                              <w:r>
                                <w:rPr>
                                  <w:rFonts w:ascii="Calibri" w:eastAsia="Calibri" w:hAnsi="Calibri"/>
                                  <w:b/>
                                  <w:bCs/>
                                  <w:color w:val="FFFFFF"/>
                                  <w:sz w:val="22"/>
                                  <w:szCs w:val="22"/>
                                  <w:lang w:val="lt-LT"/>
                                </w:rPr>
                                <w:t> </w:t>
                              </w:r>
                            </w:p>
                          </w:txbxContent>
                        </wps:txbx>
                        <wps:bodyPr rot="0" vert="horz" wrap="square" lIns="91440" tIns="45720" rIns="91440" bIns="45720" anchor="t" anchorCtr="0" upright="1">
                          <a:noAutofit/>
                        </wps:bodyPr>
                      </wps:wsp>
                      <wps:wsp>
                        <wps:cNvPr id="166" name="Oval 166"/>
                        <wps:cNvSpPr>
                          <a:spLocks noChangeArrowheads="1"/>
                        </wps:cNvSpPr>
                        <wps:spPr bwMode="auto">
                          <a:xfrm>
                            <a:off x="4249584" y="1597221"/>
                            <a:ext cx="1139825" cy="643890"/>
                          </a:xfrm>
                          <a:prstGeom prst="ellipse">
                            <a:avLst/>
                          </a:prstGeom>
                          <a:solidFill>
                            <a:srgbClr val="FFC000"/>
                          </a:solidFill>
                          <a:ln w="9525">
                            <a:solidFill>
                              <a:srgbClr val="974706"/>
                            </a:solidFill>
                            <a:round/>
                            <a:headEnd/>
                            <a:tailEnd/>
                          </a:ln>
                        </wps:spPr>
                        <wps:txbx>
                          <w:txbxContent>
                            <w:p w14:paraId="5621665E" w14:textId="77777777" w:rsidR="00A65A8D" w:rsidRDefault="00A65A8D" w:rsidP="001A5AF6">
                              <w:pPr>
                                <w:pStyle w:val="prastasistinklapis"/>
                                <w:spacing w:before="0" w:beforeAutospacing="0" w:after="200" w:afterAutospacing="0" w:line="276" w:lineRule="auto"/>
                                <w:jc w:val="center"/>
                              </w:pPr>
                              <w:r>
                                <w:rPr>
                                  <w:rFonts w:ascii="Calibri" w:eastAsia="Calibri" w:hAnsi="Calibri"/>
                                  <w:b/>
                                  <w:bCs/>
                                  <w:color w:val="FFFFFF"/>
                                  <w:sz w:val="18"/>
                                  <w:szCs w:val="18"/>
                                  <w:lang w:val="lt-LT"/>
                                </w:rPr>
                                <w:t>Finansinė priemonė</w:t>
                              </w:r>
                            </w:p>
                            <w:p w14:paraId="5A61093A" w14:textId="77777777" w:rsidR="00A65A8D" w:rsidRDefault="00A65A8D" w:rsidP="001A5AF6">
                              <w:pPr>
                                <w:pStyle w:val="prastasistinklapis"/>
                                <w:spacing w:before="0" w:beforeAutospacing="0" w:after="200" w:afterAutospacing="0" w:line="276" w:lineRule="auto"/>
                                <w:jc w:val="center"/>
                              </w:pPr>
                              <w:r>
                                <w:rPr>
                                  <w:rFonts w:ascii="Calibri" w:eastAsia="Calibri" w:hAnsi="Calibri"/>
                                  <w:b/>
                                  <w:bCs/>
                                  <w:color w:val="FFFFFF"/>
                                  <w:sz w:val="22"/>
                                  <w:szCs w:val="22"/>
                                  <w:lang w:val="lt-LT"/>
                                </w:rPr>
                                <w:t> </w:t>
                              </w:r>
                            </w:p>
                          </w:txbxContent>
                        </wps:txbx>
                        <wps:bodyPr rot="0" vert="horz" wrap="square" lIns="91440" tIns="45720" rIns="91440" bIns="45720" anchor="t" anchorCtr="0" upright="1">
                          <a:noAutofit/>
                        </wps:bodyPr>
                      </wps:wsp>
                    </wpc:wpc>
                  </a:graphicData>
                </a:graphic>
              </wp:inline>
            </w:drawing>
          </mc:Choice>
          <mc:Fallback>
            <w:pict>
              <v:group id="Drobė 33" o:spid="_x0000_s1035" editas="canvas" style="width:452.05pt;height:4in;mso-position-horizontal-relative:char;mso-position-vertical-relative:line" coordsize="57410,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">
                <v:shape id="_x0000_s1036" type="#_x0000_t75" style="position:absolute;width:57410;height:36576;visibility:visible;mso-wrap-style:square">
                  <v:fill o:detectmouseclick="t"/>
                  <v:path o:connecttype="none"/>
                </v:shape>
                <v:rect id="Rectangle 7" o:spid="_x0000_s1037" style="position:absolute;left:429;top:5542;width:18027;height:30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PtcAA&#10;AADcAAAADwAAAGRycy9kb3ducmV2LnhtbERPy4rCMBTdC/5DuMLsbKrIMFRjKYIg48YXiLtrc22L&#10;zU1JMrbz92YxMMvDea/ywbTiRc43lhXMkhQEcWl1w5WCy3k7/QLhA7LG1jIp+CUP+Xo8WmGmbc9H&#10;ep1CJWII+wwV1CF0mZS+rMmgT2xHHLmHdQZDhK6S2mEfw00r52n6KQ02HBtq7GhTU/k8/RgF3e2b&#10;dB+0vA5nd9+5fXHYVwelPiZDsQQRaAj/4j/3TitYLOLaeCYe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EPtcAAAADcAAAADwAAAAAAAAAAAAAAAACYAgAAZHJzL2Rvd25y&#10;ZXYueG1sUEsFBgAAAAAEAAQA9QAAAIUDAAAAAA==&#10;" strokecolor="#e36c0a" strokeweight="1.5pt"/>
                <v:rect id="Rectangle 8" o:spid="_x0000_s1038" style="position:absolute;left:19976;top:5542;width:18027;height:30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2qLsQA&#10;AADcAAAADwAAAGRycy9kb3ducmV2LnhtbESPzWrDMBCE74W+g9hCb7XcEErrWAkhEAjNJX9QcttY&#10;G8vUWhlJiZ23jwqBHoeZ+YYpZ4NtxZV8aBwreM9yEMSV0w3XCg775dsniBCRNbaOScGNAsymz08l&#10;Ftr1vKXrLtYiQTgUqMDE2BVShsqQxZC5jjh5Z+ctxiR9LbXHPsFtK0d5/iEtNpwWDHa0MFT97i5W&#10;QXf8Jt1HLX+GvT+t/Hq+WdcbpV5fhvkERKQh/ocf7ZVWMB5/wd+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Nqi7EAAAA3AAAAA8AAAAAAAAAAAAAAAAAmAIAAGRycy9k&#10;b3ducmV2LnhtbFBLBQYAAAAABAAEAPUAAACJAwAAAAA=&#10;" strokecolor="#e36c0a" strokeweight="1.5pt"/>
                <v:rect id="Rectangle 9" o:spid="_x0000_s1039" style="position:absolute;left:39301;top:5554;width:18026;height:30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6VbsAA&#10;AADcAAAADwAAAGRycy9kb3ducmV2LnhtbERPy4rCMBTdC/5DuII7TR1mZKjGUgRBxo0vGNxdm2tb&#10;bG5KkrH17ycLweXhvJdZbxrxIOdrywpm0wQEcWF1zaWC82kz+QbhA7LGxjIpeJKHbDUcLDHVtuMD&#10;PY6hFDGEfYoKqhDaVEpfVGTQT21LHLmbdQZDhK6U2mEXw00jP5JkLg3WHBsqbGldUXE//hkF7eWH&#10;dBe0/O1P7rp1u3y/K/dKjUd9vgARqA9v8cu91Qo+v+L8eCYe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6VbsAAAADcAAAADwAAAAAAAAAAAAAAAACYAgAAZHJzL2Rvd25y&#10;ZXYueG1sUEsFBgAAAAAEAAQA9QAAAIUDAAAAAA==&#10;" strokecolor="#e36c0a" strokeweight="1.5pt"/>
                <v:roundrect id="AutoShape 10" o:spid="_x0000_s1040" style="position:absolute;left:2929;top:7357;width:14236;height:24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YtRMMA&#10;AADcAAAADwAAAGRycy9kb3ducmV2LnhtbESPQWsCMRSE7wX/Q3iCt5pVrJStUUQUvNnVpefH5jVZ&#10;3Lwsm+iu/vqmUOhxmJlvmNVmcI24Uxdqzwpm0wwEceV1zUZBeTm8voMIEVlj45kUPCjAZj16WWGu&#10;fc8F3c/RiAThkKMCG2ObSxkqSw7D1LfEyfv2ncOYZGek7rBPcNfIeZYtpcOa04LFlnaWquv55hQY&#10;bbfF58kU+8wsQhmXc3z2X0pNxsP2A0SkIf6H/9pHrWDxNoPfM+k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YtRMMAAADcAAAADwAAAAAAAAAAAAAAAACYAgAAZHJzL2Rv&#10;d25yZXYueG1sUEsFBgAAAAAEAAQA9QAAAIgDAAAAAA==&#10;" fillcolor="#e36c0a" strokecolor="#974706">
                  <v:textbox>
                    <w:txbxContent>
                      <w:p w14:paraId="5A0931AF" w14:textId="77777777" w:rsidR="00A65A8D" w:rsidRDefault="00A65A8D" w:rsidP="00336C16">
                        <w:pPr>
                          <w:spacing w:after="0" w:line="240" w:lineRule="auto"/>
                          <w:rPr>
                            <w:b/>
                            <w:color w:val="FFFFFF"/>
                            <w:sz w:val="16"/>
                            <w:szCs w:val="16"/>
                          </w:rPr>
                        </w:pPr>
                        <w:r>
                          <w:rPr>
                            <w:b/>
                            <w:color w:val="FFFFFF"/>
                            <w:sz w:val="16"/>
                            <w:szCs w:val="16"/>
                          </w:rPr>
                          <w:t>Vadovaujančioji institucija</w:t>
                        </w:r>
                      </w:p>
                    </w:txbxContent>
                  </v:textbox>
                </v:roundrect>
                <v:roundrect id="AutoShape 11" o:spid="_x0000_s1041" style="position:absolute;left:22397;top:7357;width:14237;height:24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zM8IA&#10;AADcAAAADwAAAGRycy9kb3ducmV2LnhtbESPQWsCMRSE7wX/Q3hCbzXrolJWo4hU8NauFc+PzTNZ&#10;3Lwsm9Td9tc3guBxmJlvmNVmcI24URdqzwqmkwwEceV1zUbB6Xv/9g4iRGSNjWdS8EsBNuvRywoL&#10;7Xsu6XaMRiQIhwIV2BjbQspQWXIYJr4lTt7Fdw5jkp2RusM+wV0j8yxbSIc1pwWLLe0sVdfjj1Ng&#10;tN2WX5+m/MjMLJziIse//qzU63jYLkFEGuIz/GgftILZPIf7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1LMzwgAAANwAAAAPAAAAAAAAAAAAAAAAAJgCAABkcnMvZG93&#10;bnJldi54bWxQSwUGAAAAAAQABAD1AAAAhwMAAAAA&#10;" fillcolor="#e36c0a" strokecolor="#974706">
                  <v:textbox>
                    <w:txbxContent>
                      <w:p w14:paraId="508A7CE6" w14:textId="77777777" w:rsidR="00A65A8D" w:rsidRDefault="00A65A8D" w:rsidP="00336C16">
                        <w:pPr>
                          <w:spacing w:after="0" w:line="240" w:lineRule="auto"/>
                          <w:jc w:val="center"/>
                          <w:rPr>
                            <w:b/>
                            <w:color w:val="FFFFFF"/>
                            <w:sz w:val="16"/>
                            <w:szCs w:val="16"/>
                          </w:rPr>
                        </w:pPr>
                        <w:r>
                          <w:rPr>
                            <w:b/>
                            <w:color w:val="FFFFFF"/>
                            <w:sz w:val="16"/>
                            <w:szCs w:val="16"/>
                          </w:rPr>
                          <w:t>Vadovaujančioji institucija</w:t>
                        </w:r>
                      </w:p>
                    </w:txbxContent>
                  </v:textbox>
                </v:roundrect>
                <v:roundrect id="AutoShape 12" o:spid="_x0000_s1042" style="position:absolute;left:41092;top:7357;width:14237;height:24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O3MIA&#10;AADcAAAADwAAAGRycy9kb3ducmV2LnhtbESPQWsCMRSE74L/IbxCb5qtbEW2RhFR8FZXpefH5pks&#10;bl6WTXS3/fWmUOhxmJlvmOV6cI14UBdqzwrephkI4srrmo2Cy3k/WYAIEVlj45kUfFOA9Wo8WmKh&#10;fc8lPU7RiAThUKACG2NbSBkqSw7D1LfEybv6zmFMsjNSd9gnuGvkLMvm0mHNacFiS1tL1e10dwqM&#10;tpvy+GnKXWbycInzGf70X0q9vgybDxCRhvgf/msftIL8PYffM+k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Y7cwgAAANwAAAAPAAAAAAAAAAAAAAAAAJgCAABkcnMvZG93&#10;bnJldi54bWxQSwUGAAAAAAQABAD1AAAAhwMAAAAA&#10;" fillcolor="#e36c0a" strokecolor="#974706">
                  <v:textbox>
                    <w:txbxContent>
                      <w:p w14:paraId="0359D22C" w14:textId="77777777" w:rsidR="00A65A8D" w:rsidRDefault="00A65A8D" w:rsidP="00336C16">
                        <w:pPr>
                          <w:spacing w:after="0" w:line="240" w:lineRule="auto"/>
                          <w:jc w:val="center"/>
                          <w:rPr>
                            <w:b/>
                            <w:color w:val="FFFFFF"/>
                            <w:sz w:val="16"/>
                            <w:szCs w:val="16"/>
                          </w:rPr>
                        </w:pPr>
                        <w:r>
                          <w:rPr>
                            <w:b/>
                            <w:color w:val="FFFFFF"/>
                            <w:sz w:val="16"/>
                            <w:szCs w:val="16"/>
                          </w:rPr>
                          <w:t>Vadovaujančioji institucija</w:t>
                        </w:r>
                      </w:p>
                    </w:txbxContent>
                  </v:textbox>
                </v:roundrect>
                <v:roundrect id="AutoShape 13" o:spid="_x0000_s1043" style="position:absolute;left:2581;top:29784;width:14865;height:46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0rR8IA&#10;AADcAAAADwAAAGRycy9kb3ducmV2LnhtbESPQWsCMRSE7wX/Q3iCt5pVVGQ1iogFb+2qeH5snsni&#10;5mXZpO7qr28KhR6HmfmGWW97V4sHtaHyrGAyzkAQl15XbBRczh/vSxAhImusPZOCJwXYbgZva8y1&#10;77igxykakSAcclRgY2xyKUNpyWEY+4Y4eTffOoxJtkbqFrsEd7WcZtlCOqw4LVhsaG+pvJ++nQKj&#10;7a74+jTFITOzcImLKb66q1KjYb9bgYjUx//wX/uoFczmc/g9k46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StHwgAAANwAAAAPAAAAAAAAAAAAAAAAAJgCAABkcnMvZG93&#10;bnJldi54bWxQSwUGAAAAAAQABAD1AAAAhwMAAAAA&#10;" fillcolor="#e36c0a" strokecolor="#974706">
                  <v:textbox>
                    <w:txbxContent>
                      <w:p w14:paraId="6E739A4B" w14:textId="77777777" w:rsidR="00A65A8D" w:rsidRDefault="00A65A8D" w:rsidP="00336C16">
                        <w:pPr>
                          <w:spacing w:after="0" w:line="240" w:lineRule="auto"/>
                          <w:jc w:val="center"/>
                          <w:rPr>
                            <w:b/>
                            <w:color w:val="FFFFFF"/>
                            <w:sz w:val="16"/>
                            <w:szCs w:val="16"/>
                          </w:rPr>
                        </w:pPr>
                        <w:r>
                          <w:rPr>
                            <w:b/>
                            <w:color w:val="FFFFFF"/>
                            <w:sz w:val="16"/>
                            <w:szCs w:val="16"/>
                          </w:rPr>
                          <w:t>Galutiniai paramos</w:t>
                        </w:r>
                      </w:p>
                      <w:p w14:paraId="63F32E66" w14:textId="77777777" w:rsidR="00A65A8D" w:rsidRDefault="00A65A8D" w:rsidP="00336C16">
                        <w:pPr>
                          <w:spacing w:after="0" w:line="240" w:lineRule="auto"/>
                          <w:jc w:val="center"/>
                          <w:rPr>
                            <w:b/>
                            <w:color w:val="FFFFFF"/>
                            <w:sz w:val="16"/>
                            <w:szCs w:val="16"/>
                          </w:rPr>
                        </w:pPr>
                        <w:r>
                          <w:rPr>
                            <w:b/>
                            <w:color w:val="FFFFFF"/>
                            <w:sz w:val="16"/>
                            <w:szCs w:val="16"/>
                          </w:rPr>
                          <w:t xml:space="preserve"> gavėjai</w:t>
                        </w:r>
                      </w:p>
                    </w:txbxContent>
                  </v:textbox>
                </v:roundrect>
                <v:roundrect id="AutoShape 14" o:spid="_x0000_s1044" style="position:absolute;left:22144;top:29789;width:14691;height:46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MMIA&#10;AADcAAAADwAAAGRycy9kb3ducmV2LnhtbESPQWsCMRSE7wX/Q3hCbzWr6CKrUUQqeGtXxfNj80wW&#10;Ny/LJnW3/fWNUOhxmJlvmPV2cI14UBdqzwqmkwwEceV1zUbB5Xx4W4IIEVlj45kUfFOA7Wb0ssZC&#10;+55LepyiEQnCoUAFNsa2kDJUlhyGiW+Jk3fzncOYZGek7rBPcNfIWZbl0mHNacFiS3tL1f305RQY&#10;bXfl54cp3zMzD5eYz/Cnvyr1Oh52KxCRhvgf/msftYL5IofnmX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77UwwgAAANwAAAAPAAAAAAAAAAAAAAAAAJgCAABkcnMvZG93&#10;bnJldi54bWxQSwUGAAAAAAQABAD1AAAAhwMAAAAA&#10;" fillcolor="#e36c0a" strokecolor="#974706">
                  <v:textbox>
                    <w:txbxContent>
                      <w:p w14:paraId="77C2CA91" w14:textId="77777777" w:rsidR="00A65A8D" w:rsidRDefault="00A65A8D" w:rsidP="00336C16">
                        <w:pPr>
                          <w:spacing w:after="0" w:line="240" w:lineRule="auto"/>
                          <w:jc w:val="center"/>
                          <w:rPr>
                            <w:b/>
                            <w:color w:val="FFFFFF"/>
                            <w:sz w:val="16"/>
                            <w:szCs w:val="16"/>
                          </w:rPr>
                        </w:pPr>
                        <w:r>
                          <w:rPr>
                            <w:b/>
                            <w:color w:val="FFFFFF"/>
                            <w:sz w:val="16"/>
                            <w:szCs w:val="16"/>
                          </w:rPr>
                          <w:t>Galutiniai paramos</w:t>
                        </w:r>
                      </w:p>
                      <w:p w14:paraId="06E207E8" w14:textId="77777777" w:rsidR="00A65A8D" w:rsidRDefault="00A65A8D" w:rsidP="00336C16">
                        <w:pPr>
                          <w:spacing w:after="0" w:line="240" w:lineRule="auto"/>
                          <w:jc w:val="center"/>
                          <w:rPr>
                            <w:b/>
                            <w:color w:val="FFFFFF"/>
                            <w:sz w:val="16"/>
                            <w:szCs w:val="16"/>
                          </w:rPr>
                        </w:pPr>
                        <w:r>
                          <w:rPr>
                            <w:b/>
                            <w:color w:val="FFFFFF"/>
                            <w:sz w:val="16"/>
                            <w:szCs w:val="16"/>
                          </w:rPr>
                          <w:t xml:space="preserve"> gavėjai</w:t>
                        </w:r>
                      </w:p>
                      <w:p w14:paraId="2855F0A0" w14:textId="77777777" w:rsidR="00A65A8D" w:rsidRDefault="00A65A8D" w:rsidP="00336C16">
                        <w:pPr>
                          <w:spacing w:after="0" w:line="240" w:lineRule="auto"/>
                          <w:jc w:val="center"/>
                          <w:rPr>
                            <w:b/>
                            <w:color w:val="FFFFFF"/>
                            <w:sz w:val="16"/>
                            <w:szCs w:val="16"/>
                          </w:rPr>
                        </w:pPr>
                      </w:p>
                    </w:txbxContent>
                  </v:textbox>
                </v:roundrect>
                <v:roundrect id="AutoShape 15" o:spid="_x0000_s1045" style="position:absolute;left:41092;top:29794;width:14237;height:46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Qq8MA&#10;AADcAAAADwAAAGRycy9kb3ducmV2LnhtbESPT2sCMRTE7wW/Q3iF3mq24p+yNYqIhd50VTw/Ns9k&#10;cfOybKK79dMbodDjMDO/YebL3tXiRm2oPCv4GGYgiEuvKzYKjofv908QISJrrD2Tgl8KsFwMXuaY&#10;a99xQbd9NCJBOOSowMbY5FKG0pLDMPQNcfLOvnUYk2yN1C12Ce5qOcqyqXRYcVqw2NDaUnnZX50C&#10;o+2q2G1NscnMOBzjdIT37qTU22u/+gIRqY//4b/2j1YwnszgeSYd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MQq8MAAADcAAAADwAAAAAAAAAAAAAAAACYAgAAZHJzL2Rv&#10;d25yZXYueG1sUEsFBgAAAAAEAAQA9QAAAIgDAAAAAA==&#10;" fillcolor="#e36c0a" strokecolor="#974706">
                  <v:textbox>
                    <w:txbxContent>
                      <w:p w14:paraId="1B93D7A8" w14:textId="77777777" w:rsidR="00A65A8D" w:rsidRDefault="00A65A8D" w:rsidP="00336C16">
                        <w:pPr>
                          <w:spacing w:after="0" w:line="240" w:lineRule="auto"/>
                          <w:jc w:val="center"/>
                          <w:rPr>
                            <w:b/>
                            <w:color w:val="FFFFFF"/>
                            <w:sz w:val="16"/>
                            <w:szCs w:val="16"/>
                          </w:rPr>
                        </w:pPr>
                        <w:r>
                          <w:rPr>
                            <w:b/>
                            <w:color w:val="FFFFFF"/>
                            <w:sz w:val="16"/>
                            <w:szCs w:val="16"/>
                          </w:rPr>
                          <w:t>Galutiniai paramos</w:t>
                        </w:r>
                      </w:p>
                      <w:p w14:paraId="11C50853" w14:textId="77777777" w:rsidR="00A65A8D" w:rsidRDefault="00A65A8D" w:rsidP="00336C16">
                        <w:pPr>
                          <w:spacing w:after="0" w:line="240" w:lineRule="auto"/>
                          <w:jc w:val="center"/>
                          <w:rPr>
                            <w:b/>
                            <w:color w:val="FFFFFF"/>
                            <w:sz w:val="16"/>
                            <w:szCs w:val="16"/>
                          </w:rPr>
                        </w:pPr>
                        <w:r>
                          <w:rPr>
                            <w:b/>
                            <w:color w:val="FFFFFF"/>
                            <w:sz w:val="16"/>
                            <w:szCs w:val="16"/>
                          </w:rPr>
                          <w:t xml:space="preserve"> gavėjai</w:t>
                        </w:r>
                      </w:p>
                      <w:p w14:paraId="4EDD05C8" w14:textId="77777777" w:rsidR="00A65A8D" w:rsidRDefault="00A65A8D" w:rsidP="00336C16">
                        <w:pPr>
                          <w:spacing w:after="0" w:line="240" w:lineRule="auto"/>
                          <w:jc w:val="center"/>
                          <w:rPr>
                            <w:b/>
                            <w:color w:val="FFFFFF"/>
                            <w:sz w:val="16"/>
                            <w:szCs w:val="16"/>
                          </w:rPr>
                        </w:pPr>
                      </w:p>
                    </w:txbxContent>
                  </v:textbox>
                </v:roundrect>
                <v:roundrect id="AutoShape 16" o:spid="_x0000_s1046" style="position:absolute;left:22397;top:24410;width:14237;height:35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E2cAA&#10;AADcAAAADwAAAGRycy9kb3ducmV2LnhtbERPz2vCMBS+D/wfwhN2m+lKV0ZnFBEHu21V2fnRvCVl&#10;zUtpsrb61y8HwePH93u9nV0nRhpC61nB8yoDQdx43bJRcD69P72CCBFZY+eZFFwowHazeFhjpf3E&#10;NY3HaEQK4VChAhtjX0kZGksOw8r3xIn78YPDmOBgpB5wSuGuk3mWldJhy6nBYk97S83v8c8pMNru&#10;6q9PUx8yU4RzLHO8Tt9KPS7n3RuISHO8i2/uD62geElr05l0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yE2cAAAADcAAAADwAAAAAAAAAAAAAAAACYAgAAZHJzL2Rvd25y&#10;ZXYueG1sUEsFBgAAAAAEAAQA9QAAAIUDAAAAAA==&#10;" fillcolor="#e36c0a" strokecolor="#974706">
                  <v:textbox>
                    <w:txbxContent>
                      <w:p w14:paraId="2BA347D0" w14:textId="77777777" w:rsidR="00A65A8D" w:rsidRDefault="00A65A8D" w:rsidP="00336C16">
                        <w:pPr>
                          <w:spacing w:after="0" w:line="240" w:lineRule="auto"/>
                          <w:jc w:val="center"/>
                          <w:rPr>
                            <w:b/>
                            <w:color w:val="FFFFFF"/>
                            <w:sz w:val="16"/>
                            <w:szCs w:val="16"/>
                          </w:rPr>
                        </w:pPr>
                        <w:r>
                          <w:rPr>
                            <w:b/>
                            <w:color w:val="FFFFFF"/>
                            <w:sz w:val="16"/>
                            <w:szCs w:val="16"/>
                          </w:rPr>
                          <w:t>Finansinės priemonės valdytojas</w:t>
                        </w:r>
                      </w:p>
                    </w:txbxContent>
                  </v:textbox>
                </v:roundrect>
                <v:roundrect id="AutoShape 17" o:spid="_x0000_s1047" style="position:absolute;left:41054;top:24980;width:14245;height:24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hGMYA&#10;AADcAAAADwAAAGRycy9kb3ducmV2LnhtbESP0WrCQBRE34X+w3ILvohuKlYkZiPSNsWHtmD0Ay7Z&#10;axKavZtmtzH+vSsIPg4zc4ZJNoNpRE+dqy0reJlFIIgLq2suFRwP2XQFwnlkjY1lUnAhB5v0aZRg&#10;rO2Z99TnvhQBwi5GBZX3bSylKyoy6Ga2JQ7eyXYGfZBdKXWH5wA3jZxH0VIarDksVNjSW0XFb/5v&#10;FPSv7+3HZbuTmB0/3d9XNjHf+Y9S4+dhuwbhafCP8L290woWywXczo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BhGMYAAADcAAAADwAAAAAAAAAAAAAAAACYAgAAZHJz&#10;L2Rvd25yZXYueG1sUEsFBgAAAAAEAAQA9QAAAIsDAAAAAA==&#10;" fillcolor="#e36c0a" strokecolor="#974706">
                  <v:stroke dashstyle="dash"/>
                  <v:textbox>
                    <w:txbxContent>
                      <w:p w14:paraId="4A16F55B" w14:textId="77777777" w:rsidR="00A65A8D" w:rsidRDefault="00A65A8D" w:rsidP="00336C16">
                        <w:pPr>
                          <w:spacing w:after="0" w:line="240" w:lineRule="auto"/>
                          <w:jc w:val="center"/>
                          <w:rPr>
                            <w:b/>
                            <w:color w:val="FFFFFF"/>
                            <w:sz w:val="16"/>
                            <w:szCs w:val="16"/>
                          </w:rPr>
                        </w:pPr>
                        <w:r>
                          <w:rPr>
                            <w:b/>
                            <w:color w:val="FFFFFF"/>
                            <w:sz w:val="16"/>
                            <w:szCs w:val="16"/>
                          </w:rPr>
                          <w:t>Finansinis tarpininkas</w:t>
                        </w:r>
                      </w:p>
                    </w:txbxContent>
                  </v:textbox>
                </v:roundrect>
                <v:roundrect id="AutoShape 18" o:spid="_x0000_s1048" style="position:absolute;left:41104;top:11710;width:14237;height:2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h+sIA&#10;AADcAAAADwAAAGRycy9kb3ducmV2LnhtbESPQWsCMRSE7wX/Q3hCbzWr6CKrUUQqeGtXxfNj80wW&#10;Ny/LJnW3/fWNUOhxmJlvmPV2cI14UBdqzwqmkwwEceV1zUbB5Xx4W4IIEVlj45kUfFOA7Wb0ssZC&#10;+55LepyiEQnCoUAFNsa2kDJUlhyGiW+Jk3fzncOYZGek7rBPcNfIWZbl0mHNacFiS3tL1f305RQY&#10;bXfl54cp3zMzD5eYz/Cnvyr1Oh52KxCRhvgf/msftYJ5voDnmX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eH6wgAAANwAAAAPAAAAAAAAAAAAAAAAAJgCAABkcnMvZG93&#10;bnJldi54bWxQSwUGAAAAAAQABAD1AAAAhwMAAAAA&#10;" fillcolor="#e36c0a" strokecolor="#974706">
                  <v:textbox>
                    <w:txbxContent>
                      <w:p w14:paraId="4F2E6EEC" w14:textId="77777777" w:rsidR="00A65A8D" w:rsidRDefault="00A65A8D" w:rsidP="00336C16">
                        <w:pPr>
                          <w:spacing w:after="0" w:line="240" w:lineRule="auto"/>
                          <w:jc w:val="center"/>
                          <w:rPr>
                            <w:b/>
                            <w:color w:val="FFFFFF"/>
                            <w:sz w:val="16"/>
                            <w:szCs w:val="16"/>
                          </w:rPr>
                        </w:pPr>
                        <w:r>
                          <w:rPr>
                            <w:b/>
                            <w:color w:val="FFFFFF"/>
                            <w:sz w:val="16"/>
                            <w:szCs w:val="16"/>
                          </w:rPr>
                          <w:t>Fondų fondas</w:t>
                        </w:r>
                      </w:p>
                    </w:txbxContent>
                  </v:textbox>
                </v:roundrect>
                <v:oval id="Oval 20" o:spid="_x0000_s1049" style="position:absolute;left:23810;top:15915;width:11402;height:6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UUsYA&#10;AADcAAAADwAAAGRycy9kb3ducmV2LnhtbESPQWvCQBSE70L/w/KE3nSjBJWYTSilRcWD1HrQ22v2&#10;NQnNvg3ZbUz/fVcQPA4z8w2T5oNpRE+dqy0rmE0jEMSF1TWXCk6f75MVCOeRNTaWScEfOcizp1GK&#10;ibZX/qD+6EsRIOwSVFB53yZSuqIig25qW+LgfdvOoA+yK6Xu8BrgppHzKFpIgzWHhQpbeq2o+Dn+&#10;GgXzy+Fr3+7izdnHrtnsdxGutm9KPY+HlzUIT4N/hO/trVYQL5ZwOxOO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7UUsYAAADcAAAADwAAAAAAAAAAAAAAAACYAgAAZHJz&#10;L2Rvd25yZXYueG1sUEsFBgAAAAAEAAQA9QAAAIsDAAAAAA==&#10;" fillcolor="#ffc000" strokecolor="#974706">
                  <v:textbox>
                    <w:txbxContent>
                      <w:p w14:paraId="268CC852" w14:textId="77777777" w:rsidR="00A65A8D" w:rsidRPr="00873719" w:rsidRDefault="00A65A8D" w:rsidP="001A5AF6">
                        <w:pPr>
                          <w:jc w:val="center"/>
                          <w:rPr>
                            <w:b/>
                            <w:color w:val="FFFFFF"/>
                            <w:lang w:val="lt-LT"/>
                          </w:rPr>
                        </w:pPr>
                        <w:r>
                          <w:rPr>
                            <w:b/>
                            <w:color w:val="FFFFFF"/>
                            <w:sz w:val="18"/>
                            <w:lang w:val="lt-LT"/>
                          </w:rPr>
                          <w:t>Finansinė priemonė</w:t>
                        </w:r>
                      </w:p>
                      <w:p w14:paraId="01EDB71A" w14:textId="77777777" w:rsidR="00A65A8D" w:rsidRPr="00873719" w:rsidRDefault="00A65A8D" w:rsidP="00336C16">
                        <w:pPr>
                          <w:jc w:val="center"/>
                          <w:rPr>
                            <w:b/>
                            <w:color w:val="FFFFFF"/>
                            <w:lang w:val="lt-LT"/>
                          </w:rPr>
                        </w:pPr>
                      </w:p>
                    </w:txbxContent>
                  </v:textbox>
                </v:oval>
                <v:shapetype id="_x0000_t32" coordsize="21600,21600" o:spt="32" o:oned="t" path="m,l21600,21600e" filled="f">
                  <v:path arrowok="t" fillok="f" o:connecttype="none"/>
                  <o:lock v:ext="edit" shapetype="t"/>
                </v:shapetype>
                <v:shape id="AutoShape 22" o:spid="_x0000_s1050" type="#_x0000_t32" style="position:absolute;left:10047;top:9769;width:17;height:6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TBLcUAAADcAAAADwAAAGRycy9kb3ducmV2LnhtbESPQWvCQBSE74L/YXlCb7qxFDHRVaTQ&#10;Uiw9qCXo7ZF9JsHs27C7avTXuwWhx2FmvmHmy8404kLO15YVjEcJCOLC6ppLBb+7j+EUhA/IGhvL&#10;pOBGHpaLfm+OmbZX3tBlG0oRIewzVFCF0GZS+qIig35kW+LoHa0zGKJ0pdQOrxFuGvmaJBNpsOa4&#10;UGFL7xUVp+3ZKNh/p+f8lv/QOh+n6wM64++7T6VeBt1qBiJQF/7Dz/aXVvA2Se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TBLcUAAADcAAAADwAAAAAAAAAA&#10;AAAAAAChAgAAZHJzL2Rvd25yZXYueG1sUEsFBgAAAAAEAAQA+QAAAJMDAAAAAA==&#10;">
                  <v:stroke endarrow="block"/>
                </v:shape>
                <v:shape id="AutoShape 23" o:spid="_x0000_s1051" type="#_x0000_t32" style="position:absolute;left:10014;top:22393;width:50;height:73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a1LsEAAADcAAAADwAAAGRycy9kb3ducmV2LnhtbERPz2vCMBS+C/sfwht403TiplTTMoWB&#10;7DKmgh4fzbMNNi+lyZr63y+HwY4f3+9tOdpWDNR741jByzwDQVw5bbhWcD59zNYgfEDW2DomBQ/y&#10;UBZPky3m2kX+puEYapFC2OeooAmhy6X0VUMW/dx1xIm7ud5iSLCvpe4xpnDbykWWvUmLhlNDgx3t&#10;G6ruxx+rwMQvM3SHfdx9Xq5eRzKPV2eUmj6P7xsQgcbwL/5zH7SC5SrNT2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xrUuwQAAANwAAAAPAAAAAAAAAAAAAAAA&#10;AKECAABkcnMvZG93bnJldi54bWxQSwUGAAAAAAQABAD5AAAAjwMAAAAA&#10;">
                  <v:stroke endarrow="block"/>
                </v:shape>
                <v:shape id="AutoShape 24" o:spid="_x0000_s1052" type="#_x0000_t32" style="position:absolute;left:29511;top:22359;width:4;height:20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tb9sYAAADcAAAADwAAAGRycy9kb3ducmV2LnhtbESPT2vCQBTE7wW/w/KE3uomRVqNriJC&#10;pVh68A9Bb4/sMwlm34bdVWM/fbdQ8DjMzG+Y6bwzjbiS87VlBekgAUFcWF1zqWC/+3gZgfABWWNj&#10;mRTcycN81nuaYqbtjTd03YZSRAj7DBVUIbSZlL6oyKAf2JY4eifrDIYoXSm1w1uEm0a+JsmbNFhz&#10;XKiwpWVFxXl7MQoOX+NLfs+/aZ2n4/URnfE/u5VSz/1uMQERqAuP8H/7UysYvq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bW/bGAAAA3AAAAA8AAAAAAAAA&#10;AAAAAAAAoQIAAGRycy9kb3ducmV2LnhtbFBLBQYAAAAABAAEAPkAAACUAwAAAAA=&#10;">
                  <v:stroke endarrow="block"/>
                </v:shape>
                <v:shape id="AutoShape 25" o:spid="_x0000_s1053" type="#_x0000_t32" style="position:absolute;left:29489;top:27993;width:26;height:17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iOwsMAAADcAAAADwAAAGRycy9kb3ducmV2LnhtbESPQWsCMRSE7wX/Q3iCt5pVbJXVKFYQ&#10;pJdSFfT42Dx3g5uXZZNu1n9vCoUeh5n5hllteluLjlpvHCuYjDMQxIXThksF59P+dQHCB2SNtWNS&#10;8CAPm/XgZYW5dpG/qTuGUiQI+xwVVCE0uZS+qMiiH7uGOHk311oMSbal1C3GBLe1nGbZu7RoOC1U&#10;2NCuouJ+/LEKTPwyXXPYxY/Py9XrSObx5oxSo2G/XYII1If/8F/7oBXM5l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YjsLDAAAA3AAAAA8AAAAAAAAAAAAA&#10;AAAAoQIAAGRycy9kb3ducmV2LnhtbFBLBQYAAAAABAAEAPkAAACRAwAAAAA=&#10;">
                  <v:stroke endarrow="block"/>
                </v:shape>
                <v:shape id="AutoShape 26" o:spid="_x0000_s1054" type="#_x0000_t32" style="position:absolute;left:29511;top:9769;width:4;height:61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i4/b8AAADaAAAADwAAAGRycy9kb3ducmV2LnhtbERPTWvDMAy9D/ofjAq7Lc4KGyOLW7pC&#10;oexS1hXao4i1xDSWQ+zFyb+vA4OdxON9qtyMthUD9d44VvCc5SCIK6cN1wrO3/unNxA+IGtsHZOC&#10;iTxs1ouHEgvtIn/RcAq1SCHsC1TQhNAVUvqqIYs+cx1x4n5cbzEk2NdS9xhTuG3lKs9fpUXDqaHB&#10;jnYNVbfTr1Vg4tEM3WEXPz4vV68jmenFGaUel+P2HUSgMfyL/9wHnebD/Mp85fo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di4/b8AAADaAAAADwAAAAAAAAAAAAAAAACh&#10;AgAAZHJzL2Rvd25yZXYueG1sUEsFBgAAAAAEAAQA+QAAAI0DAAAAAA==&#10;">
                  <v:stroke endarrow="block"/>
                </v:shape>
                <v:shape id="AutoShape 27" o:spid="_x0000_s1055" type="#_x0000_t32" style="position:absolute;left:48194;top:14130;width:28;height:1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omisAAAADaAAAADwAAAGRycy9kb3ducmV2LnhtbESPT4vCMBTE78J+h/AW9qapgiLVKCos&#10;iBfxD+weH82zDTYvpck29dtvBMHjMDO/YZbr3taio9YbxwrGowwEceG04VLB9fI9nIPwAVlj7ZgU&#10;PMjDevUxWGKuXeQTdedQigRhn6OCKoQml9IXFVn0I9cQJ+/mWoshybaUusWY4LaWkyybSYuG00KF&#10;De0qKu7nP6vAxKPpmv0ubg8/v15HMo+pM0p9ffabBYhAfXiHX+29VjCB55V0A+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kKJorAAAAA2gAAAA8AAAAAAAAAAAAAAAAA&#10;oQIAAGRycy9kb3ducmV2LnhtbFBLBQYAAAAABAAEAPkAAACOAwAAAAA=&#10;">
                  <v:stroke endarrow="block"/>
                </v:shape>
                <v:shape id="AutoShape 28" o:spid="_x0000_s1056" type="#_x0000_t32" style="position:absolute;left:48176;top:22411;width:18;height:25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EWtsQAAADcAAAADwAAAGRycy9kb3ducmV2LnhtbESPQWvCQBSE7wX/w/KE3urGUqvEbMQK&#10;BemlVAU9PrLPZDH7NmS32fjvu4VCj8PMfMMUm9G2YqDeG8cK5rMMBHHltOFawen4/rQC4QOyxtYx&#10;KbiTh005eSgw1y7yFw2HUIsEYZ+jgiaELpfSVw1Z9DPXESfv6nqLIcm+lrrHmOC2lc9Z9iotGk4L&#10;DXa0a6i6Hb6tAhM/zdDtd/Ht43zxOpK5L5xR6nE6btcgAo3hP/zX3msFL8sF/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sRa2xAAAANwAAAAPAAAAAAAAAAAA&#10;AAAAAKECAABkcnMvZG93bnJldi54bWxQSwUGAAAAAAQABAD5AAAAkgMAAAAA&#10;">
                  <v:stroke endarrow="block"/>
                </v:shape>
                <v:shape id="AutoShape 29" o:spid="_x0000_s1057" type="#_x0000_t32" style="position:absolute;left:48163;top:27401;width:13;height:24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OIwcQAAADcAAAADwAAAGRycy9kb3ducmV2LnhtbESPS2vDMBCE74X8B7GB3ho5pXngWg5p&#10;oBB6KXlAelysrS1qrYylWs6/rwKFHIeZ+YYpNqNtxUC9N44VzGcZCOLKacO1gvPp/WkNwgdkja1j&#10;UnAlD5ty8lBgrl3kAw3HUIsEYZ+jgiaELpfSVw1Z9DPXESfv2/UWQ5J9LXWPMcFtK5+zbCktGk4L&#10;DXa0a6j6Of5aBSZ+mqHb7+Lbx+XL60jmunBGqcfpuH0FEWgM9/B/e68VvKyWcDuTj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Y4jBxAAAANwAAAAPAAAAAAAAAAAA&#10;AAAAAKECAABkcnMvZG93bnJldi54bWxQSwUGAAAAAAQABAD5AAAAkgMAAAAA&#10;">
                  <v:stroke endarrow="block"/>
                </v:shape>
                <v:shape id="AutoShape 30" o:spid="_x0000_s1058" type="#_x0000_t32" style="position:absolute;left:48176;top:27401;width:34;height:2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5mGcYAAADcAAAADwAAAGRycy9kb3ducmV2LnhtbESPQWvCQBSE7wX/w/KE3urGUqrGbEQK&#10;LcXSQ1WC3h7ZZxLMvg27q8b+elco9DjMzDdMtuhNK87kfGNZwXiUgCAurW64UrDdvD9NQfiArLG1&#10;TAqu5GGRDx4yTLW98A+d16ESEcI+RQV1CF0qpS9rMuhHtiOO3sE6gyFKV0nt8BLhppXPSfIqDTYc&#10;F2rs6K2m8rg+GQW7r9mpuBbftCrGs9UenfG/mw+lHof9cg4iUB/+w3/tT63gZT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ZhnGAAAA3AAAAA8AAAAAAAAA&#10;AAAAAAAAoQIAAGRycy9kb3ducmV2LnhtbFBLBQYAAAAABAAEAPkAAACUAwAAAAA=&#10;">
                  <v:stroke endarrow="block"/>
                </v:shape>
                <v:roundrect id="AutoShape 10" o:spid="_x0000_s1059" style="position:absolute;left:2929;top:1800;width:14232;height:24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gfsEA&#10;AADcAAAADwAAAGRycy9kb3ducmV2LnhtbERPz2vCMBS+D/wfwhN2m+lkdNI1lSkWdtPVXbw9mre2&#10;rHmpSVbrf28OgseP73e+nkwvRnK+s6zgdZGAIK6t7rhR8HMsX1YgfEDW2FsmBVfysC5mTzlm2l74&#10;m8YqNCKGsM9QQRvCkEnp65YM+oUdiCP3a53BEKFrpHZ4ieGml8skSaXBjmNDiwNtW6r/qn+j4Ny5&#10;Tbm17lCnabU7+v2px+Gk1PN8+vwAEWgKD/Hd/aUVvL3HtfFMPAKy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rIH7BAAAA3AAAAA8AAAAAAAAAAAAAAAAAmAIAAGRycy9kb3du&#10;cmV2LnhtbFBLBQYAAAAABAAEAPUAAACGAwAAAAA=&#10;" fillcolor="white [3201]" strokecolor="#f79646 [3209]" strokeweight="2pt">
                  <v:textbox>
                    <w:txbxContent>
                      <w:p w14:paraId="73A0F53E" w14:textId="77777777" w:rsidR="00A65A8D" w:rsidRDefault="00A65A8D" w:rsidP="00336C16">
                        <w:pPr>
                          <w:pStyle w:val="prastasistinklapis"/>
                          <w:jc w:val="center"/>
                        </w:pPr>
                        <w:r>
                          <w:rPr>
                            <w:rFonts w:ascii="Calibri" w:eastAsia="Calibri" w:hAnsi="Calibri"/>
                            <w:b/>
                            <w:bCs/>
                            <w:sz w:val="16"/>
                            <w:szCs w:val="16"/>
                            <w:lang w:val="en-US"/>
                          </w:rPr>
                          <w:t>I STRUKTŪRA</w:t>
                        </w:r>
                      </w:p>
                    </w:txbxContent>
                  </v:textbox>
                </v:roundrect>
                <v:roundrect id="AutoShape 10" o:spid="_x0000_s1060" style="position:absolute;left:21941;top:1800;width:14233;height:24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F5cQA&#10;AADcAAAADwAAAGRycy9kb3ducmV2LnhtbESPQWvCQBSE70L/w/IK3nRTKbFNXUMbKvRWTXrx9sg+&#10;k2D2bbq7avz33YLgcZiZb5hVPppenMn5zrKCp3kCgri2uuNGwU+1mb2A8AFZY2+ZFFzJQ75+mKww&#10;0/bCOzqXoRERwj5DBW0IQyalr1sy6Od2II7ewTqDIUrXSO3wEuGml4skSaXBjuNCiwMVLdXH8mQU&#10;/HbuY1NYt63TtPys/Pe+x2Gv1PRxfH8DEWgM9/Ct/aUVPC9f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nheXEAAAA3AAAAA8AAAAAAAAAAAAAAAAAmAIAAGRycy9k&#10;b3ducmV2LnhtbFBLBQYAAAAABAAEAPUAAACJAwAAAAA=&#10;" fillcolor="white [3201]" strokecolor="#f79646 [3209]" strokeweight="2pt">
                  <v:textbox>
                    <w:txbxContent>
                      <w:p w14:paraId="28514968" w14:textId="77777777" w:rsidR="00A65A8D" w:rsidRDefault="00A65A8D" w:rsidP="00336C16">
                        <w:pPr>
                          <w:pStyle w:val="prastasistinklapis"/>
                          <w:jc w:val="center"/>
                        </w:pPr>
                        <w:r>
                          <w:rPr>
                            <w:rFonts w:ascii="Calibri" w:eastAsia="Calibri" w:hAnsi="Calibri"/>
                            <w:b/>
                            <w:bCs/>
                            <w:sz w:val="16"/>
                            <w:szCs w:val="16"/>
                          </w:rPr>
                          <w:t>II STRUKTŪRA</w:t>
                        </w:r>
                      </w:p>
                    </w:txbxContent>
                  </v:textbox>
                </v:roundrect>
                <v:roundrect id="AutoShape 10" o:spid="_x0000_s1061" style="position:absolute;left:41104;top:1800;width:14233;height:24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o/cMA&#10;AADbAAAADwAAAGRycy9kb3ducmV2LnhtbESPwWrDMBBE74H8g9hAb7GcFExwo4Q2NNBbU7sX3xZr&#10;a5taK0dSbffvq0Ahx2Fm3jD742x6MZLznWUFmyQFQVxb3XGj4LM8r3cgfEDW2FsmBb/k4XhYLvaY&#10;azvxB41FaESEsM9RQRvCkEvp65YM+sQOxNH7ss5giNI1UjucItz0cpummTTYcVxocaBTS/V38WMU&#10;XDv3cj5Zd6mzrHgt/XvV41Ap9bCan59ABJrDPfzfftMKHrdw+xJ/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Wo/cMAAADbAAAADwAAAAAAAAAAAAAAAACYAgAAZHJzL2Rv&#10;d25yZXYueG1sUEsFBgAAAAAEAAQA9QAAAIgDAAAAAA==&#10;" fillcolor="white [3201]" strokecolor="#f79646 [3209]" strokeweight="2pt">
                  <v:textbox>
                    <w:txbxContent>
                      <w:p w14:paraId="4EB8B44A" w14:textId="77777777" w:rsidR="00A65A8D" w:rsidRDefault="00A65A8D" w:rsidP="00336C16">
                        <w:pPr>
                          <w:pStyle w:val="prastasistinklapis"/>
                          <w:jc w:val="center"/>
                        </w:pPr>
                        <w:r>
                          <w:rPr>
                            <w:rFonts w:ascii="Calibri" w:eastAsia="Calibri" w:hAnsi="Calibri"/>
                            <w:b/>
                            <w:bCs/>
                            <w:sz w:val="16"/>
                            <w:szCs w:val="16"/>
                          </w:rPr>
                          <w:t>III STRUKTŪRA</w:t>
                        </w:r>
                      </w:p>
                    </w:txbxContent>
                  </v:textbox>
                </v:roundrect>
                <v:shape id="AutoShape 26" o:spid="_x0000_s1062" type="#_x0000_t32" style="position:absolute;left:48210;top:9769;width:12;height:19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vNN8MAAADcAAAADwAAAGRycy9kb3ducmV2LnhtbERPTWvCQBC9F/wPywi91U1KkR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bzTfDAAAA3AAAAA8AAAAAAAAAAAAA&#10;AAAAoQIAAGRycy9kb3ducmV2LnhtbFBLBQYAAAAABAAEAPkAAACRAwAAAAA=&#10;">
                  <v:stroke endarrow="block"/>
                </v:shape>
                <v:oval id="Oval 165" o:spid="_x0000_s1063" style="position:absolute;left:4365;top:15954;width:11398;height:6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MOsMA&#10;AADcAAAADwAAAGRycy9kb3ducmV2LnhtbERPTWvCQBC9C/6HZYTedGNIRWJWKdJixENRe6i3MTsm&#10;odnZkN1q+u9doeBtHu9zslVvGnGlztWWFUwnEQjiwuqaSwVfx4/xHITzyBoby6TgjxyslsNBhqm2&#10;N97T9eBLEULYpaig8r5NpXRFRQbdxLbEgbvYzqAPsCul7vAWwk0j4yiaSYM1h4YKW1pXVPwcfo2C&#10;+PR53rXbZPPtE9dsdtsI5/m7Ui+j/m0BwlPvn+J/d67D/NkrPJ4JF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5MOsMAAADcAAAADwAAAAAAAAAAAAAAAACYAgAAZHJzL2Rv&#10;d25yZXYueG1sUEsFBgAAAAAEAAQA9QAAAIgDAAAAAA==&#10;" fillcolor="#ffc000" strokecolor="#974706">
                  <v:textbox>
                    <w:txbxContent>
                      <w:p w14:paraId="776FB9DE" w14:textId="77777777" w:rsidR="00A65A8D" w:rsidRDefault="00A65A8D" w:rsidP="001A5AF6">
                        <w:pPr>
                          <w:pStyle w:val="prastasistinklapis"/>
                          <w:spacing w:before="0" w:beforeAutospacing="0" w:after="200" w:afterAutospacing="0" w:line="276" w:lineRule="auto"/>
                          <w:jc w:val="center"/>
                        </w:pPr>
                        <w:r>
                          <w:rPr>
                            <w:rFonts w:ascii="Calibri" w:eastAsia="Calibri" w:hAnsi="Calibri"/>
                            <w:b/>
                            <w:bCs/>
                            <w:color w:val="FFFFFF"/>
                            <w:sz w:val="18"/>
                            <w:szCs w:val="18"/>
                            <w:lang w:val="lt-LT"/>
                          </w:rPr>
                          <w:t>Finansinė priemonė</w:t>
                        </w:r>
                      </w:p>
                      <w:p w14:paraId="143A7E6D" w14:textId="77777777" w:rsidR="00A65A8D" w:rsidRDefault="00A65A8D" w:rsidP="001A5AF6">
                        <w:pPr>
                          <w:pStyle w:val="prastasistinklapis"/>
                          <w:spacing w:before="0" w:beforeAutospacing="0" w:after="200" w:afterAutospacing="0" w:line="276" w:lineRule="auto"/>
                          <w:jc w:val="center"/>
                        </w:pPr>
                        <w:r>
                          <w:rPr>
                            <w:rFonts w:ascii="Calibri" w:eastAsia="Calibri" w:hAnsi="Calibri"/>
                            <w:b/>
                            <w:bCs/>
                            <w:color w:val="FFFFFF"/>
                            <w:sz w:val="22"/>
                            <w:szCs w:val="22"/>
                            <w:lang w:val="lt-LT"/>
                          </w:rPr>
                          <w:t> </w:t>
                        </w:r>
                      </w:p>
                    </w:txbxContent>
                  </v:textbox>
                </v:oval>
                <v:oval id="Oval 166" o:spid="_x0000_s1064" style="position:absolute;left:42495;top:15972;width:11399;height:6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STcQA&#10;AADcAAAADwAAAGRycy9kb3ducmV2LnhtbERPTWvCQBC9F/oflil4qxuDBIluQpGWKB5K1YPeptlp&#10;EpqdDdk1Sf99t1DwNo/3OZt8Mq0YqHeNZQWLeQSCuLS64UrB+fT2vALhPLLG1jIp+CEHefb4sMFU&#10;25E/aDj6SoQQdikqqL3vUildWZNBN7cdceC+bG/QB9hXUvc4hnDTyjiKEmmw4dBQY0fbmsrv480o&#10;iK/vn4duvywufuna4rCPcLV7VWr2NL2sQXia/F38797pMD9J4O+ZcIH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80k3EAAAA3AAAAA8AAAAAAAAAAAAAAAAAmAIAAGRycy9k&#10;b3ducmV2LnhtbFBLBQYAAAAABAAEAPUAAACJAwAAAAA=&#10;" fillcolor="#ffc000" strokecolor="#974706">
                  <v:textbox>
                    <w:txbxContent>
                      <w:p w14:paraId="5621665E" w14:textId="77777777" w:rsidR="00A65A8D" w:rsidRDefault="00A65A8D" w:rsidP="001A5AF6">
                        <w:pPr>
                          <w:pStyle w:val="prastasistinklapis"/>
                          <w:spacing w:before="0" w:beforeAutospacing="0" w:after="200" w:afterAutospacing="0" w:line="276" w:lineRule="auto"/>
                          <w:jc w:val="center"/>
                        </w:pPr>
                        <w:r>
                          <w:rPr>
                            <w:rFonts w:ascii="Calibri" w:eastAsia="Calibri" w:hAnsi="Calibri"/>
                            <w:b/>
                            <w:bCs/>
                            <w:color w:val="FFFFFF"/>
                            <w:sz w:val="18"/>
                            <w:szCs w:val="18"/>
                            <w:lang w:val="lt-LT"/>
                          </w:rPr>
                          <w:t>Finansinė priemonė</w:t>
                        </w:r>
                      </w:p>
                      <w:p w14:paraId="5A61093A" w14:textId="77777777" w:rsidR="00A65A8D" w:rsidRDefault="00A65A8D" w:rsidP="001A5AF6">
                        <w:pPr>
                          <w:pStyle w:val="prastasistinklapis"/>
                          <w:spacing w:before="0" w:beforeAutospacing="0" w:after="200" w:afterAutospacing="0" w:line="276" w:lineRule="auto"/>
                          <w:jc w:val="center"/>
                        </w:pPr>
                        <w:r>
                          <w:rPr>
                            <w:rFonts w:ascii="Calibri" w:eastAsia="Calibri" w:hAnsi="Calibri"/>
                            <w:b/>
                            <w:bCs/>
                            <w:color w:val="FFFFFF"/>
                            <w:sz w:val="22"/>
                            <w:szCs w:val="22"/>
                            <w:lang w:val="lt-LT"/>
                          </w:rPr>
                          <w:t> </w:t>
                        </w:r>
                      </w:p>
                    </w:txbxContent>
                  </v:textbox>
                </v:oval>
                <w10:anchorlock/>
              </v:group>
            </w:pict>
          </mc:Fallback>
        </mc:AlternateContent>
      </w:r>
    </w:p>
    <w:p w14:paraId="6E41987A" w14:textId="72C16003" w:rsidR="00931CAF" w:rsidRPr="00455941" w:rsidRDefault="00931CAF" w:rsidP="00931CAF">
      <w:pPr>
        <w:pStyle w:val="Antrat"/>
        <w:rPr>
          <w:lang w:val="lt-LT"/>
        </w:rPr>
      </w:pPr>
      <w:bookmarkStart w:id="21" w:name="_Toc417378280"/>
      <w:r w:rsidRPr="00455941">
        <w:rPr>
          <w:lang w:val="lt-LT"/>
        </w:rPr>
        <w:t xml:space="preserve">Paveikslas </w:t>
      </w:r>
      <w:r w:rsidRPr="00455941">
        <w:rPr>
          <w:lang w:val="lt-LT"/>
        </w:rPr>
        <w:fldChar w:fldCharType="begin"/>
      </w:r>
      <w:r w:rsidRPr="00455941">
        <w:rPr>
          <w:lang w:val="lt-LT"/>
        </w:rPr>
        <w:instrText xml:space="preserve"> SEQ Paveikslas \* ARABIC </w:instrText>
      </w:r>
      <w:r w:rsidRPr="00455941">
        <w:rPr>
          <w:lang w:val="lt-LT"/>
        </w:rPr>
        <w:fldChar w:fldCharType="separate"/>
      </w:r>
      <w:r w:rsidR="00AA3082">
        <w:rPr>
          <w:noProof/>
          <w:lang w:val="lt-LT"/>
        </w:rPr>
        <w:t>3</w:t>
      </w:r>
      <w:r w:rsidRPr="00455941">
        <w:rPr>
          <w:lang w:val="lt-LT"/>
        </w:rPr>
        <w:fldChar w:fldCharType="end"/>
      </w:r>
      <w:r w:rsidRPr="00455941">
        <w:rPr>
          <w:lang w:val="lt-LT"/>
        </w:rPr>
        <w:t>. Galimos finansinės priemonės įgyvendinimo struktūros.</w:t>
      </w:r>
      <w:bookmarkEnd w:id="21"/>
    </w:p>
    <w:p w14:paraId="658380BF" w14:textId="77777777" w:rsidR="00336C16" w:rsidRDefault="00873719" w:rsidP="00336C16">
      <w:pPr>
        <w:autoSpaceDE w:val="0"/>
        <w:autoSpaceDN w:val="0"/>
        <w:adjustRightInd w:val="0"/>
        <w:spacing w:after="0"/>
        <w:jc w:val="both"/>
        <w:rPr>
          <w:rFonts w:ascii="Georgia" w:hAnsi="Georgia" w:cs="Arial"/>
          <w:color w:val="000000"/>
          <w:sz w:val="20"/>
          <w:szCs w:val="20"/>
          <w:lang w:val="lt-LT"/>
        </w:rPr>
      </w:pPr>
      <w:r>
        <w:rPr>
          <w:rFonts w:ascii="Georgia" w:hAnsi="Georgia" w:cs="Arial"/>
          <w:color w:val="000000"/>
          <w:sz w:val="20"/>
          <w:szCs w:val="20"/>
          <w:lang w:val="lt-LT"/>
        </w:rPr>
        <w:t>Pirmoji</w:t>
      </w:r>
      <w:r w:rsidR="00336C16">
        <w:rPr>
          <w:rFonts w:ascii="Georgia" w:hAnsi="Georgia" w:cs="Arial"/>
          <w:color w:val="000000"/>
          <w:sz w:val="20"/>
          <w:szCs w:val="20"/>
          <w:lang w:val="lt-LT"/>
        </w:rPr>
        <w:t xml:space="preserve"> struktūra vadovaujančiai institucijai suteikia galimybę tiesiogiai įgyvendinti finansinę priemonę. Tai yra naudinga tais atvejais, kai jai reikia finansuoti didelių, pavienių projektų įgyvendinimą, nes leidžia sutaupyti daug laiko ir resursų dėl tiesioginio valdymo galimybės. Šios alternatyvos trūkumai</w:t>
      </w:r>
      <w:r w:rsidR="001C20A9">
        <w:rPr>
          <w:rFonts w:ascii="Georgia" w:hAnsi="Georgia" w:cs="Arial"/>
          <w:color w:val="000000"/>
          <w:sz w:val="20"/>
          <w:szCs w:val="20"/>
          <w:lang w:val="lt-LT"/>
        </w:rPr>
        <w:t xml:space="preserve"> – </w:t>
      </w:r>
      <w:r w:rsidR="00336C16">
        <w:rPr>
          <w:rFonts w:ascii="Georgia" w:hAnsi="Georgia" w:cs="Arial"/>
          <w:color w:val="000000"/>
          <w:sz w:val="20"/>
          <w:szCs w:val="20"/>
          <w:lang w:val="lt-LT"/>
        </w:rPr>
        <w:t>ją</w:t>
      </w:r>
      <w:r w:rsidR="001C20A9">
        <w:rPr>
          <w:rFonts w:ascii="Georgia" w:hAnsi="Georgia" w:cs="Arial"/>
          <w:color w:val="000000"/>
          <w:sz w:val="20"/>
          <w:szCs w:val="20"/>
          <w:lang w:val="lt-LT"/>
        </w:rPr>
        <w:t xml:space="preserve"> </w:t>
      </w:r>
      <w:r w:rsidR="00336C16">
        <w:rPr>
          <w:rFonts w:ascii="Georgia" w:hAnsi="Georgia" w:cs="Arial"/>
          <w:color w:val="000000"/>
          <w:sz w:val="20"/>
          <w:szCs w:val="20"/>
          <w:lang w:val="lt-LT"/>
        </w:rPr>
        <w:t>sunku įgyvendinti praktikoje kai projektas turi daug galutinių paramos gavėjų, pavyzdžiui</w:t>
      </w:r>
      <w:r w:rsidR="001C20A9">
        <w:rPr>
          <w:rFonts w:ascii="Georgia" w:hAnsi="Georgia" w:cs="Arial"/>
          <w:color w:val="000000"/>
          <w:sz w:val="20"/>
          <w:szCs w:val="20"/>
          <w:lang w:val="lt-LT"/>
        </w:rPr>
        <w:t>,</w:t>
      </w:r>
      <w:r w:rsidR="00336C16">
        <w:rPr>
          <w:rFonts w:ascii="Georgia" w:hAnsi="Georgia" w:cs="Arial"/>
          <w:color w:val="000000"/>
          <w:sz w:val="20"/>
          <w:szCs w:val="20"/>
          <w:lang w:val="lt-LT"/>
        </w:rPr>
        <w:t xml:space="preserve"> daugiabučių </w:t>
      </w:r>
      <w:r w:rsidR="001C20A9">
        <w:rPr>
          <w:rFonts w:ascii="Georgia" w:hAnsi="Georgia" w:cs="Arial"/>
          <w:color w:val="000000"/>
          <w:sz w:val="20"/>
          <w:szCs w:val="20"/>
          <w:lang w:val="lt-LT"/>
        </w:rPr>
        <w:t xml:space="preserve">modernizavimo </w:t>
      </w:r>
      <w:r w:rsidR="00336C16">
        <w:rPr>
          <w:rFonts w:ascii="Georgia" w:hAnsi="Georgia" w:cs="Arial"/>
          <w:color w:val="000000"/>
          <w:sz w:val="20"/>
          <w:szCs w:val="20"/>
          <w:lang w:val="lt-LT"/>
        </w:rPr>
        <w:t xml:space="preserve">atveju, taip pat visas funkcijas turi atlikti pati vadovaujančioji institucija (tarp įgyvendinamų funkcijų būtina paminėti ir lėšų surinkimą paskolų atveju, kuris gali užsitęsti ilgiau nei konkretaus periodo išlaidų tinkamumo laikotarpis). Ši alternatyva turi labai ribotas galimybes užtikrinti papildomų lėšų pritraukimą. Šios alternatyvos atveju </w:t>
      </w:r>
      <w:r w:rsidR="001C20A9">
        <w:rPr>
          <w:rFonts w:ascii="Georgia" w:hAnsi="Georgia" w:cs="Arial"/>
          <w:color w:val="000000"/>
          <w:sz w:val="20"/>
          <w:szCs w:val="20"/>
          <w:lang w:val="lt-LT"/>
        </w:rPr>
        <w:t>v</w:t>
      </w:r>
      <w:r w:rsidR="00336C16">
        <w:rPr>
          <w:rFonts w:ascii="Georgia" w:hAnsi="Georgia" w:cs="Arial"/>
          <w:color w:val="000000"/>
          <w:sz w:val="20"/>
          <w:szCs w:val="20"/>
          <w:lang w:val="lt-LT"/>
        </w:rPr>
        <w:t>adovaujančioji institucija yra laikoma paramos gavėju.</w:t>
      </w:r>
    </w:p>
    <w:p w14:paraId="00EF061E" w14:textId="77777777" w:rsidR="00336C16" w:rsidRDefault="00336C16" w:rsidP="00336C16">
      <w:pPr>
        <w:autoSpaceDE w:val="0"/>
        <w:autoSpaceDN w:val="0"/>
        <w:adjustRightInd w:val="0"/>
        <w:spacing w:after="0"/>
        <w:jc w:val="both"/>
        <w:rPr>
          <w:rFonts w:ascii="Georgia" w:hAnsi="Georgia" w:cs="Arial"/>
          <w:color w:val="000000"/>
          <w:sz w:val="20"/>
          <w:szCs w:val="20"/>
          <w:lang w:val="lt-LT"/>
        </w:rPr>
      </w:pPr>
    </w:p>
    <w:p w14:paraId="6CCA617F" w14:textId="77777777" w:rsidR="00336C16" w:rsidRDefault="00336C16" w:rsidP="00336C16">
      <w:pPr>
        <w:autoSpaceDE w:val="0"/>
        <w:autoSpaceDN w:val="0"/>
        <w:adjustRightInd w:val="0"/>
        <w:spacing w:after="0"/>
        <w:jc w:val="both"/>
        <w:rPr>
          <w:rFonts w:ascii="Georgia" w:hAnsi="Georgia" w:cs="Arial"/>
          <w:color w:val="000000"/>
          <w:sz w:val="20"/>
          <w:szCs w:val="20"/>
          <w:lang w:val="lt-LT"/>
        </w:rPr>
      </w:pPr>
      <w:r>
        <w:rPr>
          <w:rFonts w:ascii="Georgia" w:hAnsi="Georgia" w:cs="Arial"/>
          <w:color w:val="000000"/>
          <w:sz w:val="20"/>
          <w:szCs w:val="20"/>
          <w:lang w:val="lt-LT"/>
        </w:rPr>
        <w:t>Pagal antrą</w:t>
      </w:r>
      <w:r w:rsidR="001C20A9">
        <w:rPr>
          <w:rFonts w:ascii="Georgia" w:hAnsi="Georgia" w:cs="Arial"/>
          <w:color w:val="000000"/>
          <w:sz w:val="20"/>
          <w:szCs w:val="20"/>
          <w:lang w:val="lt-LT"/>
        </w:rPr>
        <w:t>ją</w:t>
      </w:r>
      <w:r>
        <w:rPr>
          <w:rFonts w:ascii="Georgia" w:hAnsi="Georgia" w:cs="Arial"/>
          <w:color w:val="000000"/>
          <w:sz w:val="20"/>
          <w:szCs w:val="20"/>
          <w:lang w:val="lt-LT"/>
        </w:rPr>
        <w:t xml:space="preserve"> struktūrą finansinė priemonė yra įgyvendinama per finansinių priemonių valdytojus. Vadovaujančioji institucija pastaruosius atrenka, t.y. paveda vykdyti tam tikras užduotis aukščiau nurodytais </w:t>
      </w:r>
      <w:r w:rsidR="00E731B2">
        <w:rPr>
          <w:rFonts w:ascii="Georgia" w:hAnsi="Georgia" w:cs="Arial"/>
          <w:color w:val="000000"/>
          <w:sz w:val="20"/>
          <w:szCs w:val="20"/>
          <w:lang w:val="lt-LT"/>
        </w:rPr>
        <w:t xml:space="preserve">Bendrųjų </w:t>
      </w:r>
      <w:r>
        <w:rPr>
          <w:rFonts w:ascii="Georgia" w:hAnsi="Georgia" w:cs="Arial"/>
          <w:color w:val="000000"/>
          <w:sz w:val="20"/>
          <w:szCs w:val="20"/>
          <w:lang w:val="lt-LT"/>
        </w:rPr>
        <w:t>nuostatų reglamento 38</w:t>
      </w:r>
      <w:r w:rsidR="001C20A9">
        <w:rPr>
          <w:rFonts w:ascii="Georgia" w:hAnsi="Georgia" w:cs="Arial"/>
          <w:color w:val="000000"/>
          <w:sz w:val="20"/>
          <w:szCs w:val="20"/>
          <w:lang w:val="lt-LT"/>
        </w:rPr>
        <w:t>.</w:t>
      </w:r>
      <w:r>
        <w:rPr>
          <w:rFonts w:ascii="Georgia" w:hAnsi="Georgia" w:cs="Arial"/>
          <w:color w:val="000000"/>
          <w:sz w:val="20"/>
          <w:szCs w:val="20"/>
          <w:lang w:val="lt-LT"/>
        </w:rPr>
        <w:t>4</w:t>
      </w:r>
      <w:r w:rsidR="001C20A9">
        <w:rPr>
          <w:rFonts w:ascii="Georgia" w:hAnsi="Georgia" w:cs="Arial"/>
          <w:color w:val="000000"/>
          <w:sz w:val="20"/>
          <w:szCs w:val="20"/>
          <w:lang w:val="lt-LT"/>
        </w:rPr>
        <w:t xml:space="preserve"> (a) – (c) </w:t>
      </w:r>
      <w:r>
        <w:rPr>
          <w:rFonts w:ascii="Georgia" w:hAnsi="Georgia" w:cs="Arial"/>
          <w:color w:val="000000"/>
          <w:sz w:val="20"/>
          <w:szCs w:val="20"/>
          <w:lang w:val="lt-LT"/>
        </w:rPr>
        <w:t>punkt</w:t>
      </w:r>
      <w:r w:rsidR="001C20A9">
        <w:rPr>
          <w:rFonts w:ascii="Georgia" w:hAnsi="Georgia" w:cs="Arial"/>
          <w:color w:val="000000"/>
          <w:sz w:val="20"/>
          <w:szCs w:val="20"/>
          <w:lang w:val="lt-LT"/>
        </w:rPr>
        <w:t>uose</w:t>
      </w:r>
      <w:r>
        <w:rPr>
          <w:rFonts w:ascii="Georgia" w:hAnsi="Georgia" w:cs="Arial"/>
          <w:color w:val="000000"/>
          <w:sz w:val="20"/>
          <w:szCs w:val="20"/>
          <w:lang w:val="lt-LT"/>
        </w:rPr>
        <w:t xml:space="preserve"> nurodytais būdais. Pagrindinis jos apribojimas, kad vadovaujantis Bendr</w:t>
      </w:r>
      <w:r w:rsidR="00E731B2">
        <w:rPr>
          <w:rFonts w:ascii="Georgia" w:hAnsi="Georgia" w:cs="Arial"/>
          <w:color w:val="000000"/>
          <w:sz w:val="20"/>
          <w:szCs w:val="20"/>
          <w:lang w:val="lt-LT"/>
        </w:rPr>
        <w:t>ųjų</w:t>
      </w:r>
      <w:r>
        <w:rPr>
          <w:rFonts w:ascii="Georgia" w:hAnsi="Georgia" w:cs="Arial"/>
          <w:color w:val="000000"/>
          <w:sz w:val="20"/>
          <w:szCs w:val="20"/>
          <w:lang w:val="lt-LT"/>
        </w:rPr>
        <w:t xml:space="preserve"> nuostatų reglamento 38</w:t>
      </w:r>
      <w:r w:rsidR="001C20A9">
        <w:rPr>
          <w:rFonts w:ascii="Georgia" w:hAnsi="Georgia" w:cs="Arial"/>
          <w:color w:val="000000"/>
          <w:sz w:val="20"/>
          <w:szCs w:val="20"/>
          <w:lang w:val="lt-LT"/>
        </w:rPr>
        <w:t>.</w:t>
      </w:r>
      <w:r>
        <w:rPr>
          <w:rFonts w:ascii="Georgia" w:hAnsi="Georgia" w:cs="Arial"/>
          <w:color w:val="000000"/>
          <w:sz w:val="20"/>
          <w:szCs w:val="20"/>
          <w:lang w:val="lt-LT"/>
        </w:rPr>
        <w:t xml:space="preserve">5 </w:t>
      </w:r>
      <w:r w:rsidR="001C20A9">
        <w:rPr>
          <w:rFonts w:ascii="Georgia" w:hAnsi="Georgia" w:cs="Arial"/>
          <w:color w:val="000000"/>
          <w:sz w:val="20"/>
          <w:szCs w:val="20"/>
          <w:lang w:val="lt-LT"/>
        </w:rPr>
        <w:t xml:space="preserve">punktu </w:t>
      </w:r>
      <w:r>
        <w:rPr>
          <w:rFonts w:ascii="Georgia" w:hAnsi="Georgia" w:cs="Arial"/>
          <w:color w:val="000000"/>
          <w:sz w:val="20"/>
          <w:szCs w:val="20"/>
          <w:lang w:val="lt-LT"/>
        </w:rPr>
        <w:t xml:space="preserve">nėra galimybės priemonės įgyvendinimui pasitelkti finansinių tarpininkų, tokia galimybė minima tik </w:t>
      </w:r>
      <w:r w:rsidR="001C20A9">
        <w:rPr>
          <w:rFonts w:ascii="Georgia" w:hAnsi="Georgia" w:cs="Arial"/>
          <w:color w:val="000000"/>
          <w:sz w:val="20"/>
          <w:szCs w:val="20"/>
          <w:lang w:val="lt-LT"/>
        </w:rPr>
        <w:t>f</w:t>
      </w:r>
      <w:r>
        <w:rPr>
          <w:rFonts w:ascii="Georgia" w:hAnsi="Georgia" w:cs="Arial"/>
          <w:color w:val="000000"/>
          <w:sz w:val="20"/>
          <w:szCs w:val="20"/>
          <w:lang w:val="lt-LT"/>
        </w:rPr>
        <w:t xml:space="preserve">ondų fondo steigimo atveju. Ši alternatyva yra galimybė įgyvendinti finansinę priemonę kai viena institucija gali užtikrinti visos finansinės priemonės įgyvendinimą (projektų atranką ir finansavimą) ir kai tikėtinas papildomų lėšų pritraukimas gali būti užtikrinamas </w:t>
      </w:r>
      <w:r w:rsidR="009E2E51">
        <w:rPr>
          <w:rFonts w:ascii="Georgia" w:hAnsi="Georgia" w:cs="Arial"/>
          <w:color w:val="000000"/>
          <w:sz w:val="20"/>
          <w:szCs w:val="20"/>
          <w:lang w:val="lt-LT"/>
        </w:rPr>
        <w:t xml:space="preserve">tuo pačiu </w:t>
      </w:r>
      <w:r>
        <w:rPr>
          <w:rFonts w:ascii="Georgia" w:hAnsi="Georgia" w:cs="Arial"/>
          <w:color w:val="000000"/>
          <w:sz w:val="20"/>
          <w:szCs w:val="20"/>
          <w:lang w:val="lt-LT"/>
        </w:rPr>
        <w:t xml:space="preserve">būdu. </w:t>
      </w:r>
    </w:p>
    <w:p w14:paraId="2B0B329C" w14:textId="77777777" w:rsidR="00336C16" w:rsidRDefault="00336C16" w:rsidP="00336C16">
      <w:pPr>
        <w:autoSpaceDE w:val="0"/>
        <w:autoSpaceDN w:val="0"/>
        <w:adjustRightInd w:val="0"/>
        <w:spacing w:after="0"/>
        <w:jc w:val="both"/>
        <w:rPr>
          <w:rFonts w:ascii="Georgia" w:hAnsi="Georgia" w:cs="Arial"/>
          <w:color w:val="000000"/>
          <w:sz w:val="20"/>
          <w:szCs w:val="20"/>
          <w:lang w:val="lt-LT"/>
        </w:rPr>
      </w:pPr>
    </w:p>
    <w:p w14:paraId="67A15838" w14:textId="77777777" w:rsidR="00336C16" w:rsidRDefault="00336C16" w:rsidP="00336C16">
      <w:pPr>
        <w:autoSpaceDE w:val="0"/>
        <w:autoSpaceDN w:val="0"/>
        <w:adjustRightInd w:val="0"/>
        <w:spacing w:after="0"/>
        <w:jc w:val="both"/>
        <w:rPr>
          <w:rFonts w:ascii="Georgia" w:hAnsi="Georgia" w:cs="Arial"/>
          <w:color w:val="000000"/>
          <w:sz w:val="20"/>
          <w:szCs w:val="20"/>
          <w:lang w:val="lt-LT"/>
        </w:rPr>
      </w:pPr>
      <w:r>
        <w:rPr>
          <w:rFonts w:ascii="Georgia" w:hAnsi="Georgia" w:cs="Arial"/>
          <w:color w:val="000000"/>
          <w:sz w:val="20"/>
          <w:szCs w:val="20"/>
          <w:lang w:val="lt-LT"/>
        </w:rPr>
        <w:t xml:space="preserve">Trečioji struktūra leidžia vadovaujančiai institucijai įgyvendinti finansinę priemonę pasinaudojant fondų fondo valdytojo pagalba. </w:t>
      </w:r>
      <w:r w:rsidR="009E2E51">
        <w:rPr>
          <w:rFonts w:ascii="Georgia" w:hAnsi="Georgia" w:cs="Arial"/>
          <w:color w:val="000000"/>
          <w:sz w:val="20"/>
          <w:szCs w:val="20"/>
          <w:lang w:val="lt-LT"/>
        </w:rPr>
        <w:t>Kaip nustatyta</w:t>
      </w:r>
      <w:r>
        <w:rPr>
          <w:rFonts w:ascii="Georgia" w:hAnsi="Georgia" w:cs="Arial"/>
          <w:color w:val="000000"/>
          <w:sz w:val="20"/>
          <w:szCs w:val="20"/>
          <w:lang w:val="lt-LT"/>
        </w:rPr>
        <w:t xml:space="preserve"> Bendr</w:t>
      </w:r>
      <w:r w:rsidR="00E731B2">
        <w:rPr>
          <w:rFonts w:ascii="Georgia" w:hAnsi="Georgia" w:cs="Arial"/>
          <w:color w:val="000000"/>
          <w:sz w:val="20"/>
          <w:szCs w:val="20"/>
          <w:lang w:val="lt-LT"/>
        </w:rPr>
        <w:t>ųjų</w:t>
      </w:r>
      <w:r>
        <w:rPr>
          <w:rFonts w:ascii="Georgia" w:hAnsi="Georgia" w:cs="Arial"/>
          <w:color w:val="000000"/>
          <w:sz w:val="20"/>
          <w:szCs w:val="20"/>
          <w:lang w:val="lt-LT"/>
        </w:rPr>
        <w:t xml:space="preserve"> nuostatų reglamento 38.4(b)</w:t>
      </w:r>
      <w:r w:rsidR="009E2E51">
        <w:rPr>
          <w:rFonts w:ascii="Georgia" w:hAnsi="Georgia" w:cs="Arial"/>
          <w:color w:val="000000"/>
          <w:sz w:val="20"/>
          <w:szCs w:val="20"/>
          <w:lang w:val="lt-LT"/>
        </w:rPr>
        <w:t xml:space="preserve"> punkte, </w:t>
      </w:r>
      <w:r>
        <w:rPr>
          <w:rFonts w:ascii="Georgia" w:hAnsi="Georgia" w:cs="Arial"/>
          <w:color w:val="000000"/>
          <w:sz w:val="20"/>
          <w:szCs w:val="20"/>
          <w:lang w:val="lt-LT"/>
        </w:rPr>
        <w:t>vadovaujančiajai institucijai yra sudarytos kelios galimybės atrinkti fondų fondo valdytoją</w:t>
      </w:r>
      <w:r w:rsidR="009E2E51">
        <w:rPr>
          <w:rFonts w:ascii="Georgia" w:hAnsi="Georgia" w:cs="Arial"/>
          <w:color w:val="000000"/>
          <w:sz w:val="20"/>
          <w:szCs w:val="20"/>
          <w:lang w:val="lt-LT"/>
        </w:rPr>
        <w:t xml:space="preserve">. </w:t>
      </w:r>
      <w:r>
        <w:rPr>
          <w:rFonts w:ascii="Georgia" w:hAnsi="Georgia" w:cs="Arial"/>
          <w:color w:val="000000"/>
          <w:sz w:val="20"/>
          <w:szCs w:val="20"/>
          <w:lang w:val="lt-LT"/>
        </w:rPr>
        <w:t xml:space="preserve">Šios alternatyvos atveju yra plačiausios galimybės įgyvendinti ir derinti skirtingas finansines priemones pasitelkiant </w:t>
      </w:r>
      <w:r w:rsidR="009E2E51">
        <w:rPr>
          <w:rFonts w:ascii="Georgia" w:hAnsi="Georgia" w:cs="Arial"/>
          <w:color w:val="000000"/>
          <w:sz w:val="20"/>
          <w:szCs w:val="20"/>
          <w:lang w:val="lt-LT"/>
        </w:rPr>
        <w:t>f</w:t>
      </w:r>
      <w:r>
        <w:rPr>
          <w:rFonts w:ascii="Georgia" w:hAnsi="Georgia" w:cs="Arial"/>
          <w:color w:val="000000"/>
          <w:sz w:val="20"/>
          <w:szCs w:val="20"/>
          <w:lang w:val="lt-LT"/>
        </w:rPr>
        <w:t xml:space="preserve">ondų fondo valdytoją. </w:t>
      </w:r>
      <w:r w:rsidR="009E2E51">
        <w:rPr>
          <w:rFonts w:ascii="Georgia" w:hAnsi="Georgia" w:cs="Arial"/>
          <w:color w:val="000000"/>
          <w:sz w:val="20"/>
          <w:szCs w:val="20"/>
          <w:lang w:val="lt-LT"/>
        </w:rPr>
        <w:t>Ši alternatyva taip pat leidžia</w:t>
      </w:r>
      <w:r>
        <w:rPr>
          <w:rFonts w:ascii="Georgia" w:hAnsi="Georgia" w:cs="Arial"/>
          <w:color w:val="000000"/>
          <w:sz w:val="20"/>
          <w:szCs w:val="20"/>
          <w:lang w:val="lt-LT"/>
        </w:rPr>
        <w:t xml:space="preserve"> ieškoti tinkamiausio</w:t>
      </w:r>
      <w:r w:rsidR="009E2E51">
        <w:rPr>
          <w:rFonts w:ascii="Georgia" w:hAnsi="Georgia" w:cs="Arial"/>
          <w:color w:val="000000"/>
          <w:sz w:val="20"/>
          <w:szCs w:val="20"/>
          <w:lang w:val="lt-LT"/>
        </w:rPr>
        <w:t>s</w:t>
      </w:r>
      <w:r>
        <w:rPr>
          <w:rFonts w:ascii="Georgia" w:hAnsi="Georgia" w:cs="Arial"/>
          <w:color w:val="000000"/>
          <w:sz w:val="20"/>
          <w:szCs w:val="20"/>
          <w:lang w:val="lt-LT"/>
        </w:rPr>
        <w:t xml:space="preserve"> konkrečios finansinės priemonės įgyvendinimo schemos, kadangi </w:t>
      </w:r>
      <w:r w:rsidR="009E2E51">
        <w:rPr>
          <w:rFonts w:ascii="Georgia" w:hAnsi="Georgia" w:cs="Arial"/>
          <w:color w:val="000000"/>
          <w:sz w:val="20"/>
          <w:szCs w:val="20"/>
          <w:lang w:val="lt-LT"/>
        </w:rPr>
        <w:t>f</w:t>
      </w:r>
      <w:r>
        <w:rPr>
          <w:rFonts w:ascii="Georgia" w:hAnsi="Georgia" w:cs="Arial"/>
          <w:color w:val="000000"/>
          <w:sz w:val="20"/>
          <w:szCs w:val="20"/>
          <w:lang w:val="lt-LT"/>
        </w:rPr>
        <w:t>ondų fondo valdytojas gali finansines priemones įgyvendinti pats tiesiogiai arba dalį įgyvendinimo užduočių pavesti vykdyt</w:t>
      </w:r>
      <w:r w:rsidR="009E2E51">
        <w:rPr>
          <w:rFonts w:ascii="Georgia" w:hAnsi="Georgia" w:cs="Arial"/>
          <w:color w:val="000000"/>
          <w:sz w:val="20"/>
          <w:szCs w:val="20"/>
          <w:lang w:val="lt-LT"/>
        </w:rPr>
        <w:t>i</w:t>
      </w:r>
      <w:r>
        <w:rPr>
          <w:rFonts w:ascii="Georgia" w:hAnsi="Georgia" w:cs="Arial"/>
          <w:color w:val="000000"/>
          <w:sz w:val="20"/>
          <w:szCs w:val="20"/>
          <w:lang w:val="lt-LT"/>
        </w:rPr>
        <w:t xml:space="preserve"> finansiniams tarpininkams</w:t>
      </w:r>
      <w:r w:rsidR="009E2E51">
        <w:rPr>
          <w:rFonts w:ascii="Georgia" w:hAnsi="Georgia" w:cs="Arial"/>
          <w:color w:val="000000"/>
          <w:sz w:val="20"/>
          <w:szCs w:val="20"/>
          <w:lang w:val="lt-LT"/>
        </w:rPr>
        <w:t xml:space="preserve"> (kaip tai numatyta Bendrųjų nuostatų reglamento 38.5 punkte), be to, fondų fondo valdytojas gali derinti skirtingas finansines priemones</w:t>
      </w:r>
      <w:r>
        <w:rPr>
          <w:rFonts w:ascii="Georgia" w:hAnsi="Georgia" w:cs="Arial"/>
          <w:color w:val="000000"/>
          <w:sz w:val="20"/>
          <w:szCs w:val="20"/>
          <w:lang w:val="lt-LT"/>
        </w:rPr>
        <w:t xml:space="preserve">. Tiesioginis (be finansinių tarpininkų) užduočių </w:t>
      </w:r>
      <w:r>
        <w:rPr>
          <w:rFonts w:ascii="Georgia" w:hAnsi="Georgia" w:cs="Arial"/>
          <w:color w:val="000000"/>
          <w:sz w:val="20"/>
          <w:szCs w:val="20"/>
          <w:lang w:val="lt-LT"/>
        </w:rPr>
        <w:lastRenderedPageBreak/>
        <w:t>vykdymas tikslingas tuomet, kai finansiniai tarpininkai nedalyvauja savo lėšomis, kai finansiniai tarpininkai nesuinteresuoti finansinės priemonės įgyvendinimu arba kai yra rinkos nepakankamumas, t.y. finansiniai tarpininkai nepadengia visos numatytos finansinės priemonės įgyvendinimo.</w:t>
      </w:r>
    </w:p>
    <w:p w14:paraId="33C25C79" w14:textId="77777777" w:rsidR="00336C16" w:rsidRDefault="00336C16" w:rsidP="00336C16">
      <w:pPr>
        <w:autoSpaceDE w:val="0"/>
        <w:autoSpaceDN w:val="0"/>
        <w:adjustRightInd w:val="0"/>
        <w:spacing w:after="0" w:line="240" w:lineRule="auto"/>
        <w:jc w:val="both"/>
        <w:rPr>
          <w:rFonts w:ascii="Georgia" w:hAnsi="Georgia" w:cs="Arial"/>
          <w:color w:val="000000"/>
          <w:sz w:val="20"/>
          <w:szCs w:val="20"/>
          <w:lang w:val="lt-LT"/>
        </w:rPr>
      </w:pPr>
    </w:p>
    <w:p w14:paraId="426258A9" w14:textId="77777777" w:rsidR="00336C16" w:rsidRDefault="00336C16" w:rsidP="00336C16">
      <w:pPr>
        <w:rPr>
          <w:lang w:val="lt-LT"/>
        </w:rPr>
      </w:pPr>
      <w:r>
        <w:rPr>
          <w:lang w:val="lt-LT"/>
        </w:rPr>
        <w:br w:type="page"/>
      </w:r>
    </w:p>
    <w:p w14:paraId="51F028E7" w14:textId="77777777" w:rsidR="00336C16" w:rsidRDefault="00336C16" w:rsidP="00C03122">
      <w:pPr>
        <w:pStyle w:val="Antrat1"/>
        <w:numPr>
          <w:ilvl w:val="0"/>
          <w:numId w:val="36"/>
        </w:numPr>
        <w:rPr>
          <w:lang w:val="lt-LT"/>
        </w:rPr>
      </w:pPr>
      <w:bookmarkStart w:id="22" w:name="_Toc417378362"/>
      <w:r>
        <w:rPr>
          <w:lang w:val="lt-LT"/>
        </w:rPr>
        <w:lastRenderedPageBreak/>
        <w:t>Rinkos trūkumų/nepakankamumų analizė ir priežastys</w:t>
      </w:r>
      <w:bookmarkEnd w:id="22"/>
    </w:p>
    <w:p w14:paraId="055E1A23" w14:textId="77777777" w:rsidR="00336C16" w:rsidRDefault="00336C16" w:rsidP="00C03122">
      <w:pPr>
        <w:pStyle w:val="Antrat2"/>
        <w:numPr>
          <w:ilvl w:val="1"/>
          <w:numId w:val="36"/>
        </w:numPr>
        <w:ind w:left="1134"/>
        <w:rPr>
          <w:lang w:val="lt-LT"/>
        </w:rPr>
      </w:pPr>
      <w:bookmarkStart w:id="23" w:name="_Toc417378363"/>
      <w:r>
        <w:rPr>
          <w:lang w:val="lt-LT"/>
        </w:rPr>
        <w:t>Sektoriaus infrastruktūros, naudojamos viešųjų paslaugų teikimui, apžvalga</w:t>
      </w:r>
      <w:bookmarkEnd w:id="23"/>
      <w:r>
        <w:rPr>
          <w:lang w:val="lt-LT"/>
        </w:rPr>
        <w:t xml:space="preserve"> </w:t>
      </w:r>
    </w:p>
    <w:p w14:paraId="061D59A1" w14:textId="77777777" w:rsidR="00336C16" w:rsidRDefault="00336C16" w:rsidP="00C03122">
      <w:pPr>
        <w:pStyle w:val="Antrat2"/>
        <w:numPr>
          <w:ilvl w:val="2"/>
          <w:numId w:val="36"/>
        </w:numPr>
        <w:ind w:left="1134" w:hanging="708"/>
        <w:rPr>
          <w:lang w:val="lt-LT"/>
        </w:rPr>
      </w:pPr>
      <w:bookmarkStart w:id="24" w:name="_Toc417378364"/>
      <w:r>
        <w:rPr>
          <w:lang w:val="lt-LT"/>
        </w:rPr>
        <w:t>Viešieji pastatai</w:t>
      </w:r>
      <w:bookmarkEnd w:id="24"/>
    </w:p>
    <w:p w14:paraId="2F042FB5" w14:textId="77777777" w:rsidR="00336C16" w:rsidRDefault="00336C16" w:rsidP="00336C16">
      <w:pPr>
        <w:widowControl w:val="0"/>
        <w:tabs>
          <w:tab w:val="left" w:pos="9638"/>
        </w:tabs>
        <w:overflowPunct w:val="0"/>
        <w:autoSpaceDE w:val="0"/>
        <w:autoSpaceDN w:val="0"/>
        <w:adjustRightInd w:val="0"/>
        <w:spacing w:after="0"/>
        <w:ind w:right="-1" w:firstLine="720"/>
        <w:jc w:val="both"/>
        <w:rPr>
          <w:rFonts w:ascii="Georgia" w:hAnsi="Georgia"/>
          <w:bCs/>
          <w:i/>
          <w:sz w:val="24"/>
          <w:szCs w:val="24"/>
          <w:lang w:val="lt-LT"/>
        </w:rPr>
      </w:pPr>
    </w:p>
    <w:p w14:paraId="4EA711C3" w14:textId="77777777" w:rsidR="008E6592" w:rsidRDefault="008E6592" w:rsidP="008E6592">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Pagrindinis informacijos šaltinis apie viešosios paskirties pastatų sektorių Lietuvoje (t. y. pastatų nuosavybę, statybos metus, išorinio pastato atitvaro projekto tipą) yra nekilnojamojo turto registras, kurio duomenis tvarko bei teikia Valstybės įmonė Registrų centras. </w:t>
      </w:r>
    </w:p>
    <w:p w14:paraId="7A614BF7" w14:textId="77777777" w:rsidR="008E6592" w:rsidRDefault="008E6592" w:rsidP="008E6592">
      <w:pPr>
        <w:autoSpaceDE w:val="0"/>
        <w:autoSpaceDN w:val="0"/>
        <w:adjustRightInd w:val="0"/>
        <w:spacing w:after="0"/>
        <w:jc w:val="both"/>
        <w:rPr>
          <w:rFonts w:ascii="Georgia" w:hAnsi="Georgia" w:cs="Georgia"/>
          <w:sz w:val="20"/>
          <w:szCs w:val="20"/>
          <w:lang w:val="lt-LT"/>
        </w:rPr>
      </w:pPr>
    </w:p>
    <w:p w14:paraId="01AC32AD" w14:textId="77777777" w:rsidR="008E6592" w:rsidRDefault="001E4B4F" w:rsidP="008E6592">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Žemiau esančioje lentelėje, </w:t>
      </w:r>
      <w:r w:rsidR="008E6592">
        <w:rPr>
          <w:rFonts w:ascii="Georgia" w:hAnsi="Georgia" w:cs="Georgia"/>
          <w:sz w:val="20"/>
          <w:szCs w:val="20"/>
          <w:lang w:val="lt-LT"/>
        </w:rPr>
        <w:t>2014 m. Registrų centro duomenimis</w:t>
      </w:r>
      <w:r w:rsidR="008235B8">
        <w:rPr>
          <w:rFonts w:ascii="Georgia" w:hAnsi="Georgia" w:cs="Georgia"/>
          <w:sz w:val="20"/>
          <w:szCs w:val="20"/>
          <w:lang w:val="lt-LT"/>
        </w:rPr>
        <w:t xml:space="preserve">, </w:t>
      </w:r>
      <w:r w:rsidR="008E6592">
        <w:rPr>
          <w:rFonts w:ascii="Georgia" w:hAnsi="Georgia" w:cs="Georgia"/>
          <w:sz w:val="20"/>
          <w:szCs w:val="20"/>
          <w:lang w:val="lt-LT"/>
        </w:rPr>
        <w:t>2014 m. sausio 1 d. valstybei priklausė 5531 pastatai, savivaldybėms – 7592 pastatai, kitiems savininkams – 28 634 pastatai. Taigi valstybei ir savivaldybėms nuosavybės teise priklauso apie 31 % visų viešųjų pastatų Lietuvoje.  Pagal pateiktus duomenis vidutinis valstybės ir savivaldybių nuosavybės teise valdomo pastato dydis yra apie 1127 m</w:t>
      </w:r>
      <w:r w:rsidR="008E6592">
        <w:rPr>
          <w:rFonts w:ascii="Georgia" w:hAnsi="Georgia" w:cs="Georgia"/>
          <w:sz w:val="20"/>
          <w:szCs w:val="20"/>
          <w:vertAlign w:val="superscript"/>
          <w:lang w:val="lt-LT"/>
        </w:rPr>
        <w:t>2</w:t>
      </w:r>
      <w:r w:rsidR="008E6592">
        <w:rPr>
          <w:rFonts w:ascii="Georgia" w:hAnsi="Georgia" w:cs="Georgia"/>
          <w:sz w:val="20"/>
          <w:szCs w:val="20"/>
          <w:lang w:val="lt-LT"/>
        </w:rPr>
        <w:t xml:space="preserve">. </w:t>
      </w:r>
      <w:r w:rsidR="00B36271">
        <w:rPr>
          <w:rFonts w:ascii="Georgia" w:hAnsi="Georgia" w:cs="Georgia"/>
          <w:sz w:val="20"/>
          <w:szCs w:val="20"/>
          <w:lang w:val="lt-LT"/>
        </w:rPr>
        <w:t>Centrinės valdžios ir savivaldybių</w:t>
      </w:r>
      <w:r w:rsidR="008E6592">
        <w:rPr>
          <w:rFonts w:ascii="Georgia" w:hAnsi="Georgia" w:cs="Georgia"/>
          <w:sz w:val="20"/>
          <w:szCs w:val="20"/>
          <w:lang w:val="lt-LT"/>
        </w:rPr>
        <w:t xml:space="preserve"> pastatų </w:t>
      </w:r>
      <w:r w:rsidR="00B36271">
        <w:rPr>
          <w:rFonts w:ascii="Georgia" w:hAnsi="Georgia" w:cs="Georgia"/>
          <w:sz w:val="20"/>
          <w:szCs w:val="20"/>
          <w:lang w:val="lt-LT"/>
        </w:rPr>
        <w:t>fonde</w:t>
      </w:r>
      <w:r w:rsidR="008E6592">
        <w:rPr>
          <w:rFonts w:ascii="Georgia" w:hAnsi="Georgia" w:cs="Georgia"/>
          <w:sz w:val="20"/>
          <w:szCs w:val="20"/>
          <w:lang w:val="lt-LT"/>
        </w:rPr>
        <w:t xml:space="preserve"> savivaldyb</w:t>
      </w:r>
      <w:r w:rsidR="00B36271">
        <w:rPr>
          <w:rFonts w:ascii="Georgia" w:hAnsi="Georgia" w:cs="Georgia"/>
          <w:sz w:val="20"/>
          <w:szCs w:val="20"/>
          <w:lang w:val="lt-LT"/>
        </w:rPr>
        <w:t>ių</w:t>
      </w:r>
      <w:r w:rsidR="008E6592">
        <w:rPr>
          <w:rFonts w:ascii="Georgia" w:hAnsi="Georgia" w:cs="Georgia"/>
          <w:sz w:val="20"/>
          <w:szCs w:val="20"/>
          <w:lang w:val="lt-LT"/>
        </w:rPr>
        <w:t xml:space="preserve"> pastatai sudaro 58 %, o </w:t>
      </w:r>
      <w:r w:rsidR="00B36271">
        <w:rPr>
          <w:rFonts w:ascii="Georgia" w:hAnsi="Georgia" w:cs="Georgia"/>
          <w:sz w:val="20"/>
          <w:szCs w:val="20"/>
          <w:lang w:val="lt-LT"/>
        </w:rPr>
        <w:t>centrinės valdžios</w:t>
      </w:r>
      <w:r w:rsidR="008E6592">
        <w:rPr>
          <w:rFonts w:ascii="Georgia" w:hAnsi="Georgia" w:cs="Georgia"/>
          <w:sz w:val="20"/>
          <w:szCs w:val="20"/>
          <w:lang w:val="lt-LT"/>
        </w:rPr>
        <w:t xml:space="preserve"> pastatai</w:t>
      </w:r>
      <w:r w:rsidR="00B36271">
        <w:rPr>
          <w:rFonts w:ascii="Georgia" w:hAnsi="Georgia" w:cs="Georgia"/>
          <w:sz w:val="20"/>
          <w:szCs w:val="20"/>
          <w:lang w:val="lt-LT"/>
        </w:rPr>
        <w:t xml:space="preserve"> –</w:t>
      </w:r>
      <w:r w:rsidR="008E6592">
        <w:rPr>
          <w:rFonts w:ascii="Georgia" w:hAnsi="Georgia" w:cs="Georgia"/>
          <w:sz w:val="20"/>
          <w:szCs w:val="20"/>
          <w:lang w:val="lt-LT"/>
        </w:rPr>
        <w:t xml:space="preserve"> 42</w:t>
      </w:r>
      <w:r w:rsidR="00B36271">
        <w:rPr>
          <w:rFonts w:ascii="Georgia" w:hAnsi="Georgia" w:cs="Georgia"/>
          <w:sz w:val="20"/>
          <w:szCs w:val="20"/>
          <w:lang w:val="lt-LT"/>
        </w:rPr>
        <w:t xml:space="preserve"> %</w:t>
      </w:r>
      <w:r w:rsidR="008E6592">
        <w:rPr>
          <w:rFonts w:ascii="Georgia" w:hAnsi="Georgia" w:cs="Georgia"/>
          <w:sz w:val="20"/>
          <w:szCs w:val="20"/>
          <w:lang w:val="lt-LT"/>
        </w:rPr>
        <w:t>.</w:t>
      </w:r>
    </w:p>
    <w:p w14:paraId="4620D8B6" w14:textId="77777777" w:rsidR="00336C16" w:rsidRDefault="00336C16" w:rsidP="00336C16">
      <w:pPr>
        <w:autoSpaceDE w:val="0"/>
        <w:autoSpaceDN w:val="0"/>
        <w:adjustRightInd w:val="0"/>
        <w:spacing w:after="0"/>
        <w:jc w:val="both"/>
        <w:rPr>
          <w:rFonts w:ascii="Georgia" w:hAnsi="Georgia" w:cs="Georgia"/>
          <w:sz w:val="20"/>
          <w:szCs w:val="20"/>
          <w:lang w:val="lt-LT"/>
        </w:rPr>
      </w:pPr>
    </w:p>
    <w:p w14:paraId="75268AFE" w14:textId="7DE81BB9" w:rsidR="00336C16" w:rsidRPr="00B36271" w:rsidRDefault="00386440" w:rsidP="00386440">
      <w:pPr>
        <w:pStyle w:val="Antrat"/>
        <w:jc w:val="both"/>
        <w:rPr>
          <w:i/>
          <w:lang w:val="lt-LT"/>
        </w:rPr>
      </w:pPr>
      <w:bookmarkStart w:id="25" w:name="_Toc460321586"/>
      <w:r w:rsidRPr="00B36271">
        <w:rPr>
          <w:lang w:val="lt-LT"/>
        </w:rPr>
        <w:t xml:space="preserve">Lentelė </w:t>
      </w:r>
      <w:r w:rsidRPr="00B36271">
        <w:rPr>
          <w:lang w:val="lt-LT"/>
        </w:rPr>
        <w:fldChar w:fldCharType="begin"/>
      </w:r>
      <w:r w:rsidRPr="00B36271">
        <w:rPr>
          <w:lang w:val="lt-LT"/>
        </w:rPr>
        <w:instrText xml:space="preserve"> SEQ Lentelė \* ARABIC </w:instrText>
      </w:r>
      <w:r w:rsidRPr="00B36271">
        <w:rPr>
          <w:lang w:val="lt-LT"/>
        </w:rPr>
        <w:fldChar w:fldCharType="separate"/>
      </w:r>
      <w:r w:rsidR="00AA3082">
        <w:rPr>
          <w:noProof/>
          <w:lang w:val="lt-LT"/>
        </w:rPr>
        <w:t>5</w:t>
      </w:r>
      <w:r w:rsidRPr="00B36271">
        <w:rPr>
          <w:lang w:val="lt-LT"/>
        </w:rPr>
        <w:fldChar w:fldCharType="end"/>
      </w:r>
      <w:r w:rsidRPr="00B36271">
        <w:rPr>
          <w:lang w:val="lt-LT"/>
        </w:rPr>
        <w:t>. Viešųjų pastatų skaičius ir tipai</w:t>
      </w:r>
      <w:r w:rsidR="001E419B">
        <w:rPr>
          <w:lang w:val="lt-LT"/>
        </w:rPr>
        <w:t>,</w:t>
      </w:r>
      <w:r w:rsidR="00C319C3" w:rsidRPr="00B36271">
        <w:rPr>
          <w:lang w:val="lt-LT"/>
        </w:rPr>
        <w:t xml:space="preserve"> 2014 m. sausio 1 d.</w:t>
      </w:r>
      <w:bookmarkEnd w:id="25"/>
    </w:p>
    <w:tbl>
      <w:tblPr>
        <w:tblStyle w:val="viesussraas2parykinimas"/>
        <w:tblW w:w="4966" w:type="pct"/>
        <w:tblLayout w:type="fixed"/>
        <w:tblLook w:val="04A0" w:firstRow="1" w:lastRow="0" w:firstColumn="1" w:lastColumn="0" w:noHBand="0" w:noVBand="1"/>
      </w:tblPr>
      <w:tblGrid>
        <w:gridCol w:w="2131"/>
        <w:gridCol w:w="1164"/>
        <w:gridCol w:w="1335"/>
        <w:gridCol w:w="1177"/>
        <w:gridCol w:w="1160"/>
        <w:gridCol w:w="1199"/>
        <w:gridCol w:w="1013"/>
      </w:tblGrid>
      <w:tr w:rsidR="00336C16" w:rsidRPr="00714494" w14:paraId="2D015E08" w14:textId="77777777" w:rsidTr="0087175A">
        <w:trPr>
          <w:cnfStyle w:val="100000000000" w:firstRow="1" w:lastRow="0" w:firstColumn="0" w:lastColumn="0" w:oddVBand="0" w:evenVBand="0" w:oddHBand="0" w:evenHBand="0" w:firstRowFirstColumn="0" w:firstRowLastColumn="0" w:lastRowFirstColumn="0" w:lastRowLastColumn="0"/>
          <w:trHeight w:val="349"/>
          <w:tblHeader/>
        </w:trPr>
        <w:tc>
          <w:tcPr>
            <w:cnfStyle w:val="001000000000" w:firstRow="0" w:lastRow="0" w:firstColumn="1" w:lastColumn="0" w:oddVBand="0" w:evenVBand="0" w:oddHBand="0" w:evenHBand="0" w:firstRowFirstColumn="0" w:firstRowLastColumn="0" w:lastRowFirstColumn="0" w:lastRowLastColumn="0"/>
            <w:tcW w:w="1161" w:type="pct"/>
            <w:vMerge w:val="restart"/>
            <w:tcBorders>
              <w:top w:val="single" w:sz="8" w:space="0" w:color="C0504D" w:themeColor="accent2"/>
              <w:left w:val="single" w:sz="8" w:space="0" w:color="C0504D" w:themeColor="accent2"/>
              <w:bottom w:val="nil"/>
              <w:right w:val="nil"/>
            </w:tcBorders>
            <w:hideMark/>
          </w:tcPr>
          <w:p w14:paraId="62AF310D" w14:textId="77777777" w:rsidR="00336C16" w:rsidRPr="00714494" w:rsidRDefault="00336C16">
            <w:pPr>
              <w:jc w:val="center"/>
              <w:rPr>
                <w:rFonts w:ascii="Georgia" w:hAnsi="Georgia"/>
                <w:sz w:val="20"/>
                <w:szCs w:val="20"/>
              </w:rPr>
            </w:pPr>
            <w:r w:rsidRPr="00714494">
              <w:rPr>
                <w:rFonts w:ascii="Georgia" w:hAnsi="Georgia"/>
                <w:sz w:val="20"/>
                <w:szCs w:val="20"/>
              </w:rPr>
              <w:t>Pastatų paskirtis</w:t>
            </w:r>
          </w:p>
        </w:tc>
        <w:tc>
          <w:tcPr>
            <w:tcW w:w="1361" w:type="pct"/>
            <w:gridSpan w:val="2"/>
            <w:tcBorders>
              <w:top w:val="single" w:sz="8" w:space="0" w:color="C0504D" w:themeColor="accent2"/>
              <w:left w:val="nil"/>
              <w:bottom w:val="nil"/>
              <w:right w:val="nil"/>
            </w:tcBorders>
            <w:hideMark/>
          </w:tcPr>
          <w:p w14:paraId="75F9A672" w14:textId="77777777" w:rsidR="00336C16" w:rsidRPr="00714494" w:rsidRDefault="001E419B">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714494">
              <w:rPr>
                <w:rFonts w:ascii="Georgia" w:hAnsi="Georgia"/>
                <w:sz w:val="20"/>
                <w:szCs w:val="20"/>
              </w:rPr>
              <w:t>Centrinės valdžios</w:t>
            </w:r>
            <w:r w:rsidR="00336C16" w:rsidRPr="00714494">
              <w:rPr>
                <w:rFonts w:ascii="Georgia" w:hAnsi="Georgia"/>
                <w:sz w:val="20"/>
                <w:szCs w:val="20"/>
              </w:rPr>
              <w:t xml:space="preserve"> nuosavybė</w:t>
            </w:r>
          </w:p>
        </w:tc>
        <w:tc>
          <w:tcPr>
            <w:tcW w:w="1273" w:type="pct"/>
            <w:gridSpan w:val="2"/>
            <w:tcBorders>
              <w:top w:val="single" w:sz="8" w:space="0" w:color="C0504D" w:themeColor="accent2"/>
              <w:left w:val="nil"/>
              <w:bottom w:val="nil"/>
              <w:right w:val="nil"/>
            </w:tcBorders>
            <w:hideMark/>
          </w:tcPr>
          <w:p w14:paraId="057364BF" w14:textId="77777777" w:rsidR="00336C16" w:rsidRPr="00714494" w:rsidRDefault="00336C16">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714494">
              <w:rPr>
                <w:rFonts w:ascii="Georgia" w:hAnsi="Georgia"/>
                <w:sz w:val="20"/>
                <w:szCs w:val="20"/>
              </w:rPr>
              <w:t>Savivaldybių nuosavybė</w:t>
            </w:r>
          </w:p>
        </w:tc>
        <w:tc>
          <w:tcPr>
            <w:tcW w:w="1205" w:type="pct"/>
            <w:gridSpan w:val="2"/>
            <w:tcBorders>
              <w:top w:val="single" w:sz="8" w:space="0" w:color="C0504D" w:themeColor="accent2"/>
              <w:left w:val="nil"/>
              <w:bottom w:val="nil"/>
              <w:right w:val="single" w:sz="8" w:space="0" w:color="C0504D" w:themeColor="accent2"/>
            </w:tcBorders>
            <w:hideMark/>
          </w:tcPr>
          <w:p w14:paraId="36EC9448" w14:textId="77777777" w:rsidR="00336C16" w:rsidRPr="00714494" w:rsidRDefault="00336C16">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714494">
              <w:rPr>
                <w:rFonts w:ascii="Georgia" w:hAnsi="Georgia"/>
                <w:sz w:val="20"/>
                <w:szCs w:val="20"/>
              </w:rPr>
              <w:t>Kita nuosavybė</w:t>
            </w:r>
          </w:p>
        </w:tc>
      </w:tr>
      <w:tr w:rsidR="0087175A" w:rsidRPr="00082E94" w14:paraId="52B0C80D" w14:textId="77777777" w:rsidTr="0087175A">
        <w:trPr>
          <w:cnfStyle w:val="100000000000" w:firstRow="1" w:lastRow="0" w:firstColumn="0" w:lastColumn="0" w:oddVBand="0" w:evenVBand="0" w:oddHBand="0" w:evenHBand="0" w:firstRowFirstColumn="0" w:firstRowLastColumn="0" w:lastRowFirstColumn="0" w:lastRowLastColumn="0"/>
          <w:trHeight w:val="109"/>
          <w:tblHeader/>
        </w:trPr>
        <w:tc>
          <w:tcPr>
            <w:cnfStyle w:val="001000000000" w:firstRow="0" w:lastRow="0" w:firstColumn="1" w:lastColumn="0" w:oddVBand="0" w:evenVBand="0" w:oddHBand="0" w:evenHBand="0" w:firstRowFirstColumn="0" w:firstRowLastColumn="0" w:lastRowFirstColumn="0" w:lastRowLastColumn="0"/>
            <w:tcW w:w="1161" w:type="pct"/>
            <w:vMerge/>
            <w:tcBorders>
              <w:top w:val="single" w:sz="8" w:space="0" w:color="C0504D" w:themeColor="accent2"/>
              <w:left w:val="single" w:sz="8" w:space="0" w:color="C0504D" w:themeColor="accent2"/>
              <w:bottom w:val="nil"/>
              <w:right w:val="nil"/>
            </w:tcBorders>
            <w:vAlign w:val="center"/>
            <w:hideMark/>
          </w:tcPr>
          <w:p w14:paraId="28812483" w14:textId="77777777" w:rsidR="00336C16" w:rsidRPr="00082E94" w:rsidRDefault="00336C16">
            <w:pPr>
              <w:rPr>
                <w:rFonts w:ascii="Georgia" w:hAnsi="Georgia"/>
                <w:sz w:val="20"/>
                <w:szCs w:val="20"/>
              </w:rPr>
            </w:pPr>
          </w:p>
        </w:tc>
        <w:tc>
          <w:tcPr>
            <w:tcW w:w="634" w:type="pct"/>
            <w:tcBorders>
              <w:top w:val="nil"/>
              <w:left w:val="nil"/>
              <w:bottom w:val="nil"/>
              <w:right w:val="nil"/>
            </w:tcBorders>
            <w:hideMark/>
          </w:tcPr>
          <w:p w14:paraId="7D6273A1" w14:textId="77777777" w:rsidR="00336C16" w:rsidRPr="0087175A" w:rsidRDefault="00336C16">
            <w:pPr>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0"/>
                <w:szCs w:val="20"/>
              </w:rPr>
            </w:pPr>
            <w:r w:rsidRPr="0087175A">
              <w:rPr>
                <w:rFonts w:ascii="Georgia" w:hAnsi="Georgia"/>
                <w:b w:val="0"/>
                <w:sz w:val="20"/>
                <w:szCs w:val="20"/>
              </w:rPr>
              <w:t>Skaičius, vnt.</w:t>
            </w:r>
          </w:p>
        </w:tc>
        <w:tc>
          <w:tcPr>
            <w:tcW w:w="727" w:type="pct"/>
            <w:tcBorders>
              <w:top w:val="nil"/>
              <w:left w:val="nil"/>
              <w:bottom w:val="nil"/>
              <w:right w:val="nil"/>
            </w:tcBorders>
            <w:hideMark/>
          </w:tcPr>
          <w:p w14:paraId="44FAD09D" w14:textId="77777777" w:rsidR="00336C16" w:rsidRPr="0087175A" w:rsidRDefault="00336C16">
            <w:pPr>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0"/>
                <w:szCs w:val="20"/>
                <w:vertAlign w:val="superscript"/>
              </w:rPr>
            </w:pPr>
            <w:r w:rsidRPr="0087175A">
              <w:rPr>
                <w:rFonts w:ascii="Georgia" w:hAnsi="Georgia"/>
                <w:b w:val="0"/>
                <w:sz w:val="20"/>
                <w:szCs w:val="20"/>
              </w:rPr>
              <w:t>Plotas, m</w:t>
            </w:r>
            <w:r w:rsidRPr="0087175A">
              <w:rPr>
                <w:rFonts w:ascii="Georgia" w:hAnsi="Georgia"/>
                <w:b w:val="0"/>
                <w:sz w:val="20"/>
                <w:szCs w:val="20"/>
                <w:vertAlign w:val="superscript"/>
              </w:rPr>
              <w:t>2</w:t>
            </w:r>
          </w:p>
        </w:tc>
        <w:tc>
          <w:tcPr>
            <w:tcW w:w="641" w:type="pct"/>
            <w:tcBorders>
              <w:top w:val="nil"/>
              <w:left w:val="nil"/>
              <w:bottom w:val="nil"/>
              <w:right w:val="nil"/>
            </w:tcBorders>
            <w:hideMark/>
          </w:tcPr>
          <w:p w14:paraId="6521EAE1" w14:textId="77777777" w:rsidR="00336C16" w:rsidRPr="0087175A" w:rsidRDefault="00336C16">
            <w:pPr>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0"/>
                <w:szCs w:val="20"/>
              </w:rPr>
            </w:pPr>
            <w:r w:rsidRPr="0087175A">
              <w:rPr>
                <w:rFonts w:ascii="Georgia" w:hAnsi="Georgia"/>
                <w:b w:val="0"/>
                <w:sz w:val="20"/>
                <w:szCs w:val="20"/>
              </w:rPr>
              <w:t>Skaičius, vnt.</w:t>
            </w:r>
          </w:p>
        </w:tc>
        <w:tc>
          <w:tcPr>
            <w:tcW w:w="632" w:type="pct"/>
            <w:tcBorders>
              <w:top w:val="nil"/>
              <w:left w:val="nil"/>
              <w:bottom w:val="nil"/>
              <w:right w:val="nil"/>
            </w:tcBorders>
            <w:hideMark/>
          </w:tcPr>
          <w:p w14:paraId="613C9D64" w14:textId="77777777" w:rsidR="00336C16" w:rsidRPr="0087175A" w:rsidRDefault="00336C16">
            <w:pPr>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0"/>
                <w:szCs w:val="20"/>
              </w:rPr>
            </w:pPr>
            <w:r w:rsidRPr="0087175A">
              <w:rPr>
                <w:rFonts w:ascii="Georgia" w:hAnsi="Georgia"/>
                <w:b w:val="0"/>
                <w:sz w:val="20"/>
                <w:szCs w:val="20"/>
              </w:rPr>
              <w:t>Plotas, m</w:t>
            </w:r>
            <w:r w:rsidRPr="0087175A">
              <w:rPr>
                <w:rFonts w:ascii="Georgia" w:hAnsi="Georgia"/>
                <w:b w:val="0"/>
                <w:sz w:val="20"/>
                <w:szCs w:val="20"/>
                <w:vertAlign w:val="superscript"/>
              </w:rPr>
              <w:t>2</w:t>
            </w:r>
          </w:p>
        </w:tc>
        <w:tc>
          <w:tcPr>
            <w:tcW w:w="653" w:type="pct"/>
            <w:tcBorders>
              <w:top w:val="nil"/>
              <w:left w:val="nil"/>
              <w:bottom w:val="nil"/>
              <w:right w:val="nil"/>
            </w:tcBorders>
            <w:hideMark/>
          </w:tcPr>
          <w:p w14:paraId="6D6EF57E" w14:textId="77777777" w:rsidR="00336C16" w:rsidRPr="0087175A" w:rsidRDefault="00336C16">
            <w:pPr>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0"/>
                <w:szCs w:val="20"/>
              </w:rPr>
            </w:pPr>
            <w:r w:rsidRPr="0087175A">
              <w:rPr>
                <w:rFonts w:ascii="Georgia" w:hAnsi="Georgia"/>
                <w:b w:val="0"/>
                <w:sz w:val="20"/>
                <w:szCs w:val="20"/>
              </w:rPr>
              <w:t>Skaičius, vnt.</w:t>
            </w:r>
          </w:p>
        </w:tc>
        <w:tc>
          <w:tcPr>
            <w:tcW w:w="552" w:type="pct"/>
            <w:tcBorders>
              <w:top w:val="nil"/>
              <w:left w:val="nil"/>
              <w:bottom w:val="nil"/>
              <w:right w:val="single" w:sz="8" w:space="0" w:color="C0504D" w:themeColor="accent2"/>
            </w:tcBorders>
            <w:hideMark/>
          </w:tcPr>
          <w:p w14:paraId="54CCDFC1" w14:textId="77777777" w:rsidR="00336C16" w:rsidRPr="0087175A" w:rsidRDefault="00336C16">
            <w:pPr>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0"/>
                <w:szCs w:val="20"/>
              </w:rPr>
            </w:pPr>
            <w:r w:rsidRPr="0087175A">
              <w:rPr>
                <w:rFonts w:ascii="Georgia" w:hAnsi="Georgia"/>
                <w:b w:val="0"/>
                <w:sz w:val="20"/>
                <w:szCs w:val="20"/>
              </w:rPr>
              <w:t>Plotas, m</w:t>
            </w:r>
            <w:r w:rsidRPr="0087175A">
              <w:rPr>
                <w:rFonts w:ascii="Georgia" w:hAnsi="Georgia"/>
                <w:b w:val="0"/>
                <w:sz w:val="20"/>
                <w:szCs w:val="20"/>
                <w:vertAlign w:val="superscript"/>
              </w:rPr>
              <w:t>2</w:t>
            </w:r>
          </w:p>
        </w:tc>
      </w:tr>
      <w:tr w:rsidR="0087175A" w:rsidRPr="00082E94" w14:paraId="4ED2FA8C" w14:textId="77777777" w:rsidTr="0087175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161" w:type="pct"/>
            <w:tcBorders>
              <w:right w:val="nil"/>
            </w:tcBorders>
            <w:hideMark/>
          </w:tcPr>
          <w:p w14:paraId="62F78BDD" w14:textId="77777777" w:rsidR="00336C16" w:rsidRPr="008D7228" w:rsidRDefault="00336C16">
            <w:pPr>
              <w:rPr>
                <w:rFonts w:ascii="Georgia" w:hAnsi="Georgia"/>
                <w:sz w:val="20"/>
                <w:szCs w:val="20"/>
              </w:rPr>
            </w:pPr>
            <w:r w:rsidRPr="00082E94">
              <w:rPr>
                <w:rFonts w:ascii="Georgia" w:hAnsi="Georgia"/>
                <w:sz w:val="20"/>
                <w:szCs w:val="20"/>
              </w:rPr>
              <w:t>Gyvenamieji namai įvairioms socialinėms grupėms</w:t>
            </w:r>
          </w:p>
        </w:tc>
        <w:tc>
          <w:tcPr>
            <w:tcW w:w="634" w:type="pct"/>
            <w:tcBorders>
              <w:left w:val="nil"/>
              <w:right w:val="nil"/>
            </w:tcBorders>
            <w:hideMark/>
          </w:tcPr>
          <w:p w14:paraId="4DBD81C3" w14:textId="77777777"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303</w:t>
            </w:r>
          </w:p>
        </w:tc>
        <w:tc>
          <w:tcPr>
            <w:tcW w:w="727" w:type="pct"/>
            <w:tcBorders>
              <w:left w:val="nil"/>
              <w:right w:val="nil"/>
            </w:tcBorders>
            <w:hideMark/>
          </w:tcPr>
          <w:p w14:paraId="7A2805EE" w14:textId="77777777"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76</w:t>
            </w:r>
            <w:r w:rsidR="00C319C3" w:rsidRPr="0087175A">
              <w:rPr>
                <w:rFonts w:ascii="Georgia" w:hAnsi="Georgia"/>
                <w:sz w:val="20"/>
                <w:szCs w:val="20"/>
              </w:rPr>
              <w:t xml:space="preserve"> </w:t>
            </w:r>
            <w:r w:rsidRPr="0087175A">
              <w:rPr>
                <w:rFonts w:ascii="Georgia" w:hAnsi="Georgia"/>
                <w:sz w:val="20"/>
                <w:szCs w:val="20"/>
              </w:rPr>
              <w:t>744</w:t>
            </w:r>
          </w:p>
        </w:tc>
        <w:tc>
          <w:tcPr>
            <w:tcW w:w="641" w:type="pct"/>
            <w:tcBorders>
              <w:left w:val="nil"/>
              <w:right w:val="nil"/>
            </w:tcBorders>
            <w:hideMark/>
          </w:tcPr>
          <w:p w14:paraId="6C787178" w14:textId="77777777"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239</w:t>
            </w:r>
          </w:p>
        </w:tc>
        <w:tc>
          <w:tcPr>
            <w:tcW w:w="632" w:type="pct"/>
            <w:tcBorders>
              <w:left w:val="nil"/>
              <w:right w:val="nil"/>
            </w:tcBorders>
            <w:hideMark/>
          </w:tcPr>
          <w:p w14:paraId="63A60C17" w14:textId="77777777"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282</w:t>
            </w:r>
            <w:r w:rsidR="00C319C3" w:rsidRPr="0087175A">
              <w:rPr>
                <w:rFonts w:ascii="Georgia" w:hAnsi="Georgia"/>
                <w:sz w:val="20"/>
                <w:szCs w:val="20"/>
              </w:rPr>
              <w:t xml:space="preserve"> </w:t>
            </w:r>
            <w:r w:rsidRPr="0087175A">
              <w:rPr>
                <w:rFonts w:ascii="Georgia" w:hAnsi="Georgia"/>
                <w:sz w:val="20"/>
                <w:szCs w:val="20"/>
              </w:rPr>
              <w:t>553</w:t>
            </w:r>
          </w:p>
        </w:tc>
        <w:tc>
          <w:tcPr>
            <w:tcW w:w="653" w:type="pct"/>
            <w:tcBorders>
              <w:left w:val="nil"/>
              <w:right w:val="nil"/>
            </w:tcBorders>
            <w:hideMark/>
          </w:tcPr>
          <w:p w14:paraId="742AC62A" w14:textId="77777777"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1233</w:t>
            </w:r>
          </w:p>
        </w:tc>
        <w:tc>
          <w:tcPr>
            <w:tcW w:w="552" w:type="pct"/>
            <w:tcBorders>
              <w:left w:val="nil"/>
            </w:tcBorders>
            <w:hideMark/>
          </w:tcPr>
          <w:p w14:paraId="2801241B" w14:textId="77777777"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259</w:t>
            </w:r>
            <w:r w:rsidR="00C319C3" w:rsidRPr="0087175A">
              <w:rPr>
                <w:rFonts w:ascii="Georgia" w:hAnsi="Georgia"/>
                <w:sz w:val="20"/>
                <w:szCs w:val="20"/>
              </w:rPr>
              <w:t xml:space="preserve"> </w:t>
            </w:r>
            <w:r w:rsidRPr="0087175A">
              <w:rPr>
                <w:rFonts w:ascii="Georgia" w:hAnsi="Georgia"/>
                <w:sz w:val="20"/>
                <w:szCs w:val="20"/>
              </w:rPr>
              <w:t>0357</w:t>
            </w:r>
          </w:p>
        </w:tc>
      </w:tr>
      <w:tr w:rsidR="0087175A" w:rsidRPr="00082E94" w14:paraId="0C717B45" w14:textId="77777777" w:rsidTr="0087175A">
        <w:trPr>
          <w:trHeight w:val="349"/>
        </w:trPr>
        <w:tc>
          <w:tcPr>
            <w:cnfStyle w:val="001000000000" w:firstRow="0" w:lastRow="0" w:firstColumn="1" w:lastColumn="0" w:oddVBand="0" w:evenVBand="0" w:oddHBand="0" w:evenHBand="0" w:firstRowFirstColumn="0" w:firstRowLastColumn="0" w:lastRowFirstColumn="0" w:lastRowLastColumn="0"/>
            <w:tcW w:w="1161" w:type="pct"/>
            <w:tcBorders>
              <w:top w:val="nil"/>
              <w:left w:val="single" w:sz="8" w:space="0" w:color="C0504D" w:themeColor="accent2"/>
              <w:bottom w:val="nil"/>
              <w:right w:val="nil"/>
            </w:tcBorders>
            <w:hideMark/>
          </w:tcPr>
          <w:p w14:paraId="0EE2A56E" w14:textId="77777777" w:rsidR="00336C16" w:rsidRPr="008D7228" w:rsidRDefault="00336C16">
            <w:pPr>
              <w:rPr>
                <w:rFonts w:ascii="Georgia" w:hAnsi="Georgia"/>
                <w:sz w:val="20"/>
                <w:szCs w:val="20"/>
              </w:rPr>
            </w:pPr>
            <w:r w:rsidRPr="00082E94">
              <w:rPr>
                <w:rFonts w:ascii="Georgia" w:hAnsi="Georgia"/>
                <w:sz w:val="20"/>
                <w:szCs w:val="20"/>
              </w:rPr>
              <w:t>Administracinės</w:t>
            </w:r>
          </w:p>
        </w:tc>
        <w:tc>
          <w:tcPr>
            <w:tcW w:w="634" w:type="pct"/>
            <w:tcBorders>
              <w:top w:val="nil"/>
              <w:left w:val="nil"/>
              <w:bottom w:val="nil"/>
              <w:right w:val="nil"/>
            </w:tcBorders>
            <w:hideMark/>
          </w:tcPr>
          <w:p w14:paraId="27F114E6" w14:textId="77777777"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sz w:val="20"/>
                <w:szCs w:val="20"/>
              </w:rPr>
              <w:t>1485</w:t>
            </w:r>
          </w:p>
        </w:tc>
        <w:tc>
          <w:tcPr>
            <w:tcW w:w="727" w:type="pct"/>
            <w:tcBorders>
              <w:top w:val="nil"/>
              <w:left w:val="nil"/>
              <w:bottom w:val="nil"/>
              <w:right w:val="nil"/>
            </w:tcBorders>
            <w:hideMark/>
          </w:tcPr>
          <w:p w14:paraId="66BB8E46" w14:textId="77777777"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sz w:val="20"/>
                <w:szCs w:val="20"/>
              </w:rPr>
              <w:t>1 492 952</w:t>
            </w:r>
          </w:p>
        </w:tc>
        <w:tc>
          <w:tcPr>
            <w:tcW w:w="641" w:type="pct"/>
            <w:tcBorders>
              <w:top w:val="nil"/>
              <w:left w:val="nil"/>
              <w:bottom w:val="nil"/>
              <w:right w:val="nil"/>
            </w:tcBorders>
            <w:hideMark/>
          </w:tcPr>
          <w:p w14:paraId="444E01A6" w14:textId="77777777"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sz w:val="20"/>
                <w:szCs w:val="20"/>
              </w:rPr>
              <w:t>753</w:t>
            </w:r>
          </w:p>
        </w:tc>
        <w:tc>
          <w:tcPr>
            <w:tcW w:w="632" w:type="pct"/>
            <w:tcBorders>
              <w:top w:val="nil"/>
              <w:left w:val="nil"/>
              <w:bottom w:val="nil"/>
              <w:right w:val="nil"/>
            </w:tcBorders>
            <w:hideMark/>
          </w:tcPr>
          <w:p w14:paraId="7FA21E8F" w14:textId="77777777"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sz w:val="20"/>
                <w:szCs w:val="20"/>
              </w:rPr>
              <w:t>438 164</w:t>
            </w:r>
          </w:p>
        </w:tc>
        <w:tc>
          <w:tcPr>
            <w:tcW w:w="653" w:type="pct"/>
            <w:tcBorders>
              <w:top w:val="nil"/>
              <w:left w:val="nil"/>
              <w:bottom w:val="nil"/>
              <w:right w:val="nil"/>
            </w:tcBorders>
            <w:hideMark/>
          </w:tcPr>
          <w:p w14:paraId="097B4B50" w14:textId="77777777"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sz w:val="20"/>
                <w:szCs w:val="20"/>
              </w:rPr>
              <w:t>7765</w:t>
            </w:r>
          </w:p>
        </w:tc>
        <w:tc>
          <w:tcPr>
            <w:tcW w:w="552" w:type="pct"/>
            <w:tcBorders>
              <w:top w:val="nil"/>
              <w:left w:val="nil"/>
              <w:bottom w:val="nil"/>
              <w:right w:val="single" w:sz="8" w:space="0" w:color="C0504D" w:themeColor="accent2"/>
            </w:tcBorders>
            <w:hideMark/>
          </w:tcPr>
          <w:p w14:paraId="5A04FD2D" w14:textId="77777777"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sz w:val="20"/>
                <w:szCs w:val="20"/>
              </w:rPr>
              <w:t>7 079 108</w:t>
            </w:r>
          </w:p>
        </w:tc>
      </w:tr>
      <w:tr w:rsidR="0087175A" w:rsidRPr="00082E94" w14:paraId="52D7BFCD" w14:textId="77777777" w:rsidTr="0087175A">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161" w:type="pct"/>
            <w:tcBorders>
              <w:right w:val="nil"/>
            </w:tcBorders>
            <w:hideMark/>
          </w:tcPr>
          <w:p w14:paraId="7892CA53" w14:textId="77777777" w:rsidR="00336C16" w:rsidRPr="008D7228" w:rsidRDefault="00336C16">
            <w:pPr>
              <w:rPr>
                <w:rFonts w:ascii="Georgia" w:hAnsi="Georgia"/>
                <w:sz w:val="20"/>
                <w:szCs w:val="20"/>
              </w:rPr>
            </w:pPr>
            <w:r w:rsidRPr="00082E94">
              <w:rPr>
                <w:rFonts w:ascii="Georgia" w:hAnsi="Georgia"/>
                <w:sz w:val="20"/>
                <w:szCs w:val="20"/>
              </w:rPr>
              <w:t>Kultūros, mokslo ir sporto</w:t>
            </w:r>
          </w:p>
        </w:tc>
        <w:tc>
          <w:tcPr>
            <w:tcW w:w="634" w:type="pct"/>
            <w:tcBorders>
              <w:left w:val="nil"/>
              <w:right w:val="nil"/>
            </w:tcBorders>
            <w:hideMark/>
          </w:tcPr>
          <w:p w14:paraId="3268BE33" w14:textId="77777777"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996</w:t>
            </w:r>
          </w:p>
        </w:tc>
        <w:tc>
          <w:tcPr>
            <w:tcW w:w="727" w:type="pct"/>
            <w:tcBorders>
              <w:left w:val="nil"/>
              <w:right w:val="nil"/>
            </w:tcBorders>
            <w:hideMark/>
          </w:tcPr>
          <w:p w14:paraId="775581AA" w14:textId="77777777"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2 222 849</w:t>
            </w:r>
          </w:p>
        </w:tc>
        <w:tc>
          <w:tcPr>
            <w:tcW w:w="641" w:type="pct"/>
            <w:tcBorders>
              <w:left w:val="nil"/>
              <w:right w:val="nil"/>
            </w:tcBorders>
            <w:hideMark/>
          </w:tcPr>
          <w:p w14:paraId="265C607A" w14:textId="77777777"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4288</w:t>
            </w:r>
          </w:p>
        </w:tc>
        <w:tc>
          <w:tcPr>
            <w:tcW w:w="632" w:type="pct"/>
            <w:tcBorders>
              <w:left w:val="nil"/>
              <w:right w:val="nil"/>
            </w:tcBorders>
            <w:hideMark/>
          </w:tcPr>
          <w:p w14:paraId="40EDFCC4" w14:textId="77777777"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6 776 901</w:t>
            </w:r>
          </w:p>
        </w:tc>
        <w:tc>
          <w:tcPr>
            <w:tcW w:w="653" w:type="pct"/>
            <w:tcBorders>
              <w:left w:val="nil"/>
              <w:right w:val="nil"/>
            </w:tcBorders>
            <w:hideMark/>
          </w:tcPr>
          <w:p w14:paraId="0506B9E2" w14:textId="77777777"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2059</w:t>
            </w:r>
          </w:p>
        </w:tc>
        <w:tc>
          <w:tcPr>
            <w:tcW w:w="552" w:type="pct"/>
            <w:tcBorders>
              <w:left w:val="nil"/>
            </w:tcBorders>
            <w:hideMark/>
          </w:tcPr>
          <w:p w14:paraId="6E15BBEF" w14:textId="77777777"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2 066 371</w:t>
            </w:r>
          </w:p>
        </w:tc>
      </w:tr>
      <w:tr w:rsidR="0087175A" w:rsidRPr="00082E94" w14:paraId="641E7F3F" w14:textId="77777777" w:rsidTr="0087175A">
        <w:trPr>
          <w:trHeight w:val="349"/>
        </w:trPr>
        <w:tc>
          <w:tcPr>
            <w:cnfStyle w:val="001000000000" w:firstRow="0" w:lastRow="0" w:firstColumn="1" w:lastColumn="0" w:oddVBand="0" w:evenVBand="0" w:oddHBand="0" w:evenHBand="0" w:firstRowFirstColumn="0" w:firstRowLastColumn="0" w:lastRowFirstColumn="0" w:lastRowLastColumn="0"/>
            <w:tcW w:w="1161" w:type="pct"/>
            <w:tcBorders>
              <w:top w:val="nil"/>
              <w:left w:val="single" w:sz="8" w:space="0" w:color="C0504D" w:themeColor="accent2"/>
              <w:bottom w:val="nil"/>
              <w:right w:val="nil"/>
            </w:tcBorders>
            <w:hideMark/>
          </w:tcPr>
          <w:p w14:paraId="39E5FE9A" w14:textId="77777777" w:rsidR="00336C16" w:rsidRPr="008D7228" w:rsidRDefault="00336C16">
            <w:pPr>
              <w:rPr>
                <w:rFonts w:ascii="Georgia" w:hAnsi="Georgia"/>
                <w:sz w:val="20"/>
                <w:szCs w:val="20"/>
              </w:rPr>
            </w:pPr>
            <w:r w:rsidRPr="00082E94">
              <w:rPr>
                <w:rFonts w:ascii="Georgia" w:hAnsi="Georgia"/>
                <w:sz w:val="20"/>
                <w:szCs w:val="20"/>
              </w:rPr>
              <w:t>Gydymo</w:t>
            </w:r>
          </w:p>
        </w:tc>
        <w:tc>
          <w:tcPr>
            <w:tcW w:w="634" w:type="pct"/>
            <w:tcBorders>
              <w:top w:val="nil"/>
              <w:left w:val="nil"/>
              <w:bottom w:val="nil"/>
              <w:right w:val="nil"/>
            </w:tcBorders>
            <w:hideMark/>
          </w:tcPr>
          <w:p w14:paraId="47653FB3" w14:textId="77777777"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sz w:val="20"/>
                <w:szCs w:val="20"/>
              </w:rPr>
              <w:t>386</w:t>
            </w:r>
          </w:p>
        </w:tc>
        <w:tc>
          <w:tcPr>
            <w:tcW w:w="727" w:type="pct"/>
            <w:tcBorders>
              <w:top w:val="nil"/>
              <w:left w:val="nil"/>
              <w:bottom w:val="nil"/>
              <w:right w:val="nil"/>
            </w:tcBorders>
            <w:hideMark/>
          </w:tcPr>
          <w:p w14:paraId="12498322" w14:textId="77777777"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sz w:val="20"/>
                <w:szCs w:val="20"/>
              </w:rPr>
              <w:t>962 185</w:t>
            </w:r>
          </w:p>
        </w:tc>
        <w:tc>
          <w:tcPr>
            <w:tcW w:w="641" w:type="pct"/>
            <w:tcBorders>
              <w:top w:val="nil"/>
              <w:left w:val="nil"/>
              <w:bottom w:val="nil"/>
              <w:right w:val="nil"/>
            </w:tcBorders>
            <w:hideMark/>
          </w:tcPr>
          <w:p w14:paraId="29385F4F" w14:textId="77777777"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sz w:val="20"/>
                <w:szCs w:val="20"/>
              </w:rPr>
              <w:t>670</w:t>
            </w:r>
          </w:p>
        </w:tc>
        <w:tc>
          <w:tcPr>
            <w:tcW w:w="632" w:type="pct"/>
            <w:tcBorders>
              <w:top w:val="nil"/>
              <w:left w:val="nil"/>
              <w:bottom w:val="nil"/>
              <w:right w:val="nil"/>
            </w:tcBorders>
            <w:hideMark/>
          </w:tcPr>
          <w:p w14:paraId="72AD16C3" w14:textId="77777777"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sz w:val="20"/>
                <w:szCs w:val="20"/>
              </w:rPr>
              <w:t>1 175 194</w:t>
            </w:r>
          </w:p>
        </w:tc>
        <w:tc>
          <w:tcPr>
            <w:tcW w:w="653" w:type="pct"/>
            <w:tcBorders>
              <w:top w:val="nil"/>
              <w:left w:val="nil"/>
              <w:bottom w:val="nil"/>
              <w:right w:val="nil"/>
            </w:tcBorders>
            <w:hideMark/>
          </w:tcPr>
          <w:p w14:paraId="754F3876" w14:textId="77777777"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sz w:val="20"/>
                <w:szCs w:val="20"/>
              </w:rPr>
              <w:t>783</w:t>
            </w:r>
          </w:p>
        </w:tc>
        <w:tc>
          <w:tcPr>
            <w:tcW w:w="552" w:type="pct"/>
            <w:tcBorders>
              <w:top w:val="nil"/>
              <w:left w:val="nil"/>
              <w:bottom w:val="nil"/>
              <w:right w:val="single" w:sz="8" w:space="0" w:color="C0504D" w:themeColor="accent2"/>
            </w:tcBorders>
            <w:hideMark/>
          </w:tcPr>
          <w:p w14:paraId="7B36105B" w14:textId="77777777"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sz w:val="20"/>
                <w:szCs w:val="20"/>
              </w:rPr>
              <w:t>729 496</w:t>
            </w:r>
          </w:p>
        </w:tc>
      </w:tr>
      <w:tr w:rsidR="0087175A" w:rsidRPr="00082E94" w14:paraId="02A7112E" w14:textId="77777777" w:rsidTr="0087175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161" w:type="pct"/>
            <w:tcBorders>
              <w:right w:val="nil"/>
            </w:tcBorders>
            <w:hideMark/>
          </w:tcPr>
          <w:p w14:paraId="01048E66" w14:textId="77777777" w:rsidR="00336C16" w:rsidRPr="008D7228" w:rsidRDefault="00336C16">
            <w:pPr>
              <w:rPr>
                <w:rFonts w:ascii="Georgia" w:hAnsi="Georgia"/>
                <w:sz w:val="20"/>
                <w:szCs w:val="20"/>
              </w:rPr>
            </w:pPr>
            <w:r w:rsidRPr="00082E94">
              <w:rPr>
                <w:rFonts w:ascii="Georgia" w:hAnsi="Georgia"/>
                <w:sz w:val="20"/>
                <w:szCs w:val="20"/>
              </w:rPr>
              <w:t>Specialiosios, religinės ir kitos paskirties pastatai</w:t>
            </w:r>
          </w:p>
        </w:tc>
        <w:tc>
          <w:tcPr>
            <w:tcW w:w="634" w:type="pct"/>
            <w:tcBorders>
              <w:left w:val="nil"/>
              <w:right w:val="nil"/>
            </w:tcBorders>
            <w:hideMark/>
          </w:tcPr>
          <w:p w14:paraId="26D791DC" w14:textId="77777777"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2361</w:t>
            </w:r>
          </w:p>
        </w:tc>
        <w:tc>
          <w:tcPr>
            <w:tcW w:w="727" w:type="pct"/>
            <w:tcBorders>
              <w:left w:val="nil"/>
              <w:right w:val="nil"/>
            </w:tcBorders>
            <w:hideMark/>
          </w:tcPr>
          <w:p w14:paraId="37035E3E" w14:textId="77777777"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1 143 399</w:t>
            </w:r>
          </w:p>
        </w:tc>
        <w:tc>
          <w:tcPr>
            <w:tcW w:w="641" w:type="pct"/>
            <w:tcBorders>
              <w:left w:val="nil"/>
              <w:right w:val="nil"/>
            </w:tcBorders>
            <w:hideMark/>
          </w:tcPr>
          <w:p w14:paraId="17435425" w14:textId="77777777"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1642</w:t>
            </w:r>
          </w:p>
        </w:tc>
        <w:tc>
          <w:tcPr>
            <w:tcW w:w="632" w:type="pct"/>
            <w:tcBorders>
              <w:left w:val="nil"/>
              <w:right w:val="nil"/>
            </w:tcBorders>
            <w:hideMark/>
          </w:tcPr>
          <w:p w14:paraId="0CFFC28C" w14:textId="77777777"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223 148</w:t>
            </w:r>
          </w:p>
        </w:tc>
        <w:tc>
          <w:tcPr>
            <w:tcW w:w="653" w:type="pct"/>
            <w:tcBorders>
              <w:left w:val="nil"/>
              <w:right w:val="nil"/>
            </w:tcBorders>
            <w:hideMark/>
          </w:tcPr>
          <w:p w14:paraId="4AD723B0" w14:textId="77777777"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16</w:t>
            </w:r>
            <w:r w:rsidR="00C319C3" w:rsidRPr="0087175A">
              <w:rPr>
                <w:rFonts w:ascii="Georgia" w:hAnsi="Georgia"/>
                <w:sz w:val="20"/>
                <w:szCs w:val="20"/>
              </w:rPr>
              <w:t xml:space="preserve"> </w:t>
            </w:r>
            <w:r w:rsidRPr="0087175A">
              <w:rPr>
                <w:rFonts w:ascii="Georgia" w:hAnsi="Georgia"/>
                <w:sz w:val="20"/>
                <w:szCs w:val="20"/>
              </w:rPr>
              <w:t>794</w:t>
            </w:r>
          </w:p>
        </w:tc>
        <w:tc>
          <w:tcPr>
            <w:tcW w:w="552" w:type="pct"/>
            <w:tcBorders>
              <w:left w:val="nil"/>
            </w:tcBorders>
            <w:hideMark/>
          </w:tcPr>
          <w:p w14:paraId="3A8104EF" w14:textId="77777777" w:rsidR="00336C16" w:rsidRPr="0087175A" w:rsidRDefault="00336C1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87175A">
              <w:rPr>
                <w:rFonts w:ascii="Georgia" w:hAnsi="Georgia"/>
                <w:sz w:val="20"/>
                <w:szCs w:val="20"/>
              </w:rPr>
              <w:t>2 919 865</w:t>
            </w:r>
          </w:p>
        </w:tc>
      </w:tr>
      <w:tr w:rsidR="0087175A" w:rsidRPr="00082E94" w14:paraId="6E9CD14E" w14:textId="77777777" w:rsidTr="0087175A">
        <w:trPr>
          <w:trHeight w:val="357"/>
        </w:trPr>
        <w:tc>
          <w:tcPr>
            <w:cnfStyle w:val="001000000000" w:firstRow="0" w:lastRow="0" w:firstColumn="1" w:lastColumn="0" w:oddVBand="0" w:evenVBand="0" w:oddHBand="0" w:evenHBand="0" w:firstRowFirstColumn="0" w:firstRowLastColumn="0" w:lastRowFirstColumn="0" w:lastRowLastColumn="0"/>
            <w:tcW w:w="1161" w:type="pct"/>
            <w:tcBorders>
              <w:top w:val="nil"/>
              <w:left w:val="single" w:sz="8" w:space="0" w:color="C0504D" w:themeColor="accent2"/>
              <w:bottom w:val="single" w:sz="8" w:space="0" w:color="C0504D" w:themeColor="accent2"/>
              <w:right w:val="nil"/>
            </w:tcBorders>
            <w:hideMark/>
          </w:tcPr>
          <w:p w14:paraId="5E4AC8B5" w14:textId="77777777" w:rsidR="00336C16" w:rsidRPr="008D7228" w:rsidRDefault="00336C16">
            <w:pPr>
              <w:rPr>
                <w:rFonts w:ascii="Georgia" w:hAnsi="Georgia"/>
                <w:sz w:val="20"/>
                <w:szCs w:val="20"/>
              </w:rPr>
            </w:pPr>
            <w:r w:rsidRPr="00082E94">
              <w:rPr>
                <w:rFonts w:ascii="Georgia" w:hAnsi="Georgia"/>
                <w:sz w:val="20"/>
                <w:szCs w:val="20"/>
              </w:rPr>
              <w:t>Viso:</w:t>
            </w:r>
          </w:p>
        </w:tc>
        <w:tc>
          <w:tcPr>
            <w:tcW w:w="634" w:type="pct"/>
            <w:tcBorders>
              <w:top w:val="nil"/>
              <w:left w:val="nil"/>
              <w:bottom w:val="single" w:sz="8" w:space="0" w:color="C0504D" w:themeColor="accent2"/>
              <w:right w:val="nil"/>
            </w:tcBorders>
            <w:hideMark/>
          </w:tcPr>
          <w:p w14:paraId="7602AE08" w14:textId="77777777" w:rsidR="00336C16" w:rsidRPr="0087175A" w:rsidRDefault="00336C16" w:rsidP="002F5127">
            <w:pPr>
              <w:jc w:val="center"/>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87175A">
              <w:rPr>
                <w:rFonts w:ascii="Georgia" w:hAnsi="Georgia"/>
                <w:sz w:val="20"/>
              </w:rPr>
              <w:t>5531</w:t>
            </w:r>
          </w:p>
        </w:tc>
        <w:tc>
          <w:tcPr>
            <w:tcW w:w="727" w:type="pct"/>
            <w:tcBorders>
              <w:top w:val="nil"/>
              <w:left w:val="nil"/>
              <w:bottom w:val="single" w:sz="8" w:space="0" w:color="C0504D" w:themeColor="accent2"/>
              <w:right w:val="nil"/>
            </w:tcBorders>
            <w:hideMark/>
          </w:tcPr>
          <w:p w14:paraId="5FDB576D" w14:textId="77777777"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87175A">
              <w:rPr>
                <w:rFonts w:ascii="Georgia" w:hAnsi="Georgia"/>
                <w:sz w:val="20"/>
              </w:rPr>
              <w:t>5</w:t>
            </w:r>
            <w:r w:rsidR="00C319C3" w:rsidRPr="0087175A">
              <w:rPr>
                <w:rFonts w:ascii="Georgia" w:hAnsi="Georgia"/>
                <w:sz w:val="20"/>
              </w:rPr>
              <w:t xml:space="preserve"> </w:t>
            </w:r>
            <w:r w:rsidRPr="0087175A">
              <w:rPr>
                <w:rFonts w:ascii="Georgia" w:hAnsi="Georgia"/>
                <w:sz w:val="20"/>
              </w:rPr>
              <w:t>898</w:t>
            </w:r>
            <w:r w:rsidR="00C319C3" w:rsidRPr="0087175A">
              <w:rPr>
                <w:rFonts w:ascii="Georgia" w:hAnsi="Georgia"/>
                <w:sz w:val="20"/>
              </w:rPr>
              <w:t xml:space="preserve"> </w:t>
            </w:r>
            <w:r w:rsidRPr="0087175A">
              <w:rPr>
                <w:rFonts w:ascii="Georgia" w:hAnsi="Georgia"/>
                <w:sz w:val="20"/>
              </w:rPr>
              <w:t>129</w:t>
            </w:r>
          </w:p>
        </w:tc>
        <w:tc>
          <w:tcPr>
            <w:tcW w:w="641" w:type="pct"/>
            <w:tcBorders>
              <w:top w:val="nil"/>
              <w:left w:val="nil"/>
              <w:bottom w:val="single" w:sz="8" w:space="0" w:color="C0504D" w:themeColor="accent2"/>
              <w:right w:val="nil"/>
            </w:tcBorders>
            <w:hideMark/>
          </w:tcPr>
          <w:p w14:paraId="7CB5C770" w14:textId="77777777"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87175A">
              <w:rPr>
                <w:rFonts w:ascii="Georgia" w:hAnsi="Georgia"/>
                <w:sz w:val="20"/>
              </w:rPr>
              <w:t>7592</w:t>
            </w:r>
          </w:p>
        </w:tc>
        <w:tc>
          <w:tcPr>
            <w:tcW w:w="632" w:type="pct"/>
            <w:tcBorders>
              <w:top w:val="nil"/>
              <w:left w:val="nil"/>
              <w:bottom w:val="single" w:sz="8" w:space="0" w:color="C0504D" w:themeColor="accent2"/>
              <w:right w:val="nil"/>
            </w:tcBorders>
            <w:hideMark/>
          </w:tcPr>
          <w:p w14:paraId="64B10188" w14:textId="77777777"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87175A">
              <w:rPr>
                <w:rFonts w:ascii="Georgia" w:hAnsi="Georgia"/>
                <w:sz w:val="20"/>
              </w:rPr>
              <w:t>8</w:t>
            </w:r>
            <w:r w:rsidR="00C319C3" w:rsidRPr="0087175A">
              <w:rPr>
                <w:rFonts w:ascii="Georgia" w:hAnsi="Georgia"/>
                <w:sz w:val="20"/>
              </w:rPr>
              <w:t xml:space="preserve"> </w:t>
            </w:r>
            <w:r w:rsidRPr="0087175A">
              <w:rPr>
                <w:rFonts w:ascii="Georgia" w:hAnsi="Georgia"/>
                <w:sz w:val="20"/>
              </w:rPr>
              <w:t>895</w:t>
            </w:r>
            <w:r w:rsidR="00C319C3" w:rsidRPr="0087175A">
              <w:rPr>
                <w:rFonts w:ascii="Georgia" w:hAnsi="Georgia"/>
                <w:sz w:val="20"/>
              </w:rPr>
              <w:t xml:space="preserve"> </w:t>
            </w:r>
            <w:r w:rsidRPr="0087175A">
              <w:rPr>
                <w:rFonts w:ascii="Georgia" w:hAnsi="Georgia"/>
                <w:sz w:val="20"/>
              </w:rPr>
              <w:t>960</w:t>
            </w:r>
          </w:p>
        </w:tc>
        <w:tc>
          <w:tcPr>
            <w:tcW w:w="653" w:type="pct"/>
            <w:tcBorders>
              <w:top w:val="nil"/>
              <w:left w:val="nil"/>
              <w:bottom w:val="single" w:sz="8" w:space="0" w:color="C0504D" w:themeColor="accent2"/>
              <w:right w:val="nil"/>
            </w:tcBorders>
            <w:hideMark/>
          </w:tcPr>
          <w:p w14:paraId="7594A355" w14:textId="77777777"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87175A">
              <w:rPr>
                <w:rFonts w:ascii="Georgia" w:hAnsi="Georgia"/>
                <w:sz w:val="20"/>
              </w:rPr>
              <w:t>28</w:t>
            </w:r>
            <w:r w:rsidR="00C319C3" w:rsidRPr="0087175A">
              <w:rPr>
                <w:rFonts w:ascii="Georgia" w:hAnsi="Georgia"/>
                <w:sz w:val="20"/>
              </w:rPr>
              <w:t xml:space="preserve"> </w:t>
            </w:r>
            <w:r w:rsidRPr="0087175A">
              <w:rPr>
                <w:rFonts w:ascii="Georgia" w:hAnsi="Georgia"/>
                <w:sz w:val="20"/>
              </w:rPr>
              <w:t>634</w:t>
            </w:r>
          </w:p>
        </w:tc>
        <w:tc>
          <w:tcPr>
            <w:tcW w:w="552" w:type="pct"/>
            <w:tcBorders>
              <w:top w:val="nil"/>
              <w:left w:val="nil"/>
              <w:bottom w:val="single" w:sz="8" w:space="0" w:color="C0504D" w:themeColor="accent2"/>
              <w:right w:val="single" w:sz="8" w:space="0" w:color="C0504D" w:themeColor="accent2"/>
            </w:tcBorders>
            <w:hideMark/>
          </w:tcPr>
          <w:p w14:paraId="624AE76B" w14:textId="77777777"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87175A">
              <w:rPr>
                <w:rFonts w:ascii="Georgia" w:hAnsi="Georgia"/>
                <w:sz w:val="20"/>
              </w:rPr>
              <w:t>15</w:t>
            </w:r>
            <w:r w:rsidR="00C319C3" w:rsidRPr="0087175A">
              <w:rPr>
                <w:rFonts w:ascii="Georgia" w:hAnsi="Georgia"/>
                <w:sz w:val="20"/>
              </w:rPr>
              <w:t xml:space="preserve"> </w:t>
            </w:r>
            <w:r w:rsidRPr="0087175A">
              <w:rPr>
                <w:rFonts w:ascii="Georgia" w:hAnsi="Georgia"/>
                <w:sz w:val="20"/>
              </w:rPr>
              <w:t>385</w:t>
            </w:r>
            <w:r w:rsidR="00C319C3" w:rsidRPr="0087175A">
              <w:rPr>
                <w:rFonts w:ascii="Georgia" w:hAnsi="Georgia"/>
                <w:sz w:val="20"/>
              </w:rPr>
              <w:t xml:space="preserve"> </w:t>
            </w:r>
            <w:r w:rsidRPr="0087175A">
              <w:rPr>
                <w:rFonts w:ascii="Georgia" w:hAnsi="Georgia"/>
                <w:sz w:val="20"/>
              </w:rPr>
              <w:t>197</w:t>
            </w:r>
          </w:p>
        </w:tc>
      </w:tr>
    </w:tbl>
    <w:p w14:paraId="11168A96" w14:textId="77777777" w:rsidR="00C319C3" w:rsidRPr="001E419B" w:rsidRDefault="00C319C3" w:rsidP="00C319C3">
      <w:pPr>
        <w:pStyle w:val="Antrat"/>
        <w:jc w:val="both"/>
        <w:rPr>
          <w:b w:val="0"/>
          <w:i/>
          <w:lang w:val="lt-LT"/>
        </w:rPr>
      </w:pPr>
      <w:bookmarkStart w:id="26" w:name="_Toc382464048"/>
      <w:r w:rsidRPr="00082E94">
        <w:rPr>
          <w:rFonts w:cs="Georgia"/>
          <w:b w:val="0"/>
          <w:i/>
          <w:szCs w:val="20"/>
          <w:lang w:val="lt-LT"/>
        </w:rPr>
        <w:t xml:space="preserve">Šaltinis: VĮ Registrų centras. </w:t>
      </w:r>
    </w:p>
    <w:p w14:paraId="28CF49AD" w14:textId="77777777" w:rsidR="00CD0EC9" w:rsidRPr="008D7228" w:rsidRDefault="001E4B4F" w:rsidP="00336C16">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Žemiau esančioje l</w:t>
      </w:r>
      <w:r w:rsidR="00CD0EC9" w:rsidRPr="008D7228">
        <w:rPr>
          <w:rFonts w:ascii="Georgia" w:hAnsi="Georgia" w:cs="Georgia"/>
          <w:sz w:val="20"/>
          <w:szCs w:val="20"/>
          <w:lang w:val="lt-LT"/>
        </w:rPr>
        <w:t xml:space="preserve">entelėje žemiau pateiktas viešųjų pastatų pasiskirstymas pagal statybos metus. </w:t>
      </w:r>
    </w:p>
    <w:p w14:paraId="334A39A1" w14:textId="77777777" w:rsidR="00336C16" w:rsidRPr="008D7228" w:rsidRDefault="00336C16" w:rsidP="00336C16">
      <w:pPr>
        <w:autoSpaceDE w:val="0"/>
        <w:autoSpaceDN w:val="0"/>
        <w:adjustRightInd w:val="0"/>
        <w:spacing w:after="0" w:line="240" w:lineRule="auto"/>
        <w:jc w:val="both"/>
        <w:rPr>
          <w:rFonts w:ascii="Georgia" w:hAnsi="Georgia" w:cs="Georgia"/>
          <w:sz w:val="20"/>
          <w:szCs w:val="20"/>
          <w:lang w:val="lt-LT"/>
        </w:rPr>
      </w:pPr>
    </w:p>
    <w:p w14:paraId="4191AFC7" w14:textId="217977D7" w:rsidR="00336C16" w:rsidRPr="008D7228" w:rsidRDefault="00386440" w:rsidP="00386440">
      <w:pPr>
        <w:pStyle w:val="Antrat"/>
        <w:spacing w:line="276" w:lineRule="auto"/>
        <w:jc w:val="both"/>
        <w:rPr>
          <w:rFonts w:cs="Georgia"/>
          <w:i/>
          <w:szCs w:val="20"/>
          <w:lang w:val="lt-LT"/>
        </w:rPr>
      </w:pPr>
      <w:bookmarkStart w:id="27" w:name="_Toc460321587"/>
      <w:r w:rsidRPr="001E419B">
        <w:rPr>
          <w:lang w:val="lt-LT"/>
        </w:rPr>
        <w:t xml:space="preserve">Lentelė </w:t>
      </w:r>
      <w:r w:rsidRPr="001E419B">
        <w:rPr>
          <w:lang w:val="lt-LT"/>
        </w:rPr>
        <w:fldChar w:fldCharType="begin"/>
      </w:r>
      <w:r w:rsidRPr="001E419B">
        <w:rPr>
          <w:lang w:val="lt-LT"/>
        </w:rPr>
        <w:instrText xml:space="preserve"> SEQ Lentelė \* ARABIC </w:instrText>
      </w:r>
      <w:r w:rsidRPr="001E419B">
        <w:rPr>
          <w:lang w:val="lt-LT"/>
        </w:rPr>
        <w:fldChar w:fldCharType="separate"/>
      </w:r>
      <w:r w:rsidR="00AA3082">
        <w:rPr>
          <w:noProof/>
          <w:lang w:val="lt-LT"/>
        </w:rPr>
        <w:t>6</w:t>
      </w:r>
      <w:r w:rsidRPr="001E419B">
        <w:rPr>
          <w:lang w:val="lt-LT"/>
        </w:rPr>
        <w:fldChar w:fldCharType="end"/>
      </w:r>
      <w:r w:rsidRPr="001E419B">
        <w:rPr>
          <w:lang w:val="lt-LT"/>
        </w:rPr>
        <w:t xml:space="preserve">. </w:t>
      </w:r>
      <w:r w:rsidRPr="00082E94">
        <w:rPr>
          <w:rFonts w:cs="Georgia"/>
          <w:szCs w:val="20"/>
          <w:lang w:val="lt-LT"/>
        </w:rPr>
        <w:t>Viešosios paskirties pastatų pasiskirstymas pagal statybos metus.</w:t>
      </w:r>
      <w:bookmarkEnd w:id="27"/>
    </w:p>
    <w:tbl>
      <w:tblPr>
        <w:tblStyle w:val="viesussraas2parykinimas"/>
        <w:tblW w:w="5000" w:type="pct"/>
        <w:tblLook w:val="04A0" w:firstRow="1" w:lastRow="0" w:firstColumn="1" w:lastColumn="0" w:noHBand="0" w:noVBand="1"/>
      </w:tblPr>
      <w:tblGrid>
        <w:gridCol w:w="2084"/>
        <w:gridCol w:w="875"/>
        <w:gridCol w:w="898"/>
        <w:gridCol w:w="874"/>
        <w:gridCol w:w="900"/>
        <w:gridCol w:w="874"/>
        <w:gridCol w:w="963"/>
        <w:gridCol w:w="874"/>
        <w:gridCol w:w="900"/>
      </w:tblGrid>
      <w:tr w:rsidR="00350C5B" w:rsidRPr="00714494" w14:paraId="5AA4C83F" w14:textId="77777777" w:rsidTr="00A7415B">
        <w:trPr>
          <w:cnfStyle w:val="100000000000" w:firstRow="1" w:lastRow="0" w:firstColumn="0" w:lastColumn="0" w:oddVBand="0" w:evenVBand="0" w:oddHBand="0" w:evenHBand="0" w:firstRowFirstColumn="0" w:firstRowLastColumn="0" w:lastRowFirstColumn="0" w:lastRowLastColumn="0"/>
          <w:trHeight w:val="199"/>
          <w:tblHeader/>
        </w:trPr>
        <w:tc>
          <w:tcPr>
            <w:cnfStyle w:val="001000000000" w:firstRow="0" w:lastRow="0" w:firstColumn="1" w:lastColumn="0" w:oddVBand="0" w:evenVBand="0" w:oddHBand="0" w:evenHBand="0" w:firstRowFirstColumn="0" w:firstRowLastColumn="0" w:lastRowFirstColumn="0" w:lastRowLastColumn="0"/>
            <w:tcW w:w="1127" w:type="pct"/>
            <w:hideMark/>
          </w:tcPr>
          <w:p w14:paraId="0D113A6A" w14:textId="77777777" w:rsidR="00336C16" w:rsidRPr="00714494" w:rsidRDefault="00336C16">
            <w:pPr>
              <w:autoSpaceDE w:val="0"/>
              <w:autoSpaceDN w:val="0"/>
              <w:adjustRightInd w:val="0"/>
              <w:rPr>
                <w:rFonts w:ascii="Georgia" w:hAnsi="Georgia" w:cs="Arial"/>
                <w:sz w:val="20"/>
                <w:szCs w:val="20"/>
              </w:rPr>
            </w:pPr>
            <w:r w:rsidRPr="00714494">
              <w:rPr>
                <w:rFonts w:ascii="Georgia" w:hAnsi="Georgia" w:cs="Arial"/>
                <w:sz w:val="20"/>
                <w:szCs w:val="20"/>
              </w:rPr>
              <w:t xml:space="preserve">Pastato tipas </w:t>
            </w:r>
          </w:p>
        </w:tc>
        <w:tc>
          <w:tcPr>
            <w:tcW w:w="959" w:type="pct"/>
            <w:gridSpan w:val="2"/>
            <w:hideMark/>
          </w:tcPr>
          <w:p w14:paraId="68FAB52B" w14:textId="77777777" w:rsidR="00336C16" w:rsidRPr="00714494"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rPr>
            </w:pPr>
            <w:r w:rsidRPr="00714494">
              <w:rPr>
                <w:rFonts w:ascii="Georgia" w:hAnsi="Georgia" w:cs="Arial"/>
                <w:sz w:val="20"/>
                <w:szCs w:val="20"/>
              </w:rPr>
              <w:t>Iki 1940 m.</w:t>
            </w:r>
          </w:p>
        </w:tc>
        <w:tc>
          <w:tcPr>
            <w:tcW w:w="960" w:type="pct"/>
            <w:gridSpan w:val="2"/>
            <w:hideMark/>
          </w:tcPr>
          <w:p w14:paraId="75052974" w14:textId="77777777" w:rsidR="00336C16" w:rsidRPr="00714494"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rPr>
            </w:pPr>
            <w:r w:rsidRPr="00714494">
              <w:rPr>
                <w:rFonts w:ascii="Georgia" w:hAnsi="Georgia" w:cs="Arial"/>
                <w:sz w:val="20"/>
                <w:szCs w:val="20"/>
              </w:rPr>
              <w:t>1941–1960</w:t>
            </w:r>
          </w:p>
        </w:tc>
        <w:tc>
          <w:tcPr>
            <w:tcW w:w="994" w:type="pct"/>
            <w:gridSpan w:val="2"/>
            <w:hideMark/>
          </w:tcPr>
          <w:p w14:paraId="62144A7D" w14:textId="77777777" w:rsidR="00336C16" w:rsidRPr="00714494"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rPr>
            </w:pPr>
            <w:r w:rsidRPr="00714494">
              <w:rPr>
                <w:rFonts w:ascii="Georgia" w:hAnsi="Georgia" w:cs="Arial"/>
                <w:sz w:val="20"/>
                <w:szCs w:val="20"/>
              </w:rPr>
              <w:t>1961–1990</w:t>
            </w:r>
          </w:p>
        </w:tc>
        <w:tc>
          <w:tcPr>
            <w:tcW w:w="960" w:type="pct"/>
            <w:gridSpan w:val="2"/>
            <w:hideMark/>
          </w:tcPr>
          <w:p w14:paraId="3F7A8749" w14:textId="77777777" w:rsidR="00336C16" w:rsidRPr="00714494"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rPr>
            </w:pPr>
            <w:r w:rsidRPr="00714494">
              <w:rPr>
                <w:rFonts w:ascii="Georgia" w:hAnsi="Georgia" w:cs="Arial"/>
                <w:sz w:val="20"/>
                <w:szCs w:val="20"/>
              </w:rPr>
              <w:t>1991 m. ir vėliau</w:t>
            </w:r>
          </w:p>
        </w:tc>
      </w:tr>
      <w:tr w:rsidR="00CD0EC9" w14:paraId="2BB10D3C" w14:textId="77777777" w:rsidTr="00A7415B">
        <w:trPr>
          <w:cnfStyle w:val="100000000000" w:firstRow="1" w:lastRow="0" w:firstColumn="0" w:lastColumn="0" w:oddVBand="0" w:evenVBand="0" w:oddHBand="0" w:evenHBand="0" w:firstRowFirstColumn="0" w:firstRowLastColumn="0" w:lastRowFirstColumn="0" w:lastRowLastColumn="0"/>
          <w:trHeight w:val="162"/>
          <w:tblHeader/>
        </w:trPr>
        <w:tc>
          <w:tcPr>
            <w:cnfStyle w:val="001000000000" w:firstRow="0" w:lastRow="0" w:firstColumn="1" w:lastColumn="0" w:oddVBand="0" w:evenVBand="0" w:oddHBand="0" w:evenHBand="0" w:firstRowFirstColumn="0" w:firstRowLastColumn="0" w:lastRowFirstColumn="0" w:lastRowLastColumn="0"/>
            <w:tcW w:w="1127" w:type="pct"/>
          </w:tcPr>
          <w:p w14:paraId="7EA2F2B9" w14:textId="77777777" w:rsidR="00336C16" w:rsidRDefault="00336C16">
            <w:pPr>
              <w:autoSpaceDE w:val="0"/>
              <w:autoSpaceDN w:val="0"/>
              <w:adjustRightInd w:val="0"/>
              <w:rPr>
                <w:rFonts w:ascii="Georgia" w:hAnsi="Georgia" w:cs="Arial"/>
                <w:sz w:val="20"/>
                <w:szCs w:val="20"/>
              </w:rPr>
            </w:pPr>
          </w:p>
        </w:tc>
        <w:tc>
          <w:tcPr>
            <w:tcW w:w="473" w:type="pct"/>
            <w:hideMark/>
          </w:tcPr>
          <w:p w14:paraId="4C469B3E" w14:textId="77777777" w:rsidR="00336C16" w:rsidRPr="0087175A"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18"/>
                <w:szCs w:val="20"/>
              </w:rPr>
            </w:pPr>
            <w:r w:rsidRPr="0087175A">
              <w:rPr>
                <w:rFonts w:ascii="Georgia" w:hAnsi="Georgia" w:cs="Arial"/>
                <w:b w:val="0"/>
                <w:sz w:val="18"/>
                <w:szCs w:val="20"/>
              </w:rPr>
              <w:t>Pastatų skaičius</w:t>
            </w:r>
          </w:p>
        </w:tc>
        <w:tc>
          <w:tcPr>
            <w:tcW w:w="486" w:type="pct"/>
            <w:hideMark/>
          </w:tcPr>
          <w:p w14:paraId="4BBE7310" w14:textId="77777777" w:rsidR="00336C16" w:rsidRPr="0087175A"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18"/>
                <w:szCs w:val="20"/>
              </w:rPr>
            </w:pPr>
            <w:r w:rsidRPr="0087175A">
              <w:rPr>
                <w:rFonts w:ascii="Georgia" w:hAnsi="Georgia" w:cs="Arial"/>
                <w:b w:val="0"/>
                <w:sz w:val="18"/>
                <w:szCs w:val="20"/>
              </w:rPr>
              <w:t>Bendras plotas m</w:t>
            </w:r>
            <w:r w:rsidRPr="0087175A">
              <w:rPr>
                <w:rFonts w:ascii="Georgia" w:hAnsi="Georgia" w:cs="Arial"/>
                <w:b w:val="0"/>
                <w:sz w:val="18"/>
                <w:szCs w:val="20"/>
                <w:vertAlign w:val="superscript"/>
              </w:rPr>
              <w:t>2</w:t>
            </w:r>
          </w:p>
        </w:tc>
        <w:tc>
          <w:tcPr>
            <w:tcW w:w="473" w:type="pct"/>
            <w:hideMark/>
          </w:tcPr>
          <w:p w14:paraId="645108F9" w14:textId="77777777" w:rsidR="00336C16" w:rsidRPr="0087175A"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18"/>
                <w:szCs w:val="20"/>
              </w:rPr>
            </w:pPr>
            <w:r w:rsidRPr="0087175A">
              <w:rPr>
                <w:rFonts w:ascii="Georgia" w:hAnsi="Georgia" w:cs="Arial"/>
                <w:b w:val="0"/>
                <w:sz w:val="18"/>
                <w:szCs w:val="20"/>
              </w:rPr>
              <w:t>Pastatų skaičius</w:t>
            </w:r>
          </w:p>
        </w:tc>
        <w:tc>
          <w:tcPr>
            <w:tcW w:w="487" w:type="pct"/>
            <w:hideMark/>
          </w:tcPr>
          <w:p w14:paraId="13D22255" w14:textId="77777777" w:rsidR="00336C16" w:rsidRPr="0087175A"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18"/>
                <w:szCs w:val="20"/>
              </w:rPr>
            </w:pPr>
            <w:r w:rsidRPr="0087175A">
              <w:rPr>
                <w:rFonts w:ascii="Georgia" w:hAnsi="Georgia" w:cs="Arial"/>
                <w:b w:val="0"/>
                <w:sz w:val="18"/>
                <w:szCs w:val="20"/>
              </w:rPr>
              <w:t>Bendras plotas m</w:t>
            </w:r>
            <w:r w:rsidRPr="0087175A">
              <w:rPr>
                <w:rFonts w:ascii="Georgia" w:hAnsi="Georgia" w:cs="Arial"/>
                <w:b w:val="0"/>
                <w:sz w:val="18"/>
                <w:szCs w:val="20"/>
                <w:vertAlign w:val="superscript"/>
              </w:rPr>
              <w:t>2</w:t>
            </w:r>
          </w:p>
        </w:tc>
        <w:tc>
          <w:tcPr>
            <w:tcW w:w="473" w:type="pct"/>
            <w:hideMark/>
          </w:tcPr>
          <w:p w14:paraId="7F7BE39A" w14:textId="77777777" w:rsidR="00336C16" w:rsidRPr="0087175A"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18"/>
                <w:szCs w:val="20"/>
              </w:rPr>
            </w:pPr>
            <w:r w:rsidRPr="0087175A">
              <w:rPr>
                <w:rFonts w:ascii="Georgia" w:hAnsi="Georgia" w:cs="Arial"/>
                <w:b w:val="0"/>
                <w:sz w:val="18"/>
                <w:szCs w:val="20"/>
              </w:rPr>
              <w:t>Pastatų skaičius</w:t>
            </w:r>
          </w:p>
        </w:tc>
        <w:tc>
          <w:tcPr>
            <w:tcW w:w="521" w:type="pct"/>
            <w:hideMark/>
          </w:tcPr>
          <w:p w14:paraId="4ED78B26" w14:textId="77777777" w:rsidR="00336C16" w:rsidRPr="0087175A"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18"/>
                <w:szCs w:val="20"/>
              </w:rPr>
            </w:pPr>
            <w:r w:rsidRPr="0087175A">
              <w:rPr>
                <w:rFonts w:ascii="Georgia" w:hAnsi="Georgia" w:cs="Arial"/>
                <w:b w:val="0"/>
                <w:sz w:val="18"/>
                <w:szCs w:val="20"/>
              </w:rPr>
              <w:t>Bendras plotas m</w:t>
            </w:r>
            <w:r w:rsidRPr="0087175A">
              <w:rPr>
                <w:rFonts w:ascii="Georgia" w:hAnsi="Georgia" w:cs="Arial"/>
                <w:b w:val="0"/>
                <w:sz w:val="18"/>
                <w:szCs w:val="20"/>
                <w:vertAlign w:val="superscript"/>
              </w:rPr>
              <w:t>2</w:t>
            </w:r>
          </w:p>
        </w:tc>
        <w:tc>
          <w:tcPr>
            <w:tcW w:w="473" w:type="pct"/>
            <w:hideMark/>
          </w:tcPr>
          <w:p w14:paraId="3E02028D" w14:textId="77777777" w:rsidR="00336C16" w:rsidRPr="0087175A"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18"/>
                <w:szCs w:val="20"/>
              </w:rPr>
            </w:pPr>
            <w:r w:rsidRPr="0087175A">
              <w:rPr>
                <w:rFonts w:ascii="Georgia" w:hAnsi="Georgia" w:cs="Arial"/>
                <w:b w:val="0"/>
                <w:sz w:val="18"/>
                <w:szCs w:val="20"/>
              </w:rPr>
              <w:t>Pastatų skaičius</w:t>
            </w:r>
          </w:p>
        </w:tc>
        <w:tc>
          <w:tcPr>
            <w:tcW w:w="487" w:type="pct"/>
            <w:hideMark/>
          </w:tcPr>
          <w:p w14:paraId="6E28BB94" w14:textId="77777777" w:rsidR="00336C16" w:rsidRPr="0087175A" w:rsidRDefault="00336C1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18"/>
                <w:szCs w:val="20"/>
              </w:rPr>
            </w:pPr>
            <w:r w:rsidRPr="0087175A">
              <w:rPr>
                <w:rFonts w:ascii="Georgia" w:hAnsi="Georgia" w:cs="Arial"/>
                <w:b w:val="0"/>
                <w:sz w:val="18"/>
                <w:szCs w:val="20"/>
              </w:rPr>
              <w:t>Bendras plotas m</w:t>
            </w:r>
            <w:r w:rsidRPr="0087175A">
              <w:rPr>
                <w:rFonts w:ascii="Georgia" w:hAnsi="Georgia" w:cs="Arial"/>
                <w:b w:val="0"/>
                <w:sz w:val="18"/>
                <w:szCs w:val="20"/>
                <w:vertAlign w:val="superscript"/>
              </w:rPr>
              <w:t>2</w:t>
            </w:r>
          </w:p>
        </w:tc>
      </w:tr>
      <w:tr w:rsidR="00350C5B" w14:paraId="6465351C" w14:textId="77777777" w:rsidTr="00A7415B">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127" w:type="pct"/>
            <w:hideMark/>
          </w:tcPr>
          <w:p w14:paraId="42558300" w14:textId="77777777" w:rsidR="00336C16" w:rsidRDefault="00336C16">
            <w:pPr>
              <w:autoSpaceDE w:val="0"/>
              <w:autoSpaceDN w:val="0"/>
              <w:adjustRightInd w:val="0"/>
              <w:rPr>
                <w:rFonts w:ascii="Georgia" w:hAnsi="Georgia" w:cs="Arial"/>
                <w:sz w:val="20"/>
                <w:szCs w:val="20"/>
              </w:rPr>
            </w:pPr>
            <w:r>
              <w:rPr>
                <w:rFonts w:ascii="Georgia" w:hAnsi="Georgia"/>
                <w:sz w:val="20"/>
                <w:szCs w:val="20"/>
              </w:rPr>
              <w:t>Gyvenamieji namai įvairioms socialinėms grupėms</w:t>
            </w:r>
          </w:p>
        </w:tc>
        <w:tc>
          <w:tcPr>
            <w:tcW w:w="473" w:type="pct"/>
            <w:hideMark/>
          </w:tcPr>
          <w:p w14:paraId="658F666C" w14:textId="77777777"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Times New Roman"/>
                <w:sz w:val="20"/>
                <w:szCs w:val="20"/>
              </w:rPr>
              <w:t>266</w:t>
            </w:r>
          </w:p>
        </w:tc>
        <w:tc>
          <w:tcPr>
            <w:tcW w:w="486" w:type="pct"/>
            <w:hideMark/>
          </w:tcPr>
          <w:p w14:paraId="49592BC1" w14:textId="77777777"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Times New Roman"/>
                <w:sz w:val="20"/>
                <w:szCs w:val="20"/>
              </w:rPr>
              <w:t>157</w:t>
            </w:r>
            <w:r w:rsidR="00CD0EC9" w:rsidRPr="0087175A">
              <w:rPr>
                <w:rFonts w:ascii="Georgia" w:hAnsi="Georgia" w:cs="Times New Roman"/>
                <w:sz w:val="20"/>
                <w:szCs w:val="20"/>
              </w:rPr>
              <w:t xml:space="preserve"> </w:t>
            </w:r>
            <w:r w:rsidRPr="0087175A">
              <w:rPr>
                <w:rFonts w:ascii="Georgia" w:hAnsi="Georgia" w:cs="Times New Roman"/>
                <w:sz w:val="20"/>
                <w:szCs w:val="20"/>
              </w:rPr>
              <w:t>720</w:t>
            </w:r>
          </w:p>
        </w:tc>
        <w:tc>
          <w:tcPr>
            <w:tcW w:w="473" w:type="pct"/>
            <w:hideMark/>
          </w:tcPr>
          <w:p w14:paraId="7CF061E0" w14:textId="77777777"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Times New Roman"/>
                <w:sz w:val="20"/>
                <w:szCs w:val="20"/>
              </w:rPr>
              <w:t>134</w:t>
            </w:r>
          </w:p>
        </w:tc>
        <w:tc>
          <w:tcPr>
            <w:tcW w:w="487" w:type="pct"/>
            <w:hideMark/>
          </w:tcPr>
          <w:p w14:paraId="2CE7DB9E" w14:textId="77777777"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Times New Roman"/>
                <w:sz w:val="20"/>
                <w:szCs w:val="20"/>
              </w:rPr>
              <w:t>150</w:t>
            </w:r>
            <w:r w:rsidR="00CD0EC9" w:rsidRPr="0087175A">
              <w:rPr>
                <w:rFonts w:ascii="Georgia" w:hAnsi="Georgia" w:cs="Times New Roman"/>
                <w:sz w:val="20"/>
                <w:szCs w:val="20"/>
              </w:rPr>
              <w:t xml:space="preserve"> </w:t>
            </w:r>
            <w:r w:rsidRPr="0087175A">
              <w:rPr>
                <w:rFonts w:ascii="Georgia" w:hAnsi="Georgia" w:cs="Times New Roman"/>
                <w:sz w:val="20"/>
                <w:szCs w:val="20"/>
              </w:rPr>
              <w:t>830</w:t>
            </w:r>
          </w:p>
        </w:tc>
        <w:tc>
          <w:tcPr>
            <w:tcW w:w="473" w:type="pct"/>
            <w:hideMark/>
          </w:tcPr>
          <w:p w14:paraId="55E0FF02" w14:textId="77777777"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Times New Roman"/>
                <w:sz w:val="20"/>
                <w:szCs w:val="20"/>
              </w:rPr>
              <w:t>1284</w:t>
            </w:r>
          </w:p>
        </w:tc>
        <w:tc>
          <w:tcPr>
            <w:tcW w:w="521" w:type="pct"/>
            <w:hideMark/>
          </w:tcPr>
          <w:p w14:paraId="33A3DBED" w14:textId="77777777"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Times New Roman"/>
                <w:sz w:val="20"/>
                <w:szCs w:val="20"/>
              </w:rPr>
              <w:t>3</w:t>
            </w:r>
            <w:r w:rsidR="00CD0EC9" w:rsidRPr="0087175A">
              <w:rPr>
                <w:rFonts w:ascii="Georgia" w:hAnsi="Georgia" w:cs="Times New Roman"/>
                <w:sz w:val="20"/>
                <w:szCs w:val="20"/>
              </w:rPr>
              <w:t xml:space="preserve"> </w:t>
            </w:r>
            <w:r w:rsidRPr="0087175A">
              <w:rPr>
                <w:rFonts w:ascii="Georgia" w:hAnsi="Georgia" w:cs="Times New Roman"/>
                <w:sz w:val="20"/>
                <w:szCs w:val="20"/>
              </w:rPr>
              <w:t>188</w:t>
            </w:r>
            <w:r w:rsidR="00CD0EC9" w:rsidRPr="0087175A">
              <w:rPr>
                <w:rFonts w:ascii="Georgia" w:hAnsi="Georgia" w:cs="Times New Roman"/>
                <w:sz w:val="20"/>
                <w:szCs w:val="20"/>
              </w:rPr>
              <w:t xml:space="preserve"> </w:t>
            </w:r>
            <w:r w:rsidRPr="0087175A">
              <w:rPr>
                <w:rFonts w:ascii="Georgia" w:hAnsi="Georgia" w:cs="Times New Roman"/>
                <w:sz w:val="20"/>
                <w:szCs w:val="20"/>
              </w:rPr>
              <w:t>684</w:t>
            </w:r>
          </w:p>
        </w:tc>
        <w:tc>
          <w:tcPr>
            <w:tcW w:w="473" w:type="pct"/>
            <w:hideMark/>
          </w:tcPr>
          <w:p w14:paraId="3038D1AA" w14:textId="77777777"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Times New Roman"/>
                <w:sz w:val="20"/>
                <w:szCs w:val="20"/>
              </w:rPr>
              <w:t>91</w:t>
            </w:r>
          </w:p>
        </w:tc>
        <w:tc>
          <w:tcPr>
            <w:tcW w:w="487" w:type="pct"/>
            <w:hideMark/>
          </w:tcPr>
          <w:p w14:paraId="0ED033F0" w14:textId="77777777"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Times New Roman"/>
                <w:sz w:val="20"/>
                <w:szCs w:val="20"/>
              </w:rPr>
              <w:t>140</w:t>
            </w:r>
            <w:r w:rsidR="00CD0EC9" w:rsidRPr="0087175A">
              <w:rPr>
                <w:rFonts w:ascii="Georgia" w:hAnsi="Georgia" w:cs="Times New Roman"/>
                <w:sz w:val="20"/>
                <w:szCs w:val="20"/>
              </w:rPr>
              <w:t xml:space="preserve"> </w:t>
            </w:r>
            <w:r w:rsidRPr="0087175A">
              <w:rPr>
                <w:rFonts w:ascii="Georgia" w:hAnsi="Georgia" w:cs="Times New Roman"/>
                <w:sz w:val="20"/>
                <w:szCs w:val="20"/>
              </w:rPr>
              <w:t>416</w:t>
            </w:r>
          </w:p>
        </w:tc>
      </w:tr>
      <w:tr w:rsidR="00CD0EC9" w14:paraId="267305D9" w14:textId="77777777" w:rsidTr="00A7415B">
        <w:trPr>
          <w:trHeight w:val="162"/>
        </w:trPr>
        <w:tc>
          <w:tcPr>
            <w:cnfStyle w:val="001000000000" w:firstRow="0" w:lastRow="0" w:firstColumn="1" w:lastColumn="0" w:oddVBand="0" w:evenVBand="0" w:oddHBand="0" w:evenHBand="0" w:firstRowFirstColumn="0" w:firstRowLastColumn="0" w:lastRowFirstColumn="0" w:lastRowLastColumn="0"/>
            <w:tcW w:w="1127" w:type="pct"/>
            <w:hideMark/>
          </w:tcPr>
          <w:p w14:paraId="19B3527C" w14:textId="77777777" w:rsidR="00336C16" w:rsidRDefault="00336C16">
            <w:pPr>
              <w:autoSpaceDE w:val="0"/>
              <w:autoSpaceDN w:val="0"/>
              <w:adjustRightInd w:val="0"/>
              <w:rPr>
                <w:rFonts w:ascii="Georgia" w:hAnsi="Georgia" w:cs="Arial"/>
                <w:sz w:val="20"/>
                <w:szCs w:val="20"/>
              </w:rPr>
            </w:pPr>
            <w:r>
              <w:rPr>
                <w:rFonts w:ascii="Georgia" w:hAnsi="Georgia" w:cs="Arial"/>
                <w:sz w:val="20"/>
                <w:szCs w:val="20"/>
              </w:rPr>
              <w:t xml:space="preserve">Administraciniai pastatai </w:t>
            </w:r>
          </w:p>
        </w:tc>
        <w:tc>
          <w:tcPr>
            <w:tcW w:w="473" w:type="pct"/>
            <w:hideMark/>
          </w:tcPr>
          <w:p w14:paraId="0F701453" w14:textId="77777777" w:rsidR="00336C16" w:rsidRPr="0087175A" w:rsidRDefault="00336C1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1567</w:t>
            </w:r>
          </w:p>
        </w:tc>
        <w:tc>
          <w:tcPr>
            <w:tcW w:w="486" w:type="pct"/>
            <w:hideMark/>
          </w:tcPr>
          <w:p w14:paraId="59C86D3F" w14:textId="77777777" w:rsidR="00336C16" w:rsidRPr="0087175A" w:rsidRDefault="00336C1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1 186 380</w:t>
            </w:r>
          </w:p>
        </w:tc>
        <w:tc>
          <w:tcPr>
            <w:tcW w:w="473" w:type="pct"/>
            <w:hideMark/>
          </w:tcPr>
          <w:p w14:paraId="7913F375" w14:textId="77777777" w:rsidR="00336C16" w:rsidRPr="0087175A" w:rsidRDefault="00336C1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840</w:t>
            </w:r>
          </w:p>
        </w:tc>
        <w:tc>
          <w:tcPr>
            <w:tcW w:w="487" w:type="pct"/>
            <w:hideMark/>
          </w:tcPr>
          <w:p w14:paraId="0D6FCD16" w14:textId="77777777" w:rsidR="00336C16" w:rsidRPr="0087175A" w:rsidRDefault="00336C1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516 519</w:t>
            </w:r>
          </w:p>
        </w:tc>
        <w:tc>
          <w:tcPr>
            <w:tcW w:w="473" w:type="pct"/>
            <w:hideMark/>
          </w:tcPr>
          <w:p w14:paraId="151B88F5" w14:textId="77777777" w:rsidR="00336C16" w:rsidRPr="0087175A" w:rsidRDefault="00336C16" w:rsidP="002F51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6159</w:t>
            </w:r>
          </w:p>
        </w:tc>
        <w:tc>
          <w:tcPr>
            <w:tcW w:w="521" w:type="pct"/>
            <w:hideMark/>
          </w:tcPr>
          <w:p w14:paraId="5C61C8D0" w14:textId="77777777" w:rsidR="00336C16" w:rsidRPr="0087175A" w:rsidRDefault="00336C16" w:rsidP="0000201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5</w:t>
            </w:r>
            <w:r w:rsidR="00CD0EC9" w:rsidRPr="0087175A">
              <w:rPr>
                <w:rFonts w:ascii="Georgia" w:hAnsi="Georgia" w:cs="Arial"/>
                <w:sz w:val="20"/>
                <w:szCs w:val="20"/>
              </w:rPr>
              <w:t xml:space="preserve"> </w:t>
            </w:r>
            <w:r w:rsidRPr="0087175A">
              <w:rPr>
                <w:rFonts w:ascii="Georgia" w:hAnsi="Georgia" w:cs="Arial"/>
                <w:sz w:val="20"/>
                <w:szCs w:val="20"/>
              </w:rPr>
              <w:t>525 261</w:t>
            </w:r>
          </w:p>
        </w:tc>
        <w:tc>
          <w:tcPr>
            <w:tcW w:w="473" w:type="pct"/>
            <w:hideMark/>
          </w:tcPr>
          <w:p w14:paraId="2E61BB0A" w14:textId="77777777" w:rsidR="00336C16" w:rsidRPr="0087175A" w:rsidRDefault="00336C16" w:rsidP="00C07D9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1437</w:t>
            </w:r>
          </w:p>
        </w:tc>
        <w:tc>
          <w:tcPr>
            <w:tcW w:w="487" w:type="pct"/>
            <w:hideMark/>
          </w:tcPr>
          <w:p w14:paraId="7651428D" w14:textId="77777777" w:rsidR="00336C16" w:rsidRPr="0087175A" w:rsidRDefault="00336C16" w:rsidP="00F11DB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1</w:t>
            </w:r>
            <w:r w:rsidR="00CD0EC9" w:rsidRPr="0087175A">
              <w:rPr>
                <w:rFonts w:ascii="Georgia" w:hAnsi="Georgia" w:cs="Arial"/>
                <w:sz w:val="20"/>
                <w:szCs w:val="20"/>
              </w:rPr>
              <w:t xml:space="preserve"> </w:t>
            </w:r>
            <w:r w:rsidRPr="0087175A">
              <w:rPr>
                <w:rFonts w:ascii="Georgia" w:hAnsi="Georgia" w:cs="Arial"/>
                <w:sz w:val="20"/>
                <w:szCs w:val="20"/>
              </w:rPr>
              <w:t>782 062</w:t>
            </w:r>
          </w:p>
        </w:tc>
      </w:tr>
      <w:tr w:rsidR="00350C5B" w14:paraId="22B1AC41" w14:textId="77777777" w:rsidTr="00A7415B">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127" w:type="pct"/>
            <w:hideMark/>
          </w:tcPr>
          <w:p w14:paraId="25B41B98" w14:textId="77777777" w:rsidR="00336C16" w:rsidRDefault="00336C16">
            <w:pPr>
              <w:autoSpaceDE w:val="0"/>
              <w:autoSpaceDN w:val="0"/>
              <w:adjustRightInd w:val="0"/>
              <w:rPr>
                <w:rFonts w:ascii="Georgia" w:hAnsi="Georgia" w:cs="Arial"/>
                <w:sz w:val="20"/>
                <w:szCs w:val="20"/>
              </w:rPr>
            </w:pPr>
            <w:r>
              <w:rPr>
                <w:rFonts w:ascii="Georgia" w:hAnsi="Georgia" w:cs="Arial"/>
                <w:sz w:val="20"/>
                <w:szCs w:val="20"/>
              </w:rPr>
              <w:lastRenderedPageBreak/>
              <w:t xml:space="preserve">Kultūros, švietimo, sporto reikmėms naudojami pastatai </w:t>
            </w:r>
          </w:p>
        </w:tc>
        <w:tc>
          <w:tcPr>
            <w:tcW w:w="473" w:type="pct"/>
            <w:hideMark/>
          </w:tcPr>
          <w:p w14:paraId="09934DD2" w14:textId="77777777" w:rsidR="00336C16" w:rsidRPr="0087175A" w:rsidRDefault="00336C16" w:rsidP="002F51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1557</w:t>
            </w:r>
          </w:p>
        </w:tc>
        <w:tc>
          <w:tcPr>
            <w:tcW w:w="486" w:type="pct"/>
            <w:hideMark/>
          </w:tcPr>
          <w:p w14:paraId="731D1C38" w14:textId="77777777"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1 429 368</w:t>
            </w:r>
          </w:p>
        </w:tc>
        <w:tc>
          <w:tcPr>
            <w:tcW w:w="473" w:type="pct"/>
            <w:hideMark/>
          </w:tcPr>
          <w:p w14:paraId="3ED0939E" w14:textId="77777777"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653</w:t>
            </w:r>
          </w:p>
        </w:tc>
        <w:tc>
          <w:tcPr>
            <w:tcW w:w="487" w:type="pct"/>
            <w:hideMark/>
          </w:tcPr>
          <w:p w14:paraId="62BBF73A" w14:textId="77777777"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599 530</w:t>
            </w:r>
          </w:p>
        </w:tc>
        <w:tc>
          <w:tcPr>
            <w:tcW w:w="473" w:type="pct"/>
            <w:hideMark/>
          </w:tcPr>
          <w:p w14:paraId="60085C50" w14:textId="77777777"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4670</w:t>
            </w:r>
          </w:p>
        </w:tc>
        <w:tc>
          <w:tcPr>
            <w:tcW w:w="521" w:type="pct"/>
            <w:hideMark/>
          </w:tcPr>
          <w:p w14:paraId="3BCA46A6" w14:textId="77777777"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7 806 173</w:t>
            </w:r>
          </w:p>
        </w:tc>
        <w:tc>
          <w:tcPr>
            <w:tcW w:w="473" w:type="pct"/>
            <w:hideMark/>
          </w:tcPr>
          <w:p w14:paraId="5A05231F" w14:textId="77777777"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463</w:t>
            </w:r>
          </w:p>
        </w:tc>
        <w:tc>
          <w:tcPr>
            <w:tcW w:w="487" w:type="pct"/>
            <w:hideMark/>
          </w:tcPr>
          <w:p w14:paraId="12214DC8" w14:textId="77777777"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1 231 046</w:t>
            </w:r>
          </w:p>
        </w:tc>
      </w:tr>
      <w:tr w:rsidR="00CD0EC9" w14:paraId="0BC3BD42" w14:textId="77777777" w:rsidTr="00A7415B">
        <w:trPr>
          <w:trHeight w:val="161"/>
        </w:trPr>
        <w:tc>
          <w:tcPr>
            <w:cnfStyle w:val="001000000000" w:firstRow="0" w:lastRow="0" w:firstColumn="1" w:lastColumn="0" w:oddVBand="0" w:evenVBand="0" w:oddHBand="0" w:evenHBand="0" w:firstRowFirstColumn="0" w:firstRowLastColumn="0" w:lastRowFirstColumn="0" w:lastRowLastColumn="0"/>
            <w:tcW w:w="1127" w:type="pct"/>
            <w:hideMark/>
          </w:tcPr>
          <w:p w14:paraId="1529EEBE" w14:textId="77777777" w:rsidR="00336C16" w:rsidRDefault="00336C16">
            <w:pPr>
              <w:autoSpaceDE w:val="0"/>
              <w:autoSpaceDN w:val="0"/>
              <w:adjustRightInd w:val="0"/>
              <w:rPr>
                <w:rFonts w:ascii="Georgia" w:hAnsi="Georgia" w:cs="Arial"/>
                <w:sz w:val="20"/>
                <w:szCs w:val="20"/>
              </w:rPr>
            </w:pPr>
            <w:r>
              <w:rPr>
                <w:rFonts w:ascii="Georgia" w:hAnsi="Georgia" w:cs="Arial"/>
                <w:sz w:val="20"/>
                <w:szCs w:val="20"/>
              </w:rPr>
              <w:t xml:space="preserve">Medicinos reikmėms naudojami pastatai </w:t>
            </w:r>
          </w:p>
        </w:tc>
        <w:tc>
          <w:tcPr>
            <w:tcW w:w="473" w:type="pct"/>
            <w:hideMark/>
          </w:tcPr>
          <w:p w14:paraId="04B89A30" w14:textId="77777777" w:rsidR="00336C16" w:rsidRPr="0087175A" w:rsidRDefault="00336C1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426</w:t>
            </w:r>
          </w:p>
        </w:tc>
        <w:tc>
          <w:tcPr>
            <w:tcW w:w="486" w:type="pct"/>
            <w:hideMark/>
          </w:tcPr>
          <w:p w14:paraId="38FFC887" w14:textId="77777777" w:rsidR="00336C16" w:rsidRPr="0087175A" w:rsidRDefault="00336C1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386 055</w:t>
            </w:r>
          </w:p>
        </w:tc>
        <w:tc>
          <w:tcPr>
            <w:tcW w:w="473" w:type="pct"/>
            <w:hideMark/>
          </w:tcPr>
          <w:p w14:paraId="47BCB983" w14:textId="77777777" w:rsidR="00336C16" w:rsidRPr="0087175A" w:rsidRDefault="00336C1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193</w:t>
            </w:r>
          </w:p>
        </w:tc>
        <w:tc>
          <w:tcPr>
            <w:tcW w:w="487" w:type="pct"/>
            <w:hideMark/>
          </w:tcPr>
          <w:p w14:paraId="2E25A198" w14:textId="77777777" w:rsidR="00336C16" w:rsidRPr="0087175A" w:rsidRDefault="00336C1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118 127</w:t>
            </w:r>
          </w:p>
        </w:tc>
        <w:tc>
          <w:tcPr>
            <w:tcW w:w="473" w:type="pct"/>
            <w:hideMark/>
          </w:tcPr>
          <w:p w14:paraId="74B5173D" w14:textId="77777777" w:rsidR="00336C16" w:rsidRPr="0087175A" w:rsidRDefault="00336C16" w:rsidP="002F51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1010</w:t>
            </w:r>
          </w:p>
        </w:tc>
        <w:tc>
          <w:tcPr>
            <w:tcW w:w="521" w:type="pct"/>
            <w:hideMark/>
          </w:tcPr>
          <w:p w14:paraId="624962E3" w14:textId="77777777" w:rsidR="00336C16" w:rsidRPr="0087175A" w:rsidRDefault="00336C1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1 909 902</w:t>
            </w:r>
          </w:p>
        </w:tc>
        <w:tc>
          <w:tcPr>
            <w:tcW w:w="473" w:type="pct"/>
            <w:hideMark/>
          </w:tcPr>
          <w:p w14:paraId="346395AD" w14:textId="77777777" w:rsidR="00336C16" w:rsidRPr="0087175A" w:rsidRDefault="00336C1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210</w:t>
            </w:r>
          </w:p>
        </w:tc>
        <w:tc>
          <w:tcPr>
            <w:tcW w:w="487" w:type="pct"/>
            <w:hideMark/>
          </w:tcPr>
          <w:p w14:paraId="6B71E74F" w14:textId="77777777" w:rsidR="00336C16" w:rsidRPr="0087175A" w:rsidRDefault="00336C1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sidRPr="0087175A">
              <w:rPr>
                <w:rFonts w:ascii="Georgia" w:hAnsi="Georgia" w:cs="Arial"/>
                <w:sz w:val="20"/>
                <w:szCs w:val="20"/>
              </w:rPr>
              <w:t>452 796</w:t>
            </w:r>
          </w:p>
        </w:tc>
      </w:tr>
      <w:tr w:rsidR="00350C5B" w14:paraId="6896156B" w14:textId="77777777" w:rsidTr="00A7415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27" w:type="pct"/>
            <w:hideMark/>
          </w:tcPr>
          <w:p w14:paraId="6F4054AE" w14:textId="77777777" w:rsidR="00336C16" w:rsidRDefault="00336C16">
            <w:pPr>
              <w:autoSpaceDE w:val="0"/>
              <w:autoSpaceDN w:val="0"/>
              <w:adjustRightInd w:val="0"/>
              <w:rPr>
                <w:rFonts w:ascii="Georgia" w:hAnsi="Georgia" w:cs="Arial"/>
                <w:sz w:val="20"/>
                <w:szCs w:val="20"/>
              </w:rPr>
            </w:pPr>
            <w:r>
              <w:rPr>
                <w:rFonts w:ascii="Georgia" w:hAnsi="Georgia"/>
                <w:sz w:val="20"/>
                <w:szCs w:val="20"/>
              </w:rPr>
              <w:t>Specialiosios, religinės ir kitos paskirties pastatai</w:t>
            </w:r>
          </w:p>
        </w:tc>
        <w:tc>
          <w:tcPr>
            <w:tcW w:w="473" w:type="pct"/>
            <w:hideMark/>
          </w:tcPr>
          <w:p w14:paraId="11FD90E6" w14:textId="77777777"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Times New Roman"/>
                <w:sz w:val="20"/>
                <w:szCs w:val="20"/>
              </w:rPr>
              <w:t>1882</w:t>
            </w:r>
          </w:p>
        </w:tc>
        <w:tc>
          <w:tcPr>
            <w:tcW w:w="486" w:type="pct"/>
            <w:hideMark/>
          </w:tcPr>
          <w:p w14:paraId="47AC7A6E" w14:textId="77777777"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Times New Roman"/>
                <w:sz w:val="20"/>
                <w:szCs w:val="20"/>
              </w:rPr>
              <w:t>645</w:t>
            </w:r>
            <w:r w:rsidR="00CD0EC9" w:rsidRPr="0087175A">
              <w:rPr>
                <w:rFonts w:ascii="Georgia" w:hAnsi="Georgia" w:cs="Times New Roman"/>
                <w:sz w:val="20"/>
                <w:szCs w:val="20"/>
              </w:rPr>
              <w:t xml:space="preserve"> </w:t>
            </w:r>
            <w:r w:rsidRPr="0087175A">
              <w:rPr>
                <w:rFonts w:ascii="Georgia" w:hAnsi="Georgia" w:cs="Times New Roman"/>
                <w:sz w:val="20"/>
                <w:szCs w:val="20"/>
              </w:rPr>
              <w:t>911</w:t>
            </w:r>
          </w:p>
        </w:tc>
        <w:tc>
          <w:tcPr>
            <w:tcW w:w="473" w:type="pct"/>
            <w:hideMark/>
          </w:tcPr>
          <w:p w14:paraId="3EE1B49D" w14:textId="77777777"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Times New Roman"/>
                <w:sz w:val="20"/>
                <w:szCs w:val="20"/>
              </w:rPr>
              <w:t>1319</w:t>
            </w:r>
          </w:p>
        </w:tc>
        <w:tc>
          <w:tcPr>
            <w:tcW w:w="487" w:type="pct"/>
            <w:hideMark/>
          </w:tcPr>
          <w:p w14:paraId="73DABF07" w14:textId="77777777"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Times New Roman"/>
                <w:sz w:val="20"/>
                <w:szCs w:val="20"/>
              </w:rPr>
              <w:t>250</w:t>
            </w:r>
            <w:r w:rsidR="00CD0EC9" w:rsidRPr="0087175A">
              <w:rPr>
                <w:rFonts w:ascii="Georgia" w:hAnsi="Georgia" w:cs="Times New Roman"/>
                <w:sz w:val="20"/>
                <w:szCs w:val="20"/>
              </w:rPr>
              <w:t xml:space="preserve"> </w:t>
            </w:r>
            <w:r w:rsidRPr="0087175A">
              <w:rPr>
                <w:rFonts w:ascii="Georgia" w:hAnsi="Georgia" w:cs="Times New Roman"/>
                <w:sz w:val="20"/>
                <w:szCs w:val="20"/>
              </w:rPr>
              <w:t>261</w:t>
            </w:r>
          </w:p>
        </w:tc>
        <w:tc>
          <w:tcPr>
            <w:tcW w:w="473" w:type="pct"/>
            <w:hideMark/>
          </w:tcPr>
          <w:p w14:paraId="29DF6123" w14:textId="77777777"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Times New Roman"/>
                <w:sz w:val="20"/>
                <w:szCs w:val="20"/>
              </w:rPr>
              <w:t>13</w:t>
            </w:r>
            <w:r w:rsidR="00CD0EC9" w:rsidRPr="0087175A">
              <w:rPr>
                <w:rFonts w:ascii="Georgia" w:hAnsi="Georgia" w:cs="Times New Roman"/>
                <w:sz w:val="20"/>
                <w:szCs w:val="20"/>
              </w:rPr>
              <w:t xml:space="preserve"> </w:t>
            </w:r>
            <w:r w:rsidRPr="0087175A">
              <w:rPr>
                <w:rFonts w:ascii="Georgia" w:hAnsi="Georgia" w:cs="Times New Roman"/>
                <w:sz w:val="20"/>
                <w:szCs w:val="20"/>
              </w:rPr>
              <w:t>467</w:t>
            </w:r>
          </w:p>
        </w:tc>
        <w:tc>
          <w:tcPr>
            <w:tcW w:w="521" w:type="pct"/>
            <w:hideMark/>
          </w:tcPr>
          <w:p w14:paraId="799E3D46" w14:textId="77777777"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Times New Roman"/>
                <w:sz w:val="20"/>
                <w:szCs w:val="20"/>
              </w:rPr>
              <w:t>2</w:t>
            </w:r>
            <w:r w:rsidR="00CD0EC9" w:rsidRPr="0087175A">
              <w:rPr>
                <w:rFonts w:ascii="Georgia" w:hAnsi="Georgia" w:cs="Times New Roman"/>
                <w:sz w:val="20"/>
                <w:szCs w:val="20"/>
              </w:rPr>
              <w:t xml:space="preserve"> </w:t>
            </w:r>
            <w:r w:rsidRPr="0087175A">
              <w:rPr>
                <w:rFonts w:ascii="Georgia" w:hAnsi="Georgia" w:cs="Times New Roman"/>
                <w:sz w:val="20"/>
                <w:szCs w:val="20"/>
              </w:rPr>
              <w:t>750</w:t>
            </w:r>
            <w:r w:rsidR="00CD0EC9" w:rsidRPr="0087175A">
              <w:rPr>
                <w:rFonts w:ascii="Georgia" w:hAnsi="Georgia" w:cs="Times New Roman"/>
                <w:sz w:val="20"/>
                <w:szCs w:val="20"/>
              </w:rPr>
              <w:t xml:space="preserve"> </w:t>
            </w:r>
            <w:r w:rsidRPr="0087175A">
              <w:rPr>
                <w:rFonts w:ascii="Georgia" w:hAnsi="Georgia" w:cs="Times New Roman"/>
                <w:sz w:val="20"/>
                <w:szCs w:val="20"/>
              </w:rPr>
              <w:t>890</w:t>
            </w:r>
          </w:p>
        </w:tc>
        <w:tc>
          <w:tcPr>
            <w:tcW w:w="473" w:type="pct"/>
            <w:hideMark/>
          </w:tcPr>
          <w:p w14:paraId="46A1A429" w14:textId="77777777"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Times New Roman"/>
                <w:sz w:val="20"/>
                <w:szCs w:val="20"/>
              </w:rPr>
              <w:t>4129</w:t>
            </w:r>
          </w:p>
        </w:tc>
        <w:tc>
          <w:tcPr>
            <w:tcW w:w="487" w:type="pct"/>
            <w:hideMark/>
          </w:tcPr>
          <w:p w14:paraId="42238AF1" w14:textId="77777777" w:rsidR="00336C16" w:rsidRPr="0087175A" w:rsidRDefault="00336C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sidRPr="0087175A">
              <w:rPr>
                <w:rFonts w:ascii="Georgia" w:hAnsi="Georgia" w:cs="Times New Roman"/>
                <w:sz w:val="20"/>
                <w:szCs w:val="20"/>
              </w:rPr>
              <w:t>639</w:t>
            </w:r>
            <w:r w:rsidR="00CD0EC9" w:rsidRPr="0087175A">
              <w:rPr>
                <w:rFonts w:ascii="Georgia" w:hAnsi="Georgia" w:cs="Times New Roman"/>
                <w:sz w:val="20"/>
                <w:szCs w:val="20"/>
              </w:rPr>
              <w:t xml:space="preserve"> </w:t>
            </w:r>
            <w:r w:rsidRPr="0087175A">
              <w:rPr>
                <w:rFonts w:ascii="Georgia" w:hAnsi="Georgia" w:cs="Times New Roman"/>
                <w:sz w:val="20"/>
                <w:szCs w:val="20"/>
              </w:rPr>
              <w:t>338</w:t>
            </w:r>
          </w:p>
        </w:tc>
      </w:tr>
      <w:tr w:rsidR="00CD0EC9" w14:paraId="2E11F345" w14:textId="77777777" w:rsidTr="00A7415B">
        <w:trPr>
          <w:trHeight w:val="64"/>
        </w:trPr>
        <w:tc>
          <w:tcPr>
            <w:cnfStyle w:val="001000000000" w:firstRow="0" w:lastRow="0" w:firstColumn="1" w:lastColumn="0" w:oddVBand="0" w:evenVBand="0" w:oddHBand="0" w:evenHBand="0" w:firstRowFirstColumn="0" w:firstRowLastColumn="0" w:lastRowFirstColumn="0" w:lastRowLastColumn="0"/>
            <w:tcW w:w="1127" w:type="pct"/>
            <w:hideMark/>
          </w:tcPr>
          <w:p w14:paraId="60C089DA" w14:textId="77777777" w:rsidR="00336C16" w:rsidRDefault="00336C16">
            <w:pPr>
              <w:autoSpaceDE w:val="0"/>
              <w:autoSpaceDN w:val="0"/>
              <w:adjustRightInd w:val="0"/>
              <w:rPr>
                <w:rFonts w:ascii="Georgia" w:hAnsi="Georgia" w:cs="Arial"/>
                <w:sz w:val="20"/>
                <w:szCs w:val="20"/>
              </w:rPr>
            </w:pPr>
            <w:r>
              <w:rPr>
                <w:rFonts w:ascii="Georgia" w:hAnsi="Georgia" w:cs="Arial"/>
                <w:sz w:val="20"/>
                <w:szCs w:val="20"/>
              </w:rPr>
              <w:t xml:space="preserve">Iš viso </w:t>
            </w:r>
          </w:p>
        </w:tc>
        <w:tc>
          <w:tcPr>
            <w:tcW w:w="473" w:type="pct"/>
            <w:hideMark/>
          </w:tcPr>
          <w:p w14:paraId="5575642F" w14:textId="77777777" w:rsidR="00336C16" w:rsidRPr="0087175A" w:rsidRDefault="00336C16" w:rsidP="002F5127">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cs="Arial"/>
                <w:sz w:val="20"/>
                <w:szCs w:val="20"/>
              </w:rPr>
              <w:t>5698</w:t>
            </w:r>
          </w:p>
        </w:tc>
        <w:tc>
          <w:tcPr>
            <w:tcW w:w="486" w:type="pct"/>
            <w:hideMark/>
          </w:tcPr>
          <w:p w14:paraId="13913FCF" w14:textId="77777777"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cs="Arial"/>
                <w:sz w:val="20"/>
                <w:szCs w:val="20"/>
              </w:rPr>
              <w:t>3 805 434</w:t>
            </w:r>
          </w:p>
        </w:tc>
        <w:tc>
          <w:tcPr>
            <w:tcW w:w="473" w:type="pct"/>
            <w:hideMark/>
          </w:tcPr>
          <w:p w14:paraId="4649AEC8" w14:textId="77777777"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cs="Arial"/>
                <w:sz w:val="20"/>
                <w:szCs w:val="20"/>
              </w:rPr>
              <w:t>3139</w:t>
            </w:r>
          </w:p>
        </w:tc>
        <w:tc>
          <w:tcPr>
            <w:tcW w:w="487" w:type="pct"/>
            <w:hideMark/>
          </w:tcPr>
          <w:p w14:paraId="13C30C8B" w14:textId="77777777"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cs="Arial"/>
                <w:sz w:val="20"/>
                <w:szCs w:val="20"/>
              </w:rPr>
              <w:t>1 635 267</w:t>
            </w:r>
          </w:p>
        </w:tc>
        <w:tc>
          <w:tcPr>
            <w:tcW w:w="473" w:type="pct"/>
            <w:hideMark/>
          </w:tcPr>
          <w:p w14:paraId="3CC4FAD3" w14:textId="77777777"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cs="Arial"/>
                <w:sz w:val="20"/>
                <w:szCs w:val="20"/>
              </w:rPr>
              <w:t>26 590</w:t>
            </w:r>
          </w:p>
        </w:tc>
        <w:tc>
          <w:tcPr>
            <w:tcW w:w="521" w:type="pct"/>
            <w:hideMark/>
          </w:tcPr>
          <w:p w14:paraId="6BD751AF" w14:textId="77777777"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cs="Arial"/>
                <w:sz w:val="20"/>
                <w:szCs w:val="20"/>
              </w:rPr>
              <w:t>21 180 910</w:t>
            </w:r>
          </w:p>
        </w:tc>
        <w:tc>
          <w:tcPr>
            <w:tcW w:w="473" w:type="pct"/>
            <w:hideMark/>
          </w:tcPr>
          <w:p w14:paraId="3E658908" w14:textId="77777777"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cs="Arial"/>
                <w:sz w:val="20"/>
                <w:szCs w:val="20"/>
              </w:rPr>
              <w:t>6330</w:t>
            </w:r>
          </w:p>
        </w:tc>
        <w:tc>
          <w:tcPr>
            <w:tcW w:w="487" w:type="pct"/>
            <w:hideMark/>
          </w:tcPr>
          <w:p w14:paraId="5846C575" w14:textId="77777777" w:rsidR="00336C16" w:rsidRPr="0087175A" w:rsidRDefault="00336C1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87175A">
              <w:rPr>
                <w:rFonts w:ascii="Georgia" w:hAnsi="Georgia"/>
                <w:sz w:val="20"/>
                <w:szCs w:val="20"/>
              </w:rPr>
              <w:t>4 245 658</w:t>
            </w:r>
          </w:p>
        </w:tc>
      </w:tr>
    </w:tbl>
    <w:p w14:paraId="01AE68C6" w14:textId="77777777" w:rsidR="00336C16" w:rsidRPr="00350C5B" w:rsidRDefault="00CD0EC9" w:rsidP="008235B8">
      <w:pPr>
        <w:pStyle w:val="Antrat"/>
        <w:spacing w:line="276" w:lineRule="auto"/>
        <w:jc w:val="both"/>
        <w:rPr>
          <w:rFonts w:cs="Georgia"/>
          <w:i/>
          <w:szCs w:val="20"/>
          <w:lang w:val="lt-LT"/>
        </w:rPr>
      </w:pPr>
      <w:r w:rsidRPr="008235B8">
        <w:rPr>
          <w:rFonts w:cs="Georgia"/>
          <w:b w:val="0"/>
          <w:i/>
          <w:szCs w:val="20"/>
          <w:lang w:val="lt-LT"/>
        </w:rPr>
        <w:t xml:space="preserve">Šaltinis: </w:t>
      </w:r>
      <w:r>
        <w:rPr>
          <w:rFonts w:cs="Georgia"/>
          <w:b w:val="0"/>
          <w:i/>
          <w:szCs w:val="20"/>
          <w:lang w:val="lt-LT"/>
        </w:rPr>
        <w:t xml:space="preserve">VĮ </w:t>
      </w:r>
      <w:r w:rsidRPr="008235B8">
        <w:rPr>
          <w:rFonts w:cs="Georgia"/>
          <w:b w:val="0"/>
          <w:i/>
          <w:szCs w:val="20"/>
          <w:lang w:val="lt-LT"/>
        </w:rPr>
        <w:t>Registrų centras</w:t>
      </w:r>
      <w:r>
        <w:rPr>
          <w:rFonts w:cs="Georgia"/>
          <w:b w:val="0"/>
          <w:i/>
          <w:szCs w:val="20"/>
          <w:lang w:val="lt-LT"/>
        </w:rPr>
        <w:t>.</w:t>
      </w:r>
    </w:p>
    <w:bookmarkEnd w:id="26"/>
    <w:p w14:paraId="1AF62B14" w14:textId="77777777" w:rsidR="008235B8" w:rsidRDefault="008235B8" w:rsidP="008235B8">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64 % visų viešosios paskirties pastatų buvo pastatyti 1961–1990 m. laikotarpiu, kai vyravo plytinių ir stambiaplokščių pastatų statyba. Pasitaiko ir medinių konstrukcijų pastatų. Šių pastatų išorinių atitvarų šiluminės varžos charakteristikos prastos, neatitinka esamų normatyvinių reikalavimų. Juose eksploatuojama pasenusi ir neefektyvi šildymo sistema, nepakeisti žemo šilumos perdavimo koeficiento langai, inžinerinė ir mechaninė įranga susidėvėjusi. Šiluminės energijos sąnaudos, išreikštos kilovatvalandėmis patalpų naudingojo ploto vienam kvadratiniam metrui, šiuose pastatuose sudaro nuo 160-610 kWh/m</w:t>
      </w:r>
      <w:r>
        <w:rPr>
          <w:rFonts w:ascii="Georgia" w:hAnsi="Georgia" w:cs="Georgia"/>
          <w:sz w:val="20"/>
          <w:szCs w:val="20"/>
          <w:vertAlign w:val="superscript"/>
          <w:lang w:val="lt-LT"/>
        </w:rPr>
        <w:t>2</w:t>
      </w:r>
      <w:r>
        <w:rPr>
          <w:rFonts w:ascii="Georgia" w:hAnsi="Georgia" w:cs="Georgia"/>
          <w:sz w:val="20"/>
          <w:szCs w:val="20"/>
          <w:lang w:val="lt-LT"/>
        </w:rPr>
        <w:t xml:space="preserve"> per metus, o šie pastatai priskiriami E, F ir G pastato energinio naudingumo klasėms. Šių pastatų šildymui per metus vidutiniškai suvartojama apie 2300 GWh šilumos energijos.</w:t>
      </w:r>
    </w:p>
    <w:p w14:paraId="70DF6C1E" w14:textId="77777777" w:rsidR="008235B8" w:rsidRDefault="008235B8" w:rsidP="008235B8">
      <w:pPr>
        <w:autoSpaceDE w:val="0"/>
        <w:autoSpaceDN w:val="0"/>
        <w:adjustRightInd w:val="0"/>
        <w:spacing w:after="0"/>
        <w:jc w:val="both"/>
        <w:rPr>
          <w:rFonts w:ascii="Georgia" w:hAnsi="Georgia" w:cs="Georgia"/>
          <w:sz w:val="20"/>
          <w:szCs w:val="20"/>
          <w:lang w:val="lt-LT"/>
        </w:rPr>
      </w:pPr>
    </w:p>
    <w:p w14:paraId="4643A12D" w14:textId="77777777" w:rsidR="008235B8" w:rsidRDefault="008235B8" w:rsidP="008235B8">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Iki 1990 m. statyti pastatai atitiko tuo metu keliamus statybų reikalavimus, tačiau šiandien šie reikalavimai yra 3–5 kartus griežtesni; pvz., 1959–1990 m. gyvenamųjų namų išorinių pertvarų šilumos perdavimo koeficientas buvo apytiksliai 1,1–1,3 W/(m</w:t>
      </w:r>
      <w:r>
        <w:rPr>
          <w:rFonts w:ascii="Georgia" w:hAnsi="Georgia" w:cs="Georgia"/>
          <w:sz w:val="20"/>
          <w:szCs w:val="20"/>
          <w:vertAlign w:val="superscript"/>
          <w:lang w:val="lt-LT"/>
        </w:rPr>
        <w:t>2</w:t>
      </w:r>
      <w:r>
        <w:rPr>
          <w:rFonts w:ascii="Georgia" w:hAnsi="Georgia" w:cs="Georgia"/>
          <w:sz w:val="20"/>
          <w:szCs w:val="20"/>
          <w:lang w:val="lt-LT"/>
        </w:rPr>
        <w:t>K), o dabar šis rodiklis yra 0,2 W/(m</w:t>
      </w:r>
      <w:r>
        <w:rPr>
          <w:rFonts w:ascii="Georgia" w:hAnsi="Georgia" w:cs="Georgia"/>
          <w:sz w:val="20"/>
          <w:szCs w:val="20"/>
          <w:vertAlign w:val="superscript"/>
          <w:lang w:val="lt-LT"/>
        </w:rPr>
        <w:t>2</w:t>
      </w:r>
      <w:r>
        <w:rPr>
          <w:rFonts w:ascii="Georgia" w:hAnsi="Georgia" w:cs="Georgia"/>
          <w:sz w:val="20"/>
          <w:szCs w:val="20"/>
          <w:lang w:val="lt-LT"/>
        </w:rPr>
        <w:t xml:space="preserve">K) arba 5 kartus mažesnis. Įvertinus tai, akivaizdu, kad dėl blogai apšiltintų pertvarų (stogo, išorinių sienų, grindų ir langų) didžiausią dalį sudaro pastatai, kuriuose patenkinamai temperatūrai pastato viduje užtikrinti suvartojama labai daug šilumos. </w:t>
      </w:r>
    </w:p>
    <w:p w14:paraId="2B8B12F1" w14:textId="77777777" w:rsidR="008235B8" w:rsidRDefault="008235B8" w:rsidP="008235B8">
      <w:pPr>
        <w:autoSpaceDE w:val="0"/>
        <w:autoSpaceDN w:val="0"/>
        <w:adjustRightInd w:val="0"/>
        <w:spacing w:after="0"/>
        <w:jc w:val="both"/>
        <w:rPr>
          <w:rFonts w:ascii="Georgia" w:hAnsi="Georgia" w:cs="Georgia"/>
          <w:sz w:val="20"/>
          <w:szCs w:val="20"/>
          <w:lang w:val="lt-LT"/>
        </w:rPr>
      </w:pPr>
    </w:p>
    <w:p w14:paraId="116267FE" w14:textId="77777777" w:rsidR="008235B8" w:rsidRDefault="008235B8" w:rsidP="008235B8">
      <w:pPr>
        <w:autoSpaceDE w:val="0"/>
        <w:autoSpaceDN w:val="0"/>
        <w:adjustRightInd w:val="0"/>
        <w:spacing w:after="0"/>
        <w:jc w:val="both"/>
        <w:rPr>
          <w:rFonts w:ascii="Georgia" w:hAnsi="Georgia" w:cs="Georgia"/>
          <w:sz w:val="20"/>
          <w:szCs w:val="20"/>
          <w:lang w:val="lt-LT"/>
        </w:rPr>
      </w:pPr>
      <w:r w:rsidRPr="008B7585">
        <w:rPr>
          <w:rFonts w:ascii="Georgia" w:hAnsi="Georgia" w:cs="Georgia"/>
          <w:sz w:val="20"/>
          <w:szCs w:val="20"/>
          <w:lang w:val="lt-LT"/>
        </w:rPr>
        <w:t xml:space="preserve">Žemiau </w:t>
      </w:r>
      <w:r>
        <w:rPr>
          <w:rFonts w:ascii="Georgia" w:hAnsi="Georgia" w:cs="Georgia"/>
          <w:sz w:val="20"/>
          <w:szCs w:val="20"/>
          <w:lang w:val="lt-LT"/>
        </w:rPr>
        <w:t xml:space="preserve">lentelėje </w:t>
      </w:r>
      <w:r w:rsidRPr="008B7585">
        <w:rPr>
          <w:rFonts w:ascii="Georgia" w:hAnsi="Georgia" w:cs="Georgia"/>
          <w:sz w:val="20"/>
          <w:szCs w:val="20"/>
          <w:lang w:val="lt-LT"/>
        </w:rPr>
        <w:t>pateikiamas viešųjų pastatų teritorinis pasiskirstymas pagal naudojimo paskirtį ir</w:t>
      </w:r>
      <w:r>
        <w:rPr>
          <w:rFonts w:ascii="Georgia" w:hAnsi="Georgia" w:cs="Georgia"/>
          <w:sz w:val="20"/>
          <w:szCs w:val="20"/>
          <w:lang w:val="lt-LT"/>
        </w:rPr>
        <w:t xml:space="preserve"> nuosavybės formą.</w:t>
      </w:r>
    </w:p>
    <w:p w14:paraId="073C36D8" w14:textId="77777777" w:rsidR="00F65508" w:rsidRDefault="00F65508" w:rsidP="008235B8">
      <w:pPr>
        <w:autoSpaceDE w:val="0"/>
        <w:autoSpaceDN w:val="0"/>
        <w:adjustRightInd w:val="0"/>
        <w:spacing w:after="0"/>
        <w:jc w:val="both"/>
        <w:rPr>
          <w:rFonts w:ascii="Georgia" w:hAnsi="Georgia" w:cs="Georgia"/>
          <w:sz w:val="20"/>
          <w:szCs w:val="20"/>
          <w:lang w:val="lt-LT"/>
        </w:rPr>
      </w:pPr>
    </w:p>
    <w:p w14:paraId="2C10BF75" w14:textId="09A69929" w:rsidR="00336C16" w:rsidRPr="001E419B" w:rsidRDefault="00386440" w:rsidP="00386440">
      <w:pPr>
        <w:pStyle w:val="Antrat"/>
        <w:jc w:val="both"/>
        <w:rPr>
          <w:lang w:val="lt-LT"/>
        </w:rPr>
      </w:pPr>
      <w:bookmarkStart w:id="28" w:name="_Toc460321588"/>
      <w:r w:rsidRPr="001E419B">
        <w:rPr>
          <w:lang w:val="lt-LT"/>
        </w:rPr>
        <w:t xml:space="preserve">Lentelė </w:t>
      </w:r>
      <w:r w:rsidRPr="001E419B">
        <w:rPr>
          <w:lang w:val="lt-LT"/>
        </w:rPr>
        <w:fldChar w:fldCharType="begin"/>
      </w:r>
      <w:r w:rsidRPr="001E419B">
        <w:rPr>
          <w:lang w:val="lt-LT"/>
        </w:rPr>
        <w:instrText xml:space="preserve"> SEQ Lentelė \* ARABIC </w:instrText>
      </w:r>
      <w:r w:rsidRPr="001E419B">
        <w:rPr>
          <w:lang w:val="lt-LT"/>
        </w:rPr>
        <w:fldChar w:fldCharType="separate"/>
      </w:r>
      <w:r w:rsidR="00AA3082">
        <w:rPr>
          <w:noProof/>
          <w:lang w:val="lt-LT"/>
        </w:rPr>
        <w:t>7</w:t>
      </w:r>
      <w:r w:rsidRPr="001E419B">
        <w:rPr>
          <w:lang w:val="lt-LT"/>
        </w:rPr>
        <w:fldChar w:fldCharType="end"/>
      </w:r>
      <w:r w:rsidRPr="001E419B">
        <w:rPr>
          <w:lang w:val="lt-LT"/>
        </w:rPr>
        <w:t xml:space="preserve">. </w:t>
      </w:r>
      <w:r w:rsidRPr="00082E94">
        <w:rPr>
          <w:rFonts w:cs="Georgia"/>
          <w:szCs w:val="20"/>
          <w:lang w:val="lt-LT"/>
        </w:rPr>
        <w:t>Viešųjų pastatų teritorinis pasiskirstymas.</w:t>
      </w:r>
      <w:bookmarkEnd w:id="28"/>
    </w:p>
    <w:tbl>
      <w:tblPr>
        <w:tblStyle w:val="viesussraas2parykinimas"/>
        <w:tblW w:w="5000" w:type="pct"/>
        <w:tblCellMar>
          <w:left w:w="28" w:type="dxa"/>
          <w:right w:w="28" w:type="dxa"/>
        </w:tblCellMar>
        <w:tblLook w:val="04A0" w:firstRow="1" w:lastRow="0" w:firstColumn="1" w:lastColumn="0" w:noHBand="0" w:noVBand="1"/>
      </w:tblPr>
      <w:tblGrid>
        <w:gridCol w:w="1542"/>
        <w:gridCol w:w="800"/>
        <w:gridCol w:w="961"/>
        <w:gridCol w:w="661"/>
        <w:gridCol w:w="689"/>
        <w:gridCol w:w="635"/>
        <w:gridCol w:w="689"/>
        <w:gridCol w:w="813"/>
        <w:gridCol w:w="743"/>
        <w:gridCol w:w="813"/>
        <w:gridCol w:w="736"/>
      </w:tblGrid>
      <w:tr w:rsidR="00065F2F" w:rsidRPr="00714494" w14:paraId="0D936D9F" w14:textId="77777777" w:rsidTr="008717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75" w:type="pct"/>
            <w:vMerge w:val="restart"/>
            <w:tcBorders>
              <w:top w:val="single" w:sz="8" w:space="0" w:color="C0504D" w:themeColor="accent2"/>
              <w:left w:val="single" w:sz="8" w:space="0" w:color="C0504D" w:themeColor="accent2"/>
              <w:bottom w:val="nil"/>
              <w:right w:val="nil"/>
            </w:tcBorders>
            <w:hideMark/>
          </w:tcPr>
          <w:p w14:paraId="198DADD1" w14:textId="77777777" w:rsidR="00336C16" w:rsidRPr="00714494" w:rsidRDefault="00336C16">
            <w:pPr>
              <w:keepNext/>
              <w:jc w:val="center"/>
              <w:rPr>
                <w:rFonts w:ascii="Georgia" w:eastAsia="Times New Roman" w:hAnsi="Georgia"/>
                <w:sz w:val="20"/>
                <w:szCs w:val="20"/>
                <w:lang w:eastAsia="lt-LT"/>
              </w:rPr>
            </w:pPr>
            <w:r w:rsidRPr="00714494">
              <w:rPr>
                <w:rFonts w:ascii="Georgia" w:eastAsia="Times New Roman" w:hAnsi="Georgia"/>
                <w:sz w:val="20"/>
                <w:szCs w:val="20"/>
                <w:lang w:eastAsia="lt-LT"/>
              </w:rPr>
              <w:t>Apskritis</w:t>
            </w:r>
          </w:p>
        </w:tc>
        <w:tc>
          <w:tcPr>
            <w:tcW w:w="859" w:type="pct"/>
            <w:gridSpan w:val="2"/>
            <w:tcBorders>
              <w:top w:val="single" w:sz="8" w:space="0" w:color="C0504D" w:themeColor="accent2"/>
              <w:left w:val="nil"/>
              <w:bottom w:val="nil"/>
              <w:right w:val="nil"/>
            </w:tcBorders>
            <w:hideMark/>
          </w:tcPr>
          <w:p w14:paraId="6B51FB3F" w14:textId="77777777" w:rsidR="00336C16" w:rsidRPr="00714494" w:rsidRDefault="00336C16">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sidRPr="00714494">
              <w:rPr>
                <w:rFonts w:ascii="Georgia" w:eastAsia="Times New Roman" w:hAnsi="Georgia"/>
                <w:sz w:val="20"/>
                <w:szCs w:val="20"/>
                <w:lang w:eastAsia="lt-LT"/>
              </w:rPr>
              <w:t>Administracinės paskirties pastatai</w:t>
            </w:r>
          </w:p>
        </w:tc>
        <w:tc>
          <w:tcPr>
            <w:tcW w:w="781" w:type="pct"/>
            <w:gridSpan w:val="2"/>
            <w:tcBorders>
              <w:top w:val="single" w:sz="8" w:space="0" w:color="C0504D" w:themeColor="accent2"/>
              <w:left w:val="nil"/>
              <w:bottom w:val="nil"/>
              <w:right w:val="nil"/>
            </w:tcBorders>
            <w:hideMark/>
          </w:tcPr>
          <w:p w14:paraId="4320954D" w14:textId="77777777" w:rsidR="00336C16" w:rsidRPr="00714494" w:rsidRDefault="00336C16">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sidRPr="00714494">
              <w:rPr>
                <w:rFonts w:ascii="Georgia" w:hAnsi="Georgia"/>
                <w:sz w:val="20"/>
                <w:szCs w:val="20"/>
              </w:rPr>
              <w:t>Kultūros, mokslo ir sporto paskirties pastatai</w:t>
            </w:r>
          </w:p>
        </w:tc>
        <w:tc>
          <w:tcPr>
            <w:tcW w:w="749" w:type="pct"/>
            <w:gridSpan w:val="2"/>
            <w:tcBorders>
              <w:top w:val="single" w:sz="8" w:space="0" w:color="C0504D" w:themeColor="accent2"/>
              <w:left w:val="nil"/>
              <w:bottom w:val="nil"/>
              <w:right w:val="nil"/>
            </w:tcBorders>
            <w:hideMark/>
          </w:tcPr>
          <w:p w14:paraId="540C76B9" w14:textId="77777777" w:rsidR="00336C16" w:rsidRPr="00714494" w:rsidRDefault="00336C16">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sidRPr="00714494">
              <w:rPr>
                <w:rFonts w:ascii="Georgia" w:eastAsia="Times New Roman" w:hAnsi="Georgia"/>
                <w:sz w:val="20"/>
                <w:szCs w:val="20"/>
                <w:lang w:eastAsia="lt-LT"/>
              </w:rPr>
              <w:t>Gydymo paskirties pastatai</w:t>
            </w:r>
          </w:p>
        </w:tc>
        <w:tc>
          <w:tcPr>
            <w:tcW w:w="870" w:type="pct"/>
            <w:gridSpan w:val="2"/>
            <w:tcBorders>
              <w:top w:val="single" w:sz="8" w:space="0" w:color="C0504D" w:themeColor="accent2"/>
              <w:left w:val="nil"/>
              <w:bottom w:val="nil"/>
              <w:right w:val="nil"/>
            </w:tcBorders>
            <w:hideMark/>
          </w:tcPr>
          <w:p w14:paraId="7D33898B" w14:textId="77777777" w:rsidR="00336C16" w:rsidRPr="00714494" w:rsidRDefault="00336C16">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sidRPr="00714494">
              <w:rPr>
                <w:rFonts w:ascii="Georgia" w:hAnsi="Georgia"/>
                <w:sz w:val="20"/>
                <w:szCs w:val="20"/>
              </w:rPr>
              <w:t>Gyvenamieji namai įvairioms socialinėms grupėms</w:t>
            </w:r>
          </w:p>
        </w:tc>
        <w:tc>
          <w:tcPr>
            <w:tcW w:w="867" w:type="pct"/>
            <w:gridSpan w:val="2"/>
            <w:tcBorders>
              <w:top w:val="single" w:sz="8" w:space="0" w:color="C0504D" w:themeColor="accent2"/>
              <w:left w:val="nil"/>
              <w:bottom w:val="nil"/>
              <w:right w:val="single" w:sz="8" w:space="0" w:color="C0504D" w:themeColor="accent2"/>
            </w:tcBorders>
            <w:hideMark/>
          </w:tcPr>
          <w:p w14:paraId="3D30A0BE" w14:textId="77777777" w:rsidR="00336C16" w:rsidRPr="00714494" w:rsidRDefault="00336C16">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sidRPr="00714494">
              <w:rPr>
                <w:rFonts w:ascii="Georgia" w:hAnsi="Georgia"/>
                <w:sz w:val="20"/>
                <w:szCs w:val="20"/>
              </w:rPr>
              <w:t>Specialiosios, religinės ir kitos paskirties pastatai</w:t>
            </w:r>
          </w:p>
        </w:tc>
      </w:tr>
      <w:tr w:rsidR="00065F2F" w14:paraId="1F713199" w14:textId="77777777" w:rsidTr="008717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75" w:type="pct"/>
            <w:vMerge/>
            <w:tcBorders>
              <w:top w:val="single" w:sz="8" w:space="0" w:color="C0504D" w:themeColor="accent2"/>
              <w:left w:val="single" w:sz="8" w:space="0" w:color="C0504D" w:themeColor="accent2"/>
              <w:bottom w:val="nil"/>
              <w:right w:val="nil"/>
            </w:tcBorders>
            <w:vAlign w:val="center"/>
            <w:hideMark/>
          </w:tcPr>
          <w:p w14:paraId="6BE12302" w14:textId="77777777" w:rsidR="00336C16" w:rsidRDefault="00336C16">
            <w:pPr>
              <w:rPr>
                <w:rFonts w:ascii="Georgia" w:eastAsia="Times New Roman" w:hAnsi="Georgia"/>
                <w:sz w:val="20"/>
                <w:szCs w:val="20"/>
                <w:lang w:eastAsia="lt-LT"/>
              </w:rPr>
            </w:pPr>
          </w:p>
        </w:tc>
        <w:tc>
          <w:tcPr>
            <w:tcW w:w="390" w:type="pct"/>
            <w:tcBorders>
              <w:top w:val="nil"/>
              <w:left w:val="nil"/>
              <w:bottom w:val="nil"/>
              <w:right w:val="nil"/>
            </w:tcBorders>
            <w:hideMark/>
          </w:tcPr>
          <w:p w14:paraId="3708F10C" w14:textId="77777777" w:rsidR="00336C16" w:rsidRPr="0087175A" w:rsidRDefault="00336C16">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b w:val="0"/>
                <w:sz w:val="18"/>
                <w:szCs w:val="20"/>
                <w:lang w:eastAsia="lt-LT"/>
              </w:rPr>
            </w:pPr>
            <w:r w:rsidRPr="0087175A">
              <w:rPr>
                <w:rFonts w:ascii="Georgia" w:eastAsia="Times New Roman" w:hAnsi="Georgia"/>
                <w:b w:val="0"/>
                <w:sz w:val="18"/>
                <w:szCs w:val="20"/>
                <w:lang w:eastAsia="lt-LT"/>
              </w:rPr>
              <w:t>Valsty-bės</w:t>
            </w:r>
          </w:p>
        </w:tc>
        <w:tc>
          <w:tcPr>
            <w:tcW w:w="469" w:type="pct"/>
            <w:tcBorders>
              <w:top w:val="nil"/>
              <w:left w:val="nil"/>
              <w:bottom w:val="nil"/>
              <w:right w:val="nil"/>
            </w:tcBorders>
            <w:hideMark/>
          </w:tcPr>
          <w:p w14:paraId="6D1433CC" w14:textId="77777777" w:rsidR="00336C16" w:rsidRPr="0087175A" w:rsidRDefault="00336C16">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b w:val="0"/>
                <w:sz w:val="18"/>
                <w:szCs w:val="20"/>
                <w:lang w:eastAsia="lt-LT"/>
              </w:rPr>
            </w:pPr>
            <w:r w:rsidRPr="0087175A">
              <w:rPr>
                <w:rFonts w:ascii="Georgia" w:eastAsia="Times New Roman" w:hAnsi="Georgia"/>
                <w:b w:val="0"/>
                <w:sz w:val="18"/>
                <w:szCs w:val="20"/>
                <w:lang w:eastAsia="lt-LT"/>
              </w:rPr>
              <w:t>Savival-dybių</w:t>
            </w:r>
          </w:p>
        </w:tc>
        <w:tc>
          <w:tcPr>
            <w:tcW w:w="390" w:type="pct"/>
            <w:tcBorders>
              <w:top w:val="nil"/>
              <w:left w:val="nil"/>
              <w:bottom w:val="nil"/>
              <w:right w:val="nil"/>
            </w:tcBorders>
            <w:hideMark/>
          </w:tcPr>
          <w:p w14:paraId="3B13FC2A" w14:textId="77777777" w:rsidR="00336C16" w:rsidRPr="0087175A" w:rsidRDefault="00336C16">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b w:val="0"/>
                <w:sz w:val="18"/>
                <w:szCs w:val="20"/>
                <w:lang w:eastAsia="lt-LT"/>
              </w:rPr>
            </w:pPr>
            <w:r w:rsidRPr="0087175A">
              <w:rPr>
                <w:rFonts w:ascii="Georgia" w:eastAsia="Times New Roman" w:hAnsi="Georgia"/>
                <w:b w:val="0"/>
                <w:sz w:val="18"/>
                <w:szCs w:val="20"/>
                <w:lang w:eastAsia="lt-LT"/>
              </w:rPr>
              <w:t>Valsty-bės</w:t>
            </w:r>
          </w:p>
        </w:tc>
        <w:tc>
          <w:tcPr>
            <w:tcW w:w="391" w:type="pct"/>
            <w:tcBorders>
              <w:top w:val="nil"/>
              <w:left w:val="nil"/>
              <w:bottom w:val="nil"/>
              <w:right w:val="nil"/>
            </w:tcBorders>
            <w:hideMark/>
          </w:tcPr>
          <w:p w14:paraId="08BDB632" w14:textId="77777777" w:rsidR="00336C16" w:rsidRPr="0087175A" w:rsidRDefault="00336C16">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b w:val="0"/>
                <w:sz w:val="18"/>
                <w:szCs w:val="20"/>
                <w:lang w:eastAsia="lt-LT"/>
              </w:rPr>
            </w:pPr>
            <w:r w:rsidRPr="0087175A">
              <w:rPr>
                <w:rFonts w:ascii="Georgia" w:eastAsia="Times New Roman" w:hAnsi="Georgia"/>
                <w:b w:val="0"/>
                <w:sz w:val="18"/>
                <w:szCs w:val="20"/>
                <w:lang w:eastAsia="lt-LT"/>
              </w:rPr>
              <w:t>Savival-dybių</w:t>
            </w:r>
          </w:p>
        </w:tc>
        <w:tc>
          <w:tcPr>
            <w:tcW w:w="390" w:type="pct"/>
            <w:tcBorders>
              <w:top w:val="nil"/>
              <w:left w:val="nil"/>
              <w:bottom w:val="nil"/>
              <w:right w:val="nil"/>
            </w:tcBorders>
            <w:hideMark/>
          </w:tcPr>
          <w:p w14:paraId="710354F5" w14:textId="77777777" w:rsidR="00336C16" w:rsidRPr="0087175A" w:rsidRDefault="0087175A">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b w:val="0"/>
                <w:sz w:val="18"/>
                <w:szCs w:val="20"/>
                <w:lang w:eastAsia="lt-LT"/>
              </w:rPr>
            </w:pPr>
            <w:r w:rsidRPr="0087175A">
              <w:rPr>
                <w:rFonts w:ascii="Georgia" w:eastAsia="Times New Roman" w:hAnsi="Georgia"/>
                <w:b w:val="0"/>
                <w:sz w:val="18"/>
                <w:szCs w:val="20"/>
                <w:lang w:eastAsia="lt-LT"/>
              </w:rPr>
              <w:t>Valsty-</w:t>
            </w:r>
            <w:r w:rsidR="00336C16" w:rsidRPr="0087175A">
              <w:rPr>
                <w:rFonts w:ascii="Georgia" w:eastAsia="Times New Roman" w:hAnsi="Georgia"/>
                <w:b w:val="0"/>
                <w:sz w:val="18"/>
                <w:szCs w:val="20"/>
                <w:lang w:eastAsia="lt-LT"/>
              </w:rPr>
              <w:t>bės</w:t>
            </w:r>
          </w:p>
        </w:tc>
        <w:tc>
          <w:tcPr>
            <w:tcW w:w="359" w:type="pct"/>
            <w:tcBorders>
              <w:top w:val="nil"/>
              <w:left w:val="nil"/>
              <w:bottom w:val="nil"/>
              <w:right w:val="nil"/>
            </w:tcBorders>
            <w:hideMark/>
          </w:tcPr>
          <w:p w14:paraId="27DF2F12" w14:textId="77777777" w:rsidR="00336C16" w:rsidRPr="0087175A" w:rsidRDefault="00336C16">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b w:val="0"/>
                <w:sz w:val="18"/>
                <w:szCs w:val="20"/>
                <w:lang w:eastAsia="lt-LT"/>
              </w:rPr>
            </w:pPr>
            <w:r w:rsidRPr="0087175A">
              <w:rPr>
                <w:rFonts w:ascii="Georgia" w:eastAsia="Times New Roman" w:hAnsi="Georgia"/>
                <w:b w:val="0"/>
                <w:sz w:val="18"/>
                <w:szCs w:val="20"/>
                <w:lang w:eastAsia="lt-LT"/>
              </w:rPr>
              <w:t>Savival-dybių</w:t>
            </w:r>
          </w:p>
        </w:tc>
        <w:tc>
          <w:tcPr>
            <w:tcW w:w="435" w:type="pct"/>
            <w:tcBorders>
              <w:top w:val="nil"/>
              <w:left w:val="nil"/>
              <w:bottom w:val="nil"/>
              <w:right w:val="nil"/>
            </w:tcBorders>
            <w:hideMark/>
          </w:tcPr>
          <w:p w14:paraId="381D86F4" w14:textId="77777777" w:rsidR="00336C16" w:rsidRPr="0087175A" w:rsidRDefault="0087175A">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b w:val="0"/>
                <w:sz w:val="18"/>
                <w:szCs w:val="20"/>
                <w:lang w:eastAsia="lt-LT"/>
              </w:rPr>
            </w:pPr>
            <w:r w:rsidRPr="0087175A">
              <w:rPr>
                <w:rFonts w:ascii="Georgia" w:eastAsia="Times New Roman" w:hAnsi="Georgia"/>
                <w:b w:val="0"/>
                <w:sz w:val="18"/>
                <w:szCs w:val="20"/>
                <w:lang w:eastAsia="lt-LT"/>
              </w:rPr>
              <w:t>Valsty</w:t>
            </w:r>
            <w:r w:rsidR="00336C16" w:rsidRPr="0087175A">
              <w:rPr>
                <w:rFonts w:ascii="Georgia" w:eastAsia="Times New Roman" w:hAnsi="Georgia"/>
                <w:b w:val="0"/>
                <w:sz w:val="18"/>
                <w:szCs w:val="20"/>
                <w:lang w:eastAsia="lt-LT"/>
              </w:rPr>
              <w:t>bės</w:t>
            </w:r>
          </w:p>
        </w:tc>
        <w:tc>
          <w:tcPr>
            <w:tcW w:w="435" w:type="pct"/>
            <w:tcBorders>
              <w:top w:val="nil"/>
              <w:left w:val="nil"/>
              <w:bottom w:val="nil"/>
              <w:right w:val="nil"/>
            </w:tcBorders>
            <w:hideMark/>
          </w:tcPr>
          <w:p w14:paraId="5FCF0812" w14:textId="77777777" w:rsidR="00336C16" w:rsidRPr="0087175A" w:rsidRDefault="00336C16">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b w:val="0"/>
                <w:sz w:val="18"/>
                <w:szCs w:val="20"/>
                <w:lang w:eastAsia="lt-LT"/>
              </w:rPr>
            </w:pPr>
            <w:r w:rsidRPr="0087175A">
              <w:rPr>
                <w:rFonts w:ascii="Georgia" w:eastAsia="Times New Roman" w:hAnsi="Georgia"/>
                <w:b w:val="0"/>
                <w:sz w:val="18"/>
                <w:szCs w:val="20"/>
                <w:lang w:eastAsia="lt-LT"/>
              </w:rPr>
              <w:t>Savival-dybių</w:t>
            </w:r>
          </w:p>
        </w:tc>
        <w:tc>
          <w:tcPr>
            <w:tcW w:w="435" w:type="pct"/>
            <w:tcBorders>
              <w:top w:val="nil"/>
              <w:left w:val="nil"/>
              <w:bottom w:val="nil"/>
              <w:right w:val="nil"/>
            </w:tcBorders>
            <w:hideMark/>
          </w:tcPr>
          <w:p w14:paraId="247574AE" w14:textId="77777777" w:rsidR="00336C16" w:rsidRPr="0087175A" w:rsidRDefault="0087175A">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b w:val="0"/>
                <w:sz w:val="18"/>
                <w:szCs w:val="20"/>
                <w:lang w:eastAsia="lt-LT"/>
              </w:rPr>
            </w:pPr>
            <w:r w:rsidRPr="0087175A">
              <w:rPr>
                <w:rFonts w:ascii="Georgia" w:eastAsia="Times New Roman" w:hAnsi="Georgia"/>
                <w:b w:val="0"/>
                <w:sz w:val="18"/>
                <w:szCs w:val="20"/>
                <w:lang w:eastAsia="lt-LT"/>
              </w:rPr>
              <w:t>Valsty</w:t>
            </w:r>
            <w:r w:rsidR="00336C16" w:rsidRPr="0087175A">
              <w:rPr>
                <w:rFonts w:ascii="Georgia" w:eastAsia="Times New Roman" w:hAnsi="Georgia"/>
                <w:b w:val="0"/>
                <w:sz w:val="18"/>
                <w:szCs w:val="20"/>
                <w:lang w:eastAsia="lt-LT"/>
              </w:rPr>
              <w:t>bės</w:t>
            </w:r>
          </w:p>
        </w:tc>
        <w:tc>
          <w:tcPr>
            <w:tcW w:w="432" w:type="pct"/>
            <w:tcBorders>
              <w:top w:val="nil"/>
              <w:left w:val="nil"/>
              <w:bottom w:val="nil"/>
              <w:right w:val="single" w:sz="8" w:space="0" w:color="C0504D" w:themeColor="accent2"/>
            </w:tcBorders>
            <w:hideMark/>
          </w:tcPr>
          <w:p w14:paraId="4909FE65" w14:textId="77777777" w:rsidR="00336C16" w:rsidRPr="0087175A" w:rsidRDefault="00336C16">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b w:val="0"/>
                <w:sz w:val="18"/>
                <w:szCs w:val="20"/>
                <w:lang w:eastAsia="lt-LT"/>
              </w:rPr>
            </w:pPr>
            <w:r w:rsidRPr="0087175A">
              <w:rPr>
                <w:rFonts w:ascii="Georgia" w:eastAsia="Times New Roman" w:hAnsi="Georgia"/>
                <w:b w:val="0"/>
                <w:sz w:val="18"/>
                <w:szCs w:val="20"/>
                <w:lang w:eastAsia="lt-LT"/>
              </w:rPr>
              <w:t>Savival-dybių</w:t>
            </w:r>
          </w:p>
        </w:tc>
      </w:tr>
      <w:tr w:rsidR="00065F2F" w14:paraId="5B9C2C09" w14:textId="77777777" w:rsidTr="00871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Borders>
              <w:right w:val="nil"/>
            </w:tcBorders>
            <w:hideMark/>
          </w:tcPr>
          <w:p w14:paraId="54888A4E" w14:textId="77777777" w:rsidR="00336C16" w:rsidRDefault="00336C16">
            <w:pPr>
              <w:rPr>
                <w:rFonts w:ascii="Georgia" w:eastAsia="Times New Roman" w:hAnsi="Georgia"/>
                <w:sz w:val="18"/>
                <w:szCs w:val="18"/>
                <w:lang w:eastAsia="lt-LT"/>
              </w:rPr>
            </w:pPr>
            <w:r>
              <w:rPr>
                <w:rFonts w:ascii="Georgia" w:eastAsia="Times New Roman" w:hAnsi="Georgia"/>
                <w:sz w:val="18"/>
                <w:szCs w:val="18"/>
                <w:lang w:eastAsia="lt-LT"/>
              </w:rPr>
              <w:t>Alytaus</w:t>
            </w:r>
          </w:p>
        </w:tc>
        <w:tc>
          <w:tcPr>
            <w:tcW w:w="390" w:type="pct"/>
            <w:tcBorders>
              <w:left w:val="nil"/>
              <w:right w:val="nil"/>
            </w:tcBorders>
            <w:hideMark/>
          </w:tcPr>
          <w:p w14:paraId="152EB65E"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99</w:t>
            </w:r>
          </w:p>
        </w:tc>
        <w:tc>
          <w:tcPr>
            <w:tcW w:w="469" w:type="pct"/>
            <w:tcBorders>
              <w:left w:val="nil"/>
              <w:right w:val="nil"/>
            </w:tcBorders>
            <w:hideMark/>
          </w:tcPr>
          <w:p w14:paraId="3C16FA6F"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44</w:t>
            </w:r>
          </w:p>
        </w:tc>
        <w:tc>
          <w:tcPr>
            <w:tcW w:w="390" w:type="pct"/>
            <w:tcBorders>
              <w:left w:val="nil"/>
              <w:right w:val="nil"/>
            </w:tcBorders>
            <w:hideMark/>
          </w:tcPr>
          <w:p w14:paraId="58923656"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39</w:t>
            </w:r>
          </w:p>
        </w:tc>
        <w:tc>
          <w:tcPr>
            <w:tcW w:w="391" w:type="pct"/>
            <w:tcBorders>
              <w:left w:val="nil"/>
              <w:right w:val="nil"/>
            </w:tcBorders>
            <w:hideMark/>
          </w:tcPr>
          <w:p w14:paraId="7C3B5C0D"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251</w:t>
            </w:r>
          </w:p>
        </w:tc>
        <w:tc>
          <w:tcPr>
            <w:tcW w:w="390" w:type="pct"/>
            <w:tcBorders>
              <w:left w:val="nil"/>
              <w:right w:val="nil"/>
            </w:tcBorders>
            <w:hideMark/>
          </w:tcPr>
          <w:p w14:paraId="0C47649F"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27</w:t>
            </w:r>
          </w:p>
        </w:tc>
        <w:tc>
          <w:tcPr>
            <w:tcW w:w="359" w:type="pct"/>
            <w:tcBorders>
              <w:left w:val="nil"/>
              <w:right w:val="nil"/>
            </w:tcBorders>
            <w:hideMark/>
          </w:tcPr>
          <w:p w14:paraId="29EBF204"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58</w:t>
            </w:r>
          </w:p>
        </w:tc>
        <w:tc>
          <w:tcPr>
            <w:tcW w:w="435" w:type="pct"/>
            <w:tcBorders>
              <w:left w:val="nil"/>
              <w:right w:val="nil"/>
            </w:tcBorders>
            <w:hideMark/>
          </w:tcPr>
          <w:p w14:paraId="5BB05D84"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Times New Roman" w:hAnsi="Times New Roman" w:cs="Times New Roman"/>
                <w:sz w:val="16"/>
                <w:szCs w:val="16"/>
              </w:rPr>
              <w:t>11</w:t>
            </w:r>
          </w:p>
        </w:tc>
        <w:tc>
          <w:tcPr>
            <w:tcW w:w="435" w:type="pct"/>
            <w:tcBorders>
              <w:left w:val="nil"/>
              <w:right w:val="nil"/>
            </w:tcBorders>
            <w:hideMark/>
          </w:tcPr>
          <w:p w14:paraId="18007788"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15</w:t>
            </w:r>
          </w:p>
        </w:tc>
        <w:tc>
          <w:tcPr>
            <w:tcW w:w="435" w:type="pct"/>
            <w:tcBorders>
              <w:left w:val="nil"/>
              <w:right w:val="nil"/>
            </w:tcBorders>
            <w:hideMark/>
          </w:tcPr>
          <w:p w14:paraId="64F6696E"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156</w:t>
            </w:r>
          </w:p>
        </w:tc>
        <w:tc>
          <w:tcPr>
            <w:tcW w:w="432" w:type="pct"/>
            <w:tcBorders>
              <w:left w:val="nil"/>
            </w:tcBorders>
            <w:hideMark/>
          </w:tcPr>
          <w:p w14:paraId="5C3796AC"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128</w:t>
            </w:r>
          </w:p>
        </w:tc>
      </w:tr>
      <w:tr w:rsidR="00065F2F" w14:paraId="747EE8E9" w14:textId="77777777" w:rsidTr="0087175A">
        <w:tc>
          <w:tcPr>
            <w:cnfStyle w:val="001000000000" w:firstRow="0" w:lastRow="0" w:firstColumn="1" w:lastColumn="0" w:oddVBand="0" w:evenVBand="0" w:oddHBand="0" w:evenHBand="0" w:firstRowFirstColumn="0" w:firstRowLastColumn="0" w:lastRowFirstColumn="0" w:lastRowLastColumn="0"/>
            <w:tcW w:w="875" w:type="pct"/>
            <w:tcBorders>
              <w:top w:val="nil"/>
              <w:left w:val="single" w:sz="8" w:space="0" w:color="C0504D" w:themeColor="accent2"/>
              <w:bottom w:val="nil"/>
              <w:right w:val="nil"/>
            </w:tcBorders>
            <w:hideMark/>
          </w:tcPr>
          <w:p w14:paraId="11523029" w14:textId="77777777" w:rsidR="00336C16" w:rsidRDefault="00336C16">
            <w:pPr>
              <w:rPr>
                <w:rFonts w:ascii="Georgia" w:eastAsia="Times New Roman" w:hAnsi="Georgia"/>
                <w:sz w:val="18"/>
                <w:szCs w:val="18"/>
                <w:lang w:eastAsia="lt-LT"/>
              </w:rPr>
            </w:pPr>
            <w:r>
              <w:rPr>
                <w:rFonts w:ascii="Georgia" w:eastAsia="Times New Roman" w:hAnsi="Georgia"/>
                <w:sz w:val="18"/>
                <w:szCs w:val="18"/>
                <w:lang w:eastAsia="lt-LT"/>
              </w:rPr>
              <w:t>Kauno</w:t>
            </w:r>
          </w:p>
        </w:tc>
        <w:tc>
          <w:tcPr>
            <w:tcW w:w="390" w:type="pct"/>
            <w:tcBorders>
              <w:top w:val="nil"/>
              <w:left w:val="nil"/>
              <w:bottom w:val="nil"/>
              <w:right w:val="nil"/>
            </w:tcBorders>
            <w:hideMark/>
          </w:tcPr>
          <w:p w14:paraId="190E5509"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242</w:t>
            </w:r>
          </w:p>
        </w:tc>
        <w:tc>
          <w:tcPr>
            <w:tcW w:w="469" w:type="pct"/>
            <w:tcBorders>
              <w:top w:val="nil"/>
              <w:left w:val="nil"/>
              <w:bottom w:val="nil"/>
              <w:right w:val="nil"/>
            </w:tcBorders>
            <w:hideMark/>
          </w:tcPr>
          <w:p w14:paraId="55E10054"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129</w:t>
            </w:r>
          </w:p>
        </w:tc>
        <w:tc>
          <w:tcPr>
            <w:tcW w:w="390" w:type="pct"/>
            <w:tcBorders>
              <w:top w:val="nil"/>
              <w:left w:val="nil"/>
              <w:bottom w:val="nil"/>
              <w:right w:val="nil"/>
            </w:tcBorders>
            <w:hideMark/>
          </w:tcPr>
          <w:p w14:paraId="33D669FD"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244</w:t>
            </w:r>
          </w:p>
        </w:tc>
        <w:tc>
          <w:tcPr>
            <w:tcW w:w="391" w:type="pct"/>
            <w:tcBorders>
              <w:top w:val="nil"/>
              <w:left w:val="nil"/>
              <w:bottom w:val="nil"/>
              <w:right w:val="nil"/>
            </w:tcBorders>
            <w:hideMark/>
          </w:tcPr>
          <w:p w14:paraId="43ACCFB9"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741</w:t>
            </w:r>
          </w:p>
        </w:tc>
        <w:tc>
          <w:tcPr>
            <w:tcW w:w="390" w:type="pct"/>
            <w:tcBorders>
              <w:top w:val="nil"/>
              <w:left w:val="nil"/>
              <w:bottom w:val="nil"/>
              <w:right w:val="nil"/>
            </w:tcBorders>
            <w:hideMark/>
          </w:tcPr>
          <w:p w14:paraId="57A9CA9E"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86</w:t>
            </w:r>
          </w:p>
        </w:tc>
        <w:tc>
          <w:tcPr>
            <w:tcW w:w="359" w:type="pct"/>
            <w:tcBorders>
              <w:top w:val="nil"/>
              <w:left w:val="nil"/>
              <w:bottom w:val="nil"/>
              <w:right w:val="nil"/>
            </w:tcBorders>
            <w:hideMark/>
          </w:tcPr>
          <w:p w14:paraId="27CEE425"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116</w:t>
            </w:r>
          </w:p>
        </w:tc>
        <w:tc>
          <w:tcPr>
            <w:tcW w:w="435" w:type="pct"/>
            <w:tcBorders>
              <w:top w:val="nil"/>
              <w:left w:val="nil"/>
              <w:bottom w:val="nil"/>
              <w:right w:val="nil"/>
            </w:tcBorders>
            <w:hideMark/>
          </w:tcPr>
          <w:p w14:paraId="471323A0"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57</w:t>
            </w:r>
          </w:p>
        </w:tc>
        <w:tc>
          <w:tcPr>
            <w:tcW w:w="435" w:type="pct"/>
            <w:tcBorders>
              <w:top w:val="nil"/>
              <w:left w:val="nil"/>
              <w:bottom w:val="nil"/>
              <w:right w:val="nil"/>
            </w:tcBorders>
            <w:hideMark/>
          </w:tcPr>
          <w:p w14:paraId="444A9634"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26</w:t>
            </w:r>
          </w:p>
        </w:tc>
        <w:tc>
          <w:tcPr>
            <w:tcW w:w="435" w:type="pct"/>
            <w:tcBorders>
              <w:top w:val="nil"/>
              <w:left w:val="nil"/>
              <w:bottom w:val="nil"/>
              <w:right w:val="nil"/>
            </w:tcBorders>
            <w:hideMark/>
          </w:tcPr>
          <w:p w14:paraId="7C712400"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607</w:t>
            </w:r>
          </w:p>
        </w:tc>
        <w:tc>
          <w:tcPr>
            <w:tcW w:w="432" w:type="pct"/>
            <w:tcBorders>
              <w:top w:val="nil"/>
              <w:left w:val="nil"/>
              <w:bottom w:val="nil"/>
              <w:right w:val="single" w:sz="8" w:space="0" w:color="C0504D" w:themeColor="accent2"/>
            </w:tcBorders>
            <w:hideMark/>
          </w:tcPr>
          <w:p w14:paraId="1B7F0F69"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262</w:t>
            </w:r>
          </w:p>
        </w:tc>
      </w:tr>
      <w:tr w:rsidR="00065F2F" w14:paraId="6F2D7805" w14:textId="77777777" w:rsidTr="00871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Borders>
              <w:right w:val="nil"/>
            </w:tcBorders>
            <w:hideMark/>
          </w:tcPr>
          <w:p w14:paraId="43BA3492" w14:textId="77777777" w:rsidR="00336C16" w:rsidRDefault="00336C16">
            <w:pPr>
              <w:rPr>
                <w:rFonts w:ascii="Georgia" w:eastAsia="Times New Roman" w:hAnsi="Georgia"/>
                <w:sz w:val="18"/>
                <w:szCs w:val="18"/>
                <w:lang w:eastAsia="lt-LT"/>
              </w:rPr>
            </w:pPr>
            <w:r>
              <w:rPr>
                <w:rFonts w:ascii="Georgia" w:eastAsia="Times New Roman" w:hAnsi="Georgia"/>
                <w:sz w:val="18"/>
                <w:szCs w:val="18"/>
                <w:lang w:eastAsia="lt-LT"/>
              </w:rPr>
              <w:t>Klaipėdos</w:t>
            </w:r>
          </w:p>
        </w:tc>
        <w:tc>
          <w:tcPr>
            <w:tcW w:w="390" w:type="pct"/>
            <w:tcBorders>
              <w:left w:val="nil"/>
              <w:right w:val="nil"/>
            </w:tcBorders>
            <w:hideMark/>
          </w:tcPr>
          <w:p w14:paraId="597F9DAE"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158</w:t>
            </w:r>
          </w:p>
        </w:tc>
        <w:tc>
          <w:tcPr>
            <w:tcW w:w="469" w:type="pct"/>
            <w:tcBorders>
              <w:left w:val="nil"/>
              <w:right w:val="nil"/>
            </w:tcBorders>
            <w:hideMark/>
          </w:tcPr>
          <w:p w14:paraId="0FD0F17C"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63</w:t>
            </w:r>
          </w:p>
        </w:tc>
        <w:tc>
          <w:tcPr>
            <w:tcW w:w="390" w:type="pct"/>
            <w:tcBorders>
              <w:left w:val="nil"/>
              <w:right w:val="nil"/>
            </w:tcBorders>
            <w:hideMark/>
          </w:tcPr>
          <w:p w14:paraId="5DCCCA48"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114</w:t>
            </w:r>
          </w:p>
        </w:tc>
        <w:tc>
          <w:tcPr>
            <w:tcW w:w="391" w:type="pct"/>
            <w:tcBorders>
              <w:left w:val="nil"/>
              <w:right w:val="nil"/>
            </w:tcBorders>
            <w:hideMark/>
          </w:tcPr>
          <w:p w14:paraId="14791AC1"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443</w:t>
            </w:r>
          </w:p>
        </w:tc>
        <w:tc>
          <w:tcPr>
            <w:tcW w:w="390" w:type="pct"/>
            <w:tcBorders>
              <w:left w:val="nil"/>
              <w:right w:val="nil"/>
            </w:tcBorders>
            <w:hideMark/>
          </w:tcPr>
          <w:p w14:paraId="0504157D"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47</w:t>
            </w:r>
          </w:p>
        </w:tc>
        <w:tc>
          <w:tcPr>
            <w:tcW w:w="359" w:type="pct"/>
            <w:tcBorders>
              <w:left w:val="nil"/>
              <w:right w:val="nil"/>
            </w:tcBorders>
            <w:hideMark/>
          </w:tcPr>
          <w:p w14:paraId="08B918CE"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71</w:t>
            </w:r>
          </w:p>
        </w:tc>
        <w:tc>
          <w:tcPr>
            <w:tcW w:w="435" w:type="pct"/>
            <w:tcBorders>
              <w:left w:val="nil"/>
              <w:right w:val="nil"/>
            </w:tcBorders>
            <w:hideMark/>
          </w:tcPr>
          <w:p w14:paraId="3FF959BF"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34</w:t>
            </w:r>
          </w:p>
        </w:tc>
        <w:tc>
          <w:tcPr>
            <w:tcW w:w="435" w:type="pct"/>
            <w:tcBorders>
              <w:left w:val="nil"/>
              <w:right w:val="nil"/>
            </w:tcBorders>
            <w:hideMark/>
          </w:tcPr>
          <w:p w14:paraId="5BF4D618"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25</w:t>
            </w:r>
          </w:p>
        </w:tc>
        <w:tc>
          <w:tcPr>
            <w:tcW w:w="435" w:type="pct"/>
            <w:tcBorders>
              <w:left w:val="nil"/>
              <w:right w:val="nil"/>
            </w:tcBorders>
            <w:hideMark/>
          </w:tcPr>
          <w:p w14:paraId="5AC62B29"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212</w:t>
            </w:r>
          </w:p>
        </w:tc>
        <w:tc>
          <w:tcPr>
            <w:tcW w:w="432" w:type="pct"/>
            <w:tcBorders>
              <w:left w:val="nil"/>
            </w:tcBorders>
            <w:hideMark/>
          </w:tcPr>
          <w:p w14:paraId="7F72B8EE"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184</w:t>
            </w:r>
          </w:p>
        </w:tc>
      </w:tr>
      <w:tr w:rsidR="00065F2F" w14:paraId="49AEB151" w14:textId="77777777" w:rsidTr="0087175A">
        <w:tc>
          <w:tcPr>
            <w:cnfStyle w:val="001000000000" w:firstRow="0" w:lastRow="0" w:firstColumn="1" w:lastColumn="0" w:oddVBand="0" w:evenVBand="0" w:oddHBand="0" w:evenHBand="0" w:firstRowFirstColumn="0" w:firstRowLastColumn="0" w:lastRowFirstColumn="0" w:lastRowLastColumn="0"/>
            <w:tcW w:w="875" w:type="pct"/>
            <w:tcBorders>
              <w:top w:val="nil"/>
              <w:left w:val="single" w:sz="8" w:space="0" w:color="C0504D" w:themeColor="accent2"/>
              <w:bottom w:val="nil"/>
              <w:right w:val="nil"/>
            </w:tcBorders>
            <w:hideMark/>
          </w:tcPr>
          <w:p w14:paraId="3E6257DF" w14:textId="77777777" w:rsidR="00336C16" w:rsidRDefault="00065F2F">
            <w:pPr>
              <w:rPr>
                <w:rFonts w:ascii="Georgia" w:eastAsia="Times New Roman" w:hAnsi="Georgia"/>
                <w:sz w:val="18"/>
                <w:szCs w:val="18"/>
                <w:lang w:eastAsia="lt-LT"/>
              </w:rPr>
            </w:pPr>
            <w:r>
              <w:rPr>
                <w:rFonts w:ascii="Georgia" w:eastAsia="Times New Roman" w:hAnsi="Georgia"/>
                <w:sz w:val="18"/>
                <w:szCs w:val="18"/>
                <w:lang w:eastAsia="lt-LT"/>
              </w:rPr>
              <w:t>Marijam</w:t>
            </w:r>
            <w:r w:rsidR="00336C16">
              <w:rPr>
                <w:rFonts w:ascii="Georgia" w:eastAsia="Times New Roman" w:hAnsi="Georgia"/>
                <w:sz w:val="18"/>
                <w:szCs w:val="18"/>
                <w:lang w:eastAsia="lt-LT"/>
              </w:rPr>
              <w:t>polės</w:t>
            </w:r>
          </w:p>
        </w:tc>
        <w:tc>
          <w:tcPr>
            <w:tcW w:w="390" w:type="pct"/>
            <w:tcBorders>
              <w:top w:val="nil"/>
              <w:left w:val="nil"/>
              <w:bottom w:val="nil"/>
              <w:right w:val="nil"/>
            </w:tcBorders>
            <w:hideMark/>
          </w:tcPr>
          <w:p w14:paraId="5DD1C9D2"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61</w:t>
            </w:r>
          </w:p>
        </w:tc>
        <w:tc>
          <w:tcPr>
            <w:tcW w:w="469" w:type="pct"/>
            <w:tcBorders>
              <w:top w:val="nil"/>
              <w:left w:val="nil"/>
              <w:bottom w:val="nil"/>
              <w:right w:val="nil"/>
            </w:tcBorders>
            <w:hideMark/>
          </w:tcPr>
          <w:p w14:paraId="543865E3"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62</w:t>
            </w:r>
          </w:p>
        </w:tc>
        <w:tc>
          <w:tcPr>
            <w:tcW w:w="390" w:type="pct"/>
            <w:tcBorders>
              <w:top w:val="nil"/>
              <w:left w:val="nil"/>
              <w:bottom w:val="nil"/>
              <w:right w:val="nil"/>
            </w:tcBorders>
            <w:hideMark/>
          </w:tcPr>
          <w:p w14:paraId="12A9A530"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35</w:t>
            </w:r>
          </w:p>
        </w:tc>
        <w:tc>
          <w:tcPr>
            <w:tcW w:w="391" w:type="pct"/>
            <w:tcBorders>
              <w:top w:val="nil"/>
              <w:left w:val="nil"/>
              <w:bottom w:val="nil"/>
              <w:right w:val="nil"/>
            </w:tcBorders>
            <w:hideMark/>
          </w:tcPr>
          <w:p w14:paraId="1132CF3F"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303</w:t>
            </w:r>
          </w:p>
        </w:tc>
        <w:tc>
          <w:tcPr>
            <w:tcW w:w="390" w:type="pct"/>
            <w:tcBorders>
              <w:top w:val="nil"/>
              <w:left w:val="nil"/>
              <w:bottom w:val="nil"/>
              <w:right w:val="nil"/>
            </w:tcBorders>
            <w:hideMark/>
          </w:tcPr>
          <w:p w14:paraId="65456F30"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5</w:t>
            </w:r>
          </w:p>
        </w:tc>
        <w:tc>
          <w:tcPr>
            <w:tcW w:w="359" w:type="pct"/>
            <w:tcBorders>
              <w:top w:val="nil"/>
              <w:left w:val="nil"/>
              <w:bottom w:val="nil"/>
              <w:right w:val="nil"/>
            </w:tcBorders>
            <w:hideMark/>
          </w:tcPr>
          <w:p w14:paraId="33C77355"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43</w:t>
            </w:r>
          </w:p>
        </w:tc>
        <w:tc>
          <w:tcPr>
            <w:tcW w:w="435" w:type="pct"/>
            <w:tcBorders>
              <w:top w:val="nil"/>
              <w:left w:val="nil"/>
              <w:bottom w:val="nil"/>
              <w:right w:val="nil"/>
            </w:tcBorders>
            <w:hideMark/>
          </w:tcPr>
          <w:p w14:paraId="05A05721"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17</w:t>
            </w:r>
          </w:p>
        </w:tc>
        <w:tc>
          <w:tcPr>
            <w:tcW w:w="435" w:type="pct"/>
            <w:tcBorders>
              <w:top w:val="nil"/>
              <w:left w:val="nil"/>
              <w:bottom w:val="nil"/>
              <w:right w:val="nil"/>
            </w:tcBorders>
            <w:hideMark/>
          </w:tcPr>
          <w:p w14:paraId="733B38E5"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12</w:t>
            </w:r>
          </w:p>
        </w:tc>
        <w:tc>
          <w:tcPr>
            <w:tcW w:w="435" w:type="pct"/>
            <w:tcBorders>
              <w:top w:val="nil"/>
              <w:left w:val="nil"/>
              <w:bottom w:val="nil"/>
              <w:right w:val="nil"/>
            </w:tcBorders>
            <w:hideMark/>
          </w:tcPr>
          <w:p w14:paraId="420293F7"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138</w:t>
            </w:r>
          </w:p>
        </w:tc>
        <w:tc>
          <w:tcPr>
            <w:tcW w:w="432" w:type="pct"/>
            <w:tcBorders>
              <w:top w:val="nil"/>
              <w:left w:val="nil"/>
              <w:bottom w:val="nil"/>
              <w:right w:val="single" w:sz="8" w:space="0" w:color="C0504D" w:themeColor="accent2"/>
            </w:tcBorders>
            <w:hideMark/>
          </w:tcPr>
          <w:p w14:paraId="77F33E6C"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219</w:t>
            </w:r>
          </w:p>
        </w:tc>
      </w:tr>
      <w:tr w:rsidR="00065F2F" w14:paraId="407811ED" w14:textId="77777777" w:rsidTr="00871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Borders>
              <w:right w:val="nil"/>
            </w:tcBorders>
            <w:hideMark/>
          </w:tcPr>
          <w:p w14:paraId="4DD54279" w14:textId="77777777" w:rsidR="00336C16" w:rsidRDefault="00336C16">
            <w:pPr>
              <w:rPr>
                <w:rFonts w:ascii="Georgia" w:eastAsia="Times New Roman" w:hAnsi="Georgia"/>
                <w:sz w:val="18"/>
                <w:szCs w:val="18"/>
                <w:lang w:eastAsia="lt-LT"/>
              </w:rPr>
            </w:pPr>
            <w:r>
              <w:rPr>
                <w:rFonts w:ascii="Georgia" w:eastAsia="Times New Roman" w:hAnsi="Georgia"/>
                <w:sz w:val="18"/>
                <w:szCs w:val="18"/>
                <w:lang w:eastAsia="lt-LT"/>
              </w:rPr>
              <w:t>Panevėžio</w:t>
            </w:r>
          </w:p>
        </w:tc>
        <w:tc>
          <w:tcPr>
            <w:tcW w:w="390" w:type="pct"/>
            <w:tcBorders>
              <w:left w:val="nil"/>
              <w:right w:val="nil"/>
            </w:tcBorders>
            <w:hideMark/>
          </w:tcPr>
          <w:p w14:paraId="0963F1D4"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113</w:t>
            </w:r>
          </w:p>
        </w:tc>
        <w:tc>
          <w:tcPr>
            <w:tcW w:w="469" w:type="pct"/>
            <w:tcBorders>
              <w:left w:val="nil"/>
              <w:right w:val="nil"/>
            </w:tcBorders>
            <w:hideMark/>
          </w:tcPr>
          <w:p w14:paraId="5A410BA2"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75</w:t>
            </w:r>
          </w:p>
        </w:tc>
        <w:tc>
          <w:tcPr>
            <w:tcW w:w="390" w:type="pct"/>
            <w:tcBorders>
              <w:left w:val="nil"/>
              <w:right w:val="nil"/>
            </w:tcBorders>
            <w:hideMark/>
          </w:tcPr>
          <w:p w14:paraId="0C6839D8"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48</w:t>
            </w:r>
          </w:p>
        </w:tc>
        <w:tc>
          <w:tcPr>
            <w:tcW w:w="391" w:type="pct"/>
            <w:tcBorders>
              <w:left w:val="nil"/>
              <w:right w:val="nil"/>
            </w:tcBorders>
            <w:hideMark/>
          </w:tcPr>
          <w:p w14:paraId="157FCDD7"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421</w:t>
            </w:r>
          </w:p>
        </w:tc>
        <w:tc>
          <w:tcPr>
            <w:tcW w:w="390" w:type="pct"/>
            <w:tcBorders>
              <w:left w:val="nil"/>
              <w:right w:val="nil"/>
            </w:tcBorders>
            <w:hideMark/>
          </w:tcPr>
          <w:p w14:paraId="630877B0"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37</w:t>
            </w:r>
          </w:p>
        </w:tc>
        <w:tc>
          <w:tcPr>
            <w:tcW w:w="359" w:type="pct"/>
            <w:tcBorders>
              <w:left w:val="nil"/>
              <w:right w:val="nil"/>
            </w:tcBorders>
            <w:hideMark/>
          </w:tcPr>
          <w:p w14:paraId="56E478D2"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56</w:t>
            </w:r>
          </w:p>
        </w:tc>
        <w:tc>
          <w:tcPr>
            <w:tcW w:w="435" w:type="pct"/>
            <w:tcBorders>
              <w:left w:val="nil"/>
              <w:right w:val="nil"/>
            </w:tcBorders>
            <w:hideMark/>
          </w:tcPr>
          <w:p w14:paraId="15FC00FC"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30</w:t>
            </w:r>
          </w:p>
        </w:tc>
        <w:tc>
          <w:tcPr>
            <w:tcW w:w="435" w:type="pct"/>
            <w:tcBorders>
              <w:left w:val="nil"/>
              <w:right w:val="nil"/>
            </w:tcBorders>
            <w:hideMark/>
          </w:tcPr>
          <w:p w14:paraId="7FBE7E36"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19</w:t>
            </w:r>
          </w:p>
        </w:tc>
        <w:tc>
          <w:tcPr>
            <w:tcW w:w="435" w:type="pct"/>
            <w:tcBorders>
              <w:left w:val="nil"/>
              <w:right w:val="nil"/>
            </w:tcBorders>
            <w:hideMark/>
          </w:tcPr>
          <w:p w14:paraId="49FCE670"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161</w:t>
            </w:r>
          </w:p>
        </w:tc>
        <w:tc>
          <w:tcPr>
            <w:tcW w:w="432" w:type="pct"/>
            <w:tcBorders>
              <w:left w:val="nil"/>
            </w:tcBorders>
            <w:hideMark/>
          </w:tcPr>
          <w:p w14:paraId="0621243E"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157</w:t>
            </w:r>
          </w:p>
        </w:tc>
      </w:tr>
      <w:tr w:rsidR="00065F2F" w14:paraId="48A577D7" w14:textId="77777777" w:rsidTr="0087175A">
        <w:tc>
          <w:tcPr>
            <w:cnfStyle w:val="001000000000" w:firstRow="0" w:lastRow="0" w:firstColumn="1" w:lastColumn="0" w:oddVBand="0" w:evenVBand="0" w:oddHBand="0" w:evenHBand="0" w:firstRowFirstColumn="0" w:firstRowLastColumn="0" w:lastRowFirstColumn="0" w:lastRowLastColumn="0"/>
            <w:tcW w:w="875" w:type="pct"/>
            <w:tcBorders>
              <w:top w:val="nil"/>
              <w:left w:val="single" w:sz="8" w:space="0" w:color="C0504D" w:themeColor="accent2"/>
              <w:bottom w:val="nil"/>
              <w:right w:val="nil"/>
            </w:tcBorders>
            <w:hideMark/>
          </w:tcPr>
          <w:p w14:paraId="59547BCD" w14:textId="77777777" w:rsidR="00336C16" w:rsidRDefault="00336C16">
            <w:pPr>
              <w:rPr>
                <w:rFonts w:ascii="Georgia" w:eastAsia="Times New Roman" w:hAnsi="Georgia"/>
                <w:sz w:val="18"/>
                <w:szCs w:val="18"/>
                <w:lang w:eastAsia="lt-LT"/>
              </w:rPr>
            </w:pPr>
            <w:r>
              <w:rPr>
                <w:rFonts w:ascii="Georgia" w:eastAsia="Times New Roman" w:hAnsi="Georgia"/>
                <w:sz w:val="18"/>
                <w:szCs w:val="18"/>
                <w:lang w:eastAsia="lt-LT"/>
              </w:rPr>
              <w:t>Šiaulių</w:t>
            </w:r>
          </w:p>
        </w:tc>
        <w:tc>
          <w:tcPr>
            <w:tcW w:w="390" w:type="pct"/>
            <w:tcBorders>
              <w:top w:val="nil"/>
              <w:left w:val="nil"/>
              <w:bottom w:val="nil"/>
              <w:right w:val="nil"/>
            </w:tcBorders>
            <w:hideMark/>
          </w:tcPr>
          <w:p w14:paraId="191E44FC"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210</w:t>
            </w:r>
          </w:p>
        </w:tc>
        <w:tc>
          <w:tcPr>
            <w:tcW w:w="469" w:type="pct"/>
            <w:tcBorders>
              <w:top w:val="nil"/>
              <w:left w:val="nil"/>
              <w:bottom w:val="nil"/>
              <w:right w:val="nil"/>
            </w:tcBorders>
            <w:hideMark/>
          </w:tcPr>
          <w:p w14:paraId="39494566"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127</w:t>
            </w:r>
          </w:p>
        </w:tc>
        <w:tc>
          <w:tcPr>
            <w:tcW w:w="390" w:type="pct"/>
            <w:tcBorders>
              <w:top w:val="nil"/>
              <w:left w:val="nil"/>
              <w:bottom w:val="nil"/>
              <w:right w:val="nil"/>
            </w:tcBorders>
            <w:hideMark/>
          </w:tcPr>
          <w:p w14:paraId="4AF82954"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78</w:t>
            </w:r>
          </w:p>
        </w:tc>
        <w:tc>
          <w:tcPr>
            <w:tcW w:w="391" w:type="pct"/>
            <w:tcBorders>
              <w:top w:val="nil"/>
              <w:left w:val="nil"/>
              <w:bottom w:val="nil"/>
              <w:right w:val="nil"/>
            </w:tcBorders>
            <w:hideMark/>
          </w:tcPr>
          <w:p w14:paraId="2D565C1A"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544</w:t>
            </w:r>
          </w:p>
        </w:tc>
        <w:tc>
          <w:tcPr>
            <w:tcW w:w="390" w:type="pct"/>
            <w:tcBorders>
              <w:top w:val="nil"/>
              <w:left w:val="nil"/>
              <w:bottom w:val="nil"/>
              <w:right w:val="nil"/>
            </w:tcBorders>
            <w:hideMark/>
          </w:tcPr>
          <w:p w14:paraId="65180A17"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45</w:t>
            </w:r>
          </w:p>
        </w:tc>
        <w:tc>
          <w:tcPr>
            <w:tcW w:w="359" w:type="pct"/>
            <w:tcBorders>
              <w:top w:val="nil"/>
              <w:left w:val="nil"/>
              <w:bottom w:val="nil"/>
              <w:right w:val="nil"/>
            </w:tcBorders>
            <w:hideMark/>
          </w:tcPr>
          <w:p w14:paraId="6647FA7B"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66</w:t>
            </w:r>
          </w:p>
        </w:tc>
        <w:tc>
          <w:tcPr>
            <w:tcW w:w="435" w:type="pct"/>
            <w:tcBorders>
              <w:top w:val="nil"/>
              <w:left w:val="nil"/>
              <w:bottom w:val="nil"/>
              <w:right w:val="nil"/>
            </w:tcBorders>
            <w:hideMark/>
          </w:tcPr>
          <w:p w14:paraId="726130A0"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27</w:t>
            </w:r>
          </w:p>
        </w:tc>
        <w:tc>
          <w:tcPr>
            <w:tcW w:w="435" w:type="pct"/>
            <w:tcBorders>
              <w:top w:val="nil"/>
              <w:left w:val="nil"/>
              <w:bottom w:val="nil"/>
              <w:right w:val="nil"/>
            </w:tcBorders>
            <w:hideMark/>
          </w:tcPr>
          <w:p w14:paraId="15935234"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40</w:t>
            </w:r>
          </w:p>
        </w:tc>
        <w:tc>
          <w:tcPr>
            <w:tcW w:w="435" w:type="pct"/>
            <w:tcBorders>
              <w:top w:val="nil"/>
              <w:left w:val="nil"/>
              <w:bottom w:val="nil"/>
              <w:right w:val="nil"/>
            </w:tcBorders>
            <w:hideMark/>
          </w:tcPr>
          <w:p w14:paraId="4FC553E8"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194</w:t>
            </w:r>
          </w:p>
        </w:tc>
        <w:tc>
          <w:tcPr>
            <w:tcW w:w="432" w:type="pct"/>
            <w:tcBorders>
              <w:top w:val="nil"/>
              <w:left w:val="nil"/>
              <w:bottom w:val="nil"/>
              <w:right w:val="single" w:sz="8" w:space="0" w:color="C0504D" w:themeColor="accent2"/>
            </w:tcBorders>
            <w:hideMark/>
          </w:tcPr>
          <w:p w14:paraId="6030BBE7"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148</w:t>
            </w:r>
          </w:p>
        </w:tc>
      </w:tr>
      <w:tr w:rsidR="00065F2F" w14:paraId="4BF81FE0" w14:textId="77777777" w:rsidTr="00871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Borders>
              <w:right w:val="nil"/>
            </w:tcBorders>
            <w:hideMark/>
          </w:tcPr>
          <w:p w14:paraId="0EF354AA" w14:textId="77777777" w:rsidR="00336C16" w:rsidRDefault="00336C16">
            <w:pPr>
              <w:rPr>
                <w:rFonts w:ascii="Georgia" w:eastAsia="Times New Roman" w:hAnsi="Georgia"/>
                <w:sz w:val="18"/>
                <w:szCs w:val="18"/>
                <w:lang w:eastAsia="lt-LT"/>
              </w:rPr>
            </w:pPr>
            <w:r>
              <w:rPr>
                <w:rFonts w:ascii="Georgia" w:eastAsia="Times New Roman" w:hAnsi="Georgia"/>
                <w:sz w:val="18"/>
                <w:szCs w:val="18"/>
                <w:lang w:eastAsia="lt-LT"/>
              </w:rPr>
              <w:lastRenderedPageBreak/>
              <w:t>Tauragės</w:t>
            </w:r>
          </w:p>
        </w:tc>
        <w:tc>
          <w:tcPr>
            <w:tcW w:w="390" w:type="pct"/>
            <w:tcBorders>
              <w:left w:val="nil"/>
              <w:right w:val="nil"/>
            </w:tcBorders>
            <w:hideMark/>
          </w:tcPr>
          <w:p w14:paraId="2803C444"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58</w:t>
            </w:r>
          </w:p>
        </w:tc>
        <w:tc>
          <w:tcPr>
            <w:tcW w:w="469" w:type="pct"/>
            <w:tcBorders>
              <w:left w:val="nil"/>
              <w:right w:val="nil"/>
            </w:tcBorders>
            <w:hideMark/>
          </w:tcPr>
          <w:p w14:paraId="338D3B9F"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29</w:t>
            </w:r>
          </w:p>
        </w:tc>
        <w:tc>
          <w:tcPr>
            <w:tcW w:w="390" w:type="pct"/>
            <w:tcBorders>
              <w:left w:val="nil"/>
              <w:right w:val="nil"/>
            </w:tcBorders>
            <w:hideMark/>
          </w:tcPr>
          <w:p w14:paraId="4C351136"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19</w:t>
            </w:r>
          </w:p>
        </w:tc>
        <w:tc>
          <w:tcPr>
            <w:tcW w:w="391" w:type="pct"/>
            <w:tcBorders>
              <w:left w:val="nil"/>
              <w:right w:val="nil"/>
            </w:tcBorders>
            <w:hideMark/>
          </w:tcPr>
          <w:p w14:paraId="2AE22547"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218</w:t>
            </w:r>
          </w:p>
        </w:tc>
        <w:tc>
          <w:tcPr>
            <w:tcW w:w="390" w:type="pct"/>
            <w:tcBorders>
              <w:left w:val="nil"/>
              <w:right w:val="nil"/>
            </w:tcBorders>
            <w:hideMark/>
          </w:tcPr>
          <w:p w14:paraId="40BCD468"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4</w:t>
            </w:r>
          </w:p>
        </w:tc>
        <w:tc>
          <w:tcPr>
            <w:tcW w:w="359" w:type="pct"/>
            <w:tcBorders>
              <w:left w:val="nil"/>
              <w:right w:val="nil"/>
            </w:tcBorders>
            <w:hideMark/>
          </w:tcPr>
          <w:p w14:paraId="272D7BCA"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27</w:t>
            </w:r>
          </w:p>
        </w:tc>
        <w:tc>
          <w:tcPr>
            <w:tcW w:w="435" w:type="pct"/>
            <w:tcBorders>
              <w:left w:val="nil"/>
              <w:right w:val="nil"/>
            </w:tcBorders>
            <w:hideMark/>
          </w:tcPr>
          <w:p w14:paraId="16F2BE57"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10</w:t>
            </w:r>
          </w:p>
        </w:tc>
        <w:tc>
          <w:tcPr>
            <w:tcW w:w="435" w:type="pct"/>
            <w:tcBorders>
              <w:left w:val="nil"/>
              <w:right w:val="nil"/>
            </w:tcBorders>
            <w:hideMark/>
          </w:tcPr>
          <w:p w14:paraId="797CCDCB"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21</w:t>
            </w:r>
          </w:p>
        </w:tc>
        <w:tc>
          <w:tcPr>
            <w:tcW w:w="435" w:type="pct"/>
            <w:tcBorders>
              <w:left w:val="nil"/>
              <w:right w:val="nil"/>
            </w:tcBorders>
            <w:hideMark/>
          </w:tcPr>
          <w:p w14:paraId="43EFDBCF"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80</w:t>
            </w:r>
          </w:p>
        </w:tc>
        <w:tc>
          <w:tcPr>
            <w:tcW w:w="432" w:type="pct"/>
            <w:tcBorders>
              <w:left w:val="nil"/>
            </w:tcBorders>
            <w:hideMark/>
          </w:tcPr>
          <w:p w14:paraId="63D05FCD"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127</w:t>
            </w:r>
          </w:p>
        </w:tc>
      </w:tr>
      <w:tr w:rsidR="00065F2F" w14:paraId="060AED46" w14:textId="77777777" w:rsidTr="0087175A">
        <w:tc>
          <w:tcPr>
            <w:cnfStyle w:val="001000000000" w:firstRow="0" w:lastRow="0" w:firstColumn="1" w:lastColumn="0" w:oddVBand="0" w:evenVBand="0" w:oddHBand="0" w:evenHBand="0" w:firstRowFirstColumn="0" w:firstRowLastColumn="0" w:lastRowFirstColumn="0" w:lastRowLastColumn="0"/>
            <w:tcW w:w="875" w:type="pct"/>
            <w:tcBorders>
              <w:top w:val="nil"/>
              <w:left w:val="single" w:sz="8" w:space="0" w:color="C0504D" w:themeColor="accent2"/>
              <w:bottom w:val="nil"/>
              <w:right w:val="nil"/>
            </w:tcBorders>
            <w:hideMark/>
          </w:tcPr>
          <w:p w14:paraId="08EBBD81" w14:textId="77777777" w:rsidR="00336C16" w:rsidRDefault="00336C16">
            <w:pPr>
              <w:rPr>
                <w:rFonts w:ascii="Georgia" w:eastAsia="Times New Roman" w:hAnsi="Georgia"/>
                <w:sz w:val="18"/>
                <w:szCs w:val="18"/>
                <w:lang w:eastAsia="lt-LT"/>
              </w:rPr>
            </w:pPr>
            <w:r>
              <w:rPr>
                <w:rFonts w:ascii="Georgia" w:eastAsia="Times New Roman" w:hAnsi="Georgia"/>
                <w:sz w:val="18"/>
                <w:szCs w:val="18"/>
                <w:lang w:eastAsia="lt-LT"/>
              </w:rPr>
              <w:t>Telšių</w:t>
            </w:r>
          </w:p>
        </w:tc>
        <w:tc>
          <w:tcPr>
            <w:tcW w:w="390" w:type="pct"/>
            <w:tcBorders>
              <w:top w:val="nil"/>
              <w:left w:val="nil"/>
              <w:bottom w:val="nil"/>
              <w:right w:val="nil"/>
            </w:tcBorders>
            <w:hideMark/>
          </w:tcPr>
          <w:p w14:paraId="56D1AB45"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55</w:t>
            </w:r>
          </w:p>
        </w:tc>
        <w:tc>
          <w:tcPr>
            <w:tcW w:w="469" w:type="pct"/>
            <w:tcBorders>
              <w:top w:val="nil"/>
              <w:left w:val="nil"/>
              <w:bottom w:val="nil"/>
              <w:right w:val="nil"/>
            </w:tcBorders>
            <w:hideMark/>
          </w:tcPr>
          <w:p w14:paraId="44A452C1"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55</w:t>
            </w:r>
          </w:p>
        </w:tc>
        <w:tc>
          <w:tcPr>
            <w:tcW w:w="390" w:type="pct"/>
            <w:tcBorders>
              <w:top w:val="nil"/>
              <w:left w:val="nil"/>
              <w:bottom w:val="nil"/>
              <w:right w:val="nil"/>
            </w:tcBorders>
            <w:hideMark/>
          </w:tcPr>
          <w:p w14:paraId="6F078409"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25</w:t>
            </w:r>
          </w:p>
        </w:tc>
        <w:tc>
          <w:tcPr>
            <w:tcW w:w="391" w:type="pct"/>
            <w:tcBorders>
              <w:top w:val="nil"/>
              <w:left w:val="nil"/>
              <w:bottom w:val="nil"/>
              <w:right w:val="nil"/>
            </w:tcBorders>
            <w:hideMark/>
          </w:tcPr>
          <w:p w14:paraId="0E6149E1"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237</w:t>
            </w:r>
          </w:p>
        </w:tc>
        <w:tc>
          <w:tcPr>
            <w:tcW w:w="390" w:type="pct"/>
            <w:tcBorders>
              <w:top w:val="nil"/>
              <w:left w:val="nil"/>
              <w:bottom w:val="nil"/>
              <w:right w:val="nil"/>
            </w:tcBorders>
            <w:hideMark/>
          </w:tcPr>
          <w:p w14:paraId="455BF2E9"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15</w:t>
            </w:r>
          </w:p>
        </w:tc>
        <w:tc>
          <w:tcPr>
            <w:tcW w:w="359" w:type="pct"/>
            <w:tcBorders>
              <w:top w:val="nil"/>
              <w:left w:val="nil"/>
              <w:bottom w:val="nil"/>
              <w:right w:val="nil"/>
            </w:tcBorders>
            <w:hideMark/>
          </w:tcPr>
          <w:p w14:paraId="7382BAFE"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48</w:t>
            </w:r>
          </w:p>
        </w:tc>
        <w:tc>
          <w:tcPr>
            <w:tcW w:w="435" w:type="pct"/>
            <w:tcBorders>
              <w:top w:val="nil"/>
              <w:left w:val="nil"/>
              <w:bottom w:val="nil"/>
              <w:right w:val="nil"/>
            </w:tcBorders>
            <w:hideMark/>
          </w:tcPr>
          <w:p w14:paraId="794CA71E"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11</w:t>
            </w:r>
          </w:p>
        </w:tc>
        <w:tc>
          <w:tcPr>
            <w:tcW w:w="435" w:type="pct"/>
            <w:tcBorders>
              <w:top w:val="nil"/>
              <w:left w:val="nil"/>
              <w:bottom w:val="nil"/>
              <w:right w:val="nil"/>
            </w:tcBorders>
            <w:hideMark/>
          </w:tcPr>
          <w:p w14:paraId="0CB42C0D"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12</w:t>
            </w:r>
          </w:p>
        </w:tc>
        <w:tc>
          <w:tcPr>
            <w:tcW w:w="435" w:type="pct"/>
            <w:tcBorders>
              <w:top w:val="nil"/>
              <w:left w:val="nil"/>
              <w:bottom w:val="nil"/>
              <w:right w:val="nil"/>
            </w:tcBorders>
            <w:hideMark/>
          </w:tcPr>
          <w:p w14:paraId="770AB5D4"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67</w:t>
            </w:r>
          </w:p>
        </w:tc>
        <w:tc>
          <w:tcPr>
            <w:tcW w:w="432" w:type="pct"/>
            <w:tcBorders>
              <w:top w:val="nil"/>
              <w:left w:val="nil"/>
              <w:bottom w:val="nil"/>
              <w:right w:val="single" w:sz="8" w:space="0" w:color="C0504D" w:themeColor="accent2"/>
            </w:tcBorders>
            <w:hideMark/>
          </w:tcPr>
          <w:p w14:paraId="70EE6E50" w14:textId="77777777" w:rsidR="00336C16" w:rsidRDefault="00336C1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102</w:t>
            </w:r>
          </w:p>
        </w:tc>
      </w:tr>
      <w:tr w:rsidR="00065F2F" w14:paraId="597AC0B6" w14:textId="77777777" w:rsidTr="00871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Borders>
              <w:right w:val="nil"/>
            </w:tcBorders>
            <w:hideMark/>
          </w:tcPr>
          <w:p w14:paraId="6C3D53CB" w14:textId="77777777" w:rsidR="00336C16" w:rsidRDefault="00336C16">
            <w:pPr>
              <w:rPr>
                <w:rFonts w:ascii="Georgia" w:eastAsia="Times New Roman" w:hAnsi="Georgia"/>
                <w:sz w:val="18"/>
                <w:szCs w:val="18"/>
                <w:lang w:eastAsia="lt-LT"/>
              </w:rPr>
            </w:pPr>
            <w:r>
              <w:rPr>
                <w:rFonts w:ascii="Georgia" w:eastAsia="Times New Roman" w:hAnsi="Georgia"/>
                <w:sz w:val="18"/>
                <w:szCs w:val="18"/>
                <w:lang w:eastAsia="lt-LT"/>
              </w:rPr>
              <w:t xml:space="preserve">Utenos </w:t>
            </w:r>
          </w:p>
        </w:tc>
        <w:tc>
          <w:tcPr>
            <w:tcW w:w="390" w:type="pct"/>
            <w:tcBorders>
              <w:left w:val="nil"/>
              <w:right w:val="nil"/>
            </w:tcBorders>
            <w:hideMark/>
          </w:tcPr>
          <w:p w14:paraId="07C489E3"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97</w:t>
            </w:r>
          </w:p>
        </w:tc>
        <w:tc>
          <w:tcPr>
            <w:tcW w:w="469" w:type="pct"/>
            <w:tcBorders>
              <w:left w:val="nil"/>
              <w:right w:val="nil"/>
            </w:tcBorders>
            <w:hideMark/>
          </w:tcPr>
          <w:p w14:paraId="19EA75C0"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58</w:t>
            </w:r>
          </w:p>
        </w:tc>
        <w:tc>
          <w:tcPr>
            <w:tcW w:w="390" w:type="pct"/>
            <w:tcBorders>
              <w:left w:val="nil"/>
              <w:right w:val="nil"/>
            </w:tcBorders>
            <w:hideMark/>
          </w:tcPr>
          <w:p w14:paraId="52B407A3"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44</w:t>
            </w:r>
          </w:p>
        </w:tc>
        <w:tc>
          <w:tcPr>
            <w:tcW w:w="391" w:type="pct"/>
            <w:tcBorders>
              <w:left w:val="nil"/>
              <w:right w:val="nil"/>
            </w:tcBorders>
            <w:hideMark/>
          </w:tcPr>
          <w:p w14:paraId="5F95DD97"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311</w:t>
            </w:r>
          </w:p>
        </w:tc>
        <w:tc>
          <w:tcPr>
            <w:tcW w:w="390" w:type="pct"/>
            <w:tcBorders>
              <w:left w:val="nil"/>
              <w:right w:val="nil"/>
            </w:tcBorders>
            <w:hideMark/>
          </w:tcPr>
          <w:p w14:paraId="1362E0D8"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14</w:t>
            </w:r>
          </w:p>
        </w:tc>
        <w:tc>
          <w:tcPr>
            <w:tcW w:w="359" w:type="pct"/>
            <w:tcBorders>
              <w:left w:val="nil"/>
              <w:right w:val="nil"/>
            </w:tcBorders>
            <w:hideMark/>
          </w:tcPr>
          <w:p w14:paraId="53588307"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47</w:t>
            </w:r>
          </w:p>
        </w:tc>
        <w:tc>
          <w:tcPr>
            <w:tcW w:w="435" w:type="pct"/>
            <w:tcBorders>
              <w:left w:val="nil"/>
              <w:right w:val="nil"/>
            </w:tcBorders>
            <w:hideMark/>
          </w:tcPr>
          <w:p w14:paraId="05A7851A"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15</w:t>
            </w:r>
          </w:p>
        </w:tc>
        <w:tc>
          <w:tcPr>
            <w:tcW w:w="435" w:type="pct"/>
            <w:tcBorders>
              <w:left w:val="nil"/>
              <w:right w:val="nil"/>
            </w:tcBorders>
            <w:hideMark/>
          </w:tcPr>
          <w:p w14:paraId="06A9FCF5"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19</w:t>
            </w:r>
          </w:p>
        </w:tc>
        <w:tc>
          <w:tcPr>
            <w:tcW w:w="435" w:type="pct"/>
            <w:tcBorders>
              <w:left w:val="nil"/>
              <w:right w:val="nil"/>
            </w:tcBorders>
            <w:hideMark/>
          </w:tcPr>
          <w:p w14:paraId="4259F38F"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185</w:t>
            </w:r>
          </w:p>
        </w:tc>
        <w:tc>
          <w:tcPr>
            <w:tcW w:w="432" w:type="pct"/>
            <w:tcBorders>
              <w:left w:val="nil"/>
            </w:tcBorders>
            <w:hideMark/>
          </w:tcPr>
          <w:p w14:paraId="0FE18367"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92</w:t>
            </w:r>
          </w:p>
        </w:tc>
      </w:tr>
      <w:tr w:rsidR="00065F2F" w14:paraId="3286DD87" w14:textId="77777777" w:rsidTr="0087175A">
        <w:tc>
          <w:tcPr>
            <w:cnfStyle w:val="001000000000" w:firstRow="0" w:lastRow="0" w:firstColumn="1" w:lastColumn="0" w:oddVBand="0" w:evenVBand="0" w:oddHBand="0" w:evenHBand="0" w:firstRowFirstColumn="0" w:firstRowLastColumn="0" w:lastRowFirstColumn="0" w:lastRowLastColumn="0"/>
            <w:tcW w:w="875" w:type="pct"/>
            <w:tcBorders>
              <w:top w:val="nil"/>
              <w:left w:val="single" w:sz="8" w:space="0" w:color="C0504D" w:themeColor="accent2"/>
              <w:bottom w:val="single" w:sz="8" w:space="0" w:color="C0504D" w:themeColor="accent2"/>
              <w:right w:val="nil"/>
            </w:tcBorders>
            <w:hideMark/>
          </w:tcPr>
          <w:p w14:paraId="553FEC18" w14:textId="77777777" w:rsidR="00336C16" w:rsidRDefault="00336C16" w:rsidP="00065F2F">
            <w:pPr>
              <w:rPr>
                <w:rFonts w:ascii="Georgia" w:eastAsia="Times New Roman" w:hAnsi="Georgia"/>
                <w:sz w:val="18"/>
                <w:szCs w:val="18"/>
                <w:lang w:eastAsia="lt-LT"/>
              </w:rPr>
            </w:pPr>
            <w:r>
              <w:rPr>
                <w:rFonts w:ascii="Georgia" w:eastAsia="Times New Roman" w:hAnsi="Georgia"/>
                <w:sz w:val="18"/>
                <w:szCs w:val="18"/>
                <w:lang w:eastAsia="lt-LT"/>
              </w:rPr>
              <w:t>Vilniaus</w:t>
            </w:r>
          </w:p>
        </w:tc>
        <w:tc>
          <w:tcPr>
            <w:tcW w:w="390" w:type="pct"/>
            <w:tcBorders>
              <w:top w:val="nil"/>
              <w:left w:val="nil"/>
              <w:bottom w:val="single" w:sz="8" w:space="0" w:color="C0504D" w:themeColor="accent2"/>
              <w:right w:val="nil"/>
            </w:tcBorders>
            <w:hideMark/>
          </w:tcPr>
          <w:p w14:paraId="105136BA" w14:textId="77777777" w:rsidR="00336C16" w:rsidRDefault="00336C16" w:rsidP="00065F2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392</w:t>
            </w:r>
          </w:p>
        </w:tc>
        <w:tc>
          <w:tcPr>
            <w:tcW w:w="469" w:type="pct"/>
            <w:tcBorders>
              <w:top w:val="nil"/>
              <w:left w:val="nil"/>
              <w:bottom w:val="single" w:sz="8" w:space="0" w:color="C0504D" w:themeColor="accent2"/>
              <w:right w:val="nil"/>
            </w:tcBorders>
            <w:hideMark/>
          </w:tcPr>
          <w:p w14:paraId="16AD4787" w14:textId="77777777" w:rsidR="00336C16" w:rsidRDefault="00336C16" w:rsidP="00065F2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111</w:t>
            </w:r>
          </w:p>
        </w:tc>
        <w:tc>
          <w:tcPr>
            <w:tcW w:w="390" w:type="pct"/>
            <w:tcBorders>
              <w:top w:val="nil"/>
              <w:left w:val="nil"/>
              <w:bottom w:val="single" w:sz="8" w:space="0" w:color="C0504D" w:themeColor="accent2"/>
              <w:right w:val="nil"/>
            </w:tcBorders>
            <w:hideMark/>
          </w:tcPr>
          <w:p w14:paraId="109DC43D" w14:textId="77777777" w:rsidR="00336C16" w:rsidRDefault="00336C16" w:rsidP="00065F2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350</w:t>
            </w:r>
          </w:p>
        </w:tc>
        <w:tc>
          <w:tcPr>
            <w:tcW w:w="391" w:type="pct"/>
            <w:tcBorders>
              <w:top w:val="nil"/>
              <w:left w:val="nil"/>
              <w:bottom w:val="single" w:sz="8" w:space="0" w:color="C0504D" w:themeColor="accent2"/>
              <w:right w:val="nil"/>
            </w:tcBorders>
            <w:hideMark/>
          </w:tcPr>
          <w:p w14:paraId="0F7E027F" w14:textId="77777777" w:rsidR="00336C16" w:rsidRDefault="00336C16" w:rsidP="00065F2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819</w:t>
            </w:r>
          </w:p>
        </w:tc>
        <w:tc>
          <w:tcPr>
            <w:tcW w:w="390" w:type="pct"/>
            <w:tcBorders>
              <w:top w:val="nil"/>
              <w:left w:val="nil"/>
              <w:bottom w:val="single" w:sz="8" w:space="0" w:color="C0504D" w:themeColor="accent2"/>
              <w:right w:val="nil"/>
            </w:tcBorders>
            <w:hideMark/>
          </w:tcPr>
          <w:p w14:paraId="70328DA9" w14:textId="77777777" w:rsidR="00336C16" w:rsidRDefault="00336C16" w:rsidP="00065F2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106</w:t>
            </w:r>
          </w:p>
        </w:tc>
        <w:tc>
          <w:tcPr>
            <w:tcW w:w="359" w:type="pct"/>
            <w:tcBorders>
              <w:top w:val="nil"/>
              <w:left w:val="nil"/>
              <w:bottom w:val="single" w:sz="8" w:space="0" w:color="C0504D" w:themeColor="accent2"/>
              <w:right w:val="nil"/>
            </w:tcBorders>
            <w:hideMark/>
          </w:tcPr>
          <w:p w14:paraId="5E719031" w14:textId="77777777" w:rsidR="00336C16" w:rsidRDefault="00336C16" w:rsidP="00065F2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138</w:t>
            </w:r>
          </w:p>
        </w:tc>
        <w:tc>
          <w:tcPr>
            <w:tcW w:w="435" w:type="pct"/>
            <w:tcBorders>
              <w:top w:val="nil"/>
              <w:left w:val="nil"/>
              <w:bottom w:val="single" w:sz="8" w:space="0" w:color="C0504D" w:themeColor="accent2"/>
              <w:right w:val="nil"/>
            </w:tcBorders>
            <w:hideMark/>
          </w:tcPr>
          <w:p w14:paraId="45B5951F" w14:textId="77777777" w:rsidR="00336C16" w:rsidRDefault="00336C16" w:rsidP="00065F2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91</w:t>
            </w:r>
          </w:p>
        </w:tc>
        <w:tc>
          <w:tcPr>
            <w:tcW w:w="435" w:type="pct"/>
            <w:tcBorders>
              <w:top w:val="nil"/>
              <w:left w:val="nil"/>
              <w:bottom w:val="single" w:sz="8" w:space="0" w:color="C0504D" w:themeColor="accent2"/>
              <w:right w:val="nil"/>
            </w:tcBorders>
            <w:hideMark/>
          </w:tcPr>
          <w:p w14:paraId="6226A0A0" w14:textId="77777777" w:rsidR="00336C16" w:rsidRDefault="00336C16" w:rsidP="00065F2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50</w:t>
            </w:r>
          </w:p>
        </w:tc>
        <w:tc>
          <w:tcPr>
            <w:tcW w:w="435" w:type="pct"/>
            <w:tcBorders>
              <w:top w:val="nil"/>
              <w:left w:val="nil"/>
              <w:bottom w:val="single" w:sz="8" w:space="0" w:color="C0504D" w:themeColor="accent2"/>
              <w:right w:val="nil"/>
            </w:tcBorders>
            <w:hideMark/>
          </w:tcPr>
          <w:p w14:paraId="7EECF635" w14:textId="77777777" w:rsidR="00336C16" w:rsidRDefault="00336C16" w:rsidP="00065F2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561</w:t>
            </w:r>
          </w:p>
        </w:tc>
        <w:tc>
          <w:tcPr>
            <w:tcW w:w="432" w:type="pct"/>
            <w:tcBorders>
              <w:top w:val="nil"/>
              <w:left w:val="nil"/>
              <w:bottom w:val="single" w:sz="8" w:space="0" w:color="C0504D" w:themeColor="accent2"/>
              <w:right w:val="single" w:sz="8" w:space="0" w:color="C0504D" w:themeColor="accent2"/>
            </w:tcBorders>
            <w:hideMark/>
          </w:tcPr>
          <w:p w14:paraId="63AE5885" w14:textId="77777777" w:rsidR="00336C16" w:rsidRDefault="00336C16" w:rsidP="00065F2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Pr>
                <w:rFonts w:ascii="Georgia" w:eastAsia="Times New Roman" w:hAnsi="Georgia"/>
                <w:sz w:val="20"/>
                <w:szCs w:val="20"/>
                <w:lang w:eastAsia="lt-LT"/>
              </w:rPr>
              <w:t>223</w:t>
            </w:r>
          </w:p>
        </w:tc>
      </w:tr>
    </w:tbl>
    <w:p w14:paraId="7AED5D81" w14:textId="77777777" w:rsidR="00336C16" w:rsidRPr="008235B8" w:rsidRDefault="00CD0EC9" w:rsidP="00065F2F">
      <w:pPr>
        <w:pStyle w:val="Antrat"/>
        <w:keepNext w:val="0"/>
        <w:jc w:val="both"/>
        <w:rPr>
          <w:rFonts w:cs="Georgia"/>
          <w:i/>
          <w:szCs w:val="20"/>
          <w:lang w:val="lt-LT"/>
        </w:rPr>
      </w:pPr>
      <w:r w:rsidRPr="008235B8">
        <w:rPr>
          <w:rFonts w:cs="Georgia"/>
          <w:b w:val="0"/>
          <w:i/>
          <w:szCs w:val="20"/>
          <w:lang w:val="lt-LT"/>
        </w:rPr>
        <w:t xml:space="preserve">Šaltinis: VĮ Registrų centras. </w:t>
      </w:r>
    </w:p>
    <w:p w14:paraId="7F29196B" w14:textId="77777777" w:rsidR="00336C16" w:rsidRDefault="00336C16" w:rsidP="00336C16">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Didžioji dalis šių pastatų šildomi centralizuotai. Kaimo vietovėse esantys pastatai apšildomi iš vietinių katilinių.</w:t>
      </w:r>
    </w:p>
    <w:p w14:paraId="66C10BF0" w14:textId="77777777" w:rsidR="002F5127" w:rsidRDefault="002F5127" w:rsidP="00336C16">
      <w:pPr>
        <w:autoSpaceDE w:val="0"/>
        <w:autoSpaceDN w:val="0"/>
        <w:adjustRightInd w:val="0"/>
        <w:spacing w:after="0"/>
        <w:jc w:val="both"/>
        <w:rPr>
          <w:rFonts w:ascii="Georgia" w:hAnsi="Georgia" w:cs="Georgia"/>
          <w:i/>
          <w:sz w:val="24"/>
          <w:szCs w:val="20"/>
          <w:lang w:val="lt-LT"/>
        </w:rPr>
      </w:pPr>
    </w:p>
    <w:p w14:paraId="16F3EFF3" w14:textId="77777777" w:rsidR="00336C16" w:rsidRPr="00386440" w:rsidRDefault="00336C16" w:rsidP="00C03122">
      <w:pPr>
        <w:pStyle w:val="Antrat2"/>
        <w:numPr>
          <w:ilvl w:val="2"/>
          <w:numId w:val="36"/>
        </w:numPr>
        <w:rPr>
          <w:lang w:val="lt-LT"/>
        </w:rPr>
      </w:pPr>
      <w:bookmarkStart w:id="29" w:name="_Toc417378365"/>
      <w:r w:rsidRPr="00386440">
        <w:rPr>
          <w:lang w:val="lt-LT"/>
        </w:rPr>
        <w:t xml:space="preserve">Daugiabučiai </w:t>
      </w:r>
      <w:r w:rsidR="00002019">
        <w:rPr>
          <w:lang w:val="lt-LT"/>
        </w:rPr>
        <w:t>namai</w:t>
      </w:r>
      <w:bookmarkEnd w:id="29"/>
    </w:p>
    <w:p w14:paraId="2748F720" w14:textId="77777777" w:rsidR="00336C16" w:rsidRDefault="00336C16" w:rsidP="00336C16">
      <w:pPr>
        <w:autoSpaceDE w:val="0"/>
        <w:autoSpaceDN w:val="0"/>
        <w:adjustRightInd w:val="0"/>
        <w:spacing w:after="0"/>
        <w:jc w:val="both"/>
        <w:rPr>
          <w:rFonts w:ascii="Georgia" w:hAnsi="Georgia" w:cs="Georgia"/>
          <w:sz w:val="20"/>
          <w:szCs w:val="20"/>
          <w:lang w:val="lt-LT"/>
        </w:rPr>
      </w:pPr>
    </w:p>
    <w:p w14:paraId="353D42CB" w14:textId="77777777" w:rsidR="008235B8" w:rsidRDefault="008235B8" w:rsidP="008235B8">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Daugiabučių namų atnaujinimo (modernizavimo) programoje</w:t>
      </w:r>
      <w:r>
        <w:rPr>
          <w:rStyle w:val="Puslapioinaosnuoroda"/>
          <w:rFonts w:ascii="Georgia" w:hAnsi="Georgia" w:cs="Georgia"/>
          <w:sz w:val="20"/>
          <w:szCs w:val="20"/>
          <w:lang w:val="lt-LT"/>
        </w:rPr>
        <w:footnoteReference w:id="8"/>
      </w:r>
      <w:r>
        <w:rPr>
          <w:rFonts w:ascii="Georgia" w:hAnsi="Georgia" w:cs="Georgia"/>
          <w:sz w:val="20"/>
          <w:szCs w:val="20"/>
          <w:lang w:val="lt-LT"/>
        </w:rPr>
        <w:t xml:space="preserve"> nurodyta, kad 2009 metų pabaigoje Lietuvoje buvo 37 267 daugiabučiai namai (3 ir daugiau butų), iš jų apie 35 000 pastatyti pagal iki 1993 metų galiojusius statybos techninius normatyvus. Vidutinio daugiabučio ploto skaičiavimui buvo pasirinkti iki 1992 metų pastatyti daugiabučiai. Vidutinis daugiabučio plotas yra apie 1287 m². </w:t>
      </w:r>
      <w:r w:rsidR="009D6C03">
        <w:rPr>
          <w:rFonts w:ascii="Georgia" w:hAnsi="Georgia" w:cs="Georgia"/>
          <w:sz w:val="20"/>
          <w:szCs w:val="20"/>
          <w:lang w:val="lt-LT"/>
        </w:rPr>
        <w:t>Žemiau esančioje</w:t>
      </w:r>
      <w:r>
        <w:rPr>
          <w:rFonts w:ascii="Georgia" w:hAnsi="Georgia" w:cs="Georgia"/>
          <w:sz w:val="20"/>
          <w:szCs w:val="20"/>
          <w:lang w:val="lt-LT"/>
        </w:rPr>
        <w:t xml:space="preserve"> lentelėje pateikiama daugiabučių namų, suskirstytų pagal statybos metus, statistika. </w:t>
      </w:r>
    </w:p>
    <w:p w14:paraId="0A383A1E" w14:textId="77777777" w:rsidR="008235B8" w:rsidRDefault="008235B8" w:rsidP="008235B8">
      <w:pPr>
        <w:autoSpaceDE w:val="0"/>
        <w:autoSpaceDN w:val="0"/>
        <w:adjustRightInd w:val="0"/>
        <w:spacing w:after="0"/>
        <w:jc w:val="both"/>
        <w:rPr>
          <w:rFonts w:ascii="Georgia" w:hAnsi="Georgia" w:cs="Georgia"/>
          <w:sz w:val="20"/>
          <w:szCs w:val="20"/>
          <w:lang w:val="lt-LT"/>
        </w:rPr>
      </w:pPr>
    </w:p>
    <w:p w14:paraId="2A1A589B" w14:textId="6AC81FA2" w:rsidR="00336C16" w:rsidRPr="001E419B" w:rsidRDefault="00386440" w:rsidP="00386440">
      <w:pPr>
        <w:pStyle w:val="Antrat"/>
        <w:jc w:val="both"/>
        <w:rPr>
          <w:lang w:val="lt-LT"/>
        </w:rPr>
      </w:pPr>
      <w:bookmarkStart w:id="30" w:name="_Toc460321589"/>
      <w:r w:rsidRPr="001E419B">
        <w:rPr>
          <w:lang w:val="lt-LT"/>
        </w:rPr>
        <w:t xml:space="preserve">Lentelė </w:t>
      </w:r>
      <w:r w:rsidRPr="001E419B">
        <w:rPr>
          <w:lang w:val="lt-LT"/>
        </w:rPr>
        <w:fldChar w:fldCharType="begin"/>
      </w:r>
      <w:r w:rsidRPr="001E419B">
        <w:rPr>
          <w:lang w:val="lt-LT"/>
        </w:rPr>
        <w:instrText xml:space="preserve"> SEQ Lentelė \* ARABIC </w:instrText>
      </w:r>
      <w:r w:rsidRPr="001E419B">
        <w:rPr>
          <w:lang w:val="lt-LT"/>
        </w:rPr>
        <w:fldChar w:fldCharType="separate"/>
      </w:r>
      <w:r w:rsidR="00AA3082">
        <w:rPr>
          <w:noProof/>
          <w:lang w:val="lt-LT"/>
        </w:rPr>
        <w:t>8</w:t>
      </w:r>
      <w:r w:rsidRPr="001E419B">
        <w:rPr>
          <w:lang w:val="lt-LT"/>
        </w:rPr>
        <w:fldChar w:fldCharType="end"/>
      </w:r>
      <w:r w:rsidRPr="001E419B">
        <w:rPr>
          <w:lang w:val="lt-LT"/>
        </w:rPr>
        <w:t xml:space="preserve">. </w:t>
      </w:r>
      <w:r w:rsidRPr="00082E94">
        <w:rPr>
          <w:rFonts w:cs="Georgia"/>
          <w:szCs w:val="20"/>
          <w:lang w:val="lt-LT"/>
        </w:rPr>
        <w:t xml:space="preserve">Daugiabučiai namai pagal statybos metus, 2010 metų </w:t>
      </w:r>
      <w:r w:rsidR="00002019" w:rsidRPr="00082E94">
        <w:rPr>
          <w:rFonts w:cs="Georgia"/>
          <w:szCs w:val="20"/>
          <w:lang w:val="lt-LT"/>
        </w:rPr>
        <w:t xml:space="preserve">pr. </w:t>
      </w:r>
      <w:r w:rsidRPr="008D7228">
        <w:rPr>
          <w:rFonts w:cs="Georgia"/>
          <w:szCs w:val="20"/>
          <w:lang w:val="lt-LT"/>
        </w:rPr>
        <w:t>duomenys.</w:t>
      </w:r>
      <w:bookmarkEnd w:id="30"/>
    </w:p>
    <w:tbl>
      <w:tblPr>
        <w:tblStyle w:val="viesussraas2parykinimas"/>
        <w:tblW w:w="5000" w:type="pct"/>
        <w:tblLook w:val="04A0" w:firstRow="1" w:lastRow="0" w:firstColumn="1" w:lastColumn="0" w:noHBand="0" w:noVBand="1"/>
      </w:tblPr>
      <w:tblGrid>
        <w:gridCol w:w="2608"/>
        <w:gridCol w:w="1843"/>
        <w:gridCol w:w="1560"/>
        <w:gridCol w:w="1701"/>
        <w:gridCol w:w="1530"/>
      </w:tblGrid>
      <w:tr w:rsidR="00336C16" w:rsidRPr="00714494" w14:paraId="4AEBE6DA" w14:textId="77777777" w:rsidTr="00A7415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11" w:type="pct"/>
            <w:vMerge w:val="restart"/>
            <w:hideMark/>
          </w:tcPr>
          <w:p w14:paraId="4FC605A1" w14:textId="77777777" w:rsidR="00336C16" w:rsidRPr="00714494" w:rsidRDefault="00336C16">
            <w:pPr>
              <w:tabs>
                <w:tab w:val="left" w:pos="-3227"/>
                <w:tab w:val="center" w:pos="-3085"/>
              </w:tabs>
              <w:jc w:val="center"/>
              <w:rPr>
                <w:rFonts w:ascii="Georgia" w:eastAsia="Times New Roman" w:hAnsi="Georgia" w:cs="Times New Roman"/>
                <w:sz w:val="20"/>
                <w:szCs w:val="20"/>
                <w:lang w:eastAsia="lt-LT"/>
              </w:rPr>
            </w:pPr>
            <w:r w:rsidRPr="00714494">
              <w:rPr>
                <w:rFonts w:ascii="Georgia" w:eastAsia="Times New Roman" w:hAnsi="Georgia" w:cs="Times New Roman"/>
                <w:sz w:val="20"/>
                <w:szCs w:val="20"/>
                <w:lang w:eastAsia="lt-LT"/>
              </w:rPr>
              <w:t>Statybos metai</w:t>
            </w:r>
          </w:p>
        </w:tc>
        <w:tc>
          <w:tcPr>
            <w:tcW w:w="1841" w:type="pct"/>
            <w:gridSpan w:val="2"/>
            <w:hideMark/>
          </w:tcPr>
          <w:p w14:paraId="7AD2CABA" w14:textId="77777777" w:rsidR="00336C16" w:rsidRPr="00714494" w:rsidRDefault="00336C16">
            <w:pPr>
              <w:tabs>
                <w:tab w:val="left" w:pos="-5377"/>
                <w:tab w:val="center" w:pos="-5235"/>
              </w:tabs>
              <w:ind w:firstLine="10"/>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714494">
              <w:rPr>
                <w:rFonts w:ascii="Georgia" w:eastAsia="Times New Roman" w:hAnsi="Georgia" w:cs="Times New Roman"/>
                <w:sz w:val="20"/>
                <w:szCs w:val="20"/>
                <w:lang w:eastAsia="lt-LT"/>
              </w:rPr>
              <w:t>Namų skaičius</w:t>
            </w:r>
          </w:p>
        </w:tc>
        <w:tc>
          <w:tcPr>
            <w:tcW w:w="1748" w:type="pct"/>
            <w:gridSpan w:val="2"/>
            <w:hideMark/>
          </w:tcPr>
          <w:p w14:paraId="03B8283A" w14:textId="77777777" w:rsidR="00336C16" w:rsidRPr="00714494" w:rsidRDefault="00336C16">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sidRPr="00714494">
              <w:rPr>
                <w:rFonts w:ascii="Georgia" w:eastAsia="Times New Roman" w:hAnsi="Georgia" w:cs="Times New Roman"/>
                <w:sz w:val="20"/>
                <w:szCs w:val="20"/>
                <w:lang w:eastAsia="lt-LT"/>
              </w:rPr>
              <w:t xml:space="preserve">Bendrasis plotas </w:t>
            </w:r>
          </w:p>
        </w:tc>
      </w:tr>
      <w:tr w:rsidR="00336C16" w14:paraId="17A1D62E" w14:textId="77777777" w:rsidTr="00A7415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11" w:type="pct"/>
            <w:vMerge/>
            <w:hideMark/>
          </w:tcPr>
          <w:p w14:paraId="5704125C" w14:textId="77777777" w:rsidR="00336C16" w:rsidRDefault="00336C16">
            <w:pPr>
              <w:rPr>
                <w:rFonts w:ascii="Georgia" w:eastAsia="Times New Roman" w:hAnsi="Georgia" w:cs="Times New Roman"/>
                <w:sz w:val="20"/>
                <w:szCs w:val="20"/>
                <w:lang w:eastAsia="lt-LT"/>
              </w:rPr>
            </w:pPr>
          </w:p>
        </w:tc>
        <w:tc>
          <w:tcPr>
            <w:tcW w:w="997" w:type="pct"/>
            <w:hideMark/>
          </w:tcPr>
          <w:p w14:paraId="5241331B" w14:textId="77777777" w:rsidR="00336C16" w:rsidRPr="0087175A" w:rsidRDefault="00336C16">
            <w:pPr>
              <w:tabs>
                <w:tab w:val="left" w:pos="-5235"/>
              </w:tabs>
              <w:ind w:firstLine="10"/>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sz w:val="20"/>
                <w:szCs w:val="20"/>
                <w:lang w:eastAsia="lt-LT"/>
              </w:rPr>
            </w:pPr>
            <w:r w:rsidRPr="0087175A">
              <w:rPr>
                <w:rFonts w:ascii="Georgia" w:eastAsia="Times New Roman" w:hAnsi="Georgia" w:cs="Times New Roman"/>
                <w:b w:val="0"/>
                <w:sz w:val="20"/>
                <w:szCs w:val="20"/>
                <w:lang w:eastAsia="lt-LT"/>
              </w:rPr>
              <w:t>vienetais</w:t>
            </w:r>
          </w:p>
        </w:tc>
        <w:tc>
          <w:tcPr>
            <w:tcW w:w="844" w:type="pct"/>
            <w:hideMark/>
          </w:tcPr>
          <w:p w14:paraId="2A526AED" w14:textId="77777777" w:rsidR="00336C16" w:rsidRPr="0087175A" w:rsidRDefault="00336C16">
            <w:pPr>
              <w:tabs>
                <w:tab w:val="center" w:pos="-7276"/>
                <w:tab w:val="left" w:pos="-7134"/>
              </w:tabs>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sz w:val="20"/>
                <w:szCs w:val="20"/>
                <w:lang w:eastAsia="lt-LT"/>
              </w:rPr>
            </w:pPr>
            <w:r w:rsidRPr="0087175A">
              <w:rPr>
                <w:rFonts w:ascii="Georgia" w:eastAsia="Times New Roman" w:hAnsi="Georgia" w:cs="Times New Roman"/>
                <w:b w:val="0"/>
                <w:sz w:val="20"/>
                <w:szCs w:val="20"/>
                <w:lang w:eastAsia="lt-LT"/>
              </w:rPr>
              <w:t>procentais</w:t>
            </w:r>
          </w:p>
        </w:tc>
        <w:tc>
          <w:tcPr>
            <w:tcW w:w="920" w:type="pct"/>
            <w:hideMark/>
          </w:tcPr>
          <w:p w14:paraId="36DCD0F4" w14:textId="77777777" w:rsidR="00336C16" w:rsidRPr="0087175A" w:rsidRDefault="00336C16">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sz w:val="20"/>
                <w:szCs w:val="20"/>
                <w:lang w:eastAsia="lt-LT"/>
              </w:rPr>
            </w:pPr>
            <w:r w:rsidRPr="0087175A">
              <w:rPr>
                <w:rFonts w:ascii="Georgia" w:eastAsia="Times New Roman" w:hAnsi="Georgia" w:cs="Times New Roman"/>
                <w:b w:val="0"/>
                <w:sz w:val="20"/>
                <w:szCs w:val="20"/>
                <w:lang w:eastAsia="lt-LT"/>
              </w:rPr>
              <w:t>kv. metrais</w:t>
            </w:r>
          </w:p>
        </w:tc>
        <w:tc>
          <w:tcPr>
            <w:tcW w:w="828" w:type="pct"/>
            <w:hideMark/>
          </w:tcPr>
          <w:p w14:paraId="5048E5B9" w14:textId="77777777" w:rsidR="00336C16" w:rsidRPr="0087175A" w:rsidRDefault="00336C16">
            <w:pPr>
              <w:tabs>
                <w:tab w:val="left" w:pos="-11074"/>
                <w:tab w:val="center" w:pos="-10932"/>
              </w:tabs>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sz w:val="20"/>
                <w:szCs w:val="20"/>
                <w:lang w:eastAsia="lt-LT"/>
              </w:rPr>
            </w:pPr>
            <w:r w:rsidRPr="0087175A">
              <w:rPr>
                <w:rFonts w:ascii="Georgia" w:eastAsia="Times New Roman" w:hAnsi="Georgia" w:cs="Times New Roman"/>
                <w:b w:val="0"/>
                <w:sz w:val="20"/>
                <w:szCs w:val="20"/>
                <w:lang w:eastAsia="lt-LT"/>
              </w:rPr>
              <w:t>procentais</w:t>
            </w:r>
          </w:p>
        </w:tc>
      </w:tr>
      <w:tr w:rsidR="00336C16" w14:paraId="2DC572BE" w14:textId="77777777" w:rsidTr="00A741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hideMark/>
          </w:tcPr>
          <w:p w14:paraId="36A272BC" w14:textId="77777777" w:rsidR="00336C16" w:rsidRDefault="00336C16">
            <w:pPr>
              <w:tabs>
                <w:tab w:val="center" w:pos="567"/>
                <w:tab w:val="left" w:pos="1080"/>
              </w:tabs>
              <w:jc w:val="both"/>
              <w:rPr>
                <w:rFonts w:ascii="Georgia" w:eastAsia="Times New Roman" w:hAnsi="Georgia" w:cs="Times New Roman"/>
                <w:sz w:val="20"/>
                <w:szCs w:val="20"/>
                <w:lang w:eastAsia="lt-LT"/>
              </w:rPr>
            </w:pPr>
            <w:r>
              <w:rPr>
                <w:rFonts w:ascii="Georgia" w:eastAsia="Times New Roman" w:hAnsi="Georgia" w:cs="Times New Roman"/>
                <w:sz w:val="20"/>
                <w:szCs w:val="20"/>
                <w:lang w:eastAsia="lt-LT"/>
              </w:rPr>
              <w:t>Iki 1940 metų</w:t>
            </w:r>
          </w:p>
        </w:tc>
        <w:tc>
          <w:tcPr>
            <w:tcW w:w="997" w:type="pct"/>
            <w:hideMark/>
          </w:tcPr>
          <w:p w14:paraId="11186FD7" w14:textId="77777777" w:rsidR="00336C16" w:rsidRDefault="00336C16">
            <w:pPr>
              <w:tabs>
                <w:tab w:val="center" w:pos="-5377"/>
                <w:tab w:val="left" w:pos="-5235"/>
              </w:tabs>
              <w:ind w:right="397" w:firstLine="10"/>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10 362</w:t>
            </w:r>
          </w:p>
        </w:tc>
        <w:tc>
          <w:tcPr>
            <w:tcW w:w="844" w:type="pct"/>
            <w:hideMark/>
          </w:tcPr>
          <w:p w14:paraId="718740E7" w14:textId="77777777" w:rsidR="00336C16" w:rsidRDefault="00336C16">
            <w:pPr>
              <w:tabs>
                <w:tab w:val="center" w:pos="-7276"/>
              </w:tabs>
              <w:ind w:right="595"/>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28   </w:t>
            </w:r>
          </w:p>
        </w:tc>
        <w:tc>
          <w:tcPr>
            <w:tcW w:w="920" w:type="pct"/>
            <w:hideMark/>
          </w:tcPr>
          <w:p w14:paraId="6CD1C7CA" w14:textId="77777777" w:rsidR="00336C16" w:rsidRDefault="00336C16">
            <w:pPr>
              <w:tabs>
                <w:tab w:val="left" w:pos="-9175"/>
              </w:tabs>
              <w:ind w:right="368"/>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3 790 024</w:t>
            </w:r>
          </w:p>
        </w:tc>
        <w:tc>
          <w:tcPr>
            <w:tcW w:w="828" w:type="pct"/>
            <w:hideMark/>
          </w:tcPr>
          <w:p w14:paraId="46EA838C" w14:textId="77777777" w:rsidR="00336C16" w:rsidRDefault="00336C16">
            <w:pPr>
              <w:ind w:right="424"/>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7,4</w:t>
            </w:r>
          </w:p>
        </w:tc>
      </w:tr>
      <w:tr w:rsidR="00336C16" w14:paraId="55398B3E" w14:textId="77777777" w:rsidTr="00A7415B">
        <w:trPr>
          <w:trHeight w:val="20"/>
        </w:trPr>
        <w:tc>
          <w:tcPr>
            <w:cnfStyle w:val="001000000000" w:firstRow="0" w:lastRow="0" w:firstColumn="1" w:lastColumn="0" w:oddVBand="0" w:evenVBand="0" w:oddHBand="0" w:evenHBand="0" w:firstRowFirstColumn="0" w:firstRowLastColumn="0" w:lastRowFirstColumn="0" w:lastRowLastColumn="0"/>
            <w:tcW w:w="1411" w:type="pct"/>
            <w:hideMark/>
          </w:tcPr>
          <w:p w14:paraId="0ACFB78C" w14:textId="77777777" w:rsidR="00336C16" w:rsidRDefault="00336C16">
            <w:pPr>
              <w:tabs>
                <w:tab w:val="center" w:pos="-3085"/>
              </w:tabs>
              <w:jc w:val="both"/>
              <w:rPr>
                <w:rFonts w:ascii="Georgia" w:eastAsia="Times New Roman" w:hAnsi="Georgia" w:cs="Times New Roman"/>
                <w:sz w:val="20"/>
                <w:szCs w:val="20"/>
                <w:lang w:eastAsia="lt-LT"/>
              </w:rPr>
            </w:pPr>
            <w:r>
              <w:rPr>
                <w:rFonts w:ascii="Georgia" w:eastAsia="Times New Roman" w:hAnsi="Georgia" w:cs="Times New Roman"/>
                <w:sz w:val="20"/>
                <w:szCs w:val="20"/>
                <w:lang w:eastAsia="lt-LT"/>
              </w:rPr>
              <w:t>1941−1960 metai</w:t>
            </w:r>
          </w:p>
        </w:tc>
        <w:tc>
          <w:tcPr>
            <w:tcW w:w="997" w:type="pct"/>
            <w:hideMark/>
          </w:tcPr>
          <w:p w14:paraId="5DC12523" w14:textId="77777777" w:rsidR="00336C16" w:rsidRDefault="00336C16">
            <w:pPr>
              <w:tabs>
                <w:tab w:val="center" w:pos="-5377"/>
                <w:tab w:val="left" w:pos="-5235"/>
              </w:tabs>
              <w:ind w:right="397" w:firstLine="10"/>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3 740</w:t>
            </w:r>
          </w:p>
        </w:tc>
        <w:tc>
          <w:tcPr>
            <w:tcW w:w="844" w:type="pct"/>
            <w:hideMark/>
          </w:tcPr>
          <w:p w14:paraId="55BAA128" w14:textId="77777777" w:rsidR="00336C16" w:rsidRDefault="00336C16">
            <w:pPr>
              <w:tabs>
                <w:tab w:val="center" w:pos="-7276"/>
              </w:tabs>
              <w:ind w:right="595"/>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10   </w:t>
            </w:r>
          </w:p>
        </w:tc>
        <w:tc>
          <w:tcPr>
            <w:tcW w:w="920" w:type="pct"/>
            <w:hideMark/>
          </w:tcPr>
          <w:p w14:paraId="73C55584" w14:textId="77777777" w:rsidR="00336C16" w:rsidRDefault="00336C16">
            <w:pPr>
              <w:tabs>
                <w:tab w:val="left" w:pos="-9175"/>
              </w:tabs>
              <w:ind w:right="368"/>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2 259 107</w:t>
            </w:r>
          </w:p>
        </w:tc>
        <w:tc>
          <w:tcPr>
            <w:tcW w:w="828" w:type="pct"/>
            <w:hideMark/>
          </w:tcPr>
          <w:p w14:paraId="746EAEEC" w14:textId="77777777" w:rsidR="00336C16" w:rsidRDefault="00336C16">
            <w:pPr>
              <w:ind w:right="424"/>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4,4</w:t>
            </w:r>
          </w:p>
        </w:tc>
      </w:tr>
      <w:tr w:rsidR="00336C16" w14:paraId="6554ABAC" w14:textId="77777777" w:rsidTr="00A741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hideMark/>
          </w:tcPr>
          <w:p w14:paraId="1B9FBEF0" w14:textId="77777777" w:rsidR="00336C16" w:rsidRDefault="00336C16">
            <w:pPr>
              <w:tabs>
                <w:tab w:val="center" w:pos="-3085"/>
              </w:tabs>
              <w:jc w:val="both"/>
              <w:rPr>
                <w:rFonts w:ascii="Georgia" w:eastAsia="Times New Roman" w:hAnsi="Georgia" w:cs="Times New Roman"/>
                <w:sz w:val="20"/>
                <w:szCs w:val="20"/>
                <w:lang w:eastAsia="lt-LT"/>
              </w:rPr>
            </w:pPr>
            <w:r>
              <w:rPr>
                <w:rFonts w:ascii="Georgia" w:eastAsia="Times New Roman" w:hAnsi="Georgia" w:cs="Times New Roman"/>
                <w:sz w:val="20"/>
                <w:szCs w:val="20"/>
                <w:lang w:eastAsia="lt-LT"/>
              </w:rPr>
              <w:t>1961−1992 metai*</w:t>
            </w:r>
          </w:p>
        </w:tc>
        <w:tc>
          <w:tcPr>
            <w:tcW w:w="997" w:type="pct"/>
            <w:hideMark/>
          </w:tcPr>
          <w:p w14:paraId="5A6CC8DD" w14:textId="77777777" w:rsidR="00336C16" w:rsidRDefault="00336C16">
            <w:pPr>
              <w:tabs>
                <w:tab w:val="center" w:pos="-5377"/>
                <w:tab w:val="left" w:pos="-5235"/>
              </w:tabs>
              <w:ind w:right="397" w:firstLine="10"/>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21 090</w:t>
            </w:r>
          </w:p>
        </w:tc>
        <w:tc>
          <w:tcPr>
            <w:tcW w:w="844" w:type="pct"/>
            <w:hideMark/>
          </w:tcPr>
          <w:p w14:paraId="1A62B1A9" w14:textId="77777777" w:rsidR="00336C16" w:rsidRDefault="00336C16">
            <w:pPr>
              <w:tabs>
                <w:tab w:val="center" w:pos="-7276"/>
              </w:tabs>
              <w:ind w:right="595"/>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56,5</w:t>
            </w:r>
          </w:p>
        </w:tc>
        <w:tc>
          <w:tcPr>
            <w:tcW w:w="920" w:type="pct"/>
            <w:hideMark/>
          </w:tcPr>
          <w:p w14:paraId="57465F09" w14:textId="77777777" w:rsidR="00336C16" w:rsidRDefault="00336C16">
            <w:pPr>
              <w:tabs>
                <w:tab w:val="left" w:pos="-9175"/>
              </w:tabs>
              <w:ind w:right="368"/>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39 244 450</w:t>
            </w:r>
          </w:p>
        </w:tc>
        <w:tc>
          <w:tcPr>
            <w:tcW w:w="828" w:type="pct"/>
            <w:hideMark/>
          </w:tcPr>
          <w:p w14:paraId="41B8B06A" w14:textId="77777777" w:rsidR="00336C16" w:rsidRDefault="00336C16">
            <w:pPr>
              <w:ind w:right="424"/>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76,4</w:t>
            </w:r>
          </w:p>
        </w:tc>
      </w:tr>
      <w:tr w:rsidR="00336C16" w14:paraId="7FA26B8B" w14:textId="77777777" w:rsidTr="00A7415B">
        <w:trPr>
          <w:trHeight w:val="20"/>
        </w:trPr>
        <w:tc>
          <w:tcPr>
            <w:cnfStyle w:val="001000000000" w:firstRow="0" w:lastRow="0" w:firstColumn="1" w:lastColumn="0" w:oddVBand="0" w:evenVBand="0" w:oddHBand="0" w:evenHBand="0" w:firstRowFirstColumn="0" w:firstRowLastColumn="0" w:lastRowFirstColumn="0" w:lastRowLastColumn="0"/>
            <w:tcW w:w="1411" w:type="pct"/>
            <w:hideMark/>
          </w:tcPr>
          <w:p w14:paraId="7C4AC52A" w14:textId="77777777" w:rsidR="00336C16" w:rsidRDefault="00336C16">
            <w:pPr>
              <w:tabs>
                <w:tab w:val="center" w:pos="-3085"/>
              </w:tabs>
              <w:jc w:val="both"/>
              <w:rPr>
                <w:rFonts w:ascii="Georgia" w:eastAsia="Times New Roman" w:hAnsi="Georgia" w:cs="Times New Roman"/>
                <w:sz w:val="20"/>
                <w:szCs w:val="20"/>
                <w:lang w:eastAsia="lt-LT"/>
              </w:rPr>
            </w:pPr>
            <w:r>
              <w:rPr>
                <w:rFonts w:ascii="Georgia" w:eastAsia="Times New Roman" w:hAnsi="Georgia" w:cs="Times New Roman"/>
                <w:sz w:val="20"/>
                <w:szCs w:val="20"/>
                <w:lang w:eastAsia="lt-LT"/>
              </w:rPr>
              <w:t>1993 metai ir vėliau*</w:t>
            </w:r>
          </w:p>
        </w:tc>
        <w:tc>
          <w:tcPr>
            <w:tcW w:w="997" w:type="pct"/>
            <w:hideMark/>
          </w:tcPr>
          <w:p w14:paraId="5B7ADABC" w14:textId="77777777" w:rsidR="00336C16" w:rsidRDefault="00336C16">
            <w:pPr>
              <w:tabs>
                <w:tab w:val="center" w:pos="-5377"/>
                <w:tab w:val="left" w:pos="-5235"/>
              </w:tabs>
              <w:ind w:right="397" w:firstLine="10"/>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2 075</w:t>
            </w:r>
          </w:p>
        </w:tc>
        <w:tc>
          <w:tcPr>
            <w:tcW w:w="844" w:type="pct"/>
            <w:hideMark/>
          </w:tcPr>
          <w:p w14:paraId="13264F84" w14:textId="77777777" w:rsidR="00336C16" w:rsidRDefault="00336C16">
            <w:pPr>
              <w:tabs>
                <w:tab w:val="center" w:pos="-7276"/>
              </w:tabs>
              <w:ind w:right="595"/>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5,5</w:t>
            </w:r>
          </w:p>
        </w:tc>
        <w:tc>
          <w:tcPr>
            <w:tcW w:w="920" w:type="pct"/>
            <w:hideMark/>
          </w:tcPr>
          <w:p w14:paraId="3FC5400A" w14:textId="77777777" w:rsidR="00336C16" w:rsidRDefault="00336C16">
            <w:pPr>
              <w:tabs>
                <w:tab w:val="left" w:pos="-9175"/>
              </w:tabs>
              <w:ind w:right="368"/>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4 092 634</w:t>
            </w:r>
          </w:p>
        </w:tc>
        <w:tc>
          <w:tcPr>
            <w:tcW w:w="828" w:type="pct"/>
            <w:hideMark/>
          </w:tcPr>
          <w:p w14:paraId="0D36853F" w14:textId="77777777" w:rsidR="00336C16" w:rsidRDefault="00336C16">
            <w:pPr>
              <w:ind w:right="424"/>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11,8</w:t>
            </w:r>
          </w:p>
        </w:tc>
      </w:tr>
      <w:tr w:rsidR="00336C16" w14:paraId="1EEC653F" w14:textId="77777777" w:rsidTr="00A741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hideMark/>
          </w:tcPr>
          <w:p w14:paraId="1504B367" w14:textId="77777777" w:rsidR="00336C16" w:rsidRDefault="00336C16">
            <w:pPr>
              <w:tabs>
                <w:tab w:val="center" w:pos="567"/>
                <w:tab w:val="left" w:pos="1080"/>
              </w:tabs>
              <w:ind w:firstLine="567"/>
              <w:jc w:val="both"/>
              <w:rPr>
                <w:rFonts w:ascii="Georgia" w:eastAsia="Times New Roman" w:hAnsi="Georgia" w:cs="Times New Roman"/>
                <w:sz w:val="20"/>
                <w:szCs w:val="20"/>
                <w:lang w:eastAsia="lt-LT"/>
              </w:rPr>
            </w:pPr>
            <w:r>
              <w:rPr>
                <w:rFonts w:ascii="Georgia" w:eastAsia="Times New Roman" w:hAnsi="Georgia" w:cs="Times New Roman"/>
                <w:sz w:val="20"/>
                <w:szCs w:val="20"/>
                <w:lang w:eastAsia="lt-LT"/>
              </w:rPr>
              <w:t>Iš viso</w:t>
            </w:r>
          </w:p>
        </w:tc>
        <w:tc>
          <w:tcPr>
            <w:tcW w:w="997" w:type="pct"/>
            <w:hideMark/>
          </w:tcPr>
          <w:p w14:paraId="70632C4A" w14:textId="77777777" w:rsidR="00336C16" w:rsidRDefault="00336C16">
            <w:pPr>
              <w:tabs>
                <w:tab w:val="center" w:pos="-5377"/>
                <w:tab w:val="left" w:pos="-5235"/>
              </w:tabs>
              <w:ind w:right="397"/>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37 267</w:t>
            </w:r>
          </w:p>
        </w:tc>
        <w:tc>
          <w:tcPr>
            <w:tcW w:w="844" w:type="pct"/>
            <w:hideMark/>
          </w:tcPr>
          <w:p w14:paraId="27A703BA" w14:textId="77777777" w:rsidR="00336C16" w:rsidRDefault="00336C16">
            <w:pPr>
              <w:tabs>
                <w:tab w:val="center" w:pos="-7276"/>
              </w:tabs>
              <w:ind w:right="595"/>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100   </w:t>
            </w:r>
          </w:p>
        </w:tc>
        <w:tc>
          <w:tcPr>
            <w:tcW w:w="920" w:type="pct"/>
            <w:hideMark/>
          </w:tcPr>
          <w:p w14:paraId="4D46BF53" w14:textId="77777777" w:rsidR="00336C16" w:rsidRDefault="00336C16">
            <w:pPr>
              <w:tabs>
                <w:tab w:val="left" w:pos="-9175"/>
              </w:tabs>
              <w:ind w:right="368"/>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51 386 305</w:t>
            </w:r>
          </w:p>
        </w:tc>
        <w:tc>
          <w:tcPr>
            <w:tcW w:w="828" w:type="pct"/>
            <w:hideMark/>
          </w:tcPr>
          <w:p w14:paraId="2E26BB4E" w14:textId="77777777" w:rsidR="00336C16" w:rsidRDefault="00336C16">
            <w:pPr>
              <w:ind w:right="424"/>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eastAsia="lt-LT"/>
              </w:rPr>
            </w:pPr>
            <w:r>
              <w:rPr>
                <w:rFonts w:ascii="Georgia" w:eastAsia="Times New Roman" w:hAnsi="Georgia" w:cs="Times New Roman"/>
                <w:sz w:val="20"/>
                <w:szCs w:val="20"/>
                <w:lang w:eastAsia="lt-LT"/>
              </w:rPr>
              <w:t>100   </w:t>
            </w:r>
          </w:p>
        </w:tc>
      </w:tr>
    </w:tbl>
    <w:p w14:paraId="6DF4E76B" w14:textId="77777777" w:rsidR="00336C16" w:rsidRDefault="00336C16" w:rsidP="00336C16">
      <w:pPr>
        <w:autoSpaceDE w:val="0"/>
        <w:autoSpaceDN w:val="0"/>
        <w:adjustRightInd w:val="0"/>
        <w:spacing w:after="0" w:line="240" w:lineRule="auto"/>
        <w:jc w:val="both"/>
        <w:rPr>
          <w:rFonts w:ascii="Georgia" w:hAnsi="Georgia" w:cs="Georgia"/>
          <w:sz w:val="20"/>
          <w:szCs w:val="20"/>
          <w:lang w:val="lt-LT"/>
        </w:rPr>
      </w:pPr>
      <w:r>
        <w:rPr>
          <w:rFonts w:ascii="Georgia" w:hAnsi="Georgia" w:cs="Georgia"/>
          <w:sz w:val="20"/>
          <w:szCs w:val="20"/>
          <w:lang w:val="lt-LT"/>
        </w:rPr>
        <w:t>*1991 metų ir vėlesnių duomenų šaltiniai – Nekilnojamojo turto registras ir Lietuvos statistikos departamentas.</w:t>
      </w:r>
    </w:p>
    <w:p w14:paraId="675EE34A" w14:textId="77777777" w:rsidR="00002019" w:rsidRPr="008235B8" w:rsidRDefault="00002019" w:rsidP="008235B8">
      <w:pPr>
        <w:pStyle w:val="Antrat"/>
        <w:jc w:val="both"/>
        <w:rPr>
          <w:rFonts w:cs="Georgia"/>
          <w:i/>
          <w:szCs w:val="20"/>
          <w:lang w:val="lt-LT"/>
        </w:rPr>
      </w:pPr>
      <w:r w:rsidRPr="008235B8">
        <w:rPr>
          <w:rFonts w:cs="Georgia"/>
          <w:b w:val="0"/>
          <w:i/>
          <w:szCs w:val="20"/>
          <w:lang w:val="lt-LT"/>
        </w:rPr>
        <w:t>Šaltinis: Daugiabučių namų atnaujinimo (modernizavimo) programa, patvirtinta Lietuvos Respublikos Vyriausybės 2004 m. rugsėjo 23 d. Nr. 1213 (Žin., 2013, Nr. 83-4153)</w:t>
      </w:r>
    </w:p>
    <w:p w14:paraId="3E426B9E" w14:textId="77777777" w:rsidR="00336C16" w:rsidRDefault="00C07D9F" w:rsidP="00336C16">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Remiantis </w:t>
      </w:r>
      <w:r w:rsidR="001E419B">
        <w:rPr>
          <w:rFonts w:ascii="Georgia" w:hAnsi="Georgia" w:cs="Georgia"/>
          <w:sz w:val="20"/>
          <w:szCs w:val="20"/>
          <w:lang w:val="lt-LT"/>
        </w:rPr>
        <w:t>šios</w:t>
      </w:r>
      <w:r>
        <w:rPr>
          <w:rFonts w:ascii="Georgia" w:hAnsi="Georgia" w:cs="Georgia"/>
          <w:sz w:val="20"/>
          <w:szCs w:val="20"/>
          <w:lang w:val="lt-LT"/>
        </w:rPr>
        <w:t xml:space="preserve"> lentelės duomenimis, a</w:t>
      </w:r>
      <w:r w:rsidR="00336C16">
        <w:rPr>
          <w:rFonts w:ascii="Georgia" w:hAnsi="Georgia" w:cs="Georgia"/>
          <w:sz w:val="20"/>
          <w:szCs w:val="20"/>
          <w:lang w:val="lt-LT"/>
        </w:rPr>
        <w:t xml:space="preserve">pie 60 procentų daugiabučių namų pastatyti per </w:t>
      </w:r>
      <w:r>
        <w:rPr>
          <w:rFonts w:ascii="Georgia" w:hAnsi="Georgia" w:cs="Georgia"/>
          <w:sz w:val="20"/>
          <w:szCs w:val="20"/>
          <w:lang w:val="lt-LT"/>
        </w:rPr>
        <w:t>1961-1993 m. laikotarpį</w:t>
      </w:r>
      <w:r w:rsidR="00336C16">
        <w:rPr>
          <w:rFonts w:ascii="Georgia" w:hAnsi="Georgia" w:cs="Georgia"/>
          <w:sz w:val="20"/>
          <w:szCs w:val="20"/>
          <w:lang w:val="lt-LT"/>
        </w:rPr>
        <w:t>, kai vyravo plytinių ir stambiaplokščių tipinių daugiabučių namų statyba</w:t>
      </w:r>
      <w:r>
        <w:rPr>
          <w:rFonts w:ascii="Georgia" w:hAnsi="Georgia" w:cs="Georgia"/>
          <w:sz w:val="20"/>
          <w:szCs w:val="20"/>
          <w:lang w:val="lt-LT"/>
        </w:rPr>
        <w:t xml:space="preserve"> ir buvo taikomi kiti statybos techniniai normatyvai</w:t>
      </w:r>
      <w:r w:rsidR="00336C16">
        <w:rPr>
          <w:rFonts w:ascii="Georgia" w:hAnsi="Georgia" w:cs="Georgia"/>
          <w:sz w:val="20"/>
          <w:szCs w:val="20"/>
          <w:lang w:val="lt-LT"/>
        </w:rPr>
        <w:t xml:space="preserve">. Šių namų išorinių atitvarų šiluminės varžos charakteristikos prastos, neatitinka esamų normatyvinių reikalavimų. Šiluminės energijos sąnaudos šiuose namuose </w:t>
      </w:r>
      <w:r>
        <w:rPr>
          <w:rFonts w:ascii="Georgia" w:hAnsi="Georgia" w:cs="Georgia"/>
          <w:sz w:val="20"/>
          <w:szCs w:val="20"/>
          <w:lang w:val="lt-LT"/>
        </w:rPr>
        <w:t>siekia</w:t>
      </w:r>
      <w:r w:rsidR="00336C16">
        <w:rPr>
          <w:rFonts w:ascii="Georgia" w:hAnsi="Georgia" w:cs="Georgia"/>
          <w:sz w:val="20"/>
          <w:szCs w:val="20"/>
          <w:lang w:val="lt-LT"/>
        </w:rPr>
        <w:t xml:space="preserve"> 160–180 kWh/m² per metus, o naujos statybos namuose, statytuose po 1993 metų, – 80–90 kWh/m² per metus. </w:t>
      </w:r>
    </w:p>
    <w:p w14:paraId="15276F28" w14:textId="77777777" w:rsidR="00336C16" w:rsidRDefault="00336C16" w:rsidP="00336C16">
      <w:pPr>
        <w:autoSpaceDE w:val="0"/>
        <w:autoSpaceDN w:val="0"/>
        <w:adjustRightInd w:val="0"/>
        <w:spacing w:after="0"/>
        <w:jc w:val="both"/>
        <w:rPr>
          <w:rFonts w:ascii="Georgia" w:hAnsi="Georgia" w:cs="Georgia"/>
          <w:sz w:val="20"/>
          <w:szCs w:val="20"/>
          <w:lang w:val="lt-LT"/>
        </w:rPr>
      </w:pPr>
    </w:p>
    <w:p w14:paraId="24E01472" w14:textId="77777777" w:rsidR="008235B8" w:rsidRDefault="008235B8" w:rsidP="008235B8">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Šiluminės energijos kaina, Lietuvos šilumos tiekėjų asociacijos duomenimis, per 2007–2012 metus nuolat didėjo nuo 0,04 eurų  (0,138 lito) iki  0,077 eurų (0,265 litų) už ct/k</w:t>
      </w:r>
      <w:r w:rsidR="00F65508">
        <w:rPr>
          <w:rFonts w:ascii="Georgia" w:hAnsi="Georgia" w:cs="Georgia"/>
          <w:sz w:val="20"/>
          <w:szCs w:val="20"/>
          <w:lang w:val="lt-LT"/>
        </w:rPr>
        <w:t>W</w:t>
      </w:r>
      <w:r>
        <w:rPr>
          <w:rFonts w:ascii="Georgia" w:hAnsi="Georgia" w:cs="Georgia"/>
          <w:sz w:val="20"/>
          <w:szCs w:val="20"/>
          <w:lang w:val="lt-LT"/>
        </w:rPr>
        <w:t>h, tai yra 1,9 karto</w:t>
      </w:r>
      <w:r>
        <w:rPr>
          <w:rStyle w:val="Puslapioinaosnuoroda"/>
          <w:rFonts w:ascii="Georgia" w:hAnsi="Georgia" w:cs="Georgia"/>
          <w:sz w:val="20"/>
          <w:szCs w:val="20"/>
          <w:lang w:val="lt-LT"/>
        </w:rPr>
        <w:footnoteReference w:id="9"/>
      </w:r>
      <w:r>
        <w:rPr>
          <w:rFonts w:ascii="Georgia" w:hAnsi="Georgia" w:cs="Georgia"/>
          <w:sz w:val="20"/>
          <w:szCs w:val="20"/>
          <w:lang w:val="lt-LT"/>
        </w:rPr>
        <w:t>. Pagal situacijos būsto sektoriuje 2014 metų tyrimą</w:t>
      </w:r>
      <w:r w:rsidR="001E419B">
        <w:rPr>
          <w:rStyle w:val="Puslapioinaosnuoroda"/>
          <w:rFonts w:ascii="Georgia" w:hAnsi="Georgia" w:cs="Georgia"/>
          <w:sz w:val="20"/>
          <w:szCs w:val="20"/>
          <w:lang w:val="lt-LT"/>
        </w:rPr>
        <w:footnoteReference w:id="10"/>
      </w:r>
      <w:r>
        <w:rPr>
          <w:rFonts w:ascii="Georgia" w:hAnsi="Georgia" w:cs="Georgia"/>
          <w:sz w:val="20"/>
          <w:szCs w:val="20"/>
          <w:lang w:val="lt-LT"/>
        </w:rPr>
        <w:t xml:space="preserve"> tik trečdalis gyventojų būstą kuriame gyveno vertino kaip gerą arba labai gerą. Dauguma namų ūkių daugiabučiuose namuose mano, kad reikia namo būklę pagerinti (namą atnaujinti).</w:t>
      </w:r>
    </w:p>
    <w:p w14:paraId="437D14C2" w14:textId="77777777" w:rsidR="008235B8" w:rsidRDefault="008235B8" w:rsidP="008235B8">
      <w:pPr>
        <w:autoSpaceDE w:val="0"/>
        <w:autoSpaceDN w:val="0"/>
        <w:adjustRightInd w:val="0"/>
        <w:spacing w:after="0"/>
        <w:jc w:val="both"/>
        <w:rPr>
          <w:rFonts w:ascii="Georgia" w:hAnsi="Georgia" w:cs="Georgia"/>
          <w:sz w:val="20"/>
          <w:szCs w:val="20"/>
          <w:lang w:val="lt-LT"/>
        </w:rPr>
      </w:pPr>
    </w:p>
    <w:p w14:paraId="30922AEC" w14:textId="77777777" w:rsidR="008235B8" w:rsidRDefault="008235B8" w:rsidP="008235B8">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Pastarąjį dešimtmetį daugiabučių namų gyventojų, daugiabučių namų savininkų bendrijų iniciatyva ir lėšomis pakeista apie 60 procentų butų langų, apie 60 procentų lauko durų, įstiklinta apie 30 procentų balkonų. Be to, šiuos namus administruojančių įmonių, energiją tiekiančių įmonių ir savivaldybių iniciatyva modernizuota (automatizuota) daugiau kaip 80 procentų šilumos punktų. Tai beveik 80 procentų daugiabučių namų leido sumažinti faktines šiluminės energijos sąnaudas 10–15 procentų, palyginti su projektinėmis sąnaudomis, tai yra iki apytiksliai 150 kWh/m².</w:t>
      </w:r>
    </w:p>
    <w:p w14:paraId="72856E68" w14:textId="77777777" w:rsidR="00336C16" w:rsidRDefault="00336C16" w:rsidP="00336C16">
      <w:pPr>
        <w:autoSpaceDE w:val="0"/>
        <w:autoSpaceDN w:val="0"/>
        <w:adjustRightInd w:val="0"/>
        <w:spacing w:after="0"/>
        <w:jc w:val="both"/>
        <w:rPr>
          <w:rFonts w:ascii="Georgia" w:hAnsi="Georgia" w:cs="Georgia"/>
          <w:sz w:val="20"/>
          <w:szCs w:val="20"/>
          <w:lang w:val="lt-LT"/>
        </w:rPr>
      </w:pPr>
    </w:p>
    <w:p w14:paraId="03E98159" w14:textId="77777777" w:rsidR="00065F2F" w:rsidRDefault="00065F2F" w:rsidP="00336C16">
      <w:pPr>
        <w:autoSpaceDE w:val="0"/>
        <w:autoSpaceDN w:val="0"/>
        <w:adjustRightInd w:val="0"/>
        <w:spacing w:after="0"/>
        <w:jc w:val="both"/>
        <w:rPr>
          <w:rFonts w:ascii="Georgia" w:hAnsi="Georgia" w:cs="Georgia"/>
          <w:sz w:val="20"/>
          <w:szCs w:val="20"/>
          <w:lang w:val="lt-LT"/>
        </w:rPr>
      </w:pPr>
    </w:p>
    <w:p w14:paraId="3013E6A9" w14:textId="77777777" w:rsidR="00336C16" w:rsidRDefault="00336C16" w:rsidP="0087175A">
      <w:pPr>
        <w:pStyle w:val="Antrat2"/>
        <w:numPr>
          <w:ilvl w:val="2"/>
          <w:numId w:val="36"/>
        </w:numPr>
        <w:rPr>
          <w:lang w:val="lt-LT"/>
        </w:rPr>
      </w:pPr>
      <w:bookmarkStart w:id="31" w:name="_Toc393381208"/>
      <w:bookmarkStart w:id="32" w:name="_Toc417378366"/>
      <w:r>
        <w:rPr>
          <w:lang w:val="lt-LT"/>
        </w:rPr>
        <w:t>Gatvių apšvietimas</w:t>
      </w:r>
      <w:bookmarkEnd w:id="31"/>
      <w:bookmarkEnd w:id="32"/>
    </w:p>
    <w:p w14:paraId="0684A522" w14:textId="77777777" w:rsidR="00386440" w:rsidRPr="001E419B" w:rsidRDefault="00386440" w:rsidP="0087175A">
      <w:pPr>
        <w:keepNext/>
        <w:autoSpaceDE w:val="0"/>
        <w:autoSpaceDN w:val="0"/>
        <w:adjustRightInd w:val="0"/>
        <w:spacing w:after="0"/>
        <w:jc w:val="both"/>
        <w:rPr>
          <w:rFonts w:ascii="Georgia" w:hAnsi="Georgia" w:cs="Georgia"/>
          <w:sz w:val="20"/>
          <w:szCs w:val="20"/>
          <w:lang w:val="lt-LT"/>
        </w:rPr>
      </w:pPr>
    </w:p>
    <w:p w14:paraId="29BFC49F" w14:textId="77777777" w:rsidR="008235B8" w:rsidRDefault="008235B8" w:rsidP="008235B8">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Lietuvoje nėra centralizuotos gatvių apšvietimo įrangos duomenų bazės, todėl šiam ex ante vertinimui buvo pasitelkta Energetikos ministerijos pateikta informacija, kuri buvo surinkta iš savivaldybių</w:t>
      </w:r>
      <w:r>
        <w:rPr>
          <w:rStyle w:val="Puslapioinaosnuoroda"/>
          <w:rFonts w:ascii="Georgia" w:hAnsi="Georgia" w:cs="Georgia"/>
          <w:sz w:val="20"/>
          <w:szCs w:val="20"/>
          <w:lang w:val="lt-LT"/>
        </w:rPr>
        <w:footnoteReference w:id="11"/>
      </w:r>
      <w:r>
        <w:rPr>
          <w:rFonts w:ascii="Georgia" w:hAnsi="Georgia" w:cs="Georgia"/>
          <w:sz w:val="20"/>
          <w:szCs w:val="20"/>
          <w:lang w:val="lt-LT"/>
        </w:rPr>
        <w:t xml:space="preserve">. Lietuvoje yra apie 186 tūkst. šviestuvų, iš kurių apie 9 tūkst. šviestuvų eksploatuoja Lietuvos geležinkeliai (Lietuvos geležinkelių apšvietimas išskiriamas dėl šių tinklų specifikos, be to, tai nėra gatvių apšvietimas). Apie 44 tūkst. šviestuvų yra Vilniuje, kuriems renovuoti buvo parengtas projektas, skelbtas konkursas bei buvo atrinktas privataus sektoriaus partneris, su kuriuo 2014 m. balandį buvo pasirašyta sutartis.  </w:t>
      </w:r>
    </w:p>
    <w:p w14:paraId="3CE6D53D" w14:textId="77777777" w:rsidR="008235B8" w:rsidRPr="001D42B4" w:rsidRDefault="008235B8" w:rsidP="008235B8">
      <w:pPr>
        <w:autoSpaceDE w:val="0"/>
        <w:autoSpaceDN w:val="0"/>
        <w:adjustRightInd w:val="0"/>
        <w:spacing w:after="0"/>
        <w:jc w:val="both"/>
        <w:rPr>
          <w:rFonts w:ascii="Georgia" w:hAnsi="Georgia" w:cs="Georgia"/>
          <w:sz w:val="20"/>
          <w:szCs w:val="20"/>
        </w:rPr>
      </w:pPr>
    </w:p>
    <w:p w14:paraId="7E8F57F4" w14:textId="77777777" w:rsidR="008235B8" w:rsidRDefault="008235B8" w:rsidP="008235B8">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Kaip aprašyta KPMG studijoje, gatvių apšvietimo įrangos metinis elektros suvartojimas Lietuvoje, sudaro apie 103,5 GWh, o gatvės (ir geležinkelių) apšvietimo tinklo ilgis visoje Lietuvoje yra 10 500 km (kabelinės linijos sudaro 46 %, o oro linijos - 54 %). 2012 m. buvo pakeista daugiau kaip 39 000 lempų; vien tik Vilniaus m. savivaldybėje buvo pakeista daugiau kaip 8 200 vienetų. Vidutinis lempos naudojimo laikas yra apie 3,6 metai, nors kai kuriose savivaldybėse lempų naudojimo laikotarpis svyruoja nuo 1,3 iki 8 metų. Naujų natrio lempų (kurios Lietuvoje sudaro 83 % visų gatvių apšvietimui naudojamų lempų) gamintojo nurodytas naudojimo laikas yra 3,3–6,6 metų. Tuo tarpu LED lempų gyvavimo laikotarpis yra iki 23 metų (jei lempa veikia 12 valandų per dieną 365 dienas per metus). 2012 m. gatvių apšvietimo įrangos Lietuvoje atnaujinimo sąnaudos sudarė apytiksliai 1,</w:t>
      </w:r>
      <w:r w:rsidR="000E490D">
        <w:rPr>
          <w:rFonts w:ascii="Georgia" w:hAnsi="Georgia" w:cs="Georgia"/>
          <w:sz w:val="20"/>
          <w:szCs w:val="20"/>
          <w:lang w:val="lt-LT"/>
        </w:rPr>
        <w:t>8 mln. eurų (6,3</w:t>
      </w:r>
      <w:r>
        <w:rPr>
          <w:rFonts w:ascii="Georgia" w:hAnsi="Georgia" w:cs="Georgia"/>
          <w:sz w:val="20"/>
          <w:szCs w:val="20"/>
          <w:lang w:val="lt-LT"/>
        </w:rPr>
        <w:t xml:space="preserve"> mln. litų) ir didžioji išlaidų dalis tenka šviestuvų pirkimui (beveik 26 % visų išlaidų) ir naujiems šviestuvų stulpams (beveik 32 % visų išlaidų). Apskaičiuota, kad 2012 m. elektros sąnaudos gatvių apšvietimui ir techninės priežiūros sąnaudos sudarė 13,6 mln. eurų (47 mln. litų). Didžiausią išlaidų dalį sudarė išlaidos suvartotai elektros energijai. Duomenys rodo, kad apšvietimo įrangos ir elektros įrangos remonto sąnaudos buvo beveik 2 kartus didesnės už apšvietimo įrangos ir elektros įrangos priežiūros sąnaudas. Tai patvirtina, kad gatvių apšvietimo įranga yra pasenusi ir šioje srityje yra būtinos investicijos. Savivaldybių pateikti duomenys rodo, kad nėra galimybės automatiškai reguliuoti apšvietimo intensyvumo ir (arba) automatiškai aptikti šviestuvų gedimų. Visi apšvietimo intensyvumo reguliavimai yra atliekami mechaniškai, o šviestuvų gedimai yra nustatomi per vizualinę apžiūrą.</w:t>
      </w:r>
    </w:p>
    <w:p w14:paraId="5C2E20D4" w14:textId="77777777" w:rsidR="00336C16" w:rsidRDefault="00336C16" w:rsidP="00336C16">
      <w:pPr>
        <w:autoSpaceDE w:val="0"/>
        <w:autoSpaceDN w:val="0"/>
        <w:adjustRightInd w:val="0"/>
        <w:spacing w:after="0"/>
        <w:jc w:val="both"/>
        <w:rPr>
          <w:rFonts w:asciiTheme="majorHAnsi" w:eastAsiaTheme="majorEastAsia" w:hAnsiTheme="majorHAnsi" w:cstheme="majorBidi"/>
          <w:b/>
          <w:bCs/>
          <w:color w:val="4F81BD" w:themeColor="accent1"/>
          <w:sz w:val="26"/>
          <w:szCs w:val="26"/>
          <w:lang w:val="lt-LT"/>
        </w:rPr>
      </w:pPr>
      <w:r>
        <w:rPr>
          <w:lang w:val="lt-LT"/>
        </w:rPr>
        <w:br w:type="page"/>
      </w:r>
    </w:p>
    <w:p w14:paraId="70AE4226" w14:textId="77777777" w:rsidR="001E419B" w:rsidRDefault="00336C16" w:rsidP="00C03122">
      <w:pPr>
        <w:pStyle w:val="Antrat2"/>
        <w:numPr>
          <w:ilvl w:val="1"/>
          <w:numId w:val="36"/>
        </w:numPr>
        <w:ind w:left="1134" w:hanging="708"/>
        <w:rPr>
          <w:lang w:val="lt-LT"/>
        </w:rPr>
      </w:pPr>
      <w:bookmarkStart w:id="33" w:name="_Toc417378367"/>
      <w:r w:rsidRPr="001E419B">
        <w:rPr>
          <w:lang w:val="lt-LT"/>
        </w:rPr>
        <w:lastRenderedPageBreak/>
        <w:t>Investicijų paklausos ir finansavimo pasiūlos įvertinimas</w:t>
      </w:r>
      <w:bookmarkEnd w:id="33"/>
    </w:p>
    <w:p w14:paraId="682CA38A" w14:textId="77777777" w:rsidR="000B792D" w:rsidRPr="001E419B" w:rsidRDefault="00336C16" w:rsidP="00C03122">
      <w:pPr>
        <w:pStyle w:val="Antrat2"/>
        <w:numPr>
          <w:ilvl w:val="2"/>
          <w:numId w:val="36"/>
        </w:numPr>
        <w:ind w:left="1134"/>
        <w:rPr>
          <w:lang w:val="lt-LT"/>
        </w:rPr>
      </w:pPr>
      <w:bookmarkStart w:id="34" w:name="_Toc417378368"/>
      <w:r w:rsidRPr="001E419B">
        <w:rPr>
          <w:lang w:val="lt-LT"/>
        </w:rPr>
        <w:t>Investicijų paklausos analizė</w:t>
      </w:r>
      <w:bookmarkEnd w:id="34"/>
    </w:p>
    <w:p w14:paraId="138AC92A" w14:textId="77777777" w:rsidR="008235B8" w:rsidRPr="000B792D" w:rsidRDefault="000B792D" w:rsidP="00C03122">
      <w:pPr>
        <w:pStyle w:val="Antrat2"/>
        <w:numPr>
          <w:ilvl w:val="3"/>
          <w:numId w:val="36"/>
        </w:numPr>
        <w:ind w:left="1134" w:hanging="708"/>
        <w:rPr>
          <w:lang w:val="lt-LT"/>
        </w:rPr>
      </w:pPr>
      <w:bookmarkStart w:id="35" w:name="_Toc417378369"/>
      <w:r w:rsidRPr="000B792D">
        <w:rPr>
          <w:lang w:val="lt-LT"/>
        </w:rPr>
        <w:t>Bendri energijos taupymo tikslai</w:t>
      </w:r>
      <w:bookmarkEnd w:id="35"/>
    </w:p>
    <w:p w14:paraId="4E54168A" w14:textId="77777777" w:rsidR="008235B8" w:rsidRDefault="008235B8" w:rsidP="008235B8">
      <w:pPr>
        <w:autoSpaceDE w:val="0"/>
        <w:autoSpaceDN w:val="0"/>
        <w:adjustRightInd w:val="0"/>
        <w:spacing w:after="0"/>
        <w:jc w:val="both"/>
        <w:rPr>
          <w:rFonts w:ascii="Georgia" w:hAnsi="Georgia" w:cs="Georgia"/>
          <w:sz w:val="20"/>
          <w:szCs w:val="20"/>
          <w:lang w:val="lt-LT"/>
        </w:rPr>
      </w:pPr>
    </w:p>
    <w:p w14:paraId="0AF19483" w14:textId="77777777" w:rsidR="008235B8" w:rsidRDefault="008235B8" w:rsidP="008235B8">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Vadovaudamasi Energijos efektyvumo direktyvos </w:t>
      </w:r>
      <w:r w:rsidR="000B792D">
        <w:rPr>
          <w:rFonts w:ascii="Georgia" w:hAnsi="Georgia" w:cs="Georgia"/>
          <w:sz w:val="20"/>
          <w:szCs w:val="20"/>
          <w:lang w:val="lt-LT"/>
        </w:rPr>
        <w:t>nuostatomis</w:t>
      </w:r>
      <w:r>
        <w:rPr>
          <w:rFonts w:ascii="Georgia" w:hAnsi="Georgia" w:cs="Georgia"/>
          <w:sz w:val="20"/>
          <w:szCs w:val="20"/>
          <w:lang w:val="lt-LT"/>
        </w:rPr>
        <w:t xml:space="preserve">, </w:t>
      </w:r>
      <w:r w:rsidR="000B792D">
        <w:rPr>
          <w:rFonts w:ascii="Georgia" w:hAnsi="Georgia" w:cs="Georgia"/>
          <w:sz w:val="20"/>
          <w:szCs w:val="20"/>
          <w:lang w:val="lt-LT"/>
        </w:rPr>
        <w:t xml:space="preserve">kiekviena </w:t>
      </w:r>
      <w:r>
        <w:rPr>
          <w:rFonts w:ascii="Georgia" w:hAnsi="Georgia" w:cs="Georgia"/>
          <w:sz w:val="20"/>
          <w:szCs w:val="20"/>
          <w:lang w:val="lt-LT"/>
        </w:rPr>
        <w:t>valstybė narė turi nustatyti bendrą galutinio energijos suvartojimo taupymo (toliau – BGEST) rodiklį, kurį šalys turi pasiekti iki 2020 metų</w:t>
      </w:r>
      <w:r w:rsidR="000B792D">
        <w:rPr>
          <w:rFonts w:ascii="Georgia" w:hAnsi="Georgia" w:cs="Georgia"/>
          <w:sz w:val="20"/>
          <w:szCs w:val="20"/>
          <w:lang w:val="lt-LT"/>
        </w:rPr>
        <w:t xml:space="preserve"> visuose sektoriuose, įskaitant pramonės, transporto, pastatų ir kituose sektoriuose</w:t>
      </w:r>
      <w:r>
        <w:rPr>
          <w:rFonts w:ascii="Georgia" w:hAnsi="Georgia" w:cs="Georgia"/>
          <w:sz w:val="20"/>
          <w:szCs w:val="20"/>
          <w:lang w:val="lt-LT"/>
        </w:rPr>
        <w:t xml:space="preserve">. </w:t>
      </w:r>
      <w:r w:rsidRPr="00082E94">
        <w:rPr>
          <w:rFonts w:ascii="Georgia" w:hAnsi="Georgia" w:cs="Georgia"/>
          <w:sz w:val="20"/>
          <w:szCs w:val="20"/>
          <w:lang w:val="lt-LT"/>
        </w:rPr>
        <w:t>Lietuv</w:t>
      </w:r>
      <w:r w:rsidR="001E419B">
        <w:rPr>
          <w:rFonts w:ascii="Georgia" w:hAnsi="Georgia" w:cs="Georgia"/>
          <w:sz w:val="20"/>
          <w:szCs w:val="20"/>
          <w:lang w:val="lt-LT"/>
        </w:rPr>
        <w:t>oje buvo nustatyta, jog bendras sutaupymas iki 2020 m. visuose sektoriuose</w:t>
      </w:r>
      <w:r w:rsidRPr="00082E94">
        <w:rPr>
          <w:rFonts w:ascii="Georgia" w:hAnsi="Georgia" w:cs="Georgia"/>
          <w:sz w:val="20"/>
          <w:szCs w:val="20"/>
          <w:lang w:val="lt-LT"/>
        </w:rPr>
        <w:t xml:space="preserve"> </w:t>
      </w:r>
      <w:r w:rsidR="001E419B">
        <w:rPr>
          <w:rFonts w:ascii="Georgia" w:hAnsi="Georgia" w:cs="Georgia"/>
          <w:sz w:val="20"/>
          <w:szCs w:val="20"/>
          <w:lang w:val="lt-LT"/>
        </w:rPr>
        <w:t>siektų</w:t>
      </w:r>
      <w:r w:rsidRPr="00082E94">
        <w:rPr>
          <w:rFonts w:ascii="Georgia" w:hAnsi="Georgia" w:cs="Georgia"/>
          <w:sz w:val="20"/>
          <w:szCs w:val="20"/>
          <w:lang w:val="lt-LT"/>
        </w:rPr>
        <w:t xml:space="preserve"> </w:t>
      </w:r>
      <w:r w:rsidR="00082E94" w:rsidRPr="001E419B">
        <w:rPr>
          <w:rFonts w:ascii="Georgia" w:hAnsi="Georgia" w:cs="Georgia"/>
          <w:sz w:val="20"/>
          <w:szCs w:val="20"/>
          <w:lang w:val="lt-LT"/>
        </w:rPr>
        <w:t>11,68</w:t>
      </w:r>
      <w:r w:rsidR="00082E94" w:rsidRPr="00082E94">
        <w:rPr>
          <w:rFonts w:ascii="Georgia" w:hAnsi="Georgia" w:cs="Georgia"/>
          <w:sz w:val="20"/>
          <w:szCs w:val="20"/>
          <w:lang w:val="lt-LT"/>
        </w:rPr>
        <w:t xml:space="preserve"> TWh</w:t>
      </w:r>
      <w:r w:rsidR="00082E94" w:rsidRPr="00082E94">
        <w:rPr>
          <w:rStyle w:val="Puslapioinaosnuoroda"/>
          <w:rFonts w:ascii="Georgia" w:hAnsi="Georgia" w:cs="Georgia"/>
          <w:sz w:val="20"/>
          <w:szCs w:val="20"/>
          <w:lang w:val="lt-LT"/>
        </w:rPr>
        <w:footnoteReference w:id="12"/>
      </w:r>
      <w:r w:rsidR="00082E94" w:rsidRPr="00082E94">
        <w:rPr>
          <w:rFonts w:ascii="Georgia" w:hAnsi="Georgia" w:cs="Georgia"/>
          <w:sz w:val="20"/>
          <w:szCs w:val="20"/>
          <w:lang w:val="lt-LT"/>
        </w:rPr>
        <w:t xml:space="preserve"> </w:t>
      </w:r>
      <w:r w:rsidRPr="001E419B">
        <w:rPr>
          <w:rFonts w:ascii="Georgia" w:hAnsi="Georgia" w:cs="Georgia"/>
          <w:sz w:val="20"/>
          <w:szCs w:val="20"/>
          <w:lang w:val="lt-LT"/>
        </w:rPr>
        <w:t>galutinės energijos</w:t>
      </w:r>
      <w:r w:rsidR="000B792D" w:rsidRPr="001E419B">
        <w:rPr>
          <w:rFonts w:ascii="Georgia" w:hAnsi="Georgia" w:cs="Georgia"/>
          <w:sz w:val="20"/>
          <w:szCs w:val="20"/>
          <w:lang w:val="lt-LT"/>
        </w:rPr>
        <w:t xml:space="preserve"> </w:t>
      </w:r>
      <w:r w:rsidR="000B792D" w:rsidRPr="00082E94">
        <w:rPr>
          <w:rFonts w:ascii="Georgia" w:hAnsi="Georgia" w:cs="Georgia"/>
          <w:sz w:val="20"/>
          <w:szCs w:val="20"/>
          <w:lang w:val="lt-LT"/>
        </w:rPr>
        <w:t>(48 ktne kasmet,</w:t>
      </w:r>
      <w:r w:rsidR="000B792D" w:rsidRPr="001343D2">
        <w:rPr>
          <w:rFonts w:ascii="Georgia" w:hAnsi="Georgia" w:cs="Georgia"/>
          <w:sz w:val="20"/>
          <w:szCs w:val="20"/>
          <w:lang w:val="lt-LT"/>
        </w:rPr>
        <w:t xml:space="preserve"> pradedant 2015 m. sausio 1 d.)</w:t>
      </w:r>
      <w:r>
        <w:rPr>
          <w:rFonts w:ascii="Georgia" w:hAnsi="Georgia" w:cs="Georgia"/>
          <w:sz w:val="20"/>
          <w:szCs w:val="20"/>
          <w:lang w:val="lt-LT"/>
        </w:rPr>
        <w:t>.</w:t>
      </w:r>
    </w:p>
    <w:p w14:paraId="70DB1A09" w14:textId="77777777" w:rsidR="008235B8" w:rsidRDefault="008235B8" w:rsidP="008235B8">
      <w:pPr>
        <w:autoSpaceDE w:val="0"/>
        <w:autoSpaceDN w:val="0"/>
        <w:adjustRightInd w:val="0"/>
        <w:spacing w:after="0"/>
        <w:jc w:val="both"/>
        <w:rPr>
          <w:rFonts w:ascii="Georgia" w:hAnsi="Georgia" w:cs="Georgia"/>
          <w:sz w:val="20"/>
          <w:szCs w:val="20"/>
          <w:lang w:val="lt-LT"/>
        </w:rPr>
      </w:pPr>
    </w:p>
    <w:p w14:paraId="2082D12B" w14:textId="77777777" w:rsidR="008235B8" w:rsidRDefault="008235B8" w:rsidP="008235B8">
      <w:pPr>
        <w:autoSpaceDE w:val="0"/>
        <w:autoSpaceDN w:val="0"/>
        <w:adjustRightInd w:val="0"/>
        <w:spacing w:after="0"/>
        <w:jc w:val="both"/>
        <w:rPr>
          <w:rFonts w:ascii="Georgia" w:hAnsi="Georgia"/>
          <w:sz w:val="20"/>
          <w:lang w:val="lt-LT"/>
        </w:rPr>
      </w:pPr>
      <w:r>
        <w:rPr>
          <w:rFonts w:ascii="Georgia" w:hAnsi="Georgia"/>
          <w:bCs/>
          <w:sz w:val="20"/>
          <w:szCs w:val="24"/>
          <w:lang w:val="lt-LT"/>
        </w:rPr>
        <w:t>Remiantis Nacionaline energijos nepriklausomybės strategija, gyvenamųjų ir v</w:t>
      </w:r>
      <w:r w:rsidR="000B792D">
        <w:rPr>
          <w:rFonts w:ascii="Georgia" w:hAnsi="Georgia"/>
          <w:bCs/>
          <w:sz w:val="20"/>
          <w:szCs w:val="24"/>
          <w:lang w:val="lt-LT"/>
        </w:rPr>
        <w:t>isuomeninių pastatų sektoriuje e</w:t>
      </w:r>
      <w:r>
        <w:rPr>
          <w:rFonts w:ascii="Georgia" w:hAnsi="Georgia"/>
          <w:bCs/>
          <w:sz w:val="20"/>
          <w:szCs w:val="24"/>
          <w:lang w:val="lt-LT"/>
        </w:rPr>
        <w:t xml:space="preserve">nergetinis efektyvumas bus padidintas modernizuojant ir renovuojant pastatus ir taip bus </w:t>
      </w:r>
      <w:r w:rsidRPr="00082E94">
        <w:rPr>
          <w:rFonts w:ascii="Georgia" w:hAnsi="Georgia"/>
          <w:bCs/>
          <w:sz w:val="20"/>
          <w:szCs w:val="24"/>
          <w:lang w:val="lt-LT"/>
        </w:rPr>
        <w:t xml:space="preserve">sutaupoma </w:t>
      </w:r>
      <w:r w:rsidRPr="000619E8">
        <w:rPr>
          <w:rFonts w:ascii="Georgia" w:hAnsi="Georgia"/>
          <w:bCs/>
          <w:sz w:val="20"/>
          <w:szCs w:val="24"/>
          <w:lang w:val="lt-LT"/>
        </w:rPr>
        <w:t>220 ktne (</w:t>
      </w:r>
      <w:r w:rsidRPr="000619E8">
        <w:rPr>
          <w:rFonts w:ascii="Georgia" w:hAnsi="Georgia"/>
          <w:bCs/>
          <w:sz w:val="20"/>
          <w:szCs w:val="24"/>
        </w:rPr>
        <w:t>2,56 TWh</w:t>
      </w:r>
      <w:r w:rsidRPr="000619E8">
        <w:rPr>
          <w:rFonts w:ascii="Georgia" w:hAnsi="Georgia"/>
          <w:bCs/>
          <w:sz w:val="20"/>
          <w:szCs w:val="24"/>
          <w:lang w:val="lt-LT"/>
        </w:rPr>
        <w:t>)</w:t>
      </w:r>
      <w:r w:rsidRPr="00082E94">
        <w:rPr>
          <w:rFonts w:ascii="Georgia" w:hAnsi="Georgia"/>
          <w:bCs/>
          <w:sz w:val="20"/>
          <w:szCs w:val="24"/>
          <w:lang w:val="lt-LT"/>
        </w:rPr>
        <w:t xml:space="preserve"> energijos. </w:t>
      </w:r>
      <w:r w:rsidRPr="00082E94">
        <w:rPr>
          <w:rFonts w:ascii="Georgia" w:hAnsi="Georgia"/>
          <w:sz w:val="20"/>
          <w:lang w:val="lt-LT"/>
        </w:rPr>
        <w:t>Tai sudarytų apie 22 % viso BGEST rodiklio</w:t>
      </w:r>
      <w:r>
        <w:rPr>
          <w:rFonts w:ascii="Georgia" w:hAnsi="Georgia"/>
          <w:sz w:val="20"/>
          <w:lang w:val="lt-LT"/>
        </w:rPr>
        <w:t xml:space="preserve"> energijos kiekio arba 121,8 GWh naujai sutaupytos energijos kiekvienais metais.</w:t>
      </w:r>
    </w:p>
    <w:p w14:paraId="559F28E0" w14:textId="77777777" w:rsidR="008235B8" w:rsidRDefault="008235B8" w:rsidP="008235B8">
      <w:pPr>
        <w:autoSpaceDE w:val="0"/>
        <w:autoSpaceDN w:val="0"/>
        <w:adjustRightInd w:val="0"/>
        <w:spacing w:after="0"/>
        <w:jc w:val="both"/>
        <w:rPr>
          <w:rFonts w:ascii="Georgia" w:hAnsi="Georgia" w:cs="Georgia"/>
          <w:sz w:val="20"/>
          <w:szCs w:val="20"/>
          <w:lang w:val="lt-LT"/>
        </w:rPr>
      </w:pPr>
    </w:p>
    <w:p w14:paraId="55EFF370" w14:textId="77777777" w:rsidR="008235B8" w:rsidRPr="00A71EA8" w:rsidRDefault="00D87D0F" w:rsidP="00A71EA8">
      <w:pPr>
        <w:autoSpaceDE w:val="0"/>
        <w:autoSpaceDN w:val="0"/>
        <w:adjustRightInd w:val="0"/>
        <w:spacing w:after="0"/>
        <w:jc w:val="both"/>
        <w:rPr>
          <w:rFonts w:ascii="Georgia" w:hAnsi="Georgia" w:cs="Georgia"/>
          <w:sz w:val="20"/>
          <w:szCs w:val="20"/>
          <w:lang w:val="lt-LT"/>
        </w:rPr>
      </w:pPr>
      <w:r w:rsidRPr="00A71EA8">
        <w:rPr>
          <w:rFonts w:ascii="Georgia" w:hAnsi="Georgia" w:cs="Georgia"/>
          <w:sz w:val="20"/>
          <w:szCs w:val="20"/>
          <w:lang w:val="lt-LT"/>
        </w:rPr>
        <w:t>V</w:t>
      </w:r>
      <w:r w:rsidR="008235B8" w:rsidRPr="00A71EA8">
        <w:rPr>
          <w:rFonts w:ascii="Georgia" w:hAnsi="Georgia" w:cs="Georgia"/>
          <w:sz w:val="20"/>
          <w:szCs w:val="20"/>
          <w:lang w:val="lt-LT"/>
        </w:rPr>
        <w:t xml:space="preserve">alstybės narės pačios </w:t>
      </w:r>
      <w:r w:rsidRPr="00A71EA8">
        <w:rPr>
          <w:rFonts w:ascii="Georgia" w:hAnsi="Georgia" w:cs="Georgia"/>
          <w:sz w:val="20"/>
          <w:szCs w:val="20"/>
          <w:lang w:val="lt-LT"/>
        </w:rPr>
        <w:t>gali apsispręsti</w:t>
      </w:r>
      <w:r w:rsidR="008235B8" w:rsidRPr="00A71EA8">
        <w:rPr>
          <w:rFonts w:ascii="Georgia" w:hAnsi="Georgia" w:cs="Georgia"/>
          <w:sz w:val="20"/>
          <w:szCs w:val="20"/>
          <w:lang w:val="lt-LT"/>
        </w:rPr>
        <w:t xml:space="preserve">, kaip </w:t>
      </w:r>
      <w:r w:rsidRPr="00A71EA8">
        <w:rPr>
          <w:rFonts w:ascii="Georgia" w:hAnsi="Georgia" w:cs="Georgia"/>
          <w:sz w:val="20"/>
          <w:szCs w:val="20"/>
          <w:lang w:val="lt-LT"/>
        </w:rPr>
        <w:t>nustatytas</w:t>
      </w:r>
      <w:r w:rsidR="008235B8" w:rsidRPr="00A71EA8">
        <w:rPr>
          <w:rFonts w:ascii="Georgia" w:hAnsi="Georgia" w:cs="Georgia"/>
          <w:sz w:val="20"/>
          <w:szCs w:val="20"/>
          <w:lang w:val="lt-LT"/>
        </w:rPr>
        <w:t xml:space="preserve"> energijos vartojimo efektyvumo tiks</w:t>
      </w:r>
      <w:r w:rsidRPr="00A71EA8">
        <w:rPr>
          <w:rFonts w:ascii="Georgia" w:hAnsi="Georgia" w:cs="Georgia"/>
          <w:sz w:val="20"/>
          <w:szCs w:val="20"/>
          <w:lang w:val="lt-LT"/>
        </w:rPr>
        <w:t>las išdės</w:t>
      </w:r>
      <w:r w:rsidR="008235B8" w:rsidRPr="00A71EA8">
        <w:rPr>
          <w:rFonts w:ascii="Georgia" w:hAnsi="Georgia" w:cs="Georgia"/>
          <w:sz w:val="20"/>
          <w:szCs w:val="20"/>
          <w:lang w:val="lt-LT"/>
        </w:rPr>
        <w:t>t</w:t>
      </w:r>
      <w:r w:rsidRPr="00A71EA8">
        <w:rPr>
          <w:rFonts w:ascii="Georgia" w:hAnsi="Georgia" w:cs="Georgia"/>
          <w:sz w:val="20"/>
          <w:szCs w:val="20"/>
          <w:lang w:val="lt-LT"/>
        </w:rPr>
        <w:t>omas per visą</w:t>
      </w:r>
      <w:r w:rsidR="008235B8" w:rsidRPr="00A71EA8">
        <w:rPr>
          <w:rFonts w:ascii="Georgia" w:hAnsi="Georgia" w:cs="Georgia"/>
          <w:sz w:val="20"/>
          <w:szCs w:val="20"/>
          <w:lang w:val="lt-LT"/>
        </w:rPr>
        <w:t xml:space="preserve"> 2014 - 2020 m. laikotarp</w:t>
      </w:r>
      <w:r w:rsidRPr="00A71EA8">
        <w:rPr>
          <w:rFonts w:ascii="Georgia" w:hAnsi="Georgia" w:cs="Georgia"/>
          <w:sz w:val="20"/>
          <w:szCs w:val="20"/>
          <w:lang w:val="lt-LT"/>
        </w:rPr>
        <w:t>į</w:t>
      </w:r>
      <w:r w:rsidR="008235B8" w:rsidRPr="00A71EA8">
        <w:rPr>
          <w:rFonts w:ascii="Georgia" w:hAnsi="Georgia" w:cs="Georgia"/>
          <w:sz w:val="20"/>
          <w:szCs w:val="20"/>
          <w:lang w:val="lt-LT"/>
        </w:rPr>
        <w:t xml:space="preserve">. </w:t>
      </w:r>
      <w:r w:rsidR="009D6C03">
        <w:rPr>
          <w:rFonts w:ascii="Georgia" w:hAnsi="Georgia" w:cs="Georgia"/>
          <w:sz w:val="20"/>
          <w:szCs w:val="20"/>
          <w:lang w:val="lt-LT"/>
        </w:rPr>
        <w:t>Žemiau esančioje</w:t>
      </w:r>
      <w:r w:rsidRPr="00A71EA8">
        <w:rPr>
          <w:rFonts w:ascii="Georgia" w:hAnsi="Georgia" w:cs="Georgia"/>
          <w:sz w:val="20"/>
          <w:szCs w:val="20"/>
          <w:lang w:val="lt-LT"/>
        </w:rPr>
        <w:t xml:space="preserve"> lentelėje pateikiamas </w:t>
      </w:r>
      <w:r w:rsidR="008235B8" w:rsidRPr="00A71EA8">
        <w:rPr>
          <w:rFonts w:ascii="Georgia" w:hAnsi="Georgia" w:cs="Georgia"/>
          <w:sz w:val="20"/>
          <w:szCs w:val="20"/>
          <w:lang w:val="lt-LT"/>
        </w:rPr>
        <w:t>gyvenamųjų ir viešosios paskirties pastatų energijos vartojimo efektyvumo tiksl</w:t>
      </w:r>
      <w:r w:rsidRPr="00A71EA8">
        <w:rPr>
          <w:rFonts w:ascii="Georgia" w:hAnsi="Georgia" w:cs="Georgia"/>
          <w:sz w:val="20"/>
          <w:szCs w:val="20"/>
          <w:lang w:val="lt-LT"/>
        </w:rPr>
        <w:t>as,</w:t>
      </w:r>
      <w:r w:rsidR="008235B8" w:rsidRPr="00A71EA8">
        <w:rPr>
          <w:rFonts w:ascii="Georgia" w:hAnsi="Georgia" w:cs="Georgia"/>
          <w:sz w:val="20"/>
          <w:szCs w:val="20"/>
          <w:lang w:val="lt-LT"/>
        </w:rPr>
        <w:t xml:space="preserve"> išdėst</w:t>
      </w:r>
      <w:r w:rsidRPr="00A71EA8">
        <w:rPr>
          <w:rFonts w:ascii="Georgia" w:hAnsi="Georgia" w:cs="Georgia"/>
          <w:sz w:val="20"/>
          <w:szCs w:val="20"/>
          <w:lang w:val="lt-LT"/>
        </w:rPr>
        <w:t xml:space="preserve">ytas </w:t>
      </w:r>
      <w:r w:rsidR="008235B8" w:rsidRPr="00A71EA8">
        <w:rPr>
          <w:rFonts w:ascii="Georgia" w:hAnsi="Georgia" w:cs="Georgia"/>
          <w:sz w:val="20"/>
          <w:szCs w:val="20"/>
          <w:lang w:val="lt-LT"/>
        </w:rPr>
        <w:t xml:space="preserve">linijiniu </w:t>
      </w:r>
      <w:r w:rsidRPr="00A71EA8">
        <w:rPr>
          <w:rFonts w:ascii="Georgia" w:hAnsi="Georgia" w:cs="Georgia"/>
          <w:sz w:val="20"/>
          <w:szCs w:val="20"/>
          <w:lang w:val="lt-LT"/>
        </w:rPr>
        <w:t>grafiku</w:t>
      </w:r>
      <w:r w:rsidR="008235B8" w:rsidRPr="00A71EA8">
        <w:rPr>
          <w:rFonts w:ascii="Georgia" w:hAnsi="Georgia" w:cs="Georgia"/>
          <w:sz w:val="20"/>
          <w:szCs w:val="20"/>
          <w:lang w:val="lt-LT"/>
        </w:rPr>
        <w:t xml:space="preserve"> (skaičiuojama kumuliaciniu metodu), t.y. kiekvienais metais sutaupant vie</w:t>
      </w:r>
      <w:r w:rsidR="00A71EA8">
        <w:rPr>
          <w:rFonts w:ascii="Georgia" w:hAnsi="Georgia" w:cs="Georgia"/>
          <w:sz w:val="20"/>
          <w:szCs w:val="20"/>
          <w:lang w:val="lt-LT"/>
        </w:rPr>
        <w:t>nodą papildomą energijos kiekį</w:t>
      </w:r>
      <w:r w:rsidR="008235B8" w:rsidRPr="00A71EA8">
        <w:rPr>
          <w:rFonts w:ascii="Georgia" w:hAnsi="Georgia" w:cs="Georgia"/>
          <w:sz w:val="20"/>
          <w:szCs w:val="20"/>
          <w:lang w:val="lt-LT"/>
        </w:rPr>
        <w:t>.</w:t>
      </w:r>
    </w:p>
    <w:p w14:paraId="715AF643" w14:textId="77777777" w:rsidR="008235B8" w:rsidRDefault="008235B8" w:rsidP="008235B8">
      <w:pPr>
        <w:autoSpaceDE w:val="0"/>
        <w:autoSpaceDN w:val="0"/>
        <w:adjustRightInd w:val="0"/>
        <w:spacing w:after="0" w:line="240" w:lineRule="auto"/>
        <w:jc w:val="both"/>
        <w:rPr>
          <w:rFonts w:ascii="Georgia" w:hAnsi="Georgia" w:cs="Georgia"/>
          <w:sz w:val="20"/>
          <w:szCs w:val="20"/>
          <w:lang w:val="lt-LT"/>
        </w:rPr>
      </w:pPr>
      <w:r>
        <w:rPr>
          <w:rFonts w:ascii="Georgia" w:hAnsi="Georgia" w:cs="Georgia"/>
          <w:sz w:val="20"/>
          <w:szCs w:val="20"/>
          <w:lang w:val="lt-LT"/>
        </w:rPr>
        <w:t xml:space="preserve"> </w:t>
      </w:r>
    </w:p>
    <w:p w14:paraId="49A65BBB" w14:textId="54F8FE09" w:rsidR="008235B8" w:rsidRPr="000619E8" w:rsidRDefault="008235B8" w:rsidP="008235B8">
      <w:pPr>
        <w:pStyle w:val="Antrat"/>
        <w:jc w:val="both"/>
        <w:rPr>
          <w:lang w:val="lt-LT"/>
        </w:rPr>
      </w:pPr>
      <w:bookmarkStart w:id="36" w:name="_Ref399588957"/>
      <w:bookmarkStart w:id="37" w:name="_Toc460321590"/>
      <w:r w:rsidRPr="000619E8">
        <w:rPr>
          <w:lang w:val="lt-LT"/>
        </w:rPr>
        <w:t xml:space="preserve">Lentelė </w:t>
      </w:r>
      <w:r w:rsidRPr="000619E8">
        <w:rPr>
          <w:lang w:val="lt-LT"/>
        </w:rPr>
        <w:fldChar w:fldCharType="begin"/>
      </w:r>
      <w:r w:rsidRPr="000619E8">
        <w:rPr>
          <w:lang w:val="lt-LT"/>
        </w:rPr>
        <w:instrText xml:space="preserve"> SEQ Lentelė \* ARABIC </w:instrText>
      </w:r>
      <w:r w:rsidRPr="000619E8">
        <w:rPr>
          <w:lang w:val="lt-LT"/>
        </w:rPr>
        <w:fldChar w:fldCharType="separate"/>
      </w:r>
      <w:r w:rsidR="00AA3082">
        <w:rPr>
          <w:noProof/>
          <w:lang w:val="lt-LT"/>
        </w:rPr>
        <w:t>9</w:t>
      </w:r>
      <w:r w:rsidRPr="000619E8">
        <w:rPr>
          <w:lang w:val="lt-LT"/>
        </w:rPr>
        <w:fldChar w:fldCharType="end"/>
      </w:r>
      <w:bookmarkEnd w:id="36"/>
      <w:r w:rsidRPr="000619E8">
        <w:rPr>
          <w:lang w:val="lt-LT"/>
        </w:rPr>
        <w:t xml:space="preserve">. </w:t>
      </w:r>
      <w:r w:rsidR="00A71EA8" w:rsidRPr="000619E8">
        <w:rPr>
          <w:lang w:val="lt-LT"/>
        </w:rPr>
        <w:t>G</w:t>
      </w:r>
      <w:r w:rsidRPr="001E4B4F">
        <w:rPr>
          <w:rFonts w:cs="Georgia"/>
          <w:szCs w:val="20"/>
          <w:lang w:val="lt-LT"/>
        </w:rPr>
        <w:t>yvenamųjų ir viešosios paskirties pastatų sutaupymo laiko grafikas</w:t>
      </w:r>
      <w:r w:rsidR="00A71EA8" w:rsidRPr="009D6C03">
        <w:rPr>
          <w:rFonts w:cs="Georgia"/>
          <w:szCs w:val="20"/>
          <w:lang w:val="lt-LT"/>
        </w:rPr>
        <w:t xml:space="preserve"> 2015-2020 m. periodu</w:t>
      </w:r>
      <w:r w:rsidRPr="009D6C03">
        <w:rPr>
          <w:rFonts w:cs="Georgia"/>
          <w:szCs w:val="20"/>
          <w:lang w:val="lt-LT"/>
        </w:rPr>
        <w:t>.</w:t>
      </w:r>
      <w:bookmarkEnd w:id="37"/>
    </w:p>
    <w:tbl>
      <w:tblPr>
        <w:tblStyle w:val="viesussraas2parykinimas"/>
        <w:tblW w:w="5000" w:type="pct"/>
        <w:tblLook w:val="04A0" w:firstRow="1" w:lastRow="0" w:firstColumn="1" w:lastColumn="0" w:noHBand="0" w:noVBand="1"/>
      </w:tblPr>
      <w:tblGrid>
        <w:gridCol w:w="3342"/>
        <w:gridCol w:w="2059"/>
        <w:gridCol w:w="3841"/>
      </w:tblGrid>
      <w:tr w:rsidR="0087175A" w:rsidRPr="000619E8" w14:paraId="125785B6" w14:textId="77777777" w:rsidTr="00437A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0E19E449" w14:textId="77777777" w:rsidR="0087175A" w:rsidRPr="000619E8" w:rsidRDefault="0087175A" w:rsidP="00082E94">
            <w:pPr>
              <w:autoSpaceDE w:val="0"/>
              <w:autoSpaceDN w:val="0"/>
              <w:adjustRightInd w:val="0"/>
              <w:jc w:val="center"/>
              <w:rPr>
                <w:rFonts w:ascii="Georgia" w:hAnsi="Georgia"/>
                <w:bCs w:val="0"/>
                <w:szCs w:val="24"/>
              </w:rPr>
            </w:pPr>
            <w:r w:rsidRPr="000619E8">
              <w:rPr>
                <w:rFonts w:ascii="Georgia" w:hAnsi="Georgia"/>
                <w:bCs w:val="0"/>
                <w:szCs w:val="24"/>
              </w:rPr>
              <w:t>Bendri energijos sutaupymai duotaisiais metais</w:t>
            </w:r>
          </w:p>
        </w:tc>
      </w:tr>
      <w:tr w:rsidR="00082E94" w:rsidRPr="00A7415B" w14:paraId="6F5ED368" w14:textId="77777777" w:rsidTr="00437A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8" w:type="pct"/>
            <w:hideMark/>
          </w:tcPr>
          <w:p w14:paraId="42B14BA4" w14:textId="77777777" w:rsidR="00082E94" w:rsidRPr="00A7415B" w:rsidRDefault="00082E94" w:rsidP="00082E94">
            <w:pPr>
              <w:autoSpaceDE w:val="0"/>
              <w:autoSpaceDN w:val="0"/>
              <w:adjustRightInd w:val="0"/>
              <w:jc w:val="center"/>
              <w:rPr>
                <w:rFonts w:ascii="Georgia" w:hAnsi="Georgia"/>
                <w:b w:val="0"/>
                <w:bCs w:val="0"/>
                <w:szCs w:val="24"/>
              </w:rPr>
            </w:pPr>
            <w:r w:rsidRPr="00A7415B">
              <w:rPr>
                <w:rFonts w:ascii="Georgia" w:hAnsi="Georgia"/>
                <w:b w:val="0"/>
                <w:bCs w:val="0"/>
                <w:szCs w:val="24"/>
              </w:rPr>
              <w:t>Metai</w:t>
            </w:r>
          </w:p>
        </w:tc>
        <w:tc>
          <w:tcPr>
            <w:tcW w:w="1114" w:type="pct"/>
            <w:hideMark/>
          </w:tcPr>
          <w:p w14:paraId="26AFB915" w14:textId="4DC92DE1" w:rsidR="00082E94" w:rsidRPr="00A7415B" w:rsidRDefault="00082E94" w:rsidP="00082E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 w:val="0"/>
                <w:bCs w:val="0"/>
                <w:szCs w:val="24"/>
              </w:rPr>
            </w:pPr>
            <w:r w:rsidRPr="00A7415B">
              <w:rPr>
                <w:rFonts w:ascii="Georgia" w:hAnsi="Georgia"/>
                <w:b w:val="0"/>
                <w:bCs w:val="0"/>
                <w:szCs w:val="24"/>
              </w:rPr>
              <w:t xml:space="preserve">Tūkst. </w:t>
            </w:r>
            <w:r w:rsidR="00103D6B" w:rsidRPr="00A7415B">
              <w:rPr>
                <w:rFonts w:ascii="Georgia" w:hAnsi="Georgia"/>
                <w:b w:val="0"/>
                <w:bCs w:val="0"/>
                <w:szCs w:val="24"/>
              </w:rPr>
              <w:t>T</w:t>
            </w:r>
            <w:r w:rsidRPr="00A7415B">
              <w:rPr>
                <w:rFonts w:ascii="Georgia" w:hAnsi="Georgia"/>
                <w:b w:val="0"/>
                <w:bCs w:val="0"/>
                <w:szCs w:val="24"/>
              </w:rPr>
              <w:t>ne</w:t>
            </w:r>
          </w:p>
        </w:tc>
        <w:tc>
          <w:tcPr>
            <w:tcW w:w="2078" w:type="pct"/>
            <w:hideMark/>
          </w:tcPr>
          <w:p w14:paraId="3E5C20B0" w14:textId="77777777" w:rsidR="00082E94" w:rsidRPr="00A7415B" w:rsidRDefault="00082E94" w:rsidP="00082E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 w:val="0"/>
                <w:bCs w:val="0"/>
                <w:szCs w:val="24"/>
              </w:rPr>
            </w:pPr>
            <w:r w:rsidRPr="00A7415B">
              <w:rPr>
                <w:rFonts w:ascii="Georgia" w:hAnsi="Georgia"/>
                <w:b w:val="0"/>
                <w:bCs w:val="0"/>
                <w:szCs w:val="24"/>
              </w:rPr>
              <w:t>GWh</w:t>
            </w:r>
          </w:p>
        </w:tc>
      </w:tr>
      <w:tr w:rsidR="00082E94" w:rsidRPr="000619E8" w14:paraId="35A212B1" w14:textId="77777777" w:rsidTr="00437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pct"/>
            <w:hideMark/>
          </w:tcPr>
          <w:p w14:paraId="23E123F6" w14:textId="77777777" w:rsidR="00082E94" w:rsidRPr="000619E8" w:rsidRDefault="00082E94" w:rsidP="00082E94">
            <w:pPr>
              <w:autoSpaceDE w:val="0"/>
              <w:autoSpaceDN w:val="0"/>
              <w:adjustRightInd w:val="0"/>
              <w:jc w:val="center"/>
              <w:rPr>
                <w:rFonts w:ascii="Georgia" w:hAnsi="Georgia"/>
                <w:bCs w:val="0"/>
                <w:szCs w:val="24"/>
              </w:rPr>
            </w:pPr>
            <w:r w:rsidRPr="000619E8">
              <w:rPr>
                <w:rFonts w:ascii="Georgia" w:hAnsi="Georgia"/>
                <w:bCs w:val="0"/>
                <w:szCs w:val="24"/>
              </w:rPr>
              <w:t>2015</w:t>
            </w:r>
          </w:p>
        </w:tc>
        <w:tc>
          <w:tcPr>
            <w:tcW w:w="1114" w:type="pct"/>
            <w:hideMark/>
          </w:tcPr>
          <w:p w14:paraId="0F2D4C7E" w14:textId="77777777" w:rsidR="00082E94" w:rsidRPr="000619E8" w:rsidRDefault="00082E94" w:rsidP="002356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Cs w:val="24"/>
              </w:rPr>
            </w:pPr>
            <w:r w:rsidRPr="000619E8">
              <w:rPr>
                <w:rFonts w:ascii="Georgia" w:hAnsi="Georgia"/>
                <w:color w:val="000000"/>
              </w:rPr>
              <w:t>10</w:t>
            </w:r>
            <w:r w:rsidR="00235614">
              <w:rPr>
                <w:rFonts w:ascii="Georgia" w:hAnsi="Georgia"/>
                <w:color w:val="000000"/>
              </w:rPr>
              <w:t>,</w:t>
            </w:r>
            <w:r w:rsidRPr="000619E8">
              <w:rPr>
                <w:rFonts w:ascii="Georgia" w:hAnsi="Georgia"/>
                <w:color w:val="000000"/>
              </w:rPr>
              <w:t>5</w:t>
            </w:r>
          </w:p>
        </w:tc>
        <w:tc>
          <w:tcPr>
            <w:tcW w:w="2078" w:type="pct"/>
            <w:hideMark/>
          </w:tcPr>
          <w:p w14:paraId="57DC331F" w14:textId="77777777" w:rsidR="00082E94" w:rsidRPr="000619E8" w:rsidRDefault="00082E94" w:rsidP="002356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Cs w:val="24"/>
              </w:rPr>
            </w:pPr>
            <w:r w:rsidRPr="000619E8">
              <w:rPr>
                <w:rFonts w:ascii="Georgia" w:hAnsi="Georgia"/>
                <w:color w:val="000000"/>
              </w:rPr>
              <w:t>121</w:t>
            </w:r>
            <w:r w:rsidR="00235614">
              <w:rPr>
                <w:rFonts w:ascii="Georgia" w:hAnsi="Georgia"/>
                <w:color w:val="000000"/>
              </w:rPr>
              <w:t>,</w:t>
            </w:r>
            <w:r w:rsidRPr="000619E8">
              <w:rPr>
                <w:rFonts w:ascii="Georgia" w:hAnsi="Georgia"/>
                <w:color w:val="000000"/>
              </w:rPr>
              <w:t>8</w:t>
            </w:r>
          </w:p>
        </w:tc>
      </w:tr>
      <w:tr w:rsidR="00082E94" w:rsidRPr="000619E8" w14:paraId="33DD15EB" w14:textId="77777777" w:rsidTr="00437AC4">
        <w:tc>
          <w:tcPr>
            <w:cnfStyle w:val="001000000000" w:firstRow="0" w:lastRow="0" w:firstColumn="1" w:lastColumn="0" w:oddVBand="0" w:evenVBand="0" w:oddHBand="0" w:evenHBand="0" w:firstRowFirstColumn="0" w:firstRowLastColumn="0" w:lastRowFirstColumn="0" w:lastRowLastColumn="0"/>
            <w:tcW w:w="1808" w:type="pct"/>
            <w:hideMark/>
          </w:tcPr>
          <w:p w14:paraId="25B3CF64" w14:textId="77777777" w:rsidR="00082E94" w:rsidRPr="000619E8" w:rsidRDefault="00082E94" w:rsidP="00082E94">
            <w:pPr>
              <w:autoSpaceDE w:val="0"/>
              <w:autoSpaceDN w:val="0"/>
              <w:adjustRightInd w:val="0"/>
              <w:jc w:val="center"/>
              <w:rPr>
                <w:rFonts w:ascii="Georgia" w:hAnsi="Georgia"/>
                <w:bCs w:val="0"/>
                <w:szCs w:val="24"/>
              </w:rPr>
            </w:pPr>
            <w:r w:rsidRPr="000619E8">
              <w:rPr>
                <w:rFonts w:ascii="Georgia" w:hAnsi="Georgia"/>
                <w:bCs w:val="0"/>
                <w:szCs w:val="24"/>
              </w:rPr>
              <w:t>2016</w:t>
            </w:r>
          </w:p>
        </w:tc>
        <w:tc>
          <w:tcPr>
            <w:tcW w:w="1114" w:type="pct"/>
            <w:hideMark/>
          </w:tcPr>
          <w:p w14:paraId="7E2806EA" w14:textId="77777777" w:rsidR="00082E94" w:rsidRPr="000619E8" w:rsidRDefault="00082E94" w:rsidP="002356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Cs w:val="24"/>
              </w:rPr>
            </w:pPr>
            <w:r w:rsidRPr="000619E8">
              <w:rPr>
                <w:rFonts w:ascii="Georgia" w:hAnsi="Georgia"/>
                <w:color w:val="000000"/>
              </w:rPr>
              <w:t>31</w:t>
            </w:r>
            <w:r w:rsidR="00235614">
              <w:rPr>
                <w:rFonts w:ascii="Georgia" w:hAnsi="Georgia"/>
                <w:color w:val="000000"/>
              </w:rPr>
              <w:t>,</w:t>
            </w:r>
            <w:r w:rsidRPr="000619E8">
              <w:rPr>
                <w:rFonts w:ascii="Georgia" w:hAnsi="Georgia"/>
                <w:color w:val="000000"/>
              </w:rPr>
              <w:t>4</w:t>
            </w:r>
          </w:p>
        </w:tc>
        <w:tc>
          <w:tcPr>
            <w:tcW w:w="2078" w:type="pct"/>
            <w:hideMark/>
          </w:tcPr>
          <w:p w14:paraId="609E4C2C" w14:textId="77777777" w:rsidR="00082E94" w:rsidRPr="000619E8" w:rsidRDefault="00082E94" w:rsidP="002356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Cs w:val="24"/>
              </w:rPr>
            </w:pPr>
            <w:r w:rsidRPr="000619E8">
              <w:rPr>
                <w:rFonts w:ascii="Georgia" w:hAnsi="Georgia"/>
                <w:color w:val="000000"/>
              </w:rPr>
              <w:t>365</w:t>
            </w:r>
            <w:r w:rsidR="00235614">
              <w:rPr>
                <w:rFonts w:ascii="Georgia" w:hAnsi="Georgia"/>
                <w:color w:val="000000"/>
              </w:rPr>
              <w:t>,</w:t>
            </w:r>
            <w:r w:rsidRPr="000619E8">
              <w:rPr>
                <w:rFonts w:ascii="Georgia" w:hAnsi="Georgia"/>
                <w:color w:val="000000"/>
              </w:rPr>
              <w:t>4</w:t>
            </w:r>
          </w:p>
        </w:tc>
      </w:tr>
      <w:tr w:rsidR="00082E94" w:rsidRPr="000619E8" w14:paraId="201758D0" w14:textId="77777777" w:rsidTr="00437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pct"/>
            <w:hideMark/>
          </w:tcPr>
          <w:p w14:paraId="439E9B5B" w14:textId="77777777" w:rsidR="00082E94" w:rsidRPr="000619E8" w:rsidRDefault="00082E94" w:rsidP="00082E94">
            <w:pPr>
              <w:autoSpaceDE w:val="0"/>
              <w:autoSpaceDN w:val="0"/>
              <w:adjustRightInd w:val="0"/>
              <w:jc w:val="center"/>
              <w:rPr>
                <w:rFonts w:ascii="Georgia" w:hAnsi="Georgia"/>
                <w:bCs w:val="0"/>
                <w:szCs w:val="24"/>
              </w:rPr>
            </w:pPr>
            <w:r w:rsidRPr="000619E8">
              <w:rPr>
                <w:rFonts w:ascii="Georgia" w:hAnsi="Georgia"/>
                <w:bCs w:val="0"/>
                <w:szCs w:val="24"/>
              </w:rPr>
              <w:t>2017</w:t>
            </w:r>
          </w:p>
        </w:tc>
        <w:tc>
          <w:tcPr>
            <w:tcW w:w="1114" w:type="pct"/>
            <w:hideMark/>
          </w:tcPr>
          <w:p w14:paraId="36BADABC" w14:textId="77777777" w:rsidR="00082E94" w:rsidRPr="000619E8" w:rsidRDefault="00082E94" w:rsidP="002356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Cs w:val="24"/>
              </w:rPr>
            </w:pPr>
            <w:r w:rsidRPr="000619E8">
              <w:rPr>
                <w:rFonts w:ascii="Georgia" w:hAnsi="Georgia"/>
                <w:color w:val="000000"/>
              </w:rPr>
              <w:t>62</w:t>
            </w:r>
            <w:r w:rsidR="00235614">
              <w:rPr>
                <w:rFonts w:ascii="Georgia" w:hAnsi="Georgia"/>
                <w:color w:val="000000"/>
              </w:rPr>
              <w:t>,</w:t>
            </w:r>
            <w:r w:rsidRPr="000619E8">
              <w:rPr>
                <w:rFonts w:ascii="Georgia" w:hAnsi="Georgia"/>
                <w:color w:val="000000"/>
              </w:rPr>
              <w:t>8</w:t>
            </w:r>
          </w:p>
        </w:tc>
        <w:tc>
          <w:tcPr>
            <w:tcW w:w="2078" w:type="pct"/>
            <w:hideMark/>
          </w:tcPr>
          <w:p w14:paraId="39662E9F" w14:textId="77777777" w:rsidR="00082E94" w:rsidRPr="000619E8" w:rsidRDefault="00082E94" w:rsidP="002356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Cs w:val="24"/>
              </w:rPr>
            </w:pPr>
            <w:r w:rsidRPr="000619E8">
              <w:rPr>
                <w:rFonts w:ascii="Georgia" w:hAnsi="Georgia"/>
                <w:color w:val="000000"/>
              </w:rPr>
              <w:t>730</w:t>
            </w:r>
            <w:r w:rsidR="00235614">
              <w:rPr>
                <w:rFonts w:ascii="Georgia" w:hAnsi="Georgia"/>
                <w:color w:val="000000"/>
              </w:rPr>
              <w:t>,</w:t>
            </w:r>
            <w:r w:rsidRPr="000619E8">
              <w:rPr>
                <w:rFonts w:ascii="Georgia" w:hAnsi="Georgia"/>
                <w:color w:val="000000"/>
              </w:rPr>
              <w:t>8</w:t>
            </w:r>
          </w:p>
        </w:tc>
      </w:tr>
      <w:tr w:rsidR="00082E94" w:rsidRPr="000619E8" w14:paraId="3246704A" w14:textId="77777777" w:rsidTr="00437AC4">
        <w:tc>
          <w:tcPr>
            <w:cnfStyle w:val="001000000000" w:firstRow="0" w:lastRow="0" w:firstColumn="1" w:lastColumn="0" w:oddVBand="0" w:evenVBand="0" w:oddHBand="0" w:evenHBand="0" w:firstRowFirstColumn="0" w:firstRowLastColumn="0" w:lastRowFirstColumn="0" w:lastRowLastColumn="0"/>
            <w:tcW w:w="1808" w:type="pct"/>
            <w:hideMark/>
          </w:tcPr>
          <w:p w14:paraId="3AB6EF3E" w14:textId="77777777" w:rsidR="00082E94" w:rsidRPr="000619E8" w:rsidRDefault="00082E94" w:rsidP="00082E94">
            <w:pPr>
              <w:autoSpaceDE w:val="0"/>
              <w:autoSpaceDN w:val="0"/>
              <w:adjustRightInd w:val="0"/>
              <w:jc w:val="center"/>
              <w:rPr>
                <w:rFonts w:ascii="Georgia" w:hAnsi="Georgia"/>
                <w:bCs w:val="0"/>
                <w:szCs w:val="24"/>
              </w:rPr>
            </w:pPr>
            <w:r w:rsidRPr="000619E8">
              <w:rPr>
                <w:rFonts w:ascii="Georgia" w:hAnsi="Georgia"/>
                <w:bCs w:val="0"/>
                <w:szCs w:val="24"/>
              </w:rPr>
              <w:t>2018</w:t>
            </w:r>
          </w:p>
        </w:tc>
        <w:tc>
          <w:tcPr>
            <w:tcW w:w="1114" w:type="pct"/>
            <w:hideMark/>
          </w:tcPr>
          <w:p w14:paraId="1704E289" w14:textId="77777777" w:rsidR="00082E94" w:rsidRPr="000619E8" w:rsidRDefault="00082E94" w:rsidP="002356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Cs w:val="24"/>
              </w:rPr>
            </w:pPr>
            <w:r w:rsidRPr="000619E8">
              <w:rPr>
                <w:rFonts w:ascii="Georgia" w:hAnsi="Georgia"/>
                <w:color w:val="000000"/>
              </w:rPr>
              <w:t>104</w:t>
            </w:r>
            <w:r w:rsidR="00235614">
              <w:rPr>
                <w:rFonts w:ascii="Georgia" w:hAnsi="Georgia"/>
                <w:color w:val="000000"/>
              </w:rPr>
              <w:t>,</w:t>
            </w:r>
            <w:r w:rsidRPr="000619E8">
              <w:rPr>
                <w:rFonts w:ascii="Georgia" w:hAnsi="Georgia"/>
                <w:color w:val="000000"/>
              </w:rPr>
              <w:t>7</w:t>
            </w:r>
          </w:p>
        </w:tc>
        <w:tc>
          <w:tcPr>
            <w:tcW w:w="2078" w:type="pct"/>
            <w:hideMark/>
          </w:tcPr>
          <w:p w14:paraId="31736069" w14:textId="77777777" w:rsidR="00082E94" w:rsidRPr="000619E8" w:rsidRDefault="00082E94" w:rsidP="00082E9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Cs w:val="24"/>
              </w:rPr>
            </w:pPr>
            <w:r w:rsidRPr="000619E8">
              <w:rPr>
                <w:rFonts w:ascii="Georgia" w:hAnsi="Georgia"/>
                <w:color w:val="000000"/>
              </w:rPr>
              <w:t>1218</w:t>
            </w:r>
          </w:p>
        </w:tc>
      </w:tr>
      <w:tr w:rsidR="00082E94" w:rsidRPr="000619E8" w14:paraId="6B131563" w14:textId="77777777" w:rsidTr="00437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pct"/>
            <w:hideMark/>
          </w:tcPr>
          <w:p w14:paraId="534EA00C" w14:textId="77777777" w:rsidR="00082E94" w:rsidRPr="000619E8" w:rsidRDefault="00082E94" w:rsidP="00082E94">
            <w:pPr>
              <w:autoSpaceDE w:val="0"/>
              <w:autoSpaceDN w:val="0"/>
              <w:adjustRightInd w:val="0"/>
              <w:jc w:val="center"/>
              <w:rPr>
                <w:rFonts w:ascii="Georgia" w:hAnsi="Georgia"/>
                <w:bCs w:val="0"/>
                <w:szCs w:val="24"/>
              </w:rPr>
            </w:pPr>
            <w:r w:rsidRPr="000619E8">
              <w:rPr>
                <w:rFonts w:ascii="Georgia" w:hAnsi="Georgia"/>
                <w:bCs w:val="0"/>
                <w:szCs w:val="24"/>
              </w:rPr>
              <w:t>2019</w:t>
            </w:r>
          </w:p>
        </w:tc>
        <w:tc>
          <w:tcPr>
            <w:tcW w:w="1114" w:type="pct"/>
            <w:hideMark/>
          </w:tcPr>
          <w:p w14:paraId="0A5ECC0C" w14:textId="77777777" w:rsidR="00082E94" w:rsidRPr="000619E8" w:rsidRDefault="00082E94" w:rsidP="002356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Cs w:val="24"/>
              </w:rPr>
            </w:pPr>
            <w:r w:rsidRPr="000619E8">
              <w:rPr>
                <w:rFonts w:ascii="Georgia" w:hAnsi="Georgia"/>
                <w:color w:val="000000"/>
              </w:rPr>
              <w:t>157</w:t>
            </w:r>
            <w:r w:rsidR="00235614">
              <w:rPr>
                <w:rFonts w:ascii="Georgia" w:hAnsi="Georgia"/>
                <w:color w:val="000000"/>
              </w:rPr>
              <w:t>,</w:t>
            </w:r>
            <w:r w:rsidRPr="000619E8">
              <w:rPr>
                <w:rFonts w:ascii="Georgia" w:hAnsi="Georgia"/>
                <w:color w:val="000000"/>
              </w:rPr>
              <w:t>1</w:t>
            </w:r>
          </w:p>
        </w:tc>
        <w:tc>
          <w:tcPr>
            <w:tcW w:w="2078" w:type="pct"/>
            <w:hideMark/>
          </w:tcPr>
          <w:p w14:paraId="71C69A1C" w14:textId="77777777" w:rsidR="00082E94" w:rsidRPr="000619E8" w:rsidRDefault="00082E94" w:rsidP="00082E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Cs w:val="24"/>
              </w:rPr>
            </w:pPr>
            <w:r w:rsidRPr="000619E8">
              <w:rPr>
                <w:rFonts w:ascii="Georgia" w:hAnsi="Georgia"/>
                <w:color w:val="000000"/>
              </w:rPr>
              <w:t>1827</w:t>
            </w:r>
          </w:p>
        </w:tc>
      </w:tr>
      <w:tr w:rsidR="00082E94" w:rsidRPr="000619E8" w14:paraId="3E82195E" w14:textId="77777777" w:rsidTr="00437AC4">
        <w:tc>
          <w:tcPr>
            <w:cnfStyle w:val="001000000000" w:firstRow="0" w:lastRow="0" w:firstColumn="1" w:lastColumn="0" w:oddVBand="0" w:evenVBand="0" w:oddHBand="0" w:evenHBand="0" w:firstRowFirstColumn="0" w:firstRowLastColumn="0" w:lastRowFirstColumn="0" w:lastRowLastColumn="0"/>
            <w:tcW w:w="1808" w:type="pct"/>
            <w:hideMark/>
          </w:tcPr>
          <w:p w14:paraId="5628627C" w14:textId="77777777" w:rsidR="00082E94" w:rsidRPr="000619E8" w:rsidRDefault="00082E94" w:rsidP="00082E94">
            <w:pPr>
              <w:autoSpaceDE w:val="0"/>
              <w:autoSpaceDN w:val="0"/>
              <w:adjustRightInd w:val="0"/>
              <w:jc w:val="center"/>
              <w:rPr>
                <w:rFonts w:ascii="Georgia" w:hAnsi="Georgia"/>
                <w:bCs w:val="0"/>
                <w:szCs w:val="24"/>
              </w:rPr>
            </w:pPr>
            <w:r w:rsidRPr="000619E8">
              <w:rPr>
                <w:rFonts w:ascii="Georgia" w:hAnsi="Georgia"/>
                <w:bCs w:val="0"/>
                <w:szCs w:val="24"/>
              </w:rPr>
              <w:t>2020</w:t>
            </w:r>
          </w:p>
        </w:tc>
        <w:tc>
          <w:tcPr>
            <w:tcW w:w="1114" w:type="pct"/>
            <w:hideMark/>
          </w:tcPr>
          <w:p w14:paraId="6657220F" w14:textId="77777777" w:rsidR="00082E94" w:rsidRPr="000619E8" w:rsidRDefault="00082E94" w:rsidP="002356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Cs w:val="24"/>
              </w:rPr>
            </w:pPr>
            <w:r w:rsidRPr="000619E8">
              <w:rPr>
                <w:rFonts w:ascii="Georgia" w:hAnsi="Georgia"/>
                <w:color w:val="000000"/>
              </w:rPr>
              <w:t>219</w:t>
            </w:r>
            <w:r w:rsidR="00235614">
              <w:rPr>
                <w:rFonts w:ascii="Georgia" w:hAnsi="Georgia"/>
                <w:color w:val="000000"/>
              </w:rPr>
              <w:t>,</w:t>
            </w:r>
            <w:r w:rsidRPr="000619E8">
              <w:rPr>
                <w:rFonts w:ascii="Georgia" w:hAnsi="Georgia"/>
                <w:color w:val="000000"/>
              </w:rPr>
              <w:t>9</w:t>
            </w:r>
          </w:p>
        </w:tc>
        <w:tc>
          <w:tcPr>
            <w:tcW w:w="2078" w:type="pct"/>
            <w:hideMark/>
          </w:tcPr>
          <w:p w14:paraId="37C292AF" w14:textId="77777777" w:rsidR="00082E94" w:rsidRPr="000619E8" w:rsidRDefault="00082E94" w:rsidP="0023561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Cs w:val="24"/>
              </w:rPr>
            </w:pPr>
            <w:r w:rsidRPr="000619E8">
              <w:rPr>
                <w:rFonts w:ascii="Georgia" w:hAnsi="Georgia"/>
                <w:color w:val="000000"/>
              </w:rPr>
              <w:t>2557</w:t>
            </w:r>
            <w:r w:rsidR="00235614">
              <w:rPr>
                <w:rFonts w:ascii="Georgia" w:hAnsi="Georgia"/>
                <w:color w:val="000000"/>
              </w:rPr>
              <w:t>,</w:t>
            </w:r>
            <w:r w:rsidRPr="000619E8">
              <w:rPr>
                <w:rFonts w:ascii="Georgia" w:hAnsi="Georgia"/>
                <w:color w:val="000000"/>
              </w:rPr>
              <w:t>8</w:t>
            </w:r>
          </w:p>
        </w:tc>
      </w:tr>
    </w:tbl>
    <w:p w14:paraId="2014042A" w14:textId="77777777" w:rsidR="00082E94" w:rsidRPr="000619E8" w:rsidRDefault="000619E8" w:rsidP="000619E8">
      <w:pPr>
        <w:pStyle w:val="Antrat"/>
        <w:jc w:val="both"/>
        <w:rPr>
          <w:rFonts w:cs="Georgia"/>
          <w:b w:val="0"/>
          <w:i/>
          <w:szCs w:val="20"/>
          <w:lang w:val="lt-LT"/>
        </w:rPr>
      </w:pPr>
      <w:r w:rsidRPr="000619E8">
        <w:rPr>
          <w:rFonts w:cs="Georgia"/>
          <w:b w:val="0"/>
          <w:i/>
          <w:szCs w:val="20"/>
          <w:lang w:val="lt-LT"/>
        </w:rPr>
        <w:t xml:space="preserve">Šaltinis: sudaryta autorių. </w:t>
      </w:r>
    </w:p>
    <w:p w14:paraId="3AF09101" w14:textId="77777777" w:rsidR="008235B8" w:rsidRDefault="008235B8" w:rsidP="008235B8">
      <w:pPr>
        <w:autoSpaceDE w:val="0"/>
        <w:autoSpaceDN w:val="0"/>
        <w:adjustRightInd w:val="0"/>
        <w:spacing w:after="0"/>
        <w:jc w:val="both"/>
        <w:rPr>
          <w:rFonts w:ascii="Georgia" w:hAnsi="Georgia" w:cs="Georgia"/>
          <w:sz w:val="18"/>
          <w:szCs w:val="20"/>
          <w:lang w:val="lt-LT"/>
        </w:rPr>
      </w:pPr>
    </w:p>
    <w:p w14:paraId="39F7B3B9" w14:textId="77777777" w:rsidR="008235B8" w:rsidRDefault="008235B8" w:rsidP="008235B8">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Skirstydami energijos sutaupymo potencialą valstybės ir savivaldybių viešuosiuose ir daugiabučių pastatuose atsižvelgėme į tai, kad </w:t>
      </w:r>
      <w:r w:rsidR="000619E8">
        <w:rPr>
          <w:rFonts w:ascii="Georgia" w:hAnsi="Georgia" w:cs="Georgia"/>
          <w:sz w:val="20"/>
          <w:szCs w:val="20"/>
          <w:lang w:val="lt-LT"/>
        </w:rPr>
        <w:t xml:space="preserve">renovuotinų </w:t>
      </w:r>
      <w:r>
        <w:rPr>
          <w:rFonts w:ascii="Georgia" w:hAnsi="Georgia" w:cs="Georgia"/>
          <w:sz w:val="20"/>
          <w:szCs w:val="20"/>
          <w:lang w:val="lt-LT"/>
        </w:rPr>
        <w:t xml:space="preserve">daugiabučių pastatų skaičius yra daug didesnis </w:t>
      </w:r>
      <w:r w:rsidR="000619E8" w:rsidRPr="000619E8">
        <w:rPr>
          <w:rFonts w:ascii="Georgia" w:hAnsi="Georgia" w:cs="Georgia"/>
          <w:sz w:val="20"/>
          <w:szCs w:val="20"/>
          <w:lang w:val="lt-LT"/>
        </w:rPr>
        <w:t>nei reno</w:t>
      </w:r>
      <w:r w:rsidR="000619E8">
        <w:rPr>
          <w:rFonts w:ascii="Georgia" w:hAnsi="Georgia" w:cs="Georgia"/>
          <w:sz w:val="20"/>
          <w:szCs w:val="20"/>
          <w:lang w:val="lt-LT"/>
        </w:rPr>
        <w:t>vuotinų viešųjų pastatų</w:t>
      </w:r>
      <w:r w:rsidR="000619E8" w:rsidRPr="00F16FF8">
        <w:rPr>
          <w:rFonts w:ascii="Georgia" w:hAnsi="Georgia" w:cs="Georgia"/>
          <w:sz w:val="20"/>
          <w:szCs w:val="20"/>
          <w:lang w:val="lt-LT"/>
        </w:rPr>
        <w:t xml:space="preserve"> </w:t>
      </w:r>
      <w:r w:rsidRPr="00F16FF8">
        <w:rPr>
          <w:rFonts w:ascii="Georgia" w:hAnsi="Georgia" w:cs="Georgia"/>
          <w:sz w:val="20"/>
          <w:szCs w:val="20"/>
          <w:lang w:val="lt-LT"/>
        </w:rPr>
        <w:t>(</w:t>
      </w:r>
      <w:r w:rsidR="00A71EA8">
        <w:rPr>
          <w:rFonts w:ascii="Georgia" w:hAnsi="Georgia" w:cs="Georgia"/>
          <w:sz w:val="20"/>
          <w:szCs w:val="20"/>
          <w:lang w:val="lt-LT"/>
        </w:rPr>
        <w:t xml:space="preserve">kaip tai </w:t>
      </w:r>
      <w:r w:rsidR="00A71EA8" w:rsidRPr="000619E8">
        <w:rPr>
          <w:rFonts w:ascii="Georgia" w:hAnsi="Georgia" w:cs="Georgia"/>
          <w:sz w:val="20"/>
          <w:szCs w:val="20"/>
          <w:lang w:val="lt-LT"/>
        </w:rPr>
        <w:t>matyti 5-oje ir 8-oje lentelėse)</w:t>
      </w:r>
      <w:r>
        <w:rPr>
          <w:rFonts w:ascii="Georgia" w:hAnsi="Georgia" w:cs="Georgia"/>
          <w:sz w:val="20"/>
          <w:szCs w:val="20"/>
          <w:lang w:val="lt-LT"/>
        </w:rPr>
        <w:t xml:space="preserve">. Todėl darėme prielaidą, kad </w:t>
      </w:r>
      <w:r w:rsidR="000619E8">
        <w:rPr>
          <w:rFonts w:ascii="Georgia" w:hAnsi="Georgia" w:cs="Georgia"/>
          <w:sz w:val="20"/>
          <w:szCs w:val="20"/>
          <w:lang w:val="lt-LT"/>
        </w:rPr>
        <w:t xml:space="preserve">viešuosiuose pastatuose ir daugiabučiuose namuose </w:t>
      </w:r>
      <w:r>
        <w:rPr>
          <w:rFonts w:ascii="Georgia" w:hAnsi="Georgia" w:cs="Georgia"/>
          <w:sz w:val="20"/>
          <w:szCs w:val="20"/>
          <w:lang w:val="lt-LT"/>
        </w:rPr>
        <w:t>energijos</w:t>
      </w:r>
      <w:r w:rsidR="000619E8">
        <w:rPr>
          <w:rFonts w:ascii="Georgia" w:hAnsi="Georgia" w:cs="Georgia"/>
          <w:sz w:val="20"/>
          <w:szCs w:val="20"/>
          <w:lang w:val="lt-LT"/>
        </w:rPr>
        <w:t xml:space="preserve"> sutaupymų</w:t>
      </w:r>
      <w:r w:rsidR="00A71EA8">
        <w:rPr>
          <w:rFonts w:ascii="Georgia" w:hAnsi="Georgia" w:cs="Georgia"/>
          <w:sz w:val="20"/>
          <w:szCs w:val="20"/>
          <w:lang w:val="lt-LT"/>
        </w:rPr>
        <w:t xml:space="preserve"> tikslas</w:t>
      </w:r>
      <w:r>
        <w:rPr>
          <w:rFonts w:ascii="Georgia" w:hAnsi="Georgia" w:cs="Georgia"/>
          <w:sz w:val="20"/>
          <w:szCs w:val="20"/>
          <w:lang w:val="lt-LT"/>
        </w:rPr>
        <w:t xml:space="preserve"> skirstytin</w:t>
      </w:r>
      <w:r w:rsidR="00A71EA8">
        <w:rPr>
          <w:rFonts w:ascii="Georgia" w:hAnsi="Georgia" w:cs="Georgia"/>
          <w:sz w:val="20"/>
          <w:szCs w:val="20"/>
          <w:lang w:val="lt-LT"/>
        </w:rPr>
        <w:t>a</w:t>
      </w:r>
      <w:r>
        <w:rPr>
          <w:rFonts w:ascii="Georgia" w:hAnsi="Georgia" w:cs="Georgia"/>
          <w:sz w:val="20"/>
          <w:szCs w:val="20"/>
          <w:lang w:val="lt-LT"/>
        </w:rPr>
        <w:t>s šiomis proporcijomis: 70 % arba 85</w:t>
      </w:r>
      <w:r w:rsidR="00A71EA8">
        <w:rPr>
          <w:rFonts w:ascii="Georgia" w:hAnsi="Georgia" w:cs="Georgia"/>
          <w:sz w:val="20"/>
          <w:szCs w:val="20"/>
          <w:lang w:val="lt-LT"/>
        </w:rPr>
        <w:t>,</w:t>
      </w:r>
      <w:r>
        <w:rPr>
          <w:rFonts w:ascii="Georgia" w:hAnsi="Georgia" w:cs="Georgia"/>
          <w:sz w:val="20"/>
          <w:szCs w:val="20"/>
          <w:lang w:val="lt-LT"/>
        </w:rPr>
        <w:t>3 GWh energijos kiekvienais metais sutaupys daugiabučiai pastatai, o viešieji valstybės ir savivaldybės pastatai – 30 % arba 36</w:t>
      </w:r>
      <w:r w:rsidR="00A71EA8">
        <w:rPr>
          <w:rFonts w:ascii="Georgia" w:hAnsi="Georgia" w:cs="Georgia"/>
          <w:sz w:val="20"/>
          <w:szCs w:val="20"/>
          <w:lang w:val="lt-LT"/>
        </w:rPr>
        <w:t>,</w:t>
      </w:r>
      <w:r>
        <w:rPr>
          <w:rFonts w:ascii="Georgia" w:hAnsi="Georgia" w:cs="Georgia"/>
          <w:sz w:val="20"/>
          <w:szCs w:val="20"/>
          <w:lang w:val="lt-LT"/>
        </w:rPr>
        <w:t>6 GWh energijos</w:t>
      </w:r>
      <w:r w:rsidR="000619E8">
        <w:rPr>
          <w:rFonts w:ascii="Georgia" w:hAnsi="Georgia" w:cs="Georgia"/>
          <w:sz w:val="20"/>
          <w:szCs w:val="20"/>
          <w:lang w:val="lt-LT"/>
        </w:rPr>
        <w:t xml:space="preserve"> kiekvienais metais</w:t>
      </w:r>
      <w:r>
        <w:rPr>
          <w:rFonts w:ascii="Georgia" w:hAnsi="Georgia" w:cs="Georgia"/>
          <w:sz w:val="20"/>
          <w:szCs w:val="20"/>
          <w:lang w:val="lt-LT"/>
        </w:rPr>
        <w:t>. Šis skirstymas remiasi prielaida, jog mažiausiai energetiškai efektyvūs pastatai, atskirose pastatų grupėse</w:t>
      </w:r>
      <w:r w:rsidRPr="00CF43FE">
        <w:rPr>
          <w:rFonts w:ascii="Georgia" w:hAnsi="Georgia" w:cs="Georgia"/>
          <w:sz w:val="20"/>
          <w:szCs w:val="20"/>
          <w:lang w:val="lt-LT"/>
        </w:rPr>
        <w:t xml:space="preserve"> </w:t>
      </w:r>
      <w:r>
        <w:rPr>
          <w:rFonts w:ascii="Georgia" w:hAnsi="Georgia" w:cs="Georgia"/>
          <w:sz w:val="20"/>
          <w:szCs w:val="20"/>
          <w:lang w:val="lt-LT"/>
        </w:rPr>
        <w:t>(</w:t>
      </w:r>
      <w:r w:rsidR="000619E8">
        <w:rPr>
          <w:rFonts w:ascii="Georgia" w:hAnsi="Georgia" w:cs="Georgia"/>
          <w:sz w:val="20"/>
          <w:szCs w:val="20"/>
          <w:lang w:val="lt-LT"/>
        </w:rPr>
        <w:t>centrinės valdžios ir savivaldybių</w:t>
      </w:r>
      <w:r w:rsidRPr="00F16FF8">
        <w:rPr>
          <w:rFonts w:ascii="Georgia" w:hAnsi="Georgia" w:cs="Georgia"/>
          <w:sz w:val="20"/>
          <w:szCs w:val="20"/>
          <w:lang w:val="lt-LT"/>
        </w:rPr>
        <w:t xml:space="preserve"> pastatų </w:t>
      </w:r>
      <w:r>
        <w:rPr>
          <w:rFonts w:ascii="Georgia" w:hAnsi="Georgia" w:cs="Georgia"/>
          <w:sz w:val="20"/>
          <w:szCs w:val="20"/>
          <w:lang w:val="lt-LT"/>
        </w:rPr>
        <w:t>pas</w:t>
      </w:r>
      <w:r w:rsidR="000619E8">
        <w:rPr>
          <w:rFonts w:ascii="Georgia" w:hAnsi="Georgia" w:cs="Georgia"/>
          <w:sz w:val="20"/>
          <w:szCs w:val="20"/>
          <w:lang w:val="lt-LT"/>
        </w:rPr>
        <w:t xml:space="preserve">iskirstymas aptariamas </w:t>
      </w:r>
      <w:r>
        <w:rPr>
          <w:rFonts w:ascii="Georgia" w:hAnsi="Georgia" w:cs="Georgia"/>
          <w:sz w:val="20"/>
          <w:szCs w:val="20"/>
          <w:lang w:val="lt-LT"/>
        </w:rPr>
        <w:t>2.1.1</w:t>
      </w:r>
      <w:r w:rsidR="000619E8">
        <w:rPr>
          <w:rFonts w:ascii="Georgia" w:hAnsi="Georgia" w:cs="Georgia"/>
          <w:sz w:val="20"/>
          <w:szCs w:val="20"/>
          <w:lang w:val="lt-LT"/>
        </w:rPr>
        <w:t xml:space="preserve"> ir 2.1.2</w:t>
      </w:r>
      <w:r>
        <w:rPr>
          <w:rFonts w:ascii="Georgia" w:hAnsi="Georgia" w:cs="Georgia"/>
          <w:sz w:val="20"/>
          <w:szCs w:val="20"/>
          <w:lang w:val="lt-LT"/>
        </w:rPr>
        <w:t xml:space="preserve"> punkt</w:t>
      </w:r>
      <w:r w:rsidR="000619E8">
        <w:rPr>
          <w:rFonts w:ascii="Georgia" w:hAnsi="Georgia" w:cs="Georgia"/>
          <w:sz w:val="20"/>
          <w:szCs w:val="20"/>
          <w:lang w:val="lt-LT"/>
        </w:rPr>
        <w:t>uos</w:t>
      </w:r>
      <w:r>
        <w:rPr>
          <w:rFonts w:ascii="Georgia" w:hAnsi="Georgia" w:cs="Georgia"/>
          <w:sz w:val="20"/>
          <w:szCs w:val="20"/>
          <w:lang w:val="lt-LT"/>
        </w:rPr>
        <w:t xml:space="preserve">e), yra pasiskirstę proporcingai. Gatvių apšvietimo modernizavimo rodikliai </w:t>
      </w:r>
      <w:r>
        <w:rPr>
          <w:rFonts w:ascii="Georgia" w:hAnsi="Georgia"/>
          <w:bCs/>
          <w:sz w:val="20"/>
          <w:szCs w:val="24"/>
          <w:lang w:val="lt-LT"/>
        </w:rPr>
        <w:t xml:space="preserve">Nacionalinėje energijos nepriklausomybės strategijos bei </w:t>
      </w:r>
      <w:r>
        <w:rPr>
          <w:rFonts w:ascii="Georgia" w:hAnsi="Georgia" w:cs="Georgia"/>
          <w:sz w:val="20"/>
          <w:szCs w:val="20"/>
          <w:lang w:val="lt-LT"/>
        </w:rPr>
        <w:t>Energijos efektyvumo direktyvoje atskirai nėra aptarti.</w:t>
      </w:r>
      <w:r w:rsidR="000619E8">
        <w:rPr>
          <w:rFonts w:ascii="Georgia" w:hAnsi="Georgia" w:cs="Georgia"/>
          <w:sz w:val="20"/>
          <w:szCs w:val="20"/>
          <w:lang w:val="lt-LT"/>
        </w:rPr>
        <w:t xml:space="preserve"> Žemiau pateiktoje schemoje pavaizduota, kaip energijos sutaupymo tikslų įgyvendinimas pasiskirsto tarp skirtingų pastatų tipų.</w:t>
      </w:r>
    </w:p>
    <w:p w14:paraId="6EB68A4F" w14:textId="77777777" w:rsidR="00082E94" w:rsidRDefault="00082E94" w:rsidP="008235B8">
      <w:pPr>
        <w:autoSpaceDE w:val="0"/>
        <w:autoSpaceDN w:val="0"/>
        <w:adjustRightInd w:val="0"/>
        <w:spacing w:after="0"/>
        <w:jc w:val="both"/>
        <w:rPr>
          <w:rFonts w:ascii="Georgia" w:hAnsi="Georgia" w:cs="Georgia"/>
          <w:sz w:val="20"/>
          <w:szCs w:val="20"/>
          <w:lang w:val="lt-LT"/>
        </w:rPr>
      </w:pPr>
    </w:p>
    <w:p w14:paraId="6BE4EB30" w14:textId="77777777" w:rsidR="00082E94" w:rsidRDefault="00082E94" w:rsidP="000619E8">
      <w:pPr>
        <w:keepNext/>
        <w:autoSpaceDE w:val="0"/>
        <w:autoSpaceDN w:val="0"/>
        <w:adjustRightInd w:val="0"/>
        <w:spacing w:after="0"/>
        <w:jc w:val="both"/>
        <w:rPr>
          <w:rFonts w:ascii="Georgia" w:hAnsi="Georgia" w:cs="Georgia"/>
          <w:sz w:val="20"/>
          <w:szCs w:val="20"/>
          <w:lang w:val="lt-LT"/>
        </w:rPr>
      </w:pPr>
      <w:r w:rsidRPr="000619E8">
        <w:rPr>
          <w:rFonts w:ascii="Georgia" w:hAnsi="Georgia" w:cs="Georgia"/>
          <w:noProof/>
          <w:sz w:val="20"/>
          <w:szCs w:val="20"/>
          <w:lang w:val="lt-LT" w:eastAsia="lt-LT"/>
        </w:rPr>
        <w:lastRenderedPageBreak/>
        <w:drawing>
          <wp:inline distT="0" distB="0" distL="0" distR="0" wp14:anchorId="4D2ED698" wp14:editId="18EB5FCF">
            <wp:extent cx="5676405" cy="4370119"/>
            <wp:effectExtent l="0" t="0" r="57785" b="11430"/>
            <wp:docPr id="460" name="Diagrama 4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81F7F42" w14:textId="147AE709" w:rsidR="008235B8" w:rsidRPr="00BE7164" w:rsidRDefault="008235B8" w:rsidP="000619E8">
      <w:pPr>
        <w:pStyle w:val="Antrat"/>
        <w:spacing w:line="276" w:lineRule="auto"/>
        <w:jc w:val="both"/>
        <w:rPr>
          <w:rFonts w:cs="Georgia"/>
          <w:szCs w:val="20"/>
          <w:lang w:val="lt-LT"/>
        </w:rPr>
      </w:pPr>
      <w:bookmarkStart w:id="38" w:name="_Toc417378281"/>
      <w:r w:rsidRPr="00BE7164">
        <w:rPr>
          <w:lang w:val="lt-LT"/>
        </w:rPr>
        <w:t xml:space="preserve">Paveikslas </w:t>
      </w:r>
      <w:r w:rsidRPr="00BE7164">
        <w:rPr>
          <w:lang w:val="lt-LT"/>
        </w:rPr>
        <w:fldChar w:fldCharType="begin"/>
      </w:r>
      <w:r w:rsidRPr="00BE7164">
        <w:rPr>
          <w:lang w:val="lt-LT"/>
        </w:rPr>
        <w:instrText xml:space="preserve"> SEQ Paveikslas \* ARABIC </w:instrText>
      </w:r>
      <w:r w:rsidRPr="00BE7164">
        <w:rPr>
          <w:lang w:val="lt-LT"/>
        </w:rPr>
        <w:fldChar w:fldCharType="separate"/>
      </w:r>
      <w:r w:rsidR="00AA3082">
        <w:rPr>
          <w:noProof/>
          <w:lang w:val="lt-LT"/>
        </w:rPr>
        <w:t>4</w:t>
      </w:r>
      <w:r w:rsidRPr="00BE7164">
        <w:rPr>
          <w:lang w:val="lt-LT"/>
        </w:rPr>
        <w:fldChar w:fldCharType="end"/>
      </w:r>
      <w:r w:rsidRPr="00BE7164">
        <w:rPr>
          <w:lang w:val="lt-LT"/>
        </w:rPr>
        <w:t>.</w:t>
      </w:r>
      <w:r w:rsidRPr="004B194D">
        <w:rPr>
          <w:rFonts w:cs="Georgia"/>
          <w:szCs w:val="20"/>
          <w:lang w:val="lt-LT"/>
        </w:rPr>
        <w:t xml:space="preserve"> </w:t>
      </w:r>
      <w:r w:rsidRPr="004B194D">
        <w:rPr>
          <w:szCs w:val="20"/>
          <w:lang w:val="lt-LT"/>
        </w:rPr>
        <w:t>Energijos sutaupymo galimybių pasiskirstymo tarp gyvenamųjų ir</w:t>
      </w:r>
      <w:r w:rsidRPr="001239CA">
        <w:rPr>
          <w:szCs w:val="20"/>
          <w:lang w:val="lt-LT"/>
        </w:rPr>
        <w:t xml:space="preserve"> viešosios paskirties pastatų</w:t>
      </w:r>
      <w:r>
        <w:rPr>
          <w:szCs w:val="20"/>
          <w:lang w:val="lt-LT"/>
        </w:rPr>
        <w:t xml:space="preserve"> prielaidos</w:t>
      </w:r>
      <w:r>
        <w:rPr>
          <w:rFonts w:cs="Georgia"/>
          <w:szCs w:val="20"/>
          <w:lang w:val="lt-LT"/>
        </w:rPr>
        <w:t>.</w:t>
      </w:r>
      <w:bookmarkEnd w:id="38"/>
    </w:p>
    <w:p w14:paraId="7B61D353" w14:textId="77777777" w:rsidR="00386440" w:rsidRDefault="00386440" w:rsidP="00336C16">
      <w:pPr>
        <w:widowControl w:val="0"/>
        <w:overflowPunct w:val="0"/>
        <w:autoSpaceDE w:val="0"/>
        <w:autoSpaceDN w:val="0"/>
        <w:adjustRightInd w:val="0"/>
        <w:spacing w:after="0" w:line="360" w:lineRule="auto"/>
        <w:ind w:right="540"/>
        <w:jc w:val="both"/>
        <w:rPr>
          <w:rFonts w:ascii="Georgia" w:hAnsi="Georgia"/>
          <w:bCs/>
          <w:i/>
          <w:sz w:val="24"/>
          <w:szCs w:val="24"/>
          <w:lang w:val="lt-LT"/>
        </w:rPr>
      </w:pPr>
    </w:p>
    <w:p w14:paraId="72F51AE0" w14:textId="77777777" w:rsidR="00336C16" w:rsidRDefault="00336C16" w:rsidP="00C03122">
      <w:pPr>
        <w:pStyle w:val="Antrat2"/>
        <w:numPr>
          <w:ilvl w:val="3"/>
          <w:numId w:val="36"/>
        </w:numPr>
        <w:rPr>
          <w:lang w:val="lt-LT"/>
        </w:rPr>
      </w:pPr>
      <w:bookmarkStart w:id="39" w:name="_Toc417378370"/>
      <w:r>
        <w:rPr>
          <w:lang w:val="lt-LT"/>
        </w:rPr>
        <w:t>Viešųjų pastatų modernizavimo paklausos skaičiavimas</w:t>
      </w:r>
      <w:bookmarkEnd w:id="39"/>
    </w:p>
    <w:p w14:paraId="4014E9CD" w14:textId="77777777" w:rsidR="00386440" w:rsidRDefault="00386440" w:rsidP="00336C16">
      <w:pPr>
        <w:widowControl w:val="0"/>
        <w:overflowPunct w:val="0"/>
        <w:autoSpaceDE w:val="0"/>
        <w:autoSpaceDN w:val="0"/>
        <w:adjustRightInd w:val="0"/>
        <w:spacing w:after="0" w:line="360" w:lineRule="auto"/>
        <w:ind w:right="540"/>
        <w:jc w:val="both"/>
        <w:rPr>
          <w:rFonts w:ascii="Georgia" w:hAnsi="Georgia"/>
          <w:bCs/>
          <w:i/>
          <w:sz w:val="24"/>
          <w:szCs w:val="24"/>
          <w:lang w:val="lt-LT"/>
        </w:rPr>
      </w:pPr>
    </w:p>
    <w:p w14:paraId="7D5A42FF" w14:textId="77777777" w:rsidR="00260862" w:rsidRDefault="00260862" w:rsidP="00260862">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Viešųjų pastatų </w:t>
      </w:r>
      <w:r w:rsidR="00E225AD">
        <w:rPr>
          <w:rFonts w:ascii="Georgia" w:hAnsi="Georgia" w:cs="Georgia"/>
          <w:sz w:val="20"/>
          <w:szCs w:val="20"/>
          <w:lang w:val="lt-LT"/>
        </w:rPr>
        <w:t>modernizavimo</w:t>
      </w:r>
      <w:r>
        <w:rPr>
          <w:rFonts w:ascii="Georgia" w:hAnsi="Georgia" w:cs="Georgia"/>
          <w:sz w:val="20"/>
          <w:szCs w:val="20"/>
          <w:lang w:val="lt-LT"/>
        </w:rPr>
        <w:t xml:space="preserve"> paklausos paskaičiavimas buvo atliktas remiantis dviem metodais: </w:t>
      </w:r>
    </w:p>
    <w:p w14:paraId="0AC93590" w14:textId="77777777" w:rsidR="00260862" w:rsidRDefault="00260862" w:rsidP="002A576D">
      <w:pPr>
        <w:pStyle w:val="Sraopastraipa"/>
        <w:numPr>
          <w:ilvl w:val="0"/>
          <w:numId w:val="49"/>
        </w:numPr>
        <w:autoSpaceDE w:val="0"/>
        <w:autoSpaceDN w:val="0"/>
        <w:adjustRightInd w:val="0"/>
        <w:jc w:val="both"/>
        <w:rPr>
          <w:rFonts w:ascii="Georgia" w:hAnsi="Georgia" w:cs="Georgia"/>
          <w:sz w:val="20"/>
          <w:szCs w:val="20"/>
          <w:lang w:val="lt-LT"/>
        </w:rPr>
      </w:pPr>
      <w:r>
        <w:rPr>
          <w:rFonts w:ascii="Georgia" w:hAnsi="Georgia" w:cs="Georgia"/>
          <w:sz w:val="20"/>
          <w:szCs w:val="20"/>
          <w:lang w:val="lt-LT"/>
        </w:rPr>
        <w:t>R</w:t>
      </w:r>
      <w:r w:rsidRPr="00DB35BF">
        <w:rPr>
          <w:rFonts w:ascii="Georgia" w:hAnsi="Georgia" w:cs="Georgia"/>
          <w:sz w:val="20"/>
          <w:szCs w:val="20"/>
          <w:lang w:val="lt-LT"/>
        </w:rPr>
        <w:t>emiantis faktinių dydžių skaičiavimo metodu</w:t>
      </w:r>
      <w:r>
        <w:rPr>
          <w:rFonts w:ascii="Georgia" w:hAnsi="Georgia" w:cs="Georgia"/>
          <w:sz w:val="20"/>
          <w:szCs w:val="20"/>
          <w:lang w:val="lt-LT"/>
        </w:rPr>
        <w:t>, kai prielaidos ir kiti skaičiavimuose naudojami dydžiai yra skaičiuojami remiantis faktiniais duomenimis, t.y. pastato energijos suvartojimo dydžiai yra realūs, apskaičiuoti pagal faktinį suvartojimą.</w:t>
      </w:r>
    </w:p>
    <w:p w14:paraId="641891C7" w14:textId="77777777" w:rsidR="00260862" w:rsidRPr="00DB35BF" w:rsidRDefault="00260862" w:rsidP="002A576D">
      <w:pPr>
        <w:pStyle w:val="Sraopastraipa"/>
        <w:numPr>
          <w:ilvl w:val="0"/>
          <w:numId w:val="49"/>
        </w:numPr>
        <w:autoSpaceDE w:val="0"/>
        <w:autoSpaceDN w:val="0"/>
        <w:adjustRightInd w:val="0"/>
        <w:jc w:val="both"/>
        <w:rPr>
          <w:rFonts w:ascii="Georgia" w:hAnsi="Georgia" w:cs="Georgia"/>
          <w:sz w:val="20"/>
          <w:szCs w:val="20"/>
          <w:lang w:val="lt-LT"/>
        </w:rPr>
      </w:pPr>
      <w:r>
        <w:rPr>
          <w:rFonts w:ascii="Georgia" w:hAnsi="Georgia" w:cs="Georgia"/>
          <w:sz w:val="20"/>
          <w:szCs w:val="20"/>
          <w:lang w:val="lt-LT"/>
        </w:rPr>
        <w:t>Remiantis skaičiuotinų dydžių skaičiavimo metodu, kai prielaidos ir</w:t>
      </w:r>
      <w:r w:rsidRPr="006111BD">
        <w:rPr>
          <w:rFonts w:ascii="Georgia" w:hAnsi="Georgia" w:cs="Georgia"/>
          <w:sz w:val="20"/>
          <w:szCs w:val="20"/>
          <w:lang w:val="lt-LT"/>
        </w:rPr>
        <w:t xml:space="preserve"> kiti skaičiavimuose naudojami dydžiai yra </w:t>
      </w:r>
      <w:r w:rsidR="00EC472F">
        <w:rPr>
          <w:rFonts w:ascii="Georgia" w:hAnsi="Georgia" w:cs="Georgia"/>
          <w:sz w:val="20"/>
          <w:szCs w:val="20"/>
          <w:lang w:val="lt-LT"/>
        </w:rPr>
        <w:t>apskaičiuojami remiantis</w:t>
      </w:r>
      <w:r>
        <w:rPr>
          <w:rFonts w:ascii="Georgia" w:hAnsi="Georgia" w:cs="Georgia"/>
          <w:sz w:val="20"/>
          <w:szCs w:val="20"/>
          <w:lang w:val="lt-LT"/>
        </w:rPr>
        <w:t xml:space="preserve"> patvirtinta metodologija, apskaičiuotais teoriniais dydžiais, t.y. energijos suv</w:t>
      </w:r>
      <w:r w:rsidR="00EC472F">
        <w:rPr>
          <w:rFonts w:ascii="Georgia" w:hAnsi="Georgia" w:cs="Georgia"/>
          <w:sz w:val="20"/>
          <w:szCs w:val="20"/>
          <w:lang w:val="lt-LT"/>
        </w:rPr>
        <w:t>artojimo dydžiai paskaičiuojami</w:t>
      </w:r>
      <w:r>
        <w:rPr>
          <w:rFonts w:ascii="Georgia" w:hAnsi="Georgia" w:cs="Georgia"/>
          <w:sz w:val="20"/>
          <w:szCs w:val="20"/>
          <w:lang w:val="lt-LT"/>
        </w:rPr>
        <w:t xml:space="preserve"> pagal pastato </w:t>
      </w:r>
      <w:r w:rsidR="00590B57">
        <w:rPr>
          <w:rFonts w:ascii="Georgia" w:hAnsi="Georgia" w:cs="Georgia"/>
          <w:sz w:val="20"/>
          <w:szCs w:val="20"/>
          <w:lang w:val="lt-LT"/>
        </w:rPr>
        <w:t xml:space="preserve">technines </w:t>
      </w:r>
      <w:r>
        <w:rPr>
          <w:rFonts w:ascii="Georgia" w:hAnsi="Georgia" w:cs="Georgia"/>
          <w:sz w:val="20"/>
          <w:szCs w:val="20"/>
          <w:lang w:val="lt-LT"/>
        </w:rPr>
        <w:t>charakteristikas (medžiagas iš kurių pastatytas pastatas, sienų storius, apšiltinimo sluoksnį, nusidėvėjimo laipsnį ir pan.)</w:t>
      </w:r>
      <w:r w:rsidR="00EC472F">
        <w:rPr>
          <w:rFonts w:ascii="Georgia" w:hAnsi="Georgia" w:cs="Georgia"/>
          <w:sz w:val="20"/>
          <w:szCs w:val="20"/>
          <w:lang w:val="lt-LT"/>
        </w:rPr>
        <w:t>.</w:t>
      </w:r>
    </w:p>
    <w:p w14:paraId="1D9D6F8A" w14:textId="77777777" w:rsidR="00260862" w:rsidRDefault="00260862" w:rsidP="00260862">
      <w:pPr>
        <w:pStyle w:val="Sraopastraipa"/>
        <w:autoSpaceDE w:val="0"/>
        <w:autoSpaceDN w:val="0"/>
        <w:adjustRightInd w:val="0"/>
        <w:spacing w:after="0" w:line="240" w:lineRule="auto"/>
        <w:jc w:val="both"/>
        <w:rPr>
          <w:rFonts w:ascii="Georgia" w:hAnsi="Georgia" w:cs="Georgia"/>
          <w:sz w:val="20"/>
          <w:szCs w:val="20"/>
          <w:lang w:val="lt-LT"/>
        </w:rPr>
      </w:pPr>
    </w:p>
    <w:p w14:paraId="3BCCB85B" w14:textId="77777777" w:rsidR="00336C16" w:rsidRDefault="00336C16" w:rsidP="00336C16">
      <w:pPr>
        <w:autoSpaceDE w:val="0"/>
        <w:autoSpaceDN w:val="0"/>
        <w:adjustRightInd w:val="0"/>
        <w:spacing w:after="0" w:line="240" w:lineRule="auto"/>
        <w:jc w:val="both"/>
        <w:rPr>
          <w:rFonts w:ascii="Georgia" w:hAnsi="Georgia" w:cs="Georgia"/>
          <w:sz w:val="20"/>
          <w:szCs w:val="20"/>
          <w:lang w:val="lt-LT"/>
        </w:rPr>
      </w:pPr>
    </w:p>
    <w:p w14:paraId="37C94FE1" w14:textId="77777777" w:rsidR="007A24E0" w:rsidRPr="00320E9D" w:rsidRDefault="007A24E0" w:rsidP="007A24E0">
      <w:pPr>
        <w:pStyle w:val="Sraopastraipa"/>
        <w:keepNext/>
        <w:ind w:left="0"/>
        <w:rPr>
          <w:rFonts w:ascii="Georgia" w:hAnsi="Georgia"/>
          <w:i/>
          <w:sz w:val="24"/>
          <w:szCs w:val="20"/>
          <w:lang w:val="lt-LT"/>
        </w:rPr>
      </w:pPr>
      <w:r w:rsidRPr="00320E9D">
        <w:rPr>
          <w:rFonts w:ascii="Georgia" w:hAnsi="Georgia"/>
          <w:i/>
          <w:sz w:val="24"/>
          <w:szCs w:val="20"/>
          <w:lang w:val="lt-LT"/>
        </w:rPr>
        <w:t>1. Faktinių sutaupymo dydžių skaičiavimo metodu apskaičiuota viešųjų pastatų modernizavimo paklausa</w:t>
      </w:r>
    </w:p>
    <w:p w14:paraId="410A35E4" w14:textId="77777777" w:rsidR="007A24E0" w:rsidRDefault="007A24E0" w:rsidP="007A24E0">
      <w:pPr>
        <w:autoSpaceDE w:val="0"/>
        <w:autoSpaceDN w:val="0"/>
        <w:adjustRightInd w:val="0"/>
        <w:spacing w:after="0"/>
        <w:jc w:val="both"/>
        <w:rPr>
          <w:rFonts w:ascii="Georgia" w:hAnsi="Georgia"/>
          <w:bCs/>
          <w:i/>
          <w:sz w:val="20"/>
          <w:szCs w:val="24"/>
          <w:lang w:val="lt-LT"/>
        </w:rPr>
      </w:pPr>
      <w:r w:rsidRPr="00755876">
        <w:rPr>
          <w:rFonts w:ascii="Georgia" w:hAnsi="Georgia"/>
          <w:bCs/>
          <w:i/>
          <w:sz w:val="20"/>
          <w:szCs w:val="24"/>
          <w:lang w:val="lt-LT"/>
        </w:rPr>
        <w:t xml:space="preserve">Paklausos skaičiavimas atsižvelgiant į </w:t>
      </w:r>
      <w:r w:rsidRPr="00121658">
        <w:rPr>
          <w:rFonts w:ascii="Georgia" w:hAnsi="Georgia"/>
          <w:bCs/>
          <w:i/>
          <w:sz w:val="20"/>
          <w:szCs w:val="24"/>
          <w:lang w:val="lt-LT"/>
        </w:rPr>
        <w:t>Nacionalin</w:t>
      </w:r>
      <w:r>
        <w:rPr>
          <w:rFonts w:ascii="Georgia" w:hAnsi="Georgia"/>
          <w:bCs/>
          <w:i/>
          <w:sz w:val="20"/>
          <w:szCs w:val="24"/>
          <w:lang w:val="lt-LT"/>
        </w:rPr>
        <w:t>ėje</w:t>
      </w:r>
      <w:r w:rsidRPr="00121658">
        <w:rPr>
          <w:rFonts w:ascii="Georgia" w:hAnsi="Georgia"/>
          <w:bCs/>
          <w:i/>
          <w:sz w:val="20"/>
          <w:szCs w:val="24"/>
          <w:lang w:val="lt-LT"/>
        </w:rPr>
        <w:t xml:space="preserve"> energi</w:t>
      </w:r>
      <w:r>
        <w:rPr>
          <w:rFonts w:ascii="Georgia" w:hAnsi="Georgia"/>
          <w:bCs/>
          <w:i/>
          <w:sz w:val="20"/>
          <w:szCs w:val="24"/>
          <w:lang w:val="lt-LT"/>
        </w:rPr>
        <w:t>jos nepriklausomybės strategijoje</w:t>
      </w:r>
      <w:r w:rsidRPr="00755876">
        <w:rPr>
          <w:rFonts w:ascii="Georgia" w:hAnsi="Georgia"/>
          <w:bCs/>
          <w:i/>
          <w:sz w:val="20"/>
          <w:szCs w:val="24"/>
          <w:lang w:val="lt-LT"/>
        </w:rPr>
        <w:t xml:space="preserve"> suformuotus tikslus</w:t>
      </w:r>
    </w:p>
    <w:p w14:paraId="3FC24CC9" w14:textId="77777777" w:rsidR="007A24E0" w:rsidRDefault="007A24E0" w:rsidP="007A24E0">
      <w:pPr>
        <w:autoSpaceDE w:val="0"/>
        <w:autoSpaceDN w:val="0"/>
        <w:adjustRightInd w:val="0"/>
        <w:spacing w:after="0"/>
        <w:jc w:val="both"/>
        <w:rPr>
          <w:rFonts w:ascii="Georgia" w:hAnsi="Georgia"/>
          <w:bCs/>
          <w:sz w:val="20"/>
          <w:szCs w:val="24"/>
          <w:lang w:val="lt-LT"/>
        </w:rPr>
      </w:pPr>
    </w:p>
    <w:p w14:paraId="1C089682" w14:textId="77777777" w:rsidR="007A24E0" w:rsidRDefault="007A24E0" w:rsidP="007A24E0">
      <w:pPr>
        <w:autoSpaceDE w:val="0"/>
        <w:autoSpaceDN w:val="0"/>
        <w:adjustRightInd w:val="0"/>
        <w:spacing w:after="0"/>
        <w:jc w:val="both"/>
        <w:rPr>
          <w:rFonts w:ascii="Georgia" w:hAnsi="Georgia"/>
          <w:bCs/>
          <w:sz w:val="20"/>
          <w:szCs w:val="24"/>
          <w:lang w:val="lt-LT"/>
        </w:rPr>
      </w:pPr>
      <w:r w:rsidRPr="007A24E0">
        <w:rPr>
          <w:rFonts w:ascii="Georgia" w:hAnsi="Georgia"/>
          <w:bCs/>
          <w:sz w:val="20"/>
          <w:szCs w:val="20"/>
          <w:lang w:val="lt-LT"/>
        </w:rPr>
        <w:lastRenderedPageBreak/>
        <w:t xml:space="preserve">Žemiau </w:t>
      </w:r>
      <w:r w:rsidR="009D6C03">
        <w:rPr>
          <w:rFonts w:ascii="Georgia" w:hAnsi="Georgia"/>
          <w:bCs/>
          <w:sz w:val="20"/>
          <w:szCs w:val="20"/>
          <w:lang w:val="lt-LT"/>
        </w:rPr>
        <w:t xml:space="preserve">esančioje lentelėje </w:t>
      </w:r>
      <w:r>
        <w:rPr>
          <w:rFonts w:ascii="Georgia" w:hAnsi="Georgia"/>
          <w:bCs/>
          <w:sz w:val="20"/>
          <w:szCs w:val="24"/>
          <w:lang w:val="lt-LT"/>
        </w:rPr>
        <w:t>pateikiamos  prielaidos ir skaičiavimai bei jų pagrindimas skaičiuojant viešųjų pastatų paklausą</w:t>
      </w:r>
      <w:r w:rsidR="00EC472F">
        <w:rPr>
          <w:rFonts w:ascii="Georgia" w:hAnsi="Georgia"/>
          <w:bCs/>
          <w:sz w:val="20"/>
          <w:szCs w:val="24"/>
          <w:lang w:val="lt-LT"/>
        </w:rPr>
        <w:t xml:space="preserve"> investicijoms</w:t>
      </w:r>
      <w:r>
        <w:rPr>
          <w:rFonts w:ascii="Georgia" w:hAnsi="Georgia"/>
          <w:bCs/>
          <w:sz w:val="20"/>
          <w:szCs w:val="24"/>
          <w:lang w:val="lt-LT"/>
        </w:rPr>
        <w:t xml:space="preserve">, </w:t>
      </w:r>
      <w:r w:rsidRPr="00060981">
        <w:rPr>
          <w:rFonts w:ascii="Georgia" w:hAnsi="Georgia"/>
          <w:bCs/>
          <w:sz w:val="20"/>
          <w:szCs w:val="24"/>
          <w:lang w:val="lt-LT"/>
        </w:rPr>
        <w:t xml:space="preserve">kai viešųjų pastatų </w:t>
      </w:r>
      <w:r w:rsidR="00EC472F">
        <w:rPr>
          <w:rFonts w:ascii="Georgia" w:hAnsi="Georgia"/>
          <w:bCs/>
          <w:sz w:val="20"/>
          <w:szCs w:val="24"/>
          <w:lang w:val="lt-LT"/>
        </w:rPr>
        <w:t>bendras renovuotinas</w:t>
      </w:r>
      <w:r w:rsidRPr="00060981">
        <w:rPr>
          <w:rFonts w:ascii="Georgia" w:hAnsi="Georgia"/>
          <w:bCs/>
          <w:sz w:val="20"/>
          <w:szCs w:val="24"/>
          <w:lang w:val="lt-LT"/>
        </w:rPr>
        <w:t xml:space="preserve"> plotas skaičiuojamas proporcingai</w:t>
      </w:r>
      <w:r>
        <w:rPr>
          <w:rFonts w:ascii="Georgia" w:hAnsi="Georgia"/>
          <w:bCs/>
          <w:sz w:val="20"/>
          <w:szCs w:val="24"/>
          <w:lang w:val="lt-LT"/>
        </w:rPr>
        <w:t xml:space="preserve"> paskirstant energijos sutaupymus tarp </w:t>
      </w:r>
      <w:r>
        <w:rPr>
          <w:rFonts w:ascii="Georgia" w:hAnsi="Georgia" w:cs="Georgia"/>
          <w:sz w:val="20"/>
          <w:szCs w:val="20"/>
          <w:lang w:val="lt-LT"/>
        </w:rPr>
        <w:t>centrinės valdžios</w:t>
      </w:r>
      <w:r w:rsidRPr="00F16FF8">
        <w:rPr>
          <w:rFonts w:ascii="Georgia" w:hAnsi="Georgia" w:cs="Georgia"/>
          <w:sz w:val="20"/>
          <w:szCs w:val="20"/>
          <w:lang w:val="lt-LT"/>
        </w:rPr>
        <w:t xml:space="preserve"> pastatų </w:t>
      </w:r>
      <w:r>
        <w:rPr>
          <w:rFonts w:ascii="Georgia" w:hAnsi="Georgia" w:cs="Georgia"/>
          <w:sz w:val="20"/>
          <w:szCs w:val="20"/>
          <w:lang w:val="lt-LT"/>
        </w:rPr>
        <w:t>ir</w:t>
      </w:r>
      <w:r w:rsidRPr="00F16FF8">
        <w:t xml:space="preserve"> </w:t>
      </w:r>
      <w:r>
        <w:rPr>
          <w:rFonts w:ascii="Georgia" w:hAnsi="Georgia" w:cs="Georgia"/>
          <w:sz w:val="20"/>
          <w:szCs w:val="20"/>
          <w:lang w:val="lt-LT"/>
        </w:rPr>
        <w:t>s</w:t>
      </w:r>
      <w:r w:rsidRPr="00F16FF8">
        <w:rPr>
          <w:rFonts w:ascii="Georgia" w:hAnsi="Georgia" w:cs="Georgia"/>
          <w:sz w:val="20"/>
          <w:szCs w:val="20"/>
          <w:lang w:val="lt-LT"/>
        </w:rPr>
        <w:t>avivaldybių pastatų</w:t>
      </w:r>
      <w:r>
        <w:rPr>
          <w:rFonts w:ascii="Georgia" w:hAnsi="Georgia" w:cs="Georgia"/>
          <w:sz w:val="20"/>
          <w:szCs w:val="20"/>
          <w:lang w:val="lt-LT"/>
        </w:rPr>
        <w:t xml:space="preserve"> </w:t>
      </w:r>
      <w:r>
        <w:rPr>
          <w:rFonts w:ascii="Georgia" w:hAnsi="Georgia"/>
          <w:bCs/>
          <w:sz w:val="20"/>
          <w:szCs w:val="24"/>
          <w:lang w:val="lt-LT"/>
        </w:rPr>
        <w:t>skaičiuojant faktinių dydžių metodu.</w:t>
      </w:r>
      <w:r w:rsidR="00BC67D3">
        <w:rPr>
          <w:rFonts w:ascii="Georgia" w:hAnsi="Georgia"/>
          <w:bCs/>
          <w:sz w:val="20"/>
          <w:szCs w:val="24"/>
          <w:lang w:val="lt-LT"/>
        </w:rPr>
        <w:t xml:space="preserve"> Lentelės skiltyje „Informacijos šaltinis, pagrindimas“ esantys skaičiai formulėse nurodo, iš kokių lentelės eilučių imami skaičiai apskaičiuo</w:t>
      </w:r>
      <w:r w:rsidR="003A6D60">
        <w:rPr>
          <w:rFonts w:ascii="Georgia" w:hAnsi="Georgia"/>
          <w:bCs/>
          <w:sz w:val="20"/>
          <w:szCs w:val="24"/>
          <w:lang w:val="lt-LT"/>
        </w:rPr>
        <w:t>jant</w:t>
      </w:r>
      <w:r w:rsidR="00BC67D3">
        <w:rPr>
          <w:rFonts w:ascii="Georgia" w:hAnsi="Georgia"/>
          <w:bCs/>
          <w:sz w:val="20"/>
          <w:szCs w:val="24"/>
          <w:lang w:val="lt-LT"/>
        </w:rPr>
        <w:t xml:space="preserve"> siektiną rodiklį. </w:t>
      </w:r>
    </w:p>
    <w:p w14:paraId="1082CAC0" w14:textId="77777777" w:rsidR="007A24E0" w:rsidRDefault="007A24E0" w:rsidP="007A24E0">
      <w:pPr>
        <w:autoSpaceDE w:val="0"/>
        <w:autoSpaceDN w:val="0"/>
        <w:adjustRightInd w:val="0"/>
        <w:spacing w:after="0"/>
        <w:jc w:val="both"/>
        <w:rPr>
          <w:rFonts w:ascii="Georgia" w:hAnsi="Georgia"/>
          <w:bCs/>
          <w:sz w:val="20"/>
          <w:szCs w:val="24"/>
          <w:lang w:val="lt-LT"/>
        </w:rPr>
      </w:pPr>
    </w:p>
    <w:p w14:paraId="04A8F335" w14:textId="604AAED0" w:rsidR="007A24E0" w:rsidRPr="00386440" w:rsidRDefault="007A24E0" w:rsidP="007A24E0">
      <w:pPr>
        <w:pStyle w:val="Antrat"/>
        <w:jc w:val="both"/>
      </w:pPr>
      <w:bookmarkStart w:id="40" w:name="_Ref399516082"/>
      <w:bookmarkStart w:id="41" w:name="_Ref399515274"/>
      <w:bookmarkStart w:id="42" w:name="_Toc460321591"/>
      <w:r w:rsidRPr="00DB35BF">
        <w:rPr>
          <w:lang w:val="lt-LT"/>
        </w:rPr>
        <w:t xml:space="preserve">Lentelė </w:t>
      </w:r>
      <w:r w:rsidRPr="00DB35BF">
        <w:rPr>
          <w:lang w:val="lt-LT"/>
        </w:rPr>
        <w:fldChar w:fldCharType="begin"/>
      </w:r>
      <w:r w:rsidRPr="00DB35BF">
        <w:rPr>
          <w:lang w:val="lt-LT"/>
        </w:rPr>
        <w:instrText xml:space="preserve"> SEQ Lentelė \* ARABIC </w:instrText>
      </w:r>
      <w:r w:rsidRPr="00DB35BF">
        <w:rPr>
          <w:lang w:val="lt-LT"/>
        </w:rPr>
        <w:fldChar w:fldCharType="separate"/>
      </w:r>
      <w:r w:rsidR="00AA3082">
        <w:rPr>
          <w:noProof/>
          <w:lang w:val="lt-LT"/>
        </w:rPr>
        <w:t>10</w:t>
      </w:r>
      <w:r w:rsidRPr="00DB35BF">
        <w:rPr>
          <w:lang w:val="lt-LT"/>
        </w:rPr>
        <w:fldChar w:fldCharType="end"/>
      </w:r>
      <w:bookmarkEnd w:id="40"/>
      <w:r w:rsidRPr="00DB35BF">
        <w:rPr>
          <w:lang w:val="lt-LT"/>
        </w:rPr>
        <w:t xml:space="preserve">. </w:t>
      </w:r>
      <w:bookmarkEnd w:id="41"/>
      <w:r w:rsidRPr="00DB35BF">
        <w:rPr>
          <w:lang w:val="lt-LT"/>
        </w:rPr>
        <w:t>Viešųjų pastatų p</w:t>
      </w:r>
      <w:r w:rsidRPr="00060981">
        <w:rPr>
          <w:rFonts w:cs="Georgia"/>
          <w:szCs w:val="20"/>
          <w:lang w:val="lt-LT"/>
        </w:rPr>
        <w:t>aklausos skaičiavimo prielaidos ir paklausos rodiklių</w:t>
      </w:r>
      <w:r>
        <w:rPr>
          <w:rFonts w:cs="Georgia"/>
          <w:szCs w:val="20"/>
          <w:lang w:val="lt-LT"/>
        </w:rPr>
        <w:t xml:space="preserve"> skaičiavimas, kai viešųjų pastatų renovacijos plotas paskaičiuojamas proporcingai (skaičiuojant faktinių dydžių metodu)</w:t>
      </w:r>
      <w:bookmarkEnd w:id="42"/>
    </w:p>
    <w:tbl>
      <w:tblPr>
        <w:tblStyle w:val="viesussraas2parykinimas"/>
        <w:tblW w:w="5000" w:type="pct"/>
        <w:tblLook w:val="04A0" w:firstRow="1" w:lastRow="0" w:firstColumn="1" w:lastColumn="0" w:noHBand="0" w:noVBand="1"/>
      </w:tblPr>
      <w:tblGrid>
        <w:gridCol w:w="625"/>
        <w:gridCol w:w="3623"/>
        <w:gridCol w:w="1142"/>
        <w:gridCol w:w="3852"/>
      </w:tblGrid>
      <w:tr w:rsidR="007A24E0" w:rsidRPr="00714494" w14:paraId="4981C256" w14:textId="77777777" w:rsidTr="00437A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8" w:type="pct"/>
          </w:tcPr>
          <w:p w14:paraId="6086E85B" w14:textId="77777777" w:rsidR="007A24E0" w:rsidRPr="00714494" w:rsidRDefault="007A24E0" w:rsidP="007A24E0">
            <w:pPr>
              <w:autoSpaceDE w:val="0"/>
              <w:autoSpaceDN w:val="0"/>
              <w:adjustRightInd w:val="0"/>
              <w:jc w:val="both"/>
              <w:rPr>
                <w:rFonts w:ascii="Georgia" w:hAnsi="Georgia"/>
                <w:bCs w:val="0"/>
                <w:sz w:val="20"/>
                <w:szCs w:val="24"/>
              </w:rPr>
            </w:pPr>
            <w:r w:rsidRPr="00714494">
              <w:rPr>
                <w:rFonts w:ascii="Georgia" w:hAnsi="Georgia"/>
                <w:bCs w:val="0"/>
                <w:sz w:val="20"/>
                <w:szCs w:val="24"/>
              </w:rPr>
              <w:t>Eil.</w:t>
            </w:r>
          </w:p>
          <w:p w14:paraId="328CDC6D" w14:textId="77777777" w:rsidR="007A24E0" w:rsidRPr="00714494" w:rsidRDefault="007A24E0" w:rsidP="007A24E0">
            <w:pPr>
              <w:autoSpaceDE w:val="0"/>
              <w:autoSpaceDN w:val="0"/>
              <w:adjustRightInd w:val="0"/>
              <w:jc w:val="both"/>
              <w:rPr>
                <w:rFonts w:ascii="Georgia" w:hAnsi="Georgia"/>
                <w:bCs w:val="0"/>
                <w:sz w:val="20"/>
                <w:szCs w:val="24"/>
              </w:rPr>
            </w:pPr>
            <w:r w:rsidRPr="00714494">
              <w:rPr>
                <w:rFonts w:ascii="Georgia" w:hAnsi="Georgia"/>
                <w:bCs w:val="0"/>
                <w:sz w:val="20"/>
                <w:szCs w:val="24"/>
              </w:rPr>
              <w:t>Nr.</w:t>
            </w:r>
          </w:p>
        </w:tc>
        <w:tc>
          <w:tcPr>
            <w:tcW w:w="1960" w:type="pct"/>
          </w:tcPr>
          <w:p w14:paraId="60F1149E" w14:textId="77777777" w:rsidR="007A24E0" w:rsidRPr="00714494" w:rsidRDefault="007A24E0"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sidRPr="00714494">
              <w:rPr>
                <w:rFonts w:ascii="Georgia" w:hAnsi="Georgia"/>
                <w:bCs w:val="0"/>
                <w:sz w:val="20"/>
                <w:szCs w:val="24"/>
              </w:rPr>
              <w:t>Rodiklis</w:t>
            </w:r>
          </w:p>
        </w:tc>
        <w:tc>
          <w:tcPr>
            <w:tcW w:w="618" w:type="pct"/>
          </w:tcPr>
          <w:p w14:paraId="1BB0D521" w14:textId="77777777" w:rsidR="007A24E0" w:rsidRPr="00714494" w:rsidRDefault="007A24E0"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sidRPr="00714494">
              <w:rPr>
                <w:rFonts w:ascii="Georgia" w:hAnsi="Georgia"/>
                <w:bCs w:val="0"/>
                <w:sz w:val="20"/>
                <w:szCs w:val="24"/>
              </w:rPr>
              <w:t>Rodiklio dydis</w:t>
            </w:r>
          </w:p>
        </w:tc>
        <w:tc>
          <w:tcPr>
            <w:tcW w:w="2084" w:type="pct"/>
          </w:tcPr>
          <w:p w14:paraId="69ED23C2" w14:textId="77777777" w:rsidR="007A24E0" w:rsidRPr="00714494" w:rsidRDefault="007A24E0"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sidRPr="00714494">
              <w:rPr>
                <w:rFonts w:ascii="Georgia" w:hAnsi="Georgia"/>
                <w:bCs w:val="0"/>
                <w:sz w:val="20"/>
                <w:szCs w:val="24"/>
              </w:rPr>
              <w:t>Informacijos šaltinis, pagrindimas</w:t>
            </w:r>
          </w:p>
        </w:tc>
      </w:tr>
      <w:tr w:rsidR="007A24E0" w14:paraId="45BDD642" w14:textId="77777777" w:rsidTr="00437A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14:paraId="1209368F" w14:textId="77777777"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1.</w:t>
            </w:r>
          </w:p>
        </w:tc>
        <w:tc>
          <w:tcPr>
            <w:tcW w:w="1960" w:type="pct"/>
          </w:tcPr>
          <w:p w14:paraId="067ED336" w14:textId="77777777"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V</w:t>
            </w:r>
            <w:r w:rsidRPr="006111BD">
              <w:rPr>
                <w:rFonts w:ascii="Georgia" w:hAnsi="Georgia"/>
                <w:bCs/>
                <w:sz w:val="20"/>
                <w:szCs w:val="24"/>
              </w:rPr>
              <w:t>idutinis svertinis metinio šilumos suvartojimo kiekio vidurkis</w:t>
            </w:r>
            <w:r>
              <w:rPr>
                <w:rFonts w:ascii="Georgia" w:hAnsi="Georgia"/>
                <w:bCs/>
                <w:sz w:val="20"/>
                <w:szCs w:val="24"/>
              </w:rPr>
              <w:t>, kWh/m</w:t>
            </w:r>
            <w:r>
              <w:rPr>
                <w:rFonts w:ascii="Georgia" w:hAnsi="Georgia"/>
                <w:bCs/>
                <w:sz w:val="20"/>
                <w:szCs w:val="24"/>
                <w:vertAlign w:val="superscript"/>
              </w:rPr>
              <w:t>2</w:t>
            </w:r>
          </w:p>
        </w:tc>
        <w:tc>
          <w:tcPr>
            <w:tcW w:w="618" w:type="pct"/>
          </w:tcPr>
          <w:p w14:paraId="4A796821" w14:textId="77777777" w:rsidR="007A24E0" w:rsidRDefault="007A24E0" w:rsidP="007A24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210</w:t>
            </w:r>
          </w:p>
        </w:tc>
        <w:tc>
          <w:tcPr>
            <w:tcW w:w="2084" w:type="pct"/>
          </w:tcPr>
          <w:p w14:paraId="2E9C8598" w14:textId="77777777"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Remiantis KPMG studijos duomenimis</w:t>
            </w:r>
          </w:p>
        </w:tc>
      </w:tr>
      <w:tr w:rsidR="007A24E0" w14:paraId="54F71A9A" w14:textId="77777777" w:rsidTr="00437AC4">
        <w:trPr>
          <w:cantSplit/>
        </w:trPr>
        <w:tc>
          <w:tcPr>
            <w:cnfStyle w:val="001000000000" w:firstRow="0" w:lastRow="0" w:firstColumn="1" w:lastColumn="0" w:oddVBand="0" w:evenVBand="0" w:oddHBand="0" w:evenHBand="0" w:firstRowFirstColumn="0" w:firstRowLastColumn="0" w:lastRowFirstColumn="0" w:lastRowLastColumn="0"/>
            <w:tcW w:w="338" w:type="pct"/>
          </w:tcPr>
          <w:p w14:paraId="1ED18B1A" w14:textId="77777777" w:rsidR="007A24E0" w:rsidRDefault="007A24E0" w:rsidP="007A24E0">
            <w:pPr>
              <w:autoSpaceDE w:val="0"/>
              <w:autoSpaceDN w:val="0"/>
              <w:adjustRightInd w:val="0"/>
              <w:jc w:val="both"/>
              <w:rPr>
                <w:rFonts w:ascii="Georgia" w:hAnsi="Georgia" w:cs="Georgia"/>
                <w:sz w:val="20"/>
                <w:szCs w:val="20"/>
              </w:rPr>
            </w:pPr>
            <w:r>
              <w:rPr>
                <w:rFonts w:ascii="Georgia" w:hAnsi="Georgia" w:cs="Georgia"/>
                <w:sz w:val="20"/>
                <w:szCs w:val="20"/>
              </w:rPr>
              <w:t>2.</w:t>
            </w:r>
          </w:p>
        </w:tc>
        <w:tc>
          <w:tcPr>
            <w:tcW w:w="1960" w:type="pct"/>
          </w:tcPr>
          <w:p w14:paraId="67D23837" w14:textId="77777777" w:rsidR="007A24E0" w:rsidRDefault="007A24E0"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Po</w:t>
            </w:r>
            <w:r w:rsidR="00EC472F">
              <w:rPr>
                <w:rFonts w:ascii="Georgia" w:hAnsi="Georgia" w:cs="Georgia"/>
                <w:sz w:val="20"/>
                <w:szCs w:val="20"/>
              </w:rPr>
              <w:t xml:space="preserve"> renovacijos pastatų energetinio</w:t>
            </w:r>
            <w:r>
              <w:rPr>
                <w:rFonts w:ascii="Georgia" w:hAnsi="Georgia" w:cs="Georgia"/>
                <w:sz w:val="20"/>
                <w:szCs w:val="20"/>
              </w:rPr>
              <w:t xml:space="preserve"> naudingumo klasė, ne mažesnė kaip</w:t>
            </w:r>
          </w:p>
        </w:tc>
        <w:tc>
          <w:tcPr>
            <w:tcW w:w="618" w:type="pct"/>
          </w:tcPr>
          <w:p w14:paraId="06C372AC" w14:textId="77777777" w:rsidR="007A24E0" w:rsidRDefault="007A24E0" w:rsidP="007A24E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C klasė</w:t>
            </w:r>
          </w:p>
        </w:tc>
        <w:tc>
          <w:tcPr>
            <w:tcW w:w="2084" w:type="pct"/>
          </w:tcPr>
          <w:p w14:paraId="1312D80D" w14:textId="77777777" w:rsidR="007A24E0" w:rsidRDefault="007A24E0"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Vadovaujantis STR 2.01.09:2012</w:t>
            </w:r>
          </w:p>
        </w:tc>
      </w:tr>
      <w:tr w:rsidR="007A24E0" w14:paraId="66CDD2B5" w14:textId="77777777" w:rsidTr="00437A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14:paraId="26C46269" w14:textId="77777777" w:rsidR="007A24E0" w:rsidRDefault="007A24E0" w:rsidP="007A24E0">
            <w:pPr>
              <w:autoSpaceDE w:val="0"/>
              <w:autoSpaceDN w:val="0"/>
              <w:adjustRightInd w:val="0"/>
              <w:jc w:val="both"/>
              <w:rPr>
                <w:rFonts w:ascii="Georgia" w:hAnsi="Georgia" w:cs="Georgia"/>
                <w:sz w:val="20"/>
                <w:szCs w:val="20"/>
              </w:rPr>
            </w:pPr>
            <w:r>
              <w:rPr>
                <w:rFonts w:ascii="Georgia" w:hAnsi="Georgia" w:cs="Georgia"/>
                <w:sz w:val="20"/>
                <w:szCs w:val="20"/>
              </w:rPr>
              <w:t>3.</w:t>
            </w:r>
          </w:p>
        </w:tc>
        <w:tc>
          <w:tcPr>
            <w:tcW w:w="1960" w:type="pct"/>
          </w:tcPr>
          <w:p w14:paraId="57000F2A" w14:textId="77777777"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Po renovacijos pastatų energijos suvartojimas, </w:t>
            </w:r>
            <w:r>
              <w:rPr>
                <w:rFonts w:ascii="Georgia" w:hAnsi="Georgia"/>
                <w:bCs/>
                <w:sz w:val="20"/>
                <w:szCs w:val="24"/>
              </w:rPr>
              <w:t>kWh/m</w:t>
            </w:r>
            <w:r>
              <w:rPr>
                <w:rFonts w:ascii="Georgia" w:hAnsi="Georgia"/>
                <w:bCs/>
                <w:sz w:val="20"/>
                <w:szCs w:val="24"/>
                <w:vertAlign w:val="superscript"/>
              </w:rPr>
              <w:t>2</w:t>
            </w:r>
          </w:p>
        </w:tc>
        <w:tc>
          <w:tcPr>
            <w:tcW w:w="618" w:type="pct"/>
          </w:tcPr>
          <w:p w14:paraId="3852A0DD" w14:textId="77777777" w:rsidR="007A24E0" w:rsidRDefault="007A24E0" w:rsidP="007A24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100</w:t>
            </w:r>
          </w:p>
        </w:tc>
        <w:tc>
          <w:tcPr>
            <w:tcW w:w="2084" w:type="pct"/>
          </w:tcPr>
          <w:p w14:paraId="54F2199F" w14:textId="77777777"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Vadovaujantis STR 2.01.09:2012</w:t>
            </w:r>
          </w:p>
        </w:tc>
      </w:tr>
      <w:tr w:rsidR="007A24E0" w14:paraId="530832BF" w14:textId="77777777" w:rsidTr="00437AC4">
        <w:trPr>
          <w:cantSplit/>
        </w:trPr>
        <w:tc>
          <w:tcPr>
            <w:cnfStyle w:val="001000000000" w:firstRow="0" w:lastRow="0" w:firstColumn="1" w:lastColumn="0" w:oddVBand="0" w:evenVBand="0" w:oddHBand="0" w:evenHBand="0" w:firstRowFirstColumn="0" w:firstRowLastColumn="0" w:lastRowFirstColumn="0" w:lastRowLastColumn="0"/>
            <w:tcW w:w="338" w:type="pct"/>
          </w:tcPr>
          <w:p w14:paraId="011963D1" w14:textId="77777777"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4.</w:t>
            </w:r>
          </w:p>
        </w:tc>
        <w:tc>
          <w:tcPr>
            <w:tcW w:w="1960" w:type="pct"/>
          </w:tcPr>
          <w:p w14:paraId="4616F848" w14:textId="77777777" w:rsidR="007A24E0" w:rsidRDefault="007A24E0"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V</w:t>
            </w:r>
            <w:r w:rsidRPr="006D6D62">
              <w:rPr>
                <w:rFonts w:ascii="Georgia" w:hAnsi="Georgia"/>
                <w:bCs/>
                <w:sz w:val="20"/>
                <w:szCs w:val="24"/>
              </w:rPr>
              <w:t>idutis viešojo pastato plotas</w:t>
            </w:r>
            <w:r>
              <w:rPr>
                <w:rFonts w:ascii="Georgia" w:hAnsi="Georgia"/>
                <w:bCs/>
                <w:sz w:val="20"/>
                <w:szCs w:val="24"/>
              </w:rPr>
              <w:t>, m</w:t>
            </w:r>
            <w:r>
              <w:rPr>
                <w:rFonts w:ascii="Georgia" w:hAnsi="Georgia"/>
                <w:bCs/>
                <w:sz w:val="20"/>
                <w:szCs w:val="24"/>
                <w:vertAlign w:val="superscript"/>
              </w:rPr>
              <w:t>2</w:t>
            </w:r>
          </w:p>
        </w:tc>
        <w:tc>
          <w:tcPr>
            <w:tcW w:w="618" w:type="pct"/>
          </w:tcPr>
          <w:p w14:paraId="7A3FB433" w14:textId="77777777" w:rsidR="007A24E0" w:rsidRDefault="007A24E0" w:rsidP="007A24E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1127</w:t>
            </w:r>
          </w:p>
        </w:tc>
        <w:tc>
          <w:tcPr>
            <w:tcW w:w="2084" w:type="pct"/>
          </w:tcPr>
          <w:p w14:paraId="78F11038" w14:textId="77777777" w:rsidR="007A24E0" w:rsidRDefault="007A24E0"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Paskaičiuota 2.1.1. dalyje</w:t>
            </w:r>
          </w:p>
        </w:tc>
      </w:tr>
      <w:tr w:rsidR="007A24E0" w14:paraId="1F4AD003" w14:textId="77777777" w:rsidTr="00437A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14:paraId="7C8FB3B5" w14:textId="77777777"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5</w:t>
            </w:r>
          </w:p>
        </w:tc>
        <w:tc>
          <w:tcPr>
            <w:tcW w:w="1960" w:type="pct"/>
          </w:tcPr>
          <w:p w14:paraId="2FEE1D4B" w14:textId="77777777"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Bendras viešųjų pastatų metinis sutaupymas, GWh</w:t>
            </w:r>
          </w:p>
        </w:tc>
        <w:tc>
          <w:tcPr>
            <w:tcW w:w="618" w:type="pct"/>
          </w:tcPr>
          <w:p w14:paraId="5CE68782" w14:textId="77777777" w:rsidR="007A24E0" w:rsidRDefault="007A24E0" w:rsidP="007A24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36,6</w:t>
            </w:r>
          </w:p>
        </w:tc>
        <w:tc>
          <w:tcPr>
            <w:tcW w:w="2084" w:type="pct"/>
          </w:tcPr>
          <w:p w14:paraId="12E96816" w14:textId="77777777"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Paskaičiuota 2.2.1. dalyje</w:t>
            </w:r>
          </w:p>
        </w:tc>
      </w:tr>
      <w:tr w:rsidR="00121072" w14:paraId="092C8A70" w14:textId="77777777" w:rsidTr="00437AC4">
        <w:trPr>
          <w:cantSplit/>
        </w:trPr>
        <w:tc>
          <w:tcPr>
            <w:cnfStyle w:val="001000000000" w:firstRow="0" w:lastRow="0" w:firstColumn="1" w:lastColumn="0" w:oddVBand="0" w:evenVBand="0" w:oddHBand="0" w:evenHBand="0" w:firstRowFirstColumn="0" w:firstRowLastColumn="0" w:lastRowFirstColumn="0" w:lastRowLastColumn="0"/>
            <w:tcW w:w="338" w:type="pct"/>
          </w:tcPr>
          <w:p w14:paraId="141AC987" w14:textId="77777777" w:rsidR="00121072" w:rsidRDefault="00121072" w:rsidP="007A24E0">
            <w:pPr>
              <w:autoSpaceDE w:val="0"/>
              <w:autoSpaceDN w:val="0"/>
              <w:adjustRightInd w:val="0"/>
              <w:jc w:val="both"/>
              <w:rPr>
                <w:rFonts w:ascii="Georgia" w:hAnsi="Georgia"/>
                <w:bCs w:val="0"/>
                <w:sz w:val="20"/>
                <w:szCs w:val="24"/>
              </w:rPr>
            </w:pPr>
            <w:r>
              <w:rPr>
                <w:rFonts w:ascii="Georgia" w:hAnsi="Georgia"/>
                <w:bCs w:val="0"/>
                <w:sz w:val="20"/>
                <w:szCs w:val="24"/>
              </w:rPr>
              <w:t>6.</w:t>
            </w:r>
          </w:p>
        </w:tc>
        <w:tc>
          <w:tcPr>
            <w:tcW w:w="1960" w:type="pct"/>
          </w:tcPr>
          <w:p w14:paraId="62B1E9A0" w14:textId="77777777" w:rsidR="00121072" w:rsidRDefault="00121072"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Tipinio viešojo renovuoto pastato sutaupymai, GWh</w:t>
            </w:r>
            <w:r w:rsidDel="005C3D5D">
              <w:rPr>
                <w:rFonts w:ascii="Georgia" w:hAnsi="Georgia"/>
                <w:bCs/>
                <w:sz w:val="20"/>
                <w:szCs w:val="24"/>
              </w:rPr>
              <w:t xml:space="preserve"> </w:t>
            </w:r>
            <w:r>
              <w:rPr>
                <w:rFonts w:ascii="Georgia" w:hAnsi="Georgia"/>
                <w:bCs/>
                <w:sz w:val="20"/>
                <w:szCs w:val="24"/>
              </w:rPr>
              <w:t>per metus</w:t>
            </w:r>
          </w:p>
        </w:tc>
        <w:tc>
          <w:tcPr>
            <w:tcW w:w="618" w:type="pct"/>
          </w:tcPr>
          <w:p w14:paraId="5E5C980F" w14:textId="77777777" w:rsidR="00121072" w:rsidRDefault="00121072" w:rsidP="007A24E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0,124</w:t>
            </w:r>
          </w:p>
        </w:tc>
        <w:tc>
          <w:tcPr>
            <w:tcW w:w="2084" w:type="pct"/>
          </w:tcPr>
          <w:p w14:paraId="214257BC" w14:textId="77777777" w:rsidR="00121072" w:rsidRDefault="00121072"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( 1 – 3 ) x 4</w:t>
            </w:r>
          </w:p>
        </w:tc>
      </w:tr>
      <w:tr w:rsidR="007A24E0" w14:paraId="59C3A5C1" w14:textId="77777777" w:rsidTr="00437A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14:paraId="0CC79493" w14:textId="77777777"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7.</w:t>
            </w:r>
          </w:p>
        </w:tc>
        <w:tc>
          <w:tcPr>
            <w:tcW w:w="1960" w:type="pct"/>
          </w:tcPr>
          <w:p w14:paraId="5F9B937B" w14:textId="77777777" w:rsidR="007A24E0" w:rsidRPr="00DA65C2"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lang w:val="en-US"/>
              </w:rPr>
            </w:pPr>
            <w:r>
              <w:rPr>
                <w:rFonts w:ascii="Georgia" w:hAnsi="Georgia"/>
                <w:bCs/>
                <w:sz w:val="20"/>
                <w:szCs w:val="24"/>
              </w:rPr>
              <w:t>Bendras renovuotinų viešųjų pastatų kiekis per metus, vnt.</w:t>
            </w:r>
          </w:p>
        </w:tc>
        <w:tc>
          <w:tcPr>
            <w:tcW w:w="618" w:type="pct"/>
          </w:tcPr>
          <w:p w14:paraId="6E75CBD8" w14:textId="77777777" w:rsidR="007A24E0" w:rsidRDefault="007A24E0" w:rsidP="007A24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295</w:t>
            </w:r>
          </w:p>
        </w:tc>
        <w:tc>
          <w:tcPr>
            <w:tcW w:w="2084" w:type="pct"/>
          </w:tcPr>
          <w:p w14:paraId="381A0878" w14:textId="77777777"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5 / 6</w:t>
            </w:r>
          </w:p>
        </w:tc>
      </w:tr>
      <w:tr w:rsidR="007A24E0" w14:paraId="48E74255" w14:textId="77777777" w:rsidTr="00437AC4">
        <w:trPr>
          <w:cantSplit/>
        </w:trPr>
        <w:tc>
          <w:tcPr>
            <w:cnfStyle w:val="001000000000" w:firstRow="0" w:lastRow="0" w:firstColumn="1" w:lastColumn="0" w:oddVBand="0" w:evenVBand="0" w:oddHBand="0" w:evenHBand="0" w:firstRowFirstColumn="0" w:firstRowLastColumn="0" w:lastRowFirstColumn="0" w:lastRowLastColumn="0"/>
            <w:tcW w:w="338" w:type="pct"/>
          </w:tcPr>
          <w:p w14:paraId="41BAC5DD" w14:textId="77777777"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8.</w:t>
            </w:r>
          </w:p>
        </w:tc>
        <w:tc>
          <w:tcPr>
            <w:tcW w:w="1960" w:type="pct"/>
          </w:tcPr>
          <w:p w14:paraId="35458694" w14:textId="77777777" w:rsidR="007A24E0" w:rsidRDefault="007A24E0" w:rsidP="00E4044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bCs/>
                <w:sz w:val="20"/>
                <w:szCs w:val="24"/>
              </w:rPr>
              <w:t xml:space="preserve">Bendras renovuotinų viešųjų pastatų plotas per 2014-2020 </w:t>
            </w:r>
            <w:r w:rsidR="00E40443">
              <w:rPr>
                <w:rFonts w:ascii="Georgia" w:hAnsi="Georgia"/>
                <w:bCs/>
                <w:sz w:val="20"/>
                <w:szCs w:val="24"/>
              </w:rPr>
              <w:t>m. periodą</w:t>
            </w:r>
            <w:r>
              <w:rPr>
                <w:rFonts w:ascii="Georgia" w:hAnsi="Georgia"/>
                <w:bCs/>
                <w:sz w:val="20"/>
                <w:szCs w:val="24"/>
              </w:rPr>
              <w:t xml:space="preserve">, </w:t>
            </w:r>
            <w:r>
              <w:rPr>
                <w:rFonts w:ascii="Georgia" w:hAnsi="Georgia" w:cs="Georgia"/>
                <w:sz w:val="20"/>
                <w:szCs w:val="20"/>
              </w:rPr>
              <w:t xml:space="preserve">tūkst. </w:t>
            </w:r>
            <w:r>
              <w:rPr>
                <w:rFonts w:ascii="Georgia" w:hAnsi="Georgia"/>
                <w:bCs/>
                <w:sz w:val="20"/>
                <w:szCs w:val="24"/>
              </w:rPr>
              <w:t>m</w:t>
            </w:r>
            <w:r>
              <w:rPr>
                <w:rFonts w:ascii="Georgia" w:hAnsi="Georgia"/>
                <w:bCs/>
                <w:sz w:val="20"/>
                <w:szCs w:val="24"/>
                <w:vertAlign w:val="superscript"/>
              </w:rPr>
              <w:t>2</w:t>
            </w:r>
          </w:p>
        </w:tc>
        <w:tc>
          <w:tcPr>
            <w:tcW w:w="618" w:type="pct"/>
          </w:tcPr>
          <w:p w14:paraId="4748A6B2" w14:textId="77777777" w:rsidR="007A24E0" w:rsidRDefault="007A24E0" w:rsidP="007A24E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1994</w:t>
            </w:r>
          </w:p>
        </w:tc>
        <w:tc>
          <w:tcPr>
            <w:tcW w:w="2084" w:type="pct"/>
          </w:tcPr>
          <w:p w14:paraId="492FC6B7" w14:textId="77777777" w:rsidR="007A24E0" w:rsidRDefault="007A24E0"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4 x 7 x [6 metai]</w:t>
            </w:r>
          </w:p>
        </w:tc>
      </w:tr>
      <w:tr w:rsidR="007A24E0" w14:paraId="6A455C4B" w14:textId="77777777" w:rsidTr="00437A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14:paraId="6AE88746" w14:textId="77777777"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9.</w:t>
            </w:r>
          </w:p>
        </w:tc>
        <w:tc>
          <w:tcPr>
            <w:tcW w:w="1960" w:type="pct"/>
          </w:tcPr>
          <w:p w14:paraId="759A84CF" w14:textId="77777777" w:rsidR="007A24E0" w:rsidRDefault="007A24E0" w:rsidP="00EC472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Savivaldybių </w:t>
            </w:r>
            <w:r w:rsidR="00EC472F">
              <w:rPr>
                <w:rFonts w:ascii="Georgia" w:hAnsi="Georgia" w:cs="Georgia"/>
                <w:sz w:val="20"/>
                <w:szCs w:val="20"/>
              </w:rPr>
              <w:t xml:space="preserve">viešųjų </w:t>
            </w:r>
            <w:r>
              <w:rPr>
                <w:rFonts w:ascii="Georgia" w:hAnsi="Georgia" w:cs="Georgia"/>
                <w:sz w:val="20"/>
                <w:szCs w:val="20"/>
              </w:rPr>
              <w:t>pastatų plotas, bendroje viešųjų pastatų apimtyje, proc.</w:t>
            </w:r>
          </w:p>
        </w:tc>
        <w:tc>
          <w:tcPr>
            <w:tcW w:w="618" w:type="pct"/>
          </w:tcPr>
          <w:p w14:paraId="43E5E71E" w14:textId="77777777" w:rsidR="007A24E0" w:rsidRDefault="007A24E0" w:rsidP="007A24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58</w:t>
            </w:r>
          </w:p>
        </w:tc>
        <w:tc>
          <w:tcPr>
            <w:tcW w:w="2084" w:type="pct"/>
          </w:tcPr>
          <w:p w14:paraId="65E055B8" w14:textId="77777777"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Paskaičiuota 2.1.1. dalyje</w:t>
            </w:r>
          </w:p>
        </w:tc>
      </w:tr>
      <w:tr w:rsidR="007A24E0" w14:paraId="09DAD313" w14:textId="77777777" w:rsidTr="00437AC4">
        <w:trPr>
          <w:cantSplit/>
        </w:trPr>
        <w:tc>
          <w:tcPr>
            <w:cnfStyle w:val="001000000000" w:firstRow="0" w:lastRow="0" w:firstColumn="1" w:lastColumn="0" w:oddVBand="0" w:evenVBand="0" w:oddHBand="0" w:evenHBand="0" w:firstRowFirstColumn="0" w:firstRowLastColumn="0" w:lastRowFirstColumn="0" w:lastRowLastColumn="0"/>
            <w:tcW w:w="338" w:type="pct"/>
          </w:tcPr>
          <w:p w14:paraId="01F28B08" w14:textId="77777777"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10.</w:t>
            </w:r>
          </w:p>
        </w:tc>
        <w:tc>
          <w:tcPr>
            <w:tcW w:w="1960" w:type="pct"/>
          </w:tcPr>
          <w:p w14:paraId="50CC66F4" w14:textId="77777777" w:rsidR="007A24E0" w:rsidRDefault="00EC472F"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Centrinės valdžios</w:t>
            </w:r>
            <w:r w:rsidR="007A24E0">
              <w:rPr>
                <w:rFonts w:ascii="Georgia" w:hAnsi="Georgia" w:cs="Georgia"/>
                <w:sz w:val="20"/>
                <w:szCs w:val="20"/>
              </w:rPr>
              <w:t xml:space="preserve"> pastatų plotas, bendroje viešųjų pastatų apimtyje, proc.</w:t>
            </w:r>
          </w:p>
        </w:tc>
        <w:tc>
          <w:tcPr>
            <w:tcW w:w="618" w:type="pct"/>
          </w:tcPr>
          <w:p w14:paraId="4C968F8F" w14:textId="77777777" w:rsidR="007A24E0" w:rsidRDefault="007A24E0" w:rsidP="007A24E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42</w:t>
            </w:r>
          </w:p>
        </w:tc>
        <w:tc>
          <w:tcPr>
            <w:tcW w:w="2084" w:type="pct"/>
          </w:tcPr>
          <w:p w14:paraId="470E4787" w14:textId="77777777" w:rsidR="007A24E0" w:rsidRDefault="007A24E0"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Paskaičiuota 2.1.1. dalyje</w:t>
            </w:r>
          </w:p>
        </w:tc>
      </w:tr>
      <w:tr w:rsidR="007A24E0" w14:paraId="6AB7602C" w14:textId="77777777" w:rsidTr="00437A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14:paraId="2AE028E4" w14:textId="77777777"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11.</w:t>
            </w:r>
          </w:p>
        </w:tc>
        <w:tc>
          <w:tcPr>
            <w:tcW w:w="1960" w:type="pct"/>
          </w:tcPr>
          <w:p w14:paraId="748D7403" w14:textId="77777777" w:rsidR="007A24E0" w:rsidRDefault="007A24E0" w:rsidP="00E4044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Renovuotinas savivaldybių </w:t>
            </w:r>
            <w:r w:rsidR="00EC472F">
              <w:rPr>
                <w:rFonts w:ascii="Georgia" w:hAnsi="Georgia" w:cs="Georgia"/>
                <w:sz w:val="20"/>
                <w:szCs w:val="20"/>
              </w:rPr>
              <w:t>viešųjų</w:t>
            </w:r>
            <w:r>
              <w:rPr>
                <w:rFonts w:ascii="Georgia" w:hAnsi="Georgia" w:cs="Georgia"/>
                <w:sz w:val="20"/>
                <w:szCs w:val="20"/>
              </w:rPr>
              <w:t xml:space="preserve"> pastatų plotas per </w:t>
            </w:r>
            <w:r>
              <w:rPr>
                <w:rFonts w:ascii="Georgia" w:hAnsi="Georgia"/>
                <w:bCs/>
                <w:sz w:val="20"/>
                <w:szCs w:val="24"/>
              </w:rPr>
              <w:t xml:space="preserve">2014-2020 </w:t>
            </w:r>
            <w:r w:rsidR="00E40443">
              <w:rPr>
                <w:rFonts w:ascii="Georgia" w:hAnsi="Georgia"/>
                <w:bCs/>
                <w:sz w:val="20"/>
                <w:szCs w:val="24"/>
              </w:rPr>
              <w:t>m.</w:t>
            </w:r>
            <w:r>
              <w:rPr>
                <w:rFonts w:ascii="Georgia" w:hAnsi="Georgia"/>
                <w:bCs/>
                <w:sz w:val="20"/>
                <w:szCs w:val="24"/>
              </w:rPr>
              <w:t xml:space="preserve"> </w:t>
            </w:r>
            <w:r w:rsidR="00E40443">
              <w:rPr>
                <w:rFonts w:ascii="Georgia" w:hAnsi="Georgia"/>
                <w:bCs/>
                <w:sz w:val="20"/>
                <w:szCs w:val="24"/>
              </w:rPr>
              <w:t>periodą</w:t>
            </w:r>
            <w:r>
              <w:rPr>
                <w:rFonts w:ascii="Georgia" w:hAnsi="Georgia"/>
                <w:bCs/>
                <w:sz w:val="20"/>
                <w:szCs w:val="24"/>
              </w:rPr>
              <w:t xml:space="preserve">, </w:t>
            </w:r>
            <w:r>
              <w:rPr>
                <w:rFonts w:ascii="Georgia" w:hAnsi="Georgia" w:cs="Georgia"/>
                <w:sz w:val="20"/>
                <w:szCs w:val="20"/>
              </w:rPr>
              <w:t xml:space="preserve">tūkst. </w:t>
            </w:r>
            <w:r>
              <w:rPr>
                <w:rFonts w:ascii="Georgia" w:hAnsi="Georgia"/>
                <w:bCs/>
                <w:sz w:val="20"/>
                <w:szCs w:val="24"/>
              </w:rPr>
              <w:t>m</w:t>
            </w:r>
            <w:r>
              <w:rPr>
                <w:rFonts w:ascii="Georgia" w:hAnsi="Georgia"/>
                <w:bCs/>
                <w:sz w:val="20"/>
                <w:szCs w:val="24"/>
                <w:vertAlign w:val="superscript"/>
              </w:rPr>
              <w:t>2</w:t>
            </w:r>
          </w:p>
        </w:tc>
        <w:tc>
          <w:tcPr>
            <w:tcW w:w="618" w:type="pct"/>
          </w:tcPr>
          <w:p w14:paraId="71A89857" w14:textId="77777777" w:rsidR="007A24E0" w:rsidRDefault="007A24E0" w:rsidP="007A24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1157</w:t>
            </w:r>
          </w:p>
        </w:tc>
        <w:tc>
          <w:tcPr>
            <w:tcW w:w="2084" w:type="pct"/>
          </w:tcPr>
          <w:p w14:paraId="6BE9282E" w14:textId="77777777"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8 * 9</w:t>
            </w:r>
          </w:p>
        </w:tc>
      </w:tr>
      <w:tr w:rsidR="007A24E0" w14:paraId="40EC0AE9" w14:textId="77777777" w:rsidTr="00437AC4">
        <w:trPr>
          <w:cantSplit/>
        </w:trPr>
        <w:tc>
          <w:tcPr>
            <w:cnfStyle w:val="001000000000" w:firstRow="0" w:lastRow="0" w:firstColumn="1" w:lastColumn="0" w:oddVBand="0" w:evenVBand="0" w:oddHBand="0" w:evenHBand="0" w:firstRowFirstColumn="0" w:firstRowLastColumn="0" w:lastRowFirstColumn="0" w:lastRowLastColumn="0"/>
            <w:tcW w:w="338" w:type="pct"/>
          </w:tcPr>
          <w:p w14:paraId="17F174BE" w14:textId="77777777"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12.</w:t>
            </w:r>
          </w:p>
        </w:tc>
        <w:tc>
          <w:tcPr>
            <w:tcW w:w="1960" w:type="pct"/>
          </w:tcPr>
          <w:p w14:paraId="2518610F" w14:textId="77777777" w:rsidR="007A24E0" w:rsidRDefault="007A24E0" w:rsidP="00E4044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Renovuotinas </w:t>
            </w:r>
            <w:r w:rsidR="00EC472F">
              <w:rPr>
                <w:rFonts w:ascii="Georgia" w:hAnsi="Georgia" w:cs="Georgia"/>
                <w:sz w:val="20"/>
                <w:szCs w:val="20"/>
              </w:rPr>
              <w:t>centrinės valdžios</w:t>
            </w:r>
            <w:r>
              <w:rPr>
                <w:rFonts w:ascii="Georgia" w:hAnsi="Georgia" w:cs="Georgia"/>
                <w:sz w:val="20"/>
                <w:szCs w:val="20"/>
              </w:rPr>
              <w:t xml:space="preserve"> pastatų plotas per </w:t>
            </w:r>
            <w:r>
              <w:rPr>
                <w:rFonts w:ascii="Georgia" w:hAnsi="Georgia"/>
                <w:bCs/>
                <w:sz w:val="20"/>
                <w:szCs w:val="24"/>
              </w:rPr>
              <w:t xml:space="preserve">2014-2020 </w:t>
            </w:r>
            <w:r w:rsidR="00E40443">
              <w:rPr>
                <w:rFonts w:ascii="Georgia" w:hAnsi="Georgia"/>
                <w:bCs/>
                <w:sz w:val="20"/>
                <w:szCs w:val="24"/>
              </w:rPr>
              <w:t>m. periodą</w:t>
            </w:r>
            <w:r>
              <w:rPr>
                <w:rFonts w:ascii="Georgia" w:hAnsi="Georgia"/>
                <w:bCs/>
                <w:sz w:val="20"/>
                <w:szCs w:val="24"/>
              </w:rPr>
              <w:t xml:space="preserve">, </w:t>
            </w:r>
            <w:r>
              <w:rPr>
                <w:rFonts w:ascii="Georgia" w:hAnsi="Georgia" w:cs="Georgia"/>
                <w:sz w:val="20"/>
                <w:szCs w:val="20"/>
              </w:rPr>
              <w:t xml:space="preserve">tūkst. </w:t>
            </w:r>
            <w:r>
              <w:rPr>
                <w:rFonts w:ascii="Georgia" w:hAnsi="Georgia"/>
                <w:bCs/>
                <w:sz w:val="20"/>
                <w:szCs w:val="24"/>
              </w:rPr>
              <w:t>m</w:t>
            </w:r>
            <w:r>
              <w:rPr>
                <w:rFonts w:ascii="Georgia" w:hAnsi="Georgia"/>
                <w:bCs/>
                <w:sz w:val="20"/>
                <w:szCs w:val="24"/>
                <w:vertAlign w:val="superscript"/>
              </w:rPr>
              <w:t>2</w:t>
            </w:r>
          </w:p>
        </w:tc>
        <w:tc>
          <w:tcPr>
            <w:tcW w:w="618" w:type="pct"/>
          </w:tcPr>
          <w:p w14:paraId="33505398" w14:textId="77777777" w:rsidR="007A24E0" w:rsidRDefault="007A24E0" w:rsidP="007A24E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837</w:t>
            </w:r>
          </w:p>
        </w:tc>
        <w:tc>
          <w:tcPr>
            <w:tcW w:w="2084" w:type="pct"/>
          </w:tcPr>
          <w:p w14:paraId="2BA3AB36" w14:textId="77777777" w:rsidR="007A24E0" w:rsidRDefault="007A24E0"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8 * 10</w:t>
            </w:r>
          </w:p>
        </w:tc>
      </w:tr>
      <w:tr w:rsidR="007A24E0" w14:paraId="4AF3C63E" w14:textId="77777777" w:rsidTr="00437A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14:paraId="3A6B73BF" w14:textId="77777777"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13.</w:t>
            </w:r>
          </w:p>
        </w:tc>
        <w:tc>
          <w:tcPr>
            <w:tcW w:w="1960" w:type="pct"/>
          </w:tcPr>
          <w:p w14:paraId="47443DD4" w14:textId="77777777"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Viešojo pastato renovacijos kaštai, EUR/m</w:t>
            </w:r>
            <w:r>
              <w:rPr>
                <w:rFonts w:ascii="Georgia" w:hAnsi="Georgia" w:cs="Georgia"/>
                <w:sz w:val="20"/>
                <w:szCs w:val="20"/>
                <w:vertAlign w:val="superscript"/>
              </w:rPr>
              <w:t>2</w:t>
            </w:r>
            <w:r>
              <w:rPr>
                <w:rFonts w:ascii="Georgia" w:hAnsi="Georgia" w:cs="Georgia"/>
                <w:sz w:val="20"/>
                <w:szCs w:val="20"/>
              </w:rPr>
              <w:t xml:space="preserve"> (Lt/m</w:t>
            </w:r>
            <w:r>
              <w:rPr>
                <w:rFonts w:ascii="Georgia" w:hAnsi="Georgia" w:cs="Georgia"/>
                <w:sz w:val="20"/>
                <w:szCs w:val="20"/>
                <w:vertAlign w:val="superscript"/>
              </w:rPr>
              <w:t>2</w:t>
            </w:r>
            <w:r>
              <w:rPr>
                <w:rFonts w:ascii="Georgia" w:hAnsi="Georgia" w:cs="Georgia"/>
                <w:sz w:val="20"/>
                <w:szCs w:val="20"/>
              </w:rPr>
              <w:t>)</w:t>
            </w:r>
          </w:p>
        </w:tc>
        <w:tc>
          <w:tcPr>
            <w:tcW w:w="618" w:type="pct"/>
          </w:tcPr>
          <w:p w14:paraId="2004C6E2" w14:textId="77777777" w:rsidR="007A24E0" w:rsidRDefault="007A24E0" w:rsidP="007A24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202,7 (700)</w:t>
            </w:r>
          </w:p>
        </w:tc>
        <w:tc>
          <w:tcPr>
            <w:tcW w:w="2084" w:type="pct"/>
          </w:tcPr>
          <w:p w14:paraId="724E8FE9" w14:textId="77777777"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Numatyta viešųjų pastatų energinio efektyvumo didinimo programos projekte </w:t>
            </w:r>
          </w:p>
        </w:tc>
      </w:tr>
      <w:tr w:rsidR="007A24E0" w14:paraId="24B55F5F" w14:textId="77777777" w:rsidTr="00437AC4">
        <w:trPr>
          <w:cantSplit/>
        </w:trPr>
        <w:tc>
          <w:tcPr>
            <w:cnfStyle w:val="001000000000" w:firstRow="0" w:lastRow="0" w:firstColumn="1" w:lastColumn="0" w:oddVBand="0" w:evenVBand="0" w:oddHBand="0" w:evenHBand="0" w:firstRowFirstColumn="0" w:firstRowLastColumn="0" w:lastRowFirstColumn="0" w:lastRowLastColumn="0"/>
            <w:tcW w:w="338" w:type="pct"/>
            <w:tcBorders>
              <w:top w:val="single" w:sz="8" w:space="0" w:color="C0504D" w:themeColor="accent2"/>
              <w:left w:val="single" w:sz="8" w:space="0" w:color="C0504D" w:themeColor="accent2"/>
              <w:bottom w:val="single" w:sz="8" w:space="0" w:color="C0504D" w:themeColor="accent2"/>
            </w:tcBorders>
          </w:tcPr>
          <w:p w14:paraId="0509283F" w14:textId="77777777" w:rsidR="007A24E0" w:rsidRPr="00DB35BF" w:rsidRDefault="007A24E0" w:rsidP="007A24E0">
            <w:pPr>
              <w:autoSpaceDE w:val="0"/>
              <w:autoSpaceDN w:val="0"/>
              <w:adjustRightInd w:val="0"/>
              <w:jc w:val="both"/>
              <w:rPr>
                <w:rFonts w:ascii="Georgia" w:hAnsi="Georgia"/>
                <w:bCs w:val="0"/>
                <w:sz w:val="20"/>
                <w:szCs w:val="24"/>
                <w:lang w:val="en-US"/>
              </w:rPr>
            </w:pPr>
            <w:r>
              <w:rPr>
                <w:rFonts w:ascii="Georgia" w:hAnsi="Georgia"/>
                <w:bCs w:val="0"/>
                <w:sz w:val="20"/>
                <w:szCs w:val="24"/>
                <w:lang w:val="en-US"/>
              </w:rPr>
              <w:t>14.</w:t>
            </w:r>
          </w:p>
        </w:tc>
        <w:tc>
          <w:tcPr>
            <w:tcW w:w="1960" w:type="pct"/>
            <w:tcBorders>
              <w:top w:val="single" w:sz="8" w:space="0" w:color="C0504D" w:themeColor="accent2"/>
              <w:bottom w:val="single" w:sz="8" w:space="0" w:color="C0504D" w:themeColor="accent2"/>
            </w:tcBorders>
          </w:tcPr>
          <w:p w14:paraId="4B59A5B2" w14:textId="77777777" w:rsidR="007A24E0" w:rsidRDefault="007A24E0" w:rsidP="00EC472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 xml:space="preserve">Savivaldybių </w:t>
            </w:r>
            <w:r w:rsidR="00EC472F">
              <w:rPr>
                <w:rFonts w:ascii="Georgia" w:hAnsi="Georgia" w:cs="Georgia"/>
                <w:sz w:val="20"/>
                <w:szCs w:val="20"/>
              </w:rPr>
              <w:t>viešųjų</w:t>
            </w:r>
            <w:r>
              <w:rPr>
                <w:rFonts w:ascii="Georgia" w:hAnsi="Georgia" w:cs="Georgia"/>
                <w:sz w:val="20"/>
                <w:szCs w:val="20"/>
              </w:rPr>
              <w:t xml:space="preserve"> pas</w:t>
            </w:r>
            <w:r w:rsidR="00EC472F">
              <w:rPr>
                <w:rFonts w:ascii="Georgia" w:hAnsi="Georgia" w:cs="Georgia"/>
                <w:sz w:val="20"/>
                <w:szCs w:val="20"/>
              </w:rPr>
              <w:t>tatų renovacijos paklausa</w:t>
            </w:r>
            <w:r>
              <w:rPr>
                <w:rFonts w:ascii="Georgia" w:hAnsi="Georgia" w:cs="Georgia"/>
                <w:sz w:val="20"/>
                <w:szCs w:val="20"/>
              </w:rPr>
              <w:t>, mln. EUR (mln. Lt)</w:t>
            </w:r>
          </w:p>
        </w:tc>
        <w:tc>
          <w:tcPr>
            <w:tcW w:w="618" w:type="pct"/>
            <w:tcBorders>
              <w:top w:val="single" w:sz="8" w:space="0" w:color="C0504D" w:themeColor="accent2"/>
              <w:bottom w:val="single" w:sz="8" w:space="0" w:color="C0504D" w:themeColor="accent2"/>
            </w:tcBorders>
          </w:tcPr>
          <w:p w14:paraId="493668F7" w14:textId="77777777" w:rsidR="007A24E0" w:rsidRDefault="007A24E0" w:rsidP="00EC472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234,6 (809</w:t>
            </w:r>
            <w:r w:rsidR="00EC472F">
              <w:rPr>
                <w:rFonts w:ascii="Georgia" w:hAnsi="Georgia" w:cs="Georgia"/>
                <w:sz w:val="20"/>
                <w:szCs w:val="20"/>
              </w:rPr>
              <w:t>,</w:t>
            </w:r>
            <w:r>
              <w:rPr>
                <w:rFonts w:ascii="Georgia" w:hAnsi="Georgia" w:cs="Georgia"/>
                <w:sz w:val="20"/>
                <w:szCs w:val="20"/>
              </w:rPr>
              <w:t>9)</w:t>
            </w:r>
          </w:p>
        </w:tc>
        <w:tc>
          <w:tcPr>
            <w:tcW w:w="2084" w:type="pct"/>
            <w:tcBorders>
              <w:top w:val="single" w:sz="8" w:space="0" w:color="C0504D" w:themeColor="accent2"/>
              <w:bottom w:val="single" w:sz="8" w:space="0" w:color="C0504D" w:themeColor="accent2"/>
              <w:right w:val="single" w:sz="8" w:space="0" w:color="C0504D" w:themeColor="accent2"/>
            </w:tcBorders>
          </w:tcPr>
          <w:p w14:paraId="4765BAA0" w14:textId="77777777" w:rsidR="007A24E0" w:rsidRPr="00DB35BF" w:rsidRDefault="007A24E0"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lang w:val="en-US"/>
              </w:rPr>
            </w:pPr>
            <w:r>
              <w:rPr>
                <w:rFonts w:ascii="Georgia" w:hAnsi="Georgia" w:cs="Georgia"/>
                <w:sz w:val="20"/>
                <w:szCs w:val="20"/>
                <w:lang w:val="en-US"/>
              </w:rPr>
              <w:t>11 x 13</w:t>
            </w:r>
          </w:p>
        </w:tc>
      </w:tr>
      <w:tr w:rsidR="007A24E0" w14:paraId="31E7BEE8" w14:textId="77777777" w:rsidTr="00437A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14:paraId="5D1891C8" w14:textId="77777777"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 xml:space="preserve">15. </w:t>
            </w:r>
          </w:p>
        </w:tc>
        <w:tc>
          <w:tcPr>
            <w:tcW w:w="1960" w:type="pct"/>
          </w:tcPr>
          <w:p w14:paraId="129D906F" w14:textId="77777777" w:rsidR="007A24E0" w:rsidRDefault="00EC472F" w:rsidP="00EC472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Centrinės valdžios</w:t>
            </w:r>
            <w:r w:rsidR="007A24E0">
              <w:rPr>
                <w:rFonts w:ascii="Georgia" w:hAnsi="Georgia" w:cs="Georgia"/>
                <w:sz w:val="20"/>
                <w:szCs w:val="20"/>
              </w:rPr>
              <w:t xml:space="preserve"> pastatų renovacijos paklausa, mln. EUR (mln. Lt)</w:t>
            </w:r>
          </w:p>
        </w:tc>
        <w:tc>
          <w:tcPr>
            <w:tcW w:w="618" w:type="pct"/>
          </w:tcPr>
          <w:p w14:paraId="41BA9F95" w14:textId="77777777" w:rsidR="007A24E0" w:rsidRDefault="007A24E0" w:rsidP="007A24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169,7 (585,9)</w:t>
            </w:r>
          </w:p>
        </w:tc>
        <w:tc>
          <w:tcPr>
            <w:tcW w:w="2084" w:type="pct"/>
          </w:tcPr>
          <w:p w14:paraId="2F88E5E1" w14:textId="77777777" w:rsidR="007A24E0" w:rsidRPr="00DB35BF"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lang w:val="en-US"/>
              </w:rPr>
            </w:pPr>
            <w:r>
              <w:rPr>
                <w:rFonts w:ascii="Georgia" w:hAnsi="Georgia" w:cs="Georgia"/>
                <w:sz w:val="20"/>
                <w:szCs w:val="20"/>
                <w:lang w:val="en-US"/>
              </w:rPr>
              <w:t>12 x 13</w:t>
            </w:r>
          </w:p>
        </w:tc>
      </w:tr>
    </w:tbl>
    <w:p w14:paraId="22939FC7" w14:textId="77777777" w:rsidR="007A24E0" w:rsidRPr="00DB35BF" w:rsidRDefault="007A24E0" w:rsidP="007A24E0">
      <w:pPr>
        <w:autoSpaceDE w:val="0"/>
        <w:autoSpaceDN w:val="0"/>
        <w:adjustRightInd w:val="0"/>
        <w:spacing w:after="0"/>
        <w:jc w:val="both"/>
        <w:rPr>
          <w:rFonts w:ascii="Georgia" w:hAnsi="Georgia"/>
          <w:bCs/>
          <w:sz w:val="20"/>
          <w:szCs w:val="24"/>
          <w:lang w:val="lt-LT"/>
        </w:rPr>
      </w:pPr>
    </w:p>
    <w:p w14:paraId="14655270" w14:textId="77777777" w:rsidR="00EC472F" w:rsidRDefault="00EC472F" w:rsidP="007A24E0">
      <w:pPr>
        <w:autoSpaceDE w:val="0"/>
        <w:autoSpaceDN w:val="0"/>
        <w:adjustRightInd w:val="0"/>
        <w:spacing w:after="0"/>
        <w:jc w:val="both"/>
        <w:rPr>
          <w:rFonts w:ascii="Georgia" w:hAnsi="Georgia"/>
          <w:bCs/>
          <w:i/>
          <w:sz w:val="20"/>
          <w:szCs w:val="24"/>
          <w:lang w:val="lt-LT"/>
        </w:rPr>
      </w:pPr>
    </w:p>
    <w:p w14:paraId="0E184E8F" w14:textId="77777777" w:rsidR="007A24E0" w:rsidRDefault="007A24E0" w:rsidP="007A24E0">
      <w:pPr>
        <w:autoSpaceDE w:val="0"/>
        <w:autoSpaceDN w:val="0"/>
        <w:adjustRightInd w:val="0"/>
        <w:spacing w:after="0"/>
        <w:jc w:val="both"/>
        <w:rPr>
          <w:rFonts w:ascii="Georgia" w:hAnsi="Georgia"/>
          <w:bCs/>
          <w:i/>
          <w:sz w:val="20"/>
          <w:szCs w:val="24"/>
          <w:lang w:val="lt-LT"/>
        </w:rPr>
      </w:pPr>
      <w:r w:rsidRPr="00755876">
        <w:rPr>
          <w:rFonts w:ascii="Georgia" w:hAnsi="Georgia"/>
          <w:bCs/>
          <w:i/>
          <w:sz w:val="20"/>
          <w:szCs w:val="24"/>
          <w:lang w:val="lt-LT"/>
        </w:rPr>
        <w:t xml:space="preserve">Paklausos skaičiavimas atsižvelgiant į </w:t>
      </w:r>
      <w:r>
        <w:rPr>
          <w:rFonts w:ascii="Georgia" w:hAnsi="Georgia"/>
          <w:bCs/>
          <w:i/>
          <w:sz w:val="20"/>
          <w:szCs w:val="24"/>
          <w:lang w:val="lt-LT"/>
        </w:rPr>
        <w:t xml:space="preserve">Energijos efektyvumo direktyvoje </w:t>
      </w:r>
      <w:r w:rsidRPr="00755876">
        <w:rPr>
          <w:rFonts w:ascii="Georgia" w:hAnsi="Georgia"/>
          <w:bCs/>
          <w:i/>
          <w:sz w:val="20"/>
          <w:szCs w:val="24"/>
          <w:lang w:val="lt-LT"/>
        </w:rPr>
        <w:t xml:space="preserve">suformuotus </w:t>
      </w:r>
      <w:r>
        <w:rPr>
          <w:rFonts w:ascii="Georgia" w:hAnsi="Georgia"/>
          <w:bCs/>
          <w:i/>
          <w:sz w:val="20"/>
          <w:szCs w:val="24"/>
          <w:lang w:val="lt-LT"/>
        </w:rPr>
        <w:t>įsipareigojimus</w:t>
      </w:r>
    </w:p>
    <w:p w14:paraId="558A7C72" w14:textId="77777777" w:rsidR="007A24E0" w:rsidRPr="00755876" w:rsidRDefault="007A24E0" w:rsidP="007A24E0">
      <w:pPr>
        <w:autoSpaceDE w:val="0"/>
        <w:autoSpaceDN w:val="0"/>
        <w:adjustRightInd w:val="0"/>
        <w:spacing w:after="0"/>
        <w:jc w:val="both"/>
        <w:rPr>
          <w:rFonts w:ascii="Georgia" w:hAnsi="Georgia"/>
          <w:bCs/>
          <w:i/>
          <w:sz w:val="20"/>
          <w:szCs w:val="24"/>
          <w:lang w:val="lt-LT"/>
        </w:rPr>
      </w:pPr>
    </w:p>
    <w:p w14:paraId="3CD4F99B" w14:textId="77777777" w:rsidR="007A24E0" w:rsidRDefault="00EC472F" w:rsidP="007A24E0">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Šioje dalyje yra a</w:t>
      </w:r>
      <w:r w:rsidR="007A24E0">
        <w:rPr>
          <w:rFonts w:ascii="Georgia" w:hAnsi="Georgia" w:cs="Georgia"/>
          <w:sz w:val="20"/>
          <w:szCs w:val="20"/>
          <w:lang w:val="lt-LT"/>
        </w:rPr>
        <w:t>tskirai paskaičiuota</w:t>
      </w:r>
      <w:r>
        <w:rPr>
          <w:rFonts w:ascii="Georgia" w:hAnsi="Georgia" w:cs="Georgia"/>
          <w:sz w:val="20"/>
          <w:szCs w:val="20"/>
          <w:lang w:val="lt-LT"/>
        </w:rPr>
        <w:t xml:space="preserve"> viešųjų pastatų</w:t>
      </w:r>
      <w:r w:rsidR="007A24E0">
        <w:rPr>
          <w:rFonts w:ascii="Georgia" w:hAnsi="Georgia" w:cs="Georgia"/>
          <w:sz w:val="20"/>
          <w:szCs w:val="20"/>
          <w:lang w:val="lt-LT"/>
        </w:rPr>
        <w:t xml:space="preserve"> paklausa pagal Lietuvos įpareigojimus </w:t>
      </w:r>
      <w:r w:rsidR="00561CE4">
        <w:rPr>
          <w:rFonts w:ascii="Georgia" w:hAnsi="Georgia" w:cs="Georgia"/>
          <w:sz w:val="20"/>
          <w:szCs w:val="20"/>
          <w:lang w:val="lt-LT"/>
        </w:rPr>
        <w:t>pagal Energijos efektyvumo direktyvą</w:t>
      </w:r>
      <w:r w:rsidR="007A24E0">
        <w:rPr>
          <w:rFonts w:ascii="Georgia" w:hAnsi="Georgia" w:cs="Georgia"/>
          <w:sz w:val="20"/>
          <w:szCs w:val="20"/>
          <w:lang w:val="lt-LT"/>
        </w:rPr>
        <w:t xml:space="preserve"> kiekvienais metais renovuoti ne mažiau kaip 3% </w:t>
      </w:r>
      <w:r w:rsidR="00D86F63">
        <w:rPr>
          <w:rFonts w:ascii="Georgia" w:hAnsi="Georgia" w:cs="Georgia"/>
          <w:sz w:val="20"/>
          <w:szCs w:val="20"/>
          <w:lang w:val="lt-LT"/>
        </w:rPr>
        <w:t xml:space="preserve">centrinės valdžios pastatų, </w:t>
      </w:r>
      <w:r w:rsidR="007A24E0">
        <w:rPr>
          <w:rFonts w:ascii="Georgia" w:hAnsi="Georgia" w:cs="Georgia"/>
          <w:sz w:val="20"/>
          <w:szCs w:val="20"/>
          <w:lang w:val="lt-LT"/>
        </w:rPr>
        <w:t>didesnių kaip 500 m</w:t>
      </w:r>
      <w:r w:rsidR="007A24E0">
        <w:rPr>
          <w:rFonts w:ascii="Georgia" w:hAnsi="Georgia" w:cs="Georgia"/>
          <w:sz w:val="20"/>
          <w:szCs w:val="20"/>
          <w:vertAlign w:val="superscript"/>
          <w:lang w:val="lt-LT"/>
        </w:rPr>
        <w:t>2</w:t>
      </w:r>
      <w:r w:rsidR="00D86F63">
        <w:rPr>
          <w:rFonts w:ascii="Georgia" w:hAnsi="Georgia" w:cs="Georgia"/>
          <w:sz w:val="20"/>
          <w:szCs w:val="20"/>
          <w:lang w:val="lt-LT"/>
        </w:rPr>
        <w:t xml:space="preserve"> naudingojo ploto</w:t>
      </w:r>
      <w:r w:rsidR="007A24E0">
        <w:rPr>
          <w:rFonts w:ascii="Georgia" w:hAnsi="Georgia" w:cs="Georgia"/>
          <w:sz w:val="20"/>
          <w:szCs w:val="20"/>
          <w:lang w:val="lt-LT"/>
        </w:rPr>
        <w:t xml:space="preserve"> (nuo 2015 m. šis plotas mažinamas iki 250 m</w:t>
      </w:r>
      <w:r w:rsidR="007A24E0">
        <w:rPr>
          <w:rFonts w:ascii="Georgia" w:hAnsi="Georgia" w:cs="Georgia"/>
          <w:sz w:val="20"/>
          <w:szCs w:val="20"/>
          <w:vertAlign w:val="superscript"/>
          <w:lang w:val="lt-LT"/>
        </w:rPr>
        <w:t>2</w:t>
      </w:r>
      <w:r w:rsidR="007A24E0">
        <w:rPr>
          <w:rFonts w:ascii="Georgia" w:hAnsi="Georgia" w:cs="Georgia"/>
          <w:sz w:val="20"/>
          <w:szCs w:val="20"/>
          <w:lang w:val="lt-LT"/>
        </w:rPr>
        <w:t xml:space="preserve">). </w:t>
      </w:r>
    </w:p>
    <w:p w14:paraId="51788121" w14:textId="77777777" w:rsidR="007A24E0" w:rsidRDefault="007A24E0" w:rsidP="007A24E0">
      <w:pPr>
        <w:autoSpaceDE w:val="0"/>
        <w:autoSpaceDN w:val="0"/>
        <w:adjustRightInd w:val="0"/>
        <w:spacing w:after="0"/>
        <w:jc w:val="both"/>
        <w:rPr>
          <w:rFonts w:ascii="Georgia" w:hAnsi="Georgia"/>
          <w:bCs/>
          <w:sz w:val="20"/>
          <w:szCs w:val="24"/>
          <w:lang w:val="lt-LT"/>
        </w:rPr>
      </w:pPr>
    </w:p>
    <w:p w14:paraId="16FEB651" w14:textId="77777777" w:rsidR="007A24E0" w:rsidRDefault="007A24E0" w:rsidP="007A24E0">
      <w:pPr>
        <w:autoSpaceDE w:val="0"/>
        <w:autoSpaceDN w:val="0"/>
        <w:adjustRightInd w:val="0"/>
        <w:spacing w:after="0"/>
        <w:jc w:val="both"/>
        <w:rPr>
          <w:rFonts w:ascii="Georgia" w:hAnsi="Georgia" w:cs="Georgia"/>
          <w:sz w:val="20"/>
          <w:szCs w:val="20"/>
          <w:lang w:val="lt-LT"/>
        </w:rPr>
      </w:pPr>
      <w:r w:rsidRPr="00561CE4">
        <w:rPr>
          <w:rFonts w:ascii="Georgia" w:hAnsi="Georgia"/>
          <w:bCs/>
          <w:sz w:val="20"/>
          <w:szCs w:val="20"/>
          <w:lang w:val="lt-LT"/>
        </w:rPr>
        <w:lastRenderedPageBreak/>
        <w:t xml:space="preserve">Žemiau </w:t>
      </w:r>
      <w:r w:rsidR="009D6C03">
        <w:rPr>
          <w:rFonts w:ascii="Georgia" w:hAnsi="Georgia"/>
          <w:bCs/>
          <w:sz w:val="20"/>
          <w:szCs w:val="20"/>
          <w:lang w:val="lt-LT"/>
        </w:rPr>
        <w:t>esančioje lentelėje</w:t>
      </w:r>
      <w:r w:rsidRPr="00561CE4">
        <w:rPr>
          <w:rFonts w:ascii="Georgia" w:hAnsi="Georgia"/>
          <w:bCs/>
          <w:sz w:val="20"/>
          <w:szCs w:val="20"/>
          <w:lang w:val="lt-LT"/>
        </w:rPr>
        <w:t xml:space="preserve"> pateikiamos</w:t>
      </w:r>
      <w:r w:rsidR="00561CE4">
        <w:rPr>
          <w:rFonts w:ascii="Georgia" w:hAnsi="Georgia"/>
          <w:bCs/>
          <w:sz w:val="20"/>
          <w:szCs w:val="24"/>
          <w:lang w:val="lt-LT"/>
        </w:rPr>
        <w:t xml:space="preserve">  prielaidos ir skaičiavimai</w:t>
      </w:r>
      <w:r>
        <w:rPr>
          <w:rFonts w:ascii="Georgia" w:hAnsi="Georgia"/>
          <w:bCs/>
          <w:sz w:val="20"/>
          <w:szCs w:val="24"/>
          <w:lang w:val="lt-LT"/>
        </w:rPr>
        <w:t xml:space="preserve"> bei jų pagrindimas skaičiu</w:t>
      </w:r>
      <w:r w:rsidR="007F6C5A">
        <w:rPr>
          <w:rFonts w:ascii="Georgia" w:hAnsi="Georgia"/>
          <w:bCs/>
          <w:sz w:val="20"/>
          <w:szCs w:val="24"/>
          <w:lang w:val="lt-LT"/>
        </w:rPr>
        <w:t>ojant viešųjų pastatų paklausą,</w:t>
      </w:r>
      <w:r>
        <w:rPr>
          <w:rFonts w:ascii="Georgia" w:hAnsi="Georgia"/>
          <w:bCs/>
          <w:sz w:val="20"/>
          <w:szCs w:val="24"/>
          <w:lang w:val="lt-LT"/>
        </w:rPr>
        <w:t xml:space="preserve"> </w:t>
      </w:r>
      <w:r w:rsidRPr="00060981">
        <w:rPr>
          <w:rFonts w:ascii="Georgia" w:hAnsi="Georgia"/>
          <w:bCs/>
          <w:sz w:val="20"/>
          <w:szCs w:val="24"/>
          <w:lang w:val="lt-LT"/>
        </w:rPr>
        <w:t xml:space="preserve">kai </w:t>
      </w:r>
      <w:r w:rsidR="00561CE4">
        <w:rPr>
          <w:rFonts w:ascii="Georgia" w:hAnsi="Georgia" w:cs="Georgia"/>
          <w:sz w:val="20"/>
          <w:szCs w:val="20"/>
          <w:lang w:val="lt-LT"/>
        </w:rPr>
        <w:t>centrinės valdžios</w:t>
      </w:r>
      <w:r w:rsidRPr="00F16FF8">
        <w:rPr>
          <w:rFonts w:ascii="Georgia" w:hAnsi="Georgia" w:cs="Georgia"/>
          <w:sz w:val="20"/>
          <w:szCs w:val="20"/>
          <w:lang w:val="lt-LT"/>
        </w:rPr>
        <w:t xml:space="preserve"> pastatų</w:t>
      </w:r>
      <w:r w:rsidR="00561CE4">
        <w:rPr>
          <w:rFonts w:ascii="Georgia" w:hAnsi="Georgia" w:cs="Georgia"/>
          <w:sz w:val="20"/>
          <w:szCs w:val="20"/>
          <w:lang w:val="lt-LT"/>
        </w:rPr>
        <w:t xml:space="preserve"> renovacijos</w:t>
      </w:r>
      <w:r w:rsidRPr="00F16FF8">
        <w:rPr>
          <w:rFonts w:ascii="Georgia" w:hAnsi="Georgia" w:cs="Georgia"/>
          <w:sz w:val="20"/>
          <w:szCs w:val="20"/>
          <w:lang w:val="lt-LT"/>
        </w:rPr>
        <w:t xml:space="preserve"> </w:t>
      </w:r>
      <w:r>
        <w:rPr>
          <w:rFonts w:ascii="Georgia" w:hAnsi="Georgia" w:cs="Georgia"/>
          <w:sz w:val="20"/>
          <w:szCs w:val="20"/>
          <w:lang w:val="lt-LT"/>
        </w:rPr>
        <w:t>poreikis yra lygus įpareigojimui</w:t>
      </w:r>
      <w:r w:rsidR="00561CE4">
        <w:rPr>
          <w:rFonts w:ascii="Georgia" w:hAnsi="Georgia" w:cs="Georgia"/>
          <w:sz w:val="20"/>
          <w:szCs w:val="20"/>
          <w:lang w:val="lt-LT"/>
        </w:rPr>
        <w:t xml:space="preserve"> pagal Energijos efektyvumo direktyvą</w:t>
      </w:r>
      <w:r>
        <w:rPr>
          <w:rFonts w:ascii="Georgia" w:hAnsi="Georgia" w:cs="Georgia"/>
          <w:sz w:val="20"/>
          <w:szCs w:val="20"/>
          <w:lang w:val="lt-LT"/>
        </w:rPr>
        <w:t xml:space="preserve"> (</w:t>
      </w:r>
      <w:r>
        <w:rPr>
          <w:rFonts w:ascii="Georgia" w:hAnsi="Georgia"/>
          <w:bCs/>
          <w:sz w:val="20"/>
          <w:szCs w:val="24"/>
          <w:lang w:val="lt-LT"/>
        </w:rPr>
        <w:t>skaičiuojant faktinių dydžių metodu).</w:t>
      </w:r>
      <w:r w:rsidR="00BC67D3">
        <w:rPr>
          <w:rFonts w:ascii="Georgia" w:hAnsi="Georgia"/>
          <w:bCs/>
          <w:sz w:val="20"/>
          <w:szCs w:val="24"/>
          <w:lang w:val="lt-LT"/>
        </w:rPr>
        <w:t xml:space="preserve"> Lentelės skiltyje „Informacijos šaltinis, pagrindimas“ esantys skaičiai formulėse nurodo, iš kokių lentelės eilučių imami skaičiai apskaičiuo</w:t>
      </w:r>
      <w:r w:rsidR="003A6D60">
        <w:rPr>
          <w:rFonts w:ascii="Georgia" w:hAnsi="Georgia"/>
          <w:bCs/>
          <w:sz w:val="20"/>
          <w:szCs w:val="24"/>
          <w:lang w:val="lt-LT"/>
        </w:rPr>
        <w:t>jant</w:t>
      </w:r>
      <w:r w:rsidR="00BC67D3">
        <w:rPr>
          <w:rFonts w:ascii="Georgia" w:hAnsi="Georgia"/>
          <w:bCs/>
          <w:sz w:val="20"/>
          <w:szCs w:val="24"/>
          <w:lang w:val="lt-LT"/>
        </w:rPr>
        <w:t xml:space="preserve"> siektiną rodiklį.</w:t>
      </w:r>
    </w:p>
    <w:p w14:paraId="44A50769" w14:textId="77777777" w:rsidR="007A24E0" w:rsidRDefault="007A24E0" w:rsidP="007A24E0">
      <w:pPr>
        <w:autoSpaceDE w:val="0"/>
        <w:autoSpaceDN w:val="0"/>
        <w:adjustRightInd w:val="0"/>
        <w:spacing w:after="0"/>
        <w:jc w:val="both"/>
        <w:rPr>
          <w:rFonts w:ascii="Georgia" w:hAnsi="Georgia" w:cs="Georgia"/>
          <w:sz w:val="20"/>
          <w:szCs w:val="20"/>
          <w:lang w:val="lt-LT"/>
        </w:rPr>
      </w:pPr>
    </w:p>
    <w:p w14:paraId="0A1A13A6" w14:textId="1AF6B78F" w:rsidR="007A24E0" w:rsidRPr="00386440" w:rsidRDefault="007A24E0" w:rsidP="007A24E0">
      <w:pPr>
        <w:pStyle w:val="Antrat"/>
        <w:jc w:val="both"/>
      </w:pPr>
      <w:bookmarkStart w:id="43" w:name="_Ref399516185"/>
      <w:bookmarkStart w:id="44" w:name="_Toc460321592"/>
      <w:r w:rsidRPr="00DB35BF">
        <w:rPr>
          <w:lang w:val="lt-LT"/>
        </w:rPr>
        <w:t xml:space="preserve">Lentelė </w:t>
      </w:r>
      <w:r w:rsidRPr="00DB35BF">
        <w:rPr>
          <w:lang w:val="lt-LT"/>
        </w:rPr>
        <w:fldChar w:fldCharType="begin"/>
      </w:r>
      <w:r w:rsidRPr="00DB35BF">
        <w:rPr>
          <w:lang w:val="lt-LT"/>
        </w:rPr>
        <w:instrText xml:space="preserve"> SEQ Lentelė \* ARABIC </w:instrText>
      </w:r>
      <w:r w:rsidRPr="00DB35BF">
        <w:rPr>
          <w:lang w:val="lt-LT"/>
        </w:rPr>
        <w:fldChar w:fldCharType="separate"/>
      </w:r>
      <w:r w:rsidR="00AA3082">
        <w:rPr>
          <w:noProof/>
          <w:lang w:val="lt-LT"/>
        </w:rPr>
        <w:t>11</w:t>
      </w:r>
      <w:r w:rsidRPr="00DB35BF">
        <w:rPr>
          <w:lang w:val="lt-LT"/>
        </w:rPr>
        <w:fldChar w:fldCharType="end"/>
      </w:r>
      <w:bookmarkEnd w:id="43"/>
      <w:r w:rsidRPr="00DB35BF">
        <w:rPr>
          <w:lang w:val="lt-LT"/>
        </w:rPr>
        <w:t>. Viešųjų pastatų p</w:t>
      </w:r>
      <w:r w:rsidRPr="00060981">
        <w:rPr>
          <w:rFonts w:cs="Georgia"/>
          <w:szCs w:val="20"/>
          <w:lang w:val="lt-LT"/>
        </w:rPr>
        <w:t>aklausos skaičiavimo prielaidos ir paklausos rodiklių</w:t>
      </w:r>
      <w:r>
        <w:rPr>
          <w:rFonts w:cs="Georgia"/>
          <w:szCs w:val="20"/>
          <w:lang w:val="lt-LT"/>
        </w:rPr>
        <w:t xml:space="preserve"> skaičiavimas, kai </w:t>
      </w:r>
      <w:r w:rsidR="00561CE4">
        <w:rPr>
          <w:rFonts w:cs="Georgia"/>
          <w:szCs w:val="20"/>
          <w:lang w:val="lt-LT"/>
        </w:rPr>
        <w:t>centrinės valdžios</w:t>
      </w:r>
      <w:r>
        <w:rPr>
          <w:rFonts w:cs="Georgia"/>
          <w:szCs w:val="20"/>
          <w:lang w:val="lt-LT"/>
        </w:rPr>
        <w:t xml:space="preserve"> renovuojamų pastatų kiekis atitinka (neviršija) Energijos efektyvumo direktyvos įsipareigojim</w:t>
      </w:r>
      <w:r w:rsidR="00561CE4">
        <w:rPr>
          <w:rFonts w:cs="Georgia"/>
          <w:szCs w:val="20"/>
          <w:lang w:val="lt-LT"/>
        </w:rPr>
        <w:t>us</w:t>
      </w:r>
      <w:r>
        <w:rPr>
          <w:rFonts w:cs="Georgia"/>
          <w:szCs w:val="20"/>
          <w:lang w:val="lt-LT"/>
        </w:rPr>
        <w:t xml:space="preserve"> (skaičiuojant faktinių dydžių metodu)</w:t>
      </w:r>
      <w:bookmarkEnd w:id="44"/>
    </w:p>
    <w:tbl>
      <w:tblPr>
        <w:tblStyle w:val="viesussraas2parykinimas"/>
        <w:tblW w:w="5000" w:type="pct"/>
        <w:tblLook w:val="04A0" w:firstRow="1" w:lastRow="0" w:firstColumn="1" w:lastColumn="0" w:noHBand="0" w:noVBand="1"/>
      </w:tblPr>
      <w:tblGrid>
        <w:gridCol w:w="625"/>
        <w:gridCol w:w="3623"/>
        <w:gridCol w:w="1142"/>
        <w:gridCol w:w="3852"/>
      </w:tblGrid>
      <w:tr w:rsidR="007A24E0" w:rsidRPr="00714494" w14:paraId="41AB655D" w14:textId="77777777" w:rsidTr="0071449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8" w:type="pct"/>
          </w:tcPr>
          <w:p w14:paraId="25708C3E" w14:textId="77777777" w:rsidR="007A24E0" w:rsidRPr="00714494" w:rsidRDefault="007A24E0" w:rsidP="007A24E0">
            <w:pPr>
              <w:autoSpaceDE w:val="0"/>
              <w:autoSpaceDN w:val="0"/>
              <w:adjustRightInd w:val="0"/>
              <w:jc w:val="both"/>
              <w:rPr>
                <w:rFonts w:ascii="Georgia" w:hAnsi="Georgia"/>
                <w:bCs w:val="0"/>
                <w:sz w:val="20"/>
                <w:szCs w:val="24"/>
              </w:rPr>
            </w:pPr>
            <w:r w:rsidRPr="00714494">
              <w:rPr>
                <w:rFonts w:ascii="Georgia" w:hAnsi="Georgia"/>
                <w:bCs w:val="0"/>
                <w:sz w:val="20"/>
                <w:szCs w:val="24"/>
              </w:rPr>
              <w:t>Eil.</w:t>
            </w:r>
          </w:p>
          <w:p w14:paraId="69C0DE31" w14:textId="77777777" w:rsidR="007A24E0" w:rsidRPr="00714494" w:rsidRDefault="007A24E0" w:rsidP="007A24E0">
            <w:pPr>
              <w:autoSpaceDE w:val="0"/>
              <w:autoSpaceDN w:val="0"/>
              <w:adjustRightInd w:val="0"/>
              <w:jc w:val="both"/>
              <w:rPr>
                <w:rFonts w:ascii="Georgia" w:hAnsi="Georgia"/>
                <w:bCs w:val="0"/>
                <w:sz w:val="20"/>
                <w:szCs w:val="24"/>
              </w:rPr>
            </w:pPr>
            <w:r w:rsidRPr="00714494">
              <w:rPr>
                <w:rFonts w:ascii="Georgia" w:hAnsi="Georgia"/>
                <w:bCs w:val="0"/>
                <w:sz w:val="20"/>
                <w:szCs w:val="24"/>
              </w:rPr>
              <w:t>Nr.</w:t>
            </w:r>
          </w:p>
        </w:tc>
        <w:tc>
          <w:tcPr>
            <w:tcW w:w="1960" w:type="pct"/>
          </w:tcPr>
          <w:p w14:paraId="2718FC6E" w14:textId="77777777" w:rsidR="007A24E0" w:rsidRPr="00714494" w:rsidRDefault="007A24E0"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sidRPr="00714494">
              <w:rPr>
                <w:rFonts w:ascii="Georgia" w:hAnsi="Georgia"/>
                <w:bCs w:val="0"/>
                <w:sz w:val="20"/>
                <w:szCs w:val="24"/>
              </w:rPr>
              <w:t>Rodiklis</w:t>
            </w:r>
          </w:p>
        </w:tc>
        <w:tc>
          <w:tcPr>
            <w:tcW w:w="618" w:type="pct"/>
          </w:tcPr>
          <w:p w14:paraId="0498E0C1" w14:textId="77777777" w:rsidR="007A24E0" w:rsidRPr="00714494" w:rsidRDefault="007A24E0"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sidRPr="00714494">
              <w:rPr>
                <w:rFonts w:ascii="Georgia" w:hAnsi="Georgia"/>
                <w:bCs w:val="0"/>
                <w:sz w:val="20"/>
                <w:szCs w:val="24"/>
              </w:rPr>
              <w:t>Rodiklio dydis</w:t>
            </w:r>
          </w:p>
        </w:tc>
        <w:tc>
          <w:tcPr>
            <w:tcW w:w="2084" w:type="pct"/>
          </w:tcPr>
          <w:p w14:paraId="77F308F4" w14:textId="77777777" w:rsidR="007A24E0" w:rsidRPr="00714494" w:rsidRDefault="007A24E0"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sidRPr="00714494">
              <w:rPr>
                <w:rFonts w:ascii="Georgia" w:hAnsi="Georgia"/>
                <w:bCs w:val="0"/>
                <w:sz w:val="20"/>
                <w:szCs w:val="24"/>
              </w:rPr>
              <w:t>Informacijos šaltinis, pagrindimas</w:t>
            </w:r>
          </w:p>
        </w:tc>
      </w:tr>
      <w:tr w:rsidR="007A24E0" w14:paraId="0F6E58AC" w14:textId="77777777" w:rsidTr="007144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14:paraId="675C69D7" w14:textId="77777777"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1.</w:t>
            </w:r>
          </w:p>
        </w:tc>
        <w:tc>
          <w:tcPr>
            <w:tcW w:w="1960" w:type="pct"/>
          </w:tcPr>
          <w:p w14:paraId="5F553AC4" w14:textId="77777777"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V</w:t>
            </w:r>
            <w:r w:rsidRPr="006111BD">
              <w:rPr>
                <w:rFonts w:ascii="Georgia" w:hAnsi="Georgia"/>
                <w:bCs/>
                <w:sz w:val="20"/>
                <w:szCs w:val="24"/>
              </w:rPr>
              <w:t>idutinis svertinis metinio šilumos suvartojimo kiekio vidurkis</w:t>
            </w:r>
            <w:r>
              <w:rPr>
                <w:rFonts w:ascii="Georgia" w:hAnsi="Georgia"/>
                <w:bCs/>
                <w:sz w:val="20"/>
                <w:szCs w:val="24"/>
              </w:rPr>
              <w:t>, kWh/m</w:t>
            </w:r>
            <w:r>
              <w:rPr>
                <w:rFonts w:ascii="Georgia" w:hAnsi="Georgia"/>
                <w:bCs/>
                <w:sz w:val="20"/>
                <w:szCs w:val="24"/>
                <w:vertAlign w:val="superscript"/>
              </w:rPr>
              <w:t>2</w:t>
            </w:r>
          </w:p>
        </w:tc>
        <w:tc>
          <w:tcPr>
            <w:tcW w:w="618" w:type="pct"/>
          </w:tcPr>
          <w:p w14:paraId="63BC4CFD" w14:textId="77777777" w:rsidR="007A24E0" w:rsidRDefault="007A24E0" w:rsidP="007A24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210</w:t>
            </w:r>
          </w:p>
        </w:tc>
        <w:tc>
          <w:tcPr>
            <w:tcW w:w="2084" w:type="pct"/>
          </w:tcPr>
          <w:p w14:paraId="49E2734E" w14:textId="77777777"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Remiantis KPMG studijos duomenimis</w:t>
            </w:r>
          </w:p>
        </w:tc>
      </w:tr>
      <w:tr w:rsidR="007A24E0" w14:paraId="0BA24A50" w14:textId="77777777" w:rsidTr="00714494">
        <w:trPr>
          <w:cantSplit/>
        </w:trPr>
        <w:tc>
          <w:tcPr>
            <w:cnfStyle w:val="001000000000" w:firstRow="0" w:lastRow="0" w:firstColumn="1" w:lastColumn="0" w:oddVBand="0" w:evenVBand="0" w:oddHBand="0" w:evenHBand="0" w:firstRowFirstColumn="0" w:firstRowLastColumn="0" w:lastRowFirstColumn="0" w:lastRowLastColumn="0"/>
            <w:tcW w:w="338" w:type="pct"/>
          </w:tcPr>
          <w:p w14:paraId="174C7017" w14:textId="77777777" w:rsidR="007A24E0" w:rsidRDefault="007A24E0" w:rsidP="007A24E0">
            <w:pPr>
              <w:autoSpaceDE w:val="0"/>
              <w:autoSpaceDN w:val="0"/>
              <w:adjustRightInd w:val="0"/>
              <w:jc w:val="both"/>
              <w:rPr>
                <w:rFonts w:ascii="Georgia" w:hAnsi="Georgia" w:cs="Georgia"/>
                <w:sz w:val="20"/>
                <w:szCs w:val="20"/>
              </w:rPr>
            </w:pPr>
            <w:r>
              <w:rPr>
                <w:rFonts w:ascii="Georgia" w:hAnsi="Georgia" w:cs="Georgia"/>
                <w:sz w:val="20"/>
                <w:szCs w:val="20"/>
              </w:rPr>
              <w:t>2.</w:t>
            </w:r>
          </w:p>
        </w:tc>
        <w:tc>
          <w:tcPr>
            <w:tcW w:w="1960" w:type="pct"/>
          </w:tcPr>
          <w:p w14:paraId="6A74DF45" w14:textId="77777777" w:rsidR="007A24E0" w:rsidRDefault="007A24E0" w:rsidP="00E4044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Po renovacijos pastatų energetini</w:t>
            </w:r>
            <w:r w:rsidR="00E40443">
              <w:rPr>
                <w:rFonts w:ascii="Georgia" w:hAnsi="Georgia" w:cs="Georgia"/>
                <w:sz w:val="20"/>
                <w:szCs w:val="20"/>
              </w:rPr>
              <w:t>o</w:t>
            </w:r>
            <w:r>
              <w:rPr>
                <w:rFonts w:ascii="Georgia" w:hAnsi="Georgia" w:cs="Georgia"/>
                <w:sz w:val="20"/>
                <w:szCs w:val="20"/>
              </w:rPr>
              <w:t xml:space="preserve"> naudingumo klasė, ne mažesnė kaip</w:t>
            </w:r>
          </w:p>
        </w:tc>
        <w:tc>
          <w:tcPr>
            <w:tcW w:w="618" w:type="pct"/>
          </w:tcPr>
          <w:p w14:paraId="20A64DC2" w14:textId="77777777" w:rsidR="007A24E0" w:rsidRDefault="007A24E0" w:rsidP="007A24E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C klasė</w:t>
            </w:r>
          </w:p>
        </w:tc>
        <w:tc>
          <w:tcPr>
            <w:tcW w:w="2084" w:type="pct"/>
          </w:tcPr>
          <w:p w14:paraId="2701D056" w14:textId="77777777" w:rsidR="007A24E0" w:rsidRDefault="007A24E0"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Vadovaujantis STR 2.01.09:2012</w:t>
            </w:r>
          </w:p>
        </w:tc>
      </w:tr>
      <w:tr w:rsidR="007A24E0" w14:paraId="15B711E9" w14:textId="77777777" w:rsidTr="007144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14:paraId="6C099515" w14:textId="77777777" w:rsidR="007A24E0" w:rsidRDefault="007A24E0" w:rsidP="007A24E0">
            <w:pPr>
              <w:autoSpaceDE w:val="0"/>
              <w:autoSpaceDN w:val="0"/>
              <w:adjustRightInd w:val="0"/>
              <w:jc w:val="both"/>
              <w:rPr>
                <w:rFonts w:ascii="Georgia" w:hAnsi="Georgia" w:cs="Georgia"/>
                <w:sz w:val="20"/>
                <w:szCs w:val="20"/>
              </w:rPr>
            </w:pPr>
            <w:r>
              <w:rPr>
                <w:rFonts w:ascii="Georgia" w:hAnsi="Georgia" w:cs="Georgia"/>
                <w:sz w:val="20"/>
                <w:szCs w:val="20"/>
              </w:rPr>
              <w:t>3.</w:t>
            </w:r>
          </w:p>
        </w:tc>
        <w:tc>
          <w:tcPr>
            <w:tcW w:w="1960" w:type="pct"/>
          </w:tcPr>
          <w:p w14:paraId="46A94568" w14:textId="77777777"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Po renovacijos pastatų energijos suvartojimas, </w:t>
            </w:r>
            <w:r>
              <w:rPr>
                <w:rFonts w:ascii="Georgia" w:hAnsi="Georgia"/>
                <w:bCs/>
                <w:sz w:val="20"/>
                <w:szCs w:val="24"/>
              </w:rPr>
              <w:t>kWh/m</w:t>
            </w:r>
            <w:r>
              <w:rPr>
                <w:rFonts w:ascii="Georgia" w:hAnsi="Georgia"/>
                <w:bCs/>
                <w:sz w:val="20"/>
                <w:szCs w:val="24"/>
                <w:vertAlign w:val="superscript"/>
              </w:rPr>
              <w:t>2</w:t>
            </w:r>
          </w:p>
        </w:tc>
        <w:tc>
          <w:tcPr>
            <w:tcW w:w="618" w:type="pct"/>
          </w:tcPr>
          <w:p w14:paraId="66D88D82" w14:textId="77777777" w:rsidR="007A24E0" w:rsidRDefault="007A24E0" w:rsidP="007A24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100</w:t>
            </w:r>
          </w:p>
        </w:tc>
        <w:tc>
          <w:tcPr>
            <w:tcW w:w="2084" w:type="pct"/>
          </w:tcPr>
          <w:p w14:paraId="1CB98F31" w14:textId="77777777"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Vadovaujantis STR 2.01.09:2012</w:t>
            </w:r>
          </w:p>
        </w:tc>
      </w:tr>
      <w:tr w:rsidR="007A24E0" w14:paraId="4E71B9F7" w14:textId="77777777" w:rsidTr="00714494">
        <w:trPr>
          <w:cantSplit/>
        </w:trPr>
        <w:tc>
          <w:tcPr>
            <w:cnfStyle w:val="001000000000" w:firstRow="0" w:lastRow="0" w:firstColumn="1" w:lastColumn="0" w:oddVBand="0" w:evenVBand="0" w:oddHBand="0" w:evenHBand="0" w:firstRowFirstColumn="0" w:firstRowLastColumn="0" w:lastRowFirstColumn="0" w:lastRowLastColumn="0"/>
            <w:tcW w:w="338" w:type="pct"/>
          </w:tcPr>
          <w:p w14:paraId="2B36D995" w14:textId="77777777"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4.</w:t>
            </w:r>
          </w:p>
        </w:tc>
        <w:tc>
          <w:tcPr>
            <w:tcW w:w="1960" w:type="pct"/>
          </w:tcPr>
          <w:p w14:paraId="7245FCF9" w14:textId="77777777" w:rsidR="007A24E0" w:rsidRDefault="007A24E0"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V</w:t>
            </w:r>
            <w:r w:rsidRPr="006D6D62">
              <w:rPr>
                <w:rFonts w:ascii="Georgia" w:hAnsi="Georgia"/>
                <w:bCs/>
                <w:sz w:val="20"/>
                <w:szCs w:val="24"/>
              </w:rPr>
              <w:t>iduti</w:t>
            </w:r>
            <w:r w:rsidR="00E40443">
              <w:rPr>
                <w:rFonts w:ascii="Georgia" w:hAnsi="Georgia"/>
                <w:bCs/>
                <w:sz w:val="20"/>
                <w:szCs w:val="24"/>
              </w:rPr>
              <w:t>ni</w:t>
            </w:r>
            <w:r w:rsidRPr="006D6D62">
              <w:rPr>
                <w:rFonts w:ascii="Georgia" w:hAnsi="Georgia"/>
                <w:bCs/>
                <w:sz w:val="20"/>
                <w:szCs w:val="24"/>
              </w:rPr>
              <w:t>s viešojo pastato plotas</w:t>
            </w:r>
            <w:r>
              <w:rPr>
                <w:rFonts w:ascii="Georgia" w:hAnsi="Georgia"/>
                <w:bCs/>
                <w:sz w:val="20"/>
                <w:szCs w:val="24"/>
              </w:rPr>
              <w:t>, m</w:t>
            </w:r>
            <w:r>
              <w:rPr>
                <w:rFonts w:ascii="Georgia" w:hAnsi="Georgia"/>
                <w:bCs/>
                <w:sz w:val="20"/>
                <w:szCs w:val="24"/>
                <w:vertAlign w:val="superscript"/>
              </w:rPr>
              <w:t>2</w:t>
            </w:r>
          </w:p>
        </w:tc>
        <w:tc>
          <w:tcPr>
            <w:tcW w:w="618" w:type="pct"/>
          </w:tcPr>
          <w:p w14:paraId="0206C01E" w14:textId="77777777" w:rsidR="007A24E0" w:rsidRDefault="007A24E0" w:rsidP="007A24E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1127</w:t>
            </w:r>
          </w:p>
        </w:tc>
        <w:tc>
          <w:tcPr>
            <w:tcW w:w="2084" w:type="pct"/>
          </w:tcPr>
          <w:p w14:paraId="5804E27D" w14:textId="77777777" w:rsidR="007A24E0" w:rsidRDefault="007A24E0"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Paskaičiuota 2.1.1. dalyje</w:t>
            </w:r>
          </w:p>
        </w:tc>
      </w:tr>
      <w:tr w:rsidR="007A24E0" w14:paraId="291922EC" w14:textId="77777777" w:rsidTr="007144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14:paraId="7BF8206E" w14:textId="77777777"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5</w:t>
            </w:r>
          </w:p>
        </w:tc>
        <w:tc>
          <w:tcPr>
            <w:tcW w:w="1960" w:type="pct"/>
          </w:tcPr>
          <w:p w14:paraId="790104C8" w14:textId="77777777"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Bendras viešųjų pastatų metinis sutaupymas, GWh</w:t>
            </w:r>
          </w:p>
        </w:tc>
        <w:tc>
          <w:tcPr>
            <w:tcW w:w="618" w:type="pct"/>
          </w:tcPr>
          <w:p w14:paraId="3721715B" w14:textId="77777777" w:rsidR="007A24E0" w:rsidRDefault="007A24E0" w:rsidP="007A24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36,6</w:t>
            </w:r>
          </w:p>
        </w:tc>
        <w:tc>
          <w:tcPr>
            <w:tcW w:w="2084" w:type="pct"/>
          </w:tcPr>
          <w:p w14:paraId="19067DE9" w14:textId="77777777"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Paskaičiuota 2.2.1. dalyje</w:t>
            </w:r>
          </w:p>
        </w:tc>
      </w:tr>
      <w:tr w:rsidR="00121072" w14:paraId="6D0746FE" w14:textId="77777777" w:rsidTr="00714494">
        <w:trPr>
          <w:cantSplit/>
        </w:trPr>
        <w:tc>
          <w:tcPr>
            <w:cnfStyle w:val="001000000000" w:firstRow="0" w:lastRow="0" w:firstColumn="1" w:lastColumn="0" w:oddVBand="0" w:evenVBand="0" w:oddHBand="0" w:evenHBand="0" w:firstRowFirstColumn="0" w:firstRowLastColumn="0" w:lastRowFirstColumn="0" w:lastRowLastColumn="0"/>
            <w:tcW w:w="338" w:type="pct"/>
          </w:tcPr>
          <w:p w14:paraId="445D71F4" w14:textId="77777777" w:rsidR="00121072" w:rsidRDefault="00121072" w:rsidP="007A24E0">
            <w:pPr>
              <w:autoSpaceDE w:val="0"/>
              <w:autoSpaceDN w:val="0"/>
              <w:adjustRightInd w:val="0"/>
              <w:jc w:val="both"/>
              <w:rPr>
                <w:rFonts w:ascii="Georgia" w:hAnsi="Georgia"/>
                <w:bCs w:val="0"/>
                <w:sz w:val="20"/>
                <w:szCs w:val="24"/>
              </w:rPr>
            </w:pPr>
            <w:r>
              <w:rPr>
                <w:rFonts w:ascii="Georgia" w:hAnsi="Georgia"/>
                <w:bCs w:val="0"/>
                <w:sz w:val="20"/>
                <w:szCs w:val="24"/>
              </w:rPr>
              <w:t>6.</w:t>
            </w:r>
          </w:p>
        </w:tc>
        <w:tc>
          <w:tcPr>
            <w:tcW w:w="1960" w:type="pct"/>
          </w:tcPr>
          <w:p w14:paraId="4FE97CA6" w14:textId="77777777" w:rsidR="00121072" w:rsidRDefault="00121072"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Tipinio viešojo renovuoto pastato sutaupymai, GWh</w:t>
            </w:r>
            <w:r w:rsidDel="005C3D5D">
              <w:rPr>
                <w:rFonts w:ascii="Georgia" w:hAnsi="Georgia"/>
                <w:bCs/>
                <w:sz w:val="20"/>
                <w:szCs w:val="24"/>
              </w:rPr>
              <w:t xml:space="preserve"> </w:t>
            </w:r>
            <w:r>
              <w:rPr>
                <w:rFonts w:ascii="Georgia" w:hAnsi="Georgia"/>
                <w:bCs/>
                <w:sz w:val="20"/>
                <w:szCs w:val="24"/>
              </w:rPr>
              <w:t>per metus</w:t>
            </w:r>
          </w:p>
        </w:tc>
        <w:tc>
          <w:tcPr>
            <w:tcW w:w="618" w:type="pct"/>
          </w:tcPr>
          <w:p w14:paraId="4B5FD26E" w14:textId="77777777" w:rsidR="00121072" w:rsidRDefault="00121072" w:rsidP="007A24E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0,124</w:t>
            </w:r>
          </w:p>
        </w:tc>
        <w:tc>
          <w:tcPr>
            <w:tcW w:w="2084" w:type="pct"/>
          </w:tcPr>
          <w:p w14:paraId="3618B5E8" w14:textId="77777777" w:rsidR="00121072" w:rsidRDefault="00121072"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( 1 – 3 ) x 4</w:t>
            </w:r>
          </w:p>
        </w:tc>
      </w:tr>
      <w:tr w:rsidR="007A24E0" w14:paraId="2C7BA0E8" w14:textId="77777777" w:rsidTr="007144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14:paraId="4B3B6393" w14:textId="77777777"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7.</w:t>
            </w:r>
          </w:p>
        </w:tc>
        <w:tc>
          <w:tcPr>
            <w:tcW w:w="1960" w:type="pct"/>
          </w:tcPr>
          <w:p w14:paraId="4067EE6C" w14:textId="77777777"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Bendras renovuotinų viešųjų pastatų kiekis per metus, vnt.</w:t>
            </w:r>
          </w:p>
        </w:tc>
        <w:tc>
          <w:tcPr>
            <w:tcW w:w="618" w:type="pct"/>
          </w:tcPr>
          <w:p w14:paraId="6E326DEA" w14:textId="77777777" w:rsidR="007A24E0" w:rsidRDefault="007A24E0" w:rsidP="007A24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295</w:t>
            </w:r>
          </w:p>
        </w:tc>
        <w:tc>
          <w:tcPr>
            <w:tcW w:w="2084" w:type="pct"/>
          </w:tcPr>
          <w:p w14:paraId="1FAF8B31" w14:textId="77777777"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5 / 6</w:t>
            </w:r>
          </w:p>
        </w:tc>
      </w:tr>
      <w:tr w:rsidR="007A24E0" w14:paraId="312C0A7B" w14:textId="77777777" w:rsidTr="00714494">
        <w:trPr>
          <w:cantSplit/>
        </w:trPr>
        <w:tc>
          <w:tcPr>
            <w:cnfStyle w:val="001000000000" w:firstRow="0" w:lastRow="0" w:firstColumn="1" w:lastColumn="0" w:oddVBand="0" w:evenVBand="0" w:oddHBand="0" w:evenHBand="0" w:firstRowFirstColumn="0" w:firstRowLastColumn="0" w:lastRowFirstColumn="0" w:lastRowLastColumn="0"/>
            <w:tcW w:w="338" w:type="pct"/>
          </w:tcPr>
          <w:p w14:paraId="1DD8B069" w14:textId="77777777"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8.</w:t>
            </w:r>
          </w:p>
        </w:tc>
        <w:tc>
          <w:tcPr>
            <w:tcW w:w="1960" w:type="pct"/>
          </w:tcPr>
          <w:p w14:paraId="1CF4749A" w14:textId="77777777" w:rsidR="007A24E0" w:rsidRDefault="007A24E0" w:rsidP="00E4044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bCs/>
                <w:sz w:val="20"/>
                <w:szCs w:val="24"/>
              </w:rPr>
              <w:t xml:space="preserve">Bendras renovuotinų viešųjų pastatų plotas per 2014-2020 </w:t>
            </w:r>
            <w:r w:rsidR="00E40443">
              <w:rPr>
                <w:rFonts w:ascii="Georgia" w:hAnsi="Georgia"/>
                <w:bCs/>
                <w:sz w:val="20"/>
                <w:szCs w:val="24"/>
              </w:rPr>
              <w:t>m.</w:t>
            </w:r>
            <w:r>
              <w:rPr>
                <w:rFonts w:ascii="Georgia" w:hAnsi="Georgia"/>
                <w:bCs/>
                <w:sz w:val="20"/>
                <w:szCs w:val="24"/>
              </w:rPr>
              <w:t xml:space="preserve"> </w:t>
            </w:r>
            <w:r w:rsidR="00E40443">
              <w:rPr>
                <w:rFonts w:ascii="Georgia" w:hAnsi="Georgia"/>
                <w:bCs/>
                <w:sz w:val="20"/>
                <w:szCs w:val="24"/>
              </w:rPr>
              <w:t>periodą</w:t>
            </w:r>
            <w:r>
              <w:rPr>
                <w:rFonts w:ascii="Georgia" w:hAnsi="Georgia"/>
                <w:bCs/>
                <w:sz w:val="20"/>
                <w:szCs w:val="24"/>
              </w:rPr>
              <w:t xml:space="preserve">, </w:t>
            </w:r>
            <w:r>
              <w:rPr>
                <w:rFonts w:ascii="Georgia" w:hAnsi="Georgia" w:cs="Georgia"/>
                <w:sz w:val="20"/>
                <w:szCs w:val="20"/>
              </w:rPr>
              <w:t xml:space="preserve">tūkst. </w:t>
            </w:r>
            <w:r>
              <w:rPr>
                <w:rFonts w:ascii="Georgia" w:hAnsi="Georgia"/>
                <w:bCs/>
                <w:sz w:val="20"/>
                <w:szCs w:val="24"/>
              </w:rPr>
              <w:t>m</w:t>
            </w:r>
            <w:r>
              <w:rPr>
                <w:rFonts w:ascii="Georgia" w:hAnsi="Georgia"/>
                <w:bCs/>
                <w:sz w:val="20"/>
                <w:szCs w:val="24"/>
                <w:vertAlign w:val="superscript"/>
              </w:rPr>
              <w:t>2</w:t>
            </w:r>
          </w:p>
        </w:tc>
        <w:tc>
          <w:tcPr>
            <w:tcW w:w="618" w:type="pct"/>
          </w:tcPr>
          <w:p w14:paraId="692A0438" w14:textId="77777777" w:rsidR="007A24E0" w:rsidRDefault="007A24E0" w:rsidP="007A24E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1994</w:t>
            </w:r>
          </w:p>
        </w:tc>
        <w:tc>
          <w:tcPr>
            <w:tcW w:w="2084" w:type="pct"/>
          </w:tcPr>
          <w:p w14:paraId="0BF0D51A" w14:textId="77777777" w:rsidR="007A24E0" w:rsidRDefault="007A24E0"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4 x 7 x [6 metai]</w:t>
            </w:r>
          </w:p>
        </w:tc>
      </w:tr>
      <w:tr w:rsidR="007A24E0" w14:paraId="7B04A2F5" w14:textId="77777777" w:rsidTr="007144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14:paraId="019AE7D4" w14:textId="77777777"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9.</w:t>
            </w:r>
          </w:p>
        </w:tc>
        <w:tc>
          <w:tcPr>
            <w:tcW w:w="1960" w:type="pct"/>
          </w:tcPr>
          <w:p w14:paraId="2EBC6D02" w14:textId="77777777" w:rsidR="007A24E0" w:rsidRDefault="007A24E0" w:rsidP="00E4044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Renovuotinas </w:t>
            </w:r>
            <w:r w:rsidR="00E40443">
              <w:rPr>
                <w:rFonts w:ascii="Georgia" w:hAnsi="Georgia" w:cs="Georgia"/>
                <w:sz w:val="20"/>
                <w:szCs w:val="20"/>
              </w:rPr>
              <w:t>centrinės valdžios</w:t>
            </w:r>
            <w:r>
              <w:rPr>
                <w:rFonts w:ascii="Georgia" w:hAnsi="Georgia" w:cs="Georgia"/>
                <w:sz w:val="20"/>
                <w:szCs w:val="20"/>
              </w:rPr>
              <w:t xml:space="preserve"> pastatų plotas per </w:t>
            </w:r>
            <w:r>
              <w:rPr>
                <w:rFonts w:ascii="Georgia" w:hAnsi="Georgia"/>
                <w:bCs/>
                <w:sz w:val="20"/>
                <w:szCs w:val="24"/>
              </w:rPr>
              <w:t xml:space="preserve">2014-2020 </w:t>
            </w:r>
            <w:r w:rsidR="00E40443">
              <w:rPr>
                <w:rFonts w:ascii="Georgia" w:hAnsi="Georgia"/>
                <w:bCs/>
                <w:sz w:val="20"/>
                <w:szCs w:val="24"/>
              </w:rPr>
              <w:t>m. periodą</w:t>
            </w:r>
            <w:r>
              <w:rPr>
                <w:rFonts w:ascii="Georgia" w:hAnsi="Georgia"/>
                <w:bCs/>
                <w:sz w:val="20"/>
                <w:szCs w:val="24"/>
              </w:rPr>
              <w:t xml:space="preserve">, </w:t>
            </w:r>
            <w:r>
              <w:rPr>
                <w:rFonts w:ascii="Georgia" w:hAnsi="Georgia" w:cs="Georgia"/>
                <w:sz w:val="20"/>
                <w:szCs w:val="20"/>
              </w:rPr>
              <w:t xml:space="preserve">tūkst. </w:t>
            </w:r>
            <w:r>
              <w:rPr>
                <w:rFonts w:ascii="Georgia" w:hAnsi="Georgia"/>
                <w:bCs/>
                <w:sz w:val="20"/>
                <w:szCs w:val="24"/>
              </w:rPr>
              <w:t>m</w:t>
            </w:r>
            <w:r>
              <w:rPr>
                <w:rFonts w:ascii="Georgia" w:hAnsi="Georgia"/>
                <w:bCs/>
                <w:sz w:val="20"/>
                <w:szCs w:val="24"/>
                <w:vertAlign w:val="superscript"/>
              </w:rPr>
              <w:t>2</w:t>
            </w:r>
          </w:p>
        </w:tc>
        <w:tc>
          <w:tcPr>
            <w:tcW w:w="618" w:type="pct"/>
          </w:tcPr>
          <w:p w14:paraId="0DAEBA07" w14:textId="77777777" w:rsidR="007A24E0" w:rsidRDefault="007A24E0" w:rsidP="007A24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515,9</w:t>
            </w:r>
          </w:p>
        </w:tc>
        <w:tc>
          <w:tcPr>
            <w:tcW w:w="2084" w:type="pct"/>
          </w:tcPr>
          <w:p w14:paraId="0323446C" w14:textId="77777777"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KPMG studijoje atliktais skaičiavimais, 3% renovuotinų valstybės nuosavybės teise valdomų pastatų plotas sudaro 66,7 tūkst. m</w:t>
            </w:r>
            <w:r>
              <w:rPr>
                <w:rFonts w:ascii="Georgia" w:hAnsi="Georgia" w:cs="Georgia"/>
                <w:sz w:val="20"/>
                <w:szCs w:val="20"/>
                <w:vertAlign w:val="superscript"/>
              </w:rPr>
              <w:t xml:space="preserve">2 </w:t>
            </w:r>
            <w:r>
              <w:rPr>
                <w:rFonts w:ascii="Georgia" w:hAnsi="Georgia" w:cs="Georgia"/>
                <w:sz w:val="20"/>
                <w:szCs w:val="20"/>
              </w:rPr>
              <w:t>per metus. Energetikos ministerijos vertinimu papildomų pastatų renovacijos poreikis pastatams nuo 250 iki 500 m</w:t>
            </w:r>
            <w:r>
              <w:rPr>
                <w:rFonts w:ascii="Georgia" w:hAnsi="Georgia" w:cs="Georgia"/>
                <w:sz w:val="20"/>
                <w:szCs w:val="20"/>
                <w:vertAlign w:val="superscript"/>
              </w:rPr>
              <w:t>2</w:t>
            </w:r>
            <w:r>
              <w:rPr>
                <w:rFonts w:ascii="Georgia" w:hAnsi="Georgia" w:cs="Georgia"/>
                <w:sz w:val="20"/>
                <w:szCs w:val="20"/>
              </w:rPr>
              <w:t xml:space="preserve"> gali sudaryti apie 7000 m</w:t>
            </w:r>
            <w:r>
              <w:rPr>
                <w:rFonts w:ascii="Georgia" w:hAnsi="Georgia" w:cs="Georgia"/>
                <w:sz w:val="20"/>
                <w:szCs w:val="20"/>
                <w:vertAlign w:val="superscript"/>
              </w:rPr>
              <w:t xml:space="preserve">2 </w:t>
            </w:r>
            <w:r>
              <w:rPr>
                <w:rFonts w:ascii="Georgia" w:hAnsi="Georgia" w:cs="Georgia"/>
                <w:sz w:val="20"/>
                <w:szCs w:val="20"/>
              </w:rPr>
              <w:t>per metus. Todėl bendras plotas – (66,7+7)x[6 metai]</w:t>
            </w:r>
          </w:p>
        </w:tc>
      </w:tr>
      <w:tr w:rsidR="007A24E0" w14:paraId="2A09EF25" w14:textId="77777777" w:rsidTr="00714494">
        <w:trPr>
          <w:cantSplit/>
        </w:trPr>
        <w:tc>
          <w:tcPr>
            <w:cnfStyle w:val="001000000000" w:firstRow="0" w:lastRow="0" w:firstColumn="1" w:lastColumn="0" w:oddVBand="0" w:evenVBand="0" w:oddHBand="0" w:evenHBand="0" w:firstRowFirstColumn="0" w:firstRowLastColumn="0" w:lastRowFirstColumn="0" w:lastRowLastColumn="0"/>
            <w:tcW w:w="338" w:type="pct"/>
          </w:tcPr>
          <w:p w14:paraId="7BEC90A5" w14:textId="77777777"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11.</w:t>
            </w:r>
          </w:p>
        </w:tc>
        <w:tc>
          <w:tcPr>
            <w:tcW w:w="1960" w:type="pct"/>
          </w:tcPr>
          <w:p w14:paraId="3D75F803" w14:textId="77777777" w:rsidR="007A24E0" w:rsidRDefault="007A24E0" w:rsidP="00E4044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Renovuotinas savivaldybių </w:t>
            </w:r>
            <w:r w:rsidR="00E40443">
              <w:rPr>
                <w:rFonts w:ascii="Georgia" w:hAnsi="Georgia" w:cs="Georgia"/>
                <w:sz w:val="20"/>
                <w:szCs w:val="20"/>
              </w:rPr>
              <w:t>viešųjų</w:t>
            </w:r>
            <w:r>
              <w:rPr>
                <w:rFonts w:ascii="Georgia" w:hAnsi="Georgia" w:cs="Georgia"/>
                <w:sz w:val="20"/>
                <w:szCs w:val="20"/>
              </w:rPr>
              <w:t xml:space="preserve"> pastatų plotas per </w:t>
            </w:r>
            <w:r>
              <w:rPr>
                <w:rFonts w:ascii="Georgia" w:hAnsi="Georgia"/>
                <w:bCs/>
                <w:sz w:val="20"/>
                <w:szCs w:val="24"/>
              </w:rPr>
              <w:t xml:space="preserve">2014-2020 </w:t>
            </w:r>
            <w:r w:rsidR="00E40443">
              <w:rPr>
                <w:rFonts w:ascii="Georgia" w:hAnsi="Georgia"/>
                <w:bCs/>
                <w:sz w:val="20"/>
                <w:szCs w:val="24"/>
              </w:rPr>
              <w:t>m. periodą</w:t>
            </w:r>
            <w:r>
              <w:rPr>
                <w:rFonts w:ascii="Georgia" w:hAnsi="Georgia"/>
                <w:bCs/>
                <w:sz w:val="20"/>
                <w:szCs w:val="24"/>
              </w:rPr>
              <w:t xml:space="preserve">, </w:t>
            </w:r>
            <w:r>
              <w:rPr>
                <w:rFonts w:ascii="Georgia" w:hAnsi="Georgia" w:cs="Georgia"/>
                <w:sz w:val="20"/>
                <w:szCs w:val="20"/>
              </w:rPr>
              <w:t xml:space="preserve">tūkst. </w:t>
            </w:r>
            <w:r>
              <w:rPr>
                <w:rFonts w:ascii="Georgia" w:hAnsi="Georgia"/>
                <w:bCs/>
                <w:sz w:val="20"/>
                <w:szCs w:val="24"/>
              </w:rPr>
              <w:t>m</w:t>
            </w:r>
            <w:r>
              <w:rPr>
                <w:rFonts w:ascii="Georgia" w:hAnsi="Georgia"/>
                <w:bCs/>
                <w:sz w:val="20"/>
                <w:szCs w:val="24"/>
                <w:vertAlign w:val="superscript"/>
              </w:rPr>
              <w:t>2</w:t>
            </w:r>
          </w:p>
        </w:tc>
        <w:tc>
          <w:tcPr>
            <w:tcW w:w="618" w:type="pct"/>
          </w:tcPr>
          <w:p w14:paraId="71B85E7B" w14:textId="77777777" w:rsidR="007A24E0" w:rsidRDefault="007A24E0" w:rsidP="007A24E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1478</w:t>
            </w:r>
          </w:p>
        </w:tc>
        <w:tc>
          <w:tcPr>
            <w:tcW w:w="2084" w:type="pct"/>
          </w:tcPr>
          <w:p w14:paraId="490D9B41" w14:textId="34459796" w:rsidR="007A24E0" w:rsidRDefault="007A24E0"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 xml:space="preserve">8 </w:t>
            </w:r>
            <w:r w:rsidR="00D611FE">
              <w:rPr>
                <w:rFonts w:ascii="Georgia" w:hAnsi="Georgia"/>
                <w:bCs/>
                <w:sz w:val="20"/>
                <w:szCs w:val="24"/>
              </w:rPr>
              <w:t>–</w:t>
            </w:r>
            <w:r>
              <w:rPr>
                <w:rFonts w:ascii="Georgia" w:hAnsi="Georgia"/>
                <w:bCs/>
                <w:sz w:val="20"/>
                <w:szCs w:val="24"/>
              </w:rPr>
              <w:t xml:space="preserve"> 9</w:t>
            </w:r>
          </w:p>
        </w:tc>
      </w:tr>
      <w:tr w:rsidR="007A24E0" w14:paraId="72F1CF8A" w14:textId="77777777" w:rsidTr="007144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14:paraId="5A2832CF" w14:textId="77777777"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12.</w:t>
            </w:r>
          </w:p>
        </w:tc>
        <w:tc>
          <w:tcPr>
            <w:tcW w:w="1960" w:type="pct"/>
          </w:tcPr>
          <w:p w14:paraId="53321D45" w14:textId="77777777"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Viešojo pastato renovacijos kaštai, EUR/m</w:t>
            </w:r>
            <w:r>
              <w:rPr>
                <w:rFonts w:ascii="Georgia" w:hAnsi="Georgia" w:cs="Georgia"/>
                <w:sz w:val="20"/>
                <w:szCs w:val="20"/>
                <w:vertAlign w:val="superscript"/>
              </w:rPr>
              <w:t>2</w:t>
            </w:r>
            <w:r>
              <w:rPr>
                <w:rFonts w:ascii="Georgia" w:hAnsi="Georgia" w:cs="Georgia"/>
                <w:sz w:val="20"/>
                <w:szCs w:val="20"/>
              </w:rPr>
              <w:t xml:space="preserve"> (Lt/m</w:t>
            </w:r>
            <w:r>
              <w:rPr>
                <w:rFonts w:ascii="Georgia" w:hAnsi="Georgia" w:cs="Georgia"/>
                <w:sz w:val="20"/>
                <w:szCs w:val="20"/>
                <w:vertAlign w:val="superscript"/>
              </w:rPr>
              <w:t>2</w:t>
            </w:r>
            <w:r>
              <w:rPr>
                <w:rFonts w:ascii="Georgia" w:hAnsi="Georgia" w:cs="Georgia"/>
                <w:sz w:val="20"/>
                <w:szCs w:val="20"/>
              </w:rPr>
              <w:t>)</w:t>
            </w:r>
          </w:p>
        </w:tc>
        <w:tc>
          <w:tcPr>
            <w:tcW w:w="618" w:type="pct"/>
          </w:tcPr>
          <w:p w14:paraId="4499B363" w14:textId="77777777" w:rsidR="007A24E0" w:rsidRDefault="007A24E0" w:rsidP="007A24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202,7 (700)</w:t>
            </w:r>
          </w:p>
        </w:tc>
        <w:tc>
          <w:tcPr>
            <w:tcW w:w="2084" w:type="pct"/>
          </w:tcPr>
          <w:p w14:paraId="5783B634" w14:textId="77777777"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Numatyta viešųjų pastatų energinio efektyvumo didinimo programos projekte </w:t>
            </w:r>
          </w:p>
        </w:tc>
      </w:tr>
      <w:tr w:rsidR="007A24E0" w14:paraId="07E39169" w14:textId="77777777" w:rsidTr="00714494">
        <w:trPr>
          <w:cantSplit/>
        </w:trPr>
        <w:tc>
          <w:tcPr>
            <w:cnfStyle w:val="001000000000" w:firstRow="0" w:lastRow="0" w:firstColumn="1" w:lastColumn="0" w:oddVBand="0" w:evenVBand="0" w:oddHBand="0" w:evenHBand="0" w:firstRowFirstColumn="0" w:firstRowLastColumn="0" w:lastRowFirstColumn="0" w:lastRowLastColumn="0"/>
            <w:tcW w:w="338" w:type="pct"/>
          </w:tcPr>
          <w:p w14:paraId="41B3DB7E" w14:textId="77777777" w:rsidR="007A24E0" w:rsidRPr="00DB35BF" w:rsidRDefault="007A24E0" w:rsidP="007A24E0">
            <w:pPr>
              <w:autoSpaceDE w:val="0"/>
              <w:autoSpaceDN w:val="0"/>
              <w:adjustRightInd w:val="0"/>
              <w:jc w:val="both"/>
              <w:rPr>
                <w:rFonts w:ascii="Georgia" w:hAnsi="Georgia"/>
                <w:bCs w:val="0"/>
                <w:sz w:val="20"/>
                <w:szCs w:val="24"/>
                <w:lang w:val="en-US"/>
              </w:rPr>
            </w:pPr>
            <w:r>
              <w:rPr>
                <w:rFonts w:ascii="Georgia" w:hAnsi="Georgia"/>
                <w:bCs w:val="0"/>
                <w:sz w:val="20"/>
                <w:szCs w:val="24"/>
                <w:lang w:val="en-US"/>
              </w:rPr>
              <w:t>13.</w:t>
            </w:r>
          </w:p>
        </w:tc>
        <w:tc>
          <w:tcPr>
            <w:tcW w:w="1960" w:type="pct"/>
          </w:tcPr>
          <w:p w14:paraId="2BF83C14" w14:textId="77777777" w:rsidR="007A24E0" w:rsidRDefault="007A24E0" w:rsidP="00E4044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 xml:space="preserve">Savivaldybių </w:t>
            </w:r>
            <w:r w:rsidR="00E40443">
              <w:rPr>
                <w:rFonts w:ascii="Georgia" w:hAnsi="Georgia" w:cs="Georgia"/>
                <w:sz w:val="20"/>
                <w:szCs w:val="20"/>
              </w:rPr>
              <w:t xml:space="preserve">viešųjų </w:t>
            </w:r>
            <w:r>
              <w:rPr>
                <w:rFonts w:ascii="Georgia" w:hAnsi="Georgia" w:cs="Georgia"/>
                <w:sz w:val="20"/>
                <w:szCs w:val="20"/>
              </w:rPr>
              <w:t>pastatų renovacijos paklausa, mln. EUR (mln. Lt)</w:t>
            </w:r>
          </w:p>
        </w:tc>
        <w:tc>
          <w:tcPr>
            <w:tcW w:w="618" w:type="pct"/>
          </w:tcPr>
          <w:p w14:paraId="6D2593CB" w14:textId="77777777" w:rsidR="007A24E0" w:rsidRDefault="00E40443" w:rsidP="00E4044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299,</w:t>
            </w:r>
            <w:r w:rsidR="007A24E0">
              <w:rPr>
                <w:rFonts w:ascii="Georgia" w:hAnsi="Georgia" w:cs="Georgia"/>
                <w:sz w:val="20"/>
                <w:szCs w:val="20"/>
              </w:rPr>
              <w:t>7 (1034</w:t>
            </w:r>
            <w:r>
              <w:rPr>
                <w:rFonts w:ascii="Georgia" w:hAnsi="Georgia" w:cs="Georgia"/>
                <w:sz w:val="20"/>
                <w:szCs w:val="20"/>
              </w:rPr>
              <w:t>,</w:t>
            </w:r>
            <w:r w:rsidR="007A24E0">
              <w:rPr>
                <w:rFonts w:ascii="Georgia" w:hAnsi="Georgia" w:cs="Georgia"/>
                <w:sz w:val="20"/>
                <w:szCs w:val="20"/>
              </w:rPr>
              <w:t>6)</w:t>
            </w:r>
          </w:p>
        </w:tc>
        <w:tc>
          <w:tcPr>
            <w:tcW w:w="2084" w:type="pct"/>
          </w:tcPr>
          <w:p w14:paraId="55A3CC5B" w14:textId="77777777" w:rsidR="007A24E0" w:rsidRDefault="007A24E0" w:rsidP="007A24E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11 x 12</w:t>
            </w:r>
          </w:p>
        </w:tc>
      </w:tr>
      <w:tr w:rsidR="007A24E0" w14:paraId="59BB474A" w14:textId="77777777" w:rsidTr="007144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14:paraId="404E0E29" w14:textId="77777777" w:rsidR="007A24E0" w:rsidRDefault="007A24E0" w:rsidP="007A24E0">
            <w:pPr>
              <w:autoSpaceDE w:val="0"/>
              <w:autoSpaceDN w:val="0"/>
              <w:adjustRightInd w:val="0"/>
              <w:jc w:val="both"/>
              <w:rPr>
                <w:rFonts w:ascii="Georgia" w:hAnsi="Georgia"/>
                <w:bCs w:val="0"/>
                <w:sz w:val="20"/>
                <w:szCs w:val="24"/>
              </w:rPr>
            </w:pPr>
            <w:r>
              <w:rPr>
                <w:rFonts w:ascii="Georgia" w:hAnsi="Georgia"/>
                <w:bCs w:val="0"/>
                <w:sz w:val="20"/>
                <w:szCs w:val="24"/>
              </w:rPr>
              <w:t>14.</w:t>
            </w:r>
          </w:p>
        </w:tc>
        <w:tc>
          <w:tcPr>
            <w:tcW w:w="1960" w:type="pct"/>
          </w:tcPr>
          <w:p w14:paraId="0D820A66" w14:textId="77777777" w:rsidR="007A24E0" w:rsidRDefault="00E40443" w:rsidP="007F6C5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Centrinės valdžios</w:t>
            </w:r>
            <w:r w:rsidR="007A24E0">
              <w:rPr>
                <w:rFonts w:ascii="Georgia" w:hAnsi="Georgia" w:cs="Georgia"/>
                <w:sz w:val="20"/>
                <w:szCs w:val="20"/>
              </w:rPr>
              <w:t xml:space="preserve"> pastatų renovacijos paklausa, mln. EUR (mln. Lt)</w:t>
            </w:r>
          </w:p>
        </w:tc>
        <w:tc>
          <w:tcPr>
            <w:tcW w:w="618" w:type="pct"/>
          </w:tcPr>
          <w:p w14:paraId="50D593D1" w14:textId="77777777" w:rsidR="007A24E0" w:rsidRDefault="007A24E0" w:rsidP="007A24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104,6 (361,1)</w:t>
            </w:r>
          </w:p>
        </w:tc>
        <w:tc>
          <w:tcPr>
            <w:tcW w:w="2084" w:type="pct"/>
          </w:tcPr>
          <w:p w14:paraId="2C948B93" w14:textId="77777777" w:rsidR="007A24E0" w:rsidRDefault="007A24E0" w:rsidP="007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9 x 12</w:t>
            </w:r>
          </w:p>
        </w:tc>
      </w:tr>
    </w:tbl>
    <w:p w14:paraId="00AAC744" w14:textId="77777777" w:rsidR="007A24E0" w:rsidRDefault="007A24E0" w:rsidP="007A24E0">
      <w:pPr>
        <w:autoSpaceDE w:val="0"/>
        <w:autoSpaceDN w:val="0"/>
        <w:adjustRightInd w:val="0"/>
        <w:spacing w:after="0"/>
        <w:jc w:val="both"/>
        <w:rPr>
          <w:rFonts w:ascii="Georgia" w:hAnsi="Georgia" w:cs="Georgia"/>
          <w:sz w:val="20"/>
          <w:szCs w:val="20"/>
          <w:lang w:val="lt-LT"/>
        </w:rPr>
      </w:pPr>
    </w:p>
    <w:p w14:paraId="32AB25F7" w14:textId="77777777" w:rsidR="007A24E0" w:rsidRPr="00561CE4" w:rsidRDefault="00E40443" w:rsidP="007A24E0">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Š</w:t>
      </w:r>
      <w:r w:rsidR="009D6C03">
        <w:rPr>
          <w:rFonts w:ascii="Georgia" w:hAnsi="Georgia" w:cs="Georgia"/>
          <w:sz w:val="20"/>
          <w:szCs w:val="20"/>
          <w:lang w:val="lt-LT"/>
        </w:rPr>
        <w:t>iuo</w:t>
      </w:r>
      <w:r w:rsidR="009D6C03" w:rsidRPr="00561CE4">
        <w:rPr>
          <w:rFonts w:ascii="Georgia" w:hAnsi="Georgia" w:cs="Georgia"/>
          <w:sz w:val="20"/>
          <w:szCs w:val="20"/>
          <w:lang w:val="lt-LT"/>
        </w:rPr>
        <w:t xml:space="preserve"> </w:t>
      </w:r>
      <w:r w:rsidR="007A24E0" w:rsidRPr="00561CE4">
        <w:rPr>
          <w:rFonts w:ascii="Georgia" w:hAnsi="Georgia" w:cs="Georgia"/>
          <w:sz w:val="20"/>
          <w:szCs w:val="20"/>
          <w:lang w:val="lt-LT"/>
        </w:rPr>
        <w:t xml:space="preserve">atveju, jei bus siekiama renovuoti tiek pastatų, kiek jų privaloma renovuoti </w:t>
      </w:r>
      <w:r>
        <w:rPr>
          <w:rFonts w:ascii="Georgia" w:hAnsi="Georgia" w:cs="Georgia"/>
          <w:sz w:val="20"/>
          <w:szCs w:val="20"/>
          <w:lang w:val="lt-LT"/>
        </w:rPr>
        <w:t xml:space="preserve">tik </w:t>
      </w:r>
      <w:r w:rsidR="007A24E0" w:rsidRPr="00561CE4">
        <w:rPr>
          <w:rFonts w:ascii="Georgia" w:hAnsi="Georgia" w:cs="Georgia"/>
          <w:sz w:val="20"/>
          <w:szCs w:val="20"/>
          <w:lang w:val="lt-LT"/>
        </w:rPr>
        <w:t>pagal Energijos efektyvumo direktyvos įpareigojimus (ne mažiau kaip 3 proc. visų valstybės nuosavybės teise valdomų pastatų), bei norint pasiekti viešųjų pastatų sutaupymo rodi</w:t>
      </w:r>
      <w:r>
        <w:rPr>
          <w:rFonts w:ascii="Georgia" w:hAnsi="Georgia" w:cs="Georgia"/>
          <w:sz w:val="20"/>
          <w:szCs w:val="20"/>
          <w:lang w:val="lt-LT"/>
        </w:rPr>
        <w:t>klius (pagal N</w:t>
      </w:r>
      <w:r w:rsidR="007A24E0" w:rsidRPr="00561CE4">
        <w:rPr>
          <w:rFonts w:ascii="Georgia" w:hAnsi="Georgia" w:cs="Georgia"/>
          <w:sz w:val="20"/>
          <w:szCs w:val="20"/>
          <w:lang w:val="lt-LT"/>
        </w:rPr>
        <w:t>acionalinėje energ</w:t>
      </w:r>
      <w:r>
        <w:rPr>
          <w:rFonts w:ascii="Georgia" w:hAnsi="Georgia" w:cs="Georgia"/>
          <w:sz w:val="20"/>
          <w:szCs w:val="20"/>
          <w:lang w:val="lt-LT"/>
        </w:rPr>
        <w:t>etinė</w:t>
      </w:r>
      <w:r w:rsidR="007A24E0" w:rsidRPr="00561CE4">
        <w:rPr>
          <w:rFonts w:ascii="Georgia" w:hAnsi="Georgia" w:cs="Georgia"/>
          <w:sz w:val="20"/>
          <w:szCs w:val="20"/>
          <w:lang w:val="lt-LT"/>
        </w:rPr>
        <w:t xml:space="preserve">s nepriklausomybės strategijoje suformuotus tikslus) padidės savivaldybių </w:t>
      </w:r>
      <w:r>
        <w:rPr>
          <w:rFonts w:ascii="Georgia" w:hAnsi="Georgia" w:cs="Georgia"/>
          <w:sz w:val="20"/>
          <w:szCs w:val="20"/>
          <w:lang w:val="lt-LT"/>
        </w:rPr>
        <w:t>viešųjų</w:t>
      </w:r>
      <w:r w:rsidR="007A24E0" w:rsidRPr="00561CE4">
        <w:rPr>
          <w:rFonts w:ascii="Georgia" w:hAnsi="Georgia" w:cs="Georgia"/>
          <w:sz w:val="20"/>
          <w:szCs w:val="20"/>
          <w:lang w:val="lt-LT"/>
        </w:rPr>
        <w:t xml:space="preserve"> pastatų renovacijos paklausa iki 1478 tūkst. m</w:t>
      </w:r>
      <w:r w:rsidR="007A24E0" w:rsidRPr="00561CE4">
        <w:rPr>
          <w:rFonts w:ascii="Georgia" w:hAnsi="Georgia" w:cs="Georgia"/>
          <w:sz w:val="20"/>
          <w:szCs w:val="20"/>
          <w:vertAlign w:val="superscript"/>
          <w:lang w:val="lt-LT"/>
        </w:rPr>
        <w:t xml:space="preserve">2 </w:t>
      </w:r>
      <w:r w:rsidR="007A24E0" w:rsidRPr="00561CE4">
        <w:rPr>
          <w:rFonts w:ascii="Georgia" w:hAnsi="Georgia" w:cs="Georgia"/>
          <w:sz w:val="20"/>
          <w:szCs w:val="20"/>
          <w:lang w:val="lt-LT"/>
        </w:rPr>
        <w:t xml:space="preserve"> (lyginant su variantu kai </w:t>
      </w:r>
      <w:r w:rsidR="00561CE4">
        <w:rPr>
          <w:rFonts w:ascii="Georgia" w:hAnsi="Georgia" w:cs="Georgia"/>
          <w:sz w:val="20"/>
          <w:szCs w:val="20"/>
          <w:lang w:val="lt-LT"/>
        </w:rPr>
        <w:t>centrinės valdžios</w:t>
      </w:r>
      <w:r w:rsidR="007A24E0" w:rsidRPr="00561CE4">
        <w:rPr>
          <w:rFonts w:ascii="Georgia" w:hAnsi="Georgia" w:cs="Georgia"/>
          <w:sz w:val="20"/>
          <w:szCs w:val="20"/>
          <w:lang w:val="lt-LT"/>
        </w:rPr>
        <w:t xml:space="preserve"> pastatų ir</w:t>
      </w:r>
      <w:r w:rsidR="007A24E0" w:rsidRPr="00561CE4">
        <w:rPr>
          <w:rFonts w:ascii="Georgia" w:hAnsi="Georgia"/>
          <w:sz w:val="20"/>
          <w:szCs w:val="20"/>
        </w:rPr>
        <w:t xml:space="preserve"> </w:t>
      </w:r>
      <w:r w:rsidR="007A24E0" w:rsidRPr="00561CE4">
        <w:rPr>
          <w:rFonts w:ascii="Georgia" w:hAnsi="Georgia" w:cs="Georgia"/>
          <w:sz w:val="20"/>
          <w:szCs w:val="20"/>
          <w:lang w:val="lt-LT"/>
        </w:rPr>
        <w:t xml:space="preserve">savivaldybių pastatų paklausa paskirstoma proporcingai jų kiekiui) per 2014-2020 m. </w:t>
      </w:r>
      <w:r w:rsidR="00561CE4">
        <w:rPr>
          <w:rFonts w:ascii="Georgia" w:hAnsi="Georgia" w:cs="Georgia"/>
          <w:sz w:val="20"/>
          <w:szCs w:val="20"/>
          <w:lang w:val="lt-LT"/>
        </w:rPr>
        <w:t>periodą</w:t>
      </w:r>
      <w:r w:rsidR="007A24E0" w:rsidRPr="00561CE4">
        <w:rPr>
          <w:rFonts w:ascii="Georgia" w:hAnsi="Georgia" w:cs="Georgia"/>
          <w:sz w:val="20"/>
          <w:szCs w:val="20"/>
          <w:lang w:val="lt-LT"/>
        </w:rPr>
        <w:t xml:space="preserve">. </w:t>
      </w:r>
    </w:p>
    <w:p w14:paraId="6ADC394A" w14:textId="77777777" w:rsidR="007A24E0" w:rsidRDefault="007A24E0" w:rsidP="007A24E0">
      <w:pPr>
        <w:autoSpaceDE w:val="0"/>
        <w:autoSpaceDN w:val="0"/>
        <w:adjustRightInd w:val="0"/>
        <w:spacing w:after="0"/>
        <w:jc w:val="both"/>
        <w:rPr>
          <w:rFonts w:ascii="Georgia" w:hAnsi="Georgia" w:cs="Georgia"/>
          <w:sz w:val="20"/>
          <w:szCs w:val="20"/>
          <w:lang w:val="lt-LT"/>
        </w:rPr>
      </w:pPr>
    </w:p>
    <w:p w14:paraId="1D8EB8F2" w14:textId="77777777" w:rsidR="00561CE4" w:rsidRPr="00320E9D" w:rsidRDefault="00561CE4" w:rsidP="00561CE4">
      <w:pPr>
        <w:pStyle w:val="Sraopastraipa"/>
        <w:keepNext/>
        <w:ind w:left="0"/>
        <w:rPr>
          <w:rFonts w:ascii="Georgia" w:hAnsi="Georgia"/>
          <w:i/>
          <w:sz w:val="24"/>
          <w:szCs w:val="20"/>
          <w:lang w:val="lt-LT"/>
        </w:rPr>
      </w:pPr>
      <w:r w:rsidRPr="00320E9D">
        <w:rPr>
          <w:rFonts w:ascii="Georgia" w:hAnsi="Georgia"/>
          <w:i/>
          <w:sz w:val="24"/>
          <w:szCs w:val="20"/>
          <w:lang w:val="lt-LT"/>
        </w:rPr>
        <w:lastRenderedPageBreak/>
        <w:t>2. Skaičiuotinų sutaupymo dydžių skaičiavimo būdu apskaičiuota viešųjų pastatų modernizavimo paklausa</w:t>
      </w:r>
    </w:p>
    <w:p w14:paraId="0759CABF" w14:textId="77777777" w:rsidR="00561CE4" w:rsidRDefault="00561CE4" w:rsidP="00561CE4">
      <w:pPr>
        <w:autoSpaceDE w:val="0"/>
        <w:autoSpaceDN w:val="0"/>
        <w:adjustRightInd w:val="0"/>
        <w:spacing w:after="0" w:line="240" w:lineRule="auto"/>
        <w:jc w:val="both"/>
        <w:rPr>
          <w:rFonts w:ascii="Georgia" w:hAnsi="Georgia" w:cs="Georgia"/>
          <w:sz w:val="20"/>
          <w:szCs w:val="20"/>
          <w:lang w:val="lt-LT"/>
        </w:rPr>
      </w:pPr>
    </w:p>
    <w:p w14:paraId="1AC3C905" w14:textId="77777777" w:rsidR="00561CE4" w:rsidRDefault="00561CE4" w:rsidP="00561CE4">
      <w:pPr>
        <w:autoSpaceDE w:val="0"/>
        <w:autoSpaceDN w:val="0"/>
        <w:adjustRightInd w:val="0"/>
        <w:spacing w:after="0"/>
        <w:jc w:val="both"/>
        <w:rPr>
          <w:rFonts w:ascii="Georgia" w:hAnsi="Georgia"/>
          <w:bCs/>
          <w:i/>
          <w:sz w:val="20"/>
          <w:szCs w:val="24"/>
          <w:lang w:val="lt-LT"/>
        </w:rPr>
      </w:pPr>
      <w:r w:rsidRPr="00755876">
        <w:rPr>
          <w:rFonts w:ascii="Georgia" w:hAnsi="Georgia"/>
          <w:bCs/>
          <w:i/>
          <w:sz w:val="20"/>
          <w:szCs w:val="24"/>
          <w:lang w:val="lt-LT"/>
        </w:rPr>
        <w:t xml:space="preserve">Paklausos skaičiavimas atsižvelgiant į </w:t>
      </w:r>
      <w:r w:rsidRPr="00121658">
        <w:rPr>
          <w:rFonts w:ascii="Georgia" w:hAnsi="Georgia"/>
          <w:bCs/>
          <w:i/>
          <w:sz w:val="20"/>
          <w:szCs w:val="24"/>
          <w:lang w:val="lt-LT"/>
        </w:rPr>
        <w:t>Nacionalin</w:t>
      </w:r>
      <w:r>
        <w:rPr>
          <w:rFonts w:ascii="Georgia" w:hAnsi="Georgia"/>
          <w:bCs/>
          <w:i/>
          <w:sz w:val="20"/>
          <w:szCs w:val="24"/>
          <w:lang w:val="lt-LT"/>
        </w:rPr>
        <w:t>ėje</w:t>
      </w:r>
      <w:r w:rsidRPr="00121658">
        <w:rPr>
          <w:rFonts w:ascii="Georgia" w:hAnsi="Georgia"/>
          <w:bCs/>
          <w:i/>
          <w:sz w:val="20"/>
          <w:szCs w:val="24"/>
          <w:lang w:val="lt-LT"/>
        </w:rPr>
        <w:t xml:space="preserve"> energi</w:t>
      </w:r>
      <w:r>
        <w:rPr>
          <w:rFonts w:ascii="Georgia" w:hAnsi="Georgia"/>
          <w:bCs/>
          <w:i/>
          <w:sz w:val="20"/>
          <w:szCs w:val="24"/>
          <w:lang w:val="lt-LT"/>
        </w:rPr>
        <w:t>jos nepriklausomybės strategijoje</w:t>
      </w:r>
      <w:r w:rsidRPr="00755876">
        <w:rPr>
          <w:rFonts w:ascii="Georgia" w:hAnsi="Georgia"/>
          <w:bCs/>
          <w:i/>
          <w:sz w:val="20"/>
          <w:szCs w:val="24"/>
          <w:lang w:val="lt-LT"/>
        </w:rPr>
        <w:t xml:space="preserve"> suformuotus tikslus</w:t>
      </w:r>
    </w:p>
    <w:p w14:paraId="6403912B" w14:textId="77777777" w:rsidR="00561CE4" w:rsidRDefault="00561CE4" w:rsidP="00561CE4">
      <w:pPr>
        <w:autoSpaceDE w:val="0"/>
        <w:autoSpaceDN w:val="0"/>
        <w:adjustRightInd w:val="0"/>
        <w:spacing w:after="0"/>
        <w:jc w:val="both"/>
        <w:rPr>
          <w:rFonts w:ascii="Georgia" w:hAnsi="Georgia"/>
          <w:bCs/>
          <w:sz w:val="20"/>
          <w:szCs w:val="24"/>
          <w:lang w:val="lt-LT"/>
        </w:rPr>
      </w:pPr>
    </w:p>
    <w:p w14:paraId="77E4FBFB" w14:textId="77777777" w:rsidR="00561CE4" w:rsidRPr="006F741F" w:rsidRDefault="00590B57" w:rsidP="00561CE4">
      <w:pPr>
        <w:autoSpaceDE w:val="0"/>
        <w:autoSpaceDN w:val="0"/>
        <w:adjustRightInd w:val="0"/>
        <w:spacing w:after="0"/>
        <w:jc w:val="both"/>
        <w:rPr>
          <w:rFonts w:ascii="Georgia" w:hAnsi="Georgia"/>
          <w:bCs/>
          <w:sz w:val="20"/>
          <w:szCs w:val="24"/>
          <w:lang w:val="lt-LT"/>
        </w:rPr>
      </w:pPr>
      <w:r>
        <w:rPr>
          <w:rFonts w:ascii="Georgia" w:hAnsi="Georgia"/>
          <w:bCs/>
          <w:sz w:val="20"/>
          <w:szCs w:val="20"/>
          <w:lang w:val="lt-LT"/>
        </w:rPr>
        <w:t>Sekančioje</w:t>
      </w:r>
      <w:r w:rsidR="009D6C03">
        <w:rPr>
          <w:rFonts w:ascii="Georgia" w:hAnsi="Georgia"/>
          <w:bCs/>
          <w:sz w:val="20"/>
          <w:szCs w:val="20"/>
          <w:lang w:val="lt-LT"/>
        </w:rPr>
        <w:t xml:space="preserve"> lentelėje</w:t>
      </w:r>
      <w:r w:rsidR="00E40443">
        <w:rPr>
          <w:rFonts w:ascii="Georgia" w:hAnsi="Georgia"/>
          <w:bCs/>
          <w:sz w:val="20"/>
          <w:szCs w:val="24"/>
          <w:lang w:val="lt-LT"/>
        </w:rPr>
        <w:t xml:space="preserve"> pateikiamos</w:t>
      </w:r>
      <w:r w:rsidR="00561CE4">
        <w:rPr>
          <w:rFonts w:ascii="Georgia" w:hAnsi="Georgia"/>
          <w:bCs/>
          <w:sz w:val="20"/>
          <w:szCs w:val="24"/>
          <w:lang w:val="lt-LT"/>
        </w:rPr>
        <w:t xml:space="preserve"> prielaidos ir skaičiavimai bei jų pagrindimas skaičiuojant viešųjų pastatų paklausą,  </w:t>
      </w:r>
      <w:r w:rsidR="00561CE4" w:rsidRPr="00060981">
        <w:rPr>
          <w:rFonts w:ascii="Georgia" w:hAnsi="Georgia"/>
          <w:bCs/>
          <w:sz w:val="20"/>
          <w:szCs w:val="24"/>
          <w:lang w:val="lt-LT"/>
        </w:rPr>
        <w:t>kai viešųjų pastatų renovacijos plotas paskaičiuojamas proporcingai</w:t>
      </w:r>
      <w:r w:rsidR="00561CE4">
        <w:rPr>
          <w:rFonts w:ascii="Georgia" w:hAnsi="Georgia"/>
          <w:bCs/>
          <w:sz w:val="20"/>
          <w:szCs w:val="24"/>
          <w:lang w:val="lt-LT"/>
        </w:rPr>
        <w:t xml:space="preserve"> (tarp </w:t>
      </w:r>
      <w:r w:rsidR="00561CE4">
        <w:rPr>
          <w:rFonts w:ascii="Georgia" w:hAnsi="Georgia" w:cs="Georgia"/>
          <w:sz w:val="20"/>
          <w:szCs w:val="20"/>
          <w:lang w:val="lt-LT"/>
        </w:rPr>
        <w:t>centrinės val</w:t>
      </w:r>
      <w:r w:rsidR="007F6C5A">
        <w:rPr>
          <w:rFonts w:ascii="Georgia" w:hAnsi="Georgia" w:cs="Georgia"/>
          <w:sz w:val="20"/>
          <w:szCs w:val="20"/>
          <w:lang w:val="lt-LT"/>
        </w:rPr>
        <w:t>dž</w:t>
      </w:r>
      <w:r w:rsidR="00561CE4">
        <w:rPr>
          <w:rFonts w:ascii="Georgia" w:hAnsi="Georgia" w:cs="Georgia"/>
          <w:sz w:val="20"/>
          <w:szCs w:val="20"/>
          <w:lang w:val="lt-LT"/>
        </w:rPr>
        <w:t>ios</w:t>
      </w:r>
      <w:r w:rsidR="00561CE4" w:rsidRPr="00F16FF8">
        <w:rPr>
          <w:rFonts w:ascii="Georgia" w:hAnsi="Georgia" w:cs="Georgia"/>
          <w:sz w:val="20"/>
          <w:szCs w:val="20"/>
          <w:lang w:val="lt-LT"/>
        </w:rPr>
        <w:t xml:space="preserve"> pastatų </w:t>
      </w:r>
      <w:r w:rsidR="00561CE4">
        <w:rPr>
          <w:rFonts w:ascii="Georgia" w:hAnsi="Georgia" w:cs="Georgia"/>
          <w:sz w:val="20"/>
          <w:szCs w:val="20"/>
          <w:lang w:val="lt-LT"/>
        </w:rPr>
        <w:t>ir</w:t>
      </w:r>
      <w:r w:rsidR="00561CE4" w:rsidRPr="00F16FF8">
        <w:t xml:space="preserve"> </w:t>
      </w:r>
      <w:r w:rsidR="00561CE4">
        <w:rPr>
          <w:rFonts w:ascii="Georgia" w:hAnsi="Georgia" w:cs="Georgia"/>
          <w:sz w:val="20"/>
          <w:szCs w:val="20"/>
          <w:lang w:val="lt-LT"/>
        </w:rPr>
        <w:t>s</w:t>
      </w:r>
      <w:r w:rsidR="00561CE4" w:rsidRPr="00F16FF8">
        <w:rPr>
          <w:rFonts w:ascii="Georgia" w:hAnsi="Georgia" w:cs="Georgia"/>
          <w:sz w:val="20"/>
          <w:szCs w:val="20"/>
          <w:lang w:val="lt-LT"/>
        </w:rPr>
        <w:t xml:space="preserve">avivaldybių </w:t>
      </w:r>
      <w:r w:rsidR="00E40443">
        <w:rPr>
          <w:rFonts w:ascii="Georgia" w:hAnsi="Georgia" w:cs="Georgia"/>
          <w:sz w:val="20"/>
          <w:szCs w:val="20"/>
          <w:lang w:val="lt-LT"/>
        </w:rPr>
        <w:t xml:space="preserve">viešųjų </w:t>
      </w:r>
      <w:r w:rsidR="00561CE4" w:rsidRPr="00F16FF8">
        <w:rPr>
          <w:rFonts w:ascii="Georgia" w:hAnsi="Georgia" w:cs="Georgia"/>
          <w:sz w:val="20"/>
          <w:szCs w:val="20"/>
          <w:lang w:val="lt-LT"/>
        </w:rPr>
        <w:t>pastatų</w:t>
      </w:r>
      <w:r w:rsidR="00561CE4">
        <w:rPr>
          <w:rFonts w:ascii="Georgia" w:hAnsi="Georgia" w:cs="Georgia"/>
          <w:sz w:val="20"/>
          <w:szCs w:val="20"/>
          <w:lang w:val="lt-LT"/>
        </w:rPr>
        <w:t xml:space="preserve"> bendrame jų skaičiuje</w:t>
      </w:r>
      <w:r w:rsidR="00561CE4">
        <w:rPr>
          <w:rFonts w:ascii="Georgia" w:hAnsi="Georgia"/>
          <w:bCs/>
          <w:sz w:val="20"/>
          <w:szCs w:val="24"/>
          <w:lang w:val="lt-LT"/>
        </w:rPr>
        <w:t>) skaičiuojant skaičiuotinų dydžių metodu.</w:t>
      </w:r>
      <w:r w:rsidR="00BC67D3" w:rsidRPr="00BC67D3">
        <w:rPr>
          <w:rFonts w:ascii="Georgia" w:hAnsi="Georgia"/>
          <w:bCs/>
          <w:sz w:val="20"/>
          <w:szCs w:val="24"/>
          <w:lang w:val="lt-LT"/>
        </w:rPr>
        <w:t xml:space="preserve"> </w:t>
      </w:r>
      <w:r w:rsidR="00BC67D3">
        <w:rPr>
          <w:rFonts w:ascii="Georgia" w:hAnsi="Georgia"/>
          <w:bCs/>
          <w:sz w:val="20"/>
          <w:szCs w:val="24"/>
          <w:lang w:val="lt-LT"/>
        </w:rPr>
        <w:t>Lentelės skiltyje „Informacijos šaltinis, pagrindimas“ esantys skaičiai formulėse nurodo, iš kokių lentelės eilučių imami skaičiai apskaičiuo</w:t>
      </w:r>
      <w:r w:rsidR="003A6D60">
        <w:rPr>
          <w:rFonts w:ascii="Georgia" w:hAnsi="Georgia"/>
          <w:bCs/>
          <w:sz w:val="20"/>
          <w:szCs w:val="24"/>
          <w:lang w:val="lt-LT"/>
        </w:rPr>
        <w:t xml:space="preserve">jant </w:t>
      </w:r>
      <w:r w:rsidR="00BC67D3">
        <w:rPr>
          <w:rFonts w:ascii="Georgia" w:hAnsi="Georgia"/>
          <w:bCs/>
          <w:sz w:val="20"/>
          <w:szCs w:val="24"/>
          <w:lang w:val="lt-LT"/>
        </w:rPr>
        <w:t>siektiną rodiklį.</w:t>
      </w:r>
    </w:p>
    <w:p w14:paraId="26A3B276" w14:textId="77777777" w:rsidR="00561CE4" w:rsidRDefault="00561CE4" w:rsidP="00561CE4">
      <w:pPr>
        <w:autoSpaceDE w:val="0"/>
        <w:autoSpaceDN w:val="0"/>
        <w:adjustRightInd w:val="0"/>
        <w:spacing w:after="0"/>
        <w:jc w:val="both"/>
        <w:rPr>
          <w:rFonts w:ascii="Georgia" w:hAnsi="Georgia"/>
          <w:bCs/>
          <w:i/>
          <w:sz w:val="20"/>
          <w:szCs w:val="24"/>
          <w:lang w:val="lt-LT"/>
        </w:rPr>
      </w:pPr>
    </w:p>
    <w:p w14:paraId="71023075" w14:textId="7D12EAF6" w:rsidR="00561CE4" w:rsidRPr="00386440" w:rsidRDefault="00561CE4" w:rsidP="00561CE4">
      <w:pPr>
        <w:pStyle w:val="Antrat"/>
        <w:jc w:val="both"/>
      </w:pPr>
      <w:bookmarkStart w:id="45" w:name="_Ref399517140"/>
      <w:bookmarkStart w:id="46" w:name="_Toc460321593"/>
      <w:r w:rsidRPr="006F741F">
        <w:rPr>
          <w:lang w:val="lt-LT"/>
        </w:rPr>
        <w:t xml:space="preserve">Lentelė </w:t>
      </w:r>
      <w:r w:rsidRPr="006F741F">
        <w:rPr>
          <w:lang w:val="lt-LT"/>
        </w:rPr>
        <w:fldChar w:fldCharType="begin"/>
      </w:r>
      <w:r w:rsidRPr="006F741F">
        <w:rPr>
          <w:lang w:val="lt-LT"/>
        </w:rPr>
        <w:instrText xml:space="preserve"> SEQ Lentelė \* ARABIC </w:instrText>
      </w:r>
      <w:r w:rsidRPr="006F741F">
        <w:rPr>
          <w:lang w:val="lt-LT"/>
        </w:rPr>
        <w:fldChar w:fldCharType="separate"/>
      </w:r>
      <w:r w:rsidR="00AA3082">
        <w:rPr>
          <w:noProof/>
          <w:lang w:val="lt-LT"/>
        </w:rPr>
        <w:t>12</w:t>
      </w:r>
      <w:r w:rsidRPr="006F741F">
        <w:rPr>
          <w:lang w:val="lt-LT"/>
        </w:rPr>
        <w:fldChar w:fldCharType="end"/>
      </w:r>
      <w:bookmarkEnd w:id="45"/>
      <w:r w:rsidRPr="006F741F">
        <w:rPr>
          <w:lang w:val="lt-LT"/>
        </w:rPr>
        <w:t>. Viešųjų pastatų p</w:t>
      </w:r>
      <w:r w:rsidRPr="00D317D7">
        <w:rPr>
          <w:rFonts w:cs="Georgia"/>
          <w:szCs w:val="20"/>
          <w:lang w:val="lt-LT"/>
        </w:rPr>
        <w:t>aklausos skaičiavimo prielaidos ir paklausos rodiklių</w:t>
      </w:r>
      <w:r>
        <w:rPr>
          <w:rFonts w:cs="Georgia"/>
          <w:szCs w:val="20"/>
          <w:lang w:val="lt-LT"/>
        </w:rPr>
        <w:t xml:space="preserve"> skaičiavimas, kai viešųjų pastatų renovacijos plotas paskaičiuojamas proporcingai (skaičiuojant skaičiuotinų dydžių metodu)</w:t>
      </w:r>
      <w:bookmarkEnd w:id="46"/>
    </w:p>
    <w:tbl>
      <w:tblPr>
        <w:tblStyle w:val="viesussraas2parykinimas"/>
        <w:tblW w:w="0" w:type="auto"/>
        <w:tblLook w:val="04A0" w:firstRow="1" w:lastRow="0" w:firstColumn="1" w:lastColumn="0" w:noHBand="0" w:noVBand="1"/>
      </w:tblPr>
      <w:tblGrid>
        <w:gridCol w:w="620"/>
        <w:gridCol w:w="3599"/>
        <w:gridCol w:w="1134"/>
        <w:gridCol w:w="3827"/>
      </w:tblGrid>
      <w:tr w:rsidR="00561CE4" w:rsidRPr="00714494" w14:paraId="2923D77E" w14:textId="77777777" w:rsidTr="00453D8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20" w:type="dxa"/>
          </w:tcPr>
          <w:p w14:paraId="7C09DF4D" w14:textId="77777777" w:rsidR="00561CE4" w:rsidRPr="00714494" w:rsidRDefault="00561CE4" w:rsidP="00A555CA">
            <w:pPr>
              <w:autoSpaceDE w:val="0"/>
              <w:autoSpaceDN w:val="0"/>
              <w:adjustRightInd w:val="0"/>
              <w:jc w:val="both"/>
              <w:rPr>
                <w:rFonts w:ascii="Georgia" w:hAnsi="Georgia"/>
                <w:bCs w:val="0"/>
                <w:sz w:val="20"/>
                <w:szCs w:val="24"/>
              </w:rPr>
            </w:pPr>
            <w:r w:rsidRPr="00714494">
              <w:rPr>
                <w:rFonts w:ascii="Georgia" w:hAnsi="Georgia"/>
                <w:bCs w:val="0"/>
                <w:sz w:val="20"/>
                <w:szCs w:val="24"/>
              </w:rPr>
              <w:t>Eil.</w:t>
            </w:r>
          </w:p>
          <w:p w14:paraId="21C89545" w14:textId="77777777" w:rsidR="00561CE4" w:rsidRPr="00714494" w:rsidRDefault="00561CE4" w:rsidP="00A555CA">
            <w:pPr>
              <w:autoSpaceDE w:val="0"/>
              <w:autoSpaceDN w:val="0"/>
              <w:adjustRightInd w:val="0"/>
              <w:jc w:val="both"/>
              <w:rPr>
                <w:rFonts w:ascii="Georgia" w:hAnsi="Georgia"/>
                <w:bCs w:val="0"/>
                <w:sz w:val="20"/>
                <w:szCs w:val="24"/>
              </w:rPr>
            </w:pPr>
            <w:r w:rsidRPr="00714494">
              <w:rPr>
                <w:rFonts w:ascii="Georgia" w:hAnsi="Georgia"/>
                <w:bCs w:val="0"/>
                <w:sz w:val="20"/>
                <w:szCs w:val="24"/>
              </w:rPr>
              <w:t>Nr.</w:t>
            </w:r>
          </w:p>
        </w:tc>
        <w:tc>
          <w:tcPr>
            <w:tcW w:w="3599" w:type="dxa"/>
          </w:tcPr>
          <w:p w14:paraId="27133B21" w14:textId="77777777" w:rsidR="00561CE4" w:rsidRPr="00714494" w:rsidRDefault="00561CE4"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sidRPr="00714494">
              <w:rPr>
                <w:rFonts w:ascii="Georgia" w:hAnsi="Georgia"/>
                <w:bCs w:val="0"/>
                <w:sz w:val="20"/>
                <w:szCs w:val="24"/>
              </w:rPr>
              <w:t>Rodiklis</w:t>
            </w:r>
          </w:p>
        </w:tc>
        <w:tc>
          <w:tcPr>
            <w:tcW w:w="1134" w:type="dxa"/>
          </w:tcPr>
          <w:p w14:paraId="27D02A45" w14:textId="77777777" w:rsidR="00561CE4" w:rsidRPr="00714494" w:rsidRDefault="00561CE4"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sidRPr="00714494">
              <w:rPr>
                <w:rFonts w:ascii="Georgia" w:hAnsi="Georgia"/>
                <w:bCs w:val="0"/>
                <w:sz w:val="20"/>
                <w:szCs w:val="24"/>
              </w:rPr>
              <w:t>Rodiklio dydis</w:t>
            </w:r>
          </w:p>
        </w:tc>
        <w:tc>
          <w:tcPr>
            <w:tcW w:w="3827" w:type="dxa"/>
          </w:tcPr>
          <w:p w14:paraId="77F26544" w14:textId="77777777" w:rsidR="00561CE4" w:rsidRPr="00714494" w:rsidRDefault="00561CE4"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sidRPr="00714494">
              <w:rPr>
                <w:rFonts w:ascii="Georgia" w:hAnsi="Georgia"/>
                <w:bCs w:val="0"/>
                <w:sz w:val="20"/>
                <w:szCs w:val="24"/>
              </w:rPr>
              <w:t>Informacijos šaltinis, pagrindimas</w:t>
            </w:r>
          </w:p>
        </w:tc>
      </w:tr>
      <w:tr w:rsidR="00561CE4" w14:paraId="71A424CA" w14:textId="77777777" w:rsidTr="00A555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0" w:type="dxa"/>
          </w:tcPr>
          <w:p w14:paraId="5F0EC4EE" w14:textId="77777777"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1.</w:t>
            </w:r>
          </w:p>
        </w:tc>
        <w:tc>
          <w:tcPr>
            <w:tcW w:w="3599" w:type="dxa"/>
          </w:tcPr>
          <w:p w14:paraId="54A5B53A" w14:textId="77777777"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M</w:t>
            </w:r>
            <w:r w:rsidRPr="006111BD">
              <w:rPr>
                <w:rFonts w:ascii="Georgia" w:hAnsi="Georgia"/>
                <w:bCs/>
                <w:sz w:val="20"/>
                <w:szCs w:val="24"/>
              </w:rPr>
              <w:t>etinio šilumos suvartojimo kiekio vidurkis</w:t>
            </w:r>
            <w:r>
              <w:rPr>
                <w:rFonts w:ascii="Georgia" w:hAnsi="Georgia"/>
                <w:bCs/>
                <w:sz w:val="20"/>
                <w:szCs w:val="24"/>
              </w:rPr>
              <w:t>, kWh/m</w:t>
            </w:r>
            <w:r>
              <w:rPr>
                <w:rFonts w:ascii="Georgia" w:hAnsi="Georgia"/>
                <w:bCs/>
                <w:sz w:val="20"/>
                <w:szCs w:val="24"/>
                <w:vertAlign w:val="superscript"/>
              </w:rPr>
              <w:t>2</w:t>
            </w:r>
          </w:p>
        </w:tc>
        <w:tc>
          <w:tcPr>
            <w:tcW w:w="1134" w:type="dxa"/>
          </w:tcPr>
          <w:p w14:paraId="742658F2" w14:textId="77777777" w:rsidR="00561CE4" w:rsidRDefault="00561CE4"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255</w:t>
            </w:r>
          </w:p>
        </w:tc>
        <w:tc>
          <w:tcPr>
            <w:tcW w:w="3827" w:type="dxa"/>
          </w:tcPr>
          <w:p w14:paraId="7E2F24CF" w14:textId="77777777" w:rsidR="00561CE4" w:rsidRDefault="00561CE4" w:rsidP="00E4044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Remiantis pastatų energinio naudingumo sertifikatų viešojo registro duomenimis, tokį kiekį energijos vidutiniškai suvartoja sertifikuoti D, E</w:t>
            </w:r>
            <w:r w:rsidR="00E40443">
              <w:rPr>
                <w:rFonts w:ascii="Georgia" w:hAnsi="Georgia" w:cs="Georgia"/>
                <w:sz w:val="20"/>
                <w:szCs w:val="20"/>
              </w:rPr>
              <w:t>, F energinio naudingumo klasių</w:t>
            </w:r>
            <w:r>
              <w:rPr>
                <w:rFonts w:ascii="Georgia" w:hAnsi="Georgia" w:cs="Georgia"/>
                <w:sz w:val="20"/>
                <w:szCs w:val="20"/>
              </w:rPr>
              <w:t xml:space="preserve"> vieš</w:t>
            </w:r>
            <w:r w:rsidR="00E40443">
              <w:rPr>
                <w:rFonts w:ascii="Georgia" w:hAnsi="Georgia" w:cs="Georgia"/>
                <w:sz w:val="20"/>
                <w:szCs w:val="20"/>
              </w:rPr>
              <w:t>ieji</w:t>
            </w:r>
            <w:r>
              <w:rPr>
                <w:rFonts w:ascii="Georgia" w:hAnsi="Georgia" w:cs="Georgia"/>
                <w:sz w:val="20"/>
                <w:szCs w:val="20"/>
              </w:rPr>
              <w:t xml:space="preserve"> pastatai </w:t>
            </w:r>
          </w:p>
        </w:tc>
      </w:tr>
      <w:tr w:rsidR="00561CE4" w14:paraId="0695FEB7" w14:textId="77777777" w:rsidTr="00A555CA">
        <w:trPr>
          <w:cantSplit/>
        </w:trPr>
        <w:tc>
          <w:tcPr>
            <w:cnfStyle w:val="001000000000" w:firstRow="0" w:lastRow="0" w:firstColumn="1" w:lastColumn="0" w:oddVBand="0" w:evenVBand="0" w:oddHBand="0" w:evenHBand="0" w:firstRowFirstColumn="0" w:firstRowLastColumn="0" w:lastRowFirstColumn="0" w:lastRowLastColumn="0"/>
            <w:tcW w:w="620" w:type="dxa"/>
          </w:tcPr>
          <w:p w14:paraId="41244282" w14:textId="77777777" w:rsidR="00561CE4" w:rsidRDefault="00561CE4" w:rsidP="00A555CA">
            <w:pPr>
              <w:autoSpaceDE w:val="0"/>
              <w:autoSpaceDN w:val="0"/>
              <w:adjustRightInd w:val="0"/>
              <w:jc w:val="both"/>
              <w:rPr>
                <w:rFonts w:ascii="Georgia" w:hAnsi="Georgia" w:cs="Georgia"/>
                <w:sz w:val="20"/>
                <w:szCs w:val="20"/>
              </w:rPr>
            </w:pPr>
            <w:r>
              <w:rPr>
                <w:rFonts w:ascii="Georgia" w:hAnsi="Georgia" w:cs="Georgia"/>
                <w:sz w:val="20"/>
                <w:szCs w:val="20"/>
              </w:rPr>
              <w:t>2.</w:t>
            </w:r>
          </w:p>
        </w:tc>
        <w:tc>
          <w:tcPr>
            <w:tcW w:w="3599" w:type="dxa"/>
          </w:tcPr>
          <w:p w14:paraId="27184913" w14:textId="77777777" w:rsidR="00561CE4" w:rsidRDefault="00561CE4"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Po</w:t>
            </w:r>
            <w:r w:rsidR="00E40443">
              <w:rPr>
                <w:rFonts w:ascii="Georgia" w:hAnsi="Georgia" w:cs="Georgia"/>
                <w:sz w:val="20"/>
                <w:szCs w:val="20"/>
              </w:rPr>
              <w:t xml:space="preserve"> renovacijos pastatų energetinio</w:t>
            </w:r>
            <w:r>
              <w:rPr>
                <w:rFonts w:ascii="Georgia" w:hAnsi="Georgia" w:cs="Georgia"/>
                <w:sz w:val="20"/>
                <w:szCs w:val="20"/>
              </w:rPr>
              <w:t xml:space="preserve"> naudingumo klasė, ne mažesnė kaip</w:t>
            </w:r>
          </w:p>
        </w:tc>
        <w:tc>
          <w:tcPr>
            <w:tcW w:w="1134" w:type="dxa"/>
          </w:tcPr>
          <w:p w14:paraId="69B81B31" w14:textId="77777777" w:rsidR="00561CE4" w:rsidRDefault="00561CE4"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C klasė</w:t>
            </w:r>
          </w:p>
        </w:tc>
        <w:tc>
          <w:tcPr>
            <w:tcW w:w="3827" w:type="dxa"/>
          </w:tcPr>
          <w:p w14:paraId="56F816F8" w14:textId="77777777" w:rsidR="00561CE4" w:rsidRDefault="00561CE4"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Vadovaujantis STR 2.01.09:2012</w:t>
            </w:r>
          </w:p>
        </w:tc>
      </w:tr>
      <w:tr w:rsidR="00561CE4" w14:paraId="75EC0649" w14:textId="77777777" w:rsidTr="00A555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0" w:type="dxa"/>
          </w:tcPr>
          <w:p w14:paraId="4359650F" w14:textId="77777777" w:rsidR="00561CE4" w:rsidRDefault="00561CE4" w:rsidP="00A555CA">
            <w:pPr>
              <w:autoSpaceDE w:val="0"/>
              <w:autoSpaceDN w:val="0"/>
              <w:adjustRightInd w:val="0"/>
              <w:jc w:val="both"/>
              <w:rPr>
                <w:rFonts w:ascii="Georgia" w:hAnsi="Georgia" w:cs="Georgia"/>
                <w:sz w:val="20"/>
                <w:szCs w:val="20"/>
              </w:rPr>
            </w:pPr>
            <w:r>
              <w:rPr>
                <w:rFonts w:ascii="Georgia" w:hAnsi="Georgia" w:cs="Georgia"/>
                <w:sz w:val="20"/>
                <w:szCs w:val="20"/>
              </w:rPr>
              <w:t>3.</w:t>
            </w:r>
          </w:p>
        </w:tc>
        <w:tc>
          <w:tcPr>
            <w:tcW w:w="3599" w:type="dxa"/>
          </w:tcPr>
          <w:p w14:paraId="5786BB3A" w14:textId="77777777"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Po renovacijos pastatų energijos suvartojimas, </w:t>
            </w:r>
            <w:r>
              <w:rPr>
                <w:rFonts w:ascii="Georgia" w:hAnsi="Georgia"/>
                <w:bCs/>
                <w:sz w:val="20"/>
                <w:szCs w:val="24"/>
              </w:rPr>
              <w:t>kWh/m</w:t>
            </w:r>
            <w:r>
              <w:rPr>
                <w:rFonts w:ascii="Georgia" w:hAnsi="Georgia"/>
                <w:bCs/>
                <w:sz w:val="20"/>
                <w:szCs w:val="24"/>
                <w:vertAlign w:val="superscript"/>
              </w:rPr>
              <w:t>2</w:t>
            </w:r>
          </w:p>
        </w:tc>
        <w:tc>
          <w:tcPr>
            <w:tcW w:w="1134" w:type="dxa"/>
          </w:tcPr>
          <w:p w14:paraId="66C9848C" w14:textId="77777777" w:rsidR="00561CE4" w:rsidRDefault="00561CE4"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116</w:t>
            </w:r>
          </w:p>
        </w:tc>
        <w:tc>
          <w:tcPr>
            <w:tcW w:w="3827" w:type="dxa"/>
          </w:tcPr>
          <w:p w14:paraId="5BEEDEF3" w14:textId="77777777" w:rsidR="00561CE4" w:rsidRPr="006F741F"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lang w:val="en-US"/>
              </w:rPr>
            </w:pPr>
            <w:r>
              <w:rPr>
                <w:rFonts w:ascii="Georgia" w:hAnsi="Georgia" w:cs="Georgia"/>
                <w:sz w:val="20"/>
                <w:szCs w:val="20"/>
              </w:rPr>
              <w:t xml:space="preserve">Vadovaujantis </w:t>
            </w:r>
            <w:r w:rsidR="00E40443">
              <w:rPr>
                <w:rFonts w:ascii="Georgia" w:hAnsi="Georgia" w:cs="Georgia"/>
                <w:sz w:val="20"/>
                <w:szCs w:val="20"/>
              </w:rPr>
              <w:t>STR 2.01.09:2012 po renovacijos</w:t>
            </w:r>
            <w:r>
              <w:rPr>
                <w:rFonts w:ascii="Georgia" w:hAnsi="Georgia" w:cs="Georgia"/>
                <w:sz w:val="20"/>
                <w:szCs w:val="20"/>
              </w:rPr>
              <w:t xml:space="preserve"> pastatų energetinis naudingumas pagal serti</w:t>
            </w:r>
            <w:r w:rsidR="00E40443">
              <w:rPr>
                <w:rFonts w:ascii="Georgia" w:hAnsi="Georgia" w:cs="Georgia"/>
                <w:sz w:val="20"/>
                <w:szCs w:val="20"/>
              </w:rPr>
              <w:t>fikavimo duomenis turi pasiekti</w:t>
            </w:r>
            <w:r>
              <w:rPr>
                <w:rFonts w:ascii="Georgia" w:hAnsi="Georgia" w:cs="Georgia"/>
                <w:sz w:val="20"/>
                <w:szCs w:val="20"/>
              </w:rPr>
              <w:t xml:space="preserve"> ne didesnį kaip vidutiniškai nurodytą energijos suvartojimo kiekį</w:t>
            </w:r>
          </w:p>
        </w:tc>
      </w:tr>
      <w:tr w:rsidR="00561CE4" w14:paraId="522709E5" w14:textId="77777777" w:rsidTr="00A555CA">
        <w:trPr>
          <w:cantSplit/>
        </w:trPr>
        <w:tc>
          <w:tcPr>
            <w:cnfStyle w:val="001000000000" w:firstRow="0" w:lastRow="0" w:firstColumn="1" w:lastColumn="0" w:oddVBand="0" w:evenVBand="0" w:oddHBand="0" w:evenHBand="0" w:firstRowFirstColumn="0" w:firstRowLastColumn="0" w:lastRowFirstColumn="0" w:lastRowLastColumn="0"/>
            <w:tcW w:w="620" w:type="dxa"/>
          </w:tcPr>
          <w:p w14:paraId="7ABA21F1" w14:textId="77777777"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4.</w:t>
            </w:r>
          </w:p>
        </w:tc>
        <w:tc>
          <w:tcPr>
            <w:tcW w:w="3599" w:type="dxa"/>
          </w:tcPr>
          <w:p w14:paraId="51B50B78" w14:textId="77777777" w:rsidR="00561CE4" w:rsidRDefault="00561CE4"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V</w:t>
            </w:r>
            <w:r w:rsidRPr="006D6D62">
              <w:rPr>
                <w:rFonts w:ascii="Georgia" w:hAnsi="Georgia"/>
                <w:bCs/>
                <w:sz w:val="20"/>
                <w:szCs w:val="24"/>
              </w:rPr>
              <w:t>idutis viešojo pastato plotas</w:t>
            </w:r>
            <w:r>
              <w:rPr>
                <w:rFonts w:ascii="Georgia" w:hAnsi="Georgia"/>
                <w:bCs/>
                <w:sz w:val="20"/>
                <w:szCs w:val="24"/>
              </w:rPr>
              <w:t>, m</w:t>
            </w:r>
            <w:r>
              <w:rPr>
                <w:rFonts w:ascii="Georgia" w:hAnsi="Georgia"/>
                <w:bCs/>
                <w:sz w:val="20"/>
                <w:szCs w:val="24"/>
                <w:vertAlign w:val="superscript"/>
              </w:rPr>
              <w:t>2</w:t>
            </w:r>
          </w:p>
        </w:tc>
        <w:tc>
          <w:tcPr>
            <w:tcW w:w="1134" w:type="dxa"/>
          </w:tcPr>
          <w:p w14:paraId="2985CA3F" w14:textId="77777777" w:rsidR="00561CE4" w:rsidRDefault="00561CE4"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1127</w:t>
            </w:r>
          </w:p>
        </w:tc>
        <w:tc>
          <w:tcPr>
            <w:tcW w:w="3827" w:type="dxa"/>
          </w:tcPr>
          <w:p w14:paraId="0CAC8996" w14:textId="77777777" w:rsidR="00561CE4" w:rsidRDefault="00561CE4"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Paskaičiuota 2.1.1. dalyje</w:t>
            </w:r>
          </w:p>
        </w:tc>
      </w:tr>
      <w:tr w:rsidR="00561CE4" w14:paraId="2CA4FDF9" w14:textId="77777777" w:rsidTr="00A555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0" w:type="dxa"/>
          </w:tcPr>
          <w:p w14:paraId="3EB37E31" w14:textId="77777777"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5</w:t>
            </w:r>
          </w:p>
        </w:tc>
        <w:tc>
          <w:tcPr>
            <w:tcW w:w="3599" w:type="dxa"/>
          </w:tcPr>
          <w:p w14:paraId="06FCFC24" w14:textId="77777777"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Bendras viešųjų pastatų metinis sutaupymas, GWh</w:t>
            </w:r>
          </w:p>
        </w:tc>
        <w:tc>
          <w:tcPr>
            <w:tcW w:w="1134" w:type="dxa"/>
          </w:tcPr>
          <w:p w14:paraId="3261987E" w14:textId="77777777" w:rsidR="00561CE4" w:rsidRDefault="00561CE4"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36,6</w:t>
            </w:r>
          </w:p>
        </w:tc>
        <w:tc>
          <w:tcPr>
            <w:tcW w:w="3827" w:type="dxa"/>
          </w:tcPr>
          <w:p w14:paraId="6523E214" w14:textId="77777777"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Paskaičiuota 2.2.1. dalyje</w:t>
            </w:r>
          </w:p>
        </w:tc>
      </w:tr>
      <w:tr w:rsidR="00121072" w14:paraId="6DDEBE6F" w14:textId="77777777" w:rsidTr="00A555CA">
        <w:trPr>
          <w:cantSplit/>
        </w:trPr>
        <w:tc>
          <w:tcPr>
            <w:cnfStyle w:val="001000000000" w:firstRow="0" w:lastRow="0" w:firstColumn="1" w:lastColumn="0" w:oddVBand="0" w:evenVBand="0" w:oddHBand="0" w:evenHBand="0" w:firstRowFirstColumn="0" w:firstRowLastColumn="0" w:lastRowFirstColumn="0" w:lastRowLastColumn="0"/>
            <w:tcW w:w="620" w:type="dxa"/>
          </w:tcPr>
          <w:p w14:paraId="50AFF1BA" w14:textId="77777777" w:rsidR="00121072" w:rsidRDefault="00121072" w:rsidP="00A555CA">
            <w:pPr>
              <w:autoSpaceDE w:val="0"/>
              <w:autoSpaceDN w:val="0"/>
              <w:adjustRightInd w:val="0"/>
              <w:jc w:val="both"/>
              <w:rPr>
                <w:rFonts w:ascii="Georgia" w:hAnsi="Georgia"/>
                <w:bCs w:val="0"/>
                <w:sz w:val="20"/>
                <w:szCs w:val="24"/>
              </w:rPr>
            </w:pPr>
            <w:r>
              <w:rPr>
                <w:rFonts w:ascii="Georgia" w:hAnsi="Georgia"/>
                <w:bCs w:val="0"/>
                <w:sz w:val="20"/>
                <w:szCs w:val="24"/>
              </w:rPr>
              <w:t>6.</w:t>
            </w:r>
          </w:p>
        </w:tc>
        <w:tc>
          <w:tcPr>
            <w:tcW w:w="3599" w:type="dxa"/>
          </w:tcPr>
          <w:p w14:paraId="08D95639" w14:textId="77777777" w:rsidR="00121072" w:rsidRDefault="00121072"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Tipinio viešojo renovuoto pastato sutaupymai, GWh</w:t>
            </w:r>
            <w:r w:rsidDel="00784435">
              <w:rPr>
                <w:rFonts w:ascii="Georgia" w:hAnsi="Georgia"/>
                <w:bCs/>
                <w:sz w:val="20"/>
                <w:szCs w:val="24"/>
              </w:rPr>
              <w:t xml:space="preserve"> </w:t>
            </w:r>
            <w:r>
              <w:rPr>
                <w:rFonts w:ascii="Georgia" w:hAnsi="Georgia"/>
                <w:bCs/>
                <w:sz w:val="20"/>
                <w:szCs w:val="24"/>
              </w:rPr>
              <w:t>per metus</w:t>
            </w:r>
          </w:p>
        </w:tc>
        <w:tc>
          <w:tcPr>
            <w:tcW w:w="1134" w:type="dxa"/>
          </w:tcPr>
          <w:p w14:paraId="14CD8088" w14:textId="77777777" w:rsidR="00121072" w:rsidRDefault="00121072"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0,157</w:t>
            </w:r>
          </w:p>
        </w:tc>
        <w:tc>
          <w:tcPr>
            <w:tcW w:w="3827" w:type="dxa"/>
          </w:tcPr>
          <w:p w14:paraId="2AC8A13F" w14:textId="77777777" w:rsidR="00121072" w:rsidRDefault="00121072"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( 1 – 3 ) x 4</w:t>
            </w:r>
          </w:p>
        </w:tc>
      </w:tr>
      <w:tr w:rsidR="00561CE4" w14:paraId="1EC3AC36" w14:textId="77777777" w:rsidTr="00A555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0" w:type="dxa"/>
          </w:tcPr>
          <w:p w14:paraId="153C8C48" w14:textId="77777777"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7.</w:t>
            </w:r>
          </w:p>
        </w:tc>
        <w:tc>
          <w:tcPr>
            <w:tcW w:w="3599" w:type="dxa"/>
          </w:tcPr>
          <w:p w14:paraId="4EDE659F" w14:textId="77777777"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Bendras renovuotinų viešųjų pastatų kiekis per metus, vnt.</w:t>
            </w:r>
          </w:p>
        </w:tc>
        <w:tc>
          <w:tcPr>
            <w:tcW w:w="1134" w:type="dxa"/>
          </w:tcPr>
          <w:p w14:paraId="44ED58D5" w14:textId="77777777" w:rsidR="00561CE4" w:rsidRDefault="00561CE4"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232</w:t>
            </w:r>
          </w:p>
        </w:tc>
        <w:tc>
          <w:tcPr>
            <w:tcW w:w="3827" w:type="dxa"/>
          </w:tcPr>
          <w:p w14:paraId="6075B593" w14:textId="77777777"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5 / 6</w:t>
            </w:r>
          </w:p>
        </w:tc>
      </w:tr>
      <w:tr w:rsidR="00561CE4" w14:paraId="24E652D5" w14:textId="77777777" w:rsidTr="00A555CA">
        <w:trPr>
          <w:cantSplit/>
        </w:trPr>
        <w:tc>
          <w:tcPr>
            <w:cnfStyle w:val="001000000000" w:firstRow="0" w:lastRow="0" w:firstColumn="1" w:lastColumn="0" w:oddVBand="0" w:evenVBand="0" w:oddHBand="0" w:evenHBand="0" w:firstRowFirstColumn="0" w:firstRowLastColumn="0" w:lastRowFirstColumn="0" w:lastRowLastColumn="0"/>
            <w:tcW w:w="620" w:type="dxa"/>
          </w:tcPr>
          <w:p w14:paraId="53B244FE" w14:textId="77777777"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8.</w:t>
            </w:r>
          </w:p>
        </w:tc>
        <w:tc>
          <w:tcPr>
            <w:tcW w:w="3599" w:type="dxa"/>
          </w:tcPr>
          <w:p w14:paraId="790DB902" w14:textId="77777777" w:rsidR="00561CE4" w:rsidRDefault="00561CE4" w:rsidP="007F6C5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bCs/>
                <w:sz w:val="20"/>
                <w:szCs w:val="24"/>
              </w:rPr>
              <w:t xml:space="preserve">Bendras renovuotinų viešųjų pastatų plotas per 2014-2020 </w:t>
            </w:r>
            <w:r w:rsidR="007F6C5A">
              <w:rPr>
                <w:rFonts w:ascii="Georgia" w:hAnsi="Georgia"/>
                <w:bCs/>
                <w:sz w:val="20"/>
                <w:szCs w:val="24"/>
              </w:rPr>
              <w:t>m. periodą</w:t>
            </w:r>
            <w:r>
              <w:rPr>
                <w:rFonts w:ascii="Georgia" w:hAnsi="Georgia"/>
                <w:bCs/>
                <w:sz w:val="20"/>
                <w:szCs w:val="24"/>
              </w:rPr>
              <w:t xml:space="preserve">, </w:t>
            </w:r>
            <w:r>
              <w:rPr>
                <w:rFonts w:ascii="Georgia" w:hAnsi="Georgia" w:cs="Georgia"/>
                <w:sz w:val="20"/>
                <w:szCs w:val="20"/>
              </w:rPr>
              <w:t xml:space="preserve">tūkst. </w:t>
            </w:r>
            <w:r>
              <w:rPr>
                <w:rFonts w:ascii="Georgia" w:hAnsi="Georgia"/>
                <w:bCs/>
                <w:sz w:val="20"/>
                <w:szCs w:val="24"/>
              </w:rPr>
              <w:t>m</w:t>
            </w:r>
            <w:r>
              <w:rPr>
                <w:rFonts w:ascii="Georgia" w:hAnsi="Georgia"/>
                <w:bCs/>
                <w:sz w:val="20"/>
                <w:szCs w:val="24"/>
                <w:vertAlign w:val="superscript"/>
              </w:rPr>
              <w:t>2</w:t>
            </w:r>
          </w:p>
        </w:tc>
        <w:tc>
          <w:tcPr>
            <w:tcW w:w="1134" w:type="dxa"/>
          </w:tcPr>
          <w:p w14:paraId="1E7F81C8" w14:textId="77777777" w:rsidR="00561CE4" w:rsidRDefault="00561CE4"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1568</w:t>
            </w:r>
          </w:p>
        </w:tc>
        <w:tc>
          <w:tcPr>
            <w:tcW w:w="3827" w:type="dxa"/>
          </w:tcPr>
          <w:p w14:paraId="1CA29978" w14:textId="77777777" w:rsidR="00561CE4" w:rsidRDefault="00561CE4"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4 x 7 x [6 metai]</w:t>
            </w:r>
          </w:p>
        </w:tc>
      </w:tr>
      <w:tr w:rsidR="00561CE4" w14:paraId="2D73AE3D" w14:textId="77777777" w:rsidTr="00A555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0" w:type="dxa"/>
          </w:tcPr>
          <w:p w14:paraId="33047EBC" w14:textId="77777777"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9.</w:t>
            </w:r>
          </w:p>
        </w:tc>
        <w:tc>
          <w:tcPr>
            <w:tcW w:w="3599" w:type="dxa"/>
          </w:tcPr>
          <w:p w14:paraId="4E7EC577" w14:textId="77777777" w:rsidR="00561CE4" w:rsidRDefault="00561CE4" w:rsidP="007F6C5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Savivaldybių </w:t>
            </w:r>
            <w:r w:rsidR="007F6C5A">
              <w:rPr>
                <w:rFonts w:ascii="Georgia" w:hAnsi="Georgia" w:cs="Georgia"/>
                <w:sz w:val="20"/>
                <w:szCs w:val="20"/>
              </w:rPr>
              <w:t xml:space="preserve">viešųjų </w:t>
            </w:r>
            <w:r>
              <w:rPr>
                <w:rFonts w:ascii="Georgia" w:hAnsi="Georgia" w:cs="Georgia"/>
                <w:sz w:val="20"/>
                <w:szCs w:val="20"/>
              </w:rPr>
              <w:t>pastatų plotas, bendroje viešųjų pastatų apimtyje, proc.</w:t>
            </w:r>
          </w:p>
        </w:tc>
        <w:tc>
          <w:tcPr>
            <w:tcW w:w="1134" w:type="dxa"/>
          </w:tcPr>
          <w:p w14:paraId="706A57E5" w14:textId="77777777" w:rsidR="00561CE4" w:rsidRDefault="00561CE4"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58</w:t>
            </w:r>
          </w:p>
        </w:tc>
        <w:tc>
          <w:tcPr>
            <w:tcW w:w="3827" w:type="dxa"/>
          </w:tcPr>
          <w:p w14:paraId="3ABADB16" w14:textId="77777777"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Paskaičiuota 2.1.1. dalyje</w:t>
            </w:r>
          </w:p>
        </w:tc>
      </w:tr>
      <w:tr w:rsidR="00561CE4" w14:paraId="04E5CA6F" w14:textId="77777777" w:rsidTr="00A555CA">
        <w:trPr>
          <w:cantSplit/>
        </w:trPr>
        <w:tc>
          <w:tcPr>
            <w:cnfStyle w:val="001000000000" w:firstRow="0" w:lastRow="0" w:firstColumn="1" w:lastColumn="0" w:oddVBand="0" w:evenVBand="0" w:oddHBand="0" w:evenHBand="0" w:firstRowFirstColumn="0" w:firstRowLastColumn="0" w:lastRowFirstColumn="0" w:lastRowLastColumn="0"/>
            <w:tcW w:w="620" w:type="dxa"/>
          </w:tcPr>
          <w:p w14:paraId="49F02C6E" w14:textId="77777777"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10.</w:t>
            </w:r>
          </w:p>
        </w:tc>
        <w:tc>
          <w:tcPr>
            <w:tcW w:w="3599" w:type="dxa"/>
          </w:tcPr>
          <w:p w14:paraId="1DE562BC" w14:textId="77777777" w:rsidR="00561CE4" w:rsidRDefault="007F6C5A"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Centrinės valdžios</w:t>
            </w:r>
            <w:r w:rsidR="00561CE4">
              <w:rPr>
                <w:rFonts w:ascii="Georgia" w:hAnsi="Georgia" w:cs="Georgia"/>
                <w:sz w:val="20"/>
                <w:szCs w:val="20"/>
              </w:rPr>
              <w:t xml:space="preserve"> pastatų plotas, bendroje viešųjų pastatų apimtyje, proc.</w:t>
            </w:r>
          </w:p>
        </w:tc>
        <w:tc>
          <w:tcPr>
            <w:tcW w:w="1134" w:type="dxa"/>
          </w:tcPr>
          <w:p w14:paraId="040999EC" w14:textId="77777777" w:rsidR="00561CE4" w:rsidRDefault="00561CE4"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42</w:t>
            </w:r>
          </w:p>
        </w:tc>
        <w:tc>
          <w:tcPr>
            <w:tcW w:w="3827" w:type="dxa"/>
          </w:tcPr>
          <w:p w14:paraId="7F629B1E" w14:textId="77777777" w:rsidR="00561CE4" w:rsidRDefault="00561CE4"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Paskaičiuota 2.1.1. dalyje</w:t>
            </w:r>
          </w:p>
        </w:tc>
      </w:tr>
      <w:tr w:rsidR="00561CE4" w14:paraId="675E8F2D" w14:textId="77777777" w:rsidTr="00A555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0" w:type="dxa"/>
          </w:tcPr>
          <w:p w14:paraId="7E93B39A" w14:textId="77777777"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11.</w:t>
            </w:r>
          </w:p>
        </w:tc>
        <w:tc>
          <w:tcPr>
            <w:tcW w:w="3599" w:type="dxa"/>
          </w:tcPr>
          <w:p w14:paraId="035E0C64" w14:textId="77777777" w:rsidR="00561CE4" w:rsidRDefault="00561CE4" w:rsidP="007F6C5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Renovuotinas savivaldybių </w:t>
            </w:r>
            <w:r w:rsidR="007F6C5A">
              <w:rPr>
                <w:rFonts w:ascii="Georgia" w:hAnsi="Georgia" w:cs="Georgia"/>
                <w:sz w:val="20"/>
                <w:szCs w:val="20"/>
              </w:rPr>
              <w:t>viešųjų</w:t>
            </w:r>
            <w:r>
              <w:rPr>
                <w:rFonts w:ascii="Georgia" w:hAnsi="Georgia" w:cs="Georgia"/>
                <w:sz w:val="20"/>
                <w:szCs w:val="20"/>
              </w:rPr>
              <w:t xml:space="preserve"> pastatų plotas per </w:t>
            </w:r>
            <w:r>
              <w:rPr>
                <w:rFonts w:ascii="Georgia" w:hAnsi="Georgia"/>
                <w:bCs/>
                <w:sz w:val="20"/>
                <w:szCs w:val="24"/>
              </w:rPr>
              <w:t xml:space="preserve">2014-2020 </w:t>
            </w:r>
            <w:r w:rsidR="007F6C5A">
              <w:rPr>
                <w:rFonts w:ascii="Georgia" w:hAnsi="Georgia"/>
                <w:bCs/>
                <w:sz w:val="20"/>
                <w:szCs w:val="24"/>
              </w:rPr>
              <w:t>m. periodą</w:t>
            </w:r>
            <w:r>
              <w:rPr>
                <w:rFonts w:ascii="Georgia" w:hAnsi="Georgia"/>
                <w:bCs/>
                <w:sz w:val="20"/>
                <w:szCs w:val="24"/>
              </w:rPr>
              <w:t xml:space="preserve">, </w:t>
            </w:r>
            <w:r>
              <w:rPr>
                <w:rFonts w:ascii="Georgia" w:hAnsi="Georgia" w:cs="Georgia"/>
                <w:sz w:val="20"/>
                <w:szCs w:val="20"/>
              </w:rPr>
              <w:t xml:space="preserve">tūkst. </w:t>
            </w:r>
            <w:r>
              <w:rPr>
                <w:rFonts w:ascii="Georgia" w:hAnsi="Georgia"/>
                <w:bCs/>
                <w:sz w:val="20"/>
                <w:szCs w:val="24"/>
              </w:rPr>
              <w:t>m</w:t>
            </w:r>
            <w:r>
              <w:rPr>
                <w:rFonts w:ascii="Georgia" w:hAnsi="Georgia"/>
                <w:bCs/>
                <w:sz w:val="20"/>
                <w:szCs w:val="24"/>
                <w:vertAlign w:val="superscript"/>
              </w:rPr>
              <w:t>2</w:t>
            </w:r>
          </w:p>
        </w:tc>
        <w:tc>
          <w:tcPr>
            <w:tcW w:w="1134" w:type="dxa"/>
          </w:tcPr>
          <w:p w14:paraId="4A0E0C1A" w14:textId="77777777" w:rsidR="00561CE4" w:rsidRDefault="00561CE4"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909</w:t>
            </w:r>
          </w:p>
        </w:tc>
        <w:tc>
          <w:tcPr>
            <w:tcW w:w="3827" w:type="dxa"/>
          </w:tcPr>
          <w:p w14:paraId="17F32EFE" w14:textId="77777777"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8 * 9</w:t>
            </w:r>
          </w:p>
        </w:tc>
      </w:tr>
      <w:tr w:rsidR="00561CE4" w14:paraId="53FA6AFF" w14:textId="77777777" w:rsidTr="00A555CA">
        <w:trPr>
          <w:cantSplit/>
        </w:trPr>
        <w:tc>
          <w:tcPr>
            <w:cnfStyle w:val="001000000000" w:firstRow="0" w:lastRow="0" w:firstColumn="1" w:lastColumn="0" w:oddVBand="0" w:evenVBand="0" w:oddHBand="0" w:evenHBand="0" w:firstRowFirstColumn="0" w:firstRowLastColumn="0" w:lastRowFirstColumn="0" w:lastRowLastColumn="0"/>
            <w:tcW w:w="620" w:type="dxa"/>
          </w:tcPr>
          <w:p w14:paraId="31A7A770" w14:textId="77777777"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12.</w:t>
            </w:r>
          </w:p>
        </w:tc>
        <w:tc>
          <w:tcPr>
            <w:tcW w:w="3599" w:type="dxa"/>
          </w:tcPr>
          <w:p w14:paraId="07CF315B" w14:textId="77777777" w:rsidR="00561CE4" w:rsidRDefault="00561CE4" w:rsidP="007F6C5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Renovuotinas </w:t>
            </w:r>
            <w:r w:rsidR="007F6C5A">
              <w:rPr>
                <w:rFonts w:ascii="Georgia" w:hAnsi="Georgia" w:cs="Georgia"/>
                <w:sz w:val="20"/>
                <w:szCs w:val="20"/>
              </w:rPr>
              <w:t>centrinės valdžios</w:t>
            </w:r>
            <w:r>
              <w:rPr>
                <w:rFonts w:ascii="Georgia" w:hAnsi="Georgia" w:cs="Georgia"/>
                <w:sz w:val="20"/>
                <w:szCs w:val="20"/>
              </w:rPr>
              <w:t xml:space="preserve"> pastatų plotas per </w:t>
            </w:r>
            <w:r>
              <w:rPr>
                <w:rFonts w:ascii="Georgia" w:hAnsi="Georgia"/>
                <w:bCs/>
                <w:sz w:val="20"/>
                <w:szCs w:val="24"/>
              </w:rPr>
              <w:t xml:space="preserve">2014-2020 </w:t>
            </w:r>
            <w:r w:rsidR="007F6C5A">
              <w:rPr>
                <w:rFonts w:ascii="Georgia" w:hAnsi="Georgia"/>
                <w:bCs/>
                <w:sz w:val="20"/>
                <w:szCs w:val="24"/>
              </w:rPr>
              <w:t>m. periodą</w:t>
            </w:r>
            <w:r>
              <w:rPr>
                <w:rFonts w:ascii="Georgia" w:hAnsi="Georgia"/>
                <w:bCs/>
                <w:sz w:val="20"/>
                <w:szCs w:val="24"/>
              </w:rPr>
              <w:t xml:space="preserve">, </w:t>
            </w:r>
            <w:r>
              <w:rPr>
                <w:rFonts w:ascii="Georgia" w:hAnsi="Georgia" w:cs="Georgia"/>
                <w:sz w:val="20"/>
                <w:szCs w:val="20"/>
              </w:rPr>
              <w:t xml:space="preserve">tūkst. </w:t>
            </w:r>
            <w:r>
              <w:rPr>
                <w:rFonts w:ascii="Georgia" w:hAnsi="Georgia"/>
                <w:bCs/>
                <w:sz w:val="20"/>
                <w:szCs w:val="24"/>
              </w:rPr>
              <w:t>m</w:t>
            </w:r>
            <w:r>
              <w:rPr>
                <w:rFonts w:ascii="Georgia" w:hAnsi="Georgia"/>
                <w:bCs/>
                <w:sz w:val="20"/>
                <w:szCs w:val="24"/>
                <w:vertAlign w:val="superscript"/>
              </w:rPr>
              <w:t>2</w:t>
            </w:r>
          </w:p>
        </w:tc>
        <w:tc>
          <w:tcPr>
            <w:tcW w:w="1134" w:type="dxa"/>
          </w:tcPr>
          <w:p w14:paraId="32A53658" w14:textId="77777777" w:rsidR="00561CE4" w:rsidRDefault="00561CE4"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659</w:t>
            </w:r>
          </w:p>
        </w:tc>
        <w:tc>
          <w:tcPr>
            <w:tcW w:w="3827" w:type="dxa"/>
          </w:tcPr>
          <w:p w14:paraId="07228FFC" w14:textId="77777777" w:rsidR="00561CE4" w:rsidRDefault="00561CE4"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8 * 10</w:t>
            </w:r>
          </w:p>
        </w:tc>
      </w:tr>
      <w:tr w:rsidR="00561CE4" w14:paraId="4554CA4A" w14:textId="77777777" w:rsidTr="00A555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0" w:type="dxa"/>
          </w:tcPr>
          <w:p w14:paraId="48E7982C" w14:textId="77777777"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13.</w:t>
            </w:r>
          </w:p>
        </w:tc>
        <w:tc>
          <w:tcPr>
            <w:tcW w:w="3599" w:type="dxa"/>
          </w:tcPr>
          <w:p w14:paraId="77C59A29" w14:textId="77777777"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Viešojo pastato renovacijos kaštai, EUR/m</w:t>
            </w:r>
            <w:r>
              <w:rPr>
                <w:rFonts w:ascii="Georgia" w:hAnsi="Georgia" w:cs="Georgia"/>
                <w:sz w:val="20"/>
                <w:szCs w:val="20"/>
                <w:vertAlign w:val="superscript"/>
              </w:rPr>
              <w:t>2</w:t>
            </w:r>
            <w:r>
              <w:rPr>
                <w:rFonts w:ascii="Georgia" w:hAnsi="Georgia" w:cs="Georgia"/>
                <w:sz w:val="20"/>
                <w:szCs w:val="20"/>
              </w:rPr>
              <w:t xml:space="preserve"> (Lt/m</w:t>
            </w:r>
            <w:r>
              <w:rPr>
                <w:rFonts w:ascii="Georgia" w:hAnsi="Georgia" w:cs="Georgia"/>
                <w:sz w:val="20"/>
                <w:szCs w:val="20"/>
                <w:vertAlign w:val="superscript"/>
              </w:rPr>
              <w:t>2</w:t>
            </w:r>
            <w:r>
              <w:rPr>
                <w:rFonts w:ascii="Georgia" w:hAnsi="Georgia" w:cs="Georgia"/>
                <w:sz w:val="20"/>
                <w:szCs w:val="20"/>
              </w:rPr>
              <w:t>)</w:t>
            </w:r>
          </w:p>
        </w:tc>
        <w:tc>
          <w:tcPr>
            <w:tcW w:w="1134" w:type="dxa"/>
          </w:tcPr>
          <w:p w14:paraId="72B8105A" w14:textId="77777777" w:rsidR="00561CE4" w:rsidRDefault="00561CE4"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202,7 (700)</w:t>
            </w:r>
          </w:p>
        </w:tc>
        <w:tc>
          <w:tcPr>
            <w:tcW w:w="3827" w:type="dxa"/>
          </w:tcPr>
          <w:p w14:paraId="1A583779" w14:textId="77777777"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Numatyta viešųjų pastatų energinio efektyvumo didinimo programos projekte </w:t>
            </w:r>
          </w:p>
        </w:tc>
      </w:tr>
      <w:tr w:rsidR="00561CE4" w14:paraId="7FA3016F" w14:textId="77777777" w:rsidTr="00A555CA">
        <w:trPr>
          <w:cantSplit/>
        </w:trPr>
        <w:tc>
          <w:tcPr>
            <w:cnfStyle w:val="001000000000" w:firstRow="0" w:lastRow="0" w:firstColumn="1" w:lastColumn="0" w:oddVBand="0" w:evenVBand="0" w:oddHBand="0" w:evenHBand="0" w:firstRowFirstColumn="0" w:firstRowLastColumn="0" w:lastRowFirstColumn="0" w:lastRowLastColumn="0"/>
            <w:tcW w:w="620" w:type="dxa"/>
          </w:tcPr>
          <w:p w14:paraId="60E14E99" w14:textId="77777777"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lastRenderedPageBreak/>
              <w:t>14.</w:t>
            </w:r>
          </w:p>
        </w:tc>
        <w:tc>
          <w:tcPr>
            <w:tcW w:w="3599" w:type="dxa"/>
          </w:tcPr>
          <w:p w14:paraId="3E913BFE" w14:textId="77777777" w:rsidR="00561CE4" w:rsidRDefault="00561CE4" w:rsidP="007F6C5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 xml:space="preserve">Savivaldybių </w:t>
            </w:r>
            <w:r w:rsidR="007F6C5A">
              <w:rPr>
                <w:rFonts w:ascii="Georgia" w:hAnsi="Georgia" w:cs="Georgia"/>
                <w:sz w:val="20"/>
                <w:szCs w:val="20"/>
              </w:rPr>
              <w:t>viešųjų</w:t>
            </w:r>
            <w:r>
              <w:rPr>
                <w:rFonts w:ascii="Georgia" w:hAnsi="Georgia" w:cs="Georgia"/>
                <w:sz w:val="20"/>
                <w:szCs w:val="20"/>
              </w:rPr>
              <w:t xml:space="preserve"> pastatų renovacijos paklausa sudaro, mln. EUR (mln. Lt)</w:t>
            </w:r>
          </w:p>
        </w:tc>
        <w:tc>
          <w:tcPr>
            <w:tcW w:w="1134" w:type="dxa"/>
          </w:tcPr>
          <w:p w14:paraId="64B75524" w14:textId="77777777" w:rsidR="00561CE4" w:rsidRDefault="00561CE4"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184,3 (636,3)</w:t>
            </w:r>
          </w:p>
        </w:tc>
        <w:tc>
          <w:tcPr>
            <w:tcW w:w="3827" w:type="dxa"/>
          </w:tcPr>
          <w:p w14:paraId="684A260F" w14:textId="77777777" w:rsidR="00561CE4" w:rsidRDefault="00561CE4"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lang w:val="en-US"/>
              </w:rPr>
              <w:t>11 x 13</w:t>
            </w:r>
          </w:p>
        </w:tc>
      </w:tr>
      <w:tr w:rsidR="00561CE4" w14:paraId="5E07F310" w14:textId="77777777" w:rsidTr="00A555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0" w:type="dxa"/>
          </w:tcPr>
          <w:p w14:paraId="2B7B066C" w14:textId="77777777"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15.</w:t>
            </w:r>
          </w:p>
        </w:tc>
        <w:tc>
          <w:tcPr>
            <w:tcW w:w="3599" w:type="dxa"/>
          </w:tcPr>
          <w:p w14:paraId="29B223E5" w14:textId="77777777" w:rsidR="00561CE4" w:rsidRDefault="007F6C5A" w:rsidP="007F6C5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Centrinės valdžios</w:t>
            </w:r>
            <w:r w:rsidR="00561CE4">
              <w:rPr>
                <w:rFonts w:ascii="Georgia" w:hAnsi="Georgia" w:cs="Georgia"/>
                <w:sz w:val="20"/>
                <w:szCs w:val="20"/>
              </w:rPr>
              <w:t xml:space="preserve"> pastatų renovacijos paklausa, mln. EUR (mln. Lt)</w:t>
            </w:r>
          </w:p>
        </w:tc>
        <w:tc>
          <w:tcPr>
            <w:tcW w:w="1134" w:type="dxa"/>
          </w:tcPr>
          <w:p w14:paraId="3217C6AF" w14:textId="77777777" w:rsidR="00561CE4" w:rsidRDefault="00561CE4"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133,6 (461,3)</w:t>
            </w:r>
          </w:p>
        </w:tc>
        <w:tc>
          <w:tcPr>
            <w:tcW w:w="3827" w:type="dxa"/>
          </w:tcPr>
          <w:p w14:paraId="552DEDC8" w14:textId="77777777"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lang w:val="en-US"/>
              </w:rPr>
              <w:t>12 x 13</w:t>
            </w:r>
          </w:p>
        </w:tc>
      </w:tr>
    </w:tbl>
    <w:p w14:paraId="72048BBE" w14:textId="77777777" w:rsidR="00561CE4" w:rsidRDefault="00561CE4" w:rsidP="00561CE4">
      <w:pPr>
        <w:autoSpaceDE w:val="0"/>
        <w:autoSpaceDN w:val="0"/>
        <w:adjustRightInd w:val="0"/>
        <w:spacing w:after="0"/>
        <w:jc w:val="both"/>
        <w:rPr>
          <w:rFonts w:ascii="Georgia" w:hAnsi="Georgia" w:cs="Georgia"/>
          <w:sz w:val="20"/>
          <w:szCs w:val="20"/>
          <w:lang w:val="lt-LT"/>
        </w:rPr>
      </w:pPr>
    </w:p>
    <w:p w14:paraId="3371FD8C" w14:textId="77777777" w:rsidR="00561CE4" w:rsidRDefault="00561CE4" w:rsidP="00561CE4">
      <w:pPr>
        <w:autoSpaceDE w:val="0"/>
        <w:autoSpaceDN w:val="0"/>
        <w:adjustRightInd w:val="0"/>
        <w:spacing w:after="0"/>
        <w:jc w:val="both"/>
        <w:rPr>
          <w:rFonts w:ascii="Georgia" w:hAnsi="Georgia"/>
          <w:bCs/>
          <w:i/>
          <w:sz w:val="20"/>
          <w:szCs w:val="24"/>
          <w:lang w:val="lt-LT"/>
        </w:rPr>
      </w:pPr>
      <w:r w:rsidRPr="00755876">
        <w:rPr>
          <w:rFonts w:ascii="Georgia" w:hAnsi="Georgia"/>
          <w:bCs/>
          <w:i/>
          <w:sz w:val="20"/>
          <w:szCs w:val="24"/>
          <w:lang w:val="lt-LT"/>
        </w:rPr>
        <w:t xml:space="preserve">Paklausos skaičiavimas atsižvelgiant į </w:t>
      </w:r>
      <w:r>
        <w:rPr>
          <w:rFonts w:ascii="Georgia" w:hAnsi="Georgia"/>
          <w:bCs/>
          <w:i/>
          <w:sz w:val="20"/>
          <w:szCs w:val="24"/>
          <w:lang w:val="lt-LT"/>
        </w:rPr>
        <w:t xml:space="preserve">Energijos efektyvumo direktyvoje </w:t>
      </w:r>
      <w:r w:rsidRPr="00755876">
        <w:rPr>
          <w:rFonts w:ascii="Georgia" w:hAnsi="Georgia"/>
          <w:bCs/>
          <w:i/>
          <w:sz w:val="20"/>
          <w:szCs w:val="24"/>
          <w:lang w:val="lt-LT"/>
        </w:rPr>
        <w:t xml:space="preserve">suformuotus </w:t>
      </w:r>
      <w:r>
        <w:rPr>
          <w:rFonts w:ascii="Georgia" w:hAnsi="Georgia"/>
          <w:bCs/>
          <w:i/>
          <w:sz w:val="20"/>
          <w:szCs w:val="24"/>
          <w:lang w:val="lt-LT"/>
        </w:rPr>
        <w:t>įsipareigojimus</w:t>
      </w:r>
    </w:p>
    <w:p w14:paraId="3718B1B6" w14:textId="77777777" w:rsidR="00561CE4" w:rsidRDefault="00561CE4" w:rsidP="00561CE4">
      <w:pPr>
        <w:autoSpaceDE w:val="0"/>
        <w:autoSpaceDN w:val="0"/>
        <w:adjustRightInd w:val="0"/>
        <w:spacing w:after="0"/>
        <w:jc w:val="both"/>
        <w:rPr>
          <w:rFonts w:ascii="Georgia" w:hAnsi="Georgia"/>
          <w:bCs/>
          <w:i/>
          <w:sz w:val="20"/>
          <w:szCs w:val="24"/>
          <w:lang w:val="lt-LT"/>
        </w:rPr>
      </w:pPr>
    </w:p>
    <w:p w14:paraId="49666264" w14:textId="77777777" w:rsidR="00561CE4" w:rsidRDefault="00561CE4" w:rsidP="00561CE4">
      <w:pPr>
        <w:autoSpaceDE w:val="0"/>
        <w:autoSpaceDN w:val="0"/>
        <w:adjustRightInd w:val="0"/>
        <w:spacing w:after="0"/>
        <w:jc w:val="both"/>
        <w:rPr>
          <w:rFonts w:ascii="Georgia" w:hAnsi="Georgia" w:cs="Georgia"/>
          <w:sz w:val="20"/>
          <w:szCs w:val="20"/>
          <w:lang w:val="lt-LT"/>
        </w:rPr>
      </w:pPr>
      <w:r w:rsidRPr="00561CE4">
        <w:rPr>
          <w:rFonts w:ascii="Georgia" w:hAnsi="Georgia"/>
          <w:bCs/>
          <w:sz w:val="20"/>
          <w:szCs w:val="20"/>
          <w:lang w:val="lt-LT"/>
        </w:rPr>
        <w:t xml:space="preserve">Žemiau </w:t>
      </w:r>
      <w:r w:rsidR="000B28FE">
        <w:rPr>
          <w:rFonts w:ascii="Georgia" w:hAnsi="Georgia"/>
          <w:bCs/>
          <w:sz w:val="20"/>
          <w:szCs w:val="20"/>
          <w:lang w:val="lt-LT"/>
        </w:rPr>
        <w:t>esančioje lentelėje</w:t>
      </w:r>
      <w:r w:rsidRPr="00561CE4">
        <w:rPr>
          <w:rFonts w:ascii="Georgia" w:hAnsi="Georgia"/>
          <w:bCs/>
          <w:sz w:val="20"/>
          <w:szCs w:val="20"/>
          <w:lang w:val="lt-LT"/>
        </w:rPr>
        <w:t xml:space="preserve"> pateikiamos</w:t>
      </w:r>
      <w:r>
        <w:rPr>
          <w:rFonts w:ascii="Georgia" w:hAnsi="Georgia"/>
          <w:bCs/>
          <w:sz w:val="20"/>
          <w:szCs w:val="24"/>
          <w:lang w:val="lt-LT"/>
        </w:rPr>
        <w:t xml:space="preserve">  prielaidos ir skaičiavimai bei jų pagrindimas skaičiuojant viešųjų pastatų paklausą,  </w:t>
      </w:r>
      <w:r w:rsidRPr="00060981">
        <w:rPr>
          <w:rFonts w:ascii="Georgia" w:hAnsi="Georgia"/>
          <w:bCs/>
          <w:sz w:val="20"/>
          <w:szCs w:val="24"/>
          <w:lang w:val="lt-LT"/>
        </w:rPr>
        <w:t xml:space="preserve">kai </w:t>
      </w:r>
      <w:r>
        <w:rPr>
          <w:rFonts w:ascii="Georgia" w:hAnsi="Georgia" w:cs="Georgia"/>
          <w:sz w:val="20"/>
          <w:szCs w:val="20"/>
          <w:lang w:val="lt-LT"/>
        </w:rPr>
        <w:t>centrinės valdžios pastatų renovacijos</w:t>
      </w:r>
      <w:r w:rsidRPr="00F16FF8">
        <w:rPr>
          <w:rFonts w:ascii="Georgia" w:hAnsi="Georgia" w:cs="Georgia"/>
          <w:sz w:val="20"/>
          <w:szCs w:val="20"/>
          <w:lang w:val="lt-LT"/>
        </w:rPr>
        <w:t xml:space="preserve"> </w:t>
      </w:r>
      <w:r>
        <w:rPr>
          <w:rFonts w:ascii="Georgia" w:hAnsi="Georgia" w:cs="Georgia"/>
          <w:sz w:val="20"/>
          <w:szCs w:val="20"/>
          <w:lang w:val="lt-LT"/>
        </w:rPr>
        <w:t>poreikis yra lygus įsipareigojimams pagal Energijos efektyvumo direktyvą (</w:t>
      </w:r>
      <w:r>
        <w:rPr>
          <w:rFonts w:ascii="Georgia" w:hAnsi="Georgia"/>
          <w:bCs/>
          <w:sz w:val="20"/>
          <w:szCs w:val="24"/>
          <w:lang w:val="lt-LT"/>
        </w:rPr>
        <w:t>skaičiuojant skaičiuotinų dydžių metodu).</w:t>
      </w:r>
      <w:r w:rsidR="00BC67D3" w:rsidRPr="00BC67D3">
        <w:rPr>
          <w:rFonts w:ascii="Georgia" w:hAnsi="Georgia"/>
          <w:bCs/>
          <w:sz w:val="20"/>
          <w:szCs w:val="24"/>
          <w:lang w:val="lt-LT"/>
        </w:rPr>
        <w:t xml:space="preserve"> </w:t>
      </w:r>
      <w:r w:rsidR="00BC67D3">
        <w:rPr>
          <w:rFonts w:ascii="Georgia" w:hAnsi="Georgia"/>
          <w:bCs/>
          <w:sz w:val="20"/>
          <w:szCs w:val="24"/>
          <w:lang w:val="lt-LT"/>
        </w:rPr>
        <w:t>Lentelės skiltyje „Informacijos šaltinis, pagrindimas“ esantys skaičiai formulėse nurodo, iš kokių lentelės eilučių imami skaičiai apskaičiuo</w:t>
      </w:r>
      <w:r w:rsidR="003A6D60">
        <w:rPr>
          <w:rFonts w:ascii="Georgia" w:hAnsi="Georgia"/>
          <w:bCs/>
          <w:sz w:val="20"/>
          <w:szCs w:val="24"/>
          <w:lang w:val="lt-LT"/>
        </w:rPr>
        <w:t>jant</w:t>
      </w:r>
      <w:r w:rsidR="00BC67D3">
        <w:rPr>
          <w:rFonts w:ascii="Georgia" w:hAnsi="Georgia"/>
          <w:bCs/>
          <w:sz w:val="20"/>
          <w:szCs w:val="24"/>
          <w:lang w:val="lt-LT"/>
        </w:rPr>
        <w:t xml:space="preserve"> siektiną rodiklį.</w:t>
      </w:r>
    </w:p>
    <w:p w14:paraId="77D976E8" w14:textId="77777777" w:rsidR="00561CE4" w:rsidRDefault="00561CE4" w:rsidP="00561CE4">
      <w:pPr>
        <w:autoSpaceDE w:val="0"/>
        <w:autoSpaceDN w:val="0"/>
        <w:adjustRightInd w:val="0"/>
        <w:spacing w:after="0"/>
        <w:jc w:val="both"/>
        <w:rPr>
          <w:rFonts w:ascii="Georgia" w:hAnsi="Georgia"/>
          <w:bCs/>
          <w:i/>
          <w:sz w:val="20"/>
          <w:szCs w:val="24"/>
          <w:lang w:val="lt-LT"/>
        </w:rPr>
      </w:pPr>
    </w:p>
    <w:p w14:paraId="6CB3A7A7" w14:textId="7F2956FE" w:rsidR="00561CE4" w:rsidRPr="00386440" w:rsidRDefault="00561CE4" w:rsidP="003A6D60">
      <w:pPr>
        <w:pStyle w:val="Antrat"/>
        <w:jc w:val="both"/>
      </w:pPr>
      <w:bookmarkStart w:id="47" w:name="_Ref399517644"/>
      <w:bookmarkStart w:id="48" w:name="_Toc460321594"/>
      <w:r w:rsidRPr="006F741F">
        <w:rPr>
          <w:lang w:val="lt-LT"/>
        </w:rPr>
        <w:t xml:space="preserve">Lentelė </w:t>
      </w:r>
      <w:r w:rsidRPr="006F741F">
        <w:rPr>
          <w:lang w:val="lt-LT"/>
        </w:rPr>
        <w:fldChar w:fldCharType="begin"/>
      </w:r>
      <w:r w:rsidRPr="006F741F">
        <w:rPr>
          <w:lang w:val="lt-LT"/>
        </w:rPr>
        <w:instrText xml:space="preserve"> SEQ Lentelė \* ARABIC </w:instrText>
      </w:r>
      <w:r w:rsidRPr="006F741F">
        <w:rPr>
          <w:lang w:val="lt-LT"/>
        </w:rPr>
        <w:fldChar w:fldCharType="separate"/>
      </w:r>
      <w:r w:rsidR="00AA3082">
        <w:rPr>
          <w:noProof/>
          <w:lang w:val="lt-LT"/>
        </w:rPr>
        <w:t>13</w:t>
      </w:r>
      <w:r w:rsidRPr="006F741F">
        <w:rPr>
          <w:lang w:val="lt-LT"/>
        </w:rPr>
        <w:fldChar w:fldCharType="end"/>
      </w:r>
      <w:bookmarkEnd w:id="47"/>
      <w:r w:rsidRPr="006F741F">
        <w:rPr>
          <w:lang w:val="lt-LT"/>
        </w:rPr>
        <w:t>. Viešųjų pastatų p</w:t>
      </w:r>
      <w:r w:rsidRPr="00D317D7">
        <w:rPr>
          <w:rFonts w:cs="Georgia"/>
          <w:szCs w:val="20"/>
          <w:lang w:val="lt-LT"/>
        </w:rPr>
        <w:t>aklausos skaičiavimo prielaidos ir paklausos rodiklių</w:t>
      </w:r>
      <w:r>
        <w:rPr>
          <w:rFonts w:cs="Georgia"/>
          <w:szCs w:val="20"/>
          <w:lang w:val="lt-LT"/>
        </w:rPr>
        <w:t xml:space="preserve"> skaičiavimas, kai centrinės valdžios renovuojamų pastatų kiekis atitinka (neviršija) Energijos efektyvumo direktyvos įsipareigojimus (skaičiuojant skaičiuotinų dydžių metodu)</w:t>
      </w:r>
      <w:bookmarkEnd w:id="48"/>
    </w:p>
    <w:tbl>
      <w:tblPr>
        <w:tblStyle w:val="viesussraas2parykinimas"/>
        <w:tblW w:w="5000" w:type="pct"/>
        <w:tblLook w:val="04A0" w:firstRow="1" w:lastRow="0" w:firstColumn="1" w:lastColumn="0" w:noHBand="0" w:noVBand="1"/>
      </w:tblPr>
      <w:tblGrid>
        <w:gridCol w:w="625"/>
        <w:gridCol w:w="3623"/>
        <w:gridCol w:w="1142"/>
        <w:gridCol w:w="3852"/>
      </w:tblGrid>
      <w:tr w:rsidR="00561CE4" w:rsidRPr="00714494" w14:paraId="2B0A2841" w14:textId="77777777" w:rsidTr="0071449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8" w:type="pct"/>
          </w:tcPr>
          <w:p w14:paraId="433397CC" w14:textId="77777777" w:rsidR="00561CE4" w:rsidRPr="00714494" w:rsidRDefault="00561CE4" w:rsidP="003A6D60">
            <w:pPr>
              <w:keepNext/>
              <w:autoSpaceDE w:val="0"/>
              <w:autoSpaceDN w:val="0"/>
              <w:adjustRightInd w:val="0"/>
              <w:jc w:val="both"/>
              <w:rPr>
                <w:rFonts w:ascii="Georgia" w:hAnsi="Georgia"/>
                <w:bCs w:val="0"/>
                <w:sz w:val="20"/>
                <w:szCs w:val="24"/>
              </w:rPr>
            </w:pPr>
            <w:r w:rsidRPr="00714494">
              <w:rPr>
                <w:rFonts w:ascii="Georgia" w:hAnsi="Georgia"/>
                <w:bCs w:val="0"/>
                <w:sz w:val="20"/>
                <w:szCs w:val="24"/>
              </w:rPr>
              <w:t>Eil.</w:t>
            </w:r>
          </w:p>
          <w:p w14:paraId="2D5336C4" w14:textId="77777777" w:rsidR="00561CE4" w:rsidRPr="00714494" w:rsidRDefault="00561CE4" w:rsidP="003A6D60">
            <w:pPr>
              <w:keepNext/>
              <w:autoSpaceDE w:val="0"/>
              <w:autoSpaceDN w:val="0"/>
              <w:adjustRightInd w:val="0"/>
              <w:jc w:val="both"/>
              <w:rPr>
                <w:rFonts w:ascii="Georgia" w:hAnsi="Georgia"/>
                <w:bCs w:val="0"/>
                <w:sz w:val="20"/>
                <w:szCs w:val="24"/>
              </w:rPr>
            </w:pPr>
            <w:r w:rsidRPr="00714494">
              <w:rPr>
                <w:rFonts w:ascii="Georgia" w:hAnsi="Georgia"/>
                <w:bCs w:val="0"/>
                <w:sz w:val="20"/>
                <w:szCs w:val="24"/>
              </w:rPr>
              <w:t>Nr.</w:t>
            </w:r>
          </w:p>
        </w:tc>
        <w:tc>
          <w:tcPr>
            <w:tcW w:w="1960" w:type="pct"/>
          </w:tcPr>
          <w:p w14:paraId="6C68C5E2" w14:textId="77777777" w:rsidR="00561CE4" w:rsidRPr="00714494" w:rsidRDefault="00561CE4" w:rsidP="00714494">
            <w:pPr>
              <w:keepNext/>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sidRPr="00714494">
              <w:rPr>
                <w:rFonts w:ascii="Georgia" w:hAnsi="Georgia"/>
                <w:bCs w:val="0"/>
                <w:sz w:val="20"/>
                <w:szCs w:val="24"/>
              </w:rPr>
              <w:t>Rodiklis</w:t>
            </w:r>
          </w:p>
        </w:tc>
        <w:tc>
          <w:tcPr>
            <w:tcW w:w="618" w:type="pct"/>
          </w:tcPr>
          <w:p w14:paraId="0A7C504A" w14:textId="77777777" w:rsidR="00561CE4" w:rsidRPr="00714494" w:rsidRDefault="00561CE4" w:rsidP="00714494">
            <w:pPr>
              <w:keepNext/>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sidRPr="00714494">
              <w:rPr>
                <w:rFonts w:ascii="Georgia" w:hAnsi="Georgia"/>
                <w:bCs w:val="0"/>
                <w:sz w:val="20"/>
                <w:szCs w:val="24"/>
              </w:rPr>
              <w:t>Rodiklio dydis</w:t>
            </w:r>
          </w:p>
        </w:tc>
        <w:tc>
          <w:tcPr>
            <w:tcW w:w="2084" w:type="pct"/>
          </w:tcPr>
          <w:p w14:paraId="5E20CA9F" w14:textId="77777777" w:rsidR="00561CE4" w:rsidRPr="00714494" w:rsidRDefault="00561CE4" w:rsidP="00714494">
            <w:pPr>
              <w:keepNext/>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sidRPr="00714494">
              <w:rPr>
                <w:rFonts w:ascii="Georgia" w:hAnsi="Georgia"/>
                <w:bCs w:val="0"/>
                <w:sz w:val="20"/>
                <w:szCs w:val="24"/>
              </w:rPr>
              <w:t>Informacijos šaltinis, pagrindimas</w:t>
            </w:r>
          </w:p>
        </w:tc>
      </w:tr>
      <w:tr w:rsidR="00561CE4" w14:paraId="593C5AAA" w14:textId="77777777" w:rsidTr="007144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14:paraId="3FB70E12" w14:textId="77777777" w:rsidR="00561CE4" w:rsidRDefault="00561CE4" w:rsidP="003A6D60">
            <w:pPr>
              <w:keepNext/>
              <w:autoSpaceDE w:val="0"/>
              <w:autoSpaceDN w:val="0"/>
              <w:adjustRightInd w:val="0"/>
              <w:jc w:val="both"/>
              <w:rPr>
                <w:rFonts w:ascii="Georgia" w:hAnsi="Georgia"/>
                <w:bCs w:val="0"/>
                <w:sz w:val="20"/>
                <w:szCs w:val="24"/>
              </w:rPr>
            </w:pPr>
            <w:r>
              <w:rPr>
                <w:rFonts w:ascii="Georgia" w:hAnsi="Georgia"/>
                <w:bCs w:val="0"/>
                <w:sz w:val="20"/>
                <w:szCs w:val="24"/>
              </w:rPr>
              <w:t>1.</w:t>
            </w:r>
          </w:p>
        </w:tc>
        <w:tc>
          <w:tcPr>
            <w:tcW w:w="1960" w:type="pct"/>
          </w:tcPr>
          <w:p w14:paraId="6CA394D0" w14:textId="77777777" w:rsidR="00561CE4" w:rsidRDefault="00561CE4" w:rsidP="003A6D60">
            <w:pPr>
              <w:keepNext/>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M</w:t>
            </w:r>
            <w:r w:rsidRPr="006111BD">
              <w:rPr>
                <w:rFonts w:ascii="Georgia" w:hAnsi="Georgia"/>
                <w:bCs/>
                <w:sz w:val="20"/>
                <w:szCs w:val="24"/>
              </w:rPr>
              <w:t>etinio šilumos suvartojimo kiekio vidurkis</w:t>
            </w:r>
            <w:r>
              <w:rPr>
                <w:rFonts w:ascii="Georgia" w:hAnsi="Georgia"/>
                <w:bCs/>
                <w:sz w:val="20"/>
                <w:szCs w:val="24"/>
              </w:rPr>
              <w:t>, kWh/m</w:t>
            </w:r>
            <w:r>
              <w:rPr>
                <w:rFonts w:ascii="Georgia" w:hAnsi="Georgia"/>
                <w:bCs/>
                <w:sz w:val="20"/>
                <w:szCs w:val="24"/>
                <w:vertAlign w:val="superscript"/>
              </w:rPr>
              <w:t>2</w:t>
            </w:r>
          </w:p>
        </w:tc>
        <w:tc>
          <w:tcPr>
            <w:tcW w:w="618" w:type="pct"/>
          </w:tcPr>
          <w:p w14:paraId="5A90EC51" w14:textId="77777777" w:rsidR="00561CE4" w:rsidRDefault="00561CE4" w:rsidP="003A6D60">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255</w:t>
            </w:r>
          </w:p>
        </w:tc>
        <w:tc>
          <w:tcPr>
            <w:tcW w:w="2084" w:type="pct"/>
          </w:tcPr>
          <w:p w14:paraId="04C6C9E7" w14:textId="77777777" w:rsidR="00561CE4" w:rsidRDefault="00561CE4" w:rsidP="003A6D60">
            <w:pPr>
              <w:keepNext/>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Remiantis pastatų energinio naudingumo sertifikatų viešojo registro duomenimis, tokį kiekį e</w:t>
            </w:r>
            <w:r w:rsidR="007F6C5A">
              <w:rPr>
                <w:rFonts w:ascii="Georgia" w:hAnsi="Georgia" w:cs="Georgia"/>
                <w:sz w:val="20"/>
                <w:szCs w:val="20"/>
              </w:rPr>
              <w:t>nergijos vidutiniškai suvartoja</w:t>
            </w:r>
            <w:r>
              <w:rPr>
                <w:rFonts w:ascii="Georgia" w:hAnsi="Georgia" w:cs="Georgia"/>
                <w:sz w:val="20"/>
                <w:szCs w:val="20"/>
              </w:rPr>
              <w:t xml:space="preserve"> sertifikuoti D, E</w:t>
            </w:r>
            <w:r w:rsidR="007F6C5A">
              <w:rPr>
                <w:rFonts w:ascii="Georgia" w:hAnsi="Georgia" w:cs="Georgia"/>
                <w:sz w:val="20"/>
                <w:szCs w:val="20"/>
              </w:rPr>
              <w:t>, F energinio naudingumo klasės</w:t>
            </w:r>
            <w:r>
              <w:rPr>
                <w:rFonts w:ascii="Georgia" w:hAnsi="Georgia" w:cs="Georgia"/>
                <w:sz w:val="20"/>
                <w:szCs w:val="20"/>
              </w:rPr>
              <w:t xml:space="preserve"> viešosios paskirties pastatai </w:t>
            </w:r>
          </w:p>
        </w:tc>
      </w:tr>
      <w:tr w:rsidR="00561CE4" w14:paraId="22A4B5D4" w14:textId="77777777" w:rsidTr="00714494">
        <w:trPr>
          <w:cantSplit/>
        </w:trPr>
        <w:tc>
          <w:tcPr>
            <w:cnfStyle w:val="001000000000" w:firstRow="0" w:lastRow="0" w:firstColumn="1" w:lastColumn="0" w:oddVBand="0" w:evenVBand="0" w:oddHBand="0" w:evenHBand="0" w:firstRowFirstColumn="0" w:firstRowLastColumn="0" w:lastRowFirstColumn="0" w:lastRowLastColumn="0"/>
            <w:tcW w:w="338" w:type="pct"/>
          </w:tcPr>
          <w:p w14:paraId="7B6F0AFD" w14:textId="77777777" w:rsidR="00561CE4" w:rsidRDefault="00561CE4" w:rsidP="00A555CA">
            <w:pPr>
              <w:autoSpaceDE w:val="0"/>
              <w:autoSpaceDN w:val="0"/>
              <w:adjustRightInd w:val="0"/>
              <w:jc w:val="both"/>
              <w:rPr>
                <w:rFonts w:ascii="Georgia" w:hAnsi="Georgia" w:cs="Georgia"/>
                <w:sz w:val="20"/>
                <w:szCs w:val="20"/>
              </w:rPr>
            </w:pPr>
            <w:r>
              <w:rPr>
                <w:rFonts w:ascii="Georgia" w:hAnsi="Georgia" w:cs="Georgia"/>
                <w:sz w:val="20"/>
                <w:szCs w:val="20"/>
              </w:rPr>
              <w:t>2.</w:t>
            </w:r>
          </w:p>
        </w:tc>
        <w:tc>
          <w:tcPr>
            <w:tcW w:w="1960" w:type="pct"/>
          </w:tcPr>
          <w:p w14:paraId="6E0586F1" w14:textId="77777777" w:rsidR="00561CE4" w:rsidRDefault="00561CE4"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Po</w:t>
            </w:r>
            <w:r w:rsidR="007F6C5A">
              <w:rPr>
                <w:rFonts w:ascii="Georgia" w:hAnsi="Georgia" w:cs="Georgia"/>
                <w:sz w:val="20"/>
                <w:szCs w:val="20"/>
              </w:rPr>
              <w:t xml:space="preserve"> renovacijos pastatų energetinio</w:t>
            </w:r>
            <w:r>
              <w:rPr>
                <w:rFonts w:ascii="Georgia" w:hAnsi="Georgia" w:cs="Georgia"/>
                <w:sz w:val="20"/>
                <w:szCs w:val="20"/>
              </w:rPr>
              <w:t xml:space="preserve"> naudingumo klasė, ne mažesnė kaip</w:t>
            </w:r>
          </w:p>
        </w:tc>
        <w:tc>
          <w:tcPr>
            <w:tcW w:w="618" w:type="pct"/>
          </w:tcPr>
          <w:p w14:paraId="6516AF47" w14:textId="77777777" w:rsidR="00561CE4" w:rsidRDefault="00561CE4"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C klasė</w:t>
            </w:r>
          </w:p>
        </w:tc>
        <w:tc>
          <w:tcPr>
            <w:tcW w:w="2084" w:type="pct"/>
          </w:tcPr>
          <w:p w14:paraId="324F2E01" w14:textId="77777777" w:rsidR="00561CE4" w:rsidRDefault="00561CE4"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Vadovaujantis STR 2.01.09:2012</w:t>
            </w:r>
          </w:p>
        </w:tc>
      </w:tr>
      <w:tr w:rsidR="00561CE4" w14:paraId="0702647D" w14:textId="77777777" w:rsidTr="007144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14:paraId="23E05B36" w14:textId="77777777" w:rsidR="00561CE4" w:rsidRDefault="00561CE4" w:rsidP="00A555CA">
            <w:pPr>
              <w:autoSpaceDE w:val="0"/>
              <w:autoSpaceDN w:val="0"/>
              <w:adjustRightInd w:val="0"/>
              <w:jc w:val="both"/>
              <w:rPr>
                <w:rFonts w:ascii="Georgia" w:hAnsi="Georgia" w:cs="Georgia"/>
                <w:sz w:val="20"/>
                <w:szCs w:val="20"/>
              </w:rPr>
            </w:pPr>
            <w:r>
              <w:rPr>
                <w:rFonts w:ascii="Georgia" w:hAnsi="Georgia" w:cs="Georgia"/>
                <w:sz w:val="20"/>
                <w:szCs w:val="20"/>
              </w:rPr>
              <w:t>3.</w:t>
            </w:r>
          </w:p>
        </w:tc>
        <w:tc>
          <w:tcPr>
            <w:tcW w:w="1960" w:type="pct"/>
          </w:tcPr>
          <w:p w14:paraId="7117EE3F" w14:textId="77777777"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Po renovacijos pastatų energijos suvartojimas, </w:t>
            </w:r>
            <w:r>
              <w:rPr>
                <w:rFonts w:ascii="Georgia" w:hAnsi="Georgia"/>
                <w:bCs/>
                <w:sz w:val="20"/>
                <w:szCs w:val="24"/>
              </w:rPr>
              <w:t>kWh/m</w:t>
            </w:r>
            <w:r>
              <w:rPr>
                <w:rFonts w:ascii="Georgia" w:hAnsi="Georgia"/>
                <w:bCs/>
                <w:sz w:val="20"/>
                <w:szCs w:val="24"/>
                <w:vertAlign w:val="superscript"/>
              </w:rPr>
              <w:t>2</w:t>
            </w:r>
          </w:p>
        </w:tc>
        <w:tc>
          <w:tcPr>
            <w:tcW w:w="618" w:type="pct"/>
          </w:tcPr>
          <w:p w14:paraId="3E1BD99A" w14:textId="77777777" w:rsidR="00561CE4" w:rsidRDefault="00561CE4"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116</w:t>
            </w:r>
          </w:p>
        </w:tc>
        <w:tc>
          <w:tcPr>
            <w:tcW w:w="2084" w:type="pct"/>
          </w:tcPr>
          <w:p w14:paraId="4D77C661" w14:textId="77777777"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Vadovaujantis </w:t>
            </w:r>
            <w:r w:rsidR="007F6C5A">
              <w:rPr>
                <w:rFonts w:ascii="Georgia" w:hAnsi="Georgia" w:cs="Georgia"/>
                <w:sz w:val="20"/>
                <w:szCs w:val="20"/>
              </w:rPr>
              <w:t>STR 2.01.09:2012 po renovacijos</w:t>
            </w:r>
            <w:r>
              <w:rPr>
                <w:rFonts w:ascii="Georgia" w:hAnsi="Georgia" w:cs="Georgia"/>
                <w:sz w:val="20"/>
                <w:szCs w:val="20"/>
              </w:rPr>
              <w:t xml:space="preserve"> pastatų energetinis naudingumas pagal serti</w:t>
            </w:r>
            <w:r w:rsidR="007F6C5A">
              <w:rPr>
                <w:rFonts w:ascii="Georgia" w:hAnsi="Georgia" w:cs="Georgia"/>
                <w:sz w:val="20"/>
                <w:szCs w:val="20"/>
              </w:rPr>
              <w:t>fikavimo duomenis turi pasiekti</w:t>
            </w:r>
            <w:r>
              <w:rPr>
                <w:rFonts w:ascii="Georgia" w:hAnsi="Georgia" w:cs="Georgia"/>
                <w:sz w:val="20"/>
                <w:szCs w:val="20"/>
              </w:rPr>
              <w:t xml:space="preserve"> ne didesnį kaip vidutiniškai nurodytą energijos suvartojimo kiekį</w:t>
            </w:r>
          </w:p>
        </w:tc>
      </w:tr>
      <w:tr w:rsidR="00561CE4" w14:paraId="008BDD97" w14:textId="77777777" w:rsidTr="00714494">
        <w:trPr>
          <w:cantSplit/>
        </w:trPr>
        <w:tc>
          <w:tcPr>
            <w:cnfStyle w:val="001000000000" w:firstRow="0" w:lastRow="0" w:firstColumn="1" w:lastColumn="0" w:oddVBand="0" w:evenVBand="0" w:oddHBand="0" w:evenHBand="0" w:firstRowFirstColumn="0" w:firstRowLastColumn="0" w:lastRowFirstColumn="0" w:lastRowLastColumn="0"/>
            <w:tcW w:w="338" w:type="pct"/>
          </w:tcPr>
          <w:p w14:paraId="01D5BC72" w14:textId="77777777"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4.</w:t>
            </w:r>
          </w:p>
        </w:tc>
        <w:tc>
          <w:tcPr>
            <w:tcW w:w="1960" w:type="pct"/>
          </w:tcPr>
          <w:p w14:paraId="7FAB1B41" w14:textId="77777777" w:rsidR="00561CE4" w:rsidRDefault="00561CE4"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V</w:t>
            </w:r>
            <w:r w:rsidRPr="006D6D62">
              <w:rPr>
                <w:rFonts w:ascii="Georgia" w:hAnsi="Georgia"/>
                <w:bCs/>
                <w:sz w:val="20"/>
                <w:szCs w:val="24"/>
              </w:rPr>
              <w:t>idutis viešojo pastato plotas</w:t>
            </w:r>
            <w:r>
              <w:rPr>
                <w:rFonts w:ascii="Georgia" w:hAnsi="Georgia"/>
                <w:bCs/>
                <w:sz w:val="20"/>
                <w:szCs w:val="24"/>
              </w:rPr>
              <w:t>, m</w:t>
            </w:r>
            <w:r>
              <w:rPr>
                <w:rFonts w:ascii="Georgia" w:hAnsi="Georgia"/>
                <w:bCs/>
                <w:sz w:val="20"/>
                <w:szCs w:val="24"/>
                <w:vertAlign w:val="superscript"/>
              </w:rPr>
              <w:t>2</w:t>
            </w:r>
          </w:p>
        </w:tc>
        <w:tc>
          <w:tcPr>
            <w:tcW w:w="618" w:type="pct"/>
          </w:tcPr>
          <w:p w14:paraId="62419582" w14:textId="77777777" w:rsidR="00561CE4" w:rsidRDefault="00561CE4"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1127</w:t>
            </w:r>
          </w:p>
        </w:tc>
        <w:tc>
          <w:tcPr>
            <w:tcW w:w="2084" w:type="pct"/>
          </w:tcPr>
          <w:p w14:paraId="0911879A" w14:textId="77777777" w:rsidR="00561CE4" w:rsidRDefault="00561CE4"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Paskaičiuota 2.1.1. dalyje</w:t>
            </w:r>
          </w:p>
        </w:tc>
      </w:tr>
      <w:tr w:rsidR="00561CE4" w14:paraId="417BF233" w14:textId="77777777" w:rsidTr="007144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14:paraId="10C097A4" w14:textId="77777777"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5</w:t>
            </w:r>
          </w:p>
        </w:tc>
        <w:tc>
          <w:tcPr>
            <w:tcW w:w="1960" w:type="pct"/>
          </w:tcPr>
          <w:p w14:paraId="47862161" w14:textId="77777777"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Bendras viešųjų pastatų metinis sutaupymas, GWh</w:t>
            </w:r>
          </w:p>
        </w:tc>
        <w:tc>
          <w:tcPr>
            <w:tcW w:w="618" w:type="pct"/>
          </w:tcPr>
          <w:p w14:paraId="7FBB716B" w14:textId="77777777" w:rsidR="00561CE4" w:rsidRDefault="00561CE4"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36,6</w:t>
            </w:r>
          </w:p>
        </w:tc>
        <w:tc>
          <w:tcPr>
            <w:tcW w:w="2084" w:type="pct"/>
          </w:tcPr>
          <w:p w14:paraId="54FB2309" w14:textId="77777777"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Paskaičiuota 2.2.1. dalyje</w:t>
            </w:r>
          </w:p>
        </w:tc>
      </w:tr>
      <w:tr w:rsidR="00121072" w14:paraId="432C7AD2" w14:textId="77777777" w:rsidTr="00714494">
        <w:trPr>
          <w:cantSplit/>
        </w:trPr>
        <w:tc>
          <w:tcPr>
            <w:cnfStyle w:val="001000000000" w:firstRow="0" w:lastRow="0" w:firstColumn="1" w:lastColumn="0" w:oddVBand="0" w:evenVBand="0" w:oddHBand="0" w:evenHBand="0" w:firstRowFirstColumn="0" w:firstRowLastColumn="0" w:lastRowFirstColumn="0" w:lastRowLastColumn="0"/>
            <w:tcW w:w="338" w:type="pct"/>
          </w:tcPr>
          <w:p w14:paraId="4B0777E0" w14:textId="77777777" w:rsidR="00121072" w:rsidRDefault="00121072" w:rsidP="00A555CA">
            <w:pPr>
              <w:autoSpaceDE w:val="0"/>
              <w:autoSpaceDN w:val="0"/>
              <w:adjustRightInd w:val="0"/>
              <w:jc w:val="both"/>
              <w:rPr>
                <w:rFonts w:ascii="Georgia" w:hAnsi="Georgia"/>
                <w:bCs w:val="0"/>
                <w:sz w:val="20"/>
                <w:szCs w:val="24"/>
              </w:rPr>
            </w:pPr>
            <w:r>
              <w:rPr>
                <w:rFonts w:ascii="Georgia" w:hAnsi="Georgia"/>
                <w:bCs w:val="0"/>
                <w:sz w:val="20"/>
                <w:szCs w:val="24"/>
              </w:rPr>
              <w:t>6.</w:t>
            </w:r>
          </w:p>
        </w:tc>
        <w:tc>
          <w:tcPr>
            <w:tcW w:w="1960" w:type="pct"/>
          </w:tcPr>
          <w:p w14:paraId="788EB50C" w14:textId="77777777" w:rsidR="00121072" w:rsidRDefault="00121072"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Tipinio viešojo renovuoto pastato sutaupymai, GWh</w:t>
            </w:r>
            <w:r w:rsidDel="00784435">
              <w:rPr>
                <w:rFonts w:ascii="Georgia" w:hAnsi="Georgia"/>
                <w:bCs/>
                <w:sz w:val="20"/>
                <w:szCs w:val="24"/>
              </w:rPr>
              <w:t xml:space="preserve"> </w:t>
            </w:r>
            <w:r>
              <w:rPr>
                <w:rFonts w:ascii="Georgia" w:hAnsi="Georgia"/>
                <w:bCs/>
                <w:sz w:val="20"/>
                <w:szCs w:val="24"/>
              </w:rPr>
              <w:t>per metus</w:t>
            </w:r>
          </w:p>
        </w:tc>
        <w:tc>
          <w:tcPr>
            <w:tcW w:w="618" w:type="pct"/>
          </w:tcPr>
          <w:p w14:paraId="15C4840C" w14:textId="77777777" w:rsidR="00121072" w:rsidRDefault="00121072"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0,157</w:t>
            </w:r>
          </w:p>
        </w:tc>
        <w:tc>
          <w:tcPr>
            <w:tcW w:w="2084" w:type="pct"/>
          </w:tcPr>
          <w:p w14:paraId="2F0A8F69" w14:textId="77777777" w:rsidR="00121072" w:rsidRDefault="00121072"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( 1 – 3 ) x 4</w:t>
            </w:r>
          </w:p>
        </w:tc>
      </w:tr>
      <w:tr w:rsidR="00561CE4" w14:paraId="65F870FB" w14:textId="77777777" w:rsidTr="007144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14:paraId="1C70B5AA" w14:textId="77777777"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7.</w:t>
            </w:r>
          </w:p>
        </w:tc>
        <w:tc>
          <w:tcPr>
            <w:tcW w:w="1960" w:type="pct"/>
          </w:tcPr>
          <w:p w14:paraId="2AF5F966" w14:textId="77777777"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Bendras renovuotinų viešųjų pastatų kiekis per metus, vnt.</w:t>
            </w:r>
          </w:p>
        </w:tc>
        <w:tc>
          <w:tcPr>
            <w:tcW w:w="618" w:type="pct"/>
          </w:tcPr>
          <w:p w14:paraId="396D9233" w14:textId="77777777" w:rsidR="00561CE4" w:rsidRDefault="00561CE4"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232</w:t>
            </w:r>
          </w:p>
        </w:tc>
        <w:tc>
          <w:tcPr>
            <w:tcW w:w="2084" w:type="pct"/>
          </w:tcPr>
          <w:p w14:paraId="3B8E87B1" w14:textId="77777777"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5 / 6</w:t>
            </w:r>
          </w:p>
        </w:tc>
      </w:tr>
      <w:tr w:rsidR="00561CE4" w14:paraId="38A5F809" w14:textId="77777777" w:rsidTr="00714494">
        <w:trPr>
          <w:cantSplit/>
        </w:trPr>
        <w:tc>
          <w:tcPr>
            <w:cnfStyle w:val="001000000000" w:firstRow="0" w:lastRow="0" w:firstColumn="1" w:lastColumn="0" w:oddVBand="0" w:evenVBand="0" w:oddHBand="0" w:evenHBand="0" w:firstRowFirstColumn="0" w:firstRowLastColumn="0" w:lastRowFirstColumn="0" w:lastRowLastColumn="0"/>
            <w:tcW w:w="338" w:type="pct"/>
          </w:tcPr>
          <w:p w14:paraId="07134BAB" w14:textId="77777777"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8.</w:t>
            </w:r>
          </w:p>
        </w:tc>
        <w:tc>
          <w:tcPr>
            <w:tcW w:w="1960" w:type="pct"/>
          </w:tcPr>
          <w:p w14:paraId="0A4A839D" w14:textId="77777777" w:rsidR="00561CE4" w:rsidRDefault="00561CE4" w:rsidP="007F6C5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bCs/>
                <w:sz w:val="20"/>
                <w:szCs w:val="24"/>
              </w:rPr>
              <w:t xml:space="preserve">Bendras renovuotinų viešųjų pastatų plotas per 2014-2020 </w:t>
            </w:r>
            <w:r w:rsidR="007F6C5A">
              <w:rPr>
                <w:rFonts w:ascii="Georgia" w:hAnsi="Georgia"/>
                <w:bCs/>
                <w:sz w:val="20"/>
                <w:szCs w:val="24"/>
              </w:rPr>
              <w:t>m. periodą</w:t>
            </w:r>
            <w:r>
              <w:rPr>
                <w:rFonts w:ascii="Georgia" w:hAnsi="Georgia"/>
                <w:bCs/>
                <w:sz w:val="20"/>
                <w:szCs w:val="24"/>
              </w:rPr>
              <w:t xml:space="preserve">, </w:t>
            </w:r>
            <w:r>
              <w:rPr>
                <w:rFonts w:ascii="Georgia" w:hAnsi="Georgia" w:cs="Georgia"/>
                <w:sz w:val="20"/>
                <w:szCs w:val="20"/>
              </w:rPr>
              <w:t xml:space="preserve">tūkst. </w:t>
            </w:r>
            <w:r>
              <w:rPr>
                <w:rFonts w:ascii="Georgia" w:hAnsi="Georgia"/>
                <w:bCs/>
                <w:sz w:val="20"/>
                <w:szCs w:val="24"/>
              </w:rPr>
              <w:t>m</w:t>
            </w:r>
            <w:r>
              <w:rPr>
                <w:rFonts w:ascii="Georgia" w:hAnsi="Georgia"/>
                <w:bCs/>
                <w:sz w:val="20"/>
                <w:szCs w:val="24"/>
                <w:vertAlign w:val="superscript"/>
              </w:rPr>
              <w:t>2</w:t>
            </w:r>
          </w:p>
        </w:tc>
        <w:tc>
          <w:tcPr>
            <w:tcW w:w="618" w:type="pct"/>
          </w:tcPr>
          <w:p w14:paraId="67A7E31E" w14:textId="77777777" w:rsidR="00561CE4" w:rsidRDefault="00561CE4"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1568</w:t>
            </w:r>
          </w:p>
        </w:tc>
        <w:tc>
          <w:tcPr>
            <w:tcW w:w="2084" w:type="pct"/>
          </w:tcPr>
          <w:p w14:paraId="2EC0E1DF" w14:textId="77777777" w:rsidR="00561CE4" w:rsidRDefault="00561CE4"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4 x 7 x [6 metai]</w:t>
            </w:r>
          </w:p>
        </w:tc>
      </w:tr>
      <w:tr w:rsidR="00561CE4" w14:paraId="483F8715" w14:textId="77777777" w:rsidTr="007144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14:paraId="52294ACF" w14:textId="77777777"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9.</w:t>
            </w:r>
          </w:p>
        </w:tc>
        <w:tc>
          <w:tcPr>
            <w:tcW w:w="1960" w:type="pct"/>
          </w:tcPr>
          <w:p w14:paraId="1527C35D" w14:textId="77777777" w:rsidR="00561CE4" w:rsidRDefault="00561CE4" w:rsidP="007F6C5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Renovuotinas </w:t>
            </w:r>
            <w:r w:rsidR="007F6C5A">
              <w:rPr>
                <w:rFonts w:ascii="Georgia" w:hAnsi="Georgia" w:cs="Georgia"/>
                <w:sz w:val="20"/>
                <w:szCs w:val="20"/>
              </w:rPr>
              <w:t>centrinės valdžios</w:t>
            </w:r>
            <w:r>
              <w:rPr>
                <w:rFonts w:ascii="Georgia" w:hAnsi="Georgia" w:cs="Georgia"/>
                <w:sz w:val="20"/>
                <w:szCs w:val="20"/>
              </w:rPr>
              <w:t xml:space="preserve"> pastatų plotas per </w:t>
            </w:r>
            <w:r>
              <w:rPr>
                <w:rFonts w:ascii="Georgia" w:hAnsi="Georgia"/>
                <w:bCs/>
                <w:sz w:val="20"/>
                <w:szCs w:val="24"/>
              </w:rPr>
              <w:t xml:space="preserve">2014-2020 </w:t>
            </w:r>
            <w:r w:rsidR="007F6C5A">
              <w:rPr>
                <w:rFonts w:ascii="Georgia" w:hAnsi="Georgia"/>
                <w:bCs/>
                <w:sz w:val="20"/>
                <w:szCs w:val="24"/>
              </w:rPr>
              <w:t>m. periodą</w:t>
            </w:r>
            <w:r>
              <w:rPr>
                <w:rFonts w:ascii="Georgia" w:hAnsi="Georgia"/>
                <w:bCs/>
                <w:sz w:val="20"/>
                <w:szCs w:val="24"/>
              </w:rPr>
              <w:t xml:space="preserve">, </w:t>
            </w:r>
            <w:r>
              <w:rPr>
                <w:rFonts w:ascii="Georgia" w:hAnsi="Georgia" w:cs="Georgia"/>
                <w:sz w:val="20"/>
                <w:szCs w:val="20"/>
              </w:rPr>
              <w:t xml:space="preserve">tūkst. </w:t>
            </w:r>
            <w:r>
              <w:rPr>
                <w:rFonts w:ascii="Georgia" w:hAnsi="Georgia"/>
                <w:bCs/>
                <w:sz w:val="20"/>
                <w:szCs w:val="24"/>
              </w:rPr>
              <w:t>m</w:t>
            </w:r>
            <w:r>
              <w:rPr>
                <w:rFonts w:ascii="Georgia" w:hAnsi="Georgia"/>
                <w:bCs/>
                <w:sz w:val="20"/>
                <w:szCs w:val="24"/>
                <w:vertAlign w:val="superscript"/>
              </w:rPr>
              <w:t>2</w:t>
            </w:r>
          </w:p>
        </w:tc>
        <w:tc>
          <w:tcPr>
            <w:tcW w:w="618" w:type="pct"/>
          </w:tcPr>
          <w:p w14:paraId="317E8A4C" w14:textId="77777777" w:rsidR="00561CE4" w:rsidRDefault="00561CE4"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515,9</w:t>
            </w:r>
          </w:p>
        </w:tc>
        <w:tc>
          <w:tcPr>
            <w:tcW w:w="2084" w:type="pct"/>
          </w:tcPr>
          <w:p w14:paraId="5E8C5256" w14:textId="77777777"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KPMG studijoje atliktais skaičiavimais, 3% renovuotinų valstybės nuosavybės teise valdomų pastatų plotas sudaro 66,7 tūkst. m</w:t>
            </w:r>
            <w:r>
              <w:rPr>
                <w:rFonts w:ascii="Georgia" w:hAnsi="Georgia" w:cs="Georgia"/>
                <w:sz w:val="20"/>
                <w:szCs w:val="20"/>
                <w:vertAlign w:val="superscript"/>
              </w:rPr>
              <w:t xml:space="preserve">2 </w:t>
            </w:r>
            <w:r>
              <w:rPr>
                <w:rFonts w:ascii="Georgia" w:hAnsi="Georgia" w:cs="Georgia"/>
                <w:sz w:val="20"/>
                <w:szCs w:val="20"/>
              </w:rPr>
              <w:t>per metus. Energetikos ministerijos vertinimu papildomų pastatų renovacijos poreikis pastatams nuo 250 iki 500 m</w:t>
            </w:r>
            <w:r>
              <w:rPr>
                <w:rFonts w:ascii="Georgia" w:hAnsi="Georgia" w:cs="Georgia"/>
                <w:sz w:val="20"/>
                <w:szCs w:val="20"/>
                <w:vertAlign w:val="superscript"/>
              </w:rPr>
              <w:t>2</w:t>
            </w:r>
            <w:r>
              <w:rPr>
                <w:rFonts w:ascii="Georgia" w:hAnsi="Georgia" w:cs="Georgia"/>
                <w:sz w:val="20"/>
                <w:szCs w:val="20"/>
              </w:rPr>
              <w:t xml:space="preserve"> gali sudaryti apie 7000 m</w:t>
            </w:r>
            <w:r>
              <w:rPr>
                <w:rFonts w:ascii="Georgia" w:hAnsi="Georgia" w:cs="Georgia"/>
                <w:sz w:val="20"/>
                <w:szCs w:val="20"/>
                <w:vertAlign w:val="superscript"/>
              </w:rPr>
              <w:t xml:space="preserve">2 </w:t>
            </w:r>
            <w:r>
              <w:rPr>
                <w:rFonts w:ascii="Georgia" w:hAnsi="Georgia" w:cs="Georgia"/>
                <w:sz w:val="20"/>
                <w:szCs w:val="20"/>
              </w:rPr>
              <w:t>per metus. Todėl bendras plotas – (66,7+7)x[6 metai]</w:t>
            </w:r>
          </w:p>
        </w:tc>
      </w:tr>
      <w:tr w:rsidR="00561CE4" w14:paraId="0CA56F73" w14:textId="77777777" w:rsidTr="00714494">
        <w:trPr>
          <w:cantSplit/>
        </w:trPr>
        <w:tc>
          <w:tcPr>
            <w:cnfStyle w:val="001000000000" w:firstRow="0" w:lastRow="0" w:firstColumn="1" w:lastColumn="0" w:oddVBand="0" w:evenVBand="0" w:oddHBand="0" w:evenHBand="0" w:firstRowFirstColumn="0" w:firstRowLastColumn="0" w:lastRowFirstColumn="0" w:lastRowLastColumn="0"/>
            <w:tcW w:w="338" w:type="pct"/>
          </w:tcPr>
          <w:p w14:paraId="482E024D" w14:textId="77777777"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lastRenderedPageBreak/>
              <w:t>11.</w:t>
            </w:r>
          </w:p>
        </w:tc>
        <w:tc>
          <w:tcPr>
            <w:tcW w:w="1960" w:type="pct"/>
          </w:tcPr>
          <w:p w14:paraId="281B1D5D" w14:textId="77777777" w:rsidR="00561CE4" w:rsidRDefault="00561CE4" w:rsidP="007F6C5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Renovuotinas savivaldybių </w:t>
            </w:r>
            <w:r w:rsidR="007F6C5A">
              <w:rPr>
                <w:rFonts w:ascii="Georgia" w:hAnsi="Georgia" w:cs="Georgia"/>
                <w:sz w:val="20"/>
                <w:szCs w:val="20"/>
              </w:rPr>
              <w:t>viešųjų</w:t>
            </w:r>
            <w:r>
              <w:rPr>
                <w:rFonts w:ascii="Georgia" w:hAnsi="Georgia" w:cs="Georgia"/>
                <w:sz w:val="20"/>
                <w:szCs w:val="20"/>
              </w:rPr>
              <w:t xml:space="preserve"> pastatų plotas per </w:t>
            </w:r>
            <w:r>
              <w:rPr>
                <w:rFonts w:ascii="Georgia" w:hAnsi="Georgia"/>
                <w:bCs/>
                <w:sz w:val="20"/>
                <w:szCs w:val="24"/>
              </w:rPr>
              <w:t xml:space="preserve">2014-2020 </w:t>
            </w:r>
            <w:r w:rsidR="007F6C5A">
              <w:rPr>
                <w:rFonts w:ascii="Georgia" w:hAnsi="Georgia"/>
                <w:bCs/>
                <w:sz w:val="20"/>
                <w:szCs w:val="24"/>
              </w:rPr>
              <w:t>m. periodą</w:t>
            </w:r>
            <w:r>
              <w:rPr>
                <w:rFonts w:ascii="Georgia" w:hAnsi="Georgia"/>
                <w:bCs/>
                <w:sz w:val="20"/>
                <w:szCs w:val="24"/>
              </w:rPr>
              <w:t xml:space="preserve">, </w:t>
            </w:r>
            <w:r>
              <w:rPr>
                <w:rFonts w:ascii="Georgia" w:hAnsi="Georgia" w:cs="Georgia"/>
                <w:sz w:val="20"/>
                <w:szCs w:val="20"/>
              </w:rPr>
              <w:t xml:space="preserve">tūkst. </w:t>
            </w:r>
            <w:r>
              <w:rPr>
                <w:rFonts w:ascii="Georgia" w:hAnsi="Georgia"/>
                <w:bCs/>
                <w:sz w:val="20"/>
                <w:szCs w:val="24"/>
              </w:rPr>
              <w:t>m</w:t>
            </w:r>
            <w:r>
              <w:rPr>
                <w:rFonts w:ascii="Georgia" w:hAnsi="Georgia"/>
                <w:bCs/>
                <w:sz w:val="20"/>
                <w:szCs w:val="24"/>
                <w:vertAlign w:val="superscript"/>
              </w:rPr>
              <w:t>2</w:t>
            </w:r>
          </w:p>
        </w:tc>
        <w:tc>
          <w:tcPr>
            <w:tcW w:w="618" w:type="pct"/>
          </w:tcPr>
          <w:p w14:paraId="33424703" w14:textId="77777777" w:rsidR="00561CE4" w:rsidRDefault="00561CE4"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1052</w:t>
            </w:r>
          </w:p>
        </w:tc>
        <w:tc>
          <w:tcPr>
            <w:tcW w:w="2084" w:type="pct"/>
          </w:tcPr>
          <w:p w14:paraId="10AB09D8" w14:textId="6CD517CD" w:rsidR="00561CE4" w:rsidRDefault="00561CE4"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 xml:space="preserve">8 </w:t>
            </w:r>
            <w:r w:rsidR="00D611FE">
              <w:rPr>
                <w:rFonts w:ascii="Georgia" w:hAnsi="Georgia"/>
                <w:bCs/>
                <w:sz w:val="20"/>
                <w:szCs w:val="24"/>
              </w:rPr>
              <w:t>–</w:t>
            </w:r>
            <w:r>
              <w:rPr>
                <w:rFonts w:ascii="Georgia" w:hAnsi="Georgia"/>
                <w:bCs/>
                <w:sz w:val="20"/>
                <w:szCs w:val="24"/>
              </w:rPr>
              <w:t xml:space="preserve"> 9</w:t>
            </w:r>
          </w:p>
        </w:tc>
      </w:tr>
      <w:tr w:rsidR="00561CE4" w14:paraId="0362A19B" w14:textId="77777777" w:rsidTr="007144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14:paraId="41B1494C" w14:textId="77777777"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12.</w:t>
            </w:r>
          </w:p>
        </w:tc>
        <w:tc>
          <w:tcPr>
            <w:tcW w:w="1960" w:type="pct"/>
          </w:tcPr>
          <w:p w14:paraId="4955BD21" w14:textId="77777777"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Viešojo pastato renovacijos kaštai, EUR/m</w:t>
            </w:r>
            <w:r>
              <w:rPr>
                <w:rFonts w:ascii="Georgia" w:hAnsi="Georgia" w:cs="Georgia"/>
                <w:sz w:val="20"/>
                <w:szCs w:val="20"/>
                <w:vertAlign w:val="superscript"/>
              </w:rPr>
              <w:t>2</w:t>
            </w:r>
            <w:r>
              <w:rPr>
                <w:rFonts w:ascii="Georgia" w:hAnsi="Georgia" w:cs="Georgia"/>
                <w:sz w:val="20"/>
                <w:szCs w:val="20"/>
              </w:rPr>
              <w:t xml:space="preserve"> (Lt/m</w:t>
            </w:r>
            <w:r>
              <w:rPr>
                <w:rFonts w:ascii="Georgia" w:hAnsi="Georgia" w:cs="Georgia"/>
                <w:sz w:val="20"/>
                <w:szCs w:val="20"/>
                <w:vertAlign w:val="superscript"/>
              </w:rPr>
              <w:t>2</w:t>
            </w:r>
            <w:r>
              <w:rPr>
                <w:rFonts w:ascii="Georgia" w:hAnsi="Georgia" w:cs="Georgia"/>
                <w:sz w:val="20"/>
                <w:szCs w:val="20"/>
              </w:rPr>
              <w:t>)</w:t>
            </w:r>
          </w:p>
        </w:tc>
        <w:tc>
          <w:tcPr>
            <w:tcW w:w="618" w:type="pct"/>
          </w:tcPr>
          <w:p w14:paraId="794570A1" w14:textId="77777777" w:rsidR="00561CE4" w:rsidRDefault="00561CE4"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202,7 (700)</w:t>
            </w:r>
          </w:p>
        </w:tc>
        <w:tc>
          <w:tcPr>
            <w:tcW w:w="2084" w:type="pct"/>
          </w:tcPr>
          <w:p w14:paraId="77FEC1ED" w14:textId="77777777"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Numatyta viešųjų pastatų energinio efektyvumo didinimo programos projekte </w:t>
            </w:r>
          </w:p>
        </w:tc>
      </w:tr>
      <w:tr w:rsidR="00561CE4" w14:paraId="223C8C38" w14:textId="77777777" w:rsidTr="00714494">
        <w:trPr>
          <w:cantSplit/>
        </w:trPr>
        <w:tc>
          <w:tcPr>
            <w:cnfStyle w:val="001000000000" w:firstRow="0" w:lastRow="0" w:firstColumn="1" w:lastColumn="0" w:oddVBand="0" w:evenVBand="0" w:oddHBand="0" w:evenHBand="0" w:firstRowFirstColumn="0" w:firstRowLastColumn="0" w:lastRowFirstColumn="0" w:lastRowLastColumn="0"/>
            <w:tcW w:w="338" w:type="pct"/>
          </w:tcPr>
          <w:p w14:paraId="79DE5833" w14:textId="77777777" w:rsidR="00561CE4" w:rsidRPr="006F741F" w:rsidRDefault="00561CE4" w:rsidP="00A555CA">
            <w:pPr>
              <w:autoSpaceDE w:val="0"/>
              <w:autoSpaceDN w:val="0"/>
              <w:adjustRightInd w:val="0"/>
              <w:jc w:val="both"/>
              <w:rPr>
                <w:rFonts w:ascii="Georgia" w:hAnsi="Georgia"/>
                <w:bCs w:val="0"/>
                <w:sz w:val="20"/>
                <w:szCs w:val="24"/>
                <w:lang w:val="en-US"/>
              </w:rPr>
            </w:pPr>
            <w:r>
              <w:rPr>
                <w:rFonts w:ascii="Georgia" w:hAnsi="Georgia"/>
                <w:bCs w:val="0"/>
                <w:sz w:val="20"/>
                <w:szCs w:val="24"/>
                <w:lang w:val="en-US"/>
              </w:rPr>
              <w:t>13.</w:t>
            </w:r>
          </w:p>
        </w:tc>
        <w:tc>
          <w:tcPr>
            <w:tcW w:w="1960" w:type="pct"/>
          </w:tcPr>
          <w:p w14:paraId="61EA92C3" w14:textId="77777777" w:rsidR="00561CE4" w:rsidRDefault="00561CE4" w:rsidP="007F6C5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 xml:space="preserve">Savivaldybių </w:t>
            </w:r>
            <w:r w:rsidR="007F6C5A">
              <w:rPr>
                <w:rFonts w:ascii="Georgia" w:hAnsi="Georgia" w:cs="Georgia"/>
                <w:sz w:val="20"/>
                <w:szCs w:val="20"/>
              </w:rPr>
              <w:t>viešųjų</w:t>
            </w:r>
            <w:r>
              <w:rPr>
                <w:rFonts w:ascii="Georgia" w:hAnsi="Georgia" w:cs="Georgia"/>
                <w:sz w:val="20"/>
                <w:szCs w:val="20"/>
              </w:rPr>
              <w:t xml:space="preserve"> pastatų renovacijos paklausa, mln. EUR (mln. Lt)</w:t>
            </w:r>
          </w:p>
        </w:tc>
        <w:tc>
          <w:tcPr>
            <w:tcW w:w="618" w:type="pct"/>
          </w:tcPr>
          <w:p w14:paraId="7F0D34F4" w14:textId="77777777" w:rsidR="00561CE4" w:rsidRDefault="00561CE4"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213,3 (736,4)</w:t>
            </w:r>
          </w:p>
        </w:tc>
        <w:tc>
          <w:tcPr>
            <w:tcW w:w="2084" w:type="pct"/>
          </w:tcPr>
          <w:p w14:paraId="38B566FB" w14:textId="77777777" w:rsidR="00561CE4" w:rsidRDefault="00561CE4"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lang w:val="en-US"/>
              </w:rPr>
              <w:t>11 x 13</w:t>
            </w:r>
          </w:p>
        </w:tc>
      </w:tr>
      <w:tr w:rsidR="00561CE4" w14:paraId="17809AA8" w14:textId="77777777" w:rsidTr="007144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8" w:type="pct"/>
          </w:tcPr>
          <w:p w14:paraId="07DBFC71" w14:textId="77777777" w:rsidR="00561CE4" w:rsidRDefault="00561CE4" w:rsidP="00A555CA">
            <w:pPr>
              <w:autoSpaceDE w:val="0"/>
              <w:autoSpaceDN w:val="0"/>
              <w:adjustRightInd w:val="0"/>
              <w:jc w:val="both"/>
              <w:rPr>
                <w:rFonts w:ascii="Georgia" w:hAnsi="Georgia"/>
                <w:bCs w:val="0"/>
                <w:sz w:val="20"/>
                <w:szCs w:val="24"/>
              </w:rPr>
            </w:pPr>
            <w:r>
              <w:rPr>
                <w:rFonts w:ascii="Georgia" w:hAnsi="Georgia"/>
                <w:bCs w:val="0"/>
                <w:sz w:val="20"/>
                <w:szCs w:val="24"/>
              </w:rPr>
              <w:t>14.</w:t>
            </w:r>
          </w:p>
        </w:tc>
        <w:tc>
          <w:tcPr>
            <w:tcW w:w="1960" w:type="pct"/>
          </w:tcPr>
          <w:p w14:paraId="1D702217" w14:textId="77777777" w:rsidR="00561CE4" w:rsidRDefault="007F6C5A" w:rsidP="007F6C5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Centrinės valdžios</w:t>
            </w:r>
            <w:r w:rsidR="00561CE4">
              <w:rPr>
                <w:rFonts w:ascii="Georgia" w:hAnsi="Georgia" w:cs="Georgia"/>
                <w:sz w:val="20"/>
                <w:szCs w:val="20"/>
              </w:rPr>
              <w:t xml:space="preserve"> pastatų renovacijos paklausa, mln. EUR (mln. Lt)</w:t>
            </w:r>
          </w:p>
        </w:tc>
        <w:tc>
          <w:tcPr>
            <w:tcW w:w="618" w:type="pct"/>
          </w:tcPr>
          <w:p w14:paraId="71D8982E" w14:textId="77777777" w:rsidR="00561CE4" w:rsidRDefault="00561CE4"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104,6 (361,1)</w:t>
            </w:r>
          </w:p>
        </w:tc>
        <w:tc>
          <w:tcPr>
            <w:tcW w:w="2084" w:type="pct"/>
          </w:tcPr>
          <w:p w14:paraId="1D531606" w14:textId="77777777" w:rsidR="00561CE4" w:rsidRDefault="00561CE4"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lang w:val="en-US"/>
              </w:rPr>
              <w:t>12 x 13</w:t>
            </w:r>
          </w:p>
        </w:tc>
      </w:tr>
    </w:tbl>
    <w:p w14:paraId="3BB9D488" w14:textId="77777777" w:rsidR="00561CE4" w:rsidRDefault="00561CE4" w:rsidP="00561CE4">
      <w:pPr>
        <w:autoSpaceDE w:val="0"/>
        <w:autoSpaceDN w:val="0"/>
        <w:adjustRightInd w:val="0"/>
        <w:spacing w:after="0"/>
        <w:jc w:val="both"/>
        <w:rPr>
          <w:rFonts w:ascii="Georgia" w:hAnsi="Georgia" w:cs="Georgia"/>
          <w:sz w:val="20"/>
          <w:szCs w:val="20"/>
          <w:lang w:val="lt-LT"/>
        </w:rPr>
      </w:pPr>
    </w:p>
    <w:p w14:paraId="631B3368" w14:textId="77777777" w:rsidR="00561CE4" w:rsidRDefault="00453D8D" w:rsidP="00561CE4">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J</w:t>
      </w:r>
      <w:r w:rsidR="00561CE4">
        <w:rPr>
          <w:rFonts w:ascii="Georgia" w:hAnsi="Georgia" w:cs="Georgia"/>
          <w:sz w:val="20"/>
          <w:szCs w:val="20"/>
          <w:lang w:val="lt-LT"/>
        </w:rPr>
        <w:t>ei bus siekiama renovuoti tiek pastatų, kiek jų privaloma renovuoti pagal Energijos efektyvumo direktyvos įpareigojimus (t.y. 3 proc. visų centrinės valdžios pastatų), bei norint pasiekti viešų</w:t>
      </w:r>
      <w:r w:rsidR="007F6C5A">
        <w:rPr>
          <w:rFonts w:ascii="Georgia" w:hAnsi="Georgia" w:cs="Georgia"/>
          <w:sz w:val="20"/>
          <w:szCs w:val="20"/>
          <w:lang w:val="lt-LT"/>
        </w:rPr>
        <w:t xml:space="preserve">jų pastatų sutaupymo rodiklius </w:t>
      </w:r>
      <w:r w:rsidR="00561CE4">
        <w:rPr>
          <w:rFonts w:ascii="Georgia" w:hAnsi="Georgia" w:cs="Georgia"/>
          <w:sz w:val="20"/>
          <w:szCs w:val="20"/>
          <w:lang w:val="lt-LT"/>
        </w:rPr>
        <w:t xml:space="preserve">pagal nacionalinėje </w:t>
      </w:r>
      <w:r w:rsidR="00561CE4" w:rsidRPr="00B9762C">
        <w:rPr>
          <w:rFonts w:ascii="Georgia" w:hAnsi="Georgia" w:cs="Georgia"/>
          <w:sz w:val="20"/>
          <w:szCs w:val="20"/>
          <w:lang w:val="lt-LT"/>
        </w:rPr>
        <w:t>energijos nepriklausomybės strategijoje suformuotus tikslus</w:t>
      </w:r>
      <w:r w:rsidR="00561CE4">
        <w:rPr>
          <w:rFonts w:ascii="Georgia" w:hAnsi="Georgia" w:cs="Georgia"/>
          <w:sz w:val="20"/>
          <w:szCs w:val="20"/>
          <w:lang w:val="lt-LT"/>
        </w:rPr>
        <w:t xml:space="preserve"> padidės savivaldybių nuosavybės teise valdomų pastatų renovacijos paklausa iki 1052 tūkst. m</w:t>
      </w:r>
      <w:r w:rsidR="00561CE4">
        <w:rPr>
          <w:rFonts w:ascii="Georgia" w:hAnsi="Georgia" w:cs="Georgia"/>
          <w:sz w:val="20"/>
          <w:szCs w:val="20"/>
          <w:vertAlign w:val="superscript"/>
          <w:lang w:val="lt-LT"/>
        </w:rPr>
        <w:t xml:space="preserve">2 </w:t>
      </w:r>
      <w:r w:rsidR="00561CE4">
        <w:rPr>
          <w:rFonts w:ascii="Georgia" w:hAnsi="Georgia" w:cs="Georgia"/>
          <w:sz w:val="20"/>
          <w:szCs w:val="20"/>
          <w:lang w:val="lt-LT"/>
        </w:rPr>
        <w:t xml:space="preserve"> (lyginant su variantu kai centrinės valdžios</w:t>
      </w:r>
      <w:r w:rsidR="00561CE4" w:rsidRPr="00F16FF8">
        <w:rPr>
          <w:rFonts w:ascii="Georgia" w:hAnsi="Georgia" w:cs="Georgia"/>
          <w:sz w:val="20"/>
          <w:szCs w:val="20"/>
          <w:lang w:val="lt-LT"/>
        </w:rPr>
        <w:t xml:space="preserve"> pastatų </w:t>
      </w:r>
      <w:r w:rsidR="00561CE4">
        <w:rPr>
          <w:rFonts w:ascii="Georgia" w:hAnsi="Georgia" w:cs="Georgia"/>
          <w:sz w:val="20"/>
          <w:szCs w:val="20"/>
          <w:lang w:val="lt-LT"/>
        </w:rPr>
        <w:t>ir</w:t>
      </w:r>
      <w:r w:rsidR="00561CE4" w:rsidRPr="00F16FF8">
        <w:t xml:space="preserve"> </w:t>
      </w:r>
      <w:r w:rsidR="00561CE4">
        <w:rPr>
          <w:rFonts w:ascii="Georgia" w:hAnsi="Georgia" w:cs="Georgia"/>
          <w:sz w:val="20"/>
          <w:szCs w:val="20"/>
          <w:lang w:val="lt-LT"/>
        </w:rPr>
        <w:t>s</w:t>
      </w:r>
      <w:r w:rsidR="00561CE4" w:rsidRPr="00F16FF8">
        <w:rPr>
          <w:rFonts w:ascii="Georgia" w:hAnsi="Georgia" w:cs="Georgia"/>
          <w:sz w:val="20"/>
          <w:szCs w:val="20"/>
          <w:lang w:val="lt-LT"/>
        </w:rPr>
        <w:t xml:space="preserve">avivaldybių </w:t>
      </w:r>
      <w:r w:rsidR="007F6C5A">
        <w:rPr>
          <w:rFonts w:ascii="Georgia" w:hAnsi="Georgia" w:cs="Georgia"/>
          <w:sz w:val="20"/>
          <w:szCs w:val="20"/>
          <w:lang w:val="lt-LT"/>
        </w:rPr>
        <w:t xml:space="preserve">viešųjų </w:t>
      </w:r>
      <w:r w:rsidR="00561CE4" w:rsidRPr="00F16FF8">
        <w:rPr>
          <w:rFonts w:ascii="Georgia" w:hAnsi="Georgia" w:cs="Georgia"/>
          <w:sz w:val="20"/>
          <w:szCs w:val="20"/>
          <w:lang w:val="lt-LT"/>
        </w:rPr>
        <w:t xml:space="preserve">pastatų </w:t>
      </w:r>
      <w:r w:rsidR="00561CE4">
        <w:rPr>
          <w:rFonts w:ascii="Georgia" w:hAnsi="Georgia" w:cs="Georgia"/>
          <w:sz w:val="20"/>
          <w:szCs w:val="20"/>
          <w:lang w:val="lt-LT"/>
        </w:rPr>
        <w:t xml:space="preserve">paklausa paskirstoma proporcingai jų kiekiui) per 2014-2020 m. </w:t>
      </w:r>
      <w:r w:rsidR="007F6C5A">
        <w:rPr>
          <w:rFonts w:ascii="Georgia" w:hAnsi="Georgia" w:cs="Georgia"/>
          <w:sz w:val="20"/>
          <w:szCs w:val="20"/>
          <w:lang w:val="lt-LT"/>
        </w:rPr>
        <w:t>periodą</w:t>
      </w:r>
      <w:r w:rsidR="00561CE4">
        <w:rPr>
          <w:rFonts w:ascii="Georgia" w:hAnsi="Georgia" w:cs="Georgia"/>
          <w:sz w:val="20"/>
          <w:szCs w:val="20"/>
          <w:lang w:val="lt-LT"/>
        </w:rPr>
        <w:t xml:space="preserve">. </w:t>
      </w:r>
    </w:p>
    <w:p w14:paraId="258FF9FE" w14:textId="77777777" w:rsidR="00561CE4" w:rsidRDefault="00561CE4" w:rsidP="00561CE4">
      <w:pPr>
        <w:autoSpaceDE w:val="0"/>
        <w:autoSpaceDN w:val="0"/>
        <w:adjustRightInd w:val="0"/>
        <w:spacing w:after="0"/>
        <w:jc w:val="both"/>
        <w:rPr>
          <w:rFonts w:ascii="Georgia" w:hAnsi="Georgia" w:cs="Georgia"/>
          <w:sz w:val="20"/>
          <w:szCs w:val="20"/>
          <w:lang w:val="lt-LT"/>
        </w:rPr>
      </w:pPr>
    </w:p>
    <w:p w14:paraId="1F765D9E" w14:textId="77777777" w:rsidR="00561CE4" w:rsidRPr="002665E2" w:rsidRDefault="00561CE4" w:rsidP="00561CE4">
      <w:pPr>
        <w:pStyle w:val="Sraopastraipa"/>
        <w:keepNext/>
        <w:ind w:left="0"/>
        <w:rPr>
          <w:rFonts w:ascii="Georgia" w:hAnsi="Georgia"/>
          <w:i/>
          <w:sz w:val="24"/>
          <w:szCs w:val="20"/>
          <w:lang w:val="lt-LT"/>
        </w:rPr>
      </w:pPr>
      <w:r w:rsidRPr="002665E2">
        <w:rPr>
          <w:rFonts w:ascii="Georgia" w:hAnsi="Georgia"/>
          <w:i/>
          <w:sz w:val="24"/>
          <w:szCs w:val="20"/>
          <w:lang w:val="lt-LT"/>
        </w:rPr>
        <w:t>Išvada dėl skaičiavimo metodo ir prielaidų pasirinkimo</w:t>
      </w:r>
    </w:p>
    <w:p w14:paraId="1AF22FCC" w14:textId="77777777" w:rsidR="00561CE4" w:rsidRDefault="00561CE4" w:rsidP="00561CE4">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Įvertinus viešųjų pastatų paklausos duomenis faktiniais ir skaičiuotinais dydžiais buvo gauti skirtingi paklausos dydžiai. Viešųjų pastatų renovacijos įvertinimui siūloma pasirinkti faktinių dydžių skaičiavimo metodą, viešųjų pastatų plotą paskirstant proporcingai tarp savivaldybių ir centrinės valdžios pastatų (bendrame jų kiekyje). Ši rekomendacija grįsta tuo, kad:</w:t>
      </w:r>
    </w:p>
    <w:p w14:paraId="58205DD4" w14:textId="77777777" w:rsidR="00561CE4" w:rsidRPr="00724C3C" w:rsidRDefault="00561CE4" w:rsidP="002A576D">
      <w:pPr>
        <w:pStyle w:val="Sraopastraipa"/>
        <w:numPr>
          <w:ilvl w:val="0"/>
          <w:numId w:val="6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skaičiuotinų dydžių paklausai įvertinti buvo naudotas faktinių dydžių (nebuvo rasta duomenų koks galėtų būti skaičiuotino dydžio investicijų poreikis 1 </w:t>
      </w:r>
      <w:r>
        <w:rPr>
          <w:rFonts w:ascii="Georgia" w:hAnsi="Georgia" w:cs="Georgia"/>
          <w:sz w:val="20"/>
          <w:szCs w:val="20"/>
        </w:rPr>
        <w:t>m</w:t>
      </w:r>
      <w:r>
        <w:rPr>
          <w:rFonts w:ascii="Georgia" w:hAnsi="Georgia" w:cs="Georgia"/>
          <w:sz w:val="20"/>
          <w:szCs w:val="20"/>
          <w:vertAlign w:val="superscript"/>
        </w:rPr>
        <w:t>2</w:t>
      </w:r>
      <w:r>
        <w:rPr>
          <w:rFonts w:ascii="Georgia" w:hAnsi="Georgia" w:cs="Georgia"/>
          <w:sz w:val="20"/>
          <w:szCs w:val="20"/>
          <w:lang w:val="lt-LT"/>
        </w:rPr>
        <w:t xml:space="preserve">) investicijų </w:t>
      </w:r>
      <w:r w:rsidRPr="00724C3C">
        <w:rPr>
          <w:rFonts w:ascii="Georgia" w:hAnsi="Georgia" w:cs="Georgia"/>
          <w:sz w:val="20"/>
          <w:szCs w:val="20"/>
          <w:lang w:val="lt-LT"/>
        </w:rPr>
        <w:t xml:space="preserve">poreikio 1 </w:t>
      </w:r>
      <w:r w:rsidRPr="002665E2">
        <w:rPr>
          <w:rFonts w:ascii="Georgia" w:hAnsi="Georgia" w:cs="Georgia"/>
          <w:sz w:val="20"/>
          <w:szCs w:val="20"/>
          <w:lang w:val="lt-LT"/>
        </w:rPr>
        <w:t>m</w:t>
      </w:r>
      <w:r w:rsidRPr="002665E2">
        <w:rPr>
          <w:rFonts w:ascii="Georgia" w:hAnsi="Georgia" w:cs="Georgia"/>
          <w:sz w:val="20"/>
          <w:szCs w:val="20"/>
          <w:vertAlign w:val="superscript"/>
          <w:lang w:val="lt-LT"/>
        </w:rPr>
        <w:t>2</w:t>
      </w:r>
      <w:r w:rsidRPr="002665E2">
        <w:rPr>
          <w:rFonts w:ascii="Georgia" w:hAnsi="Georgia" w:cs="Georgia"/>
          <w:sz w:val="20"/>
          <w:szCs w:val="20"/>
          <w:lang w:val="lt-LT"/>
        </w:rPr>
        <w:t xml:space="preserve"> dydis (tikė</w:t>
      </w:r>
      <w:r w:rsidRPr="00724C3C">
        <w:rPr>
          <w:rFonts w:ascii="Georgia" w:hAnsi="Georgia" w:cs="Georgia"/>
          <w:sz w:val="20"/>
          <w:szCs w:val="20"/>
          <w:lang w:val="lt-LT"/>
        </w:rPr>
        <w:t>tina, jog šis dydis galėtų būti didesnis, negu faktinis investicijų poreikis</w:t>
      </w:r>
      <w:r w:rsidRPr="002665E2">
        <w:rPr>
          <w:rFonts w:ascii="Georgia" w:hAnsi="Georgia" w:cs="Georgia"/>
          <w:sz w:val="20"/>
          <w:szCs w:val="20"/>
          <w:lang w:val="lt-LT"/>
        </w:rPr>
        <w:t>)</w:t>
      </w:r>
      <w:r>
        <w:rPr>
          <w:rFonts w:ascii="Georgia" w:hAnsi="Georgia" w:cs="Georgia"/>
          <w:sz w:val="20"/>
          <w:szCs w:val="20"/>
          <w:lang w:val="lt-LT"/>
        </w:rPr>
        <w:t>;</w:t>
      </w:r>
    </w:p>
    <w:p w14:paraId="6CBC7B1C" w14:textId="77777777" w:rsidR="00561CE4" w:rsidRPr="003C6ED8" w:rsidRDefault="00561CE4" w:rsidP="002A576D">
      <w:pPr>
        <w:pStyle w:val="Sraopastraipa"/>
        <w:numPr>
          <w:ilvl w:val="0"/>
          <w:numId w:val="68"/>
        </w:numPr>
        <w:autoSpaceDE w:val="0"/>
        <w:autoSpaceDN w:val="0"/>
        <w:adjustRightInd w:val="0"/>
        <w:spacing w:after="0"/>
        <w:jc w:val="both"/>
        <w:rPr>
          <w:rFonts w:ascii="Georgia" w:hAnsi="Georgia"/>
          <w:bCs/>
          <w:sz w:val="20"/>
          <w:szCs w:val="24"/>
          <w:lang w:val="lt-LT"/>
        </w:rPr>
      </w:pPr>
      <w:r>
        <w:rPr>
          <w:rFonts w:ascii="Georgia" w:hAnsi="Georgia"/>
          <w:bCs/>
          <w:sz w:val="20"/>
          <w:szCs w:val="24"/>
          <w:lang w:val="lt-LT"/>
        </w:rPr>
        <w:t>vertinant paklausos skaičiavimu</w:t>
      </w:r>
      <w:r w:rsidRPr="00561CE4">
        <w:rPr>
          <w:rFonts w:ascii="Georgia" w:hAnsi="Georgia"/>
          <w:bCs/>
          <w:sz w:val="20"/>
          <w:szCs w:val="24"/>
          <w:lang w:val="lt-LT"/>
        </w:rPr>
        <w:t>s atsižvelgiant į Energijos efektyvumo direktyvoje suformuotus įsipareigojimus</w:t>
      </w:r>
      <w:r w:rsidR="003C6ED8">
        <w:rPr>
          <w:rFonts w:ascii="Georgia" w:hAnsi="Georgia"/>
          <w:bCs/>
          <w:sz w:val="20"/>
          <w:szCs w:val="24"/>
          <w:lang w:val="lt-LT"/>
        </w:rPr>
        <w:t xml:space="preserve"> </w:t>
      </w:r>
      <w:r w:rsidR="003C6ED8" w:rsidRPr="002665E2">
        <w:rPr>
          <w:rFonts w:ascii="Georgia" w:hAnsi="Georgia" w:cs="Georgia"/>
          <w:sz w:val="20"/>
          <w:szCs w:val="20"/>
          <w:lang w:val="lt-LT"/>
        </w:rPr>
        <w:t>bei norint pasiekti viešų</w:t>
      </w:r>
      <w:r w:rsidR="007F6C5A">
        <w:rPr>
          <w:rFonts w:ascii="Georgia" w:hAnsi="Georgia" w:cs="Georgia"/>
          <w:sz w:val="20"/>
          <w:szCs w:val="20"/>
          <w:lang w:val="lt-LT"/>
        </w:rPr>
        <w:t>jų pastatų sutaupymo rodiklius pagal N</w:t>
      </w:r>
      <w:r w:rsidR="003C6ED8" w:rsidRPr="002665E2">
        <w:rPr>
          <w:rFonts w:ascii="Georgia" w:hAnsi="Georgia" w:cs="Georgia"/>
          <w:sz w:val="20"/>
          <w:szCs w:val="20"/>
          <w:lang w:val="lt-LT"/>
        </w:rPr>
        <w:t xml:space="preserve">acionalinėje </w:t>
      </w:r>
      <w:r w:rsidR="007F6C5A">
        <w:rPr>
          <w:rFonts w:ascii="Georgia" w:hAnsi="Georgia" w:cs="Georgia"/>
          <w:sz w:val="20"/>
          <w:szCs w:val="20"/>
          <w:lang w:val="lt-LT"/>
        </w:rPr>
        <w:t>energetinės</w:t>
      </w:r>
      <w:r w:rsidR="003C6ED8" w:rsidRPr="002665E2">
        <w:rPr>
          <w:rFonts w:ascii="Georgia" w:hAnsi="Georgia" w:cs="Georgia"/>
          <w:sz w:val="20"/>
          <w:szCs w:val="20"/>
          <w:lang w:val="lt-LT"/>
        </w:rPr>
        <w:t xml:space="preserve"> nepriklausomybės s</w:t>
      </w:r>
      <w:r w:rsidR="007F6C5A">
        <w:rPr>
          <w:rFonts w:ascii="Georgia" w:hAnsi="Georgia" w:cs="Georgia"/>
          <w:sz w:val="20"/>
          <w:szCs w:val="20"/>
          <w:lang w:val="lt-LT"/>
        </w:rPr>
        <w:t>trategijoje suformuotus tikslus</w:t>
      </w:r>
      <w:r w:rsidR="003C6ED8" w:rsidRPr="002665E2">
        <w:rPr>
          <w:rFonts w:ascii="Georgia" w:hAnsi="Georgia" w:cs="Georgia"/>
          <w:sz w:val="20"/>
          <w:szCs w:val="20"/>
          <w:lang w:val="lt-LT"/>
        </w:rPr>
        <w:t xml:space="preserve"> </w:t>
      </w:r>
      <w:r w:rsidR="003C6ED8">
        <w:rPr>
          <w:rFonts w:ascii="Georgia" w:hAnsi="Georgia" w:cs="Georgia"/>
          <w:sz w:val="20"/>
          <w:szCs w:val="20"/>
          <w:lang w:val="lt-LT"/>
        </w:rPr>
        <w:t>neproporcingai</w:t>
      </w:r>
      <w:r w:rsidR="003C6ED8" w:rsidRPr="002665E2">
        <w:rPr>
          <w:rFonts w:ascii="Georgia" w:hAnsi="Georgia" w:cs="Georgia"/>
          <w:sz w:val="20"/>
          <w:szCs w:val="20"/>
          <w:lang w:val="lt-LT"/>
        </w:rPr>
        <w:t xml:space="preserve"> išauga savivaldybių nuosavybės teise valdomų pastatų renovacijos paklausa</w:t>
      </w:r>
      <w:r w:rsidR="003C6ED8">
        <w:rPr>
          <w:rFonts w:ascii="Georgia" w:hAnsi="Georgia" w:cs="Georgia"/>
          <w:sz w:val="20"/>
          <w:szCs w:val="20"/>
          <w:lang w:val="lt-LT"/>
        </w:rPr>
        <w:t xml:space="preserve"> (didėja disbalansas tarp </w:t>
      </w:r>
      <w:r w:rsidR="007F6C5A">
        <w:rPr>
          <w:rFonts w:ascii="Georgia" w:hAnsi="Georgia" w:cs="Georgia"/>
          <w:sz w:val="20"/>
          <w:szCs w:val="20"/>
          <w:lang w:val="lt-LT"/>
        </w:rPr>
        <w:t>centrinės valdžios</w:t>
      </w:r>
      <w:r w:rsidR="003C6ED8">
        <w:rPr>
          <w:rFonts w:ascii="Georgia" w:hAnsi="Georgia" w:cs="Georgia"/>
          <w:sz w:val="20"/>
          <w:szCs w:val="20"/>
          <w:lang w:val="lt-LT"/>
        </w:rPr>
        <w:t xml:space="preserve"> pastatų ir savivaldybių </w:t>
      </w:r>
      <w:r w:rsidR="007F6C5A">
        <w:rPr>
          <w:rFonts w:ascii="Georgia" w:hAnsi="Georgia" w:cs="Georgia"/>
          <w:sz w:val="20"/>
          <w:szCs w:val="20"/>
          <w:lang w:val="lt-LT"/>
        </w:rPr>
        <w:t>viešųjų</w:t>
      </w:r>
      <w:r w:rsidR="003C6ED8">
        <w:rPr>
          <w:rFonts w:ascii="Georgia" w:hAnsi="Georgia" w:cs="Georgia"/>
          <w:sz w:val="20"/>
          <w:szCs w:val="20"/>
          <w:lang w:val="lt-LT"/>
        </w:rPr>
        <w:t xml:space="preserve"> pastatų renovavimo paklausos), nors </w:t>
      </w:r>
      <w:r w:rsidR="007F6C5A">
        <w:rPr>
          <w:rFonts w:ascii="Georgia" w:hAnsi="Georgia" w:cs="Georgia"/>
          <w:sz w:val="20"/>
          <w:szCs w:val="20"/>
          <w:lang w:val="lt-LT"/>
        </w:rPr>
        <w:t>centrinės valdžios pastatų renovacijai numatyta</w:t>
      </w:r>
      <w:r w:rsidR="003C6ED8">
        <w:rPr>
          <w:rFonts w:ascii="Georgia" w:hAnsi="Georgia" w:cs="Georgia"/>
          <w:sz w:val="20"/>
          <w:szCs w:val="20"/>
          <w:lang w:val="lt-LT"/>
        </w:rPr>
        <w:t xml:space="preserve"> ESI fondų apimtis yra didesnė už ESI lėšų apimtį skirtą </w:t>
      </w:r>
      <w:r w:rsidR="003C6ED8" w:rsidRPr="00CF31C2">
        <w:rPr>
          <w:rFonts w:ascii="Georgia" w:hAnsi="Georgia" w:cs="Georgia"/>
          <w:sz w:val="20"/>
          <w:szCs w:val="20"/>
          <w:lang w:val="lt-LT"/>
        </w:rPr>
        <w:t xml:space="preserve">savivaldybių </w:t>
      </w:r>
      <w:r w:rsidR="00453D8D">
        <w:rPr>
          <w:rFonts w:ascii="Georgia" w:hAnsi="Georgia" w:cs="Georgia"/>
          <w:sz w:val="20"/>
          <w:szCs w:val="20"/>
          <w:lang w:val="lt-LT"/>
        </w:rPr>
        <w:t>viešųjų</w:t>
      </w:r>
      <w:r w:rsidR="003C6ED8" w:rsidRPr="003C6ED8">
        <w:rPr>
          <w:rFonts w:ascii="Georgia" w:hAnsi="Georgia" w:cs="Georgia"/>
          <w:sz w:val="20"/>
          <w:szCs w:val="20"/>
          <w:lang w:val="lt-LT"/>
        </w:rPr>
        <w:t xml:space="preserve"> pastatų renovacijos skatinimui</w:t>
      </w:r>
      <w:r w:rsidR="003C6ED8">
        <w:rPr>
          <w:rFonts w:ascii="Georgia" w:hAnsi="Georgia" w:cs="Georgia"/>
          <w:sz w:val="20"/>
          <w:szCs w:val="20"/>
          <w:lang w:val="lt-LT"/>
        </w:rPr>
        <w:t>;</w:t>
      </w:r>
    </w:p>
    <w:p w14:paraId="15CBCCFF" w14:textId="77777777" w:rsidR="003C6ED8" w:rsidRPr="003C6ED8" w:rsidRDefault="003C6ED8" w:rsidP="002A576D">
      <w:pPr>
        <w:pStyle w:val="Sraopastraipa"/>
        <w:numPr>
          <w:ilvl w:val="0"/>
          <w:numId w:val="68"/>
        </w:numPr>
        <w:autoSpaceDE w:val="0"/>
        <w:autoSpaceDN w:val="0"/>
        <w:adjustRightInd w:val="0"/>
        <w:spacing w:after="0"/>
        <w:jc w:val="both"/>
        <w:rPr>
          <w:rFonts w:ascii="Georgia" w:hAnsi="Georgia" w:cs="Georgia"/>
          <w:sz w:val="20"/>
          <w:szCs w:val="20"/>
          <w:lang w:val="lt-LT"/>
        </w:rPr>
      </w:pPr>
      <w:r w:rsidRPr="003C6ED8">
        <w:rPr>
          <w:rFonts w:ascii="Georgia" w:hAnsi="Georgia" w:cs="Georgia"/>
          <w:sz w:val="20"/>
          <w:szCs w:val="20"/>
          <w:lang w:val="lt-LT"/>
        </w:rPr>
        <w:t>ekspertiniu vertinimu, rekomenduojamo varianto rezultatas yra realesnis atsižvelgiant į rinkos tendencijas ir poreikį</w:t>
      </w:r>
      <w:r>
        <w:rPr>
          <w:rFonts w:ascii="Georgia" w:hAnsi="Georgia" w:cs="Georgia"/>
          <w:sz w:val="20"/>
          <w:szCs w:val="20"/>
          <w:lang w:val="lt-LT"/>
        </w:rPr>
        <w:t>.</w:t>
      </w:r>
    </w:p>
    <w:p w14:paraId="468414CC" w14:textId="77777777" w:rsidR="00561CE4" w:rsidRDefault="00561CE4" w:rsidP="00561CE4">
      <w:pPr>
        <w:autoSpaceDE w:val="0"/>
        <w:autoSpaceDN w:val="0"/>
        <w:adjustRightInd w:val="0"/>
        <w:spacing w:after="0"/>
        <w:jc w:val="both"/>
        <w:rPr>
          <w:rFonts w:ascii="Georgia" w:hAnsi="Georgia" w:cs="Georgia"/>
          <w:sz w:val="20"/>
          <w:szCs w:val="20"/>
          <w:lang w:val="lt-LT"/>
        </w:rPr>
      </w:pPr>
    </w:p>
    <w:p w14:paraId="541EBEDC" w14:textId="77777777" w:rsidR="00453D8D" w:rsidRDefault="00453D8D" w:rsidP="00336C16">
      <w:pPr>
        <w:pStyle w:val="Sraopastraipa"/>
        <w:keepNext/>
        <w:ind w:left="0"/>
        <w:rPr>
          <w:rFonts w:ascii="Georgia" w:hAnsi="Georgia"/>
          <w:i/>
          <w:sz w:val="24"/>
          <w:szCs w:val="20"/>
          <w:lang w:val="lt-LT"/>
        </w:rPr>
      </w:pPr>
    </w:p>
    <w:p w14:paraId="3A8CD537" w14:textId="77777777" w:rsidR="00336C16" w:rsidRDefault="00336C16" w:rsidP="00336C16">
      <w:pPr>
        <w:pStyle w:val="Sraopastraipa"/>
        <w:keepNext/>
        <w:ind w:left="0"/>
        <w:rPr>
          <w:rFonts w:ascii="Georgia" w:hAnsi="Georgia"/>
          <w:i/>
          <w:sz w:val="24"/>
          <w:szCs w:val="20"/>
          <w:lang w:val="lt-LT"/>
        </w:rPr>
      </w:pPr>
      <w:r>
        <w:rPr>
          <w:rFonts w:ascii="Georgia" w:hAnsi="Georgia"/>
          <w:i/>
          <w:sz w:val="24"/>
          <w:szCs w:val="20"/>
          <w:lang w:val="lt-LT"/>
        </w:rPr>
        <w:t>Aukštųjų mokyklų ir profesinio mokymo įstaigų bendrabučių atnaujinimo (modernizavimo) poreikis</w:t>
      </w:r>
    </w:p>
    <w:p w14:paraId="47DC69E9" w14:textId="77777777"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2009 metais Lietuvos Respublikos Seimui pakeitus Lietuvos Respublikos mokslo ir studijų įstatymą buvo pakeistas Lietuvos aukštųjų mokyklų juridin</w:t>
      </w:r>
      <w:r w:rsidR="00612BE4">
        <w:rPr>
          <w:rFonts w:ascii="Georgia" w:hAnsi="Georgia" w:cs="Georgia"/>
          <w:sz w:val="20"/>
          <w:szCs w:val="20"/>
          <w:lang w:val="lt-LT"/>
        </w:rPr>
        <w:t>io asmens</w:t>
      </w:r>
      <w:r>
        <w:rPr>
          <w:rFonts w:ascii="Georgia" w:hAnsi="Georgia" w:cs="Georgia"/>
          <w:sz w:val="20"/>
          <w:szCs w:val="20"/>
          <w:lang w:val="lt-LT"/>
        </w:rPr>
        <w:t xml:space="preserve"> statusas. Aukštosios mokyklos, iki minėtų pakeitimų veikusios kaip biudžetinės įstaigos, įgijo viešųjų įstaigų status ir tokiu būdu joms buvo sudaryta galimybė skolintis bei įsigyti turtą. Profesinio mokymo įstaigos taip pat inicijavo savo juridinio</w:t>
      </w:r>
      <w:r w:rsidR="00612BE4">
        <w:rPr>
          <w:rFonts w:ascii="Georgia" w:hAnsi="Georgia" w:cs="Georgia"/>
          <w:sz w:val="20"/>
          <w:szCs w:val="20"/>
          <w:lang w:val="lt-LT"/>
        </w:rPr>
        <w:t xml:space="preserve"> asmens</w:t>
      </w:r>
      <w:r>
        <w:rPr>
          <w:rFonts w:ascii="Georgia" w:hAnsi="Georgia" w:cs="Georgia"/>
          <w:sz w:val="20"/>
          <w:szCs w:val="20"/>
          <w:lang w:val="lt-LT"/>
        </w:rPr>
        <w:t xml:space="preserve"> statuso pakeitimus į viešąsias įstaigas ir taip įgijo teisę valdyti turtą bei skolintis. Po šių pakeitimų buvo inicijuotas aukštųjų mokyklų ir profesinio mokymo įstaigų bendrabučių atnaujinimo (modernizavimo) programos rengimas, kuri buvo patvirtinta 2011 m. gruodžio 29 d. Švietimo ir mokslo ministro ir Aplinkos ministro bendru įsakymu Nr. Nr. V-2551/D1-1038. </w:t>
      </w:r>
    </w:p>
    <w:p w14:paraId="6DD7DBB2" w14:textId="77777777"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lastRenderedPageBreak/>
        <w:t xml:space="preserve">JESSICA KF trečiasis kvietimas, skirtas aukštųjų mokyklų ir profesinio mokymo įstaigų bendrabučių atnaujinimui (modernizavimui) finansuoti, buvo paskelbtas 2012 m. sausio 12 d. Vadovaujantis PwC studijos surinkta informacija apie investicijų poreikį bendrabučių renovacijai (apklausa buvo vykdoma siekiant surinkti poreikį energijos efektyvumo ir ne energijos efektyvumo priemonėms finansuoti), apie pusę bendro poreikio investicijoms sudaro ne energijos efektyvumo priemonės. Vadovaujantis </w:t>
      </w:r>
      <w:r w:rsidR="008D6291">
        <w:rPr>
          <w:rFonts w:ascii="Georgia" w:hAnsi="Georgia" w:cs="Georgia"/>
          <w:sz w:val="20"/>
          <w:szCs w:val="20"/>
          <w:lang w:val="lt-LT"/>
        </w:rPr>
        <w:t>JESSICA KF trečiojo kvietimo</w:t>
      </w:r>
      <w:r>
        <w:rPr>
          <w:rFonts w:ascii="Georgia" w:hAnsi="Georgia" w:cs="Georgia"/>
          <w:sz w:val="20"/>
          <w:szCs w:val="20"/>
          <w:lang w:val="lt-LT"/>
        </w:rPr>
        <w:t xml:space="preserve"> nuostatomis, JESSICA </w:t>
      </w:r>
      <w:r w:rsidR="008D6291">
        <w:rPr>
          <w:rFonts w:ascii="Georgia" w:hAnsi="Georgia" w:cs="Georgia"/>
          <w:sz w:val="20"/>
          <w:szCs w:val="20"/>
          <w:lang w:val="lt-LT"/>
        </w:rPr>
        <w:t>KF</w:t>
      </w:r>
      <w:r>
        <w:rPr>
          <w:rFonts w:ascii="Georgia" w:hAnsi="Georgia" w:cs="Georgia"/>
          <w:sz w:val="20"/>
          <w:szCs w:val="20"/>
          <w:lang w:val="lt-LT"/>
        </w:rPr>
        <w:t xml:space="preserve"> lėšomis gali būti finansuojamos tik energijos efektyvumo priemonės. Ne energijos efektyvumo priemonės gali būti finansuojamos savomis lėšomis arba EIB paskolos lėšomis per LR Finansų ministeriją. </w:t>
      </w:r>
    </w:p>
    <w:p w14:paraId="0D142385" w14:textId="77777777"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Poreikis energijos efektyvumo priemonėms, t.y. išlaidoms, tinkamoms finansuoti iš ESI fondų, identifikuotas PwC studijoje, sudaro apie 23 mln. eurų. Atsižvelgiant į tai, kad JESSICA KF paskelbto trečiojo kvietimo suma – 20 mln. eurų, galima teigti, kad aukštųjų mokyklų ir profesinio mokymo įstaigų bendrabučių poreikis energijos efektyvumo priemonėms bus pilnai patenkintas iš šio JESSICA KF kvietimo lėšų. 2014 m. rugpjūčio 18 d. duomenimis, paskolų sutarčių bendrabučių atnaujinimui jau yra pasirašyta už 11,22 mln. eurų</w:t>
      </w:r>
      <w:r w:rsidR="00453D8D">
        <w:rPr>
          <w:rStyle w:val="Puslapioinaosnuoroda"/>
          <w:rFonts w:ascii="Georgia" w:hAnsi="Georgia" w:cs="Georgia"/>
          <w:sz w:val="20"/>
          <w:szCs w:val="20"/>
          <w:lang w:val="lt-LT"/>
        </w:rPr>
        <w:footnoteReference w:id="13"/>
      </w:r>
      <w:r>
        <w:rPr>
          <w:rFonts w:ascii="Georgia" w:hAnsi="Georgia" w:cs="Georgia"/>
          <w:sz w:val="20"/>
          <w:szCs w:val="20"/>
          <w:lang w:val="lt-LT"/>
        </w:rPr>
        <w:t>.</w:t>
      </w:r>
    </w:p>
    <w:p w14:paraId="58A34F80" w14:textId="77777777" w:rsidR="00386440" w:rsidRDefault="00336C16" w:rsidP="003A6D60">
      <w:pPr>
        <w:autoSpaceDE w:val="0"/>
        <w:autoSpaceDN w:val="0"/>
        <w:adjustRightInd w:val="0"/>
        <w:spacing w:after="0"/>
        <w:jc w:val="both"/>
        <w:rPr>
          <w:rFonts w:ascii="Georgia" w:hAnsi="Georgia" w:cs="Georgia"/>
          <w:sz w:val="20"/>
          <w:szCs w:val="20"/>
          <w:lang w:val="lt-LT"/>
        </w:rPr>
      </w:pPr>
      <w:r w:rsidRPr="00386440">
        <w:rPr>
          <w:rFonts w:ascii="Georgia" w:hAnsi="Georgia" w:cs="Georgia"/>
          <w:sz w:val="20"/>
          <w:szCs w:val="20"/>
          <w:lang w:val="lt-LT"/>
        </w:rPr>
        <w:t>Atsižvelgiant į tai, kad visas identifikuotas aukštųjų mokyklų ir profesinio mokymo įstaigų poreikis energijos efektyvumo priemonėms bus padengtas iš JESSICA KF trečiojo kvietimo lėšų, bendrabučių modernizavimas energijos efektyvumo aspektu šioje studijoje toliau nėra nagrinėjamas.</w:t>
      </w:r>
    </w:p>
    <w:p w14:paraId="0C2DC575" w14:textId="77777777" w:rsidR="003372A3" w:rsidRDefault="003372A3" w:rsidP="003A6D60">
      <w:pPr>
        <w:autoSpaceDE w:val="0"/>
        <w:autoSpaceDN w:val="0"/>
        <w:adjustRightInd w:val="0"/>
        <w:spacing w:after="0"/>
        <w:jc w:val="both"/>
        <w:rPr>
          <w:rFonts w:ascii="Georgia" w:hAnsi="Georgia"/>
          <w:bCs/>
          <w:i/>
          <w:sz w:val="24"/>
          <w:szCs w:val="24"/>
          <w:lang w:val="lt-LT"/>
        </w:rPr>
      </w:pPr>
    </w:p>
    <w:p w14:paraId="52FCD8D1" w14:textId="77777777" w:rsidR="00336C16" w:rsidRDefault="00336C16" w:rsidP="00C03122">
      <w:pPr>
        <w:pStyle w:val="Antrat2"/>
        <w:numPr>
          <w:ilvl w:val="3"/>
          <w:numId w:val="36"/>
        </w:numPr>
        <w:rPr>
          <w:lang w:val="lt-LT"/>
        </w:rPr>
      </w:pPr>
      <w:bookmarkStart w:id="49" w:name="_Toc417378371"/>
      <w:r>
        <w:rPr>
          <w:lang w:val="lt-LT"/>
        </w:rPr>
        <w:t>Daugiabučių modernizavimo paklausos skaičiavimas</w:t>
      </w:r>
      <w:bookmarkEnd w:id="49"/>
    </w:p>
    <w:p w14:paraId="4916B66C" w14:textId="77777777" w:rsidR="00336C16" w:rsidRDefault="00336C16" w:rsidP="00336C16">
      <w:pPr>
        <w:widowControl w:val="0"/>
        <w:overflowPunct w:val="0"/>
        <w:autoSpaceDE w:val="0"/>
        <w:autoSpaceDN w:val="0"/>
        <w:adjustRightInd w:val="0"/>
        <w:spacing w:after="0" w:line="360" w:lineRule="auto"/>
        <w:ind w:right="540"/>
        <w:jc w:val="both"/>
        <w:rPr>
          <w:rFonts w:ascii="Georgia" w:hAnsi="Georgia"/>
          <w:bCs/>
          <w:i/>
          <w:sz w:val="24"/>
          <w:szCs w:val="24"/>
          <w:lang w:val="lt-LT"/>
        </w:rPr>
      </w:pPr>
    </w:p>
    <w:p w14:paraId="076127AD" w14:textId="77777777" w:rsidR="003C6ED8" w:rsidRDefault="003C6ED8" w:rsidP="003C6ED8">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Daugiabučių modernizavimo paklausos paskaičiavimas buvo atliktas remiantis dviem metodais:</w:t>
      </w:r>
    </w:p>
    <w:p w14:paraId="353BD48A" w14:textId="77777777" w:rsidR="003C6ED8" w:rsidRDefault="003C6ED8" w:rsidP="002A576D">
      <w:pPr>
        <w:pStyle w:val="Sraopastraipa"/>
        <w:numPr>
          <w:ilvl w:val="0"/>
          <w:numId w:val="69"/>
        </w:numPr>
        <w:autoSpaceDE w:val="0"/>
        <w:autoSpaceDN w:val="0"/>
        <w:adjustRightInd w:val="0"/>
        <w:jc w:val="both"/>
        <w:rPr>
          <w:rFonts w:ascii="Georgia" w:hAnsi="Georgia" w:cs="Georgia"/>
          <w:sz w:val="20"/>
          <w:szCs w:val="20"/>
          <w:lang w:val="lt-LT"/>
        </w:rPr>
      </w:pPr>
      <w:r>
        <w:rPr>
          <w:rFonts w:ascii="Georgia" w:hAnsi="Georgia" w:cs="Georgia"/>
          <w:sz w:val="20"/>
          <w:szCs w:val="20"/>
          <w:lang w:val="lt-LT"/>
        </w:rPr>
        <w:t>R</w:t>
      </w:r>
      <w:r w:rsidRPr="00CF31C2">
        <w:rPr>
          <w:rFonts w:ascii="Georgia" w:hAnsi="Georgia" w:cs="Georgia"/>
          <w:sz w:val="20"/>
          <w:szCs w:val="20"/>
          <w:lang w:val="lt-LT"/>
        </w:rPr>
        <w:t>emiantis faktinių dydžių skaičiavimo metodu</w:t>
      </w:r>
      <w:r>
        <w:rPr>
          <w:rFonts w:ascii="Georgia" w:hAnsi="Georgia" w:cs="Georgia"/>
          <w:sz w:val="20"/>
          <w:szCs w:val="20"/>
          <w:lang w:val="lt-LT"/>
        </w:rPr>
        <w:t>, kai prielaidos ir kiti skaičiavimuose naudojami dydžiai yra skaičiuojami remiantis faktiniais duomenimis, t.y. pastato energijos suvartojimo dydžiai yra realūs, apskaičiuoti pagal faktinį suvartojimą.</w:t>
      </w:r>
    </w:p>
    <w:p w14:paraId="535590EB" w14:textId="77777777" w:rsidR="003C6ED8" w:rsidRDefault="003C6ED8" w:rsidP="002A576D">
      <w:pPr>
        <w:pStyle w:val="Sraopastraipa"/>
        <w:numPr>
          <w:ilvl w:val="0"/>
          <w:numId w:val="69"/>
        </w:numPr>
        <w:autoSpaceDE w:val="0"/>
        <w:autoSpaceDN w:val="0"/>
        <w:adjustRightInd w:val="0"/>
        <w:jc w:val="both"/>
        <w:rPr>
          <w:rFonts w:ascii="Georgia" w:hAnsi="Georgia" w:cs="Georgia"/>
          <w:sz w:val="20"/>
          <w:szCs w:val="20"/>
          <w:lang w:val="lt-LT"/>
        </w:rPr>
      </w:pPr>
      <w:r>
        <w:rPr>
          <w:rFonts w:ascii="Georgia" w:hAnsi="Georgia" w:cs="Georgia"/>
          <w:sz w:val="20"/>
          <w:szCs w:val="20"/>
          <w:lang w:val="lt-LT"/>
        </w:rPr>
        <w:t>Remiantis skaičiuotinų dydžių skaičiavimo metodu, kai prielaidos ir</w:t>
      </w:r>
      <w:r w:rsidRPr="006111BD">
        <w:rPr>
          <w:rFonts w:ascii="Georgia" w:hAnsi="Georgia" w:cs="Georgia"/>
          <w:sz w:val="20"/>
          <w:szCs w:val="20"/>
          <w:lang w:val="lt-LT"/>
        </w:rPr>
        <w:t xml:space="preserve"> kiti skaičiavimuose naudojami dydžiai yra </w:t>
      </w:r>
      <w:r>
        <w:rPr>
          <w:rFonts w:ascii="Georgia" w:hAnsi="Georgia" w:cs="Georgia"/>
          <w:sz w:val="20"/>
          <w:szCs w:val="20"/>
          <w:lang w:val="lt-LT"/>
        </w:rPr>
        <w:t>apskaičiuojami remiantis patvirtinta metodologija, apskaičiuotais teoriniais dydžiais, t.y. energijos suvartojimo dydžiai paskaičiuojami pagal pastato charakteristikas (medžiagas, iš kurių pastatytas pastatas, sienų storius, apšiltinimo sluoksnį, nusidėvėjimo laipsnį ir pan.)</w:t>
      </w:r>
    </w:p>
    <w:p w14:paraId="14A55899" w14:textId="77777777" w:rsidR="00A555CA" w:rsidRDefault="00A555CA" w:rsidP="00A555CA">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Vertinant daugiabučių modernizavimo paklausą, verta paminėti, jog prie daugiabučių paklausos formavimo prisideda Aplinkos ministerija ir savivaldybės. Siekiant paspartinti daugiabučių renovaciją, 2013 m. Aplinkos ministerija paskelbė kvietimus savivaldybėms pateikti renovuotinų daugiabučių sąrašus bei paspartinti šių daugiabučių rengimąsi įgyvendinti projektus. Pirmojo kvietimo metu Aplinkos ministerijai savivaldybės pateikė 848 daugiabučių sąrašą, antrojo kvietimo metu buvo gautas papildomai 1680 daugiabučių sąrašas. Pažymėtina, jog šis Aplinkos ministerijos sprendimas buvo svarbus ir tikėtina, jog ir toliau taip bus skatinamas projektų pasirengimas ir įgyvendinimas. </w:t>
      </w:r>
    </w:p>
    <w:p w14:paraId="2644952A" w14:textId="77777777" w:rsidR="003C6ED8" w:rsidRDefault="003C6ED8" w:rsidP="003C6ED8">
      <w:pPr>
        <w:pStyle w:val="Sraopastraipa"/>
        <w:keepNext/>
        <w:ind w:left="0"/>
        <w:rPr>
          <w:rFonts w:ascii="Georgia" w:hAnsi="Georgia"/>
          <w:i/>
          <w:sz w:val="24"/>
          <w:szCs w:val="20"/>
          <w:lang w:val="lt-LT"/>
        </w:rPr>
      </w:pPr>
    </w:p>
    <w:p w14:paraId="301B2CD9" w14:textId="77777777" w:rsidR="003C6ED8" w:rsidRDefault="003C6ED8" w:rsidP="003C6ED8">
      <w:pPr>
        <w:pStyle w:val="Sraopastraipa"/>
        <w:keepNext/>
        <w:ind w:left="0"/>
        <w:rPr>
          <w:rFonts w:ascii="Georgia" w:hAnsi="Georgia"/>
          <w:i/>
          <w:sz w:val="24"/>
          <w:szCs w:val="20"/>
          <w:lang w:val="lt-LT"/>
        </w:rPr>
      </w:pPr>
      <w:r w:rsidRPr="00877078">
        <w:rPr>
          <w:rFonts w:ascii="Georgia" w:hAnsi="Georgia"/>
          <w:i/>
          <w:sz w:val="24"/>
          <w:szCs w:val="20"/>
          <w:lang w:val="lt-LT"/>
        </w:rPr>
        <w:t xml:space="preserve">1. </w:t>
      </w:r>
      <w:r w:rsidRPr="00AC02D9">
        <w:rPr>
          <w:rFonts w:ascii="Georgia" w:hAnsi="Georgia"/>
          <w:i/>
          <w:sz w:val="24"/>
          <w:szCs w:val="20"/>
          <w:lang w:val="lt-LT"/>
        </w:rPr>
        <w:t xml:space="preserve">Daugiabučių modernizavimo paklausos skaičiavimas </w:t>
      </w:r>
      <w:r>
        <w:rPr>
          <w:rFonts w:ascii="Georgia" w:hAnsi="Georgia"/>
          <w:i/>
          <w:sz w:val="24"/>
          <w:szCs w:val="20"/>
          <w:lang w:val="lt-LT"/>
        </w:rPr>
        <w:t>f</w:t>
      </w:r>
      <w:r w:rsidRPr="00877078">
        <w:rPr>
          <w:rFonts w:ascii="Georgia" w:hAnsi="Georgia"/>
          <w:i/>
          <w:sz w:val="24"/>
          <w:szCs w:val="20"/>
          <w:lang w:val="lt-LT"/>
        </w:rPr>
        <w:t xml:space="preserve">aktinių sutaupymo dydžių skaičiavimo </w:t>
      </w:r>
      <w:r>
        <w:rPr>
          <w:rFonts w:ascii="Georgia" w:hAnsi="Georgia"/>
          <w:i/>
          <w:sz w:val="24"/>
          <w:szCs w:val="20"/>
          <w:lang w:val="lt-LT"/>
        </w:rPr>
        <w:t>metodu</w:t>
      </w:r>
    </w:p>
    <w:p w14:paraId="1D944A57" w14:textId="77777777" w:rsidR="003C6ED8" w:rsidRDefault="003C6ED8" w:rsidP="003C6ED8">
      <w:pPr>
        <w:autoSpaceDE w:val="0"/>
        <w:autoSpaceDN w:val="0"/>
        <w:adjustRightInd w:val="0"/>
        <w:spacing w:after="0"/>
        <w:jc w:val="both"/>
        <w:rPr>
          <w:rFonts w:ascii="Georgia" w:hAnsi="Georgia"/>
          <w:bCs/>
          <w:sz w:val="20"/>
          <w:szCs w:val="24"/>
          <w:lang w:val="lt-LT"/>
        </w:rPr>
      </w:pPr>
      <w:r w:rsidRPr="003C6ED8">
        <w:rPr>
          <w:rFonts w:ascii="Georgia" w:hAnsi="Georgia"/>
          <w:bCs/>
          <w:sz w:val="20"/>
          <w:szCs w:val="20"/>
          <w:lang w:val="lt-LT"/>
        </w:rPr>
        <w:t xml:space="preserve">Žemiau </w:t>
      </w:r>
      <w:r w:rsidR="000B28FE">
        <w:rPr>
          <w:rFonts w:ascii="Georgia" w:hAnsi="Georgia"/>
          <w:bCs/>
          <w:sz w:val="20"/>
          <w:szCs w:val="20"/>
          <w:lang w:val="lt-LT"/>
        </w:rPr>
        <w:t>esančioje lentelėje</w:t>
      </w:r>
      <w:r w:rsidRPr="003C6ED8">
        <w:rPr>
          <w:rFonts w:ascii="Georgia" w:hAnsi="Georgia"/>
          <w:bCs/>
          <w:sz w:val="20"/>
          <w:szCs w:val="20"/>
          <w:lang w:val="lt-LT"/>
        </w:rPr>
        <w:t xml:space="preserve"> pateikiamos</w:t>
      </w:r>
      <w:r>
        <w:rPr>
          <w:rFonts w:ascii="Georgia" w:hAnsi="Georgia"/>
          <w:bCs/>
          <w:sz w:val="20"/>
          <w:szCs w:val="24"/>
          <w:lang w:val="lt-LT"/>
        </w:rPr>
        <w:t xml:space="preserve"> prielaidos ir skaičiavimai bei jų pagrindimas skaičiuojant daugiabučių pastatų paklausą faktinių dydžių metodu.</w:t>
      </w:r>
      <w:r w:rsidR="00BC67D3" w:rsidRPr="00BC67D3">
        <w:rPr>
          <w:rFonts w:ascii="Georgia" w:hAnsi="Georgia"/>
          <w:bCs/>
          <w:sz w:val="20"/>
          <w:szCs w:val="24"/>
          <w:lang w:val="lt-LT"/>
        </w:rPr>
        <w:t xml:space="preserve"> </w:t>
      </w:r>
      <w:r w:rsidR="00BC67D3">
        <w:rPr>
          <w:rFonts w:ascii="Georgia" w:hAnsi="Georgia"/>
          <w:bCs/>
          <w:sz w:val="20"/>
          <w:szCs w:val="24"/>
          <w:lang w:val="lt-LT"/>
        </w:rPr>
        <w:t xml:space="preserve">Lentelės skiltyje „Informacijos šaltinis, </w:t>
      </w:r>
      <w:r w:rsidR="00BC67D3">
        <w:rPr>
          <w:rFonts w:ascii="Georgia" w:hAnsi="Georgia"/>
          <w:bCs/>
          <w:sz w:val="20"/>
          <w:szCs w:val="24"/>
          <w:lang w:val="lt-LT"/>
        </w:rPr>
        <w:lastRenderedPageBreak/>
        <w:t>pagrindimas“ esantys skaičiai formulėse nurodo, iš kokių lentelės eilučių imami skaičiai apskaičiuo</w:t>
      </w:r>
      <w:r w:rsidR="003A1AA1">
        <w:rPr>
          <w:rFonts w:ascii="Georgia" w:hAnsi="Georgia"/>
          <w:bCs/>
          <w:sz w:val="20"/>
          <w:szCs w:val="24"/>
          <w:lang w:val="lt-LT"/>
        </w:rPr>
        <w:t>jant</w:t>
      </w:r>
      <w:r w:rsidR="00BC67D3">
        <w:rPr>
          <w:rFonts w:ascii="Georgia" w:hAnsi="Georgia"/>
          <w:bCs/>
          <w:sz w:val="20"/>
          <w:szCs w:val="24"/>
          <w:lang w:val="lt-LT"/>
        </w:rPr>
        <w:t xml:space="preserve"> siektiną rodiklį.</w:t>
      </w:r>
    </w:p>
    <w:p w14:paraId="5CF4A659" w14:textId="77777777" w:rsidR="003C6ED8" w:rsidRPr="00877078" w:rsidRDefault="003C6ED8" w:rsidP="003C6ED8">
      <w:pPr>
        <w:autoSpaceDE w:val="0"/>
        <w:autoSpaceDN w:val="0"/>
        <w:adjustRightInd w:val="0"/>
        <w:spacing w:after="0"/>
        <w:jc w:val="both"/>
        <w:rPr>
          <w:rFonts w:ascii="Georgia" w:hAnsi="Georgia"/>
          <w:bCs/>
          <w:sz w:val="20"/>
          <w:szCs w:val="24"/>
          <w:lang w:val="lt-LT"/>
        </w:rPr>
      </w:pPr>
    </w:p>
    <w:p w14:paraId="309E8DC2" w14:textId="65CA4023" w:rsidR="003C6ED8" w:rsidRPr="00877078" w:rsidRDefault="003C6ED8" w:rsidP="003C6ED8">
      <w:pPr>
        <w:pStyle w:val="Antrat"/>
        <w:jc w:val="both"/>
      </w:pPr>
      <w:bookmarkStart w:id="50" w:name="_Ref399583322"/>
      <w:bookmarkStart w:id="51" w:name="_Toc460321595"/>
      <w:r w:rsidRPr="00877078">
        <w:rPr>
          <w:lang w:val="lt-LT"/>
        </w:rPr>
        <w:t xml:space="preserve">Lentelė </w:t>
      </w:r>
      <w:r w:rsidRPr="00877078">
        <w:rPr>
          <w:lang w:val="lt-LT"/>
        </w:rPr>
        <w:fldChar w:fldCharType="begin"/>
      </w:r>
      <w:r w:rsidRPr="00877078">
        <w:rPr>
          <w:lang w:val="lt-LT"/>
        </w:rPr>
        <w:instrText xml:space="preserve"> SEQ Lentelė \* ARABIC </w:instrText>
      </w:r>
      <w:r w:rsidRPr="00877078">
        <w:rPr>
          <w:lang w:val="lt-LT"/>
        </w:rPr>
        <w:fldChar w:fldCharType="separate"/>
      </w:r>
      <w:r w:rsidR="00AA3082">
        <w:rPr>
          <w:noProof/>
          <w:lang w:val="lt-LT"/>
        </w:rPr>
        <w:t>14</w:t>
      </w:r>
      <w:r w:rsidRPr="00877078">
        <w:rPr>
          <w:lang w:val="lt-LT"/>
        </w:rPr>
        <w:fldChar w:fldCharType="end"/>
      </w:r>
      <w:bookmarkEnd w:id="50"/>
      <w:r w:rsidRPr="00877078">
        <w:rPr>
          <w:lang w:val="lt-LT"/>
        </w:rPr>
        <w:t>. Daugiabu</w:t>
      </w:r>
      <w:r w:rsidRPr="001639E1">
        <w:rPr>
          <w:lang w:val="lt-LT"/>
        </w:rPr>
        <w:t>čių</w:t>
      </w:r>
      <w:r w:rsidRPr="00877078">
        <w:rPr>
          <w:lang w:val="lt-LT"/>
        </w:rPr>
        <w:t xml:space="preserve"> pastatų p</w:t>
      </w:r>
      <w:r w:rsidRPr="001639E1">
        <w:rPr>
          <w:rFonts w:cs="Georgia"/>
          <w:szCs w:val="20"/>
          <w:lang w:val="lt-LT"/>
        </w:rPr>
        <w:t>aklausos skaičiavimo prielaidos ir paklausos rodiklių skaičiavimas</w:t>
      </w:r>
      <w:r>
        <w:rPr>
          <w:rFonts w:cs="Georgia"/>
          <w:szCs w:val="20"/>
          <w:lang w:val="lt-LT"/>
        </w:rPr>
        <w:t xml:space="preserve"> (skaičiuojant faktinių dydžių metodu)</w:t>
      </w:r>
      <w:bookmarkEnd w:id="51"/>
    </w:p>
    <w:tbl>
      <w:tblPr>
        <w:tblStyle w:val="viesussraas2parykinimas"/>
        <w:tblW w:w="5000" w:type="pct"/>
        <w:tblLook w:val="04A0" w:firstRow="1" w:lastRow="0" w:firstColumn="1" w:lastColumn="0" w:noHBand="0" w:noVBand="1"/>
      </w:tblPr>
      <w:tblGrid>
        <w:gridCol w:w="715"/>
        <w:gridCol w:w="2813"/>
        <w:gridCol w:w="1307"/>
        <w:gridCol w:w="4407"/>
      </w:tblGrid>
      <w:tr w:rsidR="003C6ED8" w14:paraId="4F893AD2" w14:textId="77777777" w:rsidTr="00DB1F2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7" w:type="pct"/>
          </w:tcPr>
          <w:p w14:paraId="4DB114C2" w14:textId="77777777" w:rsidR="003C6ED8" w:rsidRDefault="003C6ED8" w:rsidP="00714494">
            <w:pPr>
              <w:autoSpaceDE w:val="0"/>
              <w:autoSpaceDN w:val="0"/>
              <w:adjustRightInd w:val="0"/>
              <w:jc w:val="center"/>
              <w:rPr>
                <w:rFonts w:ascii="Georgia" w:hAnsi="Georgia"/>
                <w:bCs w:val="0"/>
                <w:sz w:val="20"/>
                <w:szCs w:val="24"/>
              </w:rPr>
            </w:pPr>
            <w:r>
              <w:rPr>
                <w:rFonts w:ascii="Georgia" w:hAnsi="Georgia"/>
                <w:bCs w:val="0"/>
                <w:sz w:val="20"/>
                <w:szCs w:val="24"/>
              </w:rPr>
              <w:t>Eil.</w:t>
            </w:r>
          </w:p>
          <w:p w14:paraId="1D7622AE" w14:textId="77777777" w:rsidR="003C6ED8" w:rsidRDefault="003C6ED8" w:rsidP="00714494">
            <w:pPr>
              <w:autoSpaceDE w:val="0"/>
              <w:autoSpaceDN w:val="0"/>
              <w:adjustRightInd w:val="0"/>
              <w:jc w:val="center"/>
              <w:rPr>
                <w:rFonts w:ascii="Georgia" w:hAnsi="Georgia"/>
                <w:bCs w:val="0"/>
                <w:sz w:val="20"/>
                <w:szCs w:val="24"/>
              </w:rPr>
            </w:pPr>
            <w:r>
              <w:rPr>
                <w:rFonts w:ascii="Georgia" w:hAnsi="Georgia"/>
                <w:bCs w:val="0"/>
                <w:sz w:val="20"/>
                <w:szCs w:val="24"/>
              </w:rPr>
              <w:t>Nr.</w:t>
            </w:r>
          </w:p>
        </w:tc>
        <w:tc>
          <w:tcPr>
            <w:tcW w:w="1522" w:type="pct"/>
          </w:tcPr>
          <w:p w14:paraId="581D3CA2" w14:textId="77777777" w:rsidR="003C6ED8" w:rsidRDefault="003C6ED8"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Pr>
                <w:rFonts w:ascii="Georgia" w:hAnsi="Georgia"/>
                <w:bCs w:val="0"/>
                <w:sz w:val="20"/>
                <w:szCs w:val="24"/>
              </w:rPr>
              <w:t>Rodiklis</w:t>
            </w:r>
          </w:p>
        </w:tc>
        <w:tc>
          <w:tcPr>
            <w:tcW w:w="707" w:type="pct"/>
          </w:tcPr>
          <w:p w14:paraId="74AC015E" w14:textId="77777777" w:rsidR="003C6ED8" w:rsidRDefault="003C6ED8"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Pr>
                <w:rFonts w:ascii="Georgia" w:hAnsi="Georgia"/>
                <w:bCs w:val="0"/>
                <w:sz w:val="20"/>
                <w:szCs w:val="24"/>
              </w:rPr>
              <w:t>Rodiklio dydis</w:t>
            </w:r>
          </w:p>
        </w:tc>
        <w:tc>
          <w:tcPr>
            <w:tcW w:w="2384" w:type="pct"/>
          </w:tcPr>
          <w:p w14:paraId="05BD7048" w14:textId="77777777" w:rsidR="003C6ED8" w:rsidRDefault="003C6ED8"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Pr>
                <w:rFonts w:ascii="Georgia" w:hAnsi="Georgia"/>
                <w:bCs w:val="0"/>
                <w:sz w:val="20"/>
                <w:szCs w:val="24"/>
              </w:rPr>
              <w:t>Informacijos šaltinis, pagrindimas</w:t>
            </w:r>
          </w:p>
        </w:tc>
      </w:tr>
      <w:tr w:rsidR="003C6ED8" w14:paraId="29482B84" w14:textId="77777777" w:rsidTr="00DB1F2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7" w:type="pct"/>
          </w:tcPr>
          <w:p w14:paraId="5EA25AC3" w14:textId="77777777" w:rsidR="003C6ED8" w:rsidRDefault="003C6ED8" w:rsidP="00A555CA">
            <w:pPr>
              <w:autoSpaceDE w:val="0"/>
              <w:autoSpaceDN w:val="0"/>
              <w:adjustRightInd w:val="0"/>
              <w:jc w:val="both"/>
              <w:rPr>
                <w:rFonts w:ascii="Georgia" w:hAnsi="Georgia"/>
                <w:bCs w:val="0"/>
                <w:sz w:val="20"/>
                <w:szCs w:val="24"/>
              </w:rPr>
            </w:pPr>
            <w:r>
              <w:rPr>
                <w:rFonts w:ascii="Georgia" w:hAnsi="Georgia"/>
                <w:bCs w:val="0"/>
                <w:sz w:val="20"/>
                <w:szCs w:val="24"/>
              </w:rPr>
              <w:t>1.</w:t>
            </w:r>
          </w:p>
        </w:tc>
        <w:tc>
          <w:tcPr>
            <w:tcW w:w="1522" w:type="pct"/>
          </w:tcPr>
          <w:p w14:paraId="1580C7D4" w14:textId="77777777" w:rsidR="003C6ED8" w:rsidRDefault="003C6ED8"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M</w:t>
            </w:r>
            <w:r w:rsidRPr="006111BD">
              <w:rPr>
                <w:rFonts w:ascii="Georgia" w:hAnsi="Georgia"/>
                <w:bCs/>
                <w:sz w:val="20"/>
                <w:szCs w:val="24"/>
              </w:rPr>
              <w:t>etinio šilumos suvartojimo kiekio vidurkis</w:t>
            </w:r>
            <w:r>
              <w:rPr>
                <w:rFonts w:ascii="Georgia" w:hAnsi="Georgia"/>
                <w:bCs/>
                <w:sz w:val="20"/>
                <w:szCs w:val="24"/>
              </w:rPr>
              <w:t>, kWh/m</w:t>
            </w:r>
            <w:r>
              <w:rPr>
                <w:rFonts w:ascii="Georgia" w:hAnsi="Georgia"/>
                <w:bCs/>
                <w:sz w:val="20"/>
                <w:szCs w:val="24"/>
                <w:vertAlign w:val="superscript"/>
              </w:rPr>
              <w:t>2</w:t>
            </w:r>
          </w:p>
        </w:tc>
        <w:tc>
          <w:tcPr>
            <w:tcW w:w="707" w:type="pct"/>
          </w:tcPr>
          <w:p w14:paraId="087ED374" w14:textId="77777777" w:rsidR="003C6ED8" w:rsidRPr="00877078" w:rsidRDefault="003C6ED8"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lang w:val="en-US"/>
              </w:rPr>
            </w:pPr>
            <w:r>
              <w:rPr>
                <w:rFonts w:ascii="Georgia" w:hAnsi="Georgia"/>
                <w:bCs/>
                <w:sz w:val="20"/>
                <w:szCs w:val="24"/>
                <w:lang w:val="en-US"/>
              </w:rPr>
              <w:t>137,5</w:t>
            </w:r>
          </w:p>
        </w:tc>
        <w:tc>
          <w:tcPr>
            <w:tcW w:w="2384" w:type="pct"/>
          </w:tcPr>
          <w:p w14:paraId="0482CEE7" w14:textId="77777777" w:rsidR="003C6ED8" w:rsidRDefault="003C6ED8" w:rsidP="002A253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Atsižvelgiant į Lietuvos šilumos tiekėjų asociacijos duomenis</w:t>
            </w:r>
            <w:r w:rsidR="002A2536">
              <w:rPr>
                <w:rFonts w:ascii="Georgia" w:hAnsi="Georgia" w:cs="Georgia"/>
                <w:sz w:val="20"/>
                <w:szCs w:val="20"/>
              </w:rPr>
              <w:t>,</w:t>
            </w:r>
            <w:r>
              <w:rPr>
                <w:rFonts w:ascii="Georgia" w:hAnsi="Georgia" w:cs="Georgia"/>
                <w:sz w:val="20"/>
                <w:szCs w:val="20"/>
              </w:rPr>
              <w:t xml:space="preserve"> 57 proc. daugiabučių suvartoja apie 25 kWh/m</w:t>
            </w:r>
            <w:r>
              <w:rPr>
                <w:rFonts w:ascii="Georgia" w:hAnsi="Georgia" w:cs="Georgia"/>
                <w:sz w:val="20"/>
                <w:szCs w:val="20"/>
                <w:vertAlign w:val="superscript"/>
              </w:rPr>
              <w:t>2</w:t>
            </w:r>
            <w:r>
              <w:rPr>
                <w:rFonts w:ascii="Georgia" w:hAnsi="Georgia" w:cs="Georgia"/>
                <w:sz w:val="20"/>
                <w:szCs w:val="20"/>
              </w:rPr>
              <w:t xml:space="preserve"> šilumos energijos kiekvieną mėnesį. Kadangi Lietuvoje šildymo sezonas vidutiniškai trunka apie 230 dienų, tačiau pirmuosius ir paskutinius šildymo mėnesius daugiabučiai nesuvartoja didelio kiekio šilumos energijos, todėl darome prielaidą, kad 25</w:t>
            </w:r>
            <w:r w:rsidR="002A2536">
              <w:rPr>
                <w:rFonts w:ascii="Georgia" w:hAnsi="Georgia" w:cs="Georgia"/>
                <w:sz w:val="20"/>
                <w:szCs w:val="20"/>
              </w:rPr>
              <w:t xml:space="preserve"> </w:t>
            </w:r>
            <w:r>
              <w:rPr>
                <w:rFonts w:ascii="Georgia" w:hAnsi="Georgia" w:cs="Georgia"/>
                <w:sz w:val="20"/>
                <w:szCs w:val="20"/>
              </w:rPr>
              <w:t>kWh/m</w:t>
            </w:r>
            <w:r>
              <w:rPr>
                <w:rFonts w:ascii="Georgia" w:hAnsi="Georgia" w:cs="Georgia"/>
                <w:sz w:val="20"/>
                <w:szCs w:val="20"/>
                <w:vertAlign w:val="superscript"/>
              </w:rPr>
              <w:t>2</w:t>
            </w:r>
            <w:r>
              <w:rPr>
                <w:rFonts w:ascii="Georgia" w:hAnsi="Georgia" w:cs="Georgia"/>
                <w:sz w:val="20"/>
                <w:szCs w:val="20"/>
              </w:rPr>
              <w:t xml:space="preserve"> daugiabučiai naudoja 5,5 mėnesio per metus, </w:t>
            </w:r>
            <w:r w:rsidR="002A2536">
              <w:rPr>
                <w:rFonts w:ascii="Georgia" w:hAnsi="Georgia" w:cs="Georgia"/>
                <w:sz w:val="20"/>
                <w:szCs w:val="20"/>
              </w:rPr>
              <w:t>todėl</w:t>
            </w:r>
            <w:r>
              <w:rPr>
                <w:rFonts w:ascii="Georgia" w:hAnsi="Georgia" w:cs="Georgia"/>
                <w:sz w:val="20"/>
                <w:szCs w:val="20"/>
              </w:rPr>
              <w:t xml:space="preserve"> per metus daugiabučiai suvartoja apie 137,5 kWh/m</w:t>
            </w:r>
            <w:r>
              <w:rPr>
                <w:rFonts w:ascii="Georgia" w:hAnsi="Georgia" w:cs="Georgia"/>
                <w:sz w:val="20"/>
                <w:szCs w:val="20"/>
                <w:vertAlign w:val="superscript"/>
              </w:rPr>
              <w:t>2</w:t>
            </w:r>
            <w:r>
              <w:rPr>
                <w:rFonts w:ascii="Georgia" w:hAnsi="Georgia" w:cs="Georgia"/>
                <w:sz w:val="20"/>
                <w:szCs w:val="20"/>
              </w:rPr>
              <w:t xml:space="preserve"> šilumos</w:t>
            </w:r>
            <w:r w:rsidR="002A2536">
              <w:rPr>
                <w:rFonts w:ascii="Georgia" w:hAnsi="Georgia" w:cs="Georgia"/>
                <w:sz w:val="20"/>
                <w:szCs w:val="20"/>
              </w:rPr>
              <w:t xml:space="preserve"> energijos. Šis dydis taip pat atitinka Aplinkos ministerijos</w:t>
            </w:r>
            <w:r>
              <w:rPr>
                <w:rFonts w:ascii="Georgia" w:hAnsi="Georgia" w:cs="Georgia"/>
                <w:sz w:val="20"/>
                <w:szCs w:val="20"/>
              </w:rPr>
              <w:t xml:space="preserve"> antrame daugiabučių renovavimo et</w:t>
            </w:r>
            <w:r w:rsidR="002A2536">
              <w:rPr>
                <w:rFonts w:ascii="Georgia" w:hAnsi="Georgia" w:cs="Georgia"/>
                <w:sz w:val="20"/>
                <w:szCs w:val="20"/>
              </w:rPr>
              <w:t>ape atrinktų daugiabučių sąrašo</w:t>
            </w:r>
            <w:r>
              <w:rPr>
                <w:rFonts w:ascii="Georgia" w:hAnsi="Georgia" w:cs="Georgia"/>
                <w:sz w:val="20"/>
                <w:szCs w:val="20"/>
              </w:rPr>
              <w:t xml:space="preserve"> vieno pastato energijos suvartojimo vidurkį (136,5 kWh/m</w:t>
            </w:r>
            <w:r>
              <w:rPr>
                <w:rFonts w:ascii="Georgia" w:hAnsi="Georgia" w:cs="Georgia"/>
                <w:sz w:val="20"/>
                <w:szCs w:val="20"/>
                <w:vertAlign w:val="superscript"/>
              </w:rPr>
              <w:t>2</w:t>
            </w:r>
            <w:r>
              <w:rPr>
                <w:rFonts w:ascii="Georgia" w:hAnsi="Georgia" w:cs="Georgia"/>
                <w:sz w:val="20"/>
                <w:szCs w:val="20"/>
              </w:rPr>
              <w:t>).</w:t>
            </w:r>
          </w:p>
        </w:tc>
      </w:tr>
      <w:tr w:rsidR="003C6ED8" w14:paraId="0BB4F984" w14:textId="77777777" w:rsidTr="00DB1F27">
        <w:trPr>
          <w:cantSplit/>
        </w:trPr>
        <w:tc>
          <w:tcPr>
            <w:cnfStyle w:val="001000000000" w:firstRow="0" w:lastRow="0" w:firstColumn="1" w:lastColumn="0" w:oddVBand="0" w:evenVBand="0" w:oddHBand="0" w:evenHBand="0" w:firstRowFirstColumn="0" w:firstRowLastColumn="0" w:lastRowFirstColumn="0" w:lastRowLastColumn="0"/>
            <w:tcW w:w="387" w:type="pct"/>
          </w:tcPr>
          <w:p w14:paraId="50BA3840" w14:textId="77777777" w:rsidR="003C6ED8" w:rsidRDefault="003C6ED8" w:rsidP="00A555CA">
            <w:pPr>
              <w:autoSpaceDE w:val="0"/>
              <w:autoSpaceDN w:val="0"/>
              <w:adjustRightInd w:val="0"/>
              <w:jc w:val="both"/>
              <w:rPr>
                <w:rFonts w:ascii="Georgia" w:hAnsi="Georgia" w:cs="Georgia"/>
                <w:sz w:val="20"/>
                <w:szCs w:val="20"/>
              </w:rPr>
            </w:pPr>
            <w:r>
              <w:rPr>
                <w:rFonts w:ascii="Georgia" w:hAnsi="Georgia" w:cs="Georgia"/>
                <w:sz w:val="20"/>
                <w:szCs w:val="20"/>
              </w:rPr>
              <w:t>2.</w:t>
            </w:r>
          </w:p>
        </w:tc>
        <w:tc>
          <w:tcPr>
            <w:tcW w:w="1522" w:type="pct"/>
          </w:tcPr>
          <w:p w14:paraId="130CCC2A" w14:textId="77777777" w:rsidR="003C6ED8" w:rsidRDefault="003C6ED8"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Po</w:t>
            </w:r>
            <w:r w:rsidR="002A2536">
              <w:rPr>
                <w:rFonts w:ascii="Georgia" w:hAnsi="Georgia" w:cs="Georgia"/>
                <w:sz w:val="20"/>
                <w:szCs w:val="20"/>
              </w:rPr>
              <w:t xml:space="preserve"> renovacijos pastatų energetinio</w:t>
            </w:r>
            <w:r>
              <w:rPr>
                <w:rFonts w:ascii="Georgia" w:hAnsi="Georgia" w:cs="Georgia"/>
                <w:sz w:val="20"/>
                <w:szCs w:val="20"/>
              </w:rPr>
              <w:t xml:space="preserve"> naudingumo klasė, ne mažesnė kaip</w:t>
            </w:r>
          </w:p>
        </w:tc>
        <w:tc>
          <w:tcPr>
            <w:tcW w:w="707" w:type="pct"/>
          </w:tcPr>
          <w:p w14:paraId="6D0123B9" w14:textId="77777777" w:rsidR="003C6ED8" w:rsidRDefault="003C6ED8"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C klasė</w:t>
            </w:r>
          </w:p>
        </w:tc>
        <w:tc>
          <w:tcPr>
            <w:tcW w:w="2384" w:type="pct"/>
          </w:tcPr>
          <w:p w14:paraId="5FC46073" w14:textId="77777777" w:rsidR="003C6ED8" w:rsidRDefault="003C6ED8"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Vadovaujantis STR 2.01.09:2012</w:t>
            </w:r>
          </w:p>
        </w:tc>
      </w:tr>
      <w:tr w:rsidR="003C6ED8" w14:paraId="5C6CF77D" w14:textId="77777777" w:rsidTr="00DB1F2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7" w:type="pct"/>
          </w:tcPr>
          <w:p w14:paraId="38D4F959" w14:textId="77777777" w:rsidR="003C6ED8" w:rsidRDefault="003C6ED8" w:rsidP="00A555CA">
            <w:pPr>
              <w:autoSpaceDE w:val="0"/>
              <w:autoSpaceDN w:val="0"/>
              <w:adjustRightInd w:val="0"/>
              <w:jc w:val="both"/>
              <w:rPr>
                <w:rFonts w:ascii="Georgia" w:hAnsi="Georgia" w:cs="Georgia"/>
                <w:sz w:val="20"/>
                <w:szCs w:val="20"/>
              </w:rPr>
            </w:pPr>
            <w:r>
              <w:rPr>
                <w:rFonts w:ascii="Georgia" w:hAnsi="Georgia" w:cs="Georgia"/>
                <w:sz w:val="20"/>
                <w:szCs w:val="20"/>
              </w:rPr>
              <w:t>3.</w:t>
            </w:r>
          </w:p>
        </w:tc>
        <w:tc>
          <w:tcPr>
            <w:tcW w:w="1522" w:type="pct"/>
          </w:tcPr>
          <w:p w14:paraId="5D6E8E3E" w14:textId="77777777" w:rsidR="003C6ED8" w:rsidRDefault="003C6ED8"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Po renovacijos </w:t>
            </w:r>
            <w:r w:rsidR="002A2536">
              <w:rPr>
                <w:rFonts w:ascii="Georgia" w:hAnsi="Georgia" w:cs="Georgia"/>
                <w:sz w:val="20"/>
                <w:szCs w:val="20"/>
              </w:rPr>
              <w:t>pastatų energijos suvartojimo</w:t>
            </w:r>
            <w:r>
              <w:rPr>
                <w:rFonts w:ascii="Georgia" w:hAnsi="Georgia" w:cs="Georgia"/>
                <w:sz w:val="20"/>
                <w:szCs w:val="20"/>
              </w:rPr>
              <w:t xml:space="preserve"> sutaupymas, proc.</w:t>
            </w:r>
          </w:p>
        </w:tc>
        <w:tc>
          <w:tcPr>
            <w:tcW w:w="707" w:type="pct"/>
          </w:tcPr>
          <w:p w14:paraId="7553C23A" w14:textId="77777777" w:rsidR="003C6ED8" w:rsidRDefault="003C6ED8"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40</w:t>
            </w:r>
          </w:p>
        </w:tc>
        <w:tc>
          <w:tcPr>
            <w:tcW w:w="2384" w:type="pct"/>
          </w:tcPr>
          <w:p w14:paraId="294F25E1" w14:textId="77777777" w:rsidR="003C6ED8" w:rsidRPr="00CF31C2" w:rsidRDefault="003C6ED8" w:rsidP="002A253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lang w:val="en-US"/>
              </w:rPr>
            </w:pPr>
            <w:r>
              <w:rPr>
                <w:rFonts w:ascii="Georgia" w:hAnsi="Georgia" w:cs="Georgia"/>
                <w:sz w:val="20"/>
                <w:szCs w:val="20"/>
              </w:rPr>
              <w:t>Vertinant Daugiabučių namų modernizavimo (atnaujinimo) programos nuostatas, kad siekiant gauti papildomą subsidiją iš Klimato kaitos programos, po renovacijos daugiabutis turi sutaupyti ne mažiau kaip 40 proc. šilu</w:t>
            </w:r>
            <w:r w:rsidR="002A2536">
              <w:rPr>
                <w:rFonts w:ascii="Georgia" w:hAnsi="Georgia" w:cs="Georgia"/>
                <w:sz w:val="20"/>
                <w:szCs w:val="20"/>
              </w:rPr>
              <w:t>mos energijos. Daroma prielaida,</w:t>
            </w:r>
            <w:r>
              <w:rPr>
                <w:rFonts w:ascii="Georgia" w:hAnsi="Georgia" w:cs="Georgia"/>
                <w:sz w:val="20"/>
                <w:szCs w:val="20"/>
              </w:rPr>
              <w:t xml:space="preserve"> </w:t>
            </w:r>
            <w:r w:rsidR="002A2536">
              <w:rPr>
                <w:rFonts w:ascii="Georgia" w:hAnsi="Georgia" w:cs="Georgia"/>
                <w:sz w:val="20"/>
                <w:szCs w:val="20"/>
              </w:rPr>
              <w:t>k</w:t>
            </w:r>
            <w:r>
              <w:rPr>
                <w:rFonts w:ascii="Georgia" w:hAnsi="Georgia" w:cs="Georgia"/>
                <w:sz w:val="20"/>
                <w:szCs w:val="20"/>
              </w:rPr>
              <w:t>ad daugiabučiai pasieks nurodytą šilumos energijos sutaupymą.</w:t>
            </w:r>
          </w:p>
        </w:tc>
      </w:tr>
      <w:tr w:rsidR="003C6ED8" w14:paraId="75A559F0" w14:textId="77777777" w:rsidTr="00DB1F27">
        <w:trPr>
          <w:cantSplit/>
        </w:trPr>
        <w:tc>
          <w:tcPr>
            <w:cnfStyle w:val="001000000000" w:firstRow="0" w:lastRow="0" w:firstColumn="1" w:lastColumn="0" w:oddVBand="0" w:evenVBand="0" w:oddHBand="0" w:evenHBand="0" w:firstRowFirstColumn="0" w:firstRowLastColumn="0" w:lastRowFirstColumn="0" w:lastRowLastColumn="0"/>
            <w:tcW w:w="387" w:type="pct"/>
          </w:tcPr>
          <w:p w14:paraId="5B5F4C94" w14:textId="77777777" w:rsidR="003C6ED8" w:rsidRDefault="003C6ED8" w:rsidP="00A555CA">
            <w:pPr>
              <w:autoSpaceDE w:val="0"/>
              <w:autoSpaceDN w:val="0"/>
              <w:adjustRightInd w:val="0"/>
              <w:jc w:val="both"/>
              <w:rPr>
                <w:rFonts w:ascii="Georgia" w:hAnsi="Georgia"/>
                <w:bCs w:val="0"/>
                <w:sz w:val="20"/>
                <w:szCs w:val="24"/>
              </w:rPr>
            </w:pPr>
            <w:r>
              <w:rPr>
                <w:rFonts w:ascii="Georgia" w:hAnsi="Georgia"/>
                <w:bCs w:val="0"/>
                <w:sz w:val="20"/>
                <w:szCs w:val="24"/>
              </w:rPr>
              <w:t>4.</w:t>
            </w:r>
          </w:p>
        </w:tc>
        <w:tc>
          <w:tcPr>
            <w:tcW w:w="1522" w:type="pct"/>
          </w:tcPr>
          <w:p w14:paraId="72099F42" w14:textId="77777777" w:rsidR="003C6ED8" w:rsidRDefault="003C6ED8"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V</w:t>
            </w:r>
            <w:r w:rsidRPr="006D6D62">
              <w:rPr>
                <w:rFonts w:ascii="Georgia" w:hAnsi="Georgia"/>
                <w:bCs/>
                <w:sz w:val="20"/>
                <w:szCs w:val="24"/>
              </w:rPr>
              <w:t xml:space="preserve">idutis </w:t>
            </w:r>
            <w:r>
              <w:rPr>
                <w:rFonts w:ascii="Georgia" w:hAnsi="Georgia"/>
                <w:bCs/>
                <w:sz w:val="20"/>
                <w:szCs w:val="24"/>
              </w:rPr>
              <w:t>daugiabučio</w:t>
            </w:r>
            <w:r w:rsidRPr="006D6D62">
              <w:rPr>
                <w:rFonts w:ascii="Georgia" w:hAnsi="Georgia"/>
                <w:bCs/>
                <w:sz w:val="20"/>
                <w:szCs w:val="24"/>
              </w:rPr>
              <w:t xml:space="preserve"> pastato plotas</w:t>
            </w:r>
            <w:r>
              <w:rPr>
                <w:rFonts w:ascii="Georgia" w:hAnsi="Georgia"/>
                <w:bCs/>
                <w:sz w:val="20"/>
                <w:szCs w:val="24"/>
              </w:rPr>
              <w:t>, m</w:t>
            </w:r>
            <w:r>
              <w:rPr>
                <w:rFonts w:ascii="Georgia" w:hAnsi="Georgia"/>
                <w:bCs/>
                <w:sz w:val="20"/>
                <w:szCs w:val="24"/>
                <w:vertAlign w:val="superscript"/>
              </w:rPr>
              <w:t>2</w:t>
            </w:r>
          </w:p>
        </w:tc>
        <w:tc>
          <w:tcPr>
            <w:tcW w:w="707" w:type="pct"/>
          </w:tcPr>
          <w:p w14:paraId="762F8A7A" w14:textId="77777777" w:rsidR="003C6ED8" w:rsidRDefault="003C6ED8"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1287</w:t>
            </w:r>
          </w:p>
        </w:tc>
        <w:tc>
          <w:tcPr>
            <w:tcW w:w="2384" w:type="pct"/>
          </w:tcPr>
          <w:p w14:paraId="18E072EB" w14:textId="77777777" w:rsidR="003C6ED8" w:rsidRDefault="003C6ED8"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Paskaičiuota 2.1.</w:t>
            </w:r>
            <w:r>
              <w:rPr>
                <w:rFonts w:ascii="Georgia" w:hAnsi="Georgia"/>
                <w:bCs/>
                <w:sz w:val="20"/>
                <w:szCs w:val="24"/>
                <w:lang w:val="en-US"/>
              </w:rPr>
              <w:t>2</w:t>
            </w:r>
            <w:r>
              <w:rPr>
                <w:rFonts w:ascii="Georgia" w:hAnsi="Georgia"/>
                <w:bCs/>
                <w:sz w:val="20"/>
                <w:szCs w:val="24"/>
              </w:rPr>
              <w:t>. dalyje</w:t>
            </w:r>
          </w:p>
        </w:tc>
      </w:tr>
      <w:tr w:rsidR="003C6ED8" w14:paraId="37FB43F2" w14:textId="77777777" w:rsidTr="00DB1F2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7" w:type="pct"/>
          </w:tcPr>
          <w:p w14:paraId="637851B5" w14:textId="77777777" w:rsidR="003C6ED8" w:rsidRDefault="003C6ED8" w:rsidP="00A555CA">
            <w:pPr>
              <w:autoSpaceDE w:val="0"/>
              <w:autoSpaceDN w:val="0"/>
              <w:adjustRightInd w:val="0"/>
              <w:jc w:val="both"/>
              <w:rPr>
                <w:rFonts w:ascii="Georgia" w:hAnsi="Georgia"/>
                <w:bCs w:val="0"/>
                <w:sz w:val="20"/>
                <w:szCs w:val="24"/>
              </w:rPr>
            </w:pPr>
            <w:r>
              <w:rPr>
                <w:rFonts w:ascii="Georgia" w:hAnsi="Georgia"/>
                <w:bCs w:val="0"/>
                <w:sz w:val="20"/>
                <w:szCs w:val="24"/>
              </w:rPr>
              <w:t>5</w:t>
            </w:r>
          </w:p>
        </w:tc>
        <w:tc>
          <w:tcPr>
            <w:tcW w:w="1522" w:type="pct"/>
          </w:tcPr>
          <w:p w14:paraId="19E380F8" w14:textId="77777777" w:rsidR="003C6ED8" w:rsidRDefault="003C6ED8"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Bendras daugiabučių pastatų metinis sutaupymas, GWh</w:t>
            </w:r>
          </w:p>
        </w:tc>
        <w:tc>
          <w:tcPr>
            <w:tcW w:w="707" w:type="pct"/>
          </w:tcPr>
          <w:p w14:paraId="47D7795E" w14:textId="77777777" w:rsidR="003C6ED8" w:rsidRDefault="003C6ED8"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85,3</w:t>
            </w:r>
          </w:p>
        </w:tc>
        <w:tc>
          <w:tcPr>
            <w:tcW w:w="2384" w:type="pct"/>
          </w:tcPr>
          <w:p w14:paraId="3057EBBB" w14:textId="77777777" w:rsidR="003C6ED8" w:rsidRDefault="003C6ED8"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Paskaičiuota 2.2.1. dalyje</w:t>
            </w:r>
          </w:p>
        </w:tc>
      </w:tr>
      <w:tr w:rsidR="00121072" w14:paraId="273282DB" w14:textId="77777777" w:rsidTr="00DB1F27">
        <w:trPr>
          <w:cantSplit/>
        </w:trPr>
        <w:tc>
          <w:tcPr>
            <w:cnfStyle w:val="001000000000" w:firstRow="0" w:lastRow="0" w:firstColumn="1" w:lastColumn="0" w:oddVBand="0" w:evenVBand="0" w:oddHBand="0" w:evenHBand="0" w:firstRowFirstColumn="0" w:firstRowLastColumn="0" w:lastRowFirstColumn="0" w:lastRowLastColumn="0"/>
            <w:tcW w:w="387" w:type="pct"/>
          </w:tcPr>
          <w:p w14:paraId="3D6A5AAE" w14:textId="77777777" w:rsidR="00121072" w:rsidRDefault="00121072" w:rsidP="00A555CA">
            <w:pPr>
              <w:autoSpaceDE w:val="0"/>
              <w:autoSpaceDN w:val="0"/>
              <w:adjustRightInd w:val="0"/>
              <w:jc w:val="both"/>
              <w:rPr>
                <w:rFonts w:ascii="Georgia" w:hAnsi="Georgia"/>
                <w:bCs w:val="0"/>
                <w:sz w:val="20"/>
                <w:szCs w:val="24"/>
              </w:rPr>
            </w:pPr>
            <w:r>
              <w:rPr>
                <w:rFonts w:ascii="Georgia" w:hAnsi="Georgia"/>
                <w:bCs w:val="0"/>
                <w:sz w:val="20"/>
                <w:szCs w:val="24"/>
              </w:rPr>
              <w:t>6.</w:t>
            </w:r>
          </w:p>
        </w:tc>
        <w:tc>
          <w:tcPr>
            <w:tcW w:w="1522" w:type="pct"/>
          </w:tcPr>
          <w:p w14:paraId="34258ECB" w14:textId="77777777" w:rsidR="00121072" w:rsidRDefault="00121072"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Tipinio daugiabučio renovuoto pastato sutaupymai, GWh</w:t>
            </w:r>
            <w:r w:rsidDel="00784435">
              <w:rPr>
                <w:rFonts w:ascii="Georgia" w:hAnsi="Georgia"/>
                <w:bCs/>
                <w:sz w:val="20"/>
                <w:szCs w:val="24"/>
              </w:rPr>
              <w:t xml:space="preserve"> </w:t>
            </w:r>
            <w:r>
              <w:rPr>
                <w:rFonts w:ascii="Georgia" w:hAnsi="Georgia"/>
                <w:bCs/>
                <w:sz w:val="20"/>
                <w:szCs w:val="24"/>
              </w:rPr>
              <w:t>per metus</w:t>
            </w:r>
          </w:p>
        </w:tc>
        <w:tc>
          <w:tcPr>
            <w:tcW w:w="707" w:type="pct"/>
          </w:tcPr>
          <w:p w14:paraId="1FE3C376" w14:textId="77777777" w:rsidR="00121072" w:rsidRDefault="00121072"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0,071</w:t>
            </w:r>
          </w:p>
        </w:tc>
        <w:tc>
          <w:tcPr>
            <w:tcW w:w="2384" w:type="pct"/>
          </w:tcPr>
          <w:p w14:paraId="7FCE44CE" w14:textId="77777777" w:rsidR="00121072" w:rsidRDefault="00121072"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( 1 x 3 ) x 4</w:t>
            </w:r>
          </w:p>
        </w:tc>
      </w:tr>
      <w:tr w:rsidR="003C6ED8" w14:paraId="364DD0D7" w14:textId="77777777" w:rsidTr="00DB1F2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7" w:type="pct"/>
          </w:tcPr>
          <w:p w14:paraId="57D2D450" w14:textId="77777777" w:rsidR="003C6ED8" w:rsidRDefault="003C6ED8" w:rsidP="00A555CA">
            <w:pPr>
              <w:autoSpaceDE w:val="0"/>
              <w:autoSpaceDN w:val="0"/>
              <w:adjustRightInd w:val="0"/>
              <w:jc w:val="both"/>
              <w:rPr>
                <w:rFonts w:ascii="Georgia" w:hAnsi="Georgia"/>
                <w:bCs w:val="0"/>
                <w:sz w:val="20"/>
                <w:szCs w:val="24"/>
              </w:rPr>
            </w:pPr>
            <w:r>
              <w:rPr>
                <w:rFonts w:ascii="Georgia" w:hAnsi="Georgia"/>
                <w:bCs w:val="0"/>
                <w:sz w:val="20"/>
                <w:szCs w:val="24"/>
              </w:rPr>
              <w:t>7.</w:t>
            </w:r>
          </w:p>
        </w:tc>
        <w:tc>
          <w:tcPr>
            <w:tcW w:w="1522" w:type="pct"/>
          </w:tcPr>
          <w:p w14:paraId="4E27E936" w14:textId="77777777" w:rsidR="003C6ED8" w:rsidRDefault="003C6ED8" w:rsidP="002A253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 xml:space="preserve">Bendras renovuotinų daugiabučių pastatų kiekis per 2014-2020 </w:t>
            </w:r>
            <w:r w:rsidR="002A2536">
              <w:rPr>
                <w:rFonts w:ascii="Georgia" w:hAnsi="Georgia"/>
                <w:bCs/>
                <w:sz w:val="20"/>
                <w:szCs w:val="24"/>
              </w:rPr>
              <w:t>m. periodą</w:t>
            </w:r>
            <w:r>
              <w:rPr>
                <w:rFonts w:ascii="Georgia" w:hAnsi="Georgia"/>
                <w:bCs/>
                <w:sz w:val="20"/>
                <w:szCs w:val="24"/>
              </w:rPr>
              <w:t>, vnt.</w:t>
            </w:r>
          </w:p>
        </w:tc>
        <w:tc>
          <w:tcPr>
            <w:tcW w:w="707" w:type="pct"/>
          </w:tcPr>
          <w:p w14:paraId="6C2AA8E3" w14:textId="77777777" w:rsidR="003C6ED8" w:rsidRDefault="003C6ED8"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7229</w:t>
            </w:r>
          </w:p>
        </w:tc>
        <w:tc>
          <w:tcPr>
            <w:tcW w:w="2384" w:type="pct"/>
          </w:tcPr>
          <w:p w14:paraId="3B9DF85D" w14:textId="77777777" w:rsidR="003C6ED8" w:rsidRDefault="003C6ED8"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5 / 6 x [6 metai]</w:t>
            </w:r>
          </w:p>
        </w:tc>
      </w:tr>
      <w:tr w:rsidR="003C6ED8" w14:paraId="766CCB15" w14:textId="77777777" w:rsidTr="00DB1F27">
        <w:trPr>
          <w:cantSplit/>
        </w:trPr>
        <w:tc>
          <w:tcPr>
            <w:cnfStyle w:val="001000000000" w:firstRow="0" w:lastRow="0" w:firstColumn="1" w:lastColumn="0" w:oddVBand="0" w:evenVBand="0" w:oddHBand="0" w:evenHBand="0" w:firstRowFirstColumn="0" w:firstRowLastColumn="0" w:lastRowFirstColumn="0" w:lastRowLastColumn="0"/>
            <w:tcW w:w="387" w:type="pct"/>
          </w:tcPr>
          <w:p w14:paraId="6251A5C4" w14:textId="77777777" w:rsidR="003C6ED8" w:rsidRDefault="003C6ED8" w:rsidP="00A555CA">
            <w:pPr>
              <w:autoSpaceDE w:val="0"/>
              <w:autoSpaceDN w:val="0"/>
              <w:adjustRightInd w:val="0"/>
              <w:jc w:val="both"/>
              <w:rPr>
                <w:rFonts w:ascii="Georgia" w:hAnsi="Georgia"/>
                <w:bCs w:val="0"/>
                <w:sz w:val="20"/>
                <w:szCs w:val="24"/>
              </w:rPr>
            </w:pPr>
            <w:r>
              <w:rPr>
                <w:rFonts w:ascii="Georgia" w:hAnsi="Georgia"/>
                <w:bCs w:val="0"/>
                <w:sz w:val="20"/>
                <w:szCs w:val="24"/>
              </w:rPr>
              <w:t>8.</w:t>
            </w:r>
          </w:p>
        </w:tc>
        <w:tc>
          <w:tcPr>
            <w:tcW w:w="1522" w:type="pct"/>
          </w:tcPr>
          <w:p w14:paraId="71512BFD" w14:textId="77777777" w:rsidR="003C6ED8" w:rsidRDefault="003C6ED8" w:rsidP="002A253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bCs/>
                <w:sz w:val="20"/>
                <w:szCs w:val="24"/>
              </w:rPr>
              <w:t xml:space="preserve">Bendras renovuotinų daugiabučių pastatų plotas per 2014-2020 </w:t>
            </w:r>
            <w:r w:rsidR="002A2536">
              <w:rPr>
                <w:rFonts w:ascii="Georgia" w:hAnsi="Georgia"/>
                <w:bCs/>
                <w:sz w:val="20"/>
                <w:szCs w:val="24"/>
              </w:rPr>
              <w:t>m. periodą</w:t>
            </w:r>
            <w:r>
              <w:rPr>
                <w:rFonts w:ascii="Georgia" w:hAnsi="Georgia"/>
                <w:bCs/>
                <w:sz w:val="20"/>
                <w:szCs w:val="24"/>
              </w:rPr>
              <w:t xml:space="preserve">, </w:t>
            </w:r>
            <w:r>
              <w:rPr>
                <w:rFonts w:ascii="Georgia" w:hAnsi="Georgia" w:cs="Georgia"/>
                <w:sz w:val="20"/>
                <w:szCs w:val="20"/>
              </w:rPr>
              <w:t xml:space="preserve">tūkst. </w:t>
            </w:r>
            <w:r>
              <w:rPr>
                <w:rFonts w:ascii="Georgia" w:hAnsi="Georgia"/>
                <w:bCs/>
                <w:sz w:val="20"/>
                <w:szCs w:val="24"/>
              </w:rPr>
              <w:t>m</w:t>
            </w:r>
            <w:r>
              <w:rPr>
                <w:rFonts w:ascii="Georgia" w:hAnsi="Georgia"/>
                <w:bCs/>
                <w:sz w:val="20"/>
                <w:szCs w:val="24"/>
                <w:vertAlign w:val="superscript"/>
              </w:rPr>
              <w:t>2</w:t>
            </w:r>
          </w:p>
        </w:tc>
        <w:tc>
          <w:tcPr>
            <w:tcW w:w="707" w:type="pct"/>
          </w:tcPr>
          <w:p w14:paraId="5211764E" w14:textId="77777777" w:rsidR="003C6ED8" w:rsidRPr="00877078" w:rsidRDefault="003C6ED8"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lang w:val="en-US"/>
              </w:rPr>
            </w:pPr>
            <w:r>
              <w:rPr>
                <w:rFonts w:ascii="Georgia" w:hAnsi="Georgia"/>
                <w:bCs/>
                <w:sz w:val="20"/>
                <w:szCs w:val="24"/>
              </w:rPr>
              <w:t>9</w:t>
            </w:r>
            <w:r>
              <w:rPr>
                <w:rFonts w:ascii="Georgia" w:hAnsi="Georgia"/>
                <w:bCs/>
                <w:sz w:val="20"/>
                <w:szCs w:val="24"/>
                <w:lang w:val="en-US"/>
              </w:rPr>
              <w:t>304</w:t>
            </w:r>
          </w:p>
        </w:tc>
        <w:tc>
          <w:tcPr>
            <w:tcW w:w="2384" w:type="pct"/>
          </w:tcPr>
          <w:p w14:paraId="02F46FAC" w14:textId="77777777" w:rsidR="003C6ED8" w:rsidRDefault="003C6ED8"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4 x 7</w:t>
            </w:r>
          </w:p>
        </w:tc>
      </w:tr>
      <w:tr w:rsidR="003C6ED8" w14:paraId="0E560257" w14:textId="77777777" w:rsidTr="00DB1F2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7" w:type="pct"/>
          </w:tcPr>
          <w:p w14:paraId="46B7EE46" w14:textId="77777777" w:rsidR="003C6ED8" w:rsidRDefault="003C6ED8" w:rsidP="00A555CA">
            <w:pPr>
              <w:autoSpaceDE w:val="0"/>
              <w:autoSpaceDN w:val="0"/>
              <w:adjustRightInd w:val="0"/>
              <w:jc w:val="both"/>
              <w:rPr>
                <w:rFonts w:ascii="Georgia" w:hAnsi="Georgia"/>
                <w:bCs w:val="0"/>
                <w:sz w:val="20"/>
                <w:szCs w:val="24"/>
              </w:rPr>
            </w:pPr>
            <w:r>
              <w:rPr>
                <w:rFonts w:ascii="Georgia" w:hAnsi="Georgia"/>
                <w:bCs w:val="0"/>
                <w:sz w:val="20"/>
                <w:szCs w:val="24"/>
              </w:rPr>
              <w:t>9.</w:t>
            </w:r>
          </w:p>
        </w:tc>
        <w:tc>
          <w:tcPr>
            <w:tcW w:w="1522" w:type="pct"/>
          </w:tcPr>
          <w:p w14:paraId="193CD7C3" w14:textId="77777777" w:rsidR="003C6ED8" w:rsidRDefault="003C6ED8"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Daugiabučio pastato renovacijos kaštai, EUR/m</w:t>
            </w:r>
            <w:r>
              <w:rPr>
                <w:rFonts w:ascii="Georgia" w:hAnsi="Georgia" w:cs="Georgia"/>
                <w:sz w:val="20"/>
                <w:szCs w:val="20"/>
                <w:vertAlign w:val="superscript"/>
              </w:rPr>
              <w:t>2</w:t>
            </w:r>
            <w:r>
              <w:rPr>
                <w:rFonts w:ascii="Georgia" w:hAnsi="Georgia" w:cs="Georgia"/>
                <w:sz w:val="20"/>
                <w:szCs w:val="20"/>
              </w:rPr>
              <w:t xml:space="preserve"> (Lt/m</w:t>
            </w:r>
            <w:r>
              <w:rPr>
                <w:rFonts w:ascii="Georgia" w:hAnsi="Georgia" w:cs="Georgia"/>
                <w:sz w:val="20"/>
                <w:szCs w:val="20"/>
                <w:vertAlign w:val="superscript"/>
              </w:rPr>
              <w:t>2</w:t>
            </w:r>
            <w:r>
              <w:rPr>
                <w:rFonts w:ascii="Georgia" w:hAnsi="Georgia" w:cs="Georgia"/>
                <w:sz w:val="20"/>
                <w:szCs w:val="20"/>
              </w:rPr>
              <w:t>)</w:t>
            </w:r>
          </w:p>
        </w:tc>
        <w:tc>
          <w:tcPr>
            <w:tcW w:w="707" w:type="pct"/>
          </w:tcPr>
          <w:p w14:paraId="4E2E0FA2" w14:textId="77777777" w:rsidR="003C6ED8" w:rsidRDefault="003C6ED8"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144,8 (</w:t>
            </w:r>
            <w:r>
              <w:rPr>
                <w:rFonts w:ascii="Georgia" w:hAnsi="Georgia" w:cs="Georgia"/>
                <w:sz w:val="20"/>
                <w:szCs w:val="20"/>
                <w:lang w:val="en-US"/>
              </w:rPr>
              <w:t>5</w:t>
            </w:r>
            <w:r>
              <w:rPr>
                <w:rFonts w:ascii="Georgia" w:hAnsi="Georgia" w:cs="Georgia"/>
                <w:sz w:val="20"/>
                <w:szCs w:val="20"/>
              </w:rPr>
              <w:t>00)</w:t>
            </w:r>
          </w:p>
        </w:tc>
        <w:tc>
          <w:tcPr>
            <w:tcW w:w="2384" w:type="pct"/>
          </w:tcPr>
          <w:p w14:paraId="581A91BE" w14:textId="77777777" w:rsidR="003C6ED8" w:rsidRDefault="00121072" w:rsidP="001210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sidRPr="00121072">
              <w:rPr>
                <w:rFonts w:ascii="Georgia" w:hAnsi="Georgia" w:cs="Georgia"/>
                <w:sz w:val="20"/>
                <w:szCs w:val="20"/>
              </w:rPr>
              <w:t xml:space="preserve">Remiantis BETA pateikta informacija, </w:t>
            </w:r>
            <w:r>
              <w:rPr>
                <w:rFonts w:ascii="Georgia" w:hAnsi="Georgia" w:cs="Georgia"/>
                <w:sz w:val="20"/>
                <w:szCs w:val="20"/>
              </w:rPr>
              <w:t xml:space="preserve">vidutinė daugiabučio pastato </w:t>
            </w:r>
            <w:r w:rsidRPr="00121072">
              <w:rPr>
                <w:rFonts w:ascii="Georgia" w:hAnsi="Georgia" w:cs="Georgia"/>
                <w:sz w:val="20"/>
                <w:szCs w:val="20"/>
              </w:rPr>
              <w:t xml:space="preserve">renovacijos kaina sudaro 600-650 Lt/m2 </w:t>
            </w:r>
            <w:r>
              <w:rPr>
                <w:rFonts w:ascii="Georgia" w:hAnsi="Georgia" w:cs="Georgia"/>
                <w:sz w:val="20"/>
                <w:szCs w:val="20"/>
              </w:rPr>
              <w:t>(</w:t>
            </w:r>
            <w:r w:rsidRPr="00121072">
              <w:rPr>
                <w:rFonts w:ascii="Georgia" w:hAnsi="Georgia" w:cs="Georgia"/>
                <w:sz w:val="20"/>
                <w:szCs w:val="20"/>
              </w:rPr>
              <w:t xml:space="preserve">skaičiuojant kainą naudingam </w:t>
            </w:r>
            <w:r>
              <w:rPr>
                <w:rFonts w:ascii="Georgia" w:hAnsi="Georgia" w:cs="Georgia"/>
                <w:sz w:val="20"/>
                <w:szCs w:val="20"/>
              </w:rPr>
              <w:t>daugiabučio plotui)</w:t>
            </w:r>
            <w:r w:rsidRPr="00121072">
              <w:rPr>
                <w:rFonts w:ascii="Georgia" w:hAnsi="Georgia" w:cs="Georgia"/>
                <w:sz w:val="20"/>
                <w:szCs w:val="20"/>
              </w:rPr>
              <w:t>. Paklausos skaičiavime naudo</w:t>
            </w:r>
            <w:r>
              <w:rPr>
                <w:rFonts w:ascii="Georgia" w:hAnsi="Georgia" w:cs="Georgia"/>
                <w:sz w:val="20"/>
                <w:szCs w:val="20"/>
              </w:rPr>
              <w:t>jami</w:t>
            </w:r>
            <w:r w:rsidRPr="00121072">
              <w:rPr>
                <w:rFonts w:ascii="Georgia" w:hAnsi="Georgia" w:cs="Georgia"/>
                <w:sz w:val="20"/>
                <w:szCs w:val="20"/>
              </w:rPr>
              <w:t xml:space="preserve"> bendro</w:t>
            </w:r>
            <w:r>
              <w:rPr>
                <w:rFonts w:ascii="Georgia" w:hAnsi="Georgia" w:cs="Georgia"/>
                <w:sz w:val="20"/>
                <w:szCs w:val="20"/>
              </w:rPr>
              <w:t xml:space="preserve"> daugiabučio pastato</w:t>
            </w:r>
            <w:r w:rsidRPr="00121072">
              <w:rPr>
                <w:rFonts w:ascii="Georgia" w:hAnsi="Georgia" w:cs="Georgia"/>
                <w:sz w:val="20"/>
                <w:szCs w:val="20"/>
              </w:rPr>
              <w:t xml:space="preserve"> ploto duomenys. Tipinio daugiabučio naudingo ploto ir bend</w:t>
            </w:r>
            <w:r>
              <w:rPr>
                <w:rFonts w:ascii="Georgia" w:hAnsi="Georgia" w:cs="Georgia"/>
                <w:sz w:val="20"/>
                <w:szCs w:val="20"/>
              </w:rPr>
              <w:t xml:space="preserve">ro ploto santykis yra apie 0,8. </w:t>
            </w:r>
            <w:r w:rsidRPr="00121072">
              <w:rPr>
                <w:rFonts w:ascii="Georgia" w:hAnsi="Georgia" w:cs="Georgia"/>
                <w:sz w:val="20"/>
                <w:szCs w:val="20"/>
              </w:rPr>
              <w:t xml:space="preserve">Todėl </w:t>
            </w:r>
            <w:r>
              <w:rPr>
                <w:rFonts w:ascii="Georgia" w:hAnsi="Georgia" w:cs="Georgia"/>
                <w:sz w:val="20"/>
                <w:szCs w:val="20"/>
              </w:rPr>
              <w:t>paskaičiuojame</w:t>
            </w:r>
            <w:r w:rsidRPr="00121072">
              <w:rPr>
                <w:rFonts w:ascii="Georgia" w:hAnsi="Georgia" w:cs="Georgia"/>
                <w:sz w:val="20"/>
                <w:szCs w:val="20"/>
              </w:rPr>
              <w:t>,</w:t>
            </w:r>
            <w:r>
              <w:rPr>
                <w:rFonts w:ascii="Georgia" w:hAnsi="Georgia" w:cs="Georgia"/>
                <w:sz w:val="20"/>
                <w:szCs w:val="20"/>
              </w:rPr>
              <w:t xml:space="preserve"> jog vidutinė daugiabučio bendro </w:t>
            </w:r>
            <w:r w:rsidRPr="00121072">
              <w:rPr>
                <w:rFonts w:ascii="Georgia" w:hAnsi="Georgia" w:cs="Georgia"/>
                <w:sz w:val="20"/>
                <w:szCs w:val="20"/>
              </w:rPr>
              <w:t>ploto renovacijos kai</w:t>
            </w:r>
            <w:r>
              <w:rPr>
                <w:rFonts w:ascii="Georgia" w:hAnsi="Georgia" w:cs="Georgia"/>
                <w:sz w:val="20"/>
                <w:szCs w:val="20"/>
              </w:rPr>
              <w:t>na sudaro apie – 480-520 Lt/m</w:t>
            </w:r>
            <w:r w:rsidRPr="002A2536">
              <w:rPr>
                <w:rFonts w:ascii="Georgia" w:hAnsi="Georgia" w:cs="Georgia"/>
                <w:sz w:val="20"/>
                <w:szCs w:val="20"/>
                <w:vertAlign w:val="superscript"/>
              </w:rPr>
              <w:t>2</w:t>
            </w:r>
            <w:r>
              <w:rPr>
                <w:rFonts w:ascii="Georgia" w:hAnsi="Georgia" w:cs="Georgia"/>
                <w:sz w:val="20"/>
                <w:szCs w:val="20"/>
              </w:rPr>
              <w:t xml:space="preserve">. </w:t>
            </w:r>
          </w:p>
        </w:tc>
      </w:tr>
      <w:tr w:rsidR="003C6ED8" w14:paraId="2544D798" w14:textId="77777777" w:rsidTr="00DB1F27">
        <w:trPr>
          <w:cantSplit/>
        </w:trPr>
        <w:tc>
          <w:tcPr>
            <w:cnfStyle w:val="001000000000" w:firstRow="0" w:lastRow="0" w:firstColumn="1" w:lastColumn="0" w:oddVBand="0" w:evenVBand="0" w:oddHBand="0" w:evenHBand="0" w:firstRowFirstColumn="0" w:firstRowLastColumn="0" w:lastRowFirstColumn="0" w:lastRowLastColumn="0"/>
            <w:tcW w:w="387" w:type="pct"/>
          </w:tcPr>
          <w:p w14:paraId="14A46EB1" w14:textId="77777777" w:rsidR="003C6ED8" w:rsidRPr="00877078" w:rsidRDefault="003C6ED8" w:rsidP="00A555CA">
            <w:pPr>
              <w:autoSpaceDE w:val="0"/>
              <w:autoSpaceDN w:val="0"/>
              <w:adjustRightInd w:val="0"/>
              <w:jc w:val="both"/>
              <w:rPr>
                <w:rFonts w:ascii="Georgia" w:hAnsi="Georgia"/>
                <w:bCs w:val="0"/>
                <w:sz w:val="20"/>
                <w:szCs w:val="24"/>
                <w:lang w:val="en-US"/>
              </w:rPr>
            </w:pPr>
            <w:r>
              <w:rPr>
                <w:rFonts w:ascii="Georgia" w:hAnsi="Georgia"/>
                <w:bCs w:val="0"/>
                <w:sz w:val="20"/>
                <w:szCs w:val="24"/>
                <w:lang w:val="en-US"/>
              </w:rPr>
              <w:lastRenderedPageBreak/>
              <w:t>10.</w:t>
            </w:r>
          </w:p>
        </w:tc>
        <w:tc>
          <w:tcPr>
            <w:tcW w:w="1522" w:type="pct"/>
          </w:tcPr>
          <w:p w14:paraId="033740CA" w14:textId="77777777" w:rsidR="003C6ED8" w:rsidRDefault="003C6ED8" w:rsidP="002A253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Daugiabučių pastatų renovacijos paklausa, mln. EUR (mln. Lt)</w:t>
            </w:r>
          </w:p>
        </w:tc>
        <w:tc>
          <w:tcPr>
            <w:tcW w:w="707" w:type="pct"/>
          </w:tcPr>
          <w:p w14:paraId="79BD399B" w14:textId="77777777" w:rsidR="003C6ED8" w:rsidRDefault="003C6ED8"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1347,3 (4651,9)</w:t>
            </w:r>
          </w:p>
        </w:tc>
        <w:tc>
          <w:tcPr>
            <w:tcW w:w="2384" w:type="pct"/>
          </w:tcPr>
          <w:p w14:paraId="6B57E04D" w14:textId="77777777" w:rsidR="003C6ED8" w:rsidRPr="00877078" w:rsidRDefault="003C6ED8"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lang w:val="en-US"/>
              </w:rPr>
            </w:pPr>
            <w:r>
              <w:rPr>
                <w:rFonts w:ascii="Georgia" w:hAnsi="Georgia" w:cs="Georgia"/>
                <w:sz w:val="20"/>
                <w:szCs w:val="20"/>
                <w:lang w:val="en-US"/>
              </w:rPr>
              <w:t>8 x 9</w:t>
            </w:r>
          </w:p>
        </w:tc>
      </w:tr>
    </w:tbl>
    <w:p w14:paraId="5D0FB22A" w14:textId="77777777" w:rsidR="003C6ED8" w:rsidRDefault="003C6ED8" w:rsidP="003C6ED8">
      <w:pPr>
        <w:autoSpaceDE w:val="0"/>
        <w:autoSpaceDN w:val="0"/>
        <w:adjustRightInd w:val="0"/>
        <w:jc w:val="both"/>
        <w:rPr>
          <w:rFonts w:ascii="Georgia" w:hAnsi="Georgia" w:cs="Georgia"/>
          <w:sz w:val="20"/>
          <w:szCs w:val="20"/>
          <w:lang w:val="lt-LT"/>
        </w:rPr>
      </w:pPr>
    </w:p>
    <w:p w14:paraId="3E32EE31" w14:textId="77777777" w:rsidR="003C6ED8" w:rsidRDefault="003C6ED8" w:rsidP="003C6ED8">
      <w:pPr>
        <w:pStyle w:val="Sraopastraipa"/>
        <w:keepNext/>
        <w:ind w:left="0"/>
        <w:rPr>
          <w:rFonts w:ascii="Georgia" w:hAnsi="Georgia"/>
          <w:i/>
          <w:sz w:val="24"/>
          <w:szCs w:val="20"/>
          <w:lang w:val="lt-LT"/>
        </w:rPr>
      </w:pPr>
      <w:r w:rsidRPr="00877078">
        <w:rPr>
          <w:rFonts w:ascii="Georgia" w:hAnsi="Georgia"/>
          <w:i/>
          <w:sz w:val="24"/>
          <w:szCs w:val="20"/>
          <w:lang w:val="lt-LT"/>
        </w:rPr>
        <w:t xml:space="preserve">2. </w:t>
      </w:r>
      <w:r w:rsidRPr="00AC02D9">
        <w:rPr>
          <w:rFonts w:ascii="Georgia" w:hAnsi="Georgia"/>
          <w:i/>
          <w:sz w:val="24"/>
          <w:szCs w:val="20"/>
          <w:lang w:val="lt-LT"/>
        </w:rPr>
        <w:t xml:space="preserve">Daugiabučių modernizavimo paklausos skaičiavimas </w:t>
      </w:r>
      <w:r>
        <w:rPr>
          <w:rFonts w:ascii="Georgia" w:hAnsi="Georgia"/>
          <w:i/>
          <w:sz w:val="24"/>
          <w:szCs w:val="20"/>
          <w:lang w:val="lt-LT"/>
        </w:rPr>
        <w:t>s</w:t>
      </w:r>
      <w:r w:rsidRPr="00877078">
        <w:rPr>
          <w:rFonts w:ascii="Georgia" w:hAnsi="Georgia"/>
          <w:i/>
          <w:sz w:val="24"/>
          <w:szCs w:val="20"/>
          <w:lang w:val="lt-LT"/>
        </w:rPr>
        <w:t>kaičiuotinų sutaupym</w:t>
      </w:r>
      <w:r>
        <w:rPr>
          <w:rFonts w:ascii="Georgia" w:hAnsi="Georgia"/>
          <w:i/>
          <w:sz w:val="24"/>
          <w:szCs w:val="20"/>
          <w:lang w:val="lt-LT"/>
        </w:rPr>
        <w:t>o dydžių</w:t>
      </w:r>
      <w:r w:rsidRPr="00877078">
        <w:rPr>
          <w:rFonts w:ascii="Georgia" w:hAnsi="Georgia"/>
          <w:i/>
          <w:sz w:val="24"/>
          <w:szCs w:val="20"/>
          <w:lang w:val="lt-LT"/>
        </w:rPr>
        <w:t xml:space="preserve"> skaičiavimo </w:t>
      </w:r>
      <w:r>
        <w:rPr>
          <w:rFonts w:ascii="Georgia" w:hAnsi="Georgia"/>
          <w:i/>
          <w:sz w:val="24"/>
          <w:szCs w:val="20"/>
          <w:lang w:val="lt-LT"/>
        </w:rPr>
        <w:t>metodu</w:t>
      </w:r>
    </w:p>
    <w:p w14:paraId="42E8AE15" w14:textId="77777777" w:rsidR="003C6ED8" w:rsidRDefault="003C6ED8" w:rsidP="003C6ED8">
      <w:pPr>
        <w:autoSpaceDE w:val="0"/>
        <w:autoSpaceDN w:val="0"/>
        <w:adjustRightInd w:val="0"/>
        <w:spacing w:after="0"/>
        <w:jc w:val="both"/>
        <w:rPr>
          <w:rFonts w:ascii="Georgia" w:hAnsi="Georgia"/>
          <w:bCs/>
          <w:sz w:val="20"/>
          <w:szCs w:val="24"/>
          <w:lang w:val="lt-LT"/>
        </w:rPr>
      </w:pPr>
      <w:r w:rsidRPr="003C6ED8">
        <w:rPr>
          <w:rFonts w:ascii="Georgia" w:hAnsi="Georgia"/>
          <w:bCs/>
          <w:sz w:val="20"/>
          <w:szCs w:val="20"/>
          <w:lang w:val="lt-LT"/>
        </w:rPr>
        <w:t xml:space="preserve">Žemiau </w:t>
      </w:r>
      <w:r w:rsidR="000B28FE">
        <w:rPr>
          <w:rFonts w:ascii="Georgia" w:hAnsi="Georgia"/>
          <w:bCs/>
          <w:sz w:val="20"/>
          <w:szCs w:val="20"/>
          <w:lang w:val="lt-LT"/>
        </w:rPr>
        <w:t>esančioje lentelėje</w:t>
      </w:r>
      <w:r w:rsidRPr="003C6ED8">
        <w:rPr>
          <w:rFonts w:ascii="Georgia" w:hAnsi="Georgia"/>
          <w:bCs/>
          <w:sz w:val="20"/>
          <w:szCs w:val="20"/>
          <w:lang w:val="lt-LT"/>
        </w:rPr>
        <w:t xml:space="preserve"> pateikiamos</w:t>
      </w:r>
      <w:r>
        <w:rPr>
          <w:rFonts w:ascii="Georgia" w:hAnsi="Georgia"/>
          <w:bCs/>
          <w:sz w:val="20"/>
          <w:szCs w:val="24"/>
          <w:lang w:val="lt-LT"/>
        </w:rPr>
        <w:t xml:space="preserve">  prielaidos ir skaičiavimai bei jų pagrindimas skaičiuojant daugiabučių pastatų paklausą skaičiuotinų dydžių metodu.</w:t>
      </w:r>
      <w:r w:rsidR="00BC67D3" w:rsidRPr="00BC67D3">
        <w:rPr>
          <w:rFonts w:ascii="Georgia" w:hAnsi="Georgia"/>
          <w:bCs/>
          <w:sz w:val="20"/>
          <w:szCs w:val="24"/>
          <w:lang w:val="lt-LT"/>
        </w:rPr>
        <w:t xml:space="preserve"> </w:t>
      </w:r>
      <w:r w:rsidR="00BC67D3">
        <w:rPr>
          <w:rFonts w:ascii="Georgia" w:hAnsi="Georgia"/>
          <w:bCs/>
          <w:sz w:val="20"/>
          <w:szCs w:val="24"/>
          <w:lang w:val="lt-LT"/>
        </w:rPr>
        <w:t>Lentelės skiltyje „Informacijos šaltinis, pagrindimas“ esantys skaičiai formulėse nurodo, iš kokių lentelės eilučių imami skaičiai apskaičiuo</w:t>
      </w:r>
      <w:r w:rsidR="003A1AA1">
        <w:rPr>
          <w:rFonts w:ascii="Georgia" w:hAnsi="Georgia"/>
          <w:bCs/>
          <w:sz w:val="20"/>
          <w:szCs w:val="24"/>
          <w:lang w:val="lt-LT"/>
        </w:rPr>
        <w:t>jant</w:t>
      </w:r>
      <w:r w:rsidR="00BC67D3">
        <w:rPr>
          <w:rFonts w:ascii="Georgia" w:hAnsi="Georgia"/>
          <w:bCs/>
          <w:sz w:val="20"/>
          <w:szCs w:val="24"/>
          <w:lang w:val="lt-LT"/>
        </w:rPr>
        <w:t xml:space="preserve"> siektiną rodiklį.</w:t>
      </w:r>
    </w:p>
    <w:p w14:paraId="736B4520" w14:textId="77777777" w:rsidR="003C6ED8" w:rsidRPr="00AC02D9" w:rsidRDefault="003C6ED8" w:rsidP="003C6ED8">
      <w:pPr>
        <w:autoSpaceDE w:val="0"/>
        <w:autoSpaceDN w:val="0"/>
        <w:adjustRightInd w:val="0"/>
        <w:spacing w:after="0"/>
        <w:jc w:val="both"/>
        <w:rPr>
          <w:rFonts w:ascii="Georgia" w:hAnsi="Georgia"/>
          <w:bCs/>
          <w:sz w:val="20"/>
          <w:szCs w:val="24"/>
          <w:lang w:val="lt-LT"/>
        </w:rPr>
      </w:pPr>
    </w:p>
    <w:p w14:paraId="7547D33C" w14:textId="6D914B5F" w:rsidR="003C6ED8" w:rsidRPr="00CF31C2" w:rsidRDefault="003C6ED8" w:rsidP="003C6ED8">
      <w:pPr>
        <w:pStyle w:val="Antrat"/>
        <w:jc w:val="both"/>
      </w:pPr>
      <w:bookmarkStart w:id="52" w:name="_Ref399584124"/>
      <w:bookmarkStart w:id="53" w:name="_Toc460321596"/>
      <w:r w:rsidRPr="00CF31C2">
        <w:rPr>
          <w:lang w:val="lt-LT"/>
        </w:rPr>
        <w:t xml:space="preserve">Lentelė </w:t>
      </w:r>
      <w:r w:rsidRPr="00CF31C2">
        <w:rPr>
          <w:lang w:val="lt-LT"/>
        </w:rPr>
        <w:fldChar w:fldCharType="begin"/>
      </w:r>
      <w:r w:rsidRPr="00CF31C2">
        <w:rPr>
          <w:lang w:val="lt-LT"/>
        </w:rPr>
        <w:instrText xml:space="preserve"> SEQ Lentelė \* ARABIC </w:instrText>
      </w:r>
      <w:r w:rsidRPr="00CF31C2">
        <w:rPr>
          <w:lang w:val="lt-LT"/>
        </w:rPr>
        <w:fldChar w:fldCharType="separate"/>
      </w:r>
      <w:r w:rsidR="00AA3082">
        <w:rPr>
          <w:noProof/>
          <w:lang w:val="lt-LT"/>
        </w:rPr>
        <w:t>15</w:t>
      </w:r>
      <w:r w:rsidRPr="00CF31C2">
        <w:rPr>
          <w:lang w:val="lt-LT"/>
        </w:rPr>
        <w:fldChar w:fldCharType="end"/>
      </w:r>
      <w:bookmarkEnd w:id="52"/>
      <w:r w:rsidRPr="00CF31C2">
        <w:rPr>
          <w:lang w:val="lt-LT"/>
        </w:rPr>
        <w:t>. Daugiabučių pastatų p</w:t>
      </w:r>
      <w:r w:rsidRPr="00CF31C2">
        <w:rPr>
          <w:rFonts w:cs="Georgia"/>
          <w:szCs w:val="20"/>
          <w:lang w:val="lt-LT"/>
        </w:rPr>
        <w:t>aklausos skaičiavimo prielaidos ir paklausos rodiklių skaičiavimas</w:t>
      </w:r>
      <w:r>
        <w:rPr>
          <w:rFonts w:cs="Georgia"/>
          <w:szCs w:val="20"/>
          <w:lang w:val="lt-LT"/>
        </w:rPr>
        <w:t xml:space="preserve"> (skaičiuojant skaičiuotinų dydžių metodu)</w:t>
      </w:r>
      <w:bookmarkEnd w:id="53"/>
    </w:p>
    <w:tbl>
      <w:tblPr>
        <w:tblStyle w:val="viesussraas2parykinimas"/>
        <w:tblW w:w="5000" w:type="pct"/>
        <w:tblLook w:val="04A0" w:firstRow="1" w:lastRow="0" w:firstColumn="1" w:lastColumn="0" w:noHBand="0" w:noVBand="1"/>
      </w:tblPr>
      <w:tblGrid>
        <w:gridCol w:w="678"/>
        <w:gridCol w:w="3137"/>
        <w:gridCol w:w="1240"/>
        <w:gridCol w:w="4187"/>
      </w:tblGrid>
      <w:tr w:rsidR="003C6ED8" w14:paraId="7211BF52" w14:textId="77777777" w:rsidTr="00DB1F2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7" w:type="pct"/>
          </w:tcPr>
          <w:p w14:paraId="5F7F9351" w14:textId="77777777" w:rsidR="003C6ED8" w:rsidRDefault="003C6ED8" w:rsidP="00714494">
            <w:pPr>
              <w:keepNext/>
              <w:autoSpaceDE w:val="0"/>
              <w:autoSpaceDN w:val="0"/>
              <w:adjustRightInd w:val="0"/>
              <w:jc w:val="center"/>
              <w:rPr>
                <w:rFonts w:ascii="Georgia" w:hAnsi="Georgia"/>
                <w:bCs w:val="0"/>
                <w:sz w:val="20"/>
                <w:szCs w:val="24"/>
              </w:rPr>
            </w:pPr>
            <w:r>
              <w:rPr>
                <w:rFonts w:ascii="Georgia" w:hAnsi="Georgia"/>
                <w:bCs w:val="0"/>
                <w:sz w:val="20"/>
                <w:szCs w:val="24"/>
              </w:rPr>
              <w:t>Eil.</w:t>
            </w:r>
          </w:p>
          <w:p w14:paraId="3C436145" w14:textId="77777777" w:rsidR="003C6ED8" w:rsidRDefault="003C6ED8" w:rsidP="00714494">
            <w:pPr>
              <w:keepNext/>
              <w:autoSpaceDE w:val="0"/>
              <w:autoSpaceDN w:val="0"/>
              <w:adjustRightInd w:val="0"/>
              <w:jc w:val="center"/>
              <w:rPr>
                <w:rFonts w:ascii="Georgia" w:hAnsi="Georgia"/>
                <w:bCs w:val="0"/>
                <w:sz w:val="20"/>
                <w:szCs w:val="24"/>
              </w:rPr>
            </w:pPr>
            <w:r>
              <w:rPr>
                <w:rFonts w:ascii="Georgia" w:hAnsi="Georgia"/>
                <w:bCs w:val="0"/>
                <w:sz w:val="20"/>
                <w:szCs w:val="24"/>
              </w:rPr>
              <w:t>Nr.</w:t>
            </w:r>
          </w:p>
        </w:tc>
        <w:tc>
          <w:tcPr>
            <w:tcW w:w="1697" w:type="pct"/>
          </w:tcPr>
          <w:p w14:paraId="7FF75B8B" w14:textId="77777777" w:rsidR="003C6ED8" w:rsidRDefault="003C6ED8" w:rsidP="00714494">
            <w:pPr>
              <w:keepNext/>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Pr>
                <w:rFonts w:ascii="Georgia" w:hAnsi="Georgia"/>
                <w:bCs w:val="0"/>
                <w:sz w:val="20"/>
                <w:szCs w:val="24"/>
              </w:rPr>
              <w:t>Rodiklis</w:t>
            </w:r>
          </w:p>
        </w:tc>
        <w:tc>
          <w:tcPr>
            <w:tcW w:w="671" w:type="pct"/>
          </w:tcPr>
          <w:p w14:paraId="4F7FEEA3" w14:textId="77777777" w:rsidR="003C6ED8" w:rsidRDefault="003C6ED8" w:rsidP="00714494">
            <w:pPr>
              <w:keepNext/>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Pr>
                <w:rFonts w:ascii="Georgia" w:hAnsi="Georgia"/>
                <w:bCs w:val="0"/>
                <w:sz w:val="20"/>
                <w:szCs w:val="24"/>
              </w:rPr>
              <w:t>Rodiklio dydis</w:t>
            </w:r>
          </w:p>
        </w:tc>
        <w:tc>
          <w:tcPr>
            <w:tcW w:w="2265" w:type="pct"/>
          </w:tcPr>
          <w:p w14:paraId="79F2C8E4" w14:textId="77777777" w:rsidR="003C6ED8" w:rsidRDefault="003C6ED8" w:rsidP="00714494">
            <w:pPr>
              <w:keepNext/>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Pr>
                <w:rFonts w:ascii="Georgia" w:hAnsi="Georgia"/>
                <w:bCs w:val="0"/>
                <w:sz w:val="20"/>
                <w:szCs w:val="24"/>
              </w:rPr>
              <w:t>Informacijos šaltinis, pagrindimas</w:t>
            </w:r>
          </w:p>
        </w:tc>
      </w:tr>
      <w:tr w:rsidR="003C6ED8" w14:paraId="627E92C6" w14:textId="77777777" w:rsidTr="00DB1F2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7" w:type="pct"/>
          </w:tcPr>
          <w:p w14:paraId="2DE5AD98" w14:textId="77777777" w:rsidR="003C6ED8" w:rsidRDefault="003C6ED8" w:rsidP="00A555CA">
            <w:pPr>
              <w:autoSpaceDE w:val="0"/>
              <w:autoSpaceDN w:val="0"/>
              <w:adjustRightInd w:val="0"/>
              <w:jc w:val="both"/>
              <w:rPr>
                <w:rFonts w:ascii="Georgia" w:hAnsi="Georgia"/>
                <w:bCs w:val="0"/>
                <w:sz w:val="20"/>
                <w:szCs w:val="24"/>
              </w:rPr>
            </w:pPr>
            <w:r>
              <w:rPr>
                <w:rFonts w:ascii="Georgia" w:hAnsi="Georgia"/>
                <w:bCs w:val="0"/>
                <w:sz w:val="20"/>
                <w:szCs w:val="24"/>
              </w:rPr>
              <w:t>1.</w:t>
            </w:r>
          </w:p>
        </w:tc>
        <w:tc>
          <w:tcPr>
            <w:tcW w:w="1697" w:type="pct"/>
          </w:tcPr>
          <w:p w14:paraId="5F415CFC" w14:textId="77777777" w:rsidR="003C6ED8" w:rsidRDefault="003C6ED8"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M</w:t>
            </w:r>
            <w:r w:rsidRPr="006111BD">
              <w:rPr>
                <w:rFonts w:ascii="Georgia" w:hAnsi="Georgia"/>
                <w:bCs/>
                <w:sz w:val="20"/>
                <w:szCs w:val="24"/>
              </w:rPr>
              <w:t>etinio šilumos suvartojimo kiekio vidurkis</w:t>
            </w:r>
            <w:r>
              <w:rPr>
                <w:rFonts w:ascii="Georgia" w:hAnsi="Georgia"/>
                <w:bCs/>
                <w:sz w:val="20"/>
                <w:szCs w:val="24"/>
              </w:rPr>
              <w:t>, kWh/m</w:t>
            </w:r>
            <w:r>
              <w:rPr>
                <w:rFonts w:ascii="Georgia" w:hAnsi="Georgia"/>
                <w:bCs/>
                <w:sz w:val="20"/>
                <w:szCs w:val="24"/>
                <w:vertAlign w:val="superscript"/>
              </w:rPr>
              <w:t>2</w:t>
            </w:r>
          </w:p>
        </w:tc>
        <w:tc>
          <w:tcPr>
            <w:tcW w:w="671" w:type="pct"/>
          </w:tcPr>
          <w:p w14:paraId="6999154C" w14:textId="77777777" w:rsidR="003C6ED8" w:rsidRDefault="003C6ED8"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lang w:val="en-US"/>
              </w:rPr>
            </w:pPr>
            <w:r>
              <w:rPr>
                <w:rFonts w:ascii="Georgia" w:hAnsi="Georgia"/>
                <w:bCs/>
                <w:sz w:val="20"/>
                <w:szCs w:val="24"/>
                <w:lang w:val="en-US"/>
              </w:rPr>
              <w:t>275</w:t>
            </w:r>
          </w:p>
          <w:p w14:paraId="30D2F813" w14:textId="77777777" w:rsidR="003C6ED8" w:rsidRPr="00877078" w:rsidRDefault="003C6ED8" w:rsidP="00A555CA">
            <w:pPr>
              <w:cnfStyle w:val="000000100000" w:firstRow="0" w:lastRow="0" w:firstColumn="0" w:lastColumn="0" w:oddVBand="0" w:evenVBand="0" w:oddHBand="1" w:evenHBand="0" w:firstRowFirstColumn="0" w:firstRowLastColumn="0" w:lastRowFirstColumn="0" w:lastRowLastColumn="0"/>
              <w:rPr>
                <w:rFonts w:ascii="Georgia" w:hAnsi="Georgia"/>
                <w:sz w:val="20"/>
                <w:szCs w:val="24"/>
              </w:rPr>
            </w:pPr>
          </w:p>
        </w:tc>
        <w:tc>
          <w:tcPr>
            <w:tcW w:w="2265" w:type="pct"/>
          </w:tcPr>
          <w:p w14:paraId="2883C739" w14:textId="77777777" w:rsidR="003C6ED8" w:rsidRDefault="003C6ED8"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Remiantis pastatų energinio naudingumo sertifikatų viešojo registro duomenimis, 2013 m. sertifikuoti D, E, F energinio naudingumo klasės daugiabučiai pastatai metams vidutiniškais suvartoja nurodytą energijos suvartojimo kiekį.</w:t>
            </w:r>
          </w:p>
        </w:tc>
      </w:tr>
      <w:tr w:rsidR="003C6ED8" w14:paraId="5952ED8A" w14:textId="77777777" w:rsidTr="00DB1F27">
        <w:trPr>
          <w:cantSplit/>
        </w:trPr>
        <w:tc>
          <w:tcPr>
            <w:cnfStyle w:val="001000000000" w:firstRow="0" w:lastRow="0" w:firstColumn="1" w:lastColumn="0" w:oddVBand="0" w:evenVBand="0" w:oddHBand="0" w:evenHBand="0" w:firstRowFirstColumn="0" w:firstRowLastColumn="0" w:lastRowFirstColumn="0" w:lastRowLastColumn="0"/>
            <w:tcW w:w="367" w:type="pct"/>
          </w:tcPr>
          <w:p w14:paraId="2CD19132" w14:textId="77777777" w:rsidR="003C6ED8" w:rsidRDefault="003C6ED8" w:rsidP="00A555CA">
            <w:pPr>
              <w:autoSpaceDE w:val="0"/>
              <w:autoSpaceDN w:val="0"/>
              <w:adjustRightInd w:val="0"/>
              <w:jc w:val="both"/>
              <w:rPr>
                <w:rFonts w:ascii="Georgia" w:hAnsi="Georgia" w:cs="Georgia"/>
                <w:sz w:val="20"/>
                <w:szCs w:val="20"/>
              </w:rPr>
            </w:pPr>
            <w:r>
              <w:rPr>
                <w:rFonts w:ascii="Georgia" w:hAnsi="Georgia" w:cs="Georgia"/>
                <w:sz w:val="20"/>
                <w:szCs w:val="20"/>
              </w:rPr>
              <w:t>2.</w:t>
            </w:r>
          </w:p>
        </w:tc>
        <w:tc>
          <w:tcPr>
            <w:tcW w:w="1697" w:type="pct"/>
          </w:tcPr>
          <w:p w14:paraId="7EBBE7C7" w14:textId="77777777" w:rsidR="003C6ED8" w:rsidRDefault="003C6ED8"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Po renovacijos pastatų en</w:t>
            </w:r>
            <w:r w:rsidR="002A2536">
              <w:rPr>
                <w:rFonts w:ascii="Georgia" w:hAnsi="Georgia" w:cs="Georgia"/>
                <w:sz w:val="20"/>
                <w:szCs w:val="20"/>
              </w:rPr>
              <w:t>ergetinio</w:t>
            </w:r>
            <w:r>
              <w:rPr>
                <w:rFonts w:ascii="Georgia" w:hAnsi="Georgia" w:cs="Georgia"/>
                <w:sz w:val="20"/>
                <w:szCs w:val="20"/>
              </w:rPr>
              <w:t xml:space="preserve"> naudingumo klasė, ne mažesnė kaip</w:t>
            </w:r>
          </w:p>
        </w:tc>
        <w:tc>
          <w:tcPr>
            <w:tcW w:w="671" w:type="pct"/>
          </w:tcPr>
          <w:p w14:paraId="09B7BB7A" w14:textId="77777777" w:rsidR="003C6ED8" w:rsidRDefault="003C6ED8"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C klasė</w:t>
            </w:r>
          </w:p>
        </w:tc>
        <w:tc>
          <w:tcPr>
            <w:tcW w:w="2265" w:type="pct"/>
          </w:tcPr>
          <w:p w14:paraId="689FE64C" w14:textId="77777777" w:rsidR="003C6ED8" w:rsidRDefault="003C6ED8"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cs="Georgia"/>
                <w:sz w:val="20"/>
                <w:szCs w:val="20"/>
              </w:rPr>
              <w:t>Vadovaujantis STR 2.01.09:2012</w:t>
            </w:r>
          </w:p>
        </w:tc>
      </w:tr>
      <w:tr w:rsidR="003C6ED8" w14:paraId="0555ACE7" w14:textId="77777777" w:rsidTr="00DB1F2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7" w:type="pct"/>
          </w:tcPr>
          <w:p w14:paraId="5D6FB19B" w14:textId="77777777" w:rsidR="003C6ED8" w:rsidRDefault="003C6ED8" w:rsidP="00A555CA">
            <w:pPr>
              <w:autoSpaceDE w:val="0"/>
              <w:autoSpaceDN w:val="0"/>
              <w:adjustRightInd w:val="0"/>
              <w:jc w:val="both"/>
              <w:rPr>
                <w:rFonts w:ascii="Georgia" w:hAnsi="Georgia" w:cs="Georgia"/>
                <w:sz w:val="20"/>
                <w:szCs w:val="20"/>
              </w:rPr>
            </w:pPr>
            <w:r>
              <w:rPr>
                <w:rFonts w:ascii="Georgia" w:hAnsi="Georgia" w:cs="Georgia"/>
                <w:sz w:val="20"/>
                <w:szCs w:val="20"/>
              </w:rPr>
              <w:t>3.</w:t>
            </w:r>
          </w:p>
        </w:tc>
        <w:tc>
          <w:tcPr>
            <w:tcW w:w="1697" w:type="pct"/>
          </w:tcPr>
          <w:p w14:paraId="20FD656C" w14:textId="77777777" w:rsidR="003C6ED8" w:rsidRDefault="003C6ED8"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 xml:space="preserve">Po renovacijos pastatų energijos suvartojimas, </w:t>
            </w:r>
            <w:r>
              <w:rPr>
                <w:rFonts w:ascii="Georgia" w:hAnsi="Georgia"/>
                <w:bCs/>
                <w:sz w:val="20"/>
                <w:szCs w:val="24"/>
              </w:rPr>
              <w:t>kWh/m</w:t>
            </w:r>
            <w:r>
              <w:rPr>
                <w:rFonts w:ascii="Georgia" w:hAnsi="Georgia"/>
                <w:bCs/>
                <w:sz w:val="20"/>
                <w:szCs w:val="24"/>
                <w:vertAlign w:val="superscript"/>
              </w:rPr>
              <w:t>2</w:t>
            </w:r>
          </w:p>
        </w:tc>
        <w:tc>
          <w:tcPr>
            <w:tcW w:w="671" w:type="pct"/>
          </w:tcPr>
          <w:p w14:paraId="3428991B" w14:textId="77777777" w:rsidR="003C6ED8" w:rsidRDefault="003C6ED8"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116</w:t>
            </w:r>
          </w:p>
        </w:tc>
        <w:tc>
          <w:tcPr>
            <w:tcW w:w="2265" w:type="pct"/>
          </w:tcPr>
          <w:p w14:paraId="1486757B" w14:textId="77777777" w:rsidR="003C6ED8" w:rsidRPr="00CF31C2" w:rsidRDefault="003C6ED8"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lang w:val="en-US"/>
              </w:rPr>
            </w:pPr>
            <w:r>
              <w:rPr>
                <w:rFonts w:ascii="Georgia" w:hAnsi="Georgia" w:cs="Georgia"/>
                <w:sz w:val="20"/>
                <w:szCs w:val="20"/>
              </w:rPr>
              <w:t xml:space="preserve">Vadovaujantis </w:t>
            </w:r>
            <w:r w:rsidR="002A2536">
              <w:rPr>
                <w:rFonts w:ascii="Georgia" w:hAnsi="Georgia" w:cs="Georgia"/>
                <w:sz w:val="20"/>
                <w:szCs w:val="20"/>
              </w:rPr>
              <w:t>STR 2.01.09:2012 po renovacijos</w:t>
            </w:r>
            <w:r>
              <w:rPr>
                <w:rFonts w:ascii="Georgia" w:hAnsi="Georgia" w:cs="Georgia"/>
                <w:sz w:val="20"/>
                <w:szCs w:val="20"/>
              </w:rPr>
              <w:t xml:space="preserve"> pastatų energetinis naudingumas pagal sertifikavimo duomenis tur</w:t>
            </w:r>
            <w:r w:rsidR="002A2536">
              <w:rPr>
                <w:rFonts w:ascii="Georgia" w:hAnsi="Georgia" w:cs="Georgia"/>
                <w:sz w:val="20"/>
                <w:szCs w:val="20"/>
              </w:rPr>
              <w:t>i pasiekti</w:t>
            </w:r>
            <w:r>
              <w:rPr>
                <w:rFonts w:ascii="Georgia" w:hAnsi="Georgia" w:cs="Georgia"/>
                <w:sz w:val="20"/>
                <w:szCs w:val="20"/>
              </w:rPr>
              <w:t xml:space="preserve"> ne didesnį kaip vidutiniškai nurodytą energijos suvartojimo kiekį</w:t>
            </w:r>
          </w:p>
        </w:tc>
      </w:tr>
      <w:tr w:rsidR="003C6ED8" w14:paraId="444217E0" w14:textId="77777777" w:rsidTr="00DB1F27">
        <w:trPr>
          <w:cantSplit/>
        </w:trPr>
        <w:tc>
          <w:tcPr>
            <w:cnfStyle w:val="001000000000" w:firstRow="0" w:lastRow="0" w:firstColumn="1" w:lastColumn="0" w:oddVBand="0" w:evenVBand="0" w:oddHBand="0" w:evenHBand="0" w:firstRowFirstColumn="0" w:firstRowLastColumn="0" w:lastRowFirstColumn="0" w:lastRowLastColumn="0"/>
            <w:tcW w:w="367" w:type="pct"/>
          </w:tcPr>
          <w:p w14:paraId="42D6DCC1" w14:textId="77777777" w:rsidR="003C6ED8" w:rsidRDefault="003C6ED8" w:rsidP="00A555CA">
            <w:pPr>
              <w:autoSpaceDE w:val="0"/>
              <w:autoSpaceDN w:val="0"/>
              <w:adjustRightInd w:val="0"/>
              <w:jc w:val="both"/>
              <w:rPr>
                <w:rFonts w:ascii="Georgia" w:hAnsi="Georgia"/>
                <w:bCs w:val="0"/>
                <w:sz w:val="20"/>
                <w:szCs w:val="24"/>
              </w:rPr>
            </w:pPr>
            <w:r>
              <w:rPr>
                <w:rFonts w:ascii="Georgia" w:hAnsi="Georgia"/>
                <w:bCs w:val="0"/>
                <w:sz w:val="20"/>
                <w:szCs w:val="24"/>
              </w:rPr>
              <w:t>4.</w:t>
            </w:r>
          </w:p>
        </w:tc>
        <w:tc>
          <w:tcPr>
            <w:tcW w:w="1697" w:type="pct"/>
          </w:tcPr>
          <w:p w14:paraId="47DFB2DA" w14:textId="77777777" w:rsidR="003C6ED8" w:rsidRDefault="003C6ED8"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V</w:t>
            </w:r>
            <w:r w:rsidRPr="006D6D62">
              <w:rPr>
                <w:rFonts w:ascii="Georgia" w:hAnsi="Georgia"/>
                <w:bCs/>
                <w:sz w:val="20"/>
                <w:szCs w:val="24"/>
              </w:rPr>
              <w:t xml:space="preserve">idutis </w:t>
            </w:r>
            <w:r>
              <w:rPr>
                <w:rFonts w:ascii="Georgia" w:hAnsi="Georgia"/>
                <w:bCs/>
                <w:sz w:val="20"/>
                <w:szCs w:val="24"/>
              </w:rPr>
              <w:t>daugiabučio</w:t>
            </w:r>
            <w:r w:rsidRPr="006D6D62">
              <w:rPr>
                <w:rFonts w:ascii="Georgia" w:hAnsi="Georgia"/>
                <w:bCs/>
                <w:sz w:val="20"/>
                <w:szCs w:val="24"/>
              </w:rPr>
              <w:t xml:space="preserve"> pastato plotas</w:t>
            </w:r>
            <w:r>
              <w:rPr>
                <w:rFonts w:ascii="Georgia" w:hAnsi="Georgia"/>
                <w:bCs/>
                <w:sz w:val="20"/>
                <w:szCs w:val="24"/>
              </w:rPr>
              <w:t>, m</w:t>
            </w:r>
            <w:r>
              <w:rPr>
                <w:rFonts w:ascii="Georgia" w:hAnsi="Georgia"/>
                <w:bCs/>
                <w:sz w:val="20"/>
                <w:szCs w:val="24"/>
                <w:vertAlign w:val="superscript"/>
              </w:rPr>
              <w:t>2</w:t>
            </w:r>
          </w:p>
        </w:tc>
        <w:tc>
          <w:tcPr>
            <w:tcW w:w="671" w:type="pct"/>
          </w:tcPr>
          <w:p w14:paraId="6BDD2DC2" w14:textId="77777777" w:rsidR="003C6ED8" w:rsidRDefault="003C6ED8"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1287</w:t>
            </w:r>
          </w:p>
        </w:tc>
        <w:tc>
          <w:tcPr>
            <w:tcW w:w="2265" w:type="pct"/>
          </w:tcPr>
          <w:p w14:paraId="1F316024" w14:textId="77777777" w:rsidR="003C6ED8" w:rsidRDefault="003C6ED8"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Paskaičiuota 2.1.</w:t>
            </w:r>
            <w:r>
              <w:rPr>
                <w:rFonts w:ascii="Georgia" w:hAnsi="Georgia"/>
                <w:bCs/>
                <w:sz w:val="20"/>
                <w:szCs w:val="24"/>
                <w:lang w:val="en-US"/>
              </w:rPr>
              <w:t>2</w:t>
            </w:r>
            <w:r>
              <w:rPr>
                <w:rFonts w:ascii="Georgia" w:hAnsi="Georgia"/>
                <w:bCs/>
                <w:sz w:val="20"/>
                <w:szCs w:val="24"/>
              </w:rPr>
              <w:t>. dalyje</w:t>
            </w:r>
          </w:p>
        </w:tc>
      </w:tr>
      <w:tr w:rsidR="003C6ED8" w14:paraId="3674975C" w14:textId="77777777" w:rsidTr="00DB1F2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7" w:type="pct"/>
          </w:tcPr>
          <w:p w14:paraId="369ABB33" w14:textId="77777777" w:rsidR="003C6ED8" w:rsidRDefault="003C6ED8" w:rsidP="00A555CA">
            <w:pPr>
              <w:autoSpaceDE w:val="0"/>
              <w:autoSpaceDN w:val="0"/>
              <w:adjustRightInd w:val="0"/>
              <w:jc w:val="both"/>
              <w:rPr>
                <w:rFonts w:ascii="Georgia" w:hAnsi="Georgia"/>
                <w:bCs w:val="0"/>
                <w:sz w:val="20"/>
                <w:szCs w:val="24"/>
              </w:rPr>
            </w:pPr>
            <w:r>
              <w:rPr>
                <w:rFonts w:ascii="Georgia" w:hAnsi="Georgia"/>
                <w:bCs w:val="0"/>
                <w:sz w:val="20"/>
                <w:szCs w:val="24"/>
              </w:rPr>
              <w:t>5</w:t>
            </w:r>
          </w:p>
        </w:tc>
        <w:tc>
          <w:tcPr>
            <w:tcW w:w="1697" w:type="pct"/>
          </w:tcPr>
          <w:p w14:paraId="690C70A9" w14:textId="77777777" w:rsidR="003C6ED8" w:rsidRDefault="003C6ED8"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Bendras daugiabučių pastatų metinis sutaupymas, GWh</w:t>
            </w:r>
          </w:p>
        </w:tc>
        <w:tc>
          <w:tcPr>
            <w:tcW w:w="671" w:type="pct"/>
          </w:tcPr>
          <w:p w14:paraId="1D4AFB22" w14:textId="77777777" w:rsidR="003C6ED8" w:rsidRDefault="003C6ED8"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85,3</w:t>
            </w:r>
          </w:p>
        </w:tc>
        <w:tc>
          <w:tcPr>
            <w:tcW w:w="2265" w:type="pct"/>
          </w:tcPr>
          <w:p w14:paraId="609104DE" w14:textId="77777777" w:rsidR="003C6ED8" w:rsidRDefault="003C6ED8"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Paskaičiuota 2.2.1. dalyje</w:t>
            </w:r>
          </w:p>
        </w:tc>
      </w:tr>
      <w:tr w:rsidR="00121072" w14:paraId="12C85BA6" w14:textId="77777777" w:rsidTr="00DB1F27">
        <w:trPr>
          <w:cantSplit/>
        </w:trPr>
        <w:tc>
          <w:tcPr>
            <w:cnfStyle w:val="001000000000" w:firstRow="0" w:lastRow="0" w:firstColumn="1" w:lastColumn="0" w:oddVBand="0" w:evenVBand="0" w:oddHBand="0" w:evenHBand="0" w:firstRowFirstColumn="0" w:firstRowLastColumn="0" w:lastRowFirstColumn="0" w:lastRowLastColumn="0"/>
            <w:tcW w:w="367" w:type="pct"/>
          </w:tcPr>
          <w:p w14:paraId="31DF6EAD" w14:textId="77777777" w:rsidR="00121072" w:rsidRDefault="00121072" w:rsidP="00A555CA">
            <w:pPr>
              <w:autoSpaceDE w:val="0"/>
              <w:autoSpaceDN w:val="0"/>
              <w:adjustRightInd w:val="0"/>
              <w:jc w:val="both"/>
              <w:rPr>
                <w:rFonts w:ascii="Georgia" w:hAnsi="Georgia"/>
                <w:bCs w:val="0"/>
                <w:sz w:val="20"/>
                <w:szCs w:val="24"/>
              </w:rPr>
            </w:pPr>
            <w:r>
              <w:rPr>
                <w:rFonts w:ascii="Georgia" w:hAnsi="Georgia"/>
                <w:bCs w:val="0"/>
                <w:sz w:val="20"/>
                <w:szCs w:val="24"/>
              </w:rPr>
              <w:t>6.</w:t>
            </w:r>
          </w:p>
        </w:tc>
        <w:tc>
          <w:tcPr>
            <w:tcW w:w="1697" w:type="pct"/>
          </w:tcPr>
          <w:p w14:paraId="63A5BCE9" w14:textId="77777777" w:rsidR="00121072" w:rsidRDefault="00121072"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Tipinio daugiabučio renovuoto pastato sutaupymai (pasiekus C klasę), GWh</w:t>
            </w:r>
            <w:r w:rsidDel="00784435">
              <w:rPr>
                <w:rFonts w:ascii="Georgia" w:hAnsi="Georgia"/>
                <w:bCs/>
                <w:sz w:val="20"/>
                <w:szCs w:val="24"/>
              </w:rPr>
              <w:t xml:space="preserve"> </w:t>
            </w:r>
            <w:r>
              <w:rPr>
                <w:rFonts w:ascii="Georgia" w:hAnsi="Georgia"/>
                <w:bCs/>
                <w:sz w:val="20"/>
                <w:szCs w:val="24"/>
              </w:rPr>
              <w:t>per metus</w:t>
            </w:r>
          </w:p>
        </w:tc>
        <w:tc>
          <w:tcPr>
            <w:tcW w:w="671" w:type="pct"/>
          </w:tcPr>
          <w:p w14:paraId="684D1D38" w14:textId="77777777" w:rsidR="00121072" w:rsidRPr="00877078" w:rsidRDefault="00121072"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lang w:val="en-US"/>
              </w:rPr>
            </w:pPr>
            <w:r>
              <w:rPr>
                <w:rFonts w:ascii="Georgia" w:hAnsi="Georgia"/>
                <w:bCs/>
                <w:sz w:val="20"/>
                <w:szCs w:val="24"/>
                <w:lang w:val="en-US"/>
              </w:rPr>
              <w:t>0,219</w:t>
            </w:r>
          </w:p>
        </w:tc>
        <w:tc>
          <w:tcPr>
            <w:tcW w:w="2265" w:type="pct"/>
          </w:tcPr>
          <w:p w14:paraId="7166E0BB" w14:textId="77777777" w:rsidR="00121072" w:rsidRDefault="00121072"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( 1 - 3 ) x 4</w:t>
            </w:r>
          </w:p>
        </w:tc>
      </w:tr>
      <w:tr w:rsidR="003C6ED8" w14:paraId="296277E0" w14:textId="77777777" w:rsidTr="00DB1F2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7" w:type="pct"/>
          </w:tcPr>
          <w:p w14:paraId="2B70B092" w14:textId="77777777" w:rsidR="003C6ED8" w:rsidRDefault="003C6ED8" w:rsidP="00A555CA">
            <w:pPr>
              <w:autoSpaceDE w:val="0"/>
              <w:autoSpaceDN w:val="0"/>
              <w:adjustRightInd w:val="0"/>
              <w:jc w:val="both"/>
              <w:rPr>
                <w:rFonts w:ascii="Georgia" w:hAnsi="Georgia"/>
                <w:bCs w:val="0"/>
                <w:sz w:val="20"/>
                <w:szCs w:val="24"/>
              </w:rPr>
            </w:pPr>
            <w:r>
              <w:rPr>
                <w:rFonts w:ascii="Georgia" w:hAnsi="Georgia"/>
                <w:bCs w:val="0"/>
                <w:sz w:val="20"/>
                <w:szCs w:val="24"/>
              </w:rPr>
              <w:t>7.</w:t>
            </w:r>
          </w:p>
        </w:tc>
        <w:tc>
          <w:tcPr>
            <w:tcW w:w="1697" w:type="pct"/>
          </w:tcPr>
          <w:p w14:paraId="1D328C89" w14:textId="77777777" w:rsidR="003C6ED8" w:rsidRDefault="003C6ED8" w:rsidP="002A253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 xml:space="preserve">Bendras renovuotinų daugiabučių pastatų kiekis per 2014-2020 </w:t>
            </w:r>
            <w:r w:rsidR="002A2536">
              <w:rPr>
                <w:rFonts w:ascii="Georgia" w:hAnsi="Georgia"/>
                <w:bCs/>
                <w:sz w:val="20"/>
                <w:szCs w:val="24"/>
              </w:rPr>
              <w:t>m. periodą</w:t>
            </w:r>
            <w:r>
              <w:rPr>
                <w:rFonts w:ascii="Georgia" w:hAnsi="Georgia"/>
                <w:bCs/>
                <w:sz w:val="20"/>
                <w:szCs w:val="24"/>
              </w:rPr>
              <w:t>, vnt.</w:t>
            </w:r>
          </w:p>
        </w:tc>
        <w:tc>
          <w:tcPr>
            <w:tcW w:w="671" w:type="pct"/>
          </w:tcPr>
          <w:p w14:paraId="37461FCA" w14:textId="77777777" w:rsidR="003C6ED8" w:rsidRDefault="003C6ED8"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2335</w:t>
            </w:r>
          </w:p>
        </w:tc>
        <w:tc>
          <w:tcPr>
            <w:tcW w:w="2265" w:type="pct"/>
          </w:tcPr>
          <w:p w14:paraId="183E4ED1" w14:textId="77777777" w:rsidR="003C6ED8" w:rsidRDefault="003C6ED8"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bCs/>
                <w:sz w:val="20"/>
                <w:szCs w:val="24"/>
              </w:rPr>
              <w:t>5 / 6 x [6 metai]</w:t>
            </w:r>
          </w:p>
        </w:tc>
      </w:tr>
      <w:tr w:rsidR="003C6ED8" w14:paraId="275787CF" w14:textId="77777777" w:rsidTr="00DB1F27">
        <w:trPr>
          <w:cantSplit/>
        </w:trPr>
        <w:tc>
          <w:tcPr>
            <w:cnfStyle w:val="001000000000" w:firstRow="0" w:lastRow="0" w:firstColumn="1" w:lastColumn="0" w:oddVBand="0" w:evenVBand="0" w:oddHBand="0" w:evenHBand="0" w:firstRowFirstColumn="0" w:firstRowLastColumn="0" w:lastRowFirstColumn="0" w:lastRowLastColumn="0"/>
            <w:tcW w:w="367" w:type="pct"/>
          </w:tcPr>
          <w:p w14:paraId="419D9EF2" w14:textId="77777777" w:rsidR="003C6ED8" w:rsidRDefault="003C6ED8" w:rsidP="00A555CA">
            <w:pPr>
              <w:autoSpaceDE w:val="0"/>
              <w:autoSpaceDN w:val="0"/>
              <w:adjustRightInd w:val="0"/>
              <w:jc w:val="both"/>
              <w:rPr>
                <w:rFonts w:ascii="Georgia" w:hAnsi="Georgia"/>
                <w:bCs w:val="0"/>
                <w:sz w:val="20"/>
                <w:szCs w:val="24"/>
              </w:rPr>
            </w:pPr>
            <w:r>
              <w:rPr>
                <w:rFonts w:ascii="Georgia" w:hAnsi="Georgia"/>
                <w:bCs w:val="0"/>
                <w:sz w:val="20"/>
                <w:szCs w:val="24"/>
              </w:rPr>
              <w:t>8.</w:t>
            </w:r>
          </w:p>
        </w:tc>
        <w:tc>
          <w:tcPr>
            <w:tcW w:w="1697" w:type="pct"/>
          </w:tcPr>
          <w:p w14:paraId="56E78A32" w14:textId="77777777" w:rsidR="003C6ED8" w:rsidRDefault="003C6ED8" w:rsidP="002A253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bCs/>
                <w:sz w:val="20"/>
                <w:szCs w:val="24"/>
              </w:rPr>
              <w:t xml:space="preserve">Bendras renovuotinų daugiabučių pastatų plotas per 2014-2020 </w:t>
            </w:r>
            <w:r w:rsidR="002A2536">
              <w:rPr>
                <w:rFonts w:ascii="Georgia" w:hAnsi="Georgia"/>
                <w:bCs/>
                <w:sz w:val="20"/>
                <w:szCs w:val="24"/>
              </w:rPr>
              <w:t>m. periodą</w:t>
            </w:r>
            <w:r>
              <w:rPr>
                <w:rFonts w:ascii="Georgia" w:hAnsi="Georgia"/>
                <w:bCs/>
                <w:sz w:val="20"/>
                <w:szCs w:val="24"/>
              </w:rPr>
              <w:t xml:space="preserve">, </w:t>
            </w:r>
            <w:r>
              <w:rPr>
                <w:rFonts w:ascii="Georgia" w:hAnsi="Georgia" w:cs="Georgia"/>
                <w:sz w:val="20"/>
                <w:szCs w:val="20"/>
              </w:rPr>
              <w:t xml:space="preserve">tūkst. </w:t>
            </w:r>
            <w:r>
              <w:rPr>
                <w:rFonts w:ascii="Georgia" w:hAnsi="Georgia"/>
                <w:bCs/>
                <w:sz w:val="20"/>
                <w:szCs w:val="24"/>
              </w:rPr>
              <w:t>m</w:t>
            </w:r>
            <w:r>
              <w:rPr>
                <w:rFonts w:ascii="Georgia" w:hAnsi="Georgia"/>
                <w:bCs/>
                <w:sz w:val="20"/>
                <w:szCs w:val="24"/>
                <w:vertAlign w:val="superscript"/>
              </w:rPr>
              <w:t>2</w:t>
            </w:r>
          </w:p>
        </w:tc>
        <w:tc>
          <w:tcPr>
            <w:tcW w:w="671" w:type="pct"/>
          </w:tcPr>
          <w:p w14:paraId="0BAD89AB" w14:textId="77777777" w:rsidR="003C6ED8" w:rsidRPr="00CF31C2" w:rsidRDefault="003C6ED8"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lang w:val="en-US"/>
              </w:rPr>
            </w:pPr>
            <w:r>
              <w:rPr>
                <w:rFonts w:ascii="Georgia" w:hAnsi="Georgia"/>
                <w:bCs/>
                <w:sz w:val="20"/>
                <w:szCs w:val="24"/>
              </w:rPr>
              <w:t>3005</w:t>
            </w:r>
          </w:p>
        </w:tc>
        <w:tc>
          <w:tcPr>
            <w:tcW w:w="2265" w:type="pct"/>
          </w:tcPr>
          <w:p w14:paraId="1B870F02" w14:textId="77777777" w:rsidR="003C6ED8" w:rsidRDefault="003C6ED8"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Pr>
                <w:rFonts w:ascii="Georgia" w:hAnsi="Georgia"/>
                <w:bCs/>
                <w:sz w:val="20"/>
                <w:szCs w:val="24"/>
              </w:rPr>
              <w:t>4 x 7</w:t>
            </w:r>
          </w:p>
        </w:tc>
      </w:tr>
      <w:tr w:rsidR="003C6ED8" w14:paraId="491DAB6B" w14:textId="77777777" w:rsidTr="00DB1F2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7" w:type="pct"/>
          </w:tcPr>
          <w:p w14:paraId="6401DFFF" w14:textId="77777777" w:rsidR="003C6ED8" w:rsidRDefault="003C6ED8" w:rsidP="00A555CA">
            <w:pPr>
              <w:autoSpaceDE w:val="0"/>
              <w:autoSpaceDN w:val="0"/>
              <w:adjustRightInd w:val="0"/>
              <w:jc w:val="both"/>
              <w:rPr>
                <w:rFonts w:ascii="Georgia" w:hAnsi="Georgia"/>
                <w:bCs w:val="0"/>
                <w:sz w:val="20"/>
                <w:szCs w:val="24"/>
              </w:rPr>
            </w:pPr>
            <w:r>
              <w:rPr>
                <w:rFonts w:ascii="Georgia" w:hAnsi="Georgia"/>
                <w:bCs w:val="0"/>
                <w:sz w:val="20"/>
                <w:szCs w:val="24"/>
              </w:rPr>
              <w:t>9.</w:t>
            </w:r>
          </w:p>
        </w:tc>
        <w:tc>
          <w:tcPr>
            <w:tcW w:w="1697" w:type="pct"/>
          </w:tcPr>
          <w:p w14:paraId="36FB24A3" w14:textId="77777777" w:rsidR="003C6ED8" w:rsidRDefault="003C6ED8"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Daugiabučio pastato renovacijos kaštai, EUR/m</w:t>
            </w:r>
            <w:r>
              <w:rPr>
                <w:rFonts w:ascii="Georgia" w:hAnsi="Georgia" w:cs="Georgia"/>
                <w:sz w:val="20"/>
                <w:szCs w:val="20"/>
                <w:vertAlign w:val="superscript"/>
              </w:rPr>
              <w:t>2</w:t>
            </w:r>
            <w:r>
              <w:rPr>
                <w:rFonts w:ascii="Georgia" w:hAnsi="Georgia" w:cs="Georgia"/>
                <w:sz w:val="20"/>
                <w:szCs w:val="20"/>
              </w:rPr>
              <w:t xml:space="preserve"> (Lt/m</w:t>
            </w:r>
            <w:r>
              <w:rPr>
                <w:rFonts w:ascii="Georgia" w:hAnsi="Georgia" w:cs="Georgia"/>
                <w:sz w:val="20"/>
                <w:szCs w:val="20"/>
                <w:vertAlign w:val="superscript"/>
              </w:rPr>
              <w:t>2</w:t>
            </w:r>
            <w:r>
              <w:rPr>
                <w:rFonts w:ascii="Georgia" w:hAnsi="Georgia" w:cs="Georgia"/>
                <w:sz w:val="20"/>
                <w:szCs w:val="20"/>
              </w:rPr>
              <w:t>)</w:t>
            </w:r>
          </w:p>
        </w:tc>
        <w:tc>
          <w:tcPr>
            <w:tcW w:w="671" w:type="pct"/>
          </w:tcPr>
          <w:p w14:paraId="5BB94360" w14:textId="77777777" w:rsidR="003C6ED8" w:rsidRDefault="003C6ED8" w:rsidP="00A555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Pr>
                <w:rFonts w:ascii="Georgia" w:hAnsi="Georgia" w:cs="Georgia"/>
                <w:sz w:val="20"/>
                <w:szCs w:val="20"/>
              </w:rPr>
              <w:t>144,8 (</w:t>
            </w:r>
            <w:r>
              <w:rPr>
                <w:rFonts w:ascii="Georgia" w:hAnsi="Georgia" w:cs="Georgia"/>
                <w:sz w:val="20"/>
                <w:szCs w:val="20"/>
                <w:lang w:val="en-US"/>
              </w:rPr>
              <w:t>5</w:t>
            </w:r>
            <w:r>
              <w:rPr>
                <w:rFonts w:ascii="Georgia" w:hAnsi="Georgia" w:cs="Georgia"/>
                <w:sz w:val="20"/>
                <w:szCs w:val="20"/>
              </w:rPr>
              <w:t>00)</w:t>
            </w:r>
          </w:p>
        </w:tc>
        <w:tc>
          <w:tcPr>
            <w:tcW w:w="2265" w:type="pct"/>
          </w:tcPr>
          <w:p w14:paraId="6D5AA29F" w14:textId="77777777" w:rsidR="003C6ED8" w:rsidRDefault="00121072"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sidRPr="00121072">
              <w:rPr>
                <w:rFonts w:ascii="Georgia" w:hAnsi="Georgia" w:cs="Georgia"/>
                <w:sz w:val="20"/>
                <w:szCs w:val="20"/>
              </w:rPr>
              <w:t xml:space="preserve">Remiantis BETA pateikta informacija, </w:t>
            </w:r>
            <w:r>
              <w:rPr>
                <w:rFonts w:ascii="Georgia" w:hAnsi="Georgia" w:cs="Georgia"/>
                <w:sz w:val="20"/>
                <w:szCs w:val="20"/>
              </w:rPr>
              <w:t xml:space="preserve">vidutinė daugiabučio pastato </w:t>
            </w:r>
            <w:r w:rsidRPr="00121072">
              <w:rPr>
                <w:rFonts w:ascii="Georgia" w:hAnsi="Georgia" w:cs="Georgia"/>
                <w:sz w:val="20"/>
                <w:szCs w:val="20"/>
              </w:rPr>
              <w:t xml:space="preserve">renovacijos kaina sudaro 600-650 Lt/m2 </w:t>
            </w:r>
            <w:r>
              <w:rPr>
                <w:rFonts w:ascii="Georgia" w:hAnsi="Georgia" w:cs="Georgia"/>
                <w:sz w:val="20"/>
                <w:szCs w:val="20"/>
              </w:rPr>
              <w:t>(</w:t>
            </w:r>
            <w:r w:rsidRPr="00121072">
              <w:rPr>
                <w:rFonts w:ascii="Georgia" w:hAnsi="Georgia" w:cs="Georgia"/>
                <w:sz w:val="20"/>
                <w:szCs w:val="20"/>
              </w:rPr>
              <w:t xml:space="preserve">skaičiuojant kainą naudingam </w:t>
            </w:r>
            <w:r>
              <w:rPr>
                <w:rFonts w:ascii="Georgia" w:hAnsi="Georgia" w:cs="Georgia"/>
                <w:sz w:val="20"/>
                <w:szCs w:val="20"/>
              </w:rPr>
              <w:t>daugiabučio plotui)</w:t>
            </w:r>
            <w:r w:rsidRPr="00121072">
              <w:rPr>
                <w:rFonts w:ascii="Georgia" w:hAnsi="Georgia" w:cs="Georgia"/>
                <w:sz w:val="20"/>
                <w:szCs w:val="20"/>
              </w:rPr>
              <w:t>. Paklausos skaičiavime naudo</w:t>
            </w:r>
            <w:r>
              <w:rPr>
                <w:rFonts w:ascii="Georgia" w:hAnsi="Georgia" w:cs="Georgia"/>
                <w:sz w:val="20"/>
                <w:szCs w:val="20"/>
              </w:rPr>
              <w:t>jami</w:t>
            </w:r>
            <w:r w:rsidRPr="00121072">
              <w:rPr>
                <w:rFonts w:ascii="Georgia" w:hAnsi="Georgia" w:cs="Georgia"/>
                <w:sz w:val="20"/>
                <w:szCs w:val="20"/>
              </w:rPr>
              <w:t xml:space="preserve"> bendro</w:t>
            </w:r>
            <w:r>
              <w:rPr>
                <w:rFonts w:ascii="Georgia" w:hAnsi="Georgia" w:cs="Georgia"/>
                <w:sz w:val="20"/>
                <w:szCs w:val="20"/>
              </w:rPr>
              <w:t xml:space="preserve"> daugiabučio pastato</w:t>
            </w:r>
            <w:r w:rsidRPr="00121072">
              <w:rPr>
                <w:rFonts w:ascii="Georgia" w:hAnsi="Georgia" w:cs="Georgia"/>
                <w:sz w:val="20"/>
                <w:szCs w:val="20"/>
              </w:rPr>
              <w:t xml:space="preserve"> ploto duomenys. Tipinio daugiabučio naudingo ploto ir bend</w:t>
            </w:r>
            <w:r>
              <w:rPr>
                <w:rFonts w:ascii="Georgia" w:hAnsi="Georgia" w:cs="Georgia"/>
                <w:sz w:val="20"/>
                <w:szCs w:val="20"/>
              </w:rPr>
              <w:t xml:space="preserve">ro ploto santykis yra apie 0,8. </w:t>
            </w:r>
            <w:r w:rsidRPr="00121072">
              <w:rPr>
                <w:rFonts w:ascii="Georgia" w:hAnsi="Georgia" w:cs="Georgia"/>
                <w:sz w:val="20"/>
                <w:szCs w:val="20"/>
              </w:rPr>
              <w:t xml:space="preserve">Todėl </w:t>
            </w:r>
            <w:r>
              <w:rPr>
                <w:rFonts w:ascii="Georgia" w:hAnsi="Georgia" w:cs="Georgia"/>
                <w:sz w:val="20"/>
                <w:szCs w:val="20"/>
              </w:rPr>
              <w:t>paskaičiuojame</w:t>
            </w:r>
            <w:r w:rsidRPr="00121072">
              <w:rPr>
                <w:rFonts w:ascii="Georgia" w:hAnsi="Georgia" w:cs="Georgia"/>
                <w:sz w:val="20"/>
                <w:szCs w:val="20"/>
              </w:rPr>
              <w:t>,</w:t>
            </w:r>
            <w:r>
              <w:rPr>
                <w:rFonts w:ascii="Georgia" w:hAnsi="Georgia" w:cs="Georgia"/>
                <w:sz w:val="20"/>
                <w:szCs w:val="20"/>
              </w:rPr>
              <w:t xml:space="preserve"> jog vidutinė daugiabučio bendro </w:t>
            </w:r>
            <w:r w:rsidRPr="00121072">
              <w:rPr>
                <w:rFonts w:ascii="Georgia" w:hAnsi="Georgia" w:cs="Georgia"/>
                <w:sz w:val="20"/>
                <w:szCs w:val="20"/>
              </w:rPr>
              <w:t>ploto renovacijos kai</w:t>
            </w:r>
            <w:r>
              <w:rPr>
                <w:rFonts w:ascii="Georgia" w:hAnsi="Georgia" w:cs="Georgia"/>
                <w:sz w:val="20"/>
                <w:szCs w:val="20"/>
              </w:rPr>
              <w:t>na sudaro apie – 480-520 Lt/m</w:t>
            </w:r>
            <w:r w:rsidRPr="00D4610F">
              <w:rPr>
                <w:rFonts w:ascii="Georgia" w:hAnsi="Georgia" w:cs="Georgia"/>
                <w:sz w:val="20"/>
                <w:szCs w:val="20"/>
                <w:vertAlign w:val="superscript"/>
              </w:rPr>
              <w:t>2</w:t>
            </w:r>
            <w:r>
              <w:rPr>
                <w:rFonts w:ascii="Georgia" w:hAnsi="Georgia" w:cs="Georgia"/>
                <w:sz w:val="20"/>
                <w:szCs w:val="20"/>
              </w:rPr>
              <w:t>.</w:t>
            </w:r>
          </w:p>
        </w:tc>
      </w:tr>
      <w:tr w:rsidR="003C6ED8" w14:paraId="37855B39" w14:textId="77777777" w:rsidTr="00DB1F27">
        <w:trPr>
          <w:cantSplit/>
        </w:trPr>
        <w:tc>
          <w:tcPr>
            <w:cnfStyle w:val="001000000000" w:firstRow="0" w:lastRow="0" w:firstColumn="1" w:lastColumn="0" w:oddVBand="0" w:evenVBand="0" w:oddHBand="0" w:evenHBand="0" w:firstRowFirstColumn="0" w:firstRowLastColumn="0" w:lastRowFirstColumn="0" w:lastRowLastColumn="0"/>
            <w:tcW w:w="367" w:type="pct"/>
          </w:tcPr>
          <w:p w14:paraId="1245F2E1" w14:textId="77777777" w:rsidR="003C6ED8" w:rsidRDefault="003C6ED8" w:rsidP="00A555CA">
            <w:pPr>
              <w:autoSpaceDE w:val="0"/>
              <w:autoSpaceDN w:val="0"/>
              <w:adjustRightInd w:val="0"/>
              <w:jc w:val="both"/>
              <w:rPr>
                <w:rFonts w:ascii="Georgia" w:hAnsi="Georgia"/>
                <w:bCs w:val="0"/>
                <w:sz w:val="20"/>
                <w:szCs w:val="24"/>
              </w:rPr>
            </w:pPr>
            <w:r>
              <w:rPr>
                <w:rFonts w:ascii="Georgia" w:hAnsi="Georgia"/>
                <w:bCs w:val="0"/>
                <w:sz w:val="20"/>
                <w:szCs w:val="24"/>
                <w:lang w:val="en-US"/>
              </w:rPr>
              <w:lastRenderedPageBreak/>
              <w:t>10.</w:t>
            </w:r>
          </w:p>
        </w:tc>
        <w:tc>
          <w:tcPr>
            <w:tcW w:w="1697" w:type="pct"/>
          </w:tcPr>
          <w:p w14:paraId="20834E66" w14:textId="77777777" w:rsidR="003C6ED8" w:rsidRDefault="003C6ED8" w:rsidP="002A253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Daugiabučių pastatų renovacijos paklausa, mln. EUR (mln. Lt)</w:t>
            </w:r>
          </w:p>
        </w:tc>
        <w:tc>
          <w:tcPr>
            <w:tcW w:w="671" w:type="pct"/>
          </w:tcPr>
          <w:p w14:paraId="68635C6B" w14:textId="77777777" w:rsidR="003C6ED8" w:rsidRDefault="003C6ED8"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435,2 (1502,6)</w:t>
            </w:r>
          </w:p>
        </w:tc>
        <w:tc>
          <w:tcPr>
            <w:tcW w:w="2265" w:type="pct"/>
          </w:tcPr>
          <w:p w14:paraId="46DD6C02" w14:textId="77777777" w:rsidR="003C6ED8" w:rsidRDefault="003C6ED8" w:rsidP="00A555C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lang w:val="en-US"/>
              </w:rPr>
              <w:t>8 x 9</w:t>
            </w:r>
          </w:p>
        </w:tc>
      </w:tr>
    </w:tbl>
    <w:p w14:paraId="12097306" w14:textId="77777777" w:rsidR="003C6ED8" w:rsidRDefault="003C6ED8" w:rsidP="003C6ED8">
      <w:pPr>
        <w:autoSpaceDE w:val="0"/>
        <w:autoSpaceDN w:val="0"/>
        <w:adjustRightInd w:val="0"/>
        <w:jc w:val="both"/>
        <w:rPr>
          <w:rFonts w:ascii="Georgia" w:hAnsi="Georgia" w:cs="Georgia"/>
          <w:sz w:val="20"/>
          <w:szCs w:val="20"/>
          <w:lang w:val="lt-LT"/>
        </w:rPr>
      </w:pPr>
    </w:p>
    <w:p w14:paraId="0F8E7471" w14:textId="77777777" w:rsidR="003C6ED8" w:rsidRPr="00CF31C2" w:rsidRDefault="003C6ED8" w:rsidP="003C6ED8">
      <w:pPr>
        <w:pStyle w:val="Sraopastraipa"/>
        <w:keepNext/>
        <w:ind w:left="0"/>
        <w:rPr>
          <w:rFonts w:ascii="Georgia" w:hAnsi="Georgia"/>
          <w:i/>
          <w:sz w:val="24"/>
          <w:szCs w:val="20"/>
          <w:lang w:val="lt-LT"/>
        </w:rPr>
      </w:pPr>
      <w:r w:rsidRPr="00CF31C2">
        <w:rPr>
          <w:rFonts w:ascii="Georgia" w:hAnsi="Georgia"/>
          <w:i/>
          <w:sz w:val="24"/>
          <w:szCs w:val="20"/>
          <w:lang w:val="lt-LT"/>
        </w:rPr>
        <w:t>Išvada dėl skaičiavimo metodo ir prielaidų pasirinkimo</w:t>
      </w:r>
    </w:p>
    <w:p w14:paraId="6715BC8F" w14:textId="77777777" w:rsidR="003C6ED8" w:rsidRDefault="003C6ED8" w:rsidP="003C6ED8">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Įvertinus daugiabučių pastatų paklausos duomenis faktiniais ir skaičiuotinais dydžiais buvo gauti skirtingi paklausos dydžiai. </w:t>
      </w:r>
      <w:r w:rsidR="0051289E">
        <w:rPr>
          <w:rFonts w:ascii="Georgia" w:hAnsi="Georgia" w:cs="Georgia"/>
          <w:sz w:val="20"/>
          <w:szCs w:val="20"/>
          <w:lang w:val="lt-LT"/>
        </w:rPr>
        <w:t>D</w:t>
      </w:r>
      <w:r>
        <w:rPr>
          <w:rFonts w:ascii="Georgia" w:hAnsi="Georgia" w:cs="Georgia"/>
          <w:sz w:val="20"/>
          <w:szCs w:val="20"/>
          <w:lang w:val="lt-LT"/>
        </w:rPr>
        <w:t>augiabučių pastatų renovacijos įvertinimui rekomenduojama pasirinkti faktinių dydžių skaičiavimo metodą. Ši rekomendacija grįsta tuo, kad:</w:t>
      </w:r>
    </w:p>
    <w:p w14:paraId="47EFABEA" w14:textId="77777777" w:rsidR="0051289E" w:rsidRPr="00724C3C" w:rsidRDefault="0051289E" w:rsidP="002A576D">
      <w:pPr>
        <w:pStyle w:val="Sraopastraipa"/>
        <w:numPr>
          <w:ilvl w:val="0"/>
          <w:numId w:val="6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rekomenduojama rinktis faktinių dydžių skaičiavimo variantą, nes skaičiuotinų dydžių paklausai įvertinti buvo naudotas faktinių dydžių (nebuvo rasta duomenų koks galėtų būti skaičiuotino dydžio investicijų poreikis 1 </w:t>
      </w:r>
      <w:r>
        <w:rPr>
          <w:rFonts w:ascii="Georgia" w:hAnsi="Georgia" w:cs="Georgia"/>
          <w:sz w:val="20"/>
          <w:szCs w:val="20"/>
        </w:rPr>
        <w:t>m</w:t>
      </w:r>
      <w:r>
        <w:rPr>
          <w:rFonts w:ascii="Georgia" w:hAnsi="Georgia" w:cs="Georgia"/>
          <w:sz w:val="20"/>
          <w:szCs w:val="20"/>
          <w:vertAlign w:val="superscript"/>
        </w:rPr>
        <w:t>2</w:t>
      </w:r>
      <w:r>
        <w:rPr>
          <w:rFonts w:ascii="Georgia" w:hAnsi="Georgia" w:cs="Georgia"/>
          <w:sz w:val="20"/>
          <w:szCs w:val="20"/>
          <w:lang w:val="lt-LT"/>
        </w:rPr>
        <w:t xml:space="preserve">) investicijų </w:t>
      </w:r>
      <w:r w:rsidRPr="00724C3C">
        <w:rPr>
          <w:rFonts w:ascii="Georgia" w:hAnsi="Georgia" w:cs="Georgia"/>
          <w:sz w:val="20"/>
          <w:szCs w:val="20"/>
          <w:lang w:val="lt-LT"/>
        </w:rPr>
        <w:t xml:space="preserve">poreikio 1 </w:t>
      </w:r>
      <w:r w:rsidRPr="00CF31C2">
        <w:rPr>
          <w:rFonts w:ascii="Georgia" w:hAnsi="Georgia" w:cs="Georgia"/>
          <w:sz w:val="20"/>
          <w:szCs w:val="20"/>
          <w:lang w:val="lt-LT"/>
        </w:rPr>
        <w:t>m</w:t>
      </w:r>
      <w:r w:rsidRPr="00CF31C2">
        <w:rPr>
          <w:rFonts w:ascii="Georgia" w:hAnsi="Georgia" w:cs="Georgia"/>
          <w:sz w:val="20"/>
          <w:szCs w:val="20"/>
          <w:vertAlign w:val="superscript"/>
          <w:lang w:val="lt-LT"/>
        </w:rPr>
        <w:t>2</w:t>
      </w:r>
      <w:r w:rsidRPr="00CF31C2">
        <w:rPr>
          <w:rFonts w:ascii="Georgia" w:hAnsi="Georgia" w:cs="Georgia"/>
          <w:sz w:val="20"/>
          <w:szCs w:val="20"/>
          <w:lang w:val="lt-LT"/>
        </w:rPr>
        <w:t xml:space="preserve"> dydis (tikė</w:t>
      </w:r>
      <w:r w:rsidRPr="00724C3C">
        <w:rPr>
          <w:rFonts w:ascii="Georgia" w:hAnsi="Georgia" w:cs="Georgia"/>
          <w:sz w:val="20"/>
          <w:szCs w:val="20"/>
          <w:lang w:val="lt-LT"/>
        </w:rPr>
        <w:t>tina, jog šis dydis galėtų būti didesnis, negu faktinis investicijų poreikis</w:t>
      </w:r>
      <w:r>
        <w:rPr>
          <w:rFonts w:ascii="Georgia" w:hAnsi="Georgia" w:cs="Georgia"/>
          <w:sz w:val="20"/>
          <w:szCs w:val="20"/>
          <w:lang w:val="lt-LT"/>
        </w:rPr>
        <w:t>);</w:t>
      </w:r>
    </w:p>
    <w:p w14:paraId="50A31469" w14:textId="77777777" w:rsidR="003C6ED8" w:rsidRPr="007D3EC1" w:rsidRDefault="003C6ED8" w:rsidP="002A576D">
      <w:pPr>
        <w:pStyle w:val="Sraopastraipa"/>
        <w:numPr>
          <w:ilvl w:val="0"/>
          <w:numId w:val="68"/>
        </w:numPr>
        <w:autoSpaceDE w:val="0"/>
        <w:autoSpaceDN w:val="0"/>
        <w:adjustRightInd w:val="0"/>
        <w:spacing w:after="0"/>
        <w:jc w:val="both"/>
        <w:rPr>
          <w:rFonts w:ascii="Georgia" w:hAnsi="Georgia" w:cs="Georgia"/>
          <w:sz w:val="20"/>
          <w:szCs w:val="20"/>
          <w:lang w:val="lt-LT"/>
        </w:rPr>
      </w:pPr>
      <w:r w:rsidRPr="007D3EC1">
        <w:rPr>
          <w:rFonts w:ascii="Georgia" w:hAnsi="Georgia" w:cs="Georgia"/>
          <w:sz w:val="20"/>
          <w:szCs w:val="20"/>
          <w:lang w:val="lt-LT"/>
        </w:rPr>
        <w:t>ekspertiniu vertinimu</w:t>
      </w:r>
      <w:r>
        <w:rPr>
          <w:rFonts w:ascii="Georgia" w:hAnsi="Georgia" w:cs="Georgia"/>
          <w:sz w:val="20"/>
          <w:szCs w:val="20"/>
          <w:lang w:val="lt-LT"/>
        </w:rPr>
        <w:t xml:space="preserve">, </w:t>
      </w:r>
      <w:r w:rsidRPr="007D3EC1">
        <w:rPr>
          <w:rFonts w:ascii="Georgia" w:hAnsi="Georgia" w:cs="Georgia"/>
          <w:sz w:val="20"/>
          <w:szCs w:val="20"/>
          <w:lang w:val="lt-LT"/>
        </w:rPr>
        <w:t>rekomenduojamo varianto rezultatas yra realesnis atsižvelgiant į rinkos tendencijas</w:t>
      </w:r>
      <w:r>
        <w:rPr>
          <w:rFonts w:ascii="Georgia" w:hAnsi="Georgia" w:cs="Georgia"/>
          <w:sz w:val="20"/>
          <w:szCs w:val="20"/>
          <w:lang w:val="lt-LT"/>
        </w:rPr>
        <w:t xml:space="preserve"> ir poreikį</w:t>
      </w:r>
      <w:r w:rsidR="0051289E">
        <w:rPr>
          <w:rFonts w:ascii="Georgia" w:hAnsi="Georgia" w:cs="Georgia"/>
          <w:sz w:val="20"/>
          <w:szCs w:val="20"/>
          <w:lang w:val="lt-LT"/>
        </w:rPr>
        <w:t>.</w:t>
      </w:r>
    </w:p>
    <w:p w14:paraId="1B52E946" w14:textId="77777777" w:rsidR="003C6ED8" w:rsidRPr="00877078" w:rsidRDefault="003C6ED8" w:rsidP="003C6ED8">
      <w:pPr>
        <w:autoSpaceDE w:val="0"/>
        <w:autoSpaceDN w:val="0"/>
        <w:adjustRightInd w:val="0"/>
        <w:spacing w:after="0"/>
        <w:jc w:val="both"/>
        <w:rPr>
          <w:rFonts w:ascii="Georgia" w:hAnsi="Georgia" w:cs="Georgia"/>
          <w:sz w:val="20"/>
          <w:szCs w:val="20"/>
          <w:lang w:val="lt-LT"/>
        </w:rPr>
      </w:pPr>
    </w:p>
    <w:p w14:paraId="56CBCFD6" w14:textId="77777777" w:rsidR="00336C16" w:rsidRDefault="00336C16" w:rsidP="002A576D">
      <w:pPr>
        <w:pStyle w:val="Antrat2"/>
        <w:numPr>
          <w:ilvl w:val="3"/>
          <w:numId w:val="69"/>
        </w:numPr>
        <w:rPr>
          <w:lang w:val="lt-LT"/>
        </w:rPr>
      </w:pPr>
      <w:bookmarkStart w:id="54" w:name="_Toc417378372"/>
      <w:r>
        <w:rPr>
          <w:lang w:val="lt-LT"/>
        </w:rPr>
        <w:t xml:space="preserve">Gatvių apšvietimo tinklo modernizavimo paklausos </w:t>
      </w:r>
      <w:r w:rsidR="00135030">
        <w:rPr>
          <w:lang w:val="lt-LT"/>
        </w:rPr>
        <w:t>skaičiavimas</w:t>
      </w:r>
      <w:bookmarkEnd w:id="54"/>
    </w:p>
    <w:p w14:paraId="63F1216D" w14:textId="77777777" w:rsidR="00386440" w:rsidRDefault="00386440" w:rsidP="00336C16">
      <w:pPr>
        <w:widowControl w:val="0"/>
        <w:overflowPunct w:val="0"/>
        <w:autoSpaceDE w:val="0"/>
        <w:autoSpaceDN w:val="0"/>
        <w:adjustRightInd w:val="0"/>
        <w:spacing w:after="0" w:line="360" w:lineRule="auto"/>
        <w:ind w:right="540"/>
        <w:jc w:val="both"/>
        <w:rPr>
          <w:rFonts w:ascii="Georgia" w:hAnsi="Georgia"/>
          <w:bCs/>
          <w:i/>
          <w:sz w:val="24"/>
          <w:szCs w:val="24"/>
          <w:lang w:val="lt-LT"/>
        </w:rPr>
      </w:pPr>
    </w:p>
    <w:p w14:paraId="349C46E3" w14:textId="77777777" w:rsidR="0051289E" w:rsidRPr="00F31A93" w:rsidRDefault="0051289E" w:rsidP="0051289E">
      <w:pPr>
        <w:autoSpaceDE w:val="0"/>
        <w:autoSpaceDN w:val="0"/>
        <w:adjustRightInd w:val="0"/>
        <w:spacing w:after="0"/>
        <w:jc w:val="both"/>
        <w:rPr>
          <w:rFonts w:ascii="Georgia" w:hAnsi="Georgia" w:cs="Georgia"/>
          <w:sz w:val="20"/>
          <w:szCs w:val="20"/>
          <w:lang w:val="lt-LT"/>
        </w:rPr>
      </w:pPr>
      <w:r w:rsidRPr="00F31A93">
        <w:rPr>
          <w:rFonts w:ascii="Georgia" w:hAnsi="Georgia" w:cs="Georgia"/>
          <w:sz w:val="20"/>
          <w:szCs w:val="20"/>
          <w:lang w:val="lt-LT"/>
        </w:rPr>
        <w:t xml:space="preserve">Žemiau </w:t>
      </w:r>
      <w:r w:rsidR="000B28FE">
        <w:rPr>
          <w:rFonts w:ascii="Georgia" w:hAnsi="Georgia" w:cs="Georgia"/>
          <w:sz w:val="20"/>
          <w:szCs w:val="20"/>
          <w:lang w:val="lt-LT"/>
        </w:rPr>
        <w:t xml:space="preserve">esančioje lentelėje </w:t>
      </w:r>
      <w:r w:rsidRPr="00F31A93">
        <w:rPr>
          <w:rFonts w:ascii="Georgia" w:hAnsi="Georgia" w:cs="Georgia"/>
          <w:sz w:val="20"/>
          <w:szCs w:val="20"/>
          <w:lang w:val="lt-LT"/>
        </w:rPr>
        <w:t>pateikiamos  prielaidos ir skaičiavimai, bei jų pagrindimas skaičiuojant gatvių apšvietimo tinklo modernizavimo paklausą.</w:t>
      </w:r>
    </w:p>
    <w:p w14:paraId="6A5848B4" w14:textId="77777777" w:rsidR="0051289E" w:rsidRPr="00CE03FC" w:rsidRDefault="0051289E" w:rsidP="0051289E">
      <w:pPr>
        <w:autoSpaceDE w:val="0"/>
        <w:autoSpaceDN w:val="0"/>
        <w:adjustRightInd w:val="0"/>
        <w:spacing w:after="0"/>
        <w:jc w:val="both"/>
        <w:rPr>
          <w:rFonts w:ascii="Georgia" w:hAnsi="Georgia" w:cs="Georgia"/>
          <w:sz w:val="20"/>
          <w:szCs w:val="20"/>
          <w:lang w:val="lt-LT"/>
        </w:rPr>
      </w:pPr>
    </w:p>
    <w:p w14:paraId="57EA2437" w14:textId="5007B3EF" w:rsidR="0051289E" w:rsidRPr="00CF31C2" w:rsidRDefault="0051289E" w:rsidP="0051289E">
      <w:pPr>
        <w:pStyle w:val="Antrat"/>
        <w:jc w:val="both"/>
      </w:pPr>
      <w:bookmarkStart w:id="55" w:name="_Ref399585209"/>
      <w:bookmarkStart w:id="56" w:name="_Toc460321597"/>
      <w:r w:rsidRPr="00CF31C2">
        <w:rPr>
          <w:lang w:val="lt-LT"/>
        </w:rPr>
        <w:t xml:space="preserve">Lentelė </w:t>
      </w:r>
      <w:r w:rsidRPr="00CF31C2">
        <w:rPr>
          <w:lang w:val="lt-LT"/>
        </w:rPr>
        <w:fldChar w:fldCharType="begin"/>
      </w:r>
      <w:r w:rsidRPr="00CF31C2">
        <w:rPr>
          <w:lang w:val="lt-LT"/>
        </w:rPr>
        <w:instrText xml:space="preserve"> SEQ Lentelė \* ARABIC </w:instrText>
      </w:r>
      <w:r w:rsidRPr="00CF31C2">
        <w:rPr>
          <w:lang w:val="lt-LT"/>
        </w:rPr>
        <w:fldChar w:fldCharType="separate"/>
      </w:r>
      <w:r w:rsidR="00AA3082">
        <w:rPr>
          <w:noProof/>
          <w:lang w:val="lt-LT"/>
        </w:rPr>
        <w:t>16</w:t>
      </w:r>
      <w:r w:rsidRPr="00CF31C2">
        <w:rPr>
          <w:lang w:val="lt-LT"/>
        </w:rPr>
        <w:fldChar w:fldCharType="end"/>
      </w:r>
      <w:bookmarkEnd w:id="55"/>
      <w:r w:rsidRPr="00CF31C2">
        <w:rPr>
          <w:lang w:val="lt-LT"/>
        </w:rPr>
        <w:t xml:space="preserve">. </w:t>
      </w:r>
      <w:r w:rsidRPr="00F31A93">
        <w:rPr>
          <w:lang w:val="lt-LT"/>
        </w:rPr>
        <w:t>Gatvių apšvietimo tinklo modernizavimo</w:t>
      </w:r>
      <w:r w:rsidRPr="00CF31C2">
        <w:rPr>
          <w:lang w:val="lt-LT"/>
        </w:rPr>
        <w:t xml:space="preserve"> p</w:t>
      </w:r>
      <w:r w:rsidRPr="00CF31C2">
        <w:rPr>
          <w:rFonts w:cs="Georgia"/>
          <w:szCs w:val="20"/>
          <w:lang w:val="lt-LT"/>
        </w:rPr>
        <w:t>aklausos skaičiavimo prielaidos ir paklausos rodiklių skaičiavimas</w:t>
      </w:r>
      <w:r>
        <w:rPr>
          <w:rFonts w:cs="Georgia"/>
          <w:szCs w:val="20"/>
          <w:lang w:val="lt-LT"/>
        </w:rPr>
        <w:t xml:space="preserve"> (skaičiuojant skaičiuotinų dydžių metodu)</w:t>
      </w:r>
      <w:bookmarkEnd w:id="56"/>
    </w:p>
    <w:tbl>
      <w:tblPr>
        <w:tblStyle w:val="viesussraas2parykinimas"/>
        <w:tblW w:w="5000" w:type="pct"/>
        <w:tblLook w:val="04A0" w:firstRow="1" w:lastRow="0" w:firstColumn="1" w:lastColumn="0" w:noHBand="0" w:noVBand="1"/>
      </w:tblPr>
      <w:tblGrid>
        <w:gridCol w:w="667"/>
        <w:gridCol w:w="3237"/>
        <w:gridCol w:w="1220"/>
        <w:gridCol w:w="4118"/>
      </w:tblGrid>
      <w:tr w:rsidR="0051289E" w14:paraId="64CA157E" w14:textId="77777777" w:rsidTr="00DB1F2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1" w:type="pct"/>
          </w:tcPr>
          <w:p w14:paraId="4C7C315D" w14:textId="77777777" w:rsidR="0051289E" w:rsidRDefault="0051289E" w:rsidP="00714494">
            <w:pPr>
              <w:autoSpaceDE w:val="0"/>
              <w:autoSpaceDN w:val="0"/>
              <w:adjustRightInd w:val="0"/>
              <w:jc w:val="center"/>
              <w:rPr>
                <w:rFonts w:ascii="Georgia" w:hAnsi="Georgia"/>
                <w:bCs w:val="0"/>
                <w:sz w:val="20"/>
                <w:szCs w:val="24"/>
              </w:rPr>
            </w:pPr>
            <w:r>
              <w:rPr>
                <w:rFonts w:ascii="Georgia" w:hAnsi="Georgia"/>
                <w:bCs w:val="0"/>
                <w:sz w:val="20"/>
                <w:szCs w:val="24"/>
              </w:rPr>
              <w:t>Eil.</w:t>
            </w:r>
          </w:p>
          <w:p w14:paraId="537E9F64" w14:textId="77777777" w:rsidR="0051289E" w:rsidRDefault="0051289E" w:rsidP="00714494">
            <w:pPr>
              <w:autoSpaceDE w:val="0"/>
              <w:autoSpaceDN w:val="0"/>
              <w:adjustRightInd w:val="0"/>
              <w:jc w:val="center"/>
              <w:rPr>
                <w:rFonts w:ascii="Georgia" w:hAnsi="Georgia"/>
                <w:bCs w:val="0"/>
                <w:sz w:val="20"/>
                <w:szCs w:val="24"/>
              </w:rPr>
            </w:pPr>
            <w:r>
              <w:rPr>
                <w:rFonts w:ascii="Georgia" w:hAnsi="Georgia"/>
                <w:bCs w:val="0"/>
                <w:sz w:val="20"/>
                <w:szCs w:val="24"/>
              </w:rPr>
              <w:t>Nr.</w:t>
            </w:r>
          </w:p>
        </w:tc>
        <w:tc>
          <w:tcPr>
            <w:tcW w:w="1751" w:type="pct"/>
          </w:tcPr>
          <w:p w14:paraId="3BB59AAB" w14:textId="77777777" w:rsidR="0051289E" w:rsidRDefault="0051289E"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Pr>
                <w:rFonts w:ascii="Georgia" w:hAnsi="Georgia"/>
                <w:bCs w:val="0"/>
                <w:sz w:val="20"/>
                <w:szCs w:val="24"/>
              </w:rPr>
              <w:t>Rodiklis</w:t>
            </w:r>
          </w:p>
        </w:tc>
        <w:tc>
          <w:tcPr>
            <w:tcW w:w="660" w:type="pct"/>
          </w:tcPr>
          <w:p w14:paraId="40FB55B5" w14:textId="77777777" w:rsidR="0051289E" w:rsidRDefault="0051289E"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Pr>
                <w:rFonts w:ascii="Georgia" w:hAnsi="Georgia"/>
                <w:bCs w:val="0"/>
                <w:sz w:val="20"/>
                <w:szCs w:val="24"/>
              </w:rPr>
              <w:t>Rodiklio dydis</w:t>
            </w:r>
          </w:p>
        </w:tc>
        <w:tc>
          <w:tcPr>
            <w:tcW w:w="2228" w:type="pct"/>
          </w:tcPr>
          <w:p w14:paraId="0513D474" w14:textId="77777777" w:rsidR="0051289E" w:rsidRDefault="0051289E"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4"/>
              </w:rPr>
            </w:pPr>
            <w:r>
              <w:rPr>
                <w:rFonts w:ascii="Georgia" w:hAnsi="Georgia"/>
                <w:bCs w:val="0"/>
                <w:sz w:val="20"/>
                <w:szCs w:val="24"/>
              </w:rPr>
              <w:t>Informacijos šaltinis, pagrindimas</w:t>
            </w:r>
          </w:p>
        </w:tc>
      </w:tr>
      <w:tr w:rsidR="0051289E" w14:paraId="7E00B72E" w14:textId="77777777" w:rsidTr="00DB1F2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1" w:type="pct"/>
          </w:tcPr>
          <w:p w14:paraId="37A77B2F" w14:textId="77777777" w:rsidR="0051289E" w:rsidRDefault="0051289E" w:rsidP="00A555CA">
            <w:pPr>
              <w:autoSpaceDE w:val="0"/>
              <w:autoSpaceDN w:val="0"/>
              <w:adjustRightInd w:val="0"/>
              <w:jc w:val="both"/>
              <w:rPr>
                <w:rFonts w:ascii="Georgia" w:hAnsi="Georgia"/>
                <w:bCs w:val="0"/>
                <w:sz w:val="20"/>
                <w:szCs w:val="24"/>
              </w:rPr>
            </w:pPr>
            <w:r>
              <w:rPr>
                <w:rFonts w:ascii="Georgia" w:hAnsi="Georgia"/>
                <w:bCs w:val="0"/>
                <w:sz w:val="20"/>
                <w:szCs w:val="24"/>
              </w:rPr>
              <w:t>1.</w:t>
            </w:r>
          </w:p>
        </w:tc>
        <w:tc>
          <w:tcPr>
            <w:tcW w:w="1751" w:type="pct"/>
          </w:tcPr>
          <w:p w14:paraId="2F2D8FF2" w14:textId="77777777" w:rsidR="0051289E" w:rsidRPr="00105B94" w:rsidRDefault="0051289E"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sidRPr="00105B94">
              <w:rPr>
                <w:rFonts w:ascii="Georgia" w:hAnsi="Georgia"/>
                <w:bCs/>
                <w:sz w:val="20"/>
                <w:szCs w:val="24"/>
              </w:rPr>
              <w:t>Renovuotinų šviestuvų kiekis, vnt</w:t>
            </w:r>
            <w:r w:rsidR="00DB1F27">
              <w:rPr>
                <w:rFonts w:ascii="Georgia" w:hAnsi="Georgia"/>
                <w:bCs/>
                <w:sz w:val="20"/>
                <w:szCs w:val="24"/>
              </w:rPr>
              <w:t>.</w:t>
            </w:r>
          </w:p>
        </w:tc>
        <w:tc>
          <w:tcPr>
            <w:tcW w:w="660" w:type="pct"/>
          </w:tcPr>
          <w:p w14:paraId="01F7F08A" w14:textId="77777777" w:rsidR="0051289E" w:rsidRPr="00105B94" w:rsidRDefault="00637EC8" w:rsidP="00A555C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eorgia" w:hAnsi="Georgia"/>
                <w:bCs/>
                <w:sz w:val="20"/>
                <w:szCs w:val="24"/>
                <w:lang w:val="en-US"/>
              </w:rPr>
            </w:pPr>
            <w:r w:rsidRPr="00105B94">
              <w:rPr>
                <w:rFonts w:ascii="Georgia" w:hAnsi="Georgia"/>
                <w:bCs/>
                <w:sz w:val="20"/>
                <w:szCs w:val="24"/>
                <w:lang w:val="en-US"/>
              </w:rPr>
              <w:t>133</w:t>
            </w:r>
            <w:r w:rsidR="00C5226A" w:rsidRPr="00105B94">
              <w:rPr>
                <w:rFonts w:ascii="Georgia" w:hAnsi="Georgia"/>
                <w:bCs/>
                <w:sz w:val="20"/>
                <w:szCs w:val="24"/>
                <w:lang w:val="en-US"/>
              </w:rPr>
              <w:t xml:space="preserve"> </w:t>
            </w:r>
            <w:r w:rsidR="0051289E" w:rsidRPr="00105B94">
              <w:rPr>
                <w:rFonts w:ascii="Georgia" w:hAnsi="Georgia"/>
                <w:bCs/>
                <w:sz w:val="20"/>
                <w:szCs w:val="24"/>
                <w:lang w:val="en-US"/>
              </w:rPr>
              <w:t>950</w:t>
            </w:r>
          </w:p>
          <w:p w14:paraId="1FD38566" w14:textId="77777777" w:rsidR="0051289E" w:rsidRPr="00105B94" w:rsidRDefault="0051289E" w:rsidP="00A555CA">
            <w:pPr>
              <w:cnfStyle w:val="000000100000" w:firstRow="0" w:lastRow="0" w:firstColumn="0" w:lastColumn="0" w:oddVBand="0" w:evenVBand="0" w:oddHBand="1" w:evenHBand="0" w:firstRowFirstColumn="0" w:firstRowLastColumn="0" w:lastRowFirstColumn="0" w:lastRowLastColumn="0"/>
              <w:rPr>
                <w:rFonts w:ascii="Georgia" w:hAnsi="Georgia"/>
                <w:sz w:val="20"/>
                <w:szCs w:val="24"/>
              </w:rPr>
            </w:pPr>
          </w:p>
        </w:tc>
        <w:tc>
          <w:tcPr>
            <w:tcW w:w="2228" w:type="pct"/>
          </w:tcPr>
          <w:p w14:paraId="10B1546E" w14:textId="77777777" w:rsidR="0051289E" w:rsidRPr="00105B94" w:rsidRDefault="00134BF1" w:rsidP="00637EC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sidRPr="00105B94">
              <w:rPr>
                <w:rFonts w:ascii="Georgia" w:hAnsi="Georgia" w:cs="Georgia"/>
                <w:sz w:val="20"/>
                <w:szCs w:val="20"/>
              </w:rPr>
              <w:t>Pagal E</w:t>
            </w:r>
            <w:r w:rsidR="0051289E" w:rsidRPr="00105B94">
              <w:rPr>
                <w:rFonts w:ascii="Georgia" w:hAnsi="Georgia" w:cs="Georgia"/>
                <w:sz w:val="20"/>
                <w:szCs w:val="20"/>
              </w:rPr>
              <w:t>nergetikos ministerijos pateiktus duomenis</w:t>
            </w:r>
            <w:r w:rsidRPr="00105B94">
              <w:rPr>
                <w:rFonts w:ascii="Georgia" w:hAnsi="Georgia" w:cs="Georgia"/>
                <w:sz w:val="20"/>
                <w:szCs w:val="20"/>
              </w:rPr>
              <w:t>,</w:t>
            </w:r>
            <w:r w:rsidR="0051289E" w:rsidRPr="00105B94">
              <w:rPr>
                <w:rFonts w:ascii="Georgia" w:hAnsi="Georgia" w:cs="Georgia"/>
                <w:sz w:val="20"/>
                <w:szCs w:val="20"/>
              </w:rPr>
              <w:t xml:space="preserve"> suri</w:t>
            </w:r>
            <w:r w:rsidRPr="00105B94">
              <w:rPr>
                <w:rFonts w:ascii="Georgia" w:hAnsi="Georgia" w:cs="Georgia"/>
                <w:sz w:val="20"/>
                <w:szCs w:val="20"/>
              </w:rPr>
              <w:t>n</w:t>
            </w:r>
            <w:r w:rsidR="0051289E" w:rsidRPr="00105B94">
              <w:rPr>
                <w:rFonts w:ascii="Georgia" w:hAnsi="Georgia" w:cs="Georgia"/>
                <w:sz w:val="20"/>
                <w:szCs w:val="20"/>
              </w:rPr>
              <w:t>ktus iš saviv</w:t>
            </w:r>
            <w:r w:rsidRPr="00105B94">
              <w:rPr>
                <w:rFonts w:ascii="Georgia" w:hAnsi="Georgia" w:cs="Georgia"/>
                <w:sz w:val="20"/>
                <w:szCs w:val="20"/>
              </w:rPr>
              <w:t>aldybių</w:t>
            </w:r>
            <w:r w:rsidR="00637EC8" w:rsidRPr="00105B94">
              <w:rPr>
                <w:rFonts w:ascii="Georgia" w:hAnsi="Georgia" w:cs="Georgia"/>
                <w:sz w:val="20"/>
                <w:szCs w:val="20"/>
              </w:rPr>
              <w:t>, neįtraukiant</w:t>
            </w:r>
            <w:r w:rsidRPr="00105B94">
              <w:rPr>
                <w:rFonts w:ascii="Georgia" w:hAnsi="Georgia" w:cs="Georgia"/>
                <w:sz w:val="20"/>
                <w:szCs w:val="20"/>
              </w:rPr>
              <w:t xml:space="preserve"> AB Lietuvos geležinkelių</w:t>
            </w:r>
            <w:r w:rsidR="00637EC8" w:rsidRPr="00105B94">
              <w:rPr>
                <w:rFonts w:ascii="Georgia" w:hAnsi="Georgia" w:cs="Georgia"/>
                <w:sz w:val="20"/>
                <w:szCs w:val="20"/>
              </w:rPr>
              <w:t xml:space="preserve"> ir</w:t>
            </w:r>
            <w:r w:rsidR="0051289E" w:rsidRPr="00105B94">
              <w:rPr>
                <w:rFonts w:ascii="Georgia" w:hAnsi="Georgia" w:cs="Georgia"/>
                <w:sz w:val="20"/>
                <w:szCs w:val="20"/>
              </w:rPr>
              <w:t xml:space="preserve"> Vilniaus miesto šviestuvų kiekio</w:t>
            </w:r>
          </w:p>
        </w:tc>
      </w:tr>
      <w:tr w:rsidR="0051289E" w14:paraId="1239661D" w14:textId="77777777" w:rsidTr="00DB1F27">
        <w:trPr>
          <w:cantSplit/>
        </w:trPr>
        <w:tc>
          <w:tcPr>
            <w:cnfStyle w:val="001000000000" w:firstRow="0" w:lastRow="0" w:firstColumn="1" w:lastColumn="0" w:oddVBand="0" w:evenVBand="0" w:oddHBand="0" w:evenHBand="0" w:firstRowFirstColumn="0" w:firstRowLastColumn="0" w:lastRowFirstColumn="0" w:lastRowLastColumn="0"/>
            <w:tcW w:w="361" w:type="pct"/>
          </w:tcPr>
          <w:p w14:paraId="7C805AE4" w14:textId="77777777" w:rsidR="0051289E" w:rsidRDefault="0051289E" w:rsidP="00A555CA">
            <w:pPr>
              <w:autoSpaceDE w:val="0"/>
              <w:autoSpaceDN w:val="0"/>
              <w:adjustRightInd w:val="0"/>
              <w:jc w:val="both"/>
              <w:rPr>
                <w:rFonts w:ascii="Georgia" w:hAnsi="Georgia" w:cs="Georgia"/>
                <w:sz w:val="20"/>
                <w:szCs w:val="20"/>
              </w:rPr>
            </w:pPr>
            <w:r>
              <w:rPr>
                <w:rFonts w:ascii="Georgia" w:hAnsi="Georgia" w:cs="Georgia"/>
                <w:sz w:val="20"/>
                <w:szCs w:val="20"/>
              </w:rPr>
              <w:t>2.</w:t>
            </w:r>
          </w:p>
        </w:tc>
        <w:tc>
          <w:tcPr>
            <w:tcW w:w="1751" w:type="pct"/>
          </w:tcPr>
          <w:p w14:paraId="632BCE58" w14:textId="77777777" w:rsidR="0051289E" w:rsidRPr="00105B94" w:rsidRDefault="0051289E" w:rsidP="00637EC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sidRPr="00105B94">
              <w:rPr>
                <w:rFonts w:ascii="Georgia" w:hAnsi="Georgia" w:cs="Georgia"/>
                <w:sz w:val="20"/>
                <w:szCs w:val="20"/>
              </w:rPr>
              <w:t>Vidutiniai vieno šviestuvo pakeitimo kaštai, EUR/</w:t>
            </w:r>
            <w:r w:rsidR="00637EC8" w:rsidRPr="00105B94">
              <w:rPr>
                <w:rFonts w:ascii="Georgia" w:hAnsi="Georgia" w:cs="Georgia"/>
                <w:sz w:val="20"/>
                <w:szCs w:val="20"/>
              </w:rPr>
              <w:t>vnt</w:t>
            </w:r>
            <w:r w:rsidR="00DB1F27">
              <w:rPr>
                <w:rFonts w:ascii="Georgia" w:hAnsi="Georgia" w:cs="Georgia"/>
                <w:sz w:val="20"/>
                <w:szCs w:val="20"/>
              </w:rPr>
              <w:t>.</w:t>
            </w:r>
            <w:r w:rsidRPr="00105B94">
              <w:rPr>
                <w:rFonts w:ascii="Georgia" w:hAnsi="Georgia" w:cs="Georgia"/>
                <w:sz w:val="20"/>
                <w:szCs w:val="20"/>
              </w:rPr>
              <w:t xml:space="preserve"> (Lt/</w:t>
            </w:r>
            <w:r w:rsidR="00637EC8" w:rsidRPr="00105B94">
              <w:rPr>
                <w:rFonts w:ascii="Georgia" w:hAnsi="Georgia" w:cs="Georgia"/>
                <w:sz w:val="20"/>
                <w:szCs w:val="20"/>
              </w:rPr>
              <w:t>vnt</w:t>
            </w:r>
            <w:r w:rsidR="00DB1F27">
              <w:rPr>
                <w:rFonts w:ascii="Georgia" w:hAnsi="Georgia" w:cs="Georgia"/>
                <w:sz w:val="20"/>
                <w:szCs w:val="20"/>
              </w:rPr>
              <w:t>.</w:t>
            </w:r>
            <w:r w:rsidRPr="00105B94">
              <w:rPr>
                <w:rFonts w:ascii="Georgia" w:hAnsi="Georgia" w:cs="Georgia"/>
                <w:sz w:val="20"/>
                <w:szCs w:val="20"/>
              </w:rPr>
              <w:t>)</w:t>
            </w:r>
          </w:p>
        </w:tc>
        <w:tc>
          <w:tcPr>
            <w:tcW w:w="660" w:type="pct"/>
          </w:tcPr>
          <w:p w14:paraId="2297E701" w14:textId="77777777" w:rsidR="0051289E" w:rsidRPr="00105B94" w:rsidRDefault="0051289E" w:rsidP="00A555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sidRPr="00105B94">
              <w:rPr>
                <w:rFonts w:ascii="Georgia" w:hAnsi="Georgia"/>
                <w:bCs/>
                <w:sz w:val="20"/>
                <w:szCs w:val="24"/>
              </w:rPr>
              <w:t>710</w:t>
            </w:r>
          </w:p>
          <w:p w14:paraId="3885CD75" w14:textId="77777777" w:rsidR="0051289E" w:rsidRPr="00105B94" w:rsidRDefault="0051289E" w:rsidP="00637EC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sidRPr="00105B94">
              <w:rPr>
                <w:rFonts w:ascii="Georgia" w:hAnsi="Georgia"/>
                <w:bCs/>
                <w:sz w:val="20"/>
                <w:szCs w:val="24"/>
              </w:rPr>
              <w:t>(245</w:t>
            </w:r>
            <w:r w:rsidR="00637EC8" w:rsidRPr="00105B94">
              <w:rPr>
                <w:rFonts w:ascii="Georgia" w:hAnsi="Georgia"/>
                <w:bCs/>
                <w:sz w:val="20"/>
                <w:szCs w:val="24"/>
              </w:rPr>
              <w:t>4</w:t>
            </w:r>
            <w:r w:rsidRPr="00105B94">
              <w:rPr>
                <w:rFonts w:ascii="Georgia" w:hAnsi="Georgia"/>
                <w:bCs/>
                <w:sz w:val="20"/>
                <w:szCs w:val="24"/>
              </w:rPr>
              <w:t>)</w:t>
            </w:r>
          </w:p>
        </w:tc>
        <w:tc>
          <w:tcPr>
            <w:tcW w:w="2228" w:type="pct"/>
          </w:tcPr>
          <w:p w14:paraId="0027CEE9" w14:textId="77777777" w:rsidR="0051289E" w:rsidRPr="00105B94" w:rsidRDefault="0051289E" w:rsidP="00134BF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bCs/>
                <w:sz w:val="20"/>
                <w:szCs w:val="24"/>
              </w:rPr>
            </w:pPr>
            <w:r w:rsidRPr="00105B94">
              <w:rPr>
                <w:rFonts w:ascii="Georgia" w:hAnsi="Georgia" w:cs="Georgia"/>
                <w:sz w:val="20"/>
                <w:szCs w:val="20"/>
              </w:rPr>
              <w:t xml:space="preserve">Atsižvelgiant į Vilniaus miesto apšvietimo tinklų </w:t>
            </w:r>
            <w:r w:rsidR="00134BF1" w:rsidRPr="00105B94">
              <w:rPr>
                <w:rFonts w:ascii="Georgia" w:hAnsi="Georgia" w:cs="Georgia"/>
                <w:sz w:val="20"/>
                <w:szCs w:val="20"/>
              </w:rPr>
              <w:t>modernizavimo</w:t>
            </w:r>
            <w:r w:rsidRPr="00105B94">
              <w:rPr>
                <w:rFonts w:ascii="Georgia" w:hAnsi="Georgia" w:cs="Georgia"/>
                <w:sz w:val="20"/>
                <w:szCs w:val="20"/>
              </w:rPr>
              <w:t xml:space="preserve"> </w:t>
            </w:r>
            <w:r w:rsidR="00134BF1" w:rsidRPr="00105B94">
              <w:rPr>
                <w:rFonts w:ascii="Georgia" w:hAnsi="Georgia" w:cs="Georgia"/>
                <w:sz w:val="20"/>
                <w:szCs w:val="20"/>
              </w:rPr>
              <w:t xml:space="preserve">techninį projektą bei pasirašytą sutartį su privačiu partneriu, </w:t>
            </w:r>
            <w:r w:rsidRPr="00105B94">
              <w:rPr>
                <w:rFonts w:ascii="Georgia" w:hAnsi="Georgia" w:cs="Georgia"/>
                <w:sz w:val="20"/>
                <w:szCs w:val="20"/>
              </w:rPr>
              <w:t>Vilniuje bus renovuot</w:t>
            </w:r>
            <w:r w:rsidR="00134BF1" w:rsidRPr="00105B94">
              <w:rPr>
                <w:rFonts w:ascii="Georgia" w:hAnsi="Georgia" w:cs="Georgia"/>
                <w:sz w:val="20"/>
                <w:szCs w:val="20"/>
              </w:rPr>
              <w:t>a</w:t>
            </w:r>
            <w:r w:rsidRPr="00105B94">
              <w:rPr>
                <w:rFonts w:ascii="Georgia" w:hAnsi="Georgia" w:cs="Georgia"/>
                <w:sz w:val="20"/>
                <w:szCs w:val="20"/>
              </w:rPr>
              <w:t xml:space="preserve"> 44000 šviestuv</w:t>
            </w:r>
            <w:r w:rsidR="00134BF1" w:rsidRPr="00105B94">
              <w:rPr>
                <w:rFonts w:ascii="Georgia" w:hAnsi="Georgia" w:cs="Georgia"/>
                <w:sz w:val="20"/>
                <w:szCs w:val="20"/>
              </w:rPr>
              <w:t>ų</w:t>
            </w:r>
            <w:r w:rsidRPr="00105B94">
              <w:rPr>
                <w:rFonts w:ascii="Georgia" w:hAnsi="Georgia" w:cs="Georgia"/>
                <w:sz w:val="20"/>
                <w:szCs w:val="20"/>
              </w:rPr>
              <w:t xml:space="preserve"> už 31,28 mln. EUR (108 mln. Lt). Į vidutinę vieno šviestuvo modernizavimo kainą yra įskaičiuotos ir kitos reikalingos įrang</w:t>
            </w:r>
            <w:r w:rsidR="00134BF1" w:rsidRPr="00105B94">
              <w:rPr>
                <w:rFonts w:ascii="Georgia" w:hAnsi="Georgia" w:cs="Georgia"/>
                <w:sz w:val="20"/>
                <w:szCs w:val="20"/>
              </w:rPr>
              <w:t xml:space="preserve">os bei montavimo darbų išlaidos, tačiau neįskaičiuoti gatvių apšvietimo tinklo priežiūros ir valdymo kaštai sutarties laikotarpiu </w:t>
            </w:r>
          </w:p>
        </w:tc>
      </w:tr>
      <w:tr w:rsidR="0051289E" w14:paraId="4B2D078D" w14:textId="77777777" w:rsidTr="00DB1F2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1" w:type="pct"/>
          </w:tcPr>
          <w:p w14:paraId="3F0F131F" w14:textId="77777777" w:rsidR="0051289E" w:rsidRDefault="0051289E" w:rsidP="00A555CA">
            <w:pPr>
              <w:autoSpaceDE w:val="0"/>
              <w:autoSpaceDN w:val="0"/>
              <w:adjustRightInd w:val="0"/>
              <w:jc w:val="both"/>
              <w:rPr>
                <w:rFonts w:ascii="Georgia" w:hAnsi="Georgia" w:cs="Georgia"/>
                <w:sz w:val="20"/>
                <w:szCs w:val="20"/>
              </w:rPr>
            </w:pPr>
            <w:r>
              <w:rPr>
                <w:rFonts w:ascii="Georgia" w:hAnsi="Georgia" w:cs="Georgia"/>
                <w:sz w:val="20"/>
                <w:szCs w:val="20"/>
              </w:rPr>
              <w:t>3.</w:t>
            </w:r>
          </w:p>
        </w:tc>
        <w:tc>
          <w:tcPr>
            <w:tcW w:w="1751" w:type="pct"/>
          </w:tcPr>
          <w:p w14:paraId="405D5107" w14:textId="77777777" w:rsidR="0051289E" w:rsidRPr="00105B94" w:rsidRDefault="0051289E" w:rsidP="00A555C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105B94">
              <w:rPr>
                <w:rFonts w:ascii="Georgia" w:hAnsi="Georgia" w:cs="Georgia"/>
                <w:sz w:val="20"/>
                <w:szCs w:val="20"/>
              </w:rPr>
              <w:t>Gatvių apšvietimo tinklo modernizavimo paklausa, mln. EUR (mln. Lt)</w:t>
            </w:r>
          </w:p>
        </w:tc>
        <w:tc>
          <w:tcPr>
            <w:tcW w:w="660" w:type="pct"/>
          </w:tcPr>
          <w:p w14:paraId="56FA5182" w14:textId="77777777" w:rsidR="0051289E" w:rsidRPr="00105B94" w:rsidRDefault="00637EC8" w:rsidP="00637EC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4"/>
              </w:rPr>
            </w:pPr>
            <w:r w:rsidRPr="00105B94">
              <w:rPr>
                <w:rFonts w:ascii="Georgia" w:hAnsi="Georgia" w:cs="Georgia"/>
                <w:sz w:val="20"/>
                <w:szCs w:val="20"/>
              </w:rPr>
              <w:t>95</w:t>
            </w:r>
            <w:r w:rsidR="0051289E" w:rsidRPr="00105B94">
              <w:rPr>
                <w:rFonts w:ascii="Georgia" w:hAnsi="Georgia" w:cs="Georgia"/>
                <w:sz w:val="20"/>
                <w:szCs w:val="20"/>
              </w:rPr>
              <w:t>,</w:t>
            </w:r>
            <w:r w:rsidRPr="00105B94">
              <w:rPr>
                <w:rFonts w:ascii="Georgia" w:hAnsi="Georgia" w:cs="Georgia"/>
                <w:sz w:val="20"/>
                <w:szCs w:val="20"/>
              </w:rPr>
              <w:t>1</w:t>
            </w:r>
            <w:r w:rsidR="0051289E" w:rsidRPr="00105B94">
              <w:rPr>
                <w:rFonts w:ascii="Georgia" w:hAnsi="Georgia" w:cs="Georgia"/>
                <w:sz w:val="20"/>
                <w:szCs w:val="20"/>
              </w:rPr>
              <w:t xml:space="preserve"> (3</w:t>
            </w:r>
            <w:r w:rsidRPr="00105B94">
              <w:rPr>
                <w:rFonts w:ascii="Georgia" w:hAnsi="Georgia" w:cs="Georgia"/>
                <w:sz w:val="20"/>
                <w:szCs w:val="20"/>
              </w:rPr>
              <w:t>2</w:t>
            </w:r>
            <w:r w:rsidR="0051289E" w:rsidRPr="00105B94">
              <w:rPr>
                <w:rFonts w:ascii="Georgia" w:hAnsi="Georgia" w:cs="Georgia"/>
                <w:sz w:val="20"/>
                <w:szCs w:val="20"/>
              </w:rPr>
              <w:t>8</w:t>
            </w:r>
            <w:r w:rsidRPr="00105B94">
              <w:rPr>
                <w:rFonts w:ascii="Georgia" w:hAnsi="Georgia" w:cs="Georgia"/>
                <w:sz w:val="20"/>
                <w:szCs w:val="20"/>
              </w:rPr>
              <w:t>,7</w:t>
            </w:r>
            <w:r w:rsidR="0051289E" w:rsidRPr="00105B94">
              <w:rPr>
                <w:rFonts w:ascii="Georgia" w:hAnsi="Georgia" w:cs="Georgia"/>
                <w:sz w:val="20"/>
                <w:szCs w:val="20"/>
              </w:rPr>
              <w:t>)</w:t>
            </w:r>
            <w:r w:rsidR="0051289E" w:rsidRPr="00105B94">
              <w:rPr>
                <w:rFonts w:ascii="Georgia" w:hAnsi="Georgia"/>
                <w:bCs/>
                <w:sz w:val="20"/>
                <w:szCs w:val="24"/>
              </w:rPr>
              <w:t xml:space="preserve"> </w:t>
            </w:r>
          </w:p>
        </w:tc>
        <w:tc>
          <w:tcPr>
            <w:tcW w:w="2228" w:type="pct"/>
          </w:tcPr>
          <w:p w14:paraId="5C15CB81" w14:textId="77777777" w:rsidR="0051289E" w:rsidRPr="00105B94" w:rsidRDefault="00134BF1" w:rsidP="00134BF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105B94">
              <w:rPr>
                <w:rFonts w:ascii="Georgia" w:hAnsi="Georgia" w:cs="Georgia"/>
                <w:sz w:val="20"/>
                <w:szCs w:val="20"/>
              </w:rPr>
              <w:t>Daroma</w:t>
            </w:r>
            <w:r w:rsidR="0051289E" w:rsidRPr="00105B94">
              <w:rPr>
                <w:rFonts w:ascii="Georgia" w:hAnsi="Georgia" w:cs="Georgia"/>
                <w:sz w:val="20"/>
                <w:szCs w:val="20"/>
              </w:rPr>
              <w:t xml:space="preserve"> prielaidą, kad vidutinė vieno šviestuvo </w:t>
            </w:r>
            <w:r w:rsidRPr="00105B94">
              <w:rPr>
                <w:rFonts w:ascii="Georgia" w:hAnsi="Georgia" w:cs="Georgia"/>
                <w:sz w:val="20"/>
                <w:szCs w:val="20"/>
              </w:rPr>
              <w:t xml:space="preserve">renovacijos </w:t>
            </w:r>
            <w:r w:rsidR="0051289E" w:rsidRPr="00105B94">
              <w:rPr>
                <w:rFonts w:ascii="Georgia" w:hAnsi="Georgia" w:cs="Georgia"/>
                <w:sz w:val="20"/>
                <w:szCs w:val="20"/>
              </w:rPr>
              <w:t xml:space="preserve">kaina bus </w:t>
            </w:r>
            <w:r w:rsidRPr="00105B94">
              <w:rPr>
                <w:rFonts w:ascii="Georgia" w:hAnsi="Georgia" w:cs="Georgia"/>
                <w:sz w:val="20"/>
                <w:szCs w:val="20"/>
              </w:rPr>
              <w:t>tokia pati kaip Vilniaus gatvių apšvietimo projekte</w:t>
            </w:r>
          </w:p>
        </w:tc>
      </w:tr>
    </w:tbl>
    <w:p w14:paraId="19879773" w14:textId="77777777" w:rsidR="0051289E" w:rsidRDefault="0051289E" w:rsidP="0051289E">
      <w:pPr>
        <w:autoSpaceDE w:val="0"/>
        <w:autoSpaceDN w:val="0"/>
        <w:adjustRightInd w:val="0"/>
        <w:spacing w:after="0"/>
        <w:jc w:val="both"/>
        <w:rPr>
          <w:rFonts w:ascii="Georgia" w:hAnsi="Georgia" w:cs="Georgia"/>
          <w:sz w:val="20"/>
          <w:szCs w:val="20"/>
          <w:lang w:val="lt-LT"/>
        </w:rPr>
      </w:pPr>
    </w:p>
    <w:p w14:paraId="01C9C77C" w14:textId="77777777" w:rsidR="00380C4D" w:rsidRDefault="00353E18" w:rsidP="0051289E">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Remiantis 1</w:t>
      </w:r>
      <w:r w:rsidR="00DB1F27">
        <w:rPr>
          <w:rFonts w:ascii="Georgia" w:hAnsi="Georgia" w:cs="Georgia"/>
          <w:sz w:val="20"/>
          <w:szCs w:val="20"/>
          <w:lang w:val="lt-LT"/>
        </w:rPr>
        <w:t>6</w:t>
      </w:r>
      <w:r>
        <w:rPr>
          <w:rFonts w:ascii="Georgia" w:hAnsi="Georgia" w:cs="Georgia"/>
          <w:sz w:val="20"/>
          <w:szCs w:val="20"/>
          <w:lang w:val="lt-LT"/>
        </w:rPr>
        <w:t xml:space="preserve">-os lentelės duomenimis, įvertinta gatvių apšvietimo modernizavimo </w:t>
      </w:r>
      <w:r w:rsidR="00DB1F27">
        <w:rPr>
          <w:rFonts w:ascii="Georgia" w:hAnsi="Georgia" w:cs="Georgia"/>
          <w:sz w:val="20"/>
          <w:szCs w:val="20"/>
          <w:lang w:val="lt-LT"/>
        </w:rPr>
        <w:t xml:space="preserve">investicijų </w:t>
      </w:r>
      <w:r>
        <w:rPr>
          <w:rFonts w:ascii="Georgia" w:hAnsi="Georgia" w:cs="Georgia"/>
          <w:sz w:val="20"/>
          <w:szCs w:val="20"/>
          <w:lang w:val="lt-LT"/>
        </w:rPr>
        <w:t>paklausa siekia 3</w:t>
      </w:r>
      <w:r w:rsidR="00637EC8">
        <w:rPr>
          <w:rFonts w:ascii="Georgia" w:hAnsi="Georgia" w:cs="Georgia"/>
          <w:sz w:val="20"/>
          <w:szCs w:val="20"/>
          <w:lang w:val="lt-LT"/>
        </w:rPr>
        <w:t>29</w:t>
      </w:r>
      <w:r>
        <w:rPr>
          <w:rFonts w:ascii="Georgia" w:hAnsi="Georgia" w:cs="Georgia"/>
          <w:sz w:val="20"/>
          <w:szCs w:val="20"/>
          <w:lang w:val="lt-LT"/>
        </w:rPr>
        <w:t xml:space="preserve"> mln. litų (apie </w:t>
      </w:r>
      <w:r w:rsidR="00637EC8">
        <w:rPr>
          <w:rFonts w:ascii="Georgia" w:hAnsi="Georgia" w:cs="Georgia"/>
          <w:sz w:val="20"/>
          <w:szCs w:val="20"/>
          <w:lang w:val="lt-LT"/>
        </w:rPr>
        <w:t>95</w:t>
      </w:r>
      <w:r>
        <w:rPr>
          <w:rFonts w:ascii="Georgia" w:hAnsi="Georgia" w:cs="Georgia"/>
          <w:sz w:val="20"/>
          <w:szCs w:val="20"/>
          <w:lang w:val="lt-LT"/>
        </w:rPr>
        <w:t xml:space="preserve"> mln. eurų). 2014 m. rugsėjo mėn. iš Lietuvos savivaldybių asociacijos buvo gauta naujausia informacija dėl savivaldybių poreikio gatvių apš</w:t>
      </w:r>
      <w:r w:rsidR="00380C4D">
        <w:rPr>
          <w:rFonts w:ascii="Georgia" w:hAnsi="Georgia" w:cs="Georgia"/>
          <w:sz w:val="20"/>
          <w:szCs w:val="20"/>
          <w:lang w:val="lt-LT"/>
        </w:rPr>
        <w:t xml:space="preserve">vietimo modernizavimui. Informaciją pateikė 39 savivaldybės, iš kurių 3 nurodė, jog tikslus poreikis investicijoms bus žinomas vėlesniu etapu. </w:t>
      </w:r>
      <w:r w:rsidR="00F83739">
        <w:rPr>
          <w:rFonts w:ascii="Georgia" w:hAnsi="Georgia" w:cs="Georgia"/>
          <w:sz w:val="20"/>
          <w:szCs w:val="20"/>
          <w:lang w:val="lt-LT"/>
        </w:rPr>
        <w:t xml:space="preserve">Likusių 36 savivaldybių pateiktas poreikis investicijoms siekia 316,7 mln. litų. </w:t>
      </w:r>
      <w:r w:rsidR="00F83739">
        <w:rPr>
          <w:rFonts w:ascii="Georgia" w:hAnsi="Georgia" w:cs="Georgia"/>
          <w:sz w:val="20"/>
          <w:szCs w:val="20"/>
          <w:lang w:val="lt-LT"/>
        </w:rPr>
        <w:lastRenderedPageBreak/>
        <w:t xml:space="preserve">Atsižvelgiant į tai, kad dalis savivaldybių informacijos nepateikė, </w:t>
      </w:r>
      <w:r w:rsidR="00134BF1">
        <w:rPr>
          <w:rFonts w:ascii="Georgia" w:hAnsi="Georgia" w:cs="Georgia"/>
          <w:sz w:val="20"/>
          <w:szCs w:val="20"/>
          <w:lang w:val="lt-LT"/>
        </w:rPr>
        <w:t>tikėtina, kad aukščiau 1</w:t>
      </w:r>
      <w:r w:rsidR="00DB1F27">
        <w:rPr>
          <w:rFonts w:ascii="Georgia" w:hAnsi="Georgia" w:cs="Georgia"/>
          <w:sz w:val="20"/>
          <w:szCs w:val="20"/>
          <w:lang w:val="lt-LT"/>
        </w:rPr>
        <w:t>6</w:t>
      </w:r>
      <w:r w:rsidR="00134BF1">
        <w:rPr>
          <w:rFonts w:ascii="Georgia" w:hAnsi="Georgia" w:cs="Georgia"/>
          <w:sz w:val="20"/>
          <w:szCs w:val="20"/>
          <w:lang w:val="lt-LT"/>
        </w:rPr>
        <w:t>-oje lentelėje įvertintas poreikis 3</w:t>
      </w:r>
      <w:r w:rsidR="00637EC8">
        <w:rPr>
          <w:rFonts w:ascii="Georgia" w:hAnsi="Georgia" w:cs="Georgia"/>
          <w:sz w:val="20"/>
          <w:szCs w:val="20"/>
          <w:lang w:val="lt-LT"/>
        </w:rPr>
        <w:t>2</w:t>
      </w:r>
      <w:r w:rsidR="00134BF1">
        <w:rPr>
          <w:rFonts w:ascii="Georgia" w:hAnsi="Georgia" w:cs="Georgia"/>
          <w:sz w:val="20"/>
          <w:szCs w:val="20"/>
          <w:lang w:val="lt-LT"/>
        </w:rPr>
        <w:t xml:space="preserve">8 mln. litų atspindi </w:t>
      </w:r>
      <w:r w:rsidR="00637EC8">
        <w:rPr>
          <w:rFonts w:ascii="Georgia" w:hAnsi="Georgia" w:cs="Georgia"/>
          <w:sz w:val="20"/>
          <w:szCs w:val="20"/>
          <w:lang w:val="lt-LT"/>
        </w:rPr>
        <w:t>realią</w:t>
      </w:r>
      <w:r w:rsidR="00134BF1">
        <w:rPr>
          <w:rFonts w:ascii="Georgia" w:hAnsi="Georgia" w:cs="Georgia"/>
          <w:sz w:val="20"/>
          <w:szCs w:val="20"/>
          <w:lang w:val="lt-LT"/>
        </w:rPr>
        <w:t xml:space="preserve"> situaciją. </w:t>
      </w:r>
    </w:p>
    <w:p w14:paraId="34F69612" w14:textId="77777777" w:rsidR="003835E8" w:rsidRDefault="003835E8" w:rsidP="0051289E">
      <w:pPr>
        <w:autoSpaceDE w:val="0"/>
        <w:autoSpaceDN w:val="0"/>
        <w:adjustRightInd w:val="0"/>
        <w:spacing w:after="0"/>
        <w:jc w:val="both"/>
        <w:rPr>
          <w:rFonts w:ascii="Georgia" w:hAnsi="Georgia" w:cs="Georgia"/>
          <w:sz w:val="20"/>
          <w:szCs w:val="20"/>
          <w:lang w:val="lt-LT"/>
        </w:rPr>
      </w:pPr>
    </w:p>
    <w:p w14:paraId="72E808F4" w14:textId="77777777" w:rsidR="003835E8" w:rsidRDefault="003835E8" w:rsidP="0051289E">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Pagal savivaldybių pateiktus duomenis, </w:t>
      </w:r>
      <w:r w:rsidR="009167EA">
        <w:rPr>
          <w:rFonts w:ascii="Georgia" w:hAnsi="Georgia" w:cs="Georgia"/>
          <w:sz w:val="20"/>
          <w:szCs w:val="20"/>
          <w:lang w:val="lt-LT"/>
        </w:rPr>
        <w:t>didžiausią poreikį investicijoms gatvių apšvietimo modernizavimui nurodė Kauno miesto (56 mln. litų), Klaipėdos miesto (60 mln. litų), Šiaulių miesto (35 mln. litų), Panevėžio (15 mln. litų), Marijampolės (apie 18 mln. litų), Ukmergės (17,5 mln. litų) ir V</w:t>
      </w:r>
      <w:r w:rsidR="00C5226A">
        <w:rPr>
          <w:rFonts w:ascii="Georgia" w:hAnsi="Georgia" w:cs="Georgia"/>
          <w:sz w:val="20"/>
          <w:szCs w:val="20"/>
          <w:lang w:val="lt-LT"/>
        </w:rPr>
        <w:t>ilniaus rajono (11,2</w:t>
      </w:r>
      <w:r w:rsidR="009167EA">
        <w:rPr>
          <w:rFonts w:ascii="Georgia" w:hAnsi="Georgia" w:cs="Georgia"/>
          <w:sz w:val="20"/>
          <w:szCs w:val="20"/>
          <w:lang w:val="lt-LT"/>
        </w:rPr>
        <w:t xml:space="preserve"> mln. litų) savivaldybės. </w:t>
      </w:r>
      <w:r w:rsidR="00637EC8">
        <w:rPr>
          <w:rFonts w:ascii="Georgia" w:hAnsi="Georgia" w:cs="Georgia"/>
          <w:sz w:val="20"/>
          <w:szCs w:val="20"/>
          <w:lang w:val="lt-LT"/>
        </w:rPr>
        <w:t>Detali informacija apie savivaldybių poreikį gatvių apšvi</w:t>
      </w:r>
      <w:r w:rsidR="00105B94">
        <w:rPr>
          <w:rFonts w:ascii="Georgia" w:hAnsi="Georgia" w:cs="Georgia"/>
          <w:sz w:val="20"/>
          <w:szCs w:val="20"/>
          <w:lang w:val="lt-LT"/>
        </w:rPr>
        <w:t xml:space="preserve">etimo modernizavimui pateikta </w:t>
      </w:r>
      <w:r w:rsidR="00FC2E80">
        <w:rPr>
          <w:rFonts w:ascii="Georgia" w:hAnsi="Georgia" w:cs="Georgia"/>
          <w:sz w:val="20"/>
          <w:szCs w:val="20"/>
          <w:lang w:val="lt-LT"/>
        </w:rPr>
        <w:t>8</w:t>
      </w:r>
      <w:r w:rsidR="00105B94">
        <w:rPr>
          <w:rFonts w:ascii="Georgia" w:hAnsi="Georgia" w:cs="Georgia"/>
          <w:sz w:val="20"/>
          <w:szCs w:val="20"/>
          <w:lang w:val="lt-LT"/>
        </w:rPr>
        <w:t>-ame</w:t>
      </w:r>
      <w:r w:rsidR="00637EC8">
        <w:rPr>
          <w:rFonts w:ascii="Georgia" w:hAnsi="Georgia" w:cs="Georgia"/>
          <w:sz w:val="20"/>
          <w:szCs w:val="20"/>
          <w:lang w:val="lt-LT"/>
        </w:rPr>
        <w:t xml:space="preserve"> priede. </w:t>
      </w:r>
    </w:p>
    <w:p w14:paraId="4AAC765F" w14:textId="77777777" w:rsidR="00134BF1" w:rsidRDefault="00134BF1"/>
    <w:p w14:paraId="5545EC8F" w14:textId="77777777" w:rsidR="00134BF1" w:rsidRPr="00E953B8" w:rsidRDefault="00134BF1" w:rsidP="002A576D">
      <w:pPr>
        <w:pStyle w:val="Antrat2"/>
        <w:numPr>
          <w:ilvl w:val="3"/>
          <w:numId w:val="69"/>
        </w:numPr>
        <w:rPr>
          <w:lang w:val="lt-LT"/>
        </w:rPr>
      </w:pPr>
      <w:bookmarkStart w:id="57" w:name="_Toc417378373"/>
      <w:r w:rsidRPr="00724C3C">
        <w:rPr>
          <w:lang w:val="lt-LT"/>
        </w:rPr>
        <w:t>Investicijų paklausos duomenys</w:t>
      </w:r>
      <w:bookmarkEnd w:id="57"/>
    </w:p>
    <w:p w14:paraId="7690FFD0" w14:textId="77777777" w:rsidR="00134BF1" w:rsidRDefault="00134BF1" w:rsidP="00134BF1">
      <w:pPr>
        <w:autoSpaceDE w:val="0"/>
        <w:autoSpaceDN w:val="0"/>
        <w:adjustRightInd w:val="0"/>
        <w:spacing w:after="0"/>
        <w:jc w:val="both"/>
        <w:rPr>
          <w:rFonts w:ascii="Georgia" w:hAnsi="Georgia" w:cs="Georgia"/>
          <w:sz w:val="20"/>
          <w:szCs w:val="20"/>
          <w:lang w:val="lt-LT"/>
        </w:rPr>
      </w:pPr>
    </w:p>
    <w:p w14:paraId="33B2D4E9" w14:textId="77777777" w:rsidR="00134BF1" w:rsidRDefault="00BD4DEA" w:rsidP="00134BF1">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Sekančioje</w:t>
      </w:r>
      <w:r w:rsidR="000B28FE">
        <w:rPr>
          <w:rFonts w:ascii="Georgia" w:hAnsi="Georgia" w:cs="Georgia"/>
          <w:sz w:val="20"/>
          <w:szCs w:val="20"/>
          <w:lang w:val="lt-LT"/>
        </w:rPr>
        <w:t xml:space="preserve"> lentelėje</w:t>
      </w:r>
      <w:r w:rsidR="00134BF1">
        <w:rPr>
          <w:rFonts w:ascii="Georgia" w:hAnsi="Georgia" w:cs="Georgia"/>
          <w:sz w:val="20"/>
          <w:szCs w:val="20"/>
          <w:lang w:val="lt-LT"/>
        </w:rPr>
        <w:t xml:space="preserve"> pateiktas 2.2 skyriuje pateiktos informacijos apibendrinimas apie investicijų paklausą visoms nagrinėtoms sritims.</w:t>
      </w:r>
    </w:p>
    <w:p w14:paraId="6E9EBC58" w14:textId="77777777" w:rsidR="00134BF1" w:rsidRDefault="00134BF1" w:rsidP="00134BF1">
      <w:pPr>
        <w:autoSpaceDE w:val="0"/>
        <w:autoSpaceDN w:val="0"/>
        <w:adjustRightInd w:val="0"/>
        <w:spacing w:after="0"/>
        <w:jc w:val="both"/>
        <w:rPr>
          <w:rFonts w:ascii="Georgia" w:hAnsi="Georgia" w:cs="Georgia"/>
          <w:sz w:val="20"/>
          <w:szCs w:val="20"/>
          <w:lang w:val="lt-LT"/>
        </w:rPr>
      </w:pPr>
    </w:p>
    <w:p w14:paraId="5AAC63AB" w14:textId="74A868DE" w:rsidR="00134BF1" w:rsidRPr="008B7585" w:rsidRDefault="00134BF1" w:rsidP="00134BF1">
      <w:pPr>
        <w:pStyle w:val="Antrat"/>
        <w:rPr>
          <w:szCs w:val="20"/>
          <w:lang w:val="lt-LT"/>
        </w:rPr>
      </w:pPr>
      <w:bookmarkStart w:id="58" w:name="_Ref399586420"/>
      <w:bookmarkStart w:id="59" w:name="_Ref399856989"/>
      <w:bookmarkStart w:id="60" w:name="_Toc460321598"/>
      <w:r w:rsidRPr="00E953B8">
        <w:rPr>
          <w:lang w:val="lt-LT"/>
        </w:rPr>
        <w:t xml:space="preserve">Lentelė </w:t>
      </w:r>
      <w:r w:rsidRPr="00E953B8">
        <w:rPr>
          <w:lang w:val="lt-LT"/>
        </w:rPr>
        <w:fldChar w:fldCharType="begin"/>
      </w:r>
      <w:r w:rsidRPr="00E953B8">
        <w:rPr>
          <w:lang w:val="lt-LT"/>
        </w:rPr>
        <w:instrText xml:space="preserve"> SEQ Lentelė \* ARABIC </w:instrText>
      </w:r>
      <w:r w:rsidRPr="00E953B8">
        <w:rPr>
          <w:lang w:val="lt-LT"/>
        </w:rPr>
        <w:fldChar w:fldCharType="separate"/>
      </w:r>
      <w:r w:rsidR="00AA3082">
        <w:rPr>
          <w:noProof/>
          <w:lang w:val="lt-LT"/>
        </w:rPr>
        <w:t>17</w:t>
      </w:r>
      <w:r w:rsidRPr="00E953B8">
        <w:rPr>
          <w:lang w:val="lt-LT"/>
        </w:rPr>
        <w:fldChar w:fldCharType="end"/>
      </w:r>
      <w:bookmarkEnd w:id="58"/>
      <w:r w:rsidRPr="00E953B8">
        <w:rPr>
          <w:lang w:val="lt-LT"/>
        </w:rPr>
        <w:t xml:space="preserve">. </w:t>
      </w:r>
      <w:r w:rsidRPr="001639E1">
        <w:rPr>
          <w:szCs w:val="20"/>
          <w:lang w:val="lt-LT"/>
        </w:rPr>
        <w:t>Investicijų paklausos duomenys.</w:t>
      </w:r>
      <w:bookmarkEnd w:id="59"/>
      <w:bookmarkEnd w:id="60"/>
    </w:p>
    <w:tbl>
      <w:tblPr>
        <w:tblStyle w:val="viesussraas2parykinimas"/>
        <w:tblW w:w="5000" w:type="pct"/>
        <w:tblLook w:val="04A0" w:firstRow="1" w:lastRow="0" w:firstColumn="1" w:lastColumn="0" w:noHBand="0" w:noVBand="1"/>
      </w:tblPr>
      <w:tblGrid>
        <w:gridCol w:w="4621"/>
        <w:gridCol w:w="4621"/>
      </w:tblGrid>
      <w:tr w:rsidR="00134BF1" w:rsidRPr="00714494" w14:paraId="0E579629" w14:textId="77777777" w:rsidTr="000A566C">
        <w:trPr>
          <w:cnfStyle w:val="100000000000" w:firstRow="1" w:lastRow="0" w:firstColumn="0" w:lastColumn="0" w:oddVBand="0" w:evenVBand="0" w:oddHBand="0" w:evenHBand="0" w:firstRowFirstColumn="0" w:firstRowLastColumn="0" w:lastRowFirstColumn="0" w:lastRowLastColumn="0"/>
          <w:trHeight w:val="378"/>
          <w:tblHeader/>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22787FF3" w14:textId="77777777" w:rsidR="00134BF1" w:rsidRPr="00714494" w:rsidRDefault="00134BF1" w:rsidP="009167EA">
            <w:pPr>
              <w:jc w:val="center"/>
            </w:pPr>
            <w:r w:rsidRPr="00714494">
              <w:rPr>
                <w:rFonts w:ascii="Georgia" w:hAnsi="Georgia"/>
                <w:sz w:val="20"/>
                <w:szCs w:val="20"/>
              </w:rPr>
              <w:t>Infrastruktūros tipas</w:t>
            </w:r>
          </w:p>
        </w:tc>
        <w:tc>
          <w:tcPr>
            <w:tcW w:w="2500" w:type="pct"/>
            <w:vAlign w:val="center"/>
          </w:tcPr>
          <w:p w14:paraId="03D1452E" w14:textId="77777777" w:rsidR="00134BF1" w:rsidRPr="00714494" w:rsidRDefault="00134BF1" w:rsidP="009167EA">
            <w:pPr>
              <w:jc w:val="center"/>
              <w:cnfStyle w:val="100000000000" w:firstRow="1" w:lastRow="0" w:firstColumn="0" w:lastColumn="0" w:oddVBand="0" w:evenVBand="0" w:oddHBand="0" w:evenHBand="0" w:firstRowFirstColumn="0" w:firstRowLastColumn="0" w:lastRowFirstColumn="0" w:lastRowLastColumn="0"/>
            </w:pPr>
            <w:r w:rsidRPr="00714494">
              <w:rPr>
                <w:rFonts w:ascii="Georgia" w:hAnsi="Georgia"/>
                <w:sz w:val="20"/>
                <w:szCs w:val="20"/>
              </w:rPr>
              <w:t>Investicijų paklausa, mln. EUR (mln. LTL)</w:t>
            </w:r>
          </w:p>
        </w:tc>
      </w:tr>
      <w:tr w:rsidR="00134BF1" w:rsidRPr="008B7585" w14:paraId="06E9760A" w14:textId="77777777" w:rsidTr="000A566C">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512848F5" w14:textId="77777777" w:rsidR="00134BF1" w:rsidRPr="008B7585" w:rsidRDefault="009167EA" w:rsidP="00714494">
            <w:r>
              <w:rPr>
                <w:rFonts w:ascii="Georgia" w:hAnsi="Georgia"/>
                <w:b w:val="0"/>
                <w:sz w:val="20"/>
                <w:szCs w:val="20"/>
              </w:rPr>
              <w:t>Centrinės valdžios</w:t>
            </w:r>
            <w:r w:rsidR="00134BF1" w:rsidRPr="008B7585">
              <w:rPr>
                <w:rFonts w:ascii="Georgia" w:hAnsi="Georgia"/>
                <w:b w:val="0"/>
                <w:sz w:val="20"/>
                <w:szCs w:val="20"/>
              </w:rPr>
              <w:t xml:space="preserve"> pastatų </w:t>
            </w:r>
            <w:r>
              <w:rPr>
                <w:rFonts w:ascii="Georgia" w:hAnsi="Georgia"/>
                <w:b w:val="0"/>
                <w:sz w:val="20"/>
                <w:szCs w:val="20"/>
              </w:rPr>
              <w:t>modernizavimas</w:t>
            </w:r>
          </w:p>
        </w:tc>
        <w:tc>
          <w:tcPr>
            <w:tcW w:w="2500" w:type="pct"/>
            <w:vAlign w:val="center"/>
          </w:tcPr>
          <w:p w14:paraId="1183C356" w14:textId="77777777" w:rsidR="00134BF1" w:rsidRPr="00320E9D" w:rsidRDefault="00134BF1" w:rsidP="009167EA">
            <w:pPr>
              <w:jc w:val="center"/>
              <w:cnfStyle w:val="000000100000" w:firstRow="0" w:lastRow="0" w:firstColumn="0" w:lastColumn="0" w:oddVBand="0" w:evenVBand="0" w:oddHBand="1" w:evenHBand="0" w:firstRowFirstColumn="0" w:firstRowLastColumn="0" w:lastRowFirstColumn="0" w:lastRowLastColumn="0"/>
            </w:pPr>
            <w:r w:rsidRPr="00320E9D">
              <w:rPr>
                <w:rFonts w:ascii="Georgia" w:hAnsi="Georgia" w:cs="Georgia"/>
                <w:sz w:val="20"/>
                <w:szCs w:val="20"/>
              </w:rPr>
              <w:t>169,7 (585,9)</w:t>
            </w:r>
          </w:p>
        </w:tc>
      </w:tr>
      <w:tr w:rsidR="00134BF1" w:rsidRPr="008B7585" w14:paraId="5332E6B3" w14:textId="77777777" w:rsidTr="000A566C">
        <w:trPr>
          <w:trHeight w:val="378"/>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45620F29" w14:textId="77777777" w:rsidR="00134BF1" w:rsidRPr="008B7585" w:rsidRDefault="00134BF1" w:rsidP="00714494">
            <w:r w:rsidRPr="008B7585">
              <w:rPr>
                <w:rFonts w:ascii="Georgia" w:hAnsi="Georgia"/>
                <w:b w:val="0"/>
                <w:sz w:val="20"/>
                <w:szCs w:val="20"/>
              </w:rPr>
              <w:t>Savivaldyb</w:t>
            </w:r>
            <w:r w:rsidR="009167EA">
              <w:rPr>
                <w:rFonts w:ascii="Georgia" w:hAnsi="Georgia"/>
                <w:b w:val="0"/>
                <w:sz w:val="20"/>
                <w:szCs w:val="20"/>
              </w:rPr>
              <w:t>ių</w:t>
            </w:r>
            <w:r w:rsidRPr="008B7585">
              <w:rPr>
                <w:rFonts w:ascii="Georgia" w:hAnsi="Georgia"/>
                <w:b w:val="0"/>
                <w:sz w:val="20"/>
                <w:szCs w:val="20"/>
              </w:rPr>
              <w:t xml:space="preserve"> viešųjų pastatų </w:t>
            </w:r>
            <w:r w:rsidR="009167EA">
              <w:rPr>
                <w:rFonts w:ascii="Georgia" w:hAnsi="Georgia"/>
                <w:b w:val="0"/>
                <w:sz w:val="20"/>
                <w:szCs w:val="20"/>
              </w:rPr>
              <w:t>modernizavimas</w:t>
            </w:r>
          </w:p>
        </w:tc>
        <w:tc>
          <w:tcPr>
            <w:tcW w:w="2500" w:type="pct"/>
            <w:vAlign w:val="center"/>
          </w:tcPr>
          <w:p w14:paraId="5DEC7434" w14:textId="77777777" w:rsidR="00134BF1" w:rsidRPr="00320E9D" w:rsidRDefault="00134BF1" w:rsidP="009167EA">
            <w:pPr>
              <w:jc w:val="center"/>
              <w:cnfStyle w:val="000000000000" w:firstRow="0" w:lastRow="0" w:firstColumn="0" w:lastColumn="0" w:oddVBand="0" w:evenVBand="0" w:oddHBand="0" w:evenHBand="0" w:firstRowFirstColumn="0" w:firstRowLastColumn="0" w:lastRowFirstColumn="0" w:lastRowLastColumn="0"/>
            </w:pPr>
            <w:r w:rsidRPr="00320E9D">
              <w:rPr>
                <w:rFonts w:ascii="Georgia" w:hAnsi="Georgia" w:cs="Georgia"/>
                <w:sz w:val="20"/>
                <w:szCs w:val="20"/>
              </w:rPr>
              <w:t>234,6 (809,9)</w:t>
            </w:r>
          </w:p>
        </w:tc>
      </w:tr>
      <w:tr w:rsidR="00134BF1" w:rsidRPr="008B7585" w14:paraId="005B905D" w14:textId="77777777" w:rsidTr="000A566C">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62C94BE0" w14:textId="77777777" w:rsidR="00134BF1" w:rsidRPr="008B7585" w:rsidRDefault="00134BF1" w:rsidP="00714494">
            <w:r w:rsidRPr="008B7585">
              <w:rPr>
                <w:rFonts w:ascii="Georgia" w:hAnsi="Georgia"/>
                <w:b w:val="0"/>
                <w:sz w:val="20"/>
                <w:szCs w:val="20"/>
              </w:rPr>
              <w:t xml:space="preserve">Daugiabučių </w:t>
            </w:r>
            <w:r w:rsidR="009167EA">
              <w:rPr>
                <w:rFonts w:ascii="Georgia" w:hAnsi="Georgia"/>
                <w:b w:val="0"/>
                <w:sz w:val="20"/>
                <w:szCs w:val="20"/>
              </w:rPr>
              <w:t>modernizavimas</w:t>
            </w:r>
          </w:p>
        </w:tc>
        <w:tc>
          <w:tcPr>
            <w:tcW w:w="2500" w:type="pct"/>
            <w:vAlign w:val="center"/>
          </w:tcPr>
          <w:p w14:paraId="5F70AAF6" w14:textId="77777777" w:rsidR="00134BF1" w:rsidRPr="008B7585" w:rsidRDefault="00134BF1" w:rsidP="009167EA">
            <w:pPr>
              <w:jc w:val="center"/>
              <w:cnfStyle w:val="000000100000" w:firstRow="0" w:lastRow="0" w:firstColumn="0" w:lastColumn="0" w:oddVBand="0" w:evenVBand="0" w:oddHBand="1" w:evenHBand="0" w:firstRowFirstColumn="0" w:firstRowLastColumn="0" w:lastRowFirstColumn="0" w:lastRowLastColumn="0"/>
            </w:pPr>
            <w:r w:rsidRPr="008B7585">
              <w:rPr>
                <w:rFonts w:ascii="Georgia" w:hAnsi="Georgia" w:cs="Georgia"/>
                <w:sz w:val="20"/>
                <w:szCs w:val="20"/>
              </w:rPr>
              <w:t>1347,3 (4651,8)</w:t>
            </w:r>
          </w:p>
        </w:tc>
      </w:tr>
      <w:tr w:rsidR="00134BF1" w:rsidRPr="008B7585" w14:paraId="2C73DEAE" w14:textId="77777777" w:rsidTr="000A566C">
        <w:trPr>
          <w:trHeight w:val="395"/>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53BDEFF7" w14:textId="77777777" w:rsidR="00134BF1" w:rsidRPr="008B7585" w:rsidRDefault="00134BF1" w:rsidP="00714494">
            <w:r w:rsidRPr="008B7585">
              <w:rPr>
                <w:rFonts w:ascii="Georgia" w:hAnsi="Georgia"/>
                <w:b w:val="0"/>
                <w:sz w:val="20"/>
                <w:szCs w:val="20"/>
              </w:rPr>
              <w:t xml:space="preserve">Gatvių apšvietimo </w:t>
            </w:r>
            <w:r w:rsidR="009167EA">
              <w:rPr>
                <w:rFonts w:ascii="Georgia" w:hAnsi="Georgia"/>
                <w:b w:val="0"/>
                <w:sz w:val="20"/>
                <w:szCs w:val="20"/>
              </w:rPr>
              <w:t>modernizavimas</w:t>
            </w:r>
          </w:p>
        </w:tc>
        <w:tc>
          <w:tcPr>
            <w:tcW w:w="2500" w:type="pct"/>
            <w:vAlign w:val="center"/>
          </w:tcPr>
          <w:p w14:paraId="38ABA8B4" w14:textId="77777777" w:rsidR="00134BF1" w:rsidRPr="008B7585" w:rsidRDefault="00AE1EF0" w:rsidP="009167EA">
            <w:pPr>
              <w:jc w:val="center"/>
              <w:cnfStyle w:val="000000000000" w:firstRow="0" w:lastRow="0" w:firstColumn="0" w:lastColumn="0" w:oddVBand="0" w:evenVBand="0" w:oddHBand="0" w:evenHBand="0" w:firstRowFirstColumn="0" w:firstRowLastColumn="0" w:lastRowFirstColumn="0" w:lastRowLastColumn="0"/>
            </w:pPr>
            <w:r>
              <w:rPr>
                <w:rFonts w:ascii="Georgia" w:hAnsi="Georgia"/>
                <w:sz w:val="20"/>
                <w:szCs w:val="20"/>
              </w:rPr>
              <w:t>95,1 (328,7)</w:t>
            </w:r>
          </w:p>
        </w:tc>
      </w:tr>
    </w:tbl>
    <w:p w14:paraId="74327227" w14:textId="77777777" w:rsidR="003372A3" w:rsidRDefault="003372A3" w:rsidP="00134BF1">
      <w:pPr>
        <w:autoSpaceDE w:val="0"/>
        <w:autoSpaceDN w:val="0"/>
        <w:adjustRightInd w:val="0"/>
        <w:spacing w:after="0"/>
        <w:jc w:val="both"/>
        <w:rPr>
          <w:rFonts w:cs="Georgia"/>
          <w:szCs w:val="20"/>
          <w:lang w:val="lt-LT"/>
        </w:rPr>
      </w:pPr>
    </w:p>
    <w:p w14:paraId="4E52442B" w14:textId="77777777" w:rsidR="003372A3" w:rsidRDefault="003372A3">
      <w:pPr>
        <w:rPr>
          <w:rFonts w:cs="Georgia"/>
          <w:szCs w:val="20"/>
          <w:lang w:val="lt-LT"/>
        </w:rPr>
      </w:pPr>
      <w:r>
        <w:rPr>
          <w:rFonts w:cs="Georgia"/>
          <w:szCs w:val="20"/>
          <w:lang w:val="lt-LT"/>
        </w:rPr>
        <w:br w:type="page"/>
      </w:r>
    </w:p>
    <w:p w14:paraId="450E0528" w14:textId="77777777" w:rsidR="00134BF1" w:rsidRPr="00BE7164" w:rsidRDefault="00134BF1" w:rsidP="00134BF1">
      <w:pPr>
        <w:autoSpaceDE w:val="0"/>
        <w:autoSpaceDN w:val="0"/>
        <w:adjustRightInd w:val="0"/>
        <w:spacing w:after="0"/>
        <w:jc w:val="both"/>
        <w:rPr>
          <w:rFonts w:cs="Georgia"/>
          <w:szCs w:val="20"/>
          <w:lang w:val="lt-LT"/>
        </w:rPr>
      </w:pPr>
    </w:p>
    <w:p w14:paraId="45E899B6" w14:textId="77777777" w:rsidR="00336C16" w:rsidRDefault="00336C16" w:rsidP="00C03122">
      <w:pPr>
        <w:pStyle w:val="Antrat2"/>
        <w:numPr>
          <w:ilvl w:val="2"/>
          <w:numId w:val="36"/>
        </w:numPr>
        <w:spacing w:after="240"/>
        <w:rPr>
          <w:lang w:val="lt-LT"/>
        </w:rPr>
      </w:pPr>
      <w:bookmarkStart w:id="61" w:name="_Toc417378374"/>
      <w:r>
        <w:rPr>
          <w:lang w:val="lt-LT"/>
        </w:rPr>
        <w:t>Investicijų pasiūlos analizė</w:t>
      </w:r>
      <w:bookmarkEnd w:id="61"/>
    </w:p>
    <w:p w14:paraId="075DAE37" w14:textId="77777777"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Energijos efektyvumo projektai pastaruoju metu tampa itin populiarūs dėl kelių priežasčių. Pirmiausia, energijos efektyvumas įvairiuose sektoriuose yra valstybių narių strateginis tikslas – visos šalys narės turi strateginius tikslus įgyvendinti bent jau Energijos efektyvumo direktyvos keliamus reikalavimus, o kai kurios šalys turi ir dar didesnius siekius. Antra, energijos efektyvumo projektai turi aiškų investicijų atsipirkimo šaltinį – energijos kaštų sutaupymus, iš kurių yra padengiamos investicijos. Trečia, pradeda augti energijos efektyvumo projektų rinka, atsiranda gerųjų ir blogųjų projektų pavyzdžių, kuriama ir tobulinama teisinė bazė, siekiama pritraukti privatų kapitalą tokio pobūdžio projektų finansavimui, skatinama Energetinių paslaugų tiekėjų </w:t>
      </w:r>
      <w:r>
        <w:rPr>
          <w:rFonts w:ascii="Georgia" w:hAnsi="Georgia" w:cs="Georgia"/>
          <w:i/>
          <w:sz w:val="20"/>
          <w:szCs w:val="20"/>
          <w:lang w:val="lt-LT"/>
        </w:rPr>
        <w:t>ESCO</w:t>
      </w:r>
      <w:r>
        <w:rPr>
          <w:rFonts w:ascii="Georgia" w:hAnsi="Georgia" w:cs="Georgia"/>
          <w:sz w:val="20"/>
          <w:szCs w:val="20"/>
          <w:lang w:val="lt-LT"/>
        </w:rPr>
        <w:t xml:space="preserve"> rinka. Dėl šių priežasčių atsiranda didesnis suinteresuotumas iš įvairių finansavimo teikėjų finansuoti tokius projektus.</w:t>
      </w:r>
    </w:p>
    <w:p w14:paraId="2FF13851" w14:textId="77777777"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Finansavimo šaltinių analizė yra ex ante vertinimo dalis, kuri yra būtina siekiant įvertinti, koks yra sektoriaus investicijų trūkumas. Finansavimo šaltinių analizė apima dvi dalis – egzistuojantį finansavimą energijos efektyvumo projektams bei potencialų 2014-2020 m. finansavimą. 2014-2020 m. finansavimo šaltinių analizėje apžvelgiami šie finansavimo šaltiniai: komercinių bankų, veikiančių Lietuvoje, finansavimas; tarptautinių finansų institucijų finansavimas; ESI fondų finansavimas; kitos lėšos, kurios gali būti skiriamos energijos efektyvumo projektams iš įvairių Lietuvos ar </w:t>
      </w:r>
      <w:r w:rsidR="00CF0EE5">
        <w:rPr>
          <w:rFonts w:ascii="Georgia" w:hAnsi="Georgia" w:cs="Georgia"/>
          <w:sz w:val="20"/>
          <w:szCs w:val="20"/>
          <w:lang w:val="lt-LT"/>
        </w:rPr>
        <w:t>ES</w:t>
      </w:r>
      <w:r>
        <w:rPr>
          <w:rFonts w:ascii="Georgia" w:hAnsi="Georgia" w:cs="Georgia"/>
          <w:sz w:val="20"/>
          <w:szCs w:val="20"/>
          <w:lang w:val="lt-LT"/>
        </w:rPr>
        <w:t xml:space="preserve"> programų. </w:t>
      </w:r>
    </w:p>
    <w:p w14:paraId="540A4814" w14:textId="77777777" w:rsidR="00336C16" w:rsidRDefault="00336C16" w:rsidP="00C03122">
      <w:pPr>
        <w:pStyle w:val="Antrat2"/>
        <w:numPr>
          <w:ilvl w:val="3"/>
          <w:numId w:val="36"/>
        </w:numPr>
        <w:spacing w:after="240"/>
        <w:rPr>
          <w:lang w:val="lt-LT"/>
        </w:rPr>
      </w:pPr>
      <w:bookmarkStart w:id="62" w:name="_Toc417378375"/>
      <w:r>
        <w:rPr>
          <w:lang w:val="lt-LT"/>
        </w:rPr>
        <w:t>Dabartinis projektų finansavimas</w:t>
      </w:r>
      <w:bookmarkEnd w:id="62"/>
    </w:p>
    <w:p w14:paraId="297BFA23" w14:textId="77777777" w:rsidR="00336C16" w:rsidRDefault="00CF0EE5"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Šiame skyriuje yra remiamasi PwC studija, kurioje buvo aptartas </w:t>
      </w:r>
      <w:r w:rsidR="00336C16">
        <w:rPr>
          <w:rFonts w:ascii="Georgia" w:hAnsi="Georgia" w:cs="Georgia"/>
          <w:sz w:val="20"/>
          <w:szCs w:val="20"/>
          <w:lang w:val="lt-LT"/>
        </w:rPr>
        <w:t>daugiabučių, viešųjų pastatų ir gatvių apšvietimo</w:t>
      </w:r>
      <w:r>
        <w:rPr>
          <w:rFonts w:ascii="Georgia" w:hAnsi="Georgia" w:cs="Georgia"/>
          <w:sz w:val="20"/>
          <w:szCs w:val="20"/>
          <w:lang w:val="lt-LT"/>
        </w:rPr>
        <w:t xml:space="preserve"> modernizavimo projektų finansavimas</w:t>
      </w:r>
      <w:r w:rsidR="00336C16">
        <w:rPr>
          <w:rFonts w:ascii="Georgia" w:hAnsi="Georgia" w:cs="Georgia"/>
          <w:sz w:val="20"/>
          <w:szCs w:val="20"/>
          <w:lang w:val="lt-LT"/>
        </w:rPr>
        <w:t>.</w:t>
      </w:r>
      <w:r w:rsidR="00A2090D">
        <w:rPr>
          <w:rFonts w:ascii="Georgia" w:hAnsi="Georgia" w:cs="Georgia"/>
          <w:sz w:val="20"/>
          <w:szCs w:val="20"/>
          <w:lang w:val="lt-LT"/>
        </w:rPr>
        <w:t xml:space="preserve"> Pažymėtina, jog siekiant atspindėti dabartinę aktualią finansavimo situaciją šioje dalyje yra aptariamas tik 2007-2013 m. periodo finansavimas, nors energijos efektyvumo sritys buvo finansuojamos ir anksčiau. </w:t>
      </w:r>
    </w:p>
    <w:p w14:paraId="1437E683" w14:textId="77777777" w:rsidR="00336C16" w:rsidRPr="00FA5E7B" w:rsidRDefault="00336C16" w:rsidP="00336C16">
      <w:pPr>
        <w:pStyle w:val="Pagrindinistekstas"/>
        <w:rPr>
          <w:i/>
          <w:sz w:val="24"/>
          <w:lang w:val="lt-LT"/>
        </w:rPr>
      </w:pPr>
      <w:r w:rsidRPr="00FA5E7B">
        <w:rPr>
          <w:i/>
          <w:sz w:val="24"/>
          <w:lang w:val="lt-LT"/>
        </w:rPr>
        <w:t>Daugiabučių modernizavimo projektų finansavimas</w:t>
      </w:r>
    </w:p>
    <w:p w14:paraId="3F92E23E" w14:textId="77777777" w:rsidR="00336C16" w:rsidRDefault="00343038"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Vienas iš d</w:t>
      </w:r>
      <w:r w:rsidR="00336C16">
        <w:rPr>
          <w:rFonts w:ascii="Georgia" w:hAnsi="Georgia" w:cs="Georgia"/>
          <w:sz w:val="20"/>
          <w:szCs w:val="20"/>
          <w:lang w:val="lt-LT"/>
        </w:rPr>
        <w:t>augiabučių namų modernizavimo projektų finansavimo šaltini</w:t>
      </w:r>
      <w:r>
        <w:rPr>
          <w:rFonts w:ascii="Georgia" w:hAnsi="Georgia" w:cs="Georgia"/>
          <w:sz w:val="20"/>
          <w:szCs w:val="20"/>
          <w:lang w:val="lt-LT"/>
        </w:rPr>
        <w:t>ų</w:t>
      </w:r>
      <w:r w:rsidR="00336C16">
        <w:rPr>
          <w:rFonts w:ascii="Georgia" w:hAnsi="Georgia" w:cs="Georgia"/>
          <w:sz w:val="20"/>
          <w:szCs w:val="20"/>
          <w:lang w:val="lt-LT"/>
        </w:rPr>
        <w:t xml:space="preserve"> </w:t>
      </w:r>
      <w:r>
        <w:rPr>
          <w:rFonts w:ascii="Georgia" w:hAnsi="Georgia" w:cs="Georgia"/>
          <w:sz w:val="20"/>
          <w:szCs w:val="20"/>
          <w:lang w:val="lt-LT"/>
        </w:rPr>
        <w:t xml:space="preserve">yra </w:t>
      </w:r>
      <w:r w:rsidR="00336C16">
        <w:rPr>
          <w:rFonts w:ascii="Georgia" w:hAnsi="Georgia" w:cs="Georgia"/>
          <w:sz w:val="20"/>
          <w:szCs w:val="20"/>
          <w:lang w:val="lt-LT"/>
        </w:rPr>
        <w:t xml:space="preserve">JESSICA </w:t>
      </w:r>
      <w:r>
        <w:rPr>
          <w:rFonts w:ascii="Georgia" w:hAnsi="Georgia" w:cs="Georgia"/>
          <w:sz w:val="20"/>
          <w:szCs w:val="20"/>
          <w:lang w:val="lt-LT"/>
        </w:rPr>
        <w:t>KF</w:t>
      </w:r>
      <w:r w:rsidR="00336C16">
        <w:rPr>
          <w:rFonts w:ascii="Georgia" w:hAnsi="Georgia" w:cs="Georgia"/>
          <w:sz w:val="20"/>
          <w:szCs w:val="20"/>
          <w:lang w:val="lt-LT"/>
        </w:rPr>
        <w:t xml:space="preserve">, įsteigtas 2009 m. birželį ir valdomas EIB. </w:t>
      </w:r>
    </w:p>
    <w:p w14:paraId="00FE3646" w14:textId="77777777"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JESSICA </w:t>
      </w:r>
      <w:r w:rsidR="00343038">
        <w:rPr>
          <w:rFonts w:ascii="Georgia" w:hAnsi="Georgia" w:cs="Georgia"/>
          <w:sz w:val="20"/>
          <w:szCs w:val="20"/>
          <w:lang w:val="lt-LT"/>
        </w:rPr>
        <w:t>KF</w:t>
      </w:r>
      <w:r>
        <w:rPr>
          <w:rFonts w:ascii="Georgia" w:hAnsi="Georgia" w:cs="Georgia"/>
          <w:sz w:val="20"/>
          <w:szCs w:val="20"/>
          <w:lang w:val="lt-LT"/>
        </w:rPr>
        <w:t xml:space="preserve"> dy</w:t>
      </w:r>
      <w:r w:rsidR="00530723">
        <w:rPr>
          <w:rFonts w:ascii="Georgia" w:hAnsi="Georgia" w:cs="Georgia"/>
          <w:sz w:val="20"/>
          <w:szCs w:val="20"/>
          <w:lang w:val="lt-LT"/>
        </w:rPr>
        <w:t>dis – 227 mln. eurų, tačiau įsteigus</w:t>
      </w:r>
      <w:r>
        <w:rPr>
          <w:rFonts w:ascii="Georgia" w:hAnsi="Georgia" w:cs="Georgia"/>
          <w:sz w:val="20"/>
          <w:szCs w:val="20"/>
          <w:lang w:val="lt-LT"/>
        </w:rPr>
        <w:t xml:space="preserve"> fondą buvo pervesta 149 mln. eurų. JESSICA KF 2009-2013 m. laikotarpiu paskelbė keturis kvietimus finansiniams tarpininkams atrinkti, iš kurių trys kvietimai buvo skirti daugiabučių modernizavimo finansavimui ir vienas kvietimas skirtas bendrabučių modernizavimui. </w:t>
      </w:r>
    </w:p>
    <w:p w14:paraId="3374D56D" w14:textId="77777777"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Pirmasis kvietimas buvo paskelbtas 54 mln. eurų sumai. Pirmojo kvietimo metu buvo atrinkti trys komerciniai bankai, su kuriais buvo pasirašytos finansavimo sutartys ir kurių pagrindu jie veikia kaip JESSICA KF finansiniai tarpininkai. 2010 metais pirmosios lengvatinės paskolos jau buvo prieinamos rinkoje, be to, papildoma parama iš valstybės biudžeto lėšų buvo skiriama projektų pasirengimo išlaidoms, projektų administravimui padengti, taip pat žemas pajamas gaunantiems asmenims. Pirmojo kvietimo lėšomis paskolos per finansinius tarpininkus buvo skiriamos tiesiogiai su kiekvieno buto gyventojais pasirašant paskolos sutartį. </w:t>
      </w:r>
    </w:p>
    <w:p w14:paraId="242C80B4" w14:textId="77777777"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Antrasis kvietimas buvo paskelbtas 20 mln. eurų sumai, tačiau remiantis EIB duomenimis, nesant tokiam dideliam projektų kiekiui, ši suma buvo sumažinta iki 3 mln. eurų. Antrasis kvietimas buvo paskelbtas siekiant padėti užbaigti įgyvendinti projektus, kurie buvo pradėti pagal senesniąją renovacijos programą, pagal kurios sąlygas 50 proc. projekto lėšų buvo finansuojama iš valstybės biudžeto lėšų, o likusi 50 proc. dalis turėjo būti skolinamasi iš komercinių bankų. Tačiau prasidėjus pasaulinei finansų krizei, iš komercinių bankų tapo itin sunku pasiskolinti projekto finansavimui </w:t>
      </w:r>
      <w:r>
        <w:rPr>
          <w:rFonts w:ascii="Georgia" w:hAnsi="Georgia" w:cs="Georgia"/>
          <w:sz w:val="20"/>
          <w:szCs w:val="20"/>
          <w:lang w:val="lt-LT"/>
        </w:rPr>
        <w:lastRenderedPageBreak/>
        <w:t xml:space="preserve">reikalingą dalį. Antrasis kvietimas padėjo padengti </w:t>
      </w:r>
      <w:r w:rsidR="00343038">
        <w:rPr>
          <w:rFonts w:ascii="Georgia" w:hAnsi="Georgia" w:cs="Georgia"/>
          <w:sz w:val="20"/>
          <w:szCs w:val="20"/>
          <w:lang w:val="lt-LT"/>
        </w:rPr>
        <w:t>būtent šią lėšų sumą, kurią reikėjo pasiskolinti iš komercinių bankų</w:t>
      </w:r>
      <w:r>
        <w:rPr>
          <w:rFonts w:ascii="Georgia" w:hAnsi="Georgia" w:cs="Georgia"/>
          <w:sz w:val="20"/>
          <w:szCs w:val="20"/>
          <w:lang w:val="lt-LT"/>
        </w:rPr>
        <w:t xml:space="preserve">. </w:t>
      </w:r>
    </w:p>
    <w:p w14:paraId="5A525105" w14:textId="77777777"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Trečiasis kvietimas, skirtas aukštųjų mokyklų ir profesinio mokymo įstaigų bendrabučių renovacijai ir skelbtas 20 mln. eurų sumai, aprašytas 2.2.1. skirsnyje. </w:t>
      </w:r>
    </w:p>
    <w:p w14:paraId="22FB03EC" w14:textId="77777777"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Ketvirtasis kvietimas finansiniams tarpininkams atrinkti buvo paskelbtas 60 mln. eurų sumai 2013 m. pradžioje po teisinės bazės pakeitimų, kurie įgalino daugiabučių namų administratorius skolintis savo vardu gyventojų naudai. Finansinis produktas, siūlomas pagal ketvirtąjį kvietimą, buvo identiškas pirmojo kvietimo finansiniam produktui, tačiau skyrėsi paskolos gavėjas – šį kartą tai buvo daugiabučių namų administratoriai. </w:t>
      </w:r>
    </w:p>
    <w:p w14:paraId="12D24177" w14:textId="77777777" w:rsidR="00BB7F6E" w:rsidRDefault="00BB7F6E" w:rsidP="00BB7F6E">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JESSICA KF 2009-2013 m.</w:t>
      </w:r>
      <w:r w:rsidR="00343038">
        <w:rPr>
          <w:rFonts w:ascii="Georgia" w:hAnsi="Georgia" w:cs="Georgia"/>
          <w:sz w:val="20"/>
          <w:szCs w:val="20"/>
          <w:lang w:val="lt-LT"/>
        </w:rPr>
        <w:t xml:space="preserve"> laikotarpiu paskelbtų</w:t>
      </w:r>
      <w:r>
        <w:rPr>
          <w:rFonts w:ascii="Georgia" w:hAnsi="Georgia" w:cs="Georgia"/>
          <w:sz w:val="20"/>
          <w:szCs w:val="20"/>
          <w:lang w:val="lt-LT"/>
        </w:rPr>
        <w:t xml:space="preserve"> 4 kvietim</w:t>
      </w:r>
      <w:r w:rsidR="00343038">
        <w:rPr>
          <w:rFonts w:ascii="Georgia" w:hAnsi="Georgia" w:cs="Georgia"/>
          <w:sz w:val="20"/>
          <w:szCs w:val="20"/>
          <w:lang w:val="lt-LT"/>
        </w:rPr>
        <w:t>ų</w:t>
      </w:r>
      <w:r>
        <w:rPr>
          <w:rFonts w:ascii="Georgia" w:hAnsi="Georgia" w:cs="Georgia"/>
          <w:sz w:val="20"/>
          <w:szCs w:val="20"/>
          <w:lang w:val="lt-LT"/>
        </w:rPr>
        <w:t xml:space="preserve"> finansiniams tarpininkams atrinkti</w:t>
      </w:r>
      <w:r w:rsidR="00343038">
        <w:rPr>
          <w:rFonts w:ascii="Georgia" w:hAnsi="Georgia" w:cs="Georgia"/>
          <w:sz w:val="20"/>
          <w:szCs w:val="20"/>
          <w:lang w:val="lt-LT"/>
        </w:rPr>
        <w:t xml:space="preserve"> finansinė apžvalga pateikta </w:t>
      </w:r>
      <w:r w:rsidR="000B28FE">
        <w:rPr>
          <w:rFonts w:ascii="Georgia" w:hAnsi="Georgia" w:cs="Georgia"/>
          <w:sz w:val="20"/>
          <w:szCs w:val="20"/>
          <w:lang w:val="lt-LT"/>
        </w:rPr>
        <w:t>žemiau esančioje</w:t>
      </w:r>
      <w:r w:rsidR="00343038">
        <w:rPr>
          <w:rFonts w:ascii="Georgia" w:hAnsi="Georgia" w:cs="Georgia"/>
          <w:sz w:val="20"/>
          <w:szCs w:val="20"/>
          <w:lang w:val="lt-LT"/>
        </w:rPr>
        <w:t xml:space="preserve"> lentelėje, kurioje pateiktos </w:t>
      </w:r>
      <w:r>
        <w:rPr>
          <w:rFonts w:ascii="Georgia" w:hAnsi="Georgia" w:cs="Georgia"/>
          <w:sz w:val="20"/>
          <w:szCs w:val="20"/>
          <w:lang w:val="lt-LT"/>
        </w:rPr>
        <w:t xml:space="preserve"> kiekvienam iš kvietimų skirtos sumos (kvietimo paskelbimo metu) bei su finansiniais tarpininkais pasirašytos </w:t>
      </w:r>
      <w:r w:rsidRPr="005E23FC">
        <w:rPr>
          <w:rFonts w:ascii="Georgia" w:hAnsi="Georgia" w:cs="Georgia"/>
          <w:sz w:val="20"/>
          <w:szCs w:val="20"/>
          <w:lang w:val="lt-LT"/>
        </w:rPr>
        <w:t>finansavimo sutartys</w:t>
      </w:r>
      <w:r w:rsidRPr="005E23FC">
        <w:rPr>
          <w:rStyle w:val="Puslapioinaosnuoroda"/>
          <w:rFonts w:ascii="Georgia" w:hAnsi="Georgia" w:cs="Georgia"/>
          <w:sz w:val="20"/>
          <w:szCs w:val="20"/>
          <w:lang w:val="lt-LT"/>
        </w:rPr>
        <w:footnoteReference w:id="14"/>
      </w:r>
      <w:r w:rsidRPr="005E23FC">
        <w:rPr>
          <w:rFonts w:ascii="Georgia" w:hAnsi="Georgia" w:cs="Georgia"/>
          <w:sz w:val="20"/>
          <w:szCs w:val="20"/>
          <w:lang w:val="lt-LT"/>
        </w:rPr>
        <w:t xml:space="preserve">. Detalus JESSICA kvietimų palyginimas buvo atliktas PwC studijoje ir </w:t>
      </w:r>
      <w:r w:rsidRPr="000F206B">
        <w:rPr>
          <w:rFonts w:ascii="Georgia" w:hAnsi="Georgia" w:cs="Georgia"/>
          <w:sz w:val="20"/>
          <w:szCs w:val="20"/>
          <w:lang w:val="lt-LT"/>
        </w:rPr>
        <w:t xml:space="preserve">yra pateikiamas </w:t>
      </w:r>
      <w:r w:rsidRPr="00530723">
        <w:rPr>
          <w:rFonts w:ascii="Georgia" w:hAnsi="Georgia" w:cs="Georgia"/>
          <w:sz w:val="20"/>
          <w:szCs w:val="20"/>
          <w:lang w:val="lt-LT"/>
        </w:rPr>
        <w:t xml:space="preserve">priede Nr. </w:t>
      </w:r>
      <w:r w:rsidR="005E23FC" w:rsidRPr="00530723">
        <w:rPr>
          <w:rFonts w:ascii="Georgia" w:hAnsi="Georgia" w:cs="Georgia"/>
          <w:sz w:val="20"/>
          <w:szCs w:val="20"/>
          <w:lang w:val="lt-LT"/>
        </w:rPr>
        <w:t>1</w:t>
      </w:r>
      <w:r w:rsidRPr="00530723">
        <w:rPr>
          <w:rFonts w:ascii="Georgia" w:hAnsi="Georgia" w:cs="Georgia"/>
          <w:sz w:val="20"/>
          <w:szCs w:val="20"/>
          <w:lang w:val="lt-LT"/>
        </w:rPr>
        <w:t>.</w:t>
      </w:r>
    </w:p>
    <w:p w14:paraId="272625B5" w14:textId="77777777" w:rsidR="00BB7F6E" w:rsidRDefault="00BB7F6E" w:rsidP="00BB7F6E">
      <w:pPr>
        <w:autoSpaceDE w:val="0"/>
        <w:autoSpaceDN w:val="0"/>
        <w:adjustRightInd w:val="0"/>
        <w:spacing w:after="0" w:line="240" w:lineRule="auto"/>
        <w:jc w:val="both"/>
        <w:rPr>
          <w:rFonts w:ascii="Georgia" w:hAnsi="Georgia" w:cs="Georgia"/>
          <w:sz w:val="20"/>
          <w:szCs w:val="20"/>
          <w:lang w:val="lt-LT"/>
        </w:rPr>
      </w:pPr>
    </w:p>
    <w:p w14:paraId="7D81626C" w14:textId="37B3148A" w:rsidR="00BB7F6E" w:rsidRPr="001E4B4F" w:rsidRDefault="00BB7F6E" w:rsidP="00BB7F6E">
      <w:pPr>
        <w:pStyle w:val="Antrat"/>
        <w:jc w:val="both"/>
        <w:rPr>
          <w:rFonts w:cs="Georgia"/>
          <w:szCs w:val="20"/>
          <w:lang w:val="lt-LT"/>
        </w:rPr>
      </w:pPr>
      <w:bookmarkStart w:id="63" w:name="_Toc460321599"/>
      <w:r w:rsidRPr="00530723">
        <w:rPr>
          <w:lang w:val="lt-LT"/>
        </w:rPr>
        <w:t xml:space="preserve">Lentelė </w:t>
      </w:r>
      <w:r w:rsidRPr="00530723">
        <w:rPr>
          <w:lang w:val="lt-LT"/>
        </w:rPr>
        <w:fldChar w:fldCharType="begin"/>
      </w:r>
      <w:r w:rsidRPr="00530723">
        <w:rPr>
          <w:lang w:val="lt-LT"/>
        </w:rPr>
        <w:instrText xml:space="preserve"> SEQ Lentelė \* ARABIC </w:instrText>
      </w:r>
      <w:r w:rsidRPr="00530723">
        <w:rPr>
          <w:lang w:val="lt-LT"/>
        </w:rPr>
        <w:fldChar w:fldCharType="separate"/>
      </w:r>
      <w:r w:rsidR="00AA3082">
        <w:rPr>
          <w:noProof/>
          <w:lang w:val="lt-LT"/>
        </w:rPr>
        <w:t>18</w:t>
      </w:r>
      <w:r w:rsidRPr="00530723">
        <w:rPr>
          <w:lang w:val="lt-LT"/>
        </w:rPr>
        <w:fldChar w:fldCharType="end"/>
      </w:r>
      <w:r w:rsidRPr="00530723">
        <w:rPr>
          <w:lang w:val="lt-LT"/>
        </w:rPr>
        <w:t xml:space="preserve">. </w:t>
      </w:r>
      <w:r w:rsidRPr="001E4B4F">
        <w:rPr>
          <w:rFonts w:cs="Georgia"/>
          <w:szCs w:val="20"/>
          <w:lang w:val="lt-LT"/>
        </w:rPr>
        <w:t>JESSICA KF 2009-2013 m. paskelbtų kvietimų charakteristikos.</w:t>
      </w:r>
      <w:bookmarkEnd w:id="63"/>
    </w:p>
    <w:tbl>
      <w:tblPr>
        <w:tblStyle w:val="viesussraas2parykinimas"/>
        <w:tblW w:w="5000" w:type="pct"/>
        <w:tblLook w:val="04A0" w:firstRow="1" w:lastRow="0" w:firstColumn="1" w:lastColumn="0" w:noHBand="0" w:noVBand="1"/>
      </w:tblPr>
      <w:tblGrid>
        <w:gridCol w:w="1849"/>
        <w:gridCol w:w="1849"/>
        <w:gridCol w:w="1848"/>
        <w:gridCol w:w="1848"/>
        <w:gridCol w:w="1848"/>
      </w:tblGrid>
      <w:tr w:rsidR="00BB7F6E" w14:paraId="33D7D77F" w14:textId="77777777" w:rsidTr="000A5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top w:val="single" w:sz="8" w:space="0" w:color="C0504D" w:themeColor="accent2"/>
              <w:left w:val="single" w:sz="8" w:space="0" w:color="C0504D" w:themeColor="accent2"/>
              <w:bottom w:val="nil"/>
              <w:right w:val="nil"/>
            </w:tcBorders>
            <w:hideMark/>
          </w:tcPr>
          <w:p w14:paraId="67A9C8FC" w14:textId="77777777" w:rsidR="00BB7F6E" w:rsidRDefault="00BB7F6E" w:rsidP="00714494">
            <w:pPr>
              <w:autoSpaceDE w:val="0"/>
              <w:autoSpaceDN w:val="0"/>
              <w:adjustRightInd w:val="0"/>
              <w:jc w:val="center"/>
              <w:rPr>
                <w:rFonts w:ascii="Georgia" w:hAnsi="Georgia" w:cs="Georgia"/>
                <w:sz w:val="20"/>
                <w:szCs w:val="20"/>
              </w:rPr>
            </w:pPr>
            <w:r>
              <w:rPr>
                <w:rFonts w:ascii="Georgia" w:hAnsi="Georgia" w:cs="Georgia"/>
                <w:sz w:val="20"/>
                <w:szCs w:val="20"/>
              </w:rPr>
              <w:t>Kvietimas</w:t>
            </w:r>
          </w:p>
        </w:tc>
        <w:tc>
          <w:tcPr>
            <w:tcW w:w="1000" w:type="pct"/>
            <w:tcBorders>
              <w:top w:val="single" w:sz="8" w:space="0" w:color="C0504D" w:themeColor="accent2"/>
              <w:left w:val="nil"/>
              <w:bottom w:val="nil"/>
              <w:right w:val="nil"/>
            </w:tcBorders>
            <w:hideMark/>
          </w:tcPr>
          <w:p w14:paraId="77906035" w14:textId="77777777" w:rsidR="00BB7F6E" w:rsidRDefault="00BB7F6E"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Tikslas</w:t>
            </w:r>
          </w:p>
        </w:tc>
        <w:tc>
          <w:tcPr>
            <w:tcW w:w="1000" w:type="pct"/>
            <w:tcBorders>
              <w:top w:val="single" w:sz="8" w:space="0" w:color="C0504D" w:themeColor="accent2"/>
              <w:left w:val="nil"/>
              <w:bottom w:val="nil"/>
              <w:right w:val="nil"/>
            </w:tcBorders>
            <w:hideMark/>
          </w:tcPr>
          <w:p w14:paraId="78C7CA56" w14:textId="77777777" w:rsidR="00BB7F6E" w:rsidRDefault="00BB7F6E"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Pradinė kvietimo suma</w:t>
            </w:r>
          </w:p>
        </w:tc>
        <w:tc>
          <w:tcPr>
            <w:tcW w:w="1000" w:type="pct"/>
            <w:tcBorders>
              <w:top w:val="single" w:sz="8" w:space="0" w:color="C0504D" w:themeColor="accent2"/>
              <w:left w:val="nil"/>
              <w:bottom w:val="nil"/>
              <w:right w:val="nil"/>
            </w:tcBorders>
            <w:hideMark/>
          </w:tcPr>
          <w:p w14:paraId="23AA3377" w14:textId="77777777" w:rsidR="00BB7F6E" w:rsidRDefault="00BD4DEA"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Finansiniams tarpininkams skirta suma</w:t>
            </w:r>
          </w:p>
        </w:tc>
        <w:tc>
          <w:tcPr>
            <w:tcW w:w="1000" w:type="pct"/>
            <w:tcBorders>
              <w:top w:val="single" w:sz="8" w:space="0" w:color="C0504D" w:themeColor="accent2"/>
              <w:left w:val="nil"/>
              <w:bottom w:val="nil"/>
              <w:right w:val="single" w:sz="8" w:space="0" w:color="C0504D" w:themeColor="accent2"/>
            </w:tcBorders>
            <w:hideMark/>
          </w:tcPr>
          <w:p w14:paraId="53851733" w14:textId="77777777" w:rsidR="00BB7F6E" w:rsidRDefault="00BB7F6E" w:rsidP="00714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Statusas</w:t>
            </w:r>
          </w:p>
        </w:tc>
      </w:tr>
      <w:tr w:rsidR="00BB7F6E" w14:paraId="6D52DE90" w14:textId="77777777" w:rsidTr="000A5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right w:val="nil"/>
            </w:tcBorders>
            <w:hideMark/>
          </w:tcPr>
          <w:p w14:paraId="7A72E00D" w14:textId="77777777" w:rsidR="00BB7F6E" w:rsidRDefault="00BB7F6E" w:rsidP="00BB7F6E">
            <w:pPr>
              <w:autoSpaceDE w:val="0"/>
              <w:autoSpaceDN w:val="0"/>
              <w:adjustRightInd w:val="0"/>
              <w:jc w:val="both"/>
              <w:rPr>
                <w:rFonts w:ascii="Georgia" w:hAnsi="Georgia" w:cs="Georgia"/>
                <w:sz w:val="20"/>
                <w:szCs w:val="20"/>
              </w:rPr>
            </w:pPr>
            <w:r>
              <w:rPr>
                <w:rFonts w:ascii="Georgia" w:hAnsi="Georgia" w:cs="Georgia"/>
                <w:sz w:val="20"/>
                <w:szCs w:val="20"/>
              </w:rPr>
              <w:t>Pirmasis kvietimas (2009 11 13)</w:t>
            </w:r>
          </w:p>
        </w:tc>
        <w:tc>
          <w:tcPr>
            <w:tcW w:w="1000" w:type="pct"/>
            <w:tcBorders>
              <w:left w:val="nil"/>
              <w:right w:val="nil"/>
            </w:tcBorders>
            <w:hideMark/>
          </w:tcPr>
          <w:p w14:paraId="240A466A" w14:textId="77777777" w:rsidR="00BB7F6E" w:rsidRDefault="00BB7F6E" w:rsidP="00BB7F6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Daugiabučių renovacija</w:t>
            </w:r>
          </w:p>
        </w:tc>
        <w:tc>
          <w:tcPr>
            <w:tcW w:w="1000" w:type="pct"/>
            <w:tcBorders>
              <w:left w:val="nil"/>
              <w:right w:val="nil"/>
            </w:tcBorders>
            <w:hideMark/>
          </w:tcPr>
          <w:p w14:paraId="393C155E" w14:textId="77777777" w:rsidR="00BB7F6E" w:rsidRDefault="00BB7F6E" w:rsidP="00BB7F6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54 mln. eurų</w:t>
            </w:r>
          </w:p>
        </w:tc>
        <w:tc>
          <w:tcPr>
            <w:tcW w:w="1000" w:type="pct"/>
            <w:tcBorders>
              <w:left w:val="nil"/>
              <w:right w:val="nil"/>
            </w:tcBorders>
            <w:hideMark/>
          </w:tcPr>
          <w:p w14:paraId="510C8E37" w14:textId="77777777" w:rsidR="00BB7F6E" w:rsidRDefault="00BB7F6E" w:rsidP="00BB7F6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54 mln. eurų</w:t>
            </w:r>
          </w:p>
        </w:tc>
        <w:tc>
          <w:tcPr>
            <w:tcW w:w="1000" w:type="pct"/>
            <w:tcBorders>
              <w:left w:val="nil"/>
            </w:tcBorders>
            <w:hideMark/>
          </w:tcPr>
          <w:p w14:paraId="69B8B05D" w14:textId="77777777" w:rsidR="00BB7F6E" w:rsidRDefault="00BB7F6E" w:rsidP="00BB7F6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Vyksta</w:t>
            </w:r>
          </w:p>
        </w:tc>
      </w:tr>
      <w:tr w:rsidR="00BB7F6E" w14:paraId="0D72EC43" w14:textId="77777777" w:rsidTr="000A566C">
        <w:tc>
          <w:tcPr>
            <w:cnfStyle w:val="001000000000" w:firstRow="0" w:lastRow="0" w:firstColumn="1" w:lastColumn="0" w:oddVBand="0" w:evenVBand="0" w:oddHBand="0" w:evenHBand="0" w:firstRowFirstColumn="0" w:firstRowLastColumn="0" w:lastRowFirstColumn="0" w:lastRowLastColumn="0"/>
            <w:tcW w:w="1000" w:type="pct"/>
            <w:tcBorders>
              <w:top w:val="nil"/>
              <w:left w:val="single" w:sz="8" w:space="0" w:color="C0504D" w:themeColor="accent2"/>
              <w:bottom w:val="nil"/>
              <w:right w:val="nil"/>
            </w:tcBorders>
            <w:hideMark/>
          </w:tcPr>
          <w:p w14:paraId="1F31210B" w14:textId="77777777" w:rsidR="00BB7F6E" w:rsidRDefault="00BB7F6E" w:rsidP="00BB7F6E">
            <w:pPr>
              <w:autoSpaceDE w:val="0"/>
              <w:autoSpaceDN w:val="0"/>
              <w:adjustRightInd w:val="0"/>
              <w:jc w:val="both"/>
              <w:rPr>
                <w:rFonts w:ascii="Georgia" w:hAnsi="Georgia" w:cs="Georgia"/>
                <w:sz w:val="20"/>
                <w:szCs w:val="20"/>
              </w:rPr>
            </w:pPr>
            <w:r>
              <w:rPr>
                <w:rFonts w:ascii="Georgia" w:hAnsi="Georgia" w:cs="Georgia"/>
                <w:sz w:val="20"/>
                <w:szCs w:val="20"/>
              </w:rPr>
              <w:t>Antrasis kvietimas (2010 06 17)</w:t>
            </w:r>
          </w:p>
        </w:tc>
        <w:tc>
          <w:tcPr>
            <w:tcW w:w="1000" w:type="pct"/>
            <w:tcBorders>
              <w:top w:val="nil"/>
              <w:left w:val="nil"/>
              <w:bottom w:val="nil"/>
              <w:right w:val="nil"/>
            </w:tcBorders>
            <w:hideMark/>
          </w:tcPr>
          <w:p w14:paraId="3ACD57AC" w14:textId="77777777" w:rsidR="00BB7F6E" w:rsidRDefault="00BB7F6E" w:rsidP="00BB7F6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Daugiabučių renovacija</w:t>
            </w:r>
          </w:p>
        </w:tc>
        <w:tc>
          <w:tcPr>
            <w:tcW w:w="1000" w:type="pct"/>
            <w:tcBorders>
              <w:top w:val="nil"/>
              <w:left w:val="nil"/>
              <w:bottom w:val="nil"/>
              <w:right w:val="nil"/>
            </w:tcBorders>
            <w:hideMark/>
          </w:tcPr>
          <w:p w14:paraId="72A92F8F" w14:textId="77777777" w:rsidR="00BB7F6E" w:rsidRDefault="00BB7F6E" w:rsidP="00BB7F6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iki 15 mln. eurų</w:t>
            </w:r>
          </w:p>
        </w:tc>
        <w:tc>
          <w:tcPr>
            <w:tcW w:w="1000" w:type="pct"/>
            <w:tcBorders>
              <w:top w:val="nil"/>
              <w:left w:val="nil"/>
              <w:bottom w:val="nil"/>
              <w:right w:val="nil"/>
            </w:tcBorders>
            <w:hideMark/>
          </w:tcPr>
          <w:p w14:paraId="5F926520" w14:textId="77777777" w:rsidR="00BB7F6E" w:rsidRDefault="00BB7F6E" w:rsidP="00BB7F6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3 mln. eurų</w:t>
            </w:r>
          </w:p>
        </w:tc>
        <w:tc>
          <w:tcPr>
            <w:tcW w:w="1000" w:type="pct"/>
            <w:tcBorders>
              <w:top w:val="nil"/>
              <w:left w:val="nil"/>
              <w:bottom w:val="nil"/>
              <w:right w:val="single" w:sz="8" w:space="0" w:color="C0504D" w:themeColor="accent2"/>
            </w:tcBorders>
            <w:hideMark/>
          </w:tcPr>
          <w:p w14:paraId="0E3E7749" w14:textId="77777777" w:rsidR="00BB7F6E" w:rsidRDefault="00BB7F6E" w:rsidP="00BB7F6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Vyksta</w:t>
            </w:r>
          </w:p>
        </w:tc>
      </w:tr>
      <w:tr w:rsidR="00BB7F6E" w14:paraId="2383B8B7" w14:textId="77777777" w:rsidTr="000A5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right w:val="nil"/>
            </w:tcBorders>
            <w:hideMark/>
          </w:tcPr>
          <w:p w14:paraId="0CDE776C" w14:textId="77777777" w:rsidR="0082696B" w:rsidRDefault="00BB7F6E" w:rsidP="00BB7F6E">
            <w:pPr>
              <w:autoSpaceDE w:val="0"/>
              <w:autoSpaceDN w:val="0"/>
              <w:adjustRightInd w:val="0"/>
              <w:jc w:val="both"/>
              <w:rPr>
                <w:rFonts w:ascii="Georgia" w:hAnsi="Georgia" w:cs="Georgia"/>
                <w:sz w:val="20"/>
                <w:szCs w:val="20"/>
              </w:rPr>
            </w:pPr>
            <w:r>
              <w:rPr>
                <w:rFonts w:ascii="Georgia" w:hAnsi="Georgia" w:cs="Georgia"/>
                <w:sz w:val="20"/>
                <w:szCs w:val="20"/>
              </w:rPr>
              <w:t>Trečiasis kvietimas</w:t>
            </w:r>
          </w:p>
          <w:p w14:paraId="4D981CBC" w14:textId="77777777" w:rsidR="00BB7F6E" w:rsidRDefault="00BB7F6E" w:rsidP="00BB7F6E">
            <w:pPr>
              <w:autoSpaceDE w:val="0"/>
              <w:autoSpaceDN w:val="0"/>
              <w:adjustRightInd w:val="0"/>
              <w:jc w:val="both"/>
              <w:rPr>
                <w:rFonts w:ascii="Georgia" w:hAnsi="Georgia" w:cs="Georgia"/>
                <w:sz w:val="20"/>
                <w:szCs w:val="20"/>
              </w:rPr>
            </w:pPr>
            <w:r>
              <w:rPr>
                <w:rFonts w:ascii="Georgia" w:hAnsi="Georgia" w:cs="Georgia"/>
                <w:sz w:val="20"/>
                <w:szCs w:val="20"/>
              </w:rPr>
              <w:t>(2012 01 12)</w:t>
            </w:r>
          </w:p>
        </w:tc>
        <w:tc>
          <w:tcPr>
            <w:tcW w:w="1000" w:type="pct"/>
            <w:tcBorders>
              <w:left w:val="nil"/>
              <w:right w:val="nil"/>
            </w:tcBorders>
            <w:hideMark/>
          </w:tcPr>
          <w:p w14:paraId="5F934278" w14:textId="77777777" w:rsidR="00BB7F6E" w:rsidRDefault="00BB7F6E" w:rsidP="00BB7F6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Bendrabučių renovacija</w:t>
            </w:r>
          </w:p>
        </w:tc>
        <w:tc>
          <w:tcPr>
            <w:tcW w:w="1000" w:type="pct"/>
            <w:tcBorders>
              <w:left w:val="nil"/>
              <w:right w:val="nil"/>
            </w:tcBorders>
            <w:hideMark/>
          </w:tcPr>
          <w:p w14:paraId="2F69DE32" w14:textId="77777777" w:rsidR="00BB7F6E" w:rsidRDefault="00BB7F6E" w:rsidP="00BB7F6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20 mln. eurų</w:t>
            </w:r>
          </w:p>
        </w:tc>
        <w:tc>
          <w:tcPr>
            <w:tcW w:w="1000" w:type="pct"/>
            <w:tcBorders>
              <w:left w:val="nil"/>
              <w:right w:val="nil"/>
            </w:tcBorders>
            <w:hideMark/>
          </w:tcPr>
          <w:p w14:paraId="0B7DED86" w14:textId="77777777" w:rsidR="00BB7F6E" w:rsidRDefault="00BB7F6E" w:rsidP="00BB7F6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20 mln. eurų</w:t>
            </w:r>
          </w:p>
        </w:tc>
        <w:tc>
          <w:tcPr>
            <w:tcW w:w="1000" w:type="pct"/>
            <w:tcBorders>
              <w:left w:val="nil"/>
            </w:tcBorders>
            <w:hideMark/>
          </w:tcPr>
          <w:p w14:paraId="790DDA7C" w14:textId="77777777" w:rsidR="00BB7F6E" w:rsidRDefault="00BB7F6E" w:rsidP="00BB7F6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Vyksta</w:t>
            </w:r>
          </w:p>
        </w:tc>
      </w:tr>
      <w:tr w:rsidR="00BB7F6E" w14:paraId="676FFABA" w14:textId="77777777" w:rsidTr="000A566C">
        <w:tc>
          <w:tcPr>
            <w:cnfStyle w:val="001000000000" w:firstRow="0" w:lastRow="0" w:firstColumn="1" w:lastColumn="0" w:oddVBand="0" w:evenVBand="0" w:oddHBand="0" w:evenHBand="0" w:firstRowFirstColumn="0" w:firstRowLastColumn="0" w:lastRowFirstColumn="0" w:lastRowLastColumn="0"/>
            <w:tcW w:w="1000" w:type="pct"/>
            <w:tcBorders>
              <w:top w:val="nil"/>
              <w:left w:val="single" w:sz="8" w:space="0" w:color="C0504D" w:themeColor="accent2"/>
              <w:bottom w:val="single" w:sz="8" w:space="0" w:color="C0504D" w:themeColor="accent2"/>
              <w:right w:val="nil"/>
            </w:tcBorders>
            <w:hideMark/>
          </w:tcPr>
          <w:p w14:paraId="0F520D17" w14:textId="77777777" w:rsidR="0082696B" w:rsidRDefault="00BB7F6E" w:rsidP="00BB7F6E">
            <w:pPr>
              <w:autoSpaceDE w:val="0"/>
              <w:autoSpaceDN w:val="0"/>
              <w:adjustRightInd w:val="0"/>
              <w:jc w:val="both"/>
              <w:rPr>
                <w:rFonts w:ascii="Georgia" w:hAnsi="Georgia" w:cs="Georgia"/>
                <w:sz w:val="20"/>
                <w:szCs w:val="20"/>
              </w:rPr>
            </w:pPr>
            <w:r>
              <w:rPr>
                <w:rFonts w:ascii="Georgia" w:hAnsi="Georgia" w:cs="Georgia"/>
                <w:sz w:val="20"/>
                <w:szCs w:val="20"/>
              </w:rPr>
              <w:t xml:space="preserve">Ketvirtasis kvietimas </w:t>
            </w:r>
          </w:p>
          <w:p w14:paraId="59CCDF34" w14:textId="77777777" w:rsidR="00BB7F6E" w:rsidRDefault="00BB7F6E" w:rsidP="00BB7F6E">
            <w:pPr>
              <w:autoSpaceDE w:val="0"/>
              <w:autoSpaceDN w:val="0"/>
              <w:adjustRightInd w:val="0"/>
              <w:jc w:val="both"/>
              <w:rPr>
                <w:rFonts w:ascii="Georgia" w:hAnsi="Georgia" w:cs="Georgia"/>
                <w:sz w:val="20"/>
                <w:szCs w:val="20"/>
              </w:rPr>
            </w:pPr>
            <w:r>
              <w:rPr>
                <w:rFonts w:ascii="Georgia" w:hAnsi="Georgia" w:cs="Georgia"/>
                <w:sz w:val="20"/>
                <w:szCs w:val="20"/>
              </w:rPr>
              <w:t>(2013 04 30)</w:t>
            </w:r>
          </w:p>
        </w:tc>
        <w:tc>
          <w:tcPr>
            <w:tcW w:w="1000" w:type="pct"/>
            <w:tcBorders>
              <w:top w:val="nil"/>
              <w:left w:val="nil"/>
              <w:bottom w:val="single" w:sz="8" w:space="0" w:color="C0504D" w:themeColor="accent2"/>
              <w:right w:val="nil"/>
            </w:tcBorders>
            <w:hideMark/>
          </w:tcPr>
          <w:p w14:paraId="239BC268" w14:textId="77777777" w:rsidR="00BB7F6E" w:rsidRDefault="00BB7F6E" w:rsidP="00BB7F6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Daugiabučių renovacija</w:t>
            </w:r>
          </w:p>
        </w:tc>
        <w:tc>
          <w:tcPr>
            <w:tcW w:w="1000" w:type="pct"/>
            <w:tcBorders>
              <w:top w:val="nil"/>
              <w:left w:val="nil"/>
              <w:bottom w:val="single" w:sz="8" w:space="0" w:color="C0504D" w:themeColor="accent2"/>
              <w:right w:val="nil"/>
            </w:tcBorders>
            <w:hideMark/>
          </w:tcPr>
          <w:p w14:paraId="297DD491" w14:textId="77777777" w:rsidR="00BB7F6E" w:rsidRDefault="00BB7F6E" w:rsidP="00BB7F6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Iki 100 mln. eurų</w:t>
            </w:r>
          </w:p>
        </w:tc>
        <w:tc>
          <w:tcPr>
            <w:tcW w:w="1000" w:type="pct"/>
            <w:tcBorders>
              <w:top w:val="nil"/>
              <w:left w:val="nil"/>
              <w:bottom w:val="single" w:sz="8" w:space="0" w:color="C0504D" w:themeColor="accent2"/>
              <w:right w:val="nil"/>
            </w:tcBorders>
            <w:hideMark/>
          </w:tcPr>
          <w:p w14:paraId="5B508EC6" w14:textId="77777777" w:rsidR="00BB7F6E" w:rsidRDefault="00BB7F6E" w:rsidP="00BB7F6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60 mln. eurų</w:t>
            </w:r>
          </w:p>
        </w:tc>
        <w:tc>
          <w:tcPr>
            <w:tcW w:w="1000" w:type="pct"/>
            <w:tcBorders>
              <w:top w:val="nil"/>
              <w:left w:val="nil"/>
              <w:bottom w:val="single" w:sz="8" w:space="0" w:color="C0504D" w:themeColor="accent2"/>
              <w:right w:val="single" w:sz="8" w:space="0" w:color="C0504D" w:themeColor="accent2"/>
            </w:tcBorders>
            <w:hideMark/>
          </w:tcPr>
          <w:p w14:paraId="3C822270" w14:textId="77777777" w:rsidR="00BB7F6E" w:rsidRDefault="00BB7F6E" w:rsidP="00BB7F6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Vyksta</w:t>
            </w:r>
          </w:p>
        </w:tc>
      </w:tr>
      <w:tr w:rsidR="00BB7F6E" w14:paraId="7F216942" w14:textId="77777777" w:rsidTr="000A5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top w:val="nil"/>
              <w:right w:val="nil"/>
            </w:tcBorders>
            <w:hideMark/>
          </w:tcPr>
          <w:p w14:paraId="4DF29BD1" w14:textId="77777777" w:rsidR="00BB7F6E" w:rsidRDefault="00BB7F6E" w:rsidP="00BB7F6E">
            <w:pPr>
              <w:autoSpaceDE w:val="0"/>
              <w:autoSpaceDN w:val="0"/>
              <w:adjustRightInd w:val="0"/>
              <w:jc w:val="both"/>
              <w:rPr>
                <w:rFonts w:ascii="Georgia" w:hAnsi="Georgia" w:cs="Georgia"/>
                <w:sz w:val="20"/>
                <w:szCs w:val="20"/>
              </w:rPr>
            </w:pPr>
            <w:r>
              <w:rPr>
                <w:rFonts w:ascii="Georgia" w:hAnsi="Georgia" w:cs="Georgia"/>
                <w:sz w:val="20"/>
                <w:szCs w:val="20"/>
              </w:rPr>
              <w:t>VISO</w:t>
            </w:r>
          </w:p>
        </w:tc>
        <w:tc>
          <w:tcPr>
            <w:tcW w:w="1000" w:type="pct"/>
            <w:tcBorders>
              <w:top w:val="nil"/>
              <w:left w:val="nil"/>
              <w:right w:val="nil"/>
            </w:tcBorders>
            <w:hideMark/>
          </w:tcPr>
          <w:p w14:paraId="6F50907E" w14:textId="77777777" w:rsidR="00BB7F6E" w:rsidRDefault="00BB7F6E" w:rsidP="00BB7F6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p>
        </w:tc>
        <w:tc>
          <w:tcPr>
            <w:tcW w:w="1000" w:type="pct"/>
            <w:tcBorders>
              <w:top w:val="nil"/>
              <w:left w:val="nil"/>
              <w:right w:val="nil"/>
            </w:tcBorders>
            <w:hideMark/>
          </w:tcPr>
          <w:p w14:paraId="00C41D60" w14:textId="77777777" w:rsidR="00BB7F6E" w:rsidRDefault="00BB7F6E" w:rsidP="00BB7F6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Iki 189 mln. eurų</w:t>
            </w:r>
          </w:p>
        </w:tc>
        <w:tc>
          <w:tcPr>
            <w:tcW w:w="1000" w:type="pct"/>
            <w:tcBorders>
              <w:top w:val="nil"/>
              <w:left w:val="nil"/>
              <w:right w:val="nil"/>
            </w:tcBorders>
            <w:hideMark/>
          </w:tcPr>
          <w:p w14:paraId="7EA7990E" w14:textId="77777777" w:rsidR="00BB7F6E" w:rsidRDefault="00BB7F6E" w:rsidP="00BB7F6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137 mln. eurų</w:t>
            </w:r>
          </w:p>
        </w:tc>
        <w:tc>
          <w:tcPr>
            <w:tcW w:w="1000" w:type="pct"/>
            <w:tcBorders>
              <w:top w:val="nil"/>
              <w:left w:val="nil"/>
            </w:tcBorders>
            <w:hideMark/>
          </w:tcPr>
          <w:p w14:paraId="7EA79C3A" w14:textId="77777777" w:rsidR="00BB7F6E" w:rsidRDefault="00BB7F6E" w:rsidP="00BB7F6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Vyksta</w:t>
            </w:r>
          </w:p>
        </w:tc>
      </w:tr>
    </w:tbl>
    <w:p w14:paraId="3FD0037C" w14:textId="77777777" w:rsidR="00BB7F6E" w:rsidRPr="00C73259" w:rsidRDefault="00BB7F6E" w:rsidP="00BB7F6E">
      <w:pPr>
        <w:pStyle w:val="Antrat"/>
        <w:jc w:val="both"/>
        <w:rPr>
          <w:rFonts w:cs="Georgia"/>
          <w:i/>
          <w:szCs w:val="20"/>
          <w:lang w:val="lt-LT"/>
        </w:rPr>
      </w:pPr>
      <w:r w:rsidRPr="00C73259">
        <w:rPr>
          <w:rFonts w:cs="Georgia"/>
          <w:b w:val="0"/>
          <w:i/>
          <w:szCs w:val="20"/>
          <w:lang w:val="lt-LT"/>
        </w:rPr>
        <w:t>Šaltinis: Finansų ministerija, 2014 09 24 duomenys.</w:t>
      </w:r>
    </w:p>
    <w:p w14:paraId="2A22854A" w14:textId="77777777" w:rsidR="00BB7F6E" w:rsidRDefault="00343038"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Be JESSICA KF, egzistuoja ir kiti finansavimo šaltiniai daugiabučių namų renovacijai. Vienas tokių yra 2007-2013 m. periodu įgyvendinta Vidaus reikalų ministerijos priemonė „Daugiabučių namų atnaujinimas pirmiausia didinant jų energijos vartojimo efektyvumą“, kuriai buvo skirta apie 200 mln. litų. Priemonė buvo skirta pirmiausia siekiant gerinti būsto sąlygas probleminėse teritorijose, o tinkama pareiškėjų grupė pagal šią priemonę – probleminėmis teritorijomis pripažintų savivaldybių administracijos. </w:t>
      </w:r>
      <w:r w:rsidR="00F90A4B">
        <w:rPr>
          <w:rFonts w:ascii="Georgia" w:hAnsi="Georgia" w:cs="Georgia"/>
          <w:sz w:val="20"/>
          <w:szCs w:val="20"/>
          <w:lang w:val="lt-LT"/>
        </w:rPr>
        <w:t>Šia priemone siekiama atnaujinti 300 daugiabučių namų bei pagerinti būsto sąlygas 10</w:t>
      </w:r>
      <w:r w:rsidR="0074005A">
        <w:rPr>
          <w:rFonts w:ascii="Georgia" w:hAnsi="Georgia" w:cs="Georgia"/>
          <w:sz w:val="20"/>
          <w:szCs w:val="20"/>
          <w:lang w:val="lt-LT"/>
        </w:rPr>
        <w:t xml:space="preserve"> </w:t>
      </w:r>
      <w:r w:rsidR="00F90A4B">
        <w:rPr>
          <w:rFonts w:ascii="Georgia" w:hAnsi="Georgia" w:cs="Georgia"/>
          <w:sz w:val="20"/>
          <w:szCs w:val="20"/>
          <w:lang w:val="lt-LT"/>
        </w:rPr>
        <w:t xml:space="preserve">000 asmenų, gyvenančių probleminėse teritorijose. </w:t>
      </w:r>
    </w:p>
    <w:p w14:paraId="0960282D" w14:textId="77777777" w:rsidR="00F650B9" w:rsidRDefault="00F650B9"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Dar viena 2007-2013 m. periodu Vidaus reikalų ministerijos įgyvendinama priemonė, susijusi su būsto sektoriumi, yra „Socialinio būsto plėtra ir jo kokybės gerinimas“. Šios priemonės tikslas - p</w:t>
      </w:r>
      <w:r w:rsidRPr="00F650B9">
        <w:rPr>
          <w:rFonts w:ascii="Georgia" w:hAnsi="Georgia" w:cs="Georgia"/>
          <w:sz w:val="20"/>
          <w:szCs w:val="20"/>
          <w:lang w:val="lt-LT"/>
        </w:rPr>
        <w:t>adidinti ar pagerinti savivaldybių socialinio būsto fondą, kuris būtų nuomojamas nepasiturintiems asmenims (šeimoms), turintiems teisę į socialinį būstą</w:t>
      </w:r>
      <w:r>
        <w:rPr>
          <w:rFonts w:ascii="Georgia" w:hAnsi="Georgia" w:cs="Georgia"/>
          <w:sz w:val="20"/>
          <w:szCs w:val="20"/>
          <w:lang w:val="lt-LT"/>
        </w:rPr>
        <w:t>. Priemonei įgyvendinti skirta apie 37 mln. litų.</w:t>
      </w:r>
    </w:p>
    <w:p w14:paraId="48F1F3FB" w14:textId="77777777" w:rsidR="00F650B9" w:rsidRDefault="00F650B9"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Pažymėtina, kad egzistuoja ir galimybė patiems daugiabučių namų gyventojams skolintis iš komercinių bankų ir savo iniciatyva įgyvendinti daugiabučio modernizavimo projektus. </w:t>
      </w:r>
      <w:r w:rsidR="00BD4DEA">
        <w:rPr>
          <w:rFonts w:ascii="Georgia" w:hAnsi="Georgia" w:cs="Georgia"/>
          <w:sz w:val="20"/>
          <w:szCs w:val="20"/>
          <w:lang w:val="lt-LT"/>
        </w:rPr>
        <w:t>T</w:t>
      </w:r>
      <w:r>
        <w:rPr>
          <w:rFonts w:ascii="Georgia" w:hAnsi="Georgia" w:cs="Georgia"/>
          <w:sz w:val="20"/>
          <w:szCs w:val="20"/>
          <w:lang w:val="lt-LT"/>
        </w:rPr>
        <w:t>okiu atveju komerciniai bankai reikalautų užstato iš paskolos gavėjų</w:t>
      </w:r>
      <w:r w:rsidR="00A2090D">
        <w:rPr>
          <w:rFonts w:ascii="Georgia" w:hAnsi="Georgia" w:cs="Georgia"/>
          <w:sz w:val="20"/>
          <w:szCs w:val="20"/>
          <w:lang w:val="lt-LT"/>
        </w:rPr>
        <w:t xml:space="preserve">, o paskolos palūkanos </w:t>
      </w:r>
      <w:r w:rsidR="00BD4DEA">
        <w:rPr>
          <w:rFonts w:ascii="Georgia" w:hAnsi="Georgia" w:cs="Georgia"/>
          <w:sz w:val="20"/>
          <w:szCs w:val="20"/>
          <w:lang w:val="lt-LT"/>
        </w:rPr>
        <w:t>-</w:t>
      </w:r>
      <w:r w:rsidR="00A2090D">
        <w:rPr>
          <w:rFonts w:ascii="Georgia" w:hAnsi="Georgia" w:cs="Georgia"/>
          <w:sz w:val="20"/>
          <w:szCs w:val="20"/>
          <w:lang w:val="lt-LT"/>
        </w:rPr>
        <w:t xml:space="preserve"> rinkos. </w:t>
      </w:r>
    </w:p>
    <w:p w14:paraId="0529AF6A" w14:textId="77777777" w:rsidR="00336C16" w:rsidRPr="00FA5E7B" w:rsidRDefault="00336C16" w:rsidP="0074005A">
      <w:pPr>
        <w:pStyle w:val="Pagrindinistekstas"/>
        <w:keepNext/>
        <w:rPr>
          <w:i/>
          <w:sz w:val="24"/>
          <w:lang w:val="lt-LT"/>
        </w:rPr>
      </w:pPr>
      <w:r w:rsidRPr="00FA5E7B">
        <w:rPr>
          <w:i/>
          <w:sz w:val="24"/>
          <w:lang w:val="lt-LT"/>
        </w:rPr>
        <w:lastRenderedPageBreak/>
        <w:t xml:space="preserve">Viešųjų pastatų modernizavimo finansavimas </w:t>
      </w:r>
    </w:p>
    <w:p w14:paraId="2B3B3712" w14:textId="77777777" w:rsidR="00336C16" w:rsidRDefault="00A2090D" w:rsidP="0074005A">
      <w:pPr>
        <w:keepNext/>
        <w:autoSpaceDE w:val="0"/>
        <w:autoSpaceDN w:val="0"/>
        <w:adjustRightInd w:val="0"/>
        <w:jc w:val="both"/>
        <w:rPr>
          <w:rFonts w:ascii="Georgia" w:hAnsi="Georgia" w:cs="Georgia"/>
          <w:sz w:val="20"/>
          <w:szCs w:val="20"/>
          <w:lang w:val="lt-LT"/>
        </w:rPr>
      </w:pPr>
      <w:r>
        <w:rPr>
          <w:rFonts w:ascii="Georgia" w:hAnsi="Georgia" w:cs="Georgia"/>
          <w:sz w:val="20"/>
          <w:szCs w:val="20"/>
          <w:lang w:val="lt-LT"/>
        </w:rPr>
        <w:t>2007-2013 m. periodu v</w:t>
      </w:r>
      <w:r w:rsidR="00336C16">
        <w:rPr>
          <w:rFonts w:ascii="Georgia" w:hAnsi="Georgia" w:cs="Georgia"/>
          <w:sz w:val="20"/>
          <w:szCs w:val="20"/>
          <w:lang w:val="lt-LT"/>
        </w:rPr>
        <w:t>iešųjų pastatų renovacija buvo remiama ES</w:t>
      </w:r>
      <w:r>
        <w:rPr>
          <w:rFonts w:ascii="Georgia" w:hAnsi="Georgia" w:cs="Georgia"/>
          <w:sz w:val="20"/>
          <w:szCs w:val="20"/>
          <w:lang w:val="lt-LT"/>
        </w:rPr>
        <w:t>I</w:t>
      </w:r>
      <w:r w:rsidR="00336C16">
        <w:rPr>
          <w:rFonts w:ascii="Georgia" w:hAnsi="Georgia" w:cs="Georgia"/>
          <w:sz w:val="20"/>
          <w:szCs w:val="20"/>
          <w:lang w:val="lt-LT"/>
        </w:rPr>
        <w:t xml:space="preserve"> fondų lėš</w:t>
      </w:r>
      <w:r>
        <w:rPr>
          <w:rFonts w:ascii="Georgia" w:hAnsi="Georgia" w:cs="Georgia"/>
          <w:sz w:val="20"/>
          <w:szCs w:val="20"/>
          <w:lang w:val="lt-LT"/>
        </w:rPr>
        <w:t>omis</w:t>
      </w:r>
      <w:r w:rsidR="00336C16">
        <w:rPr>
          <w:rFonts w:ascii="Georgia" w:hAnsi="Georgia" w:cs="Georgia"/>
          <w:sz w:val="20"/>
          <w:szCs w:val="20"/>
          <w:lang w:val="lt-LT"/>
        </w:rPr>
        <w:t xml:space="preserve"> pagal tris Ūkio ministerijos priemones: “Viešosios paskirties pastatų renovavimas nacionaliniu lygiu”, “Viešosios paskirties pastatų renovavimas regioniniu lygiu” ir “Viešosios paskirties pastatų renovavimo projektai, atitinkantys Lietuvos 2004–2006 m. Bendrojo programavimo dokumento 1.2 priemonės „Energijos tiekimo stabilumo, prieinamumo ir didesnio energetikos efektyvumo užtikrinimas“ naudos ir kokybės vertinimo kriterijus”. </w:t>
      </w:r>
      <w:r w:rsidRPr="00A2090D">
        <w:rPr>
          <w:rFonts w:ascii="Georgia" w:hAnsi="Georgia" w:cs="Georgia"/>
          <w:sz w:val="20"/>
          <w:szCs w:val="20"/>
          <w:lang w:val="lt-LT"/>
        </w:rPr>
        <w:t>Įgyvendinant šių pastatų renovacijos projektus buvo taikytis patrauklus, tačiau ne itin efektyvus finansavimo būdas, kai projektams įgyvendinti buvo skiriamas finansavimas (subsidija), nesiejant šių investicijų ir siekiamo rezultato, su atsipirkimu ir investicijų padengimu sutaupytos šilumos energijos sąskaita.</w:t>
      </w:r>
      <w:r>
        <w:rPr>
          <w:rFonts w:ascii="Georgia" w:hAnsi="Georgia" w:cs="Georgia"/>
          <w:sz w:val="20"/>
          <w:szCs w:val="20"/>
          <w:lang w:val="lt-LT"/>
        </w:rPr>
        <w:t xml:space="preserve"> </w:t>
      </w:r>
      <w:r w:rsidR="00336C16">
        <w:rPr>
          <w:rFonts w:ascii="Georgia" w:hAnsi="Georgia" w:cs="Georgia"/>
          <w:sz w:val="20"/>
          <w:szCs w:val="20"/>
          <w:lang w:val="lt-LT"/>
        </w:rPr>
        <w:t xml:space="preserve">Lentelėje žemiau yra pateikiamas šių priemonių palyginimas bei šių priemonių pasiekti rezultatai. </w:t>
      </w:r>
    </w:p>
    <w:p w14:paraId="19BC84E8" w14:textId="2D8B6B94" w:rsidR="00336C16" w:rsidRPr="00530723" w:rsidRDefault="00FA5E7B" w:rsidP="00336C16">
      <w:pPr>
        <w:pStyle w:val="Antrat"/>
        <w:rPr>
          <w:lang w:val="lt-LT"/>
        </w:rPr>
      </w:pPr>
      <w:bookmarkStart w:id="64" w:name="_Toc460321600"/>
      <w:r w:rsidRPr="00530723">
        <w:rPr>
          <w:lang w:val="lt-LT"/>
        </w:rPr>
        <w:t xml:space="preserve">Lentelė </w:t>
      </w:r>
      <w:r w:rsidRPr="00530723">
        <w:rPr>
          <w:lang w:val="lt-LT"/>
        </w:rPr>
        <w:fldChar w:fldCharType="begin"/>
      </w:r>
      <w:r w:rsidRPr="00530723">
        <w:rPr>
          <w:lang w:val="lt-LT"/>
        </w:rPr>
        <w:instrText xml:space="preserve"> SEQ Lentelė \* ARABIC </w:instrText>
      </w:r>
      <w:r w:rsidRPr="00530723">
        <w:rPr>
          <w:lang w:val="lt-LT"/>
        </w:rPr>
        <w:fldChar w:fldCharType="separate"/>
      </w:r>
      <w:r w:rsidR="00AA3082">
        <w:rPr>
          <w:noProof/>
          <w:lang w:val="lt-LT"/>
        </w:rPr>
        <w:t>19</w:t>
      </w:r>
      <w:r w:rsidRPr="00530723">
        <w:rPr>
          <w:lang w:val="lt-LT"/>
        </w:rPr>
        <w:fldChar w:fldCharType="end"/>
      </w:r>
      <w:r w:rsidRPr="00530723">
        <w:rPr>
          <w:lang w:val="lt-LT"/>
        </w:rPr>
        <w:t xml:space="preserve">. </w:t>
      </w:r>
      <w:r w:rsidR="00A2090D" w:rsidRPr="00530723">
        <w:rPr>
          <w:lang w:val="lt-LT"/>
        </w:rPr>
        <w:t>Viešųjų</w:t>
      </w:r>
      <w:r w:rsidRPr="00530723">
        <w:rPr>
          <w:lang w:val="lt-LT"/>
        </w:rPr>
        <w:t xml:space="preserve"> pastatų renovacijos Ūkio ministerijos 2007-2013 m. priemonių palyginimas.</w:t>
      </w:r>
      <w:bookmarkEnd w:id="64"/>
    </w:p>
    <w:tbl>
      <w:tblPr>
        <w:tblStyle w:val="viesussraas2parykinimas"/>
        <w:tblW w:w="5000" w:type="pct"/>
        <w:tblLook w:val="04A0" w:firstRow="1" w:lastRow="0" w:firstColumn="1" w:lastColumn="0" w:noHBand="0" w:noVBand="1"/>
      </w:tblPr>
      <w:tblGrid>
        <w:gridCol w:w="2161"/>
        <w:gridCol w:w="2362"/>
        <w:gridCol w:w="2368"/>
        <w:gridCol w:w="2351"/>
      </w:tblGrid>
      <w:tr w:rsidR="00336C16" w:rsidRPr="00A7415B" w14:paraId="740FE5E4" w14:textId="77777777" w:rsidTr="00A741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9" w:type="pct"/>
            <w:tcBorders>
              <w:top w:val="single" w:sz="8" w:space="0" w:color="C0504D" w:themeColor="accent2"/>
              <w:left w:val="single" w:sz="8" w:space="0" w:color="C0504D" w:themeColor="accent2"/>
              <w:bottom w:val="nil"/>
              <w:right w:val="nil"/>
            </w:tcBorders>
            <w:hideMark/>
          </w:tcPr>
          <w:p w14:paraId="70438A2D" w14:textId="77777777" w:rsidR="00336C16" w:rsidRPr="00A7415B" w:rsidRDefault="00336C16" w:rsidP="00A7415B">
            <w:pPr>
              <w:ind w:left="113" w:right="113"/>
              <w:jc w:val="center"/>
              <w:rPr>
                <w:rFonts w:ascii="Georgia" w:eastAsia="Calibri" w:hAnsi="Georgia"/>
                <w:bCs w:val="0"/>
                <w:sz w:val="20"/>
                <w:szCs w:val="20"/>
              </w:rPr>
            </w:pPr>
            <w:r w:rsidRPr="00A7415B">
              <w:rPr>
                <w:rFonts w:ascii="Georgia" w:eastAsia="Calibri" w:hAnsi="Georgia"/>
                <w:bCs w:val="0"/>
                <w:sz w:val="20"/>
                <w:szCs w:val="20"/>
              </w:rPr>
              <w:t>Priemonė</w:t>
            </w:r>
          </w:p>
        </w:tc>
        <w:tc>
          <w:tcPr>
            <w:tcW w:w="1278" w:type="pct"/>
            <w:tcBorders>
              <w:top w:val="single" w:sz="8" w:space="0" w:color="C0504D" w:themeColor="accent2"/>
              <w:left w:val="nil"/>
              <w:bottom w:val="nil"/>
              <w:right w:val="nil"/>
            </w:tcBorders>
            <w:hideMark/>
          </w:tcPr>
          <w:p w14:paraId="6A18CEA4" w14:textId="77777777" w:rsidR="00336C16" w:rsidRPr="00A7415B" w:rsidRDefault="00336C16" w:rsidP="00A7415B">
            <w:pPr>
              <w:ind w:left="113" w:right="113"/>
              <w:jc w:val="center"/>
              <w:cnfStyle w:val="100000000000" w:firstRow="1" w:lastRow="0" w:firstColumn="0" w:lastColumn="0" w:oddVBand="0" w:evenVBand="0" w:oddHBand="0" w:evenHBand="0" w:firstRowFirstColumn="0" w:firstRowLastColumn="0" w:lastRowFirstColumn="0" w:lastRowLastColumn="0"/>
              <w:rPr>
                <w:rFonts w:ascii="Georgia" w:eastAsia="Calibri" w:hAnsi="Georgia"/>
                <w:bCs w:val="0"/>
                <w:sz w:val="20"/>
                <w:szCs w:val="20"/>
              </w:rPr>
            </w:pPr>
            <w:r w:rsidRPr="00A7415B">
              <w:rPr>
                <w:rFonts w:ascii="Georgia" w:eastAsia="Calibri" w:hAnsi="Georgia"/>
                <w:bCs w:val="0"/>
                <w:sz w:val="20"/>
                <w:szCs w:val="20"/>
              </w:rPr>
              <w:t>Viešosios paskirties pastatų renovavimas nacionaliniu lygmeniu</w:t>
            </w:r>
            <w:r w:rsidRPr="00A7415B">
              <w:rPr>
                <w:rStyle w:val="Puslapioinaosnuoroda"/>
                <w:rFonts w:ascii="Georgia" w:eastAsia="Calibri" w:hAnsi="Georgia"/>
                <w:bCs w:val="0"/>
                <w:sz w:val="20"/>
                <w:szCs w:val="20"/>
              </w:rPr>
              <w:footnoteReference w:id="15"/>
            </w:r>
          </w:p>
        </w:tc>
        <w:tc>
          <w:tcPr>
            <w:tcW w:w="1281" w:type="pct"/>
            <w:tcBorders>
              <w:top w:val="single" w:sz="8" w:space="0" w:color="C0504D" w:themeColor="accent2"/>
              <w:left w:val="nil"/>
              <w:bottom w:val="nil"/>
              <w:right w:val="nil"/>
            </w:tcBorders>
            <w:hideMark/>
          </w:tcPr>
          <w:p w14:paraId="54BC51CD" w14:textId="77777777" w:rsidR="00336C16" w:rsidRPr="00A7415B" w:rsidRDefault="00336C16" w:rsidP="00A7415B">
            <w:pPr>
              <w:ind w:left="113" w:right="113"/>
              <w:jc w:val="center"/>
              <w:cnfStyle w:val="100000000000" w:firstRow="1" w:lastRow="0" w:firstColumn="0" w:lastColumn="0" w:oddVBand="0" w:evenVBand="0" w:oddHBand="0" w:evenHBand="0" w:firstRowFirstColumn="0" w:firstRowLastColumn="0" w:lastRowFirstColumn="0" w:lastRowLastColumn="0"/>
              <w:rPr>
                <w:rFonts w:ascii="Georgia" w:eastAsia="Calibri" w:hAnsi="Georgia"/>
                <w:bCs w:val="0"/>
                <w:sz w:val="20"/>
                <w:szCs w:val="20"/>
              </w:rPr>
            </w:pPr>
            <w:r w:rsidRPr="00A7415B">
              <w:rPr>
                <w:rFonts w:ascii="Georgia" w:eastAsia="Calibri" w:hAnsi="Georgia"/>
                <w:bCs w:val="0"/>
                <w:sz w:val="20"/>
                <w:szCs w:val="20"/>
              </w:rPr>
              <w:t>Viešosios paskirties pastatų renovavimas regioniniu lygmeniu</w:t>
            </w:r>
            <w:r w:rsidRPr="00A7415B">
              <w:rPr>
                <w:rStyle w:val="Puslapioinaosnuoroda"/>
                <w:rFonts w:ascii="Georgia" w:eastAsia="Calibri" w:hAnsi="Georgia"/>
                <w:bCs w:val="0"/>
                <w:sz w:val="20"/>
                <w:szCs w:val="20"/>
              </w:rPr>
              <w:footnoteReference w:id="16"/>
            </w:r>
          </w:p>
        </w:tc>
        <w:tc>
          <w:tcPr>
            <w:tcW w:w="1272" w:type="pct"/>
            <w:tcBorders>
              <w:top w:val="single" w:sz="8" w:space="0" w:color="C0504D" w:themeColor="accent2"/>
              <w:left w:val="nil"/>
              <w:bottom w:val="nil"/>
              <w:right w:val="single" w:sz="8" w:space="0" w:color="C0504D" w:themeColor="accent2"/>
            </w:tcBorders>
            <w:hideMark/>
          </w:tcPr>
          <w:p w14:paraId="579B18B6" w14:textId="77777777" w:rsidR="00336C16" w:rsidRPr="00A7415B" w:rsidRDefault="00336C16" w:rsidP="00A7415B">
            <w:pPr>
              <w:ind w:left="113" w:right="113"/>
              <w:jc w:val="center"/>
              <w:cnfStyle w:val="100000000000" w:firstRow="1" w:lastRow="0" w:firstColumn="0" w:lastColumn="0" w:oddVBand="0" w:evenVBand="0" w:oddHBand="0" w:evenHBand="0" w:firstRowFirstColumn="0" w:firstRowLastColumn="0" w:lastRowFirstColumn="0" w:lastRowLastColumn="0"/>
              <w:rPr>
                <w:rFonts w:ascii="Georgia" w:eastAsia="Calibri" w:hAnsi="Georgia"/>
                <w:bCs w:val="0"/>
                <w:sz w:val="20"/>
                <w:szCs w:val="20"/>
              </w:rPr>
            </w:pPr>
            <w:r w:rsidRPr="00A7415B">
              <w:rPr>
                <w:rFonts w:ascii="Georgia" w:eastAsia="Calibri" w:hAnsi="Georgia"/>
                <w:bCs w:val="0"/>
                <w:sz w:val="20"/>
                <w:szCs w:val="20"/>
              </w:rPr>
              <w:t>Viešosios paskirties pastatų renovacija, atitinkanti 2004-2006 m. kriterijus</w:t>
            </w:r>
            <w:r w:rsidRPr="00A7415B">
              <w:rPr>
                <w:rStyle w:val="Puslapioinaosnuoroda"/>
                <w:rFonts w:ascii="Georgia" w:eastAsia="Calibri" w:hAnsi="Georgia"/>
                <w:bCs w:val="0"/>
                <w:sz w:val="20"/>
                <w:szCs w:val="20"/>
              </w:rPr>
              <w:footnoteReference w:id="17"/>
            </w:r>
          </w:p>
        </w:tc>
      </w:tr>
      <w:tr w:rsidR="00336C16" w14:paraId="0A716B6C" w14:textId="77777777" w:rsidTr="00A74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pct"/>
            <w:tcBorders>
              <w:right w:val="nil"/>
            </w:tcBorders>
            <w:hideMark/>
          </w:tcPr>
          <w:p w14:paraId="20F34BA0" w14:textId="77777777" w:rsidR="00336C16" w:rsidRDefault="00336C16">
            <w:pPr>
              <w:ind w:left="113" w:right="113"/>
              <w:rPr>
                <w:rFonts w:ascii="Georgia" w:eastAsia="Calibri" w:hAnsi="Georgia"/>
                <w:b w:val="0"/>
                <w:bCs w:val="0"/>
                <w:sz w:val="20"/>
                <w:szCs w:val="20"/>
              </w:rPr>
            </w:pPr>
            <w:r>
              <w:rPr>
                <w:rFonts w:ascii="Georgia" w:eastAsia="Calibri" w:hAnsi="Georgia"/>
                <w:b w:val="0"/>
                <w:bCs w:val="0"/>
                <w:sz w:val="20"/>
                <w:szCs w:val="20"/>
              </w:rPr>
              <w:t>Galutiniai naudos gavėjai</w:t>
            </w:r>
          </w:p>
        </w:tc>
        <w:tc>
          <w:tcPr>
            <w:tcW w:w="1278" w:type="pct"/>
            <w:tcBorders>
              <w:left w:val="nil"/>
              <w:right w:val="nil"/>
            </w:tcBorders>
            <w:hideMark/>
          </w:tcPr>
          <w:p w14:paraId="30A8ECE7" w14:textId="77777777" w:rsidR="00336C16" w:rsidRDefault="00336C16">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Sveikatos institucijos, švietimo institucijos, socialinių paslaugų institucijos, kultūros institucijos, savivaldybės ir savivaldybių įsteigtos institucijos</w:t>
            </w:r>
          </w:p>
        </w:tc>
        <w:tc>
          <w:tcPr>
            <w:tcW w:w="1281" w:type="pct"/>
            <w:tcBorders>
              <w:left w:val="nil"/>
              <w:right w:val="nil"/>
            </w:tcBorders>
            <w:hideMark/>
          </w:tcPr>
          <w:p w14:paraId="5B952119" w14:textId="77777777" w:rsidR="00336C16" w:rsidRDefault="00336C16">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Projektus pagal priemonę įgyvendina savivaldybės ar jos įstaigų įsteigti viešieji juridiniai asmenys (savivaldybių biudžetinės įstaigos ir viešosios įstaigos) arba šių juridinių asmenų steigėjai</w:t>
            </w:r>
          </w:p>
        </w:tc>
        <w:tc>
          <w:tcPr>
            <w:tcW w:w="1272" w:type="pct"/>
            <w:tcBorders>
              <w:left w:val="nil"/>
            </w:tcBorders>
            <w:hideMark/>
          </w:tcPr>
          <w:p w14:paraId="0323AB5B" w14:textId="77777777" w:rsidR="00336C16" w:rsidRDefault="00336C16">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Valstybė ar savivaldybės arba jų įstaigų įsteigti viešieji juridiniai asmenys (valstybės ar savivaldybių biudžetinės įstaigos, viešosios įstaigos) arba šių juridinių asmenų steigėjai</w:t>
            </w:r>
          </w:p>
        </w:tc>
      </w:tr>
      <w:tr w:rsidR="00336C16" w14:paraId="53A754FB" w14:textId="77777777" w:rsidTr="00A7415B">
        <w:tc>
          <w:tcPr>
            <w:cnfStyle w:val="001000000000" w:firstRow="0" w:lastRow="0" w:firstColumn="1" w:lastColumn="0" w:oddVBand="0" w:evenVBand="0" w:oddHBand="0" w:evenHBand="0" w:firstRowFirstColumn="0" w:firstRowLastColumn="0" w:lastRowFirstColumn="0" w:lastRowLastColumn="0"/>
            <w:tcW w:w="1169" w:type="pct"/>
            <w:tcBorders>
              <w:top w:val="nil"/>
              <w:left w:val="single" w:sz="8" w:space="0" w:color="C0504D" w:themeColor="accent2"/>
              <w:bottom w:val="nil"/>
              <w:right w:val="nil"/>
            </w:tcBorders>
            <w:hideMark/>
          </w:tcPr>
          <w:p w14:paraId="3C32CBE7" w14:textId="77777777" w:rsidR="00336C16" w:rsidRDefault="00336C16">
            <w:pPr>
              <w:ind w:left="113" w:right="113"/>
              <w:rPr>
                <w:rFonts w:ascii="Georgia" w:eastAsia="Calibri" w:hAnsi="Georgia"/>
                <w:b w:val="0"/>
                <w:bCs w:val="0"/>
                <w:sz w:val="20"/>
                <w:szCs w:val="20"/>
              </w:rPr>
            </w:pPr>
            <w:r>
              <w:rPr>
                <w:rFonts w:ascii="Georgia" w:eastAsia="Calibri" w:hAnsi="Georgia"/>
                <w:b w:val="0"/>
                <w:bCs w:val="0"/>
                <w:sz w:val="20"/>
                <w:szCs w:val="20"/>
              </w:rPr>
              <w:t>Priemonės rodikliai (rezultato ir produkto)</w:t>
            </w:r>
          </w:p>
        </w:tc>
        <w:tc>
          <w:tcPr>
            <w:tcW w:w="1278" w:type="pct"/>
            <w:tcBorders>
              <w:top w:val="nil"/>
              <w:left w:val="nil"/>
              <w:bottom w:val="nil"/>
              <w:right w:val="nil"/>
            </w:tcBorders>
            <w:hideMark/>
          </w:tcPr>
          <w:p w14:paraId="03C53A33" w14:textId="77777777" w:rsidR="00336C16" w:rsidRDefault="00336C16">
            <w:pPr>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Energijos sutaupymai – 56 GWh; renovuotų pastatų skaičius – 94 iki 2015</w:t>
            </w:r>
          </w:p>
        </w:tc>
        <w:tc>
          <w:tcPr>
            <w:tcW w:w="1281" w:type="pct"/>
            <w:tcBorders>
              <w:top w:val="nil"/>
              <w:left w:val="nil"/>
              <w:bottom w:val="nil"/>
              <w:right w:val="nil"/>
            </w:tcBorders>
            <w:hideMark/>
          </w:tcPr>
          <w:p w14:paraId="40566030" w14:textId="77777777" w:rsidR="00336C16" w:rsidRDefault="00336C16">
            <w:pPr>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Energijos sutaupymai – 36 GWh; renovuotų pastatų skaičius – 80 iki 2015</w:t>
            </w:r>
          </w:p>
        </w:tc>
        <w:tc>
          <w:tcPr>
            <w:tcW w:w="1272" w:type="pct"/>
            <w:tcBorders>
              <w:top w:val="nil"/>
              <w:left w:val="nil"/>
              <w:bottom w:val="nil"/>
              <w:right w:val="single" w:sz="8" w:space="0" w:color="C0504D" w:themeColor="accent2"/>
            </w:tcBorders>
            <w:hideMark/>
          </w:tcPr>
          <w:p w14:paraId="4CB4EAFA" w14:textId="77777777" w:rsidR="00336C16" w:rsidRDefault="00336C16">
            <w:pPr>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Energijos sutaupymai – 8 GWh; renovuotų pastatų skaičius – 26 iki 2015</w:t>
            </w:r>
          </w:p>
        </w:tc>
      </w:tr>
      <w:tr w:rsidR="00336C16" w14:paraId="0C37B191" w14:textId="77777777" w:rsidTr="00A74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pct"/>
            <w:tcBorders>
              <w:right w:val="nil"/>
            </w:tcBorders>
            <w:hideMark/>
          </w:tcPr>
          <w:p w14:paraId="55740B0E" w14:textId="77777777" w:rsidR="00336C16" w:rsidRDefault="00336C16">
            <w:pPr>
              <w:ind w:left="113" w:right="113"/>
              <w:rPr>
                <w:rFonts w:ascii="Georgia" w:eastAsia="Calibri" w:hAnsi="Georgia"/>
                <w:b w:val="0"/>
                <w:bCs w:val="0"/>
                <w:sz w:val="20"/>
                <w:szCs w:val="20"/>
              </w:rPr>
            </w:pPr>
            <w:r>
              <w:rPr>
                <w:rFonts w:ascii="Georgia" w:eastAsia="Calibri" w:hAnsi="Georgia"/>
                <w:b w:val="0"/>
                <w:bCs w:val="0"/>
                <w:sz w:val="20"/>
                <w:szCs w:val="20"/>
              </w:rPr>
              <w:t>Finansinis produktas</w:t>
            </w:r>
          </w:p>
        </w:tc>
        <w:tc>
          <w:tcPr>
            <w:tcW w:w="1278" w:type="pct"/>
            <w:tcBorders>
              <w:left w:val="nil"/>
              <w:right w:val="nil"/>
            </w:tcBorders>
            <w:hideMark/>
          </w:tcPr>
          <w:p w14:paraId="5FD90B2D" w14:textId="77777777" w:rsidR="00336C16" w:rsidRDefault="00336C16">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Subsidija iki 100%; prisidedama valstybės biudžeto lėšomis</w:t>
            </w:r>
          </w:p>
        </w:tc>
        <w:tc>
          <w:tcPr>
            <w:tcW w:w="1281" w:type="pct"/>
            <w:tcBorders>
              <w:left w:val="nil"/>
              <w:right w:val="nil"/>
            </w:tcBorders>
            <w:hideMark/>
          </w:tcPr>
          <w:p w14:paraId="248E9730" w14:textId="77777777" w:rsidR="00336C16" w:rsidRDefault="00336C16">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Subsidija iki 100%; prisidedama valstybės biudžeto lėšomis</w:t>
            </w:r>
          </w:p>
        </w:tc>
        <w:tc>
          <w:tcPr>
            <w:tcW w:w="1272" w:type="pct"/>
            <w:tcBorders>
              <w:left w:val="nil"/>
            </w:tcBorders>
            <w:hideMark/>
          </w:tcPr>
          <w:p w14:paraId="0D4ADE1D" w14:textId="77777777" w:rsidR="00336C16" w:rsidRDefault="00336C16">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Subsidija iki 100%; prisidedama valstybės biudžeto lėšomis</w:t>
            </w:r>
          </w:p>
        </w:tc>
      </w:tr>
      <w:tr w:rsidR="00336C16" w14:paraId="224A6458" w14:textId="77777777" w:rsidTr="00A7415B">
        <w:tc>
          <w:tcPr>
            <w:cnfStyle w:val="001000000000" w:firstRow="0" w:lastRow="0" w:firstColumn="1" w:lastColumn="0" w:oddVBand="0" w:evenVBand="0" w:oddHBand="0" w:evenHBand="0" w:firstRowFirstColumn="0" w:firstRowLastColumn="0" w:lastRowFirstColumn="0" w:lastRowLastColumn="0"/>
            <w:tcW w:w="1169" w:type="pct"/>
            <w:tcBorders>
              <w:top w:val="nil"/>
              <w:left w:val="single" w:sz="8" w:space="0" w:color="C0504D" w:themeColor="accent2"/>
              <w:bottom w:val="nil"/>
              <w:right w:val="nil"/>
            </w:tcBorders>
            <w:hideMark/>
          </w:tcPr>
          <w:p w14:paraId="4FA3AF89" w14:textId="77777777" w:rsidR="00336C16" w:rsidRDefault="00336C16">
            <w:pPr>
              <w:ind w:left="113" w:right="113"/>
              <w:rPr>
                <w:rFonts w:ascii="Georgia" w:eastAsia="Calibri" w:hAnsi="Georgia"/>
                <w:b w:val="0"/>
                <w:bCs w:val="0"/>
                <w:sz w:val="20"/>
                <w:szCs w:val="20"/>
              </w:rPr>
            </w:pPr>
            <w:r>
              <w:rPr>
                <w:rFonts w:ascii="Georgia" w:eastAsia="Calibri" w:hAnsi="Georgia"/>
                <w:b w:val="0"/>
                <w:bCs w:val="0"/>
                <w:sz w:val="20"/>
                <w:szCs w:val="20"/>
              </w:rPr>
              <w:t>Priemonei skirtas finansavimas</w:t>
            </w:r>
          </w:p>
        </w:tc>
        <w:tc>
          <w:tcPr>
            <w:tcW w:w="1278" w:type="pct"/>
            <w:tcBorders>
              <w:top w:val="nil"/>
              <w:left w:val="nil"/>
              <w:bottom w:val="nil"/>
              <w:right w:val="nil"/>
            </w:tcBorders>
            <w:hideMark/>
          </w:tcPr>
          <w:p w14:paraId="55920CE2" w14:textId="77777777" w:rsidR="00336C16" w:rsidRDefault="00336C16">
            <w:pPr>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730 mln. Lt (211 mln. EUR)</w:t>
            </w:r>
          </w:p>
        </w:tc>
        <w:tc>
          <w:tcPr>
            <w:tcW w:w="1281" w:type="pct"/>
            <w:tcBorders>
              <w:top w:val="nil"/>
              <w:left w:val="nil"/>
              <w:bottom w:val="nil"/>
              <w:right w:val="nil"/>
            </w:tcBorders>
            <w:hideMark/>
          </w:tcPr>
          <w:p w14:paraId="5F052C71" w14:textId="77777777" w:rsidR="00336C16" w:rsidRDefault="00336C16">
            <w:pPr>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346,6 mln. Lt (100 mln. EUR)</w:t>
            </w:r>
          </w:p>
        </w:tc>
        <w:tc>
          <w:tcPr>
            <w:tcW w:w="1272" w:type="pct"/>
            <w:tcBorders>
              <w:top w:val="nil"/>
              <w:left w:val="nil"/>
              <w:bottom w:val="nil"/>
              <w:right w:val="single" w:sz="8" w:space="0" w:color="C0504D" w:themeColor="accent2"/>
            </w:tcBorders>
            <w:hideMark/>
          </w:tcPr>
          <w:p w14:paraId="6486CBEE" w14:textId="77777777" w:rsidR="00336C16" w:rsidRDefault="00336C16">
            <w:pPr>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42,9 mln. Lt (12,42 mln. EUR)</w:t>
            </w:r>
          </w:p>
        </w:tc>
      </w:tr>
      <w:tr w:rsidR="00336C16" w14:paraId="29081108" w14:textId="77777777" w:rsidTr="00A74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pct"/>
            <w:tcBorders>
              <w:right w:val="nil"/>
            </w:tcBorders>
            <w:hideMark/>
          </w:tcPr>
          <w:p w14:paraId="1AF8599D" w14:textId="77777777" w:rsidR="00336C16" w:rsidRDefault="00336C16">
            <w:pPr>
              <w:ind w:left="113" w:right="113"/>
              <w:rPr>
                <w:rFonts w:ascii="Georgia" w:eastAsia="Calibri" w:hAnsi="Georgia"/>
                <w:b w:val="0"/>
                <w:bCs w:val="0"/>
                <w:sz w:val="20"/>
                <w:szCs w:val="20"/>
              </w:rPr>
            </w:pPr>
            <w:r>
              <w:rPr>
                <w:rFonts w:ascii="Georgia" w:eastAsia="Calibri" w:hAnsi="Georgia"/>
                <w:b w:val="0"/>
                <w:bCs w:val="0"/>
                <w:sz w:val="20"/>
                <w:szCs w:val="20"/>
              </w:rPr>
              <w:t>Pasirašyta sutarčių</w:t>
            </w:r>
          </w:p>
        </w:tc>
        <w:tc>
          <w:tcPr>
            <w:tcW w:w="1278" w:type="pct"/>
            <w:tcBorders>
              <w:left w:val="nil"/>
              <w:right w:val="nil"/>
            </w:tcBorders>
            <w:hideMark/>
          </w:tcPr>
          <w:p w14:paraId="4492A71D" w14:textId="77777777" w:rsidR="00336C16" w:rsidRDefault="00336C16">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304</w:t>
            </w:r>
          </w:p>
        </w:tc>
        <w:tc>
          <w:tcPr>
            <w:tcW w:w="1281" w:type="pct"/>
            <w:tcBorders>
              <w:left w:val="nil"/>
              <w:right w:val="nil"/>
            </w:tcBorders>
            <w:hideMark/>
          </w:tcPr>
          <w:p w14:paraId="4921DD86" w14:textId="77777777" w:rsidR="00336C16" w:rsidRDefault="00336C16">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323</w:t>
            </w:r>
          </w:p>
        </w:tc>
        <w:tc>
          <w:tcPr>
            <w:tcW w:w="1272" w:type="pct"/>
            <w:tcBorders>
              <w:left w:val="nil"/>
            </w:tcBorders>
            <w:hideMark/>
          </w:tcPr>
          <w:p w14:paraId="333C3D4A" w14:textId="77777777" w:rsidR="00336C16" w:rsidRDefault="00336C16">
            <w:pPr>
              <w:ind w:left="113" w:right="113"/>
              <w:cnfStyle w:val="000000100000" w:firstRow="0" w:lastRow="0" w:firstColumn="0" w:lastColumn="0" w:oddVBand="0" w:evenVBand="0" w:oddHBand="1"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21</w:t>
            </w:r>
          </w:p>
        </w:tc>
      </w:tr>
      <w:tr w:rsidR="00336C16" w14:paraId="73275020" w14:textId="77777777" w:rsidTr="00A7415B">
        <w:tc>
          <w:tcPr>
            <w:cnfStyle w:val="001000000000" w:firstRow="0" w:lastRow="0" w:firstColumn="1" w:lastColumn="0" w:oddVBand="0" w:evenVBand="0" w:oddHBand="0" w:evenHBand="0" w:firstRowFirstColumn="0" w:firstRowLastColumn="0" w:lastRowFirstColumn="0" w:lastRowLastColumn="0"/>
            <w:tcW w:w="1169" w:type="pct"/>
            <w:tcBorders>
              <w:top w:val="nil"/>
              <w:left w:val="single" w:sz="8" w:space="0" w:color="C0504D" w:themeColor="accent2"/>
              <w:bottom w:val="single" w:sz="8" w:space="0" w:color="C0504D" w:themeColor="accent2"/>
              <w:right w:val="nil"/>
            </w:tcBorders>
            <w:hideMark/>
          </w:tcPr>
          <w:p w14:paraId="35822EE2" w14:textId="77777777" w:rsidR="00336C16" w:rsidRDefault="00336C16" w:rsidP="00530723">
            <w:pPr>
              <w:keepNext/>
              <w:ind w:left="113" w:right="113"/>
              <w:rPr>
                <w:rFonts w:ascii="Georgia" w:eastAsia="Calibri" w:hAnsi="Georgia"/>
                <w:b w:val="0"/>
                <w:bCs w:val="0"/>
                <w:sz w:val="20"/>
                <w:szCs w:val="20"/>
              </w:rPr>
            </w:pPr>
            <w:r>
              <w:rPr>
                <w:rFonts w:ascii="Georgia" w:eastAsia="Calibri" w:hAnsi="Georgia"/>
                <w:b w:val="0"/>
                <w:bCs w:val="0"/>
                <w:sz w:val="20"/>
                <w:szCs w:val="20"/>
              </w:rPr>
              <w:t>Vidutinis projekto finansavimas, EUR</w:t>
            </w:r>
          </w:p>
        </w:tc>
        <w:tc>
          <w:tcPr>
            <w:tcW w:w="1278" w:type="pct"/>
            <w:tcBorders>
              <w:top w:val="nil"/>
              <w:left w:val="nil"/>
              <w:bottom w:val="single" w:sz="8" w:space="0" w:color="C0504D" w:themeColor="accent2"/>
              <w:right w:val="nil"/>
            </w:tcBorders>
            <w:hideMark/>
          </w:tcPr>
          <w:p w14:paraId="5E4D58CF" w14:textId="77777777" w:rsidR="00336C16" w:rsidRDefault="00336C16" w:rsidP="00530723">
            <w:pPr>
              <w:keepNext/>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694 tūkst.</w:t>
            </w:r>
          </w:p>
        </w:tc>
        <w:tc>
          <w:tcPr>
            <w:tcW w:w="1281" w:type="pct"/>
            <w:tcBorders>
              <w:top w:val="nil"/>
              <w:left w:val="nil"/>
              <w:bottom w:val="single" w:sz="8" w:space="0" w:color="C0504D" w:themeColor="accent2"/>
              <w:right w:val="nil"/>
            </w:tcBorders>
            <w:hideMark/>
          </w:tcPr>
          <w:p w14:paraId="5854ECB1" w14:textId="77777777" w:rsidR="00336C16" w:rsidRDefault="00336C16" w:rsidP="00530723">
            <w:pPr>
              <w:keepNext/>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309 tūkst.</w:t>
            </w:r>
          </w:p>
        </w:tc>
        <w:tc>
          <w:tcPr>
            <w:tcW w:w="1272" w:type="pct"/>
            <w:tcBorders>
              <w:top w:val="nil"/>
              <w:left w:val="nil"/>
              <w:bottom w:val="single" w:sz="8" w:space="0" w:color="C0504D" w:themeColor="accent2"/>
              <w:right w:val="single" w:sz="8" w:space="0" w:color="C0504D" w:themeColor="accent2"/>
            </w:tcBorders>
            <w:hideMark/>
          </w:tcPr>
          <w:p w14:paraId="4D0926EE" w14:textId="77777777" w:rsidR="00336C16" w:rsidRDefault="00336C16" w:rsidP="00530723">
            <w:pPr>
              <w:keepNext/>
              <w:ind w:left="113" w:right="113"/>
              <w:cnfStyle w:val="000000000000" w:firstRow="0" w:lastRow="0" w:firstColumn="0" w:lastColumn="0" w:oddVBand="0" w:evenVBand="0" w:oddHBand="0" w:evenHBand="0" w:firstRowFirstColumn="0" w:firstRowLastColumn="0" w:lastRowFirstColumn="0" w:lastRowLastColumn="0"/>
              <w:rPr>
                <w:rFonts w:ascii="Georgia" w:eastAsia="Calibri" w:hAnsi="Georgia"/>
                <w:sz w:val="20"/>
                <w:szCs w:val="20"/>
              </w:rPr>
            </w:pPr>
            <w:r>
              <w:rPr>
                <w:rFonts w:ascii="Georgia" w:eastAsia="Calibri" w:hAnsi="Georgia"/>
                <w:sz w:val="20"/>
                <w:szCs w:val="20"/>
              </w:rPr>
              <w:t>591 tūkst.</w:t>
            </w:r>
          </w:p>
        </w:tc>
      </w:tr>
    </w:tbl>
    <w:p w14:paraId="4639C965" w14:textId="77777777" w:rsidR="00FA5E7B" w:rsidRPr="008E66E4" w:rsidRDefault="00A2090D" w:rsidP="00530723">
      <w:pPr>
        <w:pStyle w:val="Antrat"/>
        <w:rPr>
          <w:i/>
          <w:lang w:val="lt-LT"/>
        </w:rPr>
      </w:pPr>
      <w:r w:rsidRPr="008E66E4">
        <w:rPr>
          <w:b w:val="0"/>
          <w:i/>
          <w:lang w:val="lt-LT"/>
        </w:rPr>
        <w:t xml:space="preserve">Šaltinis: PwC studija, </w:t>
      </w:r>
      <w:hyperlink r:id="rId20" w:history="1">
        <w:r w:rsidR="008E66E4" w:rsidRPr="002707BE">
          <w:rPr>
            <w:rStyle w:val="Hipersaitas"/>
            <w:b w:val="0"/>
            <w:i/>
            <w:lang w:val="lt-LT"/>
          </w:rPr>
          <w:t>www.esparama.lt</w:t>
        </w:r>
      </w:hyperlink>
      <w:r w:rsidR="008E66E4">
        <w:rPr>
          <w:b w:val="0"/>
          <w:i/>
          <w:lang w:val="lt-LT"/>
        </w:rPr>
        <w:t>,</w:t>
      </w:r>
      <w:r w:rsidRPr="008E66E4">
        <w:rPr>
          <w:b w:val="0"/>
          <w:i/>
          <w:lang w:val="lt-LT"/>
        </w:rPr>
        <w:t xml:space="preserve"> sudaryta autorių. </w:t>
      </w:r>
    </w:p>
    <w:p w14:paraId="31F00594" w14:textId="77777777" w:rsidR="00336C16" w:rsidRDefault="00336C16" w:rsidP="00336C16">
      <w:pPr>
        <w:jc w:val="both"/>
        <w:rPr>
          <w:rFonts w:ascii="Georgia" w:hAnsi="Georgia"/>
          <w:sz w:val="20"/>
          <w:lang w:val="lt-LT"/>
        </w:rPr>
      </w:pPr>
      <w:r>
        <w:rPr>
          <w:rFonts w:ascii="Georgia" w:hAnsi="Georgia"/>
          <w:sz w:val="20"/>
          <w:lang w:val="lt-LT"/>
        </w:rPr>
        <w:t>Per 2007-2013 m. periodą pagal šias prie</w:t>
      </w:r>
      <w:r w:rsidR="00756F4C">
        <w:rPr>
          <w:rFonts w:ascii="Georgia" w:hAnsi="Georgia"/>
          <w:sz w:val="20"/>
          <w:lang w:val="lt-LT"/>
        </w:rPr>
        <w:t>mones iš viso buvo skirta 323,4</w:t>
      </w:r>
      <w:r>
        <w:rPr>
          <w:rFonts w:ascii="Georgia" w:hAnsi="Georgia"/>
          <w:sz w:val="20"/>
          <w:lang w:val="lt-LT"/>
        </w:rPr>
        <w:t xml:space="preserve"> mln. eurų 648 projektų finansavimui. Vidutinė projekto vertė remiantis šiais duomenimis siekia 500 tūkst. eurų. </w:t>
      </w:r>
    </w:p>
    <w:p w14:paraId="6012C918" w14:textId="77777777" w:rsidR="00336C16" w:rsidRPr="00FA5E7B" w:rsidRDefault="00336C16" w:rsidP="00336C16">
      <w:pPr>
        <w:pStyle w:val="Pagrindinistekstas"/>
        <w:rPr>
          <w:i/>
          <w:sz w:val="24"/>
          <w:lang w:val="lt-LT"/>
        </w:rPr>
      </w:pPr>
      <w:r w:rsidRPr="00FA5E7B">
        <w:rPr>
          <w:i/>
          <w:sz w:val="24"/>
          <w:lang w:val="lt-LT"/>
        </w:rPr>
        <w:lastRenderedPageBreak/>
        <w:t>Gatvių apšvietimo modernizavimo finansavimas</w:t>
      </w:r>
    </w:p>
    <w:p w14:paraId="4BB97EC0" w14:textId="77777777"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2007-2013 m. periodu ES</w:t>
      </w:r>
      <w:r w:rsidR="00A2090D">
        <w:rPr>
          <w:rFonts w:ascii="Georgia" w:hAnsi="Georgia" w:cs="Georgia"/>
          <w:sz w:val="20"/>
          <w:szCs w:val="20"/>
          <w:lang w:val="lt-LT"/>
        </w:rPr>
        <w:t>I</w:t>
      </w:r>
      <w:r>
        <w:rPr>
          <w:rFonts w:ascii="Georgia" w:hAnsi="Georgia" w:cs="Georgia"/>
          <w:sz w:val="20"/>
          <w:szCs w:val="20"/>
          <w:lang w:val="lt-LT"/>
        </w:rPr>
        <w:t xml:space="preserve"> fondų lėšomis nebuvo įgyvendinta </w:t>
      </w:r>
      <w:r w:rsidR="00BE4D36">
        <w:rPr>
          <w:rFonts w:ascii="Georgia" w:hAnsi="Georgia" w:cs="Georgia"/>
          <w:sz w:val="20"/>
          <w:szCs w:val="20"/>
          <w:lang w:val="lt-LT"/>
        </w:rPr>
        <w:t xml:space="preserve">nė </w:t>
      </w:r>
      <w:r>
        <w:rPr>
          <w:rFonts w:ascii="Georgia" w:hAnsi="Georgia" w:cs="Georgia"/>
          <w:sz w:val="20"/>
          <w:szCs w:val="20"/>
          <w:lang w:val="lt-LT"/>
        </w:rPr>
        <w:t>viena priemonė, skirta finansuoti gatvių apšvietimo modernizavimo projektus.</w:t>
      </w:r>
      <w:r w:rsidR="00BE4D36">
        <w:rPr>
          <w:rFonts w:ascii="Georgia" w:hAnsi="Georgia" w:cs="Georgia"/>
          <w:sz w:val="20"/>
          <w:szCs w:val="20"/>
          <w:lang w:val="lt-LT"/>
        </w:rPr>
        <w:t xml:space="preserve"> Gatvių apšvietimo tinklai pastaraisiais metais buvo renovuojami savivaldybių lėšomis arba skolinantis iš komercinių bankų. Tačiau pažymėtina, jog praktiškai vis</w:t>
      </w:r>
      <w:r w:rsidR="005D499A">
        <w:rPr>
          <w:rFonts w:ascii="Georgia" w:hAnsi="Georgia" w:cs="Georgia"/>
          <w:sz w:val="20"/>
          <w:szCs w:val="20"/>
          <w:lang w:val="lt-LT"/>
        </w:rPr>
        <w:t>os investicijos į gatvių apšvietimo tinklus buvo skirtos ne siekti energijos vartojimo efektyvumo, bet sutaisyti bei renovuoti sugedusius šviestuvus (kaip jau buvo aptarta 2.1.3. skirsnyje, kur pažymėta, kad gatvių apšvietimo tinklai yra pasenę ir susidėvėję).</w:t>
      </w:r>
      <w:r w:rsidR="0020039A">
        <w:rPr>
          <w:rFonts w:ascii="Georgia" w:hAnsi="Georgia" w:cs="Georgia"/>
          <w:sz w:val="20"/>
          <w:szCs w:val="20"/>
          <w:lang w:val="lt-LT"/>
        </w:rPr>
        <w:t xml:space="preserve"> </w:t>
      </w:r>
      <w:r w:rsidR="00B64833">
        <w:rPr>
          <w:rFonts w:ascii="Georgia" w:hAnsi="Georgia" w:cs="Georgia"/>
          <w:sz w:val="20"/>
          <w:szCs w:val="20"/>
          <w:lang w:val="lt-LT"/>
        </w:rPr>
        <w:t>Gatvių apšvietimo tinklai taip pat modernizuoti tais atvejais, kai buvo atliekama esminė kelių rekonstrukcija. Pavieniais atvejais naujos technologijos taip pat įdiegiamos tiesiant naujus kelius, pavyzdžiui LED tipo šviestuvais apšviestos Vilniaus vakarinio aplinkkelio atkarpos.</w:t>
      </w:r>
    </w:p>
    <w:p w14:paraId="26406E35" w14:textId="77777777"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Vienintelis </w:t>
      </w:r>
      <w:r w:rsidR="00944EEF">
        <w:rPr>
          <w:rFonts w:ascii="Georgia" w:hAnsi="Georgia" w:cs="Georgia"/>
          <w:sz w:val="20"/>
          <w:szCs w:val="20"/>
          <w:lang w:val="lt-LT"/>
        </w:rPr>
        <w:t xml:space="preserve">pradedamas </w:t>
      </w:r>
      <w:r>
        <w:rPr>
          <w:rFonts w:ascii="Georgia" w:hAnsi="Georgia" w:cs="Georgia"/>
          <w:sz w:val="20"/>
          <w:szCs w:val="20"/>
          <w:lang w:val="lt-LT"/>
        </w:rPr>
        <w:t>gatvių apšvietimo projektas</w:t>
      </w:r>
      <w:r w:rsidR="00944EEF">
        <w:rPr>
          <w:rFonts w:ascii="Georgia" w:hAnsi="Georgia" w:cs="Georgia"/>
          <w:sz w:val="20"/>
          <w:szCs w:val="20"/>
          <w:lang w:val="lt-LT"/>
        </w:rPr>
        <w:t xml:space="preserve"> </w:t>
      </w:r>
      <w:r>
        <w:rPr>
          <w:rFonts w:ascii="Georgia" w:hAnsi="Georgia" w:cs="Georgia"/>
          <w:sz w:val="20"/>
          <w:szCs w:val="20"/>
          <w:lang w:val="lt-LT"/>
        </w:rPr>
        <w:t>yra Vilniaus gatvių apšvietimo projektas. 2012 m. Vilniaus miesto savivaldybė priėmė sprendimą modernizuoti Vilniaus gatvių apšvietimo tinklus, kadangi</w:t>
      </w:r>
      <w:r w:rsidR="005D499A">
        <w:rPr>
          <w:rFonts w:ascii="Georgia" w:hAnsi="Georgia" w:cs="Georgia"/>
          <w:sz w:val="20"/>
          <w:szCs w:val="20"/>
          <w:lang w:val="lt-LT"/>
        </w:rPr>
        <w:t xml:space="preserve"> </w:t>
      </w:r>
      <w:r>
        <w:rPr>
          <w:rFonts w:ascii="Georgia" w:hAnsi="Georgia" w:cs="Georgia"/>
          <w:sz w:val="20"/>
          <w:szCs w:val="20"/>
          <w:lang w:val="lt-LT"/>
        </w:rPr>
        <w:t>„</w:t>
      </w:r>
      <w:r>
        <w:rPr>
          <w:rFonts w:ascii="Georgia" w:hAnsi="Georgia" w:cs="Georgia"/>
          <w:i/>
          <w:sz w:val="20"/>
          <w:szCs w:val="20"/>
          <w:lang w:val="lt-LT"/>
        </w:rPr>
        <w:t>esama Vilniaus gatvių apšvietimo tinklo valdymo ir kontrolės sistema neefektyvi - naudoja energijai imlias technologijas, nėra galimybės reguliuoti apšvietimo lygį, gedimai fiksuojami tik fiziškai apžiūrint šviestuvus. Gatvių apšvietimo infrastruktūros nusidėvėjimas siekia 89,5 proc., ji neužtikrina normatyvuose nustatyto apšvietimo lygio, gedimai pastebimi pavėluotai</w:t>
      </w:r>
      <w:r>
        <w:rPr>
          <w:rFonts w:ascii="Georgia" w:hAnsi="Georgia" w:cs="Georgia"/>
          <w:sz w:val="20"/>
          <w:szCs w:val="20"/>
          <w:lang w:val="lt-LT"/>
        </w:rPr>
        <w:t xml:space="preserve">. </w:t>
      </w:r>
      <w:r>
        <w:rPr>
          <w:rFonts w:ascii="Georgia" w:hAnsi="Georgia" w:cs="Georgia"/>
          <w:i/>
          <w:sz w:val="20"/>
          <w:szCs w:val="20"/>
          <w:lang w:val="lt-LT"/>
        </w:rPr>
        <w:t>1997 – 2000 m. pasenę gatvių apšvietimui skirti gyvsidabrio lempų šviestuvai buvo pakeisti į ekonomiškesnius natrio lempų šviestuvus. Tai leido mažiausiai dvigubai sumažinti šviestuvų instaliuotą galią, o kartu suvartojamos elektros energijos kiekį. Tačiau daugumos šių šviestuvų eksploatacijos laikas baigsis už 1 – 4 metų, todėl nesiimant projekto įgyvendinimo kokybišką gatvių apšvietimą užtikrinti bus sudėtinga”</w:t>
      </w:r>
      <w:r w:rsidR="005D499A">
        <w:rPr>
          <w:rStyle w:val="Puslapioinaosnuoroda"/>
          <w:rFonts w:ascii="Georgia" w:hAnsi="Georgia" w:cs="Georgia"/>
          <w:i/>
          <w:sz w:val="20"/>
          <w:szCs w:val="20"/>
          <w:lang w:val="lt-LT"/>
        </w:rPr>
        <w:footnoteReference w:id="18"/>
      </w:r>
      <w:r>
        <w:rPr>
          <w:rFonts w:ascii="Georgia" w:hAnsi="Georgia" w:cs="Georgia"/>
          <w:i/>
          <w:sz w:val="20"/>
          <w:szCs w:val="20"/>
          <w:lang w:val="lt-LT"/>
        </w:rPr>
        <w:t xml:space="preserve">. </w:t>
      </w:r>
    </w:p>
    <w:p w14:paraId="10D0B4A8" w14:textId="77777777"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Buvo nuspręsta, kad Vilniaus gatvių apšvietimo modernizavimo projekto finansavimui tinkamiausias modelis yra valdžios ir privataus subjektų partnerystės modelis. Šio projekto vertė – 90,5 mln. EUR (312,5 mln. Lt), trukmė – </w:t>
      </w:r>
      <w:r w:rsidR="00734601">
        <w:rPr>
          <w:rFonts w:ascii="Georgia" w:hAnsi="Georgia" w:cs="Georgia"/>
          <w:sz w:val="20"/>
          <w:szCs w:val="20"/>
          <w:lang w:val="lt-LT"/>
        </w:rPr>
        <w:t>18</w:t>
      </w:r>
      <w:r>
        <w:rPr>
          <w:rFonts w:ascii="Georgia" w:hAnsi="Georgia" w:cs="Georgia"/>
          <w:sz w:val="20"/>
          <w:szCs w:val="20"/>
          <w:lang w:val="lt-LT"/>
        </w:rPr>
        <w:t xml:space="preserve"> m. Planuojama, kad </w:t>
      </w:r>
      <w:r w:rsidR="005D499A">
        <w:rPr>
          <w:rFonts w:ascii="Georgia" w:hAnsi="Georgia" w:cs="Georgia"/>
          <w:sz w:val="20"/>
          <w:szCs w:val="20"/>
          <w:lang w:val="lt-LT"/>
        </w:rPr>
        <w:t xml:space="preserve">įgyvendinus projektą </w:t>
      </w:r>
      <w:r>
        <w:rPr>
          <w:rFonts w:ascii="Georgia" w:hAnsi="Georgia" w:cs="Georgia"/>
          <w:sz w:val="20"/>
          <w:szCs w:val="20"/>
          <w:lang w:val="lt-LT"/>
        </w:rPr>
        <w:t xml:space="preserve">elektros </w:t>
      </w:r>
      <w:r w:rsidR="005D499A">
        <w:rPr>
          <w:rFonts w:ascii="Georgia" w:hAnsi="Georgia" w:cs="Georgia"/>
          <w:sz w:val="20"/>
          <w:szCs w:val="20"/>
          <w:lang w:val="lt-LT"/>
        </w:rPr>
        <w:t xml:space="preserve">energijos </w:t>
      </w:r>
      <w:r>
        <w:rPr>
          <w:rFonts w:ascii="Georgia" w:hAnsi="Georgia" w:cs="Georgia"/>
          <w:sz w:val="20"/>
          <w:szCs w:val="20"/>
          <w:lang w:val="lt-LT"/>
        </w:rPr>
        <w:t xml:space="preserve">suvartojimas sumažės daugiau kaip 70 proc. </w:t>
      </w:r>
    </w:p>
    <w:p w14:paraId="31AF5CDC" w14:textId="77777777" w:rsidR="00336C16" w:rsidRDefault="00336C16" w:rsidP="00C03122">
      <w:pPr>
        <w:pStyle w:val="Antrat2"/>
        <w:numPr>
          <w:ilvl w:val="3"/>
          <w:numId w:val="36"/>
        </w:numPr>
        <w:spacing w:after="240"/>
        <w:rPr>
          <w:lang w:val="lt-LT"/>
        </w:rPr>
      </w:pPr>
      <w:bookmarkStart w:id="65" w:name="_Toc417378376"/>
      <w:r>
        <w:rPr>
          <w:lang w:val="lt-LT"/>
        </w:rPr>
        <w:t>Potencialus 2014-2020 m. laikotarpio projektų finansavimas</w:t>
      </w:r>
      <w:bookmarkEnd w:id="65"/>
    </w:p>
    <w:p w14:paraId="2F8A36DE" w14:textId="77777777" w:rsidR="00336C16" w:rsidRPr="00FA5E7B" w:rsidRDefault="00336C16" w:rsidP="00336C16">
      <w:pPr>
        <w:pStyle w:val="Pagrindinistekstas"/>
        <w:rPr>
          <w:i/>
          <w:sz w:val="24"/>
          <w:lang w:val="lt-LT"/>
        </w:rPr>
      </w:pPr>
      <w:r w:rsidRPr="00FA5E7B">
        <w:rPr>
          <w:i/>
          <w:sz w:val="24"/>
          <w:lang w:val="lt-LT"/>
        </w:rPr>
        <w:t>Komercinių bankų finansavimas</w:t>
      </w:r>
    </w:p>
    <w:p w14:paraId="6467BF68" w14:textId="77777777" w:rsidR="00336C16" w:rsidRPr="00FA5E7B" w:rsidRDefault="00336C16" w:rsidP="00336C16">
      <w:pPr>
        <w:pStyle w:val="Graphic"/>
        <w:jc w:val="left"/>
        <w:rPr>
          <w:rFonts w:ascii="Georgia" w:hAnsi="Georgia"/>
          <w:i/>
          <w:noProof w:val="0"/>
          <w:lang w:val="lt-LT"/>
        </w:rPr>
      </w:pPr>
      <w:r w:rsidRPr="00FA5E7B">
        <w:rPr>
          <w:rFonts w:ascii="Georgia" w:hAnsi="Georgia"/>
          <w:i/>
          <w:noProof w:val="0"/>
          <w:lang w:val="lt-LT"/>
        </w:rPr>
        <w:t>Šalies bankinio sektoriaus struktūra</w:t>
      </w:r>
    </w:p>
    <w:p w14:paraId="7B26F409" w14:textId="77777777" w:rsidR="00336C16" w:rsidRDefault="00336C16" w:rsidP="00336C16">
      <w:pPr>
        <w:autoSpaceDE w:val="0"/>
        <w:autoSpaceDN w:val="0"/>
        <w:adjustRightInd w:val="0"/>
        <w:jc w:val="both"/>
        <w:rPr>
          <w:rFonts w:ascii="Georgia" w:hAnsi="Georgia" w:cs="Georgia"/>
          <w:sz w:val="20"/>
          <w:szCs w:val="20"/>
          <w:lang w:val="lt-LT"/>
        </w:rPr>
      </w:pPr>
      <w:r>
        <w:rPr>
          <w:rFonts w:ascii="Georgia" w:hAnsi="Georgia" w:cs="Georgia"/>
          <w:sz w:val="20"/>
          <w:szCs w:val="20"/>
          <w:lang w:val="lt-LT"/>
        </w:rPr>
        <w:t xml:space="preserve">2013 m. pabaigoje Lietuvoje veikė 7 bankai ir 8 užsienio šalių bankų filialai, kurie teikė paskolas bei kitas finansinio pobūdžio paslaugas juridiniams ir fiziniams asmenims. 2013 m. bankų sektoriaus dalyvių skaičius sumažėjo dėl bankroto bylos iškėlimo AB Ūkio bankui ir AS „UniCredit Bank“ Lietuvos filialo veiklos nutraukimo. Tais pačiais metais savo veiklą šalyje pradėjo plėtoti Suomijos banko „Pohjola Bank Plc“ filialas. Remiantis Lietuvos banko duomenimis, 2013 m. III ketvirčio pabaigai komerciniai bankai valdė 21,9 mlrd. </w:t>
      </w:r>
      <w:r w:rsidR="005D499A">
        <w:rPr>
          <w:rFonts w:ascii="Georgia" w:hAnsi="Georgia" w:cs="Georgia"/>
          <w:sz w:val="20"/>
          <w:szCs w:val="20"/>
          <w:lang w:val="lt-LT"/>
        </w:rPr>
        <w:t xml:space="preserve">eurų </w:t>
      </w:r>
      <w:r>
        <w:rPr>
          <w:rFonts w:ascii="Georgia" w:hAnsi="Georgia" w:cs="Georgia"/>
          <w:sz w:val="20"/>
          <w:szCs w:val="20"/>
          <w:lang w:val="lt-LT"/>
        </w:rPr>
        <w:t>(75,6 mlrd. Lt) vertės turtą, kas sudaro 80,7 proc. visos šalies finansų sistemos turto. Pridėjus lizingo bendrovių turtą, kuris daugumoje yra kontroliuojamas šių bankų, bendras komercinių bankų valdomas turtas sudaro iki 23,</w:t>
      </w:r>
      <w:r w:rsidR="00756F4C">
        <w:rPr>
          <w:rFonts w:ascii="Georgia" w:hAnsi="Georgia" w:cs="Georgia"/>
          <w:sz w:val="20"/>
          <w:szCs w:val="20"/>
          <w:lang w:val="lt-LT"/>
        </w:rPr>
        <w:t>6</w:t>
      </w:r>
      <w:r>
        <w:rPr>
          <w:rFonts w:ascii="Georgia" w:hAnsi="Georgia" w:cs="Georgia"/>
          <w:sz w:val="20"/>
          <w:szCs w:val="20"/>
          <w:lang w:val="lt-LT"/>
        </w:rPr>
        <w:t xml:space="preserve"> mlrd. </w:t>
      </w:r>
      <w:r w:rsidR="005D499A">
        <w:rPr>
          <w:rFonts w:ascii="Georgia" w:hAnsi="Georgia" w:cs="Georgia"/>
          <w:sz w:val="20"/>
          <w:szCs w:val="20"/>
          <w:lang w:val="lt-LT"/>
        </w:rPr>
        <w:t xml:space="preserve">eurų </w:t>
      </w:r>
      <w:r>
        <w:rPr>
          <w:rFonts w:ascii="Georgia" w:hAnsi="Georgia" w:cs="Georgia"/>
          <w:sz w:val="20"/>
          <w:szCs w:val="20"/>
          <w:lang w:val="lt-LT"/>
        </w:rPr>
        <w:t>(81,</w:t>
      </w:r>
      <w:r w:rsidR="00756F4C">
        <w:rPr>
          <w:rFonts w:ascii="Georgia" w:hAnsi="Georgia" w:cs="Georgia"/>
          <w:sz w:val="20"/>
          <w:szCs w:val="20"/>
          <w:lang w:val="lt-LT"/>
        </w:rPr>
        <w:t>5</w:t>
      </w:r>
      <w:r>
        <w:rPr>
          <w:rFonts w:ascii="Georgia" w:hAnsi="Georgia" w:cs="Georgia"/>
          <w:sz w:val="20"/>
          <w:szCs w:val="20"/>
          <w:lang w:val="lt-LT"/>
        </w:rPr>
        <w:t xml:space="preserve"> mlrd. Lt), t.y. 86,9 proc. visos šalies finansų sistemos turto. Atsižvelgiant į tai, komercinių bankų finansavimas yra vienas svarbiausių ir didžiausių finansavimo šaltinių, todėl jam skiriamas didelis dėmesys pasiūlos analizėje. </w:t>
      </w:r>
    </w:p>
    <w:p w14:paraId="206CF5C2" w14:textId="77777777"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Lietuvos banko statistika atskleidžia, kad per finansų krizę smarkiai sumažėjo skolinimo ne finansų korporacijoms apimtys (žr. 24 pav.). Pavyzdžiui, 2007 m. kovo mėn. buvo suteikta daugiau kaip 724,</w:t>
      </w:r>
      <w:r w:rsidR="00756F4C">
        <w:rPr>
          <w:rFonts w:ascii="Georgia" w:hAnsi="Georgia" w:cs="Times New Roman"/>
          <w:sz w:val="20"/>
          <w:szCs w:val="20"/>
          <w:lang w:val="lt-LT"/>
        </w:rPr>
        <w:t>1</w:t>
      </w:r>
      <w:r>
        <w:rPr>
          <w:rFonts w:ascii="Georgia" w:hAnsi="Georgia" w:cs="Times New Roman"/>
          <w:sz w:val="20"/>
          <w:szCs w:val="20"/>
          <w:lang w:val="lt-LT"/>
        </w:rPr>
        <w:t xml:space="preserve"> mln. </w:t>
      </w:r>
      <w:r w:rsidR="005D499A">
        <w:rPr>
          <w:rFonts w:ascii="Georgia" w:hAnsi="Georgia" w:cs="Times New Roman"/>
          <w:sz w:val="20"/>
          <w:szCs w:val="20"/>
          <w:lang w:val="lt-LT"/>
        </w:rPr>
        <w:t xml:space="preserve">eurų </w:t>
      </w:r>
      <w:r>
        <w:rPr>
          <w:rFonts w:ascii="Georgia" w:hAnsi="Georgia" w:cs="Times New Roman"/>
          <w:sz w:val="20"/>
          <w:szCs w:val="20"/>
          <w:lang w:val="lt-LT"/>
        </w:rPr>
        <w:t>(2 500 mln. Lt) paskolų, o 2011 m. sausio mėn</w:t>
      </w:r>
      <w:r w:rsidR="00756F4C">
        <w:rPr>
          <w:rFonts w:ascii="Georgia" w:hAnsi="Georgia" w:cs="Times New Roman"/>
          <w:sz w:val="20"/>
          <w:szCs w:val="20"/>
          <w:lang w:val="lt-LT"/>
        </w:rPr>
        <w:t>. - tik 68,1</w:t>
      </w:r>
      <w:r>
        <w:rPr>
          <w:rFonts w:ascii="Georgia" w:hAnsi="Georgia" w:cs="Times New Roman"/>
          <w:sz w:val="20"/>
          <w:szCs w:val="20"/>
          <w:lang w:val="lt-LT"/>
        </w:rPr>
        <w:t xml:space="preserve"> mln. </w:t>
      </w:r>
      <w:r w:rsidR="005D499A">
        <w:rPr>
          <w:rFonts w:ascii="Georgia" w:hAnsi="Georgia" w:cs="Times New Roman"/>
          <w:sz w:val="20"/>
          <w:szCs w:val="20"/>
          <w:lang w:val="lt-LT"/>
        </w:rPr>
        <w:t xml:space="preserve">eurų </w:t>
      </w:r>
      <w:r>
        <w:rPr>
          <w:rFonts w:ascii="Georgia" w:hAnsi="Georgia" w:cs="Times New Roman"/>
          <w:sz w:val="20"/>
          <w:szCs w:val="20"/>
          <w:lang w:val="lt-LT"/>
        </w:rPr>
        <w:t xml:space="preserve">(235 mln. Lt) paskolų. Nors esama skolinimo ne finansų įmonėms padėtis stabilizuojasi, skaičiai kol kas yra gerokai mažesni, </w:t>
      </w:r>
      <w:r>
        <w:rPr>
          <w:rFonts w:ascii="Georgia" w:hAnsi="Georgia" w:cs="Times New Roman"/>
          <w:sz w:val="20"/>
          <w:szCs w:val="20"/>
          <w:lang w:val="lt-LT"/>
        </w:rPr>
        <w:lastRenderedPageBreak/>
        <w:t xml:space="preserve">palyginti su laikotarpiu prieš krizę. Tai rodo, kad komerciniai bankai vis dar nenoriai teikia naujas paskolas ne finansų korporacijoms.  </w:t>
      </w:r>
    </w:p>
    <w:p w14:paraId="0F1CC9F4" w14:textId="77777777" w:rsidR="007C2A52" w:rsidRPr="007C2A52" w:rsidRDefault="007C2A52" w:rsidP="00336C16">
      <w:pPr>
        <w:jc w:val="both"/>
        <w:rPr>
          <w:rFonts w:ascii="Georgia" w:hAnsi="Georgia" w:cs="Times New Roman"/>
          <w:sz w:val="16"/>
          <w:szCs w:val="16"/>
          <w:lang w:val="lt-LT"/>
        </w:rPr>
      </w:pPr>
    </w:p>
    <w:p w14:paraId="5E7C4B23" w14:textId="77777777" w:rsidR="00336C16" w:rsidRDefault="00336C16" w:rsidP="00336C16">
      <w:pPr>
        <w:jc w:val="both"/>
        <w:rPr>
          <w:rFonts w:ascii="Georgia" w:hAnsi="Georgia" w:cs="Times New Roman"/>
          <w:sz w:val="20"/>
          <w:szCs w:val="20"/>
          <w:lang w:val="lt-LT"/>
        </w:rPr>
      </w:pPr>
      <w:r>
        <w:rPr>
          <w:rFonts w:ascii="Georgia" w:hAnsi="Georgia" w:cs="Times New Roman"/>
          <w:noProof/>
          <w:sz w:val="20"/>
          <w:szCs w:val="20"/>
          <w:lang w:val="lt-LT" w:eastAsia="lt-LT"/>
        </w:rPr>
        <w:drawing>
          <wp:inline distT="0" distB="0" distL="0" distR="0" wp14:anchorId="18C752D5" wp14:editId="31C1658F">
            <wp:extent cx="5729288" cy="2145328"/>
            <wp:effectExtent l="0" t="0" r="5080" b="762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t="9083"/>
                    <a:stretch/>
                  </pic:blipFill>
                  <pic:spPr bwMode="auto">
                    <a:xfrm>
                      <a:off x="0" y="0"/>
                      <a:ext cx="5730875" cy="2145922"/>
                    </a:xfrm>
                    <a:prstGeom prst="rect">
                      <a:avLst/>
                    </a:prstGeom>
                    <a:noFill/>
                    <a:ln>
                      <a:noFill/>
                    </a:ln>
                    <a:extLst>
                      <a:ext uri="{53640926-AAD7-44D8-BBD7-CCE9431645EC}">
                        <a14:shadowObscured xmlns:a14="http://schemas.microsoft.com/office/drawing/2010/main"/>
                      </a:ext>
                    </a:extLst>
                  </pic:spPr>
                </pic:pic>
              </a:graphicData>
            </a:graphic>
          </wp:inline>
        </w:drawing>
      </w:r>
    </w:p>
    <w:p w14:paraId="615B7214" w14:textId="2C93C707" w:rsidR="00336C16" w:rsidRPr="001E4B4F" w:rsidRDefault="00FA5E7B" w:rsidP="00FA5E7B">
      <w:pPr>
        <w:pStyle w:val="Antrat"/>
        <w:spacing w:line="276" w:lineRule="auto"/>
        <w:rPr>
          <w:i/>
          <w:szCs w:val="20"/>
          <w:lang w:val="lt-LT"/>
        </w:rPr>
      </w:pPr>
      <w:bookmarkStart w:id="66" w:name="_Toc417378282"/>
      <w:r w:rsidRPr="00530723">
        <w:rPr>
          <w:lang w:val="lt-LT"/>
        </w:rPr>
        <w:t xml:space="preserve">Paveikslas </w:t>
      </w:r>
      <w:r w:rsidRPr="00530723">
        <w:rPr>
          <w:lang w:val="lt-LT"/>
        </w:rPr>
        <w:fldChar w:fldCharType="begin"/>
      </w:r>
      <w:r w:rsidRPr="00530723">
        <w:rPr>
          <w:lang w:val="lt-LT"/>
        </w:rPr>
        <w:instrText xml:space="preserve"> SEQ Paveikslas \* ARABIC </w:instrText>
      </w:r>
      <w:r w:rsidRPr="00530723">
        <w:rPr>
          <w:lang w:val="lt-LT"/>
        </w:rPr>
        <w:fldChar w:fldCharType="separate"/>
      </w:r>
      <w:r w:rsidR="00AA3082">
        <w:rPr>
          <w:noProof/>
          <w:lang w:val="lt-LT"/>
        </w:rPr>
        <w:t>5</w:t>
      </w:r>
      <w:r w:rsidRPr="00530723">
        <w:rPr>
          <w:lang w:val="lt-LT"/>
        </w:rPr>
        <w:fldChar w:fldCharType="end"/>
      </w:r>
      <w:r w:rsidRPr="00530723">
        <w:rPr>
          <w:lang w:val="lt-LT"/>
        </w:rPr>
        <w:t xml:space="preserve">. Ne finansų korporacijoms išduotos naujos paskolos 2006 – 2013 m. laikotarpiu. </w:t>
      </w:r>
      <w:r w:rsidRPr="00530723">
        <w:rPr>
          <w:i/>
          <w:lang w:val="lt-LT"/>
        </w:rPr>
        <w:t>Šaltinis: KPMG studija</w:t>
      </w:r>
      <w:bookmarkEnd w:id="66"/>
    </w:p>
    <w:p w14:paraId="0C34467B" w14:textId="77777777"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Komercinių bankų finansavimas energetikos sektoriui buvo apskaičiuotas remiantis prielaidomis dėl bendro komercinių bankų portfelio augimo prognozių ir švietimo ir mokslo projektų finansavimo dalies bendrame komercinių bankų paskolų portfelyje. Atsižvelgiant į komercinių bankų apklausos metu gautą informaciją, energetikos sektoriaus finansavimas sudaro apie 25 proc. viso viešosios sektoriaus infrastruktūrai tenkančio finansavimo portfelio, iš kurių apie 5 proc. viso finansavimo portfelio gali atitekti energetinio efektyvumo projektams. Remiantis komercinių bankų apklausų metu pateikta informacija, prognozuojamas bendro portfelio augimas iki 2020 metų yra pateikiamas </w:t>
      </w:r>
      <w:r w:rsidR="00FA5E7B">
        <w:rPr>
          <w:rFonts w:ascii="Georgia" w:hAnsi="Georgia" w:cs="Times New Roman"/>
          <w:sz w:val="20"/>
          <w:szCs w:val="20"/>
          <w:lang w:val="lt-LT"/>
        </w:rPr>
        <w:t xml:space="preserve">14-oje </w:t>
      </w:r>
      <w:r>
        <w:rPr>
          <w:rFonts w:ascii="Georgia" w:hAnsi="Georgia" w:cs="Times New Roman"/>
          <w:sz w:val="20"/>
          <w:szCs w:val="20"/>
          <w:lang w:val="lt-LT"/>
        </w:rPr>
        <w:t xml:space="preserve">lentelėje žemiau. Prognozė komercinių bankų finansavimui yra apskaičiuota remiantis prielaida, kad komercinių bankų portfelis kasmet auga 4 proc. </w:t>
      </w:r>
    </w:p>
    <w:p w14:paraId="4C808EA9" w14:textId="54FD62B6" w:rsidR="00FA5E7B" w:rsidRPr="00530723" w:rsidRDefault="00FA5E7B" w:rsidP="00FA5E7B">
      <w:pPr>
        <w:pStyle w:val="Antrat"/>
        <w:jc w:val="both"/>
        <w:rPr>
          <w:i/>
          <w:lang w:val="lt-LT"/>
        </w:rPr>
      </w:pPr>
      <w:bookmarkStart w:id="67" w:name="_Toc460321601"/>
      <w:r w:rsidRPr="00530723">
        <w:rPr>
          <w:lang w:val="lt-LT"/>
        </w:rPr>
        <w:t xml:space="preserve">Lentelė </w:t>
      </w:r>
      <w:r w:rsidRPr="00530723">
        <w:rPr>
          <w:lang w:val="lt-LT"/>
        </w:rPr>
        <w:fldChar w:fldCharType="begin"/>
      </w:r>
      <w:r w:rsidRPr="00530723">
        <w:rPr>
          <w:lang w:val="lt-LT"/>
        </w:rPr>
        <w:instrText xml:space="preserve"> SEQ Lentelė \* ARABIC </w:instrText>
      </w:r>
      <w:r w:rsidRPr="00530723">
        <w:rPr>
          <w:lang w:val="lt-LT"/>
        </w:rPr>
        <w:fldChar w:fldCharType="separate"/>
      </w:r>
      <w:r w:rsidR="00AA3082">
        <w:rPr>
          <w:noProof/>
          <w:lang w:val="lt-LT"/>
        </w:rPr>
        <w:t>20</w:t>
      </w:r>
      <w:r w:rsidRPr="00530723">
        <w:rPr>
          <w:lang w:val="lt-LT"/>
        </w:rPr>
        <w:fldChar w:fldCharType="end"/>
      </w:r>
      <w:r w:rsidRPr="00530723">
        <w:rPr>
          <w:lang w:val="lt-LT"/>
        </w:rPr>
        <w:t xml:space="preserve">. </w:t>
      </w:r>
      <w:r w:rsidRPr="001E4B4F">
        <w:rPr>
          <w:szCs w:val="20"/>
          <w:lang w:val="lt-LT"/>
        </w:rPr>
        <w:t>Komercinių bankų portfelio prognozė</w:t>
      </w:r>
      <w:r w:rsidR="00A7415B">
        <w:rPr>
          <w:szCs w:val="20"/>
          <w:lang w:val="lt-LT"/>
        </w:rPr>
        <w:t xml:space="preserve"> (mln. Lt.)</w:t>
      </w:r>
      <w:bookmarkEnd w:id="67"/>
    </w:p>
    <w:tbl>
      <w:tblPr>
        <w:tblStyle w:val="viesussraas2parykinimas"/>
        <w:tblW w:w="5000" w:type="pct"/>
        <w:tblCellMar>
          <w:left w:w="28" w:type="dxa"/>
          <w:right w:w="28" w:type="dxa"/>
        </w:tblCellMar>
        <w:tblLook w:val="04A0" w:firstRow="1" w:lastRow="0" w:firstColumn="1" w:lastColumn="0" w:noHBand="0" w:noVBand="1"/>
      </w:tblPr>
      <w:tblGrid>
        <w:gridCol w:w="988"/>
        <w:gridCol w:w="558"/>
        <w:gridCol w:w="610"/>
        <w:gridCol w:w="674"/>
        <w:gridCol w:w="643"/>
        <w:gridCol w:w="668"/>
        <w:gridCol w:w="676"/>
        <w:gridCol w:w="668"/>
        <w:gridCol w:w="685"/>
        <w:gridCol w:w="667"/>
        <w:gridCol w:w="679"/>
        <w:gridCol w:w="1566"/>
      </w:tblGrid>
      <w:tr w:rsidR="00A7415B" w:rsidRPr="00A7415B" w14:paraId="0F4ABC41" w14:textId="77777777" w:rsidTr="000A566C">
        <w:trPr>
          <w:cnfStyle w:val="100000000000" w:firstRow="1" w:lastRow="0" w:firstColumn="0" w:lastColumn="0" w:oddVBand="0" w:evenVBand="0" w:oddHBand="0" w:evenHBand="0" w:firstRowFirstColumn="0" w:firstRowLastColumn="0" w:lastRowFirstColumn="0" w:lastRowLastColumn="0"/>
          <w:trHeight w:val="443"/>
          <w:tblHeader/>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8" w:space="0" w:color="C0504D" w:themeColor="accent2"/>
              <w:left w:val="single" w:sz="8" w:space="0" w:color="C0504D" w:themeColor="accent2"/>
              <w:bottom w:val="nil"/>
              <w:right w:val="single" w:sz="8" w:space="0" w:color="C0504D" w:themeColor="accent2"/>
            </w:tcBorders>
            <w:noWrap/>
            <w:hideMark/>
          </w:tcPr>
          <w:p w14:paraId="7AEDC926" w14:textId="77777777" w:rsidR="00A7415B" w:rsidRPr="00A7415B" w:rsidRDefault="00A7415B" w:rsidP="00A7415B">
            <w:pPr>
              <w:jc w:val="center"/>
              <w:rPr>
                <w:rFonts w:ascii="Georgia" w:eastAsia="Times New Roman" w:hAnsi="Georgia" w:cs="Times New Roman"/>
                <w:sz w:val="20"/>
                <w:szCs w:val="20"/>
              </w:rPr>
            </w:pPr>
            <w:r>
              <w:rPr>
                <w:rFonts w:ascii="Georgia" w:eastAsia="Times New Roman" w:hAnsi="Georgia" w:cs="Times New Roman"/>
                <w:bCs w:val="0"/>
                <w:sz w:val="20"/>
                <w:szCs w:val="20"/>
              </w:rPr>
              <w:t>Komercinių bankų portfelio prognozė</w:t>
            </w:r>
          </w:p>
        </w:tc>
      </w:tr>
      <w:tr w:rsidR="00A7415B" w:rsidRPr="00A7415B" w14:paraId="0C885E3D" w14:textId="77777777" w:rsidTr="000A566C">
        <w:trPr>
          <w:cnfStyle w:val="100000000000" w:firstRow="1" w:lastRow="0" w:firstColumn="0" w:lastColumn="0" w:oddVBand="0" w:evenVBand="0" w:oddHBand="0" w:evenHBand="0" w:firstRowFirstColumn="0" w:firstRowLastColumn="0" w:lastRowFirstColumn="0" w:lastRowLastColumn="0"/>
          <w:trHeight w:val="443"/>
          <w:tblHeader/>
        </w:trPr>
        <w:tc>
          <w:tcPr>
            <w:cnfStyle w:val="001000000000" w:firstRow="0" w:lastRow="0" w:firstColumn="1" w:lastColumn="0" w:oddVBand="0" w:evenVBand="0" w:oddHBand="0" w:evenHBand="0" w:firstRowFirstColumn="0" w:firstRowLastColumn="0" w:lastRowFirstColumn="0" w:lastRowLastColumn="0"/>
            <w:tcW w:w="544" w:type="pct"/>
            <w:tcBorders>
              <w:right w:val="nil"/>
            </w:tcBorders>
            <w:noWrap/>
            <w:hideMark/>
          </w:tcPr>
          <w:p w14:paraId="4124D06C" w14:textId="77777777" w:rsidR="00336C16" w:rsidRPr="00A7415B" w:rsidRDefault="00336C16">
            <w:pPr>
              <w:jc w:val="center"/>
              <w:rPr>
                <w:rFonts w:ascii="Georgia" w:eastAsia="Times New Roman" w:hAnsi="Georgia" w:cs="Times New Roman"/>
                <w:b w:val="0"/>
                <w:bCs w:val="0"/>
                <w:sz w:val="18"/>
                <w:szCs w:val="20"/>
              </w:rPr>
            </w:pPr>
            <w:r w:rsidRPr="00A7415B">
              <w:rPr>
                <w:rFonts w:ascii="Georgia" w:eastAsia="Times New Roman" w:hAnsi="Georgia" w:cs="Times New Roman"/>
                <w:b w:val="0"/>
                <w:sz w:val="18"/>
                <w:szCs w:val="20"/>
              </w:rPr>
              <w:t>Metai</w:t>
            </w:r>
          </w:p>
        </w:tc>
        <w:tc>
          <w:tcPr>
            <w:tcW w:w="307" w:type="pct"/>
            <w:tcBorders>
              <w:left w:val="nil"/>
              <w:right w:val="nil"/>
            </w:tcBorders>
            <w:noWrap/>
            <w:hideMark/>
          </w:tcPr>
          <w:p w14:paraId="3C5C8BA9" w14:textId="77777777" w:rsidR="00336C16" w:rsidRPr="00A7415B" w:rsidRDefault="00336C16">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bCs w:val="0"/>
                <w:sz w:val="18"/>
                <w:szCs w:val="20"/>
              </w:rPr>
            </w:pPr>
            <w:r w:rsidRPr="00A7415B">
              <w:rPr>
                <w:rFonts w:ascii="Georgia" w:eastAsia="Times New Roman" w:hAnsi="Georgia" w:cs="Times New Roman"/>
                <w:b w:val="0"/>
                <w:bCs w:val="0"/>
                <w:sz w:val="18"/>
                <w:szCs w:val="20"/>
              </w:rPr>
              <w:t>2011</w:t>
            </w:r>
          </w:p>
        </w:tc>
        <w:tc>
          <w:tcPr>
            <w:tcW w:w="336" w:type="pct"/>
            <w:tcBorders>
              <w:left w:val="nil"/>
              <w:right w:val="nil"/>
            </w:tcBorders>
            <w:noWrap/>
            <w:hideMark/>
          </w:tcPr>
          <w:p w14:paraId="4566B6B9" w14:textId="77777777" w:rsidR="00336C16" w:rsidRPr="00A7415B" w:rsidRDefault="00336C16">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bCs w:val="0"/>
                <w:sz w:val="18"/>
                <w:szCs w:val="20"/>
              </w:rPr>
            </w:pPr>
            <w:r w:rsidRPr="00A7415B">
              <w:rPr>
                <w:rFonts w:ascii="Georgia" w:eastAsia="Times New Roman" w:hAnsi="Georgia" w:cs="Times New Roman"/>
                <w:b w:val="0"/>
                <w:bCs w:val="0"/>
                <w:sz w:val="18"/>
                <w:szCs w:val="20"/>
              </w:rPr>
              <w:t>2012</w:t>
            </w:r>
          </w:p>
        </w:tc>
        <w:tc>
          <w:tcPr>
            <w:tcW w:w="371" w:type="pct"/>
            <w:tcBorders>
              <w:left w:val="nil"/>
              <w:right w:val="nil"/>
            </w:tcBorders>
            <w:noWrap/>
            <w:hideMark/>
          </w:tcPr>
          <w:p w14:paraId="107CB95E" w14:textId="77777777" w:rsidR="00336C16" w:rsidRPr="00A7415B" w:rsidRDefault="00336C16">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bCs w:val="0"/>
                <w:sz w:val="18"/>
                <w:szCs w:val="20"/>
              </w:rPr>
            </w:pPr>
            <w:r w:rsidRPr="00A7415B">
              <w:rPr>
                <w:rFonts w:ascii="Georgia" w:eastAsia="Times New Roman" w:hAnsi="Georgia" w:cs="Times New Roman"/>
                <w:b w:val="0"/>
                <w:bCs w:val="0"/>
                <w:sz w:val="18"/>
                <w:szCs w:val="20"/>
              </w:rPr>
              <w:t>2013</w:t>
            </w:r>
          </w:p>
        </w:tc>
        <w:tc>
          <w:tcPr>
            <w:tcW w:w="354" w:type="pct"/>
            <w:tcBorders>
              <w:left w:val="nil"/>
              <w:right w:val="nil"/>
            </w:tcBorders>
            <w:noWrap/>
            <w:hideMark/>
          </w:tcPr>
          <w:p w14:paraId="1BDFFCAE" w14:textId="77777777" w:rsidR="00336C16" w:rsidRPr="00A7415B" w:rsidRDefault="00336C16">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bCs w:val="0"/>
                <w:sz w:val="18"/>
                <w:szCs w:val="20"/>
              </w:rPr>
            </w:pPr>
            <w:r w:rsidRPr="00A7415B">
              <w:rPr>
                <w:rFonts w:ascii="Georgia" w:eastAsia="Times New Roman" w:hAnsi="Georgia" w:cs="Times New Roman"/>
                <w:b w:val="0"/>
                <w:bCs w:val="0"/>
                <w:sz w:val="18"/>
                <w:szCs w:val="20"/>
              </w:rPr>
              <w:t>2014</w:t>
            </w:r>
          </w:p>
        </w:tc>
        <w:tc>
          <w:tcPr>
            <w:tcW w:w="368" w:type="pct"/>
            <w:tcBorders>
              <w:left w:val="nil"/>
              <w:right w:val="nil"/>
            </w:tcBorders>
            <w:noWrap/>
            <w:hideMark/>
          </w:tcPr>
          <w:p w14:paraId="7AED5528" w14:textId="77777777" w:rsidR="00336C16" w:rsidRPr="00A7415B" w:rsidRDefault="00336C16">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bCs w:val="0"/>
                <w:sz w:val="18"/>
                <w:szCs w:val="20"/>
              </w:rPr>
            </w:pPr>
            <w:r w:rsidRPr="00A7415B">
              <w:rPr>
                <w:rFonts w:ascii="Georgia" w:eastAsia="Times New Roman" w:hAnsi="Georgia" w:cs="Times New Roman"/>
                <w:b w:val="0"/>
                <w:bCs w:val="0"/>
                <w:sz w:val="18"/>
                <w:szCs w:val="20"/>
              </w:rPr>
              <w:t>2015</w:t>
            </w:r>
          </w:p>
        </w:tc>
        <w:tc>
          <w:tcPr>
            <w:tcW w:w="372" w:type="pct"/>
            <w:tcBorders>
              <w:left w:val="nil"/>
              <w:right w:val="nil"/>
            </w:tcBorders>
            <w:noWrap/>
            <w:hideMark/>
          </w:tcPr>
          <w:p w14:paraId="7DE8D757" w14:textId="77777777" w:rsidR="00336C16" w:rsidRPr="00A7415B" w:rsidRDefault="00336C16">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bCs w:val="0"/>
                <w:sz w:val="18"/>
                <w:szCs w:val="20"/>
              </w:rPr>
            </w:pPr>
            <w:r w:rsidRPr="00A7415B">
              <w:rPr>
                <w:rFonts w:ascii="Georgia" w:eastAsia="Times New Roman" w:hAnsi="Georgia" w:cs="Times New Roman"/>
                <w:b w:val="0"/>
                <w:bCs w:val="0"/>
                <w:sz w:val="18"/>
                <w:szCs w:val="20"/>
              </w:rPr>
              <w:t>2016</w:t>
            </w:r>
          </w:p>
        </w:tc>
        <w:tc>
          <w:tcPr>
            <w:tcW w:w="368" w:type="pct"/>
            <w:tcBorders>
              <w:left w:val="nil"/>
              <w:right w:val="nil"/>
            </w:tcBorders>
            <w:noWrap/>
            <w:hideMark/>
          </w:tcPr>
          <w:p w14:paraId="689A0F87" w14:textId="77777777" w:rsidR="00336C16" w:rsidRPr="00A7415B" w:rsidRDefault="00336C16">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bCs w:val="0"/>
                <w:sz w:val="18"/>
                <w:szCs w:val="20"/>
              </w:rPr>
            </w:pPr>
            <w:r w:rsidRPr="00A7415B">
              <w:rPr>
                <w:rFonts w:ascii="Georgia" w:eastAsia="Times New Roman" w:hAnsi="Georgia" w:cs="Times New Roman"/>
                <w:b w:val="0"/>
                <w:bCs w:val="0"/>
                <w:sz w:val="18"/>
                <w:szCs w:val="20"/>
              </w:rPr>
              <w:t>2017</w:t>
            </w:r>
          </w:p>
        </w:tc>
        <w:tc>
          <w:tcPr>
            <w:tcW w:w="377" w:type="pct"/>
            <w:tcBorders>
              <w:left w:val="nil"/>
              <w:right w:val="nil"/>
            </w:tcBorders>
            <w:noWrap/>
            <w:hideMark/>
          </w:tcPr>
          <w:p w14:paraId="79528FAC" w14:textId="77777777" w:rsidR="00336C16" w:rsidRPr="00A7415B" w:rsidRDefault="00336C16">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bCs w:val="0"/>
                <w:sz w:val="18"/>
                <w:szCs w:val="20"/>
              </w:rPr>
            </w:pPr>
            <w:r w:rsidRPr="00A7415B">
              <w:rPr>
                <w:rFonts w:ascii="Georgia" w:eastAsia="Times New Roman" w:hAnsi="Georgia" w:cs="Times New Roman"/>
                <w:b w:val="0"/>
                <w:bCs w:val="0"/>
                <w:sz w:val="18"/>
                <w:szCs w:val="20"/>
              </w:rPr>
              <w:t>2018</w:t>
            </w:r>
          </w:p>
        </w:tc>
        <w:tc>
          <w:tcPr>
            <w:tcW w:w="367" w:type="pct"/>
            <w:tcBorders>
              <w:left w:val="nil"/>
              <w:right w:val="nil"/>
            </w:tcBorders>
            <w:noWrap/>
            <w:hideMark/>
          </w:tcPr>
          <w:p w14:paraId="6F5EAD52" w14:textId="77777777" w:rsidR="00336C16" w:rsidRPr="00A7415B" w:rsidRDefault="00336C16">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bCs w:val="0"/>
                <w:sz w:val="18"/>
                <w:szCs w:val="20"/>
              </w:rPr>
            </w:pPr>
            <w:r w:rsidRPr="00A7415B">
              <w:rPr>
                <w:rFonts w:ascii="Georgia" w:eastAsia="Times New Roman" w:hAnsi="Georgia" w:cs="Times New Roman"/>
                <w:b w:val="0"/>
                <w:bCs w:val="0"/>
                <w:sz w:val="18"/>
                <w:szCs w:val="20"/>
              </w:rPr>
              <w:t>2019</w:t>
            </w:r>
          </w:p>
        </w:tc>
        <w:tc>
          <w:tcPr>
            <w:tcW w:w="374" w:type="pct"/>
            <w:tcBorders>
              <w:left w:val="nil"/>
              <w:right w:val="nil"/>
            </w:tcBorders>
            <w:noWrap/>
            <w:hideMark/>
          </w:tcPr>
          <w:p w14:paraId="1E2C1C1A" w14:textId="77777777" w:rsidR="00336C16" w:rsidRPr="00A7415B" w:rsidRDefault="00336C16">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bCs w:val="0"/>
                <w:sz w:val="18"/>
                <w:szCs w:val="20"/>
              </w:rPr>
            </w:pPr>
            <w:r w:rsidRPr="00A7415B">
              <w:rPr>
                <w:rFonts w:ascii="Georgia" w:eastAsia="Times New Roman" w:hAnsi="Georgia" w:cs="Times New Roman"/>
                <w:b w:val="0"/>
                <w:bCs w:val="0"/>
                <w:sz w:val="18"/>
                <w:szCs w:val="20"/>
              </w:rPr>
              <w:t>2020</w:t>
            </w:r>
          </w:p>
        </w:tc>
        <w:tc>
          <w:tcPr>
            <w:tcW w:w="862" w:type="pct"/>
            <w:tcBorders>
              <w:left w:val="nil"/>
            </w:tcBorders>
            <w:noWrap/>
            <w:hideMark/>
          </w:tcPr>
          <w:p w14:paraId="1D3EC7EC" w14:textId="77777777" w:rsidR="00336C16" w:rsidRPr="00A7415B" w:rsidRDefault="00336C16">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bCs w:val="0"/>
                <w:sz w:val="18"/>
                <w:szCs w:val="20"/>
              </w:rPr>
            </w:pPr>
            <w:r w:rsidRPr="00A7415B">
              <w:rPr>
                <w:rFonts w:ascii="Georgia" w:eastAsia="Times New Roman" w:hAnsi="Georgia" w:cs="Times New Roman"/>
                <w:b w:val="0"/>
                <w:bCs w:val="0"/>
                <w:sz w:val="18"/>
                <w:szCs w:val="20"/>
              </w:rPr>
              <w:t>Iš viso 2014-2020</w:t>
            </w:r>
          </w:p>
        </w:tc>
      </w:tr>
      <w:tr w:rsidR="00A7415B" w14:paraId="4D4EC11E" w14:textId="77777777" w:rsidTr="000A566C">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544" w:type="pct"/>
            <w:tcBorders>
              <w:top w:val="nil"/>
              <w:right w:val="nil"/>
            </w:tcBorders>
            <w:noWrap/>
            <w:hideMark/>
          </w:tcPr>
          <w:p w14:paraId="6693F1CC" w14:textId="77777777" w:rsidR="00A7415B" w:rsidRDefault="00336C16">
            <w:pPr>
              <w:jc w:val="center"/>
              <w:rPr>
                <w:rFonts w:ascii="Georgia" w:eastAsia="Times New Roman" w:hAnsi="Georgia" w:cs="Times New Roman"/>
                <w:color w:val="000000"/>
                <w:sz w:val="18"/>
                <w:szCs w:val="20"/>
              </w:rPr>
            </w:pPr>
            <w:r>
              <w:rPr>
                <w:rFonts w:ascii="Georgia" w:eastAsia="Times New Roman" w:hAnsi="Georgia" w:cs="Times New Roman"/>
                <w:color w:val="000000"/>
                <w:sz w:val="18"/>
                <w:szCs w:val="20"/>
              </w:rPr>
              <w:t>Paskolos</w:t>
            </w:r>
            <w:r w:rsidR="00A7415B">
              <w:rPr>
                <w:rFonts w:ascii="Georgia" w:eastAsia="Times New Roman" w:hAnsi="Georgia" w:cs="Times New Roman"/>
                <w:color w:val="000000"/>
                <w:sz w:val="18"/>
                <w:szCs w:val="20"/>
              </w:rPr>
              <w:t xml:space="preserve"> </w:t>
            </w:r>
          </w:p>
          <w:p w14:paraId="54AFFC52" w14:textId="77777777" w:rsidR="00336C16" w:rsidRDefault="00A7415B">
            <w:pPr>
              <w:jc w:val="center"/>
              <w:rPr>
                <w:rFonts w:ascii="Georgia" w:eastAsia="Times New Roman" w:hAnsi="Georgia" w:cs="Times New Roman"/>
                <w:bCs w:val="0"/>
                <w:color w:val="000000"/>
                <w:sz w:val="18"/>
                <w:szCs w:val="20"/>
              </w:rPr>
            </w:pPr>
            <w:r>
              <w:rPr>
                <w:rFonts w:ascii="Georgia" w:eastAsia="Times New Roman" w:hAnsi="Georgia" w:cs="Times New Roman"/>
                <w:color w:val="000000"/>
                <w:sz w:val="18"/>
                <w:szCs w:val="20"/>
              </w:rPr>
              <w:t>(mln. Lt.)</w:t>
            </w:r>
          </w:p>
        </w:tc>
        <w:tc>
          <w:tcPr>
            <w:tcW w:w="307" w:type="pct"/>
            <w:tcBorders>
              <w:top w:val="nil"/>
              <w:left w:val="nil"/>
              <w:right w:val="nil"/>
            </w:tcBorders>
            <w:noWrap/>
            <w:hideMark/>
          </w:tcPr>
          <w:p w14:paraId="7E6FAE20" w14:textId="77777777" w:rsidR="00336C16" w:rsidRDefault="00336C1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000000"/>
                <w:sz w:val="16"/>
                <w:szCs w:val="20"/>
              </w:rPr>
            </w:pPr>
            <w:r>
              <w:rPr>
                <w:rFonts w:ascii="Georgia" w:eastAsia="Times New Roman" w:hAnsi="Georgia" w:cs="Times New Roman"/>
                <w:bCs/>
                <w:color w:val="000000"/>
                <w:sz w:val="16"/>
                <w:szCs w:val="20"/>
              </w:rPr>
              <w:t>-</w:t>
            </w:r>
          </w:p>
        </w:tc>
        <w:tc>
          <w:tcPr>
            <w:tcW w:w="336" w:type="pct"/>
            <w:tcBorders>
              <w:top w:val="nil"/>
              <w:left w:val="nil"/>
              <w:right w:val="nil"/>
            </w:tcBorders>
            <w:noWrap/>
            <w:hideMark/>
          </w:tcPr>
          <w:p w14:paraId="1D7807C0" w14:textId="77777777" w:rsidR="00336C16" w:rsidRDefault="00336C16" w:rsidP="00756F4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000000"/>
                <w:sz w:val="16"/>
                <w:szCs w:val="20"/>
              </w:rPr>
            </w:pPr>
            <w:r>
              <w:rPr>
                <w:rFonts w:ascii="Georgia" w:eastAsia="Times New Roman" w:hAnsi="Georgia" w:cs="Times New Roman"/>
                <w:bCs/>
                <w:color w:val="000000"/>
                <w:sz w:val="16"/>
                <w:szCs w:val="20"/>
              </w:rPr>
              <w:t>611,</w:t>
            </w:r>
            <w:r w:rsidR="00756F4C">
              <w:rPr>
                <w:rFonts w:ascii="Georgia" w:eastAsia="Times New Roman" w:hAnsi="Georgia" w:cs="Times New Roman"/>
                <w:bCs/>
                <w:color w:val="000000"/>
                <w:sz w:val="16"/>
                <w:szCs w:val="20"/>
              </w:rPr>
              <w:t>2</w:t>
            </w:r>
          </w:p>
        </w:tc>
        <w:tc>
          <w:tcPr>
            <w:tcW w:w="371" w:type="pct"/>
            <w:tcBorders>
              <w:top w:val="nil"/>
              <w:left w:val="nil"/>
              <w:right w:val="nil"/>
            </w:tcBorders>
            <w:noWrap/>
            <w:hideMark/>
          </w:tcPr>
          <w:p w14:paraId="20CE099F" w14:textId="77777777" w:rsidR="00336C16" w:rsidRDefault="00336C16" w:rsidP="00756F4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000000"/>
                <w:sz w:val="16"/>
                <w:szCs w:val="20"/>
              </w:rPr>
            </w:pPr>
            <w:r>
              <w:rPr>
                <w:rFonts w:ascii="Georgia" w:eastAsia="Times New Roman" w:hAnsi="Georgia" w:cs="Times New Roman"/>
                <w:bCs/>
                <w:color w:val="000000"/>
                <w:sz w:val="16"/>
                <w:szCs w:val="20"/>
              </w:rPr>
              <w:t>254,2</w:t>
            </w:r>
          </w:p>
        </w:tc>
        <w:tc>
          <w:tcPr>
            <w:tcW w:w="354" w:type="pct"/>
            <w:tcBorders>
              <w:top w:val="nil"/>
              <w:left w:val="nil"/>
              <w:right w:val="nil"/>
            </w:tcBorders>
            <w:noWrap/>
            <w:hideMark/>
          </w:tcPr>
          <w:p w14:paraId="1B53ED6F" w14:textId="77777777" w:rsidR="00336C16" w:rsidRDefault="00336C16" w:rsidP="00756F4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000000"/>
                <w:sz w:val="16"/>
                <w:szCs w:val="20"/>
              </w:rPr>
            </w:pPr>
            <w:r>
              <w:rPr>
                <w:rFonts w:ascii="Georgia" w:eastAsia="Times New Roman" w:hAnsi="Georgia" w:cs="Times New Roman"/>
                <w:bCs/>
                <w:color w:val="000000"/>
                <w:sz w:val="16"/>
                <w:szCs w:val="20"/>
              </w:rPr>
              <w:t>415,7</w:t>
            </w:r>
          </w:p>
        </w:tc>
        <w:tc>
          <w:tcPr>
            <w:tcW w:w="368" w:type="pct"/>
            <w:tcBorders>
              <w:top w:val="nil"/>
              <w:left w:val="nil"/>
              <w:right w:val="nil"/>
            </w:tcBorders>
            <w:noWrap/>
            <w:hideMark/>
          </w:tcPr>
          <w:p w14:paraId="7DC8788A" w14:textId="77777777" w:rsidR="00336C16" w:rsidRDefault="00336C16" w:rsidP="00756F4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000000"/>
                <w:sz w:val="16"/>
                <w:szCs w:val="20"/>
              </w:rPr>
            </w:pPr>
            <w:r>
              <w:rPr>
                <w:rFonts w:ascii="Georgia" w:eastAsia="Times New Roman" w:hAnsi="Georgia" w:cs="Times New Roman"/>
                <w:bCs/>
                <w:color w:val="000000"/>
                <w:sz w:val="16"/>
                <w:szCs w:val="20"/>
              </w:rPr>
              <w:t>432,</w:t>
            </w:r>
            <w:r w:rsidR="00756F4C">
              <w:rPr>
                <w:rFonts w:ascii="Georgia" w:eastAsia="Times New Roman" w:hAnsi="Georgia" w:cs="Times New Roman"/>
                <w:bCs/>
                <w:color w:val="000000"/>
                <w:sz w:val="16"/>
                <w:szCs w:val="20"/>
              </w:rPr>
              <w:t>4</w:t>
            </w:r>
          </w:p>
        </w:tc>
        <w:tc>
          <w:tcPr>
            <w:tcW w:w="372" w:type="pct"/>
            <w:tcBorders>
              <w:top w:val="nil"/>
              <w:left w:val="nil"/>
              <w:right w:val="nil"/>
            </w:tcBorders>
            <w:noWrap/>
            <w:hideMark/>
          </w:tcPr>
          <w:p w14:paraId="0EC52F56" w14:textId="77777777" w:rsidR="00336C16" w:rsidRDefault="00336C16" w:rsidP="00756F4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000000"/>
                <w:sz w:val="16"/>
                <w:szCs w:val="20"/>
              </w:rPr>
            </w:pPr>
            <w:r>
              <w:rPr>
                <w:rFonts w:ascii="Georgia" w:eastAsia="Times New Roman" w:hAnsi="Georgia" w:cs="Times New Roman"/>
                <w:bCs/>
                <w:color w:val="000000"/>
                <w:sz w:val="16"/>
                <w:szCs w:val="20"/>
              </w:rPr>
              <w:t>449,</w:t>
            </w:r>
            <w:r w:rsidR="00756F4C">
              <w:rPr>
                <w:rFonts w:ascii="Georgia" w:eastAsia="Times New Roman" w:hAnsi="Georgia" w:cs="Times New Roman"/>
                <w:bCs/>
                <w:color w:val="000000"/>
                <w:sz w:val="16"/>
                <w:szCs w:val="20"/>
              </w:rPr>
              <w:t>7</w:t>
            </w:r>
          </w:p>
        </w:tc>
        <w:tc>
          <w:tcPr>
            <w:tcW w:w="368" w:type="pct"/>
            <w:tcBorders>
              <w:top w:val="nil"/>
              <w:left w:val="nil"/>
              <w:right w:val="nil"/>
            </w:tcBorders>
            <w:noWrap/>
            <w:hideMark/>
          </w:tcPr>
          <w:p w14:paraId="3DB5AA9E" w14:textId="77777777" w:rsidR="00336C16" w:rsidRDefault="00336C16" w:rsidP="00756F4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000000"/>
                <w:sz w:val="16"/>
                <w:szCs w:val="20"/>
              </w:rPr>
            </w:pPr>
            <w:r>
              <w:rPr>
                <w:rFonts w:ascii="Georgia" w:eastAsia="Times New Roman" w:hAnsi="Georgia" w:cs="Times New Roman"/>
                <w:bCs/>
                <w:color w:val="000000"/>
                <w:sz w:val="16"/>
                <w:szCs w:val="20"/>
              </w:rPr>
              <w:t>467,6</w:t>
            </w:r>
          </w:p>
        </w:tc>
        <w:tc>
          <w:tcPr>
            <w:tcW w:w="377" w:type="pct"/>
            <w:tcBorders>
              <w:top w:val="nil"/>
              <w:left w:val="nil"/>
              <w:right w:val="nil"/>
            </w:tcBorders>
            <w:noWrap/>
            <w:hideMark/>
          </w:tcPr>
          <w:p w14:paraId="7D5F47F6" w14:textId="77777777" w:rsidR="00336C16" w:rsidRDefault="00336C16" w:rsidP="00756F4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000000"/>
                <w:sz w:val="16"/>
                <w:szCs w:val="20"/>
              </w:rPr>
            </w:pPr>
            <w:r>
              <w:rPr>
                <w:rFonts w:ascii="Georgia" w:eastAsia="Times New Roman" w:hAnsi="Georgia" w:cs="Times New Roman"/>
                <w:bCs/>
                <w:color w:val="000000"/>
                <w:sz w:val="16"/>
                <w:szCs w:val="20"/>
              </w:rPr>
              <w:t>486,3</w:t>
            </w:r>
          </w:p>
        </w:tc>
        <w:tc>
          <w:tcPr>
            <w:tcW w:w="367" w:type="pct"/>
            <w:tcBorders>
              <w:top w:val="nil"/>
              <w:left w:val="nil"/>
              <w:right w:val="nil"/>
            </w:tcBorders>
            <w:noWrap/>
            <w:hideMark/>
          </w:tcPr>
          <w:p w14:paraId="4B589D08" w14:textId="77777777" w:rsidR="00336C16" w:rsidRDefault="00336C16" w:rsidP="00756F4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000000"/>
                <w:sz w:val="16"/>
                <w:szCs w:val="20"/>
              </w:rPr>
            </w:pPr>
            <w:r>
              <w:rPr>
                <w:rFonts w:ascii="Georgia" w:eastAsia="Times New Roman" w:hAnsi="Georgia" w:cs="Times New Roman"/>
                <w:bCs/>
                <w:color w:val="000000"/>
                <w:sz w:val="16"/>
                <w:szCs w:val="20"/>
              </w:rPr>
              <w:t>505,</w:t>
            </w:r>
            <w:r w:rsidR="00756F4C">
              <w:rPr>
                <w:rFonts w:ascii="Georgia" w:eastAsia="Times New Roman" w:hAnsi="Georgia" w:cs="Times New Roman"/>
                <w:bCs/>
                <w:color w:val="000000"/>
                <w:sz w:val="16"/>
                <w:szCs w:val="20"/>
              </w:rPr>
              <w:t>8</w:t>
            </w:r>
          </w:p>
        </w:tc>
        <w:tc>
          <w:tcPr>
            <w:tcW w:w="374" w:type="pct"/>
            <w:tcBorders>
              <w:top w:val="nil"/>
              <w:left w:val="nil"/>
              <w:right w:val="nil"/>
            </w:tcBorders>
            <w:noWrap/>
            <w:hideMark/>
          </w:tcPr>
          <w:p w14:paraId="218D0EB4" w14:textId="77777777" w:rsidR="00336C16" w:rsidRDefault="00336C16" w:rsidP="00756F4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000000"/>
                <w:sz w:val="16"/>
                <w:szCs w:val="20"/>
              </w:rPr>
            </w:pPr>
            <w:r>
              <w:rPr>
                <w:rFonts w:ascii="Georgia" w:eastAsia="Times New Roman" w:hAnsi="Georgia" w:cs="Times New Roman"/>
                <w:bCs/>
                <w:color w:val="000000"/>
                <w:sz w:val="16"/>
                <w:szCs w:val="20"/>
              </w:rPr>
              <w:t>526,0</w:t>
            </w:r>
          </w:p>
        </w:tc>
        <w:tc>
          <w:tcPr>
            <w:tcW w:w="862" w:type="pct"/>
            <w:tcBorders>
              <w:top w:val="nil"/>
              <w:left w:val="nil"/>
            </w:tcBorders>
            <w:noWrap/>
            <w:hideMark/>
          </w:tcPr>
          <w:p w14:paraId="3B79DE37" w14:textId="77777777" w:rsidR="00336C16" w:rsidRDefault="00336C16" w:rsidP="00756F4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000000"/>
                <w:sz w:val="16"/>
                <w:szCs w:val="20"/>
              </w:rPr>
            </w:pPr>
            <w:r>
              <w:rPr>
                <w:rFonts w:ascii="Georgia" w:eastAsia="Times New Roman" w:hAnsi="Georgia" w:cs="Times New Roman"/>
                <w:bCs/>
                <w:color w:val="000000"/>
                <w:sz w:val="16"/>
                <w:szCs w:val="20"/>
              </w:rPr>
              <w:t>3283,5</w:t>
            </w:r>
          </w:p>
        </w:tc>
      </w:tr>
    </w:tbl>
    <w:p w14:paraId="61536D45" w14:textId="77777777" w:rsidR="00336C16" w:rsidRPr="00530723" w:rsidRDefault="00AF4D5E" w:rsidP="00530723">
      <w:pPr>
        <w:pStyle w:val="Antrat"/>
        <w:jc w:val="both"/>
        <w:rPr>
          <w:i/>
          <w:szCs w:val="20"/>
          <w:lang w:val="lt-LT"/>
        </w:rPr>
      </w:pPr>
      <w:r w:rsidRPr="00530723">
        <w:rPr>
          <w:b w:val="0"/>
          <w:i/>
          <w:szCs w:val="20"/>
          <w:lang w:val="lt-LT"/>
        </w:rPr>
        <w:t xml:space="preserve">Šaltinis: sudaryta autorių remiantis komercinių bankų apklausos rezultatais. </w:t>
      </w:r>
    </w:p>
    <w:p w14:paraId="5893D3F2" w14:textId="77777777"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Remiantis lentelėje </w:t>
      </w:r>
      <w:r w:rsidR="000B28FE">
        <w:rPr>
          <w:rFonts w:ascii="Georgia" w:hAnsi="Georgia" w:cs="Times New Roman"/>
          <w:sz w:val="20"/>
          <w:szCs w:val="20"/>
          <w:lang w:val="lt-LT"/>
        </w:rPr>
        <w:t xml:space="preserve">aukščiau esančioje lentelėje </w:t>
      </w:r>
      <w:r>
        <w:rPr>
          <w:rFonts w:ascii="Georgia" w:hAnsi="Georgia" w:cs="Times New Roman"/>
          <w:sz w:val="20"/>
          <w:szCs w:val="20"/>
          <w:lang w:val="lt-LT"/>
        </w:rPr>
        <w:t xml:space="preserve">pateiktais duomenimis, komercinių bankų finansavimas, prieinamas viešojo sektoriaus subjektams energetikos sektoriaus projektams finansuoti, 2014-2020 </w:t>
      </w:r>
      <w:r w:rsidR="00AF4D5E">
        <w:rPr>
          <w:rFonts w:ascii="Georgia" w:hAnsi="Georgia" w:cs="Times New Roman"/>
          <w:sz w:val="20"/>
          <w:szCs w:val="20"/>
          <w:lang w:val="lt-LT"/>
        </w:rPr>
        <w:t xml:space="preserve">m. </w:t>
      </w:r>
      <w:r>
        <w:rPr>
          <w:rFonts w:ascii="Georgia" w:hAnsi="Georgia" w:cs="Times New Roman"/>
          <w:sz w:val="20"/>
          <w:szCs w:val="20"/>
          <w:lang w:val="lt-LT"/>
        </w:rPr>
        <w:t>sudaro apie 820 mln. Lt, iš jų energetinio efektyvumo projektams finansuoti – apie 46,3 ml</w:t>
      </w:r>
      <w:r w:rsidR="00AF4D5E">
        <w:rPr>
          <w:rFonts w:ascii="Georgia" w:hAnsi="Georgia" w:cs="Times New Roman"/>
          <w:sz w:val="20"/>
          <w:szCs w:val="20"/>
          <w:lang w:val="lt-LT"/>
        </w:rPr>
        <w:t>n</w:t>
      </w:r>
      <w:r>
        <w:rPr>
          <w:rFonts w:ascii="Georgia" w:hAnsi="Georgia" w:cs="Times New Roman"/>
          <w:sz w:val="20"/>
          <w:szCs w:val="20"/>
          <w:lang w:val="lt-LT"/>
        </w:rPr>
        <w:t xml:space="preserve">. </w:t>
      </w:r>
      <w:r w:rsidR="00AF4D5E">
        <w:rPr>
          <w:rFonts w:ascii="Georgia" w:hAnsi="Georgia" w:cs="Times New Roman"/>
          <w:sz w:val="20"/>
          <w:szCs w:val="20"/>
          <w:lang w:val="lt-LT"/>
        </w:rPr>
        <w:t>eurų</w:t>
      </w:r>
      <w:r>
        <w:rPr>
          <w:rFonts w:ascii="Georgia" w:hAnsi="Georgia" w:cs="Times New Roman"/>
          <w:sz w:val="20"/>
          <w:szCs w:val="20"/>
          <w:lang w:val="lt-LT"/>
        </w:rPr>
        <w:t xml:space="preserve"> (160 mln. Lt). Atkreiptinas dėmesys, kad komerciniai bankai negalėjo pateikti atskiros informacijos apie daugiabučių renovacijos finansavimą, todėl darytina prielaida, kad daugiabučių renovacijai tenkanti pasiūlos dalis yra įskaičiuota į 46,</w:t>
      </w:r>
      <w:r w:rsidR="009C5533">
        <w:rPr>
          <w:rFonts w:ascii="Georgia" w:hAnsi="Georgia" w:cs="Times New Roman"/>
          <w:sz w:val="20"/>
          <w:szCs w:val="20"/>
          <w:lang w:val="lt-LT"/>
        </w:rPr>
        <w:t xml:space="preserve">3 </w:t>
      </w:r>
      <w:r>
        <w:rPr>
          <w:rFonts w:ascii="Georgia" w:hAnsi="Georgia" w:cs="Times New Roman"/>
          <w:sz w:val="20"/>
          <w:szCs w:val="20"/>
          <w:lang w:val="lt-LT"/>
        </w:rPr>
        <w:t>ml</w:t>
      </w:r>
      <w:r w:rsidR="00104B42">
        <w:rPr>
          <w:rFonts w:ascii="Georgia" w:hAnsi="Georgia" w:cs="Times New Roman"/>
          <w:sz w:val="20"/>
          <w:szCs w:val="20"/>
          <w:lang w:val="lt-LT"/>
        </w:rPr>
        <w:t>n</w:t>
      </w:r>
      <w:r>
        <w:rPr>
          <w:rFonts w:ascii="Georgia" w:hAnsi="Georgia" w:cs="Times New Roman"/>
          <w:sz w:val="20"/>
          <w:szCs w:val="20"/>
          <w:lang w:val="lt-LT"/>
        </w:rPr>
        <w:t xml:space="preserve">. </w:t>
      </w:r>
      <w:r w:rsidR="009C5533">
        <w:rPr>
          <w:rFonts w:ascii="Georgia" w:hAnsi="Georgia" w:cs="Times New Roman"/>
          <w:sz w:val="20"/>
          <w:szCs w:val="20"/>
          <w:lang w:val="lt-LT"/>
        </w:rPr>
        <w:t>eurų</w:t>
      </w:r>
      <w:r>
        <w:rPr>
          <w:rFonts w:ascii="Georgia" w:hAnsi="Georgia" w:cs="Times New Roman"/>
          <w:sz w:val="20"/>
          <w:szCs w:val="20"/>
          <w:lang w:val="lt-LT"/>
        </w:rPr>
        <w:t xml:space="preserve"> (160 mln. Lt).</w:t>
      </w:r>
      <w:r w:rsidR="00104B42">
        <w:rPr>
          <w:rFonts w:ascii="Georgia" w:hAnsi="Georgia" w:cs="Times New Roman"/>
          <w:sz w:val="20"/>
          <w:szCs w:val="20"/>
          <w:lang w:val="lt-LT"/>
        </w:rPr>
        <w:t xml:space="preserve"> A</w:t>
      </w:r>
      <w:r w:rsidR="00FA5E7B">
        <w:rPr>
          <w:rFonts w:ascii="Georgia" w:hAnsi="Georgia" w:cs="Times New Roman"/>
          <w:sz w:val="20"/>
          <w:szCs w:val="20"/>
          <w:lang w:val="lt-LT"/>
        </w:rPr>
        <w:t>tsižvelgiant į komercinių bankų</w:t>
      </w:r>
      <w:r w:rsidR="00104B42" w:rsidRPr="00104B42">
        <w:rPr>
          <w:rFonts w:ascii="Georgia" w:hAnsi="Georgia" w:cs="Times New Roman"/>
          <w:sz w:val="20"/>
          <w:szCs w:val="20"/>
          <w:lang w:val="lt-LT"/>
        </w:rPr>
        <w:t xml:space="preserve"> apklaus</w:t>
      </w:r>
      <w:r w:rsidR="00FA5E7B">
        <w:rPr>
          <w:rFonts w:ascii="Georgia" w:hAnsi="Georgia" w:cs="Times New Roman"/>
          <w:sz w:val="20"/>
          <w:szCs w:val="20"/>
          <w:lang w:val="lt-LT"/>
        </w:rPr>
        <w:t>ų metu suteiktą</w:t>
      </w:r>
      <w:r w:rsidR="00104B42" w:rsidRPr="00104B42">
        <w:rPr>
          <w:rFonts w:ascii="Georgia" w:hAnsi="Georgia" w:cs="Times New Roman"/>
          <w:sz w:val="20"/>
          <w:szCs w:val="20"/>
          <w:lang w:val="lt-LT"/>
        </w:rPr>
        <w:t xml:space="preserve"> info</w:t>
      </w:r>
      <w:r w:rsidR="00104B42">
        <w:rPr>
          <w:rFonts w:ascii="Georgia" w:hAnsi="Georgia" w:cs="Times New Roman"/>
          <w:sz w:val="20"/>
          <w:szCs w:val="20"/>
          <w:lang w:val="lt-LT"/>
        </w:rPr>
        <w:t>rmaciją</w:t>
      </w:r>
      <w:r w:rsidR="00104B42" w:rsidRPr="00104B42">
        <w:rPr>
          <w:rFonts w:ascii="Georgia" w:hAnsi="Georgia" w:cs="Times New Roman"/>
          <w:sz w:val="20"/>
          <w:szCs w:val="20"/>
          <w:lang w:val="lt-LT"/>
        </w:rPr>
        <w:t xml:space="preserve"> ir </w:t>
      </w:r>
      <w:r w:rsidR="00104B42">
        <w:rPr>
          <w:rFonts w:ascii="Georgia" w:hAnsi="Georgia" w:cs="Times New Roman"/>
          <w:sz w:val="20"/>
          <w:szCs w:val="20"/>
          <w:lang w:val="lt-LT"/>
        </w:rPr>
        <w:t>ekspertinį vertinimą</w:t>
      </w:r>
      <w:r w:rsidR="00104B42" w:rsidRPr="00104B42">
        <w:rPr>
          <w:rFonts w:ascii="Georgia" w:hAnsi="Georgia" w:cs="Times New Roman"/>
          <w:sz w:val="20"/>
          <w:szCs w:val="20"/>
          <w:lang w:val="lt-LT"/>
        </w:rPr>
        <w:t>, ne</w:t>
      </w:r>
      <w:r w:rsidR="00104B42">
        <w:rPr>
          <w:rFonts w:ascii="Georgia" w:hAnsi="Georgia" w:cs="Times New Roman"/>
          <w:sz w:val="20"/>
          <w:szCs w:val="20"/>
          <w:lang w:val="lt-LT"/>
        </w:rPr>
        <w:t>sinaudojant finansinių priemonių pagalba,</w:t>
      </w:r>
      <w:r w:rsidR="00104B42" w:rsidRPr="00104B42">
        <w:rPr>
          <w:rFonts w:ascii="Georgia" w:hAnsi="Georgia" w:cs="Times New Roman"/>
          <w:sz w:val="20"/>
          <w:szCs w:val="20"/>
          <w:lang w:val="lt-LT"/>
        </w:rPr>
        <w:t xml:space="preserve"> bankai </w:t>
      </w:r>
      <w:r w:rsidR="00104B42">
        <w:rPr>
          <w:rFonts w:ascii="Georgia" w:hAnsi="Georgia" w:cs="Times New Roman"/>
          <w:sz w:val="20"/>
          <w:szCs w:val="20"/>
          <w:lang w:val="lt-LT"/>
        </w:rPr>
        <w:t>galėtų</w:t>
      </w:r>
      <w:r w:rsidR="00104B42" w:rsidRPr="00104B42">
        <w:rPr>
          <w:rFonts w:ascii="Georgia" w:hAnsi="Georgia" w:cs="Times New Roman"/>
          <w:sz w:val="20"/>
          <w:szCs w:val="20"/>
          <w:lang w:val="lt-LT"/>
        </w:rPr>
        <w:t xml:space="preserve"> paskolinti</w:t>
      </w:r>
      <w:r w:rsidR="00104B42">
        <w:rPr>
          <w:rFonts w:ascii="Georgia" w:hAnsi="Georgia" w:cs="Times New Roman"/>
          <w:sz w:val="20"/>
          <w:szCs w:val="20"/>
          <w:lang w:val="lt-LT"/>
        </w:rPr>
        <w:t xml:space="preserve"> apie 11,6 mln. </w:t>
      </w:r>
      <w:r w:rsidR="009C5533">
        <w:rPr>
          <w:rFonts w:ascii="Georgia" w:hAnsi="Georgia" w:cs="Times New Roman"/>
          <w:sz w:val="20"/>
          <w:szCs w:val="20"/>
          <w:lang w:val="lt-LT"/>
        </w:rPr>
        <w:t xml:space="preserve">eurų </w:t>
      </w:r>
      <w:r w:rsidR="00104B42">
        <w:rPr>
          <w:rFonts w:ascii="Georgia" w:hAnsi="Georgia" w:cs="Times New Roman"/>
          <w:sz w:val="20"/>
          <w:szCs w:val="20"/>
          <w:lang w:val="lt-LT"/>
        </w:rPr>
        <w:t>(40 mln. Lt).</w:t>
      </w:r>
    </w:p>
    <w:p w14:paraId="3A36C9A0" w14:textId="77777777" w:rsidR="00336C16" w:rsidRPr="00FA5E7B" w:rsidRDefault="00336C16" w:rsidP="00336C16">
      <w:pPr>
        <w:pStyle w:val="Graphic"/>
        <w:jc w:val="left"/>
        <w:rPr>
          <w:rFonts w:ascii="Georgia" w:hAnsi="Georgia"/>
          <w:i/>
          <w:noProof w:val="0"/>
          <w:lang w:val="lt-LT"/>
        </w:rPr>
      </w:pPr>
      <w:r w:rsidRPr="00FA5E7B">
        <w:rPr>
          <w:rFonts w:ascii="Georgia" w:hAnsi="Georgia"/>
          <w:i/>
          <w:noProof w:val="0"/>
          <w:lang w:val="lt-LT"/>
        </w:rPr>
        <w:t xml:space="preserve">Paskolų kaina </w:t>
      </w:r>
    </w:p>
    <w:p w14:paraId="62E1C961" w14:textId="77777777"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Bankai apklausos metu pabrėžė, kad prieš suteikiant paskolą, jie įvertina paraiškos teikėjo patikimumą, mokumą, skolų aptarnavimo istoriją, jo galimybes prisiimti naujus įsipareigojimus, skolų limitus, paskolos grąžinimo šaltinius, tikimybę, jog šie šaltiniai nesikeis visu paskolos grąžinimo laikotarpiu, įgyvendinamo projekto atsiperkamumą ir kitus rizikos faktorius, susijusius su paraiškos </w:t>
      </w:r>
      <w:r>
        <w:rPr>
          <w:rFonts w:ascii="Georgia" w:hAnsi="Georgia" w:cs="Times New Roman"/>
          <w:sz w:val="20"/>
          <w:szCs w:val="20"/>
          <w:lang w:val="lt-LT"/>
        </w:rPr>
        <w:lastRenderedPageBreak/>
        <w:t>teikėju. Tačiau didžiausią įtaką skolinimo kainai turi šie faktoriai: projekto generuojami piniginiai srautai ir paskolos gavėjo kredito rizika. Be to, jų skolinimo kainą įtakoja ne tik konkretaus projekto rizika, bet ir bazinių palūkanų normų pokyčiai ir konkurencinė aplinka pačiame bankiniame sektoriuje.</w:t>
      </w:r>
    </w:p>
    <w:p w14:paraId="0AF7684E" w14:textId="77777777"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Apklausos metu komerciniai bankai nurodė, kad didžioji jų dalis per artimiausius du metus nesitiki ženklaus skolinimo kainos augimo. Tačiau kai kurie iš bankų prognozuoja, kad bazinė palūkanų norma pradės didėti 2015 m. II ketvirtį dėl tikėtino E</w:t>
      </w:r>
      <w:r w:rsidR="009C5533">
        <w:rPr>
          <w:rFonts w:ascii="Georgia" w:hAnsi="Georgia" w:cs="Times New Roman"/>
          <w:sz w:val="20"/>
          <w:szCs w:val="20"/>
          <w:lang w:val="lt-LT"/>
        </w:rPr>
        <w:t>uropos centrinio banko</w:t>
      </w:r>
      <w:r>
        <w:rPr>
          <w:rFonts w:ascii="Georgia" w:hAnsi="Georgia" w:cs="Times New Roman"/>
          <w:sz w:val="20"/>
          <w:szCs w:val="20"/>
          <w:lang w:val="lt-LT"/>
        </w:rPr>
        <w:t xml:space="preserve"> vykdomos politikos pasikeitimo. Tai savo ruožtu pradėtų įtakoti palūkanų normą bankų klientams. Dauguma komercinių bankų taip pat nurodė, kad dėl Bazelio III reikalavimų vykdymo skolinimo kaina neturėtų didėti, kadangi daugelis Bazelio III reikalavimų jau yra vykdomi, o kiti reikalavimai turi būti įgyvendinti periodiškai iki 2018 m., todėl staigios įtakos skolinimo kainai šių reikalavimų vykdymas neturės. </w:t>
      </w:r>
    </w:p>
    <w:p w14:paraId="5069388C" w14:textId="77777777"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Apačioje yra pateiktas grafikas, kuriame parodyta bankų suteiktų paskolų eurais nefinansinėms korporacijoms ilgesniam nei 5 metų laikotarpiui palūkanų normos dinamika. Šis grafikas gana aiškiai atskleidžia du periodus – 2009 ir 2012 metus, kai paskolų palūkanų norma ženkliai sumažėjo. </w:t>
      </w:r>
    </w:p>
    <w:p w14:paraId="6FAB463F" w14:textId="77777777" w:rsidR="00336C16" w:rsidRDefault="00354704" w:rsidP="00652347">
      <w:pPr>
        <w:jc w:val="center"/>
        <w:rPr>
          <w:rFonts w:ascii="Georgia" w:hAnsi="Georgia" w:cs="Times New Roman"/>
          <w:sz w:val="20"/>
          <w:szCs w:val="20"/>
          <w:lang w:val="lt-LT"/>
        </w:rPr>
      </w:pPr>
      <w:r>
        <w:rPr>
          <w:noProof/>
          <w:lang w:val="lt-LT" w:eastAsia="lt-LT"/>
        </w:rPr>
        <w:drawing>
          <wp:inline distT="0" distB="0" distL="0" distR="0" wp14:anchorId="6361F0EB" wp14:editId="3F645CA2">
            <wp:extent cx="4994108" cy="2790825"/>
            <wp:effectExtent l="0" t="0" r="0" b="0"/>
            <wp:docPr id="50191" name="Paveikslėlis 5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5002146" cy="2795317"/>
                    </a:xfrm>
                    <a:prstGeom prst="rect">
                      <a:avLst/>
                    </a:prstGeom>
                    <a:ln>
                      <a:noFill/>
                    </a:ln>
                    <a:extLst>
                      <a:ext uri="{53640926-AAD7-44D8-BBD7-CCE9431645EC}">
                        <a14:shadowObscured xmlns:a14="http://schemas.microsoft.com/office/drawing/2010/main"/>
                      </a:ext>
                    </a:extLst>
                  </pic:spPr>
                </pic:pic>
              </a:graphicData>
            </a:graphic>
          </wp:inline>
        </w:drawing>
      </w:r>
    </w:p>
    <w:p w14:paraId="18B2D49A" w14:textId="2746D0CE" w:rsidR="00336C16" w:rsidRPr="009D6C03" w:rsidRDefault="00FA5E7B" w:rsidP="00FA5E7B">
      <w:pPr>
        <w:pStyle w:val="Antrat"/>
        <w:spacing w:line="276" w:lineRule="auto"/>
        <w:jc w:val="both"/>
        <w:rPr>
          <w:szCs w:val="20"/>
          <w:lang w:val="lt-LT"/>
        </w:rPr>
      </w:pPr>
      <w:bookmarkStart w:id="68" w:name="_Toc417378283"/>
      <w:r w:rsidRPr="00530723">
        <w:rPr>
          <w:lang w:val="lt-LT"/>
        </w:rPr>
        <w:t xml:space="preserve">Paveikslas </w:t>
      </w:r>
      <w:r w:rsidRPr="00530723">
        <w:rPr>
          <w:lang w:val="lt-LT"/>
        </w:rPr>
        <w:fldChar w:fldCharType="begin"/>
      </w:r>
      <w:r w:rsidRPr="00530723">
        <w:rPr>
          <w:lang w:val="lt-LT"/>
        </w:rPr>
        <w:instrText xml:space="preserve"> SEQ Paveikslas \* ARABIC </w:instrText>
      </w:r>
      <w:r w:rsidRPr="00530723">
        <w:rPr>
          <w:lang w:val="lt-LT"/>
        </w:rPr>
        <w:fldChar w:fldCharType="separate"/>
      </w:r>
      <w:r w:rsidR="00AA3082">
        <w:rPr>
          <w:noProof/>
          <w:lang w:val="lt-LT"/>
        </w:rPr>
        <w:t>6</w:t>
      </w:r>
      <w:r w:rsidRPr="00530723">
        <w:rPr>
          <w:lang w:val="lt-LT"/>
        </w:rPr>
        <w:fldChar w:fldCharType="end"/>
      </w:r>
      <w:r w:rsidRPr="00530723">
        <w:rPr>
          <w:lang w:val="lt-LT"/>
        </w:rPr>
        <w:t xml:space="preserve">. </w:t>
      </w:r>
      <w:r w:rsidRPr="001E4B4F">
        <w:rPr>
          <w:szCs w:val="20"/>
          <w:lang w:val="lt-LT"/>
        </w:rPr>
        <w:t xml:space="preserve">Bankų suteiktų paskolų eurais nefinansinėms korporacijoms ilgesniam nei 5 metų laikotarpiui </w:t>
      </w:r>
      <w:r w:rsidR="00336C16" w:rsidRPr="009D6C03">
        <w:rPr>
          <w:szCs w:val="20"/>
          <w:lang w:val="lt-LT"/>
        </w:rPr>
        <w:t>palūkanų norma, proc.</w:t>
      </w:r>
      <w:bookmarkEnd w:id="68"/>
    </w:p>
    <w:p w14:paraId="1F92D936" w14:textId="77777777"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Atsižvelgiant į komercinių bankų apklausos metu nurodytas priežastis, tikėtina, kad paskolų kaina išliks tose pačiose ribose sekančius porą metų ir bus vis dar patraukli paskolų gavėjams. Ilgesnio laikotarpio perspektyvoje tikėtina, kad išaugs ilgalaikių paskolų palūkanos, kurios gali padaryti didžiausią įtaką skolinimosi kainos didėjimui</w:t>
      </w:r>
      <w:r w:rsidR="009C5533">
        <w:rPr>
          <w:rFonts w:ascii="Georgia" w:hAnsi="Georgia" w:cs="Times New Roman"/>
          <w:sz w:val="20"/>
          <w:szCs w:val="20"/>
          <w:lang w:val="lt-LT"/>
        </w:rPr>
        <w:t>.</w:t>
      </w:r>
    </w:p>
    <w:p w14:paraId="5FA3A81C" w14:textId="77777777" w:rsidR="00336C16" w:rsidRPr="00FA5E7B" w:rsidRDefault="00336C16" w:rsidP="00336C16">
      <w:pPr>
        <w:pStyle w:val="Graphic"/>
        <w:jc w:val="left"/>
        <w:rPr>
          <w:rFonts w:ascii="Georgia" w:hAnsi="Georgia"/>
          <w:i/>
          <w:noProof w:val="0"/>
          <w:lang w:val="lt-LT"/>
        </w:rPr>
      </w:pPr>
      <w:r w:rsidRPr="00FA5E7B">
        <w:rPr>
          <w:rFonts w:ascii="Georgia" w:hAnsi="Georgia"/>
          <w:i/>
          <w:noProof w:val="0"/>
          <w:lang w:val="lt-LT"/>
        </w:rPr>
        <w:t>Paskolos laikotarpis</w:t>
      </w:r>
    </w:p>
    <w:p w14:paraId="24751C8E" w14:textId="77777777"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Apklausos metu komerciniai bankai nurodė, kad labiausiai priimtinas viešojo sektoriaus investicinio projekto laikotarpis yra 5-10 metų</w:t>
      </w:r>
      <w:r w:rsidR="00A310BD">
        <w:rPr>
          <w:rFonts w:ascii="Georgia" w:hAnsi="Georgia" w:cs="Times New Roman"/>
          <w:sz w:val="20"/>
          <w:szCs w:val="20"/>
          <w:lang w:val="lt-LT"/>
        </w:rPr>
        <w:t xml:space="preserve"> (daugiabučių atveju 10-15 metų)</w:t>
      </w:r>
      <w:r>
        <w:rPr>
          <w:rFonts w:ascii="Georgia" w:hAnsi="Georgia" w:cs="Times New Roman"/>
          <w:sz w:val="20"/>
          <w:szCs w:val="20"/>
          <w:lang w:val="lt-LT"/>
        </w:rPr>
        <w:t>.</w:t>
      </w:r>
    </w:p>
    <w:p w14:paraId="3BD53A05" w14:textId="77777777" w:rsidR="00336C16" w:rsidRPr="00FA5E7B" w:rsidRDefault="00336C16" w:rsidP="00336C16">
      <w:pPr>
        <w:pStyle w:val="Graphic"/>
        <w:jc w:val="left"/>
        <w:rPr>
          <w:rFonts w:ascii="Georgia" w:hAnsi="Georgia"/>
          <w:i/>
          <w:noProof w:val="0"/>
          <w:lang w:val="lt-LT"/>
        </w:rPr>
      </w:pPr>
      <w:r w:rsidRPr="00FA5E7B">
        <w:rPr>
          <w:rFonts w:ascii="Georgia" w:hAnsi="Georgia"/>
          <w:i/>
          <w:noProof w:val="0"/>
          <w:lang w:val="lt-LT"/>
        </w:rPr>
        <w:t>Paskolos užtikrinimo priemonės</w:t>
      </w:r>
    </w:p>
    <w:p w14:paraId="7E1FA1C3" w14:textId="77777777"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Energijos efektyvumo projektus didžiąja dalimi vykdo daugiabučių namų administratoriai, bendrijos, savivaldybės, savivaldybių įmonės arba kitos valstybės valdomos įmonės.</w:t>
      </w:r>
    </w:p>
    <w:p w14:paraId="1E8DAEC7" w14:textId="77777777"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Komerciniai bankai iš valstybės ir savivaldybių kontroliuojamų įstaigų, siekiančių gauti finansavimą, prašo garantijų, nekilnojamojo turto įkeitimo ar sąskaitos bei gautinų sumų įkeitimo kaip paskolos užtikrinimo priemonės. Taikomos užtikrinimo priemonės visuomet priklauso nuo finansuojamo </w:t>
      </w:r>
      <w:r>
        <w:rPr>
          <w:rFonts w:ascii="Georgia" w:hAnsi="Georgia" w:cs="Times New Roman"/>
          <w:sz w:val="20"/>
          <w:szCs w:val="20"/>
          <w:lang w:val="lt-LT"/>
        </w:rPr>
        <w:lastRenderedPageBreak/>
        <w:t xml:space="preserve">projekto rizikos. Bet paprastai bankai reikalauja garantijos ar apsidraudimo priemonės sudarytų ne mažiau kaip 80 proc. suteikiamos paskolos sumos. Vadovaujantis Lietuvos Respublikos valstybės ir savivaldybių turto valdymo, naudojimo ir disponavimo juo įstatymo 20 straipsnio nuostatomis, savivaldybės yra smarkiai apribotos įkeičiant turtą ir komerciniai bankai neturi teisės iš savivaldybių reikalauti užstato. </w:t>
      </w:r>
    </w:p>
    <w:p w14:paraId="3C76C25D" w14:textId="77777777"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Jeigu projektą vykdo privačios įmonės, tai bankai tuomet kelia dar didesnius reikalavimus paskolos gavėjui: iki 200% kredito vertės, jei turtas nekomercinės paskirties, ir iki 150% kredito vertės, jei turtas komercinės ar gyvenamosios paskirties. Kaip papildomą paskolos užtikrinimo priemonę bankai panaudoja lėšų sąskaitose įkeitimą arba papildomą nekomercinės paskirties ir/ar kilnojamo turto įkeitimą</w:t>
      </w:r>
    </w:p>
    <w:p w14:paraId="330B3ADC" w14:textId="77777777"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Taip pat bankai nurodo, kad vykdant ilgalaikius projektus, kurie turi ilgą atsipirkimo laikotarpį, jie iš projekto įgyventojo reikalauja, kad </w:t>
      </w:r>
      <w:r w:rsidR="00A310BD">
        <w:rPr>
          <w:rFonts w:ascii="Georgia" w:hAnsi="Georgia" w:cs="Times New Roman"/>
          <w:sz w:val="20"/>
          <w:szCs w:val="20"/>
          <w:lang w:val="lt-LT"/>
        </w:rPr>
        <w:t xml:space="preserve">projektų vykdytojai </w:t>
      </w:r>
      <w:r>
        <w:rPr>
          <w:rFonts w:ascii="Georgia" w:hAnsi="Georgia" w:cs="Times New Roman"/>
          <w:sz w:val="20"/>
          <w:szCs w:val="20"/>
          <w:lang w:val="lt-LT"/>
        </w:rPr>
        <w:t>į patį projektą investuotų ne mažiau kaip 30 proc. nuosavų lėšų.</w:t>
      </w:r>
    </w:p>
    <w:p w14:paraId="50DDD1ED" w14:textId="77777777"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Vertinant finansuojamą projektą, esminis kriterijus yra kliento sugebėjimas aptarnauti paskolą. Todėl subsidijos projekto daliai pagerina projekto atsiperkamumą ir kliento sugebėjimą grąžinti kreditą. Kitas svarbus kriterijus yra paskolos užtikrinimo priemonės. Dažnai jų trūksta arba jos yra netinkamos, tokiu atveju garantijos turi svarią reikšmę sprendimo priėmimui.</w:t>
      </w:r>
    </w:p>
    <w:p w14:paraId="68CB604A" w14:textId="77777777" w:rsidR="00336C16" w:rsidRPr="00FA5E7B" w:rsidRDefault="00336C16" w:rsidP="00336C16">
      <w:pPr>
        <w:pStyle w:val="Graphic"/>
        <w:jc w:val="left"/>
        <w:rPr>
          <w:rFonts w:ascii="Georgia" w:hAnsi="Georgia"/>
          <w:i/>
          <w:noProof w:val="0"/>
          <w:lang w:val="lt-LT"/>
        </w:rPr>
      </w:pPr>
      <w:r w:rsidRPr="00FA5E7B">
        <w:rPr>
          <w:rFonts w:ascii="Georgia" w:hAnsi="Georgia"/>
          <w:i/>
          <w:noProof w:val="0"/>
          <w:lang w:val="lt-LT"/>
        </w:rPr>
        <w:t>Priežastys dėl kurių nesuteikiamas finansavimas</w:t>
      </w:r>
    </w:p>
    <w:p w14:paraId="5D39E600" w14:textId="77777777"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Apklausos metu bankai išskyrė tris pagrindines priežastis, dėl kurių dažniausiai yra nesuteikiama paskola viešiesiems subjektams:</w:t>
      </w:r>
    </w:p>
    <w:p w14:paraId="11397627" w14:textId="77777777" w:rsidR="00336C16" w:rsidRDefault="00336C16" w:rsidP="002A576D">
      <w:pPr>
        <w:numPr>
          <w:ilvl w:val="0"/>
          <w:numId w:val="50"/>
        </w:numPr>
        <w:jc w:val="both"/>
        <w:rPr>
          <w:rFonts w:ascii="Georgia" w:hAnsi="Georgia" w:cs="Times New Roman"/>
          <w:sz w:val="20"/>
          <w:szCs w:val="20"/>
          <w:lang w:val="lt-LT"/>
        </w:rPr>
      </w:pPr>
      <w:r>
        <w:rPr>
          <w:rFonts w:ascii="Georgia" w:hAnsi="Georgia" w:cs="Times New Roman"/>
          <w:sz w:val="20"/>
          <w:szCs w:val="20"/>
          <w:lang w:val="lt-LT"/>
        </w:rPr>
        <w:t>įmonė turi per didelius įsipareigojimus;</w:t>
      </w:r>
    </w:p>
    <w:p w14:paraId="64767C13" w14:textId="77777777" w:rsidR="00336C16" w:rsidRDefault="00336C16" w:rsidP="002A576D">
      <w:pPr>
        <w:numPr>
          <w:ilvl w:val="0"/>
          <w:numId w:val="50"/>
        </w:numPr>
        <w:jc w:val="both"/>
        <w:rPr>
          <w:rFonts w:ascii="Georgia" w:hAnsi="Georgia" w:cs="Times New Roman"/>
          <w:sz w:val="20"/>
          <w:szCs w:val="20"/>
          <w:lang w:val="lt-LT"/>
        </w:rPr>
      </w:pPr>
      <w:r>
        <w:rPr>
          <w:rFonts w:ascii="Georgia" w:hAnsi="Georgia" w:cs="Times New Roman"/>
          <w:sz w:val="20"/>
          <w:szCs w:val="20"/>
          <w:lang w:val="lt-LT"/>
        </w:rPr>
        <w:t>įmonė turėjo mokumų problemų (pradelsti atsiskaitymai, bloga kreditavimo istorija, nepagrįstas planuojamas projekto atsipirkimas);</w:t>
      </w:r>
    </w:p>
    <w:p w14:paraId="3082D0CD" w14:textId="77777777" w:rsidR="00336C16" w:rsidRDefault="00336C16" w:rsidP="002A576D">
      <w:pPr>
        <w:numPr>
          <w:ilvl w:val="0"/>
          <w:numId w:val="50"/>
        </w:numPr>
        <w:jc w:val="both"/>
        <w:rPr>
          <w:rFonts w:ascii="Georgia" w:hAnsi="Georgia" w:cs="Times New Roman"/>
          <w:sz w:val="20"/>
          <w:szCs w:val="20"/>
          <w:lang w:val="lt-LT"/>
        </w:rPr>
      </w:pPr>
      <w:r>
        <w:rPr>
          <w:rFonts w:ascii="Georgia" w:hAnsi="Georgia" w:cs="Times New Roman"/>
          <w:sz w:val="20"/>
          <w:szCs w:val="20"/>
          <w:lang w:val="lt-LT"/>
        </w:rPr>
        <w:t>įmonė nepagrindžia prašomo finansavimo poreikio (be to, prognozuojamas pinigų srautas paskolai aptarnauti yra nepakankamas).</w:t>
      </w:r>
    </w:p>
    <w:p w14:paraId="25911188" w14:textId="77777777"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Taip pat buvo pabrėžta, kad finansavimas savivaldybėms ar valstybės ir savivaldybių valdomoms įstaigoms/įmonėms nesuteikiamas dėl jų blogos finansinė padėties. Tarp priežasčių paminėti šie atvejai: šios įmonės dirba nuostolingai, pastoviai didėja jų įsipareigojimai, jos negeneruoja pakankamo pinigų srauto įsipareigojimams aptarnauti).</w:t>
      </w:r>
    </w:p>
    <w:p w14:paraId="495A45B4" w14:textId="77777777"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Tarp priežasčių, kurias bankai nurodė kaip svarbiausias paskolai suteikti savivaldybėms ar valstybės ir savivaldybių valdomoms įstaigoms/įmonėms, yra šios:</w:t>
      </w:r>
    </w:p>
    <w:p w14:paraId="2730E62E" w14:textId="77777777" w:rsidR="00336C16" w:rsidRDefault="00336C16" w:rsidP="002A576D">
      <w:pPr>
        <w:numPr>
          <w:ilvl w:val="0"/>
          <w:numId w:val="65"/>
        </w:numPr>
        <w:jc w:val="both"/>
        <w:rPr>
          <w:rFonts w:ascii="Georgia" w:hAnsi="Georgia" w:cs="Times New Roman"/>
          <w:sz w:val="20"/>
          <w:szCs w:val="20"/>
          <w:lang w:val="lt-LT"/>
        </w:rPr>
      </w:pPr>
      <w:r>
        <w:rPr>
          <w:rFonts w:ascii="Georgia" w:hAnsi="Georgia" w:cs="Times New Roman"/>
          <w:sz w:val="20"/>
          <w:szCs w:val="20"/>
          <w:lang w:val="lt-LT"/>
        </w:rPr>
        <w:t>pareiškėjo finansinė padėtis (turto, įsipareigojimų dydis, turto kokybė; jo piniginiai srautai ir gebėjimas aptarnauti paskolą);</w:t>
      </w:r>
    </w:p>
    <w:p w14:paraId="19FB39BF" w14:textId="77777777" w:rsidR="00336C16" w:rsidRDefault="00336C16" w:rsidP="002A576D">
      <w:pPr>
        <w:numPr>
          <w:ilvl w:val="0"/>
          <w:numId w:val="65"/>
        </w:numPr>
        <w:jc w:val="both"/>
        <w:rPr>
          <w:rFonts w:ascii="Georgia" w:hAnsi="Georgia" w:cs="Times New Roman"/>
          <w:sz w:val="20"/>
          <w:szCs w:val="20"/>
          <w:lang w:val="lt-LT"/>
        </w:rPr>
      </w:pPr>
      <w:r>
        <w:rPr>
          <w:rFonts w:ascii="Georgia" w:hAnsi="Georgia" w:cs="Times New Roman"/>
          <w:sz w:val="20"/>
          <w:szCs w:val="20"/>
          <w:lang w:val="lt-LT"/>
        </w:rPr>
        <w:t>pareiškėjo patikimumas bei jo mokumo istorija;</w:t>
      </w:r>
    </w:p>
    <w:p w14:paraId="55E30F5B" w14:textId="77777777" w:rsidR="00336C16" w:rsidRDefault="00336C16" w:rsidP="002A576D">
      <w:pPr>
        <w:numPr>
          <w:ilvl w:val="0"/>
          <w:numId w:val="65"/>
        </w:numPr>
        <w:jc w:val="both"/>
        <w:rPr>
          <w:rFonts w:ascii="Georgia" w:hAnsi="Georgia" w:cs="Times New Roman"/>
          <w:sz w:val="20"/>
          <w:szCs w:val="20"/>
          <w:lang w:val="lt-LT"/>
        </w:rPr>
      </w:pPr>
      <w:r>
        <w:rPr>
          <w:rFonts w:ascii="Georgia" w:hAnsi="Georgia" w:cs="Times New Roman"/>
          <w:sz w:val="20"/>
          <w:szCs w:val="20"/>
          <w:lang w:val="lt-LT"/>
        </w:rPr>
        <w:t>pareiškėjo pateikiama informacija apie ketinamą įgyvendinti projektą, finansavimo poreikį, jo panaudojimo tikslingumą, finansinius srautus, atsipirkimo rodiklius.</w:t>
      </w:r>
    </w:p>
    <w:p w14:paraId="02D0EE07" w14:textId="77777777"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Banko taikomi kriterijai ir rodikliai viešosios infrastruktūros projektų finansavimui priklauso nuo pareiškėjo patikimumo, finansinio pajėgumo prisiimti kredito riziką:</w:t>
      </w:r>
    </w:p>
    <w:p w14:paraId="24483F76" w14:textId="77777777" w:rsidR="00336C16" w:rsidRDefault="00336C16" w:rsidP="002A576D">
      <w:pPr>
        <w:numPr>
          <w:ilvl w:val="0"/>
          <w:numId w:val="53"/>
        </w:numPr>
        <w:jc w:val="both"/>
        <w:rPr>
          <w:rFonts w:ascii="Georgia" w:hAnsi="Georgia" w:cs="Times New Roman"/>
          <w:sz w:val="20"/>
          <w:szCs w:val="20"/>
          <w:lang w:val="lt-LT"/>
        </w:rPr>
      </w:pPr>
      <w:r>
        <w:rPr>
          <w:rFonts w:ascii="Georgia" w:hAnsi="Georgia" w:cs="Times New Roman"/>
          <w:sz w:val="20"/>
          <w:szCs w:val="20"/>
          <w:lang w:val="lt-LT"/>
        </w:rPr>
        <w:t>pareiškėjo skolų aptarnavimo rodikliai turi būti pakankami, leidžiantys saugiai aptarnauti prisiimtus finansinius įsipareigojimus nustatytais terminais;</w:t>
      </w:r>
    </w:p>
    <w:p w14:paraId="02B75F33" w14:textId="77777777" w:rsidR="00336C16" w:rsidRDefault="00336C16" w:rsidP="002A576D">
      <w:pPr>
        <w:numPr>
          <w:ilvl w:val="0"/>
          <w:numId w:val="53"/>
        </w:numPr>
        <w:jc w:val="both"/>
        <w:rPr>
          <w:rFonts w:ascii="Georgia" w:hAnsi="Georgia" w:cs="Times New Roman"/>
          <w:sz w:val="20"/>
          <w:szCs w:val="20"/>
          <w:lang w:val="lt-LT"/>
        </w:rPr>
      </w:pPr>
      <w:r>
        <w:rPr>
          <w:rFonts w:ascii="Georgia" w:hAnsi="Georgia" w:cs="Times New Roman"/>
          <w:sz w:val="20"/>
          <w:szCs w:val="20"/>
          <w:lang w:val="lt-LT"/>
        </w:rPr>
        <w:lastRenderedPageBreak/>
        <w:t>paskolos aptarnavimo laikotarpis turi būti protingų terminų, saugiai trumpesnis nei finansuojamo objekto nusidėvėjimo laikotarpis;</w:t>
      </w:r>
    </w:p>
    <w:p w14:paraId="4FCBDD07" w14:textId="77777777" w:rsidR="00336C16" w:rsidRDefault="00336C16" w:rsidP="002A576D">
      <w:pPr>
        <w:numPr>
          <w:ilvl w:val="0"/>
          <w:numId w:val="53"/>
        </w:numPr>
        <w:jc w:val="both"/>
        <w:rPr>
          <w:rFonts w:ascii="Georgia" w:hAnsi="Georgia" w:cs="Times New Roman"/>
          <w:sz w:val="20"/>
          <w:szCs w:val="20"/>
          <w:lang w:val="lt-LT"/>
        </w:rPr>
      </w:pPr>
      <w:r>
        <w:rPr>
          <w:rFonts w:ascii="Georgia" w:hAnsi="Georgia" w:cs="Times New Roman"/>
          <w:sz w:val="20"/>
          <w:szCs w:val="20"/>
          <w:lang w:val="lt-LT"/>
        </w:rPr>
        <w:t>savivaldybių skolinimo apimtys turi atitikti įstatymo patvirtintus skolinimosi limitus ir kt.</w:t>
      </w:r>
    </w:p>
    <w:p w14:paraId="5AEB238B" w14:textId="77777777"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Bankas, suteikdamas paskolas savivaldybėms, vykdo savivaldybių reitingavimą. Reitingavimo sistema apima savivaldybių demografinę situaciją, makroekonomines tendencijas, biudžetų surinkimo rodiklius, pradelstų skolų teikėjams dydžius, skolų santykius su biudžetu bei šių rodiklių tendencijas ir kt.</w:t>
      </w:r>
    </w:p>
    <w:p w14:paraId="09BF7FB7" w14:textId="77777777" w:rsidR="00336C16" w:rsidRPr="00FA5E7B" w:rsidRDefault="00336C16" w:rsidP="00336C16">
      <w:pPr>
        <w:pStyle w:val="Graphic"/>
        <w:jc w:val="left"/>
        <w:rPr>
          <w:rFonts w:ascii="Georgia" w:hAnsi="Georgia"/>
          <w:i/>
          <w:noProof w:val="0"/>
          <w:lang w:val="lt-LT"/>
        </w:rPr>
      </w:pPr>
      <w:r w:rsidRPr="00FA5E7B">
        <w:rPr>
          <w:rFonts w:ascii="Georgia" w:hAnsi="Georgia"/>
          <w:i/>
          <w:noProof w:val="0"/>
          <w:lang w:val="lt-LT"/>
        </w:rPr>
        <w:t>Komercinių bankų skatinimo priemonės</w:t>
      </w:r>
    </w:p>
    <w:p w14:paraId="12933865" w14:textId="77777777"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Komerciniai bankai apklausoje nurodė, kad jų dalyvavimą projektų finansavime paskatintų tokių finansinių priemonių ar instrumentų taikymas, kurios leistų sumažinti ar visiškai panaikintų bankų prisiimamą riziką. </w:t>
      </w:r>
    </w:p>
    <w:p w14:paraId="34E734E9" w14:textId="77777777"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Pažymėtina, kad tarptautinių finansinių institucijų dalyvavimą projektų finansavime komerciniai bankai mato kaip svarbų kriterijų, nes tokios institucijos dalyvavimas jų nuomone sumažina politinę riziką, bet pirmenybę jie atiduotų atitinkamo dydžio administravimo mokesčio gavimui. Jeigu </w:t>
      </w:r>
      <w:r w:rsidR="00A310BD">
        <w:rPr>
          <w:rFonts w:ascii="Georgia" w:hAnsi="Georgia" w:cs="Times New Roman"/>
          <w:sz w:val="20"/>
          <w:szCs w:val="20"/>
          <w:lang w:val="lt-LT"/>
        </w:rPr>
        <w:t xml:space="preserve">renovacijos </w:t>
      </w:r>
      <w:r>
        <w:rPr>
          <w:rFonts w:ascii="Georgia" w:hAnsi="Georgia" w:cs="Times New Roman"/>
          <w:sz w:val="20"/>
          <w:szCs w:val="20"/>
          <w:lang w:val="lt-LT"/>
        </w:rPr>
        <w:t xml:space="preserve">projektai būtų bendrai finansuojami bankų ir ES struktūrinių fondų lėšomis, tai dalis bankų vertintų palankiai, bet tai nebūtų, jų nuomone, </w:t>
      </w:r>
      <w:r w:rsidR="00A310BD">
        <w:rPr>
          <w:rFonts w:ascii="Georgia" w:hAnsi="Georgia" w:cs="Times New Roman"/>
          <w:sz w:val="20"/>
          <w:szCs w:val="20"/>
          <w:lang w:val="lt-LT"/>
        </w:rPr>
        <w:t xml:space="preserve">pati </w:t>
      </w:r>
      <w:r>
        <w:rPr>
          <w:rFonts w:ascii="Georgia" w:hAnsi="Georgia" w:cs="Times New Roman"/>
          <w:sz w:val="20"/>
          <w:szCs w:val="20"/>
          <w:lang w:val="lt-LT"/>
        </w:rPr>
        <w:t>efektyvi</w:t>
      </w:r>
      <w:r w:rsidR="00A310BD">
        <w:rPr>
          <w:rFonts w:ascii="Georgia" w:hAnsi="Georgia" w:cs="Times New Roman"/>
          <w:sz w:val="20"/>
          <w:szCs w:val="20"/>
          <w:lang w:val="lt-LT"/>
        </w:rPr>
        <w:t>ausia</w:t>
      </w:r>
      <w:r>
        <w:rPr>
          <w:rFonts w:ascii="Georgia" w:hAnsi="Georgia" w:cs="Times New Roman"/>
          <w:sz w:val="20"/>
          <w:szCs w:val="20"/>
          <w:lang w:val="lt-LT"/>
        </w:rPr>
        <w:t xml:space="preserve"> skatinimo priemonė.</w:t>
      </w:r>
    </w:p>
    <w:p w14:paraId="24E5ADA8" w14:textId="77777777"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Bankų nuomone, projektų </w:t>
      </w:r>
      <w:r w:rsidR="00A310BD">
        <w:rPr>
          <w:rFonts w:ascii="Georgia" w:hAnsi="Georgia" w:cs="Times New Roman"/>
          <w:sz w:val="20"/>
          <w:szCs w:val="20"/>
          <w:lang w:val="lt-LT"/>
        </w:rPr>
        <w:t xml:space="preserve">finansavimą </w:t>
      </w:r>
      <w:r>
        <w:rPr>
          <w:rFonts w:ascii="Georgia" w:hAnsi="Georgia" w:cs="Times New Roman"/>
          <w:sz w:val="20"/>
          <w:szCs w:val="20"/>
          <w:lang w:val="lt-LT"/>
        </w:rPr>
        <w:t>paskatintų papildomų priemonių, kurios yra skirtos projekto kokybei užtikrinti</w:t>
      </w:r>
      <w:r w:rsidR="00A310BD">
        <w:rPr>
          <w:rFonts w:ascii="Georgia" w:hAnsi="Georgia" w:cs="Times New Roman"/>
          <w:sz w:val="20"/>
          <w:szCs w:val="20"/>
          <w:lang w:val="lt-LT"/>
        </w:rPr>
        <w:t xml:space="preserve"> ir </w:t>
      </w:r>
      <w:r w:rsidR="001C3856">
        <w:rPr>
          <w:rFonts w:ascii="Georgia" w:hAnsi="Georgia" w:cs="Times New Roman"/>
          <w:sz w:val="20"/>
          <w:szCs w:val="20"/>
          <w:lang w:val="lt-LT"/>
        </w:rPr>
        <w:t xml:space="preserve">rizikai </w:t>
      </w:r>
      <w:r w:rsidR="00A310BD">
        <w:rPr>
          <w:rFonts w:ascii="Georgia" w:hAnsi="Georgia" w:cs="Times New Roman"/>
          <w:sz w:val="20"/>
          <w:szCs w:val="20"/>
          <w:lang w:val="lt-LT"/>
        </w:rPr>
        <w:t>sumažinti</w:t>
      </w:r>
      <w:r>
        <w:rPr>
          <w:rFonts w:ascii="Georgia" w:hAnsi="Georgia" w:cs="Times New Roman"/>
          <w:sz w:val="20"/>
          <w:szCs w:val="20"/>
          <w:lang w:val="lt-LT"/>
        </w:rPr>
        <w:t>, taikymas ir su tuo susijusių išlaidų kompensavimas. Šios priemonės galėtų apimti įvairias technines ekspertizes, papildomų specialistų pritraukimą (kai jie yra reikalingi specifinio pobūdžio projektuose) ir kitus elementus projekto įgyvendinimo metu, kurie yra būtini projekto kokybės lygio užtikrinimui. Šių kokybės užtikrinimo priemonių taikymas ir jų išlaidų kompensavimas tampa svarbūs, kai projekto grąža nėra užtikrinta. Be to, šių finansinių priemonių administravimas turėtų būti efektyvus ir nesukurti papildomos administracinės naštos bankams.</w:t>
      </w:r>
    </w:p>
    <w:p w14:paraId="1A43C5CC" w14:textId="77777777" w:rsidR="00336C16" w:rsidRPr="00FA5E7B" w:rsidRDefault="00336C16" w:rsidP="00336C16">
      <w:pPr>
        <w:pStyle w:val="Graphic"/>
        <w:jc w:val="left"/>
        <w:rPr>
          <w:rFonts w:ascii="Georgia" w:hAnsi="Georgia"/>
          <w:i/>
          <w:noProof w:val="0"/>
          <w:lang w:val="lt-LT"/>
        </w:rPr>
      </w:pPr>
      <w:r w:rsidRPr="00FA5E7B">
        <w:rPr>
          <w:rFonts w:ascii="Georgia" w:hAnsi="Georgia"/>
          <w:i/>
          <w:noProof w:val="0"/>
          <w:lang w:val="lt-LT"/>
        </w:rPr>
        <w:t xml:space="preserve">Individualios garantijos ir </w:t>
      </w:r>
      <w:r w:rsidR="00032456">
        <w:rPr>
          <w:rFonts w:ascii="Georgia" w:hAnsi="Georgia"/>
          <w:i/>
          <w:noProof w:val="0"/>
          <w:lang w:val="lt-LT"/>
        </w:rPr>
        <w:t>kitos finansinės priemonės</w:t>
      </w:r>
    </w:p>
    <w:p w14:paraId="3507ECB1" w14:textId="77777777"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Komerciniai bankai taip pat svarstytų paskolų suteikimą projektų įgyvendinimui, jeigu jiems būtų suteiktos individualios garantijos už paskolų gavėjus. Tai (t.y., valstybės ar kitų valstybinių institucijų garantijų suteikimas) būtų tinkamiausia bankams finansin</w:t>
      </w:r>
      <w:r w:rsidR="00032456">
        <w:rPr>
          <w:rFonts w:ascii="Georgia" w:hAnsi="Georgia" w:cs="Times New Roman"/>
          <w:sz w:val="20"/>
          <w:szCs w:val="20"/>
          <w:lang w:val="lt-LT"/>
        </w:rPr>
        <w:t>ė</w:t>
      </w:r>
      <w:r>
        <w:rPr>
          <w:rFonts w:ascii="Georgia" w:hAnsi="Georgia" w:cs="Times New Roman"/>
          <w:sz w:val="20"/>
          <w:szCs w:val="20"/>
          <w:lang w:val="lt-LT"/>
        </w:rPr>
        <w:t xml:space="preserve"> </w:t>
      </w:r>
      <w:r w:rsidR="00032456">
        <w:rPr>
          <w:rFonts w:ascii="Georgia" w:hAnsi="Georgia" w:cs="Times New Roman"/>
          <w:sz w:val="20"/>
          <w:szCs w:val="20"/>
          <w:lang w:val="lt-LT"/>
        </w:rPr>
        <w:t>priemonė</w:t>
      </w:r>
      <w:r>
        <w:rPr>
          <w:rFonts w:ascii="Georgia" w:hAnsi="Georgia" w:cs="Times New Roman"/>
          <w:sz w:val="20"/>
          <w:szCs w:val="20"/>
          <w:lang w:val="lt-LT"/>
        </w:rPr>
        <w:t xml:space="preserve">, kad jie galėtų teikti finansavimą projektams. Ši </w:t>
      </w:r>
      <w:r w:rsidR="00032456">
        <w:rPr>
          <w:rFonts w:ascii="Georgia" w:hAnsi="Georgia" w:cs="Times New Roman"/>
          <w:sz w:val="20"/>
          <w:szCs w:val="20"/>
          <w:lang w:val="lt-LT"/>
        </w:rPr>
        <w:t>priemonė</w:t>
      </w:r>
      <w:r w:rsidR="00530723">
        <w:rPr>
          <w:rFonts w:ascii="Georgia" w:hAnsi="Georgia" w:cs="Times New Roman"/>
          <w:sz w:val="20"/>
          <w:szCs w:val="20"/>
          <w:lang w:val="lt-LT"/>
        </w:rPr>
        <w:t xml:space="preserve"> </w:t>
      </w:r>
      <w:r>
        <w:rPr>
          <w:rFonts w:ascii="Georgia" w:hAnsi="Georgia" w:cs="Times New Roman"/>
          <w:sz w:val="20"/>
          <w:szCs w:val="20"/>
          <w:lang w:val="lt-LT"/>
        </w:rPr>
        <w:t xml:space="preserve">jiems leistų sumažinti jų prisiimamą riziką. Bet tuomet bankai norėtų žinoti konkrečias suteikiamų garantijų sąlygas ir suteikiamos garantijos dydį. Antra pagal </w:t>
      </w:r>
      <w:r w:rsidR="00032456">
        <w:rPr>
          <w:rFonts w:ascii="Georgia" w:hAnsi="Georgia" w:cs="Times New Roman"/>
          <w:sz w:val="20"/>
          <w:szCs w:val="20"/>
          <w:lang w:val="lt-LT"/>
        </w:rPr>
        <w:t>aktualumą finansinė priemonė</w:t>
      </w:r>
      <w:r>
        <w:rPr>
          <w:rFonts w:ascii="Georgia" w:hAnsi="Georgia" w:cs="Times New Roman"/>
          <w:sz w:val="20"/>
          <w:szCs w:val="20"/>
          <w:lang w:val="lt-LT"/>
        </w:rPr>
        <w:t xml:space="preserve">, kurį nurodė bankai, yra bendras projektų finansavimas, proporcingai dalijantis rizika su </w:t>
      </w:r>
      <w:r w:rsidR="00A310BD">
        <w:rPr>
          <w:rFonts w:ascii="Georgia" w:hAnsi="Georgia" w:cs="Times New Roman"/>
          <w:sz w:val="20"/>
          <w:szCs w:val="20"/>
          <w:lang w:val="lt-LT"/>
        </w:rPr>
        <w:t xml:space="preserve">vyriausybės paskirta bei valstybės kontroliuojama </w:t>
      </w:r>
      <w:r>
        <w:rPr>
          <w:rFonts w:ascii="Georgia" w:hAnsi="Georgia" w:cs="Times New Roman"/>
          <w:sz w:val="20"/>
          <w:szCs w:val="20"/>
          <w:lang w:val="lt-LT"/>
        </w:rPr>
        <w:t xml:space="preserve">finansų įstaiga. Įdomu, kad ši </w:t>
      </w:r>
      <w:r w:rsidR="00032456">
        <w:rPr>
          <w:rFonts w:ascii="Georgia" w:hAnsi="Georgia" w:cs="Times New Roman"/>
          <w:sz w:val="20"/>
          <w:szCs w:val="20"/>
          <w:lang w:val="lt-LT"/>
        </w:rPr>
        <w:t xml:space="preserve">priemonė </w:t>
      </w:r>
      <w:r>
        <w:rPr>
          <w:rFonts w:ascii="Georgia" w:hAnsi="Georgia" w:cs="Times New Roman"/>
          <w:sz w:val="20"/>
          <w:szCs w:val="20"/>
          <w:lang w:val="lt-LT"/>
        </w:rPr>
        <w:t>pagal teikiamą svarbą aplenkė tokią priemonę kaip portfelinių garantijų teikimas už banko valdomą viešosios infrastruktūros projektų paskolų gavėjų portfelį. Savo ruožtu būtina pabrėžti, kad bankai apklausos metu nurodė viešosios infrastruktūros projektų kreditavimo palūkanų subsidijas kaip jiems mažiausiai svarbią finansinę priemonę.</w:t>
      </w:r>
    </w:p>
    <w:p w14:paraId="0C100404" w14:textId="77777777" w:rsidR="00336C16" w:rsidRPr="00FA5E7B" w:rsidRDefault="00336C16" w:rsidP="00336C16">
      <w:pPr>
        <w:pStyle w:val="Graphic"/>
        <w:jc w:val="left"/>
        <w:rPr>
          <w:rFonts w:ascii="Georgia" w:hAnsi="Georgia"/>
          <w:i/>
          <w:noProof w:val="0"/>
          <w:lang w:val="lt-LT"/>
        </w:rPr>
      </w:pPr>
      <w:r w:rsidRPr="00FA5E7B">
        <w:rPr>
          <w:rFonts w:ascii="Georgia" w:hAnsi="Georgia"/>
          <w:i/>
          <w:noProof w:val="0"/>
          <w:lang w:val="lt-LT"/>
        </w:rPr>
        <w:t>Komercinių bankų dalyvavimas finansuojant ESCO projektus</w:t>
      </w:r>
    </w:p>
    <w:p w14:paraId="5D76CC64" w14:textId="77777777"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ESCO modelis yra atskiras energijos efektyvumo projektų tipas, kai projekto įgyvendinimas bei energijos kaštų sutaupymų siekimas yra patikimas privačiam partneriui. ESCO modelis yra tam tikro tipo privačios ir viešosios partnerystės (PPP) projektas. Tiek KPMG studijoje, tiek ir papildomų susitikimų su komerciniais bankais susitikimų metu buvo siekiama aptarti komercinių bankų galimybes ir norą dalyvauti finansuojant ESCO projektus. Dažnu atveju bankai atsakė, kad šis modelis jiems yra dar nepažįstamas, todėl atsakyti, ar būtų suinteresuoti finansuoti tokio pobūdžio projektus, galėjo labai </w:t>
      </w:r>
      <w:r w:rsidR="003C0B0D">
        <w:rPr>
          <w:rFonts w:ascii="Georgia" w:hAnsi="Georgia" w:cs="Times New Roman"/>
          <w:sz w:val="20"/>
          <w:szCs w:val="20"/>
          <w:lang w:val="lt-LT"/>
        </w:rPr>
        <w:t>abstrakčiai</w:t>
      </w:r>
      <w:r>
        <w:rPr>
          <w:rFonts w:ascii="Georgia" w:hAnsi="Georgia" w:cs="Times New Roman"/>
          <w:sz w:val="20"/>
          <w:szCs w:val="20"/>
          <w:lang w:val="lt-LT"/>
        </w:rPr>
        <w:t xml:space="preserve">. </w:t>
      </w:r>
    </w:p>
    <w:p w14:paraId="318C0859" w14:textId="77777777"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Komerciniai bankai KPMG studijos autoriams nurodė, kokios pagrindinės ESCO modelio rizikos iš finansuotojo perspektyvos. Šių rizikų sąrašas ir aprašymas pateikiamas </w:t>
      </w:r>
      <w:r w:rsidR="000B28FE">
        <w:rPr>
          <w:rFonts w:ascii="Georgia" w:hAnsi="Georgia" w:cs="Times New Roman"/>
          <w:sz w:val="20"/>
          <w:szCs w:val="20"/>
          <w:lang w:val="lt-LT"/>
        </w:rPr>
        <w:t xml:space="preserve">žemiau esančioje </w:t>
      </w:r>
      <w:r>
        <w:rPr>
          <w:rFonts w:ascii="Georgia" w:hAnsi="Georgia" w:cs="Times New Roman"/>
          <w:sz w:val="20"/>
          <w:szCs w:val="20"/>
          <w:lang w:val="lt-LT"/>
        </w:rPr>
        <w:t>lentelėje.</w:t>
      </w:r>
    </w:p>
    <w:p w14:paraId="64290703" w14:textId="61EFE97D" w:rsidR="00336C16" w:rsidRPr="00530723" w:rsidRDefault="00FA5E7B" w:rsidP="00652347">
      <w:pPr>
        <w:pStyle w:val="Antrat"/>
        <w:jc w:val="both"/>
        <w:rPr>
          <w:lang w:val="lt-LT"/>
        </w:rPr>
      </w:pPr>
      <w:bookmarkStart w:id="69" w:name="_Toc460321602"/>
      <w:r w:rsidRPr="00530723">
        <w:rPr>
          <w:lang w:val="lt-LT"/>
        </w:rPr>
        <w:lastRenderedPageBreak/>
        <w:t xml:space="preserve">Lentelė </w:t>
      </w:r>
      <w:r w:rsidRPr="00530723">
        <w:rPr>
          <w:lang w:val="lt-LT"/>
        </w:rPr>
        <w:fldChar w:fldCharType="begin"/>
      </w:r>
      <w:r w:rsidRPr="00530723">
        <w:rPr>
          <w:lang w:val="lt-LT"/>
        </w:rPr>
        <w:instrText xml:space="preserve"> SEQ Lentelė \* ARABIC </w:instrText>
      </w:r>
      <w:r w:rsidRPr="00530723">
        <w:rPr>
          <w:lang w:val="lt-LT"/>
        </w:rPr>
        <w:fldChar w:fldCharType="separate"/>
      </w:r>
      <w:r w:rsidR="00AA3082">
        <w:rPr>
          <w:noProof/>
          <w:lang w:val="lt-LT"/>
        </w:rPr>
        <w:t>21</w:t>
      </w:r>
      <w:r w:rsidRPr="00530723">
        <w:rPr>
          <w:lang w:val="lt-LT"/>
        </w:rPr>
        <w:fldChar w:fldCharType="end"/>
      </w:r>
      <w:r w:rsidRPr="00530723">
        <w:rPr>
          <w:lang w:val="lt-LT"/>
        </w:rPr>
        <w:t xml:space="preserve">. </w:t>
      </w:r>
      <w:r w:rsidRPr="001E4B4F">
        <w:rPr>
          <w:szCs w:val="20"/>
          <w:lang w:val="lt-LT"/>
        </w:rPr>
        <w:t>ESCO modelio rizikos.</w:t>
      </w:r>
      <w:bookmarkEnd w:id="69"/>
    </w:p>
    <w:tbl>
      <w:tblPr>
        <w:tblStyle w:val="viesussraas2parykinimas"/>
        <w:tblW w:w="5000" w:type="pct"/>
        <w:tblLook w:val="04A0" w:firstRow="1" w:lastRow="0" w:firstColumn="1" w:lastColumn="0" w:noHBand="0" w:noVBand="1"/>
      </w:tblPr>
      <w:tblGrid>
        <w:gridCol w:w="2375"/>
        <w:gridCol w:w="6867"/>
      </w:tblGrid>
      <w:tr w:rsidR="00336C16" w:rsidRPr="00A310BD" w14:paraId="6EDD5606" w14:textId="77777777" w:rsidTr="000A566C">
        <w:trPr>
          <w:cnfStyle w:val="100000000000" w:firstRow="1" w:lastRow="0" w:firstColumn="0" w:lastColumn="0" w:oddVBand="0" w:evenVBand="0" w:oddHBand="0" w:evenHBand="0" w:firstRowFirstColumn="0" w:firstRowLastColumn="0" w:lastRowFirstColumn="0" w:lastRowLastColumn="0"/>
          <w:cantSplit/>
          <w:trHeight w:val="75"/>
          <w:tblHeader/>
        </w:trPr>
        <w:tc>
          <w:tcPr>
            <w:cnfStyle w:val="001000000000" w:firstRow="0" w:lastRow="0" w:firstColumn="1" w:lastColumn="0" w:oddVBand="0" w:evenVBand="0" w:oddHBand="0" w:evenHBand="0" w:firstRowFirstColumn="0" w:firstRowLastColumn="0" w:lastRowFirstColumn="0" w:lastRowLastColumn="0"/>
            <w:tcW w:w="1285" w:type="pct"/>
            <w:tcBorders>
              <w:top w:val="single" w:sz="8" w:space="0" w:color="C0504D" w:themeColor="accent2"/>
              <w:left w:val="single" w:sz="8" w:space="0" w:color="C0504D" w:themeColor="accent2"/>
              <w:bottom w:val="nil"/>
              <w:right w:val="single" w:sz="8" w:space="0" w:color="C0504D" w:themeColor="accent2"/>
            </w:tcBorders>
            <w:hideMark/>
          </w:tcPr>
          <w:p w14:paraId="14FEDF46" w14:textId="77777777" w:rsidR="00336C16" w:rsidRPr="00A310BD" w:rsidRDefault="00336C16" w:rsidP="00652347">
            <w:pPr>
              <w:keepNext/>
              <w:jc w:val="center"/>
              <w:rPr>
                <w:rFonts w:ascii="Georgia" w:hAnsi="Georgia" w:cs="Times New Roman"/>
                <w:sz w:val="20"/>
                <w:szCs w:val="20"/>
              </w:rPr>
            </w:pPr>
            <w:r w:rsidRPr="00A310BD">
              <w:rPr>
                <w:rFonts w:ascii="Georgia" w:hAnsi="Georgia" w:cs="Times New Roman"/>
                <w:sz w:val="20"/>
                <w:szCs w:val="20"/>
              </w:rPr>
              <w:t>Rizika</w:t>
            </w:r>
          </w:p>
        </w:tc>
        <w:tc>
          <w:tcPr>
            <w:tcW w:w="3715" w:type="pct"/>
            <w:tcBorders>
              <w:top w:val="single" w:sz="8" w:space="0" w:color="C0504D" w:themeColor="accent2"/>
              <w:left w:val="nil"/>
              <w:bottom w:val="nil"/>
              <w:right w:val="single" w:sz="8" w:space="0" w:color="C0504D" w:themeColor="accent2"/>
            </w:tcBorders>
            <w:hideMark/>
          </w:tcPr>
          <w:p w14:paraId="10C84A76" w14:textId="77777777" w:rsidR="00336C16" w:rsidRPr="00A310BD" w:rsidRDefault="00336C16" w:rsidP="00652347">
            <w:pPr>
              <w:keepNext/>
              <w:jc w:val="center"/>
              <w:cnfStyle w:val="100000000000" w:firstRow="1" w:lastRow="0" w:firstColumn="0" w:lastColumn="0" w:oddVBand="0" w:evenVBand="0" w:oddHBand="0" w:evenHBand="0" w:firstRowFirstColumn="0" w:firstRowLastColumn="0" w:lastRowFirstColumn="0" w:lastRowLastColumn="0"/>
              <w:rPr>
                <w:rFonts w:ascii="Georgia" w:hAnsi="Georgia" w:cs="Times New Roman"/>
                <w:sz w:val="20"/>
                <w:szCs w:val="20"/>
              </w:rPr>
            </w:pPr>
            <w:r w:rsidRPr="00A310BD">
              <w:rPr>
                <w:rFonts w:ascii="Georgia" w:hAnsi="Georgia" w:cs="Times New Roman"/>
                <w:sz w:val="20"/>
                <w:szCs w:val="20"/>
              </w:rPr>
              <w:t>Aprašymas</w:t>
            </w:r>
          </w:p>
        </w:tc>
      </w:tr>
      <w:tr w:rsidR="00336C16" w14:paraId="5CCC00E9" w14:textId="77777777" w:rsidTr="000A566C">
        <w:trPr>
          <w:cnfStyle w:val="000000100000" w:firstRow="0" w:lastRow="0" w:firstColumn="0" w:lastColumn="0" w:oddVBand="0" w:evenVBand="0" w:oddHBand="1" w:evenHBand="0" w:firstRowFirstColumn="0" w:firstRowLastColumn="0" w:lastRowFirstColumn="0" w:lastRowLastColumn="0"/>
          <w:cantSplit/>
          <w:trHeight w:val="351"/>
        </w:trPr>
        <w:tc>
          <w:tcPr>
            <w:cnfStyle w:val="001000000000" w:firstRow="0" w:lastRow="0" w:firstColumn="1" w:lastColumn="0" w:oddVBand="0" w:evenVBand="0" w:oddHBand="0" w:evenHBand="0" w:firstRowFirstColumn="0" w:firstRowLastColumn="0" w:lastRowFirstColumn="0" w:lastRowLastColumn="0"/>
            <w:tcW w:w="1285" w:type="pct"/>
            <w:tcBorders>
              <w:right w:val="single" w:sz="8" w:space="0" w:color="C0504D" w:themeColor="accent2"/>
            </w:tcBorders>
            <w:hideMark/>
          </w:tcPr>
          <w:p w14:paraId="3C3A171F" w14:textId="77777777" w:rsidR="00336C16" w:rsidRDefault="00336C16" w:rsidP="00652347">
            <w:pPr>
              <w:keepNext/>
              <w:rPr>
                <w:rFonts w:ascii="Georgia" w:hAnsi="Georgia" w:cs="Times New Roman"/>
                <w:sz w:val="20"/>
                <w:szCs w:val="20"/>
              </w:rPr>
            </w:pPr>
            <w:r>
              <w:rPr>
                <w:rFonts w:ascii="Georgia" w:hAnsi="Georgia" w:cs="Times New Roman"/>
                <w:sz w:val="20"/>
                <w:szCs w:val="20"/>
              </w:rPr>
              <w:t xml:space="preserve">Kredito rizika </w:t>
            </w:r>
          </w:p>
        </w:tc>
        <w:tc>
          <w:tcPr>
            <w:tcW w:w="3715" w:type="pct"/>
            <w:tcBorders>
              <w:left w:val="nil"/>
            </w:tcBorders>
            <w:hideMark/>
          </w:tcPr>
          <w:p w14:paraId="1B95CC51" w14:textId="77777777" w:rsidR="00336C16" w:rsidRDefault="00336C16" w:rsidP="00652347">
            <w:pPr>
              <w:keepNext/>
              <w:jc w:val="both"/>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Pr>
                <w:rFonts w:ascii="Georgia" w:hAnsi="Georgia" w:cs="Times New Roman"/>
                <w:sz w:val="20"/>
                <w:szCs w:val="20"/>
              </w:rPr>
              <w:t xml:space="preserve">Neapibrėžtumas, kuri iš šalių prisiims paskolos grąžinimo riziką tuo atveju, jei </w:t>
            </w:r>
            <w:r w:rsidR="007E7CE4">
              <w:rPr>
                <w:rFonts w:ascii="Georgia" w:hAnsi="Georgia" w:cs="Times New Roman"/>
                <w:sz w:val="20"/>
                <w:szCs w:val="20"/>
              </w:rPr>
              <w:t>ESCO</w:t>
            </w:r>
            <w:r>
              <w:rPr>
                <w:rFonts w:ascii="Georgia" w:hAnsi="Georgia" w:cs="Times New Roman"/>
                <w:sz w:val="20"/>
                <w:szCs w:val="20"/>
              </w:rPr>
              <w:t xml:space="preserve"> klientas nesugebės mokėti. Kadangi didžiąją dalį viešosios paskirties pastatų sąskaitų apmoka savivaldybės, komercinių bankų atstovai mato riziką, kad savivaldybių biudžetuose </w:t>
            </w:r>
            <w:r w:rsidR="007E7CE4">
              <w:rPr>
                <w:rFonts w:ascii="Georgia" w:hAnsi="Georgia" w:cs="Times New Roman"/>
                <w:sz w:val="20"/>
                <w:szCs w:val="20"/>
              </w:rPr>
              <w:t>ESCO</w:t>
            </w:r>
            <w:r>
              <w:rPr>
                <w:rFonts w:ascii="Georgia" w:hAnsi="Georgia" w:cs="Times New Roman"/>
                <w:sz w:val="20"/>
                <w:szCs w:val="20"/>
              </w:rPr>
              <w:t xml:space="preserve"> mokėjimams gali būti nepakankamai skirta pinigų. </w:t>
            </w:r>
          </w:p>
        </w:tc>
      </w:tr>
      <w:tr w:rsidR="00336C16" w14:paraId="6D110807" w14:textId="77777777" w:rsidTr="000A566C">
        <w:trPr>
          <w:cantSplit/>
          <w:trHeight w:val="351"/>
        </w:trPr>
        <w:tc>
          <w:tcPr>
            <w:cnfStyle w:val="001000000000" w:firstRow="0" w:lastRow="0" w:firstColumn="1" w:lastColumn="0" w:oddVBand="0" w:evenVBand="0" w:oddHBand="0" w:evenHBand="0" w:firstRowFirstColumn="0" w:firstRowLastColumn="0" w:lastRowFirstColumn="0" w:lastRowLastColumn="0"/>
            <w:tcW w:w="1285" w:type="pct"/>
            <w:tcBorders>
              <w:top w:val="nil"/>
              <w:left w:val="single" w:sz="8" w:space="0" w:color="C0504D" w:themeColor="accent2"/>
              <w:bottom w:val="nil"/>
              <w:right w:val="single" w:sz="8" w:space="0" w:color="C0504D" w:themeColor="accent2"/>
            </w:tcBorders>
            <w:hideMark/>
          </w:tcPr>
          <w:p w14:paraId="194BE169" w14:textId="77777777" w:rsidR="00336C16" w:rsidRDefault="00336C16" w:rsidP="00FA5E7B">
            <w:pPr>
              <w:rPr>
                <w:rFonts w:ascii="Georgia" w:hAnsi="Georgia" w:cs="Times New Roman"/>
                <w:sz w:val="20"/>
                <w:szCs w:val="20"/>
              </w:rPr>
            </w:pPr>
            <w:r>
              <w:rPr>
                <w:rFonts w:ascii="Georgia" w:hAnsi="Georgia" w:cs="Times New Roman"/>
                <w:sz w:val="20"/>
                <w:szCs w:val="20"/>
              </w:rPr>
              <w:t xml:space="preserve">Rizika, susijusi su ilgalaikiu turto naudojimu </w:t>
            </w:r>
          </w:p>
        </w:tc>
        <w:tc>
          <w:tcPr>
            <w:tcW w:w="3715" w:type="pct"/>
            <w:tcBorders>
              <w:top w:val="nil"/>
              <w:left w:val="nil"/>
              <w:bottom w:val="nil"/>
              <w:right w:val="single" w:sz="8" w:space="0" w:color="C0504D" w:themeColor="accent2"/>
            </w:tcBorders>
            <w:hideMark/>
          </w:tcPr>
          <w:p w14:paraId="0F1328CD" w14:textId="77777777" w:rsidR="00336C16" w:rsidRDefault="007E7CE4">
            <w:pPr>
              <w:jc w:val="both"/>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Pr>
                <w:rFonts w:ascii="Georgia" w:hAnsi="Georgia" w:cs="Times New Roman"/>
                <w:sz w:val="20"/>
                <w:szCs w:val="20"/>
              </w:rPr>
              <w:t>ESCO</w:t>
            </w:r>
            <w:r w:rsidR="00336C16">
              <w:rPr>
                <w:rFonts w:ascii="Georgia" w:hAnsi="Georgia" w:cs="Times New Roman"/>
                <w:sz w:val="20"/>
                <w:szCs w:val="20"/>
              </w:rPr>
              <w:t xml:space="preserve"> projektų paskolų grąžinimai gali užtrukti ilgą laikotarpį. Egzistuoja rizika, kad per tą laiką pastatas bus uždarytas ar pakeistas kitu. Bankai nori garantijų, kad pastatai bus naudojami visą sutarties laiką, arba kad, tuo atveju, kai modernizuotas pastatas uždaromas, mokėjimai bus skiriami iš kito pastato lėšų. </w:t>
            </w:r>
          </w:p>
        </w:tc>
      </w:tr>
      <w:tr w:rsidR="00336C16" w14:paraId="1F4A8D6E" w14:textId="77777777" w:rsidTr="000A566C">
        <w:trPr>
          <w:cnfStyle w:val="000000100000" w:firstRow="0" w:lastRow="0" w:firstColumn="0" w:lastColumn="0" w:oddVBand="0" w:evenVBand="0" w:oddHBand="1" w:evenHBand="0" w:firstRowFirstColumn="0" w:firstRowLastColumn="0" w:lastRowFirstColumn="0" w:lastRowLastColumn="0"/>
          <w:cantSplit/>
          <w:trHeight w:val="260"/>
        </w:trPr>
        <w:tc>
          <w:tcPr>
            <w:cnfStyle w:val="001000000000" w:firstRow="0" w:lastRow="0" w:firstColumn="1" w:lastColumn="0" w:oddVBand="0" w:evenVBand="0" w:oddHBand="0" w:evenHBand="0" w:firstRowFirstColumn="0" w:firstRowLastColumn="0" w:lastRowFirstColumn="0" w:lastRowLastColumn="0"/>
            <w:tcW w:w="1285" w:type="pct"/>
            <w:tcBorders>
              <w:right w:val="single" w:sz="8" w:space="0" w:color="C0504D" w:themeColor="accent2"/>
            </w:tcBorders>
            <w:hideMark/>
          </w:tcPr>
          <w:p w14:paraId="416DE04A" w14:textId="77777777" w:rsidR="00336C16" w:rsidRDefault="00336C16" w:rsidP="00FA5E7B">
            <w:pPr>
              <w:rPr>
                <w:rFonts w:ascii="Georgia" w:hAnsi="Georgia" w:cs="Times New Roman"/>
                <w:sz w:val="20"/>
                <w:szCs w:val="20"/>
              </w:rPr>
            </w:pPr>
            <w:r>
              <w:rPr>
                <w:rFonts w:ascii="Georgia" w:hAnsi="Georgia" w:cs="Times New Roman"/>
                <w:sz w:val="20"/>
                <w:szCs w:val="20"/>
              </w:rPr>
              <w:t xml:space="preserve">Politinė rizika </w:t>
            </w:r>
          </w:p>
        </w:tc>
        <w:tc>
          <w:tcPr>
            <w:tcW w:w="3715" w:type="pct"/>
            <w:tcBorders>
              <w:left w:val="nil"/>
            </w:tcBorders>
            <w:hideMark/>
          </w:tcPr>
          <w:p w14:paraId="2F425884" w14:textId="77777777" w:rsidR="00336C16" w:rsidRDefault="007E7CE4" w:rsidP="00DC70F0">
            <w:pPr>
              <w:jc w:val="both"/>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Pr>
                <w:rFonts w:ascii="Georgia" w:hAnsi="Georgia" w:cs="Times New Roman"/>
                <w:sz w:val="20"/>
                <w:szCs w:val="20"/>
              </w:rPr>
              <w:t>ESCO</w:t>
            </w:r>
            <w:r w:rsidR="00336C16">
              <w:rPr>
                <w:rFonts w:ascii="Georgia" w:hAnsi="Georgia" w:cs="Times New Roman"/>
                <w:sz w:val="20"/>
                <w:szCs w:val="20"/>
              </w:rPr>
              <w:t xml:space="preserve"> koncepcija Lietuvoje yra naujas dalykas, todėl egzistuoja rizika, kad po kelių metų nauja vyriausybė gali pakeisti nuomonę. Bankai įžvelgia riziką, kad vyriausybė gali sustabdyti </w:t>
            </w:r>
            <w:r>
              <w:rPr>
                <w:rFonts w:ascii="Georgia" w:hAnsi="Georgia" w:cs="Times New Roman"/>
                <w:sz w:val="20"/>
                <w:szCs w:val="20"/>
              </w:rPr>
              <w:t>ESCO</w:t>
            </w:r>
            <w:r w:rsidR="00336C16">
              <w:rPr>
                <w:rFonts w:ascii="Georgia" w:hAnsi="Georgia" w:cs="Times New Roman"/>
                <w:sz w:val="20"/>
                <w:szCs w:val="20"/>
              </w:rPr>
              <w:t xml:space="preserve"> projektų finansavimą. </w:t>
            </w:r>
            <w:r w:rsidR="0021225B">
              <w:rPr>
                <w:rFonts w:ascii="Georgia" w:hAnsi="Georgia" w:cs="Times New Roman"/>
                <w:sz w:val="20"/>
                <w:szCs w:val="20"/>
              </w:rPr>
              <w:t xml:space="preserve">Viena iš pagrindinių problemų, jog šiuo metu nėra sukurtos jokios teisinės bazės apibrėžiančios </w:t>
            </w:r>
            <w:r>
              <w:rPr>
                <w:rFonts w:ascii="Georgia" w:hAnsi="Georgia" w:cs="Times New Roman"/>
                <w:sz w:val="20"/>
                <w:szCs w:val="20"/>
              </w:rPr>
              <w:t>ESCO</w:t>
            </w:r>
            <w:r w:rsidR="0021225B">
              <w:rPr>
                <w:rFonts w:ascii="Georgia" w:hAnsi="Georgia" w:cs="Times New Roman"/>
                <w:sz w:val="20"/>
                <w:szCs w:val="20"/>
              </w:rPr>
              <w:t xml:space="preserve"> prielaidas bei veikimo būdus, </w:t>
            </w:r>
            <w:r w:rsidR="00DC70F0" w:rsidRPr="00FA5E7B">
              <w:rPr>
                <w:rFonts w:ascii="Georgia" w:hAnsi="Georgia" w:cs="Times New Roman"/>
                <w:sz w:val="20"/>
                <w:szCs w:val="20"/>
              </w:rPr>
              <w:t>tačiau politinė parama šiam modeliui yra</w:t>
            </w:r>
            <w:r w:rsidR="0021225B" w:rsidRPr="00383B9E">
              <w:rPr>
                <w:rFonts w:ascii="Georgia" w:hAnsi="Georgia" w:cs="Times New Roman"/>
                <w:sz w:val="20"/>
                <w:szCs w:val="20"/>
              </w:rPr>
              <w:t>.</w:t>
            </w:r>
          </w:p>
        </w:tc>
      </w:tr>
      <w:tr w:rsidR="00336C16" w14:paraId="60EA231B" w14:textId="77777777" w:rsidTr="000A566C">
        <w:trPr>
          <w:cantSplit/>
          <w:trHeight w:val="259"/>
        </w:trPr>
        <w:tc>
          <w:tcPr>
            <w:cnfStyle w:val="001000000000" w:firstRow="0" w:lastRow="0" w:firstColumn="1" w:lastColumn="0" w:oddVBand="0" w:evenVBand="0" w:oddHBand="0" w:evenHBand="0" w:firstRowFirstColumn="0" w:firstRowLastColumn="0" w:lastRowFirstColumn="0" w:lastRowLastColumn="0"/>
            <w:tcW w:w="1285" w:type="pct"/>
            <w:tcBorders>
              <w:top w:val="nil"/>
              <w:left w:val="single" w:sz="8" w:space="0" w:color="C0504D" w:themeColor="accent2"/>
              <w:bottom w:val="nil"/>
              <w:right w:val="single" w:sz="8" w:space="0" w:color="C0504D" w:themeColor="accent2"/>
            </w:tcBorders>
            <w:hideMark/>
          </w:tcPr>
          <w:p w14:paraId="0A2087C3" w14:textId="77777777" w:rsidR="00336C16" w:rsidRDefault="00336C16" w:rsidP="00FA5E7B">
            <w:pPr>
              <w:rPr>
                <w:rFonts w:ascii="Georgia" w:hAnsi="Georgia" w:cs="Times New Roman"/>
                <w:sz w:val="20"/>
                <w:szCs w:val="20"/>
              </w:rPr>
            </w:pPr>
            <w:r>
              <w:rPr>
                <w:rFonts w:ascii="Georgia" w:hAnsi="Georgia" w:cs="Times New Roman"/>
                <w:sz w:val="20"/>
                <w:szCs w:val="20"/>
              </w:rPr>
              <w:t xml:space="preserve">Rizika, susijusi su ilgalaikiu finansavimu </w:t>
            </w:r>
          </w:p>
        </w:tc>
        <w:tc>
          <w:tcPr>
            <w:tcW w:w="3715" w:type="pct"/>
            <w:tcBorders>
              <w:top w:val="nil"/>
              <w:left w:val="nil"/>
              <w:bottom w:val="nil"/>
              <w:right w:val="single" w:sz="8" w:space="0" w:color="C0504D" w:themeColor="accent2"/>
            </w:tcBorders>
            <w:hideMark/>
          </w:tcPr>
          <w:p w14:paraId="1D04EC4E" w14:textId="77777777" w:rsidR="00336C16" w:rsidRDefault="00336C16">
            <w:pPr>
              <w:jc w:val="both"/>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Pr>
                <w:rFonts w:ascii="Georgia" w:hAnsi="Georgia" w:cs="Times New Roman"/>
                <w:sz w:val="20"/>
                <w:szCs w:val="20"/>
              </w:rPr>
              <w:t xml:space="preserve">Komercinių bankų atstovai mano, kad </w:t>
            </w:r>
            <w:r w:rsidR="007E7CE4">
              <w:rPr>
                <w:rFonts w:ascii="Georgia" w:hAnsi="Georgia" w:cs="Times New Roman"/>
                <w:sz w:val="20"/>
                <w:szCs w:val="20"/>
              </w:rPr>
              <w:t>ESCO</w:t>
            </w:r>
            <w:r>
              <w:rPr>
                <w:rFonts w:ascii="Georgia" w:hAnsi="Georgia" w:cs="Times New Roman"/>
                <w:sz w:val="20"/>
                <w:szCs w:val="20"/>
              </w:rPr>
              <w:t xml:space="preserve"> projektų koncepcija yra sudėtinga. Ilgalaikis projektų finansavimas turi įvairių rizikų, todėl per fondus vykdomas refinansavimas būtų mažiau rizikinga alternatyva. </w:t>
            </w:r>
          </w:p>
        </w:tc>
      </w:tr>
      <w:tr w:rsidR="00336C16" w14:paraId="2D282396" w14:textId="77777777" w:rsidTr="000A566C">
        <w:trPr>
          <w:cnfStyle w:val="000000100000" w:firstRow="0" w:lastRow="0" w:firstColumn="0" w:lastColumn="0" w:oddVBand="0" w:evenVBand="0" w:oddHBand="1" w:evenHBand="0" w:firstRowFirstColumn="0" w:firstRowLastColumn="0" w:lastRowFirstColumn="0" w:lastRowLastColumn="0"/>
          <w:cantSplit/>
          <w:trHeight w:val="167"/>
        </w:trPr>
        <w:tc>
          <w:tcPr>
            <w:cnfStyle w:val="001000000000" w:firstRow="0" w:lastRow="0" w:firstColumn="1" w:lastColumn="0" w:oddVBand="0" w:evenVBand="0" w:oddHBand="0" w:evenHBand="0" w:firstRowFirstColumn="0" w:firstRowLastColumn="0" w:lastRowFirstColumn="0" w:lastRowLastColumn="0"/>
            <w:tcW w:w="1285" w:type="pct"/>
            <w:tcBorders>
              <w:right w:val="single" w:sz="8" w:space="0" w:color="C0504D" w:themeColor="accent2"/>
            </w:tcBorders>
            <w:hideMark/>
          </w:tcPr>
          <w:p w14:paraId="1151BA8C" w14:textId="77777777" w:rsidR="00336C16" w:rsidRDefault="00336C16" w:rsidP="00FA5E7B">
            <w:pPr>
              <w:rPr>
                <w:rFonts w:ascii="Georgia" w:hAnsi="Georgia" w:cs="Times New Roman"/>
                <w:sz w:val="20"/>
                <w:szCs w:val="20"/>
              </w:rPr>
            </w:pPr>
            <w:r>
              <w:rPr>
                <w:rFonts w:ascii="Georgia" w:hAnsi="Georgia" w:cs="Times New Roman"/>
                <w:sz w:val="20"/>
                <w:szCs w:val="20"/>
              </w:rPr>
              <w:t xml:space="preserve">Patikimumo rizika </w:t>
            </w:r>
          </w:p>
        </w:tc>
        <w:tc>
          <w:tcPr>
            <w:tcW w:w="3715" w:type="pct"/>
            <w:tcBorders>
              <w:left w:val="nil"/>
            </w:tcBorders>
            <w:hideMark/>
          </w:tcPr>
          <w:p w14:paraId="076E4A61" w14:textId="77777777" w:rsidR="00336C16" w:rsidRDefault="00336C16">
            <w:pPr>
              <w:jc w:val="both"/>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Pr>
                <w:rFonts w:ascii="Georgia" w:hAnsi="Georgia" w:cs="Times New Roman"/>
                <w:sz w:val="20"/>
                <w:szCs w:val="20"/>
              </w:rPr>
              <w:t xml:space="preserve">Komerciniai bankai įžvelgia riziką, susijusią su įmonės akcininkų patikimumu, kai sutartys sudaromas ilgam laikotarpiui. Bankams reikėtų atlikti potencialių </w:t>
            </w:r>
            <w:r w:rsidR="007E7CE4">
              <w:rPr>
                <w:rFonts w:ascii="Georgia" w:hAnsi="Georgia" w:cs="Times New Roman"/>
                <w:sz w:val="20"/>
                <w:szCs w:val="20"/>
              </w:rPr>
              <w:t>ESCO</w:t>
            </w:r>
            <w:r>
              <w:rPr>
                <w:rFonts w:ascii="Georgia" w:hAnsi="Georgia" w:cs="Times New Roman"/>
                <w:sz w:val="20"/>
                <w:szCs w:val="20"/>
              </w:rPr>
              <w:t xml:space="preserve"> vindikaciją. </w:t>
            </w:r>
          </w:p>
        </w:tc>
      </w:tr>
      <w:tr w:rsidR="00336C16" w14:paraId="4B2A2A81" w14:textId="77777777" w:rsidTr="000A566C">
        <w:trPr>
          <w:cantSplit/>
          <w:trHeight w:val="351"/>
        </w:trPr>
        <w:tc>
          <w:tcPr>
            <w:cnfStyle w:val="001000000000" w:firstRow="0" w:lastRow="0" w:firstColumn="1" w:lastColumn="0" w:oddVBand="0" w:evenVBand="0" w:oddHBand="0" w:evenHBand="0" w:firstRowFirstColumn="0" w:firstRowLastColumn="0" w:lastRowFirstColumn="0" w:lastRowLastColumn="0"/>
            <w:tcW w:w="1285" w:type="pct"/>
            <w:tcBorders>
              <w:top w:val="nil"/>
              <w:left w:val="single" w:sz="8" w:space="0" w:color="C0504D" w:themeColor="accent2"/>
              <w:bottom w:val="nil"/>
              <w:right w:val="single" w:sz="8" w:space="0" w:color="C0504D" w:themeColor="accent2"/>
            </w:tcBorders>
            <w:hideMark/>
          </w:tcPr>
          <w:p w14:paraId="77E9FBBE" w14:textId="77777777" w:rsidR="00336C16" w:rsidRDefault="00336C16" w:rsidP="00FA5E7B">
            <w:pPr>
              <w:rPr>
                <w:rFonts w:ascii="Georgia" w:hAnsi="Georgia" w:cs="Times New Roman"/>
                <w:sz w:val="20"/>
                <w:szCs w:val="20"/>
              </w:rPr>
            </w:pPr>
            <w:r>
              <w:rPr>
                <w:rFonts w:ascii="Georgia" w:hAnsi="Georgia" w:cs="Times New Roman"/>
                <w:sz w:val="20"/>
                <w:szCs w:val="20"/>
              </w:rPr>
              <w:t xml:space="preserve">Sutarčių rizika </w:t>
            </w:r>
          </w:p>
        </w:tc>
        <w:tc>
          <w:tcPr>
            <w:tcW w:w="3715" w:type="pct"/>
            <w:tcBorders>
              <w:top w:val="nil"/>
              <w:left w:val="nil"/>
              <w:bottom w:val="nil"/>
              <w:right w:val="single" w:sz="8" w:space="0" w:color="C0504D" w:themeColor="accent2"/>
            </w:tcBorders>
            <w:hideMark/>
          </w:tcPr>
          <w:p w14:paraId="666BA873" w14:textId="77777777" w:rsidR="00336C16" w:rsidRDefault="00336C16">
            <w:pPr>
              <w:jc w:val="both"/>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Pr>
                <w:rFonts w:ascii="Georgia" w:hAnsi="Georgia" w:cs="Times New Roman"/>
                <w:sz w:val="20"/>
                <w:szCs w:val="20"/>
              </w:rPr>
              <w:t xml:space="preserve">Kadangi šie projektai apima daug trumpalaikių ir ilgalaikių įsipareigojimų (sutaupomos energijos užtikrinimas, priežiūros užtikrinimas lėšų grąžinimo laikotarpiu ir kt.) bankai pripažįsta, egzistuojant didelę riziką, jog įmonė nesugebės vykdyti visų sutartyje numatytų įsipareigojimų. </w:t>
            </w:r>
          </w:p>
        </w:tc>
      </w:tr>
      <w:tr w:rsidR="00336C16" w14:paraId="3DA32290" w14:textId="77777777" w:rsidTr="000A566C">
        <w:trPr>
          <w:cnfStyle w:val="000000100000" w:firstRow="0" w:lastRow="0" w:firstColumn="0" w:lastColumn="0" w:oddVBand="0" w:evenVBand="0" w:oddHBand="1" w:evenHBand="0" w:firstRowFirstColumn="0" w:firstRowLastColumn="0" w:lastRowFirstColumn="0" w:lastRowLastColumn="0"/>
          <w:cantSplit/>
          <w:trHeight w:val="172"/>
        </w:trPr>
        <w:tc>
          <w:tcPr>
            <w:cnfStyle w:val="001000000000" w:firstRow="0" w:lastRow="0" w:firstColumn="1" w:lastColumn="0" w:oddVBand="0" w:evenVBand="0" w:oddHBand="0" w:evenHBand="0" w:firstRowFirstColumn="0" w:firstRowLastColumn="0" w:lastRowFirstColumn="0" w:lastRowLastColumn="0"/>
            <w:tcW w:w="1285" w:type="pct"/>
            <w:tcBorders>
              <w:right w:val="single" w:sz="8" w:space="0" w:color="C0504D" w:themeColor="accent2"/>
            </w:tcBorders>
            <w:hideMark/>
          </w:tcPr>
          <w:p w14:paraId="2BAD71D4" w14:textId="77777777" w:rsidR="00336C16" w:rsidRDefault="00336C16" w:rsidP="00FA5E7B">
            <w:pPr>
              <w:rPr>
                <w:rFonts w:ascii="Georgia" w:hAnsi="Georgia" w:cs="Times New Roman"/>
                <w:sz w:val="20"/>
                <w:szCs w:val="20"/>
              </w:rPr>
            </w:pPr>
            <w:r>
              <w:rPr>
                <w:rFonts w:ascii="Georgia" w:hAnsi="Georgia" w:cs="Times New Roman"/>
                <w:sz w:val="20"/>
                <w:szCs w:val="20"/>
              </w:rPr>
              <w:t xml:space="preserve">Rizika, susijusi su kvalifikacija </w:t>
            </w:r>
          </w:p>
        </w:tc>
        <w:tc>
          <w:tcPr>
            <w:tcW w:w="3715" w:type="pct"/>
            <w:tcBorders>
              <w:left w:val="nil"/>
            </w:tcBorders>
            <w:hideMark/>
          </w:tcPr>
          <w:p w14:paraId="37F49920" w14:textId="77777777" w:rsidR="00336C16" w:rsidRDefault="00336C16">
            <w:pPr>
              <w:jc w:val="both"/>
              <w:cnfStyle w:val="000000100000" w:firstRow="0" w:lastRow="0" w:firstColumn="0" w:lastColumn="0" w:oddVBand="0" w:evenVBand="0" w:oddHBand="1" w:evenHBand="0" w:firstRowFirstColumn="0" w:firstRowLastColumn="0" w:lastRowFirstColumn="0" w:lastRowLastColumn="0"/>
              <w:rPr>
                <w:rFonts w:ascii="Georgia" w:hAnsi="Georgia" w:cs="Times New Roman"/>
                <w:sz w:val="20"/>
                <w:szCs w:val="20"/>
              </w:rPr>
            </w:pPr>
            <w:r>
              <w:rPr>
                <w:rFonts w:ascii="Georgia" w:hAnsi="Georgia" w:cs="Times New Roman"/>
                <w:sz w:val="20"/>
                <w:szCs w:val="20"/>
              </w:rPr>
              <w:t xml:space="preserve">Esamų bendrovių ribotos žinios, nes Lietuvoje </w:t>
            </w:r>
            <w:r w:rsidR="007E7CE4">
              <w:rPr>
                <w:rFonts w:ascii="Georgia" w:hAnsi="Georgia" w:cs="Times New Roman"/>
                <w:sz w:val="20"/>
                <w:szCs w:val="20"/>
              </w:rPr>
              <w:t>ESCO</w:t>
            </w:r>
            <w:r>
              <w:rPr>
                <w:rFonts w:ascii="Georgia" w:hAnsi="Georgia" w:cs="Times New Roman"/>
                <w:sz w:val="20"/>
                <w:szCs w:val="20"/>
              </w:rPr>
              <w:t xml:space="preserve"> projektų patirties beveik nėra. Bankai įžvelgia riziką, kad įmonės neturės pakankamai techninių žinių apie </w:t>
            </w:r>
            <w:r w:rsidR="007E7CE4">
              <w:rPr>
                <w:rFonts w:ascii="Georgia" w:hAnsi="Georgia" w:cs="Times New Roman"/>
                <w:sz w:val="20"/>
                <w:szCs w:val="20"/>
              </w:rPr>
              <w:t>ESCO</w:t>
            </w:r>
            <w:r>
              <w:rPr>
                <w:rFonts w:ascii="Georgia" w:hAnsi="Georgia" w:cs="Times New Roman"/>
                <w:sz w:val="20"/>
                <w:szCs w:val="20"/>
              </w:rPr>
              <w:t xml:space="preserve"> tipo projektus. </w:t>
            </w:r>
          </w:p>
        </w:tc>
      </w:tr>
    </w:tbl>
    <w:p w14:paraId="3671C228" w14:textId="77777777" w:rsidR="00336C16" w:rsidRDefault="00336C16" w:rsidP="00336C16">
      <w:pPr>
        <w:jc w:val="both"/>
        <w:rPr>
          <w:rFonts w:ascii="Georgia" w:hAnsi="Georgia" w:cs="Times New Roman"/>
          <w:sz w:val="20"/>
          <w:szCs w:val="20"/>
          <w:lang w:val="lt-LT"/>
        </w:rPr>
      </w:pPr>
    </w:p>
    <w:p w14:paraId="45325C30" w14:textId="77777777"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Komerciniai bankai taip pat </w:t>
      </w:r>
      <w:r w:rsidR="00B0641F">
        <w:rPr>
          <w:rFonts w:ascii="Georgia" w:hAnsi="Georgia" w:cs="Times New Roman"/>
          <w:sz w:val="20"/>
          <w:szCs w:val="20"/>
          <w:lang w:val="lt-LT"/>
        </w:rPr>
        <w:t>nurodė</w:t>
      </w:r>
      <w:r>
        <w:rPr>
          <w:rFonts w:ascii="Georgia" w:hAnsi="Georgia" w:cs="Times New Roman"/>
          <w:sz w:val="20"/>
          <w:szCs w:val="20"/>
          <w:lang w:val="lt-LT"/>
        </w:rPr>
        <w:t xml:space="preserve">, kad tiesiogiai ESCO projekto vykdytojui teiktų tik trumpo – vidutinio laikotarpio paskolą, t.y. iki </w:t>
      </w:r>
      <w:r w:rsidR="00B0641F">
        <w:rPr>
          <w:rFonts w:ascii="Georgia" w:hAnsi="Georgia" w:cs="Times New Roman"/>
          <w:sz w:val="20"/>
          <w:szCs w:val="20"/>
          <w:lang w:val="lt-LT"/>
        </w:rPr>
        <w:t xml:space="preserve">7 </w:t>
      </w:r>
      <w:r>
        <w:rPr>
          <w:rFonts w:ascii="Georgia" w:hAnsi="Georgia" w:cs="Times New Roman"/>
          <w:sz w:val="20"/>
          <w:szCs w:val="20"/>
          <w:lang w:val="lt-LT"/>
        </w:rPr>
        <w:t xml:space="preserve">metų. Ilgo laikotarpio finansavimas komerciniams bankams yra visiškai nepatrauklus. Dalyvavimas per sukurtą investicinį mechanizmą domintų visus bankus, todėl ši analizė bus pateikiama privačių išteklių pritraukimo ex ante </w:t>
      </w:r>
      <w:r w:rsidR="00E066AF">
        <w:rPr>
          <w:rFonts w:ascii="Georgia" w:hAnsi="Georgia" w:cs="Times New Roman"/>
          <w:sz w:val="20"/>
          <w:szCs w:val="20"/>
          <w:lang w:val="lt-LT"/>
        </w:rPr>
        <w:t>vertinimo</w:t>
      </w:r>
      <w:r>
        <w:rPr>
          <w:rFonts w:ascii="Georgia" w:hAnsi="Georgia" w:cs="Times New Roman"/>
          <w:sz w:val="20"/>
          <w:szCs w:val="20"/>
          <w:lang w:val="lt-LT"/>
        </w:rPr>
        <w:t xml:space="preserve"> dalyje. </w:t>
      </w:r>
    </w:p>
    <w:p w14:paraId="3807673E" w14:textId="77777777" w:rsidR="00FA5E7B" w:rsidRDefault="00FA5E7B">
      <w:pPr>
        <w:rPr>
          <w:rFonts w:ascii="Georgia" w:eastAsia="PMingLiU" w:hAnsi="Georgia" w:cs="Times New Roman"/>
          <w:i/>
          <w:sz w:val="24"/>
          <w:szCs w:val="20"/>
          <w:lang w:val="lt-LT"/>
        </w:rPr>
      </w:pPr>
    </w:p>
    <w:p w14:paraId="0F108C25" w14:textId="77777777" w:rsidR="00336C16" w:rsidRPr="00FA5E7B" w:rsidRDefault="00336C16" w:rsidP="00336C16">
      <w:pPr>
        <w:pStyle w:val="Pagrindinistekstas"/>
        <w:rPr>
          <w:i/>
          <w:sz w:val="24"/>
          <w:lang w:val="lt-LT"/>
        </w:rPr>
      </w:pPr>
      <w:r w:rsidRPr="00FA5E7B">
        <w:rPr>
          <w:i/>
          <w:sz w:val="24"/>
          <w:lang w:val="lt-LT"/>
        </w:rPr>
        <w:t>Tarptautinių finansų institucijų finansavimas</w:t>
      </w:r>
    </w:p>
    <w:p w14:paraId="08DD1A06" w14:textId="77777777"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Tarptautinės finansų institucijos yra vienas iš labai patikimų, galimai didelės apimties finansavimo šaltinių. </w:t>
      </w:r>
      <w:r w:rsidR="00D723B0">
        <w:rPr>
          <w:rFonts w:ascii="Georgia" w:hAnsi="Georgia" w:cs="Times New Roman"/>
          <w:sz w:val="20"/>
          <w:szCs w:val="20"/>
          <w:lang w:val="lt-LT"/>
        </w:rPr>
        <w:t>Šio vertinimo atlikimo metu</w:t>
      </w:r>
      <w:r>
        <w:rPr>
          <w:rFonts w:ascii="Georgia" w:hAnsi="Georgia" w:cs="Times New Roman"/>
          <w:sz w:val="20"/>
          <w:szCs w:val="20"/>
          <w:lang w:val="lt-LT"/>
        </w:rPr>
        <w:t xml:space="preserve"> buvo nagrinėjama Europos investicijų banko, Europos plėtros ir rekonstrukcijos banko, Šiaurės investicijų banko ir Europos tarybos vystymo banko pateikta ir viešai prieinama informacija. Visos šios institucijos finansavimą projektams teikia vadovaudamosi savo investavimo gairėmis bei strategijomis, todėl kiekvienos iš šių institucijų finansavimas skiriasi tiek pagal siūlomas sąlygas, tiek pagal remiamas sritis. </w:t>
      </w:r>
    </w:p>
    <w:p w14:paraId="253BFC99" w14:textId="77777777"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Atkreiptinas dėmesys, kad nors visos šios institucijos turi didelį potencialą finansuoti energijos efektyvumo projektus, </w:t>
      </w:r>
      <w:r w:rsidR="00E73394">
        <w:rPr>
          <w:rFonts w:ascii="Georgia" w:hAnsi="Georgia" w:cs="Times New Roman"/>
          <w:sz w:val="20"/>
          <w:szCs w:val="20"/>
          <w:lang w:val="lt-LT"/>
        </w:rPr>
        <w:t xml:space="preserve">pastatų renovacijos </w:t>
      </w:r>
      <w:r>
        <w:rPr>
          <w:rFonts w:ascii="Georgia" w:hAnsi="Georgia" w:cs="Times New Roman"/>
          <w:sz w:val="20"/>
          <w:szCs w:val="20"/>
          <w:lang w:val="lt-LT"/>
        </w:rPr>
        <w:t xml:space="preserve">pavieniai projektai šioms institucijoms yra per mažos apimties, be to, šios institucijos nefinansuoja 100 proc. projekto vertės, taip išvengdamos </w:t>
      </w:r>
      <w:r w:rsidR="00E73394">
        <w:rPr>
          <w:rFonts w:ascii="Georgia" w:hAnsi="Georgia" w:cs="Times New Roman"/>
          <w:sz w:val="20"/>
          <w:szCs w:val="20"/>
          <w:lang w:val="lt-LT"/>
        </w:rPr>
        <w:t>visos</w:t>
      </w:r>
      <w:r>
        <w:rPr>
          <w:rFonts w:ascii="Georgia" w:hAnsi="Georgia" w:cs="Times New Roman"/>
          <w:sz w:val="20"/>
          <w:szCs w:val="20"/>
          <w:lang w:val="lt-LT"/>
        </w:rPr>
        <w:t xml:space="preserve"> rizikos prisiėmimo bei pritraukdamos papildomų lėšų ir kompetencijų projekto finansavimui:</w:t>
      </w:r>
    </w:p>
    <w:p w14:paraId="095637B4" w14:textId="77777777" w:rsidR="00336C16" w:rsidRDefault="00336C16" w:rsidP="002A576D">
      <w:pPr>
        <w:pStyle w:val="Sraopastraipa"/>
        <w:numPr>
          <w:ilvl w:val="0"/>
          <w:numId w:val="51"/>
        </w:numPr>
        <w:jc w:val="both"/>
        <w:rPr>
          <w:rFonts w:ascii="Georgia" w:hAnsi="Georgia" w:cs="Times New Roman"/>
          <w:sz w:val="20"/>
          <w:szCs w:val="20"/>
          <w:lang w:val="lt-LT"/>
        </w:rPr>
      </w:pPr>
      <w:r>
        <w:rPr>
          <w:rFonts w:ascii="Georgia" w:hAnsi="Georgia" w:cs="Times New Roman"/>
          <w:i/>
          <w:sz w:val="20"/>
          <w:szCs w:val="20"/>
          <w:lang w:val="lt-LT"/>
        </w:rPr>
        <w:t>Europos plėtros ir rekonstrukcijos bankas</w:t>
      </w:r>
      <w:r>
        <w:rPr>
          <w:rFonts w:ascii="Georgia" w:hAnsi="Georgia" w:cs="Times New Roman"/>
          <w:sz w:val="20"/>
          <w:szCs w:val="20"/>
          <w:lang w:val="lt-LT"/>
        </w:rPr>
        <w:t>. Vienam projektui nėra skiriamas didesnis finansavimas nei 35 proc. viso projekto išlaidų; finansavimo dydis ne mažesnis nei 5 mln. eurų;</w:t>
      </w:r>
    </w:p>
    <w:p w14:paraId="4BA397C2" w14:textId="77777777" w:rsidR="00336C16" w:rsidRDefault="00336C16" w:rsidP="002A576D">
      <w:pPr>
        <w:pStyle w:val="Sraopastraipa"/>
        <w:numPr>
          <w:ilvl w:val="0"/>
          <w:numId w:val="51"/>
        </w:numPr>
        <w:jc w:val="both"/>
        <w:rPr>
          <w:rFonts w:ascii="Georgia" w:hAnsi="Georgia" w:cs="Times New Roman"/>
          <w:sz w:val="20"/>
          <w:szCs w:val="20"/>
          <w:lang w:val="lt-LT"/>
        </w:rPr>
      </w:pPr>
      <w:r>
        <w:rPr>
          <w:rFonts w:ascii="Georgia" w:hAnsi="Georgia" w:cs="Times New Roman"/>
          <w:i/>
          <w:sz w:val="20"/>
          <w:szCs w:val="20"/>
          <w:lang w:val="lt-LT"/>
        </w:rPr>
        <w:lastRenderedPageBreak/>
        <w:t>Europos investicijų bankas</w:t>
      </w:r>
      <w:r>
        <w:rPr>
          <w:rFonts w:ascii="Georgia" w:hAnsi="Georgia" w:cs="Times New Roman"/>
          <w:sz w:val="20"/>
          <w:szCs w:val="20"/>
          <w:lang w:val="lt-LT"/>
        </w:rPr>
        <w:t>. Vienam projektui nėra skiriamas didesnis finansavimas nei 50 proc. viso projekto išlaidų; finansavimo dydis ne mažesnis nei 25 mln. eurų; jeigu projektas yra mažesnės apimties, finansavimas gali būti teikiamas per finansinius tarpininkus;</w:t>
      </w:r>
    </w:p>
    <w:p w14:paraId="5E01BD20" w14:textId="77777777" w:rsidR="00336C16" w:rsidRDefault="00336C16" w:rsidP="002A576D">
      <w:pPr>
        <w:pStyle w:val="Sraopastraipa"/>
        <w:numPr>
          <w:ilvl w:val="0"/>
          <w:numId w:val="51"/>
        </w:numPr>
        <w:jc w:val="both"/>
        <w:rPr>
          <w:rFonts w:ascii="Georgia" w:hAnsi="Georgia" w:cs="Times New Roman"/>
          <w:sz w:val="20"/>
          <w:szCs w:val="20"/>
          <w:lang w:val="lt-LT"/>
        </w:rPr>
      </w:pPr>
      <w:r>
        <w:rPr>
          <w:rFonts w:ascii="Georgia" w:hAnsi="Georgia" w:cs="Times New Roman"/>
          <w:i/>
          <w:sz w:val="20"/>
          <w:szCs w:val="20"/>
          <w:lang w:val="lt-LT"/>
        </w:rPr>
        <w:t>Šiaurės investicijų bankas</w:t>
      </w:r>
      <w:r>
        <w:rPr>
          <w:rFonts w:ascii="Georgia" w:hAnsi="Georgia" w:cs="Times New Roman"/>
          <w:sz w:val="20"/>
          <w:szCs w:val="20"/>
          <w:lang w:val="lt-LT"/>
        </w:rPr>
        <w:t>. Vienam projektui nėra skiriamas didesnis finansavimas nei 50 proc. viso projekto išlaidų; finansavimo dydis ne mažesnis nei 5 mln. eurų.</w:t>
      </w:r>
    </w:p>
    <w:p w14:paraId="03C151B1" w14:textId="77777777" w:rsidR="00E73394"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Atsižvelgiant į tai, tikėtina, kad nė viena tarptautinė finansų institucija nefinansuotų pavienių </w:t>
      </w:r>
      <w:r w:rsidR="00E73394">
        <w:rPr>
          <w:rFonts w:ascii="Georgia" w:hAnsi="Georgia" w:cs="Times New Roman"/>
          <w:sz w:val="20"/>
          <w:szCs w:val="20"/>
          <w:lang w:val="lt-LT"/>
        </w:rPr>
        <w:t xml:space="preserve">pastatų </w:t>
      </w:r>
      <w:r>
        <w:rPr>
          <w:rFonts w:ascii="Georgia" w:hAnsi="Georgia" w:cs="Times New Roman"/>
          <w:sz w:val="20"/>
          <w:szCs w:val="20"/>
          <w:lang w:val="lt-LT"/>
        </w:rPr>
        <w:t xml:space="preserve">energijos efektyvumo projektų dėl per mažos jų apimties. </w:t>
      </w:r>
      <w:r w:rsidR="00E73394">
        <w:rPr>
          <w:rFonts w:ascii="Georgia" w:hAnsi="Georgia" w:cs="Times New Roman"/>
          <w:sz w:val="20"/>
          <w:szCs w:val="20"/>
          <w:lang w:val="lt-LT"/>
        </w:rPr>
        <w:t xml:space="preserve">Tačiau didžiųjų miestų gatvių apšvietimo projektai yra pakankamos apimties, kad pavieniai projektai potencialiai galėtų būti finansuojami tarptautinių finansų institucijų. Vis dėlto šioje pasiūlos analizėje konkreti finansavimo apimtis, kurią galėtų skirti gatvių apšvietimo modernizavimui tarptautinės finansų institucijos, nėra nurodoma dėl informacijos stokos. </w:t>
      </w:r>
    </w:p>
    <w:p w14:paraId="2A679758" w14:textId="77777777" w:rsidR="00336C16" w:rsidRDefault="00E73394" w:rsidP="00336C16">
      <w:pPr>
        <w:jc w:val="both"/>
        <w:rPr>
          <w:rFonts w:ascii="Georgia" w:hAnsi="Georgia" w:cs="Times New Roman"/>
          <w:sz w:val="20"/>
          <w:szCs w:val="20"/>
          <w:lang w:val="lt-LT"/>
        </w:rPr>
      </w:pPr>
      <w:r>
        <w:rPr>
          <w:rFonts w:ascii="Georgia" w:hAnsi="Georgia" w:cs="Times New Roman"/>
          <w:sz w:val="20"/>
          <w:szCs w:val="20"/>
          <w:lang w:val="lt-LT"/>
        </w:rPr>
        <w:t>T</w:t>
      </w:r>
      <w:r w:rsidR="00336C16">
        <w:rPr>
          <w:rFonts w:ascii="Georgia" w:hAnsi="Georgia" w:cs="Times New Roman"/>
          <w:sz w:val="20"/>
          <w:szCs w:val="20"/>
          <w:lang w:val="lt-LT"/>
        </w:rPr>
        <w:t xml:space="preserve">arptautinių finansų institucijų finansavimo pritraukimas yra analizuojamas tolimesniuose ex ante analizės skyriuose, būtent privačių išteklių pritraukimo analizės skyriuje, kur bus analizuojama, kokia apimtimi ir kokiomis sąlygomis tarptautinės finansų institucijos galėtų finansuoti energijos efektyvumo projektus per sukurtus finansinių priemonių mechanizmus. </w:t>
      </w:r>
    </w:p>
    <w:p w14:paraId="6325CC9B" w14:textId="77777777" w:rsidR="00FA5E7B" w:rsidRDefault="00FA5E7B" w:rsidP="00336C16">
      <w:pPr>
        <w:pStyle w:val="Pagrindinistekstas"/>
        <w:rPr>
          <w:i/>
          <w:sz w:val="24"/>
          <w:lang w:val="lt-LT"/>
        </w:rPr>
      </w:pPr>
    </w:p>
    <w:p w14:paraId="3C2734A5" w14:textId="77777777" w:rsidR="00336C16" w:rsidRPr="00FA5E7B" w:rsidRDefault="00336C16" w:rsidP="00336C16">
      <w:pPr>
        <w:pStyle w:val="Pagrindinistekstas"/>
        <w:rPr>
          <w:i/>
          <w:sz w:val="24"/>
          <w:lang w:val="lt-LT"/>
        </w:rPr>
      </w:pPr>
      <w:r w:rsidRPr="00FA5E7B">
        <w:rPr>
          <w:i/>
          <w:sz w:val="24"/>
          <w:lang w:val="lt-LT"/>
        </w:rPr>
        <w:t>ESI fondų finansavimas 2014-2020 ir 2007-2013 JESSICA grįžusios lėšos</w:t>
      </w:r>
    </w:p>
    <w:p w14:paraId="471B6BB8" w14:textId="77777777" w:rsidR="00336C16" w:rsidRDefault="00772984" w:rsidP="00336C16">
      <w:pPr>
        <w:jc w:val="both"/>
        <w:rPr>
          <w:rFonts w:ascii="Georgia" w:hAnsi="Georgia" w:cs="Times New Roman"/>
          <w:sz w:val="20"/>
          <w:szCs w:val="20"/>
          <w:lang w:val="lt-LT"/>
        </w:rPr>
      </w:pPr>
      <w:r>
        <w:rPr>
          <w:rFonts w:ascii="Georgia" w:hAnsi="Georgia" w:cs="Times New Roman"/>
          <w:sz w:val="20"/>
          <w:szCs w:val="20"/>
          <w:lang w:val="lt-LT"/>
        </w:rPr>
        <w:t>2014-2020 m. periodo ESI fondų investicijos</w:t>
      </w:r>
      <w:r w:rsidR="00336C16">
        <w:rPr>
          <w:rFonts w:ascii="Georgia" w:hAnsi="Georgia" w:cs="Times New Roman"/>
          <w:sz w:val="20"/>
          <w:szCs w:val="20"/>
          <w:lang w:val="lt-LT"/>
        </w:rPr>
        <w:t xml:space="preserve"> Lietuvoje energijos efektyvumo projektų finansavimui sudarys ženklią sumą ir bus skiriamos pagal Veiksmų programos 4-ąjį prioritetą „Energijos efektyvumo ir atsinaujinančių išteklių energijos gamybos ir naudojimo skatinimas“, 4.3 investicinį prioritetą „Energijos vartojimo efektyvumo, pažangaus energijos valdymo ir AIE vartojimo viešosiose infrastruktūrose, įskaitant viešuosius pastatus ir gyvenamųjų namų sektorių, rėmimas“ ir 4.3.1 konkretų uždavinį „Sumažinti energijos suvartojimą viešojoje infrastruktūroje ir daugiabučiuose namuose“.</w:t>
      </w:r>
    </w:p>
    <w:p w14:paraId="02003A27" w14:textId="77777777"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Bendrai sritims, kurios yra analizuojamos </w:t>
      </w:r>
      <w:r w:rsidR="00772984">
        <w:rPr>
          <w:rFonts w:ascii="Georgia" w:hAnsi="Georgia" w:cs="Times New Roman"/>
          <w:sz w:val="20"/>
          <w:szCs w:val="20"/>
          <w:lang w:val="lt-LT"/>
        </w:rPr>
        <w:t>šiame</w:t>
      </w:r>
      <w:r>
        <w:rPr>
          <w:rFonts w:ascii="Georgia" w:hAnsi="Georgia" w:cs="Times New Roman"/>
          <w:sz w:val="20"/>
          <w:szCs w:val="20"/>
          <w:lang w:val="lt-LT"/>
        </w:rPr>
        <w:t xml:space="preserve"> ex ante </w:t>
      </w:r>
      <w:r w:rsidR="00772984">
        <w:rPr>
          <w:rFonts w:ascii="Georgia" w:hAnsi="Georgia" w:cs="Times New Roman"/>
          <w:sz w:val="20"/>
          <w:szCs w:val="20"/>
          <w:lang w:val="lt-LT"/>
        </w:rPr>
        <w:t>vertinime</w:t>
      </w:r>
      <w:r>
        <w:rPr>
          <w:rFonts w:ascii="Georgia" w:hAnsi="Georgia" w:cs="Times New Roman"/>
          <w:sz w:val="20"/>
          <w:szCs w:val="20"/>
          <w:lang w:val="lt-LT"/>
        </w:rPr>
        <w:t>, yra skiri</w:t>
      </w:r>
      <w:r w:rsidR="00772984">
        <w:rPr>
          <w:rFonts w:ascii="Georgia" w:hAnsi="Georgia" w:cs="Times New Roman"/>
          <w:sz w:val="20"/>
          <w:szCs w:val="20"/>
          <w:lang w:val="lt-LT"/>
        </w:rPr>
        <w:t>ama 453 mln. eurų (1,56 mlrd. l</w:t>
      </w:r>
      <w:r>
        <w:rPr>
          <w:rFonts w:ascii="Georgia" w:hAnsi="Georgia" w:cs="Times New Roman"/>
          <w:sz w:val="20"/>
          <w:szCs w:val="20"/>
          <w:lang w:val="lt-LT"/>
        </w:rPr>
        <w:t>itų), kuri</w:t>
      </w:r>
      <w:r w:rsidR="00772984">
        <w:rPr>
          <w:rFonts w:ascii="Georgia" w:hAnsi="Georgia" w:cs="Times New Roman"/>
          <w:sz w:val="20"/>
          <w:szCs w:val="20"/>
          <w:lang w:val="lt-LT"/>
        </w:rPr>
        <w:t>e</w:t>
      </w:r>
      <w:r>
        <w:rPr>
          <w:rFonts w:ascii="Georgia" w:hAnsi="Georgia" w:cs="Times New Roman"/>
          <w:sz w:val="20"/>
          <w:szCs w:val="20"/>
          <w:lang w:val="lt-LT"/>
        </w:rPr>
        <w:t>, remiantis preliminariais Energetikos ministerijos ir Aplinkos ministerijos pateiktais duomenimis, bus išskirstom</w:t>
      </w:r>
      <w:r w:rsidR="00772984">
        <w:rPr>
          <w:rFonts w:ascii="Georgia" w:hAnsi="Georgia" w:cs="Times New Roman"/>
          <w:sz w:val="20"/>
          <w:szCs w:val="20"/>
          <w:lang w:val="lt-LT"/>
        </w:rPr>
        <w:t>i</w:t>
      </w:r>
      <w:r>
        <w:rPr>
          <w:rFonts w:ascii="Georgia" w:hAnsi="Georgia" w:cs="Times New Roman"/>
          <w:sz w:val="20"/>
          <w:szCs w:val="20"/>
          <w:lang w:val="lt-LT"/>
        </w:rPr>
        <w:t xml:space="preserve"> sekančiai:</w:t>
      </w:r>
    </w:p>
    <w:p w14:paraId="5DC3A882" w14:textId="77777777" w:rsidR="00336C16" w:rsidRDefault="00336C16" w:rsidP="002A576D">
      <w:pPr>
        <w:pStyle w:val="Sraopastraipa"/>
        <w:numPr>
          <w:ilvl w:val="0"/>
          <w:numId w:val="52"/>
        </w:numPr>
        <w:jc w:val="both"/>
        <w:rPr>
          <w:rFonts w:ascii="Georgia" w:hAnsi="Georgia" w:cs="Times New Roman"/>
          <w:sz w:val="20"/>
          <w:szCs w:val="20"/>
          <w:lang w:val="lt-LT"/>
        </w:rPr>
      </w:pPr>
      <w:r>
        <w:rPr>
          <w:rFonts w:ascii="Georgia" w:hAnsi="Georgia" w:cs="Times New Roman"/>
          <w:sz w:val="20"/>
          <w:szCs w:val="20"/>
          <w:lang w:val="lt-LT"/>
        </w:rPr>
        <w:t>Aplinkos ministerijos asignavimai – 331,</w:t>
      </w:r>
      <w:r w:rsidR="00C57721">
        <w:rPr>
          <w:rFonts w:ascii="Georgia" w:hAnsi="Georgia" w:cs="Times New Roman"/>
          <w:sz w:val="20"/>
          <w:szCs w:val="20"/>
          <w:lang w:val="lt-LT"/>
        </w:rPr>
        <w:t>3</w:t>
      </w:r>
      <w:r>
        <w:rPr>
          <w:rFonts w:ascii="Georgia" w:hAnsi="Georgia" w:cs="Times New Roman"/>
          <w:sz w:val="20"/>
          <w:szCs w:val="20"/>
          <w:lang w:val="lt-LT"/>
        </w:rPr>
        <w:t xml:space="preserve"> mln. EUR (1143,8 mlrd. Lt):</w:t>
      </w:r>
    </w:p>
    <w:p w14:paraId="362461DD" w14:textId="77777777" w:rsidR="00336C16" w:rsidRDefault="00336C16" w:rsidP="002A576D">
      <w:pPr>
        <w:pStyle w:val="Sraopastraipa"/>
        <w:numPr>
          <w:ilvl w:val="1"/>
          <w:numId w:val="52"/>
        </w:numPr>
        <w:jc w:val="both"/>
        <w:rPr>
          <w:rFonts w:ascii="Georgia" w:hAnsi="Georgia" w:cs="Times New Roman"/>
          <w:sz w:val="20"/>
          <w:szCs w:val="20"/>
          <w:lang w:val="lt-LT"/>
        </w:rPr>
      </w:pPr>
      <w:r>
        <w:rPr>
          <w:rFonts w:ascii="Georgia" w:hAnsi="Georgia" w:cs="Times New Roman"/>
          <w:sz w:val="20"/>
          <w:szCs w:val="20"/>
          <w:lang w:val="lt-LT"/>
        </w:rPr>
        <w:t>Daugiabučių renovacija – 280,9 mln. EUR (970 mln. Lt);</w:t>
      </w:r>
    </w:p>
    <w:p w14:paraId="2CCB3593" w14:textId="77777777" w:rsidR="00336C16" w:rsidRDefault="00336C16" w:rsidP="002A576D">
      <w:pPr>
        <w:pStyle w:val="Sraopastraipa"/>
        <w:numPr>
          <w:ilvl w:val="1"/>
          <w:numId w:val="52"/>
        </w:numPr>
        <w:jc w:val="both"/>
        <w:rPr>
          <w:rFonts w:ascii="Georgia" w:hAnsi="Georgia" w:cs="Times New Roman"/>
          <w:sz w:val="20"/>
          <w:szCs w:val="20"/>
          <w:lang w:val="lt-LT"/>
        </w:rPr>
      </w:pPr>
      <w:r>
        <w:rPr>
          <w:rFonts w:ascii="Georgia" w:hAnsi="Georgia" w:cs="Times New Roman"/>
          <w:sz w:val="20"/>
          <w:szCs w:val="20"/>
          <w:lang w:val="lt-LT"/>
        </w:rPr>
        <w:t>Savivaldybių viešųjų pastatų renovacija –50,3 mln. EUR (173,8 mln. Lt);</w:t>
      </w:r>
    </w:p>
    <w:p w14:paraId="0AD31D86" w14:textId="77777777" w:rsidR="00336C16" w:rsidRDefault="00336C16" w:rsidP="002A576D">
      <w:pPr>
        <w:pStyle w:val="Sraopastraipa"/>
        <w:numPr>
          <w:ilvl w:val="0"/>
          <w:numId w:val="52"/>
        </w:numPr>
        <w:jc w:val="both"/>
        <w:rPr>
          <w:rFonts w:ascii="Georgia" w:hAnsi="Georgia" w:cs="Times New Roman"/>
          <w:sz w:val="20"/>
          <w:szCs w:val="20"/>
          <w:lang w:val="lt-LT"/>
        </w:rPr>
      </w:pPr>
      <w:r>
        <w:rPr>
          <w:rFonts w:ascii="Georgia" w:hAnsi="Georgia" w:cs="Times New Roman"/>
          <w:sz w:val="20"/>
          <w:szCs w:val="20"/>
          <w:lang w:val="lt-LT"/>
        </w:rPr>
        <w:t>Energetikos ministerijos asignavimai – 108,6 mln. EUR (375 mln. Lt):</w:t>
      </w:r>
    </w:p>
    <w:p w14:paraId="60205E57" w14:textId="77777777" w:rsidR="00336C16" w:rsidRDefault="00336C16" w:rsidP="002A576D">
      <w:pPr>
        <w:pStyle w:val="Sraopastraipa"/>
        <w:numPr>
          <w:ilvl w:val="1"/>
          <w:numId w:val="52"/>
        </w:numPr>
        <w:jc w:val="both"/>
        <w:rPr>
          <w:rFonts w:ascii="Georgia" w:hAnsi="Georgia" w:cs="Times New Roman"/>
          <w:sz w:val="20"/>
          <w:szCs w:val="20"/>
          <w:lang w:val="lt-LT"/>
        </w:rPr>
      </w:pPr>
      <w:r>
        <w:rPr>
          <w:rFonts w:ascii="Georgia" w:hAnsi="Georgia" w:cs="Times New Roman"/>
          <w:sz w:val="20"/>
          <w:szCs w:val="20"/>
          <w:lang w:val="lt-LT"/>
        </w:rPr>
        <w:t>Valstybės viešųjų pastatų renovacija –</w:t>
      </w:r>
      <w:r w:rsidR="00FF73C5">
        <w:rPr>
          <w:rFonts w:ascii="Georgia" w:hAnsi="Georgia" w:cs="Times New Roman"/>
          <w:sz w:val="20"/>
          <w:szCs w:val="20"/>
          <w:lang w:val="lt-LT"/>
        </w:rPr>
        <w:t xml:space="preserve"> </w:t>
      </w:r>
      <w:r>
        <w:rPr>
          <w:rFonts w:ascii="Georgia" w:hAnsi="Georgia" w:cs="Times New Roman"/>
          <w:sz w:val="20"/>
          <w:szCs w:val="20"/>
          <w:lang w:val="lt-LT"/>
        </w:rPr>
        <w:t>94,1 mln. EUR (325 mln. Lt);</w:t>
      </w:r>
    </w:p>
    <w:p w14:paraId="54D02671" w14:textId="77777777" w:rsidR="00336C16" w:rsidRDefault="00336C16" w:rsidP="002A576D">
      <w:pPr>
        <w:pStyle w:val="Sraopastraipa"/>
        <w:numPr>
          <w:ilvl w:val="1"/>
          <w:numId w:val="52"/>
        </w:numPr>
        <w:jc w:val="both"/>
        <w:rPr>
          <w:rFonts w:ascii="Georgia" w:hAnsi="Georgia" w:cs="Times New Roman"/>
          <w:sz w:val="20"/>
          <w:szCs w:val="20"/>
          <w:lang w:val="lt-LT"/>
        </w:rPr>
      </w:pPr>
      <w:r>
        <w:rPr>
          <w:rFonts w:ascii="Georgia" w:hAnsi="Georgia" w:cs="Times New Roman"/>
          <w:sz w:val="20"/>
          <w:szCs w:val="20"/>
          <w:lang w:val="lt-LT"/>
        </w:rPr>
        <w:t>Gatvių apšvietimo modernizavimas – 14,</w:t>
      </w:r>
      <w:r w:rsidR="00C57721">
        <w:rPr>
          <w:rFonts w:ascii="Georgia" w:hAnsi="Georgia" w:cs="Times New Roman"/>
          <w:sz w:val="20"/>
          <w:szCs w:val="20"/>
          <w:lang w:val="lt-LT"/>
        </w:rPr>
        <w:t xml:space="preserve">5 </w:t>
      </w:r>
      <w:r>
        <w:rPr>
          <w:rFonts w:ascii="Georgia" w:hAnsi="Georgia" w:cs="Times New Roman"/>
          <w:sz w:val="20"/>
          <w:szCs w:val="20"/>
          <w:lang w:val="lt-LT"/>
        </w:rPr>
        <w:t xml:space="preserve">mln. EUR (50 mln. Lt). </w:t>
      </w:r>
    </w:p>
    <w:p w14:paraId="505F9A09" w14:textId="77777777"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2014-2020 m. periodu taip pat bus galima pakartotinai naudoti 2007-2013 m. periodo JESSICA </w:t>
      </w:r>
      <w:r w:rsidR="00772984">
        <w:rPr>
          <w:rFonts w:ascii="Georgia" w:hAnsi="Georgia" w:cs="Times New Roman"/>
          <w:sz w:val="20"/>
          <w:szCs w:val="20"/>
          <w:lang w:val="lt-LT"/>
        </w:rPr>
        <w:t>KF</w:t>
      </w:r>
      <w:r>
        <w:rPr>
          <w:rFonts w:ascii="Georgia" w:hAnsi="Georgia" w:cs="Times New Roman"/>
          <w:sz w:val="20"/>
          <w:szCs w:val="20"/>
          <w:lang w:val="lt-LT"/>
        </w:rPr>
        <w:t xml:space="preserve"> grįžusias lėšas. JESSICA </w:t>
      </w:r>
      <w:r w:rsidR="00772984">
        <w:rPr>
          <w:rFonts w:ascii="Georgia" w:hAnsi="Georgia" w:cs="Times New Roman"/>
          <w:sz w:val="20"/>
          <w:szCs w:val="20"/>
          <w:lang w:val="lt-LT"/>
        </w:rPr>
        <w:t>KF</w:t>
      </w:r>
      <w:r>
        <w:rPr>
          <w:rFonts w:ascii="Georgia" w:hAnsi="Georgia" w:cs="Times New Roman"/>
          <w:sz w:val="20"/>
          <w:szCs w:val="20"/>
          <w:lang w:val="lt-LT"/>
        </w:rPr>
        <w:t xml:space="preserve"> paskelbė 4 kvietimus, pagal</w:t>
      </w:r>
      <w:r w:rsidR="00772984">
        <w:rPr>
          <w:rFonts w:ascii="Georgia" w:hAnsi="Georgia" w:cs="Times New Roman"/>
          <w:sz w:val="20"/>
          <w:szCs w:val="20"/>
          <w:lang w:val="lt-LT"/>
        </w:rPr>
        <w:t xml:space="preserve"> kuriuose</w:t>
      </w:r>
      <w:r w:rsidR="0068192D">
        <w:rPr>
          <w:rFonts w:ascii="Georgia" w:hAnsi="Georgia" w:cs="Times New Roman"/>
          <w:sz w:val="20"/>
          <w:szCs w:val="20"/>
          <w:lang w:val="lt-LT"/>
        </w:rPr>
        <w:t>, remiantis paskutiniais priimtais sprendimais, planuojama</w:t>
      </w:r>
      <w:r>
        <w:rPr>
          <w:rFonts w:ascii="Georgia" w:hAnsi="Georgia" w:cs="Times New Roman"/>
          <w:sz w:val="20"/>
          <w:szCs w:val="20"/>
          <w:lang w:val="lt-LT"/>
        </w:rPr>
        <w:t xml:space="preserve"> išskolint</w:t>
      </w:r>
      <w:r w:rsidR="0068192D">
        <w:rPr>
          <w:rFonts w:ascii="Georgia" w:hAnsi="Georgia" w:cs="Times New Roman"/>
          <w:sz w:val="20"/>
          <w:szCs w:val="20"/>
          <w:lang w:val="lt-LT"/>
        </w:rPr>
        <w:t>i</w:t>
      </w:r>
      <w:r>
        <w:rPr>
          <w:rFonts w:ascii="Georgia" w:hAnsi="Georgia" w:cs="Times New Roman"/>
          <w:sz w:val="20"/>
          <w:szCs w:val="20"/>
          <w:lang w:val="lt-LT"/>
        </w:rPr>
        <w:t xml:space="preserve"> </w:t>
      </w:r>
      <w:r w:rsidR="00ED5B37">
        <w:rPr>
          <w:rFonts w:ascii="Georgia" w:hAnsi="Georgia" w:cs="Times New Roman"/>
          <w:sz w:val="20"/>
          <w:szCs w:val="20"/>
          <w:lang w:val="lt-LT"/>
        </w:rPr>
        <w:t>227</w:t>
      </w:r>
      <w:r w:rsidR="0068192D">
        <w:rPr>
          <w:rFonts w:ascii="Georgia" w:hAnsi="Georgia" w:cs="Times New Roman"/>
          <w:sz w:val="20"/>
          <w:szCs w:val="20"/>
          <w:lang w:val="lt-LT"/>
        </w:rPr>
        <w:t xml:space="preserve"> </w:t>
      </w:r>
      <w:r>
        <w:rPr>
          <w:rFonts w:ascii="Georgia" w:hAnsi="Georgia" w:cs="Times New Roman"/>
          <w:sz w:val="20"/>
          <w:szCs w:val="20"/>
          <w:lang w:val="lt-LT"/>
        </w:rPr>
        <w:t xml:space="preserve">mln. eurų (apie </w:t>
      </w:r>
      <w:r w:rsidR="0068192D">
        <w:rPr>
          <w:rFonts w:ascii="Georgia" w:hAnsi="Georgia" w:cs="Times New Roman"/>
          <w:sz w:val="20"/>
          <w:szCs w:val="20"/>
          <w:lang w:val="lt-LT"/>
        </w:rPr>
        <w:t>7</w:t>
      </w:r>
      <w:r w:rsidR="00ED5B37">
        <w:rPr>
          <w:rFonts w:ascii="Georgia" w:hAnsi="Georgia" w:cs="Times New Roman"/>
          <w:sz w:val="20"/>
          <w:szCs w:val="20"/>
          <w:lang w:val="lt-LT"/>
        </w:rPr>
        <w:t>83</w:t>
      </w:r>
      <w:r w:rsidR="0068192D">
        <w:rPr>
          <w:rFonts w:ascii="Georgia" w:hAnsi="Georgia" w:cs="Times New Roman"/>
          <w:sz w:val="20"/>
          <w:szCs w:val="20"/>
          <w:lang w:val="lt-LT"/>
        </w:rPr>
        <w:t xml:space="preserve"> </w:t>
      </w:r>
      <w:r>
        <w:rPr>
          <w:rFonts w:ascii="Georgia" w:hAnsi="Georgia" w:cs="Times New Roman"/>
          <w:sz w:val="20"/>
          <w:szCs w:val="20"/>
          <w:lang w:val="lt-LT"/>
        </w:rPr>
        <w:t>mln. Lt). Iš jų per 2014-2020 m. periodą sugrįš apie 69 mln. eurų (apie 238,2 mln. Lt). Vadovaujantis Lietuvos Respublikos Vyriausybės 2013 m. rugpjūčio 28 d. nutarimo Nr. 791 „Dėl įgyvendinant finansų inžinerijos priemones grįžusių ir grįšiančių lėšų panaudojimo tvarkos aprašo patvirtinimo“ nuostatomis, grįžusios ir grįšiančios lėšos turi būti naudojamos tiems patiems finansų inžinerijos priemonės kūrimo metu nustatytiems tikslams. Atsižvelgiant į tai, daroma prielaida, kad per 2014-2020 m. JESSICA</w:t>
      </w:r>
      <w:r w:rsidR="00772984">
        <w:rPr>
          <w:rFonts w:ascii="Georgia" w:hAnsi="Georgia" w:cs="Times New Roman"/>
          <w:sz w:val="20"/>
          <w:szCs w:val="20"/>
          <w:lang w:val="lt-LT"/>
        </w:rPr>
        <w:t xml:space="preserve"> KF</w:t>
      </w:r>
      <w:r>
        <w:rPr>
          <w:rFonts w:ascii="Georgia" w:hAnsi="Georgia" w:cs="Times New Roman"/>
          <w:sz w:val="20"/>
          <w:szCs w:val="20"/>
          <w:lang w:val="lt-LT"/>
        </w:rPr>
        <w:t xml:space="preserve"> grįžusios lėšos bus skiriamos daugiabučių renovacijos projektams finansuoti. </w:t>
      </w:r>
    </w:p>
    <w:p w14:paraId="7EA53511" w14:textId="77777777" w:rsidR="00336C16" w:rsidRPr="00FA5E7B" w:rsidRDefault="00336C16" w:rsidP="00336C16">
      <w:pPr>
        <w:pStyle w:val="Pagrindinistekstas"/>
        <w:rPr>
          <w:i/>
          <w:sz w:val="24"/>
          <w:lang w:val="lt-LT"/>
        </w:rPr>
      </w:pPr>
      <w:r w:rsidRPr="00FA5E7B">
        <w:rPr>
          <w:i/>
          <w:sz w:val="24"/>
          <w:lang w:val="lt-LT"/>
        </w:rPr>
        <w:t>Kitos lėšos</w:t>
      </w:r>
    </w:p>
    <w:p w14:paraId="22F1B94D" w14:textId="77777777"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Šioje pasiūlos analizės dalyje yra apžvelgiami likę finansavimo šaltiniai, kurie galėtų būti naudojami energijos efektyvumo projektų finansavimui. Tai – </w:t>
      </w:r>
      <w:r w:rsidR="0068192D">
        <w:rPr>
          <w:rFonts w:ascii="Georgia" w:hAnsi="Georgia" w:cs="Times New Roman"/>
          <w:sz w:val="20"/>
          <w:szCs w:val="20"/>
          <w:lang w:val="lt-LT"/>
        </w:rPr>
        <w:t xml:space="preserve">projekto vykdytojo </w:t>
      </w:r>
      <w:r>
        <w:rPr>
          <w:rFonts w:ascii="Georgia" w:hAnsi="Georgia" w:cs="Times New Roman"/>
          <w:sz w:val="20"/>
          <w:szCs w:val="20"/>
          <w:lang w:val="lt-LT"/>
        </w:rPr>
        <w:t xml:space="preserve">lėšos bei Klimato kaitos </w:t>
      </w:r>
      <w:r>
        <w:rPr>
          <w:rFonts w:ascii="Georgia" w:hAnsi="Georgia" w:cs="Times New Roman"/>
          <w:sz w:val="20"/>
          <w:szCs w:val="20"/>
          <w:lang w:val="lt-LT"/>
        </w:rPr>
        <w:lastRenderedPageBreak/>
        <w:t xml:space="preserve">programa, kuri 2007-2013 m. periodu buvo lėšų šaltinis teikti subsidijas už pasiektus didelius energijos sutaupymus (ne mažiau kaip 40 proc.) po projektų įgyvendinimo. </w:t>
      </w:r>
    </w:p>
    <w:p w14:paraId="2E5E76A5" w14:textId="77777777"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KPMG studijoje nurodoma, kad planuojamos metinės savivaldybių ir Lietuvos geležinkelių disponuojamos apšvietimo sistemos atnaujinimo išlaidos sudaro apie 1,8 mln. EUR (6,3 mln. Lt) per metus, t.y. apie 12,7 mln. EUR (44 mln. Lt) per visą programavimo periodą. Be to, tikėtina, kad savivaldybių viešieji pastatai, siekdami įgyvendinti pastatų modernizavimo projektus, galėtų prisidėti apie 5 proc. savomis lėšomis. Darant prielaidą, kad bus finansuojama visų savivaldybių viešųjų pastatų renovacija (t.y. 260,</w:t>
      </w:r>
      <w:r w:rsidR="000E490D">
        <w:rPr>
          <w:rFonts w:ascii="Georgia" w:hAnsi="Georgia" w:cs="Times New Roman"/>
          <w:sz w:val="20"/>
          <w:szCs w:val="20"/>
          <w:lang w:val="lt-LT"/>
        </w:rPr>
        <w:t>7</w:t>
      </w:r>
      <w:r>
        <w:rPr>
          <w:rFonts w:ascii="Georgia" w:hAnsi="Georgia" w:cs="Times New Roman"/>
          <w:sz w:val="20"/>
          <w:szCs w:val="20"/>
          <w:lang w:val="lt-LT"/>
        </w:rPr>
        <w:t xml:space="preserve"> mln. EUR (900 mln. Lt) paklausa), nuosavos lėšos galėtų sudaryti apie 13,</w:t>
      </w:r>
      <w:r w:rsidR="000E490D">
        <w:rPr>
          <w:rFonts w:ascii="Georgia" w:hAnsi="Georgia" w:cs="Times New Roman"/>
          <w:sz w:val="20"/>
          <w:szCs w:val="20"/>
          <w:lang w:val="lt-LT"/>
        </w:rPr>
        <w:t>0</w:t>
      </w:r>
      <w:r>
        <w:rPr>
          <w:rFonts w:ascii="Georgia" w:hAnsi="Georgia" w:cs="Times New Roman"/>
          <w:sz w:val="20"/>
          <w:szCs w:val="20"/>
          <w:lang w:val="lt-LT"/>
        </w:rPr>
        <w:t xml:space="preserve"> mln. EUR (45 mln. Lt). </w:t>
      </w:r>
    </w:p>
    <w:p w14:paraId="78FA7034" w14:textId="77777777" w:rsidR="00336C16" w:rsidRPr="00FE705A" w:rsidRDefault="00336C16" w:rsidP="00336C16">
      <w:pPr>
        <w:jc w:val="both"/>
        <w:rPr>
          <w:rFonts w:ascii="Georgia" w:hAnsi="Georgia" w:cs="Times New Roman"/>
          <w:i/>
          <w:sz w:val="20"/>
          <w:szCs w:val="20"/>
          <w:lang w:val="lt-LT"/>
        </w:rPr>
      </w:pPr>
      <w:r w:rsidRPr="00FE705A">
        <w:rPr>
          <w:rFonts w:ascii="Georgia" w:hAnsi="Georgia" w:cs="Times New Roman"/>
          <w:i/>
          <w:sz w:val="20"/>
          <w:szCs w:val="20"/>
          <w:lang w:val="lt-LT"/>
        </w:rPr>
        <w:t>Klimato kaitos specialioji programa</w:t>
      </w:r>
    </w:p>
    <w:p w14:paraId="3AAF7A0B" w14:textId="77777777" w:rsidR="00336C16" w:rsidRDefault="00336C16" w:rsidP="00336C16">
      <w:pPr>
        <w:jc w:val="both"/>
        <w:rPr>
          <w:rFonts w:ascii="Georgia" w:hAnsi="Georgia" w:cs="Times New Roman"/>
          <w:i/>
          <w:sz w:val="20"/>
          <w:szCs w:val="20"/>
          <w:lang w:val="lt-LT"/>
        </w:rPr>
      </w:pPr>
      <w:r>
        <w:rPr>
          <w:rFonts w:ascii="Georgia" w:hAnsi="Georgia" w:cs="Times New Roman"/>
          <w:sz w:val="20"/>
          <w:szCs w:val="20"/>
          <w:lang w:val="lt-LT"/>
        </w:rPr>
        <w:t xml:space="preserve">Klimato kaitos specialioji programa yra vienas iš daugiabučių modernizavimo projektų finansavimo šaltinių. Vadovaujantis Lietuvos Respublikos valstybės paramos būstui įsigyti ar išsinuomoti ir daugiabučiams namams atnaujinti (modernizuoti) įstatymo V skirsnio 13 straipsnio 1 punktu, </w:t>
      </w:r>
      <w:r>
        <w:rPr>
          <w:rFonts w:ascii="Georgia" w:hAnsi="Georgia" w:cs="Times New Roman"/>
          <w:i/>
          <w:sz w:val="20"/>
          <w:szCs w:val="20"/>
          <w:lang w:val="lt-LT"/>
        </w:rPr>
        <w:t>“Valstybės parama daugiabučio namo butų ir kitų patalpų savininkams, įgyvendinantiems atnaujinimo (modernizavimo) projektus pagal Vyriausybės patvirtintą Daugiabučių namų atnaujinimo (modernizavimo) programą ar ją atitinkančias savivaldybių programas, teikiama, jeigu pagal atnaujinimo (modernizavimo) projekte numatytas priemones pasiekiama ne mažesnė kaip D pastato energinio naudingumo klasė, kuri nustatoma pagal Lietuvos Respublikos statybos įstatymą įgyvendinančius statybos techninius reglamentus. Valstybės parama teikiama šiais būdais: […] 5) papildomai Klimato kaitos specialiosios programos lėšomis Vyriausybės nustatytais terminais kompensuojant Vyriausybės nustatytą, tačiau ne didesnę kaip 25 procentų, investicijų, tenkančių Vyriausybės nustatytoms energinį efektyvumą didinančioms priemonėms, dalį, jeigu skaičiuojamosios šiluminės energijos sąnaudos įgyvendinus projektą sumažinamos ne mažiau kaip 40 procentų, palyginti su skaičiuojamosiomis šiluminės energijos sąnaudomis iki atnaujinimo (modernizavimo) projekto įgyvendinimo”</w:t>
      </w:r>
      <w:r>
        <w:rPr>
          <w:rStyle w:val="Puslapioinaosnuoroda"/>
          <w:rFonts w:ascii="Georgia" w:hAnsi="Georgia" w:cs="Times New Roman"/>
          <w:i/>
          <w:sz w:val="20"/>
          <w:szCs w:val="20"/>
          <w:lang w:val="lt-LT"/>
        </w:rPr>
        <w:footnoteReference w:id="19"/>
      </w:r>
      <w:r>
        <w:rPr>
          <w:rFonts w:ascii="Georgia" w:hAnsi="Georgia" w:cs="Times New Roman"/>
          <w:i/>
          <w:sz w:val="20"/>
          <w:szCs w:val="20"/>
          <w:lang w:val="lt-LT"/>
        </w:rPr>
        <w:t>.</w:t>
      </w:r>
    </w:p>
    <w:p w14:paraId="78E9DB46" w14:textId="77777777" w:rsidR="00336C16" w:rsidRDefault="00336C16" w:rsidP="00336C16">
      <w:pPr>
        <w:jc w:val="both"/>
        <w:rPr>
          <w:rFonts w:ascii="Georgia" w:hAnsi="Georgia" w:cs="Times New Roman"/>
          <w:i/>
          <w:sz w:val="20"/>
          <w:szCs w:val="20"/>
          <w:lang w:val="lt-LT"/>
        </w:rPr>
      </w:pPr>
      <w:r>
        <w:rPr>
          <w:rFonts w:ascii="Georgia" w:hAnsi="Georgia" w:cs="Times New Roman"/>
          <w:sz w:val="20"/>
          <w:szCs w:val="20"/>
          <w:lang w:val="lt-LT"/>
        </w:rPr>
        <w:t>Vadovaujantis Lietuvos Respublikos klimato kaitos valdymo finansinių instrumentų įstatymo 10 straipsnio 3 punktu, Klimato kaitos programos lėšos naudojamos ”</w:t>
      </w:r>
      <w:r>
        <w:rPr>
          <w:rFonts w:ascii="Georgia" w:hAnsi="Georgia" w:cs="Times New Roman"/>
          <w:i/>
          <w:sz w:val="20"/>
          <w:szCs w:val="20"/>
          <w:lang w:val="lt-LT"/>
        </w:rPr>
        <w:t>energijos vartojimo ir gamybos efektyvumo didinimo projektams: gyvenamiesiems namams ir visuomeninės paskirties pastatams modernizuoti, kitiems projektams, kurie leidžia efektyviausiai sumažinti išmetamų šiltnamio efektą sukeliančių dujų kiekį energetikos, pramonės, statybos, transporto, žemės ūkio, atliekų tvarkymo ir kitose srityse, įgyvendinti – ne mažiau kaip 40 procentų”</w:t>
      </w:r>
      <w:r>
        <w:rPr>
          <w:rStyle w:val="Puslapioinaosnuoroda"/>
          <w:rFonts w:ascii="Georgia" w:hAnsi="Georgia" w:cs="Times New Roman"/>
          <w:i/>
          <w:sz w:val="20"/>
          <w:szCs w:val="20"/>
          <w:lang w:val="lt-LT"/>
        </w:rPr>
        <w:footnoteReference w:id="20"/>
      </w:r>
      <w:r>
        <w:rPr>
          <w:rFonts w:ascii="Georgia" w:hAnsi="Georgia" w:cs="Times New Roman"/>
          <w:i/>
          <w:sz w:val="20"/>
          <w:szCs w:val="20"/>
          <w:lang w:val="lt-LT"/>
        </w:rPr>
        <w:t xml:space="preserve">. </w:t>
      </w:r>
    </w:p>
    <w:p w14:paraId="3E8E001F" w14:textId="77777777"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 xml:space="preserve">Atsižvelgiant į aukščiau paminėtas teisės aktų nuostatas, pastaraisiais metais Klimato kaitos programos lėšos buvo planuojamos kaip papildoma parama daugiabučių ir savivaldybių pastatų renovacijos projektų finansavimui. 2014 m. LR aplinkos ministro įsakymu patvirtintoje Klimato kaitos specialiosios programos lėšų naudojimo 2014 m. sąmatoje numatyta, kad energijos vartojimo efektyvumo didinimo projektams, būtent daugiabučių ir visuomeninių pastatų renovacijos projektams yra </w:t>
      </w:r>
      <w:r w:rsidR="00772984">
        <w:rPr>
          <w:rFonts w:ascii="Georgia" w:hAnsi="Georgia" w:cs="Times New Roman"/>
          <w:sz w:val="20"/>
          <w:szCs w:val="20"/>
          <w:lang w:val="lt-LT"/>
        </w:rPr>
        <w:t>numatyta</w:t>
      </w:r>
      <w:r>
        <w:rPr>
          <w:rFonts w:ascii="Georgia" w:hAnsi="Georgia" w:cs="Times New Roman"/>
          <w:sz w:val="20"/>
          <w:szCs w:val="20"/>
          <w:lang w:val="lt-LT"/>
        </w:rPr>
        <w:t xml:space="preserve"> 21,</w:t>
      </w:r>
      <w:r w:rsidR="00860402">
        <w:rPr>
          <w:rFonts w:ascii="Georgia" w:hAnsi="Georgia" w:cs="Times New Roman"/>
          <w:sz w:val="20"/>
          <w:szCs w:val="20"/>
          <w:lang w:val="lt-LT"/>
        </w:rPr>
        <w:t>6</w:t>
      </w:r>
      <w:r>
        <w:rPr>
          <w:rFonts w:ascii="Georgia" w:hAnsi="Georgia" w:cs="Times New Roman"/>
          <w:sz w:val="20"/>
          <w:szCs w:val="20"/>
          <w:lang w:val="lt-LT"/>
        </w:rPr>
        <w:t xml:space="preserve"> mln. </w:t>
      </w:r>
      <w:r w:rsidR="00772984">
        <w:rPr>
          <w:rFonts w:ascii="Georgia" w:hAnsi="Georgia" w:cs="Times New Roman"/>
          <w:sz w:val="20"/>
          <w:szCs w:val="20"/>
          <w:lang w:val="lt-LT"/>
        </w:rPr>
        <w:t xml:space="preserve">eurų </w:t>
      </w:r>
      <w:r>
        <w:rPr>
          <w:rFonts w:ascii="Georgia" w:hAnsi="Georgia" w:cs="Times New Roman"/>
          <w:sz w:val="20"/>
          <w:szCs w:val="20"/>
          <w:lang w:val="lt-LT"/>
        </w:rPr>
        <w:t>(74,</w:t>
      </w:r>
      <w:r w:rsidR="00860402">
        <w:rPr>
          <w:rFonts w:ascii="Georgia" w:hAnsi="Georgia" w:cs="Times New Roman"/>
          <w:sz w:val="20"/>
          <w:szCs w:val="20"/>
          <w:lang w:val="lt-LT"/>
        </w:rPr>
        <w:t>5</w:t>
      </w:r>
      <w:r>
        <w:rPr>
          <w:rFonts w:ascii="Georgia" w:hAnsi="Georgia" w:cs="Times New Roman"/>
          <w:sz w:val="20"/>
          <w:szCs w:val="20"/>
          <w:lang w:val="lt-LT"/>
        </w:rPr>
        <w:t xml:space="preserve"> mln. Lt, 54,7 proc.); 2013 m. –34,</w:t>
      </w:r>
      <w:r w:rsidR="00860402">
        <w:rPr>
          <w:rFonts w:ascii="Georgia" w:hAnsi="Georgia" w:cs="Times New Roman"/>
          <w:sz w:val="20"/>
          <w:szCs w:val="20"/>
          <w:lang w:val="lt-LT"/>
        </w:rPr>
        <w:t>6</w:t>
      </w:r>
      <w:r>
        <w:rPr>
          <w:rFonts w:ascii="Georgia" w:hAnsi="Georgia" w:cs="Times New Roman"/>
          <w:sz w:val="20"/>
          <w:szCs w:val="20"/>
          <w:lang w:val="lt-LT"/>
        </w:rPr>
        <w:t xml:space="preserve"> mln. </w:t>
      </w:r>
      <w:r w:rsidR="00772984">
        <w:rPr>
          <w:rFonts w:ascii="Georgia" w:hAnsi="Georgia" w:cs="Times New Roman"/>
          <w:sz w:val="20"/>
          <w:szCs w:val="20"/>
          <w:lang w:val="lt-LT"/>
        </w:rPr>
        <w:t xml:space="preserve">eurų </w:t>
      </w:r>
      <w:r>
        <w:rPr>
          <w:rFonts w:ascii="Georgia" w:hAnsi="Georgia" w:cs="Times New Roman"/>
          <w:sz w:val="20"/>
          <w:szCs w:val="20"/>
          <w:lang w:val="lt-LT"/>
        </w:rPr>
        <w:t>(119,</w:t>
      </w:r>
      <w:r w:rsidR="00860402">
        <w:rPr>
          <w:rFonts w:ascii="Georgia" w:hAnsi="Georgia" w:cs="Times New Roman"/>
          <w:sz w:val="20"/>
          <w:szCs w:val="20"/>
          <w:lang w:val="lt-LT"/>
        </w:rPr>
        <w:t>4 mln. Lt, 66,3</w:t>
      </w:r>
      <w:r>
        <w:rPr>
          <w:rFonts w:ascii="Georgia" w:hAnsi="Georgia" w:cs="Times New Roman"/>
          <w:sz w:val="20"/>
          <w:szCs w:val="20"/>
          <w:lang w:val="lt-LT"/>
        </w:rPr>
        <w:t xml:space="preserve"> proc.); 2012 m. – 63,7 mln. </w:t>
      </w:r>
      <w:r w:rsidR="00772984">
        <w:rPr>
          <w:rFonts w:ascii="Georgia" w:hAnsi="Georgia" w:cs="Times New Roman"/>
          <w:sz w:val="20"/>
          <w:szCs w:val="20"/>
          <w:lang w:val="lt-LT"/>
        </w:rPr>
        <w:t xml:space="preserve">eurų </w:t>
      </w:r>
      <w:r>
        <w:rPr>
          <w:rFonts w:ascii="Georgia" w:hAnsi="Georgia" w:cs="Times New Roman"/>
          <w:sz w:val="20"/>
          <w:szCs w:val="20"/>
          <w:lang w:val="lt-LT"/>
        </w:rPr>
        <w:t>(220 mln. Lt, 42 proc.)</w:t>
      </w:r>
      <w:r>
        <w:rPr>
          <w:rStyle w:val="Puslapioinaosnuoroda"/>
          <w:rFonts w:ascii="Georgia" w:hAnsi="Georgia" w:cs="Times New Roman"/>
          <w:sz w:val="20"/>
          <w:szCs w:val="20"/>
          <w:lang w:val="lt-LT"/>
        </w:rPr>
        <w:footnoteReference w:id="21"/>
      </w:r>
      <w:r>
        <w:rPr>
          <w:rFonts w:ascii="Georgia" w:hAnsi="Georgia" w:cs="Times New Roman"/>
          <w:sz w:val="20"/>
          <w:szCs w:val="20"/>
          <w:lang w:val="lt-LT"/>
        </w:rPr>
        <w:t xml:space="preserve">. </w:t>
      </w:r>
    </w:p>
    <w:p w14:paraId="68A76A1E" w14:textId="77777777" w:rsidR="00336C16" w:rsidRDefault="00336C16" w:rsidP="00336C16">
      <w:pPr>
        <w:jc w:val="both"/>
        <w:rPr>
          <w:rFonts w:ascii="Georgia" w:hAnsi="Georgia" w:cs="Times New Roman"/>
          <w:sz w:val="20"/>
          <w:szCs w:val="20"/>
          <w:lang w:val="lt-LT"/>
        </w:rPr>
      </w:pPr>
      <w:r>
        <w:rPr>
          <w:rFonts w:ascii="Georgia" w:hAnsi="Georgia" w:cs="Times New Roman"/>
          <w:sz w:val="20"/>
          <w:szCs w:val="20"/>
          <w:lang w:val="lt-LT"/>
        </w:rPr>
        <w:t>Valstybės paramos daugiabučiams namams atnaujinti (modernizuoti) teikimo ir daugiabučių namų atnaujinimo (modernizavimo) projektų įgyvendinimo priežiūros taisyklėse numatyta, kad Klimato kaitos programos lėšomis parama daugiabučių namų modernizavimo projektams bus teikiama tik iki 2015 m. spalio 1 d.:</w:t>
      </w:r>
    </w:p>
    <w:p w14:paraId="799EFE53" w14:textId="77777777" w:rsidR="00336C16" w:rsidRDefault="00336C16" w:rsidP="00336C16">
      <w:pPr>
        <w:spacing w:after="0"/>
        <w:jc w:val="both"/>
        <w:rPr>
          <w:rFonts w:ascii="Georgia" w:hAnsi="Georgia" w:cs="Times New Roman"/>
          <w:i/>
          <w:sz w:val="20"/>
          <w:szCs w:val="20"/>
          <w:lang w:val="lt-LT"/>
        </w:rPr>
      </w:pPr>
      <w:r>
        <w:rPr>
          <w:rFonts w:ascii="Georgia" w:hAnsi="Georgia" w:cs="Times New Roman"/>
          <w:i/>
          <w:sz w:val="20"/>
          <w:szCs w:val="20"/>
          <w:lang w:val="lt-LT"/>
        </w:rPr>
        <w:lastRenderedPageBreak/>
        <w:t>“Daugiabučio namo butų ir kitų patalpų savininkams, nuo 2009 m. rugsėjo 20 d. parengusiems ir įgyvendinantiems daugiabučio namo atnaujinimo (modernizavimo) projektą (išskyrus daugiabučio namo butų ir kitų patalpų savininkus, kurie įgyvendino nuo 2009 m. rugsėjo 20 d. parengtą daugiabučio namo atnaujinimo (modernizavimo) projektą ir kuriems suteikta papildoma valstybės parama), Klimato kaitos specialiosios programos lėšomis teikiama papildoma valstybės parama kompensuojant šią investicijų, tenkančių Programos priede nurodytoms energinį efektyvumą didinančioms priemonėms, – jeigu įgyvendinus projektą pasiekiama ne mažesnė kaip D pastato energinio naudingumo klasė ir skaičiuojamosios šiluminės energijos sąnaudos sumažinamos ne mažiau kaip 40 procentų, palyginti su skaičiuojamosiomis šiluminės energijos sąnaudomis iki atnaujinimo (modernizavimo) projekto įgyvendinimo, dalį:</w:t>
      </w:r>
    </w:p>
    <w:p w14:paraId="638FB8E6" w14:textId="77777777" w:rsidR="00336C16" w:rsidRDefault="00336C16" w:rsidP="00336C16">
      <w:pPr>
        <w:spacing w:after="0"/>
        <w:jc w:val="both"/>
        <w:rPr>
          <w:rFonts w:ascii="Georgia" w:hAnsi="Georgia" w:cs="Times New Roman"/>
          <w:i/>
          <w:sz w:val="20"/>
          <w:szCs w:val="20"/>
          <w:lang w:val="lt-LT"/>
        </w:rPr>
      </w:pPr>
      <w:r>
        <w:rPr>
          <w:rFonts w:ascii="Georgia" w:hAnsi="Georgia" w:cs="Times New Roman"/>
          <w:i/>
          <w:sz w:val="20"/>
          <w:szCs w:val="20"/>
          <w:lang w:val="lt-LT"/>
        </w:rPr>
        <w:t>2.7.1. 25 procentus, jeigu statybos rangos darbų sutartis daugiabučio namo atnaujinimo (modernizavimo) projektui įgyvendinti sudaryta iki 2014 m. gruodžio 31 d. ir šis projektas įgyvendintas iki 2015 m. spalio 1 d.;</w:t>
      </w:r>
    </w:p>
    <w:p w14:paraId="1BB54E69" w14:textId="77777777" w:rsidR="00336C16" w:rsidRDefault="00336C16" w:rsidP="00336C16">
      <w:pPr>
        <w:spacing w:after="0"/>
        <w:jc w:val="both"/>
        <w:rPr>
          <w:rFonts w:ascii="Georgia" w:hAnsi="Georgia" w:cs="Times New Roman"/>
          <w:i/>
          <w:sz w:val="20"/>
          <w:szCs w:val="20"/>
          <w:lang w:val="lt-LT"/>
        </w:rPr>
      </w:pPr>
      <w:r>
        <w:rPr>
          <w:rFonts w:ascii="Georgia" w:hAnsi="Georgia" w:cs="Times New Roman"/>
          <w:i/>
          <w:sz w:val="20"/>
          <w:szCs w:val="20"/>
          <w:lang w:val="lt-LT"/>
        </w:rPr>
        <w:t>2.7.2. 15 procentų, jeigu statybos rangos darbų sutartis daugiabučio namo atnaujinimo (modernizavimo) projektui įgyvendinti sudaryta po 2014 m. gruodžio 31 d. ir (ar) šis projektas įgyvendintas po 2015 m. spalio 1 d.;</w:t>
      </w:r>
    </w:p>
    <w:p w14:paraId="158DD97B" w14:textId="77777777" w:rsidR="00336C16" w:rsidRDefault="00336C16" w:rsidP="00336C16">
      <w:pPr>
        <w:jc w:val="both"/>
        <w:rPr>
          <w:rFonts w:ascii="Georgia" w:hAnsi="Georgia" w:cs="Times New Roman"/>
          <w:i/>
          <w:sz w:val="20"/>
          <w:szCs w:val="20"/>
          <w:lang w:val="lt-LT"/>
        </w:rPr>
      </w:pPr>
      <w:r>
        <w:rPr>
          <w:rFonts w:ascii="Georgia" w:hAnsi="Georgia" w:cs="Times New Roman"/>
          <w:i/>
          <w:sz w:val="20"/>
          <w:szCs w:val="20"/>
          <w:lang w:val="lt-LT"/>
        </w:rPr>
        <w:t>2.7.3. 15 procentų, jeigu statybos rangos darbų sutartis daugiabučio namo atnaujinimo (modernizavimo) projektui įgyvendinti sudaryta iki 2014 m. gruodžio 31 d. ir (ar) šis projektas įgyvendintas po 2015 m. spalio 1 dienos”</w:t>
      </w:r>
      <w:r>
        <w:rPr>
          <w:rStyle w:val="Puslapioinaosnuoroda"/>
          <w:rFonts w:ascii="Georgia" w:hAnsi="Georgia" w:cs="Times New Roman"/>
          <w:i/>
          <w:sz w:val="20"/>
          <w:szCs w:val="20"/>
          <w:lang w:val="lt-LT"/>
        </w:rPr>
        <w:footnoteReference w:id="22"/>
      </w:r>
      <w:r>
        <w:rPr>
          <w:rFonts w:ascii="Georgia" w:hAnsi="Georgia" w:cs="Times New Roman"/>
          <w:i/>
          <w:sz w:val="20"/>
          <w:szCs w:val="20"/>
          <w:lang w:val="lt-LT"/>
        </w:rPr>
        <w:t xml:space="preserve">. </w:t>
      </w:r>
    </w:p>
    <w:p w14:paraId="7DDCF429" w14:textId="77777777" w:rsidR="00336C16" w:rsidRDefault="00336C16" w:rsidP="00FE705A">
      <w:pPr>
        <w:jc w:val="both"/>
        <w:rPr>
          <w:rFonts w:ascii="Georgia" w:hAnsi="Georgia" w:cs="Times New Roman"/>
          <w:sz w:val="20"/>
          <w:szCs w:val="20"/>
          <w:lang w:val="lt-LT"/>
        </w:rPr>
      </w:pPr>
      <w:r>
        <w:rPr>
          <w:rFonts w:ascii="Georgia" w:hAnsi="Georgia" w:cs="Times New Roman"/>
          <w:sz w:val="20"/>
          <w:szCs w:val="20"/>
          <w:lang w:val="lt-LT"/>
        </w:rPr>
        <w:t xml:space="preserve">Atsižvelgiant į tai, Klimato kaitos specialiosios programos lėšos pasiūlos analizėje yra numatomos tik 2014-2015 metais. Aplinkos ministerijos duomenimis, 2015 m. Klimato kaitos specialiosios programos bendras planuojamas biudžetas turėtų siekti 27,5 mln. </w:t>
      </w:r>
      <w:r w:rsidR="00760FFB">
        <w:rPr>
          <w:rFonts w:ascii="Georgia" w:hAnsi="Georgia" w:cs="Times New Roman"/>
          <w:sz w:val="20"/>
          <w:szCs w:val="20"/>
          <w:lang w:val="lt-LT"/>
        </w:rPr>
        <w:t xml:space="preserve">eurų </w:t>
      </w:r>
      <w:r>
        <w:rPr>
          <w:rFonts w:ascii="Georgia" w:hAnsi="Georgia" w:cs="Times New Roman"/>
          <w:sz w:val="20"/>
          <w:szCs w:val="20"/>
          <w:lang w:val="lt-LT"/>
        </w:rPr>
        <w:t xml:space="preserve">(95 mln. Lt). Vadovaujantis Klimato kaitos valdymo finansinių instrumentų įstatymo nuostatomis, ne mažiau kaip po 40 proc. šių lėšų turėtų būti skiriama energijos efektyvumo ir atsinaujinančių išteklių projektų finansavimui. Vertinant daugiabučių namų modernizavimo projektų bumo susidarymą per 2013-2014 metus, didelė tikimybė, kad reikės nemažai Klimato kaitos specialiosios programos išteklių valstybės paramos energijos efektyvumo projektų daliai padengti. Aplinkos ministerijos duomenimis, apie 60 proc. 2015 m. planuojamo Klimato kaitos specialiosios programos biudžeto galėtų būti skiriama daugiabučių ir visuomeninių pastatų modernizavimo projektams finansuoti. Tai sudarytų apie 16,5 mln. </w:t>
      </w:r>
      <w:r w:rsidR="00760FFB">
        <w:rPr>
          <w:rFonts w:ascii="Georgia" w:hAnsi="Georgia" w:cs="Times New Roman"/>
          <w:sz w:val="20"/>
          <w:szCs w:val="20"/>
          <w:lang w:val="lt-LT"/>
        </w:rPr>
        <w:t xml:space="preserve">eurų </w:t>
      </w:r>
      <w:r>
        <w:rPr>
          <w:rFonts w:ascii="Georgia" w:hAnsi="Georgia" w:cs="Times New Roman"/>
          <w:sz w:val="20"/>
          <w:szCs w:val="20"/>
          <w:lang w:val="lt-LT"/>
        </w:rPr>
        <w:t>(57 mln. Lt). Iš viso 2014 ir 2015 m. Klimato kaitos specialiosios programos lėšos sudaro 38,</w:t>
      </w:r>
      <w:r w:rsidR="00860402">
        <w:rPr>
          <w:rFonts w:ascii="Georgia" w:hAnsi="Georgia" w:cs="Times New Roman"/>
          <w:sz w:val="20"/>
          <w:szCs w:val="20"/>
          <w:lang w:val="lt-LT"/>
        </w:rPr>
        <w:t>1</w:t>
      </w:r>
      <w:r>
        <w:rPr>
          <w:rFonts w:ascii="Georgia" w:hAnsi="Georgia" w:cs="Times New Roman"/>
          <w:sz w:val="20"/>
          <w:szCs w:val="20"/>
          <w:lang w:val="lt-LT"/>
        </w:rPr>
        <w:t xml:space="preserve"> mln. </w:t>
      </w:r>
      <w:r w:rsidR="00760FFB">
        <w:rPr>
          <w:rFonts w:ascii="Georgia" w:hAnsi="Georgia" w:cs="Times New Roman"/>
          <w:sz w:val="20"/>
          <w:szCs w:val="20"/>
          <w:lang w:val="lt-LT"/>
        </w:rPr>
        <w:t xml:space="preserve">eurų </w:t>
      </w:r>
      <w:r>
        <w:rPr>
          <w:rFonts w:ascii="Georgia" w:hAnsi="Georgia" w:cs="Times New Roman"/>
          <w:sz w:val="20"/>
          <w:szCs w:val="20"/>
          <w:lang w:val="lt-LT"/>
        </w:rPr>
        <w:t>(131,</w:t>
      </w:r>
      <w:r w:rsidR="00860402">
        <w:rPr>
          <w:rFonts w:ascii="Georgia" w:hAnsi="Georgia" w:cs="Times New Roman"/>
          <w:sz w:val="20"/>
          <w:szCs w:val="20"/>
          <w:lang w:val="lt-LT"/>
        </w:rPr>
        <w:t>5</w:t>
      </w:r>
      <w:r>
        <w:rPr>
          <w:rFonts w:ascii="Georgia" w:hAnsi="Georgia" w:cs="Times New Roman"/>
          <w:sz w:val="20"/>
          <w:szCs w:val="20"/>
          <w:lang w:val="lt-LT"/>
        </w:rPr>
        <w:t xml:space="preserve"> mln. Lt). Šios lėšos preliminariai galėtų būti paskirstomos daugiabučių ir visuomeninių pastatų modernizavimo projektams pagal proporcijas 60 ir 40 proc.: daugiabučių renovacijai – 22,</w:t>
      </w:r>
      <w:r w:rsidR="00860402">
        <w:rPr>
          <w:rFonts w:ascii="Georgia" w:hAnsi="Georgia" w:cs="Times New Roman"/>
          <w:sz w:val="20"/>
          <w:szCs w:val="20"/>
          <w:lang w:val="lt-LT"/>
        </w:rPr>
        <w:t>9</w:t>
      </w:r>
      <w:r>
        <w:rPr>
          <w:rFonts w:ascii="Georgia" w:hAnsi="Georgia" w:cs="Times New Roman"/>
          <w:sz w:val="20"/>
          <w:szCs w:val="20"/>
          <w:lang w:val="lt-LT"/>
        </w:rPr>
        <w:t xml:space="preserve"> mln. </w:t>
      </w:r>
      <w:r w:rsidR="00760FFB">
        <w:rPr>
          <w:rFonts w:ascii="Georgia" w:hAnsi="Georgia" w:cs="Times New Roman"/>
          <w:sz w:val="20"/>
          <w:szCs w:val="20"/>
          <w:lang w:val="lt-LT"/>
        </w:rPr>
        <w:t xml:space="preserve">eurų </w:t>
      </w:r>
      <w:r w:rsidR="00860402">
        <w:rPr>
          <w:rFonts w:ascii="Georgia" w:hAnsi="Georgia" w:cs="Times New Roman"/>
          <w:sz w:val="20"/>
          <w:szCs w:val="20"/>
          <w:lang w:val="lt-LT"/>
        </w:rPr>
        <w:t>(78,9</w:t>
      </w:r>
      <w:r>
        <w:rPr>
          <w:rFonts w:ascii="Georgia" w:hAnsi="Georgia" w:cs="Times New Roman"/>
          <w:sz w:val="20"/>
          <w:szCs w:val="20"/>
          <w:lang w:val="lt-LT"/>
        </w:rPr>
        <w:t xml:space="preserve"> mln. Lt), visuomeninių pastatų renovacijai – 15,2 mln. </w:t>
      </w:r>
      <w:r w:rsidR="00760FFB">
        <w:rPr>
          <w:rFonts w:ascii="Georgia" w:hAnsi="Georgia" w:cs="Times New Roman"/>
          <w:sz w:val="20"/>
          <w:szCs w:val="20"/>
          <w:lang w:val="lt-LT"/>
        </w:rPr>
        <w:t xml:space="preserve">eurų </w:t>
      </w:r>
      <w:r>
        <w:rPr>
          <w:rFonts w:ascii="Georgia" w:hAnsi="Georgia" w:cs="Times New Roman"/>
          <w:sz w:val="20"/>
          <w:szCs w:val="20"/>
          <w:lang w:val="lt-LT"/>
        </w:rPr>
        <w:t>(52,</w:t>
      </w:r>
      <w:r w:rsidR="00860402">
        <w:rPr>
          <w:rFonts w:ascii="Georgia" w:hAnsi="Georgia" w:cs="Times New Roman"/>
          <w:sz w:val="20"/>
          <w:szCs w:val="20"/>
          <w:lang w:val="lt-LT"/>
        </w:rPr>
        <w:t>6</w:t>
      </w:r>
      <w:r>
        <w:rPr>
          <w:rFonts w:ascii="Georgia" w:hAnsi="Georgia" w:cs="Times New Roman"/>
          <w:sz w:val="20"/>
          <w:szCs w:val="20"/>
          <w:lang w:val="lt-LT"/>
        </w:rPr>
        <w:t xml:space="preserve"> mln. Lt).</w:t>
      </w:r>
    </w:p>
    <w:p w14:paraId="208FB6BE" w14:textId="77777777" w:rsidR="00A604FC" w:rsidRPr="00530723" w:rsidRDefault="00A604FC" w:rsidP="00530723">
      <w:pPr>
        <w:jc w:val="both"/>
        <w:rPr>
          <w:rFonts w:ascii="Georgia" w:hAnsi="Georgia" w:cs="Times New Roman"/>
          <w:i/>
          <w:sz w:val="20"/>
          <w:szCs w:val="20"/>
          <w:lang w:val="lt-LT"/>
        </w:rPr>
      </w:pPr>
      <w:r w:rsidRPr="00A604FC">
        <w:rPr>
          <w:rFonts w:ascii="Georgia" w:hAnsi="Georgia" w:cs="Times New Roman"/>
          <w:i/>
          <w:sz w:val="20"/>
          <w:szCs w:val="20"/>
          <w:lang w:val="lt-LT"/>
        </w:rPr>
        <w:t>Savivaldybių galimybės skolintis ir finansinė būklė</w:t>
      </w:r>
    </w:p>
    <w:p w14:paraId="44625597" w14:textId="77777777" w:rsidR="00336C16" w:rsidRDefault="00336C16" w:rsidP="00FE705A">
      <w:pPr>
        <w:shd w:val="clear" w:color="auto" w:fill="FFFFFF"/>
        <w:spacing w:before="100" w:beforeAutospacing="1" w:after="100" w:afterAutospacing="1"/>
        <w:jc w:val="both"/>
        <w:rPr>
          <w:rFonts w:ascii="Georgia" w:hAnsi="Georgia" w:cs="Georgia"/>
          <w:sz w:val="20"/>
          <w:szCs w:val="20"/>
          <w:lang w:val="lt-LT"/>
        </w:rPr>
      </w:pPr>
      <w:r>
        <w:rPr>
          <w:rFonts w:ascii="Georgia" w:hAnsi="Georgia" w:cs="Georgia"/>
          <w:sz w:val="20"/>
          <w:szCs w:val="20"/>
          <w:lang w:val="lt-LT"/>
        </w:rPr>
        <w:t>Savivaldybių skolos yra trumpalaikės ir ilgalaikės. Trumpalaikes paskolas savivaldybės gali imti apyvartinių lėšų laikinam trūkumui padengti ir privalo grąžinti iki tų pačių metų pabaigos.</w:t>
      </w:r>
      <w:r w:rsidR="00530723">
        <w:rPr>
          <w:rFonts w:ascii="Georgia" w:hAnsi="Georgia" w:cs="Georgia"/>
          <w:sz w:val="20"/>
          <w:szCs w:val="20"/>
          <w:lang w:val="lt-LT"/>
        </w:rPr>
        <w:t xml:space="preserve"> </w:t>
      </w:r>
      <w:r>
        <w:rPr>
          <w:rFonts w:ascii="Georgia" w:hAnsi="Georgia" w:cs="Georgia"/>
          <w:sz w:val="20"/>
          <w:szCs w:val="20"/>
          <w:lang w:val="lt-LT"/>
        </w:rPr>
        <w:t>Ilgalaikės paskolos – savivaldybių pasiskolintos lėšos investicijų projektams finansuoti. Šios skolos ne tik apskaitomos kaip savivaldybių biudžetų deficitas, bet ir įskaičiuojamos į Lietuvos viešųjų finansų deficitą bei valstybės skolą.</w:t>
      </w:r>
    </w:p>
    <w:p w14:paraId="0B7A4F09" w14:textId="77777777" w:rsidR="00F52F0D" w:rsidRDefault="00336C16" w:rsidP="00F52F0D">
      <w:pPr>
        <w:shd w:val="clear" w:color="auto" w:fill="FFFFFF"/>
        <w:spacing w:before="100" w:beforeAutospacing="1" w:after="100" w:afterAutospacing="1"/>
        <w:jc w:val="both"/>
        <w:rPr>
          <w:rFonts w:ascii="Georgia" w:hAnsi="Georgia" w:cs="Georgia"/>
          <w:sz w:val="20"/>
          <w:szCs w:val="20"/>
          <w:lang w:val="lt-LT"/>
        </w:rPr>
      </w:pPr>
      <w:r>
        <w:rPr>
          <w:rFonts w:ascii="Georgia" w:hAnsi="Georgia" w:cs="Georgia"/>
          <w:sz w:val="20"/>
          <w:szCs w:val="20"/>
          <w:lang w:val="lt-LT"/>
        </w:rPr>
        <w:t xml:space="preserve">Lietuvos teisės aktai pakankamai griežtai reglamentuoja savivaldybių skolinimąsi. Kiekvienais metais </w:t>
      </w:r>
      <w:r w:rsidR="00530723">
        <w:rPr>
          <w:rFonts w:ascii="Georgia" w:hAnsi="Georgia" w:cs="Georgia"/>
          <w:sz w:val="20"/>
          <w:szCs w:val="20"/>
          <w:lang w:val="lt-LT"/>
        </w:rPr>
        <w:t xml:space="preserve">Lietuvos Respublikos </w:t>
      </w:r>
      <w:r>
        <w:rPr>
          <w:rFonts w:ascii="Georgia" w:hAnsi="Georgia" w:cs="Georgia"/>
          <w:sz w:val="20"/>
          <w:szCs w:val="20"/>
          <w:lang w:val="lt-LT"/>
        </w:rPr>
        <w:t xml:space="preserve">Seimas, tvirtindamas </w:t>
      </w:r>
      <w:r w:rsidR="00944EEF">
        <w:rPr>
          <w:rFonts w:ascii="Georgia" w:hAnsi="Georgia" w:cs="Georgia"/>
          <w:sz w:val="20"/>
          <w:szCs w:val="20"/>
          <w:lang w:val="lt-LT"/>
        </w:rPr>
        <w:t xml:space="preserve">Finansinių rodiklių įstatymą bei </w:t>
      </w:r>
      <w:r>
        <w:rPr>
          <w:rFonts w:ascii="Georgia" w:hAnsi="Georgia" w:cs="Georgia"/>
          <w:sz w:val="20"/>
          <w:szCs w:val="20"/>
          <w:lang w:val="lt-LT"/>
        </w:rPr>
        <w:t xml:space="preserve">savivaldybių biudžetus, nustato ir jų skolinimosi limitus. </w:t>
      </w:r>
      <w:r w:rsidR="00F52F0D">
        <w:rPr>
          <w:rFonts w:ascii="Georgia" w:hAnsi="Georgia" w:cs="Georgia"/>
          <w:sz w:val="20"/>
          <w:szCs w:val="20"/>
          <w:lang w:val="lt-LT"/>
        </w:rPr>
        <w:t>Savivaldybės skola negali viršyti 70 procentų, Vilniaus – 135 procentų, prognozuojamų savivaldybės biudžeto pajamų ir valstybės biudžeto bendrosios dotacijos kompensacijų savivaldybės biudžetui pajamų mažėjimui kompensuoti sumos (skola – 0,7 * [pajamos + dotacija]),</w:t>
      </w:r>
      <w:r w:rsidR="00F52F0D" w:rsidRPr="00F52F0D">
        <w:rPr>
          <w:rFonts w:ascii="Georgia" w:hAnsi="Georgia" w:cs="Georgia"/>
          <w:sz w:val="20"/>
          <w:szCs w:val="20"/>
          <w:lang w:val="lt-LT"/>
        </w:rPr>
        <w:t xml:space="preserve"> </w:t>
      </w:r>
      <w:r w:rsidR="00F52F0D">
        <w:rPr>
          <w:rFonts w:ascii="Georgia" w:hAnsi="Georgia" w:cs="Georgia"/>
          <w:sz w:val="20"/>
          <w:szCs w:val="20"/>
          <w:lang w:val="lt-LT"/>
        </w:rPr>
        <w:t>kuri vidutiniškai sudaro kiek daugiau nei pusę visų savivaldybių biudžetų pajamų.</w:t>
      </w:r>
    </w:p>
    <w:p w14:paraId="6E36C331" w14:textId="77777777" w:rsidR="00F52F0D" w:rsidRDefault="00F52F0D" w:rsidP="00F52F0D">
      <w:pPr>
        <w:shd w:val="clear" w:color="auto" w:fill="FFFFFF"/>
        <w:spacing w:before="100" w:beforeAutospacing="1" w:after="100" w:afterAutospacing="1"/>
        <w:jc w:val="both"/>
        <w:rPr>
          <w:rFonts w:ascii="Georgia" w:hAnsi="Georgia" w:cs="Georgia"/>
          <w:sz w:val="20"/>
          <w:szCs w:val="20"/>
          <w:lang w:val="lt-LT"/>
        </w:rPr>
      </w:pPr>
      <w:r>
        <w:rPr>
          <w:rFonts w:ascii="Georgia" w:hAnsi="Georgia" w:cs="Georgia"/>
          <w:sz w:val="20"/>
          <w:szCs w:val="20"/>
          <w:lang w:val="lt-LT"/>
        </w:rPr>
        <w:lastRenderedPageBreak/>
        <w:t>Savivaldybės, kurių skola sudaro daugiau kaip 40 procentų (Kauno miesto savivaldybės – daugiau kaip 50 procentų) 2014 metais gali skolintis tik projektams, finansuojamiems iš ESI fondų ir kitos tarptautinės finansinės paramos, įgyvendinti ir paimtoms paskoloms grąžinti. Vilniaus miesto savivaldybė gali skolintis tik 2013 m. gruodžio 31 d. esančiam įsiskolinimui už suteiktas paslaugas dengti ir projektams, finansuojamiems iš ESI fondų ir kitos tarptautinės finansinės paramos, įgyvendinti ir paimtoms paskoloms grąžinti.</w:t>
      </w:r>
    </w:p>
    <w:p w14:paraId="45EB0E1C" w14:textId="77777777" w:rsidR="00336C16" w:rsidRDefault="00336C16" w:rsidP="00FE705A">
      <w:pPr>
        <w:shd w:val="clear" w:color="auto" w:fill="FFFFFF"/>
        <w:spacing w:before="100" w:beforeAutospacing="1" w:after="100" w:afterAutospacing="1"/>
        <w:jc w:val="both"/>
        <w:rPr>
          <w:rFonts w:ascii="Georgia" w:hAnsi="Georgia" w:cs="Georgia"/>
          <w:sz w:val="20"/>
          <w:szCs w:val="20"/>
          <w:lang w:val="lt-LT"/>
        </w:rPr>
      </w:pPr>
      <w:r>
        <w:rPr>
          <w:rFonts w:ascii="Georgia" w:hAnsi="Georgia" w:cs="Georgia"/>
          <w:sz w:val="20"/>
          <w:szCs w:val="20"/>
          <w:lang w:val="lt-LT"/>
        </w:rPr>
        <w:t xml:space="preserve">Absoliuti dauguma ilgalaikių paskolų imama </w:t>
      </w:r>
      <w:r w:rsidR="00A604FC">
        <w:rPr>
          <w:rFonts w:ascii="Georgia" w:hAnsi="Georgia" w:cs="Georgia"/>
          <w:sz w:val="20"/>
          <w:szCs w:val="20"/>
          <w:lang w:val="lt-LT"/>
        </w:rPr>
        <w:t>ESI fondų remiamiems</w:t>
      </w:r>
      <w:r>
        <w:rPr>
          <w:rFonts w:ascii="Georgia" w:hAnsi="Georgia" w:cs="Georgia"/>
          <w:sz w:val="20"/>
          <w:szCs w:val="20"/>
          <w:lang w:val="lt-LT"/>
        </w:rPr>
        <w:t xml:space="preserve"> projektams savivaldybėse bendrai finansuoti. </w:t>
      </w:r>
    </w:p>
    <w:p w14:paraId="658923CF" w14:textId="77777777" w:rsidR="00336C16" w:rsidRDefault="00336C16" w:rsidP="00FE705A">
      <w:pPr>
        <w:shd w:val="clear" w:color="auto" w:fill="FFFFFF"/>
        <w:spacing w:before="100" w:beforeAutospacing="1" w:after="100" w:afterAutospacing="1"/>
        <w:jc w:val="both"/>
        <w:rPr>
          <w:rFonts w:ascii="Georgia" w:hAnsi="Georgia" w:cs="Georgia"/>
          <w:sz w:val="20"/>
          <w:szCs w:val="20"/>
          <w:lang w:val="lt-LT"/>
        </w:rPr>
      </w:pPr>
      <w:r>
        <w:rPr>
          <w:rFonts w:ascii="Georgia" w:hAnsi="Georgia" w:cs="Georgia"/>
          <w:sz w:val="20"/>
          <w:szCs w:val="20"/>
          <w:lang w:val="lt-LT"/>
        </w:rPr>
        <w:t>Yra ir dar vienas griežtas savivaldybių skolinimąsi ribojantis limitas. 59 savivaldybės, kurių skola sudaro daugiau kaip 45 procentus patvirtintų 2013 metų savivaldybės biudžeto savarankiškų pajamų, neturi teisės skolintis investicijų projektams, kurie įgyvendinami be ES ir kitos tarptautinės (Norvegijos, Šveicarijos) finansinės paramos lėšų.</w:t>
      </w:r>
    </w:p>
    <w:p w14:paraId="592F9BA8" w14:textId="77777777" w:rsidR="00336C16" w:rsidRDefault="00336C16" w:rsidP="00FE705A">
      <w:pPr>
        <w:shd w:val="clear" w:color="auto" w:fill="FFFFFF"/>
        <w:spacing w:before="100" w:beforeAutospacing="1" w:after="100" w:afterAutospacing="1"/>
        <w:jc w:val="both"/>
        <w:rPr>
          <w:rFonts w:ascii="Georgia" w:hAnsi="Georgia" w:cs="Georgia"/>
          <w:sz w:val="20"/>
          <w:szCs w:val="20"/>
          <w:lang w:val="lt-LT"/>
        </w:rPr>
      </w:pPr>
      <w:r>
        <w:rPr>
          <w:rFonts w:ascii="Georgia" w:hAnsi="Georgia" w:cs="Georgia"/>
          <w:sz w:val="20"/>
          <w:szCs w:val="20"/>
          <w:lang w:val="lt-LT"/>
        </w:rPr>
        <w:t xml:space="preserve">Dėl skolinimosi galimybių apribojimo 25 savivaldybės 2013 m. balandžio 1 d. neteko teisės skolintis savo (ne ES) lėšomis finansuojamiems investicijų projektams įgyvendinti. Todėl </w:t>
      </w:r>
      <w:r w:rsidR="009A466E">
        <w:rPr>
          <w:rFonts w:ascii="Georgia" w:hAnsi="Georgia" w:cs="Georgia"/>
          <w:sz w:val="20"/>
          <w:szCs w:val="20"/>
          <w:lang w:val="lt-LT"/>
        </w:rPr>
        <w:t xml:space="preserve">pavyzdžiui, </w:t>
      </w:r>
      <w:r>
        <w:rPr>
          <w:rFonts w:ascii="Georgia" w:hAnsi="Georgia" w:cs="Georgia"/>
          <w:sz w:val="20"/>
          <w:szCs w:val="20"/>
          <w:lang w:val="lt-LT"/>
        </w:rPr>
        <w:t xml:space="preserve">savivaldybė, įgyvendindama </w:t>
      </w:r>
      <w:r w:rsidR="00A604FC">
        <w:rPr>
          <w:rFonts w:ascii="Georgia" w:hAnsi="Georgia" w:cs="Georgia"/>
          <w:sz w:val="20"/>
          <w:szCs w:val="20"/>
          <w:lang w:val="lt-LT"/>
        </w:rPr>
        <w:t>ESI fondų</w:t>
      </w:r>
      <w:r>
        <w:rPr>
          <w:rFonts w:ascii="Georgia" w:hAnsi="Georgia" w:cs="Georgia"/>
          <w:sz w:val="20"/>
          <w:szCs w:val="20"/>
          <w:lang w:val="lt-LT"/>
        </w:rPr>
        <w:t xml:space="preserve"> lėšomis remiamą energijos efektyvumo didinimo projektą, įdiegia </w:t>
      </w:r>
      <w:r w:rsidR="009A466E">
        <w:rPr>
          <w:rFonts w:ascii="Georgia" w:hAnsi="Georgia" w:cs="Georgia"/>
          <w:sz w:val="20"/>
          <w:szCs w:val="20"/>
          <w:lang w:val="lt-LT"/>
        </w:rPr>
        <w:t xml:space="preserve">tik </w:t>
      </w:r>
      <w:r>
        <w:rPr>
          <w:rFonts w:ascii="Georgia" w:hAnsi="Georgia" w:cs="Georgia"/>
          <w:sz w:val="20"/>
          <w:szCs w:val="20"/>
          <w:lang w:val="lt-LT"/>
        </w:rPr>
        <w:t>priemones didinančias šiluminės energijos panaudojimo efektyvumą viešosios paskirties pastatuose, tačiau palieka apdau</w:t>
      </w:r>
      <w:r w:rsidR="00F52F0D">
        <w:rPr>
          <w:rFonts w:ascii="Georgia" w:hAnsi="Georgia" w:cs="Georgia"/>
          <w:sz w:val="20"/>
          <w:szCs w:val="20"/>
          <w:lang w:val="lt-LT"/>
        </w:rPr>
        <w:t>žytas, nedažytas sienas ir pan., kadangi t</w:t>
      </w:r>
      <w:r>
        <w:rPr>
          <w:rFonts w:ascii="Georgia" w:hAnsi="Georgia" w:cs="Georgia"/>
          <w:sz w:val="20"/>
          <w:szCs w:val="20"/>
          <w:lang w:val="lt-LT"/>
        </w:rPr>
        <w:t>okie darbai ir i</w:t>
      </w:r>
      <w:r w:rsidR="009A466E">
        <w:rPr>
          <w:rFonts w:ascii="Georgia" w:hAnsi="Georgia" w:cs="Georgia"/>
          <w:sz w:val="20"/>
          <w:szCs w:val="20"/>
          <w:lang w:val="lt-LT"/>
        </w:rPr>
        <w:t>šlaidos nepripažįstami tinkamomis</w:t>
      </w:r>
      <w:r>
        <w:rPr>
          <w:rFonts w:ascii="Georgia" w:hAnsi="Georgia" w:cs="Georgia"/>
          <w:sz w:val="20"/>
          <w:szCs w:val="20"/>
          <w:lang w:val="lt-LT"/>
        </w:rPr>
        <w:t xml:space="preserve"> finansuoti </w:t>
      </w:r>
      <w:r w:rsidR="00F52F0D">
        <w:rPr>
          <w:rFonts w:ascii="Georgia" w:hAnsi="Georgia" w:cs="Georgia"/>
          <w:sz w:val="20"/>
          <w:szCs w:val="20"/>
          <w:lang w:val="lt-LT"/>
        </w:rPr>
        <w:t>išlaidomis</w:t>
      </w:r>
      <w:r w:rsidR="009A466E">
        <w:rPr>
          <w:rFonts w:ascii="Georgia" w:hAnsi="Georgia" w:cs="Georgia"/>
          <w:sz w:val="20"/>
          <w:szCs w:val="20"/>
          <w:lang w:val="lt-LT"/>
        </w:rPr>
        <w:t xml:space="preserve"> pagal energijos efektyvumo priemones</w:t>
      </w:r>
      <w:r>
        <w:rPr>
          <w:rFonts w:ascii="Georgia" w:hAnsi="Georgia" w:cs="Georgia"/>
          <w:sz w:val="20"/>
          <w:szCs w:val="20"/>
          <w:lang w:val="lt-LT"/>
        </w:rPr>
        <w:t>, o savivaldybės neturi teisės jų pasiskolinti.</w:t>
      </w:r>
    </w:p>
    <w:p w14:paraId="1273659C" w14:textId="77777777" w:rsidR="00336C16" w:rsidRDefault="00A604FC" w:rsidP="00FE705A">
      <w:pPr>
        <w:shd w:val="clear" w:color="auto" w:fill="FFFFFF"/>
        <w:spacing w:before="100" w:beforeAutospacing="1" w:after="100" w:afterAutospacing="1"/>
        <w:jc w:val="both"/>
        <w:rPr>
          <w:rFonts w:ascii="Georgia" w:hAnsi="Georgia" w:cs="Georgia"/>
          <w:sz w:val="20"/>
          <w:szCs w:val="20"/>
          <w:lang w:val="lt-LT"/>
        </w:rPr>
      </w:pPr>
      <w:r>
        <w:rPr>
          <w:rFonts w:ascii="Georgia" w:hAnsi="Georgia" w:cs="Georgia"/>
          <w:sz w:val="20"/>
          <w:szCs w:val="20"/>
          <w:lang w:val="lt-LT"/>
        </w:rPr>
        <w:t>Yra kelios p</w:t>
      </w:r>
      <w:r w:rsidR="00336C16">
        <w:rPr>
          <w:rFonts w:ascii="Georgia" w:hAnsi="Georgia" w:cs="Georgia"/>
          <w:sz w:val="20"/>
          <w:szCs w:val="20"/>
          <w:lang w:val="lt-LT"/>
        </w:rPr>
        <w:t>riežastys</w:t>
      </w:r>
      <w:r>
        <w:rPr>
          <w:rFonts w:ascii="Georgia" w:hAnsi="Georgia" w:cs="Georgia"/>
          <w:sz w:val="20"/>
          <w:szCs w:val="20"/>
          <w:lang w:val="lt-LT"/>
        </w:rPr>
        <w:t>,</w:t>
      </w:r>
      <w:r w:rsidR="00336C16">
        <w:rPr>
          <w:rFonts w:ascii="Georgia" w:hAnsi="Georgia" w:cs="Georgia"/>
          <w:sz w:val="20"/>
          <w:szCs w:val="20"/>
          <w:lang w:val="lt-LT"/>
        </w:rPr>
        <w:t xml:space="preserve"> verčiančios savivaldybes skolintis. Pagrindinė priežastis – savivaldybių savarankiškų pajamų mažėjimas pastaruosius penkerius metus. Jei 2008-2009 m. savivaldybių pajamų dalis nacionaliniame biudžete sudarė 13,</w:t>
      </w:r>
      <w:r w:rsidR="005038C1">
        <w:rPr>
          <w:rFonts w:ascii="Georgia" w:hAnsi="Georgia" w:cs="Georgia"/>
          <w:sz w:val="20"/>
          <w:szCs w:val="20"/>
          <w:lang w:val="lt-LT"/>
        </w:rPr>
        <w:t xml:space="preserve">0 </w:t>
      </w:r>
      <w:r w:rsidR="00336C16">
        <w:rPr>
          <w:rFonts w:ascii="Georgia" w:hAnsi="Georgia" w:cs="Georgia"/>
          <w:sz w:val="20"/>
          <w:szCs w:val="20"/>
          <w:lang w:val="lt-LT"/>
        </w:rPr>
        <w:t>ir 15,4 procento, tai 2012-2013 m. ji sumažėjo iki 10,8 ir 11,</w:t>
      </w:r>
      <w:r w:rsidR="005038C1">
        <w:rPr>
          <w:rFonts w:ascii="Georgia" w:hAnsi="Georgia" w:cs="Georgia"/>
          <w:sz w:val="20"/>
          <w:szCs w:val="20"/>
          <w:lang w:val="lt-LT"/>
        </w:rPr>
        <w:t xml:space="preserve">2 </w:t>
      </w:r>
      <w:r w:rsidR="00336C16">
        <w:rPr>
          <w:rFonts w:ascii="Georgia" w:hAnsi="Georgia" w:cs="Georgia"/>
          <w:sz w:val="20"/>
          <w:szCs w:val="20"/>
          <w:lang w:val="lt-LT"/>
        </w:rPr>
        <w:t>procentų, nors</w:t>
      </w:r>
      <w:r w:rsidR="00D002D8">
        <w:rPr>
          <w:rFonts w:ascii="Georgia" w:hAnsi="Georgia" w:cs="Georgia"/>
          <w:sz w:val="20"/>
          <w:szCs w:val="20"/>
          <w:lang w:val="lt-LT"/>
        </w:rPr>
        <w:t xml:space="preserve">, savivaldybių asociacijos teigimu, </w:t>
      </w:r>
      <w:r w:rsidR="00336C16">
        <w:rPr>
          <w:rFonts w:ascii="Georgia" w:hAnsi="Georgia" w:cs="Georgia"/>
          <w:sz w:val="20"/>
          <w:szCs w:val="20"/>
          <w:lang w:val="lt-LT"/>
        </w:rPr>
        <w:t>savivaldybių atliekamų funkcijų apimtis bei lėšų poreikis jas įgyvendinti išaugo.</w:t>
      </w:r>
    </w:p>
    <w:p w14:paraId="700DC286" w14:textId="7E4C8D44" w:rsidR="00336C16" w:rsidRPr="002E21E7" w:rsidRDefault="00A604FC" w:rsidP="00A604FC">
      <w:pPr>
        <w:pStyle w:val="Antrat"/>
        <w:jc w:val="both"/>
        <w:rPr>
          <w:b w:val="0"/>
          <w:lang w:val="lt-LT"/>
        </w:rPr>
      </w:pPr>
      <w:bookmarkStart w:id="70" w:name="_Toc460321603"/>
      <w:r w:rsidRPr="00F52F0D">
        <w:rPr>
          <w:lang w:val="lt-LT"/>
        </w:rPr>
        <w:t xml:space="preserve">Lentelė </w:t>
      </w:r>
      <w:r w:rsidRPr="00F52F0D">
        <w:rPr>
          <w:lang w:val="lt-LT"/>
        </w:rPr>
        <w:fldChar w:fldCharType="begin"/>
      </w:r>
      <w:r w:rsidRPr="00F52F0D">
        <w:rPr>
          <w:lang w:val="lt-LT"/>
        </w:rPr>
        <w:instrText xml:space="preserve"> SEQ Lentelė \* ARABIC </w:instrText>
      </w:r>
      <w:r w:rsidRPr="00F52F0D">
        <w:rPr>
          <w:lang w:val="lt-LT"/>
        </w:rPr>
        <w:fldChar w:fldCharType="separate"/>
      </w:r>
      <w:r w:rsidR="00AA3082">
        <w:rPr>
          <w:noProof/>
          <w:lang w:val="lt-LT"/>
        </w:rPr>
        <w:t>22</w:t>
      </w:r>
      <w:r w:rsidRPr="00F52F0D">
        <w:rPr>
          <w:lang w:val="lt-LT"/>
        </w:rPr>
        <w:fldChar w:fldCharType="end"/>
      </w:r>
      <w:r w:rsidRPr="00F52F0D">
        <w:rPr>
          <w:lang w:val="lt-LT"/>
        </w:rPr>
        <w:t xml:space="preserve">. </w:t>
      </w:r>
      <w:r w:rsidR="00336C16" w:rsidRPr="00F52F0D">
        <w:rPr>
          <w:lang w:val="lt-LT"/>
        </w:rPr>
        <w:t xml:space="preserve">Savivaldybių skolinimosi padėtis </w:t>
      </w:r>
      <w:r w:rsidR="00D002D8" w:rsidRPr="00F52F0D">
        <w:rPr>
          <w:lang w:val="lt-LT"/>
        </w:rPr>
        <w:t>201</w:t>
      </w:r>
      <w:r w:rsidR="00D002D8">
        <w:rPr>
          <w:lang w:val="lt-LT"/>
        </w:rPr>
        <w:t>3</w:t>
      </w:r>
      <w:r w:rsidR="00D002D8" w:rsidRPr="00F52F0D">
        <w:rPr>
          <w:lang w:val="lt-LT"/>
        </w:rPr>
        <w:t xml:space="preserve"> </w:t>
      </w:r>
      <w:r w:rsidR="00336C16" w:rsidRPr="00F52F0D">
        <w:rPr>
          <w:lang w:val="lt-LT"/>
        </w:rPr>
        <w:t>m.</w:t>
      </w:r>
      <w:bookmarkEnd w:id="70"/>
    </w:p>
    <w:tbl>
      <w:tblPr>
        <w:tblStyle w:val="1vidutinisspalvinimas2parykinimas"/>
        <w:tblW w:w="5000" w:type="pct"/>
        <w:tblLook w:val="0620" w:firstRow="1" w:lastRow="0" w:firstColumn="0" w:lastColumn="0" w:noHBand="1" w:noVBand="1"/>
      </w:tblPr>
      <w:tblGrid>
        <w:gridCol w:w="1302"/>
        <w:gridCol w:w="1322"/>
        <w:gridCol w:w="3018"/>
        <w:gridCol w:w="1750"/>
        <w:gridCol w:w="996"/>
        <w:gridCol w:w="854"/>
      </w:tblGrid>
      <w:tr w:rsidR="00287BC0" w:rsidRPr="00A7415B" w14:paraId="7929B231" w14:textId="77777777" w:rsidTr="000A566C">
        <w:trPr>
          <w:cnfStyle w:val="100000000000" w:firstRow="1" w:lastRow="0" w:firstColumn="0" w:lastColumn="0" w:oddVBand="0" w:evenVBand="0" w:oddHBand="0" w:evenHBand="0" w:firstRowFirstColumn="0" w:firstRowLastColumn="0" w:lastRowFirstColumn="0" w:lastRowLastColumn="0"/>
          <w:tblHeader/>
        </w:trPr>
        <w:tc>
          <w:tcPr>
            <w:tcW w:w="704" w:type="pct"/>
            <w:hideMark/>
          </w:tcPr>
          <w:p w14:paraId="5AEC7900" w14:textId="77777777" w:rsidR="00336C16" w:rsidRPr="00A7415B" w:rsidRDefault="00B07C81" w:rsidP="00F52F0D">
            <w:pPr>
              <w:ind w:left="17"/>
              <w:contextualSpacing/>
              <w:jc w:val="center"/>
              <w:rPr>
                <w:rFonts w:ascii="Georgia" w:hAnsi="Georgia"/>
                <w:sz w:val="20"/>
                <w:szCs w:val="20"/>
                <w:lang w:val="lt-LT"/>
              </w:rPr>
            </w:pPr>
            <w:r w:rsidRPr="00A7415B">
              <w:rPr>
                <w:rFonts w:ascii="Georgia" w:hAnsi="Georgia"/>
                <w:sz w:val="20"/>
                <w:szCs w:val="20"/>
                <w:lang w:val="lt-LT"/>
              </w:rPr>
              <w:t>Miestas</w:t>
            </w:r>
          </w:p>
        </w:tc>
        <w:tc>
          <w:tcPr>
            <w:tcW w:w="715" w:type="pct"/>
            <w:hideMark/>
          </w:tcPr>
          <w:p w14:paraId="3CEAEB9D" w14:textId="77777777" w:rsidR="00336C16" w:rsidRPr="00A7415B" w:rsidRDefault="00336C16" w:rsidP="00AE1EF0">
            <w:pPr>
              <w:ind w:left="17"/>
              <w:contextualSpacing/>
              <w:jc w:val="center"/>
              <w:rPr>
                <w:rFonts w:ascii="Georgia" w:hAnsi="Georgia"/>
                <w:sz w:val="20"/>
                <w:szCs w:val="20"/>
                <w:lang w:val="lt-LT"/>
              </w:rPr>
            </w:pPr>
            <w:r w:rsidRPr="00A7415B">
              <w:rPr>
                <w:rFonts w:ascii="Georgia" w:hAnsi="Georgia"/>
                <w:sz w:val="20"/>
                <w:szCs w:val="20"/>
                <w:lang w:val="lt-LT"/>
              </w:rPr>
              <w:t>Skol</w:t>
            </w:r>
            <w:r w:rsidR="00AE1EF0" w:rsidRPr="00A7415B">
              <w:rPr>
                <w:rFonts w:ascii="Georgia" w:hAnsi="Georgia"/>
                <w:sz w:val="20"/>
                <w:szCs w:val="20"/>
                <w:lang w:val="lt-LT"/>
              </w:rPr>
              <w:t>os riba</w:t>
            </w:r>
            <w:r w:rsidRPr="00A7415B">
              <w:rPr>
                <w:rFonts w:ascii="Georgia" w:hAnsi="Georgia"/>
                <w:sz w:val="20"/>
                <w:szCs w:val="20"/>
                <w:lang w:val="lt-LT"/>
              </w:rPr>
              <w:t xml:space="preserve"> proc.</w:t>
            </w:r>
          </w:p>
        </w:tc>
        <w:tc>
          <w:tcPr>
            <w:tcW w:w="1633" w:type="pct"/>
            <w:hideMark/>
          </w:tcPr>
          <w:p w14:paraId="1B5DAE1E" w14:textId="77777777" w:rsidR="00336C16" w:rsidRPr="00A7415B" w:rsidRDefault="00336C16" w:rsidP="00F52F0D">
            <w:pPr>
              <w:ind w:left="17"/>
              <w:contextualSpacing/>
              <w:jc w:val="center"/>
              <w:rPr>
                <w:rFonts w:ascii="Georgia" w:hAnsi="Georgia"/>
                <w:sz w:val="20"/>
                <w:szCs w:val="20"/>
                <w:lang w:val="lt-LT"/>
              </w:rPr>
            </w:pPr>
            <w:r w:rsidRPr="00A7415B">
              <w:rPr>
                <w:rFonts w:ascii="Georgia" w:hAnsi="Georgia"/>
                <w:sz w:val="20"/>
                <w:szCs w:val="20"/>
                <w:lang w:val="lt-LT"/>
              </w:rPr>
              <w:t>Skolos suma</w:t>
            </w:r>
            <w:r w:rsidR="00B07C81" w:rsidRPr="00A7415B">
              <w:rPr>
                <w:rFonts w:ascii="Georgia" w:hAnsi="Georgia"/>
                <w:sz w:val="20"/>
                <w:szCs w:val="20"/>
                <w:lang w:val="lt-LT"/>
              </w:rPr>
              <w:t xml:space="preserve"> tūkst. EUR (tūkst. Lt)</w:t>
            </w:r>
          </w:p>
        </w:tc>
        <w:tc>
          <w:tcPr>
            <w:tcW w:w="947" w:type="pct"/>
            <w:hideMark/>
          </w:tcPr>
          <w:p w14:paraId="73ED84B2" w14:textId="77777777" w:rsidR="00336C16" w:rsidRPr="00A7415B" w:rsidRDefault="00336C16" w:rsidP="00F52F0D">
            <w:pPr>
              <w:ind w:left="17"/>
              <w:contextualSpacing/>
              <w:jc w:val="center"/>
              <w:rPr>
                <w:rFonts w:ascii="Georgia" w:hAnsi="Georgia"/>
                <w:sz w:val="20"/>
                <w:szCs w:val="20"/>
                <w:lang w:val="lt-LT"/>
              </w:rPr>
            </w:pPr>
            <w:r w:rsidRPr="00A7415B">
              <w:rPr>
                <w:rFonts w:ascii="Georgia" w:hAnsi="Georgia"/>
                <w:sz w:val="20"/>
                <w:szCs w:val="20"/>
                <w:lang w:val="lt-LT"/>
              </w:rPr>
              <w:t>Esama padėtis</w:t>
            </w:r>
          </w:p>
        </w:tc>
        <w:tc>
          <w:tcPr>
            <w:tcW w:w="539" w:type="pct"/>
            <w:hideMark/>
          </w:tcPr>
          <w:p w14:paraId="7A088BA9" w14:textId="77777777" w:rsidR="00336C16" w:rsidRPr="00A7415B" w:rsidRDefault="00336C16" w:rsidP="00F52F0D">
            <w:pPr>
              <w:ind w:left="17"/>
              <w:contextualSpacing/>
              <w:jc w:val="center"/>
              <w:rPr>
                <w:rFonts w:ascii="Georgia" w:hAnsi="Georgia"/>
                <w:sz w:val="20"/>
                <w:szCs w:val="20"/>
                <w:lang w:val="lt-LT"/>
              </w:rPr>
            </w:pPr>
            <w:r w:rsidRPr="00A7415B">
              <w:rPr>
                <w:rFonts w:ascii="Georgia" w:hAnsi="Georgia"/>
                <w:sz w:val="20"/>
                <w:szCs w:val="20"/>
                <w:lang w:val="lt-LT"/>
              </w:rPr>
              <w:t>Proc.</w:t>
            </w:r>
          </w:p>
        </w:tc>
        <w:tc>
          <w:tcPr>
            <w:tcW w:w="462" w:type="pct"/>
            <w:hideMark/>
          </w:tcPr>
          <w:p w14:paraId="34E2BAEC" w14:textId="77777777" w:rsidR="00336C16" w:rsidRPr="00A7415B" w:rsidRDefault="00336C16" w:rsidP="00F52F0D">
            <w:pPr>
              <w:ind w:left="17"/>
              <w:contextualSpacing/>
              <w:jc w:val="center"/>
              <w:rPr>
                <w:rFonts w:ascii="Georgia" w:hAnsi="Georgia"/>
                <w:sz w:val="20"/>
                <w:szCs w:val="20"/>
                <w:lang w:val="lt-LT"/>
              </w:rPr>
            </w:pPr>
            <w:r w:rsidRPr="00A7415B">
              <w:rPr>
                <w:rFonts w:ascii="Georgia" w:hAnsi="Georgia"/>
                <w:sz w:val="20"/>
                <w:szCs w:val="20"/>
                <w:lang w:val="lt-LT"/>
              </w:rPr>
              <w:t>ES</w:t>
            </w:r>
          </w:p>
        </w:tc>
      </w:tr>
      <w:tr w:rsidR="00287BC0" w:rsidRPr="00B07C81" w14:paraId="19C3D946" w14:textId="77777777" w:rsidTr="000A566C">
        <w:tc>
          <w:tcPr>
            <w:tcW w:w="704" w:type="pct"/>
            <w:hideMark/>
          </w:tcPr>
          <w:p w14:paraId="4FA6066C" w14:textId="77777777" w:rsidR="00336C16" w:rsidRPr="00B07C81" w:rsidRDefault="00336C16">
            <w:pPr>
              <w:ind w:left="17"/>
              <w:contextualSpacing/>
              <w:jc w:val="center"/>
              <w:rPr>
                <w:rFonts w:ascii="Georgia" w:hAnsi="Georgia"/>
                <w:sz w:val="20"/>
                <w:szCs w:val="20"/>
                <w:lang w:val="lt-LT"/>
              </w:rPr>
            </w:pPr>
            <w:r w:rsidRPr="00B07C81">
              <w:rPr>
                <w:rFonts w:ascii="Georgia" w:hAnsi="Georgia"/>
                <w:sz w:val="20"/>
                <w:szCs w:val="20"/>
                <w:lang w:val="lt-LT"/>
              </w:rPr>
              <w:t>Vilnius</w:t>
            </w:r>
          </w:p>
        </w:tc>
        <w:tc>
          <w:tcPr>
            <w:tcW w:w="715" w:type="pct"/>
            <w:hideMark/>
          </w:tcPr>
          <w:p w14:paraId="2F514A8E" w14:textId="77777777" w:rsidR="00336C16" w:rsidRPr="00B07C81" w:rsidRDefault="00336C16" w:rsidP="002E21E7">
            <w:pPr>
              <w:ind w:left="17"/>
              <w:contextualSpacing/>
              <w:jc w:val="center"/>
              <w:rPr>
                <w:rFonts w:ascii="Georgia" w:hAnsi="Georgia"/>
                <w:sz w:val="20"/>
                <w:szCs w:val="20"/>
                <w:lang w:val="lt-LT"/>
              </w:rPr>
            </w:pPr>
            <w:r w:rsidRPr="00B07C81">
              <w:rPr>
                <w:rFonts w:ascii="Georgia" w:hAnsi="Georgia"/>
                <w:sz w:val="20"/>
                <w:szCs w:val="20"/>
                <w:lang w:val="lt-LT"/>
              </w:rPr>
              <w:t>135%</w:t>
            </w:r>
          </w:p>
        </w:tc>
        <w:tc>
          <w:tcPr>
            <w:tcW w:w="1633" w:type="pct"/>
            <w:hideMark/>
          </w:tcPr>
          <w:p w14:paraId="5CA603F3" w14:textId="77777777" w:rsidR="00336C16" w:rsidRPr="00B07C81" w:rsidRDefault="00336C16" w:rsidP="00860402">
            <w:pPr>
              <w:ind w:left="17"/>
              <w:contextualSpacing/>
              <w:jc w:val="center"/>
              <w:rPr>
                <w:rFonts w:ascii="Georgia" w:hAnsi="Georgia"/>
                <w:sz w:val="20"/>
                <w:szCs w:val="20"/>
                <w:lang w:val="lt-LT"/>
              </w:rPr>
            </w:pPr>
            <w:r w:rsidRPr="00B07C81">
              <w:rPr>
                <w:rFonts w:ascii="Georgia" w:hAnsi="Georgia"/>
                <w:sz w:val="20"/>
                <w:szCs w:val="20"/>
                <w:lang w:val="lt-LT"/>
              </w:rPr>
              <w:t>194</w:t>
            </w:r>
            <w:r w:rsidR="00B07C81" w:rsidRPr="00B07C81">
              <w:rPr>
                <w:rFonts w:ascii="Georgia" w:hAnsi="Georgia"/>
                <w:sz w:val="20"/>
                <w:szCs w:val="20"/>
                <w:lang w:val="lt-LT"/>
              </w:rPr>
              <w:t>,</w:t>
            </w:r>
            <w:r w:rsidRPr="00B07C81">
              <w:rPr>
                <w:rFonts w:ascii="Georgia" w:hAnsi="Georgia"/>
                <w:sz w:val="20"/>
                <w:szCs w:val="20"/>
                <w:lang w:val="lt-LT"/>
              </w:rPr>
              <w:t>3</w:t>
            </w:r>
            <w:r w:rsidR="00B07C81" w:rsidRPr="00B07C81">
              <w:rPr>
                <w:rFonts w:ascii="Georgia" w:hAnsi="Georgia"/>
                <w:sz w:val="20"/>
                <w:szCs w:val="20"/>
                <w:lang w:val="lt-LT"/>
              </w:rPr>
              <w:t xml:space="preserve"> </w:t>
            </w:r>
            <w:r w:rsidRPr="00B07C81">
              <w:rPr>
                <w:rFonts w:ascii="Georgia" w:hAnsi="Georgia"/>
                <w:sz w:val="20"/>
                <w:szCs w:val="20"/>
                <w:lang w:val="lt-LT"/>
              </w:rPr>
              <w:t>(670</w:t>
            </w:r>
            <w:r w:rsidR="00860402">
              <w:rPr>
                <w:rFonts w:ascii="Georgia" w:hAnsi="Georgia"/>
                <w:sz w:val="20"/>
                <w:szCs w:val="20"/>
                <w:lang w:val="lt-LT"/>
              </w:rPr>
              <w:t>,</w:t>
            </w:r>
            <w:r w:rsidRPr="00B07C81">
              <w:rPr>
                <w:rFonts w:ascii="Georgia" w:hAnsi="Georgia"/>
                <w:sz w:val="20"/>
                <w:szCs w:val="20"/>
                <w:lang w:val="lt-LT"/>
              </w:rPr>
              <w:t>9</w:t>
            </w:r>
            <w:r w:rsidR="00B07C81" w:rsidRPr="00B07C81">
              <w:rPr>
                <w:rFonts w:ascii="Georgia" w:hAnsi="Georgia"/>
                <w:sz w:val="20"/>
                <w:szCs w:val="20"/>
                <w:lang w:val="lt-LT"/>
              </w:rPr>
              <w:t>)</w:t>
            </w:r>
          </w:p>
        </w:tc>
        <w:tc>
          <w:tcPr>
            <w:tcW w:w="947" w:type="pct"/>
            <w:hideMark/>
          </w:tcPr>
          <w:p w14:paraId="67F25D5D" w14:textId="77777777" w:rsidR="00336C16" w:rsidRPr="00B07C81" w:rsidRDefault="00336C16" w:rsidP="002E21E7">
            <w:pPr>
              <w:ind w:left="17"/>
              <w:contextualSpacing/>
              <w:jc w:val="center"/>
              <w:rPr>
                <w:rFonts w:ascii="Georgia" w:hAnsi="Georgia"/>
                <w:sz w:val="20"/>
                <w:szCs w:val="20"/>
                <w:lang w:val="lt-LT"/>
              </w:rPr>
            </w:pPr>
            <w:r w:rsidRPr="00B07C81">
              <w:rPr>
                <w:rFonts w:ascii="Georgia" w:hAnsi="Georgia"/>
                <w:sz w:val="20"/>
                <w:szCs w:val="20"/>
                <w:lang w:val="lt-LT"/>
              </w:rPr>
              <w:t>261</w:t>
            </w:r>
            <w:r w:rsidR="00B07C81" w:rsidRPr="00B07C81">
              <w:rPr>
                <w:rFonts w:ascii="Georgia" w:hAnsi="Georgia"/>
                <w:sz w:val="20"/>
                <w:szCs w:val="20"/>
                <w:lang w:val="lt-LT"/>
              </w:rPr>
              <w:t>,4</w:t>
            </w:r>
            <w:r w:rsidRPr="00B07C81">
              <w:rPr>
                <w:rFonts w:ascii="Georgia" w:hAnsi="Georgia"/>
                <w:sz w:val="20"/>
                <w:szCs w:val="20"/>
                <w:lang w:val="lt-LT"/>
              </w:rPr>
              <w:t xml:space="preserve"> (902</w:t>
            </w:r>
            <w:r w:rsidR="00B07C81" w:rsidRPr="00B07C81">
              <w:rPr>
                <w:rFonts w:ascii="Georgia" w:hAnsi="Georgia"/>
                <w:sz w:val="20"/>
                <w:szCs w:val="20"/>
                <w:lang w:val="lt-LT"/>
              </w:rPr>
              <w:t>,5</w:t>
            </w:r>
            <w:r w:rsidRPr="00B07C81">
              <w:rPr>
                <w:rFonts w:ascii="Georgia" w:hAnsi="Georgia"/>
                <w:sz w:val="20"/>
                <w:szCs w:val="20"/>
                <w:lang w:val="lt-LT"/>
              </w:rPr>
              <w:t>)</w:t>
            </w:r>
          </w:p>
        </w:tc>
        <w:tc>
          <w:tcPr>
            <w:tcW w:w="539" w:type="pct"/>
            <w:hideMark/>
          </w:tcPr>
          <w:p w14:paraId="57F49BB0" w14:textId="77777777" w:rsidR="00336C16" w:rsidRPr="00B07C81" w:rsidRDefault="00336C16" w:rsidP="00612BE4">
            <w:pPr>
              <w:ind w:left="17"/>
              <w:contextualSpacing/>
              <w:jc w:val="center"/>
              <w:rPr>
                <w:rFonts w:ascii="Georgia" w:hAnsi="Georgia"/>
                <w:sz w:val="20"/>
                <w:szCs w:val="20"/>
                <w:lang w:val="lt-LT"/>
              </w:rPr>
            </w:pPr>
            <w:r w:rsidRPr="00B07C81">
              <w:rPr>
                <w:rFonts w:ascii="Georgia" w:hAnsi="Georgia"/>
                <w:sz w:val="20"/>
                <w:szCs w:val="20"/>
                <w:lang w:val="lt-LT"/>
              </w:rPr>
              <w:t>134,5%</w:t>
            </w:r>
          </w:p>
        </w:tc>
        <w:tc>
          <w:tcPr>
            <w:tcW w:w="462" w:type="pct"/>
            <w:hideMark/>
          </w:tcPr>
          <w:p w14:paraId="5E05A626" w14:textId="77777777" w:rsidR="00336C16" w:rsidRPr="00B07C81" w:rsidRDefault="00336C16" w:rsidP="00612BE4">
            <w:pPr>
              <w:ind w:left="17"/>
              <w:contextualSpacing/>
              <w:jc w:val="center"/>
              <w:rPr>
                <w:rFonts w:ascii="Georgia" w:hAnsi="Georgia"/>
                <w:sz w:val="20"/>
                <w:szCs w:val="20"/>
                <w:lang w:val="lt-LT"/>
              </w:rPr>
            </w:pPr>
            <w:r w:rsidRPr="00B07C81">
              <w:rPr>
                <w:rFonts w:ascii="Georgia" w:hAnsi="Georgia"/>
                <w:sz w:val="20"/>
                <w:szCs w:val="20"/>
                <w:lang w:val="lt-LT"/>
              </w:rPr>
              <w:t>50</w:t>
            </w:r>
            <w:r w:rsidR="00B07C81" w:rsidRPr="00B07C81" w:rsidDel="00B07C81">
              <w:rPr>
                <w:rFonts w:ascii="Georgia" w:hAnsi="Georgia"/>
                <w:sz w:val="20"/>
                <w:szCs w:val="20"/>
                <w:lang w:val="lt-LT"/>
              </w:rPr>
              <w:t xml:space="preserve"> </w:t>
            </w:r>
            <w:r w:rsidRPr="00B07C81">
              <w:rPr>
                <w:rFonts w:ascii="Georgia" w:hAnsi="Georgia"/>
                <w:sz w:val="20"/>
                <w:szCs w:val="20"/>
                <w:lang w:val="lt-LT"/>
              </w:rPr>
              <w:t>%</w:t>
            </w:r>
          </w:p>
        </w:tc>
      </w:tr>
      <w:tr w:rsidR="00287BC0" w:rsidRPr="00B07C81" w14:paraId="2F5C9254" w14:textId="77777777" w:rsidTr="000A566C">
        <w:tc>
          <w:tcPr>
            <w:tcW w:w="704" w:type="pct"/>
            <w:hideMark/>
          </w:tcPr>
          <w:p w14:paraId="09730143" w14:textId="77777777" w:rsidR="00336C16" w:rsidRPr="002E21E7" w:rsidRDefault="00336C16">
            <w:pPr>
              <w:ind w:left="17"/>
              <w:contextualSpacing/>
              <w:jc w:val="center"/>
              <w:rPr>
                <w:rFonts w:ascii="Georgia" w:hAnsi="Georgia"/>
                <w:sz w:val="20"/>
                <w:szCs w:val="20"/>
                <w:lang w:val="lt-LT"/>
              </w:rPr>
            </w:pPr>
            <w:r w:rsidRPr="002E21E7">
              <w:rPr>
                <w:rFonts w:ascii="Georgia" w:hAnsi="Georgia"/>
                <w:sz w:val="20"/>
                <w:szCs w:val="20"/>
                <w:lang w:val="lt-LT"/>
              </w:rPr>
              <w:t>Kaunas</w:t>
            </w:r>
          </w:p>
        </w:tc>
        <w:tc>
          <w:tcPr>
            <w:tcW w:w="715" w:type="pct"/>
            <w:hideMark/>
          </w:tcPr>
          <w:p w14:paraId="1C042EF9" w14:textId="77777777" w:rsidR="00336C16" w:rsidRPr="002E21E7" w:rsidRDefault="00336C16" w:rsidP="002E21E7">
            <w:pPr>
              <w:ind w:left="17"/>
              <w:contextualSpacing/>
              <w:jc w:val="center"/>
              <w:rPr>
                <w:rFonts w:ascii="Georgia" w:hAnsi="Georgia"/>
                <w:sz w:val="20"/>
                <w:szCs w:val="20"/>
                <w:lang w:val="lt-LT"/>
              </w:rPr>
            </w:pPr>
            <w:r w:rsidRPr="002E21E7">
              <w:rPr>
                <w:rFonts w:ascii="Georgia" w:hAnsi="Georgia"/>
                <w:sz w:val="20"/>
                <w:szCs w:val="20"/>
                <w:lang w:val="lt-LT"/>
              </w:rPr>
              <w:t>70%</w:t>
            </w:r>
          </w:p>
        </w:tc>
        <w:tc>
          <w:tcPr>
            <w:tcW w:w="1633" w:type="pct"/>
            <w:hideMark/>
          </w:tcPr>
          <w:p w14:paraId="678AD2CF" w14:textId="77777777" w:rsidR="00336C16" w:rsidRPr="001E4B4F" w:rsidRDefault="00336C16" w:rsidP="00612BE4">
            <w:pPr>
              <w:ind w:left="17"/>
              <w:contextualSpacing/>
              <w:jc w:val="center"/>
              <w:rPr>
                <w:rFonts w:ascii="Georgia" w:hAnsi="Georgia"/>
                <w:sz w:val="20"/>
                <w:szCs w:val="20"/>
                <w:lang w:val="lt-LT"/>
              </w:rPr>
            </w:pPr>
            <w:r w:rsidRPr="00612BE4">
              <w:rPr>
                <w:rFonts w:ascii="Georgia" w:hAnsi="Georgia"/>
                <w:sz w:val="20"/>
                <w:szCs w:val="20"/>
                <w:lang w:val="lt-LT"/>
              </w:rPr>
              <w:t>130</w:t>
            </w:r>
            <w:r w:rsidR="00B07C81" w:rsidRPr="00EC5CFD">
              <w:rPr>
                <w:rFonts w:ascii="Georgia" w:hAnsi="Georgia"/>
                <w:sz w:val="20"/>
                <w:szCs w:val="20"/>
                <w:lang w:val="lt-LT"/>
              </w:rPr>
              <w:t>,</w:t>
            </w:r>
            <w:r w:rsidR="00B07C81" w:rsidRPr="006C0CDA">
              <w:rPr>
                <w:rFonts w:ascii="Georgia" w:hAnsi="Georgia"/>
                <w:sz w:val="20"/>
                <w:szCs w:val="20"/>
                <w:lang w:val="lt-LT"/>
              </w:rPr>
              <w:t>9</w:t>
            </w:r>
            <w:r w:rsidRPr="00210E9F">
              <w:rPr>
                <w:rFonts w:ascii="Georgia" w:hAnsi="Georgia"/>
                <w:sz w:val="20"/>
                <w:szCs w:val="20"/>
                <w:lang w:val="lt-LT"/>
              </w:rPr>
              <w:t xml:space="preserve"> (451</w:t>
            </w:r>
            <w:r w:rsidR="00B07C81" w:rsidRPr="00C27241">
              <w:rPr>
                <w:rFonts w:ascii="Georgia" w:hAnsi="Georgia"/>
                <w:sz w:val="20"/>
                <w:szCs w:val="20"/>
                <w:lang w:val="lt-LT"/>
              </w:rPr>
              <w:t>,</w:t>
            </w:r>
            <w:r w:rsidRPr="00C27241">
              <w:rPr>
                <w:rFonts w:ascii="Georgia" w:hAnsi="Georgia"/>
                <w:sz w:val="20"/>
                <w:szCs w:val="20"/>
                <w:lang w:val="lt-LT"/>
              </w:rPr>
              <w:t>9</w:t>
            </w:r>
            <w:r w:rsidRPr="001E4B4F">
              <w:rPr>
                <w:rFonts w:ascii="Georgia" w:hAnsi="Georgia"/>
                <w:sz w:val="20"/>
                <w:szCs w:val="20"/>
                <w:lang w:val="lt-LT"/>
              </w:rPr>
              <w:t>)</w:t>
            </w:r>
          </w:p>
        </w:tc>
        <w:tc>
          <w:tcPr>
            <w:tcW w:w="947" w:type="pct"/>
            <w:hideMark/>
          </w:tcPr>
          <w:p w14:paraId="53C62C8F" w14:textId="77777777" w:rsidR="00336C16" w:rsidRPr="001C5DEC" w:rsidRDefault="00336C16" w:rsidP="00612BE4">
            <w:pPr>
              <w:ind w:left="17"/>
              <w:contextualSpacing/>
              <w:jc w:val="center"/>
              <w:rPr>
                <w:rFonts w:ascii="Georgia" w:hAnsi="Georgia"/>
                <w:sz w:val="20"/>
                <w:szCs w:val="20"/>
                <w:lang w:val="lt-LT"/>
              </w:rPr>
            </w:pPr>
            <w:r w:rsidRPr="009D6C03">
              <w:rPr>
                <w:rFonts w:ascii="Georgia" w:hAnsi="Georgia"/>
                <w:sz w:val="20"/>
                <w:szCs w:val="20"/>
                <w:lang w:val="lt-LT"/>
              </w:rPr>
              <w:t>45</w:t>
            </w:r>
            <w:r w:rsidR="00B07C81" w:rsidRPr="005038C1">
              <w:rPr>
                <w:rFonts w:ascii="Georgia" w:hAnsi="Georgia"/>
                <w:sz w:val="20"/>
                <w:szCs w:val="20"/>
                <w:lang w:val="lt-LT"/>
              </w:rPr>
              <w:t>,3</w:t>
            </w:r>
            <w:r w:rsidRPr="005038C1">
              <w:rPr>
                <w:rFonts w:ascii="Georgia" w:hAnsi="Georgia"/>
                <w:sz w:val="20"/>
                <w:szCs w:val="20"/>
                <w:lang w:val="lt-LT"/>
              </w:rPr>
              <w:t xml:space="preserve"> (156</w:t>
            </w:r>
            <w:r w:rsidR="00B07C81" w:rsidRPr="00F214B9">
              <w:rPr>
                <w:rFonts w:ascii="Georgia" w:hAnsi="Georgia"/>
                <w:sz w:val="20"/>
                <w:szCs w:val="20"/>
                <w:lang w:val="lt-LT"/>
              </w:rPr>
              <w:t>,</w:t>
            </w:r>
            <w:r w:rsidR="00B07C81" w:rsidRPr="00434148">
              <w:rPr>
                <w:rFonts w:ascii="Georgia" w:hAnsi="Georgia"/>
                <w:sz w:val="20"/>
                <w:szCs w:val="20"/>
                <w:lang w:val="lt-LT"/>
              </w:rPr>
              <w:t>4</w:t>
            </w:r>
            <w:r w:rsidRPr="001C5DEC">
              <w:rPr>
                <w:rFonts w:ascii="Georgia" w:hAnsi="Georgia"/>
                <w:sz w:val="20"/>
                <w:szCs w:val="20"/>
                <w:lang w:val="lt-LT"/>
              </w:rPr>
              <w:t>)</w:t>
            </w:r>
          </w:p>
        </w:tc>
        <w:tc>
          <w:tcPr>
            <w:tcW w:w="539" w:type="pct"/>
            <w:hideMark/>
          </w:tcPr>
          <w:p w14:paraId="74A85039" w14:textId="77777777" w:rsidR="00336C16" w:rsidRPr="00B07C81" w:rsidRDefault="00336C16" w:rsidP="00EC5CFD">
            <w:pPr>
              <w:ind w:left="17"/>
              <w:contextualSpacing/>
              <w:jc w:val="center"/>
              <w:rPr>
                <w:rFonts w:ascii="Georgia" w:hAnsi="Georgia"/>
                <w:sz w:val="20"/>
                <w:szCs w:val="20"/>
                <w:lang w:val="lt-LT"/>
              </w:rPr>
            </w:pPr>
            <w:r w:rsidRPr="00B07C81">
              <w:rPr>
                <w:rFonts w:ascii="Georgia" w:hAnsi="Georgia"/>
                <w:sz w:val="20"/>
                <w:szCs w:val="20"/>
                <w:lang w:val="lt-LT"/>
              </w:rPr>
              <w:t>34,6%</w:t>
            </w:r>
          </w:p>
        </w:tc>
        <w:tc>
          <w:tcPr>
            <w:tcW w:w="462" w:type="pct"/>
            <w:hideMark/>
          </w:tcPr>
          <w:p w14:paraId="781A9895" w14:textId="77777777" w:rsidR="00336C16" w:rsidRPr="00B07C81" w:rsidRDefault="00336C16" w:rsidP="00765F40">
            <w:pPr>
              <w:ind w:left="17"/>
              <w:contextualSpacing/>
              <w:jc w:val="center"/>
              <w:rPr>
                <w:rFonts w:ascii="Georgia" w:hAnsi="Georgia"/>
                <w:sz w:val="20"/>
                <w:szCs w:val="20"/>
                <w:lang w:val="lt-LT"/>
              </w:rPr>
            </w:pPr>
            <w:r w:rsidRPr="00B07C81">
              <w:rPr>
                <w:rFonts w:ascii="Georgia" w:hAnsi="Georgia"/>
                <w:sz w:val="20"/>
                <w:szCs w:val="20"/>
                <w:lang w:val="lt-LT"/>
              </w:rPr>
              <w:t>50%</w:t>
            </w:r>
          </w:p>
        </w:tc>
      </w:tr>
      <w:tr w:rsidR="00287BC0" w:rsidRPr="00B07C81" w14:paraId="0350B563" w14:textId="77777777" w:rsidTr="000A566C">
        <w:tc>
          <w:tcPr>
            <w:tcW w:w="704" w:type="pct"/>
            <w:hideMark/>
          </w:tcPr>
          <w:p w14:paraId="0D666048" w14:textId="77777777" w:rsidR="00336C16" w:rsidRPr="002E21E7" w:rsidRDefault="00336C16">
            <w:pPr>
              <w:ind w:left="17"/>
              <w:contextualSpacing/>
              <w:jc w:val="center"/>
              <w:rPr>
                <w:rFonts w:ascii="Georgia" w:hAnsi="Georgia"/>
                <w:sz w:val="20"/>
                <w:szCs w:val="20"/>
                <w:lang w:val="lt-LT"/>
              </w:rPr>
            </w:pPr>
            <w:r w:rsidRPr="002E21E7">
              <w:rPr>
                <w:rFonts w:ascii="Georgia" w:hAnsi="Georgia"/>
                <w:sz w:val="20"/>
                <w:szCs w:val="20"/>
                <w:lang w:val="lt-LT"/>
              </w:rPr>
              <w:t>Klaipėda</w:t>
            </w:r>
          </w:p>
        </w:tc>
        <w:tc>
          <w:tcPr>
            <w:tcW w:w="715" w:type="pct"/>
            <w:hideMark/>
          </w:tcPr>
          <w:p w14:paraId="2B8873BD" w14:textId="77777777" w:rsidR="00336C16" w:rsidRPr="002E21E7" w:rsidRDefault="00336C16" w:rsidP="002E21E7">
            <w:pPr>
              <w:ind w:left="17"/>
              <w:contextualSpacing/>
              <w:jc w:val="center"/>
              <w:rPr>
                <w:rFonts w:ascii="Georgia" w:hAnsi="Georgia"/>
                <w:sz w:val="20"/>
                <w:szCs w:val="20"/>
                <w:lang w:val="lt-LT"/>
              </w:rPr>
            </w:pPr>
            <w:r w:rsidRPr="002E21E7">
              <w:rPr>
                <w:rFonts w:ascii="Georgia" w:hAnsi="Georgia"/>
                <w:sz w:val="20"/>
                <w:szCs w:val="20"/>
                <w:lang w:val="lt-LT"/>
              </w:rPr>
              <w:t>70%</w:t>
            </w:r>
          </w:p>
        </w:tc>
        <w:tc>
          <w:tcPr>
            <w:tcW w:w="1633" w:type="pct"/>
            <w:hideMark/>
          </w:tcPr>
          <w:p w14:paraId="2CCCDB60" w14:textId="77777777" w:rsidR="00336C16" w:rsidRPr="005038C1" w:rsidRDefault="00336C16" w:rsidP="00612BE4">
            <w:pPr>
              <w:ind w:left="17"/>
              <w:contextualSpacing/>
              <w:jc w:val="center"/>
              <w:rPr>
                <w:rFonts w:ascii="Georgia" w:hAnsi="Georgia"/>
                <w:sz w:val="20"/>
                <w:szCs w:val="20"/>
                <w:lang w:val="lt-LT"/>
              </w:rPr>
            </w:pPr>
            <w:r w:rsidRPr="00612BE4">
              <w:rPr>
                <w:rFonts w:ascii="Georgia" w:hAnsi="Georgia"/>
                <w:sz w:val="20"/>
                <w:szCs w:val="20"/>
                <w:lang w:val="lt-LT"/>
              </w:rPr>
              <w:t>61</w:t>
            </w:r>
            <w:r w:rsidR="00B07C81" w:rsidRPr="00612BE4">
              <w:rPr>
                <w:rFonts w:ascii="Georgia" w:hAnsi="Georgia"/>
                <w:sz w:val="20"/>
                <w:szCs w:val="20"/>
                <w:lang w:val="lt-LT"/>
              </w:rPr>
              <w:t>,</w:t>
            </w:r>
            <w:r w:rsidRPr="00765F40">
              <w:rPr>
                <w:rFonts w:ascii="Georgia" w:hAnsi="Georgia"/>
                <w:sz w:val="20"/>
                <w:szCs w:val="20"/>
                <w:lang w:val="lt-LT"/>
              </w:rPr>
              <w:t>8</w:t>
            </w:r>
            <w:r w:rsidRPr="00210E9F">
              <w:rPr>
                <w:rFonts w:ascii="Georgia" w:hAnsi="Georgia"/>
                <w:sz w:val="20"/>
                <w:szCs w:val="20"/>
                <w:lang w:val="lt-LT"/>
              </w:rPr>
              <w:t xml:space="preserve"> (213</w:t>
            </w:r>
            <w:r w:rsidR="00B07C81" w:rsidRPr="00C27241">
              <w:rPr>
                <w:rFonts w:ascii="Georgia" w:hAnsi="Georgia"/>
                <w:sz w:val="20"/>
                <w:szCs w:val="20"/>
                <w:lang w:val="lt-LT"/>
              </w:rPr>
              <w:t>,</w:t>
            </w:r>
            <w:r w:rsidR="00B07C81" w:rsidRPr="009D6C03">
              <w:rPr>
                <w:rFonts w:ascii="Georgia" w:hAnsi="Georgia"/>
                <w:sz w:val="20"/>
                <w:szCs w:val="20"/>
                <w:lang w:val="lt-LT"/>
              </w:rPr>
              <w:t>6</w:t>
            </w:r>
            <w:r w:rsidRPr="005038C1">
              <w:rPr>
                <w:rFonts w:ascii="Georgia" w:hAnsi="Georgia"/>
                <w:sz w:val="20"/>
                <w:szCs w:val="20"/>
                <w:lang w:val="lt-LT"/>
              </w:rPr>
              <w:t>)</w:t>
            </w:r>
          </w:p>
        </w:tc>
        <w:tc>
          <w:tcPr>
            <w:tcW w:w="947" w:type="pct"/>
            <w:hideMark/>
          </w:tcPr>
          <w:p w14:paraId="4A08B0D1" w14:textId="77777777" w:rsidR="00336C16" w:rsidRPr="00B07C81" w:rsidRDefault="00336C16" w:rsidP="00612BE4">
            <w:pPr>
              <w:ind w:left="17"/>
              <w:contextualSpacing/>
              <w:jc w:val="center"/>
              <w:rPr>
                <w:rFonts w:ascii="Georgia" w:hAnsi="Georgia"/>
                <w:sz w:val="20"/>
                <w:szCs w:val="20"/>
                <w:lang w:val="lt-LT"/>
              </w:rPr>
            </w:pPr>
            <w:r w:rsidRPr="00F214B9">
              <w:rPr>
                <w:rFonts w:ascii="Georgia" w:hAnsi="Georgia"/>
                <w:sz w:val="20"/>
                <w:szCs w:val="20"/>
                <w:lang w:val="lt-LT"/>
              </w:rPr>
              <w:t>27</w:t>
            </w:r>
            <w:r w:rsidR="00B07C81" w:rsidRPr="00434148">
              <w:rPr>
                <w:rFonts w:ascii="Georgia" w:hAnsi="Georgia"/>
                <w:sz w:val="20"/>
                <w:szCs w:val="20"/>
                <w:lang w:val="lt-LT"/>
              </w:rPr>
              <w:t>,</w:t>
            </w:r>
            <w:r w:rsidR="00B07C81" w:rsidRPr="00B07C81">
              <w:rPr>
                <w:rFonts w:ascii="Georgia" w:hAnsi="Georgia"/>
                <w:sz w:val="20"/>
                <w:szCs w:val="20"/>
                <w:lang w:val="lt-LT"/>
              </w:rPr>
              <w:t>7</w:t>
            </w:r>
            <w:r w:rsidRPr="00B07C81">
              <w:rPr>
                <w:rFonts w:ascii="Georgia" w:hAnsi="Georgia"/>
                <w:sz w:val="20"/>
                <w:szCs w:val="20"/>
                <w:lang w:val="lt-LT"/>
              </w:rPr>
              <w:t xml:space="preserve"> (95</w:t>
            </w:r>
            <w:r w:rsidR="00B07C81" w:rsidRPr="00B07C81">
              <w:rPr>
                <w:rFonts w:ascii="Georgia" w:hAnsi="Georgia"/>
                <w:sz w:val="20"/>
                <w:szCs w:val="20"/>
                <w:lang w:val="lt-LT"/>
              </w:rPr>
              <w:t>,5</w:t>
            </w:r>
            <w:r w:rsidRPr="00B07C81">
              <w:rPr>
                <w:rFonts w:ascii="Georgia" w:hAnsi="Georgia"/>
                <w:sz w:val="20"/>
                <w:szCs w:val="20"/>
                <w:lang w:val="lt-LT"/>
              </w:rPr>
              <w:t>)</w:t>
            </w:r>
          </w:p>
        </w:tc>
        <w:tc>
          <w:tcPr>
            <w:tcW w:w="539" w:type="pct"/>
            <w:hideMark/>
          </w:tcPr>
          <w:p w14:paraId="4A740B94" w14:textId="77777777" w:rsidR="00336C16" w:rsidRPr="00B07C81" w:rsidRDefault="00336C16" w:rsidP="00EC5CFD">
            <w:pPr>
              <w:ind w:left="17"/>
              <w:contextualSpacing/>
              <w:jc w:val="center"/>
              <w:rPr>
                <w:rFonts w:ascii="Georgia" w:hAnsi="Georgia"/>
                <w:sz w:val="20"/>
                <w:szCs w:val="20"/>
                <w:lang w:val="lt-LT"/>
              </w:rPr>
            </w:pPr>
            <w:r w:rsidRPr="00B07C81">
              <w:rPr>
                <w:rFonts w:ascii="Georgia" w:hAnsi="Georgia"/>
                <w:sz w:val="20"/>
                <w:szCs w:val="20"/>
                <w:lang w:val="lt-LT"/>
              </w:rPr>
              <w:t>44,7%</w:t>
            </w:r>
          </w:p>
        </w:tc>
        <w:tc>
          <w:tcPr>
            <w:tcW w:w="462" w:type="pct"/>
            <w:hideMark/>
          </w:tcPr>
          <w:p w14:paraId="60ED1BCF" w14:textId="77777777" w:rsidR="00336C16" w:rsidRPr="00B07C81" w:rsidRDefault="00336C16" w:rsidP="00765F40">
            <w:pPr>
              <w:ind w:left="17"/>
              <w:contextualSpacing/>
              <w:jc w:val="center"/>
              <w:rPr>
                <w:rFonts w:ascii="Georgia" w:hAnsi="Georgia"/>
                <w:sz w:val="20"/>
                <w:szCs w:val="20"/>
                <w:lang w:val="lt-LT"/>
              </w:rPr>
            </w:pPr>
            <w:r w:rsidRPr="00B07C81">
              <w:rPr>
                <w:rFonts w:ascii="Georgia" w:hAnsi="Georgia"/>
                <w:sz w:val="20"/>
                <w:szCs w:val="20"/>
                <w:lang w:val="lt-LT"/>
              </w:rPr>
              <w:t>40%</w:t>
            </w:r>
          </w:p>
        </w:tc>
      </w:tr>
      <w:tr w:rsidR="00287BC0" w:rsidRPr="00B07C81" w14:paraId="5326031F" w14:textId="77777777" w:rsidTr="000A566C">
        <w:tc>
          <w:tcPr>
            <w:tcW w:w="704" w:type="pct"/>
            <w:hideMark/>
          </w:tcPr>
          <w:p w14:paraId="4A4B3AA1" w14:textId="77777777" w:rsidR="00336C16" w:rsidRPr="002E21E7" w:rsidRDefault="00336C16">
            <w:pPr>
              <w:ind w:left="17"/>
              <w:contextualSpacing/>
              <w:jc w:val="center"/>
              <w:rPr>
                <w:rFonts w:ascii="Georgia" w:hAnsi="Georgia"/>
                <w:sz w:val="20"/>
                <w:szCs w:val="20"/>
                <w:lang w:val="lt-LT"/>
              </w:rPr>
            </w:pPr>
            <w:r w:rsidRPr="002E21E7">
              <w:rPr>
                <w:rFonts w:ascii="Georgia" w:hAnsi="Georgia"/>
                <w:sz w:val="20"/>
                <w:szCs w:val="20"/>
                <w:lang w:val="lt-LT"/>
              </w:rPr>
              <w:t>Šiauliai</w:t>
            </w:r>
          </w:p>
        </w:tc>
        <w:tc>
          <w:tcPr>
            <w:tcW w:w="715" w:type="pct"/>
            <w:hideMark/>
          </w:tcPr>
          <w:p w14:paraId="43151E03" w14:textId="77777777" w:rsidR="00336C16" w:rsidRPr="002E21E7" w:rsidRDefault="00336C16" w:rsidP="002E21E7">
            <w:pPr>
              <w:ind w:left="17"/>
              <w:contextualSpacing/>
              <w:jc w:val="center"/>
              <w:rPr>
                <w:rFonts w:ascii="Georgia" w:hAnsi="Georgia"/>
                <w:sz w:val="20"/>
                <w:szCs w:val="20"/>
                <w:lang w:val="lt-LT"/>
              </w:rPr>
            </w:pPr>
            <w:r w:rsidRPr="002E21E7">
              <w:rPr>
                <w:rFonts w:ascii="Georgia" w:hAnsi="Georgia"/>
                <w:sz w:val="20"/>
                <w:szCs w:val="20"/>
                <w:lang w:val="lt-LT"/>
              </w:rPr>
              <w:t>70%</w:t>
            </w:r>
          </w:p>
        </w:tc>
        <w:tc>
          <w:tcPr>
            <w:tcW w:w="1633" w:type="pct"/>
            <w:hideMark/>
          </w:tcPr>
          <w:p w14:paraId="1C2D3CAC" w14:textId="77777777" w:rsidR="00336C16" w:rsidRPr="009D6C03" w:rsidRDefault="00336C16" w:rsidP="00612BE4">
            <w:pPr>
              <w:ind w:left="17"/>
              <w:contextualSpacing/>
              <w:jc w:val="center"/>
              <w:rPr>
                <w:rFonts w:ascii="Georgia" w:hAnsi="Georgia"/>
                <w:sz w:val="20"/>
                <w:szCs w:val="20"/>
                <w:lang w:val="lt-LT"/>
              </w:rPr>
            </w:pPr>
            <w:r w:rsidRPr="00612BE4">
              <w:rPr>
                <w:rFonts w:ascii="Georgia" w:hAnsi="Georgia"/>
                <w:sz w:val="20"/>
                <w:szCs w:val="20"/>
                <w:lang w:val="lt-LT"/>
              </w:rPr>
              <w:t>38</w:t>
            </w:r>
            <w:r w:rsidR="00B07C81" w:rsidRPr="00EC5CFD">
              <w:rPr>
                <w:rFonts w:ascii="Georgia" w:hAnsi="Georgia"/>
                <w:sz w:val="20"/>
                <w:szCs w:val="20"/>
                <w:lang w:val="lt-LT"/>
              </w:rPr>
              <w:t>,</w:t>
            </w:r>
            <w:r w:rsidRPr="00765F40">
              <w:rPr>
                <w:rFonts w:ascii="Georgia" w:hAnsi="Georgia"/>
                <w:sz w:val="20"/>
                <w:szCs w:val="20"/>
                <w:lang w:val="lt-LT"/>
              </w:rPr>
              <w:t>1</w:t>
            </w:r>
            <w:r w:rsidRPr="00210E9F">
              <w:rPr>
                <w:rFonts w:ascii="Georgia" w:hAnsi="Georgia"/>
                <w:sz w:val="20"/>
                <w:szCs w:val="20"/>
                <w:lang w:val="lt-LT"/>
              </w:rPr>
              <w:t xml:space="preserve"> (131</w:t>
            </w:r>
            <w:r w:rsidR="00B07C81" w:rsidRPr="00C27241">
              <w:rPr>
                <w:rFonts w:ascii="Georgia" w:hAnsi="Georgia"/>
                <w:sz w:val="20"/>
                <w:szCs w:val="20"/>
                <w:lang w:val="lt-LT"/>
              </w:rPr>
              <w:t>,</w:t>
            </w:r>
            <w:r w:rsidR="00B07C81" w:rsidRPr="001E4B4F">
              <w:rPr>
                <w:rFonts w:ascii="Georgia" w:hAnsi="Georgia"/>
                <w:sz w:val="20"/>
                <w:szCs w:val="20"/>
                <w:lang w:val="lt-LT"/>
              </w:rPr>
              <w:t>7</w:t>
            </w:r>
            <w:r w:rsidRPr="009D6C03">
              <w:rPr>
                <w:rFonts w:ascii="Georgia" w:hAnsi="Georgia"/>
                <w:sz w:val="20"/>
                <w:szCs w:val="20"/>
                <w:lang w:val="lt-LT"/>
              </w:rPr>
              <w:t>)</w:t>
            </w:r>
          </w:p>
        </w:tc>
        <w:tc>
          <w:tcPr>
            <w:tcW w:w="947" w:type="pct"/>
            <w:hideMark/>
          </w:tcPr>
          <w:p w14:paraId="0E7D5553" w14:textId="77777777" w:rsidR="00336C16" w:rsidRPr="00B07C81" w:rsidRDefault="00336C16" w:rsidP="00860402">
            <w:pPr>
              <w:ind w:left="17"/>
              <w:contextualSpacing/>
              <w:jc w:val="center"/>
              <w:rPr>
                <w:rFonts w:ascii="Georgia" w:hAnsi="Georgia"/>
                <w:sz w:val="20"/>
                <w:szCs w:val="20"/>
                <w:lang w:val="lt-LT"/>
              </w:rPr>
            </w:pPr>
            <w:r w:rsidRPr="00F214B9">
              <w:rPr>
                <w:rFonts w:ascii="Georgia" w:hAnsi="Georgia"/>
                <w:sz w:val="20"/>
                <w:szCs w:val="20"/>
                <w:lang w:val="lt-LT"/>
              </w:rPr>
              <w:t>15</w:t>
            </w:r>
            <w:r w:rsidR="00B07C81" w:rsidRPr="00434148">
              <w:rPr>
                <w:rFonts w:ascii="Georgia" w:hAnsi="Georgia"/>
                <w:sz w:val="20"/>
                <w:szCs w:val="20"/>
                <w:lang w:val="lt-LT"/>
              </w:rPr>
              <w:t>,</w:t>
            </w:r>
            <w:r w:rsidRPr="00434148">
              <w:rPr>
                <w:rFonts w:ascii="Georgia" w:hAnsi="Georgia"/>
                <w:sz w:val="20"/>
                <w:szCs w:val="20"/>
                <w:lang w:val="lt-LT"/>
              </w:rPr>
              <w:t>4</w:t>
            </w:r>
            <w:r w:rsidRPr="00B07C81">
              <w:rPr>
                <w:rFonts w:ascii="Georgia" w:hAnsi="Georgia"/>
                <w:sz w:val="20"/>
                <w:szCs w:val="20"/>
                <w:lang w:val="lt-LT"/>
              </w:rPr>
              <w:t xml:space="preserve"> (53</w:t>
            </w:r>
            <w:r w:rsidR="00860402">
              <w:rPr>
                <w:rFonts w:ascii="Georgia" w:hAnsi="Georgia"/>
                <w:sz w:val="20"/>
                <w:szCs w:val="20"/>
                <w:lang w:val="lt-LT"/>
              </w:rPr>
              <w:t>,</w:t>
            </w:r>
            <w:r w:rsidRPr="00B07C81">
              <w:rPr>
                <w:rFonts w:ascii="Georgia" w:hAnsi="Georgia"/>
                <w:sz w:val="20"/>
                <w:szCs w:val="20"/>
                <w:lang w:val="lt-LT"/>
              </w:rPr>
              <w:t>2)</w:t>
            </w:r>
          </w:p>
        </w:tc>
        <w:tc>
          <w:tcPr>
            <w:tcW w:w="539" w:type="pct"/>
            <w:hideMark/>
          </w:tcPr>
          <w:p w14:paraId="793F0586" w14:textId="77777777" w:rsidR="00336C16" w:rsidRPr="00B07C81" w:rsidRDefault="00336C16" w:rsidP="00EC5CFD">
            <w:pPr>
              <w:ind w:left="17"/>
              <w:contextualSpacing/>
              <w:jc w:val="center"/>
              <w:rPr>
                <w:rFonts w:ascii="Georgia" w:hAnsi="Georgia"/>
                <w:sz w:val="20"/>
                <w:szCs w:val="20"/>
                <w:lang w:val="lt-LT"/>
              </w:rPr>
            </w:pPr>
            <w:r w:rsidRPr="00B07C81">
              <w:rPr>
                <w:rFonts w:ascii="Georgia" w:hAnsi="Georgia"/>
                <w:sz w:val="20"/>
                <w:szCs w:val="20"/>
                <w:lang w:val="lt-LT"/>
              </w:rPr>
              <w:t>40,4%</w:t>
            </w:r>
          </w:p>
        </w:tc>
        <w:tc>
          <w:tcPr>
            <w:tcW w:w="462" w:type="pct"/>
            <w:hideMark/>
          </w:tcPr>
          <w:p w14:paraId="01C3E49D" w14:textId="77777777" w:rsidR="00336C16" w:rsidRPr="00B07C81" w:rsidRDefault="00336C16" w:rsidP="00765F40">
            <w:pPr>
              <w:ind w:left="17"/>
              <w:contextualSpacing/>
              <w:jc w:val="center"/>
              <w:rPr>
                <w:rFonts w:ascii="Georgia" w:hAnsi="Georgia"/>
                <w:sz w:val="20"/>
                <w:szCs w:val="20"/>
                <w:lang w:val="lt-LT"/>
              </w:rPr>
            </w:pPr>
            <w:r w:rsidRPr="00B07C81">
              <w:rPr>
                <w:rFonts w:ascii="Georgia" w:hAnsi="Georgia"/>
                <w:sz w:val="20"/>
                <w:szCs w:val="20"/>
                <w:lang w:val="lt-LT"/>
              </w:rPr>
              <w:t>40%</w:t>
            </w:r>
          </w:p>
        </w:tc>
      </w:tr>
      <w:tr w:rsidR="00287BC0" w:rsidRPr="00B07C81" w14:paraId="68603AFC" w14:textId="77777777" w:rsidTr="000A566C">
        <w:tc>
          <w:tcPr>
            <w:tcW w:w="704" w:type="pct"/>
            <w:hideMark/>
          </w:tcPr>
          <w:p w14:paraId="74529CEB" w14:textId="77777777" w:rsidR="00336C16" w:rsidRPr="002E21E7" w:rsidRDefault="00336C16">
            <w:pPr>
              <w:ind w:left="17"/>
              <w:contextualSpacing/>
              <w:jc w:val="center"/>
              <w:rPr>
                <w:rFonts w:ascii="Georgia" w:hAnsi="Georgia"/>
                <w:sz w:val="20"/>
                <w:szCs w:val="20"/>
                <w:lang w:val="lt-LT"/>
              </w:rPr>
            </w:pPr>
            <w:r w:rsidRPr="002E21E7">
              <w:rPr>
                <w:rFonts w:ascii="Georgia" w:hAnsi="Georgia"/>
                <w:sz w:val="20"/>
                <w:szCs w:val="20"/>
                <w:lang w:val="lt-LT"/>
              </w:rPr>
              <w:t>Panevėžys</w:t>
            </w:r>
          </w:p>
        </w:tc>
        <w:tc>
          <w:tcPr>
            <w:tcW w:w="715" w:type="pct"/>
            <w:hideMark/>
          </w:tcPr>
          <w:p w14:paraId="205AE05B" w14:textId="77777777" w:rsidR="00336C16" w:rsidRPr="002E21E7" w:rsidRDefault="00336C16" w:rsidP="002E21E7">
            <w:pPr>
              <w:ind w:left="17"/>
              <w:contextualSpacing/>
              <w:jc w:val="center"/>
              <w:rPr>
                <w:rFonts w:ascii="Georgia" w:hAnsi="Georgia"/>
                <w:sz w:val="20"/>
                <w:szCs w:val="20"/>
                <w:lang w:val="lt-LT"/>
              </w:rPr>
            </w:pPr>
            <w:r w:rsidRPr="002E21E7">
              <w:rPr>
                <w:rFonts w:ascii="Georgia" w:hAnsi="Georgia"/>
                <w:sz w:val="20"/>
                <w:szCs w:val="20"/>
                <w:lang w:val="lt-LT"/>
              </w:rPr>
              <w:t>70%</w:t>
            </w:r>
          </w:p>
        </w:tc>
        <w:tc>
          <w:tcPr>
            <w:tcW w:w="1633" w:type="pct"/>
            <w:hideMark/>
          </w:tcPr>
          <w:p w14:paraId="595DB5A2" w14:textId="77777777" w:rsidR="00336C16" w:rsidRPr="009D6C03" w:rsidRDefault="00336C16" w:rsidP="00612BE4">
            <w:pPr>
              <w:ind w:left="17"/>
              <w:contextualSpacing/>
              <w:jc w:val="center"/>
              <w:rPr>
                <w:rFonts w:ascii="Georgia" w:hAnsi="Georgia"/>
                <w:sz w:val="20"/>
                <w:szCs w:val="20"/>
                <w:lang w:val="lt-LT"/>
              </w:rPr>
            </w:pPr>
            <w:r w:rsidRPr="00612BE4">
              <w:rPr>
                <w:rFonts w:ascii="Georgia" w:hAnsi="Georgia"/>
                <w:sz w:val="20"/>
                <w:szCs w:val="20"/>
                <w:lang w:val="lt-LT"/>
              </w:rPr>
              <w:t>32</w:t>
            </w:r>
            <w:r w:rsidR="00B07C81" w:rsidRPr="00EC5CFD">
              <w:rPr>
                <w:rFonts w:ascii="Georgia" w:hAnsi="Georgia"/>
                <w:sz w:val="20"/>
                <w:szCs w:val="20"/>
                <w:lang w:val="lt-LT"/>
              </w:rPr>
              <w:t>,</w:t>
            </w:r>
            <w:r w:rsidR="00B07C81" w:rsidRPr="006C0CDA">
              <w:rPr>
                <w:rFonts w:ascii="Georgia" w:hAnsi="Georgia"/>
                <w:sz w:val="20"/>
                <w:szCs w:val="20"/>
                <w:lang w:val="lt-LT"/>
              </w:rPr>
              <w:t>9</w:t>
            </w:r>
            <w:r w:rsidRPr="00210E9F">
              <w:rPr>
                <w:rFonts w:ascii="Georgia" w:hAnsi="Georgia"/>
                <w:sz w:val="20"/>
                <w:szCs w:val="20"/>
                <w:lang w:val="lt-LT"/>
              </w:rPr>
              <w:t xml:space="preserve"> (113</w:t>
            </w:r>
            <w:r w:rsidR="00B07C81" w:rsidRPr="00C27241">
              <w:rPr>
                <w:rFonts w:ascii="Georgia" w:hAnsi="Georgia"/>
                <w:sz w:val="20"/>
                <w:szCs w:val="20"/>
                <w:lang w:val="lt-LT"/>
              </w:rPr>
              <w:t>,</w:t>
            </w:r>
            <w:r w:rsidRPr="00C27241">
              <w:rPr>
                <w:rFonts w:ascii="Georgia" w:hAnsi="Georgia"/>
                <w:sz w:val="20"/>
                <w:szCs w:val="20"/>
                <w:lang w:val="lt-LT"/>
              </w:rPr>
              <w:t>5</w:t>
            </w:r>
            <w:r w:rsidRPr="009D6C03">
              <w:rPr>
                <w:rFonts w:ascii="Georgia" w:hAnsi="Georgia"/>
                <w:sz w:val="20"/>
                <w:szCs w:val="20"/>
                <w:lang w:val="lt-LT"/>
              </w:rPr>
              <w:t>)</w:t>
            </w:r>
          </w:p>
        </w:tc>
        <w:tc>
          <w:tcPr>
            <w:tcW w:w="947" w:type="pct"/>
            <w:hideMark/>
          </w:tcPr>
          <w:p w14:paraId="7B0DF8FD" w14:textId="77777777" w:rsidR="00336C16" w:rsidRPr="00B07C81" w:rsidRDefault="00336C16" w:rsidP="00612BE4">
            <w:pPr>
              <w:ind w:left="17"/>
              <w:contextualSpacing/>
              <w:jc w:val="center"/>
              <w:rPr>
                <w:rFonts w:ascii="Georgia" w:hAnsi="Georgia"/>
                <w:sz w:val="20"/>
                <w:szCs w:val="20"/>
                <w:lang w:val="lt-LT"/>
              </w:rPr>
            </w:pPr>
            <w:r w:rsidRPr="00F214B9">
              <w:rPr>
                <w:rFonts w:ascii="Georgia" w:hAnsi="Georgia"/>
                <w:sz w:val="20"/>
                <w:szCs w:val="20"/>
                <w:lang w:val="lt-LT"/>
              </w:rPr>
              <w:t>12</w:t>
            </w:r>
            <w:r w:rsidR="00B07C81" w:rsidRPr="00434148">
              <w:rPr>
                <w:rFonts w:ascii="Georgia" w:hAnsi="Georgia"/>
                <w:sz w:val="20"/>
                <w:szCs w:val="20"/>
                <w:lang w:val="lt-LT"/>
              </w:rPr>
              <w:t>,</w:t>
            </w:r>
            <w:r w:rsidR="00B07C81" w:rsidRPr="001C5DEC">
              <w:rPr>
                <w:rFonts w:ascii="Georgia" w:hAnsi="Georgia"/>
                <w:sz w:val="20"/>
                <w:szCs w:val="20"/>
                <w:lang w:val="lt-LT"/>
              </w:rPr>
              <w:t>7</w:t>
            </w:r>
            <w:r w:rsidRPr="00B07C81">
              <w:rPr>
                <w:rFonts w:ascii="Georgia" w:hAnsi="Georgia"/>
                <w:sz w:val="20"/>
                <w:szCs w:val="20"/>
                <w:lang w:val="lt-LT"/>
              </w:rPr>
              <w:t xml:space="preserve"> (43</w:t>
            </w:r>
            <w:r w:rsidR="00B07C81" w:rsidRPr="00B07C81">
              <w:rPr>
                <w:rFonts w:ascii="Georgia" w:hAnsi="Georgia"/>
                <w:sz w:val="20"/>
                <w:szCs w:val="20"/>
                <w:lang w:val="lt-LT"/>
              </w:rPr>
              <w:t>,8</w:t>
            </w:r>
            <w:r w:rsidRPr="00B07C81">
              <w:rPr>
                <w:rFonts w:ascii="Georgia" w:hAnsi="Georgia"/>
                <w:sz w:val="20"/>
                <w:szCs w:val="20"/>
                <w:lang w:val="lt-LT"/>
              </w:rPr>
              <w:t>)</w:t>
            </w:r>
          </w:p>
        </w:tc>
        <w:tc>
          <w:tcPr>
            <w:tcW w:w="539" w:type="pct"/>
            <w:hideMark/>
          </w:tcPr>
          <w:p w14:paraId="62160CC0" w14:textId="77777777" w:rsidR="00336C16" w:rsidRPr="00B07C81" w:rsidRDefault="00336C16" w:rsidP="00EC5CFD">
            <w:pPr>
              <w:ind w:left="17"/>
              <w:contextualSpacing/>
              <w:jc w:val="center"/>
              <w:rPr>
                <w:rFonts w:ascii="Georgia" w:hAnsi="Georgia"/>
                <w:sz w:val="20"/>
                <w:szCs w:val="20"/>
                <w:lang w:val="lt-LT"/>
              </w:rPr>
            </w:pPr>
            <w:r w:rsidRPr="00B07C81">
              <w:rPr>
                <w:rFonts w:ascii="Georgia" w:hAnsi="Georgia"/>
                <w:sz w:val="20"/>
                <w:szCs w:val="20"/>
                <w:lang w:val="lt-LT"/>
              </w:rPr>
              <w:t>38,6%</w:t>
            </w:r>
          </w:p>
        </w:tc>
        <w:tc>
          <w:tcPr>
            <w:tcW w:w="462" w:type="pct"/>
            <w:hideMark/>
          </w:tcPr>
          <w:p w14:paraId="02F411EC" w14:textId="77777777" w:rsidR="00336C16" w:rsidRPr="00B07C81" w:rsidRDefault="00336C16" w:rsidP="00765F40">
            <w:pPr>
              <w:ind w:left="17"/>
              <w:contextualSpacing/>
              <w:jc w:val="center"/>
              <w:rPr>
                <w:rFonts w:ascii="Georgia" w:hAnsi="Georgia"/>
                <w:sz w:val="20"/>
                <w:szCs w:val="20"/>
                <w:lang w:val="lt-LT"/>
              </w:rPr>
            </w:pPr>
            <w:r w:rsidRPr="00B07C81">
              <w:rPr>
                <w:rFonts w:ascii="Georgia" w:hAnsi="Georgia"/>
                <w:sz w:val="20"/>
                <w:szCs w:val="20"/>
                <w:lang w:val="lt-LT"/>
              </w:rPr>
              <w:t>40%</w:t>
            </w:r>
          </w:p>
        </w:tc>
      </w:tr>
      <w:tr w:rsidR="00287BC0" w:rsidRPr="00B07C81" w14:paraId="1508227F" w14:textId="77777777" w:rsidTr="000A566C">
        <w:tc>
          <w:tcPr>
            <w:tcW w:w="704" w:type="pct"/>
            <w:hideMark/>
          </w:tcPr>
          <w:p w14:paraId="4EC3D4DA" w14:textId="77777777" w:rsidR="00336C16" w:rsidRPr="002E21E7" w:rsidRDefault="00336C16">
            <w:pPr>
              <w:ind w:left="17"/>
              <w:contextualSpacing/>
              <w:jc w:val="center"/>
              <w:rPr>
                <w:rFonts w:ascii="Georgia" w:hAnsi="Georgia"/>
                <w:sz w:val="20"/>
                <w:szCs w:val="20"/>
                <w:lang w:val="lt-LT"/>
              </w:rPr>
            </w:pPr>
            <w:r w:rsidRPr="002E21E7">
              <w:rPr>
                <w:rFonts w:ascii="Georgia" w:hAnsi="Georgia"/>
                <w:sz w:val="20"/>
                <w:szCs w:val="20"/>
                <w:lang w:val="lt-LT"/>
              </w:rPr>
              <w:t>Kiti miestai</w:t>
            </w:r>
          </w:p>
        </w:tc>
        <w:tc>
          <w:tcPr>
            <w:tcW w:w="715" w:type="pct"/>
            <w:hideMark/>
          </w:tcPr>
          <w:p w14:paraId="49C990FA" w14:textId="77777777" w:rsidR="00336C16" w:rsidRPr="002E21E7" w:rsidRDefault="00336C16" w:rsidP="002E21E7">
            <w:pPr>
              <w:ind w:left="17"/>
              <w:contextualSpacing/>
              <w:jc w:val="center"/>
              <w:rPr>
                <w:rFonts w:ascii="Georgia" w:hAnsi="Georgia"/>
                <w:sz w:val="20"/>
                <w:szCs w:val="20"/>
                <w:lang w:val="lt-LT"/>
              </w:rPr>
            </w:pPr>
            <w:r w:rsidRPr="002E21E7">
              <w:rPr>
                <w:rFonts w:ascii="Georgia" w:hAnsi="Georgia"/>
                <w:sz w:val="20"/>
                <w:szCs w:val="20"/>
                <w:lang w:val="lt-LT"/>
              </w:rPr>
              <w:t>70%</w:t>
            </w:r>
          </w:p>
        </w:tc>
        <w:tc>
          <w:tcPr>
            <w:tcW w:w="1633" w:type="pct"/>
            <w:hideMark/>
          </w:tcPr>
          <w:p w14:paraId="54CBA23B" w14:textId="77777777" w:rsidR="00336C16" w:rsidRPr="001E4B4F" w:rsidRDefault="00336C16" w:rsidP="00612BE4">
            <w:pPr>
              <w:ind w:left="17"/>
              <w:contextualSpacing/>
              <w:jc w:val="center"/>
              <w:rPr>
                <w:rFonts w:ascii="Georgia" w:hAnsi="Georgia"/>
                <w:sz w:val="20"/>
                <w:szCs w:val="20"/>
                <w:lang w:val="lt-LT"/>
              </w:rPr>
            </w:pPr>
            <w:r w:rsidRPr="00612BE4">
              <w:rPr>
                <w:rFonts w:ascii="Georgia" w:hAnsi="Georgia"/>
                <w:sz w:val="20"/>
                <w:szCs w:val="20"/>
                <w:lang w:val="lt-LT"/>
              </w:rPr>
              <w:t>649</w:t>
            </w:r>
            <w:r w:rsidR="00B07C81" w:rsidRPr="00EC5CFD">
              <w:rPr>
                <w:rFonts w:ascii="Georgia" w:hAnsi="Georgia"/>
                <w:sz w:val="20"/>
                <w:szCs w:val="20"/>
                <w:lang w:val="lt-LT"/>
              </w:rPr>
              <w:t>,</w:t>
            </w:r>
            <w:r w:rsidR="00B07C81" w:rsidRPr="006C0CDA">
              <w:rPr>
                <w:rFonts w:ascii="Georgia" w:hAnsi="Georgia"/>
                <w:sz w:val="20"/>
                <w:szCs w:val="20"/>
                <w:lang w:val="lt-LT"/>
              </w:rPr>
              <w:t>4</w:t>
            </w:r>
            <w:r w:rsidRPr="00210E9F">
              <w:rPr>
                <w:rFonts w:ascii="Georgia" w:hAnsi="Georgia"/>
                <w:sz w:val="20"/>
                <w:szCs w:val="20"/>
                <w:lang w:val="lt-LT"/>
              </w:rPr>
              <w:t xml:space="preserve"> (2</w:t>
            </w:r>
            <w:r w:rsidRPr="00C27241">
              <w:rPr>
                <w:rFonts w:ascii="Georgia" w:hAnsi="Georgia"/>
                <w:sz w:val="20"/>
                <w:szCs w:val="20"/>
                <w:lang w:val="lt-LT"/>
              </w:rPr>
              <w:t>242</w:t>
            </w:r>
            <w:r w:rsidR="00B07C81" w:rsidRPr="001E4B4F">
              <w:rPr>
                <w:rFonts w:ascii="Georgia" w:hAnsi="Georgia"/>
                <w:sz w:val="20"/>
                <w:szCs w:val="20"/>
                <w:lang w:val="lt-LT"/>
              </w:rPr>
              <w:t>,</w:t>
            </w:r>
            <w:r w:rsidRPr="001E4B4F">
              <w:rPr>
                <w:rFonts w:ascii="Georgia" w:hAnsi="Georgia"/>
                <w:sz w:val="20"/>
                <w:szCs w:val="20"/>
                <w:lang w:val="lt-LT"/>
              </w:rPr>
              <w:t>2)</w:t>
            </w:r>
          </w:p>
        </w:tc>
        <w:tc>
          <w:tcPr>
            <w:tcW w:w="947" w:type="pct"/>
            <w:hideMark/>
          </w:tcPr>
          <w:p w14:paraId="231BA25A" w14:textId="77777777" w:rsidR="00336C16" w:rsidRPr="001C5DEC" w:rsidRDefault="00336C16" w:rsidP="00612BE4">
            <w:pPr>
              <w:ind w:left="17"/>
              <w:contextualSpacing/>
              <w:jc w:val="center"/>
              <w:rPr>
                <w:rFonts w:ascii="Georgia" w:hAnsi="Georgia"/>
                <w:sz w:val="20"/>
                <w:szCs w:val="20"/>
                <w:lang w:val="lt-LT"/>
              </w:rPr>
            </w:pPr>
            <w:r w:rsidRPr="009D6C03">
              <w:rPr>
                <w:rFonts w:ascii="Georgia" w:hAnsi="Georgia"/>
                <w:sz w:val="20"/>
                <w:szCs w:val="20"/>
                <w:lang w:val="lt-LT"/>
              </w:rPr>
              <w:t>259</w:t>
            </w:r>
            <w:r w:rsidR="00B07C81" w:rsidRPr="00E7742A">
              <w:rPr>
                <w:rFonts w:ascii="Georgia" w:hAnsi="Georgia"/>
                <w:sz w:val="20"/>
                <w:szCs w:val="20"/>
                <w:lang w:val="lt-LT"/>
              </w:rPr>
              <w:t>,</w:t>
            </w:r>
            <w:r w:rsidRPr="00E7742A">
              <w:rPr>
                <w:rFonts w:ascii="Georgia" w:hAnsi="Georgia"/>
                <w:sz w:val="20"/>
                <w:szCs w:val="20"/>
                <w:lang w:val="lt-LT"/>
              </w:rPr>
              <w:t>1 (894</w:t>
            </w:r>
            <w:r w:rsidR="00B07C81" w:rsidRPr="00F214B9">
              <w:rPr>
                <w:rFonts w:ascii="Georgia" w:hAnsi="Georgia"/>
                <w:sz w:val="20"/>
                <w:szCs w:val="20"/>
                <w:lang w:val="lt-LT"/>
              </w:rPr>
              <w:t>,</w:t>
            </w:r>
            <w:r w:rsidR="00B07C81" w:rsidRPr="00434148">
              <w:rPr>
                <w:rFonts w:ascii="Georgia" w:hAnsi="Georgia"/>
                <w:sz w:val="20"/>
                <w:szCs w:val="20"/>
                <w:lang w:val="lt-LT"/>
              </w:rPr>
              <w:t>7</w:t>
            </w:r>
            <w:r w:rsidRPr="001C5DEC">
              <w:rPr>
                <w:rFonts w:ascii="Georgia" w:hAnsi="Georgia"/>
                <w:sz w:val="20"/>
                <w:szCs w:val="20"/>
                <w:lang w:val="lt-LT"/>
              </w:rPr>
              <w:t>)</w:t>
            </w:r>
          </w:p>
        </w:tc>
        <w:tc>
          <w:tcPr>
            <w:tcW w:w="539" w:type="pct"/>
            <w:hideMark/>
          </w:tcPr>
          <w:p w14:paraId="76302644" w14:textId="77777777" w:rsidR="00336C16" w:rsidRPr="00B07C81" w:rsidRDefault="00336C16" w:rsidP="00EC5CFD">
            <w:pPr>
              <w:ind w:left="17"/>
              <w:contextualSpacing/>
              <w:jc w:val="center"/>
              <w:rPr>
                <w:rFonts w:ascii="Georgia" w:hAnsi="Georgia"/>
                <w:sz w:val="20"/>
                <w:szCs w:val="20"/>
                <w:lang w:val="lt-LT"/>
              </w:rPr>
            </w:pPr>
            <w:r w:rsidRPr="00B07C81">
              <w:rPr>
                <w:rFonts w:ascii="Georgia" w:hAnsi="Georgia"/>
                <w:sz w:val="20"/>
                <w:szCs w:val="20"/>
                <w:lang w:val="lt-LT"/>
              </w:rPr>
              <w:t>39,9%</w:t>
            </w:r>
          </w:p>
        </w:tc>
        <w:tc>
          <w:tcPr>
            <w:tcW w:w="462" w:type="pct"/>
            <w:hideMark/>
          </w:tcPr>
          <w:p w14:paraId="3038FB29" w14:textId="77777777" w:rsidR="00336C16" w:rsidRPr="00B07C81" w:rsidRDefault="00336C16" w:rsidP="00765F40">
            <w:pPr>
              <w:ind w:left="17"/>
              <w:contextualSpacing/>
              <w:jc w:val="center"/>
              <w:rPr>
                <w:rFonts w:ascii="Georgia" w:hAnsi="Georgia"/>
                <w:sz w:val="20"/>
                <w:szCs w:val="20"/>
                <w:lang w:val="lt-LT"/>
              </w:rPr>
            </w:pPr>
            <w:r w:rsidRPr="00B07C81">
              <w:rPr>
                <w:rFonts w:ascii="Georgia" w:hAnsi="Georgia"/>
                <w:sz w:val="20"/>
                <w:szCs w:val="20"/>
                <w:lang w:val="lt-LT"/>
              </w:rPr>
              <w:t>40%</w:t>
            </w:r>
          </w:p>
        </w:tc>
      </w:tr>
      <w:tr w:rsidR="00287BC0" w:rsidRPr="00B07C81" w14:paraId="1F2A76BC" w14:textId="77777777" w:rsidTr="000A566C">
        <w:tc>
          <w:tcPr>
            <w:tcW w:w="704" w:type="pct"/>
            <w:hideMark/>
          </w:tcPr>
          <w:p w14:paraId="74202A5D" w14:textId="77777777" w:rsidR="00336C16" w:rsidRPr="002E21E7" w:rsidRDefault="00336C16">
            <w:pPr>
              <w:ind w:left="17"/>
              <w:contextualSpacing/>
              <w:jc w:val="center"/>
              <w:rPr>
                <w:rFonts w:ascii="Georgia" w:hAnsi="Georgia"/>
                <w:sz w:val="20"/>
                <w:szCs w:val="20"/>
                <w:lang w:val="lt-LT"/>
              </w:rPr>
            </w:pPr>
            <w:r w:rsidRPr="002E21E7">
              <w:rPr>
                <w:rFonts w:ascii="Georgia" w:hAnsi="Georgia"/>
                <w:sz w:val="20"/>
                <w:szCs w:val="20"/>
                <w:lang w:val="lt-LT"/>
              </w:rPr>
              <w:t>Viso</w:t>
            </w:r>
          </w:p>
        </w:tc>
        <w:tc>
          <w:tcPr>
            <w:tcW w:w="715" w:type="pct"/>
            <w:hideMark/>
          </w:tcPr>
          <w:p w14:paraId="110635E3" w14:textId="77777777" w:rsidR="00336C16" w:rsidRPr="00F52F0D" w:rsidRDefault="00336C16">
            <w:pPr>
              <w:rPr>
                <w:rFonts w:cs="Times New Roman"/>
                <w:lang w:val="lt-LT"/>
              </w:rPr>
            </w:pPr>
          </w:p>
        </w:tc>
        <w:tc>
          <w:tcPr>
            <w:tcW w:w="1633" w:type="pct"/>
            <w:hideMark/>
          </w:tcPr>
          <w:p w14:paraId="364E01EF" w14:textId="77777777" w:rsidR="00336C16" w:rsidRPr="00612BE4" w:rsidRDefault="00336C16" w:rsidP="002E21E7">
            <w:pPr>
              <w:ind w:left="17"/>
              <w:contextualSpacing/>
              <w:jc w:val="center"/>
              <w:rPr>
                <w:rFonts w:ascii="Georgia" w:hAnsi="Georgia"/>
                <w:sz w:val="20"/>
                <w:szCs w:val="20"/>
                <w:lang w:val="lt-LT"/>
              </w:rPr>
            </w:pPr>
            <w:r w:rsidRPr="002E21E7">
              <w:rPr>
                <w:rFonts w:ascii="Georgia" w:hAnsi="Georgia"/>
                <w:sz w:val="20"/>
                <w:szCs w:val="20"/>
                <w:lang w:val="lt-LT"/>
              </w:rPr>
              <w:t>1107</w:t>
            </w:r>
            <w:r w:rsidR="00B07C81" w:rsidRPr="002E21E7">
              <w:rPr>
                <w:rFonts w:ascii="Georgia" w:hAnsi="Georgia"/>
                <w:sz w:val="20"/>
                <w:szCs w:val="20"/>
                <w:lang w:val="lt-LT"/>
              </w:rPr>
              <w:t>,</w:t>
            </w:r>
            <w:r w:rsidRPr="002E21E7">
              <w:rPr>
                <w:rFonts w:ascii="Georgia" w:hAnsi="Georgia"/>
                <w:sz w:val="20"/>
                <w:szCs w:val="20"/>
                <w:lang w:val="lt-LT"/>
              </w:rPr>
              <w:t>4 (3823</w:t>
            </w:r>
            <w:r w:rsidR="00B07C81" w:rsidRPr="00612BE4">
              <w:rPr>
                <w:rFonts w:ascii="Georgia" w:hAnsi="Georgia"/>
                <w:sz w:val="20"/>
                <w:szCs w:val="20"/>
                <w:lang w:val="lt-LT"/>
              </w:rPr>
              <w:t>,7</w:t>
            </w:r>
            <w:r w:rsidRPr="00612BE4">
              <w:rPr>
                <w:rFonts w:ascii="Georgia" w:hAnsi="Georgia"/>
                <w:sz w:val="20"/>
                <w:szCs w:val="20"/>
                <w:lang w:val="lt-LT"/>
              </w:rPr>
              <w:t>)</w:t>
            </w:r>
          </w:p>
        </w:tc>
        <w:tc>
          <w:tcPr>
            <w:tcW w:w="947" w:type="pct"/>
            <w:hideMark/>
          </w:tcPr>
          <w:p w14:paraId="69ACF7B4" w14:textId="77777777" w:rsidR="00336C16" w:rsidRPr="009D6C03" w:rsidRDefault="00336C16" w:rsidP="00612BE4">
            <w:pPr>
              <w:ind w:left="17"/>
              <w:contextualSpacing/>
              <w:jc w:val="center"/>
              <w:rPr>
                <w:rFonts w:ascii="Georgia" w:hAnsi="Georgia"/>
                <w:sz w:val="20"/>
                <w:szCs w:val="20"/>
                <w:lang w:val="lt-LT"/>
              </w:rPr>
            </w:pPr>
            <w:r w:rsidRPr="00EC5CFD">
              <w:rPr>
                <w:rFonts w:ascii="Georgia" w:hAnsi="Georgia"/>
                <w:sz w:val="20"/>
                <w:szCs w:val="20"/>
                <w:lang w:val="lt-LT"/>
              </w:rPr>
              <w:t>621</w:t>
            </w:r>
            <w:r w:rsidR="00B07C81" w:rsidRPr="006C0CDA">
              <w:rPr>
                <w:rFonts w:ascii="Georgia" w:hAnsi="Georgia"/>
                <w:sz w:val="20"/>
                <w:szCs w:val="20"/>
                <w:lang w:val="lt-LT"/>
              </w:rPr>
              <w:t>,</w:t>
            </w:r>
            <w:r w:rsidRPr="00210E9F">
              <w:rPr>
                <w:rFonts w:ascii="Georgia" w:hAnsi="Georgia"/>
                <w:sz w:val="20"/>
                <w:szCs w:val="20"/>
                <w:lang w:val="lt-LT"/>
              </w:rPr>
              <w:t>5</w:t>
            </w:r>
            <w:r w:rsidR="00B07C81" w:rsidRPr="00C27241">
              <w:rPr>
                <w:rFonts w:ascii="Georgia" w:hAnsi="Georgia"/>
                <w:sz w:val="20"/>
                <w:szCs w:val="20"/>
                <w:lang w:val="lt-LT"/>
              </w:rPr>
              <w:t xml:space="preserve"> </w:t>
            </w:r>
            <w:r w:rsidRPr="00C27241">
              <w:rPr>
                <w:rFonts w:ascii="Georgia" w:hAnsi="Georgia"/>
                <w:sz w:val="20"/>
                <w:szCs w:val="20"/>
                <w:lang w:val="lt-LT"/>
              </w:rPr>
              <w:t>(2</w:t>
            </w:r>
            <w:r w:rsidRPr="001E4B4F">
              <w:rPr>
                <w:rFonts w:ascii="Georgia" w:hAnsi="Georgia"/>
                <w:sz w:val="20"/>
                <w:szCs w:val="20"/>
                <w:lang w:val="lt-LT"/>
              </w:rPr>
              <w:t>146</w:t>
            </w:r>
            <w:r w:rsidR="00B07C81" w:rsidRPr="001E4B4F">
              <w:rPr>
                <w:rFonts w:ascii="Georgia" w:hAnsi="Georgia"/>
                <w:sz w:val="20"/>
                <w:szCs w:val="20"/>
                <w:lang w:val="lt-LT"/>
              </w:rPr>
              <w:t>,1</w:t>
            </w:r>
            <w:r w:rsidRPr="009D6C03">
              <w:rPr>
                <w:rFonts w:ascii="Georgia" w:hAnsi="Georgia"/>
                <w:sz w:val="20"/>
                <w:szCs w:val="20"/>
                <w:lang w:val="lt-LT"/>
              </w:rPr>
              <w:t>)</w:t>
            </w:r>
          </w:p>
        </w:tc>
        <w:tc>
          <w:tcPr>
            <w:tcW w:w="539" w:type="pct"/>
            <w:hideMark/>
          </w:tcPr>
          <w:p w14:paraId="2BA791FA" w14:textId="77777777" w:rsidR="00336C16" w:rsidRPr="00434148" w:rsidRDefault="00336C16" w:rsidP="00612BE4">
            <w:pPr>
              <w:ind w:left="17"/>
              <w:contextualSpacing/>
              <w:jc w:val="center"/>
              <w:rPr>
                <w:rFonts w:ascii="Georgia" w:hAnsi="Georgia"/>
                <w:sz w:val="20"/>
                <w:szCs w:val="20"/>
                <w:lang w:val="lt-LT"/>
              </w:rPr>
            </w:pPr>
            <w:r w:rsidRPr="00F214B9">
              <w:rPr>
                <w:rFonts w:ascii="Georgia" w:hAnsi="Georgia"/>
                <w:sz w:val="20"/>
                <w:szCs w:val="20"/>
                <w:lang w:val="lt-LT"/>
              </w:rPr>
              <w:t>56,1</w:t>
            </w:r>
            <w:r w:rsidRPr="00434148">
              <w:rPr>
                <w:rFonts w:ascii="Georgia" w:hAnsi="Georgia"/>
                <w:sz w:val="20"/>
                <w:szCs w:val="20"/>
                <w:lang w:val="lt-LT"/>
              </w:rPr>
              <w:t>%</w:t>
            </w:r>
          </w:p>
        </w:tc>
        <w:tc>
          <w:tcPr>
            <w:tcW w:w="462" w:type="pct"/>
            <w:hideMark/>
          </w:tcPr>
          <w:p w14:paraId="5697F8A3" w14:textId="77777777" w:rsidR="00336C16" w:rsidRPr="00F52F0D" w:rsidRDefault="00336C16">
            <w:pPr>
              <w:rPr>
                <w:rFonts w:cs="Times New Roman"/>
                <w:lang w:val="lt-LT"/>
              </w:rPr>
            </w:pPr>
          </w:p>
        </w:tc>
      </w:tr>
    </w:tbl>
    <w:p w14:paraId="3B19C4E4" w14:textId="77777777" w:rsidR="00336C16" w:rsidRDefault="00A604FC" w:rsidP="00F52F0D">
      <w:pPr>
        <w:pStyle w:val="Antrat"/>
        <w:jc w:val="both"/>
        <w:rPr>
          <w:b w:val="0"/>
          <w:i/>
          <w:lang w:val="lt-LT"/>
        </w:rPr>
      </w:pPr>
      <w:r w:rsidRPr="00F52F0D">
        <w:rPr>
          <w:b w:val="0"/>
          <w:i/>
          <w:lang w:val="lt-LT"/>
        </w:rPr>
        <w:t xml:space="preserve">Šaltinis: LR finansų ministerijos duomenys, sudaryta autorių. </w:t>
      </w:r>
    </w:p>
    <w:p w14:paraId="66A33A50" w14:textId="77777777" w:rsidR="00AB1E39" w:rsidRPr="00AB1E39" w:rsidRDefault="00AB1E39" w:rsidP="00AB1E39">
      <w:pPr>
        <w:jc w:val="both"/>
        <w:rPr>
          <w:lang w:val="lt-LT"/>
        </w:rPr>
      </w:pPr>
      <w:r w:rsidRPr="00105B94">
        <w:rPr>
          <w:rFonts w:ascii="Georgia" w:hAnsi="Georgia" w:cs="Georgia"/>
          <w:sz w:val="20"/>
          <w:szCs w:val="20"/>
          <w:lang w:val="lt-LT"/>
        </w:rPr>
        <w:t>Įvertinus savivaldybių finansinę padėtį bei galimybes skolintis, pažymėtina, kad pagal savivaldybėms nustatytus skolinimosi limitus, savivaldybės dar turi pajėgumų skolintis, tačiau kyla rizika, kad savivaldybėms siekiant įgyvendinti ir gatvių apšvietimo, ir savivaldybių viešųjų pastatų renovacijos projektus, savivaldybių finansinė padėtis suprastės. Kita vertus, atkreiptinas dėmesys, kad įgyvendinant energijos efektyvumo projektus, galutinis rezultatas savivaldybėms neturėtų padaryti esminės įtakos, kadangi padidėjus skolai sumažės energijos kaštai, iš kurių sutaupymų padengiamos skolos įmokos.</w:t>
      </w:r>
      <w:r>
        <w:rPr>
          <w:rFonts w:ascii="Georgia" w:hAnsi="Georgia" w:cs="Georgia"/>
          <w:sz w:val="20"/>
          <w:szCs w:val="20"/>
          <w:lang w:val="lt-LT"/>
        </w:rPr>
        <w:t xml:space="preserve"> </w:t>
      </w:r>
    </w:p>
    <w:p w14:paraId="1F0106F3" w14:textId="77777777" w:rsidR="00A604FC" w:rsidRDefault="00A604FC" w:rsidP="00C03122">
      <w:pPr>
        <w:pStyle w:val="Antrat2"/>
        <w:numPr>
          <w:ilvl w:val="3"/>
          <w:numId w:val="36"/>
        </w:numPr>
        <w:rPr>
          <w:lang w:val="lt-LT"/>
        </w:rPr>
      </w:pPr>
      <w:bookmarkStart w:id="71" w:name="_Toc417378377"/>
      <w:r>
        <w:rPr>
          <w:lang w:val="lt-LT"/>
        </w:rPr>
        <w:t>Finansavimo pasiūlos apibendrinimas</w:t>
      </w:r>
      <w:bookmarkEnd w:id="71"/>
    </w:p>
    <w:p w14:paraId="057463BC" w14:textId="77777777" w:rsidR="00336C16" w:rsidRDefault="00A604FC" w:rsidP="00E42FB6">
      <w:pPr>
        <w:shd w:val="clear" w:color="auto" w:fill="FFFFFF"/>
        <w:spacing w:before="100" w:beforeAutospacing="1" w:after="100" w:afterAutospacing="1"/>
        <w:jc w:val="both"/>
        <w:rPr>
          <w:rFonts w:ascii="Georgia" w:hAnsi="Georgia" w:cs="Georgia"/>
          <w:sz w:val="20"/>
          <w:szCs w:val="20"/>
          <w:lang w:val="lt-LT"/>
        </w:rPr>
      </w:pPr>
      <w:r>
        <w:rPr>
          <w:rFonts w:ascii="Georgia" w:hAnsi="Georgia" w:cs="Georgia"/>
          <w:sz w:val="20"/>
          <w:szCs w:val="20"/>
          <w:lang w:val="lt-LT"/>
        </w:rPr>
        <w:t>Lentelėje žemiau yra</w:t>
      </w:r>
      <w:r w:rsidR="00336C16">
        <w:rPr>
          <w:rFonts w:ascii="Georgia" w:hAnsi="Georgia" w:cs="Georgia"/>
          <w:sz w:val="20"/>
          <w:szCs w:val="20"/>
          <w:lang w:val="lt-LT"/>
        </w:rPr>
        <w:t xml:space="preserve"> pateikiamas įvairių finansavimo šaltinių </w:t>
      </w:r>
      <w:r w:rsidR="00E42FB6">
        <w:rPr>
          <w:rFonts w:ascii="Georgia" w:hAnsi="Georgia" w:cs="Georgia"/>
          <w:sz w:val="20"/>
          <w:szCs w:val="20"/>
          <w:lang w:val="lt-LT"/>
        </w:rPr>
        <w:t>energijos efektyvumo</w:t>
      </w:r>
      <w:r w:rsidR="00336C16">
        <w:rPr>
          <w:rFonts w:ascii="Georgia" w:hAnsi="Georgia" w:cs="Georgia"/>
          <w:sz w:val="20"/>
          <w:szCs w:val="20"/>
          <w:lang w:val="lt-LT"/>
        </w:rPr>
        <w:t xml:space="preserve"> projektams finansuoti apibendrinimas. </w:t>
      </w:r>
      <w:r w:rsidR="00E42FB6">
        <w:rPr>
          <w:rFonts w:ascii="Georgia" w:hAnsi="Georgia" w:cs="Georgia"/>
          <w:sz w:val="20"/>
          <w:szCs w:val="20"/>
          <w:lang w:val="lt-LT"/>
        </w:rPr>
        <w:t xml:space="preserve">Kaip matyti iš lentelės duomenų, didžiausias finansavimas yra prieinamas </w:t>
      </w:r>
      <w:r w:rsidR="00E42FB6">
        <w:rPr>
          <w:rFonts w:ascii="Georgia" w:hAnsi="Georgia" w:cs="Georgia"/>
          <w:sz w:val="20"/>
          <w:szCs w:val="20"/>
          <w:lang w:val="lt-LT"/>
        </w:rPr>
        <w:lastRenderedPageBreak/>
        <w:t xml:space="preserve">daugiabučių modernizavimui, mažiausias – gatvių apšvietimo modernizavimui. Tai koreliuoja ir su investicijų paklausa, kuri buvo skaičiuojama 2.1 skyriuje, kur buvo nustatyta, jog didžiausia paklausa investicijoms yra daugiabučių modernizavimo sektoriuje, mažiausia – gatvių apšvietimo modernizavimo srityje. Lentelėje matyti, iš kokių finansavimo šaltinių susideda bendra finansavimo pasiūla. Duomenys rodo, jog šiuose sektoriuose ESI fondų lėšos sudaro didžiausią finansavimo dalį. Tai rodo, jog šie projektai rinkoje yra finansuojami nedidele apimtimi, be to, projektų vykdytojų galimybės įgyvendinti projektus savo lėšomis arba skolintomis rinkoje yra ribotos. </w:t>
      </w:r>
    </w:p>
    <w:p w14:paraId="5D22D366" w14:textId="5D34C88C" w:rsidR="00336C16" w:rsidRPr="00F52F0D" w:rsidRDefault="00FE705A" w:rsidP="001E4B4F">
      <w:pPr>
        <w:pStyle w:val="Antrat"/>
        <w:jc w:val="both"/>
        <w:rPr>
          <w:lang w:val="lt-LT"/>
        </w:rPr>
      </w:pPr>
      <w:bookmarkStart w:id="72" w:name="_Toc460321604"/>
      <w:r w:rsidRPr="00F52F0D">
        <w:rPr>
          <w:lang w:val="lt-LT"/>
        </w:rPr>
        <w:t xml:space="preserve">Lentelė </w:t>
      </w:r>
      <w:r w:rsidRPr="00F52F0D">
        <w:rPr>
          <w:lang w:val="lt-LT"/>
        </w:rPr>
        <w:fldChar w:fldCharType="begin"/>
      </w:r>
      <w:r w:rsidRPr="00F52F0D">
        <w:rPr>
          <w:lang w:val="lt-LT"/>
        </w:rPr>
        <w:instrText xml:space="preserve"> SEQ Lentelė \* ARABIC </w:instrText>
      </w:r>
      <w:r w:rsidRPr="00F52F0D">
        <w:rPr>
          <w:lang w:val="lt-LT"/>
        </w:rPr>
        <w:fldChar w:fldCharType="separate"/>
      </w:r>
      <w:r w:rsidR="00AA3082">
        <w:rPr>
          <w:noProof/>
          <w:lang w:val="lt-LT"/>
        </w:rPr>
        <w:t>23</w:t>
      </w:r>
      <w:r w:rsidRPr="00F52F0D">
        <w:rPr>
          <w:lang w:val="lt-LT"/>
        </w:rPr>
        <w:fldChar w:fldCharType="end"/>
      </w:r>
      <w:r w:rsidRPr="00F52F0D">
        <w:rPr>
          <w:lang w:val="lt-LT"/>
        </w:rPr>
        <w:t xml:space="preserve">. </w:t>
      </w:r>
      <w:r w:rsidRPr="001E4B4F">
        <w:rPr>
          <w:rFonts w:cs="Georgia"/>
          <w:szCs w:val="20"/>
          <w:lang w:val="lt-LT"/>
        </w:rPr>
        <w:t>Finansavimo šaltinių energijos efektyvumo projektams duomenų apibendrinimas.</w:t>
      </w:r>
      <w:bookmarkEnd w:id="72"/>
    </w:p>
    <w:tbl>
      <w:tblPr>
        <w:tblStyle w:val="viesussraas2parykinimas"/>
        <w:tblW w:w="5000" w:type="pct"/>
        <w:tblLook w:val="04A0" w:firstRow="1" w:lastRow="0" w:firstColumn="1" w:lastColumn="0" w:noHBand="0" w:noVBand="1"/>
      </w:tblPr>
      <w:tblGrid>
        <w:gridCol w:w="1957"/>
        <w:gridCol w:w="1913"/>
        <w:gridCol w:w="3294"/>
        <w:gridCol w:w="2078"/>
      </w:tblGrid>
      <w:tr w:rsidR="00336C16" w:rsidRPr="00A7415B" w14:paraId="2551801C" w14:textId="77777777" w:rsidTr="000A56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59" w:type="pct"/>
            <w:hideMark/>
          </w:tcPr>
          <w:p w14:paraId="1C14E16C" w14:textId="77777777" w:rsidR="00336C16" w:rsidRPr="00A7415B" w:rsidRDefault="00336C16" w:rsidP="00A7415B">
            <w:pPr>
              <w:keepNext/>
              <w:ind w:left="17"/>
              <w:contextualSpacing/>
              <w:jc w:val="center"/>
              <w:rPr>
                <w:rFonts w:ascii="Georgia" w:hAnsi="Georgia"/>
                <w:sz w:val="20"/>
                <w:szCs w:val="20"/>
              </w:rPr>
            </w:pPr>
            <w:r w:rsidRPr="00A7415B">
              <w:rPr>
                <w:rFonts w:ascii="Georgia" w:hAnsi="Georgia"/>
                <w:sz w:val="20"/>
                <w:szCs w:val="20"/>
              </w:rPr>
              <w:t>Infrastruktūros tipas</w:t>
            </w:r>
          </w:p>
        </w:tc>
        <w:tc>
          <w:tcPr>
            <w:tcW w:w="1035" w:type="pct"/>
            <w:hideMark/>
          </w:tcPr>
          <w:p w14:paraId="6818BF41" w14:textId="77777777" w:rsidR="00336C16" w:rsidRPr="00A7415B" w:rsidRDefault="00336C16" w:rsidP="00A7415B">
            <w:pPr>
              <w:keepNext/>
              <w:contextualSpacing/>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7415B">
              <w:rPr>
                <w:rFonts w:ascii="Georgia" w:hAnsi="Georgia"/>
                <w:sz w:val="20"/>
                <w:szCs w:val="20"/>
              </w:rPr>
              <w:t>Investicijų pasiūla,</w:t>
            </w:r>
          </w:p>
          <w:p w14:paraId="186E0458" w14:textId="77777777" w:rsidR="00336C16" w:rsidRPr="00A7415B" w:rsidRDefault="00336C16" w:rsidP="00A7415B">
            <w:pPr>
              <w:keepNext/>
              <w:contextualSpacing/>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7415B">
              <w:rPr>
                <w:rFonts w:ascii="Georgia" w:hAnsi="Georgia"/>
                <w:sz w:val="20"/>
                <w:szCs w:val="20"/>
              </w:rPr>
              <w:t>mln. EUR</w:t>
            </w:r>
          </w:p>
          <w:p w14:paraId="4FA974BE" w14:textId="77777777" w:rsidR="00336C16" w:rsidRPr="00A7415B" w:rsidRDefault="00336C16" w:rsidP="00A7415B">
            <w:pPr>
              <w:keepNext/>
              <w:contextualSpacing/>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7415B">
              <w:rPr>
                <w:rFonts w:ascii="Georgia" w:hAnsi="Georgia"/>
                <w:sz w:val="20"/>
                <w:szCs w:val="20"/>
              </w:rPr>
              <w:t>(mln. Lt)</w:t>
            </w:r>
          </w:p>
        </w:tc>
        <w:tc>
          <w:tcPr>
            <w:tcW w:w="1782" w:type="pct"/>
            <w:hideMark/>
          </w:tcPr>
          <w:p w14:paraId="32F06F85" w14:textId="77777777" w:rsidR="00336C16" w:rsidRPr="00A7415B" w:rsidRDefault="00336C16" w:rsidP="00A7415B">
            <w:pPr>
              <w:keepNext/>
              <w:contextualSpacing/>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7415B">
              <w:rPr>
                <w:rFonts w:ascii="Georgia" w:hAnsi="Georgia"/>
                <w:sz w:val="20"/>
                <w:szCs w:val="20"/>
              </w:rPr>
              <w:t>Galimi pasiūlos finansavimo šaltiniai</w:t>
            </w:r>
          </w:p>
        </w:tc>
        <w:tc>
          <w:tcPr>
            <w:tcW w:w="1124" w:type="pct"/>
            <w:hideMark/>
          </w:tcPr>
          <w:p w14:paraId="4CF31AA1" w14:textId="77777777" w:rsidR="00336C16" w:rsidRPr="00A7415B" w:rsidRDefault="00336C16" w:rsidP="00A7415B">
            <w:pPr>
              <w:keepNext/>
              <w:contextualSpacing/>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7415B">
              <w:rPr>
                <w:rFonts w:ascii="Georgia" w:hAnsi="Georgia"/>
                <w:sz w:val="20"/>
                <w:szCs w:val="20"/>
              </w:rPr>
              <w:t>Investicijų pasiūla pagal finansavimo šaltinius, mln. EUR (mln. Lt)</w:t>
            </w:r>
          </w:p>
        </w:tc>
      </w:tr>
      <w:tr w:rsidR="00336C16" w14:paraId="10365000" w14:textId="77777777" w:rsidTr="000A5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vMerge w:val="restart"/>
            <w:hideMark/>
          </w:tcPr>
          <w:p w14:paraId="42AC820C" w14:textId="77777777" w:rsidR="00336C16" w:rsidRPr="009F38CC" w:rsidRDefault="00336C16" w:rsidP="00F52F0D">
            <w:pPr>
              <w:keepNext/>
              <w:ind w:left="17"/>
              <w:contextualSpacing/>
              <w:rPr>
                <w:rFonts w:ascii="Georgia" w:hAnsi="Georgia"/>
                <w:sz w:val="20"/>
                <w:szCs w:val="20"/>
              </w:rPr>
            </w:pPr>
            <w:r w:rsidRPr="00F52F0D">
              <w:rPr>
                <w:rFonts w:ascii="Georgia" w:hAnsi="Georgia"/>
                <w:sz w:val="20"/>
                <w:szCs w:val="20"/>
              </w:rPr>
              <w:t>Daugiabučių modernizavimas</w:t>
            </w:r>
          </w:p>
        </w:tc>
        <w:tc>
          <w:tcPr>
            <w:tcW w:w="1035" w:type="pct"/>
            <w:vMerge w:val="restart"/>
          </w:tcPr>
          <w:p w14:paraId="6F05D1F6" w14:textId="77777777" w:rsidR="002E21E7" w:rsidRPr="00F52F0D" w:rsidRDefault="002E21E7" w:rsidP="00F52F0D">
            <w:pPr>
              <w:keepNext/>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3</w:t>
            </w:r>
            <w:r w:rsidR="00C519FD">
              <w:rPr>
                <w:rFonts w:ascii="Georgia" w:hAnsi="Georgia"/>
                <w:sz w:val="20"/>
                <w:szCs w:val="20"/>
                <w:lang w:val="en-US"/>
              </w:rPr>
              <w:t>82</w:t>
            </w:r>
            <w:r w:rsidR="00FF73C5">
              <w:rPr>
                <w:rFonts w:ascii="Georgia" w:hAnsi="Georgia"/>
                <w:sz w:val="20"/>
                <w:szCs w:val="20"/>
              </w:rPr>
              <w:t>,</w:t>
            </w:r>
            <w:r w:rsidR="00C519FD">
              <w:rPr>
                <w:rFonts w:ascii="Georgia" w:hAnsi="Georgia"/>
                <w:sz w:val="20"/>
                <w:szCs w:val="20"/>
              </w:rPr>
              <w:t>6</w:t>
            </w:r>
          </w:p>
          <w:p w14:paraId="4D54AEC5" w14:textId="77777777" w:rsidR="002E21E7" w:rsidRPr="00F52F0D" w:rsidRDefault="002E21E7" w:rsidP="00F52F0D">
            <w:pPr>
              <w:keepNext/>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(13</w:t>
            </w:r>
            <w:r w:rsidR="00C519FD">
              <w:rPr>
                <w:rFonts w:ascii="Georgia" w:hAnsi="Georgia"/>
                <w:sz w:val="20"/>
                <w:szCs w:val="20"/>
              </w:rPr>
              <w:t>20,9</w:t>
            </w:r>
            <w:r w:rsidRPr="00F52F0D">
              <w:rPr>
                <w:rFonts w:ascii="Georgia" w:hAnsi="Georgia"/>
                <w:sz w:val="20"/>
                <w:szCs w:val="20"/>
              </w:rPr>
              <w:t>)</w:t>
            </w:r>
          </w:p>
          <w:p w14:paraId="44C1A4B1" w14:textId="77777777" w:rsidR="00336C16" w:rsidRPr="00F52F0D" w:rsidRDefault="00336C16" w:rsidP="00F52F0D">
            <w:pPr>
              <w:keepNext/>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p>
        </w:tc>
        <w:tc>
          <w:tcPr>
            <w:tcW w:w="1782" w:type="pct"/>
            <w:hideMark/>
          </w:tcPr>
          <w:p w14:paraId="53D7EE12" w14:textId="77777777" w:rsidR="00336C16" w:rsidRPr="00F52F0D" w:rsidRDefault="00336C16" w:rsidP="00F52F0D">
            <w:pPr>
              <w:keepNext/>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Komerciniai bankai</w:t>
            </w:r>
          </w:p>
        </w:tc>
        <w:tc>
          <w:tcPr>
            <w:tcW w:w="1124" w:type="pct"/>
            <w:hideMark/>
          </w:tcPr>
          <w:p w14:paraId="1DD5053A" w14:textId="77777777" w:rsidR="00336C16" w:rsidRPr="00F52F0D" w:rsidRDefault="00336C16" w:rsidP="00F52F0D">
            <w:pPr>
              <w:keepNext/>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11,</w:t>
            </w:r>
            <w:r w:rsidR="002E21E7" w:rsidRPr="00F52F0D">
              <w:rPr>
                <w:rFonts w:ascii="Georgia" w:hAnsi="Georgia"/>
                <w:sz w:val="20"/>
                <w:szCs w:val="20"/>
              </w:rPr>
              <w:t>6</w:t>
            </w:r>
            <w:r w:rsidR="004756DC">
              <w:rPr>
                <w:rFonts w:ascii="Georgia" w:hAnsi="Georgia"/>
                <w:sz w:val="20"/>
                <w:szCs w:val="20"/>
              </w:rPr>
              <w:t xml:space="preserve"> </w:t>
            </w:r>
            <w:r w:rsidRPr="00F52F0D">
              <w:rPr>
                <w:rFonts w:ascii="Georgia" w:hAnsi="Georgia"/>
                <w:sz w:val="20"/>
                <w:szCs w:val="20"/>
              </w:rPr>
              <w:t>(40</w:t>
            </w:r>
            <w:r w:rsidR="00FF73C5">
              <w:rPr>
                <w:rFonts w:ascii="Georgia" w:hAnsi="Georgia"/>
                <w:sz w:val="20"/>
                <w:szCs w:val="20"/>
              </w:rPr>
              <w:t>,0</w:t>
            </w:r>
            <w:r w:rsidRPr="00F52F0D">
              <w:rPr>
                <w:rFonts w:ascii="Georgia" w:hAnsi="Georgia"/>
                <w:sz w:val="20"/>
                <w:szCs w:val="20"/>
              </w:rPr>
              <w:t>)</w:t>
            </w:r>
          </w:p>
        </w:tc>
      </w:tr>
      <w:tr w:rsidR="00336C16" w14:paraId="75089996" w14:textId="77777777" w:rsidTr="000A566C">
        <w:tc>
          <w:tcPr>
            <w:cnfStyle w:val="001000000000" w:firstRow="0" w:lastRow="0" w:firstColumn="1" w:lastColumn="0" w:oddVBand="0" w:evenVBand="0" w:oddHBand="0" w:evenHBand="0" w:firstRowFirstColumn="0" w:firstRowLastColumn="0" w:lastRowFirstColumn="0" w:lastRowLastColumn="0"/>
            <w:tcW w:w="1059" w:type="pct"/>
            <w:vMerge/>
            <w:hideMark/>
          </w:tcPr>
          <w:p w14:paraId="0EA7BFE2" w14:textId="77777777" w:rsidR="00336C16" w:rsidRPr="009F38CC" w:rsidRDefault="00336C16">
            <w:pPr>
              <w:rPr>
                <w:rFonts w:ascii="Georgia" w:hAnsi="Georgia"/>
                <w:sz w:val="20"/>
                <w:szCs w:val="20"/>
              </w:rPr>
            </w:pPr>
          </w:p>
        </w:tc>
        <w:tc>
          <w:tcPr>
            <w:tcW w:w="1035" w:type="pct"/>
            <w:vMerge/>
            <w:hideMark/>
          </w:tcPr>
          <w:p w14:paraId="5478F733" w14:textId="77777777" w:rsidR="00336C16" w:rsidRPr="00F52F0D" w:rsidRDefault="00336C16">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p>
        </w:tc>
        <w:tc>
          <w:tcPr>
            <w:tcW w:w="1782" w:type="pct"/>
            <w:hideMark/>
          </w:tcPr>
          <w:p w14:paraId="3FB03EE9" w14:textId="77777777" w:rsidR="00336C16" w:rsidRPr="00F52F0D" w:rsidRDefault="00336C16">
            <w:pPr>
              <w:contextualSpacing/>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52F0D">
              <w:rPr>
                <w:rFonts w:ascii="Georgia" w:hAnsi="Georgia"/>
                <w:sz w:val="20"/>
                <w:szCs w:val="20"/>
              </w:rPr>
              <w:t>ESI fondų lėšos</w:t>
            </w:r>
          </w:p>
        </w:tc>
        <w:tc>
          <w:tcPr>
            <w:tcW w:w="1124" w:type="pct"/>
            <w:hideMark/>
          </w:tcPr>
          <w:p w14:paraId="676A5340" w14:textId="77777777" w:rsidR="00336C16" w:rsidRPr="00F52F0D" w:rsidRDefault="00336C16" w:rsidP="00FF73C5">
            <w:pPr>
              <w:contextualSpacing/>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52F0D">
              <w:rPr>
                <w:rFonts w:ascii="Georgia" w:hAnsi="Georgia"/>
                <w:sz w:val="20"/>
                <w:szCs w:val="20"/>
              </w:rPr>
              <w:t>2</w:t>
            </w:r>
            <w:r w:rsidR="00FF73C5">
              <w:rPr>
                <w:rFonts w:ascii="Georgia" w:hAnsi="Georgia"/>
                <w:sz w:val="20"/>
                <w:szCs w:val="20"/>
              </w:rPr>
              <w:t>80</w:t>
            </w:r>
            <w:r w:rsidRPr="00F52F0D">
              <w:rPr>
                <w:rFonts w:ascii="Georgia" w:hAnsi="Georgia"/>
                <w:sz w:val="20"/>
                <w:szCs w:val="20"/>
              </w:rPr>
              <w:t>,</w:t>
            </w:r>
            <w:r w:rsidR="00FF73C5">
              <w:rPr>
                <w:rFonts w:ascii="Georgia" w:hAnsi="Georgia"/>
                <w:sz w:val="20"/>
                <w:szCs w:val="20"/>
              </w:rPr>
              <w:t>9</w:t>
            </w:r>
            <w:r w:rsidR="003F33B5" w:rsidRPr="00F52F0D">
              <w:rPr>
                <w:rFonts w:ascii="Georgia" w:hAnsi="Georgia"/>
                <w:sz w:val="20"/>
                <w:szCs w:val="20"/>
              </w:rPr>
              <w:t xml:space="preserve"> </w:t>
            </w:r>
            <w:r w:rsidRPr="00F52F0D">
              <w:rPr>
                <w:rFonts w:ascii="Georgia" w:hAnsi="Georgia"/>
                <w:sz w:val="20"/>
                <w:szCs w:val="20"/>
              </w:rPr>
              <w:t>(</w:t>
            </w:r>
            <w:r w:rsidR="00FF73C5">
              <w:rPr>
                <w:rFonts w:ascii="Georgia" w:hAnsi="Georgia"/>
                <w:sz w:val="20"/>
                <w:szCs w:val="20"/>
              </w:rPr>
              <w:t>970,0</w:t>
            </w:r>
            <w:r w:rsidRPr="00F52F0D">
              <w:rPr>
                <w:rFonts w:ascii="Georgia" w:hAnsi="Georgia"/>
                <w:sz w:val="20"/>
                <w:szCs w:val="20"/>
              </w:rPr>
              <w:t>)</w:t>
            </w:r>
          </w:p>
        </w:tc>
      </w:tr>
      <w:tr w:rsidR="00336C16" w14:paraId="6B3980D4" w14:textId="77777777" w:rsidTr="000A5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vMerge/>
            <w:hideMark/>
          </w:tcPr>
          <w:p w14:paraId="65F8F970" w14:textId="77777777" w:rsidR="00336C16" w:rsidRPr="009F38CC" w:rsidRDefault="00336C16">
            <w:pPr>
              <w:rPr>
                <w:rFonts w:ascii="Georgia" w:hAnsi="Georgia"/>
                <w:sz w:val="20"/>
                <w:szCs w:val="20"/>
              </w:rPr>
            </w:pPr>
          </w:p>
        </w:tc>
        <w:tc>
          <w:tcPr>
            <w:tcW w:w="1035" w:type="pct"/>
            <w:vMerge/>
            <w:hideMark/>
          </w:tcPr>
          <w:p w14:paraId="1B8637E6" w14:textId="77777777" w:rsidR="00336C16" w:rsidRPr="00F52F0D" w:rsidRDefault="00336C16">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p>
        </w:tc>
        <w:tc>
          <w:tcPr>
            <w:tcW w:w="1782" w:type="pct"/>
            <w:hideMark/>
          </w:tcPr>
          <w:p w14:paraId="071B2FDA" w14:textId="77777777" w:rsidR="00336C16" w:rsidRPr="00F52F0D" w:rsidRDefault="00336C16">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 xml:space="preserve">JESSICA grįžusios lėšos </w:t>
            </w:r>
          </w:p>
        </w:tc>
        <w:tc>
          <w:tcPr>
            <w:tcW w:w="1124" w:type="pct"/>
            <w:hideMark/>
          </w:tcPr>
          <w:p w14:paraId="390761A3" w14:textId="77777777" w:rsidR="00336C16" w:rsidRPr="00F52F0D" w:rsidRDefault="002E21E7">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67,2 (232</w:t>
            </w:r>
            <w:r w:rsidR="00C519FD">
              <w:rPr>
                <w:rFonts w:ascii="Georgia" w:hAnsi="Georgia"/>
                <w:sz w:val="20"/>
                <w:szCs w:val="20"/>
              </w:rPr>
              <w:t>,0</w:t>
            </w:r>
            <w:r w:rsidRPr="00F52F0D">
              <w:rPr>
                <w:rFonts w:ascii="Georgia" w:hAnsi="Georgia"/>
                <w:sz w:val="20"/>
                <w:szCs w:val="20"/>
              </w:rPr>
              <w:t>)</w:t>
            </w:r>
          </w:p>
        </w:tc>
      </w:tr>
      <w:tr w:rsidR="00336C16" w14:paraId="08389132" w14:textId="77777777" w:rsidTr="000A566C">
        <w:tc>
          <w:tcPr>
            <w:cnfStyle w:val="001000000000" w:firstRow="0" w:lastRow="0" w:firstColumn="1" w:lastColumn="0" w:oddVBand="0" w:evenVBand="0" w:oddHBand="0" w:evenHBand="0" w:firstRowFirstColumn="0" w:firstRowLastColumn="0" w:lastRowFirstColumn="0" w:lastRowLastColumn="0"/>
            <w:tcW w:w="1059" w:type="pct"/>
            <w:vMerge/>
            <w:hideMark/>
          </w:tcPr>
          <w:p w14:paraId="18104452" w14:textId="77777777" w:rsidR="00336C16" w:rsidRPr="009F38CC" w:rsidRDefault="00336C16">
            <w:pPr>
              <w:rPr>
                <w:rFonts w:ascii="Georgia" w:hAnsi="Georgia"/>
                <w:sz w:val="20"/>
                <w:szCs w:val="20"/>
              </w:rPr>
            </w:pPr>
          </w:p>
        </w:tc>
        <w:tc>
          <w:tcPr>
            <w:tcW w:w="1035" w:type="pct"/>
            <w:vMerge/>
            <w:hideMark/>
          </w:tcPr>
          <w:p w14:paraId="4319C8A4" w14:textId="77777777" w:rsidR="00336C16" w:rsidRPr="00F52F0D" w:rsidRDefault="00336C16">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p>
        </w:tc>
        <w:tc>
          <w:tcPr>
            <w:tcW w:w="1782" w:type="pct"/>
            <w:hideMark/>
          </w:tcPr>
          <w:p w14:paraId="4F332706" w14:textId="77777777" w:rsidR="00336C16" w:rsidRPr="00F52F0D" w:rsidRDefault="00336C16">
            <w:pPr>
              <w:contextualSpacing/>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52F0D">
              <w:rPr>
                <w:rFonts w:ascii="Georgia" w:hAnsi="Georgia"/>
                <w:sz w:val="20"/>
                <w:szCs w:val="20"/>
              </w:rPr>
              <w:t>Klimato kaitos programa</w:t>
            </w:r>
          </w:p>
        </w:tc>
        <w:tc>
          <w:tcPr>
            <w:tcW w:w="1124" w:type="pct"/>
            <w:hideMark/>
          </w:tcPr>
          <w:p w14:paraId="786CFD26" w14:textId="77777777" w:rsidR="00336C16" w:rsidRPr="00F52F0D" w:rsidRDefault="00336C16" w:rsidP="00860402">
            <w:pPr>
              <w:contextualSpacing/>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52F0D">
              <w:rPr>
                <w:rFonts w:ascii="Georgia" w:hAnsi="Georgia"/>
                <w:sz w:val="20"/>
                <w:szCs w:val="20"/>
              </w:rPr>
              <w:t>22,</w:t>
            </w:r>
            <w:r w:rsidR="003F33B5" w:rsidRPr="00F52F0D">
              <w:rPr>
                <w:rFonts w:ascii="Georgia" w:hAnsi="Georgia"/>
                <w:sz w:val="20"/>
                <w:szCs w:val="20"/>
              </w:rPr>
              <w:t>9</w:t>
            </w:r>
            <w:r w:rsidRPr="00F52F0D">
              <w:rPr>
                <w:rFonts w:ascii="Georgia" w:hAnsi="Georgia"/>
                <w:sz w:val="20"/>
                <w:szCs w:val="20"/>
              </w:rPr>
              <w:t xml:space="preserve"> (78,</w:t>
            </w:r>
            <w:r w:rsidR="00860402">
              <w:rPr>
                <w:rFonts w:ascii="Georgia" w:hAnsi="Georgia"/>
                <w:sz w:val="20"/>
                <w:szCs w:val="20"/>
              </w:rPr>
              <w:t>9</w:t>
            </w:r>
            <w:r w:rsidRPr="00F52F0D">
              <w:rPr>
                <w:rFonts w:ascii="Georgia" w:hAnsi="Georgia"/>
                <w:sz w:val="20"/>
                <w:szCs w:val="20"/>
              </w:rPr>
              <w:t>)</w:t>
            </w:r>
          </w:p>
        </w:tc>
      </w:tr>
      <w:tr w:rsidR="00336C16" w14:paraId="75A6B461" w14:textId="77777777" w:rsidTr="000A5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vMerge w:val="restart"/>
            <w:hideMark/>
          </w:tcPr>
          <w:p w14:paraId="7D26DE56" w14:textId="77777777" w:rsidR="00336C16" w:rsidRPr="009F38CC" w:rsidRDefault="00336C16">
            <w:pPr>
              <w:ind w:left="17"/>
              <w:contextualSpacing/>
              <w:rPr>
                <w:rFonts w:ascii="Georgia" w:hAnsi="Georgia"/>
                <w:sz w:val="20"/>
                <w:szCs w:val="20"/>
              </w:rPr>
            </w:pPr>
            <w:r w:rsidRPr="00F52F0D">
              <w:rPr>
                <w:rFonts w:ascii="Georgia" w:hAnsi="Georgia"/>
                <w:sz w:val="20"/>
                <w:szCs w:val="20"/>
              </w:rPr>
              <w:t>Savivaldybių pastatų modernizavimas</w:t>
            </w:r>
          </w:p>
        </w:tc>
        <w:tc>
          <w:tcPr>
            <w:tcW w:w="1035" w:type="pct"/>
            <w:vMerge w:val="restart"/>
          </w:tcPr>
          <w:p w14:paraId="572C8BC4" w14:textId="77777777" w:rsidR="00336C16" w:rsidRPr="00F52F0D" w:rsidRDefault="00C519FD">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87,6</w:t>
            </w:r>
          </w:p>
          <w:p w14:paraId="62FAC83A" w14:textId="77777777" w:rsidR="00336C16" w:rsidRPr="00F52F0D" w:rsidRDefault="00336C16">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(30</w:t>
            </w:r>
            <w:r w:rsidR="00C519FD">
              <w:rPr>
                <w:rFonts w:ascii="Georgia" w:hAnsi="Georgia"/>
                <w:sz w:val="20"/>
                <w:szCs w:val="20"/>
              </w:rPr>
              <w:t>2,4</w:t>
            </w:r>
            <w:r w:rsidRPr="00F52F0D">
              <w:rPr>
                <w:rFonts w:ascii="Georgia" w:hAnsi="Georgia"/>
                <w:sz w:val="20"/>
                <w:szCs w:val="20"/>
              </w:rPr>
              <w:t>)</w:t>
            </w:r>
          </w:p>
          <w:p w14:paraId="49E033BC" w14:textId="77777777" w:rsidR="00336C16" w:rsidRPr="00F52F0D" w:rsidRDefault="00336C16">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p>
        </w:tc>
        <w:tc>
          <w:tcPr>
            <w:tcW w:w="1782" w:type="pct"/>
            <w:hideMark/>
          </w:tcPr>
          <w:p w14:paraId="392D84E5" w14:textId="77777777" w:rsidR="00336C16" w:rsidRPr="00F52F0D" w:rsidRDefault="00336C16">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Komerciniai bankai</w:t>
            </w:r>
          </w:p>
        </w:tc>
        <w:tc>
          <w:tcPr>
            <w:tcW w:w="1124" w:type="pct"/>
            <w:hideMark/>
          </w:tcPr>
          <w:p w14:paraId="2250179D" w14:textId="77777777" w:rsidR="00336C16" w:rsidRPr="00F52F0D" w:rsidRDefault="00336C16" w:rsidP="003F33B5">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8,</w:t>
            </w:r>
            <w:r w:rsidR="003F33B5" w:rsidRPr="00F52F0D">
              <w:rPr>
                <w:rFonts w:ascii="Georgia" w:hAnsi="Georgia"/>
                <w:sz w:val="20"/>
                <w:szCs w:val="20"/>
              </w:rPr>
              <w:t xml:space="preserve">7 </w:t>
            </w:r>
            <w:r w:rsidRPr="00F52F0D">
              <w:rPr>
                <w:rFonts w:ascii="Georgia" w:hAnsi="Georgia"/>
                <w:sz w:val="20"/>
                <w:szCs w:val="20"/>
              </w:rPr>
              <w:t>(30</w:t>
            </w:r>
            <w:r w:rsidR="00C519FD">
              <w:rPr>
                <w:rFonts w:ascii="Georgia" w:hAnsi="Georgia"/>
                <w:sz w:val="20"/>
                <w:szCs w:val="20"/>
              </w:rPr>
              <w:t>,0</w:t>
            </w:r>
            <w:r w:rsidRPr="00F52F0D">
              <w:rPr>
                <w:rFonts w:ascii="Georgia" w:hAnsi="Georgia"/>
                <w:sz w:val="20"/>
                <w:szCs w:val="20"/>
              </w:rPr>
              <w:t>)</w:t>
            </w:r>
          </w:p>
        </w:tc>
      </w:tr>
      <w:tr w:rsidR="00336C16" w14:paraId="0B96E138" w14:textId="77777777" w:rsidTr="000A566C">
        <w:tc>
          <w:tcPr>
            <w:cnfStyle w:val="001000000000" w:firstRow="0" w:lastRow="0" w:firstColumn="1" w:lastColumn="0" w:oddVBand="0" w:evenVBand="0" w:oddHBand="0" w:evenHBand="0" w:firstRowFirstColumn="0" w:firstRowLastColumn="0" w:lastRowFirstColumn="0" w:lastRowLastColumn="0"/>
            <w:tcW w:w="1059" w:type="pct"/>
            <w:vMerge/>
            <w:hideMark/>
          </w:tcPr>
          <w:p w14:paraId="1762DEFB" w14:textId="77777777" w:rsidR="00336C16" w:rsidRPr="009F38CC" w:rsidRDefault="00336C16">
            <w:pPr>
              <w:rPr>
                <w:rFonts w:ascii="Georgia" w:hAnsi="Georgia"/>
                <w:sz w:val="20"/>
                <w:szCs w:val="20"/>
              </w:rPr>
            </w:pPr>
          </w:p>
        </w:tc>
        <w:tc>
          <w:tcPr>
            <w:tcW w:w="1035" w:type="pct"/>
            <w:vMerge/>
            <w:hideMark/>
          </w:tcPr>
          <w:p w14:paraId="471112D5" w14:textId="77777777" w:rsidR="00336C16" w:rsidRPr="00F52F0D" w:rsidRDefault="00336C16">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p>
        </w:tc>
        <w:tc>
          <w:tcPr>
            <w:tcW w:w="1782" w:type="pct"/>
            <w:hideMark/>
          </w:tcPr>
          <w:p w14:paraId="750C5270" w14:textId="77777777" w:rsidR="00336C16" w:rsidRPr="00F52F0D" w:rsidRDefault="00336C16">
            <w:pPr>
              <w:contextualSpacing/>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52F0D">
              <w:rPr>
                <w:rFonts w:ascii="Georgia" w:hAnsi="Georgia"/>
                <w:sz w:val="20"/>
                <w:szCs w:val="20"/>
              </w:rPr>
              <w:t>ESI fondų lėšos</w:t>
            </w:r>
          </w:p>
        </w:tc>
        <w:tc>
          <w:tcPr>
            <w:tcW w:w="1124" w:type="pct"/>
            <w:hideMark/>
          </w:tcPr>
          <w:p w14:paraId="74C38374" w14:textId="77777777" w:rsidR="00336C16" w:rsidRPr="00F52F0D" w:rsidRDefault="00336C16" w:rsidP="003F33B5">
            <w:pPr>
              <w:contextualSpacing/>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52F0D">
              <w:rPr>
                <w:rFonts w:ascii="Georgia" w:hAnsi="Georgia"/>
                <w:sz w:val="20"/>
                <w:szCs w:val="20"/>
              </w:rPr>
              <w:t>50,</w:t>
            </w:r>
            <w:r w:rsidR="003F33B5" w:rsidRPr="00F52F0D">
              <w:rPr>
                <w:rFonts w:ascii="Georgia" w:hAnsi="Georgia"/>
                <w:sz w:val="20"/>
                <w:szCs w:val="20"/>
              </w:rPr>
              <w:t xml:space="preserve">7 </w:t>
            </w:r>
            <w:r w:rsidRPr="00F52F0D">
              <w:rPr>
                <w:rFonts w:ascii="Georgia" w:hAnsi="Georgia"/>
                <w:sz w:val="20"/>
                <w:szCs w:val="20"/>
              </w:rPr>
              <w:t>(175</w:t>
            </w:r>
            <w:r w:rsidR="004756DC">
              <w:rPr>
                <w:rFonts w:ascii="Georgia" w:hAnsi="Georgia"/>
                <w:sz w:val="20"/>
                <w:szCs w:val="20"/>
              </w:rPr>
              <w:t>,</w:t>
            </w:r>
            <w:r w:rsidRPr="00F52F0D">
              <w:rPr>
                <w:rFonts w:ascii="Georgia" w:hAnsi="Georgia"/>
                <w:sz w:val="20"/>
                <w:szCs w:val="20"/>
              </w:rPr>
              <w:t>0</w:t>
            </w:r>
            <w:r w:rsidR="004756DC">
              <w:rPr>
                <w:rFonts w:ascii="Georgia" w:hAnsi="Georgia"/>
                <w:sz w:val="20"/>
                <w:szCs w:val="20"/>
              </w:rPr>
              <w:t>)</w:t>
            </w:r>
          </w:p>
        </w:tc>
      </w:tr>
      <w:tr w:rsidR="00336C16" w14:paraId="3F10FAEA" w14:textId="77777777" w:rsidTr="000A5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vMerge/>
            <w:hideMark/>
          </w:tcPr>
          <w:p w14:paraId="364AE05C" w14:textId="77777777" w:rsidR="00336C16" w:rsidRPr="009F38CC" w:rsidRDefault="00336C16">
            <w:pPr>
              <w:rPr>
                <w:rFonts w:ascii="Georgia" w:hAnsi="Georgia"/>
                <w:sz w:val="20"/>
                <w:szCs w:val="20"/>
              </w:rPr>
            </w:pPr>
          </w:p>
        </w:tc>
        <w:tc>
          <w:tcPr>
            <w:tcW w:w="1035" w:type="pct"/>
            <w:vMerge/>
            <w:hideMark/>
          </w:tcPr>
          <w:p w14:paraId="718DFA0B" w14:textId="77777777" w:rsidR="00336C16" w:rsidRPr="00F52F0D" w:rsidRDefault="00336C16">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p>
        </w:tc>
        <w:tc>
          <w:tcPr>
            <w:tcW w:w="1782" w:type="pct"/>
            <w:hideMark/>
          </w:tcPr>
          <w:p w14:paraId="6EBE62EB" w14:textId="77777777" w:rsidR="00336C16" w:rsidRPr="00F52F0D" w:rsidRDefault="00336C16">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Nuosavos lėšos</w:t>
            </w:r>
          </w:p>
        </w:tc>
        <w:tc>
          <w:tcPr>
            <w:tcW w:w="1124" w:type="pct"/>
            <w:hideMark/>
          </w:tcPr>
          <w:p w14:paraId="18E5B301" w14:textId="77777777" w:rsidR="00336C16" w:rsidRPr="00F52F0D" w:rsidRDefault="00C519FD" w:rsidP="00C519FD">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13,0 (44,9)</w:t>
            </w:r>
          </w:p>
        </w:tc>
      </w:tr>
      <w:tr w:rsidR="00336C16" w14:paraId="793EF37C" w14:textId="77777777" w:rsidTr="000A566C">
        <w:tc>
          <w:tcPr>
            <w:cnfStyle w:val="001000000000" w:firstRow="0" w:lastRow="0" w:firstColumn="1" w:lastColumn="0" w:oddVBand="0" w:evenVBand="0" w:oddHBand="0" w:evenHBand="0" w:firstRowFirstColumn="0" w:firstRowLastColumn="0" w:lastRowFirstColumn="0" w:lastRowLastColumn="0"/>
            <w:tcW w:w="1059" w:type="pct"/>
            <w:vMerge/>
            <w:hideMark/>
          </w:tcPr>
          <w:p w14:paraId="0976BCC7" w14:textId="77777777" w:rsidR="00336C16" w:rsidRPr="009F38CC" w:rsidRDefault="00336C16">
            <w:pPr>
              <w:rPr>
                <w:rFonts w:ascii="Georgia" w:hAnsi="Georgia"/>
                <w:sz w:val="20"/>
                <w:szCs w:val="20"/>
              </w:rPr>
            </w:pPr>
          </w:p>
        </w:tc>
        <w:tc>
          <w:tcPr>
            <w:tcW w:w="1035" w:type="pct"/>
            <w:vMerge/>
            <w:hideMark/>
          </w:tcPr>
          <w:p w14:paraId="2B34C2A3" w14:textId="77777777" w:rsidR="00336C16" w:rsidRPr="00F52F0D" w:rsidRDefault="00336C16">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p>
        </w:tc>
        <w:tc>
          <w:tcPr>
            <w:tcW w:w="1782" w:type="pct"/>
            <w:hideMark/>
          </w:tcPr>
          <w:p w14:paraId="221B9E5D" w14:textId="77777777" w:rsidR="00336C16" w:rsidRPr="00F52F0D" w:rsidRDefault="00336C16">
            <w:pPr>
              <w:contextualSpacing/>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52F0D">
              <w:rPr>
                <w:rFonts w:ascii="Georgia" w:hAnsi="Georgia"/>
                <w:sz w:val="20"/>
                <w:szCs w:val="20"/>
              </w:rPr>
              <w:t>Klimato kaitos programa</w:t>
            </w:r>
          </w:p>
        </w:tc>
        <w:tc>
          <w:tcPr>
            <w:tcW w:w="1124" w:type="pct"/>
            <w:hideMark/>
          </w:tcPr>
          <w:p w14:paraId="189723A3" w14:textId="77777777" w:rsidR="00336C16" w:rsidRPr="00F52F0D" w:rsidRDefault="00336C16" w:rsidP="00C519FD">
            <w:pPr>
              <w:contextualSpacing/>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52F0D">
              <w:rPr>
                <w:rFonts w:ascii="Georgia" w:hAnsi="Georgia"/>
                <w:sz w:val="20"/>
                <w:szCs w:val="20"/>
              </w:rPr>
              <w:t>15,2 (52,</w:t>
            </w:r>
            <w:r w:rsidR="00C519FD">
              <w:rPr>
                <w:rFonts w:ascii="Georgia" w:hAnsi="Georgia"/>
                <w:sz w:val="20"/>
                <w:szCs w:val="20"/>
              </w:rPr>
              <w:t>5</w:t>
            </w:r>
            <w:r w:rsidRPr="00F52F0D">
              <w:rPr>
                <w:rFonts w:ascii="Georgia" w:hAnsi="Georgia"/>
                <w:sz w:val="20"/>
                <w:szCs w:val="20"/>
              </w:rPr>
              <w:t>)</w:t>
            </w:r>
          </w:p>
        </w:tc>
      </w:tr>
      <w:tr w:rsidR="00336C16" w14:paraId="162A8969" w14:textId="77777777" w:rsidTr="000A5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vMerge w:val="restart"/>
            <w:hideMark/>
          </w:tcPr>
          <w:p w14:paraId="7F0FE2FD" w14:textId="77777777" w:rsidR="00336C16" w:rsidRPr="009F38CC" w:rsidRDefault="00F52F0D">
            <w:pPr>
              <w:ind w:left="17"/>
              <w:contextualSpacing/>
              <w:rPr>
                <w:rFonts w:ascii="Georgia" w:hAnsi="Georgia"/>
                <w:sz w:val="20"/>
                <w:szCs w:val="20"/>
              </w:rPr>
            </w:pPr>
            <w:r>
              <w:rPr>
                <w:rFonts w:ascii="Georgia" w:hAnsi="Georgia"/>
                <w:sz w:val="20"/>
                <w:szCs w:val="20"/>
              </w:rPr>
              <w:t>Centrinės valdžios</w:t>
            </w:r>
            <w:r w:rsidR="00336C16" w:rsidRPr="00F52F0D">
              <w:rPr>
                <w:rFonts w:ascii="Georgia" w:hAnsi="Georgia"/>
                <w:sz w:val="20"/>
                <w:szCs w:val="20"/>
              </w:rPr>
              <w:t xml:space="preserve"> pastatų modernizavimas</w:t>
            </w:r>
          </w:p>
        </w:tc>
        <w:tc>
          <w:tcPr>
            <w:tcW w:w="1035" w:type="pct"/>
            <w:vMerge w:val="restart"/>
          </w:tcPr>
          <w:p w14:paraId="1F84095C" w14:textId="77777777" w:rsidR="00336C16" w:rsidRPr="00F52F0D" w:rsidRDefault="00336C16">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10</w:t>
            </w:r>
            <w:r w:rsidR="00C519FD">
              <w:rPr>
                <w:rFonts w:ascii="Georgia" w:hAnsi="Georgia"/>
                <w:sz w:val="20"/>
                <w:szCs w:val="20"/>
              </w:rPr>
              <w:t>2,8</w:t>
            </w:r>
          </w:p>
          <w:p w14:paraId="2767D53B" w14:textId="77777777" w:rsidR="00336C16" w:rsidRPr="00F52F0D" w:rsidRDefault="00336C16">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(355</w:t>
            </w:r>
            <w:r w:rsidR="00C519FD">
              <w:rPr>
                <w:rFonts w:ascii="Georgia" w:hAnsi="Georgia"/>
                <w:sz w:val="20"/>
                <w:szCs w:val="20"/>
              </w:rPr>
              <w:t>,0</w:t>
            </w:r>
            <w:r w:rsidRPr="00F52F0D">
              <w:rPr>
                <w:rFonts w:ascii="Georgia" w:hAnsi="Georgia"/>
                <w:sz w:val="20"/>
                <w:szCs w:val="20"/>
              </w:rPr>
              <w:t>)</w:t>
            </w:r>
          </w:p>
        </w:tc>
        <w:tc>
          <w:tcPr>
            <w:tcW w:w="1782" w:type="pct"/>
            <w:hideMark/>
          </w:tcPr>
          <w:p w14:paraId="556C04DC" w14:textId="77777777" w:rsidR="00336C16" w:rsidRPr="00F52F0D" w:rsidRDefault="00336C16">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Komerciniai bankai</w:t>
            </w:r>
          </w:p>
        </w:tc>
        <w:tc>
          <w:tcPr>
            <w:tcW w:w="1124" w:type="pct"/>
            <w:hideMark/>
          </w:tcPr>
          <w:p w14:paraId="2C035041" w14:textId="77777777" w:rsidR="00336C16" w:rsidRPr="00F52F0D" w:rsidRDefault="00336C16" w:rsidP="003F33B5">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8,</w:t>
            </w:r>
            <w:r w:rsidR="003F33B5" w:rsidRPr="00F52F0D">
              <w:rPr>
                <w:rFonts w:ascii="Georgia" w:hAnsi="Georgia"/>
                <w:sz w:val="20"/>
                <w:szCs w:val="20"/>
              </w:rPr>
              <w:t xml:space="preserve">7 </w:t>
            </w:r>
            <w:r w:rsidRPr="00F52F0D">
              <w:rPr>
                <w:rFonts w:ascii="Georgia" w:hAnsi="Georgia"/>
                <w:sz w:val="20"/>
                <w:szCs w:val="20"/>
              </w:rPr>
              <w:t>(30</w:t>
            </w:r>
            <w:r w:rsidR="004756DC">
              <w:rPr>
                <w:rFonts w:ascii="Georgia" w:hAnsi="Georgia"/>
                <w:sz w:val="20"/>
                <w:szCs w:val="20"/>
              </w:rPr>
              <w:t>,</w:t>
            </w:r>
            <w:r w:rsidRPr="00F52F0D">
              <w:rPr>
                <w:rFonts w:ascii="Georgia" w:hAnsi="Georgia"/>
                <w:sz w:val="20"/>
                <w:szCs w:val="20"/>
              </w:rPr>
              <w:t>0</w:t>
            </w:r>
            <w:r w:rsidR="004C4604">
              <w:rPr>
                <w:rFonts w:ascii="Georgia" w:hAnsi="Georgia"/>
                <w:sz w:val="20"/>
                <w:szCs w:val="20"/>
              </w:rPr>
              <w:t>)</w:t>
            </w:r>
          </w:p>
        </w:tc>
      </w:tr>
      <w:tr w:rsidR="005477F1" w14:paraId="127B5DEA" w14:textId="77777777" w:rsidTr="000A566C">
        <w:tc>
          <w:tcPr>
            <w:cnfStyle w:val="001000000000" w:firstRow="0" w:lastRow="0" w:firstColumn="1" w:lastColumn="0" w:oddVBand="0" w:evenVBand="0" w:oddHBand="0" w:evenHBand="0" w:firstRowFirstColumn="0" w:firstRowLastColumn="0" w:lastRowFirstColumn="0" w:lastRowLastColumn="0"/>
            <w:tcW w:w="1059" w:type="pct"/>
            <w:vMerge/>
            <w:hideMark/>
          </w:tcPr>
          <w:p w14:paraId="78E632AB" w14:textId="77777777" w:rsidR="005477F1" w:rsidRPr="009F38CC" w:rsidRDefault="005477F1">
            <w:pPr>
              <w:rPr>
                <w:rFonts w:ascii="Georgia" w:hAnsi="Georgia"/>
                <w:sz w:val="20"/>
                <w:szCs w:val="20"/>
              </w:rPr>
            </w:pPr>
          </w:p>
        </w:tc>
        <w:tc>
          <w:tcPr>
            <w:tcW w:w="1035" w:type="pct"/>
            <w:vMerge/>
            <w:hideMark/>
          </w:tcPr>
          <w:p w14:paraId="3232CCCC" w14:textId="77777777" w:rsidR="005477F1" w:rsidRPr="00F52F0D" w:rsidRDefault="005477F1">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p>
        </w:tc>
        <w:tc>
          <w:tcPr>
            <w:tcW w:w="1782" w:type="pct"/>
            <w:hideMark/>
          </w:tcPr>
          <w:p w14:paraId="61E77F8E" w14:textId="77777777" w:rsidR="005477F1" w:rsidRPr="00F52F0D" w:rsidRDefault="005477F1">
            <w:pPr>
              <w:contextualSpacing/>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52F0D">
              <w:rPr>
                <w:rFonts w:ascii="Georgia" w:hAnsi="Georgia"/>
                <w:sz w:val="20"/>
                <w:szCs w:val="20"/>
              </w:rPr>
              <w:t>ESI fondų lėšos</w:t>
            </w:r>
          </w:p>
        </w:tc>
        <w:tc>
          <w:tcPr>
            <w:tcW w:w="1124" w:type="pct"/>
            <w:hideMark/>
          </w:tcPr>
          <w:p w14:paraId="09155570" w14:textId="77777777" w:rsidR="005477F1" w:rsidRPr="00F52F0D" w:rsidRDefault="005477F1" w:rsidP="003F33B5">
            <w:pPr>
              <w:contextualSpacing/>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52F0D">
              <w:rPr>
                <w:rFonts w:ascii="Georgia" w:hAnsi="Georgia"/>
                <w:sz w:val="20"/>
                <w:szCs w:val="20"/>
              </w:rPr>
              <w:t>94,1 (325</w:t>
            </w:r>
            <w:r w:rsidR="00C519FD">
              <w:rPr>
                <w:rFonts w:ascii="Georgia" w:hAnsi="Georgia"/>
                <w:sz w:val="20"/>
                <w:szCs w:val="20"/>
              </w:rPr>
              <w:t>,0</w:t>
            </w:r>
            <w:r w:rsidRPr="00F52F0D">
              <w:rPr>
                <w:rFonts w:ascii="Georgia" w:hAnsi="Georgia"/>
                <w:sz w:val="20"/>
                <w:szCs w:val="20"/>
              </w:rPr>
              <w:t>)</w:t>
            </w:r>
          </w:p>
        </w:tc>
      </w:tr>
      <w:tr w:rsidR="00336C16" w14:paraId="1BB1F2FA" w14:textId="77777777" w:rsidTr="000A5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vMerge w:val="restart"/>
            <w:hideMark/>
          </w:tcPr>
          <w:p w14:paraId="21CEA4A3" w14:textId="77777777" w:rsidR="00336C16" w:rsidRPr="00F52F0D" w:rsidRDefault="00336C16">
            <w:pPr>
              <w:ind w:left="17"/>
              <w:contextualSpacing/>
              <w:rPr>
                <w:rFonts w:ascii="Georgia" w:hAnsi="Georgia"/>
                <w:b w:val="0"/>
                <w:sz w:val="20"/>
                <w:szCs w:val="20"/>
              </w:rPr>
            </w:pPr>
            <w:r w:rsidRPr="00F52F0D">
              <w:rPr>
                <w:rFonts w:ascii="Georgia" w:hAnsi="Georgia"/>
                <w:sz w:val="20"/>
                <w:szCs w:val="20"/>
              </w:rPr>
              <w:t>Gatvių apšvietimo modernizavimas</w:t>
            </w:r>
          </w:p>
        </w:tc>
        <w:tc>
          <w:tcPr>
            <w:tcW w:w="1035" w:type="pct"/>
            <w:vMerge w:val="restart"/>
            <w:noWrap/>
          </w:tcPr>
          <w:p w14:paraId="0F8ED7C3" w14:textId="77777777" w:rsidR="00336C16" w:rsidRPr="00F52F0D" w:rsidRDefault="00336C16">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44</w:t>
            </w:r>
            <w:r w:rsidR="00FF73C5">
              <w:rPr>
                <w:rFonts w:ascii="Georgia" w:hAnsi="Georgia"/>
                <w:sz w:val="20"/>
                <w:szCs w:val="20"/>
              </w:rPr>
              <w:t>,6</w:t>
            </w:r>
          </w:p>
          <w:p w14:paraId="75F7FF72" w14:textId="77777777" w:rsidR="00336C16" w:rsidRPr="00F52F0D" w:rsidRDefault="00336C16">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(154</w:t>
            </w:r>
            <w:r w:rsidR="00C519FD">
              <w:rPr>
                <w:rFonts w:ascii="Georgia" w:hAnsi="Georgia"/>
                <w:sz w:val="20"/>
                <w:szCs w:val="20"/>
              </w:rPr>
              <w:t>,0</w:t>
            </w:r>
            <w:r w:rsidRPr="00F52F0D">
              <w:rPr>
                <w:rFonts w:ascii="Georgia" w:hAnsi="Georgia"/>
                <w:sz w:val="20"/>
                <w:szCs w:val="20"/>
              </w:rPr>
              <w:t>)</w:t>
            </w:r>
          </w:p>
          <w:p w14:paraId="460FADAD" w14:textId="77777777" w:rsidR="00336C16" w:rsidRPr="00F52F0D" w:rsidRDefault="00336C16">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p>
        </w:tc>
        <w:tc>
          <w:tcPr>
            <w:tcW w:w="1782" w:type="pct"/>
            <w:hideMark/>
          </w:tcPr>
          <w:p w14:paraId="6286AA06" w14:textId="77777777" w:rsidR="00336C16" w:rsidRPr="009F38CC" w:rsidRDefault="00336C16">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9F38CC">
              <w:rPr>
                <w:rFonts w:ascii="Georgia" w:hAnsi="Georgia"/>
                <w:sz w:val="20"/>
                <w:szCs w:val="20"/>
              </w:rPr>
              <w:t>Komerciniai bankai</w:t>
            </w:r>
          </w:p>
        </w:tc>
        <w:tc>
          <w:tcPr>
            <w:tcW w:w="1124" w:type="pct"/>
            <w:hideMark/>
          </w:tcPr>
          <w:p w14:paraId="6335A2C3" w14:textId="77777777" w:rsidR="00336C16" w:rsidRPr="00F52F0D" w:rsidRDefault="00336C16" w:rsidP="003F33B5">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17,</w:t>
            </w:r>
            <w:r w:rsidR="003F33B5" w:rsidRPr="00F52F0D">
              <w:rPr>
                <w:rFonts w:ascii="Georgia" w:hAnsi="Georgia"/>
                <w:sz w:val="20"/>
                <w:szCs w:val="20"/>
              </w:rPr>
              <w:t xml:space="preserve">4 </w:t>
            </w:r>
            <w:r w:rsidRPr="00F52F0D">
              <w:rPr>
                <w:rFonts w:ascii="Georgia" w:hAnsi="Georgia"/>
                <w:sz w:val="20"/>
                <w:szCs w:val="20"/>
              </w:rPr>
              <w:t>(60</w:t>
            </w:r>
            <w:r w:rsidR="00C519FD">
              <w:rPr>
                <w:rFonts w:ascii="Georgia" w:hAnsi="Georgia"/>
                <w:sz w:val="20"/>
                <w:szCs w:val="20"/>
              </w:rPr>
              <w:t>,0</w:t>
            </w:r>
            <w:r w:rsidRPr="00F52F0D">
              <w:rPr>
                <w:rFonts w:ascii="Georgia" w:hAnsi="Georgia"/>
                <w:sz w:val="20"/>
                <w:szCs w:val="20"/>
              </w:rPr>
              <w:t>)</w:t>
            </w:r>
          </w:p>
        </w:tc>
      </w:tr>
      <w:tr w:rsidR="00336C16" w14:paraId="78B5CE3A" w14:textId="77777777" w:rsidTr="000A566C">
        <w:tc>
          <w:tcPr>
            <w:cnfStyle w:val="001000000000" w:firstRow="0" w:lastRow="0" w:firstColumn="1" w:lastColumn="0" w:oddVBand="0" w:evenVBand="0" w:oddHBand="0" w:evenHBand="0" w:firstRowFirstColumn="0" w:firstRowLastColumn="0" w:lastRowFirstColumn="0" w:lastRowLastColumn="0"/>
            <w:tcW w:w="1059" w:type="pct"/>
            <w:vMerge/>
            <w:hideMark/>
          </w:tcPr>
          <w:p w14:paraId="14C31606" w14:textId="77777777" w:rsidR="00336C16" w:rsidRDefault="00336C16">
            <w:pPr>
              <w:rPr>
                <w:rFonts w:ascii="Georgia" w:hAnsi="Georgia"/>
                <w:i/>
                <w:sz w:val="20"/>
                <w:szCs w:val="20"/>
              </w:rPr>
            </w:pPr>
          </w:p>
        </w:tc>
        <w:tc>
          <w:tcPr>
            <w:tcW w:w="1035" w:type="pct"/>
            <w:vMerge/>
            <w:hideMark/>
          </w:tcPr>
          <w:p w14:paraId="1B30964F" w14:textId="77777777" w:rsidR="00336C16" w:rsidRDefault="00336C16">
            <w:pPr>
              <w:cnfStyle w:val="000000000000" w:firstRow="0" w:lastRow="0" w:firstColumn="0" w:lastColumn="0" w:oddVBand="0" w:evenVBand="0" w:oddHBand="0" w:evenHBand="0" w:firstRowFirstColumn="0" w:firstRowLastColumn="0" w:lastRowFirstColumn="0" w:lastRowLastColumn="0"/>
              <w:rPr>
                <w:rFonts w:ascii="Georgia" w:hAnsi="Georgia"/>
                <w:i/>
                <w:sz w:val="20"/>
                <w:szCs w:val="20"/>
              </w:rPr>
            </w:pPr>
          </w:p>
        </w:tc>
        <w:tc>
          <w:tcPr>
            <w:tcW w:w="1782" w:type="pct"/>
            <w:hideMark/>
          </w:tcPr>
          <w:p w14:paraId="32031C08" w14:textId="77777777" w:rsidR="00336C16" w:rsidRPr="009F38CC" w:rsidRDefault="00336C16">
            <w:pPr>
              <w:contextualSpacing/>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9F38CC">
              <w:rPr>
                <w:rFonts w:ascii="Georgia" w:hAnsi="Georgia"/>
                <w:sz w:val="20"/>
                <w:szCs w:val="20"/>
              </w:rPr>
              <w:t>ESI fondų parama</w:t>
            </w:r>
          </w:p>
        </w:tc>
        <w:tc>
          <w:tcPr>
            <w:tcW w:w="1124" w:type="pct"/>
            <w:hideMark/>
          </w:tcPr>
          <w:p w14:paraId="3C5735C0" w14:textId="77777777" w:rsidR="00336C16" w:rsidRPr="00F52F0D" w:rsidRDefault="00336C16" w:rsidP="003F33B5">
            <w:pPr>
              <w:contextualSpacing/>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52F0D">
              <w:rPr>
                <w:rFonts w:ascii="Georgia" w:hAnsi="Georgia"/>
                <w:sz w:val="20"/>
                <w:szCs w:val="20"/>
              </w:rPr>
              <w:t>14,</w:t>
            </w:r>
            <w:r w:rsidR="003F33B5" w:rsidRPr="00F52F0D">
              <w:rPr>
                <w:rFonts w:ascii="Georgia" w:hAnsi="Georgia"/>
                <w:sz w:val="20"/>
                <w:szCs w:val="20"/>
              </w:rPr>
              <w:t xml:space="preserve">5 </w:t>
            </w:r>
            <w:r w:rsidRPr="00F52F0D">
              <w:rPr>
                <w:rFonts w:ascii="Georgia" w:hAnsi="Georgia"/>
                <w:sz w:val="20"/>
                <w:szCs w:val="20"/>
              </w:rPr>
              <w:t>(50</w:t>
            </w:r>
            <w:r w:rsidR="004756DC">
              <w:rPr>
                <w:rFonts w:ascii="Georgia" w:hAnsi="Georgia"/>
                <w:sz w:val="20"/>
                <w:szCs w:val="20"/>
              </w:rPr>
              <w:t>,</w:t>
            </w:r>
            <w:r w:rsidRPr="00F52F0D">
              <w:rPr>
                <w:rFonts w:ascii="Georgia" w:hAnsi="Georgia"/>
                <w:sz w:val="20"/>
                <w:szCs w:val="20"/>
              </w:rPr>
              <w:t>0</w:t>
            </w:r>
            <w:r w:rsidR="004756DC">
              <w:rPr>
                <w:rFonts w:ascii="Georgia" w:hAnsi="Georgia"/>
                <w:sz w:val="20"/>
                <w:szCs w:val="20"/>
              </w:rPr>
              <w:t>)</w:t>
            </w:r>
          </w:p>
        </w:tc>
      </w:tr>
      <w:tr w:rsidR="00336C16" w14:paraId="540276D0" w14:textId="77777777" w:rsidTr="000A5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vMerge/>
            <w:hideMark/>
          </w:tcPr>
          <w:p w14:paraId="71B59236" w14:textId="77777777" w:rsidR="00336C16" w:rsidRDefault="00336C16">
            <w:pPr>
              <w:rPr>
                <w:rFonts w:ascii="Georgia" w:hAnsi="Georgia"/>
                <w:i/>
                <w:sz w:val="20"/>
                <w:szCs w:val="20"/>
              </w:rPr>
            </w:pPr>
          </w:p>
        </w:tc>
        <w:tc>
          <w:tcPr>
            <w:tcW w:w="1035" w:type="pct"/>
            <w:vMerge/>
            <w:hideMark/>
          </w:tcPr>
          <w:p w14:paraId="5DB7074B" w14:textId="77777777" w:rsidR="00336C16" w:rsidRDefault="00336C16">
            <w:pPr>
              <w:cnfStyle w:val="000000100000" w:firstRow="0" w:lastRow="0" w:firstColumn="0" w:lastColumn="0" w:oddVBand="0" w:evenVBand="0" w:oddHBand="1" w:evenHBand="0" w:firstRowFirstColumn="0" w:firstRowLastColumn="0" w:lastRowFirstColumn="0" w:lastRowLastColumn="0"/>
              <w:rPr>
                <w:rFonts w:ascii="Georgia" w:hAnsi="Georgia"/>
                <w:i/>
                <w:sz w:val="20"/>
                <w:szCs w:val="20"/>
              </w:rPr>
            </w:pPr>
          </w:p>
        </w:tc>
        <w:tc>
          <w:tcPr>
            <w:tcW w:w="1782" w:type="pct"/>
            <w:hideMark/>
          </w:tcPr>
          <w:p w14:paraId="519FB4D1" w14:textId="77777777" w:rsidR="00336C16" w:rsidRPr="009F38CC" w:rsidRDefault="00336C16">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9F38CC">
              <w:rPr>
                <w:rFonts w:ascii="Georgia" w:hAnsi="Georgia"/>
                <w:sz w:val="20"/>
                <w:szCs w:val="20"/>
              </w:rPr>
              <w:t>Nuosavos lėšos</w:t>
            </w:r>
          </w:p>
        </w:tc>
        <w:tc>
          <w:tcPr>
            <w:tcW w:w="1124" w:type="pct"/>
            <w:hideMark/>
          </w:tcPr>
          <w:p w14:paraId="76E89754" w14:textId="77777777" w:rsidR="00336C16" w:rsidRPr="00F52F0D" w:rsidRDefault="00336C16" w:rsidP="003F33B5">
            <w:pPr>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52F0D">
              <w:rPr>
                <w:rFonts w:ascii="Georgia" w:hAnsi="Georgia"/>
                <w:sz w:val="20"/>
                <w:szCs w:val="20"/>
              </w:rPr>
              <w:t>12,</w:t>
            </w:r>
            <w:r w:rsidR="003F33B5" w:rsidRPr="00F52F0D">
              <w:rPr>
                <w:rFonts w:ascii="Georgia" w:hAnsi="Georgia"/>
                <w:sz w:val="20"/>
                <w:szCs w:val="20"/>
              </w:rPr>
              <w:t xml:space="preserve">7 </w:t>
            </w:r>
            <w:r w:rsidRPr="00F52F0D">
              <w:rPr>
                <w:rFonts w:ascii="Georgia" w:hAnsi="Georgia"/>
                <w:sz w:val="20"/>
                <w:szCs w:val="20"/>
              </w:rPr>
              <w:t>(44</w:t>
            </w:r>
            <w:r w:rsidR="00C519FD">
              <w:rPr>
                <w:rFonts w:ascii="Georgia" w:hAnsi="Georgia"/>
                <w:sz w:val="20"/>
                <w:szCs w:val="20"/>
              </w:rPr>
              <w:t>,0</w:t>
            </w:r>
            <w:r w:rsidRPr="00F52F0D">
              <w:rPr>
                <w:rFonts w:ascii="Georgia" w:hAnsi="Georgia"/>
                <w:sz w:val="20"/>
                <w:szCs w:val="20"/>
              </w:rPr>
              <w:t>)</w:t>
            </w:r>
          </w:p>
        </w:tc>
      </w:tr>
    </w:tbl>
    <w:p w14:paraId="7D94E8CB" w14:textId="77777777" w:rsidR="00FE705A" w:rsidRPr="00E74298" w:rsidRDefault="00FE705A" w:rsidP="00E74298">
      <w:pPr>
        <w:keepNext/>
        <w:rPr>
          <w:i/>
          <w:lang w:val="lt-LT"/>
        </w:rPr>
      </w:pPr>
    </w:p>
    <w:p w14:paraId="54B3AEC7" w14:textId="77777777" w:rsidR="00336C16" w:rsidRDefault="0053708C" w:rsidP="00C03122">
      <w:pPr>
        <w:pStyle w:val="Antrat2"/>
        <w:numPr>
          <w:ilvl w:val="1"/>
          <w:numId w:val="36"/>
        </w:numPr>
        <w:rPr>
          <w:lang w:val="lt-LT"/>
        </w:rPr>
      </w:pPr>
      <w:bookmarkStart w:id="73" w:name="_Toc417378378"/>
      <w:r>
        <w:rPr>
          <w:lang w:val="lt-LT"/>
        </w:rPr>
        <w:t xml:space="preserve">Investicijų trūkumo </w:t>
      </w:r>
      <w:r w:rsidR="00336C16">
        <w:rPr>
          <w:lang w:val="lt-LT"/>
        </w:rPr>
        <w:t>įvertinimas</w:t>
      </w:r>
      <w:bookmarkEnd w:id="73"/>
    </w:p>
    <w:p w14:paraId="0C44EC07" w14:textId="77777777" w:rsidR="00336C16" w:rsidRDefault="00336C16" w:rsidP="00336C16">
      <w:pPr>
        <w:keepNext/>
        <w:rPr>
          <w:i/>
          <w:lang w:val="lt-LT"/>
        </w:rPr>
      </w:pPr>
    </w:p>
    <w:p w14:paraId="4B1F72F4" w14:textId="77777777" w:rsidR="00336C16" w:rsidRDefault="00336C16" w:rsidP="00336C16">
      <w:pPr>
        <w:jc w:val="both"/>
        <w:rPr>
          <w:i/>
          <w:lang w:val="lt-LT"/>
        </w:rPr>
      </w:pPr>
      <w:r>
        <w:rPr>
          <w:rFonts w:ascii="Georgia" w:hAnsi="Georgia" w:cs="Georgia"/>
          <w:sz w:val="20"/>
          <w:szCs w:val="20"/>
          <w:lang w:val="lt-LT"/>
        </w:rPr>
        <w:t>Investicijų trūkumas skaičiuojamas kaip investicijų poreikio (t.y. paklausos) ir finansavimo tokioms investicijoms (t.y. pasiūlos) skirtumas. Investicijų trūkumo identifikavimas leis nagrinėti ir gilintis detaliau į sektorių, projektų tipus, projektų vykdytojus (galutinius naudos gavėjus), įvairias finansavimo formas ir apspręsti, kokios finansinės priemonės energijos efektyvumo srityje kuria didžiausią naudą ir pridėtinę vertę.</w:t>
      </w:r>
    </w:p>
    <w:p w14:paraId="1089CD24" w14:textId="0D4DF791" w:rsidR="00336C16" w:rsidRPr="006D7B66" w:rsidRDefault="00FE705A" w:rsidP="00FE705A">
      <w:pPr>
        <w:pStyle w:val="Antrat"/>
        <w:rPr>
          <w:lang w:val="lt-LT"/>
        </w:rPr>
      </w:pPr>
      <w:bookmarkStart w:id="74" w:name="_Ref399857008"/>
      <w:bookmarkStart w:id="75" w:name="_Toc460321605"/>
      <w:r w:rsidRPr="006D7B66">
        <w:rPr>
          <w:lang w:val="lt-LT"/>
        </w:rPr>
        <w:t xml:space="preserve">Lentelė </w:t>
      </w:r>
      <w:r w:rsidRPr="006D7B66">
        <w:rPr>
          <w:lang w:val="lt-LT"/>
        </w:rPr>
        <w:fldChar w:fldCharType="begin"/>
      </w:r>
      <w:r w:rsidRPr="006D7B66">
        <w:rPr>
          <w:lang w:val="lt-LT"/>
        </w:rPr>
        <w:instrText xml:space="preserve"> SEQ Lentelė \* ARABIC </w:instrText>
      </w:r>
      <w:r w:rsidRPr="006D7B66">
        <w:rPr>
          <w:lang w:val="lt-LT"/>
        </w:rPr>
        <w:fldChar w:fldCharType="separate"/>
      </w:r>
      <w:r w:rsidR="00AA3082">
        <w:rPr>
          <w:noProof/>
          <w:lang w:val="lt-LT"/>
        </w:rPr>
        <w:t>24</w:t>
      </w:r>
      <w:r w:rsidRPr="006D7B66">
        <w:rPr>
          <w:lang w:val="lt-LT"/>
        </w:rPr>
        <w:fldChar w:fldCharType="end"/>
      </w:r>
      <w:bookmarkEnd w:id="74"/>
      <w:r w:rsidRPr="006D7B66">
        <w:rPr>
          <w:lang w:val="lt-LT"/>
        </w:rPr>
        <w:t xml:space="preserve">. </w:t>
      </w:r>
      <w:r w:rsidRPr="001E4B4F">
        <w:rPr>
          <w:szCs w:val="20"/>
          <w:lang w:val="lt-LT"/>
        </w:rPr>
        <w:t>Rinkos investicijų trūkumo įvertinimo duomenys.</w:t>
      </w:r>
      <w:bookmarkEnd w:id="75"/>
    </w:p>
    <w:tbl>
      <w:tblPr>
        <w:tblStyle w:val="viesussraas2parykinimas"/>
        <w:tblW w:w="5000" w:type="pct"/>
        <w:tblLook w:val="04A0" w:firstRow="1" w:lastRow="0" w:firstColumn="1" w:lastColumn="0" w:noHBand="0" w:noVBand="1"/>
      </w:tblPr>
      <w:tblGrid>
        <w:gridCol w:w="2310"/>
        <w:gridCol w:w="2310"/>
        <w:gridCol w:w="2311"/>
        <w:gridCol w:w="2311"/>
      </w:tblGrid>
      <w:tr w:rsidR="00336C16" w:rsidRPr="00E74298" w14:paraId="5474621E" w14:textId="77777777" w:rsidTr="000A5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single" w:sz="8" w:space="0" w:color="C0504D" w:themeColor="accent2"/>
              <w:left w:val="single" w:sz="8" w:space="0" w:color="C0504D" w:themeColor="accent2"/>
              <w:bottom w:val="nil"/>
              <w:right w:val="nil"/>
            </w:tcBorders>
            <w:hideMark/>
          </w:tcPr>
          <w:p w14:paraId="118F9108" w14:textId="77777777" w:rsidR="00336C16" w:rsidRPr="00E74298" w:rsidRDefault="00336C16">
            <w:pPr>
              <w:ind w:left="17"/>
              <w:contextualSpacing/>
              <w:jc w:val="center"/>
              <w:rPr>
                <w:rFonts w:ascii="Georgia" w:hAnsi="Georgia"/>
                <w:sz w:val="20"/>
                <w:szCs w:val="20"/>
              </w:rPr>
            </w:pPr>
            <w:r w:rsidRPr="00E74298">
              <w:rPr>
                <w:rFonts w:ascii="Georgia" w:hAnsi="Georgia"/>
                <w:sz w:val="20"/>
                <w:szCs w:val="20"/>
              </w:rPr>
              <w:t>Infrastruktūros tipas</w:t>
            </w:r>
          </w:p>
        </w:tc>
        <w:tc>
          <w:tcPr>
            <w:tcW w:w="1250" w:type="pct"/>
            <w:tcBorders>
              <w:top w:val="single" w:sz="8" w:space="0" w:color="C0504D" w:themeColor="accent2"/>
              <w:left w:val="nil"/>
              <w:bottom w:val="nil"/>
              <w:right w:val="nil"/>
            </w:tcBorders>
            <w:hideMark/>
          </w:tcPr>
          <w:p w14:paraId="4BBBA72A" w14:textId="77777777" w:rsidR="00336C16" w:rsidRPr="00E74298" w:rsidRDefault="00336C16">
            <w:pPr>
              <w:contextualSpacing/>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E74298">
              <w:rPr>
                <w:rFonts w:ascii="Georgia" w:hAnsi="Georgia"/>
                <w:sz w:val="20"/>
                <w:szCs w:val="20"/>
              </w:rPr>
              <w:t>Investicijų paklausa, mln. EUR (mln. LTL)</w:t>
            </w:r>
          </w:p>
        </w:tc>
        <w:tc>
          <w:tcPr>
            <w:tcW w:w="1250" w:type="pct"/>
            <w:tcBorders>
              <w:top w:val="single" w:sz="8" w:space="0" w:color="C0504D" w:themeColor="accent2"/>
              <w:left w:val="nil"/>
              <w:bottom w:val="nil"/>
              <w:right w:val="nil"/>
            </w:tcBorders>
            <w:hideMark/>
          </w:tcPr>
          <w:p w14:paraId="7908C621" w14:textId="77777777" w:rsidR="00336C16" w:rsidRPr="00E74298" w:rsidRDefault="00336C16">
            <w:pPr>
              <w:contextualSpacing/>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E74298">
              <w:rPr>
                <w:rFonts w:ascii="Georgia" w:hAnsi="Georgia"/>
                <w:sz w:val="20"/>
                <w:szCs w:val="20"/>
              </w:rPr>
              <w:t>Investicijų pasiūla, mln. EUR (mln. LTL)</w:t>
            </w:r>
          </w:p>
        </w:tc>
        <w:tc>
          <w:tcPr>
            <w:tcW w:w="1250" w:type="pct"/>
            <w:tcBorders>
              <w:top w:val="single" w:sz="8" w:space="0" w:color="C0504D" w:themeColor="accent2"/>
              <w:left w:val="nil"/>
              <w:bottom w:val="nil"/>
              <w:right w:val="single" w:sz="8" w:space="0" w:color="C0504D" w:themeColor="accent2"/>
            </w:tcBorders>
            <w:hideMark/>
          </w:tcPr>
          <w:p w14:paraId="60A5D1F4" w14:textId="77777777" w:rsidR="00336C16" w:rsidRPr="00E74298" w:rsidRDefault="00336C16" w:rsidP="006D7B66">
            <w:pPr>
              <w:ind w:left="26" w:firstLine="24"/>
              <w:contextualSpacing/>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0"/>
              </w:rPr>
            </w:pPr>
            <w:r w:rsidRPr="00E74298">
              <w:rPr>
                <w:rFonts w:ascii="Georgia" w:hAnsi="Georgia"/>
                <w:bCs w:val="0"/>
                <w:sz w:val="20"/>
                <w:szCs w:val="20"/>
              </w:rPr>
              <w:t>Investicijų trūkumas</w:t>
            </w:r>
            <w:r w:rsidR="006D7B66" w:rsidRPr="00E74298">
              <w:rPr>
                <w:rFonts w:ascii="Georgia" w:hAnsi="Georgia"/>
                <w:bCs w:val="0"/>
                <w:sz w:val="20"/>
                <w:szCs w:val="20"/>
              </w:rPr>
              <w:t>,</w:t>
            </w:r>
            <w:r w:rsidRPr="00E74298">
              <w:rPr>
                <w:rFonts w:ascii="Georgia" w:hAnsi="Georgia"/>
                <w:bCs w:val="0"/>
                <w:sz w:val="20"/>
                <w:szCs w:val="20"/>
              </w:rPr>
              <w:t xml:space="preserve"> </w:t>
            </w:r>
            <w:r w:rsidRPr="00E74298">
              <w:rPr>
                <w:rFonts w:ascii="Georgia" w:hAnsi="Georgia"/>
                <w:sz w:val="20"/>
                <w:szCs w:val="20"/>
              </w:rPr>
              <w:t>mln. EUR (mln. LTL)</w:t>
            </w:r>
          </w:p>
        </w:tc>
      </w:tr>
      <w:tr w:rsidR="00336C16" w:rsidRPr="00105B94" w14:paraId="56A26297" w14:textId="77777777" w:rsidTr="000A5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right w:val="nil"/>
            </w:tcBorders>
            <w:hideMark/>
          </w:tcPr>
          <w:p w14:paraId="0FE508FF" w14:textId="77777777" w:rsidR="00336C16" w:rsidRPr="00105B94" w:rsidRDefault="006D7B66" w:rsidP="006D7B66">
            <w:pPr>
              <w:ind w:left="17"/>
              <w:contextualSpacing/>
              <w:rPr>
                <w:rFonts w:ascii="Georgia" w:hAnsi="Georgia"/>
                <w:sz w:val="20"/>
                <w:szCs w:val="20"/>
              </w:rPr>
            </w:pPr>
            <w:r w:rsidRPr="00105B94">
              <w:rPr>
                <w:rFonts w:ascii="Georgia" w:hAnsi="Georgia"/>
                <w:b w:val="0"/>
                <w:sz w:val="20"/>
                <w:szCs w:val="20"/>
              </w:rPr>
              <w:t>Centrinės valdžios</w:t>
            </w:r>
            <w:r w:rsidR="00336C16" w:rsidRPr="00105B94">
              <w:rPr>
                <w:rFonts w:ascii="Georgia" w:hAnsi="Georgia"/>
                <w:b w:val="0"/>
                <w:sz w:val="20"/>
                <w:szCs w:val="20"/>
              </w:rPr>
              <w:t xml:space="preserve"> pastatų </w:t>
            </w:r>
            <w:r w:rsidRPr="00105B94">
              <w:rPr>
                <w:rFonts w:ascii="Georgia" w:hAnsi="Georgia"/>
                <w:b w:val="0"/>
                <w:sz w:val="20"/>
                <w:szCs w:val="20"/>
              </w:rPr>
              <w:t>modernizavimas</w:t>
            </w:r>
          </w:p>
        </w:tc>
        <w:tc>
          <w:tcPr>
            <w:tcW w:w="1250" w:type="pct"/>
            <w:tcBorders>
              <w:left w:val="nil"/>
              <w:right w:val="nil"/>
            </w:tcBorders>
            <w:hideMark/>
          </w:tcPr>
          <w:p w14:paraId="6096C7EC" w14:textId="77777777" w:rsidR="00336C16" w:rsidRPr="00105B94" w:rsidRDefault="00320E9D" w:rsidP="00320E9D">
            <w:pPr>
              <w:contextualSpacing/>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105B94">
              <w:rPr>
                <w:rFonts w:ascii="Georgia" w:hAnsi="Georgia" w:cs="Georgia"/>
                <w:sz w:val="20"/>
                <w:szCs w:val="20"/>
              </w:rPr>
              <w:t>169,7</w:t>
            </w:r>
            <w:r w:rsidR="00691207" w:rsidRPr="00105B94">
              <w:rPr>
                <w:rFonts w:ascii="Georgia" w:hAnsi="Georgia" w:cs="Georgia"/>
                <w:sz w:val="20"/>
                <w:szCs w:val="20"/>
              </w:rPr>
              <w:t xml:space="preserve"> (</w:t>
            </w:r>
            <w:r w:rsidRPr="00105B94">
              <w:rPr>
                <w:rFonts w:ascii="Georgia" w:hAnsi="Georgia" w:cs="Georgia"/>
                <w:sz w:val="20"/>
                <w:szCs w:val="20"/>
              </w:rPr>
              <w:t>585,9</w:t>
            </w:r>
            <w:r w:rsidR="00336C16" w:rsidRPr="00105B94">
              <w:rPr>
                <w:rFonts w:ascii="Georgia" w:hAnsi="Georgia" w:cs="Georgia"/>
                <w:sz w:val="20"/>
                <w:szCs w:val="20"/>
              </w:rPr>
              <w:t>)</w:t>
            </w:r>
          </w:p>
        </w:tc>
        <w:tc>
          <w:tcPr>
            <w:tcW w:w="1250" w:type="pct"/>
            <w:tcBorders>
              <w:left w:val="nil"/>
              <w:right w:val="nil"/>
            </w:tcBorders>
            <w:hideMark/>
          </w:tcPr>
          <w:p w14:paraId="138085CC" w14:textId="77777777" w:rsidR="00336C16" w:rsidRPr="00105B94" w:rsidRDefault="00336C16">
            <w:pPr>
              <w:contextualSpacing/>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105B94">
              <w:rPr>
                <w:rFonts w:ascii="Georgia" w:hAnsi="Georgia"/>
                <w:sz w:val="20"/>
                <w:szCs w:val="20"/>
              </w:rPr>
              <w:t>102,8 (355</w:t>
            </w:r>
            <w:r w:rsidR="00C519FD" w:rsidRPr="00105B94">
              <w:rPr>
                <w:rFonts w:ascii="Georgia" w:hAnsi="Georgia"/>
                <w:sz w:val="20"/>
                <w:szCs w:val="20"/>
              </w:rPr>
              <w:t>,0</w:t>
            </w:r>
            <w:r w:rsidRPr="00105B94">
              <w:rPr>
                <w:rFonts w:ascii="Georgia" w:hAnsi="Georgia"/>
                <w:sz w:val="20"/>
                <w:szCs w:val="20"/>
              </w:rPr>
              <w:t>)</w:t>
            </w:r>
          </w:p>
        </w:tc>
        <w:tc>
          <w:tcPr>
            <w:tcW w:w="1250" w:type="pct"/>
            <w:tcBorders>
              <w:left w:val="nil"/>
            </w:tcBorders>
            <w:hideMark/>
          </w:tcPr>
          <w:p w14:paraId="4499AD83" w14:textId="77777777" w:rsidR="00336C16" w:rsidRPr="00105B94" w:rsidRDefault="00DC1DCE" w:rsidP="003367EE">
            <w:pPr>
              <w:ind w:left="26" w:firstLine="24"/>
              <w:contextualSpacing/>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105B94">
              <w:rPr>
                <w:rFonts w:ascii="Georgia" w:hAnsi="Georgia"/>
                <w:sz w:val="20"/>
                <w:szCs w:val="20"/>
              </w:rPr>
              <w:t>6</w:t>
            </w:r>
            <w:r w:rsidR="003367EE" w:rsidRPr="00105B94">
              <w:rPr>
                <w:rFonts w:ascii="Georgia" w:hAnsi="Georgia"/>
                <w:sz w:val="20"/>
                <w:szCs w:val="20"/>
              </w:rPr>
              <w:t>6</w:t>
            </w:r>
            <w:r w:rsidR="00320E9D" w:rsidRPr="00105B94">
              <w:rPr>
                <w:rFonts w:ascii="Georgia" w:hAnsi="Georgia"/>
                <w:sz w:val="20"/>
                <w:szCs w:val="20"/>
              </w:rPr>
              <w:t>,</w:t>
            </w:r>
            <w:r w:rsidR="003367EE" w:rsidRPr="00105B94">
              <w:rPr>
                <w:rFonts w:ascii="Georgia" w:hAnsi="Georgia"/>
                <w:sz w:val="20"/>
                <w:szCs w:val="20"/>
              </w:rPr>
              <w:t>9</w:t>
            </w:r>
            <w:r w:rsidR="00336C16" w:rsidRPr="00105B94">
              <w:rPr>
                <w:rFonts w:ascii="Georgia" w:hAnsi="Georgia"/>
                <w:sz w:val="20"/>
                <w:szCs w:val="20"/>
              </w:rPr>
              <w:t xml:space="preserve"> (</w:t>
            </w:r>
            <w:r w:rsidR="00320E9D" w:rsidRPr="00105B94">
              <w:rPr>
                <w:rFonts w:ascii="Georgia" w:hAnsi="Georgia"/>
                <w:sz w:val="20"/>
                <w:szCs w:val="20"/>
              </w:rPr>
              <w:t>230,9</w:t>
            </w:r>
            <w:r w:rsidR="00336C16" w:rsidRPr="00105B94">
              <w:rPr>
                <w:rFonts w:ascii="Georgia" w:hAnsi="Georgia"/>
                <w:sz w:val="20"/>
                <w:szCs w:val="20"/>
              </w:rPr>
              <w:t>)</w:t>
            </w:r>
          </w:p>
        </w:tc>
      </w:tr>
      <w:tr w:rsidR="00336C16" w:rsidRPr="00105B94" w14:paraId="0BE84C29" w14:textId="77777777" w:rsidTr="000A566C">
        <w:tc>
          <w:tcPr>
            <w:cnfStyle w:val="001000000000" w:firstRow="0" w:lastRow="0" w:firstColumn="1" w:lastColumn="0" w:oddVBand="0" w:evenVBand="0" w:oddHBand="0" w:evenHBand="0" w:firstRowFirstColumn="0" w:firstRowLastColumn="0" w:lastRowFirstColumn="0" w:lastRowLastColumn="0"/>
            <w:tcW w:w="1250" w:type="pct"/>
            <w:tcBorders>
              <w:top w:val="nil"/>
              <w:left w:val="single" w:sz="8" w:space="0" w:color="C0504D" w:themeColor="accent2"/>
              <w:bottom w:val="nil"/>
              <w:right w:val="nil"/>
            </w:tcBorders>
            <w:hideMark/>
          </w:tcPr>
          <w:p w14:paraId="2EAD1931" w14:textId="77777777" w:rsidR="00336C16" w:rsidRPr="00105B94" w:rsidRDefault="00336C16" w:rsidP="006D7B66">
            <w:pPr>
              <w:ind w:left="17"/>
              <w:contextualSpacing/>
              <w:rPr>
                <w:rFonts w:ascii="Georgia" w:hAnsi="Georgia"/>
                <w:sz w:val="20"/>
                <w:szCs w:val="20"/>
              </w:rPr>
            </w:pPr>
            <w:r w:rsidRPr="00105B94">
              <w:rPr>
                <w:rFonts w:ascii="Georgia" w:hAnsi="Georgia"/>
                <w:b w:val="0"/>
                <w:sz w:val="20"/>
                <w:szCs w:val="20"/>
              </w:rPr>
              <w:t xml:space="preserve">Savivaldybės pastatų </w:t>
            </w:r>
            <w:r w:rsidR="006D7B66" w:rsidRPr="00105B94">
              <w:rPr>
                <w:rFonts w:ascii="Georgia" w:hAnsi="Georgia"/>
                <w:b w:val="0"/>
                <w:sz w:val="20"/>
                <w:szCs w:val="20"/>
              </w:rPr>
              <w:t>modernizavimas</w:t>
            </w:r>
          </w:p>
        </w:tc>
        <w:tc>
          <w:tcPr>
            <w:tcW w:w="1250" w:type="pct"/>
            <w:tcBorders>
              <w:top w:val="nil"/>
              <w:left w:val="nil"/>
              <w:bottom w:val="nil"/>
              <w:right w:val="nil"/>
            </w:tcBorders>
            <w:hideMark/>
          </w:tcPr>
          <w:p w14:paraId="41AC3A94" w14:textId="77777777" w:rsidR="00336C16" w:rsidRPr="00105B94" w:rsidRDefault="00336C16" w:rsidP="00320E9D">
            <w:pPr>
              <w:contextualSpacing/>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105B94">
              <w:rPr>
                <w:rFonts w:ascii="Georgia" w:hAnsi="Georgia" w:cs="Georgia"/>
                <w:sz w:val="20"/>
                <w:szCs w:val="20"/>
              </w:rPr>
              <w:t>23</w:t>
            </w:r>
            <w:r w:rsidR="00320E9D" w:rsidRPr="00105B94">
              <w:rPr>
                <w:rFonts w:ascii="Georgia" w:hAnsi="Georgia" w:cs="Georgia"/>
                <w:sz w:val="20"/>
                <w:szCs w:val="20"/>
              </w:rPr>
              <w:t>4,6</w:t>
            </w:r>
            <w:r w:rsidR="00691207" w:rsidRPr="00105B94">
              <w:rPr>
                <w:rFonts w:ascii="Georgia" w:hAnsi="Georgia" w:cs="Georgia"/>
                <w:sz w:val="20"/>
                <w:szCs w:val="20"/>
              </w:rPr>
              <w:t xml:space="preserve"> (</w:t>
            </w:r>
            <w:r w:rsidR="00320E9D" w:rsidRPr="00105B94">
              <w:rPr>
                <w:rFonts w:ascii="Georgia" w:hAnsi="Georgia" w:cs="Georgia"/>
                <w:sz w:val="20"/>
                <w:szCs w:val="20"/>
              </w:rPr>
              <w:t>809,9</w:t>
            </w:r>
            <w:r w:rsidRPr="00105B94">
              <w:rPr>
                <w:rFonts w:ascii="Georgia" w:hAnsi="Georgia" w:cs="Georgia"/>
                <w:sz w:val="20"/>
                <w:szCs w:val="20"/>
              </w:rPr>
              <w:t>)</w:t>
            </w:r>
          </w:p>
        </w:tc>
        <w:tc>
          <w:tcPr>
            <w:tcW w:w="1250" w:type="pct"/>
            <w:tcBorders>
              <w:top w:val="nil"/>
              <w:left w:val="nil"/>
              <w:bottom w:val="nil"/>
              <w:right w:val="nil"/>
            </w:tcBorders>
            <w:hideMark/>
          </w:tcPr>
          <w:p w14:paraId="07500813" w14:textId="77777777" w:rsidR="00336C16" w:rsidRPr="00105B94" w:rsidRDefault="00336C16" w:rsidP="00C519FD">
            <w:pPr>
              <w:contextualSpacing/>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105B94">
              <w:rPr>
                <w:rFonts w:ascii="Georgia" w:hAnsi="Georgia"/>
                <w:sz w:val="20"/>
                <w:szCs w:val="20"/>
              </w:rPr>
              <w:t>87,8 (30</w:t>
            </w:r>
            <w:r w:rsidR="00C519FD" w:rsidRPr="00105B94">
              <w:rPr>
                <w:rFonts w:ascii="Georgia" w:hAnsi="Georgia"/>
                <w:sz w:val="20"/>
                <w:szCs w:val="20"/>
              </w:rPr>
              <w:t>2,4</w:t>
            </w:r>
            <w:r w:rsidRPr="00105B94">
              <w:rPr>
                <w:rFonts w:ascii="Georgia" w:hAnsi="Georgia"/>
                <w:sz w:val="20"/>
                <w:szCs w:val="20"/>
              </w:rPr>
              <w:t>)</w:t>
            </w:r>
          </w:p>
        </w:tc>
        <w:tc>
          <w:tcPr>
            <w:tcW w:w="1250" w:type="pct"/>
            <w:tcBorders>
              <w:top w:val="nil"/>
              <w:left w:val="nil"/>
              <w:bottom w:val="nil"/>
              <w:right w:val="single" w:sz="8" w:space="0" w:color="C0504D" w:themeColor="accent2"/>
            </w:tcBorders>
            <w:hideMark/>
          </w:tcPr>
          <w:p w14:paraId="24527F3F" w14:textId="77777777" w:rsidR="00336C16" w:rsidRPr="00105B94" w:rsidRDefault="00336C16" w:rsidP="00C519FD">
            <w:pPr>
              <w:ind w:left="26" w:firstLine="24"/>
              <w:contextualSpacing/>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105B94">
              <w:rPr>
                <w:rFonts w:ascii="Georgia" w:hAnsi="Georgia"/>
                <w:sz w:val="20"/>
                <w:szCs w:val="20"/>
              </w:rPr>
              <w:t>146</w:t>
            </w:r>
            <w:r w:rsidR="00320E9D" w:rsidRPr="00105B94">
              <w:rPr>
                <w:rFonts w:ascii="Georgia" w:hAnsi="Georgia"/>
                <w:sz w:val="20"/>
                <w:szCs w:val="20"/>
              </w:rPr>
              <w:t>,8</w:t>
            </w:r>
            <w:r w:rsidRPr="00105B94">
              <w:rPr>
                <w:rFonts w:ascii="Georgia" w:hAnsi="Georgia"/>
                <w:sz w:val="20"/>
                <w:szCs w:val="20"/>
              </w:rPr>
              <w:t xml:space="preserve"> (50</w:t>
            </w:r>
            <w:r w:rsidR="00C519FD" w:rsidRPr="00105B94">
              <w:rPr>
                <w:rFonts w:ascii="Georgia" w:hAnsi="Georgia"/>
                <w:sz w:val="20"/>
                <w:szCs w:val="20"/>
              </w:rPr>
              <w:t>7</w:t>
            </w:r>
            <w:r w:rsidR="00320E9D" w:rsidRPr="00105B94">
              <w:rPr>
                <w:rFonts w:ascii="Georgia" w:hAnsi="Georgia"/>
                <w:sz w:val="20"/>
                <w:szCs w:val="20"/>
              </w:rPr>
              <w:t>,</w:t>
            </w:r>
            <w:r w:rsidR="00C519FD" w:rsidRPr="00105B94">
              <w:rPr>
                <w:rFonts w:ascii="Georgia" w:hAnsi="Georgia"/>
                <w:sz w:val="20"/>
                <w:szCs w:val="20"/>
              </w:rPr>
              <w:t>5</w:t>
            </w:r>
            <w:r w:rsidRPr="00105B94">
              <w:rPr>
                <w:rFonts w:ascii="Georgia" w:hAnsi="Georgia"/>
                <w:sz w:val="20"/>
                <w:szCs w:val="20"/>
              </w:rPr>
              <w:t>)</w:t>
            </w:r>
          </w:p>
        </w:tc>
      </w:tr>
      <w:tr w:rsidR="003F33B5" w:rsidRPr="00105B94" w14:paraId="2F950C1E" w14:textId="77777777" w:rsidTr="000A5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right w:val="nil"/>
            </w:tcBorders>
            <w:hideMark/>
          </w:tcPr>
          <w:p w14:paraId="69BE842E" w14:textId="77777777" w:rsidR="003F33B5" w:rsidRPr="00105B94" w:rsidRDefault="003F33B5">
            <w:pPr>
              <w:ind w:left="17"/>
              <w:contextualSpacing/>
              <w:rPr>
                <w:rFonts w:ascii="Georgia" w:hAnsi="Georgia"/>
                <w:b w:val="0"/>
                <w:sz w:val="20"/>
                <w:szCs w:val="20"/>
              </w:rPr>
            </w:pPr>
            <w:r w:rsidRPr="00105B94">
              <w:rPr>
                <w:rFonts w:ascii="Georgia" w:hAnsi="Georgia"/>
                <w:b w:val="0"/>
                <w:sz w:val="20"/>
                <w:szCs w:val="20"/>
              </w:rPr>
              <w:t xml:space="preserve">Daugiabučių </w:t>
            </w:r>
            <w:r w:rsidR="006D7B66" w:rsidRPr="00105B94">
              <w:rPr>
                <w:rFonts w:ascii="Georgia" w:hAnsi="Georgia"/>
                <w:b w:val="0"/>
                <w:sz w:val="20"/>
                <w:szCs w:val="20"/>
              </w:rPr>
              <w:t>modernizavimas</w:t>
            </w:r>
          </w:p>
        </w:tc>
        <w:tc>
          <w:tcPr>
            <w:tcW w:w="1250" w:type="pct"/>
            <w:tcBorders>
              <w:left w:val="nil"/>
              <w:right w:val="nil"/>
            </w:tcBorders>
            <w:hideMark/>
          </w:tcPr>
          <w:p w14:paraId="4CE1B6E5" w14:textId="77777777" w:rsidR="003F33B5" w:rsidRPr="00105B94" w:rsidRDefault="003F33B5">
            <w:pPr>
              <w:contextualSpacing/>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105B94">
              <w:rPr>
                <w:rFonts w:ascii="Georgia" w:hAnsi="Georgia" w:cs="Georgia"/>
                <w:sz w:val="20"/>
                <w:szCs w:val="20"/>
              </w:rPr>
              <w:t>1347,3 (4651,8)</w:t>
            </w:r>
          </w:p>
        </w:tc>
        <w:tc>
          <w:tcPr>
            <w:tcW w:w="1250" w:type="pct"/>
            <w:tcBorders>
              <w:left w:val="nil"/>
              <w:right w:val="nil"/>
            </w:tcBorders>
            <w:hideMark/>
          </w:tcPr>
          <w:p w14:paraId="0A325566" w14:textId="77777777" w:rsidR="003F33B5" w:rsidRPr="00105B94" w:rsidRDefault="00C519FD" w:rsidP="00C519FD">
            <w:pPr>
              <w:contextualSpacing/>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105B94">
              <w:rPr>
                <w:rFonts w:ascii="Georgia" w:hAnsi="Georgia"/>
                <w:sz w:val="20"/>
                <w:szCs w:val="20"/>
              </w:rPr>
              <w:t>382,6</w:t>
            </w:r>
            <w:r w:rsidR="003F33B5" w:rsidRPr="00105B94">
              <w:rPr>
                <w:rFonts w:ascii="Georgia" w:hAnsi="Georgia"/>
                <w:sz w:val="20"/>
                <w:szCs w:val="20"/>
              </w:rPr>
              <w:t xml:space="preserve"> (13</w:t>
            </w:r>
            <w:r w:rsidRPr="00105B94">
              <w:rPr>
                <w:rFonts w:ascii="Georgia" w:hAnsi="Georgia"/>
                <w:sz w:val="20"/>
                <w:szCs w:val="20"/>
              </w:rPr>
              <w:t>20,9</w:t>
            </w:r>
            <w:r w:rsidR="003F33B5" w:rsidRPr="00105B94">
              <w:rPr>
                <w:rFonts w:ascii="Georgia" w:hAnsi="Georgia"/>
                <w:sz w:val="20"/>
                <w:szCs w:val="20"/>
              </w:rPr>
              <w:t>)</w:t>
            </w:r>
          </w:p>
        </w:tc>
        <w:tc>
          <w:tcPr>
            <w:tcW w:w="1250" w:type="pct"/>
            <w:tcBorders>
              <w:left w:val="nil"/>
            </w:tcBorders>
            <w:hideMark/>
          </w:tcPr>
          <w:p w14:paraId="4802D43D" w14:textId="77777777" w:rsidR="003F33B5" w:rsidRPr="00105B94" w:rsidRDefault="003F33B5" w:rsidP="00C519FD">
            <w:pPr>
              <w:ind w:left="26" w:firstLine="24"/>
              <w:contextualSpacing/>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105B94">
              <w:rPr>
                <w:rFonts w:ascii="Georgia" w:hAnsi="Georgia"/>
                <w:sz w:val="20"/>
                <w:szCs w:val="20"/>
              </w:rPr>
              <w:t>9</w:t>
            </w:r>
            <w:r w:rsidR="00C519FD" w:rsidRPr="00105B94">
              <w:rPr>
                <w:rFonts w:ascii="Georgia" w:hAnsi="Georgia"/>
                <w:sz w:val="20"/>
                <w:szCs w:val="20"/>
              </w:rPr>
              <w:t>64</w:t>
            </w:r>
            <w:r w:rsidRPr="00105B94">
              <w:rPr>
                <w:rFonts w:ascii="Georgia" w:hAnsi="Georgia"/>
                <w:sz w:val="20"/>
                <w:szCs w:val="20"/>
              </w:rPr>
              <w:t>,</w:t>
            </w:r>
            <w:r w:rsidR="00C519FD" w:rsidRPr="00105B94">
              <w:rPr>
                <w:rFonts w:ascii="Georgia" w:hAnsi="Georgia"/>
                <w:sz w:val="20"/>
                <w:szCs w:val="20"/>
              </w:rPr>
              <w:t>7</w:t>
            </w:r>
            <w:r w:rsidRPr="00105B94">
              <w:rPr>
                <w:rFonts w:ascii="Georgia" w:hAnsi="Georgia"/>
                <w:sz w:val="20"/>
                <w:szCs w:val="20"/>
              </w:rPr>
              <w:t xml:space="preserve"> (3</w:t>
            </w:r>
            <w:r w:rsidR="00C519FD" w:rsidRPr="00105B94">
              <w:rPr>
                <w:rFonts w:ascii="Georgia" w:hAnsi="Georgia"/>
                <w:sz w:val="20"/>
                <w:szCs w:val="20"/>
              </w:rPr>
              <w:t>330</w:t>
            </w:r>
            <w:r w:rsidRPr="00105B94">
              <w:rPr>
                <w:rFonts w:ascii="Georgia" w:hAnsi="Georgia"/>
                <w:sz w:val="20"/>
                <w:szCs w:val="20"/>
              </w:rPr>
              <w:t>,</w:t>
            </w:r>
            <w:r w:rsidR="00C519FD" w:rsidRPr="00105B94">
              <w:rPr>
                <w:rFonts w:ascii="Georgia" w:hAnsi="Georgia"/>
                <w:sz w:val="20"/>
                <w:szCs w:val="20"/>
              </w:rPr>
              <w:t>9</w:t>
            </w:r>
            <w:r w:rsidRPr="00105B94">
              <w:rPr>
                <w:rFonts w:ascii="Georgia" w:hAnsi="Georgia"/>
                <w:sz w:val="20"/>
                <w:szCs w:val="20"/>
              </w:rPr>
              <w:t>)</w:t>
            </w:r>
          </w:p>
        </w:tc>
      </w:tr>
      <w:tr w:rsidR="00336C16" w14:paraId="61B4175F" w14:textId="77777777" w:rsidTr="000A566C">
        <w:tc>
          <w:tcPr>
            <w:cnfStyle w:val="001000000000" w:firstRow="0" w:lastRow="0" w:firstColumn="1" w:lastColumn="0" w:oddVBand="0" w:evenVBand="0" w:oddHBand="0" w:evenHBand="0" w:firstRowFirstColumn="0" w:firstRowLastColumn="0" w:lastRowFirstColumn="0" w:lastRowLastColumn="0"/>
            <w:tcW w:w="1250" w:type="pct"/>
            <w:tcBorders>
              <w:top w:val="nil"/>
              <w:left w:val="single" w:sz="8" w:space="0" w:color="C0504D" w:themeColor="accent2"/>
              <w:bottom w:val="single" w:sz="8" w:space="0" w:color="C0504D" w:themeColor="accent2"/>
              <w:right w:val="nil"/>
            </w:tcBorders>
            <w:hideMark/>
          </w:tcPr>
          <w:p w14:paraId="03FE9A38" w14:textId="77777777" w:rsidR="00336C16" w:rsidRPr="00105B94" w:rsidRDefault="00336C16">
            <w:pPr>
              <w:ind w:left="17"/>
              <w:contextualSpacing/>
              <w:rPr>
                <w:rFonts w:ascii="Georgia" w:hAnsi="Georgia"/>
                <w:b w:val="0"/>
                <w:sz w:val="20"/>
                <w:szCs w:val="20"/>
              </w:rPr>
            </w:pPr>
            <w:r w:rsidRPr="00105B94">
              <w:rPr>
                <w:rFonts w:ascii="Georgia" w:hAnsi="Georgia"/>
                <w:b w:val="0"/>
                <w:sz w:val="20"/>
                <w:szCs w:val="20"/>
              </w:rPr>
              <w:t xml:space="preserve">Gatvių apšvietimo tinklo </w:t>
            </w:r>
            <w:r w:rsidR="006D7B66" w:rsidRPr="00105B94">
              <w:rPr>
                <w:rFonts w:ascii="Georgia" w:hAnsi="Georgia"/>
                <w:b w:val="0"/>
                <w:sz w:val="20"/>
                <w:szCs w:val="20"/>
              </w:rPr>
              <w:t>modernizavimas</w:t>
            </w:r>
          </w:p>
        </w:tc>
        <w:tc>
          <w:tcPr>
            <w:tcW w:w="1250" w:type="pct"/>
            <w:tcBorders>
              <w:top w:val="nil"/>
              <w:left w:val="nil"/>
              <w:bottom w:val="single" w:sz="8" w:space="0" w:color="C0504D" w:themeColor="accent2"/>
              <w:right w:val="nil"/>
            </w:tcBorders>
            <w:hideMark/>
          </w:tcPr>
          <w:p w14:paraId="596EF61D" w14:textId="77777777" w:rsidR="00336C16" w:rsidRPr="00105B94" w:rsidRDefault="00AE1EF0" w:rsidP="00AE1EF0">
            <w:pPr>
              <w:contextualSpacing/>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105B94">
              <w:rPr>
                <w:rFonts w:ascii="Georgia" w:hAnsi="Georgia"/>
                <w:sz w:val="20"/>
                <w:szCs w:val="20"/>
              </w:rPr>
              <w:t>95</w:t>
            </w:r>
            <w:r w:rsidR="00336C16" w:rsidRPr="00105B94">
              <w:rPr>
                <w:rFonts w:ascii="Georgia" w:hAnsi="Georgia"/>
                <w:sz w:val="20"/>
                <w:szCs w:val="20"/>
              </w:rPr>
              <w:t>,</w:t>
            </w:r>
            <w:r w:rsidRPr="00105B94">
              <w:rPr>
                <w:rFonts w:ascii="Georgia" w:hAnsi="Georgia"/>
                <w:sz w:val="20"/>
                <w:szCs w:val="20"/>
              </w:rPr>
              <w:t>1</w:t>
            </w:r>
            <w:r w:rsidR="00336C16" w:rsidRPr="00105B94">
              <w:rPr>
                <w:rFonts w:ascii="Georgia" w:hAnsi="Georgia"/>
                <w:sz w:val="20"/>
                <w:szCs w:val="20"/>
              </w:rPr>
              <w:t xml:space="preserve"> (3</w:t>
            </w:r>
            <w:r w:rsidRPr="00105B94">
              <w:rPr>
                <w:rFonts w:ascii="Georgia" w:hAnsi="Georgia"/>
                <w:sz w:val="20"/>
                <w:szCs w:val="20"/>
              </w:rPr>
              <w:t>2</w:t>
            </w:r>
            <w:r w:rsidR="00336C16" w:rsidRPr="00105B94">
              <w:rPr>
                <w:rFonts w:ascii="Georgia" w:hAnsi="Georgia"/>
                <w:sz w:val="20"/>
                <w:szCs w:val="20"/>
              </w:rPr>
              <w:t>8,</w:t>
            </w:r>
            <w:r w:rsidRPr="00105B94">
              <w:rPr>
                <w:rFonts w:ascii="Georgia" w:hAnsi="Georgia"/>
                <w:sz w:val="20"/>
                <w:szCs w:val="20"/>
              </w:rPr>
              <w:t>7</w:t>
            </w:r>
            <w:r w:rsidR="00336C16" w:rsidRPr="00105B94">
              <w:rPr>
                <w:rFonts w:ascii="Georgia" w:hAnsi="Georgia"/>
                <w:sz w:val="20"/>
                <w:szCs w:val="20"/>
              </w:rPr>
              <w:t>)</w:t>
            </w:r>
          </w:p>
        </w:tc>
        <w:tc>
          <w:tcPr>
            <w:tcW w:w="1250" w:type="pct"/>
            <w:tcBorders>
              <w:top w:val="nil"/>
              <w:left w:val="nil"/>
              <w:bottom w:val="single" w:sz="8" w:space="0" w:color="C0504D" w:themeColor="accent2"/>
              <w:right w:val="nil"/>
            </w:tcBorders>
            <w:hideMark/>
          </w:tcPr>
          <w:p w14:paraId="10E490FA" w14:textId="77777777" w:rsidR="00336C16" w:rsidRPr="00105B94" w:rsidRDefault="00691207">
            <w:pPr>
              <w:contextualSpacing/>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105B94">
              <w:rPr>
                <w:rFonts w:ascii="Georgia" w:hAnsi="Georgia"/>
                <w:sz w:val="20"/>
                <w:szCs w:val="20"/>
              </w:rPr>
              <w:t>44,</w:t>
            </w:r>
            <w:r w:rsidR="00336C16" w:rsidRPr="00105B94">
              <w:rPr>
                <w:rFonts w:ascii="Georgia" w:hAnsi="Georgia"/>
                <w:sz w:val="20"/>
                <w:szCs w:val="20"/>
              </w:rPr>
              <w:t>6 (154</w:t>
            </w:r>
            <w:r w:rsidR="00C519FD" w:rsidRPr="00105B94">
              <w:rPr>
                <w:rFonts w:ascii="Georgia" w:hAnsi="Georgia"/>
                <w:sz w:val="20"/>
                <w:szCs w:val="20"/>
              </w:rPr>
              <w:t>,0</w:t>
            </w:r>
            <w:r w:rsidR="00336C16" w:rsidRPr="00105B94">
              <w:rPr>
                <w:rFonts w:ascii="Georgia" w:hAnsi="Georgia"/>
                <w:sz w:val="20"/>
                <w:szCs w:val="20"/>
              </w:rPr>
              <w:t>)</w:t>
            </w:r>
          </w:p>
        </w:tc>
        <w:tc>
          <w:tcPr>
            <w:tcW w:w="1250" w:type="pct"/>
            <w:tcBorders>
              <w:top w:val="nil"/>
              <w:left w:val="nil"/>
              <w:bottom w:val="single" w:sz="8" w:space="0" w:color="C0504D" w:themeColor="accent2"/>
              <w:right w:val="single" w:sz="8" w:space="0" w:color="C0504D" w:themeColor="accent2"/>
            </w:tcBorders>
            <w:hideMark/>
          </w:tcPr>
          <w:p w14:paraId="2B9A8384" w14:textId="77777777" w:rsidR="00336C16" w:rsidRDefault="00AE1EF0" w:rsidP="00AE1EF0">
            <w:pPr>
              <w:ind w:left="26" w:firstLine="24"/>
              <w:contextualSpacing/>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105B94">
              <w:rPr>
                <w:rFonts w:ascii="Georgia" w:hAnsi="Georgia"/>
                <w:sz w:val="20"/>
                <w:szCs w:val="20"/>
              </w:rPr>
              <w:t>50</w:t>
            </w:r>
            <w:r w:rsidR="00691207" w:rsidRPr="00105B94">
              <w:rPr>
                <w:rFonts w:ascii="Georgia" w:hAnsi="Georgia"/>
                <w:sz w:val="20"/>
                <w:szCs w:val="20"/>
              </w:rPr>
              <w:t>,</w:t>
            </w:r>
            <w:r w:rsidRPr="00105B94">
              <w:rPr>
                <w:rFonts w:ascii="Georgia" w:hAnsi="Georgia"/>
                <w:sz w:val="20"/>
                <w:szCs w:val="20"/>
              </w:rPr>
              <w:t>5</w:t>
            </w:r>
            <w:r w:rsidR="00691207" w:rsidRPr="00105B94">
              <w:rPr>
                <w:rFonts w:ascii="Georgia" w:hAnsi="Georgia"/>
                <w:sz w:val="20"/>
                <w:szCs w:val="20"/>
              </w:rPr>
              <w:t xml:space="preserve"> (</w:t>
            </w:r>
            <w:r w:rsidRPr="00105B94">
              <w:rPr>
                <w:rFonts w:ascii="Georgia" w:hAnsi="Georgia"/>
                <w:sz w:val="20"/>
                <w:szCs w:val="20"/>
              </w:rPr>
              <w:t>174</w:t>
            </w:r>
            <w:r w:rsidR="00691207" w:rsidRPr="00105B94">
              <w:rPr>
                <w:rFonts w:ascii="Georgia" w:hAnsi="Georgia"/>
                <w:sz w:val="20"/>
                <w:szCs w:val="20"/>
              </w:rPr>
              <w:t>,</w:t>
            </w:r>
            <w:r w:rsidRPr="00105B94">
              <w:rPr>
                <w:rFonts w:ascii="Georgia" w:hAnsi="Georgia"/>
                <w:sz w:val="20"/>
                <w:szCs w:val="20"/>
              </w:rPr>
              <w:t>7</w:t>
            </w:r>
            <w:r w:rsidR="00336C16" w:rsidRPr="00105B94">
              <w:rPr>
                <w:rFonts w:ascii="Georgia" w:hAnsi="Georgia"/>
                <w:sz w:val="20"/>
                <w:szCs w:val="20"/>
              </w:rPr>
              <w:t>)</w:t>
            </w:r>
          </w:p>
        </w:tc>
      </w:tr>
    </w:tbl>
    <w:p w14:paraId="54F18F19" w14:textId="77777777" w:rsidR="00336C16" w:rsidRDefault="00336C16" w:rsidP="00336C16">
      <w:pPr>
        <w:rPr>
          <w:rFonts w:ascii="Georgia" w:hAnsi="Georgia"/>
          <w:sz w:val="20"/>
          <w:szCs w:val="20"/>
          <w:lang w:val="lt-LT"/>
        </w:rPr>
      </w:pPr>
    </w:p>
    <w:p w14:paraId="520B8806" w14:textId="77777777" w:rsidR="0053708C" w:rsidRDefault="0053708C" w:rsidP="0053708C">
      <w:pPr>
        <w:jc w:val="both"/>
        <w:rPr>
          <w:rFonts w:ascii="Georgia" w:hAnsi="Georgia" w:cs="Georgia"/>
          <w:sz w:val="20"/>
          <w:szCs w:val="20"/>
          <w:lang w:val="lt-LT"/>
        </w:rPr>
      </w:pPr>
      <w:r w:rsidRPr="0053708C">
        <w:rPr>
          <w:rFonts w:ascii="Georgia" w:hAnsi="Georgia" w:cs="Georgia"/>
          <w:sz w:val="20"/>
          <w:szCs w:val="20"/>
          <w:lang w:val="lt-LT"/>
        </w:rPr>
        <w:lastRenderedPageBreak/>
        <w:t>Lentelėje aukščiau parodyta, kad kiekvienoje iš analizuojamų energijos efektyvumo sričių, susidaro nemaža nepatenkintų investicijų vertė: didžiausias finansavimo trūkumas susidaro daugiabučių modernizavimo, savivaldybių viešųjų pastatų modernizavimo srityse. Valstybei priklausančių viešųjų pastatų modernizavimo ir gatvių apšvietimo modernizavimo srityse taip pat identifikuoti finansavimo trūkumai. Atkreiptinas dėmesys, kad prognozuojamos komercinių bankų lėšos (įtrauktos į lentelę) yra prognozuojant didžiausią komercinių bankų skiriamą finansavimą</w:t>
      </w:r>
      <w:r w:rsidR="00DB253D">
        <w:rPr>
          <w:rFonts w:ascii="Georgia" w:hAnsi="Georgia" w:cs="Georgia"/>
          <w:sz w:val="20"/>
          <w:szCs w:val="20"/>
          <w:lang w:val="lt-LT"/>
        </w:rPr>
        <w:t xml:space="preserve"> (tuo atveju, jei renovacijos procesai </w:t>
      </w:r>
      <w:r w:rsidR="00B0641F">
        <w:rPr>
          <w:rFonts w:ascii="Georgia" w:hAnsi="Georgia" w:cs="Georgia"/>
          <w:sz w:val="20"/>
          <w:szCs w:val="20"/>
          <w:lang w:val="lt-LT"/>
        </w:rPr>
        <w:t xml:space="preserve">ir toliau bus </w:t>
      </w:r>
      <w:r w:rsidR="00DB253D">
        <w:rPr>
          <w:rFonts w:ascii="Georgia" w:hAnsi="Georgia" w:cs="Georgia"/>
          <w:sz w:val="20"/>
          <w:szCs w:val="20"/>
          <w:lang w:val="lt-LT"/>
        </w:rPr>
        <w:t>skatinami)</w:t>
      </w:r>
      <w:r w:rsidRPr="0053708C">
        <w:rPr>
          <w:rFonts w:ascii="Georgia" w:hAnsi="Georgia" w:cs="Georgia"/>
          <w:sz w:val="20"/>
          <w:szCs w:val="20"/>
          <w:lang w:val="lt-LT"/>
        </w:rPr>
        <w:t>, tačiau realus teikiamas finansavimas gali būti žymiai mažesnis ir tokiu būdu dar labiau didinantis atotrūkį tarp paklausos ir pasiūlos dydžių.</w:t>
      </w:r>
      <w:r w:rsidR="00384EE7">
        <w:rPr>
          <w:rFonts w:ascii="Georgia" w:hAnsi="Georgia" w:cs="Georgia"/>
          <w:sz w:val="20"/>
          <w:szCs w:val="20"/>
          <w:lang w:val="lt-LT"/>
        </w:rPr>
        <w:t xml:space="preserve"> Be to, didelę dalį trūkumo padengia 23 lentelėje parodytos ESI fondų lėšos, tad be šio lėšų šaltinio finansavimo trūkumas būtų dar didesnis visose iš 24 lentelėje pateiktų sričių.</w:t>
      </w:r>
    </w:p>
    <w:p w14:paraId="1F6E3522" w14:textId="77777777" w:rsidR="00FE705A" w:rsidRPr="0053708C" w:rsidRDefault="00FE705A" w:rsidP="0053708C">
      <w:pPr>
        <w:jc w:val="both"/>
        <w:rPr>
          <w:rFonts w:ascii="Georgia" w:hAnsi="Georgia" w:cs="Georgia"/>
          <w:sz w:val="20"/>
          <w:szCs w:val="20"/>
          <w:lang w:val="lt-LT"/>
        </w:rPr>
      </w:pPr>
    </w:p>
    <w:p w14:paraId="61F922DB" w14:textId="77777777" w:rsidR="00336C16" w:rsidRDefault="00336C16" w:rsidP="00C03122">
      <w:pPr>
        <w:pStyle w:val="Antrat2"/>
        <w:numPr>
          <w:ilvl w:val="1"/>
          <w:numId w:val="36"/>
        </w:numPr>
        <w:rPr>
          <w:lang w:val="lt-LT"/>
        </w:rPr>
      </w:pPr>
      <w:bookmarkStart w:id="76" w:name="_Toc417378379"/>
      <w:r>
        <w:rPr>
          <w:lang w:val="lt-LT"/>
        </w:rPr>
        <w:t>Rinkos gyvybingumo ir investicijų trūkumo susidarymo priežasčių analizė</w:t>
      </w:r>
      <w:bookmarkEnd w:id="76"/>
      <w:r>
        <w:rPr>
          <w:lang w:val="lt-LT"/>
        </w:rPr>
        <w:t xml:space="preserve"> </w:t>
      </w:r>
    </w:p>
    <w:p w14:paraId="2DBB0CAB" w14:textId="77777777" w:rsidR="00336C16" w:rsidRDefault="00336C16" w:rsidP="00F52F0D">
      <w:pPr>
        <w:keepNext/>
        <w:rPr>
          <w:lang w:val="lt-LT"/>
        </w:rPr>
      </w:pPr>
    </w:p>
    <w:p w14:paraId="7BE1BF2E" w14:textId="77777777" w:rsidR="00336C16" w:rsidRDefault="00484FFB" w:rsidP="00336C16">
      <w:pPr>
        <w:jc w:val="both"/>
        <w:rPr>
          <w:rFonts w:ascii="Georgia" w:hAnsi="Georgia"/>
          <w:sz w:val="20"/>
          <w:lang w:val="lt-LT"/>
        </w:rPr>
      </w:pPr>
      <w:r>
        <w:rPr>
          <w:rFonts w:ascii="Georgia" w:hAnsi="Georgia"/>
          <w:sz w:val="20"/>
          <w:lang w:val="lt-LT"/>
        </w:rPr>
        <w:t>Šio skyriaus tikslas</w:t>
      </w:r>
      <w:r w:rsidR="00336C16">
        <w:rPr>
          <w:rFonts w:ascii="Georgia" w:hAnsi="Georgia"/>
          <w:sz w:val="20"/>
          <w:lang w:val="lt-LT"/>
        </w:rPr>
        <w:t xml:space="preserve"> – </w:t>
      </w:r>
      <w:r>
        <w:rPr>
          <w:rFonts w:ascii="Georgia" w:hAnsi="Georgia"/>
          <w:sz w:val="20"/>
          <w:lang w:val="lt-LT"/>
        </w:rPr>
        <w:t>įvertinti</w:t>
      </w:r>
      <w:r w:rsidR="00336C16">
        <w:rPr>
          <w:rFonts w:ascii="Georgia" w:hAnsi="Georgia"/>
          <w:sz w:val="20"/>
          <w:lang w:val="lt-LT"/>
        </w:rPr>
        <w:t xml:space="preserve"> įvairi</w:t>
      </w:r>
      <w:r>
        <w:rPr>
          <w:rFonts w:ascii="Georgia" w:hAnsi="Georgia"/>
          <w:sz w:val="20"/>
          <w:lang w:val="lt-LT"/>
        </w:rPr>
        <w:t>as</w:t>
      </w:r>
      <w:r w:rsidR="00336C16">
        <w:rPr>
          <w:rFonts w:ascii="Georgia" w:hAnsi="Georgia"/>
          <w:sz w:val="20"/>
          <w:lang w:val="lt-LT"/>
        </w:rPr>
        <w:t xml:space="preserve"> priežas</w:t>
      </w:r>
      <w:r>
        <w:rPr>
          <w:rFonts w:ascii="Georgia" w:hAnsi="Georgia"/>
          <w:sz w:val="20"/>
          <w:lang w:val="lt-LT"/>
        </w:rPr>
        <w:t>tis, dėl kurių</w:t>
      </w:r>
      <w:r w:rsidR="00336C16">
        <w:rPr>
          <w:rFonts w:ascii="Georgia" w:hAnsi="Georgia"/>
          <w:sz w:val="20"/>
          <w:lang w:val="lt-LT"/>
        </w:rPr>
        <w:t xml:space="preserve"> rinkoje egzistuojantys finansavimo šaltiniai pilnai nepadengia</w:t>
      </w:r>
      <w:r>
        <w:rPr>
          <w:rFonts w:ascii="Georgia" w:hAnsi="Georgia"/>
          <w:sz w:val="20"/>
          <w:lang w:val="lt-LT"/>
        </w:rPr>
        <w:t xml:space="preserve"> esančios</w:t>
      </w:r>
      <w:r w:rsidR="00336C16">
        <w:rPr>
          <w:rFonts w:ascii="Georgia" w:hAnsi="Georgia"/>
          <w:sz w:val="20"/>
          <w:lang w:val="lt-LT"/>
        </w:rPr>
        <w:t xml:space="preserve"> investicijų paklausos. Rinkos nepakankamumo priežastys gali būti labai įvairios, susijusios tiek su paklausos, tiek su pasiūlos puse, taip pat susijusios su pačių projektų esme, pavyzdžiui, gyvybingumo stokos </w:t>
      </w:r>
      <w:r>
        <w:rPr>
          <w:rFonts w:ascii="Georgia" w:hAnsi="Georgia"/>
          <w:sz w:val="20"/>
          <w:lang w:val="lt-LT"/>
        </w:rPr>
        <w:t>problemos</w:t>
      </w:r>
      <w:r w:rsidR="00336C16">
        <w:rPr>
          <w:rFonts w:ascii="Georgia" w:hAnsi="Georgia"/>
          <w:sz w:val="20"/>
          <w:lang w:val="lt-LT"/>
        </w:rPr>
        <w:t>. Dėl šių atsiradusių priežasčių nėra įgyvendinami/pasiekiami energijos taupymo tikslai be valstybės įsikišimo</w:t>
      </w:r>
      <w:r w:rsidR="0050414C">
        <w:rPr>
          <w:rFonts w:ascii="Georgia" w:hAnsi="Georgia"/>
          <w:sz w:val="20"/>
          <w:lang w:val="lt-LT"/>
        </w:rPr>
        <w:t xml:space="preserve"> (t.y. jeigu projektai būtų finansuojami tik iš rinkoje esančių finansavimo šaltinių), tačiau ir viešųjų išteklių padengti susidariusiems investicijų poreikiams nepakanka</w:t>
      </w:r>
      <w:r w:rsidR="00336C16">
        <w:rPr>
          <w:rFonts w:ascii="Georgia" w:hAnsi="Georgia"/>
          <w:sz w:val="20"/>
          <w:lang w:val="lt-LT"/>
        </w:rPr>
        <w:t xml:space="preserve">.  </w:t>
      </w:r>
    </w:p>
    <w:p w14:paraId="1E70375B" w14:textId="77777777" w:rsidR="00336C16" w:rsidRPr="0011082B" w:rsidRDefault="00336C16" w:rsidP="00336C16">
      <w:pPr>
        <w:jc w:val="both"/>
        <w:rPr>
          <w:rFonts w:ascii="Georgia" w:hAnsi="Georgia"/>
          <w:sz w:val="20"/>
        </w:rPr>
      </w:pPr>
      <w:r>
        <w:rPr>
          <w:rFonts w:ascii="Georgia" w:hAnsi="Georgia"/>
          <w:sz w:val="20"/>
          <w:lang w:val="lt-LT"/>
        </w:rPr>
        <w:t>Šiame skyriuje aptariama, dėl kokių priežasčių susidaro</w:t>
      </w:r>
      <w:r w:rsidR="00F52F0D">
        <w:rPr>
          <w:rFonts w:ascii="Georgia" w:hAnsi="Georgia"/>
          <w:sz w:val="20"/>
          <w:lang w:val="lt-LT"/>
        </w:rPr>
        <w:t xml:space="preserve"> 24-oje lentelėje</w:t>
      </w:r>
      <w:r>
        <w:rPr>
          <w:rFonts w:ascii="Georgia" w:hAnsi="Georgia"/>
          <w:sz w:val="20"/>
          <w:lang w:val="lt-LT"/>
        </w:rPr>
        <w:t xml:space="preserve"> identifikuoti rinkos trūkumai</w:t>
      </w:r>
      <w:r w:rsidR="00E7742A">
        <w:rPr>
          <w:rFonts w:ascii="Georgia" w:hAnsi="Georgia"/>
          <w:sz w:val="20"/>
          <w:lang w:val="lt-LT"/>
        </w:rPr>
        <w:t xml:space="preserve"> </w:t>
      </w:r>
      <w:r>
        <w:rPr>
          <w:rFonts w:ascii="Georgia" w:hAnsi="Georgia"/>
          <w:sz w:val="20"/>
          <w:lang w:val="lt-LT"/>
        </w:rPr>
        <w:t xml:space="preserve">energijos efektyvumo projektų finansavimui.  Didelė dalis rinkos trūkumų susidarymo priežasčių buvo nagrinėta PwC studijoje bei KPMG studijoje, </w:t>
      </w:r>
      <w:r w:rsidR="0053708C">
        <w:rPr>
          <w:rFonts w:ascii="Georgia" w:hAnsi="Georgia"/>
          <w:sz w:val="20"/>
          <w:lang w:val="lt-LT"/>
        </w:rPr>
        <w:t>todėl šiose studijose</w:t>
      </w:r>
      <w:r>
        <w:rPr>
          <w:rFonts w:ascii="Georgia" w:hAnsi="Georgia"/>
          <w:sz w:val="20"/>
          <w:lang w:val="lt-LT"/>
        </w:rPr>
        <w:t xml:space="preserve"> identifikuotos priežastys </w:t>
      </w:r>
      <w:r w:rsidR="0053708C">
        <w:rPr>
          <w:rFonts w:ascii="Georgia" w:hAnsi="Georgia"/>
          <w:sz w:val="20"/>
          <w:lang w:val="lt-LT"/>
        </w:rPr>
        <w:t>taip pat įkeltos</w:t>
      </w:r>
      <w:r>
        <w:rPr>
          <w:rFonts w:ascii="Georgia" w:hAnsi="Georgia"/>
          <w:sz w:val="20"/>
          <w:lang w:val="lt-LT"/>
        </w:rPr>
        <w:t xml:space="preserve"> į šį ex ante </w:t>
      </w:r>
      <w:r w:rsidR="00484FFB">
        <w:rPr>
          <w:rFonts w:ascii="Georgia" w:hAnsi="Georgia"/>
          <w:sz w:val="20"/>
          <w:lang w:val="lt-LT"/>
        </w:rPr>
        <w:t>vertinimo</w:t>
      </w:r>
      <w:r>
        <w:rPr>
          <w:rFonts w:ascii="Georgia" w:hAnsi="Georgia"/>
          <w:sz w:val="20"/>
          <w:lang w:val="lt-LT"/>
        </w:rPr>
        <w:t xml:space="preserve"> skyrių. </w:t>
      </w:r>
    </w:p>
    <w:p w14:paraId="52086A69" w14:textId="77777777" w:rsidR="00336C16" w:rsidRPr="00FE705A" w:rsidRDefault="00336C16" w:rsidP="00336C16">
      <w:pPr>
        <w:rPr>
          <w:rFonts w:ascii="Georgia" w:hAnsi="Georgia"/>
          <w:i/>
          <w:sz w:val="20"/>
          <w:lang w:val="lt-LT"/>
        </w:rPr>
      </w:pPr>
      <w:r w:rsidRPr="00FE705A">
        <w:rPr>
          <w:rFonts w:ascii="Georgia" w:hAnsi="Georgia"/>
          <w:i/>
          <w:sz w:val="20"/>
          <w:lang w:val="lt-LT"/>
        </w:rPr>
        <w:t>Neapmokestinamos taršos įtaka</w:t>
      </w:r>
    </w:p>
    <w:p w14:paraId="27E71B82" w14:textId="77777777" w:rsidR="00336C16" w:rsidRDefault="00336C16" w:rsidP="00336C16">
      <w:pPr>
        <w:jc w:val="both"/>
        <w:rPr>
          <w:rFonts w:ascii="Georgia" w:hAnsi="Georgia"/>
          <w:sz w:val="20"/>
          <w:lang w:val="lt-LT"/>
        </w:rPr>
      </w:pPr>
      <w:r>
        <w:rPr>
          <w:rFonts w:ascii="Georgia" w:hAnsi="Georgia"/>
          <w:sz w:val="20"/>
          <w:lang w:val="lt-LT"/>
        </w:rPr>
        <w:t>Viena iš labai svarbių rinkos trūkumo su</w:t>
      </w:r>
      <w:r w:rsidR="00484FFB">
        <w:rPr>
          <w:rFonts w:ascii="Georgia" w:hAnsi="Georgia"/>
          <w:sz w:val="20"/>
          <w:lang w:val="lt-LT"/>
        </w:rPr>
        <w:t>sidarymo priežasčių, kylančių iš</w:t>
      </w:r>
      <w:r>
        <w:rPr>
          <w:rFonts w:ascii="Georgia" w:hAnsi="Georgia"/>
          <w:sz w:val="20"/>
          <w:lang w:val="lt-LT"/>
        </w:rPr>
        <w:t xml:space="preserve"> paklausos, t.y. projektų, pusės, yra tai, kad aplinkosauginiai ir socialiniai kaštai, tokie kaip taršos, šiltnamio efektą sukeliančių dujų emisijos, išteklių išeikvojimo, geopolitinės priklausomybės, nėra atspindėti energijos kainodaroje. </w:t>
      </w:r>
      <w:r w:rsidR="0050414C">
        <w:rPr>
          <w:rFonts w:ascii="Georgia" w:hAnsi="Georgia"/>
          <w:sz w:val="20"/>
          <w:lang w:val="lt-LT"/>
        </w:rPr>
        <w:t>E</w:t>
      </w:r>
      <w:r>
        <w:rPr>
          <w:rFonts w:ascii="Georgia" w:hAnsi="Georgia"/>
          <w:sz w:val="20"/>
          <w:lang w:val="lt-LT"/>
        </w:rPr>
        <w:t>nergijos vartotojai savo sprendimus ir pasirinkimus grindžia atsižvelgiant į energijos kainą, kuri yra mažesnė nei visi kiti visuomenės patiriami kaštai. Elektros kaina namų ūkiams yra viena mažiausių Europoje, o r</w:t>
      </w:r>
      <w:r w:rsidR="0050414C">
        <w:rPr>
          <w:rFonts w:ascii="Georgia" w:hAnsi="Georgia"/>
          <w:sz w:val="20"/>
          <w:lang w:val="lt-LT"/>
        </w:rPr>
        <w:t xml:space="preserve">emiantis </w:t>
      </w:r>
      <w:r w:rsidR="00FB5D92">
        <w:rPr>
          <w:rFonts w:ascii="Georgia" w:hAnsi="Georgia"/>
          <w:sz w:val="20"/>
          <w:lang w:val="lt-LT"/>
        </w:rPr>
        <w:t>Eurostato</w:t>
      </w:r>
      <w:r w:rsidR="0050414C">
        <w:rPr>
          <w:rFonts w:ascii="Georgia" w:hAnsi="Georgia"/>
          <w:sz w:val="20"/>
          <w:lang w:val="lt-LT"/>
        </w:rPr>
        <w:t xml:space="preserve"> duomenimis, </w:t>
      </w:r>
      <w:r>
        <w:rPr>
          <w:rFonts w:ascii="Georgia" w:hAnsi="Georgia"/>
          <w:sz w:val="20"/>
          <w:lang w:val="lt-LT"/>
        </w:rPr>
        <w:t xml:space="preserve">energijos suvartojimo šiltnamio efektą sukeliančių dujų emisijos pastaraisiais metais buvo vienos didžiausių Europoje. Tai parodo, kad iš tiesų egzistuoja neigiamas minėtų išorinių veiksnių poveikis. </w:t>
      </w:r>
    </w:p>
    <w:p w14:paraId="68170A23" w14:textId="77777777" w:rsidR="00336C16" w:rsidRDefault="00336C16" w:rsidP="00336C16">
      <w:pPr>
        <w:jc w:val="both"/>
        <w:rPr>
          <w:rFonts w:ascii="Georgia" w:hAnsi="Georgia"/>
          <w:sz w:val="20"/>
          <w:lang w:val="lt-LT"/>
        </w:rPr>
      </w:pPr>
      <w:r>
        <w:rPr>
          <w:rFonts w:ascii="Georgia" w:hAnsi="Georgia"/>
          <w:sz w:val="20"/>
          <w:lang w:val="lt-LT"/>
        </w:rPr>
        <w:t xml:space="preserve">Aplinkosauginiai veiksniai, kurie nėra padengiami energijos kainos dalimi, sukuria energijos perteklinį vartojimą bei nepakankamas investicijas į energijos efektyvumą ir turto išsaugojimą, be to, energijos vartotojai renkasi pigesnę energijos rūšį vietoje </w:t>
      </w:r>
      <w:r w:rsidR="00DF38BD">
        <w:rPr>
          <w:rFonts w:ascii="Georgia" w:hAnsi="Georgia"/>
          <w:sz w:val="20"/>
          <w:lang w:val="lt-LT"/>
        </w:rPr>
        <w:t>ekologiškesnių</w:t>
      </w:r>
      <w:r>
        <w:rPr>
          <w:rFonts w:ascii="Georgia" w:hAnsi="Georgia"/>
          <w:sz w:val="20"/>
          <w:lang w:val="lt-LT"/>
        </w:rPr>
        <w:t xml:space="preserve">, tačiau brangesnių energijos šaltinių bei energijos efektyvumo priemonių diegimo. </w:t>
      </w:r>
    </w:p>
    <w:p w14:paraId="56ECDE98" w14:textId="77777777" w:rsidR="00336C16" w:rsidRPr="00FE705A" w:rsidRDefault="00336C16" w:rsidP="00336C16">
      <w:pPr>
        <w:jc w:val="both"/>
        <w:rPr>
          <w:rFonts w:ascii="Georgia" w:hAnsi="Georgia"/>
          <w:i/>
          <w:sz w:val="20"/>
          <w:lang w:val="lt-LT"/>
        </w:rPr>
      </w:pPr>
      <w:r w:rsidRPr="00FE705A">
        <w:rPr>
          <w:rFonts w:ascii="Georgia" w:hAnsi="Georgia"/>
          <w:i/>
          <w:sz w:val="20"/>
          <w:lang w:val="lt-LT"/>
        </w:rPr>
        <w:t>Asimetrinė informacija</w:t>
      </w:r>
    </w:p>
    <w:p w14:paraId="58244D0D" w14:textId="77777777" w:rsidR="00336C16" w:rsidRDefault="00336C16" w:rsidP="00336C16">
      <w:pPr>
        <w:jc w:val="both"/>
        <w:rPr>
          <w:rFonts w:ascii="Georgia" w:hAnsi="Georgia"/>
          <w:sz w:val="20"/>
          <w:lang w:val="lt-LT"/>
        </w:rPr>
      </w:pPr>
      <w:r>
        <w:rPr>
          <w:rFonts w:ascii="Georgia" w:hAnsi="Georgia"/>
          <w:sz w:val="20"/>
          <w:lang w:val="lt-LT"/>
        </w:rPr>
        <w:t>Asimetrinė informacija pasireiškia tuomet, kai vartotojai, pardavėjai, gamintojai, politikai</w:t>
      </w:r>
      <w:r w:rsidR="0011082B">
        <w:rPr>
          <w:rFonts w:ascii="Georgia" w:hAnsi="Georgia"/>
          <w:sz w:val="20"/>
          <w:lang w:val="lt-LT"/>
        </w:rPr>
        <w:t>, finansuotojai</w:t>
      </w:r>
      <w:r>
        <w:rPr>
          <w:rFonts w:ascii="Georgia" w:hAnsi="Georgia"/>
          <w:sz w:val="20"/>
          <w:lang w:val="lt-LT"/>
        </w:rPr>
        <w:t xml:space="preserve"> turi nepakankamos arba neteisingos informacijos apie energijos efektyvumo </w:t>
      </w:r>
      <w:r w:rsidR="0011082B">
        <w:rPr>
          <w:rFonts w:ascii="Georgia" w:hAnsi="Georgia"/>
          <w:sz w:val="20"/>
          <w:lang w:val="lt-LT"/>
        </w:rPr>
        <w:t>projektų savybes ir teikiamas galimybes</w:t>
      </w:r>
      <w:r>
        <w:rPr>
          <w:rFonts w:ascii="Georgia" w:hAnsi="Georgia"/>
          <w:sz w:val="20"/>
          <w:lang w:val="lt-LT"/>
        </w:rPr>
        <w:t xml:space="preserve">. Energijos vartotojai dažnai neturi efektyvios praktikos bei nežino apie egzistuojančias technologijas energijos taupymui. Viena iš tokios informacijos trūkumo susidarymo priežasčių yra energetinio išprusimo, mokymų ir tuo pačiu motyvacijos trūkumas, kurie taip pat prisideda prie nepakankamų investicijų į energijos efektyvumo priemones.  </w:t>
      </w:r>
    </w:p>
    <w:p w14:paraId="03ACD1C7" w14:textId="77777777" w:rsidR="007D2AEC" w:rsidRDefault="007D2AEC" w:rsidP="00336C16">
      <w:pPr>
        <w:jc w:val="both"/>
        <w:rPr>
          <w:rFonts w:ascii="Georgia" w:hAnsi="Georgia"/>
          <w:sz w:val="20"/>
          <w:lang w:val="lt-LT"/>
        </w:rPr>
      </w:pPr>
      <w:r>
        <w:rPr>
          <w:rFonts w:ascii="Georgia" w:hAnsi="Georgia"/>
          <w:sz w:val="20"/>
          <w:lang w:val="lt-LT"/>
        </w:rPr>
        <w:lastRenderedPageBreak/>
        <w:t>Energijos vartojimo efektyvumo srityje potencialūs projektų vykdytojai – energiją vartojantys fiziniai ir juridiniai asmenys. Fiziniai asmenys, kurie yra galutiniai naudos gavėjai daugiabučių modernizavimo projektuose, dažnai neišmano energinio efektyvumo priemonių įdiegimo naudos, bendras sutarimas tarp daugiabučio namo gyventojų gali būti ilgas, o kartais ir neįgyvendinamas procesas. Daugiabučių namų gyventojai dėl daugelio priežasčių turi žemą motyvaciją inicijuoti energijos efektyvumo projektus.</w:t>
      </w:r>
    </w:p>
    <w:p w14:paraId="17F881E8" w14:textId="77777777" w:rsidR="0011082B" w:rsidRDefault="0011082B" w:rsidP="00336C16">
      <w:pPr>
        <w:jc w:val="both"/>
        <w:rPr>
          <w:rFonts w:ascii="Georgia" w:hAnsi="Georgia"/>
          <w:sz w:val="20"/>
          <w:lang w:val="lt-LT"/>
        </w:rPr>
      </w:pPr>
      <w:r>
        <w:rPr>
          <w:rFonts w:ascii="Georgia" w:hAnsi="Georgia"/>
          <w:sz w:val="20"/>
          <w:lang w:val="lt-LT"/>
        </w:rPr>
        <w:t xml:space="preserve">Finansuotojai taip pat susiduria su asimetrinės informacijos problema, kadangi neturi pakankamos informacijos apie energijos efektyvumo projektų atsiperkamumą, nes tokios istorijos rinkoje yra dar labai nedaug. Be to, finansuotojai ir projektų vykdytojai energijos efektyvumo projektą vertina skirtingais aspektais, todėl projektų vykdytojui gali būti sunku rasti finansavimą, o finansuotojui sunku rasti tinkamų projektų investicijoms. </w:t>
      </w:r>
    </w:p>
    <w:p w14:paraId="339C671E" w14:textId="77777777" w:rsidR="00336C16" w:rsidRPr="00FE705A" w:rsidRDefault="00336C16" w:rsidP="00336C16">
      <w:pPr>
        <w:jc w:val="both"/>
        <w:rPr>
          <w:rFonts w:ascii="Georgia" w:hAnsi="Georgia"/>
          <w:i/>
          <w:sz w:val="20"/>
          <w:lang w:val="lt-LT"/>
        </w:rPr>
      </w:pPr>
      <w:r w:rsidRPr="00FE705A">
        <w:rPr>
          <w:rFonts w:ascii="Georgia" w:hAnsi="Georgia"/>
          <w:i/>
          <w:sz w:val="20"/>
          <w:lang w:val="lt-LT"/>
        </w:rPr>
        <w:t>Didelės rizikos</w:t>
      </w:r>
    </w:p>
    <w:p w14:paraId="122CA877" w14:textId="77777777" w:rsidR="00336C16" w:rsidRDefault="0011082B" w:rsidP="00336C16">
      <w:pPr>
        <w:jc w:val="both"/>
        <w:rPr>
          <w:rFonts w:ascii="Georgia" w:hAnsi="Georgia"/>
          <w:sz w:val="20"/>
          <w:lang w:val="lt-LT"/>
        </w:rPr>
      </w:pPr>
      <w:r>
        <w:rPr>
          <w:rFonts w:ascii="Georgia" w:hAnsi="Georgia"/>
          <w:sz w:val="20"/>
          <w:lang w:val="lt-LT"/>
        </w:rPr>
        <w:t xml:space="preserve">Investuotojams nepriimtinos rizikos </w:t>
      </w:r>
      <w:r w:rsidR="00336C16">
        <w:rPr>
          <w:rFonts w:ascii="Georgia" w:hAnsi="Georgia"/>
          <w:sz w:val="20"/>
          <w:lang w:val="lt-LT"/>
        </w:rPr>
        <w:t>dažnai yra trukdis investicijoms</w:t>
      </w:r>
      <w:r>
        <w:rPr>
          <w:rFonts w:ascii="Georgia" w:hAnsi="Georgia"/>
          <w:sz w:val="20"/>
          <w:lang w:val="lt-LT"/>
        </w:rPr>
        <w:t>. E</w:t>
      </w:r>
      <w:r w:rsidR="00336C16">
        <w:rPr>
          <w:rFonts w:ascii="Georgia" w:hAnsi="Georgia"/>
          <w:sz w:val="20"/>
          <w:lang w:val="lt-LT"/>
        </w:rPr>
        <w:t>nergijo</w:t>
      </w:r>
      <w:r>
        <w:rPr>
          <w:rFonts w:ascii="Georgia" w:hAnsi="Georgia"/>
          <w:sz w:val="20"/>
          <w:lang w:val="lt-LT"/>
        </w:rPr>
        <w:t>s efektyvumo</w:t>
      </w:r>
      <w:r w:rsidR="00336C16">
        <w:rPr>
          <w:rFonts w:ascii="Georgia" w:hAnsi="Georgia"/>
          <w:sz w:val="20"/>
          <w:lang w:val="lt-LT"/>
        </w:rPr>
        <w:t xml:space="preserve"> </w:t>
      </w:r>
      <w:r>
        <w:rPr>
          <w:rFonts w:ascii="Georgia" w:hAnsi="Georgia"/>
          <w:sz w:val="20"/>
          <w:lang w:val="lt-LT"/>
        </w:rPr>
        <w:t>srityje pagrindinės rizikos yra šios</w:t>
      </w:r>
      <w:r w:rsidR="00336C16">
        <w:rPr>
          <w:rFonts w:ascii="Georgia" w:hAnsi="Georgia"/>
          <w:sz w:val="20"/>
          <w:lang w:val="lt-LT"/>
        </w:rPr>
        <w:t xml:space="preserve">: realių energijos sutaupymų rizika, </w:t>
      </w:r>
      <w:r>
        <w:rPr>
          <w:rFonts w:ascii="Georgia" w:hAnsi="Georgia"/>
          <w:sz w:val="20"/>
          <w:lang w:val="lt-LT"/>
        </w:rPr>
        <w:t xml:space="preserve">statybos darbų rizika, </w:t>
      </w:r>
      <w:r w:rsidR="00336C16">
        <w:rPr>
          <w:rFonts w:ascii="Georgia" w:hAnsi="Georgia"/>
          <w:sz w:val="20"/>
          <w:lang w:val="lt-LT"/>
        </w:rPr>
        <w:t>energijos kainų kitimo rizika, bendros ekonominės situacijos rizika, valstybinės politikos tęstinumo rizika,</w:t>
      </w:r>
      <w:r>
        <w:rPr>
          <w:rFonts w:ascii="Georgia" w:hAnsi="Georgia"/>
          <w:sz w:val="20"/>
          <w:lang w:val="lt-LT"/>
        </w:rPr>
        <w:t xml:space="preserve"> juridinio asmens, kuris vartoja energiją ir iš sutaupymų apmoka investicijas, rizika,</w:t>
      </w:r>
      <w:r w:rsidR="00336C16">
        <w:rPr>
          <w:rFonts w:ascii="Georgia" w:hAnsi="Georgia"/>
          <w:sz w:val="20"/>
          <w:lang w:val="lt-LT"/>
        </w:rPr>
        <w:t xml:space="preserve"> viešųjų pastatų reikalingumo rizi</w:t>
      </w:r>
      <w:r>
        <w:rPr>
          <w:rFonts w:ascii="Georgia" w:hAnsi="Georgia"/>
          <w:sz w:val="20"/>
          <w:lang w:val="lt-LT"/>
        </w:rPr>
        <w:t>ka, ir kt</w:t>
      </w:r>
      <w:r w:rsidR="00336C16">
        <w:rPr>
          <w:rFonts w:ascii="Georgia" w:hAnsi="Georgia"/>
          <w:sz w:val="20"/>
          <w:lang w:val="lt-LT"/>
        </w:rPr>
        <w:t xml:space="preserve">. </w:t>
      </w:r>
    </w:p>
    <w:p w14:paraId="5647AA68" w14:textId="77777777" w:rsidR="00336C16" w:rsidRPr="00FE705A" w:rsidRDefault="00336C16" w:rsidP="00336C16">
      <w:pPr>
        <w:jc w:val="both"/>
        <w:rPr>
          <w:rFonts w:ascii="Georgia" w:hAnsi="Georgia"/>
          <w:i/>
          <w:sz w:val="20"/>
          <w:lang w:val="lt-LT"/>
        </w:rPr>
      </w:pPr>
      <w:r w:rsidRPr="00FE705A">
        <w:rPr>
          <w:rFonts w:ascii="Georgia" w:hAnsi="Georgia"/>
          <w:i/>
          <w:sz w:val="20"/>
          <w:lang w:val="lt-LT"/>
        </w:rPr>
        <w:t>Vartotojų elgsenos ypatumai</w:t>
      </w:r>
    </w:p>
    <w:p w14:paraId="16613512" w14:textId="77777777" w:rsidR="00336C16" w:rsidRDefault="00336C16" w:rsidP="00336C16">
      <w:pPr>
        <w:jc w:val="both"/>
        <w:rPr>
          <w:rFonts w:ascii="Georgia" w:hAnsi="Georgia"/>
          <w:sz w:val="20"/>
          <w:lang w:val="lt-LT"/>
        </w:rPr>
      </w:pPr>
      <w:r>
        <w:rPr>
          <w:rFonts w:ascii="Georgia" w:hAnsi="Georgia"/>
          <w:sz w:val="20"/>
          <w:lang w:val="lt-LT"/>
        </w:rPr>
        <w:t xml:space="preserve">Neracionalus vartotojų elgesys energijos efektyvumo srityje vis dar labai smarkiai paplitęs, o bendras visuomenės suvokimas energijos taupymo ir energijos efektyvumo svarbos klausimu dar nėra susiformavęs. Taip pat žemo finansinio išprusimo energijos vartotojai dažnai neteisingai įvertina suvartotiną energiją bei investicijų atsipirkimo laikotarpį ir toliau yra labiau linkę vengti investicijų ir toliau mokėti daugiau už suvartotą energiją. Nuo 2013 metų pradžios, kuomet Aplinkos ministerija ėmėsi radikalių skatinimo priemonių daugiabučių renovacijai, daugiabučių namų gyventojų požiūris ėmė keistis; tačiau vis dėlto nėra nustatyta, ar vartotojų požiūris į energijos efektyvumo investicijas iš tiesų ėmė keistis, ar vartotojai suskubo pasinaudoti Aplinkos ministerijos įvestomis subsidijomis už pasiektus rezultatus, kuri bendrai siekė net iki 40 proc. </w:t>
      </w:r>
    </w:p>
    <w:p w14:paraId="2A3DAC7C" w14:textId="77777777" w:rsidR="00336C16" w:rsidRPr="00FE705A" w:rsidRDefault="00336C16" w:rsidP="0011082B">
      <w:pPr>
        <w:keepNext/>
        <w:jc w:val="both"/>
        <w:rPr>
          <w:rFonts w:ascii="Georgia" w:hAnsi="Georgia"/>
          <w:i/>
          <w:sz w:val="20"/>
          <w:lang w:val="lt-LT"/>
        </w:rPr>
      </w:pPr>
      <w:r w:rsidRPr="00FE705A">
        <w:rPr>
          <w:rFonts w:ascii="Georgia" w:hAnsi="Georgia"/>
          <w:i/>
          <w:sz w:val="20"/>
          <w:lang w:val="lt-LT"/>
        </w:rPr>
        <w:t>Projektų atsipirkimo laikotarpis</w:t>
      </w:r>
    </w:p>
    <w:p w14:paraId="1B0EECB0" w14:textId="77777777" w:rsidR="00336C16" w:rsidRDefault="00336C16" w:rsidP="00336C16">
      <w:pPr>
        <w:jc w:val="both"/>
        <w:rPr>
          <w:rFonts w:ascii="Georgia" w:hAnsi="Georgia"/>
          <w:sz w:val="20"/>
          <w:lang w:val="lt-LT"/>
        </w:rPr>
      </w:pPr>
      <w:r>
        <w:rPr>
          <w:rFonts w:ascii="Georgia" w:hAnsi="Georgia"/>
          <w:sz w:val="20"/>
          <w:lang w:val="lt-LT"/>
        </w:rPr>
        <w:t xml:space="preserve">Dažnu atveju tiek daugiabučiai, tiek viešieji pastatai yra ne pačios prasčiausios būklės, nes subjektai savais pajėgumais stengiasi įdiegti tam tikras energijos efektyvumo priemones, pavyzdžiui, keičia langus, duris. Atitinkamai planuojant kapitalinę pastato renovaciją ilgėja atsipirkimo laikas, kadangi langų pakeitimas, durų pakeitimas yra vienos iš efektyviausių energijos efektyvumo priemonių. Projekto atsipirkimo laikas dažniausiai viršija 10-15 metų. Atsižvelgiant į komercinių bankų apklausų metu surinktą informaciją, komerciniai bankai investicines paskolas teikia ne ilgesniam nei 10 metų laikotarpiui. Paskolos trukmė yra trumpesnė nei projekto atsipirkimo laikas, todėl arba komerciniai bankai tokios paskolos neteiks, arba paskolą imantis subjektas turės rasti papildomų lėšų šaltinių paskolos aptarnavimui, kadangi energijos kaštų sutaupymų tam nepakaks. </w:t>
      </w:r>
    </w:p>
    <w:p w14:paraId="269AD509" w14:textId="77777777" w:rsidR="00336C16" w:rsidRPr="00FE705A" w:rsidRDefault="00336C16" w:rsidP="00336C16">
      <w:pPr>
        <w:jc w:val="both"/>
        <w:rPr>
          <w:rFonts w:ascii="Georgia" w:hAnsi="Georgia"/>
          <w:i/>
          <w:sz w:val="20"/>
          <w:lang w:val="lt-LT"/>
        </w:rPr>
      </w:pPr>
      <w:r w:rsidRPr="00FE705A">
        <w:rPr>
          <w:rFonts w:ascii="Georgia" w:hAnsi="Georgia"/>
          <w:i/>
          <w:sz w:val="20"/>
          <w:lang w:val="lt-LT"/>
        </w:rPr>
        <w:t>Žemas subjektų finansinis pajėgumas</w:t>
      </w:r>
    </w:p>
    <w:p w14:paraId="1CEB7D7C" w14:textId="77777777" w:rsidR="008749C5" w:rsidRDefault="00336C16" w:rsidP="00336C16">
      <w:pPr>
        <w:jc w:val="both"/>
        <w:rPr>
          <w:rFonts w:ascii="Georgia" w:hAnsi="Georgia"/>
          <w:sz w:val="20"/>
          <w:lang w:val="lt-LT"/>
        </w:rPr>
      </w:pPr>
      <w:r>
        <w:rPr>
          <w:rFonts w:ascii="Georgia" w:hAnsi="Georgia"/>
          <w:sz w:val="20"/>
          <w:lang w:val="lt-LT"/>
        </w:rPr>
        <w:t xml:space="preserve">Šioje analizėje vertinamų energijos efektyvumo projektų vykdytojai – viešasis sektorius arba gyventojai. Viešojo sektoriaus projektų vykdytojai, t.y. savivaldybės (pvz. gatvių apšvietimo projektams, savivaldybių viešųjų pastatų modernizavimo projektams), taip pat gyventojai ar bendrijos (daugiabučių namų modernizavimui) turi ribotas galimybes skolintis arba to daryti nenori. Pavyzdžiui, gyventojų nenoras skolintis buvo viena iš pagrindinių priežasčių, kodėl 2009 m. sukūrus JESSICA </w:t>
      </w:r>
      <w:r w:rsidR="008749C5">
        <w:rPr>
          <w:rFonts w:ascii="Georgia" w:hAnsi="Georgia"/>
          <w:sz w:val="20"/>
          <w:lang w:val="lt-LT"/>
        </w:rPr>
        <w:t>KF</w:t>
      </w:r>
      <w:r>
        <w:rPr>
          <w:rFonts w:ascii="Georgia" w:hAnsi="Georgia"/>
          <w:sz w:val="20"/>
          <w:lang w:val="lt-LT"/>
        </w:rPr>
        <w:t xml:space="preserve"> ir </w:t>
      </w:r>
      <w:r w:rsidR="008749C5">
        <w:rPr>
          <w:rFonts w:ascii="Georgia" w:hAnsi="Georgia"/>
          <w:sz w:val="20"/>
          <w:lang w:val="lt-LT"/>
        </w:rPr>
        <w:t>sudarius visas galimybes skolintis lengvatinėmis sąlygomis lūžis</w:t>
      </w:r>
      <w:r>
        <w:rPr>
          <w:rFonts w:ascii="Georgia" w:hAnsi="Georgia"/>
          <w:sz w:val="20"/>
          <w:lang w:val="lt-LT"/>
        </w:rPr>
        <w:t xml:space="preserve"> daugiabučių renovacijoje ne</w:t>
      </w:r>
      <w:r w:rsidR="008749C5">
        <w:rPr>
          <w:rFonts w:ascii="Georgia" w:hAnsi="Georgia"/>
          <w:sz w:val="20"/>
          <w:lang w:val="lt-LT"/>
        </w:rPr>
        <w:t>įvyko</w:t>
      </w:r>
      <w:r>
        <w:rPr>
          <w:rFonts w:ascii="Georgia" w:hAnsi="Georgia"/>
          <w:sz w:val="20"/>
          <w:lang w:val="lt-LT"/>
        </w:rPr>
        <w:t xml:space="preserve">. </w:t>
      </w:r>
    </w:p>
    <w:p w14:paraId="1139AEE7" w14:textId="77777777" w:rsidR="00336C16" w:rsidRPr="008749C5" w:rsidRDefault="00336C16" w:rsidP="00336C16">
      <w:pPr>
        <w:jc w:val="both"/>
        <w:rPr>
          <w:rFonts w:ascii="Georgia" w:hAnsi="Georgia"/>
          <w:sz w:val="20"/>
        </w:rPr>
      </w:pPr>
      <w:r>
        <w:rPr>
          <w:rFonts w:ascii="Georgia" w:hAnsi="Georgia"/>
          <w:sz w:val="20"/>
          <w:lang w:val="lt-LT"/>
        </w:rPr>
        <w:lastRenderedPageBreak/>
        <w:t>Savivaldybė</w:t>
      </w:r>
      <w:r w:rsidR="008749C5">
        <w:rPr>
          <w:rFonts w:ascii="Georgia" w:hAnsi="Georgia"/>
          <w:sz w:val="20"/>
          <w:lang w:val="lt-LT"/>
        </w:rPr>
        <w:t>m</w:t>
      </w:r>
      <w:r>
        <w:rPr>
          <w:rFonts w:ascii="Georgia" w:hAnsi="Georgia"/>
          <w:sz w:val="20"/>
          <w:lang w:val="lt-LT"/>
        </w:rPr>
        <w:t>s</w:t>
      </w:r>
      <w:r w:rsidR="008749C5">
        <w:rPr>
          <w:rFonts w:ascii="Georgia" w:hAnsi="Georgia"/>
          <w:sz w:val="20"/>
          <w:lang w:val="lt-LT"/>
        </w:rPr>
        <w:t xml:space="preserve"> įstatyminėje bazėje yra nustatyti skolinimosi limitai</w:t>
      </w:r>
      <w:r>
        <w:rPr>
          <w:rFonts w:ascii="Georgia" w:hAnsi="Georgia"/>
          <w:sz w:val="20"/>
          <w:lang w:val="lt-LT"/>
        </w:rPr>
        <w:t xml:space="preserve">, todėl galimybės kreiptis paskolos labai priklauso nuo išnaudotų skolinimosi limitų. Dalis savivaldybių turi </w:t>
      </w:r>
      <w:r w:rsidR="008749C5">
        <w:rPr>
          <w:rFonts w:ascii="Georgia" w:hAnsi="Georgia"/>
          <w:sz w:val="20"/>
          <w:lang w:val="lt-LT"/>
        </w:rPr>
        <w:t>labai</w:t>
      </w:r>
      <w:r>
        <w:rPr>
          <w:rFonts w:ascii="Georgia" w:hAnsi="Georgia"/>
          <w:sz w:val="20"/>
          <w:lang w:val="lt-LT"/>
        </w:rPr>
        <w:t xml:space="preserve"> prastą finansinę būklę, </w:t>
      </w:r>
      <w:r w:rsidR="008749C5">
        <w:rPr>
          <w:rFonts w:ascii="Georgia" w:hAnsi="Georgia"/>
          <w:sz w:val="20"/>
          <w:lang w:val="lt-LT"/>
        </w:rPr>
        <w:t>todėl</w:t>
      </w:r>
      <w:r>
        <w:rPr>
          <w:rFonts w:ascii="Georgia" w:hAnsi="Georgia"/>
          <w:sz w:val="20"/>
          <w:lang w:val="lt-LT"/>
        </w:rPr>
        <w:t xml:space="preserve"> komerciniai bankai neskolina šioms savivaldybėms. Centrinė valdžia turi </w:t>
      </w:r>
      <w:r w:rsidR="002A7A53">
        <w:rPr>
          <w:rFonts w:ascii="Georgia" w:hAnsi="Georgia"/>
          <w:sz w:val="20"/>
          <w:lang w:val="lt-LT"/>
        </w:rPr>
        <w:t>santykinai</w:t>
      </w:r>
      <w:r>
        <w:rPr>
          <w:rFonts w:ascii="Georgia" w:hAnsi="Georgia"/>
          <w:sz w:val="20"/>
          <w:lang w:val="lt-LT"/>
        </w:rPr>
        <w:t xml:space="preserve"> lengvesnį priėjimą prie vietinių ar išorinių finansavimo šaltinių, tačiau centrinės valdžios skolinimasis daro tiesioginę įtaką valstybės skolai ir valstybės biudžeto deficitui, o šie rodikliai turi atitikti </w:t>
      </w:r>
      <w:r w:rsidR="008749C5">
        <w:rPr>
          <w:rFonts w:ascii="Georgia" w:hAnsi="Georgia"/>
          <w:sz w:val="20"/>
          <w:lang w:val="lt-LT"/>
        </w:rPr>
        <w:t>ES</w:t>
      </w:r>
      <w:r>
        <w:rPr>
          <w:rFonts w:ascii="Georgia" w:hAnsi="Georgia"/>
          <w:sz w:val="20"/>
          <w:lang w:val="lt-LT"/>
        </w:rPr>
        <w:t xml:space="preserve"> nustatytus Mastrichto kriterijus, todėl reikalingas itin atsakingas centrinės valdžios skolinimasis bei finansų kontrolė. </w:t>
      </w:r>
    </w:p>
    <w:p w14:paraId="6CF797E0" w14:textId="77777777" w:rsidR="00336C16" w:rsidRPr="00FE705A" w:rsidRDefault="002C1601" w:rsidP="00336C16">
      <w:pPr>
        <w:jc w:val="both"/>
        <w:rPr>
          <w:rFonts w:ascii="Georgia" w:hAnsi="Georgia"/>
          <w:i/>
          <w:sz w:val="20"/>
          <w:lang w:val="lt-LT"/>
        </w:rPr>
      </w:pPr>
      <w:r>
        <w:rPr>
          <w:rFonts w:ascii="Georgia" w:hAnsi="Georgia"/>
          <w:i/>
          <w:sz w:val="20"/>
          <w:lang w:val="lt-LT"/>
        </w:rPr>
        <w:t>Užstato reikalavimas</w:t>
      </w:r>
    </w:p>
    <w:p w14:paraId="718A62E9" w14:textId="77777777" w:rsidR="00336C16" w:rsidRDefault="002C1601" w:rsidP="00336C16">
      <w:pPr>
        <w:jc w:val="both"/>
        <w:rPr>
          <w:rFonts w:ascii="Georgia" w:hAnsi="Georgia"/>
          <w:sz w:val="20"/>
          <w:lang w:val="lt-LT"/>
        </w:rPr>
      </w:pPr>
      <w:r>
        <w:rPr>
          <w:rFonts w:ascii="Georgia" w:hAnsi="Georgia"/>
          <w:sz w:val="20"/>
          <w:lang w:val="lt-LT"/>
        </w:rPr>
        <w:t>Kliento kreditingumas yra pagrindinis aspektas, kurį vertina finansuotojai prieš suteikdami finansavimą, o projekto pinigų srautų vertinimas yra antraeilis. Taip yra todėl, kad tikslų pinigų srautų vertinimą atlikti prieš projekto įgyvendinimą yra sudėtinga.</w:t>
      </w:r>
      <w:r w:rsidR="00336C16">
        <w:rPr>
          <w:rFonts w:ascii="Georgia" w:hAnsi="Georgia"/>
          <w:sz w:val="20"/>
          <w:lang w:val="lt-LT"/>
        </w:rPr>
        <w:t xml:space="preserve"> </w:t>
      </w:r>
      <w:r>
        <w:rPr>
          <w:rFonts w:ascii="Georgia" w:hAnsi="Georgia"/>
          <w:sz w:val="20"/>
          <w:lang w:val="lt-LT"/>
        </w:rPr>
        <w:t>K</w:t>
      </w:r>
      <w:r w:rsidR="00336C16">
        <w:rPr>
          <w:rFonts w:ascii="Georgia" w:hAnsi="Georgia"/>
          <w:sz w:val="20"/>
          <w:lang w:val="lt-LT"/>
        </w:rPr>
        <w:t>ai skolinimas vykdomas turto pagrindu, o ne pinigų srautų pagrindu</w:t>
      </w:r>
      <w:r>
        <w:rPr>
          <w:rFonts w:ascii="Georgia" w:hAnsi="Georgia"/>
          <w:sz w:val="20"/>
          <w:lang w:val="lt-LT"/>
        </w:rPr>
        <w:t>,</w:t>
      </w:r>
      <w:r w:rsidRPr="002C1601">
        <w:rPr>
          <w:rFonts w:ascii="Georgia" w:hAnsi="Georgia"/>
          <w:sz w:val="20"/>
          <w:lang w:val="lt-LT"/>
        </w:rPr>
        <w:t xml:space="preserve"> </w:t>
      </w:r>
      <w:r>
        <w:rPr>
          <w:rFonts w:ascii="Georgia" w:hAnsi="Georgia"/>
          <w:sz w:val="20"/>
          <w:lang w:val="lt-LT"/>
        </w:rPr>
        <w:t>galioja viena bendra taisyklė</w:t>
      </w:r>
      <w:r w:rsidR="00336C16">
        <w:rPr>
          <w:rFonts w:ascii="Georgia" w:hAnsi="Georgia"/>
          <w:sz w:val="20"/>
          <w:lang w:val="lt-LT"/>
        </w:rPr>
        <w:t xml:space="preserve">. Skolinant turto pagrindu bankas reikalauja užstato (kuris gali būti net </w:t>
      </w:r>
      <w:r>
        <w:rPr>
          <w:rFonts w:ascii="Georgia" w:hAnsi="Georgia"/>
          <w:sz w:val="20"/>
          <w:lang w:val="lt-LT"/>
        </w:rPr>
        <w:t xml:space="preserve">iki </w:t>
      </w:r>
      <w:r w:rsidR="00336C16">
        <w:rPr>
          <w:rFonts w:ascii="Georgia" w:hAnsi="Georgia"/>
          <w:sz w:val="20"/>
          <w:lang w:val="lt-LT"/>
        </w:rPr>
        <w:t xml:space="preserve">200% paskolos vertės). Tačiau </w:t>
      </w:r>
      <w:r w:rsidR="007D2AEC">
        <w:rPr>
          <w:rFonts w:ascii="Georgia" w:hAnsi="Georgia"/>
          <w:sz w:val="20"/>
          <w:lang w:val="lt-LT"/>
        </w:rPr>
        <w:t xml:space="preserve">viešųjų pastatų </w:t>
      </w:r>
      <w:r w:rsidR="00336C16">
        <w:rPr>
          <w:rFonts w:ascii="Georgia" w:hAnsi="Georgia"/>
          <w:sz w:val="20"/>
          <w:lang w:val="lt-LT"/>
        </w:rPr>
        <w:t>projek</w:t>
      </w:r>
      <w:r>
        <w:rPr>
          <w:rFonts w:ascii="Georgia" w:hAnsi="Georgia"/>
          <w:sz w:val="20"/>
          <w:lang w:val="lt-LT"/>
        </w:rPr>
        <w:t xml:space="preserve">tų atveju </w:t>
      </w:r>
      <w:r w:rsidR="002A7A53">
        <w:rPr>
          <w:rFonts w:ascii="Georgia" w:hAnsi="Georgia"/>
          <w:sz w:val="20"/>
          <w:lang w:val="lt-LT"/>
        </w:rPr>
        <w:t>dėl teisinių ar kitų apribojimų n</w:t>
      </w:r>
      <w:r>
        <w:rPr>
          <w:rFonts w:ascii="Georgia" w:hAnsi="Georgia"/>
          <w:sz w:val="20"/>
          <w:lang w:val="lt-LT"/>
        </w:rPr>
        <w:t xml:space="preserve">ėra </w:t>
      </w:r>
      <w:r w:rsidR="002A7A53">
        <w:rPr>
          <w:rFonts w:ascii="Georgia" w:hAnsi="Georgia"/>
          <w:sz w:val="20"/>
          <w:lang w:val="lt-LT"/>
        </w:rPr>
        <w:t xml:space="preserve">turto, </w:t>
      </w:r>
      <w:r>
        <w:rPr>
          <w:rFonts w:ascii="Georgia" w:hAnsi="Georgia"/>
          <w:sz w:val="20"/>
          <w:lang w:val="lt-LT"/>
        </w:rPr>
        <w:t>k</w:t>
      </w:r>
      <w:r w:rsidR="002A7A53">
        <w:rPr>
          <w:rFonts w:ascii="Georgia" w:hAnsi="Georgia"/>
          <w:sz w:val="20"/>
          <w:lang w:val="lt-LT"/>
        </w:rPr>
        <w:t>uris</w:t>
      </w:r>
      <w:r w:rsidR="00336C16">
        <w:rPr>
          <w:rFonts w:ascii="Georgia" w:hAnsi="Georgia"/>
          <w:sz w:val="20"/>
          <w:lang w:val="lt-LT"/>
        </w:rPr>
        <w:t xml:space="preserve"> gali būti naudojama kaip užstatas</w:t>
      </w:r>
      <w:r>
        <w:rPr>
          <w:rFonts w:ascii="Georgia" w:hAnsi="Georgia"/>
          <w:sz w:val="20"/>
          <w:lang w:val="lt-LT"/>
        </w:rPr>
        <w:t>. LR Valstybės ir savivaldybių turto valdymo, naudojimo ir disponavimo juo įstatyme nustatyta, kad savivaldybės negali įkeisti savo turto, todėl komerciniai bankai neturi galimybės teikiamą paskolą garantuoti nekilnojamuoju turtu.</w:t>
      </w:r>
    </w:p>
    <w:p w14:paraId="65016C45" w14:textId="77777777" w:rsidR="00336C16" w:rsidRPr="00FE705A" w:rsidRDefault="002C1601" w:rsidP="00336C16">
      <w:pPr>
        <w:jc w:val="both"/>
        <w:rPr>
          <w:rFonts w:ascii="Georgia" w:hAnsi="Georgia"/>
          <w:i/>
          <w:sz w:val="20"/>
          <w:lang w:val="lt-LT"/>
        </w:rPr>
      </w:pPr>
      <w:r>
        <w:rPr>
          <w:rFonts w:ascii="Georgia" w:hAnsi="Georgia"/>
          <w:i/>
          <w:sz w:val="20"/>
          <w:lang w:val="lt-LT"/>
        </w:rPr>
        <w:t>Nepakankama viešųjų</w:t>
      </w:r>
      <w:r w:rsidR="00336C16" w:rsidRPr="00FE705A">
        <w:rPr>
          <w:rFonts w:ascii="Georgia" w:hAnsi="Georgia"/>
          <w:i/>
          <w:sz w:val="20"/>
          <w:lang w:val="lt-LT"/>
        </w:rPr>
        <w:t xml:space="preserve"> projektų vykdytojų motyvacija</w:t>
      </w:r>
    </w:p>
    <w:p w14:paraId="02A37500" w14:textId="77777777" w:rsidR="00336C16" w:rsidRDefault="000C3F28" w:rsidP="000C3F28">
      <w:pPr>
        <w:jc w:val="both"/>
        <w:rPr>
          <w:rFonts w:ascii="Georgia" w:hAnsi="Georgia"/>
          <w:sz w:val="20"/>
          <w:lang w:val="lt-LT"/>
        </w:rPr>
      </w:pPr>
      <w:r>
        <w:rPr>
          <w:rFonts w:ascii="Georgia" w:hAnsi="Georgia"/>
          <w:sz w:val="20"/>
          <w:lang w:val="lt-LT"/>
        </w:rPr>
        <w:t xml:space="preserve">Dar viena rinkos problema yra susijusi su projektų vykdytojų – valstybės institucijų ir savivaldybių – </w:t>
      </w:r>
      <w:r w:rsidRPr="00BA3E45">
        <w:rPr>
          <w:rFonts w:ascii="Georgia" w:hAnsi="Georgia"/>
          <w:sz w:val="20"/>
          <w:lang w:val="lt-LT"/>
        </w:rPr>
        <w:t>motyvacijos stoka. Pagal galiojantį teisinį reglamentavimą, valstybės institucijos (biudžetinės įstaigos) ir savivaldybių vieš</w:t>
      </w:r>
      <w:r w:rsidR="002A7A53" w:rsidRPr="00BA3E45">
        <w:rPr>
          <w:rFonts w:ascii="Georgia" w:hAnsi="Georgia"/>
          <w:sz w:val="20"/>
          <w:lang w:val="lt-LT"/>
        </w:rPr>
        <w:t xml:space="preserve">ųjų </w:t>
      </w:r>
      <w:r w:rsidRPr="00BA3E45">
        <w:rPr>
          <w:rFonts w:ascii="Georgia" w:hAnsi="Georgia"/>
          <w:sz w:val="20"/>
          <w:lang w:val="lt-LT"/>
        </w:rPr>
        <w:t>pastat</w:t>
      </w:r>
      <w:r w:rsidR="002A7A53" w:rsidRPr="00BA3E45">
        <w:rPr>
          <w:rFonts w:ascii="Georgia" w:hAnsi="Georgia"/>
          <w:sz w:val="20"/>
          <w:lang w:val="lt-LT"/>
        </w:rPr>
        <w:t>ų</w:t>
      </w:r>
      <w:r w:rsidRPr="00BA3E45">
        <w:rPr>
          <w:rFonts w:ascii="Georgia" w:hAnsi="Georgia"/>
          <w:sz w:val="20"/>
          <w:lang w:val="lt-LT"/>
        </w:rPr>
        <w:t xml:space="preserve"> bei gatvių apšvietimo tinklų valdytojai neturi teisės </w:t>
      </w:r>
      <w:r w:rsidR="002A7A53" w:rsidRPr="00BA3E45">
        <w:rPr>
          <w:rFonts w:ascii="Georgia" w:hAnsi="Georgia"/>
          <w:sz w:val="20"/>
          <w:lang w:val="lt-LT"/>
        </w:rPr>
        <w:t xml:space="preserve">laisvai </w:t>
      </w:r>
      <w:r w:rsidRPr="00BA3E45">
        <w:rPr>
          <w:rFonts w:ascii="Georgia" w:hAnsi="Georgia"/>
          <w:sz w:val="20"/>
          <w:lang w:val="lt-LT"/>
        </w:rPr>
        <w:t>disponuoti iš valstybės ar savivaldybės biudžeto skiriamais asignavimais, todėl net ir sutaupius tam tikrą kiekį lėšų,</w:t>
      </w:r>
      <w:r>
        <w:rPr>
          <w:rFonts w:ascii="Georgia" w:hAnsi="Georgia"/>
          <w:sz w:val="20"/>
          <w:lang w:val="lt-LT"/>
        </w:rPr>
        <w:t xml:space="preserve"> su</w:t>
      </w:r>
      <w:r w:rsidR="002A7A53">
        <w:rPr>
          <w:rFonts w:ascii="Georgia" w:hAnsi="Georgia"/>
          <w:sz w:val="20"/>
          <w:lang w:val="lt-LT"/>
        </w:rPr>
        <w:t>taupymo faktas nėra pajaučiamas</w:t>
      </w:r>
      <w:r>
        <w:rPr>
          <w:rFonts w:ascii="Georgia" w:hAnsi="Georgia"/>
          <w:sz w:val="20"/>
          <w:lang w:val="lt-LT"/>
        </w:rPr>
        <w:t xml:space="preserve">. Tai veda prie motyvacijos taupyti energiją stokos, kadangi trūksta tiesioginio sutaupymų matymo. </w:t>
      </w:r>
      <w:r w:rsidR="00336C16">
        <w:rPr>
          <w:rFonts w:ascii="Georgia" w:hAnsi="Georgia"/>
          <w:sz w:val="20"/>
          <w:lang w:val="lt-LT"/>
        </w:rPr>
        <w:t xml:space="preserve">Biudžeto paskirstymo ir lėšų pervedimo tvarka aptariama prie reglamentavimo apribojimų žemiau. </w:t>
      </w:r>
    </w:p>
    <w:p w14:paraId="53CC43FC" w14:textId="77777777" w:rsidR="00336C16" w:rsidRPr="00FE705A" w:rsidRDefault="00336C16" w:rsidP="00FE705A">
      <w:pPr>
        <w:keepNext/>
        <w:rPr>
          <w:rFonts w:ascii="Georgia" w:hAnsi="Georgia"/>
          <w:i/>
          <w:sz w:val="20"/>
          <w:lang w:val="lt-LT"/>
        </w:rPr>
      </w:pPr>
      <w:r w:rsidRPr="00FE705A">
        <w:rPr>
          <w:rFonts w:ascii="Georgia" w:hAnsi="Georgia"/>
          <w:i/>
          <w:sz w:val="20"/>
          <w:lang w:val="lt-LT"/>
        </w:rPr>
        <w:t>Augančios statybos darbų kainos</w:t>
      </w:r>
    </w:p>
    <w:p w14:paraId="5E590339" w14:textId="77777777" w:rsidR="00336C16" w:rsidRDefault="00336C16" w:rsidP="00336C16">
      <w:pPr>
        <w:jc w:val="both"/>
        <w:rPr>
          <w:rFonts w:ascii="Georgia" w:hAnsi="Georgia"/>
          <w:sz w:val="20"/>
          <w:lang w:val="lt-LT"/>
        </w:rPr>
      </w:pPr>
      <w:r>
        <w:rPr>
          <w:rFonts w:ascii="Georgia" w:hAnsi="Georgia"/>
          <w:sz w:val="20"/>
          <w:lang w:val="lt-LT"/>
        </w:rPr>
        <w:t xml:space="preserve">Augančios statybos darbų kainos </w:t>
      </w:r>
      <w:r w:rsidR="000C3F28">
        <w:rPr>
          <w:rFonts w:ascii="Georgia" w:hAnsi="Georgia"/>
          <w:sz w:val="20"/>
          <w:lang w:val="lt-LT"/>
        </w:rPr>
        <w:t>daro</w:t>
      </w:r>
      <w:r>
        <w:rPr>
          <w:rFonts w:ascii="Georgia" w:hAnsi="Georgia"/>
          <w:sz w:val="20"/>
          <w:lang w:val="lt-LT"/>
        </w:rPr>
        <w:t xml:space="preserve"> įtaką energijos efektyvumo projektų planavimui</w:t>
      </w:r>
      <w:r w:rsidR="000C3F28">
        <w:rPr>
          <w:rFonts w:ascii="Georgia" w:hAnsi="Georgia"/>
          <w:sz w:val="20"/>
          <w:lang w:val="lt-LT"/>
        </w:rPr>
        <w:t xml:space="preserve"> ir įgyvendinimui</w:t>
      </w:r>
      <w:r>
        <w:rPr>
          <w:rFonts w:ascii="Georgia" w:hAnsi="Georgia"/>
          <w:sz w:val="20"/>
          <w:lang w:val="lt-LT"/>
        </w:rPr>
        <w:t xml:space="preserve">, kadangi augančios statybos darbų kainos didina investicijas ir taip prailgina projektų atsiperkamumo laikotarpį. </w:t>
      </w:r>
      <w:r w:rsidR="009F38CC">
        <w:rPr>
          <w:rFonts w:ascii="Georgia" w:hAnsi="Georgia"/>
          <w:sz w:val="20"/>
          <w:lang w:val="lt-LT"/>
        </w:rPr>
        <w:t>P</w:t>
      </w:r>
      <w:r w:rsidR="00FE705A">
        <w:rPr>
          <w:rFonts w:ascii="Georgia" w:hAnsi="Georgia"/>
          <w:sz w:val="20"/>
          <w:lang w:val="lt-LT"/>
        </w:rPr>
        <w:t>aveiksle</w:t>
      </w:r>
      <w:r>
        <w:rPr>
          <w:rFonts w:ascii="Georgia" w:hAnsi="Georgia"/>
          <w:sz w:val="20"/>
          <w:lang w:val="lt-LT"/>
        </w:rPr>
        <w:t xml:space="preserve"> žemiau pateikiamas pastatų remonto kainų indeksas 2004-2014 m. laikotarpiu. Iš grafiko matyti, jog pastatų remonto sąnaudų kainų indeksas po</w:t>
      </w:r>
      <w:r w:rsidR="000C3F28">
        <w:rPr>
          <w:rFonts w:ascii="Georgia" w:hAnsi="Georgia"/>
          <w:sz w:val="20"/>
          <w:lang w:val="lt-LT"/>
        </w:rPr>
        <w:t>-</w:t>
      </w:r>
      <w:r>
        <w:rPr>
          <w:rFonts w:ascii="Georgia" w:hAnsi="Georgia"/>
          <w:sz w:val="20"/>
          <w:lang w:val="lt-LT"/>
        </w:rPr>
        <w:t>kriziniu laikotarpiu neilgai truku</w:t>
      </w:r>
      <w:r w:rsidR="000C3F28">
        <w:rPr>
          <w:rFonts w:ascii="Georgia" w:hAnsi="Georgia"/>
          <w:sz w:val="20"/>
          <w:lang w:val="lt-LT"/>
        </w:rPr>
        <w:t>s vėl pradėjo augti.</w:t>
      </w:r>
      <w:r>
        <w:rPr>
          <w:rFonts w:ascii="Georgia" w:hAnsi="Georgia"/>
          <w:sz w:val="20"/>
          <w:lang w:val="lt-LT"/>
        </w:rPr>
        <w:t xml:space="preserve"> </w:t>
      </w:r>
      <w:r w:rsidR="000C3F28">
        <w:rPr>
          <w:rFonts w:ascii="Georgia" w:hAnsi="Georgia"/>
          <w:sz w:val="20"/>
          <w:lang w:val="lt-LT"/>
        </w:rPr>
        <w:t>R</w:t>
      </w:r>
      <w:r>
        <w:rPr>
          <w:rFonts w:ascii="Georgia" w:hAnsi="Georgia"/>
          <w:sz w:val="20"/>
          <w:lang w:val="lt-LT"/>
        </w:rPr>
        <w:t xml:space="preserve">emiantis Lietuvos statistikos departamento duomenimis, 2014 m. birželio mėn. indekso reikšmė siekė 116,75. Finansų krizės </w:t>
      </w:r>
      <w:r w:rsidR="00DF38BD">
        <w:rPr>
          <w:rFonts w:ascii="Georgia" w:hAnsi="Georgia"/>
          <w:sz w:val="20"/>
          <w:lang w:val="lt-LT"/>
        </w:rPr>
        <w:t>pradžioje</w:t>
      </w:r>
      <w:r>
        <w:rPr>
          <w:rFonts w:ascii="Georgia" w:hAnsi="Georgia"/>
          <w:sz w:val="20"/>
          <w:lang w:val="lt-LT"/>
        </w:rPr>
        <w:t xml:space="preserve"> 2008 metais indekso didžiausia buvusi reikšmė – 123,04. Tai rodo, kad augančios statybos darbų kainos pastatų remontui artėja iki prieškrizinio lygio.</w:t>
      </w:r>
    </w:p>
    <w:p w14:paraId="17DD8909" w14:textId="77777777" w:rsidR="00336C16" w:rsidRDefault="00336C16" w:rsidP="00E74298">
      <w:pPr>
        <w:keepNext/>
        <w:rPr>
          <w:rFonts w:ascii="Georgia" w:hAnsi="Georgia"/>
          <w:sz w:val="20"/>
          <w:lang w:val="lt-LT"/>
        </w:rPr>
      </w:pPr>
      <w:r>
        <w:rPr>
          <w:noProof/>
          <w:lang w:val="lt-LT" w:eastAsia="lt-LT"/>
        </w:rPr>
        <w:lastRenderedPageBreak/>
        <w:drawing>
          <wp:inline distT="0" distB="0" distL="0" distR="0" wp14:anchorId="084296F6" wp14:editId="7DA60240">
            <wp:extent cx="5644662" cy="2643554"/>
            <wp:effectExtent l="0" t="0" r="13335" b="23495"/>
            <wp:docPr id="15" name="Diagrama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8DEE441" w14:textId="6E8EC858" w:rsidR="00FE705A" w:rsidRPr="000C3F28" w:rsidRDefault="00FE705A" w:rsidP="00FE705A">
      <w:pPr>
        <w:pStyle w:val="Antrat"/>
        <w:rPr>
          <w:lang w:val="lt-LT"/>
        </w:rPr>
      </w:pPr>
      <w:bookmarkStart w:id="77" w:name="_Toc417378284"/>
      <w:r w:rsidRPr="000C3F28">
        <w:rPr>
          <w:lang w:val="lt-LT"/>
        </w:rPr>
        <w:t xml:space="preserve">Paveikslas </w:t>
      </w:r>
      <w:r w:rsidRPr="000C3F28">
        <w:rPr>
          <w:lang w:val="lt-LT"/>
        </w:rPr>
        <w:fldChar w:fldCharType="begin"/>
      </w:r>
      <w:r w:rsidRPr="000C3F28">
        <w:rPr>
          <w:lang w:val="lt-LT"/>
        </w:rPr>
        <w:instrText xml:space="preserve"> SEQ Paveikslas \* ARABIC </w:instrText>
      </w:r>
      <w:r w:rsidRPr="000C3F28">
        <w:rPr>
          <w:lang w:val="lt-LT"/>
        </w:rPr>
        <w:fldChar w:fldCharType="separate"/>
      </w:r>
      <w:r w:rsidR="00AA3082">
        <w:rPr>
          <w:noProof/>
          <w:lang w:val="lt-LT"/>
        </w:rPr>
        <w:t>7</w:t>
      </w:r>
      <w:r w:rsidRPr="000C3F28">
        <w:rPr>
          <w:lang w:val="lt-LT"/>
        </w:rPr>
        <w:fldChar w:fldCharType="end"/>
      </w:r>
      <w:r w:rsidRPr="000C3F28">
        <w:rPr>
          <w:lang w:val="lt-LT"/>
        </w:rPr>
        <w:t xml:space="preserve">. </w:t>
      </w:r>
      <w:r w:rsidRPr="001E4B4F">
        <w:rPr>
          <w:lang w:val="lt-LT"/>
        </w:rPr>
        <w:t xml:space="preserve">Pastatų remonto sąnaudų elementų kainų indeksai 2004-2013, palyginti su indekso baziniu laikotarpiu (2010 m. = 100). </w:t>
      </w:r>
      <w:r w:rsidRPr="009D6C03">
        <w:rPr>
          <w:i/>
          <w:lang w:val="lt-LT"/>
        </w:rPr>
        <w:t>Šaltinis: Lietuvos statistikos departamentas.</w:t>
      </w:r>
      <w:bookmarkEnd w:id="77"/>
    </w:p>
    <w:p w14:paraId="09E75E1E" w14:textId="77777777" w:rsidR="00336C16" w:rsidRDefault="00336C16" w:rsidP="00336C16">
      <w:pPr>
        <w:rPr>
          <w:rFonts w:ascii="Georgia" w:hAnsi="Georgia"/>
          <w:i/>
          <w:sz w:val="20"/>
          <w:lang w:val="lt-LT"/>
        </w:rPr>
      </w:pPr>
    </w:p>
    <w:p w14:paraId="0C1269D6" w14:textId="77777777" w:rsidR="00DF38BD" w:rsidRPr="00FE705A" w:rsidRDefault="00DF38BD" w:rsidP="00FE705A">
      <w:pPr>
        <w:keepNext/>
        <w:rPr>
          <w:rFonts w:ascii="Georgia" w:hAnsi="Georgia"/>
          <w:i/>
          <w:sz w:val="20"/>
          <w:lang w:val="lt-LT"/>
        </w:rPr>
      </w:pPr>
      <w:r w:rsidRPr="00FE705A">
        <w:rPr>
          <w:rFonts w:ascii="Georgia" w:hAnsi="Georgia"/>
          <w:i/>
          <w:sz w:val="20"/>
          <w:lang w:val="lt-LT"/>
        </w:rPr>
        <w:t>Darbo jėga statybų sektoriuje</w:t>
      </w:r>
    </w:p>
    <w:p w14:paraId="3972EE6A" w14:textId="77777777" w:rsidR="00DF38BD" w:rsidRDefault="000C3F28" w:rsidP="00DF38BD">
      <w:pPr>
        <w:jc w:val="both"/>
        <w:rPr>
          <w:rFonts w:ascii="Georgia" w:hAnsi="Georgia"/>
          <w:sz w:val="20"/>
          <w:lang w:val="lt-LT"/>
        </w:rPr>
      </w:pPr>
      <w:r>
        <w:rPr>
          <w:rFonts w:ascii="Georgia" w:hAnsi="Georgia"/>
          <w:sz w:val="20"/>
          <w:lang w:val="lt-LT"/>
        </w:rPr>
        <w:t>Remiantis</w:t>
      </w:r>
      <w:r w:rsidR="00DF38BD">
        <w:rPr>
          <w:rFonts w:ascii="Georgia" w:hAnsi="Georgia"/>
          <w:sz w:val="20"/>
          <w:lang w:val="lt-LT"/>
        </w:rPr>
        <w:t xml:space="preserve"> statistini</w:t>
      </w:r>
      <w:r>
        <w:rPr>
          <w:rFonts w:ascii="Georgia" w:hAnsi="Georgia"/>
          <w:sz w:val="20"/>
          <w:lang w:val="lt-LT"/>
        </w:rPr>
        <w:t>ai</w:t>
      </w:r>
      <w:r w:rsidR="00DF38BD">
        <w:rPr>
          <w:rFonts w:ascii="Georgia" w:hAnsi="Georgia"/>
          <w:sz w:val="20"/>
          <w:lang w:val="lt-LT"/>
        </w:rPr>
        <w:t>s duomeni</w:t>
      </w:r>
      <w:r>
        <w:rPr>
          <w:rFonts w:ascii="Georgia" w:hAnsi="Georgia"/>
          <w:sz w:val="20"/>
          <w:lang w:val="lt-LT"/>
        </w:rPr>
        <w:t>mi</w:t>
      </w:r>
      <w:r w:rsidR="00DF38BD">
        <w:rPr>
          <w:rFonts w:ascii="Georgia" w:hAnsi="Georgia"/>
          <w:sz w:val="20"/>
          <w:lang w:val="lt-LT"/>
        </w:rPr>
        <w:t xml:space="preserve">s, per pastaruosius 3 metus nedarbas statybų sektoriuje gerokai sumažėjo ir beveik pasiekė prieš krizę buvusį lygį. Tai lėmė emigracija, darbuotojų persikvalifikavimas ir atsigaunančios statybų įmonės. Dėl paspartėjusio gyvenamųjų namų renovavimo ir statybų sektoriuje prasidėjusio atsigavimo darbuotojų </w:t>
      </w:r>
      <w:r w:rsidR="00DC1BDC">
        <w:rPr>
          <w:rFonts w:ascii="Georgia" w:hAnsi="Georgia"/>
          <w:sz w:val="20"/>
          <w:lang w:val="lt-LT"/>
        </w:rPr>
        <w:t>pasiūla ir paklausa</w:t>
      </w:r>
      <w:r w:rsidR="00DF38BD">
        <w:rPr>
          <w:rFonts w:ascii="Georgia" w:hAnsi="Georgia"/>
          <w:sz w:val="20"/>
          <w:lang w:val="lt-LT"/>
        </w:rPr>
        <w:t xml:space="preserve"> po truputį didėja. </w:t>
      </w:r>
    </w:p>
    <w:p w14:paraId="093130C7" w14:textId="77777777" w:rsidR="00DF38BD" w:rsidRDefault="00DF38BD" w:rsidP="00DF38BD">
      <w:pPr>
        <w:jc w:val="both"/>
        <w:rPr>
          <w:rFonts w:ascii="Georgia" w:hAnsi="Georgia"/>
          <w:sz w:val="20"/>
          <w:lang w:val="lt-LT"/>
        </w:rPr>
      </w:pPr>
      <w:r>
        <w:rPr>
          <w:rFonts w:ascii="Georgia" w:hAnsi="Georgia"/>
          <w:sz w:val="20"/>
          <w:lang w:val="lt-LT"/>
        </w:rPr>
        <w:t xml:space="preserve">Augant pastatų renovavimo paklausai, sumažėjęs statybininkų skaičius gali tapti nemaža problema. Toks kvalifikuotos darbo jėgos trūkumas gali lemti mažesnę renovavimo kokybę, nesugebėjimą </w:t>
      </w:r>
      <w:r w:rsidR="000C3F28">
        <w:rPr>
          <w:rFonts w:ascii="Georgia" w:hAnsi="Georgia"/>
          <w:sz w:val="20"/>
          <w:lang w:val="lt-LT"/>
        </w:rPr>
        <w:t>įgyvendinti</w:t>
      </w:r>
      <w:r>
        <w:rPr>
          <w:rFonts w:ascii="Georgia" w:hAnsi="Georgia"/>
          <w:sz w:val="20"/>
          <w:lang w:val="lt-LT"/>
        </w:rPr>
        <w:t xml:space="preserve"> projektų</w:t>
      </w:r>
      <w:r w:rsidR="000C3F28">
        <w:rPr>
          <w:rFonts w:ascii="Georgia" w:hAnsi="Georgia"/>
          <w:sz w:val="20"/>
          <w:lang w:val="lt-LT"/>
        </w:rPr>
        <w:t xml:space="preserve"> laiku, išaugusius darbo užmokesčio kaštus</w:t>
      </w:r>
      <w:r w:rsidR="00DC1BDC">
        <w:rPr>
          <w:rFonts w:ascii="Georgia" w:hAnsi="Georgia"/>
          <w:sz w:val="20"/>
          <w:lang w:val="lt-LT"/>
        </w:rPr>
        <w:t xml:space="preserve"> ir bendras projekto sąnaudas. </w:t>
      </w:r>
      <w:r>
        <w:rPr>
          <w:rFonts w:ascii="Georgia" w:hAnsi="Georgia"/>
          <w:sz w:val="20"/>
          <w:lang w:val="lt-LT"/>
        </w:rPr>
        <w:t xml:space="preserve">Buvo konstatuota, kad tai gali pareikalauti papildomo laiko statybos įmonėms prisitaikyti prie padidėjusios paklausos </w:t>
      </w:r>
      <w:r w:rsidR="00DC1BDC">
        <w:rPr>
          <w:rFonts w:ascii="Georgia" w:hAnsi="Georgia"/>
          <w:sz w:val="20"/>
          <w:lang w:val="lt-LT"/>
        </w:rPr>
        <w:t>pastatų</w:t>
      </w:r>
      <w:r>
        <w:rPr>
          <w:rFonts w:ascii="Georgia" w:hAnsi="Georgia"/>
          <w:sz w:val="20"/>
          <w:lang w:val="lt-LT"/>
        </w:rPr>
        <w:t xml:space="preserve"> renovacijos sektoriuje. Be to, </w:t>
      </w:r>
      <w:r w:rsidR="00DC1BDC">
        <w:rPr>
          <w:rFonts w:ascii="Georgia" w:hAnsi="Georgia"/>
          <w:sz w:val="20"/>
          <w:lang w:val="lt-LT"/>
        </w:rPr>
        <w:t>tikėtinas</w:t>
      </w:r>
      <w:r>
        <w:rPr>
          <w:rFonts w:ascii="Georgia" w:hAnsi="Georgia"/>
          <w:sz w:val="20"/>
          <w:lang w:val="lt-LT"/>
        </w:rPr>
        <w:t xml:space="preserve"> statybos </w:t>
      </w:r>
      <w:r w:rsidR="00DC1BDC">
        <w:rPr>
          <w:rFonts w:ascii="Georgia" w:hAnsi="Georgia"/>
          <w:sz w:val="20"/>
          <w:lang w:val="lt-LT"/>
        </w:rPr>
        <w:t xml:space="preserve">darbų </w:t>
      </w:r>
      <w:r>
        <w:rPr>
          <w:rFonts w:ascii="Georgia" w:hAnsi="Georgia"/>
          <w:sz w:val="20"/>
          <w:lang w:val="lt-LT"/>
        </w:rPr>
        <w:t xml:space="preserve">kainų padidėjimas esant išaugusiai paklausai. </w:t>
      </w:r>
    </w:p>
    <w:p w14:paraId="3F28F4B8" w14:textId="77777777" w:rsidR="00336C16" w:rsidRPr="00FE705A" w:rsidRDefault="00336C16" w:rsidP="00FE705A">
      <w:pPr>
        <w:keepNext/>
        <w:rPr>
          <w:rFonts w:ascii="Georgia" w:hAnsi="Georgia"/>
          <w:i/>
          <w:sz w:val="20"/>
          <w:lang w:val="lt-LT"/>
        </w:rPr>
      </w:pPr>
      <w:bookmarkStart w:id="78" w:name="_Toc393381238"/>
      <w:r w:rsidRPr="00FE705A">
        <w:rPr>
          <w:rFonts w:ascii="Georgia" w:hAnsi="Georgia"/>
          <w:i/>
          <w:sz w:val="20"/>
          <w:lang w:val="lt-LT"/>
        </w:rPr>
        <w:t>Reikalavimai savivaldybių įmonių pajėgumams</w:t>
      </w:r>
    </w:p>
    <w:p w14:paraId="21411A0D" w14:textId="77777777" w:rsidR="00336C16" w:rsidRDefault="00BA3E45" w:rsidP="00336C16">
      <w:pPr>
        <w:jc w:val="both"/>
        <w:rPr>
          <w:rFonts w:ascii="Georgia" w:hAnsi="Georgia"/>
          <w:sz w:val="20"/>
          <w:lang w:val="lt-LT"/>
        </w:rPr>
      </w:pPr>
      <w:r>
        <w:rPr>
          <w:rFonts w:ascii="Georgia" w:hAnsi="Georgia"/>
          <w:sz w:val="20"/>
          <w:lang w:val="lt-LT"/>
        </w:rPr>
        <w:t>Daugiabučių namų renovacijos finansavimo modelis, paskolas teikiant daugiabučių namų savininkų naudai, iškėlė naują klausimą -</w:t>
      </w:r>
      <w:r w:rsidR="00336C16">
        <w:rPr>
          <w:rFonts w:ascii="Georgia" w:hAnsi="Georgia"/>
          <w:sz w:val="20"/>
          <w:lang w:val="lt-LT"/>
        </w:rPr>
        <w:t xml:space="preserve"> ar savivaldybių įmonės turi būtinus gebėjimus įgyvendinti ir administruoti renovacijos projektus viso miesto mastu. Savivaldybių įmonės tampa atsakingos už visą renovacijos ciklą - renovacijos projektų rengimas, viešieji pirkimai, sutartis su rangovu, sutartis dėl renovacijos paskolų, butų savininkų mokėjimų administravimas, ir t.t. </w:t>
      </w:r>
    </w:p>
    <w:p w14:paraId="59912B14" w14:textId="77777777" w:rsidR="00336C16" w:rsidRDefault="00336C16" w:rsidP="00336C16">
      <w:pPr>
        <w:jc w:val="both"/>
        <w:rPr>
          <w:rFonts w:ascii="Georgia" w:hAnsi="Georgia"/>
          <w:sz w:val="20"/>
          <w:lang w:val="lt-LT"/>
        </w:rPr>
      </w:pPr>
      <w:r>
        <w:rPr>
          <w:rFonts w:ascii="Georgia" w:hAnsi="Georgia"/>
          <w:sz w:val="20"/>
          <w:lang w:val="lt-LT"/>
        </w:rPr>
        <w:t xml:space="preserve">Pasirinktos savivaldybių įmonės pagrinde yra kelių tipų - specialiai įsteigtos arba paskirtos viešosios įstaigos (apie 31,6%), šiuo metu veikiantys administratoriai (apie 58%), centrinio šildymo įmonės (apie 5,2%) ir vandens tiekimo įmonės (apie 5,2%). </w:t>
      </w:r>
    </w:p>
    <w:p w14:paraId="312E8D9C" w14:textId="77777777" w:rsidR="00336C16" w:rsidRDefault="00336C16" w:rsidP="00336C16">
      <w:pPr>
        <w:jc w:val="both"/>
        <w:rPr>
          <w:rFonts w:ascii="Georgia" w:hAnsi="Georgia"/>
          <w:sz w:val="20"/>
          <w:lang w:val="lt-LT"/>
        </w:rPr>
      </w:pPr>
      <w:r>
        <w:rPr>
          <w:rFonts w:ascii="Georgia" w:hAnsi="Georgia"/>
          <w:sz w:val="20"/>
          <w:lang w:val="lt-LT"/>
        </w:rPr>
        <w:t xml:space="preserve">Šiuo metu BETA vykdo specialius mokymus savivaldybių įmonėms apie naujausius teisinio reglamentavimo pakeitimus, finansų valdymą, viešuosius pirkimus ir kt. BETA taip pat parengė programinę įrangą, kuri bus prieinama savivaldybių įmonėms ir palengvins butų savininkų mokėjimų ir gautos valstybės paramos administravimą. Be to, BETA šiuo metu stiprina savo padalinius, esančių regionuose, siekiant užtikrinti, kad techninė pagalba būtų labiau prieinama visose savivaldybėse. </w:t>
      </w:r>
    </w:p>
    <w:p w14:paraId="61FB705D" w14:textId="77777777" w:rsidR="00336C16" w:rsidRPr="00FE705A" w:rsidRDefault="00A95CBE" w:rsidP="00FE705A">
      <w:pPr>
        <w:keepNext/>
        <w:rPr>
          <w:rFonts w:ascii="Georgia" w:hAnsi="Georgia"/>
          <w:i/>
          <w:sz w:val="20"/>
          <w:lang w:val="lt-LT"/>
        </w:rPr>
      </w:pPr>
      <w:r>
        <w:rPr>
          <w:rFonts w:ascii="Georgia" w:hAnsi="Georgia"/>
          <w:i/>
          <w:sz w:val="20"/>
          <w:lang w:val="lt-LT"/>
        </w:rPr>
        <w:lastRenderedPageBreak/>
        <w:t>R</w:t>
      </w:r>
      <w:r w:rsidR="00336C16" w:rsidRPr="00FE705A">
        <w:rPr>
          <w:rFonts w:ascii="Georgia" w:hAnsi="Georgia"/>
          <w:i/>
          <w:sz w:val="20"/>
          <w:lang w:val="lt-LT"/>
        </w:rPr>
        <w:t xml:space="preserve">enovacijos kokybės kontrolė </w:t>
      </w:r>
    </w:p>
    <w:p w14:paraId="06127FB2" w14:textId="77777777" w:rsidR="00336C16" w:rsidRDefault="00336C16" w:rsidP="00336C16">
      <w:pPr>
        <w:jc w:val="both"/>
        <w:rPr>
          <w:rFonts w:ascii="Georgia" w:hAnsi="Georgia"/>
          <w:sz w:val="20"/>
          <w:lang w:val="lt-LT"/>
        </w:rPr>
      </w:pPr>
      <w:r>
        <w:rPr>
          <w:rFonts w:ascii="Georgia" w:hAnsi="Georgia"/>
          <w:sz w:val="20"/>
          <w:lang w:val="lt-LT"/>
        </w:rPr>
        <w:t>Vienas iš svarbiausių rūpesčių butų savininkams yra renovacijos darbų kokybė. Remiantis studija</w:t>
      </w:r>
      <w:r w:rsidR="00A1200D">
        <w:rPr>
          <w:rStyle w:val="Puslapioinaosnuoroda"/>
          <w:rFonts w:ascii="Georgia" w:hAnsi="Georgia"/>
          <w:sz w:val="20"/>
          <w:lang w:val="lt-LT"/>
        </w:rPr>
        <w:footnoteReference w:id="23"/>
      </w:r>
      <w:r>
        <w:rPr>
          <w:rFonts w:ascii="Georgia" w:hAnsi="Georgia"/>
          <w:sz w:val="20"/>
          <w:lang w:val="lt-LT"/>
        </w:rPr>
        <w:t>, kurią užsakė Lietuvos šilumos tiekėjų asociacija, rizika, kad renovacijos darbai gali būti atliekami netinkamai, buvo nustatyta kaip aukšta.</w:t>
      </w:r>
    </w:p>
    <w:p w14:paraId="0EB99653" w14:textId="77777777" w:rsidR="00A1200D" w:rsidRDefault="00336C16" w:rsidP="00336C16">
      <w:pPr>
        <w:jc w:val="both"/>
        <w:rPr>
          <w:rFonts w:ascii="Georgia" w:hAnsi="Georgia"/>
          <w:sz w:val="20"/>
          <w:lang w:val="lt-LT"/>
        </w:rPr>
      </w:pPr>
      <w:r>
        <w:rPr>
          <w:rFonts w:ascii="Georgia" w:hAnsi="Georgia"/>
          <w:sz w:val="20"/>
          <w:lang w:val="lt-LT"/>
        </w:rPr>
        <w:t xml:space="preserve">Valstybinė teritorijų planavimo ir statybos inspekcija paskelbė, kad renovacijos darbų kontrolė bus atliekama per netikėtus apsilankymus renovuojamuose objektuose. </w:t>
      </w:r>
      <w:r w:rsidR="00A1200D" w:rsidRPr="00A1200D">
        <w:rPr>
          <w:rFonts w:ascii="Georgia" w:hAnsi="Georgia"/>
          <w:sz w:val="20"/>
          <w:lang w:val="lt-LT"/>
        </w:rPr>
        <w:t>Siekiant užtikrinti kuo geresnę darbų kokybę, kiekvienas renovuojamas namas turi turėti techninį prižiūrėtoją</w:t>
      </w:r>
      <w:r w:rsidR="00A1200D">
        <w:rPr>
          <w:rFonts w:ascii="Georgia" w:hAnsi="Georgia"/>
          <w:sz w:val="20"/>
          <w:lang w:val="lt-LT"/>
        </w:rPr>
        <w:t xml:space="preserve">, kuriems </w:t>
      </w:r>
      <w:r w:rsidR="00A1200D" w:rsidRPr="00A1200D">
        <w:rPr>
          <w:rFonts w:ascii="Georgia" w:hAnsi="Georgia"/>
          <w:sz w:val="20"/>
          <w:lang w:val="lt-LT"/>
        </w:rPr>
        <w:t>renovacijos procese tenka didelė atsakomybė, todėl ir dėmesys jų veiklai ypatingas. Pastarojo veiklą tikrina ne tik renovuojamo namo gyventojai, bet ir Valstybinė teritorijų planavimo ir statybos inspekcija (VTPSI) prie Aplinkos ministerijos ir Būsto energijos taupymo agentūra (BETA).</w:t>
      </w:r>
    </w:p>
    <w:p w14:paraId="00C8ACA6" w14:textId="77777777" w:rsidR="00A1200D" w:rsidRDefault="00A1200D" w:rsidP="00336C16">
      <w:pPr>
        <w:jc w:val="both"/>
        <w:rPr>
          <w:rFonts w:ascii="Georgia" w:hAnsi="Georgia"/>
          <w:sz w:val="20"/>
          <w:lang w:val="lt-LT"/>
        </w:rPr>
      </w:pPr>
      <w:r w:rsidRPr="00A1200D">
        <w:rPr>
          <w:rFonts w:ascii="Georgia" w:hAnsi="Georgia"/>
          <w:sz w:val="20"/>
          <w:lang w:val="lt-LT"/>
        </w:rPr>
        <w:t>Vykdant renovaciją statybos techninės priežiūros tikslas – ne tik patikrinti, kaip laikomasi bendrų teisės aktų nuostatų, bet ir įvertinti, ar tinkamai įgyvendinami konkretaus pastato detalizuoti projekto sprendiniai, kaip taikomi normatyvinių statybos techninių dokumentų reikalavimai, kaip vykdomos statybos pro</w:t>
      </w:r>
      <w:r>
        <w:rPr>
          <w:rFonts w:ascii="Georgia" w:hAnsi="Georgia"/>
          <w:sz w:val="20"/>
          <w:lang w:val="lt-LT"/>
        </w:rPr>
        <w:t>duktų gamintojo rekomendacijos.</w:t>
      </w:r>
    </w:p>
    <w:p w14:paraId="2D93FC27" w14:textId="77777777" w:rsidR="00A1200D" w:rsidRDefault="00A1200D" w:rsidP="00A1200D">
      <w:pPr>
        <w:jc w:val="both"/>
        <w:rPr>
          <w:rFonts w:ascii="Georgia" w:hAnsi="Georgia"/>
          <w:sz w:val="20"/>
          <w:lang w:val="lt-LT"/>
        </w:rPr>
      </w:pPr>
      <w:r w:rsidRPr="00A1200D">
        <w:rPr>
          <w:rFonts w:ascii="Georgia" w:hAnsi="Georgia"/>
          <w:sz w:val="20"/>
          <w:lang w:val="lt-LT"/>
        </w:rPr>
        <w:t>Siekiant, kad kontrolė būtų efektyvi, atvykę į statybvietę tikrintojai turi rasti visus reikalingus dokumentus ir darbų priežiūrą vykdančius statybos dalyvius. Dėl to techniniams prižiūrėtojams nustatyta prievolė, atsižvelgiant į numatomus vykdyti darbus, parengti, suderinti su užsakovu ir pateikti VTPSI ir BETA pastatų tikrinimo grafikus. Grafikas turi būti sudaromas ne trumpesniam kaip savaitės laikotarpiui nurodant tikslų laiką, kada techniniai prižiūrėtojai planuoja tikrinti renovuojamus namus ir atliekamus darbus.</w:t>
      </w:r>
    </w:p>
    <w:p w14:paraId="213D1F37" w14:textId="77777777" w:rsidR="00336C16" w:rsidRPr="00FE705A" w:rsidRDefault="00336C16" w:rsidP="00FE705A">
      <w:pPr>
        <w:keepNext/>
        <w:rPr>
          <w:rFonts w:ascii="Georgia" w:hAnsi="Georgia"/>
          <w:i/>
          <w:sz w:val="20"/>
          <w:lang w:val="lt-LT"/>
        </w:rPr>
      </w:pPr>
      <w:r w:rsidRPr="00FE705A">
        <w:rPr>
          <w:rFonts w:ascii="Georgia" w:hAnsi="Georgia"/>
          <w:i/>
          <w:sz w:val="20"/>
          <w:lang w:val="lt-LT"/>
        </w:rPr>
        <w:t>Poveikis centrinio šildymo sistemoms</w:t>
      </w:r>
    </w:p>
    <w:p w14:paraId="40E3450E" w14:textId="77777777" w:rsidR="00336C16" w:rsidRDefault="00336C16" w:rsidP="00336C16">
      <w:pPr>
        <w:jc w:val="both"/>
        <w:rPr>
          <w:rFonts w:ascii="Georgia" w:hAnsi="Georgia"/>
          <w:sz w:val="20"/>
          <w:lang w:val="lt-LT"/>
        </w:rPr>
      </w:pPr>
      <w:r>
        <w:rPr>
          <w:rFonts w:ascii="Georgia" w:hAnsi="Georgia"/>
          <w:sz w:val="20"/>
          <w:lang w:val="lt-LT"/>
        </w:rPr>
        <w:t xml:space="preserve">Plačios apimties renovacijos miestuose gali turėti poveikį centrinės šildymo gamybos ir tiekimo sistemoms dėl sparčiai sumažėjusio šilumos energijos suvartojimo. Nacionalinėje energetinės nepriklausomybės strategijoje yra nustatyta, kad dėl daugiabučių namų renovacijos iki 2020 metų šilumos suvartojimas </w:t>
      </w:r>
      <w:r w:rsidR="008F5315">
        <w:rPr>
          <w:rFonts w:ascii="Georgia" w:hAnsi="Georgia"/>
          <w:sz w:val="20"/>
          <w:lang w:val="lt-LT"/>
        </w:rPr>
        <w:t>sumažės apie</w:t>
      </w:r>
      <w:r>
        <w:rPr>
          <w:rFonts w:ascii="Georgia" w:hAnsi="Georgia"/>
          <w:sz w:val="20"/>
          <w:lang w:val="lt-LT"/>
        </w:rPr>
        <w:t xml:space="preserve"> 30-40%. </w:t>
      </w:r>
    </w:p>
    <w:p w14:paraId="69DCF187" w14:textId="77777777" w:rsidR="00336C16" w:rsidRDefault="008F5315" w:rsidP="00336C16">
      <w:pPr>
        <w:jc w:val="both"/>
        <w:rPr>
          <w:rFonts w:ascii="Georgia" w:hAnsi="Georgia"/>
          <w:sz w:val="20"/>
          <w:lang w:val="lt-LT"/>
        </w:rPr>
      </w:pPr>
      <w:r>
        <w:rPr>
          <w:rFonts w:ascii="Georgia" w:hAnsi="Georgia"/>
          <w:sz w:val="20"/>
          <w:lang w:val="lt-LT"/>
        </w:rPr>
        <w:t xml:space="preserve">Remiantis </w:t>
      </w:r>
      <w:r w:rsidR="00336C16">
        <w:rPr>
          <w:rFonts w:ascii="Georgia" w:hAnsi="Georgia"/>
          <w:sz w:val="20"/>
          <w:lang w:val="lt-LT"/>
        </w:rPr>
        <w:t xml:space="preserve">Lietuvos šilumos tiekėjų asociacijos </w:t>
      </w:r>
      <w:r>
        <w:rPr>
          <w:rFonts w:ascii="Georgia" w:hAnsi="Georgia"/>
          <w:sz w:val="20"/>
          <w:lang w:val="lt-LT"/>
        </w:rPr>
        <w:t>nuomone</w:t>
      </w:r>
      <w:r w:rsidR="00336C16">
        <w:rPr>
          <w:rFonts w:ascii="Georgia" w:hAnsi="Georgia"/>
          <w:sz w:val="20"/>
          <w:lang w:val="lt-LT"/>
        </w:rPr>
        <w:t xml:space="preserve">, nors dėl daugiabučių namų renovacijos šilumos energijos suvartojimas turėtų sumažėti, šildymo kainos neturėtų žymiai </w:t>
      </w:r>
      <w:r>
        <w:rPr>
          <w:rFonts w:ascii="Georgia" w:hAnsi="Georgia"/>
          <w:sz w:val="20"/>
          <w:lang w:val="lt-LT"/>
        </w:rPr>
        <w:t>išaugti</w:t>
      </w:r>
      <w:r w:rsidR="00336C16">
        <w:rPr>
          <w:rFonts w:ascii="Georgia" w:hAnsi="Georgia"/>
          <w:sz w:val="20"/>
          <w:lang w:val="lt-LT"/>
        </w:rPr>
        <w:t>, nes kiekvienais metais auga n</w:t>
      </w:r>
      <w:r w:rsidR="003F2D79">
        <w:rPr>
          <w:rFonts w:ascii="Georgia" w:hAnsi="Georgia"/>
          <w:sz w:val="20"/>
          <w:lang w:val="lt-LT"/>
        </w:rPr>
        <w:t>aujų šilumos vartotojų skaičius</w:t>
      </w:r>
      <w:r w:rsidR="00336C16">
        <w:rPr>
          <w:rFonts w:ascii="Georgia" w:hAnsi="Georgia"/>
          <w:sz w:val="20"/>
          <w:lang w:val="lt-LT"/>
        </w:rPr>
        <w:t xml:space="preserve">. Panaši pozicija taip pat buvo palaikoma ir Lietuvos energetikos konsultantų asociacijos. </w:t>
      </w:r>
    </w:p>
    <w:p w14:paraId="5C2ABC7B" w14:textId="77777777" w:rsidR="00336C16" w:rsidRDefault="00336C16" w:rsidP="00336C16">
      <w:pPr>
        <w:jc w:val="both"/>
        <w:rPr>
          <w:rFonts w:ascii="Georgia" w:hAnsi="Georgia"/>
          <w:sz w:val="20"/>
          <w:lang w:val="lt-LT"/>
        </w:rPr>
      </w:pPr>
      <w:r>
        <w:rPr>
          <w:rFonts w:ascii="Georgia" w:hAnsi="Georgia"/>
          <w:sz w:val="20"/>
          <w:lang w:val="lt-LT"/>
        </w:rPr>
        <w:t>Nepaisant to, didelės apimties renovacij</w:t>
      </w:r>
      <w:r w:rsidR="008F5315">
        <w:rPr>
          <w:rFonts w:ascii="Georgia" w:hAnsi="Georgia"/>
          <w:sz w:val="20"/>
          <w:lang w:val="lt-LT"/>
        </w:rPr>
        <w:t>a</w:t>
      </w:r>
      <w:r>
        <w:rPr>
          <w:rFonts w:ascii="Georgia" w:hAnsi="Georgia"/>
          <w:sz w:val="20"/>
          <w:lang w:val="lt-LT"/>
        </w:rPr>
        <w:t xml:space="preserve"> miestuose turėtų būti </w:t>
      </w:r>
      <w:r w:rsidR="008F5315">
        <w:rPr>
          <w:rFonts w:ascii="Georgia" w:hAnsi="Georgia"/>
          <w:sz w:val="20"/>
          <w:lang w:val="lt-LT"/>
        </w:rPr>
        <w:t>diskutuojama ir derinama su šilumos tiekimo įmonėmis</w:t>
      </w:r>
      <w:r>
        <w:rPr>
          <w:rFonts w:ascii="Georgia" w:hAnsi="Georgia"/>
          <w:sz w:val="20"/>
          <w:lang w:val="lt-LT"/>
        </w:rPr>
        <w:t>, kad jos galėtų planuoti reikiamas investicijas į infrastruktūrą.</w:t>
      </w:r>
    </w:p>
    <w:p w14:paraId="6E8D9EDC" w14:textId="77777777" w:rsidR="00336C16" w:rsidRDefault="00336C16" w:rsidP="00336C16">
      <w:pPr>
        <w:jc w:val="both"/>
        <w:rPr>
          <w:rFonts w:ascii="Georgia" w:hAnsi="Georgia"/>
          <w:sz w:val="20"/>
          <w:lang w:val="lt-LT"/>
        </w:rPr>
      </w:pPr>
      <w:r>
        <w:rPr>
          <w:rFonts w:ascii="Georgia" w:hAnsi="Georgia"/>
          <w:sz w:val="20"/>
          <w:lang w:val="lt-LT"/>
        </w:rPr>
        <w:t>BETA prognozuoja, kad šiuo metu planuojama plačios apimties renovacija neturėtų turėti didelės įtakos šilumos energijos suvartojimo sumažėjimui ir šis klausimas turėtų būti keliamas planuojant tolesnę renovaciją nuo 2015 metų. Buvo rekomenduota visose savivaldybėse apsvarstyti ir aptarti šiuos klausimus su vietos šilumos tiekėjais, siekiant palengvinti reikiamų koregavimų įdiegimą centrinėse šildymo sistemose.</w:t>
      </w:r>
    </w:p>
    <w:bookmarkEnd w:id="78"/>
    <w:p w14:paraId="4A145881" w14:textId="77777777" w:rsidR="0053708C" w:rsidRPr="00FE705A" w:rsidRDefault="0053708C" w:rsidP="00FE705A">
      <w:pPr>
        <w:keepNext/>
        <w:rPr>
          <w:rFonts w:ascii="Georgia" w:hAnsi="Georgia"/>
          <w:i/>
          <w:sz w:val="20"/>
          <w:lang w:val="lt-LT"/>
        </w:rPr>
      </w:pPr>
      <w:r w:rsidRPr="00FE705A">
        <w:rPr>
          <w:rFonts w:ascii="Georgia" w:hAnsi="Georgia"/>
          <w:i/>
          <w:sz w:val="20"/>
          <w:lang w:val="lt-LT"/>
        </w:rPr>
        <w:t>Projekto vykdytojas gali nuspręsti pasikliauti „greitais ir pigiais“ sprendimais ignoruodama</w:t>
      </w:r>
      <w:r w:rsidR="004B43E6">
        <w:rPr>
          <w:rFonts w:ascii="Georgia" w:hAnsi="Georgia"/>
          <w:i/>
          <w:sz w:val="20"/>
          <w:lang w:val="lt-LT"/>
        </w:rPr>
        <w:t>s</w:t>
      </w:r>
      <w:r w:rsidRPr="00FE705A">
        <w:rPr>
          <w:rFonts w:ascii="Georgia" w:hAnsi="Georgia"/>
          <w:i/>
          <w:sz w:val="20"/>
          <w:lang w:val="lt-LT"/>
        </w:rPr>
        <w:t xml:space="preserve"> pastato renovavimo poreikius </w:t>
      </w:r>
    </w:p>
    <w:p w14:paraId="09942D00" w14:textId="77777777" w:rsidR="0053708C" w:rsidRDefault="0053708C" w:rsidP="0053708C">
      <w:pPr>
        <w:jc w:val="both"/>
        <w:rPr>
          <w:rFonts w:ascii="Georgia" w:hAnsi="Georgia"/>
          <w:sz w:val="20"/>
          <w:lang w:val="lt-LT"/>
        </w:rPr>
      </w:pPr>
      <w:r>
        <w:rPr>
          <w:rFonts w:ascii="Georgia" w:hAnsi="Georgia"/>
          <w:sz w:val="20"/>
          <w:lang w:val="lt-LT"/>
        </w:rPr>
        <w:t xml:space="preserve">Atlikus visapusišką pastatų renovavimą ne tik sutaupoma daugiausia energijos, </w:t>
      </w:r>
      <w:r w:rsidR="002A1569">
        <w:rPr>
          <w:rFonts w:ascii="Georgia" w:hAnsi="Georgia"/>
          <w:sz w:val="20"/>
          <w:lang w:val="lt-LT"/>
        </w:rPr>
        <w:t>bet</w:t>
      </w:r>
      <w:r>
        <w:rPr>
          <w:rFonts w:ascii="Georgia" w:hAnsi="Georgia"/>
          <w:sz w:val="20"/>
          <w:lang w:val="lt-LT"/>
        </w:rPr>
        <w:t xml:space="preserve"> ir užtikrinamos komfortiškos sąlygos, pagerinama pastato išorinė būklė, padidinama pastato vertė. Todėl jei projekto vykdytojas renkasi visapusiškai nerenovuoti viešosios paskirties pastato ir pasikliauna „greitais ir pigiais“ sprendimais, gali būti nepasiektas tikėtinas rezultatas.</w:t>
      </w:r>
    </w:p>
    <w:p w14:paraId="148F0E34" w14:textId="77777777" w:rsidR="0053708C" w:rsidRPr="00FE705A" w:rsidRDefault="0053708C" w:rsidP="00FE705A">
      <w:pPr>
        <w:keepNext/>
        <w:rPr>
          <w:rFonts w:ascii="Georgia" w:hAnsi="Georgia"/>
          <w:i/>
          <w:sz w:val="20"/>
          <w:lang w:val="lt-LT"/>
        </w:rPr>
      </w:pPr>
      <w:r w:rsidRPr="00FE705A">
        <w:rPr>
          <w:rFonts w:ascii="Georgia" w:hAnsi="Georgia"/>
          <w:i/>
          <w:sz w:val="20"/>
          <w:lang w:val="lt-LT"/>
        </w:rPr>
        <w:lastRenderedPageBreak/>
        <w:t>Pastato savininko lūkesčiai dėl šildymo energijos taupymo galimybės gali būti nepagrįsti</w:t>
      </w:r>
    </w:p>
    <w:p w14:paraId="4F209304" w14:textId="77777777" w:rsidR="0053708C" w:rsidRDefault="0053708C" w:rsidP="0053708C">
      <w:pPr>
        <w:jc w:val="both"/>
        <w:rPr>
          <w:rFonts w:ascii="Georgia" w:hAnsi="Georgia"/>
          <w:sz w:val="20"/>
          <w:lang w:val="lt-LT"/>
        </w:rPr>
      </w:pPr>
      <w:r>
        <w:rPr>
          <w:rFonts w:ascii="Georgia" w:hAnsi="Georgia"/>
          <w:sz w:val="20"/>
          <w:lang w:val="lt-LT"/>
        </w:rPr>
        <w:t>Jei pastatas priskiriamas F, E ar D kategorijai, tai nebūtinai reiškia, kad jo galimybės sutaupyti šilumą yra didelės. Priskiriant pastatą energinio efektyvumo klasei, būna vertinamas ne tik šilumos, bet ir elektros energijos suvartojimas. Pavyzdžiui, ligoninė su mechanine vėdinimo sistema, elektriniais karšto vandens ruošimo boileriais gali būti priskirta D ar net E klasei, bet šilumos kiekis, suvartojamas 1 m</w:t>
      </w:r>
      <w:r>
        <w:rPr>
          <w:rFonts w:ascii="Georgia" w:hAnsi="Georgia"/>
          <w:sz w:val="20"/>
          <w:vertAlign w:val="superscript"/>
          <w:lang w:val="lt-LT"/>
        </w:rPr>
        <w:t>2</w:t>
      </w:r>
      <w:r>
        <w:rPr>
          <w:rFonts w:ascii="Georgia" w:hAnsi="Georgia"/>
          <w:sz w:val="20"/>
          <w:lang w:val="lt-LT"/>
        </w:rPr>
        <w:t>, gali būti nedidelis. Šiuo atveju sutaupytos šilumos kiekis taip pat bus nedidelis.</w:t>
      </w:r>
    </w:p>
    <w:p w14:paraId="2FB4EE26" w14:textId="77777777" w:rsidR="0053708C" w:rsidRDefault="0053708C" w:rsidP="00181772">
      <w:pPr>
        <w:keepNext/>
        <w:rPr>
          <w:rFonts w:ascii="Georgia" w:hAnsi="Georgia"/>
          <w:b/>
          <w:i/>
          <w:sz w:val="20"/>
          <w:lang w:val="lt-LT"/>
        </w:rPr>
      </w:pPr>
    </w:p>
    <w:p w14:paraId="4B20FEA5" w14:textId="77777777" w:rsidR="00181772" w:rsidRPr="00FE705A" w:rsidRDefault="00181772" w:rsidP="00181772">
      <w:pPr>
        <w:keepNext/>
        <w:rPr>
          <w:rFonts w:ascii="Georgia" w:hAnsi="Georgia"/>
          <w:i/>
          <w:sz w:val="24"/>
          <w:lang w:val="lt-LT"/>
        </w:rPr>
      </w:pPr>
      <w:r w:rsidRPr="00FE705A">
        <w:rPr>
          <w:rFonts w:ascii="Georgia" w:hAnsi="Georgia"/>
          <w:i/>
          <w:sz w:val="24"/>
          <w:lang w:val="lt-LT"/>
        </w:rPr>
        <w:t xml:space="preserve">ESCO modelio įgyvendinimo rinkoje barjerai </w:t>
      </w:r>
    </w:p>
    <w:p w14:paraId="4BD5EDC9" w14:textId="77777777" w:rsidR="00181329" w:rsidRDefault="00181329" w:rsidP="00181329">
      <w:pPr>
        <w:jc w:val="both"/>
        <w:rPr>
          <w:rFonts w:ascii="Georgia" w:hAnsi="Georgia"/>
          <w:sz w:val="20"/>
          <w:lang w:val="lt-LT"/>
        </w:rPr>
      </w:pPr>
      <w:r>
        <w:rPr>
          <w:rFonts w:ascii="Georgia" w:hAnsi="Georgia"/>
          <w:sz w:val="20"/>
          <w:lang w:val="lt-LT"/>
        </w:rPr>
        <w:t>ESCO modelis – vienas iš būdų sumažinti susidariusius finansavimo trūkumus, kadangi, pagal paplitusią ESCO modelio įgyvendinimo praktiką, ESCO kompanija pati pasirūpina investicijų finansavimu</w:t>
      </w:r>
      <w:r w:rsidR="002A1569">
        <w:rPr>
          <w:rFonts w:ascii="Georgia" w:hAnsi="Georgia"/>
          <w:sz w:val="20"/>
          <w:lang w:val="lt-LT"/>
        </w:rPr>
        <w:t>, projekto įgyvendinimu ir rezultatų priežiūra</w:t>
      </w:r>
      <w:r>
        <w:rPr>
          <w:rFonts w:ascii="Georgia" w:hAnsi="Georgia"/>
          <w:sz w:val="20"/>
          <w:lang w:val="lt-LT"/>
        </w:rPr>
        <w:t xml:space="preserve">. ESCO kompanija investicijas gali finansuoti nuosavomis, motininės įmonės, skolintomis lėšomis. ESCO kompanija – tradiciškai privati kompanija, todėl privataus kapitalo įmonėms prieiga prie įvairų finansavimo šaltinių gali būti paprastesnė, dėl to, kad įmonės </w:t>
      </w:r>
      <w:r w:rsidR="002A1569">
        <w:rPr>
          <w:rFonts w:ascii="Georgia" w:hAnsi="Georgia"/>
          <w:sz w:val="20"/>
          <w:lang w:val="lt-LT"/>
        </w:rPr>
        <w:t xml:space="preserve">neturi apribojimų skolintis. </w:t>
      </w:r>
      <w:r>
        <w:rPr>
          <w:rFonts w:ascii="Georgia" w:hAnsi="Georgia"/>
          <w:sz w:val="20"/>
          <w:lang w:val="lt-LT"/>
        </w:rPr>
        <w:t xml:space="preserve">ESCO kompanija turi pakankamas kompetencijas įgyvendinti tokius projektus ir pan. Taigi ESCO modelis – vienas iš būdų pasiekti geresnius rezultatus. </w:t>
      </w:r>
    </w:p>
    <w:p w14:paraId="69101CCC" w14:textId="77777777" w:rsidR="00181329" w:rsidRDefault="00181329" w:rsidP="00181329">
      <w:pPr>
        <w:jc w:val="both"/>
        <w:rPr>
          <w:rFonts w:ascii="Georgia" w:hAnsi="Georgia"/>
          <w:sz w:val="20"/>
          <w:lang w:val="lt-LT"/>
        </w:rPr>
      </w:pPr>
      <w:r>
        <w:rPr>
          <w:rFonts w:ascii="Georgia" w:hAnsi="Georgia"/>
          <w:sz w:val="20"/>
          <w:lang w:val="lt-LT"/>
        </w:rPr>
        <w:t xml:space="preserve">Nepaisant to, kad ESCO modelis yra tinkamas rinkos nepakankamumų priežasčių sprendimui ir finansavimo trūkumo užpildymui, KPMG ir PwC studijose buvo identifikuota daug kliūčių bei priežasčių, kurios trukdo plėtotis ESCO rinkai Lietuvoje. Žemiau yra pateikti integruoti ir papildyti KPMG studijoje identifikuoti ESCO rinkos plėtros barjerai. </w:t>
      </w:r>
    </w:p>
    <w:p w14:paraId="2A2DA3B7" w14:textId="77777777" w:rsidR="00181329" w:rsidRPr="00FE705A" w:rsidRDefault="00181329" w:rsidP="00983412">
      <w:pPr>
        <w:jc w:val="both"/>
        <w:rPr>
          <w:rFonts w:ascii="Georgia" w:hAnsi="Georgia"/>
          <w:i/>
          <w:sz w:val="20"/>
          <w:lang w:val="lt-LT"/>
        </w:rPr>
      </w:pPr>
      <w:r w:rsidRPr="00FE705A">
        <w:rPr>
          <w:rFonts w:ascii="Georgia" w:hAnsi="Georgia"/>
          <w:i/>
          <w:sz w:val="20"/>
          <w:lang w:val="lt-LT"/>
        </w:rPr>
        <w:t>Nepasitikėjimas ir supratimo trūkumas apie ESCO koncepciją</w:t>
      </w:r>
    </w:p>
    <w:p w14:paraId="33EE62A5" w14:textId="77777777" w:rsidR="00181329" w:rsidRDefault="00181329" w:rsidP="00983412">
      <w:pPr>
        <w:jc w:val="both"/>
        <w:rPr>
          <w:rFonts w:ascii="Georgia" w:hAnsi="Georgia"/>
          <w:sz w:val="20"/>
          <w:lang w:val="lt-LT"/>
        </w:rPr>
      </w:pPr>
      <w:r>
        <w:rPr>
          <w:rFonts w:ascii="Georgia" w:hAnsi="Georgia"/>
          <w:sz w:val="20"/>
          <w:lang w:val="lt-LT"/>
        </w:rPr>
        <w:t xml:space="preserve">ESCO modelis Europos rinkoje yra ganėtinai naujas ir ne taip seniai pradėtas įgyvendinti. Lietuvoje šio modelio sėkmingų pavyzdžių yra </w:t>
      </w:r>
      <w:r w:rsidR="00983412">
        <w:rPr>
          <w:rFonts w:ascii="Georgia" w:hAnsi="Georgia"/>
          <w:sz w:val="20"/>
          <w:lang w:val="lt-LT"/>
        </w:rPr>
        <w:t>daugiausia</w:t>
      </w:r>
      <w:r>
        <w:rPr>
          <w:rFonts w:ascii="Georgia" w:hAnsi="Georgia"/>
          <w:sz w:val="20"/>
          <w:lang w:val="lt-LT"/>
        </w:rPr>
        <w:t xml:space="preserve"> privačiame sektoriuje. Atsižvelgiant į tai, ESCO modelis yra ne iki galo suprantamas tiek projektų vykdytojų (t.y. pastatų/patalpų savininkų), tiek finansuotojų. </w:t>
      </w:r>
    </w:p>
    <w:p w14:paraId="5B4B3280" w14:textId="77777777" w:rsidR="00181329" w:rsidRPr="00FE705A" w:rsidRDefault="00181329" w:rsidP="00181329">
      <w:pPr>
        <w:jc w:val="both"/>
        <w:rPr>
          <w:rFonts w:ascii="Georgia" w:hAnsi="Georgia"/>
          <w:i/>
          <w:sz w:val="20"/>
          <w:lang w:val="lt-LT"/>
        </w:rPr>
      </w:pPr>
      <w:r w:rsidRPr="00FE705A">
        <w:rPr>
          <w:rFonts w:ascii="Georgia" w:hAnsi="Georgia"/>
          <w:i/>
          <w:sz w:val="20"/>
          <w:lang w:val="lt-LT"/>
        </w:rPr>
        <w:t xml:space="preserve">ESCO modelio taikymas </w:t>
      </w:r>
      <w:r>
        <w:rPr>
          <w:rFonts w:ascii="Georgia" w:hAnsi="Georgia"/>
          <w:i/>
          <w:sz w:val="20"/>
          <w:lang w:val="lt-LT"/>
        </w:rPr>
        <w:t>savivaldybių viešųjų</w:t>
      </w:r>
      <w:r w:rsidRPr="00FE705A">
        <w:rPr>
          <w:rFonts w:ascii="Georgia" w:hAnsi="Georgia"/>
          <w:i/>
          <w:sz w:val="20"/>
          <w:lang w:val="lt-LT"/>
        </w:rPr>
        <w:t xml:space="preserve"> pastatų renovavimui</w:t>
      </w:r>
    </w:p>
    <w:p w14:paraId="6EDD3B2E" w14:textId="77777777" w:rsidR="00181329" w:rsidRDefault="00181329" w:rsidP="00181329">
      <w:pPr>
        <w:jc w:val="both"/>
        <w:rPr>
          <w:rFonts w:ascii="Georgia" w:hAnsi="Georgia"/>
          <w:sz w:val="20"/>
          <w:lang w:val="lt-LT"/>
        </w:rPr>
      </w:pPr>
      <w:r>
        <w:rPr>
          <w:rFonts w:ascii="Georgia" w:hAnsi="Georgia"/>
          <w:sz w:val="20"/>
          <w:lang w:val="lt-LT"/>
        </w:rPr>
        <w:t xml:space="preserve">ESCO modelio taikymas savivaldybių viešųjų pastatų renovavimui yra susijęs su dar viena problema – savivaldybių finansine padėtimi bei rizika, kad asignavimai, skirti investicijų padengimui, bus panaudoti kitiems tikslams. </w:t>
      </w:r>
    </w:p>
    <w:p w14:paraId="38343605" w14:textId="77777777" w:rsidR="00181329" w:rsidRDefault="00181329" w:rsidP="00181329">
      <w:pPr>
        <w:jc w:val="both"/>
        <w:rPr>
          <w:rFonts w:ascii="Georgia" w:hAnsi="Georgia"/>
          <w:sz w:val="20"/>
          <w:lang w:val="lt-LT"/>
        </w:rPr>
      </w:pPr>
      <w:r w:rsidRPr="00A07762">
        <w:rPr>
          <w:rFonts w:ascii="Georgia" w:hAnsi="Georgia"/>
          <w:sz w:val="20"/>
          <w:lang w:val="lt-LT"/>
        </w:rPr>
        <w:t xml:space="preserve">Įgyvendinant ESCO modelį, privataus kapitalo įmonės finansuoja renovacijos procesą ir prisiima energijos sutaupymo </w:t>
      </w:r>
      <w:r>
        <w:rPr>
          <w:rFonts w:ascii="Georgia" w:hAnsi="Georgia"/>
          <w:sz w:val="20"/>
          <w:lang w:val="lt-LT"/>
        </w:rPr>
        <w:t>riziką</w:t>
      </w:r>
      <w:r w:rsidRPr="00A07762">
        <w:rPr>
          <w:rFonts w:ascii="Georgia" w:hAnsi="Georgia"/>
          <w:sz w:val="20"/>
          <w:lang w:val="lt-LT"/>
        </w:rPr>
        <w:t xml:space="preserve">. Tačiau kadangi dauguma savivaldybių turi aukštą ar labai aukštą </w:t>
      </w:r>
      <w:r>
        <w:rPr>
          <w:rFonts w:ascii="Georgia" w:hAnsi="Georgia"/>
          <w:sz w:val="20"/>
          <w:lang w:val="lt-LT"/>
        </w:rPr>
        <w:t>įsiskolinimo</w:t>
      </w:r>
      <w:r w:rsidRPr="00A07762">
        <w:rPr>
          <w:rFonts w:ascii="Georgia" w:hAnsi="Georgia"/>
          <w:sz w:val="20"/>
          <w:lang w:val="lt-LT"/>
        </w:rPr>
        <w:t xml:space="preserve"> lygį</w:t>
      </w:r>
      <w:r>
        <w:rPr>
          <w:rFonts w:ascii="Georgia" w:hAnsi="Georgia"/>
          <w:sz w:val="20"/>
          <w:lang w:val="lt-LT"/>
        </w:rPr>
        <w:t>,</w:t>
      </w:r>
      <w:r w:rsidRPr="00A07762">
        <w:rPr>
          <w:rFonts w:ascii="Georgia" w:hAnsi="Georgia"/>
          <w:sz w:val="20"/>
          <w:lang w:val="lt-LT"/>
        </w:rPr>
        <w:t xml:space="preserve"> nedemonstruoja finansinės disciplinos, savivaldybių (ar jų kontroliuojamų įmonių) nemokumas ar nenoras mokėti gali būti laikomas </w:t>
      </w:r>
      <w:r>
        <w:rPr>
          <w:rFonts w:ascii="Georgia" w:hAnsi="Georgia"/>
          <w:sz w:val="20"/>
          <w:lang w:val="lt-LT"/>
        </w:rPr>
        <w:t>itin didele</w:t>
      </w:r>
      <w:r w:rsidRPr="00A07762">
        <w:rPr>
          <w:rFonts w:ascii="Georgia" w:hAnsi="Georgia"/>
          <w:sz w:val="20"/>
          <w:lang w:val="lt-LT"/>
        </w:rPr>
        <w:t xml:space="preserve"> rizika bei esminiu neigiamu faktoriumi svarstant ESCO modelio taikymą</w:t>
      </w:r>
      <w:r>
        <w:rPr>
          <w:rFonts w:ascii="Georgia" w:hAnsi="Georgia"/>
          <w:sz w:val="20"/>
          <w:lang w:val="lt-LT"/>
        </w:rPr>
        <w:t xml:space="preserve"> šiai sričiai</w:t>
      </w:r>
      <w:r w:rsidRPr="00A07762">
        <w:rPr>
          <w:rFonts w:ascii="Georgia" w:hAnsi="Georgia"/>
          <w:sz w:val="20"/>
          <w:lang w:val="lt-LT"/>
        </w:rPr>
        <w:t xml:space="preserve">. </w:t>
      </w:r>
    </w:p>
    <w:p w14:paraId="46091D48" w14:textId="77777777" w:rsidR="00181329" w:rsidRPr="00A07762" w:rsidRDefault="00181329" w:rsidP="00181329">
      <w:pPr>
        <w:jc w:val="both"/>
        <w:rPr>
          <w:rFonts w:ascii="Georgia" w:hAnsi="Georgia"/>
          <w:sz w:val="20"/>
          <w:lang w:val="lt-LT"/>
        </w:rPr>
      </w:pPr>
      <w:r>
        <w:rPr>
          <w:rFonts w:ascii="Georgia" w:hAnsi="Georgia"/>
          <w:sz w:val="20"/>
          <w:lang w:val="lt-LT"/>
        </w:rPr>
        <w:t xml:space="preserve">Be to, kadangi </w:t>
      </w:r>
      <w:r w:rsidRPr="00A07762">
        <w:rPr>
          <w:rFonts w:ascii="Georgia" w:hAnsi="Georgia"/>
          <w:sz w:val="20"/>
          <w:lang w:val="lt-LT"/>
        </w:rPr>
        <w:t xml:space="preserve">sutartys su ESCO įmonėmis </w:t>
      </w:r>
      <w:r>
        <w:rPr>
          <w:rFonts w:ascii="Georgia" w:hAnsi="Georgia"/>
          <w:sz w:val="20"/>
          <w:lang w:val="lt-LT"/>
        </w:rPr>
        <w:t>yra</w:t>
      </w:r>
      <w:r w:rsidRPr="00A07762">
        <w:rPr>
          <w:rFonts w:ascii="Georgia" w:hAnsi="Georgia"/>
          <w:sz w:val="20"/>
          <w:lang w:val="lt-LT"/>
        </w:rPr>
        <w:t xml:space="preserve"> ilgalaikės,</w:t>
      </w:r>
      <w:r>
        <w:rPr>
          <w:rFonts w:ascii="Georgia" w:hAnsi="Georgia"/>
          <w:sz w:val="20"/>
          <w:lang w:val="lt-LT"/>
        </w:rPr>
        <w:t xml:space="preserve"> </w:t>
      </w:r>
      <w:r w:rsidRPr="00A07762">
        <w:rPr>
          <w:rFonts w:ascii="Georgia" w:hAnsi="Georgia"/>
          <w:sz w:val="20"/>
          <w:lang w:val="lt-LT"/>
        </w:rPr>
        <w:t xml:space="preserve">valdančiosios daugumos pasikeitimai (politinė rizika) bei savivaldybės tarybos </w:t>
      </w:r>
      <w:r>
        <w:rPr>
          <w:rFonts w:ascii="Georgia" w:hAnsi="Georgia"/>
          <w:sz w:val="20"/>
          <w:lang w:val="lt-LT"/>
        </w:rPr>
        <w:t xml:space="preserve">nuomonės dėl ESCO pasikeitimas būtų papildomi aspektai, </w:t>
      </w:r>
      <w:r w:rsidRPr="00A07762">
        <w:rPr>
          <w:rFonts w:ascii="Georgia" w:hAnsi="Georgia"/>
          <w:sz w:val="20"/>
          <w:lang w:val="lt-LT"/>
        </w:rPr>
        <w:t xml:space="preserve">dėl kurių ESCO taikymas </w:t>
      </w:r>
      <w:r>
        <w:rPr>
          <w:rFonts w:ascii="Georgia" w:hAnsi="Georgia"/>
          <w:sz w:val="20"/>
          <w:lang w:val="lt-LT"/>
        </w:rPr>
        <w:t xml:space="preserve">renovuojant </w:t>
      </w:r>
      <w:r w:rsidRPr="00A07762">
        <w:rPr>
          <w:rFonts w:ascii="Georgia" w:hAnsi="Georgia"/>
          <w:sz w:val="20"/>
          <w:lang w:val="lt-LT"/>
        </w:rPr>
        <w:t>savivaldybių pastat</w:t>
      </w:r>
      <w:r>
        <w:rPr>
          <w:rFonts w:ascii="Georgia" w:hAnsi="Georgia"/>
          <w:sz w:val="20"/>
          <w:lang w:val="lt-LT"/>
        </w:rPr>
        <w:t>us</w:t>
      </w:r>
      <w:r w:rsidRPr="00A07762">
        <w:rPr>
          <w:rFonts w:ascii="Georgia" w:hAnsi="Georgia"/>
          <w:sz w:val="20"/>
          <w:lang w:val="lt-LT"/>
        </w:rPr>
        <w:t xml:space="preserve"> </w:t>
      </w:r>
      <w:r>
        <w:rPr>
          <w:rFonts w:ascii="Georgia" w:hAnsi="Georgia"/>
          <w:sz w:val="20"/>
          <w:lang w:val="lt-LT"/>
        </w:rPr>
        <w:t>būtų</w:t>
      </w:r>
      <w:r w:rsidRPr="00A07762">
        <w:rPr>
          <w:rFonts w:ascii="Georgia" w:hAnsi="Georgia"/>
          <w:sz w:val="20"/>
          <w:lang w:val="lt-LT"/>
        </w:rPr>
        <w:t xml:space="preserve"> papildomai apsunkinamas.</w:t>
      </w:r>
    </w:p>
    <w:p w14:paraId="66B52739" w14:textId="77777777" w:rsidR="00181329" w:rsidRDefault="00181329" w:rsidP="00181329">
      <w:pPr>
        <w:jc w:val="both"/>
        <w:rPr>
          <w:rFonts w:ascii="Georgia" w:hAnsi="Georgia"/>
          <w:b/>
          <w:sz w:val="20"/>
          <w:lang w:val="lt-LT"/>
        </w:rPr>
      </w:pPr>
      <w:r>
        <w:rPr>
          <w:rFonts w:ascii="Georgia" w:hAnsi="Georgia"/>
          <w:sz w:val="20"/>
          <w:lang w:val="lt-LT"/>
        </w:rPr>
        <w:t>N</w:t>
      </w:r>
      <w:r w:rsidRPr="00A07762">
        <w:rPr>
          <w:rFonts w:ascii="Georgia" w:hAnsi="Georgia"/>
          <w:sz w:val="20"/>
          <w:lang w:val="lt-LT"/>
        </w:rPr>
        <w:t>orint paska</w:t>
      </w:r>
      <w:r>
        <w:rPr>
          <w:rFonts w:ascii="Georgia" w:hAnsi="Georgia"/>
          <w:sz w:val="20"/>
          <w:lang w:val="lt-LT"/>
        </w:rPr>
        <w:t>tinti ESCO modelio įgyvendinimą savivaldybių viešųjų pastatų renovacijai,</w:t>
      </w:r>
      <w:r w:rsidRPr="00A07762">
        <w:rPr>
          <w:rFonts w:ascii="Georgia" w:hAnsi="Georgia"/>
          <w:sz w:val="20"/>
          <w:lang w:val="lt-LT"/>
        </w:rPr>
        <w:t xml:space="preserve"> </w:t>
      </w:r>
      <w:r>
        <w:rPr>
          <w:rFonts w:ascii="Georgia" w:hAnsi="Georgia"/>
          <w:sz w:val="20"/>
          <w:lang w:val="lt-LT"/>
        </w:rPr>
        <w:t>yra</w:t>
      </w:r>
      <w:r w:rsidRPr="00A07762">
        <w:rPr>
          <w:rFonts w:ascii="Georgia" w:hAnsi="Georgia"/>
          <w:sz w:val="20"/>
          <w:lang w:val="lt-LT"/>
        </w:rPr>
        <w:t xml:space="preserve"> svarbu užtikrinti savivaldybės įmokų mokėjimą ESCO įmonėms ir </w:t>
      </w:r>
      <w:r>
        <w:rPr>
          <w:rFonts w:ascii="Georgia" w:hAnsi="Georgia"/>
          <w:sz w:val="20"/>
          <w:lang w:val="lt-LT"/>
        </w:rPr>
        <w:t>ilgalaikių įsipareigojimų įgyvendinimą. Turi būti siekiama, kad įsipareigojimus</w:t>
      </w:r>
      <w:r w:rsidRPr="00A07762">
        <w:rPr>
          <w:rFonts w:ascii="Georgia" w:hAnsi="Georgia"/>
          <w:sz w:val="20"/>
          <w:lang w:val="lt-LT"/>
        </w:rPr>
        <w:t xml:space="preserve"> prisiėmusi savivaldybė negalėtų nukreipti gaunamų biudžeto asignavimų kitiems tikslams. Tai būtų galima pasiekti keičiant teisės aktus, numatant griežtą savivaldybėms skirtų asignavimų paskirtį, nustatant atskiras</w:t>
      </w:r>
      <w:r>
        <w:rPr>
          <w:rFonts w:ascii="Georgia" w:hAnsi="Georgia"/>
          <w:sz w:val="20"/>
          <w:lang w:val="lt-LT"/>
        </w:rPr>
        <w:t xml:space="preserve"> išlaidų kategorijas biudžete</w:t>
      </w:r>
      <w:r w:rsidRPr="003B7BB2">
        <w:rPr>
          <w:rFonts w:ascii="Georgia" w:hAnsi="Georgia"/>
          <w:sz w:val="20"/>
          <w:lang w:val="lt-LT"/>
        </w:rPr>
        <w:t xml:space="preserve"> </w:t>
      </w:r>
      <w:r w:rsidRPr="00A07762">
        <w:rPr>
          <w:rFonts w:ascii="Georgia" w:hAnsi="Georgia"/>
          <w:sz w:val="20"/>
          <w:lang w:val="lt-LT"/>
        </w:rPr>
        <w:t>ilgalaikiams įsipareigojimams, kurių nebūtų galima keisti ar kitomi</w:t>
      </w:r>
      <w:r>
        <w:rPr>
          <w:rFonts w:ascii="Georgia" w:hAnsi="Georgia"/>
          <w:sz w:val="20"/>
          <w:lang w:val="lt-LT"/>
        </w:rPr>
        <w:t xml:space="preserve">s priemonėmis taip, kad įmokų </w:t>
      </w:r>
      <w:r w:rsidRPr="00A07762">
        <w:rPr>
          <w:rFonts w:ascii="Georgia" w:hAnsi="Georgia"/>
          <w:sz w:val="20"/>
          <w:lang w:val="lt-LT"/>
        </w:rPr>
        <w:t xml:space="preserve">mokėjimas </w:t>
      </w:r>
      <w:r w:rsidRPr="00A07762">
        <w:rPr>
          <w:rFonts w:ascii="Georgia" w:hAnsi="Georgia"/>
          <w:sz w:val="20"/>
          <w:lang w:val="lt-LT"/>
        </w:rPr>
        <w:lastRenderedPageBreak/>
        <w:t>ESCO įmonėms pagal galiojančias sutartis nepriklausytų nuo savivaldybės politinės valios pasikeitimų.</w:t>
      </w:r>
    </w:p>
    <w:p w14:paraId="4EAEAE44" w14:textId="77777777" w:rsidR="00181329" w:rsidRPr="00FE705A" w:rsidRDefault="00181329" w:rsidP="00181329">
      <w:pPr>
        <w:jc w:val="both"/>
        <w:rPr>
          <w:rFonts w:ascii="Georgia" w:hAnsi="Georgia"/>
          <w:i/>
          <w:sz w:val="20"/>
          <w:lang w:val="lt-LT"/>
        </w:rPr>
      </w:pPr>
      <w:r w:rsidRPr="00FE705A">
        <w:rPr>
          <w:rFonts w:ascii="Georgia" w:hAnsi="Georgia"/>
          <w:i/>
          <w:sz w:val="20"/>
          <w:lang w:val="lt-LT"/>
        </w:rPr>
        <w:t xml:space="preserve">Centralizuoto šilumos tiekimo įmonių galimybės teikti ESCO paslaugas </w:t>
      </w:r>
      <w:r>
        <w:rPr>
          <w:rFonts w:ascii="Georgia" w:hAnsi="Georgia"/>
          <w:i/>
          <w:sz w:val="20"/>
          <w:lang w:val="lt-LT"/>
        </w:rPr>
        <w:t>ir šilumos ūkio sektoriaus reglamentavimas</w:t>
      </w:r>
    </w:p>
    <w:p w14:paraId="1E604A83" w14:textId="77777777" w:rsidR="00181329" w:rsidRDefault="00181329" w:rsidP="00181329">
      <w:pPr>
        <w:jc w:val="both"/>
        <w:rPr>
          <w:rFonts w:ascii="Georgia" w:hAnsi="Georgia"/>
          <w:sz w:val="20"/>
          <w:lang w:val="lt-LT"/>
        </w:rPr>
      </w:pPr>
      <w:r>
        <w:rPr>
          <w:rFonts w:ascii="Georgia" w:hAnsi="Georgia"/>
          <w:sz w:val="20"/>
          <w:lang w:val="lt-LT"/>
        </w:rPr>
        <w:t>Pagal rinkoje susiklosčiusią praktiką, ESCO paslaugos pastatuose apima pastato šildymo įrengimų ir karšto vandens sistemų atnaujinimą bei techninę priežiūrą. Vadovaujantis LR šilumos ūkio įstatymo 20 strai</w:t>
      </w:r>
      <w:r w:rsidR="00855713">
        <w:rPr>
          <w:rFonts w:ascii="Georgia" w:hAnsi="Georgia"/>
          <w:sz w:val="20"/>
          <w:lang w:val="lt-LT"/>
        </w:rPr>
        <w:t>psnio 2 dalies nuostata</w:t>
      </w:r>
      <w:r>
        <w:rPr>
          <w:rFonts w:ascii="Georgia" w:hAnsi="Georgia"/>
          <w:sz w:val="20"/>
          <w:lang w:val="lt-LT"/>
        </w:rPr>
        <w:t xml:space="preserve"> „</w:t>
      </w:r>
      <w:r w:rsidRPr="00743421">
        <w:rPr>
          <w:rFonts w:ascii="Georgia" w:hAnsi="Georgia"/>
          <w:i/>
          <w:sz w:val="20"/>
          <w:lang w:val="lt-LT"/>
        </w:rPr>
        <w:t>Pastato šildymo ir karšto vandens sistemos prižiūrėtoju (eksploatuotoju) negali būti šilumos tiekėjas ar asmenys, susiję su šilumos tiekėju darbo santykiais, ar šilumai gaminti naudojamo kuro, šilumos tiekimo veiklai naudojamų apskaitos prietaisų gamintojai, taip pat asmenys, kurie verčiasi šilumai gaminti naudojamo kuro didmenine ar mažmenine prekyba, ar asmenys, kartu su išvardytais asmenimis priklausantys susijusių ūkio subjektų grup</w:t>
      </w:r>
      <w:r>
        <w:rPr>
          <w:rFonts w:ascii="Georgia" w:hAnsi="Georgia"/>
          <w:i/>
          <w:sz w:val="20"/>
          <w:lang w:val="lt-LT"/>
        </w:rPr>
        <w:t>ei pagal Konkurencijos įstatymą“</w:t>
      </w:r>
      <w:r>
        <w:rPr>
          <w:rFonts w:ascii="Georgia" w:hAnsi="Georgia"/>
          <w:sz w:val="20"/>
          <w:lang w:val="lt-LT"/>
        </w:rPr>
        <w:t>. Atsižvelgiant į šį reglamentavimą, ESCO neturi teisės sudaryti šilumos tiekimo sutarčių ir pastatų savininkams pateikti sąskaitas už šilumos energijos tiekimo paslaugas ir į jas įtraukti savo maržą.</w:t>
      </w:r>
      <w:r w:rsidRPr="00561ECA">
        <w:rPr>
          <w:rFonts w:ascii="Georgia" w:hAnsi="Georgia"/>
          <w:sz w:val="20"/>
          <w:lang w:val="lt-LT"/>
        </w:rPr>
        <w:t xml:space="preserve"> </w:t>
      </w:r>
      <w:r>
        <w:rPr>
          <w:rFonts w:ascii="Georgia" w:hAnsi="Georgia"/>
          <w:sz w:val="20"/>
          <w:lang w:val="lt-LT"/>
        </w:rPr>
        <w:t>Tokiu būdu dalis potencialių ESCO eliminuojama iš rinkos dėl teisinės bazės sukuriamų apribojimų.</w:t>
      </w:r>
    </w:p>
    <w:p w14:paraId="6F1734F7" w14:textId="77777777" w:rsidR="00181329" w:rsidRDefault="00181329" w:rsidP="00181329">
      <w:pPr>
        <w:jc w:val="both"/>
        <w:rPr>
          <w:rFonts w:ascii="Georgia" w:hAnsi="Georgia"/>
          <w:sz w:val="20"/>
          <w:lang w:val="lt-LT"/>
        </w:rPr>
      </w:pPr>
    </w:p>
    <w:p w14:paraId="6857DC77" w14:textId="77777777" w:rsidR="00181329" w:rsidRPr="00FE705A" w:rsidRDefault="00181329" w:rsidP="00D3175A">
      <w:pPr>
        <w:keepNext/>
        <w:jc w:val="both"/>
        <w:rPr>
          <w:rFonts w:ascii="Georgia" w:hAnsi="Georgia"/>
          <w:i/>
          <w:sz w:val="20"/>
          <w:lang w:val="lt-LT"/>
        </w:rPr>
      </w:pPr>
      <w:r w:rsidRPr="00FE705A">
        <w:rPr>
          <w:rFonts w:ascii="Georgia" w:hAnsi="Georgia"/>
          <w:i/>
          <w:sz w:val="20"/>
          <w:lang w:val="lt-LT"/>
        </w:rPr>
        <w:t xml:space="preserve">Pastato savininkas gali pateikti netikslią informaciją apie patalpų vidaus temperatūrą per šildymo sezoną </w:t>
      </w:r>
    </w:p>
    <w:p w14:paraId="0DB1C170" w14:textId="77777777" w:rsidR="00181329" w:rsidRDefault="00181329" w:rsidP="00181329">
      <w:pPr>
        <w:jc w:val="both"/>
        <w:rPr>
          <w:rFonts w:ascii="Georgia" w:hAnsi="Georgia"/>
          <w:sz w:val="20"/>
          <w:lang w:val="lt-LT"/>
        </w:rPr>
      </w:pPr>
      <w:r>
        <w:rPr>
          <w:rFonts w:ascii="Georgia" w:hAnsi="Georgia"/>
          <w:sz w:val="20"/>
          <w:lang w:val="lt-LT"/>
        </w:rPr>
        <w:t xml:space="preserve">ESCO teikiama informacija apie pastate palaikomą temperatūrą turi būti kiek galima tikslesnė, nes ji yra tiesiogiai susijusi su energijos kiekiu, kuris bus sutaupomas po renovacijos. Pavyzdžiui, jei pastate vidutinė temperatūra buvo 18 °C, o pastato savininkas pranešė, kad temperatūra buvo 20 °C, dėl sumažėjusios sutaupymo galimybės ESCO (įsipareigojusi užtikrinti 20 °C) gali neįvykdyti sutartinio energijos sutaupymo įsipareigojimo. </w:t>
      </w:r>
    </w:p>
    <w:p w14:paraId="775690FE" w14:textId="77777777" w:rsidR="00181329" w:rsidRDefault="00181329" w:rsidP="00181329">
      <w:pPr>
        <w:jc w:val="both"/>
        <w:rPr>
          <w:rFonts w:ascii="Georgia" w:hAnsi="Georgia"/>
          <w:b/>
          <w:sz w:val="20"/>
          <w:lang w:val="lt-LT"/>
        </w:rPr>
      </w:pPr>
      <w:r>
        <w:rPr>
          <w:rFonts w:ascii="Georgia" w:hAnsi="Georgia"/>
          <w:sz w:val="20"/>
          <w:lang w:val="lt-LT"/>
        </w:rPr>
        <w:t>Yra apskaičiuota, kad vidaus temperatūrą padidinus 1°C (nuo 17 iki 18°C), sutaupymo dydis sumažėja 5,6 %, ir kai pastato savininkas tvirtina, kad vidaus temperatūra buvo 20°C, bet faktiškai ji buvo 18°C, šilumos sutaupymo galimybė sumažės 10,6 %.</w:t>
      </w:r>
    </w:p>
    <w:p w14:paraId="4F056007" w14:textId="77777777" w:rsidR="00181329" w:rsidRPr="00FE705A" w:rsidRDefault="00181329" w:rsidP="00181329">
      <w:pPr>
        <w:jc w:val="both"/>
        <w:rPr>
          <w:rFonts w:ascii="Georgia" w:hAnsi="Georgia"/>
          <w:i/>
          <w:sz w:val="20"/>
          <w:lang w:val="lt-LT"/>
        </w:rPr>
      </w:pPr>
      <w:r w:rsidRPr="00FE705A">
        <w:rPr>
          <w:rFonts w:ascii="Georgia" w:hAnsi="Georgia"/>
          <w:i/>
          <w:sz w:val="20"/>
          <w:lang w:val="lt-LT"/>
        </w:rPr>
        <w:t>Mažos apimties projektai</w:t>
      </w:r>
    </w:p>
    <w:p w14:paraId="1C41BAD8" w14:textId="77777777" w:rsidR="00181329" w:rsidRDefault="00181329" w:rsidP="00181329">
      <w:pPr>
        <w:jc w:val="both"/>
        <w:rPr>
          <w:rFonts w:ascii="Georgia" w:hAnsi="Georgia"/>
          <w:sz w:val="20"/>
          <w:lang w:val="lt-LT"/>
        </w:rPr>
      </w:pPr>
      <w:r>
        <w:rPr>
          <w:rFonts w:ascii="Georgia" w:hAnsi="Georgia"/>
          <w:sz w:val="20"/>
          <w:lang w:val="lt-LT"/>
        </w:rPr>
        <w:t xml:space="preserve">ESCO kompanijoms yra sudėtinga įgyvendinti mažos apimties projektus, nes jos turi investuoti daugiau laiko ir išteklių. </w:t>
      </w:r>
    </w:p>
    <w:p w14:paraId="20A9C331" w14:textId="77777777" w:rsidR="00181329" w:rsidRPr="00FE705A" w:rsidRDefault="00181329" w:rsidP="00181329">
      <w:pPr>
        <w:jc w:val="both"/>
        <w:rPr>
          <w:rFonts w:ascii="Georgia" w:hAnsi="Georgia"/>
          <w:i/>
          <w:sz w:val="20"/>
          <w:szCs w:val="20"/>
          <w:lang w:val="lt-LT"/>
        </w:rPr>
      </w:pPr>
      <w:r w:rsidRPr="00FE705A">
        <w:rPr>
          <w:rFonts w:ascii="Georgia" w:hAnsi="Georgia"/>
          <w:i/>
          <w:sz w:val="20"/>
          <w:szCs w:val="20"/>
          <w:lang w:val="lt-LT"/>
        </w:rPr>
        <w:t>Nėra vienos viešosios paskirties pastatų (ir gatvių apšvietimo įrangos) duomenų bazės</w:t>
      </w:r>
    </w:p>
    <w:p w14:paraId="2BB1F6A9" w14:textId="77777777" w:rsidR="00181329" w:rsidRDefault="00181329" w:rsidP="00181329">
      <w:pPr>
        <w:jc w:val="both"/>
        <w:rPr>
          <w:rFonts w:ascii="Georgia" w:hAnsi="Georgia"/>
          <w:sz w:val="20"/>
          <w:szCs w:val="20"/>
          <w:lang w:val="lt-LT"/>
        </w:rPr>
      </w:pPr>
      <w:r>
        <w:rPr>
          <w:rFonts w:ascii="Georgia" w:hAnsi="Georgia"/>
          <w:sz w:val="20"/>
          <w:szCs w:val="20"/>
          <w:lang w:val="lt-LT"/>
        </w:rPr>
        <w:t>Lietuva neturi vienos duomenų bazės, kurioje būtų informacija apie pastatus, pvz., pastatų plotą, šildomą plotą, pastatų energinio efektyvumo klasę, šildymo energijos poreikį pastatuose, šildymo energijos (elektros energijos) poreikį karštam vandeniui ruošti, elektros energijos poreikį pastatuose ir kt. Taip pat nėra vieningos duomenų bazės, kurioje būtų pateikta informacija apie gatvių apšvietimo įrangą. Duomenis apie gatvių apšvietimo tinklą tvarko nemažai įmonių. Dėl duomenų stokos bei sudėtingo surinkimo trūksta skaidrumo bei informacijos apie infrastruktūros būklę, o ESCO kompanijos turi mažiau galimybių naudotis duomenimis priimdamos sprendimus ankstyvose projektų stadijose.</w:t>
      </w:r>
    </w:p>
    <w:p w14:paraId="65506C49" w14:textId="77777777" w:rsidR="00181329" w:rsidRPr="00FE705A" w:rsidRDefault="00181329" w:rsidP="00181329">
      <w:pPr>
        <w:jc w:val="both"/>
        <w:rPr>
          <w:rFonts w:ascii="Georgia" w:hAnsi="Georgia"/>
          <w:i/>
          <w:sz w:val="20"/>
          <w:lang w:val="lt-LT"/>
        </w:rPr>
      </w:pPr>
      <w:r w:rsidRPr="00FE705A">
        <w:rPr>
          <w:rFonts w:ascii="Georgia" w:hAnsi="Georgia"/>
          <w:i/>
          <w:sz w:val="20"/>
          <w:lang w:val="lt-LT"/>
        </w:rPr>
        <w:t xml:space="preserve">Atitinkamų žinių apie ESCO ir patirties trūkumas potencialiose ESCO </w:t>
      </w:r>
    </w:p>
    <w:p w14:paraId="595723E1" w14:textId="77777777" w:rsidR="00181329" w:rsidRDefault="00181329" w:rsidP="00181329">
      <w:pPr>
        <w:jc w:val="both"/>
        <w:rPr>
          <w:rFonts w:ascii="Georgia" w:hAnsi="Georgia"/>
          <w:sz w:val="20"/>
          <w:lang w:val="lt-LT"/>
        </w:rPr>
      </w:pPr>
      <w:r>
        <w:rPr>
          <w:rFonts w:ascii="Georgia" w:hAnsi="Georgia"/>
          <w:sz w:val="20"/>
          <w:lang w:val="lt-LT"/>
        </w:rPr>
        <w:t xml:space="preserve">Lietuvoje </w:t>
      </w:r>
      <w:r w:rsidR="00FB5D92">
        <w:rPr>
          <w:rFonts w:ascii="Georgia" w:hAnsi="Georgia"/>
          <w:sz w:val="20"/>
          <w:lang w:val="lt-LT"/>
        </w:rPr>
        <w:t>nėra daug</w:t>
      </w:r>
      <w:r>
        <w:rPr>
          <w:rFonts w:ascii="Georgia" w:hAnsi="Georgia"/>
          <w:sz w:val="20"/>
          <w:lang w:val="lt-LT"/>
        </w:rPr>
        <w:t xml:space="preserve"> </w:t>
      </w:r>
      <w:r w:rsidR="00FB5D92">
        <w:rPr>
          <w:rFonts w:ascii="Georgia" w:hAnsi="Georgia"/>
          <w:sz w:val="20"/>
          <w:lang w:val="lt-LT"/>
        </w:rPr>
        <w:t>ETPT (Energijos taupymo paslaugų teikimas)</w:t>
      </w:r>
      <w:r>
        <w:rPr>
          <w:rFonts w:ascii="Georgia" w:hAnsi="Georgia"/>
          <w:sz w:val="20"/>
          <w:lang w:val="lt-LT"/>
        </w:rPr>
        <w:t xml:space="preserve"> sutartimis grindžiamų viešųjų pirkimų, susijusių su viešosios paskirties pastatų renovacija. Tai yra pagrindinė priežastis kodėl Lietuvos įmonės neturi atitinkamų žinių apie ESCO ir su jomis susijusios patirties. </w:t>
      </w:r>
    </w:p>
    <w:p w14:paraId="7F085623" w14:textId="77777777" w:rsidR="00181329" w:rsidRDefault="00181329" w:rsidP="00181329">
      <w:pPr>
        <w:jc w:val="both"/>
        <w:rPr>
          <w:rFonts w:ascii="Georgia" w:hAnsi="Georgia"/>
          <w:sz w:val="20"/>
          <w:lang w:val="lt-LT"/>
        </w:rPr>
      </w:pPr>
      <w:r>
        <w:rPr>
          <w:rFonts w:ascii="Georgia" w:hAnsi="Georgia"/>
          <w:sz w:val="20"/>
          <w:lang w:val="lt-LT"/>
        </w:rPr>
        <w:lastRenderedPageBreak/>
        <w:t>Kadangi įmonės nėra susipažinusios su ESCO verslo modeliu, principais, rizika ir nauda, jos gali nenorėti imtis ESCO projektų arba patirti sunkumų pradėjusios tokius projektus įgyvendinti.</w:t>
      </w:r>
    </w:p>
    <w:p w14:paraId="7DDD7007" w14:textId="77777777" w:rsidR="00181329" w:rsidRPr="00FE705A" w:rsidRDefault="00181329" w:rsidP="00181329">
      <w:pPr>
        <w:jc w:val="both"/>
        <w:rPr>
          <w:rFonts w:ascii="Georgia" w:hAnsi="Georgia"/>
          <w:i/>
          <w:sz w:val="20"/>
          <w:lang w:val="lt-LT"/>
        </w:rPr>
      </w:pPr>
      <w:r w:rsidRPr="00FE705A">
        <w:rPr>
          <w:rFonts w:ascii="Georgia" w:hAnsi="Georgia"/>
          <w:i/>
          <w:sz w:val="20"/>
          <w:lang w:val="lt-LT"/>
        </w:rPr>
        <w:t>Sudėtingos galimybės refinansuoti trumpalaikes paskolas baigus įgyvendinti modernizacijos projektus</w:t>
      </w:r>
    </w:p>
    <w:p w14:paraId="331FAB5D" w14:textId="77777777" w:rsidR="00181329" w:rsidRDefault="00181329" w:rsidP="00181329">
      <w:pPr>
        <w:jc w:val="both"/>
        <w:rPr>
          <w:rFonts w:ascii="Georgia" w:hAnsi="Georgia"/>
          <w:sz w:val="20"/>
          <w:lang w:val="lt-LT"/>
        </w:rPr>
      </w:pPr>
      <w:r>
        <w:rPr>
          <w:rFonts w:ascii="Georgia" w:hAnsi="Georgia"/>
          <w:sz w:val="20"/>
          <w:lang w:val="lt-LT"/>
        </w:rPr>
        <w:t>Viena pagrindinių komercinių bankų išskiriamų kliūčių yra neapibrėžtumas dėl to, ar pasibaigus projekto įgyvendinimui paskolos gavėjas turės galimybę refinansuoti trumpalaikę paskolą. Tokių mechanizmų nebuvimas sukurs papildomų sunkumų norint gauti trumpalaikį finansavimą.</w:t>
      </w:r>
    </w:p>
    <w:p w14:paraId="60FDDB23" w14:textId="77777777" w:rsidR="00181329" w:rsidRPr="00FE705A" w:rsidRDefault="00181329" w:rsidP="00181329">
      <w:pPr>
        <w:jc w:val="both"/>
        <w:rPr>
          <w:rFonts w:ascii="Georgia" w:hAnsi="Georgia"/>
          <w:i/>
          <w:sz w:val="20"/>
          <w:lang w:val="lt-LT"/>
        </w:rPr>
      </w:pPr>
      <w:r w:rsidRPr="00FE705A">
        <w:rPr>
          <w:rFonts w:ascii="Georgia" w:hAnsi="Georgia"/>
          <w:i/>
          <w:sz w:val="20"/>
          <w:lang w:val="lt-LT"/>
        </w:rPr>
        <w:t>Komercinių bankų nenoras teikti ilgalaikes paskolas ESCO projektams finansuoti</w:t>
      </w:r>
    </w:p>
    <w:p w14:paraId="05CCAB14" w14:textId="77777777" w:rsidR="00181329" w:rsidRDefault="00181329" w:rsidP="00181329">
      <w:pPr>
        <w:jc w:val="both"/>
        <w:rPr>
          <w:rFonts w:ascii="Georgia" w:hAnsi="Georgia"/>
          <w:sz w:val="20"/>
          <w:lang w:val="lt-LT"/>
        </w:rPr>
      </w:pPr>
      <w:r>
        <w:rPr>
          <w:rFonts w:ascii="Georgia" w:hAnsi="Georgia"/>
          <w:sz w:val="20"/>
          <w:lang w:val="lt-LT"/>
        </w:rPr>
        <w:t>Remiantis bankų pateikta informacija, b</w:t>
      </w:r>
      <w:r w:rsidRPr="00F50A4E">
        <w:rPr>
          <w:rFonts w:ascii="Georgia" w:hAnsi="Georgia"/>
          <w:sz w:val="20"/>
          <w:lang w:val="lt-LT"/>
        </w:rPr>
        <w:t xml:space="preserve">ankams trūksta informacijos apie energijos vartojimo efektyvumo potencialą ir ypač patirtį skolinant projektams įgyvendinamiems </w:t>
      </w:r>
      <w:r>
        <w:rPr>
          <w:rFonts w:ascii="Georgia" w:hAnsi="Georgia"/>
          <w:sz w:val="20"/>
          <w:lang w:val="lt-LT"/>
        </w:rPr>
        <w:t>per</w:t>
      </w:r>
      <w:r w:rsidRPr="00F50A4E">
        <w:rPr>
          <w:rFonts w:ascii="Georgia" w:hAnsi="Georgia"/>
          <w:sz w:val="20"/>
          <w:lang w:val="lt-LT"/>
        </w:rPr>
        <w:t xml:space="preserve"> E</w:t>
      </w:r>
      <w:r>
        <w:rPr>
          <w:rFonts w:ascii="Georgia" w:hAnsi="Georgia"/>
          <w:sz w:val="20"/>
          <w:lang w:val="lt-LT"/>
        </w:rPr>
        <w:t>SCO modelį. Bankai taip pat ne i</w:t>
      </w:r>
      <w:r w:rsidRPr="00F50A4E">
        <w:rPr>
          <w:rFonts w:ascii="Georgia" w:hAnsi="Georgia"/>
          <w:sz w:val="20"/>
          <w:lang w:val="lt-LT"/>
        </w:rPr>
        <w:t xml:space="preserve">ki galo supranta finansinį modelį </w:t>
      </w:r>
      <w:r>
        <w:rPr>
          <w:rFonts w:ascii="Georgia" w:hAnsi="Georgia"/>
          <w:sz w:val="20"/>
          <w:lang w:val="lt-LT"/>
        </w:rPr>
        <w:t>renovuojant pastatus per ESCO modelį, nerodo didelės iniciatyvos teikti ESCO projektams ilgalaikių paskolų dėl esamų reglamentavimo sąlygų, sutarčių struktūros ir neapibrėžtumo, susijusio su potencialių ESCO kvalifikacija. Dabartiniai bankų darbuotojai neturi skolinimo ESCO projektams patirties, todėl gali neturėti pakankamai žinių, kaip reiktų tiksliai įvertinti su jais susijusią finansinę riziką. Komerciniai bankai turėtų pasisamdyti naujų specialistų, kurie atliktų kruopštų rizikos vertinimą.</w:t>
      </w:r>
    </w:p>
    <w:p w14:paraId="17CBDE2F" w14:textId="77777777" w:rsidR="00181329" w:rsidRDefault="00181329" w:rsidP="00181329">
      <w:pPr>
        <w:jc w:val="both"/>
        <w:rPr>
          <w:rFonts w:ascii="Georgia" w:hAnsi="Georgia"/>
          <w:sz w:val="20"/>
          <w:lang w:val="lt-LT"/>
        </w:rPr>
      </w:pPr>
      <w:r>
        <w:rPr>
          <w:rFonts w:ascii="Georgia" w:hAnsi="Georgia"/>
          <w:sz w:val="20"/>
          <w:lang w:val="lt-LT"/>
        </w:rPr>
        <w:t xml:space="preserve">Kita vertus, komerciniai bankai svarstytų trumpalaikių paskolų teikimą per ESCO įgyvendinamiems projektams bei svarstytų tokių projektų refinansavimą per alternatyvius mechanizmus su mažesne prisiimama rizika ir fiksuotomis pajamomis. </w:t>
      </w:r>
    </w:p>
    <w:p w14:paraId="0317623B" w14:textId="77777777" w:rsidR="00181772" w:rsidRPr="00F15371" w:rsidRDefault="00E42FB6" w:rsidP="00F15371">
      <w:pPr>
        <w:keepNext/>
        <w:jc w:val="both"/>
        <w:rPr>
          <w:rFonts w:ascii="Georgia" w:hAnsi="Georgia"/>
          <w:i/>
          <w:sz w:val="20"/>
          <w:lang w:val="lt-LT"/>
        </w:rPr>
      </w:pPr>
      <w:r w:rsidRPr="00F15371">
        <w:rPr>
          <w:rFonts w:ascii="Georgia" w:hAnsi="Georgia"/>
          <w:i/>
          <w:sz w:val="20"/>
          <w:lang w:val="lt-LT"/>
        </w:rPr>
        <w:t xml:space="preserve">ESCO rinkos </w:t>
      </w:r>
      <w:r w:rsidR="000470B4">
        <w:rPr>
          <w:rFonts w:ascii="Georgia" w:hAnsi="Georgia"/>
          <w:i/>
          <w:sz w:val="20"/>
          <w:lang w:val="lt-LT"/>
        </w:rPr>
        <w:t xml:space="preserve">problematikos </w:t>
      </w:r>
      <w:r w:rsidRPr="00F15371">
        <w:rPr>
          <w:rFonts w:ascii="Georgia" w:hAnsi="Georgia"/>
          <w:i/>
          <w:sz w:val="20"/>
          <w:lang w:val="lt-LT"/>
        </w:rPr>
        <w:t xml:space="preserve">Lietuvoje apibendrinimas </w:t>
      </w:r>
    </w:p>
    <w:p w14:paraId="33202AE8" w14:textId="77777777" w:rsidR="005410F8" w:rsidRDefault="005410F8" w:rsidP="00F15371">
      <w:pPr>
        <w:keepNext/>
        <w:spacing w:after="0"/>
        <w:jc w:val="both"/>
        <w:rPr>
          <w:rFonts w:ascii="Georgia" w:hAnsi="Georgia" w:cs="Times New Roman"/>
          <w:sz w:val="20"/>
          <w:szCs w:val="24"/>
          <w:lang w:val="lt-LT" w:eastAsia="lt-LT"/>
        </w:rPr>
      </w:pPr>
      <w:r>
        <w:rPr>
          <w:rFonts w:ascii="Georgia" w:hAnsi="Georgia" w:cs="Times New Roman"/>
          <w:sz w:val="20"/>
          <w:szCs w:val="24"/>
          <w:lang w:val="lt-LT" w:eastAsia="lt-LT"/>
        </w:rPr>
        <w:t>Europos Komisija kasmet rengia ESCO rinkos Europoje apžvalgą, kurioje aprašomos įvairių šalių ESCO rinkos, įskaitant ESCO kompanijų dalyvavimą, rinkos plėtros galimybes, pagrindinius barjerus kiekvienoje šalyje. Europos Komisija 2014 m. parengė 2013 metų ESCO rinkos ataskaitą</w:t>
      </w:r>
      <w:r>
        <w:rPr>
          <w:rStyle w:val="Puslapioinaosnuoroda"/>
          <w:rFonts w:ascii="Georgia" w:hAnsi="Georgia" w:cs="Times New Roman"/>
          <w:sz w:val="20"/>
          <w:szCs w:val="24"/>
          <w:lang w:val="lt-LT" w:eastAsia="lt-LT"/>
        </w:rPr>
        <w:footnoteReference w:id="24"/>
      </w:r>
      <w:r>
        <w:rPr>
          <w:rFonts w:ascii="Georgia" w:hAnsi="Georgia" w:cs="Times New Roman"/>
          <w:sz w:val="20"/>
          <w:szCs w:val="24"/>
          <w:lang w:val="lt-LT" w:eastAsia="lt-LT"/>
        </w:rPr>
        <w:t xml:space="preserve">, kurioje yra aptariama ir Lietuvos ESCO rinka. </w:t>
      </w:r>
    </w:p>
    <w:p w14:paraId="741AC5F8" w14:textId="77777777" w:rsidR="005410F8" w:rsidRDefault="005410F8" w:rsidP="005410F8">
      <w:pPr>
        <w:spacing w:after="0"/>
        <w:jc w:val="both"/>
        <w:rPr>
          <w:rFonts w:ascii="Georgia" w:hAnsi="Georgia" w:cs="Times New Roman"/>
          <w:sz w:val="20"/>
          <w:szCs w:val="24"/>
          <w:lang w:val="lt-LT" w:eastAsia="lt-LT"/>
        </w:rPr>
      </w:pPr>
    </w:p>
    <w:p w14:paraId="4229BB12" w14:textId="77777777" w:rsidR="005410F8" w:rsidRPr="005410F8" w:rsidRDefault="005410F8" w:rsidP="005410F8">
      <w:pPr>
        <w:spacing w:after="0"/>
        <w:jc w:val="both"/>
        <w:rPr>
          <w:rFonts w:ascii="Georgia" w:hAnsi="Georgia" w:cs="Times New Roman"/>
          <w:sz w:val="20"/>
          <w:szCs w:val="24"/>
          <w:lang w:val="lt-LT" w:eastAsia="lt-LT"/>
        </w:rPr>
      </w:pPr>
      <w:r>
        <w:rPr>
          <w:rFonts w:ascii="Georgia" w:hAnsi="Georgia" w:cs="Times New Roman"/>
          <w:sz w:val="20"/>
          <w:szCs w:val="24"/>
          <w:lang w:val="lt-LT" w:eastAsia="lt-LT"/>
        </w:rPr>
        <w:t xml:space="preserve">Ataskaitoje aprašoma, jog Lietuvoje </w:t>
      </w:r>
      <w:r w:rsidRPr="005410F8">
        <w:rPr>
          <w:rFonts w:ascii="Georgia" w:hAnsi="Georgia" w:cs="Times New Roman"/>
          <w:sz w:val="20"/>
          <w:szCs w:val="24"/>
          <w:lang w:val="lt-LT" w:eastAsia="lt-LT"/>
        </w:rPr>
        <w:t xml:space="preserve">ESCO rinka prasidėjo 2001-2003 m. vykdant projektą „Energijos aptarnavimo įmonės Lietuvoje“. </w:t>
      </w:r>
      <w:r>
        <w:rPr>
          <w:rFonts w:ascii="Georgia" w:hAnsi="Georgia" w:cs="Times New Roman"/>
          <w:sz w:val="20"/>
          <w:szCs w:val="24"/>
          <w:lang w:val="lt-LT" w:eastAsia="lt-LT"/>
        </w:rPr>
        <w:t>Paprastai modelio įgyvendinime dalyvaujančios įmonės buvo didelės kompanijos, kurių pagrindinė veikla – ne ESCO modelio įgyvendinimas. Nuo tada Lietuvoje</w:t>
      </w:r>
      <w:r w:rsidRPr="005410F8">
        <w:rPr>
          <w:rFonts w:ascii="Georgia" w:hAnsi="Georgia" w:cs="Times New Roman"/>
          <w:sz w:val="20"/>
          <w:szCs w:val="24"/>
          <w:lang w:val="lt-LT" w:eastAsia="lt-LT"/>
        </w:rPr>
        <w:t xml:space="preserve"> </w:t>
      </w:r>
      <w:r>
        <w:rPr>
          <w:rFonts w:ascii="Georgia" w:hAnsi="Georgia" w:cs="Times New Roman"/>
          <w:sz w:val="20"/>
          <w:szCs w:val="24"/>
          <w:lang w:val="lt-LT" w:eastAsia="lt-LT"/>
        </w:rPr>
        <w:t>a</w:t>
      </w:r>
      <w:r w:rsidRPr="005410F8">
        <w:rPr>
          <w:rFonts w:ascii="Georgia" w:hAnsi="Georgia" w:cs="Times New Roman"/>
          <w:sz w:val="20"/>
          <w:szCs w:val="24"/>
          <w:lang w:val="lt-LT" w:eastAsia="lt-LT"/>
        </w:rPr>
        <w:t xml:space="preserve">pytiksliai </w:t>
      </w:r>
      <w:r>
        <w:rPr>
          <w:rFonts w:ascii="Georgia" w:hAnsi="Georgia" w:cs="Times New Roman"/>
          <w:sz w:val="20"/>
          <w:szCs w:val="24"/>
          <w:lang w:val="lt-LT" w:eastAsia="lt-LT"/>
        </w:rPr>
        <w:t>veikia tik</w:t>
      </w:r>
      <w:r w:rsidRPr="005410F8">
        <w:rPr>
          <w:rFonts w:ascii="Georgia" w:hAnsi="Georgia" w:cs="Times New Roman"/>
          <w:sz w:val="20"/>
          <w:szCs w:val="24"/>
          <w:lang w:val="lt-LT" w:eastAsia="lt-LT"/>
        </w:rPr>
        <w:t xml:space="preserve"> 3-5 aktyvios energijos aptarnavimo ir tiekimo įmonės, įskaitant ir ekspertus, kurios yra kaip </w:t>
      </w:r>
      <w:r w:rsidR="00E857BF">
        <w:rPr>
          <w:rFonts w:ascii="Georgia" w:hAnsi="Georgia" w:cs="Times New Roman"/>
          <w:sz w:val="20"/>
          <w:szCs w:val="24"/>
          <w:lang w:val="lt-LT" w:eastAsia="lt-LT"/>
        </w:rPr>
        <w:t xml:space="preserve">didelių kompanijų </w:t>
      </w:r>
      <w:r w:rsidRPr="005410F8">
        <w:rPr>
          <w:rFonts w:ascii="Georgia" w:hAnsi="Georgia" w:cs="Times New Roman"/>
          <w:sz w:val="20"/>
          <w:szCs w:val="24"/>
          <w:lang w:val="lt-LT" w:eastAsia="lt-LT"/>
        </w:rPr>
        <w:t xml:space="preserve">dukterinės įmonės ir </w:t>
      </w:r>
      <w:r w:rsidR="00E857BF">
        <w:rPr>
          <w:rFonts w:ascii="Georgia" w:hAnsi="Georgia" w:cs="Times New Roman"/>
          <w:sz w:val="20"/>
          <w:szCs w:val="24"/>
          <w:lang w:val="lt-LT" w:eastAsia="lt-LT"/>
        </w:rPr>
        <w:t xml:space="preserve">energetinių paslaugų teikimo </w:t>
      </w:r>
      <w:r w:rsidRPr="005410F8">
        <w:rPr>
          <w:rFonts w:ascii="Georgia" w:hAnsi="Georgia" w:cs="Times New Roman"/>
          <w:sz w:val="20"/>
          <w:szCs w:val="24"/>
          <w:lang w:val="lt-LT" w:eastAsia="lt-LT"/>
        </w:rPr>
        <w:t>nesiūlo kaip pagrindinio</w:t>
      </w:r>
      <w:r w:rsidR="00E857BF">
        <w:rPr>
          <w:rFonts w:ascii="Georgia" w:hAnsi="Georgia" w:cs="Times New Roman"/>
          <w:sz w:val="20"/>
          <w:szCs w:val="24"/>
          <w:lang w:val="lt-LT" w:eastAsia="lt-LT"/>
        </w:rPr>
        <w:t xml:space="preserve"> savo</w:t>
      </w:r>
      <w:r w:rsidRPr="005410F8">
        <w:rPr>
          <w:rFonts w:ascii="Georgia" w:hAnsi="Georgia" w:cs="Times New Roman"/>
          <w:sz w:val="20"/>
          <w:szCs w:val="24"/>
          <w:lang w:val="lt-LT" w:eastAsia="lt-LT"/>
        </w:rPr>
        <w:t xml:space="preserve"> verslo. </w:t>
      </w:r>
      <w:r w:rsidR="00E857BF">
        <w:rPr>
          <w:rFonts w:ascii="Georgia" w:hAnsi="Georgia" w:cs="Times New Roman"/>
          <w:sz w:val="20"/>
          <w:szCs w:val="24"/>
          <w:lang w:val="lt-LT" w:eastAsia="lt-LT"/>
        </w:rPr>
        <w:t xml:space="preserve">Tarp minėtų kelių aktyvių kompanijų, tik </w:t>
      </w:r>
      <w:r w:rsidRPr="005410F8">
        <w:rPr>
          <w:rFonts w:ascii="Georgia" w:hAnsi="Georgia" w:cs="Times New Roman"/>
          <w:sz w:val="20"/>
          <w:szCs w:val="24"/>
          <w:lang w:val="lt-LT" w:eastAsia="lt-LT"/>
        </w:rPr>
        <w:t>viena</w:t>
      </w:r>
      <w:r w:rsidR="00E857BF">
        <w:rPr>
          <w:rFonts w:ascii="Georgia" w:hAnsi="Georgia" w:cs="Times New Roman"/>
          <w:sz w:val="20"/>
          <w:szCs w:val="24"/>
          <w:lang w:val="lt-LT" w:eastAsia="lt-LT"/>
        </w:rPr>
        <w:t xml:space="preserve"> yra</w:t>
      </w:r>
      <w:r w:rsidRPr="005410F8">
        <w:rPr>
          <w:rFonts w:ascii="Georgia" w:hAnsi="Georgia" w:cs="Times New Roman"/>
          <w:sz w:val="20"/>
          <w:szCs w:val="24"/>
          <w:lang w:val="lt-LT" w:eastAsia="lt-LT"/>
        </w:rPr>
        <w:t xml:space="preserve"> vietinė įmonė.</w:t>
      </w:r>
      <w:r w:rsidR="00E857BF">
        <w:rPr>
          <w:rFonts w:ascii="Georgia" w:hAnsi="Georgia" w:cs="Times New Roman"/>
          <w:sz w:val="20"/>
          <w:szCs w:val="24"/>
          <w:lang w:val="lt-LT" w:eastAsia="lt-LT"/>
        </w:rPr>
        <w:t xml:space="preserve"> Ataskaitoje pažymima, kad Lietuvoje nėra jokios ESCO</w:t>
      </w:r>
      <w:r w:rsidRPr="005410F8">
        <w:rPr>
          <w:rFonts w:ascii="Georgia" w:hAnsi="Georgia" w:cs="Times New Roman"/>
          <w:sz w:val="20"/>
          <w:szCs w:val="24"/>
          <w:lang w:val="lt-LT" w:eastAsia="lt-LT"/>
        </w:rPr>
        <w:t xml:space="preserve"> asociacijos, tačiau yra keletas asociacijų, kurios reprezentuoja ESCO</w:t>
      </w:r>
      <w:r w:rsidR="00E857BF">
        <w:rPr>
          <w:rFonts w:ascii="Georgia" w:hAnsi="Georgia" w:cs="Times New Roman"/>
          <w:sz w:val="20"/>
          <w:szCs w:val="24"/>
          <w:lang w:val="lt-LT" w:eastAsia="lt-LT"/>
        </w:rPr>
        <w:t xml:space="preserve"> veiklą, pvz., LITBIOMA, LSTA, Lietuvos energetikos institutas. </w:t>
      </w:r>
    </w:p>
    <w:p w14:paraId="55FA84AB" w14:textId="77777777" w:rsidR="00E857BF" w:rsidRDefault="00E857BF" w:rsidP="005410F8">
      <w:pPr>
        <w:spacing w:after="0"/>
        <w:jc w:val="both"/>
        <w:rPr>
          <w:rFonts w:ascii="Georgia" w:hAnsi="Georgia" w:cs="Times New Roman"/>
          <w:sz w:val="20"/>
          <w:szCs w:val="24"/>
          <w:lang w:val="lt-LT" w:eastAsia="lt-LT"/>
        </w:rPr>
      </w:pPr>
    </w:p>
    <w:p w14:paraId="06C079E1" w14:textId="77777777" w:rsidR="005410F8" w:rsidRDefault="00E857BF" w:rsidP="005410F8">
      <w:pPr>
        <w:spacing w:after="0"/>
        <w:jc w:val="both"/>
        <w:rPr>
          <w:rFonts w:ascii="Georgia" w:hAnsi="Georgia" w:cs="Times New Roman"/>
          <w:sz w:val="20"/>
          <w:szCs w:val="24"/>
          <w:lang w:val="lt-LT" w:eastAsia="lt-LT"/>
        </w:rPr>
      </w:pPr>
      <w:r>
        <w:rPr>
          <w:rFonts w:ascii="Georgia" w:hAnsi="Georgia" w:cs="Times New Roman"/>
          <w:sz w:val="20"/>
          <w:szCs w:val="24"/>
          <w:lang w:val="lt-LT" w:eastAsia="lt-LT"/>
        </w:rPr>
        <w:t>Dažniausiai Lietuvoje įgyvendinti ESCO projektai buvo</w:t>
      </w:r>
      <w:r w:rsidR="005410F8" w:rsidRPr="005410F8">
        <w:rPr>
          <w:rFonts w:ascii="Georgia" w:hAnsi="Georgia" w:cs="Times New Roman"/>
          <w:sz w:val="20"/>
          <w:szCs w:val="24"/>
          <w:lang w:val="lt-LT" w:eastAsia="lt-LT"/>
        </w:rPr>
        <w:t xml:space="preserve"> šildymo </w:t>
      </w:r>
      <w:r>
        <w:rPr>
          <w:rFonts w:ascii="Georgia" w:hAnsi="Georgia" w:cs="Times New Roman"/>
          <w:sz w:val="20"/>
          <w:szCs w:val="24"/>
          <w:lang w:val="lt-LT" w:eastAsia="lt-LT"/>
        </w:rPr>
        <w:t>srityje</w:t>
      </w:r>
      <w:r w:rsidR="005410F8" w:rsidRPr="005410F8">
        <w:rPr>
          <w:rFonts w:ascii="Georgia" w:hAnsi="Georgia" w:cs="Times New Roman"/>
          <w:sz w:val="20"/>
          <w:szCs w:val="24"/>
          <w:lang w:val="lt-LT" w:eastAsia="lt-LT"/>
        </w:rPr>
        <w:t xml:space="preserve"> ir apėmė biokuro ir kitų vietinių šaltinių katilinių modernizavimą.</w:t>
      </w:r>
    </w:p>
    <w:p w14:paraId="2110537A" w14:textId="77777777" w:rsidR="00E857BF" w:rsidRDefault="00E857BF" w:rsidP="005410F8">
      <w:pPr>
        <w:spacing w:after="0"/>
        <w:jc w:val="both"/>
        <w:rPr>
          <w:rFonts w:ascii="Georgia" w:hAnsi="Georgia" w:cs="Times New Roman"/>
          <w:sz w:val="20"/>
          <w:szCs w:val="24"/>
          <w:lang w:val="lt-LT" w:eastAsia="lt-LT"/>
        </w:rPr>
      </w:pPr>
    </w:p>
    <w:p w14:paraId="0A5F45A4" w14:textId="77777777" w:rsidR="00E857BF" w:rsidRDefault="00E857BF" w:rsidP="00E857BF">
      <w:pPr>
        <w:spacing w:after="0"/>
        <w:jc w:val="both"/>
        <w:rPr>
          <w:rFonts w:ascii="Georgia" w:hAnsi="Georgia" w:cs="Times New Roman"/>
          <w:sz w:val="20"/>
          <w:szCs w:val="24"/>
          <w:lang w:val="lt-LT" w:eastAsia="lt-LT"/>
        </w:rPr>
      </w:pPr>
      <w:r>
        <w:rPr>
          <w:rFonts w:ascii="Georgia" w:hAnsi="Georgia" w:cs="Times New Roman"/>
          <w:sz w:val="20"/>
          <w:szCs w:val="24"/>
          <w:lang w:val="lt-LT" w:eastAsia="lt-LT"/>
        </w:rPr>
        <w:t xml:space="preserve">Nors Lietuvoje yra patvirtinta daug strategijų, kurios  numato tam tikrų tikslų siekimą energijos efektyvumo srityje (buvo aptarta 1.1.1. skyriuje), Lietuvoje nėra pakankamo ESCO reglamentavimo. </w:t>
      </w:r>
      <w:r w:rsidR="00762242">
        <w:rPr>
          <w:rFonts w:ascii="Georgia" w:hAnsi="Georgia" w:cs="Times New Roman"/>
          <w:sz w:val="20"/>
          <w:szCs w:val="24"/>
          <w:lang w:val="lt-LT" w:eastAsia="lt-LT"/>
        </w:rPr>
        <w:t xml:space="preserve">To labai trūksta siekiant </w:t>
      </w:r>
      <w:r w:rsidRPr="00E857BF">
        <w:rPr>
          <w:rFonts w:ascii="Georgia" w:hAnsi="Georgia" w:cs="Times New Roman"/>
          <w:sz w:val="20"/>
          <w:szCs w:val="24"/>
          <w:lang w:val="lt-LT" w:eastAsia="lt-LT"/>
        </w:rPr>
        <w:t xml:space="preserve">užtikrinti pasitikėjimą ir skaidrumą rinkoje. </w:t>
      </w:r>
      <w:r w:rsidR="00762242">
        <w:rPr>
          <w:rFonts w:ascii="Georgia" w:hAnsi="Georgia" w:cs="Times New Roman"/>
          <w:sz w:val="20"/>
          <w:szCs w:val="24"/>
          <w:lang w:val="lt-LT" w:eastAsia="lt-LT"/>
        </w:rPr>
        <w:t>Nesant teisiniam reguliavimui, projektai skirtingai įgyvendinami, skirtingai interpretuojami, galimai kyla ginčai dėl rezultatų interpretavimo. Be to, ESCO modelio įgyvendinimą apriboja sudėtingos viešųjų pirkimų procedūros. Anot ataskaitos, nors anksčiau ir buvo parengtos bei skatinamos taikyti praktikoje tiek viešajame, tiek privačiame sektoriuose s</w:t>
      </w:r>
      <w:r w:rsidRPr="00E857BF">
        <w:rPr>
          <w:rFonts w:ascii="Georgia" w:hAnsi="Georgia" w:cs="Times New Roman"/>
          <w:sz w:val="20"/>
          <w:szCs w:val="24"/>
          <w:lang w:val="lt-LT" w:eastAsia="lt-LT"/>
        </w:rPr>
        <w:t>tandartinės ESCO</w:t>
      </w:r>
      <w:r w:rsidR="00762242">
        <w:rPr>
          <w:rFonts w:ascii="Georgia" w:hAnsi="Georgia" w:cs="Times New Roman"/>
          <w:sz w:val="20"/>
          <w:szCs w:val="24"/>
          <w:lang w:val="lt-LT" w:eastAsia="lt-LT"/>
        </w:rPr>
        <w:t xml:space="preserve"> sutartys, jų pritaikymo</w:t>
      </w:r>
      <w:r w:rsidRPr="00E857BF">
        <w:rPr>
          <w:rFonts w:ascii="Georgia" w:hAnsi="Georgia" w:cs="Times New Roman"/>
          <w:sz w:val="20"/>
          <w:szCs w:val="24"/>
          <w:lang w:val="lt-LT" w:eastAsia="lt-LT"/>
        </w:rPr>
        <w:t xml:space="preserve"> įtaka </w:t>
      </w:r>
      <w:r w:rsidR="00762242">
        <w:rPr>
          <w:rFonts w:ascii="Georgia" w:hAnsi="Georgia" w:cs="Times New Roman"/>
          <w:sz w:val="20"/>
          <w:szCs w:val="24"/>
          <w:lang w:val="lt-LT" w:eastAsia="lt-LT"/>
        </w:rPr>
        <w:t xml:space="preserve">nėra </w:t>
      </w:r>
      <w:r w:rsidRPr="00E857BF">
        <w:rPr>
          <w:rFonts w:ascii="Georgia" w:hAnsi="Georgia" w:cs="Times New Roman"/>
          <w:sz w:val="20"/>
          <w:szCs w:val="24"/>
          <w:lang w:val="lt-LT" w:eastAsia="lt-LT"/>
        </w:rPr>
        <w:t>žinoma.</w:t>
      </w:r>
    </w:p>
    <w:p w14:paraId="03FF61A6" w14:textId="77777777" w:rsidR="00762242" w:rsidRDefault="00762242" w:rsidP="00E857BF">
      <w:pPr>
        <w:spacing w:after="0"/>
        <w:jc w:val="both"/>
        <w:rPr>
          <w:rFonts w:ascii="Georgia" w:hAnsi="Georgia" w:cs="Times New Roman"/>
          <w:sz w:val="20"/>
          <w:szCs w:val="24"/>
          <w:lang w:val="lt-LT" w:eastAsia="lt-LT"/>
        </w:rPr>
      </w:pPr>
    </w:p>
    <w:p w14:paraId="7751D233" w14:textId="77777777" w:rsidR="00762242" w:rsidRDefault="00762242" w:rsidP="00E00040">
      <w:pPr>
        <w:keepNext/>
        <w:spacing w:after="0"/>
        <w:jc w:val="both"/>
        <w:rPr>
          <w:rFonts w:ascii="Georgia" w:hAnsi="Georgia" w:cs="Times New Roman"/>
          <w:sz w:val="20"/>
          <w:szCs w:val="24"/>
          <w:lang w:val="lt-LT" w:eastAsia="lt-LT"/>
        </w:rPr>
      </w:pPr>
      <w:r>
        <w:rPr>
          <w:rFonts w:ascii="Georgia" w:hAnsi="Georgia" w:cs="Times New Roman"/>
          <w:sz w:val="20"/>
          <w:szCs w:val="24"/>
          <w:lang w:val="lt-LT" w:eastAsia="lt-LT"/>
        </w:rPr>
        <w:t xml:space="preserve">Europos Komisijos ataskaitoje taip pat aptarti pagrindiniai ESCO rinkos barjerai Lietuvoje. Šių barjerų apibendrinimas pateikiamas grafike žemiau. </w:t>
      </w:r>
    </w:p>
    <w:p w14:paraId="18F9F7E0" w14:textId="77777777" w:rsidR="00762242" w:rsidRDefault="00762242" w:rsidP="00E00040">
      <w:pPr>
        <w:keepNext/>
        <w:spacing w:after="0"/>
        <w:jc w:val="both"/>
        <w:rPr>
          <w:rFonts w:ascii="Georgia" w:hAnsi="Georgia" w:cs="Times New Roman"/>
          <w:sz w:val="20"/>
          <w:szCs w:val="24"/>
          <w:lang w:val="lt-LT" w:eastAsia="lt-LT"/>
        </w:rPr>
      </w:pPr>
    </w:p>
    <w:p w14:paraId="48A6FDE7" w14:textId="77777777" w:rsidR="00762242" w:rsidRDefault="00762242" w:rsidP="00E00040">
      <w:pPr>
        <w:keepNext/>
        <w:spacing w:after="0"/>
        <w:jc w:val="both"/>
        <w:rPr>
          <w:rFonts w:ascii="Georgia" w:hAnsi="Georgia" w:cs="Times New Roman"/>
          <w:sz w:val="20"/>
          <w:szCs w:val="24"/>
          <w:lang w:val="lt-LT" w:eastAsia="lt-LT"/>
        </w:rPr>
      </w:pPr>
      <w:r>
        <w:rPr>
          <w:noProof/>
          <w:lang w:val="lt-LT" w:eastAsia="lt-LT"/>
        </w:rPr>
        <w:drawing>
          <wp:inline distT="0" distB="0" distL="0" distR="0" wp14:anchorId="64B15BDE" wp14:editId="031E2EFD">
            <wp:extent cx="5318106" cy="3068570"/>
            <wp:effectExtent l="0" t="0" r="16510" b="1778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967633B" w14:textId="062A26EB" w:rsidR="00690B2B" w:rsidRPr="000678F1" w:rsidRDefault="00690B2B" w:rsidP="00E00040">
      <w:pPr>
        <w:pStyle w:val="Antrat"/>
        <w:rPr>
          <w:b w:val="0"/>
          <w:i/>
          <w:lang w:val="lt-LT"/>
        </w:rPr>
      </w:pPr>
      <w:bookmarkStart w:id="79" w:name="_Toc417378285"/>
      <w:r w:rsidRPr="000678F1">
        <w:rPr>
          <w:lang w:val="lt-LT"/>
        </w:rPr>
        <w:t xml:space="preserve">Paveikslas </w:t>
      </w:r>
      <w:r w:rsidRPr="000678F1">
        <w:rPr>
          <w:lang w:val="lt-LT"/>
        </w:rPr>
        <w:fldChar w:fldCharType="begin"/>
      </w:r>
      <w:r w:rsidRPr="000678F1">
        <w:rPr>
          <w:lang w:val="lt-LT"/>
        </w:rPr>
        <w:instrText xml:space="preserve"> SEQ Paveikslas \* ARABIC </w:instrText>
      </w:r>
      <w:r w:rsidRPr="000678F1">
        <w:rPr>
          <w:lang w:val="lt-LT"/>
        </w:rPr>
        <w:fldChar w:fldCharType="separate"/>
      </w:r>
      <w:r w:rsidR="00AA3082">
        <w:rPr>
          <w:noProof/>
          <w:lang w:val="lt-LT"/>
        </w:rPr>
        <w:t>8</w:t>
      </w:r>
      <w:r w:rsidRPr="000678F1">
        <w:rPr>
          <w:lang w:val="lt-LT"/>
        </w:rPr>
        <w:fldChar w:fldCharType="end"/>
      </w:r>
      <w:r w:rsidRPr="000678F1">
        <w:rPr>
          <w:lang w:val="lt-LT"/>
        </w:rPr>
        <w:t xml:space="preserve">. ESCO rinkos barjerai Lietuvoje. </w:t>
      </w:r>
      <w:r w:rsidRPr="000678F1">
        <w:rPr>
          <w:b w:val="0"/>
          <w:i/>
          <w:lang w:val="lt-LT"/>
        </w:rPr>
        <w:t>Šaltinis: Europos Komisijos 2013 m. ESCO rinkos ataskaita.</w:t>
      </w:r>
      <w:bookmarkEnd w:id="79"/>
      <w:r w:rsidRPr="000678F1">
        <w:rPr>
          <w:b w:val="0"/>
          <w:i/>
          <w:lang w:val="lt-LT"/>
        </w:rPr>
        <w:t xml:space="preserve"> </w:t>
      </w:r>
    </w:p>
    <w:p w14:paraId="1E569FE2" w14:textId="77777777" w:rsidR="00690B2B" w:rsidRDefault="00690B2B" w:rsidP="00690B2B">
      <w:pPr>
        <w:spacing w:after="0"/>
        <w:jc w:val="both"/>
        <w:rPr>
          <w:rFonts w:ascii="Georgia" w:hAnsi="Georgia" w:cs="Times New Roman"/>
          <w:sz w:val="20"/>
          <w:szCs w:val="24"/>
          <w:lang w:val="lt-LT" w:eastAsia="lt-LT"/>
        </w:rPr>
      </w:pPr>
      <w:r>
        <w:rPr>
          <w:rFonts w:ascii="Georgia" w:hAnsi="Georgia" w:cs="Times New Roman"/>
          <w:sz w:val="20"/>
          <w:szCs w:val="24"/>
          <w:lang w:val="lt-LT" w:eastAsia="lt-LT"/>
        </w:rPr>
        <w:t xml:space="preserve">Kaip aprašyta Europos Komisijos ataskaitoje, </w:t>
      </w:r>
      <w:r w:rsidRPr="00690B2B">
        <w:rPr>
          <w:rFonts w:ascii="Georgia" w:hAnsi="Georgia" w:cs="Times New Roman"/>
          <w:sz w:val="20"/>
          <w:szCs w:val="24"/>
          <w:lang w:val="lt-LT" w:eastAsia="lt-LT"/>
        </w:rPr>
        <w:t xml:space="preserve">pagrindinė kliūtis ESCO projektams yra patikimos informacijos apie šią rinką ir galimybes trūkumas, bei savivaldybių ir finansinių institucijų ribotas supratimas apie energetinį efektyvumą. </w:t>
      </w:r>
      <w:r>
        <w:rPr>
          <w:rFonts w:ascii="Georgia" w:hAnsi="Georgia" w:cs="Times New Roman"/>
          <w:sz w:val="20"/>
          <w:szCs w:val="24"/>
          <w:lang w:val="lt-LT" w:eastAsia="lt-LT"/>
        </w:rPr>
        <w:t>Pažymėtina, jog</w:t>
      </w:r>
      <w:r w:rsidRPr="00690B2B">
        <w:rPr>
          <w:rFonts w:ascii="Georgia" w:hAnsi="Georgia" w:cs="Times New Roman"/>
          <w:sz w:val="20"/>
          <w:szCs w:val="24"/>
          <w:lang w:val="lt-LT" w:eastAsia="lt-LT"/>
        </w:rPr>
        <w:t xml:space="preserve"> ESCO projektai administraciniu požiūriu yra sudėtingi, nepalankios pirkimų procedūros sukuria sudėtingą aplinką ESCO projektų plėtrai. </w:t>
      </w:r>
      <w:r>
        <w:rPr>
          <w:rFonts w:ascii="Georgia" w:hAnsi="Georgia" w:cs="Times New Roman"/>
          <w:sz w:val="20"/>
          <w:szCs w:val="24"/>
          <w:lang w:val="lt-LT" w:eastAsia="lt-LT"/>
        </w:rPr>
        <w:t>ESCO projektams Lietuvoje taikoma g</w:t>
      </w:r>
      <w:r w:rsidRPr="00690B2B">
        <w:rPr>
          <w:rFonts w:ascii="Georgia" w:hAnsi="Georgia" w:cs="Times New Roman"/>
          <w:sz w:val="20"/>
          <w:szCs w:val="24"/>
          <w:lang w:val="lt-LT" w:eastAsia="lt-LT"/>
        </w:rPr>
        <w:t>riežta apskaita</w:t>
      </w:r>
      <w:r>
        <w:rPr>
          <w:rFonts w:ascii="Georgia" w:hAnsi="Georgia" w:cs="Times New Roman"/>
          <w:sz w:val="20"/>
          <w:szCs w:val="24"/>
          <w:lang w:val="lt-LT" w:eastAsia="lt-LT"/>
        </w:rPr>
        <w:t xml:space="preserve"> ir atsiskaitymas</w:t>
      </w:r>
      <w:r w:rsidRPr="00690B2B">
        <w:rPr>
          <w:rFonts w:ascii="Georgia" w:hAnsi="Georgia" w:cs="Times New Roman"/>
          <w:sz w:val="20"/>
          <w:szCs w:val="24"/>
          <w:lang w:val="lt-LT" w:eastAsia="lt-LT"/>
        </w:rPr>
        <w:t>,</w:t>
      </w:r>
      <w:r>
        <w:rPr>
          <w:rFonts w:ascii="Georgia" w:hAnsi="Georgia" w:cs="Times New Roman"/>
          <w:sz w:val="20"/>
          <w:szCs w:val="24"/>
          <w:lang w:val="lt-LT" w:eastAsia="lt-LT"/>
        </w:rPr>
        <w:t xml:space="preserve"> be to,</w:t>
      </w:r>
      <w:r w:rsidRPr="00690B2B">
        <w:rPr>
          <w:rFonts w:ascii="Georgia" w:hAnsi="Georgia" w:cs="Times New Roman"/>
          <w:sz w:val="20"/>
          <w:szCs w:val="24"/>
          <w:lang w:val="lt-LT" w:eastAsia="lt-LT"/>
        </w:rPr>
        <w:t xml:space="preserve"> energijos išlaidos gali būti apmokamos tik tiesiogiai energijos tiekėjui, </w:t>
      </w:r>
      <w:r>
        <w:rPr>
          <w:rFonts w:ascii="Georgia" w:hAnsi="Georgia" w:cs="Times New Roman"/>
          <w:sz w:val="20"/>
          <w:szCs w:val="24"/>
          <w:lang w:val="lt-LT" w:eastAsia="lt-LT"/>
        </w:rPr>
        <w:t>o ne</w:t>
      </w:r>
      <w:r w:rsidRPr="00690B2B">
        <w:rPr>
          <w:rFonts w:ascii="Georgia" w:hAnsi="Georgia" w:cs="Times New Roman"/>
          <w:sz w:val="20"/>
          <w:szCs w:val="24"/>
          <w:lang w:val="lt-LT" w:eastAsia="lt-LT"/>
        </w:rPr>
        <w:t xml:space="preserve"> trečiajai šaliai</w:t>
      </w:r>
      <w:r>
        <w:rPr>
          <w:rFonts w:ascii="Georgia" w:hAnsi="Georgia" w:cs="Times New Roman"/>
          <w:sz w:val="20"/>
          <w:szCs w:val="24"/>
          <w:lang w:val="lt-LT" w:eastAsia="lt-LT"/>
        </w:rPr>
        <w:t xml:space="preserve"> (ESCO įmonei)</w:t>
      </w:r>
      <w:r w:rsidRPr="00690B2B">
        <w:rPr>
          <w:rFonts w:ascii="Georgia" w:hAnsi="Georgia" w:cs="Times New Roman"/>
          <w:sz w:val="20"/>
          <w:szCs w:val="24"/>
          <w:lang w:val="lt-LT" w:eastAsia="lt-LT"/>
        </w:rPr>
        <w:t xml:space="preserve">. </w:t>
      </w:r>
      <w:r>
        <w:rPr>
          <w:rFonts w:ascii="Georgia" w:hAnsi="Georgia" w:cs="Times New Roman"/>
          <w:sz w:val="20"/>
          <w:szCs w:val="24"/>
          <w:lang w:val="lt-LT" w:eastAsia="lt-LT"/>
        </w:rPr>
        <w:t xml:space="preserve">Taip pat yra sudėtinga atskirti atsakomybes tarp įvairių institucijų, trūksta </w:t>
      </w:r>
      <w:r w:rsidRPr="00690B2B">
        <w:rPr>
          <w:rFonts w:ascii="Georgia" w:hAnsi="Georgia" w:cs="Times New Roman"/>
          <w:sz w:val="20"/>
          <w:szCs w:val="24"/>
          <w:lang w:val="lt-LT" w:eastAsia="lt-LT"/>
        </w:rPr>
        <w:t>kryptingos politikos</w:t>
      </w:r>
      <w:r>
        <w:rPr>
          <w:rFonts w:ascii="Georgia" w:hAnsi="Georgia" w:cs="Times New Roman"/>
          <w:sz w:val="20"/>
          <w:szCs w:val="24"/>
          <w:lang w:val="lt-LT" w:eastAsia="lt-LT"/>
        </w:rPr>
        <w:t>,</w:t>
      </w:r>
      <w:r w:rsidRPr="00690B2B">
        <w:rPr>
          <w:rFonts w:ascii="Georgia" w:hAnsi="Georgia" w:cs="Times New Roman"/>
          <w:sz w:val="20"/>
          <w:szCs w:val="24"/>
          <w:lang w:val="lt-LT" w:eastAsia="lt-LT"/>
        </w:rPr>
        <w:t xml:space="preserve"> remiančios plėtrą ir efektyvios energetikos politikos vystymąsi.</w:t>
      </w:r>
    </w:p>
    <w:p w14:paraId="7C406595" w14:textId="77777777" w:rsidR="00690B2B" w:rsidRDefault="00690B2B" w:rsidP="00690B2B">
      <w:pPr>
        <w:spacing w:after="0"/>
        <w:jc w:val="both"/>
        <w:rPr>
          <w:rFonts w:ascii="Georgia" w:hAnsi="Georgia" w:cs="Times New Roman"/>
          <w:sz w:val="20"/>
          <w:szCs w:val="24"/>
          <w:lang w:val="lt-LT" w:eastAsia="lt-LT"/>
        </w:rPr>
      </w:pPr>
    </w:p>
    <w:p w14:paraId="4D860614" w14:textId="77777777" w:rsidR="00690B2B" w:rsidRDefault="00690B2B" w:rsidP="00690B2B">
      <w:pPr>
        <w:spacing w:after="0"/>
        <w:jc w:val="both"/>
        <w:rPr>
          <w:rFonts w:ascii="Georgia" w:hAnsi="Georgia" w:cs="Times New Roman"/>
          <w:sz w:val="20"/>
          <w:szCs w:val="24"/>
          <w:lang w:val="lt-LT" w:eastAsia="lt-LT"/>
        </w:rPr>
      </w:pPr>
      <w:r>
        <w:rPr>
          <w:rFonts w:ascii="Georgia" w:hAnsi="Georgia" w:cs="Times New Roman"/>
          <w:sz w:val="20"/>
          <w:szCs w:val="24"/>
          <w:lang w:val="lt-LT" w:eastAsia="lt-LT"/>
        </w:rPr>
        <w:t>Po finansų krizės f</w:t>
      </w:r>
      <w:r w:rsidRPr="00690B2B">
        <w:rPr>
          <w:rFonts w:ascii="Georgia" w:hAnsi="Georgia" w:cs="Times New Roman"/>
          <w:sz w:val="20"/>
          <w:szCs w:val="24"/>
          <w:lang w:val="lt-LT" w:eastAsia="lt-LT"/>
        </w:rPr>
        <w:t>inansinis sektorius</w:t>
      </w:r>
      <w:r>
        <w:rPr>
          <w:rFonts w:ascii="Georgia" w:hAnsi="Georgia" w:cs="Times New Roman"/>
          <w:sz w:val="20"/>
          <w:szCs w:val="24"/>
          <w:lang w:val="lt-LT" w:eastAsia="lt-LT"/>
        </w:rPr>
        <w:t xml:space="preserve"> taiko</w:t>
      </w:r>
      <w:r w:rsidRPr="00690B2B">
        <w:rPr>
          <w:rFonts w:ascii="Georgia" w:hAnsi="Georgia" w:cs="Times New Roman"/>
          <w:sz w:val="20"/>
          <w:szCs w:val="24"/>
          <w:lang w:val="lt-LT" w:eastAsia="lt-LT"/>
        </w:rPr>
        <w:t xml:space="preserve"> griežtesni</w:t>
      </w:r>
      <w:r>
        <w:rPr>
          <w:rFonts w:ascii="Georgia" w:hAnsi="Georgia" w:cs="Times New Roman"/>
          <w:sz w:val="20"/>
          <w:szCs w:val="24"/>
          <w:lang w:val="lt-LT" w:eastAsia="lt-LT"/>
        </w:rPr>
        <w:t>u</w:t>
      </w:r>
      <w:r w:rsidRPr="00690B2B">
        <w:rPr>
          <w:rFonts w:ascii="Georgia" w:hAnsi="Georgia" w:cs="Times New Roman"/>
          <w:sz w:val="20"/>
          <w:szCs w:val="24"/>
          <w:lang w:val="lt-LT" w:eastAsia="lt-LT"/>
        </w:rPr>
        <w:t>s</w:t>
      </w:r>
      <w:r>
        <w:rPr>
          <w:rFonts w:ascii="Georgia" w:hAnsi="Georgia" w:cs="Times New Roman"/>
          <w:sz w:val="20"/>
          <w:szCs w:val="24"/>
          <w:lang w:val="lt-LT" w:eastAsia="lt-LT"/>
        </w:rPr>
        <w:t xml:space="preserve"> reikalavimus</w:t>
      </w:r>
      <w:r w:rsidRPr="00690B2B">
        <w:rPr>
          <w:rFonts w:ascii="Georgia" w:hAnsi="Georgia" w:cs="Times New Roman"/>
          <w:sz w:val="20"/>
          <w:szCs w:val="24"/>
          <w:lang w:val="lt-LT" w:eastAsia="lt-LT"/>
        </w:rPr>
        <w:t xml:space="preserve"> ir reikalauja stipresnių </w:t>
      </w:r>
      <w:r>
        <w:rPr>
          <w:rFonts w:ascii="Georgia" w:hAnsi="Georgia" w:cs="Times New Roman"/>
          <w:sz w:val="20"/>
          <w:szCs w:val="24"/>
          <w:lang w:val="lt-LT" w:eastAsia="lt-LT"/>
        </w:rPr>
        <w:t>rizikos mažinimo</w:t>
      </w:r>
      <w:r w:rsidRPr="00690B2B">
        <w:rPr>
          <w:rFonts w:ascii="Georgia" w:hAnsi="Georgia" w:cs="Times New Roman"/>
          <w:sz w:val="20"/>
          <w:szCs w:val="24"/>
          <w:lang w:val="lt-LT" w:eastAsia="lt-LT"/>
        </w:rPr>
        <w:t xml:space="preserve"> priemonių, todėl bankų paskolos</w:t>
      </w:r>
      <w:r>
        <w:rPr>
          <w:rFonts w:ascii="Georgia" w:hAnsi="Georgia" w:cs="Times New Roman"/>
          <w:sz w:val="20"/>
          <w:szCs w:val="24"/>
          <w:lang w:val="lt-LT" w:eastAsia="lt-LT"/>
        </w:rPr>
        <w:t xml:space="preserve"> dažnu atveju</w:t>
      </w:r>
      <w:r w:rsidRPr="00690B2B">
        <w:rPr>
          <w:rFonts w:ascii="Georgia" w:hAnsi="Georgia" w:cs="Times New Roman"/>
          <w:sz w:val="20"/>
          <w:szCs w:val="24"/>
          <w:lang w:val="lt-LT" w:eastAsia="lt-LT"/>
        </w:rPr>
        <w:t xml:space="preserve"> nėra patrauklios ESCO projektams.</w:t>
      </w:r>
      <w:r>
        <w:rPr>
          <w:rFonts w:ascii="Georgia" w:hAnsi="Georgia" w:cs="Times New Roman"/>
          <w:sz w:val="20"/>
          <w:szCs w:val="24"/>
          <w:lang w:val="lt-LT" w:eastAsia="lt-LT"/>
        </w:rPr>
        <w:t xml:space="preserve"> </w:t>
      </w:r>
      <w:r w:rsidRPr="00690B2B">
        <w:rPr>
          <w:rFonts w:ascii="Georgia" w:hAnsi="Georgia" w:cs="Times New Roman"/>
          <w:sz w:val="20"/>
          <w:szCs w:val="24"/>
          <w:lang w:val="lt-LT" w:eastAsia="lt-LT"/>
        </w:rPr>
        <w:t>Tikimasi, kad galimybė finansiškai remti pastatų renovaciją bus reikšminga ESCO rinkos plėtrai. Tai galėtų turėti įtakos užtikrinant didesnė sėkmę ir aiškesnį energijos renovacijos kelią ESCO arba kitiems modeliams.</w:t>
      </w:r>
    </w:p>
    <w:p w14:paraId="29A41E56" w14:textId="77777777" w:rsidR="00690B2B" w:rsidRDefault="00690B2B" w:rsidP="00690B2B">
      <w:pPr>
        <w:spacing w:after="0"/>
        <w:jc w:val="both"/>
        <w:rPr>
          <w:rFonts w:ascii="Georgia" w:hAnsi="Georgia" w:cs="Times New Roman"/>
          <w:sz w:val="20"/>
          <w:szCs w:val="24"/>
          <w:lang w:val="lt-LT" w:eastAsia="lt-LT"/>
        </w:rPr>
      </w:pPr>
    </w:p>
    <w:p w14:paraId="182C8064" w14:textId="77777777" w:rsidR="00690B2B" w:rsidRDefault="00690B2B" w:rsidP="00690B2B">
      <w:pPr>
        <w:spacing w:after="0"/>
        <w:jc w:val="both"/>
        <w:rPr>
          <w:rFonts w:ascii="Georgia" w:hAnsi="Georgia" w:cs="Times New Roman"/>
          <w:sz w:val="20"/>
          <w:szCs w:val="24"/>
          <w:lang w:val="lt-LT" w:eastAsia="lt-LT"/>
        </w:rPr>
      </w:pPr>
      <w:r>
        <w:rPr>
          <w:rFonts w:ascii="Georgia" w:hAnsi="Georgia" w:cs="Times New Roman"/>
          <w:sz w:val="20"/>
          <w:szCs w:val="24"/>
          <w:lang w:val="lt-LT" w:eastAsia="lt-LT"/>
        </w:rPr>
        <w:t xml:space="preserve">Europos Komisijos ataskaitoje pažymėta, kad </w:t>
      </w:r>
      <w:r w:rsidR="00CA250A">
        <w:rPr>
          <w:rFonts w:ascii="Georgia" w:hAnsi="Georgia" w:cs="Times New Roman"/>
          <w:sz w:val="20"/>
          <w:szCs w:val="24"/>
          <w:lang w:val="lt-LT" w:eastAsia="lt-LT"/>
        </w:rPr>
        <w:t>atsižvelgiant</w:t>
      </w:r>
      <w:r>
        <w:rPr>
          <w:rFonts w:ascii="Georgia" w:hAnsi="Georgia" w:cs="Times New Roman"/>
          <w:sz w:val="20"/>
          <w:szCs w:val="24"/>
          <w:lang w:val="lt-LT" w:eastAsia="lt-LT"/>
        </w:rPr>
        <w:t xml:space="preserve"> į visus </w:t>
      </w:r>
      <w:r w:rsidR="00E7742A">
        <w:rPr>
          <w:rFonts w:ascii="Georgia" w:hAnsi="Georgia" w:cs="Times New Roman"/>
          <w:sz w:val="20"/>
          <w:szCs w:val="24"/>
          <w:lang w:val="lt-LT" w:eastAsia="lt-LT"/>
        </w:rPr>
        <w:t>aukščiau esančiame</w:t>
      </w:r>
      <w:r>
        <w:rPr>
          <w:rFonts w:ascii="Georgia" w:hAnsi="Georgia" w:cs="Times New Roman"/>
          <w:sz w:val="20"/>
          <w:szCs w:val="24"/>
          <w:lang w:val="lt-LT" w:eastAsia="lt-LT"/>
        </w:rPr>
        <w:t xml:space="preserve"> paveiksle paminėtus barjerus, ESCO rinka turi ribotas galimybes kurtis ir vystytis. </w:t>
      </w:r>
    </w:p>
    <w:p w14:paraId="7E464A2D" w14:textId="77777777" w:rsidR="00D9331E" w:rsidRDefault="00D9331E" w:rsidP="00690B2B">
      <w:pPr>
        <w:spacing w:after="0"/>
        <w:jc w:val="both"/>
        <w:rPr>
          <w:rFonts w:ascii="Georgia" w:hAnsi="Georgia" w:cs="Times New Roman"/>
          <w:sz w:val="20"/>
          <w:szCs w:val="24"/>
          <w:lang w:val="lt-LT" w:eastAsia="lt-LT"/>
        </w:rPr>
      </w:pPr>
    </w:p>
    <w:p w14:paraId="699895FC" w14:textId="77777777" w:rsidR="00D9331E" w:rsidRPr="00690B2B" w:rsidRDefault="00E7742A" w:rsidP="00E00040">
      <w:pPr>
        <w:keepNext/>
        <w:spacing w:after="0"/>
        <w:jc w:val="both"/>
        <w:rPr>
          <w:rFonts w:ascii="Georgia" w:hAnsi="Georgia" w:cs="Times New Roman"/>
          <w:sz w:val="20"/>
          <w:szCs w:val="24"/>
          <w:lang w:val="lt-LT" w:eastAsia="lt-LT"/>
        </w:rPr>
      </w:pPr>
      <w:r>
        <w:rPr>
          <w:rFonts w:ascii="Georgia" w:hAnsi="Georgia" w:cs="Times New Roman"/>
          <w:sz w:val="20"/>
          <w:szCs w:val="24"/>
          <w:lang w:val="lt-LT" w:eastAsia="lt-LT"/>
        </w:rPr>
        <w:lastRenderedPageBreak/>
        <w:t>Žemiau esančiame</w:t>
      </w:r>
      <w:r w:rsidR="00D9331E">
        <w:rPr>
          <w:rFonts w:ascii="Georgia" w:hAnsi="Georgia" w:cs="Times New Roman"/>
          <w:sz w:val="20"/>
          <w:szCs w:val="24"/>
          <w:lang w:val="lt-LT" w:eastAsia="lt-LT"/>
        </w:rPr>
        <w:t xml:space="preserve"> paveiksle apibendrintai pateikiama informacija apie ESCO rinkos ypatybes ir būklę Lietuvoje. </w:t>
      </w:r>
    </w:p>
    <w:p w14:paraId="1DBEC548" w14:textId="77777777" w:rsidR="00762242" w:rsidRDefault="00762242" w:rsidP="00855713">
      <w:pPr>
        <w:keepNext/>
        <w:spacing w:after="0"/>
        <w:jc w:val="center"/>
        <w:rPr>
          <w:rFonts w:ascii="Georgia" w:hAnsi="Georgia" w:cs="Times New Roman"/>
          <w:sz w:val="20"/>
          <w:szCs w:val="24"/>
          <w:lang w:val="lt-LT" w:eastAsia="lt-LT"/>
        </w:rPr>
      </w:pPr>
      <w:r>
        <w:rPr>
          <w:noProof/>
          <w:lang w:val="lt-LT" w:eastAsia="lt-LT"/>
        </w:rPr>
        <w:drawing>
          <wp:inline distT="0" distB="0" distL="0" distR="0" wp14:anchorId="37FD637F" wp14:editId="0EDED2D6">
            <wp:extent cx="5318106" cy="2967592"/>
            <wp:effectExtent l="0" t="0" r="16510" b="2349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AA321BD" w14:textId="267725B9" w:rsidR="00690B2B" w:rsidRPr="00E00040" w:rsidRDefault="00690B2B" w:rsidP="00E00040">
      <w:pPr>
        <w:pStyle w:val="Antrat"/>
        <w:rPr>
          <w:b w:val="0"/>
          <w:i/>
          <w:lang w:val="lt-LT"/>
        </w:rPr>
      </w:pPr>
      <w:bookmarkStart w:id="80" w:name="_Toc417378286"/>
      <w:r w:rsidRPr="00E00040">
        <w:rPr>
          <w:lang w:val="lt-LT"/>
        </w:rPr>
        <w:t xml:space="preserve">Paveikslas </w:t>
      </w:r>
      <w:r w:rsidRPr="00E00040">
        <w:rPr>
          <w:lang w:val="lt-LT"/>
        </w:rPr>
        <w:fldChar w:fldCharType="begin"/>
      </w:r>
      <w:r w:rsidRPr="00E00040">
        <w:rPr>
          <w:lang w:val="lt-LT"/>
        </w:rPr>
        <w:instrText xml:space="preserve"> SEQ Paveikslas \* ARABIC </w:instrText>
      </w:r>
      <w:r w:rsidRPr="00E00040">
        <w:rPr>
          <w:lang w:val="lt-LT"/>
        </w:rPr>
        <w:fldChar w:fldCharType="separate"/>
      </w:r>
      <w:r w:rsidR="00AA3082">
        <w:rPr>
          <w:noProof/>
          <w:lang w:val="lt-LT"/>
        </w:rPr>
        <w:t>9</w:t>
      </w:r>
      <w:r w:rsidRPr="00E00040">
        <w:rPr>
          <w:lang w:val="lt-LT"/>
        </w:rPr>
        <w:fldChar w:fldCharType="end"/>
      </w:r>
      <w:r w:rsidRPr="00E00040">
        <w:rPr>
          <w:lang w:val="lt-LT"/>
        </w:rPr>
        <w:t>.</w:t>
      </w:r>
      <w:r w:rsidRPr="00E00040">
        <w:rPr>
          <w:szCs w:val="24"/>
          <w:lang w:val="lt-LT" w:eastAsia="lt-LT"/>
        </w:rPr>
        <w:t xml:space="preserve"> ESCO rinkos Lietuvoje ypatybės.</w:t>
      </w:r>
      <w:r w:rsidRPr="00E00040">
        <w:rPr>
          <w:b w:val="0"/>
          <w:i/>
          <w:lang w:val="lt-LT"/>
        </w:rPr>
        <w:t xml:space="preserve"> Šaltinis: Europos Komisijos 2013 m. ESCO rinkos ataskaita.</w:t>
      </w:r>
      <w:bookmarkEnd w:id="80"/>
      <w:r w:rsidRPr="00E00040">
        <w:rPr>
          <w:b w:val="0"/>
          <w:i/>
          <w:lang w:val="lt-LT"/>
        </w:rPr>
        <w:t xml:space="preserve"> </w:t>
      </w:r>
    </w:p>
    <w:p w14:paraId="1F522D8C" w14:textId="77777777" w:rsidR="00690B2B" w:rsidRDefault="00D9331E" w:rsidP="00D9331E">
      <w:pPr>
        <w:spacing w:after="0"/>
        <w:jc w:val="both"/>
        <w:rPr>
          <w:rFonts w:ascii="Georgia" w:hAnsi="Georgia" w:cs="Times New Roman"/>
          <w:sz w:val="20"/>
          <w:szCs w:val="24"/>
          <w:lang w:val="lt-LT" w:eastAsia="lt-LT"/>
        </w:rPr>
      </w:pPr>
      <w:r w:rsidRPr="00D9331E">
        <w:rPr>
          <w:rFonts w:ascii="Georgia" w:hAnsi="Georgia" w:cs="Times New Roman"/>
          <w:sz w:val="20"/>
          <w:szCs w:val="24"/>
          <w:lang w:val="lt-LT" w:eastAsia="lt-LT"/>
        </w:rPr>
        <w:t xml:space="preserve">Europos Komisijos ataskaitoje pažymėta, </w:t>
      </w:r>
      <w:r>
        <w:rPr>
          <w:rFonts w:ascii="Georgia" w:hAnsi="Georgia" w:cs="Times New Roman"/>
          <w:sz w:val="20"/>
          <w:szCs w:val="24"/>
          <w:lang w:val="lt-LT" w:eastAsia="lt-LT"/>
        </w:rPr>
        <w:t xml:space="preserve">kokie yra būtini pakeitimai siekiant paskatinti ESCO rinkos kūrimąsi. Pirmiausia yra labai svarbu sutvarkyti finansavimo mechanizmą. Antra, teisinės bazės sukūrimas bei teisinių kliūčių pašalinimas turėtų didelę paskatą ESCO modelio įgyvendinimui. Trečia, privalo būti skiriamas didelis dėmesys informacijos sklaidai, pasitikėjimo didinimui. </w:t>
      </w:r>
    </w:p>
    <w:p w14:paraId="2EAA1E31" w14:textId="77777777" w:rsidR="00762242" w:rsidRDefault="00762242" w:rsidP="00E857BF">
      <w:pPr>
        <w:spacing w:after="0"/>
        <w:jc w:val="both"/>
        <w:rPr>
          <w:rFonts w:ascii="Georgia" w:hAnsi="Georgia" w:cs="Times New Roman"/>
          <w:sz w:val="20"/>
          <w:szCs w:val="24"/>
          <w:lang w:val="lt-LT" w:eastAsia="lt-LT"/>
        </w:rPr>
      </w:pPr>
    </w:p>
    <w:p w14:paraId="4F54F878" w14:textId="77777777" w:rsidR="00762242" w:rsidRPr="001F7D0D" w:rsidRDefault="00762242" w:rsidP="00E857BF">
      <w:pPr>
        <w:spacing w:after="0"/>
        <w:jc w:val="both"/>
        <w:rPr>
          <w:rFonts w:ascii="Georgia" w:hAnsi="Georgia" w:cs="Times New Roman"/>
          <w:sz w:val="20"/>
          <w:szCs w:val="24"/>
          <w:lang w:eastAsia="lt-LT"/>
        </w:rPr>
      </w:pPr>
    </w:p>
    <w:p w14:paraId="09CCF60E" w14:textId="77777777" w:rsidR="00181772" w:rsidRDefault="00181772" w:rsidP="005410F8">
      <w:pPr>
        <w:spacing w:after="0"/>
        <w:jc w:val="both"/>
        <w:rPr>
          <w:rFonts w:ascii="Times New Roman" w:hAnsi="Times New Roman" w:cs="Times New Roman"/>
          <w:sz w:val="24"/>
          <w:szCs w:val="24"/>
          <w:lang w:val="lt-LT" w:eastAsia="lt-LT"/>
        </w:rPr>
      </w:pPr>
    </w:p>
    <w:p w14:paraId="17081E20" w14:textId="77777777" w:rsidR="003F3AA6" w:rsidRPr="00DF3A8E" w:rsidRDefault="003F3AA6">
      <w:pPr>
        <w:rPr>
          <w:rFonts w:asciiTheme="majorHAnsi" w:eastAsiaTheme="majorEastAsia" w:hAnsiTheme="majorHAnsi" w:cstheme="majorBidi"/>
          <w:b/>
          <w:bCs/>
          <w:color w:val="365F91" w:themeColor="accent1" w:themeShade="BF"/>
          <w:sz w:val="28"/>
          <w:szCs w:val="28"/>
          <w:lang w:val="lt-LT"/>
        </w:rPr>
      </w:pPr>
      <w:r w:rsidRPr="00DF3A8E">
        <w:rPr>
          <w:lang w:val="lt-LT"/>
        </w:rPr>
        <w:br w:type="page"/>
      </w:r>
    </w:p>
    <w:p w14:paraId="2D787D74" w14:textId="77777777" w:rsidR="00D51F4C" w:rsidRPr="00A66D78" w:rsidRDefault="00D51F4C" w:rsidP="00C03122">
      <w:pPr>
        <w:pStyle w:val="Antrat1"/>
        <w:numPr>
          <w:ilvl w:val="0"/>
          <w:numId w:val="36"/>
        </w:numPr>
        <w:rPr>
          <w:lang w:val="lt-LT"/>
        </w:rPr>
      </w:pPr>
      <w:bookmarkStart w:id="81" w:name="_Toc417378380"/>
      <w:r w:rsidRPr="00DF3A8E">
        <w:rPr>
          <w:lang w:val="lt-LT"/>
        </w:rPr>
        <w:lastRenderedPageBreak/>
        <w:t>Papildomų privačių lėšų pritraukimas</w:t>
      </w:r>
      <w:bookmarkEnd w:id="81"/>
    </w:p>
    <w:p w14:paraId="02719E17" w14:textId="77777777" w:rsidR="00D51F4C" w:rsidRPr="00DF3A8E" w:rsidRDefault="00583EB1" w:rsidP="00C03122">
      <w:pPr>
        <w:pStyle w:val="Antrat2"/>
        <w:numPr>
          <w:ilvl w:val="1"/>
          <w:numId w:val="36"/>
        </w:numPr>
        <w:rPr>
          <w:lang w:val="lt-LT"/>
        </w:rPr>
      </w:pPr>
      <w:bookmarkStart w:id="82" w:name="_Toc417378381"/>
      <w:r>
        <w:rPr>
          <w:lang w:val="lt-LT"/>
        </w:rPr>
        <w:t>P</w:t>
      </w:r>
      <w:r w:rsidR="00D51F4C" w:rsidRPr="00DF3A8E">
        <w:rPr>
          <w:lang w:val="lt-LT"/>
        </w:rPr>
        <w:t xml:space="preserve">otencialių </w:t>
      </w:r>
      <w:r w:rsidR="00884B93">
        <w:rPr>
          <w:lang w:val="lt-LT"/>
        </w:rPr>
        <w:t xml:space="preserve">privačių lėšų </w:t>
      </w:r>
      <w:r w:rsidR="00D51F4C" w:rsidRPr="00DF3A8E">
        <w:rPr>
          <w:lang w:val="lt-LT"/>
        </w:rPr>
        <w:t>šaltinių identifikavimas</w:t>
      </w:r>
      <w:bookmarkEnd w:id="82"/>
    </w:p>
    <w:p w14:paraId="5BCA8EC1" w14:textId="77777777" w:rsidR="00390E64" w:rsidRDefault="00390E64" w:rsidP="00D51F4C">
      <w:pPr>
        <w:pStyle w:val="Pagrindinistekstas"/>
        <w:rPr>
          <w:b/>
          <w:i/>
          <w:lang w:val="lt-LT"/>
        </w:rPr>
      </w:pPr>
    </w:p>
    <w:p w14:paraId="04D35703" w14:textId="77777777" w:rsidR="00583EB1" w:rsidRPr="00390E64" w:rsidRDefault="00583EB1" w:rsidP="00583EB1">
      <w:pPr>
        <w:pStyle w:val="Pagrindinistekstas"/>
        <w:rPr>
          <w:i/>
          <w:sz w:val="24"/>
          <w:lang w:val="lt-LT"/>
        </w:rPr>
      </w:pPr>
      <w:r w:rsidRPr="00390E64">
        <w:rPr>
          <w:i/>
          <w:sz w:val="24"/>
          <w:lang w:val="lt-LT"/>
        </w:rPr>
        <w:t>Tarptautinių finansų institucijų analizė</w:t>
      </w:r>
    </w:p>
    <w:p w14:paraId="3ABDD0DA"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 xml:space="preserve">Šioje </w:t>
      </w:r>
      <w:r w:rsidRPr="00390E64">
        <w:rPr>
          <w:rFonts w:ascii="Georgia" w:hAnsi="Georgia" w:cs="Arial"/>
          <w:sz w:val="20"/>
          <w:szCs w:val="20"/>
          <w:lang w:val="lt-LT"/>
        </w:rPr>
        <w:t>ex ante</w:t>
      </w:r>
      <w:r>
        <w:rPr>
          <w:rFonts w:ascii="Georgia" w:hAnsi="Georgia" w:cs="Arial"/>
          <w:sz w:val="20"/>
          <w:szCs w:val="20"/>
          <w:lang w:val="lt-LT"/>
        </w:rPr>
        <w:t xml:space="preserve"> vertinimo dalyje pateikiama tarptautinių finansų institucijų paslaugų ir produktų, kurie gali būti aktualūs sektoriui, analizė. Analizuojama ERPB, EIB, NIB ir CEB bankų veikla, paslaugos ir produktai. Nėra analizuojamos tarptautinės finansų institucijos, kurios nevykdo ir artimiausiu metu neplanuoja vykdyti veiklos Lietuvoje energetinio efektyvumo srityje.</w:t>
      </w:r>
    </w:p>
    <w:p w14:paraId="1F020EF8"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Kiekvienos institucijos atveju buvo apžvelgtos pagrindinės veiklos kryptys, institucijos veiklos ir finansiniai rodikliai, veikla energetinio efektyvumo sektoriuje, veikla Lietuvoje ir pagrindiniai produktai ir paslaugos.</w:t>
      </w:r>
    </w:p>
    <w:p w14:paraId="2D04F66B" w14:textId="77777777" w:rsidR="00583EB1" w:rsidRDefault="00583EB1" w:rsidP="00583EB1">
      <w:pPr>
        <w:pStyle w:val="Pagrindinistekstas"/>
        <w:rPr>
          <w:b/>
          <w:lang w:val="lt-LT"/>
        </w:rPr>
      </w:pPr>
    </w:p>
    <w:p w14:paraId="326E34CC" w14:textId="77777777" w:rsidR="00583EB1" w:rsidRPr="00390E64" w:rsidRDefault="00583EB1" w:rsidP="00583EB1">
      <w:pPr>
        <w:pStyle w:val="Pagrindinistekstas"/>
        <w:rPr>
          <w:i/>
          <w:lang w:val="lt-LT"/>
        </w:rPr>
      </w:pPr>
      <w:r w:rsidRPr="00390E64">
        <w:rPr>
          <w:i/>
          <w:lang w:val="lt-LT"/>
        </w:rPr>
        <w:t>Europos rekonstrukcijos ir plėtros bankas</w:t>
      </w:r>
    </w:p>
    <w:p w14:paraId="48EC4C5A"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 xml:space="preserve">ERPB siekia skatinti ekonomines reformas, kurios paspartina valstybių </w:t>
      </w:r>
      <w:r>
        <w:rPr>
          <w:rStyle w:val="hps"/>
          <w:rFonts w:ascii="Georgia" w:hAnsi="Georgia" w:cs="Arial"/>
          <w:sz w:val="20"/>
          <w:szCs w:val="20"/>
          <w:lang w:val="lt-LT"/>
        </w:rPr>
        <w:t>perėjimą</w:t>
      </w:r>
      <w:r>
        <w:rPr>
          <w:rFonts w:ascii="Georgia" w:hAnsi="Georgia" w:cs="Arial"/>
          <w:sz w:val="20"/>
          <w:szCs w:val="20"/>
          <w:lang w:val="lt-LT"/>
        </w:rPr>
        <w:t xml:space="preserve"> </w:t>
      </w:r>
      <w:r>
        <w:rPr>
          <w:rStyle w:val="hps"/>
          <w:rFonts w:ascii="Georgia" w:hAnsi="Georgia" w:cs="Arial"/>
          <w:sz w:val="20"/>
          <w:szCs w:val="20"/>
          <w:lang w:val="lt-LT"/>
        </w:rPr>
        <w:t>prie atviros</w:t>
      </w:r>
      <w:r>
        <w:rPr>
          <w:rFonts w:ascii="Georgia" w:hAnsi="Georgia" w:cs="Arial"/>
          <w:sz w:val="20"/>
          <w:szCs w:val="20"/>
          <w:lang w:val="lt-LT"/>
        </w:rPr>
        <w:t xml:space="preserve"> </w:t>
      </w:r>
      <w:r>
        <w:rPr>
          <w:rStyle w:val="hps"/>
          <w:rFonts w:ascii="Georgia" w:hAnsi="Georgia" w:cs="Arial"/>
          <w:sz w:val="20"/>
          <w:szCs w:val="20"/>
          <w:lang w:val="lt-LT"/>
        </w:rPr>
        <w:t>ir</w:t>
      </w:r>
      <w:r>
        <w:rPr>
          <w:rFonts w:ascii="Georgia" w:hAnsi="Georgia" w:cs="Arial"/>
          <w:sz w:val="20"/>
          <w:szCs w:val="20"/>
          <w:lang w:val="lt-LT"/>
        </w:rPr>
        <w:t xml:space="preserve"> </w:t>
      </w:r>
      <w:r>
        <w:rPr>
          <w:rStyle w:val="hps"/>
          <w:rFonts w:ascii="Georgia" w:hAnsi="Georgia" w:cs="Arial"/>
          <w:sz w:val="20"/>
          <w:szCs w:val="20"/>
          <w:lang w:val="lt-LT"/>
        </w:rPr>
        <w:t>demokratiškos</w:t>
      </w:r>
      <w:r>
        <w:rPr>
          <w:rFonts w:ascii="Georgia" w:hAnsi="Georgia" w:cs="Arial"/>
          <w:sz w:val="20"/>
          <w:szCs w:val="20"/>
          <w:lang w:val="lt-LT"/>
        </w:rPr>
        <w:t xml:space="preserve"> </w:t>
      </w:r>
      <w:r>
        <w:rPr>
          <w:rStyle w:val="hps"/>
          <w:rFonts w:ascii="Georgia" w:hAnsi="Georgia" w:cs="Arial"/>
          <w:sz w:val="20"/>
          <w:szCs w:val="20"/>
          <w:lang w:val="lt-LT"/>
        </w:rPr>
        <w:t>rinkos ekonomikos</w:t>
      </w:r>
      <w:r>
        <w:rPr>
          <w:rStyle w:val="Puslapioinaosnuoroda"/>
          <w:rFonts w:ascii="Georgia" w:hAnsi="Georgia" w:cs="Arial"/>
          <w:sz w:val="20"/>
          <w:szCs w:val="20"/>
          <w:lang w:val="lt-LT"/>
        </w:rPr>
        <w:footnoteReference w:id="25"/>
      </w:r>
      <w:r>
        <w:rPr>
          <w:rFonts w:ascii="Georgia" w:hAnsi="Georgia" w:cs="Arial"/>
          <w:sz w:val="20"/>
          <w:szCs w:val="20"/>
          <w:lang w:val="lt-LT"/>
        </w:rPr>
        <w:t>.</w:t>
      </w:r>
    </w:p>
    <w:p w14:paraId="2C39F529"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Bankas finansuoja projektus žemės ūkio, energijos vartojimo efektyvumo, finansų įstaigų, gamybos, vietinės aplinkosaugos infrastruktūros, gamtos išteklių, energetikos, nuosavybės, turizmo, mažų ir vidutinių įmonių, telekomunikacijų, informacinių technologijų, žiniasklaidos ir transporto srityse</w:t>
      </w:r>
      <w:r>
        <w:rPr>
          <w:rStyle w:val="Puslapioinaosnuoroda"/>
          <w:rFonts w:ascii="Georgia" w:hAnsi="Georgia" w:cs="Arial"/>
          <w:sz w:val="20"/>
          <w:szCs w:val="20"/>
          <w:lang w:val="lt-LT"/>
        </w:rPr>
        <w:footnoteReference w:id="26"/>
      </w:r>
      <w:r>
        <w:rPr>
          <w:rFonts w:ascii="Georgia" w:hAnsi="Georgia" w:cs="Arial"/>
          <w:sz w:val="20"/>
          <w:szCs w:val="20"/>
          <w:lang w:val="lt-LT"/>
        </w:rPr>
        <w:t>.</w:t>
      </w:r>
    </w:p>
    <w:p w14:paraId="467EDEEA" w14:textId="77777777" w:rsidR="00583EB1" w:rsidRDefault="00583EB1" w:rsidP="00583EB1">
      <w:pPr>
        <w:tabs>
          <w:tab w:val="left" w:pos="5245"/>
        </w:tabs>
        <w:spacing w:after="120"/>
        <w:jc w:val="both"/>
        <w:rPr>
          <w:rFonts w:ascii="Georgia" w:hAnsi="Georgia" w:cs="Arial"/>
          <w:sz w:val="20"/>
          <w:szCs w:val="20"/>
          <w:lang w:val="lt-LT"/>
        </w:rPr>
      </w:pPr>
      <w:r>
        <w:rPr>
          <w:rFonts w:ascii="Georgia" w:hAnsi="Georgia" w:cs="Arial"/>
          <w:sz w:val="20"/>
          <w:szCs w:val="20"/>
          <w:lang w:val="lt-LT"/>
        </w:rPr>
        <w:t>Pagrindiniai banko veiklos ir finansiniai rodikliai pateikiami žemiau esančioje lentelėje.</w:t>
      </w:r>
    </w:p>
    <w:p w14:paraId="0C3A999E" w14:textId="7301D032" w:rsidR="00583EB1" w:rsidRPr="00BD709D" w:rsidRDefault="00583EB1" w:rsidP="00583EB1">
      <w:pPr>
        <w:pStyle w:val="Antrat"/>
        <w:rPr>
          <w:lang w:val="lt-LT"/>
        </w:rPr>
      </w:pPr>
      <w:bookmarkStart w:id="83" w:name="_Toc460321606"/>
      <w:r w:rsidRPr="00BD709D">
        <w:rPr>
          <w:lang w:val="lt-LT"/>
        </w:rPr>
        <w:t xml:space="preserve">Lentelė </w:t>
      </w:r>
      <w:r w:rsidRPr="00BD709D">
        <w:rPr>
          <w:lang w:val="lt-LT"/>
        </w:rPr>
        <w:fldChar w:fldCharType="begin"/>
      </w:r>
      <w:r w:rsidRPr="00BD709D">
        <w:rPr>
          <w:lang w:val="lt-LT"/>
        </w:rPr>
        <w:instrText xml:space="preserve"> SEQ Lentelė \* ARABIC </w:instrText>
      </w:r>
      <w:r w:rsidRPr="00BD709D">
        <w:rPr>
          <w:lang w:val="lt-LT"/>
        </w:rPr>
        <w:fldChar w:fldCharType="separate"/>
      </w:r>
      <w:r w:rsidR="00AA3082">
        <w:rPr>
          <w:noProof/>
          <w:lang w:val="lt-LT"/>
        </w:rPr>
        <w:t>25</w:t>
      </w:r>
      <w:r w:rsidRPr="00BD709D">
        <w:rPr>
          <w:lang w:val="lt-LT"/>
        </w:rPr>
        <w:fldChar w:fldCharType="end"/>
      </w:r>
      <w:r w:rsidRPr="00BD709D">
        <w:rPr>
          <w:lang w:val="lt-LT"/>
        </w:rPr>
        <w:t>. Pagrindiniai ERPB veiklos ir finansiniai rodikliai.</w:t>
      </w:r>
      <w:bookmarkEnd w:id="83"/>
    </w:p>
    <w:tbl>
      <w:tblPr>
        <w:tblStyle w:val="viesussraas2parykinimas"/>
        <w:tblW w:w="5000" w:type="pct"/>
        <w:tblLook w:val="04A0" w:firstRow="1" w:lastRow="0" w:firstColumn="1" w:lastColumn="0" w:noHBand="0" w:noVBand="1"/>
      </w:tblPr>
      <w:tblGrid>
        <w:gridCol w:w="1777"/>
        <w:gridCol w:w="1178"/>
        <w:gridCol w:w="1096"/>
        <w:gridCol w:w="1094"/>
        <w:gridCol w:w="1089"/>
        <w:gridCol w:w="1091"/>
        <w:gridCol w:w="895"/>
        <w:gridCol w:w="1022"/>
      </w:tblGrid>
      <w:tr w:rsidR="00583EB1" w14:paraId="7D3F5A41" w14:textId="77777777" w:rsidTr="008E66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tcBorders>
              <w:top w:val="single" w:sz="8" w:space="0" w:color="C0504D" w:themeColor="accent2"/>
              <w:left w:val="single" w:sz="8" w:space="0" w:color="C0504D" w:themeColor="accent2"/>
              <w:bottom w:val="nil"/>
              <w:right w:val="nil"/>
            </w:tcBorders>
          </w:tcPr>
          <w:p w14:paraId="3F23F760" w14:textId="77777777" w:rsidR="00583EB1" w:rsidRDefault="00583EB1" w:rsidP="00583EB1">
            <w:pPr>
              <w:jc w:val="both"/>
              <w:rPr>
                <w:rFonts w:ascii="Georgia" w:hAnsi="Georgia" w:cs="Arial"/>
                <w:b w:val="0"/>
                <w:bCs w:val="0"/>
                <w:color w:val="auto"/>
                <w:sz w:val="20"/>
                <w:szCs w:val="20"/>
              </w:rPr>
            </w:pPr>
          </w:p>
        </w:tc>
        <w:tc>
          <w:tcPr>
            <w:tcW w:w="637" w:type="pct"/>
            <w:tcBorders>
              <w:top w:val="single" w:sz="8" w:space="0" w:color="C0504D" w:themeColor="accent2"/>
              <w:left w:val="nil"/>
              <w:bottom w:val="nil"/>
              <w:right w:val="nil"/>
            </w:tcBorders>
            <w:hideMark/>
          </w:tcPr>
          <w:p w14:paraId="61D5E175"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color w:val="FFFFFF"/>
                <w:sz w:val="20"/>
                <w:szCs w:val="20"/>
              </w:rPr>
            </w:pPr>
            <w:r>
              <w:rPr>
                <w:rFonts w:ascii="Georgia" w:hAnsi="Georgia" w:cs="Arial"/>
                <w:color w:val="FFFFFF"/>
                <w:sz w:val="20"/>
                <w:szCs w:val="20"/>
              </w:rPr>
              <w:t>2008</w:t>
            </w:r>
          </w:p>
        </w:tc>
        <w:tc>
          <w:tcPr>
            <w:tcW w:w="593" w:type="pct"/>
            <w:tcBorders>
              <w:top w:val="single" w:sz="8" w:space="0" w:color="C0504D" w:themeColor="accent2"/>
              <w:left w:val="nil"/>
              <w:bottom w:val="nil"/>
              <w:right w:val="nil"/>
            </w:tcBorders>
            <w:hideMark/>
          </w:tcPr>
          <w:p w14:paraId="65373F8F"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color w:val="FFFFFF"/>
                <w:sz w:val="20"/>
                <w:szCs w:val="20"/>
              </w:rPr>
            </w:pPr>
            <w:r>
              <w:rPr>
                <w:rFonts w:ascii="Georgia" w:hAnsi="Georgia" w:cs="Arial"/>
                <w:color w:val="FFFFFF"/>
                <w:sz w:val="20"/>
                <w:szCs w:val="20"/>
              </w:rPr>
              <w:t>2009</w:t>
            </w:r>
          </w:p>
        </w:tc>
        <w:tc>
          <w:tcPr>
            <w:tcW w:w="592" w:type="pct"/>
            <w:tcBorders>
              <w:top w:val="single" w:sz="8" w:space="0" w:color="C0504D" w:themeColor="accent2"/>
              <w:left w:val="nil"/>
              <w:bottom w:val="nil"/>
              <w:right w:val="nil"/>
            </w:tcBorders>
            <w:hideMark/>
          </w:tcPr>
          <w:p w14:paraId="138E4D09"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color w:val="FFFFFF"/>
                <w:sz w:val="20"/>
                <w:szCs w:val="20"/>
              </w:rPr>
            </w:pPr>
            <w:r>
              <w:rPr>
                <w:rFonts w:ascii="Georgia" w:hAnsi="Georgia" w:cs="Arial"/>
                <w:color w:val="FFFFFF"/>
                <w:sz w:val="20"/>
                <w:szCs w:val="20"/>
              </w:rPr>
              <w:t>2010</w:t>
            </w:r>
          </w:p>
        </w:tc>
        <w:tc>
          <w:tcPr>
            <w:tcW w:w="589" w:type="pct"/>
            <w:tcBorders>
              <w:top w:val="single" w:sz="8" w:space="0" w:color="C0504D" w:themeColor="accent2"/>
              <w:left w:val="nil"/>
              <w:bottom w:val="nil"/>
              <w:right w:val="nil"/>
            </w:tcBorders>
            <w:hideMark/>
          </w:tcPr>
          <w:p w14:paraId="552DFDF4"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color w:val="FFFFFF"/>
                <w:sz w:val="20"/>
                <w:szCs w:val="20"/>
              </w:rPr>
            </w:pPr>
            <w:r>
              <w:rPr>
                <w:rFonts w:ascii="Georgia" w:hAnsi="Georgia" w:cs="Arial"/>
                <w:color w:val="FFFFFF"/>
                <w:sz w:val="20"/>
                <w:szCs w:val="20"/>
              </w:rPr>
              <w:t>2011</w:t>
            </w:r>
          </w:p>
        </w:tc>
        <w:tc>
          <w:tcPr>
            <w:tcW w:w="590" w:type="pct"/>
            <w:tcBorders>
              <w:top w:val="single" w:sz="8" w:space="0" w:color="C0504D" w:themeColor="accent2"/>
              <w:left w:val="nil"/>
              <w:bottom w:val="nil"/>
              <w:right w:val="nil"/>
            </w:tcBorders>
            <w:hideMark/>
          </w:tcPr>
          <w:p w14:paraId="60744F82"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color w:val="FFFFFF"/>
                <w:sz w:val="20"/>
                <w:szCs w:val="20"/>
              </w:rPr>
            </w:pPr>
            <w:r>
              <w:rPr>
                <w:rFonts w:ascii="Georgia" w:hAnsi="Georgia" w:cs="Arial"/>
                <w:color w:val="FFFFFF"/>
                <w:sz w:val="20"/>
                <w:szCs w:val="20"/>
              </w:rPr>
              <w:t>2012</w:t>
            </w:r>
          </w:p>
        </w:tc>
        <w:tc>
          <w:tcPr>
            <w:tcW w:w="484" w:type="pct"/>
            <w:tcBorders>
              <w:top w:val="single" w:sz="8" w:space="0" w:color="C0504D" w:themeColor="accent2"/>
              <w:left w:val="nil"/>
              <w:bottom w:val="nil"/>
              <w:right w:val="nil"/>
            </w:tcBorders>
            <w:hideMark/>
          </w:tcPr>
          <w:p w14:paraId="691B0E35"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2013</w:t>
            </w:r>
          </w:p>
        </w:tc>
        <w:tc>
          <w:tcPr>
            <w:tcW w:w="553" w:type="pct"/>
            <w:tcBorders>
              <w:top w:val="single" w:sz="8" w:space="0" w:color="C0504D" w:themeColor="accent2"/>
              <w:left w:val="nil"/>
              <w:bottom w:val="nil"/>
              <w:right w:val="single" w:sz="8" w:space="0" w:color="C0504D" w:themeColor="accent2"/>
            </w:tcBorders>
            <w:hideMark/>
          </w:tcPr>
          <w:p w14:paraId="4DFCFB3E"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color w:val="FFFFFF"/>
                <w:sz w:val="20"/>
                <w:szCs w:val="20"/>
              </w:rPr>
            </w:pPr>
            <w:r>
              <w:rPr>
                <w:rFonts w:ascii="Georgia" w:hAnsi="Georgia" w:cs="Arial"/>
                <w:color w:val="FFFFFF"/>
                <w:sz w:val="20"/>
                <w:szCs w:val="20"/>
              </w:rPr>
              <w:t>2008-2013</w:t>
            </w:r>
          </w:p>
        </w:tc>
      </w:tr>
      <w:tr w:rsidR="00583EB1" w14:paraId="7F8B8131" w14:textId="77777777" w:rsidTr="008E6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tcBorders>
              <w:right w:val="nil"/>
            </w:tcBorders>
            <w:hideMark/>
          </w:tcPr>
          <w:p w14:paraId="02765C90" w14:textId="77777777" w:rsidR="00583EB1" w:rsidRDefault="00583EB1" w:rsidP="00583EB1">
            <w:pPr>
              <w:rPr>
                <w:rFonts w:ascii="Georgia" w:hAnsi="Georgia" w:cs="Arial"/>
                <w:bCs w:val="0"/>
                <w:sz w:val="20"/>
                <w:szCs w:val="20"/>
              </w:rPr>
            </w:pPr>
            <w:r>
              <w:rPr>
                <w:rFonts w:ascii="Georgia" w:hAnsi="Georgia" w:cs="Arial"/>
                <w:sz w:val="20"/>
                <w:szCs w:val="20"/>
              </w:rPr>
              <w:t>Projektų skaičius (vnt.)</w:t>
            </w:r>
          </w:p>
        </w:tc>
        <w:tc>
          <w:tcPr>
            <w:tcW w:w="637" w:type="pct"/>
            <w:tcBorders>
              <w:left w:val="nil"/>
              <w:right w:val="nil"/>
            </w:tcBorders>
            <w:hideMark/>
          </w:tcPr>
          <w:p w14:paraId="11C9B7FD"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302</w:t>
            </w:r>
          </w:p>
        </w:tc>
        <w:tc>
          <w:tcPr>
            <w:tcW w:w="593" w:type="pct"/>
            <w:tcBorders>
              <w:left w:val="nil"/>
              <w:right w:val="nil"/>
            </w:tcBorders>
            <w:hideMark/>
          </w:tcPr>
          <w:p w14:paraId="02A416D2"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311</w:t>
            </w:r>
          </w:p>
        </w:tc>
        <w:tc>
          <w:tcPr>
            <w:tcW w:w="592" w:type="pct"/>
            <w:tcBorders>
              <w:left w:val="nil"/>
              <w:right w:val="nil"/>
            </w:tcBorders>
            <w:hideMark/>
          </w:tcPr>
          <w:p w14:paraId="6C0C195A"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386</w:t>
            </w:r>
          </w:p>
        </w:tc>
        <w:tc>
          <w:tcPr>
            <w:tcW w:w="589" w:type="pct"/>
            <w:tcBorders>
              <w:left w:val="nil"/>
              <w:right w:val="nil"/>
            </w:tcBorders>
            <w:hideMark/>
          </w:tcPr>
          <w:p w14:paraId="27359234"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380</w:t>
            </w:r>
          </w:p>
        </w:tc>
        <w:tc>
          <w:tcPr>
            <w:tcW w:w="590" w:type="pct"/>
            <w:tcBorders>
              <w:left w:val="nil"/>
              <w:right w:val="nil"/>
            </w:tcBorders>
            <w:hideMark/>
          </w:tcPr>
          <w:p w14:paraId="4D368CB6"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393</w:t>
            </w:r>
          </w:p>
        </w:tc>
        <w:tc>
          <w:tcPr>
            <w:tcW w:w="484" w:type="pct"/>
            <w:tcBorders>
              <w:left w:val="nil"/>
              <w:right w:val="nil"/>
            </w:tcBorders>
            <w:hideMark/>
          </w:tcPr>
          <w:p w14:paraId="40C10852"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392</w:t>
            </w:r>
          </w:p>
        </w:tc>
        <w:tc>
          <w:tcPr>
            <w:tcW w:w="553" w:type="pct"/>
            <w:tcBorders>
              <w:left w:val="nil"/>
            </w:tcBorders>
            <w:hideMark/>
          </w:tcPr>
          <w:p w14:paraId="48690256"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2 164</w:t>
            </w:r>
          </w:p>
        </w:tc>
      </w:tr>
      <w:tr w:rsidR="00583EB1" w14:paraId="128B7309" w14:textId="77777777" w:rsidTr="008E66E4">
        <w:tc>
          <w:tcPr>
            <w:cnfStyle w:val="001000000000" w:firstRow="0" w:lastRow="0" w:firstColumn="1" w:lastColumn="0" w:oddVBand="0" w:evenVBand="0" w:oddHBand="0" w:evenHBand="0" w:firstRowFirstColumn="0" w:firstRowLastColumn="0" w:lastRowFirstColumn="0" w:lastRowLastColumn="0"/>
            <w:tcW w:w="961" w:type="pct"/>
            <w:tcBorders>
              <w:top w:val="nil"/>
              <w:left w:val="single" w:sz="8" w:space="0" w:color="C0504D" w:themeColor="accent2"/>
              <w:bottom w:val="nil"/>
              <w:right w:val="nil"/>
            </w:tcBorders>
            <w:hideMark/>
          </w:tcPr>
          <w:p w14:paraId="25E840D8" w14:textId="77777777" w:rsidR="00583EB1" w:rsidRPr="00BD709D" w:rsidRDefault="00583EB1" w:rsidP="00583EB1">
            <w:pPr>
              <w:rPr>
                <w:rFonts w:ascii="Georgia" w:hAnsi="Georgia" w:cs="Arial"/>
                <w:sz w:val="20"/>
                <w:szCs w:val="20"/>
              </w:rPr>
            </w:pPr>
            <w:r w:rsidRPr="00BD709D">
              <w:rPr>
                <w:rFonts w:ascii="Georgia" w:hAnsi="Georgia" w:cs="Arial"/>
                <w:sz w:val="20"/>
                <w:szCs w:val="20"/>
              </w:rPr>
              <w:t>Prisiimti įsipareigojimai (mln. €)</w:t>
            </w:r>
            <w:r w:rsidRPr="007B16A2">
              <w:rPr>
                <w:rStyle w:val="Puslapioinaosnuoroda"/>
                <w:rFonts w:ascii="Georgia" w:hAnsi="Georgia" w:cs="Arial"/>
                <w:b w:val="0"/>
                <w:bCs w:val="0"/>
                <w:sz w:val="20"/>
                <w:szCs w:val="20"/>
              </w:rPr>
              <w:footnoteReference w:id="27"/>
            </w:r>
          </w:p>
        </w:tc>
        <w:tc>
          <w:tcPr>
            <w:tcW w:w="637" w:type="pct"/>
            <w:tcBorders>
              <w:top w:val="nil"/>
              <w:left w:val="nil"/>
              <w:bottom w:val="nil"/>
              <w:right w:val="nil"/>
            </w:tcBorders>
            <w:hideMark/>
          </w:tcPr>
          <w:p w14:paraId="5A0C64AD"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5 087</w:t>
            </w:r>
          </w:p>
        </w:tc>
        <w:tc>
          <w:tcPr>
            <w:tcW w:w="593" w:type="pct"/>
            <w:tcBorders>
              <w:top w:val="nil"/>
              <w:left w:val="nil"/>
              <w:bottom w:val="nil"/>
              <w:right w:val="nil"/>
            </w:tcBorders>
            <w:hideMark/>
          </w:tcPr>
          <w:p w14:paraId="287F2242"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7 861</w:t>
            </w:r>
          </w:p>
        </w:tc>
        <w:tc>
          <w:tcPr>
            <w:tcW w:w="592" w:type="pct"/>
            <w:tcBorders>
              <w:top w:val="nil"/>
              <w:left w:val="nil"/>
              <w:bottom w:val="nil"/>
              <w:right w:val="nil"/>
            </w:tcBorders>
            <w:hideMark/>
          </w:tcPr>
          <w:p w14:paraId="3051F68C"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9 009</w:t>
            </w:r>
          </w:p>
        </w:tc>
        <w:tc>
          <w:tcPr>
            <w:tcW w:w="589" w:type="pct"/>
            <w:tcBorders>
              <w:top w:val="nil"/>
              <w:left w:val="nil"/>
              <w:bottom w:val="nil"/>
              <w:right w:val="nil"/>
            </w:tcBorders>
            <w:hideMark/>
          </w:tcPr>
          <w:p w14:paraId="536C3804"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9 051</w:t>
            </w:r>
          </w:p>
        </w:tc>
        <w:tc>
          <w:tcPr>
            <w:tcW w:w="590" w:type="pct"/>
            <w:tcBorders>
              <w:top w:val="nil"/>
              <w:left w:val="nil"/>
              <w:bottom w:val="nil"/>
              <w:right w:val="nil"/>
            </w:tcBorders>
            <w:hideMark/>
          </w:tcPr>
          <w:p w14:paraId="79ADE584"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8 920</w:t>
            </w:r>
          </w:p>
        </w:tc>
        <w:tc>
          <w:tcPr>
            <w:tcW w:w="484" w:type="pct"/>
            <w:tcBorders>
              <w:top w:val="nil"/>
              <w:left w:val="nil"/>
              <w:bottom w:val="nil"/>
              <w:right w:val="nil"/>
            </w:tcBorders>
            <w:hideMark/>
          </w:tcPr>
          <w:p w14:paraId="1F4AE0A8"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8 498</w:t>
            </w:r>
          </w:p>
        </w:tc>
        <w:tc>
          <w:tcPr>
            <w:tcW w:w="553" w:type="pct"/>
            <w:tcBorders>
              <w:top w:val="nil"/>
              <w:left w:val="nil"/>
              <w:bottom w:val="nil"/>
              <w:right w:val="single" w:sz="8" w:space="0" w:color="C0504D" w:themeColor="accent2"/>
            </w:tcBorders>
            <w:hideMark/>
          </w:tcPr>
          <w:p w14:paraId="16994F7F"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w:t>
            </w:r>
          </w:p>
        </w:tc>
      </w:tr>
      <w:tr w:rsidR="00583EB1" w14:paraId="02495E21" w14:textId="77777777" w:rsidTr="008E6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tcBorders>
              <w:right w:val="nil"/>
            </w:tcBorders>
            <w:hideMark/>
          </w:tcPr>
          <w:p w14:paraId="0AC8E715" w14:textId="77777777" w:rsidR="00583EB1" w:rsidRPr="00BD709D" w:rsidRDefault="00583EB1" w:rsidP="00583EB1">
            <w:pPr>
              <w:rPr>
                <w:rFonts w:ascii="Georgia" w:hAnsi="Georgia" w:cs="Arial"/>
                <w:sz w:val="20"/>
                <w:szCs w:val="20"/>
              </w:rPr>
            </w:pPr>
            <w:r w:rsidRPr="00BD709D">
              <w:rPr>
                <w:rFonts w:ascii="Georgia" w:hAnsi="Georgia" w:cs="Arial"/>
                <w:sz w:val="20"/>
                <w:szCs w:val="20"/>
              </w:rPr>
              <w:t>Išmokėta lėšų</w:t>
            </w:r>
            <w:r w:rsidRPr="007B16A2">
              <w:rPr>
                <w:rStyle w:val="Puslapioinaosnuoroda"/>
                <w:rFonts w:ascii="Georgia" w:hAnsi="Georgia" w:cs="Arial"/>
                <w:b w:val="0"/>
                <w:bCs w:val="0"/>
                <w:sz w:val="20"/>
                <w:szCs w:val="20"/>
              </w:rPr>
              <w:footnoteReference w:id="28"/>
            </w:r>
            <w:r w:rsidRPr="00BD709D">
              <w:rPr>
                <w:rFonts w:ascii="Georgia" w:hAnsi="Georgia" w:cs="Arial"/>
                <w:sz w:val="20"/>
                <w:szCs w:val="20"/>
              </w:rPr>
              <w:t xml:space="preserve"> (mln. €)</w:t>
            </w:r>
          </w:p>
        </w:tc>
        <w:tc>
          <w:tcPr>
            <w:tcW w:w="637" w:type="pct"/>
            <w:tcBorders>
              <w:left w:val="nil"/>
              <w:right w:val="nil"/>
            </w:tcBorders>
            <w:hideMark/>
          </w:tcPr>
          <w:p w14:paraId="5855B6B1"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5 000</w:t>
            </w:r>
          </w:p>
        </w:tc>
        <w:tc>
          <w:tcPr>
            <w:tcW w:w="593" w:type="pct"/>
            <w:tcBorders>
              <w:left w:val="nil"/>
              <w:right w:val="nil"/>
            </w:tcBorders>
            <w:hideMark/>
          </w:tcPr>
          <w:p w14:paraId="6B4E88A1"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5 500</w:t>
            </w:r>
          </w:p>
        </w:tc>
        <w:tc>
          <w:tcPr>
            <w:tcW w:w="592" w:type="pct"/>
            <w:tcBorders>
              <w:left w:val="nil"/>
              <w:right w:val="nil"/>
            </w:tcBorders>
            <w:hideMark/>
          </w:tcPr>
          <w:p w14:paraId="3EDC6AA5"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6.000</w:t>
            </w:r>
          </w:p>
        </w:tc>
        <w:tc>
          <w:tcPr>
            <w:tcW w:w="589" w:type="pct"/>
            <w:tcBorders>
              <w:left w:val="nil"/>
              <w:right w:val="nil"/>
            </w:tcBorders>
            <w:hideMark/>
          </w:tcPr>
          <w:p w14:paraId="28F413FC"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6 700</w:t>
            </w:r>
          </w:p>
        </w:tc>
        <w:tc>
          <w:tcPr>
            <w:tcW w:w="590" w:type="pct"/>
            <w:tcBorders>
              <w:left w:val="nil"/>
              <w:right w:val="nil"/>
            </w:tcBorders>
            <w:hideMark/>
          </w:tcPr>
          <w:p w14:paraId="36AF6E6F"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6 000</w:t>
            </w:r>
          </w:p>
        </w:tc>
        <w:tc>
          <w:tcPr>
            <w:tcW w:w="484" w:type="pct"/>
            <w:tcBorders>
              <w:left w:val="nil"/>
              <w:right w:val="nil"/>
            </w:tcBorders>
            <w:hideMark/>
          </w:tcPr>
          <w:p w14:paraId="032C6188"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5 900</w:t>
            </w:r>
          </w:p>
        </w:tc>
        <w:tc>
          <w:tcPr>
            <w:tcW w:w="553" w:type="pct"/>
            <w:tcBorders>
              <w:left w:val="nil"/>
            </w:tcBorders>
            <w:hideMark/>
          </w:tcPr>
          <w:p w14:paraId="58A663A4"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35 100</w:t>
            </w:r>
          </w:p>
        </w:tc>
      </w:tr>
      <w:tr w:rsidR="00583EB1" w14:paraId="6097D06A" w14:textId="77777777" w:rsidTr="008E66E4">
        <w:tc>
          <w:tcPr>
            <w:cnfStyle w:val="001000000000" w:firstRow="0" w:lastRow="0" w:firstColumn="1" w:lastColumn="0" w:oddVBand="0" w:evenVBand="0" w:oddHBand="0" w:evenHBand="0" w:firstRowFirstColumn="0" w:firstRowLastColumn="0" w:lastRowFirstColumn="0" w:lastRowLastColumn="0"/>
            <w:tcW w:w="961" w:type="pct"/>
            <w:tcBorders>
              <w:top w:val="nil"/>
              <w:left w:val="single" w:sz="8" w:space="0" w:color="C0504D" w:themeColor="accent2"/>
              <w:bottom w:val="nil"/>
              <w:right w:val="nil"/>
            </w:tcBorders>
            <w:hideMark/>
          </w:tcPr>
          <w:p w14:paraId="53ACD069" w14:textId="77777777" w:rsidR="00583EB1" w:rsidRPr="00BD709D" w:rsidRDefault="00583EB1" w:rsidP="00583EB1">
            <w:pPr>
              <w:rPr>
                <w:rFonts w:ascii="Georgia" w:hAnsi="Georgia" w:cs="Arial"/>
                <w:sz w:val="20"/>
                <w:szCs w:val="20"/>
              </w:rPr>
            </w:pPr>
            <w:r w:rsidRPr="00BD709D">
              <w:rPr>
                <w:rFonts w:ascii="Georgia" w:hAnsi="Georgia" w:cs="Arial"/>
                <w:sz w:val="20"/>
                <w:szCs w:val="20"/>
              </w:rPr>
              <w:t>Pritrauktas finansavimas (mln. €)</w:t>
            </w:r>
          </w:p>
        </w:tc>
        <w:tc>
          <w:tcPr>
            <w:tcW w:w="637" w:type="pct"/>
            <w:tcBorders>
              <w:top w:val="nil"/>
              <w:left w:val="nil"/>
              <w:bottom w:val="nil"/>
              <w:right w:val="nil"/>
            </w:tcBorders>
            <w:hideMark/>
          </w:tcPr>
          <w:p w14:paraId="27C41D5F"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8 372</w:t>
            </w:r>
          </w:p>
        </w:tc>
        <w:tc>
          <w:tcPr>
            <w:tcW w:w="593" w:type="pct"/>
            <w:tcBorders>
              <w:top w:val="nil"/>
              <w:left w:val="nil"/>
              <w:bottom w:val="nil"/>
              <w:right w:val="nil"/>
            </w:tcBorders>
            <w:hideMark/>
          </w:tcPr>
          <w:p w14:paraId="29A78C19"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10 353</w:t>
            </w:r>
          </w:p>
        </w:tc>
        <w:tc>
          <w:tcPr>
            <w:tcW w:w="592" w:type="pct"/>
            <w:tcBorders>
              <w:top w:val="nil"/>
              <w:left w:val="nil"/>
              <w:bottom w:val="nil"/>
              <w:right w:val="nil"/>
            </w:tcBorders>
            <w:hideMark/>
          </w:tcPr>
          <w:p w14:paraId="1BB6529B"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13 174</w:t>
            </w:r>
          </w:p>
        </w:tc>
        <w:tc>
          <w:tcPr>
            <w:tcW w:w="589" w:type="pct"/>
            <w:tcBorders>
              <w:top w:val="nil"/>
              <w:left w:val="nil"/>
              <w:bottom w:val="nil"/>
              <w:right w:val="nil"/>
            </w:tcBorders>
            <w:hideMark/>
          </w:tcPr>
          <w:p w14:paraId="3C8BCEA3"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20 802</w:t>
            </w:r>
          </w:p>
        </w:tc>
        <w:tc>
          <w:tcPr>
            <w:tcW w:w="590" w:type="pct"/>
            <w:tcBorders>
              <w:top w:val="nil"/>
              <w:left w:val="nil"/>
              <w:bottom w:val="nil"/>
              <w:right w:val="nil"/>
            </w:tcBorders>
            <w:hideMark/>
          </w:tcPr>
          <w:p w14:paraId="5A83243F"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17 372</w:t>
            </w:r>
          </w:p>
        </w:tc>
        <w:tc>
          <w:tcPr>
            <w:tcW w:w="484" w:type="pct"/>
            <w:tcBorders>
              <w:top w:val="nil"/>
              <w:left w:val="nil"/>
              <w:bottom w:val="nil"/>
              <w:right w:val="nil"/>
            </w:tcBorders>
            <w:hideMark/>
          </w:tcPr>
          <w:p w14:paraId="74126757"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13 488</w:t>
            </w:r>
          </w:p>
        </w:tc>
        <w:tc>
          <w:tcPr>
            <w:tcW w:w="553" w:type="pct"/>
            <w:tcBorders>
              <w:top w:val="nil"/>
              <w:left w:val="nil"/>
              <w:bottom w:val="nil"/>
              <w:right w:val="single" w:sz="8" w:space="0" w:color="C0504D" w:themeColor="accent2"/>
            </w:tcBorders>
            <w:hideMark/>
          </w:tcPr>
          <w:p w14:paraId="01136860"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83 561</w:t>
            </w:r>
          </w:p>
        </w:tc>
      </w:tr>
      <w:tr w:rsidR="00583EB1" w14:paraId="3B96CE2B" w14:textId="77777777" w:rsidTr="008E6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tcBorders>
              <w:right w:val="nil"/>
            </w:tcBorders>
            <w:hideMark/>
          </w:tcPr>
          <w:p w14:paraId="3B234C6C" w14:textId="77777777" w:rsidR="00583EB1" w:rsidRPr="00BD709D" w:rsidRDefault="00583EB1" w:rsidP="00583EB1">
            <w:pPr>
              <w:rPr>
                <w:rFonts w:ascii="Georgia" w:hAnsi="Georgia" w:cs="Arial"/>
                <w:sz w:val="20"/>
                <w:szCs w:val="20"/>
              </w:rPr>
            </w:pPr>
            <w:r w:rsidRPr="00BD709D">
              <w:rPr>
                <w:rFonts w:ascii="Georgia" w:hAnsi="Georgia" w:cs="Arial"/>
                <w:sz w:val="20"/>
                <w:szCs w:val="20"/>
              </w:rPr>
              <w:t xml:space="preserve">Bendra (ERPB + kitos lėšos) </w:t>
            </w:r>
          </w:p>
        </w:tc>
        <w:tc>
          <w:tcPr>
            <w:tcW w:w="637" w:type="pct"/>
            <w:tcBorders>
              <w:left w:val="nil"/>
              <w:right w:val="nil"/>
            </w:tcBorders>
            <w:hideMark/>
          </w:tcPr>
          <w:p w14:paraId="5437AF56"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12 889</w:t>
            </w:r>
          </w:p>
        </w:tc>
        <w:tc>
          <w:tcPr>
            <w:tcW w:w="593" w:type="pct"/>
            <w:tcBorders>
              <w:left w:val="nil"/>
              <w:right w:val="nil"/>
            </w:tcBorders>
            <w:hideMark/>
          </w:tcPr>
          <w:p w14:paraId="774E69DA"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18 087</w:t>
            </w:r>
          </w:p>
        </w:tc>
        <w:tc>
          <w:tcPr>
            <w:tcW w:w="592" w:type="pct"/>
            <w:tcBorders>
              <w:left w:val="nil"/>
              <w:right w:val="nil"/>
            </w:tcBorders>
            <w:hideMark/>
          </w:tcPr>
          <w:p w14:paraId="163FDAD1"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22 039</w:t>
            </w:r>
          </w:p>
        </w:tc>
        <w:tc>
          <w:tcPr>
            <w:tcW w:w="589" w:type="pct"/>
            <w:tcBorders>
              <w:left w:val="nil"/>
              <w:right w:val="nil"/>
            </w:tcBorders>
            <w:hideMark/>
          </w:tcPr>
          <w:p w14:paraId="2ABA38E7"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29 479</w:t>
            </w:r>
          </w:p>
        </w:tc>
        <w:tc>
          <w:tcPr>
            <w:tcW w:w="590" w:type="pct"/>
            <w:tcBorders>
              <w:left w:val="nil"/>
              <w:right w:val="nil"/>
            </w:tcBorders>
            <w:hideMark/>
          </w:tcPr>
          <w:p w14:paraId="4525B981"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24 871</w:t>
            </w:r>
          </w:p>
        </w:tc>
        <w:tc>
          <w:tcPr>
            <w:tcW w:w="484" w:type="pct"/>
            <w:tcBorders>
              <w:left w:val="nil"/>
              <w:right w:val="nil"/>
            </w:tcBorders>
            <w:hideMark/>
          </w:tcPr>
          <w:p w14:paraId="534A5D8F"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20 527</w:t>
            </w:r>
          </w:p>
        </w:tc>
        <w:tc>
          <w:tcPr>
            <w:tcW w:w="553" w:type="pct"/>
            <w:tcBorders>
              <w:left w:val="nil"/>
            </w:tcBorders>
            <w:hideMark/>
          </w:tcPr>
          <w:p w14:paraId="66F40CAA"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0"/>
                <w:szCs w:val="20"/>
              </w:rPr>
            </w:pPr>
            <w:r>
              <w:rPr>
                <w:rFonts w:ascii="Georgia" w:hAnsi="Georgia" w:cs="Arial"/>
                <w:color w:val="000000"/>
                <w:sz w:val="20"/>
                <w:szCs w:val="20"/>
              </w:rPr>
              <w:t>103 021</w:t>
            </w:r>
          </w:p>
        </w:tc>
      </w:tr>
    </w:tbl>
    <w:p w14:paraId="23701D7E" w14:textId="77777777" w:rsidR="00583EB1" w:rsidRDefault="00583EB1" w:rsidP="00583EB1">
      <w:pPr>
        <w:spacing w:after="0" w:line="240" w:lineRule="auto"/>
        <w:rPr>
          <w:rFonts w:ascii="Georgia" w:hAnsi="Georgia" w:cs="Arial"/>
          <w:i/>
          <w:sz w:val="20"/>
          <w:szCs w:val="20"/>
          <w:lang w:val="lt-LT"/>
        </w:rPr>
      </w:pPr>
      <w:r>
        <w:rPr>
          <w:rFonts w:ascii="Georgia" w:hAnsi="Georgia" w:cs="Arial"/>
          <w:i/>
          <w:sz w:val="20"/>
          <w:szCs w:val="20"/>
          <w:lang w:val="lt-LT"/>
        </w:rPr>
        <w:t>Šaltinis:2008-2013 metų ERBP finansinių ataskaitų duomenys</w:t>
      </w:r>
      <w:r>
        <w:rPr>
          <w:rStyle w:val="Puslapioinaosnuoroda"/>
          <w:rFonts w:ascii="Georgia" w:hAnsi="Georgia" w:cs="Arial"/>
          <w:i/>
          <w:sz w:val="20"/>
          <w:szCs w:val="20"/>
          <w:lang w:val="lt-LT"/>
        </w:rPr>
        <w:footnoteReference w:id="29"/>
      </w:r>
      <w:r>
        <w:rPr>
          <w:rFonts w:ascii="Georgia" w:hAnsi="Georgia" w:cs="Arial"/>
          <w:i/>
          <w:sz w:val="20"/>
          <w:szCs w:val="20"/>
          <w:lang w:val="lt-LT"/>
        </w:rPr>
        <w:t>.</w:t>
      </w:r>
    </w:p>
    <w:p w14:paraId="1F282465" w14:textId="77777777" w:rsidR="00583EB1" w:rsidRDefault="00583EB1" w:rsidP="00583EB1">
      <w:pPr>
        <w:spacing w:after="120"/>
        <w:rPr>
          <w:rFonts w:ascii="Georgia" w:hAnsi="Georgia" w:cs="Arial"/>
          <w:sz w:val="20"/>
          <w:szCs w:val="20"/>
          <w:lang w:val="lt-LT"/>
        </w:rPr>
      </w:pPr>
    </w:p>
    <w:p w14:paraId="62090451" w14:textId="77777777" w:rsidR="00583EB1" w:rsidRDefault="00583EB1" w:rsidP="00583EB1">
      <w:pPr>
        <w:keepNext/>
        <w:spacing w:after="120"/>
        <w:rPr>
          <w:rFonts w:ascii="Georgia" w:hAnsi="Georgia" w:cs="Arial"/>
          <w:sz w:val="20"/>
          <w:szCs w:val="20"/>
          <w:lang w:val="lt-LT"/>
        </w:rPr>
      </w:pPr>
      <w:r>
        <w:rPr>
          <w:rFonts w:ascii="Georgia" w:hAnsi="Georgia" w:cs="Arial"/>
          <w:sz w:val="20"/>
          <w:szCs w:val="20"/>
          <w:lang w:val="lt-LT"/>
        </w:rPr>
        <w:lastRenderedPageBreak/>
        <w:t>ERPB 2013 m. finansuotų projektų pasiskirstymas pagal sektorius pateikiamas paveiksle žemiau.</w:t>
      </w:r>
    </w:p>
    <w:p w14:paraId="0EF77829" w14:textId="77777777" w:rsidR="00583EB1" w:rsidRDefault="00583EB1" w:rsidP="008E66E4">
      <w:pPr>
        <w:keepNext/>
        <w:spacing w:after="0" w:line="240" w:lineRule="auto"/>
        <w:jc w:val="center"/>
        <w:rPr>
          <w:rFonts w:ascii="Georgia" w:hAnsi="Georgia"/>
          <w:sz w:val="20"/>
          <w:szCs w:val="20"/>
          <w:lang w:val="lt-LT"/>
        </w:rPr>
      </w:pPr>
      <w:r w:rsidRPr="00390E64">
        <w:rPr>
          <w:rFonts w:ascii="Georgia" w:hAnsi="Georgia"/>
          <w:noProof/>
          <w:sz w:val="20"/>
          <w:szCs w:val="20"/>
          <w:lang w:val="lt-LT" w:eastAsia="lt-LT"/>
        </w:rPr>
        <w:drawing>
          <wp:inline distT="0" distB="0" distL="0" distR="0" wp14:anchorId="154B221A" wp14:editId="7E68086C">
            <wp:extent cx="3622040" cy="2172970"/>
            <wp:effectExtent l="0" t="0" r="0" b="0"/>
            <wp:docPr id="4107" name="Paveikslėlis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622040" cy="2172970"/>
                    </a:xfrm>
                    <a:prstGeom prst="rect">
                      <a:avLst/>
                    </a:prstGeom>
                    <a:noFill/>
                    <a:ln>
                      <a:noFill/>
                    </a:ln>
                  </pic:spPr>
                </pic:pic>
              </a:graphicData>
            </a:graphic>
          </wp:inline>
        </w:drawing>
      </w:r>
    </w:p>
    <w:p w14:paraId="46C9837A" w14:textId="34F8D464" w:rsidR="00583EB1" w:rsidRPr="00F214B9" w:rsidRDefault="00583EB1" w:rsidP="00583EB1">
      <w:pPr>
        <w:pStyle w:val="Antrat"/>
        <w:spacing w:line="276" w:lineRule="auto"/>
        <w:rPr>
          <w:rFonts w:cs="Arial"/>
          <w:i/>
          <w:szCs w:val="20"/>
          <w:lang w:val="lt-LT"/>
        </w:rPr>
      </w:pPr>
      <w:bookmarkStart w:id="84" w:name="_Toc417378287"/>
      <w:r w:rsidRPr="00BD709D">
        <w:rPr>
          <w:lang w:val="lt-LT"/>
        </w:rPr>
        <w:t xml:space="preserve">Paveikslas </w:t>
      </w:r>
      <w:r w:rsidRPr="00BD709D">
        <w:rPr>
          <w:lang w:val="lt-LT"/>
        </w:rPr>
        <w:fldChar w:fldCharType="begin"/>
      </w:r>
      <w:r w:rsidRPr="00BD709D">
        <w:rPr>
          <w:lang w:val="lt-LT"/>
        </w:rPr>
        <w:instrText xml:space="preserve"> SEQ Paveikslas \* ARABIC </w:instrText>
      </w:r>
      <w:r w:rsidRPr="00BD709D">
        <w:rPr>
          <w:lang w:val="lt-LT"/>
        </w:rPr>
        <w:fldChar w:fldCharType="separate"/>
      </w:r>
      <w:r w:rsidR="00AA3082">
        <w:rPr>
          <w:noProof/>
          <w:lang w:val="lt-LT"/>
        </w:rPr>
        <w:t>10</w:t>
      </w:r>
      <w:r w:rsidRPr="00BD709D">
        <w:rPr>
          <w:lang w:val="lt-LT"/>
        </w:rPr>
        <w:fldChar w:fldCharType="end"/>
      </w:r>
      <w:r w:rsidRPr="00BD709D">
        <w:rPr>
          <w:lang w:val="lt-LT"/>
        </w:rPr>
        <w:t>. ERPB 2013 m. finansuotų projektų</w:t>
      </w:r>
      <w:r>
        <w:rPr>
          <w:lang w:val="lt-LT"/>
        </w:rPr>
        <w:t xml:space="preserve"> pasiskirstymas pagal sektorius</w:t>
      </w:r>
      <w:r>
        <w:rPr>
          <w:rStyle w:val="Puslapioinaosnuoroda"/>
          <w:lang w:val="lt-LT"/>
        </w:rPr>
        <w:footnoteReference w:id="30"/>
      </w:r>
      <w:bookmarkEnd w:id="84"/>
      <w:r w:rsidRPr="00E7742A">
        <w:rPr>
          <w:rFonts w:cs="Arial"/>
          <w:b w:val="0"/>
          <w:color w:val="auto"/>
          <w:szCs w:val="20"/>
          <w:lang w:val="lt-LT"/>
        </w:rPr>
        <w:t xml:space="preserve">  </w:t>
      </w:r>
    </w:p>
    <w:p w14:paraId="3BC5BD35"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ERPB skirstyme bendrasis sektorius apima žemės ūkį, pramonę, paslaugas, nuosavybę, turizmą ir telekomunikacijas; energetikos sektorius – gamtos išteklių ir elektros energijos gamybos sričių projektus; finansų institucijų sektorius – investicijas į labai mažas, mažas ir vidutines įmones; infrastruktūros sektorius – vietinę aplinkosaugos infrastruktūrą, transportą.</w:t>
      </w:r>
    </w:p>
    <w:p w14:paraId="2BF86496" w14:textId="77777777" w:rsidR="00583EB1" w:rsidRPr="004110D8" w:rsidRDefault="00583EB1" w:rsidP="00583EB1">
      <w:pPr>
        <w:pStyle w:val="Pagrindinistekstas"/>
        <w:spacing w:line="276" w:lineRule="auto"/>
        <w:rPr>
          <w:i/>
          <w:lang w:val="lt-LT"/>
        </w:rPr>
      </w:pPr>
      <w:r w:rsidRPr="004110D8">
        <w:rPr>
          <w:i/>
          <w:lang w:val="lt-LT"/>
        </w:rPr>
        <w:t>Energetinio efektyvumo projektų finansavimas</w:t>
      </w:r>
    </w:p>
    <w:p w14:paraId="73378929"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 xml:space="preserve">ERPB energetinio efektyvumo projektus įgyvendina per Tvarios energetikos iniciatyvą (SEI). 2013 m. iniciatyvos biudžetas siekė 28 proc. metinės banko apyvartos arba 2,4 mlrd. eurų, o bendra energetinio efektyvumo projektų vertė – 13,5 mlrd. eurų. 2013 m. buvo finansuoti 154 tvarios energetikos projektai. Šiuo metu įgyvendinamas trečiasis SEI etapas – 2012-2014 m. Planuojama, kad šiuo laikotarpiu iniciatyvos įgyvendinimui bankas skirs 4,5-6,5 mlrd. eurų. </w:t>
      </w:r>
    </w:p>
    <w:p w14:paraId="3495CC5A"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 xml:space="preserve">Lyginant su ankstesniais metais pastebimas SEI biudžeto dalies didėjimas bendroje ERPB apyvartoje (nuo 26 proc. 2012 m. </w:t>
      </w:r>
      <w:r>
        <w:rPr>
          <w:rFonts w:ascii="Georgia" w:hAnsi="Georgia" w:cs="FranklinGothicDemiITC"/>
          <w:sz w:val="20"/>
          <w:szCs w:val="20"/>
          <w:lang w:val="lt-LT"/>
        </w:rPr>
        <w:t>(2,3 mlrd. eurų)</w:t>
      </w:r>
      <w:r>
        <w:rPr>
          <w:rFonts w:ascii="Georgia" w:hAnsi="Georgia" w:cs="Arial"/>
          <w:sz w:val="20"/>
          <w:szCs w:val="20"/>
          <w:lang w:val="lt-LT"/>
        </w:rPr>
        <w:t xml:space="preserve"> iki 28 proc. 2013 m.</w:t>
      </w:r>
      <w:r>
        <w:rPr>
          <w:rFonts w:ascii="Georgia" w:hAnsi="Georgia" w:cs="FranklinGothicDemiITC"/>
          <w:sz w:val="20"/>
          <w:szCs w:val="20"/>
          <w:lang w:val="lt-LT"/>
        </w:rPr>
        <w:t xml:space="preserve"> (2,4 mlrd. eurų)</w:t>
      </w:r>
      <w:r>
        <w:rPr>
          <w:rFonts w:ascii="Georgia" w:hAnsi="Georgia" w:cs="Arial"/>
          <w:sz w:val="20"/>
          <w:szCs w:val="20"/>
          <w:lang w:val="lt-LT"/>
        </w:rPr>
        <w:t>). Tiesa, absoliučiais skaičiais lėšų suma išliko beveik tokia pati. Bankas numato, jog ateityje energetinio efektyvumo svarba tarp banko prioritetų nemažės.</w:t>
      </w:r>
    </w:p>
    <w:p w14:paraId="71CD663E"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SEI projektai apima komercinį finansavimą, techninę pagalbą analizuojant rinkos kliūtis, energetinį auditą, mokymus, informacijos sklaidą ir subsidijų bendrąjį finansavimą. Taip pat apima politinį dialogą plėtojant institucinę ir teisinę sistemą, kuri skatintų tvarios energetikos projektų plėtrą.</w:t>
      </w:r>
    </w:p>
    <w:p w14:paraId="6FD858A6"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 xml:space="preserve">Šių instrumentų pagalba ERPB skatina tvarią energetiką visuose sektoriuose ir valstybėse, kur bankas investuoja. </w:t>
      </w:r>
    </w:p>
    <w:p w14:paraId="59CDC985"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2013 m. ERPB praplėtė SEI, patvirtindama Tvarių išteklių iniciatyvą (SRI), kuri skirta skatinti tvarų išteklių ir vandens naudojimą, siekiant SEI energijos efektyvumo, atsinaujinančių energijos išteklių ir prisitaikymo prie klimato kaitos tikslų. 2013 m. ERPB finansavo 32 projektus, kurie prisidėjo prie tvaraus išteklių ir vandens naudojimo 16-oje valstybių.</w:t>
      </w:r>
    </w:p>
    <w:p w14:paraId="46B8DED7" w14:textId="77777777" w:rsidR="00583EB1" w:rsidRDefault="00583EB1" w:rsidP="00583EB1">
      <w:pPr>
        <w:autoSpaceDE w:val="0"/>
        <w:autoSpaceDN w:val="0"/>
        <w:adjustRightInd w:val="0"/>
        <w:spacing w:after="120"/>
        <w:jc w:val="both"/>
        <w:rPr>
          <w:rFonts w:ascii="Georgia" w:eastAsia="FranklinGothicBookCondITC-Reg" w:hAnsi="Georgia" w:cs="Arial"/>
          <w:color w:val="000000"/>
          <w:sz w:val="20"/>
          <w:szCs w:val="20"/>
          <w:lang w:val="lt-LT"/>
        </w:rPr>
      </w:pPr>
      <w:r>
        <w:rPr>
          <w:rFonts w:ascii="Georgia" w:eastAsia="FranklinGothicBookCondITC-Reg" w:hAnsi="Georgia" w:cs="Arial"/>
          <w:color w:val="000000"/>
          <w:sz w:val="20"/>
          <w:szCs w:val="20"/>
          <w:lang w:val="lt-LT"/>
        </w:rPr>
        <w:t>2013 pabaigoje ERPB patvirtino naują energetikos sektoriaus strategiją</w:t>
      </w:r>
      <w:r>
        <w:rPr>
          <w:rFonts w:ascii="Georgia" w:eastAsia="FranklinGothicBookCondITC-Reg" w:hAnsi="Georgia" w:cs="Arial"/>
          <w:color w:val="000000"/>
          <w:sz w:val="20"/>
          <w:szCs w:val="20"/>
          <w:vertAlign w:val="superscript"/>
          <w:lang w:val="lt-LT"/>
        </w:rPr>
        <w:footnoteReference w:id="31"/>
      </w:r>
      <w:r>
        <w:rPr>
          <w:rFonts w:ascii="Georgia" w:eastAsia="FranklinGothicBookCondITC-Reg" w:hAnsi="Georgia" w:cs="Arial"/>
          <w:color w:val="000000"/>
          <w:sz w:val="20"/>
          <w:szCs w:val="20"/>
          <w:lang w:val="lt-LT"/>
        </w:rPr>
        <w:t xml:space="preserve">. Šiame dokumente ERPB įtvirtina savo įsipareigojimus padėti šalims naudos gavėjoms kurti tvarios energetikos ateitį. Svarbiausias strategijos prioritetas yra energijos vartojimo efektyvumas, pripažįstant, jog tai yra tinkamiausias kelias siekiant tvarios, saugios ir prieinamos energijos. Strategija pabrėžia energetikos sektoriaus ekonominę svarbą, viešojo ir privataus sektorių sąveiką bei poveikį aplinkai ir energetikos sektorių įvardina kaip vieną iš pagrindinių priemonių, siekiant ERPB tikslų. Strategijoje taip pat </w:t>
      </w:r>
      <w:r>
        <w:rPr>
          <w:rFonts w:ascii="Georgia" w:eastAsia="FranklinGothicBookCondITC-Reg" w:hAnsi="Georgia" w:cs="Arial"/>
          <w:color w:val="000000"/>
          <w:sz w:val="20"/>
          <w:szCs w:val="20"/>
          <w:lang w:val="lt-LT"/>
        </w:rPr>
        <w:lastRenderedPageBreak/>
        <w:t>akcentuojama parama atsinaujinantiems energijos ištekliams, kuri apima tiek energijos generavimo pajėgumų, tiek pagrindinės infrastruktūros, tokios kaip perdavimo linijų ir t. t., finansavimą.</w:t>
      </w:r>
    </w:p>
    <w:p w14:paraId="3D49AAAF" w14:textId="77777777" w:rsidR="00583EB1" w:rsidRDefault="00583EB1" w:rsidP="00583EB1">
      <w:pPr>
        <w:autoSpaceDE w:val="0"/>
        <w:autoSpaceDN w:val="0"/>
        <w:adjustRightInd w:val="0"/>
        <w:spacing w:after="120"/>
        <w:jc w:val="both"/>
        <w:rPr>
          <w:rFonts w:ascii="Georgia" w:eastAsia="FranklinGothicBookCondITC-Reg" w:hAnsi="Georgia" w:cs="Arial"/>
          <w:color w:val="000000"/>
          <w:sz w:val="20"/>
          <w:szCs w:val="20"/>
          <w:lang w:val="lt-LT"/>
        </w:rPr>
      </w:pPr>
      <w:r>
        <w:rPr>
          <w:rFonts w:ascii="Georgia" w:eastAsia="FranklinGothicBookCondITC-Reg" w:hAnsi="Georgia" w:cs="Arial"/>
          <w:color w:val="000000"/>
          <w:sz w:val="20"/>
          <w:szCs w:val="20"/>
          <w:lang w:val="lt-LT"/>
        </w:rPr>
        <w:t xml:space="preserve">Nauja energetikos sektoriaus strategija pabrėžia ERPB dėmesį struktūrinėms reformoms – siekį pasitelkti rinkos jėgas ir privatų sektorių, kad padaryti energetikos sektorių labiau tvarų aplinkos, ekonomikos ir politiniu požiūriais. Joje taip pat sustiprinta ERPB parama energijai iš atsinaujinančių išteklių, kuri apims investicijas į svarbiausius projektus ir infrastruktūrą, taip pat toliau šalims bus teikiama pagalba vystant savo teisinio reguliavimo sistemas. </w:t>
      </w:r>
    </w:p>
    <w:p w14:paraId="4E25C77A" w14:textId="77777777" w:rsidR="00583EB1" w:rsidRPr="004110D8" w:rsidRDefault="00583EB1" w:rsidP="00583EB1">
      <w:pPr>
        <w:autoSpaceDE w:val="0"/>
        <w:autoSpaceDN w:val="0"/>
        <w:adjustRightInd w:val="0"/>
        <w:spacing w:after="120"/>
        <w:jc w:val="both"/>
        <w:rPr>
          <w:rFonts w:ascii="Georgia" w:eastAsia="FranklinGothicBookCondITC-Reg" w:hAnsi="Georgia" w:cs="Arial"/>
          <w:color w:val="000000"/>
          <w:sz w:val="20"/>
          <w:szCs w:val="20"/>
          <w:lang w:val="lt-LT"/>
        </w:rPr>
      </w:pPr>
      <w:r w:rsidRPr="004110D8">
        <w:rPr>
          <w:rFonts w:ascii="Georgia" w:eastAsia="FranklinGothicBookCondITC-Reg" w:hAnsi="Georgia" w:cs="Arial"/>
          <w:color w:val="000000"/>
          <w:sz w:val="20"/>
          <w:szCs w:val="20"/>
          <w:lang w:val="lt-LT"/>
        </w:rPr>
        <w:t>Remiantis strategija ERPB savo veiklą plėtos septyniose srityse. ERPB sieks:</w:t>
      </w:r>
    </w:p>
    <w:p w14:paraId="1A626D3D" w14:textId="77777777" w:rsidR="00583EB1" w:rsidRDefault="00583EB1" w:rsidP="00C03122">
      <w:pPr>
        <w:numPr>
          <w:ilvl w:val="0"/>
          <w:numId w:val="32"/>
        </w:numPr>
        <w:autoSpaceDE w:val="0"/>
        <w:autoSpaceDN w:val="0"/>
        <w:adjustRightInd w:val="0"/>
        <w:spacing w:after="0"/>
        <w:contextualSpacing/>
        <w:jc w:val="both"/>
        <w:rPr>
          <w:rFonts w:ascii="Georgia" w:eastAsia="FranklinGothicBookCondITC-Reg" w:hAnsi="Georgia" w:cs="Arial"/>
          <w:color w:val="000000"/>
          <w:sz w:val="20"/>
          <w:szCs w:val="20"/>
          <w:lang w:val="lt-LT"/>
        </w:rPr>
      </w:pPr>
      <w:r>
        <w:rPr>
          <w:rFonts w:ascii="Georgia" w:eastAsia="FranklinGothicBookCondITC-Reg" w:hAnsi="Georgia" w:cs="Arial"/>
          <w:color w:val="000000"/>
          <w:sz w:val="20"/>
          <w:szCs w:val="20"/>
          <w:lang w:val="lt-LT"/>
        </w:rPr>
        <w:t>skatinti energijos vartojimo efektyvumą ir paklausos pusės priemones;</w:t>
      </w:r>
    </w:p>
    <w:p w14:paraId="4D056F70" w14:textId="77777777" w:rsidR="00583EB1" w:rsidRDefault="00583EB1" w:rsidP="00C03122">
      <w:pPr>
        <w:numPr>
          <w:ilvl w:val="0"/>
          <w:numId w:val="32"/>
        </w:numPr>
        <w:autoSpaceDE w:val="0"/>
        <w:autoSpaceDN w:val="0"/>
        <w:adjustRightInd w:val="0"/>
        <w:spacing w:after="0"/>
        <w:contextualSpacing/>
        <w:jc w:val="both"/>
        <w:rPr>
          <w:rFonts w:ascii="Georgia" w:eastAsia="FranklinGothicBookCondITC-Reg" w:hAnsi="Georgia" w:cs="Arial"/>
          <w:color w:val="000000"/>
          <w:sz w:val="20"/>
          <w:szCs w:val="20"/>
          <w:lang w:val="lt-LT"/>
        </w:rPr>
      </w:pPr>
      <w:r>
        <w:rPr>
          <w:rFonts w:ascii="Georgia" w:eastAsia="FranklinGothicBookCondITC-Reg" w:hAnsi="Georgia" w:cs="Arial"/>
          <w:color w:val="000000"/>
          <w:sz w:val="20"/>
          <w:szCs w:val="20"/>
          <w:lang w:val="lt-LT"/>
        </w:rPr>
        <w:t>plėtoti stiprias ir likvidžias energetikos sektoriaus rinkas (stiprinti privataus kapitalo ir rinką skatinančią infrastruktūrą);</w:t>
      </w:r>
    </w:p>
    <w:p w14:paraId="6490F0F4" w14:textId="77777777" w:rsidR="00583EB1" w:rsidRDefault="00583EB1" w:rsidP="00C03122">
      <w:pPr>
        <w:numPr>
          <w:ilvl w:val="0"/>
          <w:numId w:val="32"/>
        </w:numPr>
        <w:autoSpaceDE w:val="0"/>
        <w:autoSpaceDN w:val="0"/>
        <w:adjustRightInd w:val="0"/>
        <w:spacing w:after="0"/>
        <w:contextualSpacing/>
        <w:jc w:val="both"/>
        <w:rPr>
          <w:rFonts w:ascii="Georgia" w:eastAsia="FranklinGothicBookCondITC-Reg" w:hAnsi="Georgia" w:cs="Arial"/>
          <w:color w:val="000000"/>
          <w:sz w:val="20"/>
          <w:szCs w:val="20"/>
          <w:lang w:val="lt-LT"/>
        </w:rPr>
      </w:pPr>
      <w:r>
        <w:rPr>
          <w:rFonts w:ascii="Georgia" w:eastAsia="FranklinGothicBookCondITC-Reg" w:hAnsi="Georgia" w:cs="Arial"/>
          <w:color w:val="000000"/>
          <w:sz w:val="20"/>
          <w:szCs w:val="20"/>
          <w:lang w:val="lt-LT"/>
        </w:rPr>
        <w:t>peržiūrėti energetikos sistemas (remti sumaniojo elektros tinklo infrastruktūrą ir pažangias technologijas);</w:t>
      </w:r>
    </w:p>
    <w:p w14:paraId="2778B59B" w14:textId="77777777" w:rsidR="00583EB1" w:rsidRDefault="00583EB1" w:rsidP="00C03122">
      <w:pPr>
        <w:numPr>
          <w:ilvl w:val="0"/>
          <w:numId w:val="32"/>
        </w:numPr>
        <w:autoSpaceDE w:val="0"/>
        <w:autoSpaceDN w:val="0"/>
        <w:adjustRightInd w:val="0"/>
        <w:spacing w:after="0"/>
        <w:contextualSpacing/>
        <w:jc w:val="both"/>
        <w:rPr>
          <w:rFonts w:ascii="Georgia" w:eastAsia="FranklinGothicBookCondITC-Reg" w:hAnsi="Georgia" w:cs="Arial"/>
          <w:color w:val="000000"/>
          <w:sz w:val="20"/>
          <w:szCs w:val="20"/>
          <w:lang w:val="lt-LT"/>
        </w:rPr>
      </w:pPr>
      <w:r>
        <w:rPr>
          <w:rFonts w:ascii="Georgia" w:eastAsia="FranklinGothicBookCondITC-Reg" w:hAnsi="Georgia" w:cs="Arial"/>
          <w:color w:val="000000"/>
          <w:sz w:val="20"/>
          <w:szCs w:val="20"/>
          <w:lang w:val="lt-LT"/>
        </w:rPr>
        <w:t>pereiti prie mažo anglies dioksido kiekio (didinti atsinaujinančių išteklių energijos naudojimą ir padėti ekonomikai spręsti visuotinius klimato kaitos tikslus);</w:t>
      </w:r>
    </w:p>
    <w:p w14:paraId="5CDBC38A" w14:textId="77777777" w:rsidR="00583EB1" w:rsidRDefault="00583EB1" w:rsidP="00C03122">
      <w:pPr>
        <w:numPr>
          <w:ilvl w:val="0"/>
          <w:numId w:val="32"/>
        </w:numPr>
        <w:autoSpaceDE w:val="0"/>
        <w:autoSpaceDN w:val="0"/>
        <w:adjustRightInd w:val="0"/>
        <w:spacing w:after="0"/>
        <w:contextualSpacing/>
        <w:jc w:val="both"/>
        <w:rPr>
          <w:rFonts w:ascii="Georgia" w:eastAsia="FranklinGothicBookCondITC-Reg" w:hAnsi="Georgia" w:cs="Arial"/>
          <w:color w:val="000000"/>
          <w:sz w:val="20"/>
          <w:szCs w:val="20"/>
          <w:lang w:val="lt-LT"/>
        </w:rPr>
      </w:pPr>
      <w:r>
        <w:rPr>
          <w:rFonts w:ascii="Georgia" w:eastAsia="FranklinGothicBookCondITC-Reg" w:hAnsi="Georgia" w:cs="Arial"/>
          <w:color w:val="000000"/>
          <w:sz w:val="20"/>
          <w:szCs w:val="20"/>
          <w:lang w:val="lt-LT"/>
        </w:rPr>
        <w:t>gaminti ir tiekti ekologiškesnę energiją (padėti valstybėms pereiti nuo anglių prie dujų ir mažinti nuostolingą dujų deginimą (dujų fakelus));</w:t>
      </w:r>
    </w:p>
    <w:p w14:paraId="75E962DD" w14:textId="77777777" w:rsidR="00583EB1" w:rsidRDefault="00583EB1" w:rsidP="00C03122">
      <w:pPr>
        <w:numPr>
          <w:ilvl w:val="0"/>
          <w:numId w:val="32"/>
        </w:numPr>
        <w:autoSpaceDE w:val="0"/>
        <w:autoSpaceDN w:val="0"/>
        <w:adjustRightInd w:val="0"/>
        <w:spacing w:after="0"/>
        <w:contextualSpacing/>
        <w:jc w:val="both"/>
        <w:rPr>
          <w:rFonts w:ascii="Georgia" w:eastAsia="FranklinGothicBookCondITC-Reg" w:hAnsi="Georgia" w:cs="Arial"/>
          <w:color w:val="000000"/>
          <w:sz w:val="20"/>
          <w:szCs w:val="20"/>
          <w:lang w:val="lt-LT"/>
        </w:rPr>
      </w:pPr>
      <w:r>
        <w:rPr>
          <w:rFonts w:ascii="Georgia" w:eastAsia="FranklinGothicBookCondITC-Reg" w:hAnsi="Georgia" w:cs="Arial"/>
          <w:color w:val="000000"/>
          <w:sz w:val="20"/>
          <w:szCs w:val="20"/>
          <w:lang w:val="lt-LT"/>
        </w:rPr>
        <w:t>nustatyti standartus ir identifikuoti geriausią patirtį (pvz., Gavybos pramonės skaidrumo iniciatyva</w:t>
      </w:r>
      <w:r>
        <w:rPr>
          <w:rStyle w:val="Puslapioinaosnuoroda"/>
          <w:rFonts w:ascii="Georgia" w:eastAsia="FranklinGothicBookCondITC-Reg" w:hAnsi="Georgia" w:cs="Arial"/>
          <w:color w:val="000000"/>
          <w:sz w:val="20"/>
          <w:szCs w:val="20"/>
          <w:lang w:val="lt-LT"/>
        </w:rPr>
        <w:footnoteReference w:id="32"/>
      </w:r>
      <w:r>
        <w:rPr>
          <w:rFonts w:ascii="Georgia" w:eastAsia="FranklinGothicBookCondITC-Reg" w:hAnsi="Georgia" w:cs="Arial"/>
          <w:color w:val="000000"/>
          <w:sz w:val="20"/>
          <w:szCs w:val="20"/>
          <w:lang w:val="lt-LT"/>
        </w:rPr>
        <w:t>);</w:t>
      </w:r>
    </w:p>
    <w:p w14:paraId="1582C168" w14:textId="77777777" w:rsidR="00583EB1" w:rsidRDefault="00583EB1" w:rsidP="00C03122">
      <w:pPr>
        <w:numPr>
          <w:ilvl w:val="0"/>
          <w:numId w:val="32"/>
        </w:numPr>
        <w:autoSpaceDE w:val="0"/>
        <w:autoSpaceDN w:val="0"/>
        <w:adjustRightInd w:val="0"/>
        <w:spacing w:after="120"/>
        <w:ind w:left="714" w:hanging="357"/>
        <w:jc w:val="both"/>
        <w:rPr>
          <w:rFonts w:ascii="Georgia" w:eastAsia="FranklinGothicBookCondITC-Reg" w:hAnsi="Georgia" w:cs="Arial"/>
          <w:color w:val="000000"/>
          <w:sz w:val="20"/>
          <w:szCs w:val="20"/>
          <w:lang w:val="lt-LT"/>
        </w:rPr>
      </w:pPr>
      <w:r>
        <w:rPr>
          <w:rFonts w:ascii="Georgia" w:eastAsia="FranklinGothicBookCondITC-Reg" w:hAnsi="Georgia" w:cs="Arial"/>
          <w:color w:val="000000"/>
          <w:sz w:val="20"/>
          <w:szCs w:val="20"/>
          <w:lang w:val="lt-LT"/>
        </w:rPr>
        <w:t>skatinti platesnį energetikos sektoriaus vaidmenį stiprinant valstybių ekonomikas.</w:t>
      </w:r>
    </w:p>
    <w:p w14:paraId="544275D7" w14:textId="77777777" w:rsidR="00583EB1" w:rsidRDefault="00583EB1" w:rsidP="00583EB1">
      <w:pPr>
        <w:spacing w:after="120"/>
        <w:jc w:val="both"/>
        <w:rPr>
          <w:rStyle w:val="hps"/>
        </w:rPr>
      </w:pPr>
      <w:r>
        <w:rPr>
          <w:rStyle w:val="hps"/>
          <w:rFonts w:ascii="Georgia" w:hAnsi="Georgia" w:cs="Arial"/>
          <w:sz w:val="20"/>
          <w:szCs w:val="20"/>
          <w:lang w:val="lt-LT"/>
        </w:rPr>
        <w:t>Tvarios energijos finansavimo priemonių (SEFF) kredito linijos, skirtos vietinėms finansų institucijoms, tvarios energetikos investiciniams projektams finansuoti, yra pagrindinis SEI elementas.</w:t>
      </w:r>
    </w:p>
    <w:p w14:paraId="14AFA8C0" w14:textId="77777777" w:rsidR="00583EB1" w:rsidRDefault="00583EB1" w:rsidP="00583EB1">
      <w:pPr>
        <w:spacing w:after="120"/>
        <w:jc w:val="both"/>
        <w:rPr>
          <w:rStyle w:val="hps"/>
          <w:rFonts w:ascii="Georgia" w:hAnsi="Georgia" w:cs="Arial"/>
          <w:sz w:val="20"/>
          <w:szCs w:val="20"/>
          <w:lang w:val="lt-LT"/>
        </w:rPr>
      </w:pPr>
      <w:r>
        <w:rPr>
          <w:rStyle w:val="hps"/>
          <w:rFonts w:ascii="Georgia" w:hAnsi="Georgia" w:cs="Arial"/>
          <w:sz w:val="20"/>
          <w:szCs w:val="20"/>
          <w:lang w:val="lt-LT"/>
        </w:rPr>
        <w:t>Finansavimas buvo skiriamas dviem pagrindinėms sritims: energetinio efektyvumo ir nedidelės apimties atsinaujinančių energijos išteklių projektams, pasinaudojant vietinėmis finansų įstaigomis kurios perskolino lėšas savo klientams. Taip pat bankas teikia techninę pagalbą – ekspertines žinias, reikalingas finansų įstaigoms siekiant tinkamai įvertinti tvarios energetikos projektų potencialą. Finansų įstaigos įgyja žinių, kaip reikia vertinti energetinių projektų tinkamumą bei vystyti paklausius finansinius produktus.</w:t>
      </w:r>
    </w:p>
    <w:p w14:paraId="31E999F4" w14:textId="77777777" w:rsidR="00583EB1" w:rsidRDefault="00583EB1" w:rsidP="00583EB1">
      <w:pPr>
        <w:jc w:val="both"/>
      </w:pPr>
      <w:r>
        <w:rPr>
          <w:rFonts w:ascii="Georgia" w:hAnsi="Georgia" w:cs="Arial"/>
          <w:sz w:val="20"/>
          <w:szCs w:val="20"/>
          <w:lang w:val="lt-LT"/>
        </w:rPr>
        <w:t>SEFF paskolos verslui paprastai siekia nuo kelių šimtų tūkstančių iki kelių milijonų eurų. Dažniausiai lėšos panaudojamos įsigyti ir įdiegti įrangai, sistemoms ar procesams. Finansavimą gavo projektai praktiškai visuose sektoriuose – nuo žemės ūkio iki pramonės ir paslaugų.</w:t>
      </w:r>
    </w:p>
    <w:p w14:paraId="69C3F510" w14:textId="77777777" w:rsidR="00583EB1" w:rsidRDefault="00583EB1" w:rsidP="00583EB1">
      <w:pPr>
        <w:spacing w:after="120"/>
        <w:jc w:val="both"/>
        <w:rPr>
          <w:rStyle w:val="hps"/>
        </w:rPr>
      </w:pPr>
      <w:r>
        <w:rPr>
          <w:rStyle w:val="hps"/>
          <w:rFonts w:ascii="Georgia" w:hAnsi="Georgia" w:cs="Arial"/>
          <w:sz w:val="20"/>
          <w:szCs w:val="20"/>
          <w:lang w:val="lt-LT"/>
        </w:rPr>
        <w:t>SEFF paskolos gyvenamiesiems pastatams paprastai siekia nuo kelių tūkstančių iki kelių šimtų tūkstančių eurų. Dažniausiai paskolos naudojamos pastatų fasadui atnaujinti. Paskolos teikiamos individualių namų, butų savininkams, daugiabučių namų asociacijoms, namų savininkų grupėms</w:t>
      </w:r>
      <w:r>
        <w:rPr>
          <w:rStyle w:val="Puslapioinaosnuoroda"/>
          <w:rFonts w:ascii="Georgia" w:hAnsi="Georgia" w:cs="Arial"/>
          <w:sz w:val="20"/>
          <w:szCs w:val="20"/>
          <w:lang w:val="lt-LT"/>
        </w:rPr>
        <w:footnoteReference w:id="33"/>
      </w:r>
      <w:r>
        <w:rPr>
          <w:rStyle w:val="hps"/>
          <w:rFonts w:ascii="Georgia" w:hAnsi="Georgia" w:cs="Arial"/>
          <w:sz w:val="20"/>
          <w:szCs w:val="20"/>
          <w:lang w:val="lt-LT"/>
        </w:rPr>
        <w:t xml:space="preserve">. </w:t>
      </w:r>
    </w:p>
    <w:p w14:paraId="1D9D5556" w14:textId="77777777" w:rsidR="00583EB1" w:rsidRDefault="00583EB1" w:rsidP="00583EB1">
      <w:pPr>
        <w:spacing w:after="120"/>
        <w:jc w:val="both"/>
      </w:pPr>
      <w:r>
        <w:rPr>
          <w:rStyle w:val="hps"/>
          <w:rFonts w:ascii="Georgia" w:hAnsi="Georgia" w:cs="Arial"/>
          <w:sz w:val="20"/>
          <w:szCs w:val="20"/>
          <w:lang w:val="lt-LT"/>
        </w:rPr>
        <w:t xml:space="preserve">Energetinio efektyvumo projektais buvo finansuojamas kogeneracijos sistemų įrengimas, katilų atnaujinimas, šildymo sistemų tipų / kuro keitimas, pramonės procesų tobulinimas, </w:t>
      </w:r>
      <w:r>
        <w:rPr>
          <w:rFonts w:ascii="Georgia" w:hAnsi="Georgia" w:cs="Arial"/>
          <w:sz w:val="20"/>
          <w:szCs w:val="20"/>
          <w:lang w:val="lt-LT"/>
        </w:rPr>
        <w:t>šilumos rekuperacijos sistemų įrengimas, energijos valdymo sistemų įrengimas, pastatų šiluminių savybių gerinimas, aukšto efektyvumo apšvietimo įrengimas ir pan.</w:t>
      </w:r>
      <w:r>
        <w:rPr>
          <w:rStyle w:val="Puslapioinaosnuoroda"/>
          <w:rFonts w:ascii="Georgia" w:hAnsi="Georgia" w:cs="Arial"/>
          <w:sz w:val="20"/>
          <w:szCs w:val="20"/>
          <w:lang w:val="lt-LT"/>
        </w:rPr>
        <w:footnoteReference w:id="34"/>
      </w:r>
    </w:p>
    <w:p w14:paraId="37DF74A6" w14:textId="77777777" w:rsidR="00583EB1" w:rsidRDefault="00583EB1" w:rsidP="00583EB1">
      <w:pPr>
        <w:jc w:val="both"/>
        <w:rPr>
          <w:rFonts w:ascii="Georgia" w:hAnsi="Georgia" w:cs="Arial"/>
          <w:sz w:val="20"/>
          <w:szCs w:val="20"/>
          <w:lang w:val="lt-LT"/>
        </w:rPr>
      </w:pPr>
      <w:r>
        <w:rPr>
          <w:rFonts w:ascii="Georgia" w:hAnsi="Georgia" w:cs="Arial"/>
          <w:sz w:val="20"/>
          <w:szCs w:val="20"/>
          <w:lang w:val="lt-LT"/>
        </w:rPr>
        <w:t xml:space="preserve">Skolinimas per SEFF 2013 m. augo ir ERPB suteikė naujas paskolas 38 finansinėms institucijoms 16-oje valstybių. Šių paskolų vertė apie 454 mln. eurų. Šiuo metu veikia 23 SEFF 18-oje valstybių. 2013 m. programa išplėtė savo veiklą, ypač Balkanų regione per bankus finansuodama viešąjį sektorių. 2006-2013 m. laikotarpiu ERPB per SEFF institucijoms partnerėms išmokėjo 1,9 mlrd. eurų paskolų, </w:t>
      </w:r>
      <w:r>
        <w:rPr>
          <w:rFonts w:ascii="Georgia" w:hAnsi="Georgia" w:cs="Arial"/>
          <w:sz w:val="20"/>
          <w:szCs w:val="20"/>
          <w:lang w:val="lt-LT"/>
        </w:rPr>
        <w:lastRenderedPageBreak/>
        <w:t>kurios tarpininkams perskolino 1,6 mlrd. eurų. Iš viso buvo paremti 55.000 tvarios energetikos projektai</w:t>
      </w:r>
      <w:r>
        <w:rPr>
          <w:rStyle w:val="Puslapioinaosnuoroda"/>
          <w:rFonts w:ascii="Georgia" w:hAnsi="Georgia" w:cs="Arial"/>
          <w:sz w:val="20"/>
          <w:szCs w:val="20"/>
          <w:lang w:val="lt-LT"/>
        </w:rPr>
        <w:footnoteReference w:id="35"/>
      </w:r>
      <w:r>
        <w:rPr>
          <w:rFonts w:ascii="Georgia" w:hAnsi="Georgia" w:cs="Arial"/>
          <w:sz w:val="20"/>
          <w:szCs w:val="20"/>
          <w:lang w:val="lt-LT"/>
        </w:rPr>
        <w:t>.</w:t>
      </w:r>
    </w:p>
    <w:p w14:paraId="128AC4D2"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Taip pat ERPB tiesiogiai finansuoja tvarios energetikos projektus, skatinančius pramonės ir savivaldybių infrastruktūros energetinį efektyvumą. ERPB investuoja į gyvenamųjų rajonų (kvartalų) šildymo projektus, kurie mažina šilumos nuostolius, taip pat projektus, kuriais atnaujinama nusidėvėjusi infrastruktūra bei pastatų energijos efektyvumo projektus (ERPB 2013 m. skyrė 83 mln. eurų aštuoniems projektams, o 2012 m. 5-iems projektams – 113 mln. eurų)</w:t>
      </w:r>
      <w:r>
        <w:rPr>
          <w:rStyle w:val="Puslapioinaosnuoroda"/>
          <w:rFonts w:ascii="Georgia" w:hAnsi="Georgia" w:cs="Arial"/>
          <w:sz w:val="20"/>
          <w:szCs w:val="20"/>
          <w:lang w:val="lt-LT"/>
        </w:rPr>
        <w:footnoteReference w:id="36"/>
      </w:r>
      <w:r>
        <w:rPr>
          <w:rFonts w:ascii="Georgia" w:hAnsi="Georgia" w:cs="Arial"/>
          <w:sz w:val="20"/>
          <w:szCs w:val="20"/>
          <w:lang w:val="lt-LT"/>
        </w:rPr>
        <w:t>.</w:t>
      </w:r>
    </w:p>
    <w:p w14:paraId="70AD6ED3" w14:textId="77777777" w:rsidR="00583EB1" w:rsidRPr="00390E64" w:rsidRDefault="00583EB1" w:rsidP="00583EB1">
      <w:pPr>
        <w:pStyle w:val="Pagrindinistekstas"/>
        <w:spacing w:line="276" w:lineRule="auto"/>
        <w:rPr>
          <w:i/>
          <w:lang w:val="lt-LT"/>
        </w:rPr>
      </w:pPr>
      <w:r w:rsidRPr="00390E64">
        <w:rPr>
          <w:i/>
          <w:lang w:val="lt-LT"/>
        </w:rPr>
        <w:t>Europos rekonstrukcijos ir plėtros banko veikla Lietuvoje</w:t>
      </w:r>
    </w:p>
    <w:p w14:paraId="488179E1"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ERPB Lietuvą įvardija kaip daug pasiekusią pereinamojo laikotarpio valstybę. Strategijoje Lietuvai</w:t>
      </w:r>
      <w:r>
        <w:rPr>
          <w:rStyle w:val="Puslapioinaosnuoroda"/>
          <w:rFonts w:ascii="Georgia" w:hAnsi="Georgia" w:cs="Arial"/>
          <w:sz w:val="20"/>
          <w:szCs w:val="20"/>
          <w:lang w:val="lt-LT"/>
        </w:rPr>
        <w:footnoteReference w:id="37"/>
      </w:r>
      <w:r>
        <w:rPr>
          <w:rFonts w:ascii="Georgia" w:hAnsi="Georgia" w:cs="Arial"/>
          <w:sz w:val="20"/>
          <w:szCs w:val="20"/>
          <w:lang w:val="lt-LT"/>
        </w:rPr>
        <w:t xml:space="preserve"> nurodoma, kad ERPB veikla šiuo metu apsiriboja ir ateityje apsiribos nedaugeliu prioritetų. Vienas iš keturių ERPB prioritetų, įvardintų šioje strategijoje, yra investicijų rėmimas atsinaujinančių energijos išteklių ir efektyvaus energijos naudojimo srityje. ERPB nurodo, jog rems šiuos projektus ir skatins investicijas, skirtas užtikrinti efektyvesnį energijos naudojimą, ypač visuomeniniuose pastatuose, komunalinių paslaugų įmonėse bei pramonės įmonėse. ERPB taip pat ieškos būdų, kaip remti investicijas į gyvenamųjų namų sektorių.</w:t>
      </w:r>
    </w:p>
    <w:p w14:paraId="2A2D95DD" w14:textId="77777777" w:rsidR="00583EB1" w:rsidRDefault="00583EB1" w:rsidP="00583EB1">
      <w:pPr>
        <w:autoSpaceDE w:val="0"/>
        <w:autoSpaceDN w:val="0"/>
        <w:adjustRightInd w:val="0"/>
        <w:spacing w:after="120"/>
        <w:jc w:val="both"/>
        <w:rPr>
          <w:rFonts w:ascii="Georgia" w:hAnsi="Georgia" w:cs="Arial"/>
          <w:sz w:val="20"/>
          <w:szCs w:val="20"/>
          <w:lang w:val="lt-LT" w:eastAsia="de-DE"/>
        </w:rPr>
      </w:pPr>
      <w:r w:rsidRPr="009D14EE">
        <w:rPr>
          <w:rFonts w:ascii="Georgia" w:hAnsi="Georgia" w:cs="Arial"/>
          <w:sz w:val="20"/>
          <w:szCs w:val="20"/>
          <w:lang w:val="lt-LT" w:eastAsia="de-DE"/>
        </w:rPr>
        <w:t>Remiantis Energetikos ministerijos atstovų duomenimis, ERPB svarsto galimybę dalyvauti masinėje viešųjų pastatų renovacijoje Lietuvoje, suteikdamas paskolą ESCO / administratoriui (tarpininkui)</w:t>
      </w:r>
      <w:r w:rsidRPr="009D14EE">
        <w:rPr>
          <w:rStyle w:val="Puslapioinaosnuoroda"/>
          <w:rFonts w:ascii="Georgia" w:hAnsi="Georgia" w:cs="Arial"/>
          <w:sz w:val="20"/>
          <w:szCs w:val="20"/>
          <w:lang w:val="lt-LT" w:eastAsia="de-DE"/>
        </w:rPr>
        <w:footnoteReference w:id="38"/>
      </w:r>
      <w:r w:rsidRPr="009D14EE">
        <w:rPr>
          <w:rFonts w:ascii="Georgia" w:hAnsi="Georgia" w:cs="Arial"/>
          <w:sz w:val="20"/>
          <w:szCs w:val="20"/>
          <w:lang w:val="lt-LT" w:eastAsia="de-DE"/>
        </w:rPr>
        <w:t>.</w:t>
      </w:r>
    </w:p>
    <w:p w14:paraId="31DB130E"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Informacija apie pagrindinius ERPB veiklos rodiklius Lietuvoje pateikiama žemiau esančioje lentelėje.</w:t>
      </w:r>
    </w:p>
    <w:p w14:paraId="3C76DCC6" w14:textId="60AB4162" w:rsidR="00583EB1" w:rsidRPr="008A1C43" w:rsidRDefault="00583EB1" w:rsidP="00583EB1">
      <w:pPr>
        <w:pStyle w:val="Antrat"/>
        <w:spacing w:line="276" w:lineRule="auto"/>
        <w:rPr>
          <w:i/>
          <w:lang w:val="lt-LT"/>
        </w:rPr>
      </w:pPr>
      <w:bookmarkStart w:id="85" w:name="_Toc460321607"/>
      <w:r w:rsidRPr="008A1C43">
        <w:rPr>
          <w:lang w:val="lt-LT"/>
        </w:rPr>
        <w:t xml:space="preserve">Lentelė </w:t>
      </w:r>
      <w:r w:rsidRPr="008A1C43">
        <w:rPr>
          <w:lang w:val="lt-LT"/>
        </w:rPr>
        <w:fldChar w:fldCharType="begin"/>
      </w:r>
      <w:r w:rsidRPr="008A1C43">
        <w:rPr>
          <w:lang w:val="lt-LT"/>
        </w:rPr>
        <w:instrText xml:space="preserve"> SEQ Lentelė \* ARABIC </w:instrText>
      </w:r>
      <w:r w:rsidRPr="008A1C43">
        <w:rPr>
          <w:lang w:val="lt-LT"/>
        </w:rPr>
        <w:fldChar w:fldCharType="separate"/>
      </w:r>
      <w:r w:rsidR="00AA3082">
        <w:rPr>
          <w:noProof/>
          <w:lang w:val="lt-LT"/>
        </w:rPr>
        <w:t>26</w:t>
      </w:r>
      <w:r w:rsidRPr="008A1C43">
        <w:rPr>
          <w:lang w:val="lt-LT"/>
        </w:rPr>
        <w:fldChar w:fldCharType="end"/>
      </w:r>
      <w:r w:rsidRPr="00A3558B">
        <w:rPr>
          <w:rFonts w:cs="Arial"/>
          <w:b w:val="0"/>
          <w:color w:val="auto"/>
          <w:szCs w:val="20"/>
          <w:lang w:val="lt-LT"/>
        </w:rPr>
        <w:t xml:space="preserve">. </w:t>
      </w:r>
      <w:r w:rsidRPr="008A1C43">
        <w:rPr>
          <w:lang w:val="lt-LT"/>
        </w:rPr>
        <w:t>ERPB veiklos rodikliai Lietuvoje.</w:t>
      </w:r>
      <w:bookmarkEnd w:id="85"/>
      <w:r w:rsidRPr="008A1C43">
        <w:rPr>
          <w:lang w:val="lt-LT"/>
        </w:rPr>
        <w:t xml:space="preserve"> </w:t>
      </w:r>
    </w:p>
    <w:tbl>
      <w:tblPr>
        <w:tblStyle w:val="viesussraas2parykinimas1"/>
        <w:tblW w:w="5000" w:type="pct"/>
        <w:tblLook w:val="04A0" w:firstRow="1" w:lastRow="0" w:firstColumn="1" w:lastColumn="0" w:noHBand="0" w:noVBand="1"/>
      </w:tblPr>
      <w:tblGrid>
        <w:gridCol w:w="4621"/>
        <w:gridCol w:w="4621"/>
      </w:tblGrid>
      <w:tr w:rsidR="00583EB1" w14:paraId="166B8CF0" w14:textId="77777777" w:rsidTr="00855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70065DB" w14:textId="77777777" w:rsidR="00583EB1" w:rsidRDefault="008E66E4" w:rsidP="008E66E4">
            <w:pPr>
              <w:jc w:val="center"/>
              <w:rPr>
                <w:rFonts w:ascii="Georgia" w:hAnsi="Georgia" w:cs="Arial"/>
                <w:sz w:val="20"/>
                <w:szCs w:val="20"/>
              </w:rPr>
            </w:pPr>
            <w:r>
              <w:rPr>
                <w:rFonts w:ascii="Georgia" w:hAnsi="Georgia" w:cs="Arial"/>
                <w:sz w:val="20"/>
                <w:szCs w:val="20"/>
              </w:rPr>
              <w:t>Rodiklis</w:t>
            </w:r>
          </w:p>
        </w:tc>
        <w:tc>
          <w:tcPr>
            <w:tcW w:w="2500" w:type="pct"/>
          </w:tcPr>
          <w:p w14:paraId="255058CE" w14:textId="77777777" w:rsidR="00583EB1" w:rsidRDefault="008E66E4" w:rsidP="008E66E4">
            <w:pPr>
              <w:jc w:val="cente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Reikšmė</w:t>
            </w:r>
          </w:p>
        </w:tc>
      </w:tr>
      <w:tr w:rsidR="00583EB1" w14:paraId="7DB46642" w14:textId="77777777" w:rsidTr="00855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370A8C35" w14:textId="77777777" w:rsidR="00583EB1" w:rsidRDefault="00583EB1" w:rsidP="00583EB1">
            <w:pPr>
              <w:jc w:val="both"/>
              <w:rPr>
                <w:rFonts w:ascii="Georgia" w:hAnsi="Georgia" w:cs="Arial"/>
                <w:bCs w:val="0"/>
                <w:sz w:val="20"/>
                <w:szCs w:val="20"/>
              </w:rPr>
            </w:pPr>
            <w:r>
              <w:rPr>
                <w:rFonts w:ascii="Georgia" w:hAnsi="Georgia" w:cs="Arial"/>
                <w:sz w:val="20"/>
                <w:szCs w:val="20"/>
              </w:rPr>
              <w:t>Projektų skaičius (iš viso)</w:t>
            </w:r>
          </w:p>
        </w:tc>
        <w:tc>
          <w:tcPr>
            <w:tcW w:w="2500" w:type="pct"/>
            <w:hideMark/>
          </w:tcPr>
          <w:p w14:paraId="2AB1AFDC"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bCs/>
                <w:sz w:val="20"/>
                <w:szCs w:val="20"/>
              </w:rPr>
            </w:pPr>
            <w:r>
              <w:rPr>
                <w:rFonts w:ascii="Georgia" w:hAnsi="Georgia" w:cs="Arial"/>
                <w:sz w:val="20"/>
                <w:szCs w:val="20"/>
              </w:rPr>
              <w:t>76</w:t>
            </w:r>
          </w:p>
        </w:tc>
      </w:tr>
      <w:tr w:rsidR="00583EB1" w14:paraId="2C208F35" w14:textId="77777777" w:rsidTr="00855713">
        <w:tc>
          <w:tcPr>
            <w:cnfStyle w:val="001000000000" w:firstRow="0" w:lastRow="0" w:firstColumn="1" w:lastColumn="0" w:oddVBand="0" w:evenVBand="0" w:oddHBand="0" w:evenHBand="0" w:firstRowFirstColumn="0" w:firstRowLastColumn="0" w:lastRowFirstColumn="0" w:lastRowLastColumn="0"/>
            <w:tcW w:w="2500" w:type="pct"/>
            <w:hideMark/>
          </w:tcPr>
          <w:p w14:paraId="0CC3DBEE" w14:textId="77777777" w:rsidR="00583EB1" w:rsidRDefault="00583EB1" w:rsidP="00583EB1">
            <w:pPr>
              <w:jc w:val="both"/>
              <w:rPr>
                <w:rFonts w:ascii="Georgia" w:hAnsi="Georgia" w:cs="Arial"/>
                <w:bCs w:val="0"/>
                <w:sz w:val="20"/>
                <w:szCs w:val="20"/>
              </w:rPr>
            </w:pPr>
            <w:r>
              <w:rPr>
                <w:rFonts w:ascii="Georgia" w:hAnsi="Georgia" w:cs="Arial"/>
                <w:sz w:val="20"/>
                <w:szCs w:val="20"/>
              </w:rPr>
              <w:t>Įsipareigojimai (iš viso)</w:t>
            </w:r>
            <w:r>
              <w:rPr>
                <w:rStyle w:val="Puslapioinaosnuoroda"/>
                <w:rFonts w:ascii="Georgia" w:hAnsi="Georgia" w:cs="Arial"/>
                <w:sz w:val="20"/>
                <w:szCs w:val="20"/>
              </w:rPr>
              <w:footnoteReference w:id="39"/>
            </w:r>
          </w:p>
        </w:tc>
        <w:tc>
          <w:tcPr>
            <w:tcW w:w="2500" w:type="pct"/>
            <w:hideMark/>
          </w:tcPr>
          <w:p w14:paraId="50D8E6F1"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623 mln. EUR</w:t>
            </w:r>
          </w:p>
        </w:tc>
      </w:tr>
      <w:tr w:rsidR="00583EB1" w14:paraId="6C7F011D" w14:textId="77777777" w:rsidTr="00855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7822AE0E" w14:textId="77777777" w:rsidR="00583EB1" w:rsidRDefault="00583EB1" w:rsidP="00583EB1">
            <w:pPr>
              <w:jc w:val="both"/>
              <w:rPr>
                <w:rFonts w:ascii="Georgia" w:hAnsi="Georgia" w:cs="Arial"/>
                <w:bCs w:val="0"/>
                <w:sz w:val="20"/>
                <w:szCs w:val="20"/>
              </w:rPr>
            </w:pPr>
            <w:r>
              <w:rPr>
                <w:rFonts w:ascii="Georgia" w:hAnsi="Georgia" w:cs="Arial"/>
                <w:sz w:val="20"/>
                <w:szCs w:val="20"/>
              </w:rPr>
              <w:t>Išmokėta lėšų (iš viso)</w:t>
            </w:r>
          </w:p>
        </w:tc>
        <w:tc>
          <w:tcPr>
            <w:tcW w:w="2500" w:type="pct"/>
            <w:hideMark/>
          </w:tcPr>
          <w:p w14:paraId="657C4C10"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607 mln. EUR</w:t>
            </w:r>
          </w:p>
        </w:tc>
      </w:tr>
      <w:tr w:rsidR="00583EB1" w14:paraId="5FF962FC" w14:textId="77777777" w:rsidTr="00855713">
        <w:tc>
          <w:tcPr>
            <w:cnfStyle w:val="001000000000" w:firstRow="0" w:lastRow="0" w:firstColumn="1" w:lastColumn="0" w:oddVBand="0" w:evenVBand="0" w:oddHBand="0" w:evenHBand="0" w:firstRowFirstColumn="0" w:firstRowLastColumn="0" w:lastRowFirstColumn="0" w:lastRowLastColumn="0"/>
            <w:tcW w:w="2500" w:type="pct"/>
            <w:hideMark/>
          </w:tcPr>
          <w:p w14:paraId="5F5AA6AD" w14:textId="77777777" w:rsidR="00583EB1" w:rsidRDefault="00583EB1" w:rsidP="00583EB1">
            <w:pPr>
              <w:jc w:val="both"/>
              <w:rPr>
                <w:rFonts w:ascii="Georgia" w:hAnsi="Georgia" w:cs="Arial"/>
                <w:bCs w:val="0"/>
                <w:sz w:val="20"/>
                <w:szCs w:val="20"/>
              </w:rPr>
            </w:pPr>
            <w:r>
              <w:rPr>
                <w:rFonts w:ascii="Georgia" w:hAnsi="Georgia" w:cs="Arial"/>
                <w:sz w:val="20"/>
                <w:szCs w:val="20"/>
              </w:rPr>
              <w:t>Portfelio dalis privačiame sektoriuje</w:t>
            </w:r>
          </w:p>
        </w:tc>
        <w:tc>
          <w:tcPr>
            <w:tcW w:w="2500" w:type="pct"/>
            <w:hideMark/>
          </w:tcPr>
          <w:p w14:paraId="33B91F7A"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57 proc.</w:t>
            </w:r>
          </w:p>
        </w:tc>
      </w:tr>
    </w:tbl>
    <w:p w14:paraId="7D574B50" w14:textId="77777777" w:rsidR="00583EB1" w:rsidRPr="006167C8" w:rsidRDefault="00583EB1" w:rsidP="006167C8">
      <w:pPr>
        <w:pStyle w:val="Antrat"/>
        <w:spacing w:line="276" w:lineRule="auto"/>
        <w:rPr>
          <w:b w:val="0"/>
          <w:i/>
          <w:lang w:val="lt-LT"/>
        </w:rPr>
      </w:pPr>
      <w:r w:rsidRPr="006167C8">
        <w:rPr>
          <w:b w:val="0"/>
          <w:i/>
          <w:lang w:val="lt-LT"/>
        </w:rPr>
        <w:t xml:space="preserve">Šaltinis: </w:t>
      </w:r>
      <w:hyperlink r:id="rId27" w:history="1">
        <w:r w:rsidRPr="006167C8">
          <w:rPr>
            <w:b w:val="0"/>
            <w:i/>
          </w:rPr>
          <w:t>http://www.ebrd.com/pages/country/lithuania.shtml</w:t>
        </w:r>
      </w:hyperlink>
      <w:r w:rsidRPr="006167C8">
        <w:rPr>
          <w:b w:val="0"/>
          <w:i/>
          <w:lang w:val="lt-LT"/>
        </w:rPr>
        <w:t xml:space="preserve"> (2014 m. kovo 31 d. duomenys)</w:t>
      </w:r>
    </w:p>
    <w:p w14:paraId="18F1403D" w14:textId="77777777" w:rsidR="00583EB1" w:rsidRDefault="00583EB1" w:rsidP="00583EB1">
      <w:pPr>
        <w:spacing w:after="120" w:line="240" w:lineRule="auto"/>
        <w:jc w:val="both"/>
        <w:rPr>
          <w:rFonts w:ascii="Georgia" w:hAnsi="Georgia" w:cs="Arial"/>
          <w:sz w:val="20"/>
          <w:szCs w:val="20"/>
          <w:lang w:val="lt-LT"/>
        </w:rPr>
      </w:pPr>
      <w:r>
        <w:rPr>
          <w:rFonts w:ascii="Georgia" w:hAnsi="Georgia" w:cs="Arial"/>
          <w:sz w:val="20"/>
          <w:szCs w:val="20"/>
          <w:lang w:val="lt-LT"/>
        </w:rPr>
        <w:t>Informacija apie ERPB portfelio raidą Lietuvoje 2008-2013 metais pateikiama žemiau esančioje lentelėje.</w:t>
      </w:r>
    </w:p>
    <w:p w14:paraId="7A3A2784" w14:textId="62E57B0F" w:rsidR="00583EB1" w:rsidRPr="0061436D" w:rsidRDefault="00583EB1" w:rsidP="00583EB1">
      <w:pPr>
        <w:pStyle w:val="Antrat"/>
        <w:spacing w:line="276" w:lineRule="auto"/>
        <w:jc w:val="both"/>
        <w:rPr>
          <w:lang w:val="lt-LT"/>
        </w:rPr>
      </w:pPr>
      <w:bookmarkStart w:id="86" w:name="_Toc460321608"/>
      <w:r w:rsidRPr="0061436D">
        <w:rPr>
          <w:lang w:val="lt-LT"/>
        </w:rPr>
        <w:t xml:space="preserve">Lentelė </w:t>
      </w:r>
      <w:r w:rsidRPr="0061436D">
        <w:rPr>
          <w:lang w:val="lt-LT"/>
        </w:rPr>
        <w:fldChar w:fldCharType="begin"/>
      </w:r>
      <w:r w:rsidRPr="0061436D">
        <w:rPr>
          <w:lang w:val="lt-LT"/>
        </w:rPr>
        <w:instrText xml:space="preserve"> SEQ Lentelė \* ARABIC </w:instrText>
      </w:r>
      <w:r w:rsidRPr="0061436D">
        <w:rPr>
          <w:lang w:val="lt-LT"/>
        </w:rPr>
        <w:fldChar w:fldCharType="separate"/>
      </w:r>
      <w:r w:rsidR="00AA3082">
        <w:rPr>
          <w:noProof/>
          <w:lang w:val="lt-LT"/>
        </w:rPr>
        <w:t>27</w:t>
      </w:r>
      <w:r w:rsidRPr="0061436D">
        <w:rPr>
          <w:lang w:val="lt-LT"/>
        </w:rPr>
        <w:fldChar w:fldCharType="end"/>
      </w:r>
      <w:r w:rsidRPr="0061436D">
        <w:rPr>
          <w:lang w:val="lt-LT"/>
        </w:rPr>
        <w:t>. ERPB portfelio raida Lietuvoje 2008-2013 metais.</w:t>
      </w:r>
      <w:bookmarkEnd w:id="86"/>
      <w:r w:rsidRPr="0061436D">
        <w:rPr>
          <w:rFonts w:cs="Arial"/>
          <w:i/>
          <w:szCs w:val="20"/>
          <w:lang w:val="lt-LT"/>
        </w:rPr>
        <w:t xml:space="preserve"> </w:t>
      </w:r>
    </w:p>
    <w:tbl>
      <w:tblPr>
        <w:tblStyle w:val="viesussraas2parykinimas"/>
        <w:tblW w:w="5000" w:type="pct"/>
        <w:tblLook w:val="04A0" w:firstRow="1" w:lastRow="0" w:firstColumn="1" w:lastColumn="0" w:noHBand="0" w:noVBand="1"/>
      </w:tblPr>
      <w:tblGrid>
        <w:gridCol w:w="1986"/>
        <w:gridCol w:w="1534"/>
        <w:gridCol w:w="1534"/>
        <w:gridCol w:w="1534"/>
        <w:gridCol w:w="1327"/>
        <w:gridCol w:w="1327"/>
      </w:tblGrid>
      <w:tr w:rsidR="00583EB1" w14:paraId="628D8E2D" w14:textId="77777777" w:rsidTr="008E66E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74" w:type="pct"/>
            <w:tcBorders>
              <w:top w:val="single" w:sz="8" w:space="0" w:color="C0504D" w:themeColor="accent2"/>
              <w:left w:val="single" w:sz="8" w:space="0" w:color="C0504D" w:themeColor="accent2"/>
              <w:bottom w:val="nil"/>
              <w:right w:val="nil"/>
            </w:tcBorders>
            <w:hideMark/>
          </w:tcPr>
          <w:p w14:paraId="240AFE79" w14:textId="77777777" w:rsidR="00583EB1" w:rsidRDefault="00583EB1" w:rsidP="00583EB1">
            <w:pPr>
              <w:jc w:val="both"/>
              <w:rPr>
                <w:rFonts w:ascii="Georgia" w:hAnsi="Georgia" w:cs="Arial"/>
                <w:bCs w:val="0"/>
                <w:color w:val="FFFFFF"/>
                <w:sz w:val="20"/>
                <w:szCs w:val="20"/>
              </w:rPr>
            </w:pPr>
            <w:r>
              <w:rPr>
                <w:rFonts w:ascii="Georgia" w:hAnsi="Georgia" w:cs="Arial"/>
                <w:color w:val="FFFFFF"/>
                <w:sz w:val="20"/>
                <w:szCs w:val="20"/>
              </w:rPr>
              <w:t>Mln. € /vnt.</w:t>
            </w:r>
          </w:p>
        </w:tc>
        <w:tc>
          <w:tcPr>
            <w:tcW w:w="830" w:type="pct"/>
            <w:tcBorders>
              <w:top w:val="single" w:sz="8" w:space="0" w:color="C0504D" w:themeColor="accent2"/>
              <w:left w:val="nil"/>
              <w:bottom w:val="nil"/>
              <w:right w:val="nil"/>
            </w:tcBorders>
            <w:hideMark/>
          </w:tcPr>
          <w:p w14:paraId="54D123D3"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color w:val="FFFFFF"/>
                <w:sz w:val="20"/>
                <w:szCs w:val="20"/>
              </w:rPr>
            </w:pPr>
            <w:r>
              <w:rPr>
                <w:rFonts w:ascii="Georgia" w:hAnsi="Georgia" w:cs="Arial"/>
                <w:color w:val="FFFFFF"/>
                <w:sz w:val="20"/>
                <w:szCs w:val="20"/>
              </w:rPr>
              <w:t>2008</w:t>
            </w:r>
          </w:p>
        </w:tc>
        <w:tc>
          <w:tcPr>
            <w:tcW w:w="830" w:type="pct"/>
            <w:tcBorders>
              <w:top w:val="single" w:sz="8" w:space="0" w:color="C0504D" w:themeColor="accent2"/>
              <w:left w:val="nil"/>
              <w:bottom w:val="nil"/>
              <w:right w:val="nil"/>
            </w:tcBorders>
            <w:hideMark/>
          </w:tcPr>
          <w:p w14:paraId="76583482"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color w:val="FFFFFF"/>
                <w:sz w:val="20"/>
                <w:szCs w:val="20"/>
              </w:rPr>
            </w:pPr>
            <w:r>
              <w:rPr>
                <w:rFonts w:ascii="Georgia" w:hAnsi="Georgia" w:cs="Arial"/>
                <w:color w:val="FFFFFF"/>
                <w:sz w:val="20"/>
                <w:szCs w:val="20"/>
              </w:rPr>
              <w:t>2009</w:t>
            </w:r>
          </w:p>
        </w:tc>
        <w:tc>
          <w:tcPr>
            <w:tcW w:w="830" w:type="pct"/>
            <w:tcBorders>
              <w:top w:val="single" w:sz="8" w:space="0" w:color="C0504D" w:themeColor="accent2"/>
              <w:left w:val="nil"/>
              <w:bottom w:val="nil"/>
              <w:right w:val="nil"/>
            </w:tcBorders>
            <w:hideMark/>
          </w:tcPr>
          <w:p w14:paraId="30E35DC8"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color w:val="FFFFFF"/>
                <w:sz w:val="20"/>
                <w:szCs w:val="20"/>
              </w:rPr>
            </w:pPr>
            <w:r>
              <w:rPr>
                <w:rFonts w:ascii="Georgia" w:hAnsi="Georgia" w:cs="Arial"/>
                <w:color w:val="FFFFFF"/>
                <w:sz w:val="20"/>
                <w:szCs w:val="20"/>
              </w:rPr>
              <w:t>2010</w:t>
            </w:r>
          </w:p>
        </w:tc>
        <w:tc>
          <w:tcPr>
            <w:tcW w:w="718" w:type="pct"/>
            <w:tcBorders>
              <w:top w:val="single" w:sz="8" w:space="0" w:color="C0504D" w:themeColor="accent2"/>
              <w:left w:val="nil"/>
              <w:bottom w:val="nil"/>
              <w:right w:val="nil"/>
            </w:tcBorders>
            <w:hideMark/>
          </w:tcPr>
          <w:p w14:paraId="1D91938E"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2012</w:t>
            </w:r>
          </w:p>
        </w:tc>
        <w:tc>
          <w:tcPr>
            <w:tcW w:w="718" w:type="pct"/>
            <w:tcBorders>
              <w:top w:val="single" w:sz="8" w:space="0" w:color="C0504D" w:themeColor="accent2"/>
              <w:left w:val="nil"/>
              <w:bottom w:val="nil"/>
              <w:right w:val="single" w:sz="8" w:space="0" w:color="C0504D" w:themeColor="accent2"/>
            </w:tcBorders>
            <w:hideMark/>
          </w:tcPr>
          <w:p w14:paraId="74D67684"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2013</w:t>
            </w:r>
          </w:p>
        </w:tc>
      </w:tr>
      <w:tr w:rsidR="00583EB1" w14:paraId="56936E2F" w14:textId="77777777" w:rsidTr="008E66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4" w:type="pct"/>
            <w:tcBorders>
              <w:right w:val="nil"/>
            </w:tcBorders>
            <w:hideMark/>
          </w:tcPr>
          <w:p w14:paraId="6B9447A9" w14:textId="77777777" w:rsidR="00583EB1" w:rsidRDefault="00583EB1" w:rsidP="00583EB1">
            <w:pPr>
              <w:rPr>
                <w:rFonts w:ascii="Georgia" w:hAnsi="Georgia" w:cs="Arial"/>
                <w:bCs w:val="0"/>
                <w:sz w:val="20"/>
                <w:szCs w:val="20"/>
              </w:rPr>
            </w:pPr>
            <w:r>
              <w:rPr>
                <w:rFonts w:ascii="Georgia" w:hAnsi="Georgia" w:cs="Arial"/>
                <w:sz w:val="20"/>
                <w:szCs w:val="20"/>
              </w:rPr>
              <w:t>Įsipareigojimai (iš viso)</w:t>
            </w:r>
            <w:r>
              <w:rPr>
                <w:rFonts w:ascii="Georgia" w:hAnsi="Georgia" w:cs="Arial"/>
                <w:sz w:val="20"/>
                <w:szCs w:val="20"/>
                <w:vertAlign w:val="superscript"/>
              </w:rPr>
              <w:footnoteReference w:id="40"/>
            </w:r>
            <w:r>
              <w:rPr>
                <w:rFonts w:ascii="Georgia" w:hAnsi="Georgia" w:cs="Arial"/>
                <w:sz w:val="20"/>
                <w:szCs w:val="20"/>
              </w:rPr>
              <w:t xml:space="preserve"> (mln. EUR)</w:t>
            </w:r>
          </w:p>
        </w:tc>
        <w:tc>
          <w:tcPr>
            <w:tcW w:w="830" w:type="pct"/>
            <w:tcBorders>
              <w:left w:val="nil"/>
              <w:right w:val="nil"/>
            </w:tcBorders>
            <w:hideMark/>
          </w:tcPr>
          <w:p w14:paraId="328E0D24"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495</w:t>
            </w:r>
          </w:p>
        </w:tc>
        <w:tc>
          <w:tcPr>
            <w:tcW w:w="830" w:type="pct"/>
            <w:tcBorders>
              <w:left w:val="nil"/>
              <w:right w:val="nil"/>
            </w:tcBorders>
            <w:hideMark/>
          </w:tcPr>
          <w:p w14:paraId="0E9AE38A"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492</w:t>
            </w:r>
          </w:p>
        </w:tc>
        <w:tc>
          <w:tcPr>
            <w:tcW w:w="830" w:type="pct"/>
            <w:tcBorders>
              <w:left w:val="nil"/>
              <w:right w:val="nil"/>
            </w:tcBorders>
            <w:hideMark/>
          </w:tcPr>
          <w:p w14:paraId="6717E738"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600</w:t>
            </w:r>
          </w:p>
        </w:tc>
        <w:tc>
          <w:tcPr>
            <w:tcW w:w="718" w:type="pct"/>
            <w:tcBorders>
              <w:left w:val="nil"/>
              <w:right w:val="nil"/>
            </w:tcBorders>
            <w:hideMark/>
          </w:tcPr>
          <w:p w14:paraId="1B0E3121"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627</w:t>
            </w:r>
          </w:p>
        </w:tc>
        <w:tc>
          <w:tcPr>
            <w:tcW w:w="718" w:type="pct"/>
            <w:tcBorders>
              <w:left w:val="nil"/>
            </w:tcBorders>
            <w:hideMark/>
          </w:tcPr>
          <w:p w14:paraId="0A7F740B"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623,3</w:t>
            </w:r>
          </w:p>
        </w:tc>
      </w:tr>
      <w:tr w:rsidR="00583EB1" w14:paraId="4B64DA63" w14:textId="77777777" w:rsidTr="008E66E4">
        <w:trPr>
          <w:cantSplit/>
        </w:trPr>
        <w:tc>
          <w:tcPr>
            <w:cnfStyle w:val="001000000000" w:firstRow="0" w:lastRow="0" w:firstColumn="1" w:lastColumn="0" w:oddVBand="0" w:evenVBand="0" w:oddHBand="0" w:evenHBand="0" w:firstRowFirstColumn="0" w:firstRowLastColumn="0" w:lastRowFirstColumn="0" w:lastRowLastColumn="0"/>
            <w:tcW w:w="1074" w:type="pct"/>
            <w:tcBorders>
              <w:top w:val="nil"/>
              <w:left w:val="single" w:sz="8" w:space="0" w:color="C0504D" w:themeColor="accent2"/>
              <w:bottom w:val="nil"/>
              <w:right w:val="nil"/>
            </w:tcBorders>
            <w:hideMark/>
          </w:tcPr>
          <w:p w14:paraId="70F6F702" w14:textId="77777777" w:rsidR="00583EB1" w:rsidRDefault="00583EB1" w:rsidP="00583EB1">
            <w:pPr>
              <w:rPr>
                <w:rFonts w:ascii="Georgia" w:hAnsi="Georgia" w:cs="Arial"/>
                <w:bCs w:val="0"/>
                <w:sz w:val="20"/>
                <w:szCs w:val="20"/>
              </w:rPr>
            </w:pPr>
            <w:r>
              <w:rPr>
                <w:rFonts w:ascii="Georgia" w:hAnsi="Georgia" w:cs="Arial"/>
                <w:sz w:val="20"/>
                <w:szCs w:val="20"/>
              </w:rPr>
              <w:t>Vykdomų projektų skaičius (vnt.)</w:t>
            </w:r>
          </w:p>
        </w:tc>
        <w:tc>
          <w:tcPr>
            <w:tcW w:w="830" w:type="pct"/>
            <w:tcBorders>
              <w:top w:val="nil"/>
              <w:left w:val="nil"/>
              <w:bottom w:val="nil"/>
              <w:right w:val="nil"/>
            </w:tcBorders>
            <w:hideMark/>
          </w:tcPr>
          <w:p w14:paraId="4D6F042F"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34</w:t>
            </w:r>
          </w:p>
        </w:tc>
        <w:tc>
          <w:tcPr>
            <w:tcW w:w="830" w:type="pct"/>
            <w:tcBorders>
              <w:top w:val="nil"/>
              <w:left w:val="nil"/>
              <w:bottom w:val="nil"/>
              <w:right w:val="nil"/>
            </w:tcBorders>
            <w:hideMark/>
          </w:tcPr>
          <w:p w14:paraId="37004DAD"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38</w:t>
            </w:r>
          </w:p>
        </w:tc>
        <w:tc>
          <w:tcPr>
            <w:tcW w:w="830" w:type="pct"/>
            <w:tcBorders>
              <w:top w:val="nil"/>
              <w:left w:val="nil"/>
              <w:bottom w:val="nil"/>
              <w:right w:val="nil"/>
            </w:tcBorders>
            <w:hideMark/>
          </w:tcPr>
          <w:p w14:paraId="21B0AE15"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40</w:t>
            </w:r>
          </w:p>
        </w:tc>
        <w:tc>
          <w:tcPr>
            <w:tcW w:w="718" w:type="pct"/>
            <w:tcBorders>
              <w:top w:val="nil"/>
              <w:left w:val="nil"/>
              <w:bottom w:val="nil"/>
              <w:right w:val="nil"/>
            </w:tcBorders>
            <w:hideMark/>
          </w:tcPr>
          <w:p w14:paraId="12131301"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36</w:t>
            </w:r>
          </w:p>
        </w:tc>
        <w:tc>
          <w:tcPr>
            <w:tcW w:w="718" w:type="pct"/>
            <w:tcBorders>
              <w:top w:val="nil"/>
              <w:left w:val="nil"/>
              <w:bottom w:val="nil"/>
              <w:right w:val="single" w:sz="8" w:space="0" w:color="C0504D" w:themeColor="accent2"/>
            </w:tcBorders>
            <w:hideMark/>
          </w:tcPr>
          <w:p w14:paraId="00CCC9C2"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30</w:t>
            </w:r>
          </w:p>
        </w:tc>
      </w:tr>
      <w:tr w:rsidR="00583EB1" w14:paraId="3A1E160C" w14:textId="77777777" w:rsidTr="008E66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4" w:type="pct"/>
            <w:tcBorders>
              <w:right w:val="nil"/>
            </w:tcBorders>
            <w:hideMark/>
          </w:tcPr>
          <w:p w14:paraId="771AE9AB" w14:textId="77777777" w:rsidR="00583EB1" w:rsidRDefault="00583EB1" w:rsidP="00583EB1">
            <w:pPr>
              <w:rPr>
                <w:rFonts w:ascii="Georgia" w:hAnsi="Georgia" w:cs="Arial"/>
                <w:b w:val="0"/>
                <w:bCs w:val="0"/>
                <w:sz w:val="20"/>
                <w:szCs w:val="20"/>
              </w:rPr>
            </w:pPr>
            <w:r>
              <w:rPr>
                <w:rFonts w:ascii="Georgia" w:hAnsi="Georgia" w:cs="Arial"/>
                <w:sz w:val="20"/>
                <w:szCs w:val="20"/>
              </w:rPr>
              <w:t>Pasirašyta sutarčių dėl projektų (vnt.)</w:t>
            </w:r>
          </w:p>
        </w:tc>
        <w:tc>
          <w:tcPr>
            <w:tcW w:w="830" w:type="pct"/>
            <w:tcBorders>
              <w:left w:val="nil"/>
              <w:right w:val="nil"/>
            </w:tcBorders>
            <w:hideMark/>
          </w:tcPr>
          <w:p w14:paraId="5E834B64"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n/d</w:t>
            </w:r>
          </w:p>
        </w:tc>
        <w:tc>
          <w:tcPr>
            <w:tcW w:w="830" w:type="pct"/>
            <w:tcBorders>
              <w:left w:val="nil"/>
              <w:right w:val="nil"/>
            </w:tcBorders>
            <w:hideMark/>
          </w:tcPr>
          <w:p w14:paraId="6DF02859"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7</w:t>
            </w:r>
          </w:p>
        </w:tc>
        <w:tc>
          <w:tcPr>
            <w:tcW w:w="830" w:type="pct"/>
            <w:tcBorders>
              <w:left w:val="nil"/>
              <w:right w:val="nil"/>
            </w:tcBorders>
            <w:hideMark/>
          </w:tcPr>
          <w:p w14:paraId="3148C330"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5</w:t>
            </w:r>
          </w:p>
        </w:tc>
        <w:tc>
          <w:tcPr>
            <w:tcW w:w="718" w:type="pct"/>
            <w:tcBorders>
              <w:left w:val="nil"/>
              <w:right w:val="nil"/>
            </w:tcBorders>
            <w:hideMark/>
          </w:tcPr>
          <w:p w14:paraId="4F74CECB"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2</w:t>
            </w:r>
          </w:p>
        </w:tc>
        <w:tc>
          <w:tcPr>
            <w:tcW w:w="718" w:type="pct"/>
            <w:tcBorders>
              <w:left w:val="nil"/>
            </w:tcBorders>
            <w:hideMark/>
          </w:tcPr>
          <w:p w14:paraId="4F2E3117"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6</w:t>
            </w:r>
          </w:p>
        </w:tc>
      </w:tr>
      <w:tr w:rsidR="00583EB1" w14:paraId="329C4DBD" w14:textId="77777777" w:rsidTr="008E66E4">
        <w:trPr>
          <w:cantSplit/>
        </w:trPr>
        <w:tc>
          <w:tcPr>
            <w:cnfStyle w:val="001000000000" w:firstRow="0" w:lastRow="0" w:firstColumn="1" w:lastColumn="0" w:oddVBand="0" w:evenVBand="0" w:oddHBand="0" w:evenHBand="0" w:firstRowFirstColumn="0" w:firstRowLastColumn="0" w:lastRowFirstColumn="0" w:lastRowLastColumn="0"/>
            <w:tcW w:w="1074" w:type="pct"/>
            <w:tcBorders>
              <w:top w:val="nil"/>
              <w:left w:val="single" w:sz="8" w:space="0" w:color="C0504D" w:themeColor="accent2"/>
              <w:bottom w:val="nil"/>
              <w:right w:val="nil"/>
            </w:tcBorders>
            <w:hideMark/>
          </w:tcPr>
          <w:p w14:paraId="2F40AA45" w14:textId="77777777" w:rsidR="00583EB1" w:rsidRDefault="00583EB1" w:rsidP="00583EB1">
            <w:pPr>
              <w:rPr>
                <w:rFonts w:ascii="Georgia" w:hAnsi="Georgia" w:cs="Arial"/>
                <w:bCs w:val="0"/>
                <w:sz w:val="20"/>
                <w:szCs w:val="20"/>
              </w:rPr>
            </w:pPr>
            <w:r>
              <w:rPr>
                <w:rFonts w:ascii="Georgia" w:hAnsi="Georgia" w:cs="Arial"/>
                <w:sz w:val="20"/>
                <w:szCs w:val="20"/>
              </w:rPr>
              <w:t>Įsipareigojimai (metiniai)</w:t>
            </w:r>
            <w:r>
              <w:rPr>
                <w:rFonts w:ascii="Georgia" w:hAnsi="Georgia" w:cs="Arial"/>
                <w:sz w:val="20"/>
                <w:szCs w:val="20"/>
                <w:vertAlign w:val="superscript"/>
              </w:rPr>
              <w:footnoteReference w:id="41"/>
            </w:r>
            <w:r>
              <w:rPr>
                <w:rFonts w:ascii="Georgia" w:hAnsi="Georgia" w:cs="Arial"/>
                <w:sz w:val="20"/>
                <w:szCs w:val="20"/>
              </w:rPr>
              <w:t xml:space="preserve"> (mln. EUR)</w:t>
            </w:r>
          </w:p>
        </w:tc>
        <w:tc>
          <w:tcPr>
            <w:tcW w:w="830" w:type="pct"/>
            <w:tcBorders>
              <w:top w:val="nil"/>
              <w:left w:val="nil"/>
              <w:bottom w:val="nil"/>
              <w:right w:val="nil"/>
            </w:tcBorders>
            <w:hideMark/>
          </w:tcPr>
          <w:p w14:paraId="5ED0DFB9"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0</w:t>
            </w:r>
          </w:p>
        </w:tc>
        <w:tc>
          <w:tcPr>
            <w:tcW w:w="830" w:type="pct"/>
            <w:tcBorders>
              <w:top w:val="nil"/>
              <w:left w:val="nil"/>
              <w:bottom w:val="nil"/>
              <w:right w:val="nil"/>
            </w:tcBorders>
            <w:hideMark/>
          </w:tcPr>
          <w:p w14:paraId="0E23A110"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29</w:t>
            </w:r>
          </w:p>
        </w:tc>
        <w:tc>
          <w:tcPr>
            <w:tcW w:w="830" w:type="pct"/>
            <w:tcBorders>
              <w:top w:val="nil"/>
              <w:left w:val="nil"/>
              <w:bottom w:val="nil"/>
              <w:right w:val="nil"/>
            </w:tcBorders>
            <w:hideMark/>
          </w:tcPr>
          <w:p w14:paraId="07E6A906"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99</w:t>
            </w:r>
          </w:p>
        </w:tc>
        <w:tc>
          <w:tcPr>
            <w:tcW w:w="718" w:type="pct"/>
            <w:tcBorders>
              <w:top w:val="nil"/>
              <w:left w:val="nil"/>
              <w:bottom w:val="nil"/>
              <w:right w:val="nil"/>
            </w:tcBorders>
            <w:hideMark/>
          </w:tcPr>
          <w:p w14:paraId="36EF0639"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37</w:t>
            </w:r>
          </w:p>
        </w:tc>
        <w:tc>
          <w:tcPr>
            <w:tcW w:w="718" w:type="pct"/>
            <w:tcBorders>
              <w:top w:val="nil"/>
              <w:left w:val="nil"/>
              <w:bottom w:val="nil"/>
              <w:right w:val="single" w:sz="8" w:space="0" w:color="C0504D" w:themeColor="accent2"/>
            </w:tcBorders>
            <w:hideMark/>
          </w:tcPr>
          <w:p w14:paraId="0ACE97A5"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32</w:t>
            </w:r>
          </w:p>
        </w:tc>
      </w:tr>
      <w:tr w:rsidR="00583EB1" w14:paraId="64F6F8AB" w14:textId="77777777" w:rsidTr="008E66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4" w:type="pct"/>
            <w:tcBorders>
              <w:right w:val="nil"/>
            </w:tcBorders>
            <w:hideMark/>
          </w:tcPr>
          <w:p w14:paraId="315F195D" w14:textId="77777777" w:rsidR="00583EB1" w:rsidRDefault="00583EB1" w:rsidP="00583EB1">
            <w:pPr>
              <w:rPr>
                <w:rFonts w:ascii="Georgia" w:hAnsi="Georgia" w:cs="Arial"/>
                <w:bCs w:val="0"/>
                <w:sz w:val="20"/>
                <w:szCs w:val="20"/>
              </w:rPr>
            </w:pPr>
            <w:r>
              <w:rPr>
                <w:rFonts w:ascii="Georgia" w:hAnsi="Georgia" w:cs="Arial"/>
                <w:sz w:val="20"/>
                <w:szCs w:val="20"/>
              </w:rPr>
              <w:lastRenderedPageBreak/>
              <w:t>Išmokėta lėšų</w:t>
            </w:r>
            <w:r>
              <w:rPr>
                <w:rFonts w:ascii="Georgia" w:hAnsi="Georgia" w:cs="Arial"/>
                <w:sz w:val="20"/>
                <w:szCs w:val="20"/>
                <w:vertAlign w:val="superscript"/>
              </w:rPr>
              <w:footnoteReference w:id="42"/>
            </w:r>
            <w:r>
              <w:rPr>
                <w:rFonts w:ascii="Georgia" w:hAnsi="Georgia" w:cs="Arial"/>
                <w:sz w:val="20"/>
                <w:szCs w:val="20"/>
              </w:rPr>
              <w:t xml:space="preserve"> (mln. EUR)</w:t>
            </w:r>
          </w:p>
        </w:tc>
        <w:tc>
          <w:tcPr>
            <w:tcW w:w="830" w:type="pct"/>
            <w:tcBorders>
              <w:left w:val="nil"/>
              <w:right w:val="nil"/>
            </w:tcBorders>
            <w:hideMark/>
          </w:tcPr>
          <w:p w14:paraId="285CC620"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18</w:t>
            </w:r>
          </w:p>
        </w:tc>
        <w:tc>
          <w:tcPr>
            <w:tcW w:w="830" w:type="pct"/>
            <w:tcBorders>
              <w:left w:val="nil"/>
              <w:right w:val="nil"/>
            </w:tcBorders>
            <w:hideMark/>
          </w:tcPr>
          <w:p w14:paraId="0A297C17"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6</w:t>
            </w:r>
          </w:p>
        </w:tc>
        <w:tc>
          <w:tcPr>
            <w:tcW w:w="830" w:type="pct"/>
            <w:tcBorders>
              <w:left w:val="nil"/>
              <w:right w:val="nil"/>
            </w:tcBorders>
            <w:hideMark/>
          </w:tcPr>
          <w:p w14:paraId="748A3640"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95</w:t>
            </w:r>
          </w:p>
        </w:tc>
        <w:tc>
          <w:tcPr>
            <w:tcW w:w="718" w:type="pct"/>
            <w:tcBorders>
              <w:left w:val="nil"/>
              <w:right w:val="nil"/>
            </w:tcBorders>
            <w:hideMark/>
          </w:tcPr>
          <w:p w14:paraId="7550226B"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n/d</w:t>
            </w:r>
          </w:p>
        </w:tc>
        <w:tc>
          <w:tcPr>
            <w:tcW w:w="718" w:type="pct"/>
            <w:tcBorders>
              <w:left w:val="nil"/>
            </w:tcBorders>
            <w:hideMark/>
          </w:tcPr>
          <w:p w14:paraId="1E4555BD"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n/d</w:t>
            </w:r>
          </w:p>
        </w:tc>
      </w:tr>
    </w:tbl>
    <w:p w14:paraId="71AE9D1F" w14:textId="77777777" w:rsidR="00583EB1" w:rsidRPr="001F7D0D" w:rsidRDefault="00583EB1" w:rsidP="006167C8">
      <w:pPr>
        <w:pStyle w:val="Antrat"/>
        <w:spacing w:line="276" w:lineRule="auto"/>
        <w:rPr>
          <w:b w:val="0"/>
          <w:i/>
          <w:lang w:val="lt-LT"/>
        </w:rPr>
      </w:pPr>
      <w:r w:rsidRPr="001F7D0D">
        <w:rPr>
          <w:b w:val="0"/>
          <w:i/>
          <w:lang w:val="lt-LT"/>
        </w:rPr>
        <w:t>Šaltinis: 2012 m. lapkričio mėn. 13 ERPB valdybos patvirtinta strategija Lietuvai</w:t>
      </w:r>
      <w:r w:rsidRPr="001F7D0D">
        <w:rPr>
          <w:b w:val="0"/>
          <w:vertAlign w:val="superscript"/>
          <w:lang w:val="lt-LT"/>
        </w:rPr>
        <w:footnoteReference w:id="43"/>
      </w:r>
    </w:p>
    <w:p w14:paraId="52CEA8C5" w14:textId="77777777" w:rsidR="00583EB1" w:rsidRDefault="00583EB1" w:rsidP="00583EB1">
      <w:pPr>
        <w:spacing w:after="120" w:line="240" w:lineRule="auto"/>
        <w:jc w:val="both"/>
        <w:rPr>
          <w:rFonts w:ascii="Georgia" w:hAnsi="Georgia" w:cs="Arial"/>
          <w:sz w:val="20"/>
          <w:szCs w:val="20"/>
          <w:lang w:val="lt-LT"/>
        </w:rPr>
      </w:pPr>
      <w:r>
        <w:rPr>
          <w:rFonts w:ascii="Georgia" w:hAnsi="Georgia" w:cs="Arial"/>
          <w:sz w:val="20"/>
          <w:szCs w:val="20"/>
          <w:lang w:val="lt-LT"/>
        </w:rPr>
        <w:t xml:space="preserve">2014 m. rugpjūčio 31 d. duomenimis ERPB portfelio apimtis buvo </w:t>
      </w:r>
      <w:r>
        <w:rPr>
          <w:rFonts w:ascii="Georgia" w:hAnsi="Georgia" w:cs="Arial"/>
          <w:sz w:val="20"/>
          <w:szCs w:val="20"/>
        </w:rPr>
        <w:t>124,2</w:t>
      </w:r>
      <w:r>
        <w:rPr>
          <w:rFonts w:ascii="Georgia" w:hAnsi="Georgia" w:cs="Arial"/>
          <w:sz w:val="20"/>
          <w:szCs w:val="20"/>
          <w:lang w:val="lt-LT"/>
        </w:rPr>
        <w:t xml:space="preserve"> mln. eurų</w:t>
      </w:r>
      <w:r>
        <w:rPr>
          <w:rStyle w:val="Puslapioinaosnuoroda"/>
          <w:rFonts w:ascii="Georgia" w:hAnsi="Georgia" w:cs="Arial"/>
          <w:sz w:val="20"/>
          <w:szCs w:val="20"/>
          <w:lang w:val="lt-LT"/>
        </w:rPr>
        <w:footnoteReference w:id="44"/>
      </w:r>
      <w:r>
        <w:rPr>
          <w:rFonts w:ascii="Georgia" w:hAnsi="Georgia" w:cs="Arial"/>
          <w:sz w:val="20"/>
          <w:szCs w:val="20"/>
          <w:lang w:val="lt-LT"/>
        </w:rPr>
        <w:t>.</w:t>
      </w:r>
    </w:p>
    <w:p w14:paraId="5D2D66CE" w14:textId="77777777" w:rsidR="00583EB1" w:rsidRDefault="00583EB1" w:rsidP="00583EB1">
      <w:pPr>
        <w:spacing w:after="120" w:line="240" w:lineRule="auto"/>
        <w:jc w:val="both"/>
        <w:rPr>
          <w:rFonts w:ascii="Georgia" w:hAnsi="Georgia" w:cs="Arial"/>
          <w:sz w:val="20"/>
          <w:szCs w:val="20"/>
          <w:lang w:val="lt-LT"/>
        </w:rPr>
      </w:pPr>
      <w:r>
        <w:rPr>
          <w:rFonts w:ascii="Georgia" w:hAnsi="Georgia" w:cs="Arial"/>
          <w:sz w:val="20"/>
          <w:szCs w:val="20"/>
          <w:lang w:val="lt-LT"/>
        </w:rPr>
        <w:t>ERPB Lietuvoje finansuojamų projektų pasiskirstymas pagal sektorius pateikiamas žemiau esančiame paveiksle.</w:t>
      </w:r>
    </w:p>
    <w:p w14:paraId="31CDD37D" w14:textId="77777777" w:rsidR="00583EB1" w:rsidRDefault="00583EB1" w:rsidP="008E66E4">
      <w:pPr>
        <w:jc w:val="center"/>
        <w:rPr>
          <w:rFonts w:ascii="Georgia" w:hAnsi="Georgia"/>
          <w:sz w:val="20"/>
          <w:szCs w:val="20"/>
          <w:lang w:val="lt-LT"/>
        </w:rPr>
      </w:pPr>
      <w:r w:rsidRPr="00390E64">
        <w:rPr>
          <w:rFonts w:ascii="Georgia" w:hAnsi="Georgia"/>
          <w:noProof/>
          <w:sz w:val="20"/>
          <w:szCs w:val="20"/>
          <w:lang w:val="lt-LT" w:eastAsia="lt-LT"/>
        </w:rPr>
        <w:drawing>
          <wp:inline distT="0" distB="0" distL="0" distR="0" wp14:anchorId="78181449" wp14:editId="4ECF3ADE">
            <wp:extent cx="3622040" cy="2172970"/>
            <wp:effectExtent l="0" t="0" r="0" b="0"/>
            <wp:docPr id="4108" name="Paveikslėlis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1"/>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622040" cy="2172970"/>
                    </a:xfrm>
                    <a:prstGeom prst="rect">
                      <a:avLst/>
                    </a:prstGeom>
                    <a:noFill/>
                    <a:ln>
                      <a:noFill/>
                    </a:ln>
                  </pic:spPr>
                </pic:pic>
              </a:graphicData>
            </a:graphic>
          </wp:inline>
        </w:drawing>
      </w:r>
    </w:p>
    <w:p w14:paraId="40373668" w14:textId="71926A24" w:rsidR="00583EB1" w:rsidRPr="0061436D" w:rsidRDefault="00583EB1" w:rsidP="00583EB1">
      <w:pPr>
        <w:pStyle w:val="Antrat"/>
        <w:rPr>
          <w:lang w:val="lt-LT"/>
        </w:rPr>
      </w:pPr>
      <w:bookmarkStart w:id="87" w:name="_Toc417378288"/>
      <w:r w:rsidRPr="0061436D">
        <w:rPr>
          <w:lang w:val="lt-LT"/>
        </w:rPr>
        <w:t xml:space="preserve">Paveikslas </w:t>
      </w:r>
      <w:r w:rsidRPr="0061436D">
        <w:rPr>
          <w:lang w:val="lt-LT"/>
        </w:rPr>
        <w:fldChar w:fldCharType="begin"/>
      </w:r>
      <w:r w:rsidRPr="0061436D">
        <w:rPr>
          <w:lang w:val="lt-LT"/>
        </w:rPr>
        <w:instrText xml:space="preserve"> SEQ Paveikslas \* ARABIC </w:instrText>
      </w:r>
      <w:r w:rsidRPr="0061436D">
        <w:rPr>
          <w:lang w:val="lt-LT"/>
        </w:rPr>
        <w:fldChar w:fldCharType="separate"/>
      </w:r>
      <w:r w:rsidR="00AA3082">
        <w:rPr>
          <w:noProof/>
          <w:lang w:val="lt-LT"/>
        </w:rPr>
        <w:t>11</w:t>
      </w:r>
      <w:r w:rsidRPr="0061436D">
        <w:rPr>
          <w:lang w:val="lt-LT"/>
        </w:rPr>
        <w:fldChar w:fldCharType="end"/>
      </w:r>
      <w:r w:rsidRPr="0061436D">
        <w:rPr>
          <w:lang w:val="lt-LT"/>
        </w:rPr>
        <w:t>. ERPB Lietuvoje finansuojamų projektų pasiskirstymas pagal sektorius.</w:t>
      </w:r>
      <w:bookmarkEnd w:id="87"/>
    </w:p>
    <w:p w14:paraId="212EFF03"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ERPB skirstyme bendrasis sektorius apima žemės ūkį, pramonę, paslaugas, nuosavybę, turizmą ir telekomunikacijas. Energetikos sektorius – gamtos išteklių ir elektros energijos gamybos sričių projektus. Finansų institucijų sektorius – investicijas į labai mažas, mažas ir vidutines įmones, infrastruktūros sektorius – vietinę aplinkosaugos infrastruktūrą, transportą.</w:t>
      </w:r>
    </w:p>
    <w:p w14:paraId="22F9D7A7"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2009 m. spalio mėn., iš dalies reaguodamas į krizę, ERPB suteikė AB Šiaulių bankui 30 mln. eurų konvertuojamąją paskolą, kuria siekta palengvinti kreditų suteikimą Lietuvos MVĮ ir banko vykdomą ES remiamų investicijų bei Lietuvos Vyriausybės programų bendrą finansavimą</w:t>
      </w:r>
      <w:r>
        <w:rPr>
          <w:rFonts w:ascii="Georgia" w:hAnsi="Georgia" w:cs="Arial"/>
          <w:sz w:val="20"/>
          <w:szCs w:val="20"/>
          <w:vertAlign w:val="superscript"/>
          <w:lang w:val="lt-LT"/>
        </w:rPr>
        <w:footnoteReference w:id="45"/>
      </w:r>
      <w:r>
        <w:rPr>
          <w:rFonts w:ascii="Georgia" w:hAnsi="Georgia" w:cs="Arial"/>
          <w:sz w:val="20"/>
          <w:szCs w:val="20"/>
          <w:lang w:val="lt-LT"/>
        </w:rPr>
        <w:t>.</w:t>
      </w:r>
    </w:p>
    <w:p w14:paraId="65D2F908"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2009 m. spalio mėn. pasirašyta sutartis su AB Lietuvos elektrine, pagal kurią ERPB suteikė 71 mln. eurų paskolą kombinuoto ciklo dujų turbininio bloko statybos finansavimui. Bendra projekto vertė – 360 mln. eurų</w:t>
      </w:r>
      <w:r>
        <w:rPr>
          <w:rFonts w:ascii="Georgia" w:hAnsi="Georgia" w:cs="Arial"/>
          <w:sz w:val="20"/>
          <w:szCs w:val="20"/>
          <w:vertAlign w:val="superscript"/>
          <w:lang w:val="lt-LT"/>
        </w:rPr>
        <w:footnoteReference w:id="46"/>
      </w:r>
      <w:r>
        <w:rPr>
          <w:rFonts w:ascii="Georgia" w:hAnsi="Georgia" w:cs="Arial"/>
          <w:sz w:val="20"/>
          <w:szCs w:val="20"/>
          <w:lang w:val="lt-LT"/>
        </w:rPr>
        <w:t>.</w:t>
      </w:r>
    </w:p>
    <w:p w14:paraId="69A8A02A"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2012 m. spalio mėn. pasirašyta sutartis su LK AB Klaipėdos Smeltė tarptautinio paskirstymo centro Klaipėdos uoste statyboms</w:t>
      </w:r>
      <w:r>
        <w:rPr>
          <w:rFonts w:ascii="Georgia" w:hAnsi="Georgia" w:cs="Arial"/>
          <w:sz w:val="20"/>
          <w:szCs w:val="20"/>
          <w:vertAlign w:val="superscript"/>
          <w:lang w:val="lt-LT"/>
        </w:rPr>
        <w:footnoteReference w:id="47"/>
      </w:r>
      <w:r>
        <w:rPr>
          <w:rFonts w:ascii="Georgia" w:hAnsi="Georgia" w:cs="Arial"/>
          <w:sz w:val="20"/>
          <w:szCs w:val="20"/>
          <w:lang w:val="lt-LT"/>
        </w:rPr>
        <w:t>.</w:t>
      </w:r>
    </w:p>
    <w:p w14:paraId="0515598E" w14:textId="77777777" w:rsidR="00583EB1" w:rsidRPr="004110D8" w:rsidRDefault="00583EB1" w:rsidP="00583EB1">
      <w:pPr>
        <w:pStyle w:val="Pagrindinistekstas"/>
        <w:spacing w:line="276" w:lineRule="auto"/>
        <w:rPr>
          <w:i/>
          <w:lang w:val="lt-LT"/>
        </w:rPr>
      </w:pPr>
      <w:r w:rsidRPr="004110D8">
        <w:rPr>
          <w:i/>
          <w:lang w:val="lt-LT"/>
        </w:rPr>
        <w:t>Produktai</w:t>
      </w:r>
    </w:p>
    <w:p w14:paraId="1F195E73"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Pagrindiniai ERPB siūlomi produktai yra paskolos ir garantijos.</w:t>
      </w:r>
    </w:p>
    <w:p w14:paraId="2B492EA8" w14:textId="77777777" w:rsidR="00583EB1" w:rsidRPr="004110D8" w:rsidRDefault="00583EB1" w:rsidP="00583EB1">
      <w:pPr>
        <w:pStyle w:val="Pagrindinistekstas"/>
        <w:keepNext/>
        <w:spacing w:line="276" w:lineRule="auto"/>
        <w:rPr>
          <w:i/>
          <w:lang w:val="lt-LT"/>
        </w:rPr>
      </w:pPr>
      <w:r w:rsidRPr="004110D8">
        <w:rPr>
          <w:i/>
          <w:lang w:val="lt-LT"/>
        </w:rPr>
        <w:t>Paskolos</w:t>
      </w:r>
    </w:p>
    <w:p w14:paraId="318FA472" w14:textId="77777777" w:rsidR="00583EB1" w:rsidRDefault="00583EB1" w:rsidP="00583EB1">
      <w:pPr>
        <w:keepNext/>
        <w:spacing w:after="120" w:line="240" w:lineRule="auto"/>
        <w:jc w:val="both"/>
        <w:rPr>
          <w:rFonts w:ascii="Georgia" w:hAnsi="Georgia" w:cs="Arial"/>
          <w:sz w:val="20"/>
          <w:szCs w:val="20"/>
          <w:lang w:val="lt-LT"/>
        </w:rPr>
      </w:pPr>
      <w:r>
        <w:rPr>
          <w:rFonts w:ascii="Georgia" w:hAnsi="Georgia" w:cs="Arial"/>
          <w:sz w:val="20"/>
          <w:szCs w:val="20"/>
          <w:lang w:val="lt-LT"/>
        </w:rPr>
        <w:t xml:space="preserve">Paskolos sąlygos nustatomos vertinant konkretaus projekto finansinius srautus ir kliento gebėjimą grąžinti paskolą per sutartą laikotarpį. Kredito rizika gali būti pilnai prisiimta banko arba iš dalies </w:t>
      </w:r>
      <w:r>
        <w:rPr>
          <w:rFonts w:ascii="Georgia" w:hAnsi="Georgia" w:cs="Arial"/>
          <w:sz w:val="20"/>
          <w:szCs w:val="20"/>
          <w:lang w:val="lt-LT"/>
        </w:rPr>
        <w:lastRenderedPageBreak/>
        <w:t>sindikuota į rinką. Paskola gali būti užtikrinta skolininko turtu ir / arba gali būti konvertuojama į akcijas ar susieta su kapitalu.</w:t>
      </w:r>
    </w:p>
    <w:p w14:paraId="6EA472D7" w14:textId="77777777" w:rsidR="00583EB1" w:rsidRDefault="00583EB1" w:rsidP="00583EB1">
      <w:pPr>
        <w:spacing w:after="120" w:line="240" w:lineRule="auto"/>
        <w:jc w:val="both"/>
        <w:rPr>
          <w:rFonts w:ascii="Georgia" w:hAnsi="Georgia" w:cs="Arial"/>
          <w:sz w:val="20"/>
          <w:szCs w:val="20"/>
          <w:lang w:val="lt-LT"/>
        </w:rPr>
      </w:pPr>
      <w:r>
        <w:rPr>
          <w:rFonts w:ascii="Georgia" w:hAnsi="Georgia" w:cs="Arial"/>
          <w:sz w:val="20"/>
          <w:szCs w:val="20"/>
          <w:lang w:val="lt-LT"/>
        </w:rPr>
        <w:t>Informacija apie ERPB paskoloms keliamus reikalavimus pateikiama žemiau esančioje lentelėje.</w:t>
      </w:r>
    </w:p>
    <w:p w14:paraId="35D6A29C" w14:textId="47C2763D" w:rsidR="00583EB1" w:rsidRPr="0061436D" w:rsidRDefault="00583EB1" w:rsidP="00583EB1">
      <w:pPr>
        <w:pStyle w:val="Antrat"/>
        <w:spacing w:line="276" w:lineRule="auto"/>
        <w:jc w:val="both"/>
        <w:rPr>
          <w:rFonts w:cs="Arial"/>
          <w:szCs w:val="20"/>
          <w:lang w:val="lt-LT"/>
        </w:rPr>
      </w:pPr>
      <w:bookmarkStart w:id="88" w:name="_Toc460321609"/>
      <w:r w:rsidRPr="0061436D">
        <w:rPr>
          <w:lang w:val="lt-LT"/>
        </w:rPr>
        <w:t xml:space="preserve">Lentelė </w:t>
      </w:r>
      <w:r w:rsidRPr="0061436D">
        <w:rPr>
          <w:lang w:val="lt-LT"/>
        </w:rPr>
        <w:fldChar w:fldCharType="begin"/>
      </w:r>
      <w:r w:rsidRPr="0061436D">
        <w:rPr>
          <w:lang w:val="lt-LT"/>
        </w:rPr>
        <w:instrText xml:space="preserve"> SEQ Lentelė \* ARABIC </w:instrText>
      </w:r>
      <w:r w:rsidRPr="0061436D">
        <w:rPr>
          <w:lang w:val="lt-LT"/>
        </w:rPr>
        <w:fldChar w:fldCharType="separate"/>
      </w:r>
      <w:r w:rsidR="00AA3082">
        <w:rPr>
          <w:noProof/>
          <w:lang w:val="lt-LT"/>
        </w:rPr>
        <w:t>28</w:t>
      </w:r>
      <w:r w:rsidRPr="0061436D">
        <w:rPr>
          <w:lang w:val="lt-LT"/>
        </w:rPr>
        <w:fldChar w:fldCharType="end"/>
      </w:r>
      <w:r w:rsidRPr="0061436D">
        <w:rPr>
          <w:lang w:val="lt-LT"/>
        </w:rPr>
        <w:t>. ERPB siūlomų produktų sąlygos.</w:t>
      </w:r>
      <w:bookmarkEnd w:id="88"/>
      <w:r w:rsidRPr="0061436D">
        <w:rPr>
          <w:lang w:val="lt-LT"/>
        </w:rPr>
        <w:t xml:space="preserve"> </w:t>
      </w:r>
    </w:p>
    <w:tbl>
      <w:tblPr>
        <w:tblStyle w:val="3vidutinistinklelis2parykinimas"/>
        <w:tblW w:w="5000" w:type="pct"/>
        <w:jc w:val="center"/>
        <w:tblLook w:val="04A0" w:firstRow="1" w:lastRow="0" w:firstColumn="1" w:lastColumn="0" w:noHBand="0" w:noVBand="1"/>
      </w:tblPr>
      <w:tblGrid>
        <w:gridCol w:w="2344"/>
        <w:gridCol w:w="6898"/>
      </w:tblGrid>
      <w:tr w:rsidR="00583EB1" w14:paraId="6E3BD755" w14:textId="77777777" w:rsidTr="00583EB1">
        <w:trPr>
          <w:cnfStyle w:val="100000000000" w:firstRow="1" w:lastRow="0" w:firstColumn="0" w:lastColumn="0" w:oddVBand="0" w:evenVBand="0" w:oddHBand="0" w:evenHBand="0" w:firstRowFirstColumn="0" w:firstRowLastColumn="0" w:lastRowFirstColumn="0" w:lastRowLastColumn="0"/>
          <w:cantSplit/>
          <w:trHeight w:val="325"/>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14:paraId="062901EF" w14:textId="77777777" w:rsidR="00583EB1" w:rsidRDefault="00583EB1" w:rsidP="00583EB1">
            <w:pPr>
              <w:autoSpaceDE w:val="0"/>
              <w:autoSpaceDN w:val="0"/>
              <w:adjustRightInd w:val="0"/>
              <w:jc w:val="center"/>
              <w:rPr>
                <w:rFonts w:ascii="Georgia" w:hAnsi="Georgia" w:cs="Arial"/>
                <w:bCs w:val="0"/>
                <w:color w:val="FFFFFF"/>
                <w:sz w:val="20"/>
                <w:szCs w:val="20"/>
                <w:lang w:val="lt-LT"/>
              </w:rPr>
            </w:pPr>
            <w:r>
              <w:rPr>
                <w:rFonts w:ascii="Georgia" w:hAnsi="Georgia" w:cs="Arial"/>
                <w:color w:val="FFFFFF"/>
                <w:sz w:val="20"/>
                <w:szCs w:val="20"/>
                <w:lang w:val="lt-LT"/>
              </w:rPr>
              <w:t>Paskolos sąlygos</w:t>
            </w:r>
          </w:p>
        </w:tc>
      </w:tr>
      <w:tr w:rsidR="00583EB1" w14:paraId="14949B98" w14:textId="77777777" w:rsidTr="00583EB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268" w:type="pct"/>
            <w:hideMark/>
          </w:tcPr>
          <w:p w14:paraId="08C0C9D9" w14:textId="77777777" w:rsidR="00583EB1" w:rsidRDefault="00583EB1" w:rsidP="00583EB1">
            <w:pPr>
              <w:autoSpaceDE w:val="0"/>
              <w:autoSpaceDN w:val="0"/>
              <w:adjustRightInd w:val="0"/>
              <w:rPr>
                <w:rFonts w:ascii="Georgia" w:hAnsi="Georgia" w:cs="Arial"/>
                <w:b w:val="0"/>
                <w:bCs w:val="0"/>
                <w:color w:val="FFFFFF"/>
                <w:sz w:val="20"/>
                <w:szCs w:val="20"/>
                <w:lang w:val="lt-LT"/>
              </w:rPr>
            </w:pPr>
            <w:r>
              <w:rPr>
                <w:rFonts w:ascii="Georgia" w:hAnsi="Georgia" w:cs="Arial"/>
                <w:color w:val="FFFFFF"/>
                <w:sz w:val="20"/>
                <w:szCs w:val="20"/>
                <w:lang w:val="lt-LT"/>
              </w:rPr>
              <w:t>Dydis</w:t>
            </w:r>
          </w:p>
        </w:tc>
        <w:tc>
          <w:tcPr>
            <w:tcW w:w="3732" w:type="pct"/>
            <w:hideMark/>
          </w:tcPr>
          <w:p w14:paraId="670C47F2" w14:textId="77777777" w:rsidR="00583EB1" w:rsidRDefault="00583EB1" w:rsidP="00C03122">
            <w:pPr>
              <w:pStyle w:val="Sraopastraipa"/>
              <w:numPr>
                <w:ilvl w:val="0"/>
                <w:numId w:val="23"/>
              </w:numPr>
              <w:autoSpaceDE w:val="0"/>
              <w:autoSpaceDN w:val="0"/>
              <w:adjustRightInd w:val="0"/>
              <w:ind w:left="147" w:hanging="142"/>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minimalus paskolos dydis – 5 mln. EUR, tačiau kai kuriose valstybėse gali būti ir mažesnis;</w:t>
            </w:r>
          </w:p>
          <w:p w14:paraId="5D30FF01" w14:textId="77777777" w:rsidR="00583EB1" w:rsidRDefault="00583EB1" w:rsidP="00C03122">
            <w:pPr>
              <w:pStyle w:val="Sraopastraipa"/>
              <w:numPr>
                <w:ilvl w:val="0"/>
                <w:numId w:val="23"/>
              </w:numPr>
              <w:autoSpaceDE w:val="0"/>
              <w:autoSpaceDN w:val="0"/>
              <w:adjustRightInd w:val="0"/>
              <w:ind w:left="176" w:hanging="142"/>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mažesni projektai gali būti finansuojami per finansinius tarpininkus arba specialias programas, orientuotas į nedidelės apimties tiesiogines investicijas mažiau išsivysčiusiose valstybėse;</w:t>
            </w:r>
          </w:p>
          <w:p w14:paraId="3BB3BF60" w14:textId="77777777" w:rsidR="00583EB1" w:rsidRDefault="00583EB1" w:rsidP="00C03122">
            <w:pPr>
              <w:pStyle w:val="Sraopastraipa"/>
              <w:numPr>
                <w:ilvl w:val="0"/>
                <w:numId w:val="23"/>
              </w:numPr>
              <w:autoSpaceDE w:val="0"/>
              <w:autoSpaceDN w:val="0"/>
              <w:adjustRightInd w:val="0"/>
              <w:ind w:left="176" w:hanging="142"/>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maksimalus paskolos dydis paprastai būna ne didesnis nei 230 mln. EUR;</w:t>
            </w:r>
          </w:p>
          <w:p w14:paraId="79C1A2EF" w14:textId="77777777" w:rsidR="00583EB1" w:rsidRDefault="00583EB1" w:rsidP="00C03122">
            <w:pPr>
              <w:pStyle w:val="Sraopastraipa"/>
              <w:numPr>
                <w:ilvl w:val="0"/>
                <w:numId w:val="23"/>
              </w:numPr>
              <w:autoSpaceDE w:val="0"/>
              <w:autoSpaceDN w:val="0"/>
              <w:adjustRightInd w:val="0"/>
              <w:ind w:left="176" w:hanging="142"/>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paprastai ERPB finansuoja iki 35 proc. visos projekto vertės.</w:t>
            </w:r>
          </w:p>
        </w:tc>
      </w:tr>
      <w:tr w:rsidR="00583EB1" w14:paraId="62B06F46" w14:textId="77777777" w:rsidTr="00583EB1">
        <w:trPr>
          <w:cantSplit/>
          <w:jc w:val="center"/>
        </w:trPr>
        <w:tc>
          <w:tcPr>
            <w:cnfStyle w:val="001000000000" w:firstRow="0" w:lastRow="0" w:firstColumn="1" w:lastColumn="0" w:oddVBand="0" w:evenVBand="0" w:oddHBand="0" w:evenHBand="0" w:firstRowFirstColumn="0" w:firstRowLastColumn="0" w:lastRowFirstColumn="0" w:lastRowLastColumn="0"/>
            <w:tcW w:w="1268" w:type="pct"/>
            <w:tcBorders>
              <w:top w:val="single" w:sz="6" w:space="0" w:color="FFFFFF" w:themeColor="background1"/>
            </w:tcBorders>
            <w:hideMark/>
          </w:tcPr>
          <w:p w14:paraId="2421D7EF" w14:textId="77777777" w:rsidR="00583EB1" w:rsidRDefault="00583EB1" w:rsidP="00583EB1">
            <w:pPr>
              <w:autoSpaceDE w:val="0"/>
              <w:autoSpaceDN w:val="0"/>
              <w:adjustRightInd w:val="0"/>
              <w:rPr>
                <w:rFonts w:ascii="Georgia" w:hAnsi="Georgia" w:cs="Arial"/>
                <w:b w:val="0"/>
                <w:bCs w:val="0"/>
                <w:color w:val="FFFFFF"/>
                <w:sz w:val="20"/>
                <w:szCs w:val="20"/>
                <w:lang w:val="lt-LT"/>
              </w:rPr>
            </w:pPr>
            <w:r>
              <w:rPr>
                <w:rFonts w:ascii="Georgia" w:hAnsi="Georgia" w:cs="Arial"/>
                <w:color w:val="FFFFFF"/>
                <w:sz w:val="20"/>
                <w:szCs w:val="20"/>
                <w:lang w:val="lt-LT"/>
              </w:rPr>
              <w:t>Palūkanų norma</w:t>
            </w:r>
          </w:p>
        </w:tc>
        <w:tc>
          <w:tcPr>
            <w:tcW w:w="3732"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14:paraId="4165AAC4" w14:textId="77777777" w:rsidR="00583EB1" w:rsidRDefault="00583EB1" w:rsidP="00C03122">
            <w:pPr>
              <w:pStyle w:val="Sraopastraipa"/>
              <w:numPr>
                <w:ilvl w:val="0"/>
                <w:numId w:val="22"/>
              </w:numPr>
              <w:autoSpaceDE w:val="0"/>
              <w:autoSpaceDN w:val="0"/>
              <w:adjustRightInd w:val="0"/>
              <w:ind w:left="176" w:hanging="142"/>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konkurencinga, įvertinus rinkos įkainius, pvz. EURIBOR;</w:t>
            </w:r>
          </w:p>
          <w:p w14:paraId="7454EADB" w14:textId="77777777" w:rsidR="00583EB1" w:rsidRDefault="00583EB1" w:rsidP="00C03122">
            <w:pPr>
              <w:pStyle w:val="Sraopastraipa"/>
              <w:numPr>
                <w:ilvl w:val="0"/>
                <w:numId w:val="22"/>
              </w:numPr>
              <w:autoSpaceDE w:val="0"/>
              <w:autoSpaceDN w:val="0"/>
              <w:adjustRightInd w:val="0"/>
              <w:ind w:left="176" w:hanging="142"/>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ERPB nesiūlo lengvatinių paskolų, taip pat nekonkuruoja su privačiais bankais;</w:t>
            </w:r>
          </w:p>
          <w:p w14:paraId="78C2C299" w14:textId="77777777" w:rsidR="00583EB1" w:rsidRDefault="00583EB1" w:rsidP="00C03122">
            <w:pPr>
              <w:pStyle w:val="Sraopastraipa"/>
              <w:numPr>
                <w:ilvl w:val="0"/>
                <w:numId w:val="22"/>
              </w:numPr>
              <w:autoSpaceDE w:val="0"/>
              <w:autoSpaceDN w:val="0"/>
              <w:adjustRightInd w:val="0"/>
              <w:ind w:left="176" w:hanging="142"/>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fiksuota arba kintanti palūkanų norma.</w:t>
            </w:r>
          </w:p>
        </w:tc>
      </w:tr>
      <w:tr w:rsidR="00583EB1" w14:paraId="437508B1" w14:textId="77777777" w:rsidTr="00583EB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268" w:type="pct"/>
            <w:hideMark/>
          </w:tcPr>
          <w:p w14:paraId="25A9CED6" w14:textId="77777777" w:rsidR="00583EB1" w:rsidRDefault="00583EB1" w:rsidP="00583EB1">
            <w:pPr>
              <w:autoSpaceDE w:val="0"/>
              <w:autoSpaceDN w:val="0"/>
              <w:adjustRightInd w:val="0"/>
              <w:rPr>
                <w:rFonts w:ascii="Georgia" w:hAnsi="Georgia" w:cs="Arial"/>
                <w:b w:val="0"/>
                <w:bCs w:val="0"/>
                <w:color w:val="FFFFFF"/>
                <w:sz w:val="20"/>
                <w:szCs w:val="20"/>
                <w:lang w:val="lt-LT"/>
              </w:rPr>
            </w:pPr>
            <w:r>
              <w:rPr>
                <w:rFonts w:ascii="Georgia" w:hAnsi="Georgia" w:cs="Arial"/>
                <w:color w:val="FFFFFF"/>
                <w:sz w:val="20"/>
                <w:szCs w:val="20"/>
                <w:lang w:val="lt-LT"/>
              </w:rPr>
              <w:t>Tipas</w:t>
            </w:r>
          </w:p>
        </w:tc>
        <w:tc>
          <w:tcPr>
            <w:tcW w:w="3732" w:type="pct"/>
            <w:hideMark/>
          </w:tcPr>
          <w:p w14:paraId="7E70ABA0" w14:textId="77777777" w:rsidR="00583EB1" w:rsidRDefault="00583EB1" w:rsidP="00C03122">
            <w:pPr>
              <w:pStyle w:val="Sraopastraipa"/>
              <w:numPr>
                <w:ilvl w:val="0"/>
                <w:numId w:val="22"/>
              </w:numPr>
              <w:autoSpaceDE w:val="0"/>
              <w:autoSpaceDN w:val="0"/>
              <w:adjustRightInd w:val="0"/>
              <w:ind w:left="176" w:hanging="142"/>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privilegijuota, pasitikėtina (subordinuota), „</w:t>
            </w:r>
            <w:r>
              <w:rPr>
                <w:rFonts w:ascii="Georgia" w:hAnsi="Georgia" w:cs="Arial"/>
                <w:i/>
                <w:sz w:val="20"/>
                <w:szCs w:val="20"/>
                <w:lang w:val="lt-LT"/>
              </w:rPr>
              <w:t>mezzanine</w:t>
            </w:r>
            <w:r>
              <w:rPr>
                <w:rFonts w:ascii="Georgia" w:hAnsi="Georgia" w:cs="Arial"/>
                <w:sz w:val="20"/>
                <w:szCs w:val="20"/>
                <w:lang w:val="lt-LT"/>
              </w:rPr>
              <w:t>“ ar konvertuojamoji skola.</w:t>
            </w:r>
          </w:p>
        </w:tc>
      </w:tr>
      <w:tr w:rsidR="00583EB1" w14:paraId="0595371F" w14:textId="77777777" w:rsidTr="00583EB1">
        <w:trPr>
          <w:cantSplit/>
          <w:jc w:val="center"/>
        </w:trPr>
        <w:tc>
          <w:tcPr>
            <w:cnfStyle w:val="001000000000" w:firstRow="0" w:lastRow="0" w:firstColumn="1" w:lastColumn="0" w:oddVBand="0" w:evenVBand="0" w:oddHBand="0" w:evenHBand="0" w:firstRowFirstColumn="0" w:firstRowLastColumn="0" w:lastRowFirstColumn="0" w:lastRowLastColumn="0"/>
            <w:tcW w:w="1268" w:type="pct"/>
            <w:tcBorders>
              <w:top w:val="single" w:sz="6" w:space="0" w:color="FFFFFF" w:themeColor="background1"/>
            </w:tcBorders>
            <w:hideMark/>
          </w:tcPr>
          <w:p w14:paraId="7BDB59F8" w14:textId="77777777" w:rsidR="00583EB1" w:rsidRDefault="00583EB1" w:rsidP="00583EB1">
            <w:pPr>
              <w:autoSpaceDE w:val="0"/>
              <w:autoSpaceDN w:val="0"/>
              <w:adjustRightInd w:val="0"/>
              <w:rPr>
                <w:rFonts w:ascii="Georgia" w:hAnsi="Georgia" w:cs="Arial"/>
                <w:b w:val="0"/>
                <w:bCs w:val="0"/>
                <w:color w:val="FFFFFF"/>
                <w:sz w:val="20"/>
                <w:szCs w:val="20"/>
                <w:lang w:val="lt-LT"/>
              </w:rPr>
            </w:pPr>
            <w:r>
              <w:rPr>
                <w:rFonts w:ascii="Georgia" w:hAnsi="Georgia" w:cs="Arial"/>
                <w:color w:val="FFFFFF"/>
                <w:sz w:val="20"/>
                <w:szCs w:val="20"/>
                <w:lang w:val="lt-LT"/>
              </w:rPr>
              <w:t>Valiuta</w:t>
            </w:r>
          </w:p>
        </w:tc>
        <w:tc>
          <w:tcPr>
            <w:tcW w:w="3732"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14:paraId="29177FF9" w14:textId="77777777" w:rsidR="00583EB1" w:rsidRDefault="00583EB1" w:rsidP="00C03122">
            <w:pPr>
              <w:pStyle w:val="Sraopastraipa"/>
              <w:numPr>
                <w:ilvl w:val="0"/>
                <w:numId w:val="22"/>
              </w:numPr>
              <w:autoSpaceDE w:val="0"/>
              <w:autoSpaceDN w:val="0"/>
              <w:adjustRightInd w:val="0"/>
              <w:ind w:left="176" w:hanging="142"/>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pagrindinėmis užsienio arba kai kurių valstybių vietinėmis valiutomis.</w:t>
            </w:r>
          </w:p>
        </w:tc>
      </w:tr>
      <w:tr w:rsidR="00583EB1" w14:paraId="0BE26212" w14:textId="77777777" w:rsidTr="00583EB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268" w:type="pct"/>
            <w:hideMark/>
          </w:tcPr>
          <w:p w14:paraId="48705490" w14:textId="77777777" w:rsidR="00583EB1" w:rsidRDefault="00583EB1" w:rsidP="00583EB1">
            <w:pPr>
              <w:autoSpaceDE w:val="0"/>
              <w:autoSpaceDN w:val="0"/>
              <w:adjustRightInd w:val="0"/>
              <w:rPr>
                <w:rFonts w:ascii="Georgia" w:hAnsi="Georgia" w:cs="Arial"/>
                <w:b w:val="0"/>
                <w:bCs w:val="0"/>
                <w:color w:val="FFFFFF"/>
                <w:sz w:val="20"/>
                <w:szCs w:val="20"/>
                <w:lang w:val="lt-LT"/>
              </w:rPr>
            </w:pPr>
            <w:r>
              <w:rPr>
                <w:rFonts w:ascii="Georgia" w:hAnsi="Georgia" w:cs="Arial"/>
                <w:color w:val="FFFFFF"/>
                <w:sz w:val="20"/>
                <w:szCs w:val="20"/>
                <w:lang w:val="lt-LT"/>
              </w:rPr>
              <w:t>Trukmė</w:t>
            </w:r>
          </w:p>
        </w:tc>
        <w:tc>
          <w:tcPr>
            <w:tcW w:w="3732" w:type="pct"/>
            <w:hideMark/>
          </w:tcPr>
          <w:p w14:paraId="1868E9EA" w14:textId="77777777" w:rsidR="00583EB1" w:rsidRDefault="00583EB1" w:rsidP="00C03122">
            <w:pPr>
              <w:pStyle w:val="Sraopastraipa"/>
              <w:numPr>
                <w:ilvl w:val="0"/>
                <w:numId w:val="22"/>
              </w:numPr>
              <w:autoSpaceDE w:val="0"/>
              <w:autoSpaceDN w:val="0"/>
              <w:adjustRightInd w:val="0"/>
              <w:ind w:left="176" w:hanging="142"/>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 xml:space="preserve">1-15 metų, išimtinais atvejais iki </w:t>
            </w:r>
            <w:r>
              <w:rPr>
                <w:rFonts w:ascii="Georgia" w:hAnsi="Georgia" w:cs="Arial"/>
                <w:sz w:val="20"/>
                <w:szCs w:val="20"/>
              </w:rPr>
              <w:t xml:space="preserve">20 </w:t>
            </w:r>
            <w:r>
              <w:rPr>
                <w:rFonts w:ascii="Georgia" w:hAnsi="Georgia" w:cs="Arial"/>
                <w:sz w:val="20"/>
                <w:szCs w:val="20"/>
                <w:lang w:val="lt-LT"/>
              </w:rPr>
              <w:t>metų.</w:t>
            </w:r>
          </w:p>
        </w:tc>
      </w:tr>
      <w:tr w:rsidR="00583EB1" w14:paraId="6EB326F2" w14:textId="77777777" w:rsidTr="00583EB1">
        <w:trPr>
          <w:cantSplit/>
          <w:jc w:val="center"/>
        </w:trPr>
        <w:tc>
          <w:tcPr>
            <w:cnfStyle w:val="001000000000" w:firstRow="0" w:lastRow="0" w:firstColumn="1" w:lastColumn="0" w:oddVBand="0" w:evenVBand="0" w:oddHBand="0" w:evenHBand="0" w:firstRowFirstColumn="0" w:firstRowLastColumn="0" w:lastRowFirstColumn="0" w:lastRowLastColumn="0"/>
            <w:tcW w:w="1268" w:type="pct"/>
            <w:tcBorders>
              <w:top w:val="single" w:sz="6" w:space="0" w:color="FFFFFF" w:themeColor="background1"/>
            </w:tcBorders>
            <w:hideMark/>
          </w:tcPr>
          <w:p w14:paraId="06D8F887" w14:textId="77777777" w:rsidR="00583EB1" w:rsidRDefault="00583EB1" w:rsidP="00583EB1">
            <w:pPr>
              <w:autoSpaceDE w:val="0"/>
              <w:autoSpaceDN w:val="0"/>
              <w:adjustRightInd w:val="0"/>
              <w:rPr>
                <w:rFonts w:ascii="Georgia" w:hAnsi="Georgia" w:cs="Arial"/>
                <w:b w:val="0"/>
                <w:bCs w:val="0"/>
                <w:color w:val="FFFFFF"/>
                <w:sz w:val="20"/>
                <w:szCs w:val="20"/>
                <w:lang w:val="lt-LT"/>
              </w:rPr>
            </w:pPr>
            <w:r>
              <w:rPr>
                <w:rFonts w:ascii="Georgia" w:hAnsi="Georgia" w:cs="Arial"/>
                <w:color w:val="FFFFFF"/>
                <w:sz w:val="20"/>
                <w:szCs w:val="20"/>
                <w:lang w:val="lt-LT"/>
              </w:rPr>
              <w:t>Atidėjimo laikotarpis</w:t>
            </w:r>
          </w:p>
        </w:tc>
        <w:tc>
          <w:tcPr>
            <w:tcW w:w="3732"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14:paraId="4CC2F80F" w14:textId="77777777" w:rsidR="00583EB1" w:rsidRDefault="00583EB1" w:rsidP="00C03122">
            <w:pPr>
              <w:pStyle w:val="Sraopastraipa"/>
              <w:numPr>
                <w:ilvl w:val="0"/>
                <w:numId w:val="22"/>
              </w:numPr>
              <w:autoSpaceDE w:val="0"/>
              <w:autoSpaceDN w:val="0"/>
              <w:adjustRightInd w:val="0"/>
              <w:ind w:left="176" w:hanging="142"/>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analizuojama konkretaus projekto atveju.</w:t>
            </w:r>
          </w:p>
        </w:tc>
      </w:tr>
      <w:tr w:rsidR="00583EB1" w14:paraId="522ACD10" w14:textId="77777777" w:rsidTr="00583EB1">
        <w:trPr>
          <w:cnfStyle w:val="000000100000" w:firstRow="0" w:lastRow="0" w:firstColumn="0" w:lastColumn="0" w:oddVBand="0" w:evenVBand="0" w:oddHBand="1" w:evenHBand="0" w:firstRowFirstColumn="0" w:firstRowLastColumn="0" w:lastRowFirstColumn="0" w:lastRowLastColumn="0"/>
          <w:cantSplit/>
          <w:trHeight w:val="361"/>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14:paraId="69EA0766" w14:textId="77777777" w:rsidR="00583EB1" w:rsidRDefault="00583EB1" w:rsidP="00583EB1">
            <w:pPr>
              <w:autoSpaceDE w:val="0"/>
              <w:autoSpaceDN w:val="0"/>
              <w:adjustRightInd w:val="0"/>
              <w:ind w:left="176" w:hanging="142"/>
              <w:jc w:val="center"/>
              <w:rPr>
                <w:rFonts w:ascii="Georgia" w:hAnsi="Georgia" w:cs="Arial"/>
                <w:bCs w:val="0"/>
                <w:color w:val="FFFFFF"/>
                <w:sz w:val="20"/>
                <w:szCs w:val="20"/>
                <w:lang w:val="lt-LT"/>
              </w:rPr>
            </w:pPr>
            <w:r>
              <w:rPr>
                <w:rFonts w:ascii="Georgia" w:hAnsi="Georgia" w:cs="Arial"/>
                <w:color w:val="FFFFFF"/>
                <w:sz w:val="20"/>
                <w:szCs w:val="20"/>
                <w:lang w:val="lt-LT"/>
              </w:rPr>
              <w:t>Mokesčiai ir rinkliavos</w:t>
            </w:r>
          </w:p>
        </w:tc>
      </w:tr>
      <w:tr w:rsidR="00583EB1" w14:paraId="349EDD6D" w14:textId="77777777" w:rsidTr="00583EB1">
        <w:trPr>
          <w:cantSplit/>
          <w:jc w:val="center"/>
        </w:trPr>
        <w:tc>
          <w:tcPr>
            <w:cnfStyle w:val="001000000000" w:firstRow="0" w:lastRow="0" w:firstColumn="1" w:lastColumn="0" w:oddVBand="0" w:evenVBand="0" w:oddHBand="0" w:evenHBand="0" w:firstRowFirstColumn="0" w:firstRowLastColumn="0" w:lastRowFirstColumn="0" w:lastRowLastColumn="0"/>
            <w:tcW w:w="1268" w:type="pct"/>
            <w:tcBorders>
              <w:top w:val="single" w:sz="6" w:space="0" w:color="FFFFFF" w:themeColor="background1"/>
            </w:tcBorders>
            <w:hideMark/>
          </w:tcPr>
          <w:p w14:paraId="4F09C610" w14:textId="77777777" w:rsidR="00583EB1" w:rsidRDefault="00583EB1" w:rsidP="00583EB1">
            <w:pPr>
              <w:autoSpaceDE w:val="0"/>
              <w:autoSpaceDN w:val="0"/>
              <w:adjustRightInd w:val="0"/>
              <w:rPr>
                <w:rFonts w:ascii="Georgia" w:hAnsi="Georgia" w:cs="Arial"/>
                <w:b w:val="0"/>
                <w:bCs w:val="0"/>
                <w:color w:val="FFFFFF"/>
                <w:sz w:val="20"/>
                <w:szCs w:val="20"/>
                <w:lang w:val="lt-LT"/>
              </w:rPr>
            </w:pPr>
            <w:r>
              <w:rPr>
                <w:rFonts w:ascii="Georgia" w:hAnsi="Georgia" w:cs="Arial"/>
                <w:color w:val="FFFFFF"/>
                <w:sz w:val="20"/>
                <w:szCs w:val="20"/>
                <w:lang w:val="lt-LT"/>
              </w:rPr>
              <w:t>Banko marža</w:t>
            </w:r>
          </w:p>
        </w:tc>
        <w:tc>
          <w:tcPr>
            <w:tcW w:w="3732"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14:paraId="45003931" w14:textId="77777777" w:rsidR="00583EB1" w:rsidRDefault="00583EB1" w:rsidP="00C03122">
            <w:pPr>
              <w:pStyle w:val="Sraopastraipa"/>
              <w:numPr>
                <w:ilvl w:val="0"/>
                <w:numId w:val="22"/>
              </w:numPr>
              <w:autoSpaceDE w:val="0"/>
              <w:autoSpaceDN w:val="0"/>
              <w:adjustRightInd w:val="0"/>
              <w:ind w:left="176" w:hanging="142"/>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nustatoma atsižvelgiant į konkrečios valstybės ir projekto rizikos laipsnį.</w:t>
            </w:r>
          </w:p>
        </w:tc>
      </w:tr>
      <w:tr w:rsidR="00583EB1" w14:paraId="66171447" w14:textId="77777777" w:rsidTr="00583EB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268" w:type="pct"/>
            <w:hideMark/>
          </w:tcPr>
          <w:p w14:paraId="4DA16328" w14:textId="77777777" w:rsidR="00583EB1" w:rsidRDefault="00583EB1" w:rsidP="00583EB1">
            <w:pPr>
              <w:autoSpaceDE w:val="0"/>
              <w:autoSpaceDN w:val="0"/>
              <w:adjustRightInd w:val="0"/>
              <w:rPr>
                <w:rFonts w:ascii="Georgia" w:hAnsi="Georgia" w:cs="Arial"/>
                <w:b w:val="0"/>
                <w:bCs w:val="0"/>
                <w:color w:val="FFFFFF"/>
                <w:sz w:val="20"/>
                <w:szCs w:val="20"/>
                <w:lang w:val="lt-LT"/>
              </w:rPr>
            </w:pPr>
            <w:r>
              <w:rPr>
                <w:rFonts w:ascii="Georgia" w:hAnsi="Georgia" w:cs="Arial"/>
                <w:color w:val="FFFFFF"/>
                <w:sz w:val="20"/>
                <w:szCs w:val="20"/>
                <w:lang w:val="lt-LT"/>
              </w:rPr>
              <w:t>Papildomi mokesčiai</w:t>
            </w:r>
          </w:p>
        </w:tc>
        <w:tc>
          <w:tcPr>
            <w:tcW w:w="3732" w:type="pct"/>
          </w:tcPr>
          <w:p w14:paraId="4365D717" w14:textId="77777777" w:rsidR="00583EB1" w:rsidRDefault="00583EB1" w:rsidP="00C03122">
            <w:pPr>
              <w:pStyle w:val="Sraopastraipa"/>
              <w:numPr>
                <w:ilvl w:val="0"/>
                <w:numId w:val="22"/>
              </w:numPr>
              <w:autoSpaceDE w:val="0"/>
              <w:autoSpaceDN w:val="0"/>
              <w:adjustRightInd w:val="0"/>
              <w:ind w:left="176" w:hanging="142"/>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vertinimo mokestis;</w:t>
            </w:r>
          </w:p>
          <w:p w14:paraId="34F953DD" w14:textId="77777777" w:rsidR="00583EB1" w:rsidRDefault="00583EB1" w:rsidP="00C03122">
            <w:pPr>
              <w:pStyle w:val="Sraopastraipa"/>
              <w:numPr>
                <w:ilvl w:val="0"/>
                <w:numId w:val="22"/>
              </w:numPr>
              <w:autoSpaceDE w:val="0"/>
              <w:autoSpaceDN w:val="0"/>
              <w:adjustRightInd w:val="0"/>
              <w:ind w:left="176" w:hanging="142"/>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 xml:space="preserve">iš anksto mokamas struktūrizavimo mokestis (angl. </w:t>
            </w:r>
            <w:r>
              <w:rPr>
                <w:rFonts w:ascii="Georgia" w:hAnsi="Georgia" w:cs="Arial"/>
                <w:i/>
                <w:sz w:val="20"/>
                <w:szCs w:val="20"/>
                <w:lang w:val="lt-LT"/>
              </w:rPr>
              <w:t>front-end</w:t>
            </w:r>
            <w:r>
              <w:rPr>
                <w:rFonts w:ascii="Georgia" w:hAnsi="Georgia" w:cs="Arial"/>
                <w:sz w:val="20"/>
                <w:szCs w:val="20"/>
                <w:lang w:val="lt-LT"/>
              </w:rPr>
              <w:t xml:space="preserve"> mokestis)</w:t>
            </w:r>
          </w:p>
          <w:p w14:paraId="5C131C33" w14:textId="77777777" w:rsidR="00583EB1" w:rsidRDefault="00583EB1" w:rsidP="00C03122">
            <w:pPr>
              <w:pStyle w:val="Sraopastraipa"/>
              <w:numPr>
                <w:ilvl w:val="0"/>
                <w:numId w:val="22"/>
              </w:numPr>
              <w:autoSpaceDE w:val="0"/>
              <w:autoSpaceDN w:val="0"/>
              <w:adjustRightInd w:val="0"/>
              <w:ind w:left="176" w:hanging="142"/>
              <w:jc w:val="both"/>
              <w:cnfStyle w:val="000000100000" w:firstRow="0" w:lastRow="0" w:firstColumn="0" w:lastColumn="0" w:oddVBand="0" w:evenVBand="0" w:oddHBand="1" w:evenHBand="0" w:firstRowFirstColumn="0" w:firstRowLastColumn="0" w:lastRowFirstColumn="0" w:lastRowLastColumn="0"/>
              <w:rPr>
                <w:rStyle w:val="hps"/>
              </w:rPr>
            </w:pPr>
            <w:r>
              <w:rPr>
                <w:rStyle w:val="hps"/>
                <w:rFonts w:ascii="Georgia" w:hAnsi="Georgia" w:cs="Arial"/>
                <w:sz w:val="20"/>
                <w:szCs w:val="20"/>
                <w:lang w:val="lt-LT"/>
              </w:rPr>
              <w:t>sindikuotos paskolos</w:t>
            </w:r>
            <w:r>
              <w:rPr>
                <w:rFonts w:ascii="Georgia" w:hAnsi="Georgia" w:cs="Arial"/>
                <w:sz w:val="20"/>
                <w:szCs w:val="20"/>
                <w:lang w:val="lt-LT"/>
              </w:rPr>
              <w:t xml:space="preserve"> </w:t>
            </w:r>
            <w:r>
              <w:rPr>
                <w:rStyle w:val="hps"/>
                <w:rFonts w:ascii="Georgia" w:hAnsi="Georgia" w:cs="Arial"/>
                <w:sz w:val="20"/>
                <w:szCs w:val="20"/>
                <w:lang w:val="lt-LT"/>
              </w:rPr>
              <w:t>mokestis,</w:t>
            </w:r>
            <w:r>
              <w:rPr>
                <w:rFonts w:ascii="Georgia" w:hAnsi="Georgia" w:cs="Arial"/>
                <w:sz w:val="20"/>
                <w:szCs w:val="20"/>
                <w:lang w:val="lt-LT"/>
              </w:rPr>
              <w:t xml:space="preserve"> </w:t>
            </w:r>
            <w:r>
              <w:rPr>
                <w:rStyle w:val="hps"/>
                <w:rFonts w:ascii="Georgia" w:hAnsi="Georgia" w:cs="Arial"/>
                <w:sz w:val="20"/>
                <w:szCs w:val="20"/>
                <w:lang w:val="lt-LT"/>
              </w:rPr>
              <w:t>jei taikoma;</w:t>
            </w:r>
          </w:p>
          <w:p w14:paraId="642DC557" w14:textId="77777777" w:rsidR="00583EB1" w:rsidRDefault="00583EB1" w:rsidP="00C03122">
            <w:pPr>
              <w:pStyle w:val="Sraopastraipa"/>
              <w:numPr>
                <w:ilvl w:val="0"/>
                <w:numId w:val="22"/>
              </w:numPr>
              <w:autoSpaceDE w:val="0"/>
              <w:autoSpaceDN w:val="0"/>
              <w:adjustRightInd w:val="0"/>
              <w:ind w:left="176" w:hanging="142"/>
              <w:jc w:val="both"/>
              <w:cnfStyle w:val="000000100000" w:firstRow="0" w:lastRow="0" w:firstColumn="0" w:lastColumn="0" w:oddVBand="0" w:evenVBand="0" w:oddHBand="1" w:evenHBand="0" w:firstRowFirstColumn="0" w:firstRowLastColumn="0" w:lastRowFirstColumn="0" w:lastRowLastColumn="0"/>
            </w:pPr>
            <w:r>
              <w:rPr>
                <w:rFonts w:ascii="Georgia" w:hAnsi="Georgia" w:cs="Arial"/>
                <w:sz w:val="20"/>
                <w:szCs w:val="20"/>
                <w:lang w:val="lt-LT"/>
              </w:rPr>
              <w:t>įsipareigojimo mokestis, mokamas nuo įsipareigotos, bet nepanaudotos paskolos sumos;</w:t>
            </w:r>
          </w:p>
          <w:p w14:paraId="4AF87B43" w14:textId="77777777" w:rsidR="00583EB1" w:rsidRDefault="00583EB1" w:rsidP="00C03122">
            <w:pPr>
              <w:pStyle w:val="Sraopastraipa"/>
              <w:numPr>
                <w:ilvl w:val="0"/>
                <w:numId w:val="22"/>
              </w:numPr>
              <w:autoSpaceDE w:val="0"/>
              <w:autoSpaceDN w:val="0"/>
              <w:adjustRightInd w:val="0"/>
              <w:ind w:left="176" w:hanging="142"/>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paskolos konvertavimo mokesčiai;</w:t>
            </w:r>
          </w:p>
          <w:p w14:paraId="399D9F51" w14:textId="77777777" w:rsidR="00583EB1" w:rsidRDefault="00583EB1" w:rsidP="00C03122">
            <w:pPr>
              <w:pStyle w:val="Sraopastraipa"/>
              <w:numPr>
                <w:ilvl w:val="0"/>
                <w:numId w:val="22"/>
              </w:numPr>
              <w:autoSpaceDE w:val="0"/>
              <w:autoSpaceDN w:val="0"/>
              <w:adjustRightInd w:val="0"/>
              <w:ind w:left="176" w:hanging="142"/>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avanso, atšaukimo ir vėlavimo mokesčiai, jei taikoma.</w:t>
            </w:r>
          </w:p>
          <w:p w14:paraId="6EF5C86E" w14:textId="77777777" w:rsidR="00583EB1" w:rsidRDefault="00583EB1" w:rsidP="00583EB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p>
        </w:tc>
      </w:tr>
      <w:tr w:rsidR="00583EB1" w14:paraId="0EBC22E7" w14:textId="77777777" w:rsidTr="00583EB1">
        <w:trPr>
          <w:cantSplit/>
          <w:trHeight w:val="314"/>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14:paraId="1E71CC6D" w14:textId="77777777" w:rsidR="00583EB1" w:rsidRDefault="00583EB1" w:rsidP="00583EB1">
            <w:pPr>
              <w:autoSpaceDE w:val="0"/>
              <w:autoSpaceDN w:val="0"/>
              <w:adjustRightInd w:val="0"/>
              <w:ind w:left="176" w:hanging="142"/>
              <w:jc w:val="center"/>
              <w:rPr>
                <w:rFonts w:ascii="Georgia" w:hAnsi="Georgia" w:cs="Arial"/>
                <w:b w:val="0"/>
                <w:bCs w:val="0"/>
                <w:color w:val="FFFFFF"/>
                <w:sz w:val="20"/>
                <w:szCs w:val="20"/>
                <w:lang w:val="lt-LT"/>
              </w:rPr>
            </w:pPr>
            <w:r>
              <w:rPr>
                <w:rFonts w:ascii="Georgia" w:hAnsi="Georgia" w:cs="Arial"/>
                <w:color w:val="FFFFFF"/>
                <w:sz w:val="20"/>
                <w:szCs w:val="20"/>
                <w:lang w:val="lt-LT"/>
              </w:rPr>
              <w:t>Kitos paskolos sąlygos</w:t>
            </w:r>
            <w:r>
              <w:rPr>
                <w:rStyle w:val="Puslapioinaosnuoroda"/>
                <w:rFonts w:ascii="Georgia" w:hAnsi="Georgia" w:cs="Arial"/>
                <w:color w:val="FFFFFF"/>
                <w:sz w:val="20"/>
                <w:szCs w:val="20"/>
                <w:lang w:val="lt-LT"/>
              </w:rPr>
              <w:footnoteReference w:id="48"/>
            </w:r>
          </w:p>
        </w:tc>
      </w:tr>
      <w:tr w:rsidR="00583EB1" w14:paraId="2FD4B718" w14:textId="77777777" w:rsidTr="00583EB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268" w:type="pct"/>
            <w:hideMark/>
          </w:tcPr>
          <w:p w14:paraId="6293BF53" w14:textId="77777777" w:rsidR="00583EB1" w:rsidRDefault="00583EB1" w:rsidP="00583EB1">
            <w:pPr>
              <w:autoSpaceDE w:val="0"/>
              <w:autoSpaceDN w:val="0"/>
              <w:adjustRightInd w:val="0"/>
              <w:rPr>
                <w:rFonts w:ascii="Georgia" w:hAnsi="Georgia" w:cs="Arial"/>
                <w:b w:val="0"/>
                <w:bCs w:val="0"/>
                <w:color w:val="FFFFFF"/>
                <w:sz w:val="20"/>
                <w:szCs w:val="20"/>
                <w:lang w:val="lt-LT"/>
              </w:rPr>
            </w:pPr>
            <w:r>
              <w:rPr>
                <w:rFonts w:ascii="Georgia" w:hAnsi="Georgia" w:cs="Arial"/>
                <w:color w:val="FFFFFF"/>
                <w:sz w:val="20"/>
                <w:szCs w:val="20"/>
                <w:lang w:val="lt-LT"/>
              </w:rPr>
              <w:t>Atgręžtinis reikalavimas</w:t>
            </w:r>
          </w:p>
        </w:tc>
        <w:tc>
          <w:tcPr>
            <w:tcW w:w="3732" w:type="pct"/>
            <w:hideMark/>
          </w:tcPr>
          <w:p w14:paraId="591FB0F6" w14:textId="77777777" w:rsidR="00583EB1" w:rsidRDefault="00583EB1" w:rsidP="00C03122">
            <w:pPr>
              <w:pStyle w:val="Sraopastraipa"/>
              <w:numPr>
                <w:ilvl w:val="0"/>
                <w:numId w:val="22"/>
              </w:numPr>
              <w:autoSpaceDE w:val="0"/>
              <w:autoSpaceDN w:val="0"/>
              <w:adjustRightInd w:val="0"/>
              <w:ind w:left="176" w:hanging="142"/>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atgręžtinis reikalavimas, nukreiptas į laiduotojus, nėra visada reikalaujamas. Tačiau ERPB gali reikalauti specifinių veiklos ir užbaigimo garantijų arba kelti kitus reikalavimus, kurie atitinka įprastą praktiką.</w:t>
            </w:r>
          </w:p>
        </w:tc>
      </w:tr>
      <w:tr w:rsidR="00583EB1" w14:paraId="6FD7529F" w14:textId="77777777" w:rsidTr="00583EB1">
        <w:trPr>
          <w:cantSplit/>
          <w:jc w:val="center"/>
        </w:trPr>
        <w:tc>
          <w:tcPr>
            <w:cnfStyle w:val="001000000000" w:firstRow="0" w:lastRow="0" w:firstColumn="1" w:lastColumn="0" w:oddVBand="0" w:evenVBand="0" w:oddHBand="0" w:evenHBand="0" w:firstRowFirstColumn="0" w:firstRowLastColumn="0" w:lastRowFirstColumn="0" w:lastRowLastColumn="0"/>
            <w:tcW w:w="1268" w:type="pct"/>
            <w:tcBorders>
              <w:top w:val="single" w:sz="6" w:space="0" w:color="FFFFFF" w:themeColor="background1"/>
            </w:tcBorders>
            <w:hideMark/>
          </w:tcPr>
          <w:p w14:paraId="0E80D283" w14:textId="77777777" w:rsidR="00583EB1" w:rsidRDefault="00583EB1" w:rsidP="00583EB1">
            <w:pPr>
              <w:autoSpaceDE w:val="0"/>
              <w:autoSpaceDN w:val="0"/>
              <w:adjustRightInd w:val="0"/>
              <w:rPr>
                <w:rFonts w:ascii="Georgia" w:hAnsi="Georgia" w:cs="Arial"/>
                <w:b w:val="0"/>
                <w:bCs w:val="0"/>
                <w:color w:val="FFFFFF"/>
                <w:sz w:val="20"/>
                <w:szCs w:val="20"/>
                <w:lang w:val="lt-LT"/>
              </w:rPr>
            </w:pPr>
            <w:r>
              <w:rPr>
                <w:rFonts w:ascii="Georgia" w:hAnsi="Georgia" w:cs="Arial"/>
                <w:color w:val="FFFFFF"/>
                <w:sz w:val="20"/>
                <w:szCs w:val="20"/>
                <w:lang w:val="lt-LT"/>
              </w:rPr>
              <w:t>Draudimas</w:t>
            </w:r>
          </w:p>
        </w:tc>
        <w:tc>
          <w:tcPr>
            <w:tcW w:w="3732"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14:paraId="7F18A74E" w14:textId="77777777" w:rsidR="00583EB1" w:rsidRDefault="00583EB1" w:rsidP="00C03122">
            <w:pPr>
              <w:pStyle w:val="Sraopastraipa"/>
              <w:numPr>
                <w:ilvl w:val="0"/>
                <w:numId w:val="22"/>
              </w:numPr>
              <w:autoSpaceDE w:val="0"/>
              <w:autoSpaceDN w:val="0"/>
              <w:adjustRightInd w:val="0"/>
              <w:ind w:left="176" w:hanging="142"/>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ERPB reikalauja iš projektų vykdytojų draudimo dėl įprastų rizikų, pvz., vagystės, gaisro, specifinių statybos rizikų ir pan.</w:t>
            </w:r>
          </w:p>
        </w:tc>
      </w:tr>
      <w:tr w:rsidR="00583EB1" w14:paraId="2A97B46E" w14:textId="77777777" w:rsidTr="00583EB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268" w:type="pct"/>
            <w:hideMark/>
          </w:tcPr>
          <w:p w14:paraId="32897E32" w14:textId="77777777" w:rsidR="00583EB1" w:rsidRDefault="00583EB1" w:rsidP="00583EB1">
            <w:pPr>
              <w:autoSpaceDE w:val="0"/>
              <w:autoSpaceDN w:val="0"/>
              <w:adjustRightInd w:val="0"/>
              <w:rPr>
                <w:rFonts w:ascii="Georgia" w:hAnsi="Georgia" w:cs="Arial"/>
                <w:b w:val="0"/>
                <w:bCs w:val="0"/>
                <w:color w:val="FFFFFF"/>
                <w:sz w:val="20"/>
                <w:szCs w:val="20"/>
                <w:lang w:val="lt-LT"/>
              </w:rPr>
            </w:pPr>
            <w:r>
              <w:rPr>
                <w:rFonts w:ascii="Georgia" w:hAnsi="Georgia" w:cs="Arial"/>
                <w:color w:val="FFFFFF"/>
                <w:sz w:val="20"/>
                <w:szCs w:val="20"/>
                <w:lang w:val="lt-LT"/>
              </w:rPr>
              <w:t>Paskolos saugumas</w:t>
            </w:r>
          </w:p>
        </w:tc>
        <w:tc>
          <w:tcPr>
            <w:tcW w:w="3732" w:type="pct"/>
            <w:hideMark/>
          </w:tcPr>
          <w:p w14:paraId="5FBB154F" w14:textId="77777777" w:rsidR="00583EB1" w:rsidRDefault="00583EB1" w:rsidP="00C03122">
            <w:pPr>
              <w:pStyle w:val="Sraopastraipa"/>
              <w:numPr>
                <w:ilvl w:val="0"/>
                <w:numId w:val="22"/>
              </w:numPr>
              <w:autoSpaceDE w:val="0"/>
              <w:autoSpaceDN w:val="0"/>
              <w:adjustRightInd w:val="0"/>
              <w:ind w:left="176" w:hanging="142"/>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ERPB paprastai reikalauja, jog paskola būtų garantuota projekto turtu. Tai gali apimti:</w:t>
            </w:r>
          </w:p>
          <w:p w14:paraId="272D6D0A" w14:textId="77777777" w:rsidR="00583EB1" w:rsidRDefault="00583EB1" w:rsidP="00C03122">
            <w:pPr>
              <w:pStyle w:val="Sraopastraipa"/>
              <w:numPr>
                <w:ilvl w:val="0"/>
                <w:numId w:val="22"/>
              </w:numPr>
              <w:autoSpaceDE w:val="0"/>
              <w:autoSpaceDN w:val="0"/>
              <w:adjustRightInd w:val="0"/>
              <w:ind w:left="431" w:hanging="284"/>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nekilnojamojo turto įkeitimą, pvz. žemės, pastatų ir pan.;</w:t>
            </w:r>
          </w:p>
          <w:p w14:paraId="14BCDD58" w14:textId="77777777" w:rsidR="00583EB1" w:rsidRDefault="00583EB1" w:rsidP="00C03122">
            <w:pPr>
              <w:pStyle w:val="Sraopastraipa"/>
              <w:numPr>
                <w:ilvl w:val="0"/>
                <w:numId w:val="22"/>
              </w:numPr>
              <w:autoSpaceDE w:val="0"/>
              <w:autoSpaceDN w:val="0"/>
              <w:adjustRightInd w:val="0"/>
              <w:ind w:left="431" w:hanging="284"/>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kilnojamojo turto įkeitimą, pvz. įrangos ir pan.;</w:t>
            </w:r>
          </w:p>
          <w:p w14:paraId="2C84421A" w14:textId="77777777" w:rsidR="00583EB1" w:rsidRDefault="00583EB1" w:rsidP="00C03122">
            <w:pPr>
              <w:pStyle w:val="Sraopastraipa"/>
              <w:numPr>
                <w:ilvl w:val="0"/>
                <w:numId w:val="22"/>
              </w:numPr>
              <w:autoSpaceDE w:val="0"/>
              <w:autoSpaceDN w:val="0"/>
              <w:adjustRightInd w:val="0"/>
              <w:ind w:left="431" w:hanging="284"/>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teises į įmonės pajamas užsienio ir vietine valiuta;</w:t>
            </w:r>
          </w:p>
          <w:p w14:paraId="68E89DB5" w14:textId="77777777" w:rsidR="00583EB1" w:rsidRDefault="00583EB1" w:rsidP="00C03122">
            <w:pPr>
              <w:pStyle w:val="Sraopastraipa"/>
              <w:numPr>
                <w:ilvl w:val="0"/>
                <w:numId w:val="22"/>
              </w:numPr>
              <w:autoSpaceDE w:val="0"/>
              <w:autoSpaceDN w:val="0"/>
              <w:adjustRightInd w:val="0"/>
              <w:ind w:left="431" w:hanging="284"/>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akcijų įmonėje įkeitimą;</w:t>
            </w:r>
          </w:p>
          <w:p w14:paraId="3EF726C9" w14:textId="77777777" w:rsidR="00583EB1" w:rsidRDefault="00583EB1" w:rsidP="00C03122">
            <w:pPr>
              <w:pStyle w:val="Sraopastraipa"/>
              <w:numPr>
                <w:ilvl w:val="0"/>
                <w:numId w:val="22"/>
              </w:numPr>
              <w:autoSpaceDE w:val="0"/>
              <w:autoSpaceDN w:val="0"/>
              <w:adjustRightInd w:val="0"/>
              <w:ind w:left="431" w:hanging="284"/>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teises į įmonės draudimo išmokas ir kitą iš sutarčių gaunamą naudą.</w:t>
            </w:r>
          </w:p>
        </w:tc>
      </w:tr>
      <w:tr w:rsidR="00583EB1" w14:paraId="4A7EEC04" w14:textId="77777777" w:rsidTr="00583EB1">
        <w:trPr>
          <w:cantSplit/>
          <w:jc w:val="center"/>
        </w:trPr>
        <w:tc>
          <w:tcPr>
            <w:cnfStyle w:val="001000000000" w:firstRow="0" w:lastRow="0" w:firstColumn="1" w:lastColumn="0" w:oddVBand="0" w:evenVBand="0" w:oddHBand="0" w:evenHBand="0" w:firstRowFirstColumn="0" w:firstRowLastColumn="0" w:lastRowFirstColumn="0" w:lastRowLastColumn="0"/>
            <w:tcW w:w="1268" w:type="pct"/>
            <w:tcBorders>
              <w:top w:val="single" w:sz="6" w:space="0" w:color="FFFFFF" w:themeColor="background1"/>
            </w:tcBorders>
            <w:hideMark/>
          </w:tcPr>
          <w:p w14:paraId="18F19769" w14:textId="77777777" w:rsidR="00583EB1" w:rsidRDefault="00583EB1" w:rsidP="00583EB1">
            <w:pPr>
              <w:autoSpaceDE w:val="0"/>
              <w:autoSpaceDN w:val="0"/>
              <w:adjustRightInd w:val="0"/>
              <w:rPr>
                <w:rFonts w:ascii="Georgia" w:hAnsi="Georgia" w:cs="Arial"/>
                <w:b w:val="0"/>
                <w:bCs w:val="0"/>
                <w:color w:val="FFFFFF"/>
                <w:sz w:val="20"/>
                <w:szCs w:val="20"/>
                <w:lang w:val="lt-LT"/>
              </w:rPr>
            </w:pPr>
            <w:r>
              <w:rPr>
                <w:rFonts w:ascii="Georgia" w:hAnsi="Georgia" w:cs="Arial"/>
                <w:color w:val="FFFFFF"/>
                <w:sz w:val="20"/>
                <w:szCs w:val="20"/>
                <w:lang w:val="lt-LT"/>
              </w:rPr>
              <w:t>Įsipareigojimai pagal sutartį</w:t>
            </w:r>
          </w:p>
        </w:tc>
        <w:tc>
          <w:tcPr>
            <w:tcW w:w="3732"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14:paraId="074A5A82" w14:textId="77777777" w:rsidR="00583EB1" w:rsidRDefault="00583EB1" w:rsidP="00C03122">
            <w:pPr>
              <w:pStyle w:val="Sraopastraipa"/>
              <w:numPr>
                <w:ilvl w:val="0"/>
                <w:numId w:val="22"/>
              </w:numPr>
              <w:autoSpaceDE w:val="0"/>
              <w:autoSpaceDN w:val="0"/>
              <w:adjustRightInd w:val="0"/>
              <w:ind w:left="176" w:hanging="142"/>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 xml:space="preserve">tipiniams projektams finansiniai įsipareigojimai pagal sutartį (angl. </w:t>
            </w:r>
            <w:r>
              <w:rPr>
                <w:rFonts w:ascii="Georgia" w:hAnsi="Georgia" w:cs="Arial"/>
                <w:i/>
                <w:sz w:val="20"/>
                <w:szCs w:val="20"/>
                <w:lang w:val="lt-LT"/>
              </w:rPr>
              <w:t>finance covenants</w:t>
            </w:r>
            <w:r>
              <w:rPr>
                <w:rFonts w:ascii="Georgia" w:hAnsi="Georgia" w:cs="Arial"/>
                <w:sz w:val="20"/>
                <w:szCs w:val="20"/>
                <w:lang w:val="lt-LT"/>
              </w:rPr>
              <w:t>) yra privalomi kaip paskolos paketo dalis. Tokie įsipareigojimai, nurodantys tam tikras skolininko finansinę būklę liečiančias sąlygas, nustatomi derybų būdu.</w:t>
            </w:r>
          </w:p>
        </w:tc>
      </w:tr>
      <w:tr w:rsidR="00583EB1" w14:paraId="352C53B1" w14:textId="77777777" w:rsidTr="00583EB1">
        <w:trPr>
          <w:cnfStyle w:val="000000100000" w:firstRow="0" w:lastRow="0" w:firstColumn="0" w:lastColumn="0" w:oddVBand="0" w:evenVBand="0" w:oddHBand="1" w:evenHBand="0" w:firstRowFirstColumn="0" w:firstRowLastColumn="0" w:lastRowFirstColumn="0" w:lastRowLastColumn="0"/>
          <w:cantSplit/>
          <w:trHeight w:val="327"/>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14:paraId="0231378A" w14:textId="77777777" w:rsidR="00583EB1" w:rsidRDefault="00583EB1" w:rsidP="001F7D0D">
            <w:pPr>
              <w:keepNext/>
              <w:autoSpaceDE w:val="0"/>
              <w:autoSpaceDN w:val="0"/>
              <w:adjustRightInd w:val="0"/>
              <w:ind w:left="176" w:hanging="142"/>
              <w:jc w:val="center"/>
              <w:rPr>
                <w:rFonts w:ascii="Georgia" w:hAnsi="Georgia" w:cs="Arial"/>
                <w:bCs w:val="0"/>
                <w:color w:val="FFFFFF"/>
                <w:sz w:val="20"/>
                <w:szCs w:val="20"/>
                <w:lang w:val="lt-LT"/>
              </w:rPr>
            </w:pPr>
            <w:r>
              <w:rPr>
                <w:rFonts w:ascii="Georgia" w:hAnsi="Georgia" w:cs="Arial"/>
                <w:color w:val="FFFFFF"/>
                <w:sz w:val="20"/>
                <w:szCs w:val="20"/>
                <w:lang w:val="lt-LT"/>
              </w:rPr>
              <w:lastRenderedPageBreak/>
              <w:t>Paskolos mokėjimas</w:t>
            </w:r>
          </w:p>
        </w:tc>
      </w:tr>
      <w:tr w:rsidR="00583EB1" w14:paraId="27F21AD1" w14:textId="77777777" w:rsidTr="00583EB1">
        <w:trPr>
          <w:cantSplit/>
          <w:jc w:val="center"/>
        </w:trPr>
        <w:tc>
          <w:tcPr>
            <w:cnfStyle w:val="001000000000" w:firstRow="0" w:lastRow="0" w:firstColumn="1" w:lastColumn="0" w:oddVBand="0" w:evenVBand="0" w:oddHBand="0" w:evenHBand="0" w:firstRowFirstColumn="0" w:firstRowLastColumn="0" w:lastRowFirstColumn="0" w:lastRowLastColumn="0"/>
            <w:tcW w:w="1268" w:type="pct"/>
            <w:tcBorders>
              <w:top w:val="single" w:sz="6" w:space="0" w:color="FFFFFF" w:themeColor="background1"/>
            </w:tcBorders>
          </w:tcPr>
          <w:p w14:paraId="00938DBD" w14:textId="77777777" w:rsidR="00583EB1" w:rsidRDefault="00583EB1" w:rsidP="001F7D0D">
            <w:pPr>
              <w:keepNext/>
              <w:autoSpaceDE w:val="0"/>
              <w:autoSpaceDN w:val="0"/>
              <w:adjustRightInd w:val="0"/>
              <w:rPr>
                <w:rFonts w:ascii="Georgia" w:hAnsi="Georgia" w:cs="Arial"/>
                <w:b w:val="0"/>
                <w:bCs w:val="0"/>
                <w:color w:val="FFFFFF"/>
                <w:sz w:val="20"/>
                <w:szCs w:val="20"/>
                <w:lang w:val="lt-LT"/>
              </w:rPr>
            </w:pPr>
          </w:p>
        </w:tc>
        <w:tc>
          <w:tcPr>
            <w:tcW w:w="3732"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14:paraId="37B14D60" w14:textId="77777777" w:rsidR="00583EB1" w:rsidRDefault="00583EB1" w:rsidP="00C03122">
            <w:pPr>
              <w:pStyle w:val="Sraopastraipa"/>
              <w:keepNext/>
              <w:numPr>
                <w:ilvl w:val="0"/>
                <w:numId w:val="22"/>
              </w:numPr>
              <w:autoSpaceDE w:val="0"/>
              <w:autoSpaceDN w:val="0"/>
              <w:adjustRightInd w:val="0"/>
              <w:ind w:left="176" w:hanging="142"/>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paprastai paskolos grąžinamos lygiomis dalimis mokant dukart per metus. Ilgesni paskolos grąžinimo terminai ir grąžinimas nelygiomis dalimis gali būti taikomi išimtiniais atvejais.</w:t>
            </w:r>
          </w:p>
        </w:tc>
      </w:tr>
      <w:tr w:rsidR="00583EB1" w14:paraId="082B2207" w14:textId="77777777" w:rsidTr="00583EB1">
        <w:trPr>
          <w:cnfStyle w:val="000000100000" w:firstRow="0" w:lastRow="0" w:firstColumn="0" w:lastColumn="0" w:oddVBand="0" w:evenVBand="0" w:oddHBand="1" w:evenHBand="0" w:firstRowFirstColumn="0" w:firstRowLastColumn="0" w:lastRowFirstColumn="0" w:lastRowLastColumn="0"/>
          <w:cantSplit/>
          <w:trHeight w:val="343"/>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14:paraId="0DFB990C" w14:textId="77777777" w:rsidR="00583EB1" w:rsidRDefault="00583EB1" w:rsidP="00583EB1">
            <w:pPr>
              <w:pStyle w:val="Sraopastraipa"/>
              <w:autoSpaceDE w:val="0"/>
              <w:autoSpaceDN w:val="0"/>
              <w:adjustRightInd w:val="0"/>
              <w:ind w:left="176" w:hanging="142"/>
              <w:jc w:val="center"/>
              <w:rPr>
                <w:rFonts w:ascii="Georgia" w:hAnsi="Georgia" w:cs="Arial"/>
                <w:bCs w:val="0"/>
                <w:color w:val="FFFFFF"/>
                <w:sz w:val="20"/>
                <w:szCs w:val="20"/>
                <w:lang w:val="lt-LT"/>
              </w:rPr>
            </w:pPr>
            <w:r>
              <w:rPr>
                <w:rFonts w:ascii="Georgia" w:hAnsi="Georgia" w:cs="Arial"/>
                <w:color w:val="FFFFFF"/>
                <w:sz w:val="20"/>
                <w:szCs w:val="20"/>
                <w:lang w:val="lt-LT"/>
              </w:rPr>
              <w:t xml:space="preserve">Rizikų valdymas (angl. </w:t>
            </w:r>
            <w:r>
              <w:rPr>
                <w:rFonts w:ascii="Georgia" w:hAnsi="Georgia" w:cs="Arial"/>
                <w:i/>
                <w:color w:val="FFFFFF"/>
                <w:sz w:val="20"/>
                <w:szCs w:val="20"/>
                <w:lang w:val="lt-LT"/>
              </w:rPr>
              <w:t>hedging</w:t>
            </w:r>
            <w:r>
              <w:rPr>
                <w:rFonts w:ascii="Georgia" w:hAnsi="Georgia" w:cs="Arial"/>
                <w:color w:val="FFFFFF"/>
                <w:sz w:val="20"/>
                <w:szCs w:val="20"/>
                <w:lang w:val="lt-LT"/>
              </w:rPr>
              <w:t>)</w:t>
            </w:r>
          </w:p>
        </w:tc>
      </w:tr>
      <w:tr w:rsidR="00583EB1" w14:paraId="2024F78B" w14:textId="77777777" w:rsidTr="00583EB1">
        <w:trPr>
          <w:cantSplit/>
          <w:jc w:val="center"/>
        </w:trPr>
        <w:tc>
          <w:tcPr>
            <w:cnfStyle w:val="001000000000" w:firstRow="0" w:lastRow="0" w:firstColumn="1" w:lastColumn="0" w:oddVBand="0" w:evenVBand="0" w:oddHBand="0" w:evenHBand="0" w:firstRowFirstColumn="0" w:firstRowLastColumn="0" w:lastRowFirstColumn="0" w:lastRowLastColumn="0"/>
            <w:tcW w:w="1268" w:type="pct"/>
            <w:tcBorders>
              <w:top w:val="single" w:sz="6" w:space="0" w:color="FFFFFF" w:themeColor="background1"/>
            </w:tcBorders>
          </w:tcPr>
          <w:p w14:paraId="79C510A6" w14:textId="77777777" w:rsidR="00583EB1" w:rsidRDefault="00583EB1" w:rsidP="00583EB1">
            <w:pPr>
              <w:autoSpaceDE w:val="0"/>
              <w:autoSpaceDN w:val="0"/>
              <w:adjustRightInd w:val="0"/>
              <w:rPr>
                <w:rFonts w:ascii="Georgia" w:hAnsi="Georgia" w:cs="Arial"/>
                <w:b w:val="0"/>
                <w:bCs w:val="0"/>
                <w:color w:val="FFFFFF"/>
                <w:sz w:val="20"/>
                <w:szCs w:val="20"/>
                <w:lang w:val="lt-LT"/>
              </w:rPr>
            </w:pPr>
          </w:p>
        </w:tc>
        <w:tc>
          <w:tcPr>
            <w:tcW w:w="3732"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14:paraId="181CB3A8" w14:textId="77777777" w:rsidR="00583EB1" w:rsidRDefault="00583EB1" w:rsidP="00C03122">
            <w:pPr>
              <w:pStyle w:val="Sraopastraipa"/>
              <w:numPr>
                <w:ilvl w:val="0"/>
                <w:numId w:val="22"/>
              </w:numPr>
              <w:autoSpaceDE w:val="0"/>
              <w:autoSpaceDN w:val="0"/>
              <w:adjustRightInd w:val="0"/>
              <w:ind w:left="176" w:hanging="142"/>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ERPB gali padėti valdyti finansų rizikas, susijusias su projekto turtu ir įsipareigojimais. Pagalba apima užsienio valiutų kursų svyravimo riziką, palūkanų normos riziką ir prekių kainos riziką.</w:t>
            </w:r>
          </w:p>
        </w:tc>
      </w:tr>
      <w:tr w:rsidR="00583EB1" w14:paraId="4493D08C" w14:textId="77777777" w:rsidTr="00583EB1">
        <w:trPr>
          <w:cnfStyle w:val="000000100000" w:firstRow="0" w:lastRow="0" w:firstColumn="0" w:lastColumn="0" w:oddVBand="0" w:evenVBand="0" w:oddHBand="1" w:evenHBand="0" w:firstRowFirstColumn="0" w:firstRowLastColumn="0" w:lastRowFirstColumn="0" w:lastRowLastColumn="0"/>
          <w:cantSplit/>
          <w:trHeight w:val="345"/>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14:paraId="45395C39" w14:textId="77777777" w:rsidR="00583EB1" w:rsidRDefault="00583EB1" w:rsidP="00583EB1">
            <w:pPr>
              <w:autoSpaceDE w:val="0"/>
              <w:autoSpaceDN w:val="0"/>
              <w:adjustRightInd w:val="0"/>
              <w:ind w:left="176" w:hanging="142"/>
              <w:jc w:val="center"/>
              <w:rPr>
                <w:rFonts w:ascii="Georgia" w:hAnsi="Georgia" w:cs="Arial"/>
                <w:bCs w:val="0"/>
                <w:color w:val="FFFFFF"/>
                <w:sz w:val="20"/>
                <w:szCs w:val="20"/>
                <w:lang w:val="lt-LT"/>
              </w:rPr>
            </w:pPr>
            <w:r>
              <w:rPr>
                <w:rFonts w:ascii="Georgia" w:hAnsi="Georgia" w:cs="Arial"/>
                <w:color w:val="FFFFFF"/>
                <w:sz w:val="20"/>
                <w:szCs w:val="20"/>
                <w:lang w:val="lt-LT"/>
              </w:rPr>
              <w:t>Investicijos</w:t>
            </w:r>
          </w:p>
        </w:tc>
      </w:tr>
      <w:tr w:rsidR="00583EB1" w14:paraId="04094F62" w14:textId="77777777" w:rsidTr="00583EB1">
        <w:trPr>
          <w:cantSplit/>
          <w:jc w:val="center"/>
        </w:trPr>
        <w:tc>
          <w:tcPr>
            <w:cnfStyle w:val="001000000000" w:firstRow="0" w:lastRow="0" w:firstColumn="1" w:lastColumn="0" w:oddVBand="0" w:evenVBand="0" w:oddHBand="0" w:evenHBand="0" w:firstRowFirstColumn="0" w:firstRowLastColumn="0" w:lastRowFirstColumn="0" w:lastRowLastColumn="0"/>
            <w:tcW w:w="1268" w:type="pct"/>
            <w:tcBorders>
              <w:top w:val="single" w:sz="6" w:space="0" w:color="FFFFFF" w:themeColor="background1"/>
              <w:bottom w:val="single" w:sz="8" w:space="0" w:color="FFFFFF" w:themeColor="background1"/>
            </w:tcBorders>
          </w:tcPr>
          <w:p w14:paraId="75B45C87" w14:textId="77777777" w:rsidR="00583EB1" w:rsidRDefault="00583EB1" w:rsidP="00583EB1">
            <w:pPr>
              <w:autoSpaceDE w:val="0"/>
              <w:autoSpaceDN w:val="0"/>
              <w:adjustRightInd w:val="0"/>
              <w:rPr>
                <w:rFonts w:ascii="Georgia" w:hAnsi="Georgia" w:cs="Arial"/>
                <w:b w:val="0"/>
                <w:bCs w:val="0"/>
                <w:color w:val="FFFFFF"/>
                <w:sz w:val="20"/>
                <w:szCs w:val="20"/>
                <w:lang w:val="lt-LT"/>
              </w:rPr>
            </w:pPr>
          </w:p>
        </w:tc>
        <w:tc>
          <w:tcPr>
            <w:tcW w:w="3732" w:type="pct"/>
            <w:tcBorders>
              <w:top w:val="single" w:sz="6" w:space="0" w:color="FFFFFF" w:themeColor="background1"/>
              <w:left w:val="single" w:sz="6" w:space="0" w:color="FFFFFF" w:themeColor="background1"/>
              <w:bottom w:val="single" w:sz="8" w:space="0" w:color="FFFFFF" w:themeColor="background1"/>
              <w:right w:val="single" w:sz="8" w:space="0" w:color="FFFFFF" w:themeColor="background1"/>
            </w:tcBorders>
            <w:hideMark/>
          </w:tcPr>
          <w:p w14:paraId="234EA6CC" w14:textId="77777777" w:rsidR="00583EB1" w:rsidRDefault="00583EB1" w:rsidP="00C03122">
            <w:pPr>
              <w:pStyle w:val="Sraopastraipa"/>
              <w:numPr>
                <w:ilvl w:val="0"/>
                <w:numId w:val="22"/>
              </w:numPr>
              <w:autoSpaceDE w:val="0"/>
              <w:autoSpaceDN w:val="0"/>
              <w:adjustRightInd w:val="0"/>
              <w:ind w:left="147" w:hanging="142"/>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ERPB gali investuoti į kapitalo instrumentus pramonės, infrastruktūros ir finansų sektoriuose nuo 2 mln. € iki 100 mln. € priklausomai nuo galimos grąžos. Bankas užima tik mažumos poziciją ir turi aiškią pasitraukimo strategiją.</w:t>
            </w:r>
          </w:p>
          <w:p w14:paraId="1B61AE69" w14:textId="77777777" w:rsidR="00583EB1" w:rsidRDefault="00583EB1" w:rsidP="00583EB1">
            <w:pPr>
              <w:pStyle w:val="Sraopastraipa"/>
              <w:autoSpaceDE w:val="0"/>
              <w:autoSpaceDN w:val="0"/>
              <w:adjustRightInd w:val="0"/>
              <w:ind w:left="176" w:hanging="142"/>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Banko taikomi instrumentai:</w:t>
            </w:r>
          </w:p>
          <w:p w14:paraId="0D6CC4DE" w14:textId="77777777" w:rsidR="00583EB1" w:rsidRDefault="00583EB1" w:rsidP="00C03122">
            <w:pPr>
              <w:pStyle w:val="Sraopastraipa"/>
              <w:numPr>
                <w:ilvl w:val="0"/>
                <w:numId w:val="22"/>
              </w:numPr>
              <w:autoSpaceDE w:val="0"/>
              <w:autoSpaceDN w:val="0"/>
              <w:adjustRightInd w:val="0"/>
              <w:ind w:left="431" w:hanging="284"/>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paprastosios akcijos (listinguojamos ir nelistinguojamos akcijos);</w:t>
            </w:r>
          </w:p>
          <w:p w14:paraId="20C94082" w14:textId="77777777" w:rsidR="00583EB1" w:rsidRDefault="00583EB1" w:rsidP="00C03122">
            <w:pPr>
              <w:pStyle w:val="Sraopastraipa"/>
              <w:numPr>
                <w:ilvl w:val="0"/>
                <w:numId w:val="22"/>
              </w:numPr>
              <w:autoSpaceDE w:val="0"/>
              <w:autoSpaceDN w:val="0"/>
              <w:adjustRightInd w:val="0"/>
              <w:ind w:left="431" w:hanging="284"/>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pasitikėtinos (subordinuotos) ir konvertuojamosios paskolos;</w:t>
            </w:r>
          </w:p>
          <w:p w14:paraId="63BC761E" w14:textId="77777777" w:rsidR="00583EB1" w:rsidRDefault="00583EB1" w:rsidP="00C03122">
            <w:pPr>
              <w:pStyle w:val="Sraopastraipa"/>
              <w:numPr>
                <w:ilvl w:val="0"/>
                <w:numId w:val="22"/>
              </w:numPr>
              <w:autoSpaceDE w:val="0"/>
              <w:autoSpaceDN w:val="0"/>
              <w:adjustRightInd w:val="0"/>
              <w:ind w:left="431" w:hanging="284"/>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pajamų vekseliai</w:t>
            </w:r>
            <w:r>
              <w:rPr>
                <w:rStyle w:val="Puslapioinaosnuoroda"/>
                <w:rFonts w:ascii="Georgia" w:hAnsi="Georgia" w:cs="Arial"/>
                <w:sz w:val="20"/>
                <w:szCs w:val="20"/>
                <w:lang w:val="lt-LT"/>
              </w:rPr>
              <w:footnoteReference w:id="49"/>
            </w:r>
            <w:r>
              <w:rPr>
                <w:rFonts w:ascii="Georgia" w:hAnsi="Georgia" w:cs="Arial"/>
                <w:sz w:val="20"/>
                <w:szCs w:val="20"/>
                <w:lang w:val="lt-LT"/>
              </w:rPr>
              <w:t>;</w:t>
            </w:r>
          </w:p>
          <w:p w14:paraId="500C5442" w14:textId="77777777" w:rsidR="00583EB1" w:rsidRDefault="00583EB1" w:rsidP="00C03122">
            <w:pPr>
              <w:pStyle w:val="Sraopastraipa"/>
              <w:numPr>
                <w:ilvl w:val="0"/>
                <w:numId w:val="22"/>
              </w:numPr>
              <w:autoSpaceDE w:val="0"/>
              <w:autoSpaceDN w:val="0"/>
              <w:adjustRightInd w:val="0"/>
              <w:ind w:left="431" w:hanging="284"/>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išperkamosios privilegijuotosios akcijos.</w:t>
            </w:r>
          </w:p>
        </w:tc>
      </w:tr>
    </w:tbl>
    <w:p w14:paraId="74370930" w14:textId="77777777" w:rsidR="00583EB1" w:rsidRDefault="00583EB1" w:rsidP="00583EB1">
      <w:pPr>
        <w:pStyle w:val="Pagrindinistekstas"/>
        <w:rPr>
          <w:i/>
          <w:lang w:val="lt-LT"/>
        </w:rPr>
      </w:pPr>
      <w:r w:rsidRPr="006167C8">
        <w:rPr>
          <w:bCs/>
          <w:i/>
          <w:color w:val="A32020"/>
          <w:szCs w:val="18"/>
          <w:lang w:val="lt-LT"/>
        </w:rPr>
        <w:t>Šaltinis: ERPB finansavimo vadovas (2013 rugsėjis)</w:t>
      </w:r>
      <w:r w:rsidRPr="006167C8">
        <w:rPr>
          <w:rStyle w:val="Puslapioinaosnuoroda"/>
          <w:rFonts w:cs="Arial"/>
          <w:i/>
          <w:color w:val="943634" w:themeColor="accent2" w:themeShade="BF"/>
          <w:lang w:val="lt-LT"/>
        </w:rPr>
        <w:footnoteReference w:id="50"/>
      </w:r>
    </w:p>
    <w:p w14:paraId="7E68652E" w14:textId="77777777" w:rsidR="00583EB1" w:rsidRPr="004110D8" w:rsidRDefault="00583EB1" w:rsidP="00583EB1">
      <w:pPr>
        <w:pStyle w:val="Pagrindinistekstas"/>
        <w:rPr>
          <w:i/>
          <w:lang w:val="lt-LT"/>
        </w:rPr>
      </w:pPr>
      <w:r w:rsidRPr="004110D8">
        <w:rPr>
          <w:i/>
          <w:lang w:val="lt-LT"/>
        </w:rPr>
        <w:t>Garantijos</w:t>
      </w:r>
    </w:p>
    <w:p w14:paraId="05FE8189" w14:textId="77777777" w:rsidR="00583EB1" w:rsidRDefault="00583EB1" w:rsidP="00583EB1">
      <w:pPr>
        <w:autoSpaceDE w:val="0"/>
        <w:autoSpaceDN w:val="0"/>
        <w:adjustRightInd w:val="0"/>
        <w:spacing w:after="120"/>
        <w:jc w:val="both"/>
        <w:rPr>
          <w:rFonts w:ascii="Georgia" w:hAnsi="Georgia" w:cs="Arial"/>
          <w:sz w:val="20"/>
          <w:szCs w:val="20"/>
          <w:lang w:val="lt-LT"/>
        </w:rPr>
      </w:pPr>
      <w:r>
        <w:rPr>
          <w:rFonts w:ascii="Georgia" w:hAnsi="Georgia" w:cs="Arial"/>
          <w:sz w:val="20"/>
          <w:szCs w:val="20"/>
          <w:lang w:val="lt-LT"/>
        </w:rPr>
        <w:t>ERPB teikia įvairias garantijas – nuo garantijų dėl įsipareigojimų nevykdymo, pagal kurias bankas padengia nuostolius nepriklausomai nuo priežasties, iki garantijų dėl įsipareigojimų nevykdymo, atsirandančių dėl specifinių įvykių. Visais atvejais bankas vertina maksimalią riziką, kuri turi būti žinoma bei išmatuojama, ir kredito riziką, kuri privalo būti priimtina. Kiekvienos garantijos sąlygos vertinamos pagal konkretų atvejį.</w:t>
      </w:r>
    </w:p>
    <w:p w14:paraId="0FBC26EF" w14:textId="77777777" w:rsidR="00583EB1" w:rsidRDefault="00583EB1" w:rsidP="00583EB1">
      <w:pPr>
        <w:autoSpaceDE w:val="0"/>
        <w:autoSpaceDN w:val="0"/>
        <w:adjustRightInd w:val="0"/>
        <w:spacing w:after="120" w:line="240" w:lineRule="auto"/>
        <w:jc w:val="both"/>
        <w:rPr>
          <w:rFonts w:ascii="Georgia" w:hAnsi="Georgia" w:cs="Arial"/>
          <w:sz w:val="20"/>
          <w:szCs w:val="20"/>
          <w:lang w:val="lt-LT"/>
        </w:rPr>
      </w:pPr>
    </w:p>
    <w:p w14:paraId="402E6136" w14:textId="77777777" w:rsidR="00583EB1" w:rsidRDefault="00583EB1" w:rsidP="00583EB1">
      <w:pPr>
        <w:rPr>
          <w:rFonts w:ascii="Georgia" w:eastAsia="PMingLiU" w:hAnsi="Georgia" w:cs="Times New Roman"/>
          <w:b/>
          <w:sz w:val="20"/>
          <w:szCs w:val="20"/>
          <w:lang w:val="lt-LT"/>
        </w:rPr>
      </w:pPr>
      <w:r>
        <w:rPr>
          <w:b/>
          <w:lang w:val="lt-LT"/>
        </w:rPr>
        <w:br w:type="page"/>
      </w:r>
    </w:p>
    <w:p w14:paraId="4E542BE8" w14:textId="77777777" w:rsidR="00583EB1" w:rsidRPr="00232A85" w:rsidRDefault="00583EB1" w:rsidP="00583EB1">
      <w:pPr>
        <w:pStyle w:val="Pagrindinistekstas"/>
        <w:rPr>
          <w:i/>
          <w:lang w:val="lt-LT"/>
        </w:rPr>
      </w:pPr>
      <w:r w:rsidRPr="00232A85">
        <w:rPr>
          <w:i/>
          <w:lang w:val="lt-LT"/>
        </w:rPr>
        <w:lastRenderedPageBreak/>
        <w:t>Šiaurės investicijų bankas</w:t>
      </w:r>
    </w:p>
    <w:p w14:paraId="0E255494"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NIB finansuoja Šiaurės ir Baltijos valstybių regiono konkurencingumą stiprinančius bei jų aplinką tausojančius projektus.</w:t>
      </w:r>
    </w:p>
    <w:p w14:paraId="492A5774"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Bankas finansuoja projektus pažangių technologijų ir inovacijų, žmogiškojo kapitalo plėtros, infrastruktūros gerinimo, rinkos efektyvumo didinimo, efektyvesnio išteklių naudojimo, konkurencingos, mažai anglies dvideginio į aplinką išskiriančių technologijų ekonomikos plėtros, aplinkos ir ekosistemų apsaugos ir švarių technologijų vystymo srityse</w:t>
      </w:r>
      <w:r>
        <w:rPr>
          <w:rFonts w:ascii="Georgia" w:hAnsi="Georgia" w:cs="Arial"/>
          <w:sz w:val="20"/>
          <w:szCs w:val="20"/>
          <w:vertAlign w:val="superscript"/>
          <w:lang w:val="lt-LT"/>
        </w:rPr>
        <w:footnoteReference w:id="51"/>
      </w:r>
      <w:r>
        <w:rPr>
          <w:rFonts w:ascii="Georgia" w:hAnsi="Georgia" w:cs="Arial"/>
          <w:sz w:val="20"/>
          <w:szCs w:val="20"/>
          <w:lang w:val="lt-LT"/>
        </w:rPr>
        <w:t>.</w:t>
      </w:r>
    </w:p>
    <w:p w14:paraId="7869E4FD"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Pagrindiniai banko veiklos ir finansiniai rodikliai pateikiami žemiau esančioje lentelėje</w:t>
      </w:r>
      <w:r w:rsidRPr="00232A85">
        <w:rPr>
          <w:rFonts w:ascii="Georgia" w:hAnsi="Georgia" w:cs="Arial"/>
          <w:sz w:val="20"/>
          <w:szCs w:val="20"/>
          <w:lang w:val="lt-LT"/>
        </w:rPr>
        <w:t>.</w:t>
      </w:r>
    </w:p>
    <w:p w14:paraId="1182B4AD" w14:textId="77777777" w:rsidR="00855713" w:rsidRPr="00232A85" w:rsidRDefault="00855713" w:rsidP="00583EB1">
      <w:pPr>
        <w:spacing w:after="120"/>
        <w:jc w:val="both"/>
        <w:rPr>
          <w:rFonts w:ascii="Georgia" w:hAnsi="Georgia" w:cs="Arial"/>
          <w:sz w:val="20"/>
          <w:szCs w:val="20"/>
          <w:lang w:val="lt-LT"/>
        </w:rPr>
      </w:pPr>
    </w:p>
    <w:p w14:paraId="5E5A0093" w14:textId="5B44ACC9" w:rsidR="00583EB1" w:rsidRPr="0061436D" w:rsidRDefault="00583EB1" w:rsidP="00583EB1">
      <w:pPr>
        <w:pStyle w:val="Antrat"/>
        <w:rPr>
          <w:i/>
          <w:lang w:val="lt-LT"/>
        </w:rPr>
      </w:pPr>
      <w:bookmarkStart w:id="89" w:name="_Toc460321610"/>
      <w:r w:rsidRPr="0061436D">
        <w:rPr>
          <w:lang w:val="lt-LT"/>
        </w:rPr>
        <w:t xml:space="preserve">Lentelė </w:t>
      </w:r>
      <w:r w:rsidRPr="0061436D">
        <w:rPr>
          <w:lang w:val="lt-LT"/>
        </w:rPr>
        <w:fldChar w:fldCharType="begin"/>
      </w:r>
      <w:r w:rsidRPr="0061436D">
        <w:rPr>
          <w:lang w:val="lt-LT"/>
        </w:rPr>
        <w:instrText xml:space="preserve"> SEQ Lentelė \* ARABIC </w:instrText>
      </w:r>
      <w:r w:rsidRPr="0061436D">
        <w:rPr>
          <w:lang w:val="lt-LT"/>
        </w:rPr>
        <w:fldChar w:fldCharType="separate"/>
      </w:r>
      <w:r w:rsidR="00AA3082">
        <w:rPr>
          <w:noProof/>
          <w:lang w:val="lt-LT"/>
        </w:rPr>
        <w:t>29</w:t>
      </w:r>
      <w:r w:rsidRPr="0061436D">
        <w:rPr>
          <w:lang w:val="lt-LT"/>
        </w:rPr>
        <w:fldChar w:fldCharType="end"/>
      </w:r>
      <w:r w:rsidRPr="0061436D">
        <w:rPr>
          <w:lang w:val="lt-LT"/>
        </w:rPr>
        <w:t>. Pagrindiniai NIB veiklos ir finansiniai rodikliai.</w:t>
      </w:r>
      <w:bookmarkEnd w:id="89"/>
      <w:r w:rsidRPr="0061436D">
        <w:rPr>
          <w:lang w:val="lt-LT"/>
        </w:rPr>
        <w:t xml:space="preserve"> </w:t>
      </w:r>
    </w:p>
    <w:tbl>
      <w:tblPr>
        <w:tblStyle w:val="viesussraas2parykinimas1"/>
        <w:tblW w:w="5000" w:type="pct"/>
        <w:tblLook w:val="04A0" w:firstRow="1" w:lastRow="0" w:firstColumn="1" w:lastColumn="0" w:noHBand="0" w:noVBand="1"/>
      </w:tblPr>
      <w:tblGrid>
        <w:gridCol w:w="1862"/>
        <w:gridCol w:w="985"/>
        <w:gridCol w:w="1078"/>
        <w:gridCol w:w="1076"/>
        <w:gridCol w:w="1076"/>
        <w:gridCol w:w="1076"/>
        <w:gridCol w:w="1161"/>
        <w:gridCol w:w="928"/>
      </w:tblGrid>
      <w:tr w:rsidR="00583EB1" w14:paraId="1A86C96F" w14:textId="77777777" w:rsidTr="008E66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pct"/>
          </w:tcPr>
          <w:p w14:paraId="3DD4FC4A" w14:textId="77777777" w:rsidR="00583EB1" w:rsidRDefault="00583EB1" w:rsidP="00583EB1">
            <w:pPr>
              <w:jc w:val="center"/>
              <w:rPr>
                <w:rFonts w:ascii="Georgia" w:hAnsi="Georgia" w:cs="Arial"/>
                <w:b w:val="0"/>
                <w:bCs w:val="0"/>
                <w:color w:val="auto"/>
                <w:sz w:val="20"/>
                <w:szCs w:val="20"/>
              </w:rPr>
            </w:pPr>
          </w:p>
        </w:tc>
        <w:tc>
          <w:tcPr>
            <w:tcW w:w="533" w:type="pct"/>
            <w:hideMark/>
          </w:tcPr>
          <w:p w14:paraId="2EDF8A83"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2008</w:t>
            </w:r>
          </w:p>
        </w:tc>
        <w:tc>
          <w:tcPr>
            <w:tcW w:w="583" w:type="pct"/>
            <w:hideMark/>
          </w:tcPr>
          <w:p w14:paraId="50D17F15"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2009</w:t>
            </w:r>
          </w:p>
        </w:tc>
        <w:tc>
          <w:tcPr>
            <w:tcW w:w="582" w:type="pct"/>
            <w:hideMark/>
          </w:tcPr>
          <w:p w14:paraId="10052B03"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2010</w:t>
            </w:r>
          </w:p>
        </w:tc>
        <w:tc>
          <w:tcPr>
            <w:tcW w:w="582" w:type="pct"/>
            <w:hideMark/>
          </w:tcPr>
          <w:p w14:paraId="314FD886"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2011</w:t>
            </w:r>
          </w:p>
        </w:tc>
        <w:tc>
          <w:tcPr>
            <w:tcW w:w="582" w:type="pct"/>
            <w:hideMark/>
          </w:tcPr>
          <w:p w14:paraId="5F325CA0"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2012</w:t>
            </w:r>
          </w:p>
        </w:tc>
        <w:tc>
          <w:tcPr>
            <w:tcW w:w="628" w:type="pct"/>
            <w:hideMark/>
          </w:tcPr>
          <w:p w14:paraId="2A185F10"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2013 m.</w:t>
            </w:r>
          </w:p>
        </w:tc>
        <w:tc>
          <w:tcPr>
            <w:tcW w:w="502" w:type="pct"/>
            <w:hideMark/>
          </w:tcPr>
          <w:p w14:paraId="0403A2BC"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2008-2013</w:t>
            </w:r>
          </w:p>
        </w:tc>
      </w:tr>
      <w:tr w:rsidR="00583EB1" w14:paraId="501AD415" w14:textId="77777777" w:rsidTr="008E6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pct"/>
            <w:hideMark/>
          </w:tcPr>
          <w:p w14:paraId="3FEA7793" w14:textId="77777777" w:rsidR="00583EB1" w:rsidRDefault="00583EB1" w:rsidP="00583EB1">
            <w:pPr>
              <w:rPr>
                <w:rFonts w:ascii="Georgia" w:hAnsi="Georgia" w:cs="Arial"/>
                <w:b w:val="0"/>
                <w:bCs w:val="0"/>
                <w:sz w:val="20"/>
                <w:szCs w:val="20"/>
              </w:rPr>
            </w:pPr>
            <w:r>
              <w:rPr>
                <w:rFonts w:ascii="Georgia" w:hAnsi="Georgia" w:cs="Arial"/>
                <w:sz w:val="20"/>
                <w:szCs w:val="20"/>
              </w:rPr>
              <w:t>Pasirašyta sutarčių (vnt.)</w:t>
            </w:r>
          </w:p>
        </w:tc>
        <w:tc>
          <w:tcPr>
            <w:tcW w:w="533" w:type="pct"/>
            <w:hideMark/>
          </w:tcPr>
          <w:p w14:paraId="20FA0A7C"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53</w:t>
            </w:r>
          </w:p>
        </w:tc>
        <w:tc>
          <w:tcPr>
            <w:tcW w:w="583" w:type="pct"/>
            <w:hideMark/>
          </w:tcPr>
          <w:p w14:paraId="337106D9"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40</w:t>
            </w:r>
          </w:p>
        </w:tc>
        <w:tc>
          <w:tcPr>
            <w:tcW w:w="582" w:type="pct"/>
            <w:hideMark/>
          </w:tcPr>
          <w:p w14:paraId="12207778"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39</w:t>
            </w:r>
          </w:p>
        </w:tc>
        <w:tc>
          <w:tcPr>
            <w:tcW w:w="582" w:type="pct"/>
            <w:hideMark/>
          </w:tcPr>
          <w:p w14:paraId="0293F8C2"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47</w:t>
            </w:r>
          </w:p>
        </w:tc>
        <w:tc>
          <w:tcPr>
            <w:tcW w:w="582" w:type="pct"/>
            <w:hideMark/>
          </w:tcPr>
          <w:p w14:paraId="01BAECDE"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42</w:t>
            </w:r>
          </w:p>
        </w:tc>
        <w:tc>
          <w:tcPr>
            <w:tcW w:w="628" w:type="pct"/>
            <w:hideMark/>
          </w:tcPr>
          <w:p w14:paraId="7B1DB193"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43</w:t>
            </w:r>
          </w:p>
        </w:tc>
        <w:tc>
          <w:tcPr>
            <w:tcW w:w="502" w:type="pct"/>
            <w:hideMark/>
          </w:tcPr>
          <w:p w14:paraId="3D325CB1"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264</w:t>
            </w:r>
          </w:p>
        </w:tc>
      </w:tr>
      <w:tr w:rsidR="00583EB1" w14:paraId="71FDCC63" w14:textId="77777777" w:rsidTr="008E66E4">
        <w:tc>
          <w:tcPr>
            <w:cnfStyle w:val="001000000000" w:firstRow="0" w:lastRow="0" w:firstColumn="1" w:lastColumn="0" w:oddVBand="0" w:evenVBand="0" w:oddHBand="0" w:evenHBand="0" w:firstRowFirstColumn="0" w:firstRowLastColumn="0" w:lastRowFirstColumn="0" w:lastRowLastColumn="0"/>
            <w:tcW w:w="1007" w:type="pct"/>
            <w:hideMark/>
          </w:tcPr>
          <w:p w14:paraId="3047050B" w14:textId="77777777" w:rsidR="00583EB1" w:rsidRDefault="00583EB1" w:rsidP="00583EB1">
            <w:pPr>
              <w:rPr>
                <w:rFonts w:ascii="Georgia" w:hAnsi="Georgia" w:cs="Arial"/>
                <w:b w:val="0"/>
                <w:bCs w:val="0"/>
                <w:sz w:val="20"/>
                <w:szCs w:val="20"/>
              </w:rPr>
            </w:pPr>
            <w:r>
              <w:rPr>
                <w:rFonts w:ascii="Georgia" w:hAnsi="Georgia" w:cs="Arial"/>
                <w:sz w:val="20"/>
                <w:szCs w:val="20"/>
              </w:rPr>
              <w:t>Pasirašyta sutarčių (mln. EUR)</w:t>
            </w:r>
          </w:p>
        </w:tc>
        <w:tc>
          <w:tcPr>
            <w:tcW w:w="533" w:type="pct"/>
            <w:hideMark/>
          </w:tcPr>
          <w:p w14:paraId="2F99418D" w14:textId="77777777" w:rsidR="00583EB1" w:rsidRDefault="00583EB1" w:rsidP="001F7D0D">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2707</w:t>
            </w:r>
          </w:p>
        </w:tc>
        <w:tc>
          <w:tcPr>
            <w:tcW w:w="583" w:type="pct"/>
            <w:hideMark/>
          </w:tcPr>
          <w:p w14:paraId="25748DCC" w14:textId="77777777" w:rsidR="00583EB1" w:rsidRDefault="00583EB1" w:rsidP="001F7D0D">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1417</w:t>
            </w:r>
          </w:p>
        </w:tc>
        <w:tc>
          <w:tcPr>
            <w:tcW w:w="582" w:type="pct"/>
            <w:hideMark/>
          </w:tcPr>
          <w:p w14:paraId="0370A135" w14:textId="77777777" w:rsidR="00583EB1" w:rsidRDefault="00583EB1" w:rsidP="001F7D0D">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1763</w:t>
            </w:r>
          </w:p>
        </w:tc>
        <w:tc>
          <w:tcPr>
            <w:tcW w:w="582" w:type="pct"/>
            <w:hideMark/>
          </w:tcPr>
          <w:p w14:paraId="12E5166B" w14:textId="77777777" w:rsidR="00583EB1" w:rsidRDefault="00583EB1" w:rsidP="001F7D0D">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2608</w:t>
            </w:r>
          </w:p>
        </w:tc>
        <w:tc>
          <w:tcPr>
            <w:tcW w:w="582" w:type="pct"/>
            <w:hideMark/>
          </w:tcPr>
          <w:p w14:paraId="7999C821" w14:textId="77777777" w:rsidR="00583EB1" w:rsidRDefault="00583EB1" w:rsidP="001F7D0D">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2366</w:t>
            </w:r>
          </w:p>
        </w:tc>
        <w:tc>
          <w:tcPr>
            <w:tcW w:w="628" w:type="pct"/>
            <w:hideMark/>
          </w:tcPr>
          <w:p w14:paraId="1B9FA236" w14:textId="77777777" w:rsidR="00583EB1" w:rsidRDefault="00583EB1" w:rsidP="001F7D0D">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1810</w:t>
            </w:r>
          </w:p>
        </w:tc>
        <w:tc>
          <w:tcPr>
            <w:tcW w:w="502" w:type="pct"/>
            <w:hideMark/>
          </w:tcPr>
          <w:p w14:paraId="561EADC9" w14:textId="77777777" w:rsidR="00583EB1" w:rsidRDefault="00583EB1" w:rsidP="001F7D0D">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12</w:t>
            </w:r>
            <w:r w:rsidR="001F7D0D">
              <w:rPr>
                <w:rFonts w:ascii="Georgia" w:hAnsi="Georgia" w:cs="Arial"/>
                <w:sz w:val="20"/>
                <w:szCs w:val="20"/>
              </w:rPr>
              <w:t xml:space="preserve"> </w:t>
            </w:r>
            <w:r>
              <w:rPr>
                <w:rFonts w:ascii="Georgia" w:hAnsi="Georgia" w:cs="Arial"/>
                <w:sz w:val="20"/>
                <w:szCs w:val="20"/>
              </w:rPr>
              <w:t>671</w:t>
            </w:r>
          </w:p>
        </w:tc>
      </w:tr>
      <w:tr w:rsidR="00583EB1" w14:paraId="554AB66B" w14:textId="77777777" w:rsidTr="008E6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pct"/>
            <w:hideMark/>
          </w:tcPr>
          <w:p w14:paraId="3096E009" w14:textId="77777777" w:rsidR="00583EB1" w:rsidRDefault="00583EB1" w:rsidP="00583EB1">
            <w:pPr>
              <w:rPr>
                <w:rFonts w:ascii="Georgia" w:hAnsi="Georgia" w:cs="Arial"/>
                <w:b w:val="0"/>
                <w:bCs w:val="0"/>
                <w:sz w:val="20"/>
                <w:szCs w:val="20"/>
              </w:rPr>
            </w:pPr>
            <w:r>
              <w:rPr>
                <w:rFonts w:ascii="Georgia" w:hAnsi="Georgia" w:cs="Arial"/>
                <w:sz w:val="20"/>
                <w:szCs w:val="20"/>
              </w:rPr>
              <w:t>Išmokėta lėšų</w:t>
            </w:r>
          </w:p>
          <w:p w14:paraId="271D8CAB" w14:textId="77777777" w:rsidR="00583EB1" w:rsidRDefault="00583EB1" w:rsidP="00583EB1">
            <w:pPr>
              <w:rPr>
                <w:rFonts w:ascii="Georgia" w:hAnsi="Georgia" w:cs="Arial"/>
                <w:b w:val="0"/>
                <w:bCs w:val="0"/>
                <w:sz w:val="20"/>
                <w:szCs w:val="20"/>
              </w:rPr>
            </w:pPr>
            <w:r>
              <w:rPr>
                <w:rFonts w:ascii="Georgia" w:hAnsi="Georgia" w:cs="Arial"/>
                <w:sz w:val="20"/>
                <w:szCs w:val="20"/>
              </w:rPr>
              <w:t>(mln. EUR)</w:t>
            </w:r>
          </w:p>
        </w:tc>
        <w:tc>
          <w:tcPr>
            <w:tcW w:w="533" w:type="pct"/>
            <w:hideMark/>
          </w:tcPr>
          <w:p w14:paraId="33AA35F8" w14:textId="77777777" w:rsidR="00583EB1" w:rsidRDefault="00583EB1" w:rsidP="001F7D0D">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2486</w:t>
            </w:r>
          </w:p>
        </w:tc>
        <w:tc>
          <w:tcPr>
            <w:tcW w:w="583" w:type="pct"/>
            <w:hideMark/>
          </w:tcPr>
          <w:p w14:paraId="23E52743" w14:textId="77777777" w:rsidR="00583EB1" w:rsidRDefault="00583EB1" w:rsidP="001F7D0D">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1954</w:t>
            </w:r>
          </w:p>
        </w:tc>
        <w:tc>
          <w:tcPr>
            <w:tcW w:w="582" w:type="pct"/>
            <w:hideMark/>
          </w:tcPr>
          <w:p w14:paraId="292009B6" w14:textId="77777777" w:rsidR="00583EB1" w:rsidRDefault="00583EB1" w:rsidP="001F7D0D">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1274</w:t>
            </w:r>
          </w:p>
        </w:tc>
        <w:tc>
          <w:tcPr>
            <w:tcW w:w="582" w:type="pct"/>
            <w:hideMark/>
          </w:tcPr>
          <w:p w14:paraId="4D2152D3" w14:textId="77777777" w:rsidR="00583EB1" w:rsidRDefault="00583EB1" w:rsidP="001F7D0D">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1946</w:t>
            </w:r>
          </w:p>
        </w:tc>
        <w:tc>
          <w:tcPr>
            <w:tcW w:w="582" w:type="pct"/>
            <w:hideMark/>
          </w:tcPr>
          <w:p w14:paraId="12733BFA" w14:textId="77777777" w:rsidR="00583EB1" w:rsidRDefault="00583EB1" w:rsidP="001F7D0D">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2355</w:t>
            </w:r>
          </w:p>
        </w:tc>
        <w:tc>
          <w:tcPr>
            <w:tcW w:w="628" w:type="pct"/>
            <w:hideMark/>
          </w:tcPr>
          <w:p w14:paraId="69D098B2" w14:textId="77777777" w:rsidR="00583EB1" w:rsidRDefault="00583EB1" w:rsidP="001F7D0D">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1922</w:t>
            </w:r>
          </w:p>
        </w:tc>
        <w:tc>
          <w:tcPr>
            <w:tcW w:w="502" w:type="pct"/>
            <w:hideMark/>
          </w:tcPr>
          <w:p w14:paraId="027ECB52" w14:textId="77777777" w:rsidR="00583EB1" w:rsidRDefault="00583EB1" w:rsidP="001F7D0D">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11</w:t>
            </w:r>
            <w:r w:rsidR="001F7D0D">
              <w:rPr>
                <w:rFonts w:ascii="Georgia" w:hAnsi="Georgia" w:cs="Arial"/>
                <w:sz w:val="20"/>
                <w:szCs w:val="20"/>
              </w:rPr>
              <w:t xml:space="preserve"> </w:t>
            </w:r>
            <w:r>
              <w:rPr>
                <w:rFonts w:ascii="Georgia" w:hAnsi="Georgia" w:cs="Arial"/>
                <w:sz w:val="20"/>
                <w:szCs w:val="20"/>
              </w:rPr>
              <w:t>937</w:t>
            </w:r>
          </w:p>
        </w:tc>
      </w:tr>
      <w:tr w:rsidR="00583EB1" w14:paraId="3824B431" w14:textId="77777777" w:rsidTr="008E66E4">
        <w:tc>
          <w:tcPr>
            <w:cnfStyle w:val="001000000000" w:firstRow="0" w:lastRow="0" w:firstColumn="1" w:lastColumn="0" w:oddVBand="0" w:evenVBand="0" w:oddHBand="0" w:evenHBand="0" w:firstRowFirstColumn="0" w:firstRowLastColumn="0" w:lastRowFirstColumn="0" w:lastRowLastColumn="0"/>
            <w:tcW w:w="1007" w:type="pct"/>
            <w:hideMark/>
          </w:tcPr>
          <w:p w14:paraId="2E451877" w14:textId="77777777" w:rsidR="00583EB1" w:rsidRDefault="00583EB1" w:rsidP="00583EB1">
            <w:pPr>
              <w:rPr>
                <w:rFonts w:ascii="Georgia" w:hAnsi="Georgia" w:cs="Arial"/>
                <w:b w:val="0"/>
                <w:bCs w:val="0"/>
                <w:sz w:val="20"/>
                <w:szCs w:val="20"/>
              </w:rPr>
            </w:pPr>
            <w:r>
              <w:rPr>
                <w:rFonts w:ascii="Georgia" w:hAnsi="Georgia" w:cs="Arial"/>
                <w:sz w:val="20"/>
                <w:szCs w:val="20"/>
              </w:rPr>
              <w:t>Turimų paskolų portfelis (mln. EUR)</w:t>
            </w:r>
            <w:r>
              <w:rPr>
                <w:rStyle w:val="Puslapioinaosnuoroda"/>
                <w:rFonts w:ascii="Georgia" w:hAnsi="Georgia" w:cs="Arial"/>
                <w:sz w:val="20"/>
                <w:szCs w:val="20"/>
              </w:rPr>
              <w:footnoteReference w:id="52"/>
            </w:r>
          </w:p>
        </w:tc>
        <w:tc>
          <w:tcPr>
            <w:tcW w:w="533" w:type="pct"/>
            <w:hideMark/>
          </w:tcPr>
          <w:p w14:paraId="2BC865CC" w14:textId="77777777" w:rsidR="00583EB1" w:rsidRDefault="00583EB1" w:rsidP="001F7D0D">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13</w:t>
            </w:r>
            <w:r w:rsidR="001F7D0D">
              <w:rPr>
                <w:rFonts w:ascii="Georgia" w:hAnsi="Georgia" w:cs="Arial"/>
                <w:sz w:val="20"/>
                <w:szCs w:val="20"/>
              </w:rPr>
              <w:t xml:space="preserve"> </w:t>
            </w:r>
            <w:r>
              <w:rPr>
                <w:rFonts w:ascii="Georgia" w:hAnsi="Georgia" w:cs="Arial"/>
                <w:sz w:val="20"/>
                <w:szCs w:val="20"/>
              </w:rPr>
              <w:t>063</w:t>
            </w:r>
          </w:p>
        </w:tc>
        <w:tc>
          <w:tcPr>
            <w:tcW w:w="583" w:type="pct"/>
            <w:hideMark/>
          </w:tcPr>
          <w:p w14:paraId="41F61169" w14:textId="77777777" w:rsidR="00583EB1" w:rsidRDefault="00583EB1" w:rsidP="001F7D0D">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13</w:t>
            </w:r>
            <w:r w:rsidR="001F7D0D">
              <w:rPr>
                <w:rFonts w:ascii="Georgia" w:hAnsi="Georgia" w:cs="Arial"/>
                <w:sz w:val="20"/>
                <w:szCs w:val="20"/>
              </w:rPr>
              <w:t xml:space="preserve"> </w:t>
            </w:r>
            <w:r>
              <w:rPr>
                <w:rFonts w:ascii="Georgia" w:hAnsi="Georgia" w:cs="Arial"/>
                <w:sz w:val="20"/>
                <w:szCs w:val="20"/>
              </w:rPr>
              <w:t>763</w:t>
            </w:r>
          </w:p>
        </w:tc>
        <w:tc>
          <w:tcPr>
            <w:tcW w:w="582" w:type="pct"/>
            <w:hideMark/>
          </w:tcPr>
          <w:p w14:paraId="1806BBDE" w14:textId="77777777" w:rsidR="00583EB1" w:rsidRDefault="00583EB1" w:rsidP="001F7D0D">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13</w:t>
            </w:r>
            <w:r w:rsidR="001F7D0D">
              <w:rPr>
                <w:rFonts w:ascii="Georgia" w:hAnsi="Georgia" w:cs="Arial"/>
                <w:sz w:val="20"/>
                <w:szCs w:val="20"/>
              </w:rPr>
              <w:t xml:space="preserve"> </w:t>
            </w:r>
            <w:r>
              <w:rPr>
                <w:rFonts w:ascii="Georgia" w:hAnsi="Georgia" w:cs="Arial"/>
                <w:sz w:val="20"/>
                <w:szCs w:val="20"/>
              </w:rPr>
              <w:t>771</w:t>
            </w:r>
          </w:p>
        </w:tc>
        <w:tc>
          <w:tcPr>
            <w:tcW w:w="582" w:type="pct"/>
            <w:hideMark/>
          </w:tcPr>
          <w:p w14:paraId="5561FB81" w14:textId="77777777" w:rsidR="00583EB1" w:rsidRDefault="00583EB1" w:rsidP="001F7D0D">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14</w:t>
            </w:r>
            <w:r w:rsidR="001F7D0D">
              <w:rPr>
                <w:rFonts w:ascii="Georgia" w:hAnsi="Georgia" w:cs="Arial"/>
                <w:sz w:val="20"/>
                <w:szCs w:val="20"/>
              </w:rPr>
              <w:t xml:space="preserve"> </w:t>
            </w:r>
            <w:r>
              <w:rPr>
                <w:rFonts w:ascii="Georgia" w:hAnsi="Georgia" w:cs="Arial"/>
                <w:sz w:val="20"/>
                <w:szCs w:val="20"/>
              </w:rPr>
              <w:t>153</w:t>
            </w:r>
          </w:p>
        </w:tc>
        <w:tc>
          <w:tcPr>
            <w:tcW w:w="582" w:type="pct"/>
            <w:hideMark/>
          </w:tcPr>
          <w:p w14:paraId="2AFA651F" w14:textId="77777777" w:rsidR="00583EB1" w:rsidRDefault="00583EB1" w:rsidP="001F7D0D">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15</w:t>
            </w:r>
            <w:r w:rsidR="001F7D0D">
              <w:rPr>
                <w:rFonts w:ascii="Georgia" w:hAnsi="Georgia" w:cs="Arial"/>
                <w:sz w:val="20"/>
                <w:szCs w:val="20"/>
              </w:rPr>
              <w:t xml:space="preserve"> </w:t>
            </w:r>
            <w:r>
              <w:rPr>
                <w:rFonts w:ascii="Georgia" w:hAnsi="Georgia" w:cs="Arial"/>
                <w:sz w:val="20"/>
                <w:szCs w:val="20"/>
              </w:rPr>
              <w:t>131</w:t>
            </w:r>
          </w:p>
        </w:tc>
        <w:tc>
          <w:tcPr>
            <w:tcW w:w="628" w:type="pct"/>
            <w:hideMark/>
          </w:tcPr>
          <w:p w14:paraId="63062742" w14:textId="77777777" w:rsidR="00583EB1" w:rsidRDefault="00583EB1" w:rsidP="001F7D0D">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14</w:t>
            </w:r>
            <w:r w:rsidR="001F7D0D">
              <w:rPr>
                <w:rFonts w:ascii="Georgia" w:hAnsi="Georgia" w:cs="Arial"/>
                <w:sz w:val="20"/>
                <w:szCs w:val="20"/>
              </w:rPr>
              <w:t xml:space="preserve"> </w:t>
            </w:r>
            <w:r>
              <w:rPr>
                <w:rFonts w:ascii="Georgia" w:hAnsi="Georgia" w:cs="Arial"/>
                <w:sz w:val="20"/>
                <w:szCs w:val="20"/>
              </w:rPr>
              <w:t>667</w:t>
            </w:r>
          </w:p>
        </w:tc>
        <w:tc>
          <w:tcPr>
            <w:tcW w:w="502" w:type="pct"/>
            <w:hideMark/>
          </w:tcPr>
          <w:p w14:paraId="7E1CF660"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r>
      <w:tr w:rsidR="00583EB1" w14:paraId="7DAB2E83" w14:textId="77777777" w:rsidTr="008E6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pct"/>
            <w:hideMark/>
          </w:tcPr>
          <w:p w14:paraId="73218441" w14:textId="77777777" w:rsidR="00583EB1" w:rsidRDefault="00583EB1" w:rsidP="00583EB1">
            <w:pPr>
              <w:rPr>
                <w:rFonts w:ascii="Georgia" w:hAnsi="Georgia" w:cs="Arial"/>
                <w:b w:val="0"/>
                <w:bCs w:val="0"/>
                <w:sz w:val="20"/>
                <w:szCs w:val="20"/>
              </w:rPr>
            </w:pPr>
            <w:r>
              <w:rPr>
                <w:rFonts w:ascii="Georgia" w:hAnsi="Georgia" w:cs="Arial"/>
                <w:sz w:val="20"/>
                <w:szCs w:val="20"/>
              </w:rPr>
              <w:t>Išduotos garantijos (mln. EUR)</w:t>
            </w:r>
          </w:p>
        </w:tc>
        <w:tc>
          <w:tcPr>
            <w:tcW w:w="533" w:type="pct"/>
            <w:hideMark/>
          </w:tcPr>
          <w:p w14:paraId="67DBA440"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tcW w:w="583" w:type="pct"/>
            <w:hideMark/>
          </w:tcPr>
          <w:p w14:paraId="70392827"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tcW w:w="582" w:type="pct"/>
            <w:hideMark/>
          </w:tcPr>
          <w:p w14:paraId="5BC65880"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tcW w:w="582" w:type="pct"/>
            <w:hideMark/>
          </w:tcPr>
          <w:p w14:paraId="633E1BE9"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tcW w:w="582" w:type="pct"/>
            <w:hideMark/>
          </w:tcPr>
          <w:p w14:paraId="60C1ABAF"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tcW w:w="628" w:type="pct"/>
            <w:hideMark/>
          </w:tcPr>
          <w:p w14:paraId="00E443F3"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tcW w:w="502" w:type="pct"/>
            <w:hideMark/>
          </w:tcPr>
          <w:p w14:paraId="500F7FEB"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r>
      <w:tr w:rsidR="00583EB1" w14:paraId="448378D6" w14:textId="77777777" w:rsidTr="008E66E4">
        <w:tc>
          <w:tcPr>
            <w:cnfStyle w:val="001000000000" w:firstRow="0" w:lastRow="0" w:firstColumn="1" w:lastColumn="0" w:oddVBand="0" w:evenVBand="0" w:oddHBand="0" w:evenHBand="0" w:firstRowFirstColumn="0" w:firstRowLastColumn="0" w:lastRowFirstColumn="0" w:lastRowLastColumn="0"/>
            <w:tcW w:w="1007" w:type="pct"/>
            <w:hideMark/>
          </w:tcPr>
          <w:p w14:paraId="2B246295" w14:textId="77777777" w:rsidR="00583EB1" w:rsidRDefault="00583EB1" w:rsidP="00583EB1">
            <w:pPr>
              <w:rPr>
                <w:rFonts w:ascii="Georgia" w:hAnsi="Georgia" w:cs="Arial"/>
                <w:b w:val="0"/>
                <w:bCs w:val="0"/>
                <w:sz w:val="20"/>
                <w:szCs w:val="20"/>
              </w:rPr>
            </w:pPr>
            <w:r>
              <w:rPr>
                <w:rFonts w:ascii="Georgia" w:hAnsi="Georgia" w:cs="Arial"/>
                <w:sz w:val="20"/>
                <w:szCs w:val="20"/>
              </w:rPr>
              <w:t xml:space="preserve">Garantijų įsipareigojimai </w:t>
            </w:r>
          </w:p>
          <w:p w14:paraId="2DE6C5DF" w14:textId="77777777" w:rsidR="00583EB1" w:rsidRDefault="00583EB1" w:rsidP="00583EB1">
            <w:pPr>
              <w:rPr>
                <w:rFonts w:ascii="Georgia" w:hAnsi="Georgia" w:cs="Arial"/>
                <w:b w:val="0"/>
                <w:bCs w:val="0"/>
                <w:sz w:val="20"/>
                <w:szCs w:val="20"/>
              </w:rPr>
            </w:pPr>
            <w:r>
              <w:rPr>
                <w:rFonts w:ascii="Georgia" w:hAnsi="Georgia" w:cs="Arial"/>
                <w:sz w:val="20"/>
                <w:szCs w:val="20"/>
              </w:rPr>
              <w:t>(mln. EUR)</w:t>
            </w:r>
          </w:p>
        </w:tc>
        <w:tc>
          <w:tcPr>
            <w:tcW w:w="533" w:type="pct"/>
            <w:hideMark/>
          </w:tcPr>
          <w:p w14:paraId="0941CA64"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17</w:t>
            </w:r>
          </w:p>
        </w:tc>
        <w:tc>
          <w:tcPr>
            <w:tcW w:w="583" w:type="pct"/>
            <w:hideMark/>
          </w:tcPr>
          <w:p w14:paraId="3BFE11A8"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12</w:t>
            </w:r>
          </w:p>
        </w:tc>
        <w:tc>
          <w:tcPr>
            <w:tcW w:w="582" w:type="pct"/>
            <w:hideMark/>
          </w:tcPr>
          <w:p w14:paraId="1CF81DC5"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8</w:t>
            </w:r>
          </w:p>
        </w:tc>
        <w:tc>
          <w:tcPr>
            <w:tcW w:w="582" w:type="pct"/>
            <w:hideMark/>
          </w:tcPr>
          <w:p w14:paraId="759AC9D5"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4</w:t>
            </w:r>
          </w:p>
        </w:tc>
        <w:tc>
          <w:tcPr>
            <w:tcW w:w="582" w:type="pct"/>
            <w:hideMark/>
          </w:tcPr>
          <w:p w14:paraId="4E3DE438"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tcW w:w="628" w:type="pct"/>
            <w:hideMark/>
          </w:tcPr>
          <w:p w14:paraId="37690B4A"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tcW w:w="502" w:type="pct"/>
            <w:hideMark/>
          </w:tcPr>
          <w:p w14:paraId="53E2F2A5"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r>
    </w:tbl>
    <w:p w14:paraId="02BF7BDE" w14:textId="77777777" w:rsidR="00583EB1" w:rsidRDefault="00583EB1" w:rsidP="00583EB1">
      <w:pPr>
        <w:spacing w:after="0"/>
        <w:jc w:val="both"/>
        <w:rPr>
          <w:rFonts w:ascii="Georgia" w:hAnsi="Georgia" w:cs="Arial"/>
          <w:sz w:val="20"/>
          <w:szCs w:val="20"/>
          <w:lang w:val="lt-LT"/>
        </w:rPr>
      </w:pPr>
      <w:r w:rsidRPr="006167C8">
        <w:rPr>
          <w:rFonts w:ascii="Georgia" w:eastAsia="PMingLiU" w:hAnsi="Georgia" w:cs="Times New Roman"/>
          <w:bCs/>
          <w:i/>
          <w:color w:val="A32020"/>
          <w:sz w:val="20"/>
          <w:szCs w:val="18"/>
          <w:lang w:val="lt-LT"/>
        </w:rPr>
        <w:t>Šaltinis: NIB 2012-2013 metų metinės ataskaitos</w:t>
      </w:r>
      <w:r>
        <w:rPr>
          <w:rStyle w:val="Puslapioinaosnuoroda"/>
          <w:rFonts w:ascii="Georgia" w:hAnsi="Georgia" w:cs="Arial"/>
          <w:i/>
          <w:sz w:val="20"/>
          <w:szCs w:val="20"/>
          <w:lang w:val="lt-LT"/>
        </w:rPr>
        <w:footnoteReference w:id="53"/>
      </w:r>
      <w:r>
        <w:rPr>
          <w:rFonts w:ascii="Georgia" w:hAnsi="Georgia" w:cs="Arial"/>
          <w:i/>
          <w:sz w:val="20"/>
          <w:szCs w:val="20"/>
          <w:lang w:val="lt-LT"/>
        </w:rPr>
        <w:t xml:space="preserve"> </w:t>
      </w:r>
    </w:p>
    <w:p w14:paraId="06FFAA20" w14:textId="77777777" w:rsidR="00583EB1" w:rsidRDefault="00583EB1" w:rsidP="00583EB1">
      <w:pPr>
        <w:jc w:val="both"/>
        <w:rPr>
          <w:rFonts w:ascii="Georgia" w:hAnsi="Georgia" w:cs="Arial"/>
          <w:sz w:val="20"/>
          <w:szCs w:val="20"/>
          <w:lang w:val="lt-LT"/>
        </w:rPr>
      </w:pPr>
    </w:p>
    <w:p w14:paraId="192E4321" w14:textId="77777777" w:rsidR="00583EB1" w:rsidRDefault="00583EB1" w:rsidP="00583EB1">
      <w:pPr>
        <w:jc w:val="both"/>
        <w:rPr>
          <w:rFonts w:ascii="Georgia" w:hAnsi="Georgia" w:cs="Arial"/>
          <w:sz w:val="20"/>
          <w:szCs w:val="20"/>
          <w:lang w:val="lt-LT"/>
        </w:rPr>
      </w:pPr>
      <w:r>
        <w:rPr>
          <w:rFonts w:ascii="Georgia" w:hAnsi="Georgia" w:cs="Arial"/>
          <w:sz w:val="20"/>
          <w:szCs w:val="20"/>
          <w:lang w:val="lt-LT"/>
        </w:rPr>
        <w:t>NIB 2013 m. pasirašytų sutarčių pasiskirstymas pagal sektorius pateikiamas paveiksle žemiau.</w:t>
      </w:r>
    </w:p>
    <w:p w14:paraId="1ED2079F" w14:textId="77777777" w:rsidR="00583EB1" w:rsidRDefault="00583EB1" w:rsidP="008E66E4">
      <w:pPr>
        <w:jc w:val="center"/>
        <w:rPr>
          <w:rFonts w:ascii="Georgia" w:hAnsi="Georgia"/>
          <w:sz w:val="20"/>
          <w:szCs w:val="20"/>
          <w:lang w:val="lt-LT"/>
        </w:rPr>
      </w:pPr>
      <w:r w:rsidRPr="00232A85">
        <w:rPr>
          <w:rFonts w:ascii="Georgia" w:hAnsi="Georgia"/>
          <w:noProof/>
          <w:sz w:val="20"/>
          <w:szCs w:val="20"/>
          <w:lang w:val="lt-LT" w:eastAsia="lt-LT"/>
        </w:rPr>
        <w:lastRenderedPageBreak/>
        <w:drawing>
          <wp:inline distT="0" distB="0" distL="0" distR="0" wp14:anchorId="7F122458" wp14:editId="76095208">
            <wp:extent cx="3622040" cy="2172970"/>
            <wp:effectExtent l="0" t="0" r="0" b="0"/>
            <wp:docPr id="4109" name="Paveikslėlis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622040" cy="2172970"/>
                    </a:xfrm>
                    <a:prstGeom prst="rect">
                      <a:avLst/>
                    </a:prstGeom>
                    <a:noFill/>
                    <a:ln>
                      <a:noFill/>
                    </a:ln>
                  </pic:spPr>
                </pic:pic>
              </a:graphicData>
            </a:graphic>
          </wp:inline>
        </w:drawing>
      </w:r>
    </w:p>
    <w:p w14:paraId="7A7B23A8" w14:textId="242E71BC" w:rsidR="00583EB1" w:rsidRPr="0061436D" w:rsidRDefault="00583EB1" w:rsidP="00583EB1">
      <w:pPr>
        <w:pStyle w:val="Antrat"/>
        <w:spacing w:line="276" w:lineRule="auto"/>
        <w:jc w:val="both"/>
        <w:rPr>
          <w:rFonts w:cs="Arial"/>
          <w:i/>
          <w:szCs w:val="20"/>
          <w:lang w:val="lt-LT"/>
        </w:rPr>
      </w:pPr>
      <w:bookmarkStart w:id="90" w:name="_Toc417378289"/>
      <w:r w:rsidRPr="0061436D">
        <w:rPr>
          <w:lang w:val="lt-LT"/>
        </w:rPr>
        <w:t xml:space="preserve">Paveikslas </w:t>
      </w:r>
      <w:r w:rsidRPr="0061436D">
        <w:rPr>
          <w:lang w:val="lt-LT"/>
        </w:rPr>
        <w:fldChar w:fldCharType="begin"/>
      </w:r>
      <w:r w:rsidRPr="0061436D">
        <w:rPr>
          <w:lang w:val="lt-LT"/>
        </w:rPr>
        <w:instrText xml:space="preserve"> SEQ Paveikslas \* ARABIC </w:instrText>
      </w:r>
      <w:r w:rsidRPr="0061436D">
        <w:rPr>
          <w:lang w:val="lt-LT"/>
        </w:rPr>
        <w:fldChar w:fldCharType="separate"/>
      </w:r>
      <w:r w:rsidR="00AA3082">
        <w:rPr>
          <w:noProof/>
          <w:lang w:val="lt-LT"/>
        </w:rPr>
        <w:t>12</w:t>
      </w:r>
      <w:r w:rsidRPr="0061436D">
        <w:rPr>
          <w:lang w:val="lt-LT"/>
        </w:rPr>
        <w:fldChar w:fldCharType="end"/>
      </w:r>
      <w:r w:rsidRPr="0061436D">
        <w:rPr>
          <w:lang w:val="lt-LT"/>
        </w:rPr>
        <w:t>. 2013 m. pasirašytų sutarčių pasiskirstymas pagal sektorius</w:t>
      </w:r>
      <w:r w:rsidRPr="0061436D">
        <w:rPr>
          <w:rStyle w:val="Puslapioinaosnuoroda"/>
          <w:lang w:val="lt-LT"/>
        </w:rPr>
        <w:footnoteReference w:id="54"/>
      </w:r>
      <w:bookmarkEnd w:id="90"/>
    </w:p>
    <w:p w14:paraId="6113D1C3" w14:textId="77777777" w:rsidR="00583EB1" w:rsidRDefault="00583EB1" w:rsidP="00583EB1">
      <w:pPr>
        <w:autoSpaceDE w:val="0"/>
        <w:autoSpaceDN w:val="0"/>
        <w:adjustRightInd w:val="0"/>
        <w:spacing w:after="120"/>
        <w:jc w:val="both"/>
        <w:rPr>
          <w:rFonts w:ascii="Georgia" w:hAnsi="Georgia" w:cs="Arial"/>
          <w:sz w:val="20"/>
          <w:szCs w:val="20"/>
          <w:lang w:val="lt-LT"/>
        </w:rPr>
      </w:pPr>
      <w:r>
        <w:rPr>
          <w:rFonts w:ascii="Georgia" w:hAnsi="Georgia" w:cs="Arial"/>
          <w:sz w:val="20"/>
          <w:szCs w:val="20"/>
          <w:lang w:val="lt-LT"/>
        </w:rPr>
        <w:t xml:space="preserve">Infrastruktūros, transporto ir telekomunikacijų sektoriuje paskolos buvo nukreiptos į geležinkelių sistemas, uostų, švietimo ir sveikatos apsaugos infrastruktūrą. Pramonės ir paslaugų sektoriuje – į inovacijų finansavimą, ypač MTEP projektus, susijusius su technologijų plėtra. Finansų įstaigų ir MVĮ sektoriuje – į naudos gavėjus, kurių bankas negali tiesiogiai pasiekti (labai mažos, mažos ir vidutinės įmonės). Finansavimas buvo teikiamas per programas, kurias įgyvendina vietiniai finansų tarpininkai. </w:t>
      </w:r>
    </w:p>
    <w:p w14:paraId="50631376" w14:textId="77777777" w:rsidR="00583EB1" w:rsidRDefault="00583EB1" w:rsidP="00583EB1">
      <w:pPr>
        <w:autoSpaceDE w:val="0"/>
        <w:autoSpaceDN w:val="0"/>
        <w:adjustRightInd w:val="0"/>
        <w:spacing w:after="120"/>
        <w:jc w:val="both"/>
        <w:rPr>
          <w:rFonts w:ascii="Georgia" w:hAnsi="Georgia" w:cs="Arial"/>
          <w:sz w:val="20"/>
          <w:szCs w:val="20"/>
          <w:lang w:val="lt-LT"/>
        </w:rPr>
      </w:pPr>
      <w:r>
        <w:rPr>
          <w:rFonts w:ascii="Georgia" w:hAnsi="Georgia" w:cs="Arial"/>
          <w:sz w:val="20"/>
          <w:szCs w:val="20"/>
          <w:lang w:val="lt-LT"/>
        </w:rPr>
        <w:t>Energetikos ir aplinkos sektoriuje paskolos buvo nukreiptos daugiausiai į atsinaujinančių energijos išteklių, ypač hidroenergijos, projektus. Taip pat finansuotos vėjo ir biomasės jėgainės. Be to, finansavimas buvo suteiktas elektros energijos perdavimo ir skirstymo sistemų modernizavimo projektams.</w:t>
      </w:r>
    </w:p>
    <w:p w14:paraId="03EE65BF" w14:textId="77777777" w:rsidR="00583EB1" w:rsidRPr="004110D8" w:rsidRDefault="00583EB1" w:rsidP="00583EB1">
      <w:pPr>
        <w:pStyle w:val="Pagrindinistekstas"/>
        <w:spacing w:line="276" w:lineRule="auto"/>
        <w:rPr>
          <w:i/>
          <w:lang w:val="lt-LT"/>
        </w:rPr>
      </w:pPr>
      <w:r w:rsidRPr="004110D8">
        <w:rPr>
          <w:i/>
          <w:lang w:val="lt-LT"/>
        </w:rPr>
        <w:t>Energetinio efektyvumo projektų finansavimas</w:t>
      </w:r>
    </w:p>
    <w:p w14:paraId="6BC1F5A0"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2008-2012 m. laikotarpiu NIB energetinio efektyvumo projektus finansavo per CLEERE skolinimo priemonę, kuri buvo skirta kovai arba prisitaikymui prie klimato kaitos visame pasaulyje. Per CLEERE bankas finansavo atsinaujinančių energijos išteklių, energijos efektyvumo, ekologiškesnių gamybos technologijų, mažinančių šiltnamio efektą sukeliančių dujų išmetimą, plėtros pramonėje projektus, taip pat projektus, susijusius su elektros tinklų ir infrastruktūros pritaikymu prie klimato kaitos, pavyzdžiui, ekstremalių oro sąlygų.</w:t>
      </w:r>
    </w:p>
    <w:p w14:paraId="0AF8DF88"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 xml:space="preserve">2012 m. bankas padidino Klimato kaitos, energijos efektyvumo ir atsinaujinančių energijos išteklių skolinimo priemonę </w:t>
      </w:r>
      <w:r w:rsidRPr="00736CD2">
        <w:rPr>
          <w:rFonts w:ascii="Georgia" w:hAnsi="Georgia" w:cs="Arial"/>
          <w:sz w:val="20"/>
          <w:szCs w:val="20"/>
          <w:lang w:val="lt-LT"/>
        </w:rPr>
        <w:t>1-u mlrd. eurų – iki 4 mlrd. eurų</w:t>
      </w:r>
      <w:r>
        <w:rPr>
          <w:rFonts w:ascii="Georgia" w:hAnsi="Georgia" w:cs="Arial"/>
          <w:sz w:val="20"/>
          <w:szCs w:val="20"/>
          <w:lang w:val="lt-LT"/>
        </w:rPr>
        <w:t xml:space="preserve">, arba apie 33 proc. Naujos paskolos buvo skirtos daugiausiai energetikos, pramonės ir transporto sektorių projektams. Viso 2008-2012 m. per CLEERE priemonę pasirašyta paskolų sutarčių už 4.039 mln. eurų (lentelė žemiau). </w:t>
      </w:r>
    </w:p>
    <w:p w14:paraId="08A4272C" w14:textId="77777777" w:rsidR="00855713" w:rsidRDefault="00855713" w:rsidP="00583EB1">
      <w:pPr>
        <w:spacing w:after="120"/>
        <w:jc w:val="both"/>
        <w:rPr>
          <w:rFonts w:ascii="Georgia" w:hAnsi="Georgia" w:cs="Arial"/>
          <w:sz w:val="20"/>
          <w:szCs w:val="20"/>
          <w:lang w:val="lt-LT"/>
        </w:rPr>
      </w:pPr>
    </w:p>
    <w:p w14:paraId="1C7F7065" w14:textId="46098FF5" w:rsidR="00583EB1" w:rsidRPr="007B16A2" w:rsidRDefault="00583EB1" w:rsidP="00583EB1">
      <w:pPr>
        <w:pStyle w:val="Antrat"/>
        <w:rPr>
          <w:lang w:val="lt-LT"/>
        </w:rPr>
      </w:pPr>
      <w:bookmarkStart w:id="91" w:name="_Toc460321611"/>
      <w:r w:rsidRPr="007B16A2">
        <w:rPr>
          <w:lang w:val="lt-LT"/>
        </w:rPr>
        <w:t xml:space="preserve">Lentelė </w:t>
      </w:r>
      <w:r w:rsidRPr="007B16A2">
        <w:rPr>
          <w:lang w:val="lt-LT"/>
        </w:rPr>
        <w:fldChar w:fldCharType="begin"/>
      </w:r>
      <w:r w:rsidRPr="007B16A2">
        <w:rPr>
          <w:lang w:val="lt-LT"/>
        </w:rPr>
        <w:instrText xml:space="preserve"> SEQ Lentelė \* ARABIC </w:instrText>
      </w:r>
      <w:r w:rsidRPr="007B16A2">
        <w:rPr>
          <w:lang w:val="lt-LT"/>
        </w:rPr>
        <w:fldChar w:fldCharType="separate"/>
      </w:r>
      <w:r w:rsidR="00AA3082">
        <w:rPr>
          <w:noProof/>
          <w:lang w:val="lt-LT"/>
        </w:rPr>
        <w:t>30</w:t>
      </w:r>
      <w:r w:rsidRPr="007B16A2">
        <w:rPr>
          <w:lang w:val="lt-LT"/>
        </w:rPr>
        <w:fldChar w:fldCharType="end"/>
      </w:r>
      <w:r w:rsidRPr="007B16A2">
        <w:rPr>
          <w:lang w:val="lt-LT"/>
        </w:rPr>
        <w:t>. Sutartys pasirašytos per CLEERE priemonę (mln. eurų)</w:t>
      </w:r>
      <w:bookmarkEnd w:id="91"/>
    </w:p>
    <w:tbl>
      <w:tblPr>
        <w:tblStyle w:val="viesussraas2parykinimas1"/>
        <w:tblW w:w="5000" w:type="pct"/>
        <w:tblLook w:val="04A0" w:firstRow="1" w:lastRow="0" w:firstColumn="1" w:lastColumn="0" w:noHBand="0" w:noVBand="1"/>
      </w:tblPr>
      <w:tblGrid>
        <w:gridCol w:w="1396"/>
        <w:gridCol w:w="1309"/>
        <w:gridCol w:w="1309"/>
        <w:gridCol w:w="1307"/>
        <w:gridCol w:w="1307"/>
        <w:gridCol w:w="1308"/>
        <w:gridCol w:w="1306"/>
      </w:tblGrid>
      <w:tr w:rsidR="001F7D0D" w14:paraId="29C91F03" w14:textId="77777777" w:rsidTr="008E66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pct"/>
          </w:tcPr>
          <w:p w14:paraId="60078903" w14:textId="77777777" w:rsidR="001F7D0D" w:rsidRDefault="001F7D0D" w:rsidP="00583EB1">
            <w:pPr>
              <w:jc w:val="center"/>
              <w:rPr>
                <w:rFonts w:ascii="Georgia" w:hAnsi="Georgia" w:cs="Arial"/>
                <w:color w:val="FFFFFF"/>
                <w:sz w:val="20"/>
                <w:szCs w:val="20"/>
              </w:rPr>
            </w:pPr>
          </w:p>
        </w:tc>
        <w:tc>
          <w:tcPr>
            <w:tcW w:w="715" w:type="pct"/>
            <w:hideMark/>
          </w:tcPr>
          <w:p w14:paraId="1C202C62" w14:textId="77777777" w:rsidR="001F7D0D" w:rsidRDefault="001F7D0D"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2008</w:t>
            </w:r>
          </w:p>
        </w:tc>
        <w:tc>
          <w:tcPr>
            <w:tcW w:w="715" w:type="pct"/>
            <w:hideMark/>
          </w:tcPr>
          <w:p w14:paraId="19535B7C" w14:textId="77777777" w:rsidR="001F7D0D" w:rsidRDefault="001F7D0D"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2009</w:t>
            </w:r>
          </w:p>
        </w:tc>
        <w:tc>
          <w:tcPr>
            <w:tcW w:w="714" w:type="pct"/>
            <w:hideMark/>
          </w:tcPr>
          <w:p w14:paraId="2DE95A26" w14:textId="77777777" w:rsidR="001F7D0D" w:rsidRDefault="001F7D0D"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2010</w:t>
            </w:r>
          </w:p>
        </w:tc>
        <w:tc>
          <w:tcPr>
            <w:tcW w:w="714" w:type="pct"/>
            <w:hideMark/>
          </w:tcPr>
          <w:p w14:paraId="6C341CD3" w14:textId="77777777" w:rsidR="001F7D0D" w:rsidRDefault="001F7D0D"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2011</w:t>
            </w:r>
          </w:p>
        </w:tc>
        <w:tc>
          <w:tcPr>
            <w:tcW w:w="714" w:type="pct"/>
            <w:hideMark/>
          </w:tcPr>
          <w:p w14:paraId="2642AD43" w14:textId="77777777" w:rsidR="001F7D0D" w:rsidRDefault="001F7D0D"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2012</w:t>
            </w:r>
          </w:p>
        </w:tc>
        <w:tc>
          <w:tcPr>
            <w:tcW w:w="713" w:type="pct"/>
            <w:hideMark/>
          </w:tcPr>
          <w:p w14:paraId="66FD9850" w14:textId="77777777" w:rsidR="001F7D0D" w:rsidRDefault="001F7D0D"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Viso</w:t>
            </w:r>
          </w:p>
        </w:tc>
      </w:tr>
      <w:tr w:rsidR="001F7D0D" w14:paraId="77640A3B" w14:textId="77777777" w:rsidTr="008E6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pct"/>
          </w:tcPr>
          <w:p w14:paraId="23B789C9" w14:textId="77777777" w:rsidR="001F7D0D" w:rsidRDefault="001F7D0D" w:rsidP="001F7D0D">
            <w:pPr>
              <w:jc w:val="center"/>
              <w:rPr>
                <w:rFonts w:ascii="Georgia" w:hAnsi="Georgia" w:cs="Arial"/>
                <w:sz w:val="20"/>
                <w:szCs w:val="20"/>
              </w:rPr>
            </w:pPr>
            <w:r>
              <w:rPr>
                <w:rFonts w:ascii="Georgia" w:hAnsi="Georgia" w:cs="Arial"/>
                <w:sz w:val="20"/>
                <w:szCs w:val="20"/>
              </w:rPr>
              <w:t>P</w:t>
            </w:r>
            <w:r w:rsidRPr="001F7D0D">
              <w:rPr>
                <w:rFonts w:ascii="Georgia" w:hAnsi="Georgia" w:cs="Arial"/>
                <w:sz w:val="20"/>
                <w:szCs w:val="20"/>
              </w:rPr>
              <w:t xml:space="preserve">asirašytos </w:t>
            </w:r>
            <w:r>
              <w:rPr>
                <w:rFonts w:ascii="Georgia" w:hAnsi="Georgia" w:cs="Arial"/>
                <w:sz w:val="20"/>
                <w:szCs w:val="20"/>
              </w:rPr>
              <w:t>s</w:t>
            </w:r>
            <w:r w:rsidRPr="001F7D0D">
              <w:rPr>
                <w:rFonts w:ascii="Georgia" w:hAnsi="Georgia" w:cs="Arial"/>
                <w:sz w:val="20"/>
                <w:szCs w:val="20"/>
              </w:rPr>
              <w:t xml:space="preserve">utartys </w:t>
            </w:r>
          </w:p>
        </w:tc>
        <w:tc>
          <w:tcPr>
            <w:tcW w:w="715" w:type="pct"/>
            <w:hideMark/>
          </w:tcPr>
          <w:p w14:paraId="532DB9BD" w14:textId="77777777" w:rsidR="001F7D0D" w:rsidRDefault="001F7D0D"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Pr>
                <w:rFonts w:ascii="Georgia" w:hAnsi="Georgia" w:cs="Arial"/>
                <w:sz w:val="20"/>
                <w:szCs w:val="20"/>
              </w:rPr>
              <w:t>505</w:t>
            </w:r>
          </w:p>
        </w:tc>
        <w:tc>
          <w:tcPr>
            <w:tcW w:w="715" w:type="pct"/>
            <w:hideMark/>
          </w:tcPr>
          <w:p w14:paraId="1C3B59B6" w14:textId="77777777" w:rsidR="001F7D0D" w:rsidRDefault="001F7D0D"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495</w:t>
            </w:r>
          </w:p>
        </w:tc>
        <w:tc>
          <w:tcPr>
            <w:tcW w:w="714" w:type="pct"/>
            <w:hideMark/>
          </w:tcPr>
          <w:p w14:paraId="2BED4AA0" w14:textId="77777777" w:rsidR="001F7D0D" w:rsidRDefault="001F7D0D"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628</w:t>
            </w:r>
          </w:p>
        </w:tc>
        <w:tc>
          <w:tcPr>
            <w:tcW w:w="714" w:type="pct"/>
            <w:hideMark/>
          </w:tcPr>
          <w:p w14:paraId="495495BF" w14:textId="77777777" w:rsidR="001F7D0D" w:rsidRDefault="001F7D0D"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1283</w:t>
            </w:r>
          </w:p>
        </w:tc>
        <w:tc>
          <w:tcPr>
            <w:tcW w:w="714" w:type="pct"/>
            <w:hideMark/>
          </w:tcPr>
          <w:p w14:paraId="4D018E03" w14:textId="77777777" w:rsidR="001F7D0D" w:rsidRDefault="001F7D0D" w:rsidP="001F7D0D">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1128</w:t>
            </w:r>
          </w:p>
        </w:tc>
        <w:tc>
          <w:tcPr>
            <w:tcW w:w="713" w:type="pct"/>
            <w:hideMark/>
          </w:tcPr>
          <w:p w14:paraId="4FB1E9D2" w14:textId="77777777" w:rsidR="001F7D0D" w:rsidRDefault="001F7D0D"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4039</w:t>
            </w:r>
          </w:p>
        </w:tc>
      </w:tr>
    </w:tbl>
    <w:p w14:paraId="53E97DAE" w14:textId="77777777" w:rsidR="00583EB1" w:rsidRPr="006167C8" w:rsidRDefault="00583EB1" w:rsidP="006167C8">
      <w:pPr>
        <w:pStyle w:val="Antrat"/>
        <w:rPr>
          <w:rFonts w:cs="Arial"/>
          <w:b w:val="0"/>
          <w:i/>
          <w:szCs w:val="20"/>
          <w:lang w:val="lt-LT"/>
        </w:rPr>
      </w:pPr>
      <w:r w:rsidRPr="006167C8">
        <w:rPr>
          <w:b w:val="0"/>
          <w:i/>
          <w:lang w:val="lt-LT"/>
        </w:rPr>
        <w:t xml:space="preserve">Šaltinis: </w:t>
      </w:r>
      <w:hyperlink r:id="rId30" w:history="1">
        <w:r w:rsidRPr="006167C8">
          <w:rPr>
            <w:b w:val="0"/>
            <w:i/>
          </w:rPr>
          <w:t>http://www.nib.int/loans/environmental_lending_base_cleere</w:t>
        </w:r>
      </w:hyperlink>
      <w:r w:rsidRPr="006167C8">
        <w:rPr>
          <w:rFonts w:cs="Arial"/>
          <w:b w:val="0"/>
          <w:i/>
          <w:szCs w:val="20"/>
          <w:lang w:val="lt-LT"/>
        </w:rPr>
        <w:t xml:space="preserve"> </w:t>
      </w:r>
    </w:p>
    <w:p w14:paraId="3F876CFA"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Šiuo metu NIB energetinio efektyvumo projektus finansuoja kaip vieną iš prioritetinių sričių, t.y. ne per specialiai tam sukurtą priemonę ar instrumentą. 2013 m. energetikos ir aplinkos sektoriaus projektams buvo suteikta paskolų už 302 mln. eurų.</w:t>
      </w:r>
    </w:p>
    <w:p w14:paraId="496C9AD2" w14:textId="41747926" w:rsidR="00583EB1" w:rsidRPr="00A3558B" w:rsidRDefault="00583EB1" w:rsidP="00583EB1">
      <w:pPr>
        <w:pStyle w:val="Antrat"/>
        <w:rPr>
          <w:rFonts w:cs="Arial"/>
          <w:szCs w:val="20"/>
          <w:lang w:val="lt-LT"/>
        </w:rPr>
      </w:pPr>
      <w:bookmarkStart w:id="92" w:name="_Toc460321612"/>
      <w:r w:rsidRPr="007B16A2">
        <w:rPr>
          <w:lang w:val="lt-LT"/>
        </w:rPr>
        <w:lastRenderedPageBreak/>
        <w:t xml:space="preserve">Lentelė </w:t>
      </w:r>
      <w:r w:rsidRPr="007B16A2">
        <w:rPr>
          <w:lang w:val="lt-LT"/>
        </w:rPr>
        <w:fldChar w:fldCharType="begin"/>
      </w:r>
      <w:r w:rsidRPr="007B16A2">
        <w:rPr>
          <w:lang w:val="lt-LT"/>
        </w:rPr>
        <w:instrText xml:space="preserve"> SEQ Lentelė \* ARABIC </w:instrText>
      </w:r>
      <w:r w:rsidRPr="007B16A2">
        <w:rPr>
          <w:lang w:val="lt-LT"/>
        </w:rPr>
        <w:fldChar w:fldCharType="separate"/>
      </w:r>
      <w:r w:rsidR="00AA3082">
        <w:rPr>
          <w:noProof/>
          <w:lang w:val="lt-LT"/>
        </w:rPr>
        <w:t>31</w:t>
      </w:r>
      <w:r w:rsidRPr="007B16A2">
        <w:rPr>
          <w:lang w:val="lt-LT"/>
        </w:rPr>
        <w:fldChar w:fldCharType="end"/>
      </w:r>
      <w:r w:rsidRPr="007B16A2">
        <w:rPr>
          <w:lang w:val="lt-LT"/>
        </w:rPr>
        <w:t>. NIB suteiktos paskolos energetikos ir aplinkos sektoriuose 2008-2013 m.</w:t>
      </w:r>
      <w:bookmarkEnd w:id="92"/>
    </w:p>
    <w:tbl>
      <w:tblPr>
        <w:tblStyle w:val="viesussraas2parykinimas1"/>
        <w:tblW w:w="5000" w:type="pct"/>
        <w:tblLook w:val="04A0" w:firstRow="1" w:lastRow="0" w:firstColumn="1" w:lastColumn="0" w:noHBand="0" w:noVBand="1"/>
      </w:tblPr>
      <w:tblGrid>
        <w:gridCol w:w="2589"/>
        <w:gridCol w:w="1112"/>
        <w:gridCol w:w="1109"/>
        <w:gridCol w:w="1109"/>
        <w:gridCol w:w="1107"/>
        <w:gridCol w:w="1107"/>
        <w:gridCol w:w="1109"/>
      </w:tblGrid>
      <w:tr w:rsidR="00583EB1" w14:paraId="0C547A81" w14:textId="77777777" w:rsidTr="008E66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 w:type="pct"/>
          </w:tcPr>
          <w:p w14:paraId="667C489F" w14:textId="77777777" w:rsidR="00583EB1" w:rsidRDefault="00583EB1" w:rsidP="00583EB1">
            <w:pPr>
              <w:jc w:val="both"/>
              <w:rPr>
                <w:rFonts w:ascii="Georgia" w:hAnsi="Georgia" w:cs="Arial"/>
                <w:b w:val="0"/>
                <w:bCs w:val="0"/>
                <w:color w:val="auto"/>
                <w:sz w:val="20"/>
                <w:szCs w:val="20"/>
              </w:rPr>
            </w:pPr>
          </w:p>
        </w:tc>
        <w:tc>
          <w:tcPr>
            <w:tcW w:w="601" w:type="pct"/>
            <w:hideMark/>
          </w:tcPr>
          <w:p w14:paraId="48FAEFE6"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2008</w:t>
            </w:r>
          </w:p>
        </w:tc>
        <w:tc>
          <w:tcPr>
            <w:tcW w:w="600" w:type="pct"/>
            <w:hideMark/>
          </w:tcPr>
          <w:p w14:paraId="5DD23939"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2009</w:t>
            </w:r>
          </w:p>
        </w:tc>
        <w:tc>
          <w:tcPr>
            <w:tcW w:w="600" w:type="pct"/>
            <w:hideMark/>
          </w:tcPr>
          <w:p w14:paraId="64EA2469"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2010</w:t>
            </w:r>
          </w:p>
        </w:tc>
        <w:tc>
          <w:tcPr>
            <w:tcW w:w="599" w:type="pct"/>
            <w:hideMark/>
          </w:tcPr>
          <w:p w14:paraId="0583AEC8"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2011</w:t>
            </w:r>
          </w:p>
        </w:tc>
        <w:tc>
          <w:tcPr>
            <w:tcW w:w="599" w:type="pct"/>
            <w:hideMark/>
          </w:tcPr>
          <w:p w14:paraId="27D4F1F2"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2012</w:t>
            </w:r>
          </w:p>
        </w:tc>
        <w:tc>
          <w:tcPr>
            <w:tcW w:w="600" w:type="pct"/>
            <w:hideMark/>
          </w:tcPr>
          <w:p w14:paraId="2F5288BD"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2013</w:t>
            </w:r>
          </w:p>
        </w:tc>
      </w:tr>
      <w:tr w:rsidR="00583EB1" w14:paraId="271CAD14" w14:textId="77777777" w:rsidTr="008E6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 w:type="pct"/>
            <w:hideMark/>
          </w:tcPr>
          <w:p w14:paraId="1FEC510D" w14:textId="77777777" w:rsidR="00583EB1" w:rsidRDefault="00583EB1" w:rsidP="00583EB1">
            <w:pPr>
              <w:rPr>
                <w:rFonts w:ascii="Georgia" w:hAnsi="Georgia" w:cs="Arial"/>
                <w:b w:val="0"/>
                <w:bCs w:val="0"/>
                <w:sz w:val="20"/>
                <w:szCs w:val="20"/>
              </w:rPr>
            </w:pPr>
            <w:r>
              <w:rPr>
                <w:rFonts w:ascii="Georgia" w:hAnsi="Georgia" w:cs="Arial"/>
                <w:sz w:val="20"/>
                <w:szCs w:val="20"/>
              </w:rPr>
              <w:t>Pasirašyta sutarčių energetikos sektoriuje (mln. EUR)</w:t>
            </w:r>
          </w:p>
        </w:tc>
        <w:tc>
          <w:tcPr>
            <w:tcW w:w="601" w:type="pct"/>
            <w:hideMark/>
          </w:tcPr>
          <w:p w14:paraId="47EE1D50"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416</w:t>
            </w:r>
          </w:p>
        </w:tc>
        <w:tc>
          <w:tcPr>
            <w:tcW w:w="600" w:type="pct"/>
            <w:hideMark/>
          </w:tcPr>
          <w:p w14:paraId="14E76BBE"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89</w:t>
            </w:r>
          </w:p>
        </w:tc>
        <w:tc>
          <w:tcPr>
            <w:tcW w:w="600" w:type="pct"/>
            <w:hideMark/>
          </w:tcPr>
          <w:p w14:paraId="0D1D1E29"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383</w:t>
            </w:r>
          </w:p>
        </w:tc>
        <w:tc>
          <w:tcPr>
            <w:tcW w:w="599" w:type="pct"/>
            <w:hideMark/>
          </w:tcPr>
          <w:p w14:paraId="311ABEF9"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691</w:t>
            </w:r>
          </w:p>
        </w:tc>
        <w:tc>
          <w:tcPr>
            <w:tcW w:w="599" w:type="pct"/>
            <w:vMerge w:val="restart"/>
            <w:hideMark/>
          </w:tcPr>
          <w:p w14:paraId="6A1D1326"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525</w:t>
            </w:r>
            <w:r>
              <w:rPr>
                <w:rFonts w:ascii="Georgia" w:hAnsi="Georgia" w:cs="Arial"/>
                <w:sz w:val="20"/>
                <w:szCs w:val="20"/>
                <w:vertAlign w:val="superscript"/>
              </w:rPr>
              <w:footnoteReference w:id="55"/>
            </w:r>
          </w:p>
        </w:tc>
        <w:tc>
          <w:tcPr>
            <w:tcW w:w="600" w:type="pct"/>
            <w:vMerge w:val="restart"/>
            <w:hideMark/>
          </w:tcPr>
          <w:p w14:paraId="78747796"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302</w:t>
            </w:r>
          </w:p>
        </w:tc>
      </w:tr>
      <w:tr w:rsidR="00583EB1" w14:paraId="078DFEA0" w14:textId="77777777" w:rsidTr="008E66E4">
        <w:tc>
          <w:tcPr>
            <w:cnfStyle w:val="001000000000" w:firstRow="0" w:lastRow="0" w:firstColumn="1" w:lastColumn="0" w:oddVBand="0" w:evenVBand="0" w:oddHBand="0" w:evenHBand="0" w:firstRowFirstColumn="0" w:firstRowLastColumn="0" w:lastRowFirstColumn="0" w:lastRowLastColumn="0"/>
            <w:tcW w:w="1400" w:type="pct"/>
            <w:hideMark/>
          </w:tcPr>
          <w:p w14:paraId="1228AE36" w14:textId="77777777" w:rsidR="00583EB1" w:rsidRDefault="00583EB1" w:rsidP="00583EB1">
            <w:pPr>
              <w:rPr>
                <w:rFonts w:ascii="Georgia" w:hAnsi="Georgia" w:cs="Arial"/>
                <w:b w:val="0"/>
                <w:bCs w:val="0"/>
                <w:sz w:val="20"/>
                <w:szCs w:val="20"/>
              </w:rPr>
            </w:pPr>
            <w:r>
              <w:rPr>
                <w:rFonts w:ascii="Georgia" w:hAnsi="Georgia" w:cs="Arial"/>
                <w:sz w:val="20"/>
                <w:szCs w:val="20"/>
              </w:rPr>
              <w:t>Pasirašyta sutarčių aplinkos sektoriuje (mln. EUR)</w:t>
            </w:r>
          </w:p>
        </w:tc>
        <w:tc>
          <w:tcPr>
            <w:tcW w:w="601" w:type="pct"/>
            <w:hideMark/>
          </w:tcPr>
          <w:p w14:paraId="3DB00E35"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566</w:t>
            </w:r>
          </w:p>
        </w:tc>
        <w:tc>
          <w:tcPr>
            <w:tcW w:w="600" w:type="pct"/>
            <w:hideMark/>
          </w:tcPr>
          <w:p w14:paraId="261DD0C3"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684</w:t>
            </w:r>
          </w:p>
        </w:tc>
        <w:tc>
          <w:tcPr>
            <w:tcW w:w="600" w:type="pct"/>
            <w:hideMark/>
          </w:tcPr>
          <w:p w14:paraId="60DE8395"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498</w:t>
            </w:r>
          </w:p>
        </w:tc>
        <w:tc>
          <w:tcPr>
            <w:tcW w:w="599" w:type="pct"/>
            <w:hideMark/>
          </w:tcPr>
          <w:p w14:paraId="536AD48D"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810</w:t>
            </w:r>
          </w:p>
        </w:tc>
        <w:tc>
          <w:tcPr>
            <w:tcW w:w="599" w:type="pct"/>
            <w:vMerge/>
            <w:hideMark/>
          </w:tcPr>
          <w:p w14:paraId="446914DE" w14:textId="77777777" w:rsidR="00583EB1" w:rsidRDefault="00583EB1" w:rsidP="00583EB1">
            <w:pP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p>
        </w:tc>
        <w:tc>
          <w:tcPr>
            <w:tcW w:w="600" w:type="pct"/>
            <w:vMerge/>
            <w:hideMark/>
          </w:tcPr>
          <w:p w14:paraId="0E5254DB" w14:textId="77777777" w:rsidR="00583EB1" w:rsidRDefault="00583EB1" w:rsidP="00583EB1">
            <w:pP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p>
        </w:tc>
      </w:tr>
      <w:tr w:rsidR="00583EB1" w14:paraId="177ACB00" w14:textId="77777777" w:rsidTr="008E6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 w:type="pct"/>
            <w:hideMark/>
          </w:tcPr>
          <w:p w14:paraId="6D6DE1EA" w14:textId="77777777" w:rsidR="00583EB1" w:rsidRDefault="00583EB1" w:rsidP="00583EB1">
            <w:pPr>
              <w:rPr>
                <w:rFonts w:ascii="Georgia" w:hAnsi="Georgia" w:cs="Arial"/>
                <w:b w:val="0"/>
                <w:bCs w:val="0"/>
                <w:sz w:val="20"/>
                <w:szCs w:val="20"/>
              </w:rPr>
            </w:pPr>
            <w:r>
              <w:rPr>
                <w:rFonts w:ascii="Georgia" w:hAnsi="Georgia" w:cs="Arial"/>
                <w:sz w:val="20"/>
                <w:szCs w:val="20"/>
              </w:rPr>
              <w:t>Dalis nuo visų pasirašytų sutarčių vertės atitinkamais metais (energetika) (proc.)</w:t>
            </w:r>
          </w:p>
        </w:tc>
        <w:tc>
          <w:tcPr>
            <w:tcW w:w="601" w:type="pct"/>
            <w:hideMark/>
          </w:tcPr>
          <w:p w14:paraId="2B80CB24"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15,4</w:t>
            </w:r>
          </w:p>
        </w:tc>
        <w:tc>
          <w:tcPr>
            <w:tcW w:w="600" w:type="pct"/>
            <w:hideMark/>
          </w:tcPr>
          <w:p w14:paraId="06FDE4BF"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6</w:t>
            </w:r>
          </w:p>
        </w:tc>
        <w:tc>
          <w:tcPr>
            <w:tcW w:w="600" w:type="pct"/>
            <w:hideMark/>
          </w:tcPr>
          <w:p w14:paraId="553D1D7F"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22</w:t>
            </w:r>
          </w:p>
        </w:tc>
        <w:tc>
          <w:tcPr>
            <w:tcW w:w="599" w:type="pct"/>
            <w:hideMark/>
          </w:tcPr>
          <w:p w14:paraId="24A16E20"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26</w:t>
            </w:r>
          </w:p>
        </w:tc>
        <w:tc>
          <w:tcPr>
            <w:tcW w:w="599" w:type="pct"/>
            <w:vMerge w:val="restart"/>
            <w:hideMark/>
          </w:tcPr>
          <w:p w14:paraId="600A850F"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22</w:t>
            </w:r>
          </w:p>
        </w:tc>
        <w:tc>
          <w:tcPr>
            <w:tcW w:w="600" w:type="pct"/>
            <w:vMerge w:val="restart"/>
            <w:hideMark/>
          </w:tcPr>
          <w:p w14:paraId="0E9F7C93"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17</w:t>
            </w:r>
          </w:p>
        </w:tc>
      </w:tr>
      <w:tr w:rsidR="00583EB1" w14:paraId="6CB0871A" w14:textId="77777777" w:rsidTr="008E66E4">
        <w:tc>
          <w:tcPr>
            <w:cnfStyle w:val="001000000000" w:firstRow="0" w:lastRow="0" w:firstColumn="1" w:lastColumn="0" w:oddVBand="0" w:evenVBand="0" w:oddHBand="0" w:evenHBand="0" w:firstRowFirstColumn="0" w:firstRowLastColumn="0" w:lastRowFirstColumn="0" w:lastRowLastColumn="0"/>
            <w:tcW w:w="1400" w:type="pct"/>
            <w:hideMark/>
          </w:tcPr>
          <w:p w14:paraId="5CCA904C" w14:textId="77777777" w:rsidR="00583EB1" w:rsidRDefault="00583EB1" w:rsidP="00583EB1">
            <w:pPr>
              <w:rPr>
                <w:rFonts w:ascii="Georgia" w:hAnsi="Georgia" w:cs="Arial"/>
                <w:b w:val="0"/>
                <w:bCs w:val="0"/>
                <w:sz w:val="20"/>
                <w:szCs w:val="20"/>
              </w:rPr>
            </w:pPr>
            <w:r>
              <w:rPr>
                <w:rFonts w:ascii="Georgia" w:hAnsi="Georgia" w:cs="Arial"/>
                <w:sz w:val="20"/>
                <w:szCs w:val="20"/>
              </w:rPr>
              <w:t>Dalis nuo visų pasirašytų sutarčių vertės atitinkamais metais (aplinka) (proc.)</w:t>
            </w:r>
          </w:p>
        </w:tc>
        <w:tc>
          <w:tcPr>
            <w:tcW w:w="601" w:type="pct"/>
            <w:hideMark/>
          </w:tcPr>
          <w:p w14:paraId="620E9085"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20,9</w:t>
            </w:r>
          </w:p>
        </w:tc>
        <w:tc>
          <w:tcPr>
            <w:tcW w:w="600" w:type="pct"/>
            <w:hideMark/>
          </w:tcPr>
          <w:p w14:paraId="63CB2125"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48</w:t>
            </w:r>
          </w:p>
        </w:tc>
        <w:tc>
          <w:tcPr>
            <w:tcW w:w="600" w:type="pct"/>
            <w:hideMark/>
          </w:tcPr>
          <w:p w14:paraId="02C378B0"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28</w:t>
            </w:r>
          </w:p>
        </w:tc>
        <w:tc>
          <w:tcPr>
            <w:tcW w:w="599" w:type="pct"/>
            <w:hideMark/>
          </w:tcPr>
          <w:p w14:paraId="1FF9AF29"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31</w:t>
            </w:r>
          </w:p>
        </w:tc>
        <w:tc>
          <w:tcPr>
            <w:tcW w:w="599" w:type="pct"/>
            <w:vMerge/>
            <w:hideMark/>
          </w:tcPr>
          <w:p w14:paraId="48C18CB7" w14:textId="77777777" w:rsidR="00583EB1" w:rsidRDefault="00583EB1" w:rsidP="00583EB1">
            <w:pP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p>
        </w:tc>
        <w:tc>
          <w:tcPr>
            <w:tcW w:w="600" w:type="pct"/>
            <w:vMerge/>
            <w:hideMark/>
          </w:tcPr>
          <w:p w14:paraId="44402AA3" w14:textId="77777777" w:rsidR="00583EB1" w:rsidRDefault="00583EB1" w:rsidP="00583EB1">
            <w:pP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p>
        </w:tc>
      </w:tr>
    </w:tbl>
    <w:p w14:paraId="4B3BF31F" w14:textId="77777777" w:rsidR="00583EB1" w:rsidRDefault="00583EB1" w:rsidP="00583EB1">
      <w:pPr>
        <w:spacing w:after="120"/>
        <w:jc w:val="both"/>
        <w:rPr>
          <w:rFonts w:ascii="Georgia" w:hAnsi="Georgia" w:cs="Arial"/>
          <w:sz w:val="20"/>
          <w:szCs w:val="20"/>
          <w:lang w:val="lt-LT"/>
        </w:rPr>
      </w:pPr>
      <w:r w:rsidRPr="006167C8">
        <w:rPr>
          <w:rFonts w:ascii="Georgia" w:eastAsia="PMingLiU" w:hAnsi="Georgia" w:cs="Times New Roman"/>
          <w:bCs/>
          <w:i/>
          <w:color w:val="A32020"/>
          <w:sz w:val="20"/>
          <w:szCs w:val="18"/>
          <w:lang w:val="lt-LT"/>
        </w:rPr>
        <w:t>Šaltiniai: NIB 2008-2013 metų metinės ataskaitos</w:t>
      </w:r>
      <w:r>
        <w:rPr>
          <w:rStyle w:val="Puslapioinaosnuoroda"/>
          <w:rFonts w:ascii="Georgia" w:hAnsi="Georgia" w:cs="Arial"/>
          <w:i/>
          <w:sz w:val="20"/>
          <w:szCs w:val="20"/>
          <w:lang w:val="lt-LT"/>
        </w:rPr>
        <w:footnoteReference w:id="56"/>
      </w:r>
      <w:r>
        <w:rPr>
          <w:rFonts w:ascii="Georgia" w:hAnsi="Georgia" w:cs="Arial"/>
          <w:i/>
          <w:sz w:val="20"/>
          <w:szCs w:val="20"/>
          <w:lang w:val="lt-LT"/>
        </w:rPr>
        <w:t>.</w:t>
      </w:r>
      <w:r>
        <w:rPr>
          <w:rFonts w:ascii="Georgia" w:hAnsi="Georgia" w:cs="Arial"/>
          <w:sz w:val="20"/>
          <w:szCs w:val="20"/>
          <w:lang w:val="lt-LT"/>
        </w:rPr>
        <w:t xml:space="preserve"> </w:t>
      </w:r>
    </w:p>
    <w:p w14:paraId="55EABDB5" w14:textId="77777777" w:rsidR="00583EB1" w:rsidRDefault="00583EB1" w:rsidP="00583EB1">
      <w:pPr>
        <w:autoSpaceDE w:val="0"/>
        <w:autoSpaceDN w:val="0"/>
        <w:adjustRightInd w:val="0"/>
        <w:spacing w:after="120"/>
        <w:jc w:val="both"/>
        <w:rPr>
          <w:rFonts w:ascii="Georgia" w:eastAsia="Geogrotesque-Regular" w:hAnsi="Georgia" w:cs="Arial"/>
          <w:sz w:val="20"/>
          <w:szCs w:val="20"/>
          <w:lang w:val="lt-LT"/>
        </w:rPr>
      </w:pPr>
      <w:r>
        <w:rPr>
          <w:rFonts w:ascii="Georgia" w:eastAsia="Geogrotesque-Regular" w:hAnsi="Georgia" w:cs="Arial"/>
          <w:sz w:val="20"/>
          <w:szCs w:val="20"/>
          <w:lang w:val="lt-LT"/>
        </w:rPr>
        <w:t xml:space="preserve">Pastaraisiais metais stebimas sutarčių, pasirašomų energetikos ir aplinkos sektoriaus projektų, apimčių mažėjimas. 2012 m. ženkliai išaugo banko finansavimas, skirtas skatinti inovacijas pramonės sektoriuje, energetikos ir aplinkos sektoriaus dalyje. Tiesa, stebimas ir bendrų banko veiklos apimčių mažėjimas (nuo 2366 mln. eurų iki 1810 mln. eurų), išskyrus finansų institucijų ir MVĮ finansavimą (2013 m. padidėjo nuo 198 iki 230 mln. eurų). </w:t>
      </w:r>
      <w:r>
        <w:rPr>
          <w:rFonts w:ascii="Georgia" w:hAnsi="Georgia" w:cs="Arial"/>
          <w:sz w:val="20"/>
          <w:szCs w:val="20"/>
          <w:lang w:val="lt-LT"/>
        </w:rPr>
        <w:t>Tokia situacija gali būti nulemta ir geresnės kokybės projektų pasiūlos konkrečiais metais, kadangi oficialiuose banko dokumentuose/pranešimuose nėra minimas NIB noras mažinti energijos efektyvumo srities finansavimą.</w:t>
      </w:r>
    </w:p>
    <w:p w14:paraId="297CB39A"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Projektų pavyzdžiai: 20 mln. paskola eurų 12 m. laikotarpiui Kemijoki Oy (Suomija) (2013 m. sausio 9 d.), skirta atnaujinti ir modernizuoti hidroelektrinę, 30 mln. eurų paskola  7 m. laikotarpiui Territorial Generating Company No 1 (Rusijos Federacija) (2012 m. gruodžio 4d.), skirta finansuoti investicijų programą, kuri rems tokius projektus kaip hidroelektrinių rekonstrukciją ir plėtrą, 44 mln. eurų paskola 10 m. laikotarpiui Lyse Energi AS (Norvegija) (2012 m. spalio 8 d.), skirta elektros tinklo modernizacijai.</w:t>
      </w:r>
    </w:p>
    <w:p w14:paraId="3002F589"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Energijos efektyvumo projektai įgyvendinami ir per finansų institucijas. Šios investicijos priskiriamos finansų institucijų ir MVĮ sektoriui, tačiau NIB per paskolų programas, įgyvendinamas partnerių finansinių institucijų, remia taip pat ir kitus energetikos sektoriaus projektus. 2013 m. buvo patvirtintos septynios programos, remiančios MVĮ ir aplinkos sektorius, tame tarpe atsinaujinančius energijos išteklius.</w:t>
      </w:r>
    </w:p>
    <w:p w14:paraId="7C925365"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Papildomai buvo patvirtinta viena programa, skirta energijos efektyvumo investicijoms Šiaurės Vakarų Rusijoje. Iš viso finansų institucijų ir MVĮ sektoriuje pasirašyta sutarčių už 230 mln. eurų arba 13 proc. visų paskolų sutarčių vertės</w:t>
      </w:r>
      <w:r>
        <w:rPr>
          <w:rStyle w:val="Puslapioinaosnuoroda"/>
          <w:rFonts w:ascii="Georgia" w:hAnsi="Georgia" w:cs="Arial"/>
          <w:sz w:val="20"/>
          <w:szCs w:val="20"/>
          <w:lang w:val="lt-LT"/>
        </w:rPr>
        <w:footnoteReference w:id="57"/>
      </w:r>
      <w:r>
        <w:rPr>
          <w:rFonts w:ascii="Georgia" w:hAnsi="Georgia" w:cs="Arial"/>
          <w:sz w:val="20"/>
          <w:szCs w:val="20"/>
          <w:lang w:val="lt-LT"/>
        </w:rPr>
        <w:t>.</w:t>
      </w:r>
    </w:p>
    <w:p w14:paraId="1496469A" w14:textId="77777777" w:rsidR="00583EB1" w:rsidRPr="00232A85" w:rsidRDefault="00583EB1" w:rsidP="00583EB1">
      <w:pPr>
        <w:pStyle w:val="Pagrindinistekstas"/>
        <w:keepNext/>
        <w:rPr>
          <w:i/>
          <w:lang w:val="lt-LT"/>
        </w:rPr>
      </w:pPr>
      <w:r w:rsidRPr="00232A85">
        <w:rPr>
          <w:i/>
          <w:lang w:val="lt-LT"/>
        </w:rPr>
        <w:t>Šiaurės investicijų banko veikla Lietuvoje</w:t>
      </w:r>
    </w:p>
    <w:p w14:paraId="641F2DA0" w14:textId="77777777" w:rsidR="00583EB1" w:rsidRDefault="00583EB1" w:rsidP="00583EB1">
      <w:pPr>
        <w:keepNext/>
        <w:spacing w:after="120"/>
        <w:jc w:val="both"/>
        <w:rPr>
          <w:rFonts w:ascii="Georgia" w:hAnsi="Georgia"/>
          <w:b/>
          <w:szCs w:val="20"/>
          <w:lang w:val="lt-LT"/>
        </w:rPr>
      </w:pPr>
      <w:r>
        <w:rPr>
          <w:rFonts w:ascii="Georgia" w:hAnsi="Georgia" w:cs="Arial"/>
          <w:sz w:val="20"/>
          <w:szCs w:val="20"/>
          <w:lang w:val="lt-LT"/>
        </w:rPr>
        <w:t xml:space="preserve">2007-2013 m. Lietuvoje registruotiems juridiniams asmenims NIB suteikė 13 paskolų. Šių paskolų vertė – 417,6 mln. eurų, trukmė – 10-20 metų (žr. lentelę žemiau). Trys iš jų buvo suteiktos energetikos ir aplinkos sektoriaus projektams ir siekė nuo 15 mln. eurų iki 100 mln. eurų. Verta </w:t>
      </w:r>
      <w:r>
        <w:rPr>
          <w:rFonts w:ascii="Georgia" w:hAnsi="Georgia" w:cs="Arial"/>
          <w:sz w:val="20"/>
          <w:szCs w:val="20"/>
          <w:lang w:val="lt-LT"/>
        </w:rPr>
        <w:lastRenderedPageBreak/>
        <w:t>paminėti, jog taip pat buvo suteikta viena paskola finansų institucijai. 2007 m. 5,5 mln. eurų paskola suteikta Šiaulių bankui, kuris šias lėšas nukreipė MVĮ finansavimui.</w:t>
      </w:r>
    </w:p>
    <w:p w14:paraId="1B264F5C" w14:textId="7075A238" w:rsidR="00583EB1" w:rsidRPr="00A3558B" w:rsidRDefault="00583EB1" w:rsidP="00583EB1">
      <w:pPr>
        <w:pStyle w:val="Antrat"/>
        <w:rPr>
          <w:rFonts w:cs="Arial"/>
          <w:b w:val="0"/>
          <w:i/>
          <w:szCs w:val="20"/>
          <w:lang w:val="lt-LT"/>
        </w:rPr>
      </w:pPr>
      <w:bookmarkStart w:id="93" w:name="_Toc460321613"/>
      <w:r w:rsidRPr="007B16A2">
        <w:rPr>
          <w:lang w:val="lt-LT"/>
        </w:rPr>
        <w:t xml:space="preserve">Lentelė </w:t>
      </w:r>
      <w:r w:rsidRPr="007B16A2">
        <w:rPr>
          <w:lang w:val="lt-LT"/>
        </w:rPr>
        <w:fldChar w:fldCharType="begin"/>
      </w:r>
      <w:r w:rsidRPr="007B16A2">
        <w:rPr>
          <w:lang w:val="lt-LT"/>
        </w:rPr>
        <w:instrText xml:space="preserve"> SEQ Lentelė \* ARABIC </w:instrText>
      </w:r>
      <w:r w:rsidRPr="007B16A2">
        <w:rPr>
          <w:lang w:val="lt-LT"/>
        </w:rPr>
        <w:fldChar w:fldCharType="separate"/>
      </w:r>
      <w:r w:rsidR="00AA3082">
        <w:rPr>
          <w:noProof/>
          <w:lang w:val="lt-LT"/>
        </w:rPr>
        <w:t>32</w:t>
      </w:r>
      <w:r w:rsidRPr="007B16A2">
        <w:rPr>
          <w:lang w:val="lt-LT"/>
        </w:rPr>
        <w:fldChar w:fldCharType="end"/>
      </w:r>
      <w:r w:rsidRPr="007B16A2">
        <w:rPr>
          <w:lang w:val="lt-LT"/>
        </w:rPr>
        <w:t>. NIB Lietuvoje finansuotų projektų skaičius ir vertė.</w:t>
      </w:r>
      <w:bookmarkEnd w:id="93"/>
    </w:p>
    <w:tbl>
      <w:tblPr>
        <w:tblStyle w:val="viesussraas2parykinimas"/>
        <w:tblW w:w="5000" w:type="pct"/>
        <w:tblLook w:val="04A0" w:firstRow="1" w:lastRow="0" w:firstColumn="1" w:lastColumn="0" w:noHBand="0" w:noVBand="1"/>
      </w:tblPr>
      <w:tblGrid>
        <w:gridCol w:w="1689"/>
        <w:gridCol w:w="956"/>
        <w:gridCol w:w="956"/>
        <w:gridCol w:w="956"/>
        <w:gridCol w:w="956"/>
        <w:gridCol w:w="956"/>
        <w:gridCol w:w="956"/>
        <w:gridCol w:w="956"/>
        <w:gridCol w:w="861"/>
      </w:tblGrid>
      <w:tr w:rsidR="00583EB1" w14:paraId="43CA6710" w14:textId="77777777" w:rsidTr="008E66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 w:type="pct"/>
            <w:tcBorders>
              <w:top w:val="single" w:sz="8" w:space="0" w:color="C0504D" w:themeColor="accent2"/>
              <w:left w:val="single" w:sz="8" w:space="0" w:color="C0504D" w:themeColor="accent2"/>
              <w:bottom w:val="nil"/>
              <w:right w:val="nil"/>
            </w:tcBorders>
            <w:vAlign w:val="center"/>
          </w:tcPr>
          <w:p w14:paraId="27BF360B" w14:textId="77777777" w:rsidR="00583EB1" w:rsidRDefault="00583EB1" w:rsidP="00583EB1">
            <w:pPr>
              <w:jc w:val="center"/>
              <w:rPr>
                <w:rFonts w:ascii="Georgia" w:hAnsi="Georgia" w:cs="Arial"/>
                <w:b w:val="0"/>
                <w:bCs w:val="0"/>
                <w:color w:val="auto"/>
                <w:sz w:val="20"/>
                <w:szCs w:val="20"/>
              </w:rPr>
            </w:pPr>
          </w:p>
        </w:tc>
        <w:tc>
          <w:tcPr>
            <w:tcW w:w="517" w:type="pct"/>
            <w:tcBorders>
              <w:top w:val="single" w:sz="8" w:space="0" w:color="C0504D" w:themeColor="accent2"/>
              <w:left w:val="nil"/>
              <w:bottom w:val="nil"/>
              <w:right w:val="nil"/>
            </w:tcBorders>
            <w:vAlign w:val="center"/>
            <w:hideMark/>
          </w:tcPr>
          <w:p w14:paraId="6D89119F"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2007</w:t>
            </w:r>
          </w:p>
        </w:tc>
        <w:tc>
          <w:tcPr>
            <w:tcW w:w="517" w:type="pct"/>
            <w:tcBorders>
              <w:top w:val="single" w:sz="8" w:space="0" w:color="C0504D" w:themeColor="accent2"/>
              <w:left w:val="nil"/>
              <w:bottom w:val="nil"/>
              <w:right w:val="nil"/>
            </w:tcBorders>
            <w:vAlign w:val="center"/>
            <w:hideMark/>
          </w:tcPr>
          <w:p w14:paraId="3E75E17F"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2008</w:t>
            </w:r>
          </w:p>
        </w:tc>
        <w:tc>
          <w:tcPr>
            <w:tcW w:w="517" w:type="pct"/>
            <w:tcBorders>
              <w:top w:val="single" w:sz="8" w:space="0" w:color="C0504D" w:themeColor="accent2"/>
              <w:left w:val="nil"/>
              <w:bottom w:val="nil"/>
              <w:right w:val="nil"/>
            </w:tcBorders>
            <w:vAlign w:val="center"/>
            <w:hideMark/>
          </w:tcPr>
          <w:p w14:paraId="4B588BCB"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2009</w:t>
            </w:r>
          </w:p>
        </w:tc>
        <w:tc>
          <w:tcPr>
            <w:tcW w:w="517" w:type="pct"/>
            <w:tcBorders>
              <w:top w:val="single" w:sz="8" w:space="0" w:color="C0504D" w:themeColor="accent2"/>
              <w:left w:val="nil"/>
              <w:bottom w:val="nil"/>
              <w:right w:val="nil"/>
            </w:tcBorders>
            <w:vAlign w:val="center"/>
            <w:hideMark/>
          </w:tcPr>
          <w:p w14:paraId="1EF7CF9A"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2010</w:t>
            </w:r>
          </w:p>
        </w:tc>
        <w:tc>
          <w:tcPr>
            <w:tcW w:w="517" w:type="pct"/>
            <w:tcBorders>
              <w:top w:val="single" w:sz="8" w:space="0" w:color="C0504D" w:themeColor="accent2"/>
              <w:left w:val="nil"/>
              <w:bottom w:val="nil"/>
              <w:right w:val="nil"/>
            </w:tcBorders>
            <w:vAlign w:val="center"/>
            <w:hideMark/>
          </w:tcPr>
          <w:p w14:paraId="23E40D28"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2011</w:t>
            </w:r>
          </w:p>
        </w:tc>
        <w:tc>
          <w:tcPr>
            <w:tcW w:w="517" w:type="pct"/>
            <w:tcBorders>
              <w:top w:val="single" w:sz="8" w:space="0" w:color="C0504D" w:themeColor="accent2"/>
              <w:left w:val="nil"/>
              <w:bottom w:val="nil"/>
              <w:right w:val="nil"/>
            </w:tcBorders>
            <w:vAlign w:val="center"/>
            <w:hideMark/>
          </w:tcPr>
          <w:p w14:paraId="7ED97292"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2012</w:t>
            </w:r>
          </w:p>
        </w:tc>
        <w:tc>
          <w:tcPr>
            <w:tcW w:w="517" w:type="pct"/>
            <w:tcBorders>
              <w:top w:val="single" w:sz="8" w:space="0" w:color="C0504D" w:themeColor="accent2"/>
              <w:left w:val="nil"/>
              <w:bottom w:val="nil"/>
              <w:right w:val="nil"/>
            </w:tcBorders>
            <w:vAlign w:val="center"/>
            <w:hideMark/>
          </w:tcPr>
          <w:p w14:paraId="770D5055"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2013</w:t>
            </w:r>
          </w:p>
        </w:tc>
        <w:tc>
          <w:tcPr>
            <w:tcW w:w="466" w:type="pct"/>
            <w:tcBorders>
              <w:top w:val="single" w:sz="8" w:space="0" w:color="C0504D" w:themeColor="accent2"/>
              <w:left w:val="nil"/>
              <w:bottom w:val="nil"/>
              <w:right w:val="single" w:sz="8" w:space="0" w:color="C0504D" w:themeColor="accent2"/>
            </w:tcBorders>
            <w:vAlign w:val="center"/>
            <w:hideMark/>
          </w:tcPr>
          <w:p w14:paraId="54CFD27A"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2007-2013</w:t>
            </w:r>
          </w:p>
        </w:tc>
      </w:tr>
      <w:tr w:rsidR="00583EB1" w14:paraId="1650D58B" w14:textId="77777777" w:rsidTr="008E6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 w:type="pct"/>
            <w:tcBorders>
              <w:right w:val="nil"/>
            </w:tcBorders>
            <w:hideMark/>
          </w:tcPr>
          <w:p w14:paraId="46E0BB5C" w14:textId="77777777" w:rsidR="00583EB1" w:rsidRDefault="00583EB1" w:rsidP="00583EB1">
            <w:pPr>
              <w:jc w:val="both"/>
              <w:rPr>
                <w:rFonts w:ascii="Georgia" w:hAnsi="Georgia" w:cs="Arial"/>
                <w:b w:val="0"/>
                <w:bCs w:val="0"/>
                <w:sz w:val="20"/>
                <w:szCs w:val="20"/>
              </w:rPr>
            </w:pPr>
            <w:r>
              <w:rPr>
                <w:rFonts w:ascii="Georgia" w:hAnsi="Georgia" w:cs="Arial"/>
                <w:sz w:val="20"/>
                <w:szCs w:val="20"/>
              </w:rPr>
              <w:t>Vertė</w:t>
            </w:r>
          </w:p>
          <w:p w14:paraId="36809D80" w14:textId="77777777" w:rsidR="00583EB1" w:rsidRDefault="00583EB1" w:rsidP="00583EB1">
            <w:pPr>
              <w:jc w:val="both"/>
              <w:rPr>
                <w:rFonts w:ascii="Georgia" w:hAnsi="Georgia" w:cs="Arial"/>
                <w:b w:val="0"/>
                <w:bCs w:val="0"/>
                <w:sz w:val="20"/>
                <w:szCs w:val="20"/>
              </w:rPr>
            </w:pPr>
            <w:r>
              <w:rPr>
                <w:rFonts w:ascii="Georgia" w:hAnsi="Georgia" w:cs="Arial"/>
                <w:sz w:val="20"/>
                <w:szCs w:val="20"/>
              </w:rPr>
              <w:t>(mln. EUR.)</w:t>
            </w:r>
          </w:p>
        </w:tc>
        <w:tc>
          <w:tcPr>
            <w:tcW w:w="517" w:type="pct"/>
            <w:tcBorders>
              <w:left w:val="nil"/>
              <w:right w:val="nil"/>
            </w:tcBorders>
            <w:vAlign w:val="center"/>
            <w:hideMark/>
          </w:tcPr>
          <w:p w14:paraId="7F27129C"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5,5</w:t>
            </w:r>
          </w:p>
        </w:tc>
        <w:tc>
          <w:tcPr>
            <w:tcW w:w="517" w:type="pct"/>
            <w:tcBorders>
              <w:left w:val="nil"/>
              <w:right w:val="nil"/>
            </w:tcBorders>
            <w:vAlign w:val="center"/>
            <w:hideMark/>
          </w:tcPr>
          <w:p w14:paraId="1901E615"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25</w:t>
            </w:r>
          </w:p>
        </w:tc>
        <w:tc>
          <w:tcPr>
            <w:tcW w:w="517" w:type="pct"/>
            <w:tcBorders>
              <w:left w:val="nil"/>
              <w:right w:val="nil"/>
            </w:tcBorders>
            <w:vAlign w:val="center"/>
            <w:hideMark/>
          </w:tcPr>
          <w:p w14:paraId="78E46D65"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135</w:t>
            </w:r>
          </w:p>
        </w:tc>
        <w:tc>
          <w:tcPr>
            <w:tcW w:w="517" w:type="pct"/>
            <w:tcBorders>
              <w:left w:val="nil"/>
              <w:right w:val="nil"/>
            </w:tcBorders>
            <w:vAlign w:val="center"/>
            <w:hideMark/>
          </w:tcPr>
          <w:p w14:paraId="6E45BD9D"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20</w:t>
            </w:r>
          </w:p>
        </w:tc>
        <w:tc>
          <w:tcPr>
            <w:tcW w:w="517" w:type="pct"/>
            <w:tcBorders>
              <w:left w:val="nil"/>
              <w:right w:val="nil"/>
            </w:tcBorders>
            <w:vAlign w:val="center"/>
            <w:hideMark/>
          </w:tcPr>
          <w:p w14:paraId="04882F0B"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9,6</w:t>
            </w:r>
          </w:p>
        </w:tc>
        <w:tc>
          <w:tcPr>
            <w:tcW w:w="517" w:type="pct"/>
            <w:tcBorders>
              <w:left w:val="nil"/>
              <w:right w:val="nil"/>
            </w:tcBorders>
            <w:vAlign w:val="center"/>
            <w:hideMark/>
          </w:tcPr>
          <w:p w14:paraId="778167F9"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42,5</w:t>
            </w:r>
          </w:p>
        </w:tc>
        <w:tc>
          <w:tcPr>
            <w:tcW w:w="517" w:type="pct"/>
            <w:tcBorders>
              <w:left w:val="nil"/>
              <w:right w:val="nil"/>
            </w:tcBorders>
            <w:vAlign w:val="center"/>
            <w:hideMark/>
          </w:tcPr>
          <w:p w14:paraId="3A7EB764"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180</w:t>
            </w:r>
          </w:p>
        </w:tc>
        <w:tc>
          <w:tcPr>
            <w:tcW w:w="466" w:type="pct"/>
            <w:tcBorders>
              <w:left w:val="nil"/>
            </w:tcBorders>
            <w:vAlign w:val="center"/>
            <w:hideMark/>
          </w:tcPr>
          <w:p w14:paraId="2A4E3B97" w14:textId="77777777" w:rsidR="00583EB1" w:rsidRDefault="00583EB1" w:rsidP="001F7D0D">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417,6</w:t>
            </w:r>
          </w:p>
        </w:tc>
      </w:tr>
      <w:tr w:rsidR="00583EB1" w14:paraId="312F1A15" w14:textId="77777777" w:rsidTr="008E66E4">
        <w:tc>
          <w:tcPr>
            <w:cnfStyle w:val="001000000000" w:firstRow="0" w:lastRow="0" w:firstColumn="1" w:lastColumn="0" w:oddVBand="0" w:evenVBand="0" w:oddHBand="0" w:evenHBand="0" w:firstRowFirstColumn="0" w:firstRowLastColumn="0" w:lastRowFirstColumn="0" w:lastRowLastColumn="0"/>
            <w:tcW w:w="913" w:type="pct"/>
            <w:tcBorders>
              <w:top w:val="nil"/>
              <w:left w:val="single" w:sz="8" w:space="0" w:color="C0504D" w:themeColor="accent2"/>
              <w:bottom w:val="single" w:sz="8" w:space="0" w:color="C0504D" w:themeColor="accent2"/>
              <w:right w:val="nil"/>
            </w:tcBorders>
            <w:hideMark/>
          </w:tcPr>
          <w:p w14:paraId="361CE620" w14:textId="77777777" w:rsidR="00583EB1" w:rsidRDefault="00583EB1" w:rsidP="00583EB1">
            <w:pPr>
              <w:jc w:val="both"/>
              <w:rPr>
                <w:rFonts w:ascii="Georgia" w:hAnsi="Georgia" w:cs="Arial"/>
                <w:b w:val="0"/>
                <w:bCs w:val="0"/>
                <w:sz w:val="20"/>
                <w:szCs w:val="20"/>
              </w:rPr>
            </w:pPr>
            <w:r>
              <w:rPr>
                <w:rFonts w:ascii="Georgia" w:hAnsi="Georgia" w:cs="Arial"/>
                <w:sz w:val="20"/>
                <w:szCs w:val="20"/>
              </w:rPr>
              <w:t>Projektų skaičius (vnt.)</w:t>
            </w:r>
          </w:p>
        </w:tc>
        <w:tc>
          <w:tcPr>
            <w:tcW w:w="517" w:type="pct"/>
            <w:tcBorders>
              <w:top w:val="nil"/>
              <w:left w:val="nil"/>
              <w:bottom w:val="single" w:sz="8" w:space="0" w:color="C0504D" w:themeColor="accent2"/>
              <w:right w:val="nil"/>
            </w:tcBorders>
            <w:vAlign w:val="center"/>
            <w:hideMark/>
          </w:tcPr>
          <w:p w14:paraId="0DB52F0C"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w:t>
            </w:r>
          </w:p>
        </w:tc>
        <w:tc>
          <w:tcPr>
            <w:tcW w:w="517" w:type="pct"/>
            <w:tcBorders>
              <w:top w:val="nil"/>
              <w:left w:val="nil"/>
              <w:bottom w:val="single" w:sz="8" w:space="0" w:color="C0504D" w:themeColor="accent2"/>
              <w:right w:val="nil"/>
            </w:tcBorders>
            <w:vAlign w:val="center"/>
            <w:hideMark/>
          </w:tcPr>
          <w:p w14:paraId="7ADA9587"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2</w:t>
            </w:r>
          </w:p>
        </w:tc>
        <w:tc>
          <w:tcPr>
            <w:tcW w:w="517" w:type="pct"/>
            <w:tcBorders>
              <w:top w:val="nil"/>
              <w:left w:val="nil"/>
              <w:bottom w:val="single" w:sz="8" w:space="0" w:color="C0504D" w:themeColor="accent2"/>
              <w:right w:val="nil"/>
            </w:tcBorders>
            <w:vAlign w:val="center"/>
            <w:hideMark/>
          </w:tcPr>
          <w:p w14:paraId="2EA768C2"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3</w:t>
            </w:r>
          </w:p>
        </w:tc>
        <w:tc>
          <w:tcPr>
            <w:tcW w:w="517" w:type="pct"/>
            <w:tcBorders>
              <w:top w:val="nil"/>
              <w:left w:val="nil"/>
              <w:bottom w:val="single" w:sz="8" w:space="0" w:color="C0504D" w:themeColor="accent2"/>
              <w:right w:val="nil"/>
            </w:tcBorders>
            <w:vAlign w:val="center"/>
            <w:hideMark/>
          </w:tcPr>
          <w:p w14:paraId="676AB91C"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w:t>
            </w:r>
          </w:p>
        </w:tc>
        <w:tc>
          <w:tcPr>
            <w:tcW w:w="517" w:type="pct"/>
            <w:tcBorders>
              <w:top w:val="nil"/>
              <w:left w:val="nil"/>
              <w:bottom w:val="single" w:sz="8" w:space="0" w:color="C0504D" w:themeColor="accent2"/>
              <w:right w:val="nil"/>
            </w:tcBorders>
            <w:vAlign w:val="center"/>
            <w:hideMark/>
          </w:tcPr>
          <w:p w14:paraId="044C50D3"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w:t>
            </w:r>
          </w:p>
        </w:tc>
        <w:tc>
          <w:tcPr>
            <w:tcW w:w="517" w:type="pct"/>
            <w:tcBorders>
              <w:top w:val="nil"/>
              <w:left w:val="nil"/>
              <w:bottom w:val="single" w:sz="8" w:space="0" w:color="C0504D" w:themeColor="accent2"/>
              <w:right w:val="nil"/>
            </w:tcBorders>
            <w:vAlign w:val="center"/>
            <w:hideMark/>
          </w:tcPr>
          <w:p w14:paraId="7EC56678"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2</w:t>
            </w:r>
          </w:p>
        </w:tc>
        <w:tc>
          <w:tcPr>
            <w:tcW w:w="517" w:type="pct"/>
            <w:tcBorders>
              <w:top w:val="nil"/>
              <w:left w:val="nil"/>
              <w:bottom w:val="single" w:sz="8" w:space="0" w:color="C0504D" w:themeColor="accent2"/>
              <w:right w:val="nil"/>
            </w:tcBorders>
            <w:vAlign w:val="center"/>
            <w:hideMark/>
          </w:tcPr>
          <w:p w14:paraId="75F91628"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3</w:t>
            </w:r>
          </w:p>
        </w:tc>
        <w:tc>
          <w:tcPr>
            <w:tcW w:w="466" w:type="pct"/>
            <w:tcBorders>
              <w:top w:val="nil"/>
              <w:left w:val="nil"/>
              <w:bottom w:val="single" w:sz="8" w:space="0" w:color="C0504D" w:themeColor="accent2"/>
              <w:right w:val="single" w:sz="8" w:space="0" w:color="C0504D" w:themeColor="accent2"/>
            </w:tcBorders>
            <w:vAlign w:val="center"/>
            <w:hideMark/>
          </w:tcPr>
          <w:p w14:paraId="6FD3F371"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13</w:t>
            </w:r>
          </w:p>
        </w:tc>
      </w:tr>
    </w:tbl>
    <w:p w14:paraId="77085DFC" w14:textId="77777777" w:rsidR="00583EB1" w:rsidRPr="006167C8" w:rsidRDefault="00583EB1" w:rsidP="006167C8">
      <w:pPr>
        <w:pStyle w:val="Antrat"/>
        <w:rPr>
          <w:rFonts w:cs="Arial"/>
          <w:b w:val="0"/>
          <w:i/>
          <w:szCs w:val="20"/>
          <w:lang w:val="lt-LT"/>
        </w:rPr>
      </w:pPr>
      <w:r w:rsidRPr="006167C8">
        <w:rPr>
          <w:b w:val="0"/>
          <w:i/>
          <w:lang w:val="lt-LT"/>
        </w:rPr>
        <w:t xml:space="preserve">Šaltinis: </w:t>
      </w:r>
      <w:hyperlink r:id="rId31" w:history="1">
        <w:r w:rsidRPr="006167C8">
          <w:rPr>
            <w:b w:val="0"/>
            <w:i/>
          </w:rPr>
          <w:t>http://www.nib.int/loans/agreed_loans</w:t>
        </w:r>
      </w:hyperlink>
      <w:r w:rsidRPr="006167C8">
        <w:rPr>
          <w:rFonts w:cs="Arial"/>
          <w:b w:val="0"/>
          <w:i/>
          <w:szCs w:val="20"/>
          <w:lang w:val="lt-LT"/>
        </w:rPr>
        <w:t xml:space="preserve"> </w:t>
      </w:r>
    </w:p>
    <w:p w14:paraId="170A7BE5"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Energetikos ir aplinkos sektoriuje didžiausia paskola išduota 2009 m. - Lietuvos Respublikos finansų ministerija pasirašė sutartį su banku dėl 100 mln. eurų paskolos Lietuvai. Suteiktos paskolos lėšos skirtos visuomeninės paskirties pastatams ir daugiabučiams (pastatytiems iki 1992 m.) atnaujinti, siekiant sumažinti šildymo kaštus ir efektyviai taupyti energijos išteklius. Paskolos grąžinimo laikotarpis – 20 metų. Iš banko gautas lėšas Finansų ministerija pervedė tiesiogiai institucijoms, įstaigoms ir organizacijoms, įgyvendinančioms projektus pagal Valstybės investicijų ir Daugiabučių atnaujinimo (modernizavimo) programas</w:t>
      </w:r>
      <w:r>
        <w:rPr>
          <w:rFonts w:ascii="Georgia" w:hAnsi="Georgia" w:cs="Arial"/>
          <w:sz w:val="20"/>
          <w:szCs w:val="20"/>
          <w:vertAlign w:val="superscript"/>
          <w:lang w:val="lt-LT"/>
        </w:rPr>
        <w:footnoteReference w:id="58"/>
      </w:r>
      <w:r>
        <w:rPr>
          <w:rFonts w:ascii="Georgia" w:hAnsi="Georgia" w:cs="Arial"/>
          <w:sz w:val="20"/>
          <w:szCs w:val="20"/>
          <w:lang w:val="lt-LT"/>
        </w:rPr>
        <w:t>.</w:t>
      </w:r>
    </w:p>
    <w:p w14:paraId="083FB0AC" w14:textId="77777777" w:rsidR="00583EB1" w:rsidRPr="004110D8" w:rsidRDefault="00583EB1" w:rsidP="00583EB1">
      <w:pPr>
        <w:pStyle w:val="Pagrindinistekstas"/>
        <w:spacing w:line="276" w:lineRule="auto"/>
        <w:rPr>
          <w:i/>
          <w:lang w:val="lt-LT"/>
        </w:rPr>
      </w:pPr>
      <w:r w:rsidRPr="004110D8">
        <w:rPr>
          <w:i/>
          <w:lang w:val="lt-LT"/>
        </w:rPr>
        <w:t>Produktai</w:t>
      </w:r>
    </w:p>
    <w:p w14:paraId="0E697DF8"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Bankas savo klientams siūlo ilgalaikes paskolas ir garantijas. Atsižvelgiant į NIB misiją, visi banko finansuojami projektai privalo prisidėti prie konkurencingumo stiprinimo ir / arba aplinkos tausojimo, t.y. dviejų pagrindinių NIB strateginių tikslų.</w:t>
      </w:r>
    </w:p>
    <w:p w14:paraId="00125183" w14:textId="576B2D4E" w:rsidR="00583EB1" w:rsidRPr="00A3558B" w:rsidRDefault="00583EB1" w:rsidP="00583EB1">
      <w:pPr>
        <w:pStyle w:val="Antrat"/>
        <w:rPr>
          <w:rFonts w:cs="Arial"/>
          <w:szCs w:val="20"/>
          <w:lang w:val="lt-LT"/>
        </w:rPr>
      </w:pPr>
      <w:bookmarkStart w:id="94" w:name="_Toc460321614"/>
      <w:r w:rsidRPr="007B16A2">
        <w:rPr>
          <w:lang w:val="lt-LT"/>
        </w:rPr>
        <w:t xml:space="preserve">Lentelė </w:t>
      </w:r>
      <w:r w:rsidRPr="007B16A2">
        <w:rPr>
          <w:lang w:val="lt-LT"/>
        </w:rPr>
        <w:fldChar w:fldCharType="begin"/>
      </w:r>
      <w:r w:rsidRPr="007B16A2">
        <w:rPr>
          <w:lang w:val="lt-LT"/>
        </w:rPr>
        <w:instrText xml:space="preserve"> SEQ Lentelė \* ARABIC </w:instrText>
      </w:r>
      <w:r w:rsidRPr="007B16A2">
        <w:rPr>
          <w:lang w:val="lt-LT"/>
        </w:rPr>
        <w:fldChar w:fldCharType="separate"/>
      </w:r>
      <w:r w:rsidR="00AA3082">
        <w:rPr>
          <w:noProof/>
          <w:lang w:val="lt-LT"/>
        </w:rPr>
        <w:t>33</w:t>
      </w:r>
      <w:r w:rsidRPr="007B16A2">
        <w:rPr>
          <w:lang w:val="lt-LT"/>
        </w:rPr>
        <w:fldChar w:fldCharType="end"/>
      </w:r>
      <w:r w:rsidRPr="007B16A2">
        <w:rPr>
          <w:lang w:val="lt-LT"/>
        </w:rPr>
        <w:t>. NIB siūlomų finansinių produktų sąlygos.</w:t>
      </w:r>
      <w:bookmarkEnd w:id="94"/>
      <w:r w:rsidRPr="007B16A2">
        <w:rPr>
          <w:lang w:val="lt-LT"/>
        </w:rPr>
        <w:t xml:space="preserve"> </w:t>
      </w:r>
    </w:p>
    <w:tbl>
      <w:tblPr>
        <w:tblStyle w:val="3vidutinistinklelis2parykinimas"/>
        <w:tblW w:w="5000" w:type="pct"/>
        <w:tblLook w:val="04A0" w:firstRow="1" w:lastRow="0" w:firstColumn="1" w:lastColumn="0" w:noHBand="0" w:noVBand="1"/>
      </w:tblPr>
      <w:tblGrid>
        <w:gridCol w:w="2320"/>
        <w:gridCol w:w="6922"/>
      </w:tblGrid>
      <w:tr w:rsidR="00583EB1" w14:paraId="475E238B" w14:textId="77777777" w:rsidTr="00583EB1">
        <w:trPr>
          <w:cnfStyle w:val="100000000000" w:firstRow="1" w:lastRow="0" w:firstColumn="0" w:lastColumn="0" w:oddVBand="0" w:evenVBand="0" w:oddHBand="0" w:evenHBand="0" w:firstRowFirstColumn="0" w:firstRowLastColumn="0" w:lastRowFirstColumn="0" w:lastRowLastColumn="0"/>
          <w:cantSplit/>
          <w:trHeight w:val="329"/>
          <w:tblHead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14:paraId="59CDCDD4" w14:textId="77777777" w:rsidR="00583EB1" w:rsidRDefault="00583EB1" w:rsidP="00583EB1">
            <w:pPr>
              <w:jc w:val="center"/>
              <w:rPr>
                <w:rFonts w:ascii="Georgia" w:hAnsi="Georgia" w:cs="Arial"/>
                <w:bCs w:val="0"/>
                <w:color w:val="FFFFFF"/>
                <w:sz w:val="20"/>
                <w:szCs w:val="20"/>
                <w:lang w:val="lt-LT"/>
              </w:rPr>
            </w:pPr>
            <w:r>
              <w:rPr>
                <w:rFonts w:ascii="Georgia" w:hAnsi="Georgia" w:cs="Arial"/>
                <w:color w:val="FFFFFF"/>
                <w:sz w:val="20"/>
                <w:szCs w:val="20"/>
                <w:lang w:val="lt-LT"/>
              </w:rPr>
              <w:t>Paskolos sąlygos</w:t>
            </w:r>
          </w:p>
        </w:tc>
      </w:tr>
      <w:tr w:rsidR="00583EB1" w14:paraId="13B7F29D" w14:textId="77777777" w:rsidTr="00583EB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pct"/>
            <w:hideMark/>
          </w:tcPr>
          <w:p w14:paraId="018677B2" w14:textId="77777777" w:rsidR="00583EB1" w:rsidRDefault="00583EB1" w:rsidP="00583EB1">
            <w:pPr>
              <w:jc w:val="both"/>
              <w:rPr>
                <w:rFonts w:ascii="Georgia" w:hAnsi="Georgia" w:cs="Arial"/>
                <w:b w:val="0"/>
                <w:bCs w:val="0"/>
                <w:color w:val="FFFFFF"/>
                <w:sz w:val="20"/>
                <w:szCs w:val="20"/>
                <w:lang w:val="lt-LT"/>
              </w:rPr>
            </w:pPr>
            <w:r>
              <w:rPr>
                <w:rFonts w:ascii="Georgia" w:hAnsi="Georgia" w:cs="Arial"/>
                <w:color w:val="FFFFFF"/>
                <w:sz w:val="20"/>
                <w:szCs w:val="20"/>
                <w:lang w:val="lt-LT"/>
              </w:rPr>
              <w:t>Tikslinė grupė</w:t>
            </w:r>
          </w:p>
        </w:tc>
        <w:tc>
          <w:tcPr>
            <w:tcW w:w="3745" w:type="pct"/>
            <w:hideMark/>
          </w:tcPr>
          <w:p w14:paraId="1EAAA63B" w14:textId="77777777" w:rsidR="00583EB1" w:rsidRDefault="00583EB1" w:rsidP="00C03122">
            <w:pPr>
              <w:numPr>
                <w:ilvl w:val="0"/>
                <w:numId w:val="24"/>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bankas teikia paskolas ir garantijas privataus ir viešojo sektoriaus įmonėms, vyriausybėms, savivaldybėms ir finansų įstaigoms.</w:t>
            </w:r>
          </w:p>
        </w:tc>
      </w:tr>
      <w:tr w:rsidR="00583EB1" w14:paraId="33ADA8C3" w14:textId="77777777" w:rsidTr="00583EB1">
        <w:trPr>
          <w:cantSplit/>
        </w:trPr>
        <w:tc>
          <w:tcPr>
            <w:cnfStyle w:val="001000000000" w:firstRow="0" w:lastRow="0" w:firstColumn="1" w:lastColumn="0" w:oddVBand="0" w:evenVBand="0" w:oddHBand="0" w:evenHBand="0" w:firstRowFirstColumn="0" w:firstRowLastColumn="0" w:lastRowFirstColumn="0" w:lastRowLastColumn="0"/>
            <w:tcW w:w="1255" w:type="pct"/>
            <w:tcBorders>
              <w:top w:val="single" w:sz="6" w:space="0" w:color="FFFFFF" w:themeColor="background1"/>
            </w:tcBorders>
            <w:hideMark/>
          </w:tcPr>
          <w:p w14:paraId="12E33376" w14:textId="77777777" w:rsidR="00583EB1" w:rsidRDefault="00583EB1" w:rsidP="00583EB1">
            <w:pPr>
              <w:jc w:val="both"/>
              <w:rPr>
                <w:rFonts w:ascii="Georgia" w:hAnsi="Georgia" w:cs="Arial"/>
                <w:b w:val="0"/>
                <w:bCs w:val="0"/>
                <w:color w:val="FFFFFF"/>
                <w:sz w:val="20"/>
                <w:szCs w:val="20"/>
                <w:lang w:val="lt-LT"/>
              </w:rPr>
            </w:pPr>
            <w:r>
              <w:rPr>
                <w:rFonts w:ascii="Georgia" w:hAnsi="Georgia" w:cs="Arial"/>
                <w:color w:val="FFFFFF"/>
                <w:sz w:val="20"/>
                <w:szCs w:val="20"/>
                <w:lang w:val="lt-LT"/>
              </w:rPr>
              <w:t>Dydis</w:t>
            </w:r>
          </w:p>
        </w:tc>
        <w:tc>
          <w:tcPr>
            <w:tcW w:w="3745"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14:paraId="3139FD76" w14:textId="77777777" w:rsidR="00583EB1" w:rsidRDefault="00583EB1" w:rsidP="00C03122">
            <w:pPr>
              <w:numPr>
                <w:ilvl w:val="0"/>
                <w:numId w:val="24"/>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paprastai banko paskolos yra naudojamos finansuoti dideliems projektams, kurių bendra vertė yra didesnė nei 50 mln. EUR. MVĮ bankas finansuoja per tarpininkus;</w:t>
            </w:r>
          </w:p>
          <w:p w14:paraId="18BD73EB" w14:textId="77777777" w:rsidR="00583EB1" w:rsidRDefault="00583EB1" w:rsidP="00C03122">
            <w:pPr>
              <w:numPr>
                <w:ilvl w:val="0"/>
                <w:numId w:val="24"/>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paprastai paskolos dydis yra 10-100 mln. EUR;</w:t>
            </w:r>
          </w:p>
          <w:p w14:paraId="3714CA9D" w14:textId="77777777" w:rsidR="00583EB1" w:rsidRDefault="00583EB1" w:rsidP="00C03122">
            <w:pPr>
              <w:numPr>
                <w:ilvl w:val="0"/>
                <w:numId w:val="24"/>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paskola ar garantija paprastai neturi viršyti 50 proc. bendros projekto vertės.</w:t>
            </w:r>
          </w:p>
        </w:tc>
      </w:tr>
      <w:tr w:rsidR="00583EB1" w14:paraId="5507C228" w14:textId="77777777" w:rsidTr="00583EB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pct"/>
            <w:hideMark/>
          </w:tcPr>
          <w:p w14:paraId="28301A28" w14:textId="77777777" w:rsidR="00583EB1" w:rsidRDefault="00583EB1" w:rsidP="00583EB1">
            <w:pPr>
              <w:jc w:val="both"/>
              <w:rPr>
                <w:rFonts w:ascii="Georgia" w:hAnsi="Georgia" w:cs="Arial"/>
                <w:b w:val="0"/>
                <w:bCs w:val="0"/>
                <w:color w:val="FFFFFF"/>
                <w:sz w:val="20"/>
                <w:szCs w:val="20"/>
                <w:lang w:val="lt-LT"/>
              </w:rPr>
            </w:pPr>
            <w:r>
              <w:rPr>
                <w:rFonts w:ascii="Georgia" w:hAnsi="Georgia" w:cs="Arial"/>
                <w:color w:val="FFFFFF"/>
                <w:sz w:val="20"/>
                <w:szCs w:val="20"/>
                <w:lang w:val="lt-LT"/>
              </w:rPr>
              <w:t>Palūkanų norma</w:t>
            </w:r>
          </w:p>
        </w:tc>
        <w:tc>
          <w:tcPr>
            <w:tcW w:w="3745" w:type="pct"/>
            <w:hideMark/>
          </w:tcPr>
          <w:p w14:paraId="586837C9" w14:textId="77777777" w:rsidR="00583EB1" w:rsidRDefault="00583EB1" w:rsidP="00C03122">
            <w:pPr>
              <w:numPr>
                <w:ilvl w:val="0"/>
                <w:numId w:val="24"/>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konkurencinga, įvertinus rinkos situaciją;</w:t>
            </w:r>
          </w:p>
          <w:p w14:paraId="31311042" w14:textId="77777777" w:rsidR="00583EB1" w:rsidRDefault="00583EB1" w:rsidP="00C03122">
            <w:pPr>
              <w:numPr>
                <w:ilvl w:val="0"/>
                <w:numId w:val="24"/>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NIB siūlo paskolas ir garantijas komerciškai pagrįstomis bankininkystės sąlygomis, t.y. be subsidijos elemento; NIB nekonkuruoja su privačiais bankais;</w:t>
            </w:r>
          </w:p>
          <w:p w14:paraId="42497F94" w14:textId="77777777" w:rsidR="00583EB1" w:rsidRDefault="00583EB1" w:rsidP="00C03122">
            <w:pPr>
              <w:numPr>
                <w:ilvl w:val="0"/>
                <w:numId w:val="24"/>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NIB neteikia subsidijų ar finansinės paramos;</w:t>
            </w:r>
          </w:p>
          <w:p w14:paraId="18B0352C" w14:textId="77777777" w:rsidR="00583EB1" w:rsidRDefault="00583EB1" w:rsidP="00C03122">
            <w:pPr>
              <w:numPr>
                <w:ilvl w:val="0"/>
                <w:numId w:val="24"/>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fiksuota arba kintančia palūkanų norma;</w:t>
            </w:r>
          </w:p>
          <w:p w14:paraId="3AF49BBF" w14:textId="77777777" w:rsidR="00583EB1" w:rsidRDefault="00583EB1" w:rsidP="00C03122">
            <w:pPr>
              <w:numPr>
                <w:ilvl w:val="0"/>
                <w:numId w:val="24"/>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 xml:space="preserve">NIB siekia papildyti kitus finansinius šaltinius ir sukurti pridėtinę vertę per ilgalaikį finansavimą ir tarptautinės finansų įstaigos statusą. </w:t>
            </w:r>
          </w:p>
        </w:tc>
      </w:tr>
      <w:tr w:rsidR="00583EB1" w14:paraId="486A144F" w14:textId="77777777" w:rsidTr="00583EB1">
        <w:trPr>
          <w:cantSplit/>
        </w:trPr>
        <w:tc>
          <w:tcPr>
            <w:cnfStyle w:val="001000000000" w:firstRow="0" w:lastRow="0" w:firstColumn="1" w:lastColumn="0" w:oddVBand="0" w:evenVBand="0" w:oddHBand="0" w:evenHBand="0" w:firstRowFirstColumn="0" w:firstRowLastColumn="0" w:lastRowFirstColumn="0" w:lastRowLastColumn="0"/>
            <w:tcW w:w="1255" w:type="pct"/>
            <w:tcBorders>
              <w:top w:val="single" w:sz="6" w:space="0" w:color="FFFFFF" w:themeColor="background1"/>
            </w:tcBorders>
            <w:hideMark/>
          </w:tcPr>
          <w:p w14:paraId="25B05538" w14:textId="77777777" w:rsidR="00583EB1" w:rsidRDefault="00583EB1" w:rsidP="00583EB1">
            <w:pPr>
              <w:jc w:val="both"/>
              <w:rPr>
                <w:rFonts w:ascii="Georgia" w:hAnsi="Georgia" w:cs="Arial"/>
                <w:b w:val="0"/>
                <w:bCs w:val="0"/>
                <w:color w:val="FFFFFF"/>
                <w:sz w:val="20"/>
                <w:szCs w:val="20"/>
                <w:lang w:val="lt-LT"/>
              </w:rPr>
            </w:pPr>
            <w:r>
              <w:rPr>
                <w:rFonts w:ascii="Georgia" w:hAnsi="Georgia" w:cs="Arial"/>
                <w:color w:val="FFFFFF"/>
                <w:sz w:val="20"/>
                <w:szCs w:val="20"/>
                <w:lang w:val="lt-LT"/>
              </w:rPr>
              <w:t>Valiuta</w:t>
            </w:r>
          </w:p>
        </w:tc>
        <w:tc>
          <w:tcPr>
            <w:tcW w:w="3745"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14:paraId="78C21344" w14:textId="77777777" w:rsidR="00583EB1" w:rsidRDefault="00583EB1" w:rsidP="00C03122">
            <w:pPr>
              <w:numPr>
                <w:ilvl w:val="0"/>
                <w:numId w:val="24"/>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klientas gali rinktis tarp pagrindinių konvertuojamų valiutų.</w:t>
            </w:r>
          </w:p>
        </w:tc>
      </w:tr>
      <w:tr w:rsidR="00583EB1" w14:paraId="1E41E3C7" w14:textId="77777777" w:rsidTr="00583EB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pct"/>
            <w:hideMark/>
          </w:tcPr>
          <w:p w14:paraId="2899F73D" w14:textId="77777777" w:rsidR="00583EB1" w:rsidRDefault="00583EB1" w:rsidP="00583EB1">
            <w:pPr>
              <w:jc w:val="both"/>
              <w:rPr>
                <w:rFonts w:ascii="Georgia" w:hAnsi="Georgia" w:cs="Arial"/>
                <w:b w:val="0"/>
                <w:bCs w:val="0"/>
                <w:color w:val="FFFFFF"/>
                <w:sz w:val="20"/>
                <w:szCs w:val="20"/>
                <w:lang w:val="lt-LT"/>
              </w:rPr>
            </w:pPr>
            <w:r>
              <w:rPr>
                <w:rFonts w:ascii="Georgia" w:hAnsi="Georgia" w:cs="Arial"/>
                <w:color w:val="FFFFFF"/>
                <w:sz w:val="20"/>
                <w:szCs w:val="20"/>
                <w:lang w:val="lt-LT"/>
              </w:rPr>
              <w:lastRenderedPageBreak/>
              <w:t>Trukmė</w:t>
            </w:r>
          </w:p>
        </w:tc>
        <w:tc>
          <w:tcPr>
            <w:tcW w:w="3745" w:type="pct"/>
            <w:hideMark/>
          </w:tcPr>
          <w:p w14:paraId="35AE9F26" w14:textId="77777777" w:rsidR="00583EB1" w:rsidRDefault="00583EB1" w:rsidP="00C03122">
            <w:pPr>
              <w:numPr>
                <w:ilvl w:val="0"/>
                <w:numId w:val="24"/>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paprastai paskolos suteikiamos turto, sukurto projekto metu, naudingo ekonominio gyvavimo laikotarpiui arba sutarčių, užtikrinančių finansavimą, laikotarpiui;</w:t>
            </w:r>
          </w:p>
          <w:p w14:paraId="071C534B" w14:textId="77777777" w:rsidR="00583EB1" w:rsidRDefault="00583EB1" w:rsidP="00C03122">
            <w:pPr>
              <w:numPr>
                <w:ilvl w:val="0"/>
                <w:numId w:val="24"/>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paskolos trukmė gali siekti iki 25-30 metų, pvz.:</w:t>
            </w:r>
          </w:p>
          <w:p w14:paraId="64B41998" w14:textId="77777777" w:rsidR="00583EB1" w:rsidRDefault="00583EB1" w:rsidP="00C03122">
            <w:pPr>
              <w:numPr>
                <w:ilvl w:val="0"/>
                <w:numId w:val="24"/>
              </w:numPr>
              <w:ind w:left="431" w:hanging="284"/>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vyriausybėms teikiamoms paskoloms arba paskoloms, garantuotoms valstybės (15-25 metų);</w:t>
            </w:r>
          </w:p>
          <w:p w14:paraId="6C46C2A5" w14:textId="77777777" w:rsidR="00583EB1" w:rsidRDefault="00583EB1" w:rsidP="00C03122">
            <w:pPr>
              <w:numPr>
                <w:ilvl w:val="0"/>
                <w:numId w:val="24"/>
              </w:numPr>
              <w:ind w:left="431" w:hanging="284"/>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paskoloms verslui (5-15 metų);</w:t>
            </w:r>
          </w:p>
          <w:p w14:paraId="71A61964" w14:textId="77777777" w:rsidR="00583EB1" w:rsidRDefault="00583EB1" w:rsidP="00C03122">
            <w:pPr>
              <w:numPr>
                <w:ilvl w:val="0"/>
                <w:numId w:val="24"/>
              </w:numPr>
              <w:ind w:left="431" w:hanging="284"/>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VPSP projektams (5-15 metų);</w:t>
            </w:r>
          </w:p>
          <w:p w14:paraId="0C290F70" w14:textId="77777777" w:rsidR="00583EB1" w:rsidRDefault="00583EB1" w:rsidP="00C03122">
            <w:pPr>
              <w:numPr>
                <w:ilvl w:val="0"/>
                <w:numId w:val="24"/>
              </w:numPr>
              <w:ind w:left="431" w:hanging="284"/>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MVĮ finansavimui per finansinius tarpininkus (5-12 metų)</w:t>
            </w:r>
          </w:p>
        </w:tc>
      </w:tr>
      <w:tr w:rsidR="00583EB1" w14:paraId="562295E6" w14:textId="77777777" w:rsidTr="00583EB1">
        <w:trPr>
          <w:cantSplit/>
        </w:trPr>
        <w:tc>
          <w:tcPr>
            <w:cnfStyle w:val="001000000000" w:firstRow="0" w:lastRow="0" w:firstColumn="1" w:lastColumn="0" w:oddVBand="0" w:evenVBand="0" w:oddHBand="0" w:evenHBand="0" w:firstRowFirstColumn="0" w:firstRowLastColumn="0" w:lastRowFirstColumn="0" w:lastRowLastColumn="0"/>
            <w:tcW w:w="1255" w:type="pct"/>
            <w:tcBorders>
              <w:top w:val="single" w:sz="6" w:space="0" w:color="FFFFFF" w:themeColor="background1"/>
            </w:tcBorders>
            <w:hideMark/>
          </w:tcPr>
          <w:p w14:paraId="60CC0396" w14:textId="77777777" w:rsidR="00583EB1" w:rsidRDefault="00583EB1" w:rsidP="00583EB1">
            <w:pPr>
              <w:jc w:val="both"/>
              <w:rPr>
                <w:rFonts w:ascii="Georgia" w:hAnsi="Georgia" w:cs="Arial"/>
                <w:b w:val="0"/>
                <w:bCs w:val="0"/>
                <w:color w:val="FFFFFF"/>
                <w:sz w:val="20"/>
                <w:szCs w:val="20"/>
                <w:lang w:val="lt-LT"/>
              </w:rPr>
            </w:pPr>
            <w:r>
              <w:rPr>
                <w:rFonts w:ascii="Georgia" w:hAnsi="Georgia" w:cs="Arial"/>
                <w:color w:val="FFFFFF"/>
                <w:sz w:val="20"/>
                <w:szCs w:val="20"/>
                <w:lang w:val="lt-LT"/>
              </w:rPr>
              <w:t>Atidėjimo laikotarpis</w:t>
            </w:r>
          </w:p>
        </w:tc>
        <w:tc>
          <w:tcPr>
            <w:tcW w:w="3745"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14:paraId="0DB27779" w14:textId="77777777" w:rsidR="00583EB1" w:rsidRDefault="00583EB1" w:rsidP="00C03122">
            <w:pPr>
              <w:numPr>
                <w:ilvl w:val="0"/>
                <w:numId w:val="24"/>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atidėjimo laikotarpio galimybė analizuojama konkretaus projekto atveju;</w:t>
            </w:r>
          </w:p>
          <w:p w14:paraId="129E189A" w14:textId="77777777" w:rsidR="00583EB1" w:rsidRDefault="00583EB1" w:rsidP="00C03122">
            <w:pPr>
              <w:numPr>
                <w:ilvl w:val="0"/>
                <w:numId w:val="24"/>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atidėjimo laikotarpis iki 5 m.</w:t>
            </w:r>
          </w:p>
        </w:tc>
      </w:tr>
      <w:tr w:rsidR="00583EB1" w14:paraId="6BD81589" w14:textId="77777777" w:rsidTr="00583EB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pct"/>
            <w:hideMark/>
          </w:tcPr>
          <w:p w14:paraId="07DD7D1D" w14:textId="77777777" w:rsidR="00583EB1" w:rsidRDefault="00583EB1" w:rsidP="00583EB1">
            <w:pPr>
              <w:rPr>
                <w:rFonts w:ascii="Georgia" w:hAnsi="Georgia" w:cs="Arial"/>
                <w:b w:val="0"/>
                <w:bCs w:val="0"/>
                <w:color w:val="FFFFFF"/>
                <w:sz w:val="20"/>
                <w:szCs w:val="20"/>
                <w:lang w:val="lt-LT"/>
              </w:rPr>
            </w:pPr>
            <w:r>
              <w:rPr>
                <w:rFonts w:ascii="Georgia" w:hAnsi="Georgia" w:cs="Arial"/>
                <w:color w:val="FFFFFF"/>
                <w:sz w:val="20"/>
                <w:szCs w:val="20"/>
                <w:lang w:val="lt-LT"/>
              </w:rPr>
              <w:t>Lėšų panaudojimo apribojimai</w:t>
            </w:r>
          </w:p>
        </w:tc>
        <w:tc>
          <w:tcPr>
            <w:tcW w:w="3745" w:type="pct"/>
            <w:hideMark/>
          </w:tcPr>
          <w:p w14:paraId="57156BDE" w14:textId="77777777" w:rsidR="00583EB1" w:rsidRDefault="00583EB1" w:rsidP="00C03122">
            <w:pPr>
              <w:numPr>
                <w:ilvl w:val="0"/>
                <w:numId w:val="24"/>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paskolų lėšos gali būti naudojamos bet kokiems su projektu susijusiems kaštams padengti.</w:t>
            </w:r>
          </w:p>
        </w:tc>
      </w:tr>
      <w:tr w:rsidR="00583EB1" w14:paraId="1C294801" w14:textId="77777777" w:rsidTr="00583EB1">
        <w:trPr>
          <w:cantSplit/>
        </w:trPr>
        <w:tc>
          <w:tcPr>
            <w:cnfStyle w:val="001000000000" w:firstRow="0" w:lastRow="0" w:firstColumn="1" w:lastColumn="0" w:oddVBand="0" w:evenVBand="0" w:oddHBand="0" w:evenHBand="0" w:firstRowFirstColumn="0" w:firstRowLastColumn="0" w:lastRowFirstColumn="0" w:lastRowLastColumn="0"/>
            <w:tcW w:w="1255" w:type="pct"/>
            <w:tcBorders>
              <w:top w:val="single" w:sz="6" w:space="0" w:color="FFFFFF" w:themeColor="background1"/>
            </w:tcBorders>
            <w:hideMark/>
          </w:tcPr>
          <w:p w14:paraId="5BBF2C91" w14:textId="77777777" w:rsidR="00583EB1" w:rsidRDefault="00583EB1" w:rsidP="00583EB1">
            <w:pPr>
              <w:rPr>
                <w:rFonts w:ascii="Georgia" w:hAnsi="Georgia" w:cs="Arial"/>
                <w:b w:val="0"/>
                <w:bCs w:val="0"/>
                <w:color w:val="FFFFFF"/>
                <w:sz w:val="20"/>
                <w:szCs w:val="20"/>
                <w:lang w:val="lt-LT"/>
              </w:rPr>
            </w:pPr>
            <w:r>
              <w:rPr>
                <w:rFonts w:ascii="Georgia" w:hAnsi="Georgia" w:cs="Arial"/>
                <w:color w:val="FFFFFF"/>
                <w:sz w:val="20"/>
                <w:szCs w:val="20"/>
                <w:lang w:val="lt-LT"/>
              </w:rPr>
              <w:t>Specifiniai reikalavimai projektų turiniui</w:t>
            </w:r>
          </w:p>
        </w:tc>
        <w:tc>
          <w:tcPr>
            <w:tcW w:w="3745"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14:paraId="501DA3FF" w14:textId="77777777" w:rsidR="00583EB1" w:rsidRDefault="00583EB1" w:rsidP="00C03122">
            <w:pPr>
              <w:numPr>
                <w:ilvl w:val="0"/>
                <w:numId w:val="24"/>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paskolos teikiamos tik projektams, kurie stiprina konkurencingumą ir tausoja aplinką.</w:t>
            </w:r>
          </w:p>
        </w:tc>
      </w:tr>
      <w:tr w:rsidR="00583EB1" w14:paraId="25F5A2E6" w14:textId="77777777" w:rsidTr="00583EB1">
        <w:trPr>
          <w:cnfStyle w:val="000000100000" w:firstRow="0" w:lastRow="0" w:firstColumn="0" w:lastColumn="0" w:oddVBand="0" w:evenVBand="0" w:oddHBand="1" w:evenHBand="0" w:firstRowFirstColumn="0" w:firstRowLastColumn="0" w:lastRowFirstColumn="0" w:lastRowLastColumn="0"/>
          <w:cantSplit/>
          <w:trHeight w:val="293"/>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14:paraId="76BC0415" w14:textId="77777777" w:rsidR="00583EB1" w:rsidRDefault="00583EB1" w:rsidP="00583EB1">
            <w:pPr>
              <w:contextualSpacing/>
              <w:jc w:val="center"/>
              <w:rPr>
                <w:rFonts w:ascii="Georgia" w:hAnsi="Georgia" w:cs="Arial"/>
                <w:bCs w:val="0"/>
                <w:color w:val="FFFFFF"/>
                <w:sz w:val="20"/>
                <w:szCs w:val="20"/>
                <w:lang w:val="lt-LT"/>
              </w:rPr>
            </w:pPr>
            <w:r>
              <w:rPr>
                <w:rFonts w:ascii="Georgia" w:hAnsi="Georgia" w:cs="Arial"/>
                <w:color w:val="FFFFFF"/>
                <w:sz w:val="20"/>
                <w:szCs w:val="20"/>
                <w:lang w:val="lt-LT"/>
              </w:rPr>
              <w:t>Mokesčiai ir rinkliavos</w:t>
            </w:r>
          </w:p>
        </w:tc>
      </w:tr>
      <w:tr w:rsidR="00583EB1" w14:paraId="49C88D4B" w14:textId="77777777" w:rsidTr="00583EB1">
        <w:trPr>
          <w:cantSplit/>
        </w:trPr>
        <w:tc>
          <w:tcPr>
            <w:cnfStyle w:val="001000000000" w:firstRow="0" w:lastRow="0" w:firstColumn="1" w:lastColumn="0" w:oddVBand="0" w:evenVBand="0" w:oddHBand="0" w:evenHBand="0" w:firstRowFirstColumn="0" w:firstRowLastColumn="0" w:lastRowFirstColumn="0" w:lastRowLastColumn="0"/>
            <w:tcW w:w="1255" w:type="pct"/>
            <w:tcBorders>
              <w:top w:val="single" w:sz="6" w:space="0" w:color="FFFFFF" w:themeColor="background1"/>
            </w:tcBorders>
            <w:hideMark/>
          </w:tcPr>
          <w:p w14:paraId="5B772267" w14:textId="77777777" w:rsidR="00583EB1" w:rsidRDefault="00583EB1" w:rsidP="00583EB1">
            <w:pPr>
              <w:jc w:val="both"/>
              <w:rPr>
                <w:rFonts w:ascii="Georgia" w:hAnsi="Georgia" w:cs="Arial"/>
                <w:b w:val="0"/>
                <w:bCs w:val="0"/>
                <w:color w:val="FFFFFF"/>
                <w:sz w:val="20"/>
                <w:szCs w:val="20"/>
                <w:lang w:val="lt-LT"/>
              </w:rPr>
            </w:pPr>
            <w:r>
              <w:rPr>
                <w:rFonts w:ascii="Georgia" w:hAnsi="Georgia" w:cs="Arial"/>
                <w:color w:val="FFFFFF"/>
                <w:sz w:val="20"/>
                <w:szCs w:val="20"/>
                <w:lang w:val="lt-LT"/>
              </w:rPr>
              <w:t>Banko marža</w:t>
            </w:r>
          </w:p>
        </w:tc>
        <w:tc>
          <w:tcPr>
            <w:tcW w:w="3745"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14:paraId="046FA2E3" w14:textId="77777777" w:rsidR="00583EB1" w:rsidRDefault="00583EB1" w:rsidP="00C03122">
            <w:pPr>
              <w:numPr>
                <w:ilvl w:val="0"/>
                <w:numId w:val="24"/>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nėra informacijos.</w:t>
            </w:r>
          </w:p>
        </w:tc>
      </w:tr>
      <w:tr w:rsidR="00583EB1" w14:paraId="4243F0BC" w14:textId="77777777" w:rsidTr="00583EB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pct"/>
            <w:hideMark/>
          </w:tcPr>
          <w:p w14:paraId="2DE1643E" w14:textId="77777777" w:rsidR="00583EB1" w:rsidRDefault="00583EB1" w:rsidP="00583EB1">
            <w:pPr>
              <w:jc w:val="both"/>
              <w:rPr>
                <w:rFonts w:ascii="Georgia" w:hAnsi="Georgia" w:cs="Arial"/>
                <w:b w:val="0"/>
                <w:bCs w:val="0"/>
                <w:color w:val="FFFFFF"/>
                <w:sz w:val="20"/>
                <w:szCs w:val="20"/>
                <w:lang w:val="lt-LT"/>
              </w:rPr>
            </w:pPr>
            <w:r>
              <w:rPr>
                <w:rFonts w:ascii="Georgia" w:hAnsi="Georgia" w:cs="Arial"/>
                <w:color w:val="FFFFFF"/>
                <w:sz w:val="20"/>
                <w:szCs w:val="20"/>
                <w:lang w:val="lt-LT"/>
              </w:rPr>
              <w:t>Papildomi mokesčiai</w:t>
            </w:r>
          </w:p>
        </w:tc>
        <w:tc>
          <w:tcPr>
            <w:tcW w:w="3745" w:type="pct"/>
            <w:hideMark/>
          </w:tcPr>
          <w:p w14:paraId="3ACF6AE0" w14:textId="77777777" w:rsidR="00583EB1" w:rsidRDefault="00583EB1" w:rsidP="00C03122">
            <w:pPr>
              <w:numPr>
                <w:ilvl w:val="0"/>
                <w:numId w:val="24"/>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 xml:space="preserve">mokesčiai apima </w:t>
            </w:r>
            <w:r>
              <w:rPr>
                <w:rFonts w:ascii="Georgia" w:hAnsi="Georgia" w:cs="Arial"/>
                <w:i/>
                <w:sz w:val="20"/>
                <w:szCs w:val="20"/>
                <w:lang w:val="lt-LT"/>
              </w:rPr>
              <w:t>inter alia</w:t>
            </w:r>
            <w:r>
              <w:rPr>
                <w:rFonts w:ascii="Georgia" w:hAnsi="Georgia" w:cs="Arial"/>
                <w:sz w:val="20"/>
                <w:szCs w:val="20"/>
                <w:lang w:val="lt-LT"/>
              </w:rPr>
              <w:t xml:space="preserve"> įsipareigojimų ir parengimo mokesčius.</w:t>
            </w:r>
          </w:p>
        </w:tc>
      </w:tr>
      <w:tr w:rsidR="00583EB1" w14:paraId="5141D8EB" w14:textId="77777777" w:rsidTr="00583EB1">
        <w:trPr>
          <w:cantSplit/>
          <w:trHeight w:val="323"/>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FFFFFF" w:themeColor="background1"/>
            </w:tcBorders>
            <w:vAlign w:val="center"/>
            <w:hideMark/>
          </w:tcPr>
          <w:p w14:paraId="43774293" w14:textId="77777777" w:rsidR="00583EB1" w:rsidRDefault="00583EB1" w:rsidP="00583EB1">
            <w:pPr>
              <w:jc w:val="center"/>
              <w:rPr>
                <w:rFonts w:ascii="Georgia" w:hAnsi="Georgia" w:cs="Arial"/>
                <w:bCs w:val="0"/>
                <w:color w:val="FFFFFF"/>
                <w:sz w:val="20"/>
                <w:szCs w:val="20"/>
                <w:lang w:val="lt-LT"/>
              </w:rPr>
            </w:pPr>
            <w:r>
              <w:rPr>
                <w:rFonts w:ascii="Georgia" w:hAnsi="Georgia" w:cs="Arial"/>
                <w:color w:val="FFFFFF"/>
                <w:sz w:val="20"/>
                <w:szCs w:val="20"/>
                <w:lang w:val="lt-LT"/>
              </w:rPr>
              <w:t>Kitos paskolos sąlygos</w:t>
            </w:r>
          </w:p>
        </w:tc>
      </w:tr>
      <w:tr w:rsidR="00583EB1" w14:paraId="7F9429DF" w14:textId="77777777" w:rsidTr="00583EB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pct"/>
            <w:hideMark/>
          </w:tcPr>
          <w:p w14:paraId="662B8F34" w14:textId="77777777" w:rsidR="00583EB1" w:rsidRDefault="00583EB1" w:rsidP="00583EB1">
            <w:pPr>
              <w:jc w:val="both"/>
              <w:rPr>
                <w:rFonts w:ascii="Georgia" w:hAnsi="Georgia" w:cs="Arial"/>
                <w:b w:val="0"/>
                <w:bCs w:val="0"/>
                <w:color w:val="FFFFFF"/>
                <w:sz w:val="20"/>
                <w:szCs w:val="20"/>
                <w:lang w:val="lt-LT"/>
              </w:rPr>
            </w:pPr>
            <w:r>
              <w:rPr>
                <w:rFonts w:ascii="Georgia" w:hAnsi="Georgia" w:cs="Arial"/>
                <w:color w:val="FFFFFF"/>
                <w:sz w:val="20"/>
                <w:szCs w:val="20"/>
                <w:lang w:val="lt-LT"/>
              </w:rPr>
              <w:t>Paskolos užtikrinimas</w:t>
            </w:r>
          </w:p>
        </w:tc>
        <w:tc>
          <w:tcPr>
            <w:tcW w:w="3745" w:type="pct"/>
            <w:hideMark/>
          </w:tcPr>
          <w:p w14:paraId="3021A3F2" w14:textId="77777777" w:rsidR="00583EB1" w:rsidRDefault="00583EB1" w:rsidP="00C03122">
            <w:pPr>
              <w:numPr>
                <w:ilvl w:val="0"/>
                <w:numId w:val="24"/>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negalima išskirti specifinių paskolos užtikrinimo priemonių, kurių reikalauja bankas. Vertinimas atliekamas konkrečiam projektui ir remiantis šio vertinimo rezultatais reikalaujama adekvačių paskolos užtikrinimo priemonių;</w:t>
            </w:r>
          </w:p>
          <w:p w14:paraId="159B3D87" w14:textId="77777777" w:rsidR="00583EB1" w:rsidRDefault="00583EB1" w:rsidP="00C03122">
            <w:pPr>
              <w:numPr>
                <w:ilvl w:val="0"/>
                <w:numId w:val="24"/>
              </w:numPr>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NIB gali suteikti ir paskolas be užstato sandorio šalims, jei jos turi pakankamą kreditingumą. Tokiu atveju bankas reikalauja papildomų susitarimų tarp sandorio šalių, kurie įtraukiami į paskolos dokumentų paketą.</w:t>
            </w:r>
          </w:p>
        </w:tc>
      </w:tr>
      <w:tr w:rsidR="00583EB1" w14:paraId="4D1C3AD2" w14:textId="77777777" w:rsidTr="00583EB1">
        <w:trPr>
          <w:cantSplit/>
        </w:trPr>
        <w:tc>
          <w:tcPr>
            <w:cnfStyle w:val="001000000000" w:firstRow="0" w:lastRow="0" w:firstColumn="1" w:lastColumn="0" w:oddVBand="0" w:evenVBand="0" w:oddHBand="0" w:evenHBand="0" w:firstRowFirstColumn="0" w:firstRowLastColumn="0" w:lastRowFirstColumn="0" w:lastRowLastColumn="0"/>
            <w:tcW w:w="1255" w:type="pct"/>
            <w:tcBorders>
              <w:top w:val="single" w:sz="6" w:space="0" w:color="FFFFFF" w:themeColor="background1"/>
              <w:bottom w:val="single" w:sz="8" w:space="0" w:color="FFFFFF" w:themeColor="background1"/>
            </w:tcBorders>
            <w:hideMark/>
          </w:tcPr>
          <w:p w14:paraId="72175B4D" w14:textId="77777777" w:rsidR="00583EB1" w:rsidRDefault="00583EB1" w:rsidP="00583EB1">
            <w:pPr>
              <w:jc w:val="both"/>
              <w:rPr>
                <w:rFonts w:ascii="Georgia" w:hAnsi="Georgia" w:cs="Arial"/>
                <w:b w:val="0"/>
                <w:bCs w:val="0"/>
                <w:color w:val="FFFFFF"/>
                <w:sz w:val="20"/>
                <w:szCs w:val="20"/>
                <w:lang w:val="lt-LT"/>
              </w:rPr>
            </w:pPr>
            <w:r>
              <w:rPr>
                <w:rFonts w:ascii="Georgia" w:hAnsi="Georgia" w:cs="Arial"/>
                <w:color w:val="FFFFFF"/>
                <w:sz w:val="20"/>
                <w:szCs w:val="20"/>
                <w:lang w:val="lt-LT"/>
              </w:rPr>
              <w:t>Techninė pagalba</w:t>
            </w:r>
          </w:p>
        </w:tc>
        <w:tc>
          <w:tcPr>
            <w:tcW w:w="3745" w:type="pct"/>
            <w:tcBorders>
              <w:top w:val="single" w:sz="6" w:space="0" w:color="FFFFFF" w:themeColor="background1"/>
              <w:left w:val="single" w:sz="6" w:space="0" w:color="FFFFFF" w:themeColor="background1"/>
              <w:bottom w:val="single" w:sz="8" w:space="0" w:color="FFFFFF" w:themeColor="background1"/>
              <w:right w:val="single" w:sz="8" w:space="0" w:color="FFFFFF" w:themeColor="background1"/>
            </w:tcBorders>
            <w:hideMark/>
          </w:tcPr>
          <w:p w14:paraId="05168C97" w14:textId="77777777" w:rsidR="00583EB1" w:rsidRDefault="00583EB1" w:rsidP="00C03122">
            <w:pPr>
              <w:numPr>
                <w:ilvl w:val="0"/>
                <w:numId w:val="24"/>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NIB gali padėti savo klientams su projekto ir struktūrizuotu finansavimu, pavyzdžiui, naudojant viešojo ir privataus sektoriaus partnerystės modelį.</w:t>
            </w:r>
          </w:p>
        </w:tc>
      </w:tr>
    </w:tbl>
    <w:p w14:paraId="4F096C72" w14:textId="77777777" w:rsidR="00583EB1" w:rsidRPr="006167C8" w:rsidRDefault="00583EB1" w:rsidP="006167C8">
      <w:pPr>
        <w:pStyle w:val="Antrat"/>
        <w:rPr>
          <w:b w:val="0"/>
          <w:i/>
        </w:rPr>
      </w:pPr>
      <w:r w:rsidRPr="00855713">
        <w:rPr>
          <w:b w:val="0"/>
          <w:i/>
          <w:lang w:val="lt-LT"/>
        </w:rPr>
        <w:t>Šaltinis</w:t>
      </w:r>
      <w:r w:rsidRPr="006167C8">
        <w:rPr>
          <w:b w:val="0"/>
          <w:i/>
        </w:rPr>
        <w:t xml:space="preserve">: </w:t>
      </w:r>
      <w:hyperlink r:id="rId32" w:history="1">
        <w:r w:rsidRPr="006167C8">
          <w:rPr>
            <w:b w:val="0"/>
            <w:i/>
          </w:rPr>
          <w:t>http://www.nib.int/loans/loan_characteristics</w:t>
        </w:r>
      </w:hyperlink>
    </w:p>
    <w:p w14:paraId="3792294E" w14:textId="77777777" w:rsidR="00583EB1" w:rsidRDefault="00583EB1" w:rsidP="00583EB1">
      <w:pPr>
        <w:jc w:val="both"/>
        <w:rPr>
          <w:rFonts w:ascii="Georgia" w:hAnsi="Georgia" w:cs="Arial"/>
          <w:sz w:val="20"/>
          <w:szCs w:val="20"/>
          <w:lang w:val="lt-LT"/>
        </w:rPr>
      </w:pPr>
      <w:r>
        <w:rPr>
          <w:rFonts w:ascii="Georgia" w:hAnsi="Georgia" w:cs="Arial"/>
          <w:sz w:val="20"/>
          <w:szCs w:val="20"/>
          <w:lang w:val="lt-LT"/>
        </w:rPr>
        <w:t>Žemiau pateikiamas tipinio VPSP projekto finansavimo pavyzdys.</w:t>
      </w:r>
    </w:p>
    <w:tbl>
      <w:tblPr>
        <w:tblStyle w:val="viesustinklelis2parykinimas"/>
        <w:tblW w:w="5000" w:type="pct"/>
        <w:tblLook w:val="00E0" w:firstRow="1" w:lastRow="1" w:firstColumn="1" w:lastColumn="0" w:noHBand="0" w:noVBand="0"/>
      </w:tblPr>
      <w:tblGrid>
        <w:gridCol w:w="9242"/>
      </w:tblGrid>
      <w:tr w:rsidR="00583EB1" w14:paraId="38DFBEC1" w14:textId="77777777" w:rsidTr="00583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hideMark/>
          </w:tcPr>
          <w:p w14:paraId="7D4771A5" w14:textId="77777777" w:rsidR="00583EB1" w:rsidRPr="004110D8" w:rsidRDefault="00583EB1" w:rsidP="00583EB1">
            <w:pPr>
              <w:jc w:val="both"/>
              <w:rPr>
                <w:rFonts w:ascii="Georgia" w:hAnsi="Georgia" w:cs="Arial"/>
                <w:b w:val="0"/>
                <w:bCs w:val="0"/>
                <w:sz w:val="20"/>
                <w:szCs w:val="20"/>
                <w:lang w:val="lt-LT"/>
              </w:rPr>
            </w:pPr>
            <w:r w:rsidRPr="004110D8">
              <w:rPr>
                <w:rFonts w:ascii="Georgia" w:hAnsi="Georgia" w:cs="Arial"/>
                <w:b w:val="0"/>
                <w:sz w:val="20"/>
                <w:szCs w:val="20"/>
                <w:lang w:val="lt-LT"/>
              </w:rPr>
              <w:t>Akcininkų lėšų dalis: 10-15%, bankų paskolos: 90-85%</w:t>
            </w:r>
          </w:p>
        </w:tc>
      </w:tr>
      <w:tr w:rsidR="00583EB1" w14:paraId="425DC60B" w14:textId="77777777" w:rsidTr="0058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hideMark/>
          </w:tcPr>
          <w:p w14:paraId="7AA5B6AB" w14:textId="77777777" w:rsidR="00583EB1" w:rsidRPr="004110D8" w:rsidRDefault="00583EB1" w:rsidP="00583EB1">
            <w:pPr>
              <w:jc w:val="both"/>
              <w:rPr>
                <w:rFonts w:ascii="Georgia" w:hAnsi="Georgia" w:cs="Arial"/>
                <w:b w:val="0"/>
                <w:bCs w:val="0"/>
                <w:sz w:val="20"/>
                <w:szCs w:val="20"/>
                <w:lang w:val="lt-LT"/>
              </w:rPr>
            </w:pPr>
            <w:r w:rsidRPr="004110D8">
              <w:rPr>
                <w:rFonts w:ascii="Georgia" w:hAnsi="Georgia" w:cs="Arial"/>
                <w:b w:val="0"/>
                <w:sz w:val="20"/>
                <w:szCs w:val="20"/>
                <w:lang w:val="lt-LT"/>
              </w:rPr>
              <w:t xml:space="preserve">Akcininkų lėšos įnešamos prieš paskolų išmokėjimą arba </w:t>
            </w:r>
            <w:r w:rsidRPr="004110D8">
              <w:rPr>
                <w:rFonts w:ascii="Georgia" w:hAnsi="Georgia" w:cs="Arial"/>
                <w:b w:val="0"/>
                <w:i/>
                <w:sz w:val="20"/>
                <w:szCs w:val="20"/>
                <w:lang w:val="lt-LT"/>
              </w:rPr>
              <w:t>pro-rata</w:t>
            </w:r>
            <w:r w:rsidRPr="004110D8">
              <w:rPr>
                <w:rFonts w:ascii="Georgia" w:hAnsi="Georgia" w:cs="Arial"/>
                <w:b w:val="0"/>
                <w:sz w:val="20"/>
                <w:szCs w:val="20"/>
                <w:lang w:val="lt-LT"/>
              </w:rPr>
              <w:t xml:space="preserve"> principu (tačiau tokiu atveju reikalingos papildomos garantijos, užtikrinimo priemonės).</w:t>
            </w:r>
          </w:p>
        </w:tc>
      </w:tr>
      <w:tr w:rsidR="00583EB1" w14:paraId="739F5CDE" w14:textId="77777777" w:rsidTr="00583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hideMark/>
          </w:tcPr>
          <w:p w14:paraId="22835AA8" w14:textId="77777777" w:rsidR="00583EB1" w:rsidRPr="004110D8" w:rsidRDefault="00583EB1" w:rsidP="00583EB1">
            <w:pPr>
              <w:jc w:val="both"/>
              <w:rPr>
                <w:rFonts w:ascii="Georgia" w:hAnsi="Georgia" w:cs="Arial"/>
                <w:b w:val="0"/>
                <w:bCs w:val="0"/>
                <w:sz w:val="20"/>
                <w:szCs w:val="20"/>
                <w:lang w:val="lt-LT"/>
              </w:rPr>
            </w:pPr>
            <w:r w:rsidRPr="004110D8">
              <w:rPr>
                <w:rFonts w:ascii="Georgia" w:hAnsi="Georgia" w:cs="Arial"/>
                <w:b w:val="0"/>
                <w:sz w:val="20"/>
                <w:szCs w:val="20"/>
                <w:lang w:val="lt-LT"/>
              </w:rPr>
              <w:t>Pagrindinio scenarijaus finansinių prognozių rodikliai:</w:t>
            </w:r>
          </w:p>
          <w:p w14:paraId="24399D86" w14:textId="77777777" w:rsidR="00583EB1" w:rsidRPr="004110D8" w:rsidRDefault="00583EB1" w:rsidP="00C03122">
            <w:pPr>
              <w:numPr>
                <w:ilvl w:val="0"/>
                <w:numId w:val="24"/>
              </w:numPr>
              <w:contextualSpacing/>
              <w:jc w:val="both"/>
              <w:rPr>
                <w:rFonts w:ascii="Georgia" w:hAnsi="Georgia" w:cs="Arial"/>
                <w:b w:val="0"/>
                <w:bCs w:val="0"/>
                <w:sz w:val="20"/>
                <w:szCs w:val="20"/>
                <w:lang w:val="lt-LT"/>
              </w:rPr>
            </w:pPr>
            <w:r w:rsidRPr="004110D8">
              <w:rPr>
                <w:rFonts w:ascii="Georgia" w:hAnsi="Georgia" w:cs="Arial"/>
                <w:b w:val="0"/>
                <w:sz w:val="20"/>
                <w:szCs w:val="20"/>
                <w:lang w:val="lt-LT"/>
              </w:rPr>
              <w:t>min. DSCR &gt; 1.20-1.25</w:t>
            </w:r>
          </w:p>
          <w:p w14:paraId="515CE3E3" w14:textId="77777777" w:rsidR="00583EB1" w:rsidRPr="004110D8" w:rsidRDefault="00583EB1" w:rsidP="00C03122">
            <w:pPr>
              <w:numPr>
                <w:ilvl w:val="0"/>
                <w:numId w:val="24"/>
              </w:numPr>
              <w:contextualSpacing/>
              <w:jc w:val="both"/>
              <w:rPr>
                <w:rFonts w:ascii="Georgia" w:hAnsi="Georgia" w:cs="Arial"/>
                <w:b w:val="0"/>
                <w:bCs w:val="0"/>
                <w:sz w:val="20"/>
                <w:szCs w:val="20"/>
                <w:lang w:val="lt-LT"/>
              </w:rPr>
            </w:pPr>
            <w:r>
              <w:rPr>
                <w:rFonts w:ascii="Georgia" w:hAnsi="Georgia" w:cs="Arial"/>
                <w:b w:val="0"/>
                <w:sz w:val="20"/>
                <w:szCs w:val="20"/>
                <w:lang w:val="lt-LT"/>
              </w:rPr>
              <w:t>min. L</w:t>
            </w:r>
            <w:r w:rsidRPr="004110D8">
              <w:rPr>
                <w:rFonts w:ascii="Georgia" w:hAnsi="Georgia" w:cs="Arial"/>
                <w:b w:val="0"/>
                <w:sz w:val="20"/>
                <w:szCs w:val="20"/>
                <w:lang w:val="lt-LT"/>
              </w:rPr>
              <w:t>CR &gt; 1.25-1.30</w:t>
            </w:r>
          </w:p>
        </w:tc>
      </w:tr>
      <w:tr w:rsidR="00583EB1" w14:paraId="6CE2E425" w14:textId="77777777" w:rsidTr="0058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hideMark/>
          </w:tcPr>
          <w:p w14:paraId="43BAB5F2" w14:textId="77777777" w:rsidR="00583EB1" w:rsidRPr="004110D8" w:rsidRDefault="00583EB1" w:rsidP="00583EB1">
            <w:pPr>
              <w:jc w:val="both"/>
              <w:rPr>
                <w:rFonts w:ascii="Georgia" w:hAnsi="Georgia" w:cs="Arial"/>
                <w:b w:val="0"/>
                <w:bCs w:val="0"/>
                <w:sz w:val="20"/>
                <w:szCs w:val="20"/>
                <w:lang w:val="lt-LT"/>
              </w:rPr>
            </w:pPr>
            <w:r w:rsidRPr="004110D8">
              <w:rPr>
                <w:rFonts w:ascii="Georgia" w:hAnsi="Georgia" w:cs="Arial"/>
                <w:b w:val="0"/>
                <w:sz w:val="20"/>
                <w:szCs w:val="20"/>
                <w:lang w:val="lt-LT"/>
              </w:rPr>
              <w:t>Paskolų trukmė: VPSP sutarties trukmė minus 2-3 metai, tačiau ne ilgiau kaip 25-30 metai</w:t>
            </w:r>
          </w:p>
        </w:tc>
      </w:tr>
      <w:tr w:rsidR="00583EB1" w14:paraId="5795379D" w14:textId="77777777" w:rsidTr="00583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hideMark/>
          </w:tcPr>
          <w:p w14:paraId="57575A79" w14:textId="77777777" w:rsidR="00583EB1" w:rsidRPr="004110D8" w:rsidRDefault="00583EB1" w:rsidP="00583EB1">
            <w:pPr>
              <w:jc w:val="both"/>
              <w:rPr>
                <w:rFonts w:ascii="Georgia" w:hAnsi="Georgia" w:cs="Arial"/>
                <w:b w:val="0"/>
                <w:bCs w:val="0"/>
                <w:sz w:val="20"/>
                <w:szCs w:val="20"/>
                <w:lang w:val="lt-LT"/>
              </w:rPr>
            </w:pPr>
            <w:r w:rsidRPr="004110D8">
              <w:rPr>
                <w:rFonts w:ascii="Georgia" w:hAnsi="Georgia" w:cs="Arial"/>
                <w:b w:val="0"/>
                <w:sz w:val="20"/>
                <w:szCs w:val="20"/>
                <w:lang w:val="lt-LT"/>
              </w:rPr>
              <w:t>Privalomieji rezervai:</w:t>
            </w:r>
          </w:p>
          <w:p w14:paraId="4D36B7B0" w14:textId="77777777" w:rsidR="00583EB1" w:rsidRPr="004110D8" w:rsidRDefault="00583EB1" w:rsidP="00C03122">
            <w:pPr>
              <w:numPr>
                <w:ilvl w:val="0"/>
                <w:numId w:val="24"/>
              </w:numPr>
              <w:contextualSpacing/>
              <w:jc w:val="both"/>
              <w:rPr>
                <w:rFonts w:ascii="Georgia" w:hAnsi="Georgia" w:cs="Arial"/>
                <w:b w:val="0"/>
                <w:bCs w:val="0"/>
                <w:sz w:val="20"/>
                <w:szCs w:val="20"/>
                <w:lang w:val="lt-LT"/>
              </w:rPr>
            </w:pPr>
            <w:r w:rsidRPr="004110D8">
              <w:rPr>
                <w:rFonts w:ascii="Georgia" w:hAnsi="Georgia" w:cs="Arial"/>
                <w:b w:val="0"/>
                <w:sz w:val="20"/>
                <w:szCs w:val="20"/>
                <w:lang w:val="lt-LT"/>
              </w:rPr>
              <w:t>paskolų aptarnavimo</w:t>
            </w:r>
            <w:r>
              <w:rPr>
                <w:rFonts w:ascii="Georgia" w:hAnsi="Georgia" w:cs="Arial"/>
                <w:b w:val="0"/>
                <w:sz w:val="20"/>
                <w:szCs w:val="20"/>
                <w:lang w:val="lt-LT"/>
              </w:rPr>
              <w:t xml:space="preserve"> rezervas</w:t>
            </w:r>
            <w:r w:rsidRPr="004110D8">
              <w:rPr>
                <w:rFonts w:ascii="Georgia" w:hAnsi="Georgia" w:cs="Arial"/>
                <w:b w:val="0"/>
                <w:sz w:val="20"/>
                <w:szCs w:val="20"/>
                <w:lang w:val="lt-LT"/>
              </w:rPr>
              <w:t xml:space="preserve"> (DSRA) – 6 mėnesių</w:t>
            </w:r>
          </w:p>
          <w:p w14:paraId="4731ABB6" w14:textId="77777777" w:rsidR="00583EB1" w:rsidRPr="004110D8" w:rsidRDefault="00583EB1" w:rsidP="00C03122">
            <w:pPr>
              <w:numPr>
                <w:ilvl w:val="0"/>
                <w:numId w:val="24"/>
              </w:numPr>
              <w:contextualSpacing/>
              <w:jc w:val="both"/>
              <w:rPr>
                <w:rFonts w:ascii="Georgia" w:hAnsi="Georgia" w:cs="Arial"/>
                <w:b w:val="0"/>
                <w:bCs w:val="0"/>
                <w:sz w:val="20"/>
                <w:szCs w:val="20"/>
                <w:lang w:val="lt-LT"/>
              </w:rPr>
            </w:pPr>
            <w:r w:rsidRPr="004110D8">
              <w:rPr>
                <w:rFonts w:ascii="Georgia" w:hAnsi="Georgia" w:cs="Arial"/>
                <w:b w:val="0"/>
                <w:sz w:val="20"/>
                <w:szCs w:val="20"/>
                <w:lang w:val="lt-LT"/>
              </w:rPr>
              <w:t>reinvesticijų (MRA) – 3-4 metams į priekį (pvz. 100%, 75%, 50%, 25% principu)</w:t>
            </w:r>
          </w:p>
        </w:tc>
      </w:tr>
      <w:tr w:rsidR="00583EB1" w14:paraId="4FE4AF09" w14:textId="77777777" w:rsidTr="00583EB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hideMark/>
          </w:tcPr>
          <w:p w14:paraId="12835B5A" w14:textId="77777777" w:rsidR="00583EB1" w:rsidRPr="004110D8" w:rsidRDefault="00583EB1" w:rsidP="00583EB1">
            <w:pPr>
              <w:jc w:val="both"/>
              <w:rPr>
                <w:rFonts w:ascii="Georgia" w:hAnsi="Georgia" w:cs="Arial"/>
                <w:b w:val="0"/>
                <w:bCs w:val="0"/>
                <w:sz w:val="20"/>
                <w:szCs w:val="20"/>
                <w:lang w:val="lt-LT"/>
              </w:rPr>
            </w:pPr>
            <w:r w:rsidRPr="004110D8">
              <w:rPr>
                <w:rFonts w:ascii="Georgia" w:hAnsi="Georgia" w:cs="Arial"/>
                <w:b w:val="0"/>
                <w:sz w:val="20"/>
                <w:szCs w:val="20"/>
                <w:lang w:val="lt-LT"/>
              </w:rPr>
              <w:t>Garantijos ir saugumo užtikrinimo priemonės:</w:t>
            </w:r>
          </w:p>
          <w:p w14:paraId="545452F4" w14:textId="77777777" w:rsidR="00583EB1" w:rsidRPr="004110D8" w:rsidRDefault="00583EB1" w:rsidP="00C03122">
            <w:pPr>
              <w:numPr>
                <w:ilvl w:val="0"/>
                <w:numId w:val="24"/>
              </w:numPr>
              <w:contextualSpacing/>
              <w:jc w:val="both"/>
              <w:rPr>
                <w:rFonts w:ascii="Georgia" w:hAnsi="Georgia" w:cs="Arial"/>
                <w:b w:val="0"/>
                <w:bCs w:val="0"/>
                <w:sz w:val="20"/>
                <w:szCs w:val="20"/>
                <w:lang w:val="lt-LT"/>
              </w:rPr>
            </w:pPr>
            <w:r w:rsidRPr="004110D8">
              <w:rPr>
                <w:rFonts w:ascii="Georgia" w:hAnsi="Georgia" w:cs="Arial"/>
                <w:b w:val="0"/>
                <w:sz w:val="20"/>
                <w:szCs w:val="20"/>
                <w:lang w:val="lt-LT"/>
              </w:rPr>
              <w:t>projekto įmonės (SPV) akcijų įkeitimas</w:t>
            </w:r>
          </w:p>
          <w:p w14:paraId="41FF2A84" w14:textId="77777777" w:rsidR="00583EB1" w:rsidRPr="004110D8" w:rsidRDefault="00583EB1" w:rsidP="00C03122">
            <w:pPr>
              <w:numPr>
                <w:ilvl w:val="0"/>
                <w:numId w:val="24"/>
              </w:numPr>
              <w:contextualSpacing/>
              <w:jc w:val="both"/>
              <w:rPr>
                <w:rFonts w:ascii="Georgia" w:hAnsi="Georgia" w:cs="Arial"/>
                <w:b w:val="0"/>
                <w:bCs w:val="0"/>
                <w:sz w:val="20"/>
                <w:szCs w:val="20"/>
                <w:lang w:val="lt-LT"/>
              </w:rPr>
            </w:pPr>
            <w:r w:rsidRPr="004110D8">
              <w:rPr>
                <w:rFonts w:ascii="Georgia" w:hAnsi="Georgia" w:cs="Arial"/>
                <w:b w:val="0"/>
                <w:sz w:val="20"/>
                <w:szCs w:val="20"/>
                <w:lang w:val="lt-LT"/>
              </w:rPr>
              <w:t xml:space="preserve">banko sąskaitų </w:t>
            </w:r>
            <w:r>
              <w:rPr>
                <w:rFonts w:ascii="Georgia" w:hAnsi="Georgia" w:cs="Arial"/>
                <w:b w:val="0"/>
                <w:sz w:val="20"/>
                <w:szCs w:val="20"/>
                <w:lang w:val="lt-LT"/>
              </w:rPr>
              <w:t xml:space="preserve">likučių </w:t>
            </w:r>
            <w:r w:rsidRPr="004110D8">
              <w:rPr>
                <w:rFonts w:ascii="Georgia" w:hAnsi="Georgia" w:cs="Arial"/>
                <w:b w:val="0"/>
                <w:sz w:val="20"/>
                <w:szCs w:val="20"/>
                <w:lang w:val="lt-LT"/>
              </w:rPr>
              <w:t>įkeitimas</w:t>
            </w:r>
          </w:p>
          <w:p w14:paraId="750ED58E" w14:textId="77777777" w:rsidR="00583EB1" w:rsidRPr="004110D8" w:rsidRDefault="00583EB1" w:rsidP="00C03122">
            <w:pPr>
              <w:numPr>
                <w:ilvl w:val="0"/>
                <w:numId w:val="24"/>
              </w:numPr>
              <w:contextualSpacing/>
              <w:jc w:val="both"/>
              <w:rPr>
                <w:rFonts w:ascii="Georgia" w:hAnsi="Georgia" w:cs="Arial"/>
                <w:b w:val="0"/>
                <w:bCs w:val="0"/>
                <w:sz w:val="20"/>
                <w:szCs w:val="20"/>
                <w:lang w:val="lt-LT"/>
              </w:rPr>
            </w:pPr>
            <w:r w:rsidRPr="004110D8">
              <w:rPr>
                <w:rFonts w:ascii="Georgia" w:hAnsi="Georgia" w:cs="Arial"/>
                <w:b w:val="0"/>
                <w:sz w:val="20"/>
                <w:szCs w:val="20"/>
                <w:lang w:val="lt-LT"/>
              </w:rPr>
              <w:t>teisių į projekto sutartis bei pagal jas gaunamas lėšas, draudimo išmokas, įkeitimas</w:t>
            </w:r>
          </w:p>
          <w:p w14:paraId="55238CFD" w14:textId="77777777" w:rsidR="00583EB1" w:rsidRPr="004110D8" w:rsidRDefault="00583EB1" w:rsidP="00C03122">
            <w:pPr>
              <w:numPr>
                <w:ilvl w:val="0"/>
                <w:numId w:val="24"/>
              </w:numPr>
              <w:contextualSpacing/>
              <w:jc w:val="both"/>
              <w:rPr>
                <w:rFonts w:ascii="Georgia" w:hAnsi="Georgia" w:cs="Arial"/>
                <w:b w:val="0"/>
                <w:bCs w:val="0"/>
                <w:sz w:val="20"/>
                <w:szCs w:val="20"/>
                <w:lang w:val="lt-LT"/>
              </w:rPr>
            </w:pPr>
            <w:r w:rsidRPr="004110D8">
              <w:rPr>
                <w:rFonts w:ascii="Georgia" w:hAnsi="Georgia" w:cs="Arial"/>
                <w:b w:val="0"/>
                <w:sz w:val="20"/>
                <w:szCs w:val="20"/>
                <w:lang w:val="lt-LT"/>
              </w:rPr>
              <w:t>tiesioginiai susitarimai ir teisė pakeisti įsipareigojimų nevykdančią sutarties šalį</w:t>
            </w:r>
          </w:p>
        </w:tc>
      </w:tr>
    </w:tbl>
    <w:p w14:paraId="131BC00B" w14:textId="77777777" w:rsidR="00583EB1" w:rsidRPr="00691207" w:rsidRDefault="00583EB1" w:rsidP="00583EB1">
      <w:pPr>
        <w:rPr>
          <w:rFonts w:ascii="Georgia" w:hAnsi="Georgia" w:cs="Arial"/>
          <w:i/>
          <w:sz w:val="20"/>
          <w:szCs w:val="20"/>
          <w:lang w:val="lt-LT"/>
        </w:rPr>
      </w:pPr>
      <w:r>
        <w:rPr>
          <w:rFonts w:ascii="Georgia" w:hAnsi="Georgia" w:cs="Arial"/>
          <w:i/>
          <w:sz w:val="20"/>
          <w:szCs w:val="20"/>
          <w:lang w:val="lt-LT"/>
        </w:rPr>
        <w:t>Šaltinis: „PPP projektų finansavimo galimybės“, Šiaurės Investicijų Bankas (NIB), 2013 m. gegužės 31 d.</w:t>
      </w:r>
    </w:p>
    <w:p w14:paraId="2AA31C52" w14:textId="77777777" w:rsidR="00583EB1" w:rsidRDefault="00583EB1" w:rsidP="00583EB1">
      <w:pPr>
        <w:rPr>
          <w:rFonts w:ascii="Georgia" w:eastAsia="PMingLiU" w:hAnsi="Georgia" w:cs="Times New Roman"/>
          <w:b/>
          <w:sz w:val="20"/>
          <w:szCs w:val="20"/>
          <w:lang w:val="lt-LT"/>
        </w:rPr>
      </w:pPr>
      <w:r>
        <w:rPr>
          <w:rFonts w:ascii="Georgia" w:hAnsi="Georgia"/>
          <w:b/>
          <w:sz w:val="20"/>
          <w:szCs w:val="20"/>
          <w:lang w:val="lt-LT"/>
        </w:rPr>
        <w:br w:type="page"/>
      </w:r>
    </w:p>
    <w:p w14:paraId="4E8243B7" w14:textId="77777777" w:rsidR="00583EB1" w:rsidRPr="00BF3698" w:rsidRDefault="00583EB1" w:rsidP="00583EB1">
      <w:pPr>
        <w:pStyle w:val="Pagrindinistekstas"/>
        <w:rPr>
          <w:i/>
          <w:lang w:val="lt-LT"/>
        </w:rPr>
      </w:pPr>
      <w:r w:rsidRPr="00031DA5">
        <w:rPr>
          <w:i/>
          <w:lang w:val="lt-LT"/>
        </w:rPr>
        <w:lastRenderedPageBreak/>
        <w:t>Europos investicijų bankas</w:t>
      </w:r>
    </w:p>
    <w:p w14:paraId="766C99B8"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EIB remia projektus, kurie reikšmingai prisideda prie ekonomikos augimo, užimtumo didinimo, ekonominės ir socialines sanglaudos ir aplinkos tvarumo Europoje ir už jos ribų. EIB yra svarbus instrumentas, skirtas padėti valstybėms atsigauti po ekonominės krizės.</w:t>
      </w:r>
    </w:p>
    <w:p w14:paraId="3F522AAB"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EIB teikia finansavimą žinių ekonomikos, TEN-T, konkurencingos ir saugios energetikos, MVĮ ir</w:t>
      </w:r>
      <w:r w:rsidR="006167C8">
        <w:rPr>
          <w:rFonts w:ascii="Georgia" w:hAnsi="Georgia" w:cs="Arial"/>
          <w:sz w:val="20"/>
          <w:szCs w:val="20"/>
          <w:lang w:val="lt-LT"/>
        </w:rPr>
        <w:t xml:space="preserve"> </w:t>
      </w:r>
      <w:r>
        <w:rPr>
          <w:rFonts w:ascii="Georgia" w:hAnsi="Georgia" w:cs="Arial"/>
          <w:sz w:val="20"/>
          <w:szCs w:val="20"/>
          <w:lang w:val="lt-LT"/>
        </w:rPr>
        <w:t>"</w:t>
      </w:r>
      <w:r>
        <w:rPr>
          <w:rFonts w:ascii="Georgia" w:hAnsi="Georgia" w:cs="Arial"/>
          <w:i/>
          <w:sz w:val="20"/>
          <w:szCs w:val="20"/>
          <w:lang w:val="lt-LT"/>
        </w:rPr>
        <w:t>mid-caps</w:t>
      </w:r>
      <w:r>
        <w:rPr>
          <w:rFonts w:ascii="Georgia" w:hAnsi="Georgia" w:cs="Arial"/>
          <w:sz w:val="20"/>
          <w:szCs w:val="20"/>
          <w:lang w:val="lt-LT"/>
        </w:rPr>
        <w:t>"</w:t>
      </w:r>
      <w:r>
        <w:rPr>
          <w:rStyle w:val="Puslapioinaosnuoroda"/>
          <w:rFonts w:ascii="Georgia" w:hAnsi="Georgia" w:cs="Arial"/>
          <w:sz w:val="20"/>
          <w:szCs w:val="20"/>
          <w:lang w:val="lt-LT"/>
        </w:rPr>
        <w:footnoteReference w:id="59"/>
      </w:r>
      <w:r>
        <w:rPr>
          <w:rFonts w:ascii="Georgia" w:hAnsi="Georgia" w:cs="Arial"/>
          <w:sz w:val="20"/>
          <w:szCs w:val="20"/>
          <w:lang w:val="lt-LT"/>
        </w:rPr>
        <w:t xml:space="preserve"> įmonių, miestų atnaujinimo, aplinkosaugos, atsinaujinančių energijos išteklių ir energijos efektyvumo bei tvaraus transporto projektams.</w:t>
      </w:r>
    </w:p>
    <w:p w14:paraId="4E3BC1A7"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EIF yra EIB grupės dalis, teikianti rizikos kapitalo sprendimus finansų tarpininkams ir taip remiantis MVĮ bei skatinantis Europoje diegti inovacijas.</w:t>
      </w:r>
    </w:p>
    <w:p w14:paraId="65811435" w14:textId="77777777" w:rsidR="00583EB1" w:rsidRDefault="00583EB1" w:rsidP="00583EB1">
      <w:pPr>
        <w:spacing w:after="120"/>
        <w:rPr>
          <w:rFonts w:ascii="Georgia" w:hAnsi="Georgia" w:cs="Arial"/>
          <w:sz w:val="20"/>
          <w:szCs w:val="20"/>
          <w:lang w:val="lt-LT"/>
        </w:rPr>
      </w:pPr>
      <w:r>
        <w:rPr>
          <w:rFonts w:ascii="Georgia" w:hAnsi="Georgia" w:cs="Arial"/>
          <w:sz w:val="20"/>
          <w:szCs w:val="20"/>
          <w:lang w:val="lt-LT"/>
        </w:rPr>
        <w:t>Pagrindiniai banko veiklos ir finansiniai rodikliai pateikiami žemiau esančioje lentelėje.</w:t>
      </w:r>
    </w:p>
    <w:p w14:paraId="23F12EB7" w14:textId="10081DF5" w:rsidR="00583EB1" w:rsidRPr="007B16A2" w:rsidRDefault="00583EB1" w:rsidP="00583EB1">
      <w:pPr>
        <w:pStyle w:val="Antrat"/>
        <w:rPr>
          <w:lang w:val="lt-LT"/>
        </w:rPr>
      </w:pPr>
      <w:bookmarkStart w:id="95" w:name="_Toc460321615"/>
      <w:r w:rsidRPr="007B16A2">
        <w:rPr>
          <w:lang w:val="lt-LT"/>
        </w:rPr>
        <w:t xml:space="preserve">Lentelė </w:t>
      </w:r>
      <w:r w:rsidRPr="007B16A2">
        <w:rPr>
          <w:lang w:val="lt-LT"/>
        </w:rPr>
        <w:fldChar w:fldCharType="begin"/>
      </w:r>
      <w:r w:rsidRPr="007B16A2">
        <w:rPr>
          <w:lang w:val="lt-LT"/>
        </w:rPr>
        <w:instrText xml:space="preserve"> SEQ Lentelė \* ARABIC </w:instrText>
      </w:r>
      <w:r w:rsidRPr="007B16A2">
        <w:rPr>
          <w:lang w:val="lt-LT"/>
        </w:rPr>
        <w:fldChar w:fldCharType="separate"/>
      </w:r>
      <w:r w:rsidR="00AA3082">
        <w:rPr>
          <w:noProof/>
          <w:lang w:val="lt-LT"/>
        </w:rPr>
        <w:t>34</w:t>
      </w:r>
      <w:r w:rsidRPr="007B16A2">
        <w:rPr>
          <w:lang w:val="lt-LT"/>
        </w:rPr>
        <w:fldChar w:fldCharType="end"/>
      </w:r>
      <w:r w:rsidRPr="007B16A2">
        <w:rPr>
          <w:lang w:val="lt-LT"/>
        </w:rPr>
        <w:t>. Pagrindiniai EIB veiklos ir finansiniai rodikliai.</w:t>
      </w:r>
      <w:bookmarkEnd w:id="95"/>
    </w:p>
    <w:tbl>
      <w:tblPr>
        <w:tblStyle w:val="viesussraas2parykinimas"/>
        <w:tblW w:w="5000" w:type="pct"/>
        <w:tblCellMar>
          <w:left w:w="57" w:type="dxa"/>
          <w:right w:w="57" w:type="dxa"/>
        </w:tblCellMar>
        <w:tblLook w:val="00A0" w:firstRow="1" w:lastRow="0" w:firstColumn="1" w:lastColumn="0" w:noHBand="0" w:noVBand="0"/>
      </w:tblPr>
      <w:tblGrid>
        <w:gridCol w:w="2122"/>
        <w:gridCol w:w="839"/>
        <w:gridCol w:w="1016"/>
        <w:gridCol w:w="1014"/>
        <w:gridCol w:w="1028"/>
        <w:gridCol w:w="1023"/>
        <w:gridCol w:w="1024"/>
        <w:gridCol w:w="1074"/>
      </w:tblGrid>
      <w:tr w:rsidR="00260838" w14:paraId="4338C42C" w14:textId="77777777" w:rsidTr="00093B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pct"/>
            <w:tcBorders>
              <w:top w:val="single" w:sz="8" w:space="0" w:color="C0504D" w:themeColor="accent2"/>
              <w:left w:val="single" w:sz="8" w:space="0" w:color="C0504D" w:themeColor="accent2"/>
              <w:bottom w:val="nil"/>
              <w:right w:val="nil"/>
            </w:tcBorders>
            <w:vAlign w:val="center"/>
            <w:hideMark/>
          </w:tcPr>
          <w:p w14:paraId="7699E6D0" w14:textId="77777777"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Mln. EUR</w:t>
            </w:r>
          </w:p>
        </w:tc>
        <w:tc>
          <w:tcPr>
            <w:cnfStyle w:val="000010000000" w:firstRow="0" w:lastRow="0" w:firstColumn="0" w:lastColumn="0" w:oddVBand="1" w:evenVBand="0" w:oddHBand="0" w:evenHBand="0" w:firstRowFirstColumn="0" w:firstRowLastColumn="0" w:lastRowFirstColumn="0" w:lastRowLastColumn="0"/>
            <w:tcW w:w="461" w:type="pct"/>
            <w:tcBorders>
              <w:bottom w:val="nil"/>
            </w:tcBorders>
            <w:vAlign w:val="center"/>
            <w:hideMark/>
          </w:tcPr>
          <w:p w14:paraId="0938AC95" w14:textId="77777777"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2013</w:t>
            </w:r>
          </w:p>
        </w:tc>
        <w:tc>
          <w:tcPr>
            <w:tcW w:w="558" w:type="pct"/>
            <w:tcBorders>
              <w:top w:val="single" w:sz="8" w:space="0" w:color="C0504D" w:themeColor="accent2"/>
              <w:left w:val="nil"/>
              <w:bottom w:val="nil"/>
              <w:right w:val="nil"/>
            </w:tcBorders>
            <w:vAlign w:val="center"/>
            <w:hideMark/>
          </w:tcPr>
          <w:p w14:paraId="5E417CB6"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2012</w:t>
            </w:r>
          </w:p>
        </w:tc>
        <w:tc>
          <w:tcPr>
            <w:cnfStyle w:val="000010000000" w:firstRow="0" w:lastRow="0" w:firstColumn="0" w:lastColumn="0" w:oddVBand="1" w:evenVBand="0" w:oddHBand="0" w:evenHBand="0" w:firstRowFirstColumn="0" w:firstRowLastColumn="0" w:lastRowFirstColumn="0" w:lastRowLastColumn="0"/>
            <w:tcW w:w="557" w:type="pct"/>
            <w:tcBorders>
              <w:bottom w:val="nil"/>
            </w:tcBorders>
            <w:vAlign w:val="center"/>
            <w:hideMark/>
          </w:tcPr>
          <w:p w14:paraId="115A2EE2" w14:textId="77777777"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2011</w:t>
            </w:r>
          </w:p>
        </w:tc>
        <w:tc>
          <w:tcPr>
            <w:tcW w:w="564" w:type="pct"/>
            <w:tcBorders>
              <w:top w:val="single" w:sz="8" w:space="0" w:color="C0504D" w:themeColor="accent2"/>
              <w:left w:val="nil"/>
              <w:bottom w:val="nil"/>
              <w:right w:val="nil"/>
            </w:tcBorders>
            <w:vAlign w:val="center"/>
            <w:hideMark/>
          </w:tcPr>
          <w:p w14:paraId="4BC542A2"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2010</w:t>
            </w:r>
          </w:p>
        </w:tc>
        <w:tc>
          <w:tcPr>
            <w:cnfStyle w:val="000010000000" w:firstRow="0" w:lastRow="0" w:firstColumn="0" w:lastColumn="0" w:oddVBand="1" w:evenVBand="0" w:oddHBand="0" w:evenHBand="0" w:firstRowFirstColumn="0" w:firstRowLastColumn="0" w:lastRowFirstColumn="0" w:lastRowLastColumn="0"/>
            <w:tcW w:w="561" w:type="pct"/>
            <w:tcBorders>
              <w:bottom w:val="nil"/>
            </w:tcBorders>
            <w:vAlign w:val="center"/>
            <w:hideMark/>
          </w:tcPr>
          <w:p w14:paraId="699A12F9" w14:textId="77777777"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2009</w:t>
            </w:r>
          </w:p>
        </w:tc>
        <w:tc>
          <w:tcPr>
            <w:tcW w:w="562" w:type="pct"/>
            <w:tcBorders>
              <w:top w:val="single" w:sz="8" w:space="0" w:color="C0504D" w:themeColor="accent2"/>
              <w:left w:val="nil"/>
              <w:bottom w:val="nil"/>
              <w:right w:val="nil"/>
            </w:tcBorders>
            <w:vAlign w:val="center"/>
            <w:hideMark/>
          </w:tcPr>
          <w:p w14:paraId="56D6B74B" w14:textId="77777777" w:rsidR="00583EB1" w:rsidRDefault="00583EB1" w:rsidP="00583EB1">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color w:val="FFFFFF"/>
                <w:sz w:val="20"/>
                <w:szCs w:val="20"/>
              </w:rPr>
            </w:pPr>
            <w:r>
              <w:rPr>
                <w:rFonts w:ascii="Georgia" w:hAnsi="Georgia" w:cs="Arial"/>
                <w:color w:val="FFFFFF"/>
                <w:sz w:val="20"/>
                <w:szCs w:val="20"/>
              </w:rPr>
              <w:t>2008</w:t>
            </w:r>
          </w:p>
        </w:tc>
        <w:tc>
          <w:tcPr>
            <w:cnfStyle w:val="000010000000" w:firstRow="0" w:lastRow="0" w:firstColumn="0" w:lastColumn="0" w:oddVBand="1" w:evenVBand="0" w:oddHBand="0" w:evenHBand="0" w:firstRowFirstColumn="0" w:firstRowLastColumn="0" w:lastRowFirstColumn="0" w:lastRowLastColumn="0"/>
            <w:tcW w:w="590" w:type="pct"/>
            <w:tcBorders>
              <w:bottom w:val="nil"/>
            </w:tcBorders>
            <w:vAlign w:val="center"/>
            <w:hideMark/>
          </w:tcPr>
          <w:p w14:paraId="0642941D" w14:textId="77777777"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2008-2013</w:t>
            </w:r>
          </w:p>
        </w:tc>
      </w:tr>
      <w:tr w:rsidR="00260838" w14:paraId="332B3B2E" w14:textId="77777777" w:rsidTr="00093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pct"/>
            <w:tcBorders>
              <w:top w:val="nil"/>
              <w:bottom w:val="nil"/>
              <w:right w:val="nil"/>
            </w:tcBorders>
            <w:hideMark/>
          </w:tcPr>
          <w:p w14:paraId="73CAA931" w14:textId="77777777" w:rsidR="00583EB1" w:rsidRPr="00736CD2" w:rsidRDefault="00583EB1" w:rsidP="00583EB1">
            <w:pPr>
              <w:rPr>
                <w:rFonts w:ascii="Georgia" w:hAnsi="Georgia" w:cs="Arial"/>
                <w:b w:val="0"/>
                <w:bCs w:val="0"/>
                <w:sz w:val="20"/>
                <w:szCs w:val="20"/>
              </w:rPr>
            </w:pPr>
            <w:r w:rsidRPr="00736CD2">
              <w:rPr>
                <w:rFonts w:ascii="Georgia" w:hAnsi="Georgia" w:cs="Arial"/>
                <w:sz w:val="20"/>
                <w:szCs w:val="20"/>
              </w:rPr>
              <w:t>Pasirašyta sutarčių (vnt.)</w:t>
            </w:r>
          </w:p>
        </w:tc>
        <w:tc>
          <w:tcPr>
            <w:cnfStyle w:val="000010000000" w:firstRow="0" w:lastRow="0" w:firstColumn="0" w:lastColumn="0" w:oddVBand="1" w:evenVBand="0" w:oddHBand="0" w:evenHBand="0" w:firstRowFirstColumn="0" w:firstRowLastColumn="0" w:lastRowFirstColumn="0" w:lastRowLastColumn="0"/>
            <w:tcW w:w="461" w:type="pct"/>
            <w:tcBorders>
              <w:top w:val="nil"/>
              <w:bottom w:val="nil"/>
            </w:tcBorders>
            <w:hideMark/>
          </w:tcPr>
          <w:p w14:paraId="40C9BB81" w14:textId="77777777" w:rsidR="00583EB1" w:rsidRDefault="00583EB1" w:rsidP="00583EB1">
            <w:pPr>
              <w:jc w:val="center"/>
              <w:rPr>
                <w:rFonts w:ascii="Georgia" w:hAnsi="Georgia" w:cs="Arial"/>
                <w:sz w:val="20"/>
                <w:szCs w:val="20"/>
              </w:rPr>
            </w:pPr>
            <w:r>
              <w:rPr>
                <w:rFonts w:ascii="Georgia" w:hAnsi="Georgia" w:cs="Arial"/>
                <w:sz w:val="20"/>
                <w:szCs w:val="20"/>
              </w:rPr>
              <w:t>n/d</w:t>
            </w:r>
          </w:p>
        </w:tc>
        <w:tc>
          <w:tcPr>
            <w:tcW w:w="558" w:type="pct"/>
            <w:tcBorders>
              <w:top w:val="nil"/>
              <w:left w:val="nil"/>
              <w:bottom w:val="nil"/>
              <w:right w:val="nil"/>
            </w:tcBorders>
            <w:hideMark/>
          </w:tcPr>
          <w:p w14:paraId="162B23B3"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400</w:t>
            </w:r>
          </w:p>
        </w:tc>
        <w:tc>
          <w:tcPr>
            <w:cnfStyle w:val="000010000000" w:firstRow="0" w:lastRow="0" w:firstColumn="0" w:lastColumn="0" w:oddVBand="1" w:evenVBand="0" w:oddHBand="0" w:evenHBand="0" w:firstRowFirstColumn="0" w:firstRowLastColumn="0" w:lastRowFirstColumn="0" w:lastRowLastColumn="0"/>
            <w:tcW w:w="557" w:type="pct"/>
            <w:tcBorders>
              <w:top w:val="nil"/>
              <w:bottom w:val="nil"/>
            </w:tcBorders>
            <w:hideMark/>
          </w:tcPr>
          <w:p w14:paraId="100549B8" w14:textId="77777777" w:rsidR="00583EB1" w:rsidRDefault="00583EB1" w:rsidP="00583EB1">
            <w:pPr>
              <w:jc w:val="center"/>
              <w:rPr>
                <w:rFonts w:ascii="Georgia" w:hAnsi="Georgia" w:cs="Arial"/>
                <w:sz w:val="20"/>
                <w:szCs w:val="20"/>
              </w:rPr>
            </w:pPr>
            <w:r>
              <w:rPr>
                <w:rFonts w:ascii="Georgia" w:hAnsi="Georgia" w:cs="Arial"/>
                <w:sz w:val="20"/>
                <w:szCs w:val="20"/>
              </w:rPr>
              <w:t>433</w:t>
            </w:r>
          </w:p>
        </w:tc>
        <w:tc>
          <w:tcPr>
            <w:tcW w:w="564" w:type="pct"/>
            <w:tcBorders>
              <w:top w:val="nil"/>
              <w:left w:val="nil"/>
              <w:bottom w:val="nil"/>
              <w:right w:val="nil"/>
            </w:tcBorders>
            <w:hideMark/>
          </w:tcPr>
          <w:p w14:paraId="35E9DA75"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453</w:t>
            </w:r>
          </w:p>
        </w:tc>
        <w:tc>
          <w:tcPr>
            <w:cnfStyle w:val="000010000000" w:firstRow="0" w:lastRow="0" w:firstColumn="0" w:lastColumn="0" w:oddVBand="1" w:evenVBand="0" w:oddHBand="0" w:evenHBand="0" w:firstRowFirstColumn="0" w:firstRowLastColumn="0" w:lastRowFirstColumn="0" w:lastRowLastColumn="0"/>
            <w:tcW w:w="561" w:type="pct"/>
            <w:tcBorders>
              <w:top w:val="nil"/>
              <w:bottom w:val="nil"/>
            </w:tcBorders>
            <w:hideMark/>
          </w:tcPr>
          <w:p w14:paraId="676E8056" w14:textId="77777777" w:rsidR="00583EB1" w:rsidRDefault="00583EB1" w:rsidP="00583EB1">
            <w:pPr>
              <w:jc w:val="center"/>
              <w:rPr>
                <w:rFonts w:ascii="Georgia" w:hAnsi="Georgia" w:cs="Arial"/>
                <w:sz w:val="20"/>
                <w:szCs w:val="20"/>
              </w:rPr>
            </w:pPr>
            <w:r>
              <w:rPr>
                <w:rFonts w:ascii="Georgia" w:hAnsi="Georgia" w:cs="Arial"/>
                <w:sz w:val="20"/>
                <w:szCs w:val="20"/>
              </w:rPr>
              <w:t>472</w:t>
            </w:r>
          </w:p>
        </w:tc>
        <w:tc>
          <w:tcPr>
            <w:tcW w:w="562" w:type="pct"/>
            <w:tcBorders>
              <w:top w:val="nil"/>
              <w:left w:val="nil"/>
              <w:bottom w:val="nil"/>
              <w:right w:val="nil"/>
            </w:tcBorders>
            <w:hideMark/>
          </w:tcPr>
          <w:p w14:paraId="153E482C"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414</w:t>
            </w:r>
          </w:p>
        </w:tc>
        <w:tc>
          <w:tcPr>
            <w:cnfStyle w:val="000010000000" w:firstRow="0" w:lastRow="0" w:firstColumn="0" w:lastColumn="0" w:oddVBand="1" w:evenVBand="0" w:oddHBand="0" w:evenHBand="0" w:firstRowFirstColumn="0" w:firstRowLastColumn="0" w:lastRowFirstColumn="0" w:lastRowLastColumn="0"/>
            <w:tcW w:w="590" w:type="pct"/>
            <w:tcBorders>
              <w:top w:val="nil"/>
              <w:bottom w:val="nil"/>
            </w:tcBorders>
            <w:hideMark/>
          </w:tcPr>
          <w:p w14:paraId="11638D2A" w14:textId="77777777" w:rsidR="00583EB1" w:rsidRDefault="00583EB1" w:rsidP="00260838">
            <w:pPr>
              <w:jc w:val="center"/>
              <w:rPr>
                <w:rFonts w:ascii="Georgia" w:hAnsi="Georgia" w:cs="Arial"/>
                <w:sz w:val="20"/>
                <w:szCs w:val="20"/>
              </w:rPr>
            </w:pPr>
            <w:r>
              <w:rPr>
                <w:rFonts w:ascii="Georgia" w:hAnsi="Georgia" w:cs="Arial"/>
                <w:sz w:val="20"/>
                <w:szCs w:val="20"/>
              </w:rPr>
              <w:t>2172</w:t>
            </w:r>
          </w:p>
        </w:tc>
      </w:tr>
      <w:tr w:rsidR="00260838" w14:paraId="6D9C96B9" w14:textId="77777777" w:rsidTr="00093B65">
        <w:tc>
          <w:tcPr>
            <w:cnfStyle w:val="001000000000" w:firstRow="0" w:lastRow="0" w:firstColumn="1" w:lastColumn="0" w:oddVBand="0" w:evenVBand="0" w:oddHBand="0" w:evenHBand="0" w:firstRowFirstColumn="0" w:firstRowLastColumn="0" w:lastRowFirstColumn="0" w:lastRowLastColumn="0"/>
            <w:tcW w:w="1148" w:type="pct"/>
            <w:tcBorders>
              <w:right w:val="nil"/>
            </w:tcBorders>
            <w:hideMark/>
          </w:tcPr>
          <w:p w14:paraId="1C8A3306" w14:textId="77777777" w:rsidR="00583EB1" w:rsidRPr="00736CD2" w:rsidRDefault="00583EB1" w:rsidP="00583EB1">
            <w:pPr>
              <w:rPr>
                <w:rFonts w:ascii="Georgia" w:hAnsi="Georgia" w:cs="Arial"/>
                <w:b w:val="0"/>
                <w:bCs w:val="0"/>
                <w:sz w:val="20"/>
                <w:szCs w:val="20"/>
              </w:rPr>
            </w:pPr>
            <w:r w:rsidRPr="00736CD2">
              <w:rPr>
                <w:rFonts w:ascii="Georgia" w:hAnsi="Georgia" w:cs="Arial"/>
                <w:sz w:val="20"/>
                <w:szCs w:val="20"/>
              </w:rPr>
              <w:t>Pasirašyta sutarčių (mln. €)</w:t>
            </w:r>
          </w:p>
        </w:tc>
        <w:tc>
          <w:tcPr>
            <w:cnfStyle w:val="000010000000" w:firstRow="0" w:lastRow="0" w:firstColumn="0" w:lastColumn="0" w:oddVBand="1" w:evenVBand="0" w:oddHBand="0" w:evenHBand="0" w:firstRowFirstColumn="0" w:firstRowLastColumn="0" w:lastRowFirstColumn="0" w:lastRowLastColumn="0"/>
            <w:tcW w:w="461" w:type="pct"/>
            <w:hideMark/>
          </w:tcPr>
          <w:p w14:paraId="7CD42273" w14:textId="77777777" w:rsidR="00583EB1" w:rsidRDefault="00583EB1" w:rsidP="00260838">
            <w:pPr>
              <w:jc w:val="center"/>
              <w:rPr>
                <w:rFonts w:ascii="Georgia" w:hAnsi="Georgia" w:cs="Arial"/>
                <w:sz w:val="20"/>
                <w:szCs w:val="20"/>
              </w:rPr>
            </w:pPr>
            <w:r>
              <w:rPr>
                <w:rFonts w:ascii="Georgia" w:hAnsi="Georgia" w:cs="Arial"/>
                <w:sz w:val="20"/>
                <w:szCs w:val="20"/>
              </w:rPr>
              <w:t>71</w:t>
            </w:r>
            <w:r w:rsidR="00260838">
              <w:rPr>
                <w:rFonts w:ascii="Georgia" w:hAnsi="Georgia" w:cs="Arial"/>
                <w:sz w:val="20"/>
                <w:szCs w:val="20"/>
              </w:rPr>
              <w:t xml:space="preserve"> </w:t>
            </w:r>
            <w:r>
              <w:rPr>
                <w:rFonts w:ascii="Georgia" w:hAnsi="Georgia" w:cs="Arial"/>
                <w:sz w:val="20"/>
                <w:szCs w:val="20"/>
              </w:rPr>
              <w:t>736</w:t>
            </w:r>
          </w:p>
        </w:tc>
        <w:tc>
          <w:tcPr>
            <w:tcW w:w="558" w:type="pct"/>
            <w:tcBorders>
              <w:left w:val="nil"/>
              <w:right w:val="nil"/>
            </w:tcBorders>
            <w:hideMark/>
          </w:tcPr>
          <w:p w14:paraId="713A9B99" w14:textId="77777777" w:rsidR="00583EB1" w:rsidRDefault="00583EB1" w:rsidP="00260838">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52</w:t>
            </w:r>
            <w:r w:rsidR="00260838">
              <w:rPr>
                <w:rFonts w:ascii="Georgia" w:hAnsi="Georgia" w:cs="Arial"/>
                <w:sz w:val="20"/>
                <w:szCs w:val="20"/>
              </w:rPr>
              <w:t xml:space="preserve"> </w:t>
            </w:r>
            <w:r>
              <w:rPr>
                <w:rFonts w:ascii="Georgia" w:hAnsi="Georgia" w:cs="Arial"/>
                <w:sz w:val="20"/>
                <w:szCs w:val="20"/>
              </w:rPr>
              <w:t>159</w:t>
            </w:r>
          </w:p>
        </w:tc>
        <w:tc>
          <w:tcPr>
            <w:cnfStyle w:val="000010000000" w:firstRow="0" w:lastRow="0" w:firstColumn="0" w:lastColumn="0" w:oddVBand="1" w:evenVBand="0" w:oddHBand="0" w:evenHBand="0" w:firstRowFirstColumn="0" w:firstRowLastColumn="0" w:lastRowFirstColumn="0" w:lastRowLastColumn="0"/>
            <w:tcW w:w="557" w:type="pct"/>
            <w:hideMark/>
          </w:tcPr>
          <w:p w14:paraId="7070264E" w14:textId="77777777" w:rsidR="00583EB1" w:rsidRDefault="00583EB1" w:rsidP="00260838">
            <w:pPr>
              <w:jc w:val="center"/>
              <w:rPr>
                <w:rFonts w:ascii="Georgia" w:hAnsi="Georgia" w:cs="Arial"/>
                <w:sz w:val="20"/>
                <w:szCs w:val="20"/>
              </w:rPr>
            </w:pPr>
            <w:r>
              <w:rPr>
                <w:rFonts w:ascii="Georgia" w:hAnsi="Georgia" w:cs="Arial"/>
                <w:sz w:val="20"/>
                <w:szCs w:val="20"/>
              </w:rPr>
              <w:t>60</w:t>
            </w:r>
            <w:r w:rsidR="00260838">
              <w:rPr>
                <w:rFonts w:ascii="Georgia" w:hAnsi="Georgia" w:cs="Arial"/>
                <w:sz w:val="20"/>
                <w:szCs w:val="20"/>
              </w:rPr>
              <w:t xml:space="preserve"> </w:t>
            </w:r>
            <w:r>
              <w:rPr>
                <w:rFonts w:ascii="Georgia" w:hAnsi="Georgia" w:cs="Arial"/>
                <w:sz w:val="20"/>
                <w:szCs w:val="20"/>
              </w:rPr>
              <w:t>880</w:t>
            </w:r>
          </w:p>
        </w:tc>
        <w:tc>
          <w:tcPr>
            <w:tcW w:w="564" w:type="pct"/>
            <w:tcBorders>
              <w:left w:val="nil"/>
              <w:right w:val="nil"/>
            </w:tcBorders>
            <w:hideMark/>
          </w:tcPr>
          <w:p w14:paraId="197A6391" w14:textId="77777777" w:rsidR="00583EB1" w:rsidRDefault="00583EB1" w:rsidP="00260838">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71</w:t>
            </w:r>
            <w:r w:rsidR="00260838">
              <w:rPr>
                <w:rFonts w:ascii="Georgia" w:hAnsi="Georgia" w:cs="Arial"/>
                <w:sz w:val="20"/>
                <w:szCs w:val="20"/>
              </w:rPr>
              <w:t xml:space="preserve"> </w:t>
            </w:r>
            <w:r>
              <w:rPr>
                <w:rFonts w:ascii="Georgia" w:hAnsi="Georgia" w:cs="Arial"/>
                <w:sz w:val="20"/>
                <w:szCs w:val="20"/>
              </w:rPr>
              <w:t>760</w:t>
            </w:r>
          </w:p>
        </w:tc>
        <w:tc>
          <w:tcPr>
            <w:cnfStyle w:val="000010000000" w:firstRow="0" w:lastRow="0" w:firstColumn="0" w:lastColumn="0" w:oddVBand="1" w:evenVBand="0" w:oddHBand="0" w:evenHBand="0" w:firstRowFirstColumn="0" w:firstRowLastColumn="0" w:lastRowFirstColumn="0" w:lastRowLastColumn="0"/>
            <w:tcW w:w="561" w:type="pct"/>
            <w:hideMark/>
          </w:tcPr>
          <w:p w14:paraId="074A7471" w14:textId="77777777" w:rsidR="00583EB1" w:rsidRDefault="00583EB1" w:rsidP="00260838">
            <w:pPr>
              <w:jc w:val="center"/>
              <w:rPr>
                <w:rFonts w:ascii="Georgia" w:hAnsi="Georgia" w:cs="Arial"/>
                <w:sz w:val="20"/>
                <w:szCs w:val="20"/>
              </w:rPr>
            </w:pPr>
            <w:r>
              <w:rPr>
                <w:rFonts w:ascii="Georgia" w:hAnsi="Georgia" w:cs="Arial"/>
                <w:sz w:val="20"/>
                <w:szCs w:val="20"/>
              </w:rPr>
              <w:t>79</w:t>
            </w:r>
            <w:r w:rsidR="00260838">
              <w:rPr>
                <w:rFonts w:ascii="Georgia" w:hAnsi="Georgia" w:cs="Arial"/>
                <w:sz w:val="20"/>
                <w:szCs w:val="20"/>
              </w:rPr>
              <w:t xml:space="preserve"> </w:t>
            </w:r>
            <w:r>
              <w:rPr>
                <w:rFonts w:ascii="Georgia" w:hAnsi="Georgia" w:cs="Arial"/>
                <w:sz w:val="20"/>
                <w:szCs w:val="20"/>
              </w:rPr>
              <w:t>102</w:t>
            </w:r>
          </w:p>
        </w:tc>
        <w:tc>
          <w:tcPr>
            <w:tcW w:w="562" w:type="pct"/>
            <w:tcBorders>
              <w:left w:val="nil"/>
              <w:right w:val="nil"/>
            </w:tcBorders>
            <w:hideMark/>
          </w:tcPr>
          <w:p w14:paraId="4E61C075" w14:textId="77777777" w:rsidR="00583EB1" w:rsidRDefault="00583EB1" w:rsidP="00260838">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57</w:t>
            </w:r>
            <w:r w:rsidR="00260838">
              <w:rPr>
                <w:rFonts w:ascii="Georgia" w:hAnsi="Georgia" w:cs="Arial"/>
                <w:sz w:val="20"/>
                <w:szCs w:val="20"/>
              </w:rPr>
              <w:t xml:space="preserve"> </w:t>
            </w:r>
            <w:r>
              <w:rPr>
                <w:rFonts w:ascii="Georgia" w:hAnsi="Georgia" w:cs="Arial"/>
                <w:sz w:val="20"/>
                <w:szCs w:val="20"/>
              </w:rPr>
              <w:t>625</w:t>
            </w:r>
          </w:p>
        </w:tc>
        <w:tc>
          <w:tcPr>
            <w:cnfStyle w:val="000010000000" w:firstRow="0" w:lastRow="0" w:firstColumn="0" w:lastColumn="0" w:oddVBand="1" w:evenVBand="0" w:oddHBand="0" w:evenHBand="0" w:firstRowFirstColumn="0" w:firstRowLastColumn="0" w:lastRowFirstColumn="0" w:lastRowLastColumn="0"/>
            <w:tcW w:w="590" w:type="pct"/>
            <w:hideMark/>
          </w:tcPr>
          <w:p w14:paraId="17212531" w14:textId="77777777" w:rsidR="00583EB1" w:rsidRDefault="00583EB1" w:rsidP="00260838">
            <w:pPr>
              <w:jc w:val="center"/>
              <w:rPr>
                <w:rFonts w:ascii="Georgia" w:hAnsi="Georgia" w:cs="Arial"/>
                <w:sz w:val="20"/>
                <w:szCs w:val="20"/>
              </w:rPr>
            </w:pPr>
            <w:r>
              <w:rPr>
                <w:rFonts w:ascii="Georgia" w:hAnsi="Georgia" w:cs="Arial"/>
                <w:sz w:val="20"/>
                <w:szCs w:val="20"/>
              </w:rPr>
              <w:t>393</w:t>
            </w:r>
            <w:r w:rsidR="00260838">
              <w:rPr>
                <w:rFonts w:ascii="Georgia" w:hAnsi="Georgia" w:cs="Arial"/>
                <w:sz w:val="20"/>
                <w:szCs w:val="20"/>
              </w:rPr>
              <w:t xml:space="preserve"> </w:t>
            </w:r>
            <w:r>
              <w:rPr>
                <w:rFonts w:ascii="Georgia" w:hAnsi="Georgia" w:cs="Arial"/>
                <w:sz w:val="20"/>
                <w:szCs w:val="20"/>
              </w:rPr>
              <w:t>262</w:t>
            </w:r>
          </w:p>
        </w:tc>
      </w:tr>
      <w:tr w:rsidR="00260838" w14:paraId="0D1F29CC" w14:textId="77777777" w:rsidTr="00093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pct"/>
            <w:tcBorders>
              <w:top w:val="nil"/>
              <w:bottom w:val="nil"/>
              <w:right w:val="nil"/>
            </w:tcBorders>
            <w:hideMark/>
          </w:tcPr>
          <w:p w14:paraId="2B4F33D0" w14:textId="77777777" w:rsidR="00583EB1" w:rsidRPr="00736CD2" w:rsidRDefault="00583EB1" w:rsidP="00583EB1">
            <w:pPr>
              <w:rPr>
                <w:rFonts w:ascii="Georgia" w:hAnsi="Georgia" w:cs="Arial"/>
                <w:b w:val="0"/>
                <w:bCs w:val="0"/>
                <w:sz w:val="20"/>
                <w:szCs w:val="20"/>
              </w:rPr>
            </w:pPr>
            <w:r w:rsidRPr="00736CD2">
              <w:rPr>
                <w:rFonts w:ascii="Georgia" w:hAnsi="Georgia" w:cs="Arial"/>
                <w:sz w:val="20"/>
                <w:szCs w:val="20"/>
              </w:rPr>
              <w:t>Išmokėta lėšų (mln. €)</w:t>
            </w:r>
          </w:p>
        </w:tc>
        <w:tc>
          <w:tcPr>
            <w:cnfStyle w:val="000010000000" w:firstRow="0" w:lastRow="0" w:firstColumn="0" w:lastColumn="0" w:oddVBand="1" w:evenVBand="0" w:oddHBand="0" w:evenHBand="0" w:firstRowFirstColumn="0" w:firstRowLastColumn="0" w:lastRowFirstColumn="0" w:lastRowLastColumn="0"/>
            <w:tcW w:w="461" w:type="pct"/>
            <w:tcBorders>
              <w:top w:val="nil"/>
              <w:bottom w:val="nil"/>
            </w:tcBorders>
            <w:hideMark/>
          </w:tcPr>
          <w:p w14:paraId="18838F1A" w14:textId="77777777" w:rsidR="00583EB1" w:rsidRDefault="00583EB1" w:rsidP="00260838">
            <w:pPr>
              <w:jc w:val="center"/>
              <w:rPr>
                <w:rFonts w:ascii="Georgia" w:hAnsi="Georgia" w:cs="Arial"/>
                <w:sz w:val="20"/>
                <w:szCs w:val="20"/>
              </w:rPr>
            </w:pPr>
            <w:r>
              <w:rPr>
                <w:rFonts w:ascii="Georgia" w:hAnsi="Georgia" w:cs="Arial"/>
                <w:sz w:val="20"/>
                <w:szCs w:val="20"/>
              </w:rPr>
              <w:t>54</w:t>
            </w:r>
            <w:r w:rsidR="00260838">
              <w:rPr>
                <w:rFonts w:ascii="Georgia" w:hAnsi="Georgia" w:cs="Arial"/>
                <w:sz w:val="20"/>
                <w:szCs w:val="20"/>
              </w:rPr>
              <w:t xml:space="preserve"> </w:t>
            </w:r>
            <w:r>
              <w:rPr>
                <w:rFonts w:ascii="Georgia" w:hAnsi="Georgia" w:cs="Arial"/>
                <w:sz w:val="20"/>
                <w:szCs w:val="20"/>
              </w:rPr>
              <w:t>001</w:t>
            </w:r>
          </w:p>
        </w:tc>
        <w:tc>
          <w:tcPr>
            <w:tcW w:w="558" w:type="pct"/>
            <w:tcBorders>
              <w:top w:val="nil"/>
              <w:left w:val="nil"/>
              <w:bottom w:val="nil"/>
              <w:right w:val="nil"/>
            </w:tcBorders>
            <w:hideMark/>
          </w:tcPr>
          <w:p w14:paraId="0A159870" w14:textId="77777777" w:rsidR="00583EB1" w:rsidRDefault="00583EB1" w:rsidP="00260838">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51</w:t>
            </w:r>
            <w:r w:rsidR="00260838">
              <w:rPr>
                <w:rFonts w:ascii="Georgia" w:hAnsi="Georgia" w:cs="Arial"/>
                <w:sz w:val="20"/>
                <w:szCs w:val="20"/>
              </w:rPr>
              <w:t xml:space="preserve"> </w:t>
            </w:r>
            <w:r>
              <w:rPr>
                <w:rFonts w:ascii="Georgia" w:hAnsi="Georgia" w:cs="Arial"/>
                <w:sz w:val="20"/>
                <w:szCs w:val="20"/>
              </w:rPr>
              <w:t>055</w:t>
            </w:r>
          </w:p>
        </w:tc>
        <w:tc>
          <w:tcPr>
            <w:cnfStyle w:val="000010000000" w:firstRow="0" w:lastRow="0" w:firstColumn="0" w:lastColumn="0" w:oddVBand="1" w:evenVBand="0" w:oddHBand="0" w:evenHBand="0" w:firstRowFirstColumn="0" w:firstRowLastColumn="0" w:lastRowFirstColumn="0" w:lastRowLastColumn="0"/>
            <w:tcW w:w="557" w:type="pct"/>
            <w:tcBorders>
              <w:top w:val="nil"/>
              <w:bottom w:val="nil"/>
            </w:tcBorders>
            <w:hideMark/>
          </w:tcPr>
          <w:p w14:paraId="7985B8CE" w14:textId="77777777" w:rsidR="00583EB1" w:rsidRDefault="00583EB1" w:rsidP="00260838">
            <w:pPr>
              <w:jc w:val="center"/>
              <w:rPr>
                <w:rFonts w:ascii="Georgia" w:hAnsi="Georgia" w:cs="Arial"/>
                <w:sz w:val="20"/>
                <w:szCs w:val="20"/>
              </w:rPr>
            </w:pPr>
            <w:r>
              <w:rPr>
                <w:rFonts w:ascii="Georgia" w:hAnsi="Georgia" w:cs="Arial"/>
                <w:sz w:val="20"/>
                <w:szCs w:val="20"/>
              </w:rPr>
              <w:t>59</w:t>
            </w:r>
            <w:r w:rsidR="00260838">
              <w:rPr>
                <w:rFonts w:ascii="Georgia" w:hAnsi="Georgia" w:cs="Arial"/>
                <w:sz w:val="20"/>
                <w:szCs w:val="20"/>
              </w:rPr>
              <w:t xml:space="preserve"> </w:t>
            </w:r>
            <w:r>
              <w:rPr>
                <w:rFonts w:ascii="Georgia" w:hAnsi="Georgia" w:cs="Arial"/>
                <w:sz w:val="20"/>
                <w:szCs w:val="20"/>
              </w:rPr>
              <w:t>881</w:t>
            </w:r>
          </w:p>
        </w:tc>
        <w:tc>
          <w:tcPr>
            <w:tcW w:w="564" w:type="pct"/>
            <w:tcBorders>
              <w:top w:val="nil"/>
              <w:left w:val="nil"/>
              <w:bottom w:val="nil"/>
              <w:right w:val="nil"/>
            </w:tcBorders>
            <w:hideMark/>
          </w:tcPr>
          <w:p w14:paraId="1A0FB8EA" w14:textId="77777777" w:rsidR="00583EB1" w:rsidRDefault="00583EB1" w:rsidP="00260838">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58</w:t>
            </w:r>
            <w:r w:rsidR="00260838">
              <w:rPr>
                <w:rFonts w:ascii="Georgia" w:hAnsi="Georgia" w:cs="Arial"/>
                <w:sz w:val="20"/>
                <w:szCs w:val="20"/>
              </w:rPr>
              <w:t xml:space="preserve"> </w:t>
            </w:r>
            <w:r>
              <w:rPr>
                <w:rFonts w:ascii="Georgia" w:hAnsi="Georgia" w:cs="Arial"/>
                <w:sz w:val="20"/>
                <w:szCs w:val="20"/>
              </w:rPr>
              <w:t>745</w:t>
            </w:r>
          </w:p>
        </w:tc>
        <w:tc>
          <w:tcPr>
            <w:cnfStyle w:val="000010000000" w:firstRow="0" w:lastRow="0" w:firstColumn="0" w:lastColumn="0" w:oddVBand="1" w:evenVBand="0" w:oddHBand="0" w:evenHBand="0" w:firstRowFirstColumn="0" w:firstRowLastColumn="0" w:lastRowFirstColumn="0" w:lastRowLastColumn="0"/>
            <w:tcW w:w="561" w:type="pct"/>
            <w:tcBorders>
              <w:top w:val="nil"/>
              <w:bottom w:val="nil"/>
            </w:tcBorders>
            <w:hideMark/>
          </w:tcPr>
          <w:p w14:paraId="6835A912" w14:textId="77777777" w:rsidR="00583EB1" w:rsidRDefault="00583EB1" w:rsidP="00260838">
            <w:pPr>
              <w:jc w:val="center"/>
              <w:rPr>
                <w:rFonts w:ascii="Georgia" w:hAnsi="Georgia" w:cs="Arial"/>
                <w:sz w:val="20"/>
                <w:szCs w:val="20"/>
              </w:rPr>
            </w:pPr>
            <w:r>
              <w:rPr>
                <w:rFonts w:ascii="Georgia" w:hAnsi="Georgia" w:cs="Arial"/>
                <w:sz w:val="20"/>
                <w:szCs w:val="20"/>
              </w:rPr>
              <w:t>54</w:t>
            </w:r>
            <w:r w:rsidR="00260838">
              <w:rPr>
                <w:rFonts w:ascii="Georgia" w:hAnsi="Georgia" w:cs="Arial"/>
                <w:sz w:val="20"/>
                <w:szCs w:val="20"/>
              </w:rPr>
              <w:t xml:space="preserve"> </w:t>
            </w:r>
            <w:r>
              <w:rPr>
                <w:rFonts w:ascii="Georgia" w:hAnsi="Georgia" w:cs="Arial"/>
                <w:sz w:val="20"/>
                <w:szCs w:val="20"/>
              </w:rPr>
              <w:t>022</w:t>
            </w:r>
          </w:p>
        </w:tc>
        <w:tc>
          <w:tcPr>
            <w:tcW w:w="562" w:type="pct"/>
            <w:tcBorders>
              <w:top w:val="nil"/>
              <w:left w:val="nil"/>
              <w:bottom w:val="nil"/>
              <w:right w:val="nil"/>
            </w:tcBorders>
            <w:hideMark/>
          </w:tcPr>
          <w:p w14:paraId="6DA3FCFD" w14:textId="77777777" w:rsidR="00583EB1" w:rsidRDefault="00583EB1" w:rsidP="00260838">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48</w:t>
            </w:r>
            <w:r w:rsidR="00260838">
              <w:rPr>
                <w:rFonts w:ascii="Georgia" w:hAnsi="Georgia" w:cs="Arial"/>
                <w:sz w:val="20"/>
                <w:szCs w:val="20"/>
              </w:rPr>
              <w:t xml:space="preserve"> </w:t>
            </w:r>
            <w:r>
              <w:rPr>
                <w:rFonts w:ascii="Georgia" w:hAnsi="Georgia" w:cs="Arial"/>
                <w:sz w:val="20"/>
                <w:szCs w:val="20"/>
              </w:rPr>
              <w:t>614</w:t>
            </w:r>
          </w:p>
        </w:tc>
        <w:tc>
          <w:tcPr>
            <w:cnfStyle w:val="000010000000" w:firstRow="0" w:lastRow="0" w:firstColumn="0" w:lastColumn="0" w:oddVBand="1" w:evenVBand="0" w:oddHBand="0" w:evenHBand="0" w:firstRowFirstColumn="0" w:firstRowLastColumn="0" w:lastRowFirstColumn="0" w:lastRowLastColumn="0"/>
            <w:tcW w:w="590" w:type="pct"/>
            <w:tcBorders>
              <w:top w:val="nil"/>
              <w:bottom w:val="nil"/>
            </w:tcBorders>
          </w:tcPr>
          <w:p w14:paraId="472D73DD" w14:textId="77777777" w:rsidR="00583EB1" w:rsidRDefault="00583EB1" w:rsidP="00583EB1">
            <w:pPr>
              <w:jc w:val="center"/>
              <w:rPr>
                <w:rFonts w:ascii="Georgia" w:hAnsi="Georgia" w:cs="Arial"/>
                <w:sz w:val="20"/>
                <w:szCs w:val="20"/>
              </w:rPr>
            </w:pPr>
            <w:r>
              <w:rPr>
                <w:rFonts w:ascii="Georgia" w:hAnsi="Georgia" w:cs="Arial"/>
                <w:sz w:val="20"/>
                <w:szCs w:val="20"/>
              </w:rPr>
              <w:t>326</w:t>
            </w:r>
            <w:r w:rsidR="00260838">
              <w:rPr>
                <w:rFonts w:ascii="Georgia" w:hAnsi="Georgia" w:cs="Arial"/>
                <w:sz w:val="20"/>
                <w:szCs w:val="20"/>
              </w:rPr>
              <w:t xml:space="preserve"> </w:t>
            </w:r>
            <w:r>
              <w:rPr>
                <w:rFonts w:ascii="Georgia" w:hAnsi="Georgia" w:cs="Arial"/>
                <w:sz w:val="20"/>
                <w:szCs w:val="20"/>
              </w:rPr>
              <w:t>318</w:t>
            </w:r>
          </w:p>
          <w:p w14:paraId="35C2CC2A" w14:textId="77777777" w:rsidR="00583EB1" w:rsidRDefault="00583EB1" w:rsidP="00583EB1">
            <w:pPr>
              <w:jc w:val="center"/>
              <w:rPr>
                <w:rFonts w:ascii="Georgia" w:hAnsi="Georgia" w:cs="Arial"/>
                <w:sz w:val="20"/>
                <w:szCs w:val="20"/>
              </w:rPr>
            </w:pPr>
          </w:p>
        </w:tc>
      </w:tr>
      <w:tr w:rsidR="00260838" w14:paraId="3AFF0E7D" w14:textId="77777777" w:rsidTr="00093B65">
        <w:tc>
          <w:tcPr>
            <w:cnfStyle w:val="001000000000" w:firstRow="0" w:lastRow="0" w:firstColumn="1" w:lastColumn="0" w:oddVBand="0" w:evenVBand="0" w:oddHBand="0" w:evenHBand="0" w:firstRowFirstColumn="0" w:firstRowLastColumn="0" w:lastRowFirstColumn="0" w:lastRowLastColumn="0"/>
            <w:tcW w:w="1148" w:type="pct"/>
            <w:tcBorders>
              <w:right w:val="nil"/>
            </w:tcBorders>
            <w:hideMark/>
          </w:tcPr>
          <w:p w14:paraId="7F9335F8" w14:textId="77777777" w:rsidR="00583EB1" w:rsidRPr="00736CD2" w:rsidRDefault="00583EB1" w:rsidP="00583EB1">
            <w:pPr>
              <w:rPr>
                <w:rFonts w:ascii="Georgia" w:hAnsi="Georgia" w:cs="Arial"/>
                <w:b w:val="0"/>
                <w:bCs w:val="0"/>
                <w:sz w:val="20"/>
                <w:szCs w:val="20"/>
              </w:rPr>
            </w:pPr>
            <w:r w:rsidRPr="00736CD2">
              <w:rPr>
                <w:rFonts w:ascii="Georgia" w:hAnsi="Georgia" w:cs="Arial"/>
                <w:sz w:val="20"/>
                <w:szCs w:val="20"/>
              </w:rPr>
              <w:t>Pritrauktas finansavimas</w:t>
            </w:r>
            <w:r w:rsidRPr="00736CD2">
              <w:rPr>
                <w:rStyle w:val="Puslapioinaosnuoroda"/>
                <w:rFonts w:ascii="Georgia" w:hAnsi="Georgia" w:cs="Arial"/>
                <w:sz w:val="20"/>
                <w:szCs w:val="20"/>
              </w:rPr>
              <w:footnoteReference w:id="60"/>
            </w:r>
            <w:r w:rsidRPr="00736CD2">
              <w:rPr>
                <w:rFonts w:ascii="Georgia" w:hAnsi="Georgia" w:cs="Arial"/>
                <w:sz w:val="20"/>
                <w:szCs w:val="20"/>
              </w:rPr>
              <w:t xml:space="preserve"> (mln. €)</w:t>
            </w:r>
          </w:p>
        </w:tc>
        <w:tc>
          <w:tcPr>
            <w:cnfStyle w:val="000010000000" w:firstRow="0" w:lastRow="0" w:firstColumn="0" w:lastColumn="0" w:oddVBand="1" w:evenVBand="0" w:oddHBand="0" w:evenHBand="0" w:firstRowFirstColumn="0" w:firstRowLastColumn="0" w:lastRowFirstColumn="0" w:lastRowLastColumn="0"/>
            <w:tcW w:w="461" w:type="pct"/>
            <w:hideMark/>
          </w:tcPr>
          <w:p w14:paraId="4D8A7A82" w14:textId="77777777" w:rsidR="00583EB1" w:rsidRDefault="00583EB1" w:rsidP="00260838">
            <w:pPr>
              <w:jc w:val="center"/>
              <w:rPr>
                <w:rFonts w:ascii="Georgia" w:hAnsi="Georgia" w:cs="Arial"/>
                <w:sz w:val="20"/>
                <w:szCs w:val="20"/>
              </w:rPr>
            </w:pPr>
            <w:r>
              <w:rPr>
                <w:rFonts w:ascii="Georgia" w:hAnsi="Georgia" w:cs="Arial"/>
                <w:sz w:val="20"/>
                <w:szCs w:val="20"/>
              </w:rPr>
              <w:t>72</w:t>
            </w:r>
            <w:r w:rsidR="00260838">
              <w:rPr>
                <w:rFonts w:ascii="Georgia" w:hAnsi="Georgia" w:cs="Arial"/>
                <w:sz w:val="20"/>
                <w:szCs w:val="20"/>
              </w:rPr>
              <w:t xml:space="preserve"> </w:t>
            </w:r>
            <w:r>
              <w:rPr>
                <w:rFonts w:ascii="Georgia" w:hAnsi="Georgia" w:cs="Arial"/>
                <w:sz w:val="20"/>
                <w:szCs w:val="20"/>
              </w:rPr>
              <w:t>134</w:t>
            </w:r>
          </w:p>
        </w:tc>
        <w:tc>
          <w:tcPr>
            <w:tcW w:w="558" w:type="pct"/>
            <w:tcBorders>
              <w:left w:val="nil"/>
              <w:right w:val="nil"/>
            </w:tcBorders>
            <w:hideMark/>
          </w:tcPr>
          <w:p w14:paraId="548A9A2D" w14:textId="77777777" w:rsidR="00583EB1" w:rsidRDefault="00583EB1" w:rsidP="00260838">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71</w:t>
            </w:r>
            <w:r w:rsidR="00260838">
              <w:rPr>
                <w:rFonts w:ascii="Georgia" w:hAnsi="Georgia" w:cs="Arial"/>
                <w:sz w:val="20"/>
                <w:szCs w:val="20"/>
              </w:rPr>
              <w:t xml:space="preserve"> </w:t>
            </w:r>
            <w:r>
              <w:rPr>
                <w:rFonts w:ascii="Georgia" w:hAnsi="Georgia" w:cs="Arial"/>
                <w:sz w:val="20"/>
                <w:szCs w:val="20"/>
              </w:rPr>
              <w:t>309</w:t>
            </w:r>
          </w:p>
        </w:tc>
        <w:tc>
          <w:tcPr>
            <w:cnfStyle w:val="000010000000" w:firstRow="0" w:lastRow="0" w:firstColumn="0" w:lastColumn="0" w:oddVBand="1" w:evenVBand="0" w:oddHBand="0" w:evenHBand="0" w:firstRowFirstColumn="0" w:firstRowLastColumn="0" w:lastRowFirstColumn="0" w:lastRowLastColumn="0"/>
            <w:tcW w:w="557" w:type="pct"/>
            <w:hideMark/>
          </w:tcPr>
          <w:p w14:paraId="64499F17" w14:textId="77777777" w:rsidR="00583EB1" w:rsidRDefault="00583EB1" w:rsidP="00260838">
            <w:pPr>
              <w:jc w:val="center"/>
              <w:rPr>
                <w:rFonts w:ascii="Georgia" w:hAnsi="Georgia" w:cs="Arial"/>
                <w:sz w:val="20"/>
                <w:szCs w:val="20"/>
              </w:rPr>
            </w:pPr>
            <w:r>
              <w:rPr>
                <w:rFonts w:ascii="Georgia" w:hAnsi="Georgia" w:cs="Arial"/>
                <w:sz w:val="20"/>
                <w:szCs w:val="20"/>
              </w:rPr>
              <w:t>76</w:t>
            </w:r>
            <w:r w:rsidR="00260838">
              <w:rPr>
                <w:rFonts w:ascii="Georgia" w:hAnsi="Georgia" w:cs="Arial"/>
                <w:sz w:val="20"/>
                <w:szCs w:val="20"/>
              </w:rPr>
              <w:t xml:space="preserve"> </w:t>
            </w:r>
            <w:r>
              <w:rPr>
                <w:rFonts w:ascii="Georgia" w:hAnsi="Georgia" w:cs="Arial"/>
                <w:sz w:val="20"/>
                <w:szCs w:val="20"/>
              </w:rPr>
              <w:t>021</w:t>
            </w:r>
          </w:p>
        </w:tc>
        <w:tc>
          <w:tcPr>
            <w:tcW w:w="564" w:type="pct"/>
            <w:tcBorders>
              <w:left w:val="nil"/>
              <w:right w:val="nil"/>
            </w:tcBorders>
            <w:hideMark/>
          </w:tcPr>
          <w:p w14:paraId="77692106" w14:textId="77777777" w:rsidR="00583EB1" w:rsidRDefault="00583EB1" w:rsidP="00260838">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67</w:t>
            </w:r>
            <w:r w:rsidR="00260838">
              <w:rPr>
                <w:rFonts w:ascii="Georgia" w:hAnsi="Georgia" w:cs="Arial"/>
                <w:sz w:val="20"/>
                <w:szCs w:val="20"/>
              </w:rPr>
              <w:t xml:space="preserve"> </w:t>
            </w:r>
            <w:r>
              <w:rPr>
                <w:rFonts w:ascii="Georgia" w:hAnsi="Georgia" w:cs="Arial"/>
                <w:sz w:val="20"/>
                <w:szCs w:val="20"/>
              </w:rPr>
              <w:t>024</w:t>
            </w:r>
          </w:p>
        </w:tc>
        <w:tc>
          <w:tcPr>
            <w:cnfStyle w:val="000010000000" w:firstRow="0" w:lastRow="0" w:firstColumn="0" w:lastColumn="0" w:oddVBand="1" w:evenVBand="0" w:oddHBand="0" w:evenHBand="0" w:firstRowFirstColumn="0" w:firstRowLastColumn="0" w:lastRowFirstColumn="0" w:lastRowLastColumn="0"/>
            <w:tcW w:w="561" w:type="pct"/>
            <w:hideMark/>
          </w:tcPr>
          <w:p w14:paraId="1724E40F" w14:textId="77777777" w:rsidR="00583EB1" w:rsidRDefault="00583EB1" w:rsidP="00260838">
            <w:pPr>
              <w:jc w:val="center"/>
              <w:rPr>
                <w:rFonts w:ascii="Georgia" w:hAnsi="Georgia" w:cs="Arial"/>
                <w:sz w:val="20"/>
                <w:szCs w:val="20"/>
              </w:rPr>
            </w:pPr>
            <w:r>
              <w:rPr>
                <w:rFonts w:ascii="Georgia" w:hAnsi="Georgia" w:cs="Arial"/>
                <w:sz w:val="20"/>
                <w:szCs w:val="20"/>
              </w:rPr>
              <w:t>79</w:t>
            </w:r>
            <w:r w:rsidR="00260838">
              <w:rPr>
                <w:rFonts w:ascii="Georgia" w:hAnsi="Georgia" w:cs="Arial"/>
                <w:sz w:val="20"/>
                <w:szCs w:val="20"/>
              </w:rPr>
              <w:t xml:space="preserve"> </w:t>
            </w:r>
            <w:r>
              <w:rPr>
                <w:rFonts w:ascii="Georgia" w:hAnsi="Georgia" w:cs="Arial"/>
                <w:sz w:val="20"/>
                <w:szCs w:val="20"/>
              </w:rPr>
              <w:t>386</w:t>
            </w:r>
          </w:p>
        </w:tc>
        <w:tc>
          <w:tcPr>
            <w:tcW w:w="562" w:type="pct"/>
            <w:tcBorders>
              <w:left w:val="nil"/>
              <w:right w:val="nil"/>
            </w:tcBorders>
            <w:hideMark/>
          </w:tcPr>
          <w:p w14:paraId="7D4DD71B" w14:textId="77777777" w:rsidR="00583EB1" w:rsidRDefault="00583EB1" w:rsidP="00260838">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59</w:t>
            </w:r>
            <w:r w:rsidR="00260838">
              <w:rPr>
                <w:rFonts w:ascii="Georgia" w:hAnsi="Georgia" w:cs="Arial"/>
                <w:sz w:val="20"/>
                <w:szCs w:val="20"/>
              </w:rPr>
              <w:t xml:space="preserve"> </w:t>
            </w:r>
            <w:r>
              <w:rPr>
                <w:rFonts w:ascii="Georgia" w:hAnsi="Georgia" w:cs="Arial"/>
                <w:sz w:val="20"/>
                <w:szCs w:val="20"/>
              </w:rPr>
              <w:t>497</w:t>
            </w:r>
          </w:p>
        </w:tc>
        <w:tc>
          <w:tcPr>
            <w:cnfStyle w:val="000010000000" w:firstRow="0" w:lastRow="0" w:firstColumn="0" w:lastColumn="0" w:oddVBand="1" w:evenVBand="0" w:oddHBand="0" w:evenHBand="0" w:firstRowFirstColumn="0" w:firstRowLastColumn="0" w:lastRowFirstColumn="0" w:lastRowLastColumn="0"/>
            <w:tcW w:w="590" w:type="pct"/>
            <w:hideMark/>
          </w:tcPr>
          <w:p w14:paraId="2E4227D6" w14:textId="77777777" w:rsidR="00583EB1" w:rsidRDefault="00583EB1" w:rsidP="00260838">
            <w:pPr>
              <w:jc w:val="center"/>
              <w:rPr>
                <w:rFonts w:ascii="Georgia" w:hAnsi="Georgia" w:cs="Arial"/>
                <w:sz w:val="20"/>
                <w:szCs w:val="20"/>
              </w:rPr>
            </w:pPr>
            <w:r>
              <w:rPr>
                <w:rFonts w:ascii="Georgia" w:hAnsi="Georgia" w:cs="Arial"/>
                <w:sz w:val="20"/>
                <w:szCs w:val="20"/>
              </w:rPr>
              <w:t>425</w:t>
            </w:r>
            <w:r w:rsidR="00260838">
              <w:rPr>
                <w:rFonts w:ascii="Georgia" w:hAnsi="Georgia" w:cs="Arial"/>
                <w:sz w:val="20"/>
                <w:szCs w:val="20"/>
              </w:rPr>
              <w:t xml:space="preserve"> </w:t>
            </w:r>
            <w:r>
              <w:rPr>
                <w:rFonts w:ascii="Georgia" w:hAnsi="Georgia" w:cs="Arial"/>
                <w:sz w:val="20"/>
                <w:szCs w:val="20"/>
              </w:rPr>
              <w:t>371</w:t>
            </w:r>
          </w:p>
        </w:tc>
      </w:tr>
      <w:tr w:rsidR="00260838" w14:paraId="49AF3B3C" w14:textId="77777777" w:rsidTr="00093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pct"/>
            <w:tcBorders>
              <w:top w:val="nil"/>
              <w:bottom w:val="nil"/>
              <w:right w:val="nil"/>
            </w:tcBorders>
            <w:hideMark/>
          </w:tcPr>
          <w:p w14:paraId="65DBB1C4" w14:textId="77777777" w:rsidR="00583EB1" w:rsidRPr="00736CD2" w:rsidRDefault="00583EB1" w:rsidP="00583EB1">
            <w:pPr>
              <w:rPr>
                <w:rFonts w:ascii="Georgia" w:hAnsi="Georgia" w:cs="Arial"/>
                <w:b w:val="0"/>
                <w:bCs w:val="0"/>
                <w:sz w:val="20"/>
                <w:szCs w:val="20"/>
                <w:highlight w:val="yellow"/>
              </w:rPr>
            </w:pPr>
            <w:r w:rsidRPr="00736CD2">
              <w:rPr>
                <w:rFonts w:ascii="Georgia" w:hAnsi="Georgia" w:cs="Arial"/>
                <w:sz w:val="20"/>
                <w:szCs w:val="20"/>
              </w:rPr>
              <w:t>Turimų paskolų portfelis (mln. €)</w:t>
            </w:r>
          </w:p>
        </w:tc>
        <w:tc>
          <w:tcPr>
            <w:cnfStyle w:val="000010000000" w:firstRow="0" w:lastRow="0" w:firstColumn="0" w:lastColumn="0" w:oddVBand="1" w:evenVBand="0" w:oddHBand="0" w:evenHBand="0" w:firstRowFirstColumn="0" w:firstRowLastColumn="0" w:lastRowFirstColumn="0" w:lastRowLastColumn="0"/>
            <w:tcW w:w="461" w:type="pct"/>
            <w:tcBorders>
              <w:top w:val="nil"/>
              <w:bottom w:val="nil"/>
            </w:tcBorders>
            <w:hideMark/>
          </w:tcPr>
          <w:p w14:paraId="383F9CAC" w14:textId="77777777" w:rsidR="00583EB1" w:rsidRDefault="00583EB1" w:rsidP="00260838">
            <w:pPr>
              <w:jc w:val="center"/>
              <w:rPr>
                <w:rFonts w:ascii="Georgia" w:hAnsi="Georgia" w:cs="Arial"/>
                <w:sz w:val="20"/>
                <w:szCs w:val="20"/>
              </w:rPr>
            </w:pPr>
            <w:r>
              <w:rPr>
                <w:rFonts w:ascii="Georgia" w:hAnsi="Georgia" w:cs="Arial"/>
                <w:sz w:val="20"/>
                <w:szCs w:val="20"/>
              </w:rPr>
              <w:t>428</w:t>
            </w:r>
            <w:r w:rsidR="00260838">
              <w:rPr>
                <w:rFonts w:ascii="Georgia" w:hAnsi="Georgia" w:cs="Arial"/>
                <w:sz w:val="20"/>
                <w:szCs w:val="20"/>
              </w:rPr>
              <w:t xml:space="preserve"> </w:t>
            </w:r>
            <w:r>
              <w:rPr>
                <w:rFonts w:ascii="Georgia" w:hAnsi="Georgia" w:cs="Arial"/>
                <w:sz w:val="20"/>
                <w:szCs w:val="20"/>
              </w:rPr>
              <w:t>138</w:t>
            </w:r>
          </w:p>
        </w:tc>
        <w:tc>
          <w:tcPr>
            <w:tcW w:w="558" w:type="pct"/>
            <w:tcBorders>
              <w:top w:val="nil"/>
              <w:left w:val="nil"/>
              <w:bottom w:val="nil"/>
              <w:right w:val="nil"/>
            </w:tcBorders>
            <w:hideMark/>
          </w:tcPr>
          <w:p w14:paraId="7B6A3E9C" w14:textId="77777777" w:rsidR="00583EB1" w:rsidRDefault="00583EB1" w:rsidP="00260838">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highlight w:val="yellow"/>
              </w:rPr>
            </w:pPr>
            <w:r>
              <w:rPr>
                <w:rFonts w:ascii="Georgia" w:hAnsi="Georgia" w:cs="Arial"/>
                <w:sz w:val="20"/>
                <w:szCs w:val="20"/>
              </w:rPr>
              <w:t>413</w:t>
            </w:r>
            <w:r w:rsidR="00260838">
              <w:rPr>
                <w:rFonts w:ascii="Georgia" w:hAnsi="Georgia" w:cs="Arial"/>
                <w:sz w:val="20"/>
                <w:szCs w:val="20"/>
              </w:rPr>
              <w:t xml:space="preserve"> </w:t>
            </w:r>
            <w:r>
              <w:rPr>
                <w:rFonts w:ascii="Georgia" w:hAnsi="Georgia" w:cs="Arial"/>
                <w:sz w:val="20"/>
                <w:szCs w:val="20"/>
              </w:rPr>
              <w:t>374</w:t>
            </w:r>
          </w:p>
        </w:tc>
        <w:tc>
          <w:tcPr>
            <w:cnfStyle w:val="000010000000" w:firstRow="0" w:lastRow="0" w:firstColumn="0" w:lastColumn="0" w:oddVBand="1" w:evenVBand="0" w:oddHBand="0" w:evenHBand="0" w:firstRowFirstColumn="0" w:firstRowLastColumn="0" w:lastRowFirstColumn="0" w:lastRowLastColumn="0"/>
            <w:tcW w:w="557" w:type="pct"/>
            <w:tcBorders>
              <w:top w:val="nil"/>
              <w:bottom w:val="nil"/>
            </w:tcBorders>
            <w:hideMark/>
          </w:tcPr>
          <w:p w14:paraId="35F0D57E" w14:textId="77777777" w:rsidR="00583EB1" w:rsidRDefault="00583EB1" w:rsidP="00260838">
            <w:pPr>
              <w:jc w:val="center"/>
              <w:rPr>
                <w:rFonts w:ascii="Georgia" w:hAnsi="Georgia" w:cs="Arial"/>
                <w:sz w:val="20"/>
                <w:szCs w:val="20"/>
                <w:highlight w:val="yellow"/>
              </w:rPr>
            </w:pPr>
            <w:r>
              <w:rPr>
                <w:rFonts w:ascii="Georgia" w:hAnsi="Georgia" w:cs="Arial"/>
                <w:sz w:val="20"/>
                <w:szCs w:val="20"/>
              </w:rPr>
              <w:t>395</w:t>
            </w:r>
            <w:r w:rsidR="00260838">
              <w:rPr>
                <w:rFonts w:ascii="Georgia" w:hAnsi="Georgia" w:cs="Arial"/>
                <w:sz w:val="20"/>
                <w:szCs w:val="20"/>
              </w:rPr>
              <w:t xml:space="preserve"> </w:t>
            </w:r>
            <w:r>
              <w:rPr>
                <w:rFonts w:ascii="Georgia" w:hAnsi="Georgia" w:cs="Arial"/>
                <w:sz w:val="20"/>
                <w:szCs w:val="20"/>
              </w:rPr>
              <w:t>597</w:t>
            </w:r>
          </w:p>
        </w:tc>
        <w:tc>
          <w:tcPr>
            <w:tcW w:w="564" w:type="pct"/>
            <w:tcBorders>
              <w:top w:val="nil"/>
              <w:left w:val="nil"/>
              <w:bottom w:val="nil"/>
              <w:right w:val="nil"/>
            </w:tcBorders>
            <w:hideMark/>
          </w:tcPr>
          <w:p w14:paraId="733B0F1F" w14:textId="77777777" w:rsidR="00583EB1" w:rsidRDefault="00583EB1" w:rsidP="00260838">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360</w:t>
            </w:r>
            <w:r w:rsidR="00260838">
              <w:rPr>
                <w:rFonts w:ascii="Georgia" w:hAnsi="Georgia" w:cs="Arial"/>
                <w:sz w:val="20"/>
                <w:szCs w:val="20"/>
              </w:rPr>
              <w:t xml:space="preserve"> </w:t>
            </w:r>
            <w:r>
              <w:rPr>
                <w:rFonts w:ascii="Georgia" w:hAnsi="Georgia" w:cs="Arial"/>
                <w:sz w:val="20"/>
                <w:szCs w:val="20"/>
              </w:rPr>
              <w:t>553</w:t>
            </w:r>
          </w:p>
        </w:tc>
        <w:tc>
          <w:tcPr>
            <w:cnfStyle w:val="000010000000" w:firstRow="0" w:lastRow="0" w:firstColumn="0" w:lastColumn="0" w:oddVBand="1" w:evenVBand="0" w:oddHBand="0" w:evenHBand="0" w:firstRowFirstColumn="0" w:firstRowLastColumn="0" w:lastRowFirstColumn="0" w:lastRowLastColumn="0"/>
            <w:tcW w:w="561" w:type="pct"/>
            <w:tcBorders>
              <w:top w:val="nil"/>
              <w:bottom w:val="nil"/>
            </w:tcBorders>
            <w:hideMark/>
          </w:tcPr>
          <w:p w14:paraId="3BC01BFC" w14:textId="77777777" w:rsidR="00583EB1" w:rsidRDefault="00583EB1" w:rsidP="00260838">
            <w:pPr>
              <w:jc w:val="center"/>
              <w:rPr>
                <w:rFonts w:ascii="Georgia" w:hAnsi="Georgia" w:cs="Arial"/>
                <w:sz w:val="20"/>
                <w:szCs w:val="20"/>
              </w:rPr>
            </w:pPr>
            <w:r>
              <w:rPr>
                <w:rFonts w:ascii="Georgia" w:hAnsi="Georgia" w:cs="Arial"/>
                <w:sz w:val="20"/>
                <w:szCs w:val="20"/>
              </w:rPr>
              <w:t>324</w:t>
            </w:r>
            <w:r w:rsidR="00260838">
              <w:rPr>
                <w:rFonts w:ascii="Georgia" w:hAnsi="Georgia" w:cs="Arial"/>
                <w:sz w:val="20"/>
                <w:szCs w:val="20"/>
              </w:rPr>
              <w:t xml:space="preserve"> </w:t>
            </w:r>
            <w:r>
              <w:rPr>
                <w:rFonts w:ascii="Georgia" w:hAnsi="Georgia" w:cs="Arial"/>
                <w:sz w:val="20"/>
                <w:szCs w:val="20"/>
              </w:rPr>
              <w:t>150</w:t>
            </w:r>
          </w:p>
        </w:tc>
        <w:tc>
          <w:tcPr>
            <w:tcW w:w="562" w:type="pct"/>
            <w:tcBorders>
              <w:top w:val="nil"/>
              <w:left w:val="nil"/>
              <w:bottom w:val="nil"/>
              <w:right w:val="nil"/>
            </w:tcBorders>
            <w:hideMark/>
          </w:tcPr>
          <w:p w14:paraId="53FE78F9" w14:textId="77777777" w:rsidR="00583EB1" w:rsidRDefault="00583EB1" w:rsidP="00260838">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350</w:t>
            </w:r>
            <w:r w:rsidR="00260838">
              <w:rPr>
                <w:rFonts w:ascii="Georgia" w:hAnsi="Georgia" w:cs="Arial"/>
                <w:sz w:val="20"/>
                <w:szCs w:val="20"/>
              </w:rPr>
              <w:t xml:space="preserve"> </w:t>
            </w:r>
            <w:r>
              <w:rPr>
                <w:rFonts w:ascii="Georgia" w:hAnsi="Georgia" w:cs="Arial"/>
                <w:sz w:val="20"/>
                <w:szCs w:val="20"/>
              </w:rPr>
              <w:t>289</w:t>
            </w:r>
          </w:p>
        </w:tc>
        <w:tc>
          <w:tcPr>
            <w:cnfStyle w:val="000010000000" w:firstRow="0" w:lastRow="0" w:firstColumn="0" w:lastColumn="0" w:oddVBand="1" w:evenVBand="0" w:oddHBand="0" w:evenHBand="0" w:firstRowFirstColumn="0" w:firstRowLastColumn="0" w:lastRowFirstColumn="0" w:lastRowLastColumn="0"/>
            <w:tcW w:w="590" w:type="pct"/>
            <w:tcBorders>
              <w:top w:val="nil"/>
              <w:bottom w:val="nil"/>
            </w:tcBorders>
            <w:hideMark/>
          </w:tcPr>
          <w:p w14:paraId="6473CDE8" w14:textId="77777777" w:rsidR="00583EB1" w:rsidRDefault="00583EB1" w:rsidP="00583EB1">
            <w:pPr>
              <w:jc w:val="center"/>
              <w:rPr>
                <w:rFonts w:ascii="Georgia" w:hAnsi="Georgia" w:cs="Arial"/>
                <w:sz w:val="20"/>
                <w:szCs w:val="20"/>
              </w:rPr>
            </w:pPr>
            <w:r>
              <w:rPr>
                <w:rFonts w:ascii="Georgia" w:hAnsi="Georgia" w:cs="Arial"/>
                <w:sz w:val="20"/>
                <w:szCs w:val="20"/>
              </w:rPr>
              <w:t>-</w:t>
            </w:r>
          </w:p>
        </w:tc>
      </w:tr>
      <w:tr w:rsidR="00583EB1" w14:paraId="7013F683" w14:textId="77777777" w:rsidTr="00093B65">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D99594" w:themeFill="accent2" w:themeFillTint="99"/>
            <w:hideMark/>
          </w:tcPr>
          <w:p w14:paraId="62805399" w14:textId="77777777" w:rsidR="00583EB1" w:rsidRPr="00736CD2" w:rsidRDefault="00583EB1" w:rsidP="00583EB1">
            <w:pPr>
              <w:rPr>
                <w:rFonts w:ascii="Georgia" w:hAnsi="Georgia" w:cs="Arial"/>
                <w:b w:val="0"/>
                <w:bCs w:val="0"/>
                <w:sz w:val="20"/>
                <w:szCs w:val="20"/>
              </w:rPr>
            </w:pPr>
            <w:r w:rsidRPr="00736CD2">
              <w:rPr>
                <w:rFonts w:ascii="Georgia" w:hAnsi="Georgia" w:cs="Arial"/>
                <w:sz w:val="20"/>
                <w:szCs w:val="20"/>
              </w:rPr>
              <w:t>EIF</w:t>
            </w:r>
          </w:p>
        </w:tc>
      </w:tr>
      <w:tr w:rsidR="00260838" w14:paraId="0FE77CAE" w14:textId="77777777" w:rsidTr="00093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pct"/>
            <w:tcBorders>
              <w:top w:val="nil"/>
              <w:bottom w:val="nil"/>
              <w:right w:val="nil"/>
            </w:tcBorders>
            <w:hideMark/>
          </w:tcPr>
          <w:p w14:paraId="48E4E8F0" w14:textId="77777777" w:rsidR="00583EB1" w:rsidRPr="00736CD2" w:rsidRDefault="00583EB1" w:rsidP="00583EB1">
            <w:pPr>
              <w:rPr>
                <w:rFonts w:ascii="Georgia" w:hAnsi="Georgia" w:cs="Arial"/>
                <w:b w:val="0"/>
                <w:bCs w:val="0"/>
                <w:sz w:val="20"/>
                <w:szCs w:val="20"/>
              </w:rPr>
            </w:pPr>
            <w:r w:rsidRPr="00736CD2">
              <w:rPr>
                <w:rFonts w:ascii="Georgia" w:hAnsi="Georgia" w:cs="Arial"/>
                <w:sz w:val="20"/>
                <w:szCs w:val="20"/>
              </w:rPr>
              <w:t>Pasirašyta sutarčių dėl (mln. €):</w:t>
            </w:r>
          </w:p>
        </w:tc>
        <w:tc>
          <w:tcPr>
            <w:cnfStyle w:val="000010000000" w:firstRow="0" w:lastRow="0" w:firstColumn="0" w:lastColumn="0" w:oddVBand="1" w:evenVBand="0" w:oddHBand="0" w:evenHBand="0" w:firstRowFirstColumn="0" w:firstRowLastColumn="0" w:lastRowFirstColumn="0" w:lastRowLastColumn="0"/>
            <w:tcW w:w="461" w:type="pct"/>
            <w:tcBorders>
              <w:top w:val="nil"/>
              <w:bottom w:val="nil"/>
            </w:tcBorders>
            <w:hideMark/>
          </w:tcPr>
          <w:p w14:paraId="10C92804" w14:textId="77777777" w:rsidR="00583EB1" w:rsidRDefault="00583EB1" w:rsidP="00260838">
            <w:pPr>
              <w:jc w:val="center"/>
              <w:rPr>
                <w:rFonts w:ascii="Georgia" w:hAnsi="Georgia" w:cs="Arial"/>
                <w:sz w:val="20"/>
                <w:szCs w:val="20"/>
              </w:rPr>
            </w:pPr>
            <w:r>
              <w:rPr>
                <w:rFonts w:ascii="Georgia" w:hAnsi="Georgia" w:cs="Arial"/>
                <w:sz w:val="20"/>
                <w:szCs w:val="20"/>
              </w:rPr>
              <w:t>3365,8</w:t>
            </w:r>
          </w:p>
        </w:tc>
        <w:tc>
          <w:tcPr>
            <w:tcW w:w="558" w:type="pct"/>
            <w:tcBorders>
              <w:top w:val="nil"/>
              <w:left w:val="nil"/>
              <w:bottom w:val="nil"/>
              <w:right w:val="nil"/>
            </w:tcBorders>
            <w:hideMark/>
          </w:tcPr>
          <w:p w14:paraId="1010D95A" w14:textId="77777777" w:rsidR="00583EB1" w:rsidRDefault="00583EB1" w:rsidP="00260838">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2570</w:t>
            </w:r>
          </w:p>
        </w:tc>
        <w:tc>
          <w:tcPr>
            <w:cnfStyle w:val="000010000000" w:firstRow="0" w:lastRow="0" w:firstColumn="0" w:lastColumn="0" w:oddVBand="1" w:evenVBand="0" w:oddHBand="0" w:evenHBand="0" w:firstRowFirstColumn="0" w:firstRowLastColumn="0" w:lastRowFirstColumn="0" w:lastRowLastColumn="0"/>
            <w:tcW w:w="557" w:type="pct"/>
            <w:tcBorders>
              <w:top w:val="nil"/>
              <w:bottom w:val="nil"/>
            </w:tcBorders>
            <w:hideMark/>
          </w:tcPr>
          <w:p w14:paraId="716F1880" w14:textId="77777777" w:rsidR="00583EB1" w:rsidRDefault="00583EB1" w:rsidP="00260838">
            <w:pPr>
              <w:jc w:val="center"/>
              <w:rPr>
                <w:rFonts w:ascii="Georgia" w:hAnsi="Georgia" w:cs="Arial"/>
                <w:sz w:val="20"/>
                <w:szCs w:val="20"/>
              </w:rPr>
            </w:pPr>
            <w:r>
              <w:rPr>
                <w:rFonts w:ascii="Georgia" w:hAnsi="Georgia" w:cs="Arial"/>
                <w:sz w:val="20"/>
                <w:szCs w:val="20"/>
              </w:rPr>
              <w:t>2654</w:t>
            </w:r>
          </w:p>
        </w:tc>
        <w:tc>
          <w:tcPr>
            <w:tcW w:w="564" w:type="pct"/>
            <w:tcBorders>
              <w:top w:val="nil"/>
              <w:left w:val="nil"/>
              <w:bottom w:val="nil"/>
              <w:right w:val="nil"/>
            </w:tcBorders>
            <w:hideMark/>
          </w:tcPr>
          <w:p w14:paraId="4E0BD94A" w14:textId="77777777" w:rsidR="00583EB1" w:rsidRDefault="00583EB1" w:rsidP="00260838">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2839</w:t>
            </w:r>
          </w:p>
        </w:tc>
        <w:tc>
          <w:tcPr>
            <w:cnfStyle w:val="000010000000" w:firstRow="0" w:lastRow="0" w:firstColumn="0" w:lastColumn="0" w:oddVBand="1" w:evenVBand="0" w:oddHBand="0" w:evenHBand="0" w:firstRowFirstColumn="0" w:firstRowLastColumn="0" w:lastRowFirstColumn="0" w:lastRowLastColumn="0"/>
            <w:tcW w:w="561" w:type="pct"/>
            <w:tcBorders>
              <w:top w:val="nil"/>
              <w:bottom w:val="nil"/>
            </w:tcBorders>
            <w:hideMark/>
          </w:tcPr>
          <w:p w14:paraId="379BD036" w14:textId="77777777" w:rsidR="00583EB1" w:rsidRDefault="00583EB1" w:rsidP="00260838">
            <w:pPr>
              <w:jc w:val="center"/>
              <w:rPr>
                <w:rFonts w:ascii="Georgia" w:hAnsi="Georgia" w:cs="Arial"/>
                <w:sz w:val="20"/>
                <w:szCs w:val="20"/>
              </w:rPr>
            </w:pPr>
            <w:r>
              <w:rPr>
                <w:rFonts w:ascii="Georgia" w:hAnsi="Georgia" w:cs="Arial"/>
                <w:sz w:val="20"/>
                <w:szCs w:val="20"/>
              </w:rPr>
              <w:t>3031</w:t>
            </w:r>
          </w:p>
        </w:tc>
        <w:tc>
          <w:tcPr>
            <w:tcW w:w="562" w:type="pct"/>
            <w:tcBorders>
              <w:top w:val="nil"/>
              <w:left w:val="nil"/>
              <w:bottom w:val="nil"/>
              <w:right w:val="nil"/>
            </w:tcBorders>
            <w:hideMark/>
          </w:tcPr>
          <w:p w14:paraId="6F8F89C5" w14:textId="77777777" w:rsidR="00583EB1" w:rsidRDefault="00583EB1" w:rsidP="00260838">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2552</w:t>
            </w:r>
          </w:p>
        </w:tc>
        <w:tc>
          <w:tcPr>
            <w:cnfStyle w:val="000010000000" w:firstRow="0" w:lastRow="0" w:firstColumn="0" w:lastColumn="0" w:oddVBand="1" w:evenVBand="0" w:oddHBand="0" w:evenHBand="0" w:firstRowFirstColumn="0" w:firstRowLastColumn="0" w:lastRowFirstColumn="0" w:lastRowLastColumn="0"/>
            <w:tcW w:w="590" w:type="pct"/>
            <w:tcBorders>
              <w:top w:val="nil"/>
              <w:bottom w:val="nil"/>
            </w:tcBorders>
            <w:hideMark/>
          </w:tcPr>
          <w:p w14:paraId="70A548D1" w14:textId="77777777" w:rsidR="00583EB1" w:rsidRDefault="00583EB1" w:rsidP="00260838">
            <w:pPr>
              <w:jc w:val="center"/>
              <w:rPr>
                <w:rFonts w:ascii="Georgia" w:hAnsi="Georgia" w:cs="Arial"/>
                <w:sz w:val="20"/>
                <w:szCs w:val="20"/>
              </w:rPr>
            </w:pPr>
            <w:r>
              <w:rPr>
                <w:rFonts w:ascii="Georgia" w:hAnsi="Georgia" w:cs="Arial"/>
                <w:color w:val="000000"/>
                <w:sz w:val="20"/>
                <w:szCs w:val="20"/>
              </w:rPr>
              <w:t>13</w:t>
            </w:r>
            <w:r w:rsidR="00260838">
              <w:rPr>
                <w:rFonts w:ascii="Georgia" w:hAnsi="Georgia" w:cs="Arial"/>
                <w:color w:val="000000"/>
                <w:sz w:val="20"/>
                <w:szCs w:val="20"/>
              </w:rPr>
              <w:t xml:space="preserve"> </w:t>
            </w:r>
            <w:r>
              <w:rPr>
                <w:rFonts w:ascii="Georgia" w:hAnsi="Georgia" w:cs="Arial"/>
                <w:color w:val="000000"/>
                <w:sz w:val="20"/>
                <w:szCs w:val="20"/>
              </w:rPr>
              <w:t>646</w:t>
            </w:r>
          </w:p>
        </w:tc>
      </w:tr>
      <w:tr w:rsidR="00260838" w14:paraId="6F619CC0" w14:textId="77777777" w:rsidTr="00093B65">
        <w:tc>
          <w:tcPr>
            <w:cnfStyle w:val="001000000000" w:firstRow="0" w:lastRow="0" w:firstColumn="1" w:lastColumn="0" w:oddVBand="0" w:evenVBand="0" w:oddHBand="0" w:evenHBand="0" w:firstRowFirstColumn="0" w:firstRowLastColumn="0" w:lastRowFirstColumn="0" w:lastRowLastColumn="0"/>
            <w:tcW w:w="1148" w:type="pct"/>
            <w:tcBorders>
              <w:right w:val="nil"/>
            </w:tcBorders>
            <w:hideMark/>
          </w:tcPr>
          <w:p w14:paraId="3EA6D157" w14:textId="77777777" w:rsidR="00583EB1" w:rsidRPr="00736CD2" w:rsidRDefault="00583EB1" w:rsidP="00583EB1">
            <w:pPr>
              <w:rPr>
                <w:rFonts w:ascii="Georgia" w:hAnsi="Georgia" w:cs="Arial"/>
                <w:b w:val="0"/>
                <w:bCs w:val="0"/>
                <w:sz w:val="20"/>
                <w:szCs w:val="20"/>
              </w:rPr>
            </w:pPr>
            <w:r w:rsidRPr="00736CD2">
              <w:rPr>
                <w:rFonts w:ascii="Georgia" w:hAnsi="Georgia" w:cs="Arial"/>
                <w:sz w:val="20"/>
                <w:szCs w:val="20"/>
              </w:rPr>
              <w:t>Kapitalo investicijos (mln. €)</w:t>
            </w:r>
          </w:p>
        </w:tc>
        <w:tc>
          <w:tcPr>
            <w:cnfStyle w:val="000010000000" w:firstRow="0" w:lastRow="0" w:firstColumn="0" w:lastColumn="0" w:oddVBand="1" w:evenVBand="0" w:oddHBand="0" w:evenHBand="0" w:firstRowFirstColumn="0" w:firstRowLastColumn="0" w:lastRowFirstColumn="0" w:lastRowLastColumn="0"/>
            <w:tcW w:w="461" w:type="pct"/>
            <w:hideMark/>
          </w:tcPr>
          <w:p w14:paraId="20B9BDF0" w14:textId="77777777" w:rsidR="00583EB1" w:rsidRDefault="00583EB1" w:rsidP="00260838">
            <w:pPr>
              <w:jc w:val="center"/>
              <w:rPr>
                <w:rFonts w:ascii="Georgia" w:hAnsi="Georgia" w:cs="Arial"/>
                <w:sz w:val="20"/>
                <w:szCs w:val="20"/>
              </w:rPr>
            </w:pPr>
            <w:r>
              <w:rPr>
                <w:rFonts w:ascii="Georgia" w:hAnsi="Georgia" w:cs="Arial"/>
                <w:sz w:val="20"/>
                <w:szCs w:val="20"/>
              </w:rPr>
              <w:t>1468</w:t>
            </w:r>
          </w:p>
        </w:tc>
        <w:tc>
          <w:tcPr>
            <w:tcW w:w="558" w:type="pct"/>
            <w:tcBorders>
              <w:left w:val="nil"/>
              <w:right w:val="nil"/>
            </w:tcBorders>
            <w:hideMark/>
          </w:tcPr>
          <w:p w14:paraId="10B87708" w14:textId="77777777" w:rsidR="00583EB1" w:rsidRDefault="00583EB1" w:rsidP="00260838">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1350</w:t>
            </w:r>
          </w:p>
        </w:tc>
        <w:tc>
          <w:tcPr>
            <w:cnfStyle w:val="000010000000" w:firstRow="0" w:lastRow="0" w:firstColumn="0" w:lastColumn="0" w:oddVBand="1" w:evenVBand="0" w:oddHBand="0" w:evenHBand="0" w:firstRowFirstColumn="0" w:firstRowLastColumn="0" w:lastRowFirstColumn="0" w:lastRowLastColumn="0"/>
            <w:tcW w:w="557" w:type="pct"/>
            <w:hideMark/>
          </w:tcPr>
          <w:p w14:paraId="0FBB3564" w14:textId="77777777" w:rsidR="00583EB1" w:rsidRDefault="00583EB1" w:rsidP="00583EB1">
            <w:pPr>
              <w:jc w:val="center"/>
              <w:rPr>
                <w:rFonts w:ascii="Georgia" w:hAnsi="Georgia" w:cs="Arial"/>
                <w:sz w:val="20"/>
                <w:szCs w:val="20"/>
              </w:rPr>
            </w:pPr>
            <w:r>
              <w:rPr>
                <w:rFonts w:ascii="Georgia" w:hAnsi="Georgia" w:cs="Arial"/>
                <w:sz w:val="20"/>
                <w:szCs w:val="20"/>
              </w:rPr>
              <w:t>-</w:t>
            </w:r>
          </w:p>
        </w:tc>
        <w:tc>
          <w:tcPr>
            <w:tcW w:w="564" w:type="pct"/>
            <w:tcBorders>
              <w:left w:val="nil"/>
              <w:right w:val="nil"/>
            </w:tcBorders>
            <w:hideMark/>
          </w:tcPr>
          <w:p w14:paraId="1BFBFBBF"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cnfStyle w:val="000010000000" w:firstRow="0" w:lastRow="0" w:firstColumn="0" w:lastColumn="0" w:oddVBand="1" w:evenVBand="0" w:oddHBand="0" w:evenHBand="0" w:firstRowFirstColumn="0" w:firstRowLastColumn="0" w:lastRowFirstColumn="0" w:lastRowLastColumn="0"/>
            <w:tcW w:w="561" w:type="pct"/>
            <w:hideMark/>
          </w:tcPr>
          <w:p w14:paraId="2CF58DA1" w14:textId="77777777" w:rsidR="00583EB1" w:rsidRDefault="00583EB1" w:rsidP="00583EB1">
            <w:pPr>
              <w:jc w:val="center"/>
              <w:rPr>
                <w:rFonts w:ascii="Georgia" w:hAnsi="Georgia" w:cs="Arial"/>
                <w:sz w:val="20"/>
                <w:szCs w:val="20"/>
              </w:rPr>
            </w:pPr>
            <w:r>
              <w:rPr>
                <w:rFonts w:ascii="Georgia" w:hAnsi="Georgia" w:cs="Arial"/>
                <w:sz w:val="20"/>
                <w:szCs w:val="20"/>
              </w:rPr>
              <w:t>-</w:t>
            </w:r>
          </w:p>
        </w:tc>
        <w:tc>
          <w:tcPr>
            <w:tcW w:w="562" w:type="pct"/>
            <w:tcBorders>
              <w:left w:val="nil"/>
              <w:right w:val="nil"/>
            </w:tcBorders>
            <w:hideMark/>
          </w:tcPr>
          <w:p w14:paraId="634718A7"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cnfStyle w:val="000010000000" w:firstRow="0" w:lastRow="0" w:firstColumn="0" w:lastColumn="0" w:oddVBand="1" w:evenVBand="0" w:oddHBand="0" w:evenHBand="0" w:firstRowFirstColumn="0" w:firstRowLastColumn="0" w:lastRowFirstColumn="0" w:lastRowLastColumn="0"/>
            <w:tcW w:w="590" w:type="pct"/>
            <w:hideMark/>
          </w:tcPr>
          <w:p w14:paraId="39899D3A" w14:textId="77777777" w:rsidR="00583EB1" w:rsidRDefault="00583EB1" w:rsidP="00260838">
            <w:pPr>
              <w:jc w:val="center"/>
              <w:rPr>
                <w:rFonts w:ascii="Georgia" w:hAnsi="Georgia" w:cs="Arial"/>
                <w:sz w:val="20"/>
                <w:szCs w:val="20"/>
              </w:rPr>
            </w:pPr>
            <w:r>
              <w:rPr>
                <w:rFonts w:ascii="Georgia" w:hAnsi="Georgia" w:cs="Arial"/>
                <w:color w:val="000000"/>
                <w:sz w:val="20"/>
                <w:szCs w:val="20"/>
              </w:rPr>
              <w:t>2818</w:t>
            </w:r>
          </w:p>
        </w:tc>
      </w:tr>
      <w:tr w:rsidR="00260838" w14:paraId="32A9259F" w14:textId="77777777" w:rsidTr="00093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pct"/>
            <w:tcBorders>
              <w:top w:val="nil"/>
              <w:bottom w:val="nil"/>
              <w:right w:val="nil"/>
            </w:tcBorders>
            <w:hideMark/>
          </w:tcPr>
          <w:p w14:paraId="0EC7540F" w14:textId="77777777" w:rsidR="00583EB1" w:rsidRPr="00736CD2" w:rsidRDefault="00583EB1" w:rsidP="00583EB1">
            <w:pPr>
              <w:rPr>
                <w:rFonts w:ascii="Georgia" w:hAnsi="Georgia" w:cs="Arial"/>
                <w:b w:val="0"/>
                <w:bCs w:val="0"/>
                <w:sz w:val="20"/>
                <w:szCs w:val="20"/>
              </w:rPr>
            </w:pPr>
            <w:r w:rsidRPr="00736CD2">
              <w:rPr>
                <w:rFonts w:ascii="Georgia" w:hAnsi="Georgia" w:cs="Arial"/>
                <w:sz w:val="20"/>
                <w:szCs w:val="20"/>
              </w:rPr>
              <w:t>Kapitalo investicijos (sutartys, vnt.)</w:t>
            </w:r>
          </w:p>
        </w:tc>
        <w:tc>
          <w:tcPr>
            <w:cnfStyle w:val="000010000000" w:firstRow="0" w:lastRow="0" w:firstColumn="0" w:lastColumn="0" w:oddVBand="1" w:evenVBand="0" w:oddHBand="0" w:evenHBand="0" w:firstRowFirstColumn="0" w:firstRowLastColumn="0" w:lastRowFirstColumn="0" w:lastRowLastColumn="0"/>
            <w:tcW w:w="461" w:type="pct"/>
            <w:tcBorders>
              <w:top w:val="nil"/>
              <w:bottom w:val="nil"/>
            </w:tcBorders>
            <w:hideMark/>
          </w:tcPr>
          <w:p w14:paraId="0FF082EB" w14:textId="77777777" w:rsidR="00583EB1" w:rsidRDefault="00583EB1" w:rsidP="00583EB1">
            <w:pPr>
              <w:jc w:val="center"/>
              <w:rPr>
                <w:rFonts w:ascii="Georgia" w:hAnsi="Georgia" w:cs="Arial"/>
                <w:sz w:val="20"/>
                <w:szCs w:val="20"/>
              </w:rPr>
            </w:pPr>
            <w:r>
              <w:rPr>
                <w:rFonts w:ascii="Georgia" w:hAnsi="Georgia" w:cs="Arial"/>
                <w:sz w:val="20"/>
                <w:szCs w:val="20"/>
              </w:rPr>
              <w:t>90</w:t>
            </w:r>
          </w:p>
        </w:tc>
        <w:tc>
          <w:tcPr>
            <w:tcW w:w="558" w:type="pct"/>
            <w:tcBorders>
              <w:top w:val="nil"/>
              <w:left w:val="nil"/>
              <w:bottom w:val="nil"/>
              <w:right w:val="nil"/>
            </w:tcBorders>
            <w:hideMark/>
          </w:tcPr>
          <w:p w14:paraId="18DB1F14"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55</w:t>
            </w:r>
          </w:p>
        </w:tc>
        <w:tc>
          <w:tcPr>
            <w:cnfStyle w:val="000010000000" w:firstRow="0" w:lastRow="0" w:firstColumn="0" w:lastColumn="0" w:oddVBand="1" w:evenVBand="0" w:oddHBand="0" w:evenHBand="0" w:firstRowFirstColumn="0" w:firstRowLastColumn="0" w:lastRowFirstColumn="0" w:lastRowLastColumn="0"/>
            <w:tcW w:w="557" w:type="pct"/>
            <w:tcBorders>
              <w:top w:val="nil"/>
              <w:bottom w:val="nil"/>
            </w:tcBorders>
            <w:hideMark/>
          </w:tcPr>
          <w:p w14:paraId="29441477" w14:textId="77777777" w:rsidR="00583EB1" w:rsidRDefault="00583EB1" w:rsidP="00583EB1">
            <w:pPr>
              <w:jc w:val="center"/>
              <w:rPr>
                <w:rFonts w:ascii="Georgia" w:hAnsi="Georgia" w:cs="Arial"/>
                <w:sz w:val="20"/>
                <w:szCs w:val="20"/>
              </w:rPr>
            </w:pPr>
            <w:r>
              <w:rPr>
                <w:rFonts w:ascii="Georgia" w:hAnsi="Georgia" w:cs="Arial"/>
                <w:sz w:val="20"/>
                <w:szCs w:val="20"/>
              </w:rPr>
              <w:t>-</w:t>
            </w:r>
          </w:p>
        </w:tc>
        <w:tc>
          <w:tcPr>
            <w:tcW w:w="564" w:type="pct"/>
            <w:tcBorders>
              <w:top w:val="nil"/>
              <w:left w:val="nil"/>
              <w:bottom w:val="nil"/>
              <w:right w:val="nil"/>
            </w:tcBorders>
            <w:hideMark/>
          </w:tcPr>
          <w:p w14:paraId="33D1D6AC"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cnfStyle w:val="000010000000" w:firstRow="0" w:lastRow="0" w:firstColumn="0" w:lastColumn="0" w:oddVBand="1" w:evenVBand="0" w:oddHBand="0" w:evenHBand="0" w:firstRowFirstColumn="0" w:firstRowLastColumn="0" w:lastRowFirstColumn="0" w:lastRowLastColumn="0"/>
            <w:tcW w:w="561" w:type="pct"/>
            <w:tcBorders>
              <w:top w:val="nil"/>
              <w:bottom w:val="nil"/>
            </w:tcBorders>
            <w:hideMark/>
          </w:tcPr>
          <w:p w14:paraId="14255C3A" w14:textId="77777777" w:rsidR="00583EB1" w:rsidRDefault="00583EB1" w:rsidP="00583EB1">
            <w:pPr>
              <w:jc w:val="center"/>
              <w:rPr>
                <w:rFonts w:ascii="Georgia" w:hAnsi="Georgia" w:cs="Arial"/>
                <w:sz w:val="20"/>
                <w:szCs w:val="20"/>
              </w:rPr>
            </w:pPr>
            <w:r>
              <w:rPr>
                <w:rFonts w:ascii="Georgia" w:hAnsi="Georgia" w:cs="Arial"/>
                <w:sz w:val="20"/>
                <w:szCs w:val="20"/>
              </w:rPr>
              <w:t>-</w:t>
            </w:r>
          </w:p>
        </w:tc>
        <w:tc>
          <w:tcPr>
            <w:tcW w:w="562" w:type="pct"/>
            <w:tcBorders>
              <w:top w:val="nil"/>
              <w:left w:val="nil"/>
              <w:bottom w:val="nil"/>
              <w:right w:val="nil"/>
            </w:tcBorders>
            <w:hideMark/>
          </w:tcPr>
          <w:p w14:paraId="784FEB71"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cnfStyle w:val="000010000000" w:firstRow="0" w:lastRow="0" w:firstColumn="0" w:lastColumn="0" w:oddVBand="1" w:evenVBand="0" w:oddHBand="0" w:evenHBand="0" w:firstRowFirstColumn="0" w:firstRowLastColumn="0" w:lastRowFirstColumn="0" w:lastRowLastColumn="0"/>
            <w:tcW w:w="590" w:type="pct"/>
            <w:tcBorders>
              <w:top w:val="nil"/>
              <w:bottom w:val="nil"/>
            </w:tcBorders>
            <w:hideMark/>
          </w:tcPr>
          <w:p w14:paraId="2D084E1B" w14:textId="77777777" w:rsidR="00583EB1" w:rsidRDefault="00583EB1" w:rsidP="00583EB1">
            <w:pPr>
              <w:jc w:val="center"/>
              <w:rPr>
                <w:rFonts w:ascii="Georgia" w:hAnsi="Georgia" w:cs="Arial"/>
                <w:sz w:val="20"/>
                <w:szCs w:val="20"/>
              </w:rPr>
            </w:pPr>
            <w:r>
              <w:rPr>
                <w:rFonts w:ascii="Georgia" w:hAnsi="Georgia" w:cs="Arial"/>
                <w:color w:val="000000"/>
                <w:sz w:val="20"/>
                <w:szCs w:val="20"/>
              </w:rPr>
              <w:t>145</w:t>
            </w:r>
          </w:p>
        </w:tc>
      </w:tr>
      <w:tr w:rsidR="00260838" w14:paraId="7A603108" w14:textId="77777777" w:rsidTr="00093B65">
        <w:tc>
          <w:tcPr>
            <w:cnfStyle w:val="001000000000" w:firstRow="0" w:lastRow="0" w:firstColumn="1" w:lastColumn="0" w:oddVBand="0" w:evenVBand="0" w:oddHBand="0" w:evenHBand="0" w:firstRowFirstColumn="0" w:firstRowLastColumn="0" w:lastRowFirstColumn="0" w:lastRowLastColumn="0"/>
            <w:tcW w:w="1148" w:type="pct"/>
            <w:tcBorders>
              <w:right w:val="nil"/>
            </w:tcBorders>
            <w:hideMark/>
          </w:tcPr>
          <w:p w14:paraId="1E150700" w14:textId="77777777" w:rsidR="00583EB1" w:rsidRPr="00736CD2" w:rsidRDefault="00583EB1" w:rsidP="00583EB1">
            <w:pPr>
              <w:rPr>
                <w:rFonts w:ascii="Georgia" w:hAnsi="Georgia" w:cs="Arial"/>
                <w:b w:val="0"/>
                <w:bCs w:val="0"/>
                <w:sz w:val="20"/>
                <w:szCs w:val="20"/>
              </w:rPr>
            </w:pPr>
            <w:r w:rsidRPr="00736CD2">
              <w:rPr>
                <w:rFonts w:ascii="Georgia" w:hAnsi="Georgia" w:cs="Arial"/>
                <w:sz w:val="20"/>
                <w:szCs w:val="20"/>
              </w:rPr>
              <w:t>Garantijų (mln. €)</w:t>
            </w:r>
          </w:p>
        </w:tc>
        <w:tc>
          <w:tcPr>
            <w:cnfStyle w:val="000010000000" w:firstRow="0" w:lastRow="0" w:firstColumn="0" w:lastColumn="0" w:oddVBand="1" w:evenVBand="0" w:oddHBand="0" w:evenHBand="0" w:firstRowFirstColumn="0" w:firstRowLastColumn="0" w:lastRowFirstColumn="0" w:lastRowLastColumn="0"/>
            <w:tcW w:w="461" w:type="pct"/>
            <w:hideMark/>
          </w:tcPr>
          <w:p w14:paraId="27BA545B" w14:textId="77777777" w:rsidR="00583EB1" w:rsidRDefault="00583EB1" w:rsidP="00260838">
            <w:pPr>
              <w:jc w:val="center"/>
              <w:rPr>
                <w:rFonts w:ascii="Georgia" w:hAnsi="Georgia" w:cs="Arial"/>
                <w:sz w:val="20"/>
                <w:szCs w:val="20"/>
              </w:rPr>
            </w:pPr>
            <w:r>
              <w:rPr>
                <w:rFonts w:ascii="Georgia" w:hAnsi="Georgia" w:cs="Arial"/>
                <w:sz w:val="20"/>
                <w:szCs w:val="20"/>
              </w:rPr>
              <w:t>1844</w:t>
            </w:r>
          </w:p>
        </w:tc>
        <w:tc>
          <w:tcPr>
            <w:tcW w:w="558" w:type="pct"/>
            <w:tcBorders>
              <w:left w:val="nil"/>
              <w:right w:val="nil"/>
            </w:tcBorders>
            <w:hideMark/>
          </w:tcPr>
          <w:p w14:paraId="3242FA3B" w14:textId="77777777" w:rsidR="00583EB1" w:rsidRDefault="00583EB1" w:rsidP="00260838">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1180</w:t>
            </w:r>
          </w:p>
        </w:tc>
        <w:tc>
          <w:tcPr>
            <w:cnfStyle w:val="000010000000" w:firstRow="0" w:lastRow="0" w:firstColumn="0" w:lastColumn="0" w:oddVBand="1" w:evenVBand="0" w:oddHBand="0" w:evenHBand="0" w:firstRowFirstColumn="0" w:firstRowLastColumn="0" w:lastRowFirstColumn="0" w:lastRowLastColumn="0"/>
            <w:tcW w:w="557" w:type="pct"/>
            <w:hideMark/>
          </w:tcPr>
          <w:p w14:paraId="4E8674BC" w14:textId="77777777" w:rsidR="00583EB1" w:rsidRDefault="00583EB1" w:rsidP="00260838">
            <w:pPr>
              <w:jc w:val="center"/>
              <w:rPr>
                <w:rFonts w:ascii="Georgia" w:hAnsi="Georgia" w:cs="Arial"/>
                <w:sz w:val="20"/>
                <w:szCs w:val="20"/>
              </w:rPr>
            </w:pPr>
            <w:r>
              <w:rPr>
                <w:rFonts w:ascii="Georgia" w:hAnsi="Georgia" w:cs="Arial"/>
                <w:sz w:val="20"/>
                <w:szCs w:val="20"/>
              </w:rPr>
              <w:t>1461</w:t>
            </w:r>
          </w:p>
        </w:tc>
        <w:tc>
          <w:tcPr>
            <w:tcW w:w="564" w:type="pct"/>
            <w:tcBorders>
              <w:left w:val="nil"/>
              <w:right w:val="nil"/>
            </w:tcBorders>
            <w:hideMark/>
          </w:tcPr>
          <w:p w14:paraId="17393F32" w14:textId="77777777" w:rsidR="00583EB1" w:rsidRDefault="00583EB1" w:rsidP="00260838">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1909</w:t>
            </w:r>
          </w:p>
        </w:tc>
        <w:tc>
          <w:tcPr>
            <w:cnfStyle w:val="000010000000" w:firstRow="0" w:lastRow="0" w:firstColumn="0" w:lastColumn="0" w:oddVBand="1" w:evenVBand="0" w:oddHBand="0" w:evenHBand="0" w:firstRowFirstColumn="0" w:firstRowLastColumn="0" w:lastRowFirstColumn="0" w:lastRowLastColumn="0"/>
            <w:tcW w:w="561" w:type="pct"/>
            <w:hideMark/>
          </w:tcPr>
          <w:p w14:paraId="0A3A0E0D" w14:textId="77777777" w:rsidR="00583EB1" w:rsidRDefault="00583EB1" w:rsidP="00260838">
            <w:pPr>
              <w:jc w:val="center"/>
              <w:rPr>
                <w:rFonts w:ascii="Georgia" w:hAnsi="Georgia" w:cs="Arial"/>
                <w:sz w:val="20"/>
                <w:szCs w:val="20"/>
              </w:rPr>
            </w:pPr>
            <w:r>
              <w:rPr>
                <w:rFonts w:ascii="Georgia" w:hAnsi="Georgia" w:cs="Arial"/>
                <w:sz w:val="20"/>
                <w:szCs w:val="20"/>
              </w:rPr>
              <w:t>2298</w:t>
            </w:r>
          </w:p>
        </w:tc>
        <w:tc>
          <w:tcPr>
            <w:tcW w:w="562" w:type="pct"/>
            <w:tcBorders>
              <w:left w:val="nil"/>
              <w:right w:val="nil"/>
            </w:tcBorders>
            <w:hideMark/>
          </w:tcPr>
          <w:p w14:paraId="7039B4A1" w14:textId="77777777" w:rsidR="00583EB1" w:rsidRDefault="00583EB1" w:rsidP="00260838">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2143</w:t>
            </w:r>
          </w:p>
        </w:tc>
        <w:tc>
          <w:tcPr>
            <w:cnfStyle w:val="000010000000" w:firstRow="0" w:lastRow="0" w:firstColumn="0" w:lastColumn="0" w:oddVBand="1" w:evenVBand="0" w:oddHBand="0" w:evenHBand="0" w:firstRowFirstColumn="0" w:firstRowLastColumn="0" w:lastRowFirstColumn="0" w:lastRowLastColumn="0"/>
            <w:tcW w:w="590" w:type="pct"/>
            <w:hideMark/>
          </w:tcPr>
          <w:p w14:paraId="70D36F42" w14:textId="77777777" w:rsidR="00583EB1" w:rsidRDefault="00583EB1" w:rsidP="00583EB1">
            <w:pPr>
              <w:jc w:val="center"/>
              <w:rPr>
                <w:rFonts w:ascii="Georgia" w:hAnsi="Georgia" w:cs="Arial"/>
                <w:sz w:val="20"/>
                <w:szCs w:val="20"/>
              </w:rPr>
            </w:pPr>
            <w:r>
              <w:rPr>
                <w:rFonts w:ascii="Georgia" w:hAnsi="Georgia" w:cs="Arial"/>
                <w:color w:val="000000"/>
                <w:sz w:val="20"/>
                <w:szCs w:val="20"/>
              </w:rPr>
              <w:t>-</w:t>
            </w:r>
          </w:p>
        </w:tc>
      </w:tr>
      <w:tr w:rsidR="00260838" w14:paraId="765BB556" w14:textId="77777777" w:rsidTr="00093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pct"/>
            <w:tcBorders>
              <w:top w:val="nil"/>
              <w:bottom w:val="nil"/>
              <w:right w:val="nil"/>
            </w:tcBorders>
            <w:hideMark/>
          </w:tcPr>
          <w:p w14:paraId="5745FC10" w14:textId="77777777" w:rsidR="00583EB1" w:rsidRPr="00736CD2" w:rsidRDefault="00583EB1" w:rsidP="00583EB1">
            <w:pPr>
              <w:rPr>
                <w:rFonts w:ascii="Georgia" w:hAnsi="Georgia" w:cs="Arial"/>
                <w:b w:val="0"/>
                <w:bCs w:val="0"/>
                <w:sz w:val="20"/>
                <w:szCs w:val="20"/>
              </w:rPr>
            </w:pPr>
            <w:r w:rsidRPr="00736CD2">
              <w:rPr>
                <w:rFonts w:ascii="Georgia" w:hAnsi="Georgia" w:cs="Arial"/>
                <w:sz w:val="20"/>
                <w:szCs w:val="20"/>
              </w:rPr>
              <w:t>Garantijos (sutartys, vnt.)</w:t>
            </w:r>
          </w:p>
        </w:tc>
        <w:tc>
          <w:tcPr>
            <w:cnfStyle w:val="000010000000" w:firstRow="0" w:lastRow="0" w:firstColumn="0" w:lastColumn="0" w:oddVBand="1" w:evenVBand="0" w:oddHBand="0" w:evenHBand="0" w:firstRowFirstColumn="0" w:firstRowLastColumn="0" w:lastRowFirstColumn="0" w:lastRowLastColumn="0"/>
            <w:tcW w:w="461" w:type="pct"/>
            <w:tcBorders>
              <w:top w:val="nil"/>
              <w:bottom w:val="nil"/>
            </w:tcBorders>
            <w:hideMark/>
          </w:tcPr>
          <w:p w14:paraId="32E3CAE7" w14:textId="77777777" w:rsidR="00583EB1" w:rsidRDefault="00583EB1" w:rsidP="00583EB1">
            <w:pPr>
              <w:jc w:val="center"/>
              <w:rPr>
                <w:rFonts w:ascii="Georgia" w:hAnsi="Georgia" w:cs="Arial"/>
                <w:sz w:val="20"/>
                <w:szCs w:val="20"/>
              </w:rPr>
            </w:pPr>
            <w:r>
              <w:rPr>
                <w:rFonts w:ascii="Georgia" w:hAnsi="Georgia" w:cs="Arial"/>
                <w:sz w:val="20"/>
                <w:szCs w:val="20"/>
              </w:rPr>
              <w:t>69</w:t>
            </w:r>
          </w:p>
        </w:tc>
        <w:tc>
          <w:tcPr>
            <w:tcW w:w="558" w:type="pct"/>
            <w:tcBorders>
              <w:top w:val="nil"/>
              <w:left w:val="nil"/>
              <w:bottom w:val="nil"/>
              <w:right w:val="nil"/>
            </w:tcBorders>
            <w:hideMark/>
          </w:tcPr>
          <w:p w14:paraId="67EBD8A2"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43</w:t>
            </w:r>
          </w:p>
        </w:tc>
        <w:tc>
          <w:tcPr>
            <w:cnfStyle w:val="000010000000" w:firstRow="0" w:lastRow="0" w:firstColumn="0" w:lastColumn="0" w:oddVBand="1" w:evenVBand="0" w:oddHBand="0" w:evenHBand="0" w:firstRowFirstColumn="0" w:firstRowLastColumn="0" w:lastRowFirstColumn="0" w:lastRowLastColumn="0"/>
            <w:tcW w:w="557" w:type="pct"/>
            <w:tcBorders>
              <w:top w:val="nil"/>
              <w:bottom w:val="nil"/>
            </w:tcBorders>
            <w:hideMark/>
          </w:tcPr>
          <w:p w14:paraId="5DE29B16" w14:textId="77777777" w:rsidR="00583EB1" w:rsidRDefault="00583EB1" w:rsidP="00583EB1">
            <w:pPr>
              <w:jc w:val="center"/>
              <w:rPr>
                <w:rFonts w:ascii="Georgia" w:hAnsi="Georgia" w:cs="Arial"/>
                <w:sz w:val="20"/>
                <w:szCs w:val="20"/>
              </w:rPr>
            </w:pPr>
            <w:r>
              <w:rPr>
                <w:rFonts w:ascii="Georgia" w:hAnsi="Georgia" w:cs="Arial"/>
                <w:sz w:val="20"/>
                <w:szCs w:val="20"/>
              </w:rPr>
              <w:t>47</w:t>
            </w:r>
          </w:p>
        </w:tc>
        <w:tc>
          <w:tcPr>
            <w:tcW w:w="564" w:type="pct"/>
            <w:tcBorders>
              <w:top w:val="nil"/>
              <w:left w:val="nil"/>
              <w:bottom w:val="nil"/>
              <w:right w:val="nil"/>
            </w:tcBorders>
            <w:hideMark/>
          </w:tcPr>
          <w:p w14:paraId="59648BD5"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35</w:t>
            </w:r>
          </w:p>
        </w:tc>
        <w:tc>
          <w:tcPr>
            <w:cnfStyle w:val="000010000000" w:firstRow="0" w:lastRow="0" w:firstColumn="0" w:lastColumn="0" w:oddVBand="1" w:evenVBand="0" w:oddHBand="0" w:evenHBand="0" w:firstRowFirstColumn="0" w:firstRowLastColumn="0" w:lastRowFirstColumn="0" w:lastRowLastColumn="0"/>
            <w:tcW w:w="561" w:type="pct"/>
            <w:tcBorders>
              <w:top w:val="nil"/>
              <w:bottom w:val="nil"/>
            </w:tcBorders>
            <w:hideMark/>
          </w:tcPr>
          <w:p w14:paraId="0155595A" w14:textId="77777777" w:rsidR="00583EB1" w:rsidRDefault="00583EB1" w:rsidP="00583EB1">
            <w:pPr>
              <w:jc w:val="center"/>
              <w:rPr>
                <w:rFonts w:ascii="Georgia" w:hAnsi="Georgia" w:cs="Arial"/>
                <w:sz w:val="20"/>
                <w:szCs w:val="20"/>
              </w:rPr>
            </w:pPr>
            <w:r>
              <w:rPr>
                <w:rFonts w:ascii="Georgia" w:hAnsi="Georgia" w:cs="Arial"/>
                <w:sz w:val="20"/>
                <w:szCs w:val="20"/>
              </w:rPr>
              <w:t>22</w:t>
            </w:r>
          </w:p>
        </w:tc>
        <w:tc>
          <w:tcPr>
            <w:tcW w:w="562" w:type="pct"/>
            <w:tcBorders>
              <w:top w:val="nil"/>
              <w:left w:val="nil"/>
              <w:bottom w:val="nil"/>
              <w:right w:val="nil"/>
            </w:tcBorders>
            <w:hideMark/>
          </w:tcPr>
          <w:p w14:paraId="4251858C"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20</w:t>
            </w:r>
          </w:p>
        </w:tc>
        <w:tc>
          <w:tcPr>
            <w:cnfStyle w:val="000010000000" w:firstRow="0" w:lastRow="0" w:firstColumn="0" w:lastColumn="0" w:oddVBand="1" w:evenVBand="0" w:oddHBand="0" w:evenHBand="0" w:firstRowFirstColumn="0" w:firstRowLastColumn="0" w:lastRowFirstColumn="0" w:lastRowLastColumn="0"/>
            <w:tcW w:w="590" w:type="pct"/>
            <w:tcBorders>
              <w:top w:val="nil"/>
              <w:bottom w:val="nil"/>
            </w:tcBorders>
            <w:hideMark/>
          </w:tcPr>
          <w:p w14:paraId="4C7D1A03" w14:textId="77777777" w:rsidR="00583EB1" w:rsidRDefault="00583EB1" w:rsidP="00583EB1">
            <w:pPr>
              <w:jc w:val="center"/>
              <w:rPr>
                <w:rFonts w:ascii="Georgia" w:hAnsi="Georgia" w:cs="Arial"/>
                <w:sz w:val="20"/>
                <w:szCs w:val="20"/>
              </w:rPr>
            </w:pPr>
            <w:r>
              <w:rPr>
                <w:rFonts w:ascii="Georgia" w:hAnsi="Georgia" w:cs="Arial"/>
                <w:sz w:val="20"/>
                <w:szCs w:val="20"/>
              </w:rPr>
              <w:t>236</w:t>
            </w:r>
          </w:p>
        </w:tc>
      </w:tr>
      <w:tr w:rsidR="00260838" w14:paraId="100781B2" w14:textId="77777777" w:rsidTr="00093B65">
        <w:tc>
          <w:tcPr>
            <w:cnfStyle w:val="001000000000" w:firstRow="0" w:lastRow="0" w:firstColumn="1" w:lastColumn="0" w:oddVBand="0" w:evenVBand="0" w:oddHBand="0" w:evenHBand="0" w:firstRowFirstColumn="0" w:firstRowLastColumn="0" w:lastRowFirstColumn="0" w:lastRowLastColumn="0"/>
            <w:tcW w:w="1148" w:type="pct"/>
            <w:tcBorders>
              <w:right w:val="nil"/>
            </w:tcBorders>
            <w:hideMark/>
          </w:tcPr>
          <w:p w14:paraId="374892B0" w14:textId="77777777" w:rsidR="00583EB1" w:rsidRPr="00736CD2" w:rsidRDefault="00583EB1" w:rsidP="00855713">
            <w:pPr>
              <w:rPr>
                <w:rFonts w:ascii="Georgia" w:hAnsi="Georgia" w:cs="Arial"/>
                <w:b w:val="0"/>
                <w:bCs w:val="0"/>
                <w:sz w:val="20"/>
                <w:szCs w:val="20"/>
              </w:rPr>
            </w:pPr>
            <w:r w:rsidRPr="00736CD2">
              <w:rPr>
                <w:rFonts w:ascii="Georgia" w:hAnsi="Georgia" w:cs="Arial"/>
                <w:sz w:val="20"/>
                <w:szCs w:val="20"/>
              </w:rPr>
              <w:t>Mikrofinansavim</w:t>
            </w:r>
            <w:r w:rsidR="00855713">
              <w:rPr>
                <w:rFonts w:ascii="Georgia" w:hAnsi="Georgia" w:cs="Arial"/>
                <w:sz w:val="20"/>
                <w:szCs w:val="20"/>
              </w:rPr>
              <w:t>as</w:t>
            </w:r>
            <w:r w:rsidRPr="00736CD2">
              <w:rPr>
                <w:rFonts w:ascii="Georgia" w:hAnsi="Georgia" w:cs="Arial"/>
                <w:sz w:val="20"/>
                <w:szCs w:val="20"/>
              </w:rPr>
              <w:t xml:space="preserve"> (mln. €)</w:t>
            </w:r>
          </w:p>
        </w:tc>
        <w:tc>
          <w:tcPr>
            <w:cnfStyle w:val="000010000000" w:firstRow="0" w:lastRow="0" w:firstColumn="0" w:lastColumn="0" w:oddVBand="1" w:evenVBand="0" w:oddHBand="0" w:evenHBand="0" w:firstRowFirstColumn="0" w:firstRowLastColumn="0" w:lastRowFirstColumn="0" w:lastRowLastColumn="0"/>
            <w:tcW w:w="461" w:type="pct"/>
            <w:hideMark/>
          </w:tcPr>
          <w:p w14:paraId="763039E2" w14:textId="77777777" w:rsidR="00583EB1" w:rsidRDefault="00583EB1" w:rsidP="00583EB1">
            <w:pPr>
              <w:jc w:val="center"/>
              <w:rPr>
                <w:rFonts w:ascii="Georgia" w:hAnsi="Georgia" w:cs="Arial"/>
                <w:sz w:val="20"/>
                <w:szCs w:val="20"/>
              </w:rPr>
            </w:pPr>
            <w:r>
              <w:rPr>
                <w:rFonts w:ascii="Georgia" w:hAnsi="Georgia" w:cs="Arial"/>
                <w:sz w:val="20"/>
                <w:szCs w:val="20"/>
              </w:rPr>
              <w:t>53,8</w:t>
            </w:r>
          </w:p>
        </w:tc>
        <w:tc>
          <w:tcPr>
            <w:tcW w:w="558" w:type="pct"/>
            <w:tcBorders>
              <w:left w:val="nil"/>
              <w:right w:val="nil"/>
            </w:tcBorders>
            <w:hideMark/>
          </w:tcPr>
          <w:p w14:paraId="33298C09"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40</w:t>
            </w:r>
          </w:p>
        </w:tc>
        <w:tc>
          <w:tcPr>
            <w:cnfStyle w:val="000010000000" w:firstRow="0" w:lastRow="0" w:firstColumn="0" w:lastColumn="0" w:oddVBand="1" w:evenVBand="0" w:oddHBand="0" w:evenHBand="0" w:firstRowFirstColumn="0" w:firstRowLastColumn="0" w:lastRowFirstColumn="0" w:lastRowLastColumn="0"/>
            <w:tcW w:w="557" w:type="pct"/>
            <w:hideMark/>
          </w:tcPr>
          <w:p w14:paraId="5BEE15B3" w14:textId="77777777" w:rsidR="00583EB1" w:rsidRDefault="00583EB1" w:rsidP="00583EB1">
            <w:pPr>
              <w:jc w:val="center"/>
              <w:rPr>
                <w:rFonts w:ascii="Georgia" w:hAnsi="Georgia" w:cs="Arial"/>
                <w:sz w:val="20"/>
                <w:szCs w:val="20"/>
              </w:rPr>
            </w:pPr>
            <w:r>
              <w:rPr>
                <w:rFonts w:ascii="Georgia" w:hAnsi="Georgia" w:cs="Arial"/>
                <w:sz w:val="20"/>
                <w:szCs w:val="20"/>
              </w:rPr>
              <w:t>77</w:t>
            </w:r>
          </w:p>
        </w:tc>
        <w:tc>
          <w:tcPr>
            <w:tcW w:w="564" w:type="pct"/>
            <w:tcBorders>
              <w:left w:val="nil"/>
              <w:right w:val="nil"/>
            </w:tcBorders>
            <w:hideMark/>
          </w:tcPr>
          <w:p w14:paraId="57C36B76"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cnfStyle w:val="000010000000" w:firstRow="0" w:lastRow="0" w:firstColumn="0" w:lastColumn="0" w:oddVBand="1" w:evenVBand="0" w:oddHBand="0" w:evenHBand="0" w:firstRowFirstColumn="0" w:firstRowLastColumn="0" w:lastRowFirstColumn="0" w:lastRowLastColumn="0"/>
            <w:tcW w:w="561" w:type="pct"/>
            <w:hideMark/>
          </w:tcPr>
          <w:p w14:paraId="7EFE7C3C" w14:textId="77777777" w:rsidR="00583EB1" w:rsidRDefault="00583EB1" w:rsidP="00583EB1">
            <w:pPr>
              <w:jc w:val="center"/>
              <w:rPr>
                <w:rFonts w:ascii="Georgia" w:hAnsi="Georgia" w:cs="Arial"/>
                <w:sz w:val="20"/>
                <w:szCs w:val="20"/>
              </w:rPr>
            </w:pPr>
            <w:r>
              <w:rPr>
                <w:rFonts w:ascii="Georgia" w:hAnsi="Georgia" w:cs="Arial"/>
                <w:sz w:val="20"/>
                <w:szCs w:val="20"/>
              </w:rPr>
              <w:t>-</w:t>
            </w:r>
          </w:p>
        </w:tc>
        <w:tc>
          <w:tcPr>
            <w:tcW w:w="562" w:type="pct"/>
            <w:tcBorders>
              <w:left w:val="nil"/>
              <w:right w:val="nil"/>
            </w:tcBorders>
            <w:hideMark/>
          </w:tcPr>
          <w:p w14:paraId="03F0F8FF"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cnfStyle w:val="000010000000" w:firstRow="0" w:lastRow="0" w:firstColumn="0" w:lastColumn="0" w:oddVBand="1" w:evenVBand="0" w:oddHBand="0" w:evenHBand="0" w:firstRowFirstColumn="0" w:firstRowLastColumn="0" w:lastRowFirstColumn="0" w:lastRowLastColumn="0"/>
            <w:tcW w:w="590" w:type="pct"/>
            <w:hideMark/>
          </w:tcPr>
          <w:p w14:paraId="4E8CF107" w14:textId="77777777" w:rsidR="00583EB1" w:rsidRDefault="00583EB1" w:rsidP="00583EB1">
            <w:pPr>
              <w:jc w:val="center"/>
              <w:rPr>
                <w:rFonts w:ascii="Georgia" w:hAnsi="Georgia" w:cs="Arial"/>
                <w:sz w:val="20"/>
                <w:szCs w:val="20"/>
              </w:rPr>
            </w:pPr>
            <w:r>
              <w:rPr>
                <w:rFonts w:ascii="Georgia" w:hAnsi="Georgia" w:cs="Arial"/>
                <w:color w:val="000000"/>
                <w:sz w:val="20"/>
                <w:szCs w:val="20"/>
              </w:rPr>
              <w:t>170,8</w:t>
            </w:r>
          </w:p>
        </w:tc>
      </w:tr>
      <w:tr w:rsidR="00260838" w14:paraId="718A246C" w14:textId="77777777" w:rsidTr="00093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pct"/>
            <w:tcBorders>
              <w:top w:val="nil"/>
              <w:bottom w:val="nil"/>
              <w:right w:val="nil"/>
            </w:tcBorders>
            <w:hideMark/>
          </w:tcPr>
          <w:p w14:paraId="0B074F93" w14:textId="77777777" w:rsidR="00583EB1" w:rsidRPr="00736CD2" w:rsidRDefault="00583EB1" w:rsidP="00583EB1">
            <w:pPr>
              <w:rPr>
                <w:rFonts w:ascii="Georgia" w:hAnsi="Georgia" w:cs="Arial"/>
                <w:b w:val="0"/>
                <w:bCs w:val="0"/>
                <w:sz w:val="20"/>
                <w:szCs w:val="20"/>
              </w:rPr>
            </w:pPr>
            <w:r w:rsidRPr="00736CD2">
              <w:rPr>
                <w:rFonts w:ascii="Georgia" w:hAnsi="Georgia" w:cs="Arial"/>
                <w:sz w:val="20"/>
                <w:szCs w:val="20"/>
              </w:rPr>
              <w:t>Mikrofinansavimas (sutartys, vnt.)</w:t>
            </w:r>
          </w:p>
        </w:tc>
        <w:tc>
          <w:tcPr>
            <w:cnfStyle w:val="000010000000" w:firstRow="0" w:lastRow="0" w:firstColumn="0" w:lastColumn="0" w:oddVBand="1" w:evenVBand="0" w:oddHBand="0" w:evenHBand="0" w:firstRowFirstColumn="0" w:firstRowLastColumn="0" w:lastRowFirstColumn="0" w:lastRowLastColumn="0"/>
            <w:tcW w:w="461" w:type="pct"/>
            <w:tcBorders>
              <w:top w:val="nil"/>
              <w:bottom w:val="nil"/>
            </w:tcBorders>
            <w:hideMark/>
          </w:tcPr>
          <w:p w14:paraId="32847FF0" w14:textId="77777777" w:rsidR="00583EB1" w:rsidRDefault="00583EB1" w:rsidP="00583EB1">
            <w:pPr>
              <w:jc w:val="center"/>
              <w:rPr>
                <w:rFonts w:ascii="Georgia" w:hAnsi="Georgia" w:cs="Arial"/>
                <w:sz w:val="20"/>
                <w:szCs w:val="20"/>
              </w:rPr>
            </w:pPr>
            <w:r>
              <w:rPr>
                <w:rFonts w:ascii="Georgia" w:hAnsi="Georgia" w:cs="Arial"/>
                <w:sz w:val="20"/>
                <w:szCs w:val="20"/>
              </w:rPr>
              <w:t>26</w:t>
            </w:r>
          </w:p>
        </w:tc>
        <w:tc>
          <w:tcPr>
            <w:tcW w:w="558" w:type="pct"/>
            <w:tcBorders>
              <w:top w:val="nil"/>
              <w:left w:val="nil"/>
              <w:bottom w:val="nil"/>
              <w:right w:val="nil"/>
            </w:tcBorders>
            <w:hideMark/>
          </w:tcPr>
          <w:p w14:paraId="202CE33F"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14</w:t>
            </w:r>
          </w:p>
        </w:tc>
        <w:tc>
          <w:tcPr>
            <w:cnfStyle w:val="000010000000" w:firstRow="0" w:lastRow="0" w:firstColumn="0" w:lastColumn="0" w:oddVBand="1" w:evenVBand="0" w:oddHBand="0" w:evenHBand="0" w:firstRowFirstColumn="0" w:firstRowLastColumn="0" w:lastRowFirstColumn="0" w:lastRowLastColumn="0"/>
            <w:tcW w:w="557" w:type="pct"/>
            <w:tcBorders>
              <w:top w:val="nil"/>
              <w:bottom w:val="nil"/>
            </w:tcBorders>
            <w:hideMark/>
          </w:tcPr>
          <w:p w14:paraId="75169F2E" w14:textId="77777777" w:rsidR="00583EB1" w:rsidRDefault="00583EB1" w:rsidP="00583EB1">
            <w:pPr>
              <w:jc w:val="center"/>
              <w:rPr>
                <w:rFonts w:ascii="Georgia" w:hAnsi="Georgia" w:cs="Arial"/>
                <w:sz w:val="20"/>
                <w:szCs w:val="20"/>
              </w:rPr>
            </w:pPr>
            <w:r>
              <w:rPr>
                <w:rFonts w:ascii="Georgia" w:hAnsi="Georgia" w:cs="Arial"/>
                <w:sz w:val="20"/>
                <w:szCs w:val="20"/>
              </w:rPr>
              <w:t>17</w:t>
            </w:r>
          </w:p>
        </w:tc>
        <w:tc>
          <w:tcPr>
            <w:tcW w:w="564" w:type="pct"/>
            <w:tcBorders>
              <w:top w:val="nil"/>
              <w:left w:val="nil"/>
              <w:bottom w:val="nil"/>
              <w:right w:val="nil"/>
            </w:tcBorders>
            <w:hideMark/>
          </w:tcPr>
          <w:p w14:paraId="7FE5A9DC"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cnfStyle w:val="000010000000" w:firstRow="0" w:lastRow="0" w:firstColumn="0" w:lastColumn="0" w:oddVBand="1" w:evenVBand="0" w:oddHBand="0" w:evenHBand="0" w:firstRowFirstColumn="0" w:firstRowLastColumn="0" w:lastRowFirstColumn="0" w:lastRowLastColumn="0"/>
            <w:tcW w:w="561" w:type="pct"/>
            <w:tcBorders>
              <w:top w:val="nil"/>
              <w:bottom w:val="nil"/>
            </w:tcBorders>
            <w:hideMark/>
          </w:tcPr>
          <w:p w14:paraId="28B24A65" w14:textId="77777777" w:rsidR="00583EB1" w:rsidRDefault="00583EB1" w:rsidP="00583EB1">
            <w:pPr>
              <w:jc w:val="center"/>
              <w:rPr>
                <w:rFonts w:ascii="Georgia" w:hAnsi="Georgia" w:cs="Arial"/>
                <w:sz w:val="20"/>
                <w:szCs w:val="20"/>
              </w:rPr>
            </w:pPr>
            <w:r>
              <w:rPr>
                <w:rFonts w:ascii="Georgia" w:hAnsi="Georgia" w:cs="Arial"/>
                <w:sz w:val="20"/>
                <w:szCs w:val="20"/>
              </w:rPr>
              <w:t>-</w:t>
            </w:r>
          </w:p>
        </w:tc>
        <w:tc>
          <w:tcPr>
            <w:tcW w:w="562" w:type="pct"/>
            <w:tcBorders>
              <w:top w:val="nil"/>
              <w:left w:val="nil"/>
              <w:bottom w:val="nil"/>
              <w:right w:val="nil"/>
            </w:tcBorders>
            <w:hideMark/>
          </w:tcPr>
          <w:p w14:paraId="5ADCC6B4"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cnfStyle w:val="000010000000" w:firstRow="0" w:lastRow="0" w:firstColumn="0" w:lastColumn="0" w:oddVBand="1" w:evenVBand="0" w:oddHBand="0" w:evenHBand="0" w:firstRowFirstColumn="0" w:firstRowLastColumn="0" w:lastRowFirstColumn="0" w:lastRowLastColumn="0"/>
            <w:tcW w:w="590" w:type="pct"/>
            <w:tcBorders>
              <w:top w:val="nil"/>
              <w:bottom w:val="nil"/>
            </w:tcBorders>
            <w:hideMark/>
          </w:tcPr>
          <w:p w14:paraId="62BFC234" w14:textId="77777777" w:rsidR="00583EB1" w:rsidRDefault="00583EB1" w:rsidP="00583EB1">
            <w:pPr>
              <w:jc w:val="center"/>
              <w:rPr>
                <w:rFonts w:ascii="Georgia" w:hAnsi="Georgia" w:cs="Arial"/>
                <w:sz w:val="20"/>
                <w:szCs w:val="20"/>
              </w:rPr>
            </w:pPr>
            <w:r>
              <w:rPr>
                <w:rFonts w:ascii="Georgia" w:hAnsi="Georgia" w:cs="Arial"/>
                <w:color w:val="000000"/>
                <w:sz w:val="20"/>
                <w:szCs w:val="20"/>
              </w:rPr>
              <w:t>57</w:t>
            </w:r>
          </w:p>
        </w:tc>
      </w:tr>
      <w:tr w:rsidR="00260838" w14:paraId="5D776C09" w14:textId="77777777" w:rsidTr="00093B65">
        <w:tc>
          <w:tcPr>
            <w:cnfStyle w:val="001000000000" w:firstRow="0" w:lastRow="0" w:firstColumn="1" w:lastColumn="0" w:oddVBand="0" w:evenVBand="0" w:oddHBand="0" w:evenHBand="0" w:firstRowFirstColumn="0" w:firstRowLastColumn="0" w:lastRowFirstColumn="0" w:lastRowLastColumn="0"/>
            <w:tcW w:w="1148" w:type="pct"/>
            <w:tcBorders>
              <w:right w:val="nil"/>
            </w:tcBorders>
            <w:hideMark/>
          </w:tcPr>
          <w:p w14:paraId="5BA433C6" w14:textId="77777777" w:rsidR="00583EB1" w:rsidRPr="00736CD2" w:rsidRDefault="00583EB1" w:rsidP="00583EB1">
            <w:pPr>
              <w:rPr>
                <w:rFonts w:ascii="Georgia" w:hAnsi="Georgia" w:cs="Arial"/>
                <w:b w:val="0"/>
                <w:bCs w:val="0"/>
                <w:sz w:val="20"/>
                <w:szCs w:val="20"/>
              </w:rPr>
            </w:pPr>
            <w:r w:rsidRPr="00736CD2">
              <w:rPr>
                <w:rFonts w:ascii="Georgia" w:hAnsi="Georgia" w:cs="Arial"/>
                <w:sz w:val="20"/>
                <w:szCs w:val="20"/>
              </w:rPr>
              <w:t>Rizikos kapitalas (mln. €)</w:t>
            </w:r>
          </w:p>
        </w:tc>
        <w:tc>
          <w:tcPr>
            <w:cnfStyle w:val="000010000000" w:firstRow="0" w:lastRow="0" w:firstColumn="0" w:lastColumn="0" w:oddVBand="1" w:evenVBand="0" w:oddHBand="0" w:evenHBand="0" w:firstRowFirstColumn="0" w:firstRowLastColumn="0" w:lastRowFirstColumn="0" w:lastRowLastColumn="0"/>
            <w:tcW w:w="461" w:type="pct"/>
            <w:hideMark/>
          </w:tcPr>
          <w:p w14:paraId="45632C8A" w14:textId="77777777" w:rsidR="00583EB1" w:rsidRDefault="00583EB1" w:rsidP="00583EB1">
            <w:pPr>
              <w:jc w:val="center"/>
              <w:rPr>
                <w:rFonts w:ascii="Georgia" w:hAnsi="Georgia" w:cs="Arial"/>
                <w:sz w:val="20"/>
                <w:szCs w:val="20"/>
              </w:rPr>
            </w:pPr>
            <w:r>
              <w:rPr>
                <w:rFonts w:ascii="Georgia" w:hAnsi="Georgia" w:cs="Arial"/>
                <w:sz w:val="20"/>
                <w:szCs w:val="20"/>
              </w:rPr>
              <w:t>-</w:t>
            </w:r>
          </w:p>
        </w:tc>
        <w:tc>
          <w:tcPr>
            <w:tcW w:w="558" w:type="pct"/>
            <w:tcBorders>
              <w:left w:val="nil"/>
              <w:right w:val="nil"/>
            </w:tcBorders>
            <w:hideMark/>
          </w:tcPr>
          <w:p w14:paraId="08B07C68"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cnfStyle w:val="000010000000" w:firstRow="0" w:lastRow="0" w:firstColumn="0" w:lastColumn="0" w:oddVBand="1" w:evenVBand="0" w:oddHBand="0" w:evenHBand="0" w:firstRowFirstColumn="0" w:firstRowLastColumn="0" w:lastRowFirstColumn="0" w:lastRowLastColumn="0"/>
            <w:tcW w:w="557" w:type="pct"/>
            <w:hideMark/>
          </w:tcPr>
          <w:p w14:paraId="75A16630" w14:textId="77777777" w:rsidR="00583EB1" w:rsidRDefault="00583EB1" w:rsidP="00260838">
            <w:pPr>
              <w:jc w:val="center"/>
              <w:rPr>
                <w:rFonts w:ascii="Georgia" w:hAnsi="Georgia" w:cs="Arial"/>
                <w:sz w:val="20"/>
                <w:szCs w:val="20"/>
              </w:rPr>
            </w:pPr>
            <w:r>
              <w:rPr>
                <w:rFonts w:ascii="Georgia" w:hAnsi="Georgia" w:cs="Arial"/>
                <w:sz w:val="20"/>
                <w:szCs w:val="20"/>
              </w:rPr>
              <w:t>1126</w:t>
            </w:r>
          </w:p>
        </w:tc>
        <w:tc>
          <w:tcPr>
            <w:tcW w:w="564" w:type="pct"/>
            <w:tcBorders>
              <w:left w:val="nil"/>
              <w:right w:val="nil"/>
            </w:tcBorders>
            <w:hideMark/>
          </w:tcPr>
          <w:p w14:paraId="4BDA396C"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930</w:t>
            </w:r>
          </w:p>
        </w:tc>
        <w:tc>
          <w:tcPr>
            <w:cnfStyle w:val="000010000000" w:firstRow="0" w:lastRow="0" w:firstColumn="0" w:lastColumn="0" w:oddVBand="1" w:evenVBand="0" w:oddHBand="0" w:evenHBand="0" w:firstRowFirstColumn="0" w:firstRowLastColumn="0" w:lastRowFirstColumn="0" w:lastRowLastColumn="0"/>
            <w:tcW w:w="561" w:type="pct"/>
            <w:hideMark/>
          </w:tcPr>
          <w:p w14:paraId="0DD9B2FD" w14:textId="77777777" w:rsidR="00583EB1" w:rsidRDefault="00583EB1" w:rsidP="00583EB1">
            <w:pPr>
              <w:jc w:val="center"/>
              <w:rPr>
                <w:rFonts w:ascii="Georgia" w:hAnsi="Georgia" w:cs="Arial"/>
                <w:sz w:val="20"/>
                <w:szCs w:val="20"/>
              </w:rPr>
            </w:pPr>
            <w:r>
              <w:rPr>
                <w:rFonts w:ascii="Georgia" w:hAnsi="Georgia" w:cs="Arial"/>
                <w:sz w:val="20"/>
                <w:szCs w:val="20"/>
              </w:rPr>
              <w:t>733</w:t>
            </w:r>
          </w:p>
        </w:tc>
        <w:tc>
          <w:tcPr>
            <w:tcW w:w="562" w:type="pct"/>
            <w:tcBorders>
              <w:left w:val="nil"/>
              <w:right w:val="nil"/>
            </w:tcBorders>
            <w:hideMark/>
          </w:tcPr>
          <w:p w14:paraId="73B443B6" w14:textId="77777777" w:rsidR="00583EB1" w:rsidRDefault="00583EB1" w:rsidP="00583EB1">
            <w:pPr>
              <w:jc w:val="cente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409</w:t>
            </w:r>
          </w:p>
        </w:tc>
        <w:tc>
          <w:tcPr>
            <w:cnfStyle w:val="000010000000" w:firstRow="0" w:lastRow="0" w:firstColumn="0" w:lastColumn="0" w:oddVBand="1" w:evenVBand="0" w:oddHBand="0" w:evenHBand="0" w:firstRowFirstColumn="0" w:firstRowLastColumn="0" w:lastRowFirstColumn="0" w:lastRowLastColumn="0"/>
            <w:tcW w:w="590" w:type="pct"/>
            <w:hideMark/>
          </w:tcPr>
          <w:p w14:paraId="659698F9" w14:textId="77777777" w:rsidR="00583EB1" w:rsidRDefault="00583EB1" w:rsidP="00260838">
            <w:pPr>
              <w:jc w:val="center"/>
              <w:rPr>
                <w:rFonts w:ascii="Georgia" w:hAnsi="Georgia" w:cs="Arial"/>
                <w:sz w:val="20"/>
                <w:szCs w:val="20"/>
              </w:rPr>
            </w:pPr>
            <w:r>
              <w:rPr>
                <w:rFonts w:ascii="Georgia" w:hAnsi="Georgia" w:cs="Arial"/>
                <w:color w:val="000000"/>
                <w:sz w:val="20"/>
                <w:szCs w:val="20"/>
              </w:rPr>
              <w:t>3198</w:t>
            </w:r>
          </w:p>
        </w:tc>
      </w:tr>
      <w:tr w:rsidR="00260838" w14:paraId="35F1935A" w14:textId="77777777" w:rsidTr="00093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pct"/>
            <w:tcBorders>
              <w:top w:val="nil"/>
              <w:right w:val="nil"/>
            </w:tcBorders>
            <w:hideMark/>
          </w:tcPr>
          <w:p w14:paraId="49787E78" w14:textId="77777777" w:rsidR="00583EB1" w:rsidRPr="00736CD2" w:rsidRDefault="00583EB1" w:rsidP="00583EB1">
            <w:pPr>
              <w:rPr>
                <w:rFonts w:ascii="Georgia" w:hAnsi="Georgia" w:cs="Arial"/>
                <w:b w:val="0"/>
                <w:bCs w:val="0"/>
                <w:sz w:val="20"/>
                <w:szCs w:val="20"/>
              </w:rPr>
            </w:pPr>
            <w:r w:rsidRPr="00736CD2">
              <w:rPr>
                <w:rFonts w:ascii="Georgia" w:hAnsi="Georgia" w:cs="Arial"/>
                <w:sz w:val="20"/>
                <w:szCs w:val="20"/>
              </w:rPr>
              <w:t>Rizikos kapitalas (sutartys, vnt.)</w:t>
            </w:r>
          </w:p>
        </w:tc>
        <w:tc>
          <w:tcPr>
            <w:cnfStyle w:val="000010000000" w:firstRow="0" w:lastRow="0" w:firstColumn="0" w:lastColumn="0" w:oddVBand="1" w:evenVBand="0" w:oddHBand="0" w:evenHBand="0" w:firstRowFirstColumn="0" w:firstRowLastColumn="0" w:lastRowFirstColumn="0" w:lastRowLastColumn="0"/>
            <w:tcW w:w="461" w:type="pct"/>
            <w:tcBorders>
              <w:top w:val="nil"/>
            </w:tcBorders>
            <w:hideMark/>
          </w:tcPr>
          <w:p w14:paraId="2E989C55" w14:textId="77777777" w:rsidR="00583EB1" w:rsidRDefault="00583EB1" w:rsidP="00583EB1">
            <w:pPr>
              <w:jc w:val="center"/>
              <w:rPr>
                <w:rFonts w:ascii="Georgia" w:hAnsi="Georgia" w:cs="Arial"/>
                <w:sz w:val="20"/>
                <w:szCs w:val="20"/>
              </w:rPr>
            </w:pPr>
            <w:r>
              <w:rPr>
                <w:rFonts w:ascii="Georgia" w:hAnsi="Georgia" w:cs="Arial"/>
                <w:sz w:val="20"/>
                <w:szCs w:val="20"/>
              </w:rPr>
              <w:t>-</w:t>
            </w:r>
          </w:p>
        </w:tc>
        <w:tc>
          <w:tcPr>
            <w:tcW w:w="558" w:type="pct"/>
            <w:tcBorders>
              <w:top w:val="nil"/>
              <w:left w:val="nil"/>
              <w:right w:val="nil"/>
            </w:tcBorders>
            <w:hideMark/>
          </w:tcPr>
          <w:p w14:paraId="2FB24172"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w:t>
            </w:r>
          </w:p>
        </w:tc>
        <w:tc>
          <w:tcPr>
            <w:cnfStyle w:val="000010000000" w:firstRow="0" w:lastRow="0" w:firstColumn="0" w:lastColumn="0" w:oddVBand="1" w:evenVBand="0" w:oddHBand="0" w:evenHBand="0" w:firstRowFirstColumn="0" w:firstRowLastColumn="0" w:lastRowFirstColumn="0" w:lastRowLastColumn="0"/>
            <w:tcW w:w="557" w:type="pct"/>
            <w:tcBorders>
              <w:top w:val="nil"/>
            </w:tcBorders>
            <w:hideMark/>
          </w:tcPr>
          <w:p w14:paraId="648580B6" w14:textId="77777777" w:rsidR="00583EB1" w:rsidRDefault="00583EB1" w:rsidP="00583EB1">
            <w:pPr>
              <w:jc w:val="center"/>
              <w:rPr>
                <w:rFonts w:ascii="Georgia" w:hAnsi="Georgia" w:cs="Arial"/>
                <w:sz w:val="20"/>
                <w:szCs w:val="20"/>
              </w:rPr>
            </w:pPr>
            <w:r>
              <w:rPr>
                <w:rFonts w:ascii="Georgia" w:hAnsi="Georgia" w:cs="Arial"/>
                <w:sz w:val="20"/>
                <w:szCs w:val="20"/>
              </w:rPr>
              <w:t>49</w:t>
            </w:r>
          </w:p>
        </w:tc>
        <w:tc>
          <w:tcPr>
            <w:tcW w:w="564" w:type="pct"/>
            <w:tcBorders>
              <w:top w:val="nil"/>
              <w:left w:val="nil"/>
              <w:right w:val="nil"/>
            </w:tcBorders>
            <w:hideMark/>
          </w:tcPr>
          <w:p w14:paraId="70A7BF33"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43</w:t>
            </w:r>
          </w:p>
        </w:tc>
        <w:tc>
          <w:tcPr>
            <w:cnfStyle w:val="000010000000" w:firstRow="0" w:lastRow="0" w:firstColumn="0" w:lastColumn="0" w:oddVBand="1" w:evenVBand="0" w:oddHBand="0" w:evenHBand="0" w:firstRowFirstColumn="0" w:firstRowLastColumn="0" w:lastRowFirstColumn="0" w:lastRowLastColumn="0"/>
            <w:tcW w:w="561" w:type="pct"/>
            <w:tcBorders>
              <w:top w:val="nil"/>
            </w:tcBorders>
            <w:hideMark/>
          </w:tcPr>
          <w:p w14:paraId="6E5EF5BF" w14:textId="77777777" w:rsidR="00583EB1" w:rsidRDefault="00583EB1" w:rsidP="00583EB1">
            <w:pPr>
              <w:jc w:val="center"/>
              <w:rPr>
                <w:rFonts w:ascii="Georgia" w:hAnsi="Georgia" w:cs="Arial"/>
                <w:sz w:val="20"/>
                <w:szCs w:val="20"/>
              </w:rPr>
            </w:pPr>
            <w:r>
              <w:rPr>
                <w:rFonts w:ascii="Georgia" w:hAnsi="Georgia" w:cs="Arial"/>
                <w:sz w:val="20"/>
                <w:szCs w:val="20"/>
              </w:rPr>
              <w:t>39</w:t>
            </w:r>
          </w:p>
        </w:tc>
        <w:tc>
          <w:tcPr>
            <w:tcW w:w="562" w:type="pct"/>
            <w:tcBorders>
              <w:top w:val="nil"/>
              <w:left w:val="nil"/>
              <w:right w:val="nil"/>
            </w:tcBorders>
            <w:hideMark/>
          </w:tcPr>
          <w:p w14:paraId="4C0681B8" w14:textId="77777777" w:rsidR="00583EB1" w:rsidRDefault="00583EB1" w:rsidP="00583EB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rPr>
            </w:pPr>
            <w:r>
              <w:rPr>
                <w:rFonts w:ascii="Georgia" w:hAnsi="Georgia" w:cs="Arial"/>
                <w:sz w:val="20"/>
                <w:szCs w:val="20"/>
              </w:rPr>
              <w:t>32</w:t>
            </w:r>
          </w:p>
        </w:tc>
        <w:tc>
          <w:tcPr>
            <w:cnfStyle w:val="000010000000" w:firstRow="0" w:lastRow="0" w:firstColumn="0" w:lastColumn="0" w:oddVBand="1" w:evenVBand="0" w:oddHBand="0" w:evenHBand="0" w:firstRowFirstColumn="0" w:firstRowLastColumn="0" w:lastRowFirstColumn="0" w:lastRowLastColumn="0"/>
            <w:tcW w:w="590" w:type="pct"/>
            <w:tcBorders>
              <w:top w:val="nil"/>
            </w:tcBorders>
            <w:hideMark/>
          </w:tcPr>
          <w:p w14:paraId="30AB47E3" w14:textId="77777777" w:rsidR="00583EB1" w:rsidRDefault="00583EB1" w:rsidP="00583EB1">
            <w:pPr>
              <w:jc w:val="center"/>
              <w:rPr>
                <w:rFonts w:ascii="Georgia" w:hAnsi="Georgia" w:cs="Arial"/>
                <w:sz w:val="20"/>
                <w:szCs w:val="20"/>
              </w:rPr>
            </w:pPr>
            <w:r>
              <w:rPr>
                <w:rFonts w:ascii="Georgia" w:hAnsi="Georgia" w:cs="Arial"/>
                <w:color w:val="000000"/>
                <w:sz w:val="20"/>
                <w:szCs w:val="20"/>
              </w:rPr>
              <w:t>163</w:t>
            </w:r>
          </w:p>
        </w:tc>
      </w:tr>
    </w:tbl>
    <w:p w14:paraId="0FAEACE7" w14:textId="77777777" w:rsidR="00583EB1" w:rsidRDefault="00583EB1" w:rsidP="00583EB1">
      <w:pPr>
        <w:rPr>
          <w:rFonts w:ascii="Georgia" w:hAnsi="Georgia" w:cs="Arial"/>
          <w:sz w:val="20"/>
          <w:szCs w:val="20"/>
          <w:lang w:val="lt-LT"/>
        </w:rPr>
      </w:pPr>
      <w:r w:rsidRPr="006167C8">
        <w:rPr>
          <w:rFonts w:ascii="Georgia" w:eastAsia="PMingLiU" w:hAnsi="Georgia" w:cs="Times New Roman"/>
          <w:bCs/>
          <w:i/>
          <w:color w:val="A32020"/>
          <w:sz w:val="20"/>
          <w:szCs w:val="18"/>
          <w:lang w:val="lt-LT"/>
        </w:rPr>
        <w:t>Šaltinis: EIB statistikos ir metinių ataskaitų duomenys</w:t>
      </w:r>
      <w:r>
        <w:rPr>
          <w:rStyle w:val="Puslapioinaosnuoroda"/>
          <w:rFonts w:ascii="Georgia" w:hAnsi="Georgia" w:cs="Arial"/>
          <w:i/>
          <w:sz w:val="20"/>
          <w:szCs w:val="20"/>
          <w:lang w:val="lt-LT"/>
        </w:rPr>
        <w:footnoteReference w:id="61"/>
      </w:r>
      <w:r>
        <w:rPr>
          <w:rFonts w:ascii="Georgia" w:hAnsi="Georgia" w:cs="Arial"/>
          <w:sz w:val="20"/>
          <w:szCs w:val="20"/>
          <w:lang w:val="lt-LT"/>
        </w:rPr>
        <w:t xml:space="preserve">.  </w:t>
      </w:r>
    </w:p>
    <w:p w14:paraId="3B2BDF27" w14:textId="77777777" w:rsidR="00583EB1" w:rsidRPr="00F20D34" w:rsidRDefault="00583EB1" w:rsidP="00583EB1">
      <w:pPr>
        <w:pStyle w:val="Antrat"/>
        <w:spacing w:line="276" w:lineRule="auto"/>
        <w:jc w:val="both"/>
        <w:rPr>
          <w:rFonts w:cs="Arial"/>
          <w:b w:val="0"/>
          <w:iCs/>
          <w:color w:val="auto"/>
          <w:szCs w:val="20"/>
          <w:lang w:val="lt-LT"/>
        </w:rPr>
      </w:pPr>
      <w:r w:rsidRPr="00F20D34">
        <w:rPr>
          <w:rFonts w:cs="Arial"/>
          <w:b w:val="0"/>
          <w:iCs/>
          <w:color w:val="auto"/>
          <w:szCs w:val="20"/>
          <w:lang w:val="lt-LT"/>
        </w:rPr>
        <w:lastRenderedPageBreak/>
        <w:t xml:space="preserve">EIB 2013 m. su Europos Sąjungos valstybėmis narėmis pasirašytų sutarčių pasiskirstymas pagal sektorius pateikiamas paveiksle </w:t>
      </w:r>
      <w:r>
        <w:rPr>
          <w:rFonts w:cs="Arial"/>
          <w:b w:val="0"/>
          <w:iCs/>
          <w:color w:val="auto"/>
          <w:szCs w:val="20"/>
          <w:lang w:val="lt-LT"/>
        </w:rPr>
        <w:t>žemiau</w:t>
      </w:r>
      <w:r w:rsidRPr="00F20D34">
        <w:rPr>
          <w:rFonts w:cs="Arial"/>
          <w:b w:val="0"/>
          <w:iCs/>
          <w:color w:val="auto"/>
          <w:szCs w:val="20"/>
          <w:lang w:val="lt-LT"/>
        </w:rPr>
        <w:t>.</w:t>
      </w:r>
    </w:p>
    <w:p w14:paraId="1D1CAEB7" w14:textId="77777777" w:rsidR="00583EB1" w:rsidRDefault="00583EB1" w:rsidP="00093B65">
      <w:pPr>
        <w:spacing w:after="0" w:line="240" w:lineRule="auto"/>
        <w:jc w:val="center"/>
        <w:rPr>
          <w:rFonts w:ascii="Georgia" w:hAnsi="Georgia"/>
          <w:sz w:val="20"/>
          <w:szCs w:val="20"/>
          <w:lang w:val="lt-LT"/>
        </w:rPr>
      </w:pPr>
      <w:r>
        <w:rPr>
          <w:noProof/>
          <w:lang w:val="lt-LT" w:eastAsia="lt-LT"/>
        </w:rPr>
        <w:drawing>
          <wp:inline distT="0" distB="0" distL="0" distR="0" wp14:anchorId="5E9CE5BB" wp14:editId="44261545">
            <wp:extent cx="3814549" cy="2292824"/>
            <wp:effectExtent l="0" t="0" r="14605" b="12700"/>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0676A42" w14:textId="7FC73D00" w:rsidR="00583EB1" w:rsidRDefault="00583EB1" w:rsidP="00583EB1">
      <w:pPr>
        <w:pStyle w:val="Antrat"/>
        <w:spacing w:line="276" w:lineRule="auto"/>
        <w:jc w:val="both"/>
        <w:rPr>
          <w:lang w:val="lt-LT"/>
        </w:rPr>
      </w:pPr>
      <w:bookmarkStart w:id="96" w:name="_Toc417378290"/>
      <w:r w:rsidRPr="007B16A2">
        <w:rPr>
          <w:lang w:val="lt-LT"/>
        </w:rPr>
        <w:t xml:space="preserve">Paveikslas </w:t>
      </w:r>
      <w:r w:rsidRPr="007B16A2">
        <w:rPr>
          <w:lang w:val="lt-LT"/>
        </w:rPr>
        <w:fldChar w:fldCharType="begin"/>
      </w:r>
      <w:r w:rsidRPr="007B16A2">
        <w:rPr>
          <w:lang w:val="lt-LT"/>
        </w:rPr>
        <w:instrText xml:space="preserve"> SEQ Paveikslas \* ARABIC </w:instrText>
      </w:r>
      <w:r w:rsidRPr="007B16A2">
        <w:rPr>
          <w:lang w:val="lt-LT"/>
        </w:rPr>
        <w:fldChar w:fldCharType="separate"/>
      </w:r>
      <w:r w:rsidR="00AA3082">
        <w:rPr>
          <w:noProof/>
          <w:lang w:val="lt-LT"/>
        </w:rPr>
        <w:t>13</w:t>
      </w:r>
      <w:r w:rsidRPr="007B16A2">
        <w:rPr>
          <w:lang w:val="lt-LT"/>
        </w:rPr>
        <w:fldChar w:fldCharType="end"/>
      </w:r>
      <w:r w:rsidRPr="007B16A2">
        <w:rPr>
          <w:lang w:val="lt-LT"/>
        </w:rPr>
        <w:t>. 2013 m. pasirašytų sutarčių pasiskirstymas pagal sektorius (Europos Sąjung</w:t>
      </w:r>
      <w:r>
        <w:rPr>
          <w:lang w:val="lt-LT"/>
        </w:rPr>
        <w:t>oje</w:t>
      </w:r>
      <w:r w:rsidRPr="007B16A2">
        <w:rPr>
          <w:lang w:val="lt-LT"/>
        </w:rPr>
        <w:t>) (mln. eurų)</w:t>
      </w:r>
      <w:r>
        <w:rPr>
          <w:rStyle w:val="Puslapioinaosnuoroda"/>
          <w:lang w:val="lt-LT"/>
        </w:rPr>
        <w:footnoteReference w:id="62"/>
      </w:r>
      <w:bookmarkEnd w:id="96"/>
    </w:p>
    <w:p w14:paraId="4A6466A1" w14:textId="77777777" w:rsidR="00A074B2" w:rsidRPr="00A074B2" w:rsidRDefault="00A074B2" w:rsidP="00A074B2">
      <w:pPr>
        <w:rPr>
          <w:lang w:val="lt-LT"/>
        </w:rPr>
      </w:pPr>
    </w:p>
    <w:p w14:paraId="08C203AF" w14:textId="77777777" w:rsidR="00583EB1" w:rsidRDefault="00583EB1" w:rsidP="00583EB1">
      <w:pPr>
        <w:pStyle w:val="Antrat"/>
        <w:spacing w:line="276" w:lineRule="auto"/>
        <w:jc w:val="both"/>
        <w:rPr>
          <w:rFonts w:cs="Arial"/>
          <w:b w:val="0"/>
          <w:iCs/>
          <w:color w:val="auto"/>
          <w:szCs w:val="20"/>
          <w:lang w:val="lt-LT"/>
        </w:rPr>
      </w:pPr>
      <w:r>
        <w:rPr>
          <w:rFonts w:cs="Arial"/>
          <w:b w:val="0"/>
          <w:iCs/>
          <w:color w:val="auto"/>
          <w:szCs w:val="20"/>
          <w:lang w:val="lt-LT"/>
        </w:rPr>
        <w:t>EIB 2013 m. su valstybėmis partnerėmis pasirašytų sutarčių pasiskirstymas pagal sektoriu</w:t>
      </w:r>
      <w:r w:rsidR="00BF610B">
        <w:rPr>
          <w:rFonts w:cs="Arial"/>
          <w:b w:val="0"/>
          <w:iCs/>
          <w:color w:val="auto"/>
          <w:szCs w:val="20"/>
          <w:lang w:val="lt-LT"/>
        </w:rPr>
        <w:t>s pateikiamas paveiksle žemiau</w:t>
      </w:r>
      <w:r>
        <w:rPr>
          <w:rFonts w:cs="Arial"/>
          <w:b w:val="0"/>
          <w:iCs/>
          <w:color w:val="auto"/>
          <w:szCs w:val="20"/>
          <w:lang w:val="lt-LT"/>
        </w:rPr>
        <w:t>.</w:t>
      </w:r>
    </w:p>
    <w:p w14:paraId="16141835" w14:textId="77777777" w:rsidR="00583EB1" w:rsidRDefault="00583EB1" w:rsidP="00093B65">
      <w:pPr>
        <w:spacing w:after="0"/>
        <w:jc w:val="center"/>
        <w:rPr>
          <w:rFonts w:ascii="Georgia" w:hAnsi="Georgia"/>
          <w:sz w:val="20"/>
          <w:szCs w:val="20"/>
          <w:lang w:val="lt-LT"/>
        </w:rPr>
      </w:pPr>
      <w:r w:rsidRPr="00F20D34">
        <w:rPr>
          <w:rFonts w:ascii="Georgia" w:hAnsi="Georgia"/>
          <w:noProof/>
          <w:sz w:val="20"/>
          <w:szCs w:val="20"/>
          <w:lang w:val="lt-LT" w:eastAsia="lt-LT"/>
        </w:rPr>
        <w:drawing>
          <wp:inline distT="0" distB="0" distL="0" distR="0" wp14:anchorId="040AC5D9" wp14:editId="2C54B7C7">
            <wp:extent cx="3622040" cy="2185035"/>
            <wp:effectExtent l="0" t="0" r="0" b="5715"/>
            <wp:docPr id="4111" name="Paveikslėlis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622040" cy="2185035"/>
                    </a:xfrm>
                    <a:prstGeom prst="rect">
                      <a:avLst/>
                    </a:prstGeom>
                    <a:noFill/>
                    <a:ln>
                      <a:noFill/>
                    </a:ln>
                  </pic:spPr>
                </pic:pic>
              </a:graphicData>
            </a:graphic>
          </wp:inline>
        </w:drawing>
      </w:r>
    </w:p>
    <w:p w14:paraId="1BF1759C" w14:textId="684C84DC" w:rsidR="00583EB1" w:rsidRPr="00A3558B" w:rsidRDefault="00583EB1" w:rsidP="00583EB1">
      <w:pPr>
        <w:pStyle w:val="Antrat"/>
        <w:spacing w:line="276" w:lineRule="auto"/>
        <w:jc w:val="both"/>
        <w:rPr>
          <w:rFonts w:cs="Arial"/>
          <w:i/>
          <w:szCs w:val="20"/>
          <w:lang w:val="lt-LT"/>
        </w:rPr>
      </w:pPr>
      <w:bookmarkStart w:id="97" w:name="_Toc417378291"/>
      <w:r w:rsidRPr="007B16A2">
        <w:rPr>
          <w:lang w:val="lt-LT"/>
        </w:rPr>
        <w:t xml:space="preserve">Paveikslas </w:t>
      </w:r>
      <w:r w:rsidRPr="007B16A2">
        <w:rPr>
          <w:lang w:val="lt-LT"/>
        </w:rPr>
        <w:fldChar w:fldCharType="begin"/>
      </w:r>
      <w:r w:rsidRPr="007B16A2">
        <w:rPr>
          <w:lang w:val="lt-LT"/>
        </w:rPr>
        <w:instrText xml:space="preserve"> SEQ Paveikslas \* ARABIC </w:instrText>
      </w:r>
      <w:r w:rsidRPr="007B16A2">
        <w:rPr>
          <w:lang w:val="lt-LT"/>
        </w:rPr>
        <w:fldChar w:fldCharType="separate"/>
      </w:r>
      <w:r w:rsidR="00AA3082">
        <w:rPr>
          <w:noProof/>
          <w:lang w:val="lt-LT"/>
        </w:rPr>
        <w:t>14</w:t>
      </w:r>
      <w:r w:rsidRPr="007B16A2">
        <w:rPr>
          <w:lang w:val="lt-LT"/>
        </w:rPr>
        <w:fldChar w:fldCharType="end"/>
      </w:r>
      <w:r w:rsidRPr="007B16A2">
        <w:rPr>
          <w:lang w:val="lt-LT"/>
        </w:rPr>
        <w:t>. 2013 m. pasirašytų sutarčių pasiskirstymas pagal sektorius (Va</w:t>
      </w:r>
      <w:r>
        <w:rPr>
          <w:lang w:val="lt-LT"/>
        </w:rPr>
        <w:t>lstybės partnerės) (mln. eurų)</w:t>
      </w:r>
      <w:r>
        <w:rPr>
          <w:rStyle w:val="Puslapioinaosnuoroda"/>
          <w:lang w:val="lt-LT"/>
        </w:rPr>
        <w:footnoteReference w:id="63"/>
      </w:r>
      <w:r>
        <w:rPr>
          <w:lang w:val="lt-LT"/>
        </w:rPr>
        <w:t>.</w:t>
      </w:r>
      <w:bookmarkEnd w:id="97"/>
    </w:p>
    <w:p w14:paraId="193998AC" w14:textId="77777777" w:rsidR="00BF610B" w:rsidRDefault="00BF610B" w:rsidP="00583EB1">
      <w:pPr>
        <w:pStyle w:val="Pagrindinistekstas"/>
        <w:spacing w:line="276" w:lineRule="auto"/>
        <w:rPr>
          <w:i/>
          <w:lang w:val="lt-LT"/>
        </w:rPr>
      </w:pPr>
    </w:p>
    <w:p w14:paraId="51A2BE66" w14:textId="77777777" w:rsidR="00583EB1" w:rsidRPr="004110D8" w:rsidRDefault="00583EB1" w:rsidP="00583EB1">
      <w:pPr>
        <w:pStyle w:val="Pagrindinistekstas"/>
        <w:spacing w:line="276" w:lineRule="auto"/>
        <w:rPr>
          <w:i/>
          <w:lang w:val="lt-LT"/>
        </w:rPr>
      </w:pPr>
      <w:r w:rsidRPr="004110D8">
        <w:rPr>
          <w:i/>
          <w:lang w:val="lt-LT"/>
        </w:rPr>
        <w:t>Energetinio efektyvumo projektų finansavimas</w:t>
      </w:r>
    </w:p>
    <w:p w14:paraId="6B6F2692"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2013 m. EIB skyrė 5,2 mlrd. eurų strateginiams energetikos projektams ES remti</w:t>
      </w:r>
      <w:r>
        <w:rPr>
          <w:rFonts w:ascii="Georgia" w:hAnsi="Georgia" w:cs="Arial"/>
          <w:sz w:val="20"/>
          <w:szCs w:val="20"/>
          <w:vertAlign w:val="superscript"/>
          <w:lang w:val="lt-LT"/>
        </w:rPr>
        <w:footnoteReference w:id="64"/>
      </w:r>
      <w:r>
        <w:rPr>
          <w:rFonts w:ascii="Georgia" w:hAnsi="Georgia" w:cs="Arial"/>
          <w:sz w:val="20"/>
          <w:szCs w:val="20"/>
          <w:lang w:val="lt-LT"/>
        </w:rPr>
        <w:t xml:space="preserve">. 2012 m. buvo </w:t>
      </w:r>
      <w:r w:rsidRPr="00031DA5">
        <w:rPr>
          <w:rFonts w:ascii="Georgia" w:hAnsi="Georgia" w:cs="Arial"/>
          <w:sz w:val="20"/>
          <w:szCs w:val="20"/>
          <w:lang w:val="lt-LT"/>
        </w:rPr>
        <w:t>suteikta 1,1 mlrd. eurų paskolų (2013 m. duomenimis). Projektai dažniausiai buvo orientuoti į esamos</w:t>
      </w:r>
      <w:r>
        <w:rPr>
          <w:rFonts w:ascii="Georgia" w:hAnsi="Georgia" w:cs="Arial"/>
          <w:sz w:val="20"/>
          <w:szCs w:val="20"/>
          <w:lang w:val="lt-LT"/>
        </w:rPr>
        <w:t xml:space="preserve"> socialinės ir urbanistinės infrastruktūros ir paslaugų modifikavimą ir plėtrą, pvz., gyvenamųjų rajonų (kvartalų) šildymas ir aušinimas, kogeneracija, pastatų atnaujinimas ir modernizavimas, pramonės </w:t>
      </w:r>
      <w:r>
        <w:rPr>
          <w:rFonts w:ascii="Georgia" w:hAnsi="Georgia" w:cs="Arial"/>
          <w:sz w:val="20"/>
          <w:szCs w:val="20"/>
          <w:lang w:val="lt-LT"/>
        </w:rPr>
        <w:lastRenderedPageBreak/>
        <w:t>procesų tobulinimas, miesto transporto, atliekų ir vandens valdymo tinklų energetinių savybių gerinimas</w:t>
      </w:r>
      <w:r>
        <w:rPr>
          <w:rFonts w:ascii="Georgia" w:hAnsi="Georgia" w:cs="Arial"/>
          <w:sz w:val="20"/>
          <w:szCs w:val="20"/>
          <w:vertAlign w:val="superscript"/>
          <w:lang w:val="lt-LT"/>
        </w:rPr>
        <w:footnoteReference w:id="65"/>
      </w:r>
      <w:r>
        <w:rPr>
          <w:rFonts w:ascii="Georgia" w:hAnsi="Georgia" w:cs="Arial"/>
          <w:sz w:val="20"/>
          <w:szCs w:val="20"/>
          <w:lang w:val="lt-LT"/>
        </w:rPr>
        <w:t>.</w:t>
      </w:r>
    </w:p>
    <w:p w14:paraId="22278EE0"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EIB siūlo įvair</w:t>
      </w:r>
      <w:r w:rsidR="00093B65">
        <w:rPr>
          <w:rFonts w:ascii="Georgia" w:hAnsi="Georgia" w:cs="Arial"/>
          <w:sz w:val="20"/>
          <w:szCs w:val="20"/>
          <w:lang w:val="lt-LT"/>
        </w:rPr>
        <w:t>i</w:t>
      </w:r>
      <w:r>
        <w:rPr>
          <w:rFonts w:ascii="Georgia" w:hAnsi="Georgia" w:cs="Arial"/>
          <w:sz w:val="20"/>
          <w:szCs w:val="20"/>
          <w:lang w:val="lt-LT"/>
        </w:rPr>
        <w:t>as specializuotas energetinio efektyvumo finansavimo priemones tiek viešam, tiek privačiam sektoriams. Bankas teikia finansavimą per tarpininkus, pvz., finansų įstaigas, valdžios institucijas, ESCO, viešojo ir privataus sektorių partnerystę. Taip pat – netiesioginį finansavimą per investicinius fondus (pvz., 2009 m. kartu su KfW įsteigtas Ekologija – augimui fondas</w:t>
      </w:r>
      <w:r>
        <w:rPr>
          <w:rStyle w:val="Puslapioinaosnuoroda"/>
          <w:rFonts w:ascii="Georgia" w:hAnsi="Georgia" w:cs="Arial"/>
          <w:sz w:val="20"/>
          <w:szCs w:val="20"/>
          <w:lang w:val="lt-LT"/>
        </w:rPr>
        <w:footnoteReference w:id="66"/>
      </w:r>
      <w:r w:rsidR="006167C8">
        <w:rPr>
          <w:rFonts w:ascii="Georgia" w:hAnsi="Georgia" w:cs="Arial"/>
          <w:sz w:val="20"/>
          <w:szCs w:val="20"/>
          <w:lang w:val="lt-LT"/>
        </w:rPr>
        <w:t>)</w:t>
      </w:r>
      <w:r>
        <w:rPr>
          <w:rFonts w:ascii="Georgia" w:hAnsi="Georgia" w:cs="Arial"/>
          <w:sz w:val="20"/>
          <w:szCs w:val="20"/>
          <w:lang w:val="lt-LT"/>
        </w:rPr>
        <w:t>. EIB naudoja rizikos pasidalijimo priemones derinant subsidijas su paskolomis, teikia techninę pagalbą kartu su Europos Komisija arba nacionalinėmis institucijomis (pvz., 2011 m. EIB kartu su Europos Komisija įsteigtas EEEF</w:t>
      </w:r>
      <w:r>
        <w:rPr>
          <w:rFonts w:ascii="Georgia" w:hAnsi="Georgia" w:cs="Arial"/>
          <w:sz w:val="20"/>
          <w:szCs w:val="20"/>
          <w:vertAlign w:val="superscript"/>
          <w:lang w:val="lt-LT"/>
        </w:rPr>
        <w:footnoteReference w:id="67"/>
      </w:r>
      <w:r w:rsidR="006167C8">
        <w:rPr>
          <w:rFonts w:ascii="Georgia" w:hAnsi="Georgia" w:cs="Arial"/>
          <w:sz w:val="20"/>
          <w:szCs w:val="20"/>
          <w:lang w:val="lt-LT"/>
        </w:rPr>
        <w:t>)</w:t>
      </w:r>
      <w:r>
        <w:rPr>
          <w:rFonts w:ascii="Georgia" w:hAnsi="Georgia" w:cs="Arial"/>
          <w:sz w:val="20"/>
          <w:szCs w:val="20"/>
          <w:lang w:val="lt-LT"/>
        </w:rPr>
        <w:t>.</w:t>
      </w:r>
    </w:p>
    <w:p w14:paraId="62A0E723"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EEEF tikslai:</w:t>
      </w:r>
    </w:p>
    <w:p w14:paraId="51D019A8" w14:textId="77777777" w:rsidR="00583EB1" w:rsidRDefault="00583EB1" w:rsidP="00C03122">
      <w:pPr>
        <w:pStyle w:val="Sraopastraipa"/>
        <w:numPr>
          <w:ilvl w:val="0"/>
          <w:numId w:val="26"/>
        </w:numPr>
        <w:spacing w:after="120"/>
        <w:jc w:val="both"/>
        <w:rPr>
          <w:rFonts w:ascii="Georgia" w:hAnsi="Georgia" w:cs="Arial"/>
          <w:sz w:val="20"/>
          <w:szCs w:val="20"/>
          <w:lang w:val="lt-LT"/>
        </w:rPr>
      </w:pPr>
      <w:r>
        <w:rPr>
          <w:rFonts w:ascii="Georgia" w:hAnsi="Georgia" w:cs="Arial"/>
          <w:sz w:val="20"/>
          <w:szCs w:val="20"/>
          <w:lang w:val="lt-LT"/>
        </w:rPr>
        <w:t>prisidėti prie klimato kaitos pasekmių mažinimo;</w:t>
      </w:r>
    </w:p>
    <w:p w14:paraId="37752A1C" w14:textId="77777777" w:rsidR="00583EB1" w:rsidRDefault="00583EB1" w:rsidP="00C03122">
      <w:pPr>
        <w:pStyle w:val="Sraopastraipa"/>
        <w:numPr>
          <w:ilvl w:val="0"/>
          <w:numId w:val="26"/>
        </w:numPr>
        <w:spacing w:after="120"/>
        <w:jc w:val="both"/>
        <w:rPr>
          <w:rFonts w:ascii="Georgia" w:hAnsi="Georgia" w:cs="Arial"/>
          <w:sz w:val="20"/>
          <w:szCs w:val="20"/>
          <w:lang w:val="lt-LT"/>
        </w:rPr>
      </w:pPr>
      <w:r>
        <w:rPr>
          <w:rFonts w:ascii="Georgia" w:hAnsi="Georgia" w:cs="Arial"/>
          <w:sz w:val="20"/>
          <w:szCs w:val="20"/>
          <w:lang w:val="lt-LT"/>
        </w:rPr>
        <w:t xml:space="preserve">pasiekti ekonominį fondo tvarumą; </w:t>
      </w:r>
    </w:p>
    <w:p w14:paraId="24DD331D" w14:textId="77777777" w:rsidR="00583EB1" w:rsidRDefault="00583EB1" w:rsidP="00C03122">
      <w:pPr>
        <w:pStyle w:val="Sraopastraipa"/>
        <w:numPr>
          <w:ilvl w:val="0"/>
          <w:numId w:val="26"/>
        </w:numPr>
        <w:spacing w:after="120"/>
        <w:jc w:val="both"/>
        <w:rPr>
          <w:rFonts w:ascii="Georgia" w:hAnsi="Georgia" w:cs="Arial"/>
          <w:sz w:val="20"/>
          <w:szCs w:val="20"/>
          <w:lang w:val="lt-LT"/>
        </w:rPr>
      </w:pPr>
      <w:r>
        <w:rPr>
          <w:rFonts w:ascii="Georgia" w:hAnsi="Georgia" w:cs="Arial"/>
          <w:sz w:val="20"/>
          <w:szCs w:val="20"/>
          <w:lang w:val="lt-LT"/>
        </w:rPr>
        <w:t>pritraukti privatų ir viešąjį kapitalą į kovos su klimato kaita finansavimą</w:t>
      </w:r>
      <w:r>
        <w:rPr>
          <w:rStyle w:val="Puslapioinaosnuoroda"/>
          <w:rFonts w:ascii="Georgia" w:hAnsi="Georgia" w:cs="Arial"/>
          <w:sz w:val="20"/>
          <w:szCs w:val="20"/>
          <w:lang w:val="lt-LT"/>
        </w:rPr>
        <w:footnoteReference w:id="68"/>
      </w:r>
      <w:r>
        <w:rPr>
          <w:rFonts w:ascii="Georgia" w:hAnsi="Georgia" w:cs="Arial"/>
          <w:sz w:val="20"/>
          <w:szCs w:val="20"/>
          <w:lang w:val="lt-LT"/>
        </w:rPr>
        <w:t>.</w:t>
      </w:r>
    </w:p>
    <w:p w14:paraId="54FEA930" w14:textId="77777777" w:rsidR="00583EB1" w:rsidRDefault="00583EB1" w:rsidP="00583EB1">
      <w:pPr>
        <w:jc w:val="both"/>
        <w:rPr>
          <w:rFonts w:ascii="Georgia" w:hAnsi="Georgia" w:cs="Arial"/>
          <w:sz w:val="20"/>
          <w:szCs w:val="20"/>
          <w:lang w:val="lt-LT"/>
        </w:rPr>
      </w:pPr>
      <w:r>
        <w:rPr>
          <w:rFonts w:ascii="Georgia" w:hAnsi="Georgia" w:cs="Arial"/>
          <w:sz w:val="20"/>
          <w:szCs w:val="20"/>
          <w:lang w:val="lt-LT"/>
        </w:rPr>
        <w:t>Galutiniai naudos gavėjai yra vietos ar regionų institucijos, taip pat šių institucijų vardu veikiantys viešieji ir juridiniai asmenys, pvz., daugiabučių namų savininkų bendrijos, ESCO ir t.t. Investuojama gali būti eurais arba vietine valiuta, tačiau pastaruoju atveju taikomi papildomi apribojimai.</w:t>
      </w:r>
    </w:p>
    <w:p w14:paraId="48AD857B" w14:textId="77777777" w:rsidR="00583EB1" w:rsidRDefault="00583EB1" w:rsidP="00583EB1">
      <w:pPr>
        <w:jc w:val="both"/>
        <w:rPr>
          <w:rFonts w:ascii="Georgia" w:hAnsi="Georgia" w:cs="Arial"/>
          <w:sz w:val="20"/>
          <w:szCs w:val="20"/>
          <w:lang w:val="lt-LT"/>
        </w:rPr>
      </w:pPr>
      <w:r>
        <w:rPr>
          <w:rFonts w:ascii="Georgia" w:hAnsi="Georgia" w:cs="Arial"/>
          <w:sz w:val="20"/>
          <w:szCs w:val="20"/>
          <w:lang w:val="lt-LT"/>
        </w:rPr>
        <w:t>EEEF gali investuoti tiesiogiai į ESCO, nedidelėmis apimtimis į iš atsinaujinančių energijos išteklių energiją gaminančias įmones ir t.t. Investicijos svyruoja nuo 5 mln. eurų iki 25 mln. eurų. Investicinės priemonės apima privilegijuotąsias paskolas, „mezzanine“ instrumentus, forfeitingo priemones, lizingą. Taip pat įmanomos kapitalo investicijos atsinaujinančių energijos išteklių projektams arba kapitalo investicijos į specialiosios paskirties įmones</w:t>
      </w:r>
      <w:r>
        <w:rPr>
          <w:rStyle w:val="Puslapioinaosnuoroda"/>
          <w:rFonts w:ascii="Georgia" w:hAnsi="Georgia" w:cs="Arial"/>
          <w:sz w:val="20"/>
          <w:szCs w:val="20"/>
          <w:lang w:val="lt-LT"/>
        </w:rPr>
        <w:footnoteReference w:id="69"/>
      </w:r>
      <w:r>
        <w:rPr>
          <w:rFonts w:ascii="Georgia" w:hAnsi="Georgia" w:cs="Arial"/>
          <w:sz w:val="20"/>
          <w:szCs w:val="20"/>
          <w:lang w:val="lt-LT"/>
        </w:rPr>
        <w:t xml:space="preserve">. Paskolos suteikiamos iki 15 m. laikotarpiui, kapitalo investicijos gali būti pritaikytos pagal skirtingų projekto etapų poreikius. Fondas gali investuoti kaip konsorciumo dalyvis arba gali dalyvauti dalindamasis rizika su vietine finansų įstaiga. </w:t>
      </w:r>
    </w:p>
    <w:p w14:paraId="43E6A0DE" w14:textId="77777777" w:rsidR="00583EB1" w:rsidRDefault="00583EB1" w:rsidP="00583EB1">
      <w:pPr>
        <w:jc w:val="both"/>
        <w:rPr>
          <w:rFonts w:ascii="Georgia" w:hAnsi="Georgia" w:cs="Arial"/>
          <w:sz w:val="20"/>
          <w:szCs w:val="20"/>
          <w:lang w:val="lt-LT"/>
        </w:rPr>
      </w:pPr>
      <w:r>
        <w:rPr>
          <w:rFonts w:ascii="Georgia" w:hAnsi="Georgia" w:cs="Arial"/>
          <w:sz w:val="20"/>
          <w:szCs w:val="20"/>
          <w:lang w:val="lt-LT"/>
        </w:rPr>
        <w:t>EEEF taip pat investuoja per finansines įstaigas, tokias kaip vietiniai komerciniai bankai, kurie suteikia finansavimą galutiniams naudos gavėjams. Finansų įstaigos, su kuriomis bendradarbiaujama, gauna terminuotas (iki 15 m.) skolinimo priemones. Skolinimo priemonės apima privilegijuotąsias paskolas, subordinuotas paskolas, garantijas. EEEF neteikia kapitalo investicijų finansų įstaigoms. Finansų įstaigos perskolina lėšas galutiniams naudos gavėjams pagal iš anksto nustatytus tinkamumo kriterijus</w:t>
      </w:r>
      <w:r>
        <w:rPr>
          <w:rStyle w:val="Puslapioinaosnuoroda"/>
          <w:rFonts w:ascii="Georgia" w:hAnsi="Georgia" w:cs="Arial"/>
          <w:sz w:val="20"/>
          <w:szCs w:val="20"/>
          <w:lang w:val="lt-LT"/>
        </w:rPr>
        <w:footnoteReference w:id="70"/>
      </w:r>
      <w:r>
        <w:rPr>
          <w:rFonts w:ascii="Georgia" w:hAnsi="Georgia" w:cs="Arial"/>
          <w:sz w:val="20"/>
          <w:szCs w:val="20"/>
          <w:lang w:val="lt-LT"/>
        </w:rPr>
        <w:t>.</w:t>
      </w:r>
    </w:p>
    <w:p w14:paraId="01B62EAF"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2014 m. I ketvirčio ataskaitos duomenimis EEEF investavo 100,4 mln. eurų keturiose valstybėse – Italijoje (31,7 proc.), Vokietijoje (1,1 proc.), Rumunijoje (24,9 proc.) ir Prancūzijoje (42,3 proc.). 24,9 proc. investicijų sudarė subordinuotos paskolos, 62,7 proc. – privilegijuotosios paskolos, 12,4 proc. – subordinuoti fondai (angl.</w:t>
      </w:r>
      <w:r>
        <w:rPr>
          <w:rFonts w:ascii="Georgia" w:hAnsi="Georgia" w:cs="Arial"/>
          <w:i/>
          <w:sz w:val="20"/>
          <w:szCs w:val="20"/>
          <w:lang w:val="lt-LT"/>
        </w:rPr>
        <w:t xml:space="preserve"> junior funds</w:t>
      </w:r>
      <w:r>
        <w:rPr>
          <w:rFonts w:ascii="Georgia" w:hAnsi="Georgia" w:cs="Arial"/>
          <w:sz w:val="20"/>
          <w:szCs w:val="20"/>
          <w:lang w:val="lt-LT"/>
        </w:rPr>
        <w:t>)</w:t>
      </w:r>
      <w:r>
        <w:rPr>
          <w:rStyle w:val="Puslapioinaosnuoroda"/>
          <w:rFonts w:ascii="Georgia" w:hAnsi="Georgia" w:cs="Arial"/>
          <w:sz w:val="20"/>
          <w:szCs w:val="20"/>
          <w:lang w:val="lt-LT"/>
        </w:rPr>
        <w:footnoteReference w:id="71"/>
      </w:r>
      <w:r>
        <w:rPr>
          <w:rFonts w:ascii="Georgia" w:hAnsi="Georgia" w:cs="Arial"/>
          <w:sz w:val="20"/>
          <w:szCs w:val="20"/>
          <w:lang w:val="lt-LT"/>
        </w:rPr>
        <w:t xml:space="preserve">. </w:t>
      </w:r>
    </w:p>
    <w:p w14:paraId="45298E5F"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EIB dalyvauja Europos</w:t>
      </w:r>
      <w:r w:rsidR="007F5417">
        <w:rPr>
          <w:rFonts w:ascii="Georgia" w:hAnsi="Georgia" w:cs="Arial"/>
          <w:sz w:val="20"/>
          <w:szCs w:val="20"/>
          <w:lang w:val="lt-LT"/>
        </w:rPr>
        <w:t xml:space="preserve"> techninės</w:t>
      </w:r>
      <w:r>
        <w:rPr>
          <w:rFonts w:ascii="Georgia" w:hAnsi="Georgia" w:cs="Arial"/>
          <w:sz w:val="20"/>
          <w:szCs w:val="20"/>
          <w:lang w:val="lt-LT"/>
        </w:rPr>
        <w:t xml:space="preserve"> pagalbos vietinei energetikai priemonėje (ELENA) – tai bendra EIB ir Europos Komisijos iniciatyva, skirta </w:t>
      </w:r>
      <w:r w:rsidR="007F5417">
        <w:rPr>
          <w:rFonts w:ascii="Georgia" w:hAnsi="Georgia" w:cs="Arial"/>
          <w:sz w:val="20"/>
          <w:szCs w:val="20"/>
          <w:lang w:val="lt-LT"/>
        </w:rPr>
        <w:t>teikti techninę pagalbą</w:t>
      </w:r>
      <w:r>
        <w:rPr>
          <w:rFonts w:ascii="Georgia" w:hAnsi="Georgia" w:cs="Arial"/>
          <w:sz w:val="20"/>
          <w:szCs w:val="20"/>
          <w:lang w:val="lt-LT"/>
        </w:rPr>
        <w:t xml:space="preserve"> vietos ir regionų valdžios institucijoms rengti energijos vartojimo efektyvumo arba atsinaujinančių energijos išteklių projektus, taip didinant jų patrauklumą išorės investuotojams. 2014 m. kovo 31 d. duomenimis buvo patvirtinti 28 projektai, iš kurių dešimt 2013-2014 (iki kovo mėn.) laikotarpiu</w:t>
      </w:r>
      <w:r>
        <w:rPr>
          <w:rStyle w:val="Puslapioinaosnuoroda"/>
          <w:rFonts w:ascii="Georgia" w:hAnsi="Georgia" w:cs="Arial"/>
          <w:sz w:val="20"/>
          <w:szCs w:val="20"/>
          <w:lang w:val="lt-LT"/>
        </w:rPr>
        <w:footnoteReference w:id="72"/>
      </w:r>
      <w:r>
        <w:rPr>
          <w:rFonts w:ascii="Georgia" w:hAnsi="Georgia" w:cs="Arial"/>
          <w:sz w:val="20"/>
          <w:szCs w:val="20"/>
          <w:lang w:val="lt-LT"/>
        </w:rPr>
        <w:t>.</w:t>
      </w:r>
    </w:p>
    <w:p w14:paraId="66479F17"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lastRenderedPageBreak/>
        <w:t>Kita iniciatyva, kurioje aktyviai dalyvauja EIB, yra Bendra Europos parama tvarioms investicijoms į miestų teritorijas - JESSICA. Šioje iniciatyvoje dalyvauja EIB, Europos Komisija ir Europos Tarybos Vystymo bankas. JESSICA finansuoja miestų infrastruktūrą, paveldo arba kultūros vietoves, pramoninės paskirties sklypų pakartotinį panaudojimą, naujų komercinių erdvių kūrimą, universitetų pastatus ir energijos efektyvumo didinimą</w:t>
      </w:r>
      <w:r>
        <w:rPr>
          <w:rFonts w:ascii="Georgia" w:hAnsi="Georgia" w:cs="Arial"/>
          <w:sz w:val="20"/>
          <w:szCs w:val="20"/>
          <w:vertAlign w:val="superscript"/>
          <w:lang w:val="lt-LT"/>
        </w:rPr>
        <w:footnoteReference w:id="73"/>
      </w:r>
      <w:r>
        <w:rPr>
          <w:rFonts w:ascii="Georgia" w:hAnsi="Georgia" w:cs="Arial"/>
          <w:sz w:val="20"/>
          <w:szCs w:val="20"/>
          <w:lang w:val="lt-LT"/>
        </w:rPr>
        <w:t>. Iki 2013 m. pabaigos JESSICA finansavo 18 kontroliuojančiųjų fondų, kuriems skyrė 1,76 mlrd. eurų. Be to, sukūrė 42 miestų plėtros fondus su 1,</w:t>
      </w:r>
      <w:r w:rsidR="00BF610B">
        <w:rPr>
          <w:rFonts w:ascii="Georgia" w:hAnsi="Georgia" w:cs="Arial"/>
          <w:sz w:val="20"/>
          <w:szCs w:val="20"/>
          <w:lang w:val="lt-LT"/>
        </w:rPr>
        <w:t xml:space="preserve"> </w:t>
      </w:r>
      <w:r>
        <w:rPr>
          <w:rFonts w:ascii="Georgia" w:hAnsi="Georgia" w:cs="Arial"/>
          <w:sz w:val="20"/>
          <w:szCs w:val="20"/>
          <w:lang w:val="lt-LT"/>
        </w:rPr>
        <w:t>6 mlrd. eurų kapitalu ir finansavo 82 JESSICA vertinimo tyrimus</w:t>
      </w:r>
      <w:r>
        <w:rPr>
          <w:rFonts w:ascii="Georgia" w:hAnsi="Georgia" w:cs="Arial"/>
          <w:sz w:val="20"/>
          <w:szCs w:val="20"/>
          <w:vertAlign w:val="superscript"/>
          <w:lang w:val="lt-LT"/>
        </w:rPr>
        <w:footnoteReference w:id="74"/>
      </w:r>
      <w:r>
        <w:rPr>
          <w:rFonts w:ascii="Georgia" w:hAnsi="Georgia" w:cs="Arial"/>
          <w:sz w:val="20"/>
          <w:szCs w:val="20"/>
          <w:lang w:val="lt-LT"/>
        </w:rPr>
        <w:t>.</w:t>
      </w:r>
    </w:p>
    <w:p w14:paraId="64AF1842"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2013 m. EIB kartu su Europos Komisija pradėjo projektų obligacijų iniciatyvos bandomąjį etapą. Šios rizikos pasidalijimo priemonės tikslas — sudaryti sąlygas projekto įmonėms išleisti skolos kapitalo rinkų investuotojams patrauklias projekto obligacijas TEN-T, TEN-E, telekomunikacijų ir plačiajuosčio ryšio tinklų sektoriuose. Projektų obligacijomis siekiama padėti projektus įgyvendinančioms įmonėms pačioms leisti investicinio reitingo obligacijas. Naudojant Europos Komisijos ir EIB sukurtą rizikos pasidalijimo priemonę, pirmaeilių obligacijų kredito reitingas galėtų padidėti pritraukti institucinių investuotojų lėšas. Daugiausia dėmesio skiriama papildomų lėšų pritraukimui kapitalo rinkose</w:t>
      </w:r>
      <w:r>
        <w:rPr>
          <w:rFonts w:ascii="Georgia" w:hAnsi="Georgia" w:cs="Arial"/>
          <w:sz w:val="20"/>
          <w:szCs w:val="20"/>
          <w:vertAlign w:val="superscript"/>
          <w:lang w:val="lt-LT"/>
        </w:rPr>
        <w:footnoteReference w:id="75"/>
      </w:r>
      <w:r>
        <w:rPr>
          <w:rFonts w:ascii="Georgia" w:hAnsi="Georgia" w:cs="Arial"/>
          <w:sz w:val="20"/>
          <w:szCs w:val="20"/>
          <w:lang w:val="lt-LT"/>
        </w:rPr>
        <w:t xml:space="preserve">. Bandomuoju laikotarpiu iš ES biudžeto skirta 230 mln. eurų garantinių lėšų investicijoms į infrastruktūrą transporto, energetikos ir ryšių sektoriuose. Tai turėtų sudaryti sąlygas EIB finansuoti infrastruktūros projektus, kurių vertė lyginant tris sektorius didesnė kaip 4 mlrd. eurų. </w:t>
      </w:r>
    </w:p>
    <w:p w14:paraId="2C429330"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Pirmieji du projektų obligacijų iniciatyvos projektai finansuoti 2013 metais - (Didžiojo Gabardo vėjo energijos perdavimo jungtis (Jungtinė Karalystė)</w:t>
      </w:r>
      <w:r>
        <w:rPr>
          <w:rFonts w:ascii="Georgia" w:hAnsi="Georgia" w:cs="Arial"/>
          <w:sz w:val="20"/>
          <w:szCs w:val="20"/>
          <w:vertAlign w:val="superscript"/>
          <w:lang w:val="lt-LT"/>
        </w:rPr>
        <w:footnoteReference w:id="76"/>
      </w:r>
      <w:r>
        <w:rPr>
          <w:rFonts w:ascii="Georgia" w:hAnsi="Georgia" w:cs="Arial"/>
          <w:sz w:val="20"/>
          <w:szCs w:val="20"/>
          <w:lang w:val="lt-LT"/>
        </w:rPr>
        <w:t xml:space="preserve"> ir A11 greitkelio jungtis (Belgija)</w:t>
      </w:r>
      <w:r>
        <w:rPr>
          <w:rFonts w:ascii="Georgia" w:hAnsi="Georgia" w:cs="Arial"/>
          <w:sz w:val="20"/>
          <w:szCs w:val="20"/>
          <w:vertAlign w:val="superscript"/>
          <w:lang w:val="lt-LT"/>
        </w:rPr>
        <w:footnoteReference w:id="77"/>
      </w:r>
      <w:r>
        <w:rPr>
          <w:rFonts w:ascii="Georgia" w:hAnsi="Georgia" w:cs="Arial"/>
          <w:sz w:val="20"/>
          <w:szCs w:val="20"/>
          <w:lang w:val="lt-LT"/>
        </w:rPr>
        <w:t>). Pirmosios dvi projektų obligacijų emisijos Ispanijoje ir Jungtinėje Karalystėje parodė ne tik rinkos susidomėjimą, bet ir teigiamą EIB dalyvavimo poveikį nustatant kainą ir pristatant didelius kapitalo projektus</w:t>
      </w:r>
      <w:r>
        <w:rPr>
          <w:rFonts w:ascii="Georgia" w:hAnsi="Georgia" w:cs="Arial"/>
          <w:sz w:val="20"/>
          <w:szCs w:val="20"/>
          <w:vertAlign w:val="superscript"/>
          <w:lang w:val="lt-LT"/>
        </w:rPr>
        <w:footnoteReference w:id="78"/>
      </w:r>
      <w:r>
        <w:rPr>
          <w:rFonts w:ascii="Georgia" w:hAnsi="Georgia" w:cs="Arial"/>
          <w:sz w:val="20"/>
          <w:szCs w:val="20"/>
          <w:lang w:val="lt-LT"/>
        </w:rPr>
        <w:t>.</w:t>
      </w:r>
    </w:p>
    <w:p w14:paraId="111571E8"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2013 m. pradėti taikyti atnaujinti skolinimo energetikos projektams kriterijai, kuria</w:t>
      </w:r>
      <w:r w:rsidR="007F5417">
        <w:rPr>
          <w:rFonts w:ascii="Georgia" w:hAnsi="Georgia" w:cs="Arial"/>
          <w:sz w:val="20"/>
          <w:szCs w:val="20"/>
          <w:lang w:val="lt-LT"/>
        </w:rPr>
        <w:t>i</w:t>
      </w:r>
      <w:r>
        <w:rPr>
          <w:rFonts w:ascii="Georgia" w:hAnsi="Georgia" w:cs="Arial"/>
          <w:sz w:val="20"/>
          <w:szCs w:val="20"/>
          <w:lang w:val="lt-LT"/>
        </w:rPr>
        <w:t>s remiantis ateityje daugiausia dėmesio bus skiriama energijos vartojimo efektyvumo didinimo, energijos iš atsinaujinančių energijos išteklių, energijos tinklų finansavimo projektams ir su šiais klausimais susijusių mokslinių tyrimų ir inovacijų finansavimui. Naujieji kriterijai apima supaprastintas skolinimo energijos vartojimo efektyvumo projektams gaires, siekiant didinti nacionalinių energijos vartojimo efektyvumo programų bendrą finansavimą</w:t>
      </w:r>
      <w:r>
        <w:rPr>
          <w:rStyle w:val="Puslapioinaosnuoroda"/>
          <w:rFonts w:ascii="Georgia" w:hAnsi="Georgia" w:cs="Arial"/>
          <w:sz w:val="20"/>
          <w:szCs w:val="20"/>
          <w:lang w:val="lt-LT"/>
        </w:rPr>
        <w:footnoteReference w:id="79"/>
      </w:r>
      <w:r>
        <w:rPr>
          <w:rFonts w:ascii="Georgia" w:hAnsi="Georgia" w:cs="Arial"/>
          <w:sz w:val="20"/>
          <w:szCs w:val="20"/>
          <w:lang w:val="lt-LT"/>
        </w:rPr>
        <w:t>.</w:t>
      </w:r>
    </w:p>
    <w:p w14:paraId="7EBF801C"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Tai pat buvo pristatyta nauja išmetamųjų teršalų norma</w:t>
      </w:r>
      <w:r>
        <w:rPr>
          <w:rStyle w:val="Puslapioinaosnuoroda"/>
          <w:rFonts w:ascii="Georgia" w:hAnsi="Georgia" w:cs="Arial"/>
          <w:sz w:val="20"/>
          <w:szCs w:val="20"/>
          <w:lang w:val="lt-LT"/>
        </w:rPr>
        <w:footnoteReference w:id="80"/>
      </w:r>
      <w:r>
        <w:rPr>
          <w:rFonts w:ascii="Georgia" w:hAnsi="Georgia" w:cs="Arial"/>
          <w:sz w:val="20"/>
          <w:szCs w:val="20"/>
          <w:lang w:val="lt-LT"/>
        </w:rPr>
        <w:t>, kuri bus taikoma vertinant visus investicinius projektus, skirtus iškastinį kurą naudojančioms elektrinėms.</w:t>
      </w:r>
    </w:p>
    <w:p w14:paraId="13A2A02B" w14:textId="77777777" w:rsidR="00583EB1" w:rsidRDefault="00583EB1" w:rsidP="00583EB1">
      <w:pPr>
        <w:autoSpaceDE w:val="0"/>
        <w:autoSpaceDN w:val="0"/>
        <w:adjustRightInd w:val="0"/>
        <w:spacing w:after="120"/>
        <w:jc w:val="both"/>
        <w:rPr>
          <w:rFonts w:ascii="Georgia" w:hAnsi="Georgia" w:cs="Arial"/>
          <w:sz w:val="20"/>
          <w:szCs w:val="20"/>
          <w:lang w:val="lt-LT"/>
        </w:rPr>
      </w:pPr>
      <w:r>
        <w:rPr>
          <w:rFonts w:ascii="Georgia" w:hAnsi="Georgia" w:cs="Arial"/>
          <w:sz w:val="20"/>
          <w:szCs w:val="20"/>
          <w:lang w:val="lt-LT"/>
        </w:rPr>
        <w:t>2013 m. EIB rėmė septynis specialiai klimato politikai skirtus akcijų ir obligacijų fondus, investavęs į juos 214 mln. eurų. Be to, ir toliau valdė kitus strateginės paskirties fondus ir iniciatyvas, pavyzdžiui, Pasaulinį energijos vartojimo efektyvumo ir atsinaujinančiosios energijos fondą (GEEREF), kuris per privačiąsias investicijas teikia pasaulinį rizikos kapitalą energijos vartojimo efektyvumo ir atsinaujinančiosios energijos projektams besivystančiosiose ir pereinamosios ekonomikos šalyse.</w:t>
      </w:r>
    </w:p>
    <w:p w14:paraId="60E75DF9"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2012 m. EIB akcininkių sprendimu banko kapitalas buvo padidintas 10 mlrd. eurų. Tai leis 2013–2015 m. valstybėms narėms papildomai gauti iki 60 mlrd. eurų įvairiems projektams remti. Tarp sričių, kurioms numatomas didesnis finansavimas, yra ir energetinio efektyvumo didinimas. EIB projektai miesto atnaujinimo ir regeneracijos / miesto infrastruktūros srityse bus grindžiami JESSICA patirtimi</w:t>
      </w:r>
      <w:r>
        <w:rPr>
          <w:rFonts w:ascii="Georgia" w:hAnsi="Georgia" w:cs="Arial"/>
          <w:sz w:val="20"/>
          <w:szCs w:val="20"/>
          <w:vertAlign w:val="superscript"/>
          <w:lang w:val="lt-LT"/>
        </w:rPr>
        <w:footnoteReference w:id="81"/>
      </w:r>
      <w:r>
        <w:rPr>
          <w:rFonts w:ascii="Georgia" w:hAnsi="Georgia" w:cs="Arial"/>
          <w:sz w:val="20"/>
          <w:szCs w:val="20"/>
          <w:lang w:val="lt-LT"/>
        </w:rPr>
        <w:t xml:space="preserve">. Įgyvendindamas išteklių efektyvumo iniciatyvą, bankas koncentruosis ties tolimesne </w:t>
      </w:r>
      <w:r>
        <w:rPr>
          <w:rFonts w:ascii="Georgia" w:hAnsi="Georgia" w:cs="Arial"/>
          <w:sz w:val="20"/>
          <w:szCs w:val="20"/>
          <w:lang w:val="lt-LT"/>
        </w:rPr>
        <w:lastRenderedPageBreak/>
        <w:t>atsinaujinančių energijos išteklių ir energetinio efektyvumo projektų plėtra ir integracija, tame tarpe išteklių efektyvumu ir tvariu transportu.</w:t>
      </w:r>
    </w:p>
    <w:p w14:paraId="270CF6D2" w14:textId="77777777" w:rsidR="00583EB1" w:rsidRPr="004110D8" w:rsidRDefault="00583EB1" w:rsidP="00583EB1">
      <w:pPr>
        <w:pStyle w:val="Pagrindinistekstas"/>
        <w:keepNext/>
        <w:rPr>
          <w:i/>
          <w:lang w:val="lt-LT"/>
        </w:rPr>
      </w:pPr>
      <w:r w:rsidRPr="004110D8">
        <w:rPr>
          <w:i/>
          <w:lang w:val="lt-LT"/>
        </w:rPr>
        <w:t>Europos investicijų banko veikla Lietuvoje</w:t>
      </w:r>
    </w:p>
    <w:p w14:paraId="37659634" w14:textId="77777777" w:rsidR="00583EB1" w:rsidRDefault="00583EB1" w:rsidP="00583EB1">
      <w:pPr>
        <w:keepNext/>
        <w:spacing w:after="120"/>
        <w:jc w:val="both"/>
        <w:rPr>
          <w:rFonts w:ascii="Georgia" w:hAnsi="Georgia" w:cs="Arial"/>
          <w:sz w:val="20"/>
          <w:szCs w:val="20"/>
          <w:lang w:val="lt-LT"/>
        </w:rPr>
      </w:pPr>
      <w:r>
        <w:rPr>
          <w:rFonts w:ascii="Georgia" w:hAnsi="Georgia" w:cs="Arial"/>
          <w:sz w:val="20"/>
          <w:szCs w:val="20"/>
          <w:lang w:val="lt-LT"/>
        </w:rPr>
        <w:t>2009-2013 m. EIB Lietuvos subjektams suteikė beveik 1,5 mlrd. eurų paskolų</w:t>
      </w:r>
      <w:r>
        <w:rPr>
          <w:rFonts w:ascii="Georgia" w:hAnsi="Georgia" w:cs="Arial"/>
          <w:sz w:val="20"/>
          <w:szCs w:val="20"/>
          <w:vertAlign w:val="superscript"/>
          <w:lang w:val="lt-LT"/>
        </w:rPr>
        <w:footnoteReference w:id="82"/>
      </w:r>
      <w:r>
        <w:rPr>
          <w:rFonts w:ascii="Georgia" w:hAnsi="Georgia" w:cs="Arial"/>
          <w:sz w:val="20"/>
          <w:szCs w:val="20"/>
          <w:lang w:val="lt-LT"/>
        </w:rPr>
        <w:t>. Paskolų pasiskirstymas pagal sektorius pateikiamas paveiksle žemiau.</w:t>
      </w:r>
    </w:p>
    <w:p w14:paraId="4F402068" w14:textId="77777777" w:rsidR="00A074B2" w:rsidRDefault="00A074B2" w:rsidP="00583EB1">
      <w:pPr>
        <w:keepNext/>
        <w:spacing w:after="120"/>
        <w:jc w:val="both"/>
        <w:rPr>
          <w:rFonts w:ascii="Georgia" w:hAnsi="Georgia" w:cs="Arial"/>
          <w:sz w:val="20"/>
          <w:szCs w:val="20"/>
          <w:lang w:val="lt-LT"/>
        </w:rPr>
      </w:pPr>
    </w:p>
    <w:p w14:paraId="6A28159D" w14:textId="77777777" w:rsidR="00583EB1" w:rsidRDefault="00583EB1" w:rsidP="000C740B">
      <w:pPr>
        <w:keepNext/>
        <w:spacing w:after="0" w:line="240" w:lineRule="auto"/>
        <w:jc w:val="center"/>
        <w:rPr>
          <w:rFonts w:ascii="Georgia" w:hAnsi="Georgia"/>
          <w:sz w:val="20"/>
          <w:szCs w:val="20"/>
          <w:lang w:val="lt-LT"/>
        </w:rPr>
      </w:pPr>
      <w:r w:rsidRPr="00F20D34">
        <w:rPr>
          <w:rFonts w:ascii="Georgia" w:hAnsi="Georgia"/>
          <w:noProof/>
          <w:sz w:val="20"/>
          <w:szCs w:val="20"/>
          <w:lang w:val="lt-LT" w:eastAsia="lt-LT"/>
        </w:rPr>
        <w:drawing>
          <wp:inline distT="0" distB="0" distL="0" distR="0" wp14:anchorId="491B0BA2" wp14:editId="2D9A247D">
            <wp:extent cx="3396615" cy="2172970"/>
            <wp:effectExtent l="0" t="0" r="0" b="0"/>
            <wp:docPr id="4112" name="Paveikslėlis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396615" cy="2172970"/>
                    </a:xfrm>
                    <a:prstGeom prst="rect">
                      <a:avLst/>
                    </a:prstGeom>
                    <a:noFill/>
                    <a:ln>
                      <a:noFill/>
                    </a:ln>
                  </pic:spPr>
                </pic:pic>
              </a:graphicData>
            </a:graphic>
          </wp:inline>
        </w:drawing>
      </w:r>
    </w:p>
    <w:p w14:paraId="1ED20E17" w14:textId="481D68E4" w:rsidR="00583EB1" w:rsidRPr="00893A57" w:rsidRDefault="00583EB1" w:rsidP="00583EB1">
      <w:pPr>
        <w:pStyle w:val="Antrat"/>
        <w:spacing w:line="276" w:lineRule="auto"/>
        <w:jc w:val="both"/>
        <w:rPr>
          <w:rFonts w:cs="Arial"/>
          <w:i/>
          <w:szCs w:val="20"/>
          <w:lang w:val="lt-LT"/>
        </w:rPr>
      </w:pPr>
      <w:bookmarkStart w:id="98" w:name="_Toc417378292"/>
      <w:r w:rsidRPr="00C511DE">
        <w:rPr>
          <w:lang w:val="lt-LT"/>
        </w:rPr>
        <w:t xml:space="preserve">Paveikslas </w:t>
      </w:r>
      <w:r w:rsidRPr="00C511DE">
        <w:rPr>
          <w:lang w:val="lt-LT"/>
        </w:rPr>
        <w:fldChar w:fldCharType="begin"/>
      </w:r>
      <w:r w:rsidRPr="00C511DE">
        <w:rPr>
          <w:lang w:val="lt-LT"/>
        </w:rPr>
        <w:instrText xml:space="preserve"> SEQ Paveikslas \* ARABIC </w:instrText>
      </w:r>
      <w:r w:rsidRPr="00C511DE">
        <w:rPr>
          <w:lang w:val="lt-LT"/>
        </w:rPr>
        <w:fldChar w:fldCharType="separate"/>
      </w:r>
      <w:r w:rsidR="00AA3082">
        <w:rPr>
          <w:noProof/>
          <w:lang w:val="lt-LT"/>
        </w:rPr>
        <w:t>15</w:t>
      </w:r>
      <w:r w:rsidRPr="00C511DE">
        <w:rPr>
          <w:lang w:val="lt-LT"/>
        </w:rPr>
        <w:fldChar w:fldCharType="end"/>
      </w:r>
      <w:r w:rsidRPr="00C511DE">
        <w:rPr>
          <w:lang w:val="lt-LT"/>
        </w:rPr>
        <w:t>. EIB paskolų pasiskirstymas pagal sektorius</w:t>
      </w:r>
      <w:r>
        <w:rPr>
          <w:rStyle w:val="Puslapioinaosnuoroda"/>
          <w:lang w:val="lt-LT"/>
        </w:rPr>
        <w:footnoteReference w:id="83"/>
      </w:r>
      <w:bookmarkEnd w:id="98"/>
    </w:p>
    <w:p w14:paraId="7B734AF7"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Per penkerius metus dažniausiai EIB Lietuvoje išdavė paskolas, kuriomis buvo finansuojamos viešojo sektoriaus investicijos į infrastruktūrą, transporto, vandentvarkos ir nuotekų tvarkymo, sveikatos apsaugos ir švietimo sritis. Lėšos miestų plėtrai Lietuvoje buvo skirtos per JESSICA iniciatyvą.</w:t>
      </w:r>
      <w:r>
        <w:rPr>
          <w:rFonts w:ascii="Georgia" w:hAnsi="Georgia"/>
          <w:sz w:val="20"/>
          <w:szCs w:val="20"/>
          <w:lang w:val="lt-LT"/>
        </w:rPr>
        <w:t xml:space="preserve"> </w:t>
      </w:r>
      <w:r>
        <w:rPr>
          <w:rFonts w:ascii="Georgia" w:hAnsi="Georgia" w:cs="Arial"/>
          <w:sz w:val="20"/>
          <w:szCs w:val="20"/>
          <w:lang w:val="lt-LT"/>
        </w:rPr>
        <w:t>Įgyvendinant JESSICA programą, atnaujinti daugiabučių pastatai, studentų bendrabučiai, sutaupyti energijos ištekliai ir pagerinta gyventojų gyvenimo kokybė.</w:t>
      </w:r>
    </w:p>
    <w:p w14:paraId="110FD1EE"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2013 m. pasirašytos septynios sutartys. 2013 m. EIB skyrė 87 mln. eurų paskolą naujos suskystintųjų gamtinių dujų (SGD) importo infrastruktūros statybai ir veiklai Klaipėdos uoste finansuoti</w:t>
      </w:r>
      <w:r>
        <w:rPr>
          <w:rStyle w:val="Puslapioinaosnuoroda"/>
          <w:rFonts w:ascii="Georgia" w:hAnsi="Georgia" w:cs="Arial"/>
          <w:sz w:val="20"/>
          <w:szCs w:val="20"/>
          <w:lang w:val="lt-LT"/>
        </w:rPr>
        <w:footnoteReference w:id="84"/>
      </w:r>
      <w:r>
        <w:rPr>
          <w:rFonts w:ascii="Georgia" w:hAnsi="Georgia" w:cs="Arial"/>
          <w:sz w:val="20"/>
          <w:szCs w:val="20"/>
          <w:lang w:val="lt-LT"/>
        </w:rPr>
        <w:t>. Šios investicijos yra svarbios Lietuvai, siekiant užtikrinti energijos tiekimo patikimumą, jo diversifikavimą ir atsarginį aprūpinimą, jei sutriktų dujų tiekimas</w:t>
      </w:r>
      <w:r>
        <w:rPr>
          <w:rStyle w:val="Puslapioinaosnuoroda"/>
          <w:rFonts w:ascii="Georgia" w:hAnsi="Georgia" w:cs="Arial"/>
          <w:sz w:val="20"/>
          <w:szCs w:val="20"/>
          <w:lang w:val="lt-LT"/>
        </w:rPr>
        <w:footnoteReference w:id="85"/>
      </w:r>
      <w:r>
        <w:rPr>
          <w:rFonts w:ascii="Georgia" w:hAnsi="Georgia" w:cs="Arial"/>
          <w:sz w:val="20"/>
          <w:szCs w:val="20"/>
          <w:lang w:val="lt-LT"/>
        </w:rPr>
        <w:t xml:space="preserve">. </w:t>
      </w:r>
    </w:p>
    <w:p w14:paraId="26F55607"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Taip pat buvo pasirašytos sutartys dėl projektų: „Lithuanian railways rolling stock“ (50 mln. eurų), JHF LT Šiaulių bankas III (40 mln. eurų), „Nordea loan for SMEs“</w:t>
      </w:r>
      <w:r w:rsidR="007F5417">
        <w:rPr>
          <w:rFonts w:ascii="Georgia" w:hAnsi="Georgia" w:cs="Arial"/>
          <w:sz w:val="20"/>
          <w:szCs w:val="20"/>
          <w:lang w:val="lt-LT"/>
        </w:rPr>
        <w:t xml:space="preserve"> (20 mln. eurų), JHF LT-VIPA-CPV</w:t>
      </w:r>
      <w:r>
        <w:rPr>
          <w:rFonts w:ascii="Georgia" w:hAnsi="Georgia" w:cs="Arial"/>
          <w:sz w:val="20"/>
          <w:szCs w:val="20"/>
          <w:lang w:val="lt-LT"/>
        </w:rPr>
        <w:t>A (20 mln. eurų), JHF LT-VIPA-CP</w:t>
      </w:r>
      <w:r w:rsidR="007F5417">
        <w:rPr>
          <w:rFonts w:ascii="Georgia" w:hAnsi="Georgia" w:cs="Arial"/>
          <w:sz w:val="20"/>
          <w:szCs w:val="20"/>
          <w:lang w:val="lt-LT"/>
        </w:rPr>
        <w:t>V</w:t>
      </w:r>
      <w:r>
        <w:rPr>
          <w:rFonts w:ascii="Georgia" w:hAnsi="Georgia" w:cs="Arial"/>
          <w:sz w:val="20"/>
          <w:szCs w:val="20"/>
          <w:lang w:val="lt-LT"/>
        </w:rPr>
        <w:t>A II (10 mln. eurų), „Pohjola bank loan for SMEs and mid-caps“ (5 mln. eurų). Pasirašyta viena sutartis dėl kapitalo investicijų – Practica Venture Capital KUB (3,6 mln. eurų)</w:t>
      </w:r>
      <w:r>
        <w:rPr>
          <w:rStyle w:val="Puslapioinaosnuoroda"/>
          <w:rFonts w:ascii="Georgia" w:hAnsi="Georgia" w:cs="Arial"/>
          <w:sz w:val="20"/>
          <w:szCs w:val="20"/>
          <w:lang w:val="lt-LT"/>
        </w:rPr>
        <w:footnoteReference w:id="86"/>
      </w:r>
      <w:r>
        <w:rPr>
          <w:rFonts w:ascii="Georgia" w:hAnsi="Georgia" w:cs="Arial"/>
          <w:sz w:val="20"/>
          <w:szCs w:val="20"/>
          <w:lang w:val="lt-LT"/>
        </w:rPr>
        <w:t>.</w:t>
      </w:r>
    </w:p>
    <w:p w14:paraId="2CF217B8"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2012 m. buvo pasirašyta viena 3,2 mln. eurų vertės sutartis („</w:t>
      </w:r>
      <w:r>
        <w:rPr>
          <w:rFonts w:ascii="Georgia" w:hAnsi="Georgia" w:cs="Arial"/>
          <w:i/>
          <w:sz w:val="20"/>
          <w:szCs w:val="20"/>
          <w:lang w:val="lt-LT"/>
        </w:rPr>
        <w:t>R&amp;D relating to automobile parts designed to reduce weight and emissions and improve safety</w:t>
      </w:r>
      <w:r>
        <w:rPr>
          <w:rFonts w:ascii="Georgia" w:hAnsi="Georgia" w:cs="Arial"/>
          <w:sz w:val="20"/>
          <w:szCs w:val="20"/>
          <w:lang w:val="lt-LT"/>
        </w:rPr>
        <w:t>“ CIE Automotive SA). Suteiktos keturios garantijos – SIA Unicredit Leasing LT (6 mln. eurų), SEB Bankas Lithuania (10 mln. eurų), Šiaulių bankas (10 mln. eurų) ir SEB Bankas Lithuania (10 mln. eurų). Taip pat pasirašytos dvi sutartys dėl kapitalo investicijų – Practica Seed/Venture Capital (17 mln. eurų) ir LitCapital I (3,5 mln. eurų)</w:t>
      </w:r>
      <w:r>
        <w:rPr>
          <w:rStyle w:val="Puslapioinaosnuoroda"/>
          <w:rFonts w:ascii="Georgia" w:hAnsi="Georgia" w:cs="Arial"/>
          <w:sz w:val="20"/>
          <w:szCs w:val="20"/>
          <w:lang w:val="lt-LT"/>
        </w:rPr>
        <w:footnoteReference w:id="87"/>
      </w:r>
      <w:r>
        <w:rPr>
          <w:rFonts w:ascii="Georgia" w:hAnsi="Georgia" w:cs="Arial"/>
          <w:sz w:val="20"/>
          <w:szCs w:val="20"/>
          <w:lang w:val="lt-LT"/>
        </w:rPr>
        <w:t>.</w:t>
      </w:r>
    </w:p>
    <w:p w14:paraId="5E84CB21" w14:textId="77777777" w:rsidR="00583EB1" w:rsidRDefault="00583EB1" w:rsidP="00583EB1">
      <w:pPr>
        <w:keepNext/>
        <w:spacing w:after="120"/>
        <w:rPr>
          <w:rFonts w:ascii="Georgia" w:hAnsi="Georgia" w:cs="Arial"/>
          <w:sz w:val="20"/>
          <w:szCs w:val="20"/>
          <w:lang w:val="lt-LT"/>
        </w:rPr>
      </w:pPr>
      <w:r>
        <w:rPr>
          <w:rFonts w:ascii="Georgia" w:hAnsi="Georgia" w:cs="Arial"/>
          <w:sz w:val="20"/>
          <w:szCs w:val="20"/>
          <w:lang w:val="lt-LT"/>
        </w:rPr>
        <w:lastRenderedPageBreak/>
        <w:t>Informacija apie EIB</w:t>
      </w:r>
      <w:r>
        <w:rPr>
          <w:rFonts w:ascii="Georgia" w:hAnsi="Georgia" w:cs="Arial"/>
          <w:sz w:val="20"/>
          <w:szCs w:val="20"/>
          <w:vertAlign w:val="superscript"/>
          <w:lang w:val="lt-LT"/>
        </w:rPr>
        <w:footnoteReference w:id="88"/>
      </w:r>
      <w:r>
        <w:rPr>
          <w:rFonts w:ascii="Georgia" w:hAnsi="Georgia" w:cs="Arial"/>
          <w:sz w:val="20"/>
          <w:szCs w:val="20"/>
          <w:lang w:val="lt-LT"/>
        </w:rPr>
        <w:t xml:space="preserve"> veiklą Lietuvoje 2008-2013 m. pateikiama žemiau esančioje lentelėje.</w:t>
      </w:r>
    </w:p>
    <w:p w14:paraId="2771904D" w14:textId="3B0BC49A" w:rsidR="00583EB1" w:rsidRPr="007B16A2" w:rsidRDefault="00583EB1" w:rsidP="00583EB1">
      <w:pPr>
        <w:pStyle w:val="Antrat"/>
        <w:rPr>
          <w:lang w:val="lt-LT"/>
        </w:rPr>
      </w:pPr>
      <w:bookmarkStart w:id="99" w:name="_Toc460321616"/>
      <w:r w:rsidRPr="007B16A2">
        <w:rPr>
          <w:lang w:val="lt-LT"/>
        </w:rPr>
        <w:t xml:space="preserve">Lentelė </w:t>
      </w:r>
      <w:r w:rsidRPr="007B16A2">
        <w:rPr>
          <w:lang w:val="lt-LT"/>
        </w:rPr>
        <w:fldChar w:fldCharType="begin"/>
      </w:r>
      <w:r w:rsidRPr="007B16A2">
        <w:rPr>
          <w:lang w:val="lt-LT"/>
        </w:rPr>
        <w:instrText xml:space="preserve"> SEQ Lentelė \* ARABIC </w:instrText>
      </w:r>
      <w:r w:rsidRPr="007B16A2">
        <w:rPr>
          <w:lang w:val="lt-LT"/>
        </w:rPr>
        <w:fldChar w:fldCharType="separate"/>
      </w:r>
      <w:r w:rsidR="00AA3082">
        <w:rPr>
          <w:noProof/>
          <w:lang w:val="lt-LT"/>
        </w:rPr>
        <w:t>35</w:t>
      </w:r>
      <w:r w:rsidRPr="007B16A2">
        <w:rPr>
          <w:lang w:val="lt-LT"/>
        </w:rPr>
        <w:fldChar w:fldCharType="end"/>
      </w:r>
      <w:r w:rsidRPr="007B16A2">
        <w:rPr>
          <w:lang w:val="lt-LT"/>
        </w:rPr>
        <w:t>. EIB veikla Lietuvoje 2008-2013 m.</w:t>
      </w:r>
      <w:bookmarkEnd w:id="99"/>
    </w:p>
    <w:tbl>
      <w:tblPr>
        <w:tblStyle w:val="viesussraas2parykinimas1"/>
        <w:tblW w:w="5000" w:type="pct"/>
        <w:tblLook w:val="0420" w:firstRow="1" w:lastRow="0" w:firstColumn="0" w:lastColumn="0" w:noHBand="0" w:noVBand="1"/>
      </w:tblPr>
      <w:tblGrid>
        <w:gridCol w:w="2223"/>
        <w:gridCol w:w="1001"/>
        <w:gridCol w:w="1002"/>
        <w:gridCol w:w="1002"/>
        <w:gridCol w:w="1004"/>
        <w:gridCol w:w="1004"/>
        <w:gridCol w:w="1004"/>
        <w:gridCol w:w="1002"/>
      </w:tblGrid>
      <w:tr w:rsidR="00583EB1" w14:paraId="5EC92CC4" w14:textId="77777777" w:rsidTr="000C740B">
        <w:trPr>
          <w:cnfStyle w:val="100000000000" w:firstRow="1" w:lastRow="0" w:firstColumn="0" w:lastColumn="0" w:oddVBand="0" w:evenVBand="0" w:oddHBand="0" w:evenHBand="0" w:firstRowFirstColumn="0" w:firstRowLastColumn="0" w:lastRowFirstColumn="0" w:lastRowLastColumn="0"/>
        </w:trPr>
        <w:tc>
          <w:tcPr>
            <w:tcW w:w="1203" w:type="pct"/>
          </w:tcPr>
          <w:p w14:paraId="4AB98F3F" w14:textId="77777777" w:rsidR="00583EB1" w:rsidRDefault="00583EB1" w:rsidP="00583EB1">
            <w:pPr>
              <w:keepNext/>
              <w:rPr>
                <w:rFonts w:ascii="Georgia" w:hAnsi="Georgia" w:cs="Arial"/>
                <w:b w:val="0"/>
                <w:bCs w:val="0"/>
                <w:color w:val="FFFFFF"/>
                <w:sz w:val="20"/>
                <w:szCs w:val="20"/>
              </w:rPr>
            </w:pPr>
          </w:p>
        </w:tc>
        <w:tc>
          <w:tcPr>
            <w:tcW w:w="542" w:type="pct"/>
            <w:hideMark/>
          </w:tcPr>
          <w:p w14:paraId="4BB94358" w14:textId="77777777" w:rsidR="00583EB1" w:rsidRDefault="00583EB1" w:rsidP="00583EB1">
            <w:pPr>
              <w:keepNext/>
              <w:jc w:val="center"/>
              <w:rPr>
                <w:rFonts w:ascii="Georgia" w:hAnsi="Georgia" w:cs="Arial"/>
                <w:b w:val="0"/>
                <w:bCs w:val="0"/>
                <w:color w:val="FFFFFF"/>
                <w:sz w:val="20"/>
                <w:szCs w:val="20"/>
              </w:rPr>
            </w:pPr>
            <w:r>
              <w:rPr>
                <w:rFonts w:ascii="Georgia" w:hAnsi="Georgia" w:cs="Arial"/>
                <w:color w:val="FFFFFF"/>
                <w:sz w:val="20"/>
                <w:szCs w:val="20"/>
              </w:rPr>
              <w:t>2013</w:t>
            </w:r>
          </w:p>
        </w:tc>
        <w:tc>
          <w:tcPr>
            <w:tcW w:w="542" w:type="pct"/>
            <w:hideMark/>
          </w:tcPr>
          <w:p w14:paraId="1D59708C" w14:textId="77777777" w:rsidR="00583EB1" w:rsidRDefault="00583EB1" w:rsidP="00583EB1">
            <w:pPr>
              <w:keepNext/>
              <w:jc w:val="center"/>
              <w:rPr>
                <w:rFonts w:ascii="Georgia" w:hAnsi="Georgia" w:cs="Arial"/>
                <w:b w:val="0"/>
                <w:bCs w:val="0"/>
                <w:color w:val="FFFFFF"/>
                <w:sz w:val="20"/>
                <w:szCs w:val="20"/>
              </w:rPr>
            </w:pPr>
            <w:r>
              <w:rPr>
                <w:rFonts w:ascii="Georgia" w:hAnsi="Georgia" w:cs="Arial"/>
                <w:color w:val="FFFFFF"/>
                <w:sz w:val="20"/>
                <w:szCs w:val="20"/>
              </w:rPr>
              <w:t>2012</w:t>
            </w:r>
          </w:p>
        </w:tc>
        <w:tc>
          <w:tcPr>
            <w:tcW w:w="542" w:type="pct"/>
            <w:hideMark/>
          </w:tcPr>
          <w:p w14:paraId="0B3F5BB7" w14:textId="77777777" w:rsidR="00583EB1" w:rsidRDefault="00583EB1" w:rsidP="00583EB1">
            <w:pPr>
              <w:keepNext/>
              <w:jc w:val="center"/>
              <w:rPr>
                <w:rFonts w:ascii="Georgia" w:hAnsi="Georgia" w:cs="Arial"/>
                <w:b w:val="0"/>
                <w:bCs w:val="0"/>
                <w:color w:val="FFFFFF"/>
                <w:sz w:val="20"/>
                <w:szCs w:val="20"/>
              </w:rPr>
            </w:pPr>
            <w:r>
              <w:rPr>
                <w:rFonts w:ascii="Georgia" w:hAnsi="Georgia" w:cs="Arial"/>
                <w:color w:val="FFFFFF"/>
                <w:sz w:val="20"/>
                <w:szCs w:val="20"/>
              </w:rPr>
              <w:t>2011</w:t>
            </w:r>
          </w:p>
        </w:tc>
        <w:tc>
          <w:tcPr>
            <w:tcW w:w="543" w:type="pct"/>
            <w:hideMark/>
          </w:tcPr>
          <w:p w14:paraId="18AE3F71" w14:textId="77777777" w:rsidR="00583EB1" w:rsidRDefault="00583EB1" w:rsidP="00583EB1">
            <w:pPr>
              <w:keepNext/>
              <w:jc w:val="center"/>
              <w:rPr>
                <w:rFonts w:ascii="Georgia" w:hAnsi="Georgia" w:cs="Arial"/>
                <w:b w:val="0"/>
                <w:bCs w:val="0"/>
                <w:color w:val="FFFFFF"/>
                <w:sz w:val="20"/>
                <w:szCs w:val="20"/>
              </w:rPr>
            </w:pPr>
            <w:r>
              <w:rPr>
                <w:rFonts w:ascii="Georgia" w:hAnsi="Georgia" w:cs="Arial"/>
                <w:color w:val="FFFFFF"/>
                <w:sz w:val="20"/>
                <w:szCs w:val="20"/>
              </w:rPr>
              <w:t>2010</w:t>
            </w:r>
          </w:p>
        </w:tc>
        <w:tc>
          <w:tcPr>
            <w:tcW w:w="543" w:type="pct"/>
            <w:hideMark/>
          </w:tcPr>
          <w:p w14:paraId="6FC4A239" w14:textId="77777777" w:rsidR="00583EB1" w:rsidRDefault="00583EB1" w:rsidP="00583EB1">
            <w:pPr>
              <w:keepNext/>
              <w:jc w:val="center"/>
              <w:rPr>
                <w:rFonts w:ascii="Georgia" w:hAnsi="Georgia" w:cs="Arial"/>
                <w:b w:val="0"/>
                <w:bCs w:val="0"/>
                <w:color w:val="FFFFFF"/>
                <w:sz w:val="20"/>
                <w:szCs w:val="20"/>
              </w:rPr>
            </w:pPr>
            <w:r>
              <w:rPr>
                <w:rFonts w:ascii="Georgia" w:hAnsi="Georgia" w:cs="Arial"/>
                <w:color w:val="FFFFFF"/>
                <w:sz w:val="20"/>
                <w:szCs w:val="20"/>
              </w:rPr>
              <w:t>2009</w:t>
            </w:r>
          </w:p>
        </w:tc>
        <w:tc>
          <w:tcPr>
            <w:tcW w:w="543" w:type="pct"/>
            <w:hideMark/>
          </w:tcPr>
          <w:p w14:paraId="65904C2E" w14:textId="77777777" w:rsidR="00583EB1" w:rsidRDefault="00583EB1" w:rsidP="00583EB1">
            <w:pPr>
              <w:keepNext/>
              <w:jc w:val="center"/>
              <w:rPr>
                <w:rFonts w:ascii="Georgia" w:hAnsi="Georgia" w:cs="Arial"/>
                <w:b w:val="0"/>
                <w:bCs w:val="0"/>
                <w:color w:val="FFFFFF"/>
                <w:sz w:val="20"/>
                <w:szCs w:val="20"/>
              </w:rPr>
            </w:pPr>
            <w:r>
              <w:rPr>
                <w:rFonts w:ascii="Georgia" w:hAnsi="Georgia" w:cs="Arial"/>
                <w:color w:val="FFFFFF"/>
                <w:sz w:val="20"/>
                <w:szCs w:val="20"/>
              </w:rPr>
              <w:t>2008</w:t>
            </w:r>
          </w:p>
        </w:tc>
        <w:tc>
          <w:tcPr>
            <w:tcW w:w="542" w:type="pct"/>
            <w:hideMark/>
          </w:tcPr>
          <w:p w14:paraId="6BC77B11" w14:textId="77777777" w:rsidR="00583EB1" w:rsidRDefault="00583EB1" w:rsidP="00583EB1">
            <w:pPr>
              <w:keepNext/>
              <w:jc w:val="center"/>
              <w:rPr>
                <w:rFonts w:ascii="Georgia" w:hAnsi="Georgia" w:cs="Arial"/>
                <w:b w:val="0"/>
                <w:bCs w:val="0"/>
                <w:color w:val="FFFFFF"/>
                <w:sz w:val="20"/>
                <w:szCs w:val="20"/>
              </w:rPr>
            </w:pPr>
            <w:r>
              <w:rPr>
                <w:rFonts w:ascii="Georgia" w:hAnsi="Georgia" w:cs="Arial"/>
                <w:color w:val="FFFFFF"/>
                <w:sz w:val="20"/>
                <w:szCs w:val="20"/>
              </w:rPr>
              <w:t>2008-2013</w:t>
            </w:r>
          </w:p>
        </w:tc>
      </w:tr>
      <w:tr w:rsidR="000C740B" w:rsidRPr="000C740B" w14:paraId="50202A55" w14:textId="77777777" w:rsidTr="000C740B">
        <w:trPr>
          <w:cnfStyle w:val="000000100000" w:firstRow="0" w:lastRow="0" w:firstColumn="0" w:lastColumn="0" w:oddVBand="0" w:evenVBand="0" w:oddHBand="1" w:evenHBand="0" w:firstRowFirstColumn="0" w:firstRowLastColumn="0" w:lastRowFirstColumn="0" w:lastRowLastColumn="0"/>
        </w:trPr>
        <w:tc>
          <w:tcPr>
            <w:tcW w:w="1203" w:type="pct"/>
            <w:hideMark/>
          </w:tcPr>
          <w:p w14:paraId="66C74320" w14:textId="77777777" w:rsidR="00583EB1" w:rsidRPr="000C740B" w:rsidRDefault="00583EB1" w:rsidP="00583EB1">
            <w:pPr>
              <w:keepNext/>
              <w:rPr>
                <w:rFonts w:ascii="Georgia" w:hAnsi="Georgia" w:cs="Arial"/>
                <w:b/>
                <w:bCs/>
                <w:sz w:val="20"/>
                <w:szCs w:val="20"/>
              </w:rPr>
            </w:pPr>
            <w:r w:rsidRPr="000C740B">
              <w:rPr>
                <w:rFonts w:ascii="Georgia" w:hAnsi="Georgia" w:cs="Arial"/>
                <w:sz w:val="20"/>
                <w:szCs w:val="20"/>
              </w:rPr>
              <w:t>Paskolos (mln. EUR)</w:t>
            </w:r>
          </w:p>
        </w:tc>
        <w:tc>
          <w:tcPr>
            <w:tcW w:w="542" w:type="pct"/>
            <w:hideMark/>
          </w:tcPr>
          <w:p w14:paraId="0567205C" w14:textId="77777777" w:rsidR="00583EB1" w:rsidRPr="000C740B" w:rsidRDefault="00583EB1" w:rsidP="00583EB1">
            <w:pPr>
              <w:keepNext/>
              <w:jc w:val="center"/>
              <w:rPr>
                <w:rFonts w:ascii="Georgia" w:hAnsi="Georgia" w:cs="Arial"/>
                <w:sz w:val="20"/>
                <w:szCs w:val="20"/>
              </w:rPr>
            </w:pPr>
            <w:r w:rsidRPr="000C740B">
              <w:rPr>
                <w:rFonts w:ascii="Georgia" w:hAnsi="Georgia" w:cs="Arial"/>
                <w:sz w:val="20"/>
                <w:szCs w:val="20"/>
              </w:rPr>
              <w:t>232</w:t>
            </w:r>
          </w:p>
        </w:tc>
        <w:tc>
          <w:tcPr>
            <w:tcW w:w="542" w:type="pct"/>
            <w:hideMark/>
          </w:tcPr>
          <w:p w14:paraId="605114F4" w14:textId="77777777" w:rsidR="00583EB1" w:rsidRPr="000C740B" w:rsidRDefault="00583EB1" w:rsidP="00583EB1">
            <w:pPr>
              <w:keepNext/>
              <w:jc w:val="center"/>
              <w:rPr>
                <w:rFonts w:ascii="Georgia" w:hAnsi="Georgia" w:cs="Arial"/>
                <w:sz w:val="20"/>
                <w:szCs w:val="20"/>
              </w:rPr>
            </w:pPr>
            <w:r w:rsidRPr="000C740B">
              <w:rPr>
                <w:rFonts w:ascii="Georgia" w:hAnsi="Georgia" w:cs="Arial"/>
                <w:sz w:val="20"/>
                <w:szCs w:val="20"/>
              </w:rPr>
              <w:t>3,2</w:t>
            </w:r>
          </w:p>
        </w:tc>
        <w:tc>
          <w:tcPr>
            <w:tcW w:w="542" w:type="pct"/>
            <w:hideMark/>
          </w:tcPr>
          <w:p w14:paraId="219DC2F0" w14:textId="77777777" w:rsidR="00583EB1" w:rsidRPr="000C740B" w:rsidRDefault="00583EB1" w:rsidP="00583EB1">
            <w:pPr>
              <w:keepNext/>
              <w:jc w:val="center"/>
              <w:rPr>
                <w:rFonts w:ascii="Georgia" w:hAnsi="Georgia" w:cs="Arial"/>
                <w:sz w:val="20"/>
                <w:szCs w:val="20"/>
              </w:rPr>
            </w:pPr>
            <w:r w:rsidRPr="000C740B">
              <w:rPr>
                <w:rFonts w:ascii="Georgia" w:hAnsi="Georgia" w:cs="Arial"/>
                <w:sz w:val="20"/>
                <w:szCs w:val="20"/>
              </w:rPr>
              <w:t>10,5</w:t>
            </w:r>
          </w:p>
        </w:tc>
        <w:tc>
          <w:tcPr>
            <w:tcW w:w="543" w:type="pct"/>
            <w:hideMark/>
          </w:tcPr>
          <w:p w14:paraId="3C4C330D" w14:textId="77777777" w:rsidR="00583EB1" w:rsidRPr="000C740B" w:rsidRDefault="00583EB1" w:rsidP="00583EB1">
            <w:pPr>
              <w:keepNext/>
              <w:jc w:val="center"/>
              <w:rPr>
                <w:rFonts w:ascii="Georgia" w:hAnsi="Georgia" w:cs="Arial"/>
                <w:sz w:val="20"/>
                <w:szCs w:val="20"/>
              </w:rPr>
            </w:pPr>
            <w:r w:rsidRPr="000C740B">
              <w:rPr>
                <w:rFonts w:ascii="Georgia" w:hAnsi="Georgia" w:cs="Arial"/>
                <w:sz w:val="20"/>
                <w:szCs w:val="20"/>
              </w:rPr>
              <w:t>47</w:t>
            </w:r>
          </w:p>
        </w:tc>
        <w:tc>
          <w:tcPr>
            <w:tcW w:w="543" w:type="pct"/>
            <w:hideMark/>
          </w:tcPr>
          <w:p w14:paraId="524F4699" w14:textId="77777777" w:rsidR="00583EB1" w:rsidRPr="000C740B" w:rsidRDefault="00583EB1" w:rsidP="00583EB1">
            <w:pPr>
              <w:keepNext/>
              <w:jc w:val="center"/>
              <w:rPr>
                <w:rFonts w:ascii="Georgia" w:hAnsi="Georgia" w:cs="Arial"/>
                <w:sz w:val="20"/>
                <w:szCs w:val="20"/>
              </w:rPr>
            </w:pPr>
            <w:r w:rsidRPr="000C740B">
              <w:rPr>
                <w:rFonts w:ascii="Georgia" w:hAnsi="Georgia" w:cs="Arial"/>
                <w:sz w:val="20"/>
                <w:szCs w:val="20"/>
              </w:rPr>
              <w:t>1.169</w:t>
            </w:r>
          </w:p>
        </w:tc>
        <w:tc>
          <w:tcPr>
            <w:tcW w:w="543" w:type="pct"/>
            <w:hideMark/>
          </w:tcPr>
          <w:p w14:paraId="4654435C" w14:textId="77777777" w:rsidR="00583EB1" w:rsidRPr="000C740B" w:rsidRDefault="00583EB1" w:rsidP="00583EB1">
            <w:pPr>
              <w:keepNext/>
              <w:jc w:val="center"/>
              <w:rPr>
                <w:rFonts w:ascii="Georgia" w:hAnsi="Georgia" w:cs="Arial"/>
                <w:sz w:val="20"/>
                <w:szCs w:val="20"/>
              </w:rPr>
            </w:pPr>
            <w:r w:rsidRPr="000C740B">
              <w:rPr>
                <w:rFonts w:ascii="Georgia" w:hAnsi="Georgia" w:cs="Arial"/>
                <w:sz w:val="20"/>
                <w:szCs w:val="20"/>
              </w:rPr>
              <w:t>10</w:t>
            </w:r>
          </w:p>
        </w:tc>
        <w:tc>
          <w:tcPr>
            <w:tcW w:w="542" w:type="pct"/>
            <w:hideMark/>
          </w:tcPr>
          <w:p w14:paraId="29A8E9DA" w14:textId="77777777" w:rsidR="00583EB1" w:rsidRPr="000C740B" w:rsidRDefault="00BF610B" w:rsidP="00583EB1">
            <w:pPr>
              <w:keepNext/>
              <w:jc w:val="center"/>
              <w:rPr>
                <w:rFonts w:ascii="Georgia" w:hAnsi="Georgia" w:cs="Arial"/>
                <w:sz w:val="20"/>
                <w:szCs w:val="20"/>
              </w:rPr>
            </w:pPr>
            <w:r w:rsidRPr="000C740B">
              <w:rPr>
                <w:rFonts w:ascii="Georgia" w:hAnsi="Georgia" w:cs="Arial"/>
                <w:sz w:val="20"/>
                <w:szCs w:val="20"/>
              </w:rPr>
              <w:t>1</w:t>
            </w:r>
            <w:r w:rsidR="00583EB1" w:rsidRPr="000C740B">
              <w:rPr>
                <w:rFonts w:ascii="Georgia" w:hAnsi="Georgia" w:cs="Arial"/>
                <w:sz w:val="20"/>
                <w:szCs w:val="20"/>
              </w:rPr>
              <w:t>472</w:t>
            </w:r>
          </w:p>
        </w:tc>
      </w:tr>
      <w:tr w:rsidR="000C740B" w:rsidRPr="000C740B" w14:paraId="476F2521" w14:textId="77777777" w:rsidTr="000C740B">
        <w:tc>
          <w:tcPr>
            <w:tcW w:w="1203" w:type="pct"/>
            <w:hideMark/>
          </w:tcPr>
          <w:p w14:paraId="7D04EC6C" w14:textId="77777777" w:rsidR="00583EB1" w:rsidRPr="000C740B" w:rsidRDefault="00583EB1" w:rsidP="00583EB1">
            <w:pPr>
              <w:rPr>
                <w:rFonts w:ascii="Georgia" w:hAnsi="Georgia" w:cs="Arial"/>
                <w:b/>
                <w:bCs/>
                <w:sz w:val="20"/>
                <w:szCs w:val="20"/>
              </w:rPr>
            </w:pPr>
            <w:r w:rsidRPr="000C740B">
              <w:rPr>
                <w:rFonts w:ascii="Georgia" w:hAnsi="Georgia" w:cs="Arial"/>
                <w:sz w:val="20"/>
                <w:szCs w:val="20"/>
              </w:rPr>
              <w:t>Individualios paskolos (mln. EUR)</w:t>
            </w:r>
          </w:p>
        </w:tc>
        <w:tc>
          <w:tcPr>
            <w:tcW w:w="542" w:type="pct"/>
            <w:hideMark/>
          </w:tcPr>
          <w:p w14:paraId="40EEDA81"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137</w:t>
            </w:r>
            <w:r w:rsidRPr="000C740B">
              <w:rPr>
                <w:rStyle w:val="Puslapioinaosnuoroda"/>
                <w:rFonts w:ascii="Georgia" w:hAnsi="Georgia" w:cs="Arial"/>
                <w:sz w:val="20"/>
                <w:szCs w:val="20"/>
              </w:rPr>
              <w:footnoteReference w:id="89"/>
            </w:r>
          </w:p>
        </w:tc>
        <w:tc>
          <w:tcPr>
            <w:tcW w:w="542" w:type="pct"/>
            <w:hideMark/>
          </w:tcPr>
          <w:p w14:paraId="264156AA"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3,2</w:t>
            </w:r>
          </w:p>
        </w:tc>
        <w:tc>
          <w:tcPr>
            <w:tcW w:w="542" w:type="pct"/>
            <w:hideMark/>
          </w:tcPr>
          <w:p w14:paraId="33A67C65"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3" w:type="pct"/>
            <w:hideMark/>
          </w:tcPr>
          <w:p w14:paraId="14FEF0DB"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20</w:t>
            </w:r>
          </w:p>
        </w:tc>
        <w:tc>
          <w:tcPr>
            <w:tcW w:w="543" w:type="pct"/>
            <w:hideMark/>
          </w:tcPr>
          <w:p w14:paraId="136AC3F3"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1.154</w:t>
            </w:r>
          </w:p>
        </w:tc>
        <w:tc>
          <w:tcPr>
            <w:tcW w:w="543" w:type="pct"/>
            <w:hideMark/>
          </w:tcPr>
          <w:p w14:paraId="01EBF236"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2" w:type="pct"/>
            <w:hideMark/>
          </w:tcPr>
          <w:p w14:paraId="53B7A62E" w14:textId="77777777" w:rsidR="00583EB1" w:rsidRPr="000C740B" w:rsidRDefault="00BF610B" w:rsidP="00583EB1">
            <w:pPr>
              <w:jc w:val="center"/>
              <w:rPr>
                <w:rFonts w:ascii="Georgia" w:hAnsi="Georgia" w:cs="Arial"/>
                <w:sz w:val="20"/>
                <w:szCs w:val="20"/>
              </w:rPr>
            </w:pPr>
            <w:r w:rsidRPr="000C740B">
              <w:rPr>
                <w:rFonts w:ascii="Georgia" w:hAnsi="Georgia" w:cs="Arial"/>
                <w:sz w:val="20"/>
                <w:szCs w:val="20"/>
              </w:rPr>
              <w:t>1</w:t>
            </w:r>
            <w:r w:rsidR="00583EB1" w:rsidRPr="000C740B">
              <w:rPr>
                <w:rFonts w:ascii="Georgia" w:hAnsi="Georgia" w:cs="Arial"/>
                <w:sz w:val="20"/>
                <w:szCs w:val="20"/>
              </w:rPr>
              <w:t>314,2</w:t>
            </w:r>
          </w:p>
        </w:tc>
      </w:tr>
      <w:tr w:rsidR="000C740B" w:rsidRPr="000C740B" w14:paraId="009FBD65" w14:textId="77777777" w:rsidTr="000C740B">
        <w:trPr>
          <w:cnfStyle w:val="000000100000" w:firstRow="0" w:lastRow="0" w:firstColumn="0" w:lastColumn="0" w:oddVBand="0" w:evenVBand="0" w:oddHBand="1" w:evenHBand="0" w:firstRowFirstColumn="0" w:firstRowLastColumn="0" w:lastRowFirstColumn="0" w:lastRowLastColumn="0"/>
        </w:trPr>
        <w:tc>
          <w:tcPr>
            <w:tcW w:w="1203" w:type="pct"/>
            <w:hideMark/>
          </w:tcPr>
          <w:p w14:paraId="0DF03B7B" w14:textId="77777777" w:rsidR="00583EB1" w:rsidRPr="000C740B" w:rsidRDefault="00583EB1" w:rsidP="00583EB1">
            <w:pPr>
              <w:rPr>
                <w:rFonts w:ascii="Georgia" w:hAnsi="Georgia" w:cs="Arial"/>
                <w:b/>
                <w:bCs/>
                <w:sz w:val="20"/>
                <w:szCs w:val="20"/>
              </w:rPr>
            </w:pPr>
            <w:r w:rsidRPr="000C740B">
              <w:rPr>
                <w:rFonts w:ascii="Georgia" w:hAnsi="Georgia" w:cs="Arial"/>
                <w:sz w:val="20"/>
                <w:szCs w:val="20"/>
              </w:rPr>
              <w:t>Kredito linijos (mln. EUR)</w:t>
            </w:r>
          </w:p>
        </w:tc>
        <w:tc>
          <w:tcPr>
            <w:tcW w:w="542" w:type="pct"/>
            <w:hideMark/>
          </w:tcPr>
          <w:p w14:paraId="5426A504"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95</w:t>
            </w:r>
          </w:p>
        </w:tc>
        <w:tc>
          <w:tcPr>
            <w:tcW w:w="542" w:type="pct"/>
            <w:hideMark/>
          </w:tcPr>
          <w:p w14:paraId="6995614B"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2" w:type="pct"/>
            <w:hideMark/>
          </w:tcPr>
          <w:p w14:paraId="22C26818"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10,5</w:t>
            </w:r>
          </w:p>
        </w:tc>
        <w:tc>
          <w:tcPr>
            <w:tcW w:w="543" w:type="pct"/>
            <w:hideMark/>
          </w:tcPr>
          <w:p w14:paraId="17201F23"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27</w:t>
            </w:r>
          </w:p>
        </w:tc>
        <w:tc>
          <w:tcPr>
            <w:tcW w:w="543" w:type="pct"/>
            <w:hideMark/>
          </w:tcPr>
          <w:p w14:paraId="465740F4"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15</w:t>
            </w:r>
          </w:p>
        </w:tc>
        <w:tc>
          <w:tcPr>
            <w:tcW w:w="543" w:type="pct"/>
            <w:hideMark/>
          </w:tcPr>
          <w:p w14:paraId="1C63B62C"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10</w:t>
            </w:r>
          </w:p>
        </w:tc>
        <w:tc>
          <w:tcPr>
            <w:tcW w:w="542" w:type="pct"/>
            <w:hideMark/>
          </w:tcPr>
          <w:p w14:paraId="38506E2E"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157,5</w:t>
            </w:r>
          </w:p>
        </w:tc>
      </w:tr>
      <w:tr w:rsidR="000C740B" w:rsidRPr="000C740B" w14:paraId="6B80E246" w14:textId="77777777" w:rsidTr="000C740B">
        <w:tc>
          <w:tcPr>
            <w:tcW w:w="1203" w:type="pct"/>
            <w:hideMark/>
          </w:tcPr>
          <w:p w14:paraId="0B3187A3" w14:textId="77777777" w:rsidR="00583EB1" w:rsidRPr="000C740B" w:rsidRDefault="00583EB1" w:rsidP="00583EB1">
            <w:pPr>
              <w:rPr>
                <w:rFonts w:ascii="Georgia" w:hAnsi="Georgia" w:cs="Arial"/>
                <w:b/>
                <w:bCs/>
                <w:sz w:val="20"/>
                <w:szCs w:val="20"/>
              </w:rPr>
            </w:pPr>
            <w:r w:rsidRPr="000C740B">
              <w:rPr>
                <w:rFonts w:ascii="Georgia" w:hAnsi="Georgia" w:cs="Arial"/>
                <w:sz w:val="20"/>
                <w:szCs w:val="20"/>
              </w:rPr>
              <w:t>Paskolų skaičius (vnt.)</w:t>
            </w:r>
          </w:p>
        </w:tc>
        <w:tc>
          <w:tcPr>
            <w:tcW w:w="542" w:type="pct"/>
            <w:hideMark/>
          </w:tcPr>
          <w:p w14:paraId="062D37AF"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7</w:t>
            </w:r>
          </w:p>
        </w:tc>
        <w:tc>
          <w:tcPr>
            <w:tcW w:w="542" w:type="pct"/>
            <w:hideMark/>
          </w:tcPr>
          <w:p w14:paraId="0FBDEDC9"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1</w:t>
            </w:r>
          </w:p>
        </w:tc>
        <w:tc>
          <w:tcPr>
            <w:tcW w:w="542" w:type="pct"/>
            <w:hideMark/>
          </w:tcPr>
          <w:p w14:paraId="0457F281"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2</w:t>
            </w:r>
          </w:p>
        </w:tc>
        <w:tc>
          <w:tcPr>
            <w:tcW w:w="543" w:type="pct"/>
            <w:hideMark/>
          </w:tcPr>
          <w:p w14:paraId="3CFEFCB8"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2</w:t>
            </w:r>
          </w:p>
        </w:tc>
        <w:tc>
          <w:tcPr>
            <w:tcW w:w="543" w:type="pct"/>
            <w:hideMark/>
          </w:tcPr>
          <w:p w14:paraId="1D31E35E"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4</w:t>
            </w:r>
          </w:p>
        </w:tc>
        <w:tc>
          <w:tcPr>
            <w:tcW w:w="543" w:type="pct"/>
            <w:hideMark/>
          </w:tcPr>
          <w:p w14:paraId="1DEC5814"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1</w:t>
            </w:r>
          </w:p>
        </w:tc>
        <w:tc>
          <w:tcPr>
            <w:tcW w:w="542" w:type="pct"/>
            <w:hideMark/>
          </w:tcPr>
          <w:p w14:paraId="0EFBC352"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17</w:t>
            </w:r>
          </w:p>
        </w:tc>
      </w:tr>
      <w:tr w:rsidR="000C740B" w:rsidRPr="000C740B" w14:paraId="0ADECD99" w14:textId="77777777" w:rsidTr="000C740B">
        <w:trPr>
          <w:cnfStyle w:val="000000100000" w:firstRow="0" w:lastRow="0" w:firstColumn="0" w:lastColumn="0" w:oddVBand="0" w:evenVBand="0" w:oddHBand="1" w:evenHBand="0" w:firstRowFirstColumn="0" w:firstRowLastColumn="0" w:lastRowFirstColumn="0" w:lastRowLastColumn="0"/>
        </w:trPr>
        <w:tc>
          <w:tcPr>
            <w:tcW w:w="1203" w:type="pct"/>
            <w:hideMark/>
          </w:tcPr>
          <w:p w14:paraId="4A758E31" w14:textId="77777777" w:rsidR="00583EB1" w:rsidRPr="000C740B" w:rsidRDefault="00583EB1" w:rsidP="00583EB1">
            <w:pPr>
              <w:rPr>
                <w:rFonts w:ascii="Georgia" w:hAnsi="Georgia" w:cs="Arial"/>
                <w:b/>
                <w:bCs/>
                <w:sz w:val="20"/>
                <w:szCs w:val="20"/>
              </w:rPr>
            </w:pPr>
            <w:r w:rsidRPr="000C740B">
              <w:rPr>
                <w:rFonts w:ascii="Georgia" w:hAnsi="Georgia" w:cs="Arial"/>
                <w:sz w:val="20"/>
                <w:szCs w:val="20"/>
              </w:rPr>
              <w:t>Garantijos (mln. EUR)</w:t>
            </w:r>
          </w:p>
        </w:tc>
        <w:tc>
          <w:tcPr>
            <w:tcW w:w="542" w:type="pct"/>
            <w:hideMark/>
          </w:tcPr>
          <w:p w14:paraId="1ADCC3E5"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2" w:type="pct"/>
            <w:hideMark/>
          </w:tcPr>
          <w:p w14:paraId="2253F6B8"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36</w:t>
            </w:r>
          </w:p>
        </w:tc>
        <w:tc>
          <w:tcPr>
            <w:tcW w:w="542" w:type="pct"/>
            <w:hideMark/>
          </w:tcPr>
          <w:p w14:paraId="0A2CB21C"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22</w:t>
            </w:r>
          </w:p>
        </w:tc>
        <w:tc>
          <w:tcPr>
            <w:tcW w:w="543" w:type="pct"/>
            <w:hideMark/>
          </w:tcPr>
          <w:p w14:paraId="6FB997AA"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72</w:t>
            </w:r>
          </w:p>
        </w:tc>
        <w:tc>
          <w:tcPr>
            <w:tcW w:w="543" w:type="pct"/>
            <w:hideMark/>
          </w:tcPr>
          <w:p w14:paraId="3DFC3724"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75</w:t>
            </w:r>
          </w:p>
        </w:tc>
        <w:tc>
          <w:tcPr>
            <w:tcW w:w="543" w:type="pct"/>
            <w:hideMark/>
          </w:tcPr>
          <w:p w14:paraId="0FDC2697"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2" w:type="pct"/>
            <w:hideMark/>
          </w:tcPr>
          <w:p w14:paraId="0BC11F6A"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r>
      <w:tr w:rsidR="000C740B" w:rsidRPr="000C740B" w14:paraId="35AF1FDE" w14:textId="77777777" w:rsidTr="000C740B">
        <w:tc>
          <w:tcPr>
            <w:tcW w:w="1203" w:type="pct"/>
            <w:hideMark/>
          </w:tcPr>
          <w:p w14:paraId="208220E1" w14:textId="77777777" w:rsidR="00583EB1" w:rsidRPr="000C740B" w:rsidRDefault="00583EB1" w:rsidP="00583EB1">
            <w:pPr>
              <w:rPr>
                <w:rFonts w:ascii="Georgia" w:hAnsi="Georgia" w:cs="Arial"/>
                <w:b/>
                <w:bCs/>
                <w:sz w:val="20"/>
                <w:szCs w:val="20"/>
              </w:rPr>
            </w:pPr>
            <w:r w:rsidRPr="000C740B">
              <w:rPr>
                <w:rFonts w:ascii="Georgia" w:hAnsi="Georgia" w:cs="Arial"/>
                <w:sz w:val="20"/>
                <w:szCs w:val="20"/>
              </w:rPr>
              <w:t>Garantijų skaičius (vnt.)</w:t>
            </w:r>
          </w:p>
        </w:tc>
        <w:tc>
          <w:tcPr>
            <w:tcW w:w="542" w:type="pct"/>
            <w:hideMark/>
          </w:tcPr>
          <w:p w14:paraId="3B34175A"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2" w:type="pct"/>
            <w:hideMark/>
          </w:tcPr>
          <w:p w14:paraId="5870B9B3"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4</w:t>
            </w:r>
          </w:p>
        </w:tc>
        <w:tc>
          <w:tcPr>
            <w:tcW w:w="542" w:type="pct"/>
            <w:hideMark/>
          </w:tcPr>
          <w:p w14:paraId="7790F857"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3</w:t>
            </w:r>
          </w:p>
        </w:tc>
        <w:tc>
          <w:tcPr>
            <w:tcW w:w="543" w:type="pct"/>
            <w:hideMark/>
          </w:tcPr>
          <w:p w14:paraId="0F942C87"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2</w:t>
            </w:r>
          </w:p>
        </w:tc>
        <w:tc>
          <w:tcPr>
            <w:tcW w:w="543" w:type="pct"/>
            <w:hideMark/>
          </w:tcPr>
          <w:p w14:paraId="427CE187"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1</w:t>
            </w:r>
          </w:p>
        </w:tc>
        <w:tc>
          <w:tcPr>
            <w:tcW w:w="543" w:type="pct"/>
            <w:hideMark/>
          </w:tcPr>
          <w:p w14:paraId="4BE4D182"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2" w:type="pct"/>
            <w:hideMark/>
          </w:tcPr>
          <w:p w14:paraId="24463D6C"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10</w:t>
            </w:r>
          </w:p>
        </w:tc>
      </w:tr>
      <w:tr w:rsidR="000C740B" w:rsidRPr="000C740B" w14:paraId="50D2F86D" w14:textId="77777777" w:rsidTr="000C740B">
        <w:trPr>
          <w:cnfStyle w:val="000000100000" w:firstRow="0" w:lastRow="0" w:firstColumn="0" w:lastColumn="0" w:oddVBand="0" w:evenVBand="0" w:oddHBand="1" w:evenHBand="0" w:firstRowFirstColumn="0" w:firstRowLastColumn="0" w:lastRowFirstColumn="0" w:lastRowLastColumn="0"/>
        </w:trPr>
        <w:tc>
          <w:tcPr>
            <w:tcW w:w="1203" w:type="pct"/>
            <w:hideMark/>
          </w:tcPr>
          <w:p w14:paraId="1A665401" w14:textId="77777777" w:rsidR="00583EB1" w:rsidRPr="000C740B" w:rsidRDefault="00583EB1" w:rsidP="00583EB1">
            <w:pPr>
              <w:rPr>
                <w:rFonts w:ascii="Georgia" w:hAnsi="Georgia" w:cs="Arial"/>
                <w:b/>
                <w:bCs/>
                <w:sz w:val="20"/>
                <w:szCs w:val="20"/>
              </w:rPr>
            </w:pPr>
            <w:r w:rsidRPr="000C740B">
              <w:rPr>
                <w:rFonts w:ascii="Georgia" w:hAnsi="Georgia" w:cs="Arial"/>
                <w:sz w:val="20"/>
                <w:szCs w:val="20"/>
              </w:rPr>
              <w:t>Mikrofinansavimas (mln. EUR)</w:t>
            </w:r>
          </w:p>
        </w:tc>
        <w:tc>
          <w:tcPr>
            <w:tcW w:w="542" w:type="pct"/>
            <w:hideMark/>
          </w:tcPr>
          <w:p w14:paraId="62B1615C"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2" w:type="pct"/>
            <w:hideMark/>
          </w:tcPr>
          <w:p w14:paraId="49F0ECB3"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2" w:type="pct"/>
            <w:hideMark/>
          </w:tcPr>
          <w:p w14:paraId="3AB5668B"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5</w:t>
            </w:r>
          </w:p>
        </w:tc>
        <w:tc>
          <w:tcPr>
            <w:tcW w:w="543" w:type="pct"/>
            <w:hideMark/>
          </w:tcPr>
          <w:p w14:paraId="5C2BC254"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3" w:type="pct"/>
            <w:hideMark/>
          </w:tcPr>
          <w:p w14:paraId="15CAF692"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3" w:type="pct"/>
            <w:hideMark/>
          </w:tcPr>
          <w:p w14:paraId="266201A7"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2" w:type="pct"/>
            <w:hideMark/>
          </w:tcPr>
          <w:p w14:paraId="18E62981"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5</w:t>
            </w:r>
          </w:p>
        </w:tc>
      </w:tr>
      <w:tr w:rsidR="000C740B" w:rsidRPr="000C740B" w14:paraId="30171685" w14:textId="77777777" w:rsidTr="000C740B">
        <w:tc>
          <w:tcPr>
            <w:tcW w:w="1203" w:type="pct"/>
            <w:hideMark/>
          </w:tcPr>
          <w:p w14:paraId="48916123" w14:textId="77777777" w:rsidR="00583EB1" w:rsidRPr="000C740B" w:rsidRDefault="00583EB1" w:rsidP="00583EB1">
            <w:pPr>
              <w:rPr>
                <w:rFonts w:ascii="Georgia" w:hAnsi="Georgia" w:cs="Arial"/>
                <w:b/>
                <w:bCs/>
                <w:sz w:val="20"/>
                <w:szCs w:val="20"/>
              </w:rPr>
            </w:pPr>
            <w:r w:rsidRPr="000C740B">
              <w:rPr>
                <w:rFonts w:ascii="Georgia" w:hAnsi="Georgia" w:cs="Arial"/>
                <w:sz w:val="20"/>
                <w:szCs w:val="20"/>
              </w:rPr>
              <w:t>Sutarčių skaičius (vnt.)</w:t>
            </w:r>
          </w:p>
        </w:tc>
        <w:tc>
          <w:tcPr>
            <w:tcW w:w="542" w:type="pct"/>
            <w:hideMark/>
          </w:tcPr>
          <w:p w14:paraId="0C485901"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2" w:type="pct"/>
            <w:hideMark/>
          </w:tcPr>
          <w:p w14:paraId="4E8B344F"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2" w:type="pct"/>
            <w:hideMark/>
          </w:tcPr>
          <w:p w14:paraId="4D629656"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1</w:t>
            </w:r>
          </w:p>
        </w:tc>
        <w:tc>
          <w:tcPr>
            <w:tcW w:w="543" w:type="pct"/>
            <w:hideMark/>
          </w:tcPr>
          <w:p w14:paraId="5A2E40B3"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3" w:type="pct"/>
            <w:hideMark/>
          </w:tcPr>
          <w:p w14:paraId="3B74FC9A"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3" w:type="pct"/>
            <w:hideMark/>
          </w:tcPr>
          <w:p w14:paraId="120B772A"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2" w:type="pct"/>
            <w:hideMark/>
          </w:tcPr>
          <w:p w14:paraId="5CE74A37"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1</w:t>
            </w:r>
          </w:p>
        </w:tc>
      </w:tr>
      <w:tr w:rsidR="000C740B" w:rsidRPr="000C740B" w14:paraId="350E5C7E" w14:textId="77777777" w:rsidTr="000C740B">
        <w:trPr>
          <w:cnfStyle w:val="000000100000" w:firstRow="0" w:lastRow="0" w:firstColumn="0" w:lastColumn="0" w:oddVBand="0" w:evenVBand="0" w:oddHBand="1" w:evenHBand="0" w:firstRowFirstColumn="0" w:firstRowLastColumn="0" w:lastRowFirstColumn="0" w:lastRowLastColumn="0"/>
        </w:trPr>
        <w:tc>
          <w:tcPr>
            <w:tcW w:w="1203" w:type="pct"/>
            <w:hideMark/>
          </w:tcPr>
          <w:p w14:paraId="00C7AD6F" w14:textId="77777777" w:rsidR="00583EB1" w:rsidRPr="000C740B" w:rsidRDefault="00583EB1" w:rsidP="00583EB1">
            <w:pPr>
              <w:rPr>
                <w:rFonts w:ascii="Georgia" w:hAnsi="Georgia" w:cs="Arial"/>
                <w:b/>
                <w:bCs/>
                <w:sz w:val="20"/>
                <w:szCs w:val="20"/>
              </w:rPr>
            </w:pPr>
            <w:r w:rsidRPr="000C740B">
              <w:rPr>
                <w:rFonts w:ascii="Georgia" w:hAnsi="Georgia" w:cs="Arial"/>
                <w:sz w:val="20"/>
                <w:szCs w:val="20"/>
              </w:rPr>
              <w:t>Kapitalo investicijos (mln. EUR)</w:t>
            </w:r>
          </w:p>
        </w:tc>
        <w:tc>
          <w:tcPr>
            <w:tcW w:w="542" w:type="pct"/>
            <w:hideMark/>
          </w:tcPr>
          <w:p w14:paraId="075528E2"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3,6</w:t>
            </w:r>
          </w:p>
        </w:tc>
        <w:tc>
          <w:tcPr>
            <w:tcW w:w="542" w:type="pct"/>
            <w:hideMark/>
          </w:tcPr>
          <w:p w14:paraId="690E2A5C"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20,5</w:t>
            </w:r>
          </w:p>
        </w:tc>
        <w:tc>
          <w:tcPr>
            <w:tcW w:w="542" w:type="pct"/>
            <w:hideMark/>
          </w:tcPr>
          <w:p w14:paraId="5F7C02F8"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3" w:type="pct"/>
            <w:hideMark/>
          </w:tcPr>
          <w:p w14:paraId="338AC9B3"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36</w:t>
            </w:r>
          </w:p>
        </w:tc>
        <w:tc>
          <w:tcPr>
            <w:tcW w:w="543" w:type="pct"/>
            <w:hideMark/>
          </w:tcPr>
          <w:p w14:paraId="6E689730"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3" w:type="pct"/>
            <w:hideMark/>
          </w:tcPr>
          <w:p w14:paraId="3D7D115C"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2" w:type="pct"/>
            <w:hideMark/>
          </w:tcPr>
          <w:p w14:paraId="020FD942"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60,1</w:t>
            </w:r>
          </w:p>
        </w:tc>
      </w:tr>
      <w:tr w:rsidR="000C740B" w:rsidRPr="000C740B" w14:paraId="57A47781" w14:textId="77777777" w:rsidTr="000C740B">
        <w:tc>
          <w:tcPr>
            <w:tcW w:w="1203" w:type="pct"/>
            <w:hideMark/>
          </w:tcPr>
          <w:p w14:paraId="02FF2B5E" w14:textId="77777777" w:rsidR="00583EB1" w:rsidRPr="000C740B" w:rsidRDefault="00583EB1" w:rsidP="00583EB1">
            <w:pPr>
              <w:rPr>
                <w:rFonts w:ascii="Georgia" w:hAnsi="Georgia" w:cs="Arial"/>
                <w:b/>
                <w:bCs/>
                <w:sz w:val="20"/>
                <w:szCs w:val="20"/>
              </w:rPr>
            </w:pPr>
            <w:r w:rsidRPr="000C740B">
              <w:rPr>
                <w:rFonts w:ascii="Georgia" w:hAnsi="Georgia" w:cs="Arial"/>
                <w:sz w:val="20"/>
                <w:szCs w:val="20"/>
              </w:rPr>
              <w:t>Sutarčių skaičius (vnt.)</w:t>
            </w:r>
          </w:p>
        </w:tc>
        <w:tc>
          <w:tcPr>
            <w:tcW w:w="542" w:type="pct"/>
            <w:hideMark/>
          </w:tcPr>
          <w:p w14:paraId="122F543F"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1</w:t>
            </w:r>
          </w:p>
        </w:tc>
        <w:tc>
          <w:tcPr>
            <w:tcW w:w="542" w:type="pct"/>
            <w:hideMark/>
          </w:tcPr>
          <w:p w14:paraId="3CBFB6FA"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2</w:t>
            </w:r>
          </w:p>
        </w:tc>
        <w:tc>
          <w:tcPr>
            <w:tcW w:w="542" w:type="pct"/>
            <w:hideMark/>
          </w:tcPr>
          <w:p w14:paraId="21DB673E"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3" w:type="pct"/>
            <w:hideMark/>
          </w:tcPr>
          <w:p w14:paraId="791487DE"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3</w:t>
            </w:r>
          </w:p>
        </w:tc>
        <w:tc>
          <w:tcPr>
            <w:tcW w:w="543" w:type="pct"/>
            <w:hideMark/>
          </w:tcPr>
          <w:p w14:paraId="23AD4164"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3" w:type="pct"/>
            <w:hideMark/>
          </w:tcPr>
          <w:p w14:paraId="48B268FA"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42" w:type="pct"/>
            <w:hideMark/>
          </w:tcPr>
          <w:p w14:paraId="7F721BE1"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6</w:t>
            </w:r>
          </w:p>
        </w:tc>
      </w:tr>
    </w:tbl>
    <w:p w14:paraId="5B8977F0" w14:textId="77777777" w:rsidR="00583EB1" w:rsidRPr="00F20D34" w:rsidRDefault="00583EB1" w:rsidP="00583EB1">
      <w:pPr>
        <w:rPr>
          <w:rFonts w:ascii="Georgia" w:hAnsi="Georgia" w:cs="Arial"/>
          <w:i/>
          <w:sz w:val="20"/>
          <w:szCs w:val="20"/>
          <w:lang w:val="lt-LT"/>
        </w:rPr>
      </w:pPr>
      <w:r w:rsidRPr="007F5417">
        <w:rPr>
          <w:rFonts w:ascii="Georgia" w:eastAsia="PMingLiU" w:hAnsi="Georgia" w:cs="Times New Roman"/>
          <w:bCs/>
          <w:i/>
          <w:color w:val="A32020"/>
          <w:sz w:val="20"/>
          <w:szCs w:val="18"/>
          <w:lang w:val="lt-LT"/>
        </w:rPr>
        <w:t>Šaltinis: įvairūs EIB statistinių ir metinių ataskaitų duomenys</w:t>
      </w:r>
      <w:r>
        <w:rPr>
          <w:rStyle w:val="Puslapioinaosnuoroda"/>
          <w:rFonts w:ascii="Georgia" w:hAnsi="Georgia" w:cs="Arial"/>
          <w:i/>
          <w:sz w:val="20"/>
          <w:szCs w:val="20"/>
          <w:lang w:val="lt-LT"/>
        </w:rPr>
        <w:footnoteReference w:id="90"/>
      </w:r>
      <w:r w:rsidRPr="00F20D34">
        <w:rPr>
          <w:rFonts w:ascii="Georgia" w:hAnsi="Georgia" w:cs="Arial"/>
          <w:i/>
          <w:sz w:val="20"/>
          <w:szCs w:val="20"/>
          <w:lang w:val="lt-LT"/>
        </w:rPr>
        <w:t xml:space="preserve">.  </w:t>
      </w:r>
    </w:p>
    <w:p w14:paraId="43CB177E" w14:textId="77777777" w:rsidR="00583EB1" w:rsidRPr="00F20D34" w:rsidRDefault="00583EB1" w:rsidP="00583EB1">
      <w:pPr>
        <w:pStyle w:val="Pagrindinistekstas"/>
        <w:rPr>
          <w:i/>
          <w:lang w:val="lt-LT"/>
        </w:rPr>
      </w:pPr>
      <w:r w:rsidRPr="00F20D34">
        <w:rPr>
          <w:i/>
          <w:lang w:val="lt-LT"/>
        </w:rPr>
        <w:t>Produktai</w:t>
      </w:r>
    </w:p>
    <w:p w14:paraId="6151066D"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Pagrindinis EIB siūlomas produktas yra paskolos. Jos sudaro maždaug 90 proc. banko finansavimo</w:t>
      </w:r>
      <w:r>
        <w:rPr>
          <w:rStyle w:val="Puslapioinaosnuoroda"/>
          <w:rFonts w:ascii="Georgia" w:hAnsi="Georgia" w:cs="Arial"/>
          <w:sz w:val="20"/>
          <w:szCs w:val="20"/>
          <w:lang w:val="lt-LT"/>
        </w:rPr>
        <w:footnoteReference w:id="91"/>
      </w:r>
      <w:r>
        <w:rPr>
          <w:rFonts w:ascii="Georgia" w:hAnsi="Georgia" w:cs="Arial"/>
          <w:sz w:val="20"/>
          <w:szCs w:val="20"/>
          <w:lang w:val="lt-LT"/>
        </w:rPr>
        <w:t>. EIB taip pat finansuoja kompleksines ilgalaikes programas. Šiomis paskolomis finansuojama įvairūs projektai, pastaruoju metu dažniausiai infrastruktūros, energetinio efektyvumo, atsinaujinančių energijos išteklių transporto ir miestų plėtros sektoriuose</w:t>
      </w:r>
      <w:r>
        <w:rPr>
          <w:rStyle w:val="Puslapioinaosnuoroda"/>
          <w:rFonts w:ascii="Georgia" w:hAnsi="Georgia" w:cs="Arial"/>
          <w:sz w:val="20"/>
          <w:szCs w:val="20"/>
          <w:lang w:val="lt-LT"/>
        </w:rPr>
        <w:footnoteReference w:id="92"/>
      </w:r>
      <w:r>
        <w:rPr>
          <w:rFonts w:ascii="Georgia" w:hAnsi="Georgia" w:cs="Arial"/>
          <w:sz w:val="20"/>
          <w:szCs w:val="20"/>
          <w:lang w:val="lt-LT"/>
        </w:rPr>
        <w:t>.</w:t>
      </w:r>
    </w:p>
    <w:p w14:paraId="7C7072A3" w14:textId="0A6EF441" w:rsidR="00583EB1" w:rsidRPr="007B16A2" w:rsidRDefault="00583EB1" w:rsidP="00583EB1">
      <w:pPr>
        <w:pStyle w:val="Antrat"/>
        <w:rPr>
          <w:rFonts w:cs="Arial"/>
          <w:szCs w:val="20"/>
          <w:lang w:val="lt-LT"/>
        </w:rPr>
      </w:pPr>
      <w:bookmarkStart w:id="100" w:name="_Toc460321617"/>
      <w:r w:rsidRPr="007B16A2">
        <w:rPr>
          <w:lang w:val="lt-LT"/>
        </w:rPr>
        <w:t xml:space="preserve">Lentelė </w:t>
      </w:r>
      <w:r w:rsidRPr="007B16A2">
        <w:rPr>
          <w:lang w:val="lt-LT"/>
        </w:rPr>
        <w:fldChar w:fldCharType="begin"/>
      </w:r>
      <w:r w:rsidRPr="007B16A2">
        <w:rPr>
          <w:lang w:val="lt-LT"/>
        </w:rPr>
        <w:instrText xml:space="preserve"> SEQ Lentelė \* ARABIC </w:instrText>
      </w:r>
      <w:r w:rsidRPr="007B16A2">
        <w:rPr>
          <w:lang w:val="lt-LT"/>
        </w:rPr>
        <w:fldChar w:fldCharType="separate"/>
      </w:r>
      <w:r w:rsidR="00AA3082">
        <w:rPr>
          <w:noProof/>
          <w:lang w:val="lt-LT"/>
        </w:rPr>
        <w:t>36</w:t>
      </w:r>
      <w:r w:rsidRPr="007B16A2">
        <w:rPr>
          <w:lang w:val="lt-LT"/>
        </w:rPr>
        <w:fldChar w:fldCharType="end"/>
      </w:r>
      <w:r w:rsidRPr="007B16A2">
        <w:rPr>
          <w:lang w:val="lt-LT"/>
        </w:rPr>
        <w:t>. EIB siūlomų finansinių produktų sąlygos.</w:t>
      </w:r>
      <w:bookmarkEnd w:id="100"/>
      <w:r w:rsidRPr="007B16A2">
        <w:rPr>
          <w:lang w:val="lt-LT"/>
        </w:rPr>
        <w:t xml:space="preserve"> </w:t>
      </w:r>
    </w:p>
    <w:tbl>
      <w:tblPr>
        <w:tblStyle w:val="3vidutinistinklelis2parykinimas"/>
        <w:tblW w:w="5000" w:type="pct"/>
        <w:tblLook w:val="04A0" w:firstRow="1" w:lastRow="0" w:firstColumn="1" w:lastColumn="0" w:noHBand="0" w:noVBand="1"/>
      </w:tblPr>
      <w:tblGrid>
        <w:gridCol w:w="2451"/>
        <w:gridCol w:w="6791"/>
      </w:tblGrid>
      <w:tr w:rsidR="00583EB1" w14:paraId="4D70A8F2" w14:textId="77777777" w:rsidTr="00583EB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00EADEC4" w14:textId="77777777" w:rsidR="00583EB1" w:rsidRDefault="00583EB1" w:rsidP="00583EB1">
            <w:pPr>
              <w:ind w:left="341" w:hanging="341"/>
              <w:contextualSpacing/>
              <w:jc w:val="center"/>
              <w:rPr>
                <w:rFonts w:ascii="Georgia" w:hAnsi="Georgia" w:cs="Arial"/>
                <w:bCs w:val="0"/>
                <w:color w:val="FFFFFF"/>
                <w:sz w:val="20"/>
                <w:szCs w:val="20"/>
                <w:lang w:val="lt-LT"/>
              </w:rPr>
            </w:pPr>
            <w:r>
              <w:rPr>
                <w:rFonts w:ascii="Georgia" w:hAnsi="Georgia" w:cs="Arial"/>
                <w:color w:val="FFFFFF"/>
                <w:sz w:val="20"/>
                <w:szCs w:val="20"/>
                <w:lang w:val="lt-LT"/>
              </w:rPr>
              <w:t>Paskolos sąlygos</w:t>
            </w:r>
          </w:p>
        </w:tc>
      </w:tr>
      <w:tr w:rsidR="00583EB1" w14:paraId="1630C8A2" w14:textId="77777777" w:rsidTr="00583EB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6" w:type="pct"/>
            <w:hideMark/>
          </w:tcPr>
          <w:p w14:paraId="760E180A" w14:textId="77777777" w:rsidR="00583EB1" w:rsidRDefault="00583EB1" w:rsidP="00583EB1">
            <w:pPr>
              <w:rPr>
                <w:rFonts w:ascii="Georgia" w:hAnsi="Georgia" w:cs="Arial"/>
                <w:b w:val="0"/>
                <w:bCs w:val="0"/>
                <w:color w:val="FFFFFF"/>
                <w:sz w:val="20"/>
                <w:szCs w:val="20"/>
                <w:lang w:val="lt-LT"/>
              </w:rPr>
            </w:pPr>
            <w:r>
              <w:rPr>
                <w:rFonts w:ascii="Georgia" w:hAnsi="Georgia" w:cs="Arial"/>
                <w:color w:val="FFFFFF"/>
                <w:sz w:val="20"/>
                <w:szCs w:val="20"/>
                <w:lang w:val="lt-LT"/>
              </w:rPr>
              <w:t>Tikslinė grupė</w:t>
            </w:r>
          </w:p>
        </w:tc>
        <w:tc>
          <w:tcPr>
            <w:tcW w:w="3674" w:type="pct"/>
            <w:hideMark/>
          </w:tcPr>
          <w:p w14:paraId="15BD31EB" w14:textId="77777777" w:rsidR="00583EB1" w:rsidRDefault="00583EB1" w:rsidP="00C03122">
            <w:pPr>
              <w:numPr>
                <w:ilvl w:val="0"/>
                <w:numId w:val="25"/>
              </w:numPr>
              <w:ind w:left="177" w:hanging="142"/>
              <w:contextualSpacing/>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tiek privatus, tiek viešasis sektoriai.</w:t>
            </w:r>
          </w:p>
        </w:tc>
      </w:tr>
      <w:tr w:rsidR="00583EB1" w14:paraId="6B638841" w14:textId="77777777" w:rsidTr="00583EB1">
        <w:trPr>
          <w:cantSplit/>
        </w:trPr>
        <w:tc>
          <w:tcPr>
            <w:cnfStyle w:val="001000000000" w:firstRow="0" w:lastRow="0" w:firstColumn="1" w:lastColumn="0" w:oddVBand="0" w:evenVBand="0" w:oddHBand="0" w:evenHBand="0" w:firstRowFirstColumn="0" w:firstRowLastColumn="0" w:lastRowFirstColumn="0" w:lastRowLastColumn="0"/>
            <w:tcW w:w="1326" w:type="pct"/>
            <w:tcBorders>
              <w:top w:val="single" w:sz="6" w:space="0" w:color="FFFFFF" w:themeColor="background1"/>
            </w:tcBorders>
            <w:hideMark/>
          </w:tcPr>
          <w:p w14:paraId="688DB488" w14:textId="77777777" w:rsidR="00583EB1" w:rsidRDefault="00583EB1" w:rsidP="00583EB1">
            <w:pPr>
              <w:rPr>
                <w:rFonts w:ascii="Georgia" w:hAnsi="Georgia" w:cs="Arial"/>
                <w:b w:val="0"/>
                <w:bCs w:val="0"/>
                <w:color w:val="FFFFFF"/>
                <w:sz w:val="20"/>
                <w:szCs w:val="20"/>
                <w:lang w:val="lt-LT"/>
              </w:rPr>
            </w:pPr>
            <w:r>
              <w:rPr>
                <w:rFonts w:ascii="Georgia" w:hAnsi="Georgia" w:cs="Arial"/>
                <w:color w:val="FFFFFF"/>
                <w:sz w:val="20"/>
                <w:szCs w:val="20"/>
                <w:lang w:val="lt-LT"/>
              </w:rPr>
              <w:t>Projekto dydis</w:t>
            </w:r>
          </w:p>
        </w:tc>
        <w:tc>
          <w:tcPr>
            <w:tcW w:w="3674"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14:paraId="1F53C2C3" w14:textId="77777777" w:rsidR="00583EB1" w:rsidRDefault="00583EB1" w:rsidP="00C03122">
            <w:pPr>
              <w:numPr>
                <w:ilvl w:val="0"/>
                <w:numId w:val="25"/>
              </w:numPr>
              <w:ind w:left="177" w:hanging="142"/>
              <w:contextualSpacing/>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daugiau nei 25 mln. EUR.</w:t>
            </w:r>
          </w:p>
        </w:tc>
      </w:tr>
      <w:tr w:rsidR="00583EB1" w14:paraId="7E28F1DE" w14:textId="77777777" w:rsidTr="00583EB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6" w:type="pct"/>
            <w:hideMark/>
          </w:tcPr>
          <w:p w14:paraId="646F2883" w14:textId="77777777" w:rsidR="00583EB1" w:rsidRDefault="00583EB1" w:rsidP="00583EB1">
            <w:pPr>
              <w:rPr>
                <w:rFonts w:ascii="Georgia" w:hAnsi="Georgia" w:cs="Arial"/>
                <w:b w:val="0"/>
                <w:bCs w:val="0"/>
                <w:color w:val="FFFFFF"/>
                <w:sz w:val="20"/>
                <w:szCs w:val="20"/>
                <w:lang w:val="lt-LT"/>
              </w:rPr>
            </w:pPr>
            <w:r>
              <w:rPr>
                <w:rFonts w:ascii="Georgia" w:hAnsi="Georgia" w:cs="Arial"/>
                <w:color w:val="FFFFFF"/>
                <w:sz w:val="20"/>
                <w:szCs w:val="20"/>
                <w:lang w:val="lt-LT"/>
              </w:rPr>
              <w:t>Paskolos dydis</w:t>
            </w:r>
          </w:p>
        </w:tc>
        <w:tc>
          <w:tcPr>
            <w:tcW w:w="3674" w:type="pct"/>
            <w:hideMark/>
          </w:tcPr>
          <w:p w14:paraId="17721005" w14:textId="77777777" w:rsidR="00583EB1" w:rsidRDefault="00583EB1" w:rsidP="00C03122">
            <w:pPr>
              <w:numPr>
                <w:ilvl w:val="0"/>
                <w:numId w:val="25"/>
              </w:numPr>
              <w:ind w:left="177" w:hanging="142"/>
              <w:contextualSpacing/>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iki 50 proc. projekto vertės;</w:t>
            </w:r>
          </w:p>
          <w:p w14:paraId="0DDD4EE9" w14:textId="77777777" w:rsidR="00583EB1" w:rsidRDefault="00583EB1" w:rsidP="00C03122">
            <w:pPr>
              <w:numPr>
                <w:ilvl w:val="0"/>
                <w:numId w:val="25"/>
              </w:numPr>
              <w:ind w:left="177" w:hanging="142"/>
              <w:contextualSpacing/>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paprastai paskola siekia apie 1/3 projekto vertės.</w:t>
            </w:r>
          </w:p>
        </w:tc>
      </w:tr>
      <w:tr w:rsidR="00583EB1" w14:paraId="0CA8A241" w14:textId="77777777" w:rsidTr="00583EB1">
        <w:trPr>
          <w:cantSplit/>
        </w:trPr>
        <w:tc>
          <w:tcPr>
            <w:cnfStyle w:val="001000000000" w:firstRow="0" w:lastRow="0" w:firstColumn="1" w:lastColumn="0" w:oddVBand="0" w:evenVBand="0" w:oddHBand="0" w:evenHBand="0" w:firstRowFirstColumn="0" w:firstRowLastColumn="0" w:lastRowFirstColumn="0" w:lastRowLastColumn="0"/>
            <w:tcW w:w="1326" w:type="pct"/>
            <w:tcBorders>
              <w:top w:val="single" w:sz="6" w:space="0" w:color="FFFFFF" w:themeColor="background1"/>
            </w:tcBorders>
            <w:hideMark/>
          </w:tcPr>
          <w:p w14:paraId="03D3DED1" w14:textId="77777777" w:rsidR="00583EB1" w:rsidRDefault="00583EB1" w:rsidP="00583EB1">
            <w:pPr>
              <w:rPr>
                <w:rFonts w:ascii="Georgia" w:hAnsi="Georgia" w:cs="Arial"/>
                <w:b w:val="0"/>
                <w:bCs w:val="0"/>
                <w:color w:val="FFFFFF"/>
                <w:sz w:val="20"/>
                <w:szCs w:val="20"/>
                <w:lang w:val="lt-LT"/>
              </w:rPr>
            </w:pPr>
            <w:r>
              <w:rPr>
                <w:rFonts w:ascii="Georgia" w:hAnsi="Georgia" w:cs="Arial"/>
                <w:color w:val="FFFFFF"/>
                <w:sz w:val="20"/>
                <w:szCs w:val="20"/>
                <w:lang w:val="lt-LT"/>
              </w:rPr>
              <w:t>Palūkanų norma</w:t>
            </w:r>
          </w:p>
        </w:tc>
        <w:tc>
          <w:tcPr>
            <w:tcW w:w="3674"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14:paraId="7217B37E" w14:textId="77777777" w:rsidR="00583EB1" w:rsidRDefault="00583EB1" w:rsidP="00C03122">
            <w:pPr>
              <w:numPr>
                <w:ilvl w:val="0"/>
                <w:numId w:val="25"/>
              </w:numPr>
              <w:ind w:left="177" w:hanging="142"/>
              <w:contextualSpacing/>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bankas yra pelno nesiekianti, orientuota į politinių tikslų siekimą institucija;</w:t>
            </w:r>
          </w:p>
          <w:p w14:paraId="124DD220" w14:textId="77777777" w:rsidR="00583EB1" w:rsidRDefault="00583EB1" w:rsidP="00C03122">
            <w:pPr>
              <w:numPr>
                <w:ilvl w:val="0"/>
                <w:numId w:val="25"/>
              </w:numPr>
              <w:ind w:left="177" w:hanging="142"/>
              <w:contextualSpacing/>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 xml:space="preserve">EIB teikia lengvatines paskolas; </w:t>
            </w:r>
          </w:p>
          <w:p w14:paraId="4E82D816" w14:textId="77777777" w:rsidR="00583EB1" w:rsidRDefault="00583EB1" w:rsidP="00C03122">
            <w:pPr>
              <w:numPr>
                <w:ilvl w:val="0"/>
                <w:numId w:val="25"/>
              </w:numPr>
              <w:ind w:left="177" w:hanging="142"/>
              <w:contextualSpacing/>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palūkanų norma gali būti fiksuota, kintanti arba konvertuojamoji (t.y. palūkanų normos formulė gali būti peržiūrima tam tikrais iš anksto apibrėžtais laikotarpiais).</w:t>
            </w:r>
          </w:p>
        </w:tc>
      </w:tr>
      <w:tr w:rsidR="00583EB1" w14:paraId="25EC34BA" w14:textId="77777777" w:rsidTr="00583EB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6" w:type="pct"/>
            <w:hideMark/>
          </w:tcPr>
          <w:p w14:paraId="3C655E6C" w14:textId="77777777" w:rsidR="00583EB1" w:rsidRDefault="00583EB1" w:rsidP="00583EB1">
            <w:pPr>
              <w:rPr>
                <w:rFonts w:ascii="Georgia" w:hAnsi="Georgia" w:cs="Arial"/>
                <w:b w:val="0"/>
                <w:bCs w:val="0"/>
                <w:color w:val="FFFFFF"/>
                <w:sz w:val="20"/>
                <w:szCs w:val="20"/>
                <w:lang w:val="lt-LT"/>
              </w:rPr>
            </w:pPr>
            <w:r>
              <w:rPr>
                <w:rFonts w:ascii="Georgia" w:hAnsi="Georgia" w:cs="Arial"/>
                <w:color w:val="FFFFFF"/>
                <w:sz w:val="20"/>
                <w:szCs w:val="20"/>
                <w:lang w:val="lt-LT"/>
              </w:rPr>
              <w:t>Specifiniai reikalavimai projektams</w:t>
            </w:r>
          </w:p>
        </w:tc>
        <w:tc>
          <w:tcPr>
            <w:tcW w:w="3674" w:type="pct"/>
            <w:hideMark/>
          </w:tcPr>
          <w:p w14:paraId="17E421AA" w14:textId="77777777" w:rsidR="00583EB1" w:rsidRDefault="00583EB1" w:rsidP="00C03122">
            <w:pPr>
              <w:numPr>
                <w:ilvl w:val="0"/>
                <w:numId w:val="25"/>
              </w:numPr>
              <w:ind w:left="177" w:hanging="142"/>
              <w:contextualSpacing/>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projektas privalo atitikti EIB skolinimo tikslus ir būti ekonomiškai, finansiškai, techniškai ir aplinkosaugos požiūriu patikimas.</w:t>
            </w:r>
          </w:p>
        </w:tc>
      </w:tr>
      <w:tr w:rsidR="00583EB1" w14:paraId="01F8CB3D" w14:textId="77777777" w:rsidTr="00583EB1">
        <w:trPr>
          <w:cantSplit/>
        </w:trPr>
        <w:tc>
          <w:tcPr>
            <w:cnfStyle w:val="001000000000" w:firstRow="0" w:lastRow="0" w:firstColumn="1" w:lastColumn="0" w:oddVBand="0" w:evenVBand="0" w:oddHBand="0" w:evenHBand="0" w:firstRowFirstColumn="0" w:firstRowLastColumn="0" w:lastRowFirstColumn="0" w:lastRowLastColumn="0"/>
            <w:tcW w:w="1326" w:type="pct"/>
            <w:tcBorders>
              <w:top w:val="single" w:sz="6" w:space="0" w:color="FFFFFF" w:themeColor="background1"/>
            </w:tcBorders>
            <w:hideMark/>
          </w:tcPr>
          <w:p w14:paraId="71AF7F5C" w14:textId="77777777" w:rsidR="00583EB1" w:rsidRDefault="00583EB1" w:rsidP="00583EB1">
            <w:pPr>
              <w:rPr>
                <w:rFonts w:ascii="Georgia" w:hAnsi="Georgia" w:cs="Arial"/>
                <w:b w:val="0"/>
                <w:bCs w:val="0"/>
                <w:color w:val="FFFFFF"/>
                <w:sz w:val="20"/>
                <w:szCs w:val="20"/>
                <w:lang w:val="lt-LT"/>
              </w:rPr>
            </w:pPr>
            <w:r>
              <w:rPr>
                <w:rFonts w:ascii="Georgia" w:hAnsi="Georgia" w:cs="Arial"/>
                <w:color w:val="FFFFFF"/>
                <w:sz w:val="20"/>
                <w:szCs w:val="20"/>
                <w:lang w:val="lt-LT"/>
              </w:rPr>
              <w:t>Valiuta</w:t>
            </w:r>
          </w:p>
        </w:tc>
        <w:tc>
          <w:tcPr>
            <w:tcW w:w="3674"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14:paraId="74B5EAAC" w14:textId="77777777" w:rsidR="00583EB1" w:rsidRDefault="00583EB1" w:rsidP="00C03122">
            <w:pPr>
              <w:numPr>
                <w:ilvl w:val="0"/>
                <w:numId w:val="25"/>
              </w:numPr>
              <w:ind w:left="177" w:hanging="142"/>
              <w:contextualSpacing/>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paprastai paskolos suteikiamos eurais, tačiau taip pat gali būti teikiamos GBP, USD, JPY, SEK, DKK, CHF, PLN, CZK ir HUF ar kitomis valiutomis.</w:t>
            </w:r>
          </w:p>
        </w:tc>
      </w:tr>
      <w:tr w:rsidR="00583EB1" w14:paraId="2B4A596F" w14:textId="77777777" w:rsidTr="00583EB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6" w:type="pct"/>
            <w:hideMark/>
          </w:tcPr>
          <w:p w14:paraId="4099954A" w14:textId="77777777" w:rsidR="00583EB1" w:rsidRDefault="00583EB1" w:rsidP="00583EB1">
            <w:pPr>
              <w:rPr>
                <w:rFonts w:ascii="Georgia" w:hAnsi="Georgia" w:cs="Arial"/>
                <w:b w:val="0"/>
                <w:bCs w:val="0"/>
                <w:color w:val="FFFFFF"/>
                <w:sz w:val="20"/>
                <w:szCs w:val="20"/>
                <w:lang w:val="lt-LT"/>
              </w:rPr>
            </w:pPr>
            <w:r>
              <w:rPr>
                <w:rFonts w:ascii="Georgia" w:hAnsi="Georgia" w:cs="Arial"/>
                <w:color w:val="FFFFFF"/>
                <w:sz w:val="20"/>
                <w:szCs w:val="20"/>
                <w:lang w:val="lt-LT"/>
              </w:rPr>
              <w:lastRenderedPageBreak/>
              <w:t>Atidėjimo laikotarpis</w:t>
            </w:r>
          </w:p>
        </w:tc>
        <w:tc>
          <w:tcPr>
            <w:tcW w:w="3674" w:type="pct"/>
            <w:hideMark/>
          </w:tcPr>
          <w:p w14:paraId="5F00FF37" w14:textId="77777777" w:rsidR="00583EB1" w:rsidRDefault="00583EB1" w:rsidP="00C03122">
            <w:pPr>
              <w:numPr>
                <w:ilvl w:val="0"/>
                <w:numId w:val="25"/>
              </w:numPr>
              <w:ind w:left="177" w:hanging="142"/>
              <w:contextualSpacing/>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analizuojama konkretaus projekto atveju;</w:t>
            </w:r>
          </w:p>
          <w:p w14:paraId="444BCED3" w14:textId="77777777" w:rsidR="00583EB1" w:rsidRDefault="00583EB1" w:rsidP="00C03122">
            <w:pPr>
              <w:numPr>
                <w:ilvl w:val="0"/>
                <w:numId w:val="25"/>
              </w:numPr>
              <w:ind w:left="177" w:hanging="142"/>
              <w:contextualSpacing/>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atidėjimo laikotarpis paskolos grąžinimui gali būti skiriamas projekto statybų etape.</w:t>
            </w:r>
          </w:p>
        </w:tc>
      </w:tr>
      <w:tr w:rsidR="00583EB1" w14:paraId="194997D8" w14:textId="77777777" w:rsidTr="00583EB1">
        <w:trPr>
          <w:cantSpli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FFFFFF" w:themeColor="background1"/>
            </w:tcBorders>
            <w:hideMark/>
          </w:tcPr>
          <w:p w14:paraId="5E55B690" w14:textId="77777777" w:rsidR="00583EB1" w:rsidRDefault="00583EB1" w:rsidP="00583EB1">
            <w:pPr>
              <w:ind w:left="177" w:hanging="142"/>
              <w:contextualSpacing/>
              <w:jc w:val="center"/>
              <w:rPr>
                <w:rFonts w:ascii="Georgia" w:hAnsi="Georgia" w:cs="Arial"/>
                <w:bCs w:val="0"/>
                <w:color w:val="FFFFFF"/>
                <w:sz w:val="20"/>
                <w:szCs w:val="20"/>
                <w:lang w:val="lt-LT"/>
              </w:rPr>
            </w:pPr>
            <w:r>
              <w:rPr>
                <w:rFonts w:ascii="Georgia" w:hAnsi="Georgia" w:cs="Arial"/>
                <w:color w:val="FFFFFF"/>
                <w:sz w:val="20"/>
                <w:szCs w:val="20"/>
                <w:lang w:val="lt-LT"/>
              </w:rPr>
              <w:t>Mokesčiai ir rinkliavos</w:t>
            </w:r>
          </w:p>
        </w:tc>
      </w:tr>
      <w:tr w:rsidR="00583EB1" w14:paraId="24C14FFF" w14:textId="77777777" w:rsidTr="00583EB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6" w:type="pct"/>
            <w:hideMark/>
          </w:tcPr>
          <w:p w14:paraId="3752F1AA" w14:textId="77777777" w:rsidR="00583EB1" w:rsidRDefault="00583EB1" w:rsidP="00583EB1">
            <w:pPr>
              <w:rPr>
                <w:rFonts w:ascii="Georgia" w:hAnsi="Georgia" w:cs="Arial"/>
                <w:b w:val="0"/>
                <w:bCs w:val="0"/>
                <w:color w:val="FFFFFF"/>
                <w:sz w:val="20"/>
                <w:szCs w:val="20"/>
                <w:lang w:val="lt-LT"/>
              </w:rPr>
            </w:pPr>
            <w:r>
              <w:rPr>
                <w:rFonts w:ascii="Georgia" w:hAnsi="Georgia" w:cs="Arial"/>
                <w:color w:val="FFFFFF"/>
                <w:sz w:val="20"/>
                <w:szCs w:val="20"/>
                <w:lang w:val="lt-LT"/>
              </w:rPr>
              <w:t>Mokesčiai</w:t>
            </w:r>
          </w:p>
        </w:tc>
        <w:tc>
          <w:tcPr>
            <w:tcW w:w="3674" w:type="pct"/>
            <w:hideMark/>
          </w:tcPr>
          <w:p w14:paraId="040DE971" w14:textId="77777777" w:rsidR="00583EB1" w:rsidRDefault="00583EB1" w:rsidP="00C03122">
            <w:pPr>
              <w:numPr>
                <w:ilvl w:val="0"/>
                <w:numId w:val="25"/>
              </w:numPr>
              <w:ind w:left="177" w:hanging="142"/>
              <w:contextualSpacing/>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tam tikrais atvejais reikalaujama mokesčių, susijusių su projekto vertinimu, teisinėmis paslaugomis, įsipareigojimu, nepanaudojimu ir pan.</w:t>
            </w:r>
          </w:p>
        </w:tc>
      </w:tr>
      <w:tr w:rsidR="00583EB1" w14:paraId="11321E85" w14:textId="77777777" w:rsidTr="00583EB1">
        <w:trPr>
          <w:cantSpli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FFFFFF" w:themeColor="background1"/>
            </w:tcBorders>
            <w:hideMark/>
          </w:tcPr>
          <w:p w14:paraId="2726A91A" w14:textId="77777777" w:rsidR="00583EB1" w:rsidRDefault="00583EB1" w:rsidP="00583EB1">
            <w:pPr>
              <w:ind w:left="177" w:hanging="142"/>
              <w:contextualSpacing/>
              <w:jc w:val="center"/>
              <w:rPr>
                <w:rFonts w:ascii="Georgia" w:hAnsi="Georgia" w:cs="Arial"/>
                <w:bCs w:val="0"/>
                <w:color w:val="FFFFFF"/>
                <w:sz w:val="20"/>
                <w:szCs w:val="20"/>
                <w:lang w:val="lt-LT"/>
              </w:rPr>
            </w:pPr>
            <w:r>
              <w:rPr>
                <w:rFonts w:ascii="Georgia" w:hAnsi="Georgia" w:cs="Arial"/>
                <w:color w:val="FFFFFF"/>
                <w:sz w:val="20"/>
                <w:szCs w:val="20"/>
                <w:lang w:val="lt-LT"/>
              </w:rPr>
              <w:t>Kitos sąlygos</w:t>
            </w:r>
          </w:p>
        </w:tc>
      </w:tr>
      <w:tr w:rsidR="00583EB1" w14:paraId="2EB7D96A" w14:textId="77777777" w:rsidTr="00583EB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6" w:type="pct"/>
          </w:tcPr>
          <w:p w14:paraId="4AC98026" w14:textId="77777777" w:rsidR="00583EB1" w:rsidRDefault="00583EB1" w:rsidP="00583EB1">
            <w:pPr>
              <w:rPr>
                <w:rFonts w:ascii="Georgia" w:hAnsi="Georgia" w:cs="Arial"/>
                <w:b w:val="0"/>
                <w:bCs w:val="0"/>
                <w:color w:val="FFFFFF"/>
                <w:sz w:val="20"/>
                <w:szCs w:val="20"/>
                <w:lang w:val="lt-LT"/>
              </w:rPr>
            </w:pPr>
          </w:p>
        </w:tc>
        <w:tc>
          <w:tcPr>
            <w:tcW w:w="3674" w:type="pct"/>
            <w:hideMark/>
          </w:tcPr>
          <w:p w14:paraId="2F46159C" w14:textId="77777777" w:rsidR="00583EB1" w:rsidRDefault="00583EB1" w:rsidP="00C03122">
            <w:pPr>
              <w:numPr>
                <w:ilvl w:val="0"/>
                <w:numId w:val="25"/>
              </w:numPr>
              <w:ind w:left="177" w:hanging="142"/>
              <w:contextualSpacing/>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finansavimo sąlygos priklauso nuo investicijų tipo ir trečiųjų šalių pasiūlyto paskolos užtikrinimo (bankai ar bankų sindikatai, kitos finansų institucijos ar motininės įmonės).</w:t>
            </w:r>
          </w:p>
        </w:tc>
      </w:tr>
      <w:tr w:rsidR="00583EB1" w14:paraId="074908CB" w14:textId="77777777" w:rsidTr="00583EB1">
        <w:trPr>
          <w:cantSpli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FFFFFF" w:themeColor="background1"/>
            </w:tcBorders>
            <w:hideMark/>
          </w:tcPr>
          <w:p w14:paraId="5E1C85E2" w14:textId="77777777" w:rsidR="00583EB1" w:rsidRDefault="00583EB1" w:rsidP="00583EB1">
            <w:pPr>
              <w:ind w:left="177" w:hanging="142"/>
              <w:contextualSpacing/>
              <w:jc w:val="center"/>
              <w:rPr>
                <w:rFonts w:ascii="Georgia" w:hAnsi="Georgia" w:cs="Arial"/>
                <w:bCs w:val="0"/>
                <w:color w:val="FFFFFF"/>
                <w:sz w:val="20"/>
                <w:szCs w:val="20"/>
                <w:lang w:val="lt-LT"/>
              </w:rPr>
            </w:pPr>
            <w:r>
              <w:rPr>
                <w:rFonts w:ascii="Georgia" w:hAnsi="Georgia" w:cs="Arial"/>
                <w:color w:val="FFFFFF"/>
                <w:sz w:val="20"/>
                <w:szCs w:val="20"/>
                <w:lang w:val="lt-LT"/>
              </w:rPr>
              <w:t>Paskolos mokėjimas</w:t>
            </w:r>
          </w:p>
        </w:tc>
      </w:tr>
      <w:tr w:rsidR="00583EB1" w14:paraId="2DA10FE7" w14:textId="77777777" w:rsidTr="00583EB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6" w:type="pct"/>
          </w:tcPr>
          <w:p w14:paraId="17E3177C" w14:textId="77777777" w:rsidR="00583EB1" w:rsidRDefault="00583EB1" w:rsidP="00583EB1">
            <w:pPr>
              <w:rPr>
                <w:rFonts w:ascii="Georgia" w:hAnsi="Georgia" w:cs="Arial"/>
                <w:b w:val="0"/>
                <w:bCs w:val="0"/>
                <w:color w:val="FFFFFF"/>
                <w:sz w:val="20"/>
                <w:szCs w:val="20"/>
                <w:lang w:val="lt-LT"/>
              </w:rPr>
            </w:pPr>
          </w:p>
        </w:tc>
        <w:tc>
          <w:tcPr>
            <w:tcW w:w="3674" w:type="pct"/>
            <w:hideMark/>
          </w:tcPr>
          <w:p w14:paraId="7E08AB50" w14:textId="77777777" w:rsidR="00583EB1" w:rsidRDefault="00583EB1" w:rsidP="00C03122">
            <w:pPr>
              <w:numPr>
                <w:ilvl w:val="0"/>
                <w:numId w:val="25"/>
              </w:numPr>
              <w:tabs>
                <w:tab w:val="left" w:pos="229"/>
              </w:tabs>
              <w:spacing w:after="160" w:line="256" w:lineRule="auto"/>
              <w:ind w:hanging="720"/>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paprastai paskolos grąžinamos mokant du arba vieną kartą per metus.</w:t>
            </w:r>
          </w:p>
        </w:tc>
      </w:tr>
    </w:tbl>
    <w:p w14:paraId="16EBE3DE" w14:textId="77777777" w:rsidR="00583EB1" w:rsidRPr="007F5417" w:rsidRDefault="00583EB1" w:rsidP="007F5417">
      <w:pPr>
        <w:pStyle w:val="Antrat"/>
        <w:rPr>
          <w:b w:val="0"/>
          <w:i/>
          <w:lang w:val="lt-LT"/>
        </w:rPr>
      </w:pPr>
      <w:r w:rsidRPr="007F5417">
        <w:rPr>
          <w:b w:val="0"/>
          <w:i/>
          <w:lang w:val="lt-LT"/>
        </w:rPr>
        <w:t xml:space="preserve">Šaltinis: </w:t>
      </w:r>
      <w:hyperlink r:id="rId36" w:history="1">
        <w:r w:rsidRPr="007F5417">
          <w:rPr>
            <w:b w:val="0"/>
            <w:i/>
          </w:rPr>
          <w:t>http://www.eib.org/products/loans/index.htm</w:t>
        </w:r>
      </w:hyperlink>
      <w:r w:rsidRPr="007F5417">
        <w:rPr>
          <w:b w:val="0"/>
          <w:i/>
          <w:lang w:val="lt-LT"/>
        </w:rPr>
        <w:t xml:space="preserve"> </w:t>
      </w:r>
    </w:p>
    <w:p w14:paraId="7291720B" w14:textId="77777777" w:rsidR="00583EB1" w:rsidRDefault="00583EB1" w:rsidP="00583EB1">
      <w:pPr>
        <w:jc w:val="both"/>
        <w:rPr>
          <w:rFonts w:ascii="Georgia" w:hAnsi="Georgia" w:cs="Arial"/>
          <w:sz w:val="20"/>
          <w:szCs w:val="20"/>
          <w:lang w:val="lt-LT"/>
        </w:rPr>
      </w:pPr>
      <w:r>
        <w:rPr>
          <w:rFonts w:ascii="Georgia" w:hAnsi="Georgia" w:cs="Arial"/>
          <w:sz w:val="20"/>
          <w:szCs w:val="20"/>
          <w:lang w:val="lt-LT"/>
        </w:rPr>
        <w:t>EIB taip pat gali teikti papildomą paramą prioritetiniams projektams, naudodamas aukštesnės rizikos instrumentus nei įprastai. Per struktūrinę finansinę priemonę</w:t>
      </w:r>
      <w:r>
        <w:rPr>
          <w:rStyle w:val="Puslapioinaosnuoroda"/>
          <w:rFonts w:ascii="Georgia" w:hAnsi="Georgia" w:cs="Arial"/>
          <w:sz w:val="20"/>
          <w:szCs w:val="20"/>
          <w:lang w:val="lt-LT"/>
        </w:rPr>
        <w:footnoteReference w:id="93"/>
      </w:r>
      <w:r>
        <w:rPr>
          <w:rFonts w:ascii="Georgia" w:hAnsi="Georgia" w:cs="Arial"/>
          <w:sz w:val="20"/>
          <w:szCs w:val="20"/>
          <w:lang w:val="lt-LT"/>
        </w:rPr>
        <w:t xml:space="preserve"> teikiama parama įtraukia tokias priemones kaip privilegijuotosios paskolos ir garantijos rizikoms, galinčioms pasireikšti iki projekto užbaigimo, taip pat ankstyvosios veiklos vykdymo rizikos, subordinuotos paskolos ir garantijos, reitinguojamos aukščiau už akcininkų subordinuotas skolas, „</w:t>
      </w:r>
      <w:r>
        <w:rPr>
          <w:rFonts w:ascii="Georgia" w:hAnsi="Georgia" w:cs="Arial"/>
          <w:i/>
          <w:sz w:val="20"/>
          <w:szCs w:val="20"/>
          <w:lang w:val="lt-LT"/>
        </w:rPr>
        <w:t>mezzanine</w:t>
      </w:r>
      <w:r>
        <w:rPr>
          <w:rFonts w:ascii="Georgia" w:hAnsi="Georgia" w:cs="Arial"/>
          <w:sz w:val="20"/>
          <w:szCs w:val="20"/>
          <w:lang w:val="lt-LT"/>
        </w:rPr>
        <w:t>“ finansavimas, su projektu susijusios išvestines finansinės priemonės</w:t>
      </w:r>
      <w:r>
        <w:rPr>
          <w:rFonts w:ascii="Georgia" w:hAnsi="Georgia" w:cs="Arial"/>
          <w:sz w:val="20"/>
          <w:szCs w:val="20"/>
          <w:vertAlign w:val="superscript"/>
          <w:lang w:val="lt-LT"/>
        </w:rPr>
        <w:footnoteReference w:id="94"/>
      </w:r>
      <w:r>
        <w:rPr>
          <w:rFonts w:ascii="Georgia" w:hAnsi="Georgia" w:cs="Arial"/>
          <w:sz w:val="20"/>
          <w:szCs w:val="20"/>
          <w:lang w:val="lt-LT"/>
        </w:rPr>
        <w:t xml:space="preserve">. </w:t>
      </w:r>
    </w:p>
    <w:p w14:paraId="50D10B41" w14:textId="77777777" w:rsidR="00583EB1" w:rsidRDefault="00583EB1" w:rsidP="00583EB1">
      <w:pPr>
        <w:jc w:val="both"/>
        <w:rPr>
          <w:rFonts w:ascii="Georgia" w:hAnsi="Georgia" w:cs="Arial"/>
          <w:sz w:val="20"/>
          <w:szCs w:val="20"/>
          <w:lang w:val="lt-LT"/>
        </w:rPr>
      </w:pPr>
      <w:r>
        <w:rPr>
          <w:rFonts w:ascii="Georgia" w:hAnsi="Georgia" w:cs="Arial"/>
          <w:sz w:val="20"/>
          <w:szCs w:val="20"/>
          <w:lang w:val="lt-LT"/>
        </w:rPr>
        <w:t>EIB gali suteikti garantijas dideliems ir mažiems projektams, kad jie taptų patrauklesni investuotojams, teikti garantijas privilegijuotoms ir subordinuotoms paskoloms standartine forma, arba finansinių įsipareigojimų</w:t>
      </w:r>
      <w:r>
        <w:rPr>
          <w:rStyle w:val="Puslapioinaosnuoroda"/>
          <w:rFonts w:ascii="Georgia" w:hAnsi="Georgia" w:cs="Arial"/>
          <w:sz w:val="20"/>
          <w:szCs w:val="20"/>
          <w:lang w:val="lt-LT"/>
        </w:rPr>
        <w:footnoteReference w:id="95"/>
      </w:r>
      <w:r>
        <w:rPr>
          <w:rFonts w:ascii="Georgia" w:hAnsi="Georgia" w:cs="Arial"/>
          <w:sz w:val="20"/>
          <w:szCs w:val="20"/>
          <w:lang w:val="lt-LT"/>
        </w:rPr>
        <w:t xml:space="preserve"> garantijos forma</w:t>
      </w:r>
      <w:r>
        <w:rPr>
          <w:rFonts w:ascii="Georgia" w:hAnsi="Georgia" w:cs="Arial"/>
          <w:sz w:val="20"/>
          <w:szCs w:val="20"/>
          <w:vertAlign w:val="superscript"/>
          <w:lang w:val="lt-LT"/>
        </w:rPr>
        <w:footnoteReference w:id="96"/>
      </w:r>
      <w:r>
        <w:rPr>
          <w:rFonts w:ascii="Georgia" w:hAnsi="Georgia" w:cs="Arial"/>
          <w:sz w:val="20"/>
          <w:szCs w:val="20"/>
          <w:lang w:val="lt-LT"/>
        </w:rPr>
        <w:t>.</w:t>
      </w:r>
    </w:p>
    <w:p w14:paraId="7EA98ECE" w14:textId="77777777" w:rsidR="00583EB1" w:rsidRDefault="00583EB1" w:rsidP="00583EB1">
      <w:pPr>
        <w:jc w:val="both"/>
        <w:rPr>
          <w:rFonts w:ascii="Georgia" w:hAnsi="Georgia" w:cs="Arial"/>
          <w:sz w:val="20"/>
          <w:szCs w:val="20"/>
          <w:lang w:val="lt-LT"/>
        </w:rPr>
      </w:pPr>
      <w:r>
        <w:rPr>
          <w:rFonts w:ascii="Georgia" w:hAnsi="Georgia" w:cs="Arial"/>
          <w:sz w:val="20"/>
          <w:szCs w:val="20"/>
          <w:lang w:val="lt-LT"/>
        </w:rPr>
        <w:t>Bankas taip pat investuoja į organizacijų/įmonių nuosavą kapitalą (įskaitant rizikos kapitalo investicijas), į projektus arba fondus. Naudodama šį produktą EIB investuoja į infrastruktūrą, aplinkosaugą, energetinį efektyvumą ir atsinaujinančius energijos išteklius, miestų plėtrą</w:t>
      </w:r>
      <w:r>
        <w:rPr>
          <w:rFonts w:ascii="Georgia" w:hAnsi="Georgia" w:cs="Arial"/>
          <w:sz w:val="20"/>
          <w:szCs w:val="20"/>
          <w:vertAlign w:val="superscript"/>
          <w:lang w:val="lt-LT"/>
        </w:rPr>
        <w:footnoteReference w:id="97"/>
      </w:r>
      <w:r>
        <w:rPr>
          <w:rFonts w:ascii="Georgia" w:hAnsi="Georgia" w:cs="Arial"/>
          <w:sz w:val="20"/>
          <w:szCs w:val="20"/>
          <w:lang w:val="lt-LT"/>
        </w:rPr>
        <w:t>.</w:t>
      </w:r>
    </w:p>
    <w:p w14:paraId="49D87F01" w14:textId="77777777" w:rsidR="00583EB1" w:rsidRDefault="00583EB1" w:rsidP="00583EB1">
      <w:pPr>
        <w:rPr>
          <w:rFonts w:ascii="Georgia" w:eastAsia="PMingLiU" w:hAnsi="Georgia" w:cs="Times New Roman"/>
          <w:b/>
          <w:sz w:val="20"/>
          <w:szCs w:val="20"/>
          <w:lang w:val="lt-LT"/>
        </w:rPr>
      </w:pPr>
    </w:p>
    <w:p w14:paraId="118D211C" w14:textId="77777777" w:rsidR="00583EB1" w:rsidRPr="00F20D34" w:rsidRDefault="00583EB1" w:rsidP="00583EB1">
      <w:pPr>
        <w:pStyle w:val="Pagrindinistekstas"/>
        <w:rPr>
          <w:i/>
          <w:lang w:val="lt-LT"/>
        </w:rPr>
      </w:pPr>
      <w:r w:rsidRPr="00F20D34">
        <w:rPr>
          <w:i/>
          <w:lang w:val="lt-LT"/>
        </w:rPr>
        <w:t>Europos Tarybos vystymo bankas</w:t>
      </w:r>
    </w:p>
    <w:p w14:paraId="6E3BD72E"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 xml:space="preserve">CEB tikslas – įgyvendinti Europos Tarybos solidarumo politiką finansuojant projektus, skatinančius tvarų ir tolygų augimą. Bankas veiklą </w:t>
      </w:r>
      <w:r>
        <w:rPr>
          <w:rFonts w:ascii="Georgia" w:hAnsi="Georgia" w:cs="Arial"/>
          <w:color w:val="000000"/>
          <w:sz w:val="20"/>
          <w:szCs w:val="20"/>
          <w:lang w:val="lt-LT"/>
        </w:rPr>
        <w:t>vykdo trijose srityse</w:t>
      </w:r>
      <w:r>
        <w:rPr>
          <w:rFonts w:ascii="Georgia" w:hAnsi="Georgia" w:cs="Arial"/>
          <w:sz w:val="20"/>
          <w:szCs w:val="20"/>
          <w:lang w:val="lt-LT"/>
        </w:rPr>
        <w:t>: skatina socialinę integraciją, viešąją infrastruktūrą, turinčią socialinį elementą, ir aplinkos apsaugą.</w:t>
      </w:r>
    </w:p>
    <w:p w14:paraId="08BAFFC4"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Socialinės integracijos srityje bankas vykdo projektus, susijusius su pabėgėliais, migrantais ir tremtiniais, socialiniu būstu, darbo vietų kūrimu ir išsaugojimu bei gyvenimo sąlygų miestuose ir kaimo vietovėse gerinimu. Aplinkosaugos srityje CEB nuolat reaguoja į stichines nelaimes ir ekologines katastrofas, skatina gamtos apsaugą, istorinio ir kultūrinio paveldo apsaugą. CEB dirba su viešosios infrastruktūros projektais sveikatos apsaugos, švietimo ir mokslo, administracinių ir teisminės valdžios paslaugų srityse.</w:t>
      </w:r>
    </w:p>
    <w:p w14:paraId="08F2C604"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CEB 2010-2014 m. plėtros plane nustatytos šios strateginės kryptys:</w:t>
      </w:r>
    </w:p>
    <w:p w14:paraId="64A349B0" w14:textId="77777777" w:rsidR="00583EB1" w:rsidRDefault="00583EB1" w:rsidP="00C03122">
      <w:pPr>
        <w:pStyle w:val="Sraopastraipa"/>
        <w:numPr>
          <w:ilvl w:val="0"/>
          <w:numId w:val="31"/>
        </w:numPr>
        <w:spacing w:after="120"/>
        <w:jc w:val="both"/>
        <w:rPr>
          <w:rFonts w:ascii="Georgia" w:hAnsi="Georgia" w:cs="Arial"/>
          <w:sz w:val="20"/>
          <w:szCs w:val="20"/>
          <w:lang w:val="lt-LT"/>
        </w:rPr>
      </w:pPr>
      <w:r>
        <w:rPr>
          <w:rFonts w:ascii="Georgia" w:hAnsi="Georgia" w:cs="Arial"/>
          <w:sz w:val="20"/>
          <w:szCs w:val="20"/>
          <w:lang w:val="lt-LT"/>
        </w:rPr>
        <w:t>didinti veiklos apimtis;</w:t>
      </w:r>
    </w:p>
    <w:p w14:paraId="674ED4A7" w14:textId="77777777" w:rsidR="00583EB1" w:rsidRDefault="00583EB1" w:rsidP="00C03122">
      <w:pPr>
        <w:pStyle w:val="Sraopastraipa"/>
        <w:numPr>
          <w:ilvl w:val="0"/>
          <w:numId w:val="31"/>
        </w:numPr>
        <w:spacing w:after="120"/>
        <w:jc w:val="both"/>
        <w:rPr>
          <w:rFonts w:ascii="Georgia" w:hAnsi="Georgia" w:cs="Arial"/>
          <w:sz w:val="20"/>
          <w:szCs w:val="20"/>
          <w:lang w:val="lt-LT"/>
        </w:rPr>
      </w:pPr>
      <w:r>
        <w:rPr>
          <w:rFonts w:ascii="Georgia" w:hAnsi="Georgia" w:cs="Arial"/>
          <w:sz w:val="20"/>
          <w:szCs w:val="20"/>
          <w:lang w:val="lt-LT"/>
        </w:rPr>
        <w:t>didinti paramą tikslinėms valstybėms</w:t>
      </w:r>
      <w:r>
        <w:rPr>
          <w:rStyle w:val="Puslapioinaosnuoroda"/>
          <w:rFonts w:ascii="Georgia" w:hAnsi="Georgia" w:cs="Arial"/>
          <w:sz w:val="20"/>
          <w:szCs w:val="20"/>
          <w:lang w:val="lt-LT"/>
        </w:rPr>
        <w:footnoteReference w:id="98"/>
      </w:r>
      <w:r>
        <w:rPr>
          <w:rFonts w:ascii="Georgia" w:hAnsi="Georgia" w:cs="Arial"/>
          <w:sz w:val="20"/>
          <w:szCs w:val="20"/>
          <w:lang w:val="lt-LT"/>
        </w:rPr>
        <w:t>;</w:t>
      </w:r>
    </w:p>
    <w:p w14:paraId="56410433" w14:textId="77777777" w:rsidR="00583EB1" w:rsidRDefault="00583EB1" w:rsidP="00C03122">
      <w:pPr>
        <w:pStyle w:val="Sraopastraipa"/>
        <w:numPr>
          <w:ilvl w:val="0"/>
          <w:numId w:val="31"/>
        </w:numPr>
        <w:spacing w:after="120"/>
        <w:jc w:val="both"/>
        <w:rPr>
          <w:rFonts w:ascii="Georgia" w:hAnsi="Georgia" w:cs="Arial"/>
          <w:sz w:val="20"/>
          <w:szCs w:val="20"/>
          <w:lang w:val="lt-LT"/>
        </w:rPr>
      </w:pPr>
      <w:r>
        <w:rPr>
          <w:rFonts w:ascii="Georgia" w:hAnsi="Georgia" w:cs="Arial"/>
          <w:sz w:val="20"/>
          <w:szCs w:val="20"/>
          <w:lang w:val="lt-LT"/>
        </w:rPr>
        <w:lastRenderedPageBreak/>
        <w:t>teikti pirmenybę infrastruktūros, prisidedančios prie socialinės sanglaudos, finansavimui;</w:t>
      </w:r>
    </w:p>
    <w:p w14:paraId="174B0A32" w14:textId="77777777" w:rsidR="00583EB1" w:rsidRDefault="00583EB1" w:rsidP="00C03122">
      <w:pPr>
        <w:pStyle w:val="Sraopastraipa"/>
        <w:numPr>
          <w:ilvl w:val="0"/>
          <w:numId w:val="31"/>
        </w:numPr>
        <w:spacing w:after="120"/>
        <w:jc w:val="both"/>
        <w:rPr>
          <w:rFonts w:ascii="Georgia" w:hAnsi="Georgia" w:cs="Arial"/>
          <w:sz w:val="20"/>
          <w:szCs w:val="20"/>
          <w:lang w:val="lt-LT"/>
        </w:rPr>
      </w:pPr>
      <w:r>
        <w:rPr>
          <w:rFonts w:ascii="Georgia" w:hAnsi="Georgia" w:cs="Arial"/>
          <w:sz w:val="20"/>
          <w:szCs w:val="20"/>
          <w:lang w:val="lt-LT"/>
        </w:rPr>
        <w:t>stiprinti partnerystę su Europos Sąjunga ir valstybėmis donorėmis</w:t>
      </w:r>
      <w:r>
        <w:rPr>
          <w:rStyle w:val="Puslapioinaosnuoroda"/>
          <w:rFonts w:ascii="Georgia" w:hAnsi="Georgia" w:cs="Arial"/>
          <w:sz w:val="20"/>
          <w:szCs w:val="20"/>
          <w:lang w:val="lt-LT"/>
        </w:rPr>
        <w:footnoteReference w:id="99"/>
      </w:r>
      <w:r>
        <w:rPr>
          <w:rFonts w:ascii="Georgia" w:hAnsi="Georgia" w:cs="Arial"/>
          <w:sz w:val="20"/>
          <w:szCs w:val="20"/>
          <w:lang w:val="lt-LT"/>
        </w:rPr>
        <w:t>.</w:t>
      </w:r>
    </w:p>
    <w:p w14:paraId="34D2E8B2"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Banko tikslinė grupė yra 21 Centrinės, Rytų ir Pietų Europos valstybė. Šioms valstybėms teikiamas prioritetas, tačiau banko finansavimas neapsiriboja vien tik jomis.</w:t>
      </w:r>
    </w:p>
    <w:p w14:paraId="1A35C7E9" w14:textId="77777777" w:rsidR="00583EB1" w:rsidRDefault="00583EB1" w:rsidP="00583EB1">
      <w:pPr>
        <w:spacing w:after="120" w:line="240" w:lineRule="auto"/>
        <w:jc w:val="both"/>
        <w:rPr>
          <w:rFonts w:ascii="Georgia" w:hAnsi="Georgia" w:cs="Arial"/>
          <w:sz w:val="20"/>
          <w:szCs w:val="20"/>
          <w:lang w:val="lt-LT"/>
        </w:rPr>
      </w:pPr>
      <w:r>
        <w:rPr>
          <w:rFonts w:ascii="Georgia" w:hAnsi="Georgia" w:cs="Arial"/>
          <w:sz w:val="20"/>
          <w:szCs w:val="20"/>
          <w:lang w:val="lt-LT"/>
        </w:rPr>
        <w:t>Pagrindiniai banko veiklos ir finansiniai rodikliai pateikiami žemiau esančioje lentelėje .</w:t>
      </w:r>
    </w:p>
    <w:p w14:paraId="1C4307EB" w14:textId="77777777" w:rsidR="00A074B2" w:rsidRDefault="00A074B2" w:rsidP="00583EB1">
      <w:pPr>
        <w:spacing w:after="120" w:line="240" w:lineRule="auto"/>
        <w:jc w:val="both"/>
        <w:rPr>
          <w:rFonts w:ascii="Georgia" w:hAnsi="Georgia" w:cs="Arial"/>
          <w:sz w:val="20"/>
          <w:szCs w:val="20"/>
          <w:lang w:val="lt-LT"/>
        </w:rPr>
      </w:pPr>
    </w:p>
    <w:p w14:paraId="529386C8" w14:textId="773BAB1C" w:rsidR="00583EB1" w:rsidRPr="007B16A2" w:rsidRDefault="00583EB1" w:rsidP="00583EB1">
      <w:pPr>
        <w:pStyle w:val="Antrat"/>
        <w:rPr>
          <w:lang w:val="lt-LT"/>
        </w:rPr>
      </w:pPr>
      <w:bookmarkStart w:id="101" w:name="_Toc460321618"/>
      <w:r w:rsidRPr="007B16A2">
        <w:rPr>
          <w:lang w:val="lt-LT"/>
        </w:rPr>
        <w:t xml:space="preserve">Lentelė </w:t>
      </w:r>
      <w:r w:rsidRPr="007B16A2">
        <w:rPr>
          <w:lang w:val="lt-LT"/>
        </w:rPr>
        <w:fldChar w:fldCharType="begin"/>
      </w:r>
      <w:r w:rsidRPr="007B16A2">
        <w:rPr>
          <w:lang w:val="lt-LT"/>
        </w:rPr>
        <w:instrText xml:space="preserve"> SEQ Lentelė \* ARABIC </w:instrText>
      </w:r>
      <w:r w:rsidRPr="007B16A2">
        <w:rPr>
          <w:lang w:val="lt-LT"/>
        </w:rPr>
        <w:fldChar w:fldCharType="separate"/>
      </w:r>
      <w:r w:rsidR="00AA3082">
        <w:rPr>
          <w:noProof/>
          <w:lang w:val="lt-LT"/>
        </w:rPr>
        <w:t>37</w:t>
      </w:r>
      <w:r w:rsidRPr="007B16A2">
        <w:rPr>
          <w:lang w:val="lt-LT"/>
        </w:rPr>
        <w:fldChar w:fldCharType="end"/>
      </w:r>
      <w:r w:rsidRPr="007B16A2">
        <w:rPr>
          <w:lang w:val="lt-LT"/>
        </w:rPr>
        <w:t>. Pagrindiniai CEB veiklos ir finansiniai rodikliai.</w:t>
      </w:r>
      <w:bookmarkEnd w:id="101"/>
    </w:p>
    <w:tbl>
      <w:tblPr>
        <w:tblStyle w:val="viesussraas2parykinimas1"/>
        <w:tblW w:w="5000" w:type="pct"/>
        <w:tblLook w:val="0420" w:firstRow="1" w:lastRow="0" w:firstColumn="0" w:lastColumn="0" w:noHBand="0" w:noVBand="1"/>
      </w:tblPr>
      <w:tblGrid>
        <w:gridCol w:w="1723"/>
        <w:gridCol w:w="1091"/>
        <w:gridCol w:w="1089"/>
        <w:gridCol w:w="1091"/>
        <w:gridCol w:w="1091"/>
        <w:gridCol w:w="1085"/>
        <w:gridCol w:w="972"/>
        <w:gridCol w:w="1100"/>
      </w:tblGrid>
      <w:tr w:rsidR="00583EB1" w14:paraId="66DC84A3" w14:textId="77777777" w:rsidTr="000C740B">
        <w:trPr>
          <w:cnfStyle w:val="100000000000" w:firstRow="1" w:lastRow="0" w:firstColumn="0" w:lastColumn="0" w:oddVBand="0" w:evenVBand="0" w:oddHBand="0" w:evenHBand="0" w:firstRowFirstColumn="0" w:firstRowLastColumn="0" w:lastRowFirstColumn="0" w:lastRowLastColumn="0"/>
        </w:trPr>
        <w:tc>
          <w:tcPr>
            <w:tcW w:w="932" w:type="pct"/>
          </w:tcPr>
          <w:p w14:paraId="00A67A48" w14:textId="77777777" w:rsidR="00583EB1" w:rsidRDefault="00583EB1" w:rsidP="00583EB1">
            <w:pPr>
              <w:jc w:val="both"/>
              <w:rPr>
                <w:rFonts w:ascii="Georgia" w:hAnsi="Georgia" w:cs="Arial"/>
                <w:b w:val="0"/>
                <w:bCs w:val="0"/>
                <w:color w:val="FFFFFF"/>
                <w:sz w:val="20"/>
                <w:szCs w:val="20"/>
              </w:rPr>
            </w:pPr>
          </w:p>
        </w:tc>
        <w:tc>
          <w:tcPr>
            <w:tcW w:w="590" w:type="pct"/>
            <w:hideMark/>
          </w:tcPr>
          <w:p w14:paraId="0DADC48C" w14:textId="77777777"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2008</w:t>
            </w:r>
          </w:p>
        </w:tc>
        <w:tc>
          <w:tcPr>
            <w:tcW w:w="589" w:type="pct"/>
            <w:hideMark/>
          </w:tcPr>
          <w:p w14:paraId="5E59DEAA" w14:textId="77777777"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2009</w:t>
            </w:r>
          </w:p>
        </w:tc>
        <w:tc>
          <w:tcPr>
            <w:tcW w:w="590" w:type="pct"/>
            <w:hideMark/>
          </w:tcPr>
          <w:p w14:paraId="38C000C1" w14:textId="77777777"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2010</w:t>
            </w:r>
          </w:p>
        </w:tc>
        <w:tc>
          <w:tcPr>
            <w:tcW w:w="590" w:type="pct"/>
            <w:hideMark/>
          </w:tcPr>
          <w:p w14:paraId="38E9B7F1" w14:textId="77777777"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2011</w:t>
            </w:r>
          </w:p>
        </w:tc>
        <w:tc>
          <w:tcPr>
            <w:tcW w:w="587" w:type="pct"/>
            <w:hideMark/>
          </w:tcPr>
          <w:p w14:paraId="79426B7E" w14:textId="77777777"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2012</w:t>
            </w:r>
          </w:p>
        </w:tc>
        <w:tc>
          <w:tcPr>
            <w:tcW w:w="526" w:type="pct"/>
            <w:hideMark/>
          </w:tcPr>
          <w:p w14:paraId="0422C3E7" w14:textId="77777777"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2013</w:t>
            </w:r>
          </w:p>
        </w:tc>
        <w:tc>
          <w:tcPr>
            <w:tcW w:w="595" w:type="pct"/>
            <w:hideMark/>
          </w:tcPr>
          <w:p w14:paraId="44C22399" w14:textId="77777777"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2008-2013</w:t>
            </w:r>
          </w:p>
        </w:tc>
      </w:tr>
      <w:tr w:rsidR="000C740B" w:rsidRPr="000C740B" w14:paraId="4C01299B" w14:textId="77777777" w:rsidTr="000C740B">
        <w:trPr>
          <w:cnfStyle w:val="000000100000" w:firstRow="0" w:lastRow="0" w:firstColumn="0" w:lastColumn="0" w:oddVBand="0" w:evenVBand="0" w:oddHBand="1" w:evenHBand="0" w:firstRowFirstColumn="0" w:firstRowLastColumn="0" w:lastRowFirstColumn="0" w:lastRowLastColumn="0"/>
        </w:trPr>
        <w:tc>
          <w:tcPr>
            <w:tcW w:w="932" w:type="pct"/>
            <w:hideMark/>
          </w:tcPr>
          <w:p w14:paraId="34D95C2C" w14:textId="77777777" w:rsidR="00583EB1" w:rsidRPr="000C740B" w:rsidRDefault="00583EB1" w:rsidP="00583EB1">
            <w:pPr>
              <w:jc w:val="both"/>
              <w:rPr>
                <w:rFonts w:ascii="Georgia" w:hAnsi="Georgia" w:cs="Arial"/>
                <w:b/>
                <w:bCs/>
                <w:sz w:val="20"/>
                <w:szCs w:val="20"/>
              </w:rPr>
            </w:pPr>
            <w:r w:rsidRPr="000C740B">
              <w:rPr>
                <w:rFonts w:ascii="Georgia" w:hAnsi="Georgia" w:cs="Arial"/>
                <w:sz w:val="20"/>
                <w:szCs w:val="20"/>
              </w:rPr>
              <w:t>Patvirtinta projektų (mln. EUR)</w:t>
            </w:r>
          </w:p>
        </w:tc>
        <w:tc>
          <w:tcPr>
            <w:tcW w:w="590" w:type="pct"/>
            <w:hideMark/>
          </w:tcPr>
          <w:p w14:paraId="11B1E099" w14:textId="77777777" w:rsidR="00583EB1" w:rsidRPr="000C740B" w:rsidRDefault="00BF610B" w:rsidP="00583EB1">
            <w:pPr>
              <w:jc w:val="center"/>
              <w:rPr>
                <w:rFonts w:ascii="Georgia" w:hAnsi="Georgia" w:cs="Arial"/>
                <w:sz w:val="20"/>
                <w:szCs w:val="20"/>
              </w:rPr>
            </w:pPr>
            <w:r w:rsidRPr="000C740B">
              <w:rPr>
                <w:rFonts w:ascii="Georgia" w:hAnsi="Georgia" w:cs="Arial"/>
                <w:sz w:val="20"/>
                <w:szCs w:val="20"/>
              </w:rPr>
              <w:t>1</w:t>
            </w:r>
            <w:r w:rsidR="00583EB1" w:rsidRPr="000C740B">
              <w:rPr>
                <w:rFonts w:ascii="Georgia" w:hAnsi="Georgia" w:cs="Arial"/>
                <w:sz w:val="20"/>
                <w:szCs w:val="20"/>
              </w:rPr>
              <w:t>861</w:t>
            </w:r>
          </w:p>
        </w:tc>
        <w:tc>
          <w:tcPr>
            <w:tcW w:w="589" w:type="pct"/>
            <w:hideMark/>
          </w:tcPr>
          <w:p w14:paraId="70021489" w14:textId="77777777" w:rsidR="00583EB1" w:rsidRPr="000C740B" w:rsidRDefault="00BF610B" w:rsidP="00583EB1">
            <w:pPr>
              <w:jc w:val="center"/>
              <w:rPr>
                <w:rFonts w:ascii="Georgia" w:hAnsi="Georgia" w:cs="Arial"/>
                <w:sz w:val="20"/>
                <w:szCs w:val="20"/>
              </w:rPr>
            </w:pPr>
            <w:r w:rsidRPr="000C740B">
              <w:rPr>
                <w:rFonts w:ascii="Georgia" w:hAnsi="Georgia" w:cs="Arial"/>
                <w:sz w:val="20"/>
                <w:szCs w:val="20"/>
              </w:rPr>
              <w:t>2</w:t>
            </w:r>
            <w:r w:rsidR="00583EB1" w:rsidRPr="000C740B">
              <w:rPr>
                <w:rFonts w:ascii="Georgia" w:hAnsi="Georgia" w:cs="Arial"/>
                <w:sz w:val="20"/>
                <w:szCs w:val="20"/>
              </w:rPr>
              <w:t>665</w:t>
            </w:r>
          </w:p>
        </w:tc>
        <w:tc>
          <w:tcPr>
            <w:tcW w:w="590" w:type="pct"/>
            <w:hideMark/>
          </w:tcPr>
          <w:p w14:paraId="1ADACC80" w14:textId="77777777" w:rsidR="00583EB1" w:rsidRPr="000C740B" w:rsidRDefault="00BF610B" w:rsidP="00583EB1">
            <w:pPr>
              <w:jc w:val="center"/>
              <w:rPr>
                <w:rFonts w:ascii="Georgia" w:hAnsi="Georgia" w:cs="Arial"/>
                <w:sz w:val="20"/>
                <w:szCs w:val="20"/>
              </w:rPr>
            </w:pPr>
            <w:r w:rsidRPr="000C740B">
              <w:rPr>
                <w:rFonts w:ascii="Georgia" w:hAnsi="Georgia" w:cs="Arial"/>
                <w:sz w:val="20"/>
                <w:szCs w:val="20"/>
              </w:rPr>
              <w:t>2</w:t>
            </w:r>
            <w:r w:rsidR="00583EB1" w:rsidRPr="000C740B">
              <w:rPr>
                <w:rFonts w:ascii="Georgia" w:hAnsi="Georgia" w:cs="Arial"/>
                <w:sz w:val="20"/>
                <w:szCs w:val="20"/>
              </w:rPr>
              <w:t>267</w:t>
            </w:r>
          </w:p>
        </w:tc>
        <w:tc>
          <w:tcPr>
            <w:tcW w:w="590" w:type="pct"/>
            <w:hideMark/>
          </w:tcPr>
          <w:p w14:paraId="56E4005F" w14:textId="77777777" w:rsidR="00583EB1" w:rsidRPr="000C740B" w:rsidRDefault="00BF610B" w:rsidP="00583EB1">
            <w:pPr>
              <w:jc w:val="center"/>
              <w:rPr>
                <w:rFonts w:ascii="Georgia" w:hAnsi="Georgia" w:cs="Arial"/>
                <w:sz w:val="20"/>
                <w:szCs w:val="20"/>
              </w:rPr>
            </w:pPr>
            <w:r w:rsidRPr="000C740B">
              <w:rPr>
                <w:rFonts w:ascii="Georgia" w:hAnsi="Georgia" w:cs="Arial"/>
                <w:sz w:val="20"/>
                <w:szCs w:val="20"/>
              </w:rPr>
              <w:t>2</w:t>
            </w:r>
            <w:r w:rsidR="00583EB1" w:rsidRPr="000C740B">
              <w:rPr>
                <w:rFonts w:ascii="Georgia" w:hAnsi="Georgia" w:cs="Arial"/>
                <w:sz w:val="20"/>
                <w:szCs w:val="20"/>
              </w:rPr>
              <w:t>110</w:t>
            </w:r>
          </w:p>
        </w:tc>
        <w:tc>
          <w:tcPr>
            <w:tcW w:w="587" w:type="pct"/>
            <w:hideMark/>
          </w:tcPr>
          <w:p w14:paraId="03EF2D5C" w14:textId="77777777" w:rsidR="00583EB1" w:rsidRPr="000C740B" w:rsidRDefault="00BF610B" w:rsidP="00583EB1">
            <w:pPr>
              <w:jc w:val="center"/>
              <w:rPr>
                <w:rFonts w:ascii="Georgia" w:hAnsi="Georgia" w:cs="Arial"/>
                <w:sz w:val="20"/>
                <w:szCs w:val="20"/>
              </w:rPr>
            </w:pPr>
            <w:r w:rsidRPr="000C740B">
              <w:rPr>
                <w:rFonts w:ascii="Georgia" w:hAnsi="Georgia" w:cs="Arial"/>
                <w:sz w:val="20"/>
                <w:szCs w:val="20"/>
              </w:rPr>
              <w:t>1</w:t>
            </w:r>
            <w:r w:rsidR="00583EB1" w:rsidRPr="000C740B">
              <w:rPr>
                <w:rFonts w:ascii="Georgia" w:hAnsi="Georgia" w:cs="Arial"/>
                <w:sz w:val="20"/>
                <w:szCs w:val="20"/>
              </w:rPr>
              <w:t>798</w:t>
            </w:r>
          </w:p>
        </w:tc>
        <w:tc>
          <w:tcPr>
            <w:tcW w:w="526" w:type="pct"/>
            <w:hideMark/>
          </w:tcPr>
          <w:p w14:paraId="09ABC4AB" w14:textId="77777777" w:rsidR="00583EB1" w:rsidRPr="000C740B" w:rsidRDefault="00BF610B" w:rsidP="00583EB1">
            <w:pPr>
              <w:jc w:val="center"/>
              <w:rPr>
                <w:rFonts w:ascii="Georgia" w:hAnsi="Georgia" w:cs="Arial"/>
                <w:sz w:val="20"/>
                <w:szCs w:val="20"/>
              </w:rPr>
            </w:pPr>
            <w:r w:rsidRPr="000C740B">
              <w:rPr>
                <w:rFonts w:ascii="Georgia" w:hAnsi="Georgia" w:cs="Arial"/>
                <w:sz w:val="20"/>
                <w:szCs w:val="20"/>
              </w:rPr>
              <w:t>2</w:t>
            </w:r>
            <w:r w:rsidR="00583EB1" w:rsidRPr="000C740B">
              <w:rPr>
                <w:rFonts w:ascii="Georgia" w:hAnsi="Georgia" w:cs="Arial"/>
                <w:sz w:val="20"/>
                <w:szCs w:val="20"/>
              </w:rPr>
              <w:t>274</w:t>
            </w:r>
          </w:p>
        </w:tc>
        <w:tc>
          <w:tcPr>
            <w:tcW w:w="595" w:type="pct"/>
            <w:hideMark/>
          </w:tcPr>
          <w:p w14:paraId="1DA487F9" w14:textId="77777777" w:rsidR="00583EB1" w:rsidRPr="000C740B" w:rsidRDefault="00583EB1" w:rsidP="00BF610B">
            <w:pPr>
              <w:jc w:val="center"/>
              <w:rPr>
                <w:rFonts w:ascii="Georgia" w:hAnsi="Georgia" w:cs="Arial"/>
                <w:sz w:val="20"/>
                <w:szCs w:val="20"/>
              </w:rPr>
            </w:pPr>
            <w:r w:rsidRPr="000C740B">
              <w:rPr>
                <w:rFonts w:ascii="Georgia" w:hAnsi="Georgia" w:cs="Arial"/>
                <w:sz w:val="20"/>
                <w:szCs w:val="20"/>
              </w:rPr>
              <w:t>12</w:t>
            </w:r>
            <w:r w:rsidR="00BF610B" w:rsidRPr="000C740B">
              <w:rPr>
                <w:rFonts w:ascii="Georgia" w:hAnsi="Georgia" w:cs="Arial"/>
                <w:sz w:val="20"/>
                <w:szCs w:val="20"/>
              </w:rPr>
              <w:t xml:space="preserve"> </w:t>
            </w:r>
            <w:r w:rsidRPr="000C740B">
              <w:rPr>
                <w:rFonts w:ascii="Georgia" w:hAnsi="Georgia" w:cs="Arial"/>
                <w:sz w:val="20"/>
                <w:szCs w:val="20"/>
              </w:rPr>
              <w:t>975</w:t>
            </w:r>
          </w:p>
        </w:tc>
      </w:tr>
      <w:tr w:rsidR="000C740B" w:rsidRPr="000C740B" w14:paraId="57ADE09F" w14:textId="77777777" w:rsidTr="000C740B">
        <w:tc>
          <w:tcPr>
            <w:tcW w:w="932" w:type="pct"/>
            <w:hideMark/>
          </w:tcPr>
          <w:p w14:paraId="63A60A74" w14:textId="77777777" w:rsidR="00583EB1" w:rsidRPr="000C740B" w:rsidRDefault="00583EB1" w:rsidP="00583EB1">
            <w:pPr>
              <w:jc w:val="both"/>
              <w:rPr>
                <w:rFonts w:ascii="Georgia" w:hAnsi="Georgia" w:cs="Arial"/>
                <w:b/>
                <w:bCs/>
                <w:sz w:val="20"/>
                <w:szCs w:val="20"/>
              </w:rPr>
            </w:pPr>
            <w:r w:rsidRPr="000C740B">
              <w:rPr>
                <w:rFonts w:ascii="Georgia" w:hAnsi="Georgia" w:cs="Arial"/>
                <w:sz w:val="20"/>
                <w:szCs w:val="20"/>
              </w:rPr>
              <w:t>Projektų skaičius (vnt.)</w:t>
            </w:r>
          </w:p>
        </w:tc>
        <w:tc>
          <w:tcPr>
            <w:tcW w:w="590" w:type="pct"/>
            <w:hideMark/>
          </w:tcPr>
          <w:p w14:paraId="73EBFA99"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36</w:t>
            </w:r>
          </w:p>
        </w:tc>
        <w:tc>
          <w:tcPr>
            <w:tcW w:w="589" w:type="pct"/>
            <w:hideMark/>
          </w:tcPr>
          <w:p w14:paraId="3EF9C674"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36</w:t>
            </w:r>
          </w:p>
        </w:tc>
        <w:tc>
          <w:tcPr>
            <w:tcW w:w="590" w:type="pct"/>
            <w:hideMark/>
          </w:tcPr>
          <w:p w14:paraId="0F3F282F"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31</w:t>
            </w:r>
          </w:p>
        </w:tc>
        <w:tc>
          <w:tcPr>
            <w:tcW w:w="590" w:type="pct"/>
            <w:hideMark/>
          </w:tcPr>
          <w:p w14:paraId="04F556F7"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34</w:t>
            </w:r>
          </w:p>
        </w:tc>
        <w:tc>
          <w:tcPr>
            <w:tcW w:w="587" w:type="pct"/>
            <w:hideMark/>
          </w:tcPr>
          <w:p w14:paraId="5315E492"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28</w:t>
            </w:r>
          </w:p>
        </w:tc>
        <w:tc>
          <w:tcPr>
            <w:tcW w:w="526" w:type="pct"/>
            <w:hideMark/>
          </w:tcPr>
          <w:p w14:paraId="09EEA0A4"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38</w:t>
            </w:r>
          </w:p>
        </w:tc>
        <w:tc>
          <w:tcPr>
            <w:tcW w:w="595" w:type="pct"/>
            <w:hideMark/>
          </w:tcPr>
          <w:p w14:paraId="229560C3"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206</w:t>
            </w:r>
          </w:p>
        </w:tc>
      </w:tr>
      <w:tr w:rsidR="000C740B" w:rsidRPr="000C740B" w14:paraId="357FF544" w14:textId="77777777" w:rsidTr="000C740B">
        <w:trPr>
          <w:cnfStyle w:val="000000100000" w:firstRow="0" w:lastRow="0" w:firstColumn="0" w:lastColumn="0" w:oddVBand="0" w:evenVBand="0" w:oddHBand="1" w:evenHBand="0" w:firstRowFirstColumn="0" w:firstRowLastColumn="0" w:lastRowFirstColumn="0" w:lastRowLastColumn="0"/>
        </w:trPr>
        <w:tc>
          <w:tcPr>
            <w:tcW w:w="932" w:type="pct"/>
            <w:hideMark/>
          </w:tcPr>
          <w:p w14:paraId="448F0E0D" w14:textId="77777777" w:rsidR="00583EB1" w:rsidRPr="000C740B" w:rsidRDefault="00583EB1" w:rsidP="00583EB1">
            <w:pPr>
              <w:jc w:val="both"/>
              <w:rPr>
                <w:rFonts w:ascii="Georgia" w:hAnsi="Georgia" w:cs="Arial"/>
                <w:b/>
                <w:bCs/>
                <w:sz w:val="20"/>
                <w:szCs w:val="20"/>
              </w:rPr>
            </w:pPr>
            <w:r w:rsidRPr="000C740B">
              <w:rPr>
                <w:rFonts w:ascii="Georgia" w:hAnsi="Georgia" w:cs="Arial"/>
                <w:sz w:val="20"/>
                <w:szCs w:val="20"/>
              </w:rPr>
              <w:t>Prisiimta finansinių įsipareigojimų (mln. EUR)</w:t>
            </w:r>
          </w:p>
        </w:tc>
        <w:tc>
          <w:tcPr>
            <w:tcW w:w="590" w:type="pct"/>
            <w:hideMark/>
          </w:tcPr>
          <w:p w14:paraId="3F1ADDD7" w14:textId="77777777" w:rsidR="00583EB1" w:rsidRPr="000C740B" w:rsidRDefault="00BF610B" w:rsidP="00583EB1">
            <w:pPr>
              <w:jc w:val="center"/>
              <w:rPr>
                <w:rFonts w:ascii="Georgia" w:hAnsi="Georgia" w:cs="Arial"/>
                <w:sz w:val="20"/>
                <w:szCs w:val="20"/>
              </w:rPr>
            </w:pPr>
            <w:r w:rsidRPr="000C740B">
              <w:rPr>
                <w:rFonts w:ascii="Georgia" w:hAnsi="Georgia" w:cs="Arial"/>
                <w:sz w:val="20"/>
                <w:szCs w:val="20"/>
              </w:rPr>
              <w:t>1</w:t>
            </w:r>
            <w:r w:rsidR="00583EB1" w:rsidRPr="000C740B">
              <w:rPr>
                <w:rFonts w:ascii="Georgia" w:hAnsi="Georgia" w:cs="Arial"/>
                <w:sz w:val="20"/>
                <w:szCs w:val="20"/>
              </w:rPr>
              <w:t>958</w:t>
            </w:r>
          </w:p>
        </w:tc>
        <w:tc>
          <w:tcPr>
            <w:tcW w:w="589" w:type="pct"/>
            <w:hideMark/>
          </w:tcPr>
          <w:p w14:paraId="04BD6823" w14:textId="77777777" w:rsidR="00583EB1" w:rsidRPr="000C740B" w:rsidRDefault="00BF610B" w:rsidP="00583EB1">
            <w:pPr>
              <w:jc w:val="center"/>
              <w:rPr>
                <w:rFonts w:ascii="Georgia" w:hAnsi="Georgia" w:cs="Arial"/>
                <w:sz w:val="20"/>
                <w:szCs w:val="20"/>
              </w:rPr>
            </w:pPr>
            <w:r w:rsidRPr="000C740B">
              <w:rPr>
                <w:rFonts w:ascii="Georgia" w:hAnsi="Georgia" w:cs="Arial"/>
                <w:sz w:val="20"/>
                <w:szCs w:val="20"/>
              </w:rPr>
              <w:t>2</w:t>
            </w:r>
            <w:r w:rsidR="00583EB1" w:rsidRPr="000C740B">
              <w:rPr>
                <w:rFonts w:ascii="Georgia" w:hAnsi="Georgia" w:cs="Arial"/>
                <w:sz w:val="20"/>
                <w:szCs w:val="20"/>
              </w:rPr>
              <w:t>050</w:t>
            </w:r>
          </w:p>
        </w:tc>
        <w:tc>
          <w:tcPr>
            <w:tcW w:w="590" w:type="pct"/>
            <w:hideMark/>
          </w:tcPr>
          <w:p w14:paraId="7150B0D2" w14:textId="77777777" w:rsidR="00583EB1" w:rsidRPr="000C740B" w:rsidRDefault="00BF610B" w:rsidP="00583EB1">
            <w:pPr>
              <w:jc w:val="center"/>
              <w:rPr>
                <w:rFonts w:ascii="Georgia" w:hAnsi="Georgia" w:cs="Arial"/>
                <w:sz w:val="20"/>
                <w:szCs w:val="20"/>
              </w:rPr>
            </w:pPr>
            <w:r w:rsidRPr="000C740B">
              <w:rPr>
                <w:rFonts w:ascii="Georgia" w:hAnsi="Georgia" w:cs="Arial"/>
                <w:sz w:val="20"/>
                <w:szCs w:val="20"/>
              </w:rPr>
              <w:t>2</w:t>
            </w:r>
            <w:r w:rsidR="00583EB1" w:rsidRPr="000C740B">
              <w:rPr>
                <w:rFonts w:ascii="Georgia" w:hAnsi="Georgia" w:cs="Arial"/>
                <w:sz w:val="20"/>
                <w:szCs w:val="20"/>
              </w:rPr>
              <w:t>311</w:t>
            </w:r>
          </w:p>
        </w:tc>
        <w:tc>
          <w:tcPr>
            <w:tcW w:w="590" w:type="pct"/>
            <w:hideMark/>
          </w:tcPr>
          <w:p w14:paraId="3F9C6BA4" w14:textId="77777777" w:rsidR="00583EB1" w:rsidRPr="000C740B" w:rsidRDefault="00BF610B" w:rsidP="00583EB1">
            <w:pPr>
              <w:jc w:val="center"/>
              <w:rPr>
                <w:rFonts w:ascii="Georgia" w:hAnsi="Georgia" w:cs="Arial"/>
                <w:sz w:val="20"/>
                <w:szCs w:val="20"/>
              </w:rPr>
            </w:pPr>
            <w:r w:rsidRPr="000C740B">
              <w:rPr>
                <w:rFonts w:ascii="Georgia" w:hAnsi="Georgia" w:cs="Arial"/>
                <w:sz w:val="20"/>
                <w:szCs w:val="20"/>
              </w:rPr>
              <w:t>1</w:t>
            </w:r>
            <w:r w:rsidR="00583EB1" w:rsidRPr="000C740B">
              <w:rPr>
                <w:rFonts w:ascii="Georgia" w:hAnsi="Georgia" w:cs="Arial"/>
                <w:sz w:val="20"/>
                <w:szCs w:val="20"/>
              </w:rPr>
              <w:t>798</w:t>
            </w:r>
          </w:p>
        </w:tc>
        <w:tc>
          <w:tcPr>
            <w:tcW w:w="587" w:type="pct"/>
            <w:hideMark/>
          </w:tcPr>
          <w:p w14:paraId="6EDA3616" w14:textId="77777777" w:rsidR="00583EB1" w:rsidRPr="000C740B" w:rsidRDefault="00BF610B" w:rsidP="00583EB1">
            <w:pPr>
              <w:jc w:val="center"/>
              <w:rPr>
                <w:rFonts w:ascii="Georgia" w:hAnsi="Georgia" w:cs="Arial"/>
                <w:sz w:val="20"/>
                <w:szCs w:val="20"/>
              </w:rPr>
            </w:pPr>
            <w:r w:rsidRPr="000C740B">
              <w:rPr>
                <w:rFonts w:ascii="Georgia" w:hAnsi="Georgia" w:cs="Arial"/>
                <w:sz w:val="20"/>
                <w:szCs w:val="20"/>
              </w:rPr>
              <w:t>1</w:t>
            </w:r>
            <w:r w:rsidR="00583EB1" w:rsidRPr="000C740B">
              <w:rPr>
                <w:rFonts w:ascii="Georgia" w:hAnsi="Georgia" w:cs="Arial"/>
                <w:sz w:val="20"/>
                <w:szCs w:val="20"/>
              </w:rPr>
              <w:t>019</w:t>
            </w:r>
          </w:p>
        </w:tc>
        <w:tc>
          <w:tcPr>
            <w:tcW w:w="526" w:type="pct"/>
            <w:hideMark/>
          </w:tcPr>
          <w:p w14:paraId="4459DD15" w14:textId="77777777" w:rsidR="00583EB1" w:rsidRPr="000C740B" w:rsidRDefault="00BF610B" w:rsidP="00583EB1">
            <w:pPr>
              <w:jc w:val="center"/>
              <w:rPr>
                <w:rFonts w:ascii="Georgia" w:hAnsi="Georgia" w:cs="Arial"/>
                <w:sz w:val="20"/>
                <w:szCs w:val="20"/>
              </w:rPr>
            </w:pPr>
            <w:r w:rsidRPr="000C740B">
              <w:rPr>
                <w:rFonts w:ascii="Georgia" w:hAnsi="Georgia" w:cs="Arial"/>
                <w:sz w:val="20"/>
                <w:szCs w:val="20"/>
              </w:rPr>
              <w:t>2</w:t>
            </w:r>
            <w:r w:rsidR="00583EB1" w:rsidRPr="000C740B">
              <w:rPr>
                <w:rFonts w:ascii="Georgia" w:hAnsi="Georgia" w:cs="Arial"/>
                <w:sz w:val="20"/>
                <w:szCs w:val="20"/>
              </w:rPr>
              <w:t>262</w:t>
            </w:r>
          </w:p>
        </w:tc>
        <w:tc>
          <w:tcPr>
            <w:tcW w:w="595" w:type="pct"/>
            <w:hideMark/>
          </w:tcPr>
          <w:p w14:paraId="46834878"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r>
      <w:tr w:rsidR="000C740B" w:rsidRPr="000C740B" w14:paraId="3585EC0E" w14:textId="77777777" w:rsidTr="000C740B">
        <w:tc>
          <w:tcPr>
            <w:tcW w:w="932" w:type="pct"/>
            <w:hideMark/>
          </w:tcPr>
          <w:p w14:paraId="08F10B19" w14:textId="77777777" w:rsidR="00583EB1" w:rsidRPr="000C740B" w:rsidRDefault="00583EB1" w:rsidP="00583EB1">
            <w:pPr>
              <w:jc w:val="both"/>
              <w:rPr>
                <w:rFonts w:ascii="Georgia" w:hAnsi="Georgia" w:cs="Arial"/>
                <w:b/>
                <w:bCs/>
                <w:sz w:val="20"/>
                <w:szCs w:val="20"/>
              </w:rPr>
            </w:pPr>
            <w:r w:rsidRPr="000C740B">
              <w:rPr>
                <w:rFonts w:ascii="Georgia" w:hAnsi="Georgia" w:cs="Arial"/>
                <w:sz w:val="20"/>
                <w:szCs w:val="20"/>
              </w:rPr>
              <w:t>Išmokėta lėšų (mln. EUR)</w:t>
            </w:r>
          </w:p>
        </w:tc>
        <w:tc>
          <w:tcPr>
            <w:tcW w:w="590" w:type="pct"/>
            <w:hideMark/>
          </w:tcPr>
          <w:p w14:paraId="224365F2" w14:textId="77777777" w:rsidR="00583EB1" w:rsidRPr="000C740B" w:rsidRDefault="00BF610B" w:rsidP="00583EB1">
            <w:pPr>
              <w:jc w:val="center"/>
              <w:rPr>
                <w:rFonts w:ascii="Georgia" w:hAnsi="Georgia" w:cs="Arial"/>
                <w:sz w:val="20"/>
                <w:szCs w:val="20"/>
              </w:rPr>
            </w:pPr>
            <w:r w:rsidRPr="000C740B">
              <w:rPr>
                <w:rFonts w:ascii="Georgia" w:hAnsi="Georgia" w:cs="Arial"/>
                <w:sz w:val="20"/>
                <w:szCs w:val="20"/>
              </w:rPr>
              <w:t>1</w:t>
            </w:r>
            <w:r w:rsidR="00583EB1" w:rsidRPr="000C740B">
              <w:rPr>
                <w:rFonts w:ascii="Georgia" w:hAnsi="Georgia" w:cs="Arial"/>
                <w:sz w:val="20"/>
                <w:szCs w:val="20"/>
              </w:rPr>
              <w:t>505</w:t>
            </w:r>
          </w:p>
        </w:tc>
        <w:tc>
          <w:tcPr>
            <w:tcW w:w="589" w:type="pct"/>
            <w:hideMark/>
          </w:tcPr>
          <w:p w14:paraId="0EAAC0AB" w14:textId="77777777" w:rsidR="00583EB1" w:rsidRPr="000C740B" w:rsidRDefault="00BF610B" w:rsidP="00583EB1">
            <w:pPr>
              <w:jc w:val="center"/>
              <w:rPr>
                <w:rFonts w:ascii="Georgia" w:hAnsi="Georgia" w:cs="Arial"/>
                <w:sz w:val="20"/>
                <w:szCs w:val="20"/>
              </w:rPr>
            </w:pPr>
            <w:r w:rsidRPr="000C740B">
              <w:rPr>
                <w:rFonts w:ascii="Georgia" w:hAnsi="Georgia" w:cs="Arial"/>
                <w:sz w:val="20"/>
                <w:szCs w:val="20"/>
              </w:rPr>
              <w:t>1</w:t>
            </w:r>
            <w:r w:rsidR="00583EB1" w:rsidRPr="000C740B">
              <w:rPr>
                <w:rFonts w:ascii="Georgia" w:hAnsi="Georgia" w:cs="Arial"/>
                <w:sz w:val="20"/>
                <w:szCs w:val="20"/>
              </w:rPr>
              <w:t>806</w:t>
            </w:r>
          </w:p>
        </w:tc>
        <w:tc>
          <w:tcPr>
            <w:tcW w:w="590" w:type="pct"/>
            <w:hideMark/>
          </w:tcPr>
          <w:p w14:paraId="47AE2C19" w14:textId="77777777" w:rsidR="00583EB1" w:rsidRPr="000C740B" w:rsidRDefault="00BF610B" w:rsidP="00583EB1">
            <w:pPr>
              <w:jc w:val="center"/>
              <w:rPr>
                <w:rFonts w:ascii="Georgia" w:hAnsi="Georgia" w:cs="Arial"/>
                <w:sz w:val="20"/>
                <w:szCs w:val="20"/>
              </w:rPr>
            </w:pPr>
            <w:r w:rsidRPr="000C740B">
              <w:rPr>
                <w:rFonts w:ascii="Georgia" w:hAnsi="Georgia" w:cs="Arial"/>
                <w:sz w:val="20"/>
                <w:szCs w:val="20"/>
              </w:rPr>
              <w:t>1</w:t>
            </w:r>
            <w:r w:rsidR="00583EB1" w:rsidRPr="000C740B">
              <w:rPr>
                <w:rFonts w:ascii="Georgia" w:hAnsi="Georgia" w:cs="Arial"/>
                <w:sz w:val="20"/>
                <w:szCs w:val="20"/>
              </w:rPr>
              <w:t>782</w:t>
            </w:r>
          </w:p>
        </w:tc>
        <w:tc>
          <w:tcPr>
            <w:tcW w:w="590" w:type="pct"/>
            <w:hideMark/>
          </w:tcPr>
          <w:p w14:paraId="7FDE9BF6" w14:textId="77777777" w:rsidR="00583EB1" w:rsidRPr="000C740B" w:rsidRDefault="00BF610B" w:rsidP="00583EB1">
            <w:pPr>
              <w:jc w:val="center"/>
              <w:rPr>
                <w:rFonts w:ascii="Georgia" w:hAnsi="Georgia" w:cs="Arial"/>
                <w:sz w:val="20"/>
                <w:szCs w:val="20"/>
              </w:rPr>
            </w:pPr>
            <w:r w:rsidRPr="000C740B">
              <w:rPr>
                <w:rFonts w:ascii="Georgia" w:hAnsi="Georgia" w:cs="Arial"/>
                <w:sz w:val="20"/>
                <w:szCs w:val="20"/>
              </w:rPr>
              <w:t>1</w:t>
            </w:r>
            <w:r w:rsidR="00583EB1" w:rsidRPr="000C740B">
              <w:rPr>
                <w:rFonts w:ascii="Georgia" w:hAnsi="Georgia" w:cs="Arial"/>
                <w:sz w:val="20"/>
                <w:szCs w:val="20"/>
              </w:rPr>
              <w:t>855</w:t>
            </w:r>
          </w:p>
        </w:tc>
        <w:tc>
          <w:tcPr>
            <w:tcW w:w="587" w:type="pct"/>
            <w:hideMark/>
          </w:tcPr>
          <w:p w14:paraId="1A122741" w14:textId="77777777" w:rsidR="00583EB1" w:rsidRPr="000C740B" w:rsidRDefault="00BF610B" w:rsidP="00583EB1">
            <w:pPr>
              <w:jc w:val="center"/>
              <w:rPr>
                <w:rFonts w:ascii="Georgia" w:hAnsi="Georgia" w:cs="Arial"/>
                <w:sz w:val="20"/>
                <w:szCs w:val="20"/>
              </w:rPr>
            </w:pPr>
            <w:r w:rsidRPr="000C740B">
              <w:rPr>
                <w:rFonts w:ascii="Georgia" w:hAnsi="Georgia" w:cs="Arial"/>
                <w:sz w:val="20"/>
                <w:szCs w:val="20"/>
              </w:rPr>
              <w:t>1</w:t>
            </w:r>
            <w:r w:rsidR="00583EB1" w:rsidRPr="000C740B">
              <w:rPr>
                <w:rFonts w:ascii="Georgia" w:hAnsi="Georgia" w:cs="Arial"/>
                <w:sz w:val="20"/>
                <w:szCs w:val="20"/>
              </w:rPr>
              <w:t>584</w:t>
            </w:r>
          </w:p>
        </w:tc>
        <w:tc>
          <w:tcPr>
            <w:tcW w:w="526" w:type="pct"/>
            <w:hideMark/>
          </w:tcPr>
          <w:p w14:paraId="457897E5" w14:textId="77777777" w:rsidR="00583EB1" w:rsidRPr="000C740B" w:rsidRDefault="00BF610B" w:rsidP="00583EB1">
            <w:pPr>
              <w:jc w:val="center"/>
              <w:rPr>
                <w:rFonts w:ascii="Georgia" w:hAnsi="Georgia" w:cs="Arial"/>
                <w:sz w:val="20"/>
                <w:szCs w:val="20"/>
              </w:rPr>
            </w:pPr>
            <w:r w:rsidRPr="000C740B">
              <w:rPr>
                <w:rFonts w:ascii="Georgia" w:hAnsi="Georgia" w:cs="Arial"/>
                <w:sz w:val="20"/>
                <w:szCs w:val="20"/>
              </w:rPr>
              <w:t>1</w:t>
            </w:r>
            <w:r w:rsidR="00583EB1" w:rsidRPr="000C740B">
              <w:rPr>
                <w:rFonts w:ascii="Georgia" w:hAnsi="Georgia" w:cs="Arial"/>
                <w:sz w:val="20"/>
                <w:szCs w:val="20"/>
              </w:rPr>
              <w:t>845</w:t>
            </w:r>
          </w:p>
        </w:tc>
        <w:tc>
          <w:tcPr>
            <w:tcW w:w="595" w:type="pct"/>
            <w:hideMark/>
          </w:tcPr>
          <w:p w14:paraId="3E67F745"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10</w:t>
            </w:r>
            <w:r w:rsidR="00BF610B" w:rsidRPr="000C740B">
              <w:rPr>
                <w:rFonts w:ascii="Georgia" w:hAnsi="Georgia" w:cs="Arial"/>
                <w:sz w:val="20"/>
                <w:szCs w:val="20"/>
              </w:rPr>
              <w:t xml:space="preserve"> </w:t>
            </w:r>
            <w:r w:rsidRPr="000C740B">
              <w:rPr>
                <w:rFonts w:ascii="Georgia" w:hAnsi="Georgia" w:cs="Arial"/>
                <w:sz w:val="20"/>
                <w:szCs w:val="20"/>
              </w:rPr>
              <w:t>377</w:t>
            </w:r>
          </w:p>
        </w:tc>
      </w:tr>
      <w:tr w:rsidR="000C740B" w:rsidRPr="000C740B" w14:paraId="57176690" w14:textId="77777777" w:rsidTr="000C740B">
        <w:trPr>
          <w:cnfStyle w:val="000000100000" w:firstRow="0" w:lastRow="0" w:firstColumn="0" w:lastColumn="0" w:oddVBand="0" w:evenVBand="0" w:oddHBand="1" w:evenHBand="0" w:firstRowFirstColumn="0" w:firstRowLastColumn="0" w:lastRowFirstColumn="0" w:lastRowLastColumn="0"/>
        </w:trPr>
        <w:tc>
          <w:tcPr>
            <w:tcW w:w="932" w:type="pct"/>
            <w:hideMark/>
          </w:tcPr>
          <w:p w14:paraId="6DBDB4B1" w14:textId="77777777" w:rsidR="00583EB1" w:rsidRPr="000C740B" w:rsidRDefault="00583EB1" w:rsidP="00583EB1">
            <w:pPr>
              <w:jc w:val="both"/>
              <w:rPr>
                <w:rFonts w:ascii="Georgia" w:hAnsi="Georgia" w:cs="Arial"/>
                <w:b/>
                <w:bCs/>
                <w:sz w:val="20"/>
                <w:szCs w:val="20"/>
              </w:rPr>
            </w:pPr>
            <w:r w:rsidRPr="000C740B">
              <w:rPr>
                <w:rFonts w:ascii="Georgia" w:hAnsi="Georgia" w:cs="Arial"/>
                <w:sz w:val="20"/>
                <w:szCs w:val="20"/>
              </w:rPr>
              <w:t>Turimų paskolų portfelis (mln. EUR)</w:t>
            </w:r>
          </w:p>
        </w:tc>
        <w:tc>
          <w:tcPr>
            <w:tcW w:w="590" w:type="pct"/>
            <w:hideMark/>
          </w:tcPr>
          <w:p w14:paraId="21C9E1D0" w14:textId="77777777" w:rsidR="00583EB1" w:rsidRPr="000C740B" w:rsidRDefault="00583EB1" w:rsidP="00BF610B">
            <w:pPr>
              <w:jc w:val="center"/>
              <w:rPr>
                <w:rFonts w:ascii="Georgia" w:hAnsi="Georgia" w:cs="Arial"/>
                <w:sz w:val="20"/>
                <w:szCs w:val="20"/>
              </w:rPr>
            </w:pPr>
            <w:r w:rsidRPr="000C740B">
              <w:rPr>
                <w:rFonts w:ascii="Georgia" w:hAnsi="Georgia" w:cs="Arial"/>
                <w:sz w:val="20"/>
                <w:szCs w:val="20"/>
              </w:rPr>
              <w:t>12</w:t>
            </w:r>
            <w:r w:rsidR="00BF610B" w:rsidRPr="000C740B">
              <w:rPr>
                <w:rFonts w:ascii="Georgia" w:hAnsi="Georgia" w:cs="Arial"/>
                <w:sz w:val="20"/>
                <w:szCs w:val="20"/>
              </w:rPr>
              <w:t xml:space="preserve"> </w:t>
            </w:r>
            <w:r w:rsidRPr="000C740B">
              <w:rPr>
                <w:rFonts w:ascii="Georgia" w:hAnsi="Georgia" w:cs="Arial"/>
                <w:sz w:val="20"/>
                <w:szCs w:val="20"/>
              </w:rPr>
              <w:t>423</w:t>
            </w:r>
          </w:p>
        </w:tc>
        <w:tc>
          <w:tcPr>
            <w:tcW w:w="589" w:type="pct"/>
            <w:hideMark/>
          </w:tcPr>
          <w:p w14:paraId="58E8B79C" w14:textId="77777777" w:rsidR="00583EB1" w:rsidRPr="000C740B" w:rsidRDefault="00583EB1" w:rsidP="00BF610B">
            <w:pPr>
              <w:jc w:val="center"/>
              <w:rPr>
                <w:rFonts w:ascii="Georgia" w:hAnsi="Georgia" w:cs="Arial"/>
                <w:sz w:val="20"/>
                <w:szCs w:val="20"/>
              </w:rPr>
            </w:pPr>
            <w:r w:rsidRPr="000C740B">
              <w:rPr>
                <w:rFonts w:ascii="Georgia" w:hAnsi="Georgia" w:cs="Arial"/>
                <w:sz w:val="20"/>
                <w:szCs w:val="20"/>
              </w:rPr>
              <w:t>12</w:t>
            </w:r>
            <w:r w:rsidR="00BF610B" w:rsidRPr="000C740B">
              <w:rPr>
                <w:rFonts w:ascii="Georgia" w:hAnsi="Georgia" w:cs="Arial"/>
                <w:sz w:val="20"/>
                <w:szCs w:val="20"/>
              </w:rPr>
              <w:t xml:space="preserve"> </w:t>
            </w:r>
            <w:r w:rsidRPr="000C740B">
              <w:rPr>
                <w:rFonts w:ascii="Georgia" w:hAnsi="Georgia" w:cs="Arial"/>
                <w:sz w:val="20"/>
                <w:szCs w:val="20"/>
              </w:rPr>
              <w:t>198</w:t>
            </w:r>
          </w:p>
        </w:tc>
        <w:tc>
          <w:tcPr>
            <w:tcW w:w="590" w:type="pct"/>
            <w:hideMark/>
          </w:tcPr>
          <w:p w14:paraId="72D8CDB6" w14:textId="77777777" w:rsidR="00583EB1" w:rsidRPr="000C740B" w:rsidRDefault="00583EB1" w:rsidP="00BF610B">
            <w:pPr>
              <w:jc w:val="center"/>
              <w:rPr>
                <w:rFonts w:ascii="Georgia" w:hAnsi="Georgia" w:cs="Arial"/>
                <w:sz w:val="20"/>
                <w:szCs w:val="20"/>
              </w:rPr>
            </w:pPr>
            <w:r w:rsidRPr="000C740B">
              <w:rPr>
                <w:rFonts w:ascii="Georgia" w:hAnsi="Georgia" w:cs="Arial"/>
                <w:sz w:val="20"/>
                <w:szCs w:val="20"/>
              </w:rPr>
              <w:t>11</w:t>
            </w:r>
            <w:r w:rsidR="00BF610B" w:rsidRPr="000C740B">
              <w:rPr>
                <w:rFonts w:ascii="Georgia" w:hAnsi="Georgia" w:cs="Arial"/>
                <w:sz w:val="20"/>
                <w:szCs w:val="20"/>
              </w:rPr>
              <w:t xml:space="preserve"> </w:t>
            </w:r>
            <w:r w:rsidRPr="000C740B">
              <w:rPr>
                <w:rFonts w:ascii="Georgia" w:hAnsi="Georgia" w:cs="Arial"/>
                <w:sz w:val="20"/>
                <w:szCs w:val="20"/>
              </w:rPr>
              <w:t>988</w:t>
            </w:r>
          </w:p>
        </w:tc>
        <w:tc>
          <w:tcPr>
            <w:tcW w:w="590" w:type="pct"/>
            <w:hideMark/>
          </w:tcPr>
          <w:p w14:paraId="0258AA7E" w14:textId="77777777" w:rsidR="00583EB1" w:rsidRPr="000C740B" w:rsidRDefault="00583EB1" w:rsidP="00BF610B">
            <w:pPr>
              <w:jc w:val="center"/>
              <w:rPr>
                <w:rFonts w:ascii="Georgia" w:hAnsi="Georgia" w:cs="Arial"/>
                <w:sz w:val="20"/>
                <w:szCs w:val="20"/>
              </w:rPr>
            </w:pPr>
            <w:r w:rsidRPr="000C740B">
              <w:rPr>
                <w:rFonts w:ascii="Georgia" w:hAnsi="Georgia" w:cs="Arial"/>
                <w:sz w:val="20"/>
                <w:szCs w:val="20"/>
              </w:rPr>
              <w:t>12</w:t>
            </w:r>
            <w:r w:rsidR="00BF610B" w:rsidRPr="000C740B">
              <w:rPr>
                <w:rFonts w:ascii="Georgia" w:hAnsi="Georgia" w:cs="Arial"/>
                <w:sz w:val="20"/>
                <w:szCs w:val="20"/>
              </w:rPr>
              <w:t xml:space="preserve"> </w:t>
            </w:r>
            <w:r w:rsidRPr="000C740B">
              <w:rPr>
                <w:rFonts w:ascii="Georgia" w:hAnsi="Georgia" w:cs="Arial"/>
                <w:sz w:val="20"/>
                <w:szCs w:val="20"/>
              </w:rPr>
              <w:t>075</w:t>
            </w:r>
          </w:p>
        </w:tc>
        <w:tc>
          <w:tcPr>
            <w:tcW w:w="587" w:type="pct"/>
            <w:hideMark/>
          </w:tcPr>
          <w:p w14:paraId="1E91627E" w14:textId="77777777" w:rsidR="00583EB1" w:rsidRPr="000C740B" w:rsidRDefault="00583EB1" w:rsidP="00BF610B">
            <w:pPr>
              <w:jc w:val="center"/>
              <w:rPr>
                <w:rFonts w:ascii="Georgia" w:hAnsi="Georgia" w:cs="Arial"/>
                <w:sz w:val="20"/>
                <w:szCs w:val="20"/>
              </w:rPr>
            </w:pPr>
            <w:r w:rsidRPr="000C740B">
              <w:rPr>
                <w:rFonts w:ascii="Georgia" w:hAnsi="Georgia" w:cs="Arial"/>
                <w:sz w:val="20"/>
                <w:szCs w:val="20"/>
              </w:rPr>
              <w:t>12</w:t>
            </w:r>
            <w:r w:rsidR="00BF610B" w:rsidRPr="000C740B">
              <w:rPr>
                <w:rFonts w:ascii="Georgia" w:hAnsi="Georgia" w:cs="Arial"/>
                <w:sz w:val="20"/>
                <w:szCs w:val="20"/>
              </w:rPr>
              <w:t xml:space="preserve"> </w:t>
            </w:r>
            <w:r w:rsidRPr="000C740B">
              <w:rPr>
                <w:rFonts w:ascii="Georgia" w:hAnsi="Georgia" w:cs="Arial"/>
                <w:sz w:val="20"/>
                <w:szCs w:val="20"/>
              </w:rPr>
              <w:t>131</w:t>
            </w:r>
          </w:p>
        </w:tc>
        <w:tc>
          <w:tcPr>
            <w:tcW w:w="526" w:type="pct"/>
            <w:hideMark/>
          </w:tcPr>
          <w:p w14:paraId="4A7C3086" w14:textId="77777777" w:rsidR="00583EB1" w:rsidRPr="000C740B" w:rsidRDefault="00583EB1" w:rsidP="00BF610B">
            <w:pPr>
              <w:jc w:val="center"/>
              <w:rPr>
                <w:rFonts w:ascii="Georgia" w:hAnsi="Georgia" w:cs="Arial"/>
                <w:sz w:val="20"/>
                <w:szCs w:val="20"/>
              </w:rPr>
            </w:pPr>
            <w:r w:rsidRPr="000C740B">
              <w:rPr>
                <w:rFonts w:ascii="Georgia" w:hAnsi="Georgia" w:cs="Arial"/>
                <w:sz w:val="20"/>
                <w:szCs w:val="20"/>
              </w:rPr>
              <w:t>12</w:t>
            </w:r>
            <w:r w:rsidR="00BF610B" w:rsidRPr="000C740B">
              <w:rPr>
                <w:rFonts w:ascii="Georgia" w:hAnsi="Georgia" w:cs="Arial"/>
                <w:sz w:val="20"/>
                <w:szCs w:val="20"/>
              </w:rPr>
              <w:t xml:space="preserve"> </w:t>
            </w:r>
            <w:r w:rsidRPr="000C740B">
              <w:rPr>
                <w:rFonts w:ascii="Georgia" w:hAnsi="Georgia" w:cs="Arial"/>
                <w:sz w:val="20"/>
                <w:szCs w:val="20"/>
              </w:rPr>
              <w:t>582</w:t>
            </w:r>
          </w:p>
        </w:tc>
        <w:tc>
          <w:tcPr>
            <w:tcW w:w="595" w:type="pct"/>
            <w:hideMark/>
          </w:tcPr>
          <w:p w14:paraId="195E70BB"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r>
    </w:tbl>
    <w:p w14:paraId="37C677BB" w14:textId="77777777" w:rsidR="00583EB1" w:rsidRDefault="00583EB1" w:rsidP="00583EB1">
      <w:pPr>
        <w:spacing w:after="120"/>
        <w:jc w:val="both"/>
        <w:rPr>
          <w:rFonts w:ascii="Georgia" w:hAnsi="Georgia" w:cs="Arial"/>
          <w:i/>
          <w:sz w:val="20"/>
          <w:szCs w:val="20"/>
          <w:lang w:val="lt-LT"/>
        </w:rPr>
      </w:pPr>
      <w:r w:rsidRPr="008F65CF">
        <w:rPr>
          <w:rFonts w:ascii="Georgia" w:eastAsia="PMingLiU" w:hAnsi="Georgia" w:cs="Times New Roman"/>
          <w:bCs/>
          <w:i/>
          <w:color w:val="A32020"/>
          <w:sz w:val="20"/>
          <w:szCs w:val="18"/>
          <w:lang w:val="lt-LT"/>
        </w:rPr>
        <w:t>Šaltinis: CEB 2008-2013 metų metinės ataskaitos</w:t>
      </w:r>
      <w:r>
        <w:rPr>
          <w:rStyle w:val="Puslapioinaosnuoroda"/>
          <w:rFonts w:ascii="Georgia" w:hAnsi="Georgia" w:cs="Arial"/>
          <w:i/>
          <w:sz w:val="20"/>
          <w:szCs w:val="20"/>
          <w:lang w:val="lt-LT"/>
        </w:rPr>
        <w:footnoteReference w:id="100"/>
      </w:r>
      <w:r>
        <w:rPr>
          <w:rFonts w:ascii="Georgia" w:hAnsi="Georgia" w:cs="Arial"/>
          <w:i/>
          <w:sz w:val="20"/>
          <w:szCs w:val="20"/>
          <w:lang w:val="lt-LT"/>
        </w:rPr>
        <w:t>.</w:t>
      </w:r>
    </w:p>
    <w:p w14:paraId="53EC1D78" w14:textId="77777777" w:rsidR="00583EB1" w:rsidRDefault="00583EB1" w:rsidP="00583EB1">
      <w:pPr>
        <w:spacing w:before="120" w:after="120" w:line="240" w:lineRule="auto"/>
        <w:jc w:val="both"/>
        <w:rPr>
          <w:rFonts w:ascii="Georgia" w:hAnsi="Georgia" w:cs="Arial"/>
          <w:sz w:val="20"/>
          <w:szCs w:val="20"/>
          <w:lang w:val="lt-LT"/>
        </w:rPr>
      </w:pPr>
    </w:p>
    <w:p w14:paraId="24336AF3" w14:textId="77777777" w:rsidR="00583EB1" w:rsidRDefault="00583EB1" w:rsidP="00583EB1">
      <w:pPr>
        <w:spacing w:before="120" w:after="120" w:line="240" w:lineRule="auto"/>
        <w:jc w:val="both"/>
        <w:rPr>
          <w:rFonts w:ascii="Georgia" w:hAnsi="Georgia" w:cs="Arial"/>
          <w:sz w:val="20"/>
          <w:szCs w:val="20"/>
          <w:lang w:val="lt-LT"/>
        </w:rPr>
      </w:pPr>
      <w:r>
        <w:rPr>
          <w:rFonts w:ascii="Georgia" w:hAnsi="Georgia" w:cs="Arial"/>
          <w:sz w:val="20"/>
          <w:szCs w:val="20"/>
          <w:lang w:val="lt-LT"/>
        </w:rPr>
        <w:t>2013 m. pasirašytų sutarčių pasiskirstymas pagal sektorius pateikiamas paveiksle žemiau.</w:t>
      </w:r>
    </w:p>
    <w:p w14:paraId="639AA466" w14:textId="77777777" w:rsidR="00583EB1" w:rsidRDefault="00583EB1" w:rsidP="000C740B">
      <w:pPr>
        <w:spacing w:after="0"/>
        <w:jc w:val="center"/>
        <w:rPr>
          <w:rFonts w:ascii="Georgia" w:hAnsi="Georgia"/>
          <w:sz w:val="20"/>
          <w:szCs w:val="20"/>
          <w:lang w:val="lt-LT"/>
        </w:rPr>
      </w:pPr>
      <w:r w:rsidRPr="00F20D34">
        <w:rPr>
          <w:rFonts w:ascii="Georgia" w:hAnsi="Georgia"/>
          <w:noProof/>
          <w:sz w:val="20"/>
          <w:szCs w:val="20"/>
          <w:lang w:val="lt-LT" w:eastAsia="lt-LT"/>
        </w:rPr>
        <w:drawing>
          <wp:inline distT="0" distB="0" distL="0" distR="0" wp14:anchorId="0D7692B3" wp14:editId="18E694DA">
            <wp:extent cx="3360420" cy="2185035"/>
            <wp:effectExtent l="0" t="0" r="0" b="5715"/>
            <wp:docPr id="4113" name="Paveikslėlis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360420" cy="2185035"/>
                    </a:xfrm>
                    <a:prstGeom prst="rect">
                      <a:avLst/>
                    </a:prstGeom>
                    <a:noFill/>
                    <a:ln>
                      <a:noFill/>
                    </a:ln>
                  </pic:spPr>
                </pic:pic>
              </a:graphicData>
            </a:graphic>
          </wp:inline>
        </w:drawing>
      </w:r>
    </w:p>
    <w:p w14:paraId="3EA1B8C4" w14:textId="187036E7" w:rsidR="00583EB1" w:rsidRPr="007B16A2" w:rsidRDefault="00583EB1" w:rsidP="00583EB1">
      <w:pPr>
        <w:pStyle w:val="Antrat"/>
        <w:spacing w:line="276" w:lineRule="auto"/>
        <w:jc w:val="both"/>
        <w:rPr>
          <w:rFonts w:cs="Arial"/>
          <w:i/>
          <w:szCs w:val="20"/>
          <w:lang w:val="lt-LT"/>
        </w:rPr>
      </w:pPr>
      <w:bookmarkStart w:id="102" w:name="_Toc417378293"/>
      <w:r w:rsidRPr="007B16A2">
        <w:rPr>
          <w:lang w:val="lt-LT"/>
        </w:rPr>
        <w:t xml:space="preserve">Paveikslas </w:t>
      </w:r>
      <w:r w:rsidRPr="007B16A2">
        <w:rPr>
          <w:lang w:val="lt-LT"/>
        </w:rPr>
        <w:fldChar w:fldCharType="begin"/>
      </w:r>
      <w:r w:rsidRPr="007B16A2">
        <w:rPr>
          <w:lang w:val="lt-LT"/>
        </w:rPr>
        <w:instrText xml:space="preserve"> SEQ Paveikslas \* ARABIC </w:instrText>
      </w:r>
      <w:r w:rsidRPr="007B16A2">
        <w:rPr>
          <w:lang w:val="lt-LT"/>
        </w:rPr>
        <w:fldChar w:fldCharType="separate"/>
      </w:r>
      <w:r w:rsidR="00AA3082">
        <w:rPr>
          <w:noProof/>
          <w:lang w:val="lt-LT"/>
        </w:rPr>
        <w:t>16</w:t>
      </w:r>
      <w:r w:rsidRPr="007B16A2">
        <w:rPr>
          <w:lang w:val="lt-LT"/>
        </w:rPr>
        <w:fldChar w:fldCharType="end"/>
      </w:r>
      <w:r w:rsidRPr="007B16A2">
        <w:rPr>
          <w:lang w:val="lt-LT"/>
        </w:rPr>
        <w:t>. 2013 m. pasirašytų sutarčių pasiskirstymas pagal sektorius</w:t>
      </w:r>
      <w:r w:rsidRPr="007B16A2">
        <w:rPr>
          <w:rStyle w:val="Puslapioinaosnuoroda"/>
          <w:lang w:val="lt-LT"/>
        </w:rPr>
        <w:footnoteReference w:id="101"/>
      </w:r>
      <w:bookmarkEnd w:id="102"/>
    </w:p>
    <w:p w14:paraId="5D3A1DA1" w14:textId="77777777" w:rsidR="00583EB1" w:rsidRDefault="00583EB1" w:rsidP="00583EB1">
      <w:pPr>
        <w:pStyle w:val="Pagrindinistekstas"/>
        <w:rPr>
          <w:i/>
          <w:lang w:val="lt-LT"/>
        </w:rPr>
      </w:pPr>
    </w:p>
    <w:p w14:paraId="198F8EF2" w14:textId="77777777" w:rsidR="00583EB1" w:rsidRPr="004110D8" w:rsidRDefault="00583EB1" w:rsidP="000C740B">
      <w:pPr>
        <w:pStyle w:val="Pagrindinistekstas"/>
        <w:keepNext/>
        <w:spacing w:line="276" w:lineRule="auto"/>
        <w:rPr>
          <w:i/>
          <w:lang w:val="lt-LT"/>
        </w:rPr>
      </w:pPr>
      <w:r w:rsidRPr="004110D8">
        <w:rPr>
          <w:i/>
          <w:lang w:val="lt-LT"/>
        </w:rPr>
        <w:lastRenderedPageBreak/>
        <w:t>Energetinio efektyvumo projektų finansavimas</w:t>
      </w:r>
    </w:p>
    <w:p w14:paraId="336B8B25"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 xml:space="preserve">Socialinio būsto srityje CEB finansuoja projektus, kurie susiję su tokio būsto renovacija, atnaujinimu, statyba ir esamų pastatų pritaikymu. Investicijos prisideda prie tvarios aplinkos ir energetinio efektyvumo. Šiame kontekste CEB finansuoja miestų atnaujinimo programas, nukreiptas į socialinius, ekonominius ir aplinkosauginius iššūkius. 2009-2013 m. CEB į socialinio būsto sektorių investavo 1653 mlrd. eurų arba beveik 15 proc. nuo visų paskolų vertės šiuo laikotarpiu. 2013 m. bankas šiame sektoriuje patvirtino paskolų už 300 mln. eurų arba 13 proc. visų projektų, patvirtintų 2013 m. Per 2013 m. buvo išmokėti 243 mln. eurų arba 13 proc. nuo visų išmokėjimų. 2013 m. patvirtintos dvi paskolos: paskolos gavėjas – Vlaamse Maatschappij voor Sociaal wonen (VMSW) (Belgija) (200 mln. eurų), paskolos gavėjas – </w:t>
      </w:r>
      <w:r>
        <w:rPr>
          <w:rFonts w:ascii="Georgia" w:hAnsi="Georgia" w:cs="Arial"/>
          <w:sz w:val="20"/>
          <w:szCs w:val="20"/>
          <w:lang w:val="lt-LT" w:eastAsia="en-GB"/>
        </w:rPr>
        <w:t xml:space="preserve">NRW.Bank (Vokietija) </w:t>
      </w:r>
      <w:r>
        <w:rPr>
          <w:rFonts w:ascii="Georgia" w:hAnsi="Georgia" w:cs="Arial"/>
          <w:sz w:val="20"/>
          <w:szCs w:val="20"/>
          <w:lang w:val="lt-LT"/>
        </w:rPr>
        <w:t>(100 mln. eurų).</w:t>
      </w:r>
    </w:p>
    <w:p w14:paraId="3FC5CAE1"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 xml:space="preserve">Kartu su Europos Komisija ir </w:t>
      </w:r>
      <w:r w:rsidR="008F65CF">
        <w:rPr>
          <w:rFonts w:ascii="Georgia" w:hAnsi="Georgia" w:cs="Arial"/>
          <w:sz w:val="20"/>
          <w:szCs w:val="20"/>
          <w:lang w:val="lt-LT"/>
        </w:rPr>
        <w:t>EIB</w:t>
      </w:r>
      <w:r>
        <w:rPr>
          <w:rFonts w:ascii="Georgia" w:hAnsi="Georgia" w:cs="Arial"/>
          <w:sz w:val="20"/>
          <w:szCs w:val="20"/>
          <w:lang w:val="lt-LT"/>
        </w:rPr>
        <w:t xml:space="preserve"> CEB dalyvauja JESSICA iniciatyvoje, pvz. bankas suteikė dalį finansavimo (140 mln. eurų) pagal JESSICA iniciatyvą įgyvendinamai programai Ispanijoje</w:t>
      </w:r>
      <w:r>
        <w:rPr>
          <w:rStyle w:val="Puslapioinaosnuoroda"/>
          <w:rFonts w:ascii="Georgia" w:hAnsi="Georgia" w:cs="Arial"/>
          <w:sz w:val="20"/>
          <w:szCs w:val="20"/>
          <w:lang w:val="lt-LT"/>
        </w:rPr>
        <w:footnoteReference w:id="102"/>
      </w:r>
      <w:r>
        <w:rPr>
          <w:rFonts w:ascii="Georgia" w:hAnsi="Georgia" w:cs="Arial"/>
          <w:sz w:val="20"/>
          <w:szCs w:val="20"/>
          <w:lang w:val="lt-LT"/>
        </w:rPr>
        <w:t>.</w:t>
      </w:r>
    </w:p>
    <w:p w14:paraId="2204FBAC"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Taip pat bankas, kartu su Europos Komisija, ERPB ir KfW dalyvauja ELENA iniciatyvoje. Banko priemonė CEB-ELENA teikia subsidijas viešojo sektoriaus institucijoms, kurios nori įgyvendinti energetinio efektyvumo ir atsinaujinančių energijos išteklių projektus, tačiau neturi pakankamų institucinių gebėjimų. Finansavimas gali siekti iki 90 proc. tinkamų lėšų. CEB-ELENA remiama Europos Komisijos programos „Pažangi energetika Europai“</w:t>
      </w:r>
      <w:r>
        <w:rPr>
          <w:rStyle w:val="Puslapioinaosnuoroda"/>
          <w:rFonts w:ascii="Georgia" w:hAnsi="Georgia" w:cs="Arial"/>
          <w:sz w:val="20"/>
          <w:szCs w:val="20"/>
          <w:lang w:val="lt-LT"/>
        </w:rPr>
        <w:footnoteReference w:id="103"/>
      </w:r>
      <w:r>
        <w:rPr>
          <w:rFonts w:ascii="Georgia" w:hAnsi="Georgia" w:cs="Arial"/>
          <w:sz w:val="20"/>
          <w:szCs w:val="20"/>
          <w:lang w:val="lt-LT"/>
        </w:rPr>
        <w:t>. Kitaip nei kitos ELENA priemonės, CEB-ELENA finansuoja tik projektus, įgyvendinamus palankių sąlygų neturinčiuose regionuose ar bendruomenėse.</w:t>
      </w:r>
    </w:p>
    <w:p w14:paraId="3437B879"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Viešosios infrastruktūros projektų srityje 2009-2013 m. buvo patvirtinta paskolų už 2790 mln. eurų arba 25 proc. visų paskolų, suteiktų šiuo laikotarpiu. 2013 m. buvo patvirtinta paskolų už 519 mln. eurų (23 proc. visų</w:t>
      </w:r>
      <w:r>
        <w:rPr>
          <w:rFonts w:ascii="Georgia" w:hAnsi="Georgia" w:cs="Arial"/>
          <w:sz w:val="20"/>
          <w:szCs w:val="20"/>
        </w:rPr>
        <w:t xml:space="preserve"> 2013 m. </w:t>
      </w:r>
      <w:r>
        <w:rPr>
          <w:rFonts w:ascii="Georgia" w:hAnsi="Georgia" w:cs="Arial"/>
          <w:sz w:val="20"/>
          <w:szCs w:val="20"/>
          <w:lang w:val="lt-LT"/>
        </w:rPr>
        <w:t>patvirtintų paskolų). 2009-2013 m. viso buvo išmokėta 1778 mln. eurų (20 proc. visų išmokėtų lėšų), o 2013 m. – 361 mln. eurų (20 proc. visų</w:t>
      </w:r>
      <w:r>
        <w:rPr>
          <w:rFonts w:ascii="Georgia" w:hAnsi="Georgia" w:cs="Arial"/>
          <w:sz w:val="20"/>
          <w:szCs w:val="20"/>
        </w:rPr>
        <w:t xml:space="preserve"> 2013 m. </w:t>
      </w:r>
      <w:r>
        <w:rPr>
          <w:rFonts w:ascii="Georgia" w:hAnsi="Georgia" w:cs="Arial"/>
          <w:sz w:val="20"/>
          <w:szCs w:val="20"/>
          <w:lang w:val="lt-LT"/>
        </w:rPr>
        <w:t>išmokėtų  lėšų).</w:t>
      </w:r>
    </w:p>
    <w:p w14:paraId="58ACBC44"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 xml:space="preserve">Administracinės ir teisminės valdžios paslaugų srityje (finansuojamoje pagal viešosios infrastruktūros sritį) finansuojami infrastruktūros statybos ir atnaujinimo projektai (tame tarpe susiję ir su energetiniu efektyvumu), taip pat esamų pastatų pritaikymas viešųjų paslaugų teikimui. Nuo 2009 m. CEB patvirtino šios krypties paskolų už 457 mln. eurų. 2013 m. patvirtinta paskolų už 80 mln. eurų. </w:t>
      </w:r>
    </w:p>
    <w:p w14:paraId="75BF7363" w14:textId="77777777" w:rsidR="00583EB1" w:rsidRPr="00F20D34" w:rsidRDefault="00583EB1" w:rsidP="00583EB1">
      <w:pPr>
        <w:pStyle w:val="Pagrindinistekstas"/>
        <w:spacing w:line="276" w:lineRule="auto"/>
        <w:rPr>
          <w:i/>
          <w:lang w:val="lt-LT"/>
        </w:rPr>
      </w:pPr>
      <w:r w:rsidRPr="00F20D34">
        <w:rPr>
          <w:i/>
          <w:lang w:val="lt-LT"/>
        </w:rPr>
        <w:t>Europos Tarybos vystymo banko veikla Lietuvoje</w:t>
      </w:r>
    </w:p>
    <w:p w14:paraId="4CBA9261"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 xml:space="preserve">Lietuva CEB nare tapo 1996 m. 2010-2013 m. Lietuvoje projektų patvirtinta nebuvo. 2013 m. buvo </w:t>
      </w:r>
      <w:r w:rsidRPr="00AE1412">
        <w:rPr>
          <w:rFonts w:ascii="Georgia" w:hAnsi="Georgia" w:cs="Arial"/>
          <w:sz w:val="20"/>
          <w:szCs w:val="20"/>
          <w:lang w:val="lt-LT"/>
        </w:rPr>
        <w:t>išmokėti 47 mln. eurų pagal 2009 metais patvirtintą finansavimo sutartį. Informacija apie patvirtintų</w:t>
      </w:r>
      <w:r>
        <w:rPr>
          <w:rFonts w:ascii="Georgia" w:hAnsi="Georgia" w:cs="Arial"/>
          <w:sz w:val="20"/>
          <w:szCs w:val="20"/>
          <w:lang w:val="lt-LT"/>
        </w:rPr>
        <w:t xml:space="preserve"> projektų ir išmokėtų lėšų skaičių Lietuvoje 2008-2013 m. pateikiama žemiau esančioje lentelėje .</w:t>
      </w:r>
    </w:p>
    <w:p w14:paraId="2C8E5EFE" w14:textId="4F4E2657" w:rsidR="00583EB1" w:rsidRPr="007B16A2" w:rsidRDefault="00583EB1" w:rsidP="00583EB1">
      <w:pPr>
        <w:pStyle w:val="Antrat"/>
        <w:rPr>
          <w:lang w:val="lt-LT"/>
        </w:rPr>
      </w:pPr>
      <w:bookmarkStart w:id="103" w:name="_Toc460321619"/>
      <w:r w:rsidRPr="007B16A2">
        <w:rPr>
          <w:lang w:val="lt-LT"/>
        </w:rPr>
        <w:t xml:space="preserve">Lentelė </w:t>
      </w:r>
      <w:r w:rsidRPr="007B16A2">
        <w:rPr>
          <w:lang w:val="lt-LT"/>
        </w:rPr>
        <w:fldChar w:fldCharType="begin"/>
      </w:r>
      <w:r w:rsidRPr="007B16A2">
        <w:rPr>
          <w:lang w:val="lt-LT"/>
        </w:rPr>
        <w:instrText xml:space="preserve"> SEQ Lentelė \* ARABIC </w:instrText>
      </w:r>
      <w:r w:rsidRPr="007B16A2">
        <w:rPr>
          <w:lang w:val="lt-LT"/>
        </w:rPr>
        <w:fldChar w:fldCharType="separate"/>
      </w:r>
      <w:r w:rsidR="00AA3082">
        <w:rPr>
          <w:noProof/>
          <w:lang w:val="lt-LT"/>
        </w:rPr>
        <w:t>38</w:t>
      </w:r>
      <w:r w:rsidRPr="007B16A2">
        <w:rPr>
          <w:lang w:val="lt-LT"/>
        </w:rPr>
        <w:fldChar w:fldCharType="end"/>
      </w:r>
      <w:r w:rsidRPr="007B16A2">
        <w:rPr>
          <w:rFonts w:cs="Arial"/>
          <w:b w:val="0"/>
          <w:color w:val="auto"/>
          <w:szCs w:val="20"/>
          <w:lang w:val="lt-LT"/>
        </w:rPr>
        <w:t xml:space="preserve">. </w:t>
      </w:r>
      <w:r w:rsidRPr="007B16A2">
        <w:rPr>
          <w:lang w:val="lt-LT"/>
        </w:rPr>
        <w:t>Patvirtinta projektų ir išmokėta lėšų Lietuvoje 2008-2012 m.</w:t>
      </w:r>
      <w:bookmarkEnd w:id="103"/>
    </w:p>
    <w:tbl>
      <w:tblPr>
        <w:tblStyle w:val="viesussraas2parykinimas1"/>
        <w:tblW w:w="5000" w:type="pct"/>
        <w:tblLook w:val="0420" w:firstRow="1" w:lastRow="0" w:firstColumn="0" w:lastColumn="0" w:noHBand="0" w:noVBand="1"/>
      </w:tblPr>
      <w:tblGrid>
        <w:gridCol w:w="1250"/>
        <w:gridCol w:w="1150"/>
        <w:gridCol w:w="1161"/>
        <w:gridCol w:w="1150"/>
        <w:gridCol w:w="1150"/>
        <w:gridCol w:w="1150"/>
        <w:gridCol w:w="1068"/>
        <w:gridCol w:w="1163"/>
      </w:tblGrid>
      <w:tr w:rsidR="00583EB1" w14:paraId="1C461E2A" w14:textId="77777777" w:rsidTr="000C740B">
        <w:trPr>
          <w:cnfStyle w:val="100000000000" w:firstRow="1" w:lastRow="0" w:firstColumn="0" w:lastColumn="0" w:oddVBand="0" w:evenVBand="0" w:oddHBand="0" w:evenHBand="0" w:firstRowFirstColumn="0" w:firstRowLastColumn="0" w:lastRowFirstColumn="0" w:lastRowLastColumn="0"/>
        </w:trPr>
        <w:tc>
          <w:tcPr>
            <w:tcW w:w="676" w:type="pct"/>
          </w:tcPr>
          <w:p w14:paraId="6CDF0240" w14:textId="77777777" w:rsidR="00583EB1" w:rsidRDefault="00583EB1" w:rsidP="00583EB1">
            <w:pPr>
              <w:jc w:val="center"/>
              <w:rPr>
                <w:rFonts w:ascii="Georgia" w:hAnsi="Georgia" w:cs="Arial"/>
                <w:b w:val="0"/>
                <w:bCs w:val="0"/>
                <w:color w:val="FFFFFF"/>
                <w:sz w:val="20"/>
                <w:szCs w:val="20"/>
              </w:rPr>
            </w:pPr>
          </w:p>
        </w:tc>
        <w:tc>
          <w:tcPr>
            <w:tcW w:w="622" w:type="pct"/>
            <w:hideMark/>
          </w:tcPr>
          <w:p w14:paraId="42663222" w14:textId="77777777"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2008</w:t>
            </w:r>
          </w:p>
        </w:tc>
        <w:tc>
          <w:tcPr>
            <w:tcW w:w="628" w:type="pct"/>
            <w:hideMark/>
          </w:tcPr>
          <w:p w14:paraId="659E16F2" w14:textId="77777777"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2009</w:t>
            </w:r>
          </w:p>
        </w:tc>
        <w:tc>
          <w:tcPr>
            <w:tcW w:w="622" w:type="pct"/>
            <w:hideMark/>
          </w:tcPr>
          <w:p w14:paraId="7CE31E86" w14:textId="77777777"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2010</w:t>
            </w:r>
          </w:p>
        </w:tc>
        <w:tc>
          <w:tcPr>
            <w:tcW w:w="622" w:type="pct"/>
            <w:hideMark/>
          </w:tcPr>
          <w:p w14:paraId="3016E800" w14:textId="77777777"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2011</w:t>
            </w:r>
          </w:p>
        </w:tc>
        <w:tc>
          <w:tcPr>
            <w:tcW w:w="622" w:type="pct"/>
            <w:hideMark/>
          </w:tcPr>
          <w:p w14:paraId="79CF226F" w14:textId="77777777"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2012</w:t>
            </w:r>
          </w:p>
        </w:tc>
        <w:tc>
          <w:tcPr>
            <w:tcW w:w="578" w:type="pct"/>
            <w:hideMark/>
          </w:tcPr>
          <w:p w14:paraId="1A6905BF" w14:textId="77777777"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2013</w:t>
            </w:r>
          </w:p>
        </w:tc>
        <w:tc>
          <w:tcPr>
            <w:tcW w:w="629" w:type="pct"/>
            <w:hideMark/>
          </w:tcPr>
          <w:p w14:paraId="4A0E28F5" w14:textId="77777777" w:rsidR="00583EB1" w:rsidRDefault="00583EB1" w:rsidP="00583EB1">
            <w:pPr>
              <w:jc w:val="center"/>
              <w:rPr>
                <w:rFonts w:ascii="Georgia" w:hAnsi="Georgia" w:cs="Arial"/>
                <w:b w:val="0"/>
                <w:bCs w:val="0"/>
                <w:color w:val="FFFFFF"/>
                <w:sz w:val="20"/>
                <w:szCs w:val="20"/>
              </w:rPr>
            </w:pPr>
            <w:r>
              <w:rPr>
                <w:rFonts w:ascii="Georgia" w:hAnsi="Georgia" w:cs="Arial"/>
                <w:color w:val="FFFFFF"/>
                <w:sz w:val="20"/>
                <w:szCs w:val="20"/>
              </w:rPr>
              <w:t>2008-2013</w:t>
            </w:r>
          </w:p>
        </w:tc>
      </w:tr>
      <w:tr w:rsidR="000C740B" w:rsidRPr="000C740B" w14:paraId="58566BE6" w14:textId="77777777" w:rsidTr="000C740B">
        <w:trPr>
          <w:cnfStyle w:val="000000100000" w:firstRow="0" w:lastRow="0" w:firstColumn="0" w:lastColumn="0" w:oddVBand="0" w:evenVBand="0" w:oddHBand="1" w:evenHBand="0" w:firstRowFirstColumn="0" w:firstRowLastColumn="0" w:lastRowFirstColumn="0" w:lastRowLastColumn="0"/>
        </w:trPr>
        <w:tc>
          <w:tcPr>
            <w:tcW w:w="676" w:type="pct"/>
            <w:hideMark/>
          </w:tcPr>
          <w:p w14:paraId="48FFFEF5" w14:textId="77777777" w:rsidR="00583EB1" w:rsidRPr="000C740B" w:rsidRDefault="00583EB1" w:rsidP="00583EB1">
            <w:pPr>
              <w:rPr>
                <w:rFonts w:ascii="Georgia" w:hAnsi="Georgia" w:cs="Arial"/>
                <w:b/>
                <w:bCs/>
                <w:sz w:val="20"/>
                <w:szCs w:val="20"/>
              </w:rPr>
            </w:pPr>
            <w:r w:rsidRPr="000C740B">
              <w:rPr>
                <w:rFonts w:ascii="Georgia" w:hAnsi="Georgia" w:cs="Arial"/>
                <w:sz w:val="20"/>
                <w:szCs w:val="20"/>
              </w:rPr>
              <w:t>Patvirtinta projektų (mln. EUR)</w:t>
            </w:r>
          </w:p>
        </w:tc>
        <w:tc>
          <w:tcPr>
            <w:tcW w:w="622" w:type="pct"/>
            <w:hideMark/>
          </w:tcPr>
          <w:p w14:paraId="1FE4E4B5"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628" w:type="pct"/>
            <w:hideMark/>
          </w:tcPr>
          <w:p w14:paraId="2B26B638"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130,0</w:t>
            </w:r>
          </w:p>
        </w:tc>
        <w:tc>
          <w:tcPr>
            <w:tcW w:w="622" w:type="pct"/>
            <w:hideMark/>
          </w:tcPr>
          <w:p w14:paraId="07293A3E"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622" w:type="pct"/>
            <w:hideMark/>
          </w:tcPr>
          <w:p w14:paraId="53AC2354"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622" w:type="pct"/>
            <w:hideMark/>
          </w:tcPr>
          <w:p w14:paraId="0DD4404F"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578" w:type="pct"/>
            <w:hideMark/>
          </w:tcPr>
          <w:p w14:paraId="22B3D4AB"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629" w:type="pct"/>
            <w:hideMark/>
          </w:tcPr>
          <w:p w14:paraId="67F25FE9"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130,0</w:t>
            </w:r>
          </w:p>
        </w:tc>
      </w:tr>
      <w:tr w:rsidR="000C740B" w:rsidRPr="000C740B" w14:paraId="00B86875" w14:textId="77777777" w:rsidTr="000C740B">
        <w:tc>
          <w:tcPr>
            <w:tcW w:w="676" w:type="pct"/>
            <w:hideMark/>
          </w:tcPr>
          <w:p w14:paraId="067632DF" w14:textId="77777777" w:rsidR="00583EB1" w:rsidRPr="000C740B" w:rsidRDefault="00583EB1" w:rsidP="00583EB1">
            <w:pPr>
              <w:rPr>
                <w:rFonts w:ascii="Georgia" w:hAnsi="Georgia" w:cs="Arial"/>
                <w:b/>
                <w:bCs/>
                <w:sz w:val="20"/>
                <w:szCs w:val="20"/>
              </w:rPr>
            </w:pPr>
            <w:r w:rsidRPr="000C740B">
              <w:rPr>
                <w:rFonts w:ascii="Georgia" w:hAnsi="Georgia" w:cs="Arial"/>
                <w:sz w:val="20"/>
                <w:szCs w:val="20"/>
              </w:rPr>
              <w:t>Išmokėta lėšų (mln. EUR)</w:t>
            </w:r>
          </w:p>
        </w:tc>
        <w:tc>
          <w:tcPr>
            <w:tcW w:w="622" w:type="pct"/>
            <w:hideMark/>
          </w:tcPr>
          <w:p w14:paraId="7F8A4018"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628" w:type="pct"/>
            <w:hideMark/>
          </w:tcPr>
          <w:p w14:paraId="75C9C390"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28,0</w:t>
            </w:r>
          </w:p>
        </w:tc>
        <w:tc>
          <w:tcPr>
            <w:tcW w:w="622" w:type="pct"/>
            <w:hideMark/>
          </w:tcPr>
          <w:p w14:paraId="58606C6A"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622" w:type="pct"/>
            <w:hideMark/>
          </w:tcPr>
          <w:p w14:paraId="062BF727"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w:t>
            </w:r>
          </w:p>
        </w:tc>
        <w:tc>
          <w:tcPr>
            <w:tcW w:w="622" w:type="pct"/>
            <w:hideMark/>
          </w:tcPr>
          <w:p w14:paraId="5FB54212"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55,0</w:t>
            </w:r>
          </w:p>
        </w:tc>
        <w:tc>
          <w:tcPr>
            <w:tcW w:w="578" w:type="pct"/>
            <w:hideMark/>
          </w:tcPr>
          <w:p w14:paraId="47B4A181" w14:textId="77777777" w:rsidR="00583EB1" w:rsidRPr="000C740B" w:rsidRDefault="00583EB1" w:rsidP="00583EB1">
            <w:pPr>
              <w:jc w:val="center"/>
              <w:rPr>
                <w:rFonts w:ascii="Georgia" w:hAnsi="Georgia" w:cs="Arial"/>
                <w:sz w:val="20"/>
                <w:szCs w:val="20"/>
              </w:rPr>
            </w:pPr>
            <w:r w:rsidRPr="000C740B">
              <w:rPr>
                <w:rFonts w:ascii="Georgia" w:hAnsi="Georgia" w:cs="Arial"/>
                <w:sz w:val="20"/>
                <w:szCs w:val="20"/>
              </w:rPr>
              <w:t>47,0</w:t>
            </w:r>
          </w:p>
        </w:tc>
        <w:tc>
          <w:tcPr>
            <w:tcW w:w="629" w:type="pct"/>
          </w:tcPr>
          <w:p w14:paraId="77A49A17" w14:textId="77777777" w:rsidR="00583EB1" w:rsidRPr="000C740B" w:rsidRDefault="00583EB1" w:rsidP="00583EB1">
            <w:pPr>
              <w:jc w:val="center"/>
              <w:rPr>
                <w:rFonts w:ascii="Georgia" w:hAnsi="Georgia" w:cs="Arial"/>
                <w:sz w:val="20"/>
                <w:szCs w:val="20"/>
              </w:rPr>
            </w:pPr>
          </w:p>
        </w:tc>
      </w:tr>
    </w:tbl>
    <w:p w14:paraId="3D8C0CF9" w14:textId="77777777" w:rsidR="00583EB1" w:rsidRDefault="00583EB1" w:rsidP="00583EB1">
      <w:pPr>
        <w:spacing w:after="120"/>
        <w:jc w:val="both"/>
        <w:rPr>
          <w:rFonts w:ascii="Georgia" w:hAnsi="Georgia" w:cs="Arial"/>
          <w:i/>
          <w:sz w:val="20"/>
          <w:szCs w:val="20"/>
          <w:lang w:val="lt-LT"/>
        </w:rPr>
      </w:pPr>
      <w:r>
        <w:rPr>
          <w:rFonts w:ascii="Georgia" w:hAnsi="Georgia" w:cs="Arial"/>
          <w:i/>
          <w:sz w:val="20"/>
          <w:szCs w:val="20"/>
          <w:lang w:val="lt-LT"/>
        </w:rPr>
        <w:t xml:space="preserve">Šaltinis: CEB </w:t>
      </w:r>
      <w:r>
        <w:rPr>
          <w:rFonts w:ascii="Georgia" w:hAnsi="Georgia" w:cs="Arial"/>
          <w:i/>
          <w:sz w:val="20"/>
          <w:szCs w:val="20"/>
        </w:rPr>
        <w:t>2008-2013</w:t>
      </w:r>
      <w:r>
        <w:rPr>
          <w:rFonts w:ascii="Georgia" w:hAnsi="Georgia" w:cs="Arial"/>
          <w:i/>
          <w:sz w:val="20"/>
          <w:szCs w:val="20"/>
          <w:lang w:val="lt-LT"/>
        </w:rPr>
        <w:t xml:space="preserve"> metų metinių finansinių ataskaitų duomenys</w:t>
      </w:r>
      <w:r>
        <w:rPr>
          <w:rStyle w:val="Puslapioinaosnuoroda"/>
          <w:rFonts w:ascii="Georgia" w:hAnsi="Georgia" w:cs="Arial"/>
          <w:i/>
          <w:sz w:val="20"/>
          <w:szCs w:val="20"/>
          <w:lang w:val="lt-LT"/>
        </w:rPr>
        <w:footnoteReference w:id="104"/>
      </w:r>
      <w:r>
        <w:rPr>
          <w:rFonts w:ascii="Georgia" w:hAnsi="Georgia" w:cs="Arial"/>
          <w:i/>
          <w:sz w:val="20"/>
          <w:szCs w:val="20"/>
          <w:lang w:val="lt-LT"/>
        </w:rPr>
        <w:t>.</w:t>
      </w:r>
    </w:p>
    <w:p w14:paraId="40DA7656"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lastRenderedPageBreak/>
        <w:t>2009 m. Lietuvos Respublikos finansų ministerija pasirašė sutartį su CEB dėl ilgalaikės 130 mln. eurų paskolos (paskolos grąžinimo laikotarpis – 15 metų) Lietuvai, skirtos bendra</w:t>
      </w:r>
      <w:r w:rsidR="008F65CF">
        <w:rPr>
          <w:rFonts w:ascii="Georgia" w:hAnsi="Georgia" w:cs="Arial"/>
          <w:sz w:val="20"/>
          <w:szCs w:val="20"/>
          <w:lang w:val="lt-LT"/>
        </w:rPr>
        <w:t xml:space="preserve">i </w:t>
      </w:r>
      <w:r>
        <w:rPr>
          <w:rFonts w:ascii="Georgia" w:hAnsi="Georgia" w:cs="Arial"/>
          <w:sz w:val="20"/>
          <w:szCs w:val="20"/>
          <w:lang w:val="lt-LT"/>
        </w:rPr>
        <w:t>finansuoti valstybės investicijas į socialinės infrastruktūros plėtros projektus. Paskola teikiama dalimis, kiekvieną kartą bankui nustatant konkrečią palūkanų normą. 2009 m. buvo pasiskolinta 28 mln. eurų, už šią sumą mokant 4,7 proc. palūkanų</w:t>
      </w:r>
      <w:r>
        <w:rPr>
          <w:rFonts w:ascii="Georgia" w:hAnsi="Georgia" w:cs="Arial"/>
          <w:sz w:val="20"/>
          <w:szCs w:val="20"/>
          <w:vertAlign w:val="superscript"/>
          <w:lang w:val="lt-LT"/>
        </w:rPr>
        <w:footnoteReference w:id="105"/>
      </w:r>
      <w:r>
        <w:rPr>
          <w:rFonts w:ascii="Georgia" w:hAnsi="Georgia" w:cs="Arial"/>
          <w:sz w:val="20"/>
          <w:szCs w:val="20"/>
          <w:lang w:val="lt-LT"/>
        </w:rPr>
        <w:t>.</w:t>
      </w:r>
    </w:p>
    <w:p w14:paraId="17FAAA4B"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2009 m. CEB kartu su Lietuvos Respublikos Vyriausybe patvirtino programą (74 mln. eurų), skirtą investicijoms į viešąją infrastruktūrą per Lietuvos nacionalinę investicijų programą 2009-2011 m. Taip pat CEB kartu su Lietuvos Respublikos Vyriausybe patvirtino 33 mln. eurų programą, skirtą mokyklų pastatų atnaujinimui, įskaitant ir mokyklinių autobusų įsigijimą.</w:t>
      </w:r>
    </w:p>
    <w:p w14:paraId="0663CC0D"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 xml:space="preserve">2009 m. </w:t>
      </w:r>
      <w:r w:rsidR="008F65CF">
        <w:rPr>
          <w:rFonts w:ascii="Georgia" w:hAnsi="Georgia" w:cs="Arial"/>
          <w:sz w:val="20"/>
          <w:szCs w:val="20"/>
          <w:lang w:val="lt-LT"/>
        </w:rPr>
        <w:t xml:space="preserve">Estijai, Latvijai ir Lietuvai </w:t>
      </w:r>
      <w:r>
        <w:rPr>
          <w:rFonts w:ascii="Georgia" w:hAnsi="Georgia" w:cs="Arial"/>
          <w:sz w:val="20"/>
          <w:szCs w:val="20"/>
          <w:lang w:val="lt-LT"/>
        </w:rPr>
        <w:t>buvo patvirtinta nauja programa (10 mln. eurų)</w:t>
      </w:r>
      <w:r w:rsidR="008F65CF">
        <w:rPr>
          <w:rFonts w:ascii="Georgia" w:hAnsi="Georgia" w:cs="Arial"/>
          <w:sz w:val="20"/>
          <w:szCs w:val="20"/>
          <w:lang w:val="lt-LT"/>
        </w:rPr>
        <w:t>,</w:t>
      </w:r>
      <w:r>
        <w:rPr>
          <w:rFonts w:ascii="Georgia" w:hAnsi="Georgia" w:cs="Arial"/>
          <w:sz w:val="20"/>
          <w:szCs w:val="20"/>
          <w:lang w:val="lt-LT"/>
        </w:rPr>
        <w:t xml:space="preserve"> skir</w:t>
      </w:r>
      <w:r w:rsidR="008F65CF">
        <w:rPr>
          <w:rFonts w:ascii="Georgia" w:hAnsi="Georgia" w:cs="Arial"/>
          <w:sz w:val="20"/>
          <w:szCs w:val="20"/>
          <w:lang w:val="lt-LT"/>
        </w:rPr>
        <w:t>s</w:t>
      </w:r>
      <w:r>
        <w:rPr>
          <w:rFonts w:ascii="Georgia" w:hAnsi="Georgia" w:cs="Arial"/>
          <w:sz w:val="20"/>
          <w:szCs w:val="20"/>
          <w:lang w:val="lt-LT"/>
        </w:rPr>
        <w:t>toma per skandinavišką Enskilda Banken Group AB (SEB) (Švedija), skirta atliekų surinkimo ir tvarkymo, nuotekų šalinimo tinklų modernizavimo ir energetinio efektyvumo gyvenamuosiuose namuose projektams, bei 5 mln. eurų programa viešųjų paslaugų pastatų atnaujinimui ir greitosios pagalbos ir policijos mašinų įsigijimui.</w:t>
      </w:r>
    </w:p>
    <w:p w14:paraId="3D97C92B" w14:textId="77777777" w:rsidR="00583EB1" w:rsidRPr="00ED1C74" w:rsidRDefault="00583EB1" w:rsidP="00583EB1">
      <w:pPr>
        <w:pStyle w:val="Pagrindinistekstas"/>
        <w:spacing w:line="276" w:lineRule="auto"/>
        <w:rPr>
          <w:i/>
          <w:lang w:val="lt-LT"/>
        </w:rPr>
      </w:pPr>
      <w:r w:rsidRPr="00ED1C74">
        <w:rPr>
          <w:i/>
          <w:lang w:val="lt-LT"/>
        </w:rPr>
        <w:t>Produktai</w:t>
      </w:r>
    </w:p>
    <w:p w14:paraId="030D442D" w14:textId="77777777" w:rsidR="00583EB1" w:rsidRDefault="00583EB1" w:rsidP="00583EB1">
      <w:pPr>
        <w:autoSpaceDE w:val="0"/>
        <w:autoSpaceDN w:val="0"/>
        <w:adjustRightInd w:val="0"/>
        <w:spacing w:after="120"/>
        <w:jc w:val="both"/>
        <w:rPr>
          <w:rFonts w:ascii="Georgia" w:hAnsi="Georgia" w:cs="Arial"/>
          <w:sz w:val="20"/>
          <w:szCs w:val="20"/>
          <w:lang w:val="lt-LT"/>
        </w:rPr>
      </w:pPr>
      <w:r>
        <w:rPr>
          <w:rFonts w:ascii="Georgia" w:hAnsi="Georgia" w:cs="Arial"/>
          <w:sz w:val="20"/>
          <w:szCs w:val="20"/>
          <w:lang w:val="lt-LT"/>
        </w:rPr>
        <w:t xml:space="preserve">Bankas savo klientams siūlo ilgalaikes paskolas ir garantijas, taip pat įnašus iš patikos sąskaitų, kuriais finansuoja projekto įgyvendinimą. </w:t>
      </w:r>
    </w:p>
    <w:p w14:paraId="2EFD25C0" w14:textId="77777777" w:rsidR="00583EB1" w:rsidRPr="00ED1C74" w:rsidRDefault="00583EB1" w:rsidP="00583EB1">
      <w:pPr>
        <w:pStyle w:val="Pagrindinistekstas"/>
        <w:spacing w:line="276" w:lineRule="auto"/>
        <w:rPr>
          <w:i/>
          <w:lang w:val="lt-LT"/>
        </w:rPr>
      </w:pPr>
      <w:r w:rsidRPr="00ED1C74">
        <w:rPr>
          <w:i/>
          <w:lang w:val="lt-LT"/>
        </w:rPr>
        <w:t>Paskolos</w:t>
      </w:r>
    </w:p>
    <w:p w14:paraId="409E0175" w14:textId="77777777" w:rsidR="00583EB1" w:rsidRDefault="00583EB1" w:rsidP="00583EB1">
      <w:pPr>
        <w:autoSpaceDE w:val="0"/>
        <w:autoSpaceDN w:val="0"/>
        <w:adjustRightInd w:val="0"/>
        <w:spacing w:after="120"/>
        <w:jc w:val="both"/>
        <w:rPr>
          <w:rFonts w:ascii="Georgia" w:hAnsi="Georgia" w:cs="Arial"/>
          <w:sz w:val="20"/>
          <w:szCs w:val="20"/>
          <w:lang w:val="lt-LT"/>
        </w:rPr>
      </w:pPr>
      <w:r>
        <w:rPr>
          <w:rFonts w:ascii="Georgia" w:hAnsi="Georgia" w:cs="Arial"/>
          <w:sz w:val="20"/>
          <w:szCs w:val="20"/>
          <w:lang w:val="lt-LT"/>
        </w:rPr>
        <w:t>Pagrindinė banko veikla yra paskolos. CEB gali finansuoti individualius projektus arba paskolų programas, kurios gali apimti vieną arba keletą sektorių. Paskolos gali būti suteikiamos banko narėms, bet kokiam juridiniam asmeniui, patvirtintam konkrečios valstybės narės, kuri taip pat laiduoja už skolą, bet kokiam juridiniam asmeniui, patvirtintam banko narės, jei banko Administracinė taryba patvirtina, jog paskola turi tinkamas garantijas.</w:t>
      </w:r>
    </w:p>
    <w:p w14:paraId="08AAB3A8" w14:textId="77777777" w:rsidR="000C740B" w:rsidRDefault="000C740B" w:rsidP="00583EB1">
      <w:pPr>
        <w:pStyle w:val="Antrat"/>
        <w:rPr>
          <w:lang w:val="lt-LT"/>
        </w:rPr>
      </w:pPr>
    </w:p>
    <w:p w14:paraId="17BAF8D1" w14:textId="7A04ECDC" w:rsidR="00583EB1" w:rsidRPr="007B16A2" w:rsidRDefault="00583EB1" w:rsidP="00583EB1">
      <w:pPr>
        <w:pStyle w:val="Antrat"/>
        <w:rPr>
          <w:rFonts w:cs="Arial"/>
          <w:szCs w:val="20"/>
          <w:lang w:val="lt-LT"/>
        </w:rPr>
      </w:pPr>
      <w:bookmarkStart w:id="104" w:name="_Toc460321620"/>
      <w:r w:rsidRPr="007B16A2">
        <w:rPr>
          <w:lang w:val="lt-LT"/>
        </w:rPr>
        <w:t xml:space="preserve">Lentelė </w:t>
      </w:r>
      <w:r w:rsidRPr="007B16A2">
        <w:rPr>
          <w:lang w:val="lt-LT"/>
        </w:rPr>
        <w:fldChar w:fldCharType="begin"/>
      </w:r>
      <w:r w:rsidRPr="007B16A2">
        <w:rPr>
          <w:lang w:val="lt-LT"/>
        </w:rPr>
        <w:instrText xml:space="preserve"> SEQ Lentelė \* ARABIC </w:instrText>
      </w:r>
      <w:r w:rsidRPr="007B16A2">
        <w:rPr>
          <w:lang w:val="lt-LT"/>
        </w:rPr>
        <w:fldChar w:fldCharType="separate"/>
      </w:r>
      <w:r w:rsidR="00AA3082">
        <w:rPr>
          <w:noProof/>
          <w:lang w:val="lt-LT"/>
        </w:rPr>
        <w:t>39</w:t>
      </w:r>
      <w:r w:rsidRPr="007B16A2">
        <w:rPr>
          <w:lang w:val="lt-LT"/>
        </w:rPr>
        <w:fldChar w:fldCharType="end"/>
      </w:r>
      <w:r w:rsidRPr="007B16A2">
        <w:rPr>
          <w:lang w:val="lt-LT"/>
        </w:rPr>
        <w:t>. CEB siūlomų finansinių produktų sąlygos.</w:t>
      </w:r>
      <w:bookmarkEnd w:id="104"/>
      <w:r w:rsidRPr="007B16A2">
        <w:rPr>
          <w:lang w:val="lt-LT"/>
        </w:rPr>
        <w:t xml:space="preserve"> </w:t>
      </w:r>
    </w:p>
    <w:tbl>
      <w:tblPr>
        <w:tblStyle w:val="3vidutinistinklelis2parykinimas"/>
        <w:tblW w:w="5000" w:type="pct"/>
        <w:tblLook w:val="04A0" w:firstRow="1" w:lastRow="0" w:firstColumn="1" w:lastColumn="0" w:noHBand="0" w:noVBand="1"/>
      </w:tblPr>
      <w:tblGrid>
        <w:gridCol w:w="2451"/>
        <w:gridCol w:w="6791"/>
      </w:tblGrid>
      <w:tr w:rsidR="00583EB1" w14:paraId="3A06D8B0" w14:textId="77777777" w:rsidTr="000C74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7AE83A05" w14:textId="77777777" w:rsidR="00583EB1" w:rsidRDefault="00583EB1" w:rsidP="00583EB1">
            <w:pPr>
              <w:keepNext/>
              <w:jc w:val="center"/>
              <w:rPr>
                <w:rFonts w:ascii="Georgia" w:hAnsi="Georgia" w:cs="Arial"/>
                <w:bCs w:val="0"/>
                <w:color w:val="FFFFFF"/>
                <w:sz w:val="20"/>
                <w:szCs w:val="20"/>
                <w:lang w:val="lt-LT"/>
              </w:rPr>
            </w:pPr>
            <w:r>
              <w:rPr>
                <w:rFonts w:ascii="Georgia" w:hAnsi="Georgia" w:cs="Arial"/>
                <w:color w:val="FFFFFF"/>
                <w:sz w:val="20"/>
                <w:szCs w:val="20"/>
                <w:lang w:val="lt-LT"/>
              </w:rPr>
              <w:t>Paskolos sąlygos</w:t>
            </w:r>
          </w:p>
        </w:tc>
      </w:tr>
      <w:tr w:rsidR="00583EB1" w14:paraId="4770A79F" w14:textId="77777777" w:rsidTr="000C7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hideMark/>
          </w:tcPr>
          <w:p w14:paraId="33B3AFFB" w14:textId="77777777" w:rsidR="00583EB1" w:rsidRDefault="00583EB1" w:rsidP="00583EB1">
            <w:pPr>
              <w:keepNext/>
              <w:jc w:val="both"/>
              <w:rPr>
                <w:rFonts w:ascii="Georgia" w:hAnsi="Georgia" w:cs="Arial"/>
                <w:b w:val="0"/>
                <w:bCs w:val="0"/>
                <w:color w:val="FFFFFF"/>
                <w:sz w:val="20"/>
                <w:szCs w:val="20"/>
                <w:lang w:val="lt-LT"/>
              </w:rPr>
            </w:pPr>
            <w:r>
              <w:rPr>
                <w:rFonts w:ascii="Georgia" w:hAnsi="Georgia" w:cs="Arial"/>
                <w:color w:val="FFFFFF"/>
                <w:sz w:val="20"/>
                <w:szCs w:val="20"/>
                <w:lang w:val="lt-LT"/>
              </w:rPr>
              <w:t>Tikslinė grupė</w:t>
            </w:r>
          </w:p>
        </w:tc>
        <w:tc>
          <w:tcPr>
            <w:tcW w:w="3674" w:type="pct"/>
            <w:hideMark/>
          </w:tcPr>
          <w:p w14:paraId="0F72F412" w14:textId="77777777" w:rsidR="00583EB1" w:rsidRDefault="00583EB1" w:rsidP="00C03122">
            <w:pPr>
              <w:keepNext/>
              <w:numPr>
                <w:ilvl w:val="0"/>
                <w:numId w:val="30"/>
              </w:numPr>
              <w:ind w:left="175" w:hanging="141"/>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vyriausybės, vietos ir regionų valdžios institucijos, privačios ar valstybinės finansų įstaigos;</w:t>
            </w:r>
          </w:p>
          <w:p w14:paraId="480A1FBE" w14:textId="77777777" w:rsidR="00583EB1" w:rsidRDefault="00583EB1" w:rsidP="00C03122">
            <w:pPr>
              <w:keepNext/>
              <w:numPr>
                <w:ilvl w:val="0"/>
                <w:numId w:val="30"/>
              </w:numPr>
              <w:ind w:left="175" w:hanging="141"/>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bankas tiesiogiai nefinansuoja fizinių asmenų.</w:t>
            </w:r>
          </w:p>
        </w:tc>
      </w:tr>
      <w:tr w:rsidR="00583EB1" w14:paraId="4491F593" w14:textId="77777777" w:rsidTr="000C740B">
        <w:tc>
          <w:tcPr>
            <w:cnfStyle w:val="001000000000" w:firstRow="0" w:lastRow="0" w:firstColumn="1" w:lastColumn="0" w:oddVBand="0" w:evenVBand="0" w:oddHBand="0" w:evenHBand="0" w:firstRowFirstColumn="0" w:firstRowLastColumn="0" w:lastRowFirstColumn="0" w:lastRowLastColumn="0"/>
            <w:tcW w:w="1326" w:type="pct"/>
            <w:tcBorders>
              <w:top w:val="single" w:sz="6" w:space="0" w:color="FFFFFF" w:themeColor="background1"/>
            </w:tcBorders>
            <w:hideMark/>
          </w:tcPr>
          <w:p w14:paraId="47DB524E" w14:textId="77777777" w:rsidR="00583EB1" w:rsidRDefault="00583EB1" w:rsidP="00583EB1">
            <w:pPr>
              <w:jc w:val="both"/>
              <w:rPr>
                <w:rFonts w:ascii="Georgia" w:hAnsi="Georgia" w:cs="Arial"/>
                <w:b w:val="0"/>
                <w:bCs w:val="0"/>
                <w:color w:val="FFFFFF"/>
                <w:sz w:val="20"/>
                <w:szCs w:val="20"/>
                <w:lang w:val="lt-LT"/>
              </w:rPr>
            </w:pPr>
            <w:r>
              <w:rPr>
                <w:rFonts w:ascii="Georgia" w:hAnsi="Georgia" w:cs="Arial"/>
                <w:color w:val="FFFFFF"/>
                <w:sz w:val="20"/>
                <w:szCs w:val="20"/>
                <w:lang w:val="lt-LT"/>
              </w:rPr>
              <w:t>Dydis</w:t>
            </w:r>
          </w:p>
        </w:tc>
        <w:tc>
          <w:tcPr>
            <w:tcW w:w="3674"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14:paraId="43F1687B" w14:textId="77777777" w:rsidR="00583EB1" w:rsidRDefault="00583EB1" w:rsidP="00C03122">
            <w:pPr>
              <w:numPr>
                <w:ilvl w:val="0"/>
                <w:numId w:val="29"/>
              </w:numPr>
              <w:ind w:left="175" w:hanging="141"/>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paprastai CEB finansavimas neviršija 50 proc. visų tinkamų projekto išlaidų;</w:t>
            </w:r>
          </w:p>
          <w:p w14:paraId="1F4210F9" w14:textId="77777777" w:rsidR="00583EB1" w:rsidRDefault="00583EB1" w:rsidP="00C03122">
            <w:pPr>
              <w:numPr>
                <w:ilvl w:val="0"/>
                <w:numId w:val="29"/>
              </w:numPr>
              <w:ind w:left="175" w:hanging="141"/>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išskirtiniais atvejais finansavimas gali siekti iki 90 proc., ypač tikslinėse valstybėse.</w:t>
            </w:r>
          </w:p>
        </w:tc>
      </w:tr>
      <w:tr w:rsidR="00583EB1" w14:paraId="48D2EFF0" w14:textId="77777777" w:rsidTr="000C7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hideMark/>
          </w:tcPr>
          <w:p w14:paraId="2E86EF6E" w14:textId="77777777" w:rsidR="00583EB1" w:rsidRDefault="00583EB1" w:rsidP="00583EB1">
            <w:pPr>
              <w:jc w:val="both"/>
              <w:rPr>
                <w:rFonts w:ascii="Georgia" w:hAnsi="Georgia" w:cs="Arial"/>
                <w:b w:val="0"/>
                <w:bCs w:val="0"/>
                <w:color w:val="FFFFFF"/>
                <w:sz w:val="20"/>
                <w:szCs w:val="20"/>
                <w:lang w:val="lt-LT"/>
              </w:rPr>
            </w:pPr>
            <w:r>
              <w:rPr>
                <w:rFonts w:ascii="Georgia" w:hAnsi="Georgia" w:cs="Arial"/>
                <w:color w:val="FFFFFF"/>
                <w:sz w:val="20"/>
                <w:szCs w:val="20"/>
                <w:lang w:val="lt-LT"/>
              </w:rPr>
              <w:t>Palūkanų norma</w:t>
            </w:r>
          </w:p>
        </w:tc>
        <w:tc>
          <w:tcPr>
            <w:tcW w:w="3674" w:type="pct"/>
            <w:hideMark/>
          </w:tcPr>
          <w:p w14:paraId="099C1F70" w14:textId="77777777" w:rsidR="00583EB1" w:rsidRDefault="00583EB1" w:rsidP="00C03122">
            <w:pPr>
              <w:numPr>
                <w:ilvl w:val="0"/>
                <w:numId w:val="28"/>
              </w:numPr>
              <w:ind w:left="175" w:hanging="175"/>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CEB pritraukia lėšas geriausiomis sąlygomis, tuo metu esančiomis kapitalo rinkose. Šios sąlygos perduodamos skolininkams, taikant mažiausią galimą maržą, į kurią taip pat įeina banko veiklos išlaidos;</w:t>
            </w:r>
          </w:p>
          <w:p w14:paraId="456EC24F" w14:textId="77777777" w:rsidR="00583EB1" w:rsidRDefault="00583EB1" w:rsidP="00C03122">
            <w:pPr>
              <w:numPr>
                <w:ilvl w:val="0"/>
                <w:numId w:val="28"/>
              </w:numPr>
              <w:ind w:left="175" w:hanging="175"/>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bankas neteikia subsidijų;</w:t>
            </w:r>
          </w:p>
          <w:p w14:paraId="45213A7F" w14:textId="77777777" w:rsidR="00583EB1" w:rsidRDefault="00583EB1" w:rsidP="00C03122">
            <w:pPr>
              <w:numPr>
                <w:ilvl w:val="0"/>
                <w:numId w:val="28"/>
              </w:numPr>
              <w:ind w:left="175" w:hanging="175"/>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fiksuota arba kintanti palūkanų norma;</w:t>
            </w:r>
          </w:p>
          <w:p w14:paraId="26CE0643" w14:textId="77777777" w:rsidR="00583EB1" w:rsidRDefault="00583EB1" w:rsidP="00C03122">
            <w:pPr>
              <w:numPr>
                <w:ilvl w:val="0"/>
                <w:numId w:val="28"/>
              </w:numPr>
              <w:ind w:left="175" w:hanging="175"/>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išskirtiniais atvejais paskola gali būti derinama su palūkanų normos subsidijomis.</w:t>
            </w:r>
          </w:p>
        </w:tc>
      </w:tr>
      <w:tr w:rsidR="00583EB1" w14:paraId="692F59D5" w14:textId="77777777" w:rsidTr="000C740B">
        <w:tc>
          <w:tcPr>
            <w:cnfStyle w:val="001000000000" w:firstRow="0" w:lastRow="0" w:firstColumn="1" w:lastColumn="0" w:oddVBand="0" w:evenVBand="0" w:oddHBand="0" w:evenHBand="0" w:firstRowFirstColumn="0" w:firstRowLastColumn="0" w:lastRowFirstColumn="0" w:lastRowLastColumn="0"/>
            <w:tcW w:w="1326" w:type="pct"/>
            <w:tcBorders>
              <w:top w:val="single" w:sz="6" w:space="0" w:color="FFFFFF" w:themeColor="background1"/>
            </w:tcBorders>
            <w:hideMark/>
          </w:tcPr>
          <w:p w14:paraId="5F4B9B7C" w14:textId="77777777" w:rsidR="00583EB1" w:rsidRDefault="00583EB1" w:rsidP="00583EB1">
            <w:pPr>
              <w:jc w:val="both"/>
              <w:rPr>
                <w:rFonts w:ascii="Georgia" w:hAnsi="Georgia" w:cs="Arial"/>
                <w:b w:val="0"/>
                <w:bCs w:val="0"/>
                <w:color w:val="FFFFFF"/>
                <w:sz w:val="20"/>
                <w:szCs w:val="20"/>
                <w:lang w:val="lt-LT"/>
              </w:rPr>
            </w:pPr>
            <w:r>
              <w:rPr>
                <w:rFonts w:ascii="Georgia" w:hAnsi="Georgia" w:cs="Arial"/>
                <w:color w:val="FFFFFF"/>
                <w:sz w:val="20"/>
                <w:szCs w:val="20"/>
                <w:lang w:val="lt-LT"/>
              </w:rPr>
              <w:t>Valiuta</w:t>
            </w:r>
          </w:p>
        </w:tc>
        <w:tc>
          <w:tcPr>
            <w:tcW w:w="3674"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14:paraId="7298C0F5" w14:textId="77777777" w:rsidR="00583EB1" w:rsidRDefault="00583EB1" w:rsidP="00C03122">
            <w:pPr>
              <w:numPr>
                <w:ilvl w:val="0"/>
                <w:numId w:val="28"/>
              </w:numPr>
              <w:ind w:left="175" w:hanging="175"/>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paprastai paskolos išduodamos eurais, tačiau, priklausomai nuo konkrečių aplinkybių, gali būti išduodamos ir kita valiuta.</w:t>
            </w:r>
          </w:p>
        </w:tc>
      </w:tr>
      <w:tr w:rsidR="00583EB1" w14:paraId="1756920B" w14:textId="77777777" w:rsidTr="000C7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hideMark/>
          </w:tcPr>
          <w:p w14:paraId="589630B2" w14:textId="77777777" w:rsidR="00583EB1" w:rsidRDefault="00583EB1" w:rsidP="00583EB1">
            <w:pPr>
              <w:autoSpaceDE w:val="0"/>
              <w:autoSpaceDN w:val="0"/>
              <w:adjustRightInd w:val="0"/>
              <w:rPr>
                <w:rFonts w:ascii="Georgia" w:hAnsi="Georgia" w:cs="Arial"/>
                <w:b w:val="0"/>
                <w:bCs w:val="0"/>
                <w:color w:val="FFFFFF"/>
                <w:sz w:val="20"/>
                <w:szCs w:val="20"/>
                <w:lang w:val="lt-LT"/>
              </w:rPr>
            </w:pPr>
            <w:r>
              <w:rPr>
                <w:rFonts w:ascii="Georgia" w:hAnsi="Georgia" w:cs="Arial"/>
                <w:color w:val="FFFFFF"/>
                <w:sz w:val="20"/>
                <w:szCs w:val="20"/>
                <w:lang w:val="lt-LT"/>
              </w:rPr>
              <w:t>Atidėjimo laikotarpis, mokėjimų pradžia</w:t>
            </w:r>
          </w:p>
        </w:tc>
        <w:tc>
          <w:tcPr>
            <w:tcW w:w="3674" w:type="pct"/>
            <w:hideMark/>
          </w:tcPr>
          <w:p w14:paraId="14D70139" w14:textId="77777777" w:rsidR="00583EB1" w:rsidRDefault="00583EB1" w:rsidP="00C03122">
            <w:pPr>
              <w:numPr>
                <w:ilvl w:val="0"/>
                <w:numId w:val="28"/>
              </w:numPr>
              <w:autoSpaceDE w:val="0"/>
              <w:autoSpaceDN w:val="0"/>
              <w:adjustRightInd w:val="0"/>
              <w:ind w:left="175" w:hanging="175"/>
              <w:contextualSpacing/>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analizuojama konkretaus projekto atveju.</w:t>
            </w:r>
          </w:p>
        </w:tc>
      </w:tr>
      <w:tr w:rsidR="00583EB1" w14:paraId="3EE8A11E" w14:textId="77777777" w:rsidTr="000C740B">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FFFFFF" w:themeColor="background1"/>
            </w:tcBorders>
            <w:hideMark/>
          </w:tcPr>
          <w:p w14:paraId="6F2D7B85" w14:textId="77777777" w:rsidR="00583EB1" w:rsidRDefault="00583EB1" w:rsidP="00583EB1">
            <w:pPr>
              <w:jc w:val="center"/>
              <w:rPr>
                <w:rFonts w:ascii="Georgia" w:hAnsi="Georgia" w:cs="Arial"/>
                <w:bCs w:val="0"/>
                <w:color w:val="FFFFFF"/>
                <w:sz w:val="20"/>
                <w:szCs w:val="20"/>
                <w:lang w:val="lt-LT"/>
              </w:rPr>
            </w:pPr>
            <w:r>
              <w:rPr>
                <w:rFonts w:ascii="Georgia" w:hAnsi="Georgia" w:cs="Arial"/>
                <w:color w:val="FFFFFF"/>
                <w:sz w:val="20"/>
                <w:szCs w:val="20"/>
                <w:lang w:val="lt-LT"/>
              </w:rPr>
              <w:t>Kitos paskolos sąlygos</w:t>
            </w:r>
          </w:p>
        </w:tc>
      </w:tr>
      <w:tr w:rsidR="00583EB1" w14:paraId="68FCAAF8" w14:textId="77777777" w:rsidTr="000C7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hideMark/>
          </w:tcPr>
          <w:p w14:paraId="7D79C2DA" w14:textId="77777777" w:rsidR="00583EB1" w:rsidRDefault="00583EB1" w:rsidP="00583EB1">
            <w:pPr>
              <w:jc w:val="both"/>
              <w:rPr>
                <w:rFonts w:ascii="Georgia" w:hAnsi="Georgia" w:cs="Arial"/>
                <w:b w:val="0"/>
                <w:bCs w:val="0"/>
                <w:color w:val="FFFFFF"/>
                <w:sz w:val="20"/>
                <w:szCs w:val="20"/>
                <w:lang w:val="lt-LT"/>
              </w:rPr>
            </w:pPr>
            <w:r>
              <w:rPr>
                <w:rFonts w:ascii="Georgia" w:hAnsi="Georgia" w:cs="Arial"/>
                <w:color w:val="FFFFFF"/>
                <w:sz w:val="20"/>
                <w:szCs w:val="20"/>
                <w:lang w:val="lt-LT"/>
              </w:rPr>
              <w:t>Techninė parama</w:t>
            </w:r>
          </w:p>
        </w:tc>
        <w:tc>
          <w:tcPr>
            <w:tcW w:w="3674" w:type="pct"/>
            <w:hideMark/>
          </w:tcPr>
          <w:p w14:paraId="433525EC" w14:textId="77777777" w:rsidR="00583EB1" w:rsidRDefault="00583EB1" w:rsidP="00C03122">
            <w:pPr>
              <w:numPr>
                <w:ilvl w:val="0"/>
                <w:numId w:val="28"/>
              </w:numPr>
              <w:tabs>
                <w:tab w:val="left" w:pos="175"/>
              </w:tabs>
              <w:ind w:hanging="720"/>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projektui gali būti teikiama techninė parama.</w:t>
            </w:r>
          </w:p>
        </w:tc>
      </w:tr>
      <w:tr w:rsidR="00583EB1" w14:paraId="058264F7" w14:textId="77777777" w:rsidTr="000C740B">
        <w:tc>
          <w:tcPr>
            <w:cnfStyle w:val="001000000000" w:firstRow="0" w:lastRow="0" w:firstColumn="1" w:lastColumn="0" w:oddVBand="0" w:evenVBand="0" w:oddHBand="0" w:evenHBand="0" w:firstRowFirstColumn="0" w:firstRowLastColumn="0" w:lastRowFirstColumn="0" w:lastRowLastColumn="0"/>
            <w:tcW w:w="1326" w:type="pct"/>
            <w:tcBorders>
              <w:top w:val="single" w:sz="6" w:space="0" w:color="FFFFFF" w:themeColor="background1"/>
            </w:tcBorders>
            <w:hideMark/>
          </w:tcPr>
          <w:p w14:paraId="4037DCF0" w14:textId="77777777" w:rsidR="00583EB1" w:rsidRDefault="00583EB1" w:rsidP="00583EB1">
            <w:pPr>
              <w:jc w:val="both"/>
              <w:rPr>
                <w:rFonts w:ascii="Georgia" w:hAnsi="Georgia" w:cs="Arial"/>
                <w:b w:val="0"/>
                <w:bCs w:val="0"/>
                <w:color w:val="FFFFFF"/>
                <w:sz w:val="20"/>
                <w:szCs w:val="20"/>
                <w:lang w:val="lt-LT"/>
              </w:rPr>
            </w:pPr>
            <w:r>
              <w:rPr>
                <w:rFonts w:ascii="Georgia" w:hAnsi="Georgia" w:cs="Arial"/>
                <w:color w:val="FFFFFF"/>
                <w:sz w:val="20"/>
                <w:szCs w:val="20"/>
                <w:lang w:val="lt-LT"/>
              </w:rPr>
              <w:lastRenderedPageBreak/>
              <w:t>Rizikų vertinimas</w:t>
            </w:r>
          </w:p>
        </w:tc>
        <w:tc>
          <w:tcPr>
            <w:tcW w:w="3674"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14:paraId="3A23ABCB" w14:textId="77777777" w:rsidR="00583EB1" w:rsidRDefault="00583EB1" w:rsidP="00C03122">
            <w:pPr>
              <w:numPr>
                <w:ilvl w:val="0"/>
                <w:numId w:val="28"/>
              </w:numPr>
              <w:ind w:left="175" w:hanging="175"/>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esant poreikiui, bankas vertina ne tik skolininko, bet ir laiduotojo kreditingumą.</w:t>
            </w:r>
          </w:p>
        </w:tc>
      </w:tr>
      <w:tr w:rsidR="00583EB1" w14:paraId="506DF3B1" w14:textId="77777777" w:rsidTr="000C7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hideMark/>
          </w:tcPr>
          <w:p w14:paraId="7667FF84" w14:textId="77777777" w:rsidR="00583EB1" w:rsidRDefault="00583EB1" w:rsidP="00583EB1">
            <w:pPr>
              <w:jc w:val="both"/>
              <w:rPr>
                <w:rFonts w:ascii="Georgia" w:hAnsi="Georgia" w:cs="Arial"/>
                <w:b w:val="0"/>
                <w:bCs w:val="0"/>
                <w:color w:val="FFFFFF"/>
                <w:sz w:val="20"/>
                <w:szCs w:val="20"/>
                <w:lang w:val="lt-LT"/>
              </w:rPr>
            </w:pPr>
            <w:r>
              <w:rPr>
                <w:rFonts w:ascii="Georgia" w:hAnsi="Georgia" w:cs="Arial"/>
                <w:color w:val="FFFFFF"/>
                <w:sz w:val="20"/>
                <w:szCs w:val="20"/>
                <w:lang w:val="lt-LT"/>
              </w:rPr>
              <w:t>Paskolos užtikrinimas</w:t>
            </w:r>
          </w:p>
        </w:tc>
        <w:tc>
          <w:tcPr>
            <w:tcW w:w="3674" w:type="pct"/>
            <w:hideMark/>
          </w:tcPr>
          <w:p w14:paraId="0EC2561B" w14:textId="77777777" w:rsidR="00583EB1" w:rsidRDefault="00583EB1" w:rsidP="00C03122">
            <w:pPr>
              <w:numPr>
                <w:ilvl w:val="0"/>
                <w:numId w:val="27"/>
              </w:numPr>
              <w:ind w:left="176" w:hanging="176"/>
              <w:contextualSpacing/>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bankui pareikalavus, skolininko įsipareigojimai turi būtų užtikrinti trečiosios šalies. Laiduotoju gali būti valstybė narė, vyriausybės institucija, finansų įstaiga arba kitas viešasis arba privatus juridinis asmuo, patvirtintas CEB.</w:t>
            </w:r>
          </w:p>
        </w:tc>
      </w:tr>
      <w:tr w:rsidR="00583EB1" w14:paraId="5F371C12" w14:textId="77777777" w:rsidTr="000C740B">
        <w:tc>
          <w:tcPr>
            <w:cnfStyle w:val="001000000000" w:firstRow="0" w:lastRow="0" w:firstColumn="1" w:lastColumn="0" w:oddVBand="0" w:evenVBand="0" w:oddHBand="0" w:evenHBand="0" w:firstRowFirstColumn="0" w:firstRowLastColumn="0" w:lastRowFirstColumn="0" w:lastRowLastColumn="0"/>
            <w:tcW w:w="1326" w:type="pct"/>
            <w:tcBorders>
              <w:top w:val="single" w:sz="6" w:space="0" w:color="FFFFFF" w:themeColor="background1"/>
            </w:tcBorders>
            <w:hideMark/>
          </w:tcPr>
          <w:p w14:paraId="252ABBBF" w14:textId="77777777" w:rsidR="00583EB1" w:rsidRDefault="00583EB1" w:rsidP="00583EB1">
            <w:pPr>
              <w:jc w:val="both"/>
              <w:rPr>
                <w:rFonts w:ascii="Georgia" w:hAnsi="Georgia" w:cs="Arial"/>
                <w:b w:val="0"/>
                <w:bCs w:val="0"/>
                <w:color w:val="FFFFFF"/>
                <w:sz w:val="20"/>
                <w:szCs w:val="20"/>
                <w:lang w:val="lt-LT"/>
              </w:rPr>
            </w:pPr>
            <w:r>
              <w:rPr>
                <w:rFonts w:ascii="Georgia" w:hAnsi="Georgia" w:cs="Arial"/>
                <w:color w:val="FFFFFF"/>
                <w:sz w:val="20"/>
                <w:szCs w:val="20"/>
                <w:lang w:val="lt-LT"/>
              </w:rPr>
              <w:t>Projekto priežiūra</w:t>
            </w:r>
          </w:p>
        </w:tc>
        <w:tc>
          <w:tcPr>
            <w:tcW w:w="3674" w:type="pct"/>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14:paraId="73715E2F" w14:textId="77777777" w:rsidR="00583EB1" w:rsidRDefault="00583EB1" w:rsidP="00C03122">
            <w:pPr>
              <w:numPr>
                <w:ilvl w:val="0"/>
                <w:numId w:val="27"/>
              </w:numPr>
              <w:ind w:left="175" w:hanging="175"/>
              <w:contextualSpacing/>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projektui prasidėjus bankas atlieka nuolatines priežiūros procedūras ir patikras vietoje.</w:t>
            </w:r>
          </w:p>
        </w:tc>
      </w:tr>
      <w:tr w:rsidR="00583EB1" w14:paraId="16AD9991" w14:textId="77777777" w:rsidTr="000C7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603CC710" w14:textId="77777777" w:rsidR="00583EB1" w:rsidRDefault="00583EB1" w:rsidP="00583EB1">
            <w:pPr>
              <w:jc w:val="center"/>
              <w:rPr>
                <w:rFonts w:ascii="Georgia" w:hAnsi="Georgia" w:cs="Arial"/>
                <w:bCs w:val="0"/>
                <w:color w:val="FFFFFF"/>
                <w:sz w:val="20"/>
                <w:szCs w:val="20"/>
                <w:lang w:val="lt-LT"/>
              </w:rPr>
            </w:pPr>
            <w:r>
              <w:rPr>
                <w:rFonts w:ascii="Georgia" w:hAnsi="Georgia" w:cs="Arial"/>
                <w:color w:val="FFFFFF"/>
                <w:sz w:val="20"/>
                <w:szCs w:val="20"/>
                <w:lang w:val="lt-LT"/>
              </w:rPr>
              <w:t>Paskolos mokėjimas</w:t>
            </w:r>
          </w:p>
        </w:tc>
      </w:tr>
      <w:tr w:rsidR="00583EB1" w14:paraId="07DAC137" w14:textId="77777777" w:rsidTr="000C740B">
        <w:tc>
          <w:tcPr>
            <w:cnfStyle w:val="001000000000" w:firstRow="0" w:lastRow="0" w:firstColumn="1" w:lastColumn="0" w:oddVBand="0" w:evenVBand="0" w:oddHBand="0" w:evenHBand="0" w:firstRowFirstColumn="0" w:firstRowLastColumn="0" w:lastRowFirstColumn="0" w:lastRowLastColumn="0"/>
            <w:tcW w:w="1326" w:type="pct"/>
            <w:tcBorders>
              <w:top w:val="single" w:sz="6" w:space="0" w:color="FFFFFF" w:themeColor="background1"/>
              <w:bottom w:val="single" w:sz="8" w:space="0" w:color="FFFFFF" w:themeColor="background1"/>
            </w:tcBorders>
          </w:tcPr>
          <w:p w14:paraId="1CE9009B" w14:textId="77777777" w:rsidR="00583EB1" w:rsidRDefault="00583EB1" w:rsidP="00583EB1">
            <w:pPr>
              <w:jc w:val="both"/>
              <w:rPr>
                <w:rFonts w:ascii="Georgia" w:hAnsi="Georgia" w:cs="Arial"/>
                <w:b w:val="0"/>
                <w:bCs w:val="0"/>
                <w:color w:val="FFFFFF"/>
                <w:sz w:val="20"/>
                <w:szCs w:val="20"/>
                <w:lang w:val="lt-LT"/>
              </w:rPr>
            </w:pPr>
          </w:p>
        </w:tc>
        <w:tc>
          <w:tcPr>
            <w:tcW w:w="3674" w:type="pct"/>
            <w:tcBorders>
              <w:top w:val="single" w:sz="6" w:space="0" w:color="FFFFFF" w:themeColor="background1"/>
              <w:left w:val="single" w:sz="6" w:space="0" w:color="FFFFFF" w:themeColor="background1"/>
              <w:bottom w:val="single" w:sz="8" w:space="0" w:color="FFFFFF" w:themeColor="background1"/>
              <w:right w:val="single" w:sz="8" w:space="0" w:color="FFFFFF" w:themeColor="background1"/>
            </w:tcBorders>
            <w:hideMark/>
          </w:tcPr>
          <w:p w14:paraId="31C9053D" w14:textId="77777777" w:rsidR="00583EB1" w:rsidRDefault="00583EB1" w:rsidP="00C03122">
            <w:pPr>
              <w:numPr>
                <w:ilvl w:val="0"/>
                <w:numId w:val="27"/>
              </w:numPr>
              <w:tabs>
                <w:tab w:val="left" w:pos="289"/>
              </w:tabs>
              <w:spacing w:after="160" w:line="256" w:lineRule="auto"/>
              <w:ind w:left="147" w:hanging="147"/>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Pr>
                <w:rFonts w:ascii="Georgia" w:hAnsi="Georgia" w:cs="Arial"/>
                <w:sz w:val="20"/>
                <w:szCs w:val="20"/>
                <w:lang w:val="lt-LT"/>
              </w:rPr>
              <w:t>paskolos išmokamos mažiausiai dviem dalimis, įvertinant a) esamą projekto situaciją / pažangą; b) projekto / skolininko lėšų įsisavinimo pajėgumus.</w:t>
            </w:r>
          </w:p>
        </w:tc>
      </w:tr>
    </w:tbl>
    <w:p w14:paraId="6E331C77" w14:textId="77777777" w:rsidR="00583EB1" w:rsidRDefault="00583EB1" w:rsidP="00583EB1">
      <w:pPr>
        <w:spacing w:after="0"/>
        <w:jc w:val="both"/>
        <w:rPr>
          <w:rFonts w:ascii="Georgia" w:hAnsi="Georgia" w:cs="Arial"/>
          <w:i/>
          <w:sz w:val="20"/>
          <w:szCs w:val="20"/>
          <w:lang w:val="lt-LT"/>
        </w:rPr>
      </w:pPr>
      <w:r w:rsidRPr="008F65CF">
        <w:rPr>
          <w:rFonts w:ascii="Georgia" w:eastAsia="PMingLiU" w:hAnsi="Georgia" w:cs="Times New Roman"/>
          <w:bCs/>
          <w:i/>
          <w:color w:val="A32020"/>
          <w:sz w:val="20"/>
          <w:szCs w:val="18"/>
          <w:lang w:val="lt-LT"/>
        </w:rPr>
        <w:t>Šaltinis: CEB paskolų teikimo politika ir projektų rengimo metodika</w:t>
      </w:r>
      <w:r>
        <w:rPr>
          <w:rStyle w:val="Puslapioinaosnuoroda"/>
          <w:rFonts w:ascii="Georgia" w:hAnsi="Georgia" w:cs="Arial"/>
          <w:i/>
          <w:sz w:val="20"/>
          <w:szCs w:val="20"/>
          <w:lang w:val="lt-LT"/>
        </w:rPr>
        <w:footnoteReference w:id="106"/>
      </w:r>
      <w:r>
        <w:rPr>
          <w:rFonts w:ascii="Georgia" w:hAnsi="Georgia" w:cs="Arial"/>
          <w:i/>
          <w:sz w:val="20"/>
          <w:szCs w:val="20"/>
          <w:lang w:val="lt-LT"/>
        </w:rPr>
        <w:t>.</w:t>
      </w:r>
    </w:p>
    <w:p w14:paraId="39D7F7FE" w14:textId="77777777" w:rsidR="00583EB1" w:rsidRDefault="00583EB1" w:rsidP="00583EB1">
      <w:pPr>
        <w:spacing w:after="0" w:line="240" w:lineRule="auto"/>
        <w:rPr>
          <w:rFonts w:ascii="Georgia" w:hAnsi="Georgia" w:cs="Arial"/>
          <w:i/>
          <w:sz w:val="20"/>
          <w:szCs w:val="20"/>
          <w:lang w:val="lt-LT"/>
        </w:rPr>
      </w:pPr>
    </w:p>
    <w:p w14:paraId="2D51A15E" w14:textId="77777777" w:rsidR="00583EB1" w:rsidRPr="004110D8" w:rsidRDefault="00583EB1" w:rsidP="00583EB1">
      <w:pPr>
        <w:pStyle w:val="Pagrindinistekstas"/>
        <w:rPr>
          <w:i/>
          <w:lang w:val="lt-LT"/>
        </w:rPr>
      </w:pPr>
      <w:r w:rsidRPr="004110D8">
        <w:rPr>
          <w:i/>
          <w:lang w:val="lt-LT"/>
        </w:rPr>
        <w:t>Garantijos</w:t>
      </w:r>
    </w:p>
    <w:p w14:paraId="2FA861AD" w14:textId="77777777" w:rsidR="00583EB1" w:rsidRDefault="00583EB1" w:rsidP="00583EB1">
      <w:pPr>
        <w:spacing w:after="120"/>
        <w:jc w:val="both"/>
        <w:rPr>
          <w:rFonts w:ascii="Georgia" w:hAnsi="Georgia" w:cs="Arial"/>
          <w:sz w:val="20"/>
          <w:szCs w:val="20"/>
          <w:lang w:val="lt-LT"/>
        </w:rPr>
      </w:pPr>
      <w:r>
        <w:rPr>
          <w:rFonts w:ascii="Georgia" w:hAnsi="Georgia" w:cs="Arial"/>
          <w:sz w:val="20"/>
          <w:szCs w:val="20"/>
          <w:lang w:val="lt-LT"/>
        </w:rPr>
        <w:t>Bankas teikia garantijas finansų įstaigoms (patvirtintoms banko narių), skirtas įgyvendinti banko tikslus. Kiekvienu atveju vertinama konkreti situacija.</w:t>
      </w:r>
    </w:p>
    <w:p w14:paraId="69B7EB1C" w14:textId="77777777" w:rsidR="00583EB1" w:rsidRPr="004110D8" w:rsidRDefault="00583EB1" w:rsidP="00583EB1">
      <w:pPr>
        <w:pStyle w:val="Pagrindinistekstas"/>
        <w:keepNext/>
        <w:spacing w:line="276" w:lineRule="auto"/>
        <w:rPr>
          <w:i/>
          <w:lang w:val="lt-LT"/>
        </w:rPr>
      </w:pPr>
      <w:r w:rsidRPr="004110D8">
        <w:rPr>
          <w:i/>
          <w:lang w:val="lt-LT"/>
        </w:rPr>
        <w:t>Patikos sąskaitos</w:t>
      </w:r>
    </w:p>
    <w:p w14:paraId="4FC37307" w14:textId="77777777" w:rsidR="00583EB1" w:rsidRDefault="00583EB1" w:rsidP="00583EB1">
      <w:pPr>
        <w:keepNext/>
        <w:jc w:val="both"/>
        <w:rPr>
          <w:rFonts w:ascii="Georgia" w:hAnsi="Georgia" w:cs="Georgia"/>
          <w:color w:val="000000"/>
          <w:sz w:val="20"/>
          <w:szCs w:val="20"/>
          <w:lang w:val="lt-LT"/>
        </w:rPr>
      </w:pPr>
      <w:r>
        <w:rPr>
          <w:rFonts w:ascii="Georgia" w:hAnsi="Georgia" w:cs="Arial"/>
          <w:sz w:val="20"/>
          <w:szCs w:val="20"/>
          <w:lang w:val="lt-LT"/>
        </w:rPr>
        <w:t>Bankas gali atidaryti ir naudoti patikos sąskaitas savo veikloje. Patikos sąskaitos gali būti naudojamos teikiant palūkanų subsidijas paskoloms, suteiktoms CEB, arba teikiant subsidijas investicijoms arba techninei paramai. Patikos sąskaitos ištekliai gali būti naudojami projektams, turintiems ženklų socialinį poveikį ir įgyvendinamiems nustatytose valstybėse.</w:t>
      </w:r>
    </w:p>
    <w:p w14:paraId="1820B5ED" w14:textId="77777777" w:rsidR="008F65CF" w:rsidRDefault="008F65CF" w:rsidP="00583EB1">
      <w:pPr>
        <w:pStyle w:val="Pagrindinistekstas"/>
        <w:rPr>
          <w:i/>
          <w:lang w:val="lt-LT"/>
        </w:rPr>
      </w:pPr>
    </w:p>
    <w:p w14:paraId="39F00B88" w14:textId="77777777" w:rsidR="00583EB1" w:rsidRPr="008F65CF" w:rsidRDefault="00583EB1" w:rsidP="00583EB1">
      <w:pPr>
        <w:pStyle w:val="Pagrindinistekstas"/>
        <w:rPr>
          <w:i/>
          <w:sz w:val="22"/>
          <w:lang w:val="lt-LT"/>
        </w:rPr>
      </w:pPr>
      <w:r w:rsidRPr="008F65CF">
        <w:rPr>
          <w:i/>
          <w:sz w:val="22"/>
          <w:lang w:val="lt-LT"/>
        </w:rPr>
        <w:t xml:space="preserve">Kiti potencialūs papildomo finansavimo šaltiniai </w:t>
      </w:r>
    </w:p>
    <w:p w14:paraId="48F7305B" w14:textId="77777777" w:rsidR="00583EB1" w:rsidRPr="00ED1C74" w:rsidRDefault="00583EB1" w:rsidP="00583EB1">
      <w:pPr>
        <w:keepNext/>
        <w:jc w:val="both"/>
        <w:rPr>
          <w:rFonts w:ascii="Georgia" w:hAnsi="Georgia"/>
          <w:i/>
          <w:sz w:val="20"/>
          <w:szCs w:val="20"/>
          <w:lang w:val="lt-LT"/>
        </w:rPr>
      </w:pPr>
      <w:r w:rsidRPr="00ED1C74">
        <w:rPr>
          <w:rFonts w:ascii="Georgia" w:hAnsi="Georgia"/>
          <w:i/>
          <w:sz w:val="20"/>
          <w:szCs w:val="20"/>
          <w:lang w:val="lt-LT"/>
        </w:rPr>
        <w:t xml:space="preserve">Europos infrastruktūros tinklų priemonė </w:t>
      </w:r>
      <w:r>
        <w:rPr>
          <w:rFonts w:ascii="Georgia" w:hAnsi="Georgia"/>
          <w:i/>
          <w:sz w:val="20"/>
          <w:szCs w:val="20"/>
          <w:lang w:val="lt-LT"/>
        </w:rPr>
        <w:t xml:space="preserve">(angl. </w:t>
      </w:r>
      <w:r w:rsidRPr="0005008F">
        <w:rPr>
          <w:rFonts w:ascii="Georgia" w:hAnsi="Georgia"/>
          <w:i/>
          <w:sz w:val="20"/>
          <w:szCs w:val="20"/>
        </w:rPr>
        <w:t>Con</w:t>
      </w:r>
      <w:r w:rsidR="000C740B" w:rsidRPr="0005008F">
        <w:rPr>
          <w:rFonts w:ascii="Georgia" w:hAnsi="Georgia"/>
          <w:i/>
          <w:sz w:val="20"/>
          <w:szCs w:val="20"/>
        </w:rPr>
        <w:t>n</w:t>
      </w:r>
      <w:r w:rsidRPr="0005008F">
        <w:rPr>
          <w:rFonts w:ascii="Georgia" w:hAnsi="Georgia"/>
          <w:i/>
          <w:sz w:val="20"/>
          <w:szCs w:val="20"/>
        </w:rPr>
        <w:t>ecting Europe facility</w:t>
      </w:r>
      <w:r>
        <w:rPr>
          <w:rFonts w:ascii="Georgia" w:hAnsi="Georgia"/>
          <w:i/>
          <w:sz w:val="20"/>
          <w:szCs w:val="20"/>
          <w:lang w:val="lt-LT"/>
        </w:rPr>
        <w:t xml:space="preserve"> (</w:t>
      </w:r>
      <w:r>
        <w:rPr>
          <w:rFonts w:ascii="Georgia" w:hAnsi="Georgia"/>
          <w:sz w:val="20"/>
          <w:szCs w:val="20"/>
          <w:lang w:val="lt-LT"/>
        </w:rPr>
        <w:t>CFS)</w:t>
      </w:r>
      <w:r w:rsidRPr="00ED1C74">
        <w:rPr>
          <w:rFonts w:ascii="Georgia" w:hAnsi="Georgia"/>
          <w:i/>
          <w:sz w:val="20"/>
          <w:szCs w:val="20"/>
          <w:lang w:val="lt-LT"/>
        </w:rPr>
        <w:t>)</w:t>
      </w:r>
    </w:p>
    <w:p w14:paraId="4E06E5A1" w14:textId="77777777" w:rsidR="00583EB1" w:rsidRDefault="00583EB1" w:rsidP="00583EB1">
      <w:pPr>
        <w:keepNext/>
        <w:jc w:val="both"/>
        <w:rPr>
          <w:rFonts w:ascii="Georgia" w:hAnsi="Georgia"/>
          <w:sz w:val="20"/>
          <w:szCs w:val="20"/>
          <w:lang w:val="lt-LT"/>
        </w:rPr>
      </w:pPr>
      <w:r>
        <w:rPr>
          <w:rFonts w:ascii="Georgia" w:hAnsi="Georgia"/>
          <w:sz w:val="20"/>
          <w:szCs w:val="20"/>
          <w:lang w:val="lt-LT"/>
        </w:rPr>
        <w:t>CFS buvo įsteigta Bendruoju nuostatų reglamentu, kuriame nustatytos sąlygos, metodai ir procedūros kaip teikiama ES parama transeuropiniams tinklams, bendro intereso projektams transporto, energetikos ir telekomunikacijų sektoriuose. Bendras finansavimo paketas 2014-2020 metais sudaro 33,2 mlrd. eurų, iš kurių 5,8 mlrd.  eurų skirta energetikos sektoriui. Bendrajame nuostatų reglamente  finansinės priemonės aiškiai minimos kaip įgyvendinimo metodas CFS  ištekliams taip skatinant esminį privataus sektoriaus ir finansinių institucijų dalyvavimą investuojant į infrastruktūrą, remiantis nuostatomis, kad daugeliu atvejų, esant nepakankamam investavimui ar rinkos nepakankamumo situacijoje gali būti efektyviau spręsti finansiniais instrumentais, o ne dotacijomis.</w:t>
      </w:r>
    </w:p>
    <w:p w14:paraId="79A431C5" w14:textId="77777777" w:rsidR="00583EB1" w:rsidRPr="00ED1C74" w:rsidRDefault="00583EB1" w:rsidP="00583EB1">
      <w:pPr>
        <w:jc w:val="both"/>
        <w:rPr>
          <w:rFonts w:ascii="Georgia" w:hAnsi="Georgia"/>
          <w:i/>
          <w:sz w:val="20"/>
          <w:szCs w:val="20"/>
          <w:lang w:val="lt-LT"/>
        </w:rPr>
      </w:pPr>
      <w:r w:rsidRPr="00ED1C74">
        <w:rPr>
          <w:rFonts w:ascii="Georgia" w:hAnsi="Georgia"/>
          <w:i/>
          <w:sz w:val="20"/>
          <w:szCs w:val="20"/>
          <w:lang w:val="lt-LT"/>
        </w:rPr>
        <w:t xml:space="preserve">Pažangi energetika Europai </w:t>
      </w:r>
      <w:r>
        <w:rPr>
          <w:rFonts w:ascii="Georgia" w:hAnsi="Georgia"/>
          <w:i/>
          <w:sz w:val="20"/>
          <w:szCs w:val="20"/>
          <w:lang w:val="lt-LT"/>
        </w:rPr>
        <w:t>(</w:t>
      </w:r>
      <w:r w:rsidRPr="0005008F">
        <w:rPr>
          <w:rFonts w:ascii="Georgia" w:hAnsi="Georgia"/>
          <w:i/>
          <w:sz w:val="20"/>
          <w:szCs w:val="20"/>
        </w:rPr>
        <w:t>Intelligent Energy-Europe</w:t>
      </w:r>
      <w:r>
        <w:rPr>
          <w:rFonts w:ascii="Georgia" w:hAnsi="Georgia"/>
          <w:i/>
          <w:sz w:val="20"/>
          <w:szCs w:val="20"/>
          <w:lang w:val="lt-LT"/>
        </w:rPr>
        <w:t xml:space="preserve"> (IEE)</w:t>
      </w:r>
      <w:r w:rsidRPr="00ED1C74">
        <w:rPr>
          <w:rFonts w:ascii="Georgia" w:hAnsi="Georgia"/>
          <w:i/>
          <w:sz w:val="20"/>
          <w:szCs w:val="20"/>
          <w:lang w:val="lt-LT"/>
        </w:rPr>
        <w:t>)</w:t>
      </w:r>
    </w:p>
    <w:p w14:paraId="2B163C11" w14:textId="77777777" w:rsidR="00583EB1" w:rsidRDefault="00583EB1" w:rsidP="00583EB1">
      <w:pPr>
        <w:jc w:val="both"/>
        <w:rPr>
          <w:rFonts w:ascii="Georgia" w:hAnsi="Georgia"/>
          <w:sz w:val="20"/>
          <w:szCs w:val="20"/>
          <w:lang w:val="lt-LT"/>
        </w:rPr>
      </w:pPr>
      <w:r>
        <w:rPr>
          <w:rFonts w:ascii="Georgia" w:hAnsi="Georgia"/>
          <w:sz w:val="20"/>
          <w:szCs w:val="20"/>
          <w:lang w:val="lt-LT"/>
        </w:rPr>
        <w:t>IEE programa buvo sudaryta 2007-2013 metų programavimo laikotarpiu su tikslu šalinti netechnologines kliūtis energijos efektyvumo didinimo rinkų įsisavinimui. 2014-2020 metų periodu ši pr</w:t>
      </w:r>
      <w:r w:rsidR="008F65CF">
        <w:rPr>
          <w:rFonts w:ascii="Georgia" w:hAnsi="Georgia"/>
          <w:sz w:val="20"/>
          <w:szCs w:val="20"/>
          <w:lang w:val="lt-LT"/>
        </w:rPr>
        <w:t>ograma buvo sujungta su Horizon</w:t>
      </w:r>
      <w:r>
        <w:rPr>
          <w:rFonts w:ascii="Georgia" w:hAnsi="Georgia"/>
          <w:sz w:val="20"/>
          <w:szCs w:val="20"/>
          <w:lang w:val="lt-LT"/>
        </w:rPr>
        <w:t xml:space="preserve"> 2020, kurio tikslas išlieka ir toliau kurti palankias rinkos sąlygas, formuojant politiką ir įgyvendinimą, ruošiant pagrindus investicijoms, žinių įgijimas ir gebėjimų formavimas, suinteresuotų šalių informavimas ir įsipareigojimų skatinimas energijos efektyvumo didinimo srityje. </w:t>
      </w:r>
    </w:p>
    <w:p w14:paraId="0F0B286D" w14:textId="77777777" w:rsidR="00583EB1" w:rsidRPr="00ED1C74" w:rsidRDefault="00583EB1" w:rsidP="000C740B">
      <w:pPr>
        <w:keepNext/>
        <w:jc w:val="both"/>
        <w:rPr>
          <w:rFonts w:ascii="Georgia" w:hAnsi="Georgia"/>
          <w:i/>
          <w:sz w:val="20"/>
          <w:szCs w:val="20"/>
          <w:lang w:val="lt-LT"/>
        </w:rPr>
      </w:pPr>
      <w:r w:rsidRPr="00ED1C74">
        <w:rPr>
          <w:rFonts w:ascii="Georgia" w:hAnsi="Georgia"/>
          <w:i/>
          <w:sz w:val="20"/>
          <w:szCs w:val="20"/>
          <w:lang w:val="lt-LT"/>
        </w:rPr>
        <w:lastRenderedPageBreak/>
        <w:t>Horizon 2020</w:t>
      </w:r>
    </w:p>
    <w:p w14:paraId="3A1AA5AE" w14:textId="77777777" w:rsidR="00583EB1" w:rsidRDefault="008F65CF" w:rsidP="00583EB1">
      <w:pPr>
        <w:jc w:val="both"/>
        <w:rPr>
          <w:rFonts w:ascii="Georgia" w:hAnsi="Georgia"/>
          <w:sz w:val="20"/>
          <w:szCs w:val="20"/>
          <w:lang w:val="lt-LT"/>
        </w:rPr>
      </w:pPr>
      <w:r>
        <w:rPr>
          <w:rFonts w:ascii="Georgia" w:hAnsi="Georgia"/>
          <w:sz w:val="20"/>
          <w:szCs w:val="20"/>
          <w:lang w:val="lt-LT"/>
        </w:rPr>
        <w:t>Horizon 2020 yra pagrindi</w:t>
      </w:r>
      <w:r w:rsidR="00583EB1">
        <w:rPr>
          <w:rFonts w:ascii="Georgia" w:hAnsi="Georgia"/>
          <w:sz w:val="20"/>
          <w:szCs w:val="20"/>
          <w:lang w:val="lt-LT"/>
        </w:rPr>
        <w:t>nė ES programa skirta tyrimams ir inovacijoms ir bus vykdoma 2014-2020 metais, o jos biudžetas – virš 70 mlrd. eurų. Virš 30 mlrd. eurų bus galimybė panaudoti sprendžiant Klimato kaitos, tvaraus transporto ir mobilumo vystymo klausimams ir pan.</w:t>
      </w:r>
    </w:p>
    <w:p w14:paraId="2B52D403" w14:textId="77777777" w:rsidR="00583EB1" w:rsidRPr="00ED1C74" w:rsidRDefault="00583EB1" w:rsidP="00583EB1">
      <w:pPr>
        <w:jc w:val="both"/>
        <w:rPr>
          <w:rFonts w:ascii="Georgia" w:hAnsi="Georgia"/>
          <w:i/>
          <w:sz w:val="20"/>
          <w:szCs w:val="20"/>
          <w:lang w:val="lt-LT"/>
        </w:rPr>
      </w:pPr>
      <w:r w:rsidRPr="00ED1C74">
        <w:rPr>
          <w:rFonts w:ascii="Georgia" w:hAnsi="Georgia"/>
          <w:i/>
          <w:sz w:val="20"/>
          <w:szCs w:val="20"/>
          <w:lang w:val="lt-LT"/>
        </w:rPr>
        <w:t>EIB ELENA</w:t>
      </w:r>
    </w:p>
    <w:p w14:paraId="239C3BBA" w14:textId="77777777" w:rsidR="00583EB1" w:rsidRDefault="00583EB1" w:rsidP="00583EB1">
      <w:pPr>
        <w:jc w:val="both"/>
        <w:rPr>
          <w:rFonts w:ascii="Georgia" w:hAnsi="Georgia"/>
          <w:sz w:val="20"/>
          <w:szCs w:val="20"/>
          <w:lang w:val="lt-LT"/>
        </w:rPr>
      </w:pPr>
      <w:r>
        <w:rPr>
          <w:rFonts w:ascii="Georgia" w:hAnsi="Georgia"/>
          <w:sz w:val="20"/>
          <w:szCs w:val="20"/>
          <w:lang w:val="lt-LT"/>
        </w:rPr>
        <w:t xml:space="preserve">EIB-ELENA buvo sukurta Europos komisijos ir </w:t>
      </w:r>
      <w:r w:rsidR="008F65CF">
        <w:rPr>
          <w:rFonts w:ascii="Georgia" w:hAnsi="Georgia"/>
          <w:sz w:val="20"/>
          <w:szCs w:val="20"/>
          <w:lang w:val="lt-LT"/>
        </w:rPr>
        <w:t>EIB</w:t>
      </w:r>
      <w:r>
        <w:rPr>
          <w:rFonts w:ascii="Georgia" w:hAnsi="Georgia"/>
          <w:sz w:val="20"/>
          <w:szCs w:val="20"/>
          <w:lang w:val="lt-LT"/>
        </w:rPr>
        <w:t xml:space="preserve"> inic</w:t>
      </w:r>
      <w:r w:rsidR="008F65CF">
        <w:rPr>
          <w:rFonts w:ascii="Georgia" w:hAnsi="Georgia"/>
          <w:sz w:val="20"/>
          <w:szCs w:val="20"/>
          <w:lang w:val="lt-LT"/>
        </w:rPr>
        <w:t>iatyva kaip dalis IEE programos,</w:t>
      </w:r>
      <w:r>
        <w:rPr>
          <w:rFonts w:ascii="Georgia" w:hAnsi="Georgia"/>
          <w:sz w:val="20"/>
          <w:szCs w:val="20"/>
          <w:lang w:val="lt-LT"/>
        </w:rPr>
        <w:t xml:space="preserve"> </w:t>
      </w:r>
      <w:r w:rsidR="008F65CF">
        <w:rPr>
          <w:rFonts w:ascii="Georgia" w:hAnsi="Georgia"/>
          <w:sz w:val="20"/>
          <w:szCs w:val="20"/>
          <w:lang w:val="lt-LT"/>
        </w:rPr>
        <w:t>k</w:t>
      </w:r>
      <w:r>
        <w:rPr>
          <w:rFonts w:ascii="Georgia" w:hAnsi="Georgia"/>
          <w:sz w:val="20"/>
          <w:szCs w:val="20"/>
          <w:lang w:val="lt-LT"/>
        </w:rPr>
        <w:t xml:space="preserve">uri buvo sujungta su Horizon 2020. Bendras EIB-ELENA tikslas padėti perėjimui nuo veiksmų plano parengimo iki didelės apimties investicijų įgyvendinimo, paprastai viršijančių 50 mln. eurų sumą. </w:t>
      </w:r>
    </w:p>
    <w:p w14:paraId="3BAC10BC" w14:textId="77777777" w:rsidR="00583EB1" w:rsidRPr="00ED1C74" w:rsidRDefault="00583EB1" w:rsidP="00583EB1">
      <w:pPr>
        <w:jc w:val="both"/>
        <w:rPr>
          <w:rFonts w:ascii="Georgia" w:hAnsi="Georgia"/>
          <w:i/>
          <w:sz w:val="20"/>
          <w:szCs w:val="20"/>
          <w:lang w:val="lt-LT"/>
        </w:rPr>
      </w:pPr>
      <w:r w:rsidRPr="00ED1C74">
        <w:rPr>
          <w:rFonts w:ascii="Georgia" w:hAnsi="Georgia"/>
          <w:i/>
          <w:sz w:val="20"/>
          <w:szCs w:val="20"/>
          <w:lang w:val="lt-LT"/>
        </w:rPr>
        <w:t>KfW-ELENA</w:t>
      </w:r>
    </w:p>
    <w:p w14:paraId="530ABEAF" w14:textId="77777777" w:rsidR="00583EB1" w:rsidRDefault="00583EB1" w:rsidP="00583EB1">
      <w:pPr>
        <w:jc w:val="both"/>
        <w:rPr>
          <w:rFonts w:ascii="Georgia" w:hAnsi="Georgia"/>
          <w:sz w:val="20"/>
          <w:szCs w:val="20"/>
          <w:lang w:val="lt-LT"/>
        </w:rPr>
      </w:pPr>
      <w:r>
        <w:rPr>
          <w:rFonts w:ascii="Georgia" w:hAnsi="Georgia"/>
          <w:sz w:val="20"/>
          <w:szCs w:val="20"/>
          <w:lang w:val="lt-LT"/>
        </w:rPr>
        <w:t>Nuo 2011 metų KfW-ELENA suteikią papildomą pagalbą prie jau esančio ELENA su tikslu mobilizuoti/apjungti tvarias investicijas mažų ir vidutinių dydžių savivaldybių investicijas ir kur įmanoma ESCO kai suma neviršija 50 mln. eurų.</w:t>
      </w:r>
    </w:p>
    <w:p w14:paraId="5E4216DD" w14:textId="77777777" w:rsidR="00583EB1" w:rsidRPr="00ED1C74" w:rsidRDefault="00583EB1" w:rsidP="00583EB1">
      <w:pPr>
        <w:jc w:val="both"/>
        <w:rPr>
          <w:rFonts w:ascii="Georgia" w:hAnsi="Georgia"/>
          <w:i/>
          <w:sz w:val="20"/>
          <w:szCs w:val="20"/>
          <w:lang w:val="lt-LT"/>
        </w:rPr>
      </w:pPr>
      <w:r w:rsidRPr="00ED1C74">
        <w:rPr>
          <w:rFonts w:ascii="Georgia" w:hAnsi="Georgia"/>
          <w:i/>
          <w:sz w:val="20"/>
          <w:szCs w:val="20"/>
          <w:lang w:val="lt-LT"/>
        </w:rPr>
        <w:t>LIFE+</w:t>
      </w:r>
      <w:r>
        <w:rPr>
          <w:rFonts w:ascii="Georgia" w:hAnsi="Georgia"/>
          <w:i/>
          <w:sz w:val="20"/>
          <w:szCs w:val="20"/>
          <w:lang w:val="lt-LT"/>
        </w:rPr>
        <w:t xml:space="preserve"> programa</w:t>
      </w:r>
      <w:r w:rsidRPr="00ED1C74">
        <w:rPr>
          <w:rFonts w:ascii="Georgia" w:hAnsi="Georgia"/>
          <w:i/>
          <w:sz w:val="20"/>
          <w:szCs w:val="20"/>
          <w:lang w:val="lt-LT"/>
        </w:rPr>
        <w:t xml:space="preserve"> (2014-2020) </w:t>
      </w:r>
    </w:p>
    <w:p w14:paraId="28740D94" w14:textId="77777777" w:rsidR="00583EB1" w:rsidRDefault="00583EB1" w:rsidP="00583EB1">
      <w:pPr>
        <w:jc w:val="both"/>
        <w:rPr>
          <w:rFonts w:ascii="Georgia" w:hAnsi="Georgia"/>
          <w:sz w:val="20"/>
          <w:szCs w:val="20"/>
          <w:lang w:val="lt-LT"/>
        </w:rPr>
      </w:pPr>
      <w:r>
        <w:rPr>
          <w:rFonts w:ascii="Georgia" w:hAnsi="Georgia"/>
          <w:sz w:val="20"/>
          <w:szCs w:val="20"/>
          <w:lang w:val="lt-LT"/>
        </w:rPr>
        <w:t xml:space="preserve">Naujoji LIFE programa turi dvi </w:t>
      </w:r>
      <w:r w:rsidR="008F65CF">
        <w:rPr>
          <w:rFonts w:ascii="Georgia" w:hAnsi="Georgia"/>
          <w:sz w:val="20"/>
          <w:szCs w:val="20"/>
          <w:lang w:val="lt-LT"/>
        </w:rPr>
        <w:t>programos kryptis</w:t>
      </w:r>
      <w:r>
        <w:rPr>
          <w:rFonts w:ascii="Georgia" w:hAnsi="Georgia"/>
          <w:sz w:val="20"/>
          <w:szCs w:val="20"/>
          <w:lang w:val="lt-LT"/>
        </w:rPr>
        <w:t xml:space="preserve"> – aplinkai ir klimato kaitai. Klimato kaitos </w:t>
      </w:r>
      <w:r w:rsidR="008F65CF">
        <w:rPr>
          <w:rFonts w:ascii="Georgia" w:hAnsi="Georgia"/>
          <w:sz w:val="20"/>
          <w:szCs w:val="20"/>
          <w:lang w:val="lt-LT"/>
        </w:rPr>
        <w:t>programos kryptis</w:t>
      </w:r>
      <w:r>
        <w:rPr>
          <w:rFonts w:ascii="Georgia" w:hAnsi="Georgia"/>
          <w:sz w:val="20"/>
          <w:szCs w:val="20"/>
          <w:lang w:val="lt-LT"/>
        </w:rPr>
        <w:t xml:space="preserve"> apima tokias sritis kaip klimato kaitos sušvelninimas, prisitaikymas prie klimato kaitos ir klimato valdymo bei informavimo. Vadovaujantis Bendrųjų nuostatų reglamento nuostatomis LIFE programos lėšos gali būti skiriamos kaip garantijos, skelbiant viešuosius konkursus ir per finansinius instrumentus 2014-2020 metų periodu.</w:t>
      </w:r>
    </w:p>
    <w:p w14:paraId="0739B2D2" w14:textId="77777777" w:rsidR="00583EB1" w:rsidRPr="00ED1C74" w:rsidRDefault="00583EB1" w:rsidP="00583EB1">
      <w:pPr>
        <w:jc w:val="both"/>
        <w:rPr>
          <w:rFonts w:ascii="Georgia" w:hAnsi="Georgia"/>
          <w:i/>
          <w:sz w:val="20"/>
          <w:szCs w:val="20"/>
          <w:lang w:val="lt-LT"/>
        </w:rPr>
      </w:pPr>
      <w:r w:rsidRPr="00ED1C74">
        <w:rPr>
          <w:rFonts w:ascii="Georgia" w:hAnsi="Georgia"/>
          <w:i/>
          <w:sz w:val="20"/>
          <w:szCs w:val="20"/>
          <w:lang w:val="lt-LT"/>
        </w:rPr>
        <w:t xml:space="preserve">Marguerite </w:t>
      </w:r>
      <w:r>
        <w:rPr>
          <w:rFonts w:ascii="Georgia" w:hAnsi="Georgia"/>
          <w:i/>
          <w:sz w:val="20"/>
          <w:szCs w:val="20"/>
          <w:lang w:val="lt-LT"/>
        </w:rPr>
        <w:t>fondas</w:t>
      </w:r>
      <w:r w:rsidRPr="00ED1C74">
        <w:rPr>
          <w:rFonts w:ascii="Georgia" w:hAnsi="Georgia"/>
          <w:i/>
          <w:sz w:val="20"/>
          <w:szCs w:val="20"/>
          <w:lang w:val="lt-LT"/>
        </w:rPr>
        <w:t xml:space="preserve"> </w:t>
      </w:r>
    </w:p>
    <w:p w14:paraId="4B8DE3C7" w14:textId="77777777" w:rsidR="00583EB1" w:rsidRDefault="00583EB1" w:rsidP="00583EB1">
      <w:pPr>
        <w:jc w:val="both"/>
        <w:rPr>
          <w:rFonts w:ascii="Georgia" w:hAnsi="Georgia"/>
          <w:sz w:val="20"/>
          <w:szCs w:val="20"/>
          <w:lang w:val="lt-LT"/>
        </w:rPr>
      </w:pPr>
      <w:r>
        <w:rPr>
          <w:rFonts w:ascii="Georgia" w:hAnsi="Georgia"/>
          <w:sz w:val="20"/>
          <w:szCs w:val="20"/>
          <w:lang w:val="lt-LT"/>
        </w:rPr>
        <w:t>Europos infrastruktūros fondas skirtas ilgo laikotarpio instituciniams investuotojams finansuoti projektų įgyvendinimą transporto, energetikos, klimato ir atsinaujinančių šaltinių srityse investuojant į akcinį kapitalą.</w:t>
      </w:r>
    </w:p>
    <w:p w14:paraId="1D6819B2" w14:textId="77777777" w:rsidR="0005008F" w:rsidRDefault="00583EB1" w:rsidP="00583EB1">
      <w:pPr>
        <w:jc w:val="both"/>
        <w:rPr>
          <w:rFonts w:ascii="Georgia" w:hAnsi="Georgia"/>
          <w:sz w:val="20"/>
          <w:szCs w:val="20"/>
          <w:lang w:val="lt-LT"/>
        </w:rPr>
      </w:pPr>
      <w:r>
        <w:rPr>
          <w:rFonts w:ascii="Georgia" w:hAnsi="Georgia"/>
          <w:sz w:val="20"/>
          <w:szCs w:val="20"/>
          <w:lang w:val="lt-LT"/>
        </w:rPr>
        <w:t xml:space="preserve">Platesnis pritrauktų privačių lėšų apimties aprašymas, šioje ex ante analizuojamoms sritims identifikuotas šio vertinimo </w:t>
      </w:r>
      <w:r>
        <w:rPr>
          <w:rFonts w:ascii="Georgia" w:hAnsi="Georgia"/>
          <w:sz w:val="20"/>
          <w:szCs w:val="20"/>
        </w:rPr>
        <w:t>2.2.2</w:t>
      </w:r>
      <w:r>
        <w:rPr>
          <w:rFonts w:ascii="Georgia" w:hAnsi="Georgia"/>
          <w:sz w:val="20"/>
          <w:szCs w:val="20"/>
          <w:lang w:val="lt-LT"/>
        </w:rPr>
        <w:t xml:space="preserve"> punkte.</w:t>
      </w:r>
    </w:p>
    <w:p w14:paraId="3DAE7152" w14:textId="77777777" w:rsidR="0005008F" w:rsidRDefault="0005008F" w:rsidP="00583EB1">
      <w:pPr>
        <w:jc w:val="both"/>
        <w:rPr>
          <w:rFonts w:ascii="Georgia" w:hAnsi="Georgia"/>
          <w:sz w:val="20"/>
          <w:szCs w:val="20"/>
          <w:lang w:val="lt-LT"/>
        </w:rPr>
      </w:pPr>
    </w:p>
    <w:p w14:paraId="683E1E58" w14:textId="77777777" w:rsidR="00583EB1" w:rsidRPr="00DF3A8E" w:rsidRDefault="00583EB1" w:rsidP="00C03122">
      <w:pPr>
        <w:pStyle w:val="Antrat2"/>
        <w:numPr>
          <w:ilvl w:val="1"/>
          <w:numId w:val="2"/>
        </w:numPr>
        <w:rPr>
          <w:lang w:val="lt-LT"/>
        </w:rPr>
      </w:pPr>
      <w:bookmarkStart w:id="105" w:name="_Toc417378382"/>
      <w:r w:rsidRPr="00DF3A8E">
        <w:rPr>
          <w:lang w:val="lt-LT"/>
        </w:rPr>
        <w:t>Lygio ir būdo privačių lėšų pritraukimui nustatymas</w:t>
      </w:r>
      <w:bookmarkEnd w:id="105"/>
    </w:p>
    <w:p w14:paraId="321F01B8" w14:textId="77777777" w:rsidR="00583EB1" w:rsidRDefault="00583EB1" w:rsidP="00583EB1">
      <w:pPr>
        <w:jc w:val="both"/>
        <w:rPr>
          <w:rFonts w:ascii="Georgia" w:hAnsi="Georgia" w:cs="Georgia"/>
          <w:sz w:val="20"/>
          <w:szCs w:val="20"/>
          <w:lang w:val="lt-LT"/>
        </w:rPr>
      </w:pPr>
    </w:p>
    <w:p w14:paraId="6A91AAF6" w14:textId="77777777" w:rsidR="00583EB1" w:rsidRPr="00424E53" w:rsidRDefault="00583EB1" w:rsidP="00583EB1">
      <w:pPr>
        <w:jc w:val="both"/>
        <w:rPr>
          <w:rFonts w:ascii="Georgia" w:hAnsi="Georgia"/>
          <w:sz w:val="20"/>
          <w:szCs w:val="20"/>
          <w:lang w:val="lt-LT"/>
        </w:rPr>
      </w:pPr>
      <w:r w:rsidRPr="00424E53">
        <w:rPr>
          <w:rFonts w:ascii="Georgia" w:hAnsi="Georgia" w:cs="Georgia"/>
          <w:sz w:val="20"/>
          <w:szCs w:val="20"/>
          <w:lang w:val="lt-LT"/>
        </w:rPr>
        <w:t>Kaip nurodo ex ante</w:t>
      </w:r>
      <w:r>
        <w:rPr>
          <w:rFonts w:ascii="Georgia" w:hAnsi="Georgia" w:cs="Georgia"/>
          <w:sz w:val="20"/>
          <w:szCs w:val="20"/>
          <w:lang w:val="lt-LT"/>
        </w:rPr>
        <w:t xml:space="preserve"> vertinimo</w:t>
      </w:r>
      <w:r w:rsidRPr="00424E53">
        <w:rPr>
          <w:rFonts w:ascii="Georgia" w:hAnsi="Georgia" w:cs="Georgia"/>
          <w:sz w:val="20"/>
          <w:szCs w:val="20"/>
          <w:lang w:val="lt-LT"/>
        </w:rPr>
        <w:t xml:space="preserve"> metodologija, remiantis Bendr</w:t>
      </w:r>
      <w:r>
        <w:rPr>
          <w:rFonts w:ascii="Georgia" w:hAnsi="Georgia" w:cs="Georgia"/>
          <w:sz w:val="20"/>
          <w:szCs w:val="20"/>
          <w:lang w:val="lt-LT"/>
        </w:rPr>
        <w:t>ų</w:t>
      </w:r>
      <w:r w:rsidRPr="00424E53">
        <w:rPr>
          <w:rFonts w:ascii="Georgia" w:hAnsi="Georgia" w:cs="Georgia"/>
          <w:sz w:val="20"/>
          <w:szCs w:val="20"/>
          <w:lang w:val="lt-LT"/>
        </w:rPr>
        <w:t>j</w:t>
      </w:r>
      <w:r>
        <w:rPr>
          <w:rFonts w:ascii="Georgia" w:hAnsi="Georgia" w:cs="Georgia"/>
          <w:sz w:val="20"/>
          <w:szCs w:val="20"/>
          <w:lang w:val="lt-LT"/>
        </w:rPr>
        <w:t>ų</w:t>
      </w:r>
      <w:r w:rsidRPr="00424E53">
        <w:rPr>
          <w:rFonts w:ascii="Georgia" w:hAnsi="Georgia" w:cs="Georgia"/>
          <w:sz w:val="20"/>
          <w:szCs w:val="20"/>
          <w:lang w:val="lt-LT"/>
        </w:rPr>
        <w:t xml:space="preserve"> nuostatų reglamento </w:t>
      </w:r>
      <w:r w:rsidRPr="00424E53">
        <w:rPr>
          <w:rFonts w:ascii="Georgia" w:hAnsi="Georgia"/>
          <w:sz w:val="20"/>
          <w:szCs w:val="20"/>
          <w:lang w:val="lt-LT"/>
        </w:rPr>
        <w:t xml:space="preserve">38 straipsniu, nacionalinių viešųjų ar privačiųjų subjektų įnašai gali būti atliekami visais lygiais, taip pat ir galutinių gavėjų lygyje, išskyrus galutinių naudos gavėjų įnašus. </w:t>
      </w:r>
    </w:p>
    <w:p w14:paraId="71588544" w14:textId="77777777" w:rsidR="00583EB1" w:rsidRDefault="00583EB1" w:rsidP="00583EB1">
      <w:pPr>
        <w:jc w:val="both"/>
        <w:rPr>
          <w:rFonts w:ascii="Georgia" w:hAnsi="Georgia"/>
          <w:sz w:val="20"/>
          <w:szCs w:val="20"/>
          <w:lang w:val="lt-LT"/>
        </w:rPr>
      </w:pPr>
      <w:r w:rsidRPr="00ED1C74">
        <w:rPr>
          <w:rFonts w:ascii="Georgia" w:hAnsi="Georgia"/>
          <w:noProof/>
          <w:sz w:val="20"/>
          <w:szCs w:val="20"/>
          <w:lang w:val="lt-LT" w:eastAsia="lt-LT"/>
        </w:rPr>
        <w:lastRenderedPageBreak/>
        <mc:AlternateContent>
          <mc:Choice Requires="wpc">
            <w:drawing>
              <wp:inline distT="0" distB="0" distL="0" distR="0" wp14:anchorId="60E92F08" wp14:editId="6CBE3CD1">
                <wp:extent cx="5730875" cy="4231640"/>
                <wp:effectExtent l="0" t="0" r="0" b="0"/>
                <wp:docPr id="4114" name="Drobė 41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Rectangle 9"/>
                        <wps:cNvSpPr>
                          <a:spLocks noChangeArrowheads="1"/>
                        </wps:cNvSpPr>
                        <wps:spPr bwMode="auto">
                          <a:xfrm>
                            <a:off x="3121541" y="108801"/>
                            <a:ext cx="1801324" cy="4059138"/>
                          </a:xfrm>
                          <a:prstGeom prst="rect">
                            <a:avLst/>
                          </a:prstGeom>
                          <a:solidFill>
                            <a:srgbClr val="FFFFFF"/>
                          </a:solidFill>
                          <a:ln w="19050">
                            <a:solidFill>
                              <a:srgbClr val="E36C0A"/>
                            </a:solidFill>
                            <a:miter lim="800000"/>
                            <a:headEnd/>
                            <a:tailEnd/>
                          </a:ln>
                        </wps:spPr>
                        <wps:bodyPr rot="0" vert="horz" wrap="square" lIns="91440" tIns="45720" rIns="91440" bIns="45720" anchor="t" anchorCtr="0" upright="1">
                          <a:noAutofit/>
                        </wps:bodyPr>
                      </wps:wsp>
                      <wps:wsp>
                        <wps:cNvPr id="4" name="AutoShape 11"/>
                        <wps:cNvSpPr>
                          <a:spLocks noChangeArrowheads="1"/>
                        </wps:cNvSpPr>
                        <wps:spPr bwMode="auto">
                          <a:xfrm>
                            <a:off x="489006" y="279703"/>
                            <a:ext cx="2365831" cy="258802"/>
                          </a:xfrm>
                          <a:prstGeom prst="roundRect">
                            <a:avLst>
                              <a:gd name="adj" fmla="val 16667"/>
                            </a:avLst>
                          </a:prstGeom>
                          <a:solidFill>
                            <a:srgbClr val="E36C0A"/>
                          </a:solidFill>
                          <a:ln w="9525">
                            <a:solidFill>
                              <a:srgbClr val="974706"/>
                            </a:solidFill>
                            <a:round/>
                            <a:headEnd/>
                            <a:tailEnd/>
                          </a:ln>
                        </wps:spPr>
                        <wps:txbx>
                          <w:txbxContent>
                            <w:p w14:paraId="7584CD1D" w14:textId="77777777" w:rsidR="00A65A8D" w:rsidRDefault="00A65A8D"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 xml:space="preserve">Viešųjų ir/ar privačių lėšų pritraukimas </w:t>
                              </w:r>
                            </w:p>
                          </w:txbxContent>
                        </wps:txbx>
                        <wps:bodyPr rot="0" vert="horz" wrap="square" lIns="91440" tIns="45720" rIns="91440" bIns="45720" anchor="t" anchorCtr="0" upright="1">
                          <a:noAutofit/>
                        </wps:bodyPr>
                      </wps:wsp>
                      <wps:wsp>
                        <wps:cNvPr id="21" name="AutoShape 12"/>
                        <wps:cNvSpPr>
                          <a:spLocks noChangeArrowheads="1"/>
                        </wps:cNvSpPr>
                        <wps:spPr bwMode="auto">
                          <a:xfrm>
                            <a:off x="3296933" y="290403"/>
                            <a:ext cx="1423519" cy="241202"/>
                          </a:xfrm>
                          <a:prstGeom prst="roundRect">
                            <a:avLst>
                              <a:gd name="adj" fmla="val 16667"/>
                            </a:avLst>
                          </a:prstGeom>
                          <a:solidFill>
                            <a:srgbClr val="E36C0A"/>
                          </a:solidFill>
                          <a:ln w="9525">
                            <a:solidFill>
                              <a:srgbClr val="974706"/>
                            </a:solidFill>
                            <a:round/>
                            <a:headEnd/>
                            <a:tailEnd/>
                          </a:ln>
                        </wps:spPr>
                        <wps:txbx>
                          <w:txbxContent>
                            <w:p w14:paraId="4812A6BF" w14:textId="77777777" w:rsidR="00A65A8D" w:rsidRDefault="00A65A8D" w:rsidP="00583EB1">
                              <w:pPr>
                                <w:spacing w:after="0" w:line="240" w:lineRule="auto"/>
                                <w:jc w:val="center"/>
                                <w:rPr>
                                  <w:b/>
                                  <w:color w:val="FFFFFF"/>
                                  <w:sz w:val="16"/>
                                  <w:szCs w:val="16"/>
                                </w:rPr>
                              </w:pPr>
                              <w:r>
                                <w:rPr>
                                  <w:rFonts w:ascii="Georgia" w:hAnsi="Georgia"/>
                                  <w:b/>
                                  <w:color w:val="FFFFFF"/>
                                  <w:sz w:val="16"/>
                                  <w:szCs w:val="16"/>
                                  <w:lang w:val="lt-LT"/>
                                </w:rPr>
                                <w:t>Vadovaujančioji</w:t>
                              </w:r>
                              <w:r>
                                <w:rPr>
                                  <w:b/>
                                  <w:color w:val="FFFFFF"/>
                                  <w:sz w:val="16"/>
                                  <w:szCs w:val="16"/>
                                </w:rPr>
                                <w:t xml:space="preserve"> institucija</w:t>
                              </w:r>
                            </w:p>
                          </w:txbxContent>
                        </wps:txbx>
                        <wps:bodyPr rot="0" vert="horz" wrap="square" lIns="91440" tIns="45720" rIns="91440" bIns="45720" anchor="t" anchorCtr="0" upright="1">
                          <a:noAutofit/>
                        </wps:bodyPr>
                      </wps:wsp>
                      <wps:wsp>
                        <wps:cNvPr id="22" name="AutoShape 15"/>
                        <wps:cNvSpPr>
                          <a:spLocks noChangeArrowheads="1"/>
                        </wps:cNvSpPr>
                        <wps:spPr bwMode="auto">
                          <a:xfrm>
                            <a:off x="3295133" y="3458633"/>
                            <a:ext cx="1423519" cy="466204"/>
                          </a:xfrm>
                          <a:prstGeom prst="roundRect">
                            <a:avLst>
                              <a:gd name="adj" fmla="val 16667"/>
                            </a:avLst>
                          </a:prstGeom>
                          <a:solidFill>
                            <a:srgbClr val="E36C0A"/>
                          </a:solidFill>
                          <a:ln w="9525">
                            <a:solidFill>
                              <a:srgbClr val="974706"/>
                            </a:solidFill>
                            <a:round/>
                            <a:headEnd/>
                            <a:tailEnd/>
                          </a:ln>
                        </wps:spPr>
                        <wps:txbx>
                          <w:txbxContent>
                            <w:p w14:paraId="58CFE7E7" w14:textId="77777777" w:rsidR="00A65A8D" w:rsidRDefault="00A65A8D"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Galutiniai paramos</w:t>
                              </w:r>
                            </w:p>
                            <w:p w14:paraId="3B008154" w14:textId="77777777" w:rsidR="00A65A8D" w:rsidRDefault="00A65A8D"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 xml:space="preserve"> gavėjai</w:t>
                              </w:r>
                            </w:p>
                            <w:p w14:paraId="1D6E4963" w14:textId="77777777" w:rsidR="00A65A8D" w:rsidRDefault="00A65A8D" w:rsidP="00583EB1">
                              <w:pPr>
                                <w:spacing w:after="0" w:line="240" w:lineRule="auto"/>
                                <w:jc w:val="center"/>
                                <w:rPr>
                                  <w:b/>
                                  <w:color w:val="FFFFFF"/>
                                  <w:sz w:val="16"/>
                                  <w:szCs w:val="16"/>
                                </w:rPr>
                              </w:pPr>
                            </w:p>
                          </w:txbxContent>
                        </wps:txbx>
                        <wps:bodyPr rot="0" vert="horz" wrap="square" lIns="91440" tIns="45720" rIns="91440" bIns="45720" anchor="t" anchorCtr="0" upright="1">
                          <a:noAutofit/>
                        </wps:bodyPr>
                      </wps:wsp>
                      <wps:wsp>
                        <wps:cNvPr id="453" name="AutoShape 17"/>
                        <wps:cNvSpPr>
                          <a:spLocks noChangeArrowheads="1"/>
                        </wps:cNvSpPr>
                        <wps:spPr bwMode="auto">
                          <a:xfrm>
                            <a:off x="3296933" y="2577044"/>
                            <a:ext cx="1424319" cy="242002"/>
                          </a:xfrm>
                          <a:prstGeom prst="roundRect">
                            <a:avLst>
                              <a:gd name="adj" fmla="val 16667"/>
                            </a:avLst>
                          </a:prstGeom>
                          <a:solidFill>
                            <a:srgbClr val="E36C0A"/>
                          </a:solidFill>
                          <a:ln w="9525">
                            <a:solidFill>
                              <a:srgbClr val="974706"/>
                            </a:solidFill>
                            <a:round/>
                            <a:headEnd/>
                            <a:tailEnd/>
                          </a:ln>
                        </wps:spPr>
                        <wps:txbx>
                          <w:txbxContent>
                            <w:p w14:paraId="09DC8C1F" w14:textId="77777777" w:rsidR="00A65A8D" w:rsidRDefault="00A65A8D"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Finansinis tarpininkas</w:t>
                              </w:r>
                            </w:p>
                          </w:txbxContent>
                        </wps:txbx>
                        <wps:bodyPr rot="0" vert="horz" wrap="square" lIns="91440" tIns="45720" rIns="91440" bIns="45720" anchor="t" anchorCtr="0" upright="1">
                          <a:noAutofit/>
                        </wps:bodyPr>
                      </wps:wsp>
                      <wps:wsp>
                        <wps:cNvPr id="459" name="AutoShape 18"/>
                        <wps:cNvSpPr>
                          <a:spLocks noChangeArrowheads="1"/>
                        </wps:cNvSpPr>
                        <wps:spPr bwMode="auto">
                          <a:xfrm>
                            <a:off x="3296000" y="968172"/>
                            <a:ext cx="1423519" cy="242102"/>
                          </a:xfrm>
                          <a:prstGeom prst="roundRect">
                            <a:avLst>
                              <a:gd name="adj" fmla="val 16667"/>
                            </a:avLst>
                          </a:prstGeom>
                          <a:solidFill>
                            <a:srgbClr val="E36C0A"/>
                          </a:solidFill>
                          <a:ln w="9525">
                            <a:solidFill>
                              <a:srgbClr val="974706"/>
                            </a:solidFill>
                            <a:round/>
                            <a:headEnd/>
                            <a:tailEnd/>
                          </a:ln>
                        </wps:spPr>
                        <wps:txbx>
                          <w:txbxContent>
                            <w:p w14:paraId="0A147C70" w14:textId="77777777" w:rsidR="00A65A8D" w:rsidRDefault="00A65A8D"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Fondų fondas</w:t>
                              </w:r>
                            </w:p>
                          </w:txbxContent>
                        </wps:txbx>
                        <wps:bodyPr rot="0" vert="horz" wrap="square" lIns="91440" tIns="45720" rIns="91440" bIns="45720" anchor="t" anchorCtr="0" upright="1">
                          <a:noAutofit/>
                        </wps:bodyPr>
                      </wps:wsp>
                      <wps:wsp>
                        <wps:cNvPr id="461" name="AutoShape 24"/>
                        <wps:cNvCnPr>
                          <a:cxnSpLocks noChangeShapeType="1"/>
                        </wps:cNvCnPr>
                        <wps:spPr bwMode="auto">
                          <a:xfrm>
                            <a:off x="2854837" y="409104"/>
                            <a:ext cx="445906" cy="1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AutoShape 27"/>
                        <wps:cNvCnPr>
                          <a:cxnSpLocks noChangeShapeType="1"/>
                          <a:stCxn id="21" idx="2"/>
                          <a:endCxn id="459" idx="0"/>
                        </wps:cNvCnPr>
                        <wps:spPr bwMode="auto">
                          <a:xfrm flipH="1">
                            <a:off x="4007760" y="531605"/>
                            <a:ext cx="933" cy="4365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 name="AutoShape 28"/>
                        <wps:cNvCnPr>
                          <a:cxnSpLocks noChangeShapeType="1"/>
                          <a:stCxn id="218" idx="4"/>
                          <a:endCxn id="453" idx="0"/>
                        </wps:cNvCnPr>
                        <wps:spPr bwMode="auto">
                          <a:xfrm flipH="1">
                            <a:off x="4009093" y="2141534"/>
                            <a:ext cx="124" cy="435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29"/>
                        <wps:cNvCnPr>
                          <a:cxnSpLocks noChangeShapeType="1"/>
                          <a:stCxn id="453" idx="2"/>
                          <a:endCxn id="22" idx="0"/>
                        </wps:cNvCnPr>
                        <wps:spPr bwMode="auto">
                          <a:xfrm flipH="1">
                            <a:off x="4006893" y="2819046"/>
                            <a:ext cx="2200" cy="6395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6" name="AutoShape 11"/>
                        <wps:cNvSpPr>
                          <a:spLocks noChangeArrowheads="1"/>
                        </wps:cNvSpPr>
                        <wps:spPr bwMode="auto">
                          <a:xfrm>
                            <a:off x="489006" y="963409"/>
                            <a:ext cx="2365431" cy="258502"/>
                          </a:xfrm>
                          <a:prstGeom prst="roundRect">
                            <a:avLst>
                              <a:gd name="adj" fmla="val 16667"/>
                            </a:avLst>
                          </a:prstGeom>
                          <a:solidFill>
                            <a:srgbClr val="E36C0A"/>
                          </a:solidFill>
                          <a:ln w="9525">
                            <a:solidFill>
                              <a:srgbClr val="974706"/>
                            </a:solidFill>
                            <a:round/>
                            <a:headEnd/>
                            <a:tailEnd/>
                          </a:ln>
                        </wps:spPr>
                        <wps:txbx>
                          <w:txbxContent>
                            <w:p w14:paraId="63737DB0" w14:textId="77777777" w:rsidR="00A65A8D" w:rsidRDefault="00A65A8D" w:rsidP="00583EB1">
                              <w:pPr>
                                <w:pStyle w:val="prastasistinklapis"/>
                                <w:spacing w:before="0" w:beforeAutospacing="0" w:after="0" w:afterAutospacing="0" w:line="276" w:lineRule="auto"/>
                                <w:jc w:val="center"/>
                                <w:rPr>
                                  <w:rFonts w:ascii="Georgia" w:hAnsi="Georgia"/>
                                  <w:lang w:val="lt-LT"/>
                                </w:rPr>
                              </w:pPr>
                              <w:r>
                                <w:rPr>
                                  <w:rFonts w:ascii="Georgia" w:eastAsia="Calibri" w:hAnsi="Georgia"/>
                                  <w:b/>
                                  <w:bCs/>
                                  <w:color w:val="FFFFFF"/>
                                  <w:sz w:val="16"/>
                                  <w:szCs w:val="16"/>
                                  <w:lang w:val="lt-LT"/>
                                </w:rPr>
                                <w:t xml:space="preserve">Viešųjų ir/arprivačių lėšų pritraukimas </w:t>
                              </w:r>
                            </w:p>
                          </w:txbxContent>
                        </wps:txbx>
                        <wps:bodyPr rot="0" vert="horz" wrap="square" lIns="91440" tIns="45720" rIns="91440" bIns="45720" anchor="t" anchorCtr="0" upright="1">
                          <a:noAutofit/>
                        </wps:bodyPr>
                      </wps:wsp>
                      <wps:wsp>
                        <wps:cNvPr id="4097" name="AutoShape 24"/>
                        <wps:cNvCnPr>
                          <a:stCxn id="4096" idx="3"/>
                          <a:endCxn id="459" idx="1"/>
                        </wps:cNvCnPr>
                        <wps:spPr bwMode="auto">
                          <a:xfrm flipV="1">
                            <a:off x="2854437" y="1089223"/>
                            <a:ext cx="441563" cy="34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8" name="AutoShape 11"/>
                        <wps:cNvSpPr>
                          <a:spLocks noChangeArrowheads="1"/>
                        </wps:cNvSpPr>
                        <wps:spPr bwMode="auto">
                          <a:xfrm>
                            <a:off x="491306" y="3561134"/>
                            <a:ext cx="2364831" cy="257802"/>
                          </a:xfrm>
                          <a:prstGeom prst="roundRect">
                            <a:avLst>
                              <a:gd name="adj" fmla="val 16667"/>
                            </a:avLst>
                          </a:prstGeom>
                          <a:solidFill>
                            <a:srgbClr val="E36C0A"/>
                          </a:solidFill>
                          <a:ln w="9525">
                            <a:solidFill>
                              <a:srgbClr val="974706"/>
                            </a:solidFill>
                            <a:round/>
                            <a:headEnd/>
                            <a:tailEnd/>
                          </a:ln>
                        </wps:spPr>
                        <wps:txbx>
                          <w:txbxContent>
                            <w:p w14:paraId="66AE3FC6" w14:textId="77777777" w:rsidR="00A65A8D" w:rsidRDefault="00A65A8D" w:rsidP="00583EB1">
                              <w:pPr>
                                <w:pStyle w:val="prastasistinklapis"/>
                                <w:spacing w:before="0" w:beforeAutospacing="0" w:after="0" w:afterAutospacing="0" w:line="276" w:lineRule="auto"/>
                                <w:jc w:val="center"/>
                                <w:rPr>
                                  <w:rFonts w:ascii="Georgia" w:hAnsi="Georgia"/>
                                  <w:lang w:val="lt-LT"/>
                                </w:rPr>
                              </w:pPr>
                              <w:r>
                                <w:rPr>
                                  <w:rFonts w:ascii="Georgia" w:eastAsia="Calibri" w:hAnsi="Georgia"/>
                                  <w:b/>
                                  <w:bCs/>
                                  <w:color w:val="FFFFFF"/>
                                  <w:sz w:val="16"/>
                                  <w:szCs w:val="16"/>
                                  <w:lang w:val="lt-LT"/>
                                </w:rPr>
                                <w:t xml:space="preserve">Viešųjų ir/ar privačių lėšų pritraukimas </w:t>
                              </w:r>
                            </w:p>
                          </w:txbxContent>
                        </wps:txbx>
                        <wps:bodyPr rot="0" vert="horz" wrap="square" lIns="91440" tIns="45720" rIns="91440" bIns="45720" anchor="t" anchorCtr="0" upright="1">
                          <a:noAutofit/>
                        </wps:bodyPr>
                      </wps:wsp>
                      <wps:wsp>
                        <wps:cNvPr id="4102" name="AutoShape 24"/>
                        <wps:cNvCnPr>
                          <a:stCxn id="4098" idx="3"/>
                          <a:endCxn id="22" idx="1"/>
                        </wps:cNvCnPr>
                        <wps:spPr bwMode="auto">
                          <a:xfrm>
                            <a:off x="2856137" y="3690035"/>
                            <a:ext cx="438996"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3" name="AutoShape 11"/>
                        <wps:cNvSpPr>
                          <a:spLocks noChangeArrowheads="1"/>
                        </wps:cNvSpPr>
                        <wps:spPr bwMode="auto">
                          <a:xfrm>
                            <a:off x="435906" y="2565824"/>
                            <a:ext cx="2364731" cy="257802"/>
                          </a:xfrm>
                          <a:prstGeom prst="roundRect">
                            <a:avLst>
                              <a:gd name="adj" fmla="val 16667"/>
                            </a:avLst>
                          </a:prstGeom>
                          <a:solidFill>
                            <a:srgbClr val="E36C0A"/>
                          </a:solidFill>
                          <a:ln w="9525">
                            <a:solidFill>
                              <a:srgbClr val="974706"/>
                            </a:solidFill>
                            <a:round/>
                            <a:headEnd/>
                            <a:tailEnd/>
                          </a:ln>
                        </wps:spPr>
                        <wps:txbx>
                          <w:txbxContent>
                            <w:p w14:paraId="10817EA7" w14:textId="77777777" w:rsidR="00A65A8D" w:rsidRDefault="00A65A8D" w:rsidP="00583EB1">
                              <w:pPr>
                                <w:pStyle w:val="prastasistinklapis"/>
                                <w:spacing w:before="0" w:beforeAutospacing="0" w:after="0" w:afterAutospacing="0" w:line="276" w:lineRule="auto"/>
                                <w:jc w:val="center"/>
                                <w:rPr>
                                  <w:rFonts w:ascii="Georgia" w:hAnsi="Georgia"/>
                                  <w:lang w:val="lt-LT"/>
                                </w:rPr>
                              </w:pPr>
                              <w:r>
                                <w:rPr>
                                  <w:rFonts w:ascii="Georgia" w:eastAsia="Calibri" w:hAnsi="Georgia"/>
                                  <w:b/>
                                  <w:bCs/>
                                  <w:color w:val="FFFFFF"/>
                                  <w:sz w:val="16"/>
                                  <w:szCs w:val="16"/>
                                  <w:lang w:val="lt-LT"/>
                                </w:rPr>
                                <w:t xml:space="preserve">Viešųjų ir/ar privačių lėšų pritraukimas </w:t>
                              </w:r>
                            </w:p>
                          </w:txbxContent>
                        </wps:txbx>
                        <wps:bodyPr rot="0" vert="horz" wrap="square" lIns="91440" tIns="45720" rIns="91440" bIns="45720" anchor="t" anchorCtr="0" upright="1">
                          <a:noAutofit/>
                        </wps:bodyPr>
                      </wps:wsp>
                      <wps:wsp>
                        <wps:cNvPr id="4104" name="AutoShape 24"/>
                        <wps:cNvCnPr>
                          <a:endCxn id="453" idx="1"/>
                        </wps:cNvCnPr>
                        <wps:spPr bwMode="auto">
                          <a:xfrm>
                            <a:off x="2800637" y="2698045"/>
                            <a:ext cx="4962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5" name="AutoShape 11"/>
                        <wps:cNvSpPr>
                          <a:spLocks noChangeArrowheads="1"/>
                        </wps:cNvSpPr>
                        <wps:spPr bwMode="auto">
                          <a:xfrm>
                            <a:off x="490106" y="1692716"/>
                            <a:ext cx="2364731" cy="257802"/>
                          </a:xfrm>
                          <a:prstGeom prst="roundRect">
                            <a:avLst>
                              <a:gd name="adj" fmla="val 16667"/>
                            </a:avLst>
                          </a:prstGeom>
                          <a:solidFill>
                            <a:srgbClr val="E36C0A"/>
                          </a:solidFill>
                          <a:ln w="9525">
                            <a:solidFill>
                              <a:srgbClr val="974706"/>
                            </a:solidFill>
                            <a:round/>
                            <a:headEnd/>
                            <a:tailEnd/>
                          </a:ln>
                        </wps:spPr>
                        <wps:txbx>
                          <w:txbxContent>
                            <w:p w14:paraId="229C228C" w14:textId="77777777" w:rsidR="00A65A8D" w:rsidRDefault="00A65A8D" w:rsidP="00583EB1">
                              <w:pPr>
                                <w:pStyle w:val="prastasistinklapis"/>
                                <w:spacing w:before="0" w:beforeAutospacing="0" w:after="0" w:afterAutospacing="0" w:line="276" w:lineRule="auto"/>
                                <w:jc w:val="center"/>
                                <w:rPr>
                                  <w:rFonts w:ascii="Georgia" w:hAnsi="Georgia"/>
                                  <w:lang w:val="lt-LT"/>
                                </w:rPr>
                              </w:pPr>
                              <w:r>
                                <w:rPr>
                                  <w:rFonts w:ascii="Georgia" w:eastAsia="Calibri" w:hAnsi="Georgia"/>
                                  <w:b/>
                                  <w:bCs/>
                                  <w:color w:val="FFFFFF"/>
                                  <w:sz w:val="16"/>
                                  <w:szCs w:val="16"/>
                                  <w:lang w:val="lt-LT"/>
                                </w:rPr>
                                <w:t xml:space="preserve">Viešųjų ir/ar privačių lėšų pritraukimas </w:t>
                              </w:r>
                            </w:p>
                          </w:txbxContent>
                        </wps:txbx>
                        <wps:bodyPr rot="0" vert="horz" wrap="square" lIns="91440" tIns="45720" rIns="91440" bIns="45720" anchor="t" anchorCtr="0" upright="1">
                          <a:noAutofit/>
                        </wps:bodyPr>
                      </wps:wsp>
                      <wps:wsp>
                        <wps:cNvPr id="4106" name="AutoShape 24"/>
                        <wps:cNvCnPr>
                          <a:stCxn id="4105" idx="3"/>
                          <a:endCxn id="218" idx="2"/>
                        </wps:cNvCnPr>
                        <wps:spPr bwMode="auto">
                          <a:xfrm flipV="1">
                            <a:off x="2854837" y="1819272"/>
                            <a:ext cx="584467" cy="2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Oval 218"/>
                        <wps:cNvSpPr>
                          <a:spLocks noChangeArrowheads="1"/>
                        </wps:cNvSpPr>
                        <wps:spPr bwMode="auto">
                          <a:xfrm>
                            <a:off x="3439304" y="1497009"/>
                            <a:ext cx="1139825" cy="644525"/>
                          </a:xfrm>
                          <a:prstGeom prst="ellipse">
                            <a:avLst/>
                          </a:prstGeom>
                          <a:solidFill>
                            <a:srgbClr val="FFC000"/>
                          </a:solidFill>
                          <a:ln w="9525">
                            <a:solidFill>
                              <a:srgbClr val="974706"/>
                            </a:solidFill>
                            <a:round/>
                            <a:headEnd/>
                            <a:tailEnd/>
                          </a:ln>
                        </wps:spPr>
                        <wps:txbx>
                          <w:txbxContent>
                            <w:p w14:paraId="48BA7BCE" w14:textId="77777777" w:rsidR="00A65A8D" w:rsidRDefault="00A65A8D" w:rsidP="008F65CF">
                              <w:pPr>
                                <w:pStyle w:val="prastasistinklapis"/>
                                <w:spacing w:before="0" w:beforeAutospacing="0" w:after="200" w:afterAutospacing="0" w:line="276" w:lineRule="auto"/>
                                <w:jc w:val="center"/>
                              </w:pPr>
                              <w:r>
                                <w:rPr>
                                  <w:rFonts w:ascii="Georgia" w:eastAsia="Calibri" w:hAnsi="Georgia"/>
                                  <w:b/>
                                  <w:bCs/>
                                  <w:color w:val="FFFFFF"/>
                                  <w:sz w:val="18"/>
                                  <w:szCs w:val="18"/>
                                  <w:lang w:val="lt-LT"/>
                                </w:rPr>
                                <w:t>Finansinė priemonė</w:t>
                              </w:r>
                            </w:p>
                          </w:txbxContent>
                        </wps:txbx>
                        <wps:bodyPr rot="0" vert="horz" wrap="square" lIns="91440" tIns="45720" rIns="91440" bIns="45720" anchor="t" anchorCtr="0" upright="1">
                          <a:noAutofit/>
                        </wps:bodyPr>
                      </wps:wsp>
                      <wps:wsp>
                        <wps:cNvPr id="219" name="AutoShape 27"/>
                        <wps:cNvCnPr>
                          <a:cxnSpLocks noChangeShapeType="1"/>
                          <a:stCxn id="459" idx="2"/>
                          <a:endCxn id="218" idx="0"/>
                        </wps:cNvCnPr>
                        <wps:spPr bwMode="auto">
                          <a:xfrm>
                            <a:off x="4007760" y="1210274"/>
                            <a:ext cx="1457" cy="286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Drobė 4114" o:spid="_x0000_s1065" editas="canvas" style="width:451.25pt;height:333.2pt;mso-position-horizontal-relative:char;mso-position-vertical-relative:line" coordsize="57308,4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">
                <v:shape id="_x0000_s1066" type="#_x0000_t75" style="position:absolute;width:57308;height:42316;visibility:visible;mso-wrap-style:square">
                  <v:fill o:detectmouseclick="t"/>
                  <v:path o:connecttype="none"/>
                </v:shape>
                <v:rect id="Rectangle 9" o:spid="_x0000_s1067" style="position:absolute;left:31215;top:1088;width:18013;height:40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ipcMA&#10;AADaAAAADwAAAGRycy9kb3ducmV2LnhtbESPwWrDMBBE74X8g9hAb7XcFEpxLZtQCIT4kiaB0tvW&#10;2tgm1spIiu38fVQo9DjMzBsmL2fTi5Gc7ywreE5SEMS11R03Ck7HzdMbCB+QNfaWScGNPJTF4iHH&#10;TNuJP2k8hEZECPsMFbQhDJmUvm7JoE/sQBy9s3UGQ5SukdrhFOGml6s0fZUGO44LLQ700VJ9OVyN&#10;guF7R3oKWn7NR/ezddV6XzV7pR6X8/odRKA5/If/2lut4AV+r8Qb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XipcMAAADaAAAADwAAAAAAAAAAAAAAAACYAgAAZHJzL2Rv&#10;d25yZXYueG1sUEsFBgAAAAAEAAQA9QAAAIgDAAAAAA==&#10;" strokecolor="#e36c0a" strokeweight="1.5pt"/>
                <v:roundrect id="AutoShape 11" o:spid="_x0000_s1068" style="position:absolute;left:4890;top:2797;width:23658;height:25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5MMEA&#10;AADaAAAADwAAAGRycy9kb3ducmV2LnhtbESPwWrDMBBE74X8g9hAb40cY0xxooRQUsitdRpyXqyN&#10;ZGqtjKXaTr++KhR6HGbmDbPdz64TIw2h9axgvcpAEDdet2wUXD5en55BhIissfNMCu4UYL9bPGyx&#10;0n7imsZzNCJBOFSowMbYV1KGxpLDsPI9cfJufnAYkxyM1ANOCe46mWdZKR22nBYs9vRiqfk8fzkF&#10;RttD/f5m6mNminCJZY7f01Wpx+V82ICINMf/8F/7pBUU8Hsl3QC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y+TDBAAAA2gAAAA8AAAAAAAAAAAAAAAAAmAIAAGRycy9kb3du&#10;cmV2LnhtbFBLBQYAAAAABAAEAPUAAACGAwAAAAA=&#10;" fillcolor="#e36c0a" strokecolor="#974706">
                  <v:textbox>
                    <w:txbxContent>
                      <w:p w14:paraId="7584CD1D" w14:textId="77777777" w:rsidR="00A65A8D" w:rsidRDefault="00A65A8D"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 xml:space="preserve">Viešųjų ir/ar privačių lėšų pritraukimas </w:t>
                        </w:r>
                      </w:p>
                    </w:txbxContent>
                  </v:textbox>
                </v:roundrect>
                <v:roundrect id="AutoShape 12" o:spid="_x0000_s1069" style="position:absolute;left:32969;top:2904;width:14235;height:24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8qeMIA&#10;AADbAAAADwAAAGRycy9kb3ducmV2LnhtbESPQWvCQBSE7wX/w/IEb3VjEJHUTRCx0FsbFc+P7Otu&#10;MPs2ZFeT9td3C4Ueh5n5htlVk+vEg4bQelawWmYgiBuvWzYKLufX5y2IEJE1dp5JwRcFqMrZ0w4L&#10;7Ueu6XGKRiQIhwIV2Bj7QsrQWHIYlr4nTt6nHxzGJAcj9YBjgrtO5lm2kQ5bTgsWezpYam6nu1Ng&#10;tN3XH++mPmZmHS5xk+P3eFVqMZ/2LyAiTfE//Nd+0wryFfx+ST9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7yp4wgAAANsAAAAPAAAAAAAAAAAAAAAAAJgCAABkcnMvZG93&#10;bnJldi54bWxQSwUGAAAAAAQABAD1AAAAhwMAAAAA&#10;" fillcolor="#e36c0a" strokecolor="#974706">
                  <v:textbox>
                    <w:txbxContent>
                      <w:p w14:paraId="4812A6BF" w14:textId="77777777" w:rsidR="00A65A8D" w:rsidRDefault="00A65A8D" w:rsidP="00583EB1">
                        <w:pPr>
                          <w:spacing w:after="0" w:line="240" w:lineRule="auto"/>
                          <w:jc w:val="center"/>
                          <w:rPr>
                            <w:b/>
                            <w:color w:val="FFFFFF"/>
                            <w:sz w:val="16"/>
                            <w:szCs w:val="16"/>
                          </w:rPr>
                        </w:pPr>
                        <w:r>
                          <w:rPr>
                            <w:rFonts w:ascii="Georgia" w:hAnsi="Georgia"/>
                            <w:b/>
                            <w:color w:val="FFFFFF"/>
                            <w:sz w:val="16"/>
                            <w:szCs w:val="16"/>
                            <w:lang w:val="lt-LT"/>
                          </w:rPr>
                          <w:t>Vadovaujančioji</w:t>
                        </w:r>
                        <w:r>
                          <w:rPr>
                            <w:b/>
                            <w:color w:val="FFFFFF"/>
                            <w:sz w:val="16"/>
                            <w:szCs w:val="16"/>
                          </w:rPr>
                          <w:t xml:space="preserve"> institucija</w:t>
                        </w:r>
                      </w:p>
                    </w:txbxContent>
                  </v:textbox>
                </v:roundrect>
                <v:roundrect id="AutoShape 15" o:spid="_x0000_s1070" style="position:absolute;left:32951;top:34586;width:14235;height:46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20D8EA&#10;AADbAAAADwAAAGRycy9kb3ducmV2LnhtbESPQYvCMBSE74L/ITxhb5paFpGuUURc2JtWZc+P5pkU&#10;m5fSRFv312+EhT0OM/MNs9oMrhEP6kLtWcF8loEgrryu2Si4nD+nSxAhImtsPJOCJwXYrMejFRba&#10;91zS4xSNSBAOBSqwMbaFlKGy5DDMfEucvKvvHMYkOyN1h32Cu0bmWbaQDmtOCxZb2lmqbqe7U2C0&#10;3ZbHgyn3mXkPl7jI8af/VuptMmw/QEQa4n/4r/2lFeQ5vL6k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9tA/BAAAA2wAAAA8AAAAAAAAAAAAAAAAAmAIAAGRycy9kb3du&#10;cmV2LnhtbFBLBQYAAAAABAAEAPUAAACGAwAAAAA=&#10;" fillcolor="#e36c0a" strokecolor="#974706">
                  <v:textbox>
                    <w:txbxContent>
                      <w:p w14:paraId="58CFE7E7" w14:textId="77777777" w:rsidR="00A65A8D" w:rsidRDefault="00A65A8D"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Galutiniai paramos</w:t>
                        </w:r>
                      </w:p>
                      <w:p w14:paraId="3B008154" w14:textId="77777777" w:rsidR="00A65A8D" w:rsidRDefault="00A65A8D"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 xml:space="preserve"> gavėjai</w:t>
                        </w:r>
                      </w:p>
                      <w:p w14:paraId="1D6E4963" w14:textId="77777777" w:rsidR="00A65A8D" w:rsidRDefault="00A65A8D" w:rsidP="00583EB1">
                        <w:pPr>
                          <w:spacing w:after="0" w:line="240" w:lineRule="auto"/>
                          <w:jc w:val="center"/>
                          <w:rPr>
                            <w:b/>
                            <w:color w:val="FFFFFF"/>
                            <w:sz w:val="16"/>
                            <w:szCs w:val="16"/>
                          </w:rPr>
                        </w:pPr>
                      </w:p>
                    </w:txbxContent>
                  </v:textbox>
                </v:roundrect>
                <v:roundrect id="AutoShape 17" o:spid="_x0000_s1071" style="position:absolute;left:32969;top:25770;width:14243;height:2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WqMMA&#10;AADcAAAADwAAAGRycy9kb3ducmV2LnhtbESPQWsCMRSE74X+h/AKvdVsrRVZjSKi0JuuiufH5pks&#10;3bwsm+hu/fVGEHocZuYbZrboXS2u1IbKs4LPQQaCuPS6YqPgeNh8TECEiKyx9kwK/ijAYv76MsNc&#10;+44Luu6jEQnCIUcFNsYmlzKUlhyGgW+Ik3f2rcOYZGukbrFLcFfLYZaNpcOK04LFhlaWyt/9xSkw&#10;2i6L3dYU68yMwjGOh3jrTkq9v/XLKYhIffwPP9s/WsHo+wseZ9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gWqMMAAADcAAAADwAAAAAAAAAAAAAAAACYAgAAZHJzL2Rv&#10;d25yZXYueG1sUEsFBgAAAAAEAAQA9QAAAIgDAAAAAA==&#10;" fillcolor="#e36c0a" strokecolor="#974706">
                  <v:textbox>
                    <w:txbxContent>
                      <w:p w14:paraId="09DC8C1F" w14:textId="77777777" w:rsidR="00A65A8D" w:rsidRDefault="00A65A8D"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Finansinis tarpininkas</w:t>
                        </w:r>
                      </w:p>
                    </w:txbxContent>
                  </v:textbox>
                </v:roundrect>
                <v:roundrect id="AutoShape 18" o:spid="_x0000_s1072" style="position:absolute;left:32960;top:9681;width:14235;height:24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hQsMA&#10;AADcAAAADwAAAGRycy9kb3ducmV2LnhtbESPQWsCMRSE7wX/Q3iF3mq2omK3RhGx0JuuiufH5pks&#10;bl6WTXS3/nojFHocZuYbZr7sXS1u1IbKs4KPYQaCuPS6YqPgePh+n4EIEVlj7ZkU/FKA5WLwMsdc&#10;+44Luu2jEQnCIUcFNsYmlzKUlhyGoW+Ik3f2rcOYZGukbrFLcFfLUZZNpcOK04LFhtaWysv+6hQY&#10;bVfFbmuKTWbG4RinI7x3J6XeXvvVF4hIffwP/7V/tILx5BOeZ9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AhQsMAAADcAAAADwAAAAAAAAAAAAAAAACYAgAAZHJzL2Rv&#10;d25yZXYueG1sUEsFBgAAAAAEAAQA9QAAAIgDAAAAAA==&#10;" fillcolor="#e36c0a" strokecolor="#974706">
                  <v:textbox>
                    <w:txbxContent>
                      <w:p w14:paraId="0A147C70" w14:textId="77777777" w:rsidR="00A65A8D" w:rsidRDefault="00A65A8D" w:rsidP="00583EB1">
                        <w:pPr>
                          <w:spacing w:after="0" w:line="240" w:lineRule="auto"/>
                          <w:jc w:val="center"/>
                          <w:rPr>
                            <w:rFonts w:ascii="Georgia" w:hAnsi="Georgia"/>
                            <w:b/>
                            <w:color w:val="FFFFFF"/>
                            <w:sz w:val="16"/>
                            <w:szCs w:val="16"/>
                            <w:lang w:val="lt-LT"/>
                          </w:rPr>
                        </w:pPr>
                        <w:r>
                          <w:rPr>
                            <w:rFonts w:ascii="Georgia" w:hAnsi="Georgia"/>
                            <w:b/>
                            <w:color w:val="FFFFFF"/>
                            <w:sz w:val="16"/>
                            <w:szCs w:val="16"/>
                            <w:lang w:val="lt-LT"/>
                          </w:rPr>
                          <w:t>Fondų fondas</w:t>
                        </w:r>
                      </w:p>
                    </w:txbxContent>
                  </v:textbox>
                </v:roundrect>
                <v:shape id="AutoShape 24" o:spid="_x0000_s1073" type="#_x0000_t32" style="position:absolute;left:28548;top:4091;width:4459;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LNK8UAAADcAAAADwAAAGRycy9kb3ducmV2LnhtbESPQWvCQBSE74L/YXlCb7qJiGh0lVKo&#10;iKUHtYT29sg+k9Ds27C7avTXuwWhx2FmvmGW68404kLO15YVpKMEBHFhdc2lgq/j+3AGwgdkjY1l&#10;UnAjD+tVv7fETNsr7+lyCKWIEPYZKqhCaDMpfVGRQT+yLXH0TtYZDFG6UmqH1wg3jRwnyVQarDku&#10;VNjSW0XF7+FsFHx/zM/5Lf+kXZ7Odz/ojL8fN0q9DLrXBYhAXfgPP9tbrWAyTe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LNK8UAAADcAAAADwAAAAAAAAAA&#10;AAAAAAChAgAAZHJzL2Rvd25yZXYueG1sUEsFBgAAAAAEAAQA+QAAAJMDAAAAAA==&#10;">
                  <v:stroke endarrow="block"/>
                </v:shape>
                <v:shape id="AutoShape 27" o:spid="_x0000_s1074" type="#_x0000_t32" style="position:absolute;left:40077;top:5316;width:9;height:43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EYH8IAAADcAAAADwAAAGRycy9kb3ducmV2LnhtbESPQWsCMRSE70L/Q3gFb5qtqJTVKFYo&#10;iBdRC+3xsXnuBjcvyybdrP/eCILHYWa+YZbr3taio9Ybxwo+xhkI4sJpw6WCn/P36BOED8gaa8ek&#10;4EYe1qu3wRJz7SIfqTuFUiQI+xwVVCE0uZS+qMiiH7uGOHkX11oMSbal1C3GBLe1nGTZXFo0nBYq&#10;bGhbUXE9/VsFJh5M1+y28Wv/++d1JHObOaPU8L3fLEAE6sMr/GzvtILpfAK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EYH8IAAADcAAAADwAAAAAAAAAAAAAA&#10;AAChAgAAZHJzL2Rvd25yZXYueG1sUEsFBgAAAAAEAAQA+QAAAJADAAAAAA==&#10;">
                  <v:stroke endarrow="block"/>
                </v:shape>
                <v:shape id="AutoShape 28" o:spid="_x0000_s1075" type="#_x0000_t32" style="position:absolute;left:40090;top:21415;width:2;height:43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29hMMAAADcAAAADwAAAGRycy9kb3ducmV2LnhtbESPQWsCMRSE74X+h/AK3mq2akVWo7SC&#10;IF6kWqjHx+a5G7p5WTZxs/57Iwgeh5n5hlmseluLjlpvHCv4GGYgiAunDZcKfo+b9xkIH5A11o5J&#10;wZU8rJavLwvMtYv8Q90hlCJB2OeooAqhyaX0RUUW/dA1xMk7u9ZiSLItpW4xJrit5SjLptKi4bRQ&#10;YUPrior/w8UqMHFvuma7jt+7v5PXkcz10xmlBm/91xxEoD48w4/2ViuYTMd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NvYTDAAAA3AAAAA8AAAAAAAAAAAAA&#10;AAAAoQIAAGRycy9kb3ducmV2LnhtbFBLBQYAAAAABAAEAPkAAACRAwAAAAA=&#10;">
                  <v:stroke endarrow="block"/>
                </v:shape>
                <v:shape id="AutoShape 29" o:spid="_x0000_s1076" type="#_x0000_t32" style="position:absolute;left:40068;top:28190;width:22;height:63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roundrect id="AutoShape 11" o:spid="_x0000_s1077" style="position:absolute;left:4890;top:9634;width:23654;height:25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bRcMA&#10;AADdAAAADwAAAGRycy9kb3ducmV2LnhtbESPQWsCMRSE74X+h/AKvdWkIotujSKlhd7qqvT82DyT&#10;xc3LskndbX+9EQSPw8x8wyzXo2/FmfrYBNbwOlEgiOtgGrYaDvvPlzmImJANtoFJwx9FWK8eH5ZY&#10;mjBwReddsiJDOJaowaXUlVLG2pHHOAkdcfaOofeYsuytND0OGe5bOVWqkB4bzgsOO3p3VJ92v16D&#10;NW5Tbb9t9aHsLB5SMcX/4Ufr56dx8wYi0Zju4Vv7y2iYqUUB1zf5Cc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tbRcMAAADdAAAADwAAAAAAAAAAAAAAAACYAgAAZHJzL2Rv&#10;d25yZXYueG1sUEsFBgAAAAAEAAQA9QAAAIgDAAAAAA==&#10;" fillcolor="#e36c0a" strokecolor="#974706">
                  <v:textbox>
                    <w:txbxContent>
                      <w:p w14:paraId="63737DB0" w14:textId="77777777" w:rsidR="00A65A8D" w:rsidRDefault="00A65A8D" w:rsidP="00583EB1">
                        <w:pPr>
                          <w:pStyle w:val="prastasistinklapis"/>
                          <w:spacing w:before="0" w:beforeAutospacing="0" w:after="0" w:afterAutospacing="0" w:line="276" w:lineRule="auto"/>
                          <w:jc w:val="center"/>
                          <w:rPr>
                            <w:rFonts w:ascii="Georgia" w:hAnsi="Georgia"/>
                            <w:lang w:val="lt-LT"/>
                          </w:rPr>
                        </w:pPr>
                        <w:r>
                          <w:rPr>
                            <w:rFonts w:ascii="Georgia" w:eastAsia="Calibri" w:hAnsi="Georgia"/>
                            <w:b/>
                            <w:bCs/>
                            <w:color w:val="FFFFFF"/>
                            <w:sz w:val="16"/>
                            <w:szCs w:val="16"/>
                            <w:lang w:val="lt-LT"/>
                          </w:rPr>
                          <w:t xml:space="preserve">Viešųjų ir/arprivačių lėšų pritraukimas </w:t>
                        </w:r>
                      </w:p>
                    </w:txbxContent>
                  </v:textbox>
                </v:roundrect>
                <v:shape id="AutoShape 24" o:spid="_x0000_s1078" type="#_x0000_t32" style="position:absolute;left:28544;top:10892;width:4416;height: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cPC8UAAADdAAAADwAAAGRycy9kb3ducmV2LnhtbESPT2sCMRTE7wW/Q3hCbzVrsVVXo1ih&#10;IL0U/4AeH5vnbnDzsmziZv32TaHQ4zAzv2GW697WoqPWG8cKxqMMBHHhtOFSwen4+TID4QOyxtox&#10;KXiQh/Vq8LTEXLvIe+oOoRQJwj5HBVUITS6lLyqy6EeuIU7e1bUWQ5JtKXWLMcFtLV+z7F1aNJwW&#10;KmxoW1FxO9ytAhO/TdfstvHj63zxOpJ5vDmj1POw3yxABOrDf/ivvdMKJtl8Cr9v0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cPC8UAAADdAAAADwAAAAAAAAAA&#10;AAAAAAChAgAAZHJzL2Rvd25yZXYueG1sUEsFBgAAAAAEAAQA+QAAAJMDAAAAAA==&#10;">
                  <v:stroke endarrow="block"/>
                </v:shape>
                <v:roundrect id="AutoShape 11" o:spid="_x0000_s1079" style="position:absolute;left:4913;top:35611;width:23648;height:25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qrMAA&#10;AADdAAAADwAAAGRycy9kb3ducmV2LnhtbERPTWsCMRC9C/6HMEJvmlRE2q1RRBR601XpedhMk6Wb&#10;ybKJ7ra/3hyEHh/ve7UZfCPu1MU6sIbXmQJBXAVTs9VwvRymbyBiQjbYBCYNvxRhsx6PVliY0HNJ&#10;93OyIodwLFCDS6ktpIyVI49xFlrizH2HzmPKsLPSdNjncN/IuVJL6bHm3OCwpZ2j6ud88xqscdvy&#10;dLTlXtlFvKblHP/6L61fJsP2A0SiIf2Ln+5Po2Gh3vPc/CY/Ab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hqrMAAAADdAAAADwAAAAAAAAAAAAAAAACYAgAAZHJzL2Rvd25y&#10;ZXYueG1sUEsFBgAAAAAEAAQA9QAAAIUDAAAAAA==&#10;" fillcolor="#e36c0a" strokecolor="#974706">
                  <v:textbox>
                    <w:txbxContent>
                      <w:p w14:paraId="66AE3FC6" w14:textId="77777777" w:rsidR="00A65A8D" w:rsidRDefault="00A65A8D" w:rsidP="00583EB1">
                        <w:pPr>
                          <w:pStyle w:val="prastasistinklapis"/>
                          <w:spacing w:before="0" w:beforeAutospacing="0" w:after="0" w:afterAutospacing="0" w:line="276" w:lineRule="auto"/>
                          <w:jc w:val="center"/>
                          <w:rPr>
                            <w:rFonts w:ascii="Georgia" w:hAnsi="Georgia"/>
                            <w:lang w:val="lt-LT"/>
                          </w:rPr>
                        </w:pPr>
                        <w:r>
                          <w:rPr>
                            <w:rFonts w:ascii="Georgia" w:eastAsia="Calibri" w:hAnsi="Georgia"/>
                            <w:b/>
                            <w:bCs/>
                            <w:color w:val="FFFFFF"/>
                            <w:sz w:val="16"/>
                            <w:szCs w:val="16"/>
                            <w:lang w:val="lt-LT"/>
                          </w:rPr>
                          <w:t xml:space="preserve">Viešųjų ir/ar privačių lėšų pritraukimas </w:t>
                        </w:r>
                      </w:p>
                    </w:txbxContent>
                  </v:textbox>
                </v:roundrect>
                <v:shape id="AutoShape 24" o:spid="_x0000_s1080" type="#_x0000_t32" style="position:absolute;left:28561;top:36900;width:4390;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DF48YAAADdAAAADwAAAGRycy9kb3ducmV2LnhtbESPQWvCQBSE74L/YXmCN91ERDS6SilU&#10;ROlBLaG9PbLPJDT7NuyuGvvruwWhx2FmvmFWm8404kbO15YVpOMEBHFhdc2lgo/z22gOwgdkjY1l&#10;UvAgD5t1v7fCTNs7H+l2CqWIEPYZKqhCaDMpfVGRQT+2LXH0LtYZDFG6UmqH9wg3jZwkyUwarDku&#10;VNjSa0XF9+lqFHweFtf8kb/TPk8X+y90xv+ct0oNB93LEkSgLvyHn+2dVjBNkw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QxePGAAAA3QAAAA8AAAAAAAAA&#10;AAAAAAAAoQIAAGRycy9kb3ducmV2LnhtbFBLBQYAAAAABAAEAPkAAACUAwAAAAA=&#10;">
                  <v:stroke endarrow="block"/>
                </v:shape>
                <v:roundrect id="AutoShape 11" o:spid="_x0000_s1081" style="position:absolute;left:4359;top:25658;width:23647;height:25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ix8QA&#10;AADdAAAADwAAAGRycy9kb3ducmV2LnhtbESPT2sCMRTE74V+h/AEbzXxD1K2RpFSwVtdlZ4fm9dk&#10;cfOybFJ320/fCILHYWZ+w6w2g2/ElbpYB9YwnSgQxFUwNVsN59Pu5RVETMgGm8Ck4ZcibNbPTyss&#10;TOi5pOsxWZEhHAvU4FJqCylj5chjnISWOHvfofOYsuysNB32Ge4bOVNqKT3WnBcctvTuqLocf7wG&#10;a9y2PHza8kPZRTyn5Qz/+i+tx6Nh+wYi0ZAe4Xt7bzQspmoOtzf5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XYsfEAAAA3QAAAA8AAAAAAAAAAAAAAAAAmAIAAGRycy9k&#10;b3ducmV2LnhtbFBLBQYAAAAABAAEAPUAAACJAwAAAAA=&#10;" fillcolor="#e36c0a" strokecolor="#974706">
                  <v:textbox>
                    <w:txbxContent>
                      <w:p w14:paraId="10817EA7" w14:textId="77777777" w:rsidR="00A65A8D" w:rsidRDefault="00A65A8D" w:rsidP="00583EB1">
                        <w:pPr>
                          <w:pStyle w:val="prastasistinklapis"/>
                          <w:spacing w:before="0" w:beforeAutospacing="0" w:after="0" w:afterAutospacing="0" w:line="276" w:lineRule="auto"/>
                          <w:jc w:val="center"/>
                          <w:rPr>
                            <w:rFonts w:ascii="Georgia" w:hAnsi="Georgia"/>
                            <w:lang w:val="lt-LT"/>
                          </w:rPr>
                        </w:pPr>
                        <w:r>
                          <w:rPr>
                            <w:rFonts w:ascii="Georgia" w:eastAsia="Calibri" w:hAnsi="Georgia"/>
                            <w:b/>
                            <w:bCs/>
                            <w:color w:val="FFFFFF"/>
                            <w:sz w:val="16"/>
                            <w:szCs w:val="16"/>
                            <w:lang w:val="lt-LT"/>
                          </w:rPr>
                          <w:t xml:space="preserve">Viešųjų ir/ar privačių lėšų pritraukimas </w:t>
                        </w:r>
                      </w:p>
                    </w:txbxContent>
                  </v:textbox>
                </v:roundrect>
                <v:shape id="AutoShape 24" o:spid="_x0000_s1082" type="#_x0000_t32" style="position:absolute;left:28006;top:26980;width:49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X4DMYAAADdAAAADwAAAGRycy9kb3ducmV2LnhtbESPQWvCQBSE7wX/w/IEb3WTIqLRVUqh&#10;RRQPagnt7ZF9JqHZt2F31eivdwWhx2FmvmHmy8404kzO15YVpMMEBHFhdc2lgu/D5+sEhA/IGhvL&#10;pOBKHpaL3sscM20vvKPzPpQiQthnqKAKoc2k9EVFBv3QtsTRO1pnMETpSqkdXiLcNPItScbSYM1x&#10;ocKWPioq/vYno+BnMz3l13xL6zydrn/RGX87fCk16HfvMxCBuvAffrZXWsEoTUbweBOf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1+AzGAAAA3QAAAA8AAAAAAAAA&#10;AAAAAAAAoQIAAGRycy9kb3ducmV2LnhtbFBLBQYAAAAABAAEAPkAAACUAwAAAAA=&#10;">
                  <v:stroke endarrow="block"/>
                </v:shape>
                <v:roundrect id="AutoShape 11" o:spid="_x0000_s1083" style="position:absolute;left:4901;top:16927;width:23647;height:25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JfKMQA&#10;AADdAAAADwAAAGRycy9kb3ducmV2LnhtbESPQWsCMRSE74X+h/CE3mqiqJStUaRY6K1dXXp+bF6T&#10;xc3Lsonutr++EQSPw8x8w6y3o2/FhfrYBNYwmyoQxHUwDVsN1fH9+QVETMgG28Ck4ZcibDePD2ss&#10;TBi4pMshWZEhHAvU4FLqCilj7chjnIaOOHs/ofeYsuytND0OGe5bOVdqJT02nBccdvTmqD4dzl6D&#10;NW5Xfn3acq/sIlZpNce/4Vvrp8m4ewWRaEz38K39YTQsZmoJ1zf5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yXyjEAAAA3QAAAA8AAAAAAAAAAAAAAAAAmAIAAGRycy9k&#10;b3ducmV2LnhtbFBLBQYAAAAABAAEAPUAAACJAwAAAAA=&#10;" fillcolor="#e36c0a" strokecolor="#974706">
                  <v:textbox>
                    <w:txbxContent>
                      <w:p w14:paraId="229C228C" w14:textId="77777777" w:rsidR="00A65A8D" w:rsidRDefault="00A65A8D" w:rsidP="00583EB1">
                        <w:pPr>
                          <w:pStyle w:val="prastasistinklapis"/>
                          <w:spacing w:before="0" w:beforeAutospacing="0" w:after="0" w:afterAutospacing="0" w:line="276" w:lineRule="auto"/>
                          <w:jc w:val="center"/>
                          <w:rPr>
                            <w:rFonts w:ascii="Georgia" w:hAnsi="Georgia"/>
                            <w:lang w:val="lt-LT"/>
                          </w:rPr>
                        </w:pPr>
                        <w:r>
                          <w:rPr>
                            <w:rFonts w:ascii="Georgia" w:eastAsia="Calibri" w:hAnsi="Georgia"/>
                            <w:b/>
                            <w:bCs/>
                            <w:color w:val="FFFFFF"/>
                            <w:sz w:val="16"/>
                            <w:szCs w:val="16"/>
                            <w:lang w:val="lt-LT"/>
                          </w:rPr>
                          <w:t xml:space="preserve">Viešųjų ir/ar privačių lėšų pritraukimas </w:t>
                        </w:r>
                      </w:p>
                    </w:txbxContent>
                  </v:textbox>
                </v:roundrect>
                <v:shape id="AutoShape 24" o:spid="_x0000_s1084" type="#_x0000_t32" style="position:absolute;left:28548;top:18192;width:5845;height: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AwisMAAADdAAAADwAAAGRycy9kb3ducmV2LnhtbESPQWsCMRSE7wX/Q3hCbzWrtFJWo6gg&#10;iJeiFvT42Dx3g5uXZRM36783hYLHYWa+YebL3taio9YbxwrGowwEceG04VLB72n78Q3CB2SNtWNS&#10;8CAPy8XgbY65dpEP1B1DKRKEfY4KqhCaXEpfVGTRj1xDnLyray2GJNtS6hZjgttaTrJsKi0aTgsV&#10;NrSpqLgd71aBiT+ma3abuN6fL15HMo8vZ5R6H/arGYhAfXiF/9s7reBznE3h7016An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AMIrDAAAA3QAAAA8AAAAAAAAAAAAA&#10;AAAAoQIAAGRycy9kb3ducmV2LnhtbFBLBQYAAAAABAAEAPkAAACRAwAAAAA=&#10;">
                  <v:stroke endarrow="block"/>
                </v:shape>
                <v:oval id="Oval 218" o:spid="_x0000_s1085" style="position:absolute;left:34393;top:14970;width:11398;height:6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zxpcEA&#10;AADcAAAADwAAAGRycy9kb3ducmV2LnhtbERPS4vCMBC+C/sfwix401QRkWqUZdlFxYP4OOhtbMa2&#10;bDMpTVbrv3cOgseP7z1btK5SN2pC6dnAoJ+AIs68LTk3cDz89iagQkS2WHkmAw8KsJh/dGaYWn/n&#10;Hd32MVcSwiFFA0WMdap1yApyGPq+Jhbu6huHUWCTa9vgXcJdpYdJMtYOS5aGAmv6Lij72/87A8Pz&#10;9rKp16PlKY5CtdysE5ysfozpfrZfU1CR2vgWv9wrK76BrJUzcgT0/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M8aXBAAAA3AAAAA8AAAAAAAAAAAAAAAAAmAIAAGRycy9kb3du&#10;cmV2LnhtbFBLBQYAAAAABAAEAPUAAACGAwAAAAA=&#10;" fillcolor="#ffc000" strokecolor="#974706">
                  <v:textbox>
                    <w:txbxContent>
                      <w:p w14:paraId="48BA7BCE" w14:textId="77777777" w:rsidR="00A65A8D" w:rsidRDefault="00A65A8D" w:rsidP="008F65CF">
                        <w:pPr>
                          <w:pStyle w:val="prastasistinklapis"/>
                          <w:spacing w:before="0" w:beforeAutospacing="0" w:after="200" w:afterAutospacing="0" w:line="276" w:lineRule="auto"/>
                          <w:jc w:val="center"/>
                        </w:pPr>
                        <w:r>
                          <w:rPr>
                            <w:rFonts w:ascii="Georgia" w:eastAsia="Calibri" w:hAnsi="Georgia"/>
                            <w:b/>
                            <w:bCs/>
                            <w:color w:val="FFFFFF"/>
                            <w:sz w:val="18"/>
                            <w:szCs w:val="18"/>
                            <w:lang w:val="lt-LT"/>
                          </w:rPr>
                          <w:t>Finansinė priemonė</w:t>
                        </w:r>
                      </w:p>
                    </w:txbxContent>
                  </v:textbox>
                </v:oval>
                <v:shape id="AutoShape 27" o:spid="_x0000_s1086" type="#_x0000_t32" style="position:absolute;left:40077;top:12102;width:15;height:28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wqMYAAADcAAAADwAAAGRycy9kb3ducmV2LnhtbESPT2vCQBTE74LfYXkFb7qJB2lSVykF&#10;S7H04B9CvT2yzyQ0+zbsrhr76V1B8DjMzG+Y+bI3rTiT841lBekkAUFcWt1wpWC/W41fQfiArLG1&#10;TAqu5GG5GA7mmGt74Q2dt6ESEcI+RwV1CF0upS9rMugntiOO3tE6gyFKV0nt8BLhppXTJJlJgw3H&#10;hRo7+qip/NuejILf7+xUXIsfWhdptj6gM/5/96nU6KV/fwMRqA/P8KP9pRVM0wz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5cKjGAAAA3AAAAA8AAAAAAAAA&#10;AAAAAAAAoQIAAGRycy9kb3ducmV2LnhtbFBLBQYAAAAABAAEAPkAAACUAwAAAAA=&#10;">
                  <v:stroke endarrow="block"/>
                </v:shape>
                <w10:anchorlock/>
              </v:group>
            </w:pict>
          </mc:Fallback>
        </mc:AlternateContent>
      </w:r>
    </w:p>
    <w:p w14:paraId="6BFD831A" w14:textId="3F4C5EDC" w:rsidR="00583EB1" w:rsidRPr="00893A57" w:rsidRDefault="00583EB1" w:rsidP="00583EB1">
      <w:pPr>
        <w:pStyle w:val="Antrat"/>
        <w:spacing w:line="276" w:lineRule="auto"/>
        <w:jc w:val="both"/>
        <w:rPr>
          <w:szCs w:val="20"/>
          <w:lang w:val="lt-LT"/>
        </w:rPr>
      </w:pPr>
      <w:bookmarkStart w:id="106" w:name="_Toc417378294"/>
      <w:r w:rsidRPr="00996380">
        <w:rPr>
          <w:lang w:val="lt-LT"/>
        </w:rPr>
        <w:t xml:space="preserve">Paveikslas </w:t>
      </w:r>
      <w:r w:rsidRPr="00996380">
        <w:rPr>
          <w:lang w:val="lt-LT"/>
        </w:rPr>
        <w:fldChar w:fldCharType="begin"/>
      </w:r>
      <w:r w:rsidRPr="00996380">
        <w:rPr>
          <w:lang w:val="lt-LT"/>
        </w:rPr>
        <w:instrText xml:space="preserve"> SEQ Paveikslas \* ARABIC </w:instrText>
      </w:r>
      <w:r w:rsidRPr="00996380">
        <w:rPr>
          <w:lang w:val="lt-LT"/>
        </w:rPr>
        <w:fldChar w:fldCharType="separate"/>
      </w:r>
      <w:r w:rsidR="00AA3082">
        <w:rPr>
          <w:noProof/>
          <w:lang w:val="lt-LT"/>
        </w:rPr>
        <w:t>17</w:t>
      </w:r>
      <w:r w:rsidRPr="00996380">
        <w:rPr>
          <w:lang w:val="lt-LT"/>
        </w:rPr>
        <w:fldChar w:fldCharType="end"/>
      </w:r>
      <w:r w:rsidRPr="00996380">
        <w:rPr>
          <w:lang w:val="lt-LT"/>
        </w:rPr>
        <w:t xml:space="preserve">. Finansinės priemonės lygiai, kuriuose </w:t>
      </w:r>
      <w:r>
        <w:rPr>
          <w:lang w:val="lt-LT"/>
        </w:rPr>
        <w:t>galimas</w:t>
      </w:r>
      <w:r w:rsidRPr="00996380">
        <w:rPr>
          <w:lang w:val="lt-LT"/>
        </w:rPr>
        <w:t xml:space="preserve"> papildomų lėšų pritraukimas.</w:t>
      </w:r>
      <w:bookmarkEnd w:id="106"/>
      <w:r w:rsidRPr="00996380">
        <w:rPr>
          <w:lang w:val="lt-LT"/>
        </w:rPr>
        <w:t xml:space="preserve"> </w:t>
      </w:r>
    </w:p>
    <w:p w14:paraId="779B70F5" w14:textId="77777777" w:rsidR="00583EB1" w:rsidRPr="00424E53" w:rsidRDefault="00583EB1" w:rsidP="00583EB1">
      <w:pPr>
        <w:jc w:val="both"/>
        <w:rPr>
          <w:rFonts w:ascii="Georgia" w:hAnsi="Georgia"/>
          <w:sz w:val="20"/>
          <w:szCs w:val="20"/>
          <w:lang w:val="lt-LT"/>
        </w:rPr>
      </w:pPr>
      <w:r w:rsidRPr="00424E53">
        <w:rPr>
          <w:rFonts w:ascii="Georgia" w:hAnsi="Georgia"/>
          <w:sz w:val="20"/>
          <w:szCs w:val="20"/>
          <w:lang w:val="lt-LT"/>
        </w:rPr>
        <w:t>Pokalbių su potenciali</w:t>
      </w:r>
      <w:r>
        <w:rPr>
          <w:rFonts w:ascii="Georgia" w:hAnsi="Georgia"/>
          <w:sz w:val="20"/>
          <w:szCs w:val="20"/>
          <w:lang w:val="lt-LT"/>
        </w:rPr>
        <w:t>ais</w:t>
      </w:r>
      <w:r w:rsidRPr="00424E53">
        <w:rPr>
          <w:rFonts w:ascii="Georgia" w:hAnsi="Georgia"/>
          <w:sz w:val="20"/>
          <w:szCs w:val="20"/>
          <w:lang w:val="lt-LT"/>
        </w:rPr>
        <w:t xml:space="preserve"> investuotoj</w:t>
      </w:r>
      <w:r>
        <w:rPr>
          <w:rFonts w:ascii="Georgia" w:hAnsi="Georgia"/>
          <w:sz w:val="20"/>
          <w:szCs w:val="20"/>
          <w:lang w:val="lt-LT"/>
        </w:rPr>
        <w:t>ais</w:t>
      </w:r>
      <w:r w:rsidRPr="00424E53">
        <w:rPr>
          <w:rFonts w:ascii="Georgia" w:hAnsi="Georgia"/>
          <w:sz w:val="20"/>
          <w:szCs w:val="20"/>
          <w:lang w:val="lt-LT"/>
        </w:rPr>
        <w:t xml:space="preserve"> metu buvo nustatyta, jog investuotojai būtų suinteresuoti investuoti į investicinį </w:t>
      </w:r>
      <w:r>
        <w:rPr>
          <w:rFonts w:ascii="Georgia" w:hAnsi="Georgia"/>
          <w:sz w:val="20"/>
          <w:szCs w:val="20"/>
          <w:lang w:val="lt-LT"/>
        </w:rPr>
        <w:t>fondą (juridinio asmens statusą turintį fondą)</w:t>
      </w:r>
      <w:r w:rsidRPr="00424E53">
        <w:rPr>
          <w:rFonts w:ascii="Georgia" w:hAnsi="Georgia"/>
          <w:sz w:val="20"/>
          <w:szCs w:val="20"/>
          <w:lang w:val="lt-LT"/>
        </w:rPr>
        <w:t xml:space="preserve">, kuriam galėtų teikti paskolas ar kitaip investuoti ir kurio pirmąją nuostolių dalį prisiimtų valstybė. </w:t>
      </w:r>
      <w:r w:rsidR="008F65CF">
        <w:rPr>
          <w:rFonts w:ascii="Georgia" w:hAnsi="Georgia"/>
          <w:sz w:val="20"/>
          <w:szCs w:val="20"/>
          <w:lang w:val="lt-LT"/>
        </w:rPr>
        <w:t>Susidomėjimą</w:t>
      </w:r>
      <w:r w:rsidRPr="00424E53">
        <w:rPr>
          <w:rFonts w:ascii="Georgia" w:hAnsi="Georgia"/>
          <w:sz w:val="20"/>
          <w:szCs w:val="20"/>
          <w:lang w:val="lt-LT"/>
        </w:rPr>
        <w:t xml:space="preserve"> </w:t>
      </w:r>
      <w:r w:rsidR="008F65CF">
        <w:rPr>
          <w:rFonts w:ascii="Georgia" w:hAnsi="Georgia"/>
          <w:sz w:val="20"/>
          <w:szCs w:val="20"/>
          <w:lang w:val="lt-LT"/>
        </w:rPr>
        <w:t>tokiu principiniu</w:t>
      </w:r>
      <w:r w:rsidRPr="00424E53">
        <w:rPr>
          <w:rFonts w:ascii="Georgia" w:hAnsi="Georgia"/>
          <w:sz w:val="20"/>
          <w:szCs w:val="20"/>
          <w:lang w:val="lt-LT"/>
        </w:rPr>
        <w:t xml:space="preserve"> modeliu išreiškė </w:t>
      </w:r>
      <w:r>
        <w:rPr>
          <w:rFonts w:ascii="Georgia" w:hAnsi="Georgia"/>
          <w:sz w:val="20"/>
          <w:szCs w:val="20"/>
          <w:lang w:val="lt-LT"/>
        </w:rPr>
        <w:t>EIF</w:t>
      </w:r>
      <w:r w:rsidRPr="00424E53">
        <w:rPr>
          <w:rFonts w:ascii="Georgia" w:hAnsi="Georgia"/>
          <w:sz w:val="20"/>
          <w:szCs w:val="20"/>
          <w:lang w:val="lt-LT"/>
        </w:rPr>
        <w:t xml:space="preserve">, </w:t>
      </w:r>
      <w:r>
        <w:rPr>
          <w:rFonts w:ascii="Georgia" w:hAnsi="Georgia"/>
          <w:sz w:val="20"/>
          <w:szCs w:val="20"/>
          <w:lang w:val="lt-LT"/>
        </w:rPr>
        <w:t>ERPB</w:t>
      </w:r>
      <w:r w:rsidRPr="00424E53">
        <w:rPr>
          <w:rFonts w:ascii="Georgia" w:hAnsi="Georgia"/>
          <w:sz w:val="20"/>
          <w:szCs w:val="20"/>
          <w:lang w:val="lt-LT"/>
        </w:rPr>
        <w:t>, komerciniai bankai ir pensijų fondai.</w:t>
      </w:r>
    </w:p>
    <w:p w14:paraId="2149523A" w14:textId="77777777" w:rsidR="00583EB1" w:rsidRPr="00424E53" w:rsidRDefault="00583EB1" w:rsidP="00583EB1">
      <w:pPr>
        <w:jc w:val="both"/>
        <w:rPr>
          <w:rFonts w:ascii="Georgia" w:hAnsi="Georgia"/>
          <w:sz w:val="20"/>
          <w:szCs w:val="20"/>
          <w:lang w:val="lt-LT"/>
        </w:rPr>
      </w:pPr>
      <w:r w:rsidRPr="00424E53">
        <w:rPr>
          <w:rFonts w:ascii="Georgia" w:hAnsi="Georgia"/>
          <w:sz w:val="20"/>
          <w:szCs w:val="20"/>
          <w:lang w:val="lt-LT"/>
        </w:rPr>
        <w:t>Šio ex ante</w:t>
      </w:r>
      <w:r>
        <w:rPr>
          <w:rFonts w:ascii="Georgia" w:hAnsi="Georgia"/>
          <w:sz w:val="20"/>
          <w:szCs w:val="20"/>
          <w:lang w:val="lt-LT"/>
        </w:rPr>
        <w:t xml:space="preserve"> vertinimo</w:t>
      </w:r>
      <w:r w:rsidRPr="00424E53">
        <w:rPr>
          <w:rFonts w:ascii="Georgia" w:hAnsi="Georgia"/>
          <w:sz w:val="20"/>
          <w:szCs w:val="20"/>
          <w:lang w:val="lt-LT"/>
        </w:rPr>
        <w:t xml:space="preserve"> </w:t>
      </w:r>
      <w:r>
        <w:rPr>
          <w:rFonts w:ascii="Georgia" w:hAnsi="Georgia"/>
          <w:sz w:val="20"/>
          <w:szCs w:val="20"/>
        </w:rPr>
        <w:t>4</w:t>
      </w:r>
      <w:r w:rsidRPr="00424E53">
        <w:rPr>
          <w:rFonts w:ascii="Georgia" w:hAnsi="Georgia"/>
          <w:sz w:val="20"/>
          <w:szCs w:val="20"/>
          <w:lang w:val="lt-LT"/>
        </w:rPr>
        <w:t xml:space="preserve"> </w:t>
      </w:r>
      <w:r>
        <w:rPr>
          <w:rFonts w:ascii="Georgia" w:hAnsi="Georgia"/>
          <w:sz w:val="20"/>
          <w:szCs w:val="20"/>
          <w:lang w:val="lt-LT"/>
        </w:rPr>
        <w:t xml:space="preserve">dalyje </w:t>
      </w:r>
      <w:r w:rsidR="008F65CF">
        <w:rPr>
          <w:rFonts w:ascii="Georgia" w:hAnsi="Georgia"/>
          <w:sz w:val="20"/>
          <w:szCs w:val="20"/>
          <w:lang w:val="lt-LT"/>
        </w:rPr>
        <w:t>nagrinėjamuose</w:t>
      </w:r>
      <w:r>
        <w:rPr>
          <w:rFonts w:ascii="Georgia" w:hAnsi="Georgia"/>
          <w:sz w:val="20"/>
          <w:szCs w:val="20"/>
          <w:lang w:val="lt-LT"/>
        </w:rPr>
        <w:t xml:space="preserve"> įgyvendinimo</w:t>
      </w:r>
      <w:r w:rsidRPr="00424E53">
        <w:rPr>
          <w:rFonts w:ascii="Georgia" w:hAnsi="Georgia"/>
          <w:sz w:val="20"/>
          <w:szCs w:val="20"/>
          <w:lang w:val="lt-LT"/>
        </w:rPr>
        <w:t xml:space="preserve"> modeliuose ir </w:t>
      </w:r>
      <w:r>
        <w:rPr>
          <w:rFonts w:ascii="Georgia" w:hAnsi="Georgia"/>
          <w:sz w:val="20"/>
          <w:szCs w:val="20"/>
          <w:lang w:val="lt-LT"/>
        </w:rPr>
        <w:t xml:space="preserve">finansavimo </w:t>
      </w:r>
      <w:r w:rsidRPr="00424E53">
        <w:rPr>
          <w:rFonts w:ascii="Georgia" w:hAnsi="Georgia"/>
          <w:sz w:val="20"/>
          <w:szCs w:val="20"/>
          <w:lang w:val="lt-LT"/>
        </w:rPr>
        <w:t>scenarijuose privačios lėšos</w:t>
      </w:r>
      <w:r>
        <w:rPr>
          <w:rFonts w:ascii="Georgia" w:hAnsi="Georgia"/>
          <w:sz w:val="20"/>
          <w:szCs w:val="20"/>
          <w:lang w:val="lt-LT"/>
        </w:rPr>
        <w:t xml:space="preserve"> </w:t>
      </w:r>
      <w:r w:rsidR="008F65CF">
        <w:rPr>
          <w:rFonts w:ascii="Georgia" w:hAnsi="Georgia"/>
          <w:sz w:val="20"/>
          <w:szCs w:val="20"/>
          <w:lang w:val="lt-LT"/>
        </w:rPr>
        <w:t xml:space="preserve">gali būti </w:t>
      </w:r>
      <w:r w:rsidRPr="00424E53">
        <w:rPr>
          <w:rFonts w:ascii="Georgia" w:hAnsi="Georgia"/>
          <w:sz w:val="20"/>
          <w:szCs w:val="20"/>
          <w:lang w:val="lt-LT"/>
        </w:rPr>
        <w:t xml:space="preserve">pritraukiamos įvairiuose lygiuose. Galimuose įgyvendinimo modeliuose lėšos pritraukiamos į fondų fondo lygmenį, o scenarijuose aprašytos situacijos kai lėšos pritraukiamos </w:t>
      </w:r>
      <w:r>
        <w:rPr>
          <w:rFonts w:ascii="Georgia" w:hAnsi="Georgia"/>
          <w:sz w:val="20"/>
          <w:szCs w:val="20"/>
          <w:lang w:val="lt-LT"/>
        </w:rPr>
        <w:t>įgyvendinant</w:t>
      </w:r>
      <w:r w:rsidRPr="00424E53">
        <w:rPr>
          <w:rFonts w:ascii="Georgia" w:hAnsi="Georgia"/>
          <w:sz w:val="20"/>
          <w:szCs w:val="20"/>
          <w:lang w:val="lt-LT"/>
        </w:rPr>
        <w:t xml:space="preserve"> finansin</w:t>
      </w:r>
      <w:r>
        <w:rPr>
          <w:rFonts w:ascii="Georgia" w:hAnsi="Georgia"/>
          <w:sz w:val="20"/>
          <w:szCs w:val="20"/>
          <w:lang w:val="lt-LT"/>
        </w:rPr>
        <w:t>e</w:t>
      </w:r>
      <w:r w:rsidRPr="00424E53">
        <w:rPr>
          <w:rFonts w:ascii="Georgia" w:hAnsi="Georgia"/>
          <w:sz w:val="20"/>
          <w:szCs w:val="20"/>
          <w:lang w:val="lt-LT"/>
        </w:rPr>
        <w:t>s priemon</w:t>
      </w:r>
      <w:r>
        <w:rPr>
          <w:rFonts w:ascii="Georgia" w:hAnsi="Georgia"/>
          <w:sz w:val="20"/>
          <w:szCs w:val="20"/>
          <w:lang w:val="lt-LT"/>
        </w:rPr>
        <w:t>e</w:t>
      </w:r>
      <w:r w:rsidRPr="00424E53">
        <w:rPr>
          <w:rFonts w:ascii="Georgia" w:hAnsi="Georgia"/>
          <w:sz w:val="20"/>
          <w:szCs w:val="20"/>
          <w:lang w:val="lt-LT"/>
        </w:rPr>
        <w:t>s.</w:t>
      </w:r>
    </w:p>
    <w:p w14:paraId="14E45237" w14:textId="2B6C73BB" w:rsidR="00583EB1" w:rsidRPr="00893A57" w:rsidRDefault="00583EB1" w:rsidP="00583EB1">
      <w:pPr>
        <w:pStyle w:val="Antrat"/>
        <w:rPr>
          <w:szCs w:val="20"/>
          <w:lang w:val="lt-LT"/>
        </w:rPr>
      </w:pPr>
      <w:bookmarkStart w:id="107" w:name="_Toc460321621"/>
      <w:r w:rsidRPr="00996380">
        <w:rPr>
          <w:lang w:val="lt-LT"/>
        </w:rPr>
        <w:t xml:space="preserve">Lentelė </w:t>
      </w:r>
      <w:r w:rsidRPr="00996380">
        <w:rPr>
          <w:lang w:val="lt-LT"/>
        </w:rPr>
        <w:fldChar w:fldCharType="begin"/>
      </w:r>
      <w:r w:rsidRPr="00996380">
        <w:rPr>
          <w:lang w:val="lt-LT"/>
        </w:rPr>
        <w:instrText xml:space="preserve"> SEQ Lentelė \* ARABIC </w:instrText>
      </w:r>
      <w:r w:rsidRPr="00996380">
        <w:rPr>
          <w:lang w:val="lt-LT"/>
        </w:rPr>
        <w:fldChar w:fldCharType="separate"/>
      </w:r>
      <w:r w:rsidR="00AA3082">
        <w:rPr>
          <w:noProof/>
          <w:lang w:val="lt-LT"/>
        </w:rPr>
        <w:t>40</w:t>
      </w:r>
      <w:r w:rsidRPr="00996380">
        <w:rPr>
          <w:lang w:val="lt-LT"/>
        </w:rPr>
        <w:fldChar w:fldCharType="end"/>
      </w:r>
      <w:r w:rsidRPr="00996380">
        <w:rPr>
          <w:lang w:val="lt-LT"/>
        </w:rPr>
        <w:t xml:space="preserve">. </w:t>
      </w:r>
      <w:r w:rsidRPr="00893A57">
        <w:rPr>
          <w:szCs w:val="20"/>
          <w:lang w:val="lt-LT"/>
        </w:rPr>
        <w:t>Privačių investuotojų lėšų pritraukimas į fondų fondo lygmenį.</w:t>
      </w:r>
      <w:bookmarkEnd w:id="107"/>
    </w:p>
    <w:tbl>
      <w:tblPr>
        <w:tblStyle w:val="viesussraas2parykinimas"/>
        <w:tblW w:w="5000" w:type="pct"/>
        <w:tblLook w:val="04A0" w:firstRow="1" w:lastRow="0" w:firstColumn="1" w:lastColumn="0" w:noHBand="0" w:noVBand="1"/>
      </w:tblPr>
      <w:tblGrid>
        <w:gridCol w:w="2660"/>
        <w:gridCol w:w="6582"/>
      </w:tblGrid>
      <w:tr w:rsidR="00583EB1" w14:paraId="1248A4DB" w14:textId="77777777" w:rsidTr="0005008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39" w:type="pct"/>
            <w:tcBorders>
              <w:top w:val="single" w:sz="8" w:space="0" w:color="C0504D" w:themeColor="accent2"/>
              <w:left w:val="single" w:sz="8" w:space="0" w:color="C0504D" w:themeColor="accent2"/>
              <w:bottom w:val="nil"/>
              <w:right w:val="nil"/>
            </w:tcBorders>
            <w:hideMark/>
          </w:tcPr>
          <w:p w14:paraId="1632C4FA" w14:textId="77777777" w:rsidR="00583EB1" w:rsidRDefault="00583EB1" w:rsidP="00583EB1">
            <w:pPr>
              <w:keepNext/>
              <w:autoSpaceDE w:val="0"/>
              <w:autoSpaceDN w:val="0"/>
              <w:adjustRightInd w:val="0"/>
              <w:jc w:val="center"/>
              <w:rPr>
                <w:rFonts w:ascii="Georgia" w:hAnsi="Georgia" w:cs="Georgia"/>
                <w:sz w:val="20"/>
                <w:szCs w:val="20"/>
              </w:rPr>
            </w:pPr>
            <w:r>
              <w:rPr>
                <w:rFonts w:ascii="Georgia" w:hAnsi="Georgia" w:cs="Georgia"/>
                <w:sz w:val="20"/>
                <w:szCs w:val="20"/>
              </w:rPr>
              <w:t>Modelis</w:t>
            </w:r>
          </w:p>
        </w:tc>
        <w:tc>
          <w:tcPr>
            <w:tcW w:w="3561" w:type="pct"/>
            <w:tcBorders>
              <w:top w:val="single" w:sz="8" w:space="0" w:color="C0504D" w:themeColor="accent2"/>
              <w:left w:val="nil"/>
              <w:bottom w:val="nil"/>
              <w:right w:val="single" w:sz="8" w:space="0" w:color="C0504D" w:themeColor="accent2"/>
            </w:tcBorders>
            <w:hideMark/>
          </w:tcPr>
          <w:p w14:paraId="34BB58C1" w14:textId="77777777" w:rsidR="00583EB1" w:rsidRDefault="00583EB1" w:rsidP="00583EB1">
            <w:pPr>
              <w:keepNext/>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Privačių lėšų pritraukimo galimybės</w:t>
            </w:r>
          </w:p>
        </w:tc>
      </w:tr>
      <w:tr w:rsidR="00583EB1" w14:paraId="353E9D71" w14:textId="77777777" w:rsidTr="0005008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39" w:type="pct"/>
            <w:tcBorders>
              <w:right w:val="nil"/>
            </w:tcBorders>
            <w:hideMark/>
          </w:tcPr>
          <w:p w14:paraId="07E916A4" w14:textId="77777777" w:rsidR="00583EB1" w:rsidRDefault="00583EB1" w:rsidP="00583EB1">
            <w:pPr>
              <w:autoSpaceDE w:val="0"/>
              <w:autoSpaceDN w:val="0"/>
              <w:adjustRightInd w:val="0"/>
              <w:jc w:val="both"/>
              <w:rPr>
                <w:rFonts w:ascii="Georgia" w:hAnsi="Georgia" w:cs="Georgia"/>
                <w:sz w:val="20"/>
                <w:szCs w:val="20"/>
              </w:rPr>
            </w:pPr>
            <w:r>
              <w:rPr>
                <w:rFonts w:ascii="Georgia" w:hAnsi="Georgia" w:cs="Georgia"/>
                <w:sz w:val="20"/>
                <w:szCs w:val="20"/>
              </w:rPr>
              <w:t>Fondų fondo veiklos vykdymas nesteigiant atskiro juridinio asmens</w:t>
            </w:r>
          </w:p>
        </w:tc>
        <w:tc>
          <w:tcPr>
            <w:tcW w:w="3561" w:type="pct"/>
            <w:tcBorders>
              <w:left w:val="nil"/>
            </w:tcBorders>
            <w:hideMark/>
          </w:tcPr>
          <w:p w14:paraId="14164415" w14:textId="77777777" w:rsidR="00583EB1" w:rsidRDefault="00583EB1" w:rsidP="00C02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 xml:space="preserve">Šiame modelyje nėra pritraukiama papildomų lėšų į fondų fondo lygmenį, todėl multiplikatorius yra sukuriamas tik iš finansinio produkto. Plačiau modelis aprašytas 4 ex ante </w:t>
            </w:r>
            <w:r w:rsidR="00C02C72">
              <w:rPr>
                <w:rFonts w:ascii="Georgia" w:hAnsi="Georgia" w:cs="Georgia"/>
                <w:sz w:val="20"/>
                <w:szCs w:val="20"/>
              </w:rPr>
              <w:t xml:space="preserve">skyriuje. </w:t>
            </w:r>
          </w:p>
        </w:tc>
      </w:tr>
      <w:tr w:rsidR="00583EB1" w14:paraId="1EE06155" w14:textId="77777777" w:rsidTr="0005008F">
        <w:trPr>
          <w:cantSplit/>
        </w:trPr>
        <w:tc>
          <w:tcPr>
            <w:cnfStyle w:val="001000000000" w:firstRow="0" w:lastRow="0" w:firstColumn="1" w:lastColumn="0" w:oddVBand="0" w:evenVBand="0" w:oddHBand="0" w:evenHBand="0" w:firstRowFirstColumn="0" w:firstRowLastColumn="0" w:lastRowFirstColumn="0" w:lastRowLastColumn="0"/>
            <w:tcW w:w="1439" w:type="pct"/>
            <w:tcBorders>
              <w:top w:val="nil"/>
              <w:left w:val="single" w:sz="8" w:space="0" w:color="C0504D" w:themeColor="accent2"/>
              <w:bottom w:val="nil"/>
              <w:right w:val="nil"/>
            </w:tcBorders>
            <w:hideMark/>
          </w:tcPr>
          <w:p w14:paraId="3E2ABA4A" w14:textId="77777777" w:rsidR="00583EB1" w:rsidRDefault="00583EB1" w:rsidP="00583EB1">
            <w:pPr>
              <w:autoSpaceDE w:val="0"/>
              <w:autoSpaceDN w:val="0"/>
              <w:adjustRightInd w:val="0"/>
              <w:jc w:val="both"/>
              <w:rPr>
                <w:rFonts w:ascii="Georgia" w:hAnsi="Georgia" w:cs="Georgia"/>
                <w:sz w:val="20"/>
                <w:szCs w:val="20"/>
              </w:rPr>
            </w:pPr>
            <w:r>
              <w:rPr>
                <w:rFonts w:ascii="Georgia" w:hAnsi="Georgia" w:cs="Georgia"/>
                <w:sz w:val="20"/>
                <w:szCs w:val="20"/>
              </w:rPr>
              <w:t xml:space="preserve">Juridinio asmens statusą turinčio fondo steigimas </w:t>
            </w:r>
          </w:p>
        </w:tc>
        <w:tc>
          <w:tcPr>
            <w:tcW w:w="3561" w:type="pct"/>
            <w:tcBorders>
              <w:top w:val="nil"/>
              <w:left w:val="nil"/>
              <w:bottom w:val="nil"/>
              <w:right w:val="single" w:sz="8" w:space="0" w:color="C0504D" w:themeColor="accent2"/>
            </w:tcBorders>
            <w:hideMark/>
          </w:tcPr>
          <w:p w14:paraId="0839723E" w14:textId="77777777" w:rsidR="00583EB1" w:rsidRDefault="00583EB1" w:rsidP="00C02C7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 xml:space="preserve">Šiame modelyje privačios lėšos pritraukiamos į fondų fondo lygmenį investuojant lėšas į juridinio asmens statusą turintį fondą. Plačiau modelis aprašytas 4 ex ante </w:t>
            </w:r>
            <w:r w:rsidR="00C02C72">
              <w:rPr>
                <w:rFonts w:ascii="Georgia" w:hAnsi="Georgia" w:cs="Georgia"/>
                <w:sz w:val="20"/>
                <w:szCs w:val="20"/>
              </w:rPr>
              <w:t xml:space="preserve">skyriuje. </w:t>
            </w:r>
          </w:p>
        </w:tc>
      </w:tr>
      <w:tr w:rsidR="00583EB1" w14:paraId="5447618E" w14:textId="77777777" w:rsidTr="0005008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39" w:type="pct"/>
            <w:tcBorders>
              <w:right w:val="nil"/>
            </w:tcBorders>
            <w:hideMark/>
          </w:tcPr>
          <w:p w14:paraId="2102C52F" w14:textId="77777777" w:rsidR="00583EB1" w:rsidRDefault="00583EB1" w:rsidP="00583EB1">
            <w:pPr>
              <w:autoSpaceDE w:val="0"/>
              <w:autoSpaceDN w:val="0"/>
              <w:adjustRightInd w:val="0"/>
              <w:jc w:val="both"/>
              <w:rPr>
                <w:rFonts w:ascii="Georgia" w:hAnsi="Georgia" w:cs="Georgia"/>
                <w:sz w:val="20"/>
                <w:szCs w:val="20"/>
              </w:rPr>
            </w:pPr>
            <w:r>
              <w:rPr>
                <w:rFonts w:ascii="Georgia" w:hAnsi="Georgia" w:cs="Georgia"/>
                <w:sz w:val="20"/>
                <w:szCs w:val="20"/>
              </w:rPr>
              <w:t xml:space="preserve">Fondų fondo ir investicinio fondo (turinčio juridinio asmens statusą) steigimas </w:t>
            </w:r>
          </w:p>
        </w:tc>
        <w:tc>
          <w:tcPr>
            <w:tcW w:w="3561" w:type="pct"/>
            <w:tcBorders>
              <w:left w:val="nil"/>
            </w:tcBorders>
            <w:hideMark/>
          </w:tcPr>
          <w:p w14:paraId="0253649C" w14:textId="77777777" w:rsidR="00583EB1" w:rsidRDefault="00583EB1" w:rsidP="00C02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 xml:space="preserve">Sukuriamas fondų fondas, kuris įgyvendina finansines priemones, o atskirai privačių investuotojų sukurtas investicinis fondas išperka sėkmingų projektų ateities finansinius srautus iš fondų fondo. Už parduotus ateities pinigų srautus gautos lėšos pakartotinai panaudojamos naujų finansinių priemonių įgyvendinimui (paskolų, garantijų teikimui). Plačiau modelis aprašytas 4 ex ante </w:t>
            </w:r>
            <w:r w:rsidR="00C02C72">
              <w:rPr>
                <w:rFonts w:ascii="Georgia" w:hAnsi="Georgia" w:cs="Georgia"/>
                <w:sz w:val="20"/>
                <w:szCs w:val="20"/>
              </w:rPr>
              <w:t xml:space="preserve">skyriuje. </w:t>
            </w:r>
          </w:p>
        </w:tc>
      </w:tr>
    </w:tbl>
    <w:p w14:paraId="517656DC" w14:textId="77777777" w:rsidR="00583EB1" w:rsidRPr="00424E53" w:rsidRDefault="00583EB1" w:rsidP="00583EB1">
      <w:pPr>
        <w:autoSpaceDE w:val="0"/>
        <w:autoSpaceDN w:val="0"/>
        <w:adjustRightInd w:val="0"/>
        <w:spacing w:after="0" w:line="240" w:lineRule="auto"/>
        <w:jc w:val="both"/>
        <w:rPr>
          <w:rFonts w:ascii="Georgia" w:hAnsi="Georgia" w:cs="Georgia"/>
          <w:sz w:val="20"/>
          <w:szCs w:val="20"/>
          <w:lang w:val="lt-LT"/>
        </w:rPr>
      </w:pPr>
    </w:p>
    <w:p w14:paraId="43EF1156" w14:textId="77777777" w:rsidR="0005008F" w:rsidRDefault="0005008F" w:rsidP="00583EB1">
      <w:pPr>
        <w:pStyle w:val="Antrat"/>
        <w:jc w:val="both"/>
        <w:rPr>
          <w:lang w:val="lt-LT"/>
        </w:rPr>
      </w:pPr>
    </w:p>
    <w:p w14:paraId="4578DACC" w14:textId="3718DDCB" w:rsidR="00583EB1" w:rsidRPr="00893A57" w:rsidRDefault="00583EB1" w:rsidP="00583EB1">
      <w:pPr>
        <w:pStyle w:val="Antrat"/>
        <w:jc w:val="both"/>
        <w:rPr>
          <w:szCs w:val="20"/>
          <w:lang w:val="lt-LT"/>
        </w:rPr>
      </w:pPr>
      <w:bookmarkStart w:id="108" w:name="_Toc460321622"/>
      <w:r w:rsidRPr="00996380">
        <w:rPr>
          <w:lang w:val="lt-LT"/>
        </w:rPr>
        <w:t xml:space="preserve">Lentelė </w:t>
      </w:r>
      <w:r w:rsidRPr="00996380">
        <w:rPr>
          <w:lang w:val="lt-LT"/>
        </w:rPr>
        <w:fldChar w:fldCharType="begin"/>
      </w:r>
      <w:r w:rsidRPr="00996380">
        <w:rPr>
          <w:lang w:val="lt-LT"/>
        </w:rPr>
        <w:instrText xml:space="preserve"> SEQ Lentelė \* ARABIC </w:instrText>
      </w:r>
      <w:r w:rsidRPr="00996380">
        <w:rPr>
          <w:lang w:val="lt-LT"/>
        </w:rPr>
        <w:fldChar w:fldCharType="separate"/>
      </w:r>
      <w:r w:rsidR="00AA3082">
        <w:rPr>
          <w:noProof/>
          <w:lang w:val="lt-LT"/>
        </w:rPr>
        <w:t>41</w:t>
      </w:r>
      <w:r w:rsidRPr="00996380">
        <w:rPr>
          <w:lang w:val="lt-LT"/>
        </w:rPr>
        <w:fldChar w:fldCharType="end"/>
      </w:r>
      <w:r w:rsidRPr="00996380">
        <w:rPr>
          <w:lang w:val="lt-LT"/>
        </w:rPr>
        <w:t xml:space="preserve">. </w:t>
      </w:r>
      <w:r w:rsidRPr="00893A57">
        <w:rPr>
          <w:szCs w:val="20"/>
          <w:lang w:val="lt-LT"/>
        </w:rPr>
        <w:t>Privačių investuotojų lėšų pritraukimas į finansinės priemonės lygmenį</w:t>
      </w:r>
      <w:bookmarkEnd w:id="108"/>
      <w:r w:rsidRPr="00893A57">
        <w:rPr>
          <w:szCs w:val="20"/>
          <w:lang w:val="lt-LT"/>
        </w:rPr>
        <w:t xml:space="preserve"> </w:t>
      </w:r>
    </w:p>
    <w:tbl>
      <w:tblPr>
        <w:tblStyle w:val="viesussraas2parykinimas"/>
        <w:tblW w:w="0" w:type="auto"/>
        <w:tblLook w:val="04A0" w:firstRow="1" w:lastRow="0" w:firstColumn="1" w:lastColumn="0" w:noHBand="0" w:noVBand="1"/>
      </w:tblPr>
      <w:tblGrid>
        <w:gridCol w:w="2660"/>
        <w:gridCol w:w="6582"/>
      </w:tblGrid>
      <w:tr w:rsidR="00583EB1" w14:paraId="72E94CA5" w14:textId="77777777" w:rsidTr="00583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C0504D" w:themeColor="accent2"/>
              <w:left w:val="single" w:sz="8" w:space="0" w:color="C0504D" w:themeColor="accent2"/>
              <w:bottom w:val="nil"/>
              <w:right w:val="nil"/>
            </w:tcBorders>
            <w:hideMark/>
          </w:tcPr>
          <w:p w14:paraId="486E93AF" w14:textId="77777777" w:rsidR="00583EB1" w:rsidRDefault="00583EB1" w:rsidP="0005008F">
            <w:pPr>
              <w:autoSpaceDE w:val="0"/>
              <w:autoSpaceDN w:val="0"/>
              <w:adjustRightInd w:val="0"/>
              <w:jc w:val="center"/>
              <w:rPr>
                <w:rFonts w:ascii="Georgia" w:hAnsi="Georgia" w:cs="Georgia"/>
                <w:sz w:val="20"/>
                <w:szCs w:val="20"/>
              </w:rPr>
            </w:pPr>
            <w:r>
              <w:rPr>
                <w:rFonts w:ascii="Georgia" w:hAnsi="Georgia" w:cs="Georgia"/>
                <w:sz w:val="20"/>
                <w:szCs w:val="20"/>
              </w:rPr>
              <w:t>Finansinės priemonės</w:t>
            </w:r>
          </w:p>
        </w:tc>
        <w:tc>
          <w:tcPr>
            <w:tcW w:w="6582" w:type="dxa"/>
            <w:tcBorders>
              <w:top w:val="single" w:sz="8" w:space="0" w:color="C0504D" w:themeColor="accent2"/>
              <w:left w:val="nil"/>
              <w:bottom w:val="nil"/>
              <w:right w:val="single" w:sz="8" w:space="0" w:color="C0504D" w:themeColor="accent2"/>
            </w:tcBorders>
            <w:hideMark/>
          </w:tcPr>
          <w:p w14:paraId="552476AA" w14:textId="77777777" w:rsidR="00583EB1" w:rsidRDefault="00583EB1" w:rsidP="0005008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Privačių lėšų pritraukimo galimybės</w:t>
            </w:r>
          </w:p>
        </w:tc>
      </w:tr>
      <w:tr w:rsidR="00583EB1" w14:paraId="7735B4BB" w14:textId="77777777" w:rsidTr="0058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il"/>
            </w:tcBorders>
            <w:hideMark/>
          </w:tcPr>
          <w:p w14:paraId="7B2E3D90" w14:textId="77777777" w:rsidR="00583EB1" w:rsidRDefault="00583EB1" w:rsidP="00583EB1">
            <w:pPr>
              <w:autoSpaceDE w:val="0"/>
              <w:autoSpaceDN w:val="0"/>
              <w:adjustRightInd w:val="0"/>
              <w:jc w:val="both"/>
              <w:rPr>
                <w:rFonts w:ascii="Georgia" w:hAnsi="Georgia" w:cs="Georgia"/>
                <w:sz w:val="20"/>
                <w:szCs w:val="20"/>
              </w:rPr>
            </w:pPr>
            <w:r>
              <w:rPr>
                <w:rFonts w:ascii="Georgia" w:hAnsi="Georgia" w:cs="Georgia"/>
                <w:sz w:val="20"/>
                <w:szCs w:val="20"/>
              </w:rPr>
              <w:t>Lengvatinės paskolos</w:t>
            </w:r>
          </w:p>
        </w:tc>
        <w:tc>
          <w:tcPr>
            <w:tcW w:w="6582" w:type="dxa"/>
            <w:tcBorders>
              <w:left w:val="nil"/>
            </w:tcBorders>
            <w:hideMark/>
          </w:tcPr>
          <w:p w14:paraId="37FCC59C" w14:textId="77777777" w:rsidR="00583EB1" w:rsidRDefault="00583EB1" w:rsidP="00C02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Lengvatinių paskolų modelyje gali būti rekomenduojama arba privaloma įgyvendinant finansinę priemonę finansiniams tarpininkams prisidėti savomis lėšomis bei prisiimti riziką. Pradiniame etape šis reikalavimas turėtų būti rekomendacinio pobūdžio, o rinkai vystantis (atsiradus gerajai praktikai ir projektų įgyvendinimo istorijai) atsirastų privalomojo pobūdžio reikalavimas, kuris galėtų būti įgyvendinamas per finansinių tarpininkų atrankos kriterijus. Plačiau lengvatinių paskol</w:t>
            </w:r>
            <w:r w:rsidR="00C02C72">
              <w:rPr>
                <w:rFonts w:ascii="Georgia" w:hAnsi="Georgia" w:cs="Georgia"/>
                <w:sz w:val="20"/>
                <w:szCs w:val="20"/>
              </w:rPr>
              <w:t xml:space="preserve">ų veikimo principai aprašyti 4 </w:t>
            </w:r>
            <w:r>
              <w:rPr>
                <w:rFonts w:ascii="Georgia" w:hAnsi="Georgia" w:cs="Georgia"/>
                <w:sz w:val="20"/>
                <w:szCs w:val="20"/>
              </w:rPr>
              <w:t xml:space="preserve">ex ante vertinimo </w:t>
            </w:r>
            <w:r w:rsidR="00C02C72">
              <w:rPr>
                <w:rFonts w:ascii="Georgia" w:hAnsi="Georgia" w:cs="Georgia"/>
                <w:sz w:val="20"/>
                <w:szCs w:val="20"/>
              </w:rPr>
              <w:t>skyriuje</w:t>
            </w:r>
            <w:r>
              <w:rPr>
                <w:rFonts w:ascii="Georgia" w:hAnsi="Georgia" w:cs="Georgia"/>
                <w:sz w:val="20"/>
                <w:szCs w:val="20"/>
              </w:rPr>
              <w:t xml:space="preserve">. </w:t>
            </w:r>
          </w:p>
        </w:tc>
      </w:tr>
      <w:tr w:rsidR="00583EB1" w14:paraId="27980F43" w14:textId="77777777" w:rsidTr="00583EB1">
        <w:tc>
          <w:tcPr>
            <w:cnfStyle w:val="001000000000" w:firstRow="0" w:lastRow="0" w:firstColumn="1" w:lastColumn="0" w:oddVBand="0" w:evenVBand="0" w:oddHBand="0" w:evenHBand="0" w:firstRowFirstColumn="0" w:firstRowLastColumn="0" w:lastRowFirstColumn="0" w:lastRowLastColumn="0"/>
            <w:tcW w:w="2660" w:type="dxa"/>
            <w:tcBorders>
              <w:top w:val="nil"/>
              <w:left w:val="single" w:sz="8" w:space="0" w:color="C0504D" w:themeColor="accent2"/>
              <w:bottom w:val="single" w:sz="8" w:space="0" w:color="C0504D" w:themeColor="accent2"/>
              <w:right w:val="nil"/>
            </w:tcBorders>
            <w:hideMark/>
          </w:tcPr>
          <w:p w14:paraId="62635993" w14:textId="77777777" w:rsidR="00583EB1" w:rsidRDefault="00583EB1" w:rsidP="00583EB1">
            <w:pPr>
              <w:autoSpaceDE w:val="0"/>
              <w:autoSpaceDN w:val="0"/>
              <w:adjustRightInd w:val="0"/>
              <w:jc w:val="both"/>
              <w:rPr>
                <w:rFonts w:ascii="Georgia" w:hAnsi="Georgia" w:cs="Georgia"/>
                <w:sz w:val="20"/>
                <w:szCs w:val="20"/>
              </w:rPr>
            </w:pPr>
            <w:r>
              <w:rPr>
                <w:rFonts w:ascii="Georgia" w:hAnsi="Georgia" w:cs="Georgia"/>
                <w:sz w:val="20"/>
                <w:szCs w:val="20"/>
              </w:rPr>
              <w:t>Garantijos</w:t>
            </w:r>
          </w:p>
        </w:tc>
        <w:tc>
          <w:tcPr>
            <w:tcW w:w="6582" w:type="dxa"/>
            <w:tcBorders>
              <w:top w:val="nil"/>
              <w:left w:val="nil"/>
              <w:bottom w:val="single" w:sz="8" w:space="0" w:color="C0504D" w:themeColor="accent2"/>
              <w:right w:val="single" w:sz="8" w:space="0" w:color="C0504D" w:themeColor="accent2"/>
            </w:tcBorders>
            <w:hideMark/>
          </w:tcPr>
          <w:p w14:paraId="18704F1F" w14:textId="77777777" w:rsidR="00583EB1" w:rsidRDefault="00583EB1" w:rsidP="00C02C7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Garantijų priemonės atveju komerciniai bankai ir kitos finansų įstaigos dalyvauja priemonės įgyvendinime savo lėšomis, lėšų praradimo rizikai sumažinti ir dalyvavimui paskatinti teikiamos individualios arba portfelinės garantijos. Plačiau garanti</w:t>
            </w:r>
            <w:r w:rsidR="00C02C72">
              <w:rPr>
                <w:rFonts w:ascii="Georgia" w:hAnsi="Georgia" w:cs="Georgia"/>
                <w:sz w:val="20"/>
                <w:szCs w:val="20"/>
              </w:rPr>
              <w:t>jų teikimo principai aprašyti 4</w:t>
            </w:r>
            <w:r>
              <w:rPr>
                <w:rFonts w:ascii="Georgia" w:hAnsi="Georgia" w:cs="Georgia"/>
                <w:sz w:val="20"/>
                <w:szCs w:val="20"/>
              </w:rPr>
              <w:t xml:space="preserve"> ex ante vertinimo </w:t>
            </w:r>
            <w:r w:rsidR="00C02C72">
              <w:rPr>
                <w:rFonts w:ascii="Georgia" w:hAnsi="Georgia" w:cs="Georgia"/>
                <w:sz w:val="20"/>
                <w:szCs w:val="20"/>
              </w:rPr>
              <w:t>skyriuje</w:t>
            </w:r>
            <w:r>
              <w:rPr>
                <w:rFonts w:ascii="Georgia" w:hAnsi="Georgia" w:cs="Georgia"/>
                <w:sz w:val="20"/>
                <w:szCs w:val="20"/>
              </w:rPr>
              <w:t>.</w:t>
            </w:r>
          </w:p>
        </w:tc>
      </w:tr>
    </w:tbl>
    <w:p w14:paraId="0F8E3D42" w14:textId="77777777" w:rsidR="00583EB1" w:rsidRPr="00424E53" w:rsidRDefault="00583EB1" w:rsidP="00583EB1">
      <w:pPr>
        <w:jc w:val="both"/>
        <w:rPr>
          <w:rFonts w:ascii="Georgia" w:hAnsi="Georgia"/>
          <w:sz w:val="20"/>
          <w:szCs w:val="20"/>
          <w:lang w:val="lt-LT"/>
        </w:rPr>
      </w:pPr>
    </w:p>
    <w:p w14:paraId="5ED0BE21" w14:textId="77777777" w:rsidR="00583EB1" w:rsidRPr="009901F2" w:rsidRDefault="00583EB1" w:rsidP="00C03122">
      <w:pPr>
        <w:pStyle w:val="Antrat2"/>
        <w:numPr>
          <w:ilvl w:val="1"/>
          <w:numId w:val="2"/>
        </w:numPr>
        <w:rPr>
          <w:lang w:val="lt-LT"/>
        </w:rPr>
      </w:pPr>
      <w:bookmarkStart w:id="109" w:name="_Toc417378383"/>
      <w:r w:rsidRPr="00DF3A8E">
        <w:rPr>
          <w:lang w:val="lt-LT"/>
        </w:rPr>
        <w:t>Skatinamųjų elementų  įvertinimas</w:t>
      </w:r>
      <w:bookmarkEnd w:id="109"/>
    </w:p>
    <w:p w14:paraId="091AD7D3" w14:textId="77777777" w:rsidR="00583EB1" w:rsidRDefault="00583EB1" w:rsidP="00583EB1">
      <w:pPr>
        <w:autoSpaceDE w:val="0"/>
        <w:autoSpaceDN w:val="0"/>
        <w:adjustRightInd w:val="0"/>
        <w:spacing w:after="0"/>
        <w:jc w:val="both"/>
        <w:rPr>
          <w:rFonts w:ascii="Georgia" w:hAnsi="Georgia" w:cs="Georgia"/>
          <w:sz w:val="20"/>
          <w:szCs w:val="20"/>
          <w:lang w:val="lt-LT"/>
        </w:rPr>
      </w:pPr>
    </w:p>
    <w:p w14:paraId="65D67957" w14:textId="77777777" w:rsidR="00583EB1" w:rsidRDefault="00C02C72" w:rsidP="00583EB1">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Vadovaujantis Bendrų</w:t>
      </w:r>
      <w:r w:rsidR="00583EB1">
        <w:rPr>
          <w:rFonts w:ascii="Georgia" w:hAnsi="Georgia" w:cs="Georgia"/>
          <w:sz w:val="20"/>
          <w:szCs w:val="20"/>
          <w:lang w:val="lt-LT"/>
        </w:rPr>
        <w:t>j</w:t>
      </w:r>
      <w:r>
        <w:rPr>
          <w:rFonts w:ascii="Georgia" w:hAnsi="Georgia" w:cs="Georgia"/>
          <w:sz w:val="20"/>
          <w:szCs w:val="20"/>
          <w:lang w:val="lt-LT"/>
        </w:rPr>
        <w:t>ų nuostatų</w:t>
      </w:r>
      <w:r w:rsidR="00583EB1">
        <w:rPr>
          <w:rFonts w:ascii="Georgia" w:hAnsi="Georgia" w:cs="Georgia"/>
          <w:sz w:val="20"/>
          <w:szCs w:val="20"/>
          <w:lang w:val="lt-LT"/>
        </w:rPr>
        <w:t xml:space="preserve"> reglamento nuostatomis, įgyvendinant finansines priemones panaudojant ESI fondų lėšas turi būti siekiama pritraukti privačių investuotojų </w:t>
      </w:r>
      <w:r>
        <w:rPr>
          <w:rFonts w:ascii="Georgia" w:hAnsi="Georgia" w:cs="Georgia"/>
          <w:sz w:val="20"/>
          <w:szCs w:val="20"/>
          <w:lang w:val="lt-LT"/>
        </w:rPr>
        <w:t>lėšas</w:t>
      </w:r>
      <w:r w:rsidR="00583EB1">
        <w:rPr>
          <w:rFonts w:ascii="Georgia" w:hAnsi="Georgia" w:cs="Georgia"/>
          <w:sz w:val="20"/>
          <w:szCs w:val="20"/>
          <w:lang w:val="lt-LT"/>
        </w:rPr>
        <w:t xml:space="preserve">. Tačiau dėl daugelio </w:t>
      </w:r>
      <w:r w:rsidR="00583EB1" w:rsidRPr="009C1E97">
        <w:rPr>
          <w:rFonts w:ascii="Georgia" w:hAnsi="Georgia" w:cs="Georgia"/>
          <w:sz w:val="20"/>
          <w:szCs w:val="20"/>
          <w:lang w:val="lt-LT"/>
        </w:rPr>
        <w:t>aplinkybių, kurios plačiau išdėstytos 2.4 skyriuje, privatūs investuotojai dar nelinkę investuoti į</w:t>
      </w:r>
      <w:r w:rsidR="00583EB1">
        <w:rPr>
          <w:rFonts w:ascii="Georgia" w:hAnsi="Georgia" w:cs="Georgia"/>
          <w:sz w:val="20"/>
          <w:szCs w:val="20"/>
          <w:lang w:val="lt-LT"/>
        </w:rPr>
        <w:t xml:space="preserve"> viešosios infrastruktūros bei energijos efektyvumo sričių projektus. Tai yra sąlygota tokių veiksnių kaip kredito istorijos, investicijų grąžos istorijos trūkumas, informacijos asimetrija, gerosios praktikos pavyzdžių trūkumas, reguliavimo apribojimai, maža projektų vertė ir kiekis, neaiškios rizikos ir jų valdymas ir kita. Tačiau vis dėlto pažymėtina, jog komercinių bankų, tarptautinių finansų institucijų, pensijų fondų apklausų metu buvo išsakytas susidomėjimas investuoti į energijos efektyvumo didinimo srities projektus. </w:t>
      </w:r>
    </w:p>
    <w:p w14:paraId="6FF9E794" w14:textId="77777777" w:rsidR="00583EB1" w:rsidRDefault="00583EB1" w:rsidP="00583EB1">
      <w:pPr>
        <w:autoSpaceDE w:val="0"/>
        <w:autoSpaceDN w:val="0"/>
        <w:adjustRightInd w:val="0"/>
        <w:spacing w:after="0"/>
        <w:jc w:val="both"/>
        <w:rPr>
          <w:rFonts w:ascii="Georgia" w:hAnsi="Georgia" w:cs="Georgia"/>
          <w:sz w:val="20"/>
          <w:szCs w:val="20"/>
          <w:lang w:val="lt-LT"/>
        </w:rPr>
      </w:pPr>
    </w:p>
    <w:p w14:paraId="613604F6" w14:textId="77777777" w:rsidR="00583EB1" w:rsidRDefault="00583EB1" w:rsidP="00583EB1">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Siekiant, kad į energijos efektyvumo didinimo sritis investuotų privatūs subjektai, reikalinga paskatinti jų dalyvavimą, užtikrinti jų pasitikėjimą. Įvairios institucijos, su kuriomis buvo diskutuota apie jų potencialias investicijas energijos efektyvumo srityje, potencialių rizikų mažinimą įvardijo kaip vieną iš pagrindinių kriterijų, lemiančių teigiamo sprendimo priėmimą. </w:t>
      </w:r>
    </w:p>
    <w:p w14:paraId="7069364B" w14:textId="77777777" w:rsidR="00583EB1" w:rsidRDefault="00583EB1" w:rsidP="00583EB1">
      <w:pPr>
        <w:autoSpaceDE w:val="0"/>
        <w:autoSpaceDN w:val="0"/>
        <w:adjustRightInd w:val="0"/>
        <w:spacing w:after="0"/>
        <w:jc w:val="both"/>
        <w:rPr>
          <w:rFonts w:ascii="Georgia" w:hAnsi="Georgia" w:cs="Georgia"/>
          <w:sz w:val="20"/>
          <w:szCs w:val="20"/>
          <w:lang w:val="lt-LT"/>
        </w:rPr>
      </w:pPr>
    </w:p>
    <w:p w14:paraId="0F54CECA" w14:textId="77777777" w:rsidR="00583EB1" w:rsidRDefault="00583EB1" w:rsidP="00583EB1">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Skatinimo priemonės gali būti taikomos keliuose lygmenyse, kaip tai buvo aprašyta 3.2 skyriuje. Atsižvelgiant į Bendrųjų nuostatų reglamento reikalavimus visi skatinimo elementai turi būti prienami visiems pageidaujantiems ir atitinkantiems nustatytus reikalavimus, finansin</w:t>
      </w:r>
      <w:r w:rsidR="00C02C72">
        <w:rPr>
          <w:rFonts w:ascii="Georgia" w:hAnsi="Georgia" w:cs="Georgia"/>
          <w:sz w:val="20"/>
          <w:szCs w:val="20"/>
          <w:lang w:val="lt-LT"/>
        </w:rPr>
        <w:t>e</w:t>
      </w:r>
      <w:r>
        <w:rPr>
          <w:rFonts w:ascii="Georgia" w:hAnsi="Georgia" w:cs="Georgia"/>
          <w:sz w:val="20"/>
          <w:szCs w:val="20"/>
          <w:lang w:val="lt-LT"/>
        </w:rPr>
        <w:t>s priemon</w:t>
      </w:r>
      <w:r w:rsidR="00C02C72">
        <w:rPr>
          <w:rFonts w:ascii="Georgia" w:hAnsi="Georgia" w:cs="Georgia"/>
          <w:sz w:val="20"/>
          <w:szCs w:val="20"/>
          <w:lang w:val="lt-LT"/>
        </w:rPr>
        <w:t>e</w:t>
      </w:r>
      <w:r>
        <w:rPr>
          <w:rFonts w:ascii="Georgia" w:hAnsi="Georgia" w:cs="Georgia"/>
          <w:sz w:val="20"/>
          <w:szCs w:val="20"/>
          <w:lang w:val="lt-LT"/>
        </w:rPr>
        <w:t xml:space="preserve">s įgyvendinantys tarpininkai parenkami skaidriai, o skatinimo </w:t>
      </w:r>
      <w:r w:rsidR="00C02C72">
        <w:rPr>
          <w:rFonts w:ascii="Georgia" w:hAnsi="Georgia" w:cs="Georgia"/>
          <w:sz w:val="20"/>
          <w:szCs w:val="20"/>
          <w:lang w:val="lt-LT"/>
        </w:rPr>
        <w:t>elementai nediskriminuojanty</w:t>
      </w:r>
      <w:r>
        <w:rPr>
          <w:rFonts w:ascii="Georgia" w:hAnsi="Georgia" w:cs="Georgia"/>
          <w:sz w:val="20"/>
          <w:szCs w:val="20"/>
          <w:lang w:val="lt-LT"/>
        </w:rPr>
        <w:t>s.</w:t>
      </w:r>
    </w:p>
    <w:p w14:paraId="438DD275" w14:textId="77777777" w:rsidR="00583EB1" w:rsidRDefault="00583EB1" w:rsidP="00583EB1">
      <w:pPr>
        <w:autoSpaceDE w:val="0"/>
        <w:autoSpaceDN w:val="0"/>
        <w:adjustRightInd w:val="0"/>
        <w:spacing w:after="0"/>
        <w:jc w:val="both"/>
        <w:rPr>
          <w:rFonts w:ascii="Georgia" w:hAnsi="Georgia" w:cs="Georgia"/>
          <w:sz w:val="20"/>
          <w:szCs w:val="20"/>
          <w:lang w:val="lt-LT"/>
        </w:rPr>
      </w:pPr>
    </w:p>
    <w:p w14:paraId="32CF9963" w14:textId="77777777" w:rsidR="00583EB1" w:rsidRDefault="00583EB1" w:rsidP="00583EB1">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Toliau šiame skyriuje yra nurodytos įvairios potencialių investuotojų skatinimo priemonės, kurios galėtų padėti pritraukti privačias investicijas bei kartu su ESI fondų lėšomis sukurti didesnį sverto efektą</w:t>
      </w:r>
      <w:r w:rsidR="00C02C72">
        <w:rPr>
          <w:rFonts w:ascii="Georgia" w:hAnsi="Georgia" w:cs="Georgia"/>
          <w:sz w:val="20"/>
          <w:szCs w:val="20"/>
          <w:lang w:val="lt-LT"/>
        </w:rPr>
        <w:t>,</w:t>
      </w:r>
      <w:r>
        <w:rPr>
          <w:rFonts w:ascii="Georgia" w:hAnsi="Georgia" w:cs="Georgia"/>
          <w:sz w:val="20"/>
          <w:szCs w:val="20"/>
          <w:lang w:val="lt-LT"/>
        </w:rPr>
        <w:t xml:space="preserve"> tuo pačiu ir projektų multiplikatorių. Skatinimo priemonės yra sugrupuotos pagal tai, į kokį lygmenį būtų siekiama pritraukti privačias lėšas. </w:t>
      </w:r>
    </w:p>
    <w:p w14:paraId="613C3E5C" w14:textId="77777777" w:rsidR="00583EB1" w:rsidRDefault="00583EB1" w:rsidP="00583EB1">
      <w:pPr>
        <w:autoSpaceDE w:val="0"/>
        <w:autoSpaceDN w:val="0"/>
        <w:adjustRightInd w:val="0"/>
        <w:spacing w:after="0"/>
        <w:jc w:val="both"/>
        <w:rPr>
          <w:rFonts w:ascii="Georgia" w:hAnsi="Georgia" w:cs="Georgia"/>
          <w:sz w:val="20"/>
          <w:szCs w:val="20"/>
          <w:lang w:val="lt-LT"/>
        </w:rPr>
      </w:pPr>
    </w:p>
    <w:p w14:paraId="5F312FA1" w14:textId="77777777" w:rsidR="00583EB1" w:rsidRPr="00ED1C74" w:rsidRDefault="00583EB1" w:rsidP="00583EB1">
      <w:pPr>
        <w:autoSpaceDE w:val="0"/>
        <w:autoSpaceDN w:val="0"/>
        <w:adjustRightInd w:val="0"/>
        <w:spacing w:after="0"/>
        <w:jc w:val="both"/>
        <w:rPr>
          <w:rFonts w:ascii="Georgia" w:hAnsi="Georgia" w:cs="Georgia"/>
          <w:i/>
          <w:sz w:val="20"/>
          <w:szCs w:val="20"/>
          <w:lang w:val="lt-LT"/>
        </w:rPr>
      </w:pPr>
      <w:r>
        <w:rPr>
          <w:rFonts w:ascii="Georgia" w:hAnsi="Georgia" w:cs="Georgia"/>
          <w:i/>
          <w:sz w:val="20"/>
          <w:szCs w:val="20"/>
          <w:lang w:val="lt-LT"/>
        </w:rPr>
        <w:t>Skatinimo priemonės f</w:t>
      </w:r>
      <w:r w:rsidRPr="00ED1C74">
        <w:rPr>
          <w:rFonts w:ascii="Georgia" w:hAnsi="Georgia" w:cs="Georgia"/>
          <w:i/>
          <w:sz w:val="20"/>
          <w:szCs w:val="20"/>
          <w:lang w:val="lt-LT"/>
        </w:rPr>
        <w:t>ondų fondo lygyje</w:t>
      </w:r>
    </w:p>
    <w:p w14:paraId="7CFD1604" w14:textId="77777777" w:rsidR="00583EB1" w:rsidRDefault="00583EB1" w:rsidP="00583EB1">
      <w:pPr>
        <w:autoSpaceDE w:val="0"/>
        <w:autoSpaceDN w:val="0"/>
        <w:adjustRightInd w:val="0"/>
        <w:spacing w:after="0"/>
        <w:jc w:val="both"/>
        <w:rPr>
          <w:rFonts w:ascii="Georgia" w:hAnsi="Georgia" w:cs="Georgia"/>
          <w:sz w:val="20"/>
          <w:szCs w:val="20"/>
          <w:lang w:val="lt-LT"/>
        </w:rPr>
      </w:pPr>
    </w:p>
    <w:p w14:paraId="14429230" w14:textId="77777777" w:rsidR="00583EB1" w:rsidRDefault="00583EB1" w:rsidP="00583EB1">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Skatinimo priemonės fondų fondo lygyje yra siejamos su didesnio masto investicijų pritraukimu, investuotojų pasitikėjimo užtikrinimu. Tokių skatinimo priemonių pavyzdžiai galėtų būti:</w:t>
      </w:r>
    </w:p>
    <w:p w14:paraId="58EF034B" w14:textId="77777777"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asimetrinis rizikos prisiėmimas; </w:t>
      </w:r>
    </w:p>
    <w:p w14:paraId="645E3580" w14:textId="77777777"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asimetrinis pelno pasidalijimas;</w:t>
      </w:r>
    </w:p>
    <w:p w14:paraId="0D3766DD" w14:textId="77777777"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ateities pinigų srautų perpardavimas su diskonto norma;</w:t>
      </w:r>
    </w:p>
    <w:p w14:paraId="2171ED53" w14:textId="77777777"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lastRenderedPageBreak/>
        <w:t>suteikiama galimybė išpirkti geriausius rezultatus pasiekusių projektų ateities pinigų srautus;</w:t>
      </w:r>
    </w:p>
    <w:p w14:paraId="2AAA561B" w14:textId="77777777"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išperkamų ateities piniginių srautų garantijos;</w:t>
      </w:r>
    </w:p>
    <w:p w14:paraId="63B61230" w14:textId="77777777"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mokestinės priemonių mažinimo taikymas;</w:t>
      </w:r>
    </w:p>
    <w:p w14:paraId="5AE4A71C" w14:textId="77777777"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įvairus šių variantų derinys.</w:t>
      </w:r>
    </w:p>
    <w:p w14:paraId="10EBB7B0" w14:textId="77777777" w:rsidR="00583EB1" w:rsidRDefault="00583EB1" w:rsidP="00583EB1">
      <w:pPr>
        <w:pStyle w:val="Sraopastraipa"/>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 </w:t>
      </w:r>
    </w:p>
    <w:p w14:paraId="3DF29E99" w14:textId="77777777" w:rsidR="00583EB1" w:rsidRDefault="00583EB1" w:rsidP="00583EB1">
      <w:pPr>
        <w:autoSpaceDE w:val="0"/>
        <w:autoSpaceDN w:val="0"/>
        <w:adjustRightInd w:val="0"/>
        <w:spacing w:after="0"/>
        <w:jc w:val="both"/>
        <w:rPr>
          <w:rFonts w:ascii="Georgia" w:hAnsi="Georgia" w:cs="Georgia"/>
          <w:i/>
          <w:sz w:val="20"/>
          <w:szCs w:val="20"/>
          <w:lang w:val="lt-LT"/>
        </w:rPr>
      </w:pPr>
    </w:p>
    <w:p w14:paraId="1FBB2E3F" w14:textId="77777777" w:rsidR="00583EB1" w:rsidRDefault="00583EB1" w:rsidP="00583EB1">
      <w:pPr>
        <w:autoSpaceDE w:val="0"/>
        <w:autoSpaceDN w:val="0"/>
        <w:adjustRightInd w:val="0"/>
        <w:spacing w:after="0"/>
        <w:jc w:val="both"/>
        <w:rPr>
          <w:rFonts w:ascii="Georgia" w:hAnsi="Georgia" w:cs="Georgia"/>
          <w:i/>
          <w:sz w:val="20"/>
          <w:szCs w:val="20"/>
          <w:lang w:val="lt-LT"/>
        </w:rPr>
      </w:pPr>
      <w:r>
        <w:rPr>
          <w:rFonts w:ascii="Georgia" w:hAnsi="Georgia" w:cs="Georgia"/>
          <w:i/>
          <w:sz w:val="20"/>
          <w:szCs w:val="20"/>
          <w:lang w:val="lt-LT"/>
        </w:rPr>
        <w:t>Skatinimo priemonės finansinės priemonės (finansinio tarpininko) lygyje</w:t>
      </w:r>
    </w:p>
    <w:p w14:paraId="6AE9F87B" w14:textId="77777777" w:rsidR="00583EB1" w:rsidRDefault="00583EB1" w:rsidP="00583EB1">
      <w:pPr>
        <w:autoSpaceDE w:val="0"/>
        <w:autoSpaceDN w:val="0"/>
        <w:adjustRightInd w:val="0"/>
        <w:spacing w:after="0"/>
        <w:jc w:val="both"/>
        <w:rPr>
          <w:rFonts w:ascii="Georgia" w:hAnsi="Georgia" w:cs="Georgia"/>
          <w:sz w:val="20"/>
          <w:szCs w:val="20"/>
          <w:lang w:val="lt-LT"/>
        </w:rPr>
      </w:pPr>
    </w:p>
    <w:p w14:paraId="2CEE7F78" w14:textId="77777777" w:rsidR="00583EB1" w:rsidRDefault="00583EB1" w:rsidP="00583EB1">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Siekiant pritraukti lėšas finansinės priemonės lygyje, galima panaudoti šiuos skatinimo elementus:</w:t>
      </w:r>
    </w:p>
    <w:p w14:paraId="549CF0F0" w14:textId="77777777"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garantijų teikimas (individualių ir portfelinių);</w:t>
      </w:r>
    </w:p>
    <w:p w14:paraId="23D418EE" w14:textId="77777777" w:rsidR="00583EB1" w:rsidRPr="009C1E97"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sidRPr="009C1E97">
        <w:rPr>
          <w:rFonts w:ascii="Georgia" w:hAnsi="Georgia" w:cs="Georgia"/>
          <w:sz w:val="20"/>
          <w:szCs w:val="20"/>
          <w:lang w:val="lt-LT"/>
        </w:rPr>
        <w:t>paskolų palūkanų kompensavimas;</w:t>
      </w:r>
    </w:p>
    <w:p w14:paraId="1ACD31F6" w14:textId="77777777"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techninės pagalbos teikimas;</w:t>
      </w:r>
    </w:p>
    <w:p w14:paraId="4D02797E" w14:textId="77777777"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administravimo mokesčio mokėjimas;</w:t>
      </w:r>
    </w:p>
    <w:p w14:paraId="72FBA96B" w14:textId="77777777"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paskolos dalies suteikimas iš ESI fondų lėšų, dalies – iš finansinę priemonę įgyvendinančios institucijos lėšų;</w:t>
      </w:r>
    </w:p>
    <w:p w14:paraId="3B9F551F" w14:textId="77777777"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asimetrinis rizikos prisiėmimas, kai finansiniai tarpininkai dalyvauja ir savo lėšomis;</w:t>
      </w:r>
    </w:p>
    <w:p w14:paraId="6A916BCA" w14:textId="77777777"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šių priemonių derinys.</w:t>
      </w:r>
    </w:p>
    <w:p w14:paraId="67E102F1" w14:textId="77777777" w:rsidR="00583EB1" w:rsidRDefault="00583EB1" w:rsidP="00583EB1">
      <w:pPr>
        <w:autoSpaceDE w:val="0"/>
        <w:autoSpaceDN w:val="0"/>
        <w:adjustRightInd w:val="0"/>
        <w:spacing w:after="0"/>
        <w:jc w:val="both"/>
        <w:rPr>
          <w:rFonts w:ascii="Georgia" w:hAnsi="Georgia" w:cs="Georgia"/>
          <w:sz w:val="20"/>
          <w:szCs w:val="20"/>
          <w:lang w:val="lt-LT"/>
        </w:rPr>
      </w:pPr>
    </w:p>
    <w:p w14:paraId="3E3ABA3B" w14:textId="77777777" w:rsidR="00583EB1" w:rsidRDefault="00583EB1" w:rsidP="00583EB1">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Po kelerių metų susikūrus energijos efektyvumo projektų patirčiai ir istorijai, vietoje dabartinio rekomenduojamo finansinių tarpininkų dalyvavimo savo lėšomis galima būtų įvesti privalomą reikalavimą dalyvauti savomis lėšomis. Tokio reikalavimo sąlygos ir atrankos kriterijai būtų kuriami pagal iki tol sukauptą patirtį ir egzistuojančia situaciją.</w:t>
      </w:r>
    </w:p>
    <w:p w14:paraId="6E074BBD" w14:textId="77777777" w:rsidR="00583EB1" w:rsidRDefault="00583EB1" w:rsidP="00583EB1">
      <w:pPr>
        <w:autoSpaceDE w:val="0"/>
        <w:autoSpaceDN w:val="0"/>
        <w:adjustRightInd w:val="0"/>
        <w:spacing w:after="0"/>
        <w:jc w:val="both"/>
        <w:rPr>
          <w:rFonts w:ascii="Georgia" w:hAnsi="Georgia" w:cs="Georgia"/>
          <w:i/>
          <w:sz w:val="20"/>
          <w:szCs w:val="20"/>
          <w:lang w:val="lt-LT"/>
        </w:rPr>
      </w:pPr>
    </w:p>
    <w:p w14:paraId="28F1777D" w14:textId="77777777" w:rsidR="00583EB1" w:rsidRDefault="00583EB1" w:rsidP="00583EB1">
      <w:pPr>
        <w:autoSpaceDE w:val="0"/>
        <w:autoSpaceDN w:val="0"/>
        <w:adjustRightInd w:val="0"/>
        <w:spacing w:after="0"/>
        <w:jc w:val="both"/>
        <w:rPr>
          <w:rFonts w:ascii="Georgia" w:hAnsi="Georgia" w:cs="Georgia"/>
          <w:i/>
          <w:sz w:val="20"/>
          <w:szCs w:val="20"/>
          <w:lang w:val="lt-LT"/>
        </w:rPr>
      </w:pPr>
    </w:p>
    <w:p w14:paraId="5281CA8E" w14:textId="77777777" w:rsidR="00583EB1" w:rsidRPr="00996380" w:rsidRDefault="00583EB1" w:rsidP="00583EB1">
      <w:pPr>
        <w:autoSpaceDE w:val="0"/>
        <w:autoSpaceDN w:val="0"/>
        <w:adjustRightInd w:val="0"/>
        <w:spacing w:after="0"/>
        <w:jc w:val="both"/>
        <w:rPr>
          <w:rFonts w:ascii="Georgia" w:hAnsi="Georgia" w:cs="Georgia"/>
          <w:i/>
          <w:sz w:val="20"/>
          <w:szCs w:val="20"/>
          <w:lang w:val="lt-LT"/>
        </w:rPr>
      </w:pPr>
      <w:r w:rsidRPr="00996380">
        <w:rPr>
          <w:rFonts w:ascii="Georgia" w:hAnsi="Georgia" w:cs="Georgia"/>
          <w:i/>
          <w:sz w:val="20"/>
          <w:szCs w:val="20"/>
          <w:lang w:val="lt-LT"/>
        </w:rPr>
        <w:t>Skatinimo priemonės galutinio naudos gavėjo lygmenyje</w:t>
      </w:r>
    </w:p>
    <w:p w14:paraId="584482C0" w14:textId="77777777" w:rsidR="00583EB1" w:rsidRDefault="00583EB1" w:rsidP="00583EB1">
      <w:pPr>
        <w:autoSpaceDE w:val="0"/>
        <w:autoSpaceDN w:val="0"/>
        <w:adjustRightInd w:val="0"/>
        <w:spacing w:after="0"/>
        <w:jc w:val="both"/>
        <w:rPr>
          <w:rFonts w:ascii="Georgia" w:hAnsi="Georgia" w:cs="Georgia"/>
          <w:sz w:val="20"/>
          <w:szCs w:val="20"/>
          <w:lang w:val="lt-LT"/>
        </w:rPr>
      </w:pPr>
    </w:p>
    <w:p w14:paraId="5758DF6F" w14:textId="77777777" w:rsidR="00583EB1" w:rsidRDefault="00583EB1" w:rsidP="00583EB1">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Galutinio naudos gavėjo lygmeniu gali būti taikomi šie elementai:</w:t>
      </w:r>
    </w:p>
    <w:p w14:paraId="07807D72" w14:textId="77777777"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žemesnių negu rinkos, fiksuotų palūkanų taikymas; </w:t>
      </w:r>
    </w:p>
    <w:p w14:paraId="675922E7" w14:textId="77777777"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subsidijų teikimas projekto dalies finansavimui;</w:t>
      </w:r>
    </w:p>
    <w:p w14:paraId="619CE35D" w14:textId="77777777"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palūkanų kompensavimas galutiniams naudos gavėjams (galutiniams naudos gavėjams suteikiant galimybę naudotis geresnėmis sąlygomis, t.y. palūkanomis ir terminais);</w:t>
      </w:r>
    </w:p>
    <w:p w14:paraId="5ACB52C1" w14:textId="77777777"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ilgesnio negu rinkoje esančio termino paskoloms taikymas;</w:t>
      </w:r>
    </w:p>
    <w:p w14:paraId="4532AC80" w14:textId="77777777"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užstato nereikalavimas;</w:t>
      </w:r>
    </w:p>
    <w:p w14:paraId="4410840A" w14:textId="77777777"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papildoma parama renovacijos dokumentų parengimui ir įgyvendinimo administravimui;</w:t>
      </w:r>
    </w:p>
    <w:p w14:paraId="48A64FCB" w14:textId="77777777" w:rsidR="00583EB1" w:rsidRDefault="00583EB1" w:rsidP="00C03122">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įvairus šių variantų derinys.</w:t>
      </w:r>
    </w:p>
    <w:p w14:paraId="2F50089F" w14:textId="77777777" w:rsidR="00583EB1" w:rsidRDefault="00583EB1" w:rsidP="00583EB1">
      <w:pPr>
        <w:autoSpaceDE w:val="0"/>
        <w:autoSpaceDN w:val="0"/>
        <w:adjustRightInd w:val="0"/>
        <w:spacing w:after="0"/>
        <w:jc w:val="both"/>
        <w:rPr>
          <w:rFonts w:ascii="Georgia" w:hAnsi="Georgia" w:cs="Georgia"/>
          <w:sz w:val="20"/>
          <w:szCs w:val="20"/>
          <w:lang w:val="lt-LT"/>
        </w:rPr>
      </w:pPr>
    </w:p>
    <w:p w14:paraId="2C67887D" w14:textId="77777777" w:rsidR="00583EB1" w:rsidRPr="00ED1C74" w:rsidRDefault="00583EB1" w:rsidP="00583EB1">
      <w:pPr>
        <w:autoSpaceDE w:val="0"/>
        <w:autoSpaceDN w:val="0"/>
        <w:adjustRightInd w:val="0"/>
        <w:spacing w:after="0"/>
        <w:jc w:val="both"/>
        <w:rPr>
          <w:rFonts w:ascii="Georgia" w:hAnsi="Georgia" w:cs="Georgia"/>
          <w:i/>
          <w:sz w:val="20"/>
          <w:szCs w:val="20"/>
          <w:lang w:val="lt-LT"/>
        </w:rPr>
      </w:pPr>
      <w:r>
        <w:rPr>
          <w:rFonts w:ascii="Georgia" w:hAnsi="Georgia" w:cs="Georgia"/>
          <w:i/>
          <w:sz w:val="20"/>
          <w:szCs w:val="20"/>
          <w:lang w:val="lt-LT"/>
        </w:rPr>
        <w:t>Valdymo mokestis</w:t>
      </w:r>
      <w:r w:rsidRPr="00ED1C74">
        <w:rPr>
          <w:rFonts w:ascii="Georgia" w:hAnsi="Georgia" w:cs="Georgia"/>
          <w:i/>
          <w:sz w:val="20"/>
          <w:szCs w:val="20"/>
          <w:lang w:val="lt-LT"/>
        </w:rPr>
        <w:t xml:space="preserve"> finansiniams tarpininkams ir fondo valdytojams</w:t>
      </w:r>
    </w:p>
    <w:p w14:paraId="1AEBFD40" w14:textId="77777777" w:rsidR="00583EB1" w:rsidRDefault="00583EB1" w:rsidP="00583EB1">
      <w:pPr>
        <w:autoSpaceDE w:val="0"/>
        <w:autoSpaceDN w:val="0"/>
        <w:adjustRightInd w:val="0"/>
        <w:spacing w:after="0"/>
        <w:jc w:val="both"/>
        <w:rPr>
          <w:rFonts w:ascii="Georgia" w:hAnsi="Georgia" w:cs="Georgia"/>
          <w:sz w:val="20"/>
          <w:szCs w:val="20"/>
          <w:lang w:val="lt-LT"/>
        </w:rPr>
      </w:pPr>
    </w:p>
    <w:p w14:paraId="6A5F51EB" w14:textId="77777777" w:rsidR="00583EB1" w:rsidRDefault="00583EB1" w:rsidP="00583EB1">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Už finansinių priemonių įgyvendinimą fondų fondo valdytojui ir finansiniams tarpininkams gali būti mokamas valdymo mokestis. Šio valdymo mokesčio mokėjimo principai ir dydžiai apibrėžti Deleguoto reglamento 12 ir 13 straipsniuose. Valdymo mokestis susideda iš dviejų dalių: bazinio valdymo mokesčio ir nuo veiklos rezultatų priklausančio valdymo mokesčio. </w:t>
      </w:r>
      <w:r w:rsidRPr="00EE2A65">
        <w:rPr>
          <w:rFonts w:ascii="Georgia" w:hAnsi="Georgia" w:cs="Georgia"/>
          <w:sz w:val="20"/>
          <w:szCs w:val="20"/>
          <w:lang w:val="lt-LT"/>
        </w:rPr>
        <w:t>Detal</w:t>
      </w:r>
      <w:r w:rsidR="00C02C72">
        <w:rPr>
          <w:rFonts w:ascii="Georgia" w:hAnsi="Georgia" w:cs="Georgia"/>
          <w:sz w:val="20"/>
          <w:szCs w:val="20"/>
          <w:lang w:val="lt-LT"/>
        </w:rPr>
        <w:t>u</w:t>
      </w:r>
      <w:r w:rsidRPr="00EE2A65">
        <w:rPr>
          <w:rFonts w:ascii="Georgia" w:hAnsi="Georgia" w:cs="Georgia"/>
          <w:sz w:val="20"/>
          <w:szCs w:val="20"/>
          <w:lang w:val="lt-LT"/>
        </w:rPr>
        <w:t xml:space="preserve">s valdymo mokesčio dedamųjų dalių aprašymas bei dydis yra aprašyti </w:t>
      </w:r>
      <w:r w:rsidRPr="00996380">
        <w:rPr>
          <w:rFonts w:ascii="Georgia" w:hAnsi="Georgia" w:cs="Georgia"/>
          <w:sz w:val="20"/>
          <w:szCs w:val="20"/>
          <w:lang w:val="lt-LT"/>
        </w:rPr>
        <w:t>2</w:t>
      </w:r>
      <w:r w:rsidRPr="00EE2A65">
        <w:rPr>
          <w:rFonts w:ascii="Georgia" w:hAnsi="Georgia" w:cs="Georgia"/>
          <w:sz w:val="20"/>
          <w:szCs w:val="20"/>
          <w:lang w:val="lt-LT"/>
        </w:rPr>
        <w:t xml:space="preserve"> priede.</w:t>
      </w:r>
      <w:r>
        <w:rPr>
          <w:rFonts w:ascii="Georgia" w:hAnsi="Georgia" w:cs="Georgia"/>
          <w:sz w:val="20"/>
          <w:szCs w:val="20"/>
          <w:lang w:val="lt-LT"/>
        </w:rPr>
        <w:t xml:space="preserve"> </w:t>
      </w:r>
    </w:p>
    <w:p w14:paraId="65D6A41F" w14:textId="77777777" w:rsidR="00583EB1" w:rsidRDefault="00583EB1" w:rsidP="00583EB1">
      <w:pPr>
        <w:autoSpaceDE w:val="0"/>
        <w:autoSpaceDN w:val="0"/>
        <w:adjustRightInd w:val="0"/>
        <w:spacing w:after="0"/>
        <w:jc w:val="both"/>
        <w:rPr>
          <w:rFonts w:ascii="Georgia" w:hAnsi="Georgia" w:cs="Georgia"/>
          <w:sz w:val="20"/>
          <w:szCs w:val="20"/>
          <w:lang w:val="lt-LT"/>
        </w:rPr>
      </w:pPr>
    </w:p>
    <w:p w14:paraId="76632DD9" w14:textId="77777777" w:rsidR="00583EB1" w:rsidRDefault="00583EB1" w:rsidP="00583EB1">
      <w:pPr>
        <w:autoSpaceDE w:val="0"/>
        <w:autoSpaceDN w:val="0"/>
        <w:adjustRightInd w:val="0"/>
        <w:spacing w:after="0"/>
        <w:rPr>
          <w:rFonts w:ascii="Georgia" w:hAnsi="Georgia" w:cs="Georgia"/>
          <w:sz w:val="20"/>
          <w:szCs w:val="20"/>
          <w:lang w:val="lt-LT"/>
        </w:rPr>
      </w:pPr>
    </w:p>
    <w:p w14:paraId="55E2CFF2" w14:textId="77777777" w:rsidR="00583EB1" w:rsidRPr="00AC3318" w:rsidRDefault="00583EB1" w:rsidP="00583EB1">
      <w:pPr>
        <w:rPr>
          <w:rFonts w:ascii="Georgia" w:eastAsiaTheme="majorEastAsia" w:hAnsi="Georgia" w:cstheme="majorBidi"/>
          <w:b/>
          <w:bCs/>
          <w:color w:val="365F91" w:themeColor="accent1" w:themeShade="BF"/>
          <w:lang w:val="lt-LT"/>
        </w:rPr>
      </w:pPr>
      <w:r w:rsidRPr="00AC3318">
        <w:rPr>
          <w:rFonts w:ascii="Georgia" w:hAnsi="Georgia"/>
          <w:sz w:val="20"/>
          <w:szCs w:val="20"/>
          <w:lang w:val="lt-LT"/>
        </w:rPr>
        <w:br w:type="page"/>
      </w:r>
    </w:p>
    <w:p w14:paraId="79506954" w14:textId="77777777" w:rsidR="00280058" w:rsidRPr="00DF3A8E" w:rsidRDefault="00280058" w:rsidP="00C03122">
      <w:pPr>
        <w:pStyle w:val="Antrat1"/>
        <w:numPr>
          <w:ilvl w:val="0"/>
          <w:numId w:val="2"/>
        </w:numPr>
        <w:rPr>
          <w:lang w:val="lt-LT"/>
        </w:rPr>
      </w:pPr>
      <w:bookmarkStart w:id="110" w:name="_Toc402352622"/>
      <w:bookmarkStart w:id="111" w:name="_Toc417378384"/>
      <w:r w:rsidRPr="00DF3A8E">
        <w:rPr>
          <w:lang w:val="lt-LT"/>
        </w:rPr>
        <w:lastRenderedPageBreak/>
        <w:t>Finansinės priemonės pridėtinė vertė ir suderinamumas su kitomis viešųjų intervencijų formomis</w:t>
      </w:r>
      <w:bookmarkEnd w:id="110"/>
      <w:bookmarkEnd w:id="111"/>
    </w:p>
    <w:p w14:paraId="1CE5A35E" w14:textId="77777777" w:rsidR="00280058" w:rsidRPr="00DF3A8E" w:rsidRDefault="00280058" w:rsidP="00280058">
      <w:pPr>
        <w:jc w:val="both"/>
        <w:rPr>
          <w:rFonts w:ascii="Georgia" w:hAnsi="Georgia"/>
          <w:sz w:val="20"/>
          <w:lang w:val="lt-LT"/>
        </w:rPr>
      </w:pPr>
    </w:p>
    <w:p w14:paraId="30B91DB3" w14:textId="77777777" w:rsidR="00280058" w:rsidRPr="00A07762" w:rsidRDefault="00280058" w:rsidP="00280058">
      <w:pPr>
        <w:jc w:val="both"/>
        <w:rPr>
          <w:rFonts w:ascii="Georgia" w:hAnsi="Georgia"/>
          <w:sz w:val="20"/>
          <w:lang w:val="lt-LT"/>
        </w:rPr>
      </w:pPr>
      <w:r w:rsidRPr="00A07762">
        <w:rPr>
          <w:rFonts w:ascii="Georgia" w:hAnsi="Georgia"/>
          <w:sz w:val="20"/>
          <w:lang w:val="lt-LT"/>
        </w:rPr>
        <w:t>Atsižvelgiant į 1.3 punkte išdėstytus teisinius apribojimus ir galimybes, identifikuojamos trys Energetinio efektyvumo finansinių priemonių įgyvendinimo  administravimo schemos:</w:t>
      </w:r>
    </w:p>
    <w:p w14:paraId="48B5199E" w14:textId="77777777" w:rsidR="00280058" w:rsidRPr="00712E09" w:rsidRDefault="00280058" w:rsidP="00280058">
      <w:pPr>
        <w:jc w:val="both"/>
        <w:rPr>
          <w:rFonts w:ascii="Georgia" w:hAnsi="Georgia"/>
          <w:b/>
          <w:sz w:val="20"/>
          <w:lang w:val="lt-LT"/>
        </w:rPr>
      </w:pPr>
      <w:r w:rsidRPr="00712E09">
        <w:rPr>
          <w:rFonts w:ascii="Georgia" w:hAnsi="Georgia"/>
          <w:b/>
          <w:sz w:val="20"/>
          <w:lang w:val="lt-LT"/>
        </w:rPr>
        <w:t>1. Fondų fondo sukūrimas.</w:t>
      </w:r>
    </w:p>
    <w:p w14:paraId="66A4A813" w14:textId="77777777" w:rsidR="00280058" w:rsidRPr="00A07762" w:rsidRDefault="00280058" w:rsidP="00280058">
      <w:pPr>
        <w:jc w:val="both"/>
        <w:rPr>
          <w:rFonts w:ascii="Georgia" w:hAnsi="Georgia"/>
          <w:sz w:val="20"/>
          <w:lang w:val="lt-LT"/>
        </w:rPr>
      </w:pPr>
      <w:r w:rsidRPr="008C1458">
        <w:rPr>
          <w:rFonts w:ascii="Georgia" w:hAnsi="Georgia"/>
          <w:sz w:val="20"/>
          <w:lang w:val="lt-LT"/>
        </w:rPr>
        <w:t>Fondų fondas – tai fondas, kurio apibrėžimas yra nustatytas Bendrųjų nuostatų reglamento 2 str. 27 punkte ir jis yra steigiamas kaip atskiras finansų padalinys arba sąskaitų rinkinys pas fondų fondo valdytoją, kuris yra paskiriamas pagal Bendrųjų nuostatų reglamento 38.4 (a) arba (b) dalis. Fondų fondas nėra laikomas atskiru juridinį statusą turinčiu subjektu. Fondų fondo steigimas yra analogija 2007-2013 m. JESSICA KF, kuris yra įsteigtas kaip EIB atskiras finansinis padalinys.</w:t>
      </w:r>
    </w:p>
    <w:p w14:paraId="55D0CD66" w14:textId="77777777" w:rsidR="00280058" w:rsidRPr="00712E09" w:rsidRDefault="00280058" w:rsidP="00280058">
      <w:pPr>
        <w:jc w:val="both"/>
        <w:rPr>
          <w:rFonts w:ascii="Georgia" w:hAnsi="Georgia"/>
          <w:b/>
          <w:sz w:val="20"/>
          <w:lang w:val="lt-LT"/>
        </w:rPr>
      </w:pPr>
      <w:r w:rsidRPr="00712E09">
        <w:rPr>
          <w:rFonts w:ascii="Georgia" w:hAnsi="Georgia"/>
          <w:b/>
          <w:sz w:val="20"/>
          <w:lang w:val="lt-LT"/>
        </w:rPr>
        <w:t>2. Juridinio asmens statusą turinčio fondo steigimas.</w:t>
      </w:r>
    </w:p>
    <w:p w14:paraId="46649C7E" w14:textId="77777777" w:rsidR="00280058" w:rsidRPr="00A07762" w:rsidRDefault="00280058" w:rsidP="00280058">
      <w:pPr>
        <w:jc w:val="both"/>
        <w:rPr>
          <w:rFonts w:ascii="Georgia" w:hAnsi="Georgia"/>
          <w:sz w:val="20"/>
          <w:lang w:val="lt-LT"/>
        </w:rPr>
      </w:pPr>
      <w:r w:rsidRPr="008C1458">
        <w:rPr>
          <w:rFonts w:ascii="Georgia" w:hAnsi="Georgia"/>
          <w:sz w:val="20"/>
          <w:lang w:val="lt-LT"/>
        </w:rPr>
        <w:t xml:space="preserve">Juridinio asmens statusą turintis fondas yra kuriamas į jį investuojant ESI fondų lėšas bei papildomai pritraukiant privačias investicijas. Vadovaujančioji institucija paskiria tokio fondo valdytoją, tačiau fondo valdytojas ir </w:t>
      </w:r>
      <w:r>
        <w:rPr>
          <w:rFonts w:ascii="Georgia" w:hAnsi="Georgia"/>
          <w:sz w:val="20"/>
          <w:lang w:val="lt-LT"/>
        </w:rPr>
        <w:t xml:space="preserve">fondų </w:t>
      </w:r>
      <w:r w:rsidRPr="008C1458">
        <w:rPr>
          <w:rFonts w:ascii="Georgia" w:hAnsi="Georgia"/>
          <w:sz w:val="20"/>
          <w:lang w:val="lt-LT"/>
        </w:rPr>
        <w:t xml:space="preserve">fondas </w:t>
      </w:r>
      <w:r>
        <w:rPr>
          <w:rFonts w:ascii="Georgia" w:hAnsi="Georgia"/>
          <w:sz w:val="20"/>
          <w:lang w:val="lt-LT"/>
        </w:rPr>
        <w:t>gali būti</w:t>
      </w:r>
      <w:r w:rsidRPr="008C1458">
        <w:rPr>
          <w:rFonts w:ascii="Georgia" w:hAnsi="Georgia"/>
          <w:sz w:val="20"/>
          <w:lang w:val="lt-LT"/>
        </w:rPr>
        <w:t xml:space="preserve"> du atskiri subjektai.</w:t>
      </w:r>
    </w:p>
    <w:p w14:paraId="1CD470D5" w14:textId="77777777" w:rsidR="00280058" w:rsidRPr="00712E09" w:rsidRDefault="00280058" w:rsidP="00280058">
      <w:pPr>
        <w:jc w:val="both"/>
        <w:rPr>
          <w:rFonts w:ascii="Georgia" w:hAnsi="Georgia"/>
          <w:b/>
          <w:sz w:val="20"/>
          <w:lang w:val="lt-LT"/>
        </w:rPr>
      </w:pPr>
      <w:r w:rsidRPr="00712E09">
        <w:rPr>
          <w:rFonts w:ascii="Georgia" w:hAnsi="Georgia"/>
          <w:b/>
          <w:sz w:val="20"/>
          <w:lang w:val="lt-LT"/>
        </w:rPr>
        <w:t>3.</w:t>
      </w:r>
      <w:r>
        <w:rPr>
          <w:rFonts w:ascii="Georgia" w:hAnsi="Georgia"/>
          <w:b/>
          <w:sz w:val="20"/>
          <w:lang w:val="lt-LT"/>
        </w:rPr>
        <w:t xml:space="preserve"> </w:t>
      </w:r>
      <w:r w:rsidRPr="00712E09">
        <w:rPr>
          <w:rFonts w:ascii="Georgia" w:hAnsi="Georgia"/>
          <w:b/>
          <w:sz w:val="20"/>
          <w:lang w:val="lt-LT"/>
        </w:rPr>
        <w:t xml:space="preserve">Fondų fondo ir investicinio fondo (turinčio juridinio asmens statusą) steigimas. </w:t>
      </w:r>
    </w:p>
    <w:p w14:paraId="1CF953CD" w14:textId="77777777" w:rsidR="00280058" w:rsidRPr="00712E09" w:rsidRDefault="00280058" w:rsidP="00280058">
      <w:pPr>
        <w:jc w:val="both"/>
        <w:rPr>
          <w:rFonts w:ascii="Georgia" w:hAnsi="Georgia"/>
          <w:sz w:val="20"/>
          <w:lang w:val="lt-LT"/>
        </w:rPr>
      </w:pPr>
      <w:r w:rsidRPr="008C1458">
        <w:rPr>
          <w:rFonts w:ascii="Georgia" w:hAnsi="Georgia"/>
          <w:sz w:val="20"/>
          <w:lang w:val="lt-LT"/>
        </w:rPr>
        <w:t>Tai yra fondų fondo ir investicinio fondo derinys, kai fondų fondas yra pirmame punkte apibrėžtas fondas, o investicinis fondas yra atskiras privatus investicinis fondas, kuris iš fondų fondo išperka ateities piniginius srautus ar paskolas, o gautos lėšos naudojamos finansinių priemonių įgyvendinimui ir naujų projektų finansavimui.</w:t>
      </w:r>
    </w:p>
    <w:p w14:paraId="2410B0B2" w14:textId="77777777" w:rsidR="00280058" w:rsidRPr="00A07762" w:rsidRDefault="00280058" w:rsidP="00280058">
      <w:pPr>
        <w:rPr>
          <w:rFonts w:ascii="Times New Roman" w:hAnsi="Times New Roman" w:cs="Times New Roman"/>
          <w:sz w:val="24"/>
          <w:szCs w:val="24"/>
          <w:lang w:val="lt-LT"/>
        </w:rPr>
      </w:pPr>
    </w:p>
    <w:p w14:paraId="2F57729C" w14:textId="77777777" w:rsidR="00280058" w:rsidRPr="00A07762" w:rsidRDefault="00280058" w:rsidP="00280058">
      <w:pPr>
        <w:keepNext/>
        <w:rPr>
          <w:rFonts w:ascii="Times New Roman" w:hAnsi="Times New Roman" w:cs="Times New Roman"/>
          <w:i/>
          <w:sz w:val="24"/>
          <w:szCs w:val="24"/>
          <w:lang w:val="lt-LT"/>
        </w:rPr>
      </w:pPr>
      <w:r w:rsidRPr="00A07762">
        <w:rPr>
          <w:rFonts w:ascii="Times New Roman" w:hAnsi="Times New Roman" w:cs="Times New Roman"/>
          <w:i/>
          <w:sz w:val="24"/>
          <w:szCs w:val="24"/>
          <w:lang w:val="lt-LT"/>
        </w:rPr>
        <w:lastRenderedPageBreak/>
        <w:t xml:space="preserve">Fondų fondo sukūrimas </w:t>
      </w:r>
    </w:p>
    <w:p w14:paraId="48D48B43" w14:textId="77777777" w:rsidR="00280058" w:rsidRDefault="00280058" w:rsidP="0005008F">
      <w:pPr>
        <w:keepNext/>
        <w:jc w:val="center"/>
        <w:rPr>
          <w:lang w:val="lt-LT"/>
        </w:rPr>
      </w:pPr>
      <w:r w:rsidRPr="00A07762">
        <w:rPr>
          <w:lang w:val="lt-LT"/>
        </w:rPr>
        <w:object w:dxaOrig="12750" w:dyaOrig="10425" w14:anchorId="593001E1">
          <v:shape id="_x0000_i1025" type="#_x0000_t75" style="width:373.55pt;height:305.45pt" o:ole="">
            <v:imagedata r:id="rId38" o:title=""/>
          </v:shape>
          <o:OLEObject Type="Embed" ProgID="Visio.Drawing.15" ShapeID="_x0000_i1025" DrawAspect="Content" ObjectID="_1572853839" r:id="rId39"/>
        </w:object>
      </w:r>
    </w:p>
    <w:p w14:paraId="1CEF52D9" w14:textId="573B26AE" w:rsidR="00280058" w:rsidRPr="0005008F" w:rsidRDefault="00280058" w:rsidP="00280058">
      <w:pPr>
        <w:pStyle w:val="Antrat"/>
        <w:rPr>
          <w:rFonts w:ascii="Times New Roman" w:hAnsi="Times New Roman"/>
          <w:sz w:val="24"/>
          <w:szCs w:val="24"/>
          <w:lang w:val="lt-LT"/>
        </w:rPr>
      </w:pPr>
      <w:bookmarkStart w:id="112" w:name="_Toc417378295"/>
      <w:r w:rsidRPr="0005008F">
        <w:rPr>
          <w:lang w:val="lt-LT"/>
        </w:rPr>
        <w:t xml:space="preserve">Paveikslas </w:t>
      </w:r>
      <w:r w:rsidRPr="0005008F">
        <w:rPr>
          <w:lang w:val="lt-LT"/>
        </w:rPr>
        <w:fldChar w:fldCharType="begin"/>
      </w:r>
      <w:r w:rsidRPr="0005008F">
        <w:rPr>
          <w:lang w:val="lt-LT"/>
        </w:rPr>
        <w:instrText xml:space="preserve"> SEQ Paveikslas \* ARABIC </w:instrText>
      </w:r>
      <w:r w:rsidRPr="0005008F">
        <w:rPr>
          <w:lang w:val="lt-LT"/>
        </w:rPr>
        <w:fldChar w:fldCharType="separate"/>
      </w:r>
      <w:r w:rsidR="00AA3082">
        <w:rPr>
          <w:noProof/>
          <w:lang w:val="lt-LT"/>
        </w:rPr>
        <w:t>18</w:t>
      </w:r>
      <w:r w:rsidRPr="0005008F">
        <w:rPr>
          <w:lang w:val="lt-LT"/>
        </w:rPr>
        <w:fldChar w:fldCharType="end"/>
      </w:r>
      <w:r w:rsidRPr="0005008F">
        <w:rPr>
          <w:lang w:val="lt-LT"/>
        </w:rPr>
        <w:t>. Fondų fondo sukūrimo modelis.</w:t>
      </w:r>
      <w:bookmarkEnd w:id="112"/>
      <w:r w:rsidRPr="0005008F">
        <w:rPr>
          <w:lang w:val="lt-LT"/>
        </w:rPr>
        <w:t xml:space="preserve"> </w:t>
      </w:r>
    </w:p>
    <w:p w14:paraId="244A0994" w14:textId="77777777" w:rsidR="00280058" w:rsidRPr="00A07762" w:rsidRDefault="00280058" w:rsidP="00280058">
      <w:pPr>
        <w:jc w:val="both"/>
        <w:rPr>
          <w:rFonts w:ascii="Georgia" w:hAnsi="Georgia"/>
          <w:sz w:val="20"/>
          <w:lang w:val="lt-LT"/>
        </w:rPr>
      </w:pPr>
      <w:r w:rsidRPr="00A07762">
        <w:rPr>
          <w:rFonts w:ascii="Georgia" w:hAnsi="Georgia"/>
          <w:sz w:val="20"/>
          <w:lang w:val="lt-LT"/>
        </w:rPr>
        <w:t xml:space="preserve">Šios alternatyvos įgyvendinimo atveju Finansų ministerija kaip vadovaujančioji institucija kartu su tarpine institucija </w:t>
      </w:r>
      <w:r>
        <w:rPr>
          <w:rFonts w:ascii="Georgia" w:hAnsi="Georgia"/>
          <w:sz w:val="20"/>
          <w:lang w:val="lt-LT"/>
        </w:rPr>
        <w:t>priima</w:t>
      </w:r>
      <w:r w:rsidRPr="00A07762">
        <w:rPr>
          <w:rFonts w:ascii="Georgia" w:hAnsi="Georgia"/>
          <w:sz w:val="20"/>
          <w:lang w:val="lt-LT"/>
        </w:rPr>
        <w:t xml:space="preserve"> sprendimą sukurti fondų fondą, </w:t>
      </w:r>
      <w:r>
        <w:rPr>
          <w:rFonts w:ascii="Georgia" w:hAnsi="Georgia"/>
          <w:sz w:val="20"/>
          <w:lang w:val="lt-LT"/>
        </w:rPr>
        <w:t>kuris yra kuriamas kaip atskiras finansų padalinys arba</w:t>
      </w:r>
      <w:r w:rsidRPr="00A07762">
        <w:rPr>
          <w:rFonts w:ascii="Georgia" w:hAnsi="Georgia"/>
          <w:sz w:val="20"/>
          <w:lang w:val="lt-LT"/>
        </w:rPr>
        <w:t xml:space="preserve"> sąskaitų rinkin</w:t>
      </w:r>
      <w:r>
        <w:rPr>
          <w:rFonts w:ascii="Georgia" w:hAnsi="Georgia"/>
          <w:sz w:val="20"/>
          <w:lang w:val="lt-LT"/>
        </w:rPr>
        <w:t>ys</w:t>
      </w:r>
      <w:r w:rsidRPr="00A07762">
        <w:rPr>
          <w:rFonts w:ascii="Georgia" w:hAnsi="Georgia"/>
          <w:sz w:val="20"/>
          <w:lang w:val="lt-LT"/>
        </w:rPr>
        <w:t xml:space="preserve"> </w:t>
      </w:r>
      <w:r>
        <w:rPr>
          <w:rFonts w:ascii="Georgia" w:hAnsi="Georgia"/>
          <w:sz w:val="20"/>
          <w:lang w:val="lt-LT"/>
        </w:rPr>
        <w:t xml:space="preserve">pas </w:t>
      </w:r>
      <w:r w:rsidRPr="00A07762">
        <w:rPr>
          <w:rFonts w:ascii="Georgia" w:hAnsi="Georgia"/>
          <w:sz w:val="20"/>
          <w:lang w:val="lt-LT"/>
        </w:rPr>
        <w:t>fondo valdytoj</w:t>
      </w:r>
      <w:r>
        <w:rPr>
          <w:rFonts w:ascii="Georgia" w:hAnsi="Georgia"/>
          <w:sz w:val="20"/>
          <w:lang w:val="lt-LT"/>
        </w:rPr>
        <w:t>ą.</w:t>
      </w:r>
      <w:r w:rsidRPr="00A07762">
        <w:rPr>
          <w:rFonts w:ascii="Georgia" w:hAnsi="Georgia"/>
          <w:sz w:val="20"/>
          <w:lang w:val="lt-LT"/>
        </w:rPr>
        <w:t xml:space="preserve"> Vadovaudamasi </w:t>
      </w:r>
      <w:r>
        <w:rPr>
          <w:rFonts w:ascii="Georgia" w:hAnsi="Georgia"/>
          <w:sz w:val="20"/>
          <w:lang w:val="lt-LT"/>
        </w:rPr>
        <w:t>Bendrųjų nuostatų reglamento</w:t>
      </w:r>
      <w:r w:rsidRPr="00A07762">
        <w:rPr>
          <w:rFonts w:ascii="Georgia" w:hAnsi="Georgia"/>
          <w:sz w:val="20"/>
          <w:lang w:val="lt-LT"/>
        </w:rPr>
        <w:t xml:space="preserve"> 38 str. 4 dalimi, fondų fondo valdytoju vadovaujančioji institucija galėtų paskirti/atrinkti vieną iš 38(4)(b) straipsnyje nurodytų institucijų. </w:t>
      </w:r>
    </w:p>
    <w:p w14:paraId="475E35D4" w14:textId="77777777" w:rsidR="00280058" w:rsidRPr="00A07762" w:rsidRDefault="00280058" w:rsidP="00280058">
      <w:pPr>
        <w:jc w:val="both"/>
        <w:rPr>
          <w:rFonts w:ascii="Georgia" w:hAnsi="Georgia"/>
          <w:sz w:val="20"/>
          <w:lang w:val="lt-LT"/>
        </w:rPr>
      </w:pPr>
      <w:r w:rsidRPr="00A07762">
        <w:rPr>
          <w:rFonts w:ascii="Georgia" w:hAnsi="Georgia"/>
          <w:sz w:val="20"/>
          <w:lang w:val="lt-LT"/>
        </w:rPr>
        <w:t>Šios alternatyvos atveju fondų fondo valdytojas tiesiogiai arba atrinkdamas finansinius tarpininkus, įgyvendina finansin</w:t>
      </w:r>
      <w:r>
        <w:rPr>
          <w:rFonts w:ascii="Georgia" w:hAnsi="Georgia"/>
          <w:sz w:val="20"/>
          <w:lang w:val="lt-LT"/>
        </w:rPr>
        <w:t>es</w:t>
      </w:r>
      <w:r w:rsidRPr="00A07762">
        <w:rPr>
          <w:rFonts w:ascii="Georgia" w:hAnsi="Georgia"/>
          <w:sz w:val="20"/>
          <w:lang w:val="lt-LT"/>
        </w:rPr>
        <w:t xml:space="preserve"> </w:t>
      </w:r>
      <w:r>
        <w:rPr>
          <w:rFonts w:ascii="Georgia" w:hAnsi="Georgia"/>
          <w:sz w:val="20"/>
          <w:lang w:val="lt-LT"/>
        </w:rPr>
        <w:t>priemones</w:t>
      </w:r>
      <w:r w:rsidRPr="00A07762">
        <w:rPr>
          <w:rFonts w:ascii="Georgia" w:hAnsi="Georgia"/>
          <w:sz w:val="20"/>
          <w:lang w:val="lt-LT"/>
        </w:rPr>
        <w:t xml:space="preserve"> energetinio efektyvumo didinimui. Su atrinktais finansiniais tarpininkais fondo valdytojas pasirašo sąlygines paskolos sutartis. </w:t>
      </w:r>
      <w:r>
        <w:rPr>
          <w:rFonts w:ascii="Georgia" w:hAnsi="Georgia"/>
          <w:sz w:val="20"/>
          <w:lang w:val="lt-LT"/>
        </w:rPr>
        <w:t>Fondų fondo valdytojui</w:t>
      </w:r>
      <w:r w:rsidRPr="00A07762">
        <w:rPr>
          <w:rFonts w:ascii="Georgia" w:hAnsi="Georgia"/>
          <w:sz w:val="20"/>
          <w:lang w:val="lt-LT"/>
        </w:rPr>
        <w:t xml:space="preserve"> už fondo valdymą mokamas sutartas administravimo mokestis, kuris apibrėžtas  </w:t>
      </w:r>
      <w:r>
        <w:rPr>
          <w:rFonts w:ascii="Georgia" w:hAnsi="Georgia"/>
          <w:sz w:val="20"/>
          <w:lang w:val="lt-LT"/>
        </w:rPr>
        <w:t>D</w:t>
      </w:r>
      <w:r w:rsidRPr="00A07762">
        <w:rPr>
          <w:rFonts w:ascii="Georgia" w:hAnsi="Georgia"/>
          <w:sz w:val="20"/>
          <w:lang w:val="lt-LT"/>
        </w:rPr>
        <w:t>eleguot</w:t>
      </w:r>
      <w:r>
        <w:rPr>
          <w:rFonts w:ascii="Georgia" w:hAnsi="Georgia"/>
          <w:sz w:val="20"/>
          <w:lang w:val="lt-LT"/>
        </w:rPr>
        <w:t xml:space="preserve">o </w:t>
      </w:r>
      <w:r w:rsidRPr="00A07762">
        <w:rPr>
          <w:rFonts w:ascii="Georgia" w:hAnsi="Georgia"/>
          <w:sz w:val="20"/>
          <w:lang w:val="lt-LT"/>
        </w:rPr>
        <w:t xml:space="preserve"> </w:t>
      </w:r>
      <w:r>
        <w:rPr>
          <w:rFonts w:ascii="Georgia" w:hAnsi="Georgia"/>
          <w:sz w:val="20"/>
          <w:lang w:val="lt-LT"/>
        </w:rPr>
        <w:t>reglamento</w:t>
      </w:r>
      <w:r w:rsidRPr="00A07762">
        <w:rPr>
          <w:rFonts w:ascii="Georgia" w:hAnsi="Georgia"/>
          <w:sz w:val="20"/>
          <w:lang w:val="lt-LT"/>
        </w:rPr>
        <w:t xml:space="preserve"> 13 straipsnyje. Finansiniai tarpininkai taip pat gauna nustatytą atlygį už teikiamas finansinio tarpininko paslaugas. </w:t>
      </w:r>
    </w:p>
    <w:p w14:paraId="0443CF4D" w14:textId="77777777" w:rsidR="00280058" w:rsidRPr="00A07762" w:rsidRDefault="00280058" w:rsidP="00280058">
      <w:pPr>
        <w:jc w:val="both"/>
        <w:rPr>
          <w:rFonts w:ascii="Georgia" w:hAnsi="Georgia"/>
          <w:sz w:val="20"/>
          <w:lang w:val="lt-LT"/>
        </w:rPr>
      </w:pPr>
      <w:r w:rsidRPr="00A07762">
        <w:rPr>
          <w:rFonts w:ascii="Georgia" w:hAnsi="Georgia"/>
          <w:sz w:val="20"/>
          <w:lang w:val="lt-LT"/>
        </w:rPr>
        <w:t xml:space="preserve">Šio modelio panaudojimas turi tam tikrų privalumų. Toks modelis šiuo metu jau naudojamas Lietuvoje, įgyvendinant ir finansuojant daugiabučių bei bendrabučių renovaciją, todėl vadovaujančioji institucija ir ministerijos </w:t>
      </w:r>
      <w:r>
        <w:rPr>
          <w:rFonts w:ascii="Georgia" w:hAnsi="Georgia"/>
          <w:sz w:val="20"/>
          <w:lang w:val="lt-LT"/>
        </w:rPr>
        <w:t>yra</w:t>
      </w:r>
      <w:r w:rsidRPr="00A07762">
        <w:rPr>
          <w:rFonts w:ascii="Georgia" w:hAnsi="Georgia"/>
          <w:sz w:val="20"/>
          <w:lang w:val="lt-LT"/>
        </w:rPr>
        <w:t xml:space="preserve"> susipažinusios su tokio modelio veikla, turi gerą supratimą, kaip fondų fondas yra valdomas ir kaip jo lėšos paskirstomos per finansinius tarpininkus. Tad svarbiausias šio modelio privalumas yra pakankamai trumpas laikas reikalingas išspręsti visus teisinius ir techninius klausimus, susijusius su fondo įkūrimu ir veiklos vykdymu.</w:t>
      </w:r>
    </w:p>
    <w:p w14:paraId="387462D0" w14:textId="77777777" w:rsidR="00280058" w:rsidRPr="00A07762" w:rsidRDefault="00280058" w:rsidP="00280058">
      <w:pPr>
        <w:jc w:val="both"/>
        <w:rPr>
          <w:rFonts w:ascii="Georgia" w:hAnsi="Georgia"/>
          <w:sz w:val="20"/>
          <w:lang w:val="lt-LT"/>
        </w:rPr>
      </w:pPr>
      <w:r w:rsidRPr="00A07762">
        <w:rPr>
          <w:rFonts w:ascii="Georgia" w:hAnsi="Georgia"/>
          <w:sz w:val="20"/>
          <w:lang w:val="lt-LT"/>
        </w:rPr>
        <w:t xml:space="preserve">Tačiau šio modelio panaudojimas turi ir svarių trūkumų. </w:t>
      </w:r>
      <w:r>
        <w:rPr>
          <w:rFonts w:ascii="Georgia" w:hAnsi="Georgia"/>
          <w:sz w:val="20"/>
          <w:lang w:val="lt-LT"/>
        </w:rPr>
        <w:t>Kadangi</w:t>
      </w:r>
      <w:r w:rsidRPr="00A07762">
        <w:rPr>
          <w:rFonts w:ascii="Georgia" w:hAnsi="Georgia"/>
          <w:sz w:val="20"/>
          <w:lang w:val="lt-LT"/>
        </w:rPr>
        <w:t xml:space="preserve"> fondų fondas sukuriamas vadovaujančios institucijos </w:t>
      </w:r>
      <w:r>
        <w:rPr>
          <w:rFonts w:ascii="Georgia" w:hAnsi="Georgia"/>
          <w:sz w:val="20"/>
          <w:lang w:val="lt-LT"/>
        </w:rPr>
        <w:t>vardu</w:t>
      </w:r>
      <w:r w:rsidRPr="00A07762">
        <w:rPr>
          <w:rFonts w:ascii="Georgia" w:hAnsi="Georgia"/>
          <w:sz w:val="20"/>
          <w:lang w:val="lt-LT"/>
        </w:rPr>
        <w:t xml:space="preserve"> atidarant patikėjimo teise valdomas sąskaitas arba steigiant </w:t>
      </w:r>
      <w:r>
        <w:rPr>
          <w:rFonts w:ascii="Georgia" w:hAnsi="Georgia"/>
          <w:sz w:val="20"/>
          <w:lang w:val="lt-LT"/>
        </w:rPr>
        <w:t>fondų fondą</w:t>
      </w:r>
      <w:r w:rsidRPr="00A07762">
        <w:rPr>
          <w:rFonts w:ascii="Georgia" w:hAnsi="Georgia"/>
          <w:sz w:val="20"/>
          <w:lang w:val="lt-LT"/>
        </w:rPr>
        <w:t xml:space="preserve"> kaip atskirą finansų padalinį finansų įstaigoje, todėl jis neturi atskiro juridinio asmens statuso. </w:t>
      </w:r>
      <w:r w:rsidR="001D54C7">
        <w:rPr>
          <w:rFonts w:ascii="Georgia" w:hAnsi="Georgia"/>
          <w:sz w:val="20"/>
          <w:lang w:val="lt-LT"/>
        </w:rPr>
        <w:t xml:space="preserve">Šis aspektas apriboja </w:t>
      </w:r>
      <w:r w:rsidRPr="00A07762">
        <w:rPr>
          <w:rFonts w:ascii="Georgia" w:hAnsi="Georgia"/>
          <w:sz w:val="20"/>
          <w:lang w:val="lt-LT"/>
        </w:rPr>
        <w:t xml:space="preserve">galimybę pritraukti papildomas lėšas iš privataus sektoriaus, </w:t>
      </w:r>
      <w:r w:rsidR="001D54C7">
        <w:rPr>
          <w:rFonts w:ascii="Georgia" w:hAnsi="Georgia"/>
          <w:sz w:val="20"/>
          <w:lang w:val="lt-LT"/>
        </w:rPr>
        <w:t xml:space="preserve">kadangi fondo valdytojas, kuris yra juridinis vienetas, privalėtų skolintis savo vardu fondo naudai, o už tokią paskolą atsakytų visu savo turtu. Be to, jeigu tokiam fondo valdytojui būtų pavesta valdyti ne vieną fondų </w:t>
      </w:r>
      <w:r w:rsidR="001D54C7">
        <w:rPr>
          <w:rFonts w:ascii="Georgia" w:hAnsi="Georgia"/>
          <w:sz w:val="20"/>
          <w:lang w:val="lt-LT"/>
        </w:rPr>
        <w:lastRenderedPageBreak/>
        <w:t>fondą, o kelis, fondo valdytojui tektų prisiimti didesnę riziką dėl paimtos paskolos vieno fondo naudai, bet ne visų fondų naudai. Bet kokių kitų fondo valdytojui patikėtų valdyti fondų atžvilgiu tai būtų neproporcingai prisiimta rizika fondų valdyme.</w:t>
      </w:r>
      <w:r w:rsidRPr="00A07762">
        <w:rPr>
          <w:rFonts w:ascii="Georgia" w:hAnsi="Georgia"/>
          <w:sz w:val="20"/>
          <w:lang w:val="lt-LT"/>
        </w:rPr>
        <w:t xml:space="preserve"> </w:t>
      </w:r>
      <w:r w:rsidR="001D54C7">
        <w:rPr>
          <w:rFonts w:ascii="Georgia" w:hAnsi="Georgia"/>
          <w:sz w:val="20"/>
          <w:lang w:val="lt-LT"/>
        </w:rPr>
        <w:t xml:space="preserve">Atsižvelgiant į tokį apribojimą, tikėtina, kad būtų pasiekiamas mažesnis </w:t>
      </w:r>
      <w:r>
        <w:rPr>
          <w:rFonts w:ascii="Georgia" w:hAnsi="Georgia"/>
          <w:sz w:val="20"/>
          <w:lang w:val="lt-LT"/>
        </w:rPr>
        <w:t xml:space="preserve">sverto efektas. </w:t>
      </w:r>
    </w:p>
    <w:p w14:paraId="63FF94FC" w14:textId="77777777" w:rsidR="00280058" w:rsidRPr="00A07762" w:rsidRDefault="00280058" w:rsidP="00280058">
      <w:pPr>
        <w:jc w:val="both"/>
        <w:rPr>
          <w:rFonts w:ascii="Georgia" w:hAnsi="Georgia"/>
          <w:sz w:val="20"/>
          <w:lang w:val="lt-LT"/>
        </w:rPr>
      </w:pPr>
    </w:p>
    <w:p w14:paraId="5F037611" w14:textId="77777777" w:rsidR="00280058" w:rsidRPr="00ED1C74" w:rsidRDefault="00280058" w:rsidP="00280058">
      <w:pPr>
        <w:keepNext/>
        <w:rPr>
          <w:rFonts w:ascii="Times New Roman" w:hAnsi="Times New Roman" w:cs="Times New Roman"/>
          <w:i/>
          <w:sz w:val="24"/>
          <w:szCs w:val="24"/>
          <w:lang w:val="lt-LT"/>
        </w:rPr>
      </w:pPr>
      <w:r w:rsidRPr="00ED1C74">
        <w:rPr>
          <w:rFonts w:ascii="Times New Roman" w:hAnsi="Times New Roman" w:cs="Times New Roman"/>
          <w:i/>
          <w:sz w:val="24"/>
          <w:szCs w:val="24"/>
          <w:lang w:val="lt-LT"/>
        </w:rPr>
        <w:t>Juridin</w:t>
      </w:r>
      <w:r>
        <w:rPr>
          <w:rFonts w:ascii="Times New Roman" w:hAnsi="Times New Roman" w:cs="Times New Roman"/>
          <w:i/>
          <w:sz w:val="24"/>
          <w:szCs w:val="24"/>
          <w:lang w:val="lt-LT"/>
        </w:rPr>
        <w:t>io asmens</w:t>
      </w:r>
      <w:r w:rsidRPr="00ED1C74">
        <w:rPr>
          <w:rFonts w:ascii="Times New Roman" w:hAnsi="Times New Roman" w:cs="Times New Roman"/>
          <w:i/>
          <w:sz w:val="24"/>
          <w:szCs w:val="24"/>
          <w:lang w:val="lt-LT"/>
        </w:rPr>
        <w:t xml:space="preserve"> statusą turinčio fondo steigimas </w:t>
      </w:r>
    </w:p>
    <w:p w14:paraId="22D540F2" w14:textId="77777777" w:rsidR="00280058" w:rsidRPr="00A07762" w:rsidRDefault="00280058" w:rsidP="00280058">
      <w:pPr>
        <w:jc w:val="both"/>
        <w:rPr>
          <w:rFonts w:ascii="Georgia" w:hAnsi="Georgia"/>
          <w:sz w:val="20"/>
          <w:lang w:val="lt-LT"/>
        </w:rPr>
      </w:pPr>
      <w:r w:rsidRPr="00A07762">
        <w:rPr>
          <w:rFonts w:ascii="Georgia" w:hAnsi="Georgia"/>
          <w:sz w:val="20"/>
          <w:lang w:val="lt-LT"/>
        </w:rPr>
        <w:t>Atsižvelgiant į prie pirmosios alternatyvos apibrėžtus fondų fondo, kaip sąskaitų rinkinio, steigimo trūkumus, alternatyvus fondo</w:t>
      </w:r>
      <w:r>
        <w:rPr>
          <w:rFonts w:ascii="Georgia" w:hAnsi="Georgia"/>
          <w:sz w:val="20"/>
          <w:lang w:val="lt-LT"/>
        </w:rPr>
        <w:t xml:space="preserve"> kūrimo</w:t>
      </w:r>
      <w:r w:rsidRPr="00A07762">
        <w:rPr>
          <w:rFonts w:ascii="Georgia" w:hAnsi="Georgia"/>
          <w:sz w:val="20"/>
          <w:lang w:val="lt-LT"/>
        </w:rPr>
        <w:t xml:space="preserve"> modelis apimtų juridin</w:t>
      </w:r>
      <w:r>
        <w:rPr>
          <w:rFonts w:ascii="Georgia" w:hAnsi="Georgia"/>
          <w:sz w:val="20"/>
          <w:lang w:val="lt-LT"/>
        </w:rPr>
        <w:t>io asmens</w:t>
      </w:r>
      <w:r w:rsidRPr="00A07762">
        <w:rPr>
          <w:rFonts w:ascii="Georgia" w:hAnsi="Georgia"/>
          <w:sz w:val="20"/>
          <w:lang w:val="lt-LT"/>
        </w:rPr>
        <w:t xml:space="preserve"> statusą turinčio fondo steigim</w:t>
      </w:r>
      <w:r>
        <w:rPr>
          <w:rFonts w:ascii="Georgia" w:hAnsi="Georgia"/>
          <w:sz w:val="20"/>
          <w:lang w:val="lt-LT"/>
        </w:rPr>
        <w:t>ą</w:t>
      </w:r>
      <w:r w:rsidRPr="00A07762">
        <w:rPr>
          <w:rFonts w:ascii="Georgia" w:hAnsi="Georgia"/>
          <w:sz w:val="20"/>
          <w:lang w:val="lt-LT"/>
        </w:rPr>
        <w:t xml:space="preserve"> siekiant sudaryti galimybes pritraukti papildomas lėšas finansinės priemonės įgyvendinimui.</w:t>
      </w:r>
    </w:p>
    <w:p w14:paraId="6A29446D" w14:textId="77777777" w:rsidR="00280058" w:rsidRPr="00A07762" w:rsidRDefault="00280058" w:rsidP="00280058">
      <w:pPr>
        <w:jc w:val="both"/>
        <w:rPr>
          <w:rFonts w:ascii="Georgia" w:hAnsi="Georgia"/>
          <w:sz w:val="20"/>
          <w:lang w:val="lt-LT"/>
        </w:rPr>
      </w:pPr>
      <w:r w:rsidRPr="00A07762">
        <w:rPr>
          <w:rFonts w:ascii="Georgia" w:hAnsi="Georgia"/>
          <w:sz w:val="20"/>
          <w:lang w:val="lt-LT"/>
        </w:rPr>
        <w:t xml:space="preserve">Šios alternatyvos atveju fondų fondas būtų sukurtas kaip </w:t>
      </w:r>
      <w:r>
        <w:rPr>
          <w:rFonts w:ascii="Georgia" w:hAnsi="Georgia"/>
          <w:sz w:val="20"/>
          <w:lang w:val="lt-LT"/>
        </w:rPr>
        <w:t>atskiras juridinis asmuo</w:t>
      </w:r>
      <w:r w:rsidRPr="00A07762">
        <w:rPr>
          <w:rFonts w:ascii="Georgia" w:hAnsi="Georgia"/>
          <w:sz w:val="20"/>
          <w:lang w:val="lt-LT"/>
        </w:rPr>
        <w:t xml:space="preserve">, jam pasirinkus tinkamą </w:t>
      </w:r>
      <w:r>
        <w:rPr>
          <w:rFonts w:ascii="Georgia" w:hAnsi="Georgia"/>
          <w:sz w:val="20"/>
          <w:lang w:val="lt-LT"/>
        </w:rPr>
        <w:t>veiklos</w:t>
      </w:r>
      <w:r w:rsidRPr="00A07762">
        <w:rPr>
          <w:rFonts w:ascii="Georgia" w:hAnsi="Georgia"/>
          <w:sz w:val="20"/>
          <w:lang w:val="lt-LT"/>
        </w:rPr>
        <w:t xml:space="preserve"> formą. Viena iš palankiausių tokio </w:t>
      </w:r>
      <w:r>
        <w:rPr>
          <w:rFonts w:ascii="Georgia" w:hAnsi="Georgia"/>
          <w:sz w:val="20"/>
          <w:lang w:val="lt-LT"/>
        </w:rPr>
        <w:t>fondo</w:t>
      </w:r>
      <w:r w:rsidRPr="00A07762">
        <w:rPr>
          <w:rFonts w:ascii="Georgia" w:hAnsi="Georgia"/>
          <w:sz w:val="20"/>
          <w:lang w:val="lt-LT"/>
        </w:rPr>
        <w:t xml:space="preserve"> </w:t>
      </w:r>
      <w:r>
        <w:rPr>
          <w:rFonts w:ascii="Georgia" w:hAnsi="Georgia"/>
          <w:sz w:val="20"/>
          <w:lang w:val="lt-LT"/>
        </w:rPr>
        <w:t>steigimo</w:t>
      </w:r>
      <w:r w:rsidRPr="00A07762">
        <w:rPr>
          <w:rFonts w:ascii="Georgia" w:hAnsi="Georgia"/>
          <w:sz w:val="20"/>
          <w:lang w:val="lt-LT"/>
        </w:rPr>
        <w:t xml:space="preserve"> formų yra Komanditinė ūkinė bendrija (KŪB).</w:t>
      </w:r>
    </w:p>
    <w:p w14:paraId="4C32F27F" w14:textId="77777777" w:rsidR="00280058" w:rsidRPr="00A07762" w:rsidRDefault="00280058" w:rsidP="00280058">
      <w:pPr>
        <w:jc w:val="both"/>
        <w:rPr>
          <w:rFonts w:ascii="Georgia" w:hAnsi="Georgia"/>
          <w:sz w:val="20"/>
          <w:lang w:val="lt-LT"/>
        </w:rPr>
      </w:pPr>
      <w:r>
        <w:rPr>
          <w:rFonts w:ascii="Georgia" w:hAnsi="Georgia"/>
          <w:sz w:val="20"/>
          <w:lang w:val="lt-LT"/>
        </w:rPr>
        <w:t>T</w:t>
      </w:r>
      <w:r w:rsidRPr="00A07762">
        <w:rPr>
          <w:rFonts w:ascii="Georgia" w:hAnsi="Georgia"/>
          <w:sz w:val="20"/>
          <w:lang w:val="lt-LT"/>
        </w:rPr>
        <w:t xml:space="preserve">arptautinių </w:t>
      </w:r>
      <w:r>
        <w:rPr>
          <w:rFonts w:ascii="Georgia" w:hAnsi="Georgia"/>
          <w:sz w:val="20"/>
          <w:lang w:val="lt-LT"/>
        </w:rPr>
        <w:t>finansų institucijų</w:t>
      </w:r>
      <w:r w:rsidRPr="00A07762">
        <w:rPr>
          <w:rFonts w:ascii="Georgia" w:hAnsi="Georgia"/>
          <w:sz w:val="20"/>
          <w:lang w:val="lt-LT"/>
        </w:rPr>
        <w:t xml:space="preserve">, </w:t>
      </w:r>
      <w:r>
        <w:rPr>
          <w:rFonts w:ascii="Georgia" w:hAnsi="Georgia"/>
          <w:sz w:val="20"/>
          <w:lang w:val="lt-LT"/>
        </w:rPr>
        <w:t>Lietuvoje veikiančių</w:t>
      </w:r>
      <w:r w:rsidRPr="00A07762">
        <w:rPr>
          <w:rFonts w:ascii="Georgia" w:hAnsi="Georgia"/>
          <w:sz w:val="20"/>
          <w:lang w:val="lt-LT"/>
        </w:rPr>
        <w:t xml:space="preserve"> komercinių bankų atstov</w:t>
      </w:r>
      <w:r>
        <w:rPr>
          <w:rFonts w:ascii="Georgia" w:hAnsi="Georgia"/>
          <w:sz w:val="20"/>
          <w:lang w:val="lt-LT"/>
        </w:rPr>
        <w:t>ų apklausų</w:t>
      </w:r>
      <w:r w:rsidRPr="00A07762">
        <w:rPr>
          <w:rFonts w:ascii="Georgia" w:hAnsi="Georgia"/>
          <w:sz w:val="20"/>
          <w:lang w:val="lt-LT"/>
        </w:rPr>
        <w:t xml:space="preserve"> metu buvo nustatyta</w:t>
      </w:r>
      <w:r>
        <w:rPr>
          <w:rFonts w:ascii="Georgia" w:hAnsi="Georgia"/>
          <w:sz w:val="20"/>
          <w:lang w:val="lt-LT"/>
        </w:rPr>
        <w:t>,</w:t>
      </w:r>
      <w:r w:rsidRPr="00A07762">
        <w:rPr>
          <w:rFonts w:ascii="Georgia" w:hAnsi="Georgia"/>
          <w:sz w:val="20"/>
          <w:lang w:val="lt-LT"/>
        </w:rPr>
        <w:t xml:space="preserve"> jog jiems būtų įdomi galimybė dalyvauti tokio fondo veikloje. Tačiau </w:t>
      </w:r>
      <w:r>
        <w:rPr>
          <w:rFonts w:ascii="Georgia" w:hAnsi="Georgia"/>
          <w:sz w:val="20"/>
          <w:lang w:val="lt-LT"/>
        </w:rPr>
        <w:t>konkretus dalyvavimo bei dalyvavimo apimties sprendimas</w:t>
      </w:r>
      <w:r w:rsidRPr="00A07762">
        <w:rPr>
          <w:rFonts w:ascii="Georgia" w:hAnsi="Georgia"/>
          <w:sz w:val="20"/>
          <w:lang w:val="lt-LT"/>
        </w:rPr>
        <w:t xml:space="preserve"> priklausytų nuo konkrečių sąlygų, </w:t>
      </w:r>
      <w:r>
        <w:rPr>
          <w:rFonts w:ascii="Georgia" w:hAnsi="Georgia"/>
          <w:sz w:val="20"/>
          <w:lang w:val="lt-LT"/>
        </w:rPr>
        <w:t>pavyzdžiui,</w:t>
      </w:r>
      <w:r w:rsidRPr="00A07762">
        <w:rPr>
          <w:rFonts w:ascii="Georgia" w:hAnsi="Georgia"/>
          <w:sz w:val="20"/>
          <w:lang w:val="lt-LT"/>
        </w:rPr>
        <w:t xml:space="preserve"> </w:t>
      </w:r>
      <w:r>
        <w:rPr>
          <w:rFonts w:ascii="Georgia" w:hAnsi="Georgia"/>
          <w:sz w:val="20"/>
          <w:lang w:val="lt-LT"/>
        </w:rPr>
        <w:t xml:space="preserve">paskirto </w:t>
      </w:r>
      <w:r w:rsidRPr="00A07762">
        <w:rPr>
          <w:rFonts w:ascii="Georgia" w:hAnsi="Georgia"/>
          <w:sz w:val="20"/>
          <w:lang w:val="lt-LT"/>
        </w:rPr>
        <w:t>fondų fondo valdytoj</w:t>
      </w:r>
      <w:r>
        <w:rPr>
          <w:rFonts w:ascii="Georgia" w:hAnsi="Georgia"/>
          <w:sz w:val="20"/>
          <w:lang w:val="lt-LT"/>
        </w:rPr>
        <w:t>o</w:t>
      </w:r>
      <w:r w:rsidRPr="00A07762">
        <w:rPr>
          <w:rFonts w:ascii="Georgia" w:hAnsi="Georgia"/>
          <w:sz w:val="20"/>
          <w:lang w:val="lt-LT"/>
        </w:rPr>
        <w:t>, fondų fondo veiklos schem</w:t>
      </w:r>
      <w:r>
        <w:rPr>
          <w:rFonts w:ascii="Georgia" w:hAnsi="Georgia"/>
          <w:sz w:val="20"/>
          <w:lang w:val="lt-LT"/>
        </w:rPr>
        <w:t>os</w:t>
      </w:r>
      <w:r w:rsidRPr="00A07762">
        <w:rPr>
          <w:rFonts w:ascii="Georgia" w:hAnsi="Georgia"/>
          <w:sz w:val="20"/>
          <w:lang w:val="lt-LT"/>
        </w:rPr>
        <w:t xml:space="preserve">, </w:t>
      </w:r>
      <w:r>
        <w:rPr>
          <w:rFonts w:ascii="Georgia" w:hAnsi="Georgia"/>
          <w:sz w:val="20"/>
          <w:lang w:val="lt-LT"/>
        </w:rPr>
        <w:t>dalyvaujančių</w:t>
      </w:r>
      <w:r w:rsidRPr="00A07762">
        <w:rPr>
          <w:rFonts w:ascii="Georgia" w:hAnsi="Georgia"/>
          <w:sz w:val="20"/>
          <w:lang w:val="lt-LT"/>
        </w:rPr>
        <w:t xml:space="preserve"> finansini</w:t>
      </w:r>
      <w:r>
        <w:rPr>
          <w:rFonts w:ascii="Georgia" w:hAnsi="Georgia"/>
          <w:sz w:val="20"/>
          <w:lang w:val="lt-LT"/>
        </w:rPr>
        <w:t>ų</w:t>
      </w:r>
      <w:r w:rsidRPr="00A07762">
        <w:rPr>
          <w:rFonts w:ascii="Georgia" w:hAnsi="Georgia"/>
          <w:sz w:val="20"/>
          <w:lang w:val="lt-LT"/>
        </w:rPr>
        <w:t xml:space="preserve"> tarpinink</w:t>
      </w:r>
      <w:r>
        <w:rPr>
          <w:rFonts w:ascii="Georgia" w:hAnsi="Georgia"/>
          <w:sz w:val="20"/>
          <w:lang w:val="lt-LT"/>
        </w:rPr>
        <w:t>ų</w:t>
      </w:r>
      <w:r w:rsidRPr="00A07762">
        <w:rPr>
          <w:rFonts w:ascii="Georgia" w:hAnsi="Georgia"/>
          <w:sz w:val="20"/>
          <w:lang w:val="lt-LT"/>
        </w:rPr>
        <w:t xml:space="preserve">, </w:t>
      </w:r>
      <w:r>
        <w:rPr>
          <w:rFonts w:ascii="Georgia" w:hAnsi="Georgia"/>
          <w:sz w:val="20"/>
          <w:lang w:val="lt-LT"/>
        </w:rPr>
        <w:t>finansuojamų</w:t>
      </w:r>
      <w:r w:rsidRPr="00A07762">
        <w:rPr>
          <w:rFonts w:ascii="Georgia" w:hAnsi="Georgia"/>
          <w:sz w:val="20"/>
          <w:lang w:val="lt-LT"/>
        </w:rPr>
        <w:t xml:space="preserve"> finansin</w:t>
      </w:r>
      <w:r>
        <w:rPr>
          <w:rFonts w:ascii="Georgia" w:hAnsi="Georgia"/>
          <w:sz w:val="20"/>
          <w:lang w:val="lt-LT"/>
        </w:rPr>
        <w:t>ių</w:t>
      </w:r>
      <w:r w:rsidRPr="00A07762">
        <w:rPr>
          <w:rFonts w:ascii="Georgia" w:hAnsi="Georgia"/>
          <w:sz w:val="20"/>
          <w:lang w:val="lt-LT"/>
        </w:rPr>
        <w:t xml:space="preserve"> priemon</w:t>
      </w:r>
      <w:r>
        <w:rPr>
          <w:rFonts w:ascii="Georgia" w:hAnsi="Georgia"/>
          <w:sz w:val="20"/>
          <w:lang w:val="lt-LT"/>
        </w:rPr>
        <w:t>ių</w:t>
      </w:r>
      <w:r w:rsidRPr="00A07762">
        <w:rPr>
          <w:rFonts w:ascii="Georgia" w:hAnsi="Georgia"/>
          <w:sz w:val="20"/>
          <w:lang w:val="lt-LT"/>
        </w:rPr>
        <w:t xml:space="preserve"> ir kt. </w:t>
      </w:r>
      <w:r>
        <w:rPr>
          <w:rFonts w:ascii="Georgia" w:hAnsi="Georgia"/>
          <w:sz w:val="20"/>
          <w:lang w:val="lt-LT"/>
        </w:rPr>
        <w:t>Šios alternatyvos įgyvendinimo atveju, siekiant fondo lygyje pritraukti privačius investuotojus,</w:t>
      </w:r>
      <w:r w:rsidRPr="00A07762">
        <w:rPr>
          <w:rFonts w:ascii="Georgia" w:hAnsi="Georgia"/>
          <w:sz w:val="20"/>
          <w:lang w:val="lt-LT"/>
        </w:rPr>
        <w:t xml:space="preserve"> įnašas, kurį padarys vadovaujančioji institucija į </w:t>
      </w:r>
      <w:r>
        <w:rPr>
          <w:rFonts w:ascii="Georgia" w:hAnsi="Georgia"/>
          <w:sz w:val="20"/>
          <w:lang w:val="lt-LT"/>
        </w:rPr>
        <w:t>fondų fondą</w:t>
      </w:r>
      <w:r w:rsidRPr="00A07762">
        <w:rPr>
          <w:rFonts w:ascii="Georgia" w:hAnsi="Georgia"/>
          <w:sz w:val="20"/>
          <w:lang w:val="lt-LT"/>
        </w:rPr>
        <w:t xml:space="preserve">, bus traktuojamas kaip pirmojo </w:t>
      </w:r>
      <w:r>
        <w:rPr>
          <w:rFonts w:ascii="Georgia" w:hAnsi="Georgia"/>
          <w:sz w:val="20"/>
          <w:lang w:val="lt-LT"/>
        </w:rPr>
        <w:t>nuostolio padengimo lėšos</w:t>
      </w:r>
      <w:r w:rsidRPr="00A07762">
        <w:rPr>
          <w:rFonts w:ascii="Georgia" w:hAnsi="Georgia"/>
          <w:sz w:val="20"/>
          <w:lang w:val="lt-LT"/>
        </w:rPr>
        <w:t>.</w:t>
      </w:r>
    </w:p>
    <w:p w14:paraId="598DD75D" w14:textId="77777777" w:rsidR="00280058" w:rsidRPr="00A07762" w:rsidRDefault="00280058" w:rsidP="00280058">
      <w:pPr>
        <w:jc w:val="both"/>
        <w:rPr>
          <w:rFonts w:ascii="Georgia" w:hAnsi="Georgia"/>
          <w:sz w:val="20"/>
          <w:lang w:val="lt-LT"/>
        </w:rPr>
      </w:pPr>
      <w:r w:rsidRPr="00A07762">
        <w:rPr>
          <w:rFonts w:ascii="Georgia" w:hAnsi="Georgia"/>
          <w:sz w:val="20"/>
          <w:lang w:val="lt-LT"/>
        </w:rPr>
        <w:t>Šios alternatyvos atveju, parenkant fondo juridin</w:t>
      </w:r>
      <w:r>
        <w:rPr>
          <w:rFonts w:ascii="Georgia" w:hAnsi="Georgia"/>
          <w:sz w:val="20"/>
          <w:lang w:val="lt-LT"/>
        </w:rPr>
        <w:t>io asmens</w:t>
      </w:r>
      <w:r w:rsidRPr="00A07762">
        <w:rPr>
          <w:rFonts w:ascii="Georgia" w:hAnsi="Georgia"/>
          <w:sz w:val="20"/>
          <w:lang w:val="lt-LT"/>
        </w:rPr>
        <w:t xml:space="preserve"> statusą ir apibrėžiant investavimo strategiją taip pat turi būti </w:t>
      </w:r>
      <w:r>
        <w:rPr>
          <w:rFonts w:ascii="Georgia" w:hAnsi="Georgia"/>
          <w:sz w:val="20"/>
          <w:lang w:val="lt-LT"/>
        </w:rPr>
        <w:t>įvertinamos vadovaujančiosios institucijos ir sektorinės ministerijos galimybės</w:t>
      </w:r>
      <w:r w:rsidRPr="00A07762">
        <w:rPr>
          <w:rFonts w:ascii="Georgia" w:hAnsi="Georgia"/>
          <w:sz w:val="20"/>
          <w:lang w:val="lt-LT"/>
        </w:rPr>
        <w:t xml:space="preserve"> dalyvauti tokio </w:t>
      </w:r>
      <w:r>
        <w:rPr>
          <w:rFonts w:ascii="Georgia" w:hAnsi="Georgia"/>
          <w:sz w:val="20"/>
          <w:lang w:val="lt-LT"/>
        </w:rPr>
        <w:t>fondo</w:t>
      </w:r>
      <w:r w:rsidRPr="00A07762">
        <w:rPr>
          <w:rFonts w:ascii="Georgia" w:hAnsi="Georgia"/>
          <w:sz w:val="20"/>
          <w:lang w:val="lt-LT"/>
        </w:rPr>
        <w:t xml:space="preserve"> </w:t>
      </w:r>
      <w:r>
        <w:rPr>
          <w:rFonts w:ascii="Georgia" w:hAnsi="Georgia"/>
          <w:sz w:val="20"/>
          <w:lang w:val="lt-LT"/>
        </w:rPr>
        <w:t>steigime (atliekant finansinį įnašą), valdyme, priežiūroje.</w:t>
      </w:r>
      <w:r w:rsidRPr="00A07762">
        <w:rPr>
          <w:rFonts w:ascii="Georgia" w:hAnsi="Georgia"/>
          <w:sz w:val="20"/>
          <w:lang w:val="lt-LT"/>
        </w:rPr>
        <w:t xml:space="preserve"> </w:t>
      </w:r>
      <w:r>
        <w:rPr>
          <w:rFonts w:ascii="Georgia" w:hAnsi="Georgia"/>
          <w:sz w:val="20"/>
          <w:lang w:val="lt-LT"/>
        </w:rPr>
        <w:t>Šie aspektai analizuojami „Investavimo strategijos“ skyriuje.</w:t>
      </w:r>
    </w:p>
    <w:p w14:paraId="318BF3D6" w14:textId="77777777" w:rsidR="0010799D" w:rsidRDefault="00280058" w:rsidP="0005008F">
      <w:pPr>
        <w:pStyle w:val="Antrat"/>
        <w:jc w:val="center"/>
        <w:rPr>
          <w:lang w:val="lt-LT"/>
        </w:rPr>
      </w:pPr>
      <w:r w:rsidRPr="00944CA1">
        <w:rPr>
          <w:lang w:val="lt-LT"/>
        </w:rPr>
        <w:object w:dxaOrig="23670" w:dyaOrig="8910" w14:anchorId="21C4FA91">
          <v:shape id="_x0000_i1026" type="#_x0000_t75" style="width:455.65pt;height:171.95pt" o:ole="">
            <v:imagedata r:id="rId40" o:title=""/>
          </v:shape>
          <o:OLEObject Type="Embed" ProgID="Visio.Drawing.15" ShapeID="_x0000_i1026" DrawAspect="Content" ObjectID="_1572853840" r:id="rId41"/>
        </w:object>
      </w:r>
    </w:p>
    <w:p w14:paraId="6116258B" w14:textId="56BD3ECD" w:rsidR="00280058" w:rsidRPr="0010040E" w:rsidRDefault="00280058" w:rsidP="00280058">
      <w:pPr>
        <w:pStyle w:val="Antrat"/>
        <w:rPr>
          <w:lang w:val="lt-LT"/>
        </w:rPr>
      </w:pPr>
      <w:bookmarkStart w:id="113" w:name="_Toc417378296"/>
      <w:r w:rsidRPr="0010040E">
        <w:rPr>
          <w:lang w:val="lt-LT"/>
        </w:rPr>
        <w:t xml:space="preserve">Paveikslas </w:t>
      </w:r>
      <w:r w:rsidRPr="0010040E">
        <w:rPr>
          <w:lang w:val="lt-LT"/>
        </w:rPr>
        <w:fldChar w:fldCharType="begin"/>
      </w:r>
      <w:r w:rsidRPr="0010040E">
        <w:rPr>
          <w:lang w:val="lt-LT"/>
        </w:rPr>
        <w:instrText xml:space="preserve"> SEQ Paveikslas \* ARABIC </w:instrText>
      </w:r>
      <w:r w:rsidRPr="0010040E">
        <w:rPr>
          <w:lang w:val="lt-LT"/>
        </w:rPr>
        <w:fldChar w:fldCharType="separate"/>
      </w:r>
      <w:r w:rsidR="00AA3082">
        <w:rPr>
          <w:noProof/>
          <w:lang w:val="lt-LT"/>
        </w:rPr>
        <w:t>19</w:t>
      </w:r>
      <w:r w:rsidRPr="0010040E">
        <w:rPr>
          <w:lang w:val="lt-LT"/>
        </w:rPr>
        <w:fldChar w:fldCharType="end"/>
      </w:r>
      <w:r w:rsidRPr="0010040E">
        <w:rPr>
          <w:lang w:val="lt-LT"/>
        </w:rPr>
        <w:t>. Juridin</w:t>
      </w:r>
      <w:r>
        <w:rPr>
          <w:lang w:val="lt-LT"/>
        </w:rPr>
        <w:t>io asmens</w:t>
      </w:r>
      <w:r w:rsidRPr="0010040E">
        <w:rPr>
          <w:lang w:val="lt-LT"/>
        </w:rPr>
        <w:t xml:space="preserve"> statusą turinčio fondo steigimo modelis.</w:t>
      </w:r>
      <w:bookmarkEnd w:id="113"/>
      <w:r w:rsidRPr="0010040E">
        <w:rPr>
          <w:lang w:val="lt-LT"/>
        </w:rPr>
        <w:t xml:space="preserve"> </w:t>
      </w:r>
    </w:p>
    <w:p w14:paraId="29AB264E" w14:textId="77777777" w:rsidR="00280058" w:rsidRPr="00ED1C74" w:rsidRDefault="00280058" w:rsidP="00280058">
      <w:pPr>
        <w:rPr>
          <w:lang w:val="en-GB"/>
        </w:rPr>
      </w:pPr>
    </w:p>
    <w:p w14:paraId="25E94BE3" w14:textId="77777777" w:rsidR="00280058" w:rsidRPr="00A07762" w:rsidRDefault="00280058" w:rsidP="00280058">
      <w:pPr>
        <w:keepNext/>
        <w:rPr>
          <w:rFonts w:ascii="Times New Roman" w:hAnsi="Times New Roman" w:cs="Times New Roman"/>
          <w:i/>
          <w:sz w:val="24"/>
          <w:szCs w:val="24"/>
          <w:lang w:val="lt-LT"/>
        </w:rPr>
      </w:pPr>
      <w:r w:rsidRPr="00A07762">
        <w:rPr>
          <w:rFonts w:ascii="Times New Roman" w:hAnsi="Times New Roman" w:cs="Times New Roman"/>
          <w:i/>
          <w:sz w:val="24"/>
          <w:szCs w:val="24"/>
          <w:lang w:val="lt-LT"/>
        </w:rPr>
        <w:t xml:space="preserve">Fondų fondo ir investicinio </w:t>
      </w:r>
      <w:r>
        <w:rPr>
          <w:rFonts w:ascii="Times New Roman" w:hAnsi="Times New Roman" w:cs="Times New Roman"/>
          <w:i/>
          <w:sz w:val="24"/>
          <w:szCs w:val="24"/>
          <w:lang w:val="lt-LT"/>
        </w:rPr>
        <w:t>fondo</w:t>
      </w:r>
      <w:r w:rsidRPr="00A07762">
        <w:rPr>
          <w:rFonts w:ascii="Times New Roman" w:hAnsi="Times New Roman" w:cs="Times New Roman"/>
          <w:i/>
          <w:sz w:val="24"/>
          <w:szCs w:val="24"/>
          <w:lang w:val="lt-LT"/>
        </w:rPr>
        <w:t xml:space="preserve"> </w:t>
      </w:r>
      <w:r w:rsidRPr="00944CA1">
        <w:rPr>
          <w:rFonts w:ascii="Times New Roman" w:hAnsi="Times New Roman" w:cs="Times New Roman"/>
          <w:i/>
          <w:sz w:val="24"/>
          <w:szCs w:val="24"/>
          <w:lang w:val="lt-LT"/>
        </w:rPr>
        <w:t>(turinčio juridin</w:t>
      </w:r>
      <w:r w:rsidRPr="00C606AC">
        <w:rPr>
          <w:rFonts w:ascii="Times New Roman" w:hAnsi="Times New Roman" w:cs="Times New Roman"/>
          <w:i/>
          <w:sz w:val="24"/>
          <w:szCs w:val="24"/>
          <w:lang w:val="lt-LT"/>
        </w:rPr>
        <w:t>io asmens</w:t>
      </w:r>
      <w:r w:rsidRPr="00944CA1">
        <w:rPr>
          <w:rFonts w:ascii="Times New Roman" w:hAnsi="Times New Roman" w:cs="Times New Roman"/>
          <w:i/>
          <w:sz w:val="24"/>
          <w:szCs w:val="24"/>
          <w:lang w:val="lt-LT"/>
        </w:rPr>
        <w:t xml:space="preserve"> statusą)</w:t>
      </w:r>
      <w:r w:rsidRPr="00A07762">
        <w:rPr>
          <w:rFonts w:ascii="Times New Roman" w:hAnsi="Times New Roman" w:cs="Times New Roman"/>
          <w:i/>
          <w:sz w:val="24"/>
          <w:szCs w:val="24"/>
          <w:lang w:val="lt-LT"/>
        </w:rPr>
        <w:t xml:space="preserve"> steigimas </w:t>
      </w:r>
    </w:p>
    <w:p w14:paraId="02111D3C" w14:textId="77777777" w:rsidR="00280058" w:rsidRPr="00A07762" w:rsidRDefault="00280058" w:rsidP="00280058">
      <w:pPr>
        <w:jc w:val="both"/>
        <w:rPr>
          <w:rFonts w:ascii="Georgia" w:hAnsi="Georgia"/>
          <w:sz w:val="20"/>
          <w:lang w:val="lt-LT"/>
        </w:rPr>
      </w:pPr>
      <w:r w:rsidRPr="00A07762">
        <w:rPr>
          <w:rFonts w:ascii="Georgia" w:hAnsi="Georgia"/>
          <w:sz w:val="20"/>
          <w:lang w:val="lt-LT"/>
        </w:rPr>
        <w:t>Šios alternatyvos atveju Finansų ministerija kaip vadovaujančioji institucija</w:t>
      </w:r>
      <w:r>
        <w:rPr>
          <w:rFonts w:ascii="Georgia" w:hAnsi="Georgia"/>
          <w:sz w:val="20"/>
          <w:lang w:val="lt-LT"/>
        </w:rPr>
        <w:t xml:space="preserve"> kartu su tarpine institucija</w:t>
      </w:r>
      <w:r w:rsidRPr="00A07762">
        <w:rPr>
          <w:rFonts w:ascii="Georgia" w:hAnsi="Georgia"/>
          <w:sz w:val="20"/>
          <w:lang w:val="lt-LT"/>
        </w:rPr>
        <w:t xml:space="preserve"> priima sprendimą </w:t>
      </w:r>
      <w:r>
        <w:rPr>
          <w:rFonts w:ascii="Georgia" w:hAnsi="Georgia"/>
          <w:sz w:val="20"/>
          <w:lang w:val="lt-LT"/>
        </w:rPr>
        <w:t>steigti</w:t>
      </w:r>
      <w:r w:rsidRPr="00A07762">
        <w:rPr>
          <w:rFonts w:ascii="Georgia" w:hAnsi="Georgia"/>
          <w:sz w:val="20"/>
          <w:lang w:val="lt-LT"/>
        </w:rPr>
        <w:t xml:space="preserve"> fondų fondą, kuris yra skirtas 2014 – 2020 m. </w:t>
      </w:r>
      <w:r>
        <w:rPr>
          <w:rFonts w:ascii="Georgia" w:hAnsi="Georgia"/>
          <w:sz w:val="20"/>
          <w:lang w:val="lt-LT"/>
        </w:rPr>
        <w:t>periodo</w:t>
      </w:r>
      <w:r w:rsidRPr="00A07762">
        <w:rPr>
          <w:rFonts w:ascii="Georgia" w:hAnsi="Georgia"/>
          <w:sz w:val="20"/>
          <w:lang w:val="lt-LT"/>
        </w:rPr>
        <w:t xml:space="preserve"> finansinės priemonės/priemonių įgyvendinimui. Jis yra finansuojamas iš </w:t>
      </w:r>
      <w:r>
        <w:rPr>
          <w:rFonts w:ascii="Georgia" w:hAnsi="Georgia"/>
          <w:sz w:val="20"/>
          <w:lang w:val="lt-LT"/>
        </w:rPr>
        <w:t>ESI</w:t>
      </w:r>
      <w:r w:rsidRPr="00A07762">
        <w:rPr>
          <w:rFonts w:ascii="Georgia" w:hAnsi="Georgia"/>
          <w:sz w:val="20"/>
          <w:lang w:val="lt-LT"/>
        </w:rPr>
        <w:t xml:space="preserve"> fondų lėšų ir iš šalies biudžeto </w:t>
      </w:r>
      <w:r>
        <w:rPr>
          <w:rFonts w:ascii="Georgia" w:hAnsi="Georgia"/>
          <w:sz w:val="20"/>
          <w:lang w:val="lt-LT"/>
        </w:rPr>
        <w:t>bendrojo finansavimo</w:t>
      </w:r>
      <w:r w:rsidRPr="00A07762">
        <w:rPr>
          <w:rFonts w:ascii="Georgia" w:hAnsi="Georgia"/>
          <w:sz w:val="20"/>
          <w:lang w:val="lt-LT"/>
        </w:rPr>
        <w:t xml:space="preserve"> lėšų. Fondų fondas veikia kaip sąskaitų rinkinys, </w:t>
      </w:r>
      <w:r>
        <w:rPr>
          <w:rFonts w:ascii="Georgia" w:hAnsi="Georgia"/>
          <w:sz w:val="20"/>
          <w:lang w:val="lt-LT"/>
        </w:rPr>
        <w:t>analogiškai</w:t>
      </w:r>
      <w:r w:rsidRPr="00A07762">
        <w:rPr>
          <w:rFonts w:ascii="Georgia" w:hAnsi="Georgia"/>
          <w:sz w:val="20"/>
          <w:lang w:val="lt-LT"/>
        </w:rPr>
        <w:t xml:space="preserve"> kaip aprašyta </w:t>
      </w:r>
      <w:r w:rsidRPr="00A07762">
        <w:rPr>
          <w:rFonts w:ascii="Georgia" w:hAnsi="Georgia"/>
          <w:sz w:val="20"/>
          <w:lang w:val="lt-LT"/>
        </w:rPr>
        <w:lastRenderedPageBreak/>
        <w:t xml:space="preserve">pirmojoje alternatyvoje. </w:t>
      </w:r>
      <w:r>
        <w:rPr>
          <w:rFonts w:ascii="Georgia" w:hAnsi="Georgia"/>
          <w:sz w:val="20"/>
          <w:lang w:val="lt-LT"/>
        </w:rPr>
        <w:t xml:space="preserve"> </w:t>
      </w:r>
      <w:r w:rsidRPr="00A07762">
        <w:rPr>
          <w:rFonts w:ascii="Georgia" w:hAnsi="Georgia"/>
          <w:sz w:val="20"/>
          <w:lang w:val="lt-LT"/>
        </w:rPr>
        <w:t xml:space="preserve">Šią finansinę priemonę fondų fondo valdytojas gali įgyvendinti tiesiogiai arba per finansinius tarpininkus. </w:t>
      </w:r>
    </w:p>
    <w:p w14:paraId="659B2B23" w14:textId="77777777" w:rsidR="00280058" w:rsidRDefault="00280058" w:rsidP="00280058">
      <w:pPr>
        <w:jc w:val="both"/>
        <w:rPr>
          <w:rFonts w:ascii="Georgia" w:hAnsi="Georgia"/>
          <w:sz w:val="20"/>
          <w:lang w:val="lt-LT"/>
        </w:rPr>
      </w:pPr>
      <w:r w:rsidRPr="00A07762">
        <w:rPr>
          <w:rFonts w:ascii="Georgia" w:hAnsi="Georgia"/>
          <w:sz w:val="20"/>
          <w:lang w:val="lt-LT"/>
        </w:rPr>
        <w:t xml:space="preserve">Vadovaudamasi Bendrųjų nuostatų reglamento 38 str. 4 (a) punktu, vadovaujančioji institucija gali investuoti į esamą arba naują juridinį asmenį arba pavesti užduotis vykdyti Bendrųjų nuostatų reglamento 38 str. 4 (b) punkte nurodytoms institucijoms. </w:t>
      </w:r>
      <w:r>
        <w:rPr>
          <w:rFonts w:ascii="Georgia" w:hAnsi="Georgia"/>
          <w:sz w:val="20"/>
          <w:lang w:val="lt-LT"/>
        </w:rPr>
        <w:t xml:space="preserve">Nacionaliniai teisės aktai vadovaujančiosios institucijos taip pat neriboja priimant sprendimą dėl investavimo į esamą arba naują juridinį asmenį – tai reglamentuoja Lietuvos Respublikos valstybės ir savivaldybių turto valdymo, naudojimo ir disponavimo juo įstatymas. </w:t>
      </w:r>
    </w:p>
    <w:p w14:paraId="0CD2BB3B" w14:textId="77777777" w:rsidR="00280058" w:rsidRDefault="00280058" w:rsidP="00280058">
      <w:pPr>
        <w:jc w:val="both"/>
        <w:rPr>
          <w:rFonts w:ascii="Georgia" w:hAnsi="Georgia"/>
          <w:sz w:val="20"/>
          <w:lang w:val="lt-LT"/>
        </w:rPr>
      </w:pPr>
      <w:r w:rsidRPr="00A07762">
        <w:rPr>
          <w:rFonts w:ascii="Georgia" w:hAnsi="Georgia"/>
          <w:sz w:val="20"/>
          <w:lang w:val="lt-LT"/>
        </w:rPr>
        <w:t xml:space="preserve">Valdytojui už fondo valdymą yra mokamas sutartas administravimo mokestis, kuris apibrėžtas </w:t>
      </w:r>
      <w:r>
        <w:rPr>
          <w:rFonts w:ascii="Georgia" w:hAnsi="Georgia"/>
          <w:sz w:val="20"/>
          <w:lang w:val="lt-LT"/>
        </w:rPr>
        <w:t>D</w:t>
      </w:r>
      <w:r w:rsidRPr="00A07762">
        <w:rPr>
          <w:rFonts w:ascii="Georgia" w:hAnsi="Georgia"/>
          <w:sz w:val="20"/>
          <w:lang w:val="lt-LT"/>
        </w:rPr>
        <w:t>eleguot</w:t>
      </w:r>
      <w:r>
        <w:rPr>
          <w:rFonts w:ascii="Georgia" w:hAnsi="Georgia"/>
          <w:sz w:val="20"/>
          <w:lang w:val="lt-LT"/>
        </w:rPr>
        <w:t>o</w:t>
      </w:r>
      <w:r w:rsidRPr="00A07762">
        <w:rPr>
          <w:rFonts w:ascii="Georgia" w:hAnsi="Georgia"/>
          <w:sz w:val="20"/>
          <w:lang w:val="lt-LT"/>
        </w:rPr>
        <w:t xml:space="preserve"> </w:t>
      </w:r>
      <w:r>
        <w:rPr>
          <w:rFonts w:ascii="Georgia" w:hAnsi="Georgia"/>
          <w:sz w:val="20"/>
          <w:lang w:val="lt-LT"/>
        </w:rPr>
        <w:t>reglamento</w:t>
      </w:r>
      <w:r w:rsidRPr="00A07762">
        <w:rPr>
          <w:rFonts w:ascii="Georgia" w:hAnsi="Georgia"/>
          <w:sz w:val="20"/>
          <w:lang w:val="lt-LT"/>
        </w:rPr>
        <w:t xml:space="preserve"> 13 straipsnyje.</w:t>
      </w:r>
    </w:p>
    <w:p w14:paraId="0B6584ED" w14:textId="77777777" w:rsidR="0010799D" w:rsidRDefault="00280058" w:rsidP="00280058">
      <w:pPr>
        <w:pStyle w:val="Antrat"/>
        <w:rPr>
          <w:lang w:val="lt-LT"/>
        </w:rPr>
      </w:pPr>
      <w:r w:rsidRPr="00A07762">
        <w:rPr>
          <w:lang w:val="lt-LT"/>
        </w:rPr>
        <w:object w:dxaOrig="16500" w:dyaOrig="10561" w14:anchorId="1CCD60BF">
          <v:shape id="_x0000_i1027" type="#_x0000_t75" style="width:452.95pt;height:292pt" o:ole="">
            <v:imagedata r:id="rId42" o:title=""/>
          </v:shape>
          <o:OLEObject Type="Embed" ProgID="Visio.Drawing.15" ShapeID="_x0000_i1027" DrawAspect="Content" ObjectID="_1572853841" r:id="rId43"/>
        </w:object>
      </w:r>
    </w:p>
    <w:p w14:paraId="50A93E4E" w14:textId="7328B0EA" w:rsidR="00280058" w:rsidRPr="00612BE4" w:rsidRDefault="00280058" w:rsidP="00280058">
      <w:pPr>
        <w:pStyle w:val="Antrat"/>
        <w:rPr>
          <w:lang w:val="lt-LT"/>
        </w:rPr>
      </w:pPr>
      <w:bookmarkStart w:id="114" w:name="_Toc417378297"/>
      <w:r w:rsidRPr="00C606AC">
        <w:rPr>
          <w:lang w:val="lt-LT"/>
        </w:rPr>
        <w:t xml:space="preserve">Paveikslas </w:t>
      </w:r>
      <w:r w:rsidRPr="00C606AC">
        <w:rPr>
          <w:lang w:val="lt-LT"/>
        </w:rPr>
        <w:fldChar w:fldCharType="begin"/>
      </w:r>
      <w:r w:rsidRPr="00C606AC">
        <w:rPr>
          <w:lang w:val="lt-LT"/>
        </w:rPr>
        <w:instrText xml:space="preserve"> SEQ Paveikslas \* ARABIC </w:instrText>
      </w:r>
      <w:r w:rsidRPr="00C606AC">
        <w:rPr>
          <w:lang w:val="lt-LT"/>
        </w:rPr>
        <w:fldChar w:fldCharType="separate"/>
      </w:r>
      <w:r w:rsidR="00AA3082">
        <w:rPr>
          <w:noProof/>
          <w:lang w:val="lt-LT"/>
        </w:rPr>
        <w:t>20</w:t>
      </w:r>
      <w:r w:rsidRPr="00C606AC">
        <w:rPr>
          <w:lang w:val="lt-LT"/>
        </w:rPr>
        <w:fldChar w:fldCharType="end"/>
      </w:r>
      <w:r w:rsidRPr="00C606AC">
        <w:rPr>
          <w:lang w:val="lt-LT"/>
        </w:rPr>
        <w:t>. Fondų fondo ir investicinio fondo (turinčio juridinio asmens statusą) steigimas</w:t>
      </w:r>
      <w:bookmarkEnd w:id="114"/>
    </w:p>
    <w:p w14:paraId="07C817BF" w14:textId="77777777" w:rsidR="00280058" w:rsidRPr="00A07762" w:rsidRDefault="00280058" w:rsidP="00280058">
      <w:pPr>
        <w:jc w:val="both"/>
        <w:rPr>
          <w:rFonts w:ascii="Georgia" w:hAnsi="Georgia"/>
          <w:sz w:val="20"/>
          <w:lang w:val="lt-LT"/>
        </w:rPr>
      </w:pPr>
      <w:r w:rsidRPr="00A07762">
        <w:rPr>
          <w:rFonts w:ascii="Georgia" w:hAnsi="Georgia"/>
          <w:sz w:val="20"/>
          <w:lang w:val="lt-LT"/>
        </w:rPr>
        <w:t xml:space="preserve">Siekiant padidinti sverto efektą, šios  alternatyvos įgyvendinimo atveju </w:t>
      </w:r>
      <w:r>
        <w:rPr>
          <w:rFonts w:ascii="Georgia" w:hAnsi="Georgia"/>
          <w:sz w:val="20"/>
          <w:lang w:val="lt-LT"/>
        </w:rPr>
        <w:t xml:space="preserve">greta įsteigto fondų fondo ir finansinių priemonių </w:t>
      </w:r>
      <w:r w:rsidRPr="00A07762">
        <w:rPr>
          <w:rFonts w:ascii="Georgia" w:hAnsi="Georgia"/>
          <w:sz w:val="20"/>
          <w:lang w:val="lt-LT"/>
        </w:rPr>
        <w:t xml:space="preserve">turėtų būti steigiamas investicinis </w:t>
      </w:r>
      <w:r>
        <w:rPr>
          <w:rFonts w:ascii="Georgia" w:hAnsi="Georgia"/>
          <w:sz w:val="20"/>
          <w:lang w:val="lt-LT"/>
        </w:rPr>
        <w:t>fondas</w:t>
      </w:r>
      <w:r w:rsidRPr="00A07762">
        <w:rPr>
          <w:rFonts w:ascii="Georgia" w:hAnsi="Georgia"/>
          <w:sz w:val="20"/>
          <w:lang w:val="lt-LT"/>
        </w:rPr>
        <w:t>, turintis juridin</w:t>
      </w:r>
      <w:r>
        <w:rPr>
          <w:rFonts w:ascii="Georgia" w:hAnsi="Georgia"/>
          <w:sz w:val="20"/>
          <w:lang w:val="lt-LT"/>
        </w:rPr>
        <w:t>io asmens</w:t>
      </w:r>
      <w:r w:rsidRPr="00A07762">
        <w:rPr>
          <w:rFonts w:ascii="Georgia" w:hAnsi="Georgia"/>
          <w:sz w:val="20"/>
          <w:lang w:val="lt-LT"/>
        </w:rPr>
        <w:t xml:space="preserve"> statusą ir investuojantis į finansinės priemonės įgyvendinamus projektus. Šio fondo steigime galėtų dalyvauti privatūs investuotojai, tame tarpe tarptautinės finansinės institucijos. Investicinis fondas </w:t>
      </w:r>
      <w:r>
        <w:rPr>
          <w:rFonts w:ascii="Georgia" w:hAnsi="Georgia"/>
          <w:sz w:val="20"/>
          <w:lang w:val="lt-LT"/>
        </w:rPr>
        <w:t xml:space="preserve">gali būti sukurtas vėliau nei pradėtų veikti fondų fondas, bet ne vėliau nei </w:t>
      </w:r>
      <w:r w:rsidRPr="00A07762">
        <w:rPr>
          <w:rFonts w:ascii="Georgia" w:hAnsi="Georgia"/>
          <w:sz w:val="20"/>
          <w:lang w:val="lt-LT"/>
        </w:rPr>
        <w:t xml:space="preserve">būtų panaudotos visos </w:t>
      </w:r>
      <w:r>
        <w:rPr>
          <w:rFonts w:ascii="Georgia" w:hAnsi="Georgia"/>
          <w:sz w:val="20"/>
          <w:lang w:val="lt-LT"/>
        </w:rPr>
        <w:t xml:space="preserve">ESI </w:t>
      </w:r>
      <w:r w:rsidRPr="00A07762">
        <w:rPr>
          <w:rFonts w:ascii="Georgia" w:hAnsi="Georgia"/>
          <w:sz w:val="20"/>
          <w:lang w:val="lt-LT"/>
        </w:rPr>
        <w:t xml:space="preserve">fondų lėšos, skirtos 2014 – 2020 m. </w:t>
      </w:r>
      <w:r>
        <w:rPr>
          <w:rFonts w:ascii="Georgia" w:hAnsi="Georgia"/>
          <w:sz w:val="20"/>
          <w:lang w:val="lt-LT"/>
        </w:rPr>
        <w:t>periodo</w:t>
      </w:r>
      <w:r w:rsidRPr="00A07762">
        <w:rPr>
          <w:rFonts w:ascii="Georgia" w:hAnsi="Georgia"/>
          <w:sz w:val="20"/>
          <w:lang w:val="lt-LT"/>
        </w:rPr>
        <w:t xml:space="preserve"> finansinės priemonės </w:t>
      </w:r>
      <w:r>
        <w:rPr>
          <w:rFonts w:ascii="Georgia" w:hAnsi="Georgia"/>
          <w:sz w:val="20"/>
          <w:lang w:val="lt-LT"/>
        </w:rPr>
        <w:t xml:space="preserve">ar priemonių </w:t>
      </w:r>
      <w:r w:rsidRPr="00A07762">
        <w:rPr>
          <w:rFonts w:ascii="Georgia" w:hAnsi="Georgia"/>
          <w:sz w:val="20"/>
          <w:lang w:val="lt-LT"/>
        </w:rPr>
        <w:t xml:space="preserve">finansavimui. Viena iš geriausiai tinkančių tokio juridinio </w:t>
      </w:r>
      <w:r>
        <w:rPr>
          <w:rFonts w:ascii="Georgia" w:hAnsi="Georgia"/>
          <w:sz w:val="20"/>
          <w:lang w:val="lt-LT"/>
        </w:rPr>
        <w:t>asmens</w:t>
      </w:r>
      <w:r w:rsidRPr="00A07762">
        <w:rPr>
          <w:rFonts w:ascii="Georgia" w:hAnsi="Georgia"/>
          <w:sz w:val="20"/>
          <w:lang w:val="lt-LT"/>
        </w:rPr>
        <w:t xml:space="preserve"> formų yra </w:t>
      </w:r>
      <w:r>
        <w:rPr>
          <w:rFonts w:ascii="Georgia" w:hAnsi="Georgia"/>
          <w:sz w:val="20"/>
          <w:lang w:val="lt-LT"/>
        </w:rPr>
        <w:t>komanditinė ūkinė bendrija</w:t>
      </w:r>
      <w:r w:rsidRPr="00A07762">
        <w:rPr>
          <w:rFonts w:ascii="Georgia" w:hAnsi="Georgia"/>
          <w:sz w:val="20"/>
          <w:lang w:val="lt-LT"/>
        </w:rPr>
        <w:t xml:space="preserve">. Pokalbių su įvairiais investuotojais metu nustatyta, kad tarptautinės finansinės institucijos, komerciniai bankai ir pensijų fondai būtų suinteresuoti dalyvauti tokio fondo veikloje, tačiau kaip ir antrosios alternatyvos atveju ar tikrai būtų investuojama priklausytų nuo konkrečių sąlygų, tokių kaip kad kas būtų fondų fondo </w:t>
      </w:r>
      <w:r>
        <w:rPr>
          <w:rFonts w:ascii="Georgia" w:hAnsi="Georgia"/>
          <w:sz w:val="20"/>
          <w:lang w:val="lt-LT"/>
        </w:rPr>
        <w:t xml:space="preserve">ir investicinio fondo </w:t>
      </w:r>
      <w:r w:rsidRPr="00A07762">
        <w:rPr>
          <w:rFonts w:ascii="Georgia" w:hAnsi="Georgia"/>
          <w:sz w:val="20"/>
          <w:lang w:val="lt-LT"/>
        </w:rPr>
        <w:t xml:space="preserve">valdytojas, kokia fondų fondo veiklos schema, ar ir kokie dalyvauja finansiniai tarpininkai, kokios finansinės priemonės finansuojamos ir kt.  Numatoma, kad toks investicinis </w:t>
      </w:r>
      <w:r>
        <w:rPr>
          <w:rFonts w:ascii="Georgia" w:hAnsi="Georgia"/>
          <w:sz w:val="20"/>
          <w:lang w:val="lt-LT"/>
        </w:rPr>
        <w:t>fondas</w:t>
      </w:r>
      <w:r w:rsidRPr="00A07762">
        <w:rPr>
          <w:rFonts w:ascii="Georgia" w:hAnsi="Georgia"/>
          <w:sz w:val="20"/>
          <w:lang w:val="lt-LT"/>
        </w:rPr>
        <w:t xml:space="preserve"> galėtų nupirkti iš fondų fondo apie 70 proc. geriausių paskolų, </w:t>
      </w:r>
      <w:r>
        <w:rPr>
          <w:rFonts w:ascii="Georgia" w:hAnsi="Georgia"/>
          <w:sz w:val="20"/>
          <w:lang w:val="lt-LT"/>
        </w:rPr>
        <w:t xml:space="preserve">t.y. tų, kuriomis </w:t>
      </w:r>
      <w:r>
        <w:rPr>
          <w:rFonts w:ascii="Georgia" w:hAnsi="Georgia"/>
          <w:sz w:val="20"/>
          <w:lang w:val="lt-LT"/>
        </w:rPr>
        <w:lastRenderedPageBreak/>
        <w:t xml:space="preserve">finansuoti projektai </w:t>
      </w:r>
      <w:r w:rsidRPr="00A07762">
        <w:rPr>
          <w:rFonts w:ascii="Georgia" w:hAnsi="Georgia"/>
          <w:sz w:val="20"/>
          <w:lang w:val="lt-LT"/>
        </w:rPr>
        <w:t xml:space="preserve"> jau būtų įgyvendinti ir pademonstruoti </w:t>
      </w:r>
      <w:r>
        <w:rPr>
          <w:rFonts w:ascii="Georgia" w:hAnsi="Georgia"/>
          <w:sz w:val="20"/>
          <w:lang w:val="lt-LT"/>
        </w:rPr>
        <w:t xml:space="preserve">efektyvūs energijos </w:t>
      </w:r>
      <w:r w:rsidRPr="00A07762">
        <w:rPr>
          <w:rFonts w:ascii="Georgia" w:hAnsi="Georgia"/>
          <w:sz w:val="20"/>
          <w:lang w:val="lt-LT"/>
        </w:rPr>
        <w:t>sutaupymai. Gautas lėšas fondo valdytojas galėtų investuoti į naujas paskolas, taip didindamas sverto efektą.</w:t>
      </w:r>
    </w:p>
    <w:p w14:paraId="2243B2F6" w14:textId="77777777" w:rsidR="00280058" w:rsidRDefault="00280058" w:rsidP="00280058">
      <w:pPr>
        <w:jc w:val="both"/>
        <w:rPr>
          <w:rFonts w:ascii="Georgia" w:hAnsi="Georgia"/>
          <w:sz w:val="20"/>
          <w:lang w:val="lt-LT"/>
        </w:rPr>
      </w:pPr>
      <w:r w:rsidRPr="00A07762">
        <w:rPr>
          <w:rFonts w:ascii="Georgia" w:hAnsi="Georgia"/>
          <w:sz w:val="20"/>
          <w:lang w:val="lt-LT"/>
        </w:rPr>
        <w:t xml:space="preserve">Lyginant su antrąja alternatyva šis modelis įgyvendinamas etapais (pirmiausia steigiamas </w:t>
      </w:r>
      <w:r>
        <w:rPr>
          <w:rFonts w:ascii="Georgia" w:hAnsi="Georgia"/>
          <w:sz w:val="20"/>
          <w:lang w:val="lt-LT"/>
        </w:rPr>
        <w:t>f</w:t>
      </w:r>
      <w:r w:rsidRPr="00A07762">
        <w:rPr>
          <w:rFonts w:ascii="Georgia" w:hAnsi="Georgia"/>
          <w:sz w:val="20"/>
          <w:lang w:val="lt-LT"/>
        </w:rPr>
        <w:t>ondų fondas ir antruoju etapu investicinis fondas). Fondų fondo steigimas ir valdytojo parinkimas būtų pakankamai greitai įgyvendinamas etapas pasirenkant Bendrųjų nuostatų reglamento 38 straipsnio 4 dalyje numatytas galimybes, o investicinio fondo sukūrimas galėtų užtrukti apie 2 metus detaliai išanalizuojant ir sukuriant tinkamą aplinką privačių investicijų pritraukimui.</w:t>
      </w:r>
    </w:p>
    <w:p w14:paraId="1A35402A" w14:textId="77777777" w:rsidR="00280058" w:rsidRPr="00ED1C74" w:rsidRDefault="00280058" w:rsidP="00280058">
      <w:pPr>
        <w:jc w:val="both"/>
        <w:rPr>
          <w:rFonts w:ascii="Georgia" w:hAnsi="Georgia"/>
          <w:sz w:val="20"/>
          <w:lang w:val="lt-LT"/>
        </w:rPr>
      </w:pPr>
      <w:r w:rsidRPr="00ED1C74">
        <w:rPr>
          <w:rFonts w:ascii="Georgia" w:hAnsi="Georgia"/>
          <w:sz w:val="20"/>
          <w:lang w:val="lt-LT"/>
        </w:rPr>
        <w:br w:type="page"/>
      </w:r>
    </w:p>
    <w:p w14:paraId="07EB58F6" w14:textId="77777777" w:rsidR="00280058" w:rsidRDefault="00280058" w:rsidP="00C03122">
      <w:pPr>
        <w:pStyle w:val="Antrat2"/>
        <w:numPr>
          <w:ilvl w:val="1"/>
          <w:numId w:val="2"/>
        </w:numPr>
        <w:rPr>
          <w:lang w:val="lt-LT"/>
        </w:rPr>
      </w:pPr>
      <w:bookmarkStart w:id="115" w:name="_Toc402352623"/>
      <w:bookmarkStart w:id="116" w:name="_Toc417378385"/>
      <w:r w:rsidRPr="00DF3A8E">
        <w:rPr>
          <w:lang w:val="lt-LT"/>
        </w:rPr>
        <w:lastRenderedPageBreak/>
        <w:t>Kiekybinis pridėtinės vertės vertinimas</w:t>
      </w:r>
      <w:r>
        <w:rPr>
          <w:lang w:val="lt-LT"/>
        </w:rPr>
        <w:t xml:space="preserve"> - j</w:t>
      </w:r>
      <w:r w:rsidRPr="00D36E6A">
        <w:rPr>
          <w:lang w:val="lt-LT"/>
        </w:rPr>
        <w:t>autrumo analizė</w:t>
      </w:r>
      <w:r>
        <w:rPr>
          <w:lang w:val="lt-LT"/>
        </w:rPr>
        <w:t xml:space="preserve"> ir alternatyvų palyginimas</w:t>
      </w:r>
      <w:bookmarkEnd w:id="115"/>
      <w:bookmarkEnd w:id="116"/>
    </w:p>
    <w:p w14:paraId="6AC096B4" w14:textId="77777777" w:rsidR="00280058" w:rsidRPr="00D36E6A" w:rsidRDefault="00280058" w:rsidP="00C03122">
      <w:pPr>
        <w:pStyle w:val="Antrat2"/>
        <w:numPr>
          <w:ilvl w:val="2"/>
          <w:numId w:val="2"/>
        </w:numPr>
        <w:rPr>
          <w:lang w:val="lt-LT"/>
        </w:rPr>
      </w:pPr>
      <w:bookmarkStart w:id="117" w:name="_Toc402352624"/>
      <w:bookmarkStart w:id="118" w:name="_Toc417378386"/>
      <w:r w:rsidRPr="00D36E6A">
        <w:rPr>
          <w:lang w:val="lt-LT"/>
        </w:rPr>
        <w:t>Daugiabučių renovacijos jautrumo analizė</w:t>
      </w:r>
      <w:bookmarkEnd w:id="117"/>
      <w:bookmarkEnd w:id="118"/>
    </w:p>
    <w:p w14:paraId="79626036" w14:textId="77777777" w:rsidR="00280058" w:rsidRDefault="00280058" w:rsidP="00280058">
      <w:pPr>
        <w:jc w:val="both"/>
        <w:rPr>
          <w:rFonts w:ascii="Georgia" w:hAnsi="Georgia"/>
          <w:sz w:val="20"/>
          <w:lang w:val="lt-LT"/>
        </w:rPr>
      </w:pPr>
    </w:p>
    <w:p w14:paraId="4E11FC3D" w14:textId="77777777" w:rsidR="00280058" w:rsidRPr="00DF3A8E" w:rsidRDefault="00280058" w:rsidP="00280058">
      <w:pPr>
        <w:jc w:val="both"/>
        <w:rPr>
          <w:rFonts w:ascii="Georgia" w:hAnsi="Georgia"/>
          <w:sz w:val="20"/>
          <w:lang w:val="lt-LT"/>
        </w:rPr>
      </w:pPr>
      <w:r w:rsidRPr="00DF3A8E">
        <w:rPr>
          <w:rFonts w:ascii="Georgia" w:hAnsi="Georgia"/>
          <w:sz w:val="20"/>
          <w:lang w:val="lt-LT"/>
        </w:rPr>
        <w:t>Siekiant išsiaiškinti</w:t>
      </w:r>
      <w:r>
        <w:rPr>
          <w:rFonts w:ascii="Georgia" w:hAnsi="Georgia"/>
          <w:sz w:val="20"/>
          <w:lang w:val="lt-LT"/>
        </w:rPr>
        <w:t>,</w:t>
      </w:r>
      <w:r w:rsidRPr="00DF3A8E">
        <w:rPr>
          <w:rFonts w:ascii="Georgia" w:hAnsi="Georgia"/>
          <w:sz w:val="20"/>
          <w:lang w:val="lt-LT"/>
        </w:rPr>
        <w:t xml:space="preserve"> ar daugiabučių pastatų renovavimui </w:t>
      </w:r>
      <w:r>
        <w:rPr>
          <w:rFonts w:ascii="Georgia" w:hAnsi="Georgia"/>
          <w:sz w:val="20"/>
          <w:lang w:val="lt-LT"/>
        </w:rPr>
        <w:t xml:space="preserve">teikiant lengvatines paskolas </w:t>
      </w:r>
      <w:r w:rsidRPr="00DF3A8E">
        <w:rPr>
          <w:rFonts w:ascii="Georgia" w:hAnsi="Georgia"/>
          <w:sz w:val="20"/>
          <w:lang w:val="lt-LT"/>
        </w:rPr>
        <w:t xml:space="preserve">reikalinga </w:t>
      </w:r>
      <w:r>
        <w:rPr>
          <w:rFonts w:ascii="Georgia" w:hAnsi="Georgia"/>
          <w:sz w:val="20"/>
          <w:lang w:val="lt-LT"/>
        </w:rPr>
        <w:t xml:space="preserve">ir </w:t>
      </w:r>
      <w:r w:rsidRPr="00DF3A8E">
        <w:rPr>
          <w:rFonts w:ascii="Georgia" w:hAnsi="Georgia"/>
          <w:sz w:val="20"/>
          <w:lang w:val="lt-LT"/>
        </w:rPr>
        <w:t xml:space="preserve">subsidija, kad </w:t>
      </w:r>
      <w:r>
        <w:rPr>
          <w:rFonts w:ascii="Georgia" w:hAnsi="Georgia"/>
          <w:sz w:val="20"/>
          <w:lang w:val="lt-LT"/>
        </w:rPr>
        <w:t xml:space="preserve">investicijos </w:t>
      </w:r>
      <w:r w:rsidRPr="00DF3A8E">
        <w:rPr>
          <w:rFonts w:ascii="Georgia" w:hAnsi="Georgia"/>
          <w:sz w:val="20"/>
          <w:lang w:val="lt-LT"/>
        </w:rPr>
        <w:t>pastato renovacij</w:t>
      </w:r>
      <w:r>
        <w:rPr>
          <w:rFonts w:ascii="Georgia" w:hAnsi="Georgia"/>
          <w:sz w:val="20"/>
          <w:lang w:val="lt-LT"/>
        </w:rPr>
        <w:t>ai</w:t>
      </w:r>
      <w:r w:rsidRPr="00DF3A8E">
        <w:rPr>
          <w:rFonts w:ascii="Georgia" w:hAnsi="Georgia"/>
          <w:sz w:val="20"/>
          <w:lang w:val="lt-LT"/>
        </w:rPr>
        <w:t xml:space="preserve"> atsipirktų per paskolos laikotarpį</w:t>
      </w:r>
      <w:r>
        <w:rPr>
          <w:rFonts w:ascii="Georgia" w:hAnsi="Georgia"/>
          <w:sz w:val="20"/>
          <w:lang w:val="lt-LT"/>
        </w:rPr>
        <w:t>,</w:t>
      </w:r>
      <w:r w:rsidRPr="00DF3A8E">
        <w:rPr>
          <w:rFonts w:ascii="Georgia" w:hAnsi="Georgia"/>
          <w:sz w:val="20"/>
          <w:lang w:val="lt-LT"/>
        </w:rPr>
        <w:t xml:space="preserve"> buvo atlikta jautrumo analizė.</w:t>
      </w:r>
    </w:p>
    <w:p w14:paraId="23069D7C" w14:textId="77777777" w:rsidR="00280058" w:rsidRPr="00DF3A8E" w:rsidRDefault="00280058" w:rsidP="00280058">
      <w:pPr>
        <w:jc w:val="both"/>
        <w:rPr>
          <w:rFonts w:ascii="Georgia" w:hAnsi="Georgia"/>
          <w:sz w:val="20"/>
          <w:lang w:val="lt-LT"/>
        </w:rPr>
      </w:pPr>
      <w:r w:rsidRPr="00DF3A8E">
        <w:rPr>
          <w:rFonts w:ascii="Georgia" w:hAnsi="Georgia"/>
          <w:sz w:val="20"/>
          <w:lang w:val="lt-LT"/>
        </w:rPr>
        <w:t>Lietuvos šilumos tiekėjų asociacijos duomenimis 2013</w:t>
      </w:r>
      <w:r>
        <w:rPr>
          <w:rFonts w:ascii="Georgia" w:hAnsi="Georgia"/>
          <w:sz w:val="20"/>
          <w:lang w:val="lt-LT"/>
        </w:rPr>
        <w:t>-</w:t>
      </w:r>
      <w:r w:rsidRPr="00DF3A8E">
        <w:rPr>
          <w:rFonts w:ascii="Georgia" w:hAnsi="Georgia"/>
          <w:sz w:val="20"/>
          <w:lang w:val="lt-LT"/>
        </w:rPr>
        <w:t>2014 metų šildymo sezono metu vidutinė 1 kWh kaina gyventojams sudarė 0,265 Lt su 9 proc</w:t>
      </w:r>
      <w:r>
        <w:rPr>
          <w:rStyle w:val="Puslapioinaosnuoroda"/>
          <w:rFonts w:ascii="Georgia" w:hAnsi="Georgia"/>
          <w:sz w:val="20"/>
          <w:lang w:val="lt-LT"/>
        </w:rPr>
        <w:footnoteReference w:id="107"/>
      </w:r>
      <w:r>
        <w:rPr>
          <w:rFonts w:ascii="Georgia" w:hAnsi="Georgia"/>
          <w:sz w:val="20"/>
          <w:lang w:val="lt-LT"/>
        </w:rPr>
        <w:t xml:space="preserve"> lengvatiniu PVM tarifu</w:t>
      </w:r>
      <w:r w:rsidRPr="00DF3A8E">
        <w:rPr>
          <w:rFonts w:ascii="Georgia" w:hAnsi="Georgia"/>
          <w:sz w:val="20"/>
          <w:lang w:val="lt-LT"/>
        </w:rPr>
        <w:t>. Nuo 2009 rugsėjo 1 d. iki 2014 m. gruodžio 31 d. lengvatinio 9 procentų PVM tarifo taikymą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 reglamentuoja PVM įstatymo 19 str. 3 d. 1 p.  Šios nuostatos taikomos iki 2014-12-31 faktiškai patiekt</w:t>
      </w:r>
      <w:r>
        <w:rPr>
          <w:rFonts w:ascii="Georgia" w:hAnsi="Georgia"/>
          <w:sz w:val="20"/>
          <w:lang w:val="lt-LT"/>
        </w:rPr>
        <w:t>ai</w:t>
      </w:r>
      <w:r w:rsidRPr="00DF3A8E">
        <w:rPr>
          <w:rFonts w:ascii="Georgia" w:hAnsi="Georgia"/>
          <w:sz w:val="20"/>
          <w:lang w:val="lt-LT"/>
        </w:rPr>
        <w:t xml:space="preserve"> šilumos energijai. </w:t>
      </w:r>
      <w:r w:rsidRPr="000554CD">
        <w:rPr>
          <w:rFonts w:ascii="Georgia" w:hAnsi="Georgia"/>
          <w:sz w:val="20"/>
          <w:lang w:val="lt-LT"/>
        </w:rPr>
        <w:t>Vyriausybė</w:t>
      </w:r>
      <w:r>
        <w:rPr>
          <w:rFonts w:ascii="Georgia" w:hAnsi="Georgia"/>
          <w:sz w:val="20"/>
          <w:lang w:val="lt-LT"/>
        </w:rPr>
        <w:t>,</w:t>
      </w:r>
      <w:r w:rsidRPr="000554CD">
        <w:rPr>
          <w:rFonts w:ascii="Georgia" w:hAnsi="Georgia"/>
          <w:sz w:val="20"/>
          <w:lang w:val="lt-LT"/>
        </w:rPr>
        <w:t xml:space="preserve"> 201</w:t>
      </w:r>
      <w:r>
        <w:rPr>
          <w:rFonts w:ascii="Georgia" w:hAnsi="Georgia"/>
          <w:sz w:val="20"/>
          <w:lang w:val="lt-LT"/>
        </w:rPr>
        <w:t>4</w:t>
      </w:r>
      <w:r w:rsidRPr="000554CD">
        <w:rPr>
          <w:rFonts w:ascii="Georgia" w:hAnsi="Georgia"/>
          <w:sz w:val="20"/>
          <w:lang w:val="lt-LT"/>
        </w:rPr>
        <w:t xml:space="preserve"> m. spalio 3 d.</w:t>
      </w:r>
      <w:r>
        <w:rPr>
          <w:rFonts w:ascii="Georgia" w:hAnsi="Georgia"/>
          <w:sz w:val="20"/>
          <w:lang w:val="lt-LT"/>
        </w:rPr>
        <w:t>,</w:t>
      </w:r>
      <w:r w:rsidRPr="000554CD">
        <w:rPr>
          <w:rFonts w:ascii="Georgia" w:hAnsi="Georgia"/>
          <w:sz w:val="20"/>
          <w:lang w:val="lt-LT"/>
        </w:rPr>
        <w:t xml:space="preserve"> </w:t>
      </w:r>
      <w:r>
        <w:rPr>
          <w:rFonts w:ascii="Georgia" w:hAnsi="Georgia"/>
          <w:sz w:val="20"/>
          <w:lang w:val="lt-LT"/>
        </w:rPr>
        <w:t xml:space="preserve">tvirtindama </w:t>
      </w:r>
      <w:r w:rsidRPr="00251CD9">
        <w:rPr>
          <w:rFonts w:ascii="Georgia" w:hAnsi="Georgia"/>
          <w:sz w:val="20"/>
          <w:lang w:val="lt-LT"/>
        </w:rPr>
        <w:t>2015 m. valstybės ir savivaldybių biudžeto projekt</w:t>
      </w:r>
      <w:r>
        <w:rPr>
          <w:rFonts w:ascii="Georgia" w:hAnsi="Georgia"/>
          <w:sz w:val="20"/>
          <w:lang w:val="lt-LT"/>
        </w:rPr>
        <w:t>ą, pritarė šio lengvatinio tarifo panaikinimui</w:t>
      </w:r>
      <w:r>
        <w:rPr>
          <w:rStyle w:val="Puslapioinaosnuoroda"/>
          <w:rFonts w:ascii="Georgia" w:hAnsi="Georgia"/>
          <w:sz w:val="20"/>
          <w:lang w:val="lt-LT"/>
        </w:rPr>
        <w:footnoteReference w:id="108"/>
      </w:r>
      <w:r>
        <w:rPr>
          <w:rFonts w:ascii="Georgia" w:hAnsi="Georgia"/>
          <w:sz w:val="20"/>
          <w:lang w:val="lt-LT"/>
        </w:rPr>
        <w:t xml:space="preserve">, tačiau šiam sprendimui dar turės pritarti LR seimas. Patvirtinus šį pakeitimą šilumos energijos kaina gali sudaryti 0,294 Lt/kWh. </w:t>
      </w:r>
      <w:r w:rsidRPr="000554CD">
        <w:rPr>
          <w:rFonts w:ascii="Georgia" w:hAnsi="Georgia"/>
          <w:sz w:val="20"/>
          <w:lang w:val="lt-LT"/>
        </w:rPr>
        <w:t>Dėl įvairių šilumos ūkio infrastruktūros planuojamų modernizavimo projektų</w:t>
      </w:r>
      <w:r>
        <w:rPr>
          <w:rFonts w:ascii="Georgia" w:hAnsi="Georgia"/>
          <w:sz w:val="20"/>
          <w:lang w:val="lt-LT"/>
        </w:rPr>
        <w:t>, mažesnių gamtinių išteklių kainų</w:t>
      </w:r>
      <w:r w:rsidRPr="000554CD">
        <w:rPr>
          <w:rFonts w:ascii="Georgia" w:hAnsi="Georgia"/>
          <w:sz w:val="20"/>
          <w:lang w:val="lt-LT"/>
        </w:rPr>
        <w:t xml:space="preserve">, šilumos kaina neturėtų augti, tačiau dabartinė geopolitinė </w:t>
      </w:r>
      <w:r>
        <w:rPr>
          <w:rFonts w:ascii="Georgia" w:hAnsi="Georgia"/>
          <w:sz w:val="20"/>
          <w:lang w:val="lt-LT"/>
        </w:rPr>
        <w:t>situacija bei stiprėjantis JAV dolerio kursas (pagrindinė atsiskaitymo už energetinius išteklius valiuta) prieš eurą,</w:t>
      </w:r>
      <w:r w:rsidRPr="000554CD">
        <w:rPr>
          <w:rFonts w:ascii="Georgia" w:hAnsi="Georgia"/>
          <w:sz w:val="20"/>
          <w:lang w:val="lt-LT"/>
        </w:rPr>
        <w:t xml:space="preserve"> gali lemti padidėjusias šilumos energijos kaina</w:t>
      </w:r>
      <w:r w:rsidRPr="00CF0044">
        <w:rPr>
          <w:rFonts w:ascii="Georgia" w:hAnsi="Georgia"/>
          <w:sz w:val="20"/>
          <w:lang w:val="lt-LT"/>
        </w:rPr>
        <w:t>s.</w:t>
      </w:r>
    </w:p>
    <w:p w14:paraId="4FD4520C" w14:textId="77777777" w:rsidR="00280058" w:rsidRPr="00DF3A8E" w:rsidRDefault="00280058" w:rsidP="00280058">
      <w:pPr>
        <w:jc w:val="both"/>
        <w:rPr>
          <w:rFonts w:ascii="Georgia" w:hAnsi="Georgia"/>
          <w:sz w:val="20"/>
          <w:lang w:val="lt-LT"/>
        </w:rPr>
      </w:pPr>
      <w:r>
        <w:rPr>
          <w:rFonts w:ascii="Georgia" w:hAnsi="Georgia"/>
          <w:sz w:val="20"/>
          <w:lang w:val="lt-LT"/>
        </w:rPr>
        <w:t>A</w:t>
      </w:r>
      <w:r w:rsidRPr="00DF3A8E">
        <w:rPr>
          <w:rFonts w:ascii="Georgia" w:hAnsi="Georgia"/>
          <w:sz w:val="20"/>
          <w:lang w:val="lt-LT"/>
        </w:rPr>
        <w:t>tskir</w:t>
      </w:r>
      <w:r>
        <w:rPr>
          <w:rFonts w:ascii="Georgia" w:hAnsi="Georgia"/>
          <w:sz w:val="20"/>
          <w:lang w:val="lt-LT"/>
        </w:rPr>
        <w:t>i</w:t>
      </w:r>
      <w:r w:rsidRPr="00DF3A8E">
        <w:rPr>
          <w:rFonts w:ascii="Georgia" w:hAnsi="Georgia"/>
          <w:sz w:val="20"/>
          <w:lang w:val="lt-LT"/>
        </w:rPr>
        <w:t xml:space="preserve"> Lietuvos region</w:t>
      </w:r>
      <w:r>
        <w:rPr>
          <w:rFonts w:ascii="Georgia" w:hAnsi="Georgia"/>
          <w:sz w:val="20"/>
          <w:lang w:val="lt-LT"/>
        </w:rPr>
        <w:t>ai</w:t>
      </w:r>
      <w:r w:rsidRPr="00DF3A8E">
        <w:rPr>
          <w:rFonts w:ascii="Georgia" w:hAnsi="Georgia"/>
          <w:sz w:val="20"/>
          <w:lang w:val="lt-LT"/>
        </w:rPr>
        <w:t xml:space="preserve"> pagal vartojamos energijos rūšį ar mokamą šilumos kainą nėra </w:t>
      </w:r>
      <w:r>
        <w:rPr>
          <w:rFonts w:ascii="Georgia" w:hAnsi="Georgia"/>
          <w:sz w:val="20"/>
          <w:lang w:val="lt-LT"/>
        </w:rPr>
        <w:t>išskiriami</w:t>
      </w:r>
      <w:r w:rsidRPr="00DF3A8E">
        <w:rPr>
          <w:rFonts w:ascii="Georgia" w:hAnsi="Georgia"/>
          <w:sz w:val="20"/>
          <w:lang w:val="lt-LT"/>
        </w:rPr>
        <w:t xml:space="preserve">, </w:t>
      </w:r>
      <w:r>
        <w:rPr>
          <w:rFonts w:ascii="Georgia" w:hAnsi="Georgia"/>
          <w:sz w:val="20"/>
          <w:lang w:val="lt-LT"/>
        </w:rPr>
        <w:t>kadangi</w:t>
      </w:r>
      <w:r w:rsidRPr="00DF3A8E">
        <w:rPr>
          <w:rFonts w:ascii="Georgia" w:hAnsi="Georgia"/>
          <w:sz w:val="20"/>
          <w:lang w:val="lt-LT"/>
        </w:rPr>
        <w:t xml:space="preserve"> taikyti atskirų subsidijavimo schemų nėra planuojama.</w:t>
      </w:r>
    </w:p>
    <w:p w14:paraId="1F5C7273" w14:textId="1678209A" w:rsidR="00280058" w:rsidRPr="00893A57" w:rsidRDefault="00280058" w:rsidP="00280058">
      <w:pPr>
        <w:pStyle w:val="Antrat"/>
        <w:rPr>
          <w:lang w:val="lt-LT"/>
        </w:rPr>
      </w:pPr>
      <w:bookmarkStart w:id="119" w:name="_Toc460321623"/>
      <w:r w:rsidRPr="00302E80">
        <w:rPr>
          <w:lang w:val="lt-LT"/>
        </w:rPr>
        <w:t xml:space="preserve">Lentelė </w:t>
      </w:r>
      <w:r w:rsidRPr="00302E80">
        <w:rPr>
          <w:lang w:val="lt-LT"/>
        </w:rPr>
        <w:fldChar w:fldCharType="begin"/>
      </w:r>
      <w:r w:rsidRPr="00302E80">
        <w:rPr>
          <w:lang w:val="lt-LT"/>
        </w:rPr>
        <w:instrText xml:space="preserve"> SEQ Lentelė \* ARABIC </w:instrText>
      </w:r>
      <w:r w:rsidRPr="00302E80">
        <w:rPr>
          <w:lang w:val="lt-LT"/>
        </w:rPr>
        <w:fldChar w:fldCharType="separate"/>
      </w:r>
      <w:r w:rsidR="00AA3082">
        <w:rPr>
          <w:noProof/>
          <w:lang w:val="lt-LT"/>
        </w:rPr>
        <w:t>42</w:t>
      </w:r>
      <w:r w:rsidRPr="00302E80">
        <w:rPr>
          <w:lang w:val="lt-LT"/>
        </w:rPr>
        <w:fldChar w:fldCharType="end"/>
      </w:r>
      <w:r w:rsidRPr="00302E80">
        <w:rPr>
          <w:lang w:val="lt-LT"/>
        </w:rPr>
        <w:t xml:space="preserve">. </w:t>
      </w:r>
      <w:r>
        <w:rPr>
          <w:lang w:val="lt-LT"/>
        </w:rPr>
        <w:t>D</w:t>
      </w:r>
      <w:r w:rsidRPr="00893A57">
        <w:rPr>
          <w:lang w:val="lt-LT"/>
        </w:rPr>
        <w:t>augiabučių renovacijos jautrumo analizės prielaidos.</w:t>
      </w:r>
      <w:bookmarkEnd w:id="119"/>
    </w:p>
    <w:tbl>
      <w:tblPr>
        <w:tblStyle w:val="viesussraas2parykinimas"/>
        <w:tblW w:w="5000" w:type="pct"/>
        <w:tblLook w:val="04A0" w:firstRow="1" w:lastRow="0" w:firstColumn="1" w:lastColumn="0" w:noHBand="0" w:noVBand="1"/>
      </w:tblPr>
      <w:tblGrid>
        <w:gridCol w:w="7702"/>
        <w:gridCol w:w="1540"/>
      </w:tblGrid>
      <w:tr w:rsidR="00280058" w:rsidRPr="00D545C4" w14:paraId="6B9DAAAD" w14:textId="77777777" w:rsidTr="00BB18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7" w:type="pct"/>
            <w:noWrap/>
            <w:hideMark/>
          </w:tcPr>
          <w:p w14:paraId="389F6252" w14:textId="77777777" w:rsidR="00280058" w:rsidRPr="00D545C4" w:rsidRDefault="00280058" w:rsidP="00BB18F6">
            <w:pPr>
              <w:rPr>
                <w:rFonts w:ascii="Georgia" w:eastAsia="Times New Roman" w:hAnsi="Georgia" w:cs="Arial"/>
                <w:bCs w:val="0"/>
                <w:sz w:val="20"/>
                <w:szCs w:val="20"/>
              </w:rPr>
            </w:pPr>
            <w:r w:rsidRPr="00D545C4">
              <w:rPr>
                <w:rFonts w:ascii="Georgia" w:eastAsia="Times New Roman" w:hAnsi="Georgia" w:cs="Arial"/>
                <w:sz w:val="20"/>
                <w:szCs w:val="20"/>
              </w:rPr>
              <w:t xml:space="preserve">Prielaidos </w:t>
            </w:r>
          </w:p>
        </w:tc>
        <w:tc>
          <w:tcPr>
            <w:tcW w:w="833" w:type="pct"/>
            <w:noWrap/>
            <w:hideMark/>
          </w:tcPr>
          <w:p w14:paraId="558BB4A3" w14:textId="77777777" w:rsidR="00280058" w:rsidRPr="00D545C4" w:rsidRDefault="00280058" w:rsidP="00BB18F6">
            <w:pP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sz w:val="20"/>
                <w:szCs w:val="20"/>
              </w:rPr>
            </w:pPr>
            <w:r w:rsidRPr="00D545C4">
              <w:rPr>
                <w:rFonts w:ascii="Georgia" w:eastAsia="Times New Roman" w:hAnsi="Georgia" w:cs="Arial"/>
                <w:sz w:val="20"/>
                <w:szCs w:val="20"/>
              </w:rPr>
              <w:t> </w:t>
            </w:r>
          </w:p>
        </w:tc>
      </w:tr>
      <w:tr w:rsidR="00280058" w:rsidRPr="00D545C4" w14:paraId="31F3D1BB" w14:textId="77777777" w:rsidTr="00BB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7" w:type="pct"/>
            <w:noWrap/>
            <w:hideMark/>
          </w:tcPr>
          <w:p w14:paraId="1AA9AA68" w14:textId="77777777" w:rsidR="00280058" w:rsidRPr="00D545C4" w:rsidRDefault="00280058" w:rsidP="00BB18F6">
            <w:pPr>
              <w:rPr>
                <w:rFonts w:ascii="Georgia" w:eastAsia="Times New Roman" w:hAnsi="Georgia" w:cs="Arial"/>
                <w:sz w:val="20"/>
                <w:szCs w:val="20"/>
              </w:rPr>
            </w:pPr>
            <w:r w:rsidRPr="00D545C4">
              <w:rPr>
                <w:rFonts w:ascii="Georgia" w:eastAsia="Times New Roman" w:hAnsi="Georgia" w:cs="Arial"/>
                <w:sz w:val="20"/>
                <w:szCs w:val="20"/>
              </w:rPr>
              <w:t>Tipinio daugiabučio</w:t>
            </w:r>
            <w:r>
              <w:rPr>
                <w:rFonts w:ascii="Georgia" w:eastAsia="Times New Roman" w:hAnsi="Georgia" w:cs="Arial"/>
                <w:sz w:val="20"/>
                <w:szCs w:val="20"/>
              </w:rPr>
              <w:t xml:space="preserve"> bendras</w:t>
            </w:r>
            <w:r w:rsidRPr="00D545C4">
              <w:rPr>
                <w:rFonts w:ascii="Georgia" w:eastAsia="Times New Roman" w:hAnsi="Georgia" w:cs="Arial"/>
                <w:sz w:val="20"/>
                <w:szCs w:val="20"/>
              </w:rPr>
              <w:t xml:space="preserve"> pastato plotas, m</w:t>
            </w:r>
            <w:r w:rsidRPr="00D545C4">
              <w:rPr>
                <w:rFonts w:ascii="Georgia" w:eastAsia="Times New Roman" w:hAnsi="Georgia" w:cs="Arial"/>
                <w:sz w:val="20"/>
                <w:szCs w:val="20"/>
                <w:vertAlign w:val="superscript"/>
              </w:rPr>
              <w:t>2</w:t>
            </w:r>
          </w:p>
        </w:tc>
        <w:tc>
          <w:tcPr>
            <w:tcW w:w="833" w:type="pct"/>
            <w:noWrap/>
            <w:hideMark/>
          </w:tcPr>
          <w:p w14:paraId="79FB1F7C" w14:textId="77777777" w:rsidR="00280058" w:rsidRPr="00D545C4" w:rsidRDefault="00280058" w:rsidP="00BB18F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20"/>
              </w:rPr>
            </w:pPr>
            <w:r w:rsidRPr="00D545C4">
              <w:rPr>
                <w:rFonts w:ascii="Georgia" w:eastAsia="Times New Roman" w:hAnsi="Georgia" w:cs="Arial"/>
                <w:sz w:val="20"/>
                <w:szCs w:val="20"/>
              </w:rPr>
              <w:t>1,287</w:t>
            </w:r>
          </w:p>
        </w:tc>
      </w:tr>
      <w:tr w:rsidR="00280058" w:rsidRPr="00D545C4" w14:paraId="6EB3335B" w14:textId="77777777" w:rsidTr="00BB18F6">
        <w:tc>
          <w:tcPr>
            <w:cnfStyle w:val="001000000000" w:firstRow="0" w:lastRow="0" w:firstColumn="1" w:lastColumn="0" w:oddVBand="0" w:evenVBand="0" w:oddHBand="0" w:evenHBand="0" w:firstRowFirstColumn="0" w:firstRowLastColumn="0" w:lastRowFirstColumn="0" w:lastRowLastColumn="0"/>
            <w:tcW w:w="4167" w:type="pct"/>
            <w:noWrap/>
            <w:hideMark/>
          </w:tcPr>
          <w:p w14:paraId="71C1CC2C" w14:textId="77777777" w:rsidR="00280058" w:rsidRPr="00D545C4" w:rsidRDefault="00280058" w:rsidP="00BB18F6">
            <w:pPr>
              <w:rPr>
                <w:rFonts w:ascii="Georgia" w:eastAsia="Times New Roman" w:hAnsi="Georgia" w:cs="Arial"/>
                <w:sz w:val="20"/>
                <w:szCs w:val="20"/>
              </w:rPr>
            </w:pPr>
            <w:r w:rsidRPr="00D545C4">
              <w:rPr>
                <w:rFonts w:ascii="Georgia" w:eastAsia="Times New Roman" w:hAnsi="Georgia" w:cs="Arial"/>
                <w:sz w:val="20"/>
                <w:szCs w:val="20"/>
              </w:rPr>
              <w:t>Investicijos, m</w:t>
            </w:r>
            <w:r w:rsidRPr="00D545C4">
              <w:rPr>
                <w:rFonts w:ascii="Georgia" w:eastAsia="Times New Roman" w:hAnsi="Georgia" w:cs="Arial"/>
                <w:sz w:val="20"/>
                <w:szCs w:val="20"/>
                <w:vertAlign w:val="superscript"/>
              </w:rPr>
              <w:t>2</w:t>
            </w:r>
          </w:p>
        </w:tc>
        <w:tc>
          <w:tcPr>
            <w:tcW w:w="833" w:type="pct"/>
            <w:noWrap/>
            <w:hideMark/>
          </w:tcPr>
          <w:p w14:paraId="32C29AA3" w14:textId="77777777" w:rsidR="00280058" w:rsidRPr="00D545C4" w:rsidRDefault="00280058" w:rsidP="00BB18F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sz w:val="20"/>
                <w:szCs w:val="20"/>
              </w:rPr>
            </w:pPr>
            <w:r w:rsidRPr="00D545C4">
              <w:rPr>
                <w:rFonts w:ascii="Georgia" w:eastAsia="Times New Roman" w:hAnsi="Georgia" w:cs="Arial"/>
                <w:sz w:val="20"/>
                <w:szCs w:val="20"/>
              </w:rPr>
              <w:t>500</w:t>
            </w:r>
          </w:p>
        </w:tc>
      </w:tr>
      <w:tr w:rsidR="00280058" w:rsidRPr="00D545C4" w14:paraId="38283948" w14:textId="77777777" w:rsidTr="00BB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7" w:type="pct"/>
            <w:noWrap/>
            <w:hideMark/>
          </w:tcPr>
          <w:p w14:paraId="6BC62996" w14:textId="77777777" w:rsidR="00280058" w:rsidRPr="00D545C4" w:rsidRDefault="00280058" w:rsidP="00BB18F6">
            <w:pPr>
              <w:rPr>
                <w:rFonts w:ascii="Georgia" w:eastAsia="Times New Roman" w:hAnsi="Georgia" w:cs="Arial"/>
                <w:sz w:val="20"/>
                <w:szCs w:val="20"/>
              </w:rPr>
            </w:pPr>
            <w:r w:rsidRPr="00D545C4">
              <w:rPr>
                <w:rFonts w:ascii="Georgia" w:eastAsia="Times New Roman" w:hAnsi="Georgia" w:cs="Arial"/>
                <w:sz w:val="20"/>
                <w:szCs w:val="20"/>
              </w:rPr>
              <w:t>Investicijos projektui, Lt</w:t>
            </w:r>
          </w:p>
        </w:tc>
        <w:tc>
          <w:tcPr>
            <w:tcW w:w="833" w:type="pct"/>
            <w:noWrap/>
            <w:hideMark/>
          </w:tcPr>
          <w:p w14:paraId="2C363F54" w14:textId="77777777" w:rsidR="00280058" w:rsidRPr="00D545C4" w:rsidRDefault="00280058" w:rsidP="00BB18F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20"/>
              </w:rPr>
            </w:pPr>
            <w:r w:rsidRPr="00D545C4">
              <w:rPr>
                <w:rFonts w:ascii="Georgia" w:eastAsia="Times New Roman" w:hAnsi="Georgia" w:cs="Arial"/>
                <w:sz w:val="20"/>
                <w:szCs w:val="20"/>
              </w:rPr>
              <w:t>643,500</w:t>
            </w:r>
          </w:p>
        </w:tc>
      </w:tr>
      <w:tr w:rsidR="00280058" w:rsidRPr="00D545C4" w14:paraId="6C59EDE3" w14:textId="77777777" w:rsidTr="00BB18F6">
        <w:tc>
          <w:tcPr>
            <w:cnfStyle w:val="001000000000" w:firstRow="0" w:lastRow="0" w:firstColumn="1" w:lastColumn="0" w:oddVBand="0" w:evenVBand="0" w:oddHBand="0" w:evenHBand="0" w:firstRowFirstColumn="0" w:firstRowLastColumn="0" w:lastRowFirstColumn="0" w:lastRowLastColumn="0"/>
            <w:tcW w:w="4167" w:type="pct"/>
            <w:noWrap/>
            <w:hideMark/>
          </w:tcPr>
          <w:p w14:paraId="7A2A48BC" w14:textId="77777777" w:rsidR="00280058" w:rsidRPr="00D545C4" w:rsidRDefault="00280058" w:rsidP="00BB18F6">
            <w:pPr>
              <w:rPr>
                <w:rFonts w:ascii="Georgia" w:eastAsia="Times New Roman" w:hAnsi="Georgia" w:cs="Arial"/>
                <w:sz w:val="20"/>
                <w:szCs w:val="20"/>
              </w:rPr>
            </w:pPr>
            <w:r w:rsidRPr="00D545C4">
              <w:rPr>
                <w:rFonts w:ascii="Georgia" w:eastAsia="Times New Roman" w:hAnsi="Georgia" w:cs="Arial"/>
                <w:sz w:val="20"/>
                <w:szCs w:val="20"/>
              </w:rPr>
              <w:t xml:space="preserve">Dabartinis suvartojimas kWh/m2 per metus </w:t>
            </w:r>
          </w:p>
        </w:tc>
        <w:tc>
          <w:tcPr>
            <w:tcW w:w="833" w:type="pct"/>
            <w:noWrap/>
            <w:hideMark/>
          </w:tcPr>
          <w:p w14:paraId="43353C5F" w14:textId="77777777" w:rsidR="00280058" w:rsidRPr="00D545C4" w:rsidRDefault="00280058" w:rsidP="00BB18F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sz w:val="20"/>
                <w:szCs w:val="20"/>
              </w:rPr>
            </w:pPr>
            <w:r w:rsidRPr="00D545C4">
              <w:rPr>
                <w:rFonts w:ascii="Georgia" w:eastAsia="Times New Roman" w:hAnsi="Georgia" w:cs="Arial"/>
                <w:sz w:val="20"/>
                <w:szCs w:val="20"/>
              </w:rPr>
              <w:t>150</w:t>
            </w:r>
          </w:p>
        </w:tc>
      </w:tr>
      <w:tr w:rsidR="00280058" w:rsidRPr="00D545C4" w14:paraId="70DB3695" w14:textId="77777777" w:rsidTr="00BB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7" w:type="pct"/>
            <w:noWrap/>
            <w:hideMark/>
          </w:tcPr>
          <w:p w14:paraId="51081473" w14:textId="77777777" w:rsidR="00280058" w:rsidRPr="00D545C4" w:rsidRDefault="00280058" w:rsidP="00BB18F6">
            <w:pPr>
              <w:rPr>
                <w:rFonts w:ascii="Georgia" w:eastAsia="Times New Roman" w:hAnsi="Georgia" w:cs="Arial"/>
                <w:sz w:val="20"/>
                <w:szCs w:val="20"/>
              </w:rPr>
            </w:pPr>
            <w:r w:rsidRPr="00D545C4">
              <w:rPr>
                <w:rFonts w:ascii="Georgia" w:eastAsia="Times New Roman" w:hAnsi="Georgia" w:cs="Arial"/>
                <w:sz w:val="20"/>
                <w:szCs w:val="20"/>
              </w:rPr>
              <w:t xml:space="preserve">Dabartinis pastato suvartojimas per metus, kWh </w:t>
            </w:r>
          </w:p>
        </w:tc>
        <w:tc>
          <w:tcPr>
            <w:tcW w:w="833" w:type="pct"/>
            <w:noWrap/>
            <w:hideMark/>
          </w:tcPr>
          <w:p w14:paraId="3E056AB3" w14:textId="77777777" w:rsidR="00280058" w:rsidRPr="00D545C4" w:rsidRDefault="00280058" w:rsidP="00BB18F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20"/>
              </w:rPr>
            </w:pPr>
            <w:r w:rsidRPr="00D545C4">
              <w:rPr>
                <w:rFonts w:ascii="Georgia" w:eastAsia="Times New Roman" w:hAnsi="Georgia" w:cs="Arial"/>
                <w:sz w:val="20"/>
                <w:szCs w:val="20"/>
              </w:rPr>
              <w:t>193,050</w:t>
            </w:r>
          </w:p>
        </w:tc>
      </w:tr>
      <w:tr w:rsidR="00280058" w:rsidRPr="00D545C4" w14:paraId="23C3BAB2" w14:textId="77777777" w:rsidTr="00BB18F6">
        <w:tc>
          <w:tcPr>
            <w:cnfStyle w:val="001000000000" w:firstRow="0" w:lastRow="0" w:firstColumn="1" w:lastColumn="0" w:oddVBand="0" w:evenVBand="0" w:oddHBand="0" w:evenHBand="0" w:firstRowFirstColumn="0" w:firstRowLastColumn="0" w:lastRowFirstColumn="0" w:lastRowLastColumn="0"/>
            <w:tcW w:w="4167" w:type="pct"/>
            <w:noWrap/>
            <w:hideMark/>
          </w:tcPr>
          <w:p w14:paraId="24C9DF00" w14:textId="77777777" w:rsidR="00280058" w:rsidRPr="00D545C4" w:rsidRDefault="00280058" w:rsidP="00BB18F6">
            <w:pPr>
              <w:rPr>
                <w:rFonts w:ascii="Georgia" w:eastAsia="Times New Roman" w:hAnsi="Georgia" w:cs="Arial"/>
                <w:sz w:val="20"/>
                <w:szCs w:val="20"/>
              </w:rPr>
            </w:pPr>
            <w:r w:rsidRPr="00D545C4">
              <w:rPr>
                <w:rFonts w:ascii="Georgia" w:eastAsia="Times New Roman" w:hAnsi="Georgia" w:cs="Arial"/>
                <w:sz w:val="20"/>
                <w:szCs w:val="20"/>
              </w:rPr>
              <w:t xml:space="preserve">Šilumos energijos kaina kWh/m2 </w:t>
            </w:r>
          </w:p>
        </w:tc>
        <w:tc>
          <w:tcPr>
            <w:tcW w:w="833" w:type="pct"/>
            <w:noWrap/>
            <w:hideMark/>
          </w:tcPr>
          <w:p w14:paraId="6F7CD9FD" w14:textId="77777777" w:rsidR="00280058" w:rsidRPr="00D545C4" w:rsidRDefault="00280058" w:rsidP="00BB18F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sz w:val="20"/>
                <w:szCs w:val="20"/>
              </w:rPr>
            </w:pPr>
            <w:r>
              <w:rPr>
                <w:rFonts w:ascii="Georgia" w:eastAsia="Times New Roman" w:hAnsi="Georgia" w:cs="Arial"/>
                <w:sz w:val="20"/>
                <w:szCs w:val="20"/>
              </w:rPr>
              <w:t>0,</w:t>
            </w:r>
            <w:r w:rsidRPr="00D545C4">
              <w:rPr>
                <w:rFonts w:ascii="Georgia" w:eastAsia="Times New Roman" w:hAnsi="Georgia" w:cs="Arial"/>
                <w:sz w:val="20"/>
                <w:szCs w:val="20"/>
              </w:rPr>
              <w:t>294 Lt</w:t>
            </w:r>
          </w:p>
        </w:tc>
      </w:tr>
      <w:tr w:rsidR="00280058" w:rsidRPr="00D545C4" w14:paraId="149F2335" w14:textId="77777777" w:rsidTr="00BB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7" w:type="pct"/>
            <w:noWrap/>
            <w:hideMark/>
          </w:tcPr>
          <w:p w14:paraId="26DDF4D7" w14:textId="77777777" w:rsidR="00280058" w:rsidRPr="00D545C4" w:rsidRDefault="00280058" w:rsidP="00BB18F6">
            <w:pPr>
              <w:rPr>
                <w:rFonts w:ascii="Georgia" w:eastAsia="Times New Roman" w:hAnsi="Georgia" w:cs="Arial"/>
                <w:sz w:val="20"/>
                <w:szCs w:val="20"/>
              </w:rPr>
            </w:pPr>
            <w:r w:rsidRPr="00D545C4">
              <w:rPr>
                <w:rFonts w:ascii="Georgia" w:eastAsia="Times New Roman" w:hAnsi="Georgia" w:cs="Arial"/>
                <w:sz w:val="20"/>
                <w:szCs w:val="20"/>
              </w:rPr>
              <w:t xml:space="preserve">Šilumos kainos augimas kas metus </w:t>
            </w:r>
          </w:p>
        </w:tc>
        <w:tc>
          <w:tcPr>
            <w:tcW w:w="833" w:type="pct"/>
            <w:noWrap/>
            <w:hideMark/>
          </w:tcPr>
          <w:p w14:paraId="2C069C19" w14:textId="77777777" w:rsidR="00280058" w:rsidRPr="00D545C4" w:rsidRDefault="00280058" w:rsidP="00BB18F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20"/>
              </w:rPr>
            </w:pPr>
            <w:r w:rsidRPr="00D545C4">
              <w:rPr>
                <w:rFonts w:ascii="Georgia" w:eastAsia="Times New Roman" w:hAnsi="Georgia" w:cs="Arial"/>
                <w:sz w:val="20"/>
                <w:szCs w:val="20"/>
              </w:rPr>
              <w:t>3%</w:t>
            </w:r>
          </w:p>
        </w:tc>
      </w:tr>
      <w:tr w:rsidR="00280058" w:rsidRPr="00D545C4" w14:paraId="3D80F8F7" w14:textId="77777777" w:rsidTr="00BB18F6">
        <w:tc>
          <w:tcPr>
            <w:cnfStyle w:val="001000000000" w:firstRow="0" w:lastRow="0" w:firstColumn="1" w:lastColumn="0" w:oddVBand="0" w:evenVBand="0" w:oddHBand="0" w:evenHBand="0" w:firstRowFirstColumn="0" w:firstRowLastColumn="0" w:lastRowFirstColumn="0" w:lastRowLastColumn="0"/>
            <w:tcW w:w="4167" w:type="pct"/>
            <w:noWrap/>
            <w:hideMark/>
          </w:tcPr>
          <w:p w14:paraId="38165D9B" w14:textId="77777777" w:rsidR="00280058" w:rsidRPr="00D545C4" w:rsidRDefault="00280058" w:rsidP="00BB18F6">
            <w:pPr>
              <w:rPr>
                <w:rFonts w:ascii="Georgia" w:eastAsia="Times New Roman" w:hAnsi="Georgia" w:cs="Arial"/>
                <w:sz w:val="20"/>
                <w:szCs w:val="20"/>
              </w:rPr>
            </w:pPr>
            <w:r w:rsidRPr="00D545C4">
              <w:rPr>
                <w:rFonts w:ascii="Georgia" w:eastAsia="Times New Roman" w:hAnsi="Georgia" w:cs="Arial"/>
                <w:sz w:val="20"/>
                <w:szCs w:val="20"/>
              </w:rPr>
              <w:t>Sutaupymas įgyvendinus projektą</w:t>
            </w:r>
          </w:p>
        </w:tc>
        <w:tc>
          <w:tcPr>
            <w:tcW w:w="833" w:type="pct"/>
            <w:noWrap/>
            <w:hideMark/>
          </w:tcPr>
          <w:p w14:paraId="4D11C35F" w14:textId="77777777" w:rsidR="00280058" w:rsidRPr="00D545C4" w:rsidRDefault="00280058" w:rsidP="00BB18F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sz w:val="20"/>
                <w:szCs w:val="20"/>
              </w:rPr>
            </w:pPr>
            <w:r w:rsidRPr="00D545C4">
              <w:rPr>
                <w:rFonts w:ascii="Georgia" w:eastAsia="Times New Roman" w:hAnsi="Georgia" w:cs="Arial"/>
                <w:sz w:val="20"/>
                <w:szCs w:val="20"/>
              </w:rPr>
              <w:t>40%</w:t>
            </w:r>
          </w:p>
        </w:tc>
      </w:tr>
      <w:tr w:rsidR="00280058" w:rsidRPr="00D545C4" w14:paraId="1B82BDCA" w14:textId="77777777" w:rsidTr="00BB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7" w:type="pct"/>
            <w:noWrap/>
            <w:hideMark/>
          </w:tcPr>
          <w:p w14:paraId="17DBF353" w14:textId="77777777" w:rsidR="00280058" w:rsidRPr="00D545C4" w:rsidRDefault="00280058" w:rsidP="00BB18F6">
            <w:pPr>
              <w:rPr>
                <w:rFonts w:ascii="Georgia" w:eastAsia="Times New Roman" w:hAnsi="Georgia" w:cs="Arial"/>
                <w:sz w:val="20"/>
                <w:szCs w:val="20"/>
              </w:rPr>
            </w:pPr>
            <w:r w:rsidRPr="00D545C4">
              <w:rPr>
                <w:rFonts w:ascii="Georgia" w:eastAsia="Times New Roman" w:hAnsi="Georgia" w:cs="Arial"/>
                <w:sz w:val="20"/>
                <w:szCs w:val="20"/>
              </w:rPr>
              <w:t xml:space="preserve">Sutaupyta suma šildymui per metus, kWh </w:t>
            </w:r>
          </w:p>
        </w:tc>
        <w:tc>
          <w:tcPr>
            <w:tcW w:w="833" w:type="pct"/>
            <w:noWrap/>
            <w:hideMark/>
          </w:tcPr>
          <w:p w14:paraId="6C127797" w14:textId="77777777" w:rsidR="00280058" w:rsidRPr="00D545C4" w:rsidRDefault="00280058" w:rsidP="00BB18F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20"/>
              </w:rPr>
            </w:pPr>
            <w:r w:rsidRPr="00D545C4">
              <w:rPr>
                <w:rFonts w:ascii="Georgia" w:eastAsia="Times New Roman" w:hAnsi="Georgia" w:cs="Arial"/>
                <w:sz w:val="20"/>
                <w:szCs w:val="20"/>
              </w:rPr>
              <w:t>22,703</w:t>
            </w:r>
          </w:p>
        </w:tc>
      </w:tr>
      <w:tr w:rsidR="00280058" w:rsidRPr="00D545C4" w14:paraId="69DC17DE" w14:textId="77777777" w:rsidTr="00BB18F6">
        <w:tc>
          <w:tcPr>
            <w:cnfStyle w:val="001000000000" w:firstRow="0" w:lastRow="0" w:firstColumn="1" w:lastColumn="0" w:oddVBand="0" w:evenVBand="0" w:oddHBand="0" w:evenHBand="0" w:firstRowFirstColumn="0" w:firstRowLastColumn="0" w:lastRowFirstColumn="0" w:lastRowLastColumn="0"/>
            <w:tcW w:w="4167" w:type="pct"/>
            <w:noWrap/>
            <w:hideMark/>
          </w:tcPr>
          <w:p w14:paraId="01B7B173" w14:textId="77777777" w:rsidR="00280058" w:rsidRPr="00D545C4" w:rsidRDefault="00280058" w:rsidP="00BB18F6">
            <w:pPr>
              <w:rPr>
                <w:rFonts w:ascii="Georgia" w:eastAsia="Times New Roman" w:hAnsi="Georgia" w:cs="Arial"/>
                <w:sz w:val="20"/>
                <w:szCs w:val="20"/>
              </w:rPr>
            </w:pPr>
            <w:r w:rsidRPr="00D545C4">
              <w:rPr>
                <w:rFonts w:ascii="Georgia" w:eastAsia="Times New Roman" w:hAnsi="Georgia" w:cs="Arial"/>
                <w:sz w:val="20"/>
                <w:szCs w:val="20"/>
              </w:rPr>
              <w:t xml:space="preserve">Paskolos palūkanos </w:t>
            </w:r>
          </w:p>
        </w:tc>
        <w:tc>
          <w:tcPr>
            <w:tcW w:w="833" w:type="pct"/>
            <w:noWrap/>
            <w:hideMark/>
          </w:tcPr>
          <w:p w14:paraId="7F1F2BB1" w14:textId="77777777" w:rsidR="00280058" w:rsidRPr="00D545C4" w:rsidRDefault="00280058" w:rsidP="00BB18F6">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sz w:val="20"/>
                <w:szCs w:val="20"/>
              </w:rPr>
            </w:pPr>
            <w:r>
              <w:rPr>
                <w:rFonts w:ascii="Georgia" w:eastAsia="Times New Roman" w:hAnsi="Georgia" w:cs="Arial"/>
                <w:sz w:val="20"/>
                <w:szCs w:val="20"/>
              </w:rPr>
              <w:t>3</w:t>
            </w:r>
            <w:r w:rsidRPr="00D545C4">
              <w:rPr>
                <w:rFonts w:ascii="Georgia" w:eastAsia="Times New Roman" w:hAnsi="Georgia" w:cs="Arial"/>
                <w:sz w:val="20"/>
                <w:szCs w:val="20"/>
              </w:rPr>
              <w:t>%</w:t>
            </w:r>
          </w:p>
        </w:tc>
      </w:tr>
      <w:tr w:rsidR="00280058" w:rsidRPr="00D545C4" w14:paraId="4049B6A6" w14:textId="77777777" w:rsidTr="00BB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7" w:type="pct"/>
            <w:noWrap/>
            <w:hideMark/>
          </w:tcPr>
          <w:p w14:paraId="3B8C8613" w14:textId="77777777" w:rsidR="00280058" w:rsidRPr="00D545C4" w:rsidRDefault="00280058" w:rsidP="00BB18F6">
            <w:pPr>
              <w:rPr>
                <w:rFonts w:ascii="Georgia" w:eastAsia="Times New Roman" w:hAnsi="Georgia" w:cs="Arial"/>
                <w:sz w:val="20"/>
                <w:szCs w:val="20"/>
              </w:rPr>
            </w:pPr>
            <w:r w:rsidRPr="00D545C4">
              <w:rPr>
                <w:rFonts w:ascii="Georgia" w:eastAsia="Times New Roman" w:hAnsi="Georgia" w:cs="Arial"/>
                <w:sz w:val="20"/>
                <w:szCs w:val="20"/>
              </w:rPr>
              <w:t>Paskolos terminas , metais</w:t>
            </w:r>
          </w:p>
        </w:tc>
        <w:tc>
          <w:tcPr>
            <w:tcW w:w="833" w:type="pct"/>
            <w:noWrap/>
            <w:hideMark/>
          </w:tcPr>
          <w:p w14:paraId="19006C5C" w14:textId="77777777" w:rsidR="00280058" w:rsidRPr="00D545C4" w:rsidRDefault="00280058" w:rsidP="00BB18F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20"/>
              </w:rPr>
            </w:pPr>
            <w:r w:rsidRPr="00D545C4">
              <w:rPr>
                <w:rFonts w:ascii="Georgia" w:eastAsia="Times New Roman" w:hAnsi="Georgia" w:cs="Arial"/>
                <w:sz w:val="20"/>
                <w:szCs w:val="20"/>
              </w:rPr>
              <w:t>20</w:t>
            </w:r>
          </w:p>
        </w:tc>
      </w:tr>
    </w:tbl>
    <w:p w14:paraId="66F0E51B" w14:textId="77777777" w:rsidR="00280058" w:rsidRPr="00DF3A8E" w:rsidRDefault="00280058" w:rsidP="00280058">
      <w:pPr>
        <w:jc w:val="both"/>
        <w:rPr>
          <w:rFonts w:ascii="Georgia" w:hAnsi="Georgia"/>
          <w:sz w:val="20"/>
          <w:lang w:val="lt-LT"/>
        </w:rPr>
      </w:pPr>
    </w:p>
    <w:p w14:paraId="42921EBD" w14:textId="77777777" w:rsidR="00280058" w:rsidRDefault="00280058" w:rsidP="00280058">
      <w:pPr>
        <w:jc w:val="both"/>
        <w:rPr>
          <w:rFonts w:ascii="Georgia" w:hAnsi="Georgia"/>
          <w:sz w:val="20"/>
          <w:lang w:val="lt-LT"/>
        </w:rPr>
      </w:pPr>
      <w:r w:rsidRPr="00DF3A8E">
        <w:rPr>
          <w:rFonts w:ascii="Georgia" w:hAnsi="Georgia"/>
          <w:sz w:val="20"/>
          <w:lang w:val="lt-LT"/>
        </w:rPr>
        <w:t>Atsižvelgiant į aukščiau</w:t>
      </w:r>
      <w:r>
        <w:rPr>
          <w:rFonts w:ascii="Georgia" w:hAnsi="Georgia"/>
          <w:sz w:val="20"/>
          <w:lang w:val="lt-LT"/>
        </w:rPr>
        <w:t xml:space="preserve"> esančioje lentelėje</w:t>
      </w:r>
      <w:r w:rsidRPr="00DF3A8E">
        <w:rPr>
          <w:rFonts w:ascii="Georgia" w:hAnsi="Georgia"/>
          <w:sz w:val="20"/>
          <w:lang w:val="lt-LT"/>
        </w:rPr>
        <w:t xml:space="preserve"> išvardintas prielaidas</w:t>
      </w:r>
      <w:r>
        <w:rPr>
          <w:rFonts w:ascii="Georgia" w:hAnsi="Georgia"/>
          <w:sz w:val="20"/>
          <w:lang w:val="lt-LT"/>
        </w:rPr>
        <w:t>,</w:t>
      </w:r>
      <w:r w:rsidRPr="00DF3A8E">
        <w:rPr>
          <w:rFonts w:ascii="Georgia" w:hAnsi="Georgia"/>
          <w:sz w:val="20"/>
          <w:lang w:val="lt-LT"/>
        </w:rPr>
        <w:t xml:space="preserve"> žemiau esančioje</w:t>
      </w:r>
      <w:r>
        <w:rPr>
          <w:rFonts w:ascii="Georgia" w:hAnsi="Georgia"/>
          <w:sz w:val="20"/>
          <w:lang w:val="lt-LT"/>
        </w:rPr>
        <w:t xml:space="preserve"> </w:t>
      </w:r>
      <w:r w:rsidRPr="00D545C4">
        <w:rPr>
          <w:rFonts w:ascii="Georgia" w:hAnsi="Georgia"/>
          <w:sz w:val="20"/>
          <w:lang w:val="lt-LT"/>
        </w:rPr>
        <w:t>lentelėje pateikiama</w:t>
      </w:r>
      <w:r w:rsidRPr="00DF3A8E">
        <w:rPr>
          <w:rFonts w:ascii="Georgia" w:hAnsi="Georgia"/>
          <w:sz w:val="20"/>
          <w:lang w:val="lt-LT"/>
        </w:rPr>
        <w:t xml:space="preserve"> sutaupytos e</w:t>
      </w:r>
      <w:r>
        <w:rPr>
          <w:rFonts w:ascii="Georgia" w:hAnsi="Georgia"/>
          <w:sz w:val="20"/>
          <w:lang w:val="lt-LT"/>
        </w:rPr>
        <w:t>nergijos ir subsidijos poreikio</w:t>
      </w:r>
      <w:r w:rsidRPr="009454A3">
        <w:rPr>
          <w:rFonts w:ascii="Georgia" w:hAnsi="Georgia"/>
          <w:sz w:val="20"/>
          <w:lang w:val="lt-LT"/>
        </w:rPr>
        <w:t xml:space="preserve"> </w:t>
      </w:r>
      <w:r w:rsidRPr="00DF3A8E">
        <w:rPr>
          <w:rFonts w:ascii="Georgia" w:hAnsi="Georgia"/>
          <w:sz w:val="20"/>
          <w:lang w:val="lt-LT"/>
        </w:rPr>
        <w:t>jautrumo analizė</w:t>
      </w:r>
      <w:r>
        <w:rPr>
          <w:rFonts w:ascii="Georgia" w:hAnsi="Georgia"/>
          <w:sz w:val="20"/>
          <w:lang w:val="lt-LT"/>
        </w:rPr>
        <w:t>.</w:t>
      </w:r>
    </w:p>
    <w:p w14:paraId="7AB22202" w14:textId="77777777" w:rsidR="00280058" w:rsidRDefault="00280058" w:rsidP="00280058">
      <w:pPr>
        <w:rPr>
          <w:rFonts w:ascii="Georgia" w:eastAsia="PMingLiU" w:hAnsi="Georgia" w:cs="Times New Roman"/>
          <w:b/>
          <w:bCs/>
          <w:color w:val="A32020"/>
          <w:sz w:val="20"/>
          <w:szCs w:val="18"/>
          <w:lang w:val="lt-LT"/>
        </w:rPr>
      </w:pPr>
      <w:r>
        <w:rPr>
          <w:lang w:val="lt-LT"/>
        </w:rPr>
        <w:br w:type="page"/>
      </w:r>
    </w:p>
    <w:p w14:paraId="1ECF8F67" w14:textId="44C33904" w:rsidR="00280058" w:rsidRPr="00893A57" w:rsidRDefault="00280058" w:rsidP="00280058">
      <w:pPr>
        <w:pStyle w:val="Antrat"/>
        <w:jc w:val="both"/>
        <w:rPr>
          <w:lang w:val="lt-LT"/>
        </w:rPr>
      </w:pPr>
      <w:bookmarkStart w:id="120" w:name="_Toc460321624"/>
      <w:r w:rsidRPr="00302E80">
        <w:rPr>
          <w:lang w:val="lt-LT"/>
        </w:rPr>
        <w:lastRenderedPageBreak/>
        <w:t xml:space="preserve">Lentelė </w:t>
      </w:r>
      <w:r w:rsidRPr="00302E80">
        <w:rPr>
          <w:lang w:val="lt-LT"/>
        </w:rPr>
        <w:fldChar w:fldCharType="begin"/>
      </w:r>
      <w:r w:rsidRPr="00302E80">
        <w:rPr>
          <w:lang w:val="lt-LT"/>
        </w:rPr>
        <w:instrText xml:space="preserve"> SEQ Lentelė \* ARABIC </w:instrText>
      </w:r>
      <w:r w:rsidRPr="00302E80">
        <w:rPr>
          <w:lang w:val="lt-LT"/>
        </w:rPr>
        <w:fldChar w:fldCharType="separate"/>
      </w:r>
      <w:r w:rsidR="00AA3082">
        <w:rPr>
          <w:noProof/>
          <w:lang w:val="lt-LT"/>
        </w:rPr>
        <w:t>43</w:t>
      </w:r>
      <w:r w:rsidRPr="00302E80">
        <w:rPr>
          <w:lang w:val="lt-LT"/>
        </w:rPr>
        <w:fldChar w:fldCharType="end"/>
      </w:r>
      <w:r w:rsidRPr="00302E80">
        <w:rPr>
          <w:lang w:val="lt-LT"/>
        </w:rPr>
        <w:t xml:space="preserve">. </w:t>
      </w:r>
      <w:r w:rsidRPr="00893A57">
        <w:rPr>
          <w:lang w:val="lt-LT"/>
        </w:rPr>
        <w:t xml:space="preserve">Sutaupytos energijos ir subsidijos poreikio </w:t>
      </w:r>
      <w:r>
        <w:rPr>
          <w:lang w:val="lt-LT"/>
        </w:rPr>
        <w:t xml:space="preserve">santykio </w:t>
      </w:r>
      <w:r w:rsidRPr="00893A57">
        <w:rPr>
          <w:lang w:val="lt-LT"/>
        </w:rPr>
        <w:t>jautrumo analizė.</w:t>
      </w:r>
      <w:bookmarkEnd w:id="120"/>
    </w:p>
    <w:tbl>
      <w:tblPr>
        <w:tblW w:w="5000" w:type="pct"/>
        <w:tblCellMar>
          <w:left w:w="28" w:type="dxa"/>
          <w:right w:w="28" w:type="dxa"/>
        </w:tblCellMar>
        <w:tblLook w:val="04A0" w:firstRow="1" w:lastRow="0" w:firstColumn="1" w:lastColumn="0" w:noHBand="0" w:noVBand="1"/>
      </w:tblPr>
      <w:tblGrid>
        <w:gridCol w:w="586"/>
        <w:gridCol w:w="923"/>
        <w:gridCol w:w="841"/>
        <w:gridCol w:w="841"/>
        <w:gridCol w:w="841"/>
        <w:gridCol w:w="841"/>
        <w:gridCol w:w="841"/>
        <w:gridCol w:w="841"/>
        <w:gridCol w:w="841"/>
        <w:gridCol w:w="841"/>
        <w:gridCol w:w="845"/>
      </w:tblGrid>
      <w:tr w:rsidR="00280058" w:rsidRPr="002C025E" w14:paraId="4B7B7878" w14:textId="77777777" w:rsidTr="00BB18F6">
        <w:trPr>
          <w:trHeight w:val="240"/>
        </w:trPr>
        <w:tc>
          <w:tcPr>
            <w:tcW w:w="831" w:type="pct"/>
            <w:gridSpan w:val="2"/>
            <w:vMerge w:val="restart"/>
            <w:tcBorders>
              <w:top w:val="nil"/>
              <w:left w:val="nil"/>
              <w:right w:val="nil"/>
            </w:tcBorders>
            <w:shd w:val="clear" w:color="auto" w:fill="auto"/>
            <w:noWrap/>
            <w:vAlign w:val="bottom"/>
            <w:hideMark/>
          </w:tcPr>
          <w:p w14:paraId="1BBD32D2" w14:textId="77777777" w:rsidR="00280058" w:rsidRPr="00DF3A8E" w:rsidRDefault="00280058" w:rsidP="00BB18F6">
            <w:pPr>
              <w:spacing w:after="0" w:line="240" w:lineRule="auto"/>
              <w:rPr>
                <w:rFonts w:ascii="Arial" w:eastAsia="Times New Roman" w:hAnsi="Arial" w:cs="Arial"/>
                <w:sz w:val="18"/>
                <w:szCs w:val="18"/>
                <w:lang w:val="lt-LT" w:eastAsia="lt-LT"/>
              </w:rPr>
            </w:pPr>
          </w:p>
        </w:tc>
        <w:tc>
          <w:tcPr>
            <w:tcW w:w="4169" w:type="pct"/>
            <w:gridSpan w:val="9"/>
            <w:tcBorders>
              <w:top w:val="nil"/>
              <w:left w:val="nil"/>
              <w:bottom w:val="nil"/>
              <w:right w:val="nil"/>
            </w:tcBorders>
            <w:shd w:val="clear" w:color="000000" w:fill="FFC18A"/>
            <w:noWrap/>
            <w:vAlign w:val="bottom"/>
            <w:hideMark/>
          </w:tcPr>
          <w:p w14:paraId="445351F2" w14:textId="77777777" w:rsidR="00280058" w:rsidRPr="00DF3A8E" w:rsidRDefault="00280058" w:rsidP="00BB18F6">
            <w:pPr>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Energijos sutaupymai </w:t>
            </w:r>
          </w:p>
        </w:tc>
      </w:tr>
      <w:tr w:rsidR="00280058" w:rsidRPr="002C025E" w14:paraId="4F5EC90D" w14:textId="77777777" w:rsidTr="00BB18F6">
        <w:trPr>
          <w:trHeight w:val="240"/>
        </w:trPr>
        <w:tc>
          <w:tcPr>
            <w:tcW w:w="831" w:type="pct"/>
            <w:gridSpan w:val="2"/>
            <w:vMerge/>
            <w:tcBorders>
              <w:left w:val="nil"/>
              <w:bottom w:val="nil"/>
              <w:right w:val="nil"/>
            </w:tcBorders>
            <w:shd w:val="clear" w:color="auto" w:fill="auto"/>
            <w:noWrap/>
            <w:vAlign w:val="bottom"/>
            <w:hideMark/>
          </w:tcPr>
          <w:p w14:paraId="5AC97F57" w14:textId="77777777" w:rsidR="00280058" w:rsidRPr="00DF3A8E" w:rsidRDefault="00280058" w:rsidP="00BB18F6">
            <w:pPr>
              <w:spacing w:after="0" w:line="240" w:lineRule="auto"/>
              <w:rPr>
                <w:rFonts w:ascii="Arial" w:eastAsia="Times New Roman" w:hAnsi="Arial" w:cs="Arial"/>
                <w:color w:val="FFFFFF"/>
                <w:sz w:val="18"/>
                <w:szCs w:val="18"/>
                <w:lang w:val="lt-LT" w:eastAsia="lt-LT"/>
              </w:rPr>
            </w:pPr>
          </w:p>
        </w:tc>
        <w:tc>
          <w:tcPr>
            <w:tcW w:w="463" w:type="pct"/>
            <w:tcBorders>
              <w:top w:val="nil"/>
              <w:left w:val="nil"/>
              <w:right w:val="nil"/>
            </w:tcBorders>
            <w:shd w:val="clear" w:color="auto" w:fill="auto"/>
            <w:noWrap/>
            <w:vAlign w:val="bottom"/>
            <w:hideMark/>
          </w:tcPr>
          <w:p w14:paraId="7F270E15"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40%</w:t>
            </w:r>
          </w:p>
        </w:tc>
        <w:tc>
          <w:tcPr>
            <w:tcW w:w="463" w:type="pct"/>
            <w:tcBorders>
              <w:top w:val="nil"/>
              <w:left w:val="nil"/>
              <w:right w:val="nil"/>
            </w:tcBorders>
            <w:shd w:val="clear" w:color="auto" w:fill="auto"/>
            <w:noWrap/>
            <w:vAlign w:val="bottom"/>
            <w:hideMark/>
          </w:tcPr>
          <w:p w14:paraId="185447E6"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45%</w:t>
            </w:r>
          </w:p>
        </w:tc>
        <w:tc>
          <w:tcPr>
            <w:tcW w:w="463" w:type="pct"/>
            <w:tcBorders>
              <w:top w:val="nil"/>
              <w:left w:val="nil"/>
              <w:right w:val="nil"/>
            </w:tcBorders>
            <w:shd w:val="clear" w:color="auto" w:fill="auto"/>
            <w:noWrap/>
            <w:vAlign w:val="bottom"/>
            <w:hideMark/>
          </w:tcPr>
          <w:p w14:paraId="7456F73A"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50%</w:t>
            </w:r>
          </w:p>
        </w:tc>
        <w:tc>
          <w:tcPr>
            <w:tcW w:w="463" w:type="pct"/>
            <w:tcBorders>
              <w:top w:val="nil"/>
              <w:left w:val="nil"/>
              <w:right w:val="nil"/>
            </w:tcBorders>
            <w:shd w:val="clear" w:color="auto" w:fill="auto"/>
            <w:noWrap/>
            <w:vAlign w:val="bottom"/>
            <w:hideMark/>
          </w:tcPr>
          <w:p w14:paraId="47576082"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55%</w:t>
            </w:r>
          </w:p>
        </w:tc>
        <w:tc>
          <w:tcPr>
            <w:tcW w:w="463" w:type="pct"/>
            <w:tcBorders>
              <w:top w:val="nil"/>
              <w:left w:val="nil"/>
              <w:bottom w:val="nil"/>
              <w:right w:val="nil"/>
            </w:tcBorders>
            <w:shd w:val="clear" w:color="auto" w:fill="auto"/>
            <w:noWrap/>
            <w:vAlign w:val="bottom"/>
            <w:hideMark/>
          </w:tcPr>
          <w:p w14:paraId="7E1E3F8D"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60%</w:t>
            </w:r>
          </w:p>
        </w:tc>
        <w:tc>
          <w:tcPr>
            <w:tcW w:w="463" w:type="pct"/>
            <w:tcBorders>
              <w:top w:val="nil"/>
              <w:left w:val="nil"/>
              <w:bottom w:val="nil"/>
              <w:right w:val="nil"/>
            </w:tcBorders>
            <w:shd w:val="clear" w:color="auto" w:fill="auto"/>
            <w:noWrap/>
            <w:vAlign w:val="bottom"/>
            <w:hideMark/>
          </w:tcPr>
          <w:p w14:paraId="69790CBD"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65%</w:t>
            </w:r>
          </w:p>
        </w:tc>
        <w:tc>
          <w:tcPr>
            <w:tcW w:w="463" w:type="pct"/>
            <w:tcBorders>
              <w:top w:val="nil"/>
              <w:left w:val="nil"/>
              <w:bottom w:val="nil"/>
              <w:right w:val="nil"/>
            </w:tcBorders>
            <w:shd w:val="clear" w:color="auto" w:fill="auto"/>
            <w:noWrap/>
            <w:vAlign w:val="bottom"/>
            <w:hideMark/>
          </w:tcPr>
          <w:p w14:paraId="63EAAD10"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70%</w:t>
            </w:r>
          </w:p>
        </w:tc>
        <w:tc>
          <w:tcPr>
            <w:tcW w:w="463" w:type="pct"/>
            <w:tcBorders>
              <w:top w:val="nil"/>
              <w:left w:val="nil"/>
              <w:bottom w:val="nil"/>
              <w:right w:val="nil"/>
            </w:tcBorders>
            <w:shd w:val="clear" w:color="auto" w:fill="auto"/>
            <w:noWrap/>
            <w:vAlign w:val="bottom"/>
            <w:hideMark/>
          </w:tcPr>
          <w:p w14:paraId="3CFE2910"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75%</w:t>
            </w:r>
          </w:p>
        </w:tc>
        <w:tc>
          <w:tcPr>
            <w:tcW w:w="463" w:type="pct"/>
            <w:tcBorders>
              <w:top w:val="nil"/>
              <w:left w:val="nil"/>
              <w:bottom w:val="nil"/>
              <w:right w:val="nil"/>
            </w:tcBorders>
            <w:shd w:val="clear" w:color="auto" w:fill="auto"/>
            <w:noWrap/>
            <w:vAlign w:val="bottom"/>
            <w:hideMark/>
          </w:tcPr>
          <w:p w14:paraId="7D7A1404"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80%</w:t>
            </w:r>
          </w:p>
        </w:tc>
      </w:tr>
      <w:tr w:rsidR="00280058" w:rsidRPr="002C025E" w14:paraId="25E0B273" w14:textId="77777777" w:rsidTr="00BB18F6">
        <w:trPr>
          <w:trHeight w:val="240"/>
        </w:trPr>
        <w:tc>
          <w:tcPr>
            <w:tcW w:w="323" w:type="pct"/>
            <w:vMerge w:val="restart"/>
            <w:tcBorders>
              <w:top w:val="nil"/>
              <w:left w:val="nil"/>
              <w:bottom w:val="nil"/>
              <w:right w:val="nil"/>
            </w:tcBorders>
            <w:shd w:val="clear" w:color="000000" w:fill="D9D9D9"/>
            <w:noWrap/>
            <w:textDirection w:val="btLr"/>
            <w:vAlign w:val="center"/>
            <w:hideMark/>
          </w:tcPr>
          <w:p w14:paraId="0253CB46" w14:textId="77777777" w:rsidR="00280058" w:rsidRPr="00DF3A8E" w:rsidRDefault="00280058" w:rsidP="00BB18F6">
            <w:pPr>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Subsidija </w:t>
            </w:r>
          </w:p>
        </w:tc>
        <w:tc>
          <w:tcPr>
            <w:tcW w:w="508" w:type="pct"/>
            <w:tcBorders>
              <w:top w:val="nil"/>
              <w:left w:val="nil"/>
              <w:bottom w:val="nil"/>
              <w:right w:val="nil"/>
            </w:tcBorders>
            <w:shd w:val="clear" w:color="auto" w:fill="auto"/>
            <w:noWrap/>
            <w:vAlign w:val="bottom"/>
            <w:hideMark/>
          </w:tcPr>
          <w:p w14:paraId="63A9DDD9"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w:t>
            </w:r>
          </w:p>
        </w:tc>
        <w:tc>
          <w:tcPr>
            <w:tcW w:w="463" w:type="pct"/>
            <w:tcBorders>
              <w:top w:val="nil"/>
              <w:left w:val="nil"/>
              <w:bottom w:val="nil"/>
              <w:right w:val="nil"/>
            </w:tcBorders>
            <w:shd w:val="clear" w:color="auto" w:fill="FFC7CE"/>
            <w:noWrap/>
            <w:vAlign w:val="bottom"/>
            <w:hideMark/>
          </w:tcPr>
          <w:p w14:paraId="06B0A820" w14:textId="77777777" w:rsidR="00280058" w:rsidRPr="00D42CF0" w:rsidRDefault="00280058" w:rsidP="00BB18F6">
            <w:pPr>
              <w:spacing w:after="0" w:line="240" w:lineRule="auto"/>
              <w:jc w:val="right"/>
              <w:rPr>
                <w:rFonts w:ascii="Arial" w:eastAsia="Times New Roman" w:hAnsi="Arial" w:cs="Arial"/>
                <w:color w:val="9C0006"/>
                <w:sz w:val="18"/>
                <w:szCs w:val="18"/>
                <w:lang w:val="lt-LT" w:eastAsia="lt-LT"/>
              </w:rPr>
            </w:pPr>
            <w:r w:rsidRPr="00D42CF0">
              <w:rPr>
                <w:rFonts w:ascii="Arial" w:eastAsia="Times New Roman" w:hAnsi="Arial" w:cs="Arial"/>
                <w:color w:val="9C0006"/>
                <w:sz w:val="18"/>
                <w:szCs w:val="18"/>
                <w:lang w:val="lt-LT" w:eastAsia="lt-LT"/>
              </w:rPr>
              <w:t>33.8</w:t>
            </w:r>
          </w:p>
        </w:tc>
        <w:tc>
          <w:tcPr>
            <w:tcW w:w="463" w:type="pct"/>
            <w:tcBorders>
              <w:top w:val="nil"/>
              <w:left w:val="nil"/>
              <w:bottom w:val="nil"/>
              <w:right w:val="nil"/>
            </w:tcBorders>
            <w:shd w:val="clear" w:color="auto" w:fill="FFC7CE"/>
            <w:noWrap/>
            <w:vAlign w:val="bottom"/>
            <w:hideMark/>
          </w:tcPr>
          <w:p w14:paraId="422E9962" w14:textId="77777777" w:rsidR="00280058" w:rsidRPr="00D42CF0" w:rsidRDefault="00280058" w:rsidP="00BB18F6">
            <w:pPr>
              <w:spacing w:after="0" w:line="240" w:lineRule="auto"/>
              <w:jc w:val="right"/>
              <w:rPr>
                <w:rFonts w:ascii="Arial" w:eastAsia="Times New Roman" w:hAnsi="Arial" w:cs="Arial"/>
                <w:color w:val="9C0006"/>
                <w:sz w:val="18"/>
                <w:szCs w:val="18"/>
                <w:lang w:val="lt-LT" w:eastAsia="lt-LT"/>
              </w:rPr>
            </w:pPr>
            <w:r w:rsidRPr="00D42CF0">
              <w:rPr>
                <w:rFonts w:ascii="Arial" w:eastAsia="Times New Roman" w:hAnsi="Arial" w:cs="Arial"/>
                <w:color w:val="9C0006"/>
                <w:sz w:val="18"/>
                <w:szCs w:val="18"/>
                <w:lang w:val="lt-LT" w:eastAsia="lt-LT"/>
              </w:rPr>
              <w:t>27.9</w:t>
            </w:r>
          </w:p>
        </w:tc>
        <w:tc>
          <w:tcPr>
            <w:tcW w:w="463" w:type="pct"/>
            <w:tcBorders>
              <w:top w:val="nil"/>
              <w:left w:val="nil"/>
              <w:bottom w:val="nil"/>
              <w:right w:val="nil"/>
            </w:tcBorders>
            <w:shd w:val="clear" w:color="auto" w:fill="FFC7CE"/>
            <w:noWrap/>
            <w:vAlign w:val="bottom"/>
            <w:hideMark/>
          </w:tcPr>
          <w:p w14:paraId="10BF2291" w14:textId="77777777" w:rsidR="00280058" w:rsidRPr="00D42CF0" w:rsidRDefault="00280058" w:rsidP="00BB18F6">
            <w:pPr>
              <w:spacing w:after="0" w:line="240" w:lineRule="auto"/>
              <w:jc w:val="right"/>
              <w:rPr>
                <w:rFonts w:ascii="Arial" w:eastAsia="Times New Roman" w:hAnsi="Arial" w:cs="Arial"/>
                <w:color w:val="9C0006"/>
                <w:sz w:val="18"/>
                <w:szCs w:val="18"/>
                <w:lang w:val="lt-LT" w:eastAsia="lt-LT"/>
              </w:rPr>
            </w:pPr>
            <w:r w:rsidRPr="00D42CF0">
              <w:rPr>
                <w:rFonts w:ascii="Arial" w:eastAsia="Times New Roman" w:hAnsi="Arial" w:cs="Arial"/>
                <w:color w:val="9C0006"/>
                <w:sz w:val="18"/>
                <w:szCs w:val="18"/>
                <w:lang w:val="lt-LT" w:eastAsia="lt-LT"/>
              </w:rPr>
              <w:t>23.8</w:t>
            </w:r>
          </w:p>
        </w:tc>
        <w:tc>
          <w:tcPr>
            <w:tcW w:w="463" w:type="pct"/>
            <w:tcBorders>
              <w:top w:val="nil"/>
              <w:left w:val="nil"/>
              <w:bottom w:val="nil"/>
              <w:right w:val="nil"/>
            </w:tcBorders>
            <w:shd w:val="clear" w:color="auto" w:fill="FFC7CE"/>
            <w:noWrap/>
            <w:vAlign w:val="bottom"/>
            <w:hideMark/>
          </w:tcPr>
          <w:p w14:paraId="0F9DBF9D" w14:textId="77777777" w:rsidR="00280058" w:rsidRPr="00DF3A8E" w:rsidRDefault="00280058" w:rsidP="00BB18F6">
            <w:pPr>
              <w:spacing w:after="0" w:line="240" w:lineRule="auto"/>
              <w:jc w:val="right"/>
              <w:rPr>
                <w:rFonts w:ascii="Arial" w:eastAsia="Times New Roman" w:hAnsi="Arial" w:cs="Arial"/>
                <w:sz w:val="18"/>
                <w:szCs w:val="18"/>
                <w:lang w:val="lt-LT" w:eastAsia="lt-LT"/>
              </w:rPr>
            </w:pPr>
            <w:r w:rsidRPr="00D42CF0">
              <w:rPr>
                <w:rFonts w:ascii="Arial" w:eastAsia="Times New Roman" w:hAnsi="Arial" w:cs="Arial"/>
                <w:color w:val="9C0006"/>
                <w:sz w:val="18"/>
                <w:szCs w:val="18"/>
                <w:lang w:val="lt-LT" w:eastAsia="lt-LT"/>
              </w:rPr>
              <w:t>20.8</w:t>
            </w:r>
          </w:p>
        </w:tc>
        <w:tc>
          <w:tcPr>
            <w:tcW w:w="463" w:type="pct"/>
            <w:tcBorders>
              <w:top w:val="nil"/>
              <w:left w:val="nil"/>
              <w:bottom w:val="nil"/>
              <w:right w:val="nil"/>
            </w:tcBorders>
            <w:shd w:val="clear" w:color="000000" w:fill="C6EFCE"/>
            <w:noWrap/>
            <w:vAlign w:val="bottom"/>
            <w:hideMark/>
          </w:tcPr>
          <w:p w14:paraId="31CCA096"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18.5</w:t>
            </w:r>
          </w:p>
        </w:tc>
        <w:tc>
          <w:tcPr>
            <w:tcW w:w="463" w:type="pct"/>
            <w:tcBorders>
              <w:top w:val="nil"/>
              <w:left w:val="nil"/>
              <w:bottom w:val="nil"/>
              <w:right w:val="nil"/>
            </w:tcBorders>
            <w:shd w:val="clear" w:color="000000" w:fill="C6EFCE"/>
            <w:noWrap/>
            <w:vAlign w:val="bottom"/>
            <w:hideMark/>
          </w:tcPr>
          <w:p w14:paraId="123956F6"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16.7</w:t>
            </w:r>
          </w:p>
        </w:tc>
        <w:tc>
          <w:tcPr>
            <w:tcW w:w="463" w:type="pct"/>
            <w:tcBorders>
              <w:top w:val="nil"/>
              <w:left w:val="nil"/>
              <w:bottom w:val="nil"/>
              <w:right w:val="nil"/>
            </w:tcBorders>
            <w:shd w:val="clear" w:color="000000" w:fill="C6EFCE"/>
            <w:noWrap/>
            <w:vAlign w:val="bottom"/>
            <w:hideMark/>
          </w:tcPr>
          <w:p w14:paraId="3CC9E53F"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15.2</w:t>
            </w:r>
          </w:p>
        </w:tc>
        <w:tc>
          <w:tcPr>
            <w:tcW w:w="463" w:type="pct"/>
            <w:tcBorders>
              <w:top w:val="nil"/>
              <w:left w:val="nil"/>
              <w:bottom w:val="nil"/>
              <w:right w:val="nil"/>
            </w:tcBorders>
            <w:shd w:val="clear" w:color="000000" w:fill="C6EFCE"/>
            <w:noWrap/>
            <w:vAlign w:val="bottom"/>
            <w:hideMark/>
          </w:tcPr>
          <w:p w14:paraId="286C7F79"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13.9</w:t>
            </w:r>
          </w:p>
        </w:tc>
        <w:tc>
          <w:tcPr>
            <w:tcW w:w="463" w:type="pct"/>
            <w:tcBorders>
              <w:top w:val="nil"/>
              <w:left w:val="nil"/>
              <w:bottom w:val="nil"/>
              <w:right w:val="nil"/>
            </w:tcBorders>
            <w:shd w:val="clear" w:color="000000" w:fill="C6EFCE"/>
            <w:noWrap/>
            <w:vAlign w:val="bottom"/>
            <w:hideMark/>
          </w:tcPr>
          <w:p w14:paraId="656319C6"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12.9</w:t>
            </w:r>
          </w:p>
        </w:tc>
      </w:tr>
      <w:tr w:rsidR="00280058" w:rsidRPr="002C025E" w14:paraId="682854EB" w14:textId="77777777" w:rsidTr="00BB18F6">
        <w:trPr>
          <w:trHeight w:val="240"/>
        </w:trPr>
        <w:tc>
          <w:tcPr>
            <w:tcW w:w="323" w:type="pct"/>
            <w:vMerge/>
            <w:tcBorders>
              <w:top w:val="nil"/>
              <w:left w:val="nil"/>
              <w:bottom w:val="nil"/>
              <w:right w:val="nil"/>
            </w:tcBorders>
            <w:vAlign w:val="center"/>
            <w:hideMark/>
          </w:tcPr>
          <w:p w14:paraId="382AA05F"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08" w:type="pct"/>
            <w:tcBorders>
              <w:top w:val="nil"/>
              <w:left w:val="nil"/>
              <w:bottom w:val="nil"/>
              <w:right w:val="nil"/>
            </w:tcBorders>
            <w:shd w:val="clear" w:color="auto" w:fill="auto"/>
            <w:noWrap/>
            <w:vAlign w:val="bottom"/>
            <w:hideMark/>
          </w:tcPr>
          <w:p w14:paraId="56573800"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10%</w:t>
            </w:r>
          </w:p>
        </w:tc>
        <w:tc>
          <w:tcPr>
            <w:tcW w:w="463" w:type="pct"/>
            <w:tcBorders>
              <w:top w:val="nil"/>
              <w:left w:val="nil"/>
              <w:bottom w:val="nil"/>
              <w:right w:val="nil"/>
            </w:tcBorders>
            <w:shd w:val="clear" w:color="auto" w:fill="FFC7CE"/>
            <w:noWrap/>
            <w:vAlign w:val="bottom"/>
            <w:hideMark/>
          </w:tcPr>
          <w:p w14:paraId="6B0C2985" w14:textId="77777777" w:rsidR="00280058" w:rsidRPr="00D42CF0" w:rsidRDefault="00280058" w:rsidP="00BB18F6">
            <w:pPr>
              <w:spacing w:after="0" w:line="240" w:lineRule="auto"/>
              <w:jc w:val="right"/>
              <w:rPr>
                <w:rFonts w:ascii="Arial" w:eastAsia="Times New Roman" w:hAnsi="Arial" w:cs="Arial"/>
                <w:color w:val="9C0006"/>
                <w:sz w:val="18"/>
                <w:szCs w:val="18"/>
                <w:lang w:val="lt-LT" w:eastAsia="lt-LT"/>
              </w:rPr>
            </w:pPr>
            <w:r w:rsidRPr="00D42CF0">
              <w:rPr>
                <w:rFonts w:ascii="Arial" w:eastAsia="Times New Roman" w:hAnsi="Arial" w:cs="Arial"/>
                <w:color w:val="9C0006"/>
                <w:sz w:val="18"/>
                <w:szCs w:val="18"/>
                <w:lang w:val="lt-LT" w:eastAsia="lt-LT"/>
              </w:rPr>
              <w:t>28.5</w:t>
            </w:r>
          </w:p>
        </w:tc>
        <w:tc>
          <w:tcPr>
            <w:tcW w:w="463" w:type="pct"/>
            <w:tcBorders>
              <w:top w:val="nil"/>
              <w:left w:val="nil"/>
              <w:bottom w:val="nil"/>
              <w:right w:val="nil"/>
            </w:tcBorders>
            <w:shd w:val="clear" w:color="auto" w:fill="FFC7CE"/>
            <w:noWrap/>
            <w:vAlign w:val="bottom"/>
            <w:hideMark/>
          </w:tcPr>
          <w:p w14:paraId="4CA1C522" w14:textId="77777777" w:rsidR="00280058" w:rsidRPr="00D42CF0" w:rsidRDefault="00280058" w:rsidP="00BB18F6">
            <w:pPr>
              <w:spacing w:after="0" w:line="240" w:lineRule="auto"/>
              <w:jc w:val="right"/>
              <w:rPr>
                <w:rFonts w:ascii="Arial" w:eastAsia="Times New Roman" w:hAnsi="Arial" w:cs="Arial"/>
                <w:color w:val="9C0006"/>
                <w:sz w:val="18"/>
                <w:szCs w:val="18"/>
                <w:lang w:val="lt-LT" w:eastAsia="lt-LT"/>
              </w:rPr>
            </w:pPr>
            <w:r w:rsidRPr="00D42CF0">
              <w:rPr>
                <w:rFonts w:ascii="Arial" w:eastAsia="Times New Roman" w:hAnsi="Arial" w:cs="Arial"/>
                <w:color w:val="9C0006"/>
                <w:sz w:val="18"/>
                <w:szCs w:val="18"/>
                <w:lang w:val="lt-LT" w:eastAsia="lt-LT"/>
              </w:rPr>
              <w:t>23.8</w:t>
            </w:r>
          </w:p>
        </w:tc>
        <w:tc>
          <w:tcPr>
            <w:tcW w:w="463" w:type="pct"/>
            <w:tcBorders>
              <w:top w:val="nil"/>
              <w:left w:val="nil"/>
              <w:bottom w:val="nil"/>
              <w:right w:val="nil"/>
            </w:tcBorders>
            <w:shd w:val="clear" w:color="auto" w:fill="FFC7CE"/>
            <w:noWrap/>
            <w:vAlign w:val="bottom"/>
            <w:hideMark/>
          </w:tcPr>
          <w:p w14:paraId="75147FE4" w14:textId="77777777" w:rsidR="00280058" w:rsidRPr="00D42CF0" w:rsidRDefault="00280058" w:rsidP="00BB18F6">
            <w:pPr>
              <w:spacing w:after="0" w:line="240" w:lineRule="auto"/>
              <w:jc w:val="right"/>
              <w:rPr>
                <w:rFonts w:ascii="Arial" w:eastAsia="Times New Roman" w:hAnsi="Arial" w:cs="Arial"/>
                <w:color w:val="9C0006"/>
                <w:sz w:val="18"/>
                <w:szCs w:val="18"/>
                <w:lang w:val="lt-LT" w:eastAsia="lt-LT"/>
              </w:rPr>
            </w:pPr>
            <w:r w:rsidRPr="00D42CF0">
              <w:rPr>
                <w:rFonts w:ascii="Arial" w:eastAsia="Times New Roman" w:hAnsi="Arial" w:cs="Arial"/>
                <w:color w:val="9C0006"/>
                <w:sz w:val="18"/>
                <w:szCs w:val="18"/>
                <w:lang w:val="lt-LT" w:eastAsia="lt-LT"/>
              </w:rPr>
              <w:t>20.5</w:t>
            </w:r>
          </w:p>
        </w:tc>
        <w:tc>
          <w:tcPr>
            <w:tcW w:w="463" w:type="pct"/>
            <w:tcBorders>
              <w:top w:val="nil"/>
              <w:left w:val="nil"/>
              <w:bottom w:val="nil"/>
              <w:right w:val="nil"/>
            </w:tcBorders>
            <w:shd w:val="clear" w:color="000000" w:fill="C6EFCE"/>
            <w:noWrap/>
            <w:vAlign w:val="bottom"/>
            <w:hideMark/>
          </w:tcPr>
          <w:p w14:paraId="2E7B462A"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18.1</w:t>
            </w:r>
          </w:p>
        </w:tc>
        <w:tc>
          <w:tcPr>
            <w:tcW w:w="463" w:type="pct"/>
            <w:tcBorders>
              <w:top w:val="nil"/>
              <w:left w:val="nil"/>
              <w:bottom w:val="nil"/>
              <w:right w:val="nil"/>
            </w:tcBorders>
            <w:shd w:val="clear" w:color="000000" w:fill="C6EFCE"/>
            <w:noWrap/>
            <w:vAlign w:val="bottom"/>
            <w:hideMark/>
          </w:tcPr>
          <w:p w14:paraId="4A3F884F"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16.1</w:t>
            </w:r>
          </w:p>
        </w:tc>
        <w:tc>
          <w:tcPr>
            <w:tcW w:w="463" w:type="pct"/>
            <w:tcBorders>
              <w:top w:val="nil"/>
              <w:left w:val="nil"/>
              <w:bottom w:val="nil"/>
              <w:right w:val="nil"/>
            </w:tcBorders>
            <w:shd w:val="clear" w:color="000000" w:fill="C6EFCE"/>
            <w:noWrap/>
            <w:vAlign w:val="bottom"/>
            <w:hideMark/>
          </w:tcPr>
          <w:p w14:paraId="025D0A62"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14.6</w:t>
            </w:r>
          </w:p>
        </w:tc>
        <w:tc>
          <w:tcPr>
            <w:tcW w:w="463" w:type="pct"/>
            <w:tcBorders>
              <w:top w:val="nil"/>
              <w:left w:val="nil"/>
              <w:bottom w:val="nil"/>
              <w:right w:val="nil"/>
            </w:tcBorders>
            <w:shd w:val="clear" w:color="000000" w:fill="C6EFCE"/>
            <w:noWrap/>
            <w:vAlign w:val="bottom"/>
            <w:hideMark/>
          </w:tcPr>
          <w:p w14:paraId="4663F03F"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13.3</w:t>
            </w:r>
          </w:p>
        </w:tc>
        <w:tc>
          <w:tcPr>
            <w:tcW w:w="463" w:type="pct"/>
            <w:tcBorders>
              <w:top w:val="nil"/>
              <w:left w:val="nil"/>
              <w:bottom w:val="nil"/>
              <w:right w:val="nil"/>
            </w:tcBorders>
            <w:shd w:val="clear" w:color="000000" w:fill="C6EFCE"/>
            <w:noWrap/>
            <w:vAlign w:val="bottom"/>
            <w:hideMark/>
          </w:tcPr>
          <w:p w14:paraId="030485E5"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12.2</w:t>
            </w:r>
          </w:p>
        </w:tc>
        <w:tc>
          <w:tcPr>
            <w:tcW w:w="463" w:type="pct"/>
            <w:tcBorders>
              <w:top w:val="nil"/>
              <w:left w:val="nil"/>
              <w:bottom w:val="nil"/>
              <w:right w:val="nil"/>
            </w:tcBorders>
            <w:shd w:val="clear" w:color="000000" w:fill="C6EFCE"/>
            <w:noWrap/>
            <w:vAlign w:val="bottom"/>
            <w:hideMark/>
          </w:tcPr>
          <w:p w14:paraId="5F9166F9"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11.3</w:t>
            </w:r>
          </w:p>
        </w:tc>
      </w:tr>
      <w:tr w:rsidR="00280058" w:rsidRPr="002C025E" w14:paraId="1FCA82BF" w14:textId="77777777" w:rsidTr="00BB18F6">
        <w:trPr>
          <w:trHeight w:val="240"/>
        </w:trPr>
        <w:tc>
          <w:tcPr>
            <w:tcW w:w="323" w:type="pct"/>
            <w:vMerge/>
            <w:tcBorders>
              <w:top w:val="nil"/>
              <w:left w:val="nil"/>
              <w:bottom w:val="nil"/>
              <w:right w:val="nil"/>
            </w:tcBorders>
            <w:vAlign w:val="center"/>
            <w:hideMark/>
          </w:tcPr>
          <w:p w14:paraId="6E4EB2E1"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08" w:type="pct"/>
            <w:tcBorders>
              <w:top w:val="nil"/>
              <w:left w:val="nil"/>
              <w:bottom w:val="nil"/>
              <w:right w:val="nil"/>
            </w:tcBorders>
            <w:shd w:val="clear" w:color="auto" w:fill="auto"/>
            <w:noWrap/>
            <w:vAlign w:val="bottom"/>
            <w:hideMark/>
          </w:tcPr>
          <w:p w14:paraId="5C315713"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20%</w:t>
            </w:r>
          </w:p>
        </w:tc>
        <w:tc>
          <w:tcPr>
            <w:tcW w:w="463" w:type="pct"/>
            <w:tcBorders>
              <w:top w:val="nil"/>
              <w:left w:val="nil"/>
              <w:bottom w:val="nil"/>
              <w:right w:val="nil"/>
            </w:tcBorders>
            <w:shd w:val="clear" w:color="auto" w:fill="FFC7CE"/>
            <w:noWrap/>
            <w:vAlign w:val="bottom"/>
            <w:hideMark/>
          </w:tcPr>
          <w:p w14:paraId="6BE65F1F" w14:textId="77777777" w:rsidR="00280058" w:rsidRPr="00D42CF0" w:rsidRDefault="00280058" w:rsidP="00BB18F6">
            <w:pPr>
              <w:spacing w:after="0" w:line="240" w:lineRule="auto"/>
              <w:jc w:val="right"/>
              <w:rPr>
                <w:rFonts w:ascii="Arial" w:eastAsia="Times New Roman" w:hAnsi="Arial" w:cs="Arial"/>
                <w:color w:val="9C0006"/>
                <w:sz w:val="18"/>
                <w:szCs w:val="18"/>
                <w:lang w:val="lt-LT" w:eastAsia="lt-LT"/>
              </w:rPr>
            </w:pPr>
            <w:r w:rsidRPr="00D42CF0">
              <w:rPr>
                <w:rFonts w:ascii="Arial" w:eastAsia="Times New Roman" w:hAnsi="Arial" w:cs="Arial"/>
                <w:color w:val="9C0006"/>
                <w:sz w:val="18"/>
                <w:szCs w:val="18"/>
                <w:lang w:val="lt-LT" w:eastAsia="lt-LT"/>
              </w:rPr>
              <w:t>23.8</w:t>
            </w:r>
          </w:p>
        </w:tc>
        <w:tc>
          <w:tcPr>
            <w:tcW w:w="463" w:type="pct"/>
            <w:tcBorders>
              <w:top w:val="nil"/>
              <w:left w:val="nil"/>
              <w:bottom w:val="nil"/>
              <w:right w:val="nil"/>
            </w:tcBorders>
            <w:shd w:val="clear" w:color="auto" w:fill="FFC7CE"/>
            <w:noWrap/>
            <w:vAlign w:val="bottom"/>
            <w:hideMark/>
          </w:tcPr>
          <w:p w14:paraId="7FDC25B0" w14:textId="77777777" w:rsidR="00280058" w:rsidRPr="00D42CF0" w:rsidRDefault="00280058" w:rsidP="00BB18F6">
            <w:pPr>
              <w:spacing w:after="0" w:line="240" w:lineRule="auto"/>
              <w:jc w:val="right"/>
              <w:rPr>
                <w:rFonts w:ascii="Arial" w:eastAsia="Times New Roman" w:hAnsi="Arial" w:cs="Arial"/>
                <w:color w:val="9C0006"/>
                <w:sz w:val="18"/>
                <w:szCs w:val="18"/>
                <w:lang w:val="lt-LT" w:eastAsia="lt-LT"/>
              </w:rPr>
            </w:pPr>
            <w:r w:rsidRPr="00D42CF0">
              <w:rPr>
                <w:rFonts w:ascii="Arial" w:eastAsia="Times New Roman" w:hAnsi="Arial" w:cs="Arial"/>
                <w:color w:val="9C0006"/>
                <w:sz w:val="18"/>
                <w:szCs w:val="18"/>
                <w:lang w:val="lt-LT" w:eastAsia="lt-LT"/>
              </w:rPr>
              <w:t>20.2</w:t>
            </w:r>
          </w:p>
        </w:tc>
        <w:tc>
          <w:tcPr>
            <w:tcW w:w="463" w:type="pct"/>
            <w:tcBorders>
              <w:top w:val="nil"/>
              <w:left w:val="nil"/>
              <w:bottom w:val="nil"/>
              <w:right w:val="nil"/>
            </w:tcBorders>
            <w:shd w:val="clear" w:color="000000" w:fill="C6EFCE"/>
            <w:noWrap/>
            <w:vAlign w:val="bottom"/>
            <w:hideMark/>
          </w:tcPr>
          <w:p w14:paraId="3B9ED3D6"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17.5</w:t>
            </w:r>
          </w:p>
        </w:tc>
        <w:tc>
          <w:tcPr>
            <w:tcW w:w="463" w:type="pct"/>
            <w:tcBorders>
              <w:top w:val="nil"/>
              <w:left w:val="nil"/>
              <w:bottom w:val="nil"/>
              <w:right w:val="nil"/>
            </w:tcBorders>
            <w:shd w:val="clear" w:color="000000" w:fill="C6EFCE"/>
            <w:noWrap/>
            <w:vAlign w:val="bottom"/>
            <w:hideMark/>
          </w:tcPr>
          <w:p w14:paraId="57319F2B"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15.5</w:t>
            </w:r>
          </w:p>
        </w:tc>
        <w:tc>
          <w:tcPr>
            <w:tcW w:w="463" w:type="pct"/>
            <w:tcBorders>
              <w:top w:val="nil"/>
              <w:left w:val="nil"/>
              <w:bottom w:val="nil"/>
              <w:right w:val="nil"/>
            </w:tcBorders>
            <w:shd w:val="clear" w:color="000000" w:fill="C6EFCE"/>
            <w:noWrap/>
            <w:vAlign w:val="bottom"/>
            <w:hideMark/>
          </w:tcPr>
          <w:p w14:paraId="25B41A13"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13.9</w:t>
            </w:r>
          </w:p>
        </w:tc>
        <w:tc>
          <w:tcPr>
            <w:tcW w:w="463" w:type="pct"/>
            <w:tcBorders>
              <w:top w:val="nil"/>
              <w:left w:val="nil"/>
              <w:bottom w:val="nil"/>
              <w:right w:val="nil"/>
            </w:tcBorders>
            <w:shd w:val="clear" w:color="000000" w:fill="C6EFCE"/>
            <w:noWrap/>
            <w:vAlign w:val="bottom"/>
            <w:hideMark/>
          </w:tcPr>
          <w:p w14:paraId="0959227F"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12.6</w:t>
            </w:r>
          </w:p>
        </w:tc>
        <w:tc>
          <w:tcPr>
            <w:tcW w:w="463" w:type="pct"/>
            <w:tcBorders>
              <w:top w:val="nil"/>
              <w:left w:val="nil"/>
              <w:bottom w:val="nil"/>
              <w:right w:val="nil"/>
            </w:tcBorders>
            <w:shd w:val="clear" w:color="000000" w:fill="C6EFCE"/>
            <w:noWrap/>
            <w:vAlign w:val="bottom"/>
            <w:hideMark/>
          </w:tcPr>
          <w:p w14:paraId="3B8D2293"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11.5</w:t>
            </w:r>
          </w:p>
        </w:tc>
        <w:tc>
          <w:tcPr>
            <w:tcW w:w="463" w:type="pct"/>
            <w:tcBorders>
              <w:top w:val="nil"/>
              <w:left w:val="nil"/>
              <w:bottom w:val="nil"/>
              <w:right w:val="nil"/>
            </w:tcBorders>
            <w:shd w:val="clear" w:color="000000" w:fill="C6EFCE"/>
            <w:noWrap/>
            <w:vAlign w:val="bottom"/>
            <w:hideMark/>
          </w:tcPr>
          <w:p w14:paraId="30744356"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10.6</w:t>
            </w:r>
          </w:p>
        </w:tc>
        <w:tc>
          <w:tcPr>
            <w:tcW w:w="463" w:type="pct"/>
            <w:tcBorders>
              <w:top w:val="nil"/>
              <w:left w:val="nil"/>
              <w:bottom w:val="nil"/>
              <w:right w:val="nil"/>
            </w:tcBorders>
            <w:shd w:val="clear" w:color="000000" w:fill="C6EFCE"/>
            <w:noWrap/>
            <w:vAlign w:val="bottom"/>
            <w:hideMark/>
          </w:tcPr>
          <w:p w14:paraId="7747FD3A"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9.9</w:t>
            </w:r>
          </w:p>
        </w:tc>
      </w:tr>
      <w:tr w:rsidR="00280058" w:rsidRPr="002C025E" w14:paraId="5053A5A2" w14:textId="77777777" w:rsidTr="00BB18F6">
        <w:trPr>
          <w:trHeight w:val="240"/>
        </w:trPr>
        <w:tc>
          <w:tcPr>
            <w:tcW w:w="323" w:type="pct"/>
            <w:vMerge/>
            <w:tcBorders>
              <w:top w:val="nil"/>
              <w:left w:val="nil"/>
              <w:bottom w:val="nil"/>
              <w:right w:val="nil"/>
            </w:tcBorders>
            <w:vAlign w:val="center"/>
            <w:hideMark/>
          </w:tcPr>
          <w:p w14:paraId="3706A9C9"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08" w:type="pct"/>
            <w:tcBorders>
              <w:top w:val="nil"/>
              <w:left w:val="nil"/>
              <w:bottom w:val="nil"/>
              <w:right w:val="nil"/>
            </w:tcBorders>
            <w:shd w:val="clear" w:color="auto" w:fill="auto"/>
            <w:noWrap/>
            <w:vAlign w:val="bottom"/>
            <w:hideMark/>
          </w:tcPr>
          <w:p w14:paraId="15AC5A0A"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30%</w:t>
            </w:r>
          </w:p>
        </w:tc>
        <w:tc>
          <w:tcPr>
            <w:tcW w:w="463" w:type="pct"/>
            <w:tcBorders>
              <w:top w:val="nil"/>
              <w:left w:val="nil"/>
              <w:bottom w:val="nil"/>
              <w:right w:val="nil"/>
            </w:tcBorders>
            <w:shd w:val="clear" w:color="000000" w:fill="C6EFCE"/>
            <w:noWrap/>
            <w:vAlign w:val="bottom"/>
            <w:hideMark/>
          </w:tcPr>
          <w:p w14:paraId="1006F931"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19.8</w:t>
            </w:r>
          </w:p>
        </w:tc>
        <w:tc>
          <w:tcPr>
            <w:tcW w:w="463" w:type="pct"/>
            <w:tcBorders>
              <w:top w:val="nil"/>
              <w:left w:val="nil"/>
              <w:bottom w:val="nil"/>
              <w:right w:val="nil"/>
            </w:tcBorders>
            <w:shd w:val="clear" w:color="000000" w:fill="C6EFCE"/>
            <w:noWrap/>
            <w:vAlign w:val="bottom"/>
            <w:hideMark/>
          </w:tcPr>
          <w:p w14:paraId="7692922E"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16.9</w:t>
            </w:r>
          </w:p>
        </w:tc>
        <w:tc>
          <w:tcPr>
            <w:tcW w:w="463" w:type="pct"/>
            <w:tcBorders>
              <w:top w:val="nil"/>
              <w:left w:val="nil"/>
              <w:bottom w:val="nil"/>
              <w:right w:val="nil"/>
            </w:tcBorders>
            <w:shd w:val="clear" w:color="000000" w:fill="C6EFCE"/>
            <w:noWrap/>
            <w:vAlign w:val="bottom"/>
            <w:hideMark/>
          </w:tcPr>
          <w:p w14:paraId="6FFEF68E"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14.8</w:t>
            </w:r>
          </w:p>
        </w:tc>
        <w:tc>
          <w:tcPr>
            <w:tcW w:w="463" w:type="pct"/>
            <w:tcBorders>
              <w:top w:val="nil"/>
              <w:left w:val="nil"/>
              <w:bottom w:val="nil"/>
              <w:right w:val="nil"/>
            </w:tcBorders>
            <w:shd w:val="clear" w:color="000000" w:fill="C6EFCE"/>
            <w:noWrap/>
            <w:vAlign w:val="bottom"/>
            <w:hideMark/>
          </w:tcPr>
          <w:p w14:paraId="23458B91"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13.1</w:t>
            </w:r>
          </w:p>
        </w:tc>
        <w:tc>
          <w:tcPr>
            <w:tcW w:w="463" w:type="pct"/>
            <w:tcBorders>
              <w:top w:val="nil"/>
              <w:left w:val="nil"/>
              <w:bottom w:val="nil"/>
              <w:right w:val="nil"/>
            </w:tcBorders>
            <w:shd w:val="clear" w:color="000000" w:fill="C6EFCE"/>
            <w:noWrap/>
            <w:vAlign w:val="bottom"/>
            <w:hideMark/>
          </w:tcPr>
          <w:p w14:paraId="3E07F565"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11.8</w:t>
            </w:r>
          </w:p>
        </w:tc>
        <w:tc>
          <w:tcPr>
            <w:tcW w:w="463" w:type="pct"/>
            <w:tcBorders>
              <w:top w:val="nil"/>
              <w:left w:val="nil"/>
              <w:bottom w:val="nil"/>
              <w:right w:val="nil"/>
            </w:tcBorders>
            <w:shd w:val="clear" w:color="000000" w:fill="C6EFCE"/>
            <w:noWrap/>
            <w:vAlign w:val="bottom"/>
            <w:hideMark/>
          </w:tcPr>
          <w:p w14:paraId="525DF49D"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10.8</w:t>
            </w:r>
          </w:p>
        </w:tc>
        <w:tc>
          <w:tcPr>
            <w:tcW w:w="463" w:type="pct"/>
            <w:tcBorders>
              <w:top w:val="nil"/>
              <w:left w:val="nil"/>
              <w:bottom w:val="nil"/>
              <w:right w:val="nil"/>
            </w:tcBorders>
            <w:shd w:val="clear" w:color="000000" w:fill="C6EFCE"/>
            <w:noWrap/>
            <w:vAlign w:val="bottom"/>
            <w:hideMark/>
          </w:tcPr>
          <w:p w14:paraId="797E0B77"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9.9</w:t>
            </w:r>
          </w:p>
        </w:tc>
        <w:tc>
          <w:tcPr>
            <w:tcW w:w="463" w:type="pct"/>
            <w:tcBorders>
              <w:top w:val="nil"/>
              <w:left w:val="nil"/>
              <w:bottom w:val="nil"/>
              <w:right w:val="nil"/>
            </w:tcBorders>
            <w:shd w:val="clear" w:color="000000" w:fill="C6EFCE"/>
            <w:noWrap/>
            <w:vAlign w:val="bottom"/>
            <w:hideMark/>
          </w:tcPr>
          <w:p w14:paraId="738ACBAA"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9.1</w:t>
            </w:r>
          </w:p>
        </w:tc>
        <w:tc>
          <w:tcPr>
            <w:tcW w:w="463" w:type="pct"/>
            <w:tcBorders>
              <w:top w:val="nil"/>
              <w:left w:val="nil"/>
              <w:bottom w:val="nil"/>
              <w:right w:val="nil"/>
            </w:tcBorders>
            <w:shd w:val="clear" w:color="000000" w:fill="C6EFCE"/>
            <w:noWrap/>
            <w:vAlign w:val="bottom"/>
            <w:hideMark/>
          </w:tcPr>
          <w:p w14:paraId="2EB42747"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8.5</w:t>
            </w:r>
          </w:p>
        </w:tc>
      </w:tr>
      <w:tr w:rsidR="00280058" w:rsidRPr="002C025E" w14:paraId="2145D86D" w14:textId="77777777" w:rsidTr="00BB18F6">
        <w:trPr>
          <w:trHeight w:val="240"/>
        </w:trPr>
        <w:tc>
          <w:tcPr>
            <w:tcW w:w="323" w:type="pct"/>
            <w:vMerge/>
            <w:tcBorders>
              <w:top w:val="nil"/>
              <w:left w:val="nil"/>
              <w:bottom w:val="nil"/>
              <w:right w:val="nil"/>
            </w:tcBorders>
            <w:vAlign w:val="center"/>
            <w:hideMark/>
          </w:tcPr>
          <w:p w14:paraId="340625B3"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08" w:type="pct"/>
            <w:tcBorders>
              <w:top w:val="nil"/>
              <w:left w:val="nil"/>
              <w:bottom w:val="nil"/>
              <w:right w:val="nil"/>
            </w:tcBorders>
            <w:shd w:val="clear" w:color="auto" w:fill="auto"/>
            <w:noWrap/>
            <w:vAlign w:val="bottom"/>
            <w:hideMark/>
          </w:tcPr>
          <w:p w14:paraId="6AE10271"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40%</w:t>
            </w:r>
          </w:p>
        </w:tc>
        <w:tc>
          <w:tcPr>
            <w:tcW w:w="463" w:type="pct"/>
            <w:tcBorders>
              <w:top w:val="nil"/>
              <w:left w:val="nil"/>
              <w:bottom w:val="nil"/>
              <w:right w:val="nil"/>
            </w:tcBorders>
            <w:shd w:val="clear" w:color="000000" w:fill="C6EFCE"/>
            <w:noWrap/>
            <w:vAlign w:val="bottom"/>
            <w:hideMark/>
          </w:tcPr>
          <w:p w14:paraId="55278EA7"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16.1</w:t>
            </w:r>
          </w:p>
        </w:tc>
        <w:tc>
          <w:tcPr>
            <w:tcW w:w="463" w:type="pct"/>
            <w:tcBorders>
              <w:top w:val="nil"/>
              <w:left w:val="nil"/>
              <w:bottom w:val="nil"/>
              <w:right w:val="nil"/>
            </w:tcBorders>
            <w:shd w:val="clear" w:color="000000" w:fill="C6EFCE"/>
            <w:noWrap/>
            <w:vAlign w:val="bottom"/>
            <w:hideMark/>
          </w:tcPr>
          <w:p w14:paraId="69988232"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13.9</w:t>
            </w:r>
          </w:p>
        </w:tc>
        <w:tc>
          <w:tcPr>
            <w:tcW w:w="463" w:type="pct"/>
            <w:tcBorders>
              <w:top w:val="nil"/>
              <w:left w:val="nil"/>
              <w:bottom w:val="nil"/>
              <w:right w:val="nil"/>
            </w:tcBorders>
            <w:shd w:val="clear" w:color="000000" w:fill="C6EFCE"/>
            <w:noWrap/>
            <w:vAlign w:val="bottom"/>
            <w:hideMark/>
          </w:tcPr>
          <w:p w14:paraId="1AC796BA"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12.2</w:t>
            </w:r>
          </w:p>
        </w:tc>
        <w:tc>
          <w:tcPr>
            <w:tcW w:w="463" w:type="pct"/>
            <w:tcBorders>
              <w:top w:val="nil"/>
              <w:left w:val="nil"/>
              <w:bottom w:val="nil"/>
              <w:right w:val="nil"/>
            </w:tcBorders>
            <w:shd w:val="clear" w:color="000000" w:fill="C6EFCE"/>
            <w:noWrap/>
            <w:vAlign w:val="bottom"/>
            <w:hideMark/>
          </w:tcPr>
          <w:p w14:paraId="75EE19E2"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10.9</w:t>
            </w:r>
          </w:p>
        </w:tc>
        <w:tc>
          <w:tcPr>
            <w:tcW w:w="463" w:type="pct"/>
            <w:tcBorders>
              <w:top w:val="nil"/>
              <w:left w:val="nil"/>
              <w:bottom w:val="nil"/>
              <w:right w:val="nil"/>
            </w:tcBorders>
            <w:shd w:val="clear" w:color="000000" w:fill="C6EFCE"/>
            <w:noWrap/>
            <w:vAlign w:val="bottom"/>
            <w:hideMark/>
          </w:tcPr>
          <w:p w14:paraId="4A63FBC5"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9.9</w:t>
            </w:r>
          </w:p>
        </w:tc>
        <w:tc>
          <w:tcPr>
            <w:tcW w:w="463" w:type="pct"/>
            <w:tcBorders>
              <w:top w:val="nil"/>
              <w:left w:val="nil"/>
              <w:bottom w:val="nil"/>
              <w:right w:val="nil"/>
            </w:tcBorders>
            <w:shd w:val="clear" w:color="000000" w:fill="C6EFCE"/>
            <w:noWrap/>
            <w:vAlign w:val="bottom"/>
            <w:hideMark/>
          </w:tcPr>
          <w:p w14:paraId="78BE9A64"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9.0</w:t>
            </w:r>
          </w:p>
        </w:tc>
        <w:tc>
          <w:tcPr>
            <w:tcW w:w="463" w:type="pct"/>
            <w:tcBorders>
              <w:top w:val="nil"/>
              <w:left w:val="nil"/>
              <w:bottom w:val="nil"/>
              <w:right w:val="nil"/>
            </w:tcBorders>
            <w:shd w:val="clear" w:color="000000" w:fill="C6EFCE"/>
            <w:noWrap/>
            <w:vAlign w:val="bottom"/>
            <w:hideMark/>
          </w:tcPr>
          <w:p w14:paraId="4335E8C3"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8.3</w:t>
            </w:r>
          </w:p>
        </w:tc>
        <w:tc>
          <w:tcPr>
            <w:tcW w:w="463" w:type="pct"/>
            <w:tcBorders>
              <w:top w:val="nil"/>
              <w:left w:val="nil"/>
              <w:bottom w:val="nil"/>
              <w:right w:val="nil"/>
            </w:tcBorders>
            <w:shd w:val="clear" w:color="000000" w:fill="C6EFCE"/>
            <w:noWrap/>
            <w:vAlign w:val="bottom"/>
            <w:hideMark/>
          </w:tcPr>
          <w:p w14:paraId="062F5331"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7.6</w:t>
            </w:r>
          </w:p>
        </w:tc>
        <w:tc>
          <w:tcPr>
            <w:tcW w:w="463" w:type="pct"/>
            <w:tcBorders>
              <w:top w:val="nil"/>
              <w:left w:val="nil"/>
              <w:bottom w:val="nil"/>
              <w:right w:val="nil"/>
            </w:tcBorders>
            <w:shd w:val="clear" w:color="000000" w:fill="C6EFCE"/>
            <w:noWrap/>
            <w:vAlign w:val="bottom"/>
            <w:hideMark/>
          </w:tcPr>
          <w:p w14:paraId="609723D0"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7.1</w:t>
            </w:r>
          </w:p>
        </w:tc>
      </w:tr>
    </w:tbl>
    <w:p w14:paraId="0F8C9CBA" w14:textId="77777777" w:rsidR="00280058" w:rsidRDefault="00280058" w:rsidP="00280058">
      <w:pPr>
        <w:jc w:val="both"/>
        <w:rPr>
          <w:rFonts w:ascii="Georgia" w:hAnsi="Georgia"/>
          <w:sz w:val="20"/>
          <w:lang w:val="lt-LT"/>
        </w:rPr>
      </w:pPr>
    </w:p>
    <w:p w14:paraId="206537DB" w14:textId="77777777" w:rsidR="00280058" w:rsidRPr="00DF3A8E" w:rsidRDefault="00280058" w:rsidP="00280058">
      <w:pPr>
        <w:jc w:val="both"/>
        <w:rPr>
          <w:rFonts w:ascii="Georgia" w:hAnsi="Georgia"/>
          <w:sz w:val="20"/>
          <w:lang w:val="lt-LT"/>
        </w:rPr>
      </w:pPr>
      <w:r>
        <w:rPr>
          <w:rFonts w:ascii="Georgia" w:hAnsi="Georgia"/>
          <w:sz w:val="20"/>
          <w:lang w:val="lt-LT"/>
        </w:rPr>
        <w:t>Pagal lentelėje pateiktus duomenis, planuojant, jog renovacijos metu bus pasiekti</w:t>
      </w:r>
      <w:r w:rsidRPr="00DF3A8E">
        <w:rPr>
          <w:rFonts w:ascii="Georgia" w:hAnsi="Georgia"/>
          <w:sz w:val="20"/>
          <w:lang w:val="lt-LT"/>
        </w:rPr>
        <w:t xml:space="preserve"> 40 proc. </w:t>
      </w:r>
      <w:r>
        <w:rPr>
          <w:rFonts w:ascii="Georgia" w:hAnsi="Georgia"/>
          <w:sz w:val="20"/>
          <w:lang w:val="lt-LT"/>
        </w:rPr>
        <w:t xml:space="preserve">energijos </w:t>
      </w:r>
      <w:r w:rsidRPr="00DF3A8E">
        <w:rPr>
          <w:rFonts w:ascii="Georgia" w:hAnsi="Georgia"/>
          <w:sz w:val="20"/>
          <w:lang w:val="lt-LT"/>
        </w:rPr>
        <w:t>sutaupym</w:t>
      </w:r>
      <w:r>
        <w:rPr>
          <w:rFonts w:ascii="Georgia" w:hAnsi="Georgia"/>
          <w:sz w:val="20"/>
          <w:lang w:val="lt-LT"/>
        </w:rPr>
        <w:t>ai</w:t>
      </w:r>
      <w:r w:rsidRPr="00DF3A8E">
        <w:rPr>
          <w:rFonts w:ascii="Georgia" w:hAnsi="Georgia"/>
          <w:sz w:val="20"/>
          <w:lang w:val="lt-LT"/>
        </w:rPr>
        <w:t xml:space="preserve"> ir </w:t>
      </w:r>
      <w:r>
        <w:rPr>
          <w:rFonts w:ascii="Georgia" w:hAnsi="Georgia"/>
          <w:sz w:val="20"/>
          <w:lang w:val="lt-LT"/>
        </w:rPr>
        <w:t xml:space="preserve">bus naudojamas </w:t>
      </w:r>
      <w:r w:rsidRPr="00DF3A8E">
        <w:rPr>
          <w:rFonts w:ascii="Georgia" w:hAnsi="Georgia"/>
          <w:sz w:val="20"/>
          <w:lang w:val="lt-LT"/>
        </w:rPr>
        <w:t>30 proc. subsidijos element</w:t>
      </w:r>
      <w:r>
        <w:rPr>
          <w:rFonts w:ascii="Georgia" w:hAnsi="Georgia"/>
          <w:sz w:val="20"/>
          <w:lang w:val="lt-LT"/>
        </w:rPr>
        <w:t>as</w:t>
      </w:r>
      <w:r w:rsidRPr="00DF3A8E">
        <w:rPr>
          <w:rFonts w:ascii="Georgia" w:hAnsi="Georgia"/>
          <w:sz w:val="20"/>
          <w:lang w:val="lt-LT"/>
        </w:rPr>
        <w:t xml:space="preserve"> (15 proc. paskolos palūkanų kompensavimas ir 15 proc.</w:t>
      </w:r>
      <w:r>
        <w:rPr>
          <w:rFonts w:ascii="Georgia" w:hAnsi="Georgia"/>
          <w:sz w:val="20"/>
          <w:lang w:val="lt-LT"/>
        </w:rPr>
        <w:t xml:space="preserve"> papildoma </w:t>
      </w:r>
      <w:r w:rsidRPr="00DF3A8E">
        <w:rPr>
          <w:rFonts w:ascii="Georgia" w:hAnsi="Georgia"/>
          <w:sz w:val="20"/>
          <w:lang w:val="lt-LT"/>
        </w:rPr>
        <w:t>subsidija)</w:t>
      </w:r>
      <w:r>
        <w:rPr>
          <w:rFonts w:ascii="Georgia" w:hAnsi="Georgia"/>
          <w:sz w:val="20"/>
          <w:lang w:val="lt-LT"/>
        </w:rPr>
        <w:t>,</w:t>
      </w:r>
      <w:r w:rsidRPr="00DF3A8E">
        <w:rPr>
          <w:rFonts w:ascii="Georgia" w:hAnsi="Georgia"/>
          <w:sz w:val="20"/>
          <w:lang w:val="lt-LT"/>
        </w:rPr>
        <w:t xml:space="preserve"> renovacijos projektas atsiperka per 19,8 met</w:t>
      </w:r>
      <w:r>
        <w:rPr>
          <w:rFonts w:ascii="Georgia" w:hAnsi="Georgia"/>
          <w:sz w:val="20"/>
          <w:lang w:val="lt-LT"/>
        </w:rPr>
        <w:t>ų (t.y. per 20 m. paskolos laikotarpį)</w:t>
      </w:r>
      <w:r w:rsidRPr="00DF3A8E">
        <w:rPr>
          <w:rFonts w:ascii="Georgia" w:hAnsi="Georgia"/>
          <w:sz w:val="20"/>
          <w:lang w:val="lt-LT"/>
        </w:rPr>
        <w:t xml:space="preserve">. </w:t>
      </w:r>
    </w:p>
    <w:p w14:paraId="661C8D72" w14:textId="77777777" w:rsidR="00280058" w:rsidRDefault="00280058" w:rsidP="00280058">
      <w:pPr>
        <w:jc w:val="both"/>
        <w:rPr>
          <w:rFonts w:ascii="Georgia" w:hAnsi="Georgia"/>
          <w:sz w:val="20"/>
          <w:lang w:val="lt-LT"/>
        </w:rPr>
      </w:pPr>
      <w:r>
        <w:rPr>
          <w:rFonts w:ascii="Georgia" w:hAnsi="Georgia"/>
          <w:sz w:val="20"/>
          <w:lang w:val="lt-LT"/>
        </w:rPr>
        <w:t>Projektų atsiperkamumo j</w:t>
      </w:r>
      <w:r w:rsidRPr="00DF3A8E">
        <w:rPr>
          <w:rFonts w:ascii="Georgia" w:hAnsi="Georgia"/>
          <w:sz w:val="20"/>
          <w:lang w:val="lt-LT"/>
        </w:rPr>
        <w:t xml:space="preserve">autrumo analizės rezultatai </w:t>
      </w:r>
      <w:r>
        <w:rPr>
          <w:rFonts w:ascii="Georgia" w:hAnsi="Georgia"/>
          <w:sz w:val="20"/>
          <w:lang w:val="lt-LT"/>
        </w:rPr>
        <w:t>vertinant</w:t>
      </w:r>
      <w:r w:rsidRPr="00DF3A8E">
        <w:rPr>
          <w:rFonts w:ascii="Georgia" w:hAnsi="Georgia"/>
          <w:sz w:val="20"/>
          <w:lang w:val="lt-LT"/>
        </w:rPr>
        <w:t xml:space="preserve"> šilumos kainos ir galimo sutaupymo </w:t>
      </w:r>
      <w:r>
        <w:rPr>
          <w:rFonts w:ascii="Georgia" w:hAnsi="Georgia"/>
          <w:sz w:val="20"/>
          <w:lang w:val="lt-LT"/>
        </w:rPr>
        <w:t>pokyčius (esant</w:t>
      </w:r>
      <w:r w:rsidRPr="00DF3A8E">
        <w:rPr>
          <w:rFonts w:ascii="Georgia" w:hAnsi="Georgia"/>
          <w:sz w:val="20"/>
          <w:lang w:val="lt-LT"/>
        </w:rPr>
        <w:t xml:space="preserve"> 30 proc. </w:t>
      </w:r>
      <w:r>
        <w:rPr>
          <w:rFonts w:ascii="Georgia" w:hAnsi="Georgia"/>
          <w:sz w:val="20"/>
          <w:lang w:val="lt-LT"/>
        </w:rPr>
        <w:t>subsidijos</w:t>
      </w:r>
      <w:r w:rsidRPr="00DF3A8E">
        <w:rPr>
          <w:rFonts w:ascii="Georgia" w:hAnsi="Georgia"/>
          <w:sz w:val="20"/>
          <w:lang w:val="lt-LT"/>
        </w:rPr>
        <w:t xml:space="preserve"> elementu</w:t>
      </w:r>
      <w:r>
        <w:rPr>
          <w:rFonts w:ascii="Georgia" w:hAnsi="Georgia"/>
          <w:sz w:val="20"/>
          <w:lang w:val="lt-LT"/>
        </w:rPr>
        <w:t>i ir</w:t>
      </w:r>
      <w:r w:rsidRPr="00DF3A8E">
        <w:rPr>
          <w:rFonts w:ascii="Georgia" w:hAnsi="Georgia"/>
          <w:sz w:val="20"/>
          <w:lang w:val="lt-LT"/>
        </w:rPr>
        <w:t xml:space="preserve"> nekeičiant kitų prielaidų</w:t>
      </w:r>
      <w:r>
        <w:rPr>
          <w:rFonts w:ascii="Georgia" w:hAnsi="Georgia"/>
          <w:sz w:val="20"/>
          <w:lang w:val="lt-LT"/>
        </w:rPr>
        <w:t>)</w:t>
      </w:r>
      <w:r w:rsidRPr="00DF3A8E">
        <w:rPr>
          <w:rFonts w:ascii="Georgia" w:hAnsi="Georgia"/>
          <w:sz w:val="20"/>
          <w:lang w:val="lt-LT"/>
        </w:rPr>
        <w:t xml:space="preserve"> pateikti </w:t>
      </w:r>
      <w:r>
        <w:rPr>
          <w:rFonts w:ascii="Georgia" w:hAnsi="Georgia"/>
          <w:sz w:val="20"/>
          <w:lang w:val="lt-LT"/>
        </w:rPr>
        <w:t xml:space="preserve">sekančioje </w:t>
      </w:r>
      <w:r w:rsidRPr="00DF3A8E">
        <w:rPr>
          <w:rFonts w:ascii="Georgia" w:hAnsi="Georgia"/>
          <w:sz w:val="20"/>
          <w:lang w:val="lt-LT"/>
        </w:rPr>
        <w:t>lentelėje.</w:t>
      </w:r>
    </w:p>
    <w:p w14:paraId="706B33CA" w14:textId="1BEDE732" w:rsidR="00280058" w:rsidRPr="00893A57" w:rsidRDefault="00280058" w:rsidP="00280058">
      <w:pPr>
        <w:pStyle w:val="Antrat"/>
        <w:jc w:val="both"/>
        <w:rPr>
          <w:lang w:val="lt-LT"/>
        </w:rPr>
      </w:pPr>
      <w:bookmarkStart w:id="121" w:name="_Toc460321625"/>
      <w:r w:rsidRPr="00302E80">
        <w:rPr>
          <w:lang w:val="lt-LT"/>
        </w:rPr>
        <w:t xml:space="preserve">Lentelė </w:t>
      </w:r>
      <w:r w:rsidRPr="00302E80">
        <w:rPr>
          <w:lang w:val="lt-LT"/>
        </w:rPr>
        <w:fldChar w:fldCharType="begin"/>
      </w:r>
      <w:r w:rsidRPr="00302E80">
        <w:rPr>
          <w:lang w:val="lt-LT"/>
        </w:rPr>
        <w:instrText xml:space="preserve"> SEQ Lentelė \* ARABIC </w:instrText>
      </w:r>
      <w:r w:rsidRPr="00302E80">
        <w:rPr>
          <w:lang w:val="lt-LT"/>
        </w:rPr>
        <w:fldChar w:fldCharType="separate"/>
      </w:r>
      <w:r w:rsidR="00AA3082">
        <w:rPr>
          <w:noProof/>
          <w:lang w:val="lt-LT"/>
        </w:rPr>
        <w:t>44</w:t>
      </w:r>
      <w:r w:rsidRPr="00302E80">
        <w:rPr>
          <w:lang w:val="lt-LT"/>
        </w:rPr>
        <w:fldChar w:fldCharType="end"/>
      </w:r>
      <w:r w:rsidRPr="00302E80">
        <w:rPr>
          <w:lang w:val="lt-LT"/>
        </w:rPr>
        <w:t xml:space="preserve">. </w:t>
      </w:r>
      <w:r w:rsidRPr="00893A57">
        <w:rPr>
          <w:lang w:val="lt-LT"/>
        </w:rPr>
        <w:t xml:space="preserve">Šilumos kainos ir galimo sutaupymo </w:t>
      </w:r>
      <w:r>
        <w:rPr>
          <w:lang w:val="lt-LT"/>
        </w:rPr>
        <w:t xml:space="preserve">santykio </w:t>
      </w:r>
      <w:r w:rsidRPr="00893A57">
        <w:rPr>
          <w:lang w:val="lt-LT"/>
        </w:rPr>
        <w:t xml:space="preserve">jautrumo analizės rezultatai </w:t>
      </w:r>
      <w:r>
        <w:rPr>
          <w:lang w:val="lt-LT"/>
        </w:rPr>
        <w:t>(</w:t>
      </w:r>
      <w:r w:rsidRPr="00893A57">
        <w:rPr>
          <w:lang w:val="lt-LT"/>
        </w:rPr>
        <w:t xml:space="preserve">su </w:t>
      </w:r>
      <w:r>
        <w:rPr>
          <w:lang w:val="lt-LT"/>
        </w:rPr>
        <w:t>subsidija)</w:t>
      </w:r>
      <w:bookmarkEnd w:id="121"/>
    </w:p>
    <w:tbl>
      <w:tblPr>
        <w:tblW w:w="5000" w:type="pct"/>
        <w:tblCellMar>
          <w:left w:w="28" w:type="dxa"/>
          <w:right w:w="28" w:type="dxa"/>
        </w:tblCellMar>
        <w:tblLook w:val="04A0" w:firstRow="1" w:lastRow="0" w:firstColumn="1" w:lastColumn="0" w:noHBand="0" w:noVBand="1"/>
      </w:tblPr>
      <w:tblGrid>
        <w:gridCol w:w="203"/>
        <w:gridCol w:w="542"/>
        <w:gridCol w:w="692"/>
        <w:gridCol w:w="692"/>
        <w:gridCol w:w="692"/>
        <w:gridCol w:w="692"/>
        <w:gridCol w:w="692"/>
        <w:gridCol w:w="692"/>
        <w:gridCol w:w="692"/>
        <w:gridCol w:w="692"/>
        <w:gridCol w:w="725"/>
        <w:gridCol w:w="692"/>
        <w:gridCol w:w="692"/>
        <w:gridCol w:w="692"/>
      </w:tblGrid>
      <w:tr w:rsidR="00280058" w:rsidRPr="002C025E" w14:paraId="75330C18" w14:textId="77777777" w:rsidTr="0005008F">
        <w:trPr>
          <w:tblHeader/>
        </w:trPr>
        <w:tc>
          <w:tcPr>
            <w:tcW w:w="150" w:type="pct"/>
            <w:tcBorders>
              <w:top w:val="nil"/>
              <w:left w:val="nil"/>
              <w:right w:val="nil"/>
            </w:tcBorders>
            <w:shd w:val="clear" w:color="auto" w:fill="auto"/>
            <w:noWrap/>
            <w:vAlign w:val="bottom"/>
            <w:hideMark/>
          </w:tcPr>
          <w:p w14:paraId="5BAEC35E" w14:textId="77777777" w:rsidR="00280058" w:rsidRPr="00DF3A8E" w:rsidRDefault="00280058" w:rsidP="00BB18F6">
            <w:pPr>
              <w:keepNext/>
              <w:spacing w:after="0" w:line="240" w:lineRule="auto"/>
              <w:rPr>
                <w:rFonts w:ascii="Arial" w:eastAsia="Times New Roman" w:hAnsi="Arial" w:cs="Arial"/>
                <w:sz w:val="18"/>
                <w:szCs w:val="18"/>
                <w:lang w:val="lt-LT" w:eastAsia="lt-LT"/>
              </w:rPr>
            </w:pPr>
          </w:p>
        </w:tc>
        <w:tc>
          <w:tcPr>
            <w:tcW w:w="4850" w:type="pct"/>
            <w:gridSpan w:val="13"/>
            <w:tcBorders>
              <w:top w:val="nil"/>
              <w:left w:val="nil"/>
              <w:right w:val="nil"/>
            </w:tcBorders>
            <w:shd w:val="clear" w:color="000000" w:fill="FFC18A"/>
            <w:noWrap/>
            <w:vAlign w:val="bottom"/>
            <w:hideMark/>
          </w:tcPr>
          <w:p w14:paraId="5A89D812" w14:textId="77777777" w:rsidR="00280058" w:rsidRPr="00DF3A8E" w:rsidRDefault="00280058" w:rsidP="00BB18F6">
            <w:pPr>
              <w:keepNext/>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Energijos sutaupymai </w:t>
            </w:r>
          </w:p>
        </w:tc>
      </w:tr>
      <w:tr w:rsidR="00280058" w:rsidRPr="002C025E" w14:paraId="118032DC" w14:textId="77777777" w:rsidTr="0005008F">
        <w:trPr>
          <w:tblHeader/>
        </w:trPr>
        <w:tc>
          <w:tcPr>
            <w:tcW w:w="675" w:type="pct"/>
            <w:gridSpan w:val="2"/>
            <w:tcBorders>
              <w:top w:val="nil"/>
              <w:left w:val="nil"/>
              <w:bottom w:val="nil"/>
              <w:right w:val="nil"/>
            </w:tcBorders>
            <w:shd w:val="clear" w:color="auto" w:fill="auto"/>
            <w:noWrap/>
            <w:vAlign w:val="bottom"/>
            <w:hideMark/>
          </w:tcPr>
          <w:p w14:paraId="4263E197"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color w:val="FFFFFF"/>
                <w:sz w:val="18"/>
                <w:szCs w:val="18"/>
                <w:lang w:val="lt-LT" w:eastAsia="lt-LT"/>
              </w:rPr>
              <w:t xml:space="preserve">            19.8 </w:t>
            </w:r>
          </w:p>
        </w:tc>
        <w:tc>
          <w:tcPr>
            <w:tcW w:w="389" w:type="pct"/>
            <w:tcBorders>
              <w:top w:val="nil"/>
              <w:left w:val="nil"/>
              <w:bottom w:val="nil"/>
              <w:right w:val="nil"/>
            </w:tcBorders>
            <w:shd w:val="clear" w:color="auto" w:fill="auto"/>
            <w:noWrap/>
            <w:vAlign w:val="bottom"/>
            <w:hideMark/>
          </w:tcPr>
          <w:p w14:paraId="0CD234DA"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20% </w:t>
            </w:r>
          </w:p>
        </w:tc>
        <w:tc>
          <w:tcPr>
            <w:tcW w:w="356" w:type="pct"/>
            <w:tcBorders>
              <w:top w:val="nil"/>
              <w:left w:val="nil"/>
              <w:bottom w:val="nil"/>
              <w:right w:val="nil"/>
            </w:tcBorders>
            <w:shd w:val="clear" w:color="auto" w:fill="auto"/>
            <w:noWrap/>
            <w:vAlign w:val="bottom"/>
            <w:hideMark/>
          </w:tcPr>
          <w:p w14:paraId="77423E3F"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25% </w:t>
            </w:r>
          </w:p>
        </w:tc>
        <w:tc>
          <w:tcPr>
            <w:tcW w:w="357" w:type="pct"/>
            <w:tcBorders>
              <w:top w:val="nil"/>
              <w:left w:val="nil"/>
              <w:bottom w:val="nil"/>
              <w:right w:val="nil"/>
            </w:tcBorders>
            <w:shd w:val="clear" w:color="auto" w:fill="auto"/>
            <w:noWrap/>
            <w:vAlign w:val="bottom"/>
            <w:hideMark/>
          </w:tcPr>
          <w:p w14:paraId="435AF9C9"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30% </w:t>
            </w:r>
          </w:p>
        </w:tc>
        <w:tc>
          <w:tcPr>
            <w:tcW w:w="357" w:type="pct"/>
            <w:tcBorders>
              <w:top w:val="nil"/>
              <w:left w:val="nil"/>
              <w:bottom w:val="nil"/>
              <w:right w:val="nil"/>
            </w:tcBorders>
            <w:shd w:val="clear" w:color="auto" w:fill="auto"/>
            <w:noWrap/>
            <w:vAlign w:val="bottom"/>
            <w:hideMark/>
          </w:tcPr>
          <w:p w14:paraId="142D7A73"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35% </w:t>
            </w:r>
          </w:p>
        </w:tc>
        <w:tc>
          <w:tcPr>
            <w:tcW w:w="357" w:type="pct"/>
            <w:tcBorders>
              <w:top w:val="nil"/>
              <w:left w:val="nil"/>
              <w:bottom w:val="nil"/>
              <w:right w:val="nil"/>
            </w:tcBorders>
            <w:shd w:val="clear" w:color="000000" w:fill="auto"/>
            <w:noWrap/>
            <w:vAlign w:val="bottom"/>
            <w:hideMark/>
          </w:tcPr>
          <w:p w14:paraId="2FBF4CDE" w14:textId="77777777" w:rsidR="00280058" w:rsidRPr="00F527BB" w:rsidRDefault="00280058" w:rsidP="00BB18F6">
            <w:pPr>
              <w:keepNext/>
              <w:spacing w:after="0" w:line="240" w:lineRule="auto"/>
              <w:jc w:val="right"/>
              <w:rPr>
                <w:rFonts w:ascii="Arial" w:eastAsia="Times New Roman" w:hAnsi="Arial" w:cs="Arial"/>
                <w:b/>
                <w:bCs/>
                <w:sz w:val="18"/>
                <w:szCs w:val="18"/>
                <w:lang w:val="lt-LT" w:eastAsia="lt-LT"/>
              </w:rPr>
            </w:pPr>
            <w:r w:rsidRPr="00F527BB">
              <w:rPr>
                <w:rFonts w:ascii="Arial" w:eastAsia="Times New Roman" w:hAnsi="Arial" w:cs="Arial"/>
                <w:b/>
                <w:bCs/>
                <w:sz w:val="18"/>
                <w:szCs w:val="18"/>
                <w:lang w:val="lt-LT" w:eastAsia="lt-LT"/>
              </w:rPr>
              <w:t xml:space="preserve">40% </w:t>
            </w:r>
          </w:p>
        </w:tc>
        <w:tc>
          <w:tcPr>
            <w:tcW w:w="357" w:type="pct"/>
            <w:tcBorders>
              <w:top w:val="nil"/>
              <w:left w:val="nil"/>
              <w:bottom w:val="nil"/>
              <w:right w:val="nil"/>
            </w:tcBorders>
            <w:shd w:val="clear" w:color="auto" w:fill="auto"/>
            <w:noWrap/>
            <w:vAlign w:val="bottom"/>
            <w:hideMark/>
          </w:tcPr>
          <w:p w14:paraId="58F4B83D"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45% </w:t>
            </w:r>
          </w:p>
        </w:tc>
        <w:tc>
          <w:tcPr>
            <w:tcW w:w="357" w:type="pct"/>
            <w:tcBorders>
              <w:top w:val="nil"/>
              <w:left w:val="nil"/>
              <w:bottom w:val="nil"/>
              <w:right w:val="nil"/>
            </w:tcBorders>
            <w:shd w:val="clear" w:color="auto" w:fill="auto"/>
            <w:noWrap/>
            <w:vAlign w:val="bottom"/>
            <w:hideMark/>
          </w:tcPr>
          <w:p w14:paraId="3F4CE2F6"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50% </w:t>
            </w:r>
          </w:p>
        </w:tc>
        <w:tc>
          <w:tcPr>
            <w:tcW w:w="357" w:type="pct"/>
            <w:tcBorders>
              <w:top w:val="nil"/>
              <w:left w:val="nil"/>
              <w:bottom w:val="nil"/>
              <w:right w:val="nil"/>
            </w:tcBorders>
            <w:shd w:val="clear" w:color="auto" w:fill="auto"/>
            <w:noWrap/>
            <w:vAlign w:val="bottom"/>
            <w:hideMark/>
          </w:tcPr>
          <w:p w14:paraId="03ABD94D"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55% </w:t>
            </w:r>
          </w:p>
        </w:tc>
        <w:tc>
          <w:tcPr>
            <w:tcW w:w="373" w:type="pct"/>
            <w:tcBorders>
              <w:top w:val="nil"/>
              <w:left w:val="nil"/>
              <w:bottom w:val="nil"/>
              <w:right w:val="nil"/>
            </w:tcBorders>
            <w:shd w:val="clear" w:color="auto" w:fill="auto"/>
            <w:noWrap/>
            <w:vAlign w:val="bottom"/>
            <w:hideMark/>
          </w:tcPr>
          <w:p w14:paraId="72BC21F5"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60% </w:t>
            </w:r>
          </w:p>
        </w:tc>
        <w:tc>
          <w:tcPr>
            <w:tcW w:w="357" w:type="pct"/>
            <w:tcBorders>
              <w:top w:val="nil"/>
              <w:left w:val="nil"/>
              <w:bottom w:val="nil"/>
              <w:right w:val="nil"/>
            </w:tcBorders>
            <w:shd w:val="clear" w:color="auto" w:fill="auto"/>
            <w:noWrap/>
            <w:vAlign w:val="bottom"/>
            <w:hideMark/>
          </w:tcPr>
          <w:p w14:paraId="366F9CAE"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65% </w:t>
            </w:r>
          </w:p>
        </w:tc>
        <w:tc>
          <w:tcPr>
            <w:tcW w:w="357" w:type="pct"/>
            <w:tcBorders>
              <w:top w:val="nil"/>
              <w:left w:val="nil"/>
              <w:bottom w:val="nil"/>
              <w:right w:val="nil"/>
            </w:tcBorders>
            <w:shd w:val="clear" w:color="auto" w:fill="auto"/>
            <w:noWrap/>
            <w:vAlign w:val="bottom"/>
            <w:hideMark/>
          </w:tcPr>
          <w:p w14:paraId="72DA8F9B"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70% </w:t>
            </w:r>
          </w:p>
        </w:tc>
        <w:tc>
          <w:tcPr>
            <w:tcW w:w="353" w:type="pct"/>
            <w:tcBorders>
              <w:top w:val="nil"/>
              <w:left w:val="nil"/>
              <w:bottom w:val="nil"/>
              <w:right w:val="nil"/>
            </w:tcBorders>
            <w:shd w:val="clear" w:color="auto" w:fill="auto"/>
            <w:noWrap/>
            <w:vAlign w:val="bottom"/>
            <w:hideMark/>
          </w:tcPr>
          <w:p w14:paraId="45C429B1"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75% </w:t>
            </w:r>
          </w:p>
        </w:tc>
      </w:tr>
      <w:tr w:rsidR="00280058" w:rsidRPr="002C025E" w14:paraId="3212A52B" w14:textId="77777777" w:rsidTr="0005008F">
        <w:tc>
          <w:tcPr>
            <w:tcW w:w="150" w:type="pct"/>
            <w:vMerge w:val="restart"/>
            <w:tcBorders>
              <w:top w:val="nil"/>
              <w:left w:val="nil"/>
              <w:bottom w:val="nil"/>
              <w:right w:val="nil"/>
            </w:tcBorders>
            <w:shd w:val="clear" w:color="000000" w:fill="D9D9D9"/>
            <w:textDirection w:val="btLr"/>
            <w:vAlign w:val="center"/>
            <w:hideMark/>
          </w:tcPr>
          <w:p w14:paraId="7E2BE74D" w14:textId="77777777" w:rsidR="00280058" w:rsidRPr="00DF3A8E" w:rsidRDefault="00280058" w:rsidP="00BB18F6">
            <w:pPr>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Energijos kaina</w:t>
            </w:r>
            <w:r>
              <w:rPr>
                <w:rFonts w:ascii="Arial" w:eastAsia="Times New Roman" w:hAnsi="Arial" w:cs="Arial"/>
                <w:b/>
                <w:bCs/>
                <w:sz w:val="18"/>
                <w:szCs w:val="18"/>
                <w:lang w:val="lt-LT" w:eastAsia="lt-LT"/>
              </w:rPr>
              <w:t>, Lt</w:t>
            </w:r>
            <w:r w:rsidRPr="00DF3A8E">
              <w:rPr>
                <w:rFonts w:ascii="Arial" w:eastAsia="Times New Roman" w:hAnsi="Arial" w:cs="Arial"/>
                <w:b/>
                <w:bCs/>
                <w:sz w:val="18"/>
                <w:szCs w:val="18"/>
                <w:lang w:val="lt-LT" w:eastAsia="lt-LT"/>
              </w:rPr>
              <w:t xml:space="preserve"> </w:t>
            </w:r>
          </w:p>
        </w:tc>
        <w:tc>
          <w:tcPr>
            <w:tcW w:w="525" w:type="pct"/>
            <w:tcBorders>
              <w:top w:val="nil"/>
              <w:left w:val="nil"/>
              <w:bottom w:val="nil"/>
              <w:right w:val="nil"/>
            </w:tcBorders>
            <w:shd w:val="clear" w:color="auto" w:fill="auto"/>
            <w:noWrap/>
            <w:vAlign w:val="bottom"/>
            <w:hideMark/>
          </w:tcPr>
          <w:p w14:paraId="75557CD1" w14:textId="77777777"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0.26</w:t>
            </w:r>
          </w:p>
        </w:tc>
        <w:tc>
          <w:tcPr>
            <w:tcW w:w="389" w:type="pct"/>
            <w:tcBorders>
              <w:top w:val="nil"/>
              <w:left w:val="nil"/>
              <w:bottom w:val="nil"/>
              <w:right w:val="nil"/>
            </w:tcBorders>
            <w:shd w:val="clear" w:color="auto" w:fill="auto"/>
            <w:noWrap/>
            <w:vAlign w:val="bottom"/>
          </w:tcPr>
          <w:p w14:paraId="6BA243E7" w14:textId="77777777" w:rsidR="00280058" w:rsidRPr="00DF3A8E" w:rsidRDefault="00280058" w:rsidP="00BB18F6">
            <w:pPr>
              <w:spacing w:after="0" w:line="240" w:lineRule="auto"/>
              <w:jc w:val="center"/>
              <w:rPr>
                <w:rFonts w:ascii="Arial" w:eastAsia="Times New Roman" w:hAnsi="Arial" w:cs="Arial"/>
                <w:sz w:val="18"/>
                <w:szCs w:val="18"/>
                <w:lang w:val="lt-LT" w:eastAsia="lt-LT"/>
              </w:rPr>
            </w:pPr>
          </w:p>
        </w:tc>
        <w:tc>
          <w:tcPr>
            <w:tcW w:w="356" w:type="pct"/>
            <w:tcBorders>
              <w:top w:val="nil"/>
              <w:left w:val="nil"/>
              <w:bottom w:val="nil"/>
              <w:right w:val="nil"/>
            </w:tcBorders>
            <w:shd w:val="clear" w:color="000000" w:fill="FFC7CE"/>
            <w:noWrap/>
            <w:vAlign w:val="bottom"/>
            <w:hideMark/>
          </w:tcPr>
          <w:p w14:paraId="4B13D700"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54.6 </w:t>
            </w:r>
          </w:p>
        </w:tc>
        <w:tc>
          <w:tcPr>
            <w:tcW w:w="357" w:type="pct"/>
            <w:tcBorders>
              <w:top w:val="nil"/>
              <w:left w:val="nil"/>
              <w:bottom w:val="nil"/>
              <w:right w:val="nil"/>
            </w:tcBorders>
            <w:shd w:val="clear" w:color="000000" w:fill="FFC7CE"/>
            <w:noWrap/>
            <w:vAlign w:val="bottom"/>
            <w:hideMark/>
          </w:tcPr>
          <w:p w14:paraId="532BEBFF"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37.2 </w:t>
            </w:r>
          </w:p>
        </w:tc>
        <w:tc>
          <w:tcPr>
            <w:tcW w:w="357" w:type="pct"/>
            <w:tcBorders>
              <w:top w:val="nil"/>
              <w:left w:val="nil"/>
              <w:bottom w:val="nil"/>
              <w:right w:val="nil"/>
            </w:tcBorders>
            <w:shd w:val="clear" w:color="000000" w:fill="FFC7CE"/>
            <w:noWrap/>
            <w:vAlign w:val="bottom"/>
            <w:hideMark/>
          </w:tcPr>
          <w:p w14:paraId="57097D09"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28.7 </w:t>
            </w:r>
          </w:p>
        </w:tc>
        <w:tc>
          <w:tcPr>
            <w:tcW w:w="357" w:type="pct"/>
            <w:tcBorders>
              <w:top w:val="nil"/>
              <w:left w:val="nil"/>
              <w:bottom w:val="nil"/>
              <w:right w:val="nil"/>
            </w:tcBorders>
            <w:shd w:val="clear" w:color="000000" w:fill="FFC7CE"/>
            <w:noWrap/>
            <w:vAlign w:val="bottom"/>
            <w:hideMark/>
          </w:tcPr>
          <w:p w14:paraId="220EB596"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23.5 </w:t>
            </w:r>
          </w:p>
        </w:tc>
        <w:tc>
          <w:tcPr>
            <w:tcW w:w="357" w:type="pct"/>
            <w:tcBorders>
              <w:top w:val="nil"/>
              <w:left w:val="nil"/>
              <w:bottom w:val="nil"/>
              <w:right w:val="nil"/>
            </w:tcBorders>
            <w:shd w:val="clear" w:color="000000" w:fill="C6EFCE"/>
            <w:noWrap/>
            <w:vAlign w:val="bottom"/>
            <w:hideMark/>
          </w:tcPr>
          <w:p w14:paraId="295903E0"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19.9 </w:t>
            </w:r>
          </w:p>
        </w:tc>
        <w:tc>
          <w:tcPr>
            <w:tcW w:w="357" w:type="pct"/>
            <w:tcBorders>
              <w:top w:val="nil"/>
              <w:left w:val="nil"/>
              <w:bottom w:val="nil"/>
              <w:right w:val="nil"/>
            </w:tcBorders>
            <w:shd w:val="clear" w:color="000000" w:fill="C6EFCE"/>
            <w:noWrap/>
            <w:vAlign w:val="bottom"/>
            <w:hideMark/>
          </w:tcPr>
          <w:p w14:paraId="56F66DA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17.3 </w:t>
            </w:r>
          </w:p>
        </w:tc>
        <w:tc>
          <w:tcPr>
            <w:tcW w:w="357" w:type="pct"/>
            <w:tcBorders>
              <w:top w:val="nil"/>
              <w:left w:val="nil"/>
              <w:bottom w:val="nil"/>
              <w:right w:val="nil"/>
            </w:tcBorders>
            <w:shd w:val="clear" w:color="000000" w:fill="C6EFCE"/>
            <w:noWrap/>
            <w:vAlign w:val="bottom"/>
            <w:hideMark/>
          </w:tcPr>
          <w:p w14:paraId="46DAAD16"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15.3 </w:t>
            </w:r>
          </w:p>
        </w:tc>
        <w:tc>
          <w:tcPr>
            <w:tcW w:w="373" w:type="pct"/>
            <w:tcBorders>
              <w:top w:val="nil"/>
              <w:left w:val="nil"/>
              <w:bottom w:val="nil"/>
              <w:right w:val="nil"/>
            </w:tcBorders>
            <w:shd w:val="clear" w:color="000000" w:fill="C6EFCE"/>
            <w:noWrap/>
            <w:vAlign w:val="bottom"/>
            <w:hideMark/>
          </w:tcPr>
          <w:p w14:paraId="4E2F0F0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13.7 </w:t>
            </w:r>
          </w:p>
        </w:tc>
        <w:tc>
          <w:tcPr>
            <w:tcW w:w="357" w:type="pct"/>
            <w:tcBorders>
              <w:top w:val="nil"/>
              <w:left w:val="nil"/>
              <w:bottom w:val="nil"/>
              <w:right w:val="nil"/>
            </w:tcBorders>
            <w:shd w:val="clear" w:color="000000" w:fill="C6EFCE"/>
            <w:noWrap/>
            <w:vAlign w:val="bottom"/>
            <w:hideMark/>
          </w:tcPr>
          <w:p w14:paraId="7E5FE71D"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12.5 </w:t>
            </w:r>
          </w:p>
        </w:tc>
        <w:tc>
          <w:tcPr>
            <w:tcW w:w="357" w:type="pct"/>
            <w:tcBorders>
              <w:top w:val="nil"/>
              <w:left w:val="nil"/>
              <w:bottom w:val="nil"/>
              <w:right w:val="nil"/>
            </w:tcBorders>
            <w:shd w:val="clear" w:color="000000" w:fill="C6EFCE"/>
            <w:noWrap/>
            <w:vAlign w:val="bottom"/>
            <w:hideMark/>
          </w:tcPr>
          <w:p w14:paraId="40323B7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11.4 </w:t>
            </w:r>
          </w:p>
        </w:tc>
        <w:tc>
          <w:tcPr>
            <w:tcW w:w="353" w:type="pct"/>
            <w:tcBorders>
              <w:top w:val="nil"/>
              <w:left w:val="nil"/>
              <w:bottom w:val="nil"/>
              <w:right w:val="nil"/>
            </w:tcBorders>
            <w:shd w:val="clear" w:color="000000" w:fill="C6EFCE"/>
            <w:noWrap/>
            <w:vAlign w:val="bottom"/>
            <w:hideMark/>
          </w:tcPr>
          <w:p w14:paraId="622149A2"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10.5 </w:t>
            </w:r>
          </w:p>
        </w:tc>
      </w:tr>
      <w:tr w:rsidR="00280058" w:rsidRPr="002C025E" w14:paraId="5C192B51" w14:textId="77777777" w:rsidTr="0005008F">
        <w:tc>
          <w:tcPr>
            <w:tcW w:w="150" w:type="pct"/>
            <w:vMerge/>
            <w:tcBorders>
              <w:top w:val="nil"/>
              <w:left w:val="nil"/>
              <w:bottom w:val="nil"/>
              <w:right w:val="nil"/>
            </w:tcBorders>
            <w:vAlign w:val="center"/>
            <w:hideMark/>
          </w:tcPr>
          <w:p w14:paraId="105729E2"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25" w:type="pct"/>
            <w:tcBorders>
              <w:top w:val="nil"/>
              <w:left w:val="nil"/>
              <w:bottom w:val="nil"/>
              <w:right w:val="nil"/>
            </w:tcBorders>
            <w:shd w:val="clear" w:color="auto" w:fill="auto"/>
            <w:noWrap/>
            <w:vAlign w:val="bottom"/>
            <w:hideMark/>
          </w:tcPr>
          <w:p w14:paraId="7AEE6C9C" w14:textId="77777777"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0.27</w:t>
            </w:r>
          </w:p>
        </w:tc>
        <w:tc>
          <w:tcPr>
            <w:tcW w:w="389" w:type="pct"/>
            <w:tcBorders>
              <w:top w:val="nil"/>
              <w:left w:val="nil"/>
              <w:bottom w:val="nil"/>
              <w:right w:val="nil"/>
            </w:tcBorders>
            <w:shd w:val="clear" w:color="000000" w:fill="FFC7CE"/>
            <w:noWrap/>
            <w:vAlign w:val="bottom"/>
            <w:hideMark/>
          </w:tcPr>
          <w:p w14:paraId="27C98EA4"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112.3 </w:t>
            </w:r>
          </w:p>
        </w:tc>
        <w:tc>
          <w:tcPr>
            <w:tcW w:w="356" w:type="pct"/>
            <w:tcBorders>
              <w:top w:val="nil"/>
              <w:left w:val="nil"/>
              <w:bottom w:val="nil"/>
              <w:right w:val="nil"/>
            </w:tcBorders>
            <w:shd w:val="clear" w:color="000000" w:fill="FFC7CE"/>
            <w:noWrap/>
            <w:vAlign w:val="bottom"/>
            <w:hideMark/>
          </w:tcPr>
          <w:p w14:paraId="7A71E7B1"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49.9 </w:t>
            </w:r>
          </w:p>
        </w:tc>
        <w:tc>
          <w:tcPr>
            <w:tcW w:w="357" w:type="pct"/>
            <w:tcBorders>
              <w:top w:val="nil"/>
              <w:left w:val="nil"/>
              <w:bottom w:val="nil"/>
              <w:right w:val="nil"/>
            </w:tcBorders>
            <w:shd w:val="clear" w:color="000000" w:fill="FFC7CE"/>
            <w:noWrap/>
            <w:vAlign w:val="bottom"/>
            <w:hideMark/>
          </w:tcPr>
          <w:p w14:paraId="7ED26164"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34.8 </w:t>
            </w:r>
          </w:p>
        </w:tc>
        <w:tc>
          <w:tcPr>
            <w:tcW w:w="357" w:type="pct"/>
            <w:tcBorders>
              <w:top w:val="nil"/>
              <w:left w:val="nil"/>
              <w:bottom w:val="nil"/>
              <w:right w:val="nil"/>
            </w:tcBorders>
            <w:shd w:val="clear" w:color="000000" w:fill="FFC7CE"/>
            <w:noWrap/>
            <w:vAlign w:val="bottom"/>
            <w:hideMark/>
          </w:tcPr>
          <w:p w14:paraId="67EF2F57"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27.1 </w:t>
            </w:r>
          </w:p>
        </w:tc>
        <w:tc>
          <w:tcPr>
            <w:tcW w:w="357" w:type="pct"/>
            <w:tcBorders>
              <w:top w:val="nil"/>
              <w:left w:val="nil"/>
              <w:bottom w:val="nil"/>
              <w:right w:val="nil"/>
            </w:tcBorders>
            <w:shd w:val="clear" w:color="000000" w:fill="FFC7CE"/>
            <w:noWrap/>
            <w:vAlign w:val="bottom"/>
            <w:hideMark/>
          </w:tcPr>
          <w:p w14:paraId="5DF7F9BD"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22.2 </w:t>
            </w:r>
          </w:p>
        </w:tc>
        <w:tc>
          <w:tcPr>
            <w:tcW w:w="357" w:type="pct"/>
            <w:tcBorders>
              <w:top w:val="nil"/>
              <w:left w:val="nil"/>
              <w:bottom w:val="nil"/>
              <w:right w:val="nil"/>
            </w:tcBorders>
            <w:shd w:val="clear" w:color="000000" w:fill="C6EFCE"/>
            <w:noWrap/>
            <w:vAlign w:val="bottom"/>
            <w:hideMark/>
          </w:tcPr>
          <w:p w14:paraId="0D34BF66"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18.9 </w:t>
            </w:r>
          </w:p>
        </w:tc>
        <w:tc>
          <w:tcPr>
            <w:tcW w:w="357" w:type="pct"/>
            <w:tcBorders>
              <w:top w:val="nil"/>
              <w:left w:val="nil"/>
              <w:bottom w:val="nil"/>
              <w:right w:val="nil"/>
            </w:tcBorders>
            <w:shd w:val="clear" w:color="000000" w:fill="C6EFCE"/>
            <w:noWrap/>
            <w:vAlign w:val="bottom"/>
            <w:hideMark/>
          </w:tcPr>
          <w:p w14:paraId="3B9F6992"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16.5 </w:t>
            </w:r>
          </w:p>
        </w:tc>
        <w:tc>
          <w:tcPr>
            <w:tcW w:w="357" w:type="pct"/>
            <w:tcBorders>
              <w:top w:val="nil"/>
              <w:left w:val="nil"/>
              <w:bottom w:val="nil"/>
              <w:right w:val="nil"/>
            </w:tcBorders>
            <w:shd w:val="clear" w:color="000000" w:fill="C6EFCE"/>
            <w:noWrap/>
            <w:vAlign w:val="bottom"/>
            <w:hideMark/>
          </w:tcPr>
          <w:p w14:paraId="6DA1E4B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14.6 </w:t>
            </w:r>
          </w:p>
        </w:tc>
        <w:tc>
          <w:tcPr>
            <w:tcW w:w="373" w:type="pct"/>
            <w:tcBorders>
              <w:top w:val="nil"/>
              <w:left w:val="nil"/>
              <w:bottom w:val="nil"/>
              <w:right w:val="nil"/>
            </w:tcBorders>
            <w:shd w:val="clear" w:color="000000" w:fill="C6EFCE"/>
            <w:noWrap/>
            <w:vAlign w:val="bottom"/>
            <w:hideMark/>
          </w:tcPr>
          <w:p w14:paraId="76D16400"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13.1 </w:t>
            </w:r>
          </w:p>
        </w:tc>
        <w:tc>
          <w:tcPr>
            <w:tcW w:w="357" w:type="pct"/>
            <w:tcBorders>
              <w:top w:val="nil"/>
              <w:left w:val="nil"/>
              <w:bottom w:val="nil"/>
              <w:right w:val="nil"/>
            </w:tcBorders>
            <w:shd w:val="clear" w:color="000000" w:fill="C6EFCE"/>
            <w:noWrap/>
            <w:vAlign w:val="bottom"/>
            <w:hideMark/>
          </w:tcPr>
          <w:p w14:paraId="59F65480"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11.9 </w:t>
            </w:r>
          </w:p>
        </w:tc>
        <w:tc>
          <w:tcPr>
            <w:tcW w:w="357" w:type="pct"/>
            <w:tcBorders>
              <w:top w:val="nil"/>
              <w:left w:val="nil"/>
              <w:bottom w:val="nil"/>
              <w:right w:val="nil"/>
            </w:tcBorders>
            <w:shd w:val="clear" w:color="000000" w:fill="C6EFCE"/>
            <w:noWrap/>
            <w:vAlign w:val="bottom"/>
            <w:hideMark/>
          </w:tcPr>
          <w:p w14:paraId="5A14A01E"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10.9 </w:t>
            </w:r>
          </w:p>
        </w:tc>
        <w:tc>
          <w:tcPr>
            <w:tcW w:w="353" w:type="pct"/>
            <w:tcBorders>
              <w:top w:val="nil"/>
              <w:left w:val="nil"/>
              <w:bottom w:val="nil"/>
              <w:right w:val="nil"/>
            </w:tcBorders>
            <w:shd w:val="clear" w:color="000000" w:fill="C6EFCE"/>
            <w:noWrap/>
            <w:vAlign w:val="bottom"/>
            <w:hideMark/>
          </w:tcPr>
          <w:p w14:paraId="644F9522"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10.1 </w:t>
            </w:r>
          </w:p>
        </w:tc>
      </w:tr>
      <w:tr w:rsidR="00280058" w:rsidRPr="002C025E" w14:paraId="7F30C5C8" w14:textId="77777777" w:rsidTr="0005008F">
        <w:tc>
          <w:tcPr>
            <w:tcW w:w="150" w:type="pct"/>
            <w:vMerge/>
            <w:tcBorders>
              <w:top w:val="nil"/>
              <w:left w:val="nil"/>
              <w:bottom w:val="nil"/>
              <w:right w:val="nil"/>
            </w:tcBorders>
            <w:vAlign w:val="center"/>
            <w:hideMark/>
          </w:tcPr>
          <w:p w14:paraId="4C9FA6D4"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25" w:type="pct"/>
            <w:tcBorders>
              <w:top w:val="nil"/>
              <w:left w:val="nil"/>
              <w:bottom w:val="nil"/>
              <w:right w:val="nil"/>
            </w:tcBorders>
            <w:shd w:val="clear" w:color="auto" w:fill="auto"/>
            <w:noWrap/>
            <w:vAlign w:val="bottom"/>
            <w:hideMark/>
          </w:tcPr>
          <w:p w14:paraId="23CFFC24" w14:textId="77777777"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0.28</w:t>
            </w:r>
          </w:p>
        </w:tc>
        <w:tc>
          <w:tcPr>
            <w:tcW w:w="389" w:type="pct"/>
            <w:tcBorders>
              <w:top w:val="nil"/>
              <w:left w:val="nil"/>
              <w:bottom w:val="nil"/>
              <w:right w:val="nil"/>
            </w:tcBorders>
            <w:shd w:val="clear" w:color="000000" w:fill="FFC7CE"/>
            <w:noWrap/>
            <w:vAlign w:val="bottom"/>
            <w:hideMark/>
          </w:tcPr>
          <w:p w14:paraId="7D08C4D8"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89.7 </w:t>
            </w:r>
          </w:p>
        </w:tc>
        <w:tc>
          <w:tcPr>
            <w:tcW w:w="356" w:type="pct"/>
            <w:tcBorders>
              <w:top w:val="nil"/>
              <w:left w:val="nil"/>
              <w:bottom w:val="nil"/>
              <w:right w:val="nil"/>
            </w:tcBorders>
            <w:shd w:val="clear" w:color="000000" w:fill="FFC7CE"/>
            <w:noWrap/>
            <w:vAlign w:val="bottom"/>
            <w:hideMark/>
          </w:tcPr>
          <w:p w14:paraId="54749584"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46.0 </w:t>
            </w:r>
          </w:p>
        </w:tc>
        <w:tc>
          <w:tcPr>
            <w:tcW w:w="357" w:type="pct"/>
            <w:tcBorders>
              <w:top w:val="nil"/>
              <w:left w:val="nil"/>
              <w:bottom w:val="nil"/>
              <w:right w:val="nil"/>
            </w:tcBorders>
            <w:shd w:val="clear" w:color="000000" w:fill="FFC7CE"/>
            <w:noWrap/>
            <w:vAlign w:val="bottom"/>
            <w:hideMark/>
          </w:tcPr>
          <w:p w14:paraId="1798DD52"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32.7 </w:t>
            </w:r>
          </w:p>
        </w:tc>
        <w:tc>
          <w:tcPr>
            <w:tcW w:w="357" w:type="pct"/>
            <w:tcBorders>
              <w:top w:val="nil"/>
              <w:left w:val="nil"/>
              <w:bottom w:val="nil"/>
              <w:right w:val="nil"/>
            </w:tcBorders>
            <w:shd w:val="clear" w:color="000000" w:fill="FFC7CE"/>
            <w:noWrap/>
            <w:vAlign w:val="bottom"/>
            <w:hideMark/>
          </w:tcPr>
          <w:p w14:paraId="5E6F49A3"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25.6 </w:t>
            </w:r>
          </w:p>
        </w:tc>
        <w:tc>
          <w:tcPr>
            <w:tcW w:w="357" w:type="pct"/>
            <w:tcBorders>
              <w:top w:val="nil"/>
              <w:left w:val="nil"/>
              <w:bottom w:val="nil"/>
              <w:right w:val="nil"/>
            </w:tcBorders>
            <w:shd w:val="clear" w:color="000000" w:fill="FFC7CE"/>
            <w:noWrap/>
            <w:vAlign w:val="bottom"/>
            <w:hideMark/>
          </w:tcPr>
          <w:p w14:paraId="6E68CA8E"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21.1 </w:t>
            </w:r>
          </w:p>
        </w:tc>
        <w:tc>
          <w:tcPr>
            <w:tcW w:w="357" w:type="pct"/>
            <w:tcBorders>
              <w:top w:val="nil"/>
              <w:left w:val="nil"/>
              <w:bottom w:val="nil"/>
              <w:right w:val="nil"/>
            </w:tcBorders>
            <w:shd w:val="clear" w:color="000000" w:fill="C6EFCE"/>
            <w:noWrap/>
            <w:vAlign w:val="bottom"/>
            <w:hideMark/>
          </w:tcPr>
          <w:p w14:paraId="452F8958"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18.0 </w:t>
            </w:r>
          </w:p>
        </w:tc>
        <w:tc>
          <w:tcPr>
            <w:tcW w:w="357" w:type="pct"/>
            <w:tcBorders>
              <w:top w:val="nil"/>
              <w:left w:val="nil"/>
              <w:bottom w:val="nil"/>
              <w:right w:val="nil"/>
            </w:tcBorders>
            <w:shd w:val="clear" w:color="000000" w:fill="C6EFCE"/>
            <w:noWrap/>
            <w:vAlign w:val="bottom"/>
            <w:hideMark/>
          </w:tcPr>
          <w:p w14:paraId="4BB4D43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15.7 </w:t>
            </w:r>
          </w:p>
        </w:tc>
        <w:tc>
          <w:tcPr>
            <w:tcW w:w="357" w:type="pct"/>
            <w:tcBorders>
              <w:top w:val="nil"/>
              <w:left w:val="nil"/>
              <w:bottom w:val="nil"/>
              <w:right w:val="nil"/>
            </w:tcBorders>
            <w:shd w:val="clear" w:color="000000" w:fill="C6EFCE"/>
            <w:noWrap/>
            <w:vAlign w:val="bottom"/>
            <w:hideMark/>
          </w:tcPr>
          <w:p w14:paraId="733DA38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14.0 </w:t>
            </w:r>
          </w:p>
        </w:tc>
        <w:tc>
          <w:tcPr>
            <w:tcW w:w="373" w:type="pct"/>
            <w:tcBorders>
              <w:top w:val="nil"/>
              <w:left w:val="nil"/>
              <w:bottom w:val="nil"/>
              <w:right w:val="nil"/>
            </w:tcBorders>
            <w:shd w:val="clear" w:color="000000" w:fill="C6EFCE"/>
            <w:noWrap/>
            <w:vAlign w:val="bottom"/>
            <w:hideMark/>
          </w:tcPr>
          <w:p w14:paraId="1EB88888"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12.5 </w:t>
            </w:r>
          </w:p>
        </w:tc>
        <w:tc>
          <w:tcPr>
            <w:tcW w:w="357" w:type="pct"/>
            <w:tcBorders>
              <w:top w:val="nil"/>
              <w:left w:val="nil"/>
              <w:bottom w:val="nil"/>
              <w:right w:val="nil"/>
            </w:tcBorders>
            <w:shd w:val="clear" w:color="000000" w:fill="C6EFCE"/>
            <w:noWrap/>
            <w:vAlign w:val="bottom"/>
            <w:hideMark/>
          </w:tcPr>
          <w:p w14:paraId="285A8C52"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11.4 </w:t>
            </w:r>
          </w:p>
        </w:tc>
        <w:tc>
          <w:tcPr>
            <w:tcW w:w="357" w:type="pct"/>
            <w:tcBorders>
              <w:top w:val="nil"/>
              <w:left w:val="nil"/>
              <w:bottom w:val="nil"/>
              <w:right w:val="nil"/>
            </w:tcBorders>
            <w:shd w:val="clear" w:color="000000" w:fill="C6EFCE"/>
            <w:noWrap/>
            <w:vAlign w:val="bottom"/>
            <w:hideMark/>
          </w:tcPr>
          <w:p w14:paraId="34C5E122"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10.4 </w:t>
            </w:r>
          </w:p>
        </w:tc>
        <w:tc>
          <w:tcPr>
            <w:tcW w:w="353" w:type="pct"/>
            <w:tcBorders>
              <w:top w:val="nil"/>
              <w:left w:val="nil"/>
              <w:bottom w:val="nil"/>
              <w:right w:val="nil"/>
            </w:tcBorders>
            <w:shd w:val="clear" w:color="000000" w:fill="C6EFCE"/>
            <w:noWrap/>
            <w:vAlign w:val="bottom"/>
            <w:hideMark/>
          </w:tcPr>
          <w:p w14:paraId="265AA9C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9.6 </w:t>
            </w:r>
          </w:p>
        </w:tc>
      </w:tr>
      <w:tr w:rsidR="00280058" w:rsidRPr="002C025E" w14:paraId="4C50970B" w14:textId="77777777" w:rsidTr="0005008F">
        <w:tc>
          <w:tcPr>
            <w:tcW w:w="150" w:type="pct"/>
            <w:vMerge/>
            <w:tcBorders>
              <w:top w:val="nil"/>
              <w:left w:val="nil"/>
              <w:bottom w:val="nil"/>
              <w:right w:val="nil"/>
            </w:tcBorders>
            <w:vAlign w:val="center"/>
            <w:hideMark/>
          </w:tcPr>
          <w:p w14:paraId="0D207F39"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25" w:type="pct"/>
            <w:tcBorders>
              <w:top w:val="nil"/>
              <w:left w:val="nil"/>
              <w:bottom w:val="nil"/>
              <w:right w:val="nil"/>
            </w:tcBorders>
            <w:shd w:val="clear" w:color="auto" w:fill="auto"/>
            <w:noWrap/>
            <w:vAlign w:val="bottom"/>
            <w:hideMark/>
          </w:tcPr>
          <w:p w14:paraId="32BD6109" w14:textId="77777777"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0.29</w:t>
            </w:r>
          </w:p>
        </w:tc>
        <w:tc>
          <w:tcPr>
            <w:tcW w:w="389" w:type="pct"/>
            <w:tcBorders>
              <w:top w:val="nil"/>
              <w:left w:val="nil"/>
              <w:bottom w:val="nil"/>
              <w:right w:val="nil"/>
            </w:tcBorders>
            <w:shd w:val="clear" w:color="000000" w:fill="FFC7CE"/>
            <w:noWrap/>
            <w:vAlign w:val="bottom"/>
            <w:hideMark/>
          </w:tcPr>
          <w:p w14:paraId="26405A02"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77.0 </w:t>
            </w:r>
          </w:p>
        </w:tc>
        <w:tc>
          <w:tcPr>
            <w:tcW w:w="356" w:type="pct"/>
            <w:tcBorders>
              <w:top w:val="nil"/>
              <w:left w:val="nil"/>
              <w:bottom w:val="nil"/>
              <w:right w:val="nil"/>
            </w:tcBorders>
            <w:shd w:val="clear" w:color="000000" w:fill="FFC7CE"/>
            <w:noWrap/>
            <w:vAlign w:val="bottom"/>
            <w:hideMark/>
          </w:tcPr>
          <w:p w14:paraId="0DC9BA00"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42.8 </w:t>
            </w:r>
          </w:p>
        </w:tc>
        <w:tc>
          <w:tcPr>
            <w:tcW w:w="357" w:type="pct"/>
            <w:tcBorders>
              <w:top w:val="nil"/>
              <w:left w:val="nil"/>
              <w:bottom w:val="nil"/>
              <w:right w:val="nil"/>
            </w:tcBorders>
            <w:shd w:val="clear" w:color="000000" w:fill="FFC7CE"/>
            <w:noWrap/>
            <w:vAlign w:val="bottom"/>
            <w:hideMark/>
          </w:tcPr>
          <w:p w14:paraId="0EF1391E"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30.8 </w:t>
            </w:r>
          </w:p>
        </w:tc>
        <w:tc>
          <w:tcPr>
            <w:tcW w:w="357" w:type="pct"/>
            <w:tcBorders>
              <w:top w:val="nil"/>
              <w:left w:val="nil"/>
              <w:bottom w:val="nil"/>
              <w:right w:val="nil"/>
            </w:tcBorders>
            <w:shd w:val="clear" w:color="000000" w:fill="FFC7CE"/>
            <w:noWrap/>
            <w:vAlign w:val="bottom"/>
            <w:hideMark/>
          </w:tcPr>
          <w:p w14:paraId="5728E054"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24.3 </w:t>
            </w:r>
          </w:p>
        </w:tc>
        <w:tc>
          <w:tcPr>
            <w:tcW w:w="357" w:type="pct"/>
            <w:tcBorders>
              <w:top w:val="nil"/>
              <w:left w:val="nil"/>
              <w:bottom w:val="nil"/>
              <w:right w:val="nil"/>
            </w:tcBorders>
            <w:shd w:val="clear" w:color="000000" w:fill="FFC7CE"/>
            <w:noWrap/>
            <w:vAlign w:val="bottom"/>
            <w:hideMark/>
          </w:tcPr>
          <w:p w14:paraId="5632EBB4"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20.1 </w:t>
            </w:r>
          </w:p>
        </w:tc>
        <w:tc>
          <w:tcPr>
            <w:tcW w:w="357" w:type="pct"/>
            <w:tcBorders>
              <w:top w:val="nil"/>
              <w:left w:val="nil"/>
              <w:bottom w:val="nil"/>
              <w:right w:val="nil"/>
            </w:tcBorders>
            <w:shd w:val="clear" w:color="000000" w:fill="C6EFCE"/>
            <w:noWrap/>
            <w:vAlign w:val="bottom"/>
            <w:hideMark/>
          </w:tcPr>
          <w:p w14:paraId="7A893586"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17.2 </w:t>
            </w:r>
          </w:p>
        </w:tc>
        <w:tc>
          <w:tcPr>
            <w:tcW w:w="357" w:type="pct"/>
            <w:tcBorders>
              <w:top w:val="nil"/>
              <w:left w:val="nil"/>
              <w:bottom w:val="nil"/>
              <w:right w:val="nil"/>
            </w:tcBorders>
            <w:shd w:val="clear" w:color="000000" w:fill="C6EFCE"/>
            <w:noWrap/>
            <w:vAlign w:val="bottom"/>
            <w:hideMark/>
          </w:tcPr>
          <w:p w14:paraId="7CD74D69"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15.0 </w:t>
            </w:r>
          </w:p>
        </w:tc>
        <w:tc>
          <w:tcPr>
            <w:tcW w:w="357" w:type="pct"/>
            <w:tcBorders>
              <w:top w:val="nil"/>
              <w:left w:val="nil"/>
              <w:bottom w:val="nil"/>
              <w:right w:val="nil"/>
            </w:tcBorders>
            <w:shd w:val="clear" w:color="000000" w:fill="C6EFCE"/>
            <w:noWrap/>
            <w:vAlign w:val="bottom"/>
            <w:hideMark/>
          </w:tcPr>
          <w:p w14:paraId="6AC1BF89"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13.4 </w:t>
            </w:r>
          </w:p>
        </w:tc>
        <w:tc>
          <w:tcPr>
            <w:tcW w:w="373" w:type="pct"/>
            <w:tcBorders>
              <w:top w:val="nil"/>
              <w:left w:val="nil"/>
              <w:bottom w:val="nil"/>
              <w:right w:val="nil"/>
            </w:tcBorders>
            <w:shd w:val="clear" w:color="000000" w:fill="C6EFCE"/>
            <w:noWrap/>
            <w:vAlign w:val="bottom"/>
            <w:hideMark/>
          </w:tcPr>
          <w:p w14:paraId="25DDD77E"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12.0 </w:t>
            </w:r>
          </w:p>
        </w:tc>
        <w:tc>
          <w:tcPr>
            <w:tcW w:w="357" w:type="pct"/>
            <w:tcBorders>
              <w:top w:val="nil"/>
              <w:left w:val="nil"/>
              <w:bottom w:val="nil"/>
              <w:right w:val="nil"/>
            </w:tcBorders>
            <w:shd w:val="clear" w:color="000000" w:fill="C6EFCE"/>
            <w:noWrap/>
            <w:vAlign w:val="bottom"/>
            <w:hideMark/>
          </w:tcPr>
          <w:p w14:paraId="4AA0C5C1"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10.9 </w:t>
            </w:r>
          </w:p>
        </w:tc>
        <w:tc>
          <w:tcPr>
            <w:tcW w:w="357" w:type="pct"/>
            <w:tcBorders>
              <w:top w:val="nil"/>
              <w:left w:val="nil"/>
              <w:bottom w:val="nil"/>
              <w:right w:val="nil"/>
            </w:tcBorders>
            <w:shd w:val="clear" w:color="000000" w:fill="C6EFCE"/>
            <w:noWrap/>
            <w:vAlign w:val="bottom"/>
            <w:hideMark/>
          </w:tcPr>
          <w:p w14:paraId="14CF53C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10.0 </w:t>
            </w:r>
          </w:p>
        </w:tc>
        <w:tc>
          <w:tcPr>
            <w:tcW w:w="353" w:type="pct"/>
            <w:tcBorders>
              <w:top w:val="nil"/>
              <w:left w:val="nil"/>
              <w:bottom w:val="nil"/>
              <w:right w:val="nil"/>
            </w:tcBorders>
            <w:shd w:val="clear" w:color="000000" w:fill="C6EFCE"/>
            <w:noWrap/>
            <w:vAlign w:val="bottom"/>
            <w:hideMark/>
          </w:tcPr>
          <w:p w14:paraId="70CEE5BE"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9.3 </w:t>
            </w:r>
          </w:p>
        </w:tc>
      </w:tr>
      <w:tr w:rsidR="00280058" w:rsidRPr="002C025E" w14:paraId="616F0702" w14:textId="77777777" w:rsidTr="0005008F">
        <w:tc>
          <w:tcPr>
            <w:tcW w:w="150" w:type="pct"/>
            <w:vMerge/>
            <w:tcBorders>
              <w:top w:val="nil"/>
              <w:left w:val="nil"/>
              <w:bottom w:val="nil"/>
              <w:right w:val="nil"/>
            </w:tcBorders>
            <w:vAlign w:val="center"/>
            <w:hideMark/>
          </w:tcPr>
          <w:p w14:paraId="4ABF65ED"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25" w:type="pct"/>
            <w:tcBorders>
              <w:top w:val="nil"/>
              <w:left w:val="nil"/>
              <w:bottom w:val="nil"/>
              <w:right w:val="nil"/>
            </w:tcBorders>
            <w:shd w:val="clear" w:color="auto" w:fill="auto"/>
            <w:noWrap/>
            <w:vAlign w:val="bottom"/>
            <w:hideMark/>
          </w:tcPr>
          <w:p w14:paraId="2BB60246" w14:textId="77777777"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0.30</w:t>
            </w:r>
          </w:p>
        </w:tc>
        <w:tc>
          <w:tcPr>
            <w:tcW w:w="389" w:type="pct"/>
            <w:tcBorders>
              <w:top w:val="nil"/>
              <w:left w:val="nil"/>
              <w:bottom w:val="nil"/>
              <w:right w:val="nil"/>
            </w:tcBorders>
            <w:shd w:val="clear" w:color="000000" w:fill="FFC7CE"/>
            <w:noWrap/>
            <w:vAlign w:val="bottom"/>
            <w:hideMark/>
          </w:tcPr>
          <w:p w14:paraId="008214B8"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68.4 </w:t>
            </w:r>
          </w:p>
        </w:tc>
        <w:tc>
          <w:tcPr>
            <w:tcW w:w="356" w:type="pct"/>
            <w:tcBorders>
              <w:top w:val="nil"/>
              <w:left w:val="nil"/>
              <w:bottom w:val="nil"/>
              <w:right w:val="nil"/>
            </w:tcBorders>
            <w:shd w:val="clear" w:color="000000" w:fill="FFC7CE"/>
            <w:noWrap/>
            <w:vAlign w:val="bottom"/>
            <w:hideMark/>
          </w:tcPr>
          <w:p w14:paraId="19618FCB"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40.1 </w:t>
            </w:r>
          </w:p>
        </w:tc>
        <w:tc>
          <w:tcPr>
            <w:tcW w:w="357" w:type="pct"/>
            <w:tcBorders>
              <w:top w:val="nil"/>
              <w:left w:val="nil"/>
              <w:bottom w:val="nil"/>
              <w:right w:val="nil"/>
            </w:tcBorders>
            <w:shd w:val="clear" w:color="000000" w:fill="FFC7CE"/>
            <w:noWrap/>
            <w:vAlign w:val="bottom"/>
            <w:hideMark/>
          </w:tcPr>
          <w:p w14:paraId="4ED61405"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29.2 </w:t>
            </w:r>
          </w:p>
        </w:tc>
        <w:tc>
          <w:tcPr>
            <w:tcW w:w="357" w:type="pct"/>
            <w:tcBorders>
              <w:top w:val="nil"/>
              <w:left w:val="nil"/>
              <w:bottom w:val="nil"/>
              <w:right w:val="nil"/>
            </w:tcBorders>
            <w:shd w:val="clear" w:color="000000" w:fill="FFC7CE"/>
            <w:noWrap/>
            <w:vAlign w:val="bottom"/>
            <w:hideMark/>
          </w:tcPr>
          <w:p w14:paraId="05CAEEC8"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23.2 </w:t>
            </w:r>
          </w:p>
        </w:tc>
        <w:tc>
          <w:tcPr>
            <w:tcW w:w="357" w:type="pct"/>
            <w:tcBorders>
              <w:top w:val="nil"/>
              <w:left w:val="nil"/>
              <w:bottom w:val="nil"/>
              <w:right w:val="nil"/>
            </w:tcBorders>
            <w:shd w:val="clear" w:color="000000" w:fill="C6EFCE"/>
            <w:noWrap/>
            <w:vAlign w:val="bottom"/>
            <w:hideMark/>
          </w:tcPr>
          <w:p w14:paraId="55371A1D"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19.2 </w:t>
            </w:r>
          </w:p>
        </w:tc>
        <w:tc>
          <w:tcPr>
            <w:tcW w:w="357" w:type="pct"/>
            <w:tcBorders>
              <w:top w:val="nil"/>
              <w:left w:val="nil"/>
              <w:bottom w:val="nil"/>
              <w:right w:val="nil"/>
            </w:tcBorders>
            <w:shd w:val="clear" w:color="000000" w:fill="C6EFCE"/>
            <w:noWrap/>
            <w:vAlign w:val="bottom"/>
            <w:hideMark/>
          </w:tcPr>
          <w:p w14:paraId="3DF1B1DD"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16.5 </w:t>
            </w:r>
          </w:p>
        </w:tc>
        <w:tc>
          <w:tcPr>
            <w:tcW w:w="357" w:type="pct"/>
            <w:tcBorders>
              <w:top w:val="nil"/>
              <w:left w:val="nil"/>
              <w:bottom w:val="nil"/>
              <w:right w:val="nil"/>
            </w:tcBorders>
            <w:shd w:val="clear" w:color="000000" w:fill="C6EFCE"/>
            <w:noWrap/>
            <w:vAlign w:val="bottom"/>
            <w:hideMark/>
          </w:tcPr>
          <w:p w14:paraId="7C41314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14.4 </w:t>
            </w:r>
          </w:p>
        </w:tc>
        <w:tc>
          <w:tcPr>
            <w:tcW w:w="357" w:type="pct"/>
            <w:tcBorders>
              <w:top w:val="nil"/>
              <w:left w:val="nil"/>
              <w:bottom w:val="nil"/>
              <w:right w:val="nil"/>
            </w:tcBorders>
            <w:shd w:val="clear" w:color="000000" w:fill="C6EFCE"/>
            <w:noWrap/>
            <w:vAlign w:val="bottom"/>
            <w:hideMark/>
          </w:tcPr>
          <w:p w14:paraId="6C0BF091"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12.8 </w:t>
            </w:r>
          </w:p>
        </w:tc>
        <w:tc>
          <w:tcPr>
            <w:tcW w:w="373" w:type="pct"/>
            <w:tcBorders>
              <w:top w:val="nil"/>
              <w:left w:val="nil"/>
              <w:bottom w:val="nil"/>
              <w:right w:val="nil"/>
            </w:tcBorders>
            <w:shd w:val="clear" w:color="000000" w:fill="C6EFCE"/>
            <w:noWrap/>
            <w:vAlign w:val="bottom"/>
            <w:hideMark/>
          </w:tcPr>
          <w:p w14:paraId="2118D60D"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11.5 </w:t>
            </w:r>
          </w:p>
        </w:tc>
        <w:tc>
          <w:tcPr>
            <w:tcW w:w="357" w:type="pct"/>
            <w:tcBorders>
              <w:top w:val="nil"/>
              <w:left w:val="nil"/>
              <w:bottom w:val="nil"/>
              <w:right w:val="nil"/>
            </w:tcBorders>
            <w:shd w:val="clear" w:color="000000" w:fill="C6EFCE"/>
            <w:noWrap/>
            <w:vAlign w:val="bottom"/>
            <w:hideMark/>
          </w:tcPr>
          <w:p w14:paraId="50D86F70"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10.5 </w:t>
            </w:r>
          </w:p>
        </w:tc>
        <w:tc>
          <w:tcPr>
            <w:tcW w:w="357" w:type="pct"/>
            <w:tcBorders>
              <w:top w:val="nil"/>
              <w:left w:val="nil"/>
              <w:bottom w:val="nil"/>
              <w:right w:val="nil"/>
            </w:tcBorders>
            <w:shd w:val="clear" w:color="000000" w:fill="C6EFCE"/>
            <w:noWrap/>
            <w:vAlign w:val="bottom"/>
            <w:hideMark/>
          </w:tcPr>
          <w:p w14:paraId="1A37F6CE"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9.6 </w:t>
            </w:r>
          </w:p>
        </w:tc>
        <w:tc>
          <w:tcPr>
            <w:tcW w:w="353" w:type="pct"/>
            <w:tcBorders>
              <w:top w:val="nil"/>
              <w:left w:val="nil"/>
              <w:bottom w:val="nil"/>
              <w:right w:val="nil"/>
            </w:tcBorders>
            <w:shd w:val="clear" w:color="000000" w:fill="C6EFCE"/>
            <w:noWrap/>
            <w:vAlign w:val="bottom"/>
            <w:hideMark/>
          </w:tcPr>
          <w:p w14:paraId="7003EB83"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8.9 </w:t>
            </w:r>
          </w:p>
        </w:tc>
      </w:tr>
      <w:tr w:rsidR="00280058" w:rsidRPr="002C025E" w14:paraId="65717A3F" w14:textId="77777777" w:rsidTr="0005008F">
        <w:tc>
          <w:tcPr>
            <w:tcW w:w="150" w:type="pct"/>
            <w:vMerge/>
            <w:tcBorders>
              <w:top w:val="nil"/>
              <w:left w:val="nil"/>
              <w:bottom w:val="nil"/>
              <w:right w:val="nil"/>
            </w:tcBorders>
            <w:vAlign w:val="center"/>
            <w:hideMark/>
          </w:tcPr>
          <w:p w14:paraId="7B6CD2D5"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25" w:type="pct"/>
            <w:tcBorders>
              <w:top w:val="nil"/>
              <w:left w:val="nil"/>
              <w:bottom w:val="nil"/>
              <w:right w:val="nil"/>
            </w:tcBorders>
            <w:shd w:val="clear" w:color="auto" w:fill="auto"/>
            <w:noWrap/>
            <w:vAlign w:val="bottom"/>
            <w:hideMark/>
          </w:tcPr>
          <w:p w14:paraId="18E11FEE" w14:textId="77777777"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0.31</w:t>
            </w:r>
          </w:p>
        </w:tc>
        <w:tc>
          <w:tcPr>
            <w:tcW w:w="389" w:type="pct"/>
            <w:tcBorders>
              <w:top w:val="nil"/>
              <w:left w:val="nil"/>
              <w:bottom w:val="nil"/>
              <w:right w:val="nil"/>
            </w:tcBorders>
            <w:shd w:val="clear" w:color="000000" w:fill="FFC7CE"/>
            <w:noWrap/>
            <w:vAlign w:val="bottom"/>
            <w:hideMark/>
          </w:tcPr>
          <w:p w14:paraId="0F92AC54"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61.9 </w:t>
            </w:r>
          </w:p>
        </w:tc>
        <w:tc>
          <w:tcPr>
            <w:tcW w:w="356" w:type="pct"/>
            <w:tcBorders>
              <w:top w:val="nil"/>
              <w:left w:val="nil"/>
              <w:bottom w:val="nil"/>
              <w:right w:val="nil"/>
            </w:tcBorders>
            <w:shd w:val="clear" w:color="000000" w:fill="FFC7CE"/>
            <w:noWrap/>
            <w:vAlign w:val="bottom"/>
            <w:hideMark/>
          </w:tcPr>
          <w:p w14:paraId="08E9D535"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37.7 </w:t>
            </w:r>
          </w:p>
        </w:tc>
        <w:tc>
          <w:tcPr>
            <w:tcW w:w="357" w:type="pct"/>
            <w:tcBorders>
              <w:top w:val="nil"/>
              <w:left w:val="nil"/>
              <w:bottom w:val="nil"/>
              <w:right w:val="nil"/>
            </w:tcBorders>
            <w:shd w:val="clear" w:color="000000" w:fill="FFC7CE"/>
            <w:noWrap/>
            <w:vAlign w:val="bottom"/>
            <w:hideMark/>
          </w:tcPr>
          <w:p w14:paraId="0DA4F8B2"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27.7 </w:t>
            </w:r>
          </w:p>
        </w:tc>
        <w:tc>
          <w:tcPr>
            <w:tcW w:w="357" w:type="pct"/>
            <w:tcBorders>
              <w:top w:val="nil"/>
              <w:left w:val="nil"/>
              <w:bottom w:val="nil"/>
              <w:right w:val="nil"/>
            </w:tcBorders>
            <w:shd w:val="clear" w:color="000000" w:fill="FFC7CE"/>
            <w:noWrap/>
            <w:vAlign w:val="bottom"/>
            <w:hideMark/>
          </w:tcPr>
          <w:p w14:paraId="0CE57F1D"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22.1 </w:t>
            </w:r>
          </w:p>
        </w:tc>
        <w:tc>
          <w:tcPr>
            <w:tcW w:w="357" w:type="pct"/>
            <w:tcBorders>
              <w:top w:val="nil"/>
              <w:left w:val="nil"/>
              <w:bottom w:val="nil"/>
              <w:right w:val="nil"/>
            </w:tcBorders>
            <w:shd w:val="clear" w:color="000000" w:fill="C6EFCE"/>
            <w:noWrap/>
            <w:vAlign w:val="bottom"/>
            <w:hideMark/>
          </w:tcPr>
          <w:p w14:paraId="5B4A22B9"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18.4 </w:t>
            </w:r>
          </w:p>
        </w:tc>
        <w:tc>
          <w:tcPr>
            <w:tcW w:w="357" w:type="pct"/>
            <w:tcBorders>
              <w:top w:val="nil"/>
              <w:left w:val="nil"/>
              <w:bottom w:val="nil"/>
              <w:right w:val="nil"/>
            </w:tcBorders>
            <w:shd w:val="clear" w:color="000000" w:fill="C6EFCE"/>
            <w:noWrap/>
            <w:vAlign w:val="bottom"/>
            <w:hideMark/>
          </w:tcPr>
          <w:p w14:paraId="4622ECF9"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15.8 </w:t>
            </w:r>
          </w:p>
        </w:tc>
        <w:tc>
          <w:tcPr>
            <w:tcW w:w="357" w:type="pct"/>
            <w:tcBorders>
              <w:top w:val="nil"/>
              <w:left w:val="nil"/>
              <w:bottom w:val="nil"/>
              <w:right w:val="nil"/>
            </w:tcBorders>
            <w:shd w:val="clear" w:color="000000" w:fill="C6EFCE"/>
            <w:noWrap/>
            <w:vAlign w:val="bottom"/>
            <w:hideMark/>
          </w:tcPr>
          <w:p w14:paraId="44E9D729"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13.8 </w:t>
            </w:r>
          </w:p>
        </w:tc>
        <w:tc>
          <w:tcPr>
            <w:tcW w:w="357" w:type="pct"/>
            <w:tcBorders>
              <w:top w:val="nil"/>
              <w:left w:val="nil"/>
              <w:bottom w:val="nil"/>
              <w:right w:val="nil"/>
            </w:tcBorders>
            <w:shd w:val="clear" w:color="000000" w:fill="C6EFCE"/>
            <w:noWrap/>
            <w:vAlign w:val="bottom"/>
            <w:hideMark/>
          </w:tcPr>
          <w:p w14:paraId="59F01D6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12.3 </w:t>
            </w:r>
          </w:p>
        </w:tc>
        <w:tc>
          <w:tcPr>
            <w:tcW w:w="373" w:type="pct"/>
            <w:tcBorders>
              <w:top w:val="nil"/>
              <w:left w:val="nil"/>
              <w:bottom w:val="nil"/>
              <w:right w:val="nil"/>
            </w:tcBorders>
            <w:shd w:val="clear" w:color="000000" w:fill="C6EFCE"/>
            <w:noWrap/>
            <w:vAlign w:val="bottom"/>
            <w:hideMark/>
          </w:tcPr>
          <w:p w14:paraId="6BA4ECA1"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11.1 </w:t>
            </w:r>
          </w:p>
        </w:tc>
        <w:tc>
          <w:tcPr>
            <w:tcW w:w="357" w:type="pct"/>
            <w:tcBorders>
              <w:top w:val="nil"/>
              <w:left w:val="nil"/>
              <w:bottom w:val="nil"/>
              <w:right w:val="nil"/>
            </w:tcBorders>
            <w:shd w:val="clear" w:color="000000" w:fill="C6EFCE"/>
            <w:noWrap/>
            <w:vAlign w:val="bottom"/>
            <w:hideMark/>
          </w:tcPr>
          <w:p w14:paraId="3116D220"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10.1 </w:t>
            </w:r>
          </w:p>
        </w:tc>
        <w:tc>
          <w:tcPr>
            <w:tcW w:w="357" w:type="pct"/>
            <w:tcBorders>
              <w:top w:val="nil"/>
              <w:left w:val="nil"/>
              <w:bottom w:val="nil"/>
              <w:right w:val="nil"/>
            </w:tcBorders>
            <w:shd w:val="clear" w:color="000000" w:fill="C6EFCE"/>
            <w:noWrap/>
            <w:vAlign w:val="bottom"/>
            <w:hideMark/>
          </w:tcPr>
          <w:p w14:paraId="5387F65B"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9.3 </w:t>
            </w:r>
          </w:p>
        </w:tc>
        <w:tc>
          <w:tcPr>
            <w:tcW w:w="353" w:type="pct"/>
            <w:tcBorders>
              <w:top w:val="nil"/>
              <w:left w:val="nil"/>
              <w:bottom w:val="nil"/>
              <w:right w:val="nil"/>
            </w:tcBorders>
            <w:shd w:val="clear" w:color="000000" w:fill="C6EFCE"/>
            <w:noWrap/>
            <w:vAlign w:val="bottom"/>
            <w:hideMark/>
          </w:tcPr>
          <w:p w14:paraId="2202EE02"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8.6 </w:t>
            </w:r>
          </w:p>
        </w:tc>
      </w:tr>
      <w:tr w:rsidR="00280058" w:rsidRPr="002C025E" w14:paraId="5C2589C6" w14:textId="77777777" w:rsidTr="0005008F">
        <w:tc>
          <w:tcPr>
            <w:tcW w:w="150" w:type="pct"/>
            <w:vMerge/>
            <w:tcBorders>
              <w:top w:val="nil"/>
              <w:left w:val="nil"/>
              <w:bottom w:val="nil"/>
              <w:right w:val="nil"/>
            </w:tcBorders>
            <w:vAlign w:val="center"/>
            <w:hideMark/>
          </w:tcPr>
          <w:p w14:paraId="4D6BB394"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25" w:type="pct"/>
            <w:tcBorders>
              <w:top w:val="nil"/>
              <w:left w:val="nil"/>
              <w:bottom w:val="nil"/>
              <w:right w:val="nil"/>
            </w:tcBorders>
            <w:shd w:val="clear" w:color="auto" w:fill="auto"/>
            <w:noWrap/>
            <w:vAlign w:val="bottom"/>
            <w:hideMark/>
          </w:tcPr>
          <w:p w14:paraId="37D515CC" w14:textId="77777777"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0.32</w:t>
            </w:r>
          </w:p>
        </w:tc>
        <w:tc>
          <w:tcPr>
            <w:tcW w:w="389" w:type="pct"/>
            <w:tcBorders>
              <w:top w:val="nil"/>
              <w:left w:val="nil"/>
              <w:bottom w:val="nil"/>
              <w:right w:val="nil"/>
            </w:tcBorders>
            <w:shd w:val="clear" w:color="000000" w:fill="FFC7CE"/>
            <w:noWrap/>
            <w:vAlign w:val="bottom"/>
            <w:hideMark/>
          </w:tcPr>
          <w:p w14:paraId="04B21592"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56.8 </w:t>
            </w:r>
          </w:p>
        </w:tc>
        <w:tc>
          <w:tcPr>
            <w:tcW w:w="356" w:type="pct"/>
            <w:tcBorders>
              <w:top w:val="nil"/>
              <w:left w:val="nil"/>
              <w:bottom w:val="nil"/>
              <w:right w:val="nil"/>
            </w:tcBorders>
            <w:shd w:val="clear" w:color="000000" w:fill="FFC7CE"/>
            <w:noWrap/>
            <w:vAlign w:val="bottom"/>
            <w:hideMark/>
          </w:tcPr>
          <w:p w14:paraId="3EF22914"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35.6 </w:t>
            </w:r>
          </w:p>
        </w:tc>
        <w:tc>
          <w:tcPr>
            <w:tcW w:w="357" w:type="pct"/>
            <w:tcBorders>
              <w:top w:val="nil"/>
              <w:left w:val="nil"/>
              <w:bottom w:val="nil"/>
              <w:right w:val="nil"/>
            </w:tcBorders>
            <w:shd w:val="clear" w:color="000000" w:fill="FFC7CE"/>
            <w:noWrap/>
            <w:vAlign w:val="bottom"/>
            <w:hideMark/>
          </w:tcPr>
          <w:p w14:paraId="6B1EB017"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26.4 </w:t>
            </w:r>
          </w:p>
        </w:tc>
        <w:tc>
          <w:tcPr>
            <w:tcW w:w="357" w:type="pct"/>
            <w:tcBorders>
              <w:top w:val="nil"/>
              <w:left w:val="nil"/>
              <w:bottom w:val="nil"/>
              <w:right w:val="nil"/>
            </w:tcBorders>
            <w:shd w:val="clear" w:color="000000" w:fill="FFC7CE"/>
            <w:noWrap/>
            <w:vAlign w:val="bottom"/>
            <w:hideMark/>
          </w:tcPr>
          <w:p w14:paraId="13565BAB"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21.1 </w:t>
            </w:r>
          </w:p>
        </w:tc>
        <w:tc>
          <w:tcPr>
            <w:tcW w:w="357" w:type="pct"/>
            <w:tcBorders>
              <w:top w:val="nil"/>
              <w:left w:val="nil"/>
              <w:bottom w:val="nil"/>
              <w:right w:val="nil"/>
            </w:tcBorders>
            <w:shd w:val="clear" w:color="000000" w:fill="C6EFCE"/>
            <w:noWrap/>
            <w:vAlign w:val="bottom"/>
            <w:hideMark/>
          </w:tcPr>
          <w:p w14:paraId="7307659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17.7 </w:t>
            </w:r>
          </w:p>
        </w:tc>
        <w:tc>
          <w:tcPr>
            <w:tcW w:w="357" w:type="pct"/>
            <w:tcBorders>
              <w:top w:val="nil"/>
              <w:left w:val="nil"/>
              <w:bottom w:val="nil"/>
              <w:right w:val="nil"/>
            </w:tcBorders>
            <w:shd w:val="clear" w:color="000000" w:fill="C6EFCE"/>
            <w:noWrap/>
            <w:vAlign w:val="bottom"/>
            <w:hideMark/>
          </w:tcPr>
          <w:p w14:paraId="7DD1541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15.2 </w:t>
            </w:r>
          </w:p>
        </w:tc>
        <w:tc>
          <w:tcPr>
            <w:tcW w:w="357" w:type="pct"/>
            <w:tcBorders>
              <w:top w:val="nil"/>
              <w:left w:val="nil"/>
              <w:bottom w:val="nil"/>
              <w:right w:val="nil"/>
            </w:tcBorders>
            <w:shd w:val="clear" w:color="000000" w:fill="C6EFCE"/>
            <w:noWrap/>
            <w:vAlign w:val="bottom"/>
            <w:hideMark/>
          </w:tcPr>
          <w:p w14:paraId="629377C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13.3 </w:t>
            </w:r>
          </w:p>
        </w:tc>
        <w:tc>
          <w:tcPr>
            <w:tcW w:w="357" w:type="pct"/>
            <w:tcBorders>
              <w:top w:val="nil"/>
              <w:left w:val="nil"/>
              <w:bottom w:val="nil"/>
              <w:right w:val="nil"/>
            </w:tcBorders>
            <w:shd w:val="clear" w:color="000000" w:fill="C6EFCE"/>
            <w:noWrap/>
            <w:vAlign w:val="bottom"/>
            <w:hideMark/>
          </w:tcPr>
          <w:p w14:paraId="4E66F88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11.9 </w:t>
            </w:r>
          </w:p>
        </w:tc>
        <w:tc>
          <w:tcPr>
            <w:tcW w:w="373" w:type="pct"/>
            <w:tcBorders>
              <w:top w:val="nil"/>
              <w:left w:val="nil"/>
              <w:bottom w:val="nil"/>
              <w:right w:val="nil"/>
            </w:tcBorders>
            <w:shd w:val="clear" w:color="000000" w:fill="C6EFCE"/>
            <w:noWrap/>
            <w:vAlign w:val="bottom"/>
            <w:hideMark/>
          </w:tcPr>
          <w:p w14:paraId="5F58B705"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10.7 </w:t>
            </w:r>
          </w:p>
        </w:tc>
        <w:tc>
          <w:tcPr>
            <w:tcW w:w="357" w:type="pct"/>
            <w:tcBorders>
              <w:top w:val="nil"/>
              <w:left w:val="nil"/>
              <w:bottom w:val="nil"/>
              <w:right w:val="nil"/>
            </w:tcBorders>
            <w:shd w:val="clear" w:color="000000" w:fill="C6EFCE"/>
            <w:noWrap/>
            <w:vAlign w:val="bottom"/>
            <w:hideMark/>
          </w:tcPr>
          <w:p w14:paraId="69721733"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9.7 </w:t>
            </w:r>
          </w:p>
        </w:tc>
        <w:tc>
          <w:tcPr>
            <w:tcW w:w="357" w:type="pct"/>
            <w:tcBorders>
              <w:top w:val="nil"/>
              <w:left w:val="nil"/>
              <w:bottom w:val="nil"/>
              <w:right w:val="nil"/>
            </w:tcBorders>
            <w:shd w:val="clear" w:color="000000" w:fill="C6EFCE"/>
            <w:noWrap/>
            <w:vAlign w:val="bottom"/>
            <w:hideMark/>
          </w:tcPr>
          <w:p w14:paraId="58F0FE4E"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8.9 </w:t>
            </w:r>
          </w:p>
        </w:tc>
        <w:tc>
          <w:tcPr>
            <w:tcW w:w="353" w:type="pct"/>
            <w:tcBorders>
              <w:top w:val="nil"/>
              <w:left w:val="nil"/>
              <w:bottom w:val="nil"/>
              <w:right w:val="nil"/>
            </w:tcBorders>
            <w:shd w:val="clear" w:color="000000" w:fill="C6EFCE"/>
            <w:noWrap/>
            <w:vAlign w:val="bottom"/>
            <w:hideMark/>
          </w:tcPr>
          <w:p w14:paraId="3058DD10"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8.3 </w:t>
            </w:r>
          </w:p>
        </w:tc>
      </w:tr>
      <w:tr w:rsidR="00280058" w:rsidRPr="002C025E" w14:paraId="0BAAB308" w14:textId="77777777" w:rsidTr="0005008F">
        <w:tc>
          <w:tcPr>
            <w:tcW w:w="150" w:type="pct"/>
            <w:vMerge/>
            <w:tcBorders>
              <w:top w:val="nil"/>
              <w:left w:val="nil"/>
              <w:bottom w:val="nil"/>
              <w:right w:val="nil"/>
            </w:tcBorders>
            <w:vAlign w:val="center"/>
            <w:hideMark/>
          </w:tcPr>
          <w:p w14:paraId="27235E67"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25" w:type="pct"/>
            <w:tcBorders>
              <w:top w:val="nil"/>
              <w:left w:val="nil"/>
              <w:bottom w:val="nil"/>
              <w:right w:val="nil"/>
            </w:tcBorders>
            <w:shd w:val="clear" w:color="auto" w:fill="auto"/>
            <w:noWrap/>
            <w:vAlign w:val="bottom"/>
            <w:hideMark/>
          </w:tcPr>
          <w:p w14:paraId="12E9575C" w14:textId="77777777"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0.33</w:t>
            </w:r>
          </w:p>
        </w:tc>
        <w:tc>
          <w:tcPr>
            <w:tcW w:w="389" w:type="pct"/>
            <w:tcBorders>
              <w:top w:val="nil"/>
              <w:left w:val="nil"/>
              <w:bottom w:val="nil"/>
              <w:right w:val="nil"/>
            </w:tcBorders>
            <w:shd w:val="clear" w:color="000000" w:fill="FFC7CE"/>
            <w:noWrap/>
            <w:vAlign w:val="bottom"/>
            <w:hideMark/>
          </w:tcPr>
          <w:p w14:paraId="1CC911E8"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52.6 </w:t>
            </w:r>
          </w:p>
        </w:tc>
        <w:tc>
          <w:tcPr>
            <w:tcW w:w="356" w:type="pct"/>
            <w:tcBorders>
              <w:top w:val="nil"/>
              <w:left w:val="nil"/>
              <w:bottom w:val="nil"/>
              <w:right w:val="nil"/>
            </w:tcBorders>
            <w:shd w:val="clear" w:color="000000" w:fill="FFC7CE"/>
            <w:noWrap/>
            <w:vAlign w:val="bottom"/>
            <w:hideMark/>
          </w:tcPr>
          <w:p w14:paraId="68C0AE92"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33.7 </w:t>
            </w:r>
          </w:p>
        </w:tc>
        <w:tc>
          <w:tcPr>
            <w:tcW w:w="357" w:type="pct"/>
            <w:tcBorders>
              <w:top w:val="nil"/>
              <w:left w:val="nil"/>
              <w:bottom w:val="nil"/>
              <w:right w:val="nil"/>
            </w:tcBorders>
            <w:shd w:val="clear" w:color="000000" w:fill="FFC7CE"/>
            <w:noWrap/>
            <w:vAlign w:val="bottom"/>
            <w:hideMark/>
          </w:tcPr>
          <w:p w14:paraId="42F60735"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25.2 </w:t>
            </w:r>
          </w:p>
        </w:tc>
        <w:tc>
          <w:tcPr>
            <w:tcW w:w="357" w:type="pct"/>
            <w:tcBorders>
              <w:top w:val="nil"/>
              <w:left w:val="nil"/>
              <w:bottom w:val="nil"/>
              <w:right w:val="nil"/>
            </w:tcBorders>
            <w:shd w:val="clear" w:color="000000" w:fill="FFC7CE"/>
            <w:noWrap/>
            <w:vAlign w:val="bottom"/>
            <w:hideMark/>
          </w:tcPr>
          <w:p w14:paraId="737F52DE"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20.3 </w:t>
            </w:r>
          </w:p>
        </w:tc>
        <w:tc>
          <w:tcPr>
            <w:tcW w:w="357" w:type="pct"/>
            <w:tcBorders>
              <w:top w:val="nil"/>
              <w:left w:val="nil"/>
              <w:bottom w:val="nil"/>
              <w:right w:val="nil"/>
            </w:tcBorders>
            <w:shd w:val="clear" w:color="000000" w:fill="C6EFCE"/>
            <w:noWrap/>
            <w:vAlign w:val="bottom"/>
            <w:hideMark/>
          </w:tcPr>
          <w:p w14:paraId="769B0DF3"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17.0 </w:t>
            </w:r>
          </w:p>
        </w:tc>
        <w:tc>
          <w:tcPr>
            <w:tcW w:w="357" w:type="pct"/>
            <w:tcBorders>
              <w:top w:val="nil"/>
              <w:left w:val="nil"/>
              <w:bottom w:val="nil"/>
              <w:right w:val="nil"/>
            </w:tcBorders>
            <w:shd w:val="clear" w:color="000000" w:fill="C6EFCE"/>
            <w:noWrap/>
            <w:vAlign w:val="bottom"/>
            <w:hideMark/>
          </w:tcPr>
          <w:p w14:paraId="3573147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14.6 </w:t>
            </w:r>
          </w:p>
        </w:tc>
        <w:tc>
          <w:tcPr>
            <w:tcW w:w="357" w:type="pct"/>
            <w:tcBorders>
              <w:top w:val="nil"/>
              <w:left w:val="nil"/>
              <w:bottom w:val="nil"/>
              <w:right w:val="nil"/>
            </w:tcBorders>
            <w:shd w:val="clear" w:color="000000" w:fill="C6EFCE"/>
            <w:noWrap/>
            <w:vAlign w:val="bottom"/>
            <w:hideMark/>
          </w:tcPr>
          <w:p w14:paraId="1AE6114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12.8 </w:t>
            </w:r>
          </w:p>
        </w:tc>
        <w:tc>
          <w:tcPr>
            <w:tcW w:w="357" w:type="pct"/>
            <w:tcBorders>
              <w:top w:val="nil"/>
              <w:left w:val="nil"/>
              <w:bottom w:val="nil"/>
              <w:right w:val="nil"/>
            </w:tcBorders>
            <w:shd w:val="clear" w:color="000000" w:fill="C6EFCE"/>
            <w:noWrap/>
            <w:vAlign w:val="bottom"/>
            <w:hideMark/>
          </w:tcPr>
          <w:p w14:paraId="07325D31"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11.4 </w:t>
            </w:r>
          </w:p>
        </w:tc>
        <w:tc>
          <w:tcPr>
            <w:tcW w:w="373" w:type="pct"/>
            <w:tcBorders>
              <w:top w:val="nil"/>
              <w:left w:val="nil"/>
              <w:bottom w:val="nil"/>
              <w:right w:val="nil"/>
            </w:tcBorders>
            <w:shd w:val="clear" w:color="000000" w:fill="C6EFCE"/>
            <w:noWrap/>
            <w:vAlign w:val="bottom"/>
            <w:hideMark/>
          </w:tcPr>
          <w:p w14:paraId="322DC65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10.3 </w:t>
            </w:r>
          </w:p>
        </w:tc>
        <w:tc>
          <w:tcPr>
            <w:tcW w:w="357" w:type="pct"/>
            <w:tcBorders>
              <w:top w:val="nil"/>
              <w:left w:val="nil"/>
              <w:bottom w:val="nil"/>
              <w:right w:val="nil"/>
            </w:tcBorders>
            <w:shd w:val="clear" w:color="000000" w:fill="C6EFCE"/>
            <w:noWrap/>
            <w:vAlign w:val="bottom"/>
            <w:hideMark/>
          </w:tcPr>
          <w:p w14:paraId="211ED186"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9.4 </w:t>
            </w:r>
          </w:p>
        </w:tc>
        <w:tc>
          <w:tcPr>
            <w:tcW w:w="357" w:type="pct"/>
            <w:tcBorders>
              <w:top w:val="nil"/>
              <w:left w:val="nil"/>
              <w:bottom w:val="nil"/>
              <w:right w:val="nil"/>
            </w:tcBorders>
            <w:shd w:val="clear" w:color="000000" w:fill="C6EFCE"/>
            <w:noWrap/>
            <w:vAlign w:val="bottom"/>
            <w:hideMark/>
          </w:tcPr>
          <w:p w14:paraId="3658B3F5"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8.6 </w:t>
            </w:r>
          </w:p>
        </w:tc>
        <w:tc>
          <w:tcPr>
            <w:tcW w:w="353" w:type="pct"/>
            <w:tcBorders>
              <w:top w:val="nil"/>
              <w:left w:val="nil"/>
              <w:bottom w:val="nil"/>
              <w:right w:val="nil"/>
            </w:tcBorders>
            <w:shd w:val="clear" w:color="000000" w:fill="C6EFCE"/>
            <w:noWrap/>
            <w:vAlign w:val="bottom"/>
            <w:hideMark/>
          </w:tcPr>
          <w:p w14:paraId="03FC934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8.0 </w:t>
            </w:r>
          </w:p>
        </w:tc>
      </w:tr>
      <w:tr w:rsidR="00280058" w:rsidRPr="002C025E" w14:paraId="3959119D" w14:textId="77777777" w:rsidTr="0005008F">
        <w:tc>
          <w:tcPr>
            <w:tcW w:w="150" w:type="pct"/>
            <w:vMerge/>
            <w:tcBorders>
              <w:top w:val="nil"/>
              <w:left w:val="nil"/>
              <w:bottom w:val="nil"/>
              <w:right w:val="nil"/>
            </w:tcBorders>
            <w:vAlign w:val="center"/>
            <w:hideMark/>
          </w:tcPr>
          <w:p w14:paraId="2EA30223"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25" w:type="pct"/>
            <w:tcBorders>
              <w:top w:val="nil"/>
              <w:left w:val="nil"/>
              <w:bottom w:val="nil"/>
              <w:right w:val="nil"/>
            </w:tcBorders>
            <w:shd w:val="clear" w:color="auto" w:fill="auto"/>
            <w:noWrap/>
            <w:vAlign w:val="bottom"/>
            <w:hideMark/>
          </w:tcPr>
          <w:p w14:paraId="3E95D673" w14:textId="77777777"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0.34</w:t>
            </w:r>
          </w:p>
        </w:tc>
        <w:tc>
          <w:tcPr>
            <w:tcW w:w="389" w:type="pct"/>
            <w:tcBorders>
              <w:top w:val="nil"/>
              <w:left w:val="nil"/>
              <w:bottom w:val="nil"/>
              <w:right w:val="nil"/>
            </w:tcBorders>
            <w:shd w:val="clear" w:color="000000" w:fill="FFC7CE"/>
            <w:noWrap/>
            <w:vAlign w:val="bottom"/>
            <w:hideMark/>
          </w:tcPr>
          <w:p w14:paraId="1550DC89"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49.0 </w:t>
            </w:r>
          </w:p>
        </w:tc>
        <w:tc>
          <w:tcPr>
            <w:tcW w:w="356" w:type="pct"/>
            <w:tcBorders>
              <w:top w:val="nil"/>
              <w:left w:val="nil"/>
              <w:bottom w:val="nil"/>
              <w:right w:val="nil"/>
            </w:tcBorders>
            <w:shd w:val="clear" w:color="000000" w:fill="FFC7CE"/>
            <w:noWrap/>
            <w:vAlign w:val="bottom"/>
            <w:hideMark/>
          </w:tcPr>
          <w:p w14:paraId="5A2936AE"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32.1 </w:t>
            </w:r>
          </w:p>
        </w:tc>
        <w:tc>
          <w:tcPr>
            <w:tcW w:w="357" w:type="pct"/>
            <w:tcBorders>
              <w:top w:val="nil"/>
              <w:left w:val="nil"/>
              <w:bottom w:val="nil"/>
              <w:right w:val="nil"/>
            </w:tcBorders>
            <w:shd w:val="clear" w:color="000000" w:fill="FFC7CE"/>
            <w:noWrap/>
            <w:vAlign w:val="bottom"/>
            <w:hideMark/>
          </w:tcPr>
          <w:p w14:paraId="7A2392EA"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24.1 </w:t>
            </w:r>
          </w:p>
        </w:tc>
        <w:tc>
          <w:tcPr>
            <w:tcW w:w="357" w:type="pct"/>
            <w:tcBorders>
              <w:top w:val="nil"/>
              <w:left w:val="nil"/>
              <w:bottom w:val="nil"/>
              <w:right w:val="nil"/>
            </w:tcBorders>
            <w:shd w:val="clear" w:color="000000" w:fill="C6EFCE"/>
            <w:noWrap/>
            <w:vAlign w:val="bottom"/>
            <w:hideMark/>
          </w:tcPr>
          <w:p w14:paraId="41C815D1"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19.5 </w:t>
            </w:r>
          </w:p>
        </w:tc>
        <w:tc>
          <w:tcPr>
            <w:tcW w:w="357" w:type="pct"/>
            <w:tcBorders>
              <w:top w:val="nil"/>
              <w:left w:val="nil"/>
              <w:bottom w:val="nil"/>
              <w:right w:val="nil"/>
            </w:tcBorders>
            <w:shd w:val="clear" w:color="000000" w:fill="C6EFCE"/>
            <w:noWrap/>
            <w:vAlign w:val="bottom"/>
            <w:hideMark/>
          </w:tcPr>
          <w:p w14:paraId="33F9C1AD"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16.3 </w:t>
            </w:r>
          </w:p>
        </w:tc>
        <w:tc>
          <w:tcPr>
            <w:tcW w:w="357" w:type="pct"/>
            <w:tcBorders>
              <w:top w:val="nil"/>
              <w:left w:val="nil"/>
              <w:bottom w:val="nil"/>
              <w:right w:val="nil"/>
            </w:tcBorders>
            <w:shd w:val="clear" w:color="000000" w:fill="C6EFCE"/>
            <w:noWrap/>
            <w:vAlign w:val="bottom"/>
            <w:hideMark/>
          </w:tcPr>
          <w:p w14:paraId="0F87E005"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14.1 </w:t>
            </w:r>
          </w:p>
        </w:tc>
        <w:tc>
          <w:tcPr>
            <w:tcW w:w="357" w:type="pct"/>
            <w:tcBorders>
              <w:top w:val="nil"/>
              <w:left w:val="nil"/>
              <w:bottom w:val="nil"/>
              <w:right w:val="nil"/>
            </w:tcBorders>
            <w:shd w:val="clear" w:color="000000" w:fill="C6EFCE"/>
            <w:noWrap/>
            <w:vAlign w:val="bottom"/>
            <w:hideMark/>
          </w:tcPr>
          <w:p w14:paraId="6AA9CEF2"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12.4 </w:t>
            </w:r>
          </w:p>
        </w:tc>
        <w:tc>
          <w:tcPr>
            <w:tcW w:w="357" w:type="pct"/>
            <w:tcBorders>
              <w:top w:val="nil"/>
              <w:left w:val="nil"/>
              <w:bottom w:val="nil"/>
              <w:right w:val="nil"/>
            </w:tcBorders>
            <w:shd w:val="clear" w:color="000000" w:fill="C6EFCE"/>
            <w:noWrap/>
            <w:vAlign w:val="bottom"/>
            <w:hideMark/>
          </w:tcPr>
          <w:p w14:paraId="0F74FD6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11.0 </w:t>
            </w:r>
          </w:p>
        </w:tc>
        <w:tc>
          <w:tcPr>
            <w:tcW w:w="373" w:type="pct"/>
            <w:tcBorders>
              <w:top w:val="nil"/>
              <w:left w:val="nil"/>
              <w:bottom w:val="nil"/>
              <w:right w:val="nil"/>
            </w:tcBorders>
            <w:shd w:val="clear" w:color="000000" w:fill="C6EFCE"/>
            <w:noWrap/>
            <w:vAlign w:val="bottom"/>
            <w:hideMark/>
          </w:tcPr>
          <w:p w14:paraId="162AD41B"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10.0 </w:t>
            </w:r>
          </w:p>
        </w:tc>
        <w:tc>
          <w:tcPr>
            <w:tcW w:w="357" w:type="pct"/>
            <w:tcBorders>
              <w:top w:val="nil"/>
              <w:left w:val="nil"/>
              <w:bottom w:val="nil"/>
              <w:right w:val="nil"/>
            </w:tcBorders>
            <w:shd w:val="clear" w:color="000000" w:fill="C6EFCE"/>
            <w:noWrap/>
            <w:vAlign w:val="bottom"/>
            <w:hideMark/>
          </w:tcPr>
          <w:p w14:paraId="0417C84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9.1 </w:t>
            </w:r>
          </w:p>
        </w:tc>
        <w:tc>
          <w:tcPr>
            <w:tcW w:w="357" w:type="pct"/>
            <w:tcBorders>
              <w:top w:val="nil"/>
              <w:left w:val="nil"/>
              <w:bottom w:val="nil"/>
              <w:right w:val="nil"/>
            </w:tcBorders>
            <w:shd w:val="clear" w:color="000000" w:fill="C6EFCE"/>
            <w:noWrap/>
            <w:vAlign w:val="bottom"/>
            <w:hideMark/>
          </w:tcPr>
          <w:p w14:paraId="1F6C308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8.3 </w:t>
            </w:r>
          </w:p>
        </w:tc>
        <w:tc>
          <w:tcPr>
            <w:tcW w:w="353" w:type="pct"/>
            <w:tcBorders>
              <w:top w:val="nil"/>
              <w:left w:val="nil"/>
              <w:bottom w:val="nil"/>
              <w:right w:val="nil"/>
            </w:tcBorders>
            <w:shd w:val="clear" w:color="000000" w:fill="C6EFCE"/>
            <w:noWrap/>
            <w:vAlign w:val="bottom"/>
            <w:hideMark/>
          </w:tcPr>
          <w:p w14:paraId="148E7CDE"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7.7 </w:t>
            </w:r>
          </w:p>
        </w:tc>
      </w:tr>
      <w:tr w:rsidR="00280058" w:rsidRPr="002C025E" w14:paraId="5ADFCEF5" w14:textId="77777777" w:rsidTr="0005008F">
        <w:tc>
          <w:tcPr>
            <w:tcW w:w="150" w:type="pct"/>
            <w:vMerge/>
            <w:tcBorders>
              <w:top w:val="nil"/>
              <w:left w:val="nil"/>
              <w:bottom w:val="nil"/>
              <w:right w:val="nil"/>
            </w:tcBorders>
            <w:vAlign w:val="center"/>
            <w:hideMark/>
          </w:tcPr>
          <w:p w14:paraId="29057A05"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25" w:type="pct"/>
            <w:tcBorders>
              <w:top w:val="nil"/>
              <w:left w:val="nil"/>
              <w:bottom w:val="nil"/>
              <w:right w:val="nil"/>
            </w:tcBorders>
            <w:shd w:val="clear" w:color="auto" w:fill="auto"/>
            <w:noWrap/>
            <w:vAlign w:val="bottom"/>
            <w:hideMark/>
          </w:tcPr>
          <w:p w14:paraId="5226DE51"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b/>
                <w:bCs/>
                <w:sz w:val="18"/>
                <w:szCs w:val="18"/>
                <w:lang w:val="lt-LT" w:eastAsia="lt-LT"/>
              </w:rPr>
              <w:t>0.35</w:t>
            </w:r>
          </w:p>
        </w:tc>
        <w:tc>
          <w:tcPr>
            <w:tcW w:w="389" w:type="pct"/>
            <w:tcBorders>
              <w:top w:val="nil"/>
              <w:left w:val="nil"/>
              <w:bottom w:val="nil"/>
              <w:right w:val="nil"/>
            </w:tcBorders>
            <w:shd w:val="clear" w:color="000000" w:fill="FFC7CE"/>
            <w:noWrap/>
            <w:vAlign w:val="bottom"/>
            <w:hideMark/>
          </w:tcPr>
          <w:p w14:paraId="382BB4B9"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46.0 </w:t>
            </w:r>
          </w:p>
        </w:tc>
        <w:tc>
          <w:tcPr>
            <w:tcW w:w="356" w:type="pct"/>
            <w:tcBorders>
              <w:top w:val="nil"/>
              <w:left w:val="nil"/>
              <w:bottom w:val="nil"/>
              <w:right w:val="nil"/>
            </w:tcBorders>
            <w:shd w:val="clear" w:color="000000" w:fill="FFC7CE"/>
            <w:noWrap/>
            <w:vAlign w:val="bottom"/>
            <w:hideMark/>
          </w:tcPr>
          <w:p w14:paraId="7FC0FB3D"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30.6 </w:t>
            </w:r>
          </w:p>
        </w:tc>
        <w:tc>
          <w:tcPr>
            <w:tcW w:w="357" w:type="pct"/>
            <w:tcBorders>
              <w:top w:val="nil"/>
              <w:left w:val="nil"/>
              <w:bottom w:val="nil"/>
              <w:right w:val="nil"/>
            </w:tcBorders>
            <w:shd w:val="clear" w:color="000000" w:fill="FFC7CE"/>
            <w:noWrap/>
            <w:vAlign w:val="bottom"/>
            <w:hideMark/>
          </w:tcPr>
          <w:p w14:paraId="297351CA"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23.2 </w:t>
            </w:r>
          </w:p>
        </w:tc>
        <w:tc>
          <w:tcPr>
            <w:tcW w:w="357" w:type="pct"/>
            <w:tcBorders>
              <w:top w:val="nil"/>
              <w:left w:val="nil"/>
              <w:bottom w:val="nil"/>
              <w:right w:val="nil"/>
            </w:tcBorders>
            <w:shd w:val="clear" w:color="000000" w:fill="C6EFCE"/>
            <w:noWrap/>
            <w:vAlign w:val="bottom"/>
            <w:hideMark/>
          </w:tcPr>
          <w:p w14:paraId="48158B53"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18.7 </w:t>
            </w:r>
          </w:p>
        </w:tc>
        <w:tc>
          <w:tcPr>
            <w:tcW w:w="357" w:type="pct"/>
            <w:tcBorders>
              <w:top w:val="nil"/>
              <w:left w:val="nil"/>
              <w:bottom w:val="nil"/>
              <w:right w:val="nil"/>
            </w:tcBorders>
            <w:shd w:val="clear" w:color="000000" w:fill="C6EFCE"/>
            <w:noWrap/>
            <w:vAlign w:val="bottom"/>
            <w:hideMark/>
          </w:tcPr>
          <w:p w14:paraId="7D8EB9ED"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15.7 </w:t>
            </w:r>
          </w:p>
        </w:tc>
        <w:tc>
          <w:tcPr>
            <w:tcW w:w="357" w:type="pct"/>
            <w:tcBorders>
              <w:top w:val="nil"/>
              <w:left w:val="nil"/>
              <w:bottom w:val="nil"/>
              <w:right w:val="nil"/>
            </w:tcBorders>
            <w:shd w:val="clear" w:color="000000" w:fill="C6EFCE"/>
            <w:noWrap/>
            <w:vAlign w:val="bottom"/>
            <w:hideMark/>
          </w:tcPr>
          <w:p w14:paraId="677FC3F0"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13.6 </w:t>
            </w:r>
          </w:p>
        </w:tc>
        <w:tc>
          <w:tcPr>
            <w:tcW w:w="357" w:type="pct"/>
            <w:tcBorders>
              <w:top w:val="nil"/>
              <w:left w:val="nil"/>
              <w:bottom w:val="nil"/>
              <w:right w:val="nil"/>
            </w:tcBorders>
            <w:shd w:val="clear" w:color="000000" w:fill="C6EFCE"/>
            <w:noWrap/>
            <w:vAlign w:val="bottom"/>
            <w:hideMark/>
          </w:tcPr>
          <w:p w14:paraId="2B8CBE5B"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11.9 </w:t>
            </w:r>
          </w:p>
        </w:tc>
        <w:tc>
          <w:tcPr>
            <w:tcW w:w="357" w:type="pct"/>
            <w:tcBorders>
              <w:top w:val="nil"/>
              <w:left w:val="nil"/>
              <w:bottom w:val="nil"/>
              <w:right w:val="nil"/>
            </w:tcBorders>
            <w:shd w:val="clear" w:color="000000" w:fill="C6EFCE"/>
            <w:noWrap/>
            <w:vAlign w:val="bottom"/>
            <w:hideMark/>
          </w:tcPr>
          <w:p w14:paraId="516F7FAD"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10.7 </w:t>
            </w:r>
          </w:p>
        </w:tc>
        <w:tc>
          <w:tcPr>
            <w:tcW w:w="373" w:type="pct"/>
            <w:tcBorders>
              <w:top w:val="nil"/>
              <w:left w:val="nil"/>
              <w:bottom w:val="nil"/>
              <w:right w:val="nil"/>
            </w:tcBorders>
            <w:shd w:val="clear" w:color="000000" w:fill="C6EFCE"/>
            <w:noWrap/>
            <w:vAlign w:val="bottom"/>
            <w:hideMark/>
          </w:tcPr>
          <w:p w14:paraId="3D81E8CA"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9.6 </w:t>
            </w:r>
          </w:p>
        </w:tc>
        <w:tc>
          <w:tcPr>
            <w:tcW w:w="357" w:type="pct"/>
            <w:tcBorders>
              <w:top w:val="nil"/>
              <w:left w:val="nil"/>
              <w:bottom w:val="nil"/>
              <w:right w:val="nil"/>
            </w:tcBorders>
            <w:shd w:val="clear" w:color="000000" w:fill="C6EFCE"/>
            <w:noWrap/>
            <w:vAlign w:val="bottom"/>
            <w:hideMark/>
          </w:tcPr>
          <w:p w14:paraId="3BCC5829"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8.8 </w:t>
            </w:r>
          </w:p>
        </w:tc>
        <w:tc>
          <w:tcPr>
            <w:tcW w:w="357" w:type="pct"/>
            <w:tcBorders>
              <w:top w:val="nil"/>
              <w:left w:val="nil"/>
              <w:bottom w:val="nil"/>
              <w:right w:val="nil"/>
            </w:tcBorders>
            <w:shd w:val="clear" w:color="000000" w:fill="C6EFCE"/>
            <w:noWrap/>
            <w:vAlign w:val="bottom"/>
            <w:hideMark/>
          </w:tcPr>
          <w:p w14:paraId="295F0160"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8.1 </w:t>
            </w:r>
          </w:p>
        </w:tc>
        <w:tc>
          <w:tcPr>
            <w:tcW w:w="353" w:type="pct"/>
            <w:tcBorders>
              <w:top w:val="nil"/>
              <w:left w:val="nil"/>
              <w:bottom w:val="nil"/>
              <w:right w:val="nil"/>
            </w:tcBorders>
            <w:shd w:val="clear" w:color="000000" w:fill="C6EFCE"/>
            <w:noWrap/>
            <w:vAlign w:val="bottom"/>
            <w:hideMark/>
          </w:tcPr>
          <w:p w14:paraId="3CC4899B"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7.5 </w:t>
            </w:r>
          </w:p>
        </w:tc>
      </w:tr>
      <w:tr w:rsidR="00280058" w:rsidRPr="002C025E" w14:paraId="0468D7FD" w14:textId="77777777" w:rsidTr="0005008F">
        <w:tc>
          <w:tcPr>
            <w:tcW w:w="150" w:type="pct"/>
            <w:vMerge/>
            <w:tcBorders>
              <w:top w:val="nil"/>
              <w:left w:val="nil"/>
              <w:bottom w:val="nil"/>
              <w:right w:val="nil"/>
            </w:tcBorders>
            <w:vAlign w:val="center"/>
            <w:hideMark/>
          </w:tcPr>
          <w:p w14:paraId="57136A10"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25" w:type="pct"/>
            <w:tcBorders>
              <w:top w:val="nil"/>
              <w:left w:val="nil"/>
              <w:bottom w:val="nil"/>
              <w:right w:val="nil"/>
            </w:tcBorders>
            <w:shd w:val="clear" w:color="auto" w:fill="auto"/>
            <w:noWrap/>
            <w:vAlign w:val="bottom"/>
            <w:hideMark/>
          </w:tcPr>
          <w:p w14:paraId="1ED8D895"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b/>
                <w:bCs/>
                <w:sz w:val="18"/>
                <w:szCs w:val="18"/>
                <w:lang w:val="lt-LT" w:eastAsia="lt-LT"/>
              </w:rPr>
              <w:t>0.36</w:t>
            </w:r>
          </w:p>
        </w:tc>
        <w:tc>
          <w:tcPr>
            <w:tcW w:w="389" w:type="pct"/>
            <w:tcBorders>
              <w:top w:val="nil"/>
              <w:left w:val="nil"/>
              <w:bottom w:val="nil"/>
              <w:right w:val="nil"/>
            </w:tcBorders>
            <w:shd w:val="clear" w:color="000000" w:fill="FFC7CE"/>
            <w:noWrap/>
            <w:vAlign w:val="bottom"/>
            <w:hideMark/>
          </w:tcPr>
          <w:p w14:paraId="7FF98DC3"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43.4 </w:t>
            </w:r>
          </w:p>
        </w:tc>
        <w:tc>
          <w:tcPr>
            <w:tcW w:w="356" w:type="pct"/>
            <w:tcBorders>
              <w:top w:val="nil"/>
              <w:left w:val="nil"/>
              <w:bottom w:val="nil"/>
              <w:right w:val="nil"/>
            </w:tcBorders>
            <w:shd w:val="clear" w:color="000000" w:fill="FFC7CE"/>
            <w:noWrap/>
            <w:vAlign w:val="bottom"/>
            <w:hideMark/>
          </w:tcPr>
          <w:p w14:paraId="23C0768A"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29.2 </w:t>
            </w:r>
          </w:p>
        </w:tc>
        <w:tc>
          <w:tcPr>
            <w:tcW w:w="357" w:type="pct"/>
            <w:tcBorders>
              <w:top w:val="nil"/>
              <w:left w:val="nil"/>
              <w:bottom w:val="nil"/>
              <w:right w:val="nil"/>
            </w:tcBorders>
            <w:shd w:val="clear" w:color="000000" w:fill="FFC7CE"/>
            <w:noWrap/>
            <w:vAlign w:val="bottom"/>
            <w:hideMark/>
          </w:tcPr>
          <w:p w14:paraId="299059FC"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22.2 </w:t>
            </w:r>
          </w:p>
        </w:tc>
        <w:tc>
          <w:tcPr>
            <w:tcW w:w="357" w:type="pct"/>
            <w:tcBorders>
              <w:top w:val="nil"/>
              <w:left w:val="nil"/>
              <w:bottom w:val="nil"/>
              <w:right w:val="nil"/>
            </w:tcBorders>
            <w:shd w:val="clear" w:color="000000" w:fill="C6EFCE"/>
            <w:noWrap/>
            <w:vAlign w:val="bottom"/>
            <w:hideMark/>
          </w:tcPr>
          <w:p w14:paraId="21D8E7D3"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18.0 </w:t>
            </w:r>
          </w:p>
        </w:tc>
        <w:tc>
          <w:tcPr>
            <w:tcW w:w="357" w:type="pct"/>
            <w:tcBorders>
              <w:top w:val="nil"/>
              <w:left w:val="nil"/>
              <w:bottom w:val="nil"/>
              <w:right w:val="nil"/>
            </w:tcBorders>
            <w:shd w:val="clear" w:color="000000" w:fill="C6EFCE"/>
            <w:noWrap/>
            <w:vAlign w:val="bottom"/>
            <w:hideMark/>
          </w:tcPr>
          <w:p w14:paraId="194243E0"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15.2 </w:t>
            </w:r>
          </w:p>
        </w:tc>
        <w:tc>
          <w:tcPr>
            <w:tcW w:w="357" w:type="pct"/>
            <w:tcBorders>
              <w:top w:val="nil"/>
              <w:left w:val="nil"/>
              <w:bottom w:val="nil"/>
              <w:right w:val="nil"/>
            </w:tcBorders>
            <w:shd w:val="clear" w:color="000000" w:fill="C6EFCE"/>
            <w:noWrap/>
            <w:vAlign w:val="bottom"/>
            <w:hideMark/>
          </w:tcPr>
          <w:p w14:paraId="1E32A106"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13.1 </w:t>
            </w:r>
          </w:p>
        </w:tc>
        <w:tc>
          <w:tcPr>
            <w:tcW w:w="357" w:type="pct"/>
            <w:tcBorders>
              <w:top w:val="nil"/>
              <w:left w:val="nil"/>
              <w:bottom w:val="nil"/>
              <w:right w:val="nil"/>
            </w:tcBorders>
            <w:shd w:val="clear" w:color="000000" w:fill="C6EFCE"/>
            <w:noWrap/>
            <w:vAlign w:val="bottom"/>
            <w:hideMark/>
          </w:tcPr>
          <w:p w14:paraId="175822F2"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11.5 </w:t>
            </w:r>
          </w:p>
        </w:tc>
        <w:tc>
          <w:tcPr>
            <w:tcW w:w="357" w:type="pct"/>
            <w:tcBorders>
              <w:top w:val="nil"/>
              <w:left w:val="nil"/>
              <w:bottom w:val="nil"/>
              <w:right w:val="nil"/>
            </w:tcBorders>
            <w:shd w:val="clear" w:color="000000" w:fill="C6EFCE"/>
            <w:noWrap/>
            <w:vAlign w:val="bottom"/>
            <w:hideMark/>
          </w:tcPr>
          <w:p w14:paraId="2B41677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10.3 </w:t>
            </w:r>
          </w:p>
        </w:tc>
        <w:tc>
          <w:tcPr>
            <w:tcW w:w="373" w:type="pct"/>
            <w:tcBorders>
              <w:top w:val="nil"/>
              <w:left w:val="nil"/>
              <w:bottom w:val="nil"/>
              <w:right w:val="nil"/>
            </w:tcBorders>
            <w:shd w:val="clear" w:color="000000" w:fill="C6EFCE"/>
            <w:noWrap/>
            <w:vAlign w:val="bottom"/>
            <w:hideMark/>
          </w:tcPr>
          <w:p w14:paraId="072C34DA"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9.3 </w:t>
            </w:r>
          </w:p>
        </w:tc>
        <w:tc>
          <w:tcPr>
            <w:tcW w:w="357" w:type="pct"/>
            <w:tcBorders>
              <w:top w:val="nil"/>
              <w:left w:val="nil"/>
              <w:bottom w:val="nil"/>
              <w:right w:val="nil"/>
            </w:tcBorders>
            <w:shd w:val="clear" w:color="000000" w:fill="C6EFCE"/>
            <w:noWrap/>
            <w:vAlign w:val="bottom"/>
            <w:hideMark/>
          </w:tcPr>
          <w:p w14:paraId="45F44E23"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8.5 </w:t>
            </w:r>
          </w:p>
        </w:tc>
        <w:tc>
          <w:tcPr>
            <w:tcW w:w="357" w:type="pct"/>
            <w:tcBorders>
              <w:top w:val="nil"/>
              <w:left w:val="nil"/>
              <w:bottom w:val="nil"/>
              <w:right w:val="nil"/>
            </w:tcBorders>
            <w:shd w:val="clear" w:color="000000" w:fill="C6EFCE"/>
            <w:noWrap/>
            <w:vAlign w:val="bottom"/>
            <w:hideMark/>
          </w:tcPr>
          <w:p w14:paraId="48665E5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7.8 </w:t>
            </w:r>
          </w:p>
        </w:tc>
        <w:tc>
          <w:tcPr>
            <w:tcW w:w="353" w:type="pct"/>
            <w:tcBorders>
              <w:top w:val="nil"/>
              <w:left w:val="nil"/>
              <w:bottom w:val="nil"/>
              <w:right w:val="nil"/>
            </w:tcBorders>
            <w:shd w:val="clear" w:color="000000" w:fill="C6EFCE"/>
            <w:noWrap/>
            <w:vAlign w:val="bottom"/>
            <w:hideMark/>
          </w:tcPr>
          <w:p w14:paraId="1A3F2B32"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7.2 </w:t>
            </w:r>
          </w:p>
        </w:tc>
      </w:tr>
    </w:tbl>
    <w:p w14:paraId="4532A893" w14:textId="77777777" w:rsidR="00280058" w:rsidRPr="00DF3A8E" w:rsidRDefault="00280058" w:rsidP="00280058">
      <w:pPr>
        <w:jc w:val="both"/>
        <w:rPr>
          <w:rFonts w:ascii="Georgia" w:hAnsi="Georgia"/>
          <w:sz w:val="20"/>
          <w:lang w:val="lt-LT"/>
        </w:rPr>
      </w:pPr>
    </w:p>
    <w:p w14:paraId="4379FAED" w14:textId="77777777" w:rsidR="00280058" w:rsidRDefault="00280058" w:rsidP="00280058">
      <w:pPr>
        <w:jc w:val="both"/>
        <w:rPr>
          <w:rFonts w:ascii="Georgia" w:hAnsi="Georgia"/>
          <w:sz w:val="20"/>
          <w:lang w:val="lt-LT"/>
        </w:rPr>
      </w:pPr>
      <w:r>
        <w:rPr>
          <w:rFonts w:ascii="Georgia" w:hAnsi="Georgia"/>
          <w:sz w:val="20"/>
          <w:lang w:val="lt-LT"/>
        </w:rPr>
        <w:t>Pagal a</w:t>
      </w:r>
      <w:r w:rsidRPr="00DF3A8E">
        <w:rPr>
          <w:rFonts w:ascii="Georgia" w:hAnsi="Georgia"/>
          <w:sz w:val="20"/>
          <w:lang w:val="lt-LT"/>
        </w:rPr>
        <w:t xml:space="preserve">ukščiau pateiktoje </w:t>
      </w:r>
      <w:r>
        <w:rPr>
          <w:rFonts w:ascii="Georgia" w:hAnsi="Georgia"/>
          <w:sz w:val="20"/>
          <w:lang w:val="lt-LT"/>
        </w:rPr>
        <w:t>lentelėje paskaičiuotus jautrumo analizės rezultatus</w:t>
      </w:r>
      <w:r w:rsidRPr="00DF3A8E">
        <w:rPr>
          <w:rFonts w:ascii="Georgia" w:hAnsi="Georgia"/>
          <w:sz w:val="20"/>
          <w:lang w:val="lt-LT"/>
        </w:rPr>
        <w:t xml:space="preserve"> </w:t>
      </w:r>
      <w:r>
        <w:rPr>
          <w:rFonts w:ascii="Georgia" w:hAnsi="Georgia"/>
          <w:sz w:val="20"/>
          <w:lang w:val="lt-LT"/>
        </w:rPr>
        <w:t xml:space="preserve">darytina išvada, jog </w:t>
      </w:r>
      <w:r w:rsidRPr="00DF3A8E">
        <w:rPr>
          <w:rFonts w:ascii="Georgia" w:hAnsi="Georgia"/>
          <w:sz w:val="20"/>
          <w:lang w:val="lt-LT"/>
        </w:rPr>
        <w:t>didesnės energijos kainos lemia greitesnį projektų atsipirkimą</w:t>
      </w:r>
      <w:r>
        <w:rPr>
          <w:rFonts w:ascii="Georgia" w:hAnsi="Georgia"/>
          <w:sz w:val="20"/>
          <w:lang w:val="lt-LT"/>
        </w:rPr>
        <w:t>. Jautrumo analizės</w:t>
      </w:r>
      <w:r w:rsidRPr="00DF3A8E">
        <w:rPr>
          <w:rFonts w:ascii="Georgia" w:hAnsi="Georgia"/>
          <w:sz w:val="20"/>
          <w:lang w:val="lt-LT"/>
        </w:rPr>
        <w:t xml:space="preserve"> duomenys </w:t>
      </w:r>
      <w:r>
        <w:rPr>
          <w:rFonts w:ascii="Georgia" w:hAnsi="Georgia"/>
          <w:sz w:val="20"/>
          <w:lang w:val="lt-LT"/>
        </w:rPr>
        <w:t>rodo</w:t>
      </w:r>
      <w:r w:rsidRPr="00DF3A8E">
        <w:rPr>
          <w:rFonts w:ascii="Georgia" w:hAnsi="Georgia"/>
          <w:sz w:val="20"/>
          <w:lang w:val="lt-LT"/>
        </w:rPr>
        <w:t>, jog kainai esant 0,</w:t>
      </w:r>
      <w:r>
        <w:rPr>
          <w:rFonts w:ascii="Georgia" w:hAnsi="Georgia"/>
          <w:sz w:val="20"/>
          <w:lang w:val="lt-LT"/>
        </w:rPr>
        <w:t>294</w:t>
      </w:r>
      <w:r w:rsidRPr="00DF3A8E">
        <w:rPr>
          <w:rFonts w:ascii="Georgia" w:hAnsi="Georgia"/>
          <w:sz w:val="20"/>
          <w:lang w:val="lt-LT"/>
        </w:rPr>
        <w:t xml:space="preserve"> Lt už vieną kWh </w:t>
      </w:r>
      <w:r>
        <w:rPr>
          <w:rFonts w:ascii="Georgia" w:hAnsi="Georgia"/>
          <w:sz w:val="20"/>
          <w:lang w:val="lt-LT"/>
        </w:rPr>
        <w:t>(</w:t>
      </w:r>
      <w:r w:rsidRPr="00DF3A8E">
        <w:rPr>
          <w:rFonts w:ascii="Georgia" w:hAnsi="Georgia"/>
          <w:sz w:val="20"/>
          <w:lang w:val="lt-LT"/>
        </w:rPr>
        <w:t xml:space="preserve">ir </w:t>
      </w:r>
      <w:r w:rsidRPr="00CF0044">
        <w:rPr>
          <w:rFonts w:ascii="Georgia" w:hAnsi="Georgia"/>
          <w:sz w:val="20"/>
          <w:lang w:val="lt-LT"/>
        </w:rPr>
        <w:t>kainai augant apie 3 proc. kiekvienais metais)</w:t>
      </w:r>
      <w:r w:rsidRPr="00DF3A8E">
        <w:rPr>
          <w:rFonts w:ascii="Georgia" w:hAnsi="Georgia"/>
          <w:sz w:val="20"/>
          <w:lang w:val="lt-LT"/>
        </w:rPr>
        <w:t xml:space="preserve">, renovacijos projektas atsipirks per </w:t>
      </w:r>
      <w:r>
        <w:rPr>
          <w:rFonts w:ascii="Georgia" w:hAnsi="Georgia"/>
          <w:sz w:val="20"/>
          <w:lang w:val="lt-LT"/>
        </w:rPr>
        <w:t>šiek tiek mažiau kaip 20 metų</w:t>
      </w:r>
      <w:r w:rsidRPr="00DF3A8E">
        <w:rPr>
          <w:rFonts w:ascii="Georgia" w:hAnsi="Georgia"/>
          <w:sz w:val="20"/>
          <w:lang w:val="lt-LT"/>
        </w:rPr>
        <w:t>, tai yra</w:t>
      </w:r>
      <w:r>
        <w:rPr>
          <w:rFonts w:ascii="Georgia" w:hAnsi="Georgia"/>
          <w:sz w:val="20"/>
          <w:lang w:val="lt-LT"/>
        </w:rPr>
        <w:t xml:space="preserve"> per 20 m.</w:t>
      </w:r>
      <w:r w:rsidRPr="00DF3A8E">
        <w:rPr>
          <w:rFonts w:ascii="Georgia" w:hAnsi="Georgia"/>
          <w:sz w:val="20"/>
          <w:lang w:val="lt-LT"/>
        </w:rPr>
        <w:t xml:space="preserve"> paskolos laikotarpį. </w:t>
      </w:r>
    </w:p>
    <w:p w14:paraId="399C22AD" w14:textId="77777777" w:rsidR="00280058" w:rsidRDefault="00280058" w:rsidP="00280058">
      <w:pPr>
        <w:jc w:val="both"/>
        <w:rPr>
          <w:rFonts w:ascii="Georgia" w:hAnsi="Georgia"/>
          <w:sz w:val="20"/>
          <w:lang w:val="lt-LT"/>
        </w:rPr>
      </w:pPr>
      <w:r w:rsidRPr="00DF3A8E">
        <w:rPr>
          <w:rFonts w:ascii="Georgia" w:hAnsi="Georgia"/>
          <w:sz w:val="20"/>
          <w:lang w:val="lt-LT"/>
        </w:rPr>
        <w:t>Žemiau pateikiama</w:t>
      </w:r>
      <w:r>
        <w:rPr>
          <w:rFonts w:ascii="Georgia" w:hAnsi="Georgia"/>
          <w:sz w:val="20"/>
          <w:lang w:val="lt-LT"/>
        </w:rPr>
        <w:t xml:space="preserve"> jautrumo analizės rezultatų lentelė esant</w:t>
      </w:r>
      <w:r w:rsidRPr="00DF3A8E">
        <w:rPr>
          <w:rFonts w:ascii="Georgia" w:hAnsi="Georgia"/>
          <w:sz w:val="20"/>
          <w:lang w:val="lt-LT"/>
        </w:rPr>
        <w:t xml:space="preserve"> toms pačioms prielaidoms, tačiau be subsidi</w:t>
      </w:r>
      <w:r>
        <w:rPr>
          <w:rFonts w:ascii="Georgia" w:hAnsi="Georgia"/>
          <w:sz w:val="20"/>
          <w:lang w:val="lt-LT"/>
        </w:rPr>
        <w:t>jos</w:t>
      </w:r>
      <w:r w:rsidRPr="00DF3A8E">
        <w:rPr>
          <w:rFonts w:ascii="Georgia" w:hAnsi="Georgia"/>
          <w:sz w:val="20"/>
          <w:lang w:val="lt-LT"/>
        </w:rPr>
        <w:t xml:space="preserve"> elemento.</w:t>
      </w:r>
    </w:p>
    <w:p w14:paraId="35EB12C0" w14:textId="056B52F5" w:rsidR="00280058" w:rsidRPr="00893A57" w:rsidRDefault="00280058" w:rsidP="00280058">
      <w:pPr>
        <w:pStyle w:val="Antrat"/>
        <w:jc w:val="both"/>
        <w:rPr>
          <w:lang w:val="lt-LT"/>
        </w:rPr>
      </w:pPr>
      <w:bookmarkStart w:id="122" w:name="_Toc460321626"/>
      <w:r w:rsidRPr="00325641">
        <w:rPr>
          <w:lang w:val="lt-LT"/>
        </w:rPr>
        <w:lastRenderedPageBreak/>
        <w:t xml:space="preserve">Lentelė </w:t>
      </w:r>
      <w:r w:rsidRPr="00325641">
        <w:rPr>
          <w:lang w:val="lt-LT"/>
        </w:rPr>
        <w:fldChar w:fldCharType="begin"/>
      </w:r>
      <w:r w:rsidRPr="00325641">
        <w:rPr>
          <w:lang w:val="lt-LT"/>
        </w:rPr>
        <w:instrText xml:space="preserve"> SEQ Lentelė \* ARABIC </w:instrText>
      </w:r>
      <w:r w:rsidRPr="00325641">
        <w:rPr>
          <w:lang w:val="lt-LT"/>
        </w:rPr>
        <w:fldChar w:fldCharType="separate"/>
      </w:r>
      <w:r w:rsidR="00AA3082">
        <w:rPr>
          <w:noProof/>
          <w:lang w:val="lt-LT"/>
        </w:rPr>
        <w:t>45</w:t>
      </w:r>
      <w:r w:rsidRPr="00325641">
        <w:rPr>
          <w:lang w:val="lt-LT"/>
        </w:rPr>
        <w:fldChar w:fldCharType="end"/>
      </w:r>
      <w:r w:rsidRPr="00325641">
        <w:rPr>
          <w:lang w:val="lt-LT"/>
        </w:rPr>
        <w:t xml:space="preserve">. </w:t>
      </w:r>
      <w:r w:rsidRPr="00893A57">
        <w:rPr>
          <w:lang w:val="lt-LT"/>
        </w:rPr>
        <w:t xml:space="preserve">Šilumos kainos ir galimo sutaupymo </w:t>
      </w:r>
      <w:r>
        <w:rPr>
          <w:lang w:val="lt-LT"/>
        </w:rPr>
        <w:t xml:space="preserve">santykio </w:t>
      </w:r>
      <w:r w:rsidRPr="00893A57">
        <w:rPr>
          <w:lang w:val="lt-LT"/>
        </w:rPr>
        <w:t xml:space="preserve">jautrumo analizė </w:t>
      </w:r>
      <w:r>
        <w:rPr>
          <w:lang w:val="lt-LT"/>
        </w:rPr>
        <w:t>(</w:t>
      </w:r>
      <w:r w:rsidRPr="00893A57">
        <w:rPr>
          <w:lang w:val="lt-LT"/>
        </w:rPr>
        <w:t xml:space="preserve">be </w:t>
      </w:r>
      <w:r>
        <w:rPr>
          <w:lang w:val="lt-LT"/>
        </w:rPr>
        <w:t>subsidijos)</w:t>
      </w:r>
      <w:bookmarkEnd w:id="122"/>
    </w:p>
    <w:tbl>
      <w:tblPr>
        <w:tblW w:w="5000" w:type="pct"/>
        <w:tblCellMar>
          <w:left w:w="28" w:type="dxa"/>
          <w:right w:w="28" w:type="dxa"/>
        </w:tblCellMar>
        <w:tblLook w:val="04A0" w:firstRow="1" w:lastRow="0" w:firstColumn="1" w:lastColumn="0" w:noHBand="0" w:noVBand="1"/>
      </w:tblPr>
      <w:tblGrid>
        <w:gridCol w:w="214"/>
        <w:gridCol w:w="739"/>
        <w:gridCol w:w="739"/>
        <w:gridCol w:w="739"/>
        <w:gridCol w:w="739"/>
        <w:gridCol w:w="739"/>
        <w:gridCol w:w="739"/>
        <w:gridCol w:w="739"/>
        <w:gridCol w:w="739"/>
        <w:gridCol w:w="739"/>
        <w:gridCol w:w="739"/>
        <w:gridCol w:w="739"/>
        <w:gridCol w:w="739"/>
      </w:tblGrid>
      <w:tr w:rsidR="00280058" w:rsidRPr="002C025E" w14:paraId="60EC1952" w14:textId="77777777" w:rsidTr="0005008F">
        <w:trPr>
          <w:tblHeader/>
        </w:trPr>
        <w:tc>
          <w:tcPr>
            <w:tcW w:w="118" w:type="pct"/>
            <w:tcBorders>
              <w:top w:val="nil"/>
              <w:left w:val="nil"/>
              <w:bottom w:val="nil"/>
              <w:right w:val="nil"/>
            </w:tcBorders>
            <w:shd w:val="clear" w:color="auto" w:fill="auto"/>
            <w:noWrap/>
            <w:vAlign w:val="bottom"/>
            <w:hideMark/>
          </w:tcPr>
          <w:p w14:paraId="163B29AB" w14:textId="77777777" w:rsidR="00280058" w:rsidRPr="00DF3A8E" w:rsidRDefault="00280058" w:rsidP="00BB18F6">
            <w:pPr>
              <w:keepNext/>
              <w:spacing w:after="0" w:line="240" w:lineRule="auto"/>
              <w:rPr>
                <w:rFonts w:ascii="Arial" w:eastAsia="Times New Roman" w:hAnsi="Arial" w:cs="Arial"/>
                <w:sz w:val="18"/>
                <w:szCs w:val="18"/>
                <w:lang w:val="lt-LT" w:eastAsia="lt-LT"/>
              </w:rPr>
            </w:pPr>
          </w:p>
        </w:tc>
        <w:tc>
          <w:tcPr>
            <w:tcW w:w="4882" w:type="pct"/>
            <w:gridSpan w:val="12"/>
            <w:tcBorders>
              <w:top w:val="nil"/>
              <w:left w:val="nil"/>
              <w:bottom w:val="nil"/>
              <w:right w:val="nil"/>
            </w:tcBorders>
            <w:shd w:val="clear" w:color="000000" w:fill="FFC18A"/>
            <w:noWrap/>
            <w:vAlign w:val="bottom"/>
            <w:hideMark/>
          </w:tcPr>
          <w:p w14:paraId="76BA3765" w14:textId="77777777" w:rsidR="00280058" w:rsidRPr="00DF3A8E" w:rsidRDefault="00280058" w:rsidP="00BB18F6">
            <w:pPr>
              <w:keepNext/>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Energijos sutaupymai </w:t>
            </w:r>
          </w:p>
        </w:tc>
      </w:tr>
      <w:tr w:rsidR="00280058" w:rsidRPr="002C025E" w14:paraId="363648BC" w14:textId="77777777" w:rsidTr="0005008F">
        <w:trPr>
          <w:tblHeader/>
        </w:trPr>
        <w:tc>
          <w:tcPr>
            <w:tcW w:w="118" w:type="pct"/>
            <w:tcBorders>
              <w:top w:val="nil"/>
              <w:left w:val="nil"/>
              <w:bottom w:val="nil"/>
              <w:right w:val="nil"/>
            </w:tcBorders>
            <w:shd w:val="clear" w:color="auto" w:fill="auto"/>
            <w:noWrap/>
            <w:vAlign w:val="bottom"/>
            <w:hideMark/>
          </w:tcPr>
          <w:p w14:paraId="5C9453E7" w14:textId="77777777" w:rsidR="00280058" w:rsidRPr="00DF3A8E" w:rsidRDefault="00280058" w:rsidP="00BB18F6">
            <w:pPr>
              <w:keepNext/>
              <w:spacing w:after="0" w:line="240" w:lineRule="auto"/>
              <w:rPr>
                <w:rFonts w:ascii="Arial" w:eastAsia="Times New Roman" w:hAnsi="Arial" w:cs="Arial"/>
                <w:sz w:val="18"/>
                <w:szCs w:val="18"/>
                <w:lang w:val="lt-LT" w:eastAsia="lt-LT"/>
              </w:rPr>
            </w:pPr>
          </w:p>
        </w:tc>
        <w:tc>
          <w:tcPr>
            <w:tcW w:w="407" w:type="pct"/>
            <w:tcBorders>
              <w:top w:val="nil"/>
              <w:left w:val="nil"/>
              <w:bottom w:val="nil"/>
              <w:right w:val="nil"/>
            </w:tcBorders>
            <w:shd w:val="clear" w:color="auto" w:fill="auto"/>
            <w:noWrap/>
            <w:vAlign w:val="bottom"/>
            <w:hideMark/>
          </w:tcPr>
          <w:p w14:paraId="41639B16"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color w:val="FFFFFF"/>
                <w:sz w:val="18"/>
                <w:szCs w:val="18"/>
                <w:lang w:val="lt-LT" w:eastAsia="lt-LT"/>
              </w:rPr>
              <w:t xml:space="preserve">            33.8 </w:t>
            </w:r>
          </w:p>
        </w:tc>
        <w:tc>
          <w:tcPr>
            <w:tcW w:w="407" w:type="pct"/>
            <w:tcBorders>
              <w:top w:val="nil"/>
              <w:left w:val="nil"/>
              <w:bottom w:val="nil"/>
              <w:right w:val="nil"/>
            </w:tcBorders>
            <w:shd w:val="clear" w:color="auto" w:fill="auto"/>
            <w:noWrap/>
            <w:vAlign w:val="bottom"/>
            <w:hideMark/>
          </w:tcPr>
          <w:p w14:paraId="2541707D"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25% </w:t>
            </w:r>
          </w:p>
        </w:tc>
        <w:tc>
          <w:tcPr>
            <w:tcW w:w="407" w:type="pct"/>
            <w:tcBorders>
              <w:top w:val="nil"/>
              <w:left w:val="nil"/>
              <w:bottom w:val="nil"/>
              <w:right w:val="nil"/>
            </w:tcBorders>
            <w:shd w:val="clear" w:color="auto" w:fill="auto"/>
            <w:noWrap/>
            <w:vAlign w:val="bottom"/>
            <w:hideMark/>
          </w:tcPr>
          <w:p w14:paraId="5A85288D"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30% </w:t>
            </w:r>
          </w:p>
        </w:tc>
        <w:tc>
          <w:tcPr>
            <w:tcW w:w="407" w:type="pct"/>
            <w:tcBorders>
              <w:top w:val="nil"/>
              <w:left w:val="nil"/>
              <w:bottom w:val="nil"/>
              <w:right w:val="nil"/>
            </w:tcBorders>
            <w:shd w:val="clear" w:color="auto" w:fill="auto"/>
            <w:noWrap/>
            <w:vAlign w:val="bottom"/>
            <w:hideMark/>
          </w:tcPr>
          <w:p w14:paraId="41718B74"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35% </w:t>
            </w:r>
          </w:p>
        </w:tc>
        <w:tc>
          <w:tcPr>
            <w:tcW w:w="407" w:type="pct"/>
            <w:tcBorders>
              <w:top w:val="nil"/>
              <w:left w:val="nil"/>
              <w:bottom w:val="nil"/>
              <w:right w:val="nil"/>
            </w:tcBorders>
            <w:shd w:val="clear" w:color="000000" w:fill="auto"/>
            <w:noWrap/>
            <w:vAlign w:val="bottom"/>
            <w:hideMark/>
          </w:tcPr>
          <w:p w14:paraId="3BFFC000" w14:textId="77777777" w:rsidR="00280058" w:rsidRPr="00F527BB" w:rsidRDefault="00280058" w:rsidP="00BB18F6">
            <w:pPr>
              <w:keepNext/>
              <w:spacing w:after="0" w:line="240" w:lineRule="auto"/>
              <w:jc w:val="right"/>
              <w:rPr>
                <w:rFonts w:ascii="Arial" w:eastAsia="Times New Roman" w:hAnsi="Arial" w:cs="Arial"/>
                <w:b/>
                <w:bCs/>
                <w:sz w:val="18"/>
                <w:szCs w:val="18"/>
                <w:lang w:val="lt-LT" w:eastAsia="lt-LT"/>
              </w:rPr>
            </w:pPr>
            <w:r w:rsidRPr="00F527BB">
              <w:rPr>
                <w:rFonts w:ascii="Arial" w:eastAsia="Times New Roman" w:hAnsi="Arial" w:cs="Arial"/>
                <w:b/>
                <w:bCs/>
                <w:sz w:val="18"/>
                <w:szCs w:val="18"/>
                <w:lang w:val="lt-LT" w:eastAsia="lt-LT"/>
              </w:rPr>
              <w:t xml:space="preserve">40% </w:t>
            </w:r>
          </w:p>
        </w:tc>
        <w:tc>
          <w:tcPr>
            <w:tcW w:w="407" w:type="pct"/>
            <w:tcBorders>
              <w:top w:val="nil"/>
              <w:left w:val="nil"/>
              <w:bottom w:val="nil"/>
              <w:right w:val="nil"/>
            </w:tcBorders>
            <w:shd w:val="clear" w:color="auto" w:fill="auto"/>
            <w:noWrap/>
            <w:vAlign w:val="bottom"/>
            <w:hideMark/>
          </w:tcPr>
          <w:p w14:paraId="5D759830"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45% </w:t>
            </w:r>
          </w:p>
        </w:tc>
        <w:tc>
          <w:tcPr>
            <w:tcW w:w="407" w:type="pct"/>
            <w:tcBorders>
              <w:top w:val="nil"/>
              <w:left w:val="nil"/>
              <w:bottom w:val="nil"/>
              <w:right w:val="nil"/>
            </w:tcBorders>
            <w:shd w:val="clear" w:color="auto" w:fill="auto"/>
            <w:noWrap/>
            <w:vAlign w:val="bottom"/>
            <w:hideMark/>
          </w:tcPr>
          <w:p w14:paraId="035C61A0"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50% </w:t>
            </w:r>
          </w:p>
        </w:tc>
        <w:tc>
          <w:tcPr>
            <w:tcW w:w="407" w:type="pct"/>
            <w:tcBorders>
              <w:top w:val="nil"/>
              <w:left w:val="nil"/>
              <w:bottom w:val="nil"/>
              <w:right w:val="nil"/>
            </w:tcBorders>
            <w:shd w:val="clear" w:color="auto" w:fill="auto"/>
            <w:noWrap/>
            <w:vAlign w:val="bottom"/>
            <w:hideMark/>
          </w:tcPr>
          <w:p w14:paraId="0A19F817"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55% </w:t>
            </w:r>
          </w:p>
        </w:tc>
        <w:tc>
          <w:tcPr>
            <w:tcW w:w="407" w:type="pct"/>
            <w:tcBorders>
              <w:top w:val="nil"/>
              <w:left w:val="nil"/>
              <w:bottom w:val="nil"/>
              <w:right w:val="nil"/>
            </w:tcBorders>
            <w:shd w:val="clear" w:color="auto" w:fill="auto"/>
            <w:noWrap/>
            <w:vAlign w:val="bottom"/>
            <w:hideMark/>
          </w:tcPr>
          <w:p w14:paraId="214F5057"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60% </w:t>
            </w:r>
          </w:p>
        </w:tc>
        <w:tc>
          <w:tcPr>
            <w:tcW w:w="407" w:type="pct"/>
            <w:tcBorders>
              <w:top w:val="nil"/>
              <w:left w:val="nil"/>
              <w:bottom w:val="nil"/>
              <w:right w:val="nil"/>
            </w:tcBorders>
            <w:shd w:val="clear" w:color="auto" w:fill="auto"/>
            <w:noWrap/>
            <w:vAlign w:val="bottom"/>
            <w:hideMark/>
          </w:tcPr>
          <w:p w14:paraId="7AC9E61B"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65% </w:t>
            </w:r>
          </w:p>
        </w:tc>
        <w:tc>
          <w:tcPr>
            <w:tcW w:w="407" w:type="pct"/>
            <w:tcBorders>
              <w:top w:val="nil"/>
              <w:left w:val="nil"/>
              <w:bottom w:val="nil"/>
              <w:right w:val="nil"/>
            </w:tcBorders>
            <w:shd w:val="clear" w:color="auto" w:fill="auto"/>
            <w:noWrap/>
            <w:vAlign w:val="bottom"/>
            <w:hideMark/>
          </w:tcPr>
          <w:p w14:paraId="2E8D851B"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70% </w:t>
            </w:r>
          </w:p>
        </w:tc>
        <w:tc>
          <w:tcPr>
            <w:tcW w:w="407" w:type="pct"/>
            <w:tcBorders>
              <w:top w:val="nil"/>
              <w:left w:val="nil"/>
              <w:bottom w:val="nil"/>
              <w:right w:val="nil"/>
            </w:tcBorders>
            <w:shd w:val="clear" w:color="auto" w:fill="auto"/>
            <w:noWrap/>
            <w:vAlign w:val="bottom"/>
            <w:hideMark/>
          </w:tcPr>
          <w:p w14:paraId="06383AD9"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75% </w:t>
            </w:r>
          </w:p>
        </w:tc>
      </w:tr>
      <w:tr w:rsidR="00280058" w:rsidRPr="002C025E" w14:paraId="1AFB8816" w14:textId="77777777" w:rsidTr="0005008F">
        <w:tc>
          <w:tcPr>
            <w:tcW w:w="118" w:type="pct"/>
            <w:vMerge w:val="restart"/>
            <w:tcBorders>
              <w:top w:val="nil"/>
              <w:left w:val="nil"/>
              <w:bottom w:val="nil"/>
              <w:right w:val="nil"/>
            </w:tcBorders>
            <w:shd w:val="clear" w:color="000000" w:fill="D9D9D9"/>
            <w:textDirection w:val="btLr"/>
            <w:vAlign w:val="center"/>
            <w:hideMark/>
          </w:tcPr>
          <w:p w14:paraId="5B912D16" w14:textId="77777777" w:rsidR="00280058" w:rsidRPr="00DF3A8E" w:rsidRDefault="00280058" w:rsidP="00BB18F6">
            <w:pPr>
              <w:keepNext/>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Energijos kaina</w:t>
            </w:r>
            <w:r>
              <w:rPr>
                <w:rFonts w:ascii="Arial" w:eastAsia="Times New Roman" w:hAnsi="Arial" w:cs="Arial"/>
                <w:b/>
                <w:bCs/>
                <w:sz w:val="18"/>
                <w:szCs w:val="18"/>
                <w:lang w:val="lt-LT" w:eastAsia="lt-LT"/>
              </w:rPr>
              <w:t>, Lt</w:t>
            </w:r>
            <w:r w:rsidRPr="00DF3A8E">
              <w:rPr>
                <w:rFonts w:ascii="Arial" w:eastAsia="Times New Roman" w:hAnsi="Arial" w:cs="Arial"/>
                <w:b/>
                <w:bCs/>
                <w:sz w:val="18"/>
                <w:szCs w:val="18"/>
                <w:lang w:val="lt-LT" w:eastAsia="lt-LT"/>
              </w:rPr>
              <w:t xml:space="preserve"> </w:t>
            </w:r>
          </w:p>
        </w:tc>
        <w:tc>
          <w:tcPr>
            <w:tcW w:w="407" w:type="pct"/>
            <w:tcBorders>
              <w:top w:val="nil"/>
              <w:left w:val="nil"/>
              <w:bottom w:val="nil"/>
              <w:right w:val="nil"/>
            </w:tcBorders>
            <w:shd w:val="clear" w:color="auto" w:fill="auto"/>
            <w:noWrap/>
            <w:vAlign w:val="bottom"/>
            <w:hideMark/>
          </w:tcPr>
          <w:p w14:paraId="6B7B8832" w14:textId="77777777" w:rsidR="00280058" w:rsidRPr="00DF3A8E" w:rsidRDefault="00280058" w:rsidP="00BB18F6">
            <w:pPr>
              <w:keepNext/>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0.26</w:t>
            </w:r>
          </w:p>
        </w:tc>
        <w:tc>
          <w:tcPr>
            <w:tcW w:w="407" w:type="pct"/>
            <w:tcBorders>
              <w:top w:val="nil"/>
              <w:left w:val="nil"/>
              <w:bottom w:val="nil"/>
              <w:right w:val="nil"/>
            </w:tcBorders>
            <w:shd w:val="clear" w:color="auto" w:fill="auto"/>
            <w:noWrap/>
            <w:vAlign w:val="bottom"/>
          </w:tcPr>
          <w:p w14:paraId="7D24D2E2" w14:textId="77777777" w:rsidR="00280058" w:rsidRPr="00DF3A8E" w:rsidRDefault="00280058" w:rsidP="00BB18F6">
            <w:pPr>
              <w:keepNext/>
              <w:spacing w:after="0" w:line="240" w:lineRule="auto"/>
              <w:jc w:val="center"/>
              <w:rPr>
                <w:rFonts w:ascii="Arial" w:eastAsia="Times New Roman" w:hAnsi="Arial" w:cs="Arial"/>
                <w:sz w:val="18"/>
                <w:szCs w:val="18"/>
                <w:lang w:val="lt-LT" w:eastAsia="lt-LT"/>
              </w:rPr>
            </w:pPr>
          </w:p>
        </w:tc>
        <w:tc>
          <w:tcPr>
            <w:tcW w:w="407" w:type="pct"/>
            <w:tcBorders>
              <w:top w:val="nil"/>
              <w:left w:val="nil"/>
              <w:bottom w:val="nil"/>
              <w:right w:val="nil"/>
            </w:tcBorders>
            <w:shd w:val="clear" w:color="000000" w:fill="FFC7CE"/>
            <w:noWrap/>
            <w:vAlign w:val="bottom"/>
            <w:hideMark/>
          </w:tcPr>
          <w:p w14:paraId="08BB1786" w14:textId="77777777" w:rsidR="00280058" w:rsidRPr="00DF3A8E" w:rsidRDefault="00280058" w:rsidP="00BB18F6">
            <w:pPr>
              <w:keepNext/>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103.6 </w:t>
            </w:r>
          </w:p>
        </w:tc>
        <w:tc>
          <w:tcPr>
            <w:tcW w:w="407" w:type="pct"/>
            <w:tcBorders>
              <w:top w:val="nil"/>
              <w:left w:val="nil"/>
              <w:bottom w:val="nil"/>
              <w:right w:val="nil"/>
            </w:tcBorders>
            <w:shd w:val="clear" w:color="000000" w:fill="FFC7CE"/>
            <w:noWrap/>
            <w:vAlign w:val="bottom"/>
            <w:hideMark/>
          </w:tcPr>
          <w:p w14:paraId="0C82270E" w14:textId="77777777" w:rsidR="00280058" w:rsidRPr="00DF3A8E" w:rsidRDefault="00280058" w:rsidP="00BB18F6">
            <w:pPr>
              <w:keepNext/>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57.5 </w:t>
            </w:r>
          </w:p>
        </w:tc>
        <w:tc>
          <w:tcPr>
            <w:tcW w:w="407" w:type="pct"/>
            <w:tcBorders>
              <w:top w:val="nil"/>
              <w:left w:val="nil"/>
              <w:bottom w:val="nil"/>
              <w:right w:val="nil"/>
            </w:tcBorders>
            <w:shd w:val="clear" w:color="000000" w:fill="FFC7CE"/>
            <w:noWrap/>
            <w:vAlign w:val="bottom"/>
            <w:hideMark/>
          </w:tcPr>
          <w:p w14:paraId="7821007A" w14:textId="77777777" w:rsidR="00280058" w:rsidRPr="00DF3A8E" w:rsidRDefault="00280058" w:rsidP="00BB18F6">
            <w:pPr>
              <w:keepNext/>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42.5 </w:t>
            </w:r>
          </w:p>
        </w:tc>
        <w:tc>
          <w:tcPr>
            <w:tcW w:w="407" w:type="pct"/>
            <w:tcBorders>
              <w:top w:val="nil"/>
              <w:left w:val="nil"/>
              <w:bottom w:val="nil"/>
              <w:right w:val="nil"/>
            </w:tcBorders>
            <w:shd w:val="clear" w:color="000000" w:fill="FFC7CE"/>
            <w:noWrap/>
            <w:vAlign w:val="bottom"/>
            <w:hideMark/>
          </w:tcPr>
          <w:p w14:paraId="251C3199" w14:textId="77777777" w:rsidR="00280058" w:rsidRPr="00DF3A8E" w:rsidRDefault="00280058" w:rsidP="00BB18F6">
            <w:pPr>
              <w:keepNext/>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34.1 </w:t>
            </w:r>
          </w:p>
        </w:tc>
        <w:tc>
          <w:tcPr>
            <w:tcW w:w="407" w:type="pct"/>
            <w:tcBorders>
              <w:top w:val="nil"/>
              <w:left w:val="nil"/>
              <w:bottom w:val="nil"/>
              <w:right w:val="nil"/>
            </w:tcBorders>
            <w:shd w:val="clear" w:color="000000" w:fill="FFC7CE"/>
            <w:noWrap/>
            <w:vAlign w:val="bottom"/>
            <w:hideMark/>
          </w:tcPr>
          <w:p w14:paraId="45A77600" w14:textId="77777777" w:rsidR="00280058" w:rsidRPr="00DF3A8E" w:rsidRDefault="00280058" w:rsidP="00BB18F6">
            <w:pPr>
              <w:keepNext/>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28.7 </w:t>
            </w:r>
          </w:p>
        </w:tc>
        <w:tc>
          <w:tcPr>
            <w:tcW w:w="407" w:type="pct"/>
            <w:tcBorders>
              <w:top w:val="nil"/>
              <w:left w:val="nil"/>
              <w:bottom w:val="nil"/>
              <w:right w:val="nil"/>
            </w:tcBorders>
            <w:shd w:val="clear" w:color="000000" w:fill="FFC7CE"/>
            <w:noWrap/>
            <w:vAlign w:val="bottom"/>
            <w:hideMark/>
          </w:tcPr>
          <w:p w14:paraId="4466B96A" w14:textId="77777777" w:rsidR="00280058" w:rsidRPr="00DF3A8E" w:rsidRDefault="00280058" w:rsidP="00BB18F6">
            <w:pPr>
              <w:keepNext/>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24.8 </w:t>
            </w:r>
          </w:p>
        </w:tc>
        <w:tc>
          <w:tcPr>
            <w:tcW w:w="407" w:type="pct"/>
            <w:tcBorders>
              <w:top w:val="nil"/>
              <w:left w:val="nil"/>
              <w:bottom w:val="nil"/>
              <w:right w:val="nil"/>
            </w:tcBorders>
            <w:shd w:val="clear" w:color="000000" w:fill="FFC7CE"/>
            <w:noWrap/>
            <w:vAlign w:val="bottom"/>
            <w:hideMark/>
          </w:tcPr>
          <w:p w14:paraId="33E3E210" w14:textId="77777777" w:rsidR="00280058" w:rsidRPr="00DF3A8E" w:rsidRDefault="00280058" w:rsidP="00BB18F6">
            <w:pPr>
              <w:keepNext/>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21.9 </w:t>
            </w:r>
          </w:p>
        </w:tc>
        <w:tc>
          <w:tcPr>
            <w:tcW w:w="407" w:type="pct"/>
            <w:tcBorders>
              <w:top w:val="nil"/>
              <w:left w:val="nil"/>
              <w:bottom w:val="nil"/>
              <w:right w:val="nil"/>
            </w:tcBorders>
            <w:shd w:val="clear" w:color="000000" w:fill="C6EFCE"/>
            <w:noWrap/>
            <w:vAlign w:val="bottom"/>
            <w:hideMark/>
          </w:tcPr>
          <w:p w14:paraId="48644F63" w14:textId="77777777" w:rsidR="00280058" w:rsidRPr="00DF3A8E" w:rsidRDefault="00280058" w:rsidP="00BB18F6">
            <w:pPr>
              <w:keepNext/>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19.6 </w:t>
            </w:r>
          </w:p>
        </w:tc>
        <w:tc>
          <w:tcPr>
            <w:tcW w:w="407" w:type="pct"/>
            <w:tcBorders>
              <w:top w:val="nil"/>
              <w:left w:val="nil"/>
              <w:bottom w:val="nil"/>
              <w:right w:val="nil"/>
            </w:tcBorders>
            <w:shd w:val="clear" w:color="000000" w:fill="C6EFCE"/>
            <w:noWrap/>
            <w:vAlign w:val="bottom"/>
            <w:hideMark/>
          </w:tcPr>
          <w:p w14:paraId="4B465F0F" w14:textId="77777777" w:rsidR="00280058" w:rsidRPr="00DF3A8E" w:rsidRDefault="00280058" w:rsidP="00BB18F6">
            <w:pPr>
              <w:keepNext/>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17.8 </w:t>
            </w:r>
          </w:p>
        </w:tc>
        <w:tc>
          <w:tcPr>
            <w:tcW w:w="407" w:type="pct"/>
            <w:tcBorders>
              <w:top w:val="nil"/>
              <w:left w:val="nil"/>
              <w:bottom w:val="nil"/>
              <w:right w:val="nil"/>
            </w:tcBorders>
            <w:shd w:val="clear" w:color="000000" w:fill="C6EFCE"/>
            <w:noWrap/>
            <w:vAlign w:val="bottom"/>
            <w:hideMark/>
          </w:tcPr>
          <w:p w14:paraId="65B990F9" w14:textId="77777777" w:rsidR="00280058" w:rsidRPr="00DF3A8E" w:rsidRDefault="00280058" w:rsidP="00BB18F6">
            <w:pPr>
              <w:keepNext/>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16.2 </w:t>
            </w:r>
          </w:p>
        </w:tc>
      </w:tr>
      <w:tr w:rsidR="00280058" w:rsidRPr="002C025E" w14:paraId="04A772BC" w14:textId="77777777" w:rsidTr="0005008F">
        <w:tc>
          <w:tcPr>
            <w:tcW w:w="118" w:type="pct"/>
            <w:vMerge/>
            <w:tcBorders>
              <w:top w:val="nil"/>
              <w:left w:val="nil"/>
              <w:bottom w:val="nil"/>
              <w:right w:val="nil"/>
            </w:tcBorders>
            <w:vAlign w:val="center"/>
            <w:hideMark/>
          </w:tcPr>
          <w:p w14:paraId="3EA06F7C"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407" w:type="pct"/>
            <w:tcBorders>
              <w:top w:val="nil"/>
              <w:left w:val="nil"/>
              <w:bottom w:val="nil"/>
              <w:right w:val="nil"/>
            </w:tcBorders>
            <w:shd w:val="clear" w:color="auto" w:fill="auto"/>
            <w:noWrap/>
            <w:vAlign w:val="bottom"/>
            <w:hideMark/>
          </w:tcPr>
          <w:p w14:paraId="2BE1CA6E" w14:textId="77777777"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0.27</w:t>
            </w:r>
          </w:p>
        </w:tc>
        <w:tc>
          <w:tcPr>
            <w:tcW w:w="407" w:type="pct"/>
            <w:tcBorders>
              <w:top w:val="nil"/>
              <w:left w:val="nil"/>
              <w:bottom w:val="nil"/>
              <w:right w:val="nil"/>
            </w:tcBorders>
            <w:shd w:val="clear" w:color="auto" w:fill="auto"/>
            <w:noWrap/>
            <w:vAlign w:val="bottom"/>
          </w:tcPr>
          <w:p w14:paraId="101FA466" w14:textId="77777777" w:rsidR="00280058" w:rsidRPr="00DF3A8E" w:rsidRDefault="00280058" w:rsidP="00BB18F6">
            <w:pPr>
              <w:spacing w:after="0" w:line="240" w:lineRule="auto"/>
              <w:jc w:val="center"/>
              <w:rPr>
                <w:rFonts w:ascii="Arial" w:eastAsia="Times New Roman" w:hAnsi="Arial" w:cs="Arial"/>
                <w:sz w:val="18"/>
                <w:szCs w:val="18"/>
                <w:lang w:val="lt-LT" w:eastAsia="lt-LT"/>
              </w:rPr>
            </w:pPr>
          </w:p>
        </w:tc>
        <w:tc>
          <w:tcPr>
            <w:tcW w:w="407" w:type="pct"/>
            <w:tcBorders>
              <w:top w:val="nil"/>
              <w:left w:val="nil"/>
              <w:bottom w:val="nil"/>
              <w:right w:val="nil"/>
            </w:tcBorders>
            <w:shd w:val="clear" w:color="000000" w:fill="FFC7CE"/>
            <w:noWrap/>
            <w:vAlign w:val="bottom"/>
            <w:hideMark/>
          </w:tcPr>
          <w:p w14:paraId="28F286A4"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84.6 </w:t>
            </w:r>
          </w:p>
        </w:tc>
        <w:tc>
          <w:tcPr>
            <w:tcW w:w="407" w:type="pct"/>
            <w:tcBorders>
              <w:top w:val="nil"/>
              <w:left w:val="nil"/>
              <w:bottom w:val="nil"/>
              <w:right w:val="nil"/>
            </w:tcBorders>
            <w:shd w:val="clear" w:color="000000" w:fill="FFC7CE"/>
            <w:noWrap/>
            <w:vAlign w:val="bottom"/>
            <w:hideMark/>
          </w:tcPr>
          <w:p w14:paraId="7B241425"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52.3 </w:t>
            </w:r>
          </w:p>
        </w:tc>
        <w:tc>
          <w:tcPr>
            <w:tcW w:w="407" w:type="pct"/>
            <w:tcBorders>
              <w:top w:val="nil"/>
              <w:left w:val="nil"/>
              <w:bottom w:val="nil"/>
              <w:right w:val="nil"/>
            </w:tcBorders>
            <w:shd w:val="clear" w:color="000000" w:fill="FFC7CE"/>
            <w:noWrap/>
            <w:vAlign w:val="bottom"/>
            <w:hideMark/>
          </w:tcPr>
          <w:p w14:paraId="3225D617"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39.4 </w:t>
            </w:r>
          </w:p>
        </w:tc>
        <w:tc>
          <w:tcPr>
            <w:tcW w:w="407" w:type="pct"/>
            <w:tcBorders>
              <w:top w:val="nil"/>
              <w:left w:val="nil"/>
              <w:bottom w:val="nil"/>
              <w:right w:val="nil"/>
            </w:tcBorders>
            <w:shd w:val="clear" w:color="000000" w:fill="FFC7CE"/>
            <w:noWrap/>
            <w:vAlign w:val="bottom"/>
            <w:hideMark/>
          </w:tcPr>
          <w:p w14:paraId="7092F390"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32.0 </w:t>
            </w:r>
          </w:p>
        </w:tc>
        <w:tc>
          <w:tcPr>
            <w:tcW w:w="407" w:type="pct"/>
            <w:tcBorders>
              <w:top w:val="nil"/>
              <w:left w:val="nil"/>
              <w:bottom w:val="nil"/>
              <w:right w:val="nil"/>
            </w:tcBorders>
            <w:shd w:val="clear" w:color="000000" w:fill="FFC7CE"/>
            <w:noWrap/>
            <w:vAlign w:val="bottom"/>
            <w:hideMark/>
          </w:tcPr>
          <w:p w14:paraId="5096D8E4"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27.1 </w:t>
            </w:r>
          </w:p>
        </w:tc>
        <w:tc>
          <w:tcPr>
            <w:tcW w:w="407" w:type="pct"/>
            <w:tcBorders>
              <w:top w:val="nil"/>
              <w:left w:val="nil"/>
              <w:bottom w:val="nil"/>
              <w:right w:val="nil"/>
            </w:tcBorders>
            <w:shd w:val="clear" w:color="000000" w:fill="FFC7CE"/>
            <w:noWrap/>
            <w:vAlign w:val="bottom"/>
            <w:hideMark/>
          </w:tcPr>
          <w:p w14:paraId="460B8D27"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23.5 </w:t>
            </w:r>
          </w:p>
        </w:tc>
        <w:tc>
          <w:tcPr>
            <w:tcW w:w="407" w:type="pct"/>
            <w:tcBorders>
              <w:top w:val="nil"/>
              <w:left w:val="nil"/>
              <w:bottom w:val="nil"/>
              <w:right w:val="nil"/>
            </w:tcBorders>
            <w:shd w:val="clear" w:color="000000" w:fill="FFC7CE"/>
            <w:noWrap/>
            <w:vAlign w:val="bottom"/>
            <w:hideMark/>
          </w:tcPr>
          <w:p w14:paraId="4432E157"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20.8 </w:t>
            </w:r>
          </w:p>
        </w:tc>
        <w:tc>
          <w:tcPr>
            <w:tcW w:w="407" w:type="pct"/>
            <w:tcBorders>
              <w:top w:val="nil"/>
              <w:left w:val="nil"/>
              <w:bottom w:val="nil"/>
              <w:right w:val="nil"/>
            </w:tcBorders>
            <w:shd w:val="clear" w:color="000000" w:fill="C6EFCE"/>
            <w:noWrap/>
            <w:vAlign w:val="bottom"/>
            <w:hideMark/>
          </w:tcPr>
          <w:p w14:paraId="6EFBAE1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18.6 </w:t>
            </w:r>
          </w:p>
        </w:tc>
        <w:tc>
          <w:tcPr>
            <w:tcW w:w="407" w:type="pct"/>
            <w:tcBorders>
              <w:top w:val="nil"/>
              <w:left w:val="nil"/>
              <w:bottom w:val="nil"/>
              <w:right w:val="nil"/>
            </w:tcBorders>
            <w:shd w:val="clear" w:color="000000" w:fill="C6EFCE"/>
            <w:noWrap/>
            <w:vAlign w:val="bottom"/>
            <w:hideMark/>
          </w:tcPr>
          <w:p w14:paraId="48522F8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16.9 </w:t>
            </w:r>
          </w:p>
        </w:tc>
        <w:tc>
          <w:tcPr>
            <w:tcW w:w="407" w:type="pct"/>
            <w:tcBorders>
              <w:top w:val="nil"/>
              <w:left w:val="nil"/>
              <w:bottom w:val="nil"/>
              <w:right w:val="nil"/>
            </w:tcBorders>
            <w:shd w:val="clear" w:color="000000" w:fill="C6EFCE"/>
            <w:noWrap/>
            <w:vAlign w:val="bottom"/>
            <w:hideMark/>
          </w:tcPr>
          <w:p w14:paraId="13F6F87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15.5 </w:t>
            </w:r>
          </w:p>
        </w:tc>
      </w:tr>
      <w:tr w:rsidR="00280058" w:rsidRPr="002C025E" w14:paraId="76781B21" w14:textId="77777777" w:rsidTr="0005008F">
        <w:tc>
          <w:tcPr>
            <w:tcW w:w="118" w:type="pct"/>
            <w:vMerge/>
            <w:tcBorders>
              <w:top w:val="nil"/>
              <w:left w:val="nil"/>
              <w:bottom w:val="nil"/>
              <w:right w:val="nil"/>
            </w:tcBorders>
            <w:vAlign w:val="center"/>
            <w:hideMark/>
          </w:tcPr>
          <w:p w14:paraId="26E946ED"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407" w:type="pct"/>
            <w:tcBorders>
              <w:top w:val="nil"/>
              <w:left w:val="nil"/>
              <w:bottom w:val="nil"/>
              <w:right w:val="nil"/>
            </w:tcBorders>
            <w:shd w:val="clear" w:color="auto" w:fill="auto"/>
            <w:noWrap/>
            <w:vAlign w:val="bottom"/>
            <w:hideMark/>
          </w:tcPr>
          <w:p w14:paraId="5E52C784" w14:textId="77777777"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0.28</w:t>
            </w:r>
          </w:p>
        </w:tc>
        <w:tc>
          <w:tcPr>
            <w:tcW w:w="407" w:type="pct"/>
            <w:tcBorders>
              <w:top w:val="nil"/>
              <w:left w:val="nil"/>
              <w:bottom w:val="nil"/>
              <w:right w:val="nil"/>
            </w:tcBorders>
            <w:shd w:val="clear" w:color="auto" w:fill="auto"/>
            <w:noWrap/>
            <w:vAlign w:val="bottom"/>
          </w:tcPr>
          <w:p w14:paraId="28BCEF7E" w14:textId="77777777" w:rsidR="00280058" w:rsidRPr="00DF3A8E" w:rsidRDefault="00280058" w:rsidP="00BB18F6">
            <w:pPr>
              <w:spacing w:after="0" w:line="240" w:lineRule="auto"/>
              <w:jc w:val="center"/>
              <w:rPr>
                <w:rFonts w:ascii="Arial" w:eastAsia="Times New Roman" w:hAnsi="Arial" w:cs="Arial"/>
                <w:sz w:val="18"/>
                <w:szCs w:val="18"/>
                <w:lang w:val="lt-LT" w:eastAsia="lt-LT"/>
              </w:rPr>
            </w:pPr>
          </w:p>
        </w:tc>
        <w:tc>
          <w:tcPr>
            <w:tcW w:w="407" w:type="pct"/>
            <w:tcBorders>
              <w:top w:val="nil"/>
              <w:left w:val="nil"/>
              <w:bottom w:val="nil"/>
              <w:right w:val="nil"/>
            </w:tcBorders>
            <w:shd w:val="clear" w:color="000000" w:fill="FFC7CE"/>
            <w:noWrap/>
            <w:vAlign w:val="bottom"/>
            <w:hideMark/>
          </w:tcPr>
          <w:p w14:paraId="733C74C2"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73.2 </w:t>
            </w:r>
          </w:p>
        </w:tc>
        <w:tc>
          <w:tcPr>
            <w:tcW w:w="407" w:type="pct"/>
            <w:tcBorders>
              <w:top w:val="nil"/>
              <w:left w:val="nil"/>
              <w:bottom w:val="nil"/>
              <w:right w:val="nil"/>
            </w:tcBorders>
            <w:shd w:val="clear" w:color="000000" w:fill="FFC7CE"/>
            <w:noWrap/>
            <w:vAlign w:val="bottom"/>
            <w:hideMark/>
          </w:tcPr>
          <w:p w14:paraId="71583B52"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48.1 </w:t>
            </w:r>
          </w:p>
        </w:tc>
        <w:tc>
          <w:tcPr>
            <w:tcW w:w="407" w:type="pct"/>
            <w:tcBorders>
              <w:top w:val="nil"/>
              <w:left w:val="nil"/>
              <w:bottom w:val="nil"/>
              <w:right w:val="nil"/>
            </w:tcBorders>
            <w:shd w:val="clear" w:color="000000" w:fill="FFC7CE"/>
            <w:noWrap/>
            <w:vAlign w:val="bottom"/>
            <w:hideMark/>
          </w:tcPr>
          <w:p w14:paraId="60E8BAF0"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36.9 </w:t>
            </w:r>
          </w:p>
        </w:tc>
        <w:tc>
          <w:tcPr>
            <w:tcW w:w="407" w:type="pct"/>
            <w:tcBorders>
              <w:top w:val="nil"/>
              <w:left w:val="nil"/>
              <w:bottom w:val="nil"/>
              <w:right w:val="nil"/>
            </w:tcBorders>
            <w:shd w:val="clear" w:color="000000" w:fill="FFC7CE"/>
            <w:noWrap/>
            <w:vAlign w:val="bottom"/>
            <w:hideMark/>
          </w:tcPr>
          <w:p w14:paraId="5B5876A8"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30.2 </w:t>
            </w:r>
          </w:p>
        </w:tc>
        <w:tc>
          <w:tcPr>
            <w:tcW w:w="407" w:type="pct"/>
            <w:tcBorders>
              <w:top w:val="nil"/>
              <w:left w:val="nil"/>
              <w:bottom w:val="nil"/>
              <w:right w:val="nil"/>
            </w:tcBorders>
            <w:shd w:val="clear" w:color="000000" w:fill="FFC7CE"/>
            <w:noWrap/>
            <w:vAlign w:val="bottom"/>
            <w:hideMark/>
          </w:tcPr>
          <w:p w14:paraId="6BCCF354"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25.6 </w:t>
            </w:r>
          </w:p>
        </w:tc>
        <w:tc>
          <w:tcPr>
            <w:tcW w:w="407" w:type="pct"/>
            <w:tcBorders>
              <w:top w:val="nil"/>
              <w:left w:val="nil"/>
              <w:bottom w:val="nil"/>
              <w:right w:val="nil"/>
            </w:tcBorders>
            <w:shd w:val="clear" w:color="000000" w:fill="FFC7CE"/>
            <w:noWrap/>
            <w:vAlign w:val="bottom"/>
            <w:hideMark/>
          </w:tcPr>
          <w:p w14:paraId="309FD7BA"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22.3 </w:t>
            </w:r>
          </w:p>
        </w:tc>
        <w:tc>
          <w:tcPr>
            <w:tcW w:w="407" w:type="pct"/>
            <w:tcBorders>
              <w:top w:val="nil"/>
              <w:left w:val="nil"/>
              <w:bottom w:val="nil"/>
              <w:right w:val="nil"/>
            </w:tcBorders>
            <w:shd w:val="clear" w:color="000000" w:fill="C6EFCE"/>
            <w:noWrap/>
            <w:vAlign w:val="bottom"/>
            <w:hideMark/>
          </w:tcPr>
          <w:p w14:paraId="7F23B7E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19.8 </w:t>
            </w:r>
          </w:p>
        </w:tc>
        <w:tc>
          <w:tcPr>
            <w:tcW w:w="407" w:type="pct"/>
            <w:tcBorders>
              <w:top w:val="nil"/>
              <w:left w:val="nil"/>
              <w:bottom w:val="nil"/>
              <w:right w:val="nil"/>
            </w:tcBorders>
            <w:shd w:val="clear" w:color="000000" w:fill="C6EFCE"/>
            <w:noWrap/>
            <w:vAlign w:val="bottom"/>
            <w:hideMark/>
          </w:tcPr>
          <w:p w14:paraId="185442F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17.8 </w:t>
            </w:r>
          </w:p>
        </w:tc>
        <w:tc>
          <w:tcPr>
            <w:tcW w:w="407" w:type="pct"/>
            <w:tcBorders>
              <w:top w:val="nil"/>
              <w:left w:val="nil"/>
              <w:bottom w:val="nil"/>
              <w:right w:val="nil"/>
            </w:tcBorders>
            <w:shd w:val="clear" w:color="000000" w:fill="C6EFCE"/>
            <w:noWrap/>
            <w:vAlign w:val="bottom"/>
            <w:hideMark/>
          </w:tcPr>
          <w:p w14:paraId="7399AA03"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16.1 </w:t>
            </w:r>
          </w:p>
        </w:tc>
        <w:tc>
          <w:tcPr>
            <w:tcW w:w="407" w:type="pct"/>
            <w:tcBorders>
              <w:top w:val="nil"/>
              <w:left w:val="nil"/>
              <w:bottom w:val="nil"/>
              <w:right w:val="nil"/>
            </w:tcBorders>
            <w:shd w:val="clear" w:color="000000" w:fill="C6EFCE"/>
            <w:noWrap/>
            <w:vAlign w:val="bottom"/>
            <w:hideMark/>
          </w:tcPr>
          <w:p w14:paraId="691C1C5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14.8 </w:t>
            </w:r>
          </w:p>
        </w:tc>
      </w:tr>
      <w:tr w:rsidR="00280058" w:rsidRPr="002C025E" w14:paraId="5D026AD1" w14:textId="77777777" w:rsidTr="0005008F">
        <w:tc>
          <w:tcPr>
            <w:tcW w:w="118" w:type="pct"/>
            <w:vMerge/>
            <w:tcBorders>
              <w:top w:val="nil"/>
              <w:left w:val="nil"/>
              <w:bottom w:val="nil"/>
              <w:right w:val="nil"/>
            </w:tcBorders>
            <w:vAlign w:val="center"/>
            <w:hideMark/>
          </w:tcPr>
          <w:p w14:paraId="78B5C5E8"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407" w:type="pct"/>
            <w:tcBorders>
              <w:top w:val="nil"/>
              <w:left w:val="nil"/>
              <w:bottom w:val="nil"/>
              <w:right w:val="nil"/>
            </w:tcBorders>
            <w:shd w:val="clear" w:color="auto" w:fill="auto"/>
            <w:noWrap/>
            <w:vAlign w:val="bottom"/>
            <w:hideMark/>
          </w:tcPr>
          <w:p w14:paraId="70765E79" w14:textId="77777777"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0.29</w:t>
            </w:r>
          </w:p>
        </w:tc>
        <w:tc>
          <w:tcPr>
            <w:tcW w:w="407" w:type="pct"/>
            <w:tcBorders>
              <w:top w:val="nil"/>
              <w:left w:val="nil"/>
              <w:bottom w:val="nil"/>
              <w:right w:val="nil"/>
            </w:tcBorders>
            <w:shd w:val="clear" w:color="auto" w:fill="auto"/>
            <w:noWrap/>
            <w:vAlign w:val="bottom"/>
          </w:tcPr>
          <w:p w14:paraId="08133847" w14:textId="77777777" w:rsidR="00280058" w:rsidRPr="00DF3A8E" w:rsidRDefault="00280058" w:rsidP="00BB18F6">
            <w:pPr>
              <w:spacing w:after="0" w:line="240" w:lineRule="auto"/>
              <w:jc w:val="center"/>
              <w:rPr>
                <w:rFonts w:ascii="Arial" w:eastAsia="Times New Roman" w:hAnsi="Arial" w:cs="Arial"/>
                <w:sz w:val="18"/>
                <w:szCs w:val="18"/>
                <w:lang w:val="lt-LT" w:eastAsia="lt-LT"/>
              </w:rPr>
            </w:pPr>
          </w:p>
        </w:tc>
        <w:tc>
          <w:tcPr>
            <w:tcW w:w="407" w:type="pct"/>
            <w:tcBorders>
              <w:top w:val="nil"/>
              <w:left w:val="nil"/>
              <w:bottom w:val="nil"/>
              <w:right w:val="nil"/>
            </w:tcBorders>
            <w:shd w:val="clear" w:color="000000" w:fill="FFC7CE"/>
            <w:noWrap/>
            <w:vAlign w:val="bottom"/>
            <w:hideMark/>
          </w:tcPr>
          <w:p w14:paraId="6462BA0E"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65.2 </w:t>
            </w:r>
          </w:p>
        </w:tc>
        <w:tc>
          <w:tcPr>
            <w:tcW w:w="407" w:type="pct"/>
            <w:tcBorders>
              <w:top w:val="nil"/>
              <w:left w:val="nil"/>
              <w:bottom w:val="nil"/>
              <w:right w:val="nil"/>
            </w:tcBorders>
            <w:shd w:val="clear" w:color="000000" w:fill="FFC7CE"/>
            <w:noWrap/>
            <w:vAlign w:val="bottom"/>
            <w:hideMark/>
          </w:tcPr>
          <w:p w14:paraId="3A88A91E"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44.6 </w:t>
            </w:r>
          </w:p>
        </w:tc>
        <w:tc>
          <w:tcPr>
            <w:tcW w:w="407" w:type="pct"/>
            <w:tcBorders>
              <w:top w:val="nil"/>
              <w:left w:val="nil"/>
              <w:bottom w:val="nil"/>
              <w:right w:val="nil"/>
            </w:tcBorders>
            <w:shd w:val="clear" w:color="000000" w:fill="FFC7CE"/>
            <w:noWrap/>
            <w:vAlign w:val="bottom"/>
            <w:hideMark/>
          </w:tcPr>
          <w:p w14:paraId="27CCAB4F"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34.7 </w:t>
            </w:r>
          </w:p>
        </w:tc>
        <w:tc>
          <w:tcPr>
            <w:tcW w:w="407" w:type="pct"/>
            <w:tcBorders>
              <w:top w:val="nil"/>
              <w:left w:val="nil"/>
              <w:bottom w:val="nil"/>
              <w:right w:val="nil"/>
            </w:tcBorders>
            <w:shd w:val="clear" w:color="000000" w:fill="FFC7CE"/>
            <w:noWrap/>
            <w:vAlign w:val="bottom"/>
            <w:hideMark/>
          </w:tcPr>
          <w:p w14:paraId="71D4AD25"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28.5 </w:t>
            </w:r>
          </w:p>
        </w:tc>
        <w:tc>
          <w:tcPr>
            <w:tcW w:w="407" w:type="pct"/>
            <w:tcBorders>
              <w:top w:val="nil"/>
              <w:left w:val="nil"/>
              <w:bottom w:val="nil"/>
              <w:right w:val="nil"/>
            </w:tcBorders>
            <w:shd w:val="clear" w:color="000000" w:fill="FFC7CE"/>
            <w:noWrap/>
            <w:vAlign w:val="bottom"/>
            <w:hideMark/>
          </w:tcPr>
          <w:p w14:paraId="07034E2B"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24.3 </w:t>
            </w:r>
          </w:p>
        </w:tc>
        <w:tc>
          <w:tcPr>
            <w:tcW w:w="407" w:type="pct"/>
            <w:tcBorders>
              <w:top w:val="nil"/>
              <w:left w:val="nil"/>
              <w:bottom w:val="nil"/>
              <w:right w:val="nil"/>
            </w:tcBorders>
            <w:shd w:val="clear" w:color="000000" w:fill="FFC7CE"/>
            <w:noWrap/>
            <w:vAlign w:val="bottom"/>
            <w:hideMark/>
          </w:tcPr>
          <w:p w14:paraId="24DA867D"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21.2 </w:t>
            </w:r>
          </w:p>
        </w:tc>
        <w:tc>
          <w:tcPr>
            <w:tcW w:w="407" w:type="pct"/>
            <w:tcBorders>
              <w:top w:val="nil"/>
              <w:left w:val="nil"/>
              <w:bottom w:val="nil"/>
              <w:right w:val="nil"/>
            </w:tcBorders>
            <w:shd w:val="clear" w:color="000000" w:fill="C6EFCE"/>
            <w:noWrap/>
            <w:vAlign w:val="bottom"/>
            <w:hideMark/>
          </w:tcPr>
          <w:p w14:paraId="6E662C18"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18.9 </w:t>
            </w:r>
          </w:p>
        </w:tc>
        <w:tc>
          <w:tcPr>
            <w:tcW w:w="407" w:type="pct"/>
            <w:tcBorders>
              <w:top w:val="nil"/>
              <w:left w:val="nil"/>
              <w:bottom w:val="nil"/>
              <w:right w:val="nil"/>
            </w:tcBorders>
            <w:shd w:val="clear" w:color="000000" w:fill="C6EFCE"/>
            <w:noWrap/>
            <w:vAlign w:val="bottom"/>
            <w:hideMark/>
          </w:tcPr>
          <w:p w14:paraId="60B687E2"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17.0 </w:t>
            </w:r>
          </w:p>
        </w:tc>
        <w:tc>
          <w:tcPr>
            <w:tcW w:w="407" w:type="pct"/>
            <w:tcBorders>
              <w:top w:val="nil"/>
              <w:left w:val="nil"/>
              <w:bottom w:val="nil"/>
              <w:right w:val="nil"/>
            </w:tcBorders>
            <w:shd w:val="clear" w:color="000000" w:fill="C6EFCE"/>
            <w:noWrap/>
            <w:vAlign w:val="bottom"/>
            <w:hideMark/>
          </w:tcPr>
          <w:p w14:paraId="5587C9F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15.4 </w:t>
            </w:r>
          </w:p>
        </w:tc>
        <w:tc>
          <w:tcPr>
            <w:tcW w:w="407" w:type="pct"/>
            <w:tcBorders>
              <w:top w:val="nil"/>
              <w:left w:val="nil"/>
              <w:bottom w:val="nil"/>
              <w:right w:val="nil"/>
            </w:tcBorders>
            <w:shd w:val="clear" w:color="000000" w:fill="C6EFCE"/>
            <w:noWrap/>
            <w:vAlign w:val="bottom"/>
            <w:hideMark/>
          </w:tcPr>
          <w:p w14:paraId="555C9D11"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14.2 </w:t>
            </w:r>
          </w:p>
        </w:tc>
      </w:tr>
      <w:tr w:rsidR="00280058" w:rsidRPr="002C025E" w14:paraId="01CBF337" w14:textId="77777777" w:rsidTr="0005008F">
        <w:tc>
          <w:tcPr>
            <w:tcW w:w="118" w:type="pct"/>
            <w:vMerge/>
            <w:tcBorders>
              <w:top w:val="nil"/>
              <w:left w:val="nil"/>
              <w:bottom w:val="nil"/>
              <w:right w:val="nil"/>
            </w:tcBorders>
            <w:vAlign w:val="center"/>
            <w:hideMark/>
          </w:tcPr>
          <w:p w14:paraId="40C8C55E"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407" w:type="pct"/>
            <w:tcBorders>
              <w:top w:val="nil"/>
              <w:left w:val="nil"/>
              <w:bottom w:val="nil"/>
              <w:right w:val="nil"/>
            </w:tcBorders>
            <w:shd w:val="clear" w:color="auto" w:fill="auto"/>
            <w:noWrap/>
            <w:vAlign w:val="bottom"/>
            <w:hideMark/>
          </w:tcPr>
          <w:p w14:paraId="71488122" w14:textId="77777777"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0.30</w:t>
            </w:r>
          </w:p>
        </w:tc>
        <w:tc>
          <w:tcPr>
            <w:tcW w:w="407" w:type="pct"/>
            <w:tcBorders>
              <w:top w:val="nil"/>
              <w:left w:val="nil"/>
              <w:bottom w:val="nil"/>
              <w:right w:val="nil"/>
            </w:tcBorders>
            <w:shd w:val="clear" w:color="000000" w:fill="FFC7CE"/>
            <w:noWrap/>
            <w:vAlign w:val="bottom"/>
            <w:hideMark/>
          </w:tcPr>
          <w:p w14:paraId="058EFB54"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160.6 </w:t>
            </w:r>
          </w:p>
        </w:tc>
        <w:tc>
          <w:tcPr>
            <w:tcW w:w="407" w:type="pct"/>
            <w:tcBorders>
              <w:top w:val="nil"/>
              <w:left w:val="nil"/>
              <w:bottom w:val="nil"/>
              <w:right w:val="nil"/>
            </w:tcBorders>
            <w:shd w:val="clear" w:color="000000" w:fill="FFC7CE"/>
            <w:noWrap/>
            <w:vAlign w:val="bottom"/>
            <w:hideMark/>
          </w:tcPr>
          <w:p w14:paraId="594C704C"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59.2 </w:t>
            </w:r>
          </w:p>
        </w:tc>
        <w:tc>
          <w:tcPr>
            <w:tcW w:w="407" w:type="pct"/>
            <w:tcBorders>
              <w:top w:val="nil"/>
              <w:left w:val="nil"/>
              <w:bottom w:val="nil"/>
              <w:right w:val="nil"/>
            </w:tcBorders>
            <w:shd w:val="clear" w:color="000000" w:fill="FFC7CE"/>
            <w:noWrap/>
            <w:vAlign w:val="bottom"/>
            <w:hideMark/>
          </w:tcPr>
          <w:p w14:paraId="647D08F2"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41.7 </w:t>
            </w:r>
          </w:p>
        </w:tc>
        <w:tc>
          <w:tcPr>
            <w:tcW w:w="407" w:type="pct"/>
            <w:tcBorders>
              <w:top w:val="nil"/>
              <w:left w:val="nil"/>
              <w:bottom w:val="nil"/>
              <w:right w:val="nil"/>
            </w:tcBorders>
            <w:shd w:val="clear" w:color="000000" w:fill="FFC7CE"/>
            <w:noWrap/>
            <w:vAlign w:val="bottom"/>
            <w:hideMark/>
          </w:tcPr>
          <w:p w14:paraId="2BCD16FD"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32.7 </w:t>
            </w:r>
          </w:p>
        </w:tc>
        <w:tc>
          <w:tcPr>
            <w:tcW w:w="407" w:type="pct"/>
            <w:tcBorders>
              <w:top w:val="nil"/>
              <w:left w:val="nil"/>
              <w:bottom w:val="nil"/>
              <w:right w:val="nil"/>
            </w:tcBorders>
            <w:shd w:val="clear" w:color="000000" w:fill="FFC7CE"/>
            <w:noWrap/>
            <w:vAlign w:val="bottom"/>
            <w:hideMark/>
          </w:tcPr>
          <w:p w14:paraId="75F7B10A"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27.1 </w:t>
            </w:r>
          </w:p>
        </w:tc>
        <w:tc>
          <w:tcPr>
            <w:tcW w:w="407" w:type="pct"/>
            <w:tcBorders>
              <w:top w:val="nil"/>
              <w:left w:val="nil"/>
              <w:bottom w:val="nil"/>
              <w:right w:val="nil"/>
            </w:tcBorders>
            <w:shd w:val="clear" w:color="000000" w:fill="FFC7CE"/>
            <w:noWrap/>
            <w:vAlign w:val="bottom"/>
            <w:hideMark/>
          </w:tcPr>
          <w:p w14:paraId="3A4FB143"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23.2 </w:t>
            </w:r>
          </w:p>
        </w:tc>
        <w:tc>
          <w:tcPr>
            <w:tcW w:w="407" w:type="pct"/>
            <w:tcBorders>
              <w:top w:val="nil"/>
              <w:left w:val="nil"/>
              <w:bottom w:val="nil"/>
              <w:right w:val="nil"/>
            </w:tcBorders>
            <w:shd w:val="clear" w:color="000000" w:fill="FFC7CE"/>
            <w:noWrap/>
            <w:vAlign w:val="bottom"/>
            <w:hideMark/>
          </w:tcPr>
          <w:p w14:paraId="1E502F15"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20.3 </w:t>
            </w:r>
          </w:p>
        </w:tc>
        <w:tc>
          <w:tcPr>
            <w:tcW w:w="407" w:type="pct"/>
            <w:tcBorders>
              <w:top w:val="nil"/>
              <w:left w:val="nil"/>
              <w:bottom w:val="nil"/>
              <w:right w:val="nil"/>
            </w:tcBorders>
            <w:shd w:val="clear" w:color="000000" w:fill="C6EFCE"/>
            <w:noWrap/>
            <w:vAlign w:val="bottom"/>
            <w:hideMark/>
          </w:tcPr>
          <w:p w14:paraId="052B0702"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18.0 </w:t>
            </w:r>
          </w:p>
        </w:tc>
        <w:tc>
          <w:tcPr>
            <w:tcW w:w="407" w:type="pct"/>
            <w:tcBorders>
              <w:top w:val="nil"/>
              <w:left w:val="nil"/>
              <w:bottom w:val="nil"/>
              <w:right w:val="nil"/>
            </w:tcBorders>
            <w:shd w:val="clear" w:color="000000" w:fill="C6EFCE"/>
            <w:noWrap/>
            <w:vAlign w:val="bottom"/>
            <w:hideMark/>
          </w:tcPr>
          <w:p w14:paraId="5EB88B0D"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16.2 </w:t>
            </w:r>
          </w:p>
        </w:tc>
        <w:tc>
          <w:tcPr>
            <w:tcW w:w="407" w:type="pct"/>
            <w:tcBorders>
              <w:top w:val="nil"/>
              <w:left w:val="nil"/>
              <w:bottom w:val="nil"/>
              <w:right w:val="nil"/>
            </w:tcBorders>
            <w:shd w:val="clear" w:color="000000" w:fill="C6EFCE"/>
            <w:noWrap/>
            <w:vAlign w:val="bottom"/>
            <w:hideMark/>
          </w:tcPr>
          <w:p w14:paraId="68BB5BD2"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14.8 </w:t>
            </w:r>
          </w:p>
        </w:tc>
        <w:tc>
          <w:tcPr>
            <w:tcW w:w="407" w:type="pct"/>
            <w:tcBorders>
              <w:top w:val="nil"/>
              <w:left w:val="nil"/>
              <w:bottom w:val="nil"/>
              <w:right w:val="nil"/>
            </w:tcBorders>
            <w:shd w:val="clear" w:color="000000" w:fill="C6EFCE"/>
            <w:noWrap/>
            <w:vAlign w:val="bottom"/>
            <w:hideMark/>
          </w:tcPr>
          <w:p w14:paraId="76BE68EB"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13.6 </w:t>
            </w:r>
          </w:p>
        </w:tc>
      </w:tr>
      <w:tr w:rsidR="00280058" w:rsidRPr="002C025E" w14:paraId="71C67935" w14:textId="77777777" w:rsidTr="0005008F">
        <w:tc>
          <w:tcPr>
            <w:tcW w:w="118" w:type="pct"/>
            <w:vMerge/>
            <w:tcBorders>
              <w:top w:val="nil"/>
              <w:left w:val="nil"/>
              <w:bottom w:val="nil"/>
              <w:right w:val="nil"/>
            </w:tcBorders>
            <w:vAlign w:val="center"/>
            <w:hideMark/>
          </w:tcPr>
          <w:p w14:paraId="083E3191"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407" w:type="pct"/>
            <w:tcBorders>
              <w:top w:val="nil"/>
              <w:left w:val="nil"/>
              <w:bottom w:val="nil"/>
              <w:right w:val="nil"/>
            </w:tcBorders>
            <w:shd w:val="clear" w:color="auto" w:fill="auto"/>
            <w:noWrap/>
            <w:vAlign w:val="bottom"/>
            <w:hideMark/>
          </w:tcPr>
          <w:p w14:paraId="55003E13" w14:textId="77777777"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0.31</w:t>
            </w:r>
          </w:p>
        </w:tc>
        <w:tc>
          <w:tcPr>
            <w:tcW w:w="407" w:type="pct"/>
            <w:tcBorders>
              <w:top w:val="nil"/>
              <w:left w:val="nil"/>
              <w:bottom w:val="nil"/>
              <w:right w:val="nil"/>
            </w:tcBorders>
            <w:shd w:val="clear" w:color="000000" w:fill="FFC7CE"/>
            <w:noWrap/>
            <w:vAlign w:val="bottom"/>
            <w:hideMark/>
          </w:tcPr>
          <w:p w14:paraId="055A4ACB"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108.3 </w:t>
            </w:r>
          </w:p>
        </w:tc>
        <w:tc>
          <w:tcPr>
            <w:tcW w:w="407" w:type="pct"/>
            <w:tcBorders>
              <w:top w:val="nil"/>
              <w:left w:val="nil"/>
              <w:bottom w:val="nil"/>
              <w:right w:val="nil"/>
            </w:tcBorders>
            <w:shd w:val="clear" w:color="000000" w:fill="FFC7CE"/>
            <w:noWrap/>
            <w:vAlign w:val="bottom"/>
            <w:hideMark/>
          </w:tcPr>
          <w:p w14:paraId="73F40783"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54.4 </w:t>
            </w:r>
          </w:p>
        </w:tc>
        <w:tc>
          <w:tcPr>
            <w:tcW w:w="407" w:type="pct"/>
            <w:tcBorders>
              <w:top w:val="nil"/>
              <w:left w:val="nil"/>
              <w:bottom w:val="nil"/>
              <w:right w:val="nil"/>
            </w:tcBorders>
            <w:shd w:val="clear" w:color="000000" w:fill="FFC7CE"/>
            <w:noWrap/>
            <w:vAlign w:val="bottom"/>
            <w:hideMark/>
          </w:tcPr>
          <w:p w14:paraId="73D12E83"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39.1 </w:t>
            </w:r>
          </w:p>
        </w:tc>
        <w:tc>
          <w:tcPr>
            <w:tcW w:w="407" w:type="pct"/>
            <w:tcBorders>
              <w:top w:val="nil"/>
              <w:left w:val="nil"/>
              <w:bottom w:val="nil"/>
              <w:right w:val="nil"/>
            </w:tcBorders>
            <w:shd w:val="clear" w:color="000000" w:fill="FFC7CE"/>
            <w:noWrap/>
            <w:vAlign w:val="bottom"/>
            <w:hideMark/>
          </w:tcPr>
          <w:p w14:paraId="3AF25698"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31.0 </w:t>
            </w:r>
          </w:p>
        </w:tc>
        <w:tc>
          <w:tcPr>
            <w:tcW w:w="407" w:type="pct"/>
            <w:tcBorders>
              <w:top w:val="nil"/>
              <w:left w:val="nil"/>
              <w:bottom w:val="nil"/>
              <w:right w:val="nil"/>
            </w:tcBorders>
            <w:shd w:val="clear" w:color="000000" w:fill="FFC7CE"/>
            <w:noWrap/>
            <w:vAlign w:val="bottom"/>
            <w:hideMark/>
          </w:tcPr>
          <w:p w14:paraId="7DF0DA8F"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25.8 </w:t>
            </w:r>
          </w:p>
        </w:tc>
        <w:tc>
          <w:tcPr>
            <w:tcW w:w="407" w:type="pct"/>
            <w:tcBorders>
              <w:top w:val="nil"/>
              <w:left w:val="nil"/>
              <w:bottom w:val="nil"/>
              <w:right w:val="nil"/>
            </w:tcBorders>
            <w:shd w:val="clear" w:color="000000" w:fill="FFC7CE"/>
            <w:noWrap/>
            <w:vAlign w:val="bottom"/>
            <w:hideMark/>
          </w:tcPr>
          <w:p w14:paraId="1BFD9BE2"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22.1 </w:t>
            </w:r>
          </w:p>
        </w:tc>
        <w:tc>
          <w:tcPr>
            <w:tcW w:w="407" w:type="pct"/>
            <w:tcBorders>
              <w:top w:val="nil"/>
              <w:left w:val="nil"/>
              <w:bottom w:val="nil"/>
              <w:right w:val="nil"/>
            </w:tcBorders>
            <w:shd w:val="clear" w:color="000000" w:fill="C6EFCE"/>
            <w:noWrap/>
            <w:vAlign w:val="bottom"/>
            <w:hideMark/>
          </w:tcPr>
          <w:p w14:paraId="6B51F15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19.4 </w:t>
            </w:r>
          </w:p>
        </w:tc>
        <w:tc>
          <w:tcPr>
            <w:tcW w:w="407" w:type="pct"/>
            <w:tcBorders>
              <w:top w:val="nil"/>
              <w:left w:val="nil"/>
              <w:bottom w:val="nil"/>
              <w:right w:val="nil"/>
            </w:tcBorders>
            <w:shd w:val="clear" w:color="000000" w:fill="C6EFCE"/>
            <w:noWrap/>
            <w:vAlign w:val="bottom"/>
            <w:hideMark/>
          </w:tcPr>
          <w:p w14:paraId="41A54278"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17.3 </w:t>
            </w:r>
          </w:p>
        </w:tc>
        <w:tc>
          <w:tcPr>
            <w:tcW w:w="407" w:type="pct"/>
            <w:tcBorders>
              <w:top w:val="nil"/>
              <w:left w:val="nil"/>
              <w:bottom w:val="nil"/>
              <w:right w:val="nil"/>
            </w:tcBorders>
            <w:shd w:val="clear" w:color="000000" w:fill="C6EFCE"/>
            <w:noWrap/>
            <w:vAlign w:val="bottom"/>
            <w:hideMark/>
          </w:tcPr>
          <w:p w14:paraId="7BF3CCBB"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15.6 </w:t>
            </w:r>
          </w:p>
        </w:tc>
        <w:tc>
          <w:tcPr>
            <w:tcW w:w="407" w:type="pct"/>
            <w:tcBorders>
              <w:top w:val="nil"/>
              <w:left w:val="nil"/>
              <w:bottom w:val="nil"/>
              <w:right w:val="nil"/>
            </w:tcBorders>
            <w:shd w:val="clear" w:color="000000" w:fill="C6EFCE"/>
            <w:noWrap/>
            <w:vAlign w:val="bottom"/>
            <w:hideMark/>
          </w:tcPr>
          <w:p w14:paraId="53022BA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14.2 </w:t>
            </w:r>
          </w:p>
        </w:tc>
        <w:tc>
          <w:tcPr>
            <w:tcW w:w="407" w:type="pct"/>
            <w:tcBorders>
              <w:top w:val="nil"/>
              <w:left w:val="nil"/>
              <w:bottom w:val="nil"/>
              <w:right w:val="nil"/>
            </w:tcBorders>
            <w:shd w:val="clear" w:color="000000" w:fill="C6EFCE"/>
            <w:noWrap/>
            <w:vAlign w:val="bottom"/>
            <w:hideMark/>
          </w:tcPr>
          <w:p w14:paraId="15517A1D"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13.0 </w:t>
            </w:r>
          </w:p>
        </w:tc>
      </w:tr>
      <w:tr w:rsidR="00280058" w:rsidRPr="002C025E" w14:paraId="48C53E18" w14:textId="77777777" w:rsidTr="0005008F">
        <w:tc>
          <w:tcPr>
            <w:tcW w:w="118" w:type="pct"/>
            <w:vMerge/>
            <w:tcBorders>
              <w:top w:val="nil"/>
              <w:left w:val="nil"/>
              <w:bottom w:val="nil"/>
              <w:right w:val="nil"/>
            </w:tcBorders>
            <w:vAlign w:val="center"/>
            <w:hideMark/>
          </w:tcPr>
          <w:p w14:paraId="6624DBD0"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407" w:type="pct"/>
            <w:tcBorders>
              <w:top w:val="nil"/>
              <w:left w:val="nil"/>
              <w:bottom w:val="nil"/>
              <w:right w:val="nil"/>
            </w:tcBorders>
            <w:shd w:val="clear" w:color="auto" w:fill="auto"/>
            <w:noWrap/>
            <w:vAlign w:val="bottom"/>
            <w:hideMark/>
          </w:tcPr>
          <w:p w14:paraId="2F11BA9E" w14:textId="77777777"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0.32</w:t>
            </w:r>
          </w:p>
        </w:tc>
        <w:tc>
          <w:tcPr>
            <w:tcW w:w="407" w:type="pct"/>
            <w:tcBorders>
              <w:top w:val="nil"/>
              <w:left w:val="nil"/>
              <w:bottom w:val="nil"/>
              <w:right w:val="nil"/>
            </w:tcBorders>
            <w:shd w:val="clear" w:color="000000" w:fill="FFC7CE"/>
            <w:noWrap/>
            <w:vAlign w:val="bottom"/>
            <w:hideMark/>
          </w:tcPr>
          <w:p w14:paraId="56310322"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89.7 </w:t>
            </w:r>
          </w:p>
        </w:tc>
        <w:tc>
          <w:tcPr>
            <w:tcW w:w="407" w:type="pct"/>
            <w:tcBorders>
              <w:top w:val="nil"/>
              <w:left w:val="nil"/>
              <w:bottom w:val="nil"/>
              <w:right w:val="nil"/>
            </w:tcBorders>
            <w:shd w:val="clear" w:color="000000" w:fill="FFC7CE"/>
            <w:noWrap/>
            <w:vAlign w:val="bottom"/>
            <w:hideMark/>
          </w:tcPr>
          <w:p w14:paraId="315210FC"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50.4 </w:t>
            </w:r>
          </w:p>
        </w:tc>
        <w:tc>
          <w:tcPr>
            <w:tcW w:w="407" w:type="pct"/>
            <w:tcBorders>
              <w:top w:val="nil"/>
              <w:left w:val="nil"/>
              <w:bottom w:val="nil"/>
              <w:right w:val="nil"/>
            </w:tcBorders>
            <w:shd w:val="clear" w:color="000000" w:fill="FFC7CE"/>
            <w:noWrap/>
            <w:vAlign w:val="bottom"/>
            <w:hideMark/>
          </w:tcPr>
          <w:p w14:paraId="34626106"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36.9 </w:t>
            </w:r>
          </w:p>
        </w:tc>
        <w:tc>
          <w:tcPr>
            <w:tcW w:w="407" w:type="pct"/>
            <w:tcBorders>
              <w:top w:val="nil"/>
              <w:left w:val="nil"/>
              <w:bottom w:val="nil"/>
              <w:right w:val="nil"/>
            </w:tcBorders>
            <w:shd w:val="clear" w:color="000000" w:fill="FFC7CE"/>
            <w:noWrap/>
            <w:vAlign w:val="bottom"/>
            <w:hideMark/>
          </w:tcPr>
          <w:p w14:paraId="3D30F5FA"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29.4 </w:t>
            </w:r>
          </w:p>
        </w:tc>
        <w:tc>
          <w:tcPr>
            <w:tcW w:w="407" w:type="pct"/>
            <w:tcBorders>
              <w:top w:val="nil"/>
              <w:left w:val="nil"/>
              <w:bottom w:val="nil"/>
              <w:right w:val="nil"/>
            </w:tcBorders>
            <w:shd w:val="clear" w:color="000000" w:fill="FFC7CE"/>
            <w:noWrap/>
            <w:vAlign w:val="bottom"/>
            <w:hideMark/>
          </w:tcPr>
          <w:p w14:paraId="1A5946A6"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24.6 </w:t>
            </w:r>
          </w:p>
        </w:tc>
        <w:tc>
          <w:tcPr>
            <w:tcW w:w="407" w:type="pct"/>
            <w:tcBorders>
              <w:top w:val="nil"/>
              <w:left w:val="nil"/>
              <w:bottom w:val="nil"/>
              <w:right w:val="nil"/>
            </w:tcBorders>
            <w:shd w:val="clear" w:color="000000" w:fill="FFC7CE"/>
            <w:noWrap/>
            <w:vAlign w:val="bottom"/>
            <w:hideMark/>
          </w:tcPr>
          <w:p w14:paraId="6DF80513"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21.1 </w:t>
            </w:r>
          </w:p>
        </w:tc>
        <w:tc>
          <w:tcPr>
            <w:tcW w:w="407" w:type="pct"/>
            <w:tcBorders>
              <w:top w:val="nil"/>
              <w:left w:val="nil"/>
              <w:bottom w:val="nil"/>
              <w:right w:val="nil"/>
            </w:tcBorders>
            <w:shd w:val="clear" w:color="000000" w:fill="C6EFCE"/>
            <w:noWrap/>
            <w:vAlign w:val="bottom"/>
            <w:hideMark/>
          </w:tcPr>
          <w:p w14:paraId="5EE7A1A3"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18.6 </w:t>
            </w:r>
          </w:p>
        </w:tc>
        <w:tc>
          <w:tcPr>
            <w:tcW w:w="407" w:type="pct"/>
            <w:tcBorders>
              <w:top w:val="nil"/>
              <w:left w:val="nil"/>
              <w:bottom w:val="nil"/>
              <w:right w:val="nil"/>
            </w:tcBorders>
            <w:shd w:val="clear" w:color="000000" w:fill="C6EFCE"/>
            <w:noWrap/>
            <w:vAlign w:val="bottom"/>
            <w:hideMark/>
          </w:tcPr>
          <w:p w14:paraId="7730CE3E"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16.6 </w:t>
            </w:r>
          </w:p>
        </w:tc>
        <w:tc>
          <w:tcPr>
            <w:tcW w:w="407" w:type="pct"/>
            <w:tcBorders>
              <w:top w:val="nil"/>
              <w:left w:val="nil"/>
              <w:bottom w:val="nil"/>
              <w:right w:val="nil"/>
            </w:tcBorders>
            <w:shd w:val="clear" w:color="000000" w:fill="C6EFCE"/>
            <w:noWrap/>
            <w:vAlign w:val="bottom"/>
            <w:hideMark/>
          </w:tcPr>
          <w:p w14:paraId="26650D2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15.0 </w:t>
            </w:r>
          </w:p>
        </w:tc>
        <w:tc>
          <w:tcPr>
            <w:tcW w:w="407" w:type="pct"/>
            <w:tcBorders>
              <w:top w:val="nil"/>
              <w:left w:val="nil"/>
              <w:bottom w:val="nil"/>
              <w:right w:val="nil"/>
            </w:tcBorders>
            <w:shd w:val="clear" w:color="000000" w:fill="C6EFCE"/>
            <w:noWrap/>
            <w:vAlign w:val="bottom"/>
            <w:hideMark/>
          </w:tcPr>
          <w:p w14:paraId="0DB71326"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13.6 </w:t>
            </w:r>
          </w:p>
        </w:tc>
        <w:tc>
          <w:tcPr>
            <w:tcW w:w="407" w:type="pct"/>
            <w:tcBorders>
              <w:top w:val="nil"/>
              <w:left w:val="nil"/>
              <w:bottom w:val="nil"/>
              <w:right w:val="nil"/>
            </w:tcBorders>
            <w:shd w:val="clear" w:color="000000" w:fill="C6EFCE"/>
            <w:noWrap/>
            <w:vAlign w:val="bottom"/>
            <w:hideMark/>
          </w:tcPr>
          <w:p w14:paraId="43665B31"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12.5 </w:t>
            </w:r>
          </w:p>
        </w:tc>
      </w:tr>
      <w:tr w:rsidR="00280058" w:rsidRPr="002C025E" w14:paraId="2818FA3C" w14:textId="77777777" w:rsidTr="0005008F">
        <w:tc>
          <w:tcPr>
            <w:tcW w:w="118" w:type="pct"/>
            <w:vMerge/>
            <w:tcBorders>
              <w:top w:val="nil"/>
              <w:left w:val="nil"/>
              <w:bottom w:val="nil"/>
              <w:right w:val="nil"/>
            </w:tcBorders>
            <w:vAlign w:val="center"/>
            <w:hideMark/>
          </w:tcPr>
          <w:p w14:paraId="51EBE9A5"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407" w:type="pct"/>
            <w:tcBorders>
              <w:top w:val="nil"/>
              <w:left w:val="nil"/>
              <w:bottom w:val="nil"/>
              <w:right w:val="nil"/>
            </w:tcBorders>
            <w:shd w:val="clear" w:color="auto" w:fill="auto"/>
            <w:noWrap/>
            <w:vAlign w:val="bottom"/>
            <w:hideMark/>
          </w:tcPr>
          <w:p w14:paraId="626F515B" w14:textId="77777777"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0.33</w:t>
            </w:r>
          </w:p>
        </w:tc>
        <w:tc>
          <w:tcPr>
            <w:tcW w:w="407" w:type="pct"/>
            <w:tcBorders>
              <w:top w:val="nil"/>
              <w:left w:val="nil"/>
              <w:bottom w:val="nil"/>
              <w:right w:val="nil"/>
            </w:tcBorders>
            <w:shd w:val="clear" w:color="000000" w:fill="FFC7CE"/>
            <w:noWrap/>
            <w:vAlign w:val="bottom"/>
            <w:hideMark/>
          </w:tcPr>
          <w:p w14:paraId="6390F7E8"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78.3 </w:t>
            </w:r>
          </w:p>
        </w:tc>
        <w:tc>
          <w:tcPr>
            <w:tcW w:w="407" w:type="pct"/>
            <w:tcBorders>
              <w:top w:val="nil"/>
              <w:left w:val="nil"/>
              <w:bottom w:val="nil"/>
              <w:right w:val="nil"/>
            </w:tcBorders>
            <w:shd w:val="clear" w:color="000000" w:fill="FFC7CE"/>
            <w:noWrap/>
            <w:vAlign w:val="bottom"/>
            <w:hideMark/>
          </w:tcPr>
          <w:p w14:paraId="4B83760B"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47.0 </w:t>
            </w:r>
          </w:p>
        </w:tc>
        <w:tc>
          <w:tcPr>
            <w:tcW w:w="407" w:type="pct"/>
            <w:tcBorders>
              <w:top w:val="nil"/>
              <w:left w:val="nil"/>
              <w:bottom w:val="nil"/>
              <w:right w:val="nil"/>
            </w:tcBorders>
            <w:shd w:val="clear" w:color="000000" w:fill="FFC7CE"/>
            <w:noWrap/>
            <w:vAlign w:val="bottom"/>
            <w:hideMark/>
          </w:tcPr>
          <w:p w14:paraId="0D545A04"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34.9 </w:t>
            </w:r>
          </w:p>
        </w:tc>
        <w:tc>
          <w:tcPr>
            <w:tcW w:w="407" w:type="pct"/>
            <w:tcBorders>
              <w:top w:val="nil"/>
              <w:left w:val="nil"/>
              <w:bottom w:val="nil"/>
              <w:right w:val="nil"/>
            </w:tcBorders>
            <w:shd w:val="clear" w:color="000000" w:fill="FFC7CE"/>
            <w:noWrap/>
            <w:vAlign w:val="bottom"/>
            <w:hideMark/>
          </w:tcPr>
          <w:p w14:paraId="780E1302"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28.0 </w:t>
            </w:r>
          </w:p>
        </w:tc>
        <w:tc>
          <w:tcPr>
            <w:tcW w:w="407" w:type="pct"/>
            <w:tcBorders>
              <w:top w:val="nil"/>
              <w:left w:val="nil"/>
              <w:bottom w:val="nil"/>
              <w:right w:val="nil"/>
            </w:tcBorders>
            <w:shd w:val="clear" w:color="000000" w:fill="FFC7CE"/>
            <w:noWrap/>
            <w:vAlign w:val="bottom"/>
            <w:hideMark/>
          </w:tcPr>
          <w:p w14:paraId="4EFC1F79"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23.5 </w:t>
            </w:r>
          </w:p>
        </w:tc>
        <w:tc>
          <w:tcPr>
            <w:tcW w:w="407" w:type="pct"/>
            <w:tcBorders>
              <w:top w:val="nil"/>
              <w:left w:val="nil"/>
              <w:bottom w:val="nil"/>
              <w:right w:val="nil"/>
            </w:tcBorders>
            <w:shd w:val="clear" w:color="000000" w:fill="FFC7CE"/>
            <w:noWrap/>
            <w:vAlign w:val="bottom"/>
            <w:hideMark/>
          </w:tcPr>
          <w:p w14:paraId="39504697"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20.3 </w:t>
            </w:r>
          </w:p>
        </w:tc>
        <w:tc>
          <w:tcPr>
            <w:tcW w:w="407" w:type="pct"/>
            <w:tcBorders>
              <w:top w:val="nil"/>
              <w:left w:val="nil"/>
              <w:bottom w:val="nil"/>
              <w:right w:val="nil"/>
            </w:tcBorders>
            <w:shd w:val="clear" w:color="000000" w:fill="C6EFCE"/>
            <w:noWrap/>
            <w:vAlign w:val="bottom"/>
            <w:hideMark/>
          </w:tcPr>
          <w:p w14:paraId="57B0DC55"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17.8 </w:t>
            </w:r>
          </w:p>
        </w:tc>
        <w:tc>
          <w:tcPr>
            <w:tcW w:w="407" w:type="pct"/>
            <w:tcBorders>
              <w:top w:val="nil"/>
              <w:left w:val="nil"/>
              <w:bottom w:val="nil"/>
              <w:right w:val="nil"/>
            </w:tcBorders>
            <w:shd w:val="clear" w:color="000000" w:fill="C6EFCE"/>
            <w:noWrap/>
            <w:vAlign w:val="bottom"/>
            <w:hideMark/>
          </w:tcPr>
          <w:p w14:paraId="37017BAD"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15.9 </w:t>
            </w:r>
          </w:p>
        </w:tc>
        <w:tc>
          <w:tcPr>
            <w:tcW w:w="407" w:type="pct"/>
            <w:tcBorders>
              <w:top w:val="nil"/>
              <w:left w:val="nil"/>
              <w:bottom w:val="nil"/>
              <w:right w:val="nil"/>
            </w:tcBorders>
            <w:shd w:val="clear" w:color="000000" w:fill="C6EFCE"/>
            <w:noWrap/>
            <w:vAlign w:val="bottom"/>
            <w:hideMark/>
          </w:tcPr>
          <w:p w14:paraId="4EF26AA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14.4 </w:t>
            </w:r>
          </w:p>
        </w:tc>
        <w:tc>
          <w:tcPr>
            <w:tcW w:w="407" w:type="pct"/>
            <w:tcBorders>
              <w:top w:val="nil"/>
              <w:left w:val="nil"/>
              <w:bottom w:val="nil"/>
              <w:right w:val="nil"/>
            </w:tcBorders>
            <w:shd w:val="clear" w:color="000000" w:fill="C6EFCE"/>
            <w:noWrap/>
            <w:vAlign w:val="bottom"/>
            <w:hideMark/>
          </w:tcPr>
          <w:p w14:paraId="44F3259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13.1 </w:t>
            </w:r>
          </w:p>
        </w:tc>
        <w:tc>
          <w:tcPr>
            <w:tcW w:w="407" w:type="pct"/>
            <w:tcBorders>
              <w:top w:val="nil"/>
              <w:left w:val="nil"/>
              <w:bottom w:val="nil"/>
              <w:right w:val="nil"/>
            </w:tcBorders>
            <w:shd w:val="clear" w:color="000000" w:fill="C6EFCE"/>
            <w:noWrap/>
            <w:vAlign w:val="bottom"/>
            <w:hideMark/>
          </w:tcPr>
          <w:p w14:paraId="3EF71622"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12.1 </w:t>
            </w:r>
          </w:p>
        </w:tc>
      </w:tr>
      <w:tr w:rsidR="00280058" w:rsidRPr="002C025E" w14:paraId="0333E7F3" w14:textId="77777777" w:rsidTr="0005008F">
        <w:tc>
          <w:tcPr>
            <w:tcW w:w="118" w:type="pct"/>
            <w:vMerge/>
            <w:tcBorders>
              <w:top w:val="nil"/>
              <w:left w:val="nil"/>
              <w:bottom w:val="nil"/>
              <w:right w:val="nil"/>
            </w:tcBorders>
            <w:vAlign w:val="center"/>
            <w:hideMark/>
          </w:tcPr>
          <w:p w14:paraId="61448824"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407" w:type="pct"/>
            <w:tcBorders>
              <w:top w:val="nil"/>
              <w:left w:val="nil"/>
              <w:bottom w:val="nil"/>
              <w:right w:val="nil"/>
            </w:tcBorders>
            <w:shd w:val="clear" w:color="auto" w:fill="auto"/>
            <w:noWrap/>
            <w:vAlign w:val="bottom"/>
            <w:hideMark/>
          </w:tcPr>
          <w:p w14:paraId="1D27BDB3" w14:textId="77777777"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0.34</w:t>
            </w:r>
          </w:p>
        </w:tc>
        <w:tc>
          <w:tcPr>
            <w:tcW w:w="407" w:type="pct"/>
            <w:tcBorders>
              <w:top w:val="nil"/>
              <w:left w:val="nil"/>
              <w:bottom w:val="nil"/>
              <w:right w:val="nil"/>
            </w:tcBorders>
            <w:shd w:val="clear" w:color="000000" w:fill="FFC7CE"/>
            <w:noWrap/>
            <w:vAlign w:val="bottom"/>
            <w:hideMark/>
          </w:tcPr>
          <w:p w14:paraId="18A52FBB"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70.3 </w:t>
            </w:r>
          </w:p>
        </w:tc>
        <w:tc>
          <w:tcPr>
            <w:tcW w:w="407" w:type="pct"/>
            <w:tcBorders>
              <w:top w:val="nil"/>
              <w:left w:val="nil"/>
              <w:bottom w:val="nil"/>
              <w:right w:val="nil"/>
            </w:tcBorders>
            <w:shd w:val="clear" w:color="000000" w:fill="FFC7CE"/>
            <w:noWrap/>
            <w:vAlign w:val="bottom"/>
            <w:hideMark/>
          </w:tcPr>
          <w:p w14:paraId="1424D926"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44.2 </w:t>
            </w:r>
          </w:p>
        </w:tc>
        <w:tc>
          <w:tcPr>
            <w:tcW w:w="407" w:type="pct"/>
            <w:tcBorders>
              <w:top w:val="nil"/>
              <w:left w:val="nil"/>
              <w:bottom w:val="nil"/>
              <w:right w:val="nil"/>
            </w:tcBorders>
            <w:shd w:val="clear" w:color="000000" w:fill="FFC7CE"/>
            <w:noWrap/>
            <w:vAlign w:val="bottom"/>
            <w:hideMark/>
          </w:tcPr>
          <w:p w14:paraId="64AB53D4"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33.2 </w:t>
            </w:r>
          </w:p>
        </w:tc>
        <w:tc>
          <w:tcPr>
            <w:tcW w:w="407" w:type="pct"/>
            <w:tcBorders>
              <w:top w:val="nil"/>
              <w:left w:val="nil"/>
              <w:bottom w:val="nil"/>
              <w:right w:val="nil"/>
            </w:tcBorders>
            <w:shd w:val="clear" w:color="000000" w:fill="FFC7CE"/>
            <w:noWrap/>
            <w:vAlign w:val="bottom"/>
            <w:hideMark/>
          </w:tcPr>
          <w:p w14:paraId="1BBBE1BB"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26.8 </w:t>
            </w:r>
          </w:p>
        </w:tc>
        <w:tc>
          <w:tcPr>
            <w:tcW w:w="407" w:type="pct"/>
            <w:tcBorders>
              <w:top w:val="nil"/>
              <w:left w:val="nil"/>
              <w:bottom w:val="nil"/>
              <w:right w:val="nil"/>
            </w:tcBorders>
            <w:shd w:val="clear" w:color="000000" w:fill="FFC7CE"/>
            <w:noWrap/>
            <w:vAlign w:val="bottom"/>
            <w:hideMark/>
          </w:tcPr>
          <w:p w14:paraId="11CF8420"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22.5 </w:t>
            </w:r>
          </w:p>
        </w:tc>
        <w:tc>
          <w:tcPr>
            <w:tcW w:w="407" w:type="pct"/>
            <w:tcBorders>
              <w:top w:val="nil"/>
              <w:left w:val="nil"/>
              <w:bottom w:val="nil"/>
              <w:right w:val="nil"/>
            </w:tcBorders>
            <w:shd w:val="clear" w:color="000000" w:fill="C6EFCE"/>
            <w:noWrap/>
            <w:vAlign w:val="bottom"/>
            <w:hideMark/>
          </w:tcPr>
          <w:p w14:paraId="610C7426"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19.5 </w:t>
            </w:r>
          </w:p>
        </w:tc>
        <w:tc>
          <w:tcPr>
            <w:tcW w:w="407" w:type="pct"/>
            <w:tcBorders>
              <w:top w:val="nil"/>
              <w:left w:val="nil"/>
              <w:bottom w:val="nil"/>
              <w:right w:val="nil"/>
            </w:tcBorders>
            <w:shd w:val="clear" w:color="000000" w:fill="C6EFCE"/>
            <w:noWrap/>
            <w:vAlign w:val="bottom"/>
            <w:hideMark/>
          </w:tcPr>
          <w:p w14:paraId="35D0BC4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17.1 </w:t>
            </w:r>
          </w:p>
        </w:tc>
        <w:tc>
          <w:tcPr>
            <w:tcW w:w="407" w:type="pct"/>
            <w:tcBorders>
              <w:top w:val="nil"/>
              <w:left w:val="nil"/>
              <w:bottom w:val="nil"/>
              <w:right w:val="nil"/>
            </w:tcBorders>
            <w:shd w:val="clear" w:color="000000" w:fill="C6EFCE"/>
            <w:noWrap/>
            <w:vAlign w:val="bottom"/>
            <w:hideMark/>
          </w:tcPr>
          <w:p w14:paraId="23D4E8C2"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15.3 </w:t>
            </w:r>
          </w:p>
        </w:tc>
        <w:tc>
          <w:tcPr>
            <w:tcW w:w="407" w:type="pct"/>
            <w:tcBorders>
              <w:top w:val="nil"/>
              <w:left w:val="nil"/>
              <w:bottom w:val="nil"/>
              <w:right w:val="nil"/>
            </w:tcBorders>
            <w:shd w:val="clear" w:color="000000" w:fill="C6EFCE"/>
            <w:noWrap/>
            <w:vAlign w:val="bottom"/>
            <w:hideMark/>
          </w:tcPr>
          <w:p w14:paraId="39F22DF3"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13.9 </w:t>
            </w:r>
          </w:p>
        </w:tc>
        <w:tc>
          <w:tcPr>
            <w:tcW w:w="407" w:type="pct"/>
            <w:tcBorders>
              <w:top w:val="nil"/>
              <w:left w:val="nil"/>
              <w:bottom w:val="nil"/>
              <w:right w:val="nil"/>
            </w:tcBorders>
            <w:shd w:val="clear" w:color="000000" w:fill="C6EFCE"/>
            <w:noWrap/>
            <w:vAlign w:val="bottom"/>
            <w:hideMark/>
          </w:tcPr>
          <w:p w14:paraId="1AD98418"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12.7 </w:t>
            </w:r>
          </w:p>
        </w:tc>
        <w:tc>
          <w:tcPr>
            <w:tcW w:w="407" w:type="pct"/>
            <w:tcBorders>
              <w:top w:val="nil"/>
              <w:left w:val="nil"/>
              <w:bottom w:val="nil"/>
              <w:right w:val="nil"/>
            </w:tcBorders>
            <w:shd w:val="clear" w:color="000000" w:fill="C6EFCE"/>
            <w:noWrap/>
            <w:vAlign w:val="bottom"/>
            <w:hideMark/>
          </w:tcPr>
          <w:p w14:paraId="25AD44C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11.7 </w:t>
            </w:r>
          </w:p>
        </w:tc>
      </w:tr>
      <w:tr w:rsidR="00280058" w:rsidRPr="002C025E" w14:paraId="3C66056A" w14:textId="77777777" w:rsidTr="0005008F">
        <w:tc>
          <w:tcPr>
            <w:tcW w:w="118" w:type="pct"/>
            <w:vMerge/>
            <w:tcBorders>
              <w:top w:val="nil"/>
              <w:left w:val="nil"/>
              <w:bottom w:val="nil"/>
              <w:right w:val="nil"/>
            </w:tcBorders>
            <w:vAlign w:val="center"/>
            <w:hideMark/>
          </w:tcPr>
          <w:p w14:paraId="79561975"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407" w:type="pct"/>
            <w:tcBorders>
              <w:top w:val="nil"/>
              <w:left w:val="nil"/>
              <w:bottom w:val="nil"/>
              <w:right w:val="nil"/>
            </w:tcBorders>
            <w:shd w:val="clear" w:color="auto" w:fill="auto"/>
            <w:noWrap/>
            <w:vAlign w:val="bottom"/>
            <w:hideMark/>
          </w:tcPr>
          <w:p w14:paraId="771BA8F2" w14:textId="77777777"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0.35</w:t>
            </w:r>
          </w:p>
        </w:tc>
        <w:tc>
          <w:tcPr>
            <w:tcW w:w="407" w:type="pct"/>
            <w:tcBorders>
              <w:top w:val="nil"/>
              <w:left w:val="nil"/>
              <w:bottom w:val="nil"/>
              <w:right w:val="nil"/>
            </w:tcBorders>
            <w:shd w:val="clear" w:color="000000" w:fill="FFC7CE"/>
            <w:noWrap/>
            <w:vAlign w:val="bottom"/>
            <w:hideMark/>
          </w:tcPr>
          <w:p w14:paraId="7B2D3E07"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64.1 </w:t>
            </w:r>
          </w:p>
        </w:tc>
        <w:tc>
          <w:tcPr>
            <w:tcW w:w="407" w:type="pct"/>
            <w:tcBorders>
              <w:top w:val="nil"/>
              <w:left w:val="nil"/>
              <w:bottom w:val="nil"/>
              <w:right w:val="nil"/>
            </w:tcBorders>
            <w:shd w:val="clear" w:color="000000" w:fill="FFC7CE"/>
            <w:noWrap/>
            <w:vAlign w:val="bottom"/>
            <w:hideMark/>
          </w:tcPr>
          <w:p w14:paraId="11B184F6"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41.7 </w:t>
            </w:r>
          </w:p>
        </w:tc>
        <w:tc>
          <w:tcPr>
            <w:tcW w:w="407" w:type="pct"/>
            <w:tcBorders>
              <w:top w:val="nil"/>
              <w:left w:val="nil"/>
              <w:bottom w:val="nil"/>
              <w:right w:val="nil"/>
            </w:tcBorders>
            <w:shd w:val="clear" w:color="000000" w:fill="FFC7CE"/>
            <w:noWrap/>
            <w:vAlign w:val="bottom"/>
            <w:hideMark/>
          </w:tcPr>
          <w:p w14:paraId="624692ED"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31.6 </w:t>
            </w:r>
          </w:p>
        </w:tc>
        <w:tc>
          <w:tcPr>
            <w:tcW w:w="407" w:type="pct"/>
            <w:tcBorders>
              <w:top w:val="nil"/>
              <w:left w:val="nil"/>
              <w:bottom w:val="nil"/>
              <w:right w:val="nil"/>
            </w:tcBorders>
            <w:shd w:val="clear" w:color="000000" w:fill="FFC7CE"/>
            <w:noWrap/>
            <w:vAlign w:val="bottom"/>
            <w:hideMark/>
          </w:tcPr>
          <w:p w14:paraId="487F8BD4"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25.6 </w:t>
            </w:r>
          </w:p>
        </w:tc>
        <w:tc>
          <w:tcPr>
            <w:tcW w:w="407" w:type="pct"/>
            <w:tcBorders>
              <w:top w:val="nil"/>
              <w:left w:val="nil"/>
              <w:bottom w:val="nil"/>
              <w:right w:val="nil"/>
            </w:tcBorders>
            <w:shd w:val="clear" w:color="000000" w:fill="FFC7CE"/>
            <w:noWrap/>
            <w:vAlign w:val="bottom"/>
            <w:hideMark/>
          </w:tcPr>
          <w:p w14:paraId="602415E9"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21.6 </w:t>
            </w:r>
          </w:p>
        </w:tc>
        <w:tc>
          <w:tcPr>
            <w:tcW w:w="407" w:type="pct"/>
            <w:tcBorders>
              <w:top w:val="nil"/>
              <w:left w:val="nil"/>
              <w:bottom w:val="nil"/>
              <w:right w:val="nil"/>
            </w:tcBorders>
            <w:shd w:val="clear" w:color="000000" w:fill="C6EFCE"/>
            <w:noWrap/>
            <w:vAlign w:val="bottom"/>
            <w:hideMark/>
          </w:tcPr>
          <w:p w14:paraId="636979F0"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18.7 </w:t>
            </w:r>
          </w:p>
        </w:tc>
        <w:tc>
          <w:tcPr>
            <w:tcW w:w="407" w:type="pct"/>
            <w:tcBorders>
              <w:top w:val="nil"/>
              <w:left w:val="nil"/>
              <w:bottom w:val="nil"/>
              <w:right w:val="nil"/>
            </w:tcBorders>
            <w:shd w:val="clear" w:color="000000" w:fill="C6EFCE"/>
            <w:noWrap/>
            <w:vAlign w:val="bottom"/>
            <w:hideMark/>
          </w:tcPr>
          <w:p w14:paraId="6077D469"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16.5 </w:t>
            </w:r>
          </w:p>
        </w:tc>
        <w:tc>
          <w:tcPr>
            <w:tcW w:w="407" w:type="pct"/>
            <w:tcBorders>
              <w:top w:val="nil"/>
              <w:left w:val="nil"/>
              <w:bottom w:val="nil"/>
              <w:right w:val="nil"/>
            </w:tcBorders>
            <w:shd w:val="clear" w:color="000000" w:fill="C6EFCE"/>
            <w:noWrap/>
            <w:vAlign w:val="bottom"/>
            <w:hideMark/>
          </w:tcPr>
          <w:p w14:paraId="701CB362"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14.8 </w:t>
            </w:r>
          </w:p>
        </w:tc>
        <w:tc>
          <w:tcPr>
            <w:tcW w:w="407" w:type="pct"/>
            <w:tcBorders>
              <w:top w:val="nil"/>
              <w:left w:val="nil"/>
              <w:bottom w:val="nil"/>
              <w:right w:val="nil"/>
            </w:tcBorders>
            <w:shd w:val="clear" w:color="000000" w:fill="C6EFCE"/>
            <w:noWrap/>
            <w:vAlign w:val="bottom"/>
            <w:hideMark/>
          </w:tcPr>
          <w:p w14:paraId="181A9E61"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13.4 </w:t>
            </w:r>
          </w:p>
        </w:tc>
        <w:tc>
          <w:tcPr>
            <w:tcW w:w="407" w:type="pct"/>
            <w:tcBorders>
              <w:top w:val="nil"/>
              <w:left w:val="nil"/>
              <w:bottom w:val="nil"/>
              <w:right w:val="nil"/>
            </w:tcBorders>
            <w:shd w:val="clear" w:color="000000" w:fill="C6EFCE"/>
            <w:noWrap/>
            <w:vAlign w:val="bottom"/>
            <w:hideMark/>
          </w:tcPr>
          <w:p w14:paraId="503AB8BE"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12.2 </w:t>
            </w:r>
          </w:p>
        </w:tc>
        <w:tc>
          <w:tcPr>
            <w:tcW w:w="407" w:type="pct"/>
            <w:tcBorders>
              <w:top w:val="nil"/>
              <w:left w:val="nil"/>
              <w:bottom w:val="nil"/>
              <w:right w:val="nil"/>
            </w:tcBorders>
            <w:shd w:val="clear" w:color="000000" w:fill="C6EFCE"/>
            <w:noWrap/>
            <w:vAlign w:val="bottom"/>
            <w:hideMark/>
          </w:tcPr>
          <w:p w14:paraId="77CE3221"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11.3 </w:t>
            </w:r>
          </w:p>
        </w:tc>
      </w:tr>
      <w:tr w:rsidR="00280058" w:rsidRPr="002C025E" w14:paraId="42C44321" w14:textId="77777777" w:rsidTr="0005008F">
        <w:tc>
          <w:tcPr>
            <w:tcW w:w="118" w:type="pct"/>
            <w:vMerge/>
            <w:tcBorders>
              <w:top w:val="nil"/>
              <w:left w:val="nil"/>
              <w:bottom w:val="nil"/>
              <w:right w:val="nil"/>
            </w:tcBorders>
            <w:vAlign w:val="center"/>
            <w:hideMark/>
          </w:tcPr>
          <w:p w14:paraId="30EA7CDD"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407" w:type="pct"/>
            <w:tcBorders>
              <w:top w:val="nil"/>
              <w:left w:val="nil"/>
              <w:bottom w:val="nil"/>
              <w:right w:val="nil"/>
            </w:tcBorders>
            <w:shd w:val="clear" w:color="auto" w:fill="auto"/>
            <w:noWrap/>
            <w:vAlign w:val="bottom"/>
            <w:hideMark/>
          </w:tcPr>
          <w:p w14:paraId="2EC4FD75" w14:textId="77777777"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b/>
                <w:bCs/>
                <w:sz w:val="18"/>
                <w:szCs w:val="18"/>
                <w:lang w:val="lt-LT" w:eastAsia="lt-LT"/>
              </w:rPr>
              <w:t>0.36</w:t>
            </w:r>
          </w:p>
        </w:tc>
        <w:tc>
          <w:tcPr>
            <w:tcW w:w="407" w:type="pct"/>
            <w:tcBorders>
              <w:top w:val="nil"/>
              <w:left w:val="nil"/>
              <w:bottom w:val="nil"/>
              <w:right w:val="nil"/>
            </w:tcBorders>
            <w:shd w:val="clear" w:color="000000" w:fill="FFC7CE"/>
            <w:noWrap/>
            <w:vAlign w:val="bottom"/>
            <w:hideMark/>
          </w:tcPr>
          <w:p w14:paraId="563C3CCE"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59.2 </w:t>
            </w:r>
          </w:p>
        </w:tc>
        <w:tc>
          <w:tcPr>
            <w:tcW w:w="407" w:type="pct"/>
            <w:tcBorders>
              <w:top w:val="nil"/>
              <w:left w:val="nil"/>
              <w:bottom w:val="nil"/>
              <w:right w:val="nil"/>
            </w:tcBorders>
            <w:shd w:val="clear" w:color="000000" w:fill="FFC7CE"/>
            <w:noWrap/>
            <w:vAlign w:val="bottom"/>
            <w:hideMark/>
          </w:tcPr>
          <w:p w14:paraId="5FF599BA"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39.4 </w:t>
            </w:r>
          </w:p>
        </w:tc>
        <w:tc>
          <w:tcPr>
            <w:tcW w:w="407" w:type="pct"/>
            <w:tcBorders>
              <w:top w:val="nil"/>
              <w:left w:val="nil"/>
              <w:bottom w:val="nil"/>
              <w:right w:val="nil"/>
            </w:tcBorders>
            <w:shd w:val="clear" w:color="000000" w:fill="FFC7CE"/>
            <w:noWrap/>
            <w:vAlign w:val="bottom"/>
            <w:hideMark/>
          </w:tcPr>
          <w:p w14:paraId="6C176E2D"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30.2 </w:t>
            </w:r>
          </w:p>
        </w:tc>
        <w:tc>
          <w:tcPr>
            <w:tcW w:w="407" w:type="pct"/>
            <w:tcBorders>
              <w:top w:val="nil"/>
              <w:left w:val="nil"/>
              <w:bottom w:val="nil"/>
              <w:right w:val="nil"/>
            </w:tcBorders>
            <w:shd w:val="clear" w:color="000000" w:fill="FFC7CE"/>
            <w:noWrap/>
            <w:vAlign w:val="bottom"/>
            <w:hideMark/>
          </w:tcPr>
          <w:p w14:paraId="59EAACFB"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24.6 </w:t>
            </w:r>
          </w:p>
        </w:tc>
        <w:tc>
          <w:tcPr>
            <w:tcW w:w="407" w:type="pct"/>
            <w:tcBorders>
              <w:top w:val="nil"/>
              <w:left w:val="nil"/>
              <w:bottom w:val="nil"/>
              <w:right w:val="nil"/>
            </w:tcBorders>
            <w:shd w:val="clear" w:color="000000" w:fill="FFC7CE"/>
            <w:noWrap/>
            <w:vAlign w:val="bottom"/>
            <w:hideMark/>
          </w:tcPr>
          <w:p w14:paraId="1AFB041C"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20.8 </w:t>
            </w:r>
          </w:p>
        </w:tc>
        <w:tc>
          <w:tcPr>
            <w:tcW w:w="407" w:type="pct"/>
            <w:tcBorders>
              <w:top w:val="nil"/>
              <w:left w:val="nil"/>
              <w:bottom w:val="nil"/>
              <w:right w:val="nil"/>
            </w:tcBorders>
            <w:shd w:val="clear" w:color="000000" w:fill="C6EFCE"/>
            <w:noWrap/>
            <w:vAlign w:val="bottom"/>
            <w:hideMark/>
          </w:tcPr>
          <w:p w14:paraId="2AD9615E"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18.0 </w:t>
            </w:r>
          </w:p>
        </w:tc>
        <w:tc>
          <w:tcPr>
            <w:tcW w:w="407" w:type="pct"/>
            <w:tcBorders>
              <w:top w:val="nil"/>
              <w:left w:val="nil"/>
              <w:bottom w:val="nil"/>
              <w:right w:val="nil"/>
            </w:tcBorders>
            <w:shd w:val="clear" w:color="000000" w:fill="C6EFCE"/>
            <w:noWrap/>
            <w:vAlign w:val="bottom"/>
            <w:hideMark/>
          </w:tcPr>
          <w:p w14:paraId="707919A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15.9 </w:t>
            </w:r>
          </w:p>
        </w:tc>
        <w:tc>
          <w:tcPr>
            <w:tcW w:w="407" w:type="pct"/>
            <w:tcBorders>
              <w:top w:val="nil"/>
              <w:left w:val="nil"/>
              <w:bottom w:val="nil"/>
              <w:right w:val="nil"/>
            </w:tcBorders>
            <w:shd w:val="clear" w:color="000000" w:fill="C6EFCE"/>
            <w:noWrap/>
            <w:vAlign w:val="bottom"/>
            <w:hideMark/>
          </w:tcPr>
          <w:p w14:paraId="70DA18F2"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14.3 </w:t>
            </w:r>
          </w:p>
        </w:tc>
        <w:tc>
          <w:tcPr>
            <w:tcW w:w="407" w:type="pct"/>
            <w:tcBorders>
              <w:top w:val="nil"/>
              <w:left w:val="nil"/>
              <w:bottom w:val="nil"/>
              <w:right w:val="nil"/>
            </w:tcBorders>
            <w:shd w:val="clear" w:color="000000" w:fill="C6EFCE"/>
            <w:noWrap/>
            <w:vAlign w:val="bottom"/>
            <w:hideMark/>
          </w:tcPr>
          <w:p w14:paraId="79FBF0B9"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12.9 </w:t>
            </w:r>
          </w:p>
        </w:tc>
        <w:tc>
          <w:tcPr>
            <w:tcW w:w="407" w:type="pct"/>
            <w:tcBorders>
              <w:top w:val="nil"/>
              <w:left w:val="nil"/>
              <w:bottom w:val="nil"/>
              <w:right w:val="nil"/>
            </w:tcBorders>
            <w:shd w:val="clear" w:color="000000" w:fill="C6EFCE"/>
            <w:noWrap/>
            <w:vAlign w:val="bottom"/>
            <w:hideMark/>
          </w:tcPr>
          <w:p w14:paraId="514EF04D"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11.8 </w:t>
            </w:r>
          </w:p>
        </w:tc>
        <w:tc>
          <w:tcPr>
            <w:tcW w:w="407" w:type="pct"/>
            <w:tcBorders>
              <w:top w:val="nil"/>
              <w:left w:val="nil"/>
              <w:bottom w:val="nil"/>
              <w:right w:val="nil"/>
            </w:tcBorders>
            <w:shd w:val="clear" w:color="000000" w:fill="C6EFCE"/>
            <w:noWrap/>
            <w:vAlign w:val="bottom"/>
            <w:hideMark/>
          </w:tcPr>
          <w:p w14:paraId="5C65A6FE"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10.9 </w:t>
            </w:r>
          </w:p>
        </w:tc>
      </w:tr>
    </w:tbl>
    <w:p w14:paraId="7E500F31" w14:textId="77777777" w:rsidR="00280058" w:rsidRPr="00DF3A8E" w:rsidRDefault="00280058" w:rsidP="00280058">
      <w:pPr>
        <w:jc w:val="both"/>
        <w:rPr>
          <w:rFonts w:ascii="Georgia" w:hAnsi="Georgia"/>
          <w:sz w:val="20"/>
          <w:lang w:val="lt-LT"/>
        </w:rPr>
      </w:pPr>
    </w:p>
    <w:p w14:paraId="6063D292" w14:textId="77777777" w:rsidR="00280058" w:rsidRDefault="00280058" w:rsidP="00280058">
      <w:pPr>
        <w:jc w:val="both"/>
        <w:rPr>
          <w:rFonts w:ascii="Georgia" w:hAnsi="Georgia"/>
          <w:sz w:val="20"/>
          <w:lang w:val="lt-LT"/>
        </w:rPr>
      </w:pPr>
      <w:r w:rsidRPr="00DF3A8E">
        <w:rPr>
          <w:rFonts w:ascii="Georgia" w:hAnsi="Georgia"/>
          <w:sz w:val="20"/>
          <w:lang w:val="lt-LT"/>
        </w:rPr>
        <w:t>Iš auk</w:t>
      </w:r>
      <w:r>
        <w:rPr>
          <w:rFonts w:ascii="Georgia" w:hAnsi="Georgia"/>
          <w:sz w:val="20"/>
          <w:lang w:val="lt-LT"/>
        </w:rPr>
        <w:t>š</w:t>
      </w:r>
      <w:r w:rsidRPr="00DF3A8E">
        <w:rPr>
          <w:rFonts w:ascii="Georgia" w:hAnsi="Georgia"/>
          <w:sz w:val="20"/>
          <w:lang w:val="lt-LT"/>
        </w:rPr>
        <w:t>čiau pateiktos lentelės duomenų matome, kad daugiabučių renovacijo</w:t>
      </w:r>
      <w:r>
        <w:rPr>
          <w:rFonts w:ascii="Georgia" w:hAnsi="Georgia"/>
          <w:sz w:val="20"/>
          <w:lang w:val="lt-LT"/>
        </w:rPr>
        <w:t>s</w:t>
      </w:r>
      <w:r w:rsidRPr="00DF3A8E">
        <w:rPr>
          <w:rFonts w:ascii="Georgia" w:hAnsi="Georgia"/>
          <w:sz w:val="20"/>
          <w:lang w:val="lt-LT"/>
        </w:rPr>
        <w:t xml:space="preserve"> projektai be subsidi</w:t>
      </w:r>
      <w:r>
        <w:rPr>
          <w:rFonts w:ascii="Georgia" w:hAnsi="Georgia"/>
          <w:sz w:val="20"/>
          <w:lang w:val="lt-LT"/>
        </w:rPr>
        <w:t>jos</w:t>
      </w:r>
      <w:r w:rsidRPr="00DF3A8E">
        <w:rPr>
          <w:rFonts w:ascii="Georgia" w:hAnsi="Georgia"/>
          <w:sz w:val="20"/>
          <w:lang w:val="lt-LT"/>
        </w:rPr>
        <w:t xml:space="preserve"> elemento sutaupant 40 proc. šilumos energijos, net kainai esant 0,36 Lt/kWh</w:t>
      </w:r>
      <w:r>
        <w:rPr>
          <w:rFonts w:ascii="Georgia" w:hAnsi="Georgia"/>
          <w:sz w:val="20"/>
          <w:lang w:val="lt-LT"/>
        </w:rPr>
        <w:t xml:space="preserve"> (ir kainai kiekvienais metais augant 3 proc.)</w:t>
      </w:r>
      <w:r w:rsidRPr="00DF3A8E">
        <w:rPr>
          <w:rFonts w:ascii="Georgia" w:hAnsi="Georgia"/>
          <w:sz w:val="20"/>
          <w:lang w:val="lt-LT"/>
        </w:rPr>
        <w:t xml:space="preserve"> atsipirktų tik per 24,6 metus. </w:t>
      </w:r>
      <w:r>
        <w:rPr>
          <w:rFonts w:ascii="Georgia" w:hAnsi="Georgia"/>
          <w:sz w:val="20"/>
          <w:lang w:val="lt-LT"/>
        </w:rPr>
        <w:t xml:space="preserve">Toks projektų atsipirkimo laikas yra ilgas ir sąlygotų renovacijos projektų nepatrauklumą. </w:t>
      </w:r>
    </w:p>
    <w:p w14:paraId="709209F8" w14:textId="77777777" w:rsidR="00280058" w:rsidRDefault="00280058" w:rsidP="00280058">
      <w:pPr>
        <w:jc w:val="both"/>
        <w:rPr>
          <w:rFonts w:ascii="Georgia" w:hAnsi="Georgia"/>
          <w:sz w:val="20"/>
          <w:lang w:val="lt-LT"/>
        </w:rPr>
      </w:pPr>
      <w:r w:rsidRPr="00DF3A8E">
        <w:rPr>
          <w:rFonts w:ascii="Georgia" w:hAnsi="Georgia"/>
          <w:sz w:val="20"/>
          <w:lang w:val="lt-LT"/>
        </w:rPr>
        <w:t>Žemiau pateiktoje jautrumo analizės</w:t>
      </w:r>
      <w:r>
        <w:rPr>
          <w:rFonts w:ascii="Georgia" w:hAnsi="Georgia"/>
          <w:sz w:val="20"/>
          <w:lang w:val="lt-LT"/>
        </w:rPr>
        <w:t xml:space="preserve"> </w:t>
      </w:r>
      <w:r w:rsidRPr="00D545C4">
        <w:rPr>
          <w:rFonts w:ascii="Georgia" w:hAnsi="Georgia"/>
          <w:sz w:val="20"/>
          <w:lang w:val="lt-LT"/>
        </w:rPr>
        <w:t>lentelėje</w:t>
      </w:r>
      <w:r w:rsidRPr="00DF3A8E">
        <w:rPr>
          <w:rFonts w:ascii="Georgia" w:hAnsi="Georgia"/>
          <w:sz w:val="20"/>
          <w:lang w:val="lt-LT"/>
        </w:rPr>
        <w:t xml:space="preserve"> analizuojamas santykis tarp energijos kainos ir subsidijos elemento</w:t>
      </w:r>
      <w:r>
        <w:rPr>
          <w:rFonts w:ascii="Georgia" w:hAnsi="Georgia"/>
          <w:sz w:val="20"/>
          <w:lang w:val="lt-LT"/>
        </w:rPr>
        <w:t>.</w:t>
      </w:r>
    </w:p>
    <w:p w14:paraId="2D95749E" w14:textId="3C3183F7" w:rsidR="00280058" w:rsidRPr="00893A57" w:rsidRDefault="00280058" w:rsidP="00280058">
      <w:pPr>
        <w:pStyle w:val="Antrat"/>
        <w:jc w:val="both"/>
        <w:rPr>
          <w:lang w:val="lt-LT"/>
        </w:rPr>
      </w:pPr>
      <w:bookmarkStart w:id="123" w:name="_Toc460321627"/>
      <w:r w:rsidRPr="00325641">
        <w:rPr>
          <w:lang w:val="lt-LT"/>
        </w:rPr>
        <w:t xml:space="preserve">Lentelė </w:t>
      </w:r>
      <w:r w:rsidRPr="00325641">
        <w:rPr>
          <w:lang w:val="lt-LT"/>
        </w:rPr>
        <w:fldChar w:fldCharType="begin"/>
      </w:r>
      <w:r w:rsidRPr="00325641">
        <w:rPr>
          <w:lang w:val="lt-LT"/>
        </w:rPr>
        <w:instrText xml:space="preserve"> SEQ Lentelė \* ARABIC </w:instrText>
      </w:r>
      <w:r w:rsidRPr="00325641">
        <w:rPr>
          <w:lang w:val="lt-LT"/>
        </w:rPr>
        <w:fldChar w:fldCharType="separate"/>
      </w:r>
      <w:r w:rsidR="00AA3082">
        <w:rPr>
          <w:noProof/>
          <w:lang w:val="lt-LT"/>
        </w:rPr>
        <w:t>46</w:t>
      </w:r>
      <w:r w:rsidRPr="00325641">
        <w:rPr>
          <w:lang w:val="lt-LT"/>
        </w:rPr>
        <w:fldChar w:fldCharType="end"/>
      </w:r>
      <w:r w:rsidRPr="00325641">
        <w:rPr>
          <w:lang w:val="lt-LT"/>
        </w:rPr>
        <w:t xml:space="preserve">. </w:t>
      </w:r>
      <w:r w:rsidRPr="00893A57">
        <w:rPr>
          <w:lang w:val="lt-LT"/>
        </w:rPr>
        <w:t>Energijos kainos ir subsidijos elemento santykio analizė.</w:t>
      </w:r>
      <w:bookmarkEnd w:id="123"/>
    </w:p>
    <w:tbl>
      <w:tblPr>
        <w:tblW w:w="5000" w:type="pct"/>
        <w:tblLook w:val="04A0" w:firstRow="1" w:lastRow="0" w:firstColumn="1" w:lastColumn="0" w:noHBand="0" w:noVBand="1"/>
      </w:tblPr>
      <w:tblGrid>
        <w:gridCol w:w="190"/>
        <w:gridCol w:w="636"/>
        <w:gridCol w:w="636"/>
        <w:gridCol w:w="635"/>
        <w:gridCol w:w="635"/>
        <w:gridCol w:w="635"/>
        <w:gridCol w:w="635"/>
        <w:gridCol w:w="635"/>
        <w:gridCol w:w="635"/>
        <w:gridCol w:w="635"/>
        <w:gridCol w:w="635"/>
        <w:gridCol w:w="635"/>
        <w:gridCol w:w="635"/>
        <w:gridCol w:w="635"/>
        <w:gridCol w:w="635"/>
      </w:tblGrid>
      <w:tr w:rsidR="00280058" w:rsidRPr="002C025E" w14:paraId="0B66DA44" w14:textId="77777777" w:rsidTr="0005008F">
        <w:tc>
          <w:tcPr>
            <w:tcW w:w="105" w:type="pct"/>
            <w:tcBorders>
              <w:top w:val="nil"/>
              <w:left w:val="nil"/>
              <w:right w:val="nil"/>
            </w:tcBorders>
            <w:shd w:val="clear" w:color="auto" w:fill="auto"/>
            <w:noWrap/>
            <w:tcMar>
              <w:left w:w="28" w:type="dxa"/>
              <w:right w:w="28" w:type="dxa"/>
            </w:tcMar>
            <w:vAlign w:val="bottom"/>
            <w:hideMark/>
          </w:tcPr>
          <w:p w14:paraId="59A79F3F" w14:textId="77777777" w:rsidR="00280058" w:rsidRPr="00DF3A8E" w:rsidRDefault="00280058" w:rsidP="00BB18F6">
            <w:pPr>
              <w:spacing w:after="0" w:line="240" w:lineRule="auto"/>
              <w:rPr>
                <w:rFonts w:ascii="Arial" w:eastAsia="Times New Roman" w:hAnsi="Arial" w:cs="Arial"/>
                <w:sz w:val="18"/>
                <w:szCs w:val="18"/>
                <w:lang w:val="lt-LT" w:eastAsia="lt-LT"/>
              </w:rPr>
            </w:pPr>
          </w:p>
        </w:tc>
        <w:tc>
          <w:tcPr>
            <w:tcW w:w="4895" w:type="pct"/>
            <w:gridSpan w:val="14"/>
            <w:tcBorders>
              <w:top w:val="nil"/>
              <w:left w:val="nil"/>
              <w:right w:val="nil"/>
            </w:tcBorders>
            <w:shd w:val="clear" w:color="000000" w:fill="FFC18A"/>
            <w:noWrap/>
            <w:tcMar>
              <w:left w:w="28" w:type="dxa"/>
              <w:right w:w="28" w:type="dxa"/>
            </w:tcMar>
            <w:vAlign w:val="bottom"/>
            <w:hideMark/>
          </w:tcPr>
          <w:p w14:paraId="0E952987" w14:textId="77777777" w:rsidR="00280058" w:rsidRPr="00DF3A8E" w:rsidRDefault="00280058" w:rsidP="00BB18F6">
            <w:pPr>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Subsidija </w:t>
            </w:r>
          </w:p>
        </w:tc>
      </w:tr>
      <w:tr w:rsidR="00280058" w:rsidRPr="002C025E" w14:paraId="594AD614" w14:textId="77777777" w:rsidTr="0005008F">
        <w:tc>
          <w:tcPr>
            <w:tcW w:w="105" w:type="pct"/>
            <w:tcBorders>
              <w:top w:val="nil"/>
              <w:left w:val="nil"/>
              <w:bottom w:val="nil"/>
              <w:right w:val="nil"/>
            </w:tcBorders>
            <w:shd w:val="clear" w:color="auto" w:fill="auto"/>
            <w:noWrap/>
            <w:tcMar>
              <w:left w:w="28" w:type="dxa"/>
              <w:right w:w="28" w:type="dxa"/>
            </w:tcMar>
            <w:vAlign w:val="bottom"/>
            <w:hideMark/>
          </w:tcPr>
          <w:p w14:paraId="03D01B5A" w14:textId="77777777" w:rsidR="00280058" w:rsidRPr="00DF3A8E" w:rsidRDefault="00280058" w:rsidP="00BB18F6">
            <w:pPr>
              <w:spacing w:after="0" w:line="240" w:lineRule="auto"/>
              <w:rPr>
                <w:rFonts w:ascii="Arial" w:eastAsia="Times New Roman" w:hAnsi="Arial" w:cs="Arial"/>
                <w:sz w:val="18"/>
                <w:szCs w:val="18"/>
                <w:lang w:val="lt-LT" w:eastAsia="lt-LT"/>
              </w:rPr>
            </w:pPr>
          </w:p>
        </w:tc>
        <w:tc>
          <w:tcPr>
            <w:tcW w:w="350" w:type="pct"/>
            <w:tcBorders>
              <w:top w:val="nil"/>
              <w:left w:val="nil"/>
              <w:bottom w:val="nil"/>
              <w:right w:val="nil"/>
            </w:tcBorders>
            <w:shd w:val="clear" w:color="auto" w:fill="auto"/>
            <w:noWrap/>
            <w:tcMar>
              <w:left w:w="28" w:type="dxa"/>
              <w:right w:w="28" w:type="dxa"/>
            </w:tcMar>
            <w:vAlign w:val="bottom"/>
            <w:hideMark/>
          </w:tcPr>
          <w:p w14:paraId="61B60B75" w14:textId="77777777" w:rsidR="00280058" w:rsidRPr="00DF3A8E" w:rsidRDefault="00280058" w:rsidP="00BB18F6">
            <w:pPr>
              <w:spacing w:after="0" w:line="240" w:lineRule="auto"/>
              <w:rPr>
                <w:rFonts w:ascii="Arial" w:eastAsia="Times New Roman" w:hAnsi="Arial" w:cs="Arial"/>
                <w:color w:val="FFFFFF"/>
                <w:sz w:val="18"/>
                <w:szCs w:val="18"/>
                <w:lang w:val="lt-LT" w:eastAsia="lt-LT"/>
              </w:rPr>
            </w:pPr>
            <w:r w:rsidRPr="00DF3A8E">
              <w:rPr>
                <w:rFonts w:ascii="Arial" w:eastAsia="Times New Roman" w:hAnsi="Arial" w:cs="Arial"/>
                <w:color w:val="FFFFFF"/>
                <w:sz w:val="18"/>
                <w:szCs w:val="18"/>
                <w:lang w:val="lt-LT" w:eastAsia="lt-LT"/>
              </w:rPr>
              <w:t xml:space="preserve">            33.8 </w:t>
            </w:r>
          </w:p>
        </w:tc>
        <w:tc>
          <w:tcPr>
            <w:tcW w:w="350" w:type="pct"/>
            <w:tcBorders>
              <w:top w:val="nil"/>
              <w:left w:val="nil"/>
              <w:bottom w:val="nil"/>
              <w:right w:val="nil"/>
            </w:tcBorders>
            <w:shd w:val="clear" w:color="auto" w:fill="auto"/>
            <w:noWrap/>
            <w:tcMar>
              <w:left w:w="28" w:type="dxa"/>
              <w:right w:w="28" w:type="dxa"/>
            </w:tcMar>
            <w:vAlign w:val="bottom"/>
            <w:hideMark/>
          </w:tcPr>
          <w:p w14:paraId="1FE27773" w14:textId="77777777" w:rsidR="00280058" w:rsidRPr="00F527BB" w:rsidRDefault="00280058" w:rsidP="00BB18F6">
            <w:pPr>
              <w:spacing w:after="0" w:line="240" w:lineRule="auto"/>
              <w:jc w:val="right"/>
              <w:rPr>
                <w:rFonts w:ascii="Arial" w:eastAsia="Times New Roman" w:hAnsi="Arial" w:cs="Arial"/>
                <w:b/>
                <w:bCs/>
                <w:sz w:val="18"/>
                <w:szCs w:val="18"/>
                <w:lang w:val="lt-LT" w:eastAsia="lt-LT"/>
              </w:rPr>
            </w:pPr>
            <w:r w:rsidRPr="00F527BB">
              <w:rPr>
                <w:rFonts w:ascii="Arial" w:eastAsia="Times New Roman" w:hAnsi="Arial" w:cs="Arial"/>
                <w:b/>
                <w:bCs/>
                <w:sz w:val="18"/>
                <w:szCs w:val="18"/>
                <w:lang w:val="lt-LT" w:eastAsia="lt-LT"/>
              </w:rPr>
              <w:t xml:space="preserve">0% </w:t>
            </w:r>
          </w:p>
        </w:tc>
        <w:tc>
          <w:tcPr>
            <w:tcW w:w="350" w:type="pct"/>
            <w:tcBorders>
              <w:top w:val="nil"/>
              <w:left w:val="nil"/>
              <w:bottom w:val="nil"/>
              <w:right w:val="nil"/>
            </w:tcBorders>
            <w:shd w:val="clear" w:color="auto" w:fill="auto"/>
            <w:noWrap/>
            <w:tcMar>
              <w:left w:w="28" w:type="dxa"/>
              <w:right w:w="28" w:type="dxa"/>
            </w:tcMar>
            <w:vAlign w:val="bottom"/>
            <w:hideMark/>
          </w:tcPr>
          <w:p w14:paraId="4E0D387D"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 </w:t>
            </w:r>
          </w:p>
        </w:tc>
        <w:tc>
          <w:tcPr>
            <w:tcW w:w="350" w:type="pct"/>
            <w:tcBorders>
              <w:top w:val="nil"/>
              <w:left w:val="nil"/>
              <w:bottom w:val="nil"/>
              <w:right w:val="nil"/>
            </w:tcBorders>
            <w:shd w:val="clear" w:color="auto" w:fill="auto"/>
            <w:noWrap/>
            <w:tcMar>
              <w:left w:w="28" w:type="dxa"/>
              <w:right w:w="28" w:type="dxa"/>
            </w:tcMar>
            <w:vAlign w:val="bottom"/>
            <w:hideMark/>
          </w:tcPr>
          <w:p w14:paraId="6C3CF8B6"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10% </w:t>
            </w:r>
          </w:p>
        </w:tc>
        <w:tc>
          <w:tcPr>
            <w:tcW w:w="350" w:type="pct"/>
            <w:tcBorders>
              <w:top w:val="nil"/>
              <w:left w:val="nil"/>
              <w:bottom w:val="nil"/>
              <w:right w:val="nil"/>
            </w:tcBorders>
            <w:shd w:val="clear" w:color="auto" w:fill="auto"/>
            <w:noWrap/>
            <w:tcMar>
              <w:left w:w="28" w:type="dxa"/>
              <w:right w:w="28" w:type="dxa"/>
            </w:tcMar>
            <w:vAlign w:val="bottom"/>
            <w:hideMark/>
          </w:tcPr>
          <w:p w14:paraId="7A1E4E22"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15% </w:t>
            </w:r>
          </w:p>
        </w:tc>
        <w:tc>
          <w:tcPr>
            <w:tcW w:w="350" w:type="pct"/>
            <w:tcBorders>
              <w:top w:val="nil"/>
              <w:left w:val="nil"/>
              <w:bottom w:val="nil"/>
              <w:right w:val="nil"/>
            </w:tcBorders>
            <w:shd w:val="clear" w:color="auto" w:fill="auto"/>
            <w:noWrap/>
            <w:tcMar>
              <w:left w:w="28" w:type="dxa"/>
              <w:right w:w="28" w:type="dxa"/>
            </w:tcMar>
            <w:vAlign w:val="bottom"/>
            <w:hideMark/>
          </w:tcPr>
          <w:p w14:paraId="77A85D78"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20% </w:t>
            </w:r>
          </w:p>
        </w:tc>
        <w:tc>
          <w:tcPr>
            <w:tcW w:w="350" w:type="pct"/>
            <w:tcBorders>
              <w:top w:val="nil"/>
              <w:left w:val="nil"/>
              <w:bottom w:val="nil"/>
              <w:right w:val="nil"/>
            </w:tcBorders>
            <w:shd w:val="clear" w:color="auto" w:fill="auto"/>
            <w:noWrap/>
            <w:tcMar>
              <w:left w:w="28" w:type="dxa"/>
              <w:right w:w="28" w:type="dxa"/>
            </w:tcMar>
            <w:vAlign w:val="bottom"/>
            <w:hideMark/>
          </w:tcPr>
          <w:p w14:paraId="1116ACD2"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25% </w:t>
            </w:r>
          </w:p>
        </w:tc>
        <w:tc>
          <w:tcPr>
            <w:tcW w:w="350" w:type="pct"/>
            <w:tcBorders>
              <w:top w:val="nil"/>
              <w:left w:val="nil"/>
              <w:bottom w:val="nil"/>
              <w:right w:val="nil"/>
            </w:tcBorders>
            <w:shd w:val="clear" w:color="auto" w:fill="auto"/>
            <w:noWrap/>
            <w:tcMar>
              <w:left w:w="28" w:type="dxa"/>
              <w:right w:w="28" w:type="dxa"/>
            </w:tcMar>
            <w:vAlign w:val="bottom"/>
            <w:hideMark/>
          </w:tcPr>
          <w:p w14:paraId="2DF0C13E"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30% </w:t>
            </w:r>
          </w:p>
        </w:tc>
        <w:tc>
          <w:tcPr>
            <w:tcW w:w="350" w:type="pct"/>
            <w:tcBorders>
              <w:top w:val="nil"/>
              <w:left w:val="nil"/>
              <w:bottom w:val="nil"/>
              <w:right w:val="nil"/>
            </w:tcBorders>
            <w:shd w:val="clear" w:color="auto" w:fill="auto"/>
            <w:noWrap/>
            <w:tcMar>
              <w:left w:w="28" w:type="dxa"/>
              <w:right w:w="28" w:type="dxa"/>
            </w:tcMar>
            <w:vAlign w:val="bottom"/>
            <w:hideMark/>
          </w:tcPr>
          <w:p w14:paraId="08322FE8"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35% </w:t>
            </w:r>
          </w:p>
        </w:tc>
        <w:tc>
          <w:tcPr>
            <w:tcW w:w="350" w:type="pct"/>
            <w:tcBorders>
              <w:top w:val="nil"/>
              <w:left w:val="nil"/>
              <w:bottom w:val="nil"/>
              <w:right w:val="nil"/>
            </w:tcBorders>
            <w:shd w:val="clear" w:color="auto" w:fill="auto"/>
            <w:noWrap/>
            <w:tcMar>
              <w:left w:w="28" w:type="dxa"/>
              <w:right w:w="28" w:type="dxa"/>
            </w:tcMar>
            <w:vAlign w:val="bottom"/>
            <w:hideMark/>
          </w:tcPr>
          <w:p w14:paraId="08649C98"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40% </w:t>
            </w:r>
          </w:p>
        </w:tc>
        <w:tc>
          <w:tcPr>
            <w:tcW w:w="350" w:type="pct"/>
            <w:tcBorders>
              <w:top w:val="nil"/>
              <w:left w:val="nil"/>
              <w:bottom w:val="nil"/>
              <w:right w:val="nil"/>
            </w:tcBorders>
            <w:shd w:val="clear" w:color="auto" w:fill="auto"/>
            <w:noWrap/>
            <w:tcMar>
              <w:left w:w="28" w:type="dxa"/>
              <w:right w:w="28" w:type="dxa"/>
            </w:tcMar>
            <w:vAlign w:val="bottom"/>
            <w:hideMark/>
          </w:tcPr>
          <w:p w14:paraId="16D8275F"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45% </w:t>
            </w:r>
          </w:p>
        </w:tc>
        <w:tc>
          <w:tcPr>
            <w:tcW w:w="350" w:type="pct"/>
            <w:tcBorders>
              <w:top w:val="nil"/>
              <w:left w:val="nil"/>
              <w:bottom w:val="nil"/>
              <w:right w:val="nil"/>
            </w:tcBorders>
            <w:shd w:val="clear" w:color="auto" w:fill="auto"/>
            <w:noWrap/>
            <w:tcMar>
              <w:left w:w="28" w:type="dxa"/>
              <w:right w:w="28" w:type="dxa"/>
            </w:tcMar>
            <w:vAlign w:val="bottom"/>
            <w:hideMark/>
          </w:tcPr>
          <w:p w14:paraId="7D6B2B2B"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50% </w:t>
            </w:r>
          </w:p>
        </w:tc>
        <w:tc>
          <w:tcPr>
            <w:tcW w:w="350" w:type="pct"/>
            <w:tcBorders>
              <w:top w:val="nil"/>
              <w:left w:val="nil"/>
              <w:bottom w:val="nil"/>
              <w:right w:val="nil"/>
            </w:tcBorders>
            <w:shd w:val="clear" w:color="auto" w:fill="auto"/>
            <w:noWrap/>
            <w:tcMar>
              <w:left w:w="28" w:type="dxa"/>
              <w:right w:w="28" w:type="dxa"/>
            </w:tcMar>
            <w:vAlign w:val="bottom"/>
            <w:hideMark/>
          </w:tcPr>
          <w:p w14:paraId="136411A7"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55% </w:t>
            </w:r>
          </w:p>
        </w:tc>
        <w:tc>
          <w:tcPr>
            <w:tcW w:w="350" w:type="pct"/>
            <w:tcBorders>
              <w:top w:val="nil"/>
              <w:left w:val="nil"/>
              <w:bottom w:val="nil"/>
              <w:right w:val="nil"/>
            </w:tcBorders>
            <w:shd w:val="clear" w:color="auto" w:fill="auto"/>
            <w:noWrap/>
            <w:tcMar>
              <w:left w:w="28" w:type="dxa"/>
              <w:right w:w="28" w:type="dxa"/>
            </w:tcMar>
            <w:vAlign w:val="bottom"/>
            <w:hideMark/>
          </w:tcPr>
          <w:p w14:paraId="0105DF0E"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60% </w:t>
            </w:r>
          </w:p>
        </w:tc>
      </w:tr>
      <w:tr w:rsidR="00280058" w:rsidRPr="002C025E" w14:paraId="4612A4BF" w14:textId="77777777" w:rsidTr="0005008F">
        <w:tc>
          <w:tcPr>
            <w:tcW w:w="105" w:type="pct"/>
            <w:vMerge w:val="restart"/>
            <w:tcBorders>
              <w:top w:val="nil"/>
              <w:left w:val="nil"/>
              <w:bottom w:val="nil"/>
              <w:right w:val="nil"/>
            </w:tcBorders>
            <w:shd w:val="clear" w:color="000000" w:fill="D9D9D9"/>
            <w:tcMar>
              <w:left w:w="28" w:type="dxa"/>
              <w:right w:w="28" w:type="dxa"/>
            </w:tcMar>
            <w:textDirection w:val="btLr"/>
            <w:vAlign w:val="center"/>
            <w:hideMark/>
          </w:tcPr>
          <w:p w14:paraId="2703ADBC" w14:textId="77777777" w:rsidR="00280058" w:rsidRPr="00DF3A8E" w:rsidRDefault="00280058" w:rsidP="00BB18F6">
            <w:pPr>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Energijos kaina </w:t>
            </w:r>
          </w:p>
        </w:tc>
        <w:tc>
          <w:tcPr>
            <w:tcW w:w="350" w:type="pct"/>
            <w:tcBorders>
              <w:top w:val="nil"/>
              <w:left w:val="nil"/>
              <w:bottom w:val="nil"/>
              <w:right w:val="nil"/>
            </w:tcBorders>
            <w:shd w:val="clear" w:color="auto" w:fill="auto"/>
            <w:noWrap/>
            <w:tcMar>
              <w:left w:w="28" w:type="dxa"/>
              <w:right w:w="28" w:type="dxa"/>
            </w:tcMar>
            <w:vAlign w:val="bottom"/>
            <w:hideMark/>
          </w:tcPr>
          <w:p w14:paraId="532CDCE3"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0.26</w:t>
            </w:r>
          </w:p>
        </w:tc>
        <w:tc>
          <w:tcPr>
            <w:tcW w:w="350" w:type="pct"/>
            <w:tcBorders>
              <w:top w:val="nil"/>
              <w:left w:val="nil"/>
              <w:bottom w:val="nil"/>
              <w:right w:val="nil"/>
            </w:tcBorders>
            <w:shd w:val="clear" w:color="000000" w:fill="FFC7CE"/>
            <w:noWrap/>
            <w:tcMar>
              <w:left w:w="28" w:type="dxa"/>
              <w:right w:w="28" w:type="dxa"/>
            </w:tcMar>
            <w:vAlign w:val="bottom"/>
            <w:hideMark/>
          </w:tcPr>
          <w:p w14:paraId="7B22D743"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42.5 </w:t>
            </w:r>
          </w:p>
        </w:tc>
        <w:tc>
          <w:tcPr>
            <w:tcW w:w="350" w:type="pct"/>
            <w:tcBorders>
              <w:top w:val="nil"/>
              <w:left w:val="nil"/>
              <w:bottom w:val="nil"/>
              <w:right w:val="nil"/>
            </w:tcBorders>
            <w:shd w:val="clear" w:color="000000" w:fill="FFC7CE"/>
            <w:noWrap/>
            <w:tcMar>
              <w:left w:w="28" w:type="dxa"/>
              <w:right w:w="28" w:type="dxa"/>
            </w:tcMar>
            <w:vAlign w:val="bottom"/>
            <w:hideMark/>
          </w:tcPr>
          <w:p w14:paraId="02A92DA3"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38.5 </w:t>
            </w:r>
          </w:p>
        </w:tc>
        <w:tc>
          <w:tcPr>
            <w:tcW w:w="350" w:type="pct"/>
            <w:tcBorders>
              <w:top w:val="nil"/>
              <w:left w:val="nil"/>
              <w:bottom w:val="nil"/>
              <w:right w:val="nil"/>
            </w:tcBorders>
            <w:shd w:val="clear" w:color="000000" w:fill="FFC7CE"/>
            <w:noWrap/>
            <w:tcMar>
              <w:left w:w="28" w:type="dxa"/>
              <w:right w:w="28" w:type="dxa"/>
            </w:tcMar>
            <w:vAlign w:val="bottom"/>
            <w:hideMark/>
          </w:tcPr>
          <w:p w14:paraId="2F488947"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34.9 </w:t>
            </w:r>
          </w:p>
        </w:tc>
        <w:tc>
          <w:tcPr>
            <w:tcW w:w="350" w:type="pct"/>
            <w:tcBorders>
              <w:top w:val="nil"/>
              <w:left w:val="nil"/>
              <w:bottom w:val="nil"/>
              <w:right w:val="nil"/>
            </w:tcBorders>
            <w:shd w:val="clear" w:color="000000" w:fill="FFC7CE"/>
            <w:noWrap/>
            <w:tcMar>
              <w:left w:w="28" w:type="dxa"/>
              <w:right w:w="28" w:type="dxa"/>
            </w:tcMar>
            <w:vAlign w:val="bottom"/>
            <w:hideMark/>
          </w:tcPr>
          <w:p w14:paraId="0CC73214"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31.7 </w:t>
            </w:r>
          </w:p>
        </w:tc>
        <w:tc>
          <w:tcPr>
            <w:tcW w:w="350" w:type="pct"/>
            <w:tcBorders>
              <w:top w:val="nil"/>
              <w:left w:val="nil"/>
              <w:bottom w:val="nil"/>
              <w:right w:val="nil"/>
            </w:tcBorders>
            <w:shd w:val="clear" w:color="000000" w:fill="FFC7CE"/>
            <w:noWrap/>
            <w:tcMar>
              <w:left w:w="28" w:type="dxa"/>
              <w:right w:w="28" w:type="dxa"/>
            </w:tcMar>
            <w:vAlign w:val="bottom"/>
            <w:hideMark/>
          </w:tcPr>
          <w:p w14:paraId="50D8E61B"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28.7 </w:t>
            </w:r>
          </w:p>
        </w:tc>
        <w:tc>
          <w:tcPr>
            <w:tcW w:w="350" w:type="pct"/>
            <w:tcBorders>
              <w:top w:val="nil"/>
              <w:left w:val="nil"/>
              <w:bottom w:val="nil"/>
              <w:right w:val="nil"/>
            </w:tcBorders>
            <w:shd w:val="clear" w:color="000000" w:fill="FFC7CE"/>
            <w:noWrap/>
            <w:tcMar>
              <w:left w:w="28" w:type="dxa"/>
              <w:right w:w="28" w:type="dxa"/>
            </w:tcMar>
            <w:vAlign w:val="bottom"/>
            <w:hideMark/>
          </w:tcPr>
          <w:p w14:paraId="2C008688"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26.0 </w:t>
            </w:r>
          </w:p>
        </w:tc>
        <w:tc>
          <w:tcPr>
            <w:tcW w:w="350" w:type="pct"/>
            <w:tcBorders>
              <w:top w:val="nil"/>
              <w:left w:val="nil"/>
              <w:bottom w:val="nil"/>
              <w:right w:val="nil"/>
            </w:tcBorders>
            <w:shd w:val="clear" w:color="000000" w:fill="FFC7CE"/>
            <w:noWrap/>
            <w:tcMar>
              <w:left w:w="28" w:type="dxa"/>
              <w:right w:w="28" w:type="dxa"/>
            </w:tcMar>
            <w:vAlign w:val="bottom"/>
            <w:hideMark/>
          </w:tcPr>
          <w:p w14:paraId="2B35D863"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23.5 </w:t>
            </w:r>
          </w:p>
        </w:tc>
        <w:tc>
          <w:tcPr>
            <w:tcW w:w="350" w:type="pct"/>
            <w:tcBorders>
              <w:top w:val="nil"/>
              <w:left w:val="nil"/>
              <w:bottom w:val="nil"/>
              <w:right w:val="nil"/>
            </w:tcBorders>
            <w:shd w:val="clear" w:color="000000" w:fill="FFC7CE"/>
            <w:noWrap/>
            <w:tcMar>
              <w:left w:w="28" w:type="dxa"/>
              <w:right w:w="28" w:type="dxa"/>
            </w:tcMar>
            <w:vAlign w:val="bottom"/>
            <w:hideMark/>
          </w:tcPr>
          <w:p w14:paraId="4BBB24A8"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21.1 </w:t>
            </w:r>
          </w:p>
        </w:tc>
        <w:tc>
          <w:tcPr>
            <w:tcW w:w="350" w:type="pct"/>
            <w:tcBorders>
              <w:top w:val="nil"/>
              <w:left w:val="nil"/>
              <w:bottom w:val="nil"/>
              <w:right w:val="nil"/>
            </w:tcBorders>
            <w:shd w:val="clear" w:color="000000" w:fill="C6EFCE"/>
            <w:noWrap/>
            <w:tcMar>
              <w:left w:w="28" w:type="dxa"/>
              <w:right w:w="28" w:type="dxa"/>
            </w:tcMar>
            <w:vAlign w:val="bottom"/>
            <w:hideMark/>
          </w:tcPr>
          <w:p w14:paraId="657A20F0"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19.0 </w:t>
            </w:r>
          </w:p>
        </w:tc>
        <w:tc>
          <w:tcPr>
            <w:tcW w:w="350" w:type="pct"/>
            <w:tcBorders>
              <w:top w:val="nil"/>
              <w:left w:val="nil"/>
              <w:bottom w:val="nil"/>
              <w:right w:val="nil"/>
            </w:tcBorders>
            <w:shd w:val="clear" w:color="000000" w:fill="C6EFCE"/>
            <w:noWrap/>
            <w:tcMar>
              <w:left w:w="28" w:type="dxa"/>
              <w:right w:w="28" w:type="dxa"/>
            </w:tcMar>
            <w:vAlign w:val="bottom"/>
            <w:hideMark/>
          </w:tcPr>
          <w:p w14:paraId="194E8436"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16.9 </w:t>
            </w:r>
          </w:p>
        </w:tc>
        <w:tc>
          <w:tcPr>
            <w:tcW w:w="350" w:type="pct"/>
            <w:tcBorders>
              <w:top w:val="nil"/>
              <w:left w:val="nil"/>
              <w:bottom w:val="nil"/>
              <w:right w:val="nil"/>
            </w:tcBorders>
            <w:shd w:val="clear" w:color="000000" w:fill="C6EFCE"/>
            <w:noWrap/>
            <w:tcMar>
              <w:left w:w="28" w:type="dxa"/>
              <w:right w:w="28" w:type="dxa"/>
            </w:tcMar>
            <w:vAlign w:val="bottom"/>
            <w:hideMark/>
          </w:tcPr>
          <w:p w14:paraId="7432CA1B"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15.0 </w:t>
            </w:r>
          </w:p>
        </w:tc>
        <w:tc>
          <w:tcPr>
            <w:tcW w:w="350" w:type="pct"/>
            <w:tcBorders>
              <w:top w:val="nil"/>
              <w:left w:val="nil"/>
              <w:bottom w:val="nil"/>
              <w:right w:val="nil"/>
            </w:tcBorders>
            <w:shd w:val="clear" w:color="000000" w:fill="C6EFCE"/>
            <w:noWrap/>
            <w:tcMar>
              <w:left w:w="28" w:type="dxa"/>
              <w:right w:w="28" w:type="dxa"/>
            </w:tcMar>
            <w:vAlign w:val="bottom"/>
            <w:hideMark/>
          </w:tcPr>
          <w:p w14:paraId="5B805A61"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13.1 </w:t>
            </w:r>
          </w:p>
        </w:tc>
        <w:tc>
          <w:tcPr>
            <w:tcW w:w="350" w:type="pct"/>
            <w:tcBorders>
              <w:top w:val="nil"/>
              <w:left w:val="nil"/>
              <w:bottom w:val="nil"/>
              <w:right w:val="nil"/>
            </w:tcBorders>
            <w:shd w:val="clear" w:color="000000" w:fill="C6EFCE"/>
            <w:noWrap/>
            <w:tcMar>
              <w:left w:w="28" w:type="dxa"/>
              <w:right w:w="28" w:type="dxa"/>
            </w:tcMar>
            <w:vAlign w:val="bottom"/>
            <w:hideMark/>
          </w:tcPr>
          <w:p w14:paraId="66181CB8"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11.4 </w:t>
            </w:r>
          </w:p>
        </w:tc>
      </w:tr>
      <w:tr w:rsidR="00280058" w:rsidRPr="002C025E" w14:paraId="72E1B52A" w14:textId="77777777" w:rsidTr="0005008F">
        <w:tc>
          <w:tcPr>
            <w:tcW w:w="105" w:type="pct"/>
            <w:vMerge/>
            <w:tcBorders>
              <w:top w:val="nil"/>
              <w:left w:val="nil"/>
              <w:bottom w:val="nil"/>
              <w:right w:val="nil"/>
            </w:tcBorders>
            <w:tcMar>
              <w:left w:w="28" w:type="dxa"/>
              <w:right w:w="28" w:type="dxa"/>
            </w:tcMar>
            <w:vAlign w:val="center"/>
            <w:hideMark/>
          </w:tcPr>
          <w:p w14:paraId="54470E6C"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50" w:type="pct"/>
            <w:tcBorders>
              <w:top w:val="nil"/>
              <w:left w:val="nil"/>
              <w:bottom w:val="nil"/>
              <w:right w:val="nil"/>
            </w:tcBorders>
            <w:shd w:val="clear" w:color="auto" w:fill="auto"/>
            <w:noWrap/>
            <w:tcMar>
              <w:left w:w="28" w:type="dxa"/>
              <w:right w:w="28" w:type="dxa"/>
            </w:tcMar>
            <w:vAlign w:val="bottom"/>
            <w:hideMark/>
          </w:tcPr>
          <w:p w14:paraId="450139AC"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0.27</w:t>
            </w:r>
          </w:p>
        </w:tc>
        <w:tc>
          <w:tcPr>
            <w:tcW w:w="350" w:type="pct"/>
            <w:tcBorders>
              <w:top w:val="nil"/>
              <w:left w:val="nil"/>
              <w:bottom w:val="nil"/>
              <w:right w:val="nil"/>
            </w:tcBorders>
            <w:shd w:val="clear" w:color="000000" w:fill="FFC7CE"/>
            <w:noWrap/>
            <w:tcMar>
              <w:left w:w="28" w:type="dxa"/>
              <w:right w:w="28" w:type="dxa"/>
            </w:tcMar>
            <w:vAlign w:val="bottom"/>
            <w:hideMark/>
          </w:tcPr>
          <w:p w14:paraId="5B0E5FAA"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39.4 </w:t>
            </w:r>
          </w:p>
        </w:tc>
        <w:tc>
          <w:tcPr>
            <w:tcW w:w="350" w:type="pct"/>
            <w:tcBorders>
              <w:top w:val="nil"/>
              <w:left w:val="nil"/>
              <w:bottom w:val="nil"/>
              <w:right w:val="nil"/>
            </w:tcBorders>
            <w:shd w:val="clear" w:color="000000" w:fill="FFC7CE"/>
            <w:noWrap/>
            <w:tcMar>
              <w:left w:w="28" w:type="dxa"/>
              <w:right w:w="28" w:type="dxa"/>
            </w:tcMar>
            <w:vAlign w:val="bottom"/>
            <w:hideMark/>
          </w:tcPr>
          <w:p w14:paraId="5178D0FA"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35.9 </w:t>
            </w:r>
          </w:p>
        </w:tc>
        <w:tc>
          <w:tcPr>
            <w:tcW w:w="350" w:type="pct"/>
            <w:tcBorders>
              <w:top w:val="nil"/>
              <w:left w:val="nil"/>
              <w:bottom w:val="nil"/>
              <w:right w:val="nil"/>
            </w:tcBorders>
            <w:shd w:val="clear" w:color="000000" w:fill="FFC7CE"/>
            <w:noWrap/>
            <w:tcMar>
              <w:left w:w="28" w:type="dxa"/>
              <w:right w:w="28" w:type="dxa"/>
            </w:tcMar>
            <w:vAlign w:val="bottom"/>
            <w:hideMark/>
          </w:tcPr>
          <w:p w14:paraId="22F5E6F5"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32.7 </w:t>
            </w:r>
          </w:p>
        </w:tc>
        <w:tc>
          <w:tcPr>
            <w:tcW w:w="350" w:type="pct"/>
            <w:tcBorders>
              <w:top w:val="nil"/>
              <w:left w:val="nil"/>
              <w:bottom w:val="nil"/>
              <w:right w:val="nil"/>
            </w:tcBorders>
            <w:shd w:val="clear" w:color="000000" w:fill="FFC7CE"/>
            <w:noWrap/>
            <w:tcMar>
              <w:left w:w="28" w:type="dxa"/>
              <w:right w:w="28" w:type="dxa"/>
            </w:tcMar>
            <w:vAlign w:val="bottom"/>
            <w:hideMark/>
          </w:tcPr>
          <w:p w14:paraId="4EA9FA34"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29.8 </w:t>
            </w:r>
          </w:p>
        </w:tc>
        <w:tc>
          <w:tcPr>
            <w:tcW w:w="350" w:type="pct"/>
            <w:tcBorders>
              <w:top w:val="nil"/>
              <w:left w:val="nil"/>
              <w:bottom w:val="nil"/>
              <w:right w:val="nil"/>
            </w:tcBorders>
            <w:shd w:val="clear" w:color="000000" w:fill="FFC7CE"/>
            <w:noWrap/>
            <w:tcMar>
              <w:left w:w="28" w:type="dxa"/>
              <w:right w:w="28" w:type="dxa"/>
            </w:tcMar>
            <w:vAlign w:val="bottom"/>
            <w:hideMark/>
          </w:tcPr>
          <w:p w14:paraId="69F07561"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27.1 </w:t>
            </w:r>
          </w:p>
        </w:tc>
        <w:tc>
          <w:tcPr>
            <w:tcW w:w="350" w:type="pct"/>
            <w:tcBorders>
              <w:top w:val="nil"/>
              <w:left w:val="nil"/>
              <w:bottom w:val="nil"/>
              <w:right w:val="nil"/>
            </w:tcBorders>
            <w:shd w:val="clear" w:color="000000" w:fill="FFC7CE"/>
            <w:noWrap/>
            <w:tcMar>
              <w:left w:w="28" w:type="dxa"/>
              <w:right w:w="28" w:type="dxa"/>
            </w:tcMar>
            <w:vAlign w:val="bottom"/>
            <w:hideMark/>
          </w:tcPr>
          <w:p w14:paraId="48D3F7EF"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24.6 </w:t>
            </w:r>
          </w:p>
        </w:tc>
        <w:tc>
          <w:tcPr>
            <w:tcW w:w="350" w:type="pct"/>
            <w:tcBorders>
              <w:top w:val="nil"/>
              <w:left w:val="nil"/>
              <w:bottom w:val="nil"/>
              <w:right w:val="nil"/>
            </w:tcBorders>
            <w:shd w:val="clear" w:color="000000" w:fill="FFC7CE"/>
            <w:noWrap/>
            <w:tcMar>
              <w:left w:w="28" w:type="dxa"/>
              <w:right w:w="28" w:type="dxa"/>
            </w:tcMar>
            <w:vAlign w:val="bottom"/>
            <w:hideMark/>
          </w:tcPr>
          <w:p w14:paraId="06DB62AC"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22.2 </w:t>
            </w:r>
          </w:p>
        </w:tc>
        <w:tc>
          <w:tcPr>
            <w:tcW w:w="350" w:type="pct"/>
            <w:tcBorders>
              <w:top w:val="nil"/>
              <w:left w:val="nil"/>
              <w:bottom w:val="nil"/>
              <w:right w:val="nil"/>
            </w:tcBorders>
            <w:shd w:val="clear" w:color="000000" w:fill="FFC7CE"/>
            <w:noWrap/>
            <w:tcMar>
              <w:left w:w="28" w:type="dxa"/>
              <w:right w:w="28" w:type="dxa"/>
            </w:tcMar>
            <w:vAlign w:val="bottom"/>
            <w:hideMark/>
          </w:tcPr>
          <w:p w14:paraId="2965019B"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20.1 </w:t>
            </w:r>
          </w:p>
        </w:tc>
        <w:tc>
          <w:tcPr>
            <w:tcW w:w="350" w:type="pct"/>
            <w:tcBorders>
              <w:top w:val="nil"/>
              <w:left w:val="nil"/>
              <w:bottom w:val="nil"/>
              <w:right w:val="nil"/>
            </w:tcBorders>
            <w:shd w:val="clear" w:color="000000" w:fill="C6EFCE"/>
            <w:noWrap/>
            <w:tcMar>
              <w:left w:w="28" w:type="dxa"/>
              <w:right w:w="28" w:type="dxa"/>
            </w:tcMar>
            <w:vAlign w:val="bottom"/>
            <w:hideMark/>
          </w:tcPr>
          <w:p w14:paraId="22FB55BA"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18.0 </w:t>
            </w:r>
          </w:p>
        </w:tc>
        <w:tc>
          <w:tcPr>
            <w:tcW w:w="350" w:type="pct"/>
            <w:tcBorders>
              <w:top w:val="nil"/>
              <w:left w:val="nil"/>
              <w:bottom w:val="nil"/>
              <w:right w:val="nil"/>
            </w:tcBorders>
            <w:shd w:val="clear" w:color="000000" w:fill="C6EFCE"/>
            <w:noWrap/>
            <w:tcMar>
              <w:left w:w="28" w:type="dxa"/>
              <w:right w:w="28" w:type="dxa"/>
            </w:tcMar>
            <w:vAlign w:val="bottom"/>
            <w:hideMark/>
          </w:tcPr>
          <w:p w14:paraId="1F147FD0"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16.1 </w:t>
            </w:r>
          </w:p>
        </w:tc>
        <w:tc>
          <w:tcPr>
            <w:tcW w:w="350" w:type="pct"/>
            <w:tcBorders>
              <w:top w:val="nil"/>
              <w:left w:val="nil"/>
              <w:bottom w:val="nil"/>
              <w:right w:val="nil"/>
            </w:tcBorders>
            <w:shd w:val="clear" w:color="000000" w:fill="C6EFCE"/>
            <w:noWrap/>
            <w:tcMar>
              <w:left w:w="28" w:type="dxa"/>
              <w:right w:w="28" w:type="dxa"/>
            </w:tcMar>
            <w:vAlign w:val="bottom"/>
            <w:hideMark/>
          </w:tcPr>
          <w:p w14:paraId="70780DB9"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14.3 </w:t>
            </w:r>
          </w:p>
        </w:tc>
        <w:tc>
          <w:tcPr>
            <w:tcW w:w="350" w:type="pct"/>
            <w:tcBorders>
              <w:top w:val="nil"/>
              <w:left w:val="nil"/>
              <w:bottom w:val="nil"/>
              <w:right w:val="nil"/>
            </w:tcBorders>
            <w:shd w:val="clear" w:color="000000" w:fill="C6EFCE"/>
            <w:noWrap/>
            <w:tcMar>
              <w:left w:w="28" w:type="dxa"/>
              <w:right w:w="28" w:type="dxa"/>
            </w:tcMar>
            <w:vAlign w:val="bottom"/>
            <w:hideMark/>
          </w:tcPr>
          <w:p w14:paraId="48B37721"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12.5 </w:t>
            </w:r>
          </w:p>
        </w:tc>
        <w:tc>
          <w:tcPr>
            <w:tcW w:w="350" w:type="pct"/>
            <w:tcBorders>
              <w:top w:val="nil"/>
              <w:left w:val="nil"/>
              <w:bottom w:val="nil"/>
              <w:right w:val="nil"/>
            </w:tcBorders>
            <w:shd w:val="clear" w:color="000000" w:fill="C6EFCE"/>
            <w:noWrap/>
            <w:tcMar>
              <w:left w:w="28" w:type="dxa"/>
              <w:right w:w="28" w:type="dxa"/>
            </w:tcMar>
            <w:vAlign w:val="bottom"/>
            <w:hideMark/>
          </w:tcPr>
          <w:p w14:paraId="27EE0FD2"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10.9 </w:t>
            </w:r>
          </w:p>
        </w:tc>
      </w:tr>
      <w:tr w:rsidR="00280058" w:rsidRPr="002C025E" w14:paraId="6AF6DC8E" w14:textId="77777777" w:rsidTr="0005008F">
        <w:tc>
          <w:tcPr>
            <w:tcW w:w="105" w:type="pct"/>
            <w:vMerge/>
            <w:tcBorders>
              <w:top w:val="nil"/>
              <w:left w:val="nil"/>
              <w:bottom w:val="nil"/>
              <w:right w:val="nil"/>
            </w:tcBorders>
            <w:tcMar>
              <w:left w:w="28" w:type="dxa"/>
              <w:right w:w="28" w:type="dxa"/>
            </w:tcMar>
            <w:vAlign w:val="center"/>
            <w:hideMark/>
          </w:tcPr>
          <w:p w14:paraId="57F01035"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50" w:type="pct"/>
            <w:tcBorders>
              <w:top w:val="nil"/>
              <w:left w:val="nil"/>
              <w:bottom w:val="nil"/>
              <w:right w:val="nil"/>
            </w:tcBorders>
            <w:shd w:val="clear" w:color="auto" w:fill="auto"/>
            <w:noWrap/>
            <w:tcMar>
              <w:left w:w="28" w:type="dxa"/>
              <w:right w:w="28" w:type="dxa"/>
            </w:tcMar>
            <w:vAlign w:val="bottom"/>
            <w:hideMark/>
          </w:tcPr>
          <w:p w14:paraId="2FAA9626"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0.28</w:t>
            </w:r>
          </w:p>
        </w:tc>
        <w:tc>
          <w:tcPr>
            <w:tcW w:w="350" w:type="pct"/>
            <w:tcBorders>
              <w:top w:val="nil"/>
              <w:left w:val="nil"/>
              <w:bottom w:val="nil"/>
              <w:right w:val="nil"/>
            </w:tcBorders>
            <w:shd w:val="clear" w:color="000000" w:fill="FFC7CE"/>
            <w:noWrap/>
            <w:tcMar>
              <w:left w:w="28" w:type="dxa"/>
              <w:right w:w="28" w:type="dxa"/>
            </w:tcMar>
            <w:vAlign w:val="bottom"/>
            <w:hideMark/>
          </w:tcPr>
          <w:p w14:paraId="3E4F01ED"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36.9 </w:t>
            </w:r>
          </w:p>
        </w:tc>
        <w:tc>
          <w:tcPr>
            <w:tcW w:w="350" w:type="pct"/>
            <w:tcBorders>
              <w:top w:val="nil"/>
              <w:left w:val="nil"/>
              <w:bottom w:val="nil"/>
              <w:right w:val="nil"/>
            </w:tcBorders>
            <w:shd w:val="clear" w:color="000000" w:fill="FFC7CE"/>
            <w:noWrap/>
            <w:tcMar>
              <w:left w:w="28" w:type="dxa"/>
              <w:right w:w="28" w:type="dxa"/>
            </w:tcMar>
            <w:vAlign w:val="bottom"/>
            <w:hideMark/>
          </w:tcPr>
          <w:p w14:paraId="7809BDEE"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33.7 </w:t>
            </w:r>
          </w:p>
        </w:tc>
        <w:tc>
          <w:tcPr>
            <w:tcW w:w="350" w:type="pct"/>
            <w:tcBorders>
              <w:top w:val="nil"/>
              <w:left w:val="nil"/>
              <w:bottom w:val="nil"/>
              <w:right w:val="nil"/>
            </w:tcBorders>
            <w:shd w:val="clear" w:color="000000" w:fill="FFC7CE"/>
            <w:noWrap/>
            <w:tcMar>
              <w:left w:w="28" w:type="dxa"/>
              <w:right w:w="28" w:type="dxa"/>
            </w:tcMar>
            <w:vAlign w:val="bottom"/>
            <w:hideMark/>
          </w:tcPr>
          <w:p w14:paraId="28C855B0"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30.8 </w:t>
            </w:r>
          </w:p>
        </w:tc>
        <w:tc>
          <w:tcPr>
            <w:tcW w:w="350" w:type="pct"/>
            <w:tcBorders>
              <w:top w:val="nil"/>
              <w:left w:val="nil"/>
              <w:bottom w:val="nil"/>
              <w:right w:val="nil"/>
            </w:tcBorders>
            <w:shd w:val="clear" w:color="000000" w:fill="FFC7CE"/>
            <w:noWrap/>
            <w:tcMar>
              <w:left w:w="28" w:type="dxa"/>
              <w:right w:w="28" w:type="dxa"/>
            </w:tcMar>
            <w:vAlign w:val="bottom"/>
            <w:hideMark/>
          </w:tcPr>
          <w:p w14:paraId="288C0F17"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28.1 </w:t>
            </w:r>
          </w:p>
        </w:tc>
        <w:tc>
          <w:tcPr>
            <w:tcW w:w="350" w:type="pct"/>
            <w:tcBorders>
              <w:top w:val="nil"/>
              <w:left w:val="nil"/>
              <w:bottom w:val="nil"/>
              <w:right w:val="nil"/>
            </w:tcBorders>
            <w:shd w:val="clear" w:color="000000" w:fill="FFC7CE"/>
            <w:noWrap/>
            <w:tcMar>
              <w:left w:w="28" w:type="dxa"/>
              <w:right w:w="28" w:type="dxa"/>
            </w:tcMar>
            <w:vAlign w:val="bottom"/>
            <w:hideMark/>
          </w:tcPr>
          <w:p w14:paraId="202BAA24"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25.6 </w:t>
            </w:r>
          </w:p>
        </w:tc>
        <w:tc>
          <w:tcPr>
            <w:tcW w:w="350" w:type="pct"/>
            <w:tcBorders>
              <w:top w:val="nil"/>
              <w:left w:val="nil"/>
              <w:bottom w:val="nil"/>
              <w:right w:val="nil"/>
            </w:tcBorders>
            <w:shd w:val="clear" w:color="000000" w:fill="FFC7CE"/>
            <w:noWrap/>
            <w:tcMar>
              <w:left w:w="28" w:type="dxa"/>
              <w:right w:w="28" w:type="dxa"/>
            </w:tcMar>
            <w:vAlign w:val="bottom"/>
            <w:hideMark/>
          </w:tcPr>
          <w:p w14:paraId="462AF72D"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23.3 </w:t>
            </w:r>
          </w:p>
        </w:tc>
        <w:tc>
          <w:tcPr>
            <w:tcW w:w="350" w:type="pct"/>
            <w:tcBorders>
              <w:top w:val="nil"/>
              <w:left w:val="nil"/>
              <w:bottom w:val="nil"/>
              <w:right w:val="nil"/>
            </w:tcBorders>
            <w:shd w:val="clear" w:color="000000" w:fill="FFC7CE"/>
            <w:noWrap/>
            <w:tcMar>
              <w:left w:w="28" w:type="dxa"/>
              <w:right w:w="28" w:type="dxa"/>
            </w:tcMar>
            <w:vAlign w:val="bottom"/>
            <w:hideMark/>
          </w:tcPr>
          <w:p w14:paraId="795959DA"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21.1 </w:t>
            </w:r>
          </w:p>
        </w:tc>
        <w:tc>
          <w:tcPr>
            <w:tcW w:w="350" w:type="pct"/>
            <w:tcBorders>
              <w:top w:val="nil"/>
              <w:left w:val="nil"/>
              <w:bottom w:val="nil"/>
              <w:right w:val="nil"/>
            </w:tcBorders>
            <w:shd w:val="clear" w:color="000000" w:fill="C6EFCE"/>
            <w:noWrap/>
            <w:tcMar>
              <w:left w:w="28" w:type="dxa"/>
              <w:right w:w="28" w:type="dxa"/>
            </w:tcMar>
            <w:vAlign w:val="bottom"/>
            <w:hideMark/>
          </w:tcPr>
          <w:p w14:paraId="73D8FE99"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19.1 </w:t>
            </w:r>
          </w:p>
        </w:tc>
        <w:tc>
          <w:tcPr>
            <w:tcW w:w="350" w:type="pct"/>
            <w:tcBorders>
              <w:top w:val="nil"/>
              <w:left w:val="nil"/>
              <w:bottom w:val="nil"/>
              <w:right w:val="nil"/>
            </w:tcBorders>
            <w:shd w:val="clear" w:color="000000" w:fill="C6EFCE"/>
            <w:noWrap/>
            <w:tcMar>
              <w:left w:w="28" w:type="dxa"/>
              <w:right w:w="28" w:type="dxa"/>
            </w:tcMar>
            <w:vAlign w:val="bottom"/>
            <w:hideMark/>
          </w:tcPr>
          <w:p w14:paraId="66AC1DE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17.2 </w:t>
            </w:r>
          </w:p>
        </w:tc>
        <w:tc>
          <w:tcPr>
            <w:tcW w:w="350" w:type="pct"/>
            <w:tcBorders>
              <w:top w:val="nil"/>
              <w:left w:val="nil"/>
              <w:bottom w:val="nil"/>
              <w:right w:val="nil"/>
            </w:tcBorders>
            <w:shd w:val="clear" w:color="000000" w:fill="C6EFCE"/>
            <w:noWrap/>
            <w:tcMar>
              <w:left w:w="28" w:type="dxa"/>
              <w:right w:w="28" w:type="dxa"/>
            </w:tcMar>
            <w:vAlign w:val="bottom"/>
            <w:hideMark/>
          </w:tcPr>
          <w:p w14:paraId="74041D8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15.4 </w:t>
            </w:r>
          </w:p>
        </w:tc>
        <w:tc>
          <w:tcPr>
            <w:tcW w:w="350" w:type="pct"/>
            <w:tcBorders>
              <w:top w:val="nil"/>
              <w:left w:val="nil"/>
              <w:bottom w:val="nil"/>
              <w:right w:val="nil"/>
            </w:tcBorders>
            <w:shd w:val="clear" w:color="000000" w:fill="C6EFCE"/>
            <w:noWrap/>
            <w:tcMar>
              <w:left w:w="28" w:type="dxa"/>
              <w:right w:w="28" w:type="dxa"/>
            </w:tcMar>
            <w:vAlign w:val="bottom"/>
            <w:hideMark/>
          </w:tcPr>
          <w:p w14:paraId="5CEDB27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13.6 </w:t>
            </w:r>
          </w:p>
        </w:tc>
        <w:tc>
          <w:tcPr>
            <w:tcW w:w="350" w:type="pct"/>
            <w:tcBorders>
              <w:top w:val="nil"/>
              <w:left w:val="nil"/>
              <w:bottom w:val="nil"/>
              <w:right w:val="nil"/>
            </w:tcBorders>
            <w:shd w:val="clear" w:color="000000" w:fill="C6EFCE"/>
            <w:noWrap/>
            <w:tcMar>
              <w:left w:w="28" w:type="dxa"/>
              <w:right w:w="28" w:type="dxa"/>
            </w:tcMar>
            <w:vAlign w:val="bottom"/>
            <w:hideMark/>
          </w:tcPr>
          <w:p w14:paraId="25E5355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12.0 </w:t>
            </w:r>
          </w:p>
        </w:tc>
        <w:tc>
          <w:tcPr>
            <w:tcW w:w="350" w:type="pct"/>
            <w:tcBorders>
              <w:top w:val="nil"/>
              <w:left w:val="nil"/>
              <w:bottom w:val="nil"/>
              <w:right w:val="nil"/>
            </w:tcBorders>
            <w:shd w:val="clear" w:color="000000" w:fill="C6EFCE"/>
            <w:noWrap/>
            <w:tcMar>
              <w:left w:w="28" w:type="dxa"/>
              <w:right w:w="28" w:type="dxa"/>
            </w:tcMar>
            <w:vAlign w:val="bottom"/>
            <w:hideMark/>
          </w:tcPr>
          <w:p w14:paraId="653CDCFE"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10.4 </w:t>
            </w:r>
          </w:p>
        </w:tc>
      </w:tr>
      <w:tr w:rsidR="00280058" w:rsidRPr="002C025E" w14:paraId="2EF63F18" w14:textId="77777777" w:rsidTr="0005008F">
        <w:tc>
          <w:tcPr>
            <w:tcW w:w="105" w:type="pct"/>
            <w:vMerge/>
            <w:tcBorders>
              <w:top w:val="nil"/>
              <w:left w:val="nil"/>
              <w:bottom w:val="nil"/>
              <w:right w:val="nil"/>
            </w:tcBorders>
            <w:tcMar>
              <w:left w:w="28" w:type="dxa"/>
              <w:right w:w="28" w:type="dxa"/>
            </w:tcMar>
            <w:vAlign w:val="center"/>
            <w:hideMark/>
          </w:tcPr>
          <w:p w14:paraId="1B781D16"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50" w:type="pct"/>
            <w:tcBorders>
              <w:top w:val="nil"/>
              <w:left w:val="nil"/>
              <w:bottom w:val="nil"/>
              <w:right w:val="nil"/>
            </w:tcBorders>
            <w:shd w:val="clear" w:color="auto" w:fill="auto"/>
            <w:noWrap/>
            <w:tcMar>
              <w:left w:w="28" w:type="dxa"/>
              <w:right w:w="28" w:type="dxa"/>
            </w:tcMar>
            <w:vAlign w:val="bottom"/>
            <w:hideMark/>
          </w:tcPr>
          <w:p w14:paraId="6A00A53D"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0.29</w:t>
            </w:r>
          </w:p>
        </w:tc>
        <w:tc>
          <w:tcPr>
            <w:tcW w:w="350" w:type="pct"/>
            <w:tcBorders>
              <w:top w:val="nil"/>
              <w:left w:val="nil"/>
              <w:bottom w:val="nil"/>
              <w:right w:val="nil"/>
            </w:tcBorders>
            <w:shd w:val="clear" w:color="000000" w:fill="FFC7CE"/>
            <w:noWrap/>
            <w:tcMar>
              <w:left w:w="28" w:type="dxa"/>
              <w:right w:w="28" w:type="dxa"/>
            </w:tcMar>
            <w:vAlign w:val="bottom"/>
            <w:hideMark/>
          </w:tcPr>
          <w:p w14:paraId="35D0039B"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34.7 </w:t>
            </w:r>
          </w:p>
        </w:tc>
        <w:tc>
          <w:tcPr>
            <w:tcW w:w="350" w:type="pct"/>
            <w:tcBorders>
              <w:top w:val="nil"/>
              <w:left w:val="nil"/>
              <w:bottom w:val="nil"/>
              <w:right w:val="nil"/>
            </w:tcBorders>
            <w:shd w:val="clear" w:color="000000" w:fill="FFC7CE"/>
            <w:noWrap/>
            <w:tcMar>
              <w:left w:w="28" w:type="dxa"/>
              <w:right w:w="28" w:type="dxa"/>
            </w:tcMar>
            <w:vAlign w:val="bottom"/>
            <w:hideMark/>
          </w:tcPr>
          <w:p w14:paraId="0827211C"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31.8 </w:t>
            </w:r>
          </w:p>
        </w:tc>
        <w:tc>
          <w:tcPr>
            <w:tcW w:w="350" w:type="pct"/>
            <w:tcBorders>
              <w:top w:val="nil"/>
              <w:left w:val="nil"/>
              <w:bottom w:val="nil"/>
              <w:right w:val="nil"/>
            </w:tcBorders>
            <w:shd w:val="clear" w:color="000000" w:fill="FFC7CE"/>
            <w:noWrap/>
            <w:tcMar>
              <w:left w:w="28" w:type="dxa"/>
              <w:right w:w="28" w:type="dxa"/>
            </w:tcMar>
            <w:vAlign w:val="bottom"/>
            <w:hideMark/>
          </w:tcPr>
          <w:p w14:paraId="602DF3CE"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29.1 </w:t>
            </w:r>
          </w:p>
        </w:tc>
        <w:tc>
          <w:tcPr>
            <w:tcW w:w="350" w:type="pct"/>
            <w:tcBorders>
              <w:top w:val="nil"/>
              <w:left w:val="nil"/>
              <w:bottom w:val="nil"/>
              <w:right w:val="nil"/>
            </w:tcBorders>
            <w:shd w:val="clear" w:color="000000" w:fill="FFC7CE"/>
            <w:noWrap/>
            <w:tcMar>
              <w:left w:w="28" w:type="dxa"/>
              <w:right w:w="28" w:type="dxa"/>
            </w:tcMar>
            <w:vAlign w:val="bottom"/>
            <w:hideMark/>
          </w:tcPr>
          <w:p w14:paraId="5DEF0E5C"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26.6 </w:t>
            </w:r>
          </w:p>
        </w:tc>
        <w:tc>
          <w:tcPr>
            <w:tcW w:w="350" w:type="pct"/>
            <w:tcBorders>
              <w:top w:val="nil"/>
              <w:left w:val="nil"/>
              <w:bottom w:val="nil"/>
              <w:right w:val="nil"/>
            </w:tcBorders>
            <w:shd w:val="clear" w:color="000000" w:fill="FFC7CE"/>
            <w:noWrap/>
            <w:tcMar>
              <w:left w:w="28" w:type="dxa"/>
              <w:right w:w="28" w:type="dxa"/>
            </w:tcMar>
            <w:vAlign w:val="bottom"/>
            <w:hideMark/>
          </w:tcPr>
          <w:p w14:paraId="3706C82C"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24.3 </w:t>
            </w:r>
          </w:p>
        </w:tc>
        <w:tc>
          <w:tcPr>
            <w:tcW w:w="350" w:type="pct"/>
            <w:tcBorders>
              <w:top w:val="nil"/>
              <w:left w:val="nil"/>
              <w:bottom w:val="nil"/>
              <w:right w:val="nil"/>
            </w:tcBorders>
            <w:shd w:val="clear" w:color="000000" w:fill="FFC7CE"/>
            <w:noWrap/>
            <w:tcMar>
              <w:left w:w="28" w:type="dxa"/>
              <w:right w:w="28" w:type="dxa"/>
            </w:tcMar>
            <w:vAlign w:val="bottom"/>
            <w:hideMark/>
          </w:tcPr>
          <w:p w14:paraId="1A3A1747"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22.2 </w:t>
            </w:r>
          </w:p>
        </w:tc>
        <w:tc>
          <w:tcPr>
            <w:tcW w:w="350" w:type="pct"/>
            <w:tcBorders>
              <w:top w:val="nil"/>
              <w:left w:val="nil"/>
              <w:bottom w:val="nil"/>
              <w:right w:val="nil"/>
            </w:tcBorders>
            <w:shd w:val="clear" w:color="000000" w:fill="FFC7CE"/>
            <w:noWrap/>
            <w:tcMar>
              <w:left w:w="28" w:type="dxa"/>
              <w:right w:w="28" w:type="dxa"/>
            </w:tcMar>
            <w:vAlign w:val="bottom"/>
            <w:hideMark/>
          </w:tcPr>
          <w:p w14:paraId="419BC9B9"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20.1 </w:t>
            </w:r>
          </w:p>
        </w:tc>
        <w:tc>
          <w:tcPr>
            <w:tcW w:w="350" w:type="pct"/>
            <w:tcBorders>
              <w:top w:val="nil"/>
              <w:left w:val="nil"/>
              <w:bottom w:val="nil"/>
              <w:right w:val="nil"/>
            </w:tcBorders>
            <w:shd w:val="clear" w:color="000000" w:fill="C6EFCE"/>
            <w:noWrap/>
            <w:tcMar>
              <w:left w:w="28" w:type="dxa"/>
              <w:right w:w="28" w:type="dxa"/>
            </w:tcMar>
            <w:vAlign w:val="bottom"/>
            <w:hideMark/>
          </w:tcPr>
          <w:p w14:paraId="10968A43"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18.2 </w:t>
            </w:r>
          </w:p>
        </w:tc>
        <w:tc>
          <w:tcPr>
            <w:tcW w:w="350" w:type="pct"/>
            <w:tcBorders>
              <w:top w:val="nil"/>
              <w:left w:val="nil"/>
              <w:bottom w:val="nil"/>
              <w:right w:val="nil"/>
            </w:tcBorders>
            <w:shd w:val="clear" w:color="000000" w:fill="C6EFCE"/>
            <w:noWrap/>
            <w:tcMar>
              <w:left w:w="28" w:type="dxa"/>
              <w:right w:w="28" w:type="dxa"/>
            </w:tcMar>
            <w:vAlign w:val="bottom"/>
            <w:hideMark/>
          </w:tcPr>
          <w:p w14:paraId="7A42EDD3"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16.4 </w:t>
            </w:r>
          </w:p>
        </w:tc>
        <w:tc>
          <w:tcPr>
            <w:tcW w:w="350" w:type="pct"/>
            <w:tcBorders>
              <w:top w:val="nil"/>
              <w:left w:val="nil"/>
              <w:bottom w:val="nil"/>
              <w:right w:val="nil"/>
            </w:tcBorders>
            <w:shd w:val="clear" w:color="000000" w:fill="C6EFCE"/>
            <w:noWrap/>
            <w:tcMar>
              <w:left w:w="28" w:type="dxa"/>
              <w:right w:w="28" w:type="dxa"/>
            </w:tcMar>
            <w:vAlign w:val="bottom"/>
            <w:hideMark/>
          </w:tcPr>
          <w:p w14:paraId="74AAAE69"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14.7 </w:t>
            </w:r>
          </w:p>
        </w:tc>
        <w:tc>
          <w:tcPr>
            <w:tcW w:w="350" w:type="pct"/>
            <w:tcBorders>
              <w:top w:val="nil"/>
              <w:left w:val="nil"/>
              <w:bottom w:val="nil"/>
              <w:right w:val="nil"/>
            </w:tcBorders>
            <w:shd w:val="clear" w:color="000000" w:fill="C6EFCE"/>
            <w:noWrap/>
            <w:tcMar>
              <w:left w:w="28" w:type="dxa"/>
              <w:right w:w="28" w:type="dxa"/>
            </w:tcMar>
            <w:vAlign w:val="bottom"/>
            <w:hideMark/>
          </w:tcPr>
          <w:p w14:paraId="52F1EE99"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13.1 </w:t>
            </w:r>
          </w:p>
        </w:tc>
        <w:tc>
          <w:tcPr>
            <w:tcW w:w="350" w:type="pct"/>
            <w:tcBorders>
              <w:top w:val="nil"/>
              <w:left w:val="nil"/>
              <w:bottom w:val="nil"/>
              <w:right w:val="nil"/>
            </w:tcBorders>
            <w:shd w:val="clear" w:color="000000" w:fill="C6EFCE"/>
            <w:noWrap/>
            <w:tcMar>
              <w:left w:w="28" w:type="dxa"/>
              <w:right w:w="28" w:type="dxa"/>
            </w:tcMar>
            <w:vAlign w:val="bottom"/>
            <w:hideMark/>
          </w:tcPr>
          <w:p w14:paraId="265B588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11.5 </w:t>
            </w:r>
          </w:p>
        </w:tc>
        <w:tc>
          <w:tcPr>
            <w:tcW w:w="350" w:type="pct"/>
            <w:tcBorders>
              <w:top w:val="nil"/>
              <w:left w:val="nil"/>
              <w:bottom w:val="nil"/>
              <w:right w:val="nil"/>
            </w:tcBorders>
            <w:shd w:val="clear" w:color="000000" w:fill="C6EFCE"/>
            <w:noWrap/>
            <w:tcMar>
              <w:left w:w="28" w:type="dxa"/>
              <w:right w:w="28" w:type="dxa"/>
            </w:tcMar>
            <w:vAlign w:val="bottom"/>
            <w:hideMark/>
          </w:tcPr>
          <w:p w14:paraId="1960BB18"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10.0 </w:t>
            </w:r>
          </w:p>
        </w:tc>
      </w:tr>
      <w:tr w:rsidR="00280058" w:rsidRPr="002C025E" w14:paraId="6936B6F9" w14:textId="77777777" w:rsidTr="0005008F">
        <w:tc>
          <w:tcPr>
            <w:tcW w:w="105" w:type="pct"/>
            <w:vMerge/>
            <w:tcBorders>
              <w:top w:val="nil"/>
              <w:left w:val="nil"/>
              <w:bottom w:val="nil"/>
              <w:right w:val="nil"/>
            </w:tcBorders>
            <w:tcMar>
              <w:left w:w="28" w:type="dxa"/>
              <w:right w:w="28" w:type="dxa"/>
            </w:tcMar>
            <w:vAlign w:val="center"/>
            <w:hideMark/>
          </w:tcPr>
          <w:p w14:paraId="37DF381D"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50" w:type="pct"/>
            <w:tcBorders>
              <w:top w:val="nil"/>
              <w:left w:val="nil"/>
              <w:bottom w:val="nil"/>
              <w:right w:val="nil"/>
            </w:tcBorders>
            <w:shd w:val="clear" w:color="auto" w:fill="auto"/>
            <w:noWrap/>
            <w:tcMar>
              <w:left w:w="28" w:type="dxa"/>
              <w:right w:w="28" w:type="dxa"/>
            </w:tcMar>
            <w:vAlign w:val="bottom"/>
            <w:hideMark/>
          </w:tcPr>
          <w:p w14:paraId="09787373"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0.30</w:t>
            </w:r>
          </w:p>
        </w:tc>
        <w:tc>
          <w:tcPr>
            <w:tcW w:w="350" w:type="pct"/>
            <w:tcBorders>
              <w:top w:val="nil"/>
              <w:left w:val="nil"/>
              <w:bottom w:val="nil"/>
              <w:right w:val="nil"/>
            </w:tcBorders>
            <w:shd w:val="clear" w:color="000000" w:fill="FFC7CE"/>
            <w:noWrap/>
            <w:tcMar>
              <w:left w:w="28" w:type="dxa"/>
              <w:right w:w="28" w:type="dxa"/>
            </w:tcMar>
            <w:vAlign w:val="bottom"/>
            <w:hideMark/>
          </w:tcPr>
          <w:p w14:paraId="6CF1BE1E"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32.7 </w:t>
            </w:r>
          </w:p>
        </w:tc>
        <w:tc>
          <w:tcPr>
            <w:tcW w:w="350" w:type="pct"/>
            <w:tcBorders>
              <w:top w:val="nil"/>
              <w:left w:val="nil"/>
              <w:bottom w:val="nil"/>
              <w:right w:val="nil"/>
            </w:tcBorders>
            <w:shd w:val="clear" w:color="000000" w:fill="FFC7CE"/>
            <w:noWrap/>
            <w:tcMar>
              <w:left w:w="28" w:type="dxa"/>
              <w:right w:w="28" w:type="dxa"/>
            </w:tcMar>
            <w:vAlign w:val="bottom"/>
            <w:hideMark/>
          </w:tcPr>
          <w:p w14:paraId="11177FB6"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30.0 </w:t>
            </w:r>
          </w:p>
        </w:tc>
        <w:tc>
          <w:tcPr>
            <w:tcW w:w="350" w:type="pct"/>
            <w:tcBorders>
              <w:top w:val="nil"/>
              <w:left w:val="nil"/>
              <w:bottom w:val="nil"/>
              <w:right w:val="nil"/>
            </w:tcBorders>
            <w:shd w:val="clear" w:color="000000" w:fill="FFC7CE"/>
            <w:noWrap/>
            <w:tcMar>
              <w:left w:w="28" w:type="dxa"/>
              <w:right w:w="28" w:type="dxa"/>
            </w:tcMar>
            <w:vAlign w:val="bottom"/>
            <w:hideMark/>
          </w:tcPr>
          <w:p w14:paraId="4D8B1181"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27.6 </w:t>
            </w:r>
          </w:p>
        </w:tc>
        <w:tc>
          <w:tcPr>
            <w:tcW w:w="350" w:type="pct"/>
            <w:tcBorders>
              <w:top w:val="nil"/>
              <w:left w:val="nil"/>
              <w:bottom w:val="nil"/>
              <w:right w:val="nil"/>
            </w:tcBorders>
            <w:shd w:val="clear" w:color="000000" w:fill="FFC7CE"/>
            <w:noWrap/>
            <w:tcMar>
              <w:left w:w="28" w:type="dxa"/>
              <w:right w:w="28" w:type="dxa"/>
            </w:tcMar>
            <w:vAlign w:val="bottom"/>
            <w:hideMark/>
          </w:tcPr>
          <w:p w14:paraId="6B2B5807"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25.3 </w:t>
            </w:r>
          </w:p>
        </w:tc>
        <w:tc>
          <w:tcPr>
            <w:tcW w:w="350" w:type="pct"/>
            <w:tcBorders>
              <w:top w:val="nil"/>
              <w:left w:val="nil"/>
              <w:bottom w:val="nil"/>
              <w:right w:val="nil"/>
            </w:tcBorders>
            <w:shd w:val="clear" w:color="000000" w:fill="FFC7CE"/>
            <w:noWrap/>
            <w:tcMar>
              <w:left w:w="28" w:type="dxa"/>
              <w:right w:w="28" w:type="dxa"/>
            </w:tcMar>
            <w:vAlign w:val="bottom"/>
            <w:hideMark/>
          </w:tcPr>
          <w:p w14:paraId="78DD0065"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23.2 </w:t>
            </w:r>
          </w:p>
        </w:tc>
        <w:tc>
          <w:tcPr>
            <w:tcW w:w="350" w:type="pct"/>
            <w:tcBorders>
              <w:top w:val="nil"/>
              <w:left w:val="nil"/>
              <w:bottom w:val="nil"/>
              <w:right w:val="nil"/>
            </w:tcBorders>
            <w:shd w:val="clear" w:color="000000" w:fill="FFC7CE"/>
            <w:noWrap/>
            <w:tcMar>
              <w:left w:w="28" w:type="dxa"/>
              <w:right w:w="28" w:type="dxa"/>
            </w:tcMar>
            <w:vAlign w:val="bottom"/>
            <w:hideMark/>
          </w:tcPr>
          <w:p w14:paraId="51652CA2"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21.1 </w:t>
            </w:r>
          </w:p>
        </w:tc>
        <w:tc>
          <w:tcPr>
            <w:tcW w:w="350" w:type="pct"/>
            <w:tcBorders>
              <w:top w:val="nil"/>
              <w:left w:val="nil"/>
              <w:bottom w:val="nil"/>
              <w:right w:val="nil"/>
            </w:tcBorders>
            <w:shd w:val="clear" w:color="000000" w:fill="C6EFCE"/>
            <w:noWrap/>
            <w:tcMar>
              <w:left w:w="28" w:type="dxa"/>
              <w:right w:w="28" w:type="dxa"/>
            </w:tcMar>
            <w:vAlign w:val="bottom"/>
            <w:hideMark/>
          </w:tcPr>
          <w:p w14:paraId="316E2C21"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19.2 </w:t>
            </w:r>
          </w:p>
        </w:tc>
        <w:tc>
          <w:tcPr>
            <w:tcW w:w="350" w:type="pct"/>
            <w:tcBorders>
              <w:top w:val="nil"/>
              <w:left w:val="nil"/>
              <w:bottom w:val="nil"/>
              <w:right w:val="nil"/>
            </w:tcBorders>
            <w:shd w:val="clear" w:color="000000" w:fill="C6EFCE"/>
            <w:noWrap/>
            <w:tcMar>
              <w:left w:w="28" w:type="dxa"/>
              <w:right w:w="28" w:type="dxa"/>
            </w:tcMar>
            <w:vAlign w:val="bottom"/>
            <w:hideMark/>
          </w:tcPr>
          <w:p w14:paraId="6A9FA95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17.4 </w:t>
            </w:r>
          </w:p>
        </w:tc>
        <w:tc>
          <w:tcPr>
            <w:tcW w:w="350" w:type="pct"/>
            <w:tcBorders>
              <w:top w:val="nil"/>
              <w:left w:val="nil"/>
              <w:bottom w:val="nil"/>
              <w:right w:val="nil"/>
            </w:tcBorders>
            <w:shd w:val="clear" w:color="000000" w:fill="C6EFCE"/>
            <w:noWrap/>
            <w:tcMar>
              <w:left w:w="28" w:type="dxa"/>
              <w:right w:w="28" w:type="dxa"/>
            </w:tcMar>
            <w:vAlign w:val="bottom"/>
            <w:hideMark/>
          </w:tcPr>
          <w:p w14:paraId="0A2FF65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15.7 </w:t>
            </w:r>
          </w:p>
        </w:tc>
        <w:tc>
          <w:tcPr>
            <w:tcW w:w="350" w:type="pct"/>
            <w:tcBorders>
              <w:top w:val="nil"/>
              <w:left w:val="nil"/>
              <w:bottom w:val="nil"/>
              <w:right w:val="nil"/>
            </w:tcBorders>
            <w:shd w:val="clear" w:color="000000" w:fill="C6EFCE"/>
            <w:noWrap/>
            <w:tcMar>
              <w:left w:w="28" w:type="dxa"/>
              <w:right w:w="28" w:type="dxa"/>
            </w:tcMar>
            <w:vAlign w:val="bottom"/>
            <w:hideMark/>
          </w:tcPr>
          <w:p w14:paraId="6D099CD3"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14.1 </w:t>
            </w:r>
          </w:p>
        </w:tc>
        <w:tc>
          <w:tcPr>
            <w:tcW w:w="350" w:type="pct"/>
            <w:tcBorders>
              <w:top w:val="nil"/>
              <w:left w:val="nil"/>
              <w:bottom w:val="nil"/>
              <w:right w:val="nil"/>
            </w:tcBorders>
            <w:shd w:val="clear" w:color="000000" w:fill="C6EFCE"/>
            <w:noWrap/>
            <w:tcMar>
              <w:left w:w="28" w:type="dxa"/>
              <w:right w:w="28" w:type="dxa"/>
            </w:tcMar>
            <w:vAlign w:val="bottom"/>
            <w:hideMark/>
          </w:tcPr>
          <w:p w14:paraId="24D24038"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12.5 </w:t>
            </w:r>
          </w:p>
        </w:tc>
        <w:tc>
          <w:tcPr>
            <w:tcW w:w="350" w:type="pct"/>
            <w:tcBorders>
              <w:top w:val="nil"/>
              <w:left w:val="nil"/>
              <w:bottom w:val="nil"/>
              <w:right w:val="nil"/>
            </w:tcBorders>
            <w:shd w:val="clear" w:color="000000" w:fill="C6EFCE"/>
            <w:noWrap/>
            <w:tcMar>
              <w:left w:w="28" w:type="dxa"/>
              <w:right w:w="28" w:type="dxa"/>
            </w:tcMar>
            <w:vAlign w:val="bottom"/>
            <w:hideMark/>
          </w:tcPr>
          <w:p w14:paraId="30F657A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11.1 </w:t>
            </w:r>
          </w:p>
        </w:tc>
        <w:tc>
          <w:tcPr>
            <w:tcW w:w="350" w:type="pct"/>
            <w:tcBorders>
              <w:top w:val="nil"/>
              <w:left w:val="nil"/>
              <w:bottom w:val="nil"/>
              <w:right w:val="nil"/>
            </w:tcBorders>
            <w:shd w:val="clear" w:color="000000" w:fill="C6EFCE"/>
            <w:noWrap/>
            <w:tcMar>
              <w:left w:w="28" w:type="dxa"/>
              <w:right w:w="28" w:type="dxa"/>
            </w:tcMar>
            <w:vAlign w:val="bottom"/>
            <w:hideMark/>
          </w:tcPr>
          <w:p w14:paraId="758E253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9.6 </w:t>
            </w:r>
          </w:p>
        </w:tc>
      </w:tr>
      <w:tr w:rsidR="00280058" w:rsidRPr="002C025E" w14:paraId="1C62C28A" w14:textId="77777777" w:rsidTr="0005008F">
        <w:tc>
          <w:tcPr>
            <w:tcW w:w="105" w:type="pct"/>
            <w:vMerge/>
            <w:tcBorders>
              <w:top w:val="nil"/>
              <w:left w:val="nil"/>
              <w:bottom w:val="nil"/>
              <w:right w:val="nil"/>
            </w:tcBorders>
            <w:tcMar>
              <w:left w:w="28" w:type="dxa"/>
              <w:right w:w="28" w:type="dxa"/>
            </w:tcMar>
            <w:vAlign w:val="center"/>
            <w:hideMark/>
          </w:tcPr>
          <w:p w14:paraId="7316625E"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50" w:type="pct"/>
            <w:tcBorders>
              <w:top w:val="nil"/>
              <w:left w:val="nil"/>
              <w:bottom w:val="nil"/>
              <w:right w:val="nil"/>
            </w:tcBorders>
            <w:shd w:val="clear" w:color="auto" w:fill="auto"/>
            <w:noWrap/>
            <w:tcMar>
              <w:left w:w="28" w:type="dxa"/>
              <w:right w:w="28" w:type="dxa"/>
            </w:tcMar>
            <w:vAlign w:val="bottom"/>
            <w:hideMark/>
          </w:tcPr>
          <w:p w14:paraId="3CC8B047"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0.31</w:t>
            </w:r>
          </w:p>
        </w:tc>
        <w:tc>
          <w:tcPr>
            <w:tcW w:w="350" w:type="pct"/>
            <w:tcBorders>
              <w:top w:val="nil"/>
              <w:left w:val="nil"/>
              <w:bottom w:val="nil"/>
              <w:right w:val="nil"/>
            </w:tcBorders>
            <w:shd w:val="clear" w:color="000000" w:fill="FFC7CE"/>
            <w:noWrap/>
            <w:tcMar>
              <w:left w:w="28" w:type="dxa"/>
              <w:right w:w="28" w:type="dxa"/>
            </w:tcMar>
            <w:vAlign w:val="bottom"/>
            <w:hideMark/>
          </w:tcPr>
          <w:p w14:paraId="7A1F5EA5"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31.0 </w:t>
            </w:r>
          </w:p>
        </w:tc>
        <w:tc>
          <w:tcPr>
            <w:tcW w:w="350" w:type="pct"/>
            <w:tcBorders>
              <w:top w:val="nil"/>
              <w:left w:val="nil"/>
              <w:bottom w:val="nil"/>
              <w:right w:val="nil"/>
            </w:tcBorders>
            <w:shd w:val="clear" w:color="000000" w:fill="FFC7CE"/>
            <w:noWrap/>
            <w:tcMar>
              <w:left w:w="28" w:type="dxa"/>
              <w:right w:w="28" w:type="dxa"/>
            </w:tcMar>
            <w:vAlign w:val="bottom"/>
            <w:hideMark/>
          </w:tcPr>
          <w:p w14:paraId="207ECB64"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28.5 </w:t>
            </w:r>
          </w:p>
        </w:tc>
        <w:tc>
          <w:tcPr>
            <w:tcW w:w="350" w:type="pct"/>
            <w:tcBorders>
              <w:top w:val="nil"/>
              <w:left w:val="nil"/>
              <w:bottom w:val="nil"/>
              <w:right w:val="nil"/>
            </w:tcBorders>
            <w:shd w:val="clear" w:color="000000" w:fill="FFC7CE"/>
            <w:noWrap/>
            <w:tcMar>
              <w:left w:w="28" w:type="dxa"/>
              <w:right w:w="28" w:type="dxa"/>
            </w:tcMar>
            <w:vAlign w:val="bottom"/>
            <w:hideMark/>
          </w:tcPr>
          <w:p w14:paraId="3B4D8116"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26.2 </w:t>
            </w:r>
          </w:p>
        </w:tc>
        <w:tc>
          <w:tcPr>
            <w:tcW w:w="350" w:type="pct"/>
            <w:tcBorders>
              <w:top w:val="nil"/>
              <w:left w:val="nil"/>
              <w:bottom w:val="nil"/>
              <w:right w:val="nil"/>
            </w:tcBorders>
            <w:shd w:val="clear" w:color="000000" w:fill="FFC7CE"/>
            <w:noWrap/>
            <w:tcMar>
              <w:left w:w="28" w:type="dxa"/>
              <w:right w:w="28" w:type="dxa"/>
            </w:tcMar>
            <w:vAlign w:val="bottom"/>
            <w:hideMark/>
          </w:tcPr>
          <w:p w14:paraId="275E06F4"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24.1 </w:t>
            </w:r>
          </w:p>
        </w:tc>
        <w:tc>
          <w:tcPr>
            <w:tcW w:w="350" w:type="pct"/>
            <w:tcBorders>
              <w:top w:val="nil"/>
              <w:left w:val="nil"/>
              <w:bottom w:val="nil"/>
              <w:right w:val="nil"/>
            </w:tcBorders>
            <w:shd w:val="clear" w:color="000000" w:fill="FFC7CE"/>
            <w:noWrap/>
            <w:tcMar>
              <w:left w:w="28" w:type="dxa"/>
              <w:right w:w="28" w:type="dxa"/>
            </w:tcMar>
            <w:vAlign w:val="bottom"/>
            <w:hideMark/>
          </w:tcPr>
          <w:p w14:paraId="5D3D8FF0"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22.1 </w:t>
            </w:r>
          </w:p>
        </w:tc>
        <w:tc>
          <w:tcPr>
            <w:tcW w:w="350" w:type="pct"/>
            <w:tcBorders>
              <w:top w:val="nil"/>
              <w:left w:val="nil"/>
              <w:bottom w:val="nil"/>
              <w:right w:val="nil"/>
            </w:tcBorders>
            <w:shd w:val="clear" w:color="000000" w:fill="FFC7CE"/>
            <w:noWrap/>
            <w:tcMar>
              <w:left w:w="28" w:type="dxa"/>
              <w:right w:w="28" w:type="dxa"/>
            </w:tcMar>
            <w:vAlign w:val="bottom"/>
            <w:hideMark/>
          </w:tcPr>
          <w:p w14:paraId="1DC7C71A"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20.2 </w:t>
            </w:r>
          </w:p>
        </w:tc>
        <w:tc>
          <w:tcPr>
            <w:tcW w:w="350" w:type="pct"/>
            <w:tcBorders>
              <w:top w:val="nil"/>
              <w:left w:val="nil"/>
              <w:bottom w:val="nil"/>
              <w:right w:val="nil"/>
            </w:tcBorders>
            <w:shd w:val="clear" w:color="000000" w:fill="C6EFCE"/>
            <w:noWrap/>
            <w:tcMar>
              <w:left w:w="28" w:type="dxa"/>
              <w:right w:w="28" w:type="dxa"/>
            </w:tcMar>
            <w:vAlign w:val="bottom"/>
            <w:hideMark/>
          </w:tcPr>
          <w:p w14:paraId="142DECEA"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18.4 </w:t>
            </w:r>
          </w:p>
        </w:tc>
        <w:tc>
          <w:tcPr>
            <w:tcW w:w="350" w:type="pct"/>
            <w:tcBorders>
              <w:top w:val="nil"/>
              <w:left w:val="nil"/>
              <w:bottom w:val="nil"/>
              <w:right w:val="nil"/>
            </w:tcBorders>
            <w:shd w:val="clear" w:color="000000" w:fill="C6EFCE"/>
            <w:noWrap/>
            <w:tcMar>
              <w:left w:w="28" w:type="dxa"/>
              <w:right w:w="28" w:type="dxa"/>
            </w:tcMar>
            <w:vAlign w:val="bottom"/>
            <w:hideMark/>
          </w:tcPr>
          <w:p w14:paraId="40E696E3"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16.7 </w:t>
            </w:r>
          </w:p>
        </w:tc>
        <w:tc>
          <w:tcPr>
            <w:tcW w:w="350" w:type="pct"/>
            <w:tcBorders>
              <w:top w:val="nil"/>
              <w:left w:val="nil"/>
              <w:bottom w:val="nil"/>
              <w:right w:val="nil"/>
            </w:tcBorders>
            <w:shd w:val="clear" w:color="000000" w:fill="C6EFCE"/>
            <w:noWrap/>
            <w:tcMar>
              <w:left w:w="28" w:type="dxa"/>
              <w:right w:w="28" w:type="dxa"/>
            </w:tcMar>
            <w:vAlign w:val="bottom"/>
            <w:hideMark/>
          </w:tcPr>
          <w:p w14:paraId="6937600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15.1 </w:t>
            </w:r>
          </w:p>
        </w:tc>
        <w:tc>
          <w:tcPr>
            <w:tcW w:w="350" w:type="pct"/>
            <w:tcBorders>
              <w:top w:val="nil"/>
              <w:left w:val="nil"/>
              <w:bottom w:val="nil"/>
              <w:right w:val="nil"/>
            </w:tcBorders>
            <w:shd w:val="clear" w:color="000000" w:fill="C6EFCE"/>
            <w:noWrap/>
            <w:tcMar>
              <w:left w:w="28" w:type="dxa"/>
              <w:right w:w="28" w:type="dxa"/>
            </w:tcMar>
            <w:vAlign w:val="bottom"/>
            <w:hideMark/>
          </w:tcPr>
          <w:p w14:paraId="0C6CA78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13.5 </w:t>
            </w:r>
          </w:p>
        </w:tc>
        <w:tc>
          <w:tcPr>
            <w:tcW w:w="350" w:type="pct"/>
            <w:tcBorders>
              <w:top w:val="nil"/>
              <w:left w:val="nil"/>
              <w:bottom w:val="nil"/>
              <w:right w:val="nil"/>
            </w:tcBorders>
            <w:shd w:val="clear" w:color="000000" w:fill="C6EFCE"/>
            <w:noWrap/>
            <w:tcMar>
              <w:left w:w="28" w:type="dxa"/>
              <w:right w:w="28" w:type="dxa"/>
            </w:tcMar>
            <w:vAlign w:val="bottom"/>
            <w:hideMark/>
          </w:tcPr>
          <w:p w14:paraId="3F644AA6"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12.1 </w:t>
            </w:r>
          </w:p>
        </w:tc>
        <w:tc>
          <w:tcPr>
            <w:tcW w:w="350" w:type="pct"/>
            <w:tcBorders>
              <w:top w:val="nil"/>
              <w:left w:val="nil"/>
              <w:bottom w:val="nil"/>
              <w:right w:val="nil"/>
            </w:tcBorders>
            <w:shd w:val="clear" w:color="000000" w:fill="C6EFCE"/>
            <w:noWrap/>
            <w:tcMar>
              <w:left w:w="28" w:type="dxa"/>
              <w:right w:w="28" w:type="dxa"/>
            </w:tcMar>
            <w:vAlign w:val="bottom"/>
            <w:hideMark/>
          </w:tcPr>
          <w:p w14:paraId="0590A34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10.6 </w:t>
            </w:r>
          </w:p>
        </w:tc>
        <w:tc>
          <w:tcPr>
            <w:tcW w:w="350" w:type="pct"/>
            <w:tcBorders>
              <w:top w:val="nil"/>
              <w:left w:val="nil"/>
              <w:bottom w:val="nil"/>
              <w:right w:val="nil"/>
            </w:tcBorders>
            <w:shd w:val="clear" w:color="000000" w:fill="C6EFCE"/>
            <w:noWrap/>
            <w:tcMar>
              <w:left w:w="28" w:type="dxa"/>
              <w:right w:w="28" w:type="dxa"/>
            </w:tcMar>
            <w:vAlign w:val="bottom"/>
            <w:hideMark/>
          </w:tcPr>
          <w:p w14:paraId="18D41CD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9.3 </w:t>
            </w:r>
          </w:p>
        </w:tc>
      </w:tr>
      <w:tr w:rsidR="00280058" w:rsidRPr="002C025E" w14:paraId="118BAD7F" w14:textId="77777777" w:rsidTr="0005008F">
        <w:tc>
          <w:tcPr>
            <w:tcW w:w="105" w:type="pct"/>
            <w:vMerge/>
            <w:tcBorders>
              <w:top w:val="nil"/>
              <w:left w:val="nil"/>
              <w:bottom w:val="nil"/>
              <w:right w:val="nil"/>
            </w:tcBorders>
            <w:tcMar>
              <w:left w:w="28" w:type="dxa"/>
              <w:right w:w="28" w:type="dxa"/>
            </w:tcMar>
            <w:vAlign w:val="center"/>
            <w:hideMark/>
          </w:tcPr>
          <w:p w14:paraId="13CDF397"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50" w:type="pct"/>
            <w:tcBorders>
              <w:top w:val="nil"/>
              <w:left w:val="nil"/>
              <w:bottom w:val="nil"/>
              <w:right w:val="nil"/>
            </w:tcBorders>
            <w:shd w:val="clear" w:color="auto" w:fill="auto"/>
            <w:noWrap/>
            <w:tcMar>
              <w:left w:w="28" w:type="dxa"/>
              <w:right w:w="28" w:type="dxa"/>
            </w:tcMar>
            <w:vAlign w:val="bottom"/>
            <w:hideMark/>
          </w:tcPr>
          <w:p w14:paraId="5F0697F5"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0.32</w:t>
            </w:r>
          </w:p>
        </w:tc>
        <w:tc>
          <w:tcPr>
            <w:tcW w:w="350" w:type="pct"/>
            <w:tcBorders>
              <w:top w:val="nil"/>
              <w:left w:val="nil"/>
              <w:bottom w:val="nil"/>
              <w:right w:val="nil"/>
            </w:tcBorders>
            <w:shd w:val="clear" w:color="000000" w:fill="FFC7CE"/>
            <w:noWrap/>
            <w:tcMar>
              <w:left w:w="28" w:type="dxa"/>
              <w:right w:w="28" w:type="dxa"/>
            </w:tcMar>
            <w:vAlign w:val="bottom"/>
            <w:hideMark/>
          </w:tcPr>
          <w:p w14:paraId="1B00835F"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29.4 </w:t>
            </w:r>
          </w:p>
        </w:tc>
        <w:tc>
          <w:tcPr>
            <w:tcW w:w="350" w:type="pct"/>
            <w:tcBorders>
              <w:top w:val="nil"/>
              <w:left w:val="nil"/>
              <w:bottom w:val="nil"/>
              <w:right w:val="nil"/>
            </w:tcBorders>
            <w:shd w:val="clear" w:color="000000" w:fill="FFC7CE"/>
            <w:noWrap/>
            <w:tcMar>
              <w:left w:w="28" w:type="dxa"/>
              <w:right w:w="28" w:type="dxa"/>
            </w:tcMar>
            <w:vAlign w:val="bottom"/>
            <w:hideMark/>
          </w:tcPr>
          <w:p w14:paraId="7DBCA687"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27.2 </w:t>
            </w:r>
          </w:p>
        </w:tc>
        <w:tc>
          <w:tcPr>
            <w:tcW w:w="350" w:type="pct"/>
            <w:tcBorders>
              <w:top w:val="nil"/>
              <w:left w:val="nil"/>
              <w:bottom w:val="nil"/>
              <w:right w:val="nil"/>
            </w:tcBorders>
            <w:shd w:val="clear" w:color="000000" w:fill="FFC7CE"/>
            <w:noWrap/>
            <w:tcMar>
              <w:left w:w="28" w:type="dxa"/>
              <w:right w:w="28" w:type="dxa"/>
            </w:tcMar>
            <w:vAlign w:val="bottom"/>
            <w:hideMark/>
          </w:tcPr>
          <w:p w14:paraId="494D9323"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25.0 </w:t>
            </w:r>
          </w:p>
        </w:tc>
        <w:tc>
          <w:tcPr>
            <w:tcW w:w="350" w:type="pct"/>
            <w:tcBorders>
              <w:top w:val="nil"/>
              <w:left w:val="nil"/>
              <w:bottom w:val="nil"/>
              <w:right w:val="nil"/>
            </w:tcBorders>
            <w:shd w:val="clear" w:color="000000" w:fill="FFC7CE"/>
            <w:noWrap/>
            <w:tcMar>
              <w:left w:w="28" w:type="dxa"/>
              <w:right w:w="28" w:type="dxa"/>
            </w:tcMar>
            <w:vAlign w:val="bottom"/>
            <w:hideMark/>
          </w:tcPr>
          <w:p w14:paraId="40127690"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23.0 </w:t>
            </w:r>
          </w:p>
        </w:tc>
        <w:tc>
          <w:tcPr>
            <w:tcW w:w="350" w:type="pct"/>
            <w:tcBorders>
              <w:top w:val="nil"/>
              <w:left w:val="nil"/>
              <w:bottom w:val="nil"/>
              <w:right w:val="nil"/>
            </w:tcBorders>
            <w:shd w:val="clear" w:color="000000" w:fill="FFC7CE"/>
            <w:noWrap/>
            <w:tcMar>
              <w:left w:w="28" w:type="dxa"/>
              <w:right w:w="28" w:type="dxa"/>
            </w:tcMar>
            <w:vAlign w:val="bottom"/>
            <w:hideMark/>
          </w:tcPr>
          <w:p w14:paraId="1F5B4BC7"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21.1 </w:t>
            </w:r>
          </w:p>
        </w:tc>
        <w:tc>
          <w:tcPr>
            <w:tcW w:w="350" w:type="pct"/>
            <w:tcBorders>
              <w:top w:val="nil"/>
              <w:left w:val="nil"/>
              <w:bottom w:val="nil"/>
              <w:right w:val="nil"/>
            </w:tcBorders>
            <w:shd w:val="clear" w:color="000000" w:fill="C6EFCE"/>
            <w:noWrap/>
            <w:tcMar>
              <w:left w:w="28" w:type="dxa"/>
              <w:right w:w="28" w:type="dxa"/>
            </w:tcMar>
            <w:vAlign w:val="bottom"/>
            <w:hideMark/>
          </w:tcPr>
          <w:p w14:paraId="0C76E67D"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19.4 </w:t>
            </w:r>
          </w:p>
        </w:tc>
        <w:tc>
          <w:tcPr>
            <w:tcW w:w="350" w:type="pct"/>
            <w:tcBorders>
              <w:top w:val="nil"/>
              <w:left w:val="nil"/>
              <w:bottom w:val="nil"/>
              <w:right w:val="nil"/>
            </w:tcBorders>
            <w:shd w:val="clear" w:color="000000" w:fill="C6EFCE"/>
            <w:noWrap/>
            <w:tcMar>
              <w:left w:w="28" w:type="dxa"/>
              <w:right w:w="28" w:type="dxa"/>
            </w:tcMar>
            <w:vAlign w:val="bottom"/>
            <w:hideMark/>
          </w:tcPr>
          <w:p w14:paraId="4875110B"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17.7 </w:t>
            </w:r>
          </w:p>
        </w:tc>
        <w:tc>
          <w:tcPr>
            <w:tcW w:w="350" w:type="pct"/>
            <w:tcBorders>
              <w:top w:val="nil"/>
              <w:left w:val="nil"/>
              <w:bottom w:val="nil"/>
              <w:right w:val="nil"/>
            </w:tcBorders>
            <w:shd w:val="clear" w:color="000000" w:fill="C6EFCE"/>
            <w:noWrap/>
            <w:tcMar>
              <w:left w:w="28" w:type="dxa"/>
              <w:right w:w="28" w:type="dxa"/>
            </w:tcMar>
            <w:vAlign w:val="bottom"/>
            <w:hideMark/>
          </w:tcPr>
          <w:p w14:paraId="4E1B9F59"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16.0 </w:t>
            </w:r>
          </w:p>
        </w:tc>
        <w:tc>
          <w:tcPr>
            <w:tcW w:w="350" w:type="pct"/>
            <w:tcBorders>
              <w:top w:val="nil"/>
              <w:left w:val="nil"/>
              <w:bottom w:val="nil"/>
              <w:right w:val="nil"/>
            </w:tcBorders>
            <w:shd w:val="clear" w:color="000000" w:fill="C6EFCE"/>
            <w:noWrap/>
            <w:tcMar>
              <w:left w:w="28" w:type="dxa"/>
              <w:right w:w="28" w:type="dxa"/>
            </w:tcMar>
            <w:vAlign w:val="bottom"/>
            <w:hideMark/>
          </w:tcPr>
          <w:p w14:paraId="14BCF6B2"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14.5 </w:t>
            </w:r>
          </w:p>
        </w:tc>
        <w:tc>
          <w:tcPr>
            <w:tcW w:w="350" w:type="pct"/>
            <w:tcBorders>
              <w:top w:val="nil"/>
              <w:left w:val="nil"/>
              <w:bottom w:val="nil"/>
              <w:right w:val="nil"/>
            </w:tcBorders>
            <w:shd w:val="clear" w:color="000000" w:fill="C6EFCE"/>
            <w:noWrap/>
            <w:tcMar>
              <w:left w:w="28" w:type="dxa"/>
              <w:right w:w="28" w:type="dxa"/>
            </w:tcMar>
            <w:vAlign w:val="bottom"/>
            <w:hideMark/>
          </w:tcPr>
          <w:p w14:paraId="3050CA9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13.0 </w:t>
            </w:r>
          </w:p>
        </w:tc>
        <w:tc>
          <w:tcPr>
            <w:tcW w:w="350" w:type="pct"/>
            <w:tcBorders>
              <w:top w:val="nil"/>
              <w:left w:val="nil"/>
              <w:bottom w:val="nil"/>
              <w:right w:val="nil"/>
            </w:tcBorders>
            <w:shd w:val="clear" w:color="000000" w:fill="C6EFCE"/>
            <w:noWrap/>
            <w:tcMar>
              <w:left w:w="28" w:type="dxa"/>
              <w:right w:w="28" w:type="dxa"/>
            </w:tcMar>
            <w:vAlign w:val="bottom"/>
            <w:hideMark/>
          </w:tcPr>
          <w:p w14:paraId="26786749"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11.6 </w:t>
            </w:r>
          </w:p>
        </w:tc>
        <w:tc>
          <w:tcPr>
            <w:tcW w:w="350" w:type="pct"/>
            <w:tcBorders>
              <w:top w:val="nil"/>
              <w:left w:val="nil"/>
              <w:bottom w:val="nil"/>
              <w:right w:val="nil"/>
            </w:tcBorders>
            <w:shd w:val="clear" w:color="000000" w:fill="C6EFCE"/>
            <w:noWrap/>
            <w:tcMar>
              <w:left w:w="28" w:type="dxa"/>
              <w:right w:w="28" w:type="dxa"/>
            </w:tcMar>
            <w:vAlign w:val="bottom"/>
            <w:hideMark/>
          </w:tcPr>
          <w:p w14:paraId="741F14FD"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10.2 </w:t>
            </w:r>
          </w:p>
        </w:tc>
        <w:tc>
          <w:tcPr>
            <w:tcW w:w="350" w:type="pct"/>
            <w:tcBorders>
              <w:top w:val="nil"/>
              <w:left w:val="nil"/>
              <w:bottom w:val="nil"/>
              <w:right w:val="nil"/>
            </w:tcBorders>
            <w:shd w:val="clear" w:color="000000" w:fill="C6EFCE"/>
            <w:noWrap/>
            <w:tcMar>
              <w:left w:w="28" w:type="dxa"/>
              <w:right w:w="28" w:type="dxa"/>
            </w:tcMar>
            <w:vAlign w:val="bottom"/>
            <w:hideMark/>
          </w:tcPr>
          <w:p w14:paraId="677513F6"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8.9 </w:t>
            </w:r>
          </w:p>
        </w:tc>
      </w:tr>
      <w:tr w:rsidR="00280058" w:rsidRPr="002C025E" w14:paraId="094C16CE" w14:textId="77777777" w:rsidTr="0005008F">
        <w:tc>
          <w:tcPr>
            <w:tcW w:w="105" w:type="pct"/>
            <w:vMerge/>
            <w:tcBorders>
              <w:top w:val="nil"/>
              <w:left w:val="nil"/>
              <w:bottom w:val="nil"/>
              <w:right w:val="nil"/>
            </w:tcBorders>
            <w:tcMar>
              <w:left w:w="28" w:type="dxa"/>
              <w:right w:w="28" w:type="dxa"/>
            </w:tcMar>
            <w:vAlign w:val="center"/>
            <w:hideMark/>
          </w:tcPr>
          <w:p w14:paraId="368B8E8B"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50" w:type="pct"/>
            <w:tcBorders>
              <w:top w:val="nil"/>
              <w:left w:val="nil"/>
              <w:bottom w:val="nil"/>
              <w:right w:val="nil"/>
            </w:tcBorders>
            <w:shd w:val="clear" w:color="auto" w:fill="auto"/>
            <w:noWrap/>
            <w:tcMar>
              <w:left w:w="28" w:type="dxa"/>
              <w:right w:w="28" w:type="dxa"/>
            </w:tcMar>
            <w:vAlign w:val="bottom"/>
            <w:hideMark/>
          </w:tcPr>
          <w:p w14:paraId="22E8472F"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0.33</w:t>
            </w:r>
          </w:p>
        </w:tc>
        <w:tc>
          <w:tcPr>
            <w:tcW w:w="350" w:type="pct"/>
            <w:tcBorders>
              <w:top w:val="nil"/>
              <w:left w:val="nil"/>
              <w:bottom w:val="nil"/>
              <w:right w:val="nil"/>
            </w:tcBorders>
            <w:shd w:val="clear" w:color="000000" w:fill="FFC7CE"/>
            <w:noWrap/>
            <w:tcMar>
              <w:left w:w="28" w:type="dxa"/>
              <w:right w:w="28" w:type="dxa"/>
            </w:tcMar>
            <w:vAlign w:val="bottom"/>
            <w:hideMark/>
          </w:tcPr>
          <w:p w14:paraId="43FFA400"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28.0 </w:t>
            </w:r>
          </w:p>
        </w:tc>
        <w:tc>
          <w:tcPr>
            <w:tcW w:w="350" w:type="pct"/>
            <w:tcBorders>
              <w:top w:val="nil"/>
              <w:left w:val="nil"/>
              <w:bottom w:val="nil"/>
              <w:right w:val="nil"/>
            </w:tcBorders>
            <w:shd w:val="clear" w:color="000000" w:fill="FFC7CE"/>
            <w:noWrap/>
            <w:tcMar>
              <w:left w:w="28" w:type="dxa"/>
              <w:right w:w="28" w:type="dxa"/>
            </w:tcMar>
            <w:vAlign w:val="bottom"/>
            <w:hideMark/>
          </w:tcPr>
          <w:p w14:paraId="41436A3E"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25.9 </w:t>
            </w:r>
          </w:p>
        </w:tc>
        <w:tc>
          <w:tcPr>
            <w:tcW w:w="350" w:type="pct"/>
            <w:tcBorders>
              <w:top w:val="nil"/>
              <w:left w:val="nil"/>
              <w:bottom w:val="nil"/>
              <w:right w:val="nil"/>
            </w:tcBorders>
            <w:shd w:val="clear" w:color="000000" w:fill="FFC7CE"/>
            <w:noWrap/>
            <w:tcMar>
              <w:left w:w="28" w:type="dxa"/>
              <w:right w:w="28" w:type="dxa"/>
            </w:tcMar>
            <w:vAlign w:val="bottom"/>
            <w:hideMark/>
          </w:tcPr>
          <w:p w14:paraId="524FA8FC"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23.9 </w:t>
            </w:r>
          </w:p>
        </w:tc>
        <w:tc>
          <w:tcPr>
            <w:tcW w:w="350" w:type="pct"/>
            <w:tcBorders>
              <w:top w:val="nil"/>
              <w:left w:val="nil"/>
              <w:bottom w:val="nil"/>
              <w:right w:val="nil"/>
            </w:tcBorders>
            <w:shd w:val="clear" w:color="000000" w:fill="FFC7CE"/>
            <w:noWrap/>
            <w:tcMar>
              <w:left w:w="28" w:type="dxa"/>
              <w:right w:w="28" w:type="dxa"/>
            </w:tcMar>
            <w:vAlign w:val="bottom"/>
            <w:hideMark/>
          </w:tcPr>
          <w:p w14:paraId="5512AAEE"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22.0 </w:t>
            </w:r>
          </w:p>
        </w:tc>
        <w:tc>
          <w:tcPr>
            <w:tcW w:w="350" w:type="pct"/>
            <w:tcBorders>
              <w:top w:val="nil"/>
              <w:left w:val="nil"/>
              <w:bottom w:val="nil"/>
              <w:right w:val="nil"/>
            </w:tcBorders>
            <w:shd w:val="clear" w:color="000000" w:fill="FFC7CE"/>
            <w:noWrap/>
            <w:tcMar>
              <w:left w:w="28" w:type="dxa"/>
              <w:right w:w="28" w:type="dxa"/>
            </w:tcMar>
            <w:vAlign w:val="bottom"/>
            <w:hideMark/>
          </w:tcPr>
          <w:p w14:paraId="48344F11"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20.3 </w:t>
            </w:r>
          </w:p>
        </w:tc>
        <w:tc>
          <w:tcPr>
            <w:tcW w:w="350" w:type="pct"/>
            <w:tcBorders>
              <w:top w:val="nil"/>
              <w:left w:val="nil"/>
              <w:bottom w:val="nil"/>
              <w:right w:val="nil"/>
            </w:tcBorders>
            <w:shd w:val="clear" w:color="000000" w:fill="C6EFCE"/>
            <w:noWrap/>
            <w:tcMar>
              <w:left w:w="28" w:type="dxa"/>
              <w:right w:w="28" w:type="dxa"/>
            </w:tcMar>
            <w:vAlign w:val="bottom"/>
            <w:hideMark/>
          </w:tcPr>
          <w:p w14:paraId="19CA1A8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18.6 </w:t>
            </w:r>
          </w:p>
        </w:tc>
        <w:tc>
          <w:tcPr>
            <w:tcW w:w="350" w:type="pct"/>
            <w:tcBorders>
              <w:top w:val="nil"/>
              <w:left w:val="nil"/>
              <w:bottom w:val="nil"/>
              <w:right w:val="nil"/>
            </w:tcBorders>
            <w:shd w:val="clear" w:color="000000" w:fill="C6EFCE"/>
            <w:noWrap/>
            <w:tcMar>
              <w:left w:w="28" w:type="dxa"/>
              <w:right w:w="28" w:type="dxa"/>
            </w:tcMar>
            <w:vAlign w:val="bottom"/>
            <w:hideMark/>
          </w:tcPr>
          <w:p w14:paraId="7967FD89"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17.0 </w:t>
            </w:r>
          </w:p>
        </w:tc>
        <w:tc>
          <w:tcPr>
            <w:tcW w:w="350" w:type="pct"/>
            <w:tcBorders>
              <w:top w:val="nil"/>
              <w:left w:val="nil"/>
              <w:bottom w:val="nil"/>
              <w:right w:val="nil"/>
            </w:tcBorders>
            <w:shd w:val="clear" w:color="000000" w:fill="C6EFCE"/>
            <w:noWrap/>
            <w:tcMar>
              <w:left w:w="28" w:type="dxa"/>
              <w:right w:w="28" w:type="dxa"/>
            </w:tcMar>
            <w:vAlign w:val="bottom"/>
            <w:hideMark/>
          </w:tcPr>
          <w:p w14:paraId="25766AD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15.4 </w:t>
            </w:r>
          </w:p>
        </w:tc>
        <w:tc>
          <w:tcPr>
            <w:tcW w:w="350" w:type="pct"/>
            <w:tcBorders>
              <w:top w:val="nil"/>
              <w:left w:val="nil"/>
              <w:bottom w:val="nil"/>
              <w:right w:val="nil"/>
            </w:tcBorders>
            <w:shd w:val="clear" w:color="000000" w:fill="C6EFCE"/>
            <w:noWrap/>
            <w:tcMar>
              <w:left w:w="28" w:type="dxa"/>
              <w:right w:w="28" w:type="dxa"/>
            </w:tcMar>
            <w:vAlign w:val="bottom"/>
            <w:hideMark/>
          </w:tcPr>
          <w:p w14:paraId="4AED1CC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14.0 </w:t>
            </w:r>
          </w:p>
        </w:tc>
        <w:tc>
          <w:tcPr>
            <w:tcW w:w="350" w:type="pct"/>
            <w:tcBorders>
              <w:top w:val="nil"/>
              <w:left w:val="nil"/>
              <w:bottom w:val="nil"/>
              <w:right w:val="nil"/>
            </w:tcBorders>
            <w:shd w:val="clear" w:color="000000" w:fill="C6EFCE"/>
            <w:noWrap/>
            <w:tcMar>
              <w:left w:w="28" w:type="dxa"/>
              <w:right w:w="28" w:type="dxa"/>
            </w:tcMar>
            <w:vAlign w:val="bottom"/>
            <w:hideMark/>
          </w:tcPr>
          <w:p w14:paraId="05770A38"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12.5 </w:t>
            </w:r>
          </w:p>
        </w:tc>
        <w:tc>
          <w:tcPr>
            <w:tcW w:w="350" w:type="pct"/>
            <w:tcBorders>
              <w:top w:val="nil"/>
              <w:left w:val="nil"/>
              <w:bottom w:val="nil"/>
              <w:right w:val="nil"/>
            </w:tcBorders>
            <w:shd w:val="clear" w:color="000000" w:fill="C6EFCE"/>
            <w:noWrap/>
            <w:tcMar>
              <w:left w:w="28" w:type="dxa"/>
              <w:right w:w="28" w:type="dxa"/>
            </w:tcMar>
            <w:vAlign w:val="bottom"/>
            <w:hideMark/>
          </w:tcPr>
          <w:p w14:paraId="42CFB1BA"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11.2 </w:t>
            </w:r>
          </w:p>
        </w:tc>
        <w:tc>
          <w:tcPr>
            <w:tcW w:w="350" w:type="pct"/>
            <w:tcBorders>
              <w:top w:val="nil"/>
              <w:left w:val="nil"/>
              <w:bottom w:val="nil"/>
              <w:right w:val="nil"/>
            </w:tcBorders>
            <w:shd w:val="clear" w:color="000000" w:fill="C6EFCE"/>
            <w:noWrap/>
            <w:tcMar>
              <w:left w:w="28" w:type="dxa"/>
              <w:right w:w="28" w:type="dxa"/>
            </w:tcMar>
            <w:vAlign w:val="bottom"/>
            <w:hideMark/>
          </w:tcPr>
          <w:p w14:paraId="34E20CEE"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9.9 </w:t>
            </w:r>
          </w:p>
        </w:tc>
        <w:tc>
          <w:tcPr>
            <w:tcW w:w="350" w:type="pct"/>
            <w:tcBorders>
              <w:top w:val="nil"/>
              <w:left w:val="nil"/>
              <w:bottom w:val="nil"/>
              <w:right w:val="nil"/>
            </w:tcBorders>
            <w:shd w:val="clear" w:color="000000" w:fill="C6EFCE"/>
            <w:noWrap/>
            <w:tcMar>
              <w:left w:w="28" w:type="dxa"/>
              <w:right w:w="28" w:type="dxa"/>
            </w:tcMar>
            <w:vAlign w:val="bottom"/>
            <w:hideMark/>
          </w:tcPr>
          <w:p w14:paraId="5F16D090"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8.6 </w:t>
            </w:r>
          </w:p>
        </w:tc>
      </w:tr>
      <w:tr w:rsidR="00280058" w:rsidRPr="002C025E" w14:paraId="6B792315" w14:textId="77777777" w:rsidTr="0005008F">
        <w:tc>
          <w:tcPr>
            <w:tcW w:w="105" w:type="pct"/>
            <w:vMerge/>
            <w:tcBorders>
              <w:top w:val="nil"/>
              <w:left w:val="nil"/>
              <w:bottom w:val="nil"/>
              <w:right w:val="nil"/>
            </w:tcBorders>
            <w:tcMar>
              <w:left w:w="28" w:type="dxa"/>
              <w:right w:w="28" w:type="dxa"/>
            </w:tcMar>
            <w:vAlign w:val="center"/>
            <w:hideMark/>
          </w:tcPr>
          <w:p w14:paraId="4713A54B"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50" w:type="pct"/>
            <w:tcBorders>
              <w:top w:val="nil"/>
              <w:left w:val="nil"/>
              <w:bottom w:val="nil"/>
              <w:right w:val="nil"/>
            </w:tcBorders>
            <w:shd w:val="clear" w:color="auto" w:fill="auto"/>
            <w:noWrap/>
            <w:tcMar>
              <w:left w:w="28" w:type="dxa"/>
              <w:right w:w="28" w:type="dxa"/>
            </w:tcMar>
            <w:vAlign w:val="bottom"/>
            <w:hideMark/>
          </w:tcPr>
          <w:p w14:paraId="57B8FA86"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0.34</w:t>
            </w:r>
          </w:p>
        </w:tc>
        <w:tc>
          <w:tcPr>
            <w:tcW w:w="350" w:type="pct"/>
            <w:tcBorders>
              <w:top w:val="nil"/>
              <w:left w:val="nil"/>
              <w:bottom w:val="nil"/>
              <w:right w:val="nil"/>
            </w:tcBorders>
            <w:shd w:val="clear" w:color="000000" w:fill="FFC7CE"/>
            <w:noWrap/>
            <w:tcMar>
              <w:left w:w="28" w:type="dxa"/>
              <w:right w:w="28" w:type="dxa"/>
            </w:tcMar>
            <w:vAlign w:val="bottom"/>
            <w:hideMark/>
          </w:tcPr>
          <w:p w14:paraId="6E6FBD12"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26.8 </w:t>
            </w:r>
          </w:p>
        </w:tc>
        <w:tc>
          <w:tcPr>
            <w:tcW w:w="350" w:type="pct"/>
            <w:tcBorders>
              <w:top w:val="nil"/>
              <w:left w:val="nil"/>
              <w:bottom w:val="nil"/>
              <w:right w:val="nil"/>
            </w:tcBorders>
            <w:shd w:val="clear" w:color="000000" w:fill="FFC7CE"/>
            <w:noWrap/>
            <w:tcMar>
              <w:left w:w="28" w:type="dxa"/>
              <w:right w:w="28" w:type="dxa"/>
            </w:tcMar>
            <w:vAlign w:val="bottom"/>
            <w:hideMark/>
          </w:tcPr>
          <w:p w14:paraId="4FB545F0"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24.8 </w:t>
            </w:r>
          </w:p>
        </w:tc>
        <w:tc>
          <w:tcPr>
            <w:tcW w:w="350" w:type="pct"/>
            <w:tcBorders>
              <w:top w:val="nil"/>
              <w:left w:val="nil"/>
              <w:bottom w:val="nil"/>
              <w:right w:val="nil"/>
            </w:tcBorders>
            <w:shd w:val="clear" w:color="000000" w:fill="FFC7CE"/>
            <w:noWrap/>
            <w:tcMar>
              <w:left w:w="28" w:type="dxa"/>
              <w:right w:w="28" w:type="dxa"/>
            </w:tcMar>
            <w:vAlign w:val="bottom"/>
            <w:hideMark/>
          </w:tcPr>
          <w:p w14:paraId="7848DF53"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22.9 </w:t>
            </w:r>
          </w:p>
        </w:tc>
        <w:tc>
          <w:tcPr>
            <w:tcW w:w="350" w:type="pct"/>
            <w:tcBorders>
              <w:top w:val="nil"/>
              <w:left w:val="nil"/>
              <w:bottom w:val="nil"/>
              <w:right w:val="nil"/>
            </w:tcBorders>
            <w:shd w:val="clear" w:color="000000" w:fill="FFC7CE"/>
            <w:noWrap/>
            <w:tcMar>
              <w:left w:w="28" w:type="dxa"/>
              <w:right w:w="28" w:type="dxa"/>
            </w:tcMar>
            <w:vAlign w:val="bottom"/>
            <w:hideMark/>
          </w:tcPr>
          <w:p w14:paraId="1EAC7CDF"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21.1 </w:t>
            </w:r>
          </w:p>
        </w:tc>
        <w:tc>
          <w:tcPr>
            <w:tcW w:w="350" w:type="pct"/>
            <w:tcBorders>
              <w:top w:val="nil"/>
              <w:left w:val="nil"/>
              <w:bottom w:val="nil"/>
              <w:right w:val="nil"/>
            </w:tcBorders>
            <w:shd w:val="clear" w:color="000000" w:fill="C6EFCE"/>
            <w:noWrap/>
            <w:tcMar>
              <w:left w:w="28" w:type="dxa"/>
              <w:right w:w="28" w:type="dxa"/>
            </w:tcMar>
            <w:vAlign w:val="bottom"/>
            <w:hideMark/>
          </w:tcPr>
          <w:p w14:paraId="5A3F4B7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19.5 </w:t>
            </w:r>
          </w:p>
        </w:tc>
        <w:tc>
          <w:tcPr>
            <w:tcW w:w="350" w:type="pct"/>
            <w:tcBorders>
              <w:top w:val="nil"/>
              <w:left w:val="nil"/>
              <w:bottom w:val="nil"/>
              <w:right w:val="nil"/>
            </w:tcBorders>
            <w:shd w:val="clear" w:color="000000" w:fill="C6EFCE"/>
            <w:noWrap/>
            <w:tcMar>
              <w:left w:w="28" w:type="dxa"/>
              <w:right w:w="28" w:type="dxa"/>
            </w:tcMar>
            <w:vAlign w:val="bottom"/>
            <w:hideMark/>
          </w:tcPr>
          <w:p w14:paraId="493E962E"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17.9 </w:t>
            </w:r>
          </w:p>
        </w:tc>
        <w:tc>
          <w:tcPr>
            <w:tcW w:w="350" w:type="pct"/>
            <w:tcBorders>
              <w:top w:val="nil"/>
              <w:left w:val="nil"/>
              <w:bottom w:val="nil"/>
              <w:right w:val="nil"/>
            </w:tcBorders>
            <w:shd w:val="clear" w:color="000000" w:fill="C6EFCE"/>
            <w:noWrap/>
            <w:tcMar>
              <w:left w:w="28" w:type="dxa"/>
              <w:right w:w="28" w:type="dxa"/>
            </w:tcMar>
            <w:vAlign w:val="bottom"/>
            <w:hideMark/>
          </w:tcPr>
          <w:p w14:paraId="011431EA"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16.3 </w:t>
            </w:r>
          </w:p>
        </w:tc>
        <w:tc>
          <w:tcPr>
            <w:tcW w:w="350" w:type="pct"/>
            <w:tcBorders>
              <w:top w:val="nil"/>
              <w:left w:val="nil"/>
              <w:bottom w:val="nil"/>
              <w:right w:val="nil"/>
            </w:tcBorders>
            <w:shd w:val="clear" w:color="000000" w:fill="C6EFCE"/>
            <w:noWrap/>
            <w:tcMar>
              <w:left w:w="28" w:type="dxa"/>
              <w:right w:w="28" w:type="dxa"/>
            </w:tcMar>
            <w:vAlign w:val="bottom"/>
            <w:hideMark/>
          </w:tcPr>
          <w:p w14:paraId="7ECB9141"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14.9 </w:t>
            </w:r>
          </w:p>
        </w:tc>
        <w:tc>
          <w:tcPr>
            <w:tcW w:w="350" w:type="pct"/>
            <w:tcBorders>
              <w:top w:val="nil"/>
              <w:left w:val="nil"/>
              <w:bottom w:val="nil"/>
              <w:right w:val="nil"/>
            </w:tcBorders>
            <w:shd w:val="clear" w:color="000000" w:fill="C6EFCE"/>
            <w:noWrap/>
            <w:tcMar>
              <w:left w:w="28" w:type="dxa"/>
              <w:right w:w="28" w:type="dxa"/>
            </w:tcMar>
            <w:vAlign w:val="bottom"/>
            <w:hideMark/>
          </w:tcPr>
          <w:p w14:paraId="6290741B"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13.4 </w:t>
            </w:r>
          </w:p>
        </w:tc>
        <w:tc>
          <w:tcPr>
            <w:tcW w:w="350" w:type="pct"/>
            <w:tcBorders>
              <w:top w:val="nil"/>
              <w:left w:val="nil"/>
              <w:bottom w:val="nil"/>
              <w:right w:val="nil"/>
            </w:tcBorders>
            <w:shd w:val="clear" w:color="000000" w:fill="C6EFCE"/>
            <w:noWrap/>
            <w:tcMar>
              <w:left w:w="28" w:type="dxa"/>
              <w:right w:w="28" w:type="dxa"/>
            </w:tcMar>
            <w:vAlign w:val="bottom"/>
            <w:hideMark/>
          </w:tcPr>
          <w:p w14:paraId="5AC3212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12.1 </w:t>
            </w:r>
          </w:p>
        </w:tc>
        <w:tc>
          <w:tcPr>
            <w:tcW w:w="350" w:type="pct"/>
            <w:tcBorders>
              <w:top w:val="nil"/>
              <w:left w:val="nil"/>
              <w:bottom w:val="nil"/>
              <w:right w:val="nil"/>
            </w:tcBorders>
            <w:shd w:val="clear" w:color="000000" w:fill="C6EFCE"/>
            <w:noWrap/>
            <w:tcMar>
              <w:left w:w="28" w:type="dxa"/>
              <w:right w:w="28" w:type="dxa"/>
            </w:tcMar>
            <w:vAlign w:val="bottom"/>
            <w:hideMark/>
          </w:tcPr>
          <w:p w14:paraId="0ADC8E5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10.8 </w:t>
            </w:r>
          </w:p>
        </w:tc>
        <w:tc>
          <w:tcPr>
            <w:tcW w:w="350" w:type="pct"/>
            <w:tcBorders>
              <w:top w:val="nil"/>
              <w:left w:val="nil"/>
              <w:bottom w:val="nil"/>
              <w:right w:val="nil"/>
            </w:tcBorders>
            <w:shd w:val="clear" w:color="000000" w:fill="C6EFCE"/>
            <w:noWrap/>
            <w:tcMar>
              <w:left w:w="28" w:type="dxa"/>
              <w:right w:w="28" w:type="dxa"/>
            </w:tcMar>
            <w:vAlign w:val="bottom"/>
            <w:hideMark/>
          </w:tcPr>
          <w:p w14:paraId="4A4E8FE1"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9.6 </w:t>
            </w:r>
          </w:p>
        </w:tc>
        <w:tc>
          <w:tcPr>
            <w:tcW w:w="350" w:type="pct"/>
            <w:tcBorders>
              <w:top w:val="nil"/>
              <w:left w:val="nil"/>
              <w:bottom w:val="nil"/>
              <w:right w:val="nil"/>
            </w:tcBorders>
            <w:shd w:val="clear" w:color="000000" w:fill="C6EFCE"/>
            <w:noWrap/>
            <w:tcMar>
              <w:left w:w="28" w:type="dxa"/>
              <w:right w:w="28" w:type="dxa"/>
            </w:tcMar>
            <w:vAlign w:val="bottom"/>
            <w:hideMark/>
          </w:tcPr>
          <w:p w14:paraId="42F27B83"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8.3 </w:t>
            </w:r>
          </w:p>
        </w:tc>
      </w:tr>
      <w:tr w:rsidR="00280058" w:rsidRPr="002C025E" w14:paraId="42F9AC9D" w14:textId="77777777" w:rsidTr="0005008F">
        <w:tc>
          <w:tcPr>
            <w:tcW w:w="105" w:type="pct"/>
            <w:vMerge/>
            <w:tcBorders>
              <w:top w:val="nil"/>
              <w:left w:val="nil"/>
              <w:bottom w:val="nil"/>
              <w:right w:val="nil"/>
            </w:tcBorders>
            <w:tcMar>
              <w:left w:w="28" w:type="dxa"/>
              <w:right w:w="28" w:type="dxa"/>
            </w:tcMar>
            <w:vAlign w:val="center"/>
            <w:hideMark/>
          </w:tcPr>
          <w:p w14:paraId="2143DC4F"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50" w:type="pct"/>
            <w:tcBorders>
              <w:top w:val="nil"/>
              <w:left w:val="nil"/>
              <w:bottom w:val="nil"/>
              <w:right w:val="nil"/>
            </w:tcBorders>
            <w:shd w:val="clear" w:color="auto" w:fill="auto"/>
            <w:noWrap/>
            <w:tcMar>
              <w:left w:w="28" w:type="dxa"/>
              <w:right w:w="28" w:type="dxa"/>
            </w:tcMar>
            <w:vAlign w:val="bottom"/>
            <w:hideMark/>
          </w:tcPr>
          <w:p w14:paraId="436789F5"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0.35</w:t>
            </w:r>
          </w:p>
        </w:tc>
        <w:tc>
          <w:tcPr>
            <w:tcW w:w="350" w:type="pct"/>
            <w:tcBorders>
              <w:top w:val="nil"/>
              <w:left w:val="nil"/>
              <w:bottom w:val="nil"/>
              <w:right w:val="nil"/>
            </w:tcBorders>
            <w:shd w:val="clear" w:color="000000" w:fill="FFC7CE"/>
            <w:noWrap/>
            <w:tcMar>
              <w:left w:w="28" w:type="dxa"/>
              <w:right w:w="28" w:type="dxa"/>
            </w:tcMar>
            <w:vAlign w:val="bottom"/>
            <w:hideMark/>
          </w:tcPr>
          <w:p w14:paraId="76244BE0"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25.6 </w:t>
            </w:r>
          </w:p>
        </w:tc>
        <w:tc>
          <w:tcPr>
            <w:tcW w:w="350" w:type="pct"/>
            <w:tcBorders>
              <w:top w:val="nil"/>
              <w:left w:val="nil"/>
              <w:bottom w:val="nil"/>
              <w:right w:val="nil"/>
            </w:tcBorders>
            <w:shd w:val="clear" w:color="000000" w:fill="FFC7CE"/>
            <w:noWrap/>
            <w:tcMar>
              <w:left w:w="28" w:type="dxa"/>
              <w:right w:w="28" w:type="dxa"/>
            </w:tcMar>
            <w:vAlign w:val="bottom"/>
            <w:hideMark/>
          </w:tcPr>
          <w:p w14:paraId="697FC257"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23.8 </w:t>
            </w:r>
          </w:p>
        </w:tc>
        <w:tc>
          <w:tcPr>
            <w:tcW w:w="350" w:type="pct"/>
            <w:tcBorders>
              <w:top w:val="nil"/>
              <w:left w:val="nil"/>
              <w:bottom w:val="nil"/>
              <w:right w:val="nil"/>
            </w:tcBorders>
            <w:shd w:val="clear" w:color="000000" w:fill="FFC7CE"/>
            <w:noWrap/>
            <w:tcMar>
              <w:left w:w="28" w:type="dxa"/>
              <w:right w:w="28" w:type="dxa"/>
            </w:tcMar>
            <w:vAlign w:val="bottom"/>
            <w:hideMark/>
          </w:tcPr>
          <w:p w14:paraId="654F6815"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22.0 </w:t>
            </w:r>
          </w:p>
        </w:tc>
        <w:tc>
          <w:tcPr>
            <w:tcW w:w="350" w:type="pct"/>
            <w:tcBorders>
              <w:top w:val="nil"/>
              <w:left w:val="nil"/>
              <w:bottom w:val="nil"/>
              <w:right w:val="nil"/>
            </w:tcBorders>
            <w:shd w:val="clear" w:color="000000" w:fill="FFC7CE"/>
            <w:noWrap/>
            <w:tcMar>
              <w:left w:w="28" w:type="dxa"/>
              <w:right w:w="28" w:type="dxa"/>
            </w:tcMar>
            <w:vAlign w:val="bottom"/>
            <w:hideMark/>
          </w:tcPr>
          <w:p w14:paraId="3258DDB9"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20.3 </w:t>
            </w:r>
          </w:p>
        </w:tc>
        <w:tc>
          <w:tcPr>
            <w:tcW w:w="350" w:type="pct"/>
            <w:tcBorders>
              <w:top w:val="nil"/>
              <w:left w:val="nil"/>
              <w:bottom w:val="nil"/>
              <w:right w:val="nil"/>
            </w:tcBorders>
            <w:shd w:val="clear" w:color="000000" w:fill="C6EFCE"/>
            <w:noWrap/>
            <w:tcMar>
              <w:left w:w="28" w:type="dxa"/>
              <w:right w:w="28" w:type="dxa"/>
            </w:tcMar>
            <w:vAlign w:val="bottom"/>
            <w:hideMark/>
          </w:tcPr>
          <w:p w14:paraId="163ED1D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18.7 </w:t>
            </w:r>
          </w:p>
        </w:tc>
        <w:tc>
          <w:tcPr>
            <w:tcW w:w="350" w:type="pct"/>
            <w:tcBorders>
              <w:top w:val="nil"/>
              <w:left w:val="nil"/>
              <w:bottom w:val="nil"/>
              <w:right w:val="nil"/>
            </w:tcBorders>
            <w:shd w:val="clear" w:color="000000" w:fill="C6EFCE"/>
            <w:noWrap/>
            <w:tcMar>
              <w:left w:w="28" w:type="dxa"/>
              <w:right w:w="28" w:type="dxa"/>
            </w:tcMar>
            <w:vAlign w:val="bottom"/>
            <w:hideMark/>
          </w:tcPr>
          <w:p w14:paraId="03059BA0"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17.2 </w:t>
            </w:r>
          </w:p>
        </w:tc>
        <w:tc>
          <w:tcPr>
            <w:tcW w:w="350" w:type="pct"/>
            <w:tcBorders>
              <w:top w:val="nil"/>
              <w:left w:val="nil"/>
              <w:bottom w:val="nil"/>
              <w:right w:val="nil"/>
            </w:tcBorders>
            <w:shd w:val="clear" w:color="000000" w:fill="C6EFCE"/>
            <w:noWrap/>
            <w:tcMar>
              <w:left w:w="28" w:type="dxa"/>
              <w:right w:w="28" w:type="dxa"/>
            </w:tcMar>
            <w:vAlign w:val="bottom"/>
            <w:hideMark/>
          </w:tcPr>
          <w:p w14:paraId="092FED2B"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15.7 </w:t>
            </w:r>
          </w:p>
        </w:tc>
        <w:tc>
          <w:tcPr>
            <w:tcW w:w="350" w:type="pct"/>
            <w:tcBorders>
              <w:top w:val="nil"/>
              <w:left w:val="nil"/>
              <w:bottom w:val="nil"/>
              <w:right w:val="nil"/>
            </w:tcBorders>
            <w:shd w:val="clear" w:color="000000" w:fill="C6EFCE"/>
            <w:noWrap/>
            <w:tcMar>
              <w:left w:w="28" w:type="dxa"/>
              <w:right w:w="28" w:type="dxa"/>
            </w:tcMar>
            <w:vAlign w:val="bottom"/>
            <w:hideMark/>
          </w:tcPr>
          <w:p w14:paraId="0EAA4C4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14.3 </w:t>
            </w:r>
          </w:p>
        </w:tc>
        <w:tc>
          <w:tcPr>
            <w:tcW w:w="350" w:type="pct"/>
            <w:tcBorders>
              <w:top w:val="nil"/>
              <w:left w:val="nil"/>
              <w:bottom w:val="nil"/>
              <w:right w:val="nil"/>
            </w:tcBorders>
            <w:shd w:val="clear" w:color="000000" w:fill="C6EFCE"/>
            <w:noWrap/>
            <w:tcMar>
              <w:left w:w="28" w:type="dxa"/>
              <w:right w:w="28" w:type="dxa"/>
            </w:tcMar>
            <w:vAlign w:val="bottom"/>
            <w:hideMark/>
          </w:tcPr>
          <w:p w14:paraId="363C754E"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13.0 </w:t>
            </w:r>
          </w:p>
        </w:tc>
        <w:tc>
          <w:tcPr>
            <w:tcW w:w="350" w:type="pct"/>
            <w:tcBorders>
              <w:top w:val="nil"/>
              <w:left w:val="nil"/>
              <w:bottom w:val="nil"/>
              <w:right w:val="nil"/>
            </w:tcBorders>
            <w:shd w:val="clear" w:color="000000" w:fill="C6EFCE"/>
            <w:noWrap/>
            <w:tcMar>
              <w:left w:w="28" w:type="dxa"/>
              <w:right w:w="28" w:type="dxa"/>
            </w:tcMar>
            <w:vAlign w:val="bottom"/>
            <w:hideMark/>
          </w:tcPr>
          <w:p w14:paraId="486D0D29"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11.7 </w:t>
            </w:r>
          </w:p>
        </w:tc>
        <w:tc>
          <w:tcPr>
            <w:tcW w:w="350" w:type="pct"/>
            <w:tcBorders>
              <w:top w:val="nil"/>
              <w:left w:val="nil"/>
              <w:bottom w:val="nil"/>
              <w:right w:val="nil"/>
            </w:tcBorders>
            <w:shd w:val="clear" w:color="000000" w:fill="C6EFCE"/>
            <w:noWrap/>
            <w:tcMar>
              <w:left w:w="28" w:type="dxa"/>
              <w:right w:w="28" w:type="dxa"/>
            </w:tcMar>
            <w:vAlign w:val="bottom"/>
            <w:hideMark/>
          </w:tcPr>
          <w:p w14:paraId="1A9EBB8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10.4 </w:t>
            </w:r>
          </w:p>
        </w:tc>
        <w:tc>
          <w:tcPr>
            <w:tcW w:w="350" w:type="pct"/>
            <w:tcBorders>
              <w:top w:val="nil"/>
              <w:left w:val="nil"/>
              <w:bottom w:val="nil"/>
              <w:right w:val="nil"/>
            </w:tcBorders>
            <w:shd w:val="clear" w:color="000000" w:fill="C6EFCE"/>
            <w:noWrap/>
            <w:tcMar>
              <w:left w:w="28" w:type="dxa"/>
              <w:right w:w="28" w:type="dxa"/>
            </w:tcMar>
            <w:vAlign w:val="bottom"/>
            <w:hideMark/>
          </w:tcPr>
          <w:p w14:paraId="568E125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9.2 </w:t>
            </w:r>
          </w:p>
        </w:tc>
        <w:tc>
          <w:tcPr>
            <w:tcW w:w="350" w:type="pct"/>
            <w:tcBorders>
              <w:top w:val="nil"/>
              <w:left w:val="nil"/>
              <w:bottom w:val="nil"/>
              <w:right w:val="nil"/>
            </w:tcBorders>
            <w:shd w:val="clear" w:color="000000" w:fill="C6EFCE"/>
            <w:noWrap/>
            <w:tcMar>
              <w:left w:w="28" w:type="dxa"/>
              <w:right w:w="28" w:type="dxa"/>
            </w:tcMar>
            <w:vAlign w:val="bottom"/>
            <w:hideMark/>
          </w:tcPr>
          <w:p w14:paraId="2363B3E9"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8.1 </w:t>
            </w:r>
          </w:p>
        </w:tc>
      </w:tr>
      <w:tr w:rsidR="00280058" w:rsidRPr="002C025E" w14:paraId="18385366" w14:textId="77777777" w:rsidTr="0005008F">
        <w:tc>
          <w:tcPr>
            <w:tcW w:w="105" w:type="pct"/>
            <w:vMerge/>
            <w:tcBorders>
              <w:top w:val="nil"/>
              <w:left w:val="nil"/>
              <w:bottom w:val="nil"/>
              <w:right w:val="nil"/>
            </w:tcBorders>
            <w:tcMar>
              <w:left w:w="28" w:type="dxa"/>
              <w:right w:w="28" w:type="dxa"/>
            </w:tcMar>
            <w:vAlign w:val="center"/>
            <w:hideMark/>
          </w:tcPr>
          <w:p w14:paraId="7F5FDAFF"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50" w:type="pct"/>
            <w:tcBorders>
              <w:top w:val="nil"/>
              <w:left w:val="nil"/>
              <w:bottom w:val="nil"/>
              <w:right w:val="nil"/>
            </w:tcBorders>
            <w:shd w:val="clear" w:color="auto" w:fill="auto"/>
            <w:noWrap/>
            <w:tcMar>
              <w:left w:w="28" w:type="dxa"/>
              <w:right w:w="28" w:type="dxa"/>
            </w:tcMar>
            <w:vAlign w:val="bottom"/>
            <w:hideMark/>
          </w:tcPr>
          <w:p w14:paraId="1B617248"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0.36</w:t>
            </w:r>
          </w:p>
        </w:tc>
        <w:tc>
          <w:tcPr>
            <w:tcW w:w="350" w:type="pct"/>
            <w:tcBorders>
              <w:top w:val="nil"/>
              <w:left w:val="nil"/>
              <w:bottom w:val="nil"/>
              <w:right w:val="nil"/>
            </w:tcBorders>
            <w:shd w:val="clear" w:color="000000" w:fill="FFC7CE"/>
            <w:noWrap/>
            <w:tcMar>
              <w:left w:w="28" w:type="dxa"/>
              <w:right w:w="28" w:type="dxa"/>
            </w:tcMar>
            <w:vAlign w:val="bottom"/>
            <w:hideMark/>
          </w:tcPr>
          <w:p w14:paraId="046A0190"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24.6 </w:t>
            </w:r>
          </w:p>
        </w:tc>
        <w:tc>
          <w:tcPr>
            <w:tcW w:w="350" w:type="pct"/>
            <w:tcBorders>
              <w:top w:val="nil"/>
              <w:left w:val="nil"/>
              <w:bottom w:val="nil"/>
              <w:right w:val="nil"/>
            </w:tcBorders>
            <w:shd w:val="clear" w:color="000000" w:fill="FFC7CE"/>
            <w:noWrap/>
            <w:tcMar>
              <w:left w:w="28" w:type="dxa"/>
              <w:right w:w="28" w:type="dxa"/>
            </w:tcMar>
            <w:vAlign w:val="bottom"/>
            <w:hideMark/>
          </w:tcPr>
          <w:p w14:paraId="71CA96C6"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22.8 </w:t>
            </w:r>
          </w:p>
        </w:tc>
        <w:tc>
          <w:tcPr>
            <w:tcW w:w="350" w:type="pct"/>
            <w:tcBorders>
              <w:top w:val="nil"/>
              <w:left w:val="nil"/>
              <w:bottom w:val="nil"/>
              <w:right w:val="nil"/>
            </w:tcBorders>
            <w:shd w:val="clear" w:color="000000" w:fill="FFC7CE"/>
            <w:noWrap/>
            <w:tcMar>
              <w:left w:w="28" w:type="dxa"/>
              <w:right w:w="28" w:type="dxa"/>
            </w:tcMar>
            <w:vAlign w:val="bottom"/>
            <w:hideMark/>
          </w:tcPr>
          <w:p w14:paraId="0407233E"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21.1 </w:t>
            </w:r>
          </w:p>
        </w:tc>
        <w:tc>
          <w:tcPr>
            <w:tcW w:w="350" w:type="pct"/>
            <w:tcBorders>
              <w:top w:val="nil"/>
              <w:left w:val="nil"/>
              <w:bottom w:val="nil"/>
              <w:right w:val="nil"/>
            </w:tcBorders>
            <w:shd w:val="clear" w:color="000000" w:fill="C6EFCE"/>
            <w:noWrap/>
            <w:tcMar>
              <w:left w:w="28" w:type="dxa"/>
              <w:right w:w="28" w:type="dxa"/>
            </w:tcMar>
            <w:vAlign w:val="bottom"/>
            <w:hideMark/>
          </w:tcPr>
          <w:p w14:paraId="20DFB800"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19.5 </w:t>
            </w:r>
          </w:p>
        </w:tc>
        <w:tc>
          <w:tcPr>
            <w:tcW w:w="350" w:type="pct"/>
            <w:tcBorders>
              <w:top w:val="nil"/>
              <w:left w:val="nil"/>
              <w:bottom w:val="nil"/>
              <w:right w:val="nil"/>
            </w:tcBorders>
            <w:shd w:val="clear" w:color="000000" w:fill="C6EFCE"/>
            <w:noWrap/>
            <w:tcMar>
              <w:left w:w="28" w:type="dxa"/>
              <w:right w:w="28" w:type="dxa"/>
            </w:tcMar>
            <w:vAlign w:val="bottom"/>
            <w:hideMark/>
          </w:tcPr>
          <w:p w14:paraId="41A28D80"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18.0 </w:t>
            </w:r>
          </w:p>
        </w:tc>
        <w:tc>
          <w:tcPr>
            <w:tcW w:w="350" w:type="pct"/>
            <w:tcBorders>
              <w:top w:val="nil"/>
              <w:left w:val="nil"/>
              <w:bottom w:val="nil"/>
              <w:right w:val="nil"/>
            </w:tcBorders>
            <w:shd w:val="clear" w:color="000000" w:fill="C6EFCE"/>
            <w:noWrap/>
            <w:tcMar>
              <w:left w:w="28" w:type="dxa"/>
              <w:right w:w="28" w:type="dxa"/>
            </w:tcMar>
            <w:vAlign w:val="bottom"/>
            <w:hideMark/>
          </w:tcPr>
          <w:p w14:paraId="141B3581"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16.6 </w:t>
            </w:r>
          </w:p>
        </w:tc>
        <w:tc>
          <w:tcPr>
            <w:tcW w:w="350" w:type="pct"/>
            <w:tcBorders>
              <w:top w:val="nil"/>
              <w:left w:val="nil"/>
              <w:bottom w:val="nil"/>
              <w:right w:val="nil"/>
            </w:tcBorders>
            <w:shd w:val="clear" w:color="000000" w:fill="C6EFCE"/>
            <w:noWrap/>
            <w:tcMar>
              <w:left w:w="28" w:type="dxa"/>
              <w:right w:w="28" w:type="dxa"/>
            </w:tcMar>
            <w:vAlign w:val="bottom"/>
            <w:hideMark/>
          </w:tcPr>
          <w:p w14:paraId="72E04CB5"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15.2 </w:t>
            </w:r>
          </w:p>
        </w:tc>
        <w:tc>
          <w:tcPr>
            <w:tcW w:w="350" w:type="pct"/>
            <w:tcBorders>
              <w:top w:val="nil"/>
              <w:left w:val="nil"/>
              <w:bottom w:val="nil"/>
              <w:right w:val="nil"/>
            </w:tcBorders>
            <w:shd w:val="clear" w:color="000000" w:fill="C6EFCE"/>
            <w:noWrap/>
            <w:tcMar>
              <w:left w:w="28" w:type="dxa"/>
              <w:right w:w="28" w:type="dxa"/>
            </w:tcMar>
            <w:vAlign w:val="bottom"/>
            <w:hideMark/>
          </w:tcPr>
          <w:p w14:paraId="21EBBA76"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13.8 </w:t>
            </w:r>
          </w:p>
        </w:tc>
        <w:tc>
          <w:tcPr>
            <w:tcW w:w="350" w:type="pct"/>
            <w:tcBorders>
              <w:top w:val="nil"/>
              <w:left w:val="nil"/>
              <w:bottom w:val="nil"/>
              <w:right w:val="nil"/>
            </w:tcBorders>
            <w:shd w:val="clear" w:color="000000" w:fill="C6EFCE"/>
            <w:noWrap/>
            <w:tcMar>
              <w:left w:w="28" w:type="dxa"/>
              <w:right w:w="28" w:type="dxa"/>
            </w:tcMar>
            <w:vAlign w:val="bottom"/>
            <w:hideMark/>
          </w:tcPr>
          <w:p w14:paraId="6B5CFA56"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12.5 </w:t>
            </w:r>
          </w:p>
        </w:tc>
        <w:tc>
          <w:tcPr>
            <w:tcW w:w="350" w:type="pct"/>
            <w:tcBorders>
              <w:top w:val="nil"/>
              <w:left w:val="nil"/>
              <w:bottom w:val="nil"/>
              <w:right w:val="nil"/>
            </w:tcBorders>
            <w:shd w:val="clear" w:color="000000" w:fill="C6EFCE"/>
            <w:noWrap/>
            <w:tcMar>
              <w:left w:w="28" w:type="dxa"/>
              <w:right w:w="28" w:type="dxa"/>
            </w:tcMar>
            <w:vAlign w:val="bottom"/>
            <w:hideMark/>
          </w:tcPr>
          <w:p w14:paraId="68FC9B4B"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11.3 </w:t>
            </w:r>
          </w:p>
        </w:tc>
        <w:tc>
          <w:tcPr>
            <w:tcW w:w="350" w:type="pct"/>
            <w:tcBorders>
              <w:top w:val="nil"/>
              <w:left w:val="nil"/>
              <w:bottom w:val="nil"/>
              <w:right w:val="nil"/>
            </w:tcBorders>
            <w:shd w:val="clear" w:color="000000" w:fill="C6EFCE"/>
            <w:noWrap/>
            <w:tcMar>
              <w:left w:w="28" w:type="dxa"/>
              <w:right w:w="28" w:type="dxa"/>
            </w:tcMar>
            <w:vAlign w:val="bottom"/>
            <w:hideMark/>
          </w:tcPr>
          <w:p w14:paraId="3DDE755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10.1 </w:t>
            </w:r>
          </w:p>
        </w:tc>
        <w:tc>
          <w:tcPr>
            <w:tcW w:w="350" w:type="pct"/>
            <w:tcBorders>
              <w:top w:val="nil"/>
              <w:left w:val="nil"/>
              <w:bottom w:val="nil"/>
              <w:right w:val="nil"/>
            </w:tcBorders>
            <w:shd w:val="clear" w:color="000000" w:fill="C6EFCE"/>
            <w:noWrap/>
            <w:tcMar>
              <w:left w:w="28" w:type="dxa"/>
              <w:right w:w="28" w:type="dxa"/>
            </w:tcMar>
            <w:vAlign w:val="bottom"/>
            <w:hideMark/>
          </w:tcPr>
          <w:p w14:paraId="1A499149"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8.9 </w:t>
            </w:r>
          </w:p>
        </w:tc>
        <w:tc>
          <w:tcPr>
            <w:tcW w:w="350" w:type="pct"/>
            <w:tcBorders>
              <w:top w:val="nil"/>
              <w:left w:val="nil"/>
              <w:bottom w:val="nil"/>
              <w:right w:val="nil"/>
            </w:tcBorders>
            <w:shd w:val="clear" w:color="000000" w:fill="C6EFCE"/>
            <w:noWrap/>
            <w:tcMar>
              <w:left w:w="28" w:type="dxa"/>
              <w:right w:w="28" w:type="dxa"/>
            </w:tcMar>
            <w:vAlign w:val="bottom"/>
            <w:hideMark/>
          </w:tcPr>
          <w:p w14:paraId="135753D8"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7.8 </w:t>
            </w:r>
          </w:p>
        </w:tc>
      </w:tr>
    </w:tbl>
    <w:p w14:paraId="43E41FEF" w14:textId="77777777" w:rsidR="00280058" w:rsidRPr="00DF3A8E" w:rsidRDefault="00280058" w:rsidP="00280058">
      <w:pPr>
        <w:jc w:val="both"/>
        <w:rPr>
          <w:rFonts w:ascii="Georgia" w:hAnsi="Georgia"/>
          <w:sz w:val="20"/>
          <w:lang w:val="lt-LT"/>
        </w:rPr>
      </w:pPr>
    </w:p>
    <w:p w14:paraId="21A9F04A" w14:textId="77777777" w:rsidR="00280058" w:rsidRPr="00DF3A8E" w:rsidRDefault="00280058" w:rsidP="00280058">
      <w:pPr>
        <w:jc w:val="both"/>
        <w:rPr>
          <w:rFonts w:ascii="Georgia" w:hAnsi="Georgia"/>
          <w:sz w:val="20"/>
          <w:lang w:val="lt-LT"/>
        </w:rPr>
      </w:pPr>
      <w:r w:rsidRPr="00DF3A8E">
        <w:rPr>
          <w:rFonts w:ascii="Georgia" w:hAnsi="Georgia"/>
          <w:sz w:val="20"/>
          <w:lang w:val="lt-LT"/>
        </w:rPr>
        <w:t>Aukščiau pateiktos</w:t>
      </w:r>
      <w:r>
        <w:rPr>
          <w:rFonts w:ascii="Georgia" w:hAnsi="Georgia"/>
          <w:sz w:val="20"/>
          <w:lang w:val="lt-LT"/>
        </w:rPr>
        <w:t xml:space="preserve"> </w:t>
      </w:r>
      <w:r w:rsidRPr="00D545C4">
        <w:rPr>
          <w:rFonts w:ascii="Georgia" w:hAnsi="Georgia"/>
          <w:sz w:val="20"/>
          <w:lang w:val="lt-LT"/>
        </w:rPr>
        <w:t xml:space="preserve">lentelės </w:t>
      </w:r>
      <w:r w:rsidRPr="00DF3A8E">
        <w:rPr>
          <w:rFonts w:ascii="Georgia" w:hAnsi="Georgia"/>
          <w:sz w:val="20"/>
          <w:lang w:val="lt-LT"/>
        </w:rPr>
        <w:t>duomenys rodo, jog esant 30 proc. subsidi</w:t>
      </w:r>
      <w:r>
        <w:rPr>
          <w:rFonts w:ascii="Georgia" w:hAnsi="Georgia"/>
          <w:sz w:val="20"/>
          <w:lang w:val="lt-LT"/>
        </w:rPr>
        <w:t>jai</w:t>
      </w:r>
      <w:r w:rsidRPr="00DF3A8E">
        <w:rPr>
          <w:rFonts w:ascii="Georgia" w:hAnsi="Georgia"/>
          <w:sz w:val="20"/>
          <w:lang w:val="lt-LT"/>
        </w:rPr>
        <w:t xml:space="preserve"> (nekeičiant kitų prielaidų) </w:t>
      </w:r>
      <w:r>
        <w:rPr>
          <w:rFonts w:ascii="Georgia" w:hAnsi="Georgia"/>
          <w:sz w:val="20"/>
          <w:lang w:val="lt-LT"/>
        </w:rPr>
        <w:t xml:space="preserve">ir </w:t>
      </w:r>
      <w:r w:rsidRPr="00DF3A8E">
        <w:rPr>
          <w:rFonts w:ascii="Georgia" w:hAnsi="Georgia"/>
          <w:sz w:val="20"/>
          <w:lang w:val="lt-LT"/>
        </w:rPr>
        <w:t>esant 0,</w:t>
      </w:r>
      <w:r>
        <w:rPr>
          <w:rFonts w:ascii="Georgia" w:hAnsi="Georgia"/>
          <w:sz w:val="20"/>
          <w:lang w:val="lt-LT"/>
        </w:rPr>
        <w:t>294</w:t>
      </w:r>
      <w:r w:rsidRPr="00DF3A8E">
        <w:rPr>
          <w:rFonts w:ascii="Georgia" w:hAnsi="Georgia"/>
          <w:sz w:val="20"/>
          <w:lang w:val="lt-LT"/>
        </w:rPr>
        <w:t xml:space="preserve"> Lt/kWh kainai</w:t>
      </w:r>
      <w:r>
        <w:rPr>
          <w:rFonts w:ascii="Georgia" w:hAnsi="Georgia"/>
          <w:sz w:val="20"/>
          <w:lang w:val="lt-LT"/>
        </w:rPr>
        <w:t xml:space="preserve"> (bei kiekvienais metais kainai didėjant 3 proc.), </w:t>
      </w:r>
      <w:r w:rsidRPr="00DF3A8E">
        <w:rPr>
          <w:rFonts w:ascii="Georgia" w:hAnsi="Georgia"/>
          <w:sz w:val="20"/>
          <w:lang w:val="lt-LT"/>
        </w:rPr>
        <w:t xml:space="preserve">renovacijos projektai turėtų atsipirkti per </w:t>
      </w:r>
      <w:r>
        <w:rPr>
          <w:rFonts w:ascii="Georgia" w:hAnsi="Georgia"/>
          <w:sz w:val="20"/>
          <w:lang w:val="lt-LT"/>
        </w:rPr>
        <w:t xml:space="preserve">20 m. </w:t>
      </w:r>
      <w:r w:rsidRPr="00DF3A8E">
        <w:rPr>
          <w:rFonts w:ascii="Georgia" w:hAnsi="Georgia"/>
          <w:sz w:val="20"/>
          <w:lang w:val="lt-LT"/>
        </w:rPr>
        <w:t xml:space="preserve">paskolos </w:t>
      </w:r>
      <w:r>
        <w:rPr>
          <w:rFonts w:ascii="Georgia" w:hAnsi="Georgia"/>
          <w:sz w:val="20"/>
          <w:lang w:val="lt-LT"/>
        </w:rPr>
        <w:t>laikotarpį</w:t>
      </w:r>
      <w:r w:rsidRPr="00DF3A8E">
        <w:rPr>
          <w:rFonts w:ascii="Georgia" w:hAnsi="Georgia"/>
          <w:sz w:val="20"/>
          <w:lang w:val="lt-LT"/>
        </w:rPr>
        <w:t>.</w:t>
      </w:r>
      <w:r>
        <w:rPr>
          <w:rFonts w:ascii="Georgia" w:hAnsi="Georgia"/>
          <w:sz w:val="20"/>
          <w:lang w:val="lt-LT"/>
        </w:rPr>
        <w:t xml:space="preserve"> Šilumos kainai mažėjant, net su 30 proc. subsidija, atsipirkimo laikotarpis ilgėja ir viršija 20 m. paskolos laikotarpį.</w:t>
      </w:r>
      <w:r w:rsidRPr="00DF3A8E">
        <w:rPr>
          <w:rFonts w:ascii="Georgia" w:hAnsi="Georgia"/>
          <w:sz w:val="20"/>
          <w:lang w:val="lt-LT"/>
        </w:rPr>
        <w:t xml:space="preserve"> </w:t>
      </w:r>
    </w:p>
    <w:p w14:paraId="0F73FFE8" w14:textId="77777777" w:rsidR="00280058" w:rsidRDefault="00280058" w:rsidP="00280058">
      <w:pPr>
        <w:jc w:val="both"/>
        <w:rPr>
          <w:rFonts w:ascii="Georgia" w:hAnsi="Georgia"/>
          <w:sz w:val="20"/>
          <w:lang w:val="lt-LT"/>
        </w:rPr>
      </w:pPr>
      <w:r w:rsidRPr="00D57F2C">
        <w:rPr>
          <w:rFonts w:ascii="Georgia" w:hAnsi="Georgia"/>
          <w:sz w:val="20"/>
          <w:lang w:val="lt-LT"/>
        </w:rPr>
        <w:t xml:space="preserve">Žemiau pateikta </w:t>
      </w:r>
      <w:r>
        <w:rPr>
          <w:rFonts w:ascii="Georgia" w:hAnsi="Georgia"/>
          <w:sz w:val="20"/>
          <w:lang w:val="lt-LT"/>
        </w:rPr>
        <w:t xml:space="preserve">jautrumo analizės rezultatų </w:t>
      </w:r>
      <w:r w:rsidRPr="00F214B9">
        <w:rPr>
          <w:rFonts w:ascii="Georgia" w:hAnsi="Georgia"/>
          <w:sz w:val="20"/>
          <w:lang w:val="lt-LT"/>
        </w:rPr>
        <w:t xml:space="preserve">lentelė </w:t>
      </w:r>
      <w:r>
        <w:rPr>
          <w:rFonts w:ascii="Georgia" w:hAnsi="Georgia"/>
          <w:sz w:val="20"/>
          <w:lang w:val="lt-LT"/>
        </w:rPr>
        <w:t>analizuojant santykį</w:t>
      </w:r>
      <w:r w:rsidRPr="00D57F2C">
        <w:rPr>
          <w:rFonts w:ascii="Georgia" w:hAnsi="Georgia"/>
          <w:sz w:val="20"/>
          <w:lang w:val="lt-LT"/>
        </w:rPr>
        <w:t xml:space="preserve"> tarp energijos kainos augimo ir subsidijos elemento.</w:t>
      </w:r>
    </w:p>
    <w:p w14:paraId="702D2385" w14:textId="3DB1285B" w:rsidR="00280058" w:rsidRPr="00893A57" w:rsidRDefault="00280058" w:rsidP="00280058">
      <w:pPr>
        <w:pStyle w:val="Antrat"/>
        <w:jc w:val="both"/>
        <w:rPr>
          <w:lang w:val="lt-LT"/>
        </w:rPr>
      </w:pPr>
      <w:bookmarkStart w:id="124" w:name="_Toc460321628"/>
      <w:r w:rsidRPr="0044563D">
        <w:rPr>
          <w:lang w:val="lt-LT"/>
        </w:rPr>
        <w:t xml:space="preserve">Lentelė </w:t>
      </w:r>
      <w:r w:rsidRPr="0044563D">
        <w:rPr>
          <w:lang w:val="lt-LT"/>
        </w:rPr>
        <w:fldChar w:fldCharType="begin"/>
      </w:r>
      <w:r w:rsidRPr="0044563D">
        <w:rPr>
          <w:lang w:val="lt-LT"/>
        </w:rPr>
        <w:instrText xml:space="preserve"> SEQ Lentelė \* ARABIC </w:instrText>
      </w:r>
      <w:r w:rsidRPr="0044563D">
        <w:rPr>
          <w:lang w:val="lt-LT"/>
        </w:rPr>
        <w:fldChar w:fldCharType="separate"/>
      </w:r>
      <w:r w:rsidR="00AA3082">
        <w:rPr>
          <w:noProof/>
          <w:lang w:val="lt-LT"/>
        </w:rPr>
        <w:t>47</w:t>
      </w:r>
      <w:r w:rsidRPr="0044563D">
        <w:rPr>
          <w:lang w:val="lt-LT"/>
        </w:rPr>
        <w:fldChar w:fldCharType="end"/>
      </w:r>
      <w:r w:rsidRPr="0044563D">
        <w:rPr>
          <w:lang w:val="lt-LT"/>
        </w:rPr>
        <w:t xml:space="preserve">. </w:t>
      </w:r>
      <w:r w:rsidRPr="00893A57">
        <w:rPr>
          <w:lang w:val="lt-LT"/>
        </w:rPr>
        <w:t xml:space="preserve">Energijos kainos augimo ir subsidijos elemento </w:t>
      </w:r>
      <w:r>
        <w:rPr>
          <w:lang w:val="lt-LT"/>
        </w:rPr>
        <w:t xml:space="preserve">santykio </w:t>
      </w:r>
      <w:r w:rsidRPr="00893A57">
        <w:rPr>
          <w:lang w:val="lt-LT"/>
        </w:rPr>
        <w:t>jautrumo analizė.</w:t>
      </w:r>
      <w:bookmarkEnd w:id="124"/>
    </w:p>
    <w:tbl>
      <w:tblPr>
        <w:tblW w:w="5000" w:type="pct"/>
        <w:tblLook w:val="04A0" w:firstRow="1" w:lastRow="0" w:firstColumn="1" w:lastColumn="0" w:noHBand="0" w:noVBand="1"/>
      </w:tblPr>
      <w:tblGrid>
        <w:gridCol w:w="337"/>
        <w:gridCol w:w="1077"/>
        <w:gridCol w:w="594"/>
        <w:gridCol w:w="594"/>
        <w:gridCol w:w="594"/>
        <w:gridCol w:w="594"/>
        <w:gridCol w:w="594"/>
        <w:gridCol w:w="594"/>
        <w:gridCol w:w="594"/>
        <w:gridCol w:w="594"/>
        <w:gridCol w:w="594"/>
        <w:gridCol w:w="594"/>
        <w:gridCol w:w="594"/>
        <w:gridCol w:w="594"/>
        <w:gridCol w:w="598"/>
      </w:tblGrid>
      <w:tr w:rsidR="00280058" w:rsidRPr="002C025E" w14:paraId="6BBFD8FB" w14:textId="77777777" w:rsidTr="0005008F">
        <w:trPr>
          <w:tblHeader/>
        </w:trPr>
        <w:tc>
          <w:tcPr>
            <w:tcW w:w="184" w:type="pct"/>
            <w:tcBorders>
              <w:top w:val="nil"/>
              <w:left w:val="nil"/>
              <w:right w:val="nil"/>
            </w:tcBorders>
            <w:shd w:val="clear" w:color="auto" w:fill="auto"/>
            <w:noWrap/>
            <w:tcMar>
              <w:left w:w="57" w:type="dxa"/>
              <w:right w:w="57" w:type="dxa"/>
            </w:tcMar>
            <w:vAlign w:val="bottom"/>
            <w:hideMark/>
          </w:tcPr>
          <w:p w14:paraId="0EB8A705" w14:textId="77777777" w:rsidR="00280058" w:rsidRPr="00DF3A8E" w:rsidRDefault="00280058" w:rsidP="00BB18F6">
            <w:pPr>
              <w:keepNext/>
              <w:spacing w:after="0" w:line="240" w:lineRule="auto"/>
              <w:rPr>
                <w:rFonts w:ascii="Arial" w:eastAsia="Times New Roman" w:hAnsi="Arial" w:cs="Arial"/>
                <w:sz w:val="18"/>
                <w:szCs w:val="18"/>
                <w:lang w:val="lt-LT" w:eastAsia="lt-LT"/>
              </w:rPr>
            </w:pPr>
          </w:p>
        </w:tc>
        <w:tc>
          <w:tcPr>
            <w:tcW w:w="4816" w:type="pct"/>
            <w:gridSpan w:val="14"/>
            <w:tcBorders>
              <w:top w:val="nil"/>
              <w:left w:val="nil"/>
              <w:right w:val="nil"/>
            </w:tcBorders>
            <w:shd w:val="clear" w:color="000000" w:fill="FFC18A"/>
            <w:noWrap/>
            <w:tcMar>
              <w:left w:w="57" w:type="dxa"/>
              <w:right w:w="57" w:type="dxa"/>
            </w:tcMar>
            <w:vAlign w:val="bottom"/>
            <w:hideMark/>
          </w:tcPr>
          <w:p w14:paraId="5CEC2E7A" w14:textId="77777777" w:rsidR="00280058" w:rsidRPr="00DF3A8E" w:rsidRDefault="00280058" w:rsidP="00BB18F6">
            <w:pPr>
              <w:keepNext/>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Subsidija </w:t>
            </w:r>
          </w:p>
        </w:tc>
      </w:tr>
      <w:tr w:rsidR="00280058" w:rsidRPr="002C025E" w14:paraId="62D35166" w14:textId="77777777" w:rsidTr="0005008F">
        <w:trPr>
          <w:tblHeader/>
        </w:trPr>
        <w:tc>
          <w:tcPr>
            <w:tcW w:w="184" w:type="pct"/>
            <w:tcBorders>
              <w:top w:val="nil"/>
              <w:left w:val="nil"/>
              <w:bottom w:val="nil"/>
              <w:right w:val="nil"/>
            </w:tcBorders>
            <w:shd w:val="clear" w:color="auto" w:fill="auto"/>
            <w:noWrap/>
            <w:tcMar>
              <w:left w:w="57" w:type="dxa"/>
              <w:right w:w="57" w:type="dxa"/>
            </w:tcMar>
            <w:vAlign w:val="bottom"/>
            <w:hideMark/>
          </w:tcPr>
          <w:p w14:paraId="39F40D25" w14:textId="77777777" w:rsidR="00280058" w:rsidRPr="00DF3A8E" w:rsidRDefault="00280058" w:rsidP="00BB18F6">
            <w:pPr>
              <w:keepNext/>
              <w:spacing w:after="0" w:line="240" w:lineRule="auto"/>
              <w:rPr>
                <w:rFonts w:ascii="Arial" w:eastAsia="Times New Roman" w:hAnsi="Arial" w:cs="Arial"/>
                <w:sz w:val="18"/>
                <w:szCs w:val="18"/>
                <w:lang w:val="lt-LT" w:eastAsia="lt-LT"/>
              </w:rPr>
            </w:pPr>
          </w:p>
        </w:tc>
        <w:tc>
          <w:tcPr>
            <w:tcW w:w="589" w:type="pct"/>
            <w:tcBorders>
              <w:top w:val="nil"/>
              <w:left w:val="nil"/>
              <w:bottom w:val="nil"/>
              <w:right w:val="nil"/>
            </w:tcBorders>
            <w:shd w:val="clear" w:color="auto" w:fill="auto"/>
            <w:noWrap/>
            <w:tcMar>
              <w:left w:w="57" w:type="dxa"/>
              <w:right w:w="57" w:type="dxa"/>
            </w:tcMar>
            <w:vAlign w:val="bottom"/>
            <w:hideMark/>
          </w:tcPr>
          <w:p w14:paraId="62A916F0" w14:textId="77777777" w:rsidR="00280058" w:rsidRPr="00DF3A8E" w:rsidRDefault="00280058" w:rsidP="00BB18F6">
            <w:pPr>
              <w:keepNext/>
              <w:spacing w:after="0" w:line="240" w:lineRule="auto"/>
              <w:rPr>
                <w:rFonts w:ascii="Arial" w:eastAsia="Times New Roman" w:hAnsi="Arial" w:cs="Arial"/>
                <w:color w:val="FFFFFF"/>
                <w:sz w:val="18"/>
                <w:szCs w:val="18"/>
                <w:lang w:val="lt-LT" w:eastAsia="lt-LT"/>
              </w:rPr>
            </w:pPr>
            <w:r w:rsidRPr="00DF3A8E">
              <w:rPr>
                <w:rFonts w:ascii="Arial" w:eastAsia="Times New Roman" w:hAnsi="Arial" w:cs="Arial"/>
                <w:color w:val="FFFFFF"/>
                <w:sz w:val="18"/>
                <w:szCs w:val="18"/>
                <w:lang w:val="lt-LT" w:eastAsia="lt-LT"/>
              </w:rPr>
              <w:t xml:space="preserve">               34 </w:t>
            </w:r>
          </w:p>
        </w:tc>
        <w:tc>
          <w:tcPr>
            <w:tcW w:w="325" w:type="pct"/>
            <w:tcBorders>
              <w:top w:val="nil"/>
              <w:left w:val="nil"/>
              <w:bottom w:val="nil"/>
              <w:right w:val="nil"/>
            </w:tcBorders>
            <w:shd w:val="clear" w:color="auto" w:fill="auto"/>
            <w:noWrap/>
            <w:tcMar>
              <w:left w:w="57" w:type="dxa"/>
              <w:right w:w="57" w:type="dxa"/>
            </w:tcMar>
            <w:vAlign w:val="bottom"/>
            <w:hideMark/>
          </w:tcPr>
          <w:p w14:paraId="0BE1CE81" w14:textId="77777777" w:rsidR="00280058" w:rsidRPr="00F527BB" w:rsidRDefault="00280058" w:rsidP="00BB18F6">
            <w:pPr>
              <w:spacing w:after="0" w:line="240" w:lineRule="auto"/>
              <w:jc w:val="right"/>
              <w:rPr>
                <w:rFonts w:ascii="Arial" w:eastAsia="Times New Roman" w:hAnsi="Arial" w:cs="Arial"/>
                <w:b/>
                <w:bCs/>
                <w:sz w:val="18"/>
                <w:szCs w:val="18"/>
                <w:lang w:val="lt-LT" w:eastAsia="lt-LT"/>
              </w:rPr>
            </w:pPr>
            <w:r w:rsidRPr="00F527BB">
              <w:rPr>
                <w:rFonts w:ascii="Arial" w:eastAsia="Times New Roman" w:hAnsi="Arial" w:cs="Arial"/>
                <w:b/>
                <w:bCs/>
                <w:sz w:val="18"/>
                <w:szCs w:val="18"/>
                <w:lang w:val="lt-LT" w:eastAsia="lt-LT"/>
              </w:rPr>
              <w:t xml:space="preserve">0% </w:t>
            </w:r>
          </w:p>
        </w:tc>
        <w:tc>
          <w:tcPr>
            <w:tcW w:w="325" w:type="pct"/>
            <w:tcBorders>
              <w:top w:val="nil"/>
              <w:left w:val="nil"/>
              <w:bottom w:val="nil"/>
              <w:right w:val="nil"/>
            </w:tcBorders>
            <w:shd w:val="clear" w:color="auto" w:fill="auto"/>
            <w:noWrap/>
            <w:tcMar>
              <w:left w:w="57" w:type="dxa"/>
              <w:right w:w="57" w:type="dxa"/>
            </w:tcMar>
            <w:vAlign w:val="bottom"/>
            <w:hideMark/>
          </w:tcPr>
          <w:p w14:paraId="70BBF21E"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 </w:t>
            </w:r>
          </w:p>
        </w:tc>
        <w:tc>
          <w:tcPr>
            <w:tcW w:w="325" w:type="pct"/>
            <w:tcBorders>
              <w:top w:val="nil"/>
              <w:left w:val="nil"/>
              <w:bottom w:val="nil"/>
              <w:right w:val="nil"/>
            </w:tcBorders>
            <w:shd w:val="clear" w:color="auto" w:fill="auto"/>
            <w:noWrap/>
            <w:tcMar>
              <w:left w:w="57" w:type="dxa"/>
              <w:right w:w="57" w:type="dxa"/>
            </w:tcMar>
            <w:vAlign w:val="bottom"/>
            <w:hideMark/>
          </w:tcPr>
          <w:p w14:paraId="75445F22"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10% </w:t>
            </w:r>
          </w:p>
        </w:tc>
        <w:tc>
          <w:tcPr>
            <w:tcW w:w="325" w:type="pct"/>
            <w:tcBorders>
              <w:top w:val="nil"/>
              <w:left w:val="nil"/>
              <w:bottom w:val="nil"/>
              <w:right w:val="nil"/>
            </w:tcBorders>
            <w:shd w:val="clear" w:color="auto" w:fill="auto"/>
            <w:noWrap/>
            <w:tcMar>
              <w:left w:w="57" w:type="dxa"/>
              <w:right w:w="57" w:type="dxa"/>
            </w:tcMar>
            <w:vAlign w:val="bottom"/>
            <w:hideMark/>
          </w:tcPr>
          <w:p w14:paraId="5B028D77"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15% </w:t>
            </w:r>
          </w:p>
        </w:tc>
        <w:tc>
          <w:tcPr>
            <w:tcW w:w="325" w:type="pct"/>
            <w:tcBorders>
              <w:top w:val="nil"/>
              <w:left w:val="nil"/>
              <w:bottom w:val="nil"/>
              <w:right w:val="nil"/>
            </w:tcBorders>
            <w:shd w:val="clear" w:color="auto" w:fill="auto"/>
            <w:noWrap/>
            <w:tcMar>
              <w:left w:w="57" w:type="dxa"/>
              <w:right w:w="57" w:type="dxa"/>
            </w:tcMar>
            <w:vAlign w:val="bottom"/>
            <w:hideMark/>
          </w:tcPr>
          <w:p w14:paraId="0BFA00A6"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20% </w:t>
            </w:r>
          </w:p>
        </w:tc>
        <w:tc>
          <w:tcPr>
            <w:tcW w:w="325" w:type="pct"/>
            <w:tcBorders>
              <w:top w:val="nil"/>
              <w:left w:val="nil"/>
              <w:bottom w:val="nil"/>
              <w:right w:val="nil"/>
            </w:tcBorders>
            <w:shd w:val="clear" w:color="auto" w:fill="auto"/>
            <w:noWrap/>
            <w:tcMar>
              <w:left w:w="57" w:type="dxa"/>
              <w:right w:w="57" w:type="dxa"/>
            </w:tcMar>
            <w:vAlign w:val="bottom"/>
            <w:hideMark/>
          </w:tcPr>
          <w:p w14:paraId="10F7A1CC"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25% </w:t>
            </w:r>
          </w:p>
        </w:tc>
        <w:tc>
          <w:tcPr>
            <w:tcW w:w="325" w:type="pct"/>
            <w:tcBorders>
              <w:top w:val="nil"/>
              <w:left w:val="nil"/>
              <w:bottom w:val="nil"/>
              <w:right w:val="nil"/>
            </w:tcBorders>
            <w:shd w:val="clear" w:color="auto" w:fill="auto"/>
            <w:noWrap/>
            <w:tcMar>
              <w:left w:w="57" w:type="dxa"/>
              <w:right w:w="57" w:type="dxa"/>
            </w:tcMar>
            <w:vAlign w:val="bottom"/>
            <w:hideMark/>
          </w:tcPr>
          <w:p w14:paraId="0706B926"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30% </w:t>
            </w:r>
          </w:p>
        </w:tc>
        <w:tc>
          <w:tcPr>
            <w:tcW w:w="325" w:type="pct"/>
            <w:tcBorders>
              <w:top w:val="nil"/>
              <w:left w:val="nil"/>
              <w:bottom w:val="nil"/>
              <w:right w:val="nil"/>
            </w:tcBorders>
            <w:shd w:val="clear" w:color="auto" w:fill="auto"/>
            <w:noWrap/>
            <w:tcMar>
              <w:left w:w="57" w:type="dxa"/>
              <w:right w:w="57" w:type="dxa"/>
            </w:tcMar>
            <w:vAlign w:val="bottom"/>
            <w:hideMark/>
          </w:tcPr>
          <w:p w14:paraId="27F99676"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35% </w:t>
            </w:r>
          </w:p>
        </w:tc>
        <w:tc>
          <w:tcPr>
            <w:tcW w:w="325" w:type="pct"/>
            <w:tcBorders>
              <w:top w:val="nil"/>
              <w:left w:val="nil"/>
              <w:bottom w:val="nil"/>
              <w:right w:val="nil"/>
            </w:tcBorders>
            <w:shd w:val="clear" w:color="auto" w:fill="auto"/>
            <w:noWrap/>
            <w:tcMar>
              <w:left w:w="57" w:type="dxa"/>
              <w:right w:w="57" w:type="dxa"/>
            </w:tcMar>
            <w:vAlign w:val="bottom"/>
            <w:hideMark/>
          </w:tcPr>
          <w:p w14:paraId="2D0DF46D"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40% </w:t>
            </w:r>
          </w:p>
        </w:tc>
        <w:tc>
          <w:tcPr>
            <w:tcW w:w="325" w:type="pct"/>
            <w:tcBorders>
              <w:top w:val="nil"/>
              <w:left w:val="nil"/>
              <w:bottom w:val="nil"/>
              <w:right w:val="nil"/>
            </w:tcBorders>
            <w:shd w:val="clear" w:color="auto" w:fill="auto"/>
            <w:noWrap/>
            <w:tcMar>
              <w:left w:w="57" w:type="dxa"/>
              <w:right w:w="57" w:type="dxa"/>
            </w:tcMar>
            <w:vAlign w:val="bottom"/>
            <w:hideMark/>
          </w:tcPr>
          <w:p w14:paraId="0B66BEFC"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45% </w:t>
            </w:r>
          </w:p>
        </w:tc>
        <w:tc>
          <w:tcPr>
            <w:tcW w:w="325" w:type="pct"/>
            <w:tcBorders>
              <w:top w:val="nil"/>
              <w:left w:val="nil"/>
              <w:bottom w:val="nil"/>
              <w:right w:val="nil"/>
            </w:tcBorders>
            <w:shd w:val="clear" w:color="auto" w:fill="auto"/>
            <w:noWrap/>
            <w:tcMar>
              <w:left w:w="57" w:type="dxa"/>
              <w:right w:w="57" w:type="dxa"/>
            </w:tcMar>
            <w:vAlign w:val="bottom"/>
            <w:hideMark/>
          </w:tcPr>
          <w:p w14:paraId="7FB984A9"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50% </w:t>
            </w:r>
          </w:p>
        </w:tc>
        <w:tc>
          <w:tcPr>
            <w:tcW w:w="325" w:type="pct"/>
            <w:tcBorders>
              <w:top w:val="nil"/>
              <w:left w:val="nil"/>
              <w:bottom w:val="nil"/>
              <w:right w:val="nil"/>
            </w:tcBorders>
            <w:shd w:val="clear" w:color="auto" w:fill="auto"/>
            <w:noWrap/>
            <w:tcMar>
              <w:left w:w="57" w:type="dxa"/>
              <w:right w:w="57" w:type="dxa"/>
            </w:tcMar>
            <w:vAlign w:val="bottom"/>
            <w:hideMark/>
          </w:tcPr>
          <w:p w14:paraId="0B2353AA"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55% </w:t>
            </w:r>
          </w:p>
        </w:tc>
        <w:tc>
          <w:tcPr>
            <w:tcW w:w="327" w:type="pct"/>
            <w:tcBorders>
              <w:top w:val="nil"/>
              <w:left w:val="nil"/>
              <w:bottom w:val="nil"/>
              <w:right w:val="nil"/>
            </w:tcBorders>
            <w:shd w:val="clear" w:color="auto" w:fill="auto"/>
            <w:noWrap/>
            <w:tcMar>
              <w:left w:w="57" w:type="dxa"/>
              <w:right w:w="57" w:type="dxa"/>
            </w:tcMar>
            <w:vAlign w:val="bottom"/>
            <w:hideMark/>
          </w:tcPr>
          <w:p w14:paraId="654D556E"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60% </w:t>
            </w:r>
          </w:p>
        </w:tc>
      </w:tr>
      <w:tr w:rsidR="00280058" w:rsidRPr="002C025E" w14:paraId="499343D3" w14:textId="77777777" w:rsidTr="0005008F">
        <w:tc>
          <w:tcPr>
            <w:tcW w:w="184" w:type="pct"/>
            <w:vMerge w:val="restart"/>
            <w:tcBorders>
              <w:top w:val="nil"/>
              <w:left w:val="nil"/>
              <w:bottom w:val="nil"/>
              <w:right w:val="nil"/>
            </w:tcBorders>
            <w:shd w:val="clear" w:color="000000" w:fill="D9D9D9"/>
            <w:tcMar>
              <w:left w:w="57" w:type="dxa"/>
              <w:right w:w="57" w:type="dxa"/>
            </w:tcMar>
            <w:textDirection w:val="btLr"/>
            <w:vAlign w:val="center"/>
            <w:hideMark/>
          </w:tcPr>
          <w:p w14:paraId="5FE69A3B" w14:textId="77777777" w:rsidR="00280058" w:rsidRPr="00DF3A8E" w:rsidRDefault="00280058" w:rsidP="00BB18F6">
            <w:pPr>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Energijos kainų augimas kiekvienais metais </w:t>
            </w:r>
          </w:p>
        </w:tc>
        <w:tc>
          <w:tcPr>
            <w:tcW w:w="589" w:type="pct"/>
            <w:tcBorders>
              <w:top w:val="nil"/>
              <w:left w:val="nil"/>
              <w:bottom w:val="nil"/>
              <w:right w:val="nil"/>
            </w:tcBorders>
            <w:shd w:val="clear" w:color="auto" w:fill="auto"/>
            <w:noWrap/>
            <w:tcMar>
              <w:left w:w="57" w:type="dxa"/>
              <w:right w:w="57" w:type="dxa"/>
            </w:tcMar>
            <w:vAlign w:val="bottom"/>
            <w:hideMark/>
          </w:tcPr>
          <w:p w14:paraId="2CB7C405"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-1.5%</w:t>
            </w:r>
          </w:p>
        </w:tc>
        <w:tc>
          <w:tcPr>
            <w:tcW w:w="325" w:type="pct"/>
            <w:tcBorders>
              <w:top w:val="nil"/>
              <w:left w:val="nil"/>
              <w:bottom w:val="nil"/>
              <w:right w:val="nil"/>
            </w:tcBorders>
            <w:shd w:val="clear" w:color="000000" w:fill="FFC7CE"/>
            <w:noWrap/>
            <w:tcMar>
              <w:left w:w="57" w:type="dxa"/>
              <w:right w:w="57" w:type="dxa"/>
            </w:tcMar>
            <w:vAlign w:val="bottom"/>
            <w:hideMark/>
          </w:tcPr>
          <w:p w14:paraId="20E7AD97"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130.3</w:t>
            </w:r>
          </w:p>
        </w:tc>
        <w:tc>
          <w:tcPr>
            <w:tcW w:w="325" w:type="pct"/>
            <w:tcBorders>
              <w:top w:val="nil"/>
              <w:left w:val="nil"/>
              <w:bottom w:val="nil"/>
              <w:right w:val="nil"/>
            </w:tcBorders>
            <w:shd w:val="clear" w:color="000000" w:fill="FFC7CE"/>
            <w:noWrap/>
            <w:tcMar>
              <w:left w:w="57" w:type="dxa"/>
              <w:right w:w="57" w:type="dxa"/>
            </w:tcMar>
            <w:vAlign w:val="bottom"/>
            <w:hideMark/>
          </w:tcPr>
          <w:p w14:paraId="72FB2F0D"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89.9</w:t>
            </w:r>
          </w:p>
        </w:tc>
        <w:tc>
          <w:tcPr>
            <w:tcW w:w="325" w:type="pct"/>
            <w:tcBorders>
              <w:top w:val="nil"/>
              <w:left w:val="nil"/>
              <w:bottom w:val="nil"/>
              <w:right w:val="nil"/>
            </w:tcBorders>
            <w:shd w:val="clear" w:color="000000" w:fill="FFC7CE"/>
            <w:noWrap/>
            <w:tcMar>
              <w:left w:w="57" w:type="dxa"/>
              <w:right w:w="57" w:type="dxa"/>
            </w:tcMar>
            <w:vAlign w:val="bottom"/>
            <w:hideMark/>
          </w:tcPr>
          <w:p w14:paraId="29490494"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72.0</w:t>
            </w:r>
          </w:p>
        </w:tc>
        <w:tc>
          <w:tcPr>
            <w:tcW w:w="325" w:type="pct"/>
            <w:tcBorders>
              <w:top w:val="nil"/>
              <w:left w:val="nil"/>
              <w:bottom w:val="nil"/>
              <w:right w:val="nil"/>
            </w:tcBorders>
            <w:shd w:val="clear" w:color="000000" w:fill="FFC7CE"/>
            <w:noWrap/>
            <w:tcMar>
              <w:left w:w="57" w:type="dxa"/>
              <w:right w:w="57" w:type="dxa"/>
            </w:tcMar>
            <w:vAlign w:val="bottom"/>
            <w:hideMark/>
          </w:tcPr>
          <w:p w14:paraId="7141692B"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60.3</w:t>
            </w:r>
          </w:p>
        </w:tc>
        <w:tc>
          <w:tcPr>
            <w:tcW w:w="325" w:type="pct"/>
            <w:tcBorders>
              <w:top w:val="nil"/>
              <w:left w:val="nil"/>
              <w:bottom w:val="nil"/>
              <w:right w:val="nil"/>
            </w:tcBorders>
            <w:shd w:val="clear" w:color="000000" w:fill="FFC7CE"/>
            <w:noWrap/>
            <w:tcMar>
              <w:left w:w="57" w:type="dxa"/>
              <w:right w:w="57" w:type="dxa"/>
            </w:tcMar>
            <w:vAlign w:val="bottom"/>
            <w:hideMark/>
          </w:tcPr>
          <w:p w14:paraId="756C9ACB"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51.7</w:t>
            </w:r>
          </w:p>
        </w:tc>
        <w:tc>
          <w:tcPr>
            <w:tcW w:w="325" w:type="pct"/>
            <w:tcBorders>
              <w:top w:val="nil"/>
              <w:left w:val="nil"/>
              <w:bottom w:val="nil"/>
              <w:right w:val="nil"/>
            </w:tcBorders>
            <w:shd w:val="clear" w:color="000000" w:fill="FFC7CE"/>
            <w:noWrap/>
            <w:tcMar>
              <w:left w:w="57" w:type="dxa"/>
              <w:right w:w="57" w:type="dxa"/>
            </w:tcMar>
            <w:vAlign w:val="bottom"/>
            <w:hideMark/>
          </w:tcPr>
          <w:p w14:paraId="627B4778"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44.8</w:t>
            </w:r>
          </w:p>
        </w:tc>
        <w:tc>
          <w:tcPr>
            <w:tcW w:w="325" w:type="pct"/>
            <w:tcBorders>
              <w:top w:val="nil"/>
              <w:left w:val="nil"/>
              <w:bottom w:val="nil"/>
              <w:right w:val="nil"/>
            </w:tcBorders>
            <w:shd w:val="clear" w:color="000000" w:fill="FFC7CE"/>
            <w:noWrap/>
            <w:tcMar>
              <w:left w:w="57" w:type="dxa"/>
              <w:right w:w="57" w:type="dxa"/>
            </w:tcMar>
            <w:vAlign w:val="bottom"/>
            <w:hideMark/>
          </w:tcPr>
          <w:p w14:paraId="2E71ABD3"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39.1</w:t>
            </w:r>
          </w:p>
        </w:tc>
        <w:tc>
          <w:tcPr>
            <w:tcW w:w="325" w:type="pct"/>
            <w:tcBorders>
              <w:top w:val="nil"/>
              <w:left w:val="nil"/>
              <w:bottom w:val="nil"/>
              <w:right w:val="nil"/>
            </w:tcBorders>
            <w:shd w:val="clear" w:color="000000" w:fill="FFC7CE"/>
            <w:noWrap/>
            <w:tcMar>
              <w:left w:w="57" w:type="dxa"/>
              <w:right w:w="57" w:type="dxa"/>
            </w:tcMar>
            <w:vAlign w:val="bottom"/>
            <w:hideMark/>
          </w:tcPr>
          <w:p w14:paraId="59D98056"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34.2</w:t>
            </w:r>
          </w:p>
        </w:tc>
        <w:tc>
          <w:tcPr>
            <w:tcW w:w="325" w:type="pct"/>
            <w:tcBorders>
              <w:top w:val="nil"/>
              <w:left w:val="nil"/>
              <w:bottom w:val="nil"/>
              <w:right w:val="nil"/>
            </w:tcBorders>
            <w:shd w:val="clear" w:color="000000" w:fill="FFC7CE"/>
            <w:noWrap/>
            <w:tcMar>
              <w:left w:w="57" w:type="dxa"/>
              <w:right w:w="57" w:type="dxa"/>
            </w:tcMar>
            <w:vAlign w:val="bottom"/>
            <w:hideMark/>
          </w:tcPr>
          <w:p w14:paraId="081D5669"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29.9</w:t>
            </w:r>
          </w:p>
        </w:tc>
        <w:tc>
          <w:tcPr>
            <w:tcW w:w="325" w:type="pct"/>
            <w:tcBorders>
              <w:top w:val="nil"/>
              <w:left w:val="nil"/>
              <w:bottom w:val="nil"/>
              <w:right w:val="nil"/>
            </w:tcBorders>
            <w:shd w:val="clear" w:color="000000" w:fill="FFC7CE"/>
            <w:noWrap/>
            <w:tcMar>
              <w:left w:w="57" w:type="dxa"/>
              <w:right w:w="57" w:type="dxa"/>
            </w:tcMar>
            <w:vAlign w:val="bottom"/>
            <w:hideMark/>
          </w:tcPr>
          <w:p w14:paraId="6888B496"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26.1</w:t>
            </w:r>
          </w:p>
        </w:tc>
        <w:tc>
          <w:tcPr>
            <w:tcW w:w="325" w:type="pct"/>
            <w:tcBorders>
              <w:top w:val="nil"/>
              <w:left w:val="nil"/>
              <w:bottom w:val="nil"/>
              <w:right w:val="nil"/>
            </w:tcBorders>
            <w:shd w:val="clear" w:color="000000" w:fill="FFC7CE"/>
            <w:noWrap/>
            <w:tcMar>
              <w:left w:w="57" w:type="dxa"/>
              <w:right w:w="57" w:type="dxa"/>
            </w:tcMar>
            <w:vAlign w:val="bottom"/>
            <w:hideMark/>
          </w:tcPr>
          <w:p w14:paraId="5F84D268"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22.7</w:t>
            </w:r>
          </w:p>
        </w:tc>
        <w:tc>
          <w:tcPr>
            <w:tcW w:w="325" w:type="pct"/>
            <w:tcBorders>
              <w:top w:val="nil"/>
              <w:left w:val="nil"/>
              <w:bottom w:val="nil"/>
              <w:right w:val="nil"/>
            </w:tcBorders>
            <w:shd w:val="clear" w:color="000000" w:fill="C6EFCE"/>
            <w:noWrap/>
            <w:tcMar>
              <w:left w:w="57" w:type="dxa"/>
              <w:right w:w="57" w:type="dxa"/>
            </w:tcMar>
            <w:vAlign w:val="bottom"/>
            <w:hideMark/>
          </w:tcPr>
          <w:p w14:paraId="0588B98D"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19.6</w:t>
            </w:r>
          </w:p>
        </w:tc>
        <w:tc>
          <w:tcPr>
            <w:tcW w:w="327" w:type="pct"/>
            <w:tcBorders>
              <w:top w:val="nil"/>
              <w:left w:val="nil"/>
              <w:bottom w:val="nil"/>
              <w:right w:val="nil"/>
            </w:tcBorders>
            <w:shd w:val="clear" w:color="000000" w:fill="C6EFCE"/>
            <w:noWrap/>
            <w:tcMar>
              <w:left w:w="57" w:type="dxa"/>
              <w:right w:w="57" w:type="dxa"/>
            </w:tcMar>
            <w:vAlign w:val="bottom"/>
            <w:hideMark/>
          </w:tcPr>
          <w:p w14:paraId="6942FA90"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16.8</w:t>
            </w:r>
          </w:p>
        </w:tc>
      </w:tr>
      <w:tr w:rsidR="00280058" w:rsidRPr="002C025E" w14:paraId="08D6517B" w14:textId="77777777" w:rsidTr="0005008F">
        <w:tc>
          <w:tcPr>
            <w:tcW w:w="184" w:type="pct"/>
            <w:vMerge/>
            <w:tcBorders>
              <w:top w:val="nil"/>
              <w:left w:val="nil"/>
              <w:bottom w:val="nil"/>
              <w:right w:val="nil"/>
            </w:tcBorders>
            <w:tcMar>
              <w:left w:w="57" w:type="dxa"/>
              <w:right w:w="57" w:type="dxa"/>
            </w:tcMar>
            <w:vAlign w:val="center"/>
            <w:hideMark/>
          </w:tcPr>
          <w:p w14:paraId="319DC381"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89" w:type="pct"/>
            <w:tcBorders>
              <w:top w:val="nil"/>
              <w:left w:val="nil"/>
              <w:bottom w:val="nil"/>
              <w:right w:val="nil"/>
            </w:tcBorders>
            <w:shd w:val="clear" w:color="auto" w:fill="auto"/>
            <w:noWrap/>
            <w:tcMar>
              <w:left w:w="57" w:type="dxa"/>
              <w:right w:w="57" w:type="dxa"/>
            </w:tcMar>
            <w:vAlign w:val="bottom"/>
            <w:hideMark/>
          </w:tcPr>
          <w:p w14:paraId="0C61FB24"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-1.0%</w:t>
            </w:r>
          </w:p>
        </w:tc>
        <w:tc>
          <w:tcPr>
            <w:tcW w:w="325" w:type="pct"/>
            <w:tcBorders>
              <w:top w:val="nil"/>
              <w:left w:val="nil"/>
              <w:bottom w:val="nil"/>
              <w:right w:val="nil"/>
            </w:tcBorders>
            <w:shd w:val="clear" w:color="000000" w:fill="FFC7CE"/>
            <w:noWrap/>
            <w:tcMar>
              <w:left w:w="57" w:type="dxa"/>
              <w:right w:w="57" w:type="dxa"/>
            </w:tcMar>
            <w:vAlign w:val="bottom"/>
            <w:hideMark/>
          </w:tcPr>
          <w:p w14:paraId="25EC4E4D"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92.2</w:t>
            </w:r>
          </w:p>
        </w:tc>
        <w:tc>
          <w:tcPr>
            <w:tcW w:w="325" w:type="pct"/>
            <w:tcBorders>
              <w:top w:val="nil"/>
              <w:left w:val="nil"/>
              <w:bottom w:val="nil"/>
              <w:right w:val="nil"/>
            </w:tcBorders>
            <w:shd w:val="clear" w:color="000000" w:fill="FFC7CE"/>
            <w:noWrap/>
            <w:tcMar>
              <w:left w:w="57" w:type="dxa"/>
              <w:right w:w="57" w:type="dxa"/>
            </w:tcMar>
            <w:vAlign w:val="bottom"/>
            <w:hideMark/>
          </w:tcPr>
          <w:p w14:paraId="7584989E"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74.0</w:t>
            </w:r>
          </w:p>
        </w:tc>
        <w:tc>
          <w:tcPr>
            <w:tcW w:w="325" w:type="pct"/>
            <w:tcBorders>
              <w:top w:val="nil"/>
              <w:left w:val="nil"/>
              <w:bottom w:val="nil"/>
              <w:right w:val="nil"/>
            </w:tcBorders>
            <w:shd w:val="clear" w:color="000000" w:fill="FFC7CE"/>
            <w:noWrap/>
            <w:tcMar>
              <w:left w:w="57" w:type="dxa"/>
              <w:right w:w="57" w:type="dxa"/>
            </w:tcMar>
            <w:vAlign w:val="bottom"/>
            <w:hideMark/>
          </w:tcPr>
          <w:p w14:paraId="7ADFCB86"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62.2</w:t>
            </w:r>
          </w:p>
        </w:tc>
        <w:tc>
          <w:tcPr>
            <w:tcW w:w="325" w:type="pct"/>
            <w:tcBorders>
              <w:top w:val="nil"/>
              <w:left w:val="nil"/>
              <w:bottom w:val="nil"/>
              <w:right w:val="nil"/>
            </w:tcBorders>
            <w:shd w:val="clear" w:color="000000" w:fill="FFC7CE"/>
            <w:noWrap/>
            <w:tcMar>
              <w:left w:w="57" w:type="dxa"/>
              <w:right w:w="57" w:type="dxa"/>
            </w:tcMar>
            <w:vAlign w:val="bottom"/>
            <w:hideMark/>
          </w:tcPr>
          <w:p w14:paraId="768FC3B2"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53.5</w:t>
            </w:r>
          </w:p>
        </w:tc>
        <w:tc>
          <w:tcPr>
            <w:tcW w:w="325" w:type="pct"/>
            <w:tcBorders>
              <w:top w:val="nil"/>
              <w:left w:val="nil"/>
              <w:bottom w:val="nil"/>
              <w:right w:val="nil"/>
            </w:tcBorders>
            <w:shd w:val="clear" w:color="000000" w:fill="FFC7CE"/>
            <w:noWrap/>
            <w:tcMar>
              <w:left w:w="57" w:type="dxa"/>
              <w:right w:w="57" w:type="dxa"/>
            </w:tcMar>
            <w:vAlign w:val="bottom"/>
            <w:hideMark/>
          </w:tcPr>
          <w:p w14:paraId="045372C9"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46.6</w:t>
            </w:r>
          </w:p>
        </w:tc>
        <w:tc>
          <w:tcPr>
            <w:tcW w:w="325" w:type="pct"/>
            <w:tcBorders>
              <w:top w:val="nil"/>
              <w:left w:val="nil"/>
              <w:bottom w:val="nil"/>
              <w:right w:val="nil"/>
            </w:tcBorders>
            <w:shd w:val="clear" w:color="000000" w:fill="FFC7CE"/>
            <w:noWrap/>
            <w:tcMar>
              <w:left w:w="57" w:type="dxa"/>
              <w:right w:w="57" w:type="dxa"/>
            </w:tcMar>
            <w:vAlign w:val="bottom"/>
            <w:hideMark/>
          </w:tcPr>
          <w:p w14:paraId="10674AE2"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40.8</w:t>
            </w:r>
          </w:p>
        </w:tc>
        <w:tc>
          <w:tcPr>
            <w:tcW w:w="325" w:type="pct"/>
            <w:tcBorders>
              <w:top w:val="nil"/>
              <w:left w:val="nil"/>
              <w:bottom w:val="nil"/>
              <w:right w:val="nil"/>
            </w:tcBorders>
            <w:shd w:val="clear" w:color="000000" w:fill="FFC7CE"/>
            <w:noWrap/>
            <w:tcMar>
              <w:left w:w="57" w:type="dxa"/>
              <w:right w:w="57" w:type="dxa"/>
            </w:tcMar>
            <w:vAlign w:val="bottom"/>
            <w:hideMark/>
          </w:tcPr>
          <w:p w14:paraId="65B08CFA"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35.9</w:t>
            </w:r>
          </w:p>
        </w:tc>
        <w:tc>
          <w:tcPr>
            <w:tcW w:w="325" w:type="pct"/>
            <w:tcBorders>
              <w:top w:val="nil"/>
              <w:left w:val="nil"/>
              <w:bottom w:val="nil"/>
              <w:right w:val="nil"/>
            </w:tcBorders>
            <w:shd w:val="clear" w:color="000000" w:fill="FFC7CE"/>
            <w:noWrap/>
            <w:tcMar>
              <w:left w:w="57" w:type="dxa"/>
              <w:right w:w="57" w:type="dxa"/>
            </w:tcMar>
            <w:vAlign w:val="bottom"/>
            <w:hideMark/>
          </w:tcPr>
          <w:p w14:paraId="411D3A99"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31.6</w:t>
            </w:r>
          </w:p>
        </w:tc>
        <w:tc>
          <w:tcPr>
            <w:tcW w:w="325" w:type="pct"/>
            <w:tcBorders>
              <w:top w:val="nil"/>
              <w:left w:val="nil"/>
              <w:bottom w:val="nil"/>
              <w:right w:val="nil"/>
            </w:tcBorders>
            <w:shd w:val="clear" w:color="000000" w:fill="FFC7CE"/>
            <w:noWrap/>
            <w:tcMar>
              <w:left w:w="57" w:type="dxa"/>
              <w:right w:w="57" w:type="dxa"/>
            </w:tcMar>
            <w:vAlign w:val="bottom"/>
            <w:hideMark/>
          </w:tcPr>
          <w:p w14:paraId="195DC904"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27.8</w:t>
            </w:r>
          </w:p>
        </w:tc>
        <w:tc>
          <w:tcPr>
            <w:tcW w:w="325" w:type="pct"/>
            <w:tcBorders>
              <w:top w:val="nil"/>
              <w:left w:val="nil"/>
              <w:bottom w:val="nil"/>
              <w:right w:val="nil"/>
            </w:tcBorders>
            <w:shd w:val="clear" w:color="000000" w:fill="FFC7CE"/>
            <w:noWrap/>
            <w:tcMar>
              <w:left w:w="57" w:type="dxa"/>
              <w:right w:w="57" w:type="dxa"/>
            </w:tcMar>
            <w:vAlign w:val="bottom"/>
            <w:hideMark/>
          </w:tcPr>
          <w:p w14:paraId="3DF5523B"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24.4</w:t>
            </w:r>
          </w:p>
        </w:tc>
        <w:tc>
          <w:tcPr>
            <w:tcW w:w="325" w:type="pct"/>
            <w:tcBorders>
              <w:top w:val="nil"/>
              <w:left w:val="nil"/>
              <w:bottom w:val="nil"/>
              <w:right w:val="nil"/>
            </w:tcBorders>
            <w:shd w:val="clear" w:color="000000" w:fill="FFC7CE"/>
            <w:noWrap/>
            <w:tcMar>
              <w:left w:w="57" w:type="dxa"/>
              <w:right w:w="57" w:type="dxa"/>
            </w:tcMar>
            <w:vAlign w:val="bottom"/>
            <w:hideMark/>
          </w:tcPr>
          <w:p w14:paraId="0760689F"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21.3</w:t>
            </w:r>
          </w:p>
        </w:tc>
        <w:tc>
          <w:tcPr>
            <w:tcW w:w="325" w:type="pct"/>
            <w:tcBorders>
              <w:top w:val="nil"/>
              <w:left w:val="nil"/>
              <w:bottom w:val="nil"/>
              <w:right w:val="nil"/>
            </w:tcBorders>
            <w:shd w:val="clear" w:color="000000" w:fill="C6EFCE"/>
            <w:noWrap/>
            <w:tcMar>
              <w:left w:w="57" w:type="dxa"/>
              <w:right w:w="57" w:type="dxa"/>
            </w:tcMar>
            <w:vAlign w:val="bottom"/>
            <w:hideMark/>
          </w:tcPr>
          <w:p w14:paraId="189A3E4E"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18.5</w:t>
            </w:r>
          </w:p>
        </w:tc>
        <w:tc>
          <w:tcPr>
            <w:tcW w:w="327" w:type="pct"/>
            <w:tcBorders>
              <w:top w:val="nil"/>
              <w:left w:val="nil"/>
              <w:bottom w:val="nil"/>
              <w:right w:val="nil"/>
            </w:tcBorders>
            <w:shd w:val="clear" w:color="000000" w:fill="C6EFCE"/>
            <w:noWrap/>
            <w:tcMar>
              <w:left w:w="57" w:type="dxa"/>
              <w:right w:w="57" w:type="dxa"/>
            </w:tcMar>
            <w:vAlign w:val="bottom"/>
            <w:hideMark/>
          </w:tcPr>
          <w:p w14:paraId="7055060F"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15.8</w:t>
            </w:r>
          </w:p>
        </w:tc>
      </w:tr>
      <w:tr w:rsidR="00280058" w:rsidRPr="002C025E" w14:paraId="0C389DB5" w14:textId="77777777" w:rsidTr="0005008F">
        <w:tc>
          <w:tcPr>
            <w:tcW w:w="184" w:type="pct"/>
            <w:vMerge/>
            <w:tcBorders>
              <w:top w:val="nil"/>
              <w:left w:val="nil"/>
              <w:bottom w:val="nil"/>
              <w:right w:val="nil"/>
            </w:tcBorders>
            <w:tcMar>
              <w:left w:w="57" w:type="dxa"/>
              <w:right w:w="57" w:type="dxa"/>
            </w:tcMar>
            <w:vAlign w:val="center"/>
            <w:hideMark/>
          </w:tcPr>
          <w:p w14:paraId="2100A20B"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89" w:type="pct"/>
            <w:tcBorders>
              <w:top w:val="nil"/>
              <w:left w:val="nil"/>
              <w:bottom w:val="nil"/>
              <w:right w:val="nil"/>
            </w:tcBorders>
            <w:shd w:val="clear" w:color="auto" w:fill="auto"/>
            <w:noWrap/>
            <w:tcMar>
              <w:left w:w="57" w:type="dxa"/>
              <w:right w:w="57" w:type="dxa"/>
            </w:tcMar>
            <w:vAlign w:val="bottom"/>
            <w:hideMark/>
          </w:tcPr>
          <w:p w14:paraId="305548FA"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-0.5%</w:t>
            </w:r>
          </w:p>
        </w:tc>
        <w:tc>
          <w:tcPr>
            <w:tcW w:w="325" w:type="pct"/>
            <w:tcBorders>
              <w:top w:val="nil"/>
              <w:left w:val="nil"/>
              <w:bottom w:val="nil"/>
              <w:right w:val="nil"/>
            </w:tcBorders>
            <w:shd w:val="clear" w:color="000000" w:fill="FFC7CE"/>
            <w:noWrap/>
            <w:tcMar>
              <w:left w:w="57" w:type="dxa"/>
              <w:right w:w="57" w:type="dxa"/>
            </w:tcMar>
            <w:vAlign w:val="bottom"/>
            <w:hideMark/>
          </w:tcPr>
          <w:p w14:paraId="52DD7583"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75.2</w:t>
            </w:r>
          </w:p>
        </w:tc>
        <w:tc>
          <w:tcPr>
            <w:tcW w:w="325" w:type="pct"/>
            <w:tcBorders>
              <w:top w:val="nil"/>
              <w:left w:val="nil"/>
              <w:bottom w:val="nil"/>
              <w:right w:val="nil"/>
            </w:tcBorders>
            <w:shd w:val="clear" w:color="000000" w:fill="FFC7CE"/>
            <w:noWrap/>
            <w:tcMar>
              <w:left w:w="57" w:type="dxa"/>
              <w:right w:w="57" w:type="dxa"/>
            </w:tcMar>
            <w:vAlign w:val="bottom"/>
            <w:hideMark/>
          </w:tcPr>
          <w:p w14:paraId="14F20280"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63.5</w:t>
            </w:r>
          </w:p>
        </w:tc>
        <w:tc>
          <w:tcPr>
            <w:tcW w:w="325" w:type="pct"/>
            <w:tcBorders>
              <w:top w:val="nil"/>
              <w:left w:val="nil"/>
              <w:bottom w:val="nil"/>
              <w:right w:val="nil"/>
            </w:tcBorders>
            <w:shd w:val="clear" w:color="000000" w:fill="FFC7CE"/>
            <w:noWrap/>
            <w:tcMar>
              <w:left w:w="57" w:type="dxa"/>
              <w:right w:w="57" w:type="dxa"/>
            </w:tcMar>
            <w:vAlign w:val="bottom"/>
            <w:hideMark/>
          </w:tcPr>
          <w:p w14:paraId="2356AF29"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54.9</w:t>
            </w:r>
          </w:p>
        </w:tc>
        <w:tc>
          <w:tcPr>
            <w:tcW w:w="325" w:type="pct"/>
            <w:tcBorders>
              <w:top w:val="nil"/>
              <w:left w:val="nil"/>
              <w:bottom w:val="nil"/>
              <w:right w:val="nil"/>
            </w:tcBorders>
            <w:shd w:val="clear" w:color="000000" w:fill="FFC7CE"/>
            <w:noWrap/>
            <w:tcMar>
              <w:left w:w="57" w:type="dxa"/>
              <w:right w:w="57" w:type="dxa"/>
            </w:tcMar>
            <w:vAlign w:val="bottom"/>
            <w:hideMark/>
          </w:tcPr>
          <w:p w14:paraId="4F8A7662"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48.0</w:t>
            </w:r>
          </w:p>
        </w:tc>
        <w:tc>
          <w:tcPr>
            <w:tcW w:w="325" w:type="pct"/>
            <w:tcBorders>
              <w:top w:val="nil"/>
              <w:left w:val="nil"/>
              <w:bottom w:val="nil"/>
              <w:right w:val="nil"/>
            </w:tcBorders>
            <w:shd w:val="clear" w:color="000000" w:fill="FFC7CE"/>
            <w:noWrap/>
            <w:tcMar>
              <w:left w:w="57" w:type="dxa"/>
              <w:right w:w="57" w:type="dxa"/>
            </w:tcMar>
            <w:vAlign w:val="bottom"/>
            <w:hideMark/>
          </w:tcPr>
          <w:p w14:paraId="0DEC7A2D"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42.3</w:t>
            </w:r>
          </w:p>
        </w:tc>
        <w:tc>
          <w:tcPr>
            <w:tcW w:w="325" w:type="pct"/>
            <w:tcBorders>
              <w:top w:val="nil"/>
              <w:left w:val="nil"/>
              <w:bottom w:val="nil"/>
              <w:right w:val="nil"/>
            </w:tcBorders>
            <w:shd w:val="clear" w:color="000000" w:fill="FFC7CE"/>
            <w:noWrap/>
            <w:tcMar>
              <w:left w:w="57" w:type="dxa"/>
              <w:right w:w="57" w:type="dxa"/>
            </w:tcMar>
            <w:vAlign w:val="bottom"/>
            <w:hideMark/>
          </w:tcPr>
          <w:p w14:paraId="4417CB64"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37.4</w:t>
            </w:r>
          </w:p>
        </w:tc>
        <w:tc>
          <w:tcPr>
            <w:tcW w:w="325" w:type="pct"/>
            <w:tcBorders>
              <w:top w:val="nil"/>
              <w:left w:val="nil"/>
              <w:bottom w:val="nil"/>
              <w:right w:val="nil"/>
            </w:tcBorders>
            <w:shd w:val="clear" w:color="000000" w:fill="FFC7CE"/>
            <w:noWrap/>
            <w:tcMar>
              <w:left w:w="57" w:type="dxa"/>
              <w:right w:w="57" w:type="dxa"/>
            </w:tcMar>
            <w:vAlign w:val="bottom"/>
            <w:hideMark/>
          </w:tcPr>
          <w:p w14:paraId="5FE29A43"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33.1</w:t>
            </w:r>
          </w:p>
        </w:tc>
        <w:tc>
          <w:tcPr>
            <w:tcW w:w="325" w:type="pct"/>
            <w:tcBorders>
              <w:top w:val="nil"/>
              <w:left w:val="nil"/>
              <w:bottom w:val="nil"/>
              <w:right w:val="nil"/>
            </w:tcBorders>
            <w:shd w:val="clear" w:color="000000" w:fill="FFC7CE"/>
            <w:noWrap/>
            <w:tcMar>
              <w:left w:w="57" w:type="dxa"/>
              <w:right w:w="57" w:type="dxa"/>
            </w:tcMar>
            <w:vAlign w:val="bottom"/>
            <w:hideMark/>
          </w:tcPr>
          <w:p w14:paraId="1344DB80"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29.3</w:t>
            </w:r>
          </w:p>
        </w:tc>
        <w:tc>
          <w:tcPr>
            <w:tcW w:w="325" w:type="pct"/>
            <w:tcBorders>
              <w:top w:val="nil"/>
              <w:left w:val="nil"/>
              <w:bottom w:val="nil"/>
              <w:right w:val="nil"/>
            </w:tcBorders>
            <w:shd w:val="clear" w:color="000000" w:fill="FFC7CE"/>
            <w:noWrap/>
            <w:tcMar>
              <w:left w:w="57" w:type="dxa"/>
              <w:right w:w="57" w:type="dxa"/>
            </w:tcMar>
            <w:vAlign w:val="bottom"/>
            <w:hideMark/>
          </w:tcPr>
          <w:p w14:paraId="53A58B33"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25.9</w:t>
            </w:r>
          </w:p>
        </w:tc>
        <w:tc>
          <w:tcPr>
            <w:tcW w:w="325" w:type="pct"/>
            <w:tcBorders>
              <w:top w:val="nil"/>
              <w:left w:val="nil"/>
              <w:bottom w:val="nil"/>
              <w:right w:val="nil"/>
            </w:tcBorders>
            <w:shd w:val="clear" w:color="000000" w:fill="FFC7CE"/>
            <w:noWrap/>
            <w:tcMar>
              <w:left w:w="57" w:type="dxa"/>
              <w:right w:w="57" w:type="dxa"/>
            </w:tcMar>
            <w:vAlign w:val="bottom"/>
            <w:hideMark/>
          </w:tcPr>
          <w:p w14:paraId="10DA0B3B"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22.8</w:t>
            </w:r>
          </w:p>
        </w:tc>
        <w:tc>
          <w:tcPr>
            <w:tcW w:w="325" w:type="pct"/>
            <w:tcBorders>
              <w:top w:val="nil"/>
              <w:left w:val="nil"/>
              <w:bottom w:val="nil"/>
              <w:right w:val="nil"/>
            </w:tcBorders>
            <w:shd w:val="clear" w:color="000000" w:fill="C6EFCE"/>
            <w:noWrap/>
            <w:tcMar>
              <w:left w:w="57" w:type="dxa"/>
              <w:right w:w="57" w:type="dxa"/>
            </w:tcMar>
            <w:vAlign w:val="bottom"/>
            <w:hideMark/>
          </w:tcPr>
          <w:p w14:paraId="17ED98E6"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20.0</w:t>
            </w:r>
          </w:p>
        </w:tc>
        <w:tc>
          <w:tcPr>
            <w:tcW w:w="325" w:type="pct"/>
            <w:tcBorders>
              <w:top w:val="nil"/>
              <w:left w:val="nil"/>
              <w:bottom w:val="nil"/>
              <w:right w:val="nil"/>
            </w:tcBorders>
            <w:shd w:val="clear" w:color="000000" w:fill="C6EFCE"/>
            <w:noWrap/>
            <w:tcMar>
              <w:left w:w="57" w:type="dxa"/>
              <w:right w:w="57" w:type="dxa"/>
            </w:tcMar>
            <w:vAlign w:val="bottom"/>
            <w:hideMark/>
          </w:tcPr>
          <w:p w14:paraId="110F6774"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17.4</w:t>
            </w:r>
          </w:p>
        </w:tc>
        <w:tc>
          <w:tcPr>
            <w:tcW w:w="327" w:type="pct"/>
            <w:tcBorders>
              <w:top w:val="nil"/>
              <w:left w:val="nil"/>
              <w:bottom w:val="nil"/>
              <w:right w:val="nil"/>
            </w:tcBorders>
            <w:shd w:val="clear" w:color="000000" w:fill="C6EFCE"/>
            <w:noWrap/>
            <w:tcMar>
              <w:left w:w="57" w:type="dxa"/>
              <w:right w:w="57" w:type="dxa"/>
            </w:tcMar>
            <w:vAlign w:val="bottom"/>
            <w:hideMark/>
          </w:tcPr>
          <w:p w14:paraId="170093F3"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14.9</w:t>
            </w:r>
          </w:p>
        </w:tc>
      </w:tr>
      <w:tr w:rsidR="00280058" w:rsidRPr="002C025E" w14:paraId="31E15751" w14:textId="77777777" w:rsidTr="0005008F">
        <w:tc>
          <w:tcPr>
            <w:tcW w:w="184" w:type="pct"/>
            <w:vMerge/>
            <w:tcBorders>
              <w:top w:val="nil"/>
              <w:left w:val="nil"/>
              <w:bottom w:val="nil"/>
              <w:right w:val="nil"/>
            </w:tcBorders>
            <w:tcMar>
              <w:left w:w="57" w:type="dxa"/>
              <w:right w:w="57" w:type="dxa"/>
            </w:tcMar>
            <w:vAlign w:val="center"/>
            <w:hideMark/>
          </w:tcPr>
          <w:p w14:paraId="7306E6B8"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89" w:type="pct"/>
            <w:tcBorders>
              <w:top w:val="nil"/>
              <w:left w:val="nil"/>
              <w:bottom w:val="nil"/>
              <w:right w:val="nil"/>
            </w:tcBorders>
            <w:shd w:val="clear" w:color="auto" w:fill="auto"/>
            <w:noWrap/>
            <w:tcMar>
              <w:left w:w="57" w:type="dxa"/>
              <w:right w:w="57" w:type="dxa"/>
            </w:tcMar>
            <w:vAlign w:val="bottom"/>
            <w:hideMark/>
          </w:tcPr>
          <w:p w14:paraId="6ACE02FF"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0.0%</w:t>
            </w:r>
          </w:p>
        </w:tc>
        <w:tc>
          <w:tcPr>
            <w:tcW w:w="325" w:type="pct"/>
            <w:tcBorders>
              <w:top w:val="nil"/>
              <w:left w:val="nil"/>
              <w:bottom w:val="nil"/>
              <w:right w:val="nil"/>
            </w:tcBorders>
            <w:shd w:val="clear" w:color="000000" w:fill="FFC7CE"/>
            <w:noWrap/>
            <w:tcMar>
              <w:left w:w="57" w:type="dxa"/>
              <w:right w:w="57" w:type="dxa"/>
            </w:tcMar>
            <w:vAlign w:val="bottom"/>
            <w:hideMark/>
          </w:tcPr>
          <w:p w14:paraId="7C55EF0A"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64.3</w:t>
            </w:r>
          </w:p>
        </w:tc>
        <w:tc>
          <w:tcPr>
            <w:tcW w:w="325" w:type="pct"/>
            <w:tcBorders>
              <w:top w:val="nil"/>
              <w:left w:val="nil"/>
              <w:bottom w:val="nil"/>
              <w:right w:val="nil"/>
            </w:tcBorders>
            <w:shd w:val="clear" w:color="000000" w:fill="FFC7CE"/>
            <w:noWrap/>
            <w:tcMar>
              <w:left w:w="57" w:type="dxa"/>
              <w:right w:w="57" w:type="dxa"/>
            </w:tcMar>
            <w:vAlign w:val="bottom"/>
            <w:hideMark/>
          </w:tcPr>
          <w:p w14:paraId="07C03CF6"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55.8</w:t>
            </w:r>
          </w:p>
        </w:tc>
        <w:tc>
          <w:tcPr>
            <w:tcW w:w="325" w:type="pct"/>
            <w:tcBorders>
              <w:top w:val="nil"/>
              <w:left w:val="nil"/>
              <w:bottom w:val="nil"/>
              <w:right w:val="nil"/>
            </w:tcBorders>
            <w:shd w:val="clear" w:color="000000" w:fill="FFC7CE"/>
            <w:noWrap/>
            <w:tcMar>
              <w:left w:w="57" w:type="dxa"/>
              <w:right w:w="57" w:type="dxa"/>
            </w:tcMar>
            <w:vAlign w:val="bottom"/>
            <w:hideMark/>
          </w:tcPr>
          <w:p w14:paraId="74EF5340"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49.0</w:t>
            </w:r>
          </w:p>
        </w:tc>
        <w:tc>
          <w:tcPr>
            <w:tcW w:w="325" w:type="pct"/>
            <w:tcBorders>
              <w:top w:val="nil"/>
              <w:left w:val="nil"/>
              <w:bottom w:val="nil"/>
              <w:right w:val="nil"/>
            </w:tcBorders>
            <w:shd w:val="clear" w:color="000000" w:fill="FFC7CE"/>
            <w:noWrap/>
            <w:tcMar>
              <w:left w:w="57" w:type="dxa"/>
              <w:right w:w="57" w:type="dxa"/>
            </w:tcMar>
            <w:vAlign w:val="bottom"/>
            <w:hideMark/>
          </w:tcPr>
          <w:p w14:paraId="1C59ACB2"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43.4</w:t>
            </w:r>
          </w:p>
        </w:tc>
        <w:tc>
          <w:tcPr>
            <w:tcW w:w="325" w:type="pct"/>
            <w:tcBorders>
              <w:top w:val="nil"/>
              <w:left w:val="nil"/>
              <w:bottom w:val="nil"/>
              <w:right w:val="nil"/>
            </w:tcBorders>
            <w:shd w:val="clear" w:color="000000" w:fill="FFC7CE"/>
            <w:noWrap/>
            <w:tcMar>
              <w:left w:w="57" w:type="dxa"/>
              <w:right w:w="57" w:type="dxa"/>
            </w:tcMar>
            <w:vAlign w:val="bottom"/>
            <w:hideMark/>
          </w:tcPr>
          <w:p w14:paraId="3742F89D"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38.6</w:t>
            </w:r>
          </w:p>
        </w:tc>
        <w:tc>
          <w:tcPr>
            <w:tcW w:w="325" w:type="pct"/>
            <w:tcBorders>
              <w:top w:val="nil"/>
              <w:left w:val="nil"/>
              <w:bottom w:val="nil"/>
              <w:right w:val="nil"/>
            </w:tcBorders>
            <w:shd w:val="clear" w:color="000000" w:fill="FFC7CE"/>
            <w:noWrap/>
            <w:tcMar>
              <w:left w:w="57" w:type="dxa"/>
              <w:right w:w="57" w:type="dxa"/>
            </w:tcMar>
            <w:vAlign w:val="bottom"/>
            <w:hideMark/>
          </w:tcPr>
          <w:p w14:paraId="1F48719C"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34.4</w:t>
            </w:r>
          </w:p>
        </w:tc>
        <w:tc>
          <w:tcPr>
            <w:tcW w:w="325" w:type="pct"/>
            <w:tcBorders>
              <w:top w:val="nil"/>
              <w:left w:val="nil"/>
              <w:bottom w:val="nil"/>
              <w:right w:val="nil"/>
            </w:tcBorders>
            <w:shd w:val="clear" w:color="000000" w:fill="FFC7CE"/>
            <w:noWrap/>
            <w:tcMar>
              <w:left w:w="57" w:type="dxa"/>
              <w:right w:w="57" w:type="dxa"/>
            </w:tcMar>
            <w:vAlign w:val="bottom"/>
            <w:hideMark/>
          </w:tcPr>
          <w:p w14:paraId="393B2798"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30.6</w:t>
            </w:r>
          </w:p>
        </w:tc>
        <w:tc>
          <w:tcPr>
            <w:tcW w:w="325" w:type="pct"/>
            <w:tcBorders>
              <w:top w:val="nil"/>
              <w:left w:val="nil"/>
              <w:bottom w:val="nil"/>
              <w:right w:val="nil"/>
            </w:tcBorders>
            <w:shd w:val="clear" w:color="000000" w:fill="FFC7CE"/>
            <w:noWrap/>
            <w:tcMar>
              <w:left w:w="57" w:type="dxa"/>
              <w:right w:w="57" w:type="dxa"/>
            </w:tcMar>
            <w:vAlign w:val="bottom"/>
            <w:hideMark/>
          </w:tcPr>
          <w:p w14:paraId="2D6AB55B"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27.2</w:t>
            </w:r>
          </w:p>
        </w:tc>
        <w:tc>
          <w:tcPr>
            <w:tcW w:w="325" w:type="pct"/>
            <w:tcBorders>
              <w:top w:val="nil"/>
              <w:left w:val="nil"/>
              <w:bottom w:val="nil"/>
              <w:right w:val="nil"/>
            </w:tcBorders>
            <w:shd w:val="clear" w:color="000000" w:fill="FFC7CE"/>
            <w:noWrap/>
            <w:tcMar>
              <w:left w:w="57" w:type="dxa"/>
              <w:right w:w="57" w:type="dxa"/>
            </w:tcMar>
            <w:vAlign w:val="bottom"/>
            <w:hideMark/>
          </w:tcPr>
          <w:p w14:paraId="71BC344E"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24.1</w:t>
            </w:r>
          </w:p>
        </w:tc>
        <w:tc>
          <w:tcPr>
            <w:tcW w:w="325" w:type="pct"/>
            <w:tcBorders>
              <w:top w:val="nil"/>
              <w:left w:val="nil"/>
              <w:bottom w:val="nil"/>
              <w:right w:val="nil"/>
            </w:tcBorders>
            <w:shd w:val="clear" w:color="000000" w:fill="FFC7CE"/>
            <w:noWrap/>
            <w:tcMar>
              <w:left w:w="57" w:type="dxa"/>
              <w:right w:w="57" w:type="dxa"/>
            </w:tcMar>
            <w:vAlign w:val="bottom"/>
            <w:hideMark/>
          </w:tcPr>
          <w:p w14:paraId="5C2F82C7"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21.3</w:t>
            </w:r>
          </w:p>
        </w:tc>
        <w:tc>
          <w:tcPr>
            <w:tcW w:w="325" w:type="pct"/>
            <w:tcBorders>
              <w:top w:val="nil"/>
              <w:left w:val="nil"/>
              <w:bottom w:val="nil"/>
              <w:right w:val="nil"/>
            </w:tcBorders>
            <w:shd w:val="clear" w:color="000000" w:fill="C6EFCE"/>
            <w:noWrap/>
            <w:tcMar>
              <w:left w:w="57" w:type="dxa"/>
              <w:right w:w="57" w:type="dxa"/>
            </w:tcMar>
            <w:vAlign w:val="bottom"/>
            <w:hideMark/>
          </w:tcPr>
          <w:p w14:paraId="25B9029B"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18.7</w:t>
            </w:r>
          </w:p>
        </w:tc>
        <w:tc>
          <w:tcPr>
            <w:tcW w:w="325" w:type="pct"/>
            <w:tcBorders>
              <w:top w:val="nil"/>
              <w:left w:val="nil"/>
              <w:bottom w:val="nil"/>
              <w:right w:val="nil"/>
            </w:tcBorders>
            <w:shd w:val="clear" w:color="000000" w:fill="C6EFCE"/>
            <w:noWrap/>
            <w:tcMar>
              <w:left w:w="57" w:type="dxa"/>
              <w:right w:w="57" w:type="dxa"/>
            </w:tcMar>
            <w:vAlign w:val="bottom"/>
            <w:hideMark/>
          </w:tcPr>
          <w:p w14:paraId="45A5C6E1"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16.3</w:t>
            </w:r>
          </w:p>
        </w:tc>
        <w:tc>
          <w:tcPr>
            <w:tcW w:w="327" w:type="pct"/>
            <w:tcBorders>
              <w:top w:val="nil"/>
              <w:left w:val="nil"/>
              <w:bottom w:val="nil"/>
              <w:right w:val="nil"/>
            </w:tcBorders>
            <w:shd w:val="clear" w:color="000000" w:fill="C6EFCE"/>
            <w:noWrap/>
            <w:tcMar>
              <w:left w:w="57" w:type="dxa"/>
              <w:right w:w="57" w:type="dxa"/>
            </w:tcMar>
            <w:vAlign w:val="bottom"/>
            <w:hideMark/>
          </w:tcPr>
          <w:p w14:paraId="03CB8606"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14.1</w:t>
            </w:r>
          </w:p>
        </w:tc>
      </w:tr>
      <w:tr w:rsidR="00280058" w:rsidRPr="002C025E" w14:paraId="76E9F000" w14:textId="77777777" w:rsidTr="0005008F">
        <w:tc>
          <w:tcPr>
            <w:tcW w:w="184" w:type="pct"/>
            <w:vMerge/>
            <w:tcBorders>
              <w:top w:val="nil"/>
              <w:left w:val="nil"/>
              <w:bottom w:val="nil"/>
              <w:right w:val="nil"/>
            </w:tcBorders>
            <w:tcMar>
              <w:left w:w="57" w:type="dxa"/>
              <w:right w:w="57" w:type="dxa"/>
            </w:tcMar>
            <w:vAlign w:val="center"/>
            <w:hideMark/>
          </w:tcPr>
          <w:p w14:paraId="2CDF8EAD"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89" w:type="pct"/>
            <w:tcBorders>
              <w:top w:val="nil"/>
              <w:left w:val="nil"/>
              <w:bottom w:val="nil"/>
              <w:right w:val="nil"/>
            </w:tcBorders>
            <w:shd w:val="clear" w:color="auto" w:fill="auto"/>
            <w:noWrap/>
            <w:tcMar>
              <w:left w:w="57" w:type="dxa"/>
              <w:right w:w="57" w:type="dxa"/>
            </w:tcMar>
            <w:vAlign w:val="bottom"/>
            <w:hideMark/>
          </w:tcPr>
          <w:p w14:paraId="17714AEE"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0.5%</w:t>
            </w:r>
          </w:p>
        </w:tc>
        <w:tc>
          <w:tcPr>
            <w:tcW w:w="325" w:type="pct"/>
            <w:tcBorders>
              <w:top w:val="nil"/>
              <w:left w:val="nil"/>
              <w:bottom w:val="nil"/>
              <w:right w:val="nil"/>
            </w:tcBorders>
            <w:shd w:val="clear" w:color="000000" w:fill="FFC7CE"/>
            <w:noWrap/>
            <w:tcMar>
              <w:left w:w="57" w:type="dxa"/>
              <w:right w:w="57" w:type="dxa"/>
            </w:tcMar>
            <w:vAlign w:val="bottom"/>
            <w:hideMark/>
          </w:tcPr>
          <w:p w14:paraId="70545C42"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56.3</w:t>
            </w:r>
          </w:p>
        </w:tc>
        <w:tc>
          <w:tcPr>
            <w:tcW w:w="325" w:type="pct"/>
            <w:tcBorders>
              <w:top w:val="nil"/>
              <w:left w:val="nil"/>
              <w:bottom w:val="nil"/>
              <w:right w:val="nil"/>
            </w:tcBorders>
            <w:shd w:val="clear" w:color="000000" w:fill="FFC7CE"/>
            <w:noWrap/>
            <w:tcMar>
              <w:left w:w="57" w:type="dxa"/>
              <w:right w:w="57" w:type="dxa"/>
            </w:tcMar>
            <w:vAlign w:val="bottom"/>
            <w:hideMark/>
          </w:tcPr>
          <w:p w14:paraId="6F643AF9"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49.7</w:t>
            </w:r>
          </w:p>
        </w:tc>
        <w:tc>
          <w:tcPr>
            <w:tcW w:w="325" w:type="pct"/>
            <w:tcBorders>
              <w:top w:val="nil"/>
              <w:left w:val="nil"/>
              <w:bottom w:val="nil"/>
              <w:right w:val="nil"/>
            </w:tcBorders>
            <w:shd w:val="clear" w:color="000000" w:fill="FFC7CE"/>
            <w:noWrap/>
            <w:tcMar>
              <w:left w:w="57" w:type="dxa"/>
              <w:right w:w="57" w:type="dxa"/>
            </w:tcMar>
            <w:vAlign w:val="bottom"/>
            <w:hideMark/>
          </w:tcPr>
          <w:p w14:paraId="73374AFB"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44.2</w:t>
            </w:r>
          </w:p>
        </w:tc>
        <w:tc>
          <w:tcPr>
            <w:tcW w:w="325" w:type="pct"/>
            <w:tcBorders>
              <w:top w:val="nil"/>
              <w:left w:val="nil"/>
              <w:bottom w:val="nil"/>
              <w:right w:val="nil"/>
            </w:tcBorders>
            <w:shd w:val="clear" w:color="000000" w:fill="FFC7CE"/>
            <w:noWrap/>
            <w:tcMar>
              <w:left w:w="57" w:type="dxa"/>
              <w:right w:w="57" w:type="dxa"/>
            </w:tcMar>
            <w:vAlign w:val="bottom"/>
            <w:hideMark/>
          </w:tcPr>
          <w:p w14:paraId="2B446803"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39.5</w:t>
            </w:r>
          </w:p>
        </w:tc>
        <w:tc>
          <w:tcPr>
            <w:tcW w:w="325" w:type="pct"/>
            <w:tcBorders>
              <w:top w:val="nil"/>
              <w:left w:val="nil"/>
              <w:bottom w:val="nil"/>
              <w:right w:val="nil"/>
            </w:tcBorders>
            <w:shd w:val="clear" w:color="000000" w:fill="FFC7CE"/>
            <w:noWrap/>
            <w:tcMar>
              <w:left w:w="57" w:type="dxa"/>
              <w:right w:w="57" w:type="dxa"/>
            </w:tcMar>
            <w:vAlign w:val="bottom"/>
            <w:hideMark/>
          </w:tcPr>
          <w:p w14:paraId="7A56F30F"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35.4</w:t>
            </w:r>
          </w:p>
        </w:tc>
        <w:tc>
          <w:tcPr>
            <w:tcW w:w="325" w:type="pct"/>
            <w:tcBorders>
              <w:top w:val="nil"/>
              <w:left w:val="nil"/>
              <w:bottom w:val="nil"/>
              <w:right w:val="nil"/>
            </w:tcBorders>
            <w:shd w:val="clear" w:color="000000" w:fill="FFC7CE"/>
            <w:noWrap/>
            <w:tcMar>
              <w:left w:w="57" w:type="dxa"/>
              <w:right w:w="57" w:type="dxa"/>
            </w:tcMar>
            <w:vAlign w:val="bottom"/>
            <w:hideMark/>
          </w:tcPr>
          <w:p w14:paraId="74B77A96"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31.7</w:t>
            </w:r>
          </w:p>
        </w:tc>
        <w:tc>
          <w:tcPr>
            <w:tcW w:w="325" w:type="pct"/>
            <w:tcBorders>
              <w:top w:val="nil"/>
              <w:left w:val="nil"/>
              <w:bottom w:val="nil"/>
              <w:right w:val="nil"/>
            </w:tcBorders>
            <w:shd w:val="clear" w:color="000000" w:fill="FFC7CE"/>
            <w:noWrap/>
            <w:tcMar>
              <w:left w:w="57" w:type="dxa"/>
              <w:right w:w="57" w:type="dxa"/>
            </w:tcMar>
            <w:vAlign w:val="bottom"/>
            <w:hideMark/>
          </w:tcPr>
          <w:p w14:paraId="3DE6BB50"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28.3</w:t>
            </w:r>
          </w:p>
        </w:tc>
        <w:tc>
          <w:tcPr>
            <w:tcW w:w="325" w:type="pct"/>
            <w:tcBorders>
              <w:top w:val="nil"/>
              <w:left w:val="nil"/>
              <w:bottom w:val="nil"/>
              <w:right w:val="nil"/>
            </w:tcBorders>
            <w:shd w:val="clear" w:color="000000" w:fill="FFC7CE"/>
            <w:noWrap/>
            <w:tcMar>
              <w:left w:w="57" w:type="dxa"/>
              <w:right w:w="57" w:type="dxa"/>
            </w:tcMar>
            <w:vAlign w:val="bottom"/>
            <w:hideMark/>
          </w:tcPr>
          <w:p w14:paraId="57ACB86A"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25.3</w:t>
            </w:r>
          </w:p>
        </w:tc>
        <w:tc>
          <w:tcPr>
            <w:tcW w:w="325" w:type="pct"/>
            <w:tcBorders>
              <w:top w:val="nil"/>
              <w:left w:val="nil"/>
              <w:bottom w:val="nil"/>
              <w:right w:val="nil"/>
            </w:tcBorders>
            <w:shd w:val="clear" w:color="000000" w:fill="FFC7CE"/>
            <w:noWrap/>
            <w:tcMar>
              <w:left w:w="57" w:type="dxa"/>
              <w:right w:w="57" w:type="dxa"/>
            </w:tcMar>
            <w:vAlign w:val="bottom"/>
            <w:hideMark/>
          </w:tcPr>
          <w:p w14:paraId="182B97DF"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22.5</w:t>
            </w:r>
          </w:p>
        </w:tc>
        <w:tc>
          <w:tcPr>
            <w:tcW w:w="325" w:type="pct"/>
            <w:tcBorders>
              <w:top w:val="nil"/>
              <w:left w:val="nil"/>
              <w:bottom w:val="nil"/>
              <w:right w:val="nil"/>
            </w:tcBorders>
            <w:shd w:val="clear" w:color="000000" w:fill="C6EFCE"/>
            <w:noWrap/>
            <w:tcMar>
              <w:left w:w="57" w:type="dxa"/>
              <w:right w:w="57" w:type="dxa"/>
            </w:tcMar>
            <w:vAlign w:val="bottom"/>
            <w:hideMark/>
          </w:tcPr>
          <w:p w14:paraId="5B6E05ED"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20.0</w:t>
            </w:r>
          </w:p>
        </w:tc>
        <w:tc>
          <w:tcPr>
            <w:tcW w:w="325" w:type="pct"/>
            <w:tcBorders>
              <w:top w:val="nil"/>
              <w:left w:val="nil"/>
              <w:bottom w:val="nil"/>
              <w:right w:val="nil"/>
            </w:tcBorders>
            <w:shd w:val="clear" w:color="000000" w:fill="C6EFCE"/>
            <w:noWrap/>
            <w:tcMar>
              <w:left w:w="57" w:type="dxa"/>
              <w:right w:w="57" w:type="dxa"/>
            </w:tcMar>
            <w:vAlign w:val="bottom"/>
            <w:hideMark/>
          </w:tcPr>
          <w:p w14:paraId="26E62C9E"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17.6</w:t>
            </w:r>
          </w:p>
        </w:tc>
        <w:tc>
          <w:tcPr>
            <w:tcW w:w="325" w:type="pct"/>
            <w:tcBorders>
              <w:top w:val="nil"/>
              <w:left w:val="nil"/>
              <w:bottom w:val="nil"/>
              <w:right w:val="nil"/>
            </w:tcBorders>
            <w:shd w:val="clear" w:color="000000" w:fill="C6EFCE"/>
            <w:noWrap/>
            <w:tcMar>
              <w:left w:w="57" w:type="dxa"/>
              <w:right w:w="57" w:type="dxa"/>
            </w:tcMar>
            <w:vAlign w:val="bottom"/>
            <w:hideMark/>
          </w:tcPr>
          <w:p w14:paraId="674A62DE"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15.3</w:t>
            </w:r>
          </w:p>
        </w:tc>
        <w:tc>
          <w:tcPr>
            <w:tcW w:w="327" w:type="pct"/>
            <w:tcBorders>
              <w:top w:val="nil"/>
              <w:left w:val="nil"/>
              <w:bottom w:val="nil"/>
              <w:right w:val="nil"/>
            </w:tcBorders>
            <w:shd w:val="clear" w:color="000000" w:fill="C6EFCE"/>
            <w:noWrap/>
            <w:tcMar>
              <w:left w:w="57" w:type="dxa"/>
              <w:right w:w="57" w:type="dxa"/>
            </w:tcMar>
            <w:vAlign w:val="bottom"/>
            <w:hideMark/>
          </w:tcPr>
          <w:p w14:paraId="2BBFC4B4"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13.3</w:t>
            </w:r>
          </w:p>
        </w:tc>
      </w:tr>
      <w:tr w:rsidR="00280058" w:rsidRPr="002C025E" w14:paraId="60362639" w14:textId="77777777" w:rsidTr="0005008F">
        <w:tc>
          <w:tcPr>
            <w:tcW w:w="184" w:type="pct"/>
            <w:vMerge/>
            <w:tcBorders>
              <w:top w:val="nil"/>
              <w:left w:val="nil"/>
              <w:bottom w:val="nil"/>
              <w:right w:val="nil"/>
            </w:tcBorders>
            <w:tcMar>
              <w:left w:w="57" w:type="dxa"/>
              <w:right w:w="57" w:type="dxa"/>
            </w:tcMar>
            <w:vAlign w:val="center"/>
            <w:hideMark/>
          </w:tcPr>
          <w:p w14:paraId="07A91C33"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89" w:type="pct"/>
            <w:tcBorders>
              <w:top w:val="nil"/>
              <w:left w:val="nil"/>
              <w:bottom w:val="nil"/>
              <w:right w:val="nil"/>
            </w:tcBorders>
            <w:shd w:val="clear" w:color="auto" w:fill="auto"/>
            <w:noWrap/>
            <w:tcMar>
              <w:left w:w="57" w:type="dxa"/>
              <w:right w:w="57" w:type="dxa"/>
            </w:tcMar>
            <w:vAlign w:val="bottom"/>
            <w:hideMark/>
          </w:tcPr>
          <w:p w14:paraId="7DAB8F17"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1.0%</w:t>
            </w:r>
          </w:p>
        </w:tc>
        <w:tc>
          <w:tcPr>
            <w:tcW w:w="325" w:type="pct"/>
            <w:tcBorders>
              <w:top w:val="nil"/>
              <w:left w:val="nil"/>
              <w:bottom w:val="nil"/>
              <w:right w:val="nil"/>
            </w:tcBorders>
            <w:shd w:val="clear" w:color="000000" w:fill="FFC7CE"/>
            <w:noWrap/>
            <w:tcMar>
              <w:left w:w="57" w:type="dxa"/>
              <w:right w:w="57" w:type="dxa"/>
            </w:tcMar>
            <w:vAlign w:val="bottom"/>
            <w:hideMark/>
          </w:tcPr>
          <w:p w14:paraId="399D58E5"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50.0</w:t>
            </w:r>
          </w:p>
        </w:tc>
        <w:tc>
          <w:tcPr>
            <w:tcW w:w="325" w:type="pct"/>
            <w:tcBorders>
              <w:top w:val="nil"/>
              <w:left w:val="nil"/>
              <w:bottom w:val="nil"/>
              <w:right w:val="nil"/>
            </w:tcBorders>
            <w:shd w:val="clear" w:color="000000" w:fill="FFC7CE"/>
            <w:noWrap/>
            <w:tcMar>
              <w:left w:w="57" w:type="dxa"/>
              <w:right w:w="57" w:type="dxa"/>
            </w:tcMar>
            <w:vAlign w:val="bottom"/>
            <w:hideMark/>
          </w:tcPr>
          <w:p w14:paraId="646826A0"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44.7</w:t>
            </w:r>
          </w:p>
        </w:tc>
        <w:tc>
          <w:tcPr>
            <w:tcW w:w="325" w:type="pct"/>
            <w:tcBorders>
              <w:top w:val="nil"/>
              <w:left w:val="nil"/>
              <w:bottom w:val="nil"/>
              <w:right w:val="nil"/>
            </w:tcBorders>
            <w:shd w:val="clear" w:color="000000" w:fill="FFC7CE"/>
            <w:noWrap/>
            <w:tcMar>
              <w:left w:w="57" w:type="dxa"/>
              <w:right w:w="57" w:type="dxa"/>
            </w:tcMar>
            <w:vAlign w:val="bottom"/>
            <w:hideMark/>
          </w:tcPr>
          <w:p w14:paraId="0A9EB560"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40.2</w:t>
            </w:r>
          </w:p>
        </w:tc>
        <w:tc>
          <w:tcPr>
            <w:tcW w:w="325" w:type="pct"/>
            <w:tcBorders>
              <w:top w:val="nil"/>
              <w:left w:val="nil"/>
              <w:bottom w:val="nil"/>
              <w:right w:val="nil"/>
            </w:tcBorders>
            <w:shd w:val="clear" w:color="000000" w:fill="FFC7CE"/>
            <w:noWrap/>
            <w:tcMar>
              <w:left w:w="57" w:type="dxa"/>
              <w:right w:w="57" w:type="dxa"/>
            </w:tcMar>
            <w:vAlign w:val="bottom"/>
            <w:hideMark/>
          </w:tcPr>
          <w:p w14:paraId="05A0D0E9"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36.1</w:t>
            </w:r>
          </w:p>
        </w:tc>
        <w:tc>
          <w:tcPr>
            <w:tcW w:w="325" w:type="pct"/>
            <w:tcBorders>
              <w:top w:val="nil"/>
              <w:left w:val="nil"/>
              <w:bottom w:val="nil"/>
              <w:right w:val="nil"/>
            </w:tcBorders>
            <w:shd w:val="clear" w:color="000000" w:fill="FFC7CE"/>
            <w:noWrap/>
            <w:tcMar>
              <w:left w:w="57" w:type="dxa"/>
              <w:right w:w="57" w:type="dxa"/>
            </w:tcMar>
            <w:vAlign w:val="bottom"/>
            <w:hideMark/>
          </w:tcPr>
          <w:p w14:paraId="057B347E"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32.5</w:t>
            </w:r>
          </w:p>
        </w:tc>
        <w:tc>
          <w:tcPr>
            <w:tcW w:w="325" w:type="pct"/>
            <w:tcBorders>
              <w:top w:val="nil"/>
              <w:left w:val="nil"/>
              <w:bottom w:val="nil"/>
              <w:right w:val="nil"/>
            </w:tcBorders>
            <w:shd w:val="clear" w:color="000000" w:fill="FFC7CE"/>
            <w:noWrap/>
            <w:tcMar>
              <w:left w:w="57" w:type="dxa"/>
              <w:right w:w="57" w:type="dxa"/>
            </w:tcMar>
            <w:vAlign w:val="bottom"/>
            <w:hideMark/>
          </w:tcPr>
          <w:p w14:paraId="629981F0"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29.3</w:t>
            </w:r>
          </w:p>
        </w:tc>
        <w:tc>
          <w:tcPr>
            <w:tcW w:w="325" w:type="pct"/>
            <w:tcBorders>
              <w:top w:val="nil"/>
              <w:left w:val="nil"/>
              <w:bottom w:val="nil"/>
              <w:right w:val="nil"/>
            </w:tcBorders>
            <w:shd w:val="clear" w:color="000000" w:fill="FFC7CE"/>
            <w:noWrap/>
            <w:tcMar>
              <w:left w:w="57" w:type="dxa"/>
              <w:right w:w="57" w:type="dxa"/>
            </w:tcMar>
            <w:vAlign w:val="bottom"/>
            <w:hideMark/>
          </w:tcPr>
          <w:p w14:paraId="361ACEEC"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26.3</w:t>
            </w:r>
          </w:p>
        </w:tc>
        <w:tc>
          <w:tcPr>
            <w:tcW w:w="325" w:type="pct"/>
            <w:tcBorders>
              <w:top w:val="nil"/>
              <w:left w:val="nil"/>
              <w:bottom w:val="nil"/>
              <w:right w:val="nil"/>
            </w:tcBorders>
            <w:shd w:val="clear" w:color="000000" w:fill="FFC7CE"/>
            <w:noWrap/>
            <w:tcMar>
              <w:left w:w="57" w:type="dxa"/>
              <w:right w:w="57" w:type="dxa"/>
            </w:tcMar>
            <w:vAlign w:val="bottom"/>
            <w:hideMark/>
          </w:tcPr>
          <w:p w14:paraId="3D80FB71"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23.6</w:t>
            </w:r>
          </w:p>
        </w:tc>
        <w:tc>
          <w:tcPr>
            <w:tcW w:w="325" w:type="pct"/>
            <w:tcBorders>
              <w:top w:val="nil"/>
              <w:left w:val="nil"/>
              <w:bottom w:val="nil"/>
              <w:right w:val="nil"/>
            </w:tcBorders>
            <w:shd w:val="clear" w:color="000000" w:fill="FFC7CE"/>
            <w:noWrap/>
            <w:tcMar>
              <w:left w:w="57" w:type="dxa"/>
              <w:right w:w="57" w:type="dxa"/>
            </w:tcMar>
            <w:vAlign w:val="bottom"/>
            <w:hideMark/>
          </w:tcPr>
          <w:p w14:paraId="183AF160"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21.0</w:t>
            </w:r>
          </w:p>
        </w:tc>
        <w:tc>
          <w:tcPr>
            <w:tcW w:w="325" w:type="pct"/>
            <w:tcBorders>
              <w:top w:val="nil"/>
              <w:left w:val="nil"/>
              <w:bottom w:val="nil"/>
              <w:right w:val="nil"/>
            </w:tcBorders>
            <w:shd w:val="clear" w:color="000000" w:fill="C6EFCE"/>
            <w:noWrap/>
            <w:tcMar>
              <w:left w:w="57" w:type="dxa"/>
              <w:right w:w="57" w:type="dxa"/>
            </w:tcMar>
            <w:vAlign w:val="bottom"/>
            <w:hideMark/>
          </w:tcPr>
          <w:p w14:paraId="284AA2C1"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18.7</w:t>
            </w:r>
          </w:p>
        </w:tc>
        <w:tc>
          <w:tcPr>
            <w:tcW w:w="325" w:type="pct"/>
            <w:tcBorders>
              <w:top w:val="nil"/>
              <w:left w:val="nil"/>
              <w:bottom w:val="nil"/>
              <w:right w:val="nil"/>
            </w:tcBorders>
            <w:shd w:val="clear" w:color="000000" w:fill="C6EFCE"/>
            <w:noWrap/>
            <w:tcMar>
              <w:left w:w="57" w:type="dxa"/>
              <w:right w:w="57" w:type="dxa"/>
            </w:tcMar>
            <w:vAlign w:val="bottom"/>
            <w:hideMark/>
          </w:tcPr>
          <w:p w14:paraId="52528667"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16.5</w:t>
            </w:r>
          </w:p>
        </w:tc>
        <w:tc>
          <w:tcPr>
            <w:tcW w:w="325" w:type="pct"/>
            <w:tcBorders>
              <w:top w:val="nil"/>
              <w:left w:val="nil"/>
              <w:bottom w:val="nil"/>
              <w:right w:val="nil"/>
            </w:tcBorders>
            <w:shd w:val="clear" w:color="000000" w:fill="C6EFCE"/>
            <w:noWrap/>
            <w:tcMar>
              <w:left w:w="57" w:type="dxa"/>
              <w:right w:w="57" w:type="dxa"/>
            </w:tcMar>
            <w:vAlign w:val="bottom"/>
            <w:hideMark/>
          </w:tcPr>
          <w:p w14:paraId="42FAF16A"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14.4</w:t>
            </w:r>
          </w:p>
        </w:tc>
        <w:tc>
          <w:tcPr>
            <w:tcW w:w="327" w:type="pct"/>
            <w:tcBorders>
              <w:top w:val="nil"/>
              <w:left w:val="nil"/>
              <w:bottom w:val="nil"/>
              <w:right w:val="nil"/>
            </w:tcBorders>
            <w:shd w:val="clear" w:color="000000" w:fill="C6EFCE"/>
            <w:noWrap/>
            <w:tcMar>
              <w:left w:w="57" w:type="dxa"/>
              <w:right w:w="57" w:type="dxa"/>
            </w:tcMar>
            <w:vAlign w:val="bottom"/>
            <w:hideMark/>
          </w:tcPr>
          <w:p w14:paraId="300C3ABD"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12.5</w:t>
            </w:r>
          </w:p>
        </w:tc>
      </w:tr>
      <w:tr w:rsidR="00280058" w:rsidRPr="002C025E" w14:paraId="486DFF94" w14:textId="77777777" w:rsidTr="0005008F">
        <w:tc>
          <w:tcPr>
            <w:tcW w:w="184" w:type="pct"/>
            <w:vMerge/>
            <w:tcBorders>
              <w:top w:val="nil"/>
              <w:left w:val="nil"/>
              <w:bottom w:val="nil"/>
              <w:right w:val="nil"/>
            </w:tcBorders>
            <w:tcMar>
              <w:left w:w="57" w:type="dxa"/>
              <w:right w:w="57" w:type="dxa"/>
            </w:tcMar>
            <w:vAlign w:val="center"/>
            <w:hideMark/>
          </w:tcPr>
          <w:p w14:paraId="18653013"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89" w:type="pct"/>
            <w:tcBorders>
              <w:top w:val="nil"/>
              <w:left w:val="nil"/>
              <w:bottom w:val="nil"/>
              <w:right w:val="nil"/>
            </w:tcBorders>
            <w:shd w:val="clear" w:color="auto" w:fill="auto"/>
            <w:noWrap/>
            <w:tcMar>
              <w:left w:w="57" w:type="dxa"/>
              <w:right w:w="57" w:type="dxa"/>
            </w:tcMar>
            <w:vAlign w:val="bottom"/>
            <w:hideMark/>
          </w:tcPr>
          <w:p w14:paraId="7CF21ACC"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1.5%</w:t>
            </w:r>
          </w:p>
        </w:tc>
        <w:tc>
          <w:tcPr>
            <w:tcW w:w="325" w:type="pct"/>
            <w:tcBorders>
              <w:top w:val="nil"/>
              <w:left w:val="nil"/>
              <w:bottom w:val="nil"/>
              <w:right w:val="nil"/>
            </w:tcBorders>
            <w:shd w:val="clear" w:color="000000" w:fill="FFC7CE"/>
            <w:noWrap/>
            <w:tcMar>
              <w:left w:w="57" w:type="dxa"/>
              <w:right w:w="57" w:type="dxa"/>
            </w:tcMar>
            <w:vAlign w:val="bottom"/>
            <w:hideMark/>
          </w:tcPr>
          <w:p w14:paraId="6EFAF267"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44.9</w:t>
            </w:r>
          </w:p>
        </w:tc>
        <w:tc>
          <w:tcPr>
            <w:tcW w:w="325" w:type="pct"/>
            <w:tcBorders>
              <w:top w:val="nil"/>
              <w:left w:val="nil"/>
              <w:bottom w:val="nil"/>
              <w:right w:val="nil"/>
            </w:tcBorders>
            <w:shd w:val="clear" w:color="000000" w:fill="FFC7CE"/>
            <w:noWrap/>
            <w:tcMar>
              <w:left w:w="57" w:type="dxa"/>
              <w:right w:w="57" w:type="dxa"/>
            </w:tcMar>
            <w:vAlign w:val="bottom"/>
            <w:hideMark/>
          </w:tcPr>
          <w:p w14:paraId="2C3241A5"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40.5</w:t>
            </w:r>
          </w:p>
        </w:tc>
        <w:tc>
          <w:tcPr>
            <w:tcW w:w="325" w:type="pct"/>
            <w:tcBorders>
              <w:top w:val="nil"/>
              <w:left w:val="nil"/>
              <w:bottom w:val="nil"/>
              <w:right w:val="nil"/>
            </w:tcBorders>
            <w:shd w:val="clear" w:color="000000" w:fill="FFC7CE"/>
            <w:noWrap/>
            <w:tcMar>
              <w:left w:w="57" w:type="dxa"/>
              <w:right w:w="57" w:type="dxa"/>
            </w:tcMar>
            <w:vAlign w:val="bottom"/>
            <w:hideMark/>
          </w:tcPr>
          <w:p w14:paraId="1F0D23E5"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36.6</w:t>
            </w:r>
          </w:p>
        </w:tc>
        <w:tc>
          <w:tcPr>
            <w:tcW w:w="325" w:type="pct"/>
            <w:tcBorders>
              <w:top w:val="nil"/>
              <w:left w:val="nil"/>
              <w:bottom w:val="nil"/>
              <w:right w:val="nil"/>
            </w:tcBorders>
            <w:shd w:val="clear" w:color="000000" w:fill="FFC7CE"/>
            <w:noWrap/>
            <w:tcMar>
              <w:left w:w="57" w:type="dxa"/>
              <w:right w:w="57" w:type="dxa"/>
            </w:tcMar>
            <w:vAlign w:val="bottom"/>
            <w:hideMark/>
          </w:tcPr>
          <w:p w14:paraId="5626D092"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33.2</w:t>
            </w:r>
          </w:p>
        </w:tc>
        <w:tc>
          <w:tcPr>
            <w:tcW w:w="325" w:type="pct"/>
            <w:tcBorders>
              <w:top w:val="nil"/>
              <w:left w:val="nil"/>
              <w:bottom w:val="nil"/>
              <w:right w:val="nil"/>
            </w:tcBorders>
            <w:shd w:val="clear" w:color="000000" w:fill="FFC7CE"/>
            <w:noWrap/>
            <w:tcMar>
              <w:left w:w="57" w:type="dxa"/>
              <w:right w:w="57" w:type="dxa"/>
            </w:tcMar>
            <w:vAlign w:val="bottom"/>
            <w:hideMark/>
          </w:tcPr>
          <w:p w14:paraId="2A1C5CB6"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30.0</w:t>
            </w:r>
          </w:p>
        </w:tc>
        <w:tc>
          <w:tcPr>
            <w:tcW w:w="325" w:type="pct"/>
            <w:tcBorders>
              <w:top w:val="nil"/>
              <w:left w:val="nil"/>
              <w:bottom w:val="nil"/>
              <w:right w:val="nil"/>
            </w:tcBorders>
            <w:shd w:val="clear" w:color="000000" w:fill="FFC7CE"/>
            <w:noWrap/>
            <w:tcMar>
              <w:left w:w="57" w:type="dxa"/>
              <w:right w:w="57" w:type="dxa"/>
            </w:tcMar>
            <w:vAlign w:val="bottom"/>
            <w:hideMark/>
          </w:tcPr>
          <w:p w14:paraId="1D1D8CA2"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27.1</w:t>
            </w:r>
          </w:p>
        </w:tc>
        <w:tc>
          <w:tcPr>
            <w:tcW w:w="325" w:type="pct"/>
            <w:tcBorders>
              <w:top w:val="nil"/>
              <w:left w:val="nil"/>
              <w:bottom w:val="nil"/>
              <w:right w:val="nil"/>
            </w:tcBorders>
            <w:shd w:val="clear" w:color="000000" w:fill="FFC7CE"/>
            <w:noWrap/>
            <w:tcMar>
              <w:left w:w="57" w:type="dxa"/>
              <w:right w:w="57" w:type="dxa"/>
            </w:tcMar>
            <w:vAlign w:val="bottom"/>
            <w:hideMark/>
          </w:tcPr>
          <w:p w14:paraId="11A8E684"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24.4</w:t>
            </w:r>
          </w:p>
        </w:tc>
        <w:tc>
          <w:tcPr>
            <w:tcW w:w="325" w:type="pct"/>
            <w:tcBorders>
              <w:top w:val="nil"/>
              <w:left w:val="nil"/>
              <w:bottom w:val="nil"/>
              <w:right w:val="nil"/>
            </w:tcBorders>
            <w:shd w:val="clear" w:color="000000" w:fill="FFC7CE"/>
            <w:noWrap/>
            <w:tcMar>
              <w:left w:w="57" w:type="dxa"/>
              <w:right w:w="57" w:type="dxa"/>
            </w:tcMar>
            <w:vAlign w:val="bottom"/>
            <w:hideMark/>
          </w:tcPr>
          <w:p w14:paraId="17A00A42"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22.0</w:t>
            </w:r>
          </w:p>
        </w:tc>
        <w:tc>
          <w:tcPr>
            <w:tcW w:w="325" w:type="pct"/>
            <w:tcBorders>
              <w:top w:val="nil"/>
              <w:left w:val="nil"/>
              <w:bottom w:val="nil"/>
              <w:right w:val="nil"/>
            </w:tcBorders>
            <w:shd w:val="clear" w:color="000000" w:fill="C6EFCE"/>
            <w:noWrap/>
            <w:tcMar>
              <w:left w:w="57" w:type="dxa"/>
              <w:right w:w="57" w:type="dxa"/>
            </w:tcMar>
            <w:vAlign w:val="bottom"/>
            <w:hideMark/>
          </w:tcPr>
          <w:p w14:paraId="71B63135"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19.7</w:t>
            </w:r>
          </w:p>
        </w:tc>
        <w:tc>
          <w:tcPr>
            <w:tcW w:w="325" w:type="pct"/>
            <w:tcBorders>
              <w:top w:val="nil"/>
              <w:left w:val="nil"/>
              <w:bottom w:val="nil"/>
              <w:right w:val="nil"/>
            </w:tcBorders>
            <w:shd w:val="clear" w:color="000000" w:fill="C6EFCE"/>
            <w:noWrap/>
            <w:tcMar>
              <w:left w:w="57" w:type="dxa"/>
              <w:right w:w="57" w:type="dxa"/>
            </w:tcMar>
            <w:vAlign w:val="bottom"/>
            <w:hideMark/>
          </w:tcPr>
          <w:p w14:paraId="758AB709"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17.5</w:t>
            </w:r>
          </w:p>
        </w:tc>
        <w:tc>
          <w:tcPr>
            <w:tcW w:w="325" w:type="pct"/>
            <w:tcBorders>
              <w:top w:val="nil"/>
              <w:left w:val="nil"/>
              <w:bottom w:val="nil"/>
              <w:right w:val="nil"/>
            </w:tcBorders>
            <w:shd w:val="clear" w:color="000000" w:fill="C6EFCE"/>
            <w:noWrap/>
            <w:tcMar>
              <w:left w:w="57" w:type="dxa"/>
              <w:right w:w="57" w:type="dxa"/>
            </w:tcMar>
            <w:vAlign w:val="bottom"/>
            <w:hideMark/>
          </w:tcPr>
          <w:p w14:paraId="659CCCFA"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15.5</w:t>
            </w:r>
          </w:p>
        </w:tc>
        <w:tc>
          <w:tcPr>
            <w:tcW w:w="325" w:type="pct"/>
            <w:tcBorders>
              <w:top w:val="nil"/>
              <w:left w:val="nil"/>
              <w:bottom w:val="nil"/>
              <w:right w:val="nil"/>
            </w:tcBorders>
            <w:shd w:val="clear" w:color="000000" w:fill="C6EFCE"/>
            <w:noWrap/>
            <w:tcMar>
              <w:left w:w="57" w:type="dxa"/>
              <w:right w:w="57" w:type="dxa"/>
            </w:tcMar>
            <w:vAlign w:val="bottom"/>
            <w:hideMark/>
          </w:tcPr>
          <w:p w14:paraId="4B7084A3"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13.6</w:t>
            </w:r>
          </w:p>
        </w:tc>
        <w:tc>
          <w:tcPr>
            <w:tcW w:w="327" w:type="pct"/>
            <w:tcBorders>
              <w:top w:val="nil"/>
              <w:left w:val="nil"/>
              <w:bottom w:val="nil"/>
              <w:right w:val="nil"/>
            </w:tcBorders>
            <w:shd w:val="clear" w:color="000000" w:fill="C6EFCE"/>
            <w:noWrap/>
            <w:tcMar>
              <w:left w:w="57" w:type="dxa"/>
              <w:right w:w="57" w:type="dxa"/>
            </w:tcMar>
            <w:vAlign w:val="bottom"/>
            <w:hideMark/>
          </w:tcPr>
          <w:p w14:paraId="369D37AF"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11.8</w:t>
            </w:r>
          </w:p>
        </w:tc>
      </w:tr>
      <w:tr w:rsidR="00280058" w:rsidRPr="002C025E" w14:paraId="4415AD54" w14:textId="77777777" w:rsidTr="0005008F">
        <w:tc>
          <w:tcPr>
            <w:tcW w:w="184" w:type="pct"/>
            <w:vMerge/>
            <w:tcBorders>
              <w:top w:val="nil"/>
              <w:left w:val="nil"/>
              <w:bottom w:val="nil"/>
              <w:right w:val="nil"/>
            </w:tcBorders>
            <w:tcMar>
              <w:left w:w="57" w:type="dxa"/>
              <w:right w:w="57" w:type="dxa"/>
            </w:tcMar>
            <w:vAlign w:val="center"/>
            <w:hideMark/>
          </w:tcPr>
          <w:p w14:paraId="3EF2A3C9"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89" w:type="pct"/>
            <w:tcBorders>
              <w:top w:val="nil"/>
              <w:left w:val="nil"/>
              <w:right w:val="nil"/>
            </w:tcBorders>
            <w:shd w:val="clear" w:color="auto" w:fill="auto"/>
            <w:noWrap/>
            <w:tcMar>
              <w:left w:w="57" w:type="dxa"/>
              <w:right w:w="57" w:type="dxa"/>
            </w:tcMar>
            <w:vAlign w:val="bottom"/>
            <w:hideMark/>
          </w:tcPr>
          <w:p w14:paraId="7D8239BF"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2.0%</w:t>
            </w:r>
          </w:p>
        </w:tc>
        <w:tc>
          <w:tcPr>
            <w:tcW w:w="325" w:type="pct"/>
            <w:tcBorders>
              <w:top w:val="nil"/>
              <w:left w:val="nil"/>
              <w:bottom w:val="nil"/>
              <w:right w:val="nil"/>
            </w:tcBorders>
            <w:shd w:val="clear" w:color="000000" w:fill="FFC7CE"/>
            <w:noWrap/>
            <w:tcMar>
              <w:left w:w="57" w:type="dxa"/>
              <w:right w:w="57" w:type="dxa"/>
            </w:tcMar>
            <w:vAlign w:val="bottom"/>
            <w:hideMark/>
          </w:tcPr>
          <w:p w14:paraId="07EE4B87"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40.7</w:t>
            </w:r>
          </w:p>
        </w:tc>
        <w:tc>
          <w:tcPr>
            <w:tcW w:w="325" w:type="pct"/>
            <w:tcBorders>
              <w:top w:val="nil"/>
              <w:left w:val="nil"/>
              <w:bottom w:val="nil"/>
              <w:right w:val="nil"/>
            </w:tcBorders>
            <w:shd w:val="clear" w:color="000000" w:fill="FFC7CE"/>
            <w:noWrap/>
            <w:tcMar>
              <w:left w:w="57" w:type="dxa"/>
              <w:right w:w="57" w:type="dxa"/>
            </w:tcMar>
            <w:vAlign w:val="bottom"/>
            <w:hideMark/>
          </w:tcPr>
          <w:p w14:paraId="5BD42653"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36.9</w:t>
            </w:r>
          </w:p>
        </w:tc>
        <w:tc>
          <w:tcPr>
            <w:tcW w:w="325" w:type="pct"/>
            <w:tcBorders>
              <w:top w:val="nil"/>
              <w:left w:val="nil"/>
              <w:bottom w:val="nil"/>
              <w:right w:val="nil"/>
            </w:tcBorders>
            <w:shd w:val="clear" w:color="000000" w:fill="FFC7CE"/>
            <w:noWrap/>
            <w:tcMar>
              <w:left w:w="57" w:type="dxa"/>
              <w:right w:w="57" w:type="dxa"/>
            </w:tcMar>
            <w:vAlign w:val="bottom"/>
            <w:hideMark/>
          </w:tcPr>
          <w:p w14:paraId="74CF2567"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33.6</w:t>
            </w:r>
          </w:p>
        </w:tc>
        <w:tc>
          <w:tcPr>
            <w:tcW w:w="325" w:type="pct"/>
            <w:tcBorders>
              <w:top w:val="nil"/>
              <w:left w:val="nil"/>
              <w:bottom w:val="nil"/>
              <w:right w:val="nil"/>
            </w:tcBorders>
            <w:shd w:val="clear" w:color="000000" w:fill="FFC7CE"/>
            <w:noWrap/>
            <w:tcMar>
              <w:left w:w="57" w:type="dxa"/>
              <w:right w:w="57" w:type="dxa"/>
            </w:tcMar>
            <w:vAlign w:val="bottom"/>
            <w:hideMark/>
          </w:tcPr>
          <w:p w14:paraId="49DAC5CC"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30.5</w:t>
            </w:r>
          </w:p>
        </w:tc>
        <w:tc>
          <w:tcPr>
            <w:tcW w:w="325" w:type="pct"/>
            <w:tcBorders>
              <w:top w:val="nil"/>
              <w:left w:val="nil"/>
              <w:bottom w:val="nil"/>
              <w:right w:val="nil"/>
            </w:tcBorders>
            <w:shd w:val="clear" w:color="000000" w:fill="FFC7CE"/>
            <w:noWrap/>
            <w:tcMar>
              <w:left w:w="57" w:type="dxa"/>
              <w:right w:w="57" w:type="dxa"/>
            </w:tcMar>
            <w:vAlign w:val="bottom"/>
            <w:hideMark/>
          </w:tcPr>
          <w:p w14:paraId="68E2F3CE"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27.7</w:t>
            </w:r>
          </w:p>
        </w:tc>
        <w:tc>
          <w:tcPr>
            <w:tcW w:w="325" w:type="pct"/>
            <w:tcBorders>
              <w:top w:val="nil"/>
              <w:left w:val="nil"/>
              <w:bottom w:val="nil"/>
              <w:right w:val="nil"/>
            </w:tcBorders>
            <w:shd w:val="clear" w:color="000000" w:fill="FFC7CE"/>
            <w:noWrap/>
            <w:tcMar>
              <w:left w:w="57" w:type="dxa"/>
              <w:right w:w="57" w:type="dxa"/>
            </w:tcMar>
            <w:vAlign w:val="bottom"/>
            <w:hideMark/>
          </w:tcPr>
          <w:p w14:paraId="65B017BA"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25.2</w:t>
            </w:r>
          </w:p>
        </w:tc>
        <w:tc>
          <w:tcPr>
            <w:tcW w:w="325" w:type="pct"/>
            <w:tcBorders>
              <w:top w:val="nil"/>
              <w:left w:val="nil"/>
              <w:bottom w:val="nil"/>
              <w:right w:val="nil"/>
            </w:tcBorders>
            <w:shd w:val="clear" w:color="000000" w:fill="FFC7CE"/>
            <w:noWrap/>
            <w:tcMar>
              <w:left w:w="57" w:type="dxa"/>
              <w:right w:w="57" w:type="dxa"/>
            </w:tcMar>
            <w:vAlign w:val="bottom"/>
            <w:hideMark/>
          </w:tcPr>
          <w:p w14:paraId="2F8B1802"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22.8</w:t>
            </w:r>
          </w:p>
        </w:tc>
        <w:tc>
          <w:tcPr>
            <w:tcW w:w="325" w:type="pct"/>
            <w:tcBorders>
              <w:top w:val="nil"/>
              <w:left w:val="nil"/>
              <w:bottom w:val="nil"/>
              <w:right w:val="nil"/>
            </w:tcBorders>
            <w:shd w:val="clear" w:color="000000" w:fill="FFC7CE"/>
            <w:noWrap/>
            <w:tcMar>
              <w:left w:w="57" w:type="dxa"/>
              <w:right w:w="57" w:type="dxa"/>
            </w:tcMar>
            <w:vAlign w:val="bottom"/>
            <w:hideMark/>
          </w:tcPr>
          <w:p w14:paraId="0624CB9D"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20.5</w:t>
            </w:r>
          </w:p>
        </w:tc>
        <w:tc>
          <w:tcPr>
            <w:tcW w:w="325" w:type="pct"/>
            <w:tcBorders>
              <w:top w:val="nil"/>
              <w:left w:val="nil"/>
              <w:bottom w:val="nil"/>
              <w:right w:val="nil"/>
            </w:tcBorders>
            <w:shd w:val="clear" w:color="000000" w:fill="C6EFCE"/>
            <w:noWrap/>
            <w:tcMar>
              <w:left w:w="57" w:type="dxa"/>
              <w:right w:w="57" w:type="dxa"/>
            </w:tcMar>
            <w:vAlign w:val="bottom"/>
            <w:hideMark/>
          </w:tcPr>
          <w:p w14:paraId="4CA3F311"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18.4</w:t>
            </w:r>
          </w:p>
        </w:tc>
        <w:tc>
          <w:tcPr>
            <w:tcW w:w="325" w:type="pct"/>
            <w:tcBorders>
              <w:top w:val="nil"/>
              <w:left w:val="nil"/>
              <w:bottom w:val="nil"/>
              <w:right w:val="nil"/>
            </w:tcBorders>
            <w:shd w:val="clear" w:color="000000" w:fill="C6EFCE"/>
            <w:noWrap/>
            <w:tcMar>
              <w:left w:w="57" w:type="dxa"/>
              <w:right w:w="57" w:type="dxa"/>
            </w:tcMar>
            <w:vAlign w:val="bottom"/>
            <w:hideMark/>
          </w:tcPr>
          <w:p w14:paraId="48B0B362"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16.4</w:t>
            </w:r>
          </w:p>
        </w:tc>
        <w:tc>
          <w:tcPr>
            <w:tcW w:w="325" w:type="pct"/>
            <w:tcBorders>
              <w:top w:val="nil"/>
              <w:left w:val="nil"/>
              <w:bottom w:val="nil"/>
              <w:right w:val="nil"/>
            </w:tcBorders>
            <w:shd w:val="clear" w:color="000000" w:fill="C6EFCE"/>
            <w:noWrap/>
            <w:tcMar>
              <w:left w:w="57" w:type="dxa"/>
              <w:right w:w="57" w:type="dxa"/>
            </w:tcMar>
            <w:vAlign w:val="bottom"/>
            <w:hideMark/>
          </w:tcPr>
          <w:p w14:paraId="3DDE9922"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14.6</w:t>
            </w:r>
          </w:p>
        </w:tc>
        <w:tc>
          <w:tcPr>
            <w:tcW w:w="325" w:type="pct"/>
            <w:tcBorders>
              <w:top w:val="nil"/>
              <w:left w:val="nil"/>
              <w:bottom w:val="nil"/>
              <w:right w:val="nil"/>
            </w:tcBorders>
            <w:shd w:val="clear" w:color="000000" w:fill="C6EFCE"/>
            <w:noWrap/>
            <w:tcMar>
              <w:left w:w="57" w:type="dxa"/>
              <w:right w:w="57" w:type="dxa"/>
            </w:tcMar>
            <w:vAlign w:val="bottom"/>
            <w:hideMark/>
          </w:tcPr>
          <w:p w14:paraId="1FA581B9"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12.8</w:t>
            </w:r>
          </w:p>
        </w:tc>
        <w:tc>
          <w:tcPr>
            <w:tcW w:w="327" w:type="pct"/>
            <w:tcBorders>
              <w:top w:val="nil"/>
              <w:left w:val="nil"/>
              <w:bottom w:val="nil"/>
              <w:right w:val="nil"/>
            </w:tcBorders>
            <w:shd w:val="clear" w:color="000000" w:fill="C6EFCE"/>
            <w:noWrap/>
            <w:tcMar>
              <w:left w:w="57" w:type="dxa"/>
              <w:right w:w="57" w:type="dxa"/>
            </w:tcMar>
            <w:vAlign w:val="bottom"/>
            <w:hideMark/>
          </w:tcPr>
          <w:p w14:paraId="2B6E5DEA"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11.1</w:t>
            </w:r>
          </w:p>
        </w:tc>
      </w:tr>
      <w:tr w:rsidR="00280058" w:rsidRPr="002C025E" w14:paraId="0D3A3BCD" w14:textId="77777777" w:rsidTr="0005008F">
        <w:tc>
          <w:tcPr>
            <w:tcW w:w="184" w:type="pct"/>
            <w:vMerge/>
            <w:tcBorders>
              <w:top w:val="nil"/>
              <w:left w:val="nil"/>
              <w:bottom w:val="nil"/>
              <w:right w:val="nil"/>
            </w:tcBorders>
            <w:tcMar>
              <w:left w:w="57" w:type="dxa"/>
              <w:right w:w="57" w:type="dxa"/>
            </w:tcMar>
            <w:vAlign w:val="center"/>
            <w:hideMark/>
          </w:tcPr>
          <w:p w14:paraId="0EA748C2"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89" w:type="pct"/>
            <w:tcBorders>
              <w:top w:val="nil"/>
              <w:left w:val="nil"/>
              <w:bottom w:val="nil"/>
              <w:right w:val="nil"/>
            </w:tcBorders>
            <w:shd w:val="clear" w:color="auto" w:fill="auto"/>
            <w:noWrap/>
            <w:tcMar>
              <w:left w:w="57" w:type="dxa"/>
              <w:right w:w="57" w:type="dxa"/>
            </w:tcMar>
            <w:vAlign w:val="bottom"/>
            <w:hideMark/>
          </w:tcPr>
          <w:p w14:paraId="429EFAC4"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2.5%</w:t>
            </w:r>
          </w:p>
        </w:tc>
        <w:tc>
          <w:tcPr>
            <w:tcW w:w="325" w:type="pct"/>
            <w:tcBorders>
              <w:top w:val="nil"/>
              <w:left w:val="nil"/>
              <w:bottom w:val="nil"/>
              <w:right w:val="nil"/>
            </w:tcBorders>
            <w:shd w:val="clear" w:color="000000" w:fill="FFC7CE"/>
            <w:noWrap/>
            <w:tcMar>
              <w:left w:w="57" w:type="dxa"/>
              <w:right w:w="57" w:type="dxa"/>
            </w:tcMar>
            <w:vAlign w:val="bottom"/>
            <w:hideMark/>
          </w:tcPr>
          <w:p w14:paraId="68070532"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37.0</w:t>
            </w:r>
          </w:p>
        </w:tc>
        <w:tc>
          <w:tcPr>
            <w:tcW w:w="325" w:type="pct"/>
            <w:tcBorders>
              <w:top w:val="nil"/>
              <w:left w:val="nil"/>
              <w:bottom w:val="nil"/>
              <w:right w:val="nil"/>
            </w:tcBorders>
            <w:shd w:val="clear" w:color="000000" w:fill="FFC7CE"/>
            <w:noWrap/>
            <w:tcMar>
              <w:left w:w="57" w:type="dxa"/>
              <w:right w:w="57" w:type="dxa"/>
            </w:tcMar>
            <w:vAlign w:val="bottom"/>
            <w:hideMark/>
          </w:tcPr>
          <w:p w14:paraId="705F40C1"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33.8</w:t>
            </w:r>
          </w:p>
        </w:tc>
        <w:tc>
          <w:tcPr>
            <w:tcW w:w="325" w:type="pct"/>
            <w:tcBorders>
              <w:top w:val="nil"/>
              <w:left w:val="nil"/>
              <w:bottom w:val="nil"/>
              <w:right w:val="nil"/>
            </w:tcBorders>
            <w:shd w:val="clear" w:color="000000" w:fill="FFC7CE"/>
            <w:noWrap/>
            <w:tcMar>
              <w:left w:w="57" w:type="dxa"/>
              <w:right w:w="57" w:type="dxa"/>
            </w:tcMar>
            <w:vAlign w:val="bottom"/>
            <w:hideMark/>
          </w:tcPr>
          <w:p w14:paraId="1144140B"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30.9</w:t>
            </w:r>
          </w:p>
        </w:tc>
        <w:tc>
          <w:tcPr>
            <w:tcW w:w="325" w:type="pct"/>
            <w:tcBorders>
              <w:top w:val="nil"/>
              <w:left w:val="nil"/>
              <w:bottom w:val="nil"/>
              <w:right w:val="nil"/>
            </w:tcBorders>
            <w:shd w:val="clear" w:color="000000" w:fill="FFC7CE"/>
            <w:noWrap/>
            <w:tcMar>
              <w:left w:w="57" w:type="dxa"/>
              <w:right w:w="57" w:type="dxa"/>
            </w:tcMar>
            <w:vAlign w:val="bottom"/>
            <w:hideMark/>
          </w:tcPr>
          <w:p w14:paraId="7BC19B12"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28.2</w:t>
            </w:r>
          </w:p>
        </w:tc>
        <w:tc>
          <w:tcPr>
            <w:tcW w:w="325" w:type="pct"/>
            <w:tcBorders>
              <w:top w:val="nil"/>
              <w:left w:val="nil"/>
              <w:bottom w:val="nil"/>
              <w:right w:val="nil"/>
            </w:tcBorders>
            <w:shd w:val="clear" w:color="000000" w:fill="FFC7CE"/>
            <w:noWrap/>
            <w:tcMar>
              <w:left w:w="57" w:type="dxa"/>
              <w:right w:w="57" w:type="dxa"/>
            </w:tcMar>
            <w:vAlign w:val="bottom"/>
            <w:hideMark/>
          </w:tcPr>
          <w:p w14:paraId="4D6700C4"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25.7</w:t>
            </w:r>
          </w:p>
        </w:tc>
        <w:tc>
          <w:tcPr>
            <w:tcW w:w="325" w:type="pct"/>
            <w:tcBorders>
              <w:top w:val="nil"/>
              <w:left w:val="nil"/>
              <w:bottom w:val="nil"/>
              <w:right w:val="nil"/>
            </w:tcBorders>
            <w:shd w:val="clear" w:color="000000" w:fill="FFC7CE"/>
            <w:noWrap/>
            <w:tcMar>
              <w:left w:w="57" w:type="dxa"/>
              <w:right w:w="57" w:type="dxa"/>
            </w:tcMar>
            <w:vAlign w:val="bottom"/>
            <w:hideMark/>
          </w:tcPr>
          <w:p w14:paraId="03954988"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23.4</w:t>
            </w:r>
          </w:p>
        </w:tc>
        <w:tc>
          <w:tcPr>
            <w:tcW w:w="325" w:type="pct"/>
            <w:tcBorders>
              <w:top w:val="nil"/>
              <w:left w:val="nil"/>
              <w:bottom w:val="nil"/>
              <w:right w:val="nil"/>
            </w:tcBorders>
            <w:shd w:val="clear" w:color="000000" w:fill="FFC7CE"/>
            <w:noWrap/>
            <w:tcMar>
              <w:left w:w="57" w:type="dxa"/>
              <w:right w:w="57" w:type="dxa"/>
            </w:tcMar>
            <w:vAlign w:val="bottom"/>
            <w:hideMark/>
          </w:tcPr>
          <w:p w14:paraId="11329038"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21.2</w:t>
            </w:r>
          </w:p>
        </w:tc>
        <w:tc>
          <w:tcPr>
            <w:tcW w:w="325" w:type="pct"/>
            <w:tcBorders>
              <w:top w:val="nil"/>
              <w:left w:val="nil"/>
              <w:bottom w:val="nil"/>
              <w:right w:val="nil"/>
            </w:tcBorders>
            <w:shd w:val="clear" w:color="000000" w:fill="C6EFCE"/>
            <w:noWrap/>
            <w:tcMar>
              <w:left w:w="57" w:type="dxa"/>
              <w:right w:w="57" w:type="dxa"/>
            </w:tcMar>
            <w:vAlign w:val="bottom"/>
            <w:hideMark/>
          </w:tcPr>
          <w:p w14:paraId="5BD37574"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19.2</w:t>
            </w:r>
          </w:p>
        </w:tc>
        <w:tc>
          <w:tcPr>
            <w:tcW w:w="325" w:type="pct"/>
            <w:tcBorders>
              <w:top w:val="nil"/>
              <w:left w:val="nil"/>
              <w:bottom w:val="nil"/>
              <w:right w:val="nil"/>
            </w:tcBorders>
            <w:shd w:val="clear" w:color="000000" w:fill="C6EFCE"/>
            <w:noWrap/>
            <w:tcMar>
              <w:left w:w="57" w:type="dxa"/>
              <w:right w:w="57" w:type="dxa"/>
            </w:tcMar>
            <w:vAlign w:val="bottom"/>
            <w:hideMark/>
          </w:tcPr>
          <w:p w14:paraId="5A4DDD6C"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17.2</w:t>
            </w:r>
          </w:p>
        </w:tc>
        <w:tc>
          <w:tcPr>
            <w:tcW w:w="325" w:type="pct"/>
            <w:tcBorders>
              <w:top w:val="nil"/>
              <w:left w:val="nil"/>
              <w:bottom w:val="nil"/>
              <w:right w:val="nil"/>
            </w:tcBorders>
            <w:shd w:val="clear" w:color="000000" w:fill="C6EFCE"/>
            <w:noWrap/>
            <w:tcMar>
              <w:left w:w="57" w:type="dxa"/>
              <w:right w:w="57" w:type="dxa"/>
            </w:tcMar>
            <w:vAlign w:val="bottom"/>
            <w:hideMark/>
          </w:tcPr>
          <w:p w14:paraId="783462DB"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15.4</w:t>
            </w:r>
          </w:p>
        </w:tc>
        <w:tc>
          <w:tcPr>
            <w:tcW w:w="325" w:type="pct"/>
            <w:tcBorders>
              <w:top w:val="nil"/>
              <w:left w:val="nil"/>
              <w:bottom w:val="nil"/>
              <w:right w:val="nil"/>
            </w:tcBorders>
            <w:shd w:val="clear" w:color="000000" w:fill="C6EFCE"/>
            <w:noWrap/>
            <w:tcMar>
              <w:left w:w="57" w:type="dxa"/>
              <w:right w:w="57" w:type="dxa"/>
            </w:tcMar>
            <w:vAlign w:val="bottom"/>
            <w:hideMark/>
          </w:tcPr>
          <w:p w14:paraId="0CC1579C"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13.7</w:t>
            </w:r>
          </w:p>
        </w:tc>
        <w:tc>
          <w:tcPr>
            <w:tcW w:w="325" w:type="pct"/>
            <w:tcBorders>
              <w:top w:val="nil"/>
              <w:left w:val="nil"/>
              <w:bottom w:val="nil"/>
              <w:right w:val="nil"/>
            </w:tcBorders>
            <w:shd w:val="clear" w:color="000000" w:fill="C6EFCE"/>
            <w:noWrap/>
            <w:tcMar>
              <w:left w:w="57" w:type="dxa"/>
              <w:right w:w="57" w:type="dxa"/>
            </w:tcMar>
            <w:vAlign w:val="bottom"/>
            <w:hideMark/>
          </w:tcPr>
          <w:p w14:paraId="704AAC73"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12.0</w:t>
            </w:r>
          </w:p>
        </w:tc>
        <w:tc>
          <w:tcPr>
            <w:tcW w:w="327" w:type="pct"/>
            <w:tcBorders>
              <w:top w:val="nil"/>
              <w:left w:val="nil"/>
              <w:bottom w:val="nil"/>
              <w:right w:val="nil"/>
            </w:tcBorders>
            <w:shd w:val="clear" w:color="000000" w:fill="C6EFCE"/>
            <w:noWrap/>
            <w:tcMar>
              <w:left w:w="57" w:type="dxa"/>
              <w:right w:w="57" w:type="dxa"/>
            </w:tcMar>
            <w:vAlign w:val="bottom"/>
            <w:hideMark/>
          </w:tcPr>
          <w:p w14:paraId="7BC69B21"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10.5</w:t>
            </w:r>
          </w:p>
        </w:tc>
      </w:tr>
      <w:tr w:rsidR="00280058" w:rsidRPr="002C025E" w14:paraId="2FFAF504" w14:textId="77777777" w:rsidTr="0005008F">
        <w:tc>
          <w:tcPr>
            <w:tcW w:w="184" w:type="pct"/>
            <w:vMerge/>
            <w:tcBorders>
              <w:top w:val="nil"/>
              <w:left w:val="nil"/>
              <w:bottom w:val="nil"/>
              <w:right w:val="nil"/>
            </w:tcBorders>
            <w:tcMar>
              <w:left w:w="57" w:type="dxa"/>
              <w:right w:w="57" w:type="dxa"/>
            </w:tcMar>
            <w:vAlign w:val="center"/>
            <w:hideMark/>
          </w:tcPr>
          <w:p w14:paraId="0E14CFDD"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89" w:type="pct"/>
            <w:tcBorders>
              <w:top w:val="nil"/>
              <w:left w:val="nil"/>
              <w:bottom w:val="nil"/>
              <w:right w:val="nil"/>
            </w:tcBorders>
            <w:shd w:val="clear" w:color="auto" w:fill="auto"/>
            <w:noWrap/>
            <w:tcMar>
              <w:left w:w="57" w:type="dxa"/>
              <w:right w:w="57" w:type="dxa"/>
            </w:tcMar>
            <w:vAlign w:val="bottom"/>
            <w:hideMark/>
          </w:tcPr>
          <w:p w14:paraId="4F770117" w14:textId="77777777" w:rsidR="00280058" w:rsidRPr="00F527BB" w:rsidRDefault="00280058" w:rsidP="00BB18F6">
            <w:pPr>
              <w:spacing w:after="0" w:line="240" w:lineRule="auto"/>
              <w:jc w:val="right"/>
              <w:rPr>
                <w:rFonts w:ascii="Arial" w:eastAsia="Times New Roman" w:hAnsi="Arial" w:cs="Arial"/>
                <w:b/>
                <w:bCs/>
                <w:sz w:val="18"/>
                <w:szCs w:val="18"/>
                <w:lang w:val="lt-LT" w:eastAsia="lt-LT"/>
              </w:rPr>
            </w:pPr>
            <w:r w:rsidRPr="00F527BB">
              <w:rPr>
                <w:rFonts w:ascii="Arial" w:eastAsia="Times New Roman" w:hAnsi="Arial" w:cs="Arial"/>
                <w:b/>
                <w:bCs/>
                <w:sz w:val="18"/>
                <w:szCs w:val="18"/>
                <w:lang w:val="lt-LT" w:eastAsia="lt-LT"/>
              </w:rPr>
              <w:t>3.0%</w:t>
            </w:r>
          </w:p>
        </w:tc>
        <w:tc>
          <w:tcPr>
            <w:tcW w:w="325" w:type="pct"/>
            <w:tcBorders>
              <w:top w:val="nil"/>
              <w:left w:val="nil"/>
              <w:bottom w:val="nil"/>
              <w:right w:val="nil"/>
            </w:tcBorders>
            <w:shd w:val="clear" w:color="000000" w:fill="FFC7CE"/>
            <w:noWrap/>
            <w:tcMar>
              <w:left w:w="57" w:type="dxa"/>
              <w:right w:w="57" w:type="dxa"/>
            </w:tcMar>
            <w:vAlign w:val="bottom"/>
            <w:hideMark/>
          </w:tcPr>
          <w:p w14:paraId="2371A4DA"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33.8</w:t>
            </w:r>
          </w:p>
        </w:tc>
        <w:tc>
          <w:tcPr>
            <w:tcW w:w="325" w:type="pct"/>
            <w:tcBorders>
              <w:top w:val="nil"/>
              <w:left w:val="nil"/>
              <w:bottom w:val="nil"/>
              <w:right w:val="nil"/>
            </w:tcBorders>
            <w:shd w:val="clear" w:color="000000" w:fill="FFC7CE"/>
            <w:noWrap/>
            <w:tcMar>
              <w:left w:w="57" w:type="dxa"/>
              <w:right w:w="57" w:type="dxa"/>
            </w:tcMar>
            <w:vAlign w:val="bottom"/>
            <w:hideMark/>
          </w:tcPr>
          <w:p w14:paraId="59CDFC56"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31.1</w:t>
            </w:r>
          </w:p>
        </w:tc>
        <w:tc>
          <w:tcPr>
            <w:tcW w:w="325" w:type="pct"/>
            <w:tcBorders>
              <w:top w:val="nil"/>
              <w:left w:val="nil"/>
              <w:bottom w:val="nil"/>
              <w:right w:val="nil"/>
            </w:tcBorders>
            <w:shd w:val="clear" w:color="000000" w:fill="FFC7CE"/>
            <w:noWrap/>
            <w:tcMar>
              <w:left w:w="57" w:type="dxa"/>
              <w:right w:w="57" w:type="dxa"/>
            </w:tcMar>
            <w:vAlign w:val="bottom"/>
            <w:hideMark/>
          </w:tcPr>
          <w:p w14:paraId="4E565179"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28.5</w:t>
            </w:r>
          </w:p>
        </w:tc>
        <w:tc>
          <w:tcPr>
            <w:tcW w:w="325" w:type="pct"/>
            <w:tcBorders>
              <w:top w:val="nil"/>
              <w:left w:val="nil"/>
              <w:bottom w:val="nil"/>
              <w:right w:val="nil"/>
            </w:tcBorders>
            <w:shd w:val="clear" w:color="000000" w:fill="FFC7CE"/>
            <w:noWrap/>
            <w:tcMar>
              <w:left w:w="57" w:type="dxa"/>
              <w:right w:w="57" w:type="dxa"/>
            </w:tcMar>
            <w:vAlign w:val="bottom"/>
            <w:hideMark/>
          </w:tcPr>
          <w:p w14:paraId="60806DD1"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26.1</w:t>
            </w:r>
          </w:p>
        </w:tc>
        <w:tc>
          <w:tcPr>
            <w:tcW w:w="325" w:type="pct"/>
            <w:tcBorders>
              <w:top w:val="nil"/>
              <w:left w:val="nil"/>
              <w:bottom w:val="nil"/>
              <w:right w:val="nil"/>
            </w:tcBorders>
            <w:shd w:val="clear" w:color="000000" w:fill="FFC7CE"/>
            <w:noWrap/>
            <w:tcMar>
              <w:left w:w="57" w:type="dxa"/>
              <w:right w:w="57" w:type="dxa"/>
            </w:tcMar>
            <w:vAlign w:val="bottom"/>
            <w:hideMark/>
          </w:tcPr>
          <w:p w14:paraId="3A01C31E"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23.8</w:t>
            </w:r>
          </w:p>
        </w:tc>
        <w:tc>
          <w:tcPr>
            <w:tcW w:w="325" w:type="pct"/>
            <w:tcBorders>
              <w:top w:val="nil"/>
              <w:left w:val="nil"/>
              <w:bottom w:val="nil"/>
              <w:right w:val="nil"/>
            </w:tcBorders>
            <w:shd w:val="clear" w:color="000000" w:fill="FFC7CE"/>
            <w:noWrap/>
            <w:tcMar>
              <w:left w:w="57" w:type="dxa"/>
              <w:right w:w="57" w:type="dxa"/>
            </w:tcMar>
            <w:vAlign w:val="bottom"/>
            <w:hideMark/>
          </w:tcPr>
          <w:p w14:paraId="70A727B8"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21.7</w:t>
            </w:r>
          </w:p>
        </w:tc>
        <w:tc>
          <w:tcPr>
            <w:tcW w:w="325" w:type="pct"/>
            <w:tcBorders>
              <w:top w:val="nil"/>
              <w:left w:val="nil"/>
              <w:bottom w:val="nil"/>
              <w:right w:val="nil"/>
            </w:tcBorders>
            <w:shd w:val="clear" w:color="000000" w:fill="C6EFCE"/>
            <w:noWrap/>
            <w:tcMar>
              <w:left w:w="57" w:type="dxa"/>
              <w:right w:w="57" w:type="dxa"/>
            </w:tcMar>
            <w:vAlign w:val="bottom"/>
            <w:hideMark/>
          </w:tcPr>
          <w:p w14:paraId="57ABA52B"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19.8</w:t>
            </w:r>
          </w:p>
        </w:tc>
        <w:tc>
          <w:tcPr>
            <w:tcW w:w="325" w:type="pct"/>
            <w:tcBorders>
              <w:top w:val="nil"/>
              <w:left w:val="nil"/>
              <w:bottom w:val="nil"/>
              <w:right w:val="nil"/>
            </w:tcBorders>
            <w:shd w:val="clear" w:color="000000" w:fill="C6EFCE"/>
            <w:noWrap/>
            <w:tcMar>
              <w:left w:w="57" w:type="dxa"/>
              <w:right w:w="57" w:type="dxa"/>
            </w:tcMar>
            <w:vAlign w:val="bottom"/>
            <w:hideMark/>
          </w:tcPr>
          <w:p w14:paraId="6EEC4F0A"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17.9</w:t>
            </w:r>
          </w:p>
        </w:tc>
        <w:tc>
          <w:tcPr>
            <w:tcW w:w="325" w:type="pct"/>
            <w:tcBorders>
              <w:top w:val="nil"/>
              <w:left w:val="nil"/>
              <w:bottom w:val="nil"/>
              <w:right w:val="nil"/>
            </w:tcBorders>
            <w:shd w:val="clear" w:color="000000" w:fill="C6EFCE"/>
            <w:noWrap/>
            <w:tcMar>
              <w:left w:w="57" w:type="dxa"/>
              <w:right w:w="57" w:type="dxa"/>
            </w:tcMar>
            <w:vAlign w:val="bottom"/>
            <w:hideMark/>
          </w:tcPr>
          <w:p w14:paraId="7AA12C77"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16.1</w:t>
            </w:r>
          </w:p>
        </w:tc>
        <w:tc>
          <w:tcPr>
            <w:tcW w:w="325" w:type="pct"/>
            <w:tcBorders>
              <w:top w:val="nil"/>
              <w:left w:val="nil"/>
              <w:bottom w:val="nil"/>
              <w:right w:val="nil"/>
            </w:tcBorders>
            <w:shd w:val="clear" w:color="000000" w:fill="C6EFCE"/>
            <w:noWrap/>
            <w:tcMar>
              <w:left w:w="57" w:type="dxa"/>
              <w:right w:w="57" w:type="dxa"/>
            </w:tcMar>
            <w:vAlign w:val="bottom"/>
            <w:hideMark/>
          </w:tcPr>
          <w:p w14:paraId="1433B88F"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14.5</w:t>
            </w:r>
          </w:p>
        </w:tc>
        <w:tc>
          <w:tcPr>
            <w:tcW w:w="325" w:type="pct"/>
            <w:tcBorders>
              <w:top w:val="nil"/>
              <w:left w:val="nil"/>
              <w:bottom w:val="nil"/>
              <w:right w:val="nil"/>
            </w:tcBorders>
            <w:shd w:val="clear" w:color="000000" w:fill="C6EFCE"/>
            <w:noWrap/>
            <w:tcMar>
              <w:left w:w="57" w:type="dxa"/>
              <w:right w:w="57" w:type="dxa"/>
            </w:tcMar>
            <w:vAlign w:val="bottom"/>
            <w:hideMark/>
          </w:tcPr>
          <w:p w14:paraId="1F3C0C02"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12.9</w:t>
            </w:r>
          </w:p>
        </w:tc>
        <w:tc>
          <w:tcPr>
            <w:tcW w:w="325" w:type="pct"/>
            <w:tcBorders>
              <w:top w:val="nil"/>
              <w:left w:val="nil"/>
              <w:bottom w:val="nil"/>
              <w:right w:val="nil"/>
            </w:tcBorders>
            <w:shd w:val="clear" w:color="000000" w:fill="C6EFCE"/>
            <w:noWrap/>
            <w:tcMar>
              <w:left w:w="57" w:type="dxa"/>
              <w:right w:w="57" w:type="dxa"/>
            </w:tcMar>
            <w:vAlign w:val="bottom"/>
            <w:hideMark/>
          </w:tcPr>
          <w:p w14:paraId="5DA57C32"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11.3</w:t>
            </w:r>
          </w:p>
        </w:tc>
        <w:tc>
          <w:tcPr>
            <w:tcW w:w="327" w:type="pct"/>
            <w:tcBorders>
              <w:top w:val="nil"/>
              <w:left w:val="nil"/>
              <w:bottom w:val="nil"/>
              <w:right w:val="nil"/>
            </w:tcBorders>
            <w:shd w:val="clear" w:color="000000" w:fill="C6EFCE"/>
            <w:noWrap/>
            <w:tcMar>
              <w:left w:w="57" w:type="dxa"/>
              <w:right w:w="57" w:type="dxa"/>
            </w:tcMar>
            <w:vAlign w:val="bottom"/>
            <w:hideMark/>
          </w:tcPr>
          <w:p w14:paraId="309A7157"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9.9</w:t>
            </w:r>
          </w:p>
        </w:tc>
      </w:tr>
      <w:tr w:rsidR="00280058" w:rsidRPr="002C025E" w14:paraId="52819280" w14:textId="77777777" w:rsidTr="0005008F">
        <w:tc>
          <w:tcPr>
            <w:tcW w:w="184" w:type="pct"/>
            <w:vMerge/>
            <w:tcBorders>
              <w:top w:val="nil"/>
              <w:left w:val="nil"/>
              <w:bottom w:val="nil"/>
              <w:right w:val="nil"/>
            </w:tcBorders>
            <w:tcMar>
              <w:left w:w="57" w:type="dxa"/>
              <w:right w:w="57" w:type="dxa"/>
            </w:tcMar>
            <w:vAlign w:val="center"/>
            <w:hideMark/>
          </w:tcPr>
          <w:p w14:paraId="49966F32"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89" w:type="pct"/>
            <w:tcBorders>
              <w:top w:val="nil"/>
              <w:left w:val="nil"/>
              <w:bottom w:val="nil"/>
              <w:right w:val="nil"/>
            </w:tcBorders>
            <w:shd w:val="clear" w:color="auto" w:fill="auto"/>
            <w:noWrap/>
            <w:tcMar>
              <w:left w:w="57" w:type="dxa"/>
              <w:right w:w="57" w:type="dxa"/>
            </w:tcMar>
            <w:vAlign w:val="bottom"/>
            <w:hideMark/>
          </w:tcPr>
          <w:p w14:paraId="2B34BBB7"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3.5%</w:t>
            </w:r>
          </w:p>
        </w:tc>
        <w:tc>
          <w:tcPr>
            <w:tcW w:w="325" w:type="pct"/>
            <w:tcBorders>
              <w:top w:val="nil"/>
              <w:left w:val="nil"/>
              <w:bottom w:val="nil"/>
              <w:right w:val="nil"/>
            </w:tcBorders>
            <w:shd w:val="clear" w:color="000000" w:fill="FFC7CE"/>
            <w:noWrap/>
            <w:tcMar>
              <w:left w:w="57" w:type="dxa"/>
              <w:right w:w="57" w:type="dxa"/>
            </w:tcMar>
            <w:vAlign w:val="bottom"/>
            <w:hideMark/>
          </w:tcPr>
          <w:p w14:paraId="21121A33"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31.1</w:t>
            </w:r>
          </w:p>
        </w:tc>
        <w:tc>
          <w:tcPr>
            <w:tcW w:w="325" w:type="pct"/>
            <w:tcBorders>
              <w:top w:val="nil"/>
              <w:left w:val="nil"/>
              <w:bottom w:val="nil"/>
              <w:right w:val="nil"/>
            </w:tcBorders>
            <w:shd w:val="clear" w:color="000000" w:fill="FFC7CE"/>
            <w:noWrap/>
            <w:tcMar>
              <w:left w:w="57" w:type="dxa"/>
              <w:right w:w="57" w:type="dxa"/>
            </w:tcMar>
            <w:vAlign w:val="bottom"/>
            <w:hideMark/>
          </w:tcPr>
          <w:p w14:paraId="4E83CB47"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28.6</w:t>
            </w:r>
          </w:p>
        </w:tc>
        <w:tc>
          <w:tcPr>
            <w:tcW w:w="325" w:type="pct"/>
            <w:tcBorders>
              <w:top w:val="nil"/>
              <w:left w:val="nil"/>
              <w:bottom w:val="nil"/>
              <w:right w:val="nil"/>
            </w:tcBorders>
            <w:shd w:val="clear" w:color="000000" w:fill="FFC7CE"/>
            <w:noWrap/>
            <w:tcMar>
              <w:left w:w="57" w:type="dxa"/>
              <w:right w:w="57" w:type="dxa"/>
            </w:tcMar>
            <w:vAlign w:val="bottom"/>
            <w:hideMark/>
          </w:tcPr>
          <w:p w14:paraId="311A37D6"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26.3</w:t>
            </w:r>
          </w:p>
        </w:tc>
        <w:tc>
          <w:tcPr>
            <w:tcW w:w="325" w:type="pct"/>
            <w:tcBorders>
              <w:top w:val="nil"/>
              <w:left w:val="nil"/>
              <w:bottom w:val="nil"/>
              <w:right w:val="nil"/>
            </w:tcBorders>
            <w:shd w:val="clear" w:color="000000" w:fill="FFC7CE"/>
            <w:noWrap/>
            <w:tcMar>
              <w:left w:w="57" w:type="dxa"/>
              <w:right w:w="57" w:type="dxa"/>
            </w:tcMar>
            <w:vAlign w:val="bottom"/>
            <w:hideMark/>
          </w:tcPr>
          <w:p w14:paraId="55DCECCD"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24.2</w:t>
            </w:r>
          </w:p>
        </w:tc>
        <w:tc>
          <w:tcPr>
            <w:tcW w:w="325" w:type="pct"/>
            <w:tcBorders>
              <w:top w:val="nil"/>
              <w:left w:val="nil"/>
              <w:bottom w:val="nil"/>
              <w:right w:val="nil"/>
            </w:tcBorders>
            <w:shd w:val="clear" w:color="000000" w:fill="FFC7CE"/>
            <w:noWrap/>
            <w:tcMar>
              <w:left w:w="57" w:type="dxa"/>
              <w:right w:w="57" w:type="dxa"/>
            </w:tcMar>
            <w:vAlign w:val="bottom"/>
            <w:hideMark/>
          </w:tcPr>
          <w:p w14:paraId="17754912"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22.2</w:t>
            </w:r>
          </w:p>
        </w:tc>
        <w:tc>
          <w:tcPr>
            <w:tcW w:w="325" w:type="pct"/>
            <w:tcBorders>
              <w:top w:val="nil"/>
              <w:left w:val="nil"/>
              <w:bottom w:val="nil"/>
              <w:right w:val="nil"/>
            </w:tcBorders>
            <w:shd w:val="clear" w:color="000000" w:fill="FFC7CE"/>
            <w:noWrap/>
            <w:tcMar>
              <w:left w:w="57" w:type="dxa"/>
              <w:right w:w="57" w:type="dxa"/>
            </w:tcMar>
            <w:vAlign w:val="bottom"/>
            <w:hideMark/>
          </w:tcPr>
          <w:p w14:paraId="0980EDCA"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20.3</w:t>
            </w:r>
          </w:p>
        </w:tc>
        <w:tc>
          <w:tcPr>
            <w:tcW w:w="325" w:type="pct"/>
            <w:tcBorders>
              <w:top w:val="nil"/>
              <w:left w:val="nil"/>
              <w:bottom w:val="nil"/>
              <w:right w:val="nil"/>
            </w:tcBorders>
            <w:shd w:val="clear" w:color="000000" w:fill="C6EFCE"/>
            <w:noWrap/>
            <w:tcMar>
              <w:left w:w="57" w:type="dxa"/>
              <w:right w:w="57" w:type="dxa"/>
            </w:tcMar>
            <w:vAlign w:val="bottom"/>
            <w:hideMark/>
          </w:tcPr>
          <w:p w14:paraId="322F2557"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18.5</w:t>
            </w:r>
          </w:p>
        </w:tc>
        <w:tc>
          <w:tcPr>
            <w:tcW w:w="325" w:type="pct"/>
            <w:tcBorders>
              <w:top w:val="nil"/>
              <w:left w:val="nil"/>
              <w:bottom w:val="nil"/>
              <w:right w:val="nil"/>
            </w:tcBorders>
            <w:shd w:val="clear" w:color="000000" w:fill="C6EFCE"/>
            <w:noWrap/>
            <w:tcMar>
              <w:left w:w="57" w:type="dxa"/>
              <w:right w:w="57" w:type="dxa"/>
            </w:tcMar>
            <w:vAlign w:val="bottom"/>
            <w:hideMark/>
          </w:tcPr>
          <w:p w14:paraId="55B854F8"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16.7</w:t>
            </w:r>
          </w:p>
        </w:tc>
        <w:tc>
          <w:tcPr>
            <w:tcW w:w="325" w:type="pct"/>
            <w:tcBorders>
              <w:top w:val="nil"/>
              <w:left w:val="nil"/>
              <w:bottom w:val="nil"/>
              <w:right w:val="nil"/>
            </w:tcBorders>
            <w:shd w:val="clear" w:color="000000" w:fill="C6EFCE"/>
            <w:noWrap/>
            <w:tcMar>
              <w:left w:w="57" w:type="dxa"/>
              <w:right w:w="57" w:type="dxa"/>
            </w:tcMar>
            <w:vAlign w:val="bottom"/>
            <w:hideMark/>
          </w:tcPr>
          <w:p w14:paraId="1BA08A2F"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15.1</w:t>
            </w:r>
          </w:p>
        </w:tc>
        <w:tc>
          <w:tcPr>
            <w:tcW w:w="325" w:type="pct"/>
            <w:tcBorders>
              <w:top w:val="nil"/>
              <w:left w:val="nil"/>
              <w:bottom w:val="nil"/>
              <w:right w:val="nil"/>
            </w:tcBorders>
            <w:shd w:val="clear" w:color="000000" w:fill="C6EFCE"/>
            <w:noWrap/>
            <w:tcMar>
              <w:left w:w="57" w:type="dxa"/>
              <w:right w:w="57" w:type="dxa"/>
            </w:tcMar>
            <w:vAlign w:val="bottom"/>
            <w:hideMark/>
          </w:tcPr>
          <w:p w14:paraId="78E1E99D"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13.6</w:t>
            </w:r>
          </w:p>
        </w:tc>
        <w:tc>
          <w:tcPr>
            <w:tcW w:w="325" w:type="pct"/>
            <w:tcBorders>
              <w:top w:val="nil"/>
              <w:left w:val="nil"/>
              <w:bottom w:val="nil"/>
              <w:right w:val="nil"/>
            </w:tcBorders>
            <w:shd w:val="clear" w:color="000000" w:fill="C6EFCE"/>
            <w:noWrap/>
            <w:tcMar>
              <w:left w:w="57" w:type="dxa"/>
              <w:right w:w="57" w:type="dxa"/>
            </w:tcMar>
            <w:vAlign w:val="bottom"/>
            <w:hideMark/>
          </w:tcPr>
          <w:p w14:paraId="0DCC2340"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12.1</w:t>
            </w:r>
          </w:p>
        </w:tc>
        <w:tc>
          <w:tcPr>
            <w:tcW w:w="325" w:type="pct"/>
            <w:tcBorders>
              <w:top w:val="nil"/>
              <w:left w:val="nil"/>
              <w:bottom w:val="nil"/>
              <w:right w:val="nil"/>
            </w:tcBorders>
            <w:shd w:val="clear" w:color="000000" w:fill="C6EFCE"/>
            <w:noWrap/>
            <w:tcMar>
              <w:left w:w="57" w:type="dxa"/>
              <w:right w:w="57" w:type="dxa"/>
            </w:tcMar>
            <w:vAlign w:val="bottom"/>
            <w:hideMark/>
          </w:tcPr>
          <w:p w14:paraId="6B71016C"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10.7</w:t>
            </w:r>
          </w:p>
        </w:tc>
        <w:tc>
          <w:tcPr>
            <w:tcW w:w="327" w:type="pct"/>
            <w:tcBorders>
              <w:top w:val="nil"/>
              <w:left w:val="nil"/>
              <w:bottom w:val="nil"/>
              <w:right w:val="nil"/>
            </w:tcBorders>
            <w:shd w:val="clear" w:color="000000" w:fill="C6EFCE"/>
            <w:noWrap/>
            <w:tcMar>
              <w:left w:w="57" w:type="dxa"/>
              <w:right w:w="57" w:type="dxa"/>
            </w:tcMar>
            <w:vAlign w:val="bottom"/>
            <w:hideMark/>
          </w:tcPr>
          <w:p w14:paraId="69508EC2"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9.3</w:t>
            </w:r>
          </w:p>
        </w:tc>
      </w:tr>
      <w:tr w:rsidR="00280058" w:rsidRPr="002C025E" w14:paraId="37FB1D80" w14:textId="77777777" w:rsidTr="0005008F">
        <w:tc>
          <w:tcPr>
            <w:tcW w:w="184" w:type="pct"/>
            <w:vMerge/>
            <w:tcBorders>
              <w:top w:val="nil"/>
              <w:left w:val="nil"/>
              <w:bottom w:val="nil"/>
              <w:right w:val="nil"/>
            </w:tcBorders>
            <w:tcMar>
              <w:left w:w="57" w:type="dxa"/>
              <w:right w:w="57" w:type="dxa"/>
            </w:tcMar>
            <w:vAlign w:val="center"/>
            <w:hideMark/>
          </w:tcPr>
          <w:p w14:paraId="4FDE132A"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89" w:type="pct"/>
            <w:tcBorders>
              <w:top w:val="nil"/>
              <w:left w:val="nil"/>
              <w:bottom w:val="nil"/>
              <w:right w:val="nil"/>
            </w:tcBorders>
            <w:shd w:val="clear" w:color="auto" w:fill="auto"/>
            <w:noWrap/>
            <w:tcMar>
              <w:left w:w="57" w:type="dxa"/>
              <w:right w:w="57" w:type="dxa"/>
            </w:tcMar>
            <w:vAlign w:val="bottom"/>
            <w:hideMark/>
          </w:tcPr>
          <w:p w14:paraId="159203DC"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4.0%</w:t>
            </w:r>
          </w:p>
        </w:tc>
        <w:tc>
          <w:tcPr>
            <w:tcW w:w="325" w:type="pct"/>
            <w:tcBorders>
              <w:top w:val="nil"/>
              <w:left w:val="nil"/>
              <w:bottom w:val="nil"/>
              <w:right w:val="nil"/>
            </w:tcBorders>
            <w:shd w:val="clear" w:color="000000" w:fill="FFC7CE"/>
            <w:noWrap/>
            <w:tcMar>
              <w:left w:w="57" w:type="dxa"/>
              <w:right w:w="57" w:type="dxa"/>
            </w:tcMar>
            <w:vAlign w:val="bottom"/>
            <w:hideMark/>
          </w:tcPr>
          <w:p w14:paraId="1DAABAFB"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28.6</w:t>
            </w:r>
          </w:p>
        </w:tc>
        <w:tc>
          <w:tcPr>
            <w:tcW w:w="325" w:type="pct"/>
            <w:tcBorders>
              <w:top w:val="nil"/>
              <w:left w:val="nil"/>
              <w:bottom w:val="nil"/>
              <w:right w:val="nil"/>
            </w:tcBorders>
            <w:shd w:val="clear" w:color="000000" w:fill="FFC7CE"/>
            <w:noWrap/>
            <w:tcMar>
              <w:left w:w="57" w:type="dxa"/>
              <w:right w:w="57" w:type="dxa"/>
            </w:tcMar>
            <w:vAlign w:val="bottom"/>
            <w:hideMark/>
          </w:tcPr>
          <w:p w14:paraId="39D40188"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26.4</w:t>
            </w:r>
          </w:p>
        </w:tc>
        <w:tc>
          <w:tcPr>
            <w:tcW w:w="325" w:type="pct"/>
            <w:tcBorders>
              <w:top w:val="nil"/>
              <w:left w:val="nil"/>
              <w:bottom w:val="nil"/>
              <w:right w:val="nil"/>
            </w:tcBorders>
            <w:shd w:val="clear" w:color="000000" w:fill="FFC7CE"/>
            <w:noWrap/>
            <w:tcMar>
              <w:left w:w="57" w:type="dxa"/>
              <w:right w:w="57" w:type="dxa"/>
            </w:tcMar>
            <w:vAlign w:val="bottom"/>
            <w:hideMark/>
          </w:tcPr>
          <w:p w14:paraId="154B89C9"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24.4</w:t>
            </w:r>
          </w:p>
        </w:tc>
        <w:tc>
          <w:tcPr>
            <w:tcW w:w="325" w:type="pct"/>
            <w:tcBorders>
              <w:top w:val="nil"/>
              <w:left w:val="nil"/>
              <w:bottom w:val="nil"/>
              <w:right w:val="nil"/>
            </w:tcBorders>
            <w:shd w:val="clear" w:color="000000" w:fill="FFC7CE"/>
            <w:noWrap/>
            <w:tcMar>
              <w:left w:w="57" w:type="dxa"/>
              <w:right w:w="57" w:type="dxa"/>
            </w:tcMar>
            <w:vAlign w:val="bottom"/>
            <w:hideMark/>
          </w:tcPr>
          <w:p w14:paraId="0DF1B386"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22.4</w:t>
            </w:r>
          </w:p>
        </w:tc>
        <w:tc>
          <w:tcPr>
            <w:tcW w:w="325" w:type="pct"/>
            <w:tcBorders>
              <w:top w:val="nil"/>
              <w:left w:val="nil"/>
              <w:bottom w:val="nil"/>
              <w:right w:val="nil"/>
            </w:tcBorders>
            <w:shd w:val="clear" w:color="000000" w:fill="FFC7CE"/>
            <w:noWrap/>
            <w:tcMar>
              <w:left w:w="57" w:type="dxa"/>
              <w:right w:w="57" w:type="dxa"/>
            </w:tcMar>
            <w:vAlign w:val="bottom"/>
            <w:hideMark/>
          </w:tcPr>
          <w:p w14:paraId="0C80C472"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20.6</w:t>
            </w:r>
          </w:p>
        </w:tc>
        <w:tc>
          <w:tcPr>
            <w:tcW w:w="325" w:type="pct"/>
            <w:tcBorders>
              <w:top w:val="nil"/>
              <w:left w:val="nil"/>
              <w:bottom w:val="nil"/>
              <w:right w:val="nil"/>
            </w:tcBorders>
            <w:shd w:val="clear" w:color="000000" w:fill="C6EFCE"/>
            <w:noWrap/>
            <w:tcMar>
              <w:left w:w="57" w:type="dxa"/>
              <w:right w:w="57" w:type="dxa"/>
            </w:tcMar>
            <w:vAlign w:val="bottom"/>
            <w:hideMark/>
          </w:tcPr>
          <w:p w14:paraId="42FCF5B2"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18.9</w:t>
            </w:r>
          </w:p>
        </w:tc>
        <w:tc>
          <w:tcPr>
            <w:tcW w:w="325" w:type="pct"/>
            <w:tcBorders>
              <w:top w:val="nil"/>
              <w:left w:val="nil"/>
              <w:bottom w:val="nil"/>
              <w:right w:val="nil"/>
            </w:tcBorders>
            <w:shd w:val="clear" w:color="000000" w:fill="C6EFCE"/>
            <w:noWrap/>
            <w:tcMar>
              <w:left w:w="57" w:type="dxa"/>
              <w:right w:w="57" w:type="dxa"/>
            </w:tcMar>
            <w:vAlign w:val="bottom"/>
            <w:hideMark/>
          </w:tcPr>
          <w:p w14:paraId="7D6A94E9"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17.2</w:t>
            </w:r>
          </w:p>
        </w:tc>
        <w:tc>
          <w:tcPr>
            <w:tcW w:w="325" w:type="pct"/>
            <w:tcBorders>
              <w:top w:val="nil"/>
              <w:left w:val="nil"/>
              <w:bottom w:val="nil"/>
              <w:right w:val="nil"/>
            </w:tcBorders>
            <w:shd w:val="clear" w:color="000000" w:fill="C6EFCE"/>
            <w:noWrap/>
            <w:tcMar>
              <w:left w:w="57" w:type="dxa"/>
              <w:right w:w="57" w:type="dxa"/>
            </w:tcMar>
            <w:vAlign w:val="bottom"/>
            <w:hideMark/>
          </w:tcPr>
          <w:p w14:paraId="7CDFBA62"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15.7</w:t>
            </w:r>
          </w:p>
        </w:tc>
        <w:tc>
          <w:tcPr>
            <w:tcW w:w="325" w:type="pct"/>
            <w:tcBorders>
              <w:top w:val="nil"/>
              <w:left w:val="nil"/>
              <w:bottom w:val="nil"/>
              <w:right w:val="nil"/>
            </w:tcBorders>
            <w:shd w:val="clear" w:color="000000" w:fill="C6EFCE"/>
            <w:noWrap/>
            <w:tcMar>
              <w:left w:w="57" w:type="dxa"/>
              <w:right w:w="57" w:type="dxa"/>
            </w:tcMar>
            <w:vAlign w:val="bottom"/>
            <w:hideMark/>
          </w:tcPr>
          <w:p w14:paraId="2DFE38AA"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14.2</w:t>
            </w:r>
          </w:p>
        </w:tc>
        <w:tc>
          <w:tcPr>
            <w:tcW w:w="325" w:type="pct"/>
            <w:tcBorders>
              <w:top w:val="nil"/>
              <w:left w:val="nil"/>
              <w:bottom w:val="nil"/>
              <w:right w:val="nil"/>
            </w:tcBorders>
            <w:shd w:val="clear" w:color="000000" w:fill="C6EFCE"/>
            <w:noWrap/>
            <w:tcMar>
              <w:left w:w="57" w:type="dxa"/>
              <w:right w:w="57" w:type="dxa"/>
            </w:tcMar>
            <w:vAlign w:val="bottom"/>
            <w:hideMark/>
          </w:tcPr>
          <w:p w14:paraId="0CD09D5D"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12.7</w:t>
            </w:r>
          </w:p>
        </w:tc>
        <w:tc>
          <w:tcPr>
            <w:tcW w:w="325" w:type="pct"/>
            <w:tcBorders>
              <w:top w:val="nil"/>
              <w:left w:val="nil"/>
              <w:bottom w:val="nil"/>
              <w:right w:val="nil"/>
            </w:tcBorders>
            <w:shd w:val="clear" w:color="000000" w:fill="C6EFCE"/>
            <w:noWrap/>
            <w:tcMar>
              <w:left w:w="57" w:type="dxa"/>
              <w:right w:w="57" w:type="dxa"/>
            </w:tcMar>
            <w:vAlign w:val="bottom"/>
            <w:hideMark/>
          </w:tcPr>
          <w:p w14:paraId="3A31B6D4"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11.4</w:t>
            </w:r>
          </w:p>
        </w:tc>
        <w:tc>
          <w:tcPr>
            <w:tcW w:w="325" w:type="pct"/>
            <w:tcBorders>
              <w:top w:val="nil"/>
              <w:left w:val="nil"/>
              <w:bottom w:val="nil"/>
              <w:right w:val="nil"/>
            </w:tcBorders>
            <w:shd w:val="clear" w:color="000000" w:fill="C6EFCE"/>
            <w:noWrap/>
            <w:tcMar>
              <w:left w:w="57" w:type="dxa"/>
              <w:right w:w="57" w:type="dxa"/>
            </w:tcMar>
            <w:vAlign w:val="bottom"/>
            <w:hideMark/>
          </w:tcPr>
          <w:p w14:paraId="203FA5C7"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10.0</w:t>
            </w:r>
          </w:p>
        </w:tc>
        <w:tc>
          <w:tcPr>
            <w:tcW w:w="327" w:type="pct"/>
            <w:tcBorders>
              <w:top w:val="nil"/>
              <w:left w:val="nil"/>
              <w:bottom w:val="nil"/>
              <w:right w:val="nil"/>
            </w:tcBorders>
            <w:shd w:val="clear" w:color="000000" w:fill="C6EFCE"/>
            <w:noWrap/>
            <w:tcMar>
              <w:left w:w="57" w:type="dxa"/>
              <w:right w:w="57" w:type="dxa"/>
            </w:tcMar>
            <w:vAlign w:val="bottom"/>
            <w:hideMark/>
          </w:tcPr>
          <w:p w14:paraId="44C79710"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8.8</w:t>
            </w:r>
          </w:p>
        </w:tc>
      </w:tr>
      <w:tr w:rsidR="00280058" w:rsidRPr="002C025E" w14:paraId="17E85D52" w14:textId="77777777" w:rsidTr="0005008F">
        <w:tc>
          <w:tcPr>
            <w:tcW w:w="184" w:type="pct"/>
            <w:vMerge/>
            <w:tcBorders>
              <w:top w:val="nil"/>
              <w:left w:val="nil"/>
              <w:bottom w:val="nil"/>
              <w:right w:val="nil"/>
            </w:tcBorders>
            <w:tcMar>
              <w:left w:w="57" w:type="dxa"/>
              <w:right w:w="57" w:type="dxa"/>
            </w:tcMar>
            <w:vAlign w:val="center"/>
            <w:hideMark/>
          </w:tcPr>
          <w:p w14:paraId="37A7856D"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89" w:type="pct"/>
            <w:tcBorders>
              <w:top w:val="nil"/>
              <w:left w:val="nil"/>
              <w:bottom w:val="nil"/>
              <w:right w:val="nil"/>
            </w:tcBorders>
            <w:shd w:val="clear" w:color="auto" w:fill="auto"/>
            <w:noWrap/>
            <w:tcMar>
              <w:left w:w="57" w:type="dxa"/>
              <w:right w:w="57" w:type="dxa"/>
            </w:tcMar>
            <w:vAlign w:val="bottom"/>
            <w:hideMark/>
          </w:tcPr>
          <w:p w14:paraId="30B67CD7"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4.5%</w:t>
            </w:r>
          </w:p>
        </w:tc>
        <w:tc>
          <w:tcPr>
            <w:tcW w:w="325" w:type="pct"/>
            <w:tcBorders>
              <w:top w:val="nil"/>
              <w:left w:val="nil"/>
              <w:bottom w:val="nil"/>
              <w:right w:val="nil"/>
            </w:tcBorders>
            <w:shd w:val="clear" w:color="000000" w:fill="FFC7CE"/>
            <w:noWrap/>
            <w:tcMar>
              <w:left w:w="57" w:type="dxa"/>
              <w:right w:w="57" w:type="dxa"/>
            </w:tcMar>
            <w:vAlign w:val="bottom"/>
            <w:hideMark/>
          </w:tcPr>
          <w:p w14:paraId="63E02091"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26.4</w:t>
            </w:r>
          </w:p>
        </w:tc>
        <w:tc>
          <w:tcPr>
            <w:tcW w:w="325" w:type="pct"/>
            <w:tcBorders>
              <w:top w:val="nil"/>
              <w:left w:val="nil"/>
              <w:bottom w:val="nil"/>
              <w:right w:val="nil"/>
            </w:tcBorders>
            <w:shd w:val="clear" w:color="000000" w:fill="FFC7CE"/>
            <w:noWrap/>
            <w:tcMar>
              <w:left w:w="57" w:type="dxa"/>
              <w:right w:w="57" w:type="dxa"/>
            </w:tcMar>
            <w:vAlign w:val="bottom"/>
            <w:hideMark/>
          </w:tcPr>
          <w:p w14:paraId="284E3A10"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24.4</w:t>
            </w:r>
          </w:p>
        </w:tc>
        <w:tc>
          <w:tcPr>
            <w:tcW w:w="325" w:type="pct"/>
            <w:tcBorders>
              <w:top w:val="nil"/>
              <w:left w:val="nil"/>
              <w:bottom w:val="nil"/>
              <w:right w:val="nil"/>
            </w:tcBorders>
            <w:shd w:val="clear" w:color="000000" w:fill="FFC7CE"/>
            <w:noWrap/>
            <w:tcMar>
              <w:left w:w="57" w:type="dxa"/>
              <w:right w:w="57" w:type="dxa"/>
            </w:tcMar>
            <w:vAlign w:val="bottom"/>
            <w:hideMark/>
          </w:tcPr>
          <w:p w14:paraId="5C16340E"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22.6</w:t>
            </w:r>
          </w:p>
        </w:tc>
        <w:tc>
          <w:tcPr>
            <w:tcW w:w="325" w:type="pct"/>
            <w:tcBorders>
              <w:top w:val="nil"/>
              <w:left w:val="nil"/>
              <w:bottom w:val="nil"/>
              <w:right w:val="nil"/>
            </w:tcBorders>
            <w:shd w:val="clear" w:color="000000" w:fill="FFC7CE"/>
            <w:noWrap/>
            <w:tcMar>
              <w:left w:w="57" w:type="dxa"/>
              <w:right w:w="57" w:type="dxa"/>
            </w:tcMar>
            <w:vAlign w:val="bottom"/>
            <w:hideMark/>
          </w:tcPr>
          <w:p w14:paraId="5AD7D86C"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20.9</w:t>
            </w:r>
          </w:p>
        </w:tc>
        <w:tc>
          <w:tcPr>
            <w:tcW w:w="325" w:type="pct"/>
            <w:tcBorders>
              <w:top w:val="nil"/>
              <w:left w:val="nil"/>
              <w:bottom w:val="nil"/>
              <w:right w:val="nil"/>
            </w:tcBorders>
            <w:shd w:val="clear" w:color="000000" w:fill="C6EFCE"/>
            <w:noWrap/>
            <w:tcMar>
              <w:left w:w="57" w:type="dxa"/>
              <w:right w:w="57" w:type="dxa"/>
            </w:tcMar>
            <w:vAlign w:val="bottom"/>
            <w:hideMark/>
          </w:tcPr>
          <w:p w14:paraId="2596912F"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19.2</w:t>
            </w:r>
          </w:p>
        </w:tc>
        <w:tc>
          <w:tcPr>
            <w:tcW w:w="325" w:type="pct"/>
            <w:tcBorders>
              <w:top w:val="nil"/>
              <w:left w:val="nil"/>
              <w:bottom w:val="nil"/>
              <w:right w:val="nil"/>
            </w:tcBorders>
            <w:shd w:val="clear" w:color="000000" w:fill="C6EFCE"/>
            <w:noWrap/>
            <w:tcMar>
              <w:left w:w="57" w:type="dxa"/>
              <w:right w:w="57" w:type="dxa"/>
            </w:tcMar>
            <w:vAlign w:val="bottom"/>
            <w:hideMark/>
          </w:tcPr>
          <w:p w14:paraId="1C4C8BC6"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17.6</w:t>
            </w:r>
          </w:p>
        </w:tc>
        <w:tc>
          <w:tcPr>
            <w:tcW w:w="325" w:type="pct"/>
            <w:tcBorders>
              <w:top w:val="nil"/>
              <w:left w:val="nil"/>
              <w:bottom w:val="nil"/>
              <w:right w:val="nil"/>
            </w:tcBorders>
            <w:shd w:val="clear" w:color="000000" w:fill="C6EFCE"/>
            <w:noWrap/>
            <w:tcMar>
              <w:left w:w="57" w:type="dxa"/>
              <w:right w:w="57" w:type="dxa"/>
            </w:tcMar>
            <w:vAlign w:val="bottom"/>
            <w:hideMark/>
          </w:tcPr>
          <w:p w14:paraId="3F9ADA49"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16.1</w:t>
            </w:r>
          </w:p>
        </w:tc>
        <w:tc>
          <w:tcPr>
            <w:tcW w:w="325" w:type="pct"/>
            <w:tcBorders>
              <w:top w:val="nil"/>
              <w:left w:val="nil"/>
              <w:bottom w:val="nil"/>
              <w:right w:val="nil"/>
            </w:tcBorders>
            <w:shd w:val="clear" w:color="000000" w:fill="C6EFCE"/>
            <w:noWrap/>
            <w:tcMar>
              <w:left w:w="57" w:type="dxa"/>
              <w:right w:w="57" w:type="dxa"/>
            </w:tcMar>
            <w:vAlign w:val="bottom"/>
            <w:hideMark/>
          </w:tcPr>
          <w:p w14:paraId="32B4F491"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14.7</w:t>
            </w:r>
          </w:p>
        </w:tc>
        <w:tc>
          <w:tcPr>
            <w:tcW w:w="325" w:type="pct"/>
            <w:tcBorders>
              <w:top w:val="nil"/>
              <w:left w:val="nil"/>
              <w:bottom w:val="nil"/>
              <w:right w:val="nil"/>
            </w:tcBorders>
            <w:shd w:val="clear" w:color="000000" w:fill="C6EFCE"/>
            <w:noWrap/>
            <w:tcMar>
              <w:left w:w="57" w:type="dxa"/>
              <w:right w:w="57" w:type="dxa"/>
            </w:tcMar>
            <w:vAlign w:val="bottom"/>
            <w:hideMark/>
          </w:tcPr>
          <w:p w14:paraId="6317348B"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13.3</w:t>
            </w:r>
          </w:p>
        </w:tc>
        <w:tc>
          <w:tcPr>
            <w:tcW w:w="325" w:type="pct"/>
            <w:tcBorders>
              <w:top w:val="nil"/>
              <w:left w:val="nil"/>
              <w:bottom w:val="nil"/>
              <w:right w:val="nil"/>
            </w:tcBorders>
            <w:shd w:val="clear" w:color="000000" w:fill="C6EFCE"/>
            <w:noWrap/>
            <w:tcMar>
              <w:left w:w="57" w:type="dxa"/>
              <w:right w:w="57" w:type="dxa"/>
            </w:tcMar>
            <w:vAlign w:val="bottom"/>
            <w:hideMark/>
          </w:tcPr>
          <w:p w14:paraId="0C47987C"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12.0</w:t>
            </w:r>
          </w:p>
        </w:tc>
        <w:tc>
          <w:tcPr>
            <w:tcW w:w="325" w:type="pct"/>
            <w:tcBorders>
              <w:top w:val="nil"/>
              <w:left w:val="nil"/>
              <w:bottom w:val="nil"/>
              <w:right w:val="nil"/>
            </w:tcBorders>
            <w:shd w:val="clear" w:color="000000" w:fill="C6EFCE"/>
            <w:noWrap/>
            <w:tcMar>
              <w:left w:w="57" w:type="dxa"/>
              <w:right w:w="57" w:type="dxa"/>
            </w:tcMar>
            <w:vAlign w:val="bottom"/>
            <w:hideMark/>
          </w:tcPr>
          <w:p w14:paraId="31B1744F"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10.7</w:t>
            </w:r>
          </w:p>
        </w:tc>
        <w:tc>
          <w:tcPr>
            <w:tcW w:w="325" w:type="pct"/>
            <w:tcBorders>
              <w:top w:val="nil"/>
              <w:left w:val="nil"/>
              <w:bottom w:val="nil"/>
              <w:right w:val="nil"/>
            </w:tcBorders>
            <w:shd w:val="clear" w:color="000000" w:fill="C6EFCE"/>
            <w:noWrap/>
            <w:tcMar>
              <w:left w:w="57" w:type="dxa"/>
              <w:right w:w="57" w:type="dxa"/>
            </w:tcMar>
            <w:vAlign w:val="bottom"/>
            <w:hideMark/>
          </w:tcPr>
          <w:p w14:paraId="7FC7DB6E"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9.4</w:t>
            </w:r>
          </w:p>
        </w:tc>
        <w:tc>
          <w:tcPr>
            <w:tcW w:w="327" w:type="pct"/>
            <w:tcBorders>
              <w:top w:val="nil"/>
              <w:left w:val="nil"/>
              <w:bottom w:val="nil"/>
              <w:right w:val="nil"/>
            </w:tcBorders>
            <w:shd w:val="clear" w:color="000000" w:fill="C6EFCE"/>
            <w:noWrap/>
            <w:tcMar>
              <w:left w:w="57" w:type="dxa"/>
              <w:right w:w="57" w:type="dxa"/>
            </w:tcMar>
            <w:vAlign w:val="bottom"/>
            <w:hideMark/>
          </w:tcPr>
          <w:p w14:paraId="3139F7E8"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8.3</w:t>
            </w:r>
          </w:p>
        </w:tc>
      </w:tr>
      <w:tr w:rsidR="00280058" w:rsidRPr="002C025E" w14:paraId="4D1C1747" w14:textId="77777777" w:rsidTr="0005008F">
        <w:tc>
          <w:tcPr>
            <w:tcW w:w="184" w:type="pct"/>
            <w:vMerge/>
            <w:tcBorders>
              <w:top w:val="nil"/>
              <w:left w:val="nil"/>
              <w:bottom w:val="nil"/>
              <w:right w:val="nil"/>
            </w:tcBorders>
            <w:tcMar>
              <w:left w:w="57" w:type="dxa"/>
              <w:right w:w="57" w:type="dxa"/>
            </w:tcMar>
            <w:vAlign w:val="center"/>
            <w:hideMark/>
          </w:tcPr>
          <w:p w14:paraId="4850C4B1"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89" w:type="pct"/>
            <w:tcBorders>
              <w:top w:val="nil"/>
              <w:left w:val="nil"/>
              <w:bottom w:val="nil"/>
              <w:right w:val="nil"/>
            </w:tcBorders>
            <w:shd w:val="clear" w:color="auto" w:fill="auto"/>
            <w:noWrap/>
            <w:tcMar>
              <w:left w:w="57" w:type="dxa"/>
              <w:right w:w="57" w:type="dxa"/>
            </w:tcMar>
            <w:vAlign w:val="bottom"/>
            <w:hideMark/>
          </w:tcPr>
          <w:p w14:paraId="5D969317"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5.0%</w:t>
            </w:r>
          </w:p>
        </w:tc>
        <w:tc>
          <w:tcPr>
            <w:tcW w:w="325" w:type="pct"/>
            <w:tcBorders>
              <w:top w:val="nil"/>
              <w:left w:val="nil"/>
              <w:bottom w:val="nil"/>
              <w:right w:val="nil"/>
            </w:tcBorders>
            <w:shd w:val="clear" w:color="000000" w:fill="FFC7CE"/>
            <w:noWrap/>
            <w:tcMar>
              <w:left w:w="57" w:type="dxa"/>
              <w:right w:w="57" w:type="dxa"/>
            </w:tcMar>
            <w:vAlign w:val="bottom"/>
            <w:hideMark/>
          </w:tcPr>
          <w:p w14:paraId="7495BC8F"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24.4</w:t>
            </w:r>
          </w:p>
        </w:tc>
        <w:tc>
          <w:tcPr>
            <w:tcW w:w="325" w:type="pct"/>
            <w:tcBorders>
              <w:top w:val="nil"/>
              <w:left w:val="nil"/>
              <w:bottom w:val="nil"/>
              <w:right w:val="nil"/>
            </w:tcBorders>
            <w:shd w:val="clear" w:color="000000" w:fill="FFC7CE"/>
            <w:noWrap/>
            <w:tcMar>
              <w:left w:w="57" w:type="dxa"/>
              <w:right w:w="57" w:type="dxa"/>
            </w:tcMar>
            <w:vAlign w:val="bottom"/>
            <w:hideMark/>
          </w:tcPr>
          <w:p w14:paraId="2F6FA6AC"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22.6</w:t>
            </w:r>
          </w:p>
        </w:tc>
        <w:tc>
          <w:tcPr>
            <w:tcW w:w="325" w:type="pct"/>
            <w:tcBorders>
              <w:top w:val="nil"/>
              <w:left w:val="nil"/>
              <w:bottom w:val="nil"/>
              <w:right w:val="nil"/>
            </w:tcBorders>
            <w:shd w:val="clear" w:color="000000" w:fill="FFC7CE"/>
            <w:noWrap/>
            <w:tcMar>
              <w:left w:w="57" w:type="dxa"/>
              <w:right w:w="57" w:type="dxa"/>
            </w:tcMar>
            <w:vAlign w:val="bottom"/>
            <w:hideMark/>
          </w:tcPr>
          <w:p w14:paraId="6959DD8A" w14:textId="77777777" w:rsidR="00280058" w:rsidRPr="00DF3A8E" w:rsidRDefault="00280058" w:rsidP="00BB18F6">
            <w:pPr>
              <w:spacing w:after="0" w:line="240" w:lineRule="auto"/>
              <w:jc w:val="right"/>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21.0</w:t>
            </w:r>
          </w:p>
        </w:tc>
        <w:tc>
          <w:tcPr>
            <w:tcW w:w="325" w:type="pct"/>
            <w:tcBorders>
              <w:top w:val="nil"/>
              <w:left w:val="nil"/>
              <w:bottom w:val="nil"/>
              <w:right w:val="nil"/>
            </w:tcBorders>
            <w:shd w:val="clear" w:color="000000" w:fill="C6EFCE"/>
            <w:noWrap/>
            <w:tcMar>
              <w:left w:w="57" w:type="dxa"/>
              <w:right w:w="57" w:type="dxa"/>
            </w:tcMar>
            <w:vAlign w:val="bottom"/>
            <w:hideMark/>
          </w:tcPr>
          <w:p w14:paraId="3794D4CB"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19.4</w:t>
            </w:r>
          </w:p>
        </w:tc>
        <w:tc>
          <w:tcPr>
            <w:tcW w:w="325" w:type="pct"/>
            <w:tcBorders>
              <w:top w:val="nil"/>
              <w:left w:val="nil"/>
              <w:bottom w:val="nil"/>
              <w:right w:val="nil"/>
            </w:tcBorders>
            <w:shd w:val="clear" w:color="000000" w:fill="C6EFCE"/>
            <w:noWrap/>
            <w:tcMar>
              <w:left w:w="57" w:type="dxa"/>
              <w:right w:w="57" w:type="dxa"/>
            </w:tcMar>
            <w:vAlign w:val="bottom"/>
            <w:hideMark/>
          </w:tcPr>
          <w:p w14:paraId="63B44B88"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17.9</w:t>
            </w:r>
          </w:p>
        </w:tc>
        <w:tc>
          <w:tcPr>
            <w:tcW w:w="325" w:type="pct"/>
            <w:tcBorders>
              <w:top w:val="nil"/>
              <w:left w:val="nil"/>
              <w:bottom w:val="nil"/>
              <w:right w:val="nil"/>
            </w:tcBorders>
            <w:shd w:val="clear" w:color="000000" w:fill="C6EFCE"/>
            <w:noWrap/>
            <w:tcMar>
              <w:left w:w="57" w:type="dxa"/>
              <w:right w:w="57" w:type="dxa"/>
            </w:tcMar>
            <w:vAlign w:val="bottom"/>
            <w:hideMark/>
          </w:tcPr>
          <w:p w14:paraId="16C28DCE"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16.5</w:t>
            </w:r>
          </w:p>
        </w:tc>
        <w:tc>
          <w:tcPr>
            <w:tcW w:w="325" w:type="pct"/>
            <w:tcBorders>
              <w:top w:val="nil"/>
              <w:left w:val="nil"/>
              <w:bottom w:val="nil"/>
              <w:right w:val="nil"/>
            </w:tcBorders>
            <w:shd w:val="clear" w:color="000000" w:fill="C6EFCE"/>
            <w:noWrap/>
            <w:tcMar>
              <w:left w:w="57" w:type="dxa"/>
              <w:right w:w="57" w:type="dxa"/>
            </w:tcMar>
            <w:vAlign w:val="bottom"/>
            <w:hideMark/>
          </w:tcPr>
          <w:p w14:paraId="40C6D2CE"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15.1</w:t>
            </w:r>
          </w:p>
        </w:tc>
        <w:tc>
          <w:tcPr>
            <w:tcW w:w="325" w:type="pct"/>
            <w:tcBorders>
              <w:top w:val="nil"/>
              <w:left w:val="nil"/>
              <w:bottom w:val="nil"/>
              <w:right w:val="nil"/>
            </w:tcBorders>
            <w:shd w:val="clear" w:color="000000" w:fill="C6EFCE"/>
            <w:noWrap/>
            <w:tcMar>
              <w:left w:w="57" w:type="dxa"/>
              <w:right w:w="57" w:type="dxa"/>
            </w:tcMar>
            <w:vAlign w:val="bottom"/>
            <w:hideMark/>
          </w:tcPr>
          <w:p w14:paraId="269200CE"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13.7</w:t>
            </w:r>
          </w:p>
        </w:tc>
        <w:tc>
          <w:tcPr>
            <w:tcW w:w="325" w:type="pct"/>
            <w:tcBorders>
              <w:top w:val="nil"/>
              <w:left w:val="nil"/>
              <w:bottom w:val="nil"/>
              <w:right w:val="nil"/>
            </w:tcBorders>
            <w:shd w:val="clear" w:color="000000" w:fill="C6EFCE"/>
            <w:noWrap/>
            <w:tcMar>
              <w:left w:w="57" w:type="dxa"/>
              <w:right w:w="57" w:type="dxa"/>
            </w:tcMar>
            <w:vAlign w:val="bottom"/>
            <w:hideMark/>
          </w:tcPr>
          <w:p w14:paraId="4A359BC1"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12.5</w:t>
            </w:r>
          </w:p>
        </w:tc>
        <w:tc>
          <w:tcPr>
            <w:tcW w:w="325" w:type="pct"/>
            <w:tcBorders>
              <w:top w:val="nil"/>
              <w:left w:val="nil"/>
              <w:bottom w:val="nil"/>
              <w:right w:val="nil"/>
            </w:tcBorders>
            <w:shd w:val="clear" w:color="000000" w:fill="C6EFCE"/>
            <w:noWrap/>
            <w:tcMar>
              <w:left w:w="57" w:type="dxa"/>
              <w:right w:w="57" w:type="dxa"/>
            </w:tcMar>
            <w:vAlign w:val="bottom"/>
            <w:hideMark/>
          </w:tcPr>
          <w:p w14:paraId="05A50871"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11.2</w:t>
            </w:r>
          </w:p>
        </w:tc>
        <w:tc>
          <w:tcPr>
            <w:tcW w:w="325" w:type="pct"/>
            <w:tcBorders>
              <w:top w:val="nil"/>
              <w:left w:val="nil"/>
              <w:bottom w:val="nil"/>
              <w:right w:val="nil"/>
            </w:tcBorders>
            <w:shd w:val="clear" w:color="000000" w:fill="C6EFCE"/>
            <w:noWrap/>
            <w:tcMar>
              <w:left w:w="57" w:type="dxa"/>
              <w:right w:w="57" w:type="dxa"/>
            </w:tcMar>
            <w:vAlign w:val="bottom"/>
            <w:hideMark/>
          </w:tcPr>
          <w:p w14:paraId="27419BE9"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10.0</w:t>
            </w:r>
          </w:p>
        </w:tc>
        <w:tc>
          <w:tcPr>
            <w:tcW w:w="325" w:type="pct"/>
            <w:tcBorders>
              <w:top w:val="nil"/>
              <w:left w:val="nil"/>
              <w:bottom w:val="nil"/>
              <w:right w:val="nil"/>
            </w:tcBorders>
            <w:shd w:val="clear" w:color="000000" w:fill="C6EFCE"/>
            <w:noWrap/>
            <w:tcMar>
              <w:left w:w="57" w:type="dxa"/>
              <w:right w:w="57" w:type="dxa"/>
            </w:tcMar>
            <w:vAlign w:val="bottom"/>
            <w:hideMark/>
          </w:tcPr>
          <w:p w14:paraId="1B0710B7"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8.9</w:t>
            </w:r>
          </w:p>
        </w:tc>
        <w:tc>
          <w:tcPr>
            <w:tcW w:w="327" w:type="pct"/>
            <w:tcBorders>
              <w:top w:val="nil"/>
              <w:left w:val="nil"/>
              <w:bottom w:val="nil"/>
              <w:right w:val="nil"/>
            </w:tcBorders>
            <w:shd w:val="clear" w:color="000000" w:fill="C6EFCE"/>
            <w:noWrap/>
            <w:tcMar>
              <w:left w:w="57" w:type="dxa"/>
              <w:right w:w="57" w:type="dxa"/>
            </w:tcMar>
            <w:vAlign w:val="bottom"/>
            <w:hideMark/>
          </w:tcPr>
          <w:p w14:paraId="7918F280"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7.8</w:t>
            </w:r>
          </w:p>
        </w:tc>
      </w:tr>
    </w:tbl>
    <w:p w14:paraId="49B5E585" w14:textId="77777777" w:rsidR="00280058" w:rsidRPr="00DF3A8E" w:rsidRDefault="00280058" w:rsidP="00280058">
      <w:pPr>
        <w:jc w:val="both"/>
        <w:rPr>
          <w:rFonts w:ascii="Georgia" w:hAnsi="Georgia"/>
          <w:sz w:val="20"/>
          <w:lang w:val="lt-LT"/>
        </w:rPr>
      </w:pPr>
    </w:p>
    <w:p w14:paraId="6232FA47" w14:textId="77777777" w:rsidR="00280058" w:rsidRPr="00DF3A8E" w:rsidRDefault="00280058" w:rsidP="00280058">
      <w:pPr>
        <w:jc w:val="both"/>
        <w:rPr>
          <w:rFonts w:ascii="Georgia" w:hAnsi="Georgia"/>
          <w:sz w:val="20"/>
          <w:lang w:val="lt-LT"/>
        </w:rPr>
      </w:pPr>
      <w:r w:rsidRPr="00DF3A8E">
        <w:rPr>
          <w:rFonts w:ascii="Georgia" w:hAnsi="Georgia"/>
          <w:sz w:val="20"/>
          <w:lang w:val="lt-LT"/>
        </w:rPr>
        <w:t>Aukščiau patei</w:t>
      </w:r>
      <w:r>
        <w:rPr>
          <w:rFonts w:ascii="Georgia" w:hAnsi="Georgia"/>
          <w:sz w:val="20"/>
          <w:lang w:val="lt-LT"/>
        </w:rPr>
        <w:t>kt</w:t>
      </w:r>
      <w:r w:rsidRPr="00DF3A8E">
        <w:rPr>
          <w:rFonts w:ascii="Georgia" w:hAnsi="Georgia"/>
          <w:sz w:val="20"/>
          <w:lang w:val="lt-LT"/>
        </w:rPr>
        <w:t xml:space="preserve">oje lentelėje esanti informacija rodo, jog esant 30 proc. </w:t>
      </w:r>
      <w:r>
        <w:rPr>
          <w:rFonts w:ascii="Georgia" w:hAnsi="Georgia"/>
          <w:sz w:val="20"/>
          <w:lang w:val="lt-LT"/>
        </w:rPr>
        <w:t>subsidijos</w:t>
      </w:r>
      <w:r w:rsidRPr="00DF3A8E">
        <w:rPr>
          <w:rFonts w:ascii="Georgia" w:hAnsi="Georgia"/>
          <w:sz w:val="20"/>
          <w:lang w:val="lt-LT"/>
        </w:rPr>
        <w:t xml:space="preserve"> elementui ir 3 proc. </w:t>
      </w:r>
      <w:r>
        <w:rPr>
          <w:rFonts w:ascii="Georgia" w:hAnsi="Georgia"/>
          <w:sz w:val="20"/>
          <w:lang w:val="lt-LT"/>
        </w:rPr>
        <w:t xml:space="preserve">šilumos </w:t>
      </w:r>
      <w:r w:rsidRPr="00DF3A8E">
        <w:rPr>
          <w:rFonts w:ascii="Georgia" w:hAnsi="Georgia"/>
          <w:sz w:val="20"/>
          <w:lang w:val="lt-LT"/>
        </w:rPr>
        <w:t>kainos augimui</w:t>
      </w:r>
      <w:r>
        <w:rPr>
          <w:rFonts w:ascii="Georgia" w:hAnsi="Georgia"/>
          <w:sz w:val="20"/>
          <w:lang w:val="lt-LT"/>
        </w:rPr>
        <w:t xml:space="preserve"> (nesikeičiant kitoms šio skyriaus pradžioje priimtoms prielaidoms)</w:t>
      </w:r>
      <w:r w:rsidRPr="00DF3A8E">
        <w:rPr>
          <w:rFonts w:ascii="Georgia" w:hAnsi="Georgia"/>
          <w:sz w:val="20"/>
          <w:lang w:val="lt-LT"/>
        </w:rPr>
        <w:t xml:space="preserve"> renovacijos projektas atsipirktų per paskolos gyvavimo laikotarpį. Tuo tarpu jei šilumos kaina neaugtų esant 30 proc. </w:t>
      </w:r>
      <w:r>
        <w:rPr>
          <w:rFonts w:ascii="Georgia" w:hAnsi="Georgia"/>
          <w:sz w:val="20"/>
          <w:lang w:val="lt-LT"/>
        </w:rPr>
        <w:t>subsidijai,</w:t>
      </w:r>
      <w:r w:rsidRPr="00DF3A8E">
        <w:rPr>
          <w:rFonts w:ascii="Georgia" w:hAnsi="Georgia"/>
          <w:sz w:val="20"/>
          <w:lang w:val="lt-LT"/>
        </w:rPr>
        <w:t xml:space="preserve"> renovacijos projekto atsipirkimas išsitęstų daugiau kaip 30 metų. Todėl nesant kitų šilumos kainos augimą įtakojančių veiksnių PVM lengvatos </w:t>
      </w:r>
      <w:r>
        <w:rPr>
          <w:rFonts w:ascii="Georgia" w:hAnsi="Georgia"/>
          <w:sz w:val="20"/>
          <w:lang w:val="lt-LT"/>
        </w:rPr>
        <w:t>šildymui panaikinimas</w:t>
      </w:r>
      <w:r w:rsidRPr="00DF3A8E">
        <w:rPr>
          <w:rFonts w:ascii="Georgia" w:hAnsi="Georgia"/>
          <w:sz w:val="20"/>
          <w:lang w:val="lt-LT"/>
        </w:rPr>
        <w:t xml:space="preserve"> galėtų </w:t>
      </w:r>
      <w:r>
        <w:rPr>
          <w:rFonts w:ascii="Georgia" w:hAnsi="Georgia"/>
          <w:sz w:val="20"/>
          <w:lang w:val="lt-LT"/>
        </w:rPr>
        <w:t xml:space="preserve">būti teigiama paskata </w:t>
      </w:r>
      <w:r w:rsidRPr="00DF3A8E">
        <w:rPr>
          <w:rFonts w:ascii="Georgia" w:hAnsi="Georgia"/>
          <w:sz w:val="20"/>
          <w:lang w:val="lt-LT"/>
        </w:rPr>
        <w:t>skatin</w:t>
      </w:r>
      <w:r>
        <w:rPr>
          <w:rFonts w:ascii="Georgia" w:hAnsi="Georgia"/>
          <w:sz w:val="20"/>
          <w:lang w:val="lt-LT"/>
        </w:rPr>
        <w:t>ant</w:t>
      </w:r>
      <w:r w:rsidRPr="00DF3A8E">
        <w:rPr>
          <w:rFonts w:ascii="Georgia" w:hAnsi="Georgia"/>
          <w:sz w:val="20"/>
          <w:lang w:val="lt-LT"/>
        </w:rPr>
        <w:t xml:space="preserve"> renovacijos procesus.</w:t>
      </w:r>
    </w:p>
    <w:p w14:paraId="58B86343" w14:textId="77777777" w:rsidR="00280058" w:rsidRPr="00AD0F3A" w:rsidRDefault="00280058" w:rsidP="00280058">
      <w:pPr>
        <w:jc w:val="both"/>
        <w:rPr>
          <w:rFonts w:ascii="Georgia" w:hAnsi="Georgia"/>
          <w:b/>
          <w:i/>
          <w:sz w:val="20"/>
          <w:lang w:val="lt-LT"/>
        </w:rPr>
      </w:pPr>
      <w:r w:rsidRPr="00AD0F3A">
        <w:rPr>
          <w:rFonts w:ascii="Georgia" w:hAnsi="Georgia"/>
          <w:b/>
          <w:i/>
          <w:sz w:val="20"/>
          <w:lang w:val="lt-LT"/>
        </w:rPr>
        <w:t>IŠVADA</w:t>
      </w:r>
    </w:p>
    <w:p w14:paraId="34C4E9A4" w14:textId="77777777" w:rsidR="00280058" w:rsidRPr="00DF3A8E" w:rsidRDefault="00280058" w:rsidP="00280058">
      <w:pPr>
        <w:jc w:val="both"/>
        <w:rPr>
          <w:rFonts w:ascii="Georgia" w:hAnsi="Georgia"/>
          <w:sz w:val="20"/>
          <w:lang w:val="lt-LT"/>
        </w:rPr>
      </w:pPr>
      <w:r>
        <w:rPr>
          <w:rFonts w:ascii="Georgia" w:hAnsi="Georgia"/>
          <w:sz w:val="20"/>
          <w:lang w:val="lt-LT"/>
        </w:rPr>
        <w:t xml:space="preserve">Remiantis aukščiau lentelėse pateiktais jautrumo analizės duomenimis bei numatant, kad 32-oje lentelėje pateiktos prielaidos pasitvirtins, </w:t>
      </w:r>
      <w:r w:rsidRPr="00DF3A8E">
        <w:rPr>
          <w:rFonts w:ascii="Georgia" w:hAnsi="Georgia"/>
          <w:sz w:val="20"/>
          <w:lang w:val="lt-LT"/>
        </w:rPr>
        <w:t>dar</w:t>
      </w:r>
      <w:r>
        <w:rPr>
          <w:rFonts w:ascii="Georgia" w:hAnsi="Georgia"/>
          <w:sz w:val="20"/>
          <w:lang w:val="lt-LT"/>
        </w:rPr>
        <w:t>oma išvada</w:t>
      </w:r>
      <w:r w:rsidRPr="00DF3A8E">
        <w:rPr>
          <w:rFonts w:ascii="Georgia" w:hAnsi="Georgia"/>
          <w:sz w:val="20"/>
          <w:lang w:val="lt-LT"/>
        </w:rPr>
        <w:t>, jog</w:t>
      </w:r>
      <w:r>
        <w:rPr>
          <w:rFonts w:ascii="Georgia" w:hAnsi="Georgia"/>
          <w:sz w:val="20"/>
          <w:lang w:val="lt-LT"/>
        </w:rPr>
        <w:t xml:space="preserve"> teikiant</w:t>
      </w:r>
      <w:r w:rsidRPr="00DF3A8E">
        <w:rPr>
          <w:rFonts w:ascii="Georgia" w:hAnsi="Georgia"/>
          <w:sz w:val="20"/>
          <w:lang w:val="lt-LT"/>
        </w:rPr>
        <w:t xml:space="preserve"> 30 proc. subsidi</w:t>
      </w:r>
      <w:r>
        <w:rPr>
          <w:rFonts w:ascii="Georgia" w:hAnsi="Georgia"/>
          <w:sz w:val="20"/>
          <w:lang w:val="lt-LT"/>
        </w:rPr>
        <w:t xml:space="preserve">ją projektams </w:t>
      </w:r>
      <w:r w:rsidRPr="00DF3A8E">
        <w:rPr>
          <w:rFonts w:ascii="Georgia" w:hAnsi="Georgia"/>
          <w:sz w:val="20"/>
          <w:lang w:val="lt-LT"/>
        </w:rPr>
        <w:t xml:space="preserve">daugiabučių renovacijos </w:t>
      </w:r>
      <w:r>
        <w:rPr>
          <w:rFonts w:ascii="Georgia" w:hAnsi="Georgia"/>
          <w:sz w:val="20"/>
          <w:lang w:val="lt-LT"/>
        </w:rPr>
        <w:t>projektai</w:t>
      </w:r>
      <w:r w:rsidRPr="00DF3A8E">
        <w:rPr>
          <w:rFonts w:ascii="Georgia" w:hAnsi="Georgia"/>
          <w:sz w:val="20"/>
          <w:lang w:val="lt-LT"/>
        </w:rPr>
        <w:t xml:space="preserve"> atsipirk</w:t>
      </w:r>
      <w:r>
        <w:rPr>
          <w:rFonts w:ascii="Georgia" w:hAnsi="Georgia"/>
          <w:sz w:val="20"/>
          <w:lang w:val="lt-LT"/>
        </w:rPr>
        <w:t>s</w:t>
      </w:r>
      <w:r w:rsidRPr="00DF3A8E">
        <w:rPr>
          <w:rFonts w:ascii="Georgia" w:hAnsi="Georgia"/>
          <w:sz w:val="20"/>
          <w:lang w:val="lt-LT"/>
        </w:rPr>
        <w:t xml:space="preserve"> per </w:t>
      </w:r>
      <w:r>
        <w:rPr>
          <w:rFonts w:ascii="Georgia" w:hAnsi="Georgia"/>
          <w:sz w:val="20"/>
          <w:lang w:val="lt-LT"/>
        </w:rPr>
        <w:t xml:space="preserve">20 m. </w:t>
      </w:r>
      <w:r w:rsidRPr="00DF3A8E">
        <w:rPr>
          <w:rFonts w:ascii="Georgia" w:hAnsi="Georgia"/>
          <w:sz w:val="20"/>
          <w:lang w:val="lt-LT"/>
        </w:rPr>
        <w:t>paskolos laikotarpį.</w:t>
      </w:r>
    </w:p>
    <w:p w14:paraId="01440C6D" w14:textId="77777777" w:rsidR="00280058" w:rsidRPr="00DF3A8E" w:rsidRDefault="00280058" w:rsidP="00280058">
      <w:pPr>
        <w:jc w:val="both"/>
        <w:rPr>
          <w:rFonts w:ascii="Georgia" w:hAnsi="Georgia"/>
          <w:sz w:val="20"/>
          <w:lang w:val="lt-LT"/>
        </w:rPr>
      </w:pPr>
    </w:p>
    <w:p w14:paraId="2A9D6EE4" w14:textId="77777777" w:rsidR="00280058" w:rsidRPr="001B3A89" w:rsidRDefault="00280058" w:rsidP="00C03122">
      <w:pPr>
        <w:pStyle w:val="Antrat2"/>
        <w:numPr>
          <w:ilvl w:val="2"/>
          <w:numId w:val="2"/>
        </w:numPr>
        <w:rPr>
          <w:lang w:val="lt-LT"/>
        </w:rPr>
      </w:pPr>
      <w:bookmarkStart w:id="125" w:name="_Toc402352625"/>
      <w:bookmarkStart w:id="126" w:name="_Toc417378387"/>
      <w:r w:rsidRPr="001B3A89">
        <w:rPr>
          <w:lang w:val="lt-LT"/>
        </w:rPr>
        <w:t>Viešųjų pastatų renovacijos jautrumo analizė</w:t>
      </w:r>
      <w:bookmarkEnd w:id="125"/>
      <w:bookmarkEnd w:id="126"/>
    </w:p>
    <w:p w14:paraId="74B3EAA1" w14:textId="77777777" w:rsidR="00280058" w:rsidRDefault="00280058" w:rsidP="00280058">
      <w:pPr>
        <w:jc w:val="both"/>
        <w:rPr>
          <w:rFonts w:ascii="Georgia" w:hAnsi="Georgia"/>
          <w:sz w:val="20"/>
          <w:lang w:val="lt-LT"/>
        </w:rPr>
      </w:pPr>
    </w:p>
    <w:p w14:paraId="353D2AF9" w14:textId="77777777" w:rsidR="00280058" w:rsidRDefault="00280058" w:rsidP="00280058">
      <w:pPr>
        <w:jc w:val="both"/>
        <w:rPr>
          <w:rFonts w:ascii="Georgia" w:hAnsi="Georgia"/>
          <w:sz w:val="20"/>
          <w:lang w:val="lt-LT"/>
        </w:rPr>
      </w:pPr>
      <w:r w:rsidRPr="00DF3A8E">
        <w:rPr>
          <w:rFonts w:ascii="Georgia" w:hAnsi="Georgia"/>
          <w:sz w:val="20"/>
          <w:lang w:val="lt-LT"/>
        </w:rPr>
        <w:t xml:space="preserve">Siekiant išsiaiškinti ar </w:t>
      </w:r>
      <w:r>
        <w:rPr>
          <w:rFonts w:ascii="Georgia" w:hAnsi="Georgia"/>
          <w:sz w:val="20"/>
          <w:lang w:val="lt-LT"/>
        </w:rPr>
        <w:t>teikiant lengvatines paskolas viešųjų</w:t>
      </w:r>
      <w:r w:rsidRPr="00DF3A8E">
        <w:rPr>
          <w:rFonts w:ascii="Georgia" w:hAnsi="Georgia"/>
          <w:sz w:val="20"/>
          <w:lang w:val="lt-LT"/>
        </w:rPr>
        <w:t xml:space="preserve"> pastatų renovavimui reikalinga </w:t>
      </w:r>
      <w:r>
        <w:rPr>
          <w:rFonts w:ascii="Georgia" w:hAnsi="Georgia"/>
          <w:sz w:val="20"/>
          <w:lang w:val="lt-LT"/>
        </w:rPr>
        <w:t xml:space="preserve">ir </w:t>
      </w:r>
      <w:r w:rsidRPr="00DF3A8E">
        <w:rPr>
          <w:rFonts w:ascii="Georgia" w:hAnsi="Georgia"/>
          <w:sz w:val="20"/>
          <w:lang w:val="lt-LT"/>
        </w:rPr>
        <w:t xml:space="preserve">subsidija </w:t>
      </w:r>
      <w:r>
        <w:rPr>
          <w:rFonts w:ascii="Georgia" w:hAnsi="Georgia"/>
          <w:sz w:val="20"/>
          <w:lang w:val="lt-LT"/>
        </w:rPr>
        <w:t xml:space="preserve">(siekiant, </w:t>
      </w:r>
      <w:r w:rsidRPr="00DF3A8E">
        <w:rPr>
          <w:rFonts w:ascii="Georgia" w:hAnsi="Georgia"/>
          <w:sz w:val="20"/>
          <w:lang w:val="lt-LT"/>
        </w:rPr>
        <w:t xml:space="preserve">kad </w:t>
      </w:r>
      <w:r>
        <w:rPr>
          <w:rFonts w:ascii="Georgia" w:hAnsi="Georgia"/>
          <w:sz w:val="20"/>
          <w:lang w:val="lt-LT"/>
        </w:rPr>
        <w:t xml:space="preserve">investicijos </w:t>
      </w:r>
      <w:r w:rsidRPr="00DF3A8E">
        <w:rPr>
          <w:rFonts w:ascii="Georgia" w:hAnsi="Georgia"/>
          <w:sz w:val="20"/>
          <w:lang w:val="lt-LT"/>
        </w:rPr>
        <w:t>pastato renovacija</w:t>
      </w:r>
      <w:r>
        <w:rPr>
          <w:rFonts w:ascii="Georgia" w:hAnsi="Georgia"/>
          <w:sz w:val="20"/>
          <w:lang w:val="lt-LT"/>
        </w:rPr>
        <w:t>i</w:t>
      </w:r>
      <w:r w:rsidRPr="00DF3A8E">
        <w:rPr>
          <w:rFonts w:ascii="Georgia" w:hAnsi="Georgia"/>
          <w:sz w:val="20"/>
          <w:lang w:val="lt-LT"/>
        </w:rPr>
        <w:t xml:space="preserve"> atsipirktų per</w:t>
      </w:r>
      <w:r>
        <w:rPr>
          <w:rFonts w:ascii="Georgia" w:hAnsi="Georgia"/>
          <w:sz w:val="20"/>
          <w:lang w:val="lt-LT"/>
        </w:rPr>
        <w:t xml:space="preserve"> 20 m.</w:t>
      </w:r>
      <w:r w:rsidRPr="00DF3A8E">
        <w:rPr>
          <w:rFonts w:ascii="Georgia" w:hAnsi="Georgia"/>
          <w:sz w:val="20"/>
          <w:lang w:val="lt-LT"/>
        </w:rPr>
        <w:t xml:space="preserve"> paskolos laikotarpį</w:t>
      </w:r>
      <w:r>
        <w:rPr>
          <w:rFonts w:ascii="Georgia" w:hAnsi="Georgia"/>
          <w:sz w:val="20"/>
          <w:lang w:val="lt-LT"/>
        </w:rPr>
        <w:t>)</w:t>
      </w:r>
      <w:r w:rsidRPr="00DF3A8E">
        <w:rPr>
          <w:rFonts w:ascii="Georgia" w:hAnsi="Georgia"/>
          <w:sz w:val="20"/>
          <w:lang w:val="lt-LT"/>
        </w:rPr>
        <w:t xml:space="preserve"> buvo atlikta jautrumo analizė.</w:t>
      </w:r>
      <w:r>
        <w:rPr>
          <w:rFonts w:ascii="Georgia" w:hAnsi="Georgia"/>
          <w:sz w:val="20"/>
          <w:lang w:val="lt-LT"/>
        </w:rPr>
        <w:t xml:space="preserve"> </w:t>
      </w:r>
      <w:r w:rsidRPr="00DF3A8E">
        <w:rPr>
          <w:rFonts w:ascii="Georgia" w:hAnsi="Georgia"/>
          <w:sz w:val="20"/>
          <w:lang w:val="lt-LT"/>
        </w:rPr>
        <w:t>Subsidijos poreikio įvertinimui naudojamos prielaidos</w:t>
      </w:r>
      <w:r>
        <w:rPr>
          <w:rFonts w:ascii="Georgia" w:hAnsi="Georgia"/>
          <w:sz w:val="20"/>
          <w:lang w:val="lt-LT"/>
        </w:rPr>
        <w:t xml:space="preserve"> </w:t>
      </w:r>
      <w:r w:rsidRPr="00D545C4">
        <w:rPr>
          <w:rFonts w:ascii="Georgia" w:hAnsi="Georgia"/>
          <w:sz w:val="20"/>
          <w:lang w:val="lt-LT"/>
        </w:rPr>
        <w:t xml:space="preserve">pateiktos </w:t>
      </w:r>
      <w:r>
        <w:rPr>
          <w:rFonts w:ascii="Georgia" w:hAnsi="Georgia"/>
          <w:sz w:val="20"/>
          <w:lang w:val="lt-LT"/>
        </w:rPr>
        <w:t>žemiau esančioje</w:t>
      </w:r>
      <w:r w:rsidRPr="00D545C4">
        <w:rPr>
          <w:rFonts w:ascii="Georgia" w:hAnsi="Georgia"/>
          <w:sz w:val="20"/>
          <w:lang w:val="lt-LT"/>
        </w:rPr>
        <w:t xml:space="preserve"> lentelėje</w:t>
      </w:r>
      <w:r>
        <w:rPr>
          <w:rFonts w:ascii="Georgia" w:hAnsi="Georgia"/>
          <w:sz w:val="20"/>
          <w:lang w:val="lt-LT"/>
        </w:rPr>
        <w:t>.</w:t>
      </w:r>
    </w:p>
    <w:p w14:paraId="06A653B9" w14:textId="7E1735D6" w:rsidR="00280058" w:rsidRPr="00D57F2C" w:rsidRDefault="00280058" w:rsidP="00280058">
      <w:pPr>
        <w:pStyle w:val="Antrat"/>
        <w:jc w:val="both"/>
        <w:rPr>
          <w:lang w:val="lt-LT"/>
        </w:rPr>
      </w:pPr>
      <w:bookmarkStart w:id="127" w:name="_Toc460321629"/>
      <w:r w:rsidRPr="00CC0678">
        <w:rPr>
          <w:lang w:val="lt-LT"/>
        </w:rPr>
        <w:t xml:space="preserve">Lentelė </w:t>
      </w:r>
      <w:r w:rsidRPr="00CC0678">
        <w:rPr>
          <w:lang w:val="lt-LT"/>
        </w:rPr>
        <w:fldChar w:fldCharType="begin"/>
      </w:r>
      <w:r w:rsidRPr="00CC0678">
        <w:rPr>
          <w:lang w:val="lt-LT"/>
        </w:rPr>
        <w:instrText xml:space="preserve"> SEQ Lentelė \* ARABIC </w:instrText>
      </w:r>
      <w:r w:rsidRPr="00CC0678">
        <w:rPr>
          <w:lang w:val="lt-LT"/>
        </w:rPr>
        <w:fldChar w:fldCharType="separate"/>
      </w:r>
      <w:r w:rsidR="00AA3082">
        <w:rPr>
          <w:noProof/>
          <w:lang w:val="lt-LT"/>
        </w:rPr>
        <w:t>48</w:t>
      </w:r>
      <w:r w:rsidRPr="00CC0678">
        <w:rPr>
          <w:lang w:val="lt-LT"/>
        </w:rPr>
        <w:fldChar w:fldCharType="end"/>
      </w:r>
      <w:r w:rsidRPr="00CC0678">
        <w:rPr>
          <w:lang w:val="lt-LT"/>
        </w:rPr>
        <w:t xml:space="preserve">. </w:t>
      </w:r>
      <w:r w:rsidRPr="00893A57">
        <w:rPr>
          <w:lang w:val="lt-LT"/>
        </w:rPr>
        <w:t>Kitos viešųjų pastatų renovacijos jautrumo analizės prielaidos.</w:t>
      </w:r>
      <w:bookmarkEnd w:id="127"/>
    </w:p>
    <w:tbl>
      <w:tblPr>
        <w:tblStyle w:val="viesussraas2parykinimas"/>
        <w:tblW w:w="5000" w:type="pct"/>
        <w:tblLook w:val="04A0" w:firstRow="1" w:lastRow="0" w:firstColumn="1" w:lastColumn="0" w:noHBand="0" w:noVBand="1"/>
      </w:tblPr>
      <w:tblGrid>
        <w:gridCol w:w="7090"/>
        <w:gridCol w:w="2152"/>
      </w:tblGrid>
      <w:tr w:rsidR="00280058" w:rsidRPr="00D545C4" w14:paraId="14E5F695" w14:textId="77777777" w:rsidTr="000500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36" w:type="pct"/>
            <w:noWrap/>
            <w:vAlign w:val="center"/>
            <w:hideMark/>
          </w:tcPr>
          <w:p w14:paraId="35E69BB3" w14:textId="77777777" w:rsidR="00280058" w:rsidRPr="00D545C4" w:rsidRDefault="00280058" w:rsidP="0005008F">
            <w:pPr>
              <w:jc w:val="center"/>
              <w:rPr>
                <w:rFonts w:ascii="Georgia" w:eastAsia="Times New Roman" w:hAnsi="Georgia" w:cs="Arial"/>
                <w:sz w:val="20"/>
                <w:szCs w:val="18"/>
              </w:rPr>
            </w:pPr>
            <w:r w:rsidRPr="00D545C4">
              <w:rPr>
                <w:rFonts w:ascii="Georgia" w:eastAsia="Times New Roman" w:hAnsi="Georgia" w:cs="Arial"/>
                <w:sz w:val="20"/>
                <w:szCs w:val="18"/>
              </w:rPr>
              <w:t>Prielaidos</w:t>
            </w:r>
          </w:p>
        </w:tc>
        <w:tc>
          <w:tcPr>
            <w:tcW w:w="1164" w:type="pct"/>
            <w:noWrap/>
            <w:hideMark/>
          </w:tcPr>
          <w:p w14:paraId="6AF00468" w14:textId="77777777" w:rsidR="00280058" w:rsidRPr="00D545C4" w:rsidRDefault="00280058" w:rsidP="00BB18F6">
            <w:pP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sz w:val="20"/>
                <w:szCs w:val="18"/>
              </w:rPr>
            </w:pPr>
            <w:r w:rsidRPr="00D545C4">
              <w:rPr>
                <w:rFonts w:ascii="Georgia" w:eastAsia="Times New Roman" w:hAnsi="Georgia" w:cs="Arial"/>
                <w:sz w:val="20"/>
                <w:szCs w:val="18"/>
              </w:rPr>
              <w:t> </w:t>
            </w:r>
          </w:p>
        </w:tc>
      </w:tr>
      <w:tr w:rsidR="00280058" w:rsidRPr="00D545C4" w14:paraId="2AF72902" w14:textId="77777777" w:rsidTr="00050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6" w:type="pct"/>
            <w:noWrap/>
            <w:hideMark/>
          </w:tcPr>
          <w:p w14:paraId="55315BB7" w14:textId="77777777" w:rsidR="00280058" w:rsidRPr="00D545C4" w:rsidRDefault="00280058" w:rsidP="00BB18F6">
            <w:pPr>
              <w:rPr>
                <w:rFonts w:ascii="Georgia" w:eastAsia="Times New Roman" w:hAnsi="Georgia" w:cs="Arial"/>
                <w:sz w:val="20"/>
                <w:szCs w:val="18"/>
              </w:rPr>
            </w:pPr>
            <w:r w:rsidRPr="00D545C4">
              <w:rPr>
                <w:rFonts w:ascii="Georgia" w:eastAsia="Times New Roman" w:hAnsi="Georgia" w:cs="Arial"/>
                <w:sz w:val="20"/>
                <w:szCs w:val="18"/>
              </w:rPr>
              <w:t xml:space="preserve">Vidutinis </w:t>
            </w:r>
            <w:r>
              <w:rPr>
                <w:rFonts w:ascii="Georgia" w:eastAsia="Times New Roman" w:hAnsi="Georgia" w:cs="Arial"/>
                <w:sz w:val="20"/>
                <w:szCs w:val="18"/>
              </w:rPr>
              <w:t xml:space="preserve">bendras </w:t>
            </w:r>
            <w:r w:rsidRPr="00D545C4">
              <w:rPr>
                <w:rFonts w:ascii="Georgia" w:eastAsia="Times New Roman" w:hAnsi="Georgia" w:cs="Arial"/>
                <w:sz w:val="20"/>
                <w:szCs w:val="18"/>
              </w:rPr>
              <w:t>pastato plotas, m</w:t>
            </w:r>
            <w:r w:rsidRPr="00D545C4">
              <w:rPr>
                <w:rFonts w:ascii="Georgia" w:eastAsia="Times New Roman" w:hAnsi="Georgia" w:cs="Arial"/>
                <w:sz w:val="20"/>
                <w:szCs w:val="18"/>
                <w:vertAlign w:val="superscript"/>
              </w:rPr>
              <w:t>2</w:t>
            </w:r>
          </w:p>
        </w:tc>
        <w:tc>
          <w:tcPr>
            <w:tcW w:w="1164" w:type="pct"/>
            <w:noWrap/>
            <w:hideMark/>
          </w:tcPr>
          <w:p w14:paraId="61984E0D" w14:textId="77777777" w:rsidR="00280058" w:rsidRPr="00D545C4" w:rsidRDefault="00280058" w:rsidP="00BB18F6">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18"/>
              </w:rPr>
            </w:pPr>
            <w:r w:rsidRPr="00D545C4">
              <w:rPr>
                <w:rFonts w:ascii="Georgia" w:eastAsia="Times New Roman" w:hAnsi="Georgia" w:cs="Arial"/>
                <w:sz w:val="20"/>
                <w:szCs w:val="18"/>
              </w:rPr>
              <w:t xml:space="preserve">            1,127 </w:t>
            </w:r>
          </w:p>
        </w:tc>
      </w:tr>
      <w:tr w:rsidR="00280058" w:rsidRPr="00D545C4" w14:paraId="185459DA" w14:textId="77777777" w:rsidTr="0005008F">
        <w:tc>
          <w:tcPr>
            <w:cnfStyle w:val="001000000000" w:firstRow="0" w:lastRow="0" w:firstColumn="1" w:lastColumn="0" w:oddVBand="0" w:evenVBand="0" w:oddHBand="0" w:evenHBand="0" w:firstRowFirstColumn="0" w:firstRowLastColumn="0" w:lastRowFirstColumn="0" w:lastRowLastColumn="0"/>
            <w:tcW w:w="3836" w:type="pct"/>
            <w:noWrap/>
            <w:hideMark/>
          </w:tcPr>
          <w:p w14:paraId="66ECF4DC" w14:textId="77777777" w:rsidR="00280058" w:rsidRPr="00D545C4" w:rsidRDefault="00280058" w:rsidP="00BB18F6">
            <w:pPr>
              <w:rPr>
                <w:rFonts w:ascii="Georgia" w:eastAsia="Times New Roman" w:hAnsi="Georgia" w:cs="Arial"/>
                <w:sz w:val="20"/>
                <w:szCs w:val="18"/>
              </w:rPr>
            </w:pPr>
            <w:r w:rsidRPr="00D545C4">
              <w:rPr>
                <w:rFonts w:ascii="Georgia" w:eastAsia="Times New Roman" w:hAnsi="Georgia" w:cs="Arial"/>
                <w:sz w:val="20"/>
                <w:szCs w:val="18"/>
              </w:rPr>
              <w:t>Investicijos m</w:t>
            </w:r>
            <w:r w:rsidRPr="00D545C4">
              <w:rPr>
                <w:rFonts w:ascii="Georgia" w:eastAsia="Times New Roman" w:hAnsi="Georgia" w:cs="Arial"/>
                <w:sz w:val="20"/>
                <w:szCs w:val="18"/>
                <w:vertAlign w:val="superscript"/>
              </w:rPr>
              <w:t>2</w:t>
            </w:r>
            <w:r w:rsidRPr="00D545C4">
              <w:rPr>
                <w:rFonts w:ascii="Georgia" w:eastAsia="Times New Roman" w:hAnsi="Georgia" w:cs="Arial"/>
                <w:sz w:val="20"/>
                <w:szCs w:val="18"/>
              </w:rPr>
              <w:t>, Lt</w:t>
            </w:r>
          </w:p>
        </w:tc>
        <w:tc>
          <w:tcPr>
            <w:tcW w:w="1164" w:type="pct"/>
            <w:noWrap/>
            <w:hideMark/>
          </w:tcPr>
          <w:p w14:paraId="2B7A9289" w14:textId="77777777" w:rsidR="00280058" w:rsidRPr="00D545C4" w:rsidRDefault="00280058" w:rsidP="00BB18F6">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sz w:val="20"/>
                <w:szCs w:val="18"/>
              </w:rPr>
            </w:pPr>
            <w:r w:rsidRPr="00D545C4">
              <w:rPr>
                <w:rFonts w:ascii="Georgia" w:eastAsia="Times New Roman" w:hAnsi="Georgia" w:cs="Arial"/>
                <w:sz w:val="20"/>
                <w:szCs w:val="18"/>
              </w:rPr>
              <w:t xml:space="preserve">                700 </w:t>
            </w:r>
          </w:p>
        </w:tc>
      </w:tr>
      <w:tr w:rsidR="00280058" w:rsidRPr="00D545C4" w14:paraId="37D2F598" w14:textId="77777777" w:rsidTr="00050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6" w:type="pct"/>
            <w:noWrap/>
            <w:hideMark/>
          </w:tcPr>
          <w:p w14:paraId="7707CFFE" w14:textId="77777777" w:rsidR="00280058" w:rsidRPr="00D545C4" w:rsidRDefault="00280058" w:rsidP="00BB18F6">
            <w:pPr>
              <w:rPr>
                <w:rFonts w:ascii="Georgia" w:eastAsia="Times New Roman" w:hAnsi="Georgia" w:cs="Arial"/>
                <w:sz w:val="20"/>
                <w:szCs w:val="18"/>
              </w:rPr>
            </w:pPr>
            <w:r w:rsidRPr="00D545C4">
              <w:rPr>
                <w:rFonts w:ascii="Georgia" w:eastAsia="Times New Roman" w:hAnsi="Georgia" w:cs="Arial"/>
                <w:sz w:val="20"/>
                <w:szCs w:val="18"/>
              </w:rPr>
              <w:t>Investicijos projektui, m</w:t>
            </w:r>
            <w:r w:rsidRPr="00D545C4">
              <w:rPr>
                <w:rFonts w:ascii="Georgia" w:eastAsia="Times New Roman" w:hAnsi="Georgia" w:cs="Arial"/>
                <w:sz w:val="20"/>
                <w:szCs w:val="18"/>
                <w:vertAlign w:val="superscript"/>
              </w:rPr>
              <w:t>2</w:t>
            </w:r>
          </w:p>
        </w:tc>
        <w:tc>
          <w:tcPr>
            <w:tcW w:w="1164" w:type="pct"/>
            <w:noWrap/>
            <w:hideMark/>
          </w:tcPr>
          <w:p w14:paraId="01C32E46" w14:textId="77777777" w:rsidR="00280058" w:rsidRPr="00D545C4" w:rsidRDefault="00280058" w:rsidP="00BB18F6">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18"/>
              </w:rPr>
            </w:pPr>
            <w:r w:rsidRPr="00D545C4">
              <w:rPr>
                <w:rFonts w:ascii="Georgia" w:eastAsia="Times New Roman" w:hAnsi="Georgia" w:cs="Arial"/>
                <w:sz w:val="20"/>
                <w:szCs w:val="18"/>
              </w:rPr>
              <w:t xml:space="preserve">        789,138 </w:t>
            </w:r>
          </w:p>
        </w:tc>
      </w:tr>
      <w:tr w:rsidR="00280058" w:rsidRPr="00D545C4" w14:paraId="6CC8DE2B" w14:textId="77777777" w:rsidTr="0005008F">
        <w:tc>
          <w:tcPr>
            <w:cnfStyle w:val="001000000000" w:firstRow="0" w:lastRow="0" w:firstColumn="1" w:lastColumn="0" w:oddVBand="0" w:evenVBand="0" w:oddHBand="0" w:evenHBand="0" w:firstRowFirstColumn="0" w:firstRowLastColumn="0" w:lastRowFirstColumn="0" w:lastRowLastColumn="0"/>
            <w:tcW w:w="3836" w:type="pct"/>
            <w:noWrap/>
            <w:hideMark/>
          </w:tcPr>
          <w:p w14:paraId="33248A9C" w14:textId="77777777" w:rsidR="00280058" w:rsidRPr="00D545C4" w:rsidRDefault="00280058" w:rsidP="00BB18F6">
            <w:pPr>
              <w:rPr>
                <w:rFonts w:ascii="Georgia" w:eastAsia="Times New Roman" w:hAnsi="Georgia" w:cs="Arial"/>
                <w:sz w:val="20"/>
                <w:szCs w:val="18"/>
              </w:rPr>
            </w:pPr>
            <w:r w:rsidRPr="00D545C4">
              <w:rPr>
                <w:rFonts w:ascii="Georgia" w:eastAsia="Times New Roman" w:hAnsi="Georgia" w:cs="Arial"/>
                <w:sz w:val="20"/>
                <w:szCs w:val="18"/>
              </w:rPr>
              <w:lastRenderedPageBreak/>
              <w:t xml:space="preserve">Dabartinis suvartojimas kWh/m2 per metus </w:t>
            </w:r>
          </w:p>
        </w:tc>
        <w:tc>
          <w:tcPr>
            <w:tcW w:w="1164" w:type="pct"/>
            <w:noWrap/>
            <w:hideMark/>
          </w:tcPr>
          <w:p w14:paraId="1BE64A9B" w14:textId="77777777" w:rsidR="00280058" w:rsidRPr="00D545C4" w:rsidRDefault="00280058" w:rsidP="00BB18F6">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sz w:val="20"/>
                <w:szCs w:val="18"/>
              </w:rPr>
            </w:pPr>
            <w:r w:rsidRPr="00D545C4">
              <w:rPr>
                <w:rFonts w:ascii="Georgia" w:eastAsia="Times New Roman" w:hAnsi="Georgia" w:cs="Arial"/>
                <w:sz w:val="20"/>
                <w:szCs w:val="18"/>
              </w:rPr>
              <w:t xml:space="preserve">                210 </w:t>
            </w:r>
          </w:p>
        </w:tc>
      </w:tr>
      <w:tr w:rsidR="00280058" w:rsidRPr="00D545C4" w14:paraId="005B3947" w14:textId="77777777" w:rsidTr="00050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6" w:type="pct"/>
            <w:noWrap/>
            <w:hideMark/>
          </w:tcPr>
          <w:p w14:paraId="71000ADC" w14:textId="77777777" w:rsidR="00280058" w:rsidRPr="00D545C4" w:rsidRDefault="00280058" w:rsidP="00BB18F6">
            <w:pPr>
              <w:rPr>
                <w:rFonts w:ascii="Georgia" w:eastAsia="Times New Roman" w:hAnsi="Georgia" w:cs="Arial"/>
                <w:sz w:val="20"/>
                <w:szCs w:val="18"/>
              </w:rPr>
            </w:pPr>
            <w:r w:rsidRPr="00D545C4">
              <w:rPr>
                <w:rFonts w:ascii="Georgia" w:eastAsia="Times New Roman" w:hAnsi="Georgia" w:cs="Arial"/>
                <w:sz w:val="20"/>
                <w:szCs w:val="18"/>
              </w:rPr>
              <w:t>Dabartinis pastato suvartojimas per metus, kWh</w:t>
            </w:r>
          </w:p>
        </w:tc>
        <w:tc>
          <w:tcPr>
            <w:tcW w:w="1164" w:type="pct"/>
            <w:noWrap/>
            <w:hideMark/>
          </w:tcPr>
          <w:p w14:paraId="29AD81D9" w14:textId="77777777" w:rsidR="00280058" w:rsidRPr="00D545C4" w:rsidRDefault="00280058" w:rsidP="00BB18F6">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18"/>
              </w:rPr>
            </w:pPr>
            <w:r w:rsidRPr="00D545C4">
              <w:rPr>
                <w:rFonts w:ascii="Georgia" w:eastAsia="Times New Roman" w:hAnsi="Georgia" w:cs="Arial"/>
                <w:sz w:val="20"/>
                <w:szCs w:val="18"/>
              </w:rPr>
              <w:t xml:space="preserve">        236,741 </w:t>
            </w:r>
          </w:p>
        </w:tc>
      </w:tr>
      <w:tr w:rsidR="00280058" w:rsidRPr="00D545C4" w14:paraId="73CDCDDB" w14:textId="77777777" w:rsidTr="0005008F">
        <w:tc>
          <w:tcPr>
            <w:cnfStyle w:val="001000000000" w:firstRow="0" w:lastRow="0" w:firstColumn="1" w:lastColumn="0" w:oddVBand="0" w:evenVBand="0" w:oddHBand="0" w:evenHBand="0" w:firstRowFirstColumn="0" w:firstRowLastColumn="0" w:lastRowFirstColumn="0" w:lastRowLastColumn="0"/>
            <w:tcW w:w="3836" w:type="pct"/>
            <w:noWrap/>
            <w:hideMark/>
          </w:tcPr>
          <w:p w14:paraId="46B10B4B" w14:textId="77777777" w:rsidR="00280058" w:rsidRPr="00D545C4" w:rsidRDefault="00280058" w:rsidP="00BB18F6">
            <w:pPr>
              <w:rPr>
                <w:rFonts w:ascii="Georgia" w:eastAsia="Times New Roman" w:hAnsi="Georgia" w:cs="Arial"/>
                <w:sz w:val="20"/>
                <w:szCs w:val="18"/>
              </w:rPr>
            </w:pPr>
            <w:r w:rsidRPr="00D545C4">
              <w:rPr>
                <w:rFonts w:ascii="Georgia" w:eastAsia="Times New Roman" w:hAnsi="Georgia" w:cs="Arial"/>
                <w:sz w:val="20"/>
                <w:szCs w:val="18"/>
              </w:rPr>
              <w:t xml:space="preserve">Šilumos energijos kaina kWh/m2 </w:t>
            </w:r>
          </w:p>
        </w:tc>
        <w:tc>
          <w:tcPr>
            <w:tcW w:w="1164" w:type="pct"/>
            <w:noWrap/>
            <w:hideMark/>
          </w:tcPr>
          <w:p w14:paraId="110B266D" w14:textId="77777777" w:rsidR="00280058" w:rsidRPr="00D545C4" w:rsidRDefault="000E59DF" w:rsidP="00BB18F6">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sz w:val="20"/>
                <w:szCs w:val="18"/>
              </w:rPr>
            </w:pPr>
            <w:r>
              <w:rPr>
                <w:rFonts w:ascii="Georgia" w:eastAsia="Times New Roman" w:hAnsi="Georgia" w:cs="Arial"/>
                <w:sz w:val="20"/>
                <w:szCs w:val="18"/>
              </w:rPr>
              <w:t>0,</w:t>
            </w:r>
            <w:r w:rsidR="00280058" w:rsidRPr="00D545C4">
              <w:rPr>
                <w:rFonts w:ascii="Georgia" w:eastAsia="Times New Roman" w:hAnsi="Georgia" w:cs="Arial"/>
                <w:sz w:val="20"/>
                <w:szCs w:val="18"/>
              </w:rPr>
              <w:t>29</w:t>
            </w:r>
            <w:r w:rsidR="00280058">
              <w:rPr>
                <w:rFonts w:ascii="Georgia" w:eastAsia="Times New Roman" w:hAnsi="Georgia" w:cs="Arial"/>
                <w:sz w:val="20"/>
                <w:szCs w:val="18"/>
              </w:rPr>
              <w:t>4</w:t>
            </w:r>
            <w:r w:rsidR="00280058" w:rsidRPr="00D545C4">
              <w:rPr>
                <w:rFonts w:ascii="Georgia" w:eastAsia="Times New Roman" w:hAnsi="Georgia" w:cs="Arial"/>
                <w:sz w:val="20"/>
                <w:szCs w:val="18"/>
              </w:rPr>
              <w:t xml:space="preserve"> Lt </w:t>
            </w:r>
          </w:p>
        </w:tc>
      </w:tr>
      <w:tr w:rsidR="00280058" w:rsidRPr="00D545C4" w14:paraId="7C3A9DE6" w14:textId="77777777" w:rsidTr="00050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6" w:type="pct"/>
            <w:noWrap/>
            <w:hideMark/>
          </w:tcPr>
          <w:p w14:paraId="395F357B" w14:textId="77777777" w:rsidR="00280058" w:rsidRPr="00D545C4" w:rsidRDefault="00280058" w:rsidP="00BB18F6">
            <w:pPr>
              <w:rPr>
                <w:rFonts w:ascii="Georgia" w:eastAsia="Times New Roman" w:hAnsi="Georgia" w:cs="Arial"/>
                <w:sz w:val="20"/>
                <w:szCs w:val="18"/>
              </w:rPr>
            </w:pPr>
            <w:r w:rsidRPr="00D545C4">
              <w:rPr>
                <w:rFonts w:ascii="Georgia" w:eastAsia="Times New Roman" w:hAnsi="Georgia" w:cs="Arial"/>
                <w:sz w:val="20"/>
                <w:szCs w:val="18"/>
              </w:rPr>
              <w:t xml:space="preserve">Šilumos kainos augimas kas metus </w:t>
            </w:r>
          </w:p>
        </w:tc>
        <w:tc>
          <w:tcPr>
            <w:tcW w:w="1164" w:type="pct"/>
            <w:noWrap/>
            <w:hideMark/>
          </w:tcPr>
          <w:p w14:paraId="14939151" w14:textId="77777777" w:rsidR="00280058" w:rsidRPr="00D545C4" w:rsidRDefault="00280058" w:rsidP="00BB18F6">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18"/>
              </w:rPr>
            </w:pPr>
            <w:r w:rsidRPr="00D545C4">
              <w:rPr>
                <w:rFonts w:ascii="Georgia" w:eastAsia="Times New Roman" w:hAnsi="Georgia" w:cs="Arial"/>
                <w:sz w:val="20"/>
                <w:szCs w:val="18"/>
              </w:rPr>
              <w:t>3%</w:t>
            </w:r>
          </w:p>
        </w:tc>
      </w:tr>
      <w:tr w:rsidR="00280058" w:rsidRPr="00D545C4" w14:paraId="7E36DD6A" w14:textId="77777777" w:rsidTr="0005008F">
        <w:tc>
          <w:tcPr>
            <w:cnfStyle w:val="001000000000" w:firstRow="0" w:lastRow="0" w:firstColumn="1" w:lastColumn="0" w:oddVBand="0" w:evenVBand="0" w:oddHBand="0" w:evenHBand="0" w:firstRowFirstColumn="0" w:firstRowLastColumn="0" w:lastRowFirstColumn="0" w:lastRowLastColumn="0"/>
            <w:tcW w:w="3836" w:type="pct"/>
            <w:noWrap/>
            <w:hideMark/>
          </w:tcPr>
          <w:p w14:paraId="6FC879B6" w14:textId="77777777" w:rsidR="00280058" w:rsidRPr="00D545C4" w:rsidRDefault="00280058" w:rsidP="00BB18F6">
            <w:pPr>
              <w:rPr>
                <w:rFonts w:ascii="Georgia" w:eastAsia="Times New Roman" w:hAnsi="Georgia" w:cs="Arial"/>
                <w:sz w:val="20"/>
                <w:szCs w:val="18"/>
              </w:rPr>
            </w:pPr>
            <w:r w:rsidRPr="00D545C4">
              <w:rPr>
                <w:rFonts w:ascii="Georgia" w:eastAsia="Times New Roman" w:hAnsi="Georgia" w:cs="Arial"/>
                <w:sz w:val="20"/>
                <w:szCs w:val="18"/>
              </w:rPr>
              <w:t xml:space="preserve">Sutaupymas įgyvendinus projektą </w:t>
            </w:r>
          </w:p>
        </w:tc>
        <w:tc>
          <w:tcPr>
            <w:tcW w:w="1164" w:type="pct"/>
            <w:noWrap/>
            <w:hideMark/>
          </w:tcPr>
          <w:p w14:paraId="78F23060" w14:textId="77777777" w:rsidR="00280058" w:rsidRPr="00D545C4" w:rsidRDefault="00280058" w:rsidP="00BB18F6">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sz w:val="20"/>
                <w:szCs w:val="18"/>
              </w:rPr>
            </w:pPr>
            <w:r w:rsidRPr="00D545C4">
              <w:rPr>
                <w:rFonts w:ascii="Georgia" w:eastAsia="Times New Roman" w:hAnsi="Georgia" w:cs="Arial"/>
                <w:sz w:val="20"/>
                <w:szCs w:val="18"/>
              </w:rPr>
              <w:t>40%</w:t>
            </w:r>
          </w:p>
        </w:tc>
      </w:tr>
      <w:tr w:rsidR="00280058" w:rsidRPr="00D545C4" w14:paraId="410F80BC" w14:textId="77777777" w:rsidTr="00050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6" w:type="pct"/>
            <w:noWrap/>
            <w:hideMark/>
          </w:tcPr>
          <w:p w14:paraId="19D9262B" w14:textId="77777777" w:rsidR="00280058" w:rsidRPr="00D545C4" w:rsidRDefault="00280058" w:rsidP="00BB18F6">
            <w:pPr>
              <w:rPr>
                <w:rFonts w:ascii="Georgia" w:eastAsia="Times New Roman" w:hAnsi="Georgia" w:cs="Arial"/>
                <w:sz w:val="20"/>
                <w:szCs w:val="18"/>
              </w:rPr>
            </w:pPr>
            <w:r w:rsidRPr="00D545C4">
              <w:rPr>
                <w:rFonts w:ascii="Georgia" w:eastAsia="Times New Roman" w:hAnsi="Georgia" w:cs="Arial"/>
                <w:sz w:val="20"/>
                <w:szCs w:val="18"/>
              </w:rPr>
              <w:t xml:space="preserve">Sutaupyta suma šildymui per metus </w:t>
            </w:r>
          </w:p>
        </w:tc>
        <w:tc>
          <w:tcPr>
            <w:tcW w:w="1164" w:type="pct"/>
            <w:noWrap/>
            <w:hideMark/>
          </w:tcPr>
          <w:p w14:paraId="3A9A006F" w14:textId="77777777" w:rsidR="00280058" w:rsidRPr="00D545C4" w:rsidRDefault="00280058" w:rsidP="00BB18F6">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18"/>
              </w:rPr>
            </w:pPr>
            <w:r w:rsidRPr="00D545C4">
              <w:rPr>
                <w:rFonts w:ascii="Georgia" w:eastAsia="Times New Roman" w:hAnsi="Georgia" w:cs="Arial"/>
                <w:sz w:val="20"/>
                <w:szCs w:val="18"/>
              </w:rPr>
              <w:t xml:space="preserve">          27,841 </w:t>
            </w:r>
          </w:p>
        </w:tc>
      </w:tr>
      <w:tr w:rsidR="00280058" w:rsidRPr="00D545C4" w14:paraId="4C4894CA" w14:textId="77777777" w:rsidTr="0005008F">
        <w:tc>
          <w:tcPr>
            <w:cnfStyle w:val="001000000000" w:firstRow="0" w:lastRow="0" w:firstColumn="1" w:lastColumn="0" w:oddVBand="0" w:evenVBand="0" w:oddHBand="0" w:evenHBand="0" w:firstRowFirstColumn="0" w:firstRowLastColumn="0" w:lastRowFirstColumn="0" w:lastRowLastColumn="0"/>
            <w:tcW w:w="3836" w:type="pct"/>
            <w:noWrap/>
            <w:hideMark/>
          </w:tcPr>
          <w:p w14:paraId="0ACA810B" w14:textId="77777777" w:rsidR="00280058" w:rsidRPr="00D545C4" w:rsidRDefault="00280058" w:rsidP="00BB18F6">
            <w:pPr>
              <w:rPr>
                <w:rFonts w:ascii="Georgia" w:eastAsia="Times New Roman" w:hAnsi="Georgia" w:cs="Arial"/>
                <w:sz w:val="20"/>
                <w:szCs w:val="18"/>
              </w:rPr>
            </w:pPr>
            <w:r w:rsidRPr="00D545C4">
              <w:rPr>
                <w:rFonts w:ascii="Georgia" w:eastAsia="Times New Roman" w:hAnsi="Georgia" w:cs="Arial"/>
                <w:sz w:val="20"/>
                <w:szCs w:val="18"/>
              </w:rPr>
              <w:t xml:space="preserve">Palūkanos </w:t>
            </w:r>
          </w:p>
        </w:tc>
        <w:tc>
          <w:tcPr>
            <w:tcW w:w="1164" w:type="pct"/>
            <w:noWrap/>
            <w:hideMark/>
          </w:tcPr>
          <w:p w14:paraId="15C5472F" w14:textId="77777777" w:rsidR="00280058" w:rsidRPr="00D545C4" w:rsidRDefault="00280058" w:rsidP="00BB18F6">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sz w:val="20"/>
                <w:szCs w:val="18"/>
              </w:rPr>
            </w:pPr>
            <w:r w:rsidRPr="00D545C4">
              <w:rPr>
                <w:rFonts w:ascii="Georgia" w:eastAsia="Times New Roman" w:hAnsi="Georgia" w:cs="Arial"/>
                <w:sz w:val="20"/>
                <w:szCs w:val="18"/>
              </w:rPr>
              <w:t>1%</w:t>
            </w:r>
          </w:p>
        </w:tc>
      </w:tr>
      <w:tr w:rsidR="00280058" w:rsidRPr="00D545C4" w14:paraId="68FC11C4" w14:textId="77777777" w:rsidTr="00050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6" w:type="pct"/>
            <w:noWrap/>
            <w:hideMark/>
          </w:tcPr>
          <w:p w14:paraId="1780E480" w14:textId="77777777" w:rsidR="00280058" w:rsidRPr="00D545C4" w:rsidRDefault="00280058" w:rsidP="00BB18F6">
            <w:pPr>
              <w:rPr>
                <w:rFonts w:ascii="Georgia" w:eastAsia="Times New Roman" w:hAnsi="Georgia" w:cs="Arial"/>
                <w:sz w:val="20"/>
                <w:szCs w:val="18"/>
              </w:rPr>
            </w:pPr>
            <w:r w:rsidRPr="00D545C4">
              <w:rPr>
                <w:rFonts w:ascii="Georgia" w:eastAsia="Times New Roman" w:hAnsi="Georgia" w:cs="Arial"/>
                <w:sz w:val="20"/>
                <w:szCs w:val="18"/>
              </w:rPr>
              <w:t xml:space="preserve">Paskolos terminas </w:t>
            </w:r>
          </w:p>
        </w:tc>
        <w:tc>
          <w:tcPr>
            <w:tcW w:w="1164" w:type="pct"/>
            <w:noWrap/>
            <w:hideMark/>
          </w:tcPr>
          <w:p w14:paraId="46CAB12E" w14:textId="77777777" w:rsidR="00280058" w:rsidRPr="00D545C4" w:rsidRDefault="00280058" w:rsidP="00BB18F6">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sz w:val="20"/>
                <w:szCs w:val="18"/>
              </w:rPr>
            </w:pPr>
            <w:r w:rsidRPr="00D545C4">
              <w:rPr>
                <w:rFonts w:ascii="Georgia" w:eastAsia="Times New Roman" w:hAnsi="Georgia" w:cs="Arial"/>
                <w:sz w:val="20"/>
                <w:szCs w:val="18"/>
              </w:rPr>
              <w:t xml:space="preserve">                  20 </w:t>
            </w:r>
          </w:p>
        </w:tc>
      </w:tr>
    </w:tbl>
    <w:p w14:paraId="2942872A" w14:textId="77777777" w:rsidR="00280058" w:rsidRPr="00DF3A8E" w:rsidRDefault="00280058" w:rsidP="00280058">
      <w:pPr>
        <w:jc w:val="both"/>
        <w:rPr>
          <w:rFonts w:ascii="Georgia" w:hAnsi="Georgia"/>
          <w:sz w:val="20"/>
          <w:lang w:val="lt-LT"/>
        </w:rPr>
      </w:pPr>
    </w:p>
    <w:p w14:paraId="78480C81" w14:textId="77777777" w:rsidR="00280058" w:rsidRDefault="00280058" w:rsidP="00280058">
      <w:pPr>
        <w:jc w:val="both"/>
        <w:rPr>
          <w:rFonts w:ascii="Georgia" w:hAnsi="Georgia"/>
          <w:sz w:val="20"/>
          <w:lang w:val="lt-LT"/>
        </w:rPr>
      </w:pPr>
      <w:r w:rsidRPr="00DF3A8E">
        <w:rPr>
          <w:rFonts w:ascii="Georgia" w:hAnsi="Georgia"/>
          <w:sz w:val="20"/>
          <w:lang w:val="lt-LT"/>
        </w:rPr>
        <w:t xml:space="preserve">Atsižvelgiant į aukščiau išvardintas prielaidas </w:t>
      </w:r>
      <w:r>
        <w:rPr>
          <w:rFonts w:ascii="Georgia" w:hAnsi="Georgia"/>
          <w:sz w:val="20"/>
          <w:lang w:val="lt-LT"/>
        </w:rPr>
        <w:t>sekančioje</w:t>
      </w:r>
      <w:r w:rsidRPr="00DF3A8E">
        <w:rPr>
          <w:rFonts w:ascii="Georgia" w:hAnsi="Georgia"/>
          <w:sz w:val="20"/>
          <w:lang w:val="lt-LT"/>
        </w:rPr>
        <w:t xml:space="preserve"> </w:t>
      </w:r>
      <w:r w:rsidRPr="00D545C4">
        <w:rPr>
          <w:rFonts w:ascii="Georgia" w:hAnsi="Georgia"/>
          <w:sz w:val="20"/>
          <w:lang w:val="lt-LT"/>
        </w:rPr>
        <w:t xml:space="preserve">lentelėje </w:t>
      </w:r>
      <w:r w:rsidRPr="00DF3A8E">
        <w:rPr>
          <w:rFonts w:ascii="Georgia" w:hAnsi="Georgia"/>
          <w:sz w:val="20"/>
          <w:lang w:val="lt-LT"/>
        </w:rPr>
        <w:t>pateikiama jautrumo analizė</w:t>
      </w:r>
      <w:r>
        <w:rPr>
          <w:rFonts w:ascii="Georgia" w:hAnsi="Georgia"/>
          <w:sz w:val="20"/>
          <w:lang w:val="lt-LT"/>
        </w:rPr>
        <w:t xml:space="preserve"> vertinant</w:t>
      </w:r>
      <w:r w:rsidRPr="00DF3A8E">
        <w:rPr>
          <w:rFonts w:ascii="Georgia" w:hAnsi="Georgia"/>
          <w:sz w:val="20"/>
          <w:lang w:val="lt-LT"/>
        </w:rPr>
        <w:t xml:space="preserve"> </w:t>
      </w:r>
      <w:r>
        <w:rPr>
          <w:rFonts w:ascii="Georgia" w:hAnsi="Georgia"/>
          <w:sz w:val="20"/>
          <w:lang w:val="lt-LT"/>
        </w:rPr>
        <w:t xml:space="preserve">santykį </w:t>
      </w:r>
      <w:r w:rsidRPr="00DF3A8E">
        <w:rPr>
          <w:rFonts w:ascii="Georgia" w:hAnsi="Georgia"/>
          <w:sz w:val="20"/>
          <w:lang w:val="lt-LT"/>
        </w:rPr>
        <w:t>tarp sutaupytos energijos ir subsidijos poreikio</w:t>
      </w:r>
      <w:r>
        <w:rPr>
          <w:rFonts w:ascii="Georgia" w:hAnsi="Georgia"/>
          <w:sz w:val="20"/>
          <w:lang w:val="lt-LT"/>
        </w:rPr>
        <w:t>.</w:t>
      </w:r>
    </w:p>
    <w:p w14:paraId="7F149E2E" w14:textId="02F5730E" w:rsidR="00280058" w:rsidRPr="00893A57" w:rsidRDefault="00280058" w:rsidP="00280058">
      <w:pPr>
        <w:pStyle w:val="Antrat"/>
        <w:jc w:val="both"/>
        <w:rPr>
          <w:lang w:val="lt-LT"/>
        </w:rPr>
      </w:pPr>
      <w:bookmarkStart w:id="128" w:name="_Toc460321630"/>
      <w:r w:rsidRPr="00CC0678">
        <w:rPr>
          <w:lang w:val="lt-LT"/>
        </w:rPr>
        <w:t xml:space="preserve">Lentelė </w:t>
      </w:r>
      <w:r w:rsidRPr="00CC0678">
        <w:rPr>
          <w:lang w:val="lt-LT"/>
        </w:rPr>
        <w:fldChar w:fldCharType="begin"/>
      </w:r>
      <w:r w:rsidRPr="00CC0678">
        <w:rPr>
          <w:lang w:val="lt-LT"/>
        </w:rPr>
        <w:instrText xml:space="preserve"> SEQ Lentelė \* ARABIC </w:instrText>
      </w:r>
      <w:r w:rsidRPr="00CC0678">
        <w:rPr>
          <w:lang w:val="lt-LT"/>
        </w:rPr>
        <w:fldChar w:fldCharType="separate"/>
      </w:r>
      <w:r w:rsidR="00AA3082">
        <w:rPr>
          <w:noProof/>
          <w:lang w:val="lt-LT"/>
        </w:rPr>
        <w:t>49</w:t>
      </w:r>
      <w:r w:rsidRPr="00CC0678">
        <w:rPr>
          <w:lang w:val="lt-LT"/>
        </w:rPr>
        <w:fldChar w:fldCharType="end"/>
      </w:r>
      <w:r w:rsidRPr="00CC0678">
        <w:rPr>
          <w:lang w:val="lt-LT"/>
        </w:rPr>
        <w:t xml:space="preserve">. </w:t>
      </w:r>
      <w:r w:rsidRPr="00893A57">
        <w:rPr>
          <w:lang w:val="lt-LT"/>
        </w:rPr>
        <w:t xml:space="preserve">Sutaupytos energijos ir subsidijos poreikio </w:t>
      </w:r>
      <w:r>
        <w:rPr>
          <w:lang w:val="lt-LT"/>
        </w:rPr>
        <w:t xml:space="preserve">santykio </w:t>
      </w:r>
      <w:r w:rsidRPr="00893A57">
        <w:rPr>
          <w:lang w:val="lt-LT"/>
        </w:rPr>
        <w:t>jautrumo analizė.</w:t>
      </w:r>
      <w:bookmarkEnd w:id="128"/>
    </w:p>
    <w:tbl>
      <w:tblPr>
        <w:tblW w:w="5000" w:type="pct"/>
        <w:tblLook w:val="04A0" w:firstRow="1" w:lastRow="0" w:firstColumn="1" w:lastColumn="0" w:noHBand="0" w:noVBand="1"/>
      </w:tblPr>
      <w:tblGrid>
        <w:gridCol w:w="341"/>
        <w:gridCol w:w="1251"/>
        <w:gridCol w:w="832"/>
        <w:gridCol w:w="832"/>
        <w:gridCol w:w="834"/>
        <w:gridCol w:w="832"/>
        <w:gridCol w:w="832"/>
        <w:gridCol w:w="834"/>
        <w:gridCol w:w="832"/>
        <w:gridCol w:w="832"/>
        <w:gridCol w:w="830"/>
      </w:tblGrid>
      <w:tr w:rsidR="00280058" w:rsidRPr="002C025E" w14:paraId="68174F98" w14:textId="77777777" w:rsidTr="0005008F">
        <w:tc>
          <w:tcPr>
            <w:tcW w:w="876" w:type="pct"/>
            <w:gridSpan w:val="2"/>
            <w:vMerge w:val="restart"/>
            <w:tcBorders>
              <w:top w:val="nil"/>
              <w:left w:val="nil"/>
              <w:right w:val="nil"/>
            </w:tcBorders>
            <w:shd w:val="clear" w:color="auto" w:fill="auto"/>
            <w:noWrap/>
            <w:tcMar>
              <w:left w:w="28" w:type="dxa"/>
              <w:right w:w="28" w:type="dxa"/>
            </w:tcMar>
            <w:vAlign w:val="bottom"/>
          </w:tcPr>
          <w:p w14:paraId="55054B83" w14:textId="77777777" w:rsidR="00280058" w:rsidRPr="00DF3A8E" w:rsidRDefault="00280058" w:rsidP="00BB18F6">
            <w:pPr>
              <w:spacing w:after="0" w:line="240" w:lineRule="auto"/>
              <w:rPr>
                <w:rFonts w:ascii="Arial" w:eastAsia="Times New Roman" w:hAnsi="Arial" w:cs="Arial"/>
                <w:sz w:val="18"/>
                <w:szCs w:val="18"/>
                <w:lang w:val="lt-LT" w:eastAsia="lt-LT"/>
              </w:rPr>
            </w:pPr>
          </w:p>
        </w:tc>
        <w:tc>
          <w:tcPr>
            <w:tcW w:w="4124" w:type="pct"/>
            <w:gridSpan w:val="9"/>
            <w:tcBorders>
              <w:top w:val="nil"/>
              <w:left w:val="nil"/>
              <w:bottom w:val="nil"/>
              <w:right w:val="nil"/>
            </w:tcBorders>
            <w:shd w:val="clear" w:color="000000" w:fill="FFC18A"/>
            <w:noWrap/>
            <w:tcMar>
              <w:left w:w="28" w:type="dxa"/>
              <w:right w:w="28" w:type="dxa"/>
            </w:tcMar>
            <w:vAlign w:val="bottom"/>
            <w:hideMark/>
          </w:tcPr>
          <w:p w14:paraId="472EC3B8" w14:textId="77777777" w:rsidR="00280058" w:rsidRPr="00DF3A8E" w:rsidRDefault="00280058" w:rsidP="00BB18F6">
            <w:pPr>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Energijos sutaupymai </w:t>
            </w:r>
          </w:p>
        </w:tc>
      </w:tr>
      <w:tr w:rsidR="00280058" w:rsidRPr="002C025E" w14:paraId="47EDEA17" w14:textId="77777777" w:rsidTr="0005008F">
        <w:tc>
          <w:tcPr>
            <w:tcW w:w="876" w:type="pct"/>
            <w:gridSpan w:val="2"/>
            <w:vMerge/>
            <w:tcBorders>
              <w:left w:val="nil"/>
              <w:bottom w:val="nil"/>
              <w:right w:val="nil"/>
            </w:tcBorders>
            <w:shd w:val="clear" w:color="auto" w:fill="auto"/>
            <w:noWrap/>
            <w:tcMar>
              <w:left w:w="28" w:type="dxa"/>
              <w:right w:w="28" w:type="dxa"/>
            </w:tcMar>
            <w:vAlign w:val="bottom"/>
            <w:hideMark/>
          </w:tcPr>
          <w:p w14:paraId="61556DAE" w14:textId="77777777" w:rsidR="00280058" w:rsidRPr="00DF3A8E" w:rsidRDefault="00280058" w:rsidP="00BB18F6">
            <w:pPr>
              <w:spacing w:after="0" w:line="240" w:lineRule="auto"/>
              <w:rPr>
                <w:rFonts w:ascii="Arial" w:eastAsia="Times New Roman" w:hAnsi="Arial" w:cs="Arial"/>
                <w:color w:val="FFFFFF"/>
                <w:sz w:val="18"/>
                <w:szCs w:val="18"/>
                <w:lang w:val="lt-LT" w:eastAsia="lt-LT"/>
              </w:rPr>
            </w:pPr>
          </w:p>
        </w:tc>
        <w:tc>
          <w:tcPr>
            <w:tcW w:w="458" w:type="pct"/>
            <w:tcBorders>
              <w:top w:val="nil"/>
              <w:left w:val="nil"/>
              <w:right w:val="nil"/>
            </w:tcBorders>
            <w:shd w:val="clear" w:color="auto" w:fill="auto"/>
            <w:noWrap/>
            <w:tcMar>
              <w:left w:w="28" w:type="dxa"/>
              <w:right w:w="28" w:type="dxa"/>
            </w:tcMar>
            <w:vAlign w:val="bottom"/>
            <w:hideMark/>
          </w:tcPr>
          <w:p w14:paraId="255DA8E5"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40%</w:t>
            </w:r>
          </w:p>
        </w:tc>
        <w:tc>
          <w:tcPr>
            <w:tcW w:w="458" w:type="pct"/>
            <w:tcBorders>
              <w:top w:val="nil"/>
              <w:left w:val="nil"/>
              <w:right w:val="nil"/>
            </w:tcBorders>
            <w:shd w:val="clear" w:color="auto" w:fill="auto"/>
            <w:noWrap/>
            <w:tcMar>
              <w:left w:w="28" w:type="dxa"/>
              <w:right w:w="28" w:type="dxa"/>
            </w:tcMar>
            <w:vAlign w:val="bottom"/>
            <w:hideMark/>
          </w:tcPr>
          <w:p w14:paraId="15251643"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45%</w:t>
            </w:r>
          </w:p>
        </w:tc>
        <w:tc>
          <w:tcPr>
            <w:tcW w:w="459" w:type="pct"/>
            <w:tcBorders>
              <w:top w:val="nil"/>
              <w:left w:val="nil"/>
              <w:bottom w:val="nil"/>
              <w:right w:val="nil"/>
            </w:tcBorders>
            <w:shd w:val="clear" w:color="auto" w:fill="auto"/>
            <w:noWrap/>
            <w:tcMar>
              <w:left w:w="28" w:type="dxa"/>
              <w:right w:w="28" w:type="dxa"/>
            </w:tcMar>
            <w:vAlign w:val="bottom"/>
            <w:hideMark/>
          </w:tcPr>
          <w:p w14:paraId="4AD3BD3D"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50%</w:t>
            </w:r>
          </w:p>
        </w:tc>
        <w:tc>
          <w:tcPr>
            <w:tcW w:w="458" w:type="pct"/>
            <w:tcBorders>
              <w:top w:val="nil"/>
              <w:left w:val="nil"/>
              <w:bottom w:val="nil"/>
              <w:right w:val="nil"/>
            </w:tcBorders>
            <w:shd w:val="clear" w:color="auto" w:fill="auto"/>
            <w:noWrap/>
            <w:tcMar>
              <w:left w:w="28" w:type="dxa"/>
              <w:right w:w="28" w:type="dxa"/>
            </w:tcMar>
            <w:vAlign w:val="bottom"/>
            <w:hideMark/>
          </w:tcPr>
          <w:p w14:paraId="380FB024"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55%</w:t>
            </w:r>
          </w:p>
        </w:tc>
        <w:tc>
          <w:tcPr>
            <w:tcW w:w="458" w:type="pct"/>
            <w:tcBorders>
              <w:top w:val="nil"/>
              <w:left w:val="nil"/>
              <w:bottom w:val="nil"/>
              <w:right w:val="nil"/>
            </w:tcBorders>
            <w:shd w:val="clear" w:color="auto" w:fill="auto"/>
            <w:noWrap/>
            <w:tcMar>
              <w:left w:w="28" w:type="dxa"/>
              <w:right w:w="28" w:type="dxa"/>
            </w:tcMar>
            <w:vAlign w:val="bottom"/>
            <w:hideMark/>
          </w:tcPr>
          <w:p w14:paraId="4CE52CE5"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60%</w:t>
            </w:r>
          </w:p>
        </w:tc>
        <w:tc>
          <w:tcPr>
            <w:tcW w:w="459" w:type="pct"/>
            <w:tcBorders>
              <w:top w:val="nil"/>
              <w:left w:val="nil"/>
              <w:bottom w:val="nil"/>
              <w:right w:val="nil"/>
            </w:tcBorders>
            <w:shd w:val="clear" w:color="auto" w:fill="auto"/>
            <w:noWrap/>
            <w:tcMar>
              <w:left w:w="28" w:type="dxa"/>
              <w:right w:w="28" w:type="dxa"/>
            </w:tcMar>
            <w:vAlign w:val="bottom"/>
            <w:hideMark/>
          </w:tcPr>
          <w:p w14:paraId="0EF8228A"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65%</w:t>
            </w:r>
          </w:p>
        </w:tc>
        <w:tc>
          <w:tcPr>
            <w:tcW w:w="458" w:type="pct"/>
            <w:tcBorders>
              <w:top w:val="nil"/>
              <w:left w:val="nil"/>
              <w:bottom w:val="nil"/>
              <w:right w:val="nil"/>
            </w:tcBorders>
            <w:shd w:val="clear" w:color="auto" w:fill="auto"/>
            <w:noWrap/>
            <w:tcMar>
              <w:left w:w="28" w:type="dxa"/>
              <w:right w:w="28" w:type="dxa"/>
            </w:tcMar>
            <w:vAlign w:val="bottom"/>
            <w:hideMark/>
          </w:tcPr>
          <w:p w14:paraId="6051B756"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70%</w:t>
            </w:r>
          </w:p>
        </w:tc>
        <w:tc>
          <w:tcPr>
            <w:tcW w:w="458" w:type="pct"/>
            <w:tcBorders>
              <w:top w:val="nil"/>
              <w:left w:val="nil"/>
              <w:bottom w:val="nil"/>
              <w:right w:val="nil"/>
            </w:tcBorders>
            <w:shd w:val="clear" w:color="auto" w:fill="auto"/>
            <w:noWrap/>
            <w:tcMar>
              <w:left w:w="28" w:type="dxa"/>
              <w:right w:w="28" w:type="dxa"/>
            </w:tcMar>
            <w:vAlign w:val="bottom"/>
            <w:hideMark/>
          </w:tcPr>
          <w:p w14:paraId="39F348B7"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75%</w:t>
            </w:r>
          </w:p>
        </w:tc>
        <w:tc>
          <w:tcPr>
            <w:tcW w:w="457" w:type="pct"/>
            <w:tcBorders>
              <w:top w:val="nil"/>
              <w:left w:val="nil"/>
              <w:bottom w:val="nil"/>
              <w:right w:val="nil"/>
            </w:tcBorders>
            <w:shd w:val="clear" w:color="auto" w:fill="auto"/>
            <w:noWrap/>
            <w:tcMar>
              <w:left w:w="28" w:type="dxa"/>
              <w:right w:w="28" w:type="dxa"/>
            </w:tcMar>
            <w:vAlign w:val="bottom"/>
            <w:hideMark/>
          </w:tcPr>
          <w:p w14:paraId="45397297"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80%</w:t>
            </w:r>
          </w:p>
        </w:tc>
      </w:tr>
      <w:tr w:rsidR="00280058" w:rsidRPr="002C025E" w14:paraId="5ADE8BAF" w14:textId="77777777" w:rsidTr="0005008F">
        <w:tc>
          <w:tcPr>
            <w:tcW w:w="188" w:type="pct"/>
            <w:vMerge w:val="restart"/>
            <w:tcBorders>
              <w:top w:val="nil"/>
              <w:left w:val="nil"/>
              <w:bottom w:val="nil"/>
              <w:right w:val="nil"/>
            </w:tcBorders>
            <w:shd w:val="clear" w:color="000000" w:fill="D9D9D9"/>
            <w:noWrap/>
            <w:tcMar>
              <w:left w:w="28" w:type="dxa"/>
              <w:right w:w="28" w:type="dxa"/>
            </w:tcMar>
            <w:textDirection w:val="btLr"/>
            <w:vAlign w:val="center"/>
            <w:hideMark/>
          </w:tcPr>
          <w:p w14:paraId="0D3A4907" w14:textId="77777777" w:rsidR="00280058" w:rsidRPr="00DF3A8E" w:rsidRDefault="00280058" w:rsidP="00BB18F6">
            <w:pPr>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Subsidija </w:t>
            </w:r>
          </w:p>
        </w:tc>
        <w:tc>
          <w:tcPr>
            <w:tcW w:w="689" w:type="pct"/>
            <w:tcBorders>
              <w:top w:val="nil"/>
              <w:left w:val="nil"/>
              <w:bottom w:val="nil"/>
              <w:right w:val="nil"/>
            </w:tcBorders>
            <w:shd w:val="clear" w:color="auto" w:fill="auto"/>
            <w:noWrap/>
            <w:tcMar>
              <w:left w:w="28" w:type="dxa"/>
              <w:right w:w="28" w:type="dxa"/>
            </w:tcMar>
            <w:vAlign w:val="bottom"/>
            <w:hideMark/>
          </w:tcPr>
          <w:p w14:paraId="10104EC3"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w:t>
            </w:r>
          </w:p>
        </w:tc>
        <w:tc>
          <w:tcPr>
            <w:tcW w:w="458" w:type="pct"/>
            <w:tcBorders>
              <w:top w:val="nil"/>
              <w:left w:val="nil"/>
              <w:bottom w:val="nil"/>
              <w:right w:val="nil"/>
            </w:tcBorders>
            <w:shd w:val="clear" w:color="auto" w:fill="FFC7CE"/>
            <w:noWrap/>
            <w:tcMar>
              <w:left w:w="28" w:type="dxa"/>
              <w:right w:w="28" w:type="dxa"/>
            </w:tcMar>
            <w:vAlign w:val="bottom"/>
            <w:hideMark/>
          </w:tcPr>
          <w:p w14:paraId="5CAA51AD" w14:textId="77777777"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sz w:val="18"/>
                <w:szCs w:val="18"/>
                <w:lang w:val="lt-LT" w:eastAsia="lt-LT"/>
              </w:rPr>
              <w:t>23.8</w:t>
            </w:r>
          </w:p>
        </w:tc>
        <w:tc>
          <w:tcPr>
            <w:tcW w:w="458" w:type="pct"/>
            <w:tcBorders>
              <w:top w:val="nil"/>
              <w:left w:val="nil"/>
              <w:bottom w:val="nil"/>
              <w:right w:val="nil"/>
            </w:tcBorders>
            <w:shd w:val="clear" w:color="auto" w:fill="FFC7CE"/>
            <w:noWrap/>
            <w:tcMar>
              <w:left w:w="28" w:type="dxa"/>
              <w:right w:w="28" w:type="dxa"/>
            </w:tcMar>
            <w:vAlign w:val="bottom"/>
            <w:hideMark/>
          </w:tcPr>
          <w:p w14:paraId="0D0C3497" w14:textId="77777777"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sz w:val="18"/>
                <w:szCs w:val="18"/>
                <w:lang w:val="lt-LT" w:eastAsia="lt-LT"/>
              </w:rPr>
              <w:t>20.8</w:t>
            </w:r>
          </w:p>
        </w:tc>
        <w:tc>
          <w:tcPr>
            <w:tcW w:w="459" w:type="pct"/>
            <w:tcBorders>
              <w:top w:val="nil"/>
              <w:left w:val="nil"/>
              <w:bottom w:val="nil"/>
              <w:right w:val="nil"/>
            </w:tcBorders>
            <w:shd w:val="clear" w:color="000000" w:fill="C6EFCE"/>
            <w:noWrap/>
            <w:tcMar>
              <w:left w:w="28" w:type="dxa"/>
              <w:right w:w="28" w:type="dxa"/>
            </w:tcMar>
            <w:vAlign w:val="bottom"/>
            <w:hideMark/>
          </w:tcPr>
          <w:p w14:paraId="284A370F"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18.6</w:t>
            </w:r>
          </w:p>
        </w:tc>
        <w:tc>
          <w:tcPr>
            <w:tcW w:w="458" w:type="pct"/>
            <w:tcBorders>
              <w:top w:val="nil"/>
              <w:left w:val="nil"/>
              <w:bottom w:val="nil"/>
              <w:right w:val="nil"/>
            </w:tcBorders>
            <w:shd w:val="clear" w:color="000000" w:fill="C6EFCE"/>
            <w:noWrap/>
            <w:tcMar>
              <w:left w:w="28" w:type="dxa"/>
              <w:right w:w="28" w:type="dxa"/>
            </w:tcMar>
            <w:vAlign w:val="bottom"/>
            <w:hideMark/>
          </w:tcPr>
          <w:p w14:paraId="422F08C0"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16.7</w:t>
            </w:r>
          </w:p>
        </w:tc>
        <w:tc>
          <w:tcPr>
            <w:tcW w:w="458" w:type="pct"/>
            <w:tcBorders>
              <w:top w:val="nil"/>
              <w:left w:val="nil"/>
              <w:bottom w:val="nil"/>
              <w:right w:val="nil"/>
            </w:tcBorders>
            <w:shd w:val="clear" w:color="000000" w:fill="C6EFCE"/>
            <w:noWrap/>
            <w:tcMar>
              <w:left w:w="28" w:type="dxa"/>
              <w:right w:w="28" w:type="dxa"/>
            </w:tcMar>
            <w:vAlign w:val="bottom"/>
            <w:hideMark/>
          </w:tcPr>
          <w:p w14:paraId="216F8079"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15.2</w:t>
            </w:r>
          </w:p>
        </w:tc>
        <w:tc>
          <w:tcPr>
            <w:tcW w:w="459" w:type="pct"/>
            <w:tcBorders>
              <w:top w:val="nil"/>
              <w:left w:val="nil"/>
              <w:bottom w:val="nil"/>
              <w:right w:val="nil"/>
            </w:tcBorders>
            <w:shd w:val="clear" w:color="000000" w:fill="C6EFCE"/>
            <w:noWrap/>
            <w:tcMar>
              <w:left w:w="28" w:type="dxa"/>
              <w:right w:w="28" w:type="dxa"/>
            </w:tcMar>
            <w:vAlign w:val="bottom"/>
            <w:hideMark/>
          </w:tcPr>
          <w:p w14:paraId="4DA069D0"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14.0</w:t>
            </w:r>
          </w:p>
        </w:tc>
        <w:tc>
          <w:tcPr>
            <w:tcW w:w="458" w:type="pct"/>
            <w:tcBorders>
              <w:top w:val="nil"/>
              <w:left w:val="nil"/>
              <w:bottom w:val="nil"/>
              <w:right w:val="nil"/>
            </w:tcBorders>
            <w:shd w:val="clear" w:color="000000" w:fill="C6EFCE"/>
            <w:noWrap/>
            <w:tcMar>
              <w:left w:w="28" w:type="dxa"/>
              <w:right w:w="28" w:type="dxa"/>
            </w:tcMar>
            <w:vAlign w:val="bottom"/>
            <w:hideMark/>
          </w:tcPr>
          <w:p w14:paraId="1E0831D2"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12.9</w:t>
            </w:r>
          </w:p>
        </w:tc>
        <w:tc>
          <w:tcPr>
            <w:tcW w:w="458" w:type="pct"/>
            <w:tcBorders>
              <w:top w:val="nil"/>
              <w:left w:val="nil"/>
              <w:bottom w:val="nil"/>
              <w:right w:val="nil"/>
            </w:tcBorders>
            <w:shd w:val="clear" w:color="000000" w:fill="C6EFCE"/>
            <w:noWrap/>
            <w:tcMar>
              <w:left w:w="28" w:type="dxa"/>
              <w:right w:w="28" w:type="dxa"/>
            </w:tcMar>
            <w:vAlign w:val="bottom"/>
            <w:hideMark/>
          </w:tcPr>
          <w:p w14:paraId="3B6C164A"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12.0</w:t>
            </w:r>
          </w:p>
        </w:tc>
        <w:tc>
          <w:tcPr>
            <w:tcW w:w="457" w:type="pct"/>
            <w:tcBorders>
              <w:top w:val="nil"/>
              <w:left w:val="nil"/>
              <w:bottom w:val="nil"/>
              <w:right w:val="nil"/>
            </w:tcBorders>
            <w:shd w:val="clear" w:color="000000" w:fill="C6EFCE"/>
            <w:noWrap/>
            <w:tcMar>
              <w:left w:w="28" w:type="dxa"/>
              <w:right w:w="28" w:type="dxa"/>
            </w:tcMar>
            <w:vAlign w:val="bottom"/>
            <w:hideMark/>
          </w:tcPr>
          <w:p w14:paraId="3C9FD5EC"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11.2</w:t>
            </w:r>
          </w:p>
        </w:tc>
      </w:tr>
      <w:tr w:rsidR="00280058" w:rsidRPr="002C025E" w14:paraId="03C9471E" w14:textId="77777777" w:rsidTr="0005008F">
        <w:tc>
          <w:tcPr>
            <w:tcW w:w="188" w:type="pct"/>
            <w:vMerge/>
            <w:tcBorders>
              <w:top w:val="nil"/>
              <w:left w:val="nil"/>
              <w:bottom w:val="nil"/>
              <w:right w:val="nil"/>
            </w:tcBorders>
            <w:tcMar>
              <w:left w:w="28" w:type="dxa"/>
              <w:right w:w="28" w:type="dxa"/>
            </w:tcMar>
            <w:vAlign w:val="center"/>
            <w:hideMark/>
          </w:tcPr>
          <w:p w14:paraId="26A1A752"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689" w:type="pct"/>
            <w:tcBorders>
              <w:top w:val="nil"/>
              <w:left w:val="nil"/>
              <w:bottom w:val="nil"/>
              <w:right w:val="nil"/>
            </w:tcBorders>
            <w:shd w:val="clear" w:color="auto" w:fill="auto"/>
            <w:noWrap/>
            <w:tcMar>
              <w:left w:w="28" w:type="dxa"/>
              <w:right w:w="28" w:type="dxa"/>
            </w:tcMar>
            <w:vAlign w:val="bottom"/>
            <w:hideMark/>
          </w:tcPr>
          <w:p w14:paraId="229CBA1A"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10%</w:t>
            </w:r>
          </w:p>
        </w:tc>
        <w:tc>
          <w:tcPr>
            <w:tcW w:w="458" w:type="pct"/>
            <w:tcBorders>
              <w:top w:val="nil"/>
              <w:left w:val="nil"/>
              <w:bottom w:val="nil"/>
              <w:right w:val="nil"/>
            </w:tcBorders>
            <w:shd w:val="clear" w:color="auto" w:fill="FFC7CE"/>
            <w:noWrap/>
            <w:tcMar>
              <w:left w:w="28" w:type="dxa"/>
              <w:right w:w="28" w:type="dxa"/>
            </w:tcMar>
            <w:vAlign w:val="bottom"/>
            <w:hideMark/>
          </w:tcPr>
          <w:p w14:paraId="719C2B98" w14:textId="77777777" w:rsidR="00280058" w:rsidRPr="00DF3A8E" w:rsidRDefault="00280058" w:rsidP="00BB18F6">
            <w:pPr>
              <w:spacing w:after="0" w:line="240" w:lineRule="auto"/>
              <w:jc w:val="right"/>
              <w:rPr>
                <w:rFonts w:ascii="Arial" w:eastAsia="Times New Roman" w:hAnsi="Arial" w:cs="Arial"/>
                <w:sz w:val="18"/>
                <w:szCs w:val="18"/>
                <w:lang w:val="lt-LT" w:eastAsia="lt-LT"/>
              </w:rPr>
            </w:pPr>
            <w:r w:rsidRPr="00DF3A8E">
              <w:rPr>
                <w:rFonts w:ascii="Arial" w:eastAsia="Times New Roman" w:hAnsi="Arial" w:cs="Arial"/>
                <w:sz w:val="18"/>
                <w:szCs w:val="18"/>
                <w:lang w:val="lt-LT" w:eastAsia="lt-LT"/>
              </w:rPr>
              <w:t>21.1</w:t>
            </w:r>
          </w:p>
        </w:tc>
        <w:tc>
          <w:tcPr>
            <w:tcW w:w="458" w:type="pct"/>
            <w:tcBorders>
              <w:top w:val="nil"/>
              <w:left w:val="nil"/>
              <w:bottom w:val="nil"/>
              <w:right w:val="nil"/>
            </w:tcBorders>
            <w:shd w:val="clear" w:color="000000" w:fill="C6EFCE"/>
            <w:noWrap/>
            <w:tcMar>
              <w:left w:w="28" w:type="dxa"/>
              <w:right w:w="28" w:type="dxa"/>
            </w:tcMar>
            <w:vAlign w:val="bottom"/>
            <w:hideMark/>
          </w:tcPr>
          <w:p w14:paraId="0F41503F"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18.6</w:t>
            </w:r>
          </w:p>
        </w:tc>
        <w:tc>
          <w:tcPr>
            <w:tcW w:w="459" w:type="pct"/>
            <w:tcBorders>
              <w:top w:val="nil"/>
              <w:left w:val="nil"/>
              <w:bottom w:val="nil"/>
              <w:right w:val="nil"/>
            </w:tcBorders>
            <w:shd w:val="clear" w:color="000000" w:fill="C6EFCE"/>
            <w:noWrap/>
            <w:tcMar>
              <w:left w:w="28" w:type="dxa"/>
              <w:right w:w="28" w:type="dxa"/>
            </w:tcMar>
            <w:vAlign w:val="bottom"/>
            <w:hideMark/>
          </w:tcPr>
          <w:p w14:paraId="57B03543"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16.5</w:t>
            </w:r>
          </w:p>
        </w:tc>
        <w:tc>
          <w:tcPr>
            <w:tcW w:w="458" w:type="pct"/>
            <w:tcBorders>
              <w:top w:val="nil"/>
              <w:left w:val="nil"/>
              <w:bottom w:val="nil"/>
              <w:right w:val="nil"/>
            </w:tcBorders>
            <w:shd w:val="clear" w:color="000000" w:fill="C6EFCE"/>
            <w:noWrap/>
            <w:tcMar>
              <w:left w:w="28" w:type="dxa"/>
              <w:right w:w="28" w:type="dxa"/>
            </w:tcMar>
            <w:vAlign w:val="bottom"/>
            <w:hideMark/>
          </w:tcPr>
          <w:p w14:paraId="1DF823E8"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14.9</w:t>
            </w:r>
          </w:p>
        </w:tc>
        <w:tc>
          <w:tcPr>
            <w:tcW w:w="458" w:type="pct"/>
            <w:tcBorders>
              <w:top w:val="nil"/>
              <w:left w:val="nil"/>
              <w:bottom w:val="nil"/>
              <w:right w:val="nil"/>
            </w:tcBorders>
            <w:shd w:val="clear" w:color="000000" w:fill="C6EFCE"/>
            <w:noWrap/>
            <w:tcMar>
              <w:left w:w="28" w:type="dxa"/>
              <w:right w:w="28" w:type="dxa"/>
            </w:tcMar>
            <w:vAlign w:val="bottom"/>
            <w:hideMark/>
          </w:tcPr>
          <w:p w14:paraId="53864995"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13.6</w:t>
            </w:r>
          </w:p>
        </w:tc>
        <w:tc>
          <w:tcPr>
            <w:tcW w:w="459" w:type="pct"/>
            <w:tcBorders>
              <w:top w:val="nil"/>
              <w:left w:val="nil"/>
              <w:bottom w:val="nil"/>
              <w:right w:val="nil"/>
            </w:tcBorders>
            <w:shd w:val="clear" w:color="000000" w:fill="C6EFCE"/>
            <w:noWrap/>
            <w:tcMar>
              <w:left w:w="28" w:type="dxa"/>
              <w:right w:w="28" w:type="dxa"/>
            </w:tcMar>
            <w:vAlign w:val="bottom"/>
            <w:hideMark/>
          </w:tcPr>
          <w:p w14:paraId="61C1ABD9"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12.5</w:t>
            </w:r>
          </w:p>
        </w:tc>
        <w:tc>
          <w:tcPr>
            <w:tcW w:w="458" w:type="pct"/>
            <w:tcBorders>
              <w:top w:val="nil"/>
              <w:left w:val="nil"/>
              <w:bottom w:val="nil"/>
              <w:right w:val="nil"/>
            </w:tcBorders>
            <w:shd w:val="clear" w:color="000000" w:fill="C6EFCE"/>
            <w:noWrap/>
            <w:tcMar>
              <w:left w:w="28" w:type="dxa"/>
              <w:right w:w="28" w:type="dxa"/>
            </w:tcMar>
            <w:vAlign w:val="bottom"/>
            <w:hideMark/>
          </w:tcPr>
          <w:p w14:paraId="5DEA920D"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11.5</w:t>
            </w:r>
          </w:p>
        </w:tc>
        <w:tc>
          <w:tcPr>
            <w:tcW w:w="458" w:type="pct"/>
            <w:tcBorders>
              <w:top w:val="nil"/>
              <w:left w:val="nil"/>
              <w:bottom w:val="nil"/>
              <w:right w:val="nil"/>
            </w:tcBorders>
            <w:shd w:val="clear" w:color="000000" w:fill="C6EFCE"/>
            <w:noWrap/>
            <w:tcMar>
              <w:left w:w="28" w:type="dxa"/>
              <w:right w:w="28" w:type="dxa"/>
            </w:tcMar>
            <w:vAlign w:val="bottom"/>
            <w:hideMark/>
          </w:tcPr>
          <w:p w14:paraId="0AF1DDFC"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10.7</w:t>
            </w:r>
          </w:p>
        </w:tc>
        <w:tc>
          <w:tcPr>
            <w:tcW w:w="457" w:type="pct"/>
            <w:tcBorders>
              <w:top w:val="nil"/>
              <w:left w:val="nil"/>
              <w:bottom w:val="nil"/>
              <w:right w:val="nil"/>
            </w:tcBorders>
            <w:shd w:val="clear" w:color="000000" w:fill="C6EFCE"/>
            <w:noWrap/>
            <w:tcMar>
              <w:left w:w="28" w:type="dxa"/>
              <w:right w:w="28" w:type="dxa"/>
            </w:tcMar>
            <w:vAlign w:val="bottom"/>
            <w:hideMark/>
          </w:tcPr>
          <w:p w14:paraId="7BDDB72E"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10.0</w:t>
            </w:r>
          </w:p>
        </w:tc>
      </w:tr>
      <w:tr w:rsidR="00280058" w:rsidRPr="002C025E" w14:paraId="7736EFA7" w14:textId="77777777" w:rsidTr="0005008F">
        <w:tc>
          <w:tcPr>
            <w:tcW w:w="188" w:type="pct"/>
            <w:vMerge/>
            <w:tcBorders>
              <w:top w:val="nil"/>
              <w:left w:val="nil"/>
              <w:bottom w:val="nil"/>
              <w:right w:val="nil"/>
            </w:tcBorders>
            <w:tcMar>
              <w:left w:w="28" w:type="dxa"/>
              <w:right w:w="28" w:type="dxa"/>
            </w:tcMar>
            <w:vAlign w:val="center"/>
            <w:hideMark/>
          </w:tcPr>
          <w:p w14:paraId="5BB9F07C"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689" w:type="pct"/>
            <w:tcBorders>
              <w:top w:val="nil"/>
              <w:left w:val="nil"/>
              <w:bottom w:val="nil"/>
              <w:right w:val="nil"/>
            </w:tcBorders>
            <w:shd w:val="clear" w:color="auto" w:fill="auto"/>
            <w:noWrap/>
            <w:tcMar>
              <w:left w:w="28" w:type="dxa"/>
              <w:right w:w="28" w:type="dxa"/>
            </w:tcMar>
            <w:vAlign w:val="bottom"/>
            <w:hideMark/>
          </w:tcPr>
          <w:p w14:paraId="074BB3CB"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20%</w:t>
            </w:r>
          </w:p>
        </w:tc>
        <w:tc>
          <w:tcPr>
            <w:tcW w:w="458" w:type="pct"/>
            <w:tcBorders>
              <w:top w:val="nil"/>
              <w:left w:val="nil"/>
              <w:bottom w:val="nil"/>
              <w:right w:val="nil"/>
            </w:tcBorders>
            <w:shd w:val="clear" w:color="000000" w:fill="C6EFCE"/>
            <w:noWrap/>
            <w:tcMar>
              <w:left w:w="28" w:type="dxa"/>
              <w:right w:w="28" w:type="dxa"/>
            </w:tcMar>
            <w:vAlign w:val="bottom"/>
            <w:hideMark/>
          </w:tcPr>
          <w:p w14:paraId="7E3D380D"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18.6</w:t>
            </w:r>
          </w:p>
        </w:tc>
        <w:tc>
          <w:tcPr>
            <w:tcW w:w="458" w:type="pct"/>
            <w:tcBorders>
              <w:top w:val="nil"/>
              <w:left w:val="nil"/>
              <w:bottom w:val="nil"/>
              <w:right w:val="nil"/>
            </w:tcBorders>
            <w:shd w:val="clear" w:color="000000" w:fill="C6EFCE"/>
            <w:noWrap/>
            <w:tcMar>
              <w:left w:w="28" w:type="dxa"/>
              <w:right w:w="28" w:type="dxa"/>
            </w:tcMar>
            <w:vAlign w:val="bottom"/>
            <w:hideMark/>
          </w:tcPr>
          <w:p w14:paraId="0D9C4B9A"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16.3</w:t>
            </w:r>
          </w:p>
        </w:tc>
        <w:tc>
          <w:tcPr>
            <w:tcW w:w="459" w:type="pct"/>
            <w:tcBorders>
              <w:top w:val="nil"/>
              <w:left w:val="nil"/>
              <w:bottom w:val="nil"/>
              <w:right w:val="nil"/>
            </w:tcBorders>
            <w:shd w:val="clear" w:color="000000" w:fill="C6EFCE"/>
            <w:noWrap/>
            <w:tcMar>
              <w:left w:w="28" w:type="dxa"/>
              <w:right w:w="28" w:type="dxa"/>
            </w:tcMar>
            <w:vAlign w:val="bottom"/>
            <w:hideMark/>
          </w:tcPr>
          <w:p w14:paraId="400D169B"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14.6</w:t>
            </w:r>
          </w:p>
        </w:tc>
        <w:tc>
          <w:tcPr>
            <w:tcW w:w="458" w:type="pct"/>
            <w:tcBorders>
              <w:top w:val="nil"/>
              <w:left w:val="nil"/>
              <w:bottom w:val="nil"/>
              <w:right w:val="nil"/>
            </w:tcBorders>
            <w:shd w:val="clear" w:color="000000" w:fill="C6EFCE"/>
            <w:noWrap/>
            <w:tcMar>
              <w:left w:w="28" w:type="dxa"/>
              <w:right w:w="28" w:type="dxa"/>
            </w:tcMar>
            <w:vAlign w:val="bottom"/>
            <w:hideMark/>
          </w:tcPr>
          <w:p w14:paraId="512912F9"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13.1</w:t>
            </w:r>
          </w:p>
        </w:tc>
        <w:tc>
          <w:tcPr>
            <w:tcW w:w="458" w:type="pct"/>
            <w:tcBorders>
              <w:top w:val="nil"/>
              <w:left w:val="nil"/>
              <w:bottom w:val="nil"/>
              <w:right w:val="nil"/>
            </w:tcBorders>
            <w:shd w:val="clear" w:color="000000" w:fill="C6EFCE"/>
            <w:noWrap/>
            <w:tcMar>
              <w:left w:w="28" w:type="dxa"/>
              <w:right w:w="28" w:type="dxa"/>
            </w:tcMar>
            <w:vAlign w:val="bottom"/>
            <w:hideMark/>
          </w:tcPr>
          <w:p w14:paraId="2FC9AC0E"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12.0</w:t>
            </w:r>
          </w:p>
        </w:tc>
        <w:tc>
          <w:tcPr>
            <w:tcW w:w="459" w:type="pct"/>
            <w:tcBorders>
              <w:top w:val="nil"/>
              <w:left w:val="nil"/>
              <w:bottom w:val="nil"/>
              <w:right w:val="nil"/>
            </w:tcBorders>
            <w:shd w:val="clear" w:color="000000" w:fill="C6EFCE"/>
            <w:noWrap/>
            <w:tcMar>
              <w:left w:w="28" w:type="dxa"/>
              <w:right w:w="28" w:type="dxa"/>
            </w:tcMar>
            <w:vAlign w:val="bottom"/>
            <w:hideMark/>
          </w:tcPr>
          <w:p w14:paraId="66DA6781"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11.0</w:t>
            </w:r>
          </w:p>
        </w:tc>
        <w:tc>
          <w:tcPr>
            <w:tcW w:w="458" w:type="pct"/>
            <w:tcBorders>
              <w:top w:val="nil"/>
              <w:left w:val="nil"/>
              <w:bottom w:val="nil"/>
              <w:right w:val="nil"/>
            </w:tcBorders>
            <w:shd w:val="clear" w:color="000000" w:fill="C6EFCE"/>
            <w:noWrap/>
            <w:tcMar>
              <w:left w:w="28" w:type="dxa"/>
              <w:right w:w="28" w:type="dxa"/>
            </w:tcMar>
            <w:vAlign w:val="bottom"/>
            <w:hideMark/>
          </w:tcPr>
          <w:p w14:paraId="63C1B892"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10.2</w:t>
            </w:r>
          </w:p>
        </w:tc>
        <w:tc>
          <w:tcPr>
            <w:tcW w:w="458" w:type="pct"/>
            <w:tcBorders>
              <w:top w:val="nil"/>
              <w:left w:val="nil"/>
              <w:bottom w:val="nil"/>
              <w:right w:val="nil"/>
            </w:tcBorders>
            <w:shd w:val="clear" w:color="000000" w:fill="C6EFCE"/>
            <w:noWrap/>
            <w:tcMar>
              <w:left w:w="28" w:type="dxa"/>
              <w:right w:w="28" w:type="dxa"/>
            </w:tcMar>
            <w:vAlign w:val="bottom"/>
            <w:hideMark/>
          </w:tcPr>
          <w:p w14:paraId="19D2AAC8"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9.5</w:t>
            </w:r>
          </w:p>
        </w:tc>
        <w:tc>
          <w:tcPr>
            <w:tcW w:w="457" w:type="pct"/>
            <w:tcBorders>
              <w:top w:val="nil"/>
              <w:left w:val="nil"/>
              <w:bottom w:val="nil"/>
              <w:right w:val="nil"/>
            </w:tcBorders>
            <w:shd w:val="clear" w:color="000000" w:fill="C6EFCE"/>
            <w:noWrap/>
            <w:tcMar>
              <w:left w:w="28" w:type="dxa"/>
              <w:right w:w="28" w:type="dxa"/>
            </w:tcMar>
            <w:vAlign w:val="bottom"/>
            <w:hideMark/>
          </w:tcPr>
          <w:p w14:paraId="41EE8A28"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8.9</w:t>
            </w:r>
          </w:p>
        </w:tc>
      </w:tr>
      <w:tr w:rsidR="00280058" w:rsidRPr="002C025E" w14:paraId="3C1D0B09" w14:textId="77777777" w:rsidTr="0005008F">
        <w:tc>
          <w:tcPr>
            <w:tcW w:w="188" w:type="pct"/>
            <w:vMerge/>
            <w:tcBorders>
              <w:top w:val="nil"/>
              <w:left w:val="nil"/>
              <w:bottom w:val="nil"/>
              <w:right w:val="nil"/>
            </w:tcBorders>
            <w:tcMar>
              <w:left w:w="28" w:type="dxa"/>
              <w:right w:w="28" w:type="dxa"/>
            </w:tcMar>
            <w:vAlign w:val="center"/>
            <w:hideMark/>
          </w:tcPr>
          <w:p w14:paraId="1194D2AE"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689" w:type="pct"/>
            <w:tcBorders>
              <w:top w:val="nil"/>
              <w:left w:val="nil"/>
              <w:bottom w:val="nil"/>
              <w:right w:val="nil"/>
            </w:tcBorders>
            <w:shd w:val="clear" w:color="auto" w:fill="auto"/>
            <w:noWrap/>
            <w:tcMar>
              <w:left w:w="28" w:type="dxa"/>
              <w:right w:w="28" w:type="dxa"/>
            </w:tcMar>
            <w:vAlign w:val="bottom"/>
            <w:hideMark/>
          </w:tcPr>
          <w:p w14:paraId="15631E2D"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30%</w:t>
            </w:r>
          </w:p>
        </w:tc>
        <w:tc>
          <w:tcPr>
            <w:tcW w:w="458" w:type="pct"/>
            <w:tcBorders>
              <w:top w:val="nil"/>
              <w:left w:val="nil"/>
              <w:bottom w:val="nil"/>
              <w:right w:val="nil"/>
            </w:tcBorders>
            <w:shd w:val="clear" w:color="000000" w:fill="C6EFCE"/>
            <w:noWrap/>
            <w:tcMar>
              <w:left w:w="28" w:type="dxa"/>
              <w:right w:w="28" w:type="dxa"/>
            </w:tcMar>
            <w:vAlign w:val="bottom"/>
            <w:hideMark/>
          </w:tcPr>
          <w:p w14:paraId="16896A55"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16.0</w:t>
            </w:r>
          </w:p>
        </w:tc>
        <w:tc>
          <w:tcPr>
            <w:tcW w:w="458" w:type="pct"/>
            <w:tcBorders>
              <w:top w:val="nil"/>
              <w:left w:val="nil"/>
              <w:bottom w:val="nil"/>
              <w:right w:val="nil"/>
            </w:tcBorders>
            <w:shd w:val="clear" w:color="000000" w:fill="C6EFCE"/>
            <w:noWrap/>
            <w:tcMar>
              <w:left w:w="28" w:type="dxa"/>
              <w:right w:w="28" w:type="dxa"/>
            </w:tcMar>
            <w:vAlign w:val="bottom"/>
            <w:hideMark/>
          </w:tcPr>
          <w:p w14:paraId="30C10B62"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14.1</w:t>
            </w:r>
          </w:p>
        </w:tc>
        <w:tc>
          <w:tcPr>
            <w:tcW w:w="459" w:type="pct"/>
            <w:tcBorders>
              <w:top w:val="nil"/>
              <w:left w:val="nil"/>
              <w:bottom w:val="nil"/>
              <w:right w:val="nil"/>
            </w:tcBorders>
            <w:shd w:val="clear" w:color="000000" w:fill="C6EFCE"/>
            <w:noWrap/>
            <w:tcMar>
              <w:left w:w="28" w:type="dxa"/>
              <w:right w:w="28" w:type="dxa"/>
            </w:tcMar>
            <w:vAlign w:val="bottom"/>
            <w:hideMark/>
          </w:tcPr>
          <w:p w14:paraId="78DE7388"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12.6</w:t>
            </w:r>
          </w:p>
        </w:tc>
        <w:tc>
          <w:tcPr>
            <w:tcW w:w="458" w:type="pct"/>
            <w:tcBorders>
              <w:top w:val="nil"/>
              <w:left w:val="nil"/>
              <w:bottom w:val="nil"/>
              <w:right w:val="nil"/>
            </w:tcBorders>
            <w:shd w:val="clear" w:color="000000" w:fill="C6EFCE"/>
            <w:noWrap/>
            <w:tcMar>
              <w:left w:w="28" w:type="dxa"/>
              <w:right w:w="28" w:type="dxa"/>
            </w:tcMar>
            <w:vAlign w:val="bottom"/>
            <w:hideMark/>
          </w:tcPr>
          <w:p w14:paraId="09032CCF"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11.4</w:t>
            </w:r>
          </w:p>
        </w:tc>
        <w:tc>
          <w:tcPr>
            <w:tcW w:w="458" w:type="pct"/>
            <w:tcBorders>
              <w:top w:val="nil"/>
              <w:left w:val="nil"/>
              <w:bottom w:val="nil"/>
              <w:right w:val="nil"/>
            </w:tcBorders>
            <w:shd w:val="clear" w:color="000000" w:fill="C6EFCE"/>
            <w:noWrap/>
            <w:tcMar>
              <w:left w:w="28" w:type="dxa"/>
              <w:right w:w="28" w:type="dxa"/>
            </w:tcMar>
            <w:vAlign w:val="bottom"/>
            <w:hideMark/>
          </w:tcPr>
          <w:p w14:paraId="59DAB32D"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10.4</w:t>
            </w:r>
          </w:p>
        </w:tc>
        <w:tc>
          <w:tcPr>
            <w:tcW w:w="459" w:type="pct"/>
            <w:tcBorders>
              <w:top w:val="nil"/>
              <w:left w:val="nil"/>
              <w:bottom w:val="nil"/>
              <w:right w:val="nil"/>
            </w:tcBorders>
            <w:shd w:val="clear" w:color="000000" w:fill="C6EFCE"/>
            <w:noWrap/>
            <w:tcMar>
              <w:left w:w="28" w:type="dxa"/>
              <w:right w:w="28" w:type="dxa"/>
            </w:tcMar>
            <w:vAlign w:val="bottom"/>
            <w:hideMark/>
          </w:tcPr>
          <w:p w14:paraId="3618A51B"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9.6</w:t>
            </w:r>
          </w:p>
        </w:tc>
        <w:tc>
          <w:tcPr>
            <w:tcW w:w="458" w:type="pct"/>
            <w:tcBorders>
              <w:top w:val="nil"/>
              <w:left w:val="nil"/>
              <w:bottom w:val="nil"/>
              <w:right w:val="nil"/>
            </w:tcBorders>
            <w:shd w:val="clear" w:color="000000" w:fill="C6EFCE"/>
            <w:noWrap/>
            <w:tcMar>
              <w:left w:w="28" w:type="dxa"/>
              <w:right w:w="28" w:type="dxa"/>
            </w:tcMar>
            <w:vAlign w:val="bottom"/>
            <w:hideMark/>
          </w:tcPr>
          <w:p w14:paraId="6A82DBE4"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8.9</w:t>
            </w:r>
          </w:p>
        </w:tc>
        <w:tc>
          <w:tcPr>
            <w:tcW w:w="458" w:type="pct"/>
            <w:tcBorders>
              <w:top w:val="nil"/>
              <w:left w:val="nil"/>
              <w:bottom w:val="nil"/>
              <w:right w:val="nil"/>
            </w:tcBorders>
            <w:shd w:val="clear" w:color="000000" w:fill="C6EFCE"/>
            <w:noWrap/>
            <w:tcMar>
              <w:left w:w="28" w:type="dxa"/>
              <w:right w:w="28" w:type="dxa"/>
            </w:tcMar>
            <w:vAlign w:val="bottom"/>
            <w:hideMark/>
          </w:tcPr>
          <w:p w14:paraId="393AA6ED"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8.2</w:t>
            </w:r>
          </w:p>
        </w:tc>
        <w:tc>
          <w:tcPr>
            <w:tcW w:w="457" w:type="pct"/>
            <w:tcBorders>
              <w:top w:val="nil"/>
              <w:left w:val="nil"/>
              <w:bottom w:val="nil"/>
              <w:right w:val="nil"/>
            </w:tcBorders>
            <w:shd w:val="clear" w:color="000000" w:fill="C6EFCE"/>
            <w:noWrap/>
            <w:tcMar>
              <w:left w:w="28" w:type="dxa"/>
              <w:right w:w="28" w:type="dxa"/>
            </w:tcMar>
            <w:vAlign w:val="bottom"/>
            <w:hideMark/>
          </w:tcPr>
          <w:p w14:paraId="1A22978F"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7.7</w:t>
            </w:r>
          </w:p>
        </w:tc>
      </w:tr>
      <w:tr w:rsidR="00280058" w:rsidRPr="002C025E" w14:paraId="181F9108" w14:textId="77777777" w:rsidTr="0005008F">
        <w:tc>
          <w:tcPr>
            <w:tcW w:w="188" w:type="pct"/>
            <w:vMerge/>
            <w:tcBorders>
              <w:top w:val="nil"/>
              <w:left w:val="nil"/>
              <w:bottom w:val="nil"/>
              <w:right w:val="nil"/>
            </w:tcBorders>
            <w:tcMar>
              <w:left w:w="28" w:type="dxa"/>
              <w:right w:w="28" w:type="dxa"/>
            </w:tcMar>
            <w:vAlign w:val="center"/>
            <w:hideMark/>
          </w:tcPr>
          <w:p w14:paraId="413D3A0D"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689" w:type="pct"/>
            <w:tcBorders>
              <w:top w:val="nil"/>
              <w:left w:val="nil"/>
              <w:bottom w:val="nil"/>
              <w:right w:val="nil"/>
            </w:tcBorders>
            <w:shd w:val="clear" w:color="auto" w:fill="auto"/>
            <w:noWrap/>
            <w:tcMar>
              <w:left w:w="28" w:type="dxa"/>
              <w:right w:w="28" w:type="dxa"/>
            </w:tcMar>
            <w:vAlign w:val="bottom"/>
            <w:hideMark/>
          </w:tcPr>
          <w:p w14:paraId="64E8E022"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40%</w:t>
            </w:r>
          </w:p>
        </w:tc>
        <w:tc>
          <w:tcPr>
            <w:tcW w:w="458" w:type="pct"/>
            <w:tcBorders>
              <w:top w:val="nil"/>
              <w:left w:val="nil"/>
              <w:bottom w:val="nil"/>
              <w:right w:val="nil"/>
            </w:tcBorders>
            <w:shd w:val="clear" w:color="000000" w:fill="C6EFCE"/>
            <w:noWrap/>
            <w:tcMar>
              <w:left w:w="28" w:type="dxa"/>
              <w:right w:w="28" w:type="dxa"/>
            </w:tcMar>
            <w:vAlign w:val="bottom"/>
            <w:hideMark/>
          </w:tcPr>
          <w:p w14:paraId="54EB6944"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13.6</w:t>
            </w:r>
          </w:p>
        </w:tc>
        <w:tc>
          <w:tcPr>
            <w:tcW w:w="458" w:type="pct"/>
            <w:tcBorders>
              <w:top w:val="nil"/>
              <w:left w:val="nil"/>
              <w:bottom w:val="nil"/>
              <w:right w:val="nil"/>
            </w:tcBorders>
            <w:shd w:val="clear" w:color="000000" w:fill="C6EFCE"/>
            <w:noWrap/>
            <w:tcMar>
              <w:left w:w="28" w:type="dxa"/>
              <w:right w:w="28" w:type="dxa"/>
            </w:tcMar>
            <w:vAlign w:val="bottom"/>
            <w:hideMark/>
          </w:tcPr>
          <w:p w14:paraId="66324BA3"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12.0</w:t>
            </w:r>
          </w:p>
        </w:tc>
        <w:tc>
          <w:tcPr>
            <w:tcW w:w="459" w:type="pct"/>
            <w:tcBorders>
              <w:top w:val="nil"/>
              <w:left w:val="nil"/>
              <w:bottom w:val="nil"/>
              <w:right w:val="nil"/>
            </w:tcBorders>
            <w:shd w:val="clear" w:color="000000" w:fill="C6EFCE"/>
            <w:noWrap/>
            <w:tcMar>
              <w:left w:w="28" w:type="dxa"/>
              <w:right w:w="28" w:type="dxa"/>
            </w:tcMar>
            <w:vAlign w:val="bottom"/>
            <w:hideMark/>
          </w:tcPr>
          <w:p w14:paraId="328CA8AC"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10.7</w:t>
            </w:r>
          </w:p>
        </w:tc>
        <w:tc>
          <w:tcPr>
            <w:tcW w:w="458" w:type="pct"/>
            <w:tcBorders>
              <w:top w:val="nil"/>
              <w:left w:val="nil"/>
              <w:bottom w:val="nil"/>
              <w:right w:val="nil"/>
            </w:tcBorders>
            <w:shd w:val="clear" w:color="000000" w:fill="C6EFCE"/>
            <w:noWrap/>
            <w:tcMar>
              <w:left w:w="28" w:type="dxa"/>
              <w:right w:w="28" w:type="dxa"/>
            </w:tcMar>
            <w:vAlign w:val="bottom"/>
            <w:hideMark/>
          </w:tcPr>
          <w:p w14:paraId="592F9D02"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9.7</w:t>
            </w:r>
          </w:p>
        </w:tc>
        <w:tc>
          <w:tcPr>
            <w:tcW w:w="458" w:type="pct"/>
            <w:tcBorders>
              <w:top w:val="nil"/>
              <w:left w:val="nil"/>
              <w:bottom w:val="nil"/>
              <w:right w:val="nil"/>
            </w:tcBorders>
            <w:shd w:val="clear" w:color="000000" w:fill="C6EFCE"/>
            <w:noWrap/>
            <w:tcMar>
              <w:left w:w="28" w:type="dxa"/>
              <w:right w:w="28" w:type="dxa"/>
            </w:tcMar>
            <w:vAlign w:val="bottom"/>
            <w:hideMark/>
          </w:tcPr>
          <w:p w14:paraId="12A73D5B"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8.9</w:t>
            </w:r>
          </w:p>
        </w:tc>
        <w:tc>
          <w:tcPr>
            <w:tcW w:w="459" w:type="pct"/>
            <w:tcBorders>
              <w:top w:val="nil"/>
              <w:left w:val="nil"/>
              <w:bottom w:val="nil"/>
              <w:right w:val="nil"/>
            </w:tcBorders>
            <w:shd w:val="clear" w:color="000000" w:fill="C6EFCE"/>
            <w:noWrap/>
            <w:tcMar>
              <w:left w:w="28" w:type="dxa"/>
              <w:right w:w="28" w:type="dxa"/>
            </w:tcMar>
            <w:vAlign w:val="bottom"/>
            <w:hideMark/>
          </w:tcPr>
          <w:p w14:paraId="34E9878D"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8.1</w:t>
            </w:r>
          </w:p>
        </w:tc>
        <w:tc>
          <w:tcPr>
            <w:tcW w:w="458" w:type="pct"/>
            <w:tcBorders>
              <w:top w:val="nil"/>
              <w:left w:val="nil"/>
              <w:bottom w:val="nil"/>
              <w:right w:val="nil"/>
            </w:tcBorders>
            <w:shd w:val="clear" w:color="000000" w:fill="C6EFCE"/>
            <w:noWrap/>
            <w:tcMar>
              <w:left w:w="28" w:type="dxa"/>
              <w:right w:w="28" w:type="dxa"/>
            </w:tcMar>
            <w:vAlign w:val="bottom"/>
            <w:hideMark/>
          </w:tcPr>
          <w:p w14:paraId="7E020E9A"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7.5</w:t>
            </w:r>
          </w:p>
        </w:tc>
        <w:tc>
          <w:tcPr>
            <w:tcW w:w="458" w:type="pct"/>
            <w:tcBorders>
              <w:top w:val="nil"/>
              <w:left w:val="nil"/>
              <w:bottom w:val="nil"/>
              <w:right w:val="nil"/>
            </w:tcBorders>
            <w:shd w:val="clear" w:color="000000" w:fill="C6EFCE"/>
            <w:noWrap/>
            <w:tcMar>
              <w:left w:w="28" w:type="dxa"/>
              <w:right w:w="28" w:type="dxa"/>
            </w:tcMar>
            <w:vAlign w:val="bottom"/>
            <w:hideMark/>
          </w:tcPr>
          <w:p w14:paraId="2FF716BE"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7.0</w:t>
            </w:r>
          </w:p>
        </w:tc>
        <w:tc>
          <w:tcPr>
            <w:tcW w:w="457" w:type="pct"/>
            <w:tcBorders>
              <w:top w:val="nil"/>
              <w:left w:val="nil"/>
              <w:bottom w:val="nil"/>
              <w:right w:val="nil"/>
            </w:tcBorders>
            <w:shd w:val="clear" w:color="000000" w:fill="C6EFCE"/>
            <w:noWrap/>
            <w:tcMar>
              <w:left w:w="28" w:type="dxa"/>
              <w:right w:w="28" w:type="dxa"/>
            </w:tcMar>
            <w:vAlign w:val="bottom"/>
            <w:hideMark/>
          </w:tcPr>
          <w:p w14:paraId="353046F9" w14:textId="77777777" w:rsidR="00280058" w:rsidRPr="00DF3A8E" w:rsidRDefault="00280058" w:rsidP="00BB18F6">
            <w:pPr>
              <w:spacing w:after="0" w:line="240" w:lineRule="auto"/>
              <w:jc w:val="right"/>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6.6</w:t>
            </w:r>
          </w:p>
        </w:tc>
      </w:tr>
    </w:tbl>
    <w:p w14:paraId="0E0B99D4" w14:textId="77777777" w:rsidR="00280058" w:rsidRPr="00DF3A8E" w:rsidRDefault="00280058" w:rsidP="00280058">
      <w:pPr>
        <w:jc w:val="both"/>
        <w:rPr>
          <w:rFonts w:ascii="Georgia" w:hAnsi="Georgia"/>
          <w:sz w:val="20"/>
          <w:lang w:val="lt-LT"/>
        </w:rPr>
      </w:pPr>
    </w:p>
    <w:p w14:paraId="6E191D26" w14:textId="77777777" w:rsidR="00280058" w:rsidRPr="00DF3A8E" w:rsidRDefault="00280058" w:rsidP="00280058">
      <w:pPr>
        <w:jc w:val="both"/>
        <w:rPr>
          <w:rFonts w:ascii="Georgia" w:hAnsi="Georgia"/>
          <w:sz w:val="20"/>
          <w:lang w:val="lt-LT"/>
        </w:rPr>
      </w:pPr>
      <w:r>
        <w:rPr>
          <w:rFonts w:ascii="Georgia" w:hAnsi="Georgia"/>
          <w:sz w:val="20"/>
          <w:lang w:val="lt-LT"/>
        </w:rPr>
        <w:t>Iš lentelėje pateiktų duomenų</w:t>
      </w:r>
      <w:r w:rsidRPr="00DF3A8E">
        <w:rPr>
          <w:rFonts w:ascii="Georgia" w:hAnsi="Georgia"/>
          <w:sz w:val="20"/>
          <w:lang w:val="lt-LT"/>
        </w:rPr>
        <w:t xml:space="preserve"> mat</w:t>
      </w:r>
      <w:r>
        <w:rPr>
          <w:rFonts w:ascii="Georgia" w:hAnsi="Georgia"/>
          <w:sz w:val="20"/>
          <w:lang w:val="lt-LT"/>
        </w:rPr>
        <w:t>yti</w:t>
      </w:r>
      <w:r w:rsidRPr="00DF3A8E">
        <w:rPr>
          <w:rFonts w:ascii="Georgia" w:hAnsi="Georgia"/>
          <w:sz w:val="20"/>
          <w:lang w:val="lt-LT"/>
        </w:rPr>
        <w:t xml:space="preserve">, kad </w:t>
      </w:r>
      <w:r>
        <w:rPr>
          <w:rFonts w:ascii="Georgia" w:hAnsi="Georgia"/>
          <w:sz w:val="20"/>
          <w:lang w:val="lt-LT"/>
        </w:rPr>
        <w:t>pasiekus</w:t>
      </w:r>
      <w:r w:rsidRPr="00DF3A8E">
        <w:rPr>
          <w:rFonts w:ascii="Georgia" w:hAnsi="Georgia"/>
          <w:sz w:val="20"/>
          <w:lang w:val="lt-LT"/>
        </w:rPr>
        <w:t xml:space="preserve"> 40 proc. šilumos energijos</w:t>
      </w:r>
      <w:r>
        <w:rPr>
          <w:rFonts w:ascii="Georgia" w:hAnsi="Georgia"/>
          <w:sz w:val="20"/>
          <w:lang w:val="lt-LT"/>
        </w:rPr>
        <w:t xml:space="preserve"> sutaupymus</w:t>
      </w:r>
      <w:r w:rsidRPr="00DF3A8E" w:rsidDel="002A3BF8">
        <w:rPr>
          <w:rFonts w:ascii="Georgia" w:hAnsi="Georgia"/>
          <w:sz w:val="20"/>
          <w:lang w:val="lt-LT"/>
        </w:rPr>
        <w:t xml:space="preserve"> </w:t>
      </w:r>
      <w:r w:rsidRPr="00DF3A8E">
        <w:rPr>
          <w:rFonts w:ascii="Georgia" w:hAnsi="Georgia"/>
          <w:sz w:val="20"/>
          <w:lang w:val="lt-LT"/>
        </w:rPr>
        <w:t xml:space="preserve">ir </w:t>
      </w:r>
      <w:r>
        <w:rPr>
          <w:rFonts w:ascii="Georgia" w:hAnsi="Georgia"/>
          <w:sz w:val="20"/>
          <w:lang w:val="lt-LT"/>
        </w:rPr>
        <w:t>projektams</w:t>
      </w:r>
      <w:r w:rsidRPr="00DF3A8E">
        <w:rPr>
          <w:rFonts w:ascii="Georgia" w:hAnsi="Georgia"/>
          <w:sz w:val="20"/>
          <w:lang w:val="lt-LT"/>
        </w:rPr>
        <w:t xml:space="preserve"> </w:t>
      </w:r>
      <w:r>
        <w:rPr>
          <w:rFonts w:ascii="Georgia" w:hAnsi="Georgia"/>
          <w:sz w:val="20"/>
          <w:lang w:val="lt-LT"/>
        </w:rPr>
        <w:t xml:space="preserve">teikiant </w:t>
      </w:r>
      <w:r w:rsidRPr="00DF3A8E">
        <w:rPr>
          <w:rFonts w:ascii="Georgia" w:hAnsi="Georgia"/>
          <w:sz w:val="20"/>
          <w:lang w:val="lt-LT"/>
        </w:rPr>
        <w:t>20 proc. subsidij</w:t>
      </w:r>
      <w:r>
        <w:rPr>
          <w:rFonts w:ascii="Georgia" w:hAnsi="Georgia"/>
          <w:sz w:val="20"/>
          <w:lang w:val="lt-LT"/>
        </w:rPr>
        <w:t>ą,</w:t>
      </w:r>
      <w:r w:rsidRPr="00DF3A8E">
        <w:rPr>
          <w:rFonts w:ascii="Georgia" w:hAnsi="Georgia"/>
          <w:sz w:val="20"/>
          <w:lang w:val="lt-LT"/>
        </w:rPr>
        <w:t xml:space="preserve"> </w:t>
      </w:r>
      <w:r>
        <w:rPr>
          <w:rFonts w:ascii="Georgia" w:hAnsi="Georgia"/>
          <w:sz w:val="20"/>
          <w:lang w:val="lt-LT"/>
        </w:rPr>
        <w:t xml:space="preserve">tipinio viešojo pastato </w:t>
      </w:r>
      <w:r w:rsidRPr="00DF3A8E">
        <w:rPr>
          <w:rFonts w:ascii="Georgia" w:hAnsi="Georgia"/>
          <w:sz w:val="20"/>
          <w:lang w:val="lt-LT"/>
        </w:rPr>
        <w:t>renovacijos projektas atsiperka per 18,6 met</w:t>
      </w:r>
      <w:r>
        <w:rPr>
          <w:rFonts w:ascii="Georgia" w:hAnsi="Georgia"/>
          <w:sz w:val="20"/>
          <w:lang w:val="lt-LT"/>
        </w:rPr>
        <w:t>ų</w:t>
      </w:r>
      <w:r w:rsidRPr="00DF3A8E">
        <w:rPr>
          <w:rFonts w:ascii="Georgia" w:hAnsi="Georgia"/>
          <w:sz w:val="20"/>
          <w:lang w:val="lt-LT"/>
        </w:rPr>
        <w:t xml:space="preserve">, tai yra per </w:t>
      </w:r>
      <w:r>
        <w:rPr>
          <w:rFonts w:ascii="Georgia" w:hAnsi="Georgia"/>
          <w:sz w:val="20"/>
          <w:lang w:val="lt-LT"/>
        </w:rPr>
        <w:t xml:space="preserve">20 m. </w:t>
      </w:r>
      <w:r w:rsidRPr="00DF3A8E">
        <w:rPr>
          <w:rFonts w:ascii="Georgia" w:hAnsi="Georgia"/>
          <w:sz w:val="20"/>
          <w:lang w:val="lt-LT"/>
        </w:rPr>
        <w:t xml:space="preserve">paskolos laikotarpį. </w:t>
      </w:r>
    </w:p>
    <w:p w14:paraId="5480316A" w14:textId="77777777" w:rsidR="00280058" w:rsidRDefault="00280058" w:rsidP="00280058">
      <w:pPr>
        <w:jc w:val="both"/>
        <w:rPr>
          <w:rFonts w:ascii="Georgia" w:hAnsi="Georgia"/>
          <w:sz w:val="20"/>
          <w:lang w:val="lt-LT"/>
        </w:rPr>
      </w:pPr>
      <w:r w:rsidRPr="00DF3A8E">
        <w:rPr>
          <w:rFonts w:ascii="Georgia" w:hAnsi="Georgia"/>
          <w:sz w:val="20"/>
          <w:lang w:val="lt-LT"/>
        </w:rPr>
        <w:t>Jautrumo analizės rezultatai</w:t>
      </w:r>
      <w:r>
        <w:rPr>
          <w:rFonts w:ascii="Georgia" w:hAnsi="Georgia"/>
          <w:sz w:val="20"/>
          <w:lang w:val="lt-LT"/>
        </w:rPr>
        <w:t xml:space="preserve"> vertinant</w:t>
      </w:r>
      <w:r w:rsidRPr="00DF3A8E">
        <w:rPr>
          <w:rFonts w:ascii="Georgia" w:hAnsi="Georgia"/>
          <w:sz w:val="20"/>
          <w:lang w:val="lt-LT"/>
        </w:rPr>
        <w:t xml:space="preserve"> </w:t>
      </w:r>
      <w:r>
        <w:rPr>
          <w:rFonts w:ascii="Georgia" w:hAnsi="Georgia"/>
          <w:sz w:val="20"/>
          <w:lang w:val="lt-LT"/>
        </w:rPr>
        <w:t xml:space="preserve">santykį </w:t>
      </w:r>
      <w:r w:rsidRPr="00DF3A8E">
        <w:rPr>
          <w:rFonts w:ascii="Georgia" w:hAnsi="Georgia"/>
          <w:sz w:val="20"/>
          <w:lang w:val="lt-LT"/>
        </w:rPr>
        <w:t xml:space="preserve">tarp šilumos kainos ir galimo sutaupymo </w:t>
      </w:r>
      <w:r>
        <w:rPr>
          <w:rFonts w:ascii="Georgia" w:hAnsi="Georgia"/>
          <w:sz w:val="20"/>
          <w:lang w:val="lt-LT"/>
        </w:rPr>
        <w:t>esant</w:t>
      </w:r>
      <w:r w:rsidRPr="00DF3A8E">
        <w:rPr>
          <w:rFonts w:ascii="Georgia" w:hAnsi="Georgia"/>
          <w:sz w:val="20"/>
          <w:lang w:val="lt-LT"/>
        </w:rPr>
        <w:t xml:space="preserve"> 30 proc. subsidi</w:t>
      </w:r>
      <w:r>
        <w:rPr>
          <w:rFonts w:ascii="Georgia" w:hAnsi="Georgia"/>
          <w:sz w:val="20"/>
          <w:lang w:val="lt-LT"/>
        </w:rPr>
        <w:t>jai</w:t>
      </w:r>
      <w:r w:rsidRPr="00DF3A8E">
        <w:rPr>
          <w:rFonts w:ascii="Georgia" w:hAnsi="Georgia"/>
          <w:sz w:val="20"/>
          <w:lang w:val="lt-LT"/>
        </w:rPr>
        <w:t>, nekeičiant kitų prielaidų, pateikti žemiau esančioje lentelėje.</w:t>
      </w:r>
    </w:p>
    <w:p w14:paraId="54F49E07" w14:textId="088E4FBE" w:rsidR="00280058" w:rsidRPr="00893A57" w:rsidRDefault="00280058" w:rsidP="00280058">
      <w:pPr>
        <w:pStyle w:val="Antrat"/>
        <w:spacing w:line="276" w:lineRule="auto"/>
        <w:jc w:val="both"/>
        <w:rPr>
          <w:lang w:val="lt-LT"/>
        </w:rPr>
      </w:pPr>
      <w:bookmarkStart w:id="129" w:name="_Toc460321631"/>
      <w:r w:rsidRPr="001B7769">
        <w:rPr>
          <w:lang w:val="lt-LT"/>
        </w:rPr>
        <w:t xml:space="preserve">Lentelė </w:t>
      </w:r>
      <w:r w:rsidRPr="001B7769">
        <w:rPr>
          <w:lang w:val="lt-LT"/>
        </w:rPr>
        <w:fldChar w:fldCharType="begin"/>
      </w:r>
      <w:r w:rsidRPr="001B7769">
        <w:rPr>
          <w:lang w:val="lt-LT"/>
        </w:rPr>
        <w:instrText xml:space="preserve"> SEQ Lentelė \* ARABIC </w:instrText>
      </w:r>
      <w:r w:rsidRPr="001B7769">
        <w:rPr>
          <w:lang w:val="lt-LT"/>
        </w:rPr>
        <w:fldChar w:fldCharType="separate"/>
      </w:r>
      <w:r w:rsidR="00AA3082">
        <w:rPr>
          <w:noProof/>
          <w:lang w:val="lt-LT"/>
        </w:rPr>
        <w:t>50</w:t>
      </w:r>
      <w:r w:rsidRPr="001B7769">
        <w:rPr>
          <w:lang w:val="lt-LT"/>
        </w:rPr>
        <w:fldChar w:fldCharType="end"/>
      </w:r>
      <w:r w:rsidRPr="001B7769">
        <w:rPr>
          <w:lang w:val="lt-LT"/>
        </w:rPr>
        <w:t xml:space="preserve">. Šilumos kainos ir galimo sutaupymo </w:t>
      </w:r>
      <w:r>
        <w:rPr>
          <w:lang w:val="lt-LT"/>
        </w:rPr>
        <w:t xml:space="preserve">santykio </w:t>
      </w:r>
      <w:r w:rsidRPr="001B7769">
        <w:rPr>
          <w:lang w:val="lt-LT"/>
        </w:rPr>
        <w:t xml:space="preserve">jautrumo analizės rezultatai </w:t>
      </w:r>
      <w:r>
        <w:rPr>
          <w:lang w:val="lt-LT"/>
        </w:rPr>
        <w:t>(</w:t>
      </w:r>
      <w:r w:rsidRPr="001B7769">
        <w:rPr>
          <w:lang w:val="lt-LT"/>
        </w:rPr>
        <w:t xml:space="preserve">su </w:t>
      </w:r>
      <w:r>
        <w:rPr>
          <w:lang w:val="lt-LT"/>
        </w:rPr>
        <w:t>subsidija)</w:t>
      </w:r>
      <w:r w:rsidRPr="001B7769">
        <w:rPr>
          <w:lang w:val="lt-LT"/>
        </w:rPr>
        <w:t>.</w:t>
      </w:r>
      <w:bookmarkEnd w:id="129"/>
      <w:r w:rsidRPr="001B7769">
        <w:rPr>
          <w:lang w:val="lt-LT"/>
        </w:rPr>
        <w:t xml:space="preserve"> </w:t>
      </w:r>
    </w:p>
    <w:tbl>
      <w:tblPr>
        <w:tblW w:w="5000" w:type="pct"/>
        <w:tblLook w:val="04A0" w:firstRow="1" w:lastRow="0" w:firstColumn="1" w:lastColumn="0" w:noHBand="0" w:noVBand="1"/>
      </w:tblPr>
      <w:tblGrid>
        <w:gridCol w:w="190"/>
        <w:gridCol w:w="633"/>
        <w:gridCol w:w="633"/>
        <w:gridCol w:w="633"/>
        <w:gridCol w:w="633"/>
        <w:gridCol w:w="633"/>
        <w:gridCol w:w="633"/>
        <w:gridCol w:w="633"/>
        <w:gridCol w:w="633"/>
        <w:gridCol w:w="633"/>
        <w:gridCol w:w="633"/>
        <w:gridCol w:w="663"/>
        <w:gridCol w:w="633"/>
        <w:gridCol w:w="633"/>
        <w:gridCol w:w="633"/>
      </w:tblGrid>
      <w:tr w:rsidR="00280058" w:rsidRPr="002C025E" w14:paraId="78E2EA4C" w14:textId="77777777" w:rsidTr="0005008F">
        <w:trPr>
          <w:tblHeader/>
        </w:trPr>
        <w:tc>
          <w:tcPr>
            <w:tcW w:w="105" w:type="pct"/>
            <w:tcBorders>
              <w:top w:val="nil"/>
              <w:left w:val="nil"/>
              <w:right w:val="nil"/>
            </w:tcBorders>
            <w:shd w:val="clear" w:color="auto" w:fill="auto"/>
            <w:noWrap/>
            <w:tcMar>
              <w:left w:w="28" w:type="dxa"/>
              <w:right w:w="28" w:type="dxa"/>
            </w:tcMar>
            <w:vAlign w:val="bottom"/>
            <w:hideMark/>
          </w:tcPr>
          <w:p w14:paraId="475F494F" w14:textId="77777777" w:rsidR="00280058" w:rsidRPr="00DF3A8E" w:rsidRDefault="00280058" w:rsidP="00BB18F6">
            <w:pPr>
              <w:keepNext/>
              <w:spacing w:after="0" w:line="240" w:lineRule="auto"/>
              <w:rPr>
                <w:rFonts w:ascii="Arial" w:eastAsia="Times New Roman" w:hAnsi="Arial" w:cs="Arial"/>
                <w:sz w:val="18"/>
                <w:szCs w:val="18"/>
                <w:lang w:val="lt-LT" w:eastAsia="lt-LT"/>
              </w:rPr>
            </w:pPr>
          </w:p>
        </w:tc>
        <w:tc>
          <w:tcPr>
            <w:tcW w:w="4895" w:type="pct"/>
            <w:gridSpan w:val="14"/>
            <w:tcBorders>
              <w:top w:val="nil"/>
              <w:left w:val="nil"/>
              <w:right w:val="nil"/>
            </w:tcBorders>
            <w:shd w:val="clear" w:color="000000" w:fill="FFC18A"/>
            <w:noWrap/>
            <w:tcMar>
              <w:left w:w="28" w:type="dxa"/>
              <w:right w:w="28" w:type="dxa"/>
            </w:tcMar>
            <w:vAlign w:val="bottom"/>
            <w:hideMark/>
          </w:tcPr>
          <w:p w14:paraId="2D8C4294" w14:textId="77777777" w:rsidR="00280058" w:rsidRPr="00DF3A8E" w:rsidRDefault="00280058" w:rsidP="00BB18F6">
            <w:pPr>
              <w:keepNext/>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Energijos sutaupymai </w:t>
            </w:r>
          </w:p>
        </w:tc>
      </w:tr>
      <w:tr w:rsidR="00280058" w:rsidRPr="002C025E" w14:paraId="53427AD4" w14:textId="77777777" w:rsidTr="0005008F">
        <w:trPr>
          <w:tblHeader/>
        </w:trPr>
        <w:tc>
          <w:tcPr>
            <w:tcW w:w="105" w:type="pct"/>
            <w:tcBorders>
              <w:top w:val="nil"/>
              <w:left w:val="nil"/>
              <w:bottom w:val="nil"/>
              <w:right w:val="nil"/>
            </w:tcBorders>
            <w:shd w:val="clear" w:color="auto" w:fill="auto"/>
            <w:noWrap/>
            <w:tcMar>
              <w:left w:w="28" w:type="dxa"/>
              <w:right w:w="28" w:type="dxa"/>
            </w:tcMar>
            <w:vAlign w:val="bottom"/>
            <w:hideMark/>
          </w:tcPr>
          <w:p w14:paraId="34437134" w14:textId="77777777" w:rsidR="00280058" w:rsidRPr="00DF3A8E" w:rsidRDefault="00280058" w:rsidP="00BB18F6">
            <w:pPr>
              <w:keepNext/>
              <w:spacing w:after="0" w:line="240" w:lineRule="auto"/>
              <w:rPr>
                <w:rFonts w:ascii="Arial" w:eastAsia="Times New Roman" w:hAnsi="Arial" w:cs="Arial"/>
                <w:sz w:val="18"/>
                <w:szCs w:val="18"/>
                <w:lang w:val="lt-LT" w:eastAsia="lt-LT"/>
              </w:rPr>
            </w:pPr>
          </w:p>
        </w:tc>
        <w:tc>
          <w:tcPr>
            <w:tcW w:w="348" w:type="pct"/>
            <w:tcBorders>
              <w:top w:val="nil"/>
              <w:left w:val="nil"/>
              <w:bottom w:val="nil"/>
              <w:right w:val="nil"/>
            </w:tcBorders>
            <w:shd w:val="clear" w:color="auto" w:fill="auto"/>
            <w:noWrap/>
            <w:tcMar>
              <w:left w:w="28" w:type="dxa"/>
              <w:right w:w="28" w:type="dxa"/>
            </w:tcMar>
            <w:vAlign w:val="bottom"/>
            <w:hideMark/>
          </w:tcPr>
          <w:p w14:paraId="1A5A9AA8" w14:textId="77777777" w:rsidR="00280058" w:rsidRPr="00DF3A8E" w:rsidRDefault="00280058" w:rsidP="00BB18F6">
            <w:pPr>
              <w:keepNext/>
              <w:spacing w:after="0" w:line="240" w:lineRule="auto"/>
              <w:rPr>
                <w:rFonts w:ascii="Arial" w:eastAsia="Times New Roman" w:hAnsi="Arial" w:cs="Arial"/>
                <w:color w:val="FFFFFF"/>
                <w:sz w:val="18"/>
                <w:szCs w:val="18"/>
                <w:lang w:val="lt-LT" w:eastAsia="lt-LT"/>
              </w:rPr>
            </w:pPr>
            <w:r w:rsidRPr="00DF3A8E">
              <w:rPr>
                <w:rFonts w:ascii="Arial" w:eastAsia="Times New Roman" w:hAnsi="Arial" w:cs="Arial"/>
                <w:color w:val="FFFFFF"/>
                <w:sz w:val="18"/>
                <w:szCs w:val="18"/>
                <w:lang w:val="lt-LT" w:eastAsia="lt-LT"/>
              </w:rPr>
              <w:t xml:space="preserve">            18.6 </w:t>
            </w:r>
          </w:p>
        </w:tc>
        <w:tc>
          <w:tcPr>
            <w:tcW w:w="348" w:type="pct"/>
            <w:tcBorders>
              <w:top w:val="nil"/>
              <w:left w:val="nil"/>
              <w:bottom w:val="nil"/>
              <w:right w:val="nil"/>
            </w:tcBorders>
            <w:shd w:val="clear" w:color="auto" w:fill="auto"/>
            <w:noWrap/>
            <w:tcMar>
              <w:left w:w="28" w:type="dxa"/>
              <w:right w:w="28" w:type="dxa"/>
            </w:tcMar>
            <w:vAlign w:val="bottom"/>
            <w:hideMark/>
          </w:tcPr>
          <w:p w14:paraId="20EBCC71"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15% </w:t>
            </w:r>
          </w:p>
        </w:tc>
        <w:tc>
          <w:tcPr>
            <w:tcW w:w="348" w:type="pct"/>
            <w:tcBorders>
              <w:top w:val="nil"/>
              <w:left w:val="nil"/>
              <w:bottom w:val="nil"/>
              <w:right w:val="nil"/>
            </w:tcBorders>
            <w:shd w:val="clear" w:color="auto" w:fill="auto"/>
            <w:noWrap/>
            <w:tcMar>
              <w:left w:w="28" w:type="dxa"/>
              <w:right w:w="28" w:type="dxa"/>
            </w:tcMar>
            <w:vAlign w:val="bottom"/>
            <w:hideMark/>
          </w:tcPr>
          <w:p w14:paraId="110EC161"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20% </w:t>
            </w:r>
          </w:p>
        </w:tc>
        <w:tc>
          <w:tcPr>
            <w:tcW w:w="348" w:type="pct"/>
            <w:tcBorders>
              <w:top w:val="nil"/>
              <w:left w:val="nil"/>
              <w:bottom w:val="nil"/>
              <w:right w:val="nil"/>
            </w:tcBorders>
            <w:shd w:val="clear" w:color="auto" w:fill="auto"/>
            <w:noWrap/>
            <w:tcMar>
              <w:left w:w="28" w:type="dxa"/>
              <w:right w:w="28" w:type="dxa"/>
            </w:tcMar>
            <w:vAlign w:val="bottom"/>
            <w:hideMark/>
          </w:tcPr>
          <w:p w14:paraId="7E1D4DCC"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25% </w:t>
            </w:r>
          </w:p>
        </w:tc>
        <w:tc>
          <w:tcPr>
            <w:tcW w:w="348" w:type="pct"/>
            <w:tcBorders>
              <w:top w:val="nil"/>
              <w:left w:val="nil"/>
              <w:bottom w:val="nil"/>
              <w:right w:val="nil"/>
            </w:tcBorders>
            <w:shd w:val="clear" w:color="auto" w:fill="auto"/>
            <w:noWrap/>
            <w:tcMar>
              <w:left w:w="28" w:type="dxa"/>
              <w:right w:w="28" w:type="dxa"/>
            </w:tcMar>
            <w:vAlign w:val="bottom"/>
            <w:hideMark/>
          </w:tcPr>
          <w:p w14:paraId="453E87B7"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30% </w:t>
            </w:r>
          </w:p>
        </w:tc>
        <w:tc>
          <w:tcPr>
            <w:tcW w:w="348" w:type="pct"/>
            <w:tcBorders>
              <w:top w:val="nil"/>
              <w:left w:val="nil"/>
              <w:bottom w:val="nil"/>
              <w:right w:val="nil"/>
            </w:tcBorders>
            <w:shd w:val="clear" w:color="auto" w:fill="auto"/>
            <w:noWrap/>
            <w:tcMar>
              <w:left w:w="28" w:type="dxa"/>
              <w:right w:w="28" w:type="dxa"/>
            </w:tcMar>
            <w:vAlign w:val="bottom"/>
            <w:hideMark/>
          </w:tcPr>
          <w:p w14:paraId="0AE95405"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35% </w:t>
            </w:r>
          </w:p>
        </w:tc>
        <w:tc>
          <w:tcPr>
            <w:tcW w:w="348" w:type="pct"/>
            <w:tcBorders>
              <w:top w:val="nil"/>
              <w:left w:val="nil"/>
              <w:bottom w:val="nil"/>
              <w:right w:val="nil"/>
            </w:tcBorders>
            <w:shd w:val="clear" w:color="auto" w:fill="auto"/>
            <w:noWrap/>
            <w:tcMar>
              <w:left w:w="28" w:type="dxa"/>
              <w:right w:w="28" w:type="dxa"/>
            </w:tcMar>
            <w:vAlign w:val="bottom"/>
            <w:hideMark/>
          </w:tcPr>
          <w:p w14:paraId="344903CE" w14:textId="77777777" w:rsidR="00280058" w:rsidRPr="00F527BB" w:rsidRDefault="00280058" w:rsidP="00BB18F6">
            <w:pPr>
              <w:spacing w:after="0" w:line="240" w:lineRule="auto"/>
              <w:jc w:val="right"/>
              <w:rPr>
                <w:rFonts w:ascii="Arial" w:eastAsia="Times New Roman" w:hAnsi="Arial" w:cs="Arial"/>
                <w:b/>
                <w:bCs/>
                <w:sz w:val="18"/>
                <w:szCs w:val="18"/>
                <w:lang w:val="lt-LT" w:eastAsia="lt-LT"/>
              </w:rPr>
            </w:pPr>
            <w:r w:rsidRPr="00F527BB">
              <w:rPr>
                <w:rFonts w:ascii="Arial" w:eastAsia="Times New Roman" w:hAnsi="Arial" w:cs="Arial"/>
                <w:b/>
                <w:bCs/>
                <w:sz w:val="18"/>
                <w:szCs w:val="18"/>
                <w:lang w:val="lt-LT" w:eastAsia="lt-LT"/>
              </w:rPr>
              <w:t xml:space="preserve">40% </w:t>
            </w:r>
          </w:p>
        </w:tc>
        <w:tc>
          <w:tcPr>
            <w:tcW w:w="348" w:type="pct"/>
            <w:tcBorders>
              <w:top w:val="nil"/>
              <w:left w:val="nil"/>
              <w:bottom w:val="nil"/>
              <w:right w:val="nil"/>
            </w:tcBorders>
            <w:shd w:val="clear" w:color="auto" w:fill="auto"/>
            <w:noWrap/>
            <w:tcMar>
              <w:left w:w="28" w:type="dxa"/>
              <w:right w:w="28" w:type="dxa"/>
            </w:tcMar>
            <w:vAlign w:val="bottom"/>
            <w:hideMark/>
          </w:tcPr>
          <w:p w14:paraId="7023D451"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45% </w:t>
            </w:r>
          </w:p>
        </w:tc>
        <w:tc>
          <w:tcPr>
            <w:tcW w:w="348" w:type="pct"/>
            <w:tcBorders>
              <w:top w:val="nil"/>
              <w:left w:val="nil"/>
              <w:bottom w:val="nil"/>
              <w:right w:val="nil"/>
            </w:tcBorders>
            <w:shd w:val="clear" w:color="auto" w:fill="auto"/>
            <w:noWrap/>
            <w:tcMar>
              <w:left w:w="28" w:type="dxa"/>
              <w:right w:w="28" w:type="dxa"/>
            </w:tcMar>
            <w:vAlign w:val="bottom"/>
            <w:hideMark/>
          </w:tcPr>
          <w:p w14:paraId="29952981"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50% </w:t>
            </w:r>
          </w:p>
        </w:tc>
        <w:tc>
          <w:tcPr>
            <w:tcW w:w="348" w:type="pct"/>
            <w:tcBorders>
              <w:top w:val="nil"/>
              <w:left w:val="nil"/>
              <w:bottom w:val="nil"/>
              <w:right w:val="nil"/>
            </w:tcBorders>
            <w:shd w:val="clear" w:color="auto" w:fill="auto"/>
            <w:noWrap/>
            <w:tcMar>
              <w:left w:w="28" w:type="dxa"/>
              <w:right w:w="28" w:type="dxa"/>
            </w:tcMar>
            <w:vAlign w:val="bottom"/>
            <w:hideMark/>
          </w:tcPr>
          <w:p w14:paraId="5A65F9ED"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55% </w:t>
            </w:r>
          </w:p>
        </w:tc>
        <w:tc>
          <w:tcPr>
            <w:tcW w:w="365" w:type="pct"/>
            <w:tcBorders>
              <w:top w:val="nil"/>
              <w:left w:val="nil"/>
              <w:bottom w:val="nil"/>
              <w:right w:val="nil"/>
            </w:tcBorders>
            <w:shd w:val="clear" w:color="auto" w:fill="auto"/>
            <w:noWrap/>
            <w:tcMar>
              <w:left w:w="28" w:type="dxa"/>
              <w:right w:w="28" w:type="dxa"/>
            </w:tcMar>
            <w:vAlign w:val="bottom"/>
            <w:hideMark/>
          </w:tcPr>
          <w:p w14:paraId="1531DE8E"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60% </w:t>
            </w:r>
          </w:p>
        </w:tc>
        <w:tc>
          <w:tcPr>
            <w:tcW w:w="348" w:type="pct"/>
            <w:tcBorders>
              <w:top w:val="nil"/>
              <w:left w:val="nil"/>
              <w:bottom w:val="nil"/>
              <w:right w:val="nil"/>
            </w:tcBorders>
            <w:shd w:val="clear" w:color="auto" w:fill="auto"/>
            <w:noWrap/>
            <w:tcMar>
              <w:left w:w="28" w:type="dxa"/>
              <w:right w:w="28" w:type="dxa"/>
            </w:tcMar>
            <w:vAlign w:val="bottom"/>
            <w:hideMark/>
          </w:tcPr>
          <w:p w14:paraId="35339ED1"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65% </w:t>
            </w:r>
          </w:p>
        </w:tc>
        <w:tc>
          <w:tcPr>
            <w:tcW w:w="348" w:type="pct"/>
            <w:tcBorders>
              <w:top w:val="nil"/>
              <w:left w:val="nil"/>
              <w:bottom w:val="nil"/>
              <w:right w:val="nil"/>
            </w:tcBorders>
            <w:shd w:val="clear" w:color="auto" w:fill="auto"/>
            <w:noWrap/>
            <w:tcMar>
              <w:left w:w="28" w:type="dxa"/>
              <w:right w:w="28" w:type="dxa"/>
            </w:tcMar>
            <w:vAlign w:val="bottom"/>
            <w:hideMark/>
          </w:tcPr>
          <w:p w14:paraId="1860785E"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70% </w:t>
            </w:r>
          </w:p>
        </w:tc>
        <w:tc>
          <w:tcPr>
            <w:tcW w:w="348" w:type="pct"/>
            <w:tcBorders>
              <w:top w:val="nil"/>
              <w:left w:val="nil"/>
              <w:bottom w:val="nil"/>
              <w:right w:val="nil"/>
            </w:tcBorders>
            <w:shd w:val="clear" w:color="auto" w:fill="auto"/>
            <w:noWrap/>
            <w:tcMar>
              <w:left w:w="28" w:type="dxa"/>
              <w:right w:w="28" w:type="dxa"/>
            </w:tcMar>
            <w:vAlign w:val="bottom"/>
            <w:hideMark/>
          </w:tcPr>
          <w:p w14:paraId="47F669B7" w14:textId="77777777" w:rsidR="00280058" w:rsidRPr="00DF3A8E" w:rsidRDefault="00280058" w:rsidP="00BB18F6">
            <w:pPr>
              <w:keepNext/>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75% </w:t>
            </w:r>
          </w:p>
        </w:tc>
      </w:tr>
      <w:tr w:rsidR="00280058" w:rsidRPr="002C025E" w14:paraId="630F9A69" w14:textId="77777777" w:rsidTr="0005008F">
        <w:tc>
          <w:tcPr>
            <w:tcW w:w="105" w:type="pct"/>
            <w:vMerge w:val="restart"/>
            <w:tcBorders>
              <w:top w:val="nil"/>
              <w:left w:val="nil"/>
              <w:bottom w:val="nil"/>
              <w:right w:val="nil"/>
            </w:tcBorders>
            <w:shd w:val="clear" w:color="000000" w:fill="D9D9D9"/>
            <w:tcMar>
              <w:left w:w="28" w:type="dxa"/>
              <w:right w:w="28" w:type="dxa"/>
            </w:tcMar>
            <w:textDirection w:val="btLr"/>
            <w:vAlign w:val="center"/>
            <w:hideMark/>
          </w:tcPr>
          <w:p w14:paraId="386EFFB1" w14:textId="77777777" w:rsidR="00280058" w:rsidRPr="00DF3A8E" w:rsidRDefault="00280058" w:rsidP="00BB18F6">
            <w:pPr>
              <w:keepNext/>
              <w:keepLines/>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Energijos kaina</w:t>
            </w:r>
            <w:r>
              <w:rPr>
                <w:rFonts w:ascii="Arial" w:eastAsia="Times New Roman" w:hAnsi="Arial" w:cs="Arial"/>
                <w:b/>
                <w:bCs/>
                <w:sz w:val="18"/>
                <w:szCs w:val="18"/>
                <w:lang w:val="lt-LT" w:eastAsia="lt-LT"/>
              </w:rPr>
              <w:t>, Lt</w:t>
            </w:r>
            <w:r w:rsidRPr="00DF3A8E">
              <w:rPr>
                <w:rFonts w:ascii="Arial" w:eastAsia="Times New Roman" w:hAnsi="Arial" w:cs="Arial"/>
                <w:b/>
                <w:bCs/>
                <w:sz w:val="18"/>
                <w:szCs w:val="18"/>
                <w:lang w:val="lt-LT" w:eastAsia="lt-LT"/>
              </w:rPr>
              <w:t xml:space="preserve"> </w:t>
            </w:r>
          </w:p>
        </w:tc>
        <w:tc>
          <w:tcPr>
            <w:tcW w:w="348" w:type="pct"/>
            <w:tcBorders>
              <w:top w:val="nil"/>
              <w:left w:val="nil"/>
              <w:bottom w:val="nil"/>
              <w:right w:val="nil"/>
            </w:tcBorders>
            <w:shd w:val="clear" w:color="auto" w:fill="auto"/>
            <w:noWrap/>
            <w:tcMar>
              <w:left w:w="28" w:type="dxa"/>
              <w:right w:w="28" w:type="dxa"/>
            </w:tcMar>
            <w:vAlign w:val="bottom"/>
            <w:hideMark/>
          </w:tcPr>
          <w:p w14:paraId="1553F9A0" w14:textId="77777777" w:rsidR="00280058" w:rsidRPr="00DF3A8E" w:rsidRDefault="00280058" w:rsidP="00BB18F6">
            <w:pPr>
              <w:keepNext/>
              <w:keepLines/>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0.26</w:t>
            </w:r>
          </w:p>
        </w:tc>
        <w:tc>
          <w:tcPr>
            <w:tcW w:w="348" w:type="pct"/>
            <w:tcBorders>
              <w:top w:val="nil"/>
              <w:left w:val="nil"/>
              <w:bottom w:val="nil"/>
              <w:right w:val="nil"/>
            </w:tcBorders>
            <w:shd w:val="clear" w:color="000000" w:fill="FFC7CE"/>
            <w:noWrap/>
            <w:tcMar>
              <w:left w:w="28" w:type="dxa"/>
              <w:right w:w="28" w:type="dxa"/>
            </w:tcMar>
            <w:vAlign w:val="bottom"/>
            <w:hideMark/>
          </w:tcPr>
          <w:p w14:paraId="519C3E2C" w14:textId="77777777" w:rsidR="00280058" w:rsidRPr="00DF3A8E" w:rsidRDefault="00280058" w:rsidP="00BB18F6">
            <w:pPr>
              <w:keepNext/>
              <w:keepLines/>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71.4 </w:t>
            </w:r>
          </w:p>
        </w:tc>
        <w:tc>
          <w:tcPr>
            <w:tcW w:w="348" w:type="pct"/>
            <w:tcBorders>
              <w:top w:val="nil"/>
              <w:left w:val="nil"/>
              <w:bottom w:val="nil"/>
              <w:right w:val="nil"/>
            </w:tcBorders>
            <w:shd w:val="clear" w:color="000000" w:fill="FFC7CE"/>
            <w:noWrap/>
            <w:tcMar>
              <w:left w:w="28" w:type="dxa"/>
              <w:right w:w="28" w:type="dxa"/>
            </w:tcMar>
            <w:vAlign w:val="bottom"/>
            <w:hideMark/>
          </w:tcPr>
          <w:p w14:paraId="720A1006" w14:textId="77777777" w:rsidR="00280058" w:rsidRPr="00DF3A8E" w:rsidRDefault="00280058" w:rsidP="00BB18F6">
            <w:pPr>
              <w:keepNext/>
              <w:keepLines/>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48.2 </w:t>
            </w:r>
          </w:p>
        </w:tc>
        <w:tc>
          <w:tcPr>
            <w:tcW w:w="348" w:type="pct"/>
            <w:tcBorders>
              <w:top w:val="nil"/>
              <w:left w:val="nil"/>
              <w:bottom w:val="nil"/>
              <w:right w:val="nil"/>
            </w:tcBorders>
            <w:shd w:val="clear" w:color="000000" w:fill="FFC7CE"/>
            <w:noWrap/>
            <w:tcMar>
              <w:left w:w="28" w:type="dxa"/>
              <w:right w:w="28" w:type="dxa"/>
            </w:tcMar>
            <w:vAlign w:val="bottom"/>
            <w:hideMark/>
          </w:tcPr>
          <w:p w14:paraId="0715A18E" w14:textId="77777777" w:rsidR="00280058" w:rsidRPr="00DF3A8E" w:rsidRDefault="00280058" w:rsidP="00BB18F6">
            <w:pPr>
              <w:keepNext/>
              <w:keepLines/>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36.6 </w:t>
            </w:r>
          </w:p>
        </w:tc>
        <w:tc>
          <w:tcPr>
            <w:tcW w:w="348" w:type="pct"/>
            <w:tcBorders>
              <w:top w:val="nil"/>
              <w:left w:val="nil"/>
              <w:bottom w:val="nil"/>
              <w:right w:val="nil"/>
            </w:tcBorders>
            <w:shd w:val="clear" w:color="000000" w:fill="FFC7CE"/>
            <w:noWrap/>
            <w:tcMar>
              <w:left w:w="28" w:type="dxa"/>
              <w:right w:w="28" w:type="dxa"/>
            </w:tcMar>
            <w:vAlign w:val="bottom"/>
            <w:hideMark/>
          </w:tcPr>
          <w:p w14:paraId="63E3834D" w14:textId="77777777" w:rsidR="00280058" w:rsidRPr="00DF3A8E" w:rsidRDefault="00280058" w:rsidP="00BB18F6">
            <w:pPr>
              <w:keepNext/>
              <w:keepLines/>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29.5 </w:t>
            </w:r>
          </w:p>
        </w:tc>
        <w:tc>
          <w:tcPr>
            <w:tcW w:w="348" w:type="pct"/>
            <w:tcBorders>
              <w:top w:val="nil"/>
              <w:left w:val="nil"/>
              <w:bottom w:val="nil"/>
              <w:right w:val="nil"/>
            </w:tcBorders>
            <w:shd w:val="clear" w:color="000000" w:fill="FFC7CE"/>
            <w:noWrap/>
            <w:tcMar>
              <w:left w:w="28" w:type="dxa"/>
              <w:right w:w="28" w:type="dxa"/>
            </w:tcMar>
            <w:vAlign w:val="bottom"/>
            <w:hideMark/>
          </w:tcPr>
          <w:p w14:paraId="2A30FC16" w14:textId="77777777" w:rsidR="00280058" w:rsidRPr="00DF3A8E" w:rsidRDefault="00280058" w:rsidP="00BB18F6">
            <w:pPr>
              <w:keepNext/>
              <w:keepLines/>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24.7 </w:t>
            </w:r>
          </w:p>
        </w:tc>
        <w:tc>
          <w:tcPr>
            <w:tcW w:w="348" w:type="pct"/>
            <w:tcBorders>
              <w:top w:val="nil"/>
              <w:left w:val="nil"/>
              <w:bottom w:val="nil"/>
              <w:right w:val="nil"/>
            </w:tcBorders>
            <w:shd w:val="clear" w:color="000000" w:fill="FFC7CE"/>
            <w:noWrap/>
            <w:tcMar>
              <w:left w:w="28" w:type="dxa"/>
              <w:right w:w="28" w:type="dxa"/>
            </w:tcMar>
            <w:vAlign w:val="bottom"/>
            <w:hideMark/>
          </w:tcPr>
          <w:p w14:paraId="3443AD09" w14:textId="77777777" w:rsidR="00280058" w:rsidRPr="00DF3A8E" w:rsidRDefault="00280058" w:rsidP="00BB18F6">
            <w:pPr>
              <w:keepNext/>
              <w:keepLines/>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21.3 </w:t>
            </w:r>
          </w:p>
        </w:tc>
        <w:tc>
          <w:tcPr>
            <w:tcW w:w="348" w:type="pct"/>
            <w:tcBorders>
              <w:top w:val="nil"/>
              <w:left w:val="nil"/>
              <w:bottom w:val="nil"/>
              <w:right w:val="nil"/>
            </w:tcBorders>
            <w:shd w:val="clear" w:color="000000" w:fill="C6EFCE"/>
            <w:noWrap/>
            <w:tcMar>
              <w:left w:w="28" w:type="dxa"/>
              <w:right w:w="28" w:type="dxa"/>
            </w:tcMar>
            <w:vAlign w:val="bottom"/>
            <w:hideMark/>
          </w:tcPr>
          <w:p w14:paraId="23521254" w14:textId="77777777" w:rsidR="00280058" w:rsidRPr="00DF3A8E" w:rsidRDefault="00280058" w:rsidP="00BB18F6">
            <w:pPr>
              <w:keepNext/>
              <w:keepLines/>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18.7 </w:t>
            </w:r>
          </w:p>
        </w:tc>
        <w:tc>
          <w:tcPr>
            <w:tcW w:w="348" w:type="pct"/>
            <w:tcBorders>
              <w:top w:val="nil"/>
              <w:left w:val="nil"/>
              <w:bottom w:val="nil"/>
              <w:right w:val="nil"/>
            </w:tcBorders>
            <w:shd w:val="clear" w:color="000000" w:fill="C6EFCE"/>
            <w:noWrap/>
            <w:tcMar>
              <w:left w:w="28" w:type="dxa"/>
              <w:right w:w="28" w:type="dxa"/>
            </w:tcMar>
            <w:vAlign w:val="bottom"/>
            <w:hideMark/>
          </w:tcPr>
          <w:p w14:paraId="1E95F51D" w14:textId="77777777" w:rsidR="00280058" w:rsidRPr="00DF3A8E" w:rsidRDefault="00280058" w:rsidP="00BB18F6">
            <w:pPr>
              <w:keepNext/>
              <w:keepLines/>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16.6 </w:t>
            </w:r>
          </w:p>
        </w:tc>
        <w:tc>
          <w:tcPr>
            <w:tcW w:w="348" w:type="pct"/>
            <w:tcBorders>
              <w:top w:val="nil"/>
              <w:left w:val="nil"/>
              <w:bottom w:val="nil"/>
              <w:right w:val="nil"/>
            </w:tcBorders>
            <w:shd w:val="clear" w:color="000000" w:fill="C6EFCE"/>
            <w:noWrap/>
            <w:tcMar>
              <w:left w:w="28" w:type="dxa"/>
              <w:right w:w="28" w:type="dxa"/>
            </w:tcMar>
            <w:vAlign w:val="bottom"/>
            <w:hideMark/>
          </w:tcPr>
          <w:p w14:paraId="79E90FC8" w14:textId="77777777" w:rsidR="00280058" w:rsidRPr="00DF3A8E" w:rsidRDefault="00280058" w:rsidP="00BB18F6">
            <w:pPr>
              <w:keepNext/>
              <w:keepLines/>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15.0 </w:t>
            </w:r>
          </w:p>
        </w:tc>
        <w:tc>
          <w:tcPr>
            <w:tcW w:w="365" w:type="pct"/>
            <w:tcBorders>
              <w:top w:val="nil"/>
              <w:left w:val="nil"/>
              <w:bottom w:val="nil"/>
              <w:right w:val="nil"/>
            </w:tcBorders>
            <w:shd w:val="clear" w:color="000000" w:fill="C6EFCE"/>
            <w:noWrap/>
            <w:tcMar>
              <w:left w:w="28" w:type="dxa"/>
              <w:right w:w="28" w:type="dxa"/>
            </w:tcMar>
            <w:vAlign w:val="bottom"/>
            <w:hideMark/>
          </w:tcPr>
          <w:p w14:paraId="7D0F58F9" w14:textId="77777777" w:rsidR="00280058" w:rsidRPr="00DF3A8E" w:rsidRDefault="00280058" w:rsidP="00BB18F6">
            <w:pPr>
              <w:keepNext/>
              <w:keepLines/>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13.7 </w:t>
            </w:r>
          </w:p>
        </w:tc>
        <w:tc>
          <w:tcPr>
            <w:tcW w:w="348" w:type="pct"/>
            <w:tcBorders>
              <w:top w:val="nil"/>
              <w:left w:val="nil"/>
              <w:bottom w:val="nil"/>
              <w:right w:val="nil"/>
            </w:tcBorders>
            <w:shd w:val="clear" w:color="000000" w:fill="C6EFCE"/>
            <w:noWrap/>
            <w:tcMar>
              <w:left w:w="28" w:type="dxa"/>
              <w:right w:w="28" w:type="dxa"/>
            </w:tcMar>
            <w:vAlign w:val="bottom"/>
            <w:hideMark/>
          </w:tcPr>
          <w:p w14:paraId="50D54942" w14:textId="77777777" w:rsidR="00280058" w:rsidRPr="00DF3A8E" w:rsidRDefault="00280058" w:rsidP="00BB18F6">
            <w:pPr>
              <w:keepNext/>
              <w:keepLines/>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12.5 </w:t>
            </w:r>
          </w:p>
        </w:tc>
        <w:tc>
          <w:tcPr>
            <w:tcW w:w="348" w:type="pct"/>
            <w:tcBorders>
              <w:top w:val="nil"/>
              <w:left w:val="nil"/>
              <w:bottom w:val="nil"/>
              <w:right w:val="nil"/>
            </w:tcBorders>
            <w:shd w:val="clear" w:color="000000" w:fill="C6EFCE"/>
            <w:noWrap/>
            <w:tcMar>
              <w:left w:w="28" w:type="dxa"/>
              <w:right w:w="28" w:type="dxa"/>
            </w:tcMar>
            <w:vAlign w:val="bottom"/>
            <w:hideMark/>
          </w:tcPr>
          <w:p w14:paraId="21684C1C" w14:textId="77777777" w:rsidR="00280058" w:rsidRPr="00DF3A8E" w:rsidRDefault="00280058" w:rsidP="00BB18F6">
            <w:pPr>
              <w:keepNext/>
              <w:keepLines/>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11.6 </w:t>
            </w:r>
          </w:p>
        </w:tc>
        <w:tc>
          <w:tcPr>
            <w:tcW w:w="348" w:type="pct"/>
            <w:tcBorders>
              <w:top w:val="nil"/>
              <w:left w:val="nil"/>
              <w:bottom w:val="nil"/>
              <w:right w:val="nil"/>
            </w:tcBorders>
            <w:shd w:val="clear" w:color="000000" w:fill="C6EFCE"/>
            <w:noWrap/>
            <w:tcMar>
              <w:left w:w="28" w:type="dxa"/>
              <w:right w:w="28" w:type="dxa"/>
            </w:tcMar>
            <w:vAlign w:val="bottom"/>
            <w:hideMark/>
          </w:tcPr>
          <w:p w14:paraId="393C8D90" w14:textId="77777777" w:rsidR="00280058" w:rsidRPr="00DF3A8E" w:rsidRDefault="00280058" w:rsidP="00BB18F6">
            <w:pPr>
              <w:keepNext/>
              <w:keepLines/>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10.8 </w:t>
            </w:r>
          </w:p>
        </w:tc>
      </w:tr>
      <w:tr w:rsidR="00280058" w:rsidRPr="002C025E" w14:paraId="26DB124D" w14:textId="77777777" w:rsidTr="0005008F">
        <w:tc>
          <w:tcPr>
            <w:tcW w:w="105" w:type="pct"/>
            <w:vMerge/>
            <w:tcBorders>
              <w:top w:val="nil"/>
              <w:left w:val="nil"/>
              <w:bottom w:val="nil"/>
              <w:right w:val="nil"/>
            </w:tcBorders>
            <w:tcMar>
              <w:left w:w="28" w:type="dxa"/>
              <w:right w:w="28" w:type="dxa"/>
            </w:tcMar>
            <w:vAlign w:val="center"/>
            <w:hideMark/>
          </w:tcPr>
          <w:p w14:paraId="68A3AAD3"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8" w:type="pct"/>
            <w:tcBorders>
              <w:top w:val="nil"/>
              <w:left w:val="nil"/>
              <w:bottom w:val="nil"/>
              <w:right w:val="nil"/>
            </w:tcBorders>
            <w:shd w:val="clear" w:color="auto" w:fill="auto"/>
            <w:noWrap/>
            <w:tcMar>
              <w:left w:w="28" w:type="dxa"/>
              <w:right w:w="28" w:type="dxa"/>
            </w:tcMar>
            <w:vAlign w:val="bottom"/>
            <w:hideMark/>
          </w:tcPr>
          <w:p w14:paraId="69DD4414"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0.27</w:t>
            </w:r>
          </w:p>
        </w:tc>
        <w:tc>
          <w:tcPr>
            <w:tcW w:w="348" w:type="pct"/>
            <w:tcBorders>
              <w:top w:val="nil"/>
              <w:left w:val="nil"/>
              <w:bottom w:val="nil"/>
              <w:right w:val="nil"/>
            </w:tcBorders>
            <w:shd w:val="clear" w:color="000000" w:fill="FFC7CE"/>
            <w:noWrap/>
            <w:tcMar>
              <w:left w:w="28" w:type="dxa"/>
              <w:right w:w="28" w:type="dxa"/>
            </w:tcMar>
            <w:vAlign w:val="bottom"/>
            <w:hideMark/>
          </w:tcPr>
          <w:p w14:paraId="6889B4E4"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67.6 </w:t>
            </w:r>
          </w:p>
        </w:tc>
        <w:tc>
          <w:tcPr>
            <w:tcW w:w="348" w:type="pct"/>
            <w:tcBorders>
              <w:top w:val="nil"/>
              <w:left w:val="nil"/>
              <w:bottom w:val="nil"/>
              <w:right w:val="nil"/>
            </w:tcBorders>
            <w:shd w:val="clear" w:color="000000" w:fill="FFC7CE"/>
            <w:noWrap/>
            <w:tcMar>
              <w:left w:w="28" w:type="dxa"/>
              <w:right w:w="28" w:type="dxa"/>
            </w:tcMar>
            <w:vAlign w:val="bottom"/>
            <w:hideMark/>
          </w:tcPr>
          <w:p w14:paraId="05ED71D0"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46.0 </w:t>
            </w:r>
          </w:p>
        </w:tc>
        <w:tc>
          <w:tcPr>
            <w:tcW w:w="348" w:type="pct"/>
            <w:tcBorders>
              <w:top w:val="nil"/>
              <w:left w:val="nil"/>
              <w:bottom w:val="nil"/>
              <w:right w:val="nil"/>
            </w:tcBorders>
            <w:shd w:val="clear" w:color="000000" w:fill="FFC7CE"/>
            <w:noWrap/>
            <w:tcMar>
              <w:left w:w="28" w:type="dxa"/>
              <w:right w:w="28" w:type="dxa"/>
            </w:tcMar>
            <w:vAlign w:val="bottom"/>
            <w:hideMark/>
          </w:tcPr>
          <w:p w14:paraId="0133EA05"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34.9 </w:t>
            </w:r>
          </w:p>
        </w:tc>
        <w:tc>
          <w:tcPr>
            <w:tcW w:w="348" w:type="pct"/>
            <w:tcBorders>
              <w:top w:val="nil"/>
              <w:left w:val="nil"/>
              <w:bottom w:val="nil"/>
              <w:right w:val="nil"/>
            </w:tcBorders>
            <w:shd w:val="clear" w:color="000000" w:fill="FFC7CE"/>
            <w:noWrap/>
            <w:tcMar>
              <w:left w:w="28" w:type="dxa"/>
              <w:right w:w="28" w:type="dxa"/>
            </w:tcMar>
            <w:vAlign w:val="bottom"/>
            <w:hideMark/>
          </w:tcPr>
          <w:p w14:paraId="3FA570CC"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28.2 </w:t>
            </w:r>
          </w:p>
        </w:tc>
        <w:tc>
          <w:tcPr>
            <w:tcW w:w="348" w:type="pct"/>
            <w:tcBorders>
              <w:top w:val="nil"/>
              <w:left w:val="nil"/>
              <w:bottom w:val="nil"/>
              <w:right w:val="nil"/>
            </w:tcBorders>
            <w:shd w:val="clear" w:color="000000" w:fill="FFC7CE"/>
            <w:noWrap/>
            <w:tcMar>
              <w:left w:w="28" w:type="dxa"/>
              <w:right w:w="28" w:type="dxa"/>
            </w:tcMar>
            <w:vAlign w:val="bottom"/>
            <w:hideMark/>
          </w:tcPr>
          <w:p w14:paraId="48E517AE"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23.7 </w:t>
            </w:r>
          </w:p>
        </w:tc>
        <w:tc>
          <w:tcPr>
            <w:tcW w:w="348" w:type="pct"/>
            <w:tcBorders>
              <w:top w:val="nil"/>
              <w:left w:val="nil"/>
              <w:bottom w:val="nil"/>
              <w:right w:val="nil"/>
            </w:tcBorders>
            <w:shd w:val="clear" w:color="000000" w:fill="FFC7CE"/>
            <w:noWrap/>
            <w:tcMar>
              <w:left w:w="28" w:type="dxa"/>
              <w:right w:w="28" w:type="dxa"/>
            </w:tcMar>
            <w:vAlign w:val="bottom"/>
            <w:hideMark/>
          </w:tcPr>
          <w:p w14:paraId="17CA3DCA"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20.4 </w:t>
            </w:r>
          </w:p>
        </w:tc>
        <w:tc>
          <w:tcPr>
            <w:tcW w:w="348" w:type="pct"/>
            <w:tcBorders>
              <w:top w:val="nil"/>
              <w:left w:val="nil"/>
              <w:bottom w:val="nil"/>
              <w:right w:val="nil"/>
            </w:tcBorders>
            <w:shd w:val="clear" w:color="000000" w:fill="C6EFCE"/>
            <w:noWrap/>
            <w:tcMar>
              <w:left w:w="28" w:type="dxa"/>
              <w:right w:w="28" w:type="dxa"/>
            </w:tcMar>
            <w:vAlign w:val="bottom"/>
            <w:hideMark/>
          </w:tcPr>
          <w:p w14:paraId="44B11E1D"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17.9 </w:t>
            </w:r>
          </w:p>
        </w:tc>
        <w:tc>
          <w:tcPr>
            <w:tcW w:w="348" w:type="pct"/>
            <w:tcBorders>
              <w:top w:val="nil"/>
              <w:left w:val="nil"/>
              <w:bottom w:val="nil"/>
              <w:right w:val="nil"/>
            </w:tcBorders>
            <w:shd w:val="clear" w:color="000000" w:fill="C6EFCE"/>
            <w:noWrap/>
            <w:tcMar>
              <w:left w:w="28" w:type="dxa"/>
              <w:right w:w="28" w:type="dxa"/>
            </w:tcMar>
            <w:vAlign w:val="bottom"/>
            <w:hideMark/>
          </w:tcPr>
          <w:p w14:paraId="59DD0D0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16.0 </w:t>
            </w:r>
          </w:p>
        </w:tc>
        <w:tc>
          <w:tcPr>
            <w:tcW w:w="348" w:type="pct"/>
            <w:tcBorders>
              <w:top w:val="nil"/>
              <w:left w:val="nil"/>
              <w:bottom w:val="nil"/>
              <w:right w:val="nil"/>
            </w:tcBorders>
            <w:shd w:val="clear" w:color="000000" w:fill="C6EFCE"/>
            <w:noWrap/>
            <w:tcMar>
              <w:left w:w="28" w:type="dxa"/>
              <w:right w:w="28" w:type="dxa"/>
            </w:tcMar>
            <w:vAlign w:val="bottom"/>
            <w:hideMark/>
          </w:tcPr>
          <w:p w14:paraId="104AE01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14.4 </w:t>
            </w:r>
          </w:p>
        </w:tc>
        <w:tc>
          <w:tcPr>
            <w:tcW w:w="365" w:type="pct"/>
            <w:tcBorders>
              <w:top w:val="nil"/>
              <w:left w:val="nil"/>
              <w:bottom w:val="nil"/>
              <w:right w:val="nil"/>
            </w:tcBorders>
            <w:shd w:val="clear" w:color="000000" w:fill="C6EFCE"/>
            <w:noWrap/>
            <w:tcMar>
              <w:left w:w="28" w:type="dxa"/>
              <w:right w:w="28" w:type="dxa"/>
            </w:tcMar>
            <w:vAlign w:val="bottom"/>
            <w:hideMark/>
          </w:tcPr>
          <w:p w14:paraId="23831AC3"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13.1 </w:t>
            </w:r>
          </w:p>
        </w:tc>
        <w:tc>
          <w:tcPr>
            <w:tcW w:w="348" w:type="pct"/>
            <w:tcBorders>
              <w:top w:val="nil"/>
              <w:left w:val="nil"/>
              <w:bottom w:val="nil"/>
              <w:right w:val="nil"/>
            </w:tcBorders>
            <w:shd w:val="clear" w:color="000000" w:fill="C6EFCE"/>
            <w:noWrap/>
            <w:tcMar>
              <w:left w:w="28" w:type="dxa"/>
              <w:right w:w="28" w:type="dxa"/>
            </w:tcMar>
            <w:vAlign w:val="bottom"/>
            <w:hideMark/>
          </w:tcPr>
          <w:p w14:paraId="77A666DB"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12.0 </w:t>
            </w:r>
          </w:p>
        </w:tc>
        <w:tc>
          <w:tcPr>
            <w:tcW w:w="348" w:type="pct"/>
            <w:tcBorders>
              <w:top w:val="nil"/>
              <w:left w:val="nil"/>
              <w:bottom w:val="nil"/>
              <w:right w:val="nil"/>
            </w:tcBorders>
            <w:shd w:val="clear" w:color="000000" w:fill="C6EFCE"/>
            <w:noWrap/>
            <w:tcMar>
              <w:left w:w="28" w:type="dxa"/>
              <w:right w:w="28" w:type="dxa"/>
            </w:tcMar>
            <w:vAlign w:val="bottom"/>
            <w:hideMark/>
          </w:tcPr>
          <w:p w14:paraId="45C4CC5B"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11.1 </w:t>
            </w:r>
          </w:p>
        </w:tc>
        <w:tc>
          <w:tcPr>
            <w:tcW w:w="348" w:type="pct"/>
            <w:tcBorders>
              <w:top w:val="nil"/>
              <w:left w:val="nil"/>
              <w:bottom w:val="nil"/>
              <w:right w:val="nil"/>
            </w:tcBorders>
            <w:shd w:val="clear" w:color="000000" w:fill="C6EFCE"/>
            <w:noWrap/>
            <w:tcMar>
              <w:left w:w="28" w:type="dxa"/>
              <w:right w:w="28" w:type="dxa"/>
            </w:tcMar>
            <w:vAlign w:val="bottom"/>
            <w:hideMark/>
          </w:tcPr>
          <w:p w14:paraId="29E08F02"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10.4 </w:t>
            </w:r>
          </w:p>
        </w:tc>
      </w:tr>
      <w:tr w:rsidR="00280058" w:rsidRPr="002C025E" w14:paraId="6DD32049" w14:textId="77777777" w:rsidTr="0005008F">
        <w:tc>
          <w:tcPr>
            <w:tcW w:w="105" w:type="pct"/>
            <w:vMerge/>
            <w:tcBorders>
              <w:top w:val="nil"/>
              <w:left w:val="nil"/>
              <w:bottom w:val="nil"/>
              <w:right w:val="nil"/>
            </w:tcBorders>
            <w:tcMar>
              <w:left w:w="28" w:type="dxa"/>
              <w:right w:w="28" w:type="dxa"/>
            </w:tcMar>
            <w:vAlign w:val="center"/>
            <w:hideMark/>
          </w:tcPr>
          <w:p w14:paraId="3D59CDE5"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8" w:type="pct"/>
            <w:tcBorders>
              <w:top w:val="nil"/>
              <w:left w:val="nil"/>
              <w:bottom w:val="nil"/>
              <w:right w:val="nil"/>
            </w:tcBorders>
            <w:shd w:val="clear" w:color="auto" w:fill="auto"/>
            <w:noWrap/>
            <w:tcMar>
              <w:left w:w="28" w:type="dxa"/>
              <w:right w:w="28" w:type="dxa"/>
            </w:tcMar>
            <w:vAlign w:val="bottom"/>
            <w:hideMark/>
          </w:tcPr>
          <w:p w14:paraId="393C8D54"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0.28</w:t>
            </w:r>
          </w:p>
        </w:tc>
        <w:tc>
          <w:tcPr>
            <w:tcW w:w="348" w:type="pct"/>
            <w:tcBorders>
              <w:top w:val="nil"/>
              <w:left w:val="nil"/>
              <w:bottom w:val="nil"/>
              <w:right w:val="nil"/>
            </w:tcBorders>
            <w:shd w:val="clear" w:color="000000" w:fill="FFC7CE"/>
            <w:noWrap/>
            <w:tcMar>
              <w:left w:w="28" w:type="dxa"/>
              <w:right w:w="28" w:type="dxa"/>
            </w:tcMar>
            <w:vAlign w:val="bottom"/>
            <w:hideMark/>
          </w:tcPr>
          <w:p w14:paraId="63069FC3"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64.2 </w:t>
            </w:r>
          </w:p>
        </w:tc>
        <w:tc>
          <w:tcPr>
            <w:tcW w:w="348" w:type="pct"/>
            <w:tcBorders>
              <w:top w:val="nil"/>
              <w:left w:val="nil"/>
              <w:bottom w:val="nil"/>
              <w:right w:val="nil"/>
            </w:tcBorders>
            <w:shd w:val="clear" w:color="000000" w:fill="FFC7CE"/>
            <w:noWrap/>
            <w:tcMar>
              <w:left w:w="28" w:type="dxa"/>
              <w:right w:w="28" w:type="dxa"/>
            </w:tcMar>
            <w:vAlign w:val="bottom"/>
            <w:hideMark/>
          </w:tcPr>
          <w:p w14:paraId="102BEA4A"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43.9 </w:t>
            </w:r>
          </w:p>
        </w:tc>
        <w:tc>
          <w:tcPr>
            <w:tcW w:w="348" w:type="pct"/>
            <w:tcBorders>
              <w:top w:val="nil"/>
              <w:left w:val="nil"/>
              <w:bottom w:val="nil"/>
              <w:right w:val="nil"/>
            </w:tcBorders>
            <w:shd w:val="clear" w:color="000000" w:fill="FFC7CE"/>
            <w:noWrap/>
            <w:tcMar>
              <w:left w:w="28" w:type="dxa"/>
              <w:right w:w="28" w:type="dxa"/>
            </w:tcMar>
            <w:vAlign w:val="bottom"/>
            <w:hideMark/>
          </w:tcPr>
          <w:p w14:paraId="7FC7C251"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33.5 </w:t>
            </w:r>
          </w:p>
        </w:tc>
        <w:tc>
          <w:tcPr>
            <w:tcW w:w="348" w:type="pct"/>
            <w:tcBorders>
              <w:top w:val="nil"/>
              <w:left w:val="nil"/>
              <w:bottom w:val="nil"/>
              <w:right w:val="nil"/>
            </w:tcBorders>
            <w:shd w:val="clear" w:color="000000" w:fill="FFC7CE"/>
            <w:noWrap/>
            <w:tcMar>
              <w:left w:w="28" w:type="dxa"/>
              <w:right w:w="28" w:type="dxa"/>
            </w:tcMar>
            <w:vAlign w:val="bottom"/>
            <w:hideMark/>
          </w:tcPr>
          <w:p w14:paraId="2D76886D"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27.1 </w:t>
            </w:r>
          </w:p>
        </w:tc>
        <w:tc>
          <w:tcPr>
            <w:tcW w:w="348" w:type="pct"/>
            <w:tcBorders>
              <w:top w:val="nil"/>
              <w:left w:val="nil"/>
              <w:bottom w:val="nil"/>
              <w:right w:val="nil"/>
            </w:tcBorders>
            <w:shd w:val="clear" w:color="000000" w:fill="FFC7CE"/>
            <w:noWrap/>
            <w:tcMar>
              <w:left w:w="28" w:type="dxa"/>
              <w:right w:w="28" w:type="dxa"/>
            </w:tcMar>
            <w:vAlign w:val="bottom"/>
            <w:hideMark/>
          </w:tcPr>
          <w:p w14:paraId="375C7FC3"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22.7 </w:t>
            </w:r>
          </w:p>
        </w:tc>
        <w:tc>
          <w:tcPr>
            <w:tcW w:w="348" w:type="pct"/>
            <w:tcBorders>
              <w:top w:val="nil"/>
              <w:left w:val="nil"/>
              <w:bottom w:val="nil"/>
              <w:right w:val="nil"/>
            </w:tcBorders>
            <w:shd w:val="clear" w:color="000000" w:fill="C6EFCE"/>
            <w:noWrap/>
            <w:tcMar>
              <w:left w:w="28" w:type="dxa"/>
              <w:right w:w="28" w:type="dxa"/>
            </w:tcMar>
            <w:vAlign w:val="bottom"/>
            <w:hideMark/>
          </w:tcPr>
          <w:p w14:paraId="729E1E39"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19.6 </w:t>
            </w:r>
          </w:p>
        </w:tc>
        <w:tc>
          <w:tcPr>
            <w:tcW w:w="348" w:type="pct"/>
            <w:tcBorders>
              <w:top w:val="nil"/>
              <w:left w:val="nil"/>
              <w:bottom w:val="nil"/>
              <w:right w:val="nil"/>
            </w:tcBorders>
            <w:shd w:val="clear" w:color="000000" w:fill="C6EFCE"/>
            <w:noWrap/>
            <w:tcMar>
              <w:left w:w="28" w:type="dxa"/>
              <w:right w:w="28" w:type="dxa"/>
            </w:tcMar>
            <w:vAlign w:val="bottom"/>
            <w:hideMark/>
          </w:tcPr>
          <w:p w14:paraId="36FA6E5D"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17.2 </w:t>
            </w:r>
          </w:p>
        </w:tc>
        <w:tc>
          <w:tcPr>
            <w:tcW w:w="348" w:type="pct"/>
            <w:tcBorders>
              <w:top w:val="nil"/>
              <w:left w:val="nil"/>
              <w:bottom w:val="nil"/>
              <w:right w:val="nil"/>
            </w:tcBorders>
            <w:shd w:val="clear" w:color="000000" w:fill="C6EFCE"/>
            <w:noWrap/>
            <w:tcMar>
              <w:left w:w="28" w:type="dxa"/>
              <w:right w:w="28" w:type="dxa"/>
            </w:tcMar>
            <w:vAlign w:val="bottom"/>
            <w:hideMark/>
          </w:tcPr>
          <w:p w14:paraId="4068B0CA"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15.3 </w:t>
            </w:r>
          </w:p>
        </w:tc>
        <w:tc>
          <w:tcPr>
            <w:tcW w:w="348" w:type="pct"/>
            <w:tcBorders>
              <w:top w:val="nil"/>
              <w:left w:val="nil"/>
              <w:bottom w:val="nil"/>
              <w:right w:val="nil"/>
            </w:tcBorders>
            <w:shd w:val="clear" w:color="000000" w:fill="C6EFCE"/>
            <w:noWrap/>
            <w:tcMar>
              <w:left w:w="28" w:type="dxa"/>
              <w:right w:w="28" w:type="dxa"/>
            </w:tcMar>
            <w:vAlign w:val="bottom"/>
            <w:hideMark/>
          </w:tcPr>
          <w:p w14:paraId="0B530868"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13.9 </w:t>
            </w:r>
          </w:p>
        </w:tc>
        <w:tc>
          <w:tcPr>
            <w:tcW w:w="365" w:type="pct"/>
            <w:tcBorders>
              <w:top w:val="nil"/>
              <w:left w:val="nil"/>
              <w:bottom w:val="nil"/>
              <w:right w:val="nil"/>
            </w:tcBorders>
            <w:shd w:val="clear" w:color="000000" w:fill="C6EFCE"/>
            <w:noWrap/>
            <w:tcMar>
              <w:left w:w="28" w:type="dxa"/>
              <w:right w:w="28" w:type="dxa"/>
            </w:tcMar>
            <w:vAlign w:val="bottom"/>
            <w:hideMark/>
          </w:tcPr>
          <w:p w14:paraId="0B763B2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12.6 </w:t>
            </w:r>
          </w:p>
        </w:tc>
        <w:tc>
          <w:tcPr>
            <w:tcW w:w="348" w:type="pct"/>
            <w:tcBorders>
              <w:top w:val="nil"/>
              <w:left w:val="nil"/>
              <w:bottom w:val="nil"/>
              <w:right w:val="nil"/>
            </w:tcBorders>
            <w:shd w:val="clear" w:color="000000" w:fill="C6EFCE"/>
            <w:noWrap/>
            <w:tcMar>
              <w:left w:w="28" w:type="dxa"/>
              <w:right w:w="28" w:type="dxa"/>
            </w:tcMar>
            <w:vAlign w:val="bottom"/>
            <w:hideMark/>
          </w:tcPr>
          <w:p w14:paraId="51C7F19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11.6 </w:t>
            </w:r>
          </w:p>
        </w:tc>
        <w:tc>
          <w:tcPr>
            <w:tcW w:w="348" w:type="pct"/>
            <w:tcBorders>
              <w:top w:val="nil"/>
              <w:left w:val="nil"/>
              <w:bottom w:val="nil"/>
              <w:right w:val="nil"/>
            </w:tcBorders>
            <w:shd w:val="clear" w:color="000000" w:fill="C6EFCE"/>
            <w:noWrap/>
            <w:tcMar>
              <w:left w:w="28" w:type="dxa"/>
              <w:right w:w="28" w:type="dxa"/>
            </w:tcMar>
            <w:vAlign w:val="bottom"/>
            <w:hideMark/>
          </w:tcPr>
          <w:p w14:paraId="7E8B8D42"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10.7 </w:t>
            </w:r>
          </w:p>
        </w:tc>
        <w:tc>
          <w:tcPr>
            <w:tcW w:w="348" w:type="pct"/>
            <w:tcBorders>
              <w:top w:val="nil"/>
              <w:left w:val="nil"/>
              <w:bottom w:val="nil"/>
              <w:right w:val="nil"/>
            </w:tcBorders>
            <w:shd w:val="clear" w:color="000000" w:fill="C6EFCE"/>
            <w:noWrap/>
            <w:tcMar>
              <w:left w:w="28" w:type="dxa"/>
              <w:right w:w="28" w:type="dxa"/>
            </w:tcMar>
            <w:vAlign w:val="bottom"/>
            <w:hideMark/>
          </w:tcPr>
          <w:p w14:paraId="4AB71CA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10.0 </w:t>
            </w:r>
          </w:p>
        </w:tc>
      </w:tr>
      <w:tr w:rsidR="00280058" w:rsidRPr="002C025E" w14:paraId="0E35B9FB" w14:textId="77777777" w:rsidTr="0005008F">
        <w:tc>
          <w:tcPr>
            <w:tcW w:w="105" w:type="pct"/>
            <w:vMerge/>
            <w:tcBorders>
              <w:top w:val="nil"/>
              <w:left w:val="nil"/>
              <w:bottom w:val="nil"/>
              <w:right w:val="nil"/>
            </w:tcBorders>
            <w:tcMar>
              <w:left w:w="28" w:type="dxa"/>
              <w:right w:w="28" w:type="dxa"/>
            </w:tcMar>
            <w:vAlign w:val="center"/>
            <w:hideMark/>
          </w:tcPr>
          <w:p w14:paraId="578A86C1"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8" w:type="pct"/>
            <w:tcBorders>
              <w:top w:val="nil"/>
              <w:left w:val="nil"/>
              <w:right w:val="nil"/>
            </w:tcBorders>
            <w:shd w:val="clear" w:color="auto" w:fill="auto"/>
            <w:noWrap/>
            <w:tcMar>
              <w:left w:w="28" w:type="dxa"/>
              <w:right w:w="28" w:type="dxa"/>
            </w:tcMar>
            <w:vAlign w:val="bottom"/>
            <w:hideMark/>
          </w:tcPr>
          <w:p w14:paraId="78608C3A"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0.29</w:t>
            </w:r>
          </w:p>
        </w:tc>
        <w:tc>
          <w:tcPr>
            <w:tcW w:w="348" w:type="pct"/>
            <w:tcBorders>
              <w:top w:val="nil"/>
              <w:left w:val="nil"/>
              <w:bottom w:val="nil"/>
              <w:right w:val="nil"/>
            </w:tcBorders>
            <w:shd w:val="clear" w:color="000000" w:fill="FFC7CE"/>
            <w:noWrap/>
            <w:tcMar>
              <w:left w:w="28" w:type="dxa"/>
              <w:right w:w="28" w:type="dxa"/>
            </w:tcMar>
            <w:vAlign w:val="bottom"/>
            <w:hideMark/>
          </w:tcPr>
          <w:p w14:paraId="2AF07F6A"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61.1 </w:t>
            </w:r>
          </w:p>
        </w:tc>
        <w:tc>
          <w:tcPr>
            <w:tcW w:w="348" w:type="pct"/>
            <w:tcBorders>
              <w:top w:val="nil"/>
              <w:left w:val="nil"/>
              <w:bottom w:val="nil"/>
              <w:right w:val="nil"/>
            </w:tcBorders>
            <w:shd w:val="clear" w:color="000000" w:fill="FFC7CE"/>
            <w:noWrap/>
            <w:tcMar>
              <w:left w:w="28" w:type="dxa"/>
              <w:right w:w="28" w:type="dxa"/>
            </w:tcMar>
            <w:vAlign w:val="bottom"/>
            <w:hideMark/>
          </w:tcPr>
          <w:p w14:paraId="6754C02D"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42.0 </w:t>
            </w:r>
          </w:p>
        </w:tc>
        <w:tc>
          <w:tcPr>
            <w:tcW w:w="348" w:type="pct"/>
            <w:tcBorders>
              <w:top w:val="nil"/>
              <w:left w:val="nil"/>
              <w:bottom w:val="nil"/>
              <w:right w:val="nil"/>
            </w:tcBorders>
            <w:shd w:val="clear" w:color="000000" w:fill="FFC7CE"/>
            <w:noWrap/>
            <w:tcMar>
              <w:left w:w="28" w:type="dxa"/>
              <w:right w:w="28" w:type="dxa"/>
            </w:tcMar>
            <w:vAlign w:val="bottom"/>
            <w:hideMark/>
          </w:tcPr>
          <w:p w14:paraId="395D60CE"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32.1 </w:t>
            </w:r>
          </w:p>
        </w:tc>
        <w:tc>
          <w:tcPr>
            <w:tcW w:w="348" w:type="pct"/>
            <w:tcBorders>
              <w:top w:val="nil"/>
              <w:left w:val="nil"/>
              <w:bottom w:val="nil"/>
              <w:right w:val="nil"/>
            </w:tcBorders>
            <w:shd w:val="clear" w:color="000000" w:fill="FFC7CE"/>
            <w:noWrap/>
            <w:tcMar>
              <w:left w:w="28" w:type="dxa"/>
              <w:right w:w="28" w:type="dxa"/>
            </w:tcMar>
            <w:vAlign w:val="bottom"/>
            <w:hideMark/>
          </w:tcPr>
          <w:p w14:paraId="4E578C3C"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26.0 </w:t>
            </w:r>
          </w:p>
        </w:tc>
        <w:tc>
          <w:tcPr>
            <w:tcW w:w="348" w:type="pct"/>
            <w:tcBorders>
              <w:top w:val="nil"/>
              <w:left w:val="nil"/>
              <w:bottom w:val="nil"/>
              <w:right w:val="nil"/>
            </w:tcBorders>
            <w:shd w:val="clear" w:color="000000" w:fill="FFC7CE"/>
            <w:noWrap/>
            <w:tcMar>
              <w:left w:w="28" w:type="dxa"/>
              <w:right w:w="28" w:type="dxa"/>
            </w:tcMar>
            <w:vAlign w:val="bottom"/>
            <w:hideMark/>
          </w:tcPr>
          <w:p w14:paraId="0FABCBFE"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21.8 </w:t>
            </w:r>
          </w:p>
        </w:tc>
        <w:tc>
          <w:tcPr>
            <w:tcW w:w="348" w:type="pct"/>
            <w:tcBorders>
              <w:top w:val="nil"/>
              <w:left w:val="nil"/>
              <w:bottom w:val="nil"/>
              <w:right w:val="nil"/>
            </w:tcBorders>
            <w:shd w:val="clear" w:color="000000" w:fill="C6EFCE"/>
            <w:noWrap/>
            <w:tcMar>
              <w:left w:w="28" w:type="dxa"/>
              <w:right w:w="28" w:type="dxa"/>
            </w:tcMar>
            <w:vAlign w:val="bottom"/>
            <w:hideMark/>
          </w:tcPr>
          <w:p w14:paraId="4CBD7BDB"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18.8 </w:t>
            </w:r>
          </w:p>
        </w:tc>
        <w:tc>
          <w:tcPr>
            <w:tcW w:w="348" w:type="pct"/>
            <w:tcBorders>
              <w:top w:val="nil"/>
              <w:left w:val="nil"/>
              <w:bottom w:val="nil"/>
              <w:right w:val="nil"/>
            </w:tcBorders>
            <w:shd w:val="clear" w:color="000000" w:fill="C6EFCE"/>
            <w:noWrap/>
            <w:tcMar>
              <w:left w:w="28" w:type="dxa"/>
              <w:right w:w="28" w:type="dxa"/>
            </w:tcMar>
            <w:vAlign w:val="bottom"/>
            <w:hideMark/>
          </w:tcPr>
          <w:p w14:paraId="1C455D53"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16.6 </w:t>
            </w:r>
          </w:p>
        </w:tc>
        <w:tc>
          <w:tcPr>
            <w:tcW w:w="348" w:type="pct"/>
            <w:tcBorders>
              <w:top w:val="nil"/>
              <w:left w:val="nil"/>
              <w:bottom w:val="nil"/>
              <w:right w:val="nil"/>
            </w:tcBorders>
            <w:shd w:val="clear" w:color="000000" w:fill="C6EFCE"/>
            <w:noWrap/>
            <w:tcMar>
              <w:left w:w="28" w:type="dxa"/>
              <w:right w:w="28" w:type="dxa"/>
            </w:tcMar>
            <w:vAlign w:val="bottom"/>
            <w:hideMark/>
          </w:tcPr>
          <w:p w14:paraId="2C19E7A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14.8 </w:t>
            </w:r>
          </w:p>
        </w:tc>
        <w:tc>
          <w:tcPr>
            <w:tcW w:w="348" w:type="pct"/>
            <w:tcBorders>
              <w:top w:val="nil"/>
              <w:left w:val="nil"/>
              <w:bottom w:val="nil"/>
              <w:right w:val="nil"/>
            </w:tcBorders>
            <w:shd w:val="clear" w:color="000000" w:fill="C6EFCE"/>
            <w:noWrap/>
            <w:tcMar>
              <w:left w:w="28" w:type="dxa"/>
              <w:right w:w="28" w:type="dxa"/>
            </w:tcMar>
            <w:vAlign w:val="bottom"/>
            <w:hideMark/>
          </w:tcPr>
          <w:p w14:paraId="78D9F6B1"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13.3 </w:t>
            </w:r>
          </w:p>
        </w:tc>
        <w:tc>
          <w:tcPr>
            <w:tcW w:w="365" w:type="pct"/>
            <w:tcBorders>
              <w:top w:val="nil"/>
              <w:left w:val="nil"/>
              <w:bottom w:val="nil"/>
              <w:right w:val="nil"/>
            </w:tcBorders>
            <w:shd w:val="clear" w:color="000000" w:fill="C6EFCE"/>
            <w:noWrap/>
            <w:tcMar>
              <w:left w:w="28" w:type="dxa"/>
              <w:right w:w="28" w:type="dxa"/>
            </w:tcMar>
            <w:vAlign w:val="bottom"/>
            <w:hideMark/>
          </w:tcPr>
          <w:p w14:paraId="5CD9E780"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12.2 </w:t>
            </w:r>
          </w:p>
        </w:tc>
        <w:tc>
          <w:tcPr>
            <w:tcW w:w="348" w:type="pct"/>
            <w:tcBorders>
              <w:top w:val="nil"/>
              <w:left w:val="nil"/>
              <w:bottom w:val="nil"/>
              <w:right w:val="nil"/>
            </w:tcBorders>
            <w:shd w:val="clear" w:color="000000" w:fill="C6EFCE"/>
            <w:noWrap/>
            <w:tcMar>
              <w:left w:w="28" w:type="dxa"/>
              <w:right w:w="28" w:type="dxa"/>
            </w:tcMar>
            <w:vAlign w:val="bottom"/>
            <w:hideMark/>
          </w:tcPr>
          <w:p w14:paraId="2E92F570"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11.2 </w:t>
            </w:r>
          </w:p>
        </w:tc>
        <w:tc>
          <w:tcPr>
            <w:tcW w:w="348" w:type="pct"/>
            <w:tcBorders>
              <w:top w:val="nil"/>
              <w:left w:val="nil"/>
              <w:bottom w:val="nil"/>
              <w:right w:val="nil"/>
            </w:tcBorders>
            <w:shd w:val="clear" w:color="000000" w:fill="C6EFCE"/>
            <w:noWrap/>
            <w:tcMar>
              <w:left w:w="28" w:type="dxa"/>
              <w:right w:w="28" w:type="dxa"/>
            </w:tcMar>
            <w:vAlign w:val="bottom"/>
            <w:hideMark/>
          </w:tcPr>
          <w:p w14:paraId="56DE9EA8"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10.3 </w:t>
            </w:r>
          </w:p>
        </w:tc>
        <w:tc>
          <w:tcPr>
            <w:tcW w:w="348" w:type="pct"/>
            <w:tcBorders>
              <w:top w:val="nil"/>
              <w:left w:val="nil"/>
              <w:bottom w:val="nil"/>
              <w:right w:val="nil"/>
            </w:tcBorders>
            <w:shd w:val="clear" w:color="000000" w:fill="C6EFCE"/>
            <w:noWrap/>
            <w:tcMar>
              <w:left w:w="28" w:type="dxa"/>
              <w:right w:w="28" w:type="dxa"/>
            </w:tcMar>
            <w:vAlign w:val="bottom"/>
            <w:hideMark/>
          </w:tcPr>
          <w:p w14:paraId="35796C1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9.6 </w:t>
            </w:r>
          </w:p>
        </w:tc>
      </w:tr>
      <w:tr w:rsidR="00280058" w:rsidRPr="002C025E" w14:paraId="3CF35551" w14:textId="77777777" w:rsidTr="0005008F">
        <w:tc>
          <w:tcPr>
            <w:tcW w:w="105" w:type="pct"/>
            <w:vMerge/>
            <w:tcBorders>
              <w:top w:val="nil"/>
              <w:left w:val="nil"/>
              <w:bottom w:val="nil"/>
              <w:right w:val="nil"/>
            </w:tcBorders>
            <w:tcMar>
              <w:left w:w="28" w:type="dxa"/>
              <w:right w:w="28" w:type="dxa"/>
            </w:tcMar>
            <w:vAlign w:val="center"/>
            <w:hideMark/>
          </w:tcPr>
          <w:p w14:paraId="3E2C880F"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8" w:type="pct"/>
            <w:tcBorders>
              <w:top w:val="nil"/>
              <w:left w:val="nil"/>
              <w:bottom w:val="nil"/>
              <w:right w:val="nil"/>
            </w:tcBorders>
            <w:shd w:val="clear" w:color="auto" w:fill="auto"/>
            <w:noWrap/>
            <w:tcMar>
              <w:left w:w="28" w:type="dxa"/>
              <w:right w:w="28" w:type="dxa"/>
            </w:tcMar>
            <w:vAlign w:val="bottom"/>
            <w:hideMark/>
          </w:tcPr>
          <w:p w14:paraId="4D6C71ED"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0.30</w:t>
            </w:r>
          </w:p>
        </w:tc>
        <w:tc>
          <w:tcPr>
            <w:tcW w:w="348" w:type="pct"/>
            <w:tcBorders>
              <w:top w:val="nil"/>
              <w:left w:val="nil"/>
              <w:bottom w:val="nil"/>
              <w:right w:val="nil"/>
            </w:tcBorders>
            <w:shd w:val="clear" w:color="000000" w:fill="FFC7CE"/>
            <w:noWrap/>
            <w:tcMar>
              <w:left w:w="28" w:type="dxa"/>
              <w:right w:w="28" w:type="dxa"/>
            </w:tcMar>
            <w:vAlign w:val="bottom"/>
            <w:hideMark/>
          </w:tcPr>
          <w:p w14:paraId="545B8011"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58.4 </w:t>
            </w:r>
          </w:p>
        </w:tc>
        <w:tc>
          <w:tcPr>
            <w:tcW w:w="348" w:type="pct"/>
            <w:tcBorders>
              <w:top w:val="nil"/>
              <w:left w:val="nil"/>
              <w:bottom w:val="nil"/>
              <w:right w:val="nil"/>
            </w:tcBorders>
            <w:shd w:val="clear" w:color="000000" w:fill="FFC7CE"/>
            <w:noWrap/>
            <w:tcMar>
              <w:left w:w="28" w:type="dxa"/>
              <w:right w:w="28" w:type="dxa"/>
            </w:tcMar>
            <w:vAlign w:val="bottom"/>
            <w:hideMark/>
          </w:tcPr>
          <w:p w14:paraId="554CE663"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40.3 </w:t>
            </w:r>
          </w:p>
        </w:tc>
        <w:tc>
          <w:tcPr>
            <w:tcW w:w="348" w:type="pct"/>
            <w:tcBorders>
              <w:top w:val="nil"/>
              <w:left w:val="nil"/>
              <w:bottom w:val="nil"/>
              <w:right w:val="nil"/>
            </w:tcBorders>
            <w:shd w:val="clear" w:color="000000" w:fill="FFC7CE"/>
            <w:noWrap/>
            <w:tcMar>
              <w:left w:w="28" w:type="dxa"/>
              <w:right w:w="28" w:type="dxa"/>
            </w:tcMar>
            <w:vAlign w:val="bottom"/>
            <w:hideMark/>
          </w:tcPr>
          <w:p w14:paraId="022F587C"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30.9 </w:t>
            </w:r>
          </w:p>
        </w:tc>
        <w:tc>
          <w:tcPr>
            <w:tcW w:w="348" w:type="pct"/>
            <w:tcBorders>
              <w:top w:val="nil"/>
              <w:left w:val="nil"/>
              <w:bottom w:val="nil"/>
              <w:right w:val="nil"/>
            </w:tcBorders>
            <w:shd w:val="clear" w:color="000000" w:fill="FFC7CE"/>
            <w:noWrap/>
            <w:tcMar>
              <w:left w:w="28" w:type="dxa"/>
              <w:right w:w="28" w:type="dxa"/>
            </w:tcMar>
            <w:vAlign w:val="bottom"/>
            <w:hideMark/>
          </w:tcPr>
          <w:p w14:paraId="6D622B77"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25.0 </w:t>
            </w:r>
          </w:p>
        </w:tc>
        <w:tc>
          <w:tcPr>
            <w:tcW w:w="348" w:type="pct"/>
            <w:tcBorders>
              <w:top w:val="nil"/>
              <w:left w:val="nil"/>
              <w:bottom w:val="nil"/>
              <w:right w:val="nil"/>
            </w:tcBorders>
            <w:shd w:val="clear" w:color="000000" w:fill="FFC7CE"/>
            <w:noWrap/>
            <w:tcMar>
              <w:left w:w="28" w:type="dxa"/>
              <w:right w:w="28" w:type="dxa"/>
            </w:tcMar>
            <w:vAlign w:val="bottom"/>
            <w:hideMark/>
          </w:tcPr>
          <w:p w14:paraId="6A2A6AB1"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21.0 </w:t>
            </w:r>
          </w:p>
        </w:tc>
        <w:tc>
          <w:tcPr>
            <w:tcW w:w="348" w:type="pct"/>
            <w:tcBorders>
              <w:top w:val="nil"/>
              <w:left w:val="nil"/>
              <w:bottom w:val="nil"/>
              <w:right w:val="nil"/>
            </w:tcBorders>
            <w:shd w:val="clear" w:color="000000" w:fill="C6EFCE"/>
            <w:noWrap/>
            <w:tcMar>
              <w:left w:w="28" w:type="dxa"/>
              <w:right w:w="28" w:type="dxa"/>
            </w:tcMar>
            <w:vAlign w:val="bottom"/>
            <w:hideMark/>
          </w:tcPr>
          <w:p w14:paraId="784BFFC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18.1 </w:t>
            </w:r>
          </w:p>
        </w:tc>
        <w:tc>
          <w:tcPr>
            <w:tcW w:w="348" w:type="pct"/>
            <w:tcBorders>
              <w:top w:val="nil"/>
              <w:left w:val="nil"/>
              <w:bottom w:val="nil"/>
              <w:right w:val="nil"/>
            </w:tcBorders>
            <w:shd w:val="clear" w:color="000000" w:fill="C6EFCE"/>
            <w:noWrap/>
            <w:tcMar>
              <w:left w:w="28" w:type="dxa"/>
              <w:right w:w="28" w:type="dxa"/>
            </w:tcMar>
            <w:vAlign w:val="bottom"/>
            <w:hideMark/>
          </w:tcPr>
          <w:p w14:paraId="16A19D8A"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16.0 </w:t>
            </w:r>
          </w:p>
        </w:tc>
        <w:tc>
          <w:tcPr>
            <w:tcW w:w="348" w:type="pct"/>
            <w:tcBorders>
              <w:top w:val="nil"/>
              <w:left w:val="nil"/>
              <w:bottom w:val="nil"/>
              <w:right w:val="nil"/>
            </w:tcBorders>
            <w:shd w:val="clear" w:color="000000" w:fill="C6EFCE"/>
            <w:noWrap/>
            <w:tcMar>
              <w:left w:w="28" w:type="dxa"/>
              <w:right w:w="28" w:type="dxa"/>
            </w:tcMar>
            <w:vAlign w:val="bottom"/>
            <w:hideMark/>
          </w:tcPr>
          <w:p w14:paraId="51257BFE"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14.2 </w:t>
            </w:r>
          </w:p>
        </w:tc>
        <w:tc>
          <w:tcPr>
            <w:tcW w:w="348" w:type="pct"/>
            <w:tcBorders>
              <w:top w:val="nil"/>
              <w:left w:val="nil"/>
              <w:bottom w:val="nil"/>
              <w:right w:val="nil"/>
            </w:tcBorders>
            <w:shd w:val="clear" w:color="000000" w:fill="C6EFCE"/>
            <w:noWrap/>
            <w:tcMar>
              <w:left w:w="28" w:type="dxa"/>
              <w:right w:w="28" w:type="dxa"/>
            </w:tcMar>
            <w:vAlign w:val="bottom"/>
            <w:hideMark/>
          </w:tcPr>
          <w:p w14:paraId="26129658"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12.9 </w:t>
            </w:r>
          </w:p>
        </w:tc>
        <w:tc>
          <w:tcPr>
            <w:tcW w:w="365" w:type="pct"/>
            <w:tcBorders>
              <w:top w:val="nil"/>
              <w:left w:val="nil"/>
              <w:bottom w:val="nil"/>
              <w:right w:val="nil"/>
            </w:tcBorders>
            <w:shd w:val="clear" w:color="000000" w:fill="C6EFCE"/>
            <w:noWrap/>
            <w:tcMar>
              <w:left w:w="28" w:type="dxa"/>
              <w:right w:w="28" w:type="dxa"/>
            </w:tcMar>
            <w:vAlign w:val="bottom"/>
            <w:hideMark/>
          </w:tcPr>
          <w:p w14:paraId="321E63FE"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11.7 </w:t>
            </w:r>
          </w:p>
        </w:tc>
        <w:tc>
          <w:tcPr>
            <w:tcW w:w="348" w:type="pct"/>
            <w:tcBorders>
              <w:top w:val="nil"/>
              <w:left w:val="nil"/>
              <w:bottom w:val="nil"/>
              <w:right w:val="nil"/>
            </w:tcBorders>
            <w:shd w:val="clear" w:color="000000" w:fill="C6EFCE"/>
            <w:noWrap/>
            <w:tcMar>
              <w:left w:w="28" w:type="dxa"/>
              <w:right w:w="28" w:type="dxa"/>
            </w:tcMar>
            <w:vAlign w:val="bottom"/>
            <w:hideMark/>
          </w:tcPr>
          <w:p w14:paraId="52EEDFB0"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10.8 </w:t>
            </w:r>
          </w:p>
        </w:tc>
        <w:tc>
          <w:tcPr>
            <w:tcW w:w="348" w:type="pct"/>
            <w:tcBorders>
              <w:top w:val="nil"/>
              <w:left w:val="nil"/>
              <w:bottom w:val="nil"/>
              <w:right w:val="nil"/>
            </w:tcBorders>
            <w:shd w:val="clear" w:color="000000" w:fill="C6EFCE"/>
            <w:noWrap/>
            <w:tcMar>
              <w:left w:w="28" w:type="dxa"/>
              <w:right w:w="28" w:type="dxa"/>
            </w:tcMar>
            <w:vAlign w:val="bottom"/>
            <w:hideMark/>
          </w:tcPr>
          <w:p w14:paraId="310849AA"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10.0 </w:t>
            </w:r>
          </w:p>
        </w:tc>
        <w:tc>
          <w:tcPr>
            <w:tcW w:w="348" w:type="pct"/>
            <w:tcBorders>
              <w:top w:val="nil"/>
              <w:left w:val="nil"/>
              <w:bottom w:val="nil"/>
              <w:right w:val="nil"/>
            </w:tcBorders>
            <w:shd w:val="clear" w:color="000000" w:fill="C6EFCE"/>
            <w:noWrap/>
            <w:tcMar>
              <w:left w:w="28" w:type="dxa"/>
              <w:right w:w="28" w:type="dxa"/>
            </w:tcMar>
            <w:vAlign w:val="bottom"/>
            <w:hideMark/>
          </w:tcPr>
          <w:p w14:paraId="25FED9B9"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9.3 </w:t>
            </w:r>
          </w:p>
        </w:tc>
      </w:tr>
      <w:tr w:rsidR="00280058" w:rsidRPr="002C025E" w14:paraId="67DB289C" w14:textId="77777777" w:rsidTr="0005008F">
        <w:tc>
          <w:tcPr>
            <w:tcW w:w="105" w:type="pct"/>
            <w:vMerge/>
            <w:tcBorders>
              <w:top w:val="nil"/>
              <w:left w:val="nil"/>
              <w:bottom w:val="nil"/>
              <w:right w:val="nil"/>
            </w:tcBorders>
            <w:tcMar>
              <w:left w:w="28" w:type="dxa"/>
              <w:right w:w="28" w:type="dxa"/>
            </w:tcMar>
            <w:vAlign w:val="center"/>
            <w:hideMark/>
          </w:tcPr>
          <w:p w14:paraId="5E1CC65C"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8" w:type="pct"/>
            <w:tcBorders>
              <w:top w:val="nil"/>
              <w:left w:val="nil"/>
              <w:bottom w:val="nil"/>
              <w:right w:val="nil"/>
            </w:tcBorders>
            <w:shd w:val="clear" w:color="auto" w:fill="auto"/>
            <w:noWrap/>
            <w:tcMar>
              <w:left w:w="28" w:type="dxa"/>
              <w:right w:w="28" w:type="dxa"/>
            </w:tcMar>
            <w:vAlign w:val="bottom"/>
            <w:hideMark/>
          </w:tcPr>
          <w:p w14:paraId="10F2B1A2" w14:textId="77777777" w:rsidR="00280058" w:rsidRPr="00F527BB" w:rsidRDefault="00280058" w:rsidP="00BB18F6">
            <w:pPr>
              <w:spacing w:after="0" w:line="240" w:lineRule="auto"/>
              <w:jc w:val="right"/>
              <w:rPr>
                <w:rFonts w:ascii="Arial" w:eastAsia="Times New Roman" w:hAnsi="Arial" w:cs="Arial"/>
                <w:b/>
                <w:bCs/>
                <w:sz w:val="18"/>
                <w:szCs w:val="18"/>
                <w:lang w:val="lt-LT" w:eastAsia="lt-LT"/>
              </w:rPr>
            </w:pPr>
            <w:r w:rsidRPr="00F527BB">
              <w:rPr>
                <w:rFonts w:ascii="Arial" w:eastAsia="Times New Roman" w:hAnsi="Arial" w:cs="Arial"/>
                <w:b/>
                <w:bCs/>
                <w:sz w:val="18"/>
                <w:szCs w:val="18"/>
                <w:lang w:val="lt-LT" w:eastAsia="lt-LT"/>
              </w:rPr>
              <w:t>0.31</w:t>
            </w:r>
          </w:p>
        </w:tc>
        <w:tc>
          <w:tcPr>
            <w:tcW w:w="348" w:type="pct"/>
            <w:tcBorders>
              <w:top w:val="nil"/>
              <w:left w:val="nil"/>
              <w:bottom w:val="nil"/>
              <w:right w:val="nil"/>
            </w:tcBorders>
            <w:shd w:val="clear" w:color="000000" w:fill="FFC7CE"/>
            <w:noWrap/>
            <w:tcMar>
              <w:left w:w="28" w:type="dxa"/>
              <w:right w:w="28" w:type="dxa"/>
            </w:tcMar>
            <w:vAlign w:val="bottom"/>
            <w:hideMark/>
          </w:tcPr>
          <w:p w14:paraId="49955125"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55.9 </w:t>
            </w:r>
          </w:p>
        </w:tc>
        <w:tc>
          <w:tcPr>
            <w:tcW w:w="348" w:type="pct"/>
            <w:tcBorders>
              <w:top w:val="nil"/>
              <w:left w:val="nil"/>
              <w:bottom w:val="nil"/>
              <w:right w:val="nil"/>
            </w:tcBorders>
            <w:shd w:val="clear" w:color="000000" w:fill="FFC7CE"/>
            <w:noWrap/>
            <w:tcMar>
              <w:left w:w="28" w:type="dxa"/>
              <w:right w:w="28" w:type="dxa"/>
            </w:tcMar>
            <w:vAlign w:val="bottom"/>
            <w:hideMark/>
          </w:tcPr>
          <w:p w14:paraId="0056C240"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38.7 </w:t>
            </w:r>
          </w:p>
        </w:tc>
        <w:tc>
          <w:tcPr>
            <w:tcW w:w="348" w:type="pct"/>
            <w:tcBorders>
              <w:top w:val="nil"/>
              <w:left w:val="nil"/>
              <w:bottom w:val="nil"/>
              <w:right w:val="nil"/>
            </w:tcBorders>
            <w:shd w:val="clear" w:color="000000" w:fill="FFC7CE"/>
            <w:noWrap/>
            <w:tcMar>
              <w:left w:w="28" w:type="dxa"/>
              <w:right w:w="28" w:type="dxa"/>
            </w:tcMar>
            <w:vAlign w:val="bottom"/>
            <w:hideMark/>
          </w:tcPr>
          <w:p w14:paraId="1B66C182"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29.7 </w:t>
            </w:r>
          </w:p>
        </w:tc>
        <w:tc>
          <w:tcPr>
            <w:tcW w:w="348" w:type="pct"/>
            <w:tcBorders>
              <w:top w:val="nil"/>
              <w:left w:val="nil"/>
              <w:bottom w:val="nil"/>
              <w:right w:val="nil"/>
            </w:tcBorders>
            <w:shd w:val="clear" w:color="000000" w:fill="FFC7CE"/>
            <w:noWrap/>
            <w:tcMar>
              <w:left w:w="28" w:type="dxa"/>
              <w:right w:w="28" w:type="dxa"/>
            </w:tcMar>
            <w:vAlign w:val="bottom"/>
            <w:hideMark/>
          </w:tcPr>
          <w:p w14:paraId="501A4ACE"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24.1 </w:t>
            </w:r>
          </w:p>
        </w:tc>
        <w:tc>
          <w:tcPr>
            <w:tcW w:w="348" w:type="pct"/>
            <w:tcBorders>
              <w:top w:val="nil"/>
              <w:left w:val="nil"/>
              <w:bottom w:val="nil"/>
              <w:right w:val="nil"/>
            </w:tcBorders>
            <w:shd w:val="clear" w:color="000000" w:fill="FFC7CE"/>
            <w:noWrap/>
            <w:tcMar>
              <w:left w:w="28" w:type="dxa"/>
              <w:right w:w="28" w:type="dxa"/>
            </w:tcMar>
            <w:vAlign w:val="bottom"/>
            <w:hideMark/>
          </w:tcPr>
          <w:p w14:paraId="1BB49A01"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20.3 </w:t>
            </w:r>
          </w:p>
        </w:tc>
        <w:tc>
          <w:tcPr>
            <w:tcW w:w="348" w:type="pct"/>
            <w:tcBorders>
              <w:top w:val="nil"/>
              <w:left w:val="nil"/>
              <w:bottom w:val="nil"/>
              <w:right w:val="nil"/>
            </w:tcBorders>
            <w:shd w:val="clear" w:color="000000" w:fill="C6EFCE"/>
            <w:noWrap/>
            <w:tcMar>
              <w:left w:w="28" w:type="dxa"/>
              <w:right w:w="28" w:type="dxa"/>
            </w:tcMar>
            <w:vAlign w:val="bottom"/>
            <w:hideMark/>
          </w:tcPr>
          <w:p w14:paraId="7A84D1AE"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17.5 </w:t>
            </w:r>
          </w:p>
        </w:tc>
        <w:tc>
          <w:tcPr>
            <w:tcW w:w="348" w:type="pct"/>
            <w:tcBorders>
              <w:top w:val="nil"/>
              <w:left w:val="nil"/>
              <w:bottom w:val="nil"/>
              <w:right w:val="nil"/>
            </w:tcBorders>
            <w:shd w:val="clear" w:color="000000" w:fill="C6EFCE"/>
            <w:noWrap/>
            <w:tcMar>
              <w:left w:w="28" w:type="dxa"/>
              <w:right w:w="28" w:type="dxa"/>
            </w:tcMar>
            <w:vAlign w:val="bottom"/>
            <w:hideMark/>
          </w:tcPr>
          <w:p w14:paraId="546CFEB0"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15.4 </w:t>
            </w:r>
          </w:p>
        </w:tc>
        <w:tc>
          <w:tcPr>
            <w:tcW w:w="348" w:type="pct"/>
            <w:tcBorders>
              <w:top w:val="nil"/>
              <w:left w:val="nil"/>
              <w:bottom w:val="nil"/>
              <w:right w:val="nil"/>
            </w:tcBorders>
            <w:shd w:val="clear" w:color="000000" w:fill="C6EFCE"/>
            <w:noWrap/>
            <w:tcMar>
              <w:left w:w="28" w:type="dxa"/>
              <w:right w:w="28" w:type="dxa"/>
            </w:tcMar>
            <w:vAlign w:val="bottom"/>
            <w:hideMark/>
          </w:tcPr>
          <w:p w14:paraId="7473972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13.8 </w:t>
            </w:r>
          </w:p>
        </w:tc>
        <w:tc>
          <w:tcPr>
            <w:tcW w:w="348" w:type="pct"/>
            <w:tcBorders>
              <w:top w:val="nil"/>
              <w:left w:val="nil"/>
              <w:bottom w:val="nil"/>
              <w:right w:val="nil"/>
            </w:tcBorders>
            <w:shd w:val="clear" w:color="000000" w:fill="C6EFCE"/>
            <w:noWrap/>
            <w:tcMar>
              <w:left w:w="28" w:type="dxa"/>
              <w:right w:w="28" w:type="dxa"/>
            </w:tcMar>
            <w:vAlign w:val="bottom"/>
            <w:hideMark/>
          </w:tcPr>
          <w:p w14:paraId="117A9E9E"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12.4 </w:t>
            </w:r>
          </w:p>
        </w:tc>
        <w:tc>
          <w:tcPr>
            <w:tcW w:w="365" w:type="pct"/>
            <w:tcBorders>
              <w:top w:val="nil"/>
              <w:left w:val="nil"/>
              <w:bottom w:val="nil"/>
              <w:right w:val="nil"/>
            </w:tcBorders>
            <w:shd w:val="clear" w:color="000000" w:fill="C6EFCE"/>
            <w:noWrap/>
            <w:tcMar>
              <w:left w:w="28" w:type="dxa"/>
              <w:right w:w="28" w:type="dxa"/>
            </w:tcMar>
            <w:vAlign w:val="bottom"/>
            <w:hideMark/>
          </w:tcPr>
          <w:p w14:paraId="2823D929"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11.3 </w:t>
            </w:r>
          </w:p>
        </w:tc>
        <w:tc>
          <w:tcPr>
            <w:tcW w:w="348" w:type="pct"/>
            <w:tcBorders>
              <w:top w:val="nil"/>
              <w:left w:val="nil"/>
              <w:bottom w:val="nil"/>
              <w:right w:val="nil"/>
            </w:tcBorders>
            <w:shd w:val="clear" w:color="000000" w:fill="C6EFCE"/>
            <w:noWrap/>
            <w:tcMar>
              <w:left w:w="28" w:type="dxa"/>
              <w:right w:w="28" w:type="dxa"/>
            </w:tcMar>
            <w:vAlign w:val="bottom"/>
            <w:hideMark/>
          </w:tcPr>
          <w:p w14:paraId="024EB17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10.4 </w:t>
            </w:r>
          </w:p>
        </w:tc>
        <w:tc>
          <w:tcPr>
            <w:tcW w:w="348" w:type="pct"/>
            <w:tcBorders>
              <w:top w:val="nil"/>
              <w:left w:val="nil"/>
              <w:bottom w:val="nil"/>
              <w:right w:val="nil"/>
            </w:tcBorders>
            <w:shd w:val="clear" w:color="000000" w:fill="C6EFCE"/>
            <w:noWrap/>
            <w:tcMar>
              <w:left w:w="28" w:type="dxa"/>
              <w:right w:w="28" w:type="dxa"/>
            </w:tcMar>
            <w:vAlign w:val="bottom"/>
            <w:hideMark/>
          </w:tcPr>
          <w:p w14:paraId="1FFC0013"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9.6 </w:t>
            </w:r>
          </w:p>
        </w:tc>
        <w:tc>
          <w:tcPr>
            <w:tcW w:w="348" w:type="pct"/>
            <w:tcBorders>
              <w:top w:val="nil"/>
              <w:left w:val="nil"/>
              <w:bottom w:val="nil"/>
              <w:right w:val="nil"/>
            </w:tcBorders>
            <w:shd w:val="clear" w:color="000000" w:fill="C6EFCE"/>
            <w:noWrap/>
            <w:tcMar>
              <w:left w:w="28" w:type="dxa"/>
              <w:right w:w="28" w:type="dxa"/>
            </w:tcMar>
            <w:vAlign w:val="bottom"/>
            <w:hideMark/>
          </w:tcPr>
          <w:p w14:paraId="219B8F7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9.0 </w:t>
            </w:r>
          </w:p>
        </w:tc>
      </w:tr>
      <w:tr w:rsidR="00280058" w:rsidRPr="002C025E" w14:paraId="61A282D8" w14:textId="77777777" w:rsidTr="0005008F">
        <w:tc>
          <w:tcPr>
            <w:tcW w:w="105" w:type="pct"/>
            <w:vMerge/>
            <w:tcBorders>
              <w:top w:val="nil"/>
              <w:left w:val="nil"/>
              <w:bottom w:val="nil"/>
              <w:right w:val="nil"/>
            </w:tcBorders>
            <w:tcMar>
              <w:left w:w="28" w:type="dxa"/>
              <w:right w:w="28" w:type="dxa"/>
            </w:tcMar>
            <w:vAlign w:val="center"/>
            <w:hideMark/>
          </w:tcPr>
          <w:p w14:paraId="5DB1CFD9"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8" w:type="pct"/>
            <w:tcBorders>
              <w:top w:val="nil"/>
              <w:left w:val="nil"/>
              <w:bottom w:val="nil"/>
              <w:right w:val="nil"/>
            </w:tcBorders>
            <w:shd w:val="clear" w:color="auto" w:fill="auto"/>
            <w:noWrap/>
            <w:tcMar>
              <w:left w:w="28" w:type="dxa"/>
              <w:right w:w="28" w:type="dxa"/>
            </w:tcMar>
            <w:vAlign w:val="bottom"/>
            <w:hideMark/>
          </w:tcPr>
          <w:p w14:paraId="097F963F"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0.32</w:t>
            </w:r>
          </w:p>
        </w:tc>
        <w:tc>
          <w:tcPr>
            <w:tcW w:w="348" w:type="pct"/>
            <w:tcBorders>
              <w:top w:val="nil"/>
              <w:left w:val="nil"/>
              <w:bottom w:val="nil"/>
              <w:right w:val="nil"/>
            </w:tcBorders>
            <w:shd w:val="clear" w:color="000000" w:fill="FFC7CE"/>
            <w:noWrap/>
            <w:tcMar>
              <w:left w:w="28" w:type="dxa"/>
              <w:right w:w="28" w:type="dxa"/>
            </w:tcMar>
            <w:vAlign w:val="bottom"/>
            <w:hideMark/>
          </w:tcPr>
          <w:p w14:paraId="7EB39D44"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53.5 </w:t>
            </w:r>
          </w:p>
        </w:tc>
        <w:tc>
          <w:tcPr>
            <w:tcW w:w="348" w:type="pct"/>
            <w:tcBorders>
              <w:top w:val="nil"/>
              <w:left w:val="nil"/>
              <w:bottom w:val="nil"/>
              <w:right w:val="nil"/>
            </w:tcBorders>
            <w:shd w:val="clear" w:color="000000" w:fill="FFC7CE"/>
            <w:noWrap/>
            <w:tcMar>
              <w:left w:w="28" w:type="dxa"/>
              <w:right w:w="28" w:type="dxa"/>
            </w:tcMar>
            <w:vAlign w:val="bottom"/>
            <w:hideMark/>
          </w:tcPr>
          <w:p w14:paraId="4BA52440"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37.3 </w:t>
            </w:r>
          </w:p>
        </w:tc>
        <w:tc>
          <w:tcPr>
            <w:tcW w:w="348" w:type="pct"/>
            <w:tcBorders>
              <w:top w:val="nil"/>
              <w:left w:val="nil"/>
              <w:bottom w:val="nil"/>
              <w:right w:val="nil"/>
            </w:tcBorders>
            <w:shd w:val="clear" w:color="000000" w:fill="FFC7CE"/>
            <w:noWrap/>
            <w:tcMar>
              <w:left w:w="28" w:type="dxa"/>
              <w:right w:w="28" w:type="dxa"/>
            </w:tcMar>
            <w:vAlign w:val="bottom"/>
            <w:hideMark/>
          </w:tcPr>
          <w:p w14:paraId="196C907B"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28.6 </w:t>
            </w:r>
          </w:p>
        </w:tc>
        <w:tc>
          <w:tcPr>
            <w:tcW w:w="348" w:type="pct"/>
            <w:tcBorders>
              <w:top w:val="nil"/>
              <w:left w:val="nil"/>
              <w:bottom w:val="nil"/>
              <w:right w:val="nil"/>
            </w:tcBorders>
            <w:shd w:val="clear" w:color="000000" w:fill="FFC7CE"/>
            <w:noWrap/>
            <w:tcMar>
              <w:left w:w="28" w:type="dxa"/>
              <w:right w:w="28" w:type="dxa"/>
            </w:tcMar>
            <w:vAlign w:val="bottom"/>
            <w:hideMark/>
          </w:tcPr>
          <w:p w14:paraId="74EF815E"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23.2 </w:t>
            </w:r>
          </w:p>
        </w:tc>
        <w:tc>
          <w:tcPr>
            <w:tcW w:w="348" w:type="pct"/>
            <w:tcBorders>
              <w:top w:val="nil"/>
              <w:left w:val="nil"/>
              <w:bottom w:val="nil"/>
              <w:right w:val="nil"/>
            </w:tcBorders>
            <w:shd w:val="clear" w:color="000000" w:fill="C6EFCE"/>
            <w:noWrap/>
            <w:tcMar>
              <w:left w:w="28" w:type="dxa"/>
              <w:right w:w="28" w:type="dxa"/>
            </w:tcMar>
            <w:vAlign w:val="bottom"/>
            <w:hideMark/>
          </w:tcPr>
          <w:p w14:paraId="2342E651"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19.6 </w:t>
            </w:r>
          </w:p>
        </w:tc>
        <w:tc>
          <w:tcPr>
            <w:tcW w:w="348" w:type="pct"/>
            <w:tcBorders>
              <w:top w:val="nil"/>
              <w:left w:val="nil"/>
              <w:bottom w:val="nil"/>
              <w:right w:val="nil"/>
            </w:tcBorders>
            <w:shd w:val="clear" w:color="000000" w:fill="C6EFCE"/>
            <w:noWrap/>
            <w:tcMar>
              <w:left w:w="28" w:type="dxa"/>
              <w:right w:w="28" w:type="dxa"/>
            </w:tcMar>
            <w:vAlign w:val="bottom"/>
            <w:hideMark/>
          </w:tcPr>
          <w:p w14:paraId="588A6BF2"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16.9 </w:t>
            </w:r>
          </w:p>
        </w:tc>
        <w:tc>
          <w:tcPr>
            <w:tcW w:w="348" w:type="pct"/>
            <w:tcBorders>
              <w:top w:val="nil"/>
              <w:left w:val="nil"/>
              <w:bottom w:val="nil"/>
              <w:right w:val="nil"/>
            </w:tcBorders>
            <w:shd w:val="clear" w:color="000000" w:fill="C6EFCE"/>
            <w:noWrap/>
            <w:tcMar>
              <w:left w:w="28" w:type="dxa"/>
              <w:right w:w="28" w:type="dxa"/>
            </w:tcMar>
            <w:vAlign w:val="bottom"/>
            <w:hideMark/>
          </w:tcPr>
          <w:p w14:paraId="515BF76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14.9 </w:t>
            </w:r>
          </w:p>
        </w:tc>
        <w:tc>
          <w:tcPr>
            <w:tcW w:w="348" w:type="pct"/>
            <w:tcBorders>
              <w:top w:val="nil"/>
              <w:left w:val="nil"/>
              <w:bottom w:val="nil"/>
              <w:right w:val="nil"/>
            </w:tcBorders>
            <w:shd w:val="clear" w:color="000000" w:fill="C6EFCE"/>
            <w:noWrap/>
            <w:tcMar>
              <w:left w:w="28" w:type="dxa"/>
              <w:right w:w="28" w:type="dxa"/>
            </w:tcMar>
            <w:vAlign w:val="bottom"/>
            <w:hideMark/>
          </w:tcPr>
          <w:p w14:paraId="503032F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13.3 </w:t>
            </w:r>
          </w:p>
        </w:tc>
        <w:tc>
          <w:tcPr>
            <w:tcW w:w="348" w:type="pct"/>
            <w:tcBorders>
              <w:top w:val="nil"/>
              <w:left w:val="nil"/>
              <w:bottom w:val="nil"/>
              <w:right w:val="nil"/>
            </w:tcBorders>
            <w:shd w:val="clear" w:color="000000" w:fill="C6EFCE"/>
            <w:noWrap/>
            <w:tcMar>
              <w:left w:w="28" w:type="dxa"/>
              <w:right w:w="28" w:type="dxa"/>
            </w:tcMar>
            <w:vAlign w:val="bottom"/>
            <w:hideMark/>
          </w:tcPr>
          <w:p w14:paraId="64201F2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12.0 </w:t>
            </w:r>
          </w:p>
        </w:tc>
        <w:tc>
          <w:tcPr>
            <w:tcW w:w="365" w:type="pct"/>
            <w:tcBorders>
              <w:top w:val="nil"/>
              <w:left w:val="nil"/>
              <w:bottom w:val="nil"/>
              <w:right w:val="nil"/>
            </w:tcBorders>
            <w:shd w:val="clear" w:color="000000" w:fill="C6EFCE"/>
            <w:noWrap/>
            <w:tcMar>
              <w:left w:w="28" w:type="dxa"/>
              <w:right w:w="28" w:type="dxa"/>
            </w:tcMar>
            <w:vAlign w:val="bottom"/>
            <w:hideMark/>
          </w:tcPr>
          <w:p w14:paraId="3F58B4F9"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11.0 </w:t>
            </w:r>
          </w:p>
        </w:tc>
        <w:tc>
          <w:tcPr>
            <w:tcW w:w="348" w:type="pct"/>
            <w:tcBorders>
              <w:top w:val="nil"/>
              <w:left w:val="nil"/>
              <w:bottom w:val="nil"/>
              <w:right w:val="nil"/>
            </w:tcBorders>
            <w:shd w:val="clear" w:color="000000" w:fill="C6EFCE"/>
            <w:noWrap/>
            <w:tcMar>
              <w:left w:w="28" w:type="dxa"/>
              <w:right w:w="28" w:type="dxa"/>
            </w:tcMar>
            <w:vAlign w:val="bottom"/>
            <w:hideMark/>
          </w:tcPr>
          <w:p w14:paraId="49239411"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10.1 </w:t>
            </w:r>
          </w:p>
        </w:tc>
        <w:tc>
          <w:tcPr>
            <w:tcW w:w="348" w:type="pct"/>
            <w:tcBorders>
              <w:top w:val="nil"/>
              <w:left w:val="nil"/>
              <w:bottom w:val="nil"/>
              <w:right w:val="nil"/>
            </w:tcBorders>
            <w:shd w:val="clear" w:color="000000" w:fill="C6EFCE"/>
            <w:noWrap/>
            <w:tcMar>
              <w:left w:w="28" w:type="dxa"/>
              <w:right w:w="28" w:type="dxa"/>
            </w:tcMar>
            <w:vAlign w:val="bottom"/>
            <w:hideMark/>
          </w:tcPr>
          <w:p w14:paraId="74F42152"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9.3 </w:t>
            </w:r>
          </w:p>
        </w:tc>
        <w:tc>
          <w:tcPr>
            <w:tcW w:w="348" w:type="pct"/>
            <w:tcBorders>
              <w:top w:val="nil"/>
              <w:left w:val="nil"/>
              <w:bottom w:val="nil"/>
              <w:right w:val="nil"/>
            </w:tcBorders>
            <w:shd w:val="clear" w:color="000000" w:fill="C6EFCE"/>
            <w:noWrap/>
            <w:tcMar>
              <w:left w:w="28" w:type="dxa"/>
              <w:right w:w="28" w:type="dxa"/>
            </w:tcMar>
            <w:vAlign w:val="bottom"/>
            <w:hideMark/>
          </w:tcPr>
          <w:p w14:paraId="54AF3C20"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8.7 </w:t>
            </w:r>
          </w:p>
        </w:tc>
      </w:tr>
      <w:tr w:rsidR="00280058" w:rsidRPr="002C025E" w14:paraId="0FA450B3" w14:textId="77777777" w:rsidTr="0005008F">
        <w:tc>
          <w:tcPr>
            <w:tcW w:w="105" w:type="pct"/>
            <w:vMerge/>
            <w:tcBorders>
              <w:top w:val="nil"/>
              <w:left w:val="nil"/>
              <w:bottom w:val="nil"/>
              <w:right w:val="nil"/>
            </w:tcBorders>
            <w:tcMar>
              <w:left w:w="28" w:type="dxa"/>
              <w:right w:w="28" w:type="dxa"/>
            </w:tcMar>
            <w:vAlign w:val="center"/>
            <w:hideMark/>
          </w:tcPr>
          <w:p w14:paraId="328295E6"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8" w:type="pct"/>
            <w:tcBorders>
              <w:top w:val="nil"/>
              <w:left w:val="nil"/>
              <w:bottom w:val="nil"/>
              <w:right w:val="nil"/>
            </w:tcBorders>
            <w:shd w:val="clear" w:color="auto" w:fill="auto"/>
            <w:noWrap/>
            <w:tcMar>
              <w:left w:w="28" w:type="dxa"/>
              <w:right w:w="28" w:type="dxa"/>
            </w:tcMar>
            <w:vAlign w:val="bottom"/>
            <w:hideMark/>
          </w:tcPr>
          <w:p w14:paraId="56BD74F1"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0.33</w:t>
            </w:r>
          </w:p>
        </w:tc>
        <w:tc>
          <w:tcPr>
            <w:tcW w:w="348" w:type="pct"/>
            <w:tcBorders>
              <w:top w:val="nil"/>
              <w:left w:val="nil"/>
              <w:bottom w:val="nil"/>
              <w:right w:val="nil"/>
            </w:tcBorders>
            <w:shd w:val="clear" w:color="000000" w:fill="FFC7CE"/>
            <w:noWrap/>
            <w:tcMar>
              <w:left w:w="28" w:type="dxa"/>
              <w:right w:w="28" w:type="dxa"/>
            </w:tcMar>
            <w:vAlign w:val="bottom"/>
            <w:hideMark/>
          </w:tcPr>
          <w:p w14:paraId="3D3C19F7"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51.4 </w:t>
            </w:r>
          </w:p>
        </w:tc>
        <w:tc>
          <w:tcPr>
            <w:tcW w:w="348" w:type="pct"/>
            <w:tcBorders>
              <w:top w:val="nil"/>
              <w:left w:val="nil"/>
              <w:bottom w:val="nil"/>
              <w:right w:val="nil"/>
            </w:tcBorders>
            <w:shd w:val="clear" w:color="000000" w:fill="FFC7CE"/>
            <w:noWrap/>
            <w:tcMar>
              <w:left w:w="28" w:type="dxa"/>
              <w:right w:w="28" w:type="dxa"/>
            </w:tcMar>
            <w:vAlign w:val="bottom"/>
            <w:hideMark/>
          </w:tcPr>
          <w:p w14:paraId="45BCFF75"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35.9 </w:t>
            </w:r>
          </w:p>
        </w:tc>
        <w:tc>
          <w:tcPr>
            <w:tcW w:w="348" w:type="pct"/>
            <w:tcBorders>
              <w:top w:val="nil"/>
              <w:left w:val="nil"/>
              <w:bottom w:val="nil"/>
              <w:right w:val="nil"/>
            </w:tcBorders>
            <w:shd w:val="clear" w:color="000000" w:fill="FFC7CE"/>
            <w:noWrap/>
            <w:tcMar>
              <w:left w:w="28" w:type="dxa"/>
              <w:right w:w="28" w:type="dxa"/>
            </w:tcMar>
            <w:vAlign w:val="bottom"/>
            <w:hideMark/>
          </w:tcPr>
          <w:p w14:paraId="7EA10677"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27.6 </w:t>
            </w:r>
          </w:p>
        </w:tc>
        <w:tc>
          <w:tcPr>
            <w:tcW w:w="348" w:type="pct"/>
            <w:tcBorders>
              <w:top w:val="nil"/>
              <w:left w:val="nil"/>
              <w:bottom w:val="nil"/>
              <w:right w:val="nil"/>
            </w:tcBorders>
            <w:shd w:val="clear" w:color="000000" w:fill="FFC7CE"/>
            <w:noWrap/>
            <w:tcMar>
              <w:left w:w="28" w:type="dxa"/>
              <w:right w:w="28" w:type="dxa"/>
            </w:tcMar>
            <w:vAlign w:val="bottom"/>
            <w:hideMark/>
          </w:tcPr>
          <w:p w14:paraId="0281F0B4"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22.5 </w:t>
            </w:r>
          </w:p>
        </w:tc>
        <w:tc>
          <w:tcPr>
            <w:tcW w:w="348" w:type="pct"/>
            <w:tcBorders>
              <w:top w:val="nil"/>
              <w:left w:val="nil"/>
              <w:bottom w:val="nil"/>
              <w:right w:val="nil"/>
            </w:tcBorders>
            <w:shd w:val="clear" w:color="000000" w:fill="C6EFCE"/>
            <w:noWrap/>
            <w:tcMar>
              <w:left w:w="28" w:type="dxa"/>
              <w:right w:w="28" w:type="dxa"/>
            </w:tcMar>
            <w:vAlign w:val="bottom"/>
            <w:hideMark/>
          </w:tcPr>
          <w:p w14:paraId="4DFBEB6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18.9 </w:t>
            </w:r>
          </w:p>
        </w:tc>
        <w:tc>
          <w:tcPr>
            <w:tcW w:w="348" w:type="pct"/>
            <w:tcBorders>
              <w:top w:val="nil"/>
              <w:left w:val="nil"/>
              <w:bottom w:val="nil"/>
              <w:right w:val="nil"/>
            </w:tcBorders>
            <w:shd w:val="clear" w:color="000000" w:fill="C6EFCE"/>
            <w:noWrap/>
            <w:tcMar>
              <w:left w:w="28" w:type="dxa"/>
              <w:right w:w="28" w:type="dxa"/>
            </w:tcMar>
            <w:vAlign w:val="bottom"/>
            <w:hideMark/>
          </w:tcPr>
          <w:p w14:paraId="5482A93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16.4 </w:t>
            </w:r>
          </w:p>
        </w:tc>
        <w:tc>
          <w:tcPr>
            <w:tcW w:w="348" w:type="pct"/>
            <w:tcBorders>
              <w:top w:val="nil"/>
              <w:left w:val="nil"/>
              <w:bottom w:val="nil"/>
              <w:right w:val="nil"/>
            </w:tcBorders>
            <w:shd w:val="clear" w:color="000000" w:fill="C6EFCE"/>
            <w:noWrap/>
            <w:tcMar>
              <w:left w:w="28" w:type="dxa"/>
              <w:right w:w="28" w:type="dxa"/>
            </w:tcMar>
            <w:vAlign w:val="bottom"/>
            <w:hideMark/>
          </w:tcPr>
          <w:p w14:paraId="33A332F9"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14.4 </w:t>
            </w:r>
          </w:p>
        </w:tc>
        <w:tc>
          <w:tcPr>
            <w:tcW w:w="348" w:type="pct"/>
            <w:tcBorders>
              <w:top w:val="nil"/>
              <w:left w:val="nil"/>
              <w:bottom w:val="nil"/>
              <w:right w:val="nil"/>
            </w:tcBorders>
            <w:shd w:val="clear" w:color="000000" w:fill="C6EFCE"/>
            <w:noWrap/>
            <w:tcMar>
              <w:left w:w="28" w:type="dxa"/>
              <w:right w:w="28" w:type="dxa"/>
            </w:tcMar>
            <w:vAlign w:val="bottom"/>
            <w:hideMark/>
          </w:tcPr>
          <w:p w14:paraId="16E73B93"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12.9 </w:t>
            </w:r>
          </w:p>
        </w:tc>
        <w:tc>
          <w:tcPr>
            <w:tcW w:w="348" w:type="pct"/>
            <w:tcBorders>
              <w:top w:val="nil"/>
              <w:left w:val="nil"/>
              <w:bottom w:val="nil"/>
              <w:right w:val="nil"/>
            </w:tcBorders>
            <w:shd w:val="clear" w:color="000000" w:fill="C6EFCE"/>
            <w:noWrap/>
            <w:tcMar>
              <w:left w:w="28" w:type="dxa"/>
              <w:right w:w="28" w:type="dxa"/>
            </w:tcMar>
            <w:vAlign w:val="bottom"/>
            <w:hideMark/>
          </w:tcPr>
          <w:p w14:paraId="3FE523F6"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11.6 </w:t>
            </w:r>
          </w:p>
        </w:tc>
        <w:tc>
          <w:tcPr>
            <w:tcW w:w="365" w:type="pct"/>
            <w:tcBorders>
              <w:top w:val="nil"/>
              <w:left w:val="nil"/>
              <w:bottom w:val="nil"/>
              <w:right w:val="nil"/>
            </w:tcBorders>
            <w:shd w:val="clear" w:color="000000" w:fill="C6EFCE"/>
            <w:noWrap/>
            <w:tcMar>
              <w:left w:w="28" w:type="dxa"/>
              <w:right w:w="28" w:type="dxa"/>
            </w:tcMar>
            <w:vAlign w:val="bottom"/>
            <w:hideMark/>
          </w:tcPr>
          <w:p w14:paraId="54A158A0"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10.6 </w:t>
            </w:r>
          </w:p>
        </w:tc>
        <w:tc>
          <w:tcPr>
            <w:tcW w:w="348" w:type="pct"/>
            <w:tcBorders>
              <w:top w:val="nil"/>
              <w:left w:val="nil"/>
              <w:bottom w:val="nil"/>
              <w:right w:val="nil"/>
            </w:tcBorders>
            <w:shd w:val="clear" w:color="000000" w:fill="C6EFCE"/>
            <w:noWrap/>
            <w:tcMar>
              <w:left w:w="28" w:type="dxa"/>
              <w:right w:w="28" w:type="dxa"/>
            </w:tcMar>
            <w:vAlign w:val="bottom"/>
            <w:hideMark/>
          </w:tcPr>
          <w:p w14:paraId="4CD1DE2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9.7 </w:t>
            </w:r>
          </w:p>
        </w:tc>
        <w:tc>
          <w:tcPr>
            <w:tcW w:w="348" w:type="pct"/>
            <w:tcBorders>
              <w:top w:val="nil"/>
              <w:left w:val="nil"/>
              <w:bottom w:val="nil"/>
              <w:right w:val="nil"/>
            </w:tcBorders>
            <w:shd w:val="clear" w:color="000000" w:fill="C6EFCE"/>
            <w:noWrap/>
            <w:tcMar>
              <w:left w:w="28" w:type="dxa"/>
              <w:right w:w="28" w:type="dxa"/>
            </w:tcMar>
            <w:vAlign w:val="bottom"/>
            <w:hideMark/>
          </w:tcPr>
          <w:p w14:paraId="2A4514FA"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9.0 </w:t>
            </w:r>
          </w:p>
        </w:tc>
        <w:tc>
          <w:tcPr>
            <w:tcW w:w="348" w:type="pct"/>
            <w:tcBorders>
              <w:top w:val="nil"/>
              <w:left w:val="nil"/>
              <w:bottom w:val="nil"/>
              <w:right w:val="nil"/>
            </w:tcBorders>
            <w:shd w:val="clear" w:color="000000" w:fill="C6EFCE"/>
            <w:noWrap/>
            <w:tcMar>
              <w:left w:w="28" w:type="dxa"/>
              <w:right w:w="28" w:type="dxa"/>
            </w:tcMar>
            <w:vAlign w:val="bottom"/>
            <w:hideMark/>
          </w:tcPr>
          <w:p w14:paraId="3742903D"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8.4 </w:t>
            </w:r>
          </w:p>
        </w:tc>
      </w:tr>
      <w:tr w:rsidR="00280058" w:rsidRPr="002C025E" w14:paraId="18B45AE9" w14:textId="77777777" w:rsidTr="0005008F">
        <w:tc>
          <w:tcPr>
            <w:tcW w:w="105" w:type="pct"/>
            <w:vMerge/>
            <w:tcBorders>
              <w:top w:val="nil"/>
              <w:left w:val="nil"/>
              <w:bottom w:val="nil"/>
              <w:right w:val="nil"/>
            </w:tcBorders>
            <w:tcMar>
              <w:left w:w="28" w:type="dxa"/>
              <w:right w:w="28" w:type="dxa"/>
            </w:tcMar>
            <w:vAlign w:val="center"/>
            <w:hideMark/>
          </w:tcPr>
          <w:p w14:paraId="2DB8A304"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8" w:type="pct"/>
            <w:tcBorders>
              <w:top w:val="nil"/>
              <w:left w:val="nil"/>
              <w:bottom w:val="nil"/>
              <w:right w:val="nil"/>
            </w:tcBorders>
            <w:shd w:val="clear" w:color="auto" w:fill="auto"/>
            <w:noWrap/>
            <w:tcMar>
              <w:left w:w="28" w:type="dxa"/>
              <w:right w:w="28" w:type="dxa"/>
            </w:tcMar>
            <w:vAlign w:val="bottom"/>
            <w:hideMark/>
          </w:tcPr>
          <w:p w14:paraId="1F52AEF1"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0.34</w:t>
            </w:r>
          </w:p>
        </w:tc>
        <w:tc>
          <w:tcPr>
            <w:tcW w:w="348" w:type="pct"/>
            <w:tcBorders>
              <w:top w:val="nil"/>
              <w:left w:val="nil"/>
              <w:bottom w:val="nil"/>
              <w:right w:val="nil"/>
            </w:tcBorders>
            <w:shd w:val="clear" w:color="000000" w:fill="FFC7CE"/>
            <w:noWrap/>
            <w:tcMar>
              <w:left w:w="28" w:type="dxa"/>
              <w:right w:w="28" w:type="dxa"/>
            </w:tcMar>
            <w:vAlign w:val="bottom"/>
            <w:hideMark/>
          </w:tcPr>
          <w:p w14:paraId="420E08E6"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49.5 </w:t>
            </w:r>
          </w:p>
        </w:tc>
        <w:tc>
          <w:tcPr>
            <w:tcW w:w="348" w:type="pct"/>
            <w:tcBorders>
              <w:top w:val="nil"/>
              <w:left w:val="nil"/>
              <w:bottom w:val="nil"/>
              <w:right w:val="nil"/>
            </w:tcBorders>
            <w:shd w:val="clear" w:color="000000" w:fill="FFC7CE"/>
            <w:noWrap/>
            <w:tcMar>
              <w:left w:w="28" w:type="dxa"/>
              <w:right w:w="28" w:type="dxa"/>
            </w:tcMar>
            <w:vAlign w:val="bottom"/>
            <w:hideMark/>
          </w:tcPr>
          <w:p w14:paraId="2F7845FC"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34.6 </w:t>
            </w:r>
          </w:p>
        </w:tc>
        <w:tc>
          <w:tcPr>
            <w:tcW w:w="348" w:type="pct"/>
            <w:tcBorders>
              <w:top w:val="nil"/>
              <w:left w:val="nil"/>
              <w:bottom w:val="nil"/>
              <w:right w:val="nil"/>
            </w:tcBorders>
            <w:shd w:val="clear" w:color="000000" w:fill="FFC7CE"/>
            <w:noWrap/>
            <w:tcMar>
              <w:left w:w="28" w:type="dxa"/>
              <w:right w:w="28" w:type="dxa"/>
            </w:tcMar>
            <w:vAlign w:val="bottom"/>
            <w:hideMark/>
          </w:tcPr>
          <w:p w14:paraId="342193A3"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26.7 </w:t>
            </w:r>
          </w:p>
        </w:tc>
        <w:tc>
          <w:tcPr>
            <w:tcW w:w="348" w:type="pct"/>
            <w:tcBorders>
              <w:top w:val="nil"/>
              <w:left w:val="nil"/>
              <w:bottom w:val="nil"/>
              <w:right w:val="nil"/>
            </w:tcBorders>
            <w:shd w:val="clear" w:color="000000" w:fill="FFC7CE"/>
            <w:noWrap/>
            <w:tcMar>
              <w:left w:w="28" w:type="dxa"/>
              <w:right w:w="28" w:type="dxa"/>
            </w:tcMar>
            <w:vAlign w:val="bottom"/>
            <w:hideMark/>
          </w:tcPr>
          <w:p w14:paraId="0729ABCF"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21.7 </w:t>
            </w:r>
          </w:p>
        </w:tc>
        <w:tc>
          <w:tcPr>
            <w:tcW w:w="348" w:type="pct"/>
            <w:tcBorders>
              <w:top w:val="nil"/>
              <w:left w:val="nil"/>
              <w:bottom w:val="nil"/>
              <w:right w:val="nil"/>
            </w:tcBorders>
            <w:shd w:val="clear" w:color="000000" w:fill="C6EFCE"/>
            <w:noWrap/>
            <w:tcMar>
              <w:left w:w="28" w:type="dxa"/>
              <w:right w:w="28" w:type="dxa"/>
            </w:tcMar>
            <w:vAlign w:val="bottom"/>
            <w:hideMark/>
          </w:tcPr>
          <w:p w14:paraId="64B0E4A3"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18.3 </w:t>
            </w:r>
          </w:p>
        </w:tc>
        <w:tc>
          <w:tcPr>
            <w:tcW w:w="348" w:type="pct"/>
            <w:tcBorders>
              <w:top w:val="nil"/>
              <w:left w:val="nil"/>
              <w:bottom w:val="nil"/>
              <w:right w:val="nil"/>
            </w:tcBorders>
            <w:shd w:val="clear" w:color="000000" w:fill="C6EFCE"/>
            <w:noWrap/>
            <w:tcMar>
              <w:left w:w="28" w:type="dxa"/>
              <w:right w:w="28" w:type="dxa"/>
            </w:tcMar>
            <w:vAlign w:val="bottom"/>
            <w:hideMark/>
          </w:tcPr>
          <w:p w14:paraId="71402325"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15.8 </w:t>
            </w:r>
          </w:p>
        </w:tc>
        <w:tc>
          <w:tcPr>
            <w:tcW w:w="348" w:type="pct"/>
            <w:tcBorders>
              <w:top w:val="nil"/>
              <w:left w:val="nil"/>
              <w:bottom w:val="nil"/>
              <w:right w:val="nil"/>
            </w:tcBorders>
            <w:shd w:val="clear" w:color="000000" w:fill="C6EFCE"/>
            <w:noWrap/>
            <w:tcMar>
              <w:left w:w="28" w:type="dxa"/>
              <w:right w:w="28" w:type="dxa"/>
            </w:tcMar>
            <w:vAlign w:val="bottom"/>
            <w:hideMark/>
          </w:tcPr>
          <w:p w14:paraId="44912BCA"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13.9 </w:t>
            </w:r>
          </w:p>
        </w:tc>
        <w:tc>
          <w:tcPr>
            <w:tcW w:w="348" w:type="pct"/>
            <w:tcBorders>
              <w:top w:val="nil"/>
              <w:left w:val="nil"/>
              <w:bottom w:val="nil"/>
              <w:right w:val="nil"/>
            </w:tcBorders>
            <w:shd w:val="clear" w:color="000000" w:fill="C6EFCE"/>
            <w:noWrap/>
            <w:tcMar>
              <w:left w:w="28" w:type="dxa"/>
              <w:right w:w="28" w:type="dxa"/>
            </w:tcMar>
            <w:vAlign w:val="bottom"/>
            <w:hideMark/>
          </w:tcPr>
          <w:p w14:paraId="1049CD36"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12.5 </w:t>
            </w:r>
          </w:p>
        </w:tc>
        <w:tc>
          <w:tcPr>
            <w:tcW w:w="348" w:type="pct"/>
            <w:tcBorders>
              <w:top w:val="nil"/>
              <w:left w:val="nil"/>
              <w:bottom w:val="nil"/>
              <w:right w:val="nil"/>
            </w:tcBorders>
            <w:shd w:val="clear" w:color="000000" w:fill="C6EFCE"/>
            <w:noWrap/>
            <w:tcMar>
              <w:left w:w="28" w:type="dxa"/>
              <w:right w:w="28" w:type="dxa"/>
            </w:tcMar>
            <w:vAlign w:val="bottom"/>
            <w:hideMark/>
          </w:tcPr>
          <w:p w14:paraId="7A524883"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11.3 </w:t>
            </w:r>
          </w:p>
        </w:tc>
        <w:tc>
          <w:tcPr>
            <w:tcW w:w="365" w:type="pct"/>
            <w:tcBorders>
              <w:top w:val="nil"/>
              <w:left w:val="nil"/>
              <w:bottom w:val="nil"/>
              <w:right w:val="nil"/>
            </w:tcBorders>
            <w:shd w:val="clear" w:color="000000" w:fill="C6EFCE"/>
            <w:noWrap/>
            <w:tcMar>
              <w:left w:w="28" w:type="dxa"/>
              <w:right w:w="28" w:type="dxa"/>
            </w:tcMar>
            <w:vAlign w:val="bottom"/>
            <w:hideMark/>
          </w:tcPr>
          <w:p w14:paraId="41B4B6C3"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10.3 </w:t>
            </w:r>
          </w:p>
        </w:tc>
        <w:tc>
          <w:tcPr>
            <w:tcW w:w="348" w:type="pct"/>
            <w:tcBorders>
              <w:top w:val="nil"/>
              <w:left w:val="nil"/>
              <w:bottom w:val="nil"/>
              <w:right w:val="nil"/>
            </w:tcBorders>
            <w:shd w:val="clear" w:color="000000" w:fill="C6EFCE"/>
            <w:noWrap/>
            <w:tcMar>
              <w:left w:w="28" w:type="dxa"/>
              <w:right w:w="28" w:type="dxa"/>
            </w:tcMar>
            <w:vAlign w:val="bottom"/>
            <w:hideMark/>
          </w:tcPr>
          <w:p w14:paraId="4CD4235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9.4 </w:t>
            </w:r>
          </w:p>
        </w:tc>
        <w:tc>
          <w:tcPr>
            <w:tcW w:w="348" w:type="pct"/>
            <w:tcBorders>
              <w:top w:val="nil"/>
              <w:left w:val="nil"/>
              <w:bottom w:val="nil"/>
              <w:right w:val="nil"/>
            </w:tcBorders>
            <w:shd w:val="clear" w:color="000000" w:fill="C6EFCE"/>
            <w:noWrap/>
            <w:tcMar>
              <w:left w:w="28" w:type="dxa"/>
              <w:right w:w="28" w:type="dxa"/>
            </w:tcMar>
            <w:vAlign w:val="bottom"/>
            <w:hideMark/>
          </w:tcPr>
          <w:p w14:paraId="015CABE8"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8.7 </w:t>
            </w:r>
          </w:p>
        </w:tc>
        <w:tc>
          <w:tcPr>
            <w:tcW w:w="348" w:type="pct"/>
            <w:tcBorders>
              <w:top w:val="nil"/>
              <w:left w:val="nil"/>
              <w:bottom w:val="nil"/>
              <w:right w:val="nil"/>
            </w:tcBorders>
            <w:shd w:val="clear" w:color="000000" w:fill="C6EFCE"/>
            <w:noWrap/>
            <w:tcMar>
              <w:left w:w="28" w:type="dxa"/>
              <w:right w:w="28" w:type="dxa"/>
            </w:tcMar>
            <w:vAlign w:val="bottom"/>
            <w:hideMark/>
          </w:tcPr>
          <w:p w14:paraId="5B3B9AF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8.1 </w:t>
            </w:r>
          </w:p>
        </w:tc>
      </w:tr>
      <w:tr w:rsidR="00280058" w:rsidRPr="002C025E" w14:paraId="6E6CD2D0" w14:textId="77777777" w:rsidTr="0005008F">
        <w:tc>
          <w:tcPr>
            <w:tcW w:w="105" w:type="pct"/>
            <w:vMerge/>
            <w:tcBorders>
              <w:top w:val="nil"/>
              <w:left w:val="nil"/>
              <w:bottom w:val="nil"/>
              <w:right w:val="nil"/>
            </w:tcBorders>
            <w:tcMar>
              <w:left w:w="28" w:type="dxa"/>
              <w:right w:w="28" w:type="dxa"/>
            </w:tcMar>
            <w:vAlign w:val="center"/>
            <w:hideMark/>
          </w:tcPr>
          <w:p w14:paraId="5A105A89"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8" w:type="pct"/>
            <w:tcBorders>
              <w:top w:val="nil"/>
              <w:left w:val="nil"/>
              <w:bottom w:val="nil"/>
              <w:right w:val="nil"/>
            </w:tcBorders>
            <w:shd w:val="clear" w:color="auto" w:fill="auto"/>
            <w:noWrap/>
            <w:tcMar>
              <w:left w:w="28" w:type="dxa"/>
              <w:right w:w="28" w:type="dxa"/>
            </w:tcMar>
            <w:vAlign w:val="bottom"/>
            <w:hideMark/>
          </w:tcPr>
          <w:p w14:paraId="406E14F5"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0.35</w:t>
            </w:r>
          </w:p>
        </w:tc>
        <w:tc>
          <w:tcPr>
            <w:tcW w:w="348" w:type="pct"/>
            <w:tcBorders>
              <w:top w:val="nil"/>
              <w:left w:val="nil"/>
              <w:bottom w:val="nil"/>
              <w:right w:val="nil"/>
            </w:tcBorders>
            <w:shd w:val="clear" w:color="000000" w:fill="FFC7CE"/>
            <w:noWrap/>
            <w:tcMar>
              <w:left w:w="28" w:type="dxa"/>
              <w:right w:w="28" w:type="dxa"/>
            </w:tcMar>
            <w:vAlign w:val="bottom"/>
            <w:hideMark/>
          </w:tcPr>
          <w:p w14:paraId="5A26D704"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47.7 </w:t>
            </w:r>
          </w:p>
        </w:tc>
        <w:tc>
          <w:tcPr>
            <w:tcW w:w="348" w:type="pct"/>
            <w:tcBorders>
              <w:top w:val="nil"/>
              <w:left w:val="nil"/>
              <w:bottom w:val="nil"/>
              <w:right w:val="nil"/>
            </w:tcBorders>
            <w:shd w:val="clear" w:color="000000" w:fill="FFC7CE"/>
            <w:noWrap/>
            <w:tcMar>
              <w:left w:w="28" w:type="dxa"/>
              <w:right w:w="28" w:type="dxa"/>
            </w:tcMar>
            <w:vAlign w:val="bottom"/>
            <w:hideMark/>
          </w:tcPr>
          <w:p w14:paraId="1F139064"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33.5 </w:t>
            </w:r>
          </w:p>
        </w:tc>
        <w:tc>
          <w:tcPr>
            <w:tcW w:w="348" w:type="pct"/>
            <w:tcBorders>
              <w:top w:val="nil"/>
              <w:left w:val="nil"/>
              <w:bottom w:val="nil"/>
              <w:right w:val="nil"/>
            </w:tcBorders>
            <w:shd w:val="clear" w:color="000000" w:fill="FFC7CE"/>
            <w:noWrap/>
            <w:tcMar>
              <w:left w:w="28" w:type="dxa"/>
              <w:right w:w="28" w:type="dxa"/>
            </w:tcMar>
            <w:vAlign w:val="bottom"/>
            <w:hideMark/>
          </w:tcPr>
          <w:p w14:paraId="4C97214C"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25.8 </w:t>
            </w:r>
          </w:p>
        </w:tc>
        <w:tc>
          <w:tcPr>
            <w:tcW w:w="348" w:type="pct"/>
            <w:tcBorders>
              <w:top w:val="nil"/>
              <w:left w:val="nil"/>
              <w:bottom w:val="nil"/>
              <w:right w:val="nil"/>
            </w:tcBorders>
            <w:shd w:val="clear" w:color="000000" w:fill="FFC7CE"/>
            <w:noWrap/>
            <w:tcMar>
              <w:left w:w="28" w:type="dxa"/>
              <w:right w:w="28" w:type="dxa"/>
            </w:tcMar>
            <w:vAlign w:val="bottom"/>
            <w:hideMark/>
          </w:tcPr>
          <w:p w14:paraId="5CE539B3"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21.0 </w:t>
            </w:r>
          </w:p>
        </w:tc>
        <w:tc>
          <w:tcPr>
            <w:tcW w:w="348" w:type="pct"/>
            <w:tcBorders>
              <w:top w:val="nil"/>
              <w:left w:val="nil"/>
              <w:bottom w:val="nil"/>
              <w:right w:val="nil"/>
            </w:tcBorders>
            <w:shd w:val="clear" w:color="000000" w:fill="C6EFCE"/>
            <w:noWrap/>
            <w:tcMar>
              <w:left w:w="28" w:type="dxa"/>
              <w:right w:w="28" w:type="dxa"/>
            </w:tcMar>
            <w:vAlign w:val="bottom"/>
            <w:hideMark/>
          </w:tcPr>
          <w:p w14:paraId="60E360BE"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17.7 </w:t>
            </w:r>
          </w:p>
        </w:tc>
        <w:tc>
          <w:tcPr>
            <w:tcW w:w="348" w:type="pct"/>
            <w:tcBorders>
              <w:top w:val="nil"/>
              <w:left w:val="nil"/>
              <w:bottom w:val="nil"/>
              <w:right w:val="nil"/>
            </w:tcBorders>
            <w:shd w:val="clear" w:color="000000" w:fill="C6EFCE"/>
            <w:noWrap/>
            <w:tcMar>
              <w:left w:w="28" w:type="dxa"/>
              <w:right w:w="28" w:type="dxa"/>
            </w:tcMar>
            <w:vAlign w:val="bottom"/>
            <w:hideMark/>
          </w:tcPr>
          <w:p w14:paraId="0E033543"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15.3 </w:t>
            </w:r>
          </w:p>
        </w:tc>
        <w:tc>
          <w:tcPr>
            <w:tcW w:w="348" w:type="pct"/>
            <w:tcBorders>
              <w:top w:val="nil"/>
              <w:left w:val="nil"/>
              <w:bottom w:val="nil"/>
              <w:right w:val="nil"/>
            </w:tcBorders>
            <w:shd w:val="clear" w:color="000000" w:fill="C6EFCE"/>
            <w:noWrap/>
            <w:tcMar>
              <w:left w:w="28" w:type="dxa"/>
              <w:right w:w="28" w:type="dxa"/>
            </w:tcMar>
            <w:vAlign w:val="bottom"/>
            <w:hideMark/>
          </w:tcPr>
          <w:p w14:paraId="2C1F15D2"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13.5 </w:t>
            </w:r>
          </w:p>
        </w:tc>
        <w:tc>
          <w:tcPr>
            <w:tcW w:w="348" w:type="pct"/>
            <w:tcBorders>
              <w:top w:val="nil"/>
              <w:left w:val="nil"/>
              <w:bottom w:val="nil"/>
              <w:right w:val="nil"/>
            </w:tcBorders>
            <w:shd w:val="clear" w:color="000000" w:fill="C6EFCE"/>
            <w:noWrap/>
            <w:tcMar>
              <w:left w:w="28" w:type="dxa"/>
              <w:right w:w="28" w:type="dxa"/>
            </w:tcMar>
            <w:vAlign w:val="bottom"/>
            <w:hideMark/>
          </w:tcPr>
          <w:p w14:paraId="3F94E1E5"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12.1 </w:t>
            </w:r>
          </w:p>
        </w:tc>
        <w:tc>
          <w:tcPr>
            <w:tcW w:w="348" w:type="pct"/>
            <w:tcBorders>
              <w:top w:val="nil"/>
              <w:left w:val="nil"/>
              <w:bottom w:val="nil"/>
              <w:right w:val="nil"/>
            </w:tcBorders>
            <w:shd w:val="clear" w:color="000000" w:fill="C6EFCE"/>
            <w:noWrap/>
            <w:tcMar>
              <w:left w:w="28" w:type="dxa"/>
              <w:right w:w="28" w:type="dxa"/>
            </w:tcMar>
            <w:vAlign w:val="bottom"/>
            <w:hideMark/>
          </w:tcPr>
          <w:p w14:paraId="4DAAE868"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10.9 </w:t>
            </w:r>
          </w:p>
        </w:tc>
        <w:tc>
          <w:tcPr>
            <w:tcW w:w="365" w:type="pct"/>
            <w:tcBorders>
              <w:top w:val="nil"/>
              <w:left w:val="nil"/>
              <w:bottom w:val="nil"/>
              <w:right w:val="nil"/>
            </w:tcBorders>
            <w:shd w:val="clear" w:color="000000" w:fill="C6EFCE"/>
            <w:noWrap/>
            <w:tcMar>
              <w:left w:w="28" w:type="dxa"/>
              <w:right w:w="28" w:type="dxa"/>
            </w:tcMar>
            <w:vAlign w:val="bottom"/>
            <w:hideMark/>
          </w:tcPr>
          <w:p w14:paraId="30A2ABE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10.0 </w:t>
            </w:r>
          </w:p>
        </w:tc>
        <w:tc>
          <w:tcPr>
            <w:tcW w:w="348" w:type="pct"/>
            <w:tcBorders>
              <w:top w:val="nil"/>
              <w:left w:val="nil"/>
              <w:bottom w:val="nil"/>
              <w:right w:val="nil"/>
            </w:tcBorders>
            <w:shd w:val="clear" w:color="000000" w:fill="C6EFCE"/>
            <w:noWrap/>
            <w:tcMar>
              <w:left w:w="28" w:type="dxa"/>
              <w:right w:w="28" w:type="dxa"/>
            </w:tcMar>
            <w:vAlign w:val="bottom"/>
            <w:hideMark/>
          </w:tcPr>
          <w:p w14:paraId="6BAAB49B"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9.2 </w:t>
            </w:r>
          </w:p>
        </w:tc>
        <w:tc>
          <w:tcPr>
            <w:tcW w:w="348" w:type="pct"/>
            <w:tcBorders>
              <w:top w:val="nil"/>
              <w:left w:val="nil"/>
              <w:bottom w:val="nil"/>
              <w:right w:val="nil"/>
            </w:tcBorders>
            <w:shd w:val="clear" w:color="000000" w:fill="C6EFCE"/>
            <w:noWrap/>
            <w:tcMar>
              <w:left w:w="28" w:type="dxa"/>
              <w:right w:w="28" w:type="dxa"/>
            </w:tcMar>
            <w:vAlign w:val="bottom"/>
            <w:hideMark/>
          </w:tcPr>
          <w:p w14:paraId="0EDF94C6"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8.5 </w:t>
            </w:r>
          </w:p>
        </w:tc>
        <w:tc>
          <w:tcPr>
            <w:tcW w:w="348" w:type="pct"/>
            <w:tcBorders>
              <w:top w:val="nil"/>
              <w:left w:val="nil"/>
              <w:bottom w:val="nil"/>
              <w:right w:val="nil"/>
            </w:tcBorders>
            <w:shd w:val="clear" w:color="000000" w:fill="C6EFCE"/>
            <w:noWrap/>
            <w:tcMar>
              <w:left w:w="28" w:type="dxa"/>
              <w:right w:w="28" w:type="dxa"/>
            </w:tcMar>
            <w:vAlign w:val="bottom"/>
            <w:hideMark/>
          </w:tcPr>
          <w:p w14:paraId="325B2A26"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7.9 </w:t>
            </w:r>
          </w:p>
        </w:tc>
      </w:tr>
      <w:tr w:rsidR="00280058" w:rsidRPr="002C025E" w14:paraId="14A94606" w14:textId="77777777" w:rsidTr="0005008F">
        <w:tc>
          <w:tcPr>
            <w:tcW w:w="105" w:type="pct"/>
            <w:vMerge/>
            <w:tcBorders>
              <w:top w:val="nil"/>
              <w:left w:val="nil"/>
              <w:bottom w:val="nil"/>
              <w:right w:val="nil"/>
            </w:tcBorders>
            <w:tcMar>
              <w:left w:w="28" w:type="dxa"/>
              <w:right w:w="28" w:type="dxa"/>
            </w:tcMar>
            <w:vAlign w:val="center"/>
            <w:hideMark/>
          </w:tcPr>
          <w:p w14:paraId="5FE05BB0"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8" w:type="pct"/>
            <w:tcBorders>
              <w:top w:val="nil"/>
              <w:left w:val="nil"/>
              <w:bottom w:val="nil"/>
              <w:right w:val="nil"/>
            </w:tcBorders>
            <w:shd w:val="clear" w:color="auto" w:fill="auto"/>
            <w:noWrap/>
            <w:tcMar>
              <w:left w:w="28" w:type="dxa"/>
              <w:right w:w="28" w:type="dxa"/>
            </w:tcMar>
            <w:vAlign w:val="bottom"/>
            <w:hideMark/>
          </w:tcPr>
          <w:p w14:paraId="3D2A5EF5"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0.36</w:t>
            </w:r>
          </w:p>
        </w:tc>
        <w:tc>
          <w:tcPr>
            <w:tcW w:w="348" w:type="pct"/>
            <w:tcBorders>
              <w:top w:val="nil"/>
              <w:left w:val="nil"/>
              <w:bottom w:val="nil"/>
              <w:right w:val="nil"/>
            </w:tcBorders>
            <w:shd w:val="clear" w:color="000000" w:fill="FFC7CE"/>
            <w:noWrap/>
            <w:tcMar>
              <w:left w:w="28" w:type="dxa"/>
              <w:right w:w="28" w:type="dxa"/>
            </w:tcMar>
            <w:vAlign w:val="bottom"/>
            <w:hideMark/>
          </w:tcPr>
          <w:p w14:paraId="1D89A5B0"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46.0 </w:t>
            </w:r>
          </w:p>
        </w:tc>
        <w:tc>
          <w:tcPr>
            <w:tcW w:w="348" w:type="pct"/>
            <w:tcBorders>
              <w:top w:val="nil"/>
              <w:left w:val="nil"/>
              <w:bottom w:val="nil"/>
              <w:right w:val="nil"/>
            </w:tcBorders>
            <w:shd w:val="clear" w:color="000000" w:fill="FFC7CE"/>
            <w:noWrap/>
            <w:tcMar>
              <w:left w:w="28" w:type="dxa"/>
              <w:right w:w="28" w:type="dxa"/>
            </w:tcMar>
            <w:vAlign w:val="bottom"/>
            <w:hideMark/>
          </w:tcPr>
          <w:p w14:paraId="44A60BC2"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32.4 </w:t>
            </w:r>
          </w:p>
        </w:tc>
        <w:tc>
          <w:tcPr>
            <w:tcW w:w="348" w:type="pct"/>
            <w:tcBorders>
              <w:top w:val="nil"/>
              <w:left w:val="nil"/>
              <w:bottom w:val="nil"/>
              <w:right w:val="nil"/>
            </w:tcBorders>
            <w:shd w:val="clear" w:color="000000" w:fill="FFC7CE"/>
            <w:noWrap/>
            <w:tcMar>
              <w:left w:w="28" w:type="dxa"/>
              <w:right w:w="28" w:type="dxa"/>
            </w:tcMar>
            <w:vAlign w:val="bottom"/>
            <w:hideMark/>
          </w:tcPr>
          <w:p w14:paraId="311DDB82"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25.0 </w:t>
            </w:r>
          </w:p>
        </w:tc>
        <w:tc>
          <w:tcPr>
            <w:tcW w:w="348" w:type="pct"/>
            <w:tcBorders>
              <w:top w:val="nil"/>
              <w:left w:val="nil"/>
              <w:bottom w:val="nil"/>
              <w:right w:val="nil"/>
            </w:tcBorders>
            <w:shd w:val="clear" w:color="000000" w:fill="FFC7CE"/>
            <w:noWrap/>
            <w:tcMar>
              <w:left w:w="28" w:type="dxa"/>
              <w:right w:w="28" w:type="dxa"/>
            </w:tcMar>
            <w:vAlign w:val="bottom"/>
            <w:hideMark/>
          </w:tcPr>
          <w:p w14:paraId="617ACF62"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20.4 </w:t>
            </w:r>
          </w:p>
        </w:tc>
        <w:tc>
          <w:tcPr>
            <w:tcW w:w="348" w:type="pct"/>
            <w:tcBorders>
              <w:top w:val="nil"/>
              <w:left w:val="nil"/>
              <w:bottom w:val="nil"/>
              <w:right w:val="nil"/>
            </w:tcBorders>
            <w:shd w:val="clear" w:color="000000" w:fill="C6EFCE"/>
            <w:noWrap/>
            <w:tcMar>
              <w:left w:w="28" w:type="dxa"/>
              <w:right w:w="28" w:type="dxa"/>
            </w:tcMar>
            <w:vAlign w:val="bottom"/>
            <w:hideMark/>
          </w:tcPr>
          <w:p w14:paraId="3F72D58B"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17.2 </w:t>
            </w:r>
          </w:p>
        </w:tc>
        <w:tc>
          <w:tcPr>
            <w:tcW w:w="348" w:type="pct"/>
            <w:tcBorders>
              <w:top w:val="nil"/>
              <w:left w:val="nil"/>
              <w:bottom w:val="nil"/>
              <w:right w:val="nil"/>
            </w:tcBorders>
            <w:shd w:val="clear" w:color="000000" w:fill="C6EFCE"/>
            <w:noWrap/>
            <w:tcMar>
              <w:left w:w="28" w:type="dxa"/>
              <w:right w:w="28" w:type="dxa"/>
            </w:tcMar>
            <w:vAlign w:val="bottom"/>
            <w:hideMark/>
          </w:tcPr>
          <w:p w14:paraId="33770166"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14.9 </w:t>
            </w:r>
          </w:p>
        </w:tc>
        <w:tc>
          <w:tcPr>
            <w:tcW w:w="348" w:type="pct"/>
            <w:tcBorders>
              <w:top w:val="nil"/>
              <w:left w:val="nil"/>
              <w:bottom w:val="nil"/>
              <w:right w:val="nil"/>
            </w:tcBorders>
            <w:shd w:val="clear" w:color="000000" w:fill="C6EFCE"/>
            <w:noWrap/>
            <w:tcMar>
              <w:left w:w="28" w:type="dxa"/>
              <w:right w:w="28" w:type="dxa"/>
            </w:tcMar>
            <w:vAlign w:val="bottom"/>
            <w:hideMark/>
          </w:tcPr>
          <w:p w14:paraId="777D7FF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13.1 </w:t>
            </w:r>
          </w:p>
        </w:tc>
        <w:tc>
          <w:tcPr>
            <w:tcW w:w="348" w:type="pct"/>
            <w:tcBorders>
              <w:top w:val="nil"/>
              <w:left w:val="nil"/>
              <w:bottom w:val="nil"/>
              <w:right w:val="nil"/>
            </w:tcBorders>
            <w:shd w:val="clear" w:color="000000" w:fill="C6EFCE"/>
            <w:noWrap/>
            <w:tcMar>
              <w:left w:w="28" w:type="dxa"/>
              <w:right w:w="28" w:type="dxa"/>
            </w:tcMar>
            <w:vAlign w:val="bottom"/>
            <w:hideMark/>
          </w:tcPr>
          <w:p w14:paraId="24A325B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11.7 </w:t>
            </w:r>
          </w:p>
        </w:tc>
        <w:tc>
          <w:tcPr>
            <w:tcW w:w="348" w:type="pct"/>
            <w:tcBorders>
              <w:top w:val="nil"/>
              <w:left w:val="nil"/>
              <w:bottom w:val="nil"/>
              <w:right w:val="nil"/>
            </w:tcBorders>
            <w:shd w:val="clear" w:color="000000" w:fill="C6EFCE"/>
            <w:noWrap/>
            <w:tcMar>
              <w:left w:w="28" w:type="dxa"/>
              <w:right w:w="28" w:type="dxa"/>
            </w:tcMar>
            <w:vAlign w:val="bottom"/>
            <w:hideMark/>
          </w:tcPr>
          <w:p w14:paraId="21EB72A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10.6 </w:t>
            </w:r>
          </w:p>
        </w:tc>
        <w:tc>
          <w:tcPr>
            <w:tcW w:w="365" w:type="pct"/>
            <w:tcBorders>
              <w:top w:val="nil"/>
              <w:left w:val="nil"/>
              <w:bottom w:val="nil"/>
              <w:right w:val="nil"/>
            </w:tcBorders>
            <w:shd w:val="clear" w:color="000000" w:fill="C6EFCE"/>
            <w:noWrap/>
            <w:tcMar>
              <w:left w:w="28" w:type="dxa"/>
              <w:right w:w="28" w:type="dxa"/>
            </w:tcMar>
            <w:vAlign w:val="bottom"/>
            <w:hideMark/>
          </w:tcPr>
          <w:p w14:paraId="6099D325"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9.7 </w:t>
            </w:r>
          </w:p>
        </w:tc>
        <w:tc>
          <w:tcPr>
            <w:tcW w:w="348" w:type="pct"/>
            <w:tcBorders>
              <w:top w:val="nil"/>
              <w:left w:val="nil"/>
              <w:bottom w:val="nil"/>
              <w:right w:val="nil"/>
            </w:tcBorders>
            <w:shd w:val="clear" w:color="000000" w:fill="C6EFCE"/>
            <w:noWrap/>
            <w:tcMar>
              <w:left w:w="28" w:type="dxa"/>
              <w:right w:w="28" w:type="dxa"/>
            </w:tcMar>
            <w:vAlign w:val="bottom"/>
            <w:hideMark/>
          </w:tcPr>
          <w:p w14:paraId="08461CEB"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8.9 </w:t>
            </w:r>
          </w:p>
        </w:tc>
        <w:tc>
          <w:tcPr>
            <w:tcW w:w="348" w:type="pct"/>
            <w:tcBorders>
              <w:top w:val="nil"/>
              <w:left w:val="nil"/>
              <w:bottom w:val="nil"/>
              <w:right w:val="nil"/>
            </w:tcBorders>
            <w:shd w:val="clear" w:color="000000" w:fill="C6EFCE"/>
            <w:noWrap/>
            <w:tcMar>
              <w:left w:w="28" w:type="dxa"/>
              <w:right w:w="28" w:type="dxa"/>
            </w:tcMar>
            <w:vAlign w:val="bottom"/>
            <w:hideMark/>
          </w:tcPr>
          <w:p w14:paraId="04D01B1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8.2 </w:t>
            </w:r>
          </w:p>
        </w:tc>
        <w:tc>
          <w:tcPr>
            <w:tcW w:w="348" w:type="pct"/>
            <w:tcBorders>
              <w:top w:val="nil"/>
              <w:left w:val="nil"/>
              <w:bottom w:val="nil"/>
              <w:right w:val="nil"/>
            </w:tcBorders>
            <w:shd w:val="clear" w:color="000000" w:fill="C6EFCE"/>
            <w:noWrap/>
            <w:tcMar>
              <w:left w:w="28" w:type="dxa"/>
              <w:right w:w="28" w:type="dxa"/>
            </w:tcMar>
            <w:vAlign w:val="bottom"/>
            <w:hideMark/>
          </w:tcPr>
          <w:p w14:paraId="3EAD2D22"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7.7 </w:t>
            </w:r>
          </w:p>
        </w:tc>
      </w:tr>
    </w:tbl>
    <w:p w14:paraId="3CF01166" w14:textId="77777777" w:rsidR="00280058" w:rsidRPr="00DF3A8E" w:rsidRDefault="00280058" w:rsidP="00280058">
      <w:pPr>
        <w:jc w:val="both"/>
        <w:rPr>
          <w:rFonts w:ascii="Georgia" w:hAnsi="Georgia"/>
          <w:sz w:val="20"/>
          <w:lang w:val="lt-LT"/>
        </w:rPr>
      </w:pPr>
    </w:p>
    <w:p w14:paraId="60D838E4" w14:textId="77777777" w:rsidR="00280058" w:rsidRDefault="00280058" w:rsidP="00280058">
      <w:pPr>
        <w:jc w:val="both"/>
        <w:rPr>
          <w:rFonts w:ascii="Georgia" w:hAnsi="Georgia"/>
          <w:sz w:val="20"/>
          <w:lang w:val="lt-LT"/>
        </w:rPr>
      </w:pPr>
      <w:r>
        <w:rPr>
          <w:rFonts w:ascii="Georgia" w:hAnsi="Georgia"/>
          <w:sz w:val="20"/>
          <w:lang w:val="lt-LT"/>
        </w:rPr>
        <w:lastRenderedPageBreak/>
        <w:t>Remiantis aukščiau pateiktos lentelės duomenimis teigtina, jog d</w:t>
      </w:r>
      <w:r w:rsidRPr="00DF3A8E">
        <w:rPr>
          <w:rFonts w:ascii="Georgia" w:hAnsi="Georgia"/>
          <w:sz w:val="20"/>
          <w:lang w:val="lt-LT"/>
        </w:rPr>
        <w:t>idesnės energijos kainos lemia greitesnį projektų atsipirkimą</w:t>
      </w:r>
      <w:r>
        <w:rPr>
          <w:rFonts w:ascii="Georgia" w:hAnsi="Georgia"/>
          <w:sz w:val="20"/>
          <w:lang w:val="lt-LT"/>
        </w:rPr>
        <w:t xml:space="preserve">. </w:t>
      </w:r>
      <w:r w:rsidRPr="002A3BF8">
        <w:rPr>
          <w:rFonts w:ascii="Georgia" w:hAnsi="Georgia"/>
          <w:sz w:val="20"/>
          <w:lang w:val="lt-LT"/>
        </w:rPr>
        <w:t xml:space="preserve"> </w:t>
      </w:r>
      <w:r w:rsidRPr="00445481">
        <w:rPr>
          <w:rFonts w:ascii="Georgia" w:hAnsi="Georgia"/>
          <w:sz w:val="20"/>
          <w:lang w:val="lt-LT"/>
        </w:rPr>
        <w:t>Dėl įvairių šilumos ūkio infrastruktūros planuojamų modernizavimo projektų</w:t>
      </w:r>
      <w:r>
        <w:rPr>
          <w:rFonts w:ascii="Georgia" w:hAnsi="Georgia"/>
          <w:sz w:val="20"/>
          <w:lang w:val="lt-LT"/>
        </w:rPr>
        <w:t>, mažesnių gamtinių išteklių kainų</w:t>
      </w:r>
      <w:r w:rsidRPr="00445481">
        <w:rPr>
          <w:rFonts w:ascii="Georgia" w:hAnsi="Georgia"/>
          <w:sz w:val="20"/>
          <w:lang w:val="lt-LT"/>
        </w:rPr>
        <w:t xml:space="preserve">, šilumos kaina neturėtų augti, tačiau dabartinė geopolitinė </w:t>
      </w:r>
      <w:r>
        <w:rPr>
          <w:rFonts w:ascii="Georgia" w:hAnsi="Georgia"/>
          <w:sz w:val="20"/>
          <w:lang w:val="lt-LT"/>
        </w:rPr>
        <w:t>situacija bei stiprėjantis JAV dolerio kursas (pagrindinė atsiskaitymo už energetinius išteklius valiuta) prieš eurą,</w:t>
      </w:r>
      <w:r w:rsidRPr="00445481">
        <w:rPr>
          <w:rFonts w:ascii="Georgia" w:hAnsi="Georgia"/>
          <w:sz w:val="20"/>
          <w:lang w:val="lt-LT"/>
        </w:rPr>
        <w:t xml:space="preserve"> gali lemti padidėjusias šilumos energijos kaina</w:t>
      </w:r>
      <w:r>
        <w:rPr>
          <w:rFonts w:ascii="Georgia" w:hAnsi="Georgia"/>
          <w:sz w:val="20"/>
          <w:lang w:val="lt-LT"/>
        </w:rPr>
        <w:t>s</w:t>
      </w:r>
      <w:r w:rsidRPr="00DF3A8E">
        <w:rPr>
          <w:rFonts w:ascii="Georgia" w:hAnsi="Georgia"/>
          <w:sz w:val="20"/>
          <w:lang w:val="lt-LT"/>
        </w:rPr>
        <w:t>. Lentelėje esantys duomenys nurodo, jog kainai esant 0,</w:t>
      </w:r>
      <w:r>
        <w:rPr>
          <w:rFonts w:ascii="Georgia" w:hAnsi="Georgia"/>
          <w:sz w:val="20"/>
          <w:lang w:val="lt-LT"/>
        </w:rPr>
        <w:t>294</w:t>
      </w:r>
      <w:r w:rsidRPr="00DF3A8E">
        <w:rPr>
          <w:rFonts w:ascii="Georgia" w:hAnsi="Georgia"/>
          <w:sz w:val="20"/>
          <w:lang w:val="lt-LT"/>
        </w:rPr>
        <w:t xml:space="preserve"> Lt už vieną kWh </w:t>
      </w:r>
      <w:r>
        <w:rPr>
          <w:rFonts w:ascii="Georgia" w:hAnsi="Georgia"/>
          <w:sz w:val="20"/>
          <w:lang w:val="lt-LT"/>
        </w:rPr>
        <w:t>(</w:t>
      </w:r>
      <w:r w:rsidRPr="00DF3A8E">
        <w:rPr>
          <w:rFonts w:ascii="Georgia" w:hAnsi="Georgia"/>
          <w:sz w:val="20"/>
          <w:lang w:val="lt-LT"/>
        </w:rPr>
        <w:t>ir kainai augant apie 3 proc. kiekvienais metais</w:t>
      </w:r>
      <w:r>
        <w:rPr>
          <w:rFonts w:ascii="Georgia" w:hAnsi="Georgia"/>
          <w:sz w:val="20"/>
          <w:lang w:val="lt-LT"/>
        </w:rPr>
        <w:t>) ir projektams teikiant papildomą 20 proc. subsidiją</w:t>
      </w:r>
      <w:r w:rsidRPr="00DF3A8E">
        <w:rPr>
          <w:rFonts w:ascii="Georgia" w:hAnsi="Georgia"/>
          <w:sz w:val="20"/>
          <w:lang w:val="lt-LT"/>
        </w:rPr>
        <w:t xml:space="preserve">, </w:t>
      </w:r>
      <w:r>
        <w:rPr>
          <w:rFonts w:ascii="Georgia" w:hAnsi="Georgia"/>
          <w:sz w:val="20"/>
          <w:lang w:val="lt-LT"/>
        </w:rPr>
        <w:t xml:space="preserve">tipinio viešojo pastato </w:t>
      </w:r>
      <w:r w:rsidRPr="00DF3A8E">
        <w:rPr>
          <w:rFonts w:ascii="Georgia" w:hAnsi="Georgia"/>
          <w:sz w:val="20"/>
          <w:lang w:val="lt-LT"/>
        </w:rPr>
        <w:t xml:space="preserve">renovacijos projektas atsipirks per 18.1 metus, tai yra </w:t>
      </w:r>
      <w:r>
        <w:rPr>
          <w:rFonts w:ascii="Georgia" w:hAnsi="Georgia"/>
          <w:sz w:val="20"/>
          <w:lang w:val="lt-LT"/>
        </w:rPr>
        <w:t xml:space="preserve">per 20 m. </w:t>
      </w:r>
      <w:r w:rsidRPr="00DF3A8E">
        <w:rPr>
          <w:rFonts w:ascii="Georgia" w:hAnsi="Georgia"/>
          <w:sz w:val="20"/>
          <w:lang w:val="lt-LT"/>
        </w:rPr>
        <w:t xml:space="preserve">paskolos gyvavimo laikotarpį. </w:t>
      </w:r>
      <w:r>
        <w:rPr>
          <w:rFonts w:ascii="Georgia" w:hAnsi="Georgia"/>
          <w:sz w:val="20"/>
          <w:lang w:val="lt-LT"/>
        </w:rPr>
        <w:t>Nesikeičiant kitoms sąlygoms ir k</w:t>
      </w:r>
      <w:r w:rsidRPr="00DF3A8E">
        <w:rPr>
          <w:rFonts w:ascii="Georgia" w:hAnsi="Georgia"/>
          <w:sz w:val="20"/>
          <w:lang w:val="lt-LT"/>
        </w:rPr>
        <w:t>ainai išlikus 2013</w:t>
      </w:r>
      <w:r>
        <w:rPr>
          <w:rFonts w:ascii="Georgia" w:hAnsi="Georgia"/>
          <w:sz w:val="20"/>
          <w:lang w:val="lt-LT"/>
        </w:rPr>
        <w:t>-</w:t>
      </w:r>
      <w:r w:rsidRPr="00DF3A8E">
        <w:rPr>
          <w:rFonts w:ascii="Georgia" w:hAnsi="Georgia"/>
          <w:sz w:val="20"/>
          <w:lang w:val="lt-LT"/>
        </w:rPr>
        <w:t xml:space="preserve">2014 metų lygyje (0,265 Lt) projektas atsipirktų per 20.4 metų, t.y. </w:t>
      </w:r>
      <w:r>
        <w:rPr>
          <w:rFonts w:ascii="Georgia" w:hAnsi="Georgia"/>
          <w:sz w:val="20"/>
          <w:lang w:val="lt-LT"/>
        </w:rPr>
        <w:t>per</w:t>
      </w:r>
      <w:r w:rsidRPr="00DF3A8E">
        <w:rPr>
          <w:rFonts w:ascii="Georgia" w:hAnsi="Georgia"/>
          <w:sz w:val="20"/>
          <w:lang w:val="lt-LT"/>
        </w:rPr>
        <w:t xml:space="preserve"> nedaug ilgesnį negu paskolos laikotarpį.  </w:t>
      </w:r>
    </w:p>
    <w:p w14:paraId="620B5D91" w14:textId="77777777" w:rsidR="00280058" w:rsidRDefault="00280058" w:rsidP="00280058">
      <w:pPr>
        <w:jc w:val="both"/>
        <w:rPr>
          <w:rFonts w:ascii="Georgia" w:hAnsi="Georgia"/>
          <w:sz w:val="20"/>
          <w:lang w:val="lt-LT"/>
        </w:rPr>
      </w:pPr>
      <w:r w:rsidRPr="00DF3A8E">
        <w:rPr>
          <w:rFonts w:ascii="Georgia" w:hAnsi="Georgia"/>
          <w:sz w:val="20"/>
          <w:lang w:val="lt-LT"/>
        </w:rPr>
        <w:t xml:space="preserve">Žemiau pateikiama </w:t>
      </w:r>
      <w:r w:rsidRPr="00C16595">
        <w:rPr>
          <w:rFonts w:ascii="Georgia" w:hAnsi="Georgia"/>
          <w:sz w:val="20"/>
          <w:lang w:val="lt-LT"/>
        </w:rPr>
        <w:t xml:space="preserve">lentelė </w:t>
      </w:r>
      <w:r w:rsidRPr="00DF3A8E">
        <w:rPr>
          <w:rFonts w:ascii="Georgia" w:hAnsi="Georgia"/>
          <w:sz w:val="20"/>
          <w:lang w:val="lt-LT"/>
        </w:rPr>
        <w:t>su tomis pačiomis prielaidomis, tačiau be subsidi</w:t>
      </w:r>
      <w:r>
        <w:rPr>
          <w:rFonts w:ascii="Georgia" w:hAnsi="Georgia"/>
          <w:sz w:val="20"/>
          <w:lang w:val="lt-LT"/>
        </w:rPr>
        <w:t>jos</w:t>
      </w:r>
      <w:r w:rsidRPr="00DF3A8E">
        <w:rPr>
          <w:rFonts w:ascii="Georgia" w:hAnsi="Georgia"/>
          <w:sz w:val="20"/>
          <w:lang w:val="lt-LT"/>
        </w:rPr>
        <w:t xml:space="preserve"> elemento.</w:t>
      </w:r>
    </w:p>
    <w:p w14:paraId="69115C3D" w14:textId="2F76609C" w:rsidR="00280058" w:rsidRPr="00C90F04" w:rsidRDefault="00280058" w:rsidP="00280058">
      <w:pPr>
        <w:pStyle w:val="Antrat"/>
        <w:jc w:val="both"/>
        <w:rPr>
          <w:lang w:val="lt-LT"/>
        </w:rPr>
      </w:pPr>
      <w:bookmarkStart w:id="130" w:name="_Toc460321632"/>
      <w:r w:rsidRPr="007B174F">
        <w:rPr>
          <w:lang w:val="lt-LT"/>
        </w:rPr>
        <w:t xml:space="preserve">Lentelė </w:t>
      </w:r>
      <w:r w:rsidRPr="007B174F">
        <w:rPr>
          <w:lang w:val="lt-LT"/>
        </w:rPr>
        <w:fldChar w:fldCharType="begin"/>
      </w:r>
      <w:r w:rsidRPr="007B174F">
        <w:rPr>
          <w:lang w:val="lt-LT"/>
        </w:rPr>
        <w:instrText xml:space="preserve"> SEQ Lentelė \* ARABIC </w:instrText>
      </w:r>
      <w:r w:rsidRPr="007B174F">
        <w:rPr>
          <w:lang w:val="lt-LT"/>
        </w:rPr>
        <w:fldChar w:fldCharType="separate"/>
      </w:r>
      <w:r w:rsidR="00AA3082">
        <w:rPr>
          <w:noProof/>
          <w:lang w:val="lt-LT"/>
        </w:rPr>
        <w:t>51</w:t>
      </w:r>
      <w:r w:rsidRPr="007B174F">
        <w:rPr>
          <w:lang w:val="lt-LT"/>
        </w:rPr>
        <w:fldChar w:fldCharType="end"/>
      </w:r>
      <w:r w:rsidRPr="007B174F">
        <w:rPr>
          <w:lang w:val="lt-LT"/>
        </w:rPr>
        <w:t xml:space="preserve">. </w:t>
      </w:r>
      <w:r w:rsidRPr="00893A57">
        <w:rPr>
          <w:lang w:val="lt-LT"/>
        </w:rPr>
        <w:t>Šilumos kainos ir galimo sutaupymo</w:t>
      </w:r>
      <w:r>
        <w:rPr>
          <w:lang w:val="lt-LT"/>
        </w:rPr>
        <w:t xml:space="preserve"> santykio</w:t>
      </w:r>
      <w:r w:rsidRPr="00893A57">
        <w:rPr>
          <w:lang w:val="lt-LT"/>
        </w:rPr>
        <w:t xml:space="preserve"> jautrumo analizė </w:t>
      </w:r>
      <w:r>
        <w:rPr>
          <w:lang w:val="lt-LT"/>
        </w:rPr>
        <w:t>(</w:t>
      </w:r>
      <w:r w:rsidRPr="00893A57">
        <w:rPr>
          <w:lang w:val="lt-LT"/>
        </w:rPr>
        <w:t xml:space="preserve">be </w:t>
      </w:r>
      <w:r>
        <w:rPr>
          <w:lang w:val="lt-LT"/>
        </w:rPr>
        <w:t>subsidijos)</w:t>
      </w:r>
      <w:bookmarkEnd w:id="130"/>
    </w:p>
    <w:tbl>
      <w:tblPr>
        <w:tblW w:w="0" w:type="auto"/>
        <w:tblInd w:w="93" w:type="dxa"/>
        <w:tblCellMar>
          <w:left w:w="28" w:type="dxa"/>
          <w:right w:w="28" w:type="dxa"/>
        </w:tblCellMar>
        <w:tblLook w:val="04A0" w:firstRow="1" w:lastRow="0" w:firstColumn="1" w:lastColumn="0" w:noHBand="0" w:noVBand="1"/>
      </w:tblPr>
      <w:tblGrid>
        <w:gridCol w:w="187"/>
        <w:gridCol w:w="628"/>
        <w:gridCol w:w="628"/>
        <w:gridCol w:w="628"/>
        <w:gridCol w:w="628"/>
        <w:gridCol w:w="629"/>
        <w:gridCol w:w="629"/>
        <w:gridCol w:w="629"/>
        <w:gridCol w:w="629"/>
        <w:gridCol w:w="629"/>
        <w:gridCol w:w="629"/>
        <w:gridCol w:w="629"/>
        <w:gridCol w:w="629"/>
        <w:gridCol w:w="629"/>
        <w:gridCol w:w="629"/>
      </w:tblGrid>
      <w:tr w:rsidR="00280058" w:rsidRPr="002C025E" w14:paraId="004DDBBC" w14:textId="77777777" w:rsidTr="00BB18F6">
        <w:tc>
          <w:tcPr>
            <w:tcW w:w="0" w:type="auto"/>
            <w:tcBorders>
              <w:top w:val="nil"/>
              <w:left w:val="nil"/>
              <w:right w:val="nil"/>
            </w:tcBorders>
            <w:shd w:val="clear" w:color="auto" w:fill="auto"/>
            <w:noWrap/>
            <w:vAlign w:val="bottom"/>
            <w:hideMark/>
          </w:tcPr>
          <w:p w14:paraId="5A0C84D2" w14:textId="77777777" w:rsidR="00280058" w:rsidRPr="00DF3A8E" w:rsidRDefault="00280058" w:rsidP="00BB18F6">
            <w:pPr>
              <w:spacing w:after="0" w:line="240" w:lineRule="auto"/>
              <w:rPr>
                <w:rFonts w:ascii="Arial" w:eastAsia="Times New Roman" w:hAnsi="Arial" w:cs="Arial"/>
                <w:sz w:val="18"/>
                <w:szCs w:val="18"/>
                <w:lang w:val="lt-LT" w:eastAsia="lt-LT"/>
              </w:rPr>
            </w:pPr>
          </w:p>
        </w:tc>
        <w:tc>
          <w:tcPr>
            <w:tcW w:w="0" w:type="auto"/>
            <w:gridSpan w:val="14"/>
            <w:tcBorders>
              <w:top w:val="nil"/>
              <w:left w:val="nil"/>
              <w:right w:val="nil"/>
            </w:tcBorders>
            <w:shd w:val="clear" w:color="000000" w:fill="FFC18A"/>
            <w:noWrap/>
            <w:vAlign w:val="bottom"/>
            <w:hideMark/>
          </w:tcPr>
          <w:p w14:paraId="2D506560" w14:textId="77777777" w:rsidR="00280058" w:rsidRPr="00DF3A8E" w:rsidRDefault="00280058" w:rsidP="00BB18F6">
            <w:pPr>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Energijos sutaupymai </w:t>
            </w:r>
          </w:p>
        </w:tc>
      </w:tr>
      <w:tr w:rsidR="00280058" w:rsidRPr="002C025E" w14:paraId="2D7B0AC1" w14:textId="77777777" w:rsidTr="00BB18F6">
        <w:tc>
          <w:tcPr>
            <w:tcW w:w="0" w:type="auto"/>
            <w:tcBorders>
              <w:top w:val="nil"/>
              <w:left w:val="nil"/>
              <w:bottom w:val="nil"/>
              <w:right w:val="nil"/>
            </w:tcBorders>
            <w:shd w:val="clear" w:color="auto" w:fill="auto"/>
            <w:noWrap/>
            <w:vAlign w:val="bottom"/>
            <w:hideMark/>
          </w:tcPr>
          <w:p w14:paraId="45F37631" w14:textId="77777777" w:rsidR="00280058" w:rsidRPr="00DF3A8E" w:rsidRDefault="00280058" w:rsidP="00BB18F6">
            <w:pPr>
              <w:spacing w:after="0" w:line="240" w:lineRule="auto"/>
              <w:rPr>
                <w:rFonts w:ascii="Arial" w:eastAsia="Times New Roman" w:hAnsi="Arial" w:cs="Arial"/>
                <w:sz w:val="18"/>
                <w:szCs w:val="18"/>
                <w:lang w:val="lt-LT" w:eastAsia="lt-LT"/>
              </w:rPr>
            </w:pPr>
          </w:p>
        </w:tc>
        <w:tc>
          <w:tcPr>
            <w:tcW w:w="0" w:type="auto"/>
            <w:tcBorders>
              <w:top w:val="nil"/>
              <w:left w:val="nil"/>
              <w:bottom w:val="nil"/>
              <w:right w:val="nil"/>
            </w:tcBorders>
            <w:shd w:val="clear" w:color="auto" w:fill="auto"/>
            <w:noWrap/>
            <w:vAlign w:val="bottom"/>
            <w:hideMark/>
          </w:tcPr>
          <w:p w14:paraId="280A06CD" w14:textId="77777777" w:rsidR="00280058" w:rsidRPr="00DF3A8E" w:rsidRDefault="00280058" w:rsidP="00BB18F6">
            <w:pPr>
              <w:spacing w:after="0" w:line="240" w:lineRule="auto"/>
              <w:rPr>
                <w:rFonts w:ascii="Arial" w:eastAsia="Times New Roman" w:hAnsi="Arial" w:cs="Arial"/>
                <w:color w:val="FFFFFF"/>
                <w:sz w:val="18"/>
                <w:szCs w:val="18"/>
                <w:lang w:val="lt-LT" w:eastAsia="lt-LT"/>
              </w:rPr>
            </w:pPr>
            <w:r w:rsidRPr="00DF3A8E">
              <w:rPr>
                <w:rFonts w:ascii="Arial" w:eastAsia="Times New Roman" w:hAnsi="Arial" w:cs="Arial"/>
                <w:color w:val="FFFFFF"/>
                <w:sz w:val="18"/>
                <w:szCs w:val="18"/>
                <w:lang w:val="lt-LT" w:eastAsia="lt-LT"/>
              </w:rPr>
              <w:t xml:space="preserve">            23.8 </w:t>
            </w:r>
          </w:p>
        </w:tc>
        <w:tc>
          <w:tcPr>
            <w:tcW w:w="0" w:type="auto"/>
            <w:tcBorders>
              <w:top w:val="nil"/>
              <w:left w:val="nil"/>
              <w:bottom w:val="nil"/>
              <w:right w:val="nil"/>
            </w:tcBorders>
            <w:shd w:val="clear" w:color="auto" w:fill="auto"/>
            <w:noWrap/>
            <w:vAlign w:val="bottom"/>
            <w:hideMark/>
          </w:tcPr>
          <w:p w14:paraId="23B3B5E6"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15% </w:t>
            </w:r>
          </w:p>
        </w:tc>
        <w:tc>
          <w:tcPr>
            <w:tcW w:w="0" w:type="auto"/>
            <w:tcBorders>
              <w:top w:val="nil"/>
              <w:left w:val="nil"/>
              <w:bottom w:val="nil"/>
              <w:right w:val="nil"/>
            </w:tcBorders>
            <w:shd w:val="clear" w:color="auto" w:fill="auto"/>
            <w:noWrap/>
            <w:vAlign w:val="bottom"/>
            <w:hideMark/>
          </w:tcPr>
          <w:p w14:paraId="405600B6"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20% </w:t>
            </w:r>
          </w:p>
        </w:tc>
        <w:tc>
          <w:tcPr>
            <w:tcW w:w="0" w:type="auto"/>
            <w:tcBorders>
              <w:top w:val="nil"/>
              <w:left w:val="nil"/>
              <w:bottom w:val="nil"/>
              <w:right w:val="nil"/>
            </w:tcBorders>
            <w:shd w:val="clear" w:color="auto" w:fill="auto"/>
            <w:noWrap/>
            <w:vAlign w:val="bottom"/>
            <w:hideMark/>
          </w:tcPr>
          <w:p w14:paraId="3E661CE2"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25% </w:t>
            </w:r>
          </w:p>
        </w:tc>
        <w:tc>
          <w:tcPr>
            <w:tcW w:w="0" w:type="auto"/>
            <w:tcBorders>
              <w:top w:val="nil"/>
              <w:left w:val="nil"/>
              <w:bottom w:val="nil"/>
              <w:right w:val="nil"/>
            </w:tcBorders>
            <w:shd w:val="clear" w:color="auto" w:fill="auto"/>
            <w:noWrap/>
            <w:vAlign w:val="bottom"/>
            <w:hideMark/>
          </w:tcPr>
          <w:p w14:paraId="6E6EF0FA"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30% </w:t>
            </w:r>
          </w:p>
        </w:tc>
        <w:tc>
          <w:tcPr>
            <w:tcW w:w="0" w:type="auto"/>
            <w:tcBorders>
              <w:top w:val="nil"/>
              <w:left w:val="nil"/>
              <w:bottom w:val="nil"/>
              <w:right w:val="nil"/>
            </w:tcBorders>
            <w:shd w:val="clear" w:color="auto" w:fill="auto"/>
            <w:noWrap/>
            <w:vAlign w:val="bottom"/>
            <w:hideMark/>
          </w:tcPr>
          <w:p w14:paraId="311F8FB9"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35% </w:t>
            </w:r>
          </w:p>
        </w:tc>
        <w:tc>
          <w:tcPr>
            <w:tcW w:w="0" w:type="auto"/>
            <w:tcBorders>
              <w:top w:val="nil"/>
              <w:left w:val="nil"/>
              <w:bottom w:val="nil"/>
              <w:right w:val="nil"/>
            </w:tcBorders>
            <w:shd w:val="clear" w:color="auto" w:fill="auto"/>
            <w:noWrap/>
            <w:vAlign w:val="bottom"/>
            <w:hideMark/>
          </w:tcPr>
          <w:p w14:paraId="22D96B13" w14:textId="77777777" w:rsidR="00280058" w:rsidRPr="00F527BB" w:rsidRDefault="00280058" w:rsidP="00BB18F6">
            <w:pPr>
              <w:spacing w:after="0" w:line="240" w:lineRule="auto"/>
              <w:jc w:val="right"/>
              <w:rPr>
                <w:rFonts w:ascii="Arial" w:eastAsia="Times New Roman" w:hAnsi="Arial" w:cs="Arial"/>
                <w:b/>
                <w:bCs/>
                <w:sz w:val="18"/>
                <w:szCs w:val="18"/>
                <w:lang w:val="lt-LT" w:eastAsia="lt-LT"/>
              </w:rPr>
            </w:pPr>
            <w:r w:rsidRPr="00F527BB">
              <w:rPr>
                <w:rFonts w:ascii="Arial" w:eastAsia="Times New Roman" w:hAnsi="Arial" w:cs="Arial"/>
                <w:b/>
                <w:bCs/>
                <w:sz w:val="18"/>
                <w:szCs w:val="18"/>
                <w:lang w:val="lt-LT" w:eastAsia="lt-LT"/>
              </w:rPr>
              <w:t xml:space="preserve">40% </w:t>
            </w:r>
          </w:p>
        </w:tc>
        <w:tc>
          <w:tcPr>
            <w:tcW w:w="0" w:type="auto"/>
            <w:tcBorders>
              <w:top w:val="nil"/>
              <w:left w:val="nil"/>
              <w:bottom w:val="nil"/>
              <w:right w:val="nil"/>
            </w:tcBorders>
            <w:shd w:val="clear" w:color="auto" w:fill="auto"/>
            <w:noWrap/>
            <w:vAlign w:val="bottom"/>
            <w:hideMark/>
          </w:tcPr>
          <w:p w14:paraId="09ED7A98"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45% </w:t>
            </w:r>
          </w:p>
        </w:tc>
        <w:tc>
          <w:tcPr>
            <w:tcW w:w="0" w:type="auto"/>
            <w:tcBorders>
              <w:top w:val="nil"/>
              <w:left w:val="nil"/>
              <w:bottom w:val="nil"/>
              <w:right w:val="nil"/>
            </w:tcBorders>
            <w:shd w:val="clear" w:color="auto" w:fill="auto"/>
            <w:noWrap/>
            <w:vAlign w:val="bottom"/>
            <w:hideMark/>
          </w:tcPr>
          <w:p w14:paraId="7684BFA7"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50% </w:t>
            </w:r>
          </w:p>
        </w:tc>
        <w:tc>
          <w:tcPr>
            <w:tcW w:w="0" w:type="auto"/>
            <w:tcBorders>
              <w:top w:val="nil"/>
              <w:left w:val="nil"/>
              <w:bottom w:val="nil"/>
              <w:right w:val="nil"/>
            </w:tcBorders>
            <w:shd w:val="clear" w:color="auto" w:fill="auto"/>
            <w:noWrap/>
            <w:vAlign w:val="bottom"/>
            <w:hideMark/>
          </w:tcPr>
          <w:p w14:paraId="5DB970D6"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55% </w:t>
            </w:r>
          </w:p>
        </w:tc>
        <w:tc>
          <w:tcPr>
            <w:tcW w:w="0" w:type="auto"/>
            <w:tcBorders>
              <w:top w:val="nil"/>
              <w:left w:val="nil"/>
              <w:bottom w:val="nil"/>
              <w:right w:val="nil"/>
            </w:tcBorders>
            <w:shd w:val="clear" w:color="auto" w:fill="auto"/>
            <w:noWrap/>
            <w:vAlign w:val="bottom"/>
            <w:hideMark/>
          </w:tcPr>
          <w:p w14:paraId="2E2AB5A8"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60% </w:t>
            </w:r>
          </w:p>
        </w:tc>
        <w:tc>
          <w:tcPr>
            <w:tcW w:w="0" w:type="auto"/>
            <w:tcBorders>
              <w:top w:val="nil"/>
              <w:left w:val="nil"/>
              <w:bottom w:val="nil"/>
              <w:right w:val="nil"/>
            </w:tcBorders>
            <w:shd w:val="clear" w:color="auto" w:fill="auto"/>
            <w:noWrap/>
            <w:vAlign w:val="bottom"/>
            <w:hideMark/>
          </w:tcPr>
          <w:p w14:paraId="3787C7CC"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65% </w:t>
            </w:r>
          </w:p>
        </w:tc>
        <w:tc>
          <w:tcPr>
            <w:tcW w:w="0" w:type="auto"/>
            <w:tcBorders>
              <w:top w:val="nil"/>
              <w:left w:val="nil"/>
              <w:bottom w:val="nil"/>
              <w:right w:val="nil"/>
            </w:tcBorders>
            <w:shd w:val="clear" w:color="auto" w:fill="auto"/>
            <w:noWrap/>
            <w:vAlign w:val="bottom"/>
            <w:hideMark/>
          </w:tcPr>
          <w:p w14:paraId="6F08A7CF"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70% </w:t>
            </w:r>
          </w:p>
        </w:tc>
        <w:tc>
          <w:tcPr>
            <w:tcW w:w="0" w:type="auto"/>
            <w:tcBorders>
              <w:top w:val="nil"/>
              <w:left w:val="nil"/>
              <w:bottom w:val="nil"/>
              <w:right w:val="nil"/>
            </w:tcBorders>
            <w:shd w:val="clear" w:color="auto" w:fill="auto"/>
            <w:noWrap/>
            <w:vAlign w:val="bottom"/>
            <w:hideMark/>
          </w:tcPr>
          <w:p w14:paraId="3A1AB413"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75% </w:t>
            </w:r>
          </w:p>
        </w:tc>
      </w:tr>
      <w:tr w:rsidR="00280058" w:rsidRPr="002C025E" w14:paraId="75D49CD7" w14:textId="77777777" w:rsidTr="00BB18F6">
        <w:tc>
          <w:tcPr>
            <w:tcW w:w="0" w:type="auto"/>
            <w:vMerge w:val="restart"/>
            <w:tcBorders>
              <w:top w:val="nil"/>
              <w:left w:val="nil"/>
              <w:bottom w:val="nil"/>
              <w:right w:val="nil"/>
            </w:tcBorders>
            <w:shd w:val="clear" w:color="000000" w:fill="D9D9D9"/>
            <w:textDirection w:val="btLr"/>
            <w:vAlign w:val="center"/>
            <w:hideMark/>
          </w:tcPr>
          <w:p w14:paraId="64585D63" w14:textId="77777777" w:rsidR="00280058" w:rsidRPr="00DF3A8E" w:rsidRDefault="00280058" w:rsidP="00BB18F6">
            <w:pPr>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Energijos kaina</w:t>
            </w:r>
            <w:r>
              <w:rPr>
                <w:rFonts w:ascii="Arial" w:eastAsia="Times New Roman" w:hAnsi="Arial" w:cs="Arial"/>
                <w:b/>
                <w:bCs/>
                <w:sz w:val="18"/>
                <w:szCs w:val="18"/>
                <w:lang w:val="lt-LT" w:eastAsia="lt-LT"/>
              </w:rPr>
              <w:t>, Lt</w:t>
            </w:r>
            <w:r w:rsidRPr="00DF3A8E">
              <w:rPr>
                <w:rFonts w:ascii="Arial" w:eastAsia="Times New Roman" w:hAnsi="Arial" w:cs="Arial"/>
                <w:b/>
                <w:bCs/>
                <w:sz w:val="18"/>
                <w:szCs w:val="18"/>
                <w:lang w:val="lt-LT" w:eastAsia="lt-LT"/>
              </w:rPr>
              <w:t xml:space="preserve"> </w:t>
            </w:r>
          </w:p>
        </w:tc>
        <w:tc>
          <w:tcPr>
            <w:tcW w:w="0" w:type="auto"/>
            <w:tcBorders>
              <w:top w:val="nil"/>
              <w:left w:val="nil"/>
              <w:bottom w:val="nil"/>
              <w:right w:val="nil"/>
            </w:tcBorders>
            <w:shd w:val="clear" w:color="auto" w:fill="auto"/>
            <w:noWrap/>
            <w:vAlign w:val="bottom"/>
            <w:hideMark/>
          </w:tcPr>
          <w:p w14:paraId="2D037F8D"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0.26</w:t>
            </w:r>
          </w:p>
        </w:tc>
        <w:tc>
          <w:tcPr>
            <w:tcW w:w="0" w:type="auto"/>
            <w:tcBorders>
              <w:top w:val="nil"/>
              <w:left w:val="nil"/>
              <w:bottom w:val="nil"/>
              <w:right w:val="nil"/>
            </w:tcBorders>
            <w:shd w:val="clear" w:color="000000" w:fill="FFC7CE"/>
            <w:noWrap/>
            <w:vAlign w:val="bottom"/>
            <w:hideMark/>
          </w:tcPr>
          <w:p w14:paraId="7A40FCDD"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101.4 </w:t>
            </w:r>
          </w:p>
        </w:tc>
        <w:tc>
          <w:tcPr>
            <w:tcW w:w="0" w:type="auto"/>
            <w:tcBorders>
              <w:top w:val="nil"/>
              <w:left w:val="nil"/>
              <w:bottom w:val="nil"/>
              <w:right w:val="nil"/>
            </w:tcBorders>
            <w:shd w:val="clear" w:color="000000" w:fill="FFC7CE"/>
            <w:noWrap/>
            <w:vAlign w:val="bottom"/>
            <w:hideMark/>
          </w:tcPr>
          <w:p w14:paraId="2A31B6C7"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65.1 </w:t>
            </w:r>
          </w:p>
        </w:tc>
        <w:tc>
          <w:tcPr>
            <w:tcW w:w="0" w:type="auto"/>
            <w:tcBorders>
              <w:top w:val="nil"/>
              <w:left w:val="nil"/>
              <w:bottom w:val="nil"/>
              <w:right w:val="nil"/>
            </w:tcBorders>
            <w:shd w:val="clear" w:color="000000" w:fill="FFC7CE"/>
            <w:noWrap/>
            <w:vAlign w:val="bottom"/>
            <w:hideMark/>
          </w:tcPr>
          <w:p w14:paraId="503DB9F2"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48.2 </w:t>
            </w:r>
          </w:p>
        </w:tc>
        <w:tc>
          <w:tcPr>
            <w:tcW w:w="0" w:type="auto"/>
            <w:tcBorders>
              <w:top w:val="nil"/>
              <w:left w:val="nil"/>
              <w:bottom w:val="nil"/>
              <w:right w:val="nil"/>
            </w:tcBorders>
            <w:shd w:val="clear" w:color="000000" w:fill="FFC7CE"/>
            <w:noWrap/>
            <w:vAlign w:val="bottom"/>
            <w:hideMark/>
          </w:tcPr>
          <w:p w14:paraId="6B1367F5"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38.4 </w:t>
            </w:r>
          </w:p>
        </w:tc>
        <w:tc>
          <w:tcPr>
            <w:tcW w:w="0" w:type="auto"/>
            <w:tcBorders>
              <w:top w:val="nil"/>
              <w:left w:val="nil"/>
              <w:bottom w:val="nil"/>
              <w:right w:val="nil"/>
            </w:tcBorders>
            <w:shd w:val="clear" w:color="000000" w:fill="FFC7CE"/>
            <w:noWrap/>
            <w:vAlign w:val="bottom"/>
            <w:hideMark/>
          </w:tcPr>
          <w:p w14:paraId="6288032F"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32.0 </w:t>
            </w:r>
          </w:p>
        </w:tc>
        <w:tc>
          <w:tcPr>
            <w:tcW w:w="0" w:type="auto"/>
            <w:tcBorders>
              <w:top w:val="nil"/>
              <w:left w:val="nil"/>
              <w:bottom w:val="nil"/>
              <w:right w:val="nil"/>
            </w:tcBorders>
            <w:shd w:val="clear" w:color="000000" w:fill="FFC7CE"/>
            <w:noWrap/>
            <w:vAlign w:val="bottom"/>
            <w:hideMark/>
          </w:tcPr>
          <w:p w14:paraId="16EF128B"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27.4 </w:t>
            </w:r>
          </w:p>
        </w:tc>
        <w:tc>
          <w:tcPr>
            <w:tcW w:w="0" w:type="auto"/>
            <w:tcBorders>
              <w:top w:val="nil"/>
              <w:left w:val="nil"/>
              <w:bottom w:val="nil"/>
              <w:right w:val="nil"/>
            </w:tcBorders>
            <w:shd w:val="clear" w:color="000000" w:fill="FFC7CE"/>
            <w:noWrap/>
            <w:vAlign w:val="bottom"/>
            <w:hideMark/>
          </w:tcPr>
          <w:p w14:paraId="6CA72A9F"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23.9 </w:t>
            </w:r>
          </w:p>
        </w:tc>
        <w:tc>
          <w:tcPr>
            <w:tcW w:w="0" w:type="auto"/>
            <w:tcBorders>
              <w:top w:val="nil"/>
              <w:left w:val="nil"/>
              <w:bottom w:val="nil"/>
              <w:right w:val="nil"/>
            </w:tcBorders>
            <w:shd w:val="clear" w:color="000000" w:fill="FFC7CE"/>
            <w:noWrap/>
            <w:vAlign w:val="bottom"/>
            <w:hideMark/>
          </w:tcPr>
          <w:p w14:paraId="641B0494"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21.3 </w:t>
            </w:r>
          </w:p>
        </w:tc>
        <w:tc>
          <w:tcPr>
            <w:tcW w:w="0" w:type="auto"/>
            <w:tcBorders>
              <w:top w:val="nil"/>
              <w:left w:val="nil"/>
              <w:bottom w:val="nil"/>
              <w:right w:val="nil"/>
            </w:tcBorders>
            <w:shd w:val="clear" w:color="000000" w:fill="C6EFCE"/>
            <w:noWrap/>
            <w:vAlign w:val="bottom"/>
            <w:hideMark/>
          </w:tcPr>
          <w:p w14:paraId="7B8B947A"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19.1 </w:t>
            </w:r>
          </w:p>
        </w:tc>
        <w:tc>
          <w:tcPr>
            <w:tcW w:w="0" w:type="auto"/>
            <w:tcBorders>
              <w:top w:val="nil"/>
              <w:left w:val="nil"/>
              <w:bottom w:val="nil"/>
              <w:right w:val="nil"/>
            </w:tcBorders>
            <w:shd w:val="clear" w:color="000000" w:fill="C6EFCE"/>
            <w:noWrap/>
            <w:vAlign w:val="bottom"/>
            <w:hideMark/>
          </w:tcPr>
          <w:p w14:paraId="34CC100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17.4 </w:t>
            </w:r>
          </w:p>
        </w:tc>
        <w:tc>
          <w:tcPr>
            <w:tcW w:w="0" w:type="auto"/>
            <w:tcBorders>
              <w:top w:val="nil"/>
              <w:left w:val="nil"/>
              <w:bottom w:val="nil"/>
              <w:right w:val="nil"/>
            </w:tcBorders>
            <w:shd w:val="clear" w:color="000000" w:fill="C6EFCE"/>
            <w:noWrap/>
            <w:vAlign w:val="bottom"/>
            <w:hideMark/>
          </w:tcPr>
          <w:p w14:paraId="13905C6D"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15.9 </w:t>
            </w:r>
          </w:p>
        </w:tc>
        <w:tc>
          <w:tcPr>
            <w:tcW w:w="0" w:type="auto"/>
            <w:tcBorders>
              <w:top w:val="nil"/>
              <w:left w:val="nil"/>
              <w:bottom w:val="nil"/>
              <w:right w:val="nil"/>
            </w:tcBorders>
            <w:shd w:val="clear" w:color="000000" w:fill="C6EFCE"/>
            <w:noWrap/>
            <w:vAlign w:val="bottom"/>
            <w:hideMark/>
          </w:tcPr>
          <w:p w14:paraId="243680B0"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14.7 </w:t>
            </w:r>
          </w:p>
        </w:tc>
        <w:tc>
          <w:tcPr>
            <w:tcW w:w="0" w:type="auto"/>
            <w:tcBorders>
              <w:top w:val="nil"/>
              <w:left w:val="nil"/>
              <w:bottom w:val="nil"/>
              <w:right w:val="nil"/>
            </w:tcBorders>
            <w:shd w:val="clear" w:color="000000" w:fill="C6EFCE"/>
            <w:noWrap/>
            <w:vAlign w:val="bottom"/>
            <w:hideMark/>
          </w:tcPr>
          <w:p w14:paraId="59F3B78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13.7 </w:t>
            </w:r>
          </w:p>
        </w:tc>
      </w:tr>
      <w:tr w:rsidR="00280058" w:rsidRPr="002C025E" w14:paraId="4066D9E9" w14:textId="77777777" w:rsidTr="00BB18F6">
        <w:tc>
          <w:tcPr>
            <w:tcW w:w="0" w:type="auto"/>
            <w:vMerge/>
            <w:tcBorders>
              <w:top w:val="nil"/>
              <w:left w:val="nil"/>
              <w:bottom w:val="nil"/>
              <w:right w:val="nil"/>
            </w:tcBorders>
            <w:vAlign w:val="center"/>
            <w:hideMark/>
          </w:tcPr>
          <w:p w14:paraId="7891EC66"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0" w:type="auto"/>
            <w:tcBorders>
              <w:top w:val="nil"/>
              <w:left w:val="nil"/>
              <w:bottom w:val="nil"/>
              <w:right w:val="nil"/>
            </w:tcBorders>
            <w:shd w:val="clear" w:color="auto" w:fill="auto"/>
            <w:noWrap/>
            <w:vAlign w:val="bottom"/>
            <w:hideMark/>
          </w:tcPr>
          <w:p w14:paraId="1126EE7B"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0.27</w:t>
            </w:r>
          </w:p>
        </w:tc>
        <w:tc>
          <w:tcPr>
            <w:tcW w:w="0" w:type="auto"/>
            <w:tcBorders>
              <w:top w:val="nil"/>
              <w:left w:val="nil"/>
              <w:bottom w:val="nil"/>
              <w:right w:val="nil"/>
            </w:tcBorders>
            <w:shd w:val="clear" w:color="000000" w:fill="FFC7CE"/>
            <w:noWrap/>
            <w:vAlign w:val="bottom"/>
            <w:hideMark/>
          </w:tcPr>
          <w:p w14:paraId="1D97AE0A"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95.1 </w:t>
            </w:r>
          </w:p>
        </w:tc>
        <w:tc>
          <w:tcPr>
            <w:tcW w:w="0" w:type="auto"/>
            <w:tcBorders>
              <w:top w:val="nil"/>
              <w:left w:val="nil"/>
              <w:bottom w:val="nil"/>
              <w:right w:val="nil"/>
            </w:tcBorders>
            <w:shd w:val="clear" w:color="000000" w:fill="FFC7CE"/>
            <w:noWrap/>
            <w:vAlign w:val="bottom"/>
            <w:hideMark/>
          </w:tcPr>
          <w:p w14:paraId="5EFC88CD"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61.7 </w:t>
            </w:r>
          </w:p>
        </w:tc>
        <w:tc>
          <w:tcPr>
            <w:tcW w:w="0" w:type="auto"/>
            <w:tcBorders>
              <w:top w:val="nil"/>
              <w:left w:val="nil"/>
              <w:bottom w:val="nil"/>
              <w:right w:val="nil"/>
            </w:tcBorders>
            <w:shd w:val="clear" w:color="000000" w:fill="FFC7CE"/>
            <w:noWrap/>
            <w:vAlign w:val="bottom"/>
            <w:hideMark/>
          </w:tcPr>
          <w:p w14:paraId="19191224"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46.0 </w:t>
            </w:r>
          </w:p>
        </w:tc>
        <w:tc>
          <w:tcPr>
            <w:tcW w:w="0" w:type="auto"/>
            <w:tcBorders>
              <w:top w:val="nil"/>
              <w:left w:val="nil"/>
              <w:bottom w:val="nil"/>
              <w:right w:val="nil"/>
            </w:tcBorders>
            <w:shd w:val="clear" w:color="000000" w:fill="FFC7CE"/>
            <w:noWrap/>
            <w:vAlign w:val="bottom"/>
            <w:hideMark/>
          </w:tcPr>
          <w:p w14:paraId="71D9B79B"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36.7 </w:t>
            </w:r>
          </w:p>
        </w:tc>
        <w:tc>
          <w:tcPr>
            <w:tcW w:w="0" w:type="auto"/>
            <w:tcBorders>
              <w:top w:val="nil"/>
              <w:left w:val="nil"/>
              <w:bottom w:val="nil"/>
              <w:right w:val="nil"/>
            </w:tcBorders>
            <w:shd w:val="clear" w:color="000000" w:fill="FFC7CE"/>
            <w:noWrap/>
            <w:vAlign w:val="bottom"/>
            <w:hideMark/>
          </w:tcPr>
          <w:p w14:paraId="4865AEEB"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30.6 </w:t>
            </w:r>
          </w:p>
        </w:tc>
        <w:tc>
          <w:tcPr>
            <w:tcW w:w="0" w:type="auto"/>
            <w:tcBorders>
              <w:top w:val="nil"/>
              <w:left w:val="nil"/>
              <w:bottom w:val="nil"/>
              <w:right w:val="nil"/>
            </w:tcBorders>
            <w:shd w:val="clear" w:color="000000" w:fill="FFC7CE"/>
            <w:noWrap/>
            <w:vAlign w:val="bottom"/>
            <w:hideMark/>
          </w:tcPr>
          <w:p w14:paraId="7FF43FB7"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26.2 </w:t>
            </w:r>
          </w:p>
        </w:tc>
        <w:tc>
          <w:tcPr>
            <w:tcW w:w="0" w:type="auto"/>
            <w:tcBorders>
              <w:top w:val="nil"/>
              <w:left w:val="nil"/>
              <w:bottom w:val="nil"/>
              <w:right w:val="nil"/>
            </w:tcBorders>
            <w:shd w:val="clear" w:color="000000" w:fill="FFC7CE"/>
            <w:noWrap/>
            <w:vAlign w:val="bottom"/>
            <w:hideMark/>
          </w:tcPr>
          <w:p w14:paraId="583D4138"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22.9 </w:t>
            </w:r>
          </w:p>
        </w:tc>
        <w:tc>
          <w:tcPr>
            <w:tcW w:w="0" w:type="auto"/>
            <w:tcBorders>
              <w:top w:val="nil"/>
              <w:left w:val="nil"/>
              <w:bottom w:val="nil"/>
              <w:right w:val="nil"/>
            </w:tcBorders>
            <w:shd w:val="clear" w:color="000000" w:fill="FFC7CE"/>
            <w:noWrap/>
            <w:vAlign w:val="bottom"/>
            <w:hideMark/>
          </w:tcPr>
          <w:p w14:paraId="40FBF75B"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20.4 </w:t>
            </w:r>
          </w:p>
        </w:tc>
        <w:tc>
          <w:tcPr>
            <w:tcW w:w="0" w:type="auto"/>
            <w:tcBorders>
              <w:top w:val="nil"/>
              <w:left w:val="nil"/>
              <w:bottom w:val="nil"/>
              <w:right w:val="nil"/>
            </w:tcBorders>
            <w:shd w:val="clear" w:color="000000" w:fill="C6EFCE"/>
            <w:noWrap/>
            <w:vAlign w:val="bottom"/>
            <w:hideMark/>
          </w:tcPr>
          <w:p w14:paraId="1D4D3B1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18.3 </w:t>
            </w:r>
          </w:p>
        </w:tc>
        <w:tc>
          <w:tcPr>
            <w:tcW w:w="0" w:type="auto"/>
            <w:tcBorders>
              <w:top w:val="nil"/>
              <w:left w:val="nil"/>
              <w:bottom w:val="nil"/>
              <w:right w:val="nil"/>
            </w:tcBorders>
            <w:shd w:val="clear" w:color="000000" w:fill="C6EFCE"/>
            <w:noWrap/>
            <w:vAlign w:val="bottom"/>
            <w:hideMark/>
          </w:tcPr>
          <w:p w14:paraId="36E1DEAB"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16.7 </w:t>
            </w:r>
          </w:p>
        </w:tc>
        <w:tc>
          <w:tcPr>
            <w:tcW w:w="0" w:type="auto"/>
            <w:tcBorders>
              <w:top w:val="nil"/>
              <w:left w:val="nil"/>
              <w:bottom w:val="nil"/>
              <w:right w:val="nil"/>
            </w:tcBorders>
            <w:shd w:val="clear" w:color="000000" w:fill="C6EFCE"/>
            <w:noWrap/>
            <w:vAlign w:val="bottom"/>
            <w:hideMark/>
          </w:tcPr>
          <w:p w14:paraId="122807C3"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15.3 </w:t>
            </w:r>
          </w:p>
        </w:tc>
        <w:tc>
          <w:tcPr>
            <w:tcW w:w="0" w:type="auto"/>
            <w:tcBorders>
              <w:top w:val="nil"/>
              <w:left w:val="nil"/>
              <w:bottom w:val="nil"/>
              <w:right w:val="nil"/>
            </w:tcBorders>
            <w:shd w:val="clear" w:color="000000" w:fill="C6EFCE"/>
            <w:noWrap/>
            <w:vAlign w:val="bottom"/>
            <w:hideMark/>
          </w:tcPr>
          <w:p w14:paraId="24BE7BD0"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14.1 </w:t>
            </w:r>
          </w:p>
        </w:tc>
        <w:tc>
          <w:tcPr>
            <w:tcW w:w="0" w:type="auto"/>
            <w:tcBorders>
              <w:top w:val="nil"/>
              <w:left w:val="nil"/>
              <w:bottom w:val="nil"/>
              <w:right w:val="nil"/>
            </w:tcBorders>
            <w:shd w:val="clear" w:color="000000" w:fill="C6EFCE"/>
            <w:noWrap/>
            <w:vAlign w:val="bottom"/>
            <w:hideMark/>
          </w:tcPr>
          <w:p w14:paraId="3AA0A85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13.1 </w:t>
            </w:r>
          </w:p>
        </w:tc>
      </w:tr>
      <w:tr w:rsidR="00280058" w:rsidRPr="002C025E" w14:paraId="7C88BF3A" w14:textId="77777777" w:rsidTr="00BB18F6">
        <w:tc>
          <w:tcPr>
            <w:tcW w:w="0" w:type="auto"/>
            <w:vMerge/>
            <w:tcBorders>
              <w:top w:val="nil"/>
              <w:left w:val="nil"/>
              <w:bottom w:val="nil"/>
              <w:right w:val="nil"/>
            </w:tcBorders>
            <w:vAlign w:val="center"/>
            <w:hideMark/>
          </w:tcPr>
          <w:p w14:paraId="44C2A459"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0" w:type="auto"/>
            <w:tcBorders>
              <w:top w:val="nil"/>
              <w:left w:val="nil"/>
              <w:bottom w:val="nil"/>
              <w:right w:val="nil"/>
            </w:tcBorders>
            <w:shd w:val="clear" w:color="auto" w:fill="auto"/>
            <w:noWrap/>
            <w:vAlign w:val="bottom"/>
            <w:hideMark/>
          </w:tcPr>
          <w:p w14:paraId="7A27C8F7"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0.28</w:t>
            </w:r>
          </w:p>
        </w:tc>
        <w:tc>
          <w:tcPr>
            <w:tcW w:w="0" w:type="auto"/>
            <w:tcBorders>
              <w:top w:val="nil"/>
              <w:left w:val="nil"/>
              <w:bottom w:val="nil"/>
              <w:right w:val="nil"/>
            </w:tcBorders>
            <w:shd w:val="clear" w:color="000000" w:fill="FFC7CE"/>
            <w:noWrap/>
            <w:vAlign w:val="bottom"/>
            <w:hideMark/>
          </w:tcPr>
          <w:p w14:paraId="63559561"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89.6 </w:t>
            </w:r>
          </w:p>
        </w:tc>
        <w:tc>
          <w:tcPr>
            <w:tcW w:w="0" w:type="auto"/>
            <w:tcBorders>
              <w:top w:val="nil"/>
              <w:left w:val="nil"/>
              <w:bottom w:val="nil"/>
              <w:right w:val="nil"/>
            </w:tcBorders>
            <w:shd w:val="clear" w:color="000000" w:fill="FFC7CE"/>
            <w:noWrap/>
            <w:vAlign w:val="bottom"/>
            <w:hideMark/>
          </w:tcPr>
          <w:p w14:paraId="65508892"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58.7 </w:t>
            </w:r>
          </w:p>
        </w:tc>
        <w:tc>
          <w:tcPr>
            <w:tcW w:w="0" w:type="auto"/>
            <w:tcBorders>
              <w:top w:val="nil"/>
              <w:left w:val="nil"/>
              <w:bottom w:val="nil"/>
              <w:right w:val="nil"/>
            </w:tcBorders>
            <w:shd w:val="clear" w:color="000000" w:fill="FFC7CE"/>
            <w:noWrap/>
            <w:vAlign w:val="bottom"/>
            <w:hideMark/>
          </w:tcPr>
          <w:p w14:paraId="5D943D2D"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43.9 </w:t>
            </w:r>
          </w:p>
        </w:tc>
        <w:tc>
          <w:tcPr>
            <w:tcW w:w="0" w:type="auto"/>
            <w:tcBorders>
              <w:top w:val="nil"/>
              <w:left w:val="nil"/>
              <w:bottom w:val="nil"/>
              <w:right w:val="nil"/>
            </w:tcBorders>
            <w:shd w:val="clear" w:color="000000" w:fill="FFC7CE"/>
            <w:noWrap/>
            <w:vAlign w:val="bottom"/>
            <w:hideMark/>
          </w:tcPr>
          <w:p w14:paraId="1AFBD605"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35.1 </w:t>
            </w:r>
          </w:p>
        </w:tc>
        <w:tc>
          <w:tcPr>
            <w:tcW w:w="0" w:type="auto"/>
            <w:tcBorders>
              <w:top w:val="nil"/>
              <w:left w:val="nil"/>
              <w:bottom w:val="nil"/>
              <w:right w:val="nil"/>
            </w:tcBorders>
            <w:shd w:val="clear" w:color="000000" w:fill="FFC7CE"/>
            <w:noWrap/>
            <w:vAlign w:val="bottom"/>
            <w:hideMark/>
          </w:tcPr>
          <w:p w14:paraId="4A4E3C28"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29.3 </w:t>
            </w:r>
          </w:p>
        </w:tc>
        <w:tc>
          <w:tcPr>
            <w:tcW w:w="0" w:type="auto"/>
            <w:tcBorders>
              <w:top w:val="nil"/>
              <w:left w:val="nil"/>
              <w:bottom w:val="nil"/>
              <w:right w:val="nil"/>
            </w:tcBorders>
            <w:shd w:val="clear" w:color="000000" w:fill="FFC7CE"/>
            <w:noWrap/>
            <w:vAlign w:val="bottom"/>
            <w:hideMark/>
          </w:tcPr>
          <w:p w14:paraId="3666A92B"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25.1 </w:t>
            </w:r>
          </w:p>
        </w:tc>
        <w:tc>
          <w:tcPr>
            <w:tcW w:w="0" w:type="auto"/>
            <w:tcBorders>
              <w:top w:val="nil"/>
              <w:left w:val="nil"/>
              <w:bottom w:val="nil"/>
              <w:right w:val="nil"/>
            </w:tcBorders>
            <w:shd w:val="clear" w:color="000000" w:fill="FFC7CE"/>
            <w:noWrap/>
            <w:vAlign w:val="bottom"/>
            <w:hideMark/>
          </w:tcPr>
          <w:p w14:paraId="1B7499E9"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22.0 </w:t>
            </w:r>
          </w:p>
        </w:tc>
        <w:tc>
          <w:tcPr>
            <w:tcW w:w="0" w:type="auto"/>
            <w:tcBorders>
              <w:top w:val="nil"/>
              <w:left w:val="nil"/>
              <w:bottom w:val="nil"/>
              <w:right w:val="nil"/>
            </w:tcBorders>
            <w:shd w:val="clear" w:color="000000" w:fill="C6EFCE"/>
            <w:noWrap/>
            <w:vAlign w:val="bottom"/>
            <w:hideMark/>
          </w:tcPr>
          <w:p w14:paraId="6341377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19.6 </w:t>
            </w:r>
          </w:p>
        </w:tc>
        <w:tc>
          <w:tcPr>
            <w:tcW w:w="0" w:type="auto"/>
            <w:tcBorders>
              <w:top w:val="nil"/>
              <w:left w:val="nil"/>
              <w:bottom w:val="nil"/>
              <w:right w:val="nil"/>
            </w:tcBorders>
            <w:shd w:val="clear" w:color="000000" w:fill="C6EFCE"/>
            <w:noWrap/>
            <w:vAlign w:val="bottom"/>
            <w:hideMark/>
          </w:tcPr>
          <w:p w14:paraId="57F9B66E"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17.6 </w:t>
            </w:r>
          </w:p>
        </w:tc>
        <w:tc>
          <w:tcPr>
            <w:tcW w:w="0" w:type="auto"/>
            <w:tcBorders>
              <w:top w:val="nil"/>
              <w:left w:val="nil"/>
              <w:bottom w:val="nil"/>
              <w:right w:val="nil"/>
            </w:tcBorders>
            <w:shd w:val="clear" w:color="000000" w:fill="C6EFCE"/>
            <w:noWrap/>
            <w:vAlign w:val="bottom"/>
            <w:hideMark/>
          </w:tcPr>
          <w:p w14:paraId="21D890E0"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16.0 </w:t>
            </w:r>
          </w:p>
        </w:tc>
        <w:tc>
          <w:tcPr>
            <w:tcW w:w="0" w:type="auto"/>
            <w:tcBorders>
              <w:top w:val="nil"/>
              <w:left w:val="nil"/>
              <w:bottom w:val="nil"/>
              <w:right w:val="nil"/>
            </w:tcBorders>
            <w:shd w:val="clear" w:color="000000" w:fill="C6EFCE"/>
            <w:noWrap/>
            <w:vAlign w:val="bottom"/>
            <w:hideMark/>
          </w:tcPr>
          <w:p w14:paraId="0C3A9EF8"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14.7 </w:t>
            </w:r>
          </w:p>
        </w:tc>
        <w:tc>
          <w:tcPr>
            <w:tcW w:w="0" w:type="auto"/>
            <w:tcBorders>
              <w:top w:val="nil"/>
              <w:left w:val="nil"/>
              <w:bottom w:val="nil"/>
              <w:right w:val="nil"/>
            </w:tcBorders>
            <w:shd w:val="clear" w:color="000000" w:fill="C6EFCE"/>
            <w:noWrap/>
            <w:vAlign w:val="bottom"/>
            <w:hideMark/>
          </w:tcPr>
          <w:p w14:paraId="3FF14F69"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13.6 </w:t>
            </w:r>
          </w:p>
        </w:tc>
        <w:tc>
          <w:tcPr>
            <w:tcW w:w="0" w:type="auto"/>
            <w:tcBorders>
              <w:top w:val="nil"/>
              <w:left w:val="nil"/>
              <w:bottom w:val="nil"/>
              <w:right w:val="nil"/>
            </w:tcBorders>
            <w:shd w:val="clear" w:color="000000" w:fill="C6EFCE"/>
            <w:noWrap/>
            <w:vAlign w:val="bottom"/>
            <w:hideMark/>
          </w:tcPr>
          <w:p w14:paraId="2780354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12.6 </w:t>
            </w:r>
          </w:p>
        </w:tc>
      </w:tr>
      <w:tr w:rsidR="00280058" w:rsidRPr="002C025E" w14:paraId="687B2DB4" w14:textId="77777777" w:rsidTr="00BB18F6">
        <w:tc>
          <w:tcPr>
            <w:tcW w:w="0" w:type="auto"/>
            <w:vMerge/>
            <w:tcBorders>
              <w:top w:val="nil"/>
              <w:left w:val="nil"/>
              <w:bottom w:val="nil"/>
              <w:right w:val="nil"/>
            </w:tcBorders>
            <w:vAlign w:val="center"/>
            <w:hideMark/>
          </w:tcPr>
          <w:p w14:paraId="251D1D7E"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0" w:type="auto"/>
            <w:tcBorders>
              <w:top w:val="nil"/>
              <w:left w:val="nil"/>
              <w:right w:val="nil"/>
            </w:tcBorders>
            <w:shd w:val="clear" w:color="auto" w:fill="auto"/>
            <w:noWrap/>
            <w:vAlign w:val="bottom"/>
            <w:hideMark/>
          </w:tcPr>
          <w:p w14:paraId="69012358"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0.29</w:t>
            </w:r>
          </w:p>
        </w:tc>
        <w:tc>
          <w:tcPr>
            <w:tcW w:w="0" w:type="auto"/>
            <w:tcBorders>
              <w:top w:val="nil"/>
              <w:left w:val="nil"/>
              <w:bottom w:val="nil"/>
              <w:right w:val="nil"/>
            </w:tcBorders>
            <w:shd w:val="clear" w:color="000000" w:fill="FFC7CE"/>
            <w:noWrap/>
            <w:vAlign w:val="bottom"/>
            <w:hideMark/>
          </w:tcPr>
          <w:p w14:paraId="6BB5C620"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84.8 </w:t>
            </w:r>
          </w:p>
        </w:tc>
        <w:tc>
          <w:tcPr>
            <w:tcW w:w="0" w:type="auto"/>
            <w:tcBorders>
              <w:top w:val="nil"/>
              <w:left w:val="nil"/>
              <w:bottom w:val="nil"/>
              <w:right w:val="nil"/>
            </w:tcBorders>
            <w:shd w:val="clear" w:color="000000" w:fill="FFC7CE"/>
            <w:noWrap/>
            <w:vAlign w:val="bottom"/>
            <w:hideMark/>
          </w:tcPr>
          <w:p w14:paraId="377EADB1"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56.0 </w:t>
            </w:r>
          </w:p>
        </w:tc>
        <w:tc>
          <w:tcPr>
            <w:tcW w:w="0" w:type="auto"/>
            <w:tcBorders>
              <w:top w:val="nil"/>
              <w:left w:val="nil"/>
              <w:bottom w:val="nil"/>
              <w:right w:val="nil"/>
            </w:tcBorders>
            <w:shd w:val="clear" w:color="000000" w:fill="FFC7CE"/>
            <w:noWrap/>
            <w:vAlign w:val="bottom"/>
            <w:hideMark/>
          </w:tcPr>
          <w:p w14:paraId="11DA20B7"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42.0 </w:t>
            </w:r>
          </w:p>
        </w:tc>
        <w:tc>
          <w:tcPr>
            <w:tcW w:w="0" w:type="auto"/>
            <w:tcBorders>
              <w:top w:val="nil"/>
              <w:left w:val="nil"/>
              <w:bottom w:val="nil"/>
              <w:right w:val="nil"/>
            </w:tcBorders>
            <w:shd w:val="clear" w:color="000000" w:fill="FFC7CE"/>
            <w:noWrap/>
            <w:vAlign w:val="bottom"/>
            <w:hideMark/>
          </w:tcPr>
          <w:p w14:paraId="7825D5E8"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33.7 </w:t>
            </w:r>
          </w:p>
        </w:tc>
        <w:tc>
          <w:tcPr>
            <w:tcW w:w="0" w:type="auto"/>
            <w:tcBorders>
              <w:top w:val="nil"/>
              <w:left w:val="nil"/>
              <w:bottom w:val="nil"/>
              <w:right w:val="nil"/>
            </w:tcBorders>
            <w:shd w:val="clear" w:color="000000" w:fill="FFC7CE"/>
            <w:noWrap/>
            <w:vAlign w:val="bottom"/>
            <w:hideMark/>
          </w:tcPr>
          <w:p w14:paraId="5E8C25C8"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28.1 </w:t>
            </w:r>
          </w:p>
        </w:tc>
        <w:tc>
          <w:tcPr>
            <w:tcW w:w="0" w:type="auto"/>
            <w:tcBorders>
              <w:top w:val="nil"/>
              <w:left w:val="nil"/>
              <w:bottom w:val="nil"/>
              <w:right w:val="nil"/>
            </w:tcBorders>
            <w:shd w:val="clear" w:color="000000" w:fill="FFC7CE"/>
            <w:noWrap/>
            <w:vAlign w:val="bottom"/>
            <w:hideMark/>
          </w:tcPr>
          <w:p w14:paraId="41925747"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24.2 </w:t>
            </w:r>
          </w:p>
        </w:tc>
        <w:tc>
          <w:tcPr>
            <w:tcW w:w="0" w:type="auto"/>
            <w:tcBorders>
              <w:top w:val="nil"/>
              <w:left w:val="nil"/>
              <w:bottom w:val="nil"/>
              <w:right w:val="nil"/>
            </w:tcBorders>
            <w:shd w:val="clear" w:color="000000" w:fill="FFC7CE"/>
            <w:noWrap/>
            <w:vAlign w:val="bottom"/>
            <w:hideMark/>
          </w:tcPr>
          <w:p w14:paraId="262B0EAB"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21.2 </w:t>
            </w:r>
          </w:p>
        </w:tc>
        <w:tc>
          <w:tcPr>
            <w:tcW w:w="0" w:type="auto"/>
            <w:tcBorders>
              <w:top w:val="nil"/>
              <w:left w:val="nil"/>
              <w:bottom w:val="nil"/>
              <w:right w:val="nil"/>
            </w:tcBorders>
            <w:shd w:val="clear" w:color="000000" w:fill="C6EFCE"/>
            <w:noWrap/>
            <w:vAlign w:val="bottom"/>
            <w:hideMark/>
          </w:tcPr>
          <w:p w14:paraId="5CDE81B9"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18.8 </w:t>
            </w:r>
          </w:p>
        </w:tc>
        <w:tc>
          <w:tcPr>
            <w:tcW w:w="0" w:type="auto"/>
            <w:tcBorders>
              <w:top w:val="nil"/>
              <w:left w:val="nil"/>
              <w:bottom w:val="nil"/>
              <w:right w:val="nil"/>
            </w:tcBorders>
            <w:shd w:val="clear" w:color="000000" w:fill="C6EFCE"/>
            <w:noWrap/>
            <w:vAlign w:val="bottom"/>
            <w:hideMark/>
          </w:tcPr>
          <w:p w14:paraId="5F237A9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17.0 </w:t>
            </w:r>
          </w:p>
        </w:tc>
        <w:tc>
          <w:tcPr>
            <w:tcW w:w="0" w:type="auto"/>
            <w:tcBorders>
              <w:top w:val="nil"/>
              <w:left w:val="nil"/>
              <w:bottom w:val="nil"/>
              <w:right w:val="nil"/>
            </w:tcBorders>
            <w:shd w:val="clear" w:color="000000" w:fill="C6EFCE"/>
            <w:noWrap/>
            <w:vAlign w:val="bottom"/>
            <w:hideMark/>
          </w:tcPr>
          <w:p w14:paraId="6F239BCB"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15.4 </w:t>
            </w:r>
          </w:p>
        </w:tc>
        <w:tc>
          <w:tcPr>
            <w:tcW w:w="0" w:type="auto"/>
            <w:tcBorders>
              <w:top w:val="nil"/>
              <w:left w:val="nil"/>
              <w:bottom w:val="nil"/>
              <w:right w:val="nil"/>
            </w:tcBorders>
            <w:shd w:val="clear" w:color="000000" w:fill="C6EFCE"/>
            <w:noWrap/>
            <w:vAlign w:val="bottom"/>
            <w:hideMark/>
          </w:tcPr>
          <w:p w14:paraId="441CB4E1"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14.2 </w:t>
            </w:r>
          </w:p>
        </w:tc>
        <w:tc>
          <w:tcPr>
            <w:tcW w:w="0" w:type="auto"/>
            <w:tcBorders>
              <w:top w:val="nil"/>
              <w:left w:val="nil"/>
              <w:bottom w:val="nil"/>
              <w:right w:val="nil"/>
            </w:tcBorders>
            <w:shd w:val="clear" w:color="000000" w:fill="C6EFCE"/>
            <w:noWrap/>
            <w:vAlign w:val="bottom"/>
            <w:hideMark/>
          </w:tcPr>
          <w:p w14:paraId="1C53F89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13.1 </w:t>
            </w:r>
          </w:p>
        </w:tc>
        <w:tc>
          <w:tcPr>
            <w:tcW w:w="0" w:type="auto"/>
            <w:tcBorders>
              <w:top w:val="nil"/>
              <w:left w:val="nil"/>
              <w:bottom w:val="nil"/>
              <w:right w:val="nil"/>
            </w:tcBorders>
            <w:shd w:val="clear" w:color="000000" w:fill="C6EFCE"/>
            <w:noWrap/>
            <w:vAlign w:val="bottom"/>
            <w:hideMark/>
          </w:tcPr>
          <w:p w14:paraId="5C73FB43"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12.2 </w:t>
            </w:r>
          </w:p>
        </w:tc>
      </w:tr>
      <w:tr w:rsidR="00280058" w:rsidRPr="002C025E" w14:paraId="62ABF3AB" w14:textId="77777777" w:rsidTr="00BB18F6">
        <w:tc>
          <w:tcPr>
            <w:tcW w:w="0" w:type="auto"/>
            <w:vMerge/>
            <w:tcBorders>
              <w:top w:val="nil"/>
              <w:left w:val="nil"/>
              <w:bottom w:val="nil"/>
              <w:right w:val="nil"/>
            </w:tcBorders>
            <w:vAlign w:val="center"/>
            <w:hideMark/>
          </w:tcPr>
          <w:p w14:paraId="58952F9A"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0" w:type="auto"/>
            <w:tcBorders>
              <w:top w:val="nil"/>
              <w:left w:val="nil"/>
              <w:bottom w:val="nil"/>
              <w:right w:val="nil"/>
            </w:tcBorders>
            <w:shd w:val="clear" w:color="auto" w:fill="auto"/>
            <w:noWrap/>
            <w:vAlign w:val="bottom"/>
            <w:hideMark/>
          </w:tcPr>
          <w:p w14:paraId="6E4FFF49"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0.30</w:t>
            </w:r>
          </w:p>
        </w:tc>
        <w:tc>
          <w:tcPr>
            <w:tcW w:w="0" w:type="auto"/>
            <w:tcBorders>
              <w:top w:val="nil"/>
              <w:left w:val="nil"/>
              <w:bottom w:val="nil"/>
              <w:right w:val="nil"/>
            </w:tcBorders>
            <w:shd w:val="clear" w:color="000000" w:fill="FFC7CE"/>
            <w:noWrap/>
            <w:vAlign w:val="bottom"/>
            <w:hideMark/>
          </w:tcPr>
          <w:p w14:paraId="0E017348"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80.4 </w:t>
            </w:r>
          </w:p>
        </w:tc>
        <w:tc>
          <w:tcPr>
            <w:tcW w:w="0" w:type="auto"/>
            <w:tcBorders>
              <w:top w:val="nil"/>
              <w:left w:val="nil"/>
              <w:bottom w:val="nil"/>
              <w:right w:val="nil"/>
            </w:tcBorders>
            <w:shd w:val="clear" w:color="000000" w:fill="FFC7CE"/>
            <w:noWrap/>
            <w:vAlign w:val="bottom"/>
            <w:hideMark/>
          </w:tcPr>
          <w:p w14:paraId="68B04A06"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53.5 </w:t>
            </w:r>
          </w:p>
        </w:tc>
        <w:tc>
          <w:tcPr>
            <w:tcW w:w="0" w:type="auto"/>
            <w:tcBorders>
              <w:top w:val="nil"/>
              <w:left w:val="nil"/>
              <w:bottom w:val="nil"/>
              <w:right w:val="nil"/>
            </w:tcBorders>
            <w:shd w:val="clear" w:color="000000" w:fill="FFC7CE"/>
            <w:noWrap/>
            <w:vAlign w:val="bottom"/>
            <w:hideMark/>
          </w:tcPr>
          <w:p w14:paraId="4E14C336"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40.3 </w:t>
            </w:r>
          </w:p>
        </w:tc>
        <w:tc>
          <w:tcPr>
            <w:tcW w:w="0" w:type="auto"/>
            <w:tcBorders>
              <w:top w:val="nil"/>
              <w:left w:val="nil"/>
              <w:bottom w:val="nil"/>
              <w:right w:val="nil"/>
            </w:tcBorders>
            <w:shd w:val="clear" w:color="000000" w:fill="FFC7CE"/>
            <w:noWrap/>
            <w:vAlign w:val="bottom"/>
            <w:hideMark/>
          </w:tcPr>
          <w:p w14:paraId="0D91D233"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32.4 </w:t>
            </w:r>
          </w:p>
        </w:tc>
        <w:tc>
          <w:tcPr>
            <w:tcW w:w="0" w:type="auto"/>
            <w:tcBorders>
              <w:top w:val="nil"/>
              <w:left w:val="nil"/>
              <w:bottom w:val="nil"/>
              <w:right w:val="nil"/>
            </w:tcBorders>
            <w:shd w:val="clear" w:color="000000" w:fill="FFC7CE"/>
            <w:noWrap/>
            <w:vAlign w:val="bottom"/>
            <w:hideMark/>
          </w:tcPr>
          <w:p w14:paraId="2E39B15D"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27.1 </w:t>
            </w:r>
          </w:p>
        </w:tc>
        <w:tc>
          <w:tcPr>
            <w:tcW w:w="0" w:type="auto"/>
            <w:tcBorders>
              <w:top w:val="nil"/>
              <w:left w:val="nil"/>
              <w:bottom w:val="nil"/>
              <w:right w:val="nil"/>
            </w:tcBorders>
            <w:shd w:val="clear" w:color="000000" w:fill="FFC7CE"/>
            <w:noWrap/>
            <w:vAlign w:val="bottom"/>
            <w:hideMark/>
          </w:tcPr>
          <w:p w14:paraId="76561785"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23.2 </w:t>
            </w:r>
          </w:p>
        </w:tc>
        <w:tc>
          <w:tcPr>
            <w:tcW w:w="0" w:type="auto"/>
            <w:tcBorders>
              <w:top w:val="nil"/>
              <w:left w:val="nil"/>
              <w:bottom w:val="nil"/>
              <w:right w:val="nil"/>
            </w:tcBorders>
            <w:shd w:val="clear" w:color="000000" w:fill="FFC7CE"/>
            <w:noWrap/>
            <w:vAlign w:val="bottom"/>
            <w:hideMark/>
          </w:tcPr>
          <w:p w14:paraId="5FD1483E"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20.4 </w:t>
            </w:r>
          </w:p>
        </w:tc>
        <w:tc>
          <w:tcPr>
            <w:tcW w:w="0" w:type="auto"/>
            <w:tcBorders>
              <w:top w:val="nil"/>
              <w:left w:val="nil"/>
              <w:bottom w:val="nil"/>
              <w:right w:val="nil"/>
            </w:tcBorders>
            <w:shd w:val="clear" w:color="000000" w:fill="C6EFCE"/>
            <w:noWrap/>
            <w:vAlign w:val="bottom"/>
            <w:hideMark/>
          </w:tcPr>
          <w:p w14:paraId="7ACD6755"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18.1 </w:t>
            </w:r>
          </w:p>
        </w:tc>
        <w:tc>
          <w:tcPr>
            <w:tcW w:w="0" w:type="auto"/>
            <w:tcBorders>
              <w:top w:val="nil"/>
              <w:left w:val="nil"/>
              <w:bottom w:val="nil"/>
              <w:right w:val="nil"/>
            </w:tcBorders>
            <w:shd w:val="clear" w:color="000000" w:fill="C6EFCE"/>
            <w:noWrap/>
            <w:vAlign w:val="bottom"/>
            <w:hideMark/>
          </w:tcPr>
          <w:p w14:paraId="35022EE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16.4 </w:t>
            </w:r>
          </w:p>
        </w:tc>
        <w:tc>
          <w:tcPr>
            <w:tcW w:w="0" w:type="auto"/>
            <w:tcBorders>
              <w:top w:val="nil"/>
              <w:left w:val="nil"/>
              <w:bottom w:val="nil"/>
              <w:right w:val="nil"/>
            </w:tcBorders>
            <w:shd w:val="clear" w:color="000000" w:fill="C6EFCE"/>
            <w:noWrap/>
            <w:vAlign w:val="bottom"/>
            <w:hideMark/>
          </w:tcPr>
          <w:p w14:paraId="2FCE13A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14.9 </w:t>
            </w:r>
          </w:p>
        </w:tc>
        <w:tc>
          <w:tcPr>
            <w:tcW w:w="0" w:type="auto"/>
            <w:tcBorders>
              <w:top w:val="nil"/>
              <w:left w:val="nil"/>
              <w:bottom w:val="nil"/>
              <w:right w:val="nil"/>
            </w:tcBorders>
            <w:shd w:val="clear" w:color="000000" w:fill="C6EFCE"/>
            <w:noWrap/>
            <w:vAlign w:val="bottom"/>
            <w:hideMark/>
          </w:tcPr>
          <w:p w14:paraId="0FD5EA28"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13.7 </w:t>
            </w:r>
          </w:p>
        </w:tc>
        <w:tc>
          <w:tcPr>
            <w:tcW w:w="0" w:type="auto"/>
            <w:tcBorders>
              <w:top w:val="nil"/>
              <w:left w:val="nil"/>
              <w:bottom w:val="nil"/>
              <w:right w:val="nil"/>
            </w:tcBorders>
            <w:shd w:val="clear" w:color="000000" w:fill="C6EFCE"/>
            <w:noWrap/>
            <w:vAlign w:val="bottom"/>
            <w:hideMark/>
          </w:tcPr>
          <w:p w14:paraId="1C84C23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12.6 </w:t>
            </w:r>
          </w:p>
        </w:tc>
        <w:tc>
          <w:tcPr>
            <w:tcW w:w="0" w:type="auto"/>
            <w:tcBorders>
              <w:top w:val="nil"/>
              <w:left w:val="nil"/>
              <w:bottom w:val="nil"/>
              <w:right w:val="nil"/>
            </w:tcBorders>
            <w:shd w:val="clear" w:color="000000" w:fill="C6EFCE"/>
            <w:noWrap/>
            <w:vAlign w:val="bottom"/>
            <w:hideMark/>
          </w:tcPr>
          <w:p w14:paraId="2C1CA9D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11.7 </w:t>
            </w:r>
          </w:p>
        </w:tc>
      </w:tr>
      <w:tr w:rsidR="00280058" w:rsidRPr="002C025E" w14:paraId="570416CD" w14:textId="77777777" w:rsidTr="00BB18F6">
        <w:tc>
          <w:tcPr>
            <w:tcW w:w="0" w:type="auto"/>
            <w:vMerge/>
            <w:tcBorders>
              <w:top w:val="nil"/>
              <w:left w:val="nil"/>
              <w:bottom w:val="nil"/>
              <w:right w:val="nil"/>
            </w:tcBorders>
            <w:vAlign w:val="center"/>
            <w:hideMark/>
          </w:tcPr>
          <w:p w14:paraId="79AFD629"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0" w:type="auto"/>
            <w:tcBorders>
              <w:top w:val="nil"/>
              <w:left w:val="nil"/>
              <w:bottom w:val="nil"/>
              <w:right w:val="nil"/>
            </w:tcBorders>
            <w:shd w:val="clear" w:color="auto" w:fill="auto"/>
            <w:noWrap/>
            <w:vAlign w:val="bottom"/>
            <w:hideMark/>
          </w:tcPr>
          <w:p w14:paraId="69B7EA70" w14:textId="77777777" w:rsidR="00280058" w:rsidRPr="00F527BB" w:rsidRDefault="00280058" w:rsidP="00BB18F6">
            <w:pPr>
              <w:spacing w:after="0" w:line="240" w:lineRule="auto"/>
              <w:jc w:val="right"/>
              <w:rPr>
                <w:rFonts w:ascii="Arial" w:eastAsia="Times New Roman" w:hAnsi="Arial" w:cs="Arial"/>
                <w:b/>
                <w:bCs/>
                <w:sz w:val="18"/>
                <w:szCs w:val="18"/>
                <w:lang w:val="lt-LT" w:eastAsia="lt-LT"/>
              </w:rPr>
            </w:pPr>
            <w:r w:rsidRPr="00F527BB">
              <w:rPr>
                <w:rFonts w:ascii="Arial" w:eastAsia="Times New Roman" w:hAnsi="Arial" w:cs="Arial"/>
                <w:b/>
                <w:bCs/>
                <w:sz w:val="18"/>
                <w:szCs w:val="18"/>
                <w:lang w:val="lt-LT" w:eastAsia="lt-LT"/>
              </w:rPr>
              <w:t>0.31</w:t>
            </w:r>
          </w:p>
        </w:tc>
        <w:tc>
          <w:tcPr>
            <w:tcW w:w="0" w:type="auto"/>
            <w:tcBorders>
              <w:top w:val="nil"/>
              <w:left w:val="nil"/>
              <w:bottom w:val="nil"/>
              <w:right w:val="nil"/>
            </w:tcBorders>
            <w:shd w:val="clear" w:color="000000" w:fill="FFC7CE"/>
            <w:noWrap/>
            <w:vAlign w:val="bottom"/>
            <w:hideMark/>
          </w:tcPr>
          <w:p w14:paraId="4FA9BB27"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76.5 </w:t>
            </w:r>
          </w:p>
        </w:tc>
        <w:tc>
          <w:tcPr>
            <w:tcW w:w="0" w:type="auto"/>
            <w:tcBorders>
              <w:top w:val="nil"/>
              <w:left w:val="nil"/>
              <w:bottom w:val="nil"/>
              <w:right w:val="nil"/>
            </w:tcBorders>
            <w:shd w:val="clear" w:color="000000" w:fill="FFC7CE"/>
            <w:noWrap/>
            <w:vAlign w:val="bottom"/>
            <w:hideMark/>
          </w:tcPr>
          <w:p w14:paraId="3D7DB9A9"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51.3 </w:t>
            </w:r>
          </w:p>
        </w:tc>
        <w:tc>
          <w:tcPr>
            <w:tcW w:w="0" w:type="auto"/>
            <w:tcBorders>
              <w:top w:val="nil"/>
              <w:left w:val="nil"/>
              <w:bottom w:val="nil"/>
              <w:right w:val="nil"/>
            </w:tcBorders>
            <w:shd w:val="clear" w:color="000000" w:fill="FFC7CE"/>
            <w:noWrap/>
            <w:vAlign w:val="bottom"/>
            <w:hideMark/>
          </w:tcPr>
          <w:p w14:paraId="1B4850DA"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38.7 </w:t>
            </w:r>
          </w:p>
        </w:tc>
        <w:tc>
          <w:tcPr>
            <w:tcW w:w="0" w:type="auto"/>
            <w:tcBorders>
              <w:top w:val="nil"/>
              <w:left w:val="nil"/>
              <w:bottom w:val="nil"/>
              <w:right w:val="nil"/>
            </w:tcBorders>
            <w:shd w:val="clear" w:color="000000" w:fill="FFC7CE"/>
            <w:noWrap/>
            <w:vAlign w:val="bottom"/>
            <w:hideMark/>
          </w:tcPr>
          <w:p w14:paraId="40528779"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31.1 </w:t>
            </w:r>
          </w:p>
        </w:tc>
        <w:tc>
          <w:tcPr>
            <w:tcW w:w="0" w:type="auto"/>
            <w:tcBorders>
              <w:top w:val="nil"/>
              <w:left w:val="nil"/>
              <w:bottom w:val="nil"/>
              <w:right w:val="nil"/>
            </w:tcBorders>
            <w:shd w:val="clear" w:color="000000" w:fill="FFC7CE"/>
            <w:noWrap/>
            <w:vAlign w:val="bottom"/>
            <w:hideMark/>
          </w:tcPr>
          <w:p w14:paraId="3924035A"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26.1 </w:t>
            </w:r>
          </w:p>
        </w:tc>
        <w:tc>
          <w:tcPr>
            <w:tcW w:w="0" w:type="auto"/>
            <w:tcBorders>
              <w:top w:val="nil"/>
              <w:left w:val="nil"/>
              <w:bottom w:val="nil"/>
              <w:right w:val="nil"/>
            </w:tcBorders>
            <w:shd w:val="clear" w:color="000000" w:fill="FFC7CE"/>
            <w:noWrap/>
            <w:vAlign w:val="bottom"/>
            <w:hideMark/>
          </w:tcPr>
          <w:p w14:paraId="35A157BB"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22.4 </w:t>
            </w:r>
          </w:p>
        </w:tc>
        <w:tc>
          <w:tcPr>
            <w:tcW w:w="0" w:type="auto"/>
            <w:tcBorders>
              <w:top w:val="nil"/>
              <w:left w:val="nil"/>
              <w:bottom w:val="nil"/>
              <w:right w:val="nil"/>
            </w:tcBorders>
            <w:shd w:val="clear" w:color="000000" w:fill="C6EFCE"/>
            <w:noWrap/>
            <w:vAlign w:val="bottom"/>
            <w:hideMark/>
          </w:tcPr>
          <w:p w14:paraId="09AF781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19.7 </w:t>
            </w:r>
          </w:p>
        </w:tc>
        <w:tc>
          <w:tcPr>
            <w:tcW w:w="0" w:type="auto"/>
            <w:tcBorders>
              <w:top w:val="nil"/>
              <w:left w:val="nil"/>
              <w:bottom w:val="nil"/>
              <w:right w:val="nil"/>
            </w:tcBorders>
            <w:shd w:val="clear" w:color="000000" w:fill="C6EFCE"/>
            <w:noWrap/>
            <w:vAlign w:val="bottom"/>
            <w:hideMark/>
          </w:tcPr>
          <w:p w14:paraId="2B9E5442"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17.5 </w:t>
            </w:r>
          </w:p>
        </w:tc>
        <w:tc>
          <w:tcPr>
            <w:tcW w:w="0" w:type="auto"/>
            <w:tcBorders>
              <w:top w:val="nil"/>
              <w:left w:val="nil"/>
              <w:bottom w:val="nil"/>
              <w:right w:val="nil"/>
            </w:tcBorders>
            <w:shd w:val="clear" w:color="000000" w:fill="C6EFCE"/>
            <w:noWrap/>
            <w:vAlign w:val="bottom"/>
            <w:hideMark/>
          </w:tcPr>
          <w:p w14:paraId="74133C45"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15.8 </w:t>
            </w:r>
          </w:p>
        </w:tc>
        <w:tc>
          <w:tcPr>
            <w:tcW w:w="0" w:type="auto"/>
            <w:tcBorders>
              <w:top w:val="nil"/>
              <w:left w:val="nil"/>
              <w:bottom w:val="nil"/>
              <w:right w:val="nil"/>
            </w:tcBorders>
            <w:shd w:val="clear" w:color="000000" w:fill="C6EFCE"/>
            <w:noWrap/>
            <w:vAlign w:val="bottom"/>
            <w:hideMark/>
          </w:tcPr>
          <w:p w14:paraId="20FC0A2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14.4 </w:t>
            </w:r>
          </w:p>
        </w:tc>
        <w:tc>
          <w:tcPr>
            <w:tcW w:w="0" w:type="auto"/>
            <w:tcBorders>
              <w:top w:val="nil"/>
              <w:left w:val="nil"/>
              <w:bottom w:val="nil"/>
              <w:right w:val="nil"/>
            </w:tcBorders>
            <w:shd w:val="clear" w:color="000000" w:fill="C6EFCE"/>
            <w:noWrap/>
            <w:vAlign w:val="bottom"/>
            <w:hideMark/>
          </w:tcPr>
          <w:p w14:paraId="001EEB11"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13.2 </w:t>
            </w:r>
          </w:p>
        </w:tc>
        <w:tc>
          <w:tcPr>
            <w:tcW w:w="0" w:type="auto"/>
            <w:tcBorders>
              <w:top w:val="nil"/>
              <w:left w:val="nil"/>
              <w:bottom w:val="nil"/>
              <w:right w:val="nil"/>
            </w:tcBorders>
            <w:shd w:val="clear" w:color="000000" w:fill="C6EFCE"/>
            <w:noWrap/>
            <w:vAlign w:val="bottom"/>
            <w:hideMark/>
          </w:tcPr>
          <w:p w14:paraId="3D2C9DAE"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12.2 </w:t>
            </w:r>
          </w:p>
        </w:tc>
        <w:tc>
          <w:tcPr>
            <w:tcW w:w="0" w:type="auto"/>
            <w:tcBorders>
              <w:top w:val="nil"/>
              <w:left w:val="nil"/>
              <w:bottom w:val="nil"/>
              <w:right w:val="nil"/>
            </w:tcBorders>
            <w:shd w:val="clear" w:color="000000" w:fill="C6EFCE"/>
            <w:noWrap/>
            <w:vAlign w:val="bottom"/>
            <w:hideMark/>
          </w:tcPr>
          <w:p w14:paraId="73A9E005"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11.3 </w:t>
            </w:r>
          </w:p>
        </w:tc>
      </w:tr>
      <w:tr w:rsidR="00280058" w:rsidRPr="002C025E" w14:paraId="59A54F83" w14:textId="77777777" w:rsidTr="00BB18F6">
        <w:tc>
          <w:tcPr>
            <w:tcW w:w="0" w:type="auto"/>
            <w:vMerge/>
            <w:tcBorders>
              <w:top w:val="nil"/>
              <w:left w:val="nil"/>
              <w:bottom w:val="nil"/>
              <w:right w:val="nil"/>
            </w:tcBorders>
            <w:vAlign w:val="center"/>
            <w:hideMark/>
          </w:tcPr>
          <w:p w14:paraId="52EBA165"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0" w:type="auto"/>
            <w:tcBorders>
              <w:top w:val="nil"/>
              <w:left w:val="nil"/>
              <w:bottom w:val="nil"/>
              <w:right w:val="nil"/>
            </w:tcBorders>
            <w:shd w:val="clear" w:color="auto" w:fill="auto"/>
            <w:noWrap/>
            <w:vAlign w:val="bottom"/>
            <w:hideMark/>
          </w:tcPr>
          <w:p w14:paraId="349B8140"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0.32</w:t>
            </w:r>
          </w:p>
        </w:tc>
        <w:tc>
          <w:tcPr>
            <w:tcW w:w="0" w:type="auto"/>
            <w:tcBorders>
              <w:top w:val="nil"/>
              <w:left w:val="nil"/>
              <w:bottom w:val="nil"/>
              <w:right w:val="nil"/>
            </w:tcBorders>
            <w:shd w:val="clear" w:color="000000" w:fill="FFC7CE"/>
            <w:noWrap/>
            <w:vAlign w:val="bottom"/>
            <w:hideMark/>
          </w:tcPr>
          <w:p w14:paraId="4CBA3AC2"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73.0 </w:t>
            </w:r>
          </w:p>
        </w:tc>
        <w:tc>
          <w:tcPr>
            <w:tcW w:w="0" w:type="auto"/>
            <w:tcBorders>
              <w:top w:val="nil"/>
              <w:left w:val="nil"/>
              <w:bottom w:val="nil"/>
              <w:right w:val="nil"/>
            </w:tcBorders>
            <w:shd w:val="clear" w:color="000000" w:fill="FFC7CE"/>
            <w:noWrap/>
            <w:vAlign w:val="bottom"/>
            <w:hideMark/>
          </w:tcPr>
          <w:p w14:paraId="1F6CFB65"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49.2 </w:t>
            </w:r>
          </w:p>
        </w:tc>
        <w:tc>
          <w:tcPr>
            <w:tcW w:w="0" w:type="auto"/>
            <w:tcBorders>
              <w:top w:val="nil"/>
              <w:left w:val="nil"/>
              <w:bottom w:val="nil"/>
              <w:right w:val="nil"/>
            </w:tcBorders>
            <w:shd w:val="clear" w:color="000000" w:fill="FFC7CE"/>
            <w:noWrap/>
            <w:vAlign w:val="bottom"/>
            <w:hideMark/>
          </w:tcPr>
          <w:p w14:paraId="32F52024"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37.3 </w:t>
            </w:r>
          </w:p>
        </w:tc>
        <w:tc>
          <w:tcPr>
            <w:tcW w:w="0" w:type="auto"/>
            <w:tcBorders>
              <w:top w:val="nil"/>
              <w:left w:val="nil"/>
              <w:bottom w:val="nil"/>
              <w:right w:val="nil"/>
            </w:tcBorders>
            <w:shd w:val="clear" w:color="000000" w:fill="FFC7CE"/>
            <w:noWrap/>
            <w:vAlign w:val="bottom"/>
            <w:hideMark/>
          </w:tcPr>
          <w:p w14:paraId="00DEE5BD"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30.0 </w:t>
            </w:r>
          </w:p>
        </w:tc>
        <w:tc>
          <w:tcPr>
            <w:tcW w:w="0" w:type="auto"/>
            <w:tcBorders>
              <w:top w:val="nil"/>
              <w:left w:val="nil"/>
              <w:bottom w:val="nil"/>
              <w:right w:val="nil"/>
            </w:tcBorders>
            <w:shd w:val="clear" w:color="000000" w:fill="FFC7CE"/>
            <w:noWrap/>
            <w:vAlign w:val="bottom"/>
            <w:hideMark/>
          </w:tcPr>
          <w:p w14:paraId="02204347"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25.1 </w:t>
            </w:r>
          </w:p>
        </w:tc>
        <w:tc>
          <w:tcPr>
            <w:tcW w:w="0" w:type="auto"/>
            <w:tcBorders>
              <w:top w:val="nil"/>
              <w:left w:val="nil"/>
              <w:bottom w:val="nil"/>
              <w:right w:val="nil"/>
            </w:tcBorders>
            <w:shd w:val="clear" w:color="000000" w:fill="FFC7CE"/>
            <w:noWrap/>
            <w:vAlign w:val="bottom"/>
            <w:hideMark/>
          </w:tcPr>
          <w:p w14:paraId="2AC1B670"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21.6 </w:t>
            </w:r>
          </w:p>
        </w:tc>
        <w:tc>
          <w:tcPr>
            <w:tcW w:w="0" w:type="auto"/>
            <w:tcBorders>
              <w:top w:val="nil"/>
              <w:left w:val="nil"/>
              <w:bottom w:val="nil"/>
              <w:right w:val="nil"/>
            </w:tcBorders>
            <w:shd w:val="clear" w:color="000000" w:fill="C6EFCE"/>
            <w:noWrap/>
            <w:vAlign w:val="bottom"/>
            <w:hideMark/>
          </w:tcPr>
          <w:p w14:paraId="6480BC2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19.0 </w:t>
            </w:r>
          </w:p>
        </w:tc>
        <w:tc>
          <w:tcPr>
            <w:tcW w:w="0" w:type="auto"/>
            <w:tcBorders>
              <w:top w:val="nil"/>
              <w:left w:val="nil"/>
              <w:bottom w:val="nil"/>
              <w:right w:val="nil"/>
            </w:tcBorders>
            <w:shd w:val="clear" w:color="000000" w:fill="C6EFCE"/>
            <w:noWrap/>
            <w:vAlign w:val="bottom"/>
            <w:hideMark/>
          </w:tcPr>
          <w:p w14:paraId="39BE8D4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16.9 </w:t>
            </w:r>
          </w:p>
        </w:tc>
        <w:tc>
          <w:tcPr>
            <w:tcW w:w="0" w:type="auto"/>
            <w:tcBorders>
              <w:top w:val="nil"/>
              <w:left w:val="nil"/>
              <w:bottom w:val="nil"/>
              <w:right w:val="nil"/>
            </w:tcBorders>
            <w:shd w:val="clear" w:color="000000" w:fill="C6EFCE"/>
            <w:noWrap/>
            <w:vAlign w:val="bottom"/>
            <w:hideMark/>
          </w:tcPr>
          <w:p w14:paraId="5E3EB701"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15.3 </w:t>
            </w:r>
          </w:p>
        </w:tc>
        <w:tc>
          <w:tcPr>
            <w:tcW w:w="0" w:type="auto"/>
            <w:tcBorders>
              <w:top w:val="nil"/>
              <w:left w:val="nil"/>
              <w:bottom w:val="nil"/>
              <w:right w:val="nil"/>
            </w:tcBorders>
            <w:shd w:val="clear" w:color="000000" w:fill="C6EFCE"/>
            <w:noWrap/>
            <w:vAlign w:val="bottom"/>
            <w:hideMark/>
          </w:tcPr>
          <w:p w14:paraId="26FF95E1"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13.9 </w:t>
            </w:r>
          </w:p>
        </w:tc>
        <w:tc>
          <w:tcPr>
            <w:tcW w:w="0" w:type="auto"/>
            <w:tcBorders>
              <w:top w:val="nil"/>
              <w:left w:val="nil"/>
              <w:bottom w:val="nil"/>
              <w:right w:val="nil"/>
            </w:tcBorders>
            <w:shd w:val="clear" w:color="000000" w:fill="C6EFCE"/>
            <w:noWrap/>
            <w:vAlign w:val="bottom"/>
            <w:hideMark/>
          </w:tcPr>
          <w:p w14:paraId="36259D86"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12.7 </w:t>
            </w:r>
          </w:p>
        </w:tc>
        <w:tc>
          <w:tcPr>
            <w:tcW w:w="0" w:type="auto"/>
            <w:tcBorders>
              <w:top w:val="nil"/>
              <w:left w:val="nil"/>
              <w:bottom w:val="nil"/>
              <w:right w:val="nil"/>
            </w:tcBorders>
            <w:shd w:val="clear" w:color="000000" w:fill="C6EFCE"/>
            <w:noWrap/>
            <w:vAlign w:val="bottom"/>
            <w:hideMark/>
          </w:tcPr>
          <w:p w14:paraId="5C18EDC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11.8 </w:t>
            </w:r>
          </w:p>
        </w:tc>
        <w:tc>
          <w:tcPr>
            <w:tcW w:w="0" w:type="auto"/>
            <w:tcBorders>
              <w:top w:val="nil"/>
              <w:left w:val="nil"/>
              <w:bottom w:val="nil"/>
              <w:right w:val="nil"/>
            </w:tcBorders>
            <w:shd w:val="clear" w:color="000000" w:fill="C6EFCE"/>
            <w:noWrap/>
            <w:vAlign w:val="bottom"/>
            <w:hideMark/>
          </w:tcPr>
          <w:p w14:paraId="4366CBCD"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11.0 </w:t>
            </w:r>
          </w:p>
        </w:tc>
      </w:tr>
      <w:tr w:rsidR="00280058" w:rsidRPr="002C025E" w14:paraId="721A98ED" w14:textId="77777777" w:rsidTr="00BB18F6">
        <w:tc>
          <w:tcPr>
            <w:tcW w:w="0" w:type="auto"/>
            <w:vMerge/>
            <w:tcBorders>
              <w:top w:val="nil"/>
              <w:left w:val="nil"/>
              <w:bottom w:val="nil"/>
              <w:right w:val="nil"/>
            </w:tcBorders>
            <w:vAlign w:val="center"/>
            <w:hideMark/>
          </w:tcPr>
          <w:p w14:paraId="35E83ED7"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0" w:type="auto"/>
            <w:tcBorders>
              <w:top w:val="nil"/>
              <w:left w:val="nil"/>
              <w:bottom w:val="nil"/>
              <w:right w:val="nil"/>
            </w:tcBorders>
            <w:shd w:val="clear" w:color="auto" w:fill="auto"/>
            <w:noWrap/>
            <w:vAlign w:val="bottom"/>
            <w:hideMark/>
          </w:tcPr>
          <w:p w14:paraId="29BF8750"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0.33</w:t>
            </w:r>
          </w:p>
        </w:tc>
        <w:tc>
          <w:tcPr>
            <w:tcW w:w="0" w:type="auto"/>
            <w:tcBorders>
              <w:top w:val="nil"/>
              <w:left w:val="nil"/>
              <w:bottom w:val="nil"/>
              <w:right w:val="nil"/>
            </w:tcBorders>
            <w:shd w:val="clear" w:color="000000" w:fill="FFC7CE"/>
            <w:noWrap/>
            <w:vAlign w:val="bottom"/>
            <w:hideMark/>
          </w:tcPr>
          <w:p w14:paraId="33B6CD4C"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69.8 </w:t>
            </w:r>
          </w:p>
        </w:tc>
        <w:tc>
          <w:tcPr>
            <w:tcW w:w="0" w:type="auto"/>
            <w:tcBorders>
              <w:top w:val="nil"/>
              <w:left w:val="nil"/>
              <w:bottom w:val="nil"/>
              <w:right w:val="nil"/>
            </w:tcBorders>
            <w:shd w:val="clear" w:color="000000" w:fill="FFC7CE"/>
            <w:noWrap/>
            <w:vAlign w:val="bottom"/>
            <w:hideMark/>
          </w:tcPr>
          <w:p w14:paraId="06EEB029"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47.3 </w:t>
            </w:r>
          </w:p>
        </w:tc>
        <w:tc>
          <w:tcPr>
            <w:tcW w:w="0" w:type="auto"/>
            <w:tcBorders>
              <w:top w:val="nil"/>
              <w:left w:val="nil"/>
              <w:bottom w:val="nil"/>
              <w:right w:val="nil"/>
            </w:tcBorders>
            <w:shd w:val="clear" w:color="000000" w:fill="FFC7CE"/>
            <w:noWrap/>
            <w:vAlign w:val="bottom"/>
            <w:hideMark/>
          </w:tcPr>
          <w:p w14:paraId="0DE8B651"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35.9 </w:t>
            </w:r>
          </w:p>
        </w:tc>
        <w:tc>
          <w:tcPr>
            <w:tcW w:w="0" w:type="auto"/>
            <w:tcBorders>
              <w:top w:val="nil"/>
              <w:left w:val="nil"/>
              <w:bottom w:val="nil"/>
              <w:right w:val="nil"/>
            </w:tcBorders>
            <w:shd w:val="clear" w:color="000000" w:fill="FFC7CE"/>
            <w:noWrap/>
            <w:vAlign w:val="bottom"/>
            <w:hideMark/>
          </w:tcPr>
          <w:p w14:paraId="33A6F55A"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29.0 </w:t>
            </w:r>
          </w:p>
        </w:tc>
        <w:tc>
          <w:tcPr>
            <w:tcW w:w="0" w:type="auto"/>
            <w:tcBorders>
              <w:top w:val="nil"/>
              <w:left w:val="nil"/>
              <w:bottom w:val="nil"/>
              <w:right w:val="nil"/>
            </w:tcBorders>
            <w:shd w:val="clear" w:color="000000" w:fill="FFC7CE"/>
            <w:noWrap/>
            <w:vAlign w:val="bottom"/>
            <w:hideMark/>
          </w:tcPr>
          <w:p w14:paraId="271F52D1"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24.3 </w:t>
            </w:r>
          </w:p>
        </w:tc>
        <w:tc>
          <w:tcPr>
            <w:tcW w:w="0" w:type="auto"/>
            <w:tcBorders>
              <w:top w:val="nil"/>
              <w:left w:val="nil"/>
              <w:bottom w:val="nil"/>
              <w:right w:val="nil"/>
            </w:tcBorders>
            <w:shd w:val="clear" w:color="000000" w:fill="FFC7CE"/>
            <w:noWrap/>
            <w:vAlign w:val="bottom"/>
            <w:hideMark/>
          </w:tcPr>
          <w:p w14:paraId="77B8DC96"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20.9 </w:t>
            </w:r>
          </w:p>
        </w:tc>
        <w:tc>
          <w:tcPr>
            <w:tcW w:w="0" w:type="auto"/>
            <w:tcBorders>
              <w:top w:val="nil"/>
              <w:left w:val="nil"/>
              <w:bottom w:val="nil"/>
              <w:right w:val="nil"/>
            </w:tcBorders>
            <w:shd w:val="clear" w:color="000000" w:fill="C6EFCE"/>
            <w:noWrap/>
            <w:vAlign w:val="bottom"/>
            <w:hideMark/>
          </w:tcPr>
          <w:p w14:paraId="09F35D55"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18.3 </w:t>
            </w:r>
          </w:p>
        </w:tc>
        <w:tc>
          <w:tcPr>
            <w:tcW w:w="0" w:type="auto"/>
            <w:tcBorders>
              <w:top w:val="nil"/>
              <w:left w:val="nil"/>
              <w:bottom w:val="nil"/>
              <w:right w:val="nil"/>
            </w:tcBorders>
            <w:shd w:val="clear" w:color="000000" w:fill="C6EFCE"/>
            <w:noWrap/>
            <w:vAlign w:val="bottom"/>
            <w:hideMark/>
          </w:tcPr>
          <w:p w14:paraId="58503CA6"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16.4 </w:t>
            </w:r>
          </w:p>
        </w:tc>
        <w:tc>
          <w:tcPr>
            <w:tcW w:w="0" w:type="auto"/>
            <w:tcBorders>
              <w:top w:val="nil"/>
              <w:left w:val="nil"/>
              <w:bottom w:val="nil"/>
              <w:right w:val="nil"/>
            </w:tcBorders>
            <w:shd w:val="clear" w:color="000000" w:fill="C6EFCE"/>
            <w:noWrap/>
            <w:vAlign w:val="bottom"/>
            <w:hideMark/>
          </w:tcPr>
          <w:p w14:paraId="1933A40B"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14.8 </w:t>
            </w:r>
          </w:p>
        </w:tc>
        <w:tc>
          <w:tcPr>
            <w:tcW w:w="0" w:type="auto"/>
            <w:tcBorders>
              <w:top w:val="nil"/>
              <w:left w:val="nil"/>
              <w:bottom w:val="nil"/>
              <w:right w:val="nil"/>
            </w:tcBorders>
            <w:shd w:val="clear" w:color="000000" w:fill="C6EFCE"/>
            <w:noWrap/>
            <w:vAlign w:val="bottom"/>
            <w:hideMark/>
          </w:tcPr>
          <w:p w14:paraId="6D28F783"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13.4 </w:t>
            </w:r>
          </w:p>
        </w:tc>
        <w:tc>
          <w:tcPr>
            <w:tcW w:w="0" w:type="auto"/>
            <w:tcBorders>
              <w:top w:val="nil"/>
              <w:left w:val="nil"/>
              <w:bottom w:val="nil"/>
              <w:right w:val="nil"/>
            </w:tcBorders>
            <w:shd w:val="clear" w:color="000000" w:fill="C6EFCE"/>
            <w:noWrap/>
            <w:vAlign w:val="bottom"/>
            <w:hideMark/>
          </w:tcPr>
          <w:p w14:paraId="57AC3B4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12.3 </w:t>
            </w:r>
          </w:p>
        </w:tc>
        <w:tc>
          <w:tcPr>
            <w:tcW w:w="0" w:type="auto"/>
            <w:tcBorders>
              <w:top w:val="nil"/>
              <w:left w:val="nil"/>
              <w:bottom w:val="nil"/>
              <w:right w:val="nil"/>
            </w:tcBorders>
            <w:shd w:val="clear" w:color="000000" w:fill="C6EFCE"/>
            <w:noWrap/>
            <w:vAlign w:val="bottom"/>
            <w:hideMark/>
          </w:tcPr>
          <w:p w14:paraId="056BC33B"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11.4 </w:t>
            </w:r>
          </w:p>
        </w:tc>
        <w:tc>
          <w:tcPr>
            <w:tcW w:w="0" w:type="auto"/>
            <w:tcBorders>
              <w:top w:val="nil"/>
              <w:left w:val="nil"/>
              <w:bottom w:val="nil"/>
              <w:right w:val="nil"/>
            </w:tcBorders>
            <w:shd w:val="clear" w:color="000000" w:fill="C6EFCE"/>
            <w:noWrap/>
            <w:vAlign w:val="bottom"/>
            <w:hideMark/>
          </w:tcPr>
          <w:p w14:paraId="122D6223"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10.6 </w:t>
            </w:r>
          </w:p>
        </w:tc>
      </w:tr>
      <w:tr w:rsidR="00280058" w:rsidRPr="002C025E" w14:paraId="6CDBCE2D" w14:textId="77777777" w:rsidTr="00BB18F6">
        <w:tc>
          <w:tcPr>
            <w:tcW w:w="0" w:type="auto"/>
            <w:vMerge/>
            <w:tcBorders>
              <w:top w:val="nil"/>
              <w:left w:val="nil"/>
              <w:bottom w:val="nil"/>
              <w:right w:val="nil"/>
            </w:tcBorders>
            <w:vAlign w:val="center"/>
            <w:hideMark/>
          </w:tcPr>
          <w:p w14:paraId="0169AF7E"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0" w:type="auto"/>
            <w:tcBorders>
              <w:top w:val="nil"/>
              <w:left w:val="nil"/>
              <w:bottom w:val="nil"/>
              <w:right w:val="nil"/>
            </w:tcBorders>
            <w:shd w:val="clear" w:color="auto" w:fill="auto"/>
            <w:noWrap/>
            <w:vAlign w:val="bottom"/>
            <w:hideMark/>
          </w:tcPr>
          <w:p w14:paraId="4E7E1DC2"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0.34</w:t>
            </w:r>
          </w:p>
        </w:tc>
        <w:tc>
          <w:tcPr>
            <w:tcW w:w="0" w:type="auto"/>
            <w:tcBorders>
              <w:top w:val="nil"/>
              <w:left w:val="nil"/>
              <w:bottom w:val="nil"/>
              <w:right w:val="nil"/>
            </w:tcBorders>
            <w:shd w:val="clear" w:color="000000" w:fill="FFC7CE"/>
            <w:noWrap/>
            <w:vAlign w:val="bottom"/>
            <w:hideMark/>
          </w:tcPr>
          <w:p w14:paraId="57488307"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66.9 </w:t>
            </w:r>
          </w:p>
        </w:tc>
        <w:tc>
          <w:tcPr>
            <w:tcW w:w="0" w:type="auto"/>
            <w:tcBorders>
              <w:top w:val="nil"/>
              <w:left w:val="nil"/>
              <w:bottom w:val="nil"/>
              <w:right w:val="nil"/>
            </w:tcBorders>
            <w:shd w:val="clear" w:color="000000" w:fill="FFC7CE"/>
            <w:noWrap/>
            <w:vAlign w:val="bottom"/>
            <w:hideMark/>
          </w:tcPr>
          <w:p w14:paraId="13D789E6"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45.6 </w:t>
            </w:r>
          </w:p>
        </w:tc>
        <w:tc>
          <w:tcPr>
            <w:tcW w:w="0" w:type="auto"/>
            <w:tcBorders>
              <w:top w:val="nil"/>
              <w:left w:val="nil"/>
              <w:bottom w:val="nil"/>
              <w:right w:val="nil"/>
            </w:tcBorders>
            <w:shd w:val="clear" w:color="000000" w:fill="FFC7CE"/>
            <w:noWrap/>
            <w:vAlign w:val="bottom"/>
            <w:hideMark/>
          </w:tcPr>
          <w:p w14:paraId="4ED1F4AD"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34.6 </w:t>
            </w:r>
          </w:p>
        </w:tc>
        <w:tc>
          <w:tcPr>
            <w:tcW w:w="0" w:type="auto"/>
            <w:tcBorders>
              <w:top w:val="nil"/>
              <w:left w:val="nil"/>
              <w:bottom w:val="nil"/>
              <w:right w:val="nil"/>
            </w:tcBorders>
            <w:shd w:val="clear" w:color="000000" w:fill="FFC7CE"/>
            <w:noWrap/>
            <w:vAlign w:val="bottom"/>
            <w:hideMark/>
          </w:tcPr>
          <w:p w14:paraId="67A46C8F"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28.0 </w:t>
            </w:r>
          </w:p>
        </w:tc>
        <w:tc>
          <w:tcPr>
            <w:tcW w:w="0" w:type="auto"/>
            <w:tcBorders>
              <w:top w:val="nil"/>
              <w:left w:val="nil"/>
              <w:bottom w:val="nil"/>
              <w:right w:val="nil"/>
            </w:tcBorders>
            <w:shd w:val="clear" w:color="000000" w:fill="FFC7CE"/>
            <w:noWrap/>
            <w:vAlign w:val="bottom"/>
            <w:hideMark/>
          </w:tcPr>
          <w:p w14:paraId="29E59061"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23.5 </w:t>
            </w:r>
          </w:p>
        </w:tc>
        <w:tc>
          <w:tcPr>
            <w:tcW w:w="0" w:type="auto"/>
            <w:tcBorders>
              <w:top w:val="nil"/>
              <w:left w:val="nil"/>
              <w:bottom w:val="nil"/>
              <w:right w:val="nil"/>
            </w:tcBorders>
            <w:shd w:val="clear" w:color="000000" w:fill="FFC7CE"/>
            <w:noWrap/>
            <w:vAlign w:val="bottom"/>
            <w:hideMark/>
          </w:tcPr>
          <w:p w14:paraId="66E09853"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20.2 </w:t>
            </w:r>
          </w:p>
        </w:tc>
        <w:tc>
          <w:tcPr>
            <w:tcW w:w="0" w:type="auto"/>
            <w:tcBorders>
              <w:top w:val="nil"/>
              <w:left w:val="nil"/>
              <w:bottom w:val="nil"/>
              <w:right w:val="nil"/>
            </w:tcBorders>
            <w:shd w:val="clear" w:color="000000" w:fill="C6EFCE"/>
            <w:noWrap/>
            <w:vAlign w:val="bottom"/>
            <w:hideMark/>
          </w:tcPr>
          <w:p w14:paraId="5140A61B"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17.8 </w:t>
            </w:r>
          </w:p>
        </w:tc>
        <w:tc>
          <w:tcPr>
            <w:tcW w:w="0" w:type="auto"/>
            <w:tcBorders>
              <w:top w:val="nil"/>
              <w:left w:val="nil"/>
              <w:bottom w:val="nil"/>
              <w:right w:val="nil"/>
            </w:tcBorders>
            <w:shd w:val="clear" w:color="000000" w:fill="C6EFCE"/>
            <w:noWrap/>
            <w:vAlign w:val="bottom"/>
            <w:hideMark/>
          </w:tcPr>
          <w:p w14:paraId="3831409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15.8 </w:t>
            </w:r>
          </w:p>
        </w:tc>
        <w:tc>
          <w:tcPr>
            <w:tcW w:w="0" w:type="auto"/>
            <w:tcBorders>
              <w:top w:val="nil"/>
              <w:left w:val="nil"/>
              <w:bottom w:val="nil"/>
              <w:right w:val="nil"/>
            </w:tcBorders>
            <w:shd w:val="clear" w:color="000000" w:fill="C6EFCE"/>
            <w:noWrap/>
            <w:vAlign w:val="bottom"/>
            <w:hideMark/>
          </w:tcPr>
          <w:p w14:paraId="5488829A"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14.3 </w:t>
            </w:r>
          </w:p>
        </w:tc>
        <w:tc>
          <w:tcPr>
            <w:tcW w:w="0" w:type="auto"/>
            <w:tcBorders>
              <w:top w:val="nil"/>
              <w:left w:val="nil"/>
              <w:bottom w:val="nil"/>
              <w:right w:val="nil"/>
            </w:tcBorders>
            <w:shd w:val="clear" w:color="000000" w:fill="C6EFCE"/>
            <w:noWrap/>
            <w:vAlign w:val="bottom"/>
            <w:hideMark/>
          </w:tcPr>
          <w:p w14:paraId="1407374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13.0 </w:t>
            </w:r>
          </w:p>
        </w:tc>
        <w:tc>
          <w:tcPr>
            <w:tcW w:w="0" w:type="auto"/>
            <w:tcBorders>
              <w:top w:val="nil"/>
              <w:left w:val="nil"/>
              <w:bottom w:val="nil"/>
              <w:right w:val="nil"/>
            </w:tcBorders>
            <w:shd w:val="clear" w:color="000000" w:fill="C6EFCE"/>
            <w:noWrap/>
            <w:vAlign w:val="bottom"/>
            <w:hideMark/>
          </w:tcPr>
          <w:p w14:paraId="73E120EB"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12.0 </w:t>
            </w:r>
          </w:p>
        </w:tc>
        <w:tc>
          <w:tcPr>
            <w:tcW w:w="0" w:type="auto"/>
            <w:tcBorders>
              <w:top w:val="nil"/>
              <w:left w:val="nil"/>
              <w:bottom w:val="nil"/>
              <w:right w:val="nil"/>
            </w:tcBorders>
            <w:shd w:val="clear" w:color="000000" w:fill="C6EFCE"/>
            <w:noWrap/>
            <w:vAlign w:val="bottom"/>
            <w:hideMark/>
          </w:tcPr>
          <w:p w14:paraId="1EB8CE0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11.1 </w:t>
            </w:r>
          </w:p>
        </w:tc>
        <w:tc>
          <w:tcPr>
            <w:tcW w:w="0" w:type="auto"/>
            <w:tcBorders>
              <w:top w:val="nil"/>
              <w:left w:val="nil"/>
              <w:bottom w:val="nil"/>
              <w:right w:val="nil"/>
            </w:tcBorders>
            <w:shd w:val="clear" w:color="000000" w:fill="C6EFCE"/>
            <w:noWrap/>
            <w:vAlign w:val="bottom"/>
            <w:hideMark/>
          </w:tcPr>
          <w:p w14:paraId="32C5E480"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10.3 </w:t>
            </w:r>
          </w:p>
        </w:tc>
      </w:tr>
      <w:tr w:rsidR="00280058" w:rsidRPr="002C025E" w14:paraId="67D57AD7" w14:textId="77777777" w:rsidTr="00BB18F6">
        <w:tc>
          <w:tcPr>
            <w:tcW w:w="0" w:type="auto"/>
            <w:vMerge/>
            <w:tcBorders>
              <w:top w:val="nil"/>
              <w:left w:val="nil"/>
              <w:bottom w:val="nil"/>
              <w:right w:val="nil"/>
            </w:tcBorders>
            <w:vAlign w:val="center"/>
            <w:hideMark/>
          </w:tcPr>
          <w:p w14:paraId="47817FB8"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0" w:type="auto"/>
            <w:tcBorders>
              <w:top w:val="nil"/>
              <w:left w:val="nil"/>
              <w:bottom w:val="nil"/>
              <w:right w:val="nil"/>
            </w:tcBorders>
            <w:shd w:val="clear" w:color="auto" w:fill="auto"/>
            <w:noWrap/>
            <w:vAlign w:val="bottom"/>
            <w:hideMark/>
          </w:tcPr>
          <w:p w14:paraId="4E0D9AEC"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0.35</w:t>
            </w:r>
          </w:p>
        </w:tc>
        <w:tc>
          <w:tcPr>
            <w:tcW w:w="0" w:type="auto"/>
            <w:tcBorders>
              <w:top w:val="nil"/>
              <w:left w:val="nil"/>
              <w:bottom w:val="nil"/>
              <w:right w:val="nil"/>
            </w:tcBorders>
            <w:shd w:val="clear" w:color="000000" w:fill="FFC7CE"/>
            <w:noWrap/>
            <w:vAlign w:val="bottom"/>
            <w:hideMark/>
          </w:tcPr>
          <w:p w14:paraId="7AFD2AD8"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64.2 </w:t>
            </w:r>
          </w:p>
        </w:tc>
        <w:tc>
          <w:tcPr>
            <w:tcW w:w="0" w:type="auto"/>
            <w:tcBorders>
              <w:top w:val="nil"/>
              <w:left w:val="nil"/>
              <w:bottom w:val="nil"/>
              <w:right w:val="nil"/>
            </w:tcBorders>
            <w:shd w:val="clear" w:color="000000" w:fill="FFC7CE"/>
            <w:noWrap/>
            <w:vAlign w:val="bottom"/>
            <w:hideMark/>
          </w:tcPr>
          <w:p w14:paraId="5D619BE0"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43.9 </w:t>
            </w:r>
          </w:p>
        </w:tc>
        <w:tc>
          <w:tcPr>
            <w:tcW w:w="0" w:type="auto"/>
            <w:tcBorders>
              <w:top w:val="nil"/>
              <w:left w:val="nil"/>
              <w:bottom w:val="nil"/>
              <w:right w:val="nil"/>
            </w:tcBorders>
            <w:shd w:val="clear" w:color="000000" w:fill="FFC7CE"/>
            <w:noWrap/>
            <w:vAlign w:val="bottom"/>
            <w:hideMark/>
          </w:tcPr>
          <w:p w14:paraId="04A5C083"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33.5 </w:t>
            </w:r>
          </w:p>
        </w:tc>
        <w:tc>
          <w:tcPr>
            <w:tcW w:w="0" w:type="auto"/>
            <w:tcBorders>
              <w:top w:val="nil"/>
              <w:left w:val="nil"/>
              <w:bottom w:val="nil"/>
              <w:right w:val="nil"/>
            </w:tcBorders>
            <w:shd w:val="clear" w:color="000000" w:fill="FFC7CE"/>
            <w:noWrap/>
            <w:vAlign w:val="bottom"/>
            <w:hideMark/>
          </w:tcPr>
          <w:p w14:paraId="65D716C9"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27.1 </w:t>
            </w:r>
          </w:p>
        </w:tc>
        <w:tc>
          <w:tcPr>
            <w:tcW w:w="0" w:type="auto"/>
            <w:tcBorders>
              <w:top w:val="nil"/>
              <w:left w:val="nil"/>
              <w:bottom w:val="nil"/>
              <w:right w:val="nil"/>
            </w:tcBorders>
            <w:shd w:val="clear" w:color="000000" w:fill="FFC7CE"/>
            <w:noWrap/>
            <w:vAlign w:val="bottom"/>
            <w:hideMark/>
          </w:tcPr>
          <w:p w14:paraId="07921BE0"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22.7 </w:t>
            </w:r>
          </w:p>
        </w:tc>
        <w:tc>
          <w:tcPr>
            <w:tcW w:w="0" w:type="auto"/>
            <w:tcBorders>
              <w:top w:val="nil"/>
              <w:left w:val="nil"/>
              <w:bottom w:val="nil"/>
              <w:right w:val="nil"/>
            </w:tcBorders>
            <w:shd w:val="clear" w:color="000000" w:fill="C6EFCE"/>
            <w:noWrap/>
            <w:vAlign w:val="bottom"/>
            <w:hideMark/>
          </w:tcPr>
          <w:p w14:paraId="0B4427B6"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19.6 </w:t>
            </w:r>
          </w:p>
        </w:tc>
        <w:tc>
          <w:tcPr>
            <w:tcW w:w="0" w:type="auto"/>
            <w:tcBorders>
              <w:top w:val="nil"/>
              <w:left w:val="nil"/>
              <w:bottom w:val="nil"/>
              <w:right w:val="nil"/>
            </w:tcBorders>
            <w:shd w:val="clear" w:color="000000" w:fill="C6EFCE"/>
            <w:noWrap/>
            <w:vAlign w:val="bottom"/>
            <w:hideMark/>
          </w:tcPr>
          <w:p w14:paraId="50B42198"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17.2 </w:t>
            </w:r>
          </w:p>
        </w:tc>
        <w:tc>
          <w:tcPr>
            <w:tcW w:w="0" w:type="auto"/>
            <w:tcBorders>
              <w:top w:val="nil"/>
              <w:left w:val="nil"/>
              <w:bottom w:val="nil"/>
              <w:right w:val="nil"/>
            </w:tcBorders>
            <w:shd w:val="clear" w:color="000000" w:fill="C6EFCE"/>
            <w:noWrap/>
            <w:vAlign w:val="bottom"/>
            <w:hideMark/>
          </w:tcPr>
          <w:p w14:paraId="2979B211"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15.3 </w:t>
            </w:r>
          </w:p>
        </w:tc>
        <w:tc>
          <w:tcPr>
            <w:tcW w:w="0" w:type="auto"/>
            <w:tcBorders>
              <w:top w:val="nil"/>
              <w:left w:val="nil"/>
              <w:bottom w:val="nil"/>
              <w:right w:val="nil"/>
            </w:tcBorders>
            <w:shd w:val="clear" w:color="000000" w:fill="C6EFCE"/>
            <w:noWrap/>
            <w:vAlign w:val="bottom"/>
            <w:hideMark/>
          </w:tcPr>
          <w:p w14:paraId="3CB0F49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13.9 </w:t>
            </w:r>
          </w:p>
        </w:tc>
        <w:tc>
          <w:tcPr>
            <w:tcW w:w="0" w:type="auto"/>
            <w:tcBorders>
              <w:top w:val="nil"/>
              <w:left w:val="nil"/>
              <w:bottom w:val="nil"/>
              <w:right w:val="nil"/>
            </w:tcBorders>
            <w:shd w:val="clear" w:color="000000" w:fill="C6EFCE"/>
            <w:noWrap/>
            <w:vAlign w:val="bottom"/>
            <w:hideMark/>
          </w:tcPr>
          <w:p w14:paraId="6BA42A75"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12.6 </w:t>
            </w:r>
          </w:p>
        </w:tc>
        <w:tc>
          <w:tcPr>
            <w:tcW w:w="0" w:type="auto"/>
            <w:tcBorders>
              <w:top w:val="nil"/>
              <w:left w:val="nil"/>
              <w:bottom w:val="nil"/>
              <w:right w:val="nil"/>
            </w:tcBorders>
            <w:shd w:val="clear" w:color="000000" w:fill="C6EFCE"/>
            <w:noWrap/>
            <w:vAlign w:val="bottom"/>
            <w:hideMark/>
          </w:tcPr>
          <w:p w14:paraId="13FDB009"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11.6 </w:t>
            </w:r>
          </w:p>
        </w:tc>
        <w:tc>
          <w:tcPr>
            <w:tcW w:w="0" w:type="auto"/>
            <w:tcBorders>
              <w:top w:val="nil"/>
              <w:left w:val="nil"/>
              <w:bottom w:val="nil"/>
              <w:right w:val="nil"/>
            </w:tcBorders>
            <w:shd w:val="clear" w:color="000000" w:fill="C6EFCE"/>
            <w:noWrap/>
            <w:vAlign w:val="bottom"/>
            <w:hideMark/>
          </w:tcPr>
          <w:p w14:paraId="0657018B"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10.7 </w:t>
            </w:r>
          </w:p>
        </w:tc>
        <w:tc>
          <w:tcPr>
            <w:tcW w:w="0" w:type="auto"/>
            <w:tcBorders>
              <w:top w:val="nil"/>
              <w:left w:val="nil"/>
              <w:bottom w:val="nil"/>
              <w:right w:val="nil"/>
            </w:tcBorders>
            <w:shd w:val="clear" w:color="000000" w:fill="C6EFCE"/>
            <w:noWrap/>
            <w:vAlign w:val="bottom"/>
            <w:hideMark/>
          </w:tcPr>
          <w:p w14:paraId="52E2F4C8"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10.0 </w:t>
            </w:r>
          </w:p>
        </w:tc>
      </w:tr>
      <w:tr w:rsidR="00280058" w:rsidRPr="002C025E" w14:paraId="5F56562D" w14:textId="77777777" w:rsidTr="00BB18F6">
        <w:tc>
          <w:tcPr>
            <w:tcW w:w="0" w:type="auto"/>
            <w:vMerge/>
            <w:tcBorders>
              <w:top w:val="nil"/>
              <w:left w:val="nil"/>
              <w:bottom w:val="nil"/>
              <w:right w:val="nil"/>
            </w:tcBorders>
            <w:vAlign w:val="center"/>
            <w:hideMark/>
          </w:tcPr>
          <w:p w14:paraId="03D67050"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0" w:type="auto"/>
            <w:tcBorders>
              <w:top w:val="nil"/>
              <w:left w:val="nil"/>
              <w:bottom w:val="nil"/>
              <w:right w:val="nil"/>
            </w:tcBorders>
            <w:shd w:val="clear" w:color="auto" w:fill="auto"/>
            <w:noWrap/>
            <w:vAlign w:val="bottom"/>
            <w:hideMark/>
          </w:tcPr>
          <w:p w14:paraId="549F573F"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0.36</w:t>
            </w:r>
          </w:p>
        </w:tc>
        <w:tc>
          <w:tcPr>
            <w:tcW w:w="0" w:type="auto"/>
            <w:tcBorders>
              <w:top w:val="nil"/>
              <w:left w:val="nil"/>
              <w:bottom w:val="nil"/>
              <w:right w:val="nil"/>
            </w:tcBorders>
            <w:shd w:val="clear" w:color="000000" w:fill="FFC7CE"/>
            <w:noWrap/>
            <w:vAlign w:val="bottom"/>
            <w:hideMark/>
          </w:tcPr>
          <w:p w14:paraId="7FE2EFD6"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61.7 </w:t>
            </w:r>
          </w:p>
        </w:tc>
        <w:tc>
          <w:tcPr>
            <w:tcW w:w="0" w:type="auto"/>
            <w:tcBorders>
              <w:top w:val="nil"/>
              <w:left w:val="nil"/>
              <w:bottom w:val="nil"/>
              <w:right w:val="nil"/>
            </w:tcBorders>
            <w:shd w:val="clear" w:color="000000" w:fill="FFC7CE"/>
            <w:noWrap/>
            <w:vAlign w:val="bottom"/>
            <w:hideMark/>
          </w:tcPr>
          <w:p w14:paraId="4017F0C9"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42.4 </w:t>
            </w:r>
          </w:p>
        </w:tc>
        <w:tc>
          <w:tcPr>
            <w:tcW w:w="0" w:type="auto"/>
            <w:tcBorders>
              <w:top w:val="nil"/>
              <w:left w:val="nil"/>
              <w:bottom w:val="nil"/>
              <w:right w:val="nil"/>
            </w:tcBorders>
            <w:shd w:val="clear" w:color="000000" w:fill="FFC7CE"/>
            <w:noWrap/>
            <w:vAlign w:val="bottom"/>
            <w:hideMark/>
          </w:tcPr>
          <w:p w14:paraId="717D153A"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32.4 </w:t>
            </w:r>
          </w:p>
        </w:tc>
        <w:tc>
          <w:tcPr>
            <w:tcW w:w="0" w:type="auto"/>
            <w:tcBorders>
              <w:top w:val="nil"/>
              <w:left w:val="nil"/>
              <w:bottom w:val="nil"/>
              <w:right w:val="nil"/>
            </w:tcBorders>
            <w:shd w:val="clear" w:color="000000" w:fill="FFC7CE"/>
            <w:noWrap/>
            <w:vAlign w:val="bottom"/>
            <w:hideMark/>
          </w:tcPr>
          <w:p w14:paraId="66A4337A"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26.2 </w:t>
            </w:r>
          </w:p>
        </w:tc>
        <w:tc>
          <w:tcPr>
            <w:tcW w:w="0" w:type="auto"/>
            <w:tcBorders>
              <w:top w:val="nil"/>
              <w:left w:val="nil"/>
              <w:bottom w:val="nil"/>
              <w:right w:val="nil"/>
            </w:tcBorders>
            <w:shd w:val="clear" w:color="000000" w:fill="FFC7CE"/>
            <w:noWrap/>
            <w:vAlign w:val="bottom"/>
            <w:hideMark/>
          </w:tcPr>
          <w:p w14:paraId="4457AE41"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22.0 </w:t>
            </w:r>
          </w:p>
        </w:tc>
        <w:tc>
          <w:tcPr>
            <w:tcW w:w="0" w:type="auto"/>
            <w:tcBorders>
              <w:top w:val="nil"/>
              <w:left w:val="nil"/>
              <w:bottom w:val="nil"/>
              <w:right w:val="nil"/>
            </w:tcBorders>
            <w:shd w:val="clear" w:color="000000" w:fill="C6EFCE"/>
            <w:noWrap/>
            <w:vAlign w:val="bottom"/>
            <w:hideMark/>
          </w:tcPr>
          <w:p w14:paraId="72C4D2C5"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19.0 </w:t>
            </w:r>
          </w:p>
        </w:tc>
        <w:tc>
          <w:tcPr>
            <w:tcW w:w="0" w:type="auto"/>
            <w:tcBorders>
              <w:top w:val="nil"/>
              <w:left w:val="nil"/>
              <w:bottom w:val="nil"/>
              <w:right w:val="nil"/>
            </w:tcBorders>
            <w:shd w:val="clear" w:color="000000" w:fill="C6EFCE"/>
            <w:noWrap/>
            <w:vAlign w:val="bottom"/>
            <w:hideMark/>
          </w:tcPr>
          <w:p w14:paraId="03D6C3A2"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16.7 </w:t>
            </w:r>
          </w:p>
        </w:tc>
        <w:tc>
          <w:tcPr>
            <w:tcW w:w="0" w:type="auto"/>
            <w:tcBorders>
              <w:top w:val="nil"/>
              <w:left w:val="nil"/>
              <w:bottom w:val="nil"/>
              <w:right w:val="nil"/>
            </w:tcBorders>
            <w:shd w:val="clear" w:color="000000" w:fill="C6EFCE"/>
            <w:noWrap/>
            <w:vAlign w:val="bottom"/>
            <w:hideMark/>
          </w:tcPr>
          <w:p w14:paraId="611BDF43"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14.9 </w:t>
            </w:r>
          </w:p>
        </w:tc>
        <w:tc>
          <w:tcPr>
            <w:tcW w:w="0" w:type="auto"/>
            <w:tcBorders>
              <w:top w:val="nil"/>
              <w:left w:val="nil"/>
              <w:bottom w:val="nil"/>
              <w:right w:val="nil"/>
            </w:tcBorders>
            <w:shd w:val="clear" w:color="000000" w:fill="C6EFCE"/>
            <w:noWrap/>
            <w:vAlign w:val="bottom"/>
            <w:hideMark/>
          </w:tcPr>
          <w:p w14:paraId="0550FD23"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13.4 </w:t>
            </w:r>
          </w:p>
        </w:tc>
        <w:tc>
          <w:tcPr>
            <w:tcW w:w="0" w:type="auto"/>
            <w:tcBorders>
              <w:top w:val="nil"/>
              <w:left w:val="nil"/>
              <w:bottom w:val="nil"/>
              <w:right w:val="nil"/>
            </w:tcBorders>
            <w:shd w:val="clear" w:color="000000" w:fill="C6EFCE"/>
            <w:noWrap/>
            <w:vAlign w:val="bottom"/>
            <w:hideMark/>
          </w:tcPr>
          <w:p w14:paraId="0F0BDB7E"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12.2 </w:t>
            </w:r>
          </w:p>
        </w:tc>
        <w:tc>
          <w:tcPr>
            <w:tcW w:w="0" w:type="auto"/>
            <w:tcBorders>
              <w:top w:val="nil"/>
              <w:left w:val="nil"/>
              <w:bottom w:val="nil"/>
              <w:right w:val="nil"/>
            </w:tcBorders>
            <w:shd w:val="clear" w:color="000000" w:fill="C6EFCE"/>
            <w:noWrap/>
            <w:vAlign w:val="bottom"/>
            <w:hideMark/>
          </w:tcPr>
          <w:p w14:paraId="54F037F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11.3 </w:t>
            </w:r>
          </w:p>
        </w:tc>
        <w:tc>
          <w:tcPr>
            <w:tcW w:w="0" w:type="auto"/>
            <w:tcBorders>
              <w:top w:val="nil"/>
              <w:left w:val="nil"/>
              <w:bottom w:val="nil"/>
              <w:right w:val="nil"/>
            </w:tcBorders>
            <w:shd w:val="clear" w:color="000000" w:fill="C6EFCE"/>
            <w:noWrap/>
            <w:vAlign w:val="bottom"/>
            <w:hideMark/>
          </w:tcPr>
          <w:p w14:paraId="1E9F7AE9"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10.4 </w:t>
            </w:r>
          </w:p>
        </w:tc>
        <w:tc>
          <w:tcPr>
            <w:tcW w:w="0" w:type="auto"/>
            <w:tcBorders>
              <w:top w:val="nil"/>
              <w:left w:val="nil"/>
              <w:bottom w:val="nil"/>
              <w:right w:val="nil"/>
            </w:tcBorders>
            <w:shd w:val="clear" w:color="000000" w:fill="C6EFCE"/>
            <w:noWrap/>
            <w:vAlign w:val="bottom"/>
            <w:hideMark/>
          </w:tcPr>
          <w:p w14:paraId="673B0C5E"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9.7 </w:t>
            </w:r>
          </w:p>
        </w:tc>
      </w:tr>
    </w:tbl>
    <w:p w14:paraId="0E34E8FF" w14:textId="77777777" w:rsidR="00280058" w:rsidRPr="00DF3A8E" w:rsidRDefault="00280058" w:rsidP="00280058">
      <w:pPr>
        <w:jc w:val="both"/>
        <w:rPr>
          <w:rFonts w:ascii="Georgia" w:hAnsi="Georgia"/>
          <w:sz w:val="20"/>
          <w:lang w:val="lt-LT"/>
        </w:rPr>
      </w:pPr>
    </w:p>
    <w:p w14:paraId="1EDB40A7" w14:textId="77777777" w:rsidR="00280058" w:rsidRPr="00DF3A8E" w:rsidRDefault="00280058" w:rsidP="00280058">
      <w:pPr>
        <w:jc w:val="both"/>
        <w:rPr>
          <w:rFonts w:ascii="Georgia" w:hAnsi="Georgia"/>
          <w:sz w:val="20"/>
          <w:lang w:val="lt-LT"/>
        </w:rPr>
      </w:pPr>
      <w:r>
        <w:rPr>
          <w:rFonts w:ascii="Georgia" w:hAnsi="Georgia"/>
          <w:sz w:val="20"/>
          <w:lang w:val="lt-LT"/>
        </w:rPr>
        <w:t>Aukščiau pateiktoje lentelėje matyti santykis tarp energijos sutaupymų ir energijos kainai, kai projektams nėra teikiama 20 proc. subsidija. Pagal pateiktus duomenis matyti, kad tipiniai viešųjų pastatų</w:t>
      </w:r>
      <w:r w:rsidRPr="00DF3A8E">
        <w:rPr>
          <w:rFonts w:ascii="Georgia" w:hAnsi="Georgia"/>
          <w:sz w:val="20"/>
          <w:lang w:val="lt-LT"/>
        </w:rPr>
        <w:t xml:space="preserve"> renovacijo</w:t>
      </w:r>
      <w:r>
        <w:rPr>
          <w:rFonts w:ascii="Georgia" w:hAnsi="Georgia"/>
          <w:sz w:val="20"/>
          <w:lang w:val="lt-LT"/>
        </w:rPr>
        <w:t>s</w:t>
      </w:r>
      <w:r w:rsidRPr="00DF3A8E">
        <w:rPr>
          <w:rFonts w:ascii="Georgia" w:hAnsi="Georgia"/>
          <w:sz w:val="20"/>
          <w:lang w:val="lt-LT"/>
        </w:rPr>
        <w:t xml:space="preserve"> projektai</w:t>
      </w:r>
      <w:r>
        <w:rPr>
          <w:rFonts w:ascii="Georgia" w:hAnsi="Georgia"/>
          <w:sz w:val="20"/>
          <w:lang w:val="lt-LT"/>
        </w:rPr>
        <w:t>,</w:t>
      </w:r>
      <w:r w:rsidRPr="00DF3A8E">
        <w:rPr>
          <w:rFonts w:ascii="Georgia" w:hAnsi="Georgia"/>
          <w:sz w:val="20"/>
          <w:lang w:val="lt-LT"/>
        </w:rPr>
        <w:t xml:space="preserve"> sutaupant 40 proc. šilumos energijos, tik kainai esant 0,35 Lt/kWh atsipirktų per 19.6 metus</w:t>
      </w:r>
      <w:r>
        <w:rPr>
          <w:rFonts w:ascii="Georgia" w:hAnsi="Georgia"/>
          <w:sz w:val="20"/>
          <w:lang w:val="lt-LT"/>
        </w:rPr>
        <w:t xml:space="preserve"> (per 20 m. paskolos laikotarpį)</w:t>
      </w:r>
      <w:r w:rsidRPr="00DF3A8E">
        <w:rPr>
          <w:rFonts w:ascii="Georgia" w:hAnsi="Georgia"/>
          <w:sz w:val="20"/>
          <w:lang w:val="lt-LT"/>
        </w:rPr>
        <w:t>.</w:t>
      </w:r>
      <w:r>
        <w:rPr>
          <w:rFonts w:ascii="Georgia" w:hAnsi="Georgia"/>
          <w:sz w:val="20"/>
          <w:lang w:val="lt-LT"/>
        </w:rPr>
        <w:t xml:space="preserve"> Tai pat, siekiant kad projektas atsipirktų per 20 m. paskolos laikotarpį energijos kainai esant pastoviai, projektas turėtų pasiekti bent 50 proc. sutaupymus. Jei energijos kaina atitiks šios ex ante dalies prielaidas, projektai be subsidijos atsipirks per 23,2 metus, o kainai išlikus 2013-</w:t>
      </w:r>
      <w:r w:rsidRPr="00DF3A8E">
        <w:rPr>
          <w:rFonts w:ascii="Georgia" w:hAnsi="Georgia"/>
          <w:sz w:val="20"/>
          <w:lang w:val="lt-LT"/>
        </w:rPr>
        <w:t>2014 metų lygyje (0,265 Lt/kWh) atsipirktų per 26.2 metus.</w:t>
      </w:r>
    </w:p>
    <w:p w14:paraId="5C4BFB1E" w14:textId="77777777" w:rsidR="00280058" w:rsidRDefault="00280058" w:rsidP="00280058">
      <w:pPr>
        <w:jc w:val="both"/>
        <w:rPr>
          <w:rFonts w:ascii="Georgia" w:hAnsi="Georgia"/>
          <w:sz w:val="20"/>
          <w:lang w:val="lt-LT"/>
        </w:rPr>
      </w:pPr>
      <w:r w:rsidRPr="00DF3A8E">
        <w:rPr>
          <w:rFonts w:ascii="Georgia" w:hAnsi="Georgia"/>
          <w:sz w:val="20"/>
          <w:lang w:val="lt-LT"/>
        </w:rPr>
        <w:t xml:space="preserve">Žemiau pateiktoje jautrumo analizės </w:t>
      </w:r>
      <w:r w:rsidRPr="00C16595">
        <w:rPr>
          <w:rFonts w:ascii="Georgia" w:hAnsi="Georgia"/>
          <w:sz w:val="20"/>
          <w:lang w:val="lt-LT"/>
        </w:rPr>
        <w:t xml:space="preserve">lentelėje </w:t>
      </w:r>
      <w:r w:rsidRPr="00DF3A8E">
        <w:rPr>
          <w:rFonts w:ascii="Georgia" w:hAnsi="Georgia"/>
          <w:sz w:val="20"/>
          <w:lang w:val="lt-LT"/>
        </w:rPr>
        <w:t>analizuojamas santykis tarp energijos kainos ir subsidijos elemento</w:t>
      </w:r>
      <w:r>
        <w:rPr>
          <w:rFonts w:ascii="Georgia" w:hAnsi="Georgia"/>
          <w:sz w:val="20"/>
          <w:lang w:val="lt-LT"/>
        </w:rPr>
        <w:t>.</w:t>
      </w:r>
    </w:p>
    <w:p w14:paraId="69ED8D6E" w14:textId="6564F781" w:rsidR="00280058" w:rsidRPr="00893A57" w:rsidRDefault="00280058" w:rsidP="00280058">
      <w:pPr>
        <w:pStyle w:val="Antrat"/>
        <w:jc w:val="both"/>
        <w:rPr>
          <w:lang w:val="lt-LT"/>
        </w:rPr>
      </w:pPr>
      <w:bookmarkStart w:id="131" w:name="_Toc460321633"/>
      <w:r w:rsidRPr="005858F4">
        <w:rPr>
          <w:lang w:val="lt-LT"/>
        </w:rPr>
        <w:t xml:space="preserve">Lentelė </w:t>
      </w:r>
      <w:r w:rsidRPr="005858F4">
        <w:rPr>
          <w:lang w:val="lt-LT"/>
        </w:rPr>
        <w:fldChar w:fldCharType="begin"/>
      </w:r>
      <w:r w:rsidRPr="005858F4">
        <w:rPr>
          <w:lang w:val="lt-LT"/>
        </w:rPr>
        <w:instrText xml:space="preserve"> SEQ Lentelė \* ARABIC </w:instrText>
      </w:r>
      <w:r w:rsidRPr="005858F4">
        <w:rPr>
          <w:lang w:val="lt-LT"/>
        </w:rPr>
        <w:fldChar w:fldCharType="separate"/>
      </w:r>
      <w:r w:rsidR="00AA3082">
        <w:rPr>
          <w:noProof/>
          <w:lang w:val="lt-LT"/>
        </w:rPr>
        <w:t>52</w:t>
      </w:r>
      <w:r w:rsidRPr="005858F4">
        <w:rPr>
          <w:lang w:val="lt-LT"/>
        </w:rPr>
        <w:fldChar w:fldCharType="end"/>
      </w:r>
      <w:r w:rsidRPr="005858F4">
        <w:rPr>
          <w:lang w:val="lt-LT"/>
        </w:rPr>
        <w:t xml:space="preserve">. </w:t>
      </w:r>
      <w:r w:rsidRPr="00893A57">
        <w:rPr>
          <w:lang w:val="lt-LT"/>
        </w:rPr>
        <w:t>Energijos kainos ir subsidijos elemento santykio analizė.</w:t>
      </w:r>
      <w:bookmarkEnd w:id="131"/>
    </w:p>
    <w:tbl>
      <w:tblPr>
        <w:tblW w:w="5000" w:type="pct"/>
        <w:tblCellMar>
          <w:left w:w="28" w:type="dxa"/>
          <w:right w:w="28" w:type="dxa"/>
        </w:tblCellMar>
        <w:tblLook w:val="04A0" w:firstRow="1" w:lastRow="0" w:firstColumn="1" w:lastColumn="0" w:noHBand="0" w:noVBand="1"/>
      </w:tblPr>
      <w:tblGrid>
        <w:gridCol w:w="190"/>
        <w:gridCol w:w="636"/>
        <w:gridCol w:w="636"/>
        <w:gridCol w:w="635"/>
        <w:gridCol w:w="635"/>
        <w:gridCol w:w="635"/>
        <w:gridCol w:w="635"/>
        <w:gridCol w:w="635"/>
        <w:gridCol w:w="635"/>
        <w:gridCol w:w="635"/>
        <w:gridCol w:w="635"/>
        <w:gridCol w:w="635"/>
        <w:gridCol w:w="635"/>
        <w:gridCol w:w="635"/>
        <w:gridCol w:w="635"/>
      </w:tblGrid>
      <w:tr w:rsidR="00280058" w:rsidRPr="002C025E" w14:paraId="314B59B4" w14:textId="77777777" w:rsidTr="00BB18F6">
        <w:trPr>
          <w:tblHeader/>
        </w:trPr>
        <w:tc>
          <w:tcPr>
            <w:tcW w:w="104" w:type="pct"/>
            <w:tcBorders>
              <w:top w:val="nil"/>
              <w:left w:val="nil"/>
              <w:right w:val="nil"/>
            </w:tcBorders>
            <w:shd w:val="clear" w:color="auto" w:fill="auto"/>
            <w:noWrap/>
            <w:vAlign w:val="bottom"/>
            <w:hideMark/>
          </w:tcPr>
          <w:p w14:paraId="5957A581" w14:textId="77777777" w:rsidR="00280058" w:rsidRPr="00DF3A8E" w:rsidRDefault="00280058" w:rsidP="00BB18F6">
            <w:pPr>
              <w:spacing w:after="0" w:line="240" w:lineRule="auto"/>
              <w:rPr>
                <w:rFonts w:ascii="Arial" w:eastAsia="Times New Roman" w:hAnsi="Arial" w:cs="Arial"/>
                <w:sz w:val="18"/>
                <w:szCs w:val="18"/>
                <w:lang w:val="lt-LT" w:eastAsia="lt-LT"/>
              </w:rPr>
            </w:pPr>
          </w:p>
        </w:tc>
        <w:tc>
          <w:tcPr>
            <w:tcW w:w="4896" w:type="pct"/>
            <w:gridSpan w:val="14"/>
            <w:tcBorders>
              <w:top w:val="nil"/>
              <w:left w:val="nil"/>
              <w:right w:val="nil"/>
            </w:tcBorders>
            <w:shd w:val="clear" w:color="000000" w:fill="FFC18A"/>
            <w:noWrap/>
            <w:vAlign w:val="bottom"/>
            <w:hideMark/>
          </w:tcPr>
          <w:p w14:paraId="127518F6" w14:textId="77777777" w:rsidR="00280058" w:rsidRPr="00DF3A8E" w:rsidRDefault="00280058" w:rsidP="00BB18F6">
            <w:pPr>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Subsidija </w:t>
            </w:r>
          </w:p>
        </w:tc>
      </w:tr>
      <w:tr w:rsidR="00280058" w:rsidRPr="002C025E" w14:paraId="134B38AB" w14:textId="77777777" w:rsidTr="00BB18F6">
        <w:trPr>
          <w:tblHeader/>
        </w:trPr>
        <w:tc>
          <w:tcPr>
            <w:tcW w:w="104" w:type="pct"/>
            <w:tcBorders>
              <w:top w:val="nil"/>
              <w:left w:val="nil"/>
              <w:bottom w:val="nil"/>
              <w:right w:val="nil"/>
            </w:tcBorders>
            <w:shd w:val="clear" w:color="auto" w:fill="auto"/>
            <w:noWrap/>
            <w:vAlign w:val="bottom"/>
            <w:hideMark/>
          </w:tcPr>
          <w:p w14:paraId="32BD1B0B" w14:textId="77777777" w:rsidR="00280058" w:rsidRPr="00DF3A8E" w:rsidRDefault="00280058" w:rsidP="00BB18F6">
            <w:pPr>
              <w:spacing w:after="0" w:line="240" w:lineRule="auto"/>
              <w:rPr>
                <w:rFonts w:ascii="Arial" w:eastAsia="Times New Roman" w:hAnsi="Arial" w:cs="Arial"/>
                <w:sz w:val="18"/>
                <w:szCs w:val="18"/>
                <w:lang w:val="lt-LT" w:eastAsia="lt-LT"/>
              </w:rPr>
            </w:pPr>
          </w:p>
        </w:tc>
        <w:tc>
          <w:tcPr>
            <w:tcW w:w="349" w:type="pct"/>
            <w:tcBorders>
              <w:top w:val="nil"/>
              <w:left w:val="nil"/>
              <w:bottom w:val="nil"/>
              <w:right w:val="nil"/>
            </w:tcBorders>
            <w:shd w:val="clear" w:color="auto" w:fill="auto"/>
            <w:noWrap/>
            <w:vAlign w:val="bottom"/>
            <w:hideMark/>
          </w:tcPr>
          <w:p w14:paraId="1BC347DF" w14:textId="77777777" w:rsidR="00280058" w:rsidRPr="00DF3A8E" w:rsidRDefault="00280058" w:rsidP="00BB18F6">
            <w:pPr>
              <w:spacing w:after="0" w:line="240" w:lineRule="auto"/>
              <w:rPr>
                <w:rFonts w:ascii="Arial" w:eastAsia="Times New Roman" w:hAnsi="Arial" w:cs="Arial"/>
                <w:color w:val="FFFFFF"/>
                <w:sz w:val="18"/>
                <w:szCs w:val="18"/>
                <w:lang w:val="lt-LT" w:eastAsia="lt-LT"/>
              </w:rPr>
            </w:pPr>
            <w:r w:rsidRPr="00DF3A8E">
              <w:rPr>
                <w:rFonts w:ascii="Arial" w:eastAsia="Times New Roman" w:hAnsi="Arial" w:cs="Arial"/>
                <w:color w:val="FFFFFF"/>
                <w:sz w:val="18"/>
                <w:szCs w:val="18"/>
                <w:lang w:val="lt-LT" w:eastAsia="lt-LT"/>
              </w:rPr>
              <w:t xml:space="preserve">            23.8 </w:t>
            </w:r>
          </w:p>
        </w:tc>
        <w:tc>
          <w:tcPr>
            <w:tcW w:w="349" w:type="pct"/>
            <w:tcBorders>
              <w:top w:val="nil"/>
              <w:left w:val="nil"/>
              <w:bottom w:val="nil"/>
              <w:right w:val="nil"/>
            </w:tcBorders>
            <w:shd w:val="clear" w:color="auto" w:fill="auto"/>
            <w:noWrap/>
            <w:vAlign w:val="bottom"/>
            <w:hideMark/>
          </w:tcPr>
          <w:p w14:paraId="2DA8E571" w14:textId="77777777" w:rsidR="00280058" w:rsidRPr="00F527BB" w:rsidRDefault="00280058" w:rsidP="00BB18F6">
            <w:pPr>
              <w:spacing w:after="0" w:line="240" w:lineRule="auto"/>
              <w:jc w:val="right"/>
              <w:rPr>
                <w:rFonts w:ascii="Arial" w:eastAsia="Times New Roman" w:hAnsi="Arial" w:cs="Arial"/>
                <w:b/>
                <w:bCs/>
                <w:sz w:val="18"/>
                <w:szCs w:val="18"/>
                <w:lang w:val="lt-LT" w:eastAsia="lt-LT"/>
              </w:rPr>
            </w:pPr>
            <w:r w:rsidRPr="00F527BB">
              <w:rPr>
                <w:rFonts w:ascii="Arial" w:eastAsia="Times New Roman" w:hAnsi="Arial" w:cs="Arial"/>
                <w:b/>
                <w:bCs/>
                <w:sz w:val="18"/>
                <w:szCs w:val="18"/>
                <w:lang w:val="lt-LT" w:eastAsia="lt-LT"/>
              </w:rPr>
              <w:t xml:space="preserve">0% </w:t>
            </w:r>
          </w:p>
        </w:tc>
        <w:tc>
          <w:tcPr>
            <w:tcW w:w="349" w:type="pct"/>
            <w:tcBorders>
              <w:top w:val="nil"/>
              <w:left w:val="nil"/>
              <w:bottom w:val="nil"/>
              <w:right w:val="nil"/>
            </w:tcBorders>
            <w:shd w:val="clear" w:color="auto" w:fill="auto"/>
            <w:noWrap/>
            <w:vAlign w:val="bottom"/>
            <w:hideMark/>
          </w:tcPr>
          <w:p w14:paraId="4376F911"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 </w:t>
            </w:r>
          </w:p>
        </w:tc>
        <w:tc>
          <w:tcPr>
            <w:tcW w:w="349" w:type="pct"/>
            <w:tcBorders>
              <w:top w:val="nil"/>
              <w:left w:val="nil"/>
              <w:bottom w:val="nil"/>
              <w:right w:val="nil"/>
            </w:tcBorders>
            <w:shd w:val="clear" w:color="auto" w:fill="auto"/>
            <w:noWrap/>
            <w:vAlign w:val="bottom"/>
            <w:hideMark/>
          </w:tcPr>
          <w:p w14:paraId="463DD2EC"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10% </w:t>
            </w:r>
          </w:p>
        </w:tc>
        <w:tc>
          <w:tcPr>
            <w:tcW w:w="350" w:type="pct"/>
            <w:tcBorders>
              <w:top w:val="nil"/>
              <w:left w:val="nil"/>
              <w:bottom w:val="nil"/>
              <w:right w:val="nil"/>
            </w:tcBorders>
            <w:shd w:val="clear" w:color="auto" w:fill="auto"/>
            <w:noWrap/>
            <w:vAlign w:val="bottom"/>
            <w:hideMark/>
          </w:tcPr>
          <w:p w14:paraId="4CD18817"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15% </w:t>
            </w:r>
          </w:p>
        </w:tc>
        <w:tc>
          <w:tcPr>
            <w:tcW w:w="350" w:type="pct"/>
            <w:tcBorders>
              <w:top w:val="nil"/>
              <w:left w:val="nil"/>
              <w:bottom w:val="nil"/>
              <w:right w:val="nil"/>
            </w:tcBorders>
            <w:shd w:val="clear" w:color="auto" w:fill="auto"/>
            <w:noWrap/>
            <w:vAlign w:val="bottom"/>
            <w:hideMark/>
          </w:tcPr>
          <w:p w14:paraId="1D5ECAD3"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20% </w:t>
            </w:r>
          </w:p>
        </w:tc>
        <w:tc>
          <w:tcPr>
            <w:tcW w:w="350" w:type="pct"/>
            <w:tcBorders>
              <w:top w:val="nil"/>
              <w:left w:val="nil"/>
              <w:bottom w:val="nil"/>
              <w:right w:val="nil"/>
            </w:tcBorders>
            <w:shd w:val="clear" w:color="auto" w:fill="auto"/>
            <w:noWrap/>
            <w:vAlign w:val="bottom"/>
            <w:hideMark/>
          </w:tcPr>
          <w:p w14:paraId="5897CCC7"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25% </w:t>
            </w:r>
          </w:p>
        </w:tc>
        <w:tc>
          <w:tcPr>
            <w:tcW w:w="350" w:type="pct"/>
            <w:tcBorders>
              <w:top w:val="nil"/>
              <w:left w:val="nil"/>
              <w:bottom w:val="nil"/>
              <w:right w:val="nil"/>
            </w:tcBorders>
            <w:shd w:val="clear" w:color="auto" w:fill="auto"/>
            <w:noWrap/>
            <w:vAlign w:val="bottom"/>
            <w:hideMark/>
          </w:tcPr>
          <w:p w14:paraId="5297DD1C"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30% </w:t>
            </w:r>
          </w:p>
        </w:tc>
        <w:tc>
          <w:tcPr>
            <w:tcW w:w="350" w:type="pct"/>
            <w:tcBorders>
              <w:top w:val="nil"/>
              <w:left w:val="nil"/>
              <w:bottom w:val="nil"/>
              <w:right w:val="nil"/>
            </w:tcBorders>
            <w:shd w:val="clear" w:color="auto" w:fill="auto"/>
            <w:noWrap/>
            <w:vAlign w:val="bottom"/>
            <w:hideMark/>
          </w:tcPr>
          <w:p w14:paraId="270A6DD0"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35% </w:t>
            </w:r>
          </w:p>
        </w:tc>
        <w:tc>
          <w:tcPr>
            <w:tcW w:w="350" w:type="pct"/>
            <w:tcBorders>
              <w:top w:val="nil"/>
              <w:left w:val="nil"/>
              <w:bottom w:val="nil"/>
              <w:right w:val="nil"/>
            </w:tcBorders>
            <w:shd w:val="clear" w:color="auto" w:fill="auto"/>
            <w:noWrap/>
            <w:vAlign w:val="bottom"/>
            <w:hideMark/>
          </w:tcPr>
          <w:p w14:paraId="56239AF4"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40% </w:t>
            </w:r>
          </w:p>
        </w:tc>
        <w:tc>
          <w:tcPr>
            <w:tcW w:w="350" w:type="pct"/>
            <w:tcBorders>
              <w:top w:val="nil"/>
              <w:left w:val="nil"/>
              <w:bottom w:val="nil"/>
              <w:right w:val="nil"/>
            </w:tcBorders>
            <w:shd w:val="clear" w:color="auto" w:fill="auto"/>
            <w:noWrap/>
            <w:vAlign w:val="bottom"/>
            <w:hideMark/>
          </w:tcPr>
          <w:p w14:paraId="2EFC6D0A"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45% </w:t>
            </w:r>
          </w:p>
        </w:tc>
        <w:tc>
          <w:tcPr>
            <w:tcW w:w="350" w:type="pct"/>
            <w:tcBorders>
              <w:top w:val="nil"/>
              <w:left w:val="nil"/>
              <w:bottom w:val="nil"/>
              <w:right w:val="nil"/>
            </w:tcBorders>
            <w:shd w:val="clear" w:color="auto" w:fill="auto"/>
            <w:noWrap/>
            <w:vAlign w:val="bottom"/>
            <w:hideMark/>
          </w:tcPr>
          <w:p w14:paraId="24EFEFC7"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50% </w:t>
            </w:r>
          </w:p>
        </w:tc>
        <w:tc>
          <w:tcPr>
            <w:tcW w:w="350" w:type="pct"/>
            <w:tcBorders>
              <w:top w:val="nil"/>
              <w:left w:val="nil"/>
              <w:bottom w:val="nil"/>
              <w:right w:val="nil"/>
            </w:tcBorders>
            <w:shd w:val="clear" w:color="auto" w:fill="auto"/>
            <w:noWrap/>
            <w:vAlign w:val="bottom"/>
            <w:hideMark/>
          </w:tcPr>
          <w:p w14:paraId="23CE6249"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55% </w:t>
            </w:r>
          </w:p>
        </w:tc>
        <w:tc>
          <w:tcPr>
            <w:tcW w:w="350" w:type="pct"/>
            <w:tcBorders>
              <w:top w:val="nil"/>
              <w:left w:val="nil"/>
              <w:bottom w:val="nil"/>
              <w:right w:val="nil"/>
            </w:tcBorders>
            <w:shd w:val="clear" w:color="auto" w:fill="auto"/>
            <w:noWrap/>
            <w:vAlign w:val="bottom"/>
            <w:hideMark/>
          </w:tcPr>
          <w:p w14:paraId="3F9D5ED0"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60% </w:t>
            </w:r>
          </w:p>
        </w:tc>
      </w:tr>
      <w:tr w:rsidR="00280058" w:rsidRPr="002C025E" w14:paraId="7326F21B" w14:textId="77777777" w:rsidTr="00BB18F6">
        <w:tc>
          <w:tcPr>
            <w:tcW w:w="104" w:type="pct"/>
            <w:vMerge w:val="restart"/>
            <w:tcBorders>
              <w:top w:val="nil"/>
              <w:left w:val="nil"/>
              <w:bottom w:val="nil"/>
              <w:right w:val="nil"/>
            </w:tcBorders>
            <w:shd w:val="clear" w:color="000000" w:fill="D9D9D9"/>
            <w:textDirection w:val="btLr"/>
            <w:vAlign w:val="center"/>
            <w:hideMark/>
          </w:tcPr>
          <w:p w14:paraId="47C9A933" w14:textId="77777777" w:rsidR="00280058" w:rsidRPr="00DF3A8E" w:rsidRDefault="00280058" w:rsidP="00BB18F6">
            <w:pPr>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Energijos kaina </w:t>
            </w:r>
          </w:p>
        </w:tc>
        <w:tc>
          <w:tcPr>
            <w:tcW w:w="349" w:type="pct"/>
            <w:tcBorders>
              <w:top w:val="nil"/>
              <w:left w:val="nil"/>
              <w:bottom w:val="nil"/>
              <w:right w:val="nil"/>
            </w:tcBorders>
            <w:shd w:val="clear" w:color="auto" w:fill="auto"/>
            <w:noWrap/>
            <w:vAlign w:val="bottom"/>
            <w:hideMark/>
          </w:tcPr>
          <w:p w14:paraId="1E6CE265"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0.26</w:t>
            </w:r>
          </w:p>
        </w:tc>
        <w:tc>
          <w:tcPr>
            <w:tcW w:w="349" w:type="pct"/>
            <w:tcBorders>
              <w:top w:val="nil"/>
              <w:left w:val="nil"/>
              <w:bottom w:val="nil"/>
              <w:right w:val="nil"/>
            </w:tcBorders>
            <w:shd w:val="clear" w:color="000000" w:fill="FFC7CE"/>
            <w:noWrap/>
            <w:vAlign w:val="bottom"/>
            <w:hideMark/>
          </w:tcPr>
          <w:p w14:paraId="52360080"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27.4 </w:t>
            </w:r>
          </w:p>
        </w:tc>
        <w:tc>
          <w:tcPr>
            <w:tcW w:w="349" w:type="pct"/>
            <w:tcBorders>
              <w:top w:val="nil"/>
              <w:left w:val="nil"/>
              <w:bottom w:val="nil"/>
              <w:right w:val="nil"/>
            </w:tcBorders>
            <w:shd w:val="clear" w:color="000000" w:fill="FFC7CE"/>
            <w:noWrap/>
            <w:vAlign w:val="bottom"/>
            <w:hideMark/>
          </w:tcPr>
          <w:p w14:paraId="7CBE1719"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25.8 </w:t>
            </w:r>
          </w:p>
        </w:tc>
        <w:tc>
          <w:tcPr>
            <w:tcW w:w="349" w:type="pct"/>
            <w:tcBorders>
              <w:top w:val="nil"/>
              <w:left w:val="nil"/>
              <w:bottom w:val="nil"/>
              <w:right w:val="nil"/>
            </w:tcBorders>
            <w:shd w:val="clear" w:color="000000" w:fill="FFC7CE"/>
            <w:noWrap/>
            <w:vAlign w:val="bottom"/>
            <w:hideMark/>
          </w:tcPr>
          <w:p w14:paraId="238909CD"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24.3 </w:t>
            </w:r>
          </w:p>
        </w:tc>
        <w:tc>
          <w:tcPr>
            <w:tcW w:w="350" w:type="pct"/>
            <w:tcBorders>
              <w:top w:val="nil"/>
              <w:left w:val="nil"/>
              <w:bottom w:val="nil"/>
              <w:right w:val="nil"/>
            </w:tcBorders>
            <w:shd w:val="clear" w:color="000000" w:fill="FFC7CE"/>
            <w:noWrap/>
            <w:vAlign w:val="bottom"/>
            <w:hideMark/>
          </w:tcPr>
          <w:p w14:paraId="5B49D0B7"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22.7 </w:t>
            </w:r>
          </w:p>
        </w:tc>
        <w:tc>
          <w:tcPr>
            <w:tcW w:w="350" w:type="pct"/>
            <w:tcBorders>
              <w:top w:val="nil"/>
              <w:left w:val="nil"/>
              <w:bottom w:val="nil"/>
              <w:right w:val="nil"/>
            </w:tcBorders>
            <w:shd w:val="clear" w:color="000000" w:fill="FFC7CE"/>
            <w:noWrap/>
            <w:vAlign w:val="bottom"/>
            <w:hideMark/>
          </w:tcPr>
          <w:p w14:paraId="39D8F51E"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21.3 </w:t>
            </w:r>
          </w:p>
        </w:tc>
        <w:tc>
          <w:tcPr>
            <w:tcW w:w="350" w:type="pct"/>
            <w:tcBorders>
              <w:top w:val="nil"/>
              <w:left w:val="nil"/>
              <w:bottom w:val="nil"/>
              <w:right w:val="nil"/>
            </w:tcBorders>
            <w:shd w:val="clear" w:color="000000" w:fill="C6EFCE"/>
            <w:noWrap/>
            <w:vAlign w:val="bottom"/>
            <w:hideMark/>
          </w:tcPr>
          <w:p w14:paraId="5340444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19.8 </w:t>
            </w:r>
          </w:p>
        </w:tc>
        <w:tc>
          <w:tcPr>
            <w:tcW w:w="350" w:type="pct"/>
            <w:tcBorders>
              <w:top w:val="nil"/>
              <w:left w:val="nil"/>
              <w:bottom w:val="nil"/>
              <w:right w:val="nil"/>
            </w:tcBorders>
            <w:shd w:val="clear" w:color="000000" w:fill="C6EFCE"/>
            <w:noWrap/>
            <w:vAlign w:val="bottom"/>
            <w:hideMark/>
          </w:tcPr>
          <w:p w14:paraId="63895E51"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18.3 </w:t>
            </w:r>
          </w:p>
        </w:tc>
        <w:tc>
          <w:tcPr>
            <w:tcW w:w="350" w:type="pct"/>
            <w:tcBorders>
              <w:top w:val="nil"/>
              <w:left w:val="nil"/>
              <w:bottom w:val="nil"/>
              <w:right w:val="nil"/>
            </w:tcBorders>
            <w:shd w:val="clear" w:color="000000" w:fill="C6EFCE"/>
            <w:noWrap/>
            <w:vAlign w:val="bottom"/>
            <w:hideMark/>
          </w:tcPr>
          <w:p w14:paraId="27F43E8A"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16.9 </w:t>
            </w:r>
          </w:p>
        </w:tc>
        <w:tc>
          <w:tcPr>
            <w:tcW w:w="350" w:type="pct"/>
            <w:tcBorders>
              <w:top w:val="nil"/>
              <w:left w:val="nil"/>
              <w:bottom w:val="nil"/>
              <w:right w:val="nil"/>
            </w:tcBorders>
            <w:shd w:val="clear" w:color="000000" w:fill="C6EFCE"/>
            <w:noWrap/>
            <w:vAlign w:val="bottom"/>
            <w:hideMark/>
          </w:tcPr>
          <w:p w14:paraId="60100A4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15.5 </w:t>
            </w:r>
          </w:p>
        </w:tc>
        <w:tc>
          <w:tcPr>
            <w:tcW w:w="350" w:type="pct"/>
            <w:tcBorders>
              <w:top w:val="nil"/>
              <w:left w:val="nil"/>
              <w:bottom w:val="nil"/>
              <w:right w:val="nil"/>
            </w:tcBorders>
            <w:shd w:val="clear" w:color="000000" w:fill="C6EFCE"/>
            <w:noWrap/>
            <w:vAlign w:val="bottom"/>
            <w:hideMark/>
          </w:tcPr>
          <w:p w14:paraId="6268017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14.1 </w:t>
            </w:r>
          </w:p>
        </w:tc>
        <w:tc>
          <w:tcPr>
            <w:tcW w:w="350" w:type="pct"/>
            <w:tcBorders>
              <w:top w:val="nil"/>
              <w:left w:val="nil"/>
              <w:bottom w:val="nil"/>
              <w:right w:val="nil"/>
            </w:tcBorders>
            <w:shd w:val="clear" w:color="000000" w:fill="C6EFCE"/>
            <w:noWrap/>
            <w:vAlign w:val="bottom"/>
            <w:hideMark/>
          </w:tcPr>
          <w:p w14:paraId="4B0D15B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12.7 </w:t>
            </w:r>
          </w:p>
        </w:tc>
        <w:tc>
          <w:tcPr>
            <w:tcW w:w="350" w:type="pct"/>
            <w:tcBorders>
              <w:top w:val="nil"/>
              <w:left w:val="nil"/>
              <w:bottom w:val="nil"/>
              <w:right w:val="nil"/>
            </w:tcBorders>
            <w:shd w:val="clear" w:color="000000" w:fill="C6EFCE"/>
            <w:noWrap/>
            <w:vAlign w:val="bottom"/>
            <w:hideMark/>
          </w:tcPr>
          <w:p w14:paraId="5007AF8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11.4 </w:t>
            </w:r>
          </w:p>
        </w:tc>
        <w:tc>
          <w:tcPr>
            <w:tcW w:w="350" w:type="pct"/>
            <w:tcBorders>
              <w:top w:val="nil"/>
              <w:left w:val="nil"/>
              <w:bottom w:val="nil"/>
              <w:right w:val="nil"/>
            </w:tcBorders>
            <w:shd w:val="clear" w:color="000000" w:fill="C6EFCE"/>
            <w:noWrap/>
            <w:vAlign w:val="bottom"/>
            <w:hideMark/>
          </w:tcPr>
          <w:p w14:paraId="51E5ACE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10.1 </w:t>
            </w:r>
          </w:p>
        </w:tc>
      </w:tr>
      <w:tr w:rsidR="00280058" w:rsidRPr="002C025E" w14:paraId="700A6799" w14:textId="77777777" w:rsidTr="00BB18F6">
        <w:tc>
          <w:tcPr>
            <w:tcW w:w="104" w:type="pct"/>
            <w:vMerge/>
            <w:tcBorders>
              <w:top w:val="nil"/>
              <w:left w:val="nil"/>
              <w:bottom w:val="nil"/>
              <w:right w:val="nil"/>
            </w:tcBorders>
            <w:vAlign w:val="center"/>
            <w:hideMark/>
          </w:tcPr>
          <w:p w14:paraId="3822EDFF"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9" w:type="pct"/>
            <w:tcBorders>
              <w:top w:val="nil"/>
              <w:left w:val="nil"/>
              <w:bottom w:val="nil"/>
              <w:right w:val="nil"/>
            </w:tcBorders>
            <w:shd w:val="clear" w:color="auto" w:fill="auto"/>
            <w:noWrap/>
            <w:vAlign w:val="bottom"/>
            <w:hideMark/>
          </w:tcPr>
          <w:p w14:paraId="2F11109A"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0.27</w:t>
            </w:r>
          </w:p>
        </w:tc>
        <w:tc>
          <w:tcPr>
            <w:tcW w:w="349" w:type="pct"/>
            <w:tcBorders>
              <w:top w:val="nil"/>
              <w:left w:val="nil"/>
              <w:bottom w:val="nil"/>
              <w:right w:val="nil"/>
            </w:tcBorders>
            <w:shd w:val="clear" w:color="000000" w:fill="FFC7CE"/>
            <w:noWrap/>
            <w:vAlign w:val="bottom"/>
            <w:hideMark/>
          </w:tcPr>
          <w:p w14:paraId="3CB6A9EE"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26.2 </w:t>
            </w:r>
          </w:p>
        </w:tc>
        <w:tc>
          <w:tcPr>
            <w:tcW w:w="349" w:type="pct"/>
            <w:tcBorders>
              <w:top w:val="nil"/>
              <w:left w:val="nil"/>
              <w:bottom w:val="nil"/>
              <w:right w:val="nil"/>
            </w:tcBorders>
            <w:shd w:val="clear" w:color="000000" w:fill="FFC7CE"/>
            <w:noWrap/>
            <w:vAlign w:val="bottom"/>
            <w:hideMark/>
          </w:tcPr>
          <w:p w14:paraId="46A1DBF6"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24.7 </w:t>
            </w:r>
          </w:p>
        </w:tc>
        <w:tc>
          <w:tcPr>
            <w:tcW w:w="349" w:type="pct"/>
            <w:tcBorders>
              <w:top w:val="nil"/>
              <w:left w:val="nil"/>
              <w:bottom w:val="nil"/>
              <w:right w:val="nil"/>
            </w:tcBorders>
            <w:shd w:val="clear" w:color="000000" w:fill="FFC7CE"/>
            <w:noWrap/>
            <w:vAlign w:val="bottom"/>
            <w:hideMark/>
          </w:tcPr>
          <w:p w14:paraId="4A8057AA"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23.2 </w:t>
            </w:r>
          </w:p>
        </w:tc>
        <w:tc>
          <w:tcPr>
            <w:tcW w:w="350" w:type="pct"/>
            <w:tcBorders>
              <w:top w:val="nil"/>
              <w:left w:val="nil"/>
              <w:bottom w:val="nil"/>
              <w:right w:val="nil"/>
            </w:tcBorders>
            <w:shd w:val="clear" w:color="000000" w:fill="FFC7CE"/>
            <w:noWrap/>
            <w:vAlign w:val="bottom"/>
            <w:hideMark/>
          </w:tcPr>
          <w:p w14:paraId="38AFF2CB"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21.8 </w:t>
            </w:r>
          </w:p>
        </w:tc>
        <w:tc>
          <w:tcPr>
            <w:tcW w:w="350" w:type="pct"/>
            <w:tcBorders>
              <w:top w:val="nil"/>
              <w:left w:val="nil"/>
              <w:bottom w:val="nil"/>
              <w:right w:val="nil"/>
            </w:tcBorders>
            <w:shd w:val="clear" w:color="000000" w:fill="FFC7CE"/>
            <w:noWrap/>
            <w:vAlign w:val="bottom"/>
            <w:hideMark/>
          </w:tcPr>
          <w:p w14:paraId="51022E03"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20.4 </w:t>
            </w:r>
          </w:p>
        </w:tc>
        <w:tc>
          <w:tcPr>
            <w:tcW w:w="350" w:type="pct"/>
            <w:tcBorders>
              <w:top w:val="nil"/>
              <w:left w:val="nil"/>
              <w:bottom w:val="nil"/>
              <w:right w:val="nil"/>
            </w:tcBorders>
            <w:shd w:val="clear" w:color="000000" w:fill="C6EFCE"/>
            <w:noWrap/>
            <w:vAlign w:val="bottom"/>
            <w:hideMark/>
          </w:tcPr>
          <w:p w14:paraId="5BAC01E1"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19.0 </w:t>
            </w:r>
          </w:p>
        </w:tc>
        <w:tc>
          <w:tcPr>
            <w:tcW w:w="350" w:type="pct"/>
            <w:tcBorders>
              <w:top w:val="nil"/>
              <w:left w:val="nil"/>
              <w:bottom w:val="nil"/>
              <w:right w:val="nil"/>
            </w:tcBorders>
            <w:shd w:val="clear" w:color="000000" w:fill="C6EFCE"/>
            <w:noWrap/>
            <w:vAlign w:val="bottom"/>
            <w:hideMark/>
          </w:tcPr>
          <w:p w14:paraId="70D0F7F1"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17.6 </w:t>
            </w:r>
          </w:p>
        </w:tc>
        <w:tc>
          <w:tcPr>
            <w:tcW w:w="350" w:type="pct"/>
            <w:tcBorders>
              <w:top w:val="nil"/>
              <w:left w:val="nil"/>
              <w:bottom w:val="nil"/>
              <w:right w:val="nil"/>
            </w:tcBorders>
            <w:shd w:val="clear" w:color="000000" w:fill="C6EFCE"/>
            <w:noWrap/>
            <w:vAlign w:val="bottom"/>
            <w:hideMark/>
          </w:tcPr>
          <w:p w14:paraId="1BC4C546"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16.2 </w:t>
            </w:r>
          </w:p>
        </w:tc>
        <w:tc>
          <w:tcPr>
            <w:tcW w:w="350" w:type="pct"/>
            <w:tcBorders>
              <w:top w:val="nil"/>
              <w:left w:val="nil"/>
              <w:bottom w:val="nil"/>
              <w:right w:val="nil"/>
            </w:tcBorders>
            <w:shd w:val="clear" w:color="000000" w:fill="C6EFCE"/>
            <w:noWrap/>
            <w:vAlign w:val="bottom"/>
            <w:hideMark/>
          </w:tcPr>
          <w:p w14:paraId="66D0D77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14.9 </w:t>
            </w:r>
          </w:p>
        </w:tc>
        <w:tc>
          <w:tcPr>
            <w:tcW w:w="350" w:type="pct"/>
            <w:tcBorders>
              <w:top w:val="nil"/>
              <w:left w:val="nil"/>
              <w:bottom w:val="nil"/>
              <w:right w:val="nil"/>
            </w:tcBorders>
            <w:shd w:val="clear" w:color="000000" w:fill="C6EFCE"/>
            <w:noWrap/>
            <w:vAlign w:val="bottom"/>
            <w:hideMark/>
          </w:tcPr>
          <w:p w14:paraId="74E78DB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13.6 </w:t>
            </w:r>
          </w:p>
        </w:tc>
        <w:tc>
          <w:tcPr>
            <w:tcW w:w="350" w:type="pct"/>
            <w:tcBorders>
              <w:top w:val="nil"/>
              <w:left w:val="nil"/>
              <w:bottom w:val="nil"/>
              <w:right w:val="nil"/>
            </w:tcBorders>
            <w:shd w:val="clear" w:color="000000" w:fill="C6EFCE"/>
            <w:noWrap/>
            <w:vAlign w:val="bottom"/>
            <w:hideMark/>
          </w:tcPr>
          <w:p w14:paraId="7234348A"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12.2 </w:t>
            </w:r>
          </w:p>
        </w:tc>
        <w:tc>
          <w:tcPr>
            <w:tcW w:w="350" w:type="pct"/>
            <w:tcBorders>
              <w:top w:val="nil"/>
              <w:left w:val="nil"/>
              <w:bottom w:val="nil"/>
              <w:right w:val="nil"/>
            </w:tcBorders>
            <w:shd w:val="clear" w:color="000000" w:fill="C6EFCE"/>
            <w:noWrap/>
            <w:vAlign w:val="bottom"/>
            <w:hideMark/>
          </w:tcPr>
          <w:p w14:paraId="57D07F9A"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11.0 </w:t>
            </w:r>
          </w:p>
        </w:tc>
        <w:tc>
          <w:tcPr>
            <w:tcW w:w="350" w:type="pct"/>
            <w:tcBorders>
              <w:top w:val="nil"/>
              <w:left w:val="nil"/>
              <w:bottom w:val="nil"/>
              <w:right w:val="nil"/>
            </w:tcBorders>
            <w:shd w:val="clear" w:color="000000" w:fill="C6EFCE"/>
            <w:noWrap/>
            <w:vAlign w:val="bottom"/>
            <w:hideMark/>
          </w:tcPr>
          <w:p w14:paraId="74BC1F51"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9.7 </w:t>
            </w:r>
          </w:p>
        </w:tc>
      </w:tr>
      <w:tr w:rsidR="00280058" w:rsidRPr="002C025E" w14:paraId="5B87BAD8" w14:textId="77777777" w:rsidTr="00BB18F6">
        <w:tc>
          <w:tcPr>
            <w:tcW w:w="104" w:type="pct"/>
            <w:vMerge/>
            <w:tcBorders>
              <w:top w:val="nil"/>
              <w:left w:val="nil"/>
              <w:bottom w:val="nil"/>
              <w:right w:val="nil"/>
            </w:tcBorders>
            <w:vAlign w:val="center"/>
            <w:hideMark/>
          </w:tcPr>
          <w:p w14:paraId="5A355E7A"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9" w:type="pct"/>
            <w:tcBorders>
              <w:top w:val="nil"/>
              <w:left w:val="nil"/>
              <w:bottom w:val="nil"/>
              <w:right w:val="nil"/>
            </w:tcBorders>
            <w:shd w:val="clear" w:color="auto" w:fill="auto"/>
            <w:noWrap/>
            <w:vAlign w:val="bottom"/>
            <w:hideMark/>
          </w:tcPr>
          <w:p w14:paraId="4C765EF0"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0.28</w:t>
            </w:r>
          </w:p>
        </w:tc>
        <w:tc>
          <w:tcPr>
            <w:tcW w:w="349" w:type="pct"/>
            <w:tcBorders>
              <w:top w:val="nil"/>
              <w:left w:val="nil"/>
              <w:bottom w:val="nil"/>
              <w:right w:val="nil"/>
            </w:tcBorders>
            <w:shd w:val="clear" w:color="000000" w:fill="FFC7CE"/>
            <w:noWrap/>
            <w:vAlign w:val="bottom"/>
            <w:hideMark/>
          </w:tcPr>
          <w:p w14:paraId="7424F740"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25.1 </w:t>
            </w:r>
          </w:p>
        </w:tc>
        <w:tc>
          <w:tcPr>
            <w:tcW w:w="349" w:type="pct"/>
            <w:tcBorders>
              <w:top w:val="nil"/>
              <w:left w:val="nil"/>
              <w:bottom w:val="nil"/>
              <w:right w:val="nil"/>
            </w:tcBorders>
            <w:shd w:val="clear" w:color="000000" w:fill="FFC7CE"/>
            <w:noWrap/>
            <w:vAlign w:val="bottom"/>
            <w:hideMark/>
          </w:tcPr>
          <w:p w14:paraId="492E38D4"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23.7 </w:t>
            </w:r>
          </w:p>
        </w:tc>
        <w:tc>
          <w:tcPr>
            <w:tcW w:w="349" w:type="pct"/>
            <w:tcBorders>
              <w:top w:val="nil"/>
              <w:left w:val="nil"/>
              <w:bottom w:val="nil"/>
              <w:right w:val="nil"/>
            </w:tcBorders>
            <w:shd w:val="clear" w:color="000000" w:fill="FFC7CE"/>
            <w:noWrap/>
            <w:vAlign w:val="bottom"/>
            <w:hideMark/>
          </w:tcPr>
          <w:p w14:paraId="0D46EA1F"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22.3 </w:t>
            </w:r>
          </w:p>
        </w:tc>
        <w:tc>
          <w:tcPr>
            <w:tcW w:w="350" w:type="pct"/>
            <w:tcBorders>
              <w:top w:val="nil"/>
              <w:left w:val="nil"/>
              <w:bottom w:val="nil"/>
              <w:right w:val="nil"/>
            </w:tcBorders>
            <w:shd w:val="clear" w:color="000000" w:fill="FFC7CE"/>
            <w:noWrap/>
            <w:vAlign w:val="bottom"/>
            <w:hideMark/>
          </w:tcPr>
          <w:p w14:paraId="74905737"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20.9 </w:t>
            </w:r>
          </w:p>
        </w:tc>
        <w:tc>
          <w:tcPr>
            <w:tcW w:w="350" w:type="pct"/>
            <w:tcBorders>
              <w:top w:val="nil"/>
              <w:left w:val="nil"/>
              <w:bottom w:val="nil"/>
              <w:right w:val="nil"/>
            </w:tcBorders>
            <w:shd w:val="clear" w:color="000000" w:fill="C6EFCE"/>
            <w:noWrap/>
            <w:vAlign w:val="bottom"/>
            <w:hideMark/>
          </w:tcPr>
          <w:p w14:paraId="606EBC69"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19.6 </w:t>
            </w:r>
          </w:p>
        </w:tc>
        <w:tc>
          <w:tcPr>
            <w:tcW w:w="350" w:type="pct"/>
            <w:tcBorders>
              <w:top w:val="nil"/>
              <w:left w:val="nil"/>
              <w:bottom w:val="nil"/>
              <w:right w:val="nil"/>
            </w:tcBorders>
            <w:shd w:val="clear" w:color="000000" w:fill="C6EFCE"/>
            <w:noWrap/>
            <w:vAlign w:val="bottom"/>
            <w:hideMark/>
          </w:tcPr>
          <w:p w14:paraId="133EE37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18.2 </w:t>
            </w:r>
          </w:p>
        </w:tc>
        <w:tc>
          <w:tcPr>
            <w:tcW w:w="350" w:type="pct"/>
            <w:tcBorders>
              <w:top w:val="nil"/>
              <w:left w:val="nil"/>
              <w:bottom w:val="nil"/>
              <w:right w:val="nil"/>
            </w:tcBorders>
            <w:shd w:val="clear" w:color="000000" w:fill="C6EFCE"/>
            <w:noWrap/>
            <w:vAlign w:val="bottom"/>
            <w:hideMark/>
          </w:tcPr>
          <w:p w14:paraId="6EA9CFA1"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16.9 </w:t>
            </w:r>
          </w:p>
        </w:tc>
        <w:tc>
          <w:tcPr>
            <w:tcW w:w="350" w:type="pct"/>
            <w:tcBorders>
              <w:top w:val="nil"/>
              <w:left w:val="nil"/>
              <w:bottom w:val="nil"/>
              <w:right w:val="nil"/>
            </w:tcBorders>
            <w:shd w:val="clear" w:color="000000" w:fill="C6EFCE"/>
            <w:noWrap/>
            <w:vAlign w:val="bottom"/>
            <w:hideMark/>
          </w:tcPr>
          <w:p w14:paraId="038F4D8D"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15.6 </w:t>
            </w:r>
          </w:p>
        </w:tc>
        <w:tc>
          <w:tcPr>
            <w:tcW w:w="350" w:type="pct"/>
            <w:tcBorders>
              <w:top w:val="nil"/>
              <w:left w:val="nil"/>
              <w:bottom w:val="nil"/>
              <w:right w:val="nil"/>
            </w:tcBorders>
            <w:shd w:val="clear" w:color="000000" w:fill="C6EFCE"/>
            <w:noWrap/>
            <w:vAlign w:val="bottom"/>
            <w:hideMark/>
          </w:tcPr>
          <w:p w14:paraId="2B9EC9A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14.3 </w:t>
            </w:r>
          </w:p>
        </w:tc>
        <w:tc>
          <w:tcPr>
            <w:tcW w:w="350" w:type="pct"/>
            <w:tcBorders>
              <w:top w:val="nil"/>
              <w:left w:val="nil"/>
              <w:bottom w:val="nil"/>
              <w:right w:val="nil"/>
            </w:tcBorders>
            <w:shd w:val="clear" w:color="000000" w:fill="C6EFCE"/>
            <w:noWrap/>
            <w:vAlign w:val="bottom"/>
            <w:hideMark/>
          </w:tcPr>
          <w:p w14:paraId="05AAE4B0"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13.0 </w:t>
            </w:r>
          </w:p>
        </w:tc>
        <w:tc>
          <w:tcPr>
            <w:tcW w:w="350" w:type="pct"/>
            <w:tcBorders>
              <w:top w:val="nil"/>
              <w:left w:val="nil"/>
              <w:bottom w:val="nil"/>
              <w:right w:val="nil"/>
            </w:tcBorders>
            <w:shd w:val="clear" w:color="000000" w:fill="C6EFCE"/>
            <w:noWrap/>
            <w:vAlign w:val="bottom"/>
            <w:hideMark/>
          </w:tcPr>
          <w:p w14:paraId="0813DF53"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11.8 </w:t>
            </w:r>
          </w:p>
        </w:tc>
        <w:tc>
          <w:tcPr>
            <w:tcW w:w="350" w:type="pct"/>
            <w:tcBorders>
              <w:top w:val="nil"/>
              <w:left w:val="nil"/>
              <w:bottom w:val="nil"/>
              <w:right w:val="nil"/>
            </w:tcBorders>
            <w:shd w:val="clear" w:color="000000" w:fill="C6EFCE"/>
            <w:noWrap/>
            <w:vAlign w:val="bottom"/>
            <w:hideMark/>
          </w:tcPr>
          <w:p w14:paraId="7D6B2D25"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10.5 </w:t>
            </w:r>
          </w:p>
        </w:tc>
        <w:tc>
          <w:tcPr>
            <w:tcW w:w="350" w:type="pct"/>
            <w:tcBorders>
              <w:top w:val="nil"/>
              <w:left w:val="nil"/>
              <w:bottom w:val="nil"/>
              <w:right w:val="nil"/>
            </w:tcBorders>
            <w:shd w:val="clear" w:color="000000" w:fill="C6EFCE"/>
            <w:noWrap/>
            <w:vAlign w:val="bottom"/>
            <w:hideMark/>
          </w:tcPr>
          <w:p w14:paraId="13AFD4E9"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9.3 </w:t>
            </w:r>
          </w:p>
        </w:tc>
      </w:tr>
      <w:tr w:rsidR="00280058" w:rsidRPr="002C025E" w14:paraId="09A12DE1" w14:textId="77777777" w:rsidTr="00BB18F6">
        <w:tc>
          <w:tcPr>
            <w:tcW w:w="104" w:type="pct"/>
            <w:vMerge/>
            <w:tcBorders>
              <w:top w:val="nil"/>
              <w:left w:val="nil"/>
              <w:bottom w:val="nil"/>
              <w:right w:val="nil"/>
            </w:tcBorders>
            <w:vAlign w:val="center"/>
            <w:hideMark/>
          </w:tcPr>
          <w:p w14:paraId="0117E643"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9" w:type="pct"/>
            <w:tcBorders>
              <w:top w:val="nil"/>
              <w:left w:val="nil"/>
              <w:bottom w:val="nil"/>
              <w:right w:val="nil"/>
            </w:tcBorders>
            <w:shd w:val="clear" w:color="auto" w:fill="auto"/>
            <w:noWrap/>
            <w:vAlign w:val="bottom"/>
            <w:hideMark/>
          </w:tcPr>
          <w:p w14:paraId="0CE93A23"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0.29</w:t>
            </w:r>
          </w:p>
        </w:tc>
        <w:tc>
          <w:tcPr>
            <w:tcW w:w="349" w:type="pct"/>
            <w:tcBorders>
              <w:top w:val="nil"/>
              <w:left w:val="nil"/>
              <w:bottom w:val="nil"/>
              <w:right w:val="nil"/>
            </w:tcBorders>
            <w:shd w:val="clear" w:color="000000" w:fill="FFC7CE"/>
            <w:noWrap/>
            <w:vAlign w:val="bottom"/>
            <w:hideMark/>
          </w:tcPr>
          <w:p w14:paraId="6A68011E"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24.2 </w:t>
            </w:r>
          </w:p>
        </w:tc>
        <w:tc>
          <w:tcPr>
            <w:tcW w:w="349" w:type="pct"/>
            <w:tcBorders>
              <w:top w:val="nil"/>
              <w:left w:val="nil"/>
              <w:bottom w:val="nil"/>
              <w:right w:val="nil"/>
            </w:tcBorders>
            <w:shd w:val="clear" w:color="000000" w:fill="FFC7CE"/>
            <w:noWrap/>
            <w:vAlign w:val="bottom"/>
            <w:hideMark/>
          </w:tcPr>
          <w:p w14:paraId="32FFCE47"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22.8 </w:t>
            </w:r>
          </w:p>
        </w:tc>
        <w:tc>
          <w:tcPr>
            <w:tcW w:w="349" w:type="pct"/>
            <w:tcBorders>
              <w:top w:val="nil"/>
              <w:left w:val="nil"/>
              <w:bottom w:val="nil"/>
              <w:right w:val="nil"/>
            </w:tcBorders>
            <w:shd w:val="clear" w:color="000000" w:fill="FFC7CE"/>
            <w:noWrap/>
            <w:vAlign w:val="bottom"/>
            <w:hideMark/>
          </w:tcPr>
          <w:p w14:paraId="1A994B05"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21.5 </w:t>
            </w:r>
          </w:p>
        </w:tc>
        <w:tc>
          <w:tcPr>
            <w:tcW w:w="350" w:type="pct"/>
            <w:tcBorders>
              <w:top w:val="nil"/>
              <w:left w:val="nil"/>
              <w:bottom w:val="nil"/>
              <w:right w:val="nil"/>
            </w:tcBorders>
            <w:shd w:val="clear" w:color="000000" w:fill="FFC7CE"/>
            <w:noWrap/>
            <w:vAlign w:val="bottom"/>
            <w:hideMark/>
          </w:tcPr>
          <w:p w14:paraId="05DFAE66"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20.1 </w:t>
            </w:r>
          </w:p>
        </w:tc>
        <w:tc>
          <w:tcPr>
            <w:tcW w:w="350" w:type="pct"/>
            <w:tcBorders>
              <w:top w:val="nil"/>
              <w:left w:val="nil"/>
              <w:bottom w:val="nil"/>
              <w:right w:val="nil"/>
            </w:tcBorders>
            <w:shd w:val="clear" w:color="000000" w:fill="C6EFCE"/>
            <w:noWrap/>
            <w:vAlign w:val="bottom"/>
            <w:hideMark/>
          </w:tcPr>
          <w:p w14:paraId="71323FA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18.8 </w:t>
            </w:r>
          </w:p>
        </w:tc>
        <w:tc>
          <w:tcPr>
            <w:tcW w:w="350" w:type="pct"/>
            <w:tcBorders>
              <w:top w:val="nil"/>
              <w:left w:val="nil"/>
              <w:bottom w:val="nil"/>
              <w:right w:val="nil"/>
            </w:tcBorders>
            <w:shd w:val="clear" w:color="000000" w:fill="C6EFCE"/>
            <w:noWrap/>
            <w:vAlign w:val="bottom"/>
            <w:hideMark/>
          </w:tcPr>
          <w:p w14:paraId="2FC06673"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17.6 </w:t>
            </w:r>
          </w:p>
        </w:tc>
        <w:tc>
          <w:tcPr>
            <w:tcW w:w="350" w:type="pct"/>
            <w:tcBorders>
              <w:top w:val="nil"/>
              <w:left w:val="nil"/>
              <w:bottom w:val="nil"/>
              <w:right w:val="nil"/>
            </w:tcBorders>
            <w:shd w:val="clear" w:color="000000" w:fill="C6EFCE"/>
            <w:noWrap/>
            <w:vAlign w:val="bottom"/>
            <w:hideMark/>
          </w:tcPr>
          <w:p w14:paraId="0327049A"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16.3 </w:t>
            </w:r>
          </w:p>
        </w:tc>
        <w:tc>
          <w:tcPr>
            <w:tcW w:w="350" w:type="pct"/>
            <w:tcBorders>
              <w:top w:val="nil"/>
              <w:left w:val="nil"/>
              <w:bottom w:val="nil"/>
              <w:right w:val="nil"/>
            </w:tcBorders>
            <w:shd w:val="clear" w:color="000000" w:fill="C6EFCE"/>
            <w:noWrap/>
            <w:vAlign w:val="bottom"/>
            <w:hideMark/>
          </w:tcPr>
          <w:p w14:paraId="0AE82B9D"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15.0 </w:t>
            </w:r>
          </w:p>
        </w:tc>
        <w:tc>
          <w:tcPr>
            <w:tcW w:w="350" w:type="pct"/>
            <w:tcBorders>
              <w:top w:val="nil"/>
              <w:left w:val="nil"/>
              <w:bottom w:val="nil"/>
              <w:right w:val="nil"/>
            </w:tcBorders>
            <w:shd w:val="clear" w:color="000000" w:fill="C6EFCE"/>
            <w:noWrap/>
            <w:vAlign w:val="bottom"/>
            <w:hideMark/>
          </w:tcPr>
          <w:p w14:paraId="07DDEB33"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13.8 </w:t>
            </w:r>
          </w:p>
        </w:tc>
        <w:tc>
          <w:tcPr>
            <w:tcW w:w="350" w:type="pct"/>
            <w:tcBorders>
              <w:top w:val="nil"/>
              <w:left w:val="nil"/>
              <w:bottom w:val="nil"/>
              <w:right w:val="nil"/>
            </w:tcBorders>
            <w:shd w:val="clear" w:color="000000" w:fill="C6EFCE"/>
            <w:noWrap/>
            <w:vAlign w:val="bottom"/>
            <w:hideMark/>
          </w:tcPr>
          <w:p w14:paraId="6794C0BB"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12.6 </w:t>
            </w:r>
          </w:p>
        </w:tc>
        <w:tc>
          <w:tcPr>
            <w:tcW w:w="350" w:type="pct"/>
            <w:tcBorders>
              <w:top w:val="nil"/>
              <w:left w:val="nil"/>
              <w:bottom w:val="nil"/>
              <w:right w:val="nil"/>
            </w:tcBorders>
            <w:shd w:val="clear" w:color="000000" w:fill="C6EFCE"/>
            <w:noWrap/>
            <w:vAlign w:val="bottom"/>
            <w:hideMark/>
          </w:tcPr>
          <w:p w14:paraId="50B2C63D"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11.4 </w:t>
            </w:r>
          </w:p>
        </w:tc>
        <w:tc>
          <w:tcPr>
            <w:tcW w:w="350" w:type="pct"/>
            <w:tcBorders>
              <w:top w:val="nil"/>
              <w:left w:val="nil"/>
              <w:bottom w:val="nil"/>
              <w:right w:val="nil"/>
            </w:tcBorders>
            <w:shd w:val="clear" w:color="000000" w:fill="C6EFCE"/>
            <w:noWrap/>
            <w:vAlign w:val="bottom"/>
            <w:hideMark/>
          </w:tcPr>
          <w:p w14:paraId="756BF23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10.2 </w:t>
            </w:r>
          </w:p>
        </w:tc>
        <w:tc>
          <w:tcPr>
            <w:tcW w:w="350" w:type="pct"/>
            <w:tcBorders>
              <w:top w:val="nil"/>
              <w:left w:val="nil"/>
              <w:bottom w:val="nil"/>
              <w:right w:val="nil"/>
            </w:tcBorders>
            <w:shd w:val="clear" w:color="000000" w:fill="C6EFCE"/>
            <w:noWrap/>
            <w:vAlign w:val="bottom"/>
            <w:hideMark/>
          </w:tcPr>
          <w:p w14:paraId="493822F0"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9.0 </w:t>
            </w:r>
          </w:p>
        </w:tc>
      </w:tr>
      <w:tr w:rsidR="00280058" w:rsidRPr="002C025E" w14:paraId="41767782" w14:textId="77777777" w:rsidTr="00BB18F6">
        <w:tc>
          <w:tcPr>
            <w:tcW w:w="104" w:type="pct"/>
            <w:vMerge/>
            <w:tcBorders>
              <w:top w:val="nil"/>
              <w:left w:val="nil"/>
              <w:bottom w:val="nil"/>
              <w:right w:val="nil"/>
            </w:tcBorders>
            <w:vAlign w:val="center"/>
            <w:hideMark/>
          </w:tcPr>
          <w:p w14:paraId="0769B84E"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9" w:type="pct"/>
            <w:tcBorders>
              <w:top w:val="nil"/>
              <w:left w:val="nil"/>
              <w:bottom w:val="nil"/>
              <w:right w:val="nil"/>
            </w:tcBorders>
            <w:shd w:val="clear" w:color="auto" w:fill="auto"/>
            <w:noWrap/>
            <w:vAlign w:val="bottom"/>
            <w:hideMark/>
          </w:tcPr>
          <w:p w14:paraId="7DD03836"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0.30</w:t>
            </w:r>
          </w:p>
        </w:tc>
        <w:tc>
          <w:tcPr>
            <w:tcW w:w="349" w:type="pct"/>
            <w:tcBorders>
              <w:top w:val="nil"/>
              <w:left w:val="nil"/>
              <w:bottom w:val="nil"/>
              <w:right w:val="nil"/>
            </w:tcBorders>
            <w:shd w:val="clear" w:color="000000" w:fill="FFC7CE"/>
            <w:noWrap/>
            <w:vAlign w:val="bottom"/>
            <w:hideMark/>
          </w:tcPr>
          <w:p w14:paraId="38097271"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23.2 </w:t>
            </w:r>
          </w:p>
        </w:tc>
        <w:tc>
          <w:tcPr>
            <w:tcW w:w="349" w:type="pct"/>
            <w:tcBorders>
              <w:top w:val="nil"/>
              <w:left w:val="nil"/>
              <w:bottom w:val="nil"/>
              <w:right w:val="nil"/>
            </w:tcBorders>
            <w:shd w:val="clear" w:color="000000" w:fill="FFC7CE"/>
            <w:noWrap/>
            <w:vAlign w:val="bottom"/>
            <w:hideMark/>
          </w:tcPr>
          <w:p w14:paraId="5D783895"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21.9 </w:t>
            </w:r>
          </w:p>
        </w:tc>
        <w:tc>
          <w:tcPr>
            <w:tcW w:w="349" w:type="pct"/>
            <w:tcBorders>
              <w:top w:val="nil"/>
              <w:left w:val="nil"/>
              <w:bottom w:val="nil"/>
              <w:right w:val="nil"/>
            </w:tcBorders>
            <w:shd w:val="clear" w:color="000000" w:fill="FFC7CE"/>
            <w:noWrap/>
            <w:vAlign w:val="bottom"/>
            <w:hideMark/>
          </w:tcPr>
          <w:p w14:paraId="681F9CAB"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20.7 </w:t>
            </w:r>
          </w:p>
        </w:tc>
        <w:tc>
          <w:tcPr>
            <w:tcW w:w="350" w:type="pct"/>
            <w:tcBorders>
              <w:top w:val="nil"/>
              <w:left w:val="nil"/>
              <w:bottom w:val="nil"/>
              <w:right w:val="nil"/>
            </w:tcBorders>
            <w:shd w:val="clear" w:color="000000" w:fill="C6EFCE"/>
            <w:noWrap/>
            <w:vAlign w:val="bottom"/>
            <w:hideMark/>
          </w:tcPr>
          <w:p w14:paraId="1FCA4595"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19.4 </w:t>
            </w:r>
          </w:p>
        </w:tc>
        <w:tc>
          <w:tcPr>
            <w:tcW w:w="350" w:type="pct"/>
            <w:tcBorders>
              <w:top w:val="nil"/>
              <w:left w:val="nil"/>
              <w:bottom w:val="nil"/>
              <w:right w:val="nil"/>
            </w:tcBorders>
            <w:shd w:val="clear" w:color="000000" w:fill="C6EFCE"/>
            <w:noWrap/>
            <w:vAlign w:val="bottom"/>
            <w:hideMark/>
          </w:tcPr>
          <w:p w14:paraId="2DDC297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18.1 </w:t>
            </w:r>
          </w:p>
        </w:tc>
        <w:tc>
          <w:tcPr>
            <w:tcW w:w="350" w:type="pct"/>
            <w:tcBorders>
              <w:top w:val="nil"/>
              <w:left w:val="nil"/>
              <w:bottom w:val="nil"/>
              <w:right w:val="nil"/>
            </w:tcBorders>
            <w:shd w:val="clear" w:color="000000" w:fill="C6EFCE"/>
            <w:noWrap/>
            <w:vAlign w:val="bottom"/>
            <w:hideMark/>
          </w:tcPr>
          <w:p w14:paraId="722F86E1"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16.9 </w:t>
            </w:r>
          </w:p>
        </w:tc>
        <w:tc>
          <w:tcPr>
            <w:tcW w:w="350" w:type="pct"/>
            <w:tcBorders>
              <w:top w:val="nil"/>
              <w:left w:val="nil"/>
              <w:bottom w:val="nil"/>
              <w:right w:val="nil"/>
            </w:tcBorders>
            <w:shd w:val="clear" w:color="000000" w:fill="C6EFCE"/>
            <w:noWrap/>
            <w:vAlign w:val="bottom"/>
            <w:hideMark/>
          </w:tcPr>
          <w:p w14:paraId="24565EF9"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15.7 </w:t>
            </w:r>
          </w:p>
        </w:tc>
        <w:tc>
          <w:tcPr>
            <w:tcW w:w="350" w:type="pct"/>
            <w:tcBorders>
              <w:top w:val="nil"/>
              <w:left w:val="nil"/>
              <w:bottom w:val="nil"/>
              <w:right w:val="nil"/>
            </w:tcBorders>
            <w:shd w:val="clear" w:color="000000" w:fill="C6EFCE"/>
            <w:noWrap/>
            <w:vAlign w:val="bottom"/>
            <w:hideMark/>
          </w:tcPr>
          <w:p w14:paraId="20864C6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14.5 </w:t>
            </w:r>
          </w:p>
        </w:tc>
        <w:tc>
          <w:tcPr>
            <w:tcW w:w="350" w:type="pct"/>
            <w:tcBorders>
              <w:top w:val="nil"/>
              <w:left w:val="nil"/>
              <w:bottom w:val="nil"/>
              <w:right w:val="nil"/>
            </w:tcBorders>
            <w:shd w:val="clear" w:color="000000" w:fill="C6EFCE"/>
            <w:noWrap/>
            <w:vAlign w:val="bottom"/>
            <w:hideMark/>
          </w:tcPr>
          <w:p w14:paraId="5B2DCC01"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13.3 </w:t>
            </w:r>
          </w:p>
        </w:tc>
        <w:tc>
          <w:tcPr>
            <w:tcW w:w="350" w:type="pct"/>
            <w:tcBorders>
              <w:top w:val="nil"/>
              <w:left w:val="nil"/>
              <w:bottom w:val="nil"/>
              <w:right w:val="nil"/>
            </w:tcBorders>
            <w:shd w:val="clear" w:color="000000" w:fill="C6EFCE"/>
            <w:noWrap/>
            <w:vAlign w:val="bottom"/>
            <w:hideMark/>
          </w:tcPr>
          <w:p w14:paraId="06F8323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12.1 </w:t>
            </w:r>
          </w:p>
        </w:tc>
        <w:tc>
          <w:tcPr>
            <w:tcW w:w="350" w:type="pct"/>
            <w:tcBorders>
              <w:top w:val="nil"/>
              <w:left w:val="nil"/>
              <w:bottom w:val="nil"/>
              <w:right w:val="nil"/>
            </w:tcBorders>
            <w:shd w:val="clear" w:color="000000" w:fill="C6EFCE"/>
            <w:noWrap/>
            <w:vAlign w:val="bottom"/>
            <w:hideMark/>
          </w:tcPr>
          <w:p w14:paraId="7AABE28A"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11.0 </w:t>
            </w:r>
          </w:p>
        </w:tc>
        <w:tc>
          <w:tcPr>
            <w:tcW w:w="350" w:type="pct"/>
            <w:tcBorders>
              <w:top w:val="nil"/>
              <w:left w:val="nil"/>
              <w:bottom w:val="nil"/>
              <w:right w:val="nil"/>
            </w:tcBorders>
            <w:shd w:val="clear" w:color="000000" w:fill="C6EFCE"/>
            <w:noWrap/>
            <w:vAlign w:val="bottom"/>
            <w:hideMark/>
          </w:tcPr>
          <w:p w14:paraId="2F1EB18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9.8 </w:t>
            </w:r>
          </w:p>
        </w:tc>
        <w:tc>
          <w:tcPr>
            <w:tcW w:w="350" w:type="pct"/>
            <w:tcBorders>
              <w:top w:val="nil"/>
              <w:left w:val="nil"/>
              <w:bottom w:val="nil"/>
              <w:right w:val="nil"/>
            </w:tcBorders>
            <w:shd w:val="clear" w:color="000000" w:fill="C6EFCE"/>
            <w:noWrap/>
            <w:vAlign w:val="bottom"/>
            <w:hideMark/>
          </w:tcPr>
          <w:p w14:paraId="478E844E"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8.7 </w:t>
            </w:r>
          </w:p>
        </w:tc>
      </w:tr>
      <w:tr w:rsidR="00280058" w:rsidRPr="002C025E" w14:paraId="29BFA09E" w14:textId="77777777" w:rsidTr="00BB18F6">
        <w:tc>
          <w:tcPr>
            <w:tcW w:w="104" w:type="pct"/>
            <w:vMerge/>
            <w:tcBorders>
              <w:top w:val="nil"/>
              <w:left w:val="nil"/>
              <w:bottom w:val="nil"/>
              <w:right w:val="nil"/>
            </w:tcBorders>
            <w:vAlign w:val="center"/>
            <w:hideMark/>
          </w:tcPr>
          <w:p w14:paraId="78D38187"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9" w:type="pct"/>
            <w:tcBorders>
              <w:top w:val="nil"/>
              <w:left w:val="nil"/>
              <w:bottom w:val="nil"/>
              <w:right w:val="nil"/>
            </w:tcBorders>
            <w:shd w:val="clear" w:color="auto" w:fill="auto"/>
            <w:noWrap/>
            <w:vAlign w:val="bottom"/>
            <w:hideMark/>
          </w:tcPr>
          <w:p w14:paraId="651D06EF"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0.31</w:t>
            </w:r>
          </w:p>
        </w:tc>
        <w:tc>
          <w:tcPr>
            <w:tcW w:w="349" w:type="pct"/>
            <w:tcBorders>
              <w:top w:val="nil"/>
              <w:left w:val="nil"/>
              <w:bottom w:val="nil"/>
              <w:right w:val="nil"/>
            </w:tcBorders>
            <w:shd w:val="clear" w:color="000000" w:fill="FFC7CE"/>
            <w:noWrap/>
            <w:vAlign w:val="bottom"/>
            <w:hideMark/>
          </w:tcPr>
          <w:p w14:paraId="259FF86F"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22.4 </w:t>
            </w:r>
          </w:p>
        </w:tc>
        <w:tc>
          <w:tcPr>
            <w:tcW w:w="349" w:type="pct"/>
            <w:tcBorders>
              <w:top w:val="nil"/>
              <w:left w:val="nil"/>
              <w:bottom w:val="nil"/>
              <w:right w:val="nil"/>
            </w:tcBorders>
            <w:shd w:val="clear" w:color="000000" w:fill="FFC7CE"/>
            <w:noWrap/>
            <w:vAlign w:val="bottom"/>
            <w:hideMark/>
          </w:tcPr>
          <w:p w14:paraId="050A8C99"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21.2 </w:t>
            </w:r>
          </w:p>
        </w:tc>
        <w:tc>
          <w:tcPr>
            <w:tcW w:w="349" w:type="pct"/>
            <w:tcBorders>
              <w:top w:val="nil"/>
              <w:left w:val="nil"/>
              <w:bottom w:val="nil"/>
              <w:right w:val="nil"/>
            </w:tcBorders>
            <w:shd w:val="clear" w:color="000000" w:fill="C6EFCE"/>
            <w:noWrap/>
            <w:vAlign w:val="bottom"/>
            <w:hideMark/>
          </w:tcPr>
          <w:p w14:paraId="00C08DF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19.9 </w:t>
            </w:r>
          </w:p>
        </w:tc>
        <w:tc>
          <w:tcPr>
            <w:tcW w:w="350" w:type="pct"/>
            <w:tcBorders>
              <w:top w:val="nil"/>
              <w:left w:val="nil"/>
              <w:bottom w:val="nil"/>
              <w:right w:val="nil"/>
            </w:tcBorders>
            <w:shd w:val="clear" w:color="000000" w:fill="C6EFCE"/>
            <w:noWrap/>
            <w:vAlign w:val="bottom"/>
            <w:hideMark/>
          </w:tcPr>
          <w:p w14:paraId="76141CE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18.7 </w:t>
            </w:r>
          </w:p>
        </w:tc>
        <w:tc>
          <w:tcPr>
            <w:tcW w:w="350" w:type="pct"/>
            <w:tcBorders>
              <w:top w:val="nil"/>
              <w:left w:val="nil"/>
              <w:bottom w:val="nil"/>
              <w:right w:val="nil"/>
            </w:tcBorders>
            <w:shd w:val="clear" w:color="000000" w:fill="C6EFCE"/>
            <w:noWrap/>
            <w:vAlign w:val="bottom"/>
            <w:hideMark/>
          </w:tcPr>
          <w:p w14:paraId="7CA54BF0"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17.5 </w:t>
            </w:r>
          </w:p>
        </w:tc>
        <w:tc>
          <w:tcPr>
            <w:tcW w:w="350" w:type="pct"/>
            <w:tcBorders>
              <w:top w:val="nil"/>
              <w:left w:val="nil"/>
              <w:bottom w:val="nil"/>
              <w:right w:val="nil"/>
            </w:tcBorders>
            <w:shd w:val="clear" w:color="000000" w:fill="C6EFCE"/>
            <w:noWrap/>
            <w:vAlign w:val="bottom"/>
            <w:hideMark/>
          </w:tcPr>
          <w:p w14:paraId="6C5F3E5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16.3 </w:t>
            </w:r>
          </w:p>
        </w:tc>
        <w:tc>
          <w:tcPr>
            <w:tcW w:w="350" w:type="pct"/>
            <w:tcBorders>
              <w:top w:val="nil"/>
              <w:left w:val="nil"/>
              <w:bottom w:val="nil"/>
              <w:right w:val="nil"/>
            </w:tcBorders>
            <w:shd w:val="clear" w:color="000000" w:fill="C6EFCE"/>
            <w:noWrap/>
            <w:vAlign w:val="bottom"/>
            <w:hideMark/>
          </w:tcPr>
          <w:p w14:paraId="1CE71E5E"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15.1 </w:t>
            </w:r>
          </w:p>
        </w:tc>
        <w:tc>
          <w:tcPr>
            <w:tcW w:w="350" w:type="pct"/>
            <w:tcBorders>
              <w:top w:val="nil"/>
              <w:left w:val="nil"/>
              <w:bottom w:val="nil"/>
              <w:right w:val="nil"/>
            </w:tcBorders>
            <w:shd w:val="clear" w:color="000000" w:fill="C6EFCE"/>
            <w:noWrap/>
            <w:vAlign w:val="bottom"/>
            <w:hideMark/>
          </w:tcPr>
          <w:p w14:paraId="6984CDBE"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14.0 </w:t>
            </w:r>
          </w:p>
        </w:tc>
        <w:tc>
          <w:tcPr>
            <w:tcW w:w="350" w:type="pct"/>
            <w:tcBorders>
              <w:top w:val="nil"/>
              <w:left w:val="nil"/>
              <w:bottom w:val="nil"/>
              <w:right w:val="nil"/>
            </w:tcBorders>
            <w:shd w:val="clear" w:color="000000" w:fill="C6EFCE"/>
            <w:noWrap/>
            <w:vAlign w:val="bottom"/>
            <w:hideMark/>
          </w:tcPr>
          <w:p w14:paraId="26D5EAC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12.8 </w:t>
            </w:r>
          </w:p>
        </w:tc>
        <w:tc>
          <w:tcPr>
            <w:tcW w:w="350" w:type="pct"/>
            <w:tcBorders>
              <w:top w:val="nil"/>
              <w:left w:val="nil"/>
              <w:bottom w:val="nil"/>
              <w:right w:val="nil"/>
            </w:tcBorders>
            <w:shd w:val="clear" w:color="000000" w:fill="C6EFCE"/>
            <w:noWrap/>
            <w:vAlign w:val="bottom"/>
            <w:hideMark/>
          </w:tcPr>
          <w:p w14:paraId="779DD98B"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11.7 </w:t>
            </w:r>
          </w:p>
        </w:tc>
        <w:tc>
          <w:tcPr>
            <w:tcW w:w="350" w:type="pct"/>
            <w:tcBorders>
              <w:top w:val="nil"/>
              <w:left w:val="nil"/>
              <w:bottom w:val="nil"/>
              <w:right w:val="nil"/>
            </w:tcBorders>
            <w:shd w:val="clear" w:color="000000" w:fill="C6EFCE"/>
            <w:noWrap/>
            <w:vAlign w:val="bottom"/>
            <w:hideMark/>
          </w:tcPr>
          <w:p w14:paraId="7DAF9B3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10.6 </w:t>
            </w:r>
          </w:p>
        </w:tc>
        <w:tc>
          <w:tcPr>
            <w:tcW w:w="350" w:type="pct"/>
            <w:tcBorders>
              <w:top w:val="nil"/>
              <w:left w:val="nil"/>
              <w:bottom w:val="nil"/>
              <w:right w:val="nil"/>
            </w:tcBorders>
            <w:shd w:val="clear" w:color="000000" w:fill="C6EFCE"/>
            <w:noWrap/>
            <w:vAlign w:val="bottom"/>
            <w:hideMark/>
          </w:tcPr>
          <w:p w14:paraId="54E342C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9.5 </w:t>
            </w:r>
          </w:p>
        </w:tc>
        <w:tc>
          <w:tcPr>
            <w:tcW w:w="350" w:type="pct"/>
            <w:tcBorders>
              <w:top w:val="nil"/>
              <w:left w:val="nil"/>
              <w:bottom w:val="nil"/>
              <w:right w:val="nil"/>
            </w:tcBorders>
            <w:shd w:val="clear" w:color="000000" w:fill="C6EFCE"/>
            <w:noWrap/>
            <w:vAlign w:val="bottom"/>
            <w:hideMark/>
          </w:tcPr>
          <w:p w14:paraId="2D86DC56"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8.4 </w:t>
            </w:r>
          </w:p>
        </w:tc>
      </w:tr>
      <w:tr w:rsidR="00280058" w:rsidRPr="002C025E" w14:paraId="6485C7F4" w14:textId="77777777" w:rsidTr="00BB18F6">
        <w:tc>
          <w:tcPr>
            <w:tcW w:w="104" w:type="pct"/>
            <w:vMerge/>
            <w:tcBorders>
              <w:top w:val="nil"/>
              <w:left w:val="nil"/>
              <w:bottom w:val="nil"/>
              <w:right w:val="nil"/>
            </w:tcBorders>
            <w:vAlign w:val="center"/>
            <w:hideMark/>
          </w:tcPr>
          <w:p w14:paraId="37818AEA"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9" w:type="pct"/>
            <w:tcBorders>
              <w:top w:val="nil"/>
              <w:left w:val="nil"/>
              <w:bottom w:val="nil"/>
              <w:right w:val="nil"/>
            </w:tcBorders>
            <w:shd w:val="clear" w:color="auto" w:fill="auto"/>
            <w:noWrap/>
            <w:vAlign w:val="bottom"/>
            <w:hideMark/>
          </w:tcPr>
          <w:p w14:paraId="7FBB11B7"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0.32</w:t>
            </w:r>
          </w:p>
        </w:tc>
        <w:tc>
          <w:tcPr>
            <w:tcW w:w="349" w:type="pct"/>
            <w:tcBorders>
              <w:top w:val="nil"/>
              <w:left w:val="nil"/>
              <w:bottom w:val="nil"/>
              <w:right w:val="nil"/>
            </w:tcBorders>
            <w:shd w:val="clear" w:color="000000" w:fill="FFC7CE"/>
            <w:noWrap/>
            <w:vAlign w:val="bottom"/>
            <w:hideMark/>
          </w:tcPr>
          <w:p w14:paraId="46A38A19"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21.6 </w:t>
            </w:r>
          </w:p>
        </w:tc>
        <w:tc>
          <w:tcPr>
            <w:tcW w:w="349" w:type="pct"/>
            <w:tcBorders>
              <w:top w:val="nil"/>
              <w:left w:val="nil"/>
              <w:bottom w:val="nil"/>
              <w:right w:val="nil"/>
            </w:tcBorders>
            <w:shd w:val="clear" w:color="000000" w:fill="FFC7CE"/>
            <w:noWrap/>
            <w:vAlign w:val="bottom"/>
            <w:hideMark/>
          </w:tcPr>
          <w:p w14:paraId="0AF5BB39"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20.4 </w:t>
            </w:r>
          </w:p>
        </w:tc>
        <w:tc>
          <w:tcPr>
            <w:tcW w:w="349" w:type="pct"/>
            <w:tcBorders>
              <w:top w:val="nil"/>
              <w:left w:val="nil"/>
              <w:bottom w:val="nil"/>
              <w:right w:val="nil"/>
            </w:tcBorders>
            <w:shd w:val="clear" w:color="000000" w:fill="C6EFCE"/>
            <w:noWrap/>
            <w:vAlign w:val="bottom"/>
            <w:hideMark/>
          </w:tcPr>
          <w:p w14:paraId="101C40E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19.2 </w:t>
            </w:r>
          </w:p>
        </w:tc>
        <w:tc>
          <w:tcPr>
            <w:tcW w:w="350" w:type="pct"/>
            <w:tcBorders>
              <w:top w:val="nil"/>
              <w:left w:val="nil"/>
              <w:bottom w:val="nil"/>
              <w:right w:val="nil"/>
            </w:tcBorders>
            <w:shd w:val="clear" w:color="000000" w:fill="C6EFCE"/>
            <w:noWrap/>
            <w:vAlign w:val="bottom"/>
            <w:hideMark/>
          </w:tcPr>
          <w:p w14:paraId="26F233B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18.1 </w:t>
            </w:r>
          </w:p>
        </w:tc>
        <w:tc>
          <w:tcPr>
            <w:tcW w:w="350" w:type="pct"/>
            <w:tcBorders>
              <w:top w:val="nil"/>
              <w:left w:val="nil"/>
              <w:bottom w:val="nil"/>
              <w:right w:val="nil"/>
            </w:tcBorders>
            <w:shd w:val="clear" w:color="000000" w:fill="C6EFCE"/>
            <w:noWrap/>
            <w:vAlign w:val="bottom"/>
            <w:hideMark/>
          </w:tcPr>
          <w:p w14:paraId="34B78306"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16.9 </w:t>
            </w:r>
          </w:p>
        </w:tc>
        <w:tc>
          <w:tcPr>
            <w:tcW w:w="350" w:type="pct"/>
            <w:tcBorders>
              <w:top w:val="nil"/>
              <w:left w:val="nil"/>
              <w:bottom w:val="nil"/>
              <w:right w:val="nil"/>
            </w:tcBorders>
            <w:shd w:val="clear" w:color="000000" w:fill="C6EFCE"/>
            <w:noWrap/>
            <w:vAlign w:val="bottom"/>
            <w:hideMark/>
          </w:tcPr>
          <w:p w14:paraId="7F2A3AD8"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15.8 </w:t>
            </w:r>
          </w:p>
        </w:tc>
        <w:tc>
          <w:tcPr>
            <w:tcW w:w="350" w:type="pct"/>
            <w:tcBorders>
              <w:top w:val="nil"/>
              <w:left w:val="nil"/>
              <w:bottom w:val="nil"/>
              <w:right w:val="nil"/>
            </w:tcBorders>
            <w:shd w:val="clear" w:color="000000" w:fill="C6EFCE"/>
            <w:noWrap/>
            <w:vAlign w:val="bottom"/>
            <w:hideMark/>
          </w:tcPr>
          <w:p w14:paraId="12205D1E"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14.6 </w:t>
            </w:r>
          </w:p>
        </w:tc>
        <w:tc>
          <w:tcPr>
            <w:tcW w:w="350" w:type="pct"/>
            <w:tcBorders>
              <w:top w:val="nil"/>
              <w:left w:val="nil"/>
              <w:bottom w:val="nil"/>
              <w:right w:val="nil"/>
            </w:tcBorders>
            <w:shd w:val="clear" w:color="000000" w:fill="C6EFCE"/>
            <w:noWrap/>
            <w:vAlign w:val="bottom"/>
            <w:hideMark/>
          </w:tcPr>
          <w:p w14:paraId="7EA10A0E"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13.5 </w:t>
            </w:r>
          </w:p>
        </w:tc>
        <w:tc>
          <w:tcPr>
            <w:tcW w:w="350" w:type="pct"/>
            <w:tcBorders>
              <w:top w:val="nil"/>
              <w:left w:val="nil"/>
              <w:bottom w:val="nil"/>
              <w:right w:val="nil"/>
            </w:tcBorders>
            <w:shd w:val="clear" w:color="000000" w:fill="C6EFCE"/>
            <w:noWrap/>
            <w:vAlign w:val="bottom"/>
            <w:hideMark/>
          </w:tcPr>
          <w:p w14:paraId="030BCA3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12.4 </w:t>
            </w:r>
          </w:p>
        </w:tc>
        <w:tc>
          <w:tcPr>
            <w:tcW w:w="350" w:type="pct"/>
            <w:tcBorders>
              <w:top w:val="nil"/>
              <w:left w:val="nil"/>
              <w:bottom w:val="nil"/>
              <w:right w:val="nil"/>
            </w:tcBorders>
            <w:shd w:val="clear" w:color="000000" w:fill="C6EFCE"/>
            <w:noWrap/>
            <w:vAlign w:val="bottom"/>
            <w:hideMark/>
          </w:tcPr>
          <w:p w14:paraId="7658DDF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11.3 </w:t>
            </w:r>
          </w:p>
        </w:tc>
        <w:tc>
          <w:tcPr>
            <w:tcW w:w="350" w:type="pct"/>
            <w:tcBorders>
              <w:top w:val="nil"/>
              <w:left w:val="nil"/>
              <w:bottom w:val="nil"/>
              <w:right w:val="nil"/>
            </w:tcBorders>
            <w:shd w:val="clear" w:color="000000" w:fill="C6EFCE"/>
            <w:noWrap/>
            <w:vAlign w:val="bottom"/>
            <w:hideMark/>
          </w:tcPr>
          <w:p w14:paraId="4A484BF6"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10.2 </w:t>
            </w:r>
          </w:p>
        </w:tc>
        <w:tc>
          <w:tcPr>
            <w:tcW w:w="350" w:type="pct"/>
            <w:tcBorders>
              <w:top w:val="nil"/>
              <w:left w:val="nil"/>
              <w:bottom w:val="nil"/>
              <w:right w:val="nil"/>
            </w:tcBorders>
            <w:shd w:val="clear" w:color="000000" w:fill="C6EFCE"/>
            <w:noWrap/>
            <w:vAlign w:val="bottom"/>
            <w:hideMark/>
          </w:tcPr>
          <w:p w14:paraId="5296F741"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9.2 </w:t>
            </w:r>
          </w:p>
        </w:tc>
        <w:tc>
          <w:tcPr>
            <w:tcW w:w="350" w:type="pct"/>
            <w:tcBorders>
              <w:top w:val="nil"/>
              <w:left w:val="nil"/>
              <w:bottom w:val="nil"/>
              <w:right w:val="nil"/>
            </w:tcBorders>
            <w:shd w:val="clear" w:color="000000" w:fill="C6EFCE"/>
            <w:noWrap/>
            <w:vAlign w:val="bottom"/>
            <w:hideMark/>
          </w:tcPr>
          <w:p w14:paraId="04985F1E"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8.1 </w:t>
            </w:r>
          </w:p>
        </w:tc>
      </w:tr>
      <w:tr w:rsidR="00280058" w:rsidRPr="002C025E" w14:paraId="10B08319" w14:textId="77777777" w:rsidTr="00BB18F6">
        <w:tc>
          <w:tcPr>
            <w:tcW w:w="104" w:type="pct"/>
            <w:vMerge/>
            <w:tcBorders>
              <w:top w:val="nil"/>
              <w:left w:val="nil"/>
              <w:bottom w:val="nil"/>
              <w:right w:val="nil"/>
            </w:tcBorders>
            <w:vAlign w:val="center"/>
            <w:hideMark/>
          </w:tcPr>
          <w:p w14:paraId="7B54D579"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9" w:type="pct"/>
            <w:tcBorders>
              <w:top w:val="nil"/>
              <w:left w:val="nil"/>
              <w:bottom w:val="nil"/>
              <w:right w:val="nil"/>
            </w:tcBorders>
            <w:shd w:val="clear" w:color="auto" w:fill="auto"/>
            <w:noWrap/>
            <w:vAlign w:val="bottom"/>
            <w:hideMark/>
          </w:tcPr>
          <w:p w14:paraId="008E6A23"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0.33</w:t>
            </w:r>
          </w:p>
        </w:tc>
        <w:tc>
          <w:tcPr>
            <w:tcW w:w="349" w:type="pct"/>
            <w:tcBorders>
              <w:top w:val="nil"/>
              <w:left w:val="nil"/>
              <w:bottom w:val="nil"/>
              <w:right w:val="nil"/>
            </w:tcBorders>
            <w:shd w:val="clear" w:color="000000" w:fill="FFC7CE"/>
            <w:noWrap/>
            <w:vAlign w:val="bottom"/>
            <w:hideMark/>
          </w:tcPr>
          <w:p w14:paraId="728A78D5"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20.9 </w:t>
            </w:r>
          </w:p>
        </w:tc>
        <w:tc>
          <w:tcPr>
            <w:tcW w:w="349" w:type="pct"/>
            <w:tcBorders>
              <w:top w:val="nil"/>
              <w:left w:val="nil"/>
              <w:bottom w:val="nil"/>
              <w:right w:val="nil"/>
            </w:tcBorders>
            <w:shd w:val="clear" w:color="000000" w:fill="C6EFCE"/>
            <w:noWrap/>
            <w:vAlign w:val="bottom"/>
            <w:hideMark/>
          </w:tcPr>
          <w:p w14:paraId="454A8575"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19.7 </w:t>
            </w:r>
          </w:p>
        </w:tc>
        <w:tc>
          <w:tcPr>
            <w:tcW w:w="349" w:type="pct"/>
            <w:tcBorders>
              <w:top w:val="nil"/>
              <w:left w:val="nil"/>
              <w:bottom w:val="nil"/>
              <w:right w:val="nil"/>
            </w:tcBorders>
            <w:shd w:val="clear" w:color="000000" w:fill="C6EFCE"/>
            <w:noWrap/>
            <w:vAlign w:val="bottom"/>
            <w:hideMark/>
          </w:tcPr>
          <w:p w14:paraId="56EEA51B"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18.6 </w:t>
            </w:r>
          </w:p>
        </w:tc>
        <w:tc>
          <w:tcPr>
            <w:tcW w:w="350" w:type="pct"/>
            <w:tcBorders>
              <w:top w:val="nil"/>
              <w:left w:val="nil"/>
              <w:bottom w:val="nil"/>
              <w:right w:val="nil"/>
            </w:tcBorders>
            <w:shd w:val="clear" w:color="000000" w:fill="C6EFCE"/>
            <w:noWrap/>
            <w:vAlign w:val="bottom"/>
            <w:hideMark/>
          </w:tcPr>
          <w:p w14:paraId="1C40E13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17.5 </w:t>
            </w:r>
          </w:p>
        </w:tc>
        <w:tc>
          <w:tcPr>
            <w:tcW w:w="350" w:type="pct"/>
            <w:tcBorders>
              <w:top w:val="nil"/>
              <w:left w:val="nil"/>
              <w:bottom w:val="nil"/>
              <w:right w:val="nil"/>
            </w:tcBorders>
            <w:shd w:val="clear" w:color="000000" w:fill="C6EFCE"/>
            <w:noWrap/>
            <w:vAlign w:val="bottom"/>
            <w:hideMark/>
          </w:tcPr>
          <w:p w14:paraId="000CBDB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16.4 </w:t>
            </w:r>
          </w:p>
        </w:tc>
        <w:tc>
          <w:tcPr>
            <w:tcW w:w="350" w:type="pct"/>
            <w:tcBorders>
              <w:top w:val="nil"/>
              <w:left w:val="nil"/>
              <w:bottom w:val="nil"/>
              <w:right w:val="nil"/>
            </w:tcBorders>
            <w:shd w:val="clear" w:color="000000" w:fill="C6EFCE"/>
            <w:noWrap/>
            <w:vAlign w:val="bottom"/>
            <w:hideMark/>
          </w:tcPr>
          <w:p w14:paraId="03D7F5C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15.3 </w:t>
            </w:r>
          </w:p>
        </w:tc>
        <w:tc>
          <w:tcPr>
            <w:tcW w:w="350" w:type="pct"/>
            <w:tcBorders>
              <w:top w:val="nil"/>
              <w:left w:val="nil"/>
              <w:bottom w:val="nil"/>
              <w:right w:val="nil"/>
            </w:tcBorders>
            <w:shd w:val="clear" w:color="000000" w:fill="C6EFCE"/>
            <w:noWrap/>
            <w:vAlign w:val="bottom"/>
            <w:hideMark/>
          </w:tcPr>
          <w:p w14:paraId="0EFD4970"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14.2 </w:t>
            </w:r>
          </w:p>
        </w:tc>
        <w:tc>
          <w:tcPr>
            <w:tcW w:w="350" w:type="pct"/>
            <w:tcBorders>
              <w:top w:val="nil"/>
              <w:left w:val="nil"/>
              <w:bottom w:val="nil"/>
              <w:right w:val="nil"/>
            </w:tcBorders>
            <w:shd w:val="clear" w:color="000000" w:fill="C6EFCE"/>
            <w:noWrap/>
            <w:vAlign w:val="bottom"/>
            <w:hideMark/>
          </w:tcPr>
          <w:p w14:paraId="25F702E8"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13.1 </w:t>
            </w:r>
          </w:p>
        </w:tc>
        <w:tc>
          <w:tcPr>
            <w:tcW w:w="350" w:type="pct"/>
            <w:tcBorders>
              <w:top w:val="nil"/>
              <w:left w:val="nil"/>
              <w:bottom w:val="nil"/>
              <w:right w:val="nil"/>
            </w:tcBorders>
            <w:shd w:val="clear" w:color="000000" w:fill="C6EFCE"/>
            <w:noWrap/>
            <w:vAlign w:val="bottom"/>
            <w:hideMark/>
          </w:tcPr>
          <w:p w14:paraId="10374EED"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12.0 </w:t>
            </w:r>
          </w:p>
        </w:tc>
        <w:tc>
          <w:tcPr>
            <w:tcW w:w="350" w:type="pct"/>
            <w:tcBorders>
              <w:top w:val="nil"/>
              <w:left w:val="nil"/>
              <w:bottom w:val="nil"/>
              <w:right w:val="nil"/>
            </w:tcBorders>
            <w:shd w:val="clear" w:color="000000" w:fill="C6EFCE"/>
            <w:noWrap/>
            <w:vAlign w:val="bottom"/>
            <w:hideMark/>
          </w:tcPr>
          <w:p w14:paraId="34DB96CA"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11.0 </w:t>
            </w:r>
          </w:p>
        </w:tc>
        <w:tc>
          <w:tcPr>
            <w:tcW w:w="350" w:type="pct"/>
            <w:tcBorders>
              <w:top w:val="nil"/>
              <w:left w:val="nil"/>
              <w:bottom w:val="nil"/>
              <w:right w:val="nil"/>
            </w:tcBorders>
            <w:shd w:val="clear" w:color="000000" w:fill="C6EFCE"/>
            <w:noWrap/>
            <w:vAlign w:val="bottom"/>
            <w:hideMark/>
          </w:tcPr>
          <w:p w14:paraId="6734A22A"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9.9 </w:t>
            </w:r>
          </w:p>
        </w:tc>
        <w:tc>
          <w:tcPr>
            <w:tcW w:w="350" w:type="pct"/>
            <w:tcBorders>
              <w:top w:val="nil"/>
              <w:left w:val="nil"/>
              <w:bottom w:val="nil"/>
              <w:right w:val="nil"/>
            </w:tcBorders>
            <w:shd w:val="clear" w:color="000000" w:fill="C6EFCE"/>
            <w:noWrap/>
            <w:vAlign w:val="bottom"/>
            <w:hideMark/>
          </w:tcPr>
          <w:p w14:paraId="693E1CD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8.9 </w:t>
            </w:r>
          </w:p>
        </w:tc>
        <w:tc>
          <w:tcPr>
            <w:tcW w:w="350" w:type="pct"/>
            <w:tcBorders>
              <w:top w:val="nil"/>
              <w:left w:val="nil"/>
              <w:bottom w:val="nil"/>
              <w:right w:val="nil"/>
            </w:tcBorders>
            <w:shd w:val="clear" w:color="000000" w:fill="C6EFCE"/>
            <w:noWrap/>
            <w:vAlign w:val="bottom"/>
            <w:hideMark/>
          </w:tcPr>
          <w:p w14:paraId="0EE5606A"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7.8 </w:t>
            </w:r>
          </w:p>
        </w:tc>
      </w:tr>
      <w:tr w:rsidR="00280058" w:rsidRPr="002C025E" w14:paraId="1CE67B0D" w14:textId="77777777" w:rsidTr="00BB18F6">
        <w:tc>
          <w:tcPr>
            <w:tcW w:w="104" w:type="pct"/>
            <w:vMerge/>
            <w:tcBorders>
              <w:top w:val="nil"/>
              <w:left w:val="nil"/>
              <w:bottom w:val="nil"/>
              <w:right w:val="nil"/>
            </w:tcBorders>
            <w:vAlign w:val="center"/>
            <w:hideMark/>
          </w:tcPr>
          <w:p w14:paraId="5EA21F96"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9" w:type="pct"/>
            <w:tcBorders>
              <w:top w:val="nil"/>
              <w:left w:val="nil"/>
              <w:bottom w:val="nil"/>
              <w:right w:val="nil"/>
            </w:tcBorders>
            <w:shd w:val="clear" w:color="auto" w:fill="auto"/>
            <w:noWrap/>
            <w:vAlign w:val="bottom"/>
            <w:hideMark/>
          </w:tcPr>
          <w:p w14:paraId="0CA29E9A"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0.34</w:t>
            </w:r>
          </w:p>
        </w:tc>
        <w:tc>
          <w:tcPr>
            <w:tcW w:w="349" w:type="pct"/>
            <w:tcBorders>
              <w:top w:val="nil"/>
              <w:left w:val="nil"/>
              <w:bottom w:val="nil"/>
              <w:right w:val="nil"/>
            </w:tcBorders>
            <w:shd w:val="clear" w:color="000000" w:fill="FFC7CE"/>
            <w:noWrap/>
            <w:vAlign w:val="bottom"/>
            <w:hideMark/>
          </w:tcPr>
          <w:p w14:paraId="55AB3D01" w14:textId="77777777" w:rsidR="00280058" w:rsidRPr="00DF3A8E" w:rsidRDefault="00280058" w:rsidP="00BB18F6">
            <w:pPr>
              <w:spacing w:after="0" w:line="240" w:lineRule="auto"/>
              <w:rPr>
                <w:rFonts w:ascii="Arial" w:eastAsia="Times New Roman" w:hAnsi="Arial" w:cs="Arial"/>
                <w:color w:val="9C0006"/>
                <w:sz w:val="18"/>
                <w:szCs w:val="18"/>
                <w:lang w:val="lt-LT" w:eastAsia="lt-LT"/>
              </w:rPr>
            </w:pPr>
            <w:r w:rsidRPr="00DF3A8E">
              <w:rPr>
                <w:rFonts w:ascii="Arial" w:eastAsia="Times New Roman" w:hAnsi="Arial" w:cs="Arial"/>
                <w:color w:val="9C0006"/>
                <w:sz w:val="18"/>
                <w:szCs w:val="18"/>
                <w:lang w:val="lt-LT" w:eastAsia="lt-LT"/>
              </w:rPr>
              <w:t xml:space="preserve">            20.2 </w:t>
            </w:r>
          </w:p>
        </w:tc>
        <w:tc>
          <w:tcPr>
            <w:tcW w:w="349" w:type="pct"/>
            <w:tcBorders>
              <w:top w:val="nil"/>
              <w:left w:val="nil"/>
              <w:bottom w:val="nil"/>
              <w:right w:val="nil"/>
            </w:tcBorders>
            <w:shd w:val="clear" w:color="000000" w:fill="C6EFCE"/>
            <w:noWrap/>
            <w:vAlign w:val="bottom"/>
            <w:hideMark/>
          </w:tcPr>
          <w:p w14:paraId="25503F02"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19.1 </w:t>
            </w:r>
          </w:p>
        </w:tc>
        <w:tc>
          <w:tcPr>
            <w:tcW w:w="349" w:type="pct"/>
            <w:tcBorders>
              <w:top w:val="nil"/>
              <w:left w:val="nil"/>
              <w:bottom w:val="nil"/>
              <w:right w:val="nil"/>
            </w:tcBorders>
            <w:shd w:val="clear" w:color="000000" w:fill="C6EFCE"/>
            <w:noWrap/>
            <w:vAlign w:val="bottom"/>
            <w:hideMark/>
          </w:tcPr>
          <w:p w14:paraId="128DFBE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18.0 </w:t>
            </w:r>
          </w:p>
        </w:tc>
        <w:tc>
          <w:tcPr>
            <w:tcW w:w="350" w:type="pct"/>
            <w:tcBorders>
              <w:top w:val="nil"/>
              <w:left w:val="nil"/>
              <w:bottom w:val="nil"/>
              <w:right w:val="nil"/>
            </w:tcBorders>
            <w:shd w:val="clear" w:color="000000" w:fill="C6EFCE"/>
            <w:noWrap/>
            <w:vAlign w:val="bottom"/>
            <w:hideMark/>
          </w:tcPr>
          <w:p w14:paraId="6C06A8E2"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16.9 </w:t>
            </w:r>
          </w:p>
        </w:tc>
        <w:tc>
          <w:tcPr>
            <w:tcW w:w="350" w:type="pct"/>
            <w:tcBorders>
              <w:top w:val="nil"/>
              <w:left w:val="nil"/>
              <w:bottom w:val="nil"/>
              <w:right w:val="nil"/>
            </w:tcBorders>
            <w:shd w:val="clear" w:color="000000" w:fill="C6EFCE"/>
            <w:noWrap/>
            <w:vAlign w:val="bottom"/>
            <w:hideMark/>
          </w:tcPr>
          <w:p w14:paraId="5689D49F"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15.8 </w:t>
            </w:r>
          </w:p>
        </w:tc>
        <w:tc>
          <w:tcPr>
            <w:tcW w:w="350" w:type="pct"/>
            <w:tcBorders>
              <w:top w:val="nil"/>
              <w:left w:val="nil"/>
              <w:bottom w:val="nil"/>
              <w:right w:val="nil"/>
            </w:tcBorders>
            <w:shd w:val="clear" w:color="000000" w:fill="C6EFCE"/>
            <w:noWrap/>
            <w:vAlign w:val="bottom"/>
            <w:hideMark/>
          </w:tcPr>
          <w:p w14:paraId="00AEAE9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14.8 </w:t>
            </w:r>
          </w:p>
        </w:tc>
        <w:tc>
          <w:tcPr>
            <w:tcW w:w="350" w:type="pct"/>
            <w:tcBorders>
              <w:top w:val="nil"/>
              <w:left w:val="nil"/>
              <w:bottom w:val="nil"/>
              <w:right w:val="nil"/>
            </w:tcBorders>
            <w:shd w:val="clear" w:color="000000" w:fill="C6EFCE"/>
            <w:noWrap/>
            <w:vAlign w:val="bottom"/>
            <w:hideMark/>
          </w:tcPr>
          <w:p w14:paraId="486D37CA"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13.7 </w:t>
            </w:r>
          </w:p>
        </w:tc>
        <w:tc>
          <w:tcPr>
            <w:tcW w:w="350" w:type="pct"/>
            <w:tcBorders>
              <w:top w:val="nil"/>
              <w:left w:val="nil"/>
              <w:bottom w:val="nil"/>
              <w:right w:val="nil"/>
            </w:tcBorders>
            <w:shd w:val="clear" w:color="000000" w:fill="C6EFCE"/>
            <w:noWrap/>
            <w:vAlign w:val="bottom"/>
            <w:hideMark/>
          </w:tcPr>
          <w:p w14:paraId="2102252A"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12.7 </w:t>
            </w:r>
          </w:p>
        </w:tc>
        <w:tc>
          <w:tcPr>
            <w:tcW w:w="350" w:type="pct"/>
            <w:tcBorders>
              <w:top w:val="nil"/>
              <w:left w:val="nil"/>
              <w:bottom w:val="nil"/>
              <w:right w:val="nil"/>
            </w:tcBorders>
            <w:shd w:val="clear" w:color="000000" w:fill="C6EFCE"/>
            <w:noWrap/>
            <w:vAlign w:val="bottom"/>
            <w:hideMark/>
          </w:tcPr>
          <w:p w14:paraId="6A5886F6"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11.6 </w:t>
            </w:r>
          </w:p>
        </w:tc>
        <w:tc>
          <w:tcPr>
            <w:tcW w:w="350" w:type="pct"/>
            <w:tcBorders>
              <w:top w:val="nil"/>
              <w:left w:val="nil"/>
              <w:bottom w:val="nil"/>
              <w:right w:val="nil"/>
            </w:tcBorders>
            <w:shd w:val="clear" w:color="000000" w:fill="C6EFCE"/>
            <w:noWrap/>
            <w:vAlign w:val="bottom"/>
            <w:hideMark/>
          </w:tcPr>
          <w:p w14:paraId="613E68E0"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10.6 </w:t>
            </w:r>
          </w:p>
        </w:tc>
        <w:tc>
          <w:tcPr>
            <w:tcW w:w="350" w:type="pct"/>
            <w:tcBorders>
              <w:top w:val="nil"/>
              <w:left w:val="nil"/>
              <w:bottom w:val="nil"/>
              <w:right w:val="nil"/>
            </w:tcBorders>
            <w:shd w:val="clear" w:color="000000" w:fill="C6EFCE"/>
            <w:noWrap/>
            <w:vAlign w:val="bottom"/>
            <w:hideMark/>
          </w:tcPr>
          <w:p w14:paraId="324A4D97"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9.6 </w:t>
            </w:r>
          </w:p>
        </w:tc>
        <w:tc>
          <w:tcPr>
            <w:tcW w:w="350" w:type="pct"/>
            <w:tcBorders>
              <w:top w:val="nil"/>
              <w:left w:val="nil"/>
              <w:bottom w:val="nil"/>
              <w:right w:val="nil"/>
            </w:tcBorders>
            <w:shd w:val="clear" w:color="000000" w:fill="C6EFCE"/>
            <w:noWrap/>
            <w:vAlign w:val="bottom"/>
            <w:hideMark/>
          </w:tcPr>
          <w:p w14:paraId="678F6921"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8.6 </w:t>
            </w:r>
          </w:p>
        </w:tc>
        <w:tc>
          <w:tcPr>
            <w:tcW w:w="350" w:type="pct"/>
            <w:tcBorders>
              <w:top w:val="nil"/>
              <w:left w:val="nil"/>
              <w:bottom w:val="nil"/>
              <w:right w:val="nil"/>
            </w:tcBorders>
            <w:shd w:val="clear" w:color="000000" w:fill="C6EFCE"/>
            <w:noWrap/>
            <w:vAlign w:val="bottom"/>
            <w:hideMark/>
          </w:tcPr>
          <w:p w14:paraId="03C0F793"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7.6 </w:t>
            </w:r>
          </w:p>
        </w:tc>
      </w:tr>
      <w:tr w:rsidR="00280058" w:rsidRPr="002C025E" w14:paraId="6B32C281" w14:textId="77777777" w:rsidTr="00BB18F6">
        <w:tc>
          <w:tcPr>
            <w:tcW w:w="104" w:type="pct"/>
            <w:vMerge/>
            <w:tcBorders>
              <w:top w:val="nil"/>
              <w:left w:val="nil"/>
              <w:bottom w:val="nil"/>
              <w:right w:val="nil"/>
            </w:tcBorders>
            <w:vAlign w:val="center"/>
            <w:hideMark/>
          </w:tcPr>
          <w:p w14:paraId="510B617C"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9" w:type="pct"/>
            <w:tcBorders>
              <w:top w:val="nil"/>
              <w:left w:val="nil"/>
              <w:bottom w:val="nil"/>
              <w:right w:val="nil"/>
            </w:tcBorders>
            <w:shd w:val="clear" w:color="auto" w:fill="auto"/>
            <w:noWrap/>
            <w:vAlign w:val="bottom"/>
            <w:hideMark/>
          </w:tcPr>
          <w:p w14:paraId="3CA7C1FE"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0.35</w:t>
            </w:r>
          </w:p>
        </w:tc>
        <w:tc>
          <w:tcPr>
            <w:tcW w:w="349" w:type="pct"/>
            <w:tcBorders>
              <w:top w:val="nil"/>
              <w:left w:val="nil"/>
              <w:bottom w:val="nil"/>
              <w:right w:val="nil"/>
            </w:tcBorders>
            <w:shd w:val="clear" w:color="000000" w:fill="C6EFCE"/>
            <w:noWrap/>
            <w:vAlign w:val="bottom"/>
            <w:hideMark/>
          </w:tcPr>
          <w:p w14:paraId="0AC9EEFD"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19.6 </w:t>
            </w:r>
          </w:p>
        </w:tc>
        <w:tc>
          <w:tcPr>
            <w:tcW w:w="349" w:type="pct"/>
            <w:tcBorders>
              <w:top w:val="nil"/>
              <w:left w:val="nil"/>
              <w:bottom w:val="nil"/>
              <w:right w:val="nil"/>
            </w:tcBorders>
            <w:shd w:val="clear" w:color="000000" w:fill="C6EFCE"/>
            <w:noWrap/>
            <w:vAlign w:val="bottom"/>
            <w:hideMark/>
          </w:tcPr>
          <w:p w14:paraId="7FE21ED9"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18.5 </w:t>
            </w:r>
          </w:p>
        </w:tc>
        <w:tc>
          <w:tcPr>
            <w:tcW w:w="349" w:type="pct"/>
            <w:tcBorders>
              <w:top w:val="nil"/>
              <w:left w:val="nil"/>
              <w:bottom w:val="nil"/>
              <w:right w:val="nil"/>
            </w:tcBorders>
            <w:shd w:val="clear" w:color="000000" w:fill="C6EFCE"/>
            <w:noWrap/>
            <w:vAlign w:val="bottom"/>
            <w:hideMark/>
          </w:tcPr>
          <w:p w14:paraId="20C65ADA"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17.4 </w:t>
            </w:r>
          </w:p>
        </w:tc>
        <w:tc>
          <w:tcPr>
            <w:tcW w:w="350" w:type="pct"/>
            <w:tcBorders>
              <w:top w:val="nil"/>
              <w:left w:val="nil"/>
              <w:bottom w:val="nil"/>
              <w:right w:val="nil"/>
            </w:tcBorders>
            <w:shd w:val="clear" w:color="000000" w:fill="C6EFCE"/>
            <w:noWrap/>
            <w:vAlign w:val="bottom"/>
            <w:hideMark/>
          </w:tcPr>
          <w:p w14:paraId="749825F3"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16.4 </w:t>
            </w:r>
          </w:p>
        </w:tc>
        <w:tc>
          <w:tcPr>
            <w:tcW w:w="350" w:type="pct"/>
            <w:tcBorders>
              <w:top w:val="nil"/>
              <w:left w:val="nil"/>
              <w:bottom w:val="nil"/>
              <w:right w:val="nil"/>
            </w:tcBorders>
            <w:shd w:val="clear" w:color="000000" w:fill="C6EFCE"/>
            <w:noWrap/>
            <w:vAlign w:val="bottom"/>
            <w:hideMark/>
          </w:tcPr>
          <w:p w14:paraId="0BF4C36E"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15.3 </w:t>
            </w:r>
          </w:p>
        </w:tc>
        <w:tc>
          <w:tcPr>
            <w:tcW w:w="350" w:type="pct"/>
            <w:tcBorders>
              <w:top w:val="nil"/>
              <w:left w:val="nil"/>
              <w:bottom w:val="nil"/>
              <w:right w:val="nil"/>
            </w:tcBorders>
            <w:shd w:val="clear" w:color="000000" w:fill="C6EFCE"/>
            <w:noWrap/>
            <w:vAlign w:val="bottom"/>
            <w:hideMark/>
          </w:tcPr>
          <w:p w14:paraId="47FA1905"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14.3 </w:t>
            </w:r>
          </w:p>
        </w:tc>
        <w:tc>
          <w:tcPr>
            <w:tcW w:w="350" w:type="pct"/>
            <w:tcBorders>
              <w:top w:val="nil"/>
              <w:left w:val="nil"/>
              <w:bottom w:val="nil"/>
              <w:right w:val="nil"/>
            </w:tcBorders>
            <w:shd w:val="clear" w:color="000000" w:fill="C6EFCE"/>
            <w:noWrap/>
            <w:vAlign w:val="bottom"/>
            <w:hideMark/>
          </w:tcPr>
          <w:p w14:paraId="609EA849"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13.3 </w:t>
            </w:r>
          </w:p>
        </w:tc>
        <w:tc>
          <w:tcPr>
            <w:tcW w:w="350" w:type="pct"/>
            <w:tcBorders>
              <w:top w:val="nil"/>
              <w:left w:val="nil"/>
              <w:bottom w:val="nil"/>
              <w:right w:val="nil"/>
            </w:tcBorders>
            <w:shd w:val="clear" w:color="000000" w:fill="C6EFCE"/>
            <w:noWrap/>
            <w:vAlign w:val="bottom"/>
            <w:hideMark/>
          </w:tcPr>
          <w:p w14:paraId="41AADFB2"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12.3 </w:t>
            </w:r>
          </w:p>
        </w:tc>
        <w:tc>
          <w:tcPr>
            <w:tcW w:w="350" w:type="pct"/>
            <w:tcBorders>
              <w:top w:val="nil"/>
              <w:left w:val="nil"/>
              <w:bottom w:val="nil"/>
              <w:right w:val="nil"/>
            </w:tcBorders>
            <w:shd w:val="clear" w:color="000000" w:fill="C6EFCE"/>
            <w:noWrap/>
            <w:vAlign w:val="bottom"/>
            <w:hideMark/>
          </w:tcPr>
          <w:p w14:paraId="53548E13"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11.3 </w:t>
            </w:r>
          </w:p>
        </w:tc>
        <w:tc>
          <w:tcPr>
            <w:tcW w:w="350" w:type="pct"/>
            <w:tcBorders>
              <w:top w:val="nil"/>
              <w:left w:val="nil"/>
              <w:bottom w:val="nil"/>
              <w:right w:val="nil"/>
            </w:tcBorders>
            <w:shd w:val="clear" w:color="000000" w:fill="C6EFCE"/>
            <w:noWrap/>
            <w:vAlign w:val="bottom"/>
            <w:hideMark/>
          </w:tcPr>
          <w:p w14:paraId="6DDB43A5"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10.3 </w:t>
            </w:r>
          </w:p>
        </w:tc>
        <w:tc>
          <w:tcPr>
            <w:tcW w:w="350" w:type="pct"/>
            <w:tcBorders>
              <w:top w:val="nil"/>
              <w:left w:val="nil"/>
              <w:bottom w:val="nil"/>
              <w:right w:val="nil"/>
            </w:tcBorders>
            <w:shd w:val="clear" w:color="000000" w:fill="C6EFCE"/>
            <w:noWrap/>
            <w:vAlign w:val="bottom"/>
            <w:hideMark/>
          </w:tcPr>
          <w:p w14:paraId="0FBEFB7E"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9.3 </w:t>
            </w:r>
          </w:p>
        </w:tc>
        <w:tc>
          <w:tcPr>
            <w:tcW w:w="350" w:type="pct"/>
            <w:tcBorders>
              <w:top w:val="nil"/>
              <w:left w:val="nil"/>
              <w:bottom w:val="nil"/>
              <w:right w:val="nil"/>
            </w:tcBorders>
            <w:shd w:val="clear" w:color="000000" w:fill="C6EFCE"/>
            <w:noWrap/>
            <w:vAlign w:val="bottom"/>
            <w:hideMark/>
          </w:tcPr>
          <w:p w14:paraId="2CC2CFA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8.3 </w:t>
            </w:r>
          </w:p>
        </w:tc>
        <w:tc>
          <w:tcPr>
            <w:tcW w:w="350" w:type="pct"/>
            <w:tcBorders>
              <w:top w:val="nil"/>
              <w:left w:val="nil"/>
              <w:bottom w:val="nil"/>
              <w:right w:val="nil"/>
            </w:tcBorders>
            <w:shd w:val="clear" w:color="000000" w:fill="C6EFCE"/>
            <w:noWrap/>
            <w:vAlign w:val="bottom"/>
            <w:hideMark/>
          </w:tcPr>
          <w:p w14:paraId="48A4894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7.4 </w:t>
            </w:r>
          </w:p>
        </w:tc>
      </w:tr>
      <w:tr w:rsidR="00280058" w:rsidRPr="002C025E" w14:paraId="39A86F46" w14:textId="77777777" w:rsidTr="00BB18F6">
        <w:tc>
          <w:tcPr>
            <w:tcW w:w="104" w:type="pct"/>
            <w:vMerge/>
            <w:tcBorders>
              <w:top w:val="nil"/>
              <w:left w:val="nil"/>
              <w:bottom w:val="nil"/>
              <w:right w:val="nil"/>
            </w:tcBorders>
            <w:vAlign w:val="center"/>
            <w:hideMark/>
          </w:tcPr>
          <w:p w14:paraId="155CAFAC"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349" w:type="pct"/>
            <w:tcBorders>
              <w:top w:val="nil"/>
              <w:left w:val="nil"/>
              <w:bottom w:val="nil"/>
              <w:right w:val="nil"/>
            </w:tcBorders>
            <w:shd w:val="clear" w:color="auto" w:fill="auto"/>
            <w:noWrap/>
            <w:vAlign w:val="bottom"/>
            <w:hideMark/>
          </w:tcPr>
          <w:p w14:paraId="1FCC270A"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0.36</w:t>
            </w:r>
          </w:p>
        </w:tc>
        <w:tc>
          <w:tcPr>
            <w:tcW w:w="349" w:type="pct"/>
            <w:tcBorders>
              <w:top w:val="nil"/>
              <w:left w:val="nil"/>
              <w:bottom w:val="nil"/>
              <w:right w:val="nil"/>
            </w:tcBorders>
            <w:shd w:val="clear" w:color="000000" w:fill="C6EFCE"/>
            <w:noWrap/>
            <w:vAlign w:val="bottom"/>
            <w:hideMark/>
          </w:tcPr>
          <w:p w14:paraId="76025E08"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19.0 </w:t>
            </w:r>
          </w:p>
        </w:tc>
        <w:tc>
          <w:tcPr>
            <w:tcW w:w="349" w:type="pct"/>
            <w:tcBorders>
              <w:top w:val="nil"/>
              <w:left w:val="nil"/>
              <w:bottom w:val="nil"/>
              <w:right w:val="nil"/>
            </w:tcBorders>
            <w:shd w:val="clear" w:color="000000" w:fill="C6EFCE"/>
            <w:noWrap/>
            <w:vAlign w:val="bottom"/>
            <w:hideMark/>
          </w:tcPr>
          <w:p w14:paraId="53DE49F9"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17.9 </w:t>
            </w:r>
          </w:p>
        </w:tc>
        <w:tc>
          <w:tcPr>
            <w:tcW w:w="349" w:type="pct"/>
            <w:tcBorders>
              <w:top w:val="nil"/>
              <w:left w:val="nil"/>
              <w:bottom w:val="nil"/>
              <w:right w:val="nil"/>
            </w:tcBorders>
            <w:shd w:val="clear" w:color="000000" w:fill="C6EFCE"/>
            <w:noWrap/>
            <w:vAlign w:val="bottom"/>
            <w:hideMark/>
          </w:tcPr>
          <w:p w14:paraId="11C8B30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16.9 </w:t>
            </w:r>
          </w:p>
        </w:tc>
        <w:tc>
          <w:tcPr>
            <w:tcW w:w="350" w:type="pct"/>
            <w:tcBorders>
              <w:top w:val="nil"/>
              <w:left w:val="nil"/>
              <w:bottom w:val="nil"/>
              <w:right w:val="nil"/>
            </w:tcBorders>
            <w:shd w:val="clear" w:color="000000" w:fill="C6EFCE"/>
            <w:noWrap/>
            <w:vAlign w:val="bottom"/>
            <w:hideMark/>
          </w:tcPr>
          <w:p w14:paraId="5B8981D0"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15.9 </w:t>
            </w:r>
          </w:p>
        </w:tc>
        <w:tc>
          <w:tcPr>
            <w:tcW w:w="350" w:type="pct"/>
            <w:tcBorders>
              <w:top w:val="nil"/>
              <w:left w:val="nil"/>
              <w:bottom w:val="nil"/>
              <w:right w:val="nil"/>
            </w:tcBorders>
            <w:shd w:val="clear" w:color="000000" w:fill="C6EFCE"/>
            <w:noWrap/>
            <w:vAlign w:val="bottom"/>
            <w:hideMark/>
          </w:tcPr>
          <w:p w14:paraId="4545FA1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14.9 </w:t>
            </w:r>
          </w:p>
        </w:tc>
        <w:tc>
          <w:tcPr>
            <w:tcW w:w="350" w:type="pct"/>
            <w:tcBorders>
              <w:top w:val="nil"/>
              <w:left w:val="nil"/>
              <w:bottom w:val="nil"/>
              <w:right w:val="nil"/>
            </w:tcBorders>
            <w:shd w:val="clear" w:color="000000" w:fill="C6EFCE"/>
            <w:noWrap/>
            <w:vAlign w:val="bottom"/>
            <w:hideMark/>
          </w:tcPr>
          <w:p w14:paraId="2897B239"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13.9 </w:t>
            </w:r>
          </w:p>
        </w:tc>
        <w:tc>
          <w:tcPr>
            <w:tcW w:w="350" w:type="pct"/>
            <w:tcBorders>
              <w:top w:val="nil"/>
              <w:left w:val="nil"/>
              <w:bottom w:val="nil"/>
              <w:right w:val="nil"/>
            </w:tcBorders>
            <w:shd w:val="clear" w:color="000000" w:fill="C6EFCE"/>
            <w:noWrap/>
            <w:vAlign w:val="bottom"/>
            <w:hideMark/>
          </w:tcPr>
          <w:p w14:paraId="5E9D1031"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12.9 </w:t>
            </w:r>
          </w:p>
        </w:tc>
        <w:tc>
          <w:tcPr>
            <w:tcW w:w="350" w:type="pct"/>
            <w:tcBorders>
              <w:top w:val="nil"/>
              <w:left w:val="nil"/>
              <w:bottom w:val="nil"/>
              <w:right w:val="nil"/>
            </w:tcBorders>
            <w:shd w:val="clear" w:color="000000" w:fill="C6EFCE"/>
            <w:noWrap/>
            <w:vAlign w:val="bottom"/>
            <w:hideMark/>
          </w:tcPr>
          <w:p w14:paraId="4A831FB0"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11.9 </w:t>
            </w:r>
          </w:p>
        </w:tc>
        <w:tc>
          <w:tcPr>
            <w:tcW w:w="350" w:type="pct"/>
            <w:tcBorders>
              <w:top w:val="nil"/>
              <w:left w:val="nil"/>
              <w:bottom w:val="nil"/>
              <w:right w:val="nil"/>
            </w:tcBorders>
            <w:shd w:val="clear" w:color="000000" w:fill="C6EFCE"/>
            <w:noWrap/>
            <w:vAlign w:val="bottom"/>
            <w:hideMark/>
          </w:tcPr>
          <w:p w14:paraId="23636E64"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11.0 </w:t>
            </w:r>
          </w:p>
        </w:tc>
        <w:tc>
          <w:tcPr>
            <w:tcW w:w="350" w:type="pct"/>
            <w:tcBorders>
              <w:top w:val="nil"/>
              <w:left w:val="nil"/>
              <w:bottom w:val="nil"/>
              <w:right w:val="nil"/>
            </w:tcBorders>
            <w:shd w:val="clear" w:color="000000" w:fill="C6EFCE"/>
            <w:noWrap/>
            <w:vAlign w:val="bottom"/>
            <w:hideMark/>
          </w:tcPr>
          <w:p w14:paraId="388EC8CC"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10.0 </w:t>
            </w:r>
          </w:p>
        </w:tc>
        <w:tc>
          <w:tcPr>
            <w:tcW w:w="350" w:type="pct"/>
            <w:tcBorders>
              <w:top w:val="nil"/>
              <w:left w:val="nil"/>
              <w:bottom w:val="nil"/>
              <w:right w:val="nil"/>
            </w:tcBorders>
            <w:shd w:val="clear" w:color="000000" w:fill="C6EFCE"/>
            <w:noWrap/>
            <w:vAlign w:val="bottom"/>
            <w:hideMark/>
          </w:tcPr>
          <w:p w14:paraId="58BA051D"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9.0 </w:t>
            </w:r>
          </w:p>
        </w:tc>
        <w:tc>
          <w:tcPr>
            <w:tcW w:w="350" w:type="pct"/>
            <w:tcBorders>
              <w:top w:val="nil"/>
              <w:left w:val="nil"/>
              <w:bottom w:val="nil"/>
              <w:right w:val="nil"/>
            </w:tcBorders>
            <w:shd w:val="clear" w:color="000000" w:fill="C6EFCE"/>
            <w:noWrap/>
            <w:vAlign w:val="bottom"/>
            <w:hideMark/>
          </w:tcPr>
          <w:p w14:paraId="7362FC8E"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8.1 </w:t>
            </w:r>
          </w:p>
        </w:tc>
        <w:tc>
          <w:tcPr>
            <w:tcW w:w="350" w:type="pct"/>
            <w:tcBorders>
              <w:top w:val="nil"/>
              <w:left w:val="nil"/>
              <w:bottom w:val="nil"/>
              <w:right w:val="nil"/>
            </w:tcBorders>
            <w:shd w:val="clear" w:color="000000" w:fill="C6EFCE"/>
            <w:noWrap/>
            <w:vAlign w:val="bottom"/>
            <w:hideMark/>
          </w:tcPr>
          <w:p w14:paraId="377FB751" w14:textId="77777777" w:rsidR="00280058" w:rsidRPr="00DF3A8E" w:rsidRDefault="00280058" w:rsidP="00BB18F6">
            <w:pPr>
              <w:spacing w:after="0" w:line="240" w:lineRule="auto"/>
              <w:rPr>
                <w:rFonts w:ascii="Arial" w:eastAsia="Times New Roman" w:hAnsi="Arial" w:cs="Arial"/>
                <w:color w:val="006100"/>
                <w:sz w:val="18"/>
                <w:szCs w:val="18"/>
                <w:lang w:val="lt-LT" w:eastAsia="lt-LT"/>
              </w:rPr>
            </w:pPr>
            <w:r w:rsidRPr="00DF3A8E">
              <w:rPr>
                <w:rFonts w:ascii="Arial" w:eastAsia="Times New Roman" w:hAnsi="Arial" w:cs="Arial"/>
                <w:color w:val="006100"/>
                <w:sz w:val="18"/>
                <w:szCs w:val="18"/>
                <w:lang w:val="lt-LT" w:eastAsia="lt-LT"/>
              </w:rPr>
              <w:t xml:space="preserve">              7.2 </w:t>
            </w:r>
          </w:p>
        </w:tc>
      </w:tr>
    </w:tbl>
    <w:p w14:paraId="0DC1A9E6" w14:textId="77777777" w:rsidR="00280058" w:rsidRPr="00DF3A8E" w:rsidRDefault="00280058" w:rsidP="00280058">
      <w:pPr>
        <w:jc w:val="both"/>
        <w:rPr>
          <w:rFonts w:ascii="Georgia" w:hAnsi="Georgia"/>
          <w:sz w:val="20"/>
          <w:lang w:val="lt-LT"/>
        </w:rPr>
      </w:pPr>
    </w:p>
    <w:p w14:paraId="599F8B62" w14:textId="77777777" w:rsidR="00280058" w:rsidRPr="00DF3A8E" w:rsidRDefault="00280058" w:rsidP="00280058">
      <w:pPr>
        <w:jc w:val="both"/>
        <w:rPr>
          <w:rFonts w:ascii="Georgia" w:hAnsi="Georgia"/>
          <w:sz w:val="20"/>
          <w:lang w:val="lt-LT"/>
        </w:rPr>
      </w:pPr>
      <w:r w:rsidRPr="00DF3A8E">
        <w:rPr>
          <w:rFonts w:ascii="Georgia" w:hAnsi="Georgia"/>
          <w:sz w:val="20"/>
          <w:lang w:val="lt-LT"/>
        </w:rPr>
        <w:t xml:space="preserve">Aukščiau pateiktos </w:t>
      </w:r>
      <w:r w:rsidRPr="00C16595">
        <w:rPr>
          <w:rFonts w:ascii="Georgia" w:hAnsi="Georgia"/>
          <w:sz w:val="20"/>
          <w:lang w:val="lt-LT"/>
        </w:rPr>
        <w:t xml:space="preserve">lentelės </w:t>
      </w:r>
      <w:r>
        <w:rPr>
          <w:rFonts w:ascii="Georgia" w:hAnsi="Georgia"/>
          <w:sz w:val="20"/>
          <w:lang w:val="lt-LT"/>
        </w:rPr>
        <w:t>d</w:t>
      </w:r>
      <w:r w:rsidRPr="00DF3A8E">
        <w:rPr>
          <w:rFonts w:ascii="Georgia" w:hAnsi="Georgia"/>
          <w:sz w:val="20"/>
          <w:lang w:val="lt-LT"/>
        </w:rPr>
        <w:t xml:space="preserve">uomenys rodo, jog esant 20 proc. </w:t>
      </w:r>
      <w:r>
        <w:rPr>
          <w:rFonts w:ascii="Georgia" w:hAnsi="Georgia"/>
          <w:sz w:val="20"/>
          <w:lang w:val="lt-LT"/>
        </w:rPr>
        <w:t>subsidijos</w:t>
      </w:r>
      <w:r w:rsidRPr="00DF3A8E">
        <w:rPr>
          <w:rFonts w:ascii="Georgia" w:hAnsi="Georgia"/>
          <w:sz w:val="20"/>
          <w:lang w:val="lt-LT"/>
        </w:rPr>
        <w:t xml:space="preserve"> elementui (nekeičiant kitų prielaidų) renovacijos projektai turėtų atsipirkti, per paskolos gyvavimo </w:t>
      </w:r>
      <w:r w:rsidRPr="002A3BF8">
        <w:rPr>
          <w:rFonts w:ascii="Georgia" w:hAnsi="Georgia"/>
          <w:sz w:val="20"/>
          <w:lang w:val="lt-LT"/>
        </w:rPr>
        <w:t>laikotarpį</w:t>
      </w:r>
      <w:r w:rsidRPr="005858F4">
        <w:rPr>
          <w:rFonts w:ascii="Georgia" w:hAnsi="Georgia"/>
          <w:sz w:val="20"/>
          <w:lang w:val="lt-LT"/>
        </w:rPr>
        <w:t xml:space="preserve"> (18,8 metus)</w:t>
      </w:r>
      <w:r w:rsidRPr="002A3BF8">
        <w:rPr>
          <w:rFonts w:ascii="Georgia" w:hAnsi="Georgia"/>
          <w:sz w:val="20"/>
          <w:lang w:val="lt-LT"/>
        </w:rPr>
        <w:t>. Be</w:t>
      </w:r>
      <w:r w:rsidRPr="00DF3A8E">
        <w:rPr>
          <w:rFonts w:ascii="Georgia" w:hAnsi="Georgia"/>
          <w:sz w:val="20"/>
          <w:lang w:val="lt-LT"/>
        </w:rPr>
        <w:t xml:space="preserve"> subsidi</w:t>
      </w:r>
      <w:r>
        <w:rPr>
          <w:rFonts w:ascii="Georgia" w:hAnsi="Georgia"/>
          <w:sz w:val="20"/>
          <w:lang w:val="lt-LT"/>
        </w:rPr>
        <w:t>jos</w:t>
      </w:r>
      <w:r w:rsidRPr="00DF3A8E">
        <w:rPr>
          <w:rFonts w:ascii="Georgia" w:hAnsi="Georgia"/>
          <w:sz w:val="20"/>
          <w:lang w:val="lt-LT"/>
        </w:rPr>
        <w:t xml:space="preserve"> elemento</w:t>
      </w:r>
      <w:r>
        <w:rPr>
          <w:rFonts w:ascii="Georgia" w:hAnsi="Georgia"/>
          <w:sz w:val="20"/>
          <w:lang w:val="lt-LT"/>
        </w:rPr>
        <w:t xml:space="preserve"> (šilumos kainai atitinkant priimtas prielaidas)</w:t>
      </w:r>
      <w:r w:rsidRPr="00DF3A8E">
        <w:rPr>
          <w:rFonts w:ascii="Georgia" w:hAnsi="Georgia"/>
          <w:sz w:val="20"/>
          <w:lang w:val="lt-LT"/>
        </w:rPr>
        <w:t xml:space="preserve"> vieš</w:t>
      </w:r>
      <w:r>
        <w:rPr>
          <w:rFonts w:ascii="Georgia" w:hAnsi="Georgia"/>
          <w:sz w:val="20"/>
          <w:lang w:val="lt-LT"/>
        </w:rPr>
        <w:t>ųjų pastatų</w:t>
      </w:r>
      <w:r w:rsidRPr="00DF3A8E">
        <w:rPr>
          <w:rFonts w:ascii="Georgia" w:hAnsi="Georgia"/>
          <w:sz w:val="20"/>
          <w:lang w:val="lt-LT"/>
        </w:rPr>
        <w:t xml:space="preserve"> renovacijos projektai galėtų atsipirkti tik per 2</w:t>
      </w:r>
      <w:r>
        <w:rPr>
          <w:rFonts w:ascii="Georgia" w:hAnsi="Georgia"/>
          <w:sz w:val="20"/>
          <w:lang w:val="lt-LT"/>
        </w:rPr>
        <w:t>4</w:t>
      </w:r>
      <w:r w:rsidRPr="00DF3A8E">
        <w:rPr>
          <w:rFonts w:ascii="Georgia" w:hAnsi="Georgia"/>
          <w:sz w:val="20"/>
          <w:lang w:val="lt-LT"/>
        </w:rPr>
        <w:t>,2 metus</w:t>
      </w:r>
      <w:r>
        <w:rPr>
          <w:rFonts w:ascii="Georgia" w:hAnsi="Georgia"/>
          <w:sz w:val="20"/>
          <w:lang w:val="lt-LT"/>
        </w:rPr>
        <w:t xml:space="preserve">, o tuo atveju jei šilumos kaina nedidės, palyginus su 2013/2014 šildymo sezono metų kainomis (išliks </w:t>
      </w:r>
      <w:r w:rsidRPr="00DF3A8E">
        <w:rPr>
          <w:rFonts w:ascii="Georgia" w:hAnsi="Georgia"/>
          <w:sz w:val="20"/>
          <w:lang w:val="lt-LT"/>
        </w:rPr>
        <w:t>0,265 Lt/kWh</w:t>
      </w:r>
      <w:r>
        <w:rPr>
          <w:rFonts w:ascii="Georgia" w:hAnsi="Georgia"/>
          <w:sz w:val="20"/>
          <w:lang w:val="lt-LT"/>
        </w:rPr>
        <w:t xml:space="preserve"> lygyje), tokių projektų atsipirkimo laikotarpis (be subsidijos elemento) padidės iki daugiau kaip 26 metų.</w:t>
      </w:r>
      <w:r w:rsidRPr="00DF3A8E">
        <w:rPr>
          <w:rFonts w:ascii="Georgia" w:hAnsi="Georgia"/>
          <w:sz w:val="20"/>
          <w:lang w:val="lt-LT"/>
        </w:rPr>
        <w:t xml:space="preserve"> </w:t>
      </w:r>
    </w:p>
    <w:p w14:paraId="58B31C98" w14:textId="77777777" w:rsidR="00280058" w:rsidRDefault="00280058" w:rsidP="00280058">
      <w:pPr>
        <w:jc w:val="both"/>
        <w:rPr>
          <w:rFonts w:ascii="Georgia" w:hAnsi="Georgia"/>
          <w:sz w:val="20"/>
          <w:lang w:val="lt-LT"/>
        </w:rPr>
      </w:pPr>
      <w:r w:rsidRPr="00DF3A8E">
        <w:rPr>
          <w:rFonts w:ascii="Georgia" w:hAnsi="Georgia"/>
          <w:sz w:val="20"/>
          <w:lang w:val="lt-LT"/>
        </w:rPr>
        <w:t xml:space="preserve">Žemiau pateikta </w:t>
      </w:r>
      <w:r w:rsidRPr="00C16595">
        <w:rPr>
          <w:rFonts w:ascii="Georgia" w:hAnsi="Georgia"/>
          <w:sz w:val="20"/>
          <w:lang w:val="lt-LT"/>
        </w:rPr>
        <w:t xml:space="preserve">lentelė </w:t>
      </w:r>
      <w:r w:rsidRPr="00DF3A8E">
        <w:rPr>
          <w:rFonts w:ascii="Georgia" w:hAnsi="Georgia"/>
          <w:sz w:val="20"/>
          <w:lang w:val="lt-LT"/>
        </w:rPr>
        <w:t>su jautrumo analiz</w:t>
      </w:r>
      <w:r>
        <w:rPr>
          <w:rFonts w:ascii="Georgia" w:hAnsi="Georgia"/>
          <w:sz w:val="20"/>
          <w:lang w:val="lt-LT"/>
        </w:rPr>
        <w:t xml:space="preserve">ės rezultatais vertinant santykį </w:t>
      </w:r>
      <w:r w:rsidRPr="00DF3A8E">
        <w:rPr>
          <w:rFonts w:ascii="Georgia" w:hAnsi="Georgia"/>
          <w:sz w:val="20"/>
          <w:lang w:val="lt-LT"/>
        </w:rPr>
        <w:t>tarp energijos kainos augimo ir subsidi</w:t>
      </w:r>
      <w:r>
        <w:rPr>
          <w:rFonts w:ascii="Georgia" w:hAnsi="Georgia"/>
          <w:sz w:val="20"/>
          <w:lang w:val="lt-LT"/>
        </w:rPr>
        <w:t>jos</w:t>
      </w:r>
      <w:r w:rsidRPr="00DF3A8E">
        <w:rPr>
          <w:rFonts w:ascii="Georgia" w:hAnsi="Georgia"/>
          <w:sz w:val="20"/>
          <w:lang w:val="lt-LT"/>
        </w:rPr>
        <w:t xml:space="preserve"> elemento.</w:t>
      </w:r>
    </w:p>
    <w:p w14:paraId="6A5CE5EF" w14:textId="3C6B1D9E" w:rsidR="00280058" w:rsidRPr="00C90F04" w:rsidRDefault="00280058" w:rsidP="00280058">
      <w:pPr>
        <w:pStyle w:val="Antrat"/>
        <w:jc w:val="both"/>
        <w:rPr>
          <w:lang w:val="lt-LT"/>
        </w:rPr>
      </w:pPr>
      <w:bookmarkStart w:id="132" w:name="_Toc460321634"/>
      <w:r w:rsidRPr="005858F4">
        <w:rPr>
          <w:lang w:val="lt-LT"/>
        </w:rPr>
        <w:t xml:space="preserve">Lentelė </w:t>
      </w:r>
      <w:r w:rsidRPr="005858F4">
        <w:rPr>
          <w:lang w:val="lt-LT"/>
        </w:rPr>
        <w:fldChar w:fldCharType="begin"/>
      </w:r>
      <w:r w:rsidRPr="005858F4">
        <w:rPr>
          <w:lang w:val="lt-LT"/>
        </w:rPr>
        <w:instrText xml:space="preserve"> SEQ Lentelė \* ARABIC </w:instrText>
      </w:r>
      <w:r w:rsidRPr="005858F4">
        <w:rPr>
          <w:lang w:val="lt-LT"/>
        </w:rPr>
        <w:fldChar w:fldCharType="separate"/>
      </w:r>
      <w:r w:rsidR="00AA3082">
        <w:rPr>
          <w:noProof/>
          <w:lang w:val="lt-LT"/>
        </w:rPr>
        <w:t>53</w:t>
      </w:r>
      <w:r w:rsidRPr="005858F4">
        <w:rPr>
          <w:lang w:val="lt-LT"/>
        </w:rPr>
        <w:fldChar w:fldCharType="end"/>
      </w:r>
      <w:r w:rsidRPr="005858F4">
        <w:rPr>
          <w:lang w:val="lt-LT"/>
        </w:rPr>
        <w:t xml:space="preserve">. </w:t>
      </w:r>
      <w:r w:rsidRPr="00893A57">
        <w:rPr>
          <w:lang w:val="lt-LT"/>
        </w:rPr>
        <w:t>Energijos kainos augimo ir subsidijos elemento jautru</w:t>
      </w:r>
      <w:r w:rsidRPr="00C90F04">
        <w:rPr>
          <w:lang w:val="lt-LT"/>
        </w:rPr>
        <w:t>mo analizė.</w:t>
      </w:r>
      <w:bookmarkEnd w:id="132"/>
    </w:p>
    <w:tbl>
      <w:tblPr>
        <w:tblW w:w="5000" w:type="pct"/>
        <w:tblLayout w:type="fixed"/>
        <w:tblCellMar>
          <w:left w:w="28" w:type="dxa"/>
          <w:right w:w="28" w:type="dxa"/>
        </w:tblCellMar>
        <w:tblLook w:val="04A0" w:firstRow="1" w:lastRow="0" w:firstColumn="1" w:lastColumn="0" w:noHBand="0" w:noVBand="1"/>
      </w:tblPr>
      <w:tblGrid>
        <w:gridCol w:w="279"/>
        <w:gridCol w:w="1016"/>
        <w:gridCol w:w="600"/>
        <w:gridCol w:w="600"/>
        <w:gridCol w:w="600"/>
        <w:gridCol w:w="599"/>
        <w:gridCol w:w="599"/>
        <w:gridCol w:w="599"/>
        <w:gridCol w:w="599"/>
        <w:gridCol w:w="599"/>
        <w:gridCol w:w="599"/>
        <w:gridCol w:w="599"/>
        <w:gridCol w:w="599"/>
        <w:gridCol w:w="599"/>
        <w:gridCol w:w="596"/>
      </w:tblGrid>
      <w:tr w:rsidR="00280058" w:rsidRPr="002C025E" w14:paraId="6885F836" w14:textId="77777777" w:rsidTr="00BB18F6">
        <w:trPr>
          <w:tblHeader/>
        </w:trPr>
        <w:tc>
          <w:tcPr>
            <w:tcW w:w="153" w:type="pct"/>
            <w:tcBorders>
              <w:top w:val="nil"/>
              <w:left w:val="nil"/>
              <w:right w:val="nil"/>
            </w:tcBorders>
            <w:shd w:val="clear" w:color="auto" w:fill="auto"/>
            <w:noWrap/>
            <w:vAlign w:val="bottom"/>
            <w:hideMark/>
          </w:tcPr>
          <w:p w14:paraId="08EDDF30" w14:textId="77777777" w:rsidR="00280058" w:rsidRPr="00DF3A8E" w:rsidRDefault="00280058" w:rsidP="00BB18F6">
            <w:pPr>
              <w:spacing w:after="0" w:line="240" w:lineRule="auto"/>
              <w:rPr>
                <w:rFonts w:ascii="Arial" w:eastAsia="Times New Roman" w:hAnsi="Arial" w:cs="Arial"/>
                <w:sz w:val="18"/>
                <w:szCs w:val="18"/>
                <w:lang w:val="lt-LT" w:eastAsia="lt-LT"/>
              </w:rPr>
            </w:pPr>
          </w:p>
        </w:tc>
        <w:tc>
          <w:tcPr>
            <w:tcW w:w="8803" w:type="dxa"/>
            <w:gridSpan w:val="14"/>
            <w:tcBorders>
              <w:top w:val="nil"/>
              <w:left w:val="nil"/>
              <w:right w:val="nil"/>
            </w:tcBorders>
            <w:shd w:val="clear" w:color="000000" w:fill="FFC18A"/>
            <w:noWrap/>
            <w:vAlign w:val="bottom"/>
            <w:hideMark/>
          </w:tcPr>
          <w:p w14:paraId="2897F45A" w14:textId="77777777" w:rsidR="00280058" w:rsidRPr="00DF3A8E" w:rsidRDefault="00280058" w:rsidP="00BB18F6">
            <w:pPr>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Subsidija </w:t>
            </w:r>
          </w:p>
        </w:tc>
      </w:tr>
      <w:tr w:rsidR="00280058" w:rsidRPr="002C025E" w14:paraId="14D42618" w14:textId="77777777" w:rsidTr="00BB18F6">
        <w:trPr>
          <w:tblHeader/>
        </w:trPr>
        <w:tc>
          <w:tcPr>
            <w:tcW w:w="153" w:type="pct"/>
            <w:tcBorders>
              <w:top w:val="nil"/>
              <w:left w:val="nil"/>
              <w:bottom w:val="nil"/>
              <w:right w:val="nil"/>
            </w:tcBorders>
            <w:shd w:val="clear" w:color="auto" w:fill="auto"/>
            <w:noWrap/>
            <w:vAlign w:val="bottom"/>
            <w:hideMark/>
          </w:tcPr>
          <w:p w14:paraId="76900F73" w14:textId="77777777" w:rsidR="00280058" w:rsidRPr="00DF3A8E" w:rsidRDefault="00280058" w:rsidP="00BB18F6">
            <w:pPr>
              <w:spacing w:after="0" w:line="240" w:lineRule="auto"/>
              <w:rPr>
                <w:rFonts w:ascii="Arial" w:eastAsia="Times New Roman" w:hAnsi="Arial" w:cs="Arial"/>
                <w:sz w:val="18"/>
                <w:szCs w:val="18"/>
                <w:lang w:val="lt-LT" w:eastAsia="lt-LT"/>
              </w:rPr>
            </w:pPr>
          </w:p>
        </w:tc>
        <w:tc>
          <w:tcPr>
            <w:tcW w:w="559" w:type="pct"/>
            <w:tcBorders>
              <w:top w:val="nil"/>
              <w:left w:val="nil"/>
              <w:bottom w:val="nil"/>
              <w:right w:val="nil"/>
            </w:tcBorders>
            <w:shd w:val="clear" w:color="auto" w:fill="auto"/>
            <w:noWrap/>
            <w:vAlign w:val="bottom"/>
            <w:hideMark/>
          </w:tcPr>
          <w:p w14:paraId="0FAD94D5" w14:textId="77777777" w:rsidR="00280058" w:rsidRPr="00DF3A8E" w:rsidRDefault="00280058" w:rsidP="00BB18F6">
            <w:pPr>
              <w:spacing w:after="0" w:line="240" w:lineRule="auto"/>
              <w:rPr>
                <w:rFonts w:ascii="Arial" w:eastAsia="Times New Roman" w:hAnsi="Arial" w:cs="Arial"/>
                <w:color w:val="FFFFFF"/>
                <w:sz w:val="18"/>
                <w:szCs w:val="18"/>
                <w:lang w:val="lt-LT" w:eastAsia="lt-LT"/>
              </w:rPr>
            </w:pPr>
            <w:r w:rsidRPr="00DF3A8E">
              <w:rPr>
                <w:rFonts w:ascii="Arial" w:eastAsia="Times New Roman" w:hAnsi="Arial" w:cs="Arial"/>
                <w:color w:val="FFFFFF"/>
                <w:sz w:val="18"/>
                <w:szCs w:val="18"/>
                <w:lang w:val="lt-LT" w:eastAsia="lt-LT"/>
              </w:rPr>
              <w:t xml:space="preserve">               24 </w:t>
            </w:r>
          </w:p>
        </w:tc>
        <w:tc>
          <w:tcPr>
            <w:tcW w:w="600" w:type="dxa"/>
            <w:tcBorders>
              <w:top w:val="nil"/>
              <w:left w:val="nil"/>
              <w:bottom w:val="nil"/>
              <w:right w:val="nil"/>
            </w:tcBorders>
            <w:shd w:val="clear" w:color="auto" w:fill="auto"/>
            <w:noWrap/>
            <w:vAlign w:val="bottom"/>
            <w:hideMark/>
          </w:tcPr>
          <w:p w14:paraId="11337225" w14:textId="77777777" w:rsidR="00280058" w:rsidRPr="00F527BB" w:rsidRDefault="00280058" w:rsidP="00BB18F6">
            <w:pPr>
              <w:spacing w:after="0" w:line="240" w:lineRule="auto"/>
              <w:jc w:val="right"/>
              <w:rPr>
                <w:rFonts w:ascii="Arial" w:eastAsia="Times New Roman" w:hAnsi="Arial" w:cs="Arial"/>
                <w:b/>
                <w:bCs/>
                <w:sz w:val="18"/>
                <w:szCs w:val="18"/>
                <w:lang w:val="lt-LT" w:eastAsia="lt-LT"/>
              </w:rPr>
            </w:pPr>
            <w:r w:rsidRPr="00F527BB">
              <w:rPr>
                <w:rFonts w:ascii="Arial" w:eastAsia="Times New Roman" w:hAnsi="Arial" w:cs="Arial"/>
                <w:b/>
                <w:bCs/>
                <w:sz w:val="18"/>
                <w:szCs w:val="18"/>
                <w:lang w:val="lt-LT" w:eastAsia="lt-LT"/>
              </w:rPr>
              <w:t xml:space="preserve">0% </w:t>
            </w:r>
          </w:p>
        </w:tc>
        <w:tc>
          <w:tcPr>
            <w:tcW w:w="600" w:type="dxa"/>
            <w:tcBorders>
              <w:top w:val="nil"/>
              <w:left w:val="nil"/>
              <w:bottom w:val="nil"/>
              <w:right w:val="nil"/>
            </w:tcBorders>
            <w:shd w:val="clear" w:color="auto" w:fill="auto"/>
            <w:noWrap/>
            <w:vAlign w:val="bottom"/>
            <w:hideMark/>
          </w:tcPr>
          <w:p w14:paraId="7DAEA2D8"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 </w:t>
            </w:r>
          </w:p>
        </w:tc>
        <w:tc>
          <w:tcPr>
            <w:tcW w:w="600" w:type="dxa"/>
            <w:tcBorders>
              <w:top w:val="nil"/>
              <w:left w:val="nil"/>
              <w:bottom w:val="nil"/>
              <w:right w:val="nil"/>
            </w:tcBorders>
            <w:shd w:val="clear" w:color="auto" w:fill="auto"/>
            <w:noWrap/>
            <w:vAlign w:val="bottom"/>
            <w:hideMark/>
          </w:tcPr>
          <w:p w14:paraId="2FAA3B85"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10% </w:t>
            </w:r>
          </w:p>
        </w:tc>
        <w:tc>
          <w:tcPr>
            <w:tcW w:w="599" w:type="dxa"/>
            <w:tcBorders>
              <w:top w:val="nil"/>
              <w:left w:val="nil"/>
              <w:bottom w:val="nil"/>
              <w:right w:val="nil"/>
            </w:tcBorders>
            <w:shd w:val="clear" w:color="auto" w:fill="auto"/>
            <w:noWrap/>
            <w:vAlign w:val="bottom"/>
            <w:hideMark/>
          </w:tcPr>
          <w:p w14:paraId="30BA2B51"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15% </w:t>
            </w:r>
          </w:p>
        </w:tc>
        <w:tc>
          <w:tcPr>
            <w:tcW w:w="599" w:type="dxa"/>
            <w:tcBorders>
              <w:top w:val="nil"/>
              <w:left w:val="nil"/>
              <w:bottom w:val="nil"/>
              <w:right w:val="nil"/>
            </w:tcBorders>
            <w:shd w:val="clear" w:color="auto" w:fill="auto"/>
            <w:noWrap/>
            <w:vAlign w:val="bottom"/>
            <w:hideMark/>
          </w:tcPr>
          <w:p w14:paraId="711C9FA2"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20% </w:t>
            </w:r>
          </w:p>
        </w:tc>
        <w:tc>
          <w:tcPr>
            <w:tcW w:w="599" w:type="dxa"/>
            <w:tcBorders>
              <w:top w:val="nil"/>
              <w:left w:val="nil"/>
              <w:bottom w:val="nil"/>
              <w:right w:val="nil"/>
            </w:tcBorders>
            <w:shd w:val="clear" w:color="auto" w:fill="auto"/>
            <w:noWrap/>
            <w:vAlign w:val="bottom"/>
            <w:hideMark/>
          </w:tcPr>
          <w:p w14:paraId="7225088D"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25% </w:t>
            </w:r>
          </w:p>
        </w:tc>
        <w:tc>
          <w:tcPr>
            <w:tcW w:w="599" w:type="dxa"/>
            <w:tcBorders>
              <w:top w:val="nil"/>
              <w:left w:val="nil"/>
              <w:bottom w:val="nil"/>
              <w:right w:val="nil"/>
            </w:tcBorders>
            <w:shd w:val="clear" w:color="auto" w:fill="auto"/>
            <w:noWrap/>
            <w:vAlign w:val="bottom"/>
            <w:hideMark/>
          </w:tcPr>
          <w:p w14:paraId="11C60F6C"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30% </w:t>
            </w:r>
          </w:p>
        </w:tc>
        <w:tc>
          <w:tcPr>
            <w:tcW w:w="599" w:type="dxa"/>
            <w:tcBorders>
              <w:top w:val="nil"/>
              <w:left w:val="nil"/>
              <w:bottom w:val="nil"/>
              <w:right w:val="nil"/>
            </w:tcBorders>
            <w:shd w:val="clear" w:color="auto" w:fill="auto"/>
            <w:noWrap/>
            <w:vAlign w:val="bottom"/>
            <w:hideMark/>
          </w:tcPr>
          <w:p w14:paraId="764A61FF"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35% </w:t>
            </w:r>
          </w:p>
        </w:tc>
        <w:tc>
          <w:tcPr>
            <w:tcW w:w="599" w:type="dxa"/>
            <w:tcBorders>
              <w:top w:val="nil"/>
              <w:left w:val="nil"/>
              <w:bottom w:val="nil"/>
              <w:right w:val="nil"/>
            </w:tcBorders>
            <w:shd w:val="clear" w:color="auto" w:fill="auto"/>
            <w:noWrap/>
            <w:vAlign w:val="bottom"/>
            <w:hideMark/>
          </w:tcPr>
          <w:p w14:paraId="1E9E6395"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40% </w:t>
            </w:r>
          </w:p>
        </w:tc>
        <w:tc>
          <w:tcPr>
            <w:tcW w:w="599" w:type="dxa"/>
            <w:tcBorders>
              <w:top w:val="nil"/>
              <w:left w:val="nil"/>
              <w:bottom w:val="nil"/>
              <w:right w:val="nil"/>
            </w:tcBorders>
            <w:shd w:val="clear" w:color="auto" w:fill="auto"/>
            <w:noWrap/>
            <w:vAlign w:val="bottom"/>
            <w:hideMark/>
          </w:tcPr>
          <w:p w14:paraId="3D5F0CFE"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45% </w:t>
            </w:r>
          </w:p>
        </w:tc>
        <w:tc>
          <w:tcPr>
            <w:tcW w:w="599" w:type="dxa"/>
            <w:tcBorders>
              <w:top w:val="nil"/>
              <w:left w:val="nil"/>
              <w:bottom w:val="nil"/>
              <w:right w:val="nil"/>
            </w:tcBorders>
            <w:shd w:val="clear" w:color="auto" w:fill="auto"/>
            <w:noWrap/>
            <w:vAlign w:val="bottom"/>
            <w:hideMark/>
          </w:tcPr>
          <w:p w14:paraId="02823927"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50% </w:t>
            </w:r>
          </w:p>
        </w:tc>
        <w:tc>
          <w:tcPr>
            <w:tcW w:w="599" w:type="dxa"/>
            <w:tcBorders>
              <w:top w:val="nil"/>
              <w:left w:val="nil"/>
              <w:bottom w:val="nil"/>
              <w:right w:val="nil"/>
            </w:tcBorders>
            <w:shd w:val="clear" w:color="auto" w:fill="auto"/>
            <w:noWrap/>
            <w:vAlign w:val="bottom"/>
            <w:hideMark/>
          </w:tcPr>
          <w:p w14:paraId="58D74E94"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55% </w:t>
            </w:r>
          </w:p>
        </w:tc>
        <w:tc>
          <w:tcPr>
            <w:tcW w:w="596" w:type="dxa"/>
            <w:tcBorders>
              <w:top w:val="nil"/>
              <w:left w:val="nil"/>
              <w:bottom w:val="nil"/>
              <w:right w:val="nil"/>
            </w:tcBorders>
            <w:shd w:val="clear" w:color="auto" w:fill="auto"/>
            <w:noWrap/>
            <w:vAlign w:val="bottom"/>
            <w:hideMark/>
          </w:tcPr>
          <w:p w14:paraId="56EE738F"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60% </w:t>
            </w:r>
          </w:p>
        </w:tc>
      </w:tr>
      <w:tr w:rsidR="00280058" w:rsidRPr="002C025E" w14:paraId="2C51C96C" w14:textId="77777777" w:rsidTr="00BB18F6">
        <w:tc>
          <w:tcPr>
            <w:tcW w:w="153" w:type="pct"/>
            <w:vMerge w:val="restart"/>
            <w:tcBorders>
              <w:top w:val="nil"/>
              <w:left w:val="nil"/>
              <w:bottom w:val="nil"/>
              <w:right w:val="nil"/>
            </w:tcBorders>
            <w:shd w:val="clear" w:color="000000" w:fill="D9D9D9"/>
            <w:textDirection w:val="btLr"/>
            <w:vAlign w:val="center"/>
            <w:hideMark/>
          </w:tcPr>
          <w:p w14:paraId="29C624D6" w14:textId="77777777" w:rsidR="00280058" w:rsidRPr="00DF3A8E" w:rsidRDefault="00280058" w:rsidP="00BB18F6">
            <w:pPr>
              <w:spacing w:after="0" w:line="240" w:lineRule="auto"/>
              <w:jc w:val="center"/>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 xml:space="preserve">Energijos kainų augimas kiekvienais metais </w:t>
            </w:r>
          </w:p>
        </w:tc>
        <w:tc>
          <w:tcPr>
            <w:tcW w:w="559" w:type="pct"/>
            <w:tcBorders>
              <w:top w:val="nil"/>
              <w:left w:val="nil"/>
              <w:bottom w:val="nil"/>
              <w:right w:val="nil"/>
            </w:tcBorders>
            <w:shd w:val="clear" w:color="auto" w:fill="auto"/>
            <w:noWrap/>
            <w:hideMark/>
          </w:tcPr>
          <w:p w14:paraId="317FEF79"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-1.5%</w:t>
            </w:r>
          </w:p>
        </w:tc>
        <w:tc>
          <w:tcPr>
            <w:tcW w:w="600" w:type="dxa"/>
            <w:tcBorders>
              <w:top w:val="nil"/>
              <w:left w:val="nil"/>
              <w:bottom w:val="nil"/>
              <w:right w:val="nil"/>
            </w:tcBorders>
            <w:shd w:val="clear" w:color="000000" w:fill="FFC7CE"/>
            <w:noWrap/>
            <w:vAlign w:val="bottom"/>
            <w:hideMark/>
          </w:tcPr>
          <w:p w14:paraId="1412C49C"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39.7</w:t>
            </w:r>
          </w:p>
        </w:tc>
        <w:tc>
          <w:tcPr>
            <w:tcW w:w="600" w:type="dxa"/>
            <w:tcBorders>
              <w:top w:val="nil"/>
              <w:left w:val="nil"/>
              <w:bottom w:val="nil"/>
              <w:right w:val="nil"/>
            </w:tcBorders>
            <w:shd w:val="clear" w:color="000000" w:fill="FFC7CE"/>
            <w:noWrap/>
            <w:vAlign w:val="bottom"/>
            <w:hideMark/>
          </w:tcPr>
          <w:p w14:paraId="2F0D4B5F"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37.3</w:t>
            </w:r>
          </w:p>
        </w:tc>
        <w:tc>
          <w:tcPr>
            <w:tcW w:w="600" w:type="dxa"/>
            <w:tcBorders>
              <w:top w:val="nil"/>
              <w:left w:val="nil"/>
              <w:bottom w:val="nil"/>
              <w:right w:val="nil"/>
            </w:tcBorders>
            <w:shd w:val="clear" w:color="000000" w:fill="FFC7CE"/>
            <w:noWrap/>
            <w:vAlign w:val="bottom"/>
            <w:hideMark/>
          </w:tcPr>
          <w:p w14:paraId="2C1145EB"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34.9</w:t>
            </w:r>
          </w:p>
        </w:tc>
        <w:tc>
          <w:tcPr>
            <w:tcW w:w="599" w:type="dxa"/>
            <w:tcBorders>
              <w:top w:val="nil"/>
              <w:left w:val="nil"/>
              <w:bottom w:val="nil"/>
              <w:right w:val="nil"/>
            </w:tcBorders>
            <w:shd w:val="clear" w:color="000000" w:fill="FFC7CE"/>
            <w:noWrap/>
            <w:vAlign w:val="bottom"/>
            <w:hideMark/>
          </w:tcPr>
          <w:p w14:paraId="2DB40A02"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32.6</w:t>
            </w:r>
          </w:p>
        </w:tc>
        <w:tc>
          <w:tcPr>
            <w:tcW w:w="599" w:type="dxa"/>
            <w:tcBorders>
              <w:top w:val="nil"/>
              <w:left w:val="nil"/>
              <w:bottom w:val="nil"/>
              <w:right w:val="nil"/>
            </w:tcBorders>
            <w:shd w:val="clear" w:color="000000" w:fill="FFC7CE"/>
            <w:noWrap/>
            <w:vAlign w:val="bottom"/>
            <w:hideMark/>
          </w:tcPr>
          <w:p w14:paraId="6EF0CD0F"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30.4</w:t>
            </w:r>
          </w:p>
        </w:tc>
        <w:tc>
          <w:tcPr>
            <w:tcW w:w="599" w:type="dxa"/>
            <w:tcBorders>
              <w:top w:val="nil"/>
              <w:left w:val="nil"/>
              <w:bottom w:val="nil"/>
              <w:right w:val="nil"/>
            </w:tcBorders>
            <w:shd w:val="clear" w:color="000000" w:fill="FFC7CE"/>
            <w:noWrap/>
            <w:vAlign w:val="bottom"/>
            <w:hideMark/>
          </w:tcPr>
          <w:p w14:paraId="26F7AC97"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28.2</w:t>
            </w:r>
          </w:p>
        </w:tc>
        <w:tc>
          <w:tcPr>
            <w:tcW w:w="599" w:type="dxa"/>
            <w:tcBorders>
              <w:top w:val="nil"/>
              <w:left w:val="nil"/>
              <w:bottom w:val="nil"/>
              <w:right w:val="nil"/>
            </w:tcBorders>
            <w:shd w:val="clear" w:color="000000" w:fill="FFC7CE"/>
            <w:noWrap/>
            <w:vAlign w:val="bottom"/>
            <w:hideMark/>
          </w:tcPr>
          <w:p w14:paraId="06A4E551"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26.1</w:t>
            </w:r>
          </w:p>
        </w:tc>
        <w:tc>
          <w:tcPr>
            <w:tcW w:w="599" w:type="dxa"/>
            <w:tcBorders>
              <w:top w:val="nil"/>
              <w:left w:val="nil"/>
              <w:bottom w:val="nil"/>
              <w:right w:val="nil"/>
            </w:tcBorders>
            <w:shd w:val="clear" w:color="000000" w:fill="FFC7CE"/>
            <w:noWrap/>
            <w:vAlign w:val="bottom"/>
            <w:hideMark/>
          </w:tcPr>
          <w:p w14:paraId="7EFDFA56"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24.0</w:t>
            </w:r>
          </w:p>
        </w:tc>
        <w:tc>
          <w:tcPr>
            <w:tcW w:w="599" w:type="dxa"/>
            <w:tcBorders>
              <w:top w:val="nil"/>
              <w:left w:val="nil"/>
              <w:bottom w:val="nil"/>
              <w:right w:val="nil"/>
            </w:tcBorders>
            <w:shd w:val="clear" w:color="000000" w:fill="FFC7CE"/>
            <w:noWrap/>
            <w:vAlign w:val="bottom"/>
            <w:hideMark/>
          </w:tcPr>
          <w:p w14:paraId="7079B1FF"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21.9</w:t>
            </w:r>
          </w:p>
        </w:tc>
        <w:tc>
          <w:tcPr>
            <w:tcW w:w="599" w:type="dxa"/>
            <w:tcBorders>
              <w:top w:val="nil"/>
              <w:left w:val="nil"/>
              <w:bottom w:val="nil"/>
              <w:right w:val="nil"/>
            </w:tcBorders>
            <w:shd w:val="clear" w:color="000000" w:fill="C6EFCE"/>
            <w:noWrap/>
            <w:vAlign w:val="bottom"/>
            <w:hideMark/>
          </w:tcPr>
          <w:p w14:paraId="07AE6E1D"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19.9</w:t>
            </w:r>
          </w:p>
        </w:tc>
        <w:tc>
          <w:tcPr>
            <w:tcW w:w="599" w:type="dxa"/>
            <w:tcBorders>
              <w:top w:val="nil"/>
              <w:left w:val="nil"/>
              <w:bottom w:val="nil"/>
              <w:right w:val="nil"/>
            </w:tcBorders>
            <w:shd w:val="clear" w:color="000000" w:fill="C6EFCE"/>
            <w:noWrap/>
            <w:vAlign w:val="bottom"/>
            <w:hideMark/>
          </w:tcPr>
          <w:p w14:paraId="49C3065B"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17.9</w:t>
            </w:r>
          </w:p>
        </w:tc>
        <w:tc>
          <w:tcPr>
            <w:tcW w:w="599" w:type="dxa"/>
            <w:tcBorders>
              <w:top w:val="nil"/>
              <w:left w:val="nil"/>
              <w:bottom w:val="nil"/>
              <w:right w:val="nil"/>
            </w:tcBorders>
            <w:shd w:val="clear" w:color="000000" w:fill="C6EFCE"/>
            <w:noWrap/>
            <w:vAlign w:val="bottom"/>
            <w:hideMark/>
          </w:tcPr>
          <w:p w14:paraId="59D7B742"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16.0</w:t>
            </w:r>
          </w:p>
        </w:tc>
        <w:tc>
          <w:tcPr>
            <w:tcW w:w="596" w:type="dxa"/>
            <w:tcBorders>
              <w:top w:val="nil"/>
              <w:left w:val="nil"/>
              <w:bottom w:val="nil"/>
              <w:right w:val="nil"/>
            </w:tcBorders>
            <w:shd w:val="clear" w:color="000000" w:fill="C6EFCE"/>
            <w:noWrap/>
            <w:vAlign w:val="bottom"/>
            <w:hideMark/>
          </w:tcPr>
          <w:p w14:paraId="439E55E3"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14.1</w:t>
            </w:r>
          </w:p>
        </w:tc>
      </w:tr>
      <w:tr w:rsidR="00280058" w:rsidRPr="002C025E" w14:paraId="42030EEA" w14:textId="77777777" w:rsidTr="00BB18F6">
        <w:tc>
          <w:tcPr>
            <w:tcW w:w="153" w:type="pct"/>
            <w:vMerge/>
            <w:tcBorders>
              <w:top w:val="nil"/>
              <w:left w:val="nil"/>
              <w:bottom w:val="nil"/>
              <w:right w:val="nil"/>
            </w:tcBorders>
            <w:vAlign w:val="center"/>
            <w:hideMark/>
          </w:tcPr>
          <w:p w14:paraId="58A8F38C"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59" w:type="pct"/>
            <w:tcBorders>
              <w:top w:val="nil"/>
              <w:left w:val="nil"/>
              <w:bottom w:val="nil"/>
              <w:right w:val="nil"/>
            </w:tcBorders>
            <w:shd w:val="clear" w:color="auto" w:fill="auto"/>
            <w:noWrap/>
            <w:hideMark/>
          </w:tcPr>
          <w:p w14:paraId="64942E5B"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-1.0%</w:t>
            </w:r>
          </w:p>
        </w:tc>
        <w:tc>
          <w:tcPr>
            <w:tcW w:w="600" w:type="dxa"/>
            <w:tcBorders>
              <w:top w:val="nil"/>
              <w:left w:val="nil"/>
              <w:bottom w:val="nil"/>
              <w:right w:val="nil"/>
            </w:tcBorders>
            <w:shd w:val="clear" w:color="000000" w:fill="FFC7CE"/>
            <w:noWrap/>
            <w:vAlign w:val="bottom"/>
            <w:hideMark/>
          </w:tcPr>
          <w:p w14:paraId="23C33380"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37.5</w:t>
            </w:r>
          </w:p>
        </w:tc>
        <w:tc>
          <w:tcPr>
            <w:tcW w:w="600" w:type="dxa"/>
            <w:tcBorders>
              <w:top w:val="nil"/>
              <w:left w:val="nil"/>
              <w:bottom w:val="nil"/>
              <w:right w:val="nil"/>
            </w:tcBorders>
            <w:shd w:val="clear" w:color="000000" w:fill="FFC7CE"/>
            <w:noWrap/>
            <w:vAlign w:val="bottom"/>
            <w:hideMark/>
          </w:tcPr>
          <w:p w14:paraId="129B7232"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35.3</w:t>
            </w:r>
          </w:p>
        </w:tc>
        <w:tc>
          <w:tcPr>
            <w:tcW w:w="600" w:type="dxa"/>
            <w:tcBorders>
              <w:top w:val="nil"/>
              <w:left w:val="nil"/>
              <w:bottom w:val="nil"/>
              <w:right w:val="nil"/>
            </w:tcBorders>
            <w:shd w:val="clear" w:color="000000" w:fill="FFC7CE"/>
            <w:noWrap/>
            <w:vAlign w:val="bottom"/>
            <w:hideMark/>
          </w:tcPr>
          <w:p w14:paraId="7078A095"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33.1</w:t>
            </w:r>
          </w:p>
        </w:tc>
        <w:tc>
          <w:tcPr>
            <w:tcW w:w="599" w:type="dxa"/>
            <w:tcBorders>
              <w:top w:val="nil"/>
              <w:left w:val="nil"/>
              <w:bottom w:val="nil"/>
              <w:right w:val="nil"/>
            </w:tcBorders>
            <w:shd w:val="clear" w:color="000000" w:fill="FFC7CE"/>
            <w:noWrap/>
            <w:vAlign w:val="bottom"/>
            <w:hideMark/>
          </w:tcPr>
          <w:p w14:paraId="5EB56BB7"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30.9</w:t>
            </w:r>
          </w:p>
        </w:tc>
        <w:tc>
          <w:tcPr>
            <w:tcW w:w="599" w:type="dxa"/>
            <w:tcBorders>
              <w:top w:val="nil"/>
              <w:left w:val="nil"/>
              <w:bottom w:val="nil"/>
              <w:right w:val="nil"/>
            </w:tcBorders>
            <w:shd w:val="clear" w:color="000000" w:fill="FFC7CE"/>
            <w:noWrap/>
            <w:vAlign w:val="bottom"/>
            <w:hideMark/>
          </w:tcPr>
          <w:p w14:paraId="70F2216C"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28.8</w:t>
            </w:r>
          </w:p>
        </w:tc>
        <w:tc>
          <w:tcPr>
            <w:tcW w:w="599" w:type="dxa"/>
            <w:tcBorders>
              <w:top w:val="nil"/>
              <w:left w:val="nil"/>
              <w:bottom w:val="nil"/>
              <w:right w:val="nil"/>
            </w:tcBorders>
            <w:shd w:val="clear" w:color="000000" w:fill="FFC7CE"/>
            <w:noWrap/>
            <w:vAlign w:val="bottom"/>
            <w:hideMark/>
          </w:tcPr>
          <w:p w14:paraId="13F91330"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26.7</w:t>
            </w:r>
          </w:p>
        </w:tc>
        <w:tc>
          <w:tcPr>
            <w:tcW w:w="599" w:type="dxa"/>
            <w:tcBorders>
              <w:top w:val="nil"/>
              <w:left w:val="nil"/>
              <w:bottom w:val="nil"/>
              <w:right w:val="nil"/>
            </w:tcBorders>
            <w:shd w:val="clear" w:color="000000" w:fill="FFC7CE"/>
            <w:noWrap/>
            <w:vAlign w:val="bottom"/>
            <w:hideMark/>
          </w:tcPr>
          <w:p w14:paraId="5561E217"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24.7</w:t>
            </w:r>
          </w:p>
        </w:tc>
        <w:tc>
          <w:tcPr>
            <w:tcW w:w="599" w:type="dxa"/>
            <w:tcBorders>
              <w:top w:val="nil"/>
              <w:left w:val="nil"/>
              <w:bottom w:val="nil"/>
              <w:right w:val="nil"/>
            </w:tcBorders>
            <w:shd w:val="clear" w:color="000000" w:fill="FFC7CE"/>
            <w:noWrap/>
            <w:vAlign w:val="bottom"/>
            <w:hideMark/>
          </w:tcPr>
          <w:p w14:paraId="272B7B67"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22.7</w:t>
            </w:r>
          </w:p>
        </w:tc>
        <w:tc>
          <w:tcPr>
            <w:tcW w:w="599" w:type="dxa"/>
            <w:tcBorders>
              <w:top w:val="nil"/>
              <w:left w:val="nil"/>
              <w:bottom w:val="nil"/>
              <w:right w:val="nil"/>
            </w:tcBorders>
            <w:shd w:val="clear" w:color="000000" w:fill="FFC7CE"/>
            <w:noWrap/>
            <w:vAlign w:val="bottom"/>
            <w:hideMark/>
          </w:tcPr>
          <w:p w14:paraId="4A29D93D"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20.8</w:t>
            </w:r>
          </w:p>
        </w:tc>
        <w:tc>
          <w:tcPr>
            <w:tcW w:w="599" w:type="dxa"/>
            <w:tcBorders>
              <w:top w:val="nil"/>
              <w:left w:val="nil"/>
              <w:bottom w:val="nil"/>
              <w:right w:val="nil"/>
            </w:tcBorders>
            <w:shd w:val="clear" w:color="000000" w:fill="C6EFCE"/>
            <w:noWrap/>
            <w:vAlign w:val="bottom"/>
            <w:hideMark/>
          </w:tcPr>
          <w:p w14:paraId="427FC331"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18.9</w:t>
            </w:r>
          </w:p>
        </w:tc>
        <w:tc>
          <w:tcPr>
            <w:tcW w:w="599" w:type="dxa"/>
            <w:tcBorders>
              <w:top w:val="nil"/>
              <w:left w:val="nil"/>
              <w:bottom w:val="nil"/>
              <w:right w:val="nil"/>
            </w:tcBorders>
            <w:shd w:val="clear" w:color="000000" w:fill="C6EFCE"/>
            <w:noWrap/>
            <w:vAlign w:val="bottom"/>
            <w:hideMark/>
          </w:tcPr>
          <w:p w14:paraId="3A6FF3F6"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17.0</w:t>
            </w:r>
          </w:p>
        </w:tc>
        <w:tc>
          <w:tcPr>
            <w:tcW w:w="599" w:type="dxa"/>
            <w:tcBorders>
              <w:top w:val="nil"/>
              <w:left w:val="nil"/>
              <w:bottom w:val="nil"/>
              <w:right w:val="nil"/>
            </w:tcBorders>
            <w:shd w:val="clear" w:color="000000" w:fill="C6EFCE"/>
            <w:noWrap/>
            <w:vAlign w:val="bottom"/>
            <w:hideMark/>
          </w:tcPr>
          <w:p w14:paraId="73EEF0F1"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15.2</w:t>
            </w:r>
          </w:p>
        </w:tc>
        <w:tc>
          <w:tcPr>
            <w:tcW w:w="596" w:type="dxa"/>
            <w:tcBorders>
              <w:top w:val="nil"/>
              <w:left w:val="nil"/>
              <w:bottom w:val="nil"/>
              <w:right w:val="nil"/>
            </w:tcBorders>
            <w:shd w:val="clear" w:color="000000" w:fill="C6EFCE"/>
            <w:noWrap/>
            <w:vAlign w:val="bottom"/>
            <w:hideMark/>
          </w:tcPr>
          <w:p w14:paraId="309E3FD1"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13.4</w:t>
            </w:r>
          </w:p>
        </w:tc>
      </w:tr>
      <w:tr w:rsidR="00280058" w:rsidRPr="002C025E" w14:paraId="64149C79" w14:textId="77777777" w:rsidTr="00BB18F6">
        <w:tc>
          <w:tcPr>
            <w:tcW w:w="153" w:type="pct"/>
            <w:vMerge/>
            <w:tcBorders>
              <w:top w:val="nil"/>
              <w:left w:val="nil"/>
              <w:bottom w:val="nil"/>
              <w:right w:val="nil"/>
            </w:tcBorders>
            <w:vAlign w:val="center"/>
            <w:hideMark/>
          </w:tcPr>
          <w:p w14:paraId="0A60069F"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59" w:type="pct"/>
            <w:tcBorders>
              <w:top w:val="nil"/>
              <w:left w:val="nil"/>
              <w:bottom w:val="nil"/>
              <w:right w:val="nil"/>
            </w:tcBorders>
            <w:shd w:val="clear" w:color="auto" w:fill="auto"/>
            <w:noWrap/>
            <w:hideMark/>
          </w:tcPr>
          <w:p w14:paraId="20EAAC8C"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-0.5%</w:t>
            </w:r>
          </w:p>
        </w:tc>
        <w:tc>
          <w:tcPr>
            <w:tcW w:w="600" w:type="dxa"/>
            <w:tcBorders>
              <w:top w:val="nil"/>
              <w:left w:val="nil"/>
              <w:bottom w:val="nil"/>
              <w:right w:val="nil"/>
            </w:tcBorders>
            <w:shd w:val="clear" w:color="000000" w:fill="FFC7CE"/>
            <w:noWrap/>
            <w:vAlign w:val="bottom"/>
            <w:hideMark/>
          </w:tcPr>
          <w:p w14:paraId="65EA45D5"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35.4</w:t>
            </w:r>
          </w:p>
        </w:tc>
        <w:tc>
          <w:tcPr>
            <w:tcW w:w="600" w:type="dxa"/>
            <w:tcBorders>
              <w:top w:val="nil"/>
              <w:left w:val="nil"/>
              <w:bottom w:val="nil"/>
              <w:right w:val="nil"/>
            </w:tcBorders>
            <w:shd w:val="clear" w:color="000000" w:fill="FFC7CE"/>
            <w:noWrap/>
            <w:vAlign w:val="bottom"/>
            <w:hideMark/>
          </w:tcPr>
          <w:p w14:paraId="6785E773"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33.3</w:t>
            </w:r>
          </w:p>
        </w:tc>
        <w:tc>
          <w:tcPr>
            <w:tcW w:w="600" w:type="dxa"/>
            <w:tcBorders>
              <w:top w:val="nil"/>
              <w:left w:val="nil"/>
              <w:bottom w:val="nil"/>
              <w:right w:val="nil"/>
            </w:tcBorders>
            <w:shd w:val="clear" w:color="000000" w:fill="FFC7CE"/>
            <w:noWrap/>
            <w:vAlign w:val="bottom"/>
            <w:hideMark/>
          </w:tcPr>
          <w:p w14:paraId="170D1646"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31.3</w:t>
            </w:r>
          </w:p>
        </w:tc>
        <w:tc>
          <w:tcPr>
            <w:tcW w:w="599" w:type="dxa"/>
            <w:tcBorders>
              <w:top w:val="nil"/>
              <w:left w:val="nil"/>
              <w:bottom w:val="nil"/>
              <w:right w:val="nil"/>
            </w:tcBorders>
            <w:shd w:val="clear" w:color="000000" w:fill="FFC7CE"/>
            <w:noWrap/>
            <w:vAlign w:val="bottom"/>
            <w:hideMark/>
          </w:tcPr>
          <w:p w14:paraId="6C1C39B1"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29.3</w:t>
            </w:r>
          </w:p>
        </w:tc>
        <w:tc>
          <w:tcPr>
            <w:tcW w:w="599" w:type="dxa"/>
            <w:tcBorders>
              <w:top w:val="nil"/>
              <w:left w:val="nil"/>
              <w:bottom w:val="nil"/>
              <w:right w:val="nil"/>
            </w:tcBorders>
            <w:shd w:val="clear" w:color="000000" w:fill="FFC7CE"/>
            <w:noWrap/>
            <w:vAlign w:val="bottom"/>
            <w:hideMark/>
          </w:tcPr>
          <w:p w14:paraId="11DE3955"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27.3</w:t>
            </w:r>
          </w:p>
        </w:tc>
        <w:tc>
          <w:tcPr>
            <w:tcW w:w="599" w:type="dxa"/>
            <w:tcBorders>
              <w:top w:val="nil"/>
              <w:left w:val="nil"/>
              <w:bottom w:val="nil"/>
              <w:right w:val="nil"/>
            </w:tcBorders>
            <w:shd w:val="clear" w:color="000000" w:fill="FFC7CE"/>
            <w:noWrap/>
            <w:vAlign w:val="bottom"/>
            <w:hideMark/>
          </w:tcPr>
          <w:p w14:paraId="154A3970"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25.3</w:t>
            </w:r>
          </w:p>
        </w:tc>
        <w:tc>
          <w:tcPr>
            <w:tcW w:w="599" w:type="dxa"/>
            <w:tcBorders>
              <w:top w:val="nil"/>
              <w:left w:val="nil"/>
              <w:bottom w:val="nil"/>
              <w:right w:val="nil"/>
            </w:tcBorders>
            <w:shd w:val="clear" w:color="000000" w:fill="FFC7CE"/>
            <w:noWrap/>
            <w:vAlign w:val="bottom"/>
            <w:hideMark/>
          </w:tcPr>
          <w:p w14:paraId="5B8A4312"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23.4</w:t>
            </w:r>
          </w:p>
        </w:tc>
        <w:tc>
          <w:tcPr>
            <w:tcW w:w="599" w:type="dxa"/>
            <w:tcBorders>
              <w:top w:val="nil"/>
              <w:left w:val="nil"/>
              <w:bottom w:val="nil"/>
              <w:right w:val="nil"/>
            </w:tcBorders>
            <w:shd w:val="clear" w:color="000000" w:fill="FFC7CE"/>
            <w:noWrap/>
            <w:vAlign w:val="bottom"/>
            <w:hideMark/>
          </w:tcPr>
          <w:p w14:paraId="623BEB05"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21.6</w:t>
            </w:r>
          </w:p>
        </w:tc>
        <w:tc>
          <w:tcPr>
            <w:tcW w:w="599" w:type="dxa"/>
            <w:tcBorders>
              <w:top w:val="nil"/>
              <w:left w:val="nil"/>
              <w:bottom w:val="nil"/>
              <w:right w:val="nil"/>
            </w:tcBorders>
            <w:shd w:val="clear" w:color="000000" w:fill="C6EFCE"/>
            <w:noWrap/>
            <w:vAlign w:val="bottom"/>
            <w:hideMark/>
          </w:tcPr>
          <w:p w14:paraId="2FB404B8"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19.7</w:t>
            </w:r>
          </w:p>
        </w:tc>
        <w:tc>
          <w:tcPr>
            <w:tcW w:w="599" w:type="dxa"/>
            <w:tcBorders>
              <w:top w:val="nil"/>
              <w:left w:val="nil"/>
              <w:bottom w:val="nil"/>
              <w:right w:val="nil"/>
            </w:tcBorders>
            <w:shd w:val="clear" w:color="000000" w:fill="C6EFCE"/>
            <w:noWrap/>
            <w:vAlign w:val="bottom"/>
            <w:hideMark/>
          </w:tcPr>
          <w:p w14:paraId="2825E1E2"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17.9</w:t>
            </w:r>
          </w:p>
        </w:tc>
        <w:tc>
          <w:tcPr>
            <w:tcW w:w="599" w:type="dxa"/>
            <w:tcBorders>
              <w:top w:val="nil"/>
              <w:left w:val="nil"/>
              <w:bottom w:val="nil"/>
              <w:right w:val="nil"/>
            </w:tcBorders>
            <w:shd w:val="clear" w:color="000000" w:fill="C6EFCE"/>
            <w:noWrap/>
            <w:vAlign w:val="bottom"/>
            <w:hideMark/>
          </w:tcPr>
          <w:p w14:paraId="5057692D"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16.2</w:t>
            </w:r>
          </w:p>
        </w:tc>
        <w:tc>
          <w:tcPr>
            <w:tcW w:w="599" w:type="dxa"/>
            <w:tcBorders>
              <w:top w:val="nil"/>
              <w:left w:val="nil"/>
              <w:bottom w:val="nil"/>
              <w:right w:val="nil"/>
            </w:tcBorders>
            <w:shd w:val="clear" w:color="000000" w:fill="C6EFCE"/>
            <w:noWrap/>
            <w:vAlign w:val="bottom"/>
            <w:hideMark/>
          </w:tcPr>
          <w:p w14:paraId="446AC787"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14.4</w:t>
            </w:r>
          </w:p>
        </w:tc>
        <w:tc>
          <w:tcPr>
            <w:tcW w:w="596" w:type="dxa"/>
            <w:tcBorders>
              <w:top w:val="nil"/>
              <w:left w:val="nil"/>
              <w:bottom w:val="nil"/>
              <w:right w:val="nil"/>
            </w:tcBorders>
            <w:shd w:val="clear" w:color="000000" w:fill="C6EFCE"/>
            <w:noWrap/>
            <w:vAlign w:val="bottom"/>
            <w:hideMark/>
          </w:tcPr>
          <w:p w14:paraId="4F755A43"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12.7</w:t>
            </w:r>
          </w:p>
        </w:tc>
      </w:tr>
      <w:tr w:rsidR="00280058" w:rsidRPr="002C025E" w14:paraId="60D1538D" w14:textId="77777777" w:rsidTr="00BB18F6">
        <w:tc>
          <w:tcPr>
            <w:tcW w:w="153" w:type="pct"/>
            <w:vMerge/>
            <w:tcBorders>
              <w:top w:val="nil"/>
              <w:left w:val="nil"/>
              <w:bottom w:val="nil"/>
              <w:right w:val="nil"/>
            </w:tcBorders>
            <w:vAlign w:val="center"/>
            <w:hideMark/>
          </w:tcPr>
          <w:p w14:paraId="05C3A986"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59" w:type="pct"/>
            <w:tcBorders>
              <w:top w:val="nil"/>
              <w:left w:val="nil"/>
              <w:bottom w:val="nil"/>
              <w:right w:val="nil"/>
            </w:tcBorders>
            <w:shd w:val="clear" w:color="auto" w:fill="auto"/>
            <w:noWrap/>
            <w:hideMark/>
          </w:tcPr>
          <w:p w14:paraId="3E4B2BCF"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0.0%</w:t>
            </w:r>
          </w:p>
        </w:tc>
        <w:tc>
          <w:tcPr>
            <w:tcW w:w="600" w:type="dxa"/>
            <w:tcBorders>
              <w:top w:val="nil"/>
              <w:left w:val="nil"/>
              <w:bottom w:val="nil"/>
              <w:right w:val="nil"/>
            </w:tcBorders>
            <w:shd w:val="clear" w:color="000000" w:fill="FFC7CE"/>
            <w:noWrap/>
            <w:vAlign w:val="bottom"/>
            <w:hideMark/>
          </w:tcPr>
          <w:p w14:paraId="64DC6B87"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33.5</w:t>
            </w:r>
          </w:p>
        </w:tc>
        <w:tc>
          <w:tcPr>
            <w:tcW w:w="600" w:type="dxa"/>
            <w:tcBorders>
              <w:top w:val="nil"/>
              <w:left w:val="nil"/>
              <w:bottom w:val="nil"/>
              <w:right w:val="nil"/>
            </w:tcBorders>
            <w:shd w:val="clear" w:color="000000" w:fill="FFC7CE"/>
            <w:noWrap/>
            <w:vAlign w:val="bottom"/>
            <w:hideMark/>
          </w:tcPr>
          <w:p w14:paraId="7716173F"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31.5</w:t>
            </w:r>
          </w:p>
        </w:tc>
        <w:tc>
          <w:tcPr>
            <w:tcW w:w="600" w:type="dxa"/>
            <w:tcBorders>
              <w:top w:val="nil"/>
              <w:left w:val="nil"/>
              <w:bottom w:val="nil"/>
              <w:right w:val="nil"/>
            </w:tcBorders>
            <w:shd w:val="clear" w:color="000000" w:fill="FFC7CE"/>
            <w:noWrap/>
            <w:vAlign w:val="bottom"/>
            <w:hideMark/>
          </w:tcPr>
          <w:p w14:paraId="2586B9BC"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29.6</w:t>
            </w:r>
          </w:p>
        </w:tc>
        <w:tc>
          <w:tcPr>
            <w:tcW w:w="599" w:type="dxa"/>
            <w:tcBorders>
              <w:top w:val="nil"/>
              <w:left w:val="nil"/>
              <w:bottom w:val="nil"/>
              <w:right w:val="nil"/>
            </w:tcBorders>
            <w:shd w:val="clear" w:color="000000" w:fill="FFC7CE"/>
            <w:noWrap/>
            <w:vAlign w:val="bottom"/>
            <w:hideMark/>
          </w:tcPr>
          <w:p w14:paraId="3C901FDD"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27.7</w:t>
            </w:r>
          </w:p>
        </w:tc>
        <w:tc>
          <w:tcPr>
            <w:tcW w:w="599" w:type="dxa"/>
            <w:tcBorders>
              <w:top w:val="nil"/>
              <w:left w:val="nil"/>
              <w:bottom w:val="nil"/>
              <w:right w:val="nil"/>
            </w:tcBorders>
            <w:shd w:val="clear" w:color="000000" w:fill="FFC7CE"/>
            <w:noWrap/>
            <w:vAlign w:val="bottom"/>
            <w:hideMark/>
          </w:tcPr>
          <w:p w14:paraId="00232E77"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25.8</w:t>
            </w:r>
          </w:p>
        </w:tc>
        <w:tc>
          <w:tcPr>
            <w:tcW w:w="599" w:type="dxa"/>
            <w:tcBorders>
              <w:top w:val="nil"/>
              <w:left w:val="nil"/>
              <w:bottom w:val="nil"/>
              <w:right w:val="nil"/>
            </w:tcBorders>
            <w:shd w:val="clear" w:color="000000" w:fill="FFC7CE"/>
            <w:noWrap/>
            <w:vAlign w:val="bottom"/>
            <w:hideMark/>
          </w:tcPr>
          <w:p w14:paraId="60BA4227"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24.0</w:t>
            </w:r>
          </w:p>
        </w:tc>
        <w:tc>
          <w:tcPr>
            <w:tcW w:w="599" w:type="dxa"/>
            <w:tcBorders>
              <w:top w:val="nil"/>
              <w:left w:val="nil"/>
              <w:bottom w:val="nil"/>
              <w:right w:val="nil"/>
            </w:tcBorders>
            <w:shd w:val="clear" w:color="000000" w:fill="FFC7CE"/>
            <w:noWrap/>
            <w:vAlign w:val="bottom"/>
            <w:hideMark/>
          </w:tcPr>
          <w:p w14:paraId="6488B17A"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22.2</w:t>
            </w:r>
          </w:p>
        </w:tc>
        <w:tc>
          <w:tcPr>
            <w:tcW w:w="599" w:type="dxa"/>
            <w:tcBorders>
              <w:top w:val="nil"/>
              <w:left w:val="nil"/>
              <w:bottom w:val="nil"/>
              <w:right w:val="nil"/>
            </w:tcBorders>
            <w:shd w:val="clear" w:color="000000" w:fill="FFC7CE"/>
            <w:noWrap/>
            <w:vAlign w:val="bottom"/>
            <w:hideMark/>
          </w:tcPr>
          <w:p w14:paraId="6B0D7F57"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20.5</w:t>
            </w:r>
          </w:p>
        </w:tc>
        <w:tc>
          <w:tcPr>
            <w:tcW w:w="599" w:type="dxa"/>
            <w:tcBorders>
              <w:top w:val="nil"/>
              <w:left w:val="nil"/>
              <w:bottom w:val="nil"/>
              <w:right w:val="nil"/>
            </w:tcBorders>
            <w:shd w:val="clear" w:color="000000" w:fill="C6EFCE"/>
            <w:noWrap/>
            <w:vAlign w:val="bottom"/>
            <w:hideMark/>
          </w:tcPr>
          <w:p w14:paraId="7FDB2DA1"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18.7</w:t>
            </w:r>
          </w:p>
        </w:tc>
        <w:tc>
          <w:tcPr>
            <w:tcW w:w="599" w:type="dxa"/>
            <w:tcBorders>
              <w:top w:val="nil"/>
              <w:left w:val="nil"/>
              <w:bottom w:val="nil"/>
              <w:right w:val="nil"/>
            </w:tcBorders>
            <w:shd w:val="clear" w:color="000000" w:fill="C6EFCE"/>
            <w:noWrap/>
            <w:vAlign w:val="bottom"/>
            <w:hideMark/>
          </w:tcPr>
          <w:p w14:paraId="1672719A"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17.0</w:t>
            </w:r>
          </w:p>
        </w:tc>
        <w:tc>
          <w:tcPr>
            <w:tcW w:w="599" w:type="dxa"/>
            <w:tcBorders>
              <w:top w:val="nil"/>
              <w:left w:val="nil"/>
              <w:bottom w:val="nil"/>
              <w:right w:val="nil"/>
            </w:tcBorders>
            <w:shd w:val="clear" w:color="000000" w:fill="C6EFCE"/>
            <w:noWrap/>
            <w:vAlign w:val="bottom"/>
            <w:hideMark/>
          </w:tcPr>
          <w:p w14:paraId="3F7CDB04"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15.4</w:t>
            </w:r>
          </w:p>
        </w:tc>
        <w:tc>
          <w:tcPr>
            <w:tcW w:w="599" w:type="dxa"/>
            <w:tcBorders>
              <w:top w:val="nil"/>
              <w:left w:val="nil"/>
              <w:bottom w:val="nil"/>
              <w:right w:val="nil"/>
            </w:tcBorders>
            <w:shd w:val="clear" w:color="000000" w:fill="C6EFCE"/>
            <w:noWrap/>
            <w:vAlign w:val="bottom"/>
            <w:hideMark/>
          </w:tcPr>
          <w:p w14:paraId="33EAF987"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13.7</w:t>
            </w:r>
          </w:p>
        </w:tc>
        <w:tc>
          <w:tcPr>
            <w:tcW w:w="596" w:type="dxa"/>
            <w:tcBorders>
              <w:top w:val="nil"/>
              <w:left w:val="nil"/>
              <w:bottom w:val="nil"/>
              <w:right w:val="nil"/>
            </w:tcBorders>
            <w:shd w:val="clear" w:color="000000" w:fill="C6EFCE"/>
            <w:noWrap/>
            <w:vAlign w:val="bottom"/>
            <w:hideMark/>
          </w:tcPr>
          <w:p w14:paraId="5873780C"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12.1</w:t>
            </w:r>
          </w:p>
        </w:tc>
      </w:tr>
      <w:tr w:rsidR="00280058" w:rsidRPr="002C025E" w14:paraId="5185BC83" w14:textId="77777777" w:rsidTr="00BB18F6">
        <w:tc>
          <w:tcPr>
            <w:tcW w:w="153" w:type="pct"/>
            <w:vMerge/>
            <w:tcBorders>
              <w:top w:val="nil"/>
              <w:left w:val="nil"/>
              <w:bottom w:val="nil"/>
              <w:right w:val="nil"/>
            </w:tcBorders>
            <w:vAlign w:val="center"/>
            <w:hideMark/>
          </w:tcPr>
          <w:p w14:paraId="597F3757"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59" w:type="pct"/>
            <w:tcBorders>
              <w:top w:val="nil"/>
              <w:left w:val="nil"/>
              <w:bottom w:val="nil"/>
              <w:right w:val="nil"/>
            </w:tcBorders>
            <w:shd w:val="clear" w:color="auto" w:fill="auto"/>
            <w:noWrap/>
            <w:hideMark/>
          </w:tcPr>
          <w:p w14:paraId="007AECC3"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0.5%</w:t>
            </w:r>
          </w:p>
        </w:tc>
        <w:tc>
          <w:tcPr>
            <w:tcW w:w="600" w:type="dxa"/>
            <w:tcBorders>
              <w:top w:val="nil"/>
              <w:left w:val="nil"/>
              <w:bottom w:val="nil"/>
              <w:right w:val="nil"/>
            </w:tcBorders>
            <w:shd w:val="clear" w:color="000000" w:fill="FFC7CE"/>
            <w:noWrap/>
            <w:vAlign w:val="bottom"/>
            <w:hideMark/>
          </w:tcPr>
          <w:p w14:paraId="06D99463"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31.6</w:t>
            </w:r>
          </w:p>
        </w:tc>
        <w:tc>
          <w:tcPr>
            <w:tcW w:w="600" w:type="dxa"/>
            <w:tcBorders>
              <w:top w:val="nil"/>
              <w:left w:val="nil"/>
              <w:bottom w:val="nil"/>
              <w:right w:val="nil"/>
            </w:tcBorders>
            <w:shd w:val="clear" w:color="000000" w:fill="FFC7CE"/>
            <w:noWrap/>
            <w:vAlign w:val="bottom"/>
            <w:hideMark/>
          </w:tcPr>
          <w:p w14:paraId="641E5F7F"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29.8</w:t>
            </w:r>
          </w:p>
        </w:tc>
        <w:tc>
          <w:tcPr>
            <w:tcW w:w="600" w:type="dxa"/>
            <w:tcBorders>
              <w:top w:val="nil"/>
              <w:left w:val="nil"/>
              <w:bottom w:val="nil"/>
              <w:right w:val="nil"/>
            </w:tcBorders>
            <w:shd w:val="clear" w:color="000000" w:fill="FFC7CE"/>
            <w:noWrap/>
            <w:vAlign w:val="bottom"/>
            <w:hideMark/>
          </w:tcPr>
          <w:p w14:paraId="7C42860E"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28.0</w:t>
            </w:r>
          </w:p>
        </w:tc>
        <w:tc>
          <w:tcPr>
            <w:tcW w:w="599" w:type="dxa"/>
            <w:tcBorders>
              <w:top w:val="nil"/>
              <w:left w:val="nil"/>
              <w:bottom w:val="nil"/>
              <w:right w:val="nil"/>
            </w:tcBorders>
            <w:shd w:val="clear" w:color="000000" w:fill="FFC7CE"/>
            <w:noWrap/>
            <w:vAlign w:val="bottom"/>
            <w:hideMark/>
          </w:tcPr>
          <w:p w14:paraId="1F1DB36F"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26.2</w:t>
            </w:r>
          </w:p>
        </w:tc>
        <w:tc>
          <w:tcPr>
            <w:tcW w:w="599" w:type="dxa"/>
            <w:tcBorders>
              <w:top w:val="nil"/>
              <w:left w:val="nil"/>
              <w:bottom w:val="nil"/>
              <w:right w:val="nil"/>
            </w:tcBorders>
            <w:shd w:val="clear" w:color="000000" w:fill="FFC7CE"/>
            <w:noWrap/>
            <w:vAlign w:val="bottom"/>
            <w:hideMark/>
          </w:tcPr>
          <w:p w14:paraId="517975FA"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24.5</w:t>
            </w:r>
          </w:p>
        </w:tc>
        <w:tc>
          <w:tcPr>
            <w:tcW w:w="599" w:type="dxa"/>
            <w:tcBorders>
              <w:top w:val="nil"/>
              <w:left w:val="nil"/>
              <w:bottom w:val="nil"/>
              <w:right w:val="nil"/>
            </w:tcBorders>
            <w:shd w:val="clear" w:color="000000" w:fill="FFC7CE"/>
            <w:noWrap/>
            <w:vAlign w:val="bottom"/>
            <w:hideMark/>
          </w:tcPr>
          <w:p w14:paraId="3BAFCAB1"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22.8</w:t>
            </w:r>
          </w:p>
        </w:tc>
        <w:tc>
          <w:tcPr>
            <w:tcW w:w="599" w:type="dxa"/>
            <w:tcBorders>
              <w:top w:val="nil"/>
              <w:left w:val="nil"/>
              <w:bottom w:val="nil"/>
              <w:right w:val="nil"/>
            </w:tcBorders>
            <w:shd w:val="clear" w:color="000000" w:fill="FFC7CE"/>
            <w:noWrap/>
            <w:vAlign w:val="bottom"/>
            <w:hideMark/>
          </w:tcPr>
          <w:p w14:paraId="61FFBE18"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21.1</w:t>
            </w:r>
          </w:p>
        </w:tc>
        <w:tc>
          <w:tcPr>
            <w:tcW w:w="599" w:type="dxa"/>
            <w:tcBorders>
              <w:top w:val="nil"/>
              <w:left w:val="nil"/>
              <w:bottom w:val="nil"/>
              <w:right w:val="nil"/>
            </w:tcBorders>
            <w:shd w:val="clear" w:color="000000" w:fill="C6EFCE"/>
            <w:noWrap/>
            <w:vAlign w:val="bottom"/>
            <w:hideMark/>
          </w:tcPr>
          <w:p w14:paraId="2B2C77BC"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19.4</w:t>
            </w:r>
          </w:p>
        </w:tc>
        <w:tc>
          <w:tcPr>
            <w:tcW w:w="599" w:type="dxa"/>
            <w:tcBorders>
              <w:top w:val="nil"/>
              <w:left w:val="nil"/>
              <w:bottom w:val="nil"/>
              <w:right w:val="nil"/>
            </w:tcBorders>
            <w:shd w:val="clear" w:color="000000" w:fill="C6EFCE"/>
            <w:noWrap/>
            <w:vAlign w:val="bottom"/>
            <w:hideMark/>
          </w:tcPr>
          <w:p w14:paraId="63FA390B"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17.8</w:t>
            </w:r>
          </w:p>
        </w:tc>
        <w:tc>
          <w:tcPr>
            <w:tcW w:w="599" w:type="dxa"/>
            <w:tcBorders>
              <w:top w:val="nil"/>
              <w:left w:val="nil"/>
              <w:bottom w:val="nil"/>
              <w:right w:val="nil"/>
            </w:tcBorders>
            <w:shd w:val="clear" w:color="000000" w:fill="C6EFCE"/>
            <w:noWrap/>
            <w:vAlign w:val="bottom"/>
            <w:hideMark/>
          </w:tcPr>
          <w:p w14:paraId="116B3B5B"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16.2</w:t>
            </w:r>
          </w:p>
        </w:tc>
        <w:tc>
          <w:tcPr>
            <w:tcW w:w="599" w:type="dxa"/>
            <w:tcBorders>
              <w:top w:val="nil"/>
              <w:left w:val="nil"/>
              <w:bottom w:val="nil"/>
              <w:right w:val="nil"/>
            </w:tcBorders>
            <w:shd w:val="clear" w:color="000000" w:fill="C6EFCE"/>
            <w:noWrap/>
            <w:vAlign w:val="bottom"/>
            <w:hideMark/>
          </w:tcPr>
          <w:p w14:paraId="59D0DC29"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14.6</w:t>
            </w:r>
          </w:p>
        </w:tc>
        <w:tc>
          <w:tcPr>
            <w:tcW w:w="599" w:type="dxa"/>
            <w:tcBorders>
              <w:top w:val="nil"/>
              <w:left w:val="nil"/>
              <w:bottom w:val="nil"/>
              <w:right w:val="nil"/>
            </w:tcBorders>
            <w:shd w:val="clear" w:color="000000" w:fill="C6EFCE"/>
            <w:noWrap/>
            <w:vAlign w:val="bottom"/>
            <w:hideMark/>
          </w:tcPr>
          <w:p w14:paraId="3C9B0363"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13.0</w:t>
            </w:r>
          </w:p>
        </w:tc>
        <w:tc>
          <w:tcPr>
            <w:tcW w:w="596" w:type="dxa"/>
            <w:tcBorders>
              <w:top w:val="nil"/>
              <w:left w:val="nil"/>
              <w:bottom w:val="nil"/>
              <w:right w:val="nil"/>
            </w:tcBorders>
            <w:shd w:val="clear" w:color="000000" w:fill="C6EFCE"/>
            <w:noWrap/>
            <w:vAlign w:val="bottom"/>
            <w:hideMark/>
          </w:tcPr>
          <w:p w14:paraId="21DDB56C"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11.5</w:t>
            </w:r>
          </w:p>
        </w:tc>
      </w:tr>
      <w:tr w:rsidR="00280058" w:rsidRPr="002C025E" w14:paraId="5999F76A" w14:textId="77777777" w:rsidTr="00BB18F6">
        <w:tc>
          <w:tcPr>
            <w:tcW w:w="153" w:type="pct"/>
            <w:vMerge/>
            <w:tcBorders>
              <w:top w:val="nil"/>
              <w:left w:val="nil"/>
              <w:bottom w:val="nil"/>
              <w:right w:val="nil"/>
            </w:tcBorders>
            <w:vAlign w:val="center"/>
            <w:hideMark/>
          </w:tcPr>
          <w:p w14:paraId="129DC3FC"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59" w:type="pct"/>
            <w:tcBorders>
              <w:top w:val="nil"/>
              <w:left w:val="nil"/>
              <w:bottom w:val="nil"/>
              <w:right w:val="nil"/>
            </w:tcBorders>
            <w:shd w:val="clear" w:color="auto" w:fill="auto"/>
            <w:noWrap/>
            <w:hideMark/>
          </w:tcPr>
          <w:p w14:paraId="49745E95"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1.0%</w:t>
            </w:r>
          </w:p>
        </w:tc>
        <w:tc>
          <w:tcPr>
            <w:tcW w:w="600" w:type="dxa"/>
            <w:tcBorders>
              <w:top w:val="nil"/>
              <w:left w:val="nil"/>
              <w:bottom w:val="nil"/>
              <w:right w:val="nil"/>
            </w:tcBorders>
            <w:shd w:val="clear" w:color="000000" w:fill="FFC7CE"/>
            <w:noWrap/>
            <w:vAlign w:val="bottom"/>
            <w:hideMark/>
          </w:tcPr>
          <w:p w14:paraId="105D5146"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29.9</w:t>
            </w:r>
          </w:p>
        </w:tc>
        <w:tc>
          <w:tcPr>
            <w:tcW w:w="600" w:type="dxa"/>
            <w:tcBorders>
              <w:top w:val="nil"/>
              <w:left w:val="nil"/>
              <w:bottom w:val="nil"/>
              <w:right w:val="nil"/>
            </w:tcBorders>
            <w:shd w:val="clear" w:color="000000" w:fill="FFC7CE"/>
            <w:noWrap/>
            <w:vAlign w:val="bottom"/>
            <w:hideMark/>
          </w:tcPr>
          <w:p w14:paraId="6703A76B"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28.2</w:t>
            </w:r>
          </w:p>
        </w:tc>
        <w:tc>
          <w:tcPr>
            <w:tcW w:w="600" w:type="dxa"/>
            <w:tcBorders>
              <w:top w:val="nil"/>
              <w:left w:val="nil"/>
              <w:bottom w:val="nil"/>
              <w:right w:val="nil"/>
            </w:tcBorders>
            <w:shd w:val="clear" w:color="000000" w:fill="FFC7CE"/>
            <w:noWrap/>
            <w:vAlign w:val="bottom"/>
            <w:hideMark/>
          </w:tcPr>
          <w:p w14:paraId="123AAE88"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26.5</w:t>
            </w:r>
          </w:p>
        </w:tc>
        <w:tc>
          <w:tcPr>
            <w:tcW w:w="599" w:type="dxa"/>
            <w:tcBorders>
              <w:top w:val="nil"/>
              <w:left w:val="nil"/>
              <w:bottom w:val="nil"/>
              <w:right w:val="nil"/>
            </w:tcBorders>
            <w:shd w:val="clear" w:color="000000" w:fill="FFC7CE"/>
            <w:noWrap/>
            <w:vAlign w:val="bottom"/>
            <w:hideMark/>
          </w:tcPr>
          <w:p w14:paraId="70465824"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24.8</w:t>
            </w:r>
          </w:p>
        </w:tc>
        <w:tc>
          <w:tcPr>
            <w:tcW w:w="599" w:type="dxa"/>
            <w:tcBorders>
              <w:top w:val="nil"/>
              <w:left w:val="nil"/>
              <w:bottom w:val="nil"/>
              <w:right w:val="nil"/>
            </w:tcBorders>
            <w:shd w:val="clear" w:color="000000" w:fill="FFC7CE"/>
            <w:noWrap/>
            <w:vAlign w:val="bottom"/>
            <w:hideMark/>
          </w:tcPr>
          <w:p w14:paraId="55B05AE2"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23.2</w:t>
            </w:r>
          </w:p>
        </w:tc>
        <w:tc>
          <w:tcPr>
            <w:tcW w:w="599" w:type="dxa"/>
            <w:tcBorders>
              <w:top w:val="nil"/>
              <w:left w:val="nil"/>
              <w:bottom w:val="nil"/>
              <w:right w:val="nil"/>
            </w:tcBorders>
            <w:shd w:val="clear" w:color="000000" w:fill="FFC7CE"/>
            <w:noWrap/>
            <w:vAlign w:val="bottom"/>
            <w:hideMark/>
          </w:tcPr>
          <w:p w14:paraId="699B690A"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21.6</w:t>
            </w:r>
          </w:p>
        </w:tc>
        <w:tc>
          <w:tcPr>
            <w:tcW w:w="599" w:type="dxa"/>
            <w:tcBorders>
              <w:top w:val="nil"/>
              <w:left w:val="nil"/>
              <w:bottom w:val="nil"/>
              <w:right w:val="nil"/>
            </w:tcBorders>
            <w:shd w:val="clear" w:color="000000" w:fill="C6EFCE"/>
            <w:noWrap/>
            <w:vAlign w:val="bottom"/>
            <w:hideMark/>
          </w:tcPr>
          <w:p w14:paraId="0A1995C7"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20.0</w:t>
            </w:r>
          </w:p>
        </w:tc>
        <w:tc>
          <w:tcPr>
            <w:tcW w:w="599" w:type="dxa"/>
            <w:tcBorders>
              <w:top w:val="nil"/>
              <w:left w:val="nil"/>
              <w:bottom w:val="nil"/>
              <w:right w:val="nil"/>
            </w:tcBorders>
            <w:shd w:val="clear" w:color="000000" w:fill="C6EFCE"/>
            <w:noWrap/>
            <w:vAlign w:val="bottom"/>
            <w:hideMark/>
          </w:tcPr>
          <w:p w14:paraId="1293B169"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18.4</w:t>
            </w:r>
          </w:p>
        </w:tc>
        <w:tc>
          <w:tcPr>
            <w:tcW w:w="599" w:type="dxa"/>
            <w:tcBorders>
              <w:top w:val="nil"/>
              <w:left w:val="nil"/>
              <w:bottom w:val="nil"/>
              <w:right w:val="nil"/>
            </w:tcBorders>
            <w:shd w:val="clear" w:color="000000" w:fill="C6EFCE"/>
            <w:noWrap/>
            <w:vAlign w:val="bottom"/>
            <w:hideMark/>
          </w:tcPr>
          <w:p w14:paraId="4709D2E0"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16.9</w:t>
            </w:r>
          </w:p>
        </w:tc>
        <w:tc>
          <w:tcPr>
            <w:tcW w:w="599" w:type="dxa"/>
            <w:tcBorders>
              <w:top w:val="nil"/>
              <w:left w:val="nil"/>
              <w:bottom w:val="nil"/>
              <w:right w:val="nil"/>
            </w:tcBorders>
            <w:shd w:val="clear" w:color="000000" w:fill="C6EFCE"/>
            <w:noWrap/>
            <w:vAlign w:val="bottom"/>
            <w:hideMark/>
          </w:tcPr>
          <w:p w14:paraId="5EEBAB06"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15.3</w:t>
            </w:r>
          </w:p>
        </w:tc>
        <w:tc>
          <w:tcPr>
            <w:tcW w:w="599" w:type="dxa"/>
            <w:tcBorders>
              <w:top w:val="nil"/>
              <w:left w:val="nil"/>
              <w:bottom w:val="nil"/>
              <w:right w:val="nil"/>
            </w:tcBorders>
            <w:shd w:val="clear" w:color="000000" w:fill="C6EFCE"/>
            <w:noWrap/>
            <w:vAlign w:val="bottom"/>
            <w:hideMark/>
          </w:tcPr>
          <w:p w14:paraId="120CE23E"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13.8</w:t>
            </w:r>
          </w:p>
        </w:tc>
        <w:tc>
          <w:tcPr>
            <w:tcW w:w="599" w:type="dxa"/>
            <w:tcBorders>
              <w:top w:val="nil"/>
              <w:left w:val="nil"/>
              <w:bottom w:val="nil"/>
              <w:right w:val="nil"/>
            </w:tcBorders>
            <w:shd w:val="clear" w:color="000000" w:fill="C6EFCE"/>
            <w:noWrap/>
            <w:vAlign w:val="bottom"/>
            <w:hideMark/>
          </w:tcPr>
          <w:p w14:paraId="13502EEE"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12.4</w:t>
            </w:r>
          </w:p>
        </w:tc>
        <w:tc>
          <w:tcPr>
            <w:tcW w:w="596" w:type="dxa"/>
            <w:tcBorders>
              <w:top w:val="nil"/>
              <w:left w:val="nil"/>
              <w:bottom w:val="nil"/>
              <w:right w:val="nil"/>
            </w:tcBorders>
            <w:shd w:val="clear" w:color="000000" w:fill="C6EFCE"/>
            <w:noWrap/>
            <w:vAlign w:val="bottom"/>
            <w:hideMark/>
          </w:tcPr>
          <w:p w14:paraId="0625221A"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10.9</w:t>
            </w:r>
          </w:p>
        </w:tc>
      </w:tr>
      <w:tr w:rsidR="00280058" w:rsidRPr="002C025E" w14:paraId="1DD12917" w14:textId="77777777" w:rsidTr="00BB18F6">
        <w:tc>
          <w:tcPr>
            <w:tcW w:w="153" w:type="pct"/>
            <w:vMerge/>
            <w:tcBorders>
              <w:top w:val="nil"/>
              <w:left w:val="nil"/>
              <w:bottom w:val="nil"/>
              <w:right w:val="nil"/>
            </w:tcBorders>
            <w:vAlign w:val="center"/>
            <w:hideMark/>
          </w:tcPr>
          <w:p w14:paraId="02B591A7"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59" w:type="pct"/>
            <w:tcBorders>
              <w:top w:val="nil"/>
              <w:left w:val="nil"/>
              <w:bottom w:val="nil"/>
              <w:right w:val="nil"/>
            </w:tcBorders>
            <w:shd w:val="clear" w:color="auto" w:fill="auto"/>
            <w:noWrap/>
            <w:hideMark/>
          </w:tcPr>
          <w:p w14:paraId="0AA1559D"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1.5%</w:t>
            </w:r>
          </w:p>
        </w:tc>
        <w:tc>
          <w:tcPr>
            <w:tcW w:w="600" w:type="dxa"/>
            <w:tcBorders>
              <w:top w:val="nil"/>
              <w:left w:val="nil"/>
              <w:bottom w:val="nil"/>
              <w:right w:val="nil"/>
            </w:tcBorders>
            <w:shd w:val="clear" w:color="000000" w:fill="FFC7CE"/>
            <w:noWrap/>
            <w:vAlign w:val="bottom"/>
            <w:hideMark/>
          </w:tcPr>
          <w:p w14:paraId="6A5E2660"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28.2</w:t>
            </w:r>
          </w:p>
        </w:tc>
        <w:tc>
          <w:tcPr>
            <w:tcW w:w="600" w:type="dxa"/>
            <w:tcBorders>
              <w:top w:val="nil"/>
              <w:left w:val="nil"/>
              <w:bottom w:val="nil"/>
              <w:right w:val="nil"/>
            </w:tcBorders>
            <w:shd w:val="clear" w:color="000000" w:fill="FFC7CE"/>
            <w:noWrap/>
            <w:vAlign w:val="bottom"/>
            <w:hideMark/>
          </w:tcPr>
          <w:p w14:paraId="38F32681"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26.6</w:t>
            </w:r>
          </w:p>
        </w:tc>
        <w:tc>
          <w:tcPr>
            <w:tcW w:w="600" w:type="dxa"/>
            <w:tcBorders>
              <w:top w:val="nil"/>
              <w:left w:val="nil"/>
              <w:bottom w:val="nil"/>
              <w:right w:val="nil"/>
            </w:tcBorders>
            <w:shd w:val="clear" w:color="000000" w:fill="FFC7CE"/>
            <w:noWrap/>
            <w:vAlign w:val="bottom"/>
            <w:hideMark/>
          </w:tcPr>
          <w:p w14:paraId="6318F429"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25.0</w:t>
            </w:r>
          </w:p>
        </w:tc>
        <w:tc>
          <w:tcPr>
            <w:tcW w:w="599" w:type="dxa"/>
            <w:tcBorders>
              <w:top w:val="nil"/>
              <w:left w:val="nil"/>
              <w:bottom w:val="nil"/>
              <w:right w:val="nil"/>
            </w:tcBorders>
            <w:shd w:val="clear" w:color="000000" w:fill="FFC7CE"/>
            <w:noWrap/>
            <w:vAlign w:val="bottom"/>
            <w:hideMark/>
          </w:tcPr>
          <w:p w14:paraId="4F5BA5CE"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23.5</w:t>
            </w:r>
          </w:p>
        </w:tc>
        <w:tc>
          <w:tcPr>
            <w:tcW w:w="599" w:type="dxa"/>
            <w:tcBorders>
              <w:top w:val="nil"/>
              <w:left w:val="nil"/>
              <w:bottom w:val="nil"/>
              <w:right w:val="nil"/>
            </w:tcBorders>
            <w:shd w:val="clear" w:color="000000" w:fill="FFC7CE"/>
            <w:noWrap/>
            <w:vAlign w:val="bottom"/>
            <w:hideMark/>
          </w:tcPr>
          <w:p w14:paraId="09F4B2AC"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21.9</w:t>
            </w:r>
          </w:p>
        </w:tc>
        <w:tc>
          <w:tcPr>
            <w:tcW w:w="599" w:type="dxa"/>
            <w:tcBorders>
              <w:top w:val="nil"/>
              <w:left w:val="nil"/>
              <w:bottom w:val="nil"/>
              <w:right w:val="nil"/>
            </w:tcBorders>
            <w:shd w:val="clear" w:color="000000" w:fill="FFC7CE"/>
            <w:noWrap/>
            <w:vAlign w:val="bottom"/>
            <w:hideMark/>
          </w:tcPr>
          <w:p w14:paraId="0B771401"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20.4</w:t>
            </w:r>
          </w:p>
        </w:tc>
        <w:tc>
          <w:tcPr>
            <w:tcW w:w="599" w:type="dxa"/>
            <w:tcBorders>
              <w:top w:val="nil"/>
              <w:left w:val="nil"/>
              <w:bottom w:val="nil"/>
              <w:right w:val="nil"/>
            </w:tcBorders>
            <w:shd w:val="clear" w:color="000000" w:fill="C6EFCE"/>
            <w:noWrap/>
            <w:vAlign w:val="bottom"/>
            <w:hideMark/>
          </w:tcPr>
          <w:p w14:paraId="72472195"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18.9</w:t>
            </w:r>
          </w:p>
        </w:tc>
        <w:tc>
          <w:tcPr>
            <w:tcW w:w="599" w:type="dxa"/>
            <w:tcBorders>
              <w:top w:val="nil"/>
              <w:left w:val="nil"/>
              <w:bottom w:val="nil"/>
              <w:right w:val="nil"/>
            </w:tcBorders>
            <w:shd w:val="clear" w:color="000000" w:fill="C6EFCE"/>
            <w:noWrap/>
            <w:vAlign w:val="bottom"/>
            <w:hideMark/>
          </w:tcPr>
          <w:p w14:paraId="2DE04C50"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17.4</w:t>
            </w:r>
          </w:p>
        </w:tc>
        <w:tc>
          <w:tcPr>
            <w:tcW w:w="599" w:type="dxa"/>
            <w:tcBorders>
              <w:top w:val="nil"/>
              <w:left w:val="nil"/>
              <w:bottom w:val="nil"/>
              <w:right w:val="nil"/>
            </w:tcBorders>
            <w:shd w:val="clear" w:color="000000" w:fill="C6EFCE"/>
            <w:noWrap/>
            <w:vAlign w:val="bottom"/>
            <w:hideMark/>
          </w:tcPr>
          <w:p w14:paraId="10DC6438"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16.0</w:t>
            </w:r>
          </w:p>
        </w:tc>
        <w:tc>
          <w:tcPr>
            <w:tcW w:w="599" w:type="dxa"/>
            <w:tcBorders>
              <w:top w:val="nil"/>
              <w:left w:val="nil"/>
              <w:bottom w:val="nil"/>
              <w:right w:val="nil"/>
            </w:tcBorders>
            <w:shd w:val="clear" w:color="000000" w:fill="C6EFCE"/>
            <w:noWrap/>
            <w:vAlign w:val="bottom"/>
            <w:hideMark/>
          </w:tcPr>
          <w:p w14:paraId="71FD72EF"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14.5</w:t>
            </w:r>
          </w:p>
        </w:tc>
        <w:tc>
          <w:tcPr>
            <w:tcW w:w="599" w:type="dxa"/>
            <w:tcBorders>
              <w:top w:val="nil"/>
              <w:left w:val="nil"/>
              <w:bottom w:val="nil"/>
              <w:right w:val="nil"/>
            </w:tcBorders>
            <w:shd w:val="clear" w:color="000000" w:fill="C6EFCE"/>
            <w:noWrap/>
            <w:vAlign w:val="bottom"/>
            <w:hideMark/>
          </w:tcPr>
          <w:p w14:paraId="232F3CAD"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13.1</w:t>
            </w:r>
          </w:p>
        </w:tc>
        <w:tc>
          <w:tcPr>
            <w:tcW w:w="599" w:type="dxa"/>
            <w:tcBorders>
              <w:top w:val="nil"/>
              <w:left w:val="nil"/>
              <w:bottom w:val="nil"/>
              <w:right w:val="nil"/>
            </w:tcBorders>
            <w:shd w:val="clear" w:color="000000" w:fill="C6EFCE"/>
            <w:noWrap/>
            <w:vAlign w:val="bottom"/>
            <w:hideMark/>
          </w:tcPr>
          <w:p w14:paraId="66378A71"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11.7</w:t>
            </w:r>
          </w:p>
        </w:tc>
        <w:tc>
          <w:tcPr>
            <w:tcW w:w="596" w:type="dxa"/>
            <w:tcBorders>
              <w:top w:val="nil"/>
              <w:left w:val="nil"/>
              <w:bottom w:val="nil"/>
              <w:right w:val="nil"/>
            </w:tcBorders>
            <w:shd w:val="clear" w:color="000000" w:fill="C6EFCE"/>
            <w:noWrap/>
            <w:vAlign w:val="bottom"/>
            <w:hideMark/>
          </w:tcPr>
          <w:p w14:paraId="7BC709D5"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10.4</w:t>
            </w:r>
          </w:p>
        </w:tc>
      </w:tr>
      <w:tr w:rsidR="00280058" w:rsidRPr="002C025E" w14:paraId="156C6D77" w14:textId="77777777" w:rsidTr="00BB18F6">
        <w:tc>
          <w:tcPr>
            <w:tcW w:w="153" w:type="pct"/>
            <w:vMerge/>
            <w:tcBorders>
              <w:top w:val="nil"/>
              <w:left w:val="nil"/>
              <w:bottom w:val="nil"/>
              <w:right w:val="nil"/>
            </w:tcBorders>
            <w:vAlign w:val="center"/>
            <w:hideMark/>
          </w:tcPr>
          <w:p w14:paraId="7C2222CE"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59" w:type="pct"/>
            <w:tcBorders>
              <w:top w:val="nil"/>
              <w:left w:val="nil"/>
              <w:right w:val="nil"/>
            </w:tcBorders>
            <w:shd w:val="clear" w:color="auto" w:fill="auto"/>
            <w:noWrap/>
            <w:hideMark/>
          </w:tcPr>
          <w:p w14:paraId="449E35AB"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2.0%</w:t>
            </w:r>
          </w:p>
        </w:tc>
        <w:tc>
          <w:tcPr>
            <w:tcW w:w="600" w:type="dxa"/>
            <w:tcBorders>
              <w:top w:val="nil"/>
              <w:left w:val="nil"/>
              <w:bottom w:val="nil"/>
              <w:right w:val="nil"/>
            </w:tcBorders>
            <w:shd w:val="clear" w:color="000000" w:fill="FFC7CE"/>
            <w:noWrap/>
            <w:vAlign w:val="bottom"/>
            <w:hideMark/>
          </w:tcPr>
          <w:p w14:paraId="047DAC47"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26.7</w:t>
            </w:r>
          </w:p>
        </w:tc>
        <w:tc>
          <w:tcPr>
            <w:tcW w:w="600" w:type="dxa"/>
            <w:tcBorders>
              <w:top w:val="nil"/>
              <w:left w:val="nil"/>
              <w:bottom w:val="nil"/>
              <w:right w:val="nil"/>
            </w:tcBorders>
            <w:shd w:val="clear" w:color="000000" w:fill="FFC7CE"/>
            <w:noWrap/>
            <w:vAlign w:val="bottom"/>
            <w:hideMark/>
          </w:tcPr>
          <w:p w14:paraId="6446DA63"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25.2</w:t>
            </w:r>
          </w:p>
        </w:tc>
        <w:tc>
          <w:tcPr>
            <w:tcW w:w="600" w:type="dxa"/>
            <w:tcBorders>
              <w:top w:val="nil"/>
              <w:left w:val="nil"/>
              <w:bottom w:val="nil"/>
              <w:right w:val="nil"/>
            </w:tcBorders>
            <w:shd w:val="clear" w:color="000000" w:fill="FFC7CE"/>
            <w:noWrap/>
            <w:vAlign w:val="bottom"/>
            <w:hideMark/>
          </w:tcPr>
          <w:p w14:paraId="0D34E375"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23.7</w:t>
            </w:r>
          </w:p>
        </w:tc>
        <w:tc>
          <w:tcPr>
            <w:tcW w:w="599" w:type="dxa"/>
            <w:tcBorders>
              <w:top w:val="nil"/>
              <w:left w:val="nil"/>
              <w:bottom w:val="nil"/>
              <w:right w:val="nil"/>
            </w:tcBorders>
            <w:shd w:val="clear" w:color="000000" w:fill="FFC7CE"/>
            <w:noWrap/>
            <w:vAlign w:val="bottom"/>
            <w:hideMark/>
          </w:tcPr>
          <w:p w14:paraId="4106AAAA"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22.2</w:t>
            </w:r>
          </w:p>
        </w:tc>
        <w:tc>
          <w:tcPr>
            <w:tcW w:w="599" w:type="dxa"/>
            <w:tcBorders>
              <w:top w:val="nil"/>
              <w:left w:val="nil"/>
              <w:bottom w:val="nil"/>
              <w:right w:val="nil"/>
            </w:tcBorders>
            <w:shd w:val="clear" w:color="000000" w:fill="FFC7CE"/>
            <w:noWrap/>
            <w:vAlign w:val="bottom"/>
            <w:hideMark/>
          </w:tcPr>
          <w:p w14:paraId="37CE0736"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20.7</w:t>
            </w:r>
          </w:p>
        </w:tc>
        <w:tc>
          <w:tcPr>
            <w:tcW w:w="599" w:type="dxa"/>
            <w:tcBorders>
              <w:top w:val="nil"/>
              <w:left w:val="nil"/>
              <w:bottom w:val="nil"/>
              <w:right w:val="nil"/>
            </w:tcBorders>
            <w:shd w:val="clear" w:color="000000" w:fill="C6EFCE"/>
            <w:noWrap/>
            <w:vAlign w:val="bottom"/>
            <w:hideMark/>
          </w:tcPr>
          <w:p w14:paraId="75F77915"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19.3</w:t>
            </w:r>
          </w:p>
        </w:tc>
        <w:tc>
          <w:tcPr>
            <w:tcW w:w="599" w:type="dxa"/>
            <w:tcBorders>
              <w:top w:val="nil"/>
              <w:left w:val="nil"/>
              <w:bottom w:val="nil"/>
              <w:right w:val="nil"/>
            </w:tcBorders>
            <w:shd w:val="clear" w:color="000000" w:fill="C6EFCE"/>
            <w:noWrap/>
            <w:vAlign w:val="bottom"/>
            <w:hideMark/>
          </w:tcPr>
          <w:p w14:paraId="31ED0BFF"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17.9</w:t>
            </w:r>
          </w:p>
        </w:tc>
        <w:tc>
          <w:tcPr>
            <w:tcW w:w="599" w:type="dxa"/>
            <w:tcBorders>
              <w:top w:val="nil"/>
              <w:left w:val="nil"/>
              <w:bottom w:val="nil"/>
              <w:right w:val="nil"/>
            </w:tcBorders>
            <w:shd w:val="clear" w:color="000000" w:fill="C6EFCE"/>
            <w:noWrap/>
            <w:vAlign w:val="bottom"/>
            <w:hideMark/>
          </w:tcPr>
          <w:p w14:paraId="6DF208BB"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16.5</w:t>
            </w:r>
          </w:p>
        </w:tc>
        <w:tc>
          <w:tcPr>
            <w:tcW w:w="599" w:type="dxa"/>
            <w:tcBorders>
              <w:top w:val="nil"/>
              <w:left w:val="nil"/>
              <w:bottom w:val="nil"/>
              <w:right w:val="nil"/>
            </w:tcBorders>
            <w:shd w:val="clear" w:color="000000" w:fill="C6EFCE"/>
            <w:noWrap/>
            <w:vAlign w:val="bottom"/>
            <w:hideMark/>
          </w:tcPr>
          <w:p w14:paraId="7945D8A1"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15.1</w:t>
            </w:r>
          </w:p>
        </w:tc>
        <w:tc>
          <w:tcPr>
            <w:tcW w:w="599" w:type="dxa"/>
            <w:tcBorders>
              <w:top w:val="nil"/>
              <w:left w:val="nil"/>
              <w:bottom w:val="nil"/>
              <w:right w:val="nil"/>
            </w:tcBorders>
            <w:shd w:val="clear" w:color="000000" w:fill="C6EFCE"/>
            <w:noWrap/>
            <w:vAlign w:val="bottom"/>
            <w:hideMark/>
          </w:tcPr>
          <w:p w14:paraId="07948B82"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13.8</w:t>
            </w:r>
          </w:p>
        </w:tc>
        <w:tc>
          <w:tcPr>
            <w:tcW w:w="599" w:type="dxa"/>
            <w:tcBorders>
              <w:top w:val="nil"/>
              <w:left w:val="nil"/>
              <w:bottom w:val="nil"/>
              <w:right w:val="nil"/>
            </w:tcBorders>
            <w:shd w:val="clear" w:color="000000" w:fill="C6EFCE"/>
            <w:noWrap/>
            <w:vAlign w:val="bottom"/>
            <w:hideMark/>
          </w:tcPr>
          <w:p w14:paraId="68B8A6CF"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12.5</w:t>
            </w:r>
          </w:p>
        </w:tc>
        <w:tc>
          <w:tcPr>
            <w:tcW w:w="599" w:type="dxa"/>
            <w:tcBorders>
              <w:top w:val="nil"/>
              <w:left w:val="nil"/>
              <w:bottom w:val="nil"/>
              <w:right w:val="nil"/>
            </w:tcBorders>
            <w:shd w:val="clear" w:color="000000" w:fill="C6EFCE"/>
            <w:noWrap/>
            <w:vAlign w:val="bottom"/>
            <w:hideMark/>
          </w:tcPr>
          <w:p w14:paraId="0EE42FF7"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11.1</w:t>
            </w:r>
          </w:p>
        </w:tc>
        <w:tc>
          <w:tcPr>
            <w:tcW w:w="596" w:type="dxa"/>
            <w:tcBorders>
              <w:top w:val="nil"/>
              <w:left w:val="nil"/>
              <w:bottom w:val="nil"/>
              <w:right w:val="nil"/>
            </w:tcBorders>
            <w:shd w:val="clear" w:color="000000" w:fill="C6EFCE"/>
            <w:noWrap/>
            <w:vAlign w:val="bottom"/>
            <w:hideMark/>
          </w:tcPr>
          <w:p w14:paraId="6310C542"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9.8</w:t>
            </w:r>
          </w:p>
        </w:tc>
      </w:tr>
      <w:tr w:rsidR="00280058" w:rsidRPr="002C025E" w14:paraId="4D2AD865" w14:textId="77777777" w:rsidTr="00BB18F6">
        <w:tc>
          <w:tcPr>
            <w:tcW w:w="153" w:type="pct"/>
            <w:vMerge/>
            <w:tcBorders>
              <w:top w:val="nil"/>
              <w:left w:val="nil"/>
              <w:bottom w:val="nil"/>
              <w:right w:val="nil"/>
            </w:tcBorders>
            <w:vAlign w:val="center"/>
            <w:hideMark/>
          </w:tcPr>
          <w:p w14:paraId="7BB024B3"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59" w:type="pct"/>
            <w:tcBorders>
              <w:top w:val="nil"/>
              <w:left w:val="nil"/>
              <w:bottom w:val="nil"/>
              <w:right w:val="nil"/>
            </w:tcBorders>
            <w:shd w:val="clear" w:color="auto" w:fill="auto"/>
            <w:noWrap/>
            <w:hideMark/>
          </w:tcPr>
          <w:p w14:paraId="2F7CE941"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2.5%</w:t>
            </w:r>
          </w:p>
        </w:tc>
        <w:tc>
          <w:tcPr>
            <w:tcW w:w="600" w:type="dxa"/>
            <w:tcBorders>
              <w:top w:val="nil"/>
              <w:left w:val="nil"/>
              <w:bottom w:val="nil"/>
              <w:right w:val="nil"/>
            </w:tcBorders>
            <w:shd w:val="clear" w:color="000000" w:fill="FFC7CE"/>
            <w:noWrap/>
            <w:vAlign w:val="bottom"/>
            <w:hideMark/>
          </w:tcPr>
          <w:p w14:paraId="660D30C3"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25.2</w:t>
            </w:r>
          </w:p>
        </w:tc>
        <w:tc>
          <w:tcPr>
            <w:tcW w:w="600" w:type="dxa"/>
            <w:tcBorders>
              <w:top w:val="nil"/>
              <w:left w:val="nil"/>
              <w:bottom w:val="nil"/>
              <w:right w:val="nil"/>
            </w:tcBorders>
            <w:shd w:val="clear" w:color="000000" w:fill="FFC7CE"/>
            <w:noWrap/>
            <w:vAlign w:val="bottom"/>
            <w:hideMark/>
          </w:tcPr>
          <w:p w14:paraId="231493FD"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23.8</w:t>
            </w:r>
          </w:p>
        </w:tc>
        <w:tc>
          <w:tcPr>
            <w:tcW w:w="600" w:type="dxa"/>
            <w:tcBorders>
              <w:top w:val="nil"/>
              <w:left w:val="nil"/>
              <w:bottom w:val="nil"/>
              <w:right w:val="nil"/>
            </w:tcBorders>
            <w:shd w:val="clear" w:color="000000" w:fill="FFC7CE"/>
            <w:noWrap/>
            <w:vAlign w:val="bottom"/>
            <w:hideMark/>
          </w:tcPr>
          <w:p w14:paraId="677E2102"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22.4</w:t>
            </w:r>
          </w:p>
        </w:tc>
        <w:tc>
          <w:tcPr>
            <w:tcW w:w="599" w:type="dxa"/>
            <w:tcBorders>
              <w:top w:val="nil"/>
              <w:left w:val="nil"/>
              <w:bottom w:val="nil"/>
              <w:right w:val="nil"/>
            </w:tcBorders>
            <w:shd w:val="clear" w:color="000000" w:fill="FFC7CE"/>
            <w:noWrap/>
            <w:vAlign w:val="bottom"/>
            <w:hideMark/>
          </w:tcPr>
          <w:p w14:paraId="6CC52A3B"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21.0</w:t>
            </w:r>
          </w:p>
        </w:tc>
        <w:tc>
          <w:tcPr>
            <w:tcW w:w="599" w:type="dxa"/>
            <w:tcBorders>
              <w:top w:val="nil"/>
              <w:left w:val="nil"/>
              <w:bottom w:val="nil"/>
              <w:right w:val="nil"/>
            </w:tcBorders>
            <w:shd w:val="clear" w:color="000000" w:fill="C6EFCE"/>
            <w:noWrap/>
            <w:vAlign w:val="bottom"/>
            <w:hideMark/>
          </w:tcPr>
          <w:p w14:paraId="62F217D6"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19.6</w:t>
            </w:r>
          </w:p>
        </w:tc>
        <w:tc>
          <w:tcPr>
            <w:tcW w:w="599" w:type="dxa"/>
            <w:tcBorders>
              <w:top w:val="nil"/>
              <w:left w:val="nil"/>
              <w:bottom w:val="nil"/>
              <w:right w:val="nil"/>
            </w:tcBorders>
            <w:shd w:val="clear" w:color="000000" w:fill="C6EFCE"/>
            <w:noWrap/>
            <w:vAlign w:val="bottom"/>
            <w:hideMark/>
          </w:tcPr>
          <w:p w14:paraId="7C895710"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18.3</w:t>
            </w:r>
          </w:p>
        </w:tc>
        <w:tc>
          <w:tcPr>
            <w:tcW w:w="599" w:type="dxa"/>
            <w:tcBorders>
              <w:top w:val="nil"/>
              <w:left w:val="nil"/>
              <w:bottom w:val="nil"/>
              <w:right w:val="nil"/>
            </w:tcBorders>
            <w:shd w:val="clear" w:color="000000" w:fill="C6EFCE"/>
            <w:noWrap/>
            <w:vAlign w:val="bottom"/>
            <w:hideMark/>
          </w:tcPr>
          <w:p w14:paraId="3BDDF75A"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16.9</w:t>
            </w:r>
          </w:p>
        </w:tc>
        <w:tc>
          <w:tcPr>
            <w:tcW w:w="599" w:type="dxa"/>
            <w:tcBorders>
              <w:top w:val="nil"/>
              <w:left w:val="nil"/>
              <w:bottom w:val="nil"/>
              <w:right w:val="nil"/>
            </w:tcBorders>
            <w:shd w:val="clear" w:color="000000" w:fill="C6EFCE"/>
            <w:noWrap/>
            <w:vAlign w:val="bottom"/>
            <w:hideMark/>
          </w:tcPr>
          <w:p w14:paraId="4D66F8F5"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15.6</w:t>
            </w:r>
          </w:p>
        </w:tc>
        <w:tc>
          <w:tcPr>
            <w:tcW w:w="599" w:type="dxa"/>
            <w:tcBorders>
              <w:top w:val="nil"/>
              <w:left w:val="nil"/>
              <w:bottom w:val="nil"/>
              <w:right w:val="nil"/>
            </w:tcBorders>
            <w:shd w:val="clear" w:color="000000" w:fill="C6EFCE"/>
            <w:noWrap/>
            <w:vAlign w:val="bottom"/>
            <w:hideMark/>
          </w:tcPr>
          <w:p w14:paraId="0269B0DD"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14.3</w:t>
            </w:r>
          </w:p>
        </w:tc>
        <w:tc>
          <w:tcPr>
            <w:tcW w:w="599" w:type="dxa"/>
            <w:tcBorders>
              <w:top w:val="nil"/>
              <w:left w:val="nil"/>
              <w:bottom w:val="nil"/>
              <w:right w:val="nil"/>
            </w:tcBorders>
            <w:shd w:val="clear" w:color="000000" w:fill="C6EFCE"/>
            <w:noWrap/>
            <w:vAlign w:val="bottom"/>
            <w:hideMark/>
          </w:tcPr>
          <w:p w14:paraId="2BB2CA4E"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13.1</w:t>
            </w:r>
          </w:p>
        </w:tc>
        <w:tc>
          <w:tcPr>
            <w:tcW w:w="599" w:type="dxa"/>
            <w:tcBorders>
              <w:top w:val="nil"/>
              <w:left w:val="nil"/>
              <w:bottom w:val="nil"/>
              <w:right w:val="nil"/>
            </w:tcBorders>
            <w:shd w:val="clear" w:color="000000" w:fill="C6EFCE"/>
            <w:noWrap/>
            <w:vAlign w:val="bottom"/>
            <w:hideMark/>
          </w:tcPr>
          <w:p w14:paraId="0507D8C6"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11.8</w:t>
            </w:r>
          </w:p>
        </w:tc>
        <w:tc>
          <w:tcPr>
            <w:tcW w:w="599" w:type="dxa"/>
            <w:tcBorders>
              <w:top w:val="nil"/>
              <w:left w:val="nil"/>
              <w:bottom w:val="nil"/>
              <w:right w:val="nil"/>
            </w:tcBorders>
            <w:shd w:val="clear" w:color="000000" w:fill="C6EFCE"/>
            <w:noWrap/>
            <w:vAlign w:val="bottom"/>
            <w:hideMark/>
          </w:tcPr>
          <w:p w14:paraId="1913E485"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10.6</w:t>
            </w:r>
          </w:p>
        </w:tc>
        <w:tc>
          <w:tcPr>
            <w:tcW w:w="596" w:type="dxa"/>
            <w:tcBorders>
              <w:top w:val="nil"/>
              <w:left w:val="nil"/>
              <w:bottom w:val="nil"/>
              <w:right w:val="nil"/>
            </w:tcBorders>
            <w:shd w:val="clear" w:color="000000" w:fill="C6EFCE"/>
            <w:noWrap/>
            <w:vAlign w:val="bottom"/>
            <w:hideMark/>
          </w:tcPr>
          <w:p w14:paraId="2B328BD3"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9.3</w:t>
            </w:r>
          </w:p>
        </w:tc>
      </w:tr>
      <w:tr w:rsidR="00280058" w:rsidRPr="002C025E" w14:paraId="69908CDF" w14:textId="77777777" w:rsidTr="00BB18F6">
        <w:tc>
          <w:tcPr>
            <w:tcW w:w="153" w:type="pct"/>
            <w:vMerge/>
            <w:tcBorders>
              <w:top w:val="nil"/>
              <w:left w:val="nil"/>
              <w:bottom w:val="nil"/>
              <w:right w:val="nil"/>
            </w:tcBorders>
            <w:vAlign w:val="center"/>
            <w:hideMark/>
          </w:tcPr>
          <w:p w14:paraId="7FBC841D"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59" w:type="pct"/>
            <w:tcBorders>
              <w:top w:val="nil"/>
              <w:left w:val="nil"/>
              <w:bottom w:val="nil"/>
              <w:right w:val="nil"/>
            </w:tcBorders>
            <w:shd w:val="clear" w:color="auto" w:fill="auto"/>
            <w:noWrap/>
            <w:hideMark/>
          </w:tcPr>
          <w:p w14:paraId="7E253C2D" w14:textId="77777777" w:rsidR="00280058" w:rsidRPr="00F527BB" w:rsidRDefault="00280058" w:rsidP="00BB18F6">
            <w:pPr>
              <w:spacing w:after="0" w:line="240" w:lineRule="auto"/>
              <w:jc w:val="right"/>
              <w:rPr>
                <w:rFonts w:ascii="Arial" w:eastAsia="Times New Roman" w:hAnsi="Arial" w:cs="Arial"/>
                <w:b/>
                <w:bCs/>
                <w:sz w:val="18"/>
                <w:szCs w:val="18"/>
                <w:lang w:val="lt-LT" w:eastAsia="lt-LT"/>
              </w:rPr>
            </w:pPr>
            <w:r w:rsidRPr="00F527BB">
              <w:rPr>
                <w:rFonts w:ascii="Arial" w:eastAsia="Times New Roman" w:hAnsi="Arial" w:cs="Arial"/>
                <w:b/>
                <w:bCs/>
                <w:sz w:val="18"/>
                <w:szCs w:val="18"/>
                <w:lang w:val="lt-LT" w:eastAsia="lt-LT"/>
              </w:rPr>
              <w:t>3.0%</w:t>
            </w:r>
          </w:p>
        </w:tc>
        <w:tc>
          <w:tcPr>
            <w:tcW w:w="600" w:type="dxa"/>
            <w:tcBorders>
              <w:top w:val="nil"/>
              <w:left w:val="nil"/>
              <w:bottom w:val="nil"/>
              <w:right w:val="nil"/>
            </w:tcBorders>
            <w:shd w:val="clear" w:color="000000" w:fill="FFC7CE"/>
            <w:noWrap/>
            <w:vAlign w:val="bottom"/>
            <w:hideMark/>
          </w:tcPr>
          <w:p w14:paraId="75827D0F"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23.8</w:t>
            </w:r>
          </w:p>
        </w:tc>
        <w:tc>
          <w:tcPr>
            <w:tcW w:w="600" w:type="dxa"/>
            <w:tcBorders>
              <w:top w:val="nil"/>
              <w:left w:val="nil"/>
              <w:bottom w:val="nil"/>
              <w:right w:val="nil"/>
            </w:tcBorders>
            <w:shd w:val="clear" w:color="000000" w:fill="FFC7CE"/>
            <w:noWrap/>
            <w:vAlign w:val="bottom"/>
            <w:hideMark/>
          </w:tcPr>
          <w:p w14:paraId="2A04AC40"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22.5</w:t>
            </w:r>
          </w:p>
        </w:tc>
        <w:tc>
          <w:tcPr>
            <w:tcW w:w="600" w:type="dxa"/>
            <w:tcBorders>
              <w:top w:val="nil"/>
              <w:left w:val="nil"/>
              <w:bottom w:val="nil"/>
              <w:right w:val="nil"/>
            </w:tcBorders>
            <w:shd w:val="clear" w:color="000000" w:fill="FFC7CE"/>
            <w:noWrap/>
            <w:vAlign w:val="bottom"/>
            <w:hideMark/>
          </w:tcPr>
          <w:p w14:paraId="1050DA36"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21.1</w:t>
            </w:r>
          </w:p>
        </w:tc>
        <w:tc>
          <w:tcPr>
            <w:tcW w:w="599" w:type="dxa"/>
            <w:tcBorders>
              <w:top w:val="nil"/>
              <w:left w:val="nil"/>
              <w:bottom w:val="nil"/>
              <w:right w:val="nil"/>
            </w:tcBorders>
            <w:shd w:val="clear" w:color="000000" w:fill="C6EFCE"/>
            <w:noWrap/>
            <w:vAlign w:val="bottom"/>
            <w:hideMark/>
          </w:tcPr>
          <w:p w14:paraId="08CFFD9F"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19.8</w:t>
            </w:r>
          </w:p>
        </w:tc>
        <w:tc>
          <w:tcPr>
            <w:tcW w:w="599" w:type="dxa"/>
            <w:tcBorders>
              <w:top w:val="nil"/>
              <w:left w:val="nil"/>
              <w:bottom w:val="nil"/>
              <w:right w:val="nil"/>
            </w:tcBorders>
            <w:shd w:val="clear" w:color="000000" w:fill="C6EFCE"/>
            <w:noWrap/>
            <w:vAlign w:val="bottom"/>
            <w:hideMark/>
          </w:tcPr>
          <w:p w14:paraId="2E41727D"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18.6</w:t>
            </w:r>
          </w:p>
        </w:tc>
        <w:tc>
          <w:tcPr>
            <w:tcW w:w="599" w:type="dxa"/>
            <w:tcBorders>
              <w:top w:val="nil"/>
              <w:left w:val="nil"/>
              <w:bottom w:val="nil"/>
              <w:right w:val="nil"/>
            </w:tcBorders>
            <w:shd w:val="clear" w:color="000000" w:fill="C6EFCE"/>
            <w:noWrap/>
            <w:vAlign w:val="bottom"/>
            <w:hideMark/>
          </w:tcPr>
          <w:p w14:paraId="1FD1E1F4"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17.3</w:t>
            </w:r>
          </w:p>
        </w:tc>
        <w:tc>
          <w:tcPr>
            <w:tcW w:w="599" w:type="dxa"/>
            <w:tcBorders>
              <w:top w:val="nil"/>
              <w:left w:val="nil"/>
              <w:bottom w:val="nil"/>
              <w:right w:val="nil"/>
            </w:tcBorders>
            <w:shd w:val="clear" w:color="000000" w:fill="C6EFCE"/>
            <w:noWrap/>
            <w:vAlign w:val="bottom"/>
            <w:hideMark/>
          </w:tcPr>
          <w:p w14:paraId="51D61E7D"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16.0</w:t>
            </w:r>
          </w:p>
        </w:tc>
        <w:tc>
          <w:tcPr>
            <w:tcW w:w="599" w:type="dxa"/>
            <w:tcBorders>
              <w:top w:val="nil"/>
              <w:left w:val="nil"/>
              <w:bottom w:val="nil"/>
              <w:right w:val="nil"/>
            </w:tcBorders>
            <w:shd w:val="clear" w:color="000000" w:fill="C6EFCE"/>
            <w:noWrap/>
            <w:vAlign w:val="bottom"/>
            <w:hideMark/>
          </w:tcPr>
          <w:p w14:paraId="1E5C7AE0"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14.8</w:t>
            </w:r>
          </w:p>
        </w:tc>
        <w:tc>
          <w:tcPr>
            <w:tcW w:w="599" w:type="dxa"/>
            <w:tcBorders>
              <w:top w:val="nil"/>
              <w:left w:val="nil"/>
              <w:bottom w:val="nil"/>
              <w:right w:val="nil"/>
            </w:tcBorders>
            <w:shd w:val="clear" w:color="000000" w:fill="C6EFCE"/>
            <w:noWrap/>
            <w:vAlign w:val="bottom"/>
            <w:hideMark/>
          </w:tcPr>
          <w:p w14:paraId="5CE2B891"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13.6</w:t>
            </w:r>
          </w:p>
        </w:tc>
        <w:tc>
          <w:tcPr>
            <w:tcW w:w="599" w:type="dxa"/>
            <w:tcBorders>
              <w:top w:val="nil"/>
              <w:left w:val="nil"/>
              <w:bottom w:val="nil"/>
              <w:right w:val="nil"/>
            </w:tcBorders>
            <w:shd w:val="clear" w:color="000000" w:fill="C6EFCE"/>
            <w:noWrap/>
            <w:vAlign w:val="bottom"/>
            <w:hideMark/>
          </w:tcPr>
          <w:p w14:paraId="00CF80AD"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12.4</w:t>
            </w:r>
          </w:p>
        </w:tc>
        <w:tc>
          <w:tcPr>
            <w:tcW w:w="599" w:type="dxa"/>
            <w:tcBorders>
              <w:top w:val="nil"/>
              <w:left w:val="nil"/>
              <w:bottom w:val="nil"/>
              <w:right w:val="nil"/>
            </w:tcBorders>
            <w:shd w:val="clear" w:color="000000" w:fill="C6EFCE"/>
            <w:noWrap/>
            <w:vAlign w:val="bottom"/>
            <w:hideMark/>
          </w:tcPr>
          <w:p w14:paraId="338812D6"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11.2</w:t>
            </w:r>
          </w:p>
        </w:tc>
        <w:tc>
          <w:tcPr>
            <w:tcW w:w="599" w:type="dxa"/>
            <w:tcBorders>
              <w:top w:val="nil"/>
              <w:left w:val="nil"/>
              <w:bottom w:val="nil"/>
              <w:right w:val="nil"/>
            </w:tcBorders>
            <w:shd w:val="clear" w:color="000000" w:fill="C6EFCE"/>
            <w:noWrap/>
            <w:vAlign w:val="bottom"/>
            <w:hideMark/>
          </w:tcPr>
          <w:p w14:paraId="0647791C"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10.0</w:t>
            </w:r>
          </w:p>
        </w:tc>
        <w:tc>
          <w:tcPr>
            <w:tcW w:w="596" w:type="dxa"/>
            <w:tcBorders>
              <w:top w:val="nil"/>
              <w:left w:val="nil"/>
              <w:bottom w:val="nil"/>
              <w:right w:val="nil"/>
            </w:tcBorders>
            <w:shd w:val="clear" w:color="000000" w:fill="C6EFCE"/>
            <w:noWrap/>
            <w:vAlign w:val="bottom"/>
            <w:hideMark/>
          </w:tcPr>
          <w:p w14:paraId="7EFDCC38"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8.9</w:t>
            </w:r>
          </w:p>
        </w:tc>
      </w:tr>
      <w:tr w:rsidR="00280058" w:rsidRPr="002C025E" w14:paraId="1E65EA1D" w14:textId="77777777" w:rsidTr="00BB18F6">
        <w:tc>
          <w:tcPr>
            <w:tcW w:w="153" w:type="pct"/>
            <w:vMerge/>
            <w:tcBorders>
              <w:top w:val="nil"/>
              <w:left w:val="nil"/>
              <w:bottom w:val="nil"/>
              <w:right w:val="nil"/>
            </w:tcBorders>
            <w:vAlign w:val="center"/>
            <w:hideMark/>
          </w:tcPr>
          <w:p w14:paraId="6979274B"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59" w:type="pct"/>
            <w:tcBorders>
              <w:top w:val="nil"/>
              <w:left w:val="nil"/>
              <w:bottom w:val="nil"/>
              <w:right w:val="nil"/>
            </w:tcBorders>
            <w:shd w:val="clear" w:color="auto" w:fill="auto"/>
            <w:noWrap/>
            <w:hideMark/>
          </w:tcPr>
          <w:p w14:paraId="67E551BE"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3.5%</w:t>
            </w:r>
          </w:p>
        </w:tc>
        <w:tc>
          <w:tcPr>
            <w:tcW w:w="600" w:type="dxa"/>
            <w:tcBorders>
              <w:top w:val="nil"/>
              <w:left w:val="nil"/>
              <w:bottom w:val="nil"/>
              <w:right w:val="nil"/>
            </w:tcBorders>
            <w:shd w:val="clear" w:color="000000" w:fill="FFC7CE"/>
            <w:noWrap/>
            <w:vAlign w:val="bottom"/>
            <w:hideMark/>
          </w:tcPr>
          <w:p w14:paraId="637DDCA2"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22.5</w:t>
            </w:r>
          </w:p>
        </w:tc>
        <w:tc>
          <w:tcPr>
            <w:tcW w:w="600" w:type="dxa"/>
            <w:tcBorders>
              <w:top w:val="nil"/>
              <w:left w:val="nil"/>
              <w:bottom w:val="nil"/>
              <w:right w:val="nil"/>
            </w:tcBorders>
            <w:shd w:val="clear" w:color="000000" w:fill="FFC7CE"/>
            <w:noWrap/>
            <w:vAlign w:val="bottom"/>
            <w:hideMark/>
          </w:tcPr>
          <w:p w14:paraId="6E86214B"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21.2</w:t>
            </w:r>
          </w:p>
        </w:tc>
        <w:tc>
          <w:tcPr>
            <w:tcW w:w="600" w:type="dxa"/>
            <w:tcBorders>
              <w:top w:val="nil"/>
              <w:left w:val="nil"/>
              <w:bottom w:val="nil"/>
              <w:right w:val="nil"/>
            </w:tcBorders>
            <w:shd w:val="clear" w:color="000000" w:fill="C6EFCE"/>
            <w:noWrap/>
            <w:vAlign w:val="bottom"/>
            <w:hideMark/>
          </w:tcPr>
          <w:p w14:paraId="2AB83069"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20.0</w:t>
            </w:r>
          </w:p>
        </w:tc>
        <w:tc>
          <w:tcPr>
            <w:tcW w:w="599" w:type="dxa"/>
            <w:tcBorders>
              <w:top w:val="nil"/>
              <w:left w:val="nil"/>
              <w:bottom w:val="nil"/>
              <w:right w:val="nil"/>
            </w:tcBorders>
            <w:shd w:val="clear" w:color="000000" w:fill="C6EFCE"/>
            <w:noWrap/>
            <w:vAlign w:val="bottom"/>
            <w:hideMark/>
          </w:tcPr>
          <w:p w14:paraId="7725F0DA"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18.7</w:t>
            </w:r>
          </w:p>
        </w:tc>
        <w:tc>
          <w:tcPr>
            <w:tcW w:w="599" w:type="dxa"/>
            <w:tcBorders>
              <w:top w:val="nil"/>
              <w:left w:val="nil"/>
              <w:bottom w:val="nil"/>
              <w:right w:val="nil"/>
            </w:tcBorders>
            <w:shd w:val="clear" w:color="000000" w:fill="C6EFCE"/>
            <w:noWrap/>
            <w:vAlign w:val="bottom"/>
            <w:hideMark/>
          </w:tcPr>
          <w:p w14:paraId="0595CAB1"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17.5</w:t>
            </w:r>
          </w:p>
        </w:tc>
        <w:tc>
          <w:tcPr>
            <w:tcW w:w="599" w:type="dxa"/>
            <w:tcBorders>
              <w:top w:val="nil"/>
              <w:left w:val="nil"/>
              <w:bottom w:val="nil"/>
              <w:right w:val="nil"/>
            </w:tcBorders>
            <w:shd w:val="clear" w:color="000000" w:fill="C6EFCE"/>
            <w:noWrap/>
            <w:vAlign w:val="bottom"/>
            <w:hideMark/>
          </w:tcPr>
          <w:p w14:paraId="5E8DA691"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16.4</w:t>
            </w:r>
          </w:p>
        </w:tc>
        <w:tc>
          <w:tcPr>
            <w:tcW w:w="599" w:type="dxa"/>
            <w:tcBorders>
              <w:top w:val="nil"/>
              <w:left w:val="nil"/>
              <w:bottom w:val="nil"/>
              <w:right w:val="nil"/>
            </w:tcBorders>
            <w:shd w:val="clear" w:color="000000" w:fill="C6EFCE"/>
            <w:noWrap/>
            <w:vAlign w:val="bottom"/>
            <w:hideMark/>
          </w:tcPr>
          <w:p w14:paraId="7B3BE057"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15.2</w:t>
            </w:r>
          </w:p>
        </w:tc>
        <w:tc>
          <w:tcPr>
            <w:tcW w:w="599" w:type="dxa"/>
            <w:tcBorders>
              <w:top w:val="nil"/>
              <w:left w:val="nil"/>
              <w:bottom w:val="nil"/>
              <w:right w:val="nil"/>
            </w:tcBorders>
            <w:shd w:val="clear" w:color="000000" w:fill="C6EFCE"/>
            <w:noWrap/>
            <w:vAlign w:val="bottom"/>
            <w:hideMark/>
          </w:tcPr>
          <w:p w14:paraId="431A5760"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14.0</w:t>
            </w:r>
          </w:p>
        </w:tc>
        <w:tc>
          <w:tcPr>
            <w:tcW w:w="599" w:type="dxa"/>
            <w:tcBorders>
              <w:top w:val="nil"/>
              <w:left w:val="nil"/>
              <w:bottom w:val="nil"/>
              <w:right w:val="nil"/>
            </w:tcBorders>
            <w:shd w:val="clear" w:color="000000" w:fill="C6EFCE"/>
            <w:noWrap/>
            <w:vAlign w:val="bottom"/>
            <w:hideMark/>
          </w:tcPr>
          <w:p w14:paraId="6496DBC2"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12.9</w:t>
            </w:r>
          </w:p>
        </w:tc>
        <w:tc>
          <w:tcPr>
            <w:tcW w:w="599" w:type="dxa"/>
            <w:tcBorders>
              <w:top w:val="nil"/>
              <w:left w:val="nil"/>
              <w:bottom w:val="nil"/>
              <w:right w:val="nil"/>
            </w:tcBorders>
            <w:shd w:val="clear" w:color="000000" w:fill="C6EFCE"/>
            <w:noWrap/>
            <w:vAlign w:val="bottom"/>
            <w:hideMark/>
          </w:tcPr>
          <w:p w14:paraId="0A79922C"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11.7</w:t>
            </w:r>
          </w:p>
        </w:tc>
        <w:tc>
          <w:tcPr>
            <w:tcW w:w="599" w:type="dxa"/>
            <w:tcBorders>
              <w:top w:val="nil"/>
              <w:left w:val="nil"/>
              <w:bottom w:val="nil"/>
              <w:right w:val="nil"/>
            </w:tcBorders>
            <w:shd w:val="clear" w:color="000000" w:fill="C6EFCE"/>
            <w:noWrap/>
            <w:vAlign w:val="bottom"/>
            <w:hideMark/>
          </w:tcPr>
          <w:p w14:paraId="74E95CA6"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10.6</w:t>
            </w:r>
          </w:p>
        </w:tc>
        <w:tc>
          <w:tcPr>
            <w:tcW w:w="599" w:type="dxa"/>
            <w:tcBorders>
              <w:top w:val="nil"/>
              <w:left w:val="nil"/>
              <w:bottom w:val="nil"/>
              <w:right w:val="nil"/>
            </w:tcBorders>
            <w:shd w:val="clear" w:color="000000" w:fill="C6EFCE"/>
            <w:noWrap/>
            <w:vAlign w:val="bottom"/>
            <w:hideMark/>
          </w:tcPr>
          <w:p w14:paraId="37945520"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9.5</w:t>
            </w:r>
          </w:p>
        </w:tc>
        <w:tc>
          <w:tcPr>
            <w:tcW w:w="596" w:type="dxa"/>
            <w:tcBorders>
              <w:top w:val="nil"/>
              <w:left w:val="nil"/>
              <w:bottom w:val="nil"/>
              <w:right w:val="nil"/>
            </w:tcBorders>
            <w:shd w:val="clear" w:color="000000" w:fill="C6EFCE"/>
            <w:noWrap/>
            <w:vAlign w:val="bottom"/>
            <w:hideMark/>
          </w:tcPr>
          <w:p w14:paraId="50927A2D"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8.4</w:t>
            </w:r>
          </w:p>
        </w:tc>
      </w:tr>
      <w:tr w:rsidR="00280058" w:rsidRPr="002C025E" w14:paraId="59A0253E" w14:textId="77777777" w:rsidTr="00BB18F6">
        <w:tc>
          <w:tcPr>
            <w:tcW w:w="153" w:type="pct"/>
            <w:vMerge/>
            <w:tcBorders>
              <w:top w:val="nil"/>
              <w:left w:val="nil"/>
              <w:bottom w:val="nil"/>
              <w:right w:val="nil"/>
            </w:tcBorders>
            <w:vAlign w:val="center"/>
            <w:hideMark/>
          </w:tcPr>
          <w:p w14:paraId="46D3253D"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59" w:type="pct"/>
            <w:tcBorders>
              <w:top w:val="nil"/>
              <w:left w:val="nil"/>
              <w:bottom w:val="nil"/>
              <w:right w:val="nil"/>
            </w:tcBorders>
            <w:shd w:val="clear" w:color="auto" w:fill="auto"/>
            <w:noWrap/>
            <w:hideMark/>
          </w:tcPr>
          <w:p w14:paraId="2D4872AC"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4.0%</w:t>
            </w:r>
          </w:p>
        </w:tc>
        <w:tc>
          <w:tcPr>
            <w:tcW w:w="600" w:type="dxa"/>
            <w:tcBorders>
              <w:top w:val="nil"/>
              <w:left w:val="nil"/>
              <w:bottom w:val="nil"/>
              <w:right w:val="nil"/>
            </w:tcBorders>
            <w:shd w:val="clear" w:color="000000" w:fill="FFC7CE"/>
            <w:noWrap/>
            <w:vAlign w:val="bottom"/>
            <w:hideMark/>
          </w:tcPr>
          <w:p w14:paraId="4F63FE56"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21.2</w:t>
            </w:r>
          </w:p>
        </w:tc>
        <w:tc>
          <w:tcPr>
            <w:tcW w:w="600" w:type="dxa"/>
            <w:tcBorders>
              <w:top w:val="nil"/>
              <w:left w:val="nil"/>
              <w:bottom w:val="nil"/>
              <w:right w:val="nil"/>
            </w:tcBorders>
            <w:shd w:val="clear" w:color="000000" w:fill="FFC7CE"/>
            <w:noWrap/>
            <w:vAlign w:val="bottom"/>
            <w:hideMark/>
          </w:tcPr>
          <w:p w14:paraId="4A20F884" w14:textId="77777777" w:rsidR="00280058" w:rsidRPr="00DF3A8E" w:rsidRDefault="00280058" w:rsidP="00BB18F6">
            <w:pPr>
              <w:spacing w:after="0" w:line="240" w:lineRule="auto"/>
              <w:jc w:val="center"/>
              <w:rPr>
                <w:rFonts w:ascii="Arial" w:hAnsi="Arial" w:cs="Arial"/>
                <w:color w:val="9C0006"/>
                <w:sz w:val="18"/>
                <w:szCs w:val="18"/>
                <w:lang w:val="lt-LT"/>
              </w:rPr>
            </w:pPr>
            <w:r w:rsidRPr="00DF3A8E">
              <w:rPr>
                <w:rFonts w:ascii="Arial" w:hAnsi="Arial" w:cs="Arial"/>
                <w:color w:val="9C0006"/>
                <w:sz w:val="18"/>
                <w:szCs w:val="18"/>
                <w:lang w:val="lt-LT"/>
              </w:rPr>
              <w:t>20.0</w:t>
            </w:r>
          </w:p>
        </w:tc>
        <w:tc>
          <w:tcPr>
            <w:tcW w:w="600" w:type="dxa"/>
            <w:tcBorders>
              <w:top w:val="nil"/>
              <w:left w:val="nil"/>
              <w:bottom w:val="nil"/>
              <w:right w:val="nil"/>
            </w:tcBorders>
            <w:shd w:val="clear" w:color="000000" w:fill="C6EFCE"/>
            <w:noWrap/>
            <w:vAlign w:val="bottom"/>
            <w:hideMark/>
          </w:tcPr>
          <w:p w14:paraId="6DEAC089"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18.9</w:t>
            </w:r>
          </w:p>
        </w:tc>
        <w:tc>
          <w:tcPr>
            <w:tcW w:w="599" w:type="dxa"/>
            <w:tcBorders>
              <w:top w:val="nil"/>
              <w:left w:val="nil"/>
              <w:bottom w:val="nil"/>
              <w:right w:val="nil"/>
            </w:tcBorders>
            <w:shd w:val="clear" w:color="000000" w:fill="C6EFCE"/>
            <w:noWrap/>
            <w:vAlign w:val="bottom"/>
            <w:hideMark/>
          </w:tcPr>
          <w:p w14:paraId="61E926C7"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17.7</w:t>
            </w:r>
          </w:p>
        </w:tc>
        <w:tc>
          <w:tcPr>
            <w:tcW w:w="599" w:type="dxa"/>
            <w:tcBorders>
              <w:top w:val="nil"/>
              <w:left w:val="nil"/>
              <w:bottom w:val="nil"/>
              <w:right w:val="nil"/>
            </w:tcBorders>
            <w:shd w:val="clear" w:color="000000" w:fill="C6EFCE"/>
            <w:noWrap/>
            <w:vAlign w:val="bottom"/>
            <w:hideMark/>
          </w:tcPr>
          <w:p w14:paraId="4881866C"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16.6</w:t>
            </w:r>
          </w:p>
        </w:tc>
        <w:tc>
          <w:tcPr>
            <w:tcW w:w="599" w:type="dxa"/>
            <w:tcBorders>
              <w:top w:val="nil"/>
              <w:left w:val="nil"/>
              <w:bottom w:val="nil"/>
              <w:right w:val="nil"/>
            </w:tcBorders>
            <w:shd w:val="clear" w:color="000000" w:fill="C6EFCE"/>
            <w:noWrap/>
            <w:vAlign w:val="bottom"/>
            <w:hideMark/>
          </w:tcPr>
          <w:p w14:paraId="2C0EA6D1"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15.5</w:t>
            </w:r>
          </w:p>
        </w:tc>
        <w:tc>
          <w:tcPr>
            <w:tcW w:w="599" w:type="dxa"/>
            <w:tcBorders>
              <w:top w:val="nil"/>
              <w:left w:val="nil"/>
              <w:bottom w:val="nil"/>
              <w:right w:val="nil"/>
            </w:tcBorders>
            <w:shd w:val="clear" w:color="000000" w:fill="C6EFCE"/>
            <w:noWrap/>
            <w:vAlign w:val="bottom"/>
            <w:hideMark/>
          </w:tcPr>
          <w:p w14:paraId="492261A3"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14.4</w:t>
            </w:r>
          </w:p>
        </w:tc>
        <w:tc>
          <w:tcPr>
            <w:tcW w:w="599" w:type="dxa"/>
            <w:tcBorders>
              <w:top w:val="nil"/>
              <w:left w:val="nil"/>
              <w:bottom w:val="nil"/>
              <w:right w:val="nil"/>
            </w:tcBorders>
            <w:shd w:val="clear" w:color="000000" w:fill="C6EFCE"/>
            <w:noWrap/>
            <w:vAlign w:val="bottom"/>
            <w:hideMark/>
          </w:tcPr>
          <w:p w14:paraId="47088F85"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13.3</w:t>
            </w:r>
          </w:p>
        </w:tc>
        <w:tc>
          <w:tcPr>
            <w:tcW w:w="599" w:type="dxa"/>
            <w:tcBorders>
              <w:top w:val="nil"/>
              <w:left w:val="nil"/>
              <w:bottom w:val="nil"/>
              <w:right w:val="nil"/>
            </w:tcBorders>
            <w:shd w:val="clear" w:color="000000" w:fill="C6EFCE"/>
            <w:noWrap/>
            <w:vAlign w:val="bottom"/>
            <w:hideMark/>
          </w:tcPr>
          <w:p w14:paraId="2E76AAF9"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12.2</w:t>
            </w:r>
          </w:p>
        </w:tc>
        <w:tc>
          <w:tcPr>
            <w:tcW w:w="599" w:type="dxa"/>
            <w:tcBorders>
              <w:top w:val="nil"/>
              <w:left w:val="nil"/>
              <w:bottom w:val="nil"/>
              <w:right w:val="nil"/>
            </w:tcBorders>
            <w:shd w:val="clear" w:color="000000" w:fill="C6EFCE"/>
            <w:noWrap/>
            <w:vAlign w:val="bottom"/>
            <w:hideMark/>
          </w:tcPr>
          <w:p w14:paraId="1989DB24"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11.1</w:t>
            </w:r>
          </w:p>
        </w:tc>
        <w:tc>
          <w:tcPr>
            <w:tcW w:w="599" w:type="dxa"/>
            <w:tcBorders>
              <w:top w:val="nil"/>
              <w:left w:val="nil"/>
              <w:bottom w:val="nil"/>
              <w:right w:val="nil"/>
            </w:tcBorders>
            <w:shd w:val="clear" w:color="000000" w:fill="C6EFCE"/>
            <w:noWrap/>
            <w:vAlign w:val="bottom"/>
            <w:hideMark/>
          </w:tcPr>
          <w:p w14:paraId="58A8AEE5"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10.0</w:t>
            </w:r>
          </w:p>
        </w:tc>
        <w:tc>
          <w:tcPr>
            <w:tcW w:w="599" w:type="dxa"/>
            <w:tcBorders>
              <w:top w:val="nil"/>
              <w:left w:val="nil"/>
              <w:bottom w:val="nil"/>
              <w:right w:val="nil"/>
            </w:tcBorders>
            <w:shd w:val="clear" w:color="000000" w:fill="C6EFCE"/>
            <w:noWrap/>
            <w:vAlign w:val="bottom"/>
            <w:hideMark/>
          </w:tcPr>
          <w:p w14:paraId="5A4A7795"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9.0</w:t>
            </w:r>
          </w:p>
        </w:tc>
        <w:tc>
          <w:tcPr>
            <w:tcW w:w="596" w:type="dxa"/>
            <w:tcBorders>
              <w:top w:val="nil"/>
              <w:left w:val="nil"/>
              <w:bottom w:val="nil"/>
              <w:right w:val="nil"/>
            </w:tcBorders>
            <w:shd w:val="clear" w:color="000000" w:fill="C6EFCE"/>
            <w:noWrap/>
            <w:vAlign w:val="bottom"/>
            <w:hideMark/>
          </w:tcPr>
          <w:p w14:paraId="75DA7AA6"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7.9</w:t>
            </w:r>
          </w:p>
        </w:tc>
      </w:tr>
      <w:tr w:rsidR="00280058" w:rsidRPr="002C025E" w14:paraId="27643E80" w14:textId="77777777" w:rsidTr="00BB18F6">
        <w:tc>
          <w:tcPr>
            <w:tcW w:w="153" w:type="pct"/>
            <w:vMerge/>
            <w:tcBorders>
              <w:top w:val="nil"/>
              <w:left w:val="nil"/>
              <w:bottom w:val="nil"/>
              <w:right w:val="nil"/>
            </w:tcBorders>
            <w:vAlign w:val="center"/>
            <w:hideMark/>
          </w:tcPr>
          <w:p w14:paraId="6FC1ADF0"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59" w:type="pct"/>
            <w:tcBorders>
              <w:top w:val="nil"/>
              <w:left w:val="nil"/>
              <w:bottom w:val="nil"/>
              <w:right w:val="nil"/>
            </w:tcBorders>
            <w:shd w:val="clear" w:color="auto" w:fill="auto"/>
            <w:noWrap/>
            <w:hideMark/>
          </w:tcPr>
          <w:p w14:paraId="743AB809"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4.5%</w:t>
            </w:r>
          </w:p>
        </w:tc>
        <w:tc>
          <w:tcPr>
            <w:tcW w:w="600" w:type="dxa"/>
            <w:tcBorders>
              <w:top w:val="nil"/>
              <w:left w:val="nil"/>
              <w:bottom w:val="nil"/>
              <w:right w:val="nil"/>
            </w:tcBorders>
            <w:shd w:val="clear" w:color="000000" w:fill="C6EFCE"/>
            <w:noWrap/>
            <w:vAlign w:val="bottom"/>
            <w:hideMark/>
          </w:tcPr>
          <w:p w14:paraId="0BB3282F"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20.0</w:t>
            </w:r>
          </w:p>
        </w:tc>
        <w:tc>
          <w:tcPr>
            <w:tcW w:w="600" w:type="dxa"/>
            <w:tcBorders>
              <w:top w:val="nil"/>
              <w:left w:val="nil"/>
              <w:bottom w:val="nil"/>
              <w:right w:val="nil"/>
            </w:tcBorders>
            <w:shd w:val="clear" w:color="000000" w:fill="C6EFCE"/>
            <w:noWrap/>
            <w:vAlign w:val="bottom"/>
            <w:hideMark/>
          </w:tcPr>
          <w:p w14:paraId="731950BD"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18.9</w:t>
            </w:r>
          </w:p>
        </w:tc>
        <w:tc>
          <w:tcPr>
            <w:tcW w:w="600" w:type="dxa"/>
            <w:tcBorders>
              <w:top w:val="nil"/>
              <w:left w:val="nil"/>
              <w:bottom w:val="nil"/>
              <w:right w:val="nil"/>
            </w:tcBorders>
            <w:shd w:val="clear" w:color="000000" w:fill="C6EFCE"/>
            <w:noWrap/>
            <w:vAlign w:val="bottom"/>
            <w:hideMark/>
          </w:tcPr>
          <w:p w14:paraId="2D3B4F4F"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17.8</w:t>
            </w:r>
          </w:p>
        </w:tc>
        <w:tc>
          <w:tcPr>
            <w:tcW w:w="599" w:type="dxa"/>
            <w:tcBorders>
              <w:top w:val="nil"/>
              <w:left w:val="nil"/>
              <w:bottom w:val="nil"/>
              <w:right w:val="nil"/>
            </w:tcBorders>
            <w:shd w:val="clear" w:color="000000" w:fill="C6EFCE"/>
            <w:noWrap/>
            <w:vAlign w:val="bottom"/>
            <w:hideMark/>
          </w:tcPr>
          <w:p w14:paraId="575E4BDC"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16.7</w:t>
            </w:r>
          </w:p>
        </w:tc>
        <w:tc>
          <w:tcPr>
            <w:tcW w:w="599" w:type="dxa"/>
            <w:tcBorders>
              <w:top w:val="nil"/>
              <w:left w:val="nil"/>
              <w:bottom w:val="nil"/>
              <w:right w:val="nil"/>
            </w:tcBorders>
            <w:shd w:val="clear" w:color="000000" w:fill="C6EFCE"/>
            <w:noWrap/>
            <w:vAlign w:val="bottom"/>
            <w:hideMark/>
          </w:tcPr>
          <w:p w14:paraId="57911FAC"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15.7</w:t>
            </w:r>
          </w:p>
        </w:tc>
        <w:tc>
          <w:tcPr>
            <w:tcW w:w="599" w:type="dxa"/>
            <w:tcBorders>
              <w:top w:val="nil"/>
              <w:left w:val="nil"/>
              <w:bottom w:val="nil"/>
              <w:right w:val="nil"/>
            </w:tcBorders>
            <w:shd w:val="clear" w:color="000000" w:fill="C6EFCE"/>
            <w:noWrap/>
            <w:vAlign w:val="bottom"/>
            <w:hideMark/>
          </w:tcPr>
          <w:p w14:paraId="7578E0C6"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14.6</w:t>
            </w:r>
          </w:p>
        </w:tc>
        <w:tc>
          <w:tcPr>
            <w:tcW w:w="599" w:type="dxa"/>
            <w:tcBorders>
              <w:top w:val="nil"/>
              <w:left w:val="nil"/>
              <w:bottom w:val="nil"/>
              <w:right w:val="nil"/>
            </w:tcBorders>
            <w:shd w:val="clear" w:color="000000" w:fill="C6EFCE"/>
            <w:noWrap/>
            <w:vAlign w:val="bottom"/>
            <w:hideMark/>
          </w:tcPr>
          <w:p w14:paraId="3953FD39"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13.6</w:t>
            </w:r>
          </w:p>
        </w:tc>
        <w:tc>
          <w:tcPr>
            <w:tcW w:w="599" w:type="dxa"/>
            <w:tcBorders>
              <w:top w:val="nil"/>
              <w:left w:val="nil"/>
              <w:bottom w:val="nil"/>
              <w:right w:val="nil"/>
            </w:tcBorders>
            <w:shd w:val="clear" w:color="000000" w:fill="C6EFCE"/>
            <w:noWrap/>
            <w:vAlign w:val="bottom"/>
            <w:hideMark/>
          </w:tcPr>
          <w:p w14:paraId="66263FC2"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12.5</w:t>
            </w:r>
          </w:p>
        </w:tc>
        <w:tc>
          <w:tcPr>
            <w:tcW w:w="599" w:type="dxa"/>
            <w:tcBorders>
              <w:top w:val="nil"/>
              <w:left w:val="nil"/>
              <w:bottom w:val="nil"/>
              <w:right w:val="nil"/>
            </w:tcBorders>
            <w:shd w:val="clear" w:color="000000" w:fill="C6EFCE"/>
            <w:noWrap/>
            <w:vAlign w:val="bottom"/>
            <w:hideMark/>
          </w:tcPr>
          <w:p w14:paraId="6468DD53"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11.5</w:t>
            </w:r>
          </w:p>
        </w:tc>
        <w:tc>
          <w:tcPr>
            <w:tcW w:w="599" w:type="dxa"/>
            <w:tcBorders>
              <w:top w:val="nil"/>
              <w:left w:val="nil"/>
              <w:bottom w:val="nil"/>
              <w:right w:val="nil"/>
            </w:tcBorders>
            <w:shd w:val="clear" w:color="000000" w:fill="C6EFCE"/>
            <w:noWrap/>
            <w:vAlign w:val="bottom"/>
            <w:hideMark/>
          </w:tcPr>
          <w:p w14:paraId="25FFAFEA"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10.5</w:t>
            </w:r>
          </w:p>
        </w:tc>
        <w:tc>
          <w:tcPr>
            <w:tcW w:w="599" w:type="dxa"/>
            <w:tcBorders>
              <w:top w:val="nil"/>
              <w:left w:val="nil"/>
              <w:bottom w:val="nil"/>
              <w:right w:val="nil"/>
            </w:tcBorders>
            <w:shd w:val="clear" w:color="000000" w:fill="C6EFCE"/>
            <w:noWrap/>
            <w:vAlign w:val="bottom"/>
            <w:hideMark/>
          </w:tcPr>
          <w:p w14:paraId="5D0C7A06"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9.5</w:t>
            </w:r>
          </w:p>
        </w:tc>
        <w:tc>
          <w:tcPr>
            <w:tcW w:w="599" w:type="dxa"/>
            <w:tcBorders>
              <w:top w:val="nil"/>
              <w:left w:val="nil"/>
              <w:bottom w:val="nil"/>
              <w:right w:val="nil"/>
            </w:tcBorders>
            <w:shd w:val="clear" w:color="000000" w:fill="C6EFCE"/>
            <w:noWrap/>
            <w:vAlign w:val="bottom"/>
            <w:hideMark/>
          </w:tcPr>
          <w:p w14:paraId="42B2261A"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8.5</w:t>
            </w:r>
          </w:p>
        </w:tc>
        <w:tc>
          <w:tcPr>
            <w:tcW w:w="596" w:type="dxa"/>
            <w:tcBorders>
              <w:top w:val="nil"/>
              <w:left w:val="nil"/>
              <w:bottom w:val="nil"/>
              <w:right w:val="nil"/>
            </w:tcBorders>
            <w:shd w:val="clear" w:color="000000" w:fill="C6EFCE"/>
            <w:noWrap/>
            <w:vAlign w:val="bottom"/>
            <w:hideMark/>
          </w:tcPr>
          <w:p w14:paraId="476C78D4"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7.5</w:t>
            </w:r>
          </w:p>
        </w:tc>
      </w:tr>
      <w:tr w:rsidR="00280058" w:rsidRPr="002C025E" w14:paraId="4FEBF487" w14:textId="77777777" w:rsidTr="00BB18F6">
        <w:tc>
          <w:tcPr>
            <w:tcW w:w="153" w:type="pct"/>
            <w:vMerge/>
            <w:tcBorders>
              <w:top w:val="nil"/>
              <w:left w:val="nil"/>
              <w:bottom w:val="nil"/>
              <w:right w:val="nil"/>
            </w:tcBorders>
            <w:vAlign w:val="center"/>
            <w:hideMark/>
          </w:tcPr>
          <w:p w14:paraId="4BBE740A" w14:textId="77777777" w:rsidR="00280058" w:rsidRPr="00DF3A8E" w:rsidRDefault="00280058" w:rsidP="00BB18F6">
            <w:pPr>
              <w:spacing w:after="0" w:line="240" w:lineRule="auto"/>
              <w:rPr>
                <w:rFonts w:ascii="Arial" w:eastAsia="Times New Roman" w:hAnsi="Arial" w:cs="Arial"/>
                <w:b/>
                <w:bCs/>
                <w:sz w:val="18"/>
                <w:szCs w:val="18"/>
                <w:lang w:val="lt-LT" w:eastAsia="lt-LT"/>
              </w:rPr>
            </w:pPr>
          </w:p>
        </w:tc>
        <w:tc>
          <w:tcPr>
            <w:tcW w:w="559" w:type="pct"/>
            <w:tcBorders>
              <w:top w:val="nil"/>
              <w:left w:val="nil"/>
              <w:bottom w:val="nil"/>
              <w:right w:val="nil"/>
            </w:tcBorders>
            <w:shd w:val="clear" w:color="auto" w:fill="auto"/>
            <w:noWrap/>
            <w:hideMark/>
          </w:tcPr>
          <w:p w14:paraId="64767EAB" w14:textId="77777777" w:rsidR="00280058" w:rsidRPr="00DF3A8E" w:rsidRDefault="00280058" w:rsidP="00BB18F6">
            <w:pPr>
              <w:spacing w:after="0" w:line="240" w:lineRule="auto"/>
              <w:jc w:val="right"/>
              <w:rPr>
                <w:rFonts w:ascii="Arial" w:eastAsia="Times New Roman" w:hAnsi="Arial" w:cs="Arial"/>
                <w:b/>
                <w:bCs/>
                <w:sz w:val="18"/>
                <w:szCs w:val="18"/>
                <w:lang w:val="lt-LT" w:eastAsia="lt-LT"/>
              </w:rPr>
            </w:pPr>
            <w:r w:rsidRPr="00DF3A8E">
              <w:rPr>
                <w:rFonts w:ascii="Arial" w:eastAsia="Times New Roman" w:hAnsi="Arial" w:cs="Arial"/>
                <w:b/>
                <w:bCs/>
                <w:sz w:val="18"/>
                <w:szCs w:val="18"/>
                <w:lang w:val="lt-LT" w:eastAsia="lt-LT"/>
              </w:rPr>
              <w:t>5.0%</w:t>
            </w:r>
          </w:p>
        </w:tc>
        <w:tc>
          <w:tcPr>
            <w:tcW w:w="600" w:type="dxa"/>
            <w:tcBorders>
              <w:top w:val="nil"/>
              <w:left w:val="nil"/>
              <w:bottom w:val="nil"/>
              <w:right w:val="nil"/>
            </w:tcBorders>
            <w:shd w:val="clear" w:color="000000" w:fill="C6EFCE"/>
            <w:noWrap/>
            <w:vAlign w:val="bottom"/>
            <w:hideMark/>
          </w:tcPr>
          <w:p w14:paraId="30E65A90"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18.9</w:t>
            </w:r>
          </w:p>
        </w:tc>
        <w:tc>
          <w:tcPr>
            <w:tcW w:w="600" w:type="dxa"/>
            <w:tcBorders>
              <w:top w:val="nil"/>
              <w:left w:val="nil"/>
              <w:bottom w:val="nil"/>
              <w:right w:val="nil"/>
            </w:tcBorders>
            <w:shd w:val="clear" w:color="000000" w:fill="C6EFCE"/>
            <w:noWrap/>
            <w:vAlign w:val="bottom"/>
            <w:hideMark/>
          </w:tcPr>
          <w:p w14:paraId="102D0422"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17.8</w:t>
            </w:r>
          </w:p>
        </w:tc>
        <w:tc>
          <w:tcPr>
            <w:tcW w:w="600" w:type="dxa"/>
            <w:tcBorders>
              <w:top w:val="nil"/>
              <w:left w:val="nil"/>
              <w:bottom w:val="nil"/>
              <w:right w:val="nil"/>
            </w:tcBorders>
            <w:shd w:val="clear" w:color="000000" w:fill="C6EFCE"/>
            <w:noWrap/>
            <w:vAlign w:val="bottom"/>
            <w:hideMark/>
          </w:tcPr>
          <w:p w14:paraId="2A043A36"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16.8</w:t>
            </w:r>
          </w:p>
        </w:tc>
        <w:tc>
          <w:tcPr>
            <w:tcW w:w="599" w:type="dxa"/>
            <w:tcBorders>
              <w:top w:val="nil"/>
              <w:left w:val="nil"/>
              <w:bottom w:val="nil"/>
              <w:right w:val="nil"/>
            </w:tcBorders>
            <w:shd w:val="clear" w:color="000000" w:fill="C6EFCE"/>
            <w:noWrap/>
            <w:vAlign w:val="bottom"/>
            <w:hideMark/>
          </w:tcPr>
          <w:p w14:paraId="7F39E362"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15.8</w:t>
            </w:r>
          </w:p>
        </w:tc>
        <w:tc>
          <w:tcPr>
            <w:tcW w:w="599" w:type="dxa"/>
            <w:tcBorders>
              <w:top w:val="nil"/>
              <w:left w:val="nil"/>
              <w:bottom w:val="nil"/>
              <w:right w:val="nil"/>
            </w:tcBorders>
            <w:shd w:val="clear" w:color="000000" w:fill="C6EFCE"/>
            <w:noWrap/>
            <w:vAlign w:val="bottom"/>
            <w:hideMark/>
          </w:tcPr>
          <w:p w14:paraId="6AD52886"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14.8</w:t>
            </w:r>
          </w:p>
        </w:tc>
        <w:tc>
          <w:tcPr>
            <w:tcW w:w="599" w:type="dxa"/>
            <w:tcBorders>
              <w:top w:val="nil"/>
              <w:left w:val="nil"/>
              <w:bottom w:val="nil"/>
              <w:right w:val="nil"/>
            </w:tcBorders>
            <w:shd w:val="clear" w:color="000000" w:fill="C6EFCE"/>
            <w:noWrap/>
            <w:vAlign w:val="bottom"/>
            <w:hideMark/>
          </w:tcPr>
          <w:p w14:paraId="0E809BB0"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13.8</w:t>
            </w:r>
          </w:p>
        </w:tc>
        <w:tc>
          <w:tcPr>
            <w:tcW w:w="599" w:type="dxa"/>
            <w:tcBorders>
              <w:top w:val="nil"/>
              <w:left w:val="nil"/>
              <w:bottom w:val="nil"/>
              <w:right w:val="nil"/>
            </w:tcBorders>
            <w:shd w:val="clear" w:color="000000" w:fill="C6EFCE"/>
            <w:noWrap/>
            <w:vAlign w:val="bottom"/>
            <w:hideMark/>
          </w:tcPr>
          <w:p w14:paraId="76E15DEA"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12.8</w:t>
            </w:r>
          </w:p>
        </w:tc>
        <w:tc>
          <w:tcPr>
            <w:tcW w:w="599" w:type="dxa"/>
            <w:tcBorders>
              <w:top w:val="nil"/>
              <w:left w:val="nil"/>
              <w:bottom w:val="nil"/>
              <w:right w:val="nil"/>
            </w:tcBorders>
            <w:shd w:val="clear" w:color="000000" w:fill="C6EFCE"/>
            <w:noWrap/>
            <w:vAlign w:val="bottom"/>
            <w:hideMark/>
          </w:tcPr>
          <w:p w14:paraId="3EDCD5F1"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11.9</w:t>
            </w:r>
          </w:p>
        </w:tc>
        <w:tc>
          <w:tcPr>
            <w:tcW w:w="599" w:type="dxa"/>
            <w:tcBorders>
              <w:top w:val="nil"/>
              <w:left w:val="nil"/>
              <w:bottom w:val="nil"/>
              <w:right w:val="nil"/>
            </w:tcBorders>
            <w:shd w:val="clear" w:color="000000" w:fill="C6EFCE"/>
            <w:noWrap/>
            <w:vAlign w:val="bottom"/>
            <w:hideMark/>
          </w:tcPr>
          <w:p w14:paraId="390842D0"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10.9</w:t>
            </w:r>
          </w:p>
        </w:tc>
        <w:tc>
          <w:tcPr>
            <w:tcW w:w="599" w:type="dxa"/>
            <w:tcBorders>
              <w:top w:val="nil"/>
              <w:left w:val="nil"/>
              <w:bottom w:val="nil"/>
              <w:right w:val="nil"/>
            </w:tcBorders>
            <w:shd w:val="clear" w:color="000000" w:fill="C6EFCE"/>
            <w:noWrap/>
            <w:vAlign w:val="bottom"/>
            <w:hideMark/>
          </w:tcPr>
          <w:p w14:paraId="0CF7EB40"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9.9</w:t>
            </w:r>
          </w:p>
        </w:tc>
        <w:tc>
          <w:tcPr>
            <w:tcW w:w="599" w:type="dxa"/>
            <w:tcBorders>
              <w:top w:val="nil"/>
              <w:left w:val="nil"/>
              <w:bottom w:val="nil"/>
              <w:right w:val="nil"/>
            </w:tcBorders>
            <w:shd w:val="clear" w:color="000000" w:fill="C6EFCE"/>
            <w:noWrap/>
            <w:vAlign w:val="bottom"/>
            <w:hideMark/>
          </w:tcPr>
          <w:p w14:paraId="1E08A6E2"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9.0</w:t>
            </w:r>
          </w:p>
        </w:tc>
        <w:tc>
          <w:tcPr>
            <w:tcW w:w="599" w:type="dxa"/>
            <w:tcBorders>
              <w:top w:val="nil"/>
              <w:left w:val="nil"/>
              <w:bottom w:val="nil"/>
              <w:right w:val="nil"/>
            </w:tcBorders>
            <w:shd w:val="clear" w:color="000000" w:fill="C6EFCE"/>
            <w:noWrap/>
            <w:vAlign w:val="bottom"/>
            <w:hideMark/>
          </w:tcPr>
          <w:p w14:paraId="4CF6DB28"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8.1</w:t>
            </w:r>
          </w:p>
        </w:tc>
        <w:tc>
          <w:tcPr>
            <w:tcW w:w="596" w:type="dxa"/>
            <w:tcBorders>
              <w:top w:val="nil"/>
              <w:left w:val="nil"/>
              <w:bottom w:val="nil"/>
              <w:right w:val="nil"/>
            </w:tcBorders>
            <w:shd w:val="clear" w:color="000000" w:fill="C6EFCE"/>
            <w:noWrap/>
            <w:vAlign w:val="bottom"/>
            <w:hideMark/>
          </w:tcPr>
          <w:p w14:paraId="35426A12" w14:textId="77777777" w:rsidR="00280058" w:rsidRPr="00DF3A8E" w:rsidRDefault="00280058" w:rsidP="00BB18F6">
            <w:pPr>
              <w:spacing w:after="0" w:line="240" w:lineRule="auto"/>
              <w:jc w:val="center"/>
              <w:rPr>
                <w:rFonts w:ascii="Arial" w:hAnsi="Arial" w:cs="Arial"/>
                <w:color w:val="006100"/>
                <w:sz w:val="18"/>
                <w:szCs w:val="18"/>
                <w:lang w:val="lt-LT"/>
              </w:rPr>
            </w:pPr>
            <w:r w:rsidRPr="00DF3A8E">
              <w:rPr>
                <w:rFonts w:ascii="Arial" w:hAnsi="Arial" w:cs="Arial"/>
                <w:color w:val="006100"/>
                <w:sz w:val="18"/>
                <w:szCs w:val="18"/>
                <w:lang w:val="lt-LT"/>
              </w:rPr>
              <w:t>7.1</w:t>
            </w:r>
          </w:p>
        </w:tc>
      </w:tr>
    </w:tbl>
    <w:p w14:paraId="2A10BD87" w14:textId="77777777" w:rsidR="00280058" w:rsidRDefault="00280058" w:rsidP="00280058">
      <w:pPr>
        <w:jc w:val="both"/>
        <w:rPr>
          <w:rFonts w:ascii="Georgia" w:hAnsi="Georgia"/>
          <w:sz w:val="20"/>
          <w:lang w:val="lt-LT"/>
        </w:rPr>
      </w:pPr>
    </w:p>
    <w:p w14:paraId="5F43BFC1" w14:textId="77777777" w:rsidR="00280058" w:rsidRDefault="00280058" w:rsidP="00280058">
      <w:pPr>
        <w:jc w:val="both"/>
        <w:rPr>
          <w:rFonts w:ascii="Georgia" w:hAnsi="Georgia"/>
          <w:sz w:val="20"/>
          <w:lang w:val="lt-LT"/>
        </w:rPr>
      </w:pPr>
      <w:r w:rsidRPr="00DF3A8E">
        <w:rPr>
          <w:rFonts w:ascii="Georgia" w:hAnsi="Georgia"/>
          <w:sz w:val="20"/>
          <w:lang w:val="lt-LT"/>
        </w:rPr>
        <w:t>Iš auk</w:t>
      </w:r>
      <w:r>
        <w:rPr>
          <w:rFonts w:ascii="Georgia" w:hAnsi="Georgia"/>
          <w:sz w:val="20"/>
          <w:lang w:val="lt-LT"/>
        </w:rPr>
        <w:t>š</w:t>
      </w:r>
      <w:r w:rsidRPr="00DF3A8E">
        <w:rPr>
          <w:rFonts w:ascii="Georgia" w:hAnsi="Georgia"/>
          <w:sz w:val="20"/>
          <w:lang w:val="lt-LT"/>
        </w:rPr>
        <w:t xml:space="preserve">čiau pateiktos lentelės matome, kad esant 20 proc. </w:t>
      </w:r>
      <w:r>
        <w:rPr>
          <w:rFonts w:ascii="Georgia" w:hAnsi="Georgia"/>
          <w:sz w:val="20"/>
          <w:lang w:val="lt-LT"/>
        </w:rPr>
        <w:t>subsidijos</w:t>
      </w:r>
      <w:r w:rsidRPr="00DF3A8E">
        <w:rPr>
          <w:rFonts w:ascii="Georgia" w:hAnsi="Georgia"/>
          <w:sz w:val="20"/>
          <w:lang w:val="lt-LT"/>
        </w:rPr>
        <w:t xml:space="preserve"> e</w:t>
      </w:r>
      <w:r>
        <w:rPr>
          <w:rFonts w:ascii="Georgia" w:hAnsi="Georgia"/>
          <w:sz w:val="20"/>
          <w:lang w:val="lt-LT"/>
        </w:rPr>
        <w:t>l</w:t>
      </w:r>
      <w:r w:rsidRPr="00DF3A8E">
        <w:rPr>
          <w:rFonts w:ascii="Georgia" w:hAnsi="Georgia"/>
          <w:sz w:val="20"/>
          <w:lang w:val="lt-LT"/>
        </w:rPr>
        <w:t xml:space="preserve">ementui ir 3 proc. šilumos kainos metiniam augimui viešųjų pastatų renovacijos projektai atsipirktų per maždaug 18,6 metų </w:t>
      </w:r>
      <w:r w:rsidRPr="00B872FD">
        <w:rPr>
          <w:rFonts w:ascii="Georgia" w:hAnsi="Georgia"/>
          <w:sz w:val="20"/>
          <w:lang w:val="lt-LT"/>
        </w:rPr>
        <w:t>laikotarpį. Tuo tarpu be subsidijos elemento tokių projektų atsipirkimo laikotarpis išsitęstų iki 23,8 metų. Šilumos kainai neaugant ir paliekant 20 proc. subsidijos elementą projektas galėtų atsipirkti per 25,8 metus. Tuo tarpu be subsidijos elemento tokių projektų atsipirkimo laikotarpis išsitęstų iki 33,5 metų.</w:t>
      </w:r>
      <w:r w:rsidRPr="00DF3A8E">
        <w:rPr>
          <w:rFonts w:ascii="Georgia" w:hAnsi="Georgia"/>
          <w:sz w:val="20"/>
          <w:lang w:val="lt-LT"/>
        </w:rPr>
        <w:t xml:space="preserve"> </w:t>
      </w:r>
    </w:p>
    <w:p w14:paraId="4520358A" w14:textId="77777777" w:rsidR="00280058" w:rsidRDefault="00280058" w:rsidP="00280058">
      <w:pPr>
        <w:rPr>
          <w:rFonts w:ascii="Georgia" w:hAnsi="Georgia"/>
          <w:b/>
          <w:sz w:val="20"/>
          <w:lang w:val="lt-LT"/>
        </w:rPr>
      </w:pPr>
      <w:r w:rsidRPr="00DF3A8E">
        <w:rPr>
          <w:rFonts w:ascii="Georgia" w:hAnsi="Georgia"/>
          <w:sz w:val="20"/>
          <w:lang w:val="lt-LT"/>
        </w:rPr>
        <w:lastRenderedPageBreak/>
        <w:t>Taigi 20 proc. subsidijos teikimas galėtų sudaryti sąlygas projektams atsipirkti per paskolos gyvavimo laikotarpį, t.y. 20 metų. Aukščiau pateiktos</w:t>
      </w:r>
      <w:r>
        <w:rPr>
          <w:rFonts w:ascii="Georgia" w:hAnsi="Georgia"/>
          <w:sz w:val="20"/>
          <w:lang w:val="lt-LT"/>
        </w:rPr>
        <w:t xml:space="preserve"> </w:t>
      </w:r>
      <w:r w:rsidRPr="00DF3A8E">
        <w:rPr>
          <w:rFonts w:ascii="Georgia" w:hAnsi="Georgia"/>
          <w:sz w:val="20"/>
          <w:lang w:val="lt-LT"/>
        </w:rPr>
        <w:t xml:space="preserve">įvairiais pjūviais atliktos </w:t>
      </w:r>
      <w:r>
        <w:rPr>
          <w:rFonts w:ascii="Georgia" w:hAnsi="Georgia"/>
          <w:sz w:val="20"/>
          <w:lang w:val="lt-LT"/>
        </w:rPr>
        <w:t xml:space="preserve">viešųjų pastatų renovacijos </w:t>
      </w:r>
      <w:r w:rsidRPr="00DF3A8E">
        <w:rPr>
          <w:rFonts w:ascii="Georgia" w:hAnsi="Georgia"/>
          <w:sz w:val="20"/>
          <w:lang w:val="lt-LT"/>
        </w:rPr>
        <w:t>jautrumo analizės pagrindžia 20 proc. subsidi</w:t>
      </w:r>
      <w:r>
        <w:rPr>
          <w:rFonts w:ascii="Georgia" w:hAnsi="Georgia"/>
          <w:sz w:val="20"/>
          <w:lang w:val="lt-LT"/>
        </w:rPr>
        <w:t>jos</w:t>
      </w:r>
      <w:r w:rsidRPr="00DF3A8E">
        <w:rPr>
          <w:rFonts w:ascii="Georgia" w:hAnsi="Georgia"/>
          <w:sz w:val="20"/>
          <w:lang w:val="lt-LT"/>
        </w:rPr>
        <w:t xml:space="preserve"> poreikį.</w:t>
      </w:r>
    </w:p>
    <w:p w14:paraId="7FB2D495" w14:textId="77777777" w:rsidR="00280058" w:rsidRPr="00AD0F3A" w:rsidRDefault="00280058" w:rsidP="00280058">
      <w:pPr>
        <w:jc w:val="both"/>
        <w:rPr>
          <w:rFonts w:ascii="Georgia" w:hAnsi="Georgia"/>
          <w:b/>
          <w:i/>
          <w:sz w:val="20"/>
          <w:lang w:val="lt-LT"/>
        </w:rPr>
      </w:pPr>
      <w:r w:rsidRPr="00AD0F3A">
        <w:rPr>
          <w:rFonts w:ascii="Georgia" w:hAnsi="Georgia"/>
          <w:b/>
          <w:i/>
          <w:sz w:val="20"/>
          <w:lang w:val="lt-LT"/>
        </w:rPr>
        <w:t>IŠVADA</w:t>
      </w:r>
    </w:p>
    <w:p w14:paraId="0A925616" w14:textId="77777777" w:rsidR="00D72A01" w:rsidRPr="00DF3A8E" w:rsidRDefault="00280058" w:rsidP="00280058">
      <w:pPr>
        <w:jc w:val="both"/>
        <w:rPr>
          <w:rFonts w:ascii="Georgia" w:hAnsi="Georgia"/>
          <w:sz w:val="20"/>
          <w:lang w:val="lt-LT"/>
        </w:rPr>
      </w:pPr>
      <w:r>
        <w:rPr>
          <w:rFonts w:ascii="Georgia" w:hAnsi="Georgia"/>
          <w:sz w:val="20"/>
          <w:lang w:val="lt-LT"/>
        </w:rPr>
        <w:t xml:space="preserve">Remiantis aukščiau lentelėse pateiktais jautrumo analizės duomenimis bei numatant, kad 48-oje lentelėje pateiktos prielaidos pasitvirtins, </w:t>
      </w:r>
      <w:r w:rsidRPr="00DF3A8E">
        <w:rPr>
          <w:rFonts w:ascii="Georgia" w:hAnsi="Georgia"/>
          <w:sz w:val="20"/>
          <w:lang w:val="lt-LT"/>
        </w:rPr>
        <w:t>dar</w:t>
      </w:r>
      <w:r>
        <w:rPr>
          <w:rFonts w:ascii="Georgia" w:hAnsi="Georgia"/>
          <w:sz w:val="20"/>
          <w:lang w:val="lt-LT"/>
        </w:rPr>
        <w:t>oma išvada</w:t>
      </w:r>
      <w:r w:rsidRPr="00DF3A8E">
        <w:rPr>
          <w:rFonts w:ascii="Georgia" w:hAnsi="Georgia"/>
          <w:sz w:val="20"/>
          <w:lang w:val="lt-LT"/>
        </w:rPr>
        <w:t>, jog</w:t>
      </w:r>
      <w:r>
        <w:rPr>
          <w:rFonts w:ascii="Georgia" w:hAnsi="Georgia"/>
          <w:sz w:val="20"/>
          <w:lang w:val="lt-LT"/>
        </w:rPr>
        <w:t xml:space="preserve"> teikiant</w:t>
      </w:r>
      <w:r w:rsidRPr="00DF3A8E">
        <w:rPr>
          <w:rFonts w:ascii="Georgia" w:hAnsi="Georgia"/>
          <w:sz w:val="20"/>
          <w:lang w:val="lt-LT"/>
        </w:rPr>
        <w:t xml:space="preserve"> </w:t>
      </w:r>
      <w:r>
        <w:rPr>
          <w:rFonts w:ascii="Georgia" w:hAnsi="Georgia"/>
          <w:sz w:val="20"/>
          <w:lang w:val="lt-LT"/>
        </w:rPr>
        <w:t>2</w:t>
      </w:r>
      <w:r w:rsidRPr="00DF3A8E">
        <w:rPr>
          <w:rFonts w:ascii="Georgia" w:hAnsi="Georgia"/>
          <w:sz w:val="20"/>
          <w:lang w:val="lt-LT"/>
        </w:rPr>
        <w:t>0 proc. subsidi</w:t>
      </w:r>
      <w:r>
        <w:rPr>
          <w:rFonts w:ascii="Georgia" w:hAnsi="Georgia"/>
          <w:sz w:val="20"/>
          <w:lang w:val="lt-LT"/>
        </w:rPr>
        <w:t>ją projektams viešųjų pastatų</w:t>
      </w:r>
      <w:r w:rsidRPr="00DF3A8E">
        <w:rPr>
          <w:rFonts w:ascii="Georgia" w:hAnsi="Georgia"/>
          <w:sz w:val="20"/>
          <w:lang w:val="lt-LT"/>
        </w:rPr>
        <w:t xml:space="preserve"> renovacijos </w:t>
      </w:r>
      <w:r>
        <w:rPr>
          <w:rFonts w:ascii="Georgia" w:hAnsi="Georgia"/>
          <w:sz w:val="20"/>
          <w:lang w:val="lt-LT"/>
        </w:rPr>
        <w:t>projektai</w:t>
      </w:r>
      <w:r w:rsidRPr="00DF3A8E">
        <w:rPr>
          <w:rFonts w:ascii="Georgia" w:hAnsi="Georgia"/>
          <w:sz w:val="20"/>
          <w:lang w:val="lt-LT"/>
        </w:rPr>
        <w:t xml:space="preserve"> atsipirk</w:t>
      </w:r>
      <w:r>
        <w:rPr>
          <w:rFonts w:ascii="Georgia" w:hAnsi="Georgia"/>
          <w:sz w:val="20"/>
          <w:lang w:val="lt-LT"/>
        </w:rPr>
        <w:t>s</w:t>
      </w:r>
      <w:r w:rsidRPr="00DF3A8E">
        <w:rPr>
          <w:rFonts w:ascii="Georgia" w:hAnsi="Georgia"/>
          <w:sz w:val="20"/>
          <w:lang w:val="lt-LT"/>
        </w:rPr>
        <w:t xml:space="preserve"> per </w:t>
      </w:r>
      <w:r>
        <w:rPr>
          <w:rFonts w:ascii="Georgia" w:hAnsi="Georgia"/>
          <w:sz w:val="20"/>
          <w:lang w:val="lt-LT"/>
        </w:rPr>
        <w:t xml:space="preserve">20 m. </w:t>
      </w:r>
      <w:r w:rsidRPr="00DF3A8E">
        <w:rPr>
          <w:rFonts w:ascii="Georgia" w:hAnsi="Georgia"/>
          <w:sz w:val="20"/>
          <w:lang w:val="lt-LT"/>
        </w:rPr>
        <w:t>paskolos laikotarpį.</w:t>
      </w:r>
      <w:r w:rsidR="001D54C7">
        <w:rPr>
          <w:rFonts w:ascii="Georgia" w:hAnsi="Georgia"/>
          <w:sz w:val="20"/>
          <w:lang w:val="lt-LT"/>
        </w:rPr>
        <w:t xml:space="preserve"> Šie skaičiavimai buvo atlikti naudojant vidutinius dydžius, todėl tikėtina praktikoje konkretiems pastatams būtų reikalinga ir mažesnė nei 20 proc. subsidija. </w:t>
      </w:r>
    </w:p>
    <w:p w14:paraId="2AFD4A82" w14:textId="77777777" w:rsidR="00280058" w:rsidRDefault="00280058" w:rsidP="00280058">
      <w:pPr>
        <w:rPr>
          <w:rFonts w:ascii="Georgia" w:hAnsi="Georgia"/>
          <w:b/>
          <w:sz w:val="20"/>
          <w:lang w:val="lt-LT"/>
        </w:rPr>
      </w:pPr>
      <w:r>
        <w:rPr>
          <w:rFonts w:ascii="Georgia" w:hAnsi="Georgia"/>
          <w:b/>
          <w:sz w:val="20"/>
          <w:lang w:val="lt-LT"/>
        </w:rPr>
        <w:br w:type="page"/>
      </w:r>
    </w:p>
    <w:p w14:paraId="52201FC3" w14:textId="77777777" w:rsidR="00280058" w:rsidRPr="00AD3749" w:rsidRDefault="00280058" w:rsidP="00C03122">
      <w:pPr>
        <w:pStyle w:val="Antrat2"/>
        <w:numPr>
          <w:ilvl w:val="2"/>
          <w:numId w:val="2"/>
        </w:numPr>
        <w:rPr>
          <w:b w:val="0"/>
          <w:lang w:val="lt-LT"/>
        </w:rPr>
      </w:pPr>
      <w:bookmarkStart w:id="133" w:name="_Toc402352626"/>
      <w:bookmarkStart w:id="134" w:name="_Toc417378388"/>
      <w:r w:rsidRPr="00AD3749">
        <w:rPr>
          <w:lang w:val="lt-LT"/>
        </w:rPr>
        <w:lastRenderedPageBreak/>
        <w:t xml:space="preserve">Alternatyvų </w:t>
      </w:r>
      <w:r>
        <w:rPr>
          <w:lang w:val="lt-LT"/>
        </w:rPr>
        <w:t>pa</w:t>
      </w:r>
      <w:r w:rsidRPr="00AD3749">
        <w:rPr>
          <w:lang w:val="lt-LT"/>
        </w:rPr>
        <w:t>lyginimas</w:t>
      </w:r>
      <w:bookmarkEnd w:id="133"/>
      <w:bookmarkEnd w:id="134"/>
    </w:p>
    <w:p w14:paraId="356F6112" w14:textId="77777777" w:rsidR="00280058" w:rsidRPr="00AD3749" w:rsidRDefault="00280058" w:rsidP="00C03122">
      <w:pPr>
        <w:pStyle w:val="Antrat2"/>
        <w:numPr>
          <w:ilvl w:val="3"/>
          <w:numId w:val="2"/>
        </w:numPr>
        <w:rPr>
          <w:lang w:val="lt-LT"/>
        </w:rPr>
      </w:pPr>
      <w:bookmarkStart w:id="135" w:name="_Toc402352627"/>
      <w:bookmarkStart w:id="136" w:name="_Toc417378389"/>
      <w:r w:rsidRPr="00AD3749">
        <w:rPr>
          <w:lang w:val="lt-LT"/>
        </w:rPr>
        <w:t>D</w:t>
      </w:r>
      <w:r w:rsidR="002C12CB" w:rsidRPr="00AD3749">
        <w:rPr>
          <w:lang w:val="lt-LT"/>
        </w:rPr>
        <w:t>augiabučiai</w:t>
      </w:r>
      <w:bookmarkEnd w:id="135"/>
      <w:bookmarkEnd w:id="136"/>
    </w:p>
    <w:p w14:paraId="0CEBB23B" w14:textId="77777777" w:rsidR="00280058" w:rsidRDefault="00280058" w:rsidP="00280058">
      <w:pPr>
        <w:jc w:val="both"/>
        <w:rPr>
          <w:rFonts w:ascii="Georgia" w:hAnsi="Georgia"/>
          <w:sz w:val="20"/>
          <w:lang w:val="lt-LT"/>
        </w:rPr>
      </w:pPr>
    </w:p>
    <w:p w14:paraId="492127DF" w14:textId="77777777" w:rsidR="00280058" w:rsidRDefault="00280058" w:rsidP="00280058">
      <w:pPr>
        <w:jc w:val="both"/>
        <w:rPr>
          <w:rFonts w:ascii="Georgia" w:hAnsi="Georgia"/>
          <w:sz w:val="20"/>
          <w:lang w:val="lt-LT"/>
        </w:rPr>
      </w:pPr>
      <w:r w:rsidRPr="00AC3318">
        <w:rPr>
          <w:rFonts w:ascii="Georgia" w:hAnsi="Georgia"/>
          <w:sz w:val="20"/>
          <w:lang w:val="lt-LT"/>
        </w:rPr>
        <w:t>Aplinkos ministerijos pateiktais duomenimis daugiabučių namų renovacijai planuojama skirti 2</w:t>
      </w:r>
      <w:r w:rsidR="00105B94">
        <w:rPr>
          <w:rFonts w:ascii="Georgia" w:hAnsi="Georgia"/>
          <w:sz w:val="20"/>
          <w:lang w:val="lt-LT"/>
        </w:rPr>
        <w:t>80</w:t>
      </w:r>
      <w:r w:rsidRPr="00AC3318">
        <w:rPr>
          <w:rFonts w:ascii="Georgia" w:hAnsi="Georgia"/>
          <w:sz w:val="20"/>
          <w:lang w:val="lt-LT"/>
        </w:rPr>
        <w:t>,</w:t>
      </w:r>
      <w:r w:rsidR="00105B94">
        <w:rPr>
          <w:rFonts w:ascii="Georgia" w:hAnsi="Georgia"/>
          <w:sz w:val="20"/>
          <w:lang w:val="lt-LT"/>
        </w:rPr>
        <w:t>9</w:t>
      </w:r>
      <w:r w:rsidRPr="00AC3318">
        <w:rPr>
          <w:rFonts w:ascii="Georgia" w:hAnsi="Georgia"/>
          <w:sz w:val="20"/>
          <w:lang w:val="lt-LT"/>
        </w:rPr>
        <w:t xml:space="preserve"> mln. </w:t>
      </w:r>
      <w:r>
        <w:rPr>
          <w:rFonts w:ascii="Georgia" w:hAnsi="Georgia"/>
          <w:sz w:val="20"/>
          <w:lang w:val="lt-LT"/>
        </w:rPr>
        <w:t>eurų</w:t>
      </w:r>
      <w:r w:rsidRPr="00AC3318">
        <w:rPr>
          <w:rFonts w:ascii="Georgia" w:hAnsi="Georgia"/>
          <w:sz w:val="20"/>
          <w:lang w:val="lt-LT"/>
        </w:rPr>
        <w:t xml:space="preserve"> 2014-2020 </w:t>
      </w:r>
      <w:r>
        <w:rPr>
          <w:rFonts w:ascii="Georgia" w:hAnsi="Georgia"/>
          <w:sz w:val="20"/>
          <w:lang w:val="lt-LT"/>
        </w:rPr>
        <w:t>m.</w:t>
      </w:r>
      <w:r w:rsidRPr="00AC3318">
        <w:rPr>
          <w:rFonts w:ascii="Georgia" w:hAnsi="Georgia"/>
          <w:sz w:val="20"/>
          <w:lang w:val="lt-LT"/>
        </w:rPr>
        <w:t xml:space="preserve"> ES lėšų. </w:t>
      </w:r>
      <w:r>
        <w:rPr>
          <w:rFonts w:ascii="Georgia" w:hAnsi="Georgia"/>
          <w:sz w:val="20"/>
          <w:lang w:val="lt-LT"/>
        </w:rPr>
        <w:t>Naujai skiriamų 2014-2020 m. periodo lėšų sumą</w:t>
      </w:r>
      <w:r w:rsidRPr="00AC3318">
        <w:rPr>
          <w:rFonts w:ascii="Georgia" w:hAnsi="Georgia"/>
          <w:sz w:val="20"/>
          <w:lang w:val="lt-LT"/>
        </w:rPr>
        <w:t xml:space="preserve"> galima </w:t>
      </w:r>
      <w:r>
        <w:rPr>
          <w:rFonts w:ascii="Georgia" w:hAnsi="Georgia"/>
          <w:sz w:val="20"/>
          <w:lang w:val="lt-LT"/>
        </w:rPr>
        <w:t xml:space="preserve">padidinti skiriant </w:t>
      </w:r>
      <w:r w:rsidRPr="00AC3318">
        <w:rPr>
          <w:rFonts w:ascii="Georgia" w:hAnsi="Georgia"/>
          <w:sz w:val="20"/>
          <w:lang w:val="lt-LT"/>
        </w:rPr>
        <w:t xml:space="preserve">2007-2013 m. </w:t>
      </w:r>
      <w:r>
        <w:rPr>
          <w:rFonts w:ascii="Georgia" w:hAnsi="Georgia"/>
          <w:sz w:val="20"/>
          <w:lang w:val="lt-LT"/>
        </w:rPr>
        <w:t>JESSICA KF</w:t>
      </w:r>
      <w:r w:rsidRPr="00AC3318">
        <w:rPr>
          <w:rFonts w:ascii="Georgia" w:hAnsi="Georgia"/>
          <w:sz w:val="20"/>
          <w:lang w:val="lt-LT"/>
        </w:rPr>
        <w:t xml:space="preserve"> grįžtančias lėšas, kurios sudarytų apie </w:t>
      </w:r>
      <w:r>
        <w:rPr>
          <w:rFonts w:ascii="Georgia" w:hAnsi="Georgia"/>
          <w:sz w:val="20"/>
          <w:lang w:val="lt-LT"/>
        </w:rPr>
        <w:t>67,2</w:t>
      </w:r>
      <w:r w:rsidRPr="00AC3318">
        <w:rPr>
          <w:rFonts w:ascii="Georgia" w:hAnsi="Georgia"/>
          <w:sz w:val="20"/>
          <w:lang w:val="lt-LT"/>
        </w:rPr>
        <w:t xml:space="preserve"> mln. </w:t>
      </w:r>
      <w:r>
        <w:rPr>
          <w:rFonts w:ascii="Georgia" w:hAnsi="Georgia"/>
          <w:sz w:val="20"/>
          <w:lang w:val="lt-LT"/>
        </w:rPr>
        <w:t>eurų</w:t>
      </w:r>
      <w:r w:rsidRPr="00AC3318">
        <w:rPr>
          <w:rFonts w:ascii="Georgia" w:hAnsi="Georgia"/>
          <w:sz w:val="20"/>
          <w:lang w:val="lt-LT"/>
        </w:rPr>
        <w:t xml:space="preserve">. </w:t>
      </w:r>
    </w:p>
    <w:p w14:paraId="180376D2" w14:textId="77777777" w:rsidR="00280058" w:rsidRPr="00AD3749" w:rsidRDefault="00280058" w:rsidP="00280058">
      <w:pPr>
        <w:jc w:val="both"/>
        <w:rPr>
          <w:rFonts w:ascii="Georgia" w:hAnsi="Georgia"/>
          <w:sz w:val="20"/>
          <w:lang w:val="lt-LT"/>
        </w:rPr>
      </w:pPr>
      <w:r>
        <w:rPr>
          <w:rFonts w:ascii="Georgia" w:hAnsi="Georgia"/>
          <w:sz w:val="20"/>
          <w:lang w:val="lt-LT"/>
        </w:rPr>
        <w:t>Analizuojant ir nustatant galimus daugiabučių renovacijos finansavimo scenarijus, atsižvelgiama į šias pagrindines galimybes lemiančias galimus finansavimo būdus ir papildomų lėšų pritraukimo alternatyvas:</w:t>
      </w:r>
    </w:p>
    <w:p w14:paraId="57F223D7" w14:textId="77777777" w:rsidR="00280058" w:rsidRPr="00674E02" w:rsidRDefault="00280058" w:rsidP="002A576D">
      <w:pPr>
        <w:pStyle w:val="prastasis1"/>
        <w:numPr>
          <w:ilvl w:val="1"/>
          <w:numId w:val="59"/>
        </w:numPr>
        <w:spacing w:line="276" w:lineRule="auto"/>
        <w:ind w:left="567"/>
        <w:jc w:val="both"/>
        <w:rPr>
          <w:rFonts w:ascii="Georgia" w:hAnsi="Georgia"/>
          <w:sz w:val="20"/>
          <w:szCs w:val="20"/>
        </w:rPr>
      </w:pPr>
      <w:r w:rsidRPr="007B08F7">
        <w:rPr>
          <w:rFonts w:ascii="Georgia" w:hAnsi="Georgia"/>
          <w:b/>
          <w:sz w:val="20"/>
        </w:rPr>
        <w:t>Gali būti keičiam</w:t>
      </w:r>
      <w:r>
        <w:rPr>
          <w:rFonts w:ascii="Georgia" w:hAnsi="Georgia"/>
          <w:b/>
          <w:sz w:val="20"/>
        </w:rPr>
        <w:t>a</w:t>
      </w:r>
      <w:r w:rsidRPr="007B08F7">
        <w:rPr>
          <w:rFonts w:ascii="Georgia" w:hAnsi="Georgia"/>
          <w:b/>
          <w:sz w:val="20"/>
        </w:rPr>
        <w:t xml:space="preserve"> daugiabučių finansavimui skiriamos paramos forma ir sąlygos</w:t>
      </w:r>
      <w:r>
        <w:rPr>
          <w:rFonts w:ascii="Georgia" w:hAnsi="Georgia"/>
          <w:b/>
          <w:sz w:val="20"/>
        </w:rPr>
        <w:t>.</w:t>
      </w:r>
      <w:r w:rsidRPr="00CE4B1C">
        <w:rPr>
          <w:rFonts w:ascii="Georgia" w:hAnsi="Georgia"/>
          <w:sz w:val="20"/>
        </w:rPr>
        <w:t xml:space="preserve"> </w:t>
      </w:r>
      <w:r>
        <w:rPr>
          <w:rFonts w:ascii="Georgia" w:hAnsi="Georgia"/>
          <w:sz w:val="20"/>
          <w:szCs w:val="20"/>
        </w:rPr>
        <w:t xml:space="preserve">Bus išnagrinėti scenarijai: dabar egzistuojanti paramos schema su </w:t>
      </w:r>
      <w:r>
        <w:rPr>
          <w:rFonts w:ascii="Georgia" w:hAnsi="Georgia"/>
          <w:sz w:val="20"/>
          <w:szCs w:val="20"/>
          <w:lang w:val="en-US"/>
        </w:rPr>
        <w:t xml:space="preserve">3 proc. </w:t>
      </w:r>
      <w:r w:rsidRPr="00674E02">
        <w:rPr>
          <w:rFonts w:ascii="Georgia" w:hAnsi="Georgia"/>
          <w:sz w:val="20"/>
          <w:szCs w:val="20"/>
        </w:rPr>
        <w:t>palūkanomis ir 15 proc. subsidija kompensuojančia palūkanas</w:t>
      </w:r>
      <w:r>
        <w:rPr>
          <w:rFonts w:ascii="Georgia" w:hAnsi="Georgia"/>
          <w:sz w:val="20"/>
          <w:szCs w:val="20"/>
        </w:rPr>
        <w:t xml:space="preserve"> lyginant su paramos schema, kai būtų teikiamos paskolos su </w:t>
      </w:r>
      <w:r>
        <w:rPr>
          <w:rFonts w:ascii="Georgia" w:hAnsi="Georgia"/>
          <w:sz w:val="20"/>
          <w:szCs w:val="20"/>
          <w:lang w:val="en-US"/>
        </w:rPr>
        <w:t>1</w:t>
      </w:r>
      <w:r>
        <w:rPr>
          <w:rFonts w:ascii="Georgia" w:hAnsi="Georgia"/>
          <w:sz w:val="20"/>
          <w:szCs w:val="20"/>
        </w:rPr>
        <w:t xml:space="preserve"> proc. palūkanomis be subsidijos;</w:t>
      </w:r>
    </w:p>
    <w:p w14:paraId="7F55C8DE" w14:textId="77777777" w:rsidR="00280058" w:rsidRDefault="00280058" w:rsidP="002A576D">
      <w:pPr>
        <w:pStyle w:val="prastasis1"/>
        <w:numPr>
          <w:ilvl w:val="1"/>
          <w:numId w:val="59"/>
        </w:numPr>
        <w:spacing w:line="276" w:lineRule="auto"/>
        <w:ind w:left="567"/>
        <w:jc w:val="both"/>
        <w:rPr>
          <w:rFonts w:ascii="Georgia" w:hAnsi="Georgia"/>
          <w:sz w:val="20"/>
          <w:szCs w:val="20"/>
        </w:rPr>
      </w:pPr>
      <w:r w:rsidRPr="007B08F7">
        <w:rPr>
          <w:rFonts w:ascii="Georgia" w:hAnsi="Georgia"/>
          <w:b/>
          <w:sz w:val="20"/>
          <w:szCs w:val="20"/>
        </w:rPr>
        <w:t>Gali būti keičiam</w:t>
      </w:r>
      <w:r>
        <w:rPr>
          <w:rFonts w:ascii="Georgia" w:hAnsi="Georgia"/>
          <w:b/>
          <w:sz w:val="20"/>
          <w:szCs w:val="20"/>
        </w:rPr>
        <w:t>a</w:t>
      </w:r>
      <w:r w:rsidRPr="007B08F7">
        <w:rPr>
          <w:rFonts w:ascii="Georgia" w:hAnsi="Georgia"/>
          <w:b/>
          <w:sz w:val="20"/>
          <w:szCs w:val="20"/>
        </w:rPr>
        <w:t xml:space="preserve"> finansinės priemonės lėšų naudojimo tvarka ir sąlygos</w:t>
      </w:r>
      <w:r>
        <w:rPr>
          <w:rFonts w:ascii="Georgia" w:hAnsi="Georgia"/>
          <w:sz w:val="20"/>
          <w:szCs w:val="20"/>
        </w:rPr>
        <w:t xml:space="preserve"> siekiant finansinių tarpininkų lygmenyje pritraukti daugiau lėšų projektų finansavimui. Turėtų būti įvertintos galimybės </w:t>
      </w:r>
      <w:r w:rsidRPr="00674E02">
        <w:rPr>
          <w:rFonts w:ascii="Georgia" w:hAnsi="Georgia"/>
          <w:sz w:val="20"/>
          <w:szCs w:val="20"/>
        </w:rPr>
        <w:t>lengvatines paskolas iš ES</w:t>
      </w:r>
      <w:r>
        <w:rPr>
          <w:rFonts w:ascii="Georgia" w:hAnsi="Georgia"/>
          <w:sz w:val="20"/>
          <w:szCs w:val="20"/>
        </w:rPr>
        <w:t>I</w:t>
      </w:r>
      <w:r w:rsidRPr="00674E02">
        <w:rPr>
          <w:rFonts w:ascii="Georgia" w:hAnsi="Georgia"/>
          <w:sz w:val="20"/>
          <w:szCs w:val="20"/>
        </w:rPr>
        <w:t xml:space="preserve"> fondų lėšų kei</w:t>
      </w:r>
      <w:r>
        <w:rPr>
          <w:rFonts w:ascii="Georgia" w:hAnsi="Georgia"/>
          <w:sz w:val="20"/>
          <w:szCs w:val="20"/>
        </w:rPr>
        <w:t>sti</w:t>
      </w:r>
      <w:r w:rsidRPr="00674E02">
        <w:rPr>
          <w:rFonts w:ascii="Georgia" w:hAnsi="Georgia"/>
          <w:sz w:val="20"/>
          <w:szCs w:val="20"/>
        </w:rPr>
        <w:t xml:space="preserve"> garanti</w:t>
      </w:r>
      <w:r>
        <w:rPr>
          <w:rFonts w:ascii="Georgia" w:hAnsi="Georgia"/>
          <w:sz w:val="20"/>
          <w:szCs w:val="20"/>
        </w:rPr>
        <w:t>jų</w:t>
      </w:r>
      <w:r w:rsidRPr="00674E02">
        <w:rPr>
          <w:rFonts w:ascii="Georgia" w:hAnsi="Georgia"/>
          <w:sz w:val="20"/>
          <w:szCs w:val="20"/>
        </w:rPr>
        <w:t xml:space="preserve"> fondu</w:t>
      </w:r>
      <w:r>
        <w:rPr>
          <w:rFonts w:ascii="Georgia" w:hAnsi="Georgia"/>
          <w:sz w:val="20"/>
          <w:szCs w:val="20"/>
        </w:rPr>
        <w:t>. Vertintina, kad šiuo atveju taip pat</w:t>
      </w:r>
      <w:r w:rsidRPr="00674E02">
        <w:rPr>
          <w:rFonts w:ascii="Georgia" w:hAnsi="Georgia"/>
          <w:sz w:val="20"/>
          <w:szCs w:val="20"/>
        </w:rPr>
        <w:t xml:space="preserve"> būtų reikalinga papi</w:t>
      </w:r>
      <w:r>
        <w:rPr>
          <w:rFonts w:ascii="Georgia" w:hAnsi="Georgia"/>
          <w:sz w:val="20"/>
          <w:szCs w:val="20"/>
        </w:rPr>
        <w:t>ldoma palūkanų kompensacija. Ši</w:t>
      </w:r>
      <w:r w:rsidRPr="00674E02">
        <w:rPr>
          <w:rFonts w:ascii="Georgia" w:hAnsi="Georgia"/>
          <w:sz w:val="20"/>
          <w:szCs w:val="20"/>
        </w:rPr>
        <w:t xml:space="preserve"> alternatyv</w:t>
      </w:r>
      <w:r>
        <w:rPr>
          <w:rFonts w:ascii="Georgia" w:hAnsi="Georgia"/>
          <w:sz w:val="20"/>
          <w:szCs w:val="20"/>
        </w:rPr>
        <w:t>a taip pat</w:t>
      </w:r>
      <w:r w:rsidRPr="00674E02">
        <w:rPr>
          <w:rFonts w:ascii="Georgia" w:hAnsi="Georgia"/>
          <w:sz w:val="20"/>
          <w:szCs w:val="20"/>
        </w:rPr>
        <w:t xml:space="preserve"> yra aptar</w:t>
      </w:r>
      <w:r>
        <w:rPr>
          <w:rFonts w:ascii="Georgia" w:hAnsi="Georgia"/>
          <w:sz w:val="20"/>
          <w:szCs w:val="20"/>
        </w:rPr>
        <w:t>ta ir</w:t>
      </w:r>
      <w:r w:rsidRPr="00674E02">
        <w:rPr>
          <w:rFonts w:ascii="Georgia" w:hAnsi="Georgia"/>
          <w:sz w:val="20"/>
          <w:szCs w:val="20"/>
        </w:rPr>
        <w:t xml:space="preserve"> </w:t>
      </w:r>
      <w:r>
        <w:rPr>
          <w:rFonts w:ascii="Georgia" w:hAnsi="Georgia"/>
          <w:sz w:val="20"/>
          <w:szCs w:val="20"/>
        </w:rPr>
        <w:t>PwC studijoje;</w:t>
      </w:r>
    </w:p>
    <w:p w14:paraId="1907DDB8" w14:textId="77777777" w:rsidR="00280058" w:rsidRDefault="00280058" w:rsidP="002A576D">
      <w:pPr>
        <w:pStyle w:val="prastasis1"/>
        <w:numPr>
          <w:ilvl w:val="1"/>
          <w:numId w:val="59"/>
        </w:numPr>
        <w:spacing w:line="276" w:lineRule="auto"/>
        <w:ind w:left="567"/>
        <w:jc w:val="both"/>
        <w:rPr>
          <w:rFonts w:ascii="Georgia" w:hAnsi="Georgia"/>
          <w:sz w:val="20"/>
          <w:szCs w:val="20"/>
        </w:rPr>
      </w:pPr>
      <w:r w:rsidRPr="007B08F7">
        <w:rPr>
          <w:rFonts w:ascii="Georgia" w:hAnsi="Georgia"/>
          <w:b/>
          <w:sz w:val="20"/>
          <w:szCs w:val="20"/>
        </w:rPr>
        <w:t>Gali būti keičiama finansinės priemonės valdymo struktūra</w:t>
      </w:r>
      <w:r>
        <w:rPr>
          <w:rFonts w:ascii="Georgia" w:hAnsi="Georgia"/>
          <w:sz w:val="20"/>
          <w:szCs w:val="20"/>
        </w:rPr>
        <w:t>.</w:t>
      </w:r>
      <w:r w:rsidRPr="00690DA0">
        <w:rPr>
          <w:rFonts w:ascii="Georgia" w:hAnsi="Georgia"/>
          <w:sz w:val="20"/>
          <w:szCs w:val="20"/>
        </w:rPr>
        <w:t xml:space="preserve"> </w:t>
      </w:r>
      <w:r>
        <w:rPr>
          <w:rFonts w:ascii="Georgia" w:hAnsi="Georgia"/>
          <w:sz w:val="20"/>
          <w:szCs w:val="20"/>
        </w:rPr>
        <w:t>ESI fondų finansinės priemonės valdymo lygyje turėtų būti vertinamos galimybės pritraukti kitų šaltinių lėšas tiesiogiai investuojant (skolinant) į fondą ir (arba) sudarant galimybę investuotojams išpirkti ateities finansinius srautus.</w:t>
      </w:r>
    </w:p>
    <w:p w14:paraId="5DD19310" w14:textId="77777777" w:rsidR="00280058" w:rsidRDefault="00280058" w:rsidP="00280058">
      <w:pPr>
        <w:jc w:val="both"/>
        <w:rPr>
          <w:rFonts w:ascii="Georgia" w:hAnsi="Georgia"/>
          <w:sz w:val="20"/>
        </w:rPr>
      </w:pPr>
      <w:r>
        <w:rPr>
          <w:rFonts w:ascii="Georgia" w:hAnsi="Georgia"/>
          <w:sz w:val="20"/>
          <w:lang w:val="lt-LT"/>
        </w:rPr>
        <w:t>Atsižvelgiant į išvardytus aspektus identifikuojami sekantys daugiabučių renovacijos finansavimui galimi taikyti finansinės priemonės veiklos scenarijai:</w:t>
      </w:r>
    </w:p>
    <w:p w14:paraId="4C03C7FF" w14:textId="77777777" w:rsidR="00280058" w:rsidRDefault="00280058" w:rsidP="00C03122">
      <w:pPr>
        <w:pStyle w:val="Sraopastraipa"/>
        <w:numPr>
          <w:ilvl w:val="0"/>
          <w:numId w:val="34"/>
        </w:numPr>
        <w:rPr>
          <w:rFonts w:ascii="Georgia" w:hAnsi="Georgia"/>
          <w:i/>
          <w:sz w:val="20"/>
          <w:szCs w:val="20"/>
          <w:lang w:val="lt-LT"/>
        </w:rPr>
      </w:pPr>
      <w:r w:rsidRPr="00AD3749">
        <w:rPr>
          <w:rFonts w:ascii="Georgia" w:hAnsi="Georgia"/>
          <w:i/>
          <w:sz w:val="20"/>
          <w:szCs w:val="20"/>
          <w:lang w:val="lt-LT"/>
        </w:rPr>
        <w:t>Scenarijus Nr. 1: Lengvatinių paskolų teikimas vadovaujantis dabartinio JESSICA modelio principais</w:t>
      </w:r>
    </w:p>
    <w:p w14:paraId="481C4CCA" w14:textId="77777777" w:rsidR="00280058" w:rsidRPr="00AD3749" w:rsidRDefault="00280058" w:rsidP="00C03122">
      <w:pPr>
        <w:pStyle w:val="Sraopastraipa"/>
        <w:numPr>
          <w:ilvl w:val="0"/>
          <w:numId w:val="34"/>
        </w:numPr>
        <w:rPr>
          <w:rFonts w:ascii="Georgia" w:hAnsi="Georgia"/>
          <w:i/>
          <w:sz w:val="20"/>
          <w:szCs w:val="20"/>
          <w:lang w:val="lt-LT"/>
        </w:rPr>
      </w:pPr>
      <w:r w:rsidRPr="00AD3749">
        <w:rPr>
          <w:rFonts w:ascii="Georgia" w:hAnsi="Georgia"/>
          <w:i/>
          <w:sz w:val="20"/>
          <w:szCs w:val="20"/>
          <w:lang w:val="lt-LT"/>
        </w:rPr>
        <w:t>Scenarijus Nr. 2: Alternatyvus lengvatinių paskolų teikimo modelis</w:t>
      </w:r>
    </w:p>
    <w:p w14:paraId="00BAC258" w14:textId="77777777" w:rsidR="00280058" w:rsidRDefault="00280058" w:rsidP="00C03122">
      <w:pPr>
        <w:pStyle w:val="Sraopastraipa"/>
        <w:numPr>
          <w:ilvl w:val="0"/>
          <w:numId w:val="34"/>
        </w:numPr>
        <w:rPr>
          <w:rFonts w:ascii="Georgia" w:hAnsi="Georgia"/>
          <w:i/>
          <w:sz w:val="20"/>
          <w:szCs w:val="20"/>
          <w:lang w:val="lt-LT"/>
        </w:rPr>
      </w:pPr>
      <w:r w:rsidRPr="00AD3749">
        <w:rPr>
          <w:rFonts w:ascii="Georgia" w:hAnsi="Georgia"/>
          <w:i/>
          <w:sz w:val="20"/>
          <w:szCs w:val="20"/>
          <w:lang w:val="lt-LT"/>
        </w:rPr>
        <w:t>Scenarijus Nr. 3: Dalis finansinės priemonės lėšų nukreipiama į paskolų modelį, o dalis į garantijų priemonę</w:t>
      </w:r>
    </w:p>
    <w:p w14:paraId="17BE5F18" w14:textId="77777777" w:rsidR="00280058" w:rsidRDefault="00280058" w:rsidP="00C03122">
      <w:pPr>
        <w:pStyle w:val="Sraopastraipa"/>
        <w:numPr>
          <w:ilvl w:val="0"/>
          <w:numId w:val="34"/>
        </w:numPr>
        <w:rPr>
          <w:rFonts w:ascii="Georgia" w:hAnsi="Georgia"/>
          <w:i/>
          <w:sz w:val="20"/>
          <w:szCs w:val="20"/>
          <w:lang w:val="lt-LT"/>
        </w:rPr>
      </w:pPr>
      <w:r w:rsidRPr="00AD3749">
        <w:rPr>
          <w:rFonts w:ascii="Georgia" w:hAnsi="Georgia"/>
          <w:i/>
          <w:sz w:val="20"/>
          <w:szCs w:val="20"/>
          <w:lang w:val="lt-LT"/>
        </w:rPr>
        <w:t>Scenarijus Nr. 4: Visos lėšos panaudojamos garantijoms</w:t>
      </w:r>
    </w:p>
    <w:p w14:paraId="7D52ED3D" w14:textId="77777777" w:rsidR="00280058" w:rsidRDefault="00280058" w:rsidP="00C03122">
      <w:pPr>
        <w:pStyle w:val="Sraopastraipa"/>
        <w:numPr>
          <w:ilvl w:val="0"/>
          <w:numId w:val="34"/>
        </w:numPr>
        <w:rPr>
          <w:rFonts w:ascii="Georgia" w:hAnsi="Georgia"/>
          <w:i/>
          <w:sz w:val="20"/>
          <w:szCs w:val="20"/>
          <w:lang w:val="lt-LT"/>
        </w:rPr>
      </w:pPr>
      <w:r w:rsidRPr="001C5DEC">
        <w:rPr>
          <w:rFonts w:ascii="Georgia" w:hAnsi="Georgia"/>
          <w:i/>
          <w:sz w:val="20"/>
          <w:szCs w:val="20"/>
          <w:lang w:val="lt-LT"/>
        </w:rPr>
        <w:t xml:space="preserve">Scenarijus Nr. 5: </w:t>
      </w:r>
      <w:r w:rsidRPr="00CD7015">
        <w:rPr>
          <w:rFonts w:ascii="Georgia" w:hAnsi="Georgia"/>
          <w:i/>
          <w:sz w:val="20"/>
          <w:szCs w:val="20"/>
          <w:lang w:val="lt-LT"/>
        </w:rPr>
        <w:t>ESI fondų lėšos panaudojamos fondo pirmojo nuostolio padengimui</w:t>
      </w:r>
    </w:p>
    <w:p w14:paraId="71643A7A" w14:textId="77777777" w:rsidR="00280058" w:rsidRDefault="00280058" w:rsidP="00C03122">
      <w:pPr>
        <w:pStyle w:val="Sraopastraipa"/>
        <w:numPr>
          <w:ilvl w:val="0"/>
          <w:numId w:val="34"/>
        </w:numPr>
        <w:jc w:val="both"/>
        <w:rPr>
          <w:rFonts w:ascii="Georgia" w:hAnsi="Georgia"/>
          <w:i/>
          <w:sz w:val="20"/>
          <w:szCs w:val="20"/>
          <w:lang w:val="lt-LT"/>
        </w:rPr>
      </w:pPr>
      <w:r>
        <w:rPr>
          <w:rFonts w:ascii="Georgia" w:hAnsi="Georgia"/>
          <w:i/>
          <w:sz w:val="20"/>
          <w:szCs w:val="20"/>
          <w:lang w:val="lt-LT"/>
        </w:rPr>
        <w:t>Scenarijus Nr. 6</w:t>
      </w:r>
      <w:r w:rsidRPr="00AD3749">
        <w:rPr>
          <w:rFonts w:ascii="Georgia" w:hAnsi="Georgia"/>
          <w:i/>
          <w:sz w:val="20"/>
          <w:szCs w:val="20"/>
          <w:lang w:val="lt-LT"/>
        </w:rPr>
        <w:t>:</w:t>
      </w:r>
      <w:r w:rsidR="00765A39">
        <w:rPr>
          <w:rFonts w:ascii="Georgia" w:hAnsi="Georgia"/>
          <w:i/>
          <w:sz w:val="20"/>
          <w:szCs w:val="20"/>
          <w:lang w:val="lt-LT"/>
        </w:rPr>
        <w:t xml:space="preserve"> </w:t>
      </w:r>
      <w:r w:rsidRPr="00AD3749">
        <w:rPr>
          <w:rFonts w:ascii="Georgia" w:hAnsi="Georgia"/>
          <w:i/>
          <w:sz w:val="20"/>
          <w:szCs w:val="20"/>
          <w:lang w:val="lt-LT"/>
        </w:rPr>
        <w:t>Dalis finansinės priemonės lėšų nukreipiama į paskolų modelį, o dalis į garantijų priemonę</w:t>
      </w:r>
      <w:r>
        <w:rPr>
          <w:rFonts w:ascii="Georgia" w:hAnsi="Georgia"/>
          <w:i/>
          <w:sz w:val="20"/>
          <w:szCs w:val="20"/>
          <w:lang w:val="lt-LT"/>
        </w:rPr>
        <w:t xml:space="preserve"> </w:t>
      </w:r>
      <w:r w:rsidRPr="001624AE">
        <w:rPr>
          <w:rFonts w:ascii="Georgia" w:hAnsi="Georgia"/>
          <w:i/>
          <w:sz w:val="20"/>
          <w:szCs w:val="20"/>
          <w:lang w:val="lt-LT"/>
        </w:rPr>
        <w:t xml:space="preserve">su </w:t>
      </w:r>
      <w:r>
        <w:rPr>
          <w:rFonts w:ascii="Georgia" w:hAnsi="Georgia"/>
          <w:i/>
          <w:sz w:val="20"/>
          <w:szCs w:val="20"/>
          <w:lang w:val="lt-LT"/>
        </w:rPr>
        <w:t>galimybe</w:t>
      </w:r>
      <w:r w:rsidRPr="001624AE">
        <w:rPr>
          <w:rFonts w:ascii="Georgia" w:hAnsi="Georgia"/>
          <w:i/>
          <w:sz w:val="20"/>
          <w:szCs w:val="20"/>
          <w:lang w:val="lt-LT"/>
        </w:rPr>
        <w:t xml:space="preserve"> išpirkti ateities finansinius srautus</w:t>
      </w:r>
    </w:p>
    <w:p w14:paraId="2D243F8D" w14:textId="77777777" w:rsidR="00765A39" w:rsidRDefault="00765A39" w:rsidP="00C03122">
      <w:pPr>
        <w:pStyle w:val="Sraopastraipa"/>
        <w:numPr>
          <w:ilvl w:val="0"/>
          <w:numId w:val="34"/>
        </w:numPr>
        <w:jc w:val="both"/>
        <w:rPr>
          <w:rFonts w:ascii="Georgia" w:hAnsi="Georgia"/>
          <w:i/>
          <w:sz w:val="20"/>
          <w:szCs w:val="20"/>
          <w:lang w:val="lt-LT"/>
        </w:rPr>
      </w:pPr>
      <w:r>
        <w:rPr>
          <w:rFonts w:ascii="Georgia" w:hAnsi="Georgia"/>
          <w:i/>
          <w:sz w:val="20"/>
          <w:szCs w:val="20"/>
          <w:lang w:val="lt-LT"/>
        </w:rPr>
        <w:t>Scenarijus Nr. 7</w:t>
      </w:r>
      <w:r w:rsidRPr="00AD3749">
        <w:rPr>
          <w:rFonts w:ascii="Georgia" w:hAnsi="Georgia"/>
          <w:i/>
          <w:sz w:val="20"/>
          <w:szCs w:val="20"/>
          <w:lang w:val="lt-LT"/>
        </w:rPr>
        <w:t>:</w:t>
      </w:r>
      <w:r>
        <w:rPr>
          <w:rFonts w:ascii="Georgia" w:hAnsi="Georgia"/>
          <w:i/>
          <w:sz w:val="20"/>
          <w:szCs w:val="20"/>
          <w:lang w:val="lt-LT"/>
        </w:rPr>
        <w:t xml:space="preserve"> </w:t>
      </w:r>
      <w:r w:rsidRPr="00765A39">
        <w:rPr>
          <w:rFonts w:ascii="Georgia" w:hAnsi="Georgia"/>
          <w:i/>
          <w:sz w:val="20"/>
          <w:szCs w:val="20"/>
          <w:lang w:val="lt-LT"/>
        </w:rPr>
        <w:t>Finansinės priemonės lėšos nukreipiamos į paskolų modelį su galimybe išpirkti ateities finansinius srautus</w:t>
      </w:r>
    </w:p>
    <w:p w14:paraId="62A6C6FB" w14:textId="77777777" w:rsidR="000E59DF" w:rsidRPr="000E59DF" w:rsidRDefault="000E59DF" w:rsidP="00C03122">
      <w:pPr>
        <w:pStyle w:val="Sraopastraipa"/>
        <w:numPr>
          <w:ilvl w:val="0"/>
          <w:numId w:val="34"/>
        </w:numPr>
        <w:jc w:val="both"/>
        <w:rPr>
          <w:rFonts w:ascii="Georgia" w:hAnsi="Georgia"/>
          <w:i/>
          <w:sz w:val="20"/>
          <w:szCs w:val="20"/>
          <w:lang w:val="lt-LT"/>
        </w:rPr>
      </w:pPr>
      <w:r w:rsidRPr="000E59DF">
        <w:rPr>
          <w:rFonts w:ascii="Georgia" w:hAnsi="Georgia"/>
          <w:i/>
          <w:sz w:val="20"/>
          <w:szCs w:val="20"/>
          <w:lang w:val="lt-LT"/>
        </w:rPr>
        <w:t xml:space="preserve">Scenarijus Nr. 8: ESI fondų lėšos panaudojamos fondo pirmojo nuostolio padengimui ir </w:t>
      </w:r>
      <w:r>
        <w:rPr>
          <w:rFonts w:ascii="Georgia" w:hAnsi="Georgia"/>
          <w:i/>
          <w:sz w:val="20"/>
          <w:szCs w:val="20"/>
          <w:lang w:val="lt-LT"/>
        </w:rPr>
        <w:t>subsidijų</w:t>
      </w:r>
      <w:r w:rsidRPr="000E59DF">
        <w:rPr>
          <w:rFonts w:ascii="Georgia" w:hAnsi="Georgia"/>
          <w:i/>
          <w:sz w:val="20"/>
          <w:szCs w:val="20"/>
          <w:lang w:val="lt-LT"/>
        </w:rPr>
        <w:t xml:space="preserve"> priemonei</w:t>
      </w:r>
    </w:p>
    <w:p w14:paraId="332C8551" w14:textId="77777777" w:rsidR="00280058" w:rsidRPr="00531EFC" w:rsidRDefault="00280058" w:rsidP="00280058">
      <w:pPr>
        <w:jc w:val="both"/>
        <w:rPr>
          <w:rFonts w:ascii="Georgia" w:hAnsi="Georgia"/>
          <w:sz w:val="20"/>
        </w:rPr>
      </w:pPr>
      <w:r>
        <w:rPr>
          <w:rFonts w:ascii="Georgia" w:hAnsi="Georgia"/>
          <w:sz w:val="20"/>
          <w:lang w:val="lt-LT"/>
        </w:rPr>
        <w:t>Toliau detaliai nagrinėjami identifikuoti finansinės priemonės veiklos scenarijai.</w:t>
      </w:r>
    </w:p>
    <w:p w14:paraId="4E03511D" w14:textId="77777777" w:rsidR="00280058" w:rsidRPr="00531EFC" w:rsidRDefault="00280058" w:rsidP="00280058">
      <w:pPr>
        <w:jc w:val="both"/>
        <w:rPr>
          <w:rFonts w:ascii="Georgia" w:hAnsi="Georgia"/>
          <w:sz w:val="20"/>
        </w:rPr>
      </w:pPr>
    </w:p>
    <w:p w14:paraId="704B9375" w14:textId="77777777" w:rsidR="000E59DF" w:rsidRPr="00E44C84" w:rsidRDefault="000E59DF" w:rsidP="000E59DF">
      <w:pPr>
        <w:pStyle w:val="Sraopastraipa"/>
        <w:keepNext/>
        <w:numPr>
          <w:ilvl w:val="0"/>
          <w:numId w:val="34"/>
        </w:numPr>
        <w:ind w:left="714" w:hanging="357"/>
        <w:rPr>
          <w:rFonts w:ascii="Georgia" w:hAnsi="Georgia"/>
          <w:b/>
          <w:i/>
          <w:sz w:val="20"/>
          <w:szCs w:val="20"/>
          <w:lang w:val="lt-LT"/>
        </w:rPr>
      </w:pPr>
      <w:r w:rsidRPr="00E44C84">
        <w:rPr>
          <w:rFonts w:ascii="Georgia" w:hAnsi="Georgia"/>
          <w:b/>
          <w:i/>
          <w:sz w:val="20"/>
          <w:szCs w:val="20"/>
          <w:lang w:val="lt-LT"/>
        </w:rPr>
        <w:t>Scenarijus Nr. 1: Lengvatinių paskolų teikimas vadovaujantis dabartinio JESSICA modelio principais</w:t>
      </w:r>
    </w:p>
    <w:p w14:paraId="1E64EC1D" w14:textId="77777777" w:rsidR="000E59DF" w:rsidRPr="00E44C84" w:rsidRDefault="000E59DF" w:rsidP="000E59DF">
      <w:pPr>
        <w:jc w:val="both"/>
        <w:rPr>
          <w:rFonts w:ascii="Georgia" w:hAnsi="Georgia"/>
          <w:sz w:val="20"/>
          <w:lang w:val="lt-LT"/>
        </w:rPr>
      </w:pPr>
      <w:r w:rsidRPr="00E44C84">
        <w:rPr>
          <w:rFonts w:ascii="Georgia" w:hAnsi="Georgia"/>
          <w:sz w:val="20"/>
          <w:lang w:val="lt-LT"/>
        </w:rPr>
        <w:t xml:space="preserve">Šiame scenarijuje modeliuojamas dabartinio JESSICA finansinio produkto modelis, pagal kurio sąlygas dabar finansuojami daugiabučių projektai Lietuvoje (modelyje naudojama prielaida, kad bus </w:t>
      </w:r>
      <w:r w:rsidRPr="00E44C84">
        <w:rPr>
          <w:rFonts w:ascii="Georgia" w:hAnsi="Georgia"/>
          <w:sz w:val="20"/>
          <w:lang w:val="lt-LT"/>
        </w:rPr>
        <w:lastRenderedPageBreak/>
        <w:t>teikiama 15 proc. subsidija iš kitų šaltinių ir 15 proc. palūkanų kompensavimo subsidija). Finansinės priemonės teikiamos finansavimo sąlygos pavaizduotos sekančiame paveiksle.</w:t>
      </w:r>
    </w:p>
    <w:p w14:paraId="20C2CAB6" w14:textId="77777777" w:rsidR="0010799D" w:rsidRDefault="000E59DF" w:rsidP="000E59DF">
      <w:pPr>
        <w:pStyle w:val="Antrat"/>
        <w:rPr>
          <w:lang w:val="lt-LT"/>
        </w:rPr>
      </w:pPr>
      <w:r>
        <w:rPr>
          <w:noProof/>
          <w:lang w:val="lt-LT" w:eastAsia="lt-LT"/>
        </w:rPr>
        <w:drawing>
          <wp:inline distT="0" distB="0" distL="0" distR="0" wp14:anchorId="0E055196" wp14:editId="7D17A4EE">
            <wp:extent cx="5836285" cy="2472690"/>
            <wp:effectExtent l="0" t="0" r="0" b="3810"/>
            <wp:docPr id="44" name="Paveikslėlis 2" descr="\\vipa-server\ESCO_Rolandas\EE ex-antes skaiciavimai\Schemos (Rolandas) (Taisytos 2014-11-10)\Daugiabuciu\Daugiabuciai N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pa-server\ESCO_Rolandas\EE ex-antes skaiciavimai\Schemos (Rolandas) (Taisytos 2014-11-10)\Daugiabuciu\Daugiabuciai Nr. 1.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836285" cy="2472690"/>
                    </a:xfrm>
                    <a:prstGeom prst="rect">
                      <a:avLst/>
                    </a:prstGeom>
                    <a:noFill/>
                    <a:ln>
                      <a:noFill/>
                    </a:ln>
                  </pic:spPr>
                </pic:pic>
              </a:graphicData>
            </a:graphic>
          </wp:inline>
        </w:drawing>
      </w:r>
    </w:p>
    <w:p w14:paraId="6BE7681B" w14:textId="7ED083D1" w:rsidR="000E59DF" w:rsidRPr="00E44C84" w:rsidRDefault="000E59DF" w:rsidP="000E59DF">
      <w:pPr>
        <w:pStyle w:val="Antrat"/>
        <w:rPr>
          <w:lang w:val="lt-LT"/>
        </w:rPr>
      </w:pPr>
      <w:bookmarkStart w:id="137" w:name="_Toc417378298"/>
      <w:r w:rsidRPr="00E44C84">
        <w:rPr>
          <w:lang w:val="lt-LT"/>
        </w:rPr>
        <w:t xml:space="preserve">Paveikslas </w:t>
      </w:r>
      <w:r w:rsidRPr="00E44C84">
        <w:rPr>
          <w:lang w:val="lt-LT"/>
        </w:rPr>
        <w:fldChar w:fldCharType="begin"/>
      </w:r>
      <w:r w:rsidRPr="00E44C84">
        <w:rPr>
          <w:lang w:val="lt-LT"/>
        </w:rPr>
        <w:instrText xml:space="preserve"> SEQ Paveikslas \* ARABIC </w:instrText>
      </w:r>
      <w:r w:rsidRPr="00E44C84">
        <w:rPr>
          <w:lang w:val="lt-LT"/>
        </w:rPr>
        <w:fldChar w:fldCharType="separate"/>
      </w:r>
      <w:r w:rsidR="00AA3082">
        <w:rPr>
          <w:noProof/>
          <w:lang w:val="lt-LT"/>
        </w:rPr>
        <w:t>21</w:t>
      </w:r>
      <w:r w:rsidRPr="00E44C84">
        <w:rPr>
          <w:lang w:val="lt-LT"/>
        </w:rPr>
        <w:fldChar w:fldCharType="end"/>
      </w:r>
      <w:r w:rsidRPr="00E44C84">
        <w:rPr>
          <w:lang w:val="lt-LT"/>
        </w:rPr>
        <w:t>. Daugiabučių scenarijaus Nr. 1 veikimo schema.</w:t>
      </w:r>
      <w:bookmarkEnd w:id="137"/>
      <w:r w:rsidRPr="00E44C84">
        <w:rPr>
          <w:lang w:val="lt-LT"/>
        </w:rPr>
        <w:t xml:space="preserve"> </w:t>
      </w:r>
    </w:p>
    <w:p w14:paraId="2791B24C" w14:textId="77777777" w:rsidR="000E59DF" w:rsidRPr="00E44C84" w:rsidRDefault="000E59DF" w:rsidP="000E59DF">
      <w:pPr>
        <w:pStyle w:val="Antrat"/>
        <w:jc w:val="both"/>
        <w:rPr>
          <w:lang w:val="lt-LT"/>
        </w:rPr>
      </w:pPr>
    </w:p>
    <w:p w14:paraId="1B71C309" w14:textId="0C70C7E4" w:rsidR="000E59DF" w:rsidRPr="00E44C84" w:rsidRDefault="000E59DF" w:rsidP="000E59DF">
      <w:pPr>
        <w:pStyle w:val="Antrat"/>
        <w:jc w:val="both"/>
        <w:rPr>
          <w:lang w:val="lt-LT"/>
        </w:rPr>
      </w:pPr>
      <w:bookmarkStart w:id="138" w:name="_Toc460321635"/>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AA3082">
        <w:rPr>
          <w:noProof/>
          <w:lang w:val="lt-LT"/>
        </w:rPr>
        <w:t>54</w:t>
      </w:r>
      <w:r w:rsidRPr="00E44C84">
        <w:rPr>
          <w:lang w:val="lt-LT"/>
        </w:rPr>
        <w:fldChar w:fldCharType="end"/>
      </w:r>
      <w:r w:rsidRPr="00E44C84">
        <w:rPr>
          <w:lang w:val="lt-LT"/>
        </w:rPr>
        <w:t>. Scenarijaus Nr. 1 prielaidos</w:t>
      </w:r>
      <w:bookmarkEnd w:id="138"/>
    </w:p>
    <w:tbl>
      <w:tblPr>
        <w:tblStyle w:val="viesussraas2parykinimas"/>
        <w:tblW w:w="5000" w:type="pct"/>
        <w:tblLook w:val="04A0" w:firstRow="1" w:lastRow="0" w:firstColumn="1" w:lastColumn="0" w:noHBand="0" w:noVBand="1"/>
      </w:tblPr>
      <w:tblGrid>
        <w:gridCol w:w="3166"/>
        <w:gridCol w:w="6076"/>
      </w:tblGrid>
      <w:tr w:rsidR="000E59DF" w:rsidRPr="00E44C84" w14:paraId="41215660" w14:textId="77777777" w:rsidTr="000E59D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13" w:type="pct"/>
            <w:tcBorders>
              <w:bottom w:val="single" w:sz="8" w:space="0" w:color="C0504D" w:themeColor="accent2"/>
            </w:tcBorders>
          </w:tcPr>
          <w:p w14:paraId="7653F74C" w14:textId="77777777" w:rsidR="000E59DF" w:rsidRPr="00E44C84" w:rsidRDefault="000E59DF" w:rsidP="0005008F">
            <w:pPr>
              <w:jc w:val="center"/>
              <w:rPr>
                <w:rFonts w:ascii="Georgia" w:hAnsi="Georgia"/>
                <w:sz w:val="20"/>
              </w:rPr>
            </w:pPr>
            <w:r w:rsidRPr="00E44C84">
              <w:rPr>
                <w:rFonts w:ascii="Georgia" w:hAnsi="Georgia"/>
                <w:sz w:val="20"/>
              </w:rPr>
              <w:t>Prielaidos</w:t>
            </w:r>
          </w:p>
        </w:tc>
        <w:tc>
          <w:tcPr>
            <w:tcW w:w="3287" w:type="pct"/>
            <w:tcBorders>
              <w:bottom w:val="single" w:sz="8" w:space="0" w:color="C0504D" w:themeColor="accent2"/>
            </w:tcBorders>
          </w:tcPr>
          <w:p w14:paraId="0E43264F" w14:textId="77777777" w:rsidR="000E59DF" w:rsidRPr="00E44C84" w:rsidRDefault="000E59DF" w:rsidP="0005008F">
            <w:pPr>
              <w:jc w:val="center"/>
              <w:cnfStyle w:val="100000000000" w:firstRow="1"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Komentaras</w:t>
            </w:r>
          </w:p>
        </w:tc>
      </w:tr>
      <w:tr w:rsidR="000E59DF" w:rsidRPr="00E44C84" w14:paraId="22A6979D"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3" w:type="pct"/>
            <w:tcBorders>
              <w:bottom w:val="single" w:sz="6" w:space="0" w:color="C0504D" w:themeColor="accent2"/>
              <w:right w:val="single" w:sz="6" w:space="0" w:color="C0504D" w:themeColor="accent2"/>
            </w:tcBorders>
          </w:tcPr>
          <w:p w14:paraId="36FB8B20" w14:textId="77777777" w:rsidR="000E59DF" w:rsidRPr="00E44C84" w:rsidRDefault="000E59DF" w:rsidP="000E59DF">
            <w:pPr>
              <w:jc w:val="both"/>
              <w:rPr>
                <w:rFonts w:ascii="Georgia" w:hAnsi="Georgia"/>
                <w:b w:val="0"/>
                <w:sz w:val="20"/>
              </w:rPr>
            </w:pPr>
            <w:r w:rsidRPr="00E44C84">
              <w:rPr>
                <w:rFonts w:ascii="Georgia" w:hAnsi="Georgia"/>
                <w:sz w:val="20"/>
              </w:rPr>
              <w:t>Paskolos laikotarpis: iki 20 metų</w:t>
            </w:r>
          </w:p>
        </w:tc>
        <w:tc>
          <w:tcPr>
            <w:tcW w:w="3287" w:type="pct"/>
            <w:tcBorders>
              <w:left w:val="single" w:sz="6" w:space="0" w:color="C0504D" w:themeColor="accent2"/>
              <w:bottom w:val="single" w:sz="6" w:space="0" w:color="C0504D" w:themeColor="accent2"/>
            </w:tcBorders>
          </w:tcPr>
          <w:p w14:paraId="6B1513D4"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Maksimalus paskolos suteikimo terminas 20 metų.</w:t>
            </w:r>
          </w:p>
        </w:tc>
      </w:tr>
      <w:tr w:rsidR="000E59DF" w:rsidRPr="00E44C84" w14:paraId="41283115"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14:paraId="6C133594" w14:textId="77777777" w:rsidR="000E59DF" w:rsidRPr="00E44C84" w:rsidRDefault="000E59DF" w:rsidP="000E59DF">
            <w:pPr>
              <w:jc w:val="both"/>
              <w:rPr>
                <w:rFonts w:ascii="Georgia" w:hAnsi="Georgia"/>
                <w:b w:val="0"/>
                <w:sz w:val="20"/>
              </w:rPr>
            </w:pPr>
            <w:r w:rsidRPr="00E44C84">
              <w:rPr>
                <w:rFonts w:ascii="Georgia" w:hAnsi="Georgia"/>
                <w:sz w:val="20"/>
              </w:rPr>
              <w:t>Subsidija: 15 %</w:t>
            </w:r>
          </w:p>
        </w:tc>
        <w:tc>
          <w:tcPr>
            <w:tcW w:w="3287" w:type="pct"/>
            <w:tcBorders>
              <w:top w:val="single" w:sz="6" w:space="0" w:color="C0504D" w:themeColor="accent2"/>
              <w:left w:val="single" w:sz="6" w:space="0" w:color="C0504D" w:themeColor="accent2"/>
              <w:bottom w:val="single" w:sz="6" w:space="0" w:color="C0504D" w:themeColor="accent2"/>
            </w:tcBorders>
          </w:tcPr>
          <w:p w14:paraId="37FB5CE9"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Projektams, pasiekusiems ne mažesnį kaip 40 proc. sutaupymą, suteikiama 15 % subsidija (papildoma valstybės parama) biudžeto lėšomis, (modeliuojant ši suma pervedama į fondą ir laikoma grįžtančiomis lėšomis).</w:t>
            </w:r>
          </w:p>
        </w:tc>
      </w:tr>
      <w:tr w:rsidR="000E59DF" w:rsidRPr="00E44C84" w14:paraId="626D8FA4"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14:paraId="3DEFD5AF" w14:textId="77777777" w:rsidR="000E59DF" w:rsidRPr="00E44C84" w:rsidRDefault="000E59DF" w:rsidP="000E59DF">
            <w:pPr>
              <w:jc w:val="both"/>
              <w:rPr>
                <w:rFonts w:ascii="Georgia" w:hAnsi="Georgia"/>
                <w:b w:val="0"/>
                <w:sz w:val="20"/>
              </w:rPr>
            </w:pPr>
            <w:r>
              <w:rPr>
                <w:rFonts w:ascii="Georgia" w:hAnsi="Georgia"/>
                <w:sz w:val="20"/>
              </w:rPr>
              <w:t>Palūkanų kompensavimo mechanizmas</w:t>
            </w:r>
            <w:r w:rsidRPr="00E44C84">
              <w:rPr>
                <w:rFonts w:ascii="Georgia" w:hAnsi="Georgia"/>
                <w:sz w:val="20"/>
              </w:rPr>
              <w:t>: 15 %</w:t>
            </w:r>
          </w:p>
        </w:tc>
        <w:tc>
          <w:tcPr>
            <w:tcW w:w="3287" w:type="pct"/>
            <w:tcBorders>
              <w:top w:val="single" w:sz="6" w:space="0" w:color="C0504D" w:themeColor="accent2"/>
              <w:left w:val="single" w:sz="6" w:space="0" w:color="C0504D" w:themeColor="accent2"/>
              <w:bottom w:val="single" w:sz="6" w:space="0" w:color="C0504D" w:themeColor="accent2"/>
            </w:tcBorders>
          </w:tcPr>
          <w:p w14:paraId="34E5795C"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 xml:space="preserve">Po projekto įgyvendinimo paskolos suma sumažinama 15 %. Ši suma atitinka apytiksliai 2 proc. palūkanų, kurias sumoka galutiniai naudos gavėjai per 20 metų paskolos laikotarpį (t.y. galutiniai naudos gavėjai per 20 metų sumoka ne 3 proc. palūkanų, o 1 proc. palūkanų). </w:t>
            </w:r>
          </w:p>
        </w:tc>
      </w:tr>
      <w:tr w:rsidR="000E59DF" w:rsidRPr="00E44C84" w14:paraId="09368598"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14:paraId="202C82E3" w14:textId="77777777" w:rsidR="000E59DF" w:rsidRPr="00E44C84" w:rsidRDefault="000E59DF" w:rsidP="000E59DF">
            <w:pPr>
              <w:jc w:val="both"/>
              <w:rPr>
                <w:rFonts w:ascii="Georgia" w:hAnsi="Georgia"/>
                <w:b w:val="0"/>
                <w:sz w:val="20"/>
              </w:rPr>
            </w:pPr>
            <w:r w:rsidRPr="00E44C84">
              <w:rPr>
                <w:rFonts w:ascii="Georgia" w:hAnsi="Georgia"/>
                <w:sz w:val="20"/>
              </w:rPr>
              <w:t>Išankstinis paskolos grąžinimas: 10% praėjus dvejiems metams po projekto įgyvendinimo</w:t>
            </w:r>
          </w:p>
        </w:tc>
        <w:tc>
          <w:tcPr>
            <w:tcW w:w="3287" w:type="pct"/>
            <w:tcBorders>
              <w:top w:val="single" w:sz="6" w:space="0" w:color="C0504D" w:themeColor="accent2"/>
              <w:left w:val="single" w:sz="6" w:space="0" w:color="C0504D" w:themeColor="accent2"/>
              <w:bottom w:val="single" w:sz="6" w:space="0" w:color="C0504D" w:themeColor="accent2"/>
            </w:tcBorders>
          </w:tcPr>
          <w:p w14:paraId="66A5FF0D"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Prielaida, kad anksčiau laiko grįžtančios paskolos praėjus dvejiems metams po projekto įgyvendinimo sudarys 10 % paskolų portfelio, nustatyta remiantis ekspertų ir komercinių bankų vertinimu.</w:t>
            </w:r>
          </w:p>
        </w:tc>
      </w:tr>
      <w:tr w:rsidR="000E59DF" w:rsidRPr="00E44C84" w14:paraId="08BA0508"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14:paraId="0BAFD2F7" w14:textId="77777777" w:rsidR="000E59DF" w:rsidRPr="00E44C84" w:rsidRDefault="000E59DF" w:rsidP="000E59DF">
            <w:pPr>
              <w:jc w:val="both"/>
              <w:rPr>
                <w:rFonts w:ascii="Georgia" w:hAnsi="Georgia"/>
                <w:b w:val="0"/>
                <w:sz w:val="20"/>
              </w:rPr>
            </w:pPr>
            <w:r w:rsidRPr="00E44C84">
              <w:rPr>
                <w:rFonts w:ascii="Georgia" w:hAnsi="Georgia"/>
                <w:sz w:val="20"/>
              </w:rPr>
              <w:t>Blogų paskolų dalis: 5 %</w:t>
            </w:r>
          </w:p>
        </w:tc>
        <w:tc>
          <w:tcPr>
            <w:tcW w:w="3287" w:type="pct"/>
            <w:tcBorders>
              <w:top w:val="single" w:sz="6" w:space="0" w:color="C0504D" w:themeColor="accent2"/>
              <w:left w:val="single" w:sz="6" w:space="0" w:color="C0504D" w:themeColor="accent2"/>
              <w:bottom w:val="single" w:sz="6" w:space="0" w:color="C0504D" w:themeColor="accent2"/>
            </w:tcBorders>
          </w:tcPr>
          <w:p w14:paraId="733D10CA"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Blogų paskolų dalis buvo nustatyta remiantis ekspertų ir komercinių bankų vertinimu.</w:t>
            </w:r>
          </w:p>
        </w:tc>
      </w:tr>
      <w:tr w:rsidR="000E59DF" w:rsidRPr="00E44C84" w14:paraId="38FA6E80"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14:paraId="635FA9E5" w14:textId="77777777" w:rsidR="000E59DF" w:rsidRPr="00E44C84" w:rsidRDefault="000E59DF" w:rsidP="000E59DF">
            <w:pPr>
              <w:jc w:val="both"/>
              <w:rPr>
                <w:rFonts w:ascii="Georgia" w:hAnsi="Georgia"/>
                <w:b w:val="0"/>
                <w:sz w:val="20"/>
              </w:rPr>
            </w:pPr>
            <w:r w:rsidRPr="00E44C84">
              <w:rPr>
                <w:rFonts w:ascii="Georgia" w:hAnsi="Georgia"/>
                <w:sz w:val="20"/>
              </w:rPr>
              <w:t>Tipinio pastato projekto investicijų vertė: 186.000 eurų</w:t>
            </w:r>
          </w:p>
        </w:tc>
        <w:tc>
          <w:tcPr>
            <w:tcW w:w="3287" w:type="pct"/>
            <w:tcBorders>
              <w:top w:val="single" w:sz="6" w:space="0" w:color="C0504D" w:themeColor="accent2"/>
              <w:left w:val="single" w:sz="6" w:space="0" w:color="C0504D" w:themeColor="accent2"/>
              <w:bottom w:val="single" w:sz="6" w:space="0" w:color="C0504D" w:themeColor="accent2"/>
            </w:tcBorders>
          </w:tcPr>
          <w:p w14:paraId="6805938D"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Vidutinė tipinio daugiabučio renovacijos kaina buvo nustatyta remiantis vidutinio daugiabučio plotu (paskaičiuota remiantis registrų centro duomenimis). Vidutinė statybos darbų kaina nustatyta pagal BETA pateiktus duomenis.</w:t>
            </w:r>
          </w:p>
        </w:tc>
      </w:tr>
      <w:tr w:rsidR="000E59DF" w:rsidRPr="00E44C84" w14:paraId="4659A7A6"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14:paraId="7A6DFC03" w14:textId="77777777" w:rsidR="000E59DF" w:rsidRPr="00E44C84" w:rsidRDefault="000E59DF" w:rsidP="000E59DF">
            <w:pPr>
              <w:jc w:val="both"/>
              <w:rPr>
                <w:rFonts w:ascii="Georgia" w:hAnsi="Georgia"/>
                <w:b w:val="0"/>
                <w:sz w:val="20"/>
              </w:rPr>
            </w:pPr>
            <w:r w:rsidRPr="00E44C84">
              <w:rPr>
                <w:rFonts w:ascii="Georgia" w:hAnsi="Georgia"/>
                <w:sz w:val="20"/>
              </w:rPr>
              <w:t>Palūkanų norma: 3 %</w:t>
            </w:r>
          </w:p>
        </w:tc>
        <w:tc>
          <w:tcPr>
            <w:tcW w:w="3287" w:type="pct"/>
            <w:tcBorders>
              <w:top w:val="single" w:sz="6" w:space="0" w:color="C0504D" w:themeColor="accent2"/>
              <w:left w:val="single" w:sz="6" w:space="0" w:color="C0504D" w:themeColor="accent2"/>
              <w:bottom w:val="single" w:sz="6" w:space="0" w:color="C0504D" w:themeColor="accent2"/>
            </w:tcBorders>
          </w:tcPr>
          <w:p w14:paraId="686A0549"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Palūkanų norma galutiniams naudos gavėjams - fiksuotos 3 % metinės palūkanos.</w:t>
            </w:r>
          </w:p>
        </w:tc>
      </w:tr>
      <w:tr w:rsidR="000E59DF" w:rsidRPr="00E44C84" w14:paraId="310485BA"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14:paraId="788154E2" w14:textId="77777777" w:rsidR="000E59DF" w:rsidRPr="00E44C84" w:rsidRDefault="000E59DF" w:rsidP="000E59DF">
            <w:pPr>
              <w:jc w:val="both"/>
              <w:rPr>
                <w:rFonts w:ascii="Georgia" w:hAnsi="Georgia"/>
                <w:b w:val="0"/>
                <w:sz w:val="20"/>
              </w:rPr>
            </w:pPr>
            <w:r w:rsidRPr="00E44C84">
              <w:rPr>
                <w:rFonts w:ascii="Georgia" w:hAnsi="Georgia"/>
                <w:sz w:val="20"/>
              </w:rPr>
              <w:t xml:space="preserve">Investuojamų ESI fondų lėšų suma: </w:t>
            </w:r>
            <w:r>
              <w:rPr>
                <w:rFonts w:ascii="Georgia" w:hAnsi="Georgia"/>
                <w:sz w:val="20"/>
              </w:rPr>
              <w:t>280,9</w:t>
            </w:r>
            <w:r w:rsidRPr="00E44C84">
              <w:rPr>
                <w:rFonts w:ascii="Georgia" w:hAnsi="Georgia"/>
                <w:sz w:val="20"/>
              </w:rPr>
              <w:t xml:space="preserve"> mln. eurų</w:t>
            </w:r>
          </w:p>
        </w:tc>
        <w:tc>
          <w:tcPr>
            <w:tcW w:w="3287" w:type="pct"/>
            <w:tcBorders>
              <w:top w:val="single" w:sz="6" w:space="0" w:color="C0504D" w:themeColor="accent2"/>
              <w:left w:val="single" w:sz="6" w:space="0" w:color="C0504D" w:themeColor="accent2"/>
              <w:bottom w:val="single" w:sz="6" w:space="0" w:color="C0504D" w:themeColor="accent2"/>
            </w:tcBorders>
          </w:tcPr>
          <w:p w14:paraId="14A24A2E"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Pr>
                <w:rFonts w:ascii="Georgia" w:hAnsi="Georgia"/>
                <w:sz w:val="20"/>
              </w:rPr>
              <w:t>280,9</w:t>
            </w:r>
            <w:r w:rsidRPr="00E44C84">
              <w:rPr>
                <w:rFonts w:ascii="Georgia" w:hAnsi="Georgia"/>
                <w:sz w:val="20"/>
              </w:rPr>
              <w:t xml:space="preserve"> mln. eurų 2014-2020 m. ESI fondų lėšų skiriama daugiabučių renovacijos paskolų priemonei</w:t>
            </w:r>
          </w:p>
        </w:tc>
      </w:tr>
      <w:tr w:rsidR="000E59DF" w:rsidRPr="00E44C84" w14:paraId="3C315DC4"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14:paraId="158B0132" w14:textId="77777777" w:rsidR="000E59DF" w:rsidRPr="00E44C84" w:rsidRDefault="000E59DF" w:rsidP="000E59DF">
            <w:pPr>
              <w:jc w:val="both"/>
              <w:rPr>
                <w:rFonts w:ascii="Georgia" w:hAnsi="Georgia"/>
                <w:b w:val="0"/>
                <w:sz w:val="20"/>
              </w:rPr>
            </w:pPr>
            <w:r w:rsidRPr="00E44C84">
              <w:rPr>
                <w:rFonts w:ascii="Georgia" w:hAnsi="Georgia"/>
                <w:sz w:val="20"/>
              </w:rPr>
              <w:t>JESSICA KF grįžtančios lėšos: 67,2 mln. eurų</w:t>
            </w:r>
          </w:p>
        </w:tc>
        <w:tc>
          <w:tcPr>
            <w:tcW w:w="3287" w:type="pct"/>
            <w:tcBorders>
              <w:top w:val="single" w:sz="6" w:space="0" w:color="C0504D" w:themeColor="accent2"/>
              <w:left w:val="single" w:sz="6" w:space="0" w:color="C0504D" w:themeColor="accent2"/>
              <w:bottom w:val="single" w:sz="6" w:space="0" w:color="C0504D" w:themeColor="accent2"/>
            </w:tcBorders>
          </w:tcPr>
          <w:p w14:paraId="10B99FBA"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2007-2013 m. JESSICA KF grįžtančios lėšos (iki 2020 metų) sudaro apie 67,2 mln. eurų.</w:t>
            </w:r>
          </w:p>
        </w:tc>
      </w:tr>
      <w:tr w:rsidR="000E59DF" w:rsidRPr="00E44C84" w14:paraId="5DF58EB8"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14:paraId="4CE6EEB6" w14:textId="77777777" w:rsidR="000E59DF" w:rsidRPr="00E44C84" w:rsidRDefault="000E59DF" w:rsidP="000E59DF">
            <w:pPr>
              <w:jc w:val="both"/>
              <w:rPr>
                <w:rFonts w:ascii="Georgia" w:hAnsi="Georgia"/>
                <w:sz w:val="20"/>
              </w:rPr>
            </w:pPr>
            <w:r w:rsidRPr="00E44C84">
              <w:rPr>
                <w:rFonts w:ascii="Georgia" w:hAnsi="Georgia"/>
                <w:sz w:val="20"/>
              </w:rPr>
              <w:t>Siektinas įgyvendinamų projektų skaičius: 400 projektų per metus</w:t>
            </w:r>
          </w:p>
        </w:tc>
        <w:tc>
          <w:tcPr>
            <w:tcW w:w="3287" w:type="pct"/>
            <w:tcBorders>
              <w:top w:val="single" w:sz="6" w:space="0" w:color="C0504D" w:themeColor="accent2"/>
              <w:left w:val="single" w:sz="6" w:space="0" w:color="C0504D" w:themeColor="accent2"/>
              <w:bottom w:val="single" w:sz="6" w:space="0" w:color="C0504D" w:themeColor="accent2"/>
            </w:tcBorders>
          </w:tcPr>
          <w:p w14:paraId="52609309"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Vertinant projektų kiekį, buvo paskaičiuota kiek projektų galima atlikti turimomis fondo lėšomis (pagal šį scenarijų) per 2014-2020 programavimo laikotarpį ir projektai proporcingai išdėstyti iki 2020 metų. Vertinama, kad šio scenarijaus atveju, per metus bus įgyvendinama 400 naujų projektų.</w:t>
            </w:r>
          </w:p>
        </w:tc>
      </w:tr>
      <w:tr w:rsidR="000E59DF" w:rsidRPr="00E44C84" w14:paraId="6C237F53"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14:paraId="30710981" w14:textId="77777777" w:rsidR="000E59DF" w:rsidRPr="00E44C84" w:rsidRDefault="000E59DF" w:rsidP="000E59DF">
            <w:pPr>
              <w:jc w:val="both"/>
              <w:rPr>
                <w:rFonts w:ascii="Georgia" w:hAnsi="Georgia"/>
                <w:sz w:val="20"/>
              </w:rPr>
            </w:pPr>
            <w:r w:rsidRPr="00E44C84">
              <w:rPr>
                <w:rFonts w:ascii="Georgia" w:hAnsi="Georgia"/>
                <w:sz w:val="20"/>
              </w:rPr>
              <w:lastRenderedPageBreak/>
              <w:t>Valdymo mokestis: vadovaujantis Deleguoto reglamento nuostatomis</w:t>
            </w:r>
          </w:p>
        </w:tc>
        <w:tc>
          <w:tcPr>
            <w:tcW w:w="3287" w:type="pct"/>
            <w:tcBorders>
              <w:top w:val="single" w:sz="6" w:space="0" w:color="C0504D" w:themeColor="accent2"/>
              <w:left w:val="single" w:sz="6" w:space="0" w:color="C0504D" w:themeColor="accent2"/>
              <w:bottom w:val="single" w:sz="6" w:space="0" w:color="C0504D" w:themeColor="accent2"/>
            </w:tcBorders>
          </w:tcPr>
          <w:p w14:paraId="7B865979"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Vadovaujantis Deleguoto reglamento nuostatomis, valdymo mokestis susideda iš dviejų dalių: 0,5 proc. bazinis mokestis nuo finansinei priemonei skirtų ir įmokėtų lėšų, 1 proc. mokestis nuo paskolų, suteiktų galutiniams naudos gavėjams, sumos.</w:t>
            </w:r>
          </w:p>
        </w:tc>
      </w:tr>
      <w:tr w:rsidR="000E59DF" w:rsidRPr="00E44C84" w14:paraId="32429D60"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bottom w:val="single" w:sz="6" w:space="0" w:color="C0504D" w:themeColor="accent2"/>
              <w:right w:val="single" w:sz="6" w:space="0" w:color="C0504D" w:themeColor="accent2"/>
            </w:tcBorders>
          </w:tcPr>
          <w:p w14:paraId="28D88379" w14:textId="77777777" w:rsidR="000E59DF" w:rsidRPr="00E44C84" w:rsidRDefault="000E59DF" w:rsidP="000E59DF">
            <w:pPr>
              <w:jc w:val="both"/>
              <w:rPr>
                <w:rFonts w:ascii="Georgia" w:hAnsi="Georgia"/>
                <w:b w:val="0"/>
                <w:sz w:val="20"/>
              </w:rPr>
            </w:pPr>
            <w:r w:rsidRPr="00E44C84">
              <w:rPr>
                <w:rFonts w:ascii="Georgia" w:hAnsi="Georgia"/>
                <w:sz w:val="20"/>
              </w:rPr>
              <w:t>Projekto įgyvendinimo trukmė: 1 metai</w:t>
            </w:r>
          </w:p>
        </w:tc>
        <w:tc>
          <w:tcPr>
            <w:tcW w:w="3287" w:type="pct"/>
            <w:tcBorders>
              <w:top w:val="single" w:sz="6" w:space="0" w:color="C0504D" w:themeColor="accent2"/>
              <w:left w:val="single" w:sz="6" w:space="0" w:color="C0504D" w:themeColor="accent2"/>
              <w:bottom w:val="single" w:sz="6" w:space="0" w:color="C0504D" w:themeColor="accent2"/>
            </w:tcBorders>
          </w:tcPr>
          <w:p w14:paraId="1538773A"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Remiantis šiuo metu įgyvendinamų projektų duomenimis nustatyta vidutinė projekto įgyvendinimo trukmė – 1 metai nuo paskolos sutarties pasirašymo dienos.</w:t>
            </w:r>
          </w:p>
        </w:tc>
      </w:tr>
      <w:tr w:rsidR="000E59DF" w:rsidRPr="00E44C84" w14:paraId="0EDEA375"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3" w:type="pct"/>
            <w:tcBorders>
              <w:top w:val="single" w:sz="6" w:space="0" w:color="C0504D" w:themeColor="accent2"/>
              <w:right w:val="single" w:sz="6" w:space="0" w:color="C0504D" w:themeColor="accent2"/>
            </w:tcBorders>
          </w:tcPr>
          <w:p w14:paraId="409C3348" w14:textId="77777777" w:rsidR="000E59DF" w:rsidRPr="00E44C84" w:rsidRDefault="000E59DF" w:rsidP="000E59DF">
            <w:pPr>
              <w:jc w:val="both"/>
              <w:rPr>
                <w:rFonts w:ascii="Georgia" w:hAnsi="Georgia"/>
                <w:b w:val="0"/>
                <w:sz w:val="20"/>
              </w:rPr>
            </w:pPr>
            <w:r w:rsidRPr="00E44C84">
              <w:rPr>
                <w:rFonts w:ascii="Georgia" w:hAnsi="Georgia"/>
                <w:sz w:val="20"/>
              </w:rPr>
              <w:t xml:space="preserve">Sugrįžusios lėšos pakartotinai panaudojamos: po 2 metų </w:t>
            </w:r>
          </w:p>
        </w:tc>
        <w:tc>
          <w:tcPr>
            <w:tcW w:w="3287" w:type="pct"/>
            <w:tcBorders>
              <w:top w:val="single" w:sz="6" w:space="0" w:color="C0504D" w:themeColor="accent2"/>
              <w:left w:val="single" w:sz="6" w:space="0" w:color="C0504D" w:themeColor="accent2"/>
            </w:tcBorders>
          </w:tcPr>
          <w:p w14:paraId="43682EF7"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 xml:space="preserve">Daroma prielaida, jog grįžtančios lėšos pakartotinai panaudojamos projektų finansavimui tomis pačiomis sąlygomis po 2 metų. </w:t>
            </w:r>
          </w:p>
        </w:tc>
      </w:tr>
    </w:tbl>
    <w:p w14:paraId="0E317E4C" w14:textId="77777777" w:rsidR="000E59DF" w:rsidRPr="00E44C84" w:rsidRDefault="000E59DF" w:rsidP="000E59DF">
      <w:pPr>
        <w:jc w:val="both"/>
        <w:rPr>
          <w:rFonts w:ascii="Georgia" w:hAnsi="Georgia"/>
          <w:sz w:val="20"/>
          <w:lang w:val="lt-LT"/>
        </w:rPr>
      </w:pPr>
    </w:p>
    <w:p w14:paraId="1BC6E554" w14:textId="218E37C1" w:rsidR="000E59DF" w:rsidRPr="00E44C84" w:rsidRDefault="000E59DF" w:rsidP="000E59DF">
      <w:pPr>
        <w:pStyle w:val="Antrat"/>
        <w:jc w:val="both"/>
        <w:rPr>
          <w:lang w:val="lt-LT"/>
        </w:rPr>
      </w:pPr>
      <w:bookmarkStart w:id="139" w:name="_Toc460321636"/>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AA3082">
        <w:rPr>
          <w:noProof/>
          <w:lang w:val="lt-LT"/>
        </w:rPr>
        <w:t>55</w:t>
      </w:r>
      <w:r w:rsidRPr="00E44C84">
        <w:rPr>
          <w:lang w:val="lt-LT"/>
        </w:rPr>
        <w:fldChar w:fldCharType="end"/>
      </w:r>
      <w:r w:rsidRPr="00E44C84">
        <w:rPr>
          <w:lang w:val="lt-LT"/>
        </w:rPr>
        <w:t>. Scenarijaus Nr. 1 įgyvendinimo prognozė</w:t>
      </w:r>
      <w:bookmarkEnd w:id="139"/>
    </w:p>
    <w:p w14:paraId="38589870" w14:textId="77777777" w:rsidR="000E59DF" w:rsidRPr="00E44C84" w:rsidRDefault="000E59DF" w:rsidP="0005008F">
      <w:pPr>
        <w:pStyle w:val="Antrat"/>
        <w:jc w:val="center"/>
        <w:rPr>
          <w:lang w:val="en-US"/>
        </w:rPr>
      </w:pPr>
      <w:r>
        <w:rPr>
          <w:noProof/>
          <w:lang w:val="lt-LT" w:eastAsia="lt-LT"/>
        </w:rPr>
        <w:drawing>
          <wp:inline distT="0" distB="0" distL="0" distR="0" wp14:anchorId="0F1F3C92" wp14:editId="3C635520">
            <wp:extent cx="6120130" cy="2698115"/>
            <wp:effectExtent l="0" t="0" r="0" b="6985"/>
            <wp:docPr id="45"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6120130" cy="2698115"/>
                    </a:xfrm>
                    <a:prstGeom prst="rect">
                      <a:avLst/>
                    </a:prstGeom>
                    <a:noFill/>
                    <a:ln>
                      <a:noFill/>
                    </a:ln>
                  </pic:spPr>
                </pic:pic>
              </a:graphicData>
            </a:graphic>
          </wp:inline>
        </w:drawing>
      </w:r>
    </w:p>
    <w:p w14:paraId="39DCE11F" w14:textId="4A1D0A86" w:rsidR="000E59DF" w:rsidRPr="00E44C84" w:rsidRDefault="000E59DF" w:rsidP="000E59DF">
      <w:pPr>
        <w:pStyle w:val="Antrat"/>
        <w:jc w:val="both"/>
        <w:rPr>
          <w:lang w:val="lt-LT"/>
        </w:rPr>
      </w:pPr>
      <w:bookmarkStart w:id="140" w:name="_Toc460321637"/>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AA3082">
        <w:rPr>
          <w:noProof/>
          <w:lang w:val="lt-LT"/>
        </w:rPr>
        <w:t>56</w:t>
      </w:r>
      <w:r w:rsidRPr="00E44C84">
        <w:rPr>
          <w:lang w:val="lt-LT"/>
        </w:rPr>
        <w:fldChar w:fldCharType="end"/>
      </w:r>
      <w:r w:rsidRPr="00E44C84">
        <w:rPr>
          <w:lang w:val="lt-LT"/>
        </w:rPr>
        <w:t xml:space="preserve">. </w:t>
      </w:r>
      <w:r w:rsidRPr="00E44C84">
        <w:rPr>
          <w:szCs w:val="20"/>
          <w:lang w:val="lt-LT"/>
        </w:rPr>
        <w:t>Scenarijaus Nr. 1 rezultatai</w:t>
      </w:r>
      <w:bookmarkEnd w:id="140"/>
    </w:p>
    <w:tbl>
      <w:tblPr>
        <w:tblStyle w:val="viesussraas2parykinimas"/>
        <w:tblW w:w="5000" w:type="pct"/>
        <w:tblLook w:val="04A0" w:firstRow="1" w:lastRow="0" w:firstColumn="1" w:lastColumn="0" w:noHBand="0" w:noVBand="1"/>
      </w:tblPr>
      <w:tblGrid>
        <w:gridCol w:w="6651"/>
        <w:gridCol w:w="2591"/>
      </w:tblGrid>
      <w:tr w:rsidR="000E59DF" w:rsidRPr="00E44C84" w14:paraId="15B78A15" w14:textId="77777777" w:rsidTr="0005008F">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8" w:type="pct"/>
          </w:tcPr>
          <w:p w14:paraId="69B53355" w14:textId="77777777" w:rsidR="000E59DF" w:rsidRPr="00E44C84" w:rsidRDefault="000E59DF" w:rsidP="000E59DF">
            <w:pPr>
              <w:keepNext/>
              <w:spacing w:after="200" w:line="276" w:lineRule="auto"/>
              <w:jc w:val="both"/>
              <w:rPr>
                <w:rFonts w:ascii="Georgia" w:hAnsi="Georgia"/>
                <w:sz w:val="20"/>
              </w:rPr>
            </w:pPr>
            <w:r w:rsidRPr="00E44C84">
              <w:rPr>
                <w:rFonts w:ascii="Georgia" w:hAnsi="Georgia"/>
                <w:sz w:val="20"/>
              </w:rPr>
              <w:t>Fondas</w:t>
            </w:r>
          </w:p>
        </w:tc>
        <w:tc>
          <w:tcPr>
            <w:tcW w:w="1402" w:type="pct"/>
          </w:tcPr>
          <w:p w14:paraId="677F323F" w14:textId="77777777" w:rsidR="000E59DF" w:rsidRPr="00E44C84" w:rsidRDefault="000E59DF" w:rsidP="000E59DF">
            <w:pPr>
              <w:keepNext/>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mln. eurų</w:t>
            </w:r>
          </w:p>
        </w:tc>
      </w:tr>
      <w:tr w:rsidR="000E59DF" w:rsidRPr="00E44C84" w14:paraId="2F371D06" w14:textId="77777777" w:rsidTr="0005008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8" w:type="pct"/>
          </w:tcPr>
          <w:p w14:paraId="3D391063" w14:textId="77777777" w:rsidR="000E59DF" w:rsidRPr="00E44C84" w:rsidRDefault="000E59DF" w:rsidP="000E59DF">
            <w:pPr>
              <w:keepNext/>
              <w:spacing w:after="200"/>
              <w:jc w:val="both"/>
              <w:rPr>
                <w:rFonts w:ascii="Georgia" w:hAnsi="Georgia"/>
                <w:sz w:val="20"/>
              </w:rPr>
            </w:pPr>
            <w:r w:rsidRPr="00E44C84">
              <w:rPr>
                <w:rFonts w:ascii="Georgia" w:hAnsi="Georgia"/>
                <w:sz w:val="20"/>
              </w:rPr>
              <w:t>Galutinius naudos gavėjus pasiekusios lėšos</w:t>
            </w:r>
          </w:p>
        </w:tc>
        <w:tc>
          <w:tcPr>
            <w:tcW w:w="1402" w:type="pct"/>
          </w:tcPr>
          <w:p w14:paraId="513667C0" w14:textId="77777777" w:rsidR="000E59DF" w:rsidRPr="00E44C84" w:rsidRDefault="000E59DF" w:rsidP="000E59DF">
            <w:pPr>
              <w:keepNext/>
              <w:spacing w:after="200"/>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Pr>
                <w:rFonts w:ascii="Georgia" w:hAnsi="Georgia"/>
                <w:sz w:val="20"/>
              </w:rPr>
              <w:t>417,7</w:t>
            </w:r>
          </w:p>
        </w:tc>
      </w:tr>
      <w:tr w:rsidR="000E59DF" w:rsidRPr="00E44C84" w14:paraId="3C507A81" w14:textId="77777777" w:rsidTr="0005008F">
        <w:trPr>
          <w:cantSplit/>
        </w:trPr>
        <w:tc>
          <w:tcPr>
            <w:cnfStyle w:val="001000000000" w:firstRow="0" w:lastRow="0" w:firstColumn="1" w:lastColumn="0" w:oddVBand="0" w:evenVBand="0" w:oddHBand="0" w:evenHBand="0" w:firstRowFirstColumn="0" w:firstRowLastColumn="0" w:lastRowFirstColumn="0" w:lastRowLastColumn="0"/>
            <w:tcW w:w="3598" w:type="pct"/>
          </w:tcPr>
          <w:p w14:paraId="706134B6" w14:textId="77777777" w:rsidR="000E59DF" w:rsidRPr="00E44C84" w:rsidRDefault="000E59DF" w:rsidP="000E59DF">
            <w:pPr>
              <w:spacing w:after="200"/>
              <w:jc w:val="both"/>
              <w:rPr>
                <w:rFonts w:ascii="Georgia" w:hAnsi="Georgia"/>
                <w:b w:val="0"/>
                <w:sz w:val="20"/>
              </w:rPr>
            </w:pPr>
            <w:r w:rsidRPr="00E44C84">
              <w:rPr>
                <w:rFonts w:ascii="Georgia" w:hAnsi="Georgia"/>
                <w:sz w:val="20"/>
              </w:rPr>
              <w:t>Į fondą grįžusios lėšos iki 2019 metų (įskaitant subsidijas bei JESSICA KF grįžtančias lėšas)</w:t>
            </w:r>
          </w:p>
        </w:tc>
        <w:tc>
          <w:tcPr>
            <w:tcW w:w="1402" w:type="pct"/>
          </w:tcPr>
          <w:p w14:paraId="5C301989" w14:textId="77777777" w:rsidR="000E59DF" w:rsidRPr="00E44C84" w:rsidRDefault="000E59DF" w:rsidP="000E59DF">
            <w:pPr>
              <w:spacing w:after="200"/>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C7379E">
              <w:rPr>
                <w:rFonts w:ascii="Georgia" w:hAnsi="Georgia"/>
                <w:sz w:val="20"/>
              </w:rPr>
              <w:t>149,3</w:t>
            </w:r>
          </w:p>
        </w:tc>
      </w:tr>
      <w:tr w:rsidR="000E59DF" w:rsidRPr="00E44C84" w14:paraId="1E7DB745" w14:textId="77777777" w:rsidTr="0005008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98" w:type="pct"/>
          </w:tcPr>
          <w:p w14:paraId="7678899E" w14:textId="77777777" w:rsidR="000E59DF" w:rsidRPr="00E44C84" w:rsidRDefault="000E59DF" w:rsidP="000E59DF">
            <w:pPr>
              <w:spacing w:after="200"/>
              <w:jc w:val="both"/>
              <w:rPr>
                <w:rFonts w:ascii="Georgia" w:hAnsi="Georgia"/>
                <w:sz w:val="20"/>
              </w:rPr>
            </w:pPr>
            <w:r w:rsidRPr="00E44C84">
              <w:rPr>
                <w:rFonts w:ascii="Georgia" w:hAnsi="Georgia"/>
                <w:sz w:val="20"/>
              </w:rPr>
              <w:t>Renovuotų pastatų skaičius</w:t>
            </w:r>
          </w:p>
        </w:tc>
        <w:tc>
          <w:tcPr>
            <w:tcW w:w="1402" w:type="pct"/>
          </w:tcPr>
          <w:p w14:paraId="09445BAD" w14:textId="77777777" w:rsidR="000E59DF" w:rsidRPr="00E44C84" w:rsidRDefault="000E59DF" w:rsidP="000E59DF">
            <w:pPr>
              <w:spacing w:after="200"/>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Pr>
                <w:rFonts w:ascii="Georgia" w:hAnsi="Georgia"/>
                <w:sz w:val="20"/>
              </w:rPr>
              <w:t>2246</w:t>
            </w:r>
          </w:p>
        </w:tc>
      </w:tr>
    </w:tbl>
    <w:p w14:paraId="57EC871D" w14:textId="77777777" w:rsidR="000E59DF" w:rsidRPr="00E44C84" w:rsidRDefault="000E59DF" w:rsidP="000E59DF">
      <w:pPr>
        <w:rPr>
          <w:rFonts w:ascii="Georgia" w:hAnsi="Georgia"/>
          <w:lang w:val="lt-LT"/>
        </w:rPr>
      </w:pPr>
    </w:p>
    <w:p w14:paraId="28085474" w14:textId="77777777" w:rsidR="000E59DF" w:rsidRPr="00E44C84" w:rsidRDefault="000E59DF" w:rsidP="000E59DF">
      <w:pPr>
        <w:pStyle w:val="Sraopastraipa"/>
        <w:keepNext/>
        <w:numPr>
          <w:ilvl w:val="0"/>
          <w:numId w:val="34"/>
        </w:numPr>
        <w:rPr>
          <w:rFonts w:ascii="Georgia" w:hAnsi="Georgia"/>
          <w:b/>
          <w:i/>
          <w:sz w:val="20"/>
          <w:szCs w:val="20"/>
          <w:lang w:val="lt-LT"/>
        </w:rPr>
      </w:pPr>
      <w:r w:rsidRPr="00E44C84">
        <w:rPr>
          <w:rFonts w:ascii="Georgia" w:hAnsi="Georgia"/>
          <w:b/>
          <w:i/>
          <w:sz w:val="20"/>
          <w:szCs w:val="20"/>
          <w:lang w:val="lt-LT"/>
        </w:rPr>
        <w:lastRenderedPageBreak/>
        <w:t>Scenarijus Nr. 2: Alternatyvus lengvatinių paskolų teikimo modelis</w:t>
      </w:r>
    </w:p>
    <w:p w14:paraId="629CB5B6" w14:textId="77777777" w:rsidR="000E59DF" w:rsidRPr="00E44C84" w:rsidRDefault="000E59DF" w:rsidP="000E59DF">
      <w:pPr>
        <w:keepNext/>
        <w:jc w:val="both"/>
        <w:rPr>
          <w:rFonts w:ascii="Georgia" w:hAnsi="Georgia"/>
          <w:sz w:val="20"/>
          <w:szCs w:val="20"/>
          <w:lang w:val="lt-LT"/>
        </w:rPr>
      </w:pPr>
      <w:r w:rsidRPr="00E44C84">
        <w:rPr>
          <w:rFonts w:ascii="Georgia" w:hAnsi="Georgia"/>
          <w:sz w:val="20"/>
          <w:szCs w:val="20"/>
          <w:lang w:val="lt-LT"/>
        </w:rPr>
        <w:t xml:space="preserve">Scenarijus Nr. 2 modeliuojamas kaip alternatyvi scenarijaus Nr. 1 finansinė priemonė, kurioje nenumatoma subsidija paskolos palūkanų kompensavimui, tačiau sumažinamos paskolos palūkanos iki 1 proc. </w:t>
      </w:r>
    </w:p>
    <w:p w14:paraId="30F40393" w14:textId="77777777" w:rsidR="0010799D" w:rsidRDefault="000E59DF" w:rsidP="0005008F">
      <w:pPr>
        <w:pStyle w:val="Antrat"/>
        <w:jc w:val="center"/>
        <w:rPr>
          <w:lang w:val="lt-LT"/>
        </w:rPr>
      </w:pPr>
      <w:r w:rsidRPr="00E44C84">
        <w:rPr>
          <w:noProof/>
          <w:lang w:val="lt-LT" w:eastAsia="lt-LT"/>
        </w:rPr>
        <w:drawing>
          <wp:inline distT="0" distB="0" distL="0" distR="0" wp14:anchorId="49C58D48" wp14:editId="3AC9E922">
            <wp:extent cx="5724525" cy="2428875"/>
            <wp:effectExtent l="0" t="0" r="9525" b="9525"/>
            <wp:docPr id="4100" name="Paveikslėlis 4100" descr="Daugiabuciai 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ugiabuciai Nr"/>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724525" cy="2428875"/>
                    </a:xfrm>
                    <a:prstGeom prst="rect">
                      <a:avLst/>
                    </a:prstGeom>
                    <a:noFill/>
                    <a:ln>
                      <a:noFill/>
                    </a:ln>
                  </pic:spPr>
                </pic:pic>
              </a:graphicData>
            </a:graphic>
          </wp:inline>
        </w:drawing>
      </w:r>
    </w:p>
    <w:p w14:paraId="1C39ECEE" w14:textId="12632574" w:rsidR="000E59DF" w:rsidRPr="00E44C84" w:rsidRDefault="000E59DF" w:rsidP="000E59DF">
      <w:pPr>
        <w:pStyle w:val="Antrat"/>
        <w:rPr>
          <w:szCs w:val="20"/>
          <w:lang w:val="lt-LT"/>
        </w:rPr>
      </w:pPr>
      <w:bookmarkStart w:id="141" w:name="_Toc417378299"/>
      <w:r w:rsidRPr="00E44C84">
        <w:rPr>
          <w:lang w:val="lt-LT"/>
        </w:rPr>
        <w:t xml:space="preserve">Paveikslas </w:t>
      </w:r>
      <w:r w:rsidRPr="00E44C84">
        <w:rPr>
          <w:lang w:val="lt-LT"/>
        </w:rPr>
        <w:fldChar w:fldCharType="begin"/>
      </w:r>
      <w:r w:rsidRPr="00E44C84">
        <w:rPr>
          <w:lang w:val="lt-LT"/>
        </w:rPr>
        <w:instrText xml:space="preserve"> SEQ Paveikslas \* ARABIC </w:instrText>
      </w:r>
      <w:r w:rsidRPr="00E44C84">
        <w:rPr>
          <w:lang w:val="lt-LT"/>
        </w:rPr>
        <w:fldChar w:fldCharType="separate"/>
      </w:r>
      <w:r w:rsidR="00AA3082">
        <w:rPr>
          <w:noProof/>
          <w:lang w:val="lt-LT"/>
        </w:rPr>
        <w:t>22</w:t>
      </w:r>
      <w:r w:rsidRPr="00E44C84">
        <w:rPr>
          <w:lang w:val="lt-LT"/>
        </w:rPr>
        <w:fldChar w:fldCharType="end"/>
      </w:r>
      <w:r w:rsidRPr="00E44C84">
        <w:rPr>
          <w:lang w:val="lt-LT"/>
        </w:rPr>
        <w:t>. Daugiabučių scenarijaus Nr. 2 schema.</w:t>
      </w:r>
      <w:bookmarkEnd w:id="141"/>
    </w:p>
    <w:p w14:paraId="754327B8" w14:textId="77777777" w:rsidR="000E59DF" w:rsidRPr="00E44C84" w:rsidRDefault="000E59DF" w:rsidP="000E59DF">
      <w:pPr>
        <w:tabs>
          <w:tab w:val="left" w:pos="6670"/>
        </w:tabs>
        <w:rPr>
          <w:rFonts w:ascii="Georgia" w:hAnsi="Georgia"/>
          <w:sz w:val="20"/>
          <w:szCs w:val="20"/>
          <w:lang w:val="lt-LT"/>
        </w:rPr>
      </w:pPr>
      <w:r w:rsidRPr="00E44C84">
        <w:rPr>
          <w:rFonts w:ascii="Georgia" w:hAnsi="Georgia"/>
          <w:sz w:val="20"/>
          <w:szCs w:val="20"/>
          <w:lang w:val="lt-LT"/>
        </w:rPr>
        <w:tab/>
      </w:r>
    </w:p>
    <w:p w14:paraId="2C57C611" w14:textId="39FAD9C9" w:rsidR="000E59DF" w:rsidRPr="00E44C84" w:rsidRDefault="000E59DF" w:rsidP="000E59DF">
      <w:pPr>
        <w:pStyle w:val="Antrat"/>
        <w:rPr>
          <w:szCs w:val="20"/>
          <w:lang w:val="lt-LT"/>
        </w:rPr>
      </w:pPr>
      <w:bookmarkStart w:id="142" w:name="_Toc460321638"/>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AA3082">
        <w:rPr>
          <w:noProof/>
          <w:lang w:val="lt-LT"/>
        </w:rPr>
        <w:t>57</w:t>
      </w:r>
      <w:r w:rsidRPr="00E44C84">
        <w:rPr>
          <w:lang w:val="lt-LT"/>
        </w:rPr>
        <w:fldChar w:fldCharType="end"/>
      </w:r>
      <w:r w:rsidRPr="00E44C84">
        <w:rPr>
          <w:lang w:val="lt-LT"/>
        </w:rPr>
        <w:t xml:space="preserve">. </w:t>
      </w:r>
      <w:r w:rsidRPr="00E44C84">
        <w:rPr>
          <w:szCs w:val="20"/>
          <w:lang w:val="lt-LT"/>
        </w:rPr>
        <w:t>Scenarijaus Nr. 2 prielaidos</w:t>
      </w:r>
      <w:bookmarkEnd w:id="142"/>
    </w:p>
    <w:tbl>
      <w:tblPr>
        <w:tblStyle w:val="viesussraas2parykinimas"/>
        <w:tblW w:w="5000" w:type="pct"/>
        <w:tblLook w:val="04A0" w:firstRow="1" w:lastRow="0" w:firstColumn="1" w:lastColumn="0" w:noHBand="0" w:noVBand="1"/>
      </w:tblPr>
      <w:tblGrid>
        <w:gridCol w:w="3164"/>
        <w:gridCol w:w="6078"/>
      </w:tblGrid>
      <w:tr w:rsidR="000E59DF" w:rsidRPr="00E44C84" w14:paraId="31B3AB50" w14:textId="77777777" w:rsidTr="000E59DF">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bottom w:val="single" w:sz="8" w:space="0" w:color="C0504D" w:themeColor="accent2"/>
            </w:tcBorders>
          </w:tcPr>
          <w:p w14:paraId="3E563658" w14:textId="77777777" w:rsidR="000E59DF" w:rsidRPr="00E44C84" w:rsidRDefault="000E59DF" w:rsidP="0005008F">
            <w:pPr>
              <w:jc w:val="center"/>
              <w:rPr>
                <w:rFonts w:ascii="Georgia" w:hAnsi="Georgia"/>
                <w:sz w:val="20"/>
                <w:szCs w:val="20"/>
              </w:rPr>
            </w:pPr>
            <w:r w:rsidRPr="00E44C84">
              <w:rPr>
                <w:rFonts w:ascii="Georgia" w:hAnsi="Georgia"/>
                <w:sz w:val="20"/>
                <w:szCs w:val="20"/>
              </w:rPr>
              <w:t>Prielaidos</w:t>
            </w:r>
          </w:p>
        </w:tc>
        <w:tc>
          <w:tcPr>
            <w:tcW w:w="3288" w:type="pct"/>
            <w:tcBorders>
              <w:bottom w:val="single" w:sz="8" w:space="0" w:color="C0504D" w:themeColor="accent2"/>
            </w:tcBorders>
          </w:tcPr>
          <w:p w14:paraId="0C6FA257" w14:textId="77777777" w:rsidR="000E59DF" w:rsidRPr="00E44C84" w:rsidRDefault="000E59DF" w:rsidP="0005008F">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Komentaras</w:t>
            </w:r>
          </w:p>
        </w:tc>
      </w:tr>
      <w:tr w:rsidR="000E59DF" w:rsidRPr="00E44C84" w14:paraId="19832DC3"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bottom w:val="single" w:sz="6" w:space="0" w:color="C0504D" w:themeColor="accent2"/>
              <w:right w:val="single" w:sz="6" w:space="0" w:color="C0504D" w:themeColor="accent2"/>
            </w:tcBorders>
          </w:tcPr>
          <w:p w14:paraId="54BFEF62" w14:textId="77777777" w:rsidR="000E59DF" w:rsidRPr="00E44C84" w:rsidRDefault="000E59DF" w:rsidP="000E59DF">
            <w:pPr>
              <w:rPr>
                <w:rFonts w:ascii="Georgia" w:hAnsi="Georgia"/>
                <w:b w:val="0"/>
                <w:sz w:val="20"/>
                <w:szCs w:val="20"/>
              </w:rPr>
            </w:pPr>
            <w:r w:rsidRPr="00E44C84">
              <w:rPr>
                <w:rFonts w:ascii="Georgia" w:hAnsi="Georgia"/>
                <w:sz w:val="20"/>
              </w:rPr>
              <w:t>Paskolos laikotarpis: iki 20 metų</w:t>
            </w:r>
          </w:p>
        </w:tc>
        <w:tc>
          <w:tcPr>
            <w:tcW w:w="3288" w:type="pct"/>
            <w:tcBorders>
              <w:left w:val="single" w:sz="6" w:space="0" w:color="C0504D" w:themeColor="accent2"/>
              <w:bottom w:val="single" w:sz="6" w:space="0" w:color="C0504D" w:themeColor="accent2"/>
            </w:tcBorders>
          </w:tcPr>
          <w:p w14:paraId="624F5BD7" w14:textId="77777777" w:rsidR="000E59DF" w:rsidRPr="00E44C84" w:rsidRDefault="000E59DF" w:rsidP="000E59DF">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rPr>
              <w:t>Maksimalus paskolos suteikimo terminas 20 metų.</w:t>
            </w:r>
          </w:p>
        </w:tc>
      </w:tr>
      <w:tr w:rsidR="000E59DF" w:rsidRPr="00E44C84" w14:paraId="7AE982FF"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587F3F78" w14:textId="77777777" w:rsidR="000E59DF" w:rsidRPr="00E44C84" w:rsidRDefault="000E59DF" w:rsidP="000E59DF">
            <w:pPr>
              <w:rPr>
                <w:rFonts w:ascii="Georgia" w:hAnsi="Georgia"/>
                <w:b w:val="0"/>
                <w:sz w:val="20"/>
                <w:szCs w:val="20"/>
              </w:rPr>
            </w:pPr>
            <w:r w:rsidRPr="00E44C84">
              <w:rPr>
                <w:rFonts w:ascii="Georgia" w:hAnsi="Georgia"/>
                <w:sz w:val="20"/>
                <w:szCs w:val="20"/>
              </w:rPr>
              <w:t>Subsidija: 15 %</w:t>
            </w:r>
          </w:p>
        </w:tc>
        <w:tc>
          <w:tcPr>
            <w:tcW w:w="3288" w:type="pct"/>
            <w:tcBorders>
              <w:top w:val="single" w:sz="6" w:space="0" w:color="C0504D" w:themeColor="accent2"/>
              <w:left w:val="single" w:sz="6" w:space="0" w:color="C0504D" w:themeColor="accent2"/>
              <w:bottom w:val="single" w:sz="6" w:space="0" w:color="C0504D" w:themeColor="accent2"/>
            </w:tcBorders>
          </w:tcPr>
          <w:p w14:paraId="24B2D030" w14:textId="77777777" w:rsidR="000E59DF" w:rsidRPr="00E44C84" w:rsidRDefault="000E59DF" w:rsidP="000E59DF">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rPr>
              <w:t>Projektams, pasiekusiems ne mažesnį kaip 40 proc. sutaupymą, suteikiama 15 % subsidija (papildoma valstybės parama) biudžeto lėšomis, (modeliuojant ši suma pervedama į fondą ir laikoma grįžtančiomis lėšomis).</w:t>
            </w:r>
          </w:p>
        </w:tc>
      </w:tr>
      <w:tr w:rsidR="000E59DF" w:rsidRPr="00E44C84" w14:paraId="6101FA1B"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6B536E5D" w14:textId="77777777" w:rsidR="000E59DF" w:rsidRPr="00E44C84" w:rsidRDefault="000E59DF" w:rsidP="000E59DF">
            <w:pPr>
              <w:rPr>
                <w:rFonts w:ascii="Georgia" w:hAnsi="Georgia"/>
                <w:b w:val="0"/>
                <w:sz w:val="20"/>
                <w:szCs w:val="20"/>
              </w:rPr>
            </w:pPr>
            <w:r>
              <w:rPr>
                <w:rFonts w:ascii="Georgia" w:hAnsi="Georgia"/>
                <w:sz w:val="20"/>
              </w:rPr>
              <w:t>Palūkanų kompensavimo mechanizmas</w:t>
            </w:r>
            <w:r w:rsidRPr="00E44C84">
              <w:rPr>
                <w:rFonts w:ascii="Georgia" w:hAnsi="Georgia"/>
                <w:sz w:val="20"/>
                <w:szCs w:val="20"/>
              </w:rPr>
              <w:t>: 0%</w:t>
            </w:r>
          </w:p>
        </w:tc>
        <w:tc>
          <w:tcPr>
            <w:tcW w:w="3288" w:type="pct"/>
            <w:tcBorders>
              <w:top w:val="single" w:sz="6" w:space="0" w:color="C0504D" w:themeColor="accent2"/>
              <w:left w:val="single" w:sz="6" w:space="0" w:color="C0504D" w:themeColor="accent2"/>
              <w:bottom w:val="single" w:sz="6" w:space="0" w:color="C0504D" w:themeColor="accent2"/>
            </w:tcBorders>
          </w:tcPr>
          <w:p w14:paraId="7ABDDE31" w14:textId="77777777" w:rsidR="000E59DF" w:rsidRPr="00E44C84" w:rsidRDefault="000E59DF" w:rsidP="000E59DF">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P</w:t>
            </w:r>
            <w:r w:rsidRPr="00E44C84">
              <w:rPr>
                <w:rFonts w:ascii="Georgia" w:hAnsi="Georgia"/>
                <w:sz w:val="20"/>
                <w:szCs w:val="20"/>
              </w:rPr>
              <w:t xml:space="preserve">alūkanų kompensavimo </w:t>
            </w:r>
            <w:r>
              <w:rPr>
                <w:rFonts w:ascii="Georgia" w:hAnsi="Georgia"/>
                <w:sz w:val="20"/>
                <w:szCs w:val="20"/>
              </w:rPr>
              <w:t>mechanizmas</w:t>
            </w:r>
            <w:r w:rsidRPr="00E44C84">
              <w:rPr>
                <w:rFonts w:ascii="Georgia" w:hAnsi="Georgia"/>
                <w:sz w:val="20"/>
                <w:szCs w:val="20"/>
              </w:rPr>
              <w:t xml:space="preserve"> naikinama</w:t>
            </w:r>
            <w:r>
              <w:rPr>
                <w:rFonts w:ascii="Georgia" w:hAnsi="Georgia"/>
                <w:sz w:val="20"/>
                <w:szCs w:val="20"/>
              </w:rPr>
              <w:t>s</w:t>
            </w:r>
            <w:r w:rsidRPr="00E44C84">
              <w:rPr>
                <w:rFonts w:ascii="Georgia" w:hAnsi="Georgia"/>
                <w:sz w:val="20"/>
                <w:szCs w:val="20"/>
              </w:rPr>
              <w:t xml:space="preserve">, tuo pat metu mažinant fiksuotų palūkanų normą </w:t>
            </w:r>
          </w:p>
        </w:tc>
      </w:tr>
      <w:tr w:rsidR="000E59DF" w:rsidRPr="00E44C84" w14:paraId="734118F7"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23E4C4D6" w14:textId="77777777" w:rsidR="000E59DF" w:rsidRPr="00E44C84" w:rsidRDefault="000E59DF" w:rsidP="000E59DF">
            <w:pPr>
              <w:rPr>
                <w:rFonts w:ascii="Georgia" w:hAnsi="Georgia"/>
                <w:b w:val="0"/>
                <w:sz w:val="20"/>
                <w:szCs w:val="20"/>
              </w:rPr>
            </w:pPr>
            <w:r w:rsidRPr="00E44C84">
              <w:rPr>
                <w:rFonts w:ascii="Georgia" w:hAnsi="Georgia"/>
                <w:sz w:val="20"/>
                <w:szCs w:val="20"/>
              </w:rPr>
              <w:t>Išankstinis paskolos grąžinimas: 10% praėjus dvejiems metams po projekto įgyvendinimo</w:t>
            </w:r>
          </w:p>
        </w:tc>
        <w:tc>
          <w:tcPr>
            <w:tcW w:w="3288" w:type="pct"/>
            <w:tcBorders>
              <w:top w:val="single" w:sz="6" w:space="0" w:color="C0504D" w:themeColor="accent2"/>
              <w:left w:val="single" w:sz="6" w:space="0" w:color="C0504D" w:themeColor="accent2"/>
              <w:bottom w:val="single" w:sz="6" w:space="0" w:color="C0504D" w:themeColor="accent2"/>
            </w:tcBorders>
          </w:tcPr>
          <w:p w14:paraId="1A601638"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Prielaida, kad anksčiau laiko grįžtančios paskolos praėjus dvejiems metams po projekto įgyvendinimo sudarys 10 % paskolų portfelio, nustatyta remiantis ekspertų ir komercinių bankų vertinimu.</w:t>
            </w:r>
          </w:p>
        </w:tc>
      </w:tr>
      <w:tr w:rsidR="000E59DF" w:rsidRPr="00E44C84" w14:paraId="4E19E138"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2367A588" w14:textId="77777777" w:rsidR="000E59DF" w:rsidRPr="00E44C84" w:rsidRDefault="000E59DF" w:rsidP="000E59DF">
            <w:pPr>
              <w:rPr>
                <w:rFonts w:ascii="Georgia" w:hAnsi="Georgia"/>
                <w:b w:val="0"/>
                <w:sz w:val="20"/>
                <w:szCs w:val="20"/>
              </w:rPr>
            </w:pPr>
            <w:r w:rsidRPr="00E44C84">
              <w:rPr>
                <w:rFonts w:ascii="Georgia" w:hAnsi="Georgia"/>
                <w:sz w:val="20"/>
                <w:szCs w:val="20"/>
              </w:rPr>
              <w:t>Blogų paskolų dalis: 5 %</w:t>
            </w:r>
          </w:p>
        </w:tc>
        <w:tc>
          <w:tcPr>
            <w:tcW w:w="3288" w:type="pct"/>
            <w:tcBorders>
              <w:top w:val="single" w:sz="6" w:space="0" w:color="C0504D" w:themeColor="accent2"/>
              <w:left w:val="single" w:sz="6" w:space="0" w:color="C0504D" w:themeColor="accent2"/>
              <w:bottom w:val="single" w:sz="6" w:space="0" w:color="C0504D" w:themeColor="accent2"/>
            </w:tcBorders>
          </w:tcPr>
          <w:p w14:paraId="5A46182A"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Blogų paskolų dalis buvo nustatyta remiantis ekspertų ir komercinių bankų vertinimu.</w:t>
            </w:r>
          </w:p>
        </w:tc>
      </w:tr>
      <w:tr w:rsidR="000E59DF" w:rsidRPr="00E44C84" w14:paraId="3F952467"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51E1F2A4" w14:textId="77777777" w:rsidR="000E59DF" w:rsidRPr="00E44C84" w:rsidRDefault="000E59DF" w:rsidP="000E59DF">
            <w:pPr>
              <w:rPr>
                <w:rFonts w:ascii="Georgia" w:hAnsi="Georgia"/>
                <w:b w:val="0"/>
                <w:sz w:val="20"/>
                <w:szCs w:val="20"/>
              </w:rPr>
            </w:pPr>
            <w:r w:rsidRPr="00E44C84">
              <w:rPr>
                <w:rFonts w:ascii="Georgia" w:hAnsi="Georgia"/>
                <w:sz w:val="20"/>
                <w:szCs w:val="20"/>
              </w:rPr>
              <w:t xml:space="preserve">Tipinio pastato projekto investicijų vertė: </w:t>
            </w:r>
          </w:p>
          <w:p w14:paraId="64265A7D" w14:textId="77777777" w:rsidR="000E59DF" w:rsidRPr="00E44C84" w:rsidRDefault="000E59DF" w:rsidP="000E59DF">
            <w:pPr>
              <w:rPr>
                <w:rFonts w:ascii="Georgia" w:hAnsi="Georgia"/>
                <w:b w:val="0"/>
                <w:sz w:val="20"/>
                <w:szCs w:val="20"/>
              </w:rPr>
            </w:pPr>
            <w:r w:rsidRPr="00E44C84">
              <w:rPr>
                <w:rFonts w:ascii="Georgia" w:hAnsi="Georgia"/>
                <w:sz w:val="20"/>
                <w:szCs w:val="20"/>
              </w:rPr>
              <w:t xml:space="preserve">186.000 </w:t>
            </w:r>
            <w:r w:rsidRPr="00E44C84">
              <w:rPr>
                <w:rFonts w:ascii="Georgia" w:hAnsi="Georgia"/>
                <w:sz w:val="20"/>
              </w:rPr>
              <w:t>eurų</w:t>
            </w:r>
          </w:p>
        </w:tc>
        <w:tc>
          <w:tcPr>
            <w:tcW w:w="3288" w:type="pct"/>
            <w:tcBorders>
              <w:top w:val="single" w:sz="6" w:space="0" w:color="C0504D" w:themeColor="accent2"/>
              <w:left w:val="single" w:sz="6" w:space="0" w:color="C0504D" w:themeColor="accent2"/>
              <w:bottom w:val="single" w:sz="6" w:space="0" w:color="C0504D" w:themeColor="accent2"/>
            </w:tcBorders>
          </w:tcPr>
          <w:p w14:paraId="2E6A503E"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Vidutinė tipinio daugiabučio renovacijos kaina buvo nustatyta remiantis vidutinio daugiabučio plotu (paskaičiuota remiantis registrų centro duomenimis). Vidutinė statybos darbų kaina nustatyta pagal BETA pateiktus duomenis.</w:t>
            </w:r>
          </w:p>
        </w:tc>
      </w:tr>
      <w:tr w:rsidR="000E59DF" w:rsidRPr="00E44C84" w14:paraId="6B282E3A"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57A26101" w14:textId="77777777" w:rsidR="000E59DF" w:rsidRPr="00E44C84" w:rsidRDefault="000E59DF" w:rsidP="000E59DF">
            <w:pPr>
              <w:rPr>
                <w:rFonts w:ascii="Georgia" w:hAnsi="Georgia"/>
                <w:b w:val="0"/>
                <w:sz w:val="20"/>
                <w:szCs w:val="20"/>
              </w:rPr>
            </w:pPr>
            <w:r w:rsidRPr="00E44C84">
              <w:rPr>
                <w:rFonts w:ascii="Georgia" w:hAnsi="Georgia"/>
                <w:sz w:val="20"/>
                <w:szCs w:val="20"/>
              </w:rPr>
              <w:t>Palūkanų norma: 1%</w:t>
            </w:r>
          </w:p>
        </w:tc>
        <w:tc>
          <w:tcPr>
            <w:tcW w:w="3288" w:type="pct"/>
            <w:tcBorders>
              <w:top w:val="single" w:sz="6" w:space="0" w:color="C0504D" w:themeColor="accent2"/>
              <w:left w:val="single" w:sz="6" w:space="0" w:color="C0504D" w:themeColor="accent2"/>
              <w:bottom w:val="single" w:sz="6" w:space="0" w:color="C0504D" w:themeColor="accent2"/>
            </w:tcBorders>
          </w:tcPr>
          <w:p w14:paraId="0B703830" w14:textId="77777777" w:rsidR="000E59DF" w:rsidRPr="00E44C84" w:rsidRDefault="000E59DF" w:rsidP="000E59DF">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Fiksuotos 1  %</w:t>
            </w:r>
          </w:p>
        </w:tc>
      </w:tr>
      <w:tr w:rsidR="000E59DF" w:rsidRPr="00E44C84" w14:paraId="04039440"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7F824806" w14:textId="77777777" w:rsidR="000E59DF" w:rsidRPr="00E44C84" w:rsidRDefault="000E59DF" w:rsidP="000E59DF">
            <w:pPr>
              <w:rPr>
                <w:rFonts w:ascii="Georgia" w:hAnsi="Georgia"/>
                <w:b w:val="0"/>
                <w:sz w:val="20"/>
                <w:szCs w:val="20"/>
              </w:rPr>
            </w:pPr>
            <w:r w:rsidRPr="00E44C84">
              <w:rPr>
                <w:rFonts w:ascii="Georgia" w:hAnsi="Georgia"/>
                <w:sz w:val="20"/>
                <w:szCs w:val="20"/>
              </w:rPr>
              <w:t xml:space="preserve">Investuojamų ESI fondų lėšų suma: </w:t>
            </w:r>
            <w:r>
              <w:rPr>
                <w:rFonts w:ascii="Georgia" w:hAnsi="Georgia"/>
                <w:sz w:val="20"/>
                <w:szCs w:val="20"/>
              </w:rPr>
              <w:t>280,9</w:t>
            </w:r>
            <w:r w:rsidRPr="00E44C84">
              <w:rPr>
                <w:rFonts w:ascii="Georgia" w:hAnsi="Georgia"/>
                <w:sz w:val="20"/>
                <w:szCs w:val="20"/>
              </w:rPr>
              <w:t xml:space="preserve"> mln. </w:t>
            </w:r>
            <w:r w:rsidRPr="00E44C84">
              <w:rPr>
                <w:rFonts w:ascii="Georgia" w:hAnsi="Georgia"/>
                <w:sz w:val="20"/>
              </w:rPr>
              <w:t>eurų</w:t>
            </w:r>
          </w:p>
        </w:tc>
        <w:tc>
          <w:tcPr>
            <w:tcW w:w="3288" w:type="pct"/>
            <w:tcBorders>
              <w:top w:val="single" w:sz="6" w:space="0" w:color="C0504D" w:themeColor="accent2"/>
              <w:left w:val="single" w:sz="6" w:space="0" w:color="C0504D" w:themeColor="accent2"/>
              <w:bottom w:val="single" w:sz="6" w:space="0" w:color="C0504D" w:themeColor="accent2"/>
            </w:tcBorders>
          </w:tcPr>
          <w:p w14:paraId="4412102E"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Pr>
                <w:rFonts w:ascii="Georgia" w:hAnsi="Georgia"/>
                <w:sz w:val="20"/>
              </w:rPr>
              <w:t>280,9</w:t>
            </w:r>
            <w:r w:rsidRPr="00E44C84">
              <w:rPr>
                <w:rFonts w:ascii="Georgia" w:hAnsi="Georgia"/>
                <w:sz w:val="20"/>
              </w:rPr>
              <w:t xml:space="preserve"> mln. eurų 2014-2020 m. ESI fondų lėšų skiriama daugiabučių renovacijos paskolų priemonei</w:t>
            </w:r>
          </w:p>
        </w:tc>
      </w:tr>
      <w:tr w:rsidR="000E59DF" w:rsidRPr="00E44C84" w14:paraId="467BFBC4"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185AFF12" w14:textId="77777777" w:rsidR="000E59DF" w:rsidRPr="00E44C84" w:rsidRDefault="000E59DF" w:rsidP="000E59DF">
            <w:pPr>
              <w:rPr>
                <w:rFonts w:ascii="Georgia" w:hAnsi="Georgia"/>
                <w:b w:val="0"/>
                <w:sz w:val="20"/>
                <w:szCs w:val="20"/>
              </w:rPr>
            </w:pPr>
            <w:r w:rsidRPr="00E44C84">
              <w:rPr>
                <w:rFonts w:ascii="Georgia" w:hAnsi="Georgia"/>
                <w:sz w:val="20"/>
              </w:rPr>
              <w:t>JESSICA KF grįžtančios lėšos: 67,2 mln. eurų</w:t>
            </w:r>
            <w:r w:rsidRPr="00E44C84" w:rsidDel="00FC729C">
              <w:rPr>
                <w:rFonts w:ascii="Georgia" w:hAnsi="Georgia"/>
                <w:sz w:val="20"/>
                <w:szCs w:val="20"/>
              </w:rPr>
              <w:t xml:space="preserve"> </w:t>
            </w:r>
          </w:p>
        </w:tc>
        <w:tc>
          <w:tcPr>
            <w:tcW w:w="3288" w:type="pct"/>
            <w:tcBorders>
              <w:top w:val="single" w:sz="6" w:space="0" w:color="C0504D" w:themeColor="accent2"/>
              <w:left w:val="single" w:sz="6" w:space="0" w:color="C0504D" w:themeColor="accent2"/>
              <w:bottom w:val="single" w:sz="6" w:space="0" w:color="C0504D" w:themeColor="accent2"/>
            </w:tcBorders>
          </w:tcPr>
          <w:p w14:paraId="75F80245"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2007-2013 m. JESSICA KF grįžtančios lėšos (iki 2020 metų) sudaro apie 67,2 mln. eurų.</w:t>
            </w:r>
          </w:p>
        </w:tc>
      </w:tr>
      <w:tr w:rsidR="000E59DF" w:rsidRPr="00E44C84" w14:paraId="69688FC0"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1D765ADB" w14:textId="77777777" w:rsidR="000E59DF" w:rsidRPr="00E44C84" w:rsidRDefault="000E59DF" w:rsidP="000E59DF">
            <w:pPr>
              <w:jc w:val="both"/>
              <w:rPr>
                <w:rFonts w:ascii="Georgia" w:hAnsi="Georgia"/>
                <w:sz w:val="20"/>
              </w:rPr>
            </w:pPr>
            <w:r w:rsidRPr="00E44C84">
              <w:rPr>
                <w:rFonts w:ascii="Georgia" w:hAnsi="Georgia"/>
                <w:sz w:val="20"/>
              </w:rPr>
              <w:t>Siektinas įgyvendinamų projektų skaičius: 400 projektų per metus</w:t>
            </w:r>
          </w:p>
        </w:tc>
        <w:tc>
          <w:tcPr>
            <w:tcW w:w="3288" w:type="pct"/>
            <w:tcBorders>
              <w:top w:val="single" w:sz="6" w:space="0" w:color="C0504D" w:themeColor="accent2"/>
              <w:left w:val="single" w:sz="6" w:space="0" w:color="C0504D" w:themeColor="accent2"/>
              <w:bottom w:val="single" w:sz="6" w:space="0" w:color="C0504D" w:themeColor="accent2"/>
            </w:tcBorders>
          </w:tcPr>
          <w:p w14:paraId="6088566D"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Vertinant projektų kiekį, buvo paskaičiuota kiek projektų galima atlikti turimomis fondo lėšomis (pagal šį scenarijų) per 2014-2020 programavimo laikotarpį ir projektai proporcingai išdėstyti iki 2020 metų. Vertinama, kad šio scenarijaus atveju, per metus bus įgyvendinama 400 naujų projektų.</w:t>
            </w:r>
          </w:p>
        </w:tc>
      </w:tr>
      <w:tr w:rsidR="000E59DF" w:rsidRPr="00E44C84" w14:paraId="548E5BBB"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6B5FB820" w14:textId="77777777" w:rsidR="000E59DF" w:rsidRPr="00E44C84" w:rsidRDefault="000E59DF" w:rsidP="000E59DF">
            <w:pPr>
              <w:rPr>
                <w:rFonts w:ascii="Georgia" w:hAnsi="Georgia"/>
                <w:sz w:val="20"/>
                <w:szCs w:val="20"/>
              </w:rPr>
            </w:pPr>
            <w:r w:rsidRPr="00E44C84">
              <w:rPr>
                <w:rFonts w:ascii="Georgia" w:hAnsi="Georgia"/>
                <w:sz w:val="20"/>
              </w:rPr>
              <w:lastRenderedPageBreak/>
              <w:t>Valdymo mokestis: remiantis Deleguoto reglamento nuostatomis</w:t>
            </w:r>
          </w:p>
        </w:tc>
        <w:tc>
          <w:tcPr>
            <w:tcW w:w="3288" w:type="pct"/>
            <w:tcBorders>
              <w:top w:val="single" w:sz="6" w:space="0" w:color="C0504D" w:themeColor="accent2"/>
              <w:left w:val="single" w:sz="6" w:space="0" w:color="C0504D" w:themeColor="accent2"/>
              <w:bottom w:val="single" w:sz="6" w:space="0" w:color="C0504D" w:themeColor="accent2"/>
            </w:tcBorders>
          </w:tcPr>
          <w:p w14:paraId="52279BBC"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Vadovaujantis Deleguoto reglamento nuostatomis, valdymo mokestis susideda iš dviejų dalių: 0,5 proc. bazinis mokestis nuo finansinei priemonei skirtų ir įmokėtų lėšų, 1 proc. mokestis nuo paskolų, suteiktų galutiniams naudos gavėjams, sumos.</w:t>
            </w:r>
          </w:p>
        </w:tc>
      </w:tr>
      <w:tr w:rsidR="000E59DF" w:rsidRPr="00E44C84" w14:paraId="218CCF34"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7461E601" w14:textId="77777777" w:rsidR="000E59DF" w:rsidRPr="00E44C84" w:rsidRDefault="000E59DF" w:rsidP="000E59DF">
            <w:pPr>
              <w:rPr>
                <w:rFonts w:ascii="Georgia" w:hAnsi="Georgia"/>
                <w:b w:val="0"/>
                <w:sz w:val="20"/>
                <w:szCs w:val="20"/>
              </w:rPr>
            </w:pPr>
            <w:r w:rsidRPr="00E44C84">
              <w:rPr>
                <w:rFonts w:ascii="Georgia" w:hAnsi="Georgia"/>
                <w:sz w:val="20"/>
              </w:rPr>
              <w:t>Lėšų išmokėjimo laikotarpis: 1 metai nuo paskolos sutarties pasirašymo dienos</w:t>
            </w:r>
          </w:p>
        </w:tc>
        <w:tc>
          <w:tcPr>
            <w:tcW w:w="3288" w:type="pct"/>
            <w:tcBorders>
              <w:top w:val="single" w:sz="6" w:space="0" w:color="C0504D" w:themeColor="accent2"/>
              <w:left w:val="single" w:sz="6" w:space="0" w:color="C0504D" w:themeColor="accent2"/>
              <w:bottom w:val="single" w:sz="6" w:space="0" w:color="C0504D" w:themeColor="accent2"/>
            </w:tcBorders>
          </w:tcPr>
          <w:p w14:paraId="6AC1A2BB"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Remiantis šiuo metu įgyvendinamų projektų duomenimis nustatyta vidutinė projekto įgyvendinimo trukmė – 1 metai nuo paskolos sutarties pasirašymo dienos.</w:t>
            </w:r>
          </w:p>
        </w:tc>
      </w:tr>
      <w:tr w:rsidR="000E59DF" w:rsidRPr="00E44C84" w14:paraId="04832676"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right w:val="single" w:sz="6" w:space="0" w:color="C0504D" w:themeColor="accent2"/>
            </w:tcBorders>
          </w:tcPr>
          <w:p w14:paraId="31F5CD9E" w14:textId="77777777" w:rsidR="000E59DF" w:rsidRPr="00E44C84" w:rsidRDefault="000E59DF" w:rsidP="000E59DF">
            <w:pPr>
              <w:rPr>
                <w:rFonts w:ascii="Georgia" w:hAnsi="Georgia"/>
                <w:b w:val="0"/>
                <w:sz w:val="20"/>
                <w:szCs w:val="20"/>
              </w:rPr>
            </w:pPr>
            <w:r w:rsidRPr="00E44C84">
              <w:rPr>
                <w:rFonts w:ascii="Georgia" w:hAnsi="Georgia"/>
                <w:sz w:val="20"/>
              </w:rPr>
              <w:t xml:space="preserve">Sugrįžusios lėšos pakartotinai panaudojamos: po 2 metų </w:t>
            </w:r>
          </w:p>
        </w:tc>
        <w:tc>
          <w:tcPr>
            <w:tcW w:w="3288" w:type="pct"/>
            <w:tcBorders>
              <w:top w:val="single" w:sz="6" w:space="0" w:color="C0504D" w:themeColor="accent2"/>
              <w:left w:val="single" w:sz="6" w:space="0" w:color="C0504D" w:themeColor="accent2"/>
            </w:tcBorders>
          </w:tcPr>
          <w:p w14:paraId="3DDDE411"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 xml:space="preserve">Daroma prielaida, jog grįžtančios lėšos pakartotinai panaudojamos projektų finansavimui tomis pačiomis sąlygomis po 2 metų. </w:t>
            </w:r>
          </w:p>
        </w:tc>
      </w:tr>
    </w:tbl>
    <w:p w14:paraId="36673EE1" w14:textId="77777777" w:rsidR="000E59DF" w:rsidRPr="00E44C84" w:rsidRDefault="000E59DF" w:rsidP="000E59DF">
      <w:pPr>
        <w:rPr>
          <w:rFonts w:ascii="Georgia" w:hAnsi="Georgia"/>
          <w:sz w:val="20"/>
          <w:szCs w:val="20"/>
          <w:lang w:val="lt-LT"/>
        </w:rPr>
      </w:pPr>
    </w:p>
    <w:p w14:paraId="31E4188D" w14:textId="6E7BB28E" w:rsidR="000E59DF" w:rsidRPr="00E44C84" w:rsidRDefault="000E59DF" w:rsidP="000E59DF">
      <w:pPr>
        <w:pStyle w:val="Antrat"/>
        <w:jc w:val="both"/>
        <w:rPr>
          <w:lang w:val="lt-LT"/>
        </w:rPr>
      </w:pPr>
      <w:bookmarkStart w:id="143" w:name="_Toc460321639"/>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AA3082">
        <w:rPr>
          <w:noProof/>
          <w:lang w:val="lt-LT"/>
        </w:rPr>
        <w:t>58</w:t>
      </w:r>
      <w:r w:rsidRPr="00E44C84">
        <w:rPr>
          <w:lang w:val="lt-LT"/>
        </w:rPr>
        <w:fldChar w:fldCharType="end"/>
      </w:r>
      <w:r w:rsidRPr="00E44C84">
        <w:rPr>
          <w:lang w:val="lt-LT"/>
        </w:rPr>
        <w:t>. Scenarijaus Nr. 2 įgyvendinimo prognozė</w:t>
      </w:r>
      <w:bookmarkEnd w:id="143"/>
    </w:p>
    <w:p w14:paraId="168EB8C2" w14:textId="77777777" w:rsidR="000E59DF" w:rsidRPr="00E44C84" w:rsidRDefault="000E59DF" w:rsidP="000E59DF">
      <w:pPr>
        <w:pStyle w:val="Antrat"/>
        <w:rPr>
          <w:lang w:val="lt-LT"/>
        </w:rPr>
      </w:pPr>
      <w:r>
        <w:rPr>
          <w:noProof/>
          <w:lang w:val="lt-LT" w:eastAsia="lt-LT"/>
        </w:rPr>
        <w:drawing>
          <wp:inline distT="0" distB="0" distL="0" distR="0" wp14:anchorId="6F019F5B" wp14:editId="2C4B5661">
            <wp:extent cx="6114415" cy="2423160"/>
            <wp:effectExtent l="0" t="0" r="635" b="0"/>
            <wp:docPr id="46"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6114415" cy="2423160"/>
                    </a:xfrm>
                    <a:prstGeom prst="rect">
                      <a:avLst/>
                    </a:prstGeom>
                    <a:noFill/>
                    <a:ln>
                      <a:noFill/>
                    </a:ln>
                  </pic:spPr>
                </pic:pic>
              </a:graphicData>
            </a:graphic>
          </wp:inline>
        </w:drawing>
      </w:r>
    </w:p>
    <w:p w14:paraId="7C52B4A7" w14:textId="2FE4340F" w:rsidR="000E59DF" w:rsidRPr="00E44C84" w:rsidRDefault="000E59DF" w:rsidP="000E59DF">
      <w:pPr>
        <w:pStyle w:val="Antrat"/>
        <w:rPr>
          <w:szCs w:val="20"/>
          <w:lang w:val="lt-LT"/>
        </w:rPr>
      </w:pPr>
      <w:bookmarkStart w:id="144" w:name="_Toc460321640"/>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AA3082">
        <w:rPr>
          <w:noProof/>
          <w:lang w:val="lt-LT"/>
        </w:rPr>
        <w:t>59</w:t>
      </w:r>
      <w:r w:rsidRPr="00E44C84">
        <w:rPr>
          <w:lang w:val="lt-LT"/>
        </w:rPr>
        <w:fldChar w:fldCharType="end"/>
      </w:r>
      <w:r w:rsidRPr="00E44C84">
        <w:rPr>
          <w:lang w:val="lt-LT"/>
        </w:rPr>
        <w:t xml:space="preserve">. </w:t>
      </w:r>
      <w:r w:rsidRPr="00E44C84">
        <w:rPr>
          <w:szCs w:val="20"/>
          <w:lang w:val="lt-LT"/>
        </w:rPr>
        <w:t>Scenarijaus Nr. 2 rezultatai</w:t>
      </w:r>
      <w:bookmarkEnd w:id="144"/>
    </w:p>
    <w:tbl>
      <w:tblPr>
        <w:tblStyle w:val="viesussraas2parykinimas"/>
        <w:tblW w:w="5000" w:type="pct"/>
        <w:tblLook w:val="04A0" w:firstRow="1" w:lastRow="0" w:firstColumn="1" w:lastColumn="0" w:noHBand="0" w:noVBand="1"/>
      </w:tblPr>
      <w:tblGrid>
        <w:gridCol w:w="6651"/>
        <w:gridCol w:w="2591"/>
      </w:tblGrid>
      <w:tr w:rsidR="000E59DF" w:rsidRPr="00E44C84" w14:paraId="56A2BEAC" w14:textId="77777777" w:rsidTr="000E59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98" w:type="pct"/>
          </w:tcPr>
          <w:p w14:paraId="0BE96421" w14:textId="77777777" w:rsidR="000E59DF" w:rsidRPr="00E44C84" w:rsidRDefault="000E59DF" w:rsidP="000E59DF">
            <w:pPr>
              <w:jc w:val="center"/>
              <w:rPr>
                <w:rFonts w:ascii="Georgia" w:hAnsi="Georgia"/>
                <w:sz w:val="20"/>
                <w:szCs w:val="20"/>
              </w:rPr>
            </w:pPr>
            <w:r w:rsidRPr="00E44C84">
              <w:rPr>
                <w:rFonts w:ascii="Georgia" w:hAnsi="Georgia"/>
                <w:sz w:val="20"/>
                <w:szCs w:val="20"/>
              </w:rPr>
              <w:t>Fondas</w:t>
            </w:r>
          </w:p>
        </w:tc>
        <w:tc>
          <w:tcPr>
            <w:tcW w:w="1402" w:type="pct"/>
          </w:tcPr>
          <w:p w14:paraId="13B30A67" w14:textId="77777777" w:rsidR="000E59DF" w:rsidRPr="00E44C84" w:rsidRDefault="000E59DF" w:rsidP="000E59DF">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 xml:space="preserve">mln. </w:t>
            </w:r>
            <w:r w:rsidRPr="00E44C84">
              <w:rPr>
                <w:rFonts w:ascii="Georgia" w:hAnsi="Georgia"/>
                <w:sz w:val="20"/>
              </w:rPr>
              <w:t>eurų</w:t>
            </w:r>
          </w:p>
        </w:tc>
      </w:tr>
      <w:tr w:rsidR="000E59DF" w:rsidRPr="00E44C84" w14:paraId="242EFB3F" w14:textId="77777777" w:rsidTr="000E5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3C79C199" w14:textId="77777777" w:rsidR="000E59DF" w:rsidRPr="00E44C84" w:rsidRDefault="000E59DF" w:rsidP="000E59DF">
            <w:pPr>
              <w:rPr>
                <w:rFonts w:ascii="Georgia" w:hAnsi="Georgia"/>
                <w:sz w:val="20"/>
                <w:szCs w:val="20"/>
              </w:rPr>
            </w:pPr>
            <w:r w:rsidRPr="00E44C84">
              <w:rPr>
                <w:rFonts w:ascii="Georgia" w:hAnsi="Georgia"/>
                <w:sz w:val="20"/>
                <w:szCs w:val="20"/>
              </w:rPr>
              <w:t>Galutinius naudos gavėjus pasiekusios lėšos</w:t>
            </w:r>
          </w:p>
        </w:tc>
        <w:tc>
          <w:tcPr>
            <w:tcW w:w="1402" w:type="pct"/>
          </w:tcPr>
          <w:p w14:paraId="2604E0C0" w14:textId="77777777" w:rsidR="000E59DF" w:rsidRPr="00E44C84" w:rsidRDefault="000E59DF" w:rsidP="000E59DF">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411,4</w:t>
            </w:r>
          </w:p>
        </w:tc>
      </w:tr>
      <w:tr w:rsidR="000E59DF" w:rsidRPr="00E44C84" w14:paraId="40F105CA" w14:textId="77777777" w:rsidTr="000E59DF">
        <w:tc>
          <w:tcPr>
            <w:cnfStyle w:val="001000000000" w:firstRow="0" w:lastRow="0" w:firstColumn="1" w:lastColumn="0" w:oddVBand="0" w:evenVBand="0" w:oddHBand="0" w:evenHBand="0" w:firstRowFirstColumn="0" w:firstRowLastColumn="0" w:lastRowFirstColumn="0" w:lastRowLastColumn="0"/>
            <w:tcW w:w="3598" w:type="pct"/>
          </w:tcPr>
          <w:p w14:paraId="39695D07" w14:textId="77777777" w:rsidR="000E59DF" w:rsidRPr="00E44C84" w:rsidRDefault="000E59DF" w:rsidP="000E59DF">
            <w:pPr>
              <w:rPr>
                <w:rFonts w:ascii="Georgia" w:hAnsi="Georgia"/>
                <w:b w:val="0"/>
                <w:sz w:val="20"/>
                <w:szCs w:val="20"/>
              </w:rPr>
            </w:pPr>
            <w:r w:rsidRPr="00E44C84">
              <w:rPr>
                <w:rFonts w:ascii="Georgia" w:hAnsi="Georgia"/>
                <w:sz w:val="20"/>
                <w:szCs w:val="20"/>
              </w:rPr>
              <w:t>Į fondą grįžusios paskolos lėšos iki 2019 metų (įskaitant subsidijas bei iš JESSICA KF grįžtančias lėšas)</w:t>
            </w:r>
          </w:p>
        </w:tc>
        <w:tc>
          <w:tcPr>
            <w:tcW w:w="1402" w:type="pct"/>
          </w:tcPr>
          <w:p w14:paraId="1A22B7C7" w14:textId="77777777" w:rsidR="000E59DF" w:rsidRPr="00E44C84" w:rsidRDefault="000E59DF" w:rsidP="000E59DF">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7379E">
              <w:rPr>
                <w:rFonts w:ascii="Georgia" w:hAnsi="Georgia"/>
                <w:sz w:val="20"/>
                <w:szCs w:val="20"/>
              </w:rPr>
              <w:t>145,3</w:t>
            </w:r>
          </w:p>
        </w:tc>
      </w:tr>
      <w:tr w:rsidR="000E59DF" w:rsidRPr="00E44C84" w14:paraId="1ED42509" w14:textId="77777777" w:rsidTr="000E5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7977EE92" w14:textId="77777777" w:rsidR="000E59DF" w:rsidRPr="00E44C84" w:rsidRDefault="000E59DF" w:rsidP="000E59DF">
            <w:pPr>
              <w:rPr>
                <w:rFonts w:ascii="Georgia" w:hAnsi="Georgia"/>
                <w:sz w:val="20"/>
                <w:szCs w:val="20"/>
              </w:rPr>
            </w:pPr>
            <w:r w:rsidRPr="00E44C84">
              <w:rPr>
                <w:rFonts w:ascii="Georgia" w:hAnsi="Georgia"/>
                <w:sz w:val="20"/>
                <w:szCs w:val="20"/>
              </w:rPr>
              <w:t>Renovuotų pastatų skaičius</w:t>
            </w:r>
          </w:p>
        </w:tc>
        <w:tc>
          <w:tcPr>
            <w:tcW w:w="1402" w:type="pct"/>
          </w:tcPr>
          <w:p w14:paraId="09084F3A" w14:textId="77777777" w:rsidR="000E59DF" w:rsidRPr="00E44C84" w:rsidRDefault="000E59DF" w:rsidP="000E59DF">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2212</w:t>
            </w:r>
          </w:p>
        </w:tc>
      </w:tr>
    </w:tbl>
    <w:p w14:paraId="4B9D9041" w14:textId="77777777" w:rsidR="000E59DF" w:rsidRPr="00E44C84" w:rsidRDefault="000E59DF" w:rsidP="000E59DF">
      <w:pPr>
        <w:jc w:val="both"/>
        <w:rPr>
          <w:rFonts w:ascii="Georgia" w:hAnsi="Georgia"/>
          <w:sz w:val="20"/>
          <w:szCs w:val="20"/>
          <w:lang w:val="lt-LT"/>
        </w:rPr>
      </w:pPr>
    </w:p>
    <w:p w14:paraId="76B3DA1D" w14:textId="77777777" w:rsidR="000E59DF" w:rsidRPr="00E44C84" w:rsidRDefault="000E59DF" w:rsidP="000E59DF">
      <w:pPr>
        <w:jc w:val="both"/>
        <w:rPr>
          <w:rFonts w:ascii="Georgia" w:hAnsi="Georgia"/>
          <w:i/>
          <w:sz w:val="20"/>
          <w:lang w:val="lt-LT"/>
        </w:rPr>
      </w:pPr>
      <w:r w:rsidRPr="00E44C84">
        <w:rPr>
          <w:rFonts w:ascii="Georgia" w:hAnsi="Georgia"/>
          <w:i/>
          <w:sz w:val="20"/>
          <w:lang w:val="lt-LT"/>
        </w:rPr>
        <w:t>Scenarijaus Nr. 1 ir Nr. 2 palyginimo išvados.</w:t>
      </w:r>
    </w:p>
    <w:p w14:paraId="6CC375D4" w14:textId="77777777" w:rsidR="000E59DF" w:rsidRPr="00E44C84" w:rsidRDefault="000E59DF" w:rsidP="000E59DF">
      <w:pPr>
        <w:jc w:val="both"/>
        <w:rPr>
          <w:rFonts w:ascii="Georgia" w:hAnsi="Georgia"/>
          <w:sz w:val="20"/>
          <w:szCs w:val="20"/>
          <w:lang w:val="lt-LT"/>
        </w:rPr>
      </w:pPr>
      <w:r w:rsidRPr="00E44C84">
        <w:rPr>
          <w:rFonts w:ascii="Georgia" w:hAnsi="Georgia"/>
          <w:sz w:val="20"/>
          <w:lang w:val="lt-LT"/>
        </w:rPr>
        <w:t xml:space="preserve">Lyginant 1-ojo ir 2-ojo scenarijų įvertintus rezultatus, matyti, jog šių alternatyvų kiekybiniai rezultatai yra labai panašūs. Vis dėlto pažymėtina, jog šiuo metu egzistuojantį modelį (1-asis scenarijus) keičiant į 2-ąjį scenarijų tikėtinas </w:t>
      </w:r>
      <w:r w:rsidRPr="00E44C84">
        <w:rPr>
          <w:rFonts w:ascii="Georgia" w:hAnsi="Georgia"/>
          <w:sz w:val="20"/>
          <w:szCs w:val="20"/>
          <w:lang w:val="lt-LT"/>
        </w:rPr>
        <w:t>galutinių naudos gavėjų suinteresuotumo sumažėjimas. Pirmiausia dėl psichologinio efekto, kuris grindžiamas tuo, jog gyventojams yra priimtiniau gauti kompensaciją iš karto, negu mokėti šiek tiek mažesnes įmokas visos paskolos laikotarpiu. Antra, susiformavusi</w:t>
      </w:r>
      <w:r w:rsidRPr="00E44C84">
        <w:rPr>
          <w:rFonts w:ascii="Georgia" w:hAnsi="Georgia"/>
          <w:sz w:val="20"/>
          <w:lang w:val="lt-LT"/>
        </w:rPr>
        <w:t xml:space="preserve"> teisinė bazė yra nusistovėjusi ir gerai pažįstama gyventojams bei finansiniams tarpininkams. Bet kokie jos pakeitimai pareikalautų papildomo laiko jų įgyvendinimui (įstatymų pakeitimo, atitinkamų poįstatyminių teisės aktų pakeitimų parengimo, suderinimo). Taip pat, tikėtina, jog kiltų poreikis naują produktą paaiškinti (viešinti) butų ir kitų patalpų savininkams. Labai tikėtina, kad tokie pakeitimai sąlygotų naujų projektų parengimo ir tvirtinimo sustabdymą. Pažymime, kad ankstesnė patirtis parodė, kad net ir nedideli teisinės aplinkos pasikeitimai, bent laikinai, reikšmingai mažino renovacijos patrauklumą. </w:t>
      </w:r>
    </w:p>
    <w:p w14:paraId="218C4A6B" w14:textId="77777777" w:rsidR="000E59DF" w:rsidRPr="00E44C84" w:rsidRDefault="000E59DF" w:rsidP="000E59DF">
      <w:pPr>
        <w:jc w:val="both"/>
        <w:rPr>
          <w:rFonts w:ascii="Georgia" w:hAnsi="Georgia"/>
          <w:sz w:val="20"/>
          <w:lang w:val="lt-LT"/>
        </w:rPr>
      </w:pPr>
    </w:p>
    <w:p w14:paraId="1E0F9CDA" w14:textId="77777777" w:rsidR="000E59DF" w:rsidRPr="00E44C84" w:rsidRDefault="000E59DF" w:rsidP="000E59DF">
      <w:pPr>
        <w:pStyle w:val="Sraopastraipa"/>
        <w:keepNext/>
        <w:numPr>
          <w:ilvl w:val="0"/>
          <w:numId w:val="34"/>
        </w:numPr>
        <w:jc w:val="both"/>
        <w:rPr>
          <w:rFonts w:ascii="Georgia" w:hAnsi="Georgia"/>
          <w:b/>
          <w:i/>
          <w:sz w:val="20"/>
          <w:szCs w:val="20"/>
          <w:lang w:val="lt-LT"/>
        </w:rPr>
      </w:pPr>
      <w:r w:rsidRPr="00E44C84">
        <w:rPr>
          <w:rFonts w:ascii="Georgia" w:hAnsi="Georgia"/>
          <w:b/>
          <w:i/>
          <w:sz w:val="20"/>
          <w:szCs w:val="20"/>
          <w:lang w:val="lt-LT"/>
        </w:rPr>
        <w:lastRenderedPageBreak/>
        <w:t>Scenarijus Nr. 3: Dalis finansinės priemonės lėšų nukreipiama į paskolų modelį, o dalis į garantijų priemonę (garantinio fondo prielaidos iš PwC studijos)</w:t>
      </w:r>
    </w:p>
    <w:p w14:paraId="58011097" w14:textId="77777777" w:rsidR="000E59DF" w:rsidRPr="00E44C84" w:rsidRDefault="000E59DF" w:rsidP="000E59DF">
      <w:pPr>
        <w:pStyle w:val="Antrat"/>
        <w:spacing w:line="276" w:lineRule="auto"/>
        <w:jc w:val="both"/>
        <w:rPr>
          <w:rFonts w:eastAsiaTheme="minorHAnsi" w:cstheme="minorBidi"/>
          <w:b w:val="0"/>
          <w:bCs w:val="0"/>
          <w:color w:val="auto"/>
          <w:szCs w:val="22"/>
          <w:lang w:val="lt-LT"/>
        </w:rPr>
      </w:pPr>
      <w:r w:rsidRPr="00E44C84">
        <w:rPr>
          <w:rFonts w:eastAsiaTheme="minorHAnsi" w:cstheme="minorBidi"/>
          <w:b w:val="0"/>
          <w:bCs w:val="0"/>
          <w:color w:val="auto"/>
          <w:szCs w:val="22"/>
          <w:lang w:val="lt-LT"/>
        </w:rPr>
        <w:t xml:space="preserve">3-iajame scenarijuje yra modeliuojamas modelis, kai paskolų priemonė yra derinama su garantijų priemone. Skaičiavimuose remiamasi prielaida, kad 200 mln. eurų būtų skiriama paskolų priemonei, o kita dalis lėšų – </w:t>
      </w:r>
      <w:r>
        <w:rPr>
          <w:rFonts w:eastAsiaTheme="minorHAnsi" w:cstheme="minorBidi"/>
          <w:b w:val="0"/>
          <w:bCs w:val="0"/>
          <w:color w:val="auto"/>
          <w:szCs w:val="22"/>
          <w:lang w:val="lt-LT"/>
        </w:rPr>
        <w:t>80,9</w:t>
      </w:r>
      <w:r w:rsidRPr="00E44C84">
        <w:rPr>
          <w:rFonts w:eastAsiaTheme="minorHAnsi" w:cstheme="minorBidi"/>
          <w:b w:val="0"/>
          <w:bCs w:val="0"/>
          <w:color w:val="auto"/>
          <w:szCs w:val="22"/>
          <w:lang w:val="lt-LT"/>
        </w:rPr>
        <w:t xml:space="preserve"> mln. eurų garantijų teikimo priemonei. Principinė tokios finansinės priemonės veikimo schema pateikta žemiau. </w:t>
      </w:r>
    </w:p>
    <w:p w14:paraId="3BE64FF1" w14:textId="77777777" w:rsidR="0010799D" w:rsidRDefault="000E59DF" w:rsidP="000E59DF">
      <w:pPr>
        <w:pStyle w:val="Antrat"/>
        <w:jc w:val="both"/>
        <w:rPr>
          <w:lang w:val="lt-LT"/>
        </w:rPr>
      </w:pPr>
      <w:r>
        <w:rPr>
          <w:noProof/>
          <w:lang w:val="lt-LT" w:eastAsia="lt-LT"/>
        </w:rPr>
        <w:drawing>
          <wp:inline distT="0" distB="0" distL="0" distR="0" wp14:anchorId="613D8581" wp14:editId="10377D88">
            <wp:extent cx="6114415" cy="4291330"/>
            <wp:effectExtent l="0" t="0" r="635" b="0"/>
            <wp:docPr id="47" name="Paveikslėlis 5" descr="\\vipa-server\ESCO_Rolandas\EE ex-antes skaiciavimai\Schemos (Rolandas) (Taisytos 2014-11-10)\Daugiabuciu\Daugiabuciai Nr. 3 lengvatine paskola + garanti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pa-server\ESCO_Rolandas\EE ex-antes skaiciavimai\Schemos (Rolandas) (Taisytos 2014-11-10)\Daugiabuciu\Daugiabuciai Nr. 3 lengvatine paskola + garantijos.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6114415" cy="4291330"/>
                    </a:xfrm>
                    <a:prstGeom prst="rect">
                      <a:avLst/>
                    </a:prstGeom>
                    <a:noFill/>
                    <a:ln>
                      <a:noFill/>
                    </a:ln>
                  </pic:spPr>
                </pic:pic>
              </a:graphicData>
            </a:graphic>
          </wp:inline>
        </w:drawing>
      </w:r>
    </w:p>
    <w:p w14:paraId="0D959749" w14:textId="4A3C9101" w:rsidR="000E59DF" w:rsidRPr="00E44C84" w:rsidRDefault="000E59DF" w:rsidP="000E59DF">
      <w:pPr>
        <w:pStyle w:val="Antrat"/>
        <w:jc w:val="both"/>
        <w:rPr>
          <w:szCs w:val="20"/>
          <w:lang w:val="lt-LT"/>
        </w:rPr>
      </w:pPr>
      <w:bookmarkStart w:id="145" w:name="_Toc417378300"/>
      <w:r w:rsidRPr="00E44C84">
        <w:rPr>
          <w:lang w:val="lt-LT"/>
        </w:rPr>
        <w:t xml:space="preserve">Paveikslas </w:t>
      </w:r>
      <w:r w:rsidRPr="00E44C84">
        <w:rPr>
          <w:lang w:val="lt-LT"/>
        </w:rPr>
        <w:fldChar w:fldCharType="begin"/>
      </w:r>
      <w:r w:rsidRPr="00E44C84">
        <w:rPr>
          <w:lang w:val="lt-LT"/>
        </w:rPr>
        <w:instrText xml:space="preserve"> SEQ Paveikslas \* ARABIC </w:instrText>
      </w:r>
      <w:r w:rsidRPr="00E44C84">
        <w:rPr>
          <w:lang w:val="lt-LT"/>
        </w:rPr>
        <w:fldChar w:fldCharType="separate"/>
      </w:r>
      <w:r w:rsidR="00AA3082">
        <w:rPr>
          <w:noProof/>
          <w:lang w:val="lt-LT"/>
        </w:rPr>
        <w:t>23</w:t>
      </w:r>
      <w:r w:rsidRPr="00E44C84">
        <w:rPr>
          <w:lang w:val="lt-LT"/>
        </w:rPr>
        <w:fldChar w:fldCharType="end"/>
      </w:r>
      <w:r w:rsidRPr="00E44C84">
        <w:rPr>
          <w:lang w:val="lt-LT"/>
        </w:rPr>
        <w:t>. Daugiabučių scenarijaus Nr. 3 schema.</w:t>
      </w:r>
      <w:bookmarkEnd w:id="145"/>
      <w:r w:rsidRPr="00E44C84">
        <w:rPr>
          <w:lang w:val="lt-LT"/>
        </w:rPr>
        <w:t xml:space="preserve"> </w:t>
      </w:r>
    </w:p>
    <w:p w14:paraId="3ED990FA" w14:textId="64E1E4A7" w:rsidR="000E59DF" w:rsidRPr="00E44C84" w:rsidRDefault="000E59DF" w:rsidP="000E59DF">
      <w:pPr>
        <w:pStyle w:val="Antrat"/>
        <w:rPr>
          <w:szCs w:val="20"/>
          <w:lang w:val="lt-LT"/>
        </w:rPr>
      </w:pPr>
      <w:bookmarkStart w:id="146" w:name="_Toc460321641"/>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AA3082">
        <w:rPr>
          <w:noProof/>
          <w:lang w:val="lt-LT"/>
        </w:rPr>
        <w:t>60</w:t>
      </w:r>
      <w:r w:rsidRPr="00E44C84">
        <w:rPr>
          <w:lang w:val="lt-LT"/>
        </w:rPr>
        <w:fldChar w:fldCharType="end"/>
      </w:r>
      <w:r w:rsidRPr="00E44C84">
        <w:rPr>
          <w:lang w:val="lt-LT"/>
        </w:rPr>
        <w:t>. Scenarijaus Nr. 3 prielaidos</w:t>
      </w:r>
      <w:r w:rsidRPr="00E44C84">
        <w:rPr>
          <w:szCs w:val="20"/>
          <w:lang w:val="lt-LT"/>
        </w:rPr>
        <w:t>:</w:t>
      </w:r>
      <w:bookmarkEnd w:id="146"/>
    </w:p>
    <w:tbl>
      <w:tblPr>
        <w:tblStyle w:val="viesussraas2parykinimas"/>
        <w:tblW w:w="5000" w:type="pct"/>
        <w:tblLook w:val="04A0" w:firstRow="1" w:lastRow="0" w:firstColumn="1" w:lastColumn="0" w:noHBand="0" w:noVBand="1"/>
      </w:tblPr>
      <w:tblGrid>
        <w:gridCol w:w="3164"/>
        <w:gridCol w:w="6078"/>
      </w:tblGrid>
      <w:tr w:rsidR="000E59DF" w:rsidRPr="00E44C84" w14:paraId="335C1F3F" w14:textId="77777777" w:rsidTr="000E59D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12" w:type="pct"/>
            <w:tcBorders>
              <w:bottom w:val="single" w:sz="8" w:space="0" w:color="C0504D" w:themeColor="accent2"/>
            </w:tcBorders>
          </w:tcPr>
          <w:p w14:paraId="3B9BAF45" w14:textId="77777777" w:rsidR="000E59DF" w:rsidRPr="00E44C84" w:rsidRDefault="000E59DF" w:rsidP="0005008F">
            <w:pPr>
              <w:keepNext/>
              <w:jc w:val="center"/>
              <w:rPr>
                <w:rFonts w:ascii="Georgia" w:hAnsi="Georgia"/>
                <w:sz w:val="20"/>
                <w:szCs w:val="20"/>
              </w:rPr>
            </w:pPr>
            <w:r w:rsidRPr="00E44C84">
              <w:rPr>
                <w:rFonts w:ascii="Georgia" w:hAnsi="Georgia"/>
                <w:sz w:val="20"/>
                <w:szCs w:val="20"/>
              </w:rPr>
              <w:t>Prielaidos</w:t>
            </w:r>
          </w:p>
        </w:tc>
        <w:tc>
          <w:tcPr>
            <w:tcW w:w="3288" w:type="pct"/>
            <w:tcBorders>
              <w:bottom w:val="single" w:sz="8" w:space="0" w:color="C0504D" w:themeColor="accent2"/>
            </w:tcBorders>
          </w:tcPr>
          <w:p w14:paraId="5E9FCBD9" w14:textId="77777777" w:rsidR="000E59DF" w:rsidRPr="00E44C84" w:rsidRDefault="000E59DF" w:rsidP="0005008F">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Komentaras</w:t>
            </w:r>
          </w:p>
        </w:tc>
      </w:tr>
      <w:tr w:rsidR="000E59DF" w:rsidRPr="00E44C84" w14:paraId="182EC45F"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bottom w:val="single" w:sz="6" w:space="0" w:color="C0504D" w:themeColor="accent2"/>
              <w:right w:val="single" w:sz="6" w:space="0" w:color="C0504D" w:themeColor="accent2"/>
            </w:tcBorders>
          </w:tcPr>
          <w:p w14:paraId="70277E70" w14:textId="77777777" w:rsidR="000E59DF" w:rsidRPr="00E44C84" w:rsidRDefault="000E59DF" w:rsidP="000E59DF">
            <w:pPr>
              <w:rPr>
                <w:rFonts w:ascii="Georgia" w:hAnsi="Georgia"/>
                <w:b w:val="0"/>
                <w:sz w:val="20"/>
                <w:szCs w:val="20"/>
              </w:rPr>
            </w:pPr>
            <w:r w:rsidRPr="00E44C84">
              <w:rPr>
                <w:rFonts w:ascii="Georgia" w:hAnsi="Georgia"/>
                <w:sz w:val="20"/>
                <w:szCs w:val="20"/>
              </w:rPr>
              <w:t>Paskolos laikotarpis: iki 20 metų</w:t>
            </w:r>
          </w:p>
        </w:tc>
        <w:tc>
          <w:tcPr>
            <w:tcW w:w="3288" w:type="pct"/>
            <w:tcBorders>
              <w:left w:val="single" w:sz="6" w:space="0" w:color="C0504D" w:themeColor="accent2"/>
              <w:bottom w:val="single" w:sz="6" w:space="0" w:color="C0504D" w:themeColor="accent2"/>
            </w:tcBorders>
          </w:tcPr>
          <w:p w14:paraId="362A84A0"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Maksimalus paskolos suteikimo terminas 20 metų.</w:t>
            </w:r>
          </w:p>
        </w:tc>
      </w:tr>
      <w:tr w:rsidR="000E59DF" w:rsidRPr="00E44C84" w14:paraId="219611B2"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5530269C" w14:textId="77777777" w:rsidR="000E59DF" w:rsidRPr="00E44C84" w:rsidRDefault="000E59DF" w:rsidP="000E59DF">
            <w:pPr>
              <w:rPr>
                <w:rFonts w:ascii="Georgia" w:hAnsi="Georgia"/>
                <w:b w:val="0"/>
                <w:sz w:val="20"/>
                <w:szCs w:val="20"/>
              </w:rPr>
            </w:pPr>
            <w:r w:rsidRPr="00E44C84">
              <w:rPr>
                <w:rFonts w:ascii="Georgia" w:hAnsi="Georgia"/>
                <w:sz w:val="20"/>
                <w:szCs w:val="20"/>
              </w:rPr>
              <w:t>Subsidija: 15 %</w:t>
            </w:r>
          </w:p>
        </w:tc>
        <w:tc>
          <w:tcPr>
            <w:tcW w:w="3288" w:type="pct"/>
            <w:tcBorders>
              <w:top w:val="single" w:sz="6" w:space="0" w:color="C0504D" w:themeColor="accent2"/>
              <w:left w:val="single" w:sz="6" w:space="0" w:color="C0504D" w:themeColor="accent2"/>
              <w:bottom w:val="single" w:sz="6" w:space="0" w:color="C0504D" w:themeColor="accent2"/>
            </w:tcBorders>
          </w:tcPr>
          <w:p w14:paraId="33460E0F"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Projektams, pasiekusiems ne mažesnį kaip 40 proc. sutaupymą, suteikiama 15 % subsidija (papildoma valstybės parama) biudžeto lėšomis, (modeliuojant ši suma pervedama į fondą ir laikoma grįžtančiomis lėšomis).</w:t>
            </w:r>
          </w:p>
        </w:tc>
      </w:tr>
      <w:tr w:rsidR="000E59DF" w:rsidRPr="00E44C84" w14:paraId="2E4C37F4"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15318EA4" w14:textId="77777777" w:rsidR="000E59DF" w:rsidRPr="00E44C84" w:rsidRDefault="000E59DF" w:rsidP="000E59DF">
            <w:pPr>
              <w:rPr>
                <w:rFonts w:ascii="Georgia" w:hAnsi="Georgia"/>
                <w:b w:val="0"/>
                <w:sz w:val="20"/>
                <w:szCs w:val="20"/>
              </w:rPr>
            </w:pPr>
            <w:r>
              <w:rPr>
                <w:rFonts w:ascii="Georgia" w:hAnsi="Georgia"/>
                <w:sz w:val="20"/>
              </w:rPr>
              <w:t>Palūkanų kompensavimo mechanizmas</w:t>
            </w:r>
            <w:r w:rsidRPr="00E44C84">
              <w:rPr>
                <w:rFonts w:ascii="Georgia" w:hAnsi="Georgia"/>
                <w:sz w:val="20"/>
                <w:szCs w:val="20"/>
              </w:rPr>
              <w:t>: 15 %</w:t>
            </w:r>
          </w:p>
        </w:tc>
        <w:tc>
          <w:tcPr>
            <w:tcW w:w="3288" w:type="pct"/>
            <w:tcBorders>
              <w:top w:val="single" w:sz="6" w:space="0" w:color="C0504D" w:themeColor="accent2"/>
              <w:left w:val="single" w:sz="6" w:space="0" w:color="C0504D" w:themeColor="accent2"/>
              <w:bottom w:val="single" w:sz="6" w:space="0" w:color="C0504D" w:themeColor="accent2"/>
            </w:tcBorders>
          </w:tcPr>
          <w:p w14:paraId="2939ED2A"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 xml:space="preserve">Po projekto įgyvendinimo paskolos suma sumažinama 15 %. Ši suma atitinka apytiksliai 2 proc. palūkanų, kurias sumoka galutiniai naudos gavėjai per 20 metų paskolos laikotarpį (t.y. galutiniai naudos gavėjai per 20 metų sumoka ne 3 proc. palūkanų, o 1 proc. palūkanų). </w:t>
            </w:r>
          </w:p>
        </w:tc>
      </w:tr>
      <w:tr w:rsidR="000E59DF" w:rsidRPr="00E44C84" w14:paraId="1A574977"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3D0B615C" w14:textId="77777777" w:rsidR="000E59DF" w:rsidRPr="00E44C84" w:rsidRDefault="000E59DF" w:rsidP="000E59DF">
            <w:pPr>
              <w:rPr>
                <w:rFonts w:ascii="Georgia" w:hAnsi="Georgia"/>
                <w:b w:val="0"/>
                <w:sz w:val="20"/>
                <w:szCs w:val="20"/>
              </w:rPr>
            </w:pPr>
            <w:r w:rsidRPr="00E44C84">
              <w:rPr>
                <w:rFonts w:ascii="Georgia" w:hAnsi="Georgia"/>
                <w:sz w:val="20"/>
                <w:szCs w:val="20"/>
              </w:rPr>
              <w:t>Blogų paskolų dalis: 5 %</w:t>
            </w:r>
          </w:p>
        </w:tc>
        <w:tc>
          <w:tcPr>
            <w:tcW w:w="3288" w:type="pct"/>
            <w:tcBorders>
              <w:top w:val="single" w:sz="6" w:space="0" w:color="C0504D" w:themeColor="accent2"/>
              <w:left w:val="single" w:sz="6" w:space="0" w:color="C0504D" w:themeColor="accent2"/>
              <w:bottom w:val="single" w:sz="6" w:space="0" w:color="C0504D" w:themeColor="accent2"/>
            </w:tcBorders>
          </w:tcPr>
          <w:p w14:paraId="78A2D877"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rPr>
              <w:t>Blogų paskolų dalis buvo nustatyta remiantis ekspertų ir komercinių bankų vertinimu</w:t>
            </w:r>
            <w:r w:rsidRPr="00E44C84">
              <w:rPr>
                <w:rFonts w:ascii="Georgia" w:hAnsi="Georgia"/>
                <w:sz w:val="20"/>
                <w:szCs w:val="20"/>
              </w:rPr>
              <w:t>. Garantijų priemonės atveju daroma prielaida, kad iki 2022 metų reikės išmokėti 50% garantijų bankams nuo planuojamų blogų paskolų.</w:t>
            </w:r>
          </w:p>
        </w:tc>
      </w:tr>
      <w:tr w:rsidR="000E59DF" w:rsidRPr="00E44C84" w14:paraId="366E392B"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21AA1401" w14:textId="77777777" w:rsidR="000E59DF" w:rsidRPr="00E44C84" w:rsidRDefault="000E59DF" w:rsidP="000E59DF">
            <w:pPr>
              <w:rPr>
                <w:rFonts w:ascii="Georgia" w:hAnsi="Georgia"/>
                <w:b w:val="0"/>
                <w:sz w:val="20"/>
                <w:szCs w:val="20"/>
              </w:rPr>
            </w:pPr>
            <w:r w:rsidRPr="00E44C84">
              <w:rPr>
                <w:rFonts w:ascii="Georgia" w:hAnsi="Georgia"/>
                <w:sz w:val="20"/>
                <w:szCs w:val="20"/>
              </w:rPr>
              <w:lastRenderedPageBreak/>
              <w:t xml:space="preserve">Tipinio pastato projekto investicijų vertė: </w:t>
            </w:r>
          </w:p>
          <w:p w14:paraId="14CE1F91" w14:textId="77777777" w:rsidR="000E59DF" w:rsidRPr="00E44C84" w:rsidRDefault="000E59DF" w:rsidP="000E59DF">
            <w:pPr>
              <w:rPr>
                <w:rFonts w:ascii="Georgia" w:hAnsi="Georgia"/>
                <w:b w:val="0"/>
                <w:sz w:val="20"/>
                <w:szCs w:val="20"/>
              </w:rPr>
            </w:pPr>
            <w:r w:rsidRPr="00E44C84">
              <w:rPr>
                <w:rFonts w:ascii="Georgia" w:hAnsi="Georgia"/>
                <w:sz w:val="20"/>
                <w:szCs w:val="20"/>
              </w:rPr>
              <w:t xml:space="preserve">186.000 </w:t>
            </w:r>
            <w:r w:rsidRPr="00E44C84">
              <w:rPr>
                <w:rFonts w:ascii="Georgia" w:hAnsi="Georgia"/>
                <w:sz w:val="20"/>
              </w:rPr>
              <w:t>eurų</w:t>
            </w:r>
          </w:p>
        </w:tc>
        <w:tc>
          <w:tcPr>
            <w:tcW w:w="3288" w:type="pct"/>
            <w:tcBorders>
              <w:top w:val="single" w:sz="6" w:space="0" w:color="C0504D" w:themeColor="accent2"/>
              <w:left w:val="single" w:sz="6" w:space="0" w:color="C0504D" w:themeColor="accent2"/>
              <w:bottom w:val="single" w:sz="6" w:space="0" w:color="C0504D" w:themeColor="accent2"/>
            </w:tcBorders>
          </w:tcPr>
          <w:p w14:paraId="429DAFCE" w14:textId="77777777" w:rsidR="000E59DF" w:rsidRPr="00E44C84" w:rsidRDefault="000E59DF" w:rsidP="000E59DF">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rPr>
              <w:t>Vidutinė tipinio daugiabučio renovacijos kaina buvo nustatyta remiantis vidutinio daugiabučio plotu (paskaičiuota remiantis registrų centro duomenimis). Vidutinė statybos darbų kaina nustatyta pagal BETA pateiktus duomenis.</w:t>
            </w:r>
          </w:p>
        </w:tc>
      </w:tr>
      <w:tr w:rsidR="000E59DF" w:rsidRPr="00E44C84" w14:paraId="5E697BE5"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3D93FD77" w14:textId="77777777" w:rsidR="000E59DF" w:rsidRPr="00E44C84" w:rsidRDefault="000E59DF" w:rsidP="000E59DF">
            <w:pPr>
              <w:rPr>
                <w:rFonts w:ascii="Georgia" w:hAnsi="Georgia"/>
                <w:b w:val="0"/>
                <w:sz w:val="20"/>
                <w:szCs w:val="20"/>
              </w:rPr>
            </w:pPr>
            <w:r w:rsidRPr="00E44C84">
              <w:rPr>
                <w:rFonts w:ascii="Georgia" w:hAnsi="Georgia"/>
                <w:sz w:val="20"/>
                <w:szCs w:val="20"/>
              </w:rPr>
              <w:t>Palūkanų norma: 3%</w:t>
            </w:r>
          </w:p>
        </w:tc>
        <w:tc>
          <w:tcPr>
            <w:tcW w:w="3288" w:type="pct"/>
            <w:tcBorders>
              <w:top w:val="single" w:sz="6" w:space="0" w:color="C0504D" w:themeColor="accent2"/>
              <w:left w:val="single" w:sz="6" w:space="0" w:color="C0504D" w:themeColor="accent2"/>
              <w:bottom w:val="single" w:sz="6" w:space="0" w:color="C0504D" w:themeColor="accent2"/>
            </w:tcBorders>
          </w:tcPr>
          <w:p w14:paraId="716F85B6"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Paskolų ir garantijų priemonių atvejais galutiniams naudos gavėjams taikoma palūkanų norma 3 proc. Garantijų priemonės atveju numatoma bankams kompensuoti palūkanų skirtumą viršijantį 3 proc. palūkanų normą.</w:t>
            </w:r>
          </w:p>
        </w:tc>
      </w:tr>
      <w:tr w:rsidR="000E59DF" w:rsidRPr="00E44C84" w14:paraId="00871F17"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0FC2E5DF" w14:textId="77777777" w:rsidR="000E59DF" w:rsidRPr="00E44C84" w:rsidRDefault="000E59DF" w:rsidP="000E59DF">
            <w:pPr>
              <w:rPr>
                <w:rFonts w:ascii="Georgia" w:hAnsi="Georgia"/>
                <w:b w:val="0"/>
                <w:sz w:val="20"/>
                <w:szCs w:val="20"/>
              </w:rPr>
            </w:pPr>
            <w:r w:rsidRPr="00E44C84">
              <w:rPr>
                <w:rFonts w:ascii="Georgia" w:hAnsi="Georgia"/>
                <w:sz w:val="20"/>
                <w:szCs w:val="20"/>
              </w:rPr>
              <w:t>Komercinių bankų paskolų palūkanos: 7 %</w:t>
            </w:r>
          </w:p>
        </w:tc>
        <w:tc>
          <w:tcPr>
            <w:tcW w:w="3288" w:type="pct"/>
            <w:tcBorders>
              <w:top w:val="single" w:sz="6" w:space="0" w:color="C0504D" w:themeColor="accent2"/>
              <w:left w:val="single" w:sz="6" w:space="0" w:color="C0504D" w:themeColor="accent2"/>
              <w:bottom w:val="single" w:sz="6" w:space="0" w:color="C0504D" w:themeColor="accent2"/>
            </w:tcBorders>
          </w:tcPr>
          <w:p w14:paraId="42F96225"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Daroma prielaida, jog, garantijų priemonės atveju, komercinių bankų fiksuota paskolų palūkanų norma (20-ies metų laikotarpiui) sudarys 7 proc. Ši palūkanų norma įvertinta remiantis šiais duomenimis:</w:t>
            </w:r>
          </w:p>
          <w:p w14:paraId="7436FFE1"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 xml:space="preserve">1) Prognozuojamas suderintas vartotojų kainų indekso (SVKI) vidurkis Lietuvoje 2013-2017 (2,9%); </w:t>
            </w:r>
          </w:p>
          <w:p w14:paraId="7D033DCA"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 xml:space="preserve">2) Lietuvos Respublikos Vyriausybės obligacijų emisijos (2536 dienų trukmės) palūkanos 2014 rugsėjo mėnesį (2,0%); </w:t>
            </w:r>
          </w:p>
          <w:p w14:paraId="006673AF"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3) Galima komercinių bankų marža (2,1%).</w:t>
            </w:r>
          </w:p>
          <w:p w14:paraId="7570B971"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 xml:space="preserve">Pokalbių su bankais metu paminėta, jog vertinant įvairias rizikas, ilgalaikėms paskoloms (20 metų) preliminariai galėtų būti taikomos nuo 7 iki 10 proc. palūkanų normos. </w:t>
            </w:r>
          </w:p>
        </w:tc>
      </w:tr>
      <w:tr w:rsidR="000E59DF" w:rsidRPr="00E44C84" w14:paraId="2BF4915A"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5AC05A98" w14:textId="77777777" w:rsidR="000E59DF" w:rsidRPr="00E44C84" w:rsidRDefault="000E59DF" w:rsidP="000E59DF">
            <w:pPr>
              <w:rPr>
                <w:rFonts w:ascii="Georgia" w:hAnsi="Georgia"/>
                <w:b w:val="0"/>
                <w:sz w:val="20"/>
                <w:szCs w:val="20"/>
              </w:rPr>
            </w:pPr>
            <w:r w:rsidRPr="00E44C84">
              <w:rPr>
                <w:rFonts w:ascii="Georgia" w:hAnsi="Georgia"/>
                <w:sz w:val="20"/>
                <w:szCs w:val="20"/>
              </w:rPr>
              <w:t>Subsidijuojama palūkanų dalis: 4 %</w:t>
            </w:r>
          </w:p>
        </w:tc>
        <w:tc>
          <w:tcPr>
            <w:tcW w:w="3288" w:type="pct"/>
            <w:tcBorders>
              <w:top w:val="single" w:sz="6" w:space="0" w:color="C0504D" w:themeColor="accent2"/>
              <w:left w:val="single" w:sz="6" w:space="0" w:color="C0504D" w:themeColor="accent2"/>
              <w:bottom w:val="single" w:sz="6" w:space="0" w:color="C0504D" w:themeColor="accent2"/>
            </w:tcBorders>
          </w:tcPr>
          <w:p w14:paraId="20605DA0"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Garantijų priemonės atveju subsidijuojamas skirtumas tarp šiame scenarijuje naudojamos bankų palūkanų normos ir fiksuotų palūkanų galutiniams naudos gavėjams.</w:t>
            </w:r>
          </w:p>
        </w:tc>
      </w:tr>
      <w:tr w:rsidR="000E59DF" w:rsidRPr="00E44C84" w14:paraId="40F5B4FF"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6078F572" w14:textId="77777777" w:rsidR="000E59DF" w:rsidRPr="00E44C84" w:rsidRDefault="000E59DF" w:rsidP="000E59DF">
            <w:pPr>
              <w:rPr>
                <w:rFonts w:ascii="Georgia" w:hAnsi="Georgia"/>
                <w:sz w:val="20"/>
                <w:szCs w:val="20"/>
              </w:rPr>
            </w:pPr>
            <w:r w:rsidRPr="00E44C84">
              <w:rPr>
                <w:rFonts w:ascii="Georgia" w:hAnsi="Georgia"/>
                <w:sz w:val="20"/>
              </w:rPr>
              <w:t>JESSICA KF grįžtančios lėšos: 67,2 mln. eurų</w:t>
            </w:r>
          </w:p>
        </w:tc>
        <w:tc>
          <w:tcPr>
            <w:tcW w:w="3288" w:type="pct"/>
            <w:tcBorders>
              <w:top w:val="single" w:sz="6" w:space="0" w:color="C0504D" w:themeColor="accent2"/>
              <w:left w:val="single" w:sz="6" w:space="0" w:color="C0504D" w:themeColor="accent2"/>
              <w:bottom w:val="single" w:sz="6" w:space="0" w:color="C0504D" w:themeColor="accent2"/>
            </w:tcBorders>
          </w:tcPr>
          <w:p w14:paraId="1B6D08C2" w14:textId="77777777" w:rsidR="000E59DF" w:rsidRPr="00E44C84" w:rsidRDefault="000E59DF" w:rsidP="000E59DF">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rPr>
              <w:t>2007-2013 m. JESSICA KF grįžtančios lėšos (iki 2020 metų) sudaro apie 67,2 mln. eurų.</w:t>
            </w:r>
          </w:p>
        </w:tc>
      </w:tr>
      <w:tr w:rsidR="000E59DF" w:rsidRPr="00E44C84" w14:paraId="31F1C11A"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2D2D6F28" w14:textId="77777777" w:rsidR="000E59DF" w:rsidRPr="00E44C84" w:rsidRDefault="000E59DF" w:rsidP="000E59DF">
            <w:pPr>
              <w:rPr>
                <w:rFonts w:ascii="Georgia" w:hAnsi="Georgia"/>
                <w:b w:val="0"/>
                <w:sz w:val="20"/>
                <w:szCs w:val="20"/>
              </w:rPr>
            </w:pPr>
            <w:r w:rsidRPr="00E44C84">
              <w:rPr>
                <w:rFonts w:ascii="Georgia" w:hAnsi="Georgia"/>
                <w:sz w:val="20"/>
                <w:szCs w:val="20"/>
              </w:rPr>
              <w:t xml:space="preserve">Investuojamų ESI fondų lėšų suma: </w:t>
            </w:r>
            <w:r>
              <w:rPr>
                <w:rFonts w:ascii="Georgia" w:hAnsi="Georgia"/>
                <w:sz w:val="20"/>
                <w:szCs w:val="20"/>
              </w:rPr>
              <w:t>280,9</w:t>
            </w:r>
            <w:r w:rsidRPr="00E44C84">
              <w:rPr>
                <w:rFonts w:ascii="Georgia" w:hAnsi="Georgia"/>
                <w:sz w:val="20"/>
                <w:szCs w:val="20"/>
              </w:rPr>
              <w:t xml:space="preserve"> mln. </w:t>
            </w:r>
            <w:r w:rsidRPr="00E44C84">
              <w:rPr>
                <w:rFonts w:ascii="Georgia" w:hAnsi="Georgia"/>
                <w:sz w:val="20"/>
              </w:rPr>
              <w:t>eurų</w:t>
            </w:r>
          </w:p>
        </w:tc>
        <w:tc>
          <w:tcPr>
            <w:tcW w:w="3288" w:type="pct"/>
            <w:tcBorders>
              <w:top w:val="single" w:sz="6" w:space="0" w:color="C0504D" w:themeColor="accent2"/>
              <w:left w:val="single" w:sz="6" w:space="0" w:color="C0504D" w:themeColor="accent2"/>
              <w:bottom w:val="single" w:sz="6" w:space="0" w:color="C0504D" w:themeColor="accent2"/>
            </w:tcBorders>
          </w:tcPr>
          <w:p w14:paraId="430E272D"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rPr>
              <w:t>280,9</w:t>
            </w:r>
            <w:r w:rsidRPr="00E44C84">
              <w:rPr>
                <w:rFonts w:ascii="Georgia" w:hAnsi="Georgia"/>
                <w:sz w:val="20"/>
              </w:rPr>
              <w:t xml:space="preserve"> mln. eurų 2014-2020 m. ESI fondų lėšų</w:t>
            </w:r>
            <w:r w:rsidRPr="00E44C84">
              <w:rPr>
                <w:rFonts w:ascii="Georgia" w:hAnsi="Georgia"/>
                <w:sz w:val="20"/>
                <w:szCs w:val="20"/>
              </w:rPr>
              <w:t xml:space="preserve"> skirstomos, taip:</w:t>
            </w:r>
          </w:p>
          <w:p w14:paraId="1101B46E" w14:textId="77777777" w:rsidR="000E59DF" w:rsidRPr="00E44C84" w:rsidRDefault="000E59DF" w:rsidP="000E59DF">
            <w:pPr>
              <w:pStyle w:val="Sraopastraipa"/>
              <w:numPr>
                <w:ilvl w:val="0"/>
                <w:numId w:val="8"/>
              </w:num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paskolų finansinei priemonei skiriama 200 mln. eurų  bei grįžtančios lėšos skiriamos paskolų finansinei priemonei;</w:t>
            </w:r>
          </w:p>
          <w:p w14:paraId="09739397" w14:textId="77777777" w:rsidR="000E59DF" w:rsidRPr="00E44C84" w:rsidRDefault="000E59DF" w:rsidP="000E59DF">
            <w:pPr>
              <w:pStyle w:val="Sraopastraipa"/>
              <w:numPr>
                <w:ilvl w:val="0"/>
                <w:numId w:val="8"/>
              </w:num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garantijų finansinei priemonei skiriama 93,7 mln. eurų.</w:t>
            </w:r>
          </w:p>
        </w:tc>
      </w:tr>
      <w:tr w:rsidR="000E59DF" w:rsidRPr="00E44C84" w14:paraId="0B436BE0"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2289D398" w14:textId="77777777" w:rsidR="000E59DF" w:rsidRPr="00E44C84" w:rsidRDefault="000E59DF" w:rsidP="000E59DF">
            <w:pPr>
              <w:rPr>
                <w:rFonts w:ascii="Georgia" w:hAnsi="Georgia"/>
                <w:sz w:val="20"/>
                <w:szCs w:val="20"/>
              </w:rPr>
            </w:pPr>
            <w:r w:rsidRPr="00E44C84">
              <w:rPr>
                <w:rFonts w:ascii="Georgia" w:hAnsi="Georgia"/>
                <w:sz w:val="20"/>
                <w:szCs w:val="20"/>
              </w:rPr>
              <w:t>Fonde rezervuojamos lėšos garantijų įsipareigojimų vykdymui: 10 %</w:t>
            </w:r>
          </w:p>
        </w:tc>
        <w:tc>
          <w:tcPr>
            <w:tcW w:w="3288" w:type="pct"/>
            <w:tcBorders>
              <w:top w:val="single" w:sz="6" w:space="0" w:color="C0504D" w:themeColor="accent2"/>
              <w:left w:val="single" w:sz="6" w:space="0" w:color="C0504D" w:themeColor="accent2"/>
              <w:bottom w:val="single" w:sz="6" w:space="0" w:color="C0504D" w:themeColor="accent2"/>
            </w:tcBorders>
          </w:tcPr>
          <w:p w14:paraId="1C873D32"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Fondo garantiniams įsipareigojimams vykdyti rezervuojama 10% nuo garantinės priemonės atveju bankų suteiktų paskolų sumos galutiniams naudos gavėjams. Ši prielaida atitinka PwC studijoje aprašytą prielaidą.</w:t>
            </w:r>
          </w:p>
        </w:tc>
      </w:tr>
      <w:tr w:rsidR="000E59DF" w:rsidRPr="00E44C84" w14:paraId="090A2F71"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348E3982" w14:textId="77777777" w:rsidR="000E59DF" w:rsidRPr="00E44C84" w:rsidRDefault="000E59DF" w:rsidP="000E59DF">
            <w:pPr>
              <w:jc w:val="both"/>
              <w:rPr>
                <w:rFonts w:ascii="Georgia" w:hAnsi="Georgia"/>
                <w:sz w:val="20"/>
              </w:rPr>
            </w:pPr>
            <w:r w:rsidRPr="00E44C84">
              <w:rPr>
                <w:rFonts w:ascii="Georgia" w:hAnsi="Georgia"/>
                <w:sz w:val="20"/>
              </w:rPr>
              <w:t>Siektinas įgyvendinamų projektų skaičius: 600 projektų per metus</w:t>
            </w:r>
          </w:p>
        </w:tc>
        <w:tc>
          <w:tcPr>
            <w:tcW w:w="3288" w:type="pct"/>
            <w:tcBorders>
              <w:top w:val="single" w:sz="6" w:space="0" w:color="C0504D" w:themeColor="accent2"/>
              <w:left w:val="single" w:sz="6" w:space="0" w:color="C0504D" w:themeColor="accent2"/>
              <w:bottom w:val="single" w:sz="6" w:space="0" w:color="C0504D" w:themeColor="accent2"/>
            </w:tcBorders>
          </w:tcPr>
          <w:p w14:paraId="4F40EE7E"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Vertinant projektų kiekį, buvo paskaičiuota kiek projektų galima atlikti turimomis fondo lėšomis (pagal šį scenarijų) per 2014-2020 programavimo laikotarpį ir projektai proporcingai išdėstyti iki 2020 metų. Vertinama, kad šio scenarijaus atveju, per metus bus įgyvendinama 600 naujų projektų.</w:t>
            </w:r>
          </w:p>
        </w:tc>
      </w:tr>
      <w:tr w:rsidR="000E59DF" w:rsidRPr="00E44C84" w14:paraId="5AE4C5C9"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66CAC975" w14:textId="77777777" w:rsidR="000E59DF" w:rsidRPr="00E44C84" w:rsidRDefault="000E59DF" w:rsidP="000E59DF">
            <w:pPr>
              <w:rPr>
                <w:rFonts w:ascii="Georgia" w:hAnsi="Georgia"/>
                <w:sz w:val="20"/>
              </w:rPr>
            </w:pPr>
            <w:r w:rsidRPr="00E44C84">
              <w:rPr>
                <w:rFonts w:ascii="Georgia" w:hAnsi="Georgia"/>
                <w:sz w:val="20"/>
              </w:rPr>
              <w:t>Valdymo mokestis: remiantis Deleguoto reglamento nuostatomis</w:t>
            </w:r>
          </w:p>
        </w:tc>
        <w:tc>
          <w:tcPr>
            <w:tcW w:w="3288" w:type="pct"/>
            <w:tcBorders>
              <w:top w:val="single" w:sz="6" w:space="0" w:color="C0504D" w:themeColor="accent2"/>
              <w:left w:val="single" w:sz="6" w:space="0" w:color="C0504D" w:themeColor="accent2"/>
              <w:bottom w:val="single" w:sz="6" w:space="0" w:color="C0504D" w:themeColor="accent2"/>
            </w:tcBorders>
          </w:tcPr>
          <w:p w14:paraId="0C9F6B51"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rPr>
              <w:t>Vadovaujantis Deleguoto reglamento nuostatomis, valdymo mokestis susideda iš dviejų dalių: 0,5 proc. bazinis mokestis nuo finansinei priemonei skirtų ir įmokėtų lėšų ir: paskolų atveju – 1 proc. mokestis nuo paskolų, suteiktų galutiniams naudos gavėjams, sumos; garantijų atveju – 1,5 proc. nuo sumų, išmokėtų galutiniams naudos gavėjams.</w:t>
            </w:r>
          </w:p>
        </w:tc>
      </w:tr>
      <w:tr w:rsidR="000E59DF" w:rsidRPr="00E44C84" w14:paraId="4758AC19"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1584952D" w14:textId="77777777" w:rsidR="000E59DF" w:rsidRPr="00E44C84" w:rsidRDefault="000E59DF" w:rsidP="000E59DF">
            <w:pPr>
              <w:rPr>
                <w:rFonts w:ascii="Georgia" w:hAnsi="Georgia"/>
                <w:b w:val="0"/>
                <w:sz w:val="20"/>
                <w:szCs w:val="20"/>
              </w:rPr>
            </w:pPr>
            <w:r w:rsidRPr="00E44C84">
              <w:rPr>
                <w:rFonts w:ascii="Georgia" w:hAnsi="Georgia"/>
                <w:sz w:val="20"/>
              </w:rPr>
              <w:t>Projekto įgyvendinimo trukmė: 1 metai</w:t>
            </w:r>
            <w:r w:rsidRPr="00E44C84" w:rsidDel="00703452">
              <w:rPr>
                <w:rFonts w:ascii="Georgia" w:hAnsi="Georgia"/>
                <w:sz w:val="20"/>
                <w:szCs w:val="20"/>
              </w:rPr>
              <w:t xml:space="preserve"> </w:t>
            </w:r>
          </w:p>
        </w:tc>
        <w:tc>
          <w:tcPr>
            <w:tcW w:w="3288" w:type="pct"/>
            <w:tcBorders>
              <w:top w:val="single" w:sz="6" w:space="0" w:color="C0504D" w:themeColor="accent2"/>
              <w:left w:val="single" w:sz="6" w:space="0" w:color="C0504D" w:themeColor="accent2"/>
              <w:bottom w:val="single" w:sz="6" w:space="0" w:color="C0504D" w:themeColor="accent2"/>
            </w:tcBorders>
          </w:tcPr>
          <w:p w14:paraId="1A5B9B11" w14:textId="77777777" w:rsidR="000E59DF" w:rsidRPr="00E44C84" w:rsidRDefault="000E59DF" w:rsidP="000E59DF">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rPr>
              <w:t>Remiantis šiuo metu įgyvendinamų projektų duomenimis nustatyta vidutinė projekto įgyvendinimo trukmė – 1 metai nuo paskolos sutarties pasirašymo dienos.</w:t>
            </w:r>
          </w:p>
        </w:tc>
      </w:tr>
      <w:tr w:rsidR="000E59DF" w:rsidRPr="00E44C84" w14:paraId="62269C8C"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right w:val="single" w:sz="6" w:space="0" w:color="C0504D" w:themeColor="accent2"/>
            </w:tcBorders>
          </w:tcPr>
          <w:p w14:paraId="2FCF1B84" w14:textId="77777777" w:rsidR="000E59DF" w:rsidRPr="00E44C84" w:rsidRDefault="000E59DF" w:rsidP="000E59DF">
            <w:pPr>
              <w:rPr>
                <w:rFonts w:ascii="Georgia" w:hAnsi="Georgia"/>
                <w:b w:val="0"/>
                <w:sz w:val="20"/>
                <w:szCs w:val="20"/>
              </w:rPr>
            </w:pPr>
            <w:r w:rsidRPr="00E44C84">
              <w:rPr>
                <w:rFonts w:ascii="Georgia" w:hAnsi="Georgia"/>
                <w:sz w:val="20"/>
              </w:rPr>
              <w:t xml:space="preserve">Sugrįžusios lėšos pakartotinai panaudojamos: po 2 metų </w:t>
            </w:r>
          </w:p>
        </w:tc>
        <w:tc>
          <w:tcPr>
            <w:tcW w:w="3288" w:type="pct"/>
            <w:tcBorders>
              <w:top w:val="single" w:sz="6" w:space="0" w:color="C0504D" w:themeColor="accent2"/>
              <w:left w:val="single" w:sz="6" w:space="0" w:color="C0504D" w:themeColor="accent2"/>
            </w:tcBorders>
          </w:tcPr>
          <w:p w14:paraId="375F6807"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rPr>
              <w:t xml:space="preserve">Daroma prielaida, jog grįžtančios lėšos pakartotinai panaudojamos projektų finansavimui tomis pačiomis sąlygomis po 2 metų. </w:t>
            </w:r>
            <w:r w:rsidRPr="00E44C84">
              <w:rPr>
                <w:rFonts w:ascii="Georgia" w:hAnsi="Georgia"/>
                <w:sz w:val="20"/>
                <w:szCs w:val="20"/>
              </w:rPr>
              <w:t>Grįžusios lėšos naudojamos tik paskolų priemonei.</w:t>
            </w:r>
          </w:p>
        </w:tc>
      </w:tr>
    </w:tbl>
    <w:p w14:paraId="7E50960D" w14:textId="77777777" w:rsidR="000E59DF" w:rsidRPr="00E44C84" w:rsidRDefault="000E59DF" w:rsidP="000E59DF">
      <w:pPr>
        <w:rPr>
          <w:rFonts w:ascii="Georgia" w:hAnsi="Georgia"/>
          <w:sz w:val="20"/>
          <w:szCs w:val="20"/>
          <w:lang w:val="lt-LT"/>
        </w:rPr>
      </w:pPr>
    </w:p>
    <w:p w14:paraId="74995FD7" w14:textId="7EF726D7" w:rsidR="000E59DF" w:rsidRPr="00E44C84" w:rsidRDefault="000E59DF" w:rsidP="000E59DF">
      <w:pPr>
        <w:pStyle w:val="Antrat"/>
        <w:jc w:val="both"/>
        <w:rPr>
          <w:szCs w:val="20"/>
          <w:lang w:val="lt-LT"/>
        </w:rPr>
      </w:pPr>
      <w:bookmarkStart w:id="147" w:name="_Toc460321642"/>
      <w:r w:rsidRPr="00E44C84">
        <w:rPr>
          <w:lang w:val="lt-LT"/>
        </w:rPr>
        <w:lastRenderedPageBreak/>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AA3082">
        <w:rPr>
          <w:noProof/>
          <w:lang w:val="lt-LT"/>
        </w:rPr>
        <w:t>61</w:t>
      </w:r>
      <w:r w:rsidRPr="00E44C84">
        <w:rPr>
          <w:lang w:val="lt-LT"/>
        </w:rPr>
        <w:fldChar w:fldCharType="end"/>
      </w:r>
      <w:r w:rsidRPr="00E44C84">
        <w:rPr>
          <w:lang w:val="lt-LT"/>
        </w:rPr>
        <w:t xml:space="preserve">. Scenarijaus Nr. 3 </w:t>
      </w:r>
      <w:r w:rsidRPr="00E44C84">
        <w:rPr>
          <w:szCs w:val="20"/>
          <w:lang w:val="lt-LT"/>
        </w:rPr>
        <w:t>paskolų finansinės priemonės įgyvendinimo prognozė</w:t>
      </w:r>
      <w:bookmarkEnd w:id="147"/>
    </w:p>
    <w:p w14:paraId="3AFEA355" w14:textId="77777777" w:rsidR="000E59DF" w:rsidRPr="00E44C84" w:rsidRDefault="000E59DF" w:rsidP="000E59DF">
      <w:pPr>
        <w:pStyle w:val="Antrat"/>
        <w:jc w:val="both"/>
        <w:rPr>
          <w:lang w:val="lt-LT"/>
        </w:rPr>
      </w:pPr>
      <w:r>
        <w:rPr>
          <w:noProof/>
          <w:lang w:val="lt-LT" w:eastAsia="lt-LT"/>
        </w:rPr>
        <w:drawing>
          <wp:inline distT="0" distB="0" distL="0" distR="0" wp14:anchorId="3BD791D0" wp14:editId="5801B65F">
            <wp:extent cx="6114415" cy="2647950"/>
            <wp:effectExtent l="0" t="0" r="635" b="0"/>
            <wp:docPr id="48"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6114415" cy="2647950"/>
                    </a:xfrm>
                    <a:prstGeom prst="rect">
                      <a:avLst/>
                    </a:prstGeom>
                    <a:noFill/>
                    <a:ln>
                      <a:noFill/>
                    </a:ln>
                  </pic:spPr>
                </pic:pic>
              </a:graphicData>
            </a:graphic>
          </wp:inline>
        </w:drawing>
      </w:r>
    </w:p>
    <w:p w14:paraId="55CCC0D4" w14:textId="71D6663F" w:rsidR="000E59DF" w:rsidRPr="00E44C84" w:rsidRDefault="000E59DF" w:rsidP="000E59DF">
      <w:pPr>
        <w:pStyle w:val="Antrat"/>
        <w:jc w:val="both"/>
        <w:rPr>
          <w:szCs w:val="20"/>
          <w:lang w:val="lt-LT"/>
        </w:rPr>
      </w:pPr>
      <w:bookmarkStart w:id="148" w:name="_Toc460321643"/>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AA3082">
        <w:rPr>
          <w:noProof/>
          <w:lang w:val="lt-LT"/>
        </w:rPr>
        <w:t>62</w:t>
      </w:r>
      <w:r w:rsidRPr="00E44C84">
        <w:rPr>
          <w:lang w:val="lt-LT"/>
        </w:rPr>
        <w:fldChar w:fldCharType="end"/>
      </w:r>
      <w:r w:rsidRPr="00E44C84">
        <w:rPr>
          <w:lang w:val="lt-LT"/>
        </w:rPr>
        <w:t>. Scenarijaus Nr. 3 g</w:t>
      </w:r>
      <w:r w:rsidRPr="00E44C84">
        <w:rPr>
          <w:szCs w:val="20"/>
          <w:lang w:val="lt-LT"/>
        </w:rPr>
        <w:t>arantijų finansinės priemonės įgyvendinimo prognozė</w:t>
      </w:r>
      <w:bookmarkEnd w:id="148"/>
    </w:p>
    <w:p w14:paraId="2B0E73C3" w14:textId="77777777" w:rsidR="000E59DF" w:rsidRPr="00E44C84" w:rsidRDefault="000E59DF" w:rsidP="000E59DF">
      <w:pPr>
        <w:pStyle w:val="Antrat"/>
        <w:rPr>
          <w:lang w:val="lt-LT"/>
        </w:rPr>
      </w:pPr>
      <w:r>
        <w:rPr>
          <w:noProof/>
          <w:lang w:val="lt-LT" w:eastAsia="lt-LT"/>
        </w:rPr>
        <w:drawing>
          <wp:inline distT="0" distB="0" distL="0" distR="0" wp14:anchorId="54BE443C" wp14:editId="224C96F4">
            <wp:extent cx="6114415" cy="2967355"/>
            <wp:effectExtent l="0" t="0" r="635" b="4445"/>
            <wp:docPr id="49"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6114415" cy="2967355"/>
                    </a:xfrm>
                    <a:prstGeom prst="rect">
                      <a:avLst/>
                    </a:prstGeom>
                    <a:noFill/>
                    <a:ln>
                      <a:noFill/>
                    </a:ln>
                  </pic:spPr>
                </pic:pic>
              </a:graphicData>
            </a:graphic>
          </wp:inline>
        </w:drawing>
      </w:r>
    </w:p>
    <w:p w14:paraId="647BC526" w14:textId="3C49B4A1" w:rsidR="000E59DF" w:rsidRPr="00E44C84" w:rsidRDefault="000E59DF" w:rsidP="000E59DF">
      <w:pPr>
        <w:pStyle w:val="Antrat"/>
        <w:rPr>
          <w:szCs w:val="20"/>
          <w:lang w:val="lt-LT"/>
        </w:rPr>
      </w:pPr>
      <w:bookmarkStart w:id="149" w:name="_Toc460321644"/>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AA3082">
        <w:rPr>
          <w:noProof/>
          <w:lang w:val="lt-LT"/>
        </w:rPr>
        <w:t>63</w:t>
      </w:r>
      <w:r w:rsidRPr="00E44C84">
        <w:rPr>
          <w:lang w:val="lt-LT"/>
        </w:rPr>
        <w:fldChar w:fldCharType="end"/>
      </w:r>
      <w:r w:rsidRPr="00E44C84">
        <w:rPr>
          <w:lang w:val="lt-LT"/>
        </w:rPr>
        <w:t xml:space="preserve">. </w:t>
      </w:r>
      <w:r w:rsidRPr="00E44C84">
        <w:rPr>
          <w:szCs w:val="20"/>
          <w:lang w:val="lt-LT"/>
        </w:rPr>
        <w:t>Scenarijaus Nr. 3 rezultatai</w:t>
      </w:r>
      <w:bookmarkEnd w:id="149"/>
    </w:p>
    <w:tbl>
      <w:tblPr>
        <w:tblStyle w:val="viesussraas2parykinimas"/>
        <w:tblW w:w="5000" w:type="pct"/>
        <w:tblLook w:val="04A0" w:firstRow="1" w:lastRow="0" w:firstColumn="1" w:lastColumn="0" w:noHBand="0" w:noVBand="1"/>
      </w:tblPr>
      <w:tblGrid>
        <w:gridCol w:w="6647"/>
        <w:gridCol w:w="2595"/>
      </w:tblGrid>
      <w:tr w:rsidR="000E59DF" w:rsidRPr="00E44C84" w14:paraId="19649485" w14:textId="77777777" w:rsidTr="000E59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96" w:type="pct"/>
            <w:tcBorders>
              <w:top w:val="single" w:sz="8" w:space="0" w:color="C0504D" w:themeColor="accent2"/>
              <w:left w:val="single" w:sz="8" w:space="0" w:color="C0504D" w:themeColor="accent2"/>
              <w:bottom w:val="nil"/>
              <w:right w:val="nil"/>
            </w:tcBorders>
            <w:hideMark/>
          </w:tcPr>
          <w:p w14:paraId="7B471D51" w14:textId="77777777" w:rsidR="000E59DF" w:rsidRPr="00E44C84" w:rsidRDefault="000E59DF" w:rsidP="000E59DF">
            <w:pPr>
              <w:keepNext/>
              <w:jc w:val="center"/>
              <w:rPr>
                <w:rFonts w:ascii="Georgia" w:hAnsi="Georgia"/>
                <w:sz w:val="20"/>
                <w:szCs w:val="20"/>
              </w:rPr>
            </w:pPr>
            <w:r w:rsidRPr="00E44C84">
              <w:rPr>
                <w:rFonts w:ascii="Georgia" w:hAnsi="Georgia"/>
                <w:sz w:val="20"/>
                <w:szCs w:val="20"/>
              </w:rPr>
              <w:t>Fondas</w:t>
            </w:r>
          </w:p>
        </w:tc>
        <w:tc>
          <w:tcPr>
            <w:tcW w:w="1404" w:type="pct"/>
            <w:tcBorders>
              <w:top w:val="single" w:sz="8" w:space="0" w:color="C0504D" w:themeColor="accent2"/>
              <w:left w:val="nil"/>
              <w:bottom w:val="nil"/>
              <w:right w:val="single" w:sz="8" w:space="0" w:color="C0504D" w:themeColor="accent2"/>
            </w:tcBorders>
            <w:hideMark/>
          </w:tcPr>
          <w:p w14:paraId="723C9672" w14:textId="77777777" w:rsidR="000E59DF" w:rsidRPr="00E44C84" w:rsidRDefault="000E59DF" w:rsidP="000E59DF">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 xml:space="preserve">mln. </w:t>
            </w:r>
            <w:r w:rsidRPr="00E44C84">
              <w:rPr>
                <w:rFonts w:ascii="Georgia" w:hAnsi="Georgia"/>
                <w:sz w:val="20"/>
              </w:rPr>
              <w:t>eurų</w:t>
            </w:r>
          </w:p>
        </w:tc>
      </w:tr>
      <w:tr w:rsidR="000E59DF" w:rsidRPr="00E44C84" w14:paraId="118BBA03" w14:textId="77777777" w:rsidTr="000E5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pct"/>
            <w:tcBorders>
              <w:right w:val="nil"/>
            </w:tcBorders>
            <w:hideMark/>
          </w:tcPr>
          <w:p w14:paraId="42A26498" w14:textId="77777777" w:rsidR="000E59DF" w:rsidRPr="00E44C84" w:rsidRDefault="000E59DF" w:rsidP="000E59DF">
            <w:pPr>
              <w:rPr>
                <w:rFonts w:ascii="Georgia" w:hAnsi="Georgia"/>
                <w:sz w:val="20"/>
                <w:szCs w:val="20"/>
              </w:rPr>
            </w:pPr>
            <w:r w:rsidRPr="00E44C84">
              <w:rPr>
                <w:rFonts w:ascii="Georgia" w:hAnsi="Georgia"/>
                <w:sz w:val="20"/>
                <w:szCs w:val="20"/>
              </w:rPr>
              <w:t>Galutinius naudos gavėjus pasiekusios lėšos</w:t>
            </w:r>
          </w:p>
        </w:tc>
        <w:tc>
          <w:tcPr>
            <w:tcW w:w="1404" w:type="pct"/>
            <w:tcBorders>
              <w:left w:val="nil"/>
            </w:tcBorders>
            <w:hideMark/>
          </w:tcPr>
          <w:p w14:paraId="6AF9F07C" w14:textId="77777777" w:rsidR="000E59DF" w:rsidRPr="00E44C84" w:rsidRDefault="000E59DF" w:rsidP="000E59DF">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 xml:space="preserve">332,1+ </w:t>
            </w:r>
            <w:r>
              <w:rPr>
                <w:rFonts w:ascii="Georgia" w:hAnsi="Georgia"/>
                <w:sz w:val="20"/>
                <w:szCs w:val="20"/>
              </w:rPr>
              <w:t>161,8 = 493,9</w:t>
            </w:r>
          </w:p>
        </w:tc>
      </w:tr>
      <w:tr w:rsidR="000E59DF" w:rsidRPr="00E44C84" w14:paraId="73518153" w14:textId="77777777" w:rsidTr="000E59DF">
        <w:tc>
          <w:tcPr>
            <w:cnfStyle w:val="001000000000" w:firstRow="0" w:lastRow="0" w:firstColumn="1" w:lastColumn="0" w:oddVBand="0" w:evenVBand="0" w:oddHBand="0" w:evenHBand="0" w:firstRowFirstColumn="0" w:firstRowLastColumn="0" w:lastRowFirstColumn="0" w:lastRowLastColumn="0"/>
            <w:tcW w:w="3596" w:type="pct"/>
            <w:tcBorders>
              <w:top w:val="nil"/>
              <w:left w:val="single" w:sz="8" w:space="0" w:color="C0504D" w:themeColor="accent2"/>
              <w:bottom w:val="nil"/>
              <w:right w:val="nil"/>
            </w:tcBorders>
            <w:hideMark/>
          </w:tcPr>
          <w:p w14:paraId="386BCD65" w14:textId="77777777" w:rsidR="000E59DF" w:rsidRPr="00E44C84" w:rsidRDefault="000E59DF" w:rsidP="000E59DF">
            <w:pPr>
              <w:rPr>
                <w:rFonts w:ascii="Georgia" w:hAnsi="Georgia"/>
                <w:b w:val="0"/>
                <w:sz w:val="20"/>
                <w:szCs w:val="20"/>
              </w:rPr>
            </w:pPr>
            <w:r w:rsidRPr="00E44C84">
              <w:rPr>
                <w:rFonts w:ascii="Georgia" w:hAnsi="Georgia"/>
                <w:sz w:val="20"/>
                <w:szCs w:val="20"/>
              </w:rPr>
              <w:t>Į fondą grįžusios paskolos lėšos iki 2019 metų (įskaitant subsidijas bei iš JESSICA KF grįžtančias lėšas)</w:t>
            </w:r>
          </w:p>
        </w:tc>
        <w:tc>
          <w:tcPr>
            <w:tcW w:w="1404" w:type="pct"/>
            <w:tcBorders>
              <w:top w:val="nil"/>
              <w:left w:val="nil"/>
              <w:bottom w:val="nil"/>
              <w:right w:val="single" w:sz="8" w:space="0" w:color="C0504D" w:themeColor="accent2"/>
            </w:tcBorders>
            <w:hideMark/>
          </w:tcPr>
          <w:p w14:paraId="1AB38066" w14:textId="77777777" w:rsidR="000E59DF" w:rsidRPr="00E44C84" w:rsidRDefault="000E59DF" w:rsidP="000E59DF">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142,7</w:t>
            </w:r>
          </w:p>
        </w:tc>
      </w:tr>
      <w:tr w:rsidR="000E59DF" w:rsidRPr="00E44C84" w14:paraId="1740B6FA" w14:textId="77777777" w:rsidTr="000E5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pct"/>
            <w:tcBorders>
              <w:right w:val="nil"/>
            </w:tcBorders>
            <w:hideMark/>
          </w:tcPr>
          <w:p w14:paraId="18DB36CE" w14:textId="77777777" w:rsidR="000E59DF" w:rsidRPr="00E44C84" w:rsidRDefault="000E59DF" w:rsidP="000E59DF">
            <w:pPr>
              <w:rPr>
                <w:rFonts w:ascii="Georgia" w:hAnsi="Georgia"/>
                <w:sz w:val="20"/>
                <w:szCs w:val="20"/>
              </w:rPr>
            </w:pPr>
            <w:r w:rsidRPr="00E44C84">
              <w:rPr>
                <w:rFonts w:ascii="Georgia" w:hAnsi="Georgia"/>
                <w:sz w:val="20"/>
                <w:szCs w:val="20"/>
              </w:rPr>
              <w:t>Komercinių bankų išmokėtos lėšos</w:t>
            </w:r>
          </w:p>
        </w:tc>
        <w:tc>
          <w:tcPr>
            <w:tcW w:w="1404" w:type="pct"/>
            <w:tcBorders>
              <w:left w:val="nil"/>
            </w:tcBorders>
            <w:hideMark/>
          </w:tcPr>
          <w:p w14:paraId="2CD234CF" w14:textId="77777777" w:rsidR="000E59DF" w:rsidRPr="0046107A" w:rsidRDefault="000E59DF" w:rsidP="000E59DF">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137,5</w:t>
            </w:r>
          </w:p>
        </w:tc>
      </w:tr>
      <w:tr w:rsidR="000E59DF" w:rsidRPr="00E44C84" w14:paraId="09106A27" w14:textId="77777777" w:rsidTr="000E59DF">
        <w:tc>
          <w:tcPr>
            <w:cnfStyle w:val="001000000000" w:firstRow="0" w:lastRow="0" w:firstColumn="1" w:lastColumn="0" w:oddVBand="0" w:evenVBand="0" w:oddHBand="0" w:evenHBand="0" w:firstRowFirstColumn="0" w:firstRowLastColumn="0" w:lastRowFirstColumn="0" w:lastRowLastColumn="0"/>
            <w:tcW w:w="3596" w:type="pct"/>
            <w:tcBorders>
              <w:right w:val="nil"/>
            </w:tcBorders>
            <w:hideMark/>
          </w:tcPr>
          <w:p w14:paraId="28B85D21" w14:textId="77777777" w:rsidR="000E59DF" w:rsidRPr="00E44C84" w:rsidRDefault="000E59DF" w:rsidP="000E59DF">
            <w:pPr>
              <w:rPr>
                <w:rFonts w:ascii="Georgia" w:hAnsi="Georgia"/>
                <w:sz w:val="20"/>
                <w:szCs w:val="20"/>
              </w:rPr>
            </w:pPr>
            <w:r w:rsidRPr="00E44C84">
              <w:rPr>
                <w:rFonts w:ascii="Georgia" w:hAnsi="Georgia"/>
                <w:sz w:val="20"/>
                <w:szCs w:val="20"/>
              </w:rPr>
              <w:t>Renovuotų pastatų skaičius</w:t>
            </w:r>
          </w:p>
        </w:tc>
        <w:tc>
          <w:tcPr>
            <w:tcW w:w="1404" w:type="pct"/>
            <w:tcBorders>
              <w:left w:val="nil"/>
            </w:tcBorders>
            <w:hideMark/>
          </w:tcPr>
          <w:p w14:paraId="43D97954" w14:textId="77777777" w:rsidR="000E59DF" w:rsidRPr="00E44C84" w:rsidRDefault="000E59DF" w:rsidP="000E59DF">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1785 + 870= 2655</w:t>
            </w:r>
          </w:p>
        </w:tc>
      </w:tr>
    </w:tbl>
    <w:p w14:paraId="55C51D74" w14:textId="77777777" w:rsidR="000E59DF" w:rsidRPr="00E44C84" w:rsidRDefault="000E59DF" w:rsidP="000E59DF">
      <w:pPr>
        <w:rPr>
          <w:rFonts w:ascii="Georgia" w:hAnsi="Georgia"/>
          <w:sz w:val="20"/>
          <w:szCs w:val="20"/>
          <w:lang w:val="lt-LT"/>
        </w:rPr>
      </w:pPr>
    </w:p>
    <w:p w14:paraId="0607C954" w14:textId="77777777" w:rsidR="000E59DF" w:rsidRPr="00E44C84" w:rsidRDefault="000E59DF" w:rsidP="000E59DF">
      <w:pPr>
        <w:pStyle w:val="Sraopastraipa"/>
        <w:keepNext/>
        <w:numPr>
          <w:ilvl w:val="0"/>
          <w:numId w:val="34"/>
        </w:numPr>
        <w:rPr>
          <w:rFonts w:ascii="Georgia" w:hAnsi="Georgia"/>
          <w:b/>
          <w:i/>
          <w:sz w:val="20"/>
          <w:szCs w:val="20"/>
          <w:lang w:val="lt-LT"/>
        </w:rPr>
      </w:pPr>
      <w:r w:rsidRPr="00E44C84">
        <w:rPr>
          <w:rFonts w:ascii="Georgia" w:hAnsi="Georgia"/>
          <w:b/>
          <w:i/>
          <w:sz w:val="20"/>
          <w:szCs w:val="20"/>
          <w:lang w:val="lt-LT"/>
        </w:rPr>
        <w:t>Scenarijus Nr. 4: Visos lėšos panaudojamos garantijoms</w:t>
      </w:r>
    </w:p>
    <w:p w14:paraId="73C35B5A" w14:textId="77777777" w:rsidR="000E59DF" w:rsidRPr="00E44C84" w:rsidRDefault="000E59DF" w:rsidP="000E59DF">
      <w:pPr>
        <w:keepNext/>
        <w:jc w:val="both"/>
        <w:rPr>
          <w:rFonts w:ascii="Georgia" w:hAnsi="Georgia"/>
          <w:sz w:val="20"/>
          <w:szCs w:val="20"/>
          <w:lang w:val="lt-LT"/>
        </w:rPr>
      </w:pPr>
      <w:r w:rsidRPr="00E44C84">
        <w:rPr>
          <w:rFonts w:ascii="Georgia" w:hAnsi="Georgia"/>
          <w:sz w:val="20"/>
          <w:szCs w:val="20"/>
          <w:lang w:val="lt-LT"/>
        </w:rPr>
        <w:t xml:space="preserve">Šiame modelyje visos daugiabučių renovacijai numatytos ESI fondų lėšos skiriamos garantijų priemonės įgyvendinimui. Kartu su 2014-2020 m. ES lėšomis garantijų priemonei skiriamos ir visos </w:t>
      </w:r>
      <w:r w:rsidRPr="00E44C84">
        <w:rPr>
          <w:rFonts w:ascii="Georgia" w:hAnsi="Georgia"/>
          <w:sz w:val="20"/>
          <w:szCs w:val="20"/>
          <w:lang w:val="lt-LT"/>
        </w:rPr>
        <w:lastRenderedPageBreak/>
        <w:t>grįžtančios lėšos iš JESSICA KF. Visos garantijų priemonės prielaidos tokios pat, kaip scenarijuje Nr. 3 (garantinio modelio dalyje). Šiame scenarijuje modeliuojamas maksimalus projektų skaičius.</w:t>
      </w:r>
    </w:p>
    <w:p w14:paraId="2894829C" w14:textId="77777777" w:rsidR="000E59DF" w:rsidRPr="00E44C84" w:rsidRDefault="000E59DF" w:rsidP="0005008F">
      <w:pPr>
        <w:jc w:val="center"/>
        <w:rPr>
          <w:rFonts w:ascii="Georgia" w:hAnsi="Georgia"/>
          <w:sz w:val="20"/>
          <w:szCs w:val="20"/>
          <w:lang w:val="lt-LT"/>
        </w:rPr>
      </w:pPr>
      <w:r>
        <w:rPr>
          <w:rFonts w:ascii="Georgia" w:hAnsi="Georgia"/>
          <w:noProof/>
          <w:sz w:val="20"/>
          <w:szCs w:val="20"/>
          <w:lang w:val="lt-LT" w:eastAsia="lt-LT"/>
        </w:rPr>
        <w:drawing>
          <wp:inline distT="0" distB="0" distL="0" distR="0" wp14:anchorId="6F47CA5B" wp14:editId="302AFC59">
            <wp:extent cx="5368290" cy="3455670"/>
            <wp:effectExtent l="0" t="0" r="3810" b="0"/>
            <wp:docPr id="50" name="Paveikslėlis 9" descr="\\vipa-server\ESCO_Rolandas\EE ex-antes skaiciavimai\Schemos (Rolandas) (Taisytos 2014-11-10)\Daugiabuciu\Daugiabuciai N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pa-server\ESCO_Rolandas\EE ex-antes skaiciavimai\Schemos (Rolandas) (Taisytos 2014-11-10)\Daugiabuciu\Daugiabuciai Nr. 4.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5368290" cy="3455670"/>
                    </a:xfrm>
                    <a:prstGeom prst="rect">
                      <a:avLst/>
                    </a:prstGeom>
                    <a:noFill/>
                    <a:ln>
                      <a:noFill/>
                    </a:ln>
                  </pic:spPr>
                </pic:pic>
              </a:graphicData>
            </a:graphic>
          </wp:inline>
        </w:drawing>
      </w:r>
    </w:p>
    <w:p w14:paraId="64635856" w14:textId="77777777" w:rsidR="0010799D" w:rsidRDefault="0010799D" w:rsidP="000E59DF">
      <w:pPr>
        <w:pStyle w:val="Antrat"/>
        <w:rPr>
          <w:lang w:val="lt-LT"/>
        </w:rPr>
      </w:pPr>
    </w:p>
    <w:p w14:paraId="5240C7E3" w14:textId="61215DAC" w:rsidR="000E59DF" w:rsidRPr="00E44C84" w:rsidRDefault="000E59DF" w:rsidP="000E59DF">
      <w:pPr>
        <w:pStyle w:val="Antrat"/>
        <w:rPr>
          <w:szCs w:val="20"/>
          <w:lang w:val="lt-LT"/>
        </w:rPr>
      </w:pPr>
      <w:bookmarkStart w:id="150" w:name="_Toc417378301"/>
      <w:r w:rsidRPr="00E44C84">
        <w:rPr>
          <w:lang w:val="lt-LT"/>
        </w:rPr>
        <w:t xml:space="preserve">Paveikslas </w:t>
      </w:r>
      <w:r w:rsidRPr="00E44C84">
        <w:rPr>
          <w:lang w:val="lt-LT"/>
        </w:rPr>
        <w:fldChar w:fldCharType="begin"/>
      </w:r>
      <w:r w:rsidRPr="00E44C84">
        <w:rPr>
          <w:lang w:val="lt-LT"/>
        </w:rPr>
        <w:instrText xml:space="preserve"> SEQ Paveikslas \* ARABIC </w:instrText>
      </w:r>
      <w:r w:rsidRPr="00E44C84">
        <w:rPr>
          <w:lang w:val="lt-LT"/>
        </w:rPr>
        <w:fldChar w:fldCharType="separate"/>
      </w:r>
      <w:r w:rsidR="00AA3082">
        <w:rPr>
          <w:noProof/>
          <w:lang w:val="lt-LT"/>
        </w:rPr>
        <w:t>24</w:t>
      </w:r>
      <w:r w:rsidRPr="00E44C84">
        <w:rPr>
          <w:lang w:val="lt-LT"/>
        </w:rPr>
        <w:fldChar w:fldCharType="end"/>
      </w:r>
      <w:r w:rsidRPr="00E44C84">
        <w:rPr>
          <w:lang w:val="lt-LT"/>
        </w:rPr>
        <w:t>. Daugiabučių scenarijaus Nr. 4 schema.</w:t>
      </w:r>
      <w:bookmarkEnd w:id="150"/>
      <w:r w:rsidRPr="00E44C84">
        <w:rPr>
          <w:lang w:val="lt-LT"/>
        </w:rPr>
        <w:t xml:space="preserve"> </w:t>
      </w:r>
    </w:p>
    <w:p w14:paraId="1A4137D8" w14:textId="30A9B2E6" w:rsidR="000E59DF" w:rsidRPr="00E44C84" w:rsidRDefault="000E59DF" w:rsidP="000E59DF">
      <w:pPr>
        <w:pStyle w:val="Antrat"/>
        <w:rPr>
          <w:szCs w:val="20"/>
          <w:lang w:val="lt-LT"/>
        </w:rPr>
      </w:pPr>
      <w:bookmarkStart w:id="151" w:name="_Toc460321645"/>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AA3082">
        <w:rPr>
          <w:noProof/>
          <w:lang w:val="lt-LT"/>
        </w:rPr>
        <w:t>64</w:t>
      </w:r>
      <w:r w:rsidRPr="00E44C84">
        <w:rPr>
          <w:lang w:val="lt-LT"/>
        </w:rPr>
        <w:fldChar w:fldCharType="end"/>
      </w:r>
      <w:r w:rsidRPr="00E44C84">
        <w:rPr>
          <w:lang w:val="lt-LT"/>
        </w:rPr>
        <w:t>. Scenarijaus Nr. 4 prielaidos</w:t>
      </w:r>
      <w:r w:rsidRPr="00E44C84">
        <w:rPr>
          <w:szCs w:val="20"/>
          <w:lang w:val="lt-LT"/>
        </w:rPr>
        <w:t>:</w:t>
      </w:r>
      <w:bookmarkEnd w:id="151"/>
    </w:p>
    <w:tbl>
      <w:tblPr>
        <w:tblStyle w:val="viesussraas2parykinimas"/>
        <w:tblW w:w="5000" w:type="pct"/>
        <w:tblLook w:val="04A0" w:firstRow="1" w:lastRow="0" w:firstColumn="1" w:lastColumn="0" w:noHBand="0" w:noVBand="1"/>
      </w:tblPr>
      <w:tblGrid>
        <w:gridCol w:w="3164"/>
        <w:gridCol w:w="6078"/>
      </w:tblGrid>
      <w:tr w:rsidR="000E59DF" w:rsidRPr="00E44C84" w14:paraId="74D6C175" w14:textId="77777777" w:rsidTr="0005008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12" w:type="pct"/>
            <w:tcBorders>
              <w:bottom w:val="single" w:sz="8" w:space="0" w:color="C0504D" w:themeColor="accent2"/>
            </w:tcBorders>
          </w:tcPr>
          <w:p w14:paraId="53080DEB" w14:textId="77777777" w:rsidR="000E59DF" w:rsidRPr="00E44C84" w:rsidRDefault="000E59DF" w:rsidP="0005008F">
            <w:pPr>
              <w:keepNext/>
              <w:jc w:val="center"/>
              <w:rPr>
                <w:rFonts w:ascii="Georgia" w:hAnsi="Georgia"/>
                <w:sz w:val="20"/>
                <w:szCs w:val="20"/>
              </w:rPr>
            </w:pPr>
            <w:r w:rsidRPr="00E44C84">
              <w:rPr>
                <w:rFonts w:ascii="Georgia" w:hAnsi="Georgia"/>
                <w:sz w:val="20"/>
                <w:szCs w:val="20"/>
              </w:rPr>
              <w:t>Prielaidos</w:t>
            </w:r>
          </w:p>
        </w:tc>
        <w:tc>
          <w:tcPr>
            <w:tcW w:w="3288" w:type="pct"/>
            <w:tcBorders>
              <w:bottom w:val="single" w:sz="8" w:space="0" w:color="C0504D" w:themeColor="accent2"/>
            </w:tcBorders>
          </w:tcPr>
          <w:p w14:paraId="770ACFE7" w14:textId="77777777" w:rsidR="000E59DF" w:rsidRPr="00E44C84" w:rsidRDefault="000E59DF" w:rsidP="0005008F">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Komentaras</w:t>
            </w:r>
          </w:p>
        </w:tc>
      </w:tr>
      <w:tr w:rsidR="000E59DF" w:rsidRPr="00E44C84" w14:paraId="6D8EC28D" w14:textId="77777777" w:rsidTr="0005008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bottom w:val="single" w:sz="6" w:space="0" w:color="C0504D" w:themeColor="accent2"/>
              <w:right w:val="single" w:sz="6" w:space="0" w:color="C0504D" w:themeColor="accent2"/>
            </w:tcBorders>
          </w:tcPr>
          <w:p w14:paraId="6DC89F1C" w14:textId="77777777" w:rsidR="000E59DF" w:rsidRPr="00E44C84" w:rsidRDefault="000E59DF" w:rsidP="000E59DF">
            <w:pPr>
              <w:rPr>
                <w:rFonts w:ascii="Georgia" w:hAnsi="Georgia"/>
                <w:b w:val="0"/>
                <w:sz w:val="20"/>
                <w:szCs w:val="20"/>
              </w:rPr>
            </w:pPr>
            <w:r w:rsidRPr="00E44C84">
              <w:rPr>
                <w:rFonts w:ascii="Georgia" w:hAnsi="Georgia"/>
                <w:sz w:val="20"/>
                <w:szCs w:val="20"/>
              </w:rPr>
              <w:t>Paskolos laikotarpis: iki 20 metų</w:t>
            </w:r>
          </w:p>
        </w:tc>
        <w:tc>
          <w:tcPr>
            <w:tcW w:w="3288" w:type="pct"/>
            <w:tcBorders>
              <w:left w:val="single" w:sz="6" w:space="0" w:color="C0504D" w:themeColor="accent2"/>
              <w:bottom w:val="single" w:sz="6" w:space="0" w:color="C0504D" w:themeColor="accent2"/>
            </w:tcBorders>
          </w:tcPr>
          <w:p w14:paraId="448CEDE2"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Maksimalus paskolos suteikimo terminas 20 metų.</w:t>
            </w:r>
          </w:p>
        </w:tc>
      </w:tr>
      <w:tr w:rsidR="000E59DF" w:rsidRPr="00E44C84" w14:paraId="16A0311F" w14:textId="77777777" w:rsidTr="0005008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18CA980E" w14:textId="77777777" w:rsidR="000E59DF" w:rsidRPr="00E44C84" w:rsidRDefault="000E59DF" w:rsidP="000E59DF">
            <w:pPr>
              <w:rPr>
                <w:rFonts w:ascii="Georgia" w:hAnsi="Georgia"/>
                <w:b w:val="0"/>
                <w:sz w:val="20"/>
                <w:szCs w:val="20"/>
              </w:rPr>
            </w:pPr>
            <w:r w:rsidRPr="00E44C84">
              <w:rPr>
                <w:rFonts w:ascii="Georgia" w:hAnsi="Georgia"/>
                <w:sz w:val="20"/>
                <w:szCs w:val="20"/>
              </w:rPr>
              <w:t>Subsidija: 15 %</w:t>
            </w:r>
          </w:p>
        </w:tc>
        <w:tc>
          <w:tcPr>
            <w:tcW w:w="3288" w:type="pct"/>
            <w:tcBorders>
              <w:top w:val="single" w:sz="6" w:space="0" w:color="C0504D" w:themeColor="accent2"/>
              <w:left w:val="single" w:sz="6" w:space="0" w:color="C0504D" w:themeColor="accent2"/>
              <w:bottom w:val="single" w:sz="6" w:space="0" w:color="C0504D" w:themeColor="accent2"/>
            </w:tcBorders>
          </w:tcPr>
          <w:p w14:paraId="2F381C3E"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Projektams, pasiekusiems ne mažesnį kaip 40 proc. sutaupymą, suteikiama 15 % subsidija (papildoma valstybės parama) biudžeto lėšomis, (modeliuojant ši suma pervedama į fondą ir laikoma grįžtančiomis lėšomis).</w:t>
            </w:r>
          </w:p>
        </w:tc>
      </w:tr>
      <w:tr w:rsidR="000E59DF" w:rsidRPr="00E44C84" w14:paraId="3F6FD0DD" w14:textId="77777777" w:rsidTr="0005008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1A892763" w14:textId="77777777" w:rsidR="000E59DF" w:rsidRPr="00E44C84" w:rsidRDefault="000E59DF" w:rsidP="000E59DF">
            <w:pPr>
              <w:rPr>
                <w:rFonts w:ascii="Georgia" w:hAnsi="Georgia"/>
                <w:b w:val="0"/>
                <w:sz w:val="20"/>
                <w:szCs w:val="20"/>
              </w:rPr>
            </w:pPr>
            <w:r>
              <w:rPr>
                <w:rFonts w:ascii="Georgia" w:hAnsi="Georgia"/>
                <w:sz w:val="20"/>
              </w:rPr>
              <w:t>Palūkanų kompensavimo mechanizmas</w:t>
            </w:r>
            <w:r w:rsidRPr="00E44C84">
              <w:rPr>
                <w:rFonts w:ascii="Georgia" w:hAnsi="Georgia"/>
                <w:sz w:val="20"/>
                <w:szCs w:val="20"/>
              </w:rPr>
              <w:t>: 15 %</w:t>
            </w:r>
          </w:p>
        </w:tc>
        <w:tc>
          <w:tcPr>
            <w:tcW w:w="3288" w:type="pct"/>
            <w:tcBorders>
              <w:top w:val="single" w:sz="6" w:space="0" w:color="C0504D" w:themeColor="accent2"/>
              <w:left w:val="single" w:sz="6" w:space="0" w:color="C0504D" w:themeColor="accent2"/>
              <w:bottom w:val="single" w:sz="6" w:space="0" w:color="C0504D" w:themeColor="accent2"/>
            </w:tcBorders>
          </w:tcPr>
          <w:p w14:paraId="1AB8D27D"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 xml:space="preserve">Po projekto įgyvendinimo paskolos suma sumažinama 15 %. Ši suma atitinka apytiksliai 2 proc. palūkanų, kurias sumoka galutiniai naudos gavėjai per 20 metų paskolos laikotarpį (t.y. galutiniai naudos gavėjai per 20 metų sumoka ne 3 proc. palūkanų, o 1 proc. palūkanų). </w:t>
            </w:r>
          </w:p>
        </w:tc>
      </w:tr>
      <w:tr w:rsidR="000E59DF" w:rsidRPr="00E44C84" w14:paraId="024A70EC" w14:textId="77777777" w:rsidTr="0005008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3FAC84C1" w14:textId="77777777" w:rsidR="000E59DF" w:rsidRPr="00E44C84" w:rsidRDefault="000E59DF" w:rsidP="000E59DF">
            <w:pPr>
              <w:rPr>
                <w:rFonts w:ascii="Georgia" w:hAnsi="Georgia"/>
                <w:b w:val="0"/>
                <w:sz w:val="20"/>
                <w:szCs w:val="20"/>
              </w:rPr>
            </w:pPr>
            <w:r w:rsidRPr="00E44C84">
              <w:rPr>
                <w:rFonts w:ascii="Georgia" w:hAnsi="Georgia"/>
                <w:sz w:val="20"/>
                <w:szCs w:val="20"/>
              </w:rPr>
              <w:t>Blogų paskolų dalis: 5 %</w:t>
            </w:r>
          </w:p>
        </w:tc>
        <w:tc>
          <w:tcPr>
            <w:tcW w:w="3288" w:type="pct"/>
            <w:tcBorders>
              <w:top w:val="single" w:sz="6" w:space="0" w:color="C0504D" w:themeColor="accent2"/>
              <w:left w:val="single" w:sz="6" w:space="0" w:color="C0504D" w:themeColor="accent2"/>
              <w:bottom w:val="single" w:sz="6" w:space="0" w:color="C0504D" w:themeColor="accent2"/>
            </w:tcBorders>
          </w:tcPr>
          <w:p w14:paraId="586DAB1E" w14:textId="77777777" w:rsidR="000E59DF" w:rsidRPr="00E44C84" w:rsidRDefault="000E59DF" w:rsidP="000E59DF">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rPr>
              <w:t>Blogų paskolų dalis buvo nustatyta remiantis ekspertų ir komercinių bankų vertinimu</w:t>
            </w:r>
            <w:r w:rsidRPr="00E44C84">
              <w:rPr>
                <w:rFonts w:ascii="Georgia" w:hAnsi="Georgia"/>
                <w:sz w:val="20"/>
                <w:szCs w:val="20"/>
              </w:rPr>
              <w:t>. Daroma prielaida, kad iki 2022 metų reikės išmokėti 50% garantijų bankams nuo planuojamų blogų paskolų.</w:t>
            </w:r>
          </w:p>
        </w:tc>
      </w:tr>
      <w:tr w:rsidR="000E59DF" w:rsidRPr="00E44C84" w14:paraId="2BB5E4AA" w14:textId="77777777" w:rsidTr="0005008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7CDACB19" w14:textId="77777777" w:rsidR="000E59DF" w:rsidRPr="00E44C84" w:rsidRDefault="000E59DF" w:rsidP="000E59DF">
            <w:pPr>
              <w:rPr>
                <w:rFonts w:ascii="Georgia" w:hAnsi="Georgia"/>
                <w:b w:val="0"/>
                <w:sz w:val="20"/>
                <w:szCs w:val="20"/>
              </w:rPr>
            </w:pPr>
            <w:r w:rsidRPr="00E44C84">
              <w:rPr>
                <w:rFonts w:ascii="Georgia" w:hAnsi="Georgia"/>
                <w:sz w:val="20"/>
                <w:szCs w:val="20"/>
              </w:rPr>
              <w:t xml:space="preserve">Tipinio pastato projekto investicijų vertė: </w:t>
            </w:r>
          </w:p>
          <w:p w14:paraId="70AE7538" w14:textId="77777777" w:rsidR="000E59DF" w:rsidRPr="00E44C84" w:rsidRDefault="000E59DF" w:rsidP="000E59DF">
            <w:pPr>
              <w:rPr>
                <w:rFonts w:ascii="Georgia" w:hAnsi="Georgia"/>
                <w:b w:val="0"/>
                <w:sz w:val="20"/>
                <w:szCs w:val="20"/>
              </w:rPr>
            </w:pPr>
            <w:r w:rsidRPr="00E44C84">
              <w:rPr>
                <w:rFonts w:ascii="Georgia" w:hAnsi="Georgia"/>
                <w:sz w:val="20"/>
                <w:szCs w:val="20"/>
              </w:rPr>
              <w:t xml:space="preserve">186.000 </w:t>
            </w:r>
            <w:r w:rsidRPr="00E44C84">
              <w:rPr>
                <w:rFonts w:ascii="Georgia" w:hAnsi="Georgia"/>
                <w:sz w:val="20"/>
              </w:rPr>
              <w:t>eurų</w:t>
            </w:r>
          </w:p>
        </w:tc>
        <w:tc>
          <w:tcPr>
            <w:tcW w:w="3288" w:type="pct"/>
            <w:tcBorders>
              <w:top w:val="single" w:sz="6" w:space="0" w:color="C0504D" w:themeColor="accent2"/>
              <w:left w:val="single" w:sz="6" w:space="0" w:color="C0504D" w:themeColor="accent2"/>
              <w:bottom w:val="single" w:sz="6" w:space="0" w:color="C0504D" w:themeColor="accent2"/>
            </w:tcBorders>
          </w:tcPr>
          <w:p w14:paraId="6FD3CEEA" w14:textId="77777777" w:rsidR="000E59DF" w:rsidRPr="00E44C84" w:rsidRDefault="000E59DF" w:rsidP="000E59DF">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rPr>
              <w:t>Vidutinė tipinio daugiabučio renovacijos kaina buvo nustatyta remiantis vidutinio daugiabučio plotu (paskaičiuota remiantis registrų centro duomenimis). Vidutinė statybos darbų kaina nustatyta pagal BETA pateiktus duomenis.</w:t>
            </w:r>
          </w:p>
        </w:tc>
      </w:tr>
      <w:tr w:rsidR="000E59DF" w:rsidRPr="00E44C84" w14:paraId="6502B2A6" w14:textId="77777777" w:rsidTr="0005008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7C1218C2" w14:textId="77777777" w:rsidR="000E59DF" w:rsidRPr="00E44C84" w:rsidRDefault="000E59DF" w:rsidP="000E59DF">
            <w:pPr>
              <w:rPr>
                <w:rFonts w:ascii="Georgia" w:hAnsi="Georgia"/>
                <w:b w:val="0"/>
                <w:sz w:val="20"/>
                <w:szCs w:val="20"/>
              </w:rPr>
            </w:pPr>
            <w:r w:rsidRPr="00E44C84">
              <w:rPr>
                <w:rFonts w:ascii="Georgia" w:hAnsi="Georgia"/>
                <w:sz w:val="20"/>
                <w:szCs w:val="20"/>
              </w:rPr>
              <w:t>Palūkanų norma: 3%</w:t>
            </w:r>
          </w:p>
        </w:tc>
        <w:tc>
          <w:tcPr>
            <w:tcW w:w="3288" w:type="pct"/>
            <w:tcBorders>
              <w:top w:val="single" w:sz="6" w:space="0" w:color="C0504D" w:themeColor="accent2"/>
              <w:left w:val="single" w:sz="6" w:space="0" w:color="C0504D" w:themeColor="accent2"/>
              <w:bottom w:val="single" w:sz="6" w:space="0" w:color="C0504D" w:themeColor="accent2"/>
            </w:tcBorders>
          </w:tcPr>
          <w:p w14:paraId="5D4CC3DC" w14:textId="77777777" w:rsidR="000E59DF" w:rsidRPr="00E44C84" w:rsidRDefault="000E59DF" w:rsidP="000E59DF">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Galutiniams naudos gavėjams taikoma palūkanų norma 3 proc. Garantijų priemonės atveju numatoma bankams kompensuoti palūkanų skirtumą viršijantį 3 proc. palūkanų normą.</w:t>
            </w:r>
          </w:p>
        </w:tc>
      </w:tr>
      <w:tr w:rsidR="000E59DF" w:rsidRPr="00E44C84" w14:paraId="0BCCEC61" w14:textId="77777777" w:rsidTr="0005008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338C8171" w14:textId="77777777" w:rsidR="000E59DF" w:rsidRPr="00E44C84" w:rsidRDefault="000E59DF" w:rsidP="000E59DF">
            <w:pPr>
              <w:rPr>
                <w:rFonts w:ascii="Georgia" w:hAnsi="Georgia"/>
                <w:b w:val="0"/>
                <w:sz w:val="20"/>
                <w:szCs w:val="20"/>
              </w:rPr>
            </w:pPr>
            <w:r w:rsidRPr="00E44C84">
              <w:rPr>
                <w:rFonts w:ascii="Georgia" w:hAnsi="Georgia"/>
                <w:sz w:val="20"/>
                <w:szCs w:val="20"/>
              </w:rPr>
              <w:lastRenderedPageBreak/>
              <w:t>Bankų palūkanos: 7 %</w:t>
            </w:r>
          </w:p>
        </w:tc>
        <w:tc>
          <w:tcPr>
            <w:tcW w:w="3288" w:type="pct"/>
            <w:tcBorders>
              <w:top w:val="single" w:sz="6" w:space="0" w:color="C0504D" w:themeColor="accent2"/>
              <w:left w:val="single" w:sz="6" w:space="0" w:color="C0504D" w:themeColor="accent2"/>
              <w:bottom w:val="single" w:sz="6" w:space="0" w:color="C0504D" w:themeColor="accent2"/>
            </w:tcBorders>
          </w:tcPr>
          <w:p w14:paraId="304E9E8C"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Daroma prielaida, jog, garantijų priemonės atveju, komercinių bankų fiksuota palūkanų norma jų išduotoms paskoloms (20-ies metų laikotarpiui) sudarys 7 proc.. Šios palūkanos paskaičiuotos remiantis šių rezultatų suma:</w:t>
            </w:r>
          </w:p>
          <w:p w14:paraId="53253A2C"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 xml:space="preserve">1) Prognozuojamas suderintas vartotojų kainų indeksą (SVKI) vidurkis Lietuvoje 2013-2017 (2,9%); </w:t>
            </w:r>
          </w:p>
          <w:p w14:paraId="5635979A"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2) Lietuvos Respublikos Vyriausybės obligacijų emisijos (2536 dienų trukmės) palūkanos 2014 rugsėjo mėnesį (2,0%);</w:t>
            </w:r>
          </w:p>
          <w:p w14:paraId="6105E52E"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3) Galima komercinių bankų marža (2,1%).</w:t>
            </w:r>
          </w:p>
          <w:p w14:paraId="3A3607AD"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Šių palūkanų skaičiavimo metodika taip pat atitinka PwC studijoje naudotą metodiką.</w:t>
            </w:r>
          </w:p>
          <w:p w14:paraId="45D15C40"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 xml:space="preserve">Pokalbių su bankais metu paminėta, jog vertinant įvairias rizikas, ilgalaikėms paskoloms (20 metų) preliminariai galėtų būti taikomos nuo 7 iki 10 proc. palūkanų normos. </w:t>
            </w:r>
          </w:p>
        </w:tc>
      </w:tr>
      <w:tr w:rsidR="000E59DF" w:rsidRPr="00E44C84" w14:paraId="0CAC6E6B" w14:textId="77777777" w:rsidTr="0005008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4F94F2A5" w14:textId="77777777" w:rsidR="000E59DF" w:rsidRPr="00E44C84" w:rsidRDefault="000E59DF" w:rsidP="000E59DF">
            <w:pPr>
              <w:rPr>
                <w:rFonts w:ascii="Georgia" w:hAnsi="Georgia"/>
                <w:b w:val="0"/>
                <w:sz w:val="20"/>
                <w:szCs w:val="20"/>
              </w:rPr>
            </w:pPr>
            <w:r w:rsidRPr="00E44C84">
              <w:rPr>
                <w:rFonts w:ascii="Georgia" w:hAnsi="Georgia"/>
                <w:sz w:val="20"/>
                <w:szCs w:val="20"/>
              </w:rPr>
              <w:t>Subsidijuojama palūkanų dalis: 4 %</w:t>
            </w:r>
          </w:p>
        </w:tc>
        <w:tc>
          <w:tcPr>
            <w:tcW w:w="3288" w:type="pct"/>
            <w:tcBorders>
              <w:top w:val="single" w:sz="6" w:space="0" w:color="C0504D" w:themeColor="accent2"/>
              <w:left w:val="single" w:sz="6" w:space="0" w:color="C0504D" w:themeColor="accent2"/>
              <w:bottom w:val="single" w:sz="6" w:space="0" w:color="C0504D" w:themeColor="accent2"/>
            </w:tcBorders>
          </w:tcPr>
          <w:p w14:paraId="202D80A1"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Subsidijuojamas skirtumas tarp šiame ex ante vertinime naudojamos bankų palūkanų normos ir paskolos modelyje fiksuotų palūkanų galutiniams naudos gavėjams.</w:t>
            </w:r>
          </w:p>
        </w:tc>
      </w:tr>
      <w:tr w:rsidR="000E59DF" w:rsidRPr="00E44C84" w14:paraId="0BF36F01" w14:textId="77777777" w:rsidTr="0005008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4E14AEC0" w14:textId="77777777" w:rsidR="000E59DF" w:rsidRPr="00E44C84" w:rsidRDefault="000E59DF" w:rsidP="000E59DF">
            <w:pPr>
              <w:rPr>
                <w:rFonts w:ascii="Georgia" w:hAnsi="Georgia"/>
                <w:b w:val="0"/>
                <w:sz w:val="20"/>
                <w:szCs w:val="20"/>
              </w:rPr>
            </w:pPr>
            <w:r w:rsidRPr="00E44C84">
              <w:rPr>
                <w:rFonts w:ascii="Georgia" w:hAnsi="Georgia"/>
                <w:sz w:val="20"/>
                <w:szCs w:val="20"/>
              </w:rPr>
              <w:t xml:space="preserve">Investuojamų ESI fondų lėšų suma: </w:t>
            </w:r>
            <w:r>
              <w:rPr>
                <w:rFonts w:ascii="Georgia" w:hAnsi="Georgia"/>
                <w:sz w:val="20"/>
                <w:szCs w:val="20"/>
              </w:rPr>
              <w:t>280,9</w:t>
            </w:r>
            <w:r w:rsidRPr="00E44C84">
              <w:rPr>
                <w:rFonts w:ascii="Georgia" w:hAnsi="Georgia"/>
                <w:sz w:val="20"/>
                <w:szCs w:val="20"/>
              </w:rPr>
              <w:t xml:space="preserve"> mln. eurų</w:t>
            </w:r>
          </w:p>
        </w:tc>
        <w:tc>
          <w:tcPr>
            <w:tcW w:w="3288" w:type="pct"/>
            <w:tcBorders>
              <w:top w:val="single" w:sz="6" w:space="0" w:color="C0504D" w:themeColor="accent2"/>
              <w:left w:val="single" w:sz="6" w:space="0" w:color="C0504D" w:themeColor="accent2"/>
              <w:bottom w:val="single" w:sz="6" w:space="0" w:color="C0504D" w:themeColor="accent2"/>
            </w:tcBorders>
          </w:tcPr>
          <w:p w14:paraId="0A80D837"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Visos 2014-2020 periodo ESI fondų lėšos skiriamos garantijų priemonei</w:t>
            </w:r>
          </w:p>
        </w:tc>
      </w:tr>
      <w:tr w:rsidR="000E59DF" w:rsidRPr="00E44C84" w14:paraId="17CFE1E5" w14:textId="77777777" w:rsidTr="0005008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14F6359C" w14:textId="77777777" w:rsidR="000E59DF" w:rsidRPr="00E44C84" w:rsidRDefault="000E59DF" w:rsidP="000E59DF">
            <w:pPr>
              <w:rPr>
                <w:rFonts w:ascii="Georgia" w:hAnsi="Georgia"/>
                <w:sz w:val="20"/>
                <w:szCs w:val="20"/>
              </w:rPr>
            </w:pPr>
            <w:r w:rsidRPr="00E44C84">
              <w:rPr>
                <w:rFonts w:ascii="Georgia" w:hAnsi="Georgia"/>
                <w:sz w:val="20"/>
              </w:rPr>
              <w:t>JESSICA KF grįžtančios lėšos: 67,2 mln. eurų</w:t>
            </w:r>
          </w:p>
        </w:tc>
        <w:tc>
          <w:tcPr>
            <w:tcW w:w="3288" w:type="pct"/>
            <w:tcBorders>
              <w:top w:val="single" w:sz="6" w:space="0" w:color="C0504D" w:themeColor="accent2"/>
              <w:left w:val="single" w:sz="6" w:space="0" w:color="C0504D" w:themeColor="accent2"/>
              <w:bottom w:val="single" w:sz="6" w:space="0" w:color="C0504D" w:themeColor="accent2"/>
            </w:tcBorders>
          </w:tcPr>
          <w:p w14:paraId="447356A5"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rPr>
              <w:t xml:space="preserve"> 2007-2013 m. periodo grįžtančios lėšos, kurios sudarytų apie 67,2 mln. eurų.</w:t>
            </w:r>
          </w:p>
        </w:tc>
      </w:tr>
      <w:tr w:rsidR="000E59DF" w:rsidRPr="00E44C84" w14:paraId="360FF01A" w14:textId="77777777" w:rsidTr="0005008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1D19BB87" w14:textId="77777777" w:rsidR="000E59DF" w:rsidRPr="00E44C84" w:rsidRDefault="000E59DF" w:rsidP="000E59DF">
            <w:pPr>
              <w:rPr>
                <w:rFonts w:ascii="Georgia" w:hAnsi="Georgia"/>
                <w:sz w:val="20"/>
                <w:szCs w:val="20"/>
              </w:rPr>
            </w:pPr>
            <w:r w:rsidRPr="00E44C84">
              <w:rPr>
                <w:rFonts w:ascii="Georgia" w:hAnsi="Georgia"/>
                <w:sz w:val="20"/>
                <w:szCs w:val="20"/>
              </w:rPr>
              <w:t>Fonde rezervuojamos lėšos garantijų įsipareigojimų vykdymui: 10 %</w:t>
            </w:r>
          </w:p>
        </w:tc>
        <w:tc>
          <w:tcPr>
            <w:tcW w:w="3288" w:type="pct"/>
            <w:tcBorders>
              <w:top w:val="single" w:sz="6" w:space="0" w:color="C0504D" w:themeColor="accent2"/>
              <w:left w:val="single" w:sz="6" w:space="0" w:color="C0504D" w:themeColor="accent2"/>
              <w:bottom w:val="single" w:sz="6" w:space="0" w:color="C0504D" w:themeColor="accent2"/>
            </w:tcBorders>
          </w:tcPr>
          <w:p w14:paraId="7F3BD965"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Fondo garantiniams įsipareigojimams vykdyti rezervuojama 10% nuo bankų suteiktų paskolų sumos galutiniams naudos gavėjams. Ši prielaida atitinka PwC studijoje aprašytą prielaidą.</w:t>
            </w:r>
          </w:p>
        </w:tc>
      </w:tr>
      <w:tr w:rsidR="000E59DF" w:rsidRPr="00E44C84" w14:paraId="032CCFE1" w14:textId="77777777" w:rsidTr="0005008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1C7AEB64" w14:textId="77777777" w:rsidR="000E59DF" w:rsidRPr="00E44C84" w:rsidRDefault="000E59DF" w:rsidP="000E59DF">
            <w:pPr>
              <w:jc w:val="both"/>
              <w:rPr>
                <w:rFonts w:ascii="Georgia" w:hAnsi="Georgia"/>
                <w:sz w:val="20"/>
              </w:rPr>
            </w:pPr>
            <w:r w:rsidRPr="00E44C84">
              <w:rPr>
                <w:rFonts w:ascii="Georgia" w:hAnsi="Georgia"/>
                <w:sz w:val="20"/>
              </w:rPr>
              <w:t>Siektinas įgyvendinamų projektų skaičius: 520 projektų per metus</w:t>
            </w:r>
          </w:p>
        </w:tc>
        <w:tc>
          <w:tcPr>
            <w:tcW w:w="3288" w:type="pct"/>
            <w:tcBorders>
              <w:top w:val="single" w:sz="6" w:space="0" w:color="C0504D" w:themeColor="accent2"/>
              <w:left w:val="single" w:sz="6" w:space="0" w:color="C0504D" w:themeColor="accent2"/>
              <w:bottom w:val="single" w:sz="6" w:space="0" w:color="C0504D" w:themeColor="accent2"/>
            </w:tcBorders>
          </w:tcPr>
          <w:p w14:paraId="32A51BEB"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Vertinant projektų kiekį, buvo paskaičiuota kiek projektų galima atlikti turimomis fondo lėšomis (pagal šį scenarijų) per 2014-2020 programavimo laikotarpį ir projektai proporcingai išdėstyti iki 2020 metų. Vertinama, kad šio scenarijaus atveju, per metus bus įgyvendinama 520 naujų projektų.</w:t>
            </w:r>
          </w:p>
        </w:tc>
      </w:tr>
      <w:tr w:rsidR="000E59DF" w:rsidRPr="00E44C84" w14:paraId="7ABD9774" w14:textId="77777777" w:rsidTr="0005008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692FA57B" w14:textId="77777777" w:rsidR="000E59DF" w:rsidRPr="00E44C84" w:rsidRDefault="000E59DF" w:rsidP="000E59DF">
            <w:pPr>
              <w:rPr>
                <w:rFonts w:ascii="Georgia" w:hAnsi="Georgia"/>
                <w:sz w:val="20"/>
              </w:rPr>
            </w:pPr>
            <w:r w:rsidRPr="00E44C84">
              <w:rPr>
                <w:rFonts w:ascii="Georgia" w:hAnsi="Georgia"/>
                <w:sz w:val="20"/>
              </w:rPr>
              <w:t>Valdymo mokestis: remiantis Deleguoto reglamento nuostatomis</w:t>
            </w:r>
          </w:p>
        </w:tc>
        <w:tc>
          <w:tcPr>
            <w:tcW w:w="3288" w:type="pct"/>
            <w:tcBorders>
              <w:top w:val="single" w:sz="6" w:space="0" w:color="C0504D" w:themeColor="accent2"/>
              <w:left w:val="single" w:sz="6" w:space="0" w:color="C0504D" w:themeColor="accent2"/>
              <w:bottom w:val="single" w:sz="6" w:space="0" w:color="C0504D" w:themeColor="accent2"/>
            </w:tcBorders>
          </w:tcPr>
          <w:p w14:paraId="63EC491C"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rPr>
              <w:t>Vadovaujantis Deleguoto reglamento nuostatomis, valdymo mokestis susideda iš dviejų dalių: 0,5 proc. bazinis mokestis nuo finansinei priemonei skirtų ir įmokėtų lėšų, 1,5 proc. mokestis nuo garantijų, suteiktų galutiniams naudos gavėjams, sumos.</w:t>
            </w:r>
          </w:p>
        </w:tc>
      </w:tr>
      <w:tr w:rsidR="000E59DF" w:rsidRPr="00E44C84" w14:paraId="1A475A19" w14:textId="77777777" w:rsidTr="0005008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right w:val="single" w:sz="6" w:space="0" w:color="C0504D" w:themeColor="accent2"/>
            </w:tcBorders>
          </w:tcPr>
          <w:p w14:paraId="566826A3" w14:textId="77777777" w:rsidR="000E59DF" w:rsidRPr="00E44C84" w:rsidRDefault="000E59DF" w:rsidP="000E59DF">
            <w:pPr>
              <w:rPr>
                <w:rFonts w:ascii="Georgia" w:hAnsi="Georgia"/>
                <w:sz w:val="20"/>
              </w:rPr>
            </w:pPr>
            <w:r w:rsidRPr="00E44C84">
              <w:rPr>
                <w:rFonts w:ascii="Georgia" w:hAnsi="Georgia"/>
                <w:sz w:val="20"/>
              </w:rPr>
              <w:t>Projekto įgyvendinimo trukmė: 1 metai</w:t>
            </w:r>
          </w:p>
        </w:tc>
        <w:tc>
          <w:tcPr>
            <w:tcW w:w="3288" w:type="pct"/>
            <w:tcBorders>
              <w:top w:val="single" w:sz="6" w:space="0" w:color="C0504D" w:themeColor="accent2"/>
              <w:left w:val="single" w:sz="6" w:space="0" w:color="C0504D" w:themeColor="accent2"/>
            </w:tcBorders>
          </w:tcPr>
          <w:p w14:paraId="749F31D3"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Remiantis šiuo metu įgyvendinamų projektų duomenimis nustatyta vidutinė projekto įgyvendinimo trukmė – 1 metai nuo paskolos sutarties pasirašymo dienos.</w:t>
            </w:r>
          </w:p>
        </w:tc>
      </w:tr>
    </w:tbl>
    <w:p w14:paraId="3E584108" w14:textId="77777777" w:rsidR="000E59DF" w:rsidRPr="00E44C84" w:rsidRDefault="000E59DF" w:rsidP="000E59DF">
      <w:pPr>
        <w:rPr>
          <w:rFonts w:ascii="Georgia" w:hAnsi="Georgia"/>
          <w:sz w:val="20"/>
          <w:szCs w:val="20"/>
          <w:lang w:val="lt-LT"/>
        </w:rPr>
      </w:pPr>
    </w:p>
    <w:p w14:paraId="5AC3A27A" w14:textId="77777777" w:rsidR="000E59DF" w:rsidRPr="00E44C84" w:rsidRDefault="000E59DF" w:rsidP="000E59DF">
      <w:pPr>
        <w:jc w:val="both"/>
        <w:rPr>
          <w:rFonts w:ascii="Georgia" w:hAnsi="Georgia"/>
          <w:sz w:val="20"/>
          <w:szCs w:val="20"/>
          <w:lang w:val="lt-LT"/>
        </w:rPr>
      </w:pPr>
    </w:p>
    <w:p w14:paraId="1E3D029B" w14:textId="02C2C25F" w:rsidR="000E59DF" w:rsidRPr="00E44C84" w:rsidRDefault="000E59DF" w:rsidP="000E59DF">
      <w:pPr>
        <w:pStyle w:val="Antrat"/>
        <w:jc w:val="both"/>
        <w:rPr>
          <w:lang w:val="lt-LT"/>
        </w:rPr>
      </w:pPr>
      <w:bookmarkStart w:id="152" w:name="_Toc460321646"/>
      <w:r w:rsidRPr="00E44C84">
        <w:rPr>
          <w:lang w:val="lt-LT"/>
        </w:rPr>
        <w:lastRenderedPageBreak/>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AA3082">
        <w:rPr>
          <w:noProof/>
          <w:lang w:val="lt-LT"/>
        </w:rPr>
        <w:t>65</w:t>
      </w:r>
      <w:r w:rsidRPr="00E44C84">
        <w:rPr>
          <w:lang w:val="lt-LT"/>
        </w:rPr>
        <w:fldChar w:fldCharType="end"/>
      </w:r>
      <w:r w:rsidRPr="00E44C84">
        <w:rPr>
          <w:lang w:val="lt-LT"/>
        </w:rPr>
        <w:t>. Scenarijaus Nr. 4 įgyvendinimo prognozė</w:t>
      </w:r>
      <w:bookmarkEnd w:id="152"/>
    </w:p>
    <w:p w14:paraId="2599B772" w14:textId="77777777" w:rsidR="000E59DF" w:rsidRPr="00E44C84" w:rsidRDefault="000E59DF" w:rsidP="000E59DF">
      <w:pPr>
        <w:pStyle w:val="Antrat"/>
        <w:rPr>
          <w:lang w:val="lt-LT"/>
        </w:rPr>
      </w:pPr>
      <w:r>
        <w:rPr>
          <w:noProof/>
          <w:lang w:val="lt-LT" w:eastAsia="lt-LT"/>
        </w:rPr>
        <w:drawing>
          <wp:inline distT="0" distB="0" distL="0" distR="0" wp14:anchorId="7C1F9C66" wp14:editId="63BFEC7D">
            <wp:extent cx="6120130" cy="3298825"/>
            <wp:effectExtent l="0" t="0" r="0" b="0"/>
            <wp:docPr id="51"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6120130" cy="3298825"/>
                    </a:xfrm>
                    <a:prstGeom prst="rect">
                      <a:avLst/>
                    </a:prstGeom>
                    <a:noFill/>
                    <a:ln>
                      <a:noFill/>
                    </a:ln>
                  </pic:spPr>
                </pic:pic>
              </a:graphicData>
            </a:graphic>
          </wp:inline>
        </w:drawing>
      </w:r>
    </w:p>
    <w:p w14:paraId="151F60AA" w14:textId="4395154C" w:rsidR="000E59DF" w:rsidRPr="00E44C84" w:rsidRDefault="000E59DF" w:rsidP="000E59DF">
      <w:pPr>
        <w:pStyle w:val="Antrat"/>
        <w:rPr>
          <w:szCs w:val="20"/>
          <w:lang w:val="lt-LT"/>
        </w:rPr>
      </w:pPr>
      <w:bookmarkStart w:id="153" w:name="_Toc460321647"/>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AA3082">
        <w:rPr>
          <w:noProof/>
          <w:lang w:val="lt-LT"/>
        </w:rPr>
        <w:t>66</w:t>
      </w:r>
      <w:r w:rsidRPr="00E44C84">
        <w:rPr>
          <w:lang w:val="lt-LT"/>
        </w:rPr>
        <w:fldChar w:fldCharType="end"/>
      </w:r>
      <w:r w:rsidRPr="00E44C84">
        <w:rPr>
          <w:lang w:val="lt-LT"/>
        </w:rPr>
        <w:t xml:space="preserve">. </w:t>
      </w:r>
      <w:r w:rsidRPr="00E44C84">
        <w:rPr>
          <w:szCs w:val="20"/>
          <w:lang w:val="lt-LT"/>
        </w:rPr>
        <w:t>Scenarijaus Nr. 4 rezultatai</w:t>
      </w:r>
      <w:bookmarkEnd w:id="153"/>
    </w:p>
    <w:tbl>
      <w:tblPr>
        <w:tblStyle w:val="viesussraas2parykinimas"/>
        <w:tblW w:w="5000" w:type="pct"/>
        <w:tblLook w:val="04A0" w:firstRow="1" w:lastRow="0" w:firstColumn="1" w:lastColumn="0" w:noHBand="0" w:noVBand="1"/>
      </w:tblPr>
      <w:tblGrid>
        <w:gridCol w:w="6651"/>
        <w:gridCol w:w="2591"/>
      </w:tblGrid>
      <w:tr w:rsidR="000E59DF" w:rsidRPr="00E44C84" w14:paraId="4437FCFE" w14:textId="77777777" w:rsidTr="000E59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6FCC21D6" w14:textId="77777777" w:rsidR="000E59DF" w:rsidRPr="00E44C84" w:rsidRDefault="000E59DF" w:rsidP="000E59DF">
            <w:pPr>
              <w:jc w:val="center"/>
              <w:rPr>
                <w:rFonts w:ascii="Georgia" w:hAnsi="Georgia"/>
                <w:sz w:val="20"/>
                <w:szCs w:val="20"/>
              </w:rPr>
            </w:pPr>
            <w:r w:rsidRPr="00E44C84">
              <w:rPr>
                <w:rFonts w:ascii="Georgia" w:hAnsi="Georgia"/>
                <w:sz w:val="20"/>
                <w:szCs w:val="20"/>
              </w:rPr>
              <w:t>Fondas</w:t>
            </w:r>
          </w:p>
        </w:tc>
        <w:tc>
          <w:tcPr>
            <w:tcW w:w="1402" w:type="pct"/>
          </w:tcPr>
          <w:p w14:paraId="053B04E8" w14:textId="77777777" w:rsidR="000E59DF" w:rsidRPr="00E44C84" w:rsidRDefault="000E59DF" w:rsidP="000E59DF">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 xml:space="preserve">mln. </w:t>
            </w:r>
            <w:r w:rsidRPr="00E44C84">
              <w:rPr>
                <w:rFonts w:ascii="Georgia" w:hAnsi="Georgia"/>
                <w:sz w:val="20"/>
              </w:rPr>
              <w:t>eurų</w:t>
            </w:r>
          </w:p>
        </w:tc>
      </w:tr>
      <w:tr w:rsidR="000E59DF" w:rsidRPr="00E44C84" w14:paraId="3AEA7507" w14:textId="77777777" w:rsidTr="000E5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32F16568" w14:textId="77777777" w:rsidR="000E59DF" w:rsidRPr="00E44C84" w:rsidRDefault="000E59DF" w:rsidP="000E59DF">
            <w:pPr>
              <w:rPr>
                <w:rFonts w:ascii="Georgia" w:hAnsi="Georgia"/>
                <w:sz w:val="20"/>
                <w:szCs w:val="20"/>
              </w:rPr>
            </w:pPr>
            <w:r w:rsidRPr="00E44C84">
              <w:rPr>
                <w:rFonts w:ascii="Georgia" w:hAnsi="Georgia"/>
                <w:sz w:val="20"/>
                <w:szCs w:val="20"/>
              </w:rPr>
              <w:t>Galutinius naudos gavėjus pasiekusios lėšos</w:t>
            </w:r>
          </w:p>
        </w:tc>
        <w:tc>
          <w:tcPr>
            <w:tcW w:w="1402" w:type="pct"/>
          </w:tcPr>
          <w:p w14:paraId="71CC050B" w14:textId="77777777" w:rsidR="000E59DF" w:rsidRPr="00E44C84" w:rsidRDefault="000E59DF" w:rsidP="000E59DF">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629,1</w:t>
            </w:r>
          </w:p>
        </w:tc>
      </w:tr>
      <w:tr w:rsidR="000E59DF" w:rsidRPr="00E44C84" w14:paraId="49D2257F" w14:textId="77777777" w:rsidTr="000E59DF">
        <w:tc>
          <w:tcPr>
            <w:cnfStyle w:val="001000000000" w:firstRow="0" w:lastRow="0" w:firstColumn="1" w:lastColumn="0" w:oddVBand="0" w:evenVBand="0" w:oddHBand="0" w:evenHBand="0" w:firstRowFirstColumn="0" w:firstRowLastColumn="0" w:lastRowFirstColumn="0" w:lastRowLastColumn="0"/>
            <w:tcW w:w="3598" w:type="pct"/>
          </w:tcPr>
          <w:p w14:paraId="4F985519" w14:textId="77777777" w:rsidR="000E59DF" w:rsidRPr="00E44C84" w:rsidRDefault="000E59DF" w:rsidP="000E59DF">
            <w:pPr>
              <w:rPr>
                <w:rFonts w:ascii="Georgia" w:hAnsi="Georgia"/>
                <w:sz w:val="20"/>
                <w:szCs w:val="20"/>
              </w:rPr>
            </w:pPr>
            <w:r w:rsidRPr="00E44C84">
              <w:rPr>
                <w:rFonts w:ascii="Georgia" w:hAnsi="Georgia"/>
                <w:sz w:val="20"/>
                <w:szCs w:val="20"/>
              </w:rPr>
              <w:t>Komercinių bankų išmokėtos lėšos</w:t>
            </w:r>
          </w:p>
        </w:tc>
        <w:tc>
          <w:tcPr>
            <w:tcW w:w="1402" w:type="pct"/>
          </w:tcPr>
          <w:p w14:paraId="22058BD5" w14:textId="77777777" w:rsidR="000E59DF" w:rsidRPr="00E44C84" w:rsidRDefault="000E59DF" w:rsidP="000E59DF">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534,7</w:t>
            </w:r>
          </w:p>
        </w:tc>
      </w:tr>
      <w:tr w:rsidR="000E59DF" w:rsidRPr="00E44C84" w14:paraId="1E83DD90" w14:textId="77777777" w:rsidTr="000E5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1DF55F0B" w14:textId="77777777" w:rsidR="000E59DF" w:rsidRPr="00E44C84" w:rsidRDefault="000E59DF" w:rsidP="000E59DF">
            <w:pPr>
              <w:rPr>
                <w:rFonts w:ascii="Georgia" w:hAnsi="Georgia"/>
                <w:sz w:val="20"/>
                <w:szCs w:val="20"/>
              </w:rPr>
            </w:pPr>
            <w:r w:rsidRPr="00E44C84">
              <w:rPr>
                <w:rFonts w:ascii="Georgia" w:hAnsi="Georgia"/>
                <w:sz w:val="20"/>
                <w:szCs w:val="20"/>
              </w:rPr>
              <w:t>Renovuotų pastatų skaičius</w:t>
            </w:r>
          </w:p>
        </w:tc>
        <w:tc>
          <w:tcPr>
            <w:tcW w:w="1402" w:type="pct"/>
          </w:tcPr>
          <w:p w14:paraId="694BDDAB" w14:textId="77777777" w:rsidR="000E59DF" w:rsidRPr="00E44C84" w:rsidRDefault="000E59DF" w:rsidP="000E59DF">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3382</w:t>
            </w:r>
          </w:p>
        </w:tc>
      </w:tr>
    </w:tbl>
    <w:p w14:paraId="43D79B21" w14:textId="77777777" w:rsidR="000E59DF" w:rsidRPr="00E44C84" w:rsidRDefault="000E59DF" w:rsidP="000E59DF">
      <w:pPr>
        <w:rPr>
          <w:rFonts w:ascii="Georgia" w:hAnsi="Georgia"/>
          <w:sz w:val="20"/>
          <w:szCs w:val="20"/>
          <w:lang w:val="lt-LT"/>
        </w:rPr>
      </w:pPr>
    </w:p>
    <w:p w14:paraId="41671535" w14:textId="77777777" w:rsidR="000E59DF" w:rsidRPr="00E44C84" w:rsidRDefault="000E59DF" w:rsidP="000E59DF">
      <w:pPr>
        <w:pStyle w:val="Sraopastraipa"/>
        <w:keepNext/>
        <w:numPr>
          <w:ilvl w:val="0"/>
          <w:numId w:val="34"/>
        </w:numPr>
        <w:ind w:left="714" w:hanging="357"/>
        <w:rPr>
          <w:rFonts w:ascii="Georgia" w:hAnsi="Georgia"/>
          <w:b/>
          <w:i/>
          <w:sz w:val="20"/>
          <w:szCs w:val="20"/>
          <w:lang w:val="lt-LT"/>
        </w:rPr>
      </w:pPr>
      <w:r w:rsidRPr="00E44C84">
        <w:rPr>
          <w:rFonts w:ascii="Georgia" w:hAnsi="Georgia"/>
          <w:b/>
          <w:i/>
          <w:sz w:val="20"/>
          <w:szCs w:val="20"/>
          <w:lang w:val="lt-LT"/>
        </w:rPr>
        <w:lastRenderedPageBreak/>
        <w:t>Scenarijus Nr. 5: ESI fondų lėšos panaudojamos fondo pirmojo nuostolio padengimui</w:t>
      </w:r>
    </w:p>
    <w:p w14:paraId="2AA57263" w14:textId="77777777" w:rsidR="000E59DF" w:rsidRPr="00E44C84" w:rsidRDefault="000E59DF" w:rsidP="000E59DF">
      <w:pPr>
        <w:keepNext/>
        <w:jc w:val="both"/>
        <w:rPr>
          <w:szCs w:val="20"/>
          <w:lang w:val="lt-LT"/>
        </w:rPr>
      </w:pPr>
      <w:r w:rsidRPr="00E44C84">
        <w:rPr>
          <w:rFonts w:ascii="Georgia" w:hAnsi="Georgia"/>
          <w:sz w:val="20"/>
          <w:szCs w:val="20"/>
          <w:lang w:val="lt-LT"/>
        </w:rPr>
        <w:t>Šio scenarijaus atveju ESI fondų lėšos būtų investuojamos į steigiamo juridinio asmens kapitalą – investicinį fondą. Šiomis lėšomis būtų užtikrinamas privačių investuotojų ir/ar paskolos davėjų investicijų saugumas.</w:t>
      </w:r>
    </w:p>
    <w:p w14:paraId="28221B87" w14:textId="77777777" w:rsidR="0010799D" w:rsidRDefault="000E59DF" w:rsidP="000E59DF">
      <w:pPr>
        <w:pStyle w:val="Antrat"/>
        <w:rPr>
          <w:lang w:val="lt-LT"/>
        </w:rPr>
      </w:pPr>
      <w:r>
        <w:rPr>
          <w:noProof/>
          <w:lang w:val="lt-LT" w:eastAsia="lt-LT"/>
        </w:rPr>
        <w:drawing>
          <wp:inline distT="0" distB="0" distL="0" distR="0" wp14:anchorId="54E065EE" wp14:editId="3FB3323A">
            <wp:extent cx="5811520" cy="2501900"/>
            <wp:effectExtent l="0" t="0" r="0" b="0"/>
            <wp:docPr id="52" name="Paveikslėlis 13" descr="\\vipa-server\ESCO_Rolandas\EE ex-antes skaiciavimai\Schemos (Rolandas) (Taisytos 2014-11-10)\Daugiabuciu\Daugiabuciai N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pa-server\ESCO_Rolandas\EE ex-antes skaiciavimai\Schemos (Rolandas) (Taisytos 2014-11-10)\Daugiabuciu\Daugiabuciai Nr. 5.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5811520" cy="2501900"/>
                    </a:xfrm>
                    <a:prstGeom prst="rect">
                      <a:avLst/>
                    </a:prstGeom>
                    <a:noFill/>
                    <a:ln>
                      <a:noFill/>
                    </a:ln>
                  </pic:spPr>
                </pic:pic>
              </a:graphicData>
            </a:graphic>
          </wp:inline>
        </w:drawing>
      </w:r>
    </w:p>
    <w:p w14:paraId="3F86E289" w14:textId="6DDFA2BA" w:rsidR="000E59DF" w:rsidRPr="00E44C84" w:rsidRDefault="000E59DF" w:rsidP="000E59DF">
      <w:pPr>
        <w:pStyle w:val="Antrat"/>
        <w:rPr>
          <w:szCs w:val="20"/>
          <w:lang w:val="lt-LT"/>
        </w:rPr>
      </w:pPr>
      <w:bookmarkStart w:id="154" w:name="_Toc417378302"/>
      <w:r w:rsidRPr="00E44C84">
        <w:rPr>
          <w:lang w:val="lt-LT"/>
        </w:rPr>
        <w:t xml:space="preserve">Paveikslas </w:t>
      </w:r>
      <w:r w:rsidRPr="00E44C84">
        <w:rPr>
          <w:lang w:val="lt-LT"/>
        </w:rPr>
        <w:fldChar w:fldCharType="begin"/>
      </w:r>
      <w:r w:rsidRPr="00E44C84">
        <w:rPr>
          <w:lang w:val="lt-LT"/>
        </w:rPr>
        <w:instrText xml:space="preserve"> SEQ Paveikslas \* ARABIC </w:instrText>
      </w:r>
      <w:r w:rsidRPr="00E44C84">
        <w:rPr>
          <w:lang w:val="lt-LT"/>
        </w:rPr>
        <w:fldChar w:fldCharType="separate"/>
      </w:r>
      <w:r w:rsidR="00AA3082">
        <w:rPr>
          <w:noProof/>
          <w:lang w:val="lt-LT"/>
        </w:rPr>
        <w:t>25</w:t>
      </w:r>
      <w:r w:rsidRPr="00E44C84">
        <w:rPr>
          <w:lang w:val="lt-LT"/>
        </w:rPr>
        <w:fldChar w:fldCharType="end"/>
      </w:r>
      <w:r w:rsidRPr="00E44C84">
        <w:rPr>
          <w:lang w:val="lt-LT"/>
        </w:rPr>
        <w:t>. Daugiabučių scenarijaus Nr. 5 schema.</w:t>
      </w:r>
      <w:bookmarkEnd w:id="154"/>
      <w:r w:rsidRPr="00E44C84">
        <w:rPr>
          <w:lang w:val="lt-LT"/>
        </w:rPr>
        <w:t xml:space="preserve"> </w:t>
      </w:r>
    </w:p>
    <w:p w14:paraId="34AD691A" w14:textId="77777777" w:rsidR="000E59DF" w:rsidRPr="00E44C84" w:rsidRDefault="000E59DF" w:rsidP="000E59DF">
      <w:pPr>
        <w:jc w:val="both"/>
        <w:rPr>
          <w:rFonts w:ascii="Georgia" w:hAnsi="Georgia"/>
          <w:sz w:val="20"/>
          <w:szCs w:val="20"/>
          <w:lang w:val="lt-LT"/>
        </w:rPr>
      </w:pPr>
      <w:r w:rsidRPr="00E44C84">
        <w:rPr>
          <w:rFonts w:ascii="Georgia" w:hAnsi="Georgia"/>
          <w:sz w:val="20"/>
          <w:szCs w:val="20"/>
          <w:lang w:val="lt-LT"/>
        </w:rPr>
        <w:t>Atsižvelgiant į komercinių bankų ir kitų finansų institucijų nuomonę, vertinant trumpą turimą paskolų grąžinimo istoriją bei JESSICA programos įgyvendinimo patirtį, galima būtų tikėtis, kad 2014-2020 m. periodu į fondą pritrauktos lėšos susidėtų iš apie 30 proc. ESI fondų lėšų ir iki 70 proc. iš kitų institucinių investuotojų pritrauktų lėšų (pažymėtina, kad toks lėšų portfelis – galutinis fondo veiklos rezultatas 2014-2020 m. periodo pabaigoje, o ne pradinis fondo veiklos lėšų portfelis). Pirmiausia turėtų būti įnešamos ESI fondų lėšos (įnašas ar paskola), iš kurių būtų suformuotas fondo kapitalas, kuris užtikrintų tolesnių investuotojų investicijų saugumą. Privačių investuotojų (įskaitant bankus) lėšų pritraukimo sėkmė priklausys nuo daugelio fondo veiklą įtakojančių aplinkybių, įskaitant, bet neapsiribojant, ekonominės situacijos, teisinės bazės stabilumo, valstybės institucijų ir finansinių tarpininkų veiklos efektyvumo. Galimybės pritraukti privačių lėšų yra veikiamos bankų vidinės politikos bei apsisprendimo skolinti, o taip pat, didele dalimi priklauso nuo fondo valdytojo patirties, sugebėjimų ir strategijos, taip pat sumos, kuri bus skirta suformuoti fondo kapitalo pagrindą, dydžio.</w:t>
      </w:r>
    </w:p>
    <w:p w14:paraId="7BA5E149" w14:textId="77777777" w:rsidR="000E59DF" w:rsidRPr="00E44C84" w:rsidRDefault="000E59DF" w:rsidP="000E59DF">
      <w:pPr>
        <w:jc w:val="both"/>
        <w:rPr>
          <w:rFonts w:ascii="Georgia" w:hAnsi="Georgia"/>
          <w:sz w:val="20"/>
          <w:szCs w:val="20"/>
          <w:lang w:val="lt-LT"/>
        </w:rPr>
      </w:pPr>
      <w:r w:rsidRPr="00E44C84">
        <w:rPr>
          <w:rFonts w:ascii="Georgia" w:hAnsi="Georgia"/>
          <w:sz w:val="20"/>
          <w:szCs w:val="20"/>
          <w:lang w:val="lt-LT"/>
        </w:rPr>
        <w:t>Su galimais investuotojais (tarptautinėmis finansų institucijomis, komerciniais bankais, pensijų fondais ir t.t.) aptarus fondo sukūrimo galimybes, buvo nustatyta, jog apie 30 proc. kuriamo investicinio fondo lėšų galėtų sudaryti 2014-2020 m. periodo ESI fondų lėšos, o 70 proc. privačių investuotojų lėšos (paskolos ir/ar investicijos). Taigi daroma prielaida, kad bendras fondas siektų ik</w:t>
      </w:r>
      <w:r>
        <w:rPr>
          <w:rFonts w:ascii="Georgia" w:hAnsi="Georgia"/>
          <w:sz w:val="20"/>
          <w:szCs w:val="20"/>
          <w:lang w:val="lt-LT"/>
        </w:rPr>
        <w:t>i 1 mlrd. eurų, iš kurių apie 65</w:t>
      </w:r>
      <w:r w:rsidRPr="00E44C84">
        <w:rPr>
          <w:rFonts w:ascii="Georgia" w:hAnsi="Georgia"/>
          <w:sz w:val="20"/>
          <w:szCs w:val="20"/>
          <w:lang w:val="lt-LT"/>
        </w:rPr>
        <w:t>5,</w:t>
      </w:r>
      <w:r>
        <w:rPr>
          <w:rFonts w:ascii="Georgia" w:hAnsi="Georgia"/>
          <w:sz w:val="20"/>
          <w:szCs w:val="20"/>
          <w:lang w:val="lt-LT"/>
        </w:rPr>
        <w:t>4</w:t>
      </w:r>
      <w:r w:rsidRPr="00E44C84">
        <w:rPr>
          <w:rFonts w:ascii="Georgia" w:hAnsi="Georgia"/>
          <w:sz w:val="20"/>
          <w:szCs w:val="20"/>
          <w:lang w:val="lt-LT"/>
        </w:rPr>
        <w:t xml:space="preserve"> mln. eurų sudarytų privačių investuotojų lėšos, o </w:t>
      </w:r>
      <w:r>
        <w:rPr>
          <w:rFonts w:ascii="Georgia" w:hAnsi="Georgia"/>
          <w:sz w:val="20"/>
          <w:szCs w:val="20"/>
          <w:lang w:val="lt-LT"/>
        </w:rPr>
        <w:t>280,9</w:t>
      </w:r>
      <w:r w:rsidRPr="00E44C84">
        <w:rPr>
          <w:rFonts w:ascii="Georgia" w:hAnsi="Georgia"/>
          <w:sz w:val="20"/>
          <w:szCs w:val="20"/>
          <w:lang w:val="lt-LT"/>
        </w:rPr>
        <w:t xml:space="preserve"> mln. eurų – 2014-2020 m. periodo lėšos. Pagal turimą fondo dydį vertinamos maksimalios galutinius naudos gavėjus pasiekusios lėšos ir maksimalus galimas projektų skaičius.</w:t>
      </w:r>
    </w:p>
    <w:p w14:paraId="25C09B5E" w14:textId="63EFF030" w:rsidR="000E59DF" w:rsidRPr="00E44C84" w:rsidRDefault="000E59DF" w:rsidP="000E59DF">
      <w:pPr>
        <w:pStyle w:val="Antrat"/>
        <w:rPr>
          <w:szCs w:val="20"/>
          <w:lang w:val="lt-LT"/>
        </w:rPr>
      </w:pPr>
      <w:bookmarkStart w:id="155" w:name="_Toc460321648"/>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AA3082">
        <w:rPr>
          <w:noProof/>
          <w:lang w:val="lt-LT"/>
        </w:rPr>
        <w:t>67</w:t>
      </w:r>
      <w:r w:rsidRPr="00E44C84">
        <w:rPr>
          <w:lang w:val="lt-LT"/>
        </w:rPr>
        <w:fldChar w:fldCharType="end"/>
      </w:r>
      <w:r w:rsidRPr="00E44C84">
        <w:rPr>
          <w:lang w:val="lt-LT"/>
        </w:rPr>
        <w:t>. Scenarijaus Nr. 5 prielaidos</w:t>
      </w:r>
      <w:bookmarkEnd w:id="155"/>
    </w:p>
    <w:tbl>
      <w:tblPr>
        <w:tblStyle w:val="viesussraas2parykinimas"/>
        <w:tblW w:w="5000" w:type="pct"/>
        <w:tblLook w:val="04A0" w:firstRow="1" w:lastRow="0" w:firstColumn="1" w:lastColumn="0" w:noHBand="0" w:noVBand="1"/>
      </w:tblPr>
      <w:tblGrid>
        <w:gridCol w:w="3164"/>
        <w:gridCol w:w="6078"/>
      </w:tblGrid>
      <w:tr w:rsidR="000E59DF" w:rsidRPr="00E44C84" w14:paraId="2AA83A52" w14:textId="77777777" w:rsidTr="000E59D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12" w:type="pct"/>
            <w:tcBorders>
              <w:bottom w:val="single" w:sz="8" w:space="0" w:color="C0504D" w:themeColor="accent2"/>
            </w:tcBorders>
          </w:tcPr>
          <w:p w14:paraId="691523B6" w14:textId="77777777" w:rsidR="000E59DF" w:rsidRPr="00E44C84" w:rsidRDefault="000E59DF" w:rsidP="0005008F">
            <w:pPr>
              <w:keepNext/>
              <w:jc w:val="center"/>
              <w:rPr>
                <w:rFonts w:ascii="Georgia" w:hAnsi="Georgia"/>
                <w:sz w:val="20"/>
                <w:szCs w:val="20"/>
              </w:rPr>
            </w:pPr>
            <w:r w:rsidRPr="00E44C84">
              <w:rPr>
                <w:rFonts w:ascii="Georgia" w:hAnsi="Georgia"/>
                <w:sz w:val="20"/>
                <w:szCs w:val="20"/>
              </w:rPr>
              <w:t>Prielaidos</w:t>
            </w:r>
          </w:p>
        </w:tc>
        <w:tc>
          <w:tcPr>
            <w:tcW w:w="3288" w:type="pct"/>
            <w:tcBorders>
              <w:bottom w:val="single" w:sz="8" w:space="0" w:color="C0504D" w:themeColor="accent2"/>
            </w:tcBorders>
          </w:tcPr>
          <w:p w14:paraId="6B07F0A8" w14:textId="77777777" w:rsidR="000E59DF" w:rsidRPr="00E44C84" w:rsidRDefault="000E59DF" w:rsidP="0005008F">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Komentaras</w:t>
            </w:r>
          </w:p>
        </w:tc>
      </w:tr>
      <w:tr w:rsidR="000E59DF" w:rsidRPr="00E44C84" w14:paraId="4A1E592C"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bottom w:val="single" w:sz="6" w:space="0" w:color="C0504D" w:themeColor="accent2"/>
              <w:right w:val="single" w:sz="6" w:space="0" w:color="C0504D" w:themeColor="accent2"/>
            </w:tcBorders>
          </w:tcPr>
          <w:p w14:paraId="12D214D0" w14:textId="77777777" w:rsidR="000E59DF" w:rsidRPr="00E44C84" w:rsidRDefault="000E59DF" w:rsidP="000E59DF">
            <w:pPr>
              <w:rPr>
                <w:rFonts w:ascii="Georgia" w:hAnsi="Georgia"/>
                <w:b w:val="0"/>
                <w:sz w:val="20"/>
                <w:szCs w:val="20"/>
              </w:rPr>
            </w:pPr>
            <w:r w:rsidRPr="00E44C84">
              <w:rPr>
                <w:rFonts w:ascii="Georgia" w:hAnsi="Georgia"/>
                <w:sz w:val="20"/>
                <w:szCs w:val="20"/>
              </w:rPr>
              <w:t>Paskolos laikotarpis: iki 20 metų</w:t>
            </w:r>
          </w:p>
        </w:tc>
        <w:tc>
          <w:tcPr>
            <w:tcW w:w="3288" w:type="pct"/>
            <w:tcBorders>
              <w:left w:val="single" w:sz="6" w:space="0" w:color="C0504D" w:themeColor="accent2"/>
              <w:bottom w:val="single" w:sz="6" w:space="0" w:color="C0504D" w:themeColor="accent2"/>
            </w:tcBorders>
          </w:tcPr>
          <w:p w14:paraId="20752BCF"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Maksimalus paskolos suteikimo terminas 20 metų.</w:t>
            </w:r>
          </w:p>
        </w:tc>
      </w:tr>
      <w:tr w:rsidR="000E59DF" w:rsidRPr="00E44C84" w14:paraId="1ED15E09"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094FD6F0" w14:textId="77777777" w:rsidR="000E59DF" w:rsidRPr="00E44C84" w:rsidRDefault="000E59DF" w:rsidP="000E59DF">
            <w:pPr>
              <w:rPr>
                <w:rFonts w:ascii="Georgia" w:hAnsi="Georgia"/>
                <w:b w:val="0"/>
                <w:sz w:val="20"/>
                <w:szCs w:val="20"/>
              </w:rPr>
            </w:pPr>
            <w:r w:rsidRPr="00E44C84">
              <w:rPr>
                <w:rFonts w:ascii="Georgia" w:hAnsi="Georgia"/>
                <w:sz w:val="20"/>
                <w:szCs w:val="20"/>
              </w:rPr>
              <w:lastRenderedPageBreak/>
              <w:t>Subsidija: 15 %</w:t>
            </w:r>
          </w:p>
        </w:tc>
        <w:tc>
          <w:tcPr>
            <w:tcW w:w="3288" w:type="pct"/>
            <w:tcBorders>
              <w:top w:val="single" w:sz="6" w:space="0" w:color="C0504D" w:themeColor="accent2"/>
              <w:left w:val="single" w:sz="6" w:space="0" w:color="C0504D" w:themeColor="accent2"/>
              <w:bottom w:val="single" w:sz="6" w:space="0" w:color="C0504D" w:themeColor="accent2"/>
            </w:tcBorders>
          </w:tcPr>
          <w:p w14:paraId="56F56285"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Projektams, pasiekusiems ne mažesnį kaip 40 proc. sutaupymą, suteikiama 15 % subsidija (papildoma valstybės parama) biudžeto lėšomis, (modeliuojant ši suma pervedama į fondą ir laikoma grįžtančiomis lėšomis).</w:t>
            </w:r>
          </w:p>
        </w:tc>
      </w:tr>
      <w:tr w:rsidR="000E59DF" w:rsidRPr="00E44C84" w14:paraId="16862B3B"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61115150" w14:textId="77777777" w:rsidR="000E59DF" w:rsidRPr="00E44C84" w:rsidRDefault="000E59DF" w:rsidP="000E59DF">
            <w:pPr>
              <w:rPr>
                <w:rFonts w:ascii="Georgia" w:hAnsi="Georgia"/>
                <w:b w:val="0"/>
                <w:sz w:val="20"/>
                <w:szCs w:val="20"/>
              </w:rPr>
            </w:pPr>
            <w:r>
              <w:rPr>
                <w:rFonts w:ascii="Georgia" w:hAnsi="Georgia"/>
                <w:sz w:val="20"/>
              </w:rPr>
              <w:t>Palūkanų kompensavimo mechanizmas</w:t>
            </w:r>
            <w:r w:rsidRPr="00E44C84">
              <w:rPr>
                <w:rFonts w:ascii="Georgia" w:hAnsi="Georgia"/>
                <w:sz w:val="20"/>
                <w:szCs w:val="20"/>
              </w:rPr>
              <w:t>: 15 %</w:t>
            </w:r>
          </w:p>
        </w:tc>
        <w:tc>
          <w:tcPr>
            <w:tcW w:w="3288" w:type="pct"/>
            <w:tcBorders>
              <w:top w:val="single" w:sz="6" w:space="0" w:color="C0504D" w:themeColor="accent2"/>
              <w:left w:val="single" w:sz="6" w:space="0" w:color="C0504D" w:themeColor="accent2"/>
              <w:bottom w:val="single" w:sz="6" w:space="0" w:color="C0504D" w:themeColor="accent2"/>
            </w:tcBorders>
          </w:tcPr>
          <w:p w14:paraId="7069664A"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 xml:space="preserve">Po projekto įgyvendinimo paskolos suma sumažinama 15 %. Ši suma atitinka apytiksliai 2 proc. palūkanų, kurias sumoka galutiniai naudos gavėjai per 20 metų paskolos laikotarpį (t.y. galutiniai naudos gavėjai per 20 metų sumoka ne 3 proc. palūkanų, o 1 proc. palūkanų). </w:t>
            </w:r>
          </w:p>
        </w:tc>
      </w:tr>
      <w:tr w:rsidR="000E59DF" w:rsidRPr="00E44C84" w14:paraId="299F3F8D"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34354423" w14:textId="77777777" w:rsidR="000E59DF" w:rsidRPr="00E44C84" w:rsidRDefault="000E59DF" w:rsidP="000E59DF">
            <w:pPr>
              <w:rPr>
                <w:rFonts w:ascii="Georgia" w:hAnsi="Georgia"/>
                <w:b w:val="0"/>
                <w:sz w:val="20"/>
                <w:szCs w:val="20"/>
              </w:rPr>
            </w:pPr>
            <w:r w:rsidRPr="00E44C84">
              <w:rPr>
                <w:rFonts w:ascii="Georgia" w:hAnsi="Georgia"/>
                <w:sz w:val="20"/>
                <w:szCs w:val="20"/>
              </w:rPr>
              <w:t>Išankstinis paskolos grąžinimas: 10% praėjus dvejiems metams po projekto įgyvendinimo</w:t>
            </w:r>
          </w:p>
        </w:tc>
        <w:tc>
          <w:tcPr>
            <w:tcW w:w="3288" w:type="pct"/>
            <w:tcBorders>
              <w:top w:val="single" w:sz="6" w:space="0" w:color="C0504D" w:themeColor="accent2"/>
              <w:left w:val="single" w:sz="6" w:space="0" w:color="C0504D" w:themeColor="accent2"/>
              <w:bottom w:val="single" w:sz="6" w:space="0" w:color="C0504D" w:themeColor="accent2"/>
            </w:tcBorders>
          </w:tcPr>
          <w:p w14:paraId="7A83B40D"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Prielaida, kad anksčiau laiko grįžtančios paskolos praėjus dvejiems metams po projekto įgyvendinimo sudarys 10 % paskolų portfelio, nustatyta remiantis ekspertų ir komercinių bankų vertinimu.</w:t>
            </w:r>
          </w:p>
        </w:tc>
      </w:tr>
      <w:tr w:rsidR="000E59DF" w:rsidRPr="00E44C84" w14:paraId="4CCEC0DB"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5D55BC31" w14:textId="77777777" w:rsidR="000E59DF" w:rsidRPr="00E44C84" w:rsidRDefault="000E59DF" w:rsidP="000E59DF">
            <w:pPr>
              <w:rPr>
                <w:rFonts w:ascii="Georgia" w:hAnsi="Georgia"/>
                <w:b w:val="0"/>
                <w:sz w:val="20"/>
                <w:szCs w:val="20"/>
              </w:rPr>
            </w:pPr>
            <w:r w:rsidRPr="00E44C84">
              <w:rPr>
                <w:rFonts w:ascii="Georgia" w:hAnsi="Georgia"/>
                <w:sz w:val="20"/>
                <w:szCs w:val="20"/>
              </w:rPr>
              <w:t>Blogų paskolų dalis: 5 %</w:t>
            </w:r>
          </w:p>
        </w:tc>
        <w:tc>
          <w:tcPr>
            <w:tcW w:w="3288" w:type="pct"/>
            <w:tcBorders>
              <w:top w:val="single" w:sz="6" w:space="0" w:color="C0504D" w:themeColor="accent2"/>
              <w:left w:val="single" w:sz="6" w:space="0" w:color="C0504D" w:themeColor="accent2"/>
              <w:bottom w:val="single" w:sz="6" w:space="0" w:color="C0504D" w:themeColor="accent2"/>
            </w:tcBorders>
          </w:tcPr>
          <w:p w14:paraId="3D2197F1"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Blogų paskolų dalis buvo nustatyta remiantis ekspertų ir komercinių bankų vertinimu.</w:t>
            </w:r>
          </w:p>
        </w:tc>
      </w:tr>
      <w:tr w:rsidR="000E59DF" w:rsidRPr="00E44C84" w14:paraId="5B4F7224"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32C97643" w14:textId="77777777" w:rsidR="000E59DF" w:rsidRPr="00E44C84" w:rsidRDefault="000E59DF" w:rsidP="000E59DF">
            <w:pPr>
              <w:rPr>
                <w:rFonts w:ascii="Georgia" w:hAnsi="Georgia"/>
                <w:b w:val="0"/>
                <w:sz w:val="20"/>
                <w:szCs w:val="20"/>
              </w:rPr>
            </w:pPr>
            <w:r w:rsidRPr="00E44C84">
              <w:rPr>
                <w:rFonts w:ascii="Georgia" w:hAnsi="Georgia"/>
                <w:sz w:val="20"/>
                <w:szCs w:val="20"/>
              </w:rPr>
              <w:t xml:space="preserve">Tipinio pastato projekto investicijų vertė: </w:t>
            </w:r>
          </w:p>
          <w:p w14:paraId="75CAC6F9" w14:textId="77777777" w:rsidR="000E59DF" w:rsidRPr="00E44C84" w:rsidRDefault="000E59DF" w:rsidP="000E59DF">
            <w:pPr>
              <w:rPr>
                <w:rFonts w:ascii="Georgia" w:hAnsi="Georgia"/>
                <w:b w:val="0"/>
                <w:sz w:val="20"/>
                <w:szCs w:val="20"/>
              </w:rPr>
            </w:pPr>
            <w:r w:rsidRPr="00E44C84">
              <w:rPr>
                <w:rFonts w:ascii="Georgia" w:hAnsi="Georgia"/>
                <w:sz w:val="20"/>
                <w:szCs w:val="20"/>
              </w:rPr>
              <w:t xml:space="preserve">186.000 </w:t>
            </w:r>
            <w:r w:rsidRPr="00E44C84">
              <w:rPr>
                <w:rFonts w:ascii="Georgia" w:hAnsi="Georgia"/>
                <w:sz w:val="20"/>
              </w:rPr>
              <w:t>eurų</w:t>
            </w:r>
          </w:p>
        </w:tc>
        <w:tc>
          <w:tcPr>
            <w:tcW w:w="3288" w:type="pct"/>
            <w:tcBorders>
              <w:top w:val="single" w:sz="6" w:space="0" w:color="C0504D" w:themeColor="accent2"/>
              <w:left w:val="single" w:sz="6" w:space="0" w:color="C0504D" w:themeColor="accent2"/>
              <w:bottom w:val="single" w:sz="6" w:space="0" w:color="C0504D" w:themeColor="accent2"/>
            </w:tcBorders>
          </w:tcPr>
          <w:p w14:paraId="7F40281A"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Vidutinė tipinio daugiabučio renovacijos kaina buvo nustatyta remiantis vidutinio daugiabučio plotu (paskaičiuota remiantis registrų centro duomenimis). Vidutinė statybos darbų kaina nustatyta pagal BETA pateiktus duomenis.</w:t>
            </w:r>
          </w:p>
        </w:tc>
      </w:tr>
      <w:tr w:rsidR="000E59DF" w:rsidRPr="00E44C84" w14:paraId="085F45E7"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11DAC34C" w14:textId="77777777" w:rsidR="000E59DF" w:rsidRPr="00E44C84" w:rsidRDefault="000E59DF" w:rsidP="000E59DF">
            <w:pPr>
              <w:rPr>
                <w:rFonts w:ascii="Georgia" w:hAnsi="Georgia"/>
                <w:b w:val="0"/>
                <w:sz w:val="20"/>
                <w:szCs w:val="20"/>
              </w:rPr>
            </w:pPr>
            <w:r w:rsidRPr="00E44C84">
              <w:rPr>
                <w:rFonts w:ascii="Georgia" w:hAnsi="Georgia"/>
                <w:sz w:val="20"/>
                <w:szCs w:val="20"/>
              </w:rPr>
              <w:t>Palūkanų norma: 3 %</w:t>
            </w:r>
          </w:p>
        </w:tc>
        <w:tc>
          <w:tcPr>
            <w:tcW w:w="3288" w:type="pct"/>
            <w:tcBorders>
              <w:top w:val="single" w:sz="6" w:space="0" w:color="C0504D" w:themeColor="accent2"/>
              <w:left w:val="single" w:sz="6" w:space="0" w:color="C0504D" w:themeColor="accent2"/>
              <w:bottom w:val="single" w:sz="6" w:space="0" w:color="C0504D" w:themeColor="accent2"/>
            </w:tcBorders>
          </w:tcPr>
          <w:p w14:paraId="1082E386"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Palūkanų norma galutiniams naudos gavėjams - fiksuotos 3 % metinės palūkanos.</w:t>
            </w:r>
          </w:p>
        </w:tc>
      </w:tr>
      <w:tr w:rsidR="000E59DF" w:rsidRPr="00E44C84" w14:paraId="002CE9A2"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4A096790" w14:textId="77777777" w:rsidR="000E59DF" w:rsidRPr="00E44C84" w:rsidRDefault="000E59DF" w:rsidP="000E59DF">
            <w:pPr>
              <w:rPr>
                <w:rFonts w:ascii="Georgia" w:hAnsi="Georgia"/>
                <w:b w:val="0"/>
                <w:sz w:val="20"/>
                <w:szCs w:val="20"/>
              </w:rPr>
            </w:pPr>
            <w:r w:rsidRPr="00E44C84">
              <w:rPr>
                <w:rFonts w:ascii="Georgia" w:hAnsi="Georgia"/>
                <w:sz w:val="20"/>
                <w:szCs w:val="20"/>
              </w:rPr>
              <w:t xml:space="preserve">Investuojamų ESI fondų lėšų suma: </w:t>
            </w:r>
            <w:r>
              <w:rPr>
                <w:rFonts w:ascii="Georgia" w:hAnsi="Georgia"/>
                <w:sz w:val="20"/>
                <w:szCs w:val="20"/>
              </w:rPr>
              <w:t>280,9</w:t>
            </w:r>
            <w:r w:rsidRPr="00E44C84">
              <w:rPr>
                <w:rFonts w:ascii="Georgia" w:hAnsi="Georgia"/>
                <w:sz w:val="20"/>
                <w:szCs w:val="20"/>
              </w:rPr>
              <w:t xml:space="preserve"> mln. </w:t>
            </w:r>
            <w:r w:rsidRPr="00E44C84">
              <w:rPr>
                <w:rFonts w:ascii="Georgia" w:hAnsi="Georgia"/>
                <w:sz w:val="20"/>
              </w:rPr>
              <w:t>eurų</w:t>
            </w:r>
          </w:p>
        </w:tc>
        <w:tc>
          <w:tcPr>
            <w:tcW w:w="3288" w:type="pct"/>
            <w:tcBorders>
              <w:top w:val="single" w:sz="6" w:space="0" w:color="C0504D" w:themeColor="accent2"/>
              <w:left w:val="single" w:sz="6" w:space="0" w:color="C0504D" w:themeColor="accent2"/>
              <w:bottom w:val="single" w:sz="6" w:space="0" w:color="C0504D" w:themeColor="accent2"/>
            </w:tcBorders>
          </w:tcPr>
          <w:p w14:paraId="65D6E570"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rPr>
              <w:t>280,9</w:t>
            </w:r>
            <w:r w:rsidRPr="00E44C84">
              <w:rPr>
                <w:rFonts w:ascii="Georgia" w:hAnsi="Georgia"/>
                <w:sz w:val="20"/>
              </w:rPr>
              <w:t xml:space="preserve"> mln. eurų 2014-2020 m. ESI fondų lėšų skiriama daugiabučių renovacijos paskolų priemonei</w:t>
            </w:r>
          </w:p>
        </w:tc>
      </w:tr>
      <w:tr w:rsidR="000E59DF" w:rsidRPr="00E44C84" w14:paraId="55844F70"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560BAD90" w14:textId="77777777" w:rsidR="000E59DF" w:rsidRPr="00E44C84" w:rsidRDefault="000E59DF" w:rsidP="000E59DF">
            <w:pPr>
              <w:rPr>
                <w:rFonts w:ascii="Georgia" w:hAnsi="Georgia"/>
                <w:sz w:val="20"/>
                <w:szCs w:val="20"/>
              </w:rPr>
            </w:pPr>
            <w:r w:rsidRPr="00E44C84">
              <w:rPr>
                <w:rFonts w:ascii="Georgia" w:hAnsi="Georgia"/>
                <w:sz w:val="20"/>
              </w:rPr>
              <w:t>JESSICA KF grįžtančios lėšos: 67,2 mln. eurų</w:t>
            </w:r>
          </w:p>
        </w:tc>
        <w:tc>
          <w:tcPr>
            <w:tcW w:w="3288" w:type="pct"/>
            <w:tcBorders>
              <w:top w:val="single" w:sz="6" w:space="0" w:color="C0504D" w:themeColor="accent2"/>
              <w:left w:val="single" w:sz="6" w:space="0" w:color="C0504D" w:themeColor="accent2"/>
              <w:bottom w:val="single" w:sz="6" w:space="0" w:color="C0504D" w:themeColor="accent2"/>
            </w:tcBorders>
          </w:tcPr>
          <w:p w14:paraId="190E529F"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rPr>
              <w:t>2007-2013 m. periodo grįžtančios lėšos, kurios sudarytų apie 67,2 mln. eurų.</w:t>
            </w:r>
          </w:p>
        </w:tc>
      </w:tr>
      <w:tr w:rsidR="000E59DF" w:rsidRPr="00E44C84" w14:paraId="6359F4EC"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4FE865EF" w14:textId="77777777" w:rsidR="000E59DF" w:rsidRPr="00E44C84" w:rsidRDefault="000E59DF" w:rsidP="000E59DF">
            <w:pPr>
              <w:rPr>
                <w:rFonts w:ascii="Georgia" w:hAnsi="Georgia"/>
                <w:b w:val="0"/>
                <w:sz w:val="20"/>
                <w:szCs w:val="20"/>
              </w:rPr>
            </w:pPr>
            <w:r w:rsidRPr="00E44C84">
              <w:rPr>
                <w:rFonts w:ascii="Georgia" w:hAnsi="Georgia"/>
                <w:sz w:val="20"/>
                <w:szCs w:val="20"/>
              </w:rPr>
              <w:t>Galimų p</w:t>
            </w:r>
            <w:r>
              <w:rPr>
                <w:rFonts w:ascii="Georgia" w:hAnsi="Georgia"/>
                <w:sz w:val="20"/>
                <w:szCs w:val="20"/>
              </w:rPr>
              <w:t>ritraukti privačių lėšų suma: 65</w:t>
            </w:r>
            <w:r w:rsidRPr="00E44C84">
              <w:rPr>
                <w:rFonts w:ascii="Georgia" w:hAnsi="Georgia"/>
                <w:sz w:val="20"/>
                <w:szCs w:val="20"/>
              </w:rPr>
              <w:t>5,</w:t>
            </w:r>
            <w:r>
              <w:rPr>
                <w:rFonts w:ascii="Georgia" w:hAnsi="Georgia"/>
                <w:sz w:val="20"/>
                <w:szCs w:val="20"/>
              </w:rPr>
              <w:t>4</w:t>
            </w:r>
          </w:p>
        </w:tc>
        <w:tc>
          <w:tcPr>
            <w:tcW w:w="3288" w:type="pct"/>
            <w:tcBorders>
              <w:top w:val="single" w:sz="6" w:space="0" w:color="C0504D" w:themeColor="accent2"/>
              <w:left w:val="single" w:sz="6" w:space="0" w:color="C0504D" w:themeColor="accent2"/>
              <w:bottom w:val="single" w:sz="6" w:space="0" w:color="C0504D" w:themeColor="accent2"/>
            </w:tcBorders>
          </w:tcPr>
          <w:p w14:paraId="219B7165"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 xml:space="preserve">Remiantis prielaidą, kad bendroje fondo apimtyje privačios lėšos gali sudaryti apie 70 proc. visų lėšų, numatoma </w:t>
            </w:r>
            <w:r>
              <w:rPr>
                <w:rFonts w:ascii="Georgia" w:hAnsi="Georgia"/>
                <w:sz w:val="20"/>
                <w:szCs w:val="20"/>
              </w:rPr>
              <w:t>jog privačios lėšos sudarys - 655,4</w:t>
            </w:r>
            <w:r w:rsidRPr="00E44C84">
              <w:rPr>
                <w:rFonts w:ascii="Georgia" w:hAnsi="Georgia"/>
                <w:sz w:val="20"/>
                <w:szCs w:val="20"/>
              </w:rPr>
              <w:t xml:space="preserve"> mln. </w:t>
            </w:r>
            <w:r w:rsidRPr="00E44C84">
              <w:rPr>
                <w:rFonts w:ascii="Georgia" w:hAnsi="Georgia"/>
                <w:sz w:val="20"/>
              </w:rPr>
              <w:t>eurų</w:t>
            </w:r>
            <w:r w:rsidRPr="00E44C84">
              <w:rPr>
                <w:rFonts w:ascii="Georgia" w:hAnsi="Georgia"/>
                <w:sz w:val="20"/>
                <w:szCs w:val="20"/>
              </w:rPr>
              <w:t>.</w:t>
            </w:r>
          </w:p>
        </w:tc>
      </w:tr>
      <w:tr w:rsidR="000E59DF" w:rsidRPr="00E44C84" w14:paraId="4E7F837F"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0D15FBA5" w14:textId="77777777" w:rsidR="000E59DF" w:rsidRPr="00E44C84" w:rsidRDefault="000E59DF" w:rsidP="000E59DF">
            <w:pPr>
              <w:jc w:val="both"/>
              <w:rPr>
                <w:rFonts w:ascii="Georgia" w:hAnsi="Georgia"/>
                <w:sz w:val="20"/>
              </w:rPr>
            </w:pPr>
            <w:r w:rsidRPr="00E44C84">
              <w:rPr>
                <w:rFonts w:ascii="Georgia" w:hAnsi="Georgia"/>
                <w:sz w:val="20"/>
              </w:rPr>
              <w:t>Siektinas įgyvendinamų projektų skaičius: 750 projektų per metus</w:t>
            </w:r>
          </w:p>
        </w:tc>
        <w:tc>
          <w:tcPr>
            <w:tcW w:w="3288" w:type="pct"/>
            <w:tcBorders>
              <w:top w:val="single" w:sz="6" w:space="0" w:color="C0504D" w:themeColor="accent2"/>
              <w:left w:val="single" w:sz="6" w:space="0" w:color="C0504D" w:themeColor="accent2"/>
              <w:bottom w:val="single" w:sz="6" w:space="0" w:color="C0504D" w:themeColor="accent2"/>
            </w:tcBorders>
          </w:tcPr>
          <w:p w14:paraId="1F63B0BA"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Vertinant projektų kiekį, buvo paskaičiuota kiek projektų galima atlikti turimomis fondo lėšomis (pagal šį scenarijų) per 2014-2020 programavimo laikotarpį ir projektai proporcingai išdėstyti iki 2020 metų. Vertinama, kad šio scenarijaus atveju, per metus bus įgyvendinama 750 naujų projektų.</w:t>
            </w:r>
          </w:p>
        </w:tc>
      </w:tr>
      <w:tr w:rsidR="000E59DF" w:rsidRPr="00E44C84" w14:paraId="23BA0C0E"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0CE47442" w14:textId="77777777" w:rsidR="000E59DF" w:rsidRPr="00E44C84" w:rsidRDefault="000E59DF" w:rsidP="000E59DF">
            <w:pPr>
              <w:jc w:val="both"/>
              <w:rPr>
                <w:rFonts w:ascii="Georgia" w:hAnsi="Georgia"/>
                <w:sz w:val="20"/>
              </w:rPr>
            </w:pPr>
            <w:r w:rsidRPr="00E44C84">
              <w:rPr>
                <w:rFonts w:ascii="Georgia" w:hAnsi="Georgia"/>
                <w:sz w:val="20"/>
              </w:rPr>
              <w:t>Valdymo mokestis: vadovaujantis Deleguoto reglamento nuostatomis</w:t>
            </w:r>
          </w:p>
        </w:tc>
        <w:tc>
          <w:tcPr>
            <w:tcW w:w="3288" w:type="pct"/>
            <w:tcBorders>
              <w:top w:val="single" w:sz="6" w:space="0" w:color="C0504D" w:themeColor="accent2"/>
              <w:left w:val="single" w:sz="6" w:space="0" w:color="C0504D" w:themeColor="accent2"/>
              <w:bottom w:val="single" w:sz="6" w:space="0" w:color="C0504D" w:themeColor="accent2"/>
            </w:tcBorders>
          </w:tcPr>
          <w:p w14:paraId="334CC8A4"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Vadovaujantis Deleguoto reglamento nuostatomis, valdymo mokestis susideda iš dviejų dalių: 0,5 proc. bazinis mokestis nuo finansinei priemonei skirtų ir įmokėtų lėšų, 1 proc. mokestis nuo paskolų, suteiktų galutiniams naudos gavėjams, sumos.</w:t>
            </w:r>
          </w:p>
        </w:tc>
      </w:tr>
      <w:tr w:rsidR="000E59DF" w:rsidRPr="00E44C84" w14:paraId="78791557"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336D2BB6" w14:textId="77777777" w:rsidR="000E59DF" w:rsidRPr="00E44C84" w:rsidRDefault="000E59DF" w:rsidP="000E59DF">
            <w:pPr>
              <w:rPr>
                <w:rFonts w:ascii="Georgia" w:hAnsi="Georgia"/>
                <w:b w:val="0"/>
                <w:i/>
                <w:sz w:val="20"/>
                <w:szCs w:val="20"/>
              </w:rPr>
            </w:pPr>
            <w:r w:rsidRPr="00E44C84">
              <w:rPr>
                <w:rFonts w:ascii="Georgia" w:hAnsi="Georgia"/>
                <w:sz w:val="20"/>
              </w:rPr>
              <w:t>Projekto įgyvendinimo trukmė: 1 metai</w:t>
            </w:r>
          </w:p>
        </w:tc>
        <w:tc>
          <w:tcPr>
            <w:tcW w:w="3288" w:type="pct"/>
            <w:tcBorders>
              <w:top w:val="single" w:sz="6" w:space="0" w:color="C0504D" w:themeColor="accent2"/>
              <w:left w:val="single" w:sz="6" w:space="0" w:color="C0504D" w:themeColor="accent2"/>
              <w:bottom w:val="single" w:sz="6" w:space="0" w:color="C0504D" w:themeColor="accent2"/>
            </w:tcBorders>
          </w:tcPr>
          <w:p w14:paraId="7E32A88D"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rPr>
              <w:t>Remiantis šiuo metu įgyvendinamų projektų duomenimis nustatyta vidutinė projekto įgyvendinimo trukmė – 1 metai nuo paskolos sutarties pasirašymo dienos.</w:t>
            </w:r>
          </w:p>
        </w:tc>
      </w:tr>
      <w:tr w:rsidR="000E59DF" w:rsidRPr="00E44C84" w14:paraId="14248627"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5834AF01" w14:textId="77777777" w:rsidR="000E59DF" w:rsidRPr="00E44C84" w:rsidRDefault="000E59DF" w:rsidP="000E59DF">
            <w:pPr>
              <w:rPr>
                <w:rFonts w:ascii="Georgia" w:hAnsi="Georgia"/>
                <w:b w:val="0"/>
                <w:i/>
                <w:sz w:val="20"/>
                <w:szCs w:val="20"/>
              </w:rPr>
            </w:pPr>
            <w:r w:rsidRPr="00E44C84">
              <w:rPr>
                <w:rFonts w:ascii="Georgia" w:hAnsi="Georgia"/>
                <w:sz w:val="20"/>
              </w:rPr>
              <w:t xml:space="preserve">Sugrįžusios lėšos pakartotinai panaudojamos: po 2 metų </w:t>
            </w:r>
          </w:p>
        </w:tc>
        <w:tc>
          <w:tcPr>
            <w:tcW w:w="3288" w:type="pct"/>
            <w:tcBorders>
              <w:top w:val="single" w:sz="6" w:space="0" w:color="C0504D" w:themeColor="accent2"/>
              <w:left w:val="single" w:sz="6" w:space="0" w:color="C0504D" w:themeColor="accent2"/>
              <w:bottom w:val="single" w:sz="6" w:space="0" w:color="C0504D" w:themeColor="accent2"/>
            </w:tcBorders>
          </w:tcPr>
          <w:p w14:paraId="782A91B3" w14:textId="77777777" w:rsidR="000E59DF" w:rsidRPr="00E44C84" w:rsidRDefault="000E59DF" w:rsidP="000E59D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E44C84">
              <w:rPr>
                <w:rFonts w:ascii="Georgia" w:hAnsi="Georgia"/>
                <w:sz w:val="20"/>
              </w:rPr>
              <w:t>Daroma prielaida, jog grįžtančios lėšos pakartotinai panaudojamos projektų finansavimui tomis pačiomis sąlygomis po 2 metų.</w:t>
            </w:r>
          </w:p>
        </w:tc>
      </w:tr>
    </w:tbl>
    <w:p w14:paraId="583B3F0A" w14:textId="77777777" w:rsidR="000E59DF" w:rsidRPr="00E44C84" w:rsidRDefault="000E59DF" w:rsidP="000E59DF">
      <w:pPr>
        <w:rPr>
          <w:rFonts w:ascii="Georgia" w:hAnsi="Georgia"/>
          <w:sz w:val="20"/>
          <w:szCs w:val="20"/>
          <w:lang w:val="lt-LT"/>
        </w:rPr>
      </w:pPr>
    </w:p>
    <w:p w14:paraId="73EE374D" w14:textId="60A53F83" w:rsidR="000E59DF" w:rsidRPr="00E44C84" w:rsidRDefault="000E59DF" w:rsidP="000E59DF">
      <w:pPr>
        <w:pStyle w:val="Antrat"/>
        <w:jc w:val="both"/>
        <w:rPr>
          <w:lang w:val="lt-LT"/>
        </w:rPr>
      </w:pPr>
      <w:bookmarkStart w:id="156" w:name="_Toc460321649"/>
      <w:r w:rsidRPr="00E44C84">
        <w:rPr>
          <w:lang w:val="lt-LT"/>
        </w:rPr>
        <w:lastRenderedPageBreak/>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AA3082">
        <w:rPr>
          <w:noProof/>
          <w:lang w:val="lt-LT"/>
        </w:rPr>
        <w:t>68</w:t>
      </w:r>
      <w:r w:rsidRPr="00E44C84">
        <w:rPr>
          <w:lang w:val="lt-LT"/>
        </w:rPr>
        <w:fldChar w:fldCharType="end"/>
      </w:r>
      <w:r w:rsidRPr="00E44C84">
        <w:rPr>
          <w:lang w:val="lt-LT"/>
        </w:rPr>
        <w:t>. Scenarijaus Nr. 5 įgyvendinimo prognozė</w:t>
      </w:r>
      <w:bookmarkEnd w:id="156"/>
    </w:p>
    <w:p w14:paraId="14CC688E" w14:textId="77777777" w:rsidR="000E59DF" w:rsidRPr="00E44C84" w:rsidRDefault="000E59DF" w:rsidP="000E59DF">
      <w:pPr>
        <w:pStyle w:val="Antrat"/>
        <w:rPr>
          <w:lang w:val="lt-LT"/>
        </w:rPr>
      </w:pPr>
      <w:r>
        <w:rPr>
          <w:noProof/>
          <w:lang w:val="lt-LT" w:eastAsia="lt-LT"/>
        </w:rPr>
        <w:drawing>
          <wp:inline distT="0" distB="0" distL="0" distR="0" wp14:anchorId="589AC1F2" wp14:editId="440F49D0">
            <wp:extent cx="6114415" cy="2670175"/>
            <wp:effectExtent l="0" t="0" r="635" b="0"/>
            <wp:docPr id="53"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6114415" cy="2670175"/>
                    </a:xfrm>
                    <a:prstGeom prst="rect">
                      <a:avLst/>
                    </a:prstGeom>
                    <a:noFill/>
                    <a:ln>
                      <a:noFill/>
                    </a:ln>
                  </pic:spPr>
                </pic:pic>
              </a:graphicData>
            </a:graphic>
          </wp:inline>
        </w:drawing>
      </w:r>
    </w:p>
    <w:p w14:paraId="00D3D280" w14:textId="1C260EC1" w:rsidR="000E59DF" w:rsidRPr="00E44C84" w:rsidRDefault="000E59DF" w:rsidP="000E59DF">
      <w:pPr>
        <w:pStyle w:val="Antrat"/>
        <w:rPr>
          <w:lang w:val="lt-LT"/>
        </w:rPr>
      </w:pPr>
      <w:bookmarkStart w:id="157" w:name="_Toc460321650"/>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AA3082">
        <w:rPr>
          <w:noProof/>
          <w:lang w:val="lt-LT"/>
        </w:rPr>
        <w:t>69</w:t>
      </w:r>
      <w:r w:rsidRPr="00E44C84">
        <w:rPr>
          <w:lang w:val="lt-LT"/>
        </w:rPr>
        <w:fldChar w:fldCharType="end"/>
      </w:r>
      <w:r w:rsidRPr="00E44C84">
        <w:rPr>
          <w:lang w:val="lt-LT"/>
        </w:rPr>
        <w:t xml:space="preserve">. </w:t>
      </w:r>
      <w:r w:rsidRPr="00E44C84">
        <w:rPr>
          <w:szCs w:val="20"/>
          <w:lang w:val="lt-LT"/>
        </w:rPr>
        <w:t>Scenarijaus Nr. 5 rezultatai</w:t>
      </w:r>
      <w:bookmarkEnd w:id="157"/>
    </w:p>
    <w:tbl>
      <w:tblPr>
        <w:tblStyle w:val="viesussraas2parykinimas"/>
        <w:tblW w:w="0" w:type="auto"/>
        <w:tblLook w:val="04A0" w:firstRow="1" w:lastRow="0" w:firstColumn="1" w:lastColumn="0" w:noHBand="0" w:noVBand="1"/>
      </w:tblPr>
      <w:tblGrid>
        <w:gridCol w:w="6651"/>
        <w:gridCol w:w="2591"/>
      </w:tblGrid>
      <w:tr w:rsidR="000E59DF" w:rsidRPr="00E44C84" w14:paraId="784D2025" w14:textId="77777777" w:rsidTr="000E59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1" w:type="dxa"/>
          </w:tcPr>
          <w:p w14:paraId="593F33D8" w14:textId="77777777" w:rsidR="000E59DF" w:rsidRPr="00E44C84" w:rsidRDefault="000E59DF" w:rsidP="000E59DF">
            <w:pPr>
              <w:jc w:val="center"/>
              <w:rPr>
                <w:rFonts w:ascii="Georgia" w:hAnsi="Georgia"/>
              </w:rPr>
            </w:pPr>
            <w:r w:rsidRPr="00E44C84">
              <w:rPr>
                <w:rFonts w:ascii="Georgia" w:hAnsi="Georgia"/>
              </w:rPr>
              <w:t>Fondas</w:t>
            </w:r>
          </w:p>
        </w:tc>
        <w:tc>
          <w:tcPr>
            <w:tcW w:w="2591" w:type="dxa"/>
          </w:tcPr>
          <w:p w14:paraId="68B4B9E9" w14:textId="77777777" w:rsidR="000E59DF" w:rsidRPr="00E44C84" w:rsidRDefault="000E59DF" w:rsidP="000E59DF">
            <w:pPr>
              <w:jc w:val="center"/>
              <w:cnfStyle w:val="100000000000" w:firstRow="1" w:lastRow="0" w:firstColumn="0" w:lastColumn="0" w:oddVBand="0" w:evenVBand="0" w:oddHBand="0" w:evenHBand="0" w:firstRowFirstColumn="0" w:firstRowLastColumn="0" w:lastRowFirstColumn="0" w:lastRowLastColumn="0"/>
              <w:rPr>
                <w:rFonts w:ascii="Georgia" w:hAnsi="Georgia"/>
              </w:rPr>
            </w:pPr>
            <w:r w:rsidRPr="00E44C84">
              <w:rPr>
                <w:rFonts w:ascii="Georgia" w:hAnsi="Georgia"/>
              </w:rPr>
              <w:t xml:space="preserve">mln. </w:t>
            </w:r>
            <w:r w:rsidRPr="00E44C84">
              <w:rPr>
                <w:rFonts w:ascii="Georgia" w:hAnsi="Georgia"/>
                <w:sz w:val="20"/>
              </w:rPr>
              <w:t>eurų</w:t>
            </w:r>
          </w:p>
        </w:tc>
      </w:tr>
      <w:tr w:rsidR="000E59DF" w:rsidRPr="00E44C84" w14:paraId="69A26363" w14:textId="77777777" w:rsidTr="000E5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1" w:type="dxa"/>
          </w:tcPr>
          <w:p w14:paraId="41D718FD" w14:textId="77777777" w:rsidR="000E59DF" w:rsidRPr="00E44C84" w:rsidRDefault="000E59DF" w:rsidP="000E59DF">
            <w:pPr>
              <w:rPr>
                <w:rFonts w:ascii="Georgia" w:hAnsi="Georgia"/>
              </w:rPr>
            </w:pPr>
            <w:r w:rsidRPr="00E44C84">
              <w:rPr>
                <w:rFonts w:ascii="Georgia" w:hAnsi="Georgia"/>
              </w:rPr>
              <w:t>Galutinius naudos gavėjus pasiekusios lėšos</w:t>
            </w:r>
          </w:p>
        </w:tc>
        <w:tc>
          <w:tcPr>
            <w:tcW w:w="2591" w:type="dxa"/>
          </w:tcPr>
          <w:p w14:paraId="73E66AF6" w14:textId="77777777" w:rsidR="000E59DF" w:rsidRPr="00E44C84" w:rsidRDefault="000E59DF" w:rsidP="000E59DF">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E44C84">
              <w:rPr>
                <w:rFonts w:ascii="Georgia" w:hAnsi="Georgia"/>
              </w:rPr>
              <w:t>8</w:t>
            </w:r>
            <w:r>
              <w:rPr>
                <w:rFonts w:ascii="Georgia" w:hAnsi="Georgia"/>
              </w:rPr>
              <w:t>32,0</w:t>
            </w:r>
          </w:p>
        </w:tc>
      </w:tr>
      <w:tr w:rsidR="000E59DF" w:rsidRPr="00E44C84" w14:paraId="6319F793" w14:textId="77777777" w:rsidTr="000E59DF">
        <w:tc>
          <w:tcPr>
            <w:cnfStyle w:val="001000000000" w:firstRow="0" w:lastRow="0" w:firstColumn="1" w:lastColumn="0" w:oddVBand="0" w:evenVBand="0" w:oddHBand="0" w:evenHBand="0" w:firstRowFirstColumn="0" w:firstRowLastColumn="0" w:lastRowFirstColumn="0" w:lastRowLastColumn="0"/>
            <w:tcW w:w="6651" w:type="dxa"/>
          </w:tcPr>
          <w:p w14:paraId="15CBCF45" w14:textId="77777777" w:rsidR="000E59DF" w:rsidRPr="00E44C84" w:rsidRDefault="000E59DF" w:rsidP="000E59DF">
            <w:pPr>
              <w:rPr>
                <w:rFonts w:ascii="Georgia" w:hAnsi="Georgia"/>
              </w:rPr>
            </w:pPr>
            <w:r w:rsidRPr="00E44C84">
              <w:rPr>
                <w:rFonts w:ascii="Georgia" w:hAnsi="Georgia"/>
              </w:rPr>
              <w:t>Pritrauktos investuotojų lėšos</w:t>
            </w:r>
          </w:p>
        </w:tc>
        <w:tc>
          <w:tcPr>
            <w:tcW w:w="2591" w:type="dxa"/>
          </w:tcPr>
          <w:p w14:paraId="46DB38AC" w14:textId="77777777" w:rsidR="000E59DF" w:rsidRPr="00E44C84" w:rsidRDefault="000E59DF" w:rsidP="000E59DF">
            <w:pPr>
              <w:jc w:val="center"/>
              <w:cnfStyle w:val="000000000000" w:firstRow="0" w:lastRow="0" w:firstColumn="0" w:lastColumn="0" w:oddVBand="0" w:evenVBand="0" w:oddHBand="0" w:evenHBand="0" w:firstRowFirstColumn="0" w:firstRowLastColumn="0" w:lastRowFirstColumn="0" w:lastRowLastColumn="0"/>
              <w:rPr>
                <w:rFonts w:ascii="Georgia" w:hAnsi="Georgia"/>
              </w:rPr>
            </w:pPr>
            <w:r w:rsidRPr="00E44C84">
              <w:rPr>
                <w:rFonts w:ascii="Georgia" w:hAnsi="Georgia"/>
              </w:rPr>
              <w:t>6</w:t>
            </w:r>
            <w:r>
              <w:rPr>
                <w:rFonts w:ascii="Georgia" w:hAnsi="Georgia"/>
              </w:rPr>
              <w:t>55,4</w:t>
            </w:r>
          </w:p>
        </w:tc>
      </w:tr>
      <w:tr w:rsidR="000E59DF" w:rsidRPr="00E44C84" w14:paraId="7F1DCB44" w14:textId="77777777" w:rsidTr="000E5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1" w:type="dxa"/>
          </w:tcPr>
          <w:p w14:paraId="763B9B1D" w14:textId="77777777" w:rsidR="000E59DF" w:rsidRPr="00E44C84" w:rsidRDefault="000E59DF" w:rsidP="000E59DF">
            <w:pPr>
              <w:rPr>
                <w:rFonts w:ascii="Georgia" w:hAnsi="Georgia"/>
              </w:rPr>
            </w:pPr>
            <w:r w:rsidRPr="00E44C84">
              <w:rPr>
                <w:rFonts w:ascii="Georgia" w:hAnsi="Georgia"/>
              </w:rPr>
              <w:t>Renovuotų pastatų skaičius</w:t>
            </w:r>
          </w:p>
        </w:tc>
        <w:tc>
          <w:tcPr>
            <w:tcW w:w="2591" w:type="dxa"/>
          </w:tcPr>
          <w:p w14:paraId="67BAAA22" w14:textId="77777777" w:rsidR="000E59DF" w:rsidRPr="00E44C84" w:rsidRDefault="000E59DF" w:rsidP="000E59DF">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E44C84">
              <w:rPr>
                <w:rFonts w:ascii="Georgia" w:hAnsi="Georgia"/>
              </w:rPr>
              <w:t>4</w:t>
            </w:r>
            <w:r>
              <w:rPr>
                <w:rFonts w:ascii="Georgia" w:hAnsi="Georgia"/>
              </w:rPr>
              <w:t>473</w:t>
            </w:r>
          </w:p>
        </w:tc>
      </w:tr>
    </w:tbl>
    <w:p w14:paraId="350BE5A4" w14:textId="77777777" w:rsidR="000E59DF" w:rsidRPr="00E44C84" w:rsidRDefault="000E59DF" w:rsidP="000E59DF">
      <w:pPr>
        <w:rPr>
          <w:rFonts w:ascii="Georgia" w:hAnsi="Georgia"/>
          <w:lang w:val="lt-LT"/>
        </w:rPr>
      </w:pPr>
    </w:p>
    <w:p w14:paraId="24759AD3" w14:textId="77777777" w:rsidR="000E59DF" w:rsidRPr="00E44C84" w:rsidRDefault="000E59DF" w:rsidP="000E59DF">
      <w:pPr>
        <w:rPr>
          <w:rFonts w:ascii="Georgia" w:hAnsi="Georgia"/>
          <w:lang w:val="lt-LT"/>
        </w:rPr>
      </w:pPr>
    </w:p>
    <w:p w14:paraId="4EC146C0" w14:textId="77777777" w:rsidR="000E59DF" w:rsidRPr="00E44C84" w:rsidRDefault="000E59DF" w:rsidP="000E59DF">
      <w:pPr>
        <w:pStyle w:val="Sraopastraipa"/>
        <w:numPr>
          <w:ilvl w:val="0"/>
          <w:numId w:val="34"/>
        </w:numPr>
        <w:jc w:val="both"/>
        <w:rPr>
          <w:rFonts w:ascii="Georgia" w:hAnsi="Georgia"/>
          <w:b/>
          <w:i/>
          <w:sz w:val="20"/>
          <w:szCs w:val="20"/>
          <w:lang w:val="lt-LT"/>
        </w:rPr>
      </w:pPr>
      <w:r w:rsidRPr="00E44C84">
        <w:rPr>
          <w:rFonts w:ascii="Georgia" w:hAnsi="Georgia"/>
          <w:b/>
          <w:i/>
          <w:sz w:val="20"/>
          <w:szCs w:val="20"/>
          <w:lang w:val="lt-LT"/>
        </w:rPr>
        <w:t>Scenarijus Nr. 6: Dalis finansinės priemonės lėšų nukreipiama į paskolų modelį, o dalis į garantijų priemonę su galimybe išpirkti ateities finansinius srautus</w:t>
      </w:r>
    </w:p>
    <w:p w14:paraId="67C41322" w14:textId="77777777" w:rsidR="000E59DF" w:rsidRPr="00E44C84" w:rsidRDefault="000E59DF" w:rsidP="000E59DF">
      <w:pPr>
        <w:jc w:val="both"/>
        <w:rPr>
          <w:rFonts w:ascii="Georgia" w:hAnsi="Georgia"/>
          <w:sz w:val="20"/>
          <w:szCs w:val="20"/>
          <w:lang w:val="lt-LT"/>
        </w:rPr>
      </w:pPr>
      <w:r w:rsidRPr="00E44C84">
        <w:rPr>
          <w:rFonts w:ascii="Georgia" w:hAnsi="Georgia"/>
          <w:sz w:val="20"/>
          <w:szCs w:val="20"/>
          <w:lang w:val="lt-LT"/>
        </w:rPr>
        <w:t xml:space="preserve">Šio scenarijaus skaičiavimai atitinka scenarijaus Nr. 3 prielaidas, kai 200 mln. eurų ESI fondų lėšų skiriama paskolų priemonei, o kita dalis lėšų – </w:t>
      </w:r>
      <w:r>
        <w:rPr>
          <w:rFonts w:ascii="Georgia" w:hAnsi="Georgia"/>
          <w:sz w:val="20"/>
          <w:szCs w:val="20"/>
          <w:lang w:val="lt-LT"/>
        </w:rPr>
        <w:t>80,9</w:t>
      </w:r>
      <w:r w:rsidRPr="00E44C84">
        <w:rPr>
          <w:rFonts w:ascii="Georgia" w:hAnsi="Georgia"/>
          <w:sz w:val="20"/>
          <w:szCs w:val="20"/>
          <w:lang w:val="lt-LT"/>
        </w:rPr>
        <w:t xml:space="preserve"> mln. eurų garantijų priemonei. Papildomai daroma prielaida, jog </w:t>
      </w:r>
      <w:r w:rsidR="002F60CA" w:rsidRPr="00E44C84">
        <w:rPr>
          <w:rFonts w:ascii="Georgia" w:hAnsi="Georgia"/>
          <w:sz w:val="20"/>
          <w:szCs w:val="20"/>
          <w:lang w:val="lt-LT"/>
        </w:rPr>
        <w:t>201</w:t>
      </w:r>
      <w:r w:rsidR="002F60CA">
        <w:rPr>
          <w:rFonts w:ascii="Georgia" w:hAnsi="Georgia"/>
          <w:sz w:val="20"/>
          <w:szCs w:val="20"/>
          <w:lang w:val="lt-LT"/>
        </w:rPr>
        <w:t>6</w:t>
      </w:r>
      <w:r w:rsidR="002F60CA" w:rsidRPr="00E44C84">
        <w:rPr>
          <w:rFonts w:ascii="Georgia" w:hAnsi="Georgia"/>
          <w:sz w:val="20"/>
          <w:szCs w:val="20"/>
          <w:lang w:val="lt-LT"/>
        </w:rPr>
        <w:t xml:space="preserve"> </w:t>
      </w:r>
      <w:r w:rsidRPr="00E44C84">
        <w:rPr>
          <w:rFonts w:ascii="Georgia" w:hAnsi="Georgia"/>
          <w:sz w:val="20"/>
          <w:szCs w:val="20"/>
          <w:lang w:val="lt-LT"/>
        </w:rPr>
        <w:t>metais bus sukurtas privatus investicinis fondas, kuris išpirktų apie 70 % paskolų, o gautos lėšos pakartotinai panaudojamos projektų finansavimui.</w:t>
      </w:r>
    </w:p>
    <w:p w14:paraId="681EE1F4" w14:textId="77777777" w:rsidR="0010799D" w:rsidRDefault="000E59DF" w:rsidP="0005008F">
      <w:pPr>
        <w:pStyle w:val="Antrat"/>
        <w:jc w:val="center"/>
        <w:rPr>
          <w:lang w:val="lt-LT"/>
        </w:rPr>
      </w:pPr>
      <w:r>
        <w:rPr>
          <w:noProof/>
          <w:lang w:val="lt-LT" w:eastAsia="lt-LT"/>
        </w:rPr>
        <w:lastRenderedPageBreak/>
        <w:drawing>
          <wp:inline distT="0" distB="0" distL="0" distR="0" wp14:anchorId="198F95CB" wp14:editId="34724F6F">
            <wp:extent cx="5977640" cy="3276600"/>
            <wp:effectExtent l="0" t="0" r="4445" b="0"/>
            <wp:docPr id="54" name="Paveikslėlis 17" descr="\\vipa-server\ESCO_Rolandas\EE ex-antes skaiciavimai\Schemos (Rolandas) (Taisytos 2014-11-10)\Daugiabuciu\Daugiabuciai Nr. 6-3 su forfeitingu (paskolos garanti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pa-server\ESCO_Rolandas\EE ex-antes skaiciavimai\Schemos (Rolandas) (Taisytos 2014-11-10)\Daugiabuciu\Daugiabuciai Nr. 6-3 su forfeitingu (paskolos garantijos).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5988577" cy="3282595"/>
                    </a:xfrm>
                    <a:prstGeom prst="rect">
                      <a:avLst/>
                    </a:prstGeom>
                    <a:noFill/>
                    <a:ln>
                      <a:noFill/>
                    </a:ln>
                  </pic:spPr>
                </pic:pic>
              </a:graphicData>
            </a:graphic>
          </wp:inline>
        </w:drawing>
      </w:r>
    </w:p>
    <w:p w14:paraId="03CF4F58" w14:textId="26524955" w:rsidR="000E59DF" w:rsidRPr="00E44C84" w:rsidRDefault="000E59DF" w:rsidP="000E59DF">
      <w:pPr>
        <w:pStyle w:val="Antrat"/>
        <w:rPr>
          <w:szCs w:val="20"/>
          <w:lang w:val="lt-LT"/>
        </w:rPr>
      </w:pPr>
      <w:bookmarkStart w:id="158" w:name="_Toc417378303"/>
      <w:r w:rsidRPr="00E44C84">
        <w:rPr>
          <w:lang w:val="lt-LT"/>
        </w:rPr>
        <w:t xml:space="preserve">Paveikslas </w:t>
      </w:r>
      <w:r w:rsidRPr="00E44C84">
        <w:rPr>
          <w:lang w:val="lt-LT"/>
        </w:rPr>
        <w:fldChar w:fldCharType="begin"/>
      </w:r>
      <w:r w:rsidRPr="00E44C84">
        <w:rPr>
          <w:lang w:val="lt-LT"/>
        </w:rPr>
        <w:instrText xml:space="preserve"> SEQ Paveikslas \* ARABIC </w:instrText>
      </w:r>
      <w:r w:rsidRPr="00E44C84">
        <w:rPr>
          <w:lang w:val="lt-LT"/>
        </w:rPr>
        <w:fldChar w:fldCharType="separate"/>
      </w:r>
      <w:r w:rsidR="00AA3082">
        <w:rPr>
          <w:noProof/>
          <w:lang w:val="lt-LT"/>
        </w:rPr>
        <w:t>26</w:t>
      </w:r>
      <w:r w:rsidRPr="00E44C84">
        <w:rPr>
          <w:lang w:val="lt-LT"/>
        </w:rPr>
        <w:fldChar w:fldCharType="end"/>
      </w:r>
      <w:r w:rsidRPr="00E44C84">
        <w:rPr>
          <w:lang w:val="lt-LT"/>
        </w:rPr>
        <w:t>. Daugiabučių scenarijaus Nr. 6 schema.</w:t>
      </w:r>
      <w:bookmarkEnd w:id="158"/>
      <w:r w:rsidRPr="00E44C84">
        <w:rPr>
          <w:lang w:val="lt-LT"/>
        </w:rPr>
        <w:t xml:space="preserve"> </w:t>
      </w:r>
    </w:p>
    <w:p w14:paraId="4323A68E" w14:textId="50C062CB" w:rsidR="000E59DF" w:rsidRPr="00E44C84" w:rsidRDefault="000E59DF" w:rsidP="000E59DF">
      <w:pPr>
        <w:pStyle w:val="Antrat"/>
        <w:rPr>
          <w:szCs w:val="20"/>
          <w:lang w:val="lt-LT"/>
        </w:rPr>
      </w:pPr>
      <w:bookmarkStart w:id="159" w:name="_Toc460321651"/>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AA3082">
        <w:rPr>
          <w:noProof/>
          <w:lang w:val="lt-LT"/>
        </w:rPr>
        <w:t>70</w:t>
      </w:r>
      <w:r w:rsidRPr="00E44C84">
        <w:rPr>
          <w:lang w:val="lt-LT"/>
        </w:rPr>
        <w:fldChar w:fldCharType="end"/>
      </w:r>
      <w:r w:rsidRPr="00E44C84">
        <w:rPr>
          <w:lang w:val="lt-LT"/>
        </w:rPr>
        <w:t>. Scenarijaus Nr. 6 prielaidos</w:t>
      </w:r>
      <w:r w:rsidRPr="00E44C84">
        <w:rPr>
          <w:szCs w:val="20"/>
          <w:lang w:val="lt-LT"/>
        </w:rPr>
        <w:t>:</w:t>
      </w:r>
      <w:bookmarkEnd w:id="159"/>
    </w:p>
    <w:tbl>
      <w:tblPr>
        <w:tblStyle w:val="viesussraas2parykinimas"/>
        <w:tblW w:w="5000" w:type="pct"/>
        <w:tblLook w:val="04A0" w:firstRow="1" w:lastRow="0" w:firstColumn="1" w:lastColumn="0" w:noHBand="0" w:noVBand="1"/>
      </w:tblPr>
      <w:tblGrid>
        <w:gridCol w:w="3164"/>
        <w:gridCol w:w="6078"/>
      </w:tblGrid>
      <w:tr w:rsidR="000E59DF" w:rsidRPr="00E44C84" w14:paraId="1075976D" w14:textId="77777777" w:rsidTr="000E59D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12" w:type="pct"/>
            <w:tcBorders>
              <w:bottom w:val="single" w:sz="8" w:space="0" w:color="C0504D" w:themeColor="accent2"/>
            </w:tcBorders>
          </w:tcPr>
          <w:p w14:paraId="49B96948" w14:textId="77777777" w:rsidR="000E59DF" w:rsidRPr="00E44C84" w:rsidRDefault="000E59DF" w:rsidP="0005008F">
            <w:pPr>
              <w:keepNext/>
              <w:jc w:val="center"/>
              <w:rPr>
                <w:rFonts w:ascii="Georgia" w:hAnsi="Georgia"/>
                <w:sz w:val="20"/>
                <w:szCs w:val="20"/>
              </w:rPr>
            </w:pPr>
            <w:r w:rsidRPr="00E44C84">
              <w:rPr>
                <w:rFonts w:ascii="Georgia" w:hAnsi="Georgia"/>
                <w:sz w:val="20"/>
                <w:szCs w:val="20"/>
              </w:rPr>
              <w:t>Prielaidos</w:t>
            </w:r>
          </w:p>
        </w:tc>
        <w:tc>
          <w:tcPr>
            <w:tcW w:w="3288" w:type="pct"/>
            <w:tcBorders>
              <w:bottom w:val="single" w:sz="8" w:space="0" w:color="C0504D" w:themeColor="accent2"/>
            </w:tcBorders>
          </w:tcPr>
          <w:p w14:paraId="6908C4DF" w14:textId="77777777" w:rsidR="000E59DF" w:rsidRPr="00E44C84" w:rsidRDefault="000E59DF" w:rsidP="0005008F">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Komentaras</w:t>
            </w:r>
          </w:p>
        </w:tc>
      </w:tr>
      <w:tr w:rsidR="000E59DF" w:rsidRPr="00E44C84" w14:paraId="0430BA97"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bottom w:val="single" w:sz="6" w:space="0" w:color="C0504D" w:themeColor="accent2"/>
              <w:right w:val="single" w:sz="6" w:space="0" w:color="C0504D" w:themeColor="accent2"/>
            </w:tcBorders>
          </w:tcPr>
          <w:p w14:paraId="0A3EE01B" w14:textId="77777777" w:rsidR="000E59DF" w:rsidRPr="00E44C84" w:rsidRDefault="000E59DF" w:rsidP="000E59DF">
            <w:pPr>
              <w:rPr>
                <w:rFonts w:ascii="Georgia" w:hAnsi="Georgia"/>
                <w:b w:val="0"/>
                <w:sz w:val="20"/>
                <w:szCs w:val="20"/>
              </w:rPr>
            </w:pPr>
            <w:r w:rsidRPr="00E44C84">
              <w:rPr>
                <w:rFonts w:ascii="Georgia" w:hAnsi="Georgia"/>
                <w:sz w:val="20"/>
                <w:szCs w:val="20"/>
              </w:rPr>
              <w:t>Paskolos laikotarpis: iki 20 metų</w:t>
            </w:r>
          </w:p>
        </w:tc>
        <w:tc>
          <w:tcPr>
            <w:tcW w:w="3288" w:type="pct"/>
            <w:tcBorders>
              <w:left w:val="single" w:sz="6" w:space="0" w:color="C0504D" w:themeColor="accent2"/>
              <w:bottom w:val="single" w:sz="6" w:space="0" w:color="C0504D" w:themeColor="accent2"/>
            </w:tcBorders>
          </w:tcPr>
          <w:p w14:paraId="2928256E"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Maksimalus paskolos suteikimo terminas 20 metų.</w:t>
            </w:r>
          </w:p>
        </w:tc>
      </w:tr>
      <w:tr w:rsidR="000E59DF" w:rsidRPr="00E44C84" w14:paraId="63D1348D"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5C72ED39" w14:textId="77777777" w:rsidR="000E59DF" w:rsidRPr="00E44C84" w:rsidRDefault="000E59DF" w:rsidP="000E59DF">
            <w:pPr>
              <w:rPr>
                <w:rFonts w:ascii="Georgia" w:hAnsi="Georgia"/>
                <w:b w:val="0"/>
                <w:sz w:val="20"/>
                <w:szCs w:val="20"/>
              </w:rPr>
            </w:pPr>
            <w:r w:rsidRPr="00E44C84">
              <w:rPr>
                <w:rFonts w:ascii="Georgia" w:hAnsi="Georgia"/>
                <w:sz w:val="20"/>
                <w:szCs w:val="20"/>
              </w:rPr>
              <w:t>Subsidija: 15 %</w:t>
            </w:r>
          </w:p>
        </w:tc>
        <w:tc>
          <w:tcPr>
            <w:tcW w:w="3288" w:type="pct"/>
            <w:tcBorders>
              <w:top w:val="single" w:sz="6" w:space="0" w:color="C0504D" w:themeColor="accent2"/>
              <w:left w:val="single" w:sz="6" w:space="0" w:color="C0504D" w:themeColor="accent2"/>
              <w:bottom w:val="single" w:sz="6" w:space="0" w:color="C0504D" w:themeColor="accent2"/>
            </w:tcBorders>
          </w:tcPr>
          <w:p w14:paraId="400390A7"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Projektams, pasiekusiems ne mažesnį kaip 40 proc. sutaupymą, suteikiama 15 % subsidija (papildoma valstybės parama) biudžeto lėšomis, (modeliuojant ši suma pervedama į fondą ir laikoma grįžtančiomis lėšomis).</w:t>
            </w:r>
          </w:p>
        </w:tc>
      </w:tr>
      <w:tr w:rsidR="000E59DF" w:rsidRPr="00E44C84" w14:paraId="7C67A929"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6BD9F5EA" w14:textId="77777777" w:rsidR="000E59DF" w:rsidRPr="00E44C84" w:rsidRDefault="000E59DF" w:rsidP="000E59DF">
            <w:pPr>
              <w:rPr>
                <w:rFonts w:ascii="Georgia" w:hAnsi="Georgia"/>
                <w:b w:val="0"/>
                <w:sz w:val="20"/>
                <w:szCs w:val="20"/>
              </w:rPr>
            </w:pPr>
            <w:r>
              <w:rPr>
                <w:rFonts w:ascii="Georgia" w:hAnsi="Georgia"/>
                <w:sz w:val="20"/>
              </w:rPr>
              <w:t>Palūkanų kompensavimo mechanizmas</w:t>
            </w:r>
            <w:r w:rsidRPr="00E44C84">
              <w:rPr>
                <w:rFonts w:ascii="Georgia" w:hAnsi="Georgia"/>
                <w:sz w:val="20"/>
                <w:szCs w:val="20"/>
              </w:rPr>
              <w:t>: 15 %</w:t>
            </w:r>
          </w:p>
        </w:tc>
        <w:tc>
          <w:tcPr>
            <w:tcW w:w="3288" w:type="pct"/>
            <w:tcBorders>
              <w:top w:val="single" w:sz="6" w:space="0" w:color="C0504D" w:themeColor="accent2"/>
              <w:left w:val="single" w:sz="6" w:space="0" w:color="C0504D" w:themeColor="accent2"/>
              <w:bottom w:val="single" w:sz="6" w:space="0" w:color="C0504D" w:themeColor="accent2"/>
            </w:tcBorders>
          </w:tcPr>
          <w:p w14:paraId="23BBF30B"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 xml:space="preserve">Po projekto įgyvendinimo paskolos suma sumažinama 15 %. Ši suma atitinka apytiksliai 2 proc. palūkanų, kurias sumoka galutiniai naudos gavėjai per 20 metų paskolos laikotarpį (t.y. galutiniai naudos gavėjai per 20 metų sumoka ne 3 proc. palūkanų, o 1 proc. palūkanų). </w:t>
            </w:r>
          </w:p>
        </w:tc>
      </w:tr>
      <w:tr w:rsidR="000E59DF" w:rsidRPr="00E44C84" w14:paraId="27E6FD3A"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2FD184A1" w14:textId="77777777" w:rsidR="000E59DF" w:rsidRPr="00E44C84" w:rsidRDefault="000E59DF" w:rsidP="000E59DF">
            <w:pPr>
              <w:rPr>
                <w:rFonts w:ascii="Georgia" w:hAnsi="Georgia"/>
                <w:b w:val="0"/>
                <w:sz w:val="20"/>
                <w:szCs w:val="20"/>
              </w:rPr>
            </w:pPr>
            <w:r w:rsidRPr="00E44C84">
              <w:rPr>
                <w:rFonts w:ascii="Georgia" w:hAnsi="Georgia"/>
                <w:sz w:val="20"/>
                <w:szCs w:val="20"/>
              </w:rPr>
              <w:t>Blogų paskolų dalis: 5 %</w:t>
            </w:r>
          </w:p>
        </w:tc>
        <w:tc>
          <w:tcPr>
            <w:tcW w:w="3288" w:type="pct"/>
            <w:tcBorders>
              <w:top w:val="single" w:sz="6" w:space="0" w:color="C0504D" w:themeColor="accent2"/>
              <w:left w:val="single" w:sz="6" w:space="0" w:color="C0504D" w:themeColor="accent2"/>
              <w:bottom w:val="single" w:sz="6" w:space="0" w:color="C0504D" w:themeColor="accent2"/>
            </w:tcBorders>
          </w:tcPr>
          <w:p w14:paraId="13D9DC59"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rPr>
              <w:t>Blogų paskolų dalis buvo nustatyta remiantis ekspertų ir komercinių bankų vertinimu</w:t>
            </w:r>
            <w:r w:rsidRPr="00E44C84">
              <w:rPr>
                <w:rFonts w:ascii="Georgia" w:hAnsi="Georgia"/>
                <w:sz w:val="20"/>
                <w:szCs w:val="20"/>
              </w:rPr>
              <w:t>. Garantijų priemonės atveju daroma prielaida, kad iki 2022 metų reikės išmokėti 50% garantijų bankams nuo planuojamų blogų paskolų.</w:t>
            </w:r>
          </w:p>
        </w:tc>
      </w:tr>
      <w:tr w:rsidR="000E59DF" w:rsidRPr="00E44C84" w14:paraId="3A5C8F3A"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638D6B11" w14:textId="77777777" w:rsidR="000E59DF" w:rsidRPr="00E44C84" w:rsidRDefault="000E59DF" w:rsidP="000E59DF">
            <w:pPr>
              <w:rPr>
                <w:rFonts w:ascii="Georgia" w:hAnsi="Georgia"/>
                <w:b w:val="0"/>
                <w:sz w:val="20"/>
                <w:szCs w:val="20"/>
              </w:rPr>
            </w:pPr>
            <w:r w:rsidRPr="00E44C84">
              <w:rPr>
                <w:rFonts w:ascii="Georgia" w:hAnsi="Georgia"/>
                <w:sz w:val="20"/>
                <w:szCs w:val="20"/>
              </w:rPr>
              <w:t xml:space="preserve">Tipinio pastato projekto investicijų vertė: </w:t>
            </w:r>
          </w:p>
          <w:p w14:paraId="43515294" w14:textId="77777777" w:rsidR="000E59DF" w:rsidRPr="00E44C84" w:rsidRDefault="000E59DF" w:rsidP="000E59DF">
            <w:pPr>
              <w:rPr>
                <w:rFonts w:ascii="Georgia" w:hAnsi="Georgia"/>
                <w:b w:val="0"/>
                <w:sz w:val="20"/>
                <w:szCs w:val="20"/>
              </w:rPr>
            </w:pPr>
            <w:r w:rsidRPr="00E44C84">
              <w:rPr>
                <w:rFonts w:ascii="Georgia" w:hAnsi="Georgia"/>
                <w:sz w:val="20"/>
                <w:szCs w:val="20"/>
              </w:rPr>
              <w:t xml:space="preserve">186.000 </w:t>
            </w:r>
            <w:r w:rsidRPr="00E44C84">
              <w:rPr>
                <w:rFonts w:ascii="Georgia" w:hAnsi="Georgia"/>
                <w:sz w:val="20"/>
              </w:rPr>
              <w:t>eurų</w:t>
            </w:r>
          </w:p>
        </w:tc>
        <w:tc>
          <w:tcPr>
            <w:tcW w:w="3288" w:type="pct"/>
            <w:tcBorders>
              <w:top w:val="single" w:sz="6" w:space="0" w:color="C0504D" w:themeColor="accent2"/>
              <w:left w:val="single" w:sz="6" w:space="0" w:color="C0504D" w:themeColor="accent2"/>
              <w:bottom w:val="single" w:sz="6" w:space="0" w:color="C0504D" w:themeColor="accent2"/>
            </w:tcBorders>
          </w:tcPr>
          <w:p w14:paraId="21D9C4B8"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rPr>
              <w:t>Vidutinė tipinio daugiabučio renovacijos kaina buvo nustatyta remiantis vidutinio daugiabučio plotu (paskaičiuota remiantis registrų centro duomenimis). Vidutinė statybos darbų kaina nustatyta pagal BETA pateiktus duomenis.</w:t>
            </w:r>
          </w:p>
        </w:tc>
      </w:tr>
      <w:tr w:rsidR="000E59DF" w:rsidRPr="00E44C84" w14:paraId="7B4D17C5"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0BEF6962" w14:textId="77777777" w:rsidR="000E59DF" w:rsidRPr="00E44C84" w:rsidRDefault="000E59DF" w:rsidP="000E59DF">
            <w:pPr>
              <w:rPr>
                <w:rFonts w:ascii="Georgia" w:hAnsi="Georgia"/>
                <w:b w:val="0"/>
                <w:sz w:val="20"/>
                <w:szCs w:val="20"/>
              </w:rPr>
            </w:pPr>
            <w:r w:rsidRPr="00E44C84">
              <w:rPr>
                <w:rFonts w:ascii="Georgia" w:hAnsi="Georgia"/>
                <w:sz w:val="20"/>
                <w:szCs w:val="20"/>
              </w:rPr>
              <w:t>Palūkanų norma: 3%</w:t>
            </w:r>
          </w:p>
        </w:tc>
        <w:tc>
          <w:tcPr>
            <w:tcW w:w="3288" w:type="pct"/>
            <w:tcBorders>
              <w:top w:val="single" w:sz="6" w:space="0" w:color="C0504D" w:themeColor="accent2"/>
              <w:left w:val="single" w:sz="6" w:space="0" w:color="C0504D" w:themeColor="accent2"/>
              <w:bottom w:val="single" w:sz="6" w:space="0" w:color="C0504D" w:themeColor="accent2"/>
            </w:tcBorders>
          </w:tcPr>
          <w:p w14:paraId="7AAA88C0"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Paskolų ir garantijų priemonių atvejais galutiniams naudos gavėjams taikoma palūkanų norma 3 proc. Garantijų priemonės atveju numatoma bankams kompensuoti palūkanų skirtumą viršijantį 3 proc. palūkanų normą.</w:t>
            </w:r>
          </w:p>
        </w:tc>
      </w:tr>
      <w:tr w:rsidR="000E59DF" w:rsidRPr="00E44C84" w14:paraId="3E14BA23"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5795E1AB" w14:textId="77777777" w:rsidR="000E59DF" w:rsidRPr="00E44C84" w:rsidRDefault="000E59DF" w:rsidP="000E59DF">
            <w:pPr>
              <w:rPr>
                <w:rFonts w:ascii="Georgia" w:hAnsi="Georgia"/>
                <w:b w:val="0"/>
                <w:sz w:val="20"/>
                <w:szCs w:val="20"/>
              </w:rPr>
            </w:pPr>
            <w:r w:rsidRPr="00E44C84">
              <w:rPr>
                <w:rFonts w:ascii="Georgia" w:hAnsi="Georgia"/>
                <w:sz w:val="20"/>
                <w:szCs w:val="20"/>
              </w:rPr>
              <w:lastRenderedPageBreak/>
              <w:t>Bankų palūkanos: 7 %</w:t>
            </w:r>
          </w:p>
        </w:tc>
        <w:tc>
          <w:tcPr>
            <w:tcW w:w="3288" w:type="pct"/>
            <w:tcBorders>
              <w:top w:val="single" w:sz="6" w:space="0" w:color="C0504D" w:themeColor="accent2"/>
              <w:left w:val="single" w:sz="6" w:space="0" w:color="C0504D" w:themeColor="accent2"/>
              <w:bottom w:val="single" w:sz="6" w:space="0" w:color="C0504D" w:themeColor="accent2"/>
            </w:tcBorders>
          </w:tcPr>
          <w:p w14:paraId="2BFF35C3"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Daroma prielaida, jog, garantijų priemonės atveju, komercinių bankų fiksuota paskolų palūkanų norma (20-ies metų laikotarpiui) sudarys 7 proc. Ši palūkanų norma įvertinta remiantis šiais duomenimis:</w:t>
            </w:r>
          </w:p>
          <w:p w14:paraId="78BE4F1B"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 xml:space="preserve">1) Prognozuojamas suderintas vartotojų kainų indekso (SVKI) vidurkis Lietuvoje 2013-2017 (2,9%); </w:t>
            </w:r>
          </w:p>
          <w:p w14:paraId="37EDB3C6"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 xml:space="preserve">2) Lietuvos Respublikos Vyriausybės obligacijų emisijos (2536 dienų trukmės) palūkanos 2014 rugsėjo mėnesį (2,0%); </w:t>
            </w:r>
          </w:p>
          <w:p w14:paraId="35167B3D"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3) Galima komercinių bankų marža (2,1%).</w:t>
            </w:r>
          </w:p>
          <w:p w14:paraId="3A829180"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Pokalbių su bankais metu paminėta, jog vertinant įvairias rizikas, ilgalaikėms paskoloms (20 metų) preliminariai galėtų būti taikomos nuo 7 iki 10 proc. palūkanų normos.</w:t>
            </w:r>
          </w:p>
        </w:tc>
      </w:tr>
      <w:tr w:rsidR="000E59DF" w:rsidRPr="00E44C84" w14:paraId="1809CB47"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3C359400" w14:textId="77777777" w:rsidR="000E59DF" w:rsidRPr="00E44C84" w:rsidRDefault="000E59DF" w:rsidP="000E59DF">
            <w:pPr>
              <w:rPr>
                <w:rFonts w:ascii="Georgia" w:hAnsi="Georgia"/>
                <w:b w:val="0"/>
                <w:sz w:val="20"/>
                <w:szCs w:val="20"/>
              </w:rPr>
            </w:pPr>
            <w:r w:rsidRPr="00E44C84">
              <w:rPr>
                <w:rFonts w:ascii="Georgia" w:hAnsi="Georgia"/>
                <w:sz w:val="20"/>
                <w:szCs w:val="20"/>
              </w:rPr>
              <w:t>Subsidijuojama palūkanų dalis: 4 %</w:t>
            </w:r>
          </w:p>
        </w:tc>
        <w:tc>
          <w:tcPr>
            <w:tcW w:w="3288" w:type="pct"/>
            <w:tcBorders>
              <w:top w:val="single" w:sz="6" w:space="0" w:color="C0504D" w:themeColor="accent2"/>
              <w:left w:val="single" w:sz="6" w:space="0" w:color="C0504D" w:themeColor="accent2"/>
              <w:bottom w:val="single" w:sz="6" w:space="0" w:color="C0504D" w:themeColor="accent2"/>
            </w:tcBorders>
          </w:tcPr>
          <w:p w14:paraId="6E7BA22F"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Garantijų priemonės atveju subsidijuojamas skirtumas tarp šiame scenarijuje naudojamos bankų palūkanų normos ir fiksuotų palūkanų galutiniams naudos gavėjams.</w:t>
            </w:r>
          </w:p>
        </w:tc>
      </w:tr>
      <w:tr w:rsidR="000E59DF" w:rsidRPr="00E44C84" w14:paraId="5E9277A0"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4AC83357" w14:textId="77777777" w:rsidR="000E59DF" w:rsidRPr="00E44C84" w:rsidRDefault="000E59DF" w:rsidP="000E59DF">
            <w:pPr>
              <w:rPr>
                <w:rFonts w:ascii="Georgia" w:hAnsi="Georgia"/>
                <w:sz w:val="20"/>
                <w:szCs w:val="20"/>
              </w:rPr>
            </w:pPr>
            <w:r w:rsidRPr="00E44C84">
              <w:rPr>
                <w:rFonts w:ascii="Georgia" w:hAnsi="Georgia"/>
                <w:sz w:val="20"/>
              </w:rPr>
              <w:t>JESSICA KF grįžtančios lėšos: 67,2 mln. eurų</w:t>
            </w:r>
          </w:p>
        </w:tc>
        <w:tc>
          <w:tcPr>
            <w:tcW w:w="3288" w:type="pct"/>
            <w:tcBorders>
              <w:top w:val="single" w:sz="6" w:space="0" w:color="C0504D" w:themeColor="accent2"/>
              <w:left w:val="single" w:sz="6" w:space="0" w:color="C0504D" w:themeColor="accent2"/>
              <w:bottom w:val="single" w:sz="6" w:space="0" w:color="C0504D" w:themeColor="accent2"/>
            </w:tcBorders>
          </w:tcPr>
          <w:p w14:paraId="7D66748E"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rPr>
              <w:t xml:space="preserve"> 2007-2013 m. JESSICA KF grįžtančios lėšos (iki 2020 metų) sudaro apie 67,2 mln. eurų.</w:t>
            </w:r>
          </w:p>
        </w:tc>
      </w:tr>
      <w:tr w:rsidR="000E59DF" w:rsidRPr="00E44C84" w14:paraId="351C399A"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340421B2" w14:textId="77777777" w:rsidR="000E59DF" w:rsidRPr="00E44C84" w:rsidRDefault="000E59DF" w:rsidP="000E59DF">
            <w:pPr>
              <w:rPr>
                <w:rFonts w:ascii="Georgia" w:hAnsi="Georgia"/>
                <w:b w:val="0"/>
                <w:sz w:val="20"/>
                <w:szCs w:val="20"/>
              </w:rPr>
            </w:pPr>
            <w:r w:rsidRPr="00E44C84">
              <w:rPr>
                <w:rFonts w:ascii="Georgia" w:hAnsi="Georgia"/>
                <w:sz w:val="20"/>
                <w:szCs w:val="20"/>
              </w:rPr>
              <w:t xml:space="preserve">Investuojamų ESI fondų lėšų suma: </w:t>
            </w:r>
            <w:r>
              <w:rPr>
                <w:rFonts w:ascii="Georgia" w:hAnsi="Georgia"/>
                <w:sz w:val="20"/>
                <w:szCs w:val="20"/>
              </w:rPr>
              <w:t>280,9</w:t>
            </w:r>
            <w:r w:rsidRPr="00E44C84">
              <w:rPr>
                <w:rFonts w:ascii="Georgia" w:hAnsi="Georgia"/>
                <w:sz w:val="20"/>
                <w:szCs w:val="20"/>
              </w:rPr>
              <w:t xml:space="preserve"> mln. </w:t>
            </w:r>
            <w:r w:rsidRPr="00E44C84">
              <w:rPr>
                <w:rFonts w:ascii="Georgia" w:hAnsi="Georgia"/>
                <w:sz w:val="20"/>
              </w:rPr>
              <w:t>eurų</w:t>
            </w:r>
          </w:p>
        </w:tc>
        <w:tc>
          <w:tcPr>
            <w:tcW w:w="3288" w:type="pct"/>
            <w:tcBorders>
              <w:top w:val="single" w:sz="6" w:space="0" w:color="C0504D" w:themeColor="accent2"/>
              <w:left w:val="single" w:sz="6" w:space="0" w:color="C0504D" w:themeColor="accent2"/>
              <w:bottom w:val="single" w:sz="6" w:space="0" w:color="C0504D" w:themeColor="accent2"/>
            </w:tcBorders>
          </w:tcPr>
          <w:p w14:paraId="1D8D8B13"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rPr>
              <w:t>280,9</w:t>
            </w:r>
            <w:r w:rsidRPr="00E44C84">
              <w:rPr>
                <w:rFonts w:ascii="Georgia" w:hAnsi="Georgia"/>
                <w:sz w:val="20"/>
              </w:rPr>
              <w:t xml:space="preserve"> mln. eurų 2014-2020 m. ESI fondų lėšų</w:t>
            </w:r>
            <w:r w:rsidRPr="00E44C84">
              <w:rPr>
                <w:rFonts w:ascii="Georgia" w:hAnsi="Georgia"/>
                <w:sz w:val="20"/>
                <w:szCs w:val="20"/>
              </w:rPr>
              <w:t xml:space="preserve"> skirstomos, taip:</w:t>
            </w:r>
          </w:p>
          <w:p w14:paraId="5A1D1079" w14:textId="77777777" w:rsidR="000E59DF" w:rsidRPr="00E44C84" w:rsidRDefault="000E59DF" w:rsidP="000E59DF">
            <w:pPr>
              <w:pStyle w:val="Sraopastraipa"/>
              <w:numPr>
                <w:ilvl w:val="0"/>
                <w:numId w:val="8"/>
              </w:num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paskolų finansinei priemonei skiriama 200 mln. eurų  bei grįžtančios lėšos skiriamos paskolų finansinei priemonei;</w:t>
            </w:r>
          </w:p>
          <w:p w14:paraId="280DD11E" w14:textId="77777777" w:rsidR="000E59DF" w:rsidRPr="00E44C84" w:rsidRDefault="000E59DF" w:rsidP="000E59DF">
            <w:pPr>
              <w:pStyle w:val="Sraopastraipa"/>
              <w:numPr>
                <w:ilvl w:val="0"/>
                <w:numId w:val="8"/>
              </w:num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 xml:space="preserve">garantijų finansinei priemonei skiriama </w:t>
            </w:r>
            <w:r>
              <w:rPr>
                <w:rFonts w:ascii="Georgia" w:hAnsi="Georgia"/>
                <w:sz w:val="20"/>
                <w:szCs w:val="20"/>
              </w:rPr>
              <w:t>80,9</w:t>
            </w:r>
            <w:r w:rsidRPr="00E44C84">
              <w:rPr>
                <w:rFonts w:ascii="Georgia" w:hAnsi="Georgia"/>
                <w:sz w:val="20"/>
                <w:szCs w:val="20"/>
              </w:rPr>
              <w:t xml:space="preserve"> mln. eurų.</w:t>
            </w:r>
          </w:p>
        </w:tc>
      </w:tr>
      <w:tr w:rsidR="000E59DF" w:rsidRPr="00E44C84" w14:paraId="36B27F72"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16DA8A49" w14:textId="77777777" w:rsidR="000E59DF" w:rsidRPr="00E44C84" w:rsidRDefault="000E59DF" w:rsidP="000E59DF">
            <w:pPr>
              <w:rPr>
                <w:rFonts w:ascii="Georgia" w:hAnsi="Georgia"/>
                <w:sz w:val="20"/>
                <w:szCs w:val="20"/>
              </w:rPr>
            </w:pPr>
            <w:r w:rsidRPr="00E44C84">
              <w:rPr>
                <w:rFonts w:ascii="Georgia" w:hAnsi="Georgia"/>
                <w:sz w:val="20"/>
                <w:szCs w:val="20"/>
              </w:rPr>
              <w:t>Fonde rezervuojamos lėšos garantijų įsipareigojimų vykdymui: 10 %</w:t>
            </w:r>
          </w:p>
        </w:tc>
        <w:tc>
          <w:tcPr>
            <w:tcW w:w="3288" w:type="pct"/>
            <w:tcBorders>
              <w:top w:val="single" w:sz="6" w:space="0" w:color="C0504D" w:themeColor="accent2"/>
              <w:left w:val="single" w:sz="6" w:space="0" w:color="C0504D" w:themeColor="accent2"/>
              <w:bottom w:val="single" w:sz="6" w:space="0" w:color="C0504D" w:themeColor="accent2"/>
            </w:tcBorders>
          </w:tcPr>
          <w:p w14:paraId="58F7D4FB"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Fondo garantiniams įsipareigojimams vykdyti rezervuojama 10% nuo garantinės priemonės atveju bankų suteiktų paskolų sumos galutiniams naudos gavėjams. Ši prielaida atitinka PwC studijoje aprašytą prielaidą.</w:t>
            </w:r>
          </w:p>
        </w:tc>
      </w:tr>
      <w:tr w:rsidR="000E59DF" w:rsidRPr="00E44C84" w14:paraId="484ECEAE"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78CFFF38" w14:textId="77777777" w:rsidR="000E59DF" w:rsidRPr="00E44C84" w:rsidRDefault="000E59DF" w:rsidP="000E59DF">
            <w:pPr>
              <w:jc w:val="both"/>
              <w:rPr>
                <w:rFonts w:ascii="Georgia" w:hAnsi="Georgia"/>
                <w:sz w:val="20"/>
              </w:rPr>
            </w:pPr>
            <w:r w:rsidRPr="00E44C84">
              <w:rPr>
                <w:rFonts w:ascii="Georgia" w:hAnsi="Georgia"/>
                <w:sz w:val="20"/>
              </w:rPr>
              <w:t>Siektinas įgyvendinamų projektų skaičius: 600 projektų per metus</w:t>
            </w:r>
          </w:p>
        </w:tc>
        <w:tc>
          <w:tcPr>
            <w:tcW w:w="3288" w:type="pct"/>
            <w:tcBorders>
              <w:top w:val="single" w:sz="6" w:space="0" w:color="C0504D" w:themeColor="accent2"/>
              <w:left w:val="single" w:sz="6" w:space="0" w:color="C0504D" w:themeColor="accent2"/>
              <w:bottom w:val="single" w:sz="6" w:space="0" w:color="C0504D" w:themeColor="accent2"/>
            </w:tcBorders>
          </w:tcPr>
          <w:p w14:paraId="5E7EFA22"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Vertinant projektų kiekį, buvo paskaičiuota kiek projektų galima atlikti turimomis fondo lėšomis (pagal šį scenarijų) per 2014-2020 programavimo laikotarpį ir projektai proporcingai išdėstyti iki 2020 metų. Vertinama, kad šio scenarijaus atveju, per metus bus įgyvendinama 600 naujų projektų.</w:t>
            </w:r>
          </w:p>
        </w:tc>
      </w:tr>
      <w:tr w:rsidR="000E59DF" w:rsidRPr="00E44C84" w14:paraId="171C34F3"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125BCB5F" w14:textId="77777777" w:rsidR="000E59DF" w:rsidRPr="00E44C84" w:rsidRDefault="000E59DF" w:rsidP="000E59DF">
            <w:pPr>
              <w:rPr>
                <w:rFonts w:ascii="Georgia" w:hAnsi="Georgia"/>
                <w:sz w:val="20"/>
              </w:rPr>
            </w:pPr>
            <w:r w:rsidRPr="00E44C84">
              <w:rPr>
                <w:rFonts w:ascii="Georgia" w:hAnsi="Georgia"/>
                <w:sz w:val="20"/>
              </w:rPr>
              <w:t>Valdymo mokestis: remiantis Deleguoto reglamento nuostatomis</w:t>
            </w:r>
          </w:p>
        </w:tc>
        <w:tc>
          <w:tcPr>
            <w:tcW w:w="3288" w:type="pct"/>
            <w:tcBorders>
              <w:top w:val="single" w:sz="6" w:space="0" w:color="C0504D" w:themeColor="accent2"/>
              <w:left w:val="single" w:sz="6" w:space="0" w:color="C0504D" w:themeColor="accent2"/>
              <w:bottom w:val="single" w:sz="6" w:space="0" w:color="C0504D" w:themeColor="accent2"/>
            </w:tcBorders>
          </w:tcPr>
          <w:p w14:paraId="6695AD0A"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rPr>
              <w:t>Vadovaujantis Deleguoto reglamento nuostatomis, valdymo mokestis susideda iš dviejų dalių: 0,5 proc. bazinis mokestis nuo finansinei priemonei skirtų ir įmokėtų lėšų ir: paskolų atveju – 1 proc. mokestis nuo paskolų, suteiktų galutiniams naudos gavėjams, sumos; garantijų atveju – 1,5 proc. nuo sumų, išmokėtų galutiniams naudos gavėjams.</w:t>
            </w:r>
          </w:p>
        </w:tc>
      </w:tr>
      <w:tr w:rsidR="000E59DF" w:rsidRPr="00E44C84" w14:paraId="03BA16A9"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3027F95D" w14:textId="77777777" w:rsidR="000E59DF" w:rsidRPr="00E44C84" w:rsidRDefault="000E59DF" w:rsidP="000E59DF">
            <w:pPr>
              <w:rPr>
                <w:rFonts w:ascii="Georgia" w:hAnsi="Georgia"/>
                <w:b w:val="0"/>
                <w:sz w:val="20"/>
                <w:szCs w:val="20"/>
              </w:rPr>
            </w:pPr>
            <w:r w:rsidRPr="00E44C84">
              <w:rPr>
                <w:rFonts w:ascii="Georgia" w:hAnsi="Georgia"/>
                <w:sz w:val="20"/>
              </w:rPr>
              <w:t>Projekto įgyvendinimo trukmė: 1 metai</w:t>
            </w:r>
          </w:p>
        </w:tc>
        <w:tc>
          <w:tcPr>
            <w:tcW w:w="3288" w:type="pct"/>
            <w:tcBorders>
              <w:top w:val="single" w:sz="6" w:space="0" w:color="C0504D" w:themeColor="accent2"/>
              <w:left w:val="single" w:sz="6" w:space="0" w:color="C0504D" w:themeColor="accent2"/>
              <w:bottom w:val="single" w:sz="6" w:space="0" w:color="C0504D" w:themeColor="accent2"/>
            </w:tcBorders>
          </w:tcPr>
          <w:p w14:paraId="08962946"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Remiantis šiuo metu įgyvendinamų projektų duomenimis nustatyta vidutinė projekto įgyvendinimo trukmė – 1 metai nuo paskolos sutarties pasirašymo dienos.</w:t>
            </w:r>
          </w:p>
        </w:tc>
      </w:tr>
      <w:tr w:rsidR="000E59DF" w:rsidRPr="00E44C84" w14:paraId="59200B28"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right w:val="single" w:sz="6" w:space="0" w:color="C0504D" w:themeColor="accent2"/>
            </w:tcBorders>
          </w:tcPr>
          <w:p w14:paraId="1503F5AA" w14:textId="77777777" w:rsidR="000E59DF" w:rsidRPr="00E44C84" w:rsidRDefault="000E59DF" w:rsidP="000E59DF">
            <w:pPr>
              <w:rPr>
                <w:rFonts w:ascii="Georgia" w:hAnsi="Georgia"/>
                <w:b w:val="0"/>
                <w:sz w:val="20"/>
                <w:szCs w:val="20"/>
              </w:rPr>
            </w:pPr>
            <w:r w:rsidRPr="00E44C84">
              <w:rPr>
                <w:rFonts w:ascii="Georgia" w:hAnsi="Georgia"/>
                <w:sz w:val="20"/>
              </w:rPr>
              <w:t xml:space="preserve">Sugrįžusios lėšos pakartotinai panaudojamos: po 2 metų </w:t>
            </w:r>
          </w:p>
        </w:tc>
        <w:tc>
          <w:tcPr>
            <w:tcW w:w="3288" w:type="pct"/>
            <w:tcBorders>
              <w:top w:val="single" w:sz="6" w:space="0" w:color="C0504D" w:themeColor="accent2"/>
              <w:left w:val="single" w:sz="6" w:space="0" w:color="C0504D" w:themeColor="accent2"/>
            </w:tcBorders>
          </w:tcPr>
          <w:p w14:paraId="53F42AF0"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 xml:space="preserve">Daroma prielaida, jog grįžtančios lėšos pakartotinai panaudojamos projektų finansavimui tomis pačiomis sąlygomis po 2 metų. </w:t>
            </w:r>
          </w:p>
        </w:tc>
      </w:tr>
      <w:tr w:rsidR="000E59DF" w:rsidRPr="00E44C84" w14:paraId="4B232D72"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right w:val="single" w:sz="6" w:space="0" w:color="C0504D" w:themeColor="accent2"/>
            </w:tcBorders>
          </w:tcPr>
          <w:p w14:paraId="3D58F2CB" w14:textId="77777777" w:rsidR="000E59DF" w:rsidRPr="00E44C84" w:rsidRDefault="000E59DF" w:rsidP="000E59DF">
            <w:pPr>
              <w:rPr>
                <w:rFonts w:ascii="Georgia" w:hAnsi="Georgia"/>
                <w:sz w:val="20"/>
              </w:rPr>
            </w:pPr>
            <w:r w:rsidRPr="00E44C84">
              <w:rPr>
                <w:rFonts w:ascii="Georgia" w:hAnsi="Georgia"/>
                <w:sz w:val="20"/>
                <w:szCs w:val="20"/>
              </w:rPr>
              <w:t>Privataus investicinio fondo išperkamos paskolos: 70 %</w:t>
            </w:r>
          </w:p>
        </w:tc>
        <w:tc>
          <w:tcPr>
            <w:tcW w:w="3288" w:type="pct"/>
            <w:tcBorders>
              <w:top w:val="single" w:sz="6" w:space="0" w:color="C0504D" w:themeColor="accent2"/>
              <w:left w:val="single" w:sz="6" w:space="0" w:color="C0504D" w:themeColor="accent2"/>
            </w:tcBorders>
          </w:tcPr>
          <w:p w14:paraId="186739DA" w14:textId="77777777" w:rsidR="000E59DF" w:rsidRPr="00E44C84" w:rsidRDefault="000E59DF" w:rsidP="002F60CA">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cs="Georgia"/>
                <w:sz w:val="20"/>
                <w:szCs w:val="20"/>
              </w:rPr>
              <w:t>Daroma prielaida, kad privatus investicinis fondas nuo 201</w:t>
            </w:r>
            <w:r w:rsidR="002F60CA">
              <w:rPr>
                <w:rFonts w:ascii="Georgia" w:hAnsi="Georgia" w:cs="Georgia"/>
                <w:sz w:val="20"/>
                <w:szCs w:val="20"/>
              </w:rPr>
              <w:t>6</w:t>
            </w:r>
            <w:r w:rsidRPr="00E44C84">
              <w:rPr>
                <w:rFonts w:ascii="Georgia" w:hAnsi="Georgia" w:cs="Georgia"/>
                <w:sz w:val="20"/>
                <w:szCs w:val="20"/>
              </w:rPr>
              <w:t xml:space="preserve"> m. galėtų išpirkti apie 70 proc. visų paskolų portfelio. </w:t>
            </w:r>
          </w:p>
        </w:tc>
      </w:tr>
    </w:tbl>
    <w:p w14:paraId="1F9352AC" w14:textId="77777777" w:rsidR="000E59DF" w:rsidRPr="00E44C84" w:rsidRDefault="000E59DF" w:rsidP="000E59DF">
      <w:pPr>
        <w:rPr>
          <w:rFonts w:ascii="Georgia" w:hAnsi="Georgia"/>
          <w:sz w:val="20"/>
          <w:szCs w:val="20"/>
          <w:lang w:val="lt-LT"/>
        </w:rPr>
      </w:pPr>
    </w:p>
    <w:p w14:paraId="71D7454E" w14:textId="160CADD7" w:rsidR="000E59DF" w:rsidRPr="00E44C84" w:rsidRDefault="000E59DF" w:rsidP="000E59DF">
      <w:pPr>
        <w:pStyle w:val="Antrat"/>
        <w:jc w:val="both"/>
        <w:rPr>
          <w:szCs w:val="20"/>
          <w:lang w:val="lt-LT"/>
        </w:rPr>
      </w:pPr>
      <w:bookmarkStart w:id="160" w:name="_Toc460321652"/>
      <w:r w:rsidRPr="00E44C84">
        <w:rPr>
          <w:lang w:val="lt-LT"/>
        </w:rPr>
        <w:lastRenderedPageBreak/>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AA3082">
        <w:rPr>
          <w:noProof/>
          <w:lang w:val="lt-LT"/>
        </w:rPr>
        <w:t>71</w:t>
      </w:r>
      <w:r w:rsidRPr="00E44C84">
        <w:rPr>
          <w:lang w:val="lt-LT"/>
        </w:rPr>
        <w:fldChar w:fldCharType="end"/>
      </w:r>
      <w:r w:rsidRPr="00E44C84">
        <w:rPr>
          <w:lang w:val="lt-LT"/>
        </w:rPr>
        <w:t xml:space="preserve">. Scenarijaus Nr. 6 </w:t>
      </w:r>
      <w:r w:rsidRPr="00E44C84">
        <w:rPr>
          <w:szCs w:val="20"/>
          <w:lang w:val="lt-LT"/>
        </w:rPr>
        <w:t>paskolų finansinės priemonės įgyvendinimo prognozė</w:t>
      </w:r>
      <w:bookmarkEnd w:id="160"/>
    </w:p>
    <w:p w14:paraId="6A8AC3B5" w14:textId="77777777" w:rsidR="000E59DF" w:rsidRPr="00E44C84" w:rsidRDefault="000E59DF" w:rsidP="000E59DF">
      <w:pPr>
        <w:pStyle w:val="Antrat"/>
        <w:jc w:val="both"/>
        <w:rPr>
          <w:lang w:val="lt-LT"/>
        </w:rPr>
      </w:pPr>
      <w:r>
        <w:rPr>
          <w:noProof/>
          <w:lang w:val="lt-LT" w:eastAsia="lt-LT"/>
        </w:rPr>
        <w:drawing>
          <wp:inline distT="0" distB="0" distL="0" distR="0" wp14:anchorId="205E2221" wp14:editId="5650066E">
            <wp:extent cx="6114415" cy="3012440"/>
            <wp:effectExtent l="0" t="0" r="635" b="0"/>
            <wp:docPr id="55"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6114415" cy="3012440"/>
                    </a:xfrm>
                    <a:prstGeom prst="rect">
                      <a:avLst/>
                    </a:prstGeom>
                    <a:noFill/>
                    <a:ln>
                      <a:noFill/>
                    </a:ln>
                  </pic:spPr>
                </pic:pic>
              </a:graphicData>
            </a:graphic>
          </wp:inline>
        </w:drawing>
      </w:r>
    </w:p>
    <w:p w14:paraId="6882F90D" w14:textId="77777777" w:rsidR="000E59DF" w:rsidRPr="00E44C84" w:rsidRDefault="000E59DF" w:rsidP="000E59DF">
      <w:pPr>
        <w:rPr>
          <w:lang w:val="lt-LT"/>
        </w:rPr>
      </w:pPr>
    </w:p>
    <w:p w14:paraId="0399630F" w14:textId="5C23F63C" w:rsidR="000E59DF" w:rsidRPr="00E44C84" w:rsidRDefault="000E59DF" w:rsidP="000E59DF">
      <w:pPr>
        <w:pStyle w:val="Antrat"/>
        <w:jc w:val="both"/>
        <w:rPr>
          <w:szCs w:val="20"/>
          <w:lang w:val="lt-LT"/>
        </w:rPr>
      </w:pPr>
      <w:bookmarkStart w:id="161" w:name="_Toc460321653"/>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AA3082">
        <w:rPr>
          <w:noProof/>
          <w:lang w:val="lt-LT"/>
        </w:rPr>
        <w:t>72</w:t>
      </w:r>
      <w:r w:rsidRPr="00E44C84">
        <w:rPr>
          <w:lang w:val="lt-LT"/>
        </w:rPr>
        <w:fldChar w:fldCharType="end"/>
      </w:r>
      <w:r w:rsidRPr="00E44C84">
        <w:rPr>
          <w:lang w:val="lt-LT"/>
        </w:rPr>
        <w:t>. Scenarijaus Nr. 6 g</w:t>
      </w:r>
      <w:r w:rsidRPr="00E44C84">
        <w:rPr>
          <w:szCs w:val="20"/>
          <w:lang w:val="lt-LT"/>
        </w:rPr>
        <w:t>arantijų finansinės priemonės įgyvendinimo prognozė</w:t>
      </w:r>
      <w:bookmarkEnd w:id="161"/>
    </w:p>
    <w:p w14:paraId="2E79E92D" w14:textId="77777777" w:rsidR="000E59DF" w:rsidRPr="00E44C84" w:rsidRDefault="000E59DF" w:rsidP="000E59DF">
      <w:pPr>
        <w:rPr>
          <w:color w:val="1F497D"/>
          <w:lang w:val="lt-LT"/>
        </w:rPr>
      </w:pPr>
      <w:r>
        <w:rPr>
          <w:noProof/>
          <w:lang w:val="lt-LT" w:eastAsia="lt-LT"/>
        </w:rPr>
        <w:drawing>
          <wp:inline distT="0" distB="0" distL="0" distR="0" wp14:anchorId="57139DE0" wp14:editId="269C7424">
            <wp:extent cx="6114415" cy="2967355"/>
            <wp:effectExtent l="0" t="0" r="635" b="4445"/>
            <wp:docPr id="56"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6114415" cy="2967355"/>
                    </a:xfrm>
                    <a:prstGeom prst="rect">
                      <a:avLst/>
                    </a:prstGeom>
                    <a:noFill/>
                    <a:ln>
                      <a:noFill/>
                    </a:ln>
                  </pic:spPr>
                </pic:pic>
              </a:graphicData>
            </a:graphic>
          </wp:inline>
        </w:drawing>
      </w:r>
    </w:p>
    <w:p w14:paraId="15F33C11" w14:textId="27AE2803" w:rsidR="000E59DF" w:rsidRPr="00E44C84" w:rsidRDefault="000E59DF" w:rsidP="000E59DF">
      <w:pPr>
        <w:pStyle w:val="Antrat"/>
        <w:rPr>
          <w:szCs w:val="20"/>
          <w:lang w:val="lt-LT"/>
        </w:rPr>
      </w:pPr>
      <w:bookmarkStart w:id="162" w:name="_Toc460321654"/>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AA3082">
        <w:rPr>
          <w:noProof/>
          <w:lang w:val="lt-LT"/>
        </w:rPr>
        <w:t>73</w:t>
      </w:r>
      <w:r w:rsidRPr="00E44C84">
        <w:rPr>
          <w:lang w:val="lt-LT"/>
        </w:rPr>
        <w:fldChar w:fldCharType="end"/>
      </w:r>
      <w:r w:rsidRPr="00E44C84">
        <w:rPr>
          <w:lang w:val="lt-LT"/>
        </w:rPr>
        <w:t xml:space="preserve">. </w:t>
      </w:r>
      <w:r w:rsidRPr="00E44C84">
        <w:rPr>
          <w:szCs w:val="20"/>
          <w:lang w:val="lt-LT"/>
        </w:rPr>
        <w:t>Scenarijaus Nr. 6 rezultatai</w:t>
      </w:r>
      <w:bookmarkEnd w:id="162"/>
    </w:p>
    <w:tbl>
      <w:tblPr>
        <w:tblStyle w:val="viesussraas2parykinimas"/>
        <w:tblW w:w="5000" w:type="pct"/>
        <w:tblLook w:val="04A0" w:firstRow="1" w:lastRow="0" w:firstColumn="1" w:lastColumn="0" w:noHBand="0" w:noVBand="1"/>
      </w:tblPr>
      <w:tblGrid>
        <w:gridCol w:w="6647"/>
        <w:gridCol w:w="2595"/>
      </w:tblGrid>
      <w:tr w:rsidR="000E59DF" w:rsidRPr="00E44C84" w14:paraId="48D23A7F" w14:textId="77777777" w:rsidTr="000E59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96" w:type="pct"/>
            <w:tcBorders>
              <w:top w:val="single" w:sz="8" w:space="0" w:color="C0504D" w:themeColor="accent2"/>
              <w:left w:val="single" w:sz="8" w:space="0" w:color="C0504D" w:themeColor="accent2"/>
              <w:bottom w:val="nil"/>
              <w:right w:val="nil"/>
            </w:tcBorders>
            <w:hideMark/>
          </w:tcPr>
          <w:p w14:paraId="2F540E0D" w14:textId="77777777" w:rsidR="000E59DF" w:rsidRPr="00E44C84" w:rsidRDefault="000E59DF" w:rsidP="000E59DF">
            <w:pPr>
              <w:keepNext/>
              <w:jc w:val="center"/>
              <w:rPr>
                <w:rFonts w:ascii="Georgia" w:hAnsi="Georgia"/>
                <w:sz w:val="20"/>
                <w:szCs w:val="20"/>
              </w:rPr>
            </w:pPr>
            <w:r w:rsidRPr="00E44C84">
              <w:rPr>
                <w:rFonts w:ascii="Georgia" w:hAnsi="Georgia"/>
                <w:sz w:val="20"/>
                <w:szCs w:val="20"/>
              </w:rPr>
              <w:t>Fondas</w:t>
            </w:r>
          </w:p>
        </w:tc>
        <w:tc>
          <w:tcPr>
            <w:tcW w:w="1404" w:type="pct"/>
            <w:tcBorders>
              <w:top w:val="single" w:sz="8" w:space="0" w:color="C0504D" w:themeColor="accent2"/>
              <w:left w:val="nil"/>
              <w:bottom w:val="nil"/>
              <w:right w:val="single" w:sz="8" w:space="0" w:color="C0504D" w:themeColor="accent2"/>
            </w:tcBorders>
            <w:hideMark/>
          </w:tcPr>
          <w:p w14:paraId="46ABD334" w14:textId="77777777" w:rsidR="000E59DF" w:rsidRPr="00E44C84" w:rsidRDefault="000E59DF" w:rsidP="000E59DF">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 xml:space="preserve">mln. </w:t>
            </w:r>
            <w:r w:rsidRPr="00E44C84">
              <w:rPr>
                <w:rFonts w:ascii="Georgia" w:hAnsi="Georgia"/>
                <w:sz w:val="20"/>
              </w:rPr>
              <w:t>eurų</w:t>
            </w:r>
          </w:p>
        </w:tc>
      </w:tr>
      <w:tr w:rsidR="000E59DF" w:rsidRPr="00E44C84" w14:paraId="4603BF9E" w14:textId="77777777" w:rsidTr="000E5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pct"/>
            <w:tcBorders>
              <w:right w:val="nil"/>
            </w:tcBorders>
            <w:hideMark/>
          </w:tcPr>
          <w:p w14:paraId="441AF45A" w14:textId="77777777" w:rsidR="000E59DF" w:rsidRPr="00E44C84" w:rsidRDefault="000E59DF" w:rsidP="000E59DF">
            <w:pPr>
              <w:rPr>
                <w:rFonts w:ascii="Georgia" w:hAnsi="Georgia"/>
                <w:sz w:val="20"/>
                <w:szCs w:val="20"/>
              </w:rPr>
            </w:pPr>
            <w:r w:rsidRPr="00E44C84">
              <w:rPr>
                <w:rFonts w:ascii="Georgia" w:hAnsi="Georgia"/>
                <w:sz w:val="20"/>
                <w:szCs w:val="20"/>
              </w:rPr>
              <w:t>Galutinius naudos gavėjus pasiekusios lėšos</w:t>
            </w:r>
          </w:p>
        </w:tc>
        <w:tc>
          <w:tcPr>
            <w:tcW w:w="1404" w:type="pct"/>
            <w:tcBorders>
              <w:left w:val="nil"/>
            </w:tcBorders>
            <w:hideMark/>
          </w:tcPr>
          <w:p w14:paraId="591CEED8" w14:textId="77777777" w:rsidR="000E59DF" w:rsidRPr="00E44C84" w:rsidRDefault="000E59DF" w:rsidP="000E59DF">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 xml:space="preserve">502,3+ </w:t>
            </w:r>
            <w:r>
              <w:rPr>
                <w:rFonts w:ascii="Georgia" w:hAnsi="Georgia"/>
                <w:sz w:val="20"/>
                <w:szCs w:val="20"/>
              </w:rPr>
              <w:t>161,8</w:t>
            </w:r>
            <w:r w:rsidRPr="00E44C84">
              <w:rPr>
                <w:rFonts w:ascii="Georgia" w:hAnsi="Georgia"/>
                <w:sz w:val="20"/>
                <w:szCs w:val="20"/>
              </w:rPr>
              <w:t xml:space="preserve"> = </w:t>
            </w:r>
            <w:r>
              <w:rPr>
                <w:rFonts w:ascii="Georgia" w:hAnsi="Georgia"/>
                <w:sz w:val="20"/>
                <w:szCs w:val="20"/>
              </w:rPr>
              <w:t>664,1</w:t>
            </w:r>
          </w:p>
        </w:tc>
      </w:tr>
      <w:tr w:rsidR="000E59DF" w:rsidRPr="00E44C84" w14:paraId="6D66B9FB" w14:textId="77777777" w:rsidTr="000E59DF">
        <w:tc>
          <w:tcPr>
            <w:cnfStyle w:val="001000000000" w:firstRow="0" w:lastRow="0" w:firstColumn="1" w:lastColumn="0" w:oddVBand="0" w:evenVBand="0" w:oddHBand="0" w:evenHBand="0" w:firstRowFirstColumn="0" w:firstRowLastColumn="0" w:lastRowFirstColumn="0" w:lastRowLastColumn="0"/>
            <w:tcW w:w="3596" w:type="pct"/>
            <w:tcBorders>
              <w:top w:val="nil"/>
              <w:left w:val="single" w:sz="8" w:space="0" w:color="C0504D" w:themeColor="accent2"/>
              <w:bottom w:val="nil"/>
              <w:right w:val="nil"/>
            </w:tcBorders>
            <w:hideMark/>
          </w:tcPr>
          <w:p w14:paraId="18DAE080" w14:textId="77777777" w:rsidR="000E59DF" w:rsidRPr="00E44C84" w:rsidRDefault="000E59DF" w:rsidP="000E59DF">
            <w:pPr>
              <w:rPr>
                <w:rFonts w:ascii="Georgia" w:hAnsi="Georgia"/>
                <w:b w:val="0"/>
                <w:sz w:val="20"/>
                <w:szCs w:val="20"/>
              </w:rPr>
            </w:pPr>
            <w:r w:rsidRPr="00E44C84">
              <w:rPr>
                <w:rFonts w:ascii="Georgia" w:hAnsi="Georgia"/>
                <w:sz w:val="20"/>
                <w:szCs w:val="20"/>
              </w:rPr>
              <w:t>Į fondą grįžusios paskolos lėšos iki 2019 metų (įskaitant subsidijas bei iš JESSICA KF grįžtančias lėšas)</w:t>
            </w:r>
          </w:p>
        </w:tc>
        <w:tc>
          <w:tcPr>
            <w:tcW w:w="1404" w:type="pct"/>
            <w:tcBorders>
              <w:top w:val="nil"/>
              <w:left w:val="nil"/>
              <w:bottom w:val="nil"/>
              <w:right w:val="single" w:sz="8" w:space="0" w:color="C0504D" w:themeColor="accent2"/>
            </w:tcBorders>
            <w:hideMark/>
          </w:tcPr>
          <w:p w14:paraId="1FE348A6" w14:textId="77777777" w:rsidR="000E59DF" w:rsidRPr="00E44C84" w:rsidRDefault="000E59DF" w:rsidP="000E59DF">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148,6</w:t>
            </w:r>
          </w:p>
        </w:tc>
      </w:tr>
      <w:tr w:rsidR="000E59DF" w:rsidRPr="00E44C84" w14:paraId="12996162" w14:textId="77777777" w:rsidTr="000E5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pct"/>
            <w:tcBorders>
              <w:right w:val="nil"/>
            </w:tcBorders>
            <w:hideMark/>
          </w:tcPr>
          <w:p w14:paraId="18F9BC6F" w14:textId="77777777" w:rsidR="000E59DF" w:rsidRPr="00E44C84" w:rsidRDefault="000E59DF" w:rsidP="000E59DF">
            <w:pPr>
              <w:rPr>
                <w:rFonts w:ascii="Georgia" w:hAnsi="Georgia"/>
                <w:sz w:val="20"/>
                <w:szCs w:val="20"/>
              </w:rPr>
            </w:pPr>
            <w:r w:rsidRPr="00E44C84">
              <w:rPr>
                <w:rFonts w:ascii="Georgia" w:hAnsi="Georgia"/>
                <w:sz w:val="20"/>
                <w:szCs w:val="20"/>
              </w:rPr>
              <w:t>Komercinių bankų išmokėtos lėšos</w:t>
            </w:r>
          </w:p>
        </w:tc>
        <w:tc>
          <w:tcPr>
            <w:tcW w:w="1404" w:type="pct"/>
            <w:tcBorders>
              <w:left w:val="nil"/>
            </w:tcBorders>
            <w:hideMark/>
          </w:tcPr>
          <w:p w14:paraId="3FBEB7AE" w14:textId="77777777" w:rsidR="000E59DF" w:rsidRPr="00E44C84" w:rsidRDefault="000E59DF" w:rsidP="000E59DF">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137,5</w:t>
            </w:r>
          </w:p>
        </w:tc>
      </w:tr>
      <w:tr w:rsidR="000E59DF" w:rsidRPr="00E44C84" w14:paraId="45A589CF" w14:textId="77777777" w:rsidTr="000E59DF">
        <w:tc>
          <w:tcPr>
            <w:cnfStyle w:val="001000000000" w:firstRow="0" w:lastRow="0" w:firstColumn="1" w:lastColumn="0" w:oddVBand="0" w:evenVBand="0" w:oddHBand="0" w:evenHBand="0" w:firstRowFirstColumn="0" w:firstRowLastColumn="0" w:lastRowFirstColumn="0" w:lastRowLastColumn="0"/>
            <w:tcW w:w="3596" w:type="pct"/>
            <w:tcBorders>
              <w:top w:val="nil"/>
              <w:left w:val="single" w:sz="8" w:space="0" w:color="C0504D" w:themeColor="accent2"/>
              <w:bottom w:val="nil"/>
              <w:right w:val="nil"/>
            </w:tcBorders>
          </w:tcPr>
          <w:p w14:paraId="2139B7E8" w14:textId="77777777" w:rsidR="000E59DF" w:rsidRPr="00E44C84" w:rsidRDefault="000E59DF" w:rsidP="000E59DF">
            <w:pPr>
              <w:rPr>
                <w:rFonts w:ascii="Georgia" w:hAnsi="Georgia"/>
                <w:sz w:val="20"/>
                <w:szCs w:val="20"/>
              </w:rPr>
            </w:pPr>
            <w:r w:rsidRPr="00E44C84">
              <w:rPr>
                <w:rFonts w:ascii="Georgia" w:hAnsi="Georgia"/>
                <w:sz w:val="20"/>
                <w:szCs w:val="20"/>
              </w:rPr>
              <w:t>Privataus investicinio fondo nupirktos paskolos iki 2019 metų</w:t>
            </w:r>
          </w:p>
        </w:tc>
        <w:tc>
          <w:tcPr>
            <w:tcW w:w="1404" w:type="pct"/>
            <w:tcBorders>
              <w:top w:val="nil"/>
              <w:left w:val="nil"/>
              <w:bottom w:val="nil"/>
              <w:right w:val="single" w:sz="8" w:space="0" w:color="C0504D" w:themeColor="accent2"/>
            </w:tcBorders>
          </w:tcPr>
          <w:p w14:paraId="3E5107D0" w14:textId="77777777" w:rsidR="000E59DF" w:rsidRPr="00E44C84" w:rsidRDefault="000E59DF" w:rsidP="000E59DF">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124,4</w:t>
            </w:r>
          </w:p>
        </w:tc>
      </w:tr>
      <w:tr w:rsidR="000E59DF" w:rsidRPr="00E44C84" w14:paraId="41E2F3D8" w14:textId="77777777" w:rsidTr="000E5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pct"/>
            <w:tcBorders>
              <w:right w:val="nil"/>
            </w:tcBorders>
          </w:tcPr>
          <w:p w14:paraId="7AA49C78" w14:textId="77777777" w:rsidR="000E59DF" w:rsidRPr="00E44C84" w:rsidRDefault="000E59DF" w:rsidP="000E59DF">
            <w:pPr>
              <w:rPr>
                <w:rFonts w:ascii="Georgia" w:hAnsi="Georgia"/>
                <w:sz w:val="20"/>
                <w:szCs w:val="20"/>
              </w:rPr>
            </w:pPr>
            <w:r w:rsidRPr="00E44C84">
              <w:rPr>
                <w:rFonts w:ascii="Georgia" w:hAnsi="Georgia"/>
                <w:sz w:val="20"/>
                <w:szCs w:val="20"/>
              </w:rPr>
              <w:t>Renovuotų pastatų skaičius</w:t>
            </w:r>
          </w:p>
        </w:tc>
        <w:tc>
          <w:tcPr>
            <w:tcW w:w="1404" w:type="pct"/>
            <w:tcBorders>
              <w:left w:val="nil"/>
            </w:tcBorders>
          </w:tcPr>
          <w:p w14:paraId="1813925F" w14:textId="77777777" w:rsidR="000E59DF" w:rsidRPr="00E44C84" w:rsidRDefault="000E59DF" w:rsidP="000E59DF">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2701</w:t>
            </w:r>
            <w:r w:rsidRPr="00E44C84">
              <w:rPr>
                <w:rFonts w:ascii="Georgia" w:hAnsi="Georgia"/>
                <w:sz w:val="20"/>
                <w:szCs w:val="20"/>
              </w:rPr>
              <w:t xml:space="preserve"> + </w:t>
            </w:r>
            <w:r>
              <w:rPr>
                <w:rFonts w:ascii="Georgia" w:hAnsi="Georgia"/>
                <w:sz w:val="20"/>
                <w:szCs w:val="20"/>
              </w:rPr>
              <w:t>870</w:t>
            </w:r>
            <w:r w:rsidRPr="00E44C84">
              <w:rPr>
                <w:rFonts w:ascii="Georgia" w:hAnsi="Georgia"/>
                <w:sz w:val="20"/>
                <w:szCs w:val="20"/>
              </w:rPr>
              <w:t xml:space="preserve"> = </w:t>
            </w:r>
            <w:r>
              <w:rPr>
                <w:rFonts w:ascii="Georgia" w:hAnsi="Georgia"/>
                <w:sz w:val="20"/>
                <w:szCs w:val="20"/>
              </w:rPr>
              <w:t>3571</w:t>
            </w:r>
          </w:p>
        </w:tc>
      </w:tr>
    </w:tbl>
    <w:p w14:paraId="3AB17B30" w14:textId="77777777" w:rsidR="000E59DF" w:rsidRPr="00E44C84" w:rsidRDefault="000E59DF" w:rsidP="000E59DF">
      <w:pPr>
        <w:rPr>
          <w:rFonts w:ascii="Georgia" w:hAnsi="Georgia"/>
          <w:sz w:val="20"/>
          <w:szCs w:val="20"/>
          <w:lang w:val="lt-LT"/>
        </w:rPr>
      </w:pPr>
    </w:p>
    <w:p w14:paraId="45CFB27C" w14:textId="77777777" w:rsidR="000E59DF" w:rsidRPr="00E44C84" w:rsidRDefault="000E59DF" w:rsidP="000E59DF">
      <w:pPr>
        <w:pStyle w:val="Sraopastraipa"/>
        <w:keepNext/>
        <w:numPr>
          <w:ilvl w:val="0"/>
          <w:numId w:val="34"/>
        </w:numPr>
        <w:rPr>
          <w:rFonts w:ascii="Georgia" w:hAnsi="Georgia"/>
          <w:b/>
          <w:i/>
          <w:sz w:val="20"/>
          <w:szCs w:val="20"/>
          <w:lang w:val="lt-LT"/>
        </w:rPr>
      </w:pPr>
      <w:r w:rsidRPr="00E44C84">
        <w:rPr>
          <w:rFonts w:ascii="Georgia" w:hAnsi="Georgia"/>
          <w:b/>
          <w:i/>
          <w:sz w:val="20"/>
          <w:szCs w:val="20"/>
          <w:lang w:val="lt-LT"/>
        </w:rPr>
        <w:lastRenderedPageBreak/>
        <w:t>Scenarijus Nr. 7: Finansinės priemonės lėšos nukreipiamos į paskolų modelį su galimybe išpirkti ateities finansinius srautus</w:t>
      </w:r>
    </w:p>
    <w:p w14:paraId="4BFF14EA" w14:textId="77777777" w:rsidR="000E59DF" w:rsidRPr="00E44C84" w:rsidRDefault="000E59DF" w:rsidP="000E59DF">
      <w:pPr>
        <w:keepNext/>
        <w:jc w:val="both"/>
        <w:rPr>
          <w:rFonts w:ascii="Georgia" w:hAnsi="Georgia"/>
          <w:sz w:val="20"/>
          <w:szCs w:val="20"/>
          <w:lang w:val="lt-LT"/>
        </w:rPr>
      </w:pPr>
      <w:r w:rsidRPr="00E44C84">
        <w:rPr>
          <w:rFonts w:ascii="Georgia" w:hAnsi="Georgia"/>
          <w:sz w:val="20"/>
          <w:szCs w:val="20"/>
          <w:lang w:val="lt-LT"/>
        </w:rPr>
        <w:t>Scenarijus Nr.7 modeliuojamas kaip scenarijaus Nr. 1 finansinė priemonė, tačiau papildomai daroma prielaida, jog 201</w:t>
      </w:r>
      <w:r w:rsidR="002F60CA">
        <w:rPr>
          <w:rFonts w:ascii="Georgia" w:hAnsi="Georgia"/>
          <w:sz w:val="20"/>
          <w:szCs w:val="20"/>
          <w:lang w:val="lt-LT"/>
        </w:rPr>
        <w:t>6</w:t>
      </w:r>
      <w:r w:rsidRPr="00E44C84">
        <w:rPr>
          <w:rFonts w:ascii="Georgia" w:hAnsi="Georgia"/>
          <w:sz w:val="20"/>
          <w:szCs w:val="20"/>
          <w:lang w:val="lt-LT"/>
        </w:rPr>
        <w:t xml:space="preserve"> metais veiklą pradės privatus investicinis fondas, kuris išpirks 70 % paskolų, o už išpirktas paskolas gautos lėšos pakartotinai bus naudojamos projektų finansavimui. </w:t>
      </w:r>
    </w:p>
    <w:p w14:paraId="13D234FE" w14:textId="77777777" w:rsidR="0010799D" w:rsidRDefault="000E59DF" w:rsidP="000E59DF">
      <w:pPr>
        <w:pStyle w:val="Antrat"/>
        <w:rPr>
          <w:lang w:val="lt-LT"/>
        </w:rPr>
      </w:pPr>
      <w:r>
        <w:rPr>
          <w:noProof/>
          <w:lang w:val="lt-LT" w:eastAsia="lt-LT"/>
        </w:rPr>
        <w:drawing>
          <wp:inline distT="0" distB="0" distL="0" distR="0" wp14:anchorId="5B2053C8" wp14:editId="023AFD2C">
            <wp:extent cx="6120130" cy="1795145"/>
            <wp:effectExtent l="0" t="0" r="0" b="0"/>
            <wp:docPr id="57" name="Paveikslėlis 25" descr="\\vipa-server\ESCO_Rolandas\EE ex-antes skaiciavimai\Schemos (Rolandas) (Taisytos 2014-11-10)\Daugiabuciu\Daugiabuciai Nr. 7 su forfeitin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pa-server\ESCO_Rolandas\EE ex-antes skaiciavimai\Schemos (Rolandas) (Taisytos 2014-11-10)\Daugiabuciu\Daugiabuciai Nr. 7 su forfeitingu.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6120130" cy="1795145"/>
                    </a:xfrm>
                    <a:prstGeom prst="rect">
                      <a:avLst/>
                    </a:prstGeom>
                    <a:noFill/>
                    <a:ln>
                      <a:noFill/>
                    </a:ln>
                  </pic:spPr>
                </pic:pic>
              </a:graphicData>
            </a:graphic>
          </wp:inline>
        </w:drawing>
      </w:r>
    </w:p>
    <w:p w14:paraId="0247C1E7" w14:textId="4FB9F575" w:rsidR="000E59DF" w:rsidRPr="00E44C84" w:rsidRDefault="000E59DF" w:rsidP="000E59DF">
      <w:pPr>
        <w:pStyle w:val="Antrat"/>
        <w:rPr>
          <w:szCs w:val="20"/>
          <w:lang w:val="lt-LT"/>
        </w:rPr>
      </w:pPr>
      <w:bookmarkStart w:id="163" w:name="_Toc417378304"/>
      <w:r w:rsidRPr="00E44C84">
        <w:rPr>
          <w:lang w:val="lt-LT"/>
        </w:rPr>
        <w:t xml:space="preserve">Paveikslas </w:t>
      </w:r>
      <w:r w:rsidRPr="00E44C84">
        <w:rPr>
          <w:lang w:val="lt-LT"/>
        </w:rPr>
        <w:fldChar w:fldCharType="begin"/>
      </w:r>
      <w:r w:rsidRPr="00E44C84">
        <w:rPr>
          <w:lang w:val="lt-LT"/>
        </w:rPr>
        <w:instrText xml:space="preserve"> SEQ Paveikslas \* ARABIC </w:instrText>
      </w:r>
      <w:r w:rsidRPr="00E44C84">
        <w:rPr>
          <w:lang w:val="lt-LT"/>
        </w:rPr>
        <w:fldChar w:fldCharType="separate"/>
      </w:r>
      <w:r w:rsidR="00AA3082">
        <w:rPr>
          <w:noProof/>
          <w:lang w:val="lt-LT"/>
        </w:rPr>
        <w:t>27</w:t>
      </w:r>
      <w:r w:rsidRPr="00E44C84">
        <w:rPr>
          <w:lang w:val="lt-LT"/>
        </w:rPr>
        <w:fldChar w:fldCharType="end"/>
      </w:r>
      <w:r w:rsidRPr="00E44C84">
        <w:rPr>
          <w:lang w:val="lt-LT"/>
        </w:rPr>
        <w:t>. Daugiabučių scenarijaus Nr. 7 schema.</w:t>
      </w:r>
      <w:bookmarkEnd w:id="163"/>
    </w:p>
    <w:p w14:paraId="15E6754A" w14:textId="77777777" w:rsidR="000E59DF" w:rsidRPr="00E44C84" w:rsidRDefault="000E59DF" w:rsidP="000E59DF">
      <w:pPr>
        <w:tabs>
          <w:tab w:val="left" w:pos="6670"/>
        </w:tabs>
        <w:rPr>
          <w:rFonts w:ascii="Georgia" w:hAnsi="Georgia"/>
          <w:sz w:val="20"/>
          <w:szCs w:val="20"/>
          <w:lang w:val="lt-LT"/>
        </w:rPr>
      </w:pPr>
      <w:r w:rsidRPr="00E44C84">
        <w:rPr>
          <w:rFonts w:ascii="Georgia" w:hAnsi="Georgia"/>
          <w:sz w:val="20"/>
          <w:szCs w:val="20"/>
          <w:lang w:val="lt-LT"/>
        </w:rPr>
        <w:tab/>
      </w:r>
    </w:p>
    <w:p w14:paraId="452E5E78" w14:textId="16AF4B15" w:rsidR="000E59DF" w:rsidRPr="00E44C84" w:rsidRDefault="000E59DF" w:rsidP="000E59DF">
      <w:pPr>
        <w:pStyle w:val="Antrat"/>
        <w:rPr>
          <w:szCs w:val="20"/>
          <w:lang w:val="lt-LT"/>
        </w:rPr>
      </w:pPr>
      <w:bookmarkStart w:id="164" w:name="_Toc460321655"/>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AA3082">
        <w:rPr>
          <w:noProof/>
          <w:lang w:val="lt-LT"/>
        </w:rPr>
        <w:t>74</w:t>
      </w:r>
      <w:r w:rsidRPr="00E44C84">
        <w:rPr>
          <w:lang w:val="lt-LT"/>
        </w:rPr>
        <w:fldChar w:fldCharType="end"/>
      </w:r>
      <w:r w:rsidRPr="00E44C84">
        <w:rPr>
          <w:lang w:val="lt-LT"/>
        </w:rPr>
        <w:t xml:space="preserve">. </w:t>
      </w:r>
      <w:r w:rsidRPr="00E44C84">
        <w:rPr>
          <w:szCs w:val="20"/>
          <w:lang w:val="lt-LT"/>
        </w:rPr>
        <w:t>Scenarijaus Nr. 2 prielaidos</w:t>
      </w:r>
      <w:bookmarkEnd w:id="164"/>
    </w:p>
    <w:tbl>
      <w:tblPr>
        <w:tblStyle w:val="viesussraas2parykinimas"/>
        <w:tblW w:w="5000" w:type="pct"/>
        <w:tblLook w:val="04A0" w:firstRow="1" w:lastRow="0" w:firstColumn="1" w:lastColumn="0" w:noHBand="0" w:noVBand="1"/>
      </w:tblPr>
      <w:tblGrid>
        <w:gridCol w:w="3164"/>
        <w:gridCol w:w="6078"/>
      </w:tblGrid>
      <w:tr w:rsidR="000E59DF" w:rsidRPr="00E44C84" w14:paraId="4F3D7489" w14:textId="77777777" w:rsidTr="000E59DF">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bottom w:val="single" w:sz="8" w:space="0" w:color="C0504D" w:themeColor="accent2"/>
            </w:tcBorders>
          </w:tcPr>
          <w:p w14:paraId="1EEAF01F" w14:textId="77777777" w:rsidR="000E59DF" w:rsidRPr="00E44C84" w:rsidRDefault="000E59DF" w:rsidP="00C83DB2">
            <w:pPr>
              <w:jc w:val="center"/>
              <w:rPr>
                <w:rFonts w:ascii="Georgia" w:hAnsi="Georgia"/>
                <w:sz w:val="20"/>
                <w:szCs w:val="20"/>
              </w:rPr>
            </w:pPr>
            <w:r w:rsidRPr="00E44C84">
              <w:rPr>
                <w:rFonts w:ascii="Georgia" w:hAnsi="Georgia"/>
                <w:sz w:val="20"/>
                <w:szCs w:val="20"/>
              </w:rPr>
              <w:t>Prielaidos</w:t>
            </w:r>
          </w:p>
        </w:tc>
        <w:tc>
          <w:tcPr>
            <w:tcW w:w="3288" w:type="pct"/>
            <w:tcBorders>
              <w:bottom w:val="single" w:sz="8" w:space="0" w:color="C0504D" w:themeColor="accent2"/>
            </w:tcBorders>
          </w:tcPr>
          <w:p w14:paraId="360A9686" w14:textId="77777777" w:rsidR="000E59DF" w:rsidRPr="00E44C84" w:rsidRDefault="000E59DF" w:rsidP="00C83DB2">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Komentaras</w:t>
            </w:r>
          </w:p>
        </w:tc>
      </w:tr>
      <w:tr w:rsidR="000E59DF" w:rsidRPr="00E44C84" w14:paraId="6DACC7E4"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bottom w:val="single" w:sz="6" w:space="0" w:color="C0504D" w:themeColor="accent2"/>
              <w:right w:val="single" w:sz="6" w:space="0" w:color="C0504D" w:themeColor="accent2"/>
            </w:tcBorders>
          </w:tcPr>
          <w:p w14:paraId="03AC8E28" w14:textId="77777777" w:rsidR="000E59DF" w:rsidRPr="00E44C84" w:rsidRDefault="000E59DF" w:rsidP="000E59DF">
            <w:pPr>
              <w:rPr>
                <w:rFonts w:ascii="Georgia" w:hAnsi="Georgia"/>
                <w:b w:val="0"/>
                <w:sz w:val="20"/>
                <w:szCs w:val="20"/>
              </w:rPr>
            </w:pPr>
            <w:r w:rsidRPr="00E44C84">
              <w:rPr>
                <w:rFonts w:ascii="Georgia" w:hAnsi="Georgia"/>
                <w:sz w:val="20"/>
                <w:szCs w:val="20"/>
              </w:rPr>
              <w:t>Paskolos laikotarpis: iki 20 metų</w:t>
            </w:r>
          </w:p>
        </w:tc>
        <w:tc>
          <w:tcPr>
            <w:tcW w:w="3288" w:type="pct"/>
            <w:tcBorders>
              <w:left w:val="single" w:sz="6" w:space="0" w:color="C0504D" w:themeColor="accent2"/>
              <w:bottom w:val="single" w:sz="6" w:space="0" w:color="C0504D" w:themeColor="accent2"/>
            </w:tcBorders>
          </w:tcPr>
          <w:p w14:paraId="0DD6349B"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Maksimalus paskolos suteikimo terminas 20 metų.</w:t>
            </w:r>
          </w:p>
        </w:tc>
      </w:tr>
      <w:tr w:rsidR="000E59DF" w:rsidRPr="00E44C84" w14:paraId="1FC9C181"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187D6EC4" w14:textId="77777777" w:rsidR="000E59DF" w:rsidRPr="00E44C84" w:rsidRDefault="000E59DF" w:rsidP="000E59DF">
            <w:pPr>
              <w:rPr>
                <w:rFonts w:ascii="Georgia" w:hAnsi="Georgia"/>
                <w:b w:val="0"/>
                <w:sz w:val="20"/>
                <w:szCs w:val="20"/>
              </w:rPr>
            </w:pPr>
            <w:r w:rsidRPr="00E44C84">
              <w:rPr>
                <w:rFonts w:ascii="Georgia" w:hAnsi="Georgia"/>
                <w:sz w:val="20"/>
                <w:szCs w:val="20"/>
              </w:rPr>
              <w:t>Subsidija: 15 %</w:t>
            </w:r>
          </w:p>
        </w:tc>
        <w:tc>
          <w:tcPr>
            <w:tcW w:w="3288" w:type="pct"/>
            <w:tcBorders>
              <w:top w:val="single" w:sz="6" w:space="0" w:color="C0504D" w:themeColor="accent2"/>
              <w:left w:val="single" w:sz="6" w:space="0" w:color="C0504D" w:themeColor="accent2"/>
              <w:bottom w:val="single" w:sz="6" w:space="0" w:color="C0504D" w:themeColor="accent2"/>
            </w:tcBorders>
          </w:tcPr>
          <w:p w14:paraId="1F0F0F46"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Projektams, pasiekusiems ne mažesnį kaip 40 proc. sutaupymą, suteikiama 15 % subsidija (papildoma valstybės parama) biudžeto lėšomis, (modeliuojant ši suma pervedama į fondą ir laikoma grįžtančiomis lėšomis).</w:t>
            </w:r>
          </w:p>
        </w:tc>
      </w:tr>
      <w:tr w:rsidR="000E59DF" w:rsidRPr="00E44C84" w14:paraId="0C226F3A"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1A1139DF" w14:textId="77777777" w:rsidR="000E59DF" w:rsidRPr="00E44C84" w:rsidRDefault="000E59DF" w:rsidP="000E59DF">
            <w:pPr>
              <w:rPr>
                <w:rFonts w:ascii="Georgia" w:hAnsi="Georgia"/>
                <w:b w:val="0"/>
                <w:sz w:val="20"/>
                <w:szCs w:val="20"/>
              </w:rPr>
            </w:pPr>
            <w:r>
              <w:rPr>
                <w:rFonts w:ascii="Georgia" w:hAnsi="Georgia"/>
                <w:sz w:val="20"/>
              </w:rPr>
              <w:t>Palūkanų kompensavimo mechanizmas</w:t>
            </w:r>
            <w:r w:rsidRPr="00E44C84">
              <w:rPr>
                <w:rFonts w:ascii="Georgia" w:hAnsi="Georgia"/>
                <w:sz w:val="20"/>
                <w:szCs w:val="20"/>
              </w:rPr>
              <w:t>: 15%</w:t>
            </w:r>
          </w:p>
        </w:tc>
        <w:tc>
          <w:tcPr>
            <w:tcW w:w="3288" w:type="pct"/>
            <w:tcBorders>
              <w:top w:val="single" w:sz="6" w:space="0" w:color="C0504D" w:themeColor="accent2"/>
              <w:left w:val="single" w:sz="6" w:space="0" w:color="C0504D" w:themeColor="accent2"/>
              <w:bottom w:val="single" w:sz="6" w:space="0" w:color="C0504D" w:themeColor="accent2"/>
            </w:tcBorders>
          </w:tcPr>
          <w:p w14:paraId="21E5E8D8"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 xml:space="preserve">Po projekto įgyvendinimo paskolos suma sumažinama 15 %. Ši suma atitinka apytiksliai 2 proc. palūkanų, kurias sumoka galutiniai naudos gavėjai per 20 metų paskolos laikotarpį (t.y. galutiniai naudos gavėjai per 20 metų sumoka ne 3 proc. palūkanų, o 1 proc. palūkanų). </w:t>
            </w:r>
          </w:p>
        </w:tc>
      </w:tr>
      <w:tr w:rsidR="000E59DF" w:rsidRPr="00E44C84" w14:paraId="0C3D06EA"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2011C5DC" w14:textId="77777777" w:rsidR="000E59DF" w:rsidRPr="00E44C84" w:rsidRDefault="000E59DF" w:rsidP="000E59DF">
            <w:pPr>
              <w:rPr>
                <w:rFonts w:ascii="Georgia" w:hAnsi="Georgia"/>
                <w:b w:val="0"/>
                <w:sz w:val="20"/>
                <w:szCs w:val="20"/>
              </w:rPr>
            </w:pPr>
            <w:r w:rsidRPr="00E44C84">
              <w:rPr>
                <w:rFonts w:ascii="Georgia" w:hAnsi="Georgia"/>
                <w:sz w:val="20"/>
                <w:szCs w:val="20"/>
              </w:rPr>
              <w:t>Išankstinis paskolos grąžinimas: 10% praėjus dvejiems metams po projekto įgyvendinimo</w:t>
            </w:r>
          </w:p>
        </w:tc>
        <w:tc>
          <w:tcPr>
            <w:tcW w:w="3288" w:type="pct"/>
            <w:tcBorders>
              <w:top w:val="single" w:sz="6" w:space="0" w:color="C0504D" w:themeColor="accent2"/>
              <w:left w:val="single" w:sz="6" w:space="0" w:color="C0504D" w:themeColor="accent2"/>
              <w:bottom w:val="single" w:sz="6" w:space="0" w:color="C0504D" w:themeColor="accent2"/>
            </w:tcBorders>
          </w:tcPr>
          <w:p w14:paraId="64E04ED4"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Prielaida, kad anksčiau laiko grįžtančios paskolos praėjus dvejiems metams po projekto įgyvendinimo sudarys 10 % paskolų portfelio, nustatyta remiantis ekspertų ir komercinių bankų vertinimu.</w:t>
            </w:r>
          </w:p>
        </w:tc>
      </w:tr>
      <w:tr w:rsidR="000E59DF" w:rsidRPr="00E44C84" w14:paraId="62019CBE"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1C3F0811" w14:textId="77777777" w:rsidR="000E59DF" w:rsidRPr="00E44C84" w:rsidRDefault="000E59DF" w:rsidP="000E59DF">
            <w:pPr>
              <w:rPr>
                <w:rFonts w:ascii="Georgia" w:hAnsi="Georgia"/>
                <w:b w:val="0"/>
                <w:sz w:val="20"/>
                <w:szCs w:val="20"/>
              </w:rPr>
            </w:pPr>
            <w:r w:rsidRPr="00E44C84">
              <w:rPr>
                <w:rFonts w:ascii="Georgia" w:hAnsi="Georgia"/>
                <w:sz w:val="20"/>
                <w:szCs w:val="20"/>
              </w:rPr>
              <w:t>Blogų paskolų dalis: 5 %</w:t>
            </w:r>
          </w:p>
        </w:tc>
        <w:tc>
          <w:tcPr>
            <w:tcW w:w="3288" w:type="pct"/>
            <w:tcBorders>
              <w:top w:val="single" w:sz="6" w:space="0" w:color="C0504D" w:themeColor="accent2"/>
              <w:left w:val="single" w:sz="6" w:space="0" w:color="C0504D" w:themeColor="accent2"/>
              <w:bottom w:val="single" w:sz="6" w:space="0" w:color="C0504D" w:themeColor="accent2"/>
            </w:tcBorders>
          </w:tcPr>
          <w:p w14:paraId="39252B79"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Blogų paskolų dalis buvo nustatyta remiantis ekspertų ir komercinių bankų vertinimu.</w:t>
            </w:r>
          </w:p>
        </w:tc>
      </w:tr>
      <w:tr w:rsidR="000E59DF" w:rsidRPr="00E44C84" w14:paraId="54C482B5"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72E7126A" w14:textId="77777777" w:rsidR="000E59DF" w:rsidRPr="00E44C84" w:rsidRDefault="000E59DF" w:rsidP="000E59DF">
            <w:pPr>
              <w:rPr>
                <w:rFonts w:ascii="Georgia" w:hAnsi="Georgia"/>
                <w:b w:val="0"/>
                <w:sz w:val="20"/>
                <w:szCs w:val="20"/>
              </w:rPr>
            </w:pPr>
            <w:r w:rsidRPr="00E44C84">
              <w:rPr>
                <w:rFonts w:ascii="Georgia" w:hAnsi="Georgia"/>
                <w:sz w:val="20"/>
                <w:szCs w:val="20"/>
              </w:rPr>
              <w:t xml:space="preserve">Tipinio pastato projekto investicijų vertė: </w:t>
            </w:r>
          </w:p>
          <w:p w14:paraId="25BA7434" w14:textId="77777777" w:rsidR="000E59DF" w:rsidRPr="00E44C84" w:rsidRDefault="000E59DF" w:rsidP="000E59DF">
            <w:pPr>
              <w:rPr>
                <w:rFonts w:ascii="Georgia" w:hAnsi="Georgia"/>
                <w:b w:val="0"/>
                <w:sz w:val="20"/>
                <w:szCs w:val="20"/>
              </w:rPr>
            </w:pPr>
            <w:r w:rsidRPr="00E44C84">
              <w:rPr>
                <w:rFonts w:ascii="Georgia" w:hAnsi="Georgia"/>
                <w:sz w:val="20"/>
                <w:szCs w:val="20"/>
              </w:rPr>
              <w:t xml:space="preserve">186.000 </w:t>
            </w:r>
            <w:r w:rsidRPr="00E44C84">
              <w:rPr>
                <w:rFonts w:ascii="Georgia" w:hAnsi="Georgia"/>
                <w:sz w:val="20"/>
              </w:rPr>
              <w:t>eurų</w:t>
            </w:r>
          </w:p>
        </w:tc>
        <w:tc>
          <w:tcPr>
            <w:tcW w:w="3288" w:type="pct"/>
            <w:tcBorders>
              <w:top w:val="single" w:sz="6" w:space="0" w:color="C0504D" w:themeColor="accent2"/>
              <w:left w:val="single" w:sz="6" w:space="0" w:color="C0504D" w:themeColor="accent2"/>
              <w:bottom w:val="single" w:sz="6" w:space="0" w:color="C0504D" w:themeColor="accent2"/>
            </w:tcBorders>
          </w:tcPr>
          <w:p w14:paraId="7D08C6EE"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Vidutinė tipinio daugiabučio renovacijos kaina buvo nustatyta remiantis vidutinio daugiabučio plotu (paskaičiuota remiantis registrų centro duomenimis). Vidutinė statybos darbų kaina nustatyta pagal BETA pateiktus duomenis.</w:t>
            </w:r>
          </w:p>
        </w:tc>
      </w:tr>
      <w:tr w:rsidR="000E59DF" w:rsidRPr="00E44C84" w14:paraId="779C0F4A"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11D7497A" w14:textId="77777777" w:rsidR="000E59DF" w:rsidRPr="00E44C84" w:rsidRDefault="000E59DF" w:rsidP="000E59DF">
            <w:pPr>
              <w:rPr>
                <w:rFonts w:ascii="Georgia" w:hAnsi="Georgia"/>
                <w:b w:val="0"/>
                <w:sz w:val="20"/>
                <w:szCs w:val="20"/>
              </w:rPr>
            </w:pPr>
            <w:r w:rsidRPr="00E44C84">
              <w:rPr>
                <w:rFonts w:ascii="Georgia" w:hAnsi="Georgia"/>
                <w:sz w:val="20"/>
                <w:szCs w:val="20"/>
              </w:rPr>
              <w:t>Palūkanų norma: 3%</w:t>
            </w:r>
          </w:p>
        </w:tc>
        <w:tc>
          <w:tcPr>
            <w:tcW w:w="3288" w:type="pct"/>
            <w:tcBorders>
              <w:top w:val="single" w:sz="6" w:space="0" w:color="C0504D" w:themeColor="accent2"/>
              <w:left w:val="single" w:sz="6" w:space="0" w:color="C0504D" w:themeColor="accent2"/>
              <w:bottom w:val="single" w:sz="6" w:space="0" w:color="C0504D" w:themeColor="accent2"/>
            </w:tcBorders>
          </w:tcPr>
          <w:p w14:paraId="0B2A7A22"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Palūkanų norma galutiniams naudos gavėjams - fiksuotos 3 % metinės palūkanos.</w:t>
            </w:r>
          </w:p>
        </w:tc>
      </w:tr>
      <w:tr w:rsidR="000E59DF" w:rsidRPr="00E44C84" w14:paraId="296EA968"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390378C7" w14:textId="77777777" w:rsidR="000E59DF" w:rsidRPr="00E44C84" w:rsidRDefault="000E59DF" w:rsidP="000E59DF">
            <w:pPr>
              <w:rPr>
                <w:rFonts w:ascii="Georgia" w:hAnsi="Georgia"/>
                <w:b w:val="0"/>
                <w:sz w:val="20"/>
                <w:szCs w:val="20"/>
              </w:rPr>
            </w:pPr>
            <w:r w:rsidRPr="00E44C84">
              <w:rPr>
                <w:rFonts w:ascii="Georgia" w:hAnsi="Georgia"/>
                <w:sz w:val="20"/>
                <w:szCs w:val="20"/>
              </w:rPr>
              <w:t xml:space="preserve">Investuojamų ESI fondų lėšų suma: </w:t>
            </w:r>
            <w:r>
              <w:rPr>
                <w:rFonts w:ascii="Georgia" w:hAnsi="Georgia"/>
                <w:sz w:val="20"/>
                <w:szCs w:val="20"/>
              </w:rPr>
              <w:t>280,9</w:t>
            </w:r>
            <w:r w:rsidRPr="00E44C84">
              <w:rPr>
                <w:rFonts w:ascii="Georgia" w:hAnsi="Georgia"/>
                <w:sz w:val="20"/>
                <w:szCs w:val="20"/>
              </w:rPr>
              <w:t xml:space="preserve"> mln. </w:t>
            </w:r>
            <w:r w:rsidRPr="00E44C84">
              <w:rPr>
                <w:rFonts w:ascii="Georgia" w:hAnsi="Georgia"/>
                <w:sz w:val="20"/>
              </w:rPr>
              <w:t>eurų</w:t>
            </w:r>
          </w:p>
        </w:tc>
        <w:tc>
          <w:tcPr>
            <w:tcW w:w="3288" w:type="pct"/>
            <w:tcBorders>
              <w:top w:val="single" w:sz="6" w:space="0" w:color="C0504D" w:themeColor="accent2"/>
              <w:left w:val="single" w:sz="6" w:space="0" w:color="C0504D" w:themeColor="accent2"/>
              <w:bottom w:val="single" w:sz="6" w:space="0" w:color="C0504D" w:themeColor="accent2"/>
            </w:tcBorders>
          </w:tcPr>
          <w:p w14:paraId="553D3D8A"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Pr>
                <w:rFonts w:ascii="Georgia" w:hAnsi="Georgia"/>
                <w:sz w:val="20"/>
              </w:rPr>
              <w:t>280,9</w:t>
            </w:r>
            <w:r w:rsidRPr="00E44C84">
              <w:rPr>
                <w:rFonts w:ascii="Georgia" w:hAnsi="Georgia"/>
                <w:sz w:val="20"/>
              </w:rPr>
              <w:t xml:space="preserve"> mln. eurų 2014-2020 m. ESI fondų lėšų skiriama daugiabučių renovacijos paskolų priemonei</w:t>
            </w:r>
          </w:p>
        </w:tc>
      </w:tr>
      <w:tr w:rsidR="000E59DF" w:rsidRPr="00E44C84" w14:paraId="5BB893FC"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1565BF32" w14:textId="77777777" w:rsidR="000E59DF" w:rsidRPr="00E44C84" w:rsidRDefault="000E59DF" w:rsidP="000E59DF">
            <w:pPr>
              <w:rPr>
                <w:rFonts w:ascii="Georgia" w:hAnsi="Georgia"/>
                <w:b w:val="0"/>
                <w:sz w:val="20"/>
                <w:szCs w:val="20"/>
              </w:rPr>
            </w:pPr>
            <w:r w:rsidRPr="00E44C84">
              <w:rPr>
                <w:rFonts w:ascii="Georgia" w:hAnsi="Georgia"/>
                <w:sz w:val="20"/>
              </w:rPr>
              <w:t>JESSICA KF grįžtančios lėšos: 67,2 mln. eurų</w:t>
            </w:r>
          </w:p>
        </w:tc>
        <w:tc>
          <w:tcPr>
            <w:tcW w:w="3288" w:type="pct"/>
            <w:tcBorders>
              <w:top w:val="single" w:sz="6" w:space="0" w:color="C0504D" w:themeColor="accent2"/>
              <w:left w:val="single" w:sz="6" w:space="0" w:color="C0504D" w:themeColor="accent2"/>
              <w:bottom w:val="single" w:sz="6" w:space="0" w:color="C0504D" w:themeColor="accent2"/>
            </w:tcBorders>
          </w:tcPr>
          <w:p w14:paraId="7B648E6B"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2007-2013 m. JESSICA KF grįžtančios lėšos (iki 2020 metų) sudaro apie 67,2 mln. eurų.</w:t>
            </w:r>
          </w:p>
        </w:tc>
      </w:tr>
      <w:tr w:rsidR="000E59DF" w:rsidRPr="00E44C84" w14:paraId="63E03ADA"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531200CA" w14:textId="77777777" w:rsidR="000E59DF" w:rsidRPr="00E44C84" w:rsidRDefault="000E59DF" w:rsidP="000E59DF">
            <w:pPr>
              <w:jc w:val="both"/>
              <w:rPr>
                <w:rFonts w:ascii="Georgia" w:hAnsi="Georgia"/>
                <w:sz w:val="20"/>
              </w:rPr>
            </w:pPr>
            <w:r w:rsidRPr="00E44C84">
              <w:rPr>
                <w:rFonts w:ascii="Georgia" w:hAnsi="Georgia"/>
                <w:sz w:val="20"/>
              </w:rPr>
              <w:t>Valdymo mokestis: vadovaujantis Deleguoto reglamento nuostatomis</w:t>
            </w:r>
          </w:p>
        </w:tc>
        <w:tc>
          <w:tcPr>
            <w:tcW w:w="3288" w:type="pct"/>
            <w:tcBorders>
              <w:top w:val="single" w:sz="6" w:space="0" w:color="C0504D" w:themeColor="accent2"/>
              <w:left w:val="single" w:sz="6" w:space="0" w:color="C0504D" w:themeColor="accent2"/>
              <w:bottom w:val="single" w:sz="6" w:space="0" w:color="C0504D" w:themeColor="accent2"/>
            </w:tcBorders>
          </w:tcPr>
          <w:p w14:paraId="74B521D7"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Vadovaujantis Deleguoto reglamento nuostatomis, valdymo mokestis susideda iš dviejų dalių: 0,5 proc. bazinis mokestis nuo finansinei priemonei skirtų ir įmokėtų lėšų, 1 proc. mokestis nuo paskolų, suteiktų galutiniams naudos gavėjams, sumos.</w:t>
            </w:r>
          </w:p>
        </w:tc>
      </w:tr>
      <w:tr w:rsidR="000E59DF" w:rsidRPr="00E44C84" w14:paraId="79A69709"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2C3E9FE1" w14:textId="77777777" w:rsidR="000E59DF" w:rsidRPr="00E44C84" w:rsidRDefault="000E59DF" w:rsidP="000E59DF">
            <w:pPr>
              <w:jc w:val="both"/>
              <w:rPr>
                <w:rFonts w:ascii="Georgia" w:hAnsi="Georgia"/>
                <w:sz w:val="20"/>
              </w:rPr>
            </w:pPr>
            <w:r w:rsidRPr="00E44C84">
              <w:rPr>
                <w:rFonts w:ascii="Georgia" w:hAnsi="Georgia"/>
                <w:sz w:val="20"/>
              </w:rPr>
              <w:lastRenderedPageBreak/>
              <w:t>Siektinas įgyvendinamų projektų skaičius: 500 projektų per metus</w:t>
            </w:r>
          </w:p>
        </w:tc>
        <w:tc>
          <w:tcPr>
            <w:tcW w:w="3288" w:type="pct"/>
            <w:tcBorders>
              <w:top w:val="single" w:sz="6" w:space="0" w:color="C0504D" w:themeColor="accent2"/>
              <w:left w:val="single" w:sz="6" w:space="0" w:color="C0504D" w:themeColor="accent2"/>
              <w:bottom w:val="single" w:sz="6" w:space="0" w:color="C0504D" w:themeColor="accent2"/>
            </w:tcBorders>
          </w:tcPr>
          <w:p w14:paraId="798836AD"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Vertinant projektų kiekį, buvo paskaičiuota kiek projektų galima atlikti turimomis fondo lėšomis (pagal šį scenarijų) per 2014-2020 programavimo laikotarpį ir projektai proporcingai išdėstyti iki 2020 metų. Vertinama, kad šio scenarijaus atveju, per metus bus įgyvendinama 600 naujų projektų.</w:t>
            </w:r>
          </w:p>
        </w:tc>
      </w:tr>
      <w:tr w:rsidR="000E59DF" w:rsidRPr="00E44C84" w14:paraId="08C28510"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06FD2EC8" w14:textId="77777777" w:rsidR="000E59DF" w:rsidRPr="00E44C84" w:rsidRDefault="000E59DF" w:rsidP="000E59DF">
            <w:pPr>
              <w:rPr>
                <w:rFonts w:ascii="Georgia" w:hAnsi="Georgia"/>
                <w:b w:val="0"/>
                <w:sz w:val="20"/>
                <w:szCs w:val="20"/>
              </w:rPr>
            </w:pPr>
            <w:r w:rsidRPr="00E44C84">
              <w:rPr>
                <w:rFonts w:ascii="Georgia" w:hAnsi="Georgia"/>
                <w:sz w:val="20"/>
              </w:rPr>
              <w:t>Projekto įgyvendinimo trukmė: 1 metai</w:t>
            </w:r>
          </w:p>
        </w:tc>
        <w:tc>
          <w:tcPr>
            <w:tcW w:w="3288" w:type="pct"/>
            <w:tcBorders>
              <w:top w:val="single" w:sz="6" w:space="0" w:color="C0504D" w:themeColor="accent2"/>
              <w:left w:val="single" w:sz="6" w:space="0" w:color="C0504D" w:themeColor="accent2"/>
              <w:bottom w:val="single" w:sz="6" w:space="0" w:color="C0504D" w:themeColor="accent2"/>
            </w:tcBorders>
          </w:tcPr>
          <w:p w14:paraId="39F86189" w14:textId="77777777" w:rsidR="000E59DF" w:rsidRPr="00E44C84"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E44C84">
              <w:rPr>
                <w:rFonts w:ascii="Georgia" w:hAnsi="Georgia"/>
                <w:sz w:val="20"/>
              </w:rPr>
              <w:t>Remiantis šiuo metu įgyvendinamų projektų duomenimis nustatyta vidutinė projekto įgyvendinimo trukmė – 1 metai nuo paskolos sutarties pasirašymo dienos.</w:t>
            </w:r>
          </w:p>
        </w:tc>
      </w:tr>
      <w:tr w:rsidR="000E59DF" w:rsidRPr="00E44C84" w14:paraId="33D15F81"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right w:val="single" w:sz="6" w:space="0" w:color="C0504D" w:themeColor="accent2"/>
            </w:tcBorders>
          </w:tcPr>
          <w:p w14:paraId="29776472" w14:textId="77777777" w:rsidR="000E59DF" w:rsidRPr="00E44C84" w:rsidRDefault="000E59DF" w:rsidP="000E59DF">
            <w:pPr>
              <w:rPr>
                <w:rFonts w:ascii="Georgia" w:hAnsi="Georgia"/>
                <w:b w:val="0"/>
                <w:sz w:val="20"/>
                <w:szCs w:val="20"/>
              </w:rPr>
            </w:pPr>
            <w:r w:rsidRPr="00E44C84">
              <w:rPr>
                <w:rFonts w:ascii="Georgia" w:hAnsi="Georgia"/>
                <w:sz w:val="20"/>
              </w:rPr>
              <w:t xml:space="preserve">Sugrįžusios lėšos pakartotinai panaudojamos: po 2 metų </w:t>
            </w:r>
          </w:p>
        </w:tc>
        <w:tc>
          <w:tcPr>
            <w:tcW w:w="3288" w:type="pct"/>
            <w:tcBorders>
              <w:top w:val="single" w:sz="6" w:space="0" w:color="C0504D" w:themeColor="accent2"/>
              <w:left w:val="single" w:sz="6" w:space="0" w:color="C0504D" w:themeColor="accent2"/>
            </w:tcBorders>
          </w:tcPr>
          <w:p w14:paraId="645534A4" w14:textId="77777777" w:rsidR="000E59DF" w:rsidRPr="00E44C84"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E44C84">
              <w:rPr>
                <w:rFonts w:ascii="Georgia" w:hAnsi="Georgia"/>
                <w:sz w:val="20"/>
              </w:rPr>
              <w:t xml:space="preserve">Daroma prielaida, jog grįžtančios lėšos pakartotinai panaudojamos projektų finansavimui tomis pačiomis sąlygomis po 2 metų. </w:t>
            </w:r>
          </w:p>
        </w:tc>
      </w:tr>
      <w:tr w:rsidR="000E59DF" w:rsidRPr="00E44C84" w14:paraId="6C1B50CF"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right w:val="single" w:sz="6" w:space="0" w:color="C0504D" w:themeColor="accent2"/>
            </w:tcBorders>
          </w:tcPr>
          <w:p w14:paraId="0249AF3C" w14:textId="77777777" w:rsidR="000E59DF" w:rsidRPr="00E44C84" w:rsidRDefault="000E59DF" w:rsidP="000E59DF">
            <w:pPr>
              <w:rPr>
                <w:rFonts w:ascii="Georgia" w:hAnsi="Georgia"/>
                <w:sz w:val="20"/>
                <w:szCs w:val="20"/>
              </w:rPr>
            </w:pPr>
            <w:r w:rsidRPr="00E44C84">
              <w:rPr>
                <w:rFonts w:ascii="Georgia" w:hAnsi="Georgia"/>
                <w:sz w:val="20"/>
                <w:szCs w:val="20"/>
              </w:rPr>
              <w:t>Privataus investicinio fondo išperkamos paskolos: 70 %</w:t>
            </w:r>
          </w:p>
        </w:tc>
        <w:tc>
          <w:tcPr>
            <w:tcW w:w="3288" w:type="pct"/>
            <w:tcBorders>
              <w:top w:val="single" w:sz="6" w:space="0" w:color="C0504D" w:themeColor="accent2"/>
              <w:left w:val="single" w:sz="6" w:space="0" w:color="C0504D" w:themeColor="accent2"/>
            </w:tcBorders>
          </w:tcPr>
          <w:p w14:paraId="5FD43C54" w14:textId="77777777" w:rsidR="000E59DF" w:rsidRPr="00E44C84" w:rsidRDefault="000E59DF" w:rsidP="002F60CA">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cs="Georgia"/>
                <w:sz w:val="20"/>
                <w:szCs w:val="20"/>
              </w:rPr>
              <w:t>Daroma prielaida, kad privatus investicinis fondas nuo 201</w:t>
            </w:r>
            <w:r w:rsidR="002F60CA">
              <w:rPr>
                <w:rFonts w:ascii="Georgia" w:hAnsi="Georgia" w:cs="Georgia"/>
                <w:sz w:val="20"/>
                <w:szCs w:val="20"/>
              </w:rPr>
              <w:t>6</w:t>
            </w:r>
            <w:r w:rsidRPr="00E44C84">
              <w:rPr>
                <w:rFonts w:ascii="Georgia" w:hAnsi="Georgia" w:cs="Georgia"/>
                <w:sz w:val="20"/>
                <w:szCs w:val="20"/>
              </w:rPr>
              <w:t xml:space="preserve"> m. galėtų išpirkti apie 70 proc. visų paskolų portfelio.</w:t>
            </w:r>
          </w:p>
        </w:tc>
      </w:tr>
    </w:tbl>
    <w:p w14:paraId="6EF8146D" w14:textId="77777777" w:rsidR="000E59DF" w:rsidRPr="00E44C84" w:rsidRDefault="000E59DF" w:rsidP="000E59DF">
      <w:pPr>
        <w:rPr>
          <w:rFonts w:ascii="Georgia" w:hAnsi="Georgia"/>
          <w:sz w:val="20"/>
          <w:szCs w:val="20"/>
          <w:lang w:val="lt-LT"/>
        </w:rPr>
      </w:pPr>
    </w:p>
    <w:p w14:paraId="3E3483EC" w14:textId="6D42D8C0" w:rsidR="000E59DF" w:rsidRPr="00E44C84" w:rsidRDefault="000E59DF" w:rsidP="000E59DF">
      <w:pPr>
        <w:pStyle w:val="Antrat"/>
        <w:jc w:val="both"/>
        <w:rPr>
          <w:lang w:val="lt-LT"/>
        </w:rPr>
      </w:pPr>
      <w:bookmarkStart w:id="165" w:name="_Toc460321656"/>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AA3082">
        <w:rPr>
          <w:noProof/>
          <w:lang w:val="lt-LT"/>
        </w:rPr>
        <w:t>75</w:t>
      </w:r>
      <w:r w:rsidRPr="00E44C84">
        <w:rPr>
          <w:lang w:val="lt-LT"/>
        </w:rPr>
        <w:fldChar w:fldCharType="end"/>
      </w:r>
      <w:r w:rsidRPr="00E44C84">
        <w:rPr>
          <w:lang w:val="lt-LT"/>
        </w:rPr>
        <w:t>. Scenarijaus Nr. 7 įgyvendinimo prognozė</w:t>
      </w:r>
      <w:bookmarkEnd w:id="165"/>
    </w:p>
    <w:p w14:paraId="7FB5C4FB" w14:textId="77777777" w:rsidR="000E59DF" w:rsidRPr="00E44C84" w:rsidRDefault="000E59DF" w:rsidP="000E59DF">
      <w:pPr>
        <w:rPr>
          <w:lang w:val="lt-LT"/>
        </w:rPr>
      </w:pPr>
      <w:r>
        <w:rPr>
          <w:noProof/>
          <w:lang w:val="lt-LT" w:eastAsia="lt-LT"/>
        </w:rPr>
        <w:drawing>
          <wp:inline distT="0" distB="0" distL="0" distR="0" wp14:anchorId="2C0F2879" wp14:editId="5C90793B">
            <wp:extent cx="6114415" cy="3006725"/>
            <wp:effectExtent l="0" t="0" r="635" b="3175"/>
            <wp:docPr id="58"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6114415" cy="3006725"/>
                    </a:xfrm>
                    <a:prstGeom prst="rect">
                      <a:avLst/>
                    </a:prstGeom>
                    <a:noFill/>
                    <a:ln>
                      <a:noFill/>
                    </a:ln>
                  </pic:spPr>
                </pic:pic>
              </a:graphicData>
            </a:graphic>
          </wp:inline>
        </w:drawing>
      </w:r>
    </w:p>
    <w:p w14:paraId="7B52BFA0" w14:textId="26E78587" w:rsidR="000E59DF" w:rsidRPr="00E44C84" w:rsidRDefault="000E59DF" w:rsidP="000E59DF">
      <w:pPr>
        <w:pStyle w:val="Antrat"/>
        <w:rPr>
          <w:szCs w:val="20"/>
          <w:lang w:val="lt-LT"/>
        </w:rPr>
      </w:pPr>
      <w:bookmarkStart w:id="166" w:name="_Toc460321657"/>
      <w:r w:rsidRPr="00E44C84">
        <w:rPr>
          <w:lang w:val="lt-LT"/>
        </w:rPr>
        <w:t xml:space="preserve">Lentelė </w:t>
      </w:r>
      <w:r w:rsidRPr="00E44C84">
        <w:rPr>
          <w:lang w:val="lt-LT"/>
        </w:rPr>
        <w:fldChar w:fldCharType="begin"/>
      </w:r>
      <w:r w:rsidRPr="00E44C84">
        <w:rPr>
          <w:lang w:val="lt-LT"/>
        </w:rPr>
        <w:instrText xml:space="preserve"> SEQ Lentelė \* ARABIC </w:instrText>
      </w:r>
      <w:r w:rsidRPr="00E44C84">
        <w:rPr>
          <w:lang w:val="lt-LT"/>
        </w:rPr>
        <w:fldChar w:fldCharType="separate"/>
      </w:r>
      <w:r w:rsidR="00AA3082">
        <w:rPr>
          <w:noProof/>
          <w:lang w:val="lt-LT"/>
        </w:rPr>
        <w:t>76</w:t>
      </w:r>
      <w:r w:rsidRPr="00E44C84">
        <w:rPr>
          <w:lang w:val="lt-LT"/>
        </w:rPr>
        <w:fldChar w:fldCharType="end"/>
      </w:r>
      <w:r w:rsidRPr="00E44C84">
        <w:rPr>
          <w:lang w:val="lt-LT"/>
        </w:rPr>
        <w:t xml:space="preserve">. </w:t>
      </w:r>
      <w:r w:rsidRPr="00E44C84">
        <w:rPr>
          <w:szCs w:val="20"/>
          <w:lang w:val="lt-LT"/>
        </w:rPr>
        <w:t>Scenarijaus Nr. 7 rezultatai</w:t>
      </w:r>
      <w:bookmarkEnd w:id="166"/>
    </w:p>
    <w:tbl>
      <w:tblPr>
        <w:tblStyle w:val="viesussraas2parykinimas"/>
        <w:tblW w:w="5000" w:type="pct"/>
        <w:tblLook w:val="04A0" w:firstRow="1" w:lastRow="0" w:firstColumn="1" w:lastColumn="0" w:noHBand="0" w:noVBand="1"/>
      </w:tblPr>
      <w:tblGrid>
        <w:gridCol w:w="6651"/>
        <w:gridCol w:w="2591"/>
      </w:tblGrid>
      <w:tr w:rsidR="000E59DF" w:rsidRPr="00E44C84" w14:paraId="79E31E20" w14:textId="77777777" w:rsidTr="000E59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98" w:type="pct"/>
          </w:tcPr>
          <w:p w14:paraId="308E5370" w14:textId="77777777" w:rsidR="000E59DF" w:rsidRPr="00E44C84" w:rsidRDefault="000E59DF" w:rsidP="000E59DF">
            <w:pPr>
              <w:jc w:val="center"/>
              <w:rPr>
                <w:rFonts w:ascii="Georgia" w:hAnsi="Georgia"/>
                <w:sz w:val="20"/>
                <w:szCs w:val="20"/>
              </w:rPr>
            </w:pPr>
            <w:r w:rsidRPr="00E44C84">
              <w:rPr>
                <w:rFonts w:ascii="Georgia" w:hAnsi="Georgia"/>
                <w:sz w:val="20"/>
                <w:szCs w:val="20"/>
              </w:rPr>
              <w:t>Fondas</w:t>
            </w:r>
          </w:p>
        </w:tc>
        <w:tc>
          <w:tcPr>
            <w:tcW w:w="1402" w:type="pct"/>
          </w:tcPr>
          <w:p w14:paraId="5F23C255" w14:textId="77777777" w:rsidR="000E59DF" w:rsidRPr="00E44C84" w:rsidRDefault="000E59DF" w:rsidP="000E59DF">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 xml:space="preserve">mln. </w:t>
            </w:r>
            <w:r w:rsidRPr="00E44C84">
              <w:rPr>
                <w:rFonts w:ascii="Georgia" w:hAnsi="Georgia"/>
                <w:sz w:val="20"/>
              </w:rPr>
              <w:t>eurų</w:t>
            </w:r>
          </w:p>
        </w:tc>
      </w:tr>
      <w:tr w:rsidR="000E59DF" w:rsidRPr="00E44C84" w14:paraId="52B3435C" w14:textId="77777777" w:rsidTr="000E5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1907BD5E" w14:textId="77777777" w:rsidR="000E59DF" w:rsidRPr="00E44C84" w:rsidRDefault="000E59DF" w:rsidP="000E59DF">
            <w:pPr>
              <w:rPr>
                <w:rFonts w:ascii="Georgia" w:hAnsi="Georgia"/>
                <w:sz w:val="20"/>
                <w:szCs w:val="20"/>
              </w:rPr>
            </w:pPr>
            <w:r w:rsidRPr="00E44C84">
              <w:rPr>
                <w:rFonts w:ascii="Georgia" w:hAnsi="Georgia"/>
                <w:sz w:val="20"/>
                <w:szCs w:val="20"/>
              </w:rPr>
              <w:t>Galutinius naudos gavėjus pasiekusios lėšos</w:t>
            </w:r>
          </w:p>
        </w:tc>
        <w:tc>
          <w:tcPr>
            <w:tcW w:w="1402" w:type="pct"/>
          </w:tcPr>
          <w:p w14:paraId="58F88FD8" w14:textId="77777777" w:rsidR="000E59DF" w:rsidRPr="00E44C84" w:rsidRDefault="000E59DF" w:rsidP="000E59DF">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5</w:t>
            </w:r>
            <w:r>
              <w:rPr>
                <w:rFonts w:ascii="Georgia" w:hAnsi="Georgia"/>
                <w:sz w:val="20"/>
                <w:szCs w:val="20"/>
              </w:rPr>
              <w:t>74,1</w:t>
            </w:r>
          </w:p>
        </w:tc>
      </w:tr>
      <w:tr w:rsidR="000E59DF" w:rsidRPr="00E44C84" w14:paraId="76505D3A" w14:textId="77777777" w:rsidTr="000E59DF">
        <w:tc>
          <w:tcPr>
            <w:cnfStyle w:val="001000000000" w:firstRow="0" w:lastRow="0" w:firstColumn="1" w:lastColumn="0" w:oddVBand="0" w:evenVBand="0" w:oddHBand="0" w:evenHBand="0" w:firstRowFirstColumn="0" w:firstRowLastColumn="0" w:lastRowFirstColumn="0" w:lastRowLastColumn="0"/>
            <w:tcW w:w="3598" w:type="pct"/>
          </w:tcPr>
          <w:p w14:paraId="422BFDDC" w14:textId="77777777" w:rsidR="000E59DF" w:rsidRPr="00E44C84" w:rsidRDefault="000E59DF" w:rsidP="000E59DF">
            <w:pPr>
              <w:rPr>
                <w:rFonts w:ascii="Georgia" w:hAnsi="Georgia"/>
                <w:b w:val="0"/>
                <w:sz w:val="20"/>
                <w:szCs w:val="20"/>
              </w:rPr>
            </w:pPr>
            <w:r w:rsidRPr="00E44C84">
              <w:rPr>
                <w:rFonts w:ascii="Georgia" w:hAnsi="Georgia"/>
                <w:sz w:val="20"/>
                <w:szCs w:val="20"/>
              </w:rPr>
              <w:t>Į fondą grįžusios paskolos lėšos iki 2019 metų (įskaitant subsidijas bei JESSICA KF grįžtančias lėšas)</w:t>
            </w:r>
          </w:p>
        </w:tc>
        <w:tc>
          <w:tcPr>
            <w:tcW w:w="1402" w:type="pct"/>
          </w:tcPr>
          <w:p w14:paraId="2CB6A7CE" w14:textId="77777777" w:rsidR="000E59DF" w:rsidRPr="00E44C84" w:rsidRDefault="000E59DF" w:rsidP="000E59DF">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E44C84">
              <w:rPr>
                <w:rFonts w:ascii="Georgia" w:hAnsi="Georgia"/>
                <w:sz w:val="20"/>
                <w:szCs w:val="20"/>
              </w:rPr>
              <w:t>110,9</w:t>
            </w:r>
          </w:p>
        </w:tc>
      </w:tr>
      <w:tr w:rsidR="000E59DF" w:rsidRPr="00E44C84" w:rsidDel="00056D25" w14:paraId="1B92648B" w14:textId="77777777" w:rsidTr="000E5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041580A5" w14:textId="77777777" w:rsidR="000E59DF" w:rsidRPr="00E44C84" w:rsidDel="00056D25" w:rsidRDefault="000E59DF" w:rsidP="000E59DF">
            <w:pPr>
              <w:rPr>
                <w:rFonts w:ascii="Georgia" w:hAnsi="Georgia"/>
                <w:sz w:val="20"/>
                <w:szCs w:val="20"/>
              </w:rPr>
            </w:pPr>
            <w:r w:rsidRPr="00E44C84">
              <w:rPr>
                <w:rFonts w:ascii="Georgia" w:hAnsi="Georgia"/>
                <w:sz w:val="20"/>
                <w:szCs w:val="20"/>
              </w:rPr>
              <w:t>Privataus investicinio fondo nupirktos paskolos iki 2019 metų</w:t>
            </w:r>
          </w:p>
        </w:tc>
        <w:tc>
          <w:tcPr>
            <w:tcW w:w="1402" w:type="pct"/>
          </w:tcPr>
          <w:p w14:paraId="47F4F61C" w14:textId="77777777" w:rsidR="000E59DF" w:rsidRPr="00E44C84" w:rsidDel="00056D25" w:rsidRDefault="000E59DF" w:rsidP="000E59DF">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44C84">
              <w:rPr>
                <w:rFonts w:ascii="Georgia" w:hAnsi="Georgia"/>
                <w:sz w:val="20"/>
                <w:szCs w:val="20"/>
              </w:rPr>
              <w:t>147,3</w:t>
            </w:r>
          </w:p>
        </w:tc>
      </w:tr>
      <w:tr w:rsidR="000E59DF" w:rsidRPr="00E44C84" w14:paraId="5691C6DB" w14:textId="77777777" w:rsidTr="000E59DF">
        <w:tc>
          <w:tcPr>
            <w:cnfStyle w:val="001000000000" w:firstRow="0" w:lastRow="0" w:firstColumn="1" w:lastColumn="0" w:oddVBand="0" w:evenVBand="0" w:oddHBand="0" w:evenHBand="0" w:firstRowFirstColumn="0" w:firstRowLastColumn="0" w:lastRowFirstColumn="0" w:lastRowLastColumn="0"/>
            <w:tcW w:w="3598" w:type="pct"/>
          </w:tcPr>
          <w:p w14:paraId="5A27F034" w14:textId="77777777" w:rsidR="000E59DF" w:rsidRPr="00E44C84" w:rsidRDefault="000E59DF" w:rsidP="000E59DF">
            <w:pPr>
              <w:rPr>
                <w:rFonts w:ascii="Georgia" w:hAnsi="Georgia"/>
                <w:sz w:val="20"/>
                <w:szCs w:val="20"/>
              </w:rPr>
            </w:pPr>
            <w:r w:rsidRPr="00E44C84">
              <w:rPr>
                <w:rFonts w:ascii="Georgia" w:hAnsi="Georgia"/>
                <w:sz w:val="20"/>
                <w:szCs w:val="20"/>
              </w:rPr>
              <w:t>Renovuotų pastatų skaičius</w:t>
            </w:r>
          </w:p>
        </w:tc>
        <w:tc>
          <w:tcPr>
            <w:tcW w:w="1402" w:type="pct"/>
          </w:tcPr>
          <w:p w14:paraId="4936CE36" w14:textId="77777777" w:rsidR="000E59DF" w:rsidRPr="00E44C84" w:rsidRDefault="000E59DF" w:rsidP="000E59DF">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3087</w:t>
            </w:r>
          </w:p>
        </w:tc>
      </w:tr>
    </w:tbl>
    <w:p w14:paraId="3186A636" w14:textId="77777777" w:rsidR="000E59DF" w:rsidRPr="00E44C84" w:rsidRDefault="000E59DF" w:rsidP="000E59DF">
      <w:pPr>
        <w:jc w:val="both"/>
        <w:rPr>
          <w:rFonts w:ascii="Georgia" w:hAnsi="Georgia"/>
          <w:sz w:val="20"/>
          <w:szCs w:val="20"/>
          <w:lang w:val="lt-LT"/>
        </w:rPr>
      </w:pPr>
    </w:p>
    <w:p w14:paraId="15A3399D" w14:textId="77777777" w:rsidR="000E59DF" w:rsidRPr="005D302F" w:rsidRDefault="000E59DF" w:rsidP="000E59DF">
      <w:pPr>
        <w:pStyle w:val="Sraopastraipa"/>
        <w:keepNext/>
        <w:numPr>
          <w:ilvl w:val="0"/>
          <w:numId w:val="34"/>
        </w:numPr>
        <w:ind w:left="714" w:hanging="357"/>
        <w:rPr>
          <w:rFonts w:ascii="Georgia" w:hAnsi="Georgia"/>
          <w:b/>
          <w:i/>
          <w:sz w:val="20"/>
          <w:szCs w:val="20"/>
          <w:lang w:val="lt-LT"/>
        </w:rPr>
      </w:pPr>
      <w:r w:rsidRPr="005D302F">
        <w:rPr>
          <w:rFonts w:ascii="Georgia" w:hAnsi="Georgia"/>
          <w:b/>
          <w:i/>
          <w:sz w:val="20"/>
          <w:szCs w:val="20"/>
          <w:lang w:val="lt-LT"/>
        </w:rPr>
        <w:lastRenderedPageBreak/>
        <w:t xml:space="preserve">Scenarijus Nr. 8: ESI fondų lėšos panaudojamos fondo pirmojo nuostolio padengimui ir </w:t>
      </w:r>
      <w:r>
        <w:rPr>
          <w:rFonts w:ascii="Georgia" w:hAnsi="Georgia"/>
          <w:b/>
          <w:i/>
          <w:sz w:val="20"/>
          <w:szCs w:val="20"/>
          <w:lang w:val="lt-LT"/>
        </w:rPr>
        <w:t>subsidijų</w:t>
      </w:r>
      <w:r w:rsidRPr="005D302F">
        <w:rPr>
          <w:rFonts w:ascii="Georgia" w:hAnsi="Georgia"/>
          <w:b/>
          <w:i/>
          <w:sz w:val="20"/>
          <w:szCs w:val="20"/>
          <w:lang w:val="lt-LT"/>
        </w:rPr>
        <w:t xml:space="preserve"> priemonei </w:t>
      </w:r>
    </w:p>
    <w:p w14:paraId="31E60744" w14:textId="77777777" w:rsidR="000E59DF" w:rsidRPr="005D302F" w:rsidRDefault="000E59DF" w:rsidP="000E59DF">
      <w:pPr>
        <w:keepNext/>
        <w:jc w:val="both"/>
        <w:rPr>
          <w:szCs w:val="20"/>
          <w:lang w:val="lt-LT"/>
        </w:rPr>
      </w:pPr>
      <w:r w:rsidRPr="005D302F">
        <w:rPr>
          <w:rFonts w:ascii="Georgia" w:hAnsi="Georgia"/>
          <w:sz w:val="20"/>
          <w:szCs w:val="20"/>
          <w:lang w:val="lt-LT"/>
        </w:rPr>
        <w:t xml:space="preserve">Šis scenarijus modeliuojamas kaip 5 scenarijus, bet ESI fondų lėšos būtų paskirstomos </w:t>
      </w:r>
      <w:r>
        <w:rPr>
          <w:rFonts w:ascii="Georgia" w:hAnsi="Georgia"/>
          <w:sz w:val="20"/>
          <w:szCs w:val="20"/>
          <w:lang w:val="lt-LT"/>
        </w:rPr>
        <w:t>subsidijų</w:t>
      </w:r>
      <w:r w:rsidRPr="005D302F">
        <w:rPr>
          <w:rFonts w:ascii="Georgia" w:hAnsi="Georgia"/>
          <w:sz w:val="20"/>
          <w:szCs w:val="20"/>
          <w:lang w:val="lt-LT"/>
        </w:rPr>
        <w:t xml:space="preserve"> ir paskolų finansinei priemonei. Šis scenarijus būtų įgyvendinamas ir </w:t>
      </w:r>
      <w:r>
        <w:rPr>
          <w:rFonts w:ascii="Georgia" w:hAnsi="Georgia"/>
          <w:sz w:val="20"/>
          <w:szCs w:val="20"/>
          <w:lang w:val="lt-LT"/>
        </w:rPr>
        <w:t>subsidijų</w:t>
      </w:r>
      <w:r w:rsidRPr="005D302F">
        <w:rPr>
          <w:rFonts w:ascii="Georgia" w:hAnsi="Georgia"/>
          <w:sz w:val="20"/>
          <w:szCs w:val="20"/>
          <w:lang w:val="lt-LT"/>
        </w:rPr>
        <w:t xml:space="preserve"> priemonei lėšos būtų skiriamos tada, kai nebūtų rasta kitų subsidijos šaltinių, o lėšų skyrimas iš </w:t>
      </w:r>
      <w:r>
        <w:rPr>
          <w:rFonts w:ascii="Georgia" w:hAnsi="Georgia"/>
          <w:sz w:val="20"/>
          <w:szCs w:val="20"/>
          <w:lang w:val="lt-LT"/>
        </w:rPr>
        <w:t>K</w:t>
      </w:r>
      <w:r w:rsidRPr="005D302F">
        <w:rPr>
          <w:rFonts w:ascii="Georgia" w:hAnsi="Georgia"/>
          <w:sz w:val="20"/>
          <w:szCs w:val="20"/>
          <w:lang w:val="lt-LT"/>
        </w:rPr>
        <w:t xml:space="preserve">limato kaitos programos būtų </w:t>
      </w:r>
      <w:r>
        <w:rPr>
          <w:rFonts w:ascii="Georgia" w:hAnsi="Georgia"/>
          <w:sz w:val="20"/>
          <w:szCs w:val="20"/>
          <w:lang w:val="lt-LT"/>
        </w:rPr>
        <w:t>nebegalimas</w:t>
      </w:r>
      <w:r w:rsidRPr="005D302F">
        <w:rPr>
          <w:rFonts w:ascii="Georgia" w:hAnsi="Georgia"/>
          <w:sz w:val="20"/>
          <w:szCs w:val="20"/>
          <w:lang w:val="lt-LT"/>
        </w:rPr>
        <w:t xml:space="preserve">. Finansinei priemonei skirtos lėšos būtų investuojamos į steigiamo juridinio asmens kapitalą – </w:t>
      </w:r>
      <w:r>
        <w:rPr>
          <w:rFonts w:ascii="Georgia" w:hAnsi="Georgia"/>
          <w:sz w:val="20"/>
          <w:szCs w:val="20"/>
          <w:lang w:val="lt-LT"/>
        </w:rPr>
        <w:t>investicinį</w:t>
      </w:r>
      <w:r w:rsidRPr="005D302F">
        <w:rPr>
          <w:rFonts w:ascii="Georgia" w:hAnsi="Georgia"/>
          <w:sz w:val="20"/>
          <w:szCs w:val="20"/>
          <w:lang w:val="lt-LT"/>
        </w:rPr>
        <w:t xml:space="preserve"> fondą. Šiomis lėšomis būtų užtikrinamas privačių investuotojų ir/ar paskolos davėjų investicijų saugumas.</w:t>
      </w:r>
    </w:p>
    <w:p w14:paraId="60B17D44" w14:textId="77777777" w:rsidR="0010799D" w:rsidRDefault="000E59DF" w:rsidP="000E59DF">
      <w:pPr>
        <w:pStyle w:val="Antrat"/>
        <w:rPr>
          <w:color w:val="auto"/>
          <w:lang w:val="lt-LT"/>
        </w:rPr>
      </w:pPr>
      <w:r w:rsidRPr="005D302F">
        <w:rPr>
          <w:noProof/>
          <w:color w:val="auto"/>
          <w:lang w:val="lt-LT" w:eastAsia="lt-LT"/>
        </w:rPr>
        <w:drawing>
          <wp:inline distT="0" distB="0" distL="0" distR="0" wp14:anchorId="2D87C405" wp14:editId="4C77C9C2">
            <wp:extent cx="5771515" cy="2216785"/>
            <wp:effectExtent l="0" t="0" r="635" b="0"/>
            <wp:docPr id="59" name="Paveikslėlis 6" descr="\\vipa-server\ESCO_Rolandas\EE ex-antes skaiciavimai\Schemos (Rolandas) (Taisytos 2014-11-10)\Daugiabuciu\Daugiabuciai Nr.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pa-server\ESCO_Rolandas\EE ex-antes skaiciavimai\Schemos (Rolandas) (Taisytos 2014-11-10)\Daugiabuciu\Daugiabuciai Nr. 8.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5771515" cy="2216785"/>
                    </a:xfrm>
                    <a:prstGeom prst="rect">
                      <a:avLst/>
                    </a:prstGeom>
                    <a:noFill/>
                    <a:ln>
                      <a:noFill/>
                    </a:ln>
                  </pic:spPr>
                </pic:pic>
              </a:graphicData>
            </a:graphic>
          </wp:inline>
        </w:drawing>
      </w:r>
    </w:p>
    <w:p w14:paraId="141F7113" w14:textId="77777777" w:rsidR="0010799D" w:rsidRDefault="0010799D" w:rsidP="000E59DF">
      <w:pPr>
        <w:pStyle w:val="Antrat"/>
        <w:rPr>
          <w:lang w:val="lt-LT"/>
        </w:rPr>
      </w:pPr>
    </w:p>
    <w:p w14:paraId="15419170" w14:textId="08B1EDDA" w:rsidR="000E59DF" w:rsidRPr="0010799D" w:rsidRDefault="000E59DF" w:rsidP="000E59DF">
      <w:pPr>
        <w:pStyle w:val="Antrat"/>
        <w:rPr>
          <w:lang w:val="lt-LT"/>
        </w:rPr>
      </w:pPr>
      <w:bookmarkStart w:id="167" w:name="_Toc417378305"/>
      <w:r w:rsidRPr="0010799D">
        <w:rPr>
          <w:lang w:val="lt-LT"/>
        </w:rPr>
        <w:t xml:space="preserve">Paveikslas </w:t>
      </w:r>
      <w:r w:rsidRPr="0010799D">
        <w:rPr>
          <w:lang w:val="lt-LT"/>
        </w:rPr>
        <w:fldChar w:fldCharType="begin"/>
      </w:r>
      <w:r w:rsidRPr="0010799D">
        <w:rPr>
          <w:lang w:val="lt-LT"/>
        </w:rPr>
        <w:instrText xml:space="preserve"> SEQ Paveikslas \* ARABIC </w:instrText>
      </w:r>
      <w:r w:rsidRPr="0010799D">
        <w:rPr>
          <w:lang w:val="lt-LT"/>
        </w:rPr>
        <w:fldChar w:fldCharType="separate"/>
      </w:r>
      <w:r w:rsidR="00AA3082">
        <w:rPr>
          <w:noProof/>
          <w:lang w:val="lt-LT"/>
        </w:rPr>
        <w:t>28</w:t>
      </w:r>
      <w:r w:rsidRPr="0010799D">
        <w:rPr>
          <w:lang w:val="lt-LT"/>
        </w:rPr>
        <w:fldChar w:fldCharType="end"/>
      </w:r>
      <w:r w:rsidRPr="0010799D">
        <w:rPr>
          <w:lang w:val="lt-LT"/>
        </w:rPr>
        <w:t>. Daugiabučių scenarijaus Nr. 8 schema.</w:t>
      </w:r>
      <w:bookmarkEnd w:id="167"/>
      <w:r w:rsidRPr="0010799D">
        <w:rPr>
          <w:lang w:val="lt-LT"/>
        </w:rPr>
        <w:t xml:space="preserve"> </w:t>
      </w:r>
    </w:p>
    <w:p w14:paraId="0F753D9F" w14:textId="77777777" w:rsidR="000E59DF" w:rsidRPr="005D302F" w:rsidRDefault="000E59DF" w:rsidP="000E59DF">
      <w:pPr>
        <w:jc w:val="both"/>
        <w:rPr>
          <w:rFonts w:ascii="Georgia" w:hAnsi="Georgia"/>
          <w:sz w:val="20"/>
          <w:szCs w:val="20"/>
          <w:lang w:val="lt-LT"/>
        </w:rPr>
      </w:pPr>
      <w:r w:rsidRPr="005D302F">
        <w:rPr>
          <w:rFonts w:ascii="Georgia" w:hAnsi="Georgia"/>
          <w:sz w:val="20"/>
          <w:szCs w:val="20"/>
          <w:lang w:val="lt-LT"/>
        </w:rPr>
        <w:t xml:space="preserve">Atlikus skaičiavimus, buvo nustatyta, jog </w:t>
      </w:r>
      <w:r>
        <w:rPr>
          <w:rFonts w:ascii="Georgia" w:hAnsi="Georgia"/>
          <w:sz w:val="20"/>
          <w:szCs w:val="20"/>
          <w:lang w:val="lt-LT"/>
        </w:rPr>
        <w:t>subsidijų</w:t>
      </w:r>
      <w:r w:rsidRPr="005D302F">
        <w:rPr>
          <w:rFonts w:ascii="Georgia" w:hAnsi="Georgia"/>
          <w:sz w:val="20"/>
          <w:szCs w:val="20"/>
          <w:lang w:val="lt-LT"/>
        </w:rPr>
        <w:t xml:space="preserve"> priemonei reikėtų skirti 100,7 mln. eurų, tai reiškia, kad finansinei priemonei būtų skiriama </w:t>
      </w:r>
      <w:r>
        <w:rPr>
          <w:rFonts w:ascii="Georgia" w:hAnsi="Georgia"/>
          <w:sz w:val="20"/>
          <w:szCs w:val="20"/>
          <w:lang w:val="lt-LT"/>
        </w:rPr>
        <w:t xml:space="preserve">likusi ESI fondų dalis - </w:t>
      </w:r>
      <w:r w:rsidRPr="005D302F">
        <w:rPr>
          <w:rFonts w:ascii="Georgia" w:hAnsi="Georgia"/>
          <w:sz w:val="20"/>
          <w:szCs w:val="20"/>
          <w:lang w:val="lt-LT"/>
        </w:rPr>
        <w:t xml:space="preserve">180,2 mln. eurų. </w:t>
      </w:r>
    </w:p>
    <w:p w14:paraId="1FC9BEA0" w14:textId="77777777" w:rsidR="000E59DF" w:rsidRPr="005D302F" w:rsidRDefault="000E59DF" w:rsidP="000E59DF">
      <w:pPr>
        <w:jc w:val="both"/>
        <w:rPr>
          <w:rFonts w:ascii="Georgia" w:hAnsi="Georgia"/>
          <w:sz w:val="20"/>
          <w:szCs w:val="20"/>
          <w:lang w:val="lt-LT"/>
        </w:rPr>
      </w:pPr>
      <w:r w:rsidRPr="005D302F">
        <w:rPr>
          <w:rFonts w:ascii="Georgia" w:hAnsi="Georgia"/>
          <w:sz w:val="20"/>
          <w:szCs w:val="20"/>
          <w:lang w:val="lt-LT"/>
        </w:rPr>
        <w:t xml:space="preserve">Atsižvelgiant į komercinių bankų ir kitų finansų institucijų nuomonę, vertinant trumpą turimą paskolų grąžinimo istoriją bei JESSICA </w:t>
      </w:r>
      <w:r>
        <w:rPr>
          <w:rFonts w:ascii="Georgia" w:hAnsi="Georgia"/>
          <w:sz w:val="20"/>
          <w:szCs w:val="20"/>
          <w:lang w:val="lt-LT"/>
        </w:rPr>
        <w:t>KF</w:t>
      </w:r>
      <w:r w:rsidRPr="005D302F">
        <w:rPr>
          <w:rFonts w:ascii="Georgia" w:hAnsi="Georgia"/>
          <w:sz w:val="20"/>
          <w:szCs w:val="20"/>
          <w:lang w:val="lt-LT"/>
        </w:rPr>
        <w:t xml:space="preserve"> įgyvendinimo patirtį, galima būtų tikėtis, kad 2014-2020 m. periodu į fondą pritrauktos lėšos susidėtų iš apie 30 proc. ESI fondų lėšų ir iki 70 proc. iš kitų institucinių investuotojų pritrauktų lėšų (pažymėtina, kad toks lėšų portfelis – galutinis fondo veiklos rezultatas 2014-2020 m. periodo pabaigoje, o ne pradinis fondo veiklos lėšų portfelis). Pirmiausia turėtų būti įnešamos ESI fondų lėšos (įnašas ar paskola), iš kurių būtų suformuotas fondo kapitalas, kuris užtikrintų tolesnių investuotojų investicijų saugumą. Privačių investuotojų (įskaitant bankus) lėšų pritraukimo sėkmė priklausys nuo daugelio fondo veiklą įtakojančių aplinkybių, įskaitant, bet neapsiribojant, ekonominės situacijos, teisinės bazės stabilumo, valstybės institucijų ir finansinių tarpininkų veiklos efektyvumo. Galimybės pritraukti privačių lėšų yra veikiamos bankų vidinės politikos bei apsisprendimo skolinti, o taip pat, didele dalimi priklauso nuo fondo valdytojo patirties, sugebėjimų ir strategijos, taip pat sumos, kuri bus skirta suformuoti fondo kapitalo pagrindą, dydžio.</w:t>
      </w:r>
    </w:p>
    <w:p w14:paraId="19A2CD01" w14:textId="77777777" w:rsidR="000E59DF" w:rsidRPr="005D302F" w:rsidRDefault="000E59DF" w:rsidP="000E59DF">
      <w:pPr>
        <w:jc w:val="both"/>
        <w:rPr>
          <w:rFonts w:ascii="Georgia" w:hAnsi="Georgia"/>
          <w:sz w:val="20"/>
          <w:szCs w:val="20"/>
          <w:lang w:val="lt-LT"/>
        </w:rPr>
      </w:pPr>
      <w:r w:rsidRPr="005D302F">
        <w:rPr>
          <w:rFonts w:ascii="Georgia" w:hAnsi="Georgia"/>
          <w:sz w:val="20"/>
          <w:szCs w:val="20"/>
          <w:lang w:val="lt-LT"/>
        </w:rPr>
        <w:t>Su galimais investuotojais (tarptautinėmis finansų institucijomis, komerciniais bankais, pensijų fondais ir t.t.) aptarus fondo sukūrimo galimybes, buvo nustatyta, jog apie 30 proc. kuriamo investicinio fondo lėšų galėtų sudaryti 2014-2020 m. periodo ESI fondų lėšos, o 70 proc. privačių investuotojų lėšos (paskolos ir/ar investicijos). Taigi daroma prielaida, kad bendras fondas siektų iki 600,7 mln. eurų, iš kurių apie 420,5 mln. eurų sudarytų privačių investuotojų lėšos, o 180,2 mln. eurų – 2014-2020 m. periodo lėšos. Pagal turimą fondo dydį vertinamos maksimalios galutinius naudos gavėjus pasiekusios lėšos ir maksimalus galimas projektų skaičius.</w:t>
      </w:r>
    </w:p>
    <w:p w14:paraId="159F60C7" w14:textId="743AF8B0" w:rsidR="000E59DF" w:rsidRPr="005D302F" w:rsidRDefault="000E59DF" w:rsidP="000E59DF">
      <w:pPr>
        <w:pStyle w:val="Antrat"/>
        <w:rPr>
          <w:color w:val="auto"/>
          <w:szCs w:val="20"/>
          <w:lang w:val="lt-LT"/>
        </w:rPr>
      </w:pPr>
      <w:bookmarkStart w:id="168" w:name="_Toc460321658"/>
      <w:r w:rsidRPr="005D302F">
        <w:rPr>
          <w:color w:val="auto"/>
          <w:lang w:val="lt-LT"/>
        </w:rPr>
        <w:lastRenderedPageBreak/>
        <w:t xml:space="preserve">Lentelė </w:t>
      </w:r>
      <w:r w:rsidRPr="005D302F">
        <w:rPr>
          <w:color w:val="auto"/>
          <w:lang w:val="lt-LT"/>
        </w:rPr>
        <w:fldChar w:fldCharType="begin"/>
      </w:r>
      <w:r w:rsidRPr="005D302F">
        <w:rPr>
          <w:color w:val="auto"/>
          <w:lang w:val="lt-LT"/>
        </w:rPr>
        <w:instrText xml:space="preserve"> SEQ Lentelė \* ARABIC </w:instrText>
      </w:r>
      <w:r w:rsidRPr="005D302F">
        <w:rPr>
          <w:color w:val="auto"/>
          <w:lang w:val="lt-LT"/>
        </w:rPr>
        <w:fldChar w:fldCharType="separate"/>
      </w:r>
      <w:r w:rsidR="00AA3082">
        <w:rPr>
          <w:noProof/>
          <w:color w:val="auto"/>
          <w:lang w:val="lt-LT"/>
        </w:rPr>
        <w:t>77</w:t>
      </w:r>
      <w:r w:rsidRPr="005D302F">
        <w:rPr>
          <w:color w:val="auto"/>
          <w:lang w:val="lt-LT"/>
        </w:rPr>
        <w:fldChar w:fldCharType="end"/>
      </w:r>
      <w:r w:rsidRPr="005D302F">
        <w:rPr>
          <w:color w:val="auto"/>
          <w:lang w:val="lt-LT"/>
        </w:rPr>
        <w:t>. Scenarijaus Nr. 5 prielaidos</w:t>
      </w:r>
      <w:bookmarkEnd w:id="168"/>
    </w:p>
    <w:tbl>
      <w:tblPr>
        <w:tblStyle w:val="viesussraas2parykinimas"/>
        <w:tblW w:w="5000" w:type="pct"/>
        <w:tblLook w:val="04A0" w:firstRow="1" w:lastRow="0" w:firstColumn="1" w:lastColumn="0" w:noHBand="0" w:noVBand="1"/>
      </w:tblPr>
      <w:tblGrid>
        <w:gridCol w:w="3164"/>
        <w:gridCol w:w="6078"/>
      </w:tblGrid>
      <w:tr w:rsidR="000E59DF" w:rsidRPr="00A860A3" w14:paraId="7BA91783" w14:textId="77777777" w:rsidTr="000E59D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12" w:type="pct"/>
            <w:tcBorders>
              <w:bottom w:val="single" w:sz="8" w:space="0" w:color="C0504D" w:themeColor="accent2"/>
            </w:tcBorders>
          </w:tcPr>
          <w:p w14:paraId="1E507BBA" w14:textId="77777777" w:rsidR="000E59DF" w:rsidRPr="00DE2BC5" w:rsidRDefault="000E59DF" w:rsidP="00C83DB2">
            <w:pPr>
              <w:keepNext/>
              <w:jc w:val="center"/>
              <w:rPr>
                <w:rFonts w:ascii="Georgia" w:hAnsi="Georgia"/>
                <w:sz w:val="20"/>
                <w:szCs w:val="20"/>
              </w:rPr>
            </w:pPr>
            <w:r w:rsidRPr="00DE2BC5">
              <w:rPr>
                <w:rFonts w:ascii="Georgia" w:hAnsi="Georgia"/>
                <w:sz w:val="20"/>
                <w:szCs w:val="20"/>
              </w:rPr>
              <w:t>Prielaidos</w:t>
            </w:r>
          </w:p>
        </w:tc>
        <w:tc>
          <w:tcPr>
            <w:tcW w:w="3288" w:type="pct"/>
            <w:tcBorders>
              <w:bottom w:val="single" w:sz="8" w:space="0" w:color="C0504D" w:themeColor="accent2"/>
            </w:tcBorders>
          </w:tcPr>
          <w:p w14:paraId="10A74259" w14:textId="77777777" w:rsidR="000E59DF" w:rsidRPr="00DE2BC5" w:rsidRDefault="000E59DF" w:rsidP="00C83DB2">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DE2BC5">
              <w:rPr>
                <w:rFonts w:ascii="Georgia" w:hAnsi="Georgia"/>
                <w:sz w:val="20"/>
                <w:szCs w:val="20"/>
              </w:rPr>
              <w:t>Komentaras</w:t>
            </w:r>
          </w:p>
        </w:tc>
      </w:tr>
      <w:tr w:rsidR="000E59DF" w:rsidRPr="005D302F" w14:paraId="067A4BD8"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bottom w:val="single" w:sz="6" w:space="0" w:color="C0504D" w:themeColor="accent2"/>
              <w:right w:val="single" w:sz="6" w:space="0" w:color="C0504D" w:themeColor="accent2"/>
            </w:tcBorders>
          </w:tcPr>
          <w:p w14:paraId="20F7EBDC" w14:textId="77777777" w:rsidR="000E59DF" w:rsidRPr="005D302F" w:rsidRDefault="000E59DF" w:rsidP="000E59DF">
            <w:pPr>
              <w:rPr>
                <w:rFonts w:ascii="Georgia" w:hAnsi="Georgia"/>
                <w:b w:val="0"/>
                <w:sz w:val="20"/>
                <w:szCs w:val="20"/>
              </w:rPr>
            </w:pPr>
            <w:r w:rsidRPr="005D302F">
              <w:rPr>
                <w:rFonts w:ascii="Georgia" w:hAnsi="Georgia"/>
                <w:sz w:val="20"/>
                <w:szCs w:val="20"/>
              </w:rPr>
              <w:t>Paskolos laikotarpis: iki 20 metų</w:t>
            </w:r>
          </w:p>
        </w:tc>
        <w:tc>
          <w:tcPr>
            <w:tcW w:w="3288" w:type="pct"/>
            <w:tcBorders>
              <w:left w:val="single" w:sz="6" w:space="0" w:color="C0504D" w:themeColor="accent2"/>
              <w:bottom w:val="single" w:sz="6" w:space="0" w:color="C0504D" w:themeColor="accent2"/>
            </w:tcBorders>
          </w:tcPr>
          <w:p w14:paraId="622026B8" w14:textId="77777777" w:rsidR="000E59DF" w:rsidRPr="005D302F"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5D302F">
              <w:rPr>
                <w:rFonts w:ascii="Georgia" w:hAnsi="Georgia"/>
                <w:sz w:val="20"/>
              </w:rPr>
              <w:t>Maksimalus paskolos suteikimo terminas 20 metų.</w:t>
            </w:r>
          </w:p>
        </w:tc>
      </w:tr>
      <w:tr w:rsidR="000E59DF" w:rsidRPr="005D302F" w14:paraId="79E9D773"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1CBC5FA2" w14:textId="77777777" w:rsidR="000E59DF" w:rsidRPr="005D302F" w:rsidRDefault="000E59DF" w:rsidP="000E59DF">
            <w:pPr>
              <w:rPr>
                <w:rFonts w:ascii="Georgia" w:hAnsi="Georgia"/>
                <w:b w:val="0"/>
                <w:sz w:val="20"/>
                <w:szCs w:val="20"/>
              </w:rPr>
            </w:pPr>
            <w:r w:rsidRPr="005D302F">
              <w:rPr>
                <w:rFonts w:ascii="Georgia" w:hAnsi="Georgia"/>
                <w:sz w:val="20"/>
                <w:szCs w:val="20"/>
              </w:rPr>
              <w:t>Subsidija: 15 %</w:t>
            </w:r>
          </w:p>
        </w:tc>
        <w:tc>
          <w:tcPr>
            <w:tcW w:w="3288" w:type="pct"/>
            <w:tcBorders>
              <w:top w:val="single" w:sz="6" w:space="0" w:color="C0504D" w:themeColor="accent2"/>
              <w:left w:val="single" w:sz="6" w:space="0" w:color="C0504D" w:themeColor="accent2"/>
              <w:bottom w:val="single" w:sz="6" w:space="0" w:color="C0504D" w:themeColor="accent2"/>
            </w:tcBorders>
          </w:tcPr>
          <w:p w14:paraId="01AD8C3E" w14:textId="77777777" w:rsidR="000E59DF" w:rsidRPr="005D302F"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5D302F">
              <w:rPr>
                <w:rFonts w:ascii="Georgia" w:hAnsi="Georgia"/>
                <w:sz w:val="20"/>
              </w:rPr>
              <w:t>Projektams, pasiekusiems ne mažesnį kaip 40 proc. sutaupymą, suteikiama 15 % subsidija iš ESI fondų lėšų.</w:t>
            </w:r>
          </w:p>
        </w:tc>
      </w:tr>
      <w:tr w:rsidR="000E59DF" w:rsidRPr="005D302F" w14:paraId="2B612EE0"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1AFB4813" w14:textId="77777777" w:rsidR="000E59DF" w:rsidRPr="005D302F" w:rsidRDefault="000E59DF" w:rsidP="000E59DF">
            <w:pPr>
              <w:rPr>
                <w:rFonts w:ascii="Georgia" w:hAnsi="Georgia"/>
                <w:b w:val="0"/>
                <w:sz w:val="20"/>
                <w:szCs w:val="20"/>
              </w:rPr>
            </w:pPr>
            <w:r w:rsidRPr="005D302F">
              <w:rPr>
                <w:rFonts w:ascii="Georgia" w:hAnsi="Georgia"/>
                <w:sz w:val="20"/>
              </w:rPr>
              <w:t>Palūkanų kompensavimo mechanizmas</w:t>
            </w:r>
            <w:r w:rsidRPr="005D302F">
              <w:rPr>
                <w:rFonts w:ascii="Georgia" w:hAnsi="Georgia"/>
                <w:sz w:val="20"/>
                <w:szCs w:val="20"/>
              </w:rPr>
              <w:t>: 15 %</w:t>
            </w:r>
          </w:p>
        </w:tc>
        <w:tc>
          <w:tcPr>
            <w:tcW w:w="3288" w:type="pct"/>
            <w:tcBorders>
              <w:top w:val="single" w:sz="6" w:space="0" w:color="C0504D" w:themeColor="accent2"/>
              <w:left w:val="single" w:sz="6" w:space="0" w:color="C0504D" w:themeColor="accent2"/>
              <w:bottom w:val="single" w:sz="6" w:space="0" w:color="C0504D" w:themeColor="accent2"/>
            </w:tcBorders>
          </w:tcPr>
          <w:p w14:paraId="3508BDAC" w14:textId="77777777" w:rsidR="000E59DF" w:rsidRPr="005D302F"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5D302F">
              <w:rPr>
                <w:rFonts w:ascii="Georgia" w:hAnsi="Georgia"/>
                <w:sz w:val="20"/>
              </w:rPr>
              <w:t xml:space="preserve">Po projekto įgyvendinimo paskolos suma sumažinama 15 %. Ši suma atitinka apytiksliai 2 proc. palūkanų, kurias sumoka galutiniai naudos gavėjai per 20 metų paskolos laikotarpį (t.y. galutiniai naudos gavėjai per 20 metų sumoka ne 3 proc. palūkanų, o 1 proc. palūkanų). </w:t>
            </w:r>
          </w:p>
        </w:tc>
      </w:tr>
      <w:tr w:rsidR="000E59DF" w:rsidRPr="005D302F" w14:paraId="778AEAA4"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4A50147A" w14:textId="77777777" w:rsidR="000E59DF" w:rsidRPr="005D302F" w:rsidRDefault="000E59DF" w:rsidP="000E59DF">
            <w:pPr>
              <w:rPr>
                <w:rFonts w:ascii="Georgia" w:hAnsi="Georgia"/>
                <w:b w:val="0"/>
                <w:sz w:val="20"/>
                <w:szCs w:val="20"/>
              </w:rPr>
            </w:pPr>
            <w:r w:rsidRPr="005D302F">
              <w:rPr>
                <w:rFonts w:ascii="Georgia" w:hAnsi="Georgia"/>
                <w:sz w:val="20"/>
                <w:szCs w:val="20"/>
              </w:rPr>
              <w:t>Išankstinis paskolos grąžinimas: 10% praėjus dvejiems metams po projekto įgyvendinimo</w:t>
            </w:r>
          </w:p>
        </w:tc>
        <w:tc>
          <w:tcPr>
            <w:tcW w:w="3288" w:type="pct"/>
            <w:tcBorders>
              <w:top w:val="single" w:sz="6" w:space="0" w:color="C0504D" w:themeColor="accent2"/>
              <w:left w:val="single" w:sz="6" w:space="0" w:color="C0504D" w:themeColor="accent2"/>
              <w:bottom w:val="single" w:sz="6" w:space="0" w:color="C0504D" w:themeColor="accent2"/>
            </w:tcBorders>
          </w:tcPr>
          <w:p w14:paraId="7D2E62A2" w14:textId="77777777" w:rsidR="000E59DF" w:rsidRPr="005D302F"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5D302F">
              <w:rPr>
                <w:rFonts w:ascii="Georgia" w:hAnsi="Georgia"/>
                <w:sz w:val="20"/>
              </w:rPr>
              <w:t>Prielaida, kad anksčiau laiko grįžtančios paskolos praėjus dvejiems metams po projekto įgyvendinimo sudarys 10 % paskolų portfelio, nustatyta remiantis ekspertų ir komercinių bankų vertinimu.</w:t>
            </w:r>
          </w:p>
        </w:tc>
      </w:tr>
      <w:tr w:rsidR="000E59DF" w:rsidRPr="005D302F" w14:paraId="66B1F496"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27589748" w14:textId="77777777" w:rsidR="000E59DF" w:rsidRPr="005D302F" w:rsidRDefault="000E59DF" w:rsidP="000E59DF">
            <w:pPr>
              <w:rPr>
                <w:rFonts w:ascii="Georgia" w:hAnsi="Georgia"/>
                <w:b w:val="0"/>
                <w:sz w:val="20"/>
                <w:szCs w:val="20"/>
              </w:rPr>
            </w:pPr>
            <w:r w:rsidRPr="005D302F">
              <w:rPr>
                <w:rFonts w:ascii="Georgia" w:hAnsi="Georgia"/>
                <w:sz w:val="20"/>
                <w:szCs w:val="20"/>
              </w:rPr>
              <w:t>Blogų paskolų dalis: 5 %</w:t>
            </w:r>
          </w:p>
        </w:tc>
        <w:tc>
          <w:tcPr>
            <w:tcW w:w="3288" w:type="pct"/>
            <w:tcBorders>
              <w:top w:val="single" w:sz="6" w:space="0" w:color="C0504D" w:themeColor="accent2"/>
              <w:left w:val="single" w:sz="6" w:space="0" w:color="C0504D" w:themeColor="accent2"/>
              <w:bottom w:val="single" w:sz="6" w:space="0" w:color="C0504D" w:themeColor="accent2"/>
            </w:tcBorders>
          </w:tcPr>
          <w:p w14:paraId="0CB068D2" w14:textId="77777777" w:rsidR="000E59DF" w:rsidRPr="005D302F"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5D302F">
              <w:rPr>
                <w:rFonts w:ascii="Georgia" w:hAnsi="Georgia"/>
                <w:sz w:val="20"/>
              </w:rPr>
              <w:t>Blogų paskolų dalis buvo nustatyta remiantis ekspertų ir komercinių bankų vertinimu.</w:t>
            </w:r>
          </w:p>
        </w:tc>
      </w:tr>
      <w:tr w:rsidR="000E59DF" w:rsidRPr="005D302F" w14:paraId="14196EC7"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54011674" w14:textId="77777777" w:rsidR="000E59DF" w:rsidRPr="005D302F" w:rsidRDefault="000E59DF" w:rsidP="000E59DF">
            <w:pPr>
              <w:rPr>
                <w:rFonts w:ascii="Georgia" w:hAnsi="Georgia"/>
                <w:b w:val="0"/>
                <w:sz w:val="20"/>
                <w:szCs w:val="20"/>
              </w:rPr>
            </w:pPr>
            <w:r w:rsidRPr="005D302F">
              <w:rPr>
                <w:rFonts w:ascii="Georgia" w:hAnsi="Georgia"/>
                <w:sz w:val="20"/>
                <w:szCs w:val="20"/>
              </w:rPr>
              <w:t xml:space="preserve">Tipinio pastato projekto investicijų vertė: </w:t>
            </w:r>
          </w:p>
          <w:p w14:paraId="48C73290" w14:textId="77777777" w:rsidR="000E59DF" w:rsidRPr="005D302F" w:rsidRDefault="000E59DF" w:rsidP="000E59DF">
            <w:pPr>
              <w:rPr>
                <w:rFonts w:ascii="Georgia" w:hAnsi="Georgia"/>
                <w:b w:val="0"/>
                <w:sz w:val="20"/>
                <w:szCs w:val="20"/>
              </w:rPr>
            </w:pPr>
            <w:r w:rsidRPr="005D302F">
              <w:rPr>
                <w:rFonts w:ascii="Georgia" w:hAnsi="Georgia"/>
                <w:sz w:val="20"/>
                <w:szCs w:val="20"/>
              </w:rPr>
              <w:t xml:space="preserve">186.000 </w:t>
            </w:r>
            <w:r w:rsidRPr="005D302F">
              <w:rPr>
                <w:rFonts w:ascii="Georgia" w:hAnsi="Georgia"/>
                <w:sz w:val="20"/>
              </w:rPr>
              <w:t>eurų</w:t>
            </w:r>
          </w:p>
        </w:tc>
        <w:tc>
          <w:tcPr>
            <w:tcW w:w="3288" w:type="pct"/>
            <w:tcBorders>
              <w:top w:val="single" w:sz="6" w:space="0" w:color="C0504D" w:themeColor="accent2"/>
              <w:left w:val="single" w:sz="6" w:space="0" w:color="C0504D" w:themeColor="accent2"/>
              <w:bottom w:val="single" w:sz="6" w:space="0" w:color="C0504D" w:themeColor="accent2"/>
            </w:tcBorders>
          </w:tcPr>
          <w:p w14:paraId="1CEB90A9" w14:textId="77777777" w:rsidR="000E59DF" w:rsidRPr="005D302F"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5D302F">
              <w:rPr>
                <w:rFonts w:ascii="Georgia" w:hAnsi="Georgia"/>
                <w:sz w:val="20"/>
              </w:rPr>
              <w:t>Vidutinė tipinio daugiabučio renovacijos kaina buvo nustatyta remiantis vidutinio daugiabučio plotu (paskaičiuota remiantis registrų centro duomenimis). Vidutinė statybos darbų kaina nustatyta pagal BETA pateiktus duomenis.</w:t>
            </w:r>
          </w:p>
        </w:tc>
      </w:tr>
      <w:tr w:rsidR="000E59DF" w:rsidRPr="005D302F" w14:paraId="306F16A4"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2EBB716E" w14:textId="77777777" w:rsidR="000E59DF" w:rsidRPr="005D302F" w:rsidRDefault="000E59DF" w:rsidP="000E59DF">
            <w:pPr>
              <w:rPr>
                <w:rFonts w:ascii="Georgia" w:hAnsi="Georgia"/>
                <w:b w:val="0"/>
                <w:sz w:val="20"/>
                <w:szCs w:val="20"/>
              </w:rPr>
            </w:pPr>
            <w:r w:rsidRPr="005D302F">
              <w:rPr>
                <w:rFonts w:ascii="Georgia" w:hAnsi="Georgia"/>
                <w:sz w:val="20"/>
                <w:szCs w:val="20"/>
              </w:rPr>
              <w:t>Palūkanų norma: 3 %</w:t>
            </w:r>
          </w:p>
        </w:tc>
        <w:tc>
          <w:tcPr>
            <w:tcW w:w="3288" w:type="pct"/>
            <w:tcBorders>
              <w:top w:val="single" w:sz="6" w:space="0" w:color="C0504D" w:themeColor="accent2"/>
              <w:left w:val="single" w:sz="6" w:space="0" w:color="C0504D" w:themeColor="accent2"/>
              <w:bottom w:val="single" w:sz="6" w:space="0" w:color="C0504D" w:themeColor="accent2"/>
            </w:tcBorders>
          </w:tcPr>
          <w:p w14:paraId="67FB5815" w14:textId="77777777" w:rsidR="000E59DF" w:rsidRPr="005D302F"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5D302F">
              <w:rPr>
                <w:rFonts w:ascii="Georgia" w:hAnsi="Georgia"/>
                <w:sz w:val="20"/>
              </w:rPr>
              <w:t>Palūkanų norma galutiniams naudos gavėjams - fiksuotos 3 % metinės palūkanos.</w:t>
            </w:r>
          </w:p>
        </w:tc>
      </w:tr>
      <w:tr w:rsidR="000E59DF" w:rsidRPr="005D302F" w14:paraId="038FE842"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30C45278" w14:textId="77777777" w:rsidR="000E59DF" w:rsidRPr="005D302F" w:rsidRDefault="000E59DF" w:rsidP="000E59DF">
            <w:pPr>
              <w:rPr>
                <w:rFonts w:ascii="Georgia" w:hAnsi="Georgia"/>
                <w:b w:val="0"/>
                <w:sz w:val="20"/>
                <w:szCs w:val="20"/>
              </w:rPr>
            </w:pPr>
            <w:r w:rsidRPr="005D302F">
              <w:rPr>
                <w:rFonts w:ascii="Georgia" w:hAnsi="Georgia"/>
                <w:sz w:val="20"/>
                <w:szCs w:val="20"/>
              </w:rPr>
              <w:t xml:space="preserve">Investuojamų ESI fondų lėšų suma į fondą: 180,2 mln. </w:t>
            </w:r>
            <w:r w:rsidRPr="005D302F">
              <w:rPr>
                <w:rFonts w:ascii="Georgia" w:hAnsi="Georgia"/>
                <w:sz w:val="20"/>
              </w:rPr>
              <w:t>eurų</w:t>
            </w:r>
          </w:p>
        </w:tc>
        <w:tc>
          <w:tcPr>
            <w:tcW w:w="3288" w:type="pct"/>
            <w:tcBorders>
              <w:top w:val="single" w:sz="6" w:space="0" w:color="C0504D" w:themeColor="accent2"/>
              <w:left w:val="single" w:sz="6" w:space="0" w:color="C0504D" w:themeColor="accent2"/>
              <w:bottom w:val="single" w:sz="6" w:space="0" w:color="C0504D" w:themeColor="accent2"/>
            </w:tcBorders>
          </w:tcPr>
          <w:p w14:paraId="769C849B" w14:textId="77777777" w:rsidR="000E59DF" w:rsidRPr="005D302F"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5D302F">
              <w:rPr>
                <w:rFonts w:ascii="Georgia" w:hAnsi="Georgia"/>
                <w:sz w:val="20"/>
              </w:rPr>
              <w:t>Daroma prielaida, jog daugiabučių renovacijai skirtos ESI fondų lėšos – 280,9 mln. eurų – būtų išskaidomos į finansinę priemonę ir subsidijų priemonę. Numatytos lėšos skirstomos taip:</w:t>
            </w:r>
          </w:p>
          <w:p w14:paraId="6D98254B" w14:textId="77777777" w:rsidR="000E59DF" w:rsidRPr="005D302F" w:rsidRDefault="000E59DF" w:rsidP="000E59DF">
            <w:pPr>
              <w:pStyle w:val="Sraopastraipa"/>
              <w:ind w:hanging="360"/>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5D302F">
              <w:rPr>
                <w:rFonts w:ascii="Georgia" w:hAnsi="Georgia"/>
                <w:sz w:val="20"/>
                <w:szCs w:val="20"/>
              </w:rPr>
              <w:t xml:space="preserve">- 180,2 mln. eurų skiriama lengvatinių paskolų priemonei; </w:t>
            </w:r>
          </w:p>
          <w:p w14:paraId="00DB992C" w14:textId="77777777" w:rsidR="000E59DF" w:rsidRPr="005D302F" w:rsidRDefault="000E59DF" w:rsidP="000E59DF">
            <w:pPr>
              <w:pStyle w:val="Sraopastraipa"/>
              <w:ind w:hanging="360"/>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5D302F">
              <w:rPr>
                <w:rFonts w:ascii="Georgia" w:hAnsi="Georgia"/>
                <w:sz w:val="20"/>
                <w:szCs w:val="20"/>
              </w:rPr>
              <w:t>- 100,7 mln. eurų subsidijų priemonei.</w:t>
            </w:r>
          </w:p>
        </w:tc>
      </w:tr>
      <w:tr w:rsidR="000E59DF" w:rsidRPr="005D302F" w14:paraId="3154712C"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42CDD317" w14:textId="77777777" w:rsidR="000E59DF" w:rsidRPr="005D302F" w:rsidRDefault="000E59DF" w:rsidP="000E59DF">
            <w:pPr>
              <w:rPr>
                <w:rFonts w:ascii="Georgia" w:hAnsi="Georgia"/>
                <w:sz w:val="20"/>
                <w:szCs w:val="20"/>
              </w:rPr>
            </w:pPr>
            <w:r w:rsidRPr="005D302F">
              <w:rPr>
                <w:rFonts w:ascii="Georgia" w:hAnsi="Georgia"/>
                <w:sz w:val="20"/>
              </w:rPr>
              <w:t>JESSICA KF grįžtančios lėšos: 67,2 mln. eurų</w:t>
            </w:r>
          </w:p>
        </w:tc>
        <w:tc>
          <w:tcPr>
            <w:tcW w:w="3288" w:type="pct"/>
            <w:tcBorders>
              <w:top w:val="single" w:sz="6" w:space="0" w:color="C0504D" w:themeColor="accent2"/>
              <w:left w:val="single" w:sz="6" w:space="0" w:color="C0504D" w:themeColor="accent2"/>
              <w:bottom w:val="single" w:sz="6" w:space="0" w:color="C0504D" w:themeColor="accent2"/>
            </w:tcBorders>
          </w:tcPr>
          <w:p w14:paraId="6D27F7A5" w14:textId="77777777" w:rsidR="000E59DF" w:rsidRPr="005D302F"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5D302F">
              <w:rPr>
                <w:rFonts w:ascii="Georgia" w:hAnsi="Georgia"/>
                <w:sz w:val="20"/>
              </w:rPr>
              <w:t>2007-2013 m. periodo grįžtančios lėšos, kurios sudarytų apie 67,2 mln. eurų.</w:t>
            </w:r>
          </w:p>
        </w:tc>
      </w:tr>
      <w:tr w:rsidR="000E59DF" w:rsidRPr="005D302F" w14:paraId="3F97A65C"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0F86851F" w14:textId="77777777" w:rsidR="000E59DF" w:rsidRPr="005D302F" w:rsidRDefault="000E59DF" w:rsidP="000E59DF">
            <w:pPr>
              <w:rPr>
                <w:rFonts w:ascii="Georgia" w:hAnsi="Georgia"/>
                <w:b w:val="0"/>
                <w:sz w:val="20"/>
                <w:szCs w:val="20"/>
              </w:rPr>
            </w:pPr>
            <w:r w:rsidRPr="005D302F">
              <w:rPr>
                <w:rFonts w:ascii="Georgia" w:hAnsi="Georgia"/>
                <w:sz w:val="20"/>
                <w:szCs w:val="20"/>
              </w:rPr>
              <w:t>Galimų pritraukti privačių lėšų suma: 420,5</w:t>
            </w:r>
          </w:p>
        </w:tc>
        <w:tc>
          <w:tcPr>
            <w:tcW w:w="3288" w:type="pct"/>
            <w:tcBorders>
              <w:top w:val="single" w:sz="6" w:space="0" w:color="C0504D" w:themeColor="accent2"/>
              <w:left w:val="single" w:sz="6" w:space="0" w:color="C0504D" w:themeColor="accent2"/>
              <w:bottom w:val="single" w:sz="6" w:space="0" w:color="C0504D" w:themeColor="accent2"/>
            </w:tcBorders>
          </w:tcPr>
          <w:p w14:paraId="36ADAB76" w14:textId="77777777" w:rsidR="000E59DF" w:rsidRPr="005D302F"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5D302F">
              <w:rPr>
                <w:rFonts w:ascii="Georgia" w:hAnsi="Georgia"/>
                <w:sz w:val="20"/>
                <w:szCs w:val="20"/>
              </w:rPr>
              <w:t xml:space="preserve">Remiantis prielaidą, kad bendroje fondo apimtyje privačios lėšos gali sudaryti apie 70 proc. visų lėšų, numatoma jog privačios lėšos sudarys – 420,5 mln. </w:t>
            </w:r>
            <w:r w:rsidRPr="005D302F">
              <w:rPr>
                <w:rFonts w:ascii="Georgia" w:hAnsi="Georgia"/>
                <w:sz w:val="20"/>
              </w:rPr>
              <w:t>eurų</w:t>
            </w:r>
            <w:r w:rsidRPr="005D302F">
              <w:rPr>
                <w:rFonts w:ascii="Georgia" w:hAnsi="Georgia"/>
                <w:sz w:val="20"/>
                <w:szCs w:val="20"/>
              </w:rPr>
              <w:t>.</w:t>
            </w:r>
          </w:p>
        </w:tc>
      </w:tr>
      <w:tr w:rsidR="000E59DF" w:rsidRPr="005D302F" w14:paraId="09FA467D"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37D5DEC1" w14:textId="77777777" w:rsidR="000E59DF" w:rsidRPr="005D302F" w:rsidRDefault="000E59DF" w:rsidP="000E59DF">
            <w:pPr>
              <w:jc w:val="both"/>
              <w:rPr>
                <w:rFonts w:ascii="Georgia" w:hAnsi="Georgia"/>
                <w:sz w:val="20"/>
              </w:rPr>
            </w:pPr>
            <w:r w:rsidRPr="005D302F">
              <w:rPr>
                <w:rFonts w:ascii="Georgia" w:hAnsi="Georgia"/>
                <w:sz w:val="20"/>
              </w:rPr>
              <w:t>Siektinas įgyvendinamų projektų skaičius: 750 projektų per metus</w:t>
            </w:r>
          </w:p>
        </w:tc>
        <w:tc>
          <w:tcPr>
            <w:tcW w:w="3288" w:type="pct"/>
            <w:tcBorders>
              <w:top w:val="single" w:sz="6" w:space="0" w:color="C0504D" w:themeColor="accent2"/>
              <w:left w:val="single" w:sz="6" w:space="0" w:color="C0504D" w:themeColor="accent2"/>
              <w:bottom w:val="single" w:sz="6" w:space="0" w:color="C0504D" w:themeColor="accent2"/>
            </w:tcBorders>
          </w:tcPr>
          <w:p w14:paraId="22CF68F5" w14:textId="77777777" w:rsidR="000E59DF" w:rsidRPr="005D302F"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5D302F">
              <w:rPr>
                <w:rFonts w:ascii="Georgia" w:hAnsi="Georgia"/>
                <w:sz w:val="20"/>
              </w:rPr>
              <w:t>Vertinant projektų kiekį, buvo paskaičiuota kiek projektų galima atlikti turimomis fondo lėšomis (pagal šį scenarijų) per 2014-2020 programavimo laikotarpį ir projektai proporcingai išdėstyti iki 2020 metų. Vertinama, kad šio scenarijaus atveju, per metus bus įgyvendinama 750 naujų projektų.</w:t>
            </w:r>
          </w:p>
        </w:tc>
      </w:tr>
      <w:tr w:rsidR="000E59DF" w:rsidRPr="005D302F" w14:paraId="4F78F624"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616EE7D3" w14:textId="77777777" w:rsidR="000E59DF" w:rsidRPr="005D302F" w:rsidRDefault="000E59DF" w:rsidP="000E59DF">
            <w:pPr>
              <w:jc w:val="both"/>
              <w:rPr>
                <w:rFonts w:ascii="Georgia" w:hAnsi="Georgia"/>
                <w:sz w:val="20"/>
              </w:rPr>
            </w:pPr>
            <w:r w:rsidRPr="005D302F">
              <w:rPr>
                <w:rFonts w:ascii="Georgia" w:hAnsi="Georgia"/>
                <w:sz w:val="20"/>
              </w:rPr>
              <w:t>Valdymo mokestis: vadovaujantis Deleguoto reglamento nuostatomis</w:t>
            </w:r>
          </w:p>
        </w:tc>
        <w:tc>
          <w:tcPr>
            <w:tcW w:w="3288" w:type="pct"/>
            <w:tcBorders>
              <w:top w:val="single" w:sz="6" w:space="0" w:color="C0504D" w:themeColor="accent2"/>
              <w:left w:val="single" w:sz="6" w:space="0" w:color="C0504D" w:themeColor="accent2"/>
              <w:bottom w:val="single" w:sz="6" w:space="0" w:color="C0504D" w:themeColor="accent2"/>
            </w:tcBorders>
          </w:tcPr>
          <w:p w14:paraId="76C06F41" w14:textId="77777777" w:rsidR="000E59DF" w:rsidRPr="005D302F" w:rsidRDefault="000E59DF" w:rsidP="000E59DF">
            <w:pPr>
              <w:jc w:val="both"/>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5D302F">
              <w:rPr>
                <w:rFonts w:ascii="Georgia" w:hAnsi="Georgia"/>
                <w:sz w:val="20"/>
              </w:rPr>
              <w:t>Vadovaujantis Deleguoto reglamento nuostatomis, valdymo mokestis susideda iš dviejų dalių: 0,5 proc. bazinis mokestis nuo finansinei priemonei skirtų ir įmokėtų lėšų, 1 proc. mokestis nuo paskolų, suteiktų galutiniams naudos gavėjams, sumos.</w:t>
            </w:r>
          </w:p>
        </w:tc>
      </w:tr>
      <w:tr w:rsidR="000E59DF" w:rsidRPr="005D302F" w14:paraId="7917B989" w14:textId="77777777" w:rsidTr="000E59D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6E87A1B6" w14:textId="77777777" w:rsidR="000E59DF" w:rsidRPr="005D302F" w:rsidRDefault="000E59DF" w:rsidP="000E59DF">
            <w:pPr>
              <w:rPr>
                <w:rFonts w:ascii="Georgia" w:hAnsi="Georgia"/>
                <w:b w:val="0"/>
                <w:i/>
                <w:sz w:val="20"/>
                <w:szCs w:val="20"/>
              </w:rPr>
            </w:pPr>
            <w:r w:rsidRPr="005D302F">
              <w:rPr>
                <w:rFonts w:ascii="Georgia" w:hAnsi="Georgia"/>
                <w:sz w:val="20"/>
              </w:rPr>
              <w:t>Projekto įgyvendinimo trukmė: 1 metai</w:t>
            </w:r>
          </w:p>
        </w:tc>
        <w:tc>
          <w:tcPr>
            <w:tcW w:w="3288" w:type="pct"/>
            <w:tcBorders>
              <w:top w:val="single" w:sz="6" w:space="0" w:color="C0504D" w:themeColor="accent2"/>
              <w:left w:val="single" w:sz="6" w:space="0" w:color="C0504D" w:themeColor="accent2"/>
              <w:bottom w:val="single" w:sz="6" w:space="0" w:color="C0504D" w:themeColor="accent2"/>
            </w:tcBorders>
          </w:tcPr>
          <w:p w14:paraId="6453ACC4" w14:textId="77777777" w:rsidR="000E59DF" w:rsidRPr="005D302F" w:rsidRDefault="000E59DF" w:rsidP="000E59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5D302F">
              <w:rPr>
                <w:rFonts w:ascii="Georgia" w:hAnsi="Georgia"/>
                <w:sz w:val="20"/>
              </w:rPr>
              <w:t>Remiantis šiuo metu įgyvendinamų projektų duomenimis nustatyta vidutinė projekto įgyvendinimo trukmė – 1 metai nuo paskolos sutarties pasirašymo dienos.</w:t>
            </w:r>
          </w:p>
        </w:tc>
      </w:tr>
      <w:tr w:rsidR="000E59DF" w:rsidRPr="005D302F" w14:paraId="3B0DE8B9" w14:textId="77777777" w:rsidTr="000E59DF">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1E35B0E9" w14:textId="77777777" w:rsidR="000E59DF" w:rsidRPr="005D302F" w:rsidRDefault="000E59DF" w:rsidP="000E59DF">
            <w:pPr>
              <w:rPr>
                <w:rFonts w:ascii="Georgia" w:hAnsi="Georgia"/>
                <w:b w:val="0"/>
                <w:i/>
                <w:sz w:val="20"/>
                <w:szCs w:val="20"/>
              </w:rPr>
            </w:pPr>
            <w:r w:rsidRPr="005D302F">
              <w:rPr>
                <w:rFonts w:ascii="Georgia" w:hAnsi="Georgia"/>
                <w:sz w:val="20"/>
              </w:rPr>
              <w:t xml:space="preserve">Sugrįžusios lėšos pakartotinai panaudojamos: po 2 metų </w:t>
            </w:r>
          </w:p>
        </w:tc>
        <w:tc>
          <w:tcPr>
            <w:tcW w:w="3288" w:type="pct"/>
            <w:tcBorders>
              <w:top w:val="single" w:sz="6" w:space="0" w:color="C0504D" w:themeColor="accent2"/>
              <w:left w:val="single" w:sz="6" w:space="0" w:color="C0504D" w:themeColor="accent2"/>
              <w:bottom w:val="single" w:sz="6" w:space="0" w:color="C0504D" w:themeColor="accent2"/>
            </w:tcBorders>
          </w:tcPr>
          <w:p w14:paraId="0CD0A31B" w14:textId="77777777" w:rsidR="000E59DF" w:rsidRPr="005D302F" w:rsidRDefault="000E59DF" w:rsidP="000E59D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5D302F">
              <w:rPr>
                <w:rFonts w:ascii="Georgia" w:hAnsi="Georgia"/>
                <w:sz w:val="20"/>
              </w:rPr>
              <w:t>Daroma prielaida, jog grįžtančios lėšos pakartotinai panaudojamos projektų finansavimui tomis pačiomis sąlygomis po 2 metų.</w:t>
            </w:r>
          </w:p>
        </w:tc>
      </w:tr>
    </w:tbl>
    <w:p w14:paraId="1FA5D79A" w14:textId="77777777" w:rsidR="000E59DF" w:rsidRPr="00A860A3" w:rsidRDefault="000E59DF" w:rsidP="000E59DF">
      <w:pPr>
        <w:rPr>
          <w:rFonts w:ascii="Georgia" w:hAnsi="Georgia"/>
          <w:color w:val="FF0000"/>
          <w:sz w:val="20"/>
          <w:szCs w:val="20"/>
          <w:lang w:val="lt-LT"/>
        </w:rPr>
      </w:pPr>
    </w:p>
    <w:p w14:paraId="384CF2FB" w14:textId="41DD1385" w:rsidR="000E59DF" w:rsidRPr="005D302F" w:rsidRDefault="000E59DF" w:rsidP="000E59DF">
      <w:pPr>
        <w:pStyle w:val="Antrat"/>
        <w:jc w:val="both"/>
        <w:rPr>
          <w:color w:val="auto"/>
          <w:lang w:val="lt-LT"/>
        </w:rPr>
      </w:pPr>
      <w:bookmarkStart w:id="169" w:name="_Toc460321659"/>
      <w:r w:rsidRPr="005D302F">
        <w:rPr>
          <w:color w:val="auto"/>
          <w:lang w:val="lt-LT"/>
        </w:rPr>
        <w:lastRenderedPageBreak/>
        <w:t xml:space="preserve">Lentelė </w:t>
      </w:r>
      <w:r w:rsidRPr="005D302F">
        <w:rPr>
          <w:color w:val="auto"/>
          <w:lang w:val="lt-LT"/>
        </w:rPr>
        <w:fldChar w:fldCharType="begin"/>
      </w:r>
      <w:r w:rsidRPr="005D302F">
        <w:rPr>
          <w:color w:val="auto"/>
          <w:lang w:val="lt-LT"/>
        </w:rPr>
        <w:instrText xml:space="preserve"> SEQ Lentelė \* ARABIC </w:instrText>
      </w:r>
      <w:r w:rsidRPr="005D302F">
        <w:rPr>
          <w:color w:val="auto"/>
          <w:lang w:val="lt-LT"/>
        </w:rPr>
        <w:fldChar w:fldCharType="separate"/>
      </w:r>
      <w:r w:rsidR="00AA3082">
        <w:rPr>
          <w:noProof/>
          <w:color w:val="auto"/>
          <w:lang w:val="lt-LT"/>
        </w:rPr>
        <w:t>78</w:t>
      </w:r>
      <w:r w:rsidRPr="005D302F">
        <w:rPr>
          <w:color w:val="auto"/>
          <w:lang w:val="lt-LT"/>
        </w:rPr>
        <w:fldChar w:fldCharType="end"/>
      </w:r>
      <w:r w:rsidRPr="005D302F">
        <w:rPr>
          <w:color w:val="auto"/>
          <w:lang w:val="lt-LT"/>
        </w:rPr>
        <w:t>. Scenarijaus Nr. 8 įgyvendinimo prognozė</w:t>
      </w:r>
      <w:bookmarkEnd w:id="169"/>
    </w:p>
    <w:p w14:paraId="7B125E52" w14:textId="77777777" w:rsidR="000E59DF" w:rsidRPr="00A860A3" w:rsidRDefault="000E59DF" w:rsidP="000E59DF">
      <w:pPr>
        <w:pStyle w:val="Antrat"/>
        <w:rPr>
          <w:color w:val="FF0000"/>
          <w:lang w:val="lt-LT"/>
        </w:rPr>
      </w:pPr>
      <w:r>
        <w:rPr>
          <w:noProof/>
          <w:color w:val="FF0000"/>
          <w:lang w:val="lt-LT" w:eastAsia="lt-LT"/>
        </w:rPr>
        <w:drawing>
          <wp:inline distT="0" distB="0" distL="0" distR="0" wp14:anchorId="2A83FE6E" wp14:editId="24C48B78">
            <wp:extent cx="6115685" cy="3262630"/>
            <wp:effectExtent l="0" t="0" r="0" b="0"/>
            <wp:docPr id="60"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6115685" cy="3262630"/>
                    </a:xfrm>
                    <a:prstGeom prst="rect">
                      <a:avLst/>
                    </a:prstGeom>
                    <a:noFill/>
                    <a:ln>
                      <a:noFill/>
                    </a:ln>
                  </pic:spPr>
                </pic:pic>
              </a:graphicData>
            </a:graphic>
          </wp:inline>
        </w:drawing>
      </w:r>
    </w:p>
    <w:p w14:paraId="0AB97983" w14:textId="6D57895F" w:rsidR="000E59DF" w:rsidRPr="005D302F" w:rsidRDefault="000E59DF" w:rsidP="000E59DF">
      <w:pPr>
        <w:pStyle w:val="Antrat"/>
        <w:rPr>
          <w:color w:val="auto"/>
          <w:lang w:val="lt-LT"/>
        </w:rPr>
      </w:pPr>
      <w:bookmarkStart w:id="170" w:name="_Toc460321660"/>
      <w:r w:rsidRPr="005D302F">
        <w:rPr>
          <w:color w:val="auto"/>
          <w:lang w:val="lt-LT"/>
        </w:rPr>
        <w:t xml:space="preserve">Lentelė </w:t>
      </w:r>
      <w:r w:rsidRPr="005D302F">
        <w:rPr>
          <w:color w:val="auto"/>
          <w:lang w:val="lt-LT"/>
        </w:rPr>
        <w:fldChar w:fldCharType="begin"/>
      </w:r>
      <w:r w:rsidRPr="005D302F">
        <w:rPr>
          <w:color w:val="auto"/>
          <w:lang w:val="lt-LT"/>
        </w:rPr>
        <w:instrText xml:space="preserve"> SEQ Lentelė \* ARABIC </w:instrText>
      </w:r>
      <w:r w:rsidRPr="005D302F">
        <w:rPr>
          <w:color w:val="auto"/>
          <w:lang w:val="lt-LT"/>
        </w:rPr>
        <w:fldChar w:fldCharType="separate"/>
      </w:r>
      <w:r w:rsidR="00AA3082">
        <w:rPr>
          <w:noProof/>
          <w:color w:val="auto"/>
          <w:lang w:val="lt-LT"/>
        </w:rPr>
        <w:t>79</w:t>
      </w:r>
      <w:r w:rsidRPr="005D302F">
        <w:rPr>
          <w:color w:val="auto"/>
          <w:lang w:val="lt-LT"/>
        </w:rPr>
        <w:fldChar w:fldCharType="end"/>
      </w:r>
      <w:r w:rsidRPr="005D302F">
        <w:rPr>
          <w:color w:val="auto"/>
          <w:lang w:val="lt-LT"/>
        </w:rPr>
        <w:t xml:space="preserve">. </w:t>
      </w:r>
      <w:r w:rsidRPr="005D302F">
        <w:rPr>
          <w:color w:val="auto"/>
          <w:szCs w:val="20"/>
          <w:lang w:val="lt-LT"/>
        </w:rPr>
        <w:t>Scenarijaus Nr. 8 rezultatai</w:t>
      </w:r>
      <w:bookmarkEnd w:id="170"/>
    </w:p>
    <w:tbl>
      <w:tblPr>
        <w:tblStyle w:val="viesussraas2parykinimas"/>
        <w:tblW w:w="5000" w:type="pct"/>
        <w:tblLook w:val="04A0" w:firstRow="1" w:lastRow="0" w:firstColumn="1" w:lastColumn="0" w:noHBand="0" w:noVBand="1"/>
      </w:tblPr>
      <w:tblGrid>
        <w:gridCol w:w="6651"/>
        <w:gridCol w:w="2591"/>
      </w:tblGrid>
      <w:tr w:rsidR="000E59DF" w:rsidRPr="00DE2BC5" w14:paraId="210D7919" w14:textId="77777777" w:rsidTr="00C83D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087744AD" w14:textId="77777777" w:rsidR="000E59DF" w:rsidRPr="00DE2BC5" w:rsidRDefault="000E59DF" w:rsidP="000E59DF">
            <w:pPr>
              <w:jc w:val="center"/>
              <w:rPr>
                <w:rFonts w:ascii="Georgia" w:hAnsi="Georgia"/>
              </w:rPr>
            </w:pPr>
            <w:r w:rsidRPr="00DE2BC5">
              <w:rPr>
                <w:rFonts w:ascii="Georgia" w:hAnsi="Georgia"/>
              </w:rPr>
              <w:t>Fondas</w:t>
            </w:r>
          </w:p>
        </w:tc>
        <w:tc>
          <w:tcPr>
            <w:tcW w:w="1402" w:type="pct"/>
          </w:tcPr>
          <w:p w14:paraId="62924928" w14:textId="77777777" w:rsidR="000E59DF" w:rsidRPr="00DE2BC5" w:rsidRDefault="000E59DF" w:rsidP="000E59DF">
            <w:pPr>
              <w:jc w:val="center"/>
              <w:cnfStyle w:val="100000000000" w:firstRow="1" w:lastRow="0" w:firstColumn="0" w:lastColumn="0" w:oddVBand="0" w:evenVBand="0" w:oddHBand="0" w:evenHBand="0" w:firstRowFirstColumn="0" w:firstRowLastColumn="0" w:lastRowFirstColumn="0" w:lastRowLastColumn="0"/>
              <w:rPr>
                <w:rFonts w:ascii="Georgia" w:hAnsi="Georgia"/>
              </w:rPr>
            </w:pPr>
            <w:r w:rsidRPr="00DE2BC5">
              <w:rPr>
                <w:rFonts w:ascii="Georgia" w:hAnsi="Georgia"/>
              </w:rPr>
              <w:t xml:space="preserve">mln. </w:t>
            </w:r>
            <w:r w:rsidRPr="00DE2BC5">
              <w:rPr>
                <w:rFonts w:ascii="Georgia" w:hAnsi="Georgia"/>
                <w:sz w:val="20"/>
              </w:rPr>
              <w:t>eurų</w:t>
            </w:r>
          </w:p>
        </w:tc>
      </w:tr>
      <w:tr w:rsidR="000E59DF" w:rsidRPr="00DE2BC5" w14:paraId="19FB317B" w14:textId="77777777" w:rsidTr="00C83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1CEB6756" w14:textId="77777777" w:rsidR="000E59DF" w:rsidRPr="00DE2BC5" w:rsidRDefault="000E59DF" w:rsidP="00C83DB2">
            <w:pPr>
              <w:rPr>
                <w:rFonts w:ascii="Georgia" w:hAnsi="Georgia"/>
              </w:rPr>
            </w:pPr>
            <w:r w:rsidRPr="00DE2BC5">
              <w:rPr>
                <w:rFonts w:ascii="Georgia" w:hAnsi="Georgia"/>
              </w:rPr>
              <w:t>Galutinius naudos gavėjus pasiekusios lėšos (įskaitant ir subsidi</w:t>
            </w:r>
            <w:r w:rsidR="00C83DB2">
              <w:rPr>
                <w:rFonts w:ascii="Georgia" w:hAnsi="Georgia"/>
              </w:rPr>
              <w:t>jų</w:t>
            </w:r>
            <w:r w:rsidRPr="00DE2BC5">
              <w:rPr>
                <w:rFonts w:ascii="Georgia" w:hAnsi="Georgia"/>
              </w:rPr>
              <w:t xml:space="preserve"> priemonę)</w:t>
            </w:r>
          </w:p>
        </w:tc>
        <w:tc>
          <w:tcPr>
            <w:tcW w:w="1402" w:type="pct"/>
          </w:tcPr>
          <w:p w14:paraId="0DE80B03" w14:textId="77777777" w:rsidR="000E59DF" w:rsidRPr="00DE2BC5" w:rsidRDefault="000E59DF" w:rsidP="000E59DF">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DE2BC5">
              <w:rPr>
                <w:rFonts w:ascii="Georgia" w:hAnsi="Georgia"/>
              </w:rPr>
              <w:t>671,5</w:t>
            </w:r>
          </w:p>
        </w:tc>
      </w:tr>
      <w:tr w:rsidR="000E59DF" w:rsidRPr="00DE2BC5" w14:paraId="5C570FAC" w14:textId="77777777" w:rsidTr="00C83DB2">
        <w:tc>
          <w:tcPr>
            <w:cnfStyle w:val="001000000000" w:firstRow="0" w:lastRow="0" w:firstColumn="1" w:lastColumn="0" w:oddVBand="0" w:evenVBand="0" w:oddHBand="0" w:evenHBand="0" w:firstRowFirstColumn="0" w:firstRowLastColumn="0" w:lastRowFirstColumn="0" w:lastRowLastColumn="0"/>
            <w:tcW w:w="3598" w:type="pct"/>
          </w:tcPr>
          <w:p w14:paraId="54A608C9" w14:textId="77777777" w:rsidR="000E59DF" w:rsidRPr="00DE2BC5" w:rsidRDefault="000E59DF" w:rsidP="000E59DF">
            <w:pPr>
              <w:rPr>
                <w:rFonts w:ascii="Georgia" w:hAnsi="Georgia"/>
              </w:rPr>
            </w:pPr>
            <w:r w:rsidRPr="00DE2BC5">
              <w:rPr>
                <w:rFonts w:ascii="Georgia" w:hAnsi="Georgia"/>
              </w:rPr>
              <w:t>Pritrauktos investuotojų lėšos</w:t>
            </w:r>
          </w:p>
        </w:tc>
        <w:tc>
          <w:tcPr>
            <w:tcW w:w="1402" w:type="pct"/>
          </w:tcPr>
          <w:p w14:paraId="00ABDD57" w14:textId="77777777" w:rsidR="000E59DF" w:rsidRPr="00DE2BC5" w:rsidRDefault="000E59DF" w:rsidP="000E59DF">
            <w:pPr>
              <w:jc w:val="center"/>
              <w:cnfStyle w:val="000000000000" w:firstRow="0" w:lastRow="0" w:firstColumn="0" w:lastColumn="0" w:oddVBand="0" w:evenVBand="0" w:oddHBand="0" w:evenHBand="0" w:firstRowFirstColumn="0" w:firstRowLastColumn="0" w:lastRowFirstColumn="0" w:lastRowLastColumn="0"/>
              <w:rPr>
                <w:rFonts w:ascii="Georgia" w:hAnsi="Georgia"/>
              </w:rPr>
            </w:pPr>
            <w:r w:rsidRPr="00DE2BC5">
              <w:rPr>
                <w:rFonts w:ascii="Georgia" w:hAnsi="Georgia"/>
              </w:rPr>
              <w:t>420,5</w:t>
            </w:r>
          </w:p>
        </w:tc>
      </w:tr>
      <w:tr w:rsidR="000E59DF" w:rsidRPr="00DE2BC5" w14:paraId="47CFA82D" w14:textId="77777777" w:rsidTr="00C83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130114C0" w14:textId="77777777" w:rsidR="000E59DF" w:rsidRPr="00DE2BC5" w:rsidRDefault="000E59DF" w:rsidP="000E59DF">
            <w:pPr>
              <w:rPr>
                <w:rFonts w:ascii="Georgia" w:hAnsi="Georgia"/>
              </w:rPr>
            </w:pPr>
            <w:r w:rsidRPr="00DE2BC5">
              <w:rPr>
                <w:rFonts w:ascii="Georgia" w:hAnsi="Georgia"/>
              </w:rPr>
              <w:t>Renovuotų pastatų skaičius</w:t>
            </w:r>
          </w:p>
        </w:tc>
        <w:tc>
          <w:tcPr>
            <w:tcW w:w="1402" w:type="pct"/>
          </w:tcPr>
          <w:p w14:paraId="2B85D1D5" w14:textId="77777777" w:rsidR="000E59DF" w:rsidRPr="00DE2BC5" w:rsidRDefault="000E59DF" w:rsidP="000E59DF">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DE2BC5">
              <w:rPr>
                <w:rFonts w:ascii="Georgia" w:hAnsi="Georgia"/>
              </w:rPr>
              <w:t>3610</w:t>
            </w:r>
          </w:p>
        </w:tc>
      </w:tr>
    </w:tbl>
    <w:p w14:paraId="0473B159" w14:textId="77777777" w:rsidR="000E59DF" w:rsidRPr="00E44C84" w:rsidRDefault="000E59DF" w:rsidP="000E59DF">
      <w:pPr>
        <w:rPr>
          <w:rFonts w:ascii="Georgia" w:hAnsi="Georgia"/>
          <w:lang w:val="lt-LT"/>
        </w:rPr>
      </w:pPr>
    </w:p>
    <w:p w14:paraId="6567657E" w14:textId="77777777" w:rsidR="00280058" w:rsidRPr="00DF3A8E" w:rsidRDefault="00280058" w:rsidP="00280058">
      <w:pPr>
        <w:rPr>
          <w:rFonts w:ascii="Georgia" w:hAnsi="Georgia"/>
          <w:lang w:val="lt-LT"/>
        </w:rPr>
      </w:pPr>
    </w:p>
    <w:p w14:paraId="4AAD7B86" w14:textId="77777777" w:rsidR="00280058" w:rsidRPr="00DF3A8E" w:rsidRDefault="00280058" w:rsidP="00280058">
      <w:pPr>
        <w:rPr>
          <w:rFonts w:ascii="Georgia" w:hAnsi="Georgia"/>
          <w:u w:val="single"/>
          <w:lang w:val="lt-LT"/>
        </w:rPr>
      </w:pPr>
      <w:r w:rsidRPr="00DF3A8E">
        <w:rPr>
          <w:rFonts w:ascii="Georgia" w:hAnsi="Georgia"/>
          <w:u w:val="single"/>
          <w:lang w:val="lt-LT"/>
        </w:rPr>
        <w:br w:type="page"/>
      </w:r>
    </w:p>
    <w:p w14:paraId="7C689AF8" w14:textId="77777777" w:rsidR="00280058" w:rsidRPr="00BE7647" w:rsidRDefault="002C12CB" w:rsidP="00C03122">
      <w:pPr>
        <w:pStyle w:val="Antrat2"/>
        <w:numPr>
          <w:ilvl w:val="3"/>
          <w:numId w:val="2"/>
        </w:numPr>
        <w:rPr>
          <w:lang w:val="lt-LT"/>
        </w:rPr>
      </w:pPr>
      <w:bookmarkStart w:id="171" w:name="_Toc399924054"/>
      <w:bookmarkStart w:id="172" w:name="_Toc402352628"/>
      <w:bookmarkStart w:id="173" w:name="_Toc417378390"/>
      <w:r>
        <w:rPr>
          <w:lang w:val="lt-LT"/>
        </w:rPr>
        <w:lastRenderedPageBreak/>
        <w:t>S</w:t>
      </w:r>
      <w:r w:rsidRPr="00BE7647">
        <w:rPr>
          <w:lang w:val="lt-LT"/>
        </w:rPr>
        <w:t>avivaldybių viešieji pastatai</w:t>
      </w:r>
      <w:bookmarkEnd w:id="171"/>
      <w:bookmarkEnd w:id="172"/>
      <w:bookmarkEnd w:id="173"/>
    </w:p>
    <w:p w14:paraId="540E0D62" w14:textId="77777777" w:rsidR="00280058" w:rsidRDefault="00280058" w:rsidP="00280058">
      <w:pPr>
        <w:jc w:val="both"/>
        <w:rPr>
          <w:rFonts w:ascii="Georgia" w:hAnsi="Georgia"/>
          <w:sz w:val="20"/>
          <w:szCs w:val="20"/>
          <w:lang w:val="lt-LT"/>
        </w:rPr>
      </w:pPr>
    </w:p>
    <w:p w14:paraId="3A245B05" w14:textId="77777777" w:rsidR="006E5A9C" w:rsidRDefault="00E960B7" w:rsidP="001A1E3E">
      <w:pPr>
        <w:jc w:val="both"/>
        <w:rPr>
          <w:rFonts w:ascii="Georgia" w:hAnsi="Georgia"/>
          <w:sz w:val="20"/>
          <w:szCs w:val="20"/>
          <w:lang w:val="lt-LT"/>
        </w:rPr>
      </w:pPr>
      <w:r>
        <w:rPr>
          <w:rFonts w:ascii="Georgia" w:hAnsi="Georgia"/>
          <w:sz w:val="20"/>
          <w:szCs w:val="20"/>
          <w:lang w:val="lt-LT"/>
        </w:rPr>
        <w:t>Skirtingai ne</w:t>
      </w:r>
      <w:r w:rsidR="000F30CF">
        <w:rPr>
          <w:rFonts w:ascii="Georgia" w:hAnsi="Georgia"/>
          <w:sz w:val="20"/>
          <w:szCs w:val="20"/>
          <w:lang w:val="lt-LT"/>
        </w:rPr>
        <w:t>i</w:t>
      </w:r>
      <w:r>
        <w:rPr>
          <w:rFonts w:ascii="Georgia" w:hAnsi="Georgia"/>
          <w:sz w:val="20"/>
          <w:szCs w:val="20"/>
          <w:lang w:val="lt-LT"/>
        </w:rPr>
        <w:t xml:space="preserve"> centrinės valdžios pastatų savininkų skolinimasis, savivaldybių skolinimasis nėra</w:t>
      </w:r>
      <w:r w:rsidR="001A1E3E" w:rsidRPr="00BC2CB8">
        <w:rPr>
          <w:rFonts w:ascii="Georgia" w:hAnsi="Georgia"/>
          <w:sz w:val="20"/>
          <w:szCs w:val="20"/>
          <w:lang w:val="lt-LT"/>
        </w:rPr>
        <w:t xml:space="preserve"> apribotas teisinių aplinkybių, </w:t>
      </w:r>
      <w:r>
        <w:rPr>
          <w:rFonts w:ascii="Georgia" w:hAnsi="Georgia"/>
          <w:sz w:val="20"/>
          <w:szCs w:val="20"/>
          <w:lang w:val="lt-LT"/>
        </w:rPr>
        <w:t>tačiau savivaldybių</w:t>
      </w:r>
      <w:r w:rsidR="000F30CF">
        <w:rPr>
          <w:rFonts w:ascii="Georgia" w:hAnsi="Georgia"/>
          <w:sz w:val="20"/>
          <w:szCs w:val="20"/>
          <w:lang w:val="lt-LT"/>
        </w:rPr>
        <w:t xml:space="preserve"> skola yra kontroliuojama, todėl per didelis</w:t>
      </w:r>
      <w:r>
        <w:rPr>
          <w:rFonts w:ascii="Georgia" w:hAnsi="Georgia"/>
          <w:sz w:val="20"/>
          <w:szCs w:val="20"/>
          <w:lang w:val="lt-LT"/>
        </w:rPr>
        <w:t xml:space="preserve"> įsiskolinimas dažnu atveju gali trukdyti skolintis </w:t>
      </w:r>
      <w:r w:rsidR="000F30CF">
        <w:rPr>
          <w:rFonts w:ascii="Georgia" w:hAnsi="Georgia"/>
          <w:sz w:val="20"/>
          <w:szCs w:val="20"/>
          <w:lang w:val="lt-LT"/>
        </w:rPr>
        <w:t>tam tikrų projektų įgyvendinimui</w:t>
      </w:r>
      <w:r w:rsidR="001A1E3E" w:rsidRPr="00BC2CB8">
        <w:rPr>
          <w:rFonts w:ascii="Georgia" w:hAnsi="Georgia"/>
          <w:sz w:val="20"/>
          <w:szCs w:val="20"/>
          <w:lang w:val="lt-LT"/>
        </w:rPr>
        <w:t>.</w:t>
      </w:r>
      <w:r>
        <w:rPr>
          <w:rFonts w:ascii="Georgia" w:hAnsi="Georgia"/>
          <w:sz w:val="20"/>
          <w:szCs w:val="20"/>
          <w:lang w:val="lt-LT"/>
        </w:rPr>
        <w:t xml:space="preserve"> </w:t>
      </w:r>
      <w:r w:rsidR="002D7ED0">
        <w:rPr>
          <w:rFonts w:ascii="Georgia" w:hAnsi="Georgia"/>
          <w:sz w:val="20"/>
          <w:szCs w:val="20"/>
          <w:lang w:val="lt-LT"/>
        </w:rPr>
        <w:t>Atsižvelgiant į tai, kad savivaldybių skolinimasis gali tapti kliūtimi projektų įgyvendinimui, siūlomi</w:t>
      </w:r>
      <w:r w:rsidR="001A1E3E" w:rsidRPr="00BC2CB8">
        <w:rPr>
          <w:rFonts w:ascii="Georgia" w:hAnsi="Georgia"/>
          <w:sz w:val="20"/>
          <w:szCs w:val="20"/>
          <w:lang w:val="lt-LT"/>
        </w:rPr>
        <w:t xml:space="preserve"> </w:t>
      </w:r>
      <w:r w:rsidR="002D7ED0">
        <w:rPr>
          <w:rFonts w:ascii="Georgia" w:hAnsi="Georgia"/>
          <w:sz w:val="20"/>
          <w:szCs w:val="20"/>
          <w:lang w:val="lt-LT"/>
        </w:rPr>
        <w:t xml:space="preserve">keli </w:t>
      </w:r>
      <w:r w:rsidR="001A1E3E" w:rsidRPr="00BC2CB8">
        <w:rPr>
          <w:rFonts w:ascii="Georgia" w:hAnsi="Georgia"/>
          <w:sz w:val="20"/>
          <w:szCs w:val="20"/>
          <w:lang w:val="lt-LT"/>
        </w:rPr>
        <w:t>scenarijai</w:t>
      </w:r>
      <w:r w:rsidR="006E5A9C">
        <w:rPr>
          <w:rFonts w:ascii="Georgia" w:hAnsi="Georgia"/>
          <w:sz w:val="20"/>
          <w:szCs w:val="20"/>
          <w:lang w:val="lt-LT"/>
        </w:rPr>
        <w:t>:</w:t>
      </w:r>
    </w:p>
    <w:p w14:paraId="1FC4904E" w14:textId="77777777" w:rsidR="006E5A9C" w:rsidRDefault="006E5A9C" w:rsidP="002A576D">
      <w:pPr>
        <w:pStyle w:val="Sraopastraipa"/>
        <w:numPr>
          <w:ilvl w:val="0"/>
          <w:numId w:val="111"/>
        </w:numPr>
        <w:jc w:val="both"/>
        <w:rPr>
          <w:rFonts w:ascii="Georgia" w:hAnsi="Georgia"/>
          <w:sz w:val="20"/>
          <w:szCs w:val="20"/>
          <w:lang w:val="lt-LT"/>
        </w:rPr>
      </w:pPr>
      <w:r>
        <w:rPr>
          <w:rFonts w:ascii="Georgia" w:hAnsi="Georgia"/>
          <w:sz w:val="20"/>
          <w:szCs w:val="20"/>
          <w:lang w:val="lt-LT"/>
        </w:rPr>
        <w:t>projektą įgyvendina ir paskolą ima ESCO įmonė</w:t>
      </w:r>
      <w:r w:rsidR="002D7ED0">
        <w:rPr>
          <w:rFonts w:ascii="Georgia" w:hAnsi="Georgia"/>
          <w:sz w:val="20"/>
          <w:szCs w:val="20"/>
          <w:lang w:val="lt-LT"/>
        </w:rPr>
        <w:t>;</w:t>
      </w:r>
      <w:r w:rsidR="00E960B7" w:rsidRPr="0062724A">
        <w:rPr>
          <w:rFonts w:ascii="Georgia" w:hAnsi="Georgia"/>
          <w:sz w:val="20"/>
          <w:szCs w:val="20"/>
          <w:lang w:val="lt-LT"/>
        </w:rPr>
        <w:t xml:space="preserve"> </w:t>
      </w:r>
    </w:p>
    <w:p w14:paraId="52E0D0BC" w14:textId="77777777" w:rsidR="006E5A9C" w:rsidRDefault="006E5A9C" w:rsidP="002A576D">
      <w:pPr>
        <w:pStyle w:val="Sraopastraipa"/>
        <w:numPr>
          <w:ilvl w:val="0"/>
          <w:numId w:val="111"/>
        </w:numPr>
        <w:jc w:val="both"/>
        <w:rPr>
          <w:rFonts w:ascii="Georgia" w:hAnsi="Georgia"/>
          <w:sz w:val="20"/>
          <w:szCs w:val="20"/>
          <w:lang w:val="lt-LT"/>
        </w:rPr>
      </w:pPr>
      <w:r>
        <w:rPr>
          <w:rFonts w:ascii="Georgia" w:hAnsi="Georgia"/>
          <w:sz w:val="20"/>
          <w:szCs w:val="20"/>
          <w:lang w:val="lt-LT"/>
        </w:rPr>
        <w:t>savivaldybės skolinasi pačios</w:t>
      </w:r>
      <w:r w:rsidR="002D7ED0">
        <w:rPr>
          <w:rFonts w:ascii="Georgia" w:hAnsi="Georgia"/>
          <w:sz w:val="20"/>
          <w:szCs w:val="20"/>
          <w:lang w:val="lt-LT"/>
        </w:rPr>
        <w:t xml:space="preserve"> (esant galimybėms);</w:t>
      </w:r>
      <w:r w:rsidR="00231758" w:rsidRPr="0062724A">
        <w:rPr>
          <w:rFonts w:ascii="Georgia" w:hAnsi="Georgia"/>
          <w:sz w:val="20"/>
          <w:szCs w:val="20"/>
          <w:lang w:val="lt-LT"/>
        </w:rPr>
        <w:t xml:space="preserve"> </w:t>
      </w:r>
    </w:p>
    <w:p w14:paraId="15B49251" w14:textId="77777777" w:rsidR="006E5A9C" w:rsidRDefault="00231758" w:rsidP="002A576D">
      <w:pPr>
        <w:pStyle w:val="Sraopastraipa"/>
        <w:numPr>
          <w:ilvl w:val="0"/>
          <w:numId w:val="111"/>
        </w:numPr>
        <w:jc w:val="both"/>
        <w:rPr>
          <w:rFonts w:ascii="Georgia" w:hAnsi="Georgia"/>
          <w:sz w:val="20"/>
          <w:szCs w:val="20"/>
          <w:lang w:val="lt-LT"/>
        </w:rPr>
      </w:pPr>
      <w:r w:rsidRPr="0062724A">
        <w:rPr>
          <w:rFonts w:ascii="Georgia" w:hAnsi="Georgia"/>
          <w:sz w:val="20"/>
          <w:szCs w:val="20"/>
          <w:lang w:val="lt-LT"/>
        </w:rPr>
        <w:t>paskolos teikiamos</w:t>
      </w:r>
      <w:r w:rsidR="006E5A9C">
        <w:rPr>
          <w:rFonts w:ascii="Georgia" w:hAnsi="Georgia"/>
          <w:sz w:val="20"/>
          <w:szCs w:val="20"/>
          <w:lang w:val="lt-LT"/>
        </w:rPr>
        <w:t xml:space="preserve"> savivaldybių paskirtiesiems subjektams</w:t>
      </w:r>
      <w:r w:rsidRPr="0062724A">
        <w:rPr>
          <w:rFonts w:ascii="Georgia" w:hAnsi="Georgia"/>
          <w:sz w:val="20"/>
          <w:szCs w:val="20"/>
          <w:lang w:val="lt-LT"/>
        </w:rPr>
        <w:t xml:space="preserve"> savivaldybių naudai</w:t>
      </w:r>
      <w:r w:rsidR="006E5A9C">
        <w:rPr>
          <w:rFonts w:ascii="Georgia" w:hAnsi="Georgia"/>
          <w:sz w:val="20"/>
          <w:szCs w:val="20"/>
          <w:lang w:val="lt-LT"/>
        </w:rPr>
        <w:t>.</w:t>
      </w:r>
      <w:r w:rsidRPr="0062724A">
        <w:rPr>
          <w:rFonts w:ascii="Georgia" w:hAnsi="Georgia"/>
          <w:sz w:val="20"/>
          <w:szCs w:val="20"/>
          <w:lang w:val="lt-LT"/>
        </w:rPr>
        <w:t xml:space="preserve"> </w:t>
      </w:r>
    </w:p>
    <w:p w14:paraId="4B5DF4FB" w14:textId="77777777" w:rsidR="001A1E3E" w:rsidRPr="0062724A" w:rsidRDefault="006E5A9C" w:rsidP="00B12DCD">
      <w:pPr>
        <w:jc w:val="both"/>
        <w:rPr>
          <w:rFonts w:ascii="Georgia" w:hAnsi="Georgia"/>
          <w:sz w:val="20"/>
          <w:szCs w:val="20"/>
          <w:lang w:val="lt-LT"/>
        </w:rPr>
      </w:pPr>
      <w:r>
        <w:rPr>
          <w:rFonts w:ascii="Georgia" w:hAnsi="Georgia"/>
          <w:sz w:val="20"/>
          <w:szCs w:val="20"/>
          <w:lang w:val="lt-LT"/>
        </w:rPr>
        <w:t>Pažymėtina, kad kiekviena savivaldybė yra atsakinga už tinkamiausio skolinimosi būdo pasirinkimą.</w:t>
      </w:r>
    </w:p>
    <w:p w14:paraId="6E8C2CEE" w14:textId="77777777" w:rsidR="001A1E3E" w:rsidRPr="00BC2CB8" w:rsidRDefault="001A1E3E" w:rsidP="001A1E3E">
      <w:pPr>
        <w:jc w:val="both"/>
        <w:rPr>
          <w:rFonts w:ascii="Georgia" w:hAnsi="Georgia"/>
          <w:sz w:val="20"/>
          <w:szCs w:val="20"/>
          <w:lang w:val="lt-LT"/>
        </w:rPr>
      </w:pPr>
      <w:r w:rsidRPr="00BC2CB8">
        <w:rPr>
          <w:rFonts w:ascii="Georgia" w:hAnsi="Georgia"/>
          <w:sz w:val="20"/>
          <w:szCs w:val="20"/>
          <w:lang w:val="lt-LT"/>
        </w:rPr>
        <w:t xml:space="preserve">Kaip jau buvo aptarta 2.2.2 skyriuje, </w:t>
      </w:r>
      <w:r>
        <w:rPr>
          <w:rFonts w:ascii="Georgia" w:hAnsi="Georgia"/>
          <w:sz w:val="20"/>
          <w:szCs w:val="20"/>
          <w:lang w:val="lt-LT"/>
        </w:rPr>
        <w:t>Aplinkos</w:t>
      </w:r>
      <w:r w:rsidRPr="00BC2CB8">
        <w:rPr>
          <w:rFonts w:ascii="Georgia" w:hAnsi="Georgia"/>
          <w:sz w:val="20"/>
          <w:szCs w:val="20"/>
          <w:lang w:val="lt-LT"/>
        </w:rPr>
        <w:t xml:space="preserve"> ministerijos asignavimai, numatyti </w:t>
      </w:r>
      <w:r>
        <w:rPr>
          <w:rFonts w:ascii="Georgia" w:hAnsi="Georgia"/>
          <w:sz w:val="20"/>
          <w:szCs w:val="20"/>
          <w:lang w:val="lt-LT"/>
        </w:rPr>
        <w:t xml:space="preserve">savivaldybių </w:t>
      </w:r>
      <w:r w:rsidRPr="00BC2CB8">
        <w:rPr>
          <w:rFonts w:ascii="Georgia" w:hAnsi="Georgia"/>
          <w:sz w:val="20"/>
          <w:szCs w:val="20"/>
          <w:lang w:val="lt-LT"/>
        </w:rPr>
        <w:t xml:space="preserve">viešųjų pastatų modernizavimui 2014-2020 m. periodu, siekia </w:t>
      </w:r>
      <w:r>
        <w:rPr>
          <w:rFonts w:ascii="Georgia" w:hAnsi="Georgia"/>
          <w:sz w:val="20"/>
          <w:szCs w:val="20"/>
          <w:lang w:val="lt-LT"/>
        </w:rPr>
        <w:t>50,7</w:t>
      </w:r>
      <w:r w:rsidRPr="00BC2CB8">
        <w:rPr>
          <w:rFonts w:ascii="Georgia" w:hAnsi="Georgia"/>
          <w:sz w:val="20"/>
          <w:szCs w:val="20"/>
          <w:lang w:val="lt-LT"/>
        </w:rPr>
        <w:t xml:space="preserve"> mln. </w:t>
      </w:r>
      <w:r>
        <w:rPr>
          <w:rFonts w:ascii="Georgia" w:hAnsi="Georgia"/>
          <w:sz w:val="20"/>
          <w:szCs w:val="20"/>
          <w:lang w:val="lt-LT"/>
        </w:rPr>
        <w:t>eurų</w:t>
      </w:r>
      <w:r w:rsidRPr="00BC2CB8">
        <w:rPr>
          <w:rFonts w:ascii="Georgia" w:hAnsi="Georgia"/>
          <w:sz w:val="20"/>
          <w:szCs w:val="20"/>
          <w:lang w:val="lt-LT"/>
        </w:rPr>
        <w:t xml:space="preserve">. Daroma prielaida, jog </w:t>
      </w:r>
      <w:r>
        <w:rPr>
          <w:rFonts w:ascii="Georgia" w:hAnsi="Georgia"/>
          <w:sz w:val="20"/>
          <w:szCs w:val="20"/>
          <w:lang w:val="lt-LT"/>
        </w:rPr>
        <w:t>visi 50,7 mln. eurų</w:t>
      </w:r>
      <w:r w:rsidR="00144171">
        <w:rPr>
          <w:rFonts w:ascii="Georgia" w:hAnsi="Georgia"/>
          <w:sz w:val="20"/>
          <w:szCs w:val="20"/>
          <w:lang w:val="lt-LT"/>
        </w:rPr>
        <w:t xml:space="preserve"> (175 mln. litų)</w:t>
      </w:r>
      <w:r>
        <w:rPr>
          <w:rFonts w:ascii="Georgia" w:hAnsi="Georgia"/>
          <w:sz w:val="20"/>
          <w:szCs w:val="20"/>
          <w:lang w:val="lt-LT"/>
        </w:rPr>
        <w:t xml:space="preserve"> bus skirti projektams įgyvendinti naudojantis finansinių priemonių pagalba</w:t>
      </w:r>
      <w:r w:rsidRPr="00BC2CB8">
        <w:rPr>
          <w:rFonts w:ascii="Georgia" w:hAnsi="Georgia"/>
          <w:sz w:val="20"/>
          <w:szCs w:val="20"/>
          <w:lang w:val="lt-LT"/>
        </w:rPr>
        <w:t xml:space="preserve">. </w:t>
      </w:r>
    </w:p>
    <w:p w14:paraId="12A487F2" w14:textId="77777777" w:rsidR="001A1E3E" w:rsidRPr="00BC2CB8" w:rsidRDefault="001A1E3E" w:rsidP="001A1E3E">
      <w:pPr>
        <w:jc w:val="both"/>
        <w:rPr>
          <w:rFonts w:ascii="Georgia" w:hAnsi="Georgia"/>
          <w:sz w:val="20"/>
          <w:lang w:val="lt-LT"/>
        </w:rPr>
      </w:pPr>
      <w:r w:rsidRPr="00BC2CB8">
        <w:rPr>
          <w:rFonts w:ascii="Georgia" w:hAnsi="Georgia"/>
          <w:sz w:val="20"/>
          <w:lang w:val="lt-LT"/>
        </w:rPr>
        <w:t xml:space="preserve">Šiame ex ante vertinime bus nagrinėjami šie </w:t>
      </w:r>
      <w:r>
        <w:rPr>
          <w:rFonts w:ascii="Georgia" w:hAnsi="Georgia"/>
          <w:sz w:val="20"/>
          <w:lang w:val="lt-LT"/>
        </w:rPr>
        <w:t xml:space="preserve">savivaldybių </w:t>
      </w:r>
      <w:r w:rsidRPr="00BC2CB8">
        <w:rPr>
          <w:rFonts w:ascii="Georgia" w:hAnsi="Georgia"/>
          <w:sz w:val="20"/>
          <w:lang w:val="lt-LT"/>
        </w:rPr>
        <w:t>viešųjų pastatų modernizavimo finansinės priemonės įgyvendinimo scenarijai:</w:t>
      </w:r>
    </w:p>
    <w:p w14:paraId="4D000E87" w14:textId="77777777" w:rsidR="001A1E3E" w:rsidRPr="00BC2CB8" w:rsidRDefault="001A1E3E" w:rsidP="001A1E3E">
      <w:pPr>
        <w:pStyle w:val="Sraopastraipa"/>
        <w:numPr>
          <w:ilvl w:val="0"/>
          <w:numId w:val="34"/>
        </w:numPr>
        <w:jc w:val="both"/>
        <w:rPr>
          <w:rFonts w:ascii="Georgia" w:hAnsi="Georgia"/>
          <w:i/>
          <w:sz w:val="20"/>
          <w:szCs w:val="20"/>
          <w:lang w:val="lt-LT"/>
        </w:rPr>
      </w:pPr>
      <w:r w:rsidRPr="00BC2CB8">
        <w:rPr>
          <w:rFonts w:ascii="Georgia" w:hAnsi="Georgia"/>
          <w:i/>
          <w:sz w:val="20"/>
          <w:szCs w:val="20"/>
          <w:lang w:val="lt-LT"/>
        </w:rPr>
        <w:t xml:space="preserve">Scenarijus Nr. 1: Lengvatinių paskolų teikimas </w:t>
      </w:r>
    </w:p>
    <w:p w14:paraId="163A330D" w14:textId="77777777" w:rsidR="001A1E3E" w:rsidRPr="00BC2CB8" w:rsidRDefault="001A1E3E" w:rsidP="001A1E3E">
      <w:pPr>
        <w:pStyle w:val="Sraopastraipa"/>
        <w:numPr>
          <w:ilvl w:val="0"/>
          <w:numId w:val="34"/>
        </w:numPr>
        <w:jc w:val="both"/>
        <w:rPr>
          <w:rFonts w:ascii="Georgia" w:hAnsi="Georgia"/>
          <w:i/>
          <w:sz w:val="20"/>
          <w:szCs w:val="20"/>
          <w:lang w:val="lt-LT"/>
        </w:rPr>
      </w:pPr>
      <w:r w:rsidRPr="00BC2CB8">
        <w:rPr>
          <w:rFonts w:ascii="Georgia" w:hAnsi="Georgia"/>
          <w:i/>
          <w:sz w:val="20"/>
          <w:szCs w:val="20"/>
          <w:lang w:val="lt-LT"/>
        </w:rPr>
        <w:t>Scenarijus Nr. 2: Lengvatinių paskolų teikimas su galimybe išpirkti ateities finansinius srautus</w:t>
      </w:r>
    </w:p>
    <w:p w14:paraId="51C543AD" w14:textId="77777777" w:rsidR="001A1E3E" w:rsidRPr="00BC2CB8" w:rsidRDefault="001A1E3E" w:rsidP="001A1E3E">
      <w:pPr>
        <w:pStyle w:val="Sraopastraipa"/>
        <w:numPr>
          <w:ilvl w:val="0"/>
          <w:numId w:val="34"/>
        </w:numPr>
        <w:jc w:val="both"/>
        <w:rPr>
          <w:rFonts w:ascii="Georgia" w:hAnsi="Georgia"/>
          <w:i/>
          <w:sz w:val="20"/>
          <w:szCs w:val="20"/>
          <w:lang w:val="lt-LT"/>
        </w:rPr>
      </w:pPr>
      <w:r w:rsidRPr="00BC2CB8">
        <w:rPr>
          <w:rFonts w:ascii="Georgia" w:hAnsi="Georgia"/>
          <w:i/>
          <w:sz w:val="20"/>
          <w:szCs w:val="20"/>
          <w:lang w:val="lt-LT"/>
        </w:rPr>
        <w:t>Scenarijus Nr. 3: Dalis finansinės priemonės lėšų nukreipiama į paskolų priemonę ir dalis į garantijų priemonę</w:t>
      </w:r>
    </w:p>
    <w:p w14:paraId="17C22867" w14:textId="77777777" w:rsidR="00B12DCD" w:rsidRDefault="00D1469A" w:rsidP="001C13B5">
      <w:pPr>
        <w:pStyle w:val="Sraopastraipa"/>
        <w:numPr>
          <w:ilvl w:val="0"/>
          <w:numId w:val="34"/>
        </w:numPr>
        <w:jc w:val="both"/>
        <w:rPr>
          <w:rFonts w:ascii="Georgia" w:hAnsi="Georgia"/>
          <w:i/>
          <w:sz w:val="20"/>
          <w:szCs w:val="20"/>
          <w:lang w:val="lt-LT"/>
        </w:rPr>
      </w:pPr>
      <w:r w:rsidRPr="00BC2CB8">
        <w:rPr>
          <w:rFonts w:ascii="Georgia" w:hAnsi="Georgia"/>
          <w:i/>
          <w:sz w:val="20"/>
          <w:szCs w:val="20"/>
          <w:lang w:val="lt-LT"/>
        </w:rPr>
        <w:t xml:space="preserve">Scenarijus Nr. </w:t>
      </w:r>
      <w:r>
        <w:rPr>
          <w:rFonts w:ascii="Georgia" w:hAnsi="Georgia"/>
          <w:i/>
          <w:sz w:val="20"/>
          <w:szCs w:val="20"/>
          <w:lang w:val="lt-LT"/>
        </w:rPr>
        <w:t>4</w:t>
      </w:r>
      <w:r w:rsidRPr="00BC2CB8">
        <w:rPr>
          <w:rFonts w:ascii="Georgia" w:hAnsi="Georgia"/>
          <w:i/>
          <w:sz w:val="20"/>
          <w:szCs w:val="20"/>
          <w:lang w:val="lt-LT"/>
        </w:rPr>
        <w:t xml:space="preserve">: </w:t>
      </w:r>
      <w:r w:rsidR="001C13B5" w:rsidRPr="001C13B5">
        <w:rPr>
          <w:rFonts w:ascii="Georgia" w:hAnsi="Georgia"/>
          <w:i/>
          <w:sz w:val="20"/>
          <w:szCs w:val="20"/>
          <w:lang w:val="lt-LT"/>
        </w:rPr>
        <w:t xml:space="preserve">Lėšos nukreipiamos garantijų finansinei </w:t>
      </w:r>
      <w:r w:rsidR="003F3389">
        <w:rPr>
          <w:rFonts w:ascii="Georgia" w:hAnsi="Georgia"/>
          <w:i/>
          <w:sz w:val="20"/>
          <w:szCs w:val="20"/>
          <w:lang w:val="lt-LT"/>
        </w:rPr>
        <w:t>priemonei</w:t>
      </w:r>
      <w:r w:rsidR="001C13B5" w:rsidRPr="001C13B5">
        <w:rPr>
          <w:rFonts w:ascii="Georgia" w:hAnsi="Georgia"/>
          <w:i/>
          <w:sz w:val="20"/>
          <w:szCs w:val="20"/>
          <w:lang w:val="lt-LT"/>
        </w:rPr>
        <w:t xml:space="preserve"> įgyvendinti</w:t>
      </w:r>
    </w:p>
    <w:p w14:paraId="0E94C81E" w14:textId="77777777" w:rsidR="00B12DCD" w:rsidRDefault="00B12DCD" w:rsidP="001C13B5">
      <w:pPr>
        <w:pStyle w:val="Sraopastraipa"/>
        <w:numPr>
          <w:ilvl w:val="0"/>
          <w:numId w:val="34"/>
        </w:numPr>
        <w:jc w:val="both"/>
        <w:rPr>
          <w:rFonts w:ascii="Georgia" w:hAnsi="Georgia"/>
          <w:i/>
          <w:sz w:val="20"/>
          <w:szCs w:val="20"/>
          <w:lang w:val="lt-LT"/>
        </w:rPr>
      </w:pPr>
      <w:r>
        <w:rPr>
          <w:rFonts w:ascii="Georgia" w:hAnsi="Georgia"/>
          <w:i/>
          <w:sz w:val="20"/>
          <w:szCs w:val="20"/>
          <w:lang w:val="lt-LT"/>
        </w:rPr>
        <w:t>Scenarijus Nr. 5: ESI fondų lėšos nukreipiamos fondo pirmojo nuostolio padengimo kapitalui suformuoti</w:t>
      </w:r>
    </w:p>
    <w:p w14:paraId="7CCDF26C" w14:textId="4128CABA" w:rsidR="00C41D3C" w:rsidRDefault="002D4CDE" w:rsidP="001A1E3E">
      <w:pPr>
        <w:jc w:val="both"/>
        <w:rPr>
          <w:rFonts w:ascii="Georgia" w:hAnsi="Georgia"/>
          <w:sz w:val="20"/>
          <w:szCs w:val="20"/>
          <w:lang w:val="lt-LT"/>
        </w:rPr>
      </w:pPr>
      <w:r w:rsidRPr="00264781">
        <w:rPr>
          <w:rFonts w:ascii="Georgia" w:hAnsi="Georgia"/>
          <w:sz w:val="20"/>
          <w:szCs w:val="20"/>
          <w:lang w:val="lt-LT"/>
        </w:rPr>
        <w:t>Savivaldybių viešųjų pastatų modernizavimui nėra analizuojami</w:t>
      </w:r>
      <w:r w:rsidR="00C41D3C" w:rsidRPr="00264781">
        <w:rPr>
          <w:rFonts w:ascii="Georgia" w:hAnsi="Georgia"/>
          <w:sz w:val="20"/>
          <w:szCs w:val="20"/>
          <w:lang w:val="lt-LT"/>
        </w:rPr>
        <w:t xml:space="preserve"> </w:t>
      </w:r>
      <w:r w:rsidRPr="00264781">
        <w:rPr>
          <w:rFonts w:ascii="Georgia" w:hAnsi="Georgia"/>
          <w:sz w:val="20"/>
          <w:szCs w:val="20"/>
          <w:lang w:val="lt-LT"/>
        </w:rPr>
        <w:t>finansinių priemonių scenarijai, kai komerciniai bankai teikia paskolas, o ESI fondų lėšomis teikiamos garantijos šioms komercinių bankų paskoloms garantuoti</w:t>
      </w:r>
      <w:r w:rsidR="00AB4B8B">
        <w:rPr>
          <w:rFonts w:ascii="Georgia" w:hAnsi="Georgia"/>
          <w:sz w:val="20"/>
          <w:szCs w:val="20"/>
          <w:lang w:val="lt-LT"/>
        </w:rPr>
        <w:t>.</w:t>
      </w:r>
      <w:r w:rsidR="00C41D3C" w:rsidRPr="00C41D3C">
        <w:rPr>
          <w:rFonts w:ascii="Georgia" w:hAnsi="Georgia"/>
          <w:sz w:val="20"/>
          <w:szCs w:val="20"/>
          <w:lang w:val="lt-LT"/>
        </w:rPr>
        <w:t xml:space="preserve"> </w:t>
      </w:r>
    </w:p>
    <w:p w14:paraId="03DA1D0A" w14:textId="51A97741" w:rsidR="001A1E3E" w:rsidRDefault="001A1E3E" w:rsidP="001A1E3E">
      <w:pPr>
        <w:jc w:val="both"/>
        <w:rPr>
          <w:rFonts w:ascii="Georgia" w:hAnsi="Georgia"/>
          <w:sz w:val="20"/>
          <w:szCs w:val="20"/>
          <w:lang w:val="lt-LT"/>
        </w:rPr>
      </w:pPr>
      <w:r w:rsidRPr="00BC2CB8">
        <w:rPr>
          <w:rFonts w:ascii="Georgia" w:hAnsi="Georgia"/>
          <w:sz w:val="20"/>
          <w:szCs w:val="20"/>
          <w:lang w:val="lt-LT"/>
        </w:rPr>
        <w:t>Subsidijos poreikio analizėje (4.1.1.2 punkte) nustatyta, jog viešųjų pastatų modernizavimo projektams reikalinga 20 proc. subsidija</w:t>
      </w:r>
      <w:r w:rsidR="002D7ED0">
        <w:rPr>
          <w:rFonts w:ascii="Georgia" w:hAnsi="Georgia"/>
          <w:sz w:val="20"/>
          <w:szCs w:val="20"/>
          <w:lang w:val="lt-LT"/>
        </w:rPr>
        <w:t xml:space="preserve"> (siekiant, kad projektų atsiperkamumas būtų ne daugiau kaip 20 metų)</w:t>
      </w:r>
      <w:r w:rsidRPr="00BC2CB8">
        <w:rPr>
          <w:rFonts w:ascii="Georgia" w:hAnsi="Georgia"/>
          <w:sz w:val="20"/>
          <w:szCs w:val="20"/>
          <w:lang w:val="lt-LT"/>
        </w:rPr>
        <w:t>.</w:t>
      </w:r>
      <w:r w:rsidR="00713038">
        <w:rPr>
          <w:rFonts w:ascii="Georgia" w:hAnsi="Georgia"/>
          <w:sz w:val="20"/>
          <w:szCs w:val="20"/>
          <w:lang w:val="lt-LT"/>
        </w:rPr>
        <w:t xml:space="preserve"> </w:t>
      </w:r>
      <w:r w:rsidR="002D7ED0">
        <w:rPr>
          <w:rFonts w:ascii="Georgia" w:hAnsi="Georgia"/>
          <w:sz w:val="20"/>
          <w:szCs w:val="20"/>
          <w:lang w:val="lt-LT"/>
        </w:rPr>
        <w:t xml:space="preserve">Vadovaujantis </w:t>
      </w:r>
      <w:r w:rsidR="001B0FE9">
        <w:rPr>
          <w:rFonts w:ascii="Georgia" w:hAnsi="Georgia"/>
          <w:sz w:val="20"/>
          <w:szCs w:val="20"/>
          <w:lang w:val="lt-LT"/>
        </w:rPr>
        <w:t>Bendrųjų nuostatų reglamento</w:t>
      </w:r>
      <w:r w:rsidR="002D7ED0">
        <w:rPr>
          <w:rFonts w:ascii="Georgia" w:hAnsi="Georgia"/>
          <w:sz w:val="20"/>
          <w:szCs w:val="20"/>
          <w:lang w:val="lt-LT"/>
        </w:rPr>
        <w:t xml:space="preserve"> nuostatomis</w:t>
      </w:r>
      <w:r w:rsidR="001B0FE9">
        <w:rPr>
          <w:rFonts w:ascii="Georgia" w:hAnsi="Georgia"/>
          <w:sz w:val="20"/>
          <w:szCs w:val="20"/>
          <w:lang w:val="lt-LT"/>
        </w:rPr>
        <w:t xml:space="preserve">, subsidija projektui derinant su finansine priemone gali būti teikiama arba kaip subsidija projekto daliai, arba </w:t>
      </w:r>
      <w:r w:rsidR="00713038">
        <w:rPr>
          <w:rFonts w:ascii="Georgia" w:hAnsi="Georgia"/>
          <w:sz w:val="20"/>
          <w:szCs w:val="20"/>
          <w:lang w:val="lt-LT"/>
        </w:rPr>
        <w:t xml:space="preserve">teikiama finansinės priemonės apimtyje techninės pagalbos arba palūkanų </w:t>
      </w:r>
      <w:r w:rsidR="001B0FE9">
        <w:rPr>
          <w:rFonts w:ascii="Georgia" w:hAnsi="Georgia"/>
          <w:sz w:val="20"/>
          <w:szCs w:val="20"/>
          <w:lang w:val="lt-LT"/>
        </w:rPr>
        <w:t>kompensavimo</w:t>
      </w:r>
      <w:r w:rsidR="00713038">
        <w:rPr>
          <w:rFonts w:ascii="Georgia" w:hAnsi="Georgia"/>
          <w:sz w:val="20"/>
          <w:szCs w:val="20"/>
          <w:lang w:val="lt-LT"/>
        </w:rPr>
        <w:t xml:space="preserve"> </w:t>
      </w:r>
      <w:r w:rsidR="001B0FE9">
        <w:rPr>
          <w:rFonts w:ascii="Georgia" w:hAnsi="Georgia"/>
          <w:sz w:val="20"/>
          <w:szCs w:val="20"/>
          <w:lang w:val="lt-LT"/>
        </w:rPr>
        <w:t>forma</w:t>
      </w:r>
      <w:r w:rsidR="00713038">
        <w:rPr>
          <w:rFonts w:ascii="Georgia" w:hAnsi="Georgia"/>
          <w:sz w:val="20"/>
          <w:szCs w:val="20"/>
          <w:lang w:val="lt-LT"/>
        </w:rPr>
        <w:t>.</w:t>
      </w:r>
      <w:r w:rsidRPr="00BC2CB8">
        <w:rPr>
          <w:rFonts w:ascii="Georgia" w:hAnsi="Georgia"/>
          <w:sz w:val="20"/>
          <w:szCs w:val="20"/>
          <w:lang w:val="lt-LT"/>
        </w:rPr>
        <w:t xml:space="preserve"> </w:t>
      </w:r>
      <w:r w:rsidR="00102228">
        <w:rPr>
          <w:rFonts w:ascii="Georgia" w:hAnsi="Georgia"/>
          <w:sz w:val="20"/>
          <w:lang w:val="lt-LT"/>
        </w:rPr>
        <w:t>Tačiau remiantis EK gairėmis dėl finansinių priemonių įgyvendinimo, nėra galimybės galutinių naudos gavėj</w:t>
      </w:r>
      <w:r w:rsidR="00A734A4">
        <w:rPr>
          <w:rFonts w:ascii="Georgia" w:hAnsi="Georgia"/>
          <w:sz w:val="20"/>
          <w:lang w:val="lt-LT"/>
        </w:rPr>
        <w:t>ams</w:t>
      </w:r>
      <w:r w:rsidR="00102228">
        <w:rPr>
          <w:rFonts w:ascii="Georgia" w:hAnsi="Georgia"/>
          <w:sz w:val="20"/>
          <w:lang w:val="lt-LT"/>
        </w:rPr>
        <w:t xml:space="preserve"> lyg</w:t>
      </w:r>
      <w:r w:rsidR="00BF3E12">
        <w:rPr>
          <w:rFonts w:ascii="Georgia" w:hAnsi="Georgia"/>
          <w:sz w:val="20"/>
          <w:lang w:val="lt-LT"/>
        </w:rPr>
        <w:t>menyje</w:t>
      </w:r>
      <w:r w:rsidR="00102228">
        <w:rPr>
          <w:rFonts w:ascii="Georgia" w:hAnsi="Georgia"/>
          <w:sz w:val="20"/>
          <w:lang w:val="lt-LT"/>
        </w:rPr>
        <w:t xml:space="preserve"> teikti palūkanų kompensaciją arba kompensuoti techninės pagalbos išlaidas, todėl šiame išankstiniame vertinime subsidijos teikimo elementas nėra vertinamas. Ateityje atsiradus galimybei teikti subsidiją iš kitų šaltinių rekomenduojama teikti subsidiją iki 20 proc. Atsižvelgiant į daugiabučių namų modernizavimo programos patirtį, pirmajame etape, siekiant paskatinti projekto srauto susiformavimą rekomenduojama padidinti subsidijos dydį papildomai iki 10 proc.</w:t>
      </w:r>
    </w:p>
    <w:p w14:paraId="6198A93A" w14:textId="77777777" w:rsidR="001A1E3E" w:rsidRPr="00BC2CB8" w:rsidRDefault="001A1E3E" w:rsidP="001A1E3E">
      <w:pPr>
        <w:jc w:val="both"/>
        <w:rPr>
          <w:rFonts w:ascii="Georgia" w:hAnsi="Georgia"/>
          <w:sz w:val="20"/>
          <w:lang w:val="lt-LT"/>
        </w:rPr>
      </w:pPr>
      <w:r w:rsidRPr="00BC2CB8">
        <w:rPr>
          <w:rFonts w:ascii="Georgia" w:hAnsi="Georgia"/>
          <w:sz w:val="20"/>
          <w:lang w:val="lt-LT"/>
        </w:rPr>
        <w:t>Toliau detaliai nagrinėjami identifikuoti finansinės priemonės veiklos scenarijai.</w:t>
      </w:r>
    </w:p>
    <w:p w14:paraId="38A0F06F" w14:textId="77777777" w:rsidR="00E960B7" w:rsidRDefault="00E960B7" w:rsidP="00280058">
      <w:pPr>
        <w:jc w:val="both"/>
        <w:rPr>
          <w:rFonts w:ascii="Georgia" w:hAnsi="Georgia"/>
          <w:sz w:val="20"/>
          <w:szCs w:val="20"/>
          <w:lang w:val="lt-LT"/>
        </w:rPr>
      </w:pPr>
    </w:p>
    <w:p w14:paraId="1134AE6A" w14:textId="77777777" w:rsidR="000833F4" w:rsidRPr="00BC2CB8" w:rsidRDefault="000833F4" w:rsidP="002A248B">
      <w:pPr>
        <w:pStyle w:val="Sraopastraipa"/>
        <w:keepNext/>
        <w:numPr>
          <w:ilvl w:val="0"/>
          <w:numId w:val="34"/>
        </w:numPr>
        <w:rPr>
          <w:rFonts w:ascii="Georgia" w:hAnsi="Georgia"/>
          <w:b/>
          <w:i/>
          <w:sz w:val="20"/>
          <w:szCs w:val="20"/>
          <w:lang w:val="lt-LT"/>
        </w:rPr>
      </w:pPr>
      <w:r w:rsidRPr="00BC2CB8">
        <w:rPr>
          <w:rFonts w:ascii="Georgia" w:hAnsi="Georgia"/>
          <w:b/>
          <w:i/>
          <w:sz w:val="20"/>
          <w:szCs w:val="20"/>
          <w:lang w:val="lt-LT"/>
        </w:rPr>
        <w:t>Scenarijus Nr. 1: Lengvatinių paskolų teikimas</w:t>
      </w:r>
    </w:p>
    <w:p w14:paraId="2D13D50D" w14:textId="22D649A8" w:rsidR="000833F4" w:rsidRPr="00BC2CB8" w:rsidRDefault="00775B14" w:rsidP="002A248B">
      <w:pPr>
        <w:keepNext/>
        <w:jc w:val="both"/>
        <w:rPr>
          <w:rFonts w:ascii="Georgia" w:hAnsi="Georgia"/>
          <w:sz w:val="20"/>
          <w:szCs w:val="20"/>
          <w:lang w:val="lt-LT"/>
        </w:rPr>
      </w:pPr>
      <w:r>
        <w:rPr>
          <w:rFonts w:ascii="Georgia" w:hAnsi="Georgia"/>
          <w:sz w:val="20"/>
          <w:szCs w:val="20"/>
          <w:lang w:val="lt-LT"/>
        </w:rPr>
        <w:t xml:space="preserve">Analizės tikslais </w:t>
      </w:r>
      <w:r w:rsidR="00675F80">
        <w:rPr>
          <w:rFonts w:ascii="Georgia" w:hAnsi="Georgia"/>
          <w:sz w:val="20"/>
          <w:szCs w:val="20"/>
          <w:lang w:val="lt-LT"/>
        </w:rPr>
        <w:t xml:space="preserve">daroma prielaida, kad </w:t>
      </w:r>
      <w:r w:rsidR="000833F4">
        <w:rPr>
          <w:rFonts w:ascii="Georgia" w:hAnsi="Georgia"/>
          <w:sz w:val="20"/>
          <w:szCs w:val="20"/>
          <w:lang w:val="lt-LT"/>
        </w:rPr>
        <w:t xml:space="preserve">savivaldybių </w:t>
      </w:r>
      <w:r w:rsidR="000833F4" w:rsidRPr="00BC2CB8">
        <w:rPr>
          <w:rFonts w:ascii="Georgia" w:hAnsi="Georgia"/>
          <w:sz w:val="20"/>
          <w:szCs w:val="20"/>
          <w:lang w:val="lt-LT"/>
        </w:rPr>
        <w:t xml:space="preserve">viešųjų pastatų </w:t>
      </w:r>
      <w:r w:rsidR="000833F4">
        <w:rPr>
          <w:rFonts w:ascii="Georgia" w:hAnsi="Georgia"/>
          <w:sz w:val="20"/>
          <w:szCs w:val="20"/>
          <w:lang w:val="lt-LT"/>
        </w:rPr>
        <w:t>moderniza</w:t>
      </w:r>
      <w:r w:rsidR="00014099">
        <w:rPr>
          <w:rFonts w:ascii="Georgia" w:hAnsi="Georgia"/>
          <w:sz w:val="20"/>
          <w:szCs w:val="20"/>
          <w:lang w:val="lt-LT"/>
        </w:rPr>
        <w:t>vimui</w:t>
      </w:r>
      <w:r w:rsidR="000833F4">
        <w:rPr>
          <w:rFonts w:ascii="Georgia" w:hAnsi="Georgia"/>
          <w:sz w:val="20"/>
          <w:szCs w:val="20"/>
          <w:lang w:val="lt-LT"/>
        </w:rPr>
        <w:t xml:space="preserve"> </w:t>
      </w:r>
      <w:r w:rsidR="00014099">
        <w:rPr>
          <w:rFonts w:ascii="Georgia" w:hAnsi="Georgia"/>
          <w:sz w:val="20"/>
          <w:szCs w:val="20"/>
          <w:lang w:val="lt-LT"/>
        </w:rPr>
        <w:t>numatoma</w:t>
      </w:r>
      <w:r w:rsidR="000833F4" w:rsidRPr="00BC2CB8">
        <w:rPr>
          <w:rFonts w:ascii="Georgia" w:hAnsi="Georgia"/>
          <w:sz w:val="20"/>
          <w:szCs w:val="20"/>
          <w:lang w:val="lt-LT"/>
        </w:rPr>
        <w:t xml:space="preserve"> skirti </w:t>
      </w:r>
      <w:r w:rsidR="000833F4">
        <w:rPr>
          <w:rFonts w:ascii="Georgia" w:hAnsi="Georgia"/>
          <w:sz w:val="20"/>
          <w:szCs w:val="20"/>
          <w:lang w:val="lt-LT"/>
        </w:rPr>
        <w:t xml:space="preserve">50 </w:t>
      </w:r>
      <w:r w:rsidR="000833F4" w:rsidRPr="00BC2CB8">
        <w:rPr>
          <w:rFonts w:ascii="Georgia" w:hAnsi="Georgia"/>
          <w:sz w:val="20"/>
          <w:szCs w:val="20"/>
          <w:lang w:val="lt-LT"/>
        </w:rPr>
        <w:t>mln. eurų 2014-2020 m. ES</w:t>
      </w:r>
      <w:r w:rsidR="00014099">
        <w:rPr>
          <w:rFonts w:ascii="Georgia" w:hAnsi="Georgia"/>
          <w:sz w:val="20"/>
          <w:szCs w:val="20"/>
          <w:lang w:val="lt-LT"/>
        </w:rPr>
        <w:t>I fondų</w:t>
      </w:r>
      <w:r w:rsidR="000833F4" w:rsidRPr="00BC2CB8">
        <w:rPr>
          <w:rFonts w:ascii="Georgia" w:hAnsi="Georgia"/>
          <w:sz w:val="20"/>
          <w:szCs w:val="20"/>
          <w:lang w:val="lt-LT"/>
        </w:rPr>
        <w:t xml:space="preserve"> lėšų</w:t>
      </w:r>
      <w:r w:rsidR="00675F80">
        <w:rPr>
          <w:rFonts w:ascii="Georgia" w:hAnsi="Georgia"/>
          <w:sz w:val="20"/>
          <w:szCs w:val="20"/>
          <w:lang w:val="lt-LT"/>
        </w:rPr>
        <w:t xml:space="preserve"> (lėšų skyrus daugiau arba mažiau proporcingai pasikeis ir </w:t>
      </w:r>
      <w:r w:rsidR="00675F80">
        <w:rPr>
          <w:rFonts w:ascii="Georgia" w:hAnsi="Georgia"/>
          <w:sz w:val="20"/>
          <w:szCs w:val="20"/>
          <w:lang w:val="lt-LT"/>
        </w:rPr>
        <w:lastRenderedPageBreak/>
        <w:t>modeliuose paskaičiuoti rezultatai)</w:t>
      </w:r>
      <w:r w:rsidR="000833F4" w:rsidRPr="00BC2CB8">
        <w:rPr>
          <w:rFonts w:ascii="Georgia" w:hAnsi="Georgia"/>
          <w:sz w:val="20"/>
          <w:szCs w:val="20"/>
          <w:lang w:val="lt-LT"/>
        </w:rPr>
        <w:t xml:space="preserve">. Šiame scenarijuje nagrinėjama paskolų finansinė priemonė su </w:t>
      </w:r>
      <w:r w:rsidR="000833F4">
        <w:rPr>
          <w:rFonts w:ascii="Georgia" w:hAnsi="Georgia"/>
          <w:sz w:val="20"/>
          <w:szCs w:val="20"/>
          <w:lang w:val="lt-LT"/>
        </w:rPr>
        <w:t>2</w:t>
      </w:r>
      <w:r w:rsidR="000833F4" w:rsidRPr="00BC2CB8">
        <w:rPr>
          <w:rFonts w:ascii="Georgia" w:hAnsi="Georgia"/>
          <w:sz w:val="20"/>
          <w:szCs w:val="20"/>
          <w:lang w:val="lt-LT"/>
        </w:rPr>
        <w:t xml:space="preserve"> % </w:t>
      </w:r>
      <w:r w:rsidR="00014099">
        <w:rPr>
          <w:rFonts w:ascii="Georgia" w:hAnsi="Georgia"/>
          <w:sz w:val="20"/>
          <w:szCs w:val="20"/>
          <w:lang w:val="lt-LT"/>
        </w:rPr>
        <w:t xml:space="preserve">metinėmis </w:t>
      </w:r>
      <w:r w:rsidR="000833F4" w:rsidRPr="00BC2CB8">
        <w:rPr>
          <w:rFonts w:ascii="Georgia" w:hAnsi="Georgia"/>
          <w:sz w:val="20"/>
          <w:szCs w:val="20"/>
          <w:lang w:val="lt-LT"/>
        </w:rPr>
        <w:t xml:space="preserve">palūkanomis. </w:t>
      </w:r>
    </w:p>
    <w:p w14:paraId="6CE12491" w14:textId="11D47266" w:rsidR="000833F4" w:rsidRPr="00BC2CB8" w:rsidRDefault="001B0FE9" w:rsidP="000833F4">
      <w:pPr>
        <w:jc w:val="both"/>
        <w:rPr>
          <w:rFonts w:ascii="Georgia" w:hAnsi="Georgia"/>
          <w:sz w:val="20"/>
          <w:szCs w:val="20"/>
          <w:lang w:val="lt-LT"/>
        </w:rPr>
      </w:pPr>
      <w:r>
        <w:rPr>
          <w:rFonts w:ascii="Georgia" w:hAnsi="Georgia"/>
          <w:sz w:val="20"/>
          <w:szCs w:val="20"/>
          <w:lang w:val="lt-LT"/>
        </w:rPr>
        <w:t>Daroma prielaida, kad v</w:t>
      </w:r>
      <w:r w:rsidR="007D46C3">
        <w:rPr>
          <w:rFonts w:ascii="Georgia" w:hAnsi="Georgia"/>
          <w:sz w:val="20"/>
          <w:szCs w:val="20"/>
          <w:lang w:val="lt-LT"/>
        </w:rPr>
        <w:t xml:space="preserve">isi numatyti asignavimai </w:t>
      </w:r>
      <w:r>
        <w:rPr>
          <w:rFonts w:ascii="Georgia" w:hAnsi="Georgia"/>
          <w:sz w:val="20"/>
          <w:szCs w:val="20"/>
          <w:lang w:val="lt-LT"/>
        </w:rPr>
        <w:t>(</w:t>
      </w:r>
      <w:r w:rsidR="000833F4">
        <w:rPr>
          <w:rFonts w:ascii="Georgia" w:hAnsi="Georgia"/>
          <w:sz w:val="20"/>
          <w:szCs w:val="20"/>
          <w:lang w:val="lt-LT"/>
        </w:rPr>
        <w:t>50 mln. eurų</w:t>
      </w:r>
      <w:r>
        <w:rPr>
          <w:rFonts w:ascii="Georgia" w:hAnsi="Georgia"/>
          <w:sz w:val="20"/>
          <w:szCs w:val="20"/>
          <w:lang w:val="lt-LT"/>
        </w:rPr>
        <w:t>)</w:t>
      </w:r>
      <w:r w:rsidR="000833F4">
        <w:rPr>
          <w:rFonts w:ascii="Georgia" w:hAnsi="Georgia"/>
          <w:sz w:val="20"/>
          <w:szCs w:val="20"/>
          <w:lang w:val="lt-LT"/>
        </w:rPr>
        <w:t xml:space="preserve"> </w:t>
      </w:r>
      <w:r w:rsidR="007D46C3">
        <w:rPr>
          <w:rFonts w:ascii="Georgia" w:hAnsi="Georgia"/>
          <w:sz w:val="20"/>
          <w:szCs w:val="20"/>
          <w:lang w:val="lt-LT"/>
        </w:rPr>
        <w:t xml:space="preserve">skiriami </w:t>
      </w:r>
      <w:r w:rsidR="00144171">
        <w:rPr>
          <w:rFonts w:ascii="Georgia" w:hAnsi="Georgia"/>
          <w:sz w:val="20"/>
          <w:szCs w:val="20"/>
          <w:lang w:val="lt-LT"/>
        </w:rPr>
        <w:t>paskolos finansinei priemonei</w:t>
      </w:r>
      <w:r w:rsidR="000833F4" w:rsidRPr="00BC2CB8">
        <w:rPr>
          <w:rFonts w:ascii="Georgia" w:hAnsi="Georgia"/>
          <w:sz w:val="20"/>
          <w:szCs w:val="20"/>
          <w:lang w:val="lt-LT"/>
        </w:rPr>
        <w:t>.</w:t>
      </w:r>
    </w:p>
    <w:p w14:paraId="1444CE82" w14:textId="77777777" w:rsidR="00D9394C" w:rsidRDefault="00D9394C" w:rsidP="00D9394C">
      <w:pPr>
        <w:jc w:val="both"/>
        <w:rPr>
          <w:rFonts w:ascii="Georgia" w:hAnsi="Georgia"/>
          <w:sz w:val="20"/>
          <w:szCs w:val="20"/>
          <w:lang w:val="lt-LT"/>
        </w:rPr>
      </w:pPr>
    </w:p>
    <w:p w14:paraId="2EB30035" w14:textId="1E3567A8" w:rsidR="005F1D8E" w:rsidRPr="00D9394C" w:rsidRDefault="00935DC7" w:rsidP="00D9394C">
      <w:pPr>
        <w:jc w:val="both"/>
        <w:rPr>
          <w:rFonts w:ascii="Georgia" w:hAnsi="Georgia"/>
          <w:sz w:val="20"/>
          <w:szCs w:val="20"/>
          <w:lang w:val="lt-LT"/>
        </w:rPr>
      </w:pPr>
      <w:r>
        <w:rPr>
          <w:rFonts w:ascii="Georgia" w:hAnsi="Georgia"/>
          <w:noProof/>
          <w:sz w:val="20"/>
          <w:szCs w:val="20"/>
          <w:lang w:val="lt-LT" w:eastAsia="lt-LT"/>
        </w:rPr>
        <w:drawing>
          <wp:inline distT="0" distB="0" distL="0" distR="0" wp14:anchorId="5EB72266" wp14:editId="32AF959F">
            <wp:extent cx="5685183" cy="1347670"/>
            <wp:effectExtent l="0" t="0" r="0" b="508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avivaldybe Nr. 1.jpg"/>
                    <pic:cNvPicPr/>
                  </pic:nvPicPr>
                  <pic:blipFill>
                    <a:blip r:embed="rId61" cstate="screen">
                      <a:extLst>
                        <a:ext uri="{28A0092B-C50C-407E-A947-70E740481C1C}">
                          <a14:useLocalDpi xmlns:a14="http://schemas.microsoft.com/office/drawing/2010/main"/>
                        </a:ext>
                      </a:extLst>
                    </a:blip>
                    <a:stretch>
                      <a:fillRect/>
                    </a:stretch>
                  </pic:blipFill>
                  <pic:spPr>
                    <a:xfrm>
                      <a:off x="0" y="0"/>
                      <a:ext cx="5714506" cy="1354621"/>
                    </a:xfrm>
                    <a:prstGeom prst="rect">
                      <a:avLst/>
                    </a:prstGeom>
                  </pic:spPr>
                </pic:pic>
              </a:graphicData>
            </a:graphic>
          </wp:inline>
        </w:drawing>
      </w:r>
    </w:p>
    <w:p w14:paraId="241BC6D3" w14:textId="10667053" w:rsidR="000833F4" w:rsidRPr="00D9394C" w:rsidRDefault="000833F4" w:rsidP="00D9394C">
      <w:pPr>
        <w:pStyle w:val="Antrat"/>
        <w:rPr>
          <w:lang w:val="lt-LT"/>
        </w:rPr>
      </w:pPr>
      <w:bookmarkStart w:id="174" w:name="_Toc417378306"/>
      <w:r w:rsidRPr="00D9394C">
        <w:rPr>
          <w:lang w:val="lt-LT"/>
        </w:rPr>
        <w:t xml:space="preserve">Paveikslas </w:t>
      </w:r>
      <w:r w:rsidRPr="00D9394C">
        <w:rPr>
          <w:lang w:val="lt-LT"/>
        </w:rPr>
        <w:fldChar w:fldCharType="begin"/>
      </w:r>
      <w:r w:rsidRPr="00D9394C">
        <w:rPr>
          <w:lang w:val="lt-LT"/>
        </w:rPr>
        <w:instrText xml:space="preserve"> SEQ Paveikslas \* ARABIC </w:instrText>
      </w:r>
      <w:r w:rsidRPr="00D9394C">
        <w:rPr>
          <w:lang w:val="lt-LT"/>
        </w:rPr>
        <w:fldChar w:fldCharType="separate"/>
      </w:r>
      <w:r w:rsidR="00AA3082">
        <w:rPr>
          <w:noProof/>
          <w:lang w:val="lt-LT"/>
        </w:rPr>
        <w:t>29</w:t>
      </w:r>
      <w:r w:rsidRPr="00D9394C">
        <w:rPr>
          <w:lang w:val="lt-LT"/>
        </w:rPr>
        <w:fldChar w:fldCharType="end"/>
      </w:r>
      <w:r w:rsidRPr="00D9394C">
        <w:rPr>
          <w:lang w:val="lt-LT"/>
        </w:rPr>
        <w:t xml:space="preserve">. </w:t>
      </w:r>
      <w:r w:rsidR="002C2968" w:rsidRPr="00D9394C">
        <w:rPr>
          <w:lang w:val="lt-LT"/>
        </w:rPr>
        <w:t>Savivaldybių v</w:t>
      </w:r>
      <w:r w:rsidRPr="00D9394C">
        <w:rPr>
          <w:lang w:val="lt-LT"/>
        </w:rPr>
        <w:t>iešųjų pastatų scenarijaus Nr. 1 schema.</w:t>
      </w:r>
      <w:bookmarkEnd w:id="174"/>
    </w:p>
    <w:p w14:paraId="58A750C3" w14:textId="77777777" w:rsidR="000833F4" w:rsidRPr="00BC2CB8" w:rsidRDefault="000833F4" w:rsidP="000833F4">
      <w:pPr>
        <w:jc w:val="both"/>
        <w:rPr>
          <w:rFonts w:ascii="Georgia" w:hAnsi="Georgia"/>
          <w:sz w:val="20"/>
          <w:szCs w:val="20"/>
          <w:lang w:val="lt-LT"/>
        </w:rPr>
      </w:pPr>
      <w:r w:rsidRPr="00BC2CB8">
        <w:rPr>
          <w:rFonts w:ascii="Georgia" w:hAnsi="Georgia"/>
          <w:sz w:val="20"/>
          <w:szCs w:val="20"/>
          <w:lang w:val="lt-LT"/>
        </w:rPr>
        <w:t xml:space="preserve">Tolimesniuose skaičiavimuose daroma prielaida, kad per pirmus metus bus renovuoti </w:t>
      </w:r>
      <w:r w:rsidR="002C2968">
        <w:rPr>
          <w:rFonts w:ascii="Georgia" w:hAnsi="Georgia"/>
          <w:sz w:val="20"/>
          <w:szCs w:val="20"/>
          <w:lang w:val="lt-LT"/>
        </w:rPr>
        <w:t>15</w:t>
      </w:r>
      <w:r w:rsidRPr="00BC2CB8">
        <w:rPr>
          <w:rFonts w:ascii="Georgia" w:hAnsi="Georgia"/>
          <w:sz w:val="20"/>
          <w:szCs w:val="20"/>
          <w:lang w:val="lt-LT"/>
        </w:rPr>
        <w:t xml:space="preserve"> tipinių viešųjų pastatų, kiekvienais sekančiais metais šis skaičius </w:t>
      </w:r>
      <w:r w:rsidR="002C2968">
        <w:rPr>
          <w:rFonts w:ascii="Georgia" w:hAnsi="Georgia"/>
          <w:sz w:val="20"/>
          <w:szCs w:val="20"/>
          <w:lang w:val="lt-LT"/>
        </w:rPr>
        <w:t>išdėstomas numatant tolygų modernizuotų pastatų kiekį kiekvienais metais,</w:t>
      </w:r>
      <w:r w:rsidRPr="00BC2CB8">
        <w:rPr>
          <w:rFonts w:ascii="Georgia" w:hAnsi="Georgia"/>
          <w:sz w:val="20"/>
          <w:szCs w:val="20"/>
          <w:lang w:val="lt-LT"/>
        </w:rPr>
        <w:t xml:space="preserve"> apie </w:t>
      </w:r>
      <w:r w:rsidR="002C2968">
        <w:rPr>
          <w:rFonts w:ascii="Georgia" w:hAnsi="Georgia"/>
          <w:sz w:val="20"/>
          <w:szCs w:val="20"/>
          <w:lang w:val="lt-LT"/>
        </w:rPr>
        <w:t>40 savivaldybių</w:t>
      </w:r>
      <w:r w:rsidRPr="00BC2CB8">
        <w:rPr>
          <w:rFonts w:ascii="Georgia" w:hAnsi="Georgia"/>
          <w:sz w:val="20"/>
          <w:szCs w:val="20"/>
          <w:lang w:val="lt-LT"/>
        </w:rPr>
        <w:t xml:space="preserve"> viešųjų pastatų </w:t>
      </w:r>
      <w:r w:rsidR="002C2968">
        <w:rPr>
          <w:rFonts w:ascii="Georgia" w:hAnsi="Georgia"/>
          <w:sz w:val="20"/>
          <w:szCs w:val="20"/>
          <w:lang w:val="lt-LT"/>
        </w:rPr>
        <w:t xml:space="preserve">modernizacijos </w:t>
      </w:r>
      <w:r w:rsidRPr="00BC2CB8">
        <w:rPr>
          <w:rFonts w:ascii="Georgia" w:hAnsi="Georgia"/>
          <w:sz w:val="20"/>
          <w:szCs w:val="20"/>
          <w:lang w:val="lt-LT"/>
        </w:rPr>
        <w:t>projektų per metus.</w:t>
      </w:r>
    </w:p>
    <w:p w14:paraId="25D226F4" w14:textId="442A620C" w:rsidR="000833F4" w:rsidRPr="00BC2CB8" w:rsidRDefault="000833F4" w:rsidP="000833F4">
      <w:pPr>
        <w:pStyle w:val="Antrat"/>
        <w:rPr>
          <w:szCs w:val="20"/>
          <w:lang w:val="lt-LT"/>
        </w:rPr>
      </w:pPr>
      <w:bookmarkStart w:id="175" w:name="_Toc460321661"/>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80</w:t>
      </w:r>
      <w:r w:rsidRPr="00BC2CB8">
        <w:rPr>
          <w:lang w:val="lt-LT"/>
        </w:rPr>
        <w:fldChar w:fldCharType="end"/>
      </w:r>
      <w:r w:rsidRPr="00BC2CB8">
        <w:rPr>
          <w:lang w:val="lt-LT"/>
        </w:rPr>
        <w:t xml:space="preserve">. </w:t>
      </w:r>
      <w:r w:rsidRPr="00BC2CB8">
        <w:rPr>
          <w:szCs w:val="20"/>
          <w:lang w:val="lt-LT"/>
        </w:rPr>
        <w:t>Scenarijaus Nr. 1 prielaidos</w:t>
      </w:r>
      <w:bookmarkEnd w:id="175"/>
    </w:p>
    <w:tbl>
      <w:tblPr>
        <w:tblStyle w:val="viesussraas2parykinimas"/>
        <w:tblW w:w="5000" w:type="pct"/>
        <w:tblLook w:val="04A0" w:firstRow="1" w:lastRow="0" w:firstColumn="1" w:lastColumn="0" w:noHBand="0" w:noVBand="1"/>
      </w:tblPr>
      <w:tblGrid>
        <w:gridCol w:w="2536"/>
        <w:gridCol w:w="6706"/>
      </w:tblGrid>
      <w:tr w:rsidR="000833F4" w:rsidRPr="00BC2CB8" w14:paraId="37C7B48F" w14:textId="77777777" w:rsidTr="004F3A7E">
        <w:trPr>
          <w:cnfStyle w:val="100000000000" w:firstRow="1" w:lastRow="0" w:firstColumn="0" w:lastColumn="0" w:oddVBand="0" w:evenVBand="0" w:oddHBand="0" w:evenHBand="0" w:firstRowFirstColumn="0" w:firstRowLastColumn="0" w:lastRowFirstColumn="0" w:lastRowLastColumn="0"/>
          <w:cantSplit/>
          <w:trHeight w:val="107"/>
          <w:tblHeader/>
        </w:trPr>
        <w:tc>
          <w:tcPr>
            <w:cnfStyle w:val="001000000000" w:firstRow="0" w:lastRow="0" w:firstColumn="1" w:lastColumn="0" w:oddVBand="0" w:evenVBand="0" w:oddHBand="0" w:evenHBand="0" w:firstRowFirstColumn="0" w:firstRowLastColumn="0" w:lastRowFirstColumn="0" w:lastRowLastColumn="0"/>
            <w:tcW w:w="1372" w:type="pct"/>
            <w:tcBorders>
              <w:bottom w:val="single" w:sz="8" w:space="0" w:color="C0504D" w:themeColor="accent2"/>
            </w:tcBorders>
          </w:tcPr>
          <w:p w14:paraId="0A2D1784" w14:textId="77777777" w:rsidR="000833F4" w:rsidRPr="00BC2CB8" w:rsidRDefault="000833F4" w:rsidP="004F3A7E">
            <w:pPr>
              <w:jc w:val="center"/>
              <w:rPr>
                <w:rFonts w:ascii="Georgia" w:hAnsi="Georgia"/>
                <w:sz w:val="20"/>
                <w:szCs w:val="20"/>
              </w:rPr>
            </w:pPr>
            <w:r w:rsidRPr="00BC2CB8">
              <w:rPr>
                <w:rFonts w:ascii="Georgia" w:hAnsi="Georgia"/>
                <w:sz w:val="20"/>
                <w:szCs w:val="20"/>
              </w:rPr>
              <w:t>Prielaidos</w:t>
            </w:r>
          </w:p>
        </w:tc>
        <w:tc>
          <w:tcPr>
            <w:tcW w:w="3628" w:type="pct"/>
            <w:tcBorders>
              <w:bottom w:val="single" w:sz="8" w:space="0" w:color="C0504D" w:themeColor="accent2"/>
            </w:tcBorders>
          </w:tcPr>
          <w:p w14:paraId="7EEBD141" w14:textId="77777777" w:rsidR="000833F4" w:rsidRPr="00BC2CB8" w:rsidRDefault="000833F4" w:rsidP="004F3A7E">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Komentaras</w:t>
            </w:r>
          </w:p>
        </w:tc>
      </w:tr>
      <w:tr w:rsidR="000833F4" w:rsidRPr="00BC2CB8" w14:paraId="1BD0FDEF" w14:textId="77777777" w:rsidTr="004F3A7E">
        <w:trPr>
          <w:cnfStyle w:val="000000100000" w:firstRow="0" w:lastRow="0" w:firstColumn="0" w:lastColumn="0" w:oddVBand="0" w:evenVBand="0" w:oddHBand="1" w:evenHBand="0" w:firstRowFirstColumn="0" w:firstRowLastColumn="0" w:lastRowFirstColumn="0" w:lastRowLastColumn="0"/>
          <w:cantSplit/>
          <w:trHeight w:val="220"/>
        </w:trPr>
        <w:tc>
          <w:tcPr>
            <w:cnfStyle w:val="001000000000" w:firstRow="0" w:lastRow="0" w:firstColumn="1" w:lastColumn="0" w:oddVBand="0" w:evenVBand="0" w:oddHBand="0" w:evenHBand="0" w:firstRowFirstColumn="0" w:firstRowLastColumn="0" w:lastRowFirstColumn="0" w:lastRowLastColumn="0"/>
            <w:tcW w:w="1372" w:type="pct"/>
            <w:tcBorders>
              <w:top w:val="single" w:sz="6" w:space="0" w:color="C0504D" w:themeColor="accent2"/>
              <w:right w:val="single" w:sz="6" w:space="0" w:color="C0504D" w:themeColor="accent2"/>
            </w:tcBorders>
          </w:tcPr>
          <w:p w14:paraId="036694DD" w14:textId="77777777" w:rsidR="000833F4" w:rsidRPr="00BC2CB8" w:rsidRDefault="000833F4" w:rsidP="004F3A7E">
            <w:pPr>
              <w:rPr>
                <w:rFonts w:ascii="Georgia" w:hAnsi="Georgia"/>
                <w:b w:val="0"/>
                <w:sz w:val="20"/>
                <w:szCs w:val="20"/>
              </w:rPr>
            </w:pPr>
            <w:r w:rsidRPr="00BC2CB8">
              <w:rPr>
                <w:rFonts w:ascii="Georgia" w:hAnsi="Georgia"/>
                <w:sz w:val="20"/>
                <w:szCs w:val="20"/>
              </w:rPr>
              <w:t>Paskolos laikotarpis: iki 20 metų</w:t>
            </w:r>
          </w:p>
        </w:tc>
        <w:tc>
          <w:tcPr>
            <w:tcW w:w="3628" w:type="pct"/>
            <w:tcBorders>
              <w:top w:val="single" w:sz="6" w:space="0" w:color="C0504D" w:themeColor="accent2"/>
              <w:left w:val="single" w:sz="6" w:space="0" w:color="C0504D" w:themeColor="accent2"/>
            </w:tcBorders>
          </w:tcPr>
          <w:p w14:paraId="11699DA2" w14:textId="77777777" w:rsidR="000833F4" w:rsidRPr="00BC2CB8" w:rsidRDefault="000833F4" w:rsidP="004F3A7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Maksimalus paskolos sutarties terminas yra 20 metų. </w:t>
            </w:r>
          </w:p>
        </w:tc>
      </w:tr>
      <w:tr w:rsidR="000833F4" w:rsidRPr="00BC2CB8" w14:paraId="42C17033" w14:textId="77777777" w:rsidTr="004F3A7E">
        <w:trPr>
          <w:cantSplit/>
          <w:trHeight w:val="213"/>
        </w:trPr>
        <w:tc>
          <w:tcPr>
            <w:cnfStyle w:val="001000000000" w:firstRow="0" w:lastRow="0" w:firstColumn="1" w:lastColumn="0" w:oddVBand="0" w:evenVBand="0" w:oddHBand="0" w:evenHBand="0" w:firstRowFirstColumn="0" w:firstRowLastColumn="0" w:lastRowFirstColumn="0" w:lastRowLastColumn="0"/>
            <w:tcW w:w="1372" w:type="pct"/>
            <w:tcBorders>
              <w:top w:val="single" w:sz="6" w:space="0" w:color="C0504D" w:themeColor="accent2"/>
              <w:right w:val="single" w:sz="6" w:space="0" w:color="C0504D" w:themeColor="accent2"/>
            </w:tcBorders>
          </w:tcPr>
          <w:p w14:paraId="05923FB6" w14:textId="77777777" w:rsidR="000833F4" w:rsidRPr="00BC2CB8" w:rsidRDefault="000833F4" w:rsidP="004F3A7E">
            <w:pPr>
              <w:rPr>
                <w:rFonts w:ascii="Georgia" w:hAnsi="Georgia"/>
                <w:b w:val="0"/>
                <w:sz w:val="20"/>
                <w:szCs w:val="20"/>
              </w:rPr>
            </w:pPr>
            <w:r w:rsidRPr="00BC2CB8">
              <w:rPr>
                <w:rFonts w:ascii="Georgia" w:hAnsi="Georgia"/>
                <w:sz w:val="20"/>
                <w:szCs w:val="20"/>
              </w:rPr>
              <w:t>Blogų paskolų dalis: 5 %</w:t>
            </w:r>
          </w:p>
        </w:tc>
        <w:tc>
          <w:tcPr>
            <w:tcW w:w="3628" w:type="pct"/>
            <w:tcBorders>
              <w:top w:val="single" w:sz="6" w:space="0" w:color="C0504D" w:themeColor="accent2"/>
              <w:left w:val="single" w:sz="6" w:space="0" w:color="C0504D" w:themeColor="accent2"/>
            </w:tcBorders>
          </w:tcPr>
          <w:p w14:paraId="56A2E895" w14:textId="77777777" w:rsidR="000833F4" w:rsidRPr="00BC2CB8" w:rsidRDefault="000833F4" w:rsidP="004F3A7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Blogų paskolų dalis buvo nustatyta remiantis ekspertų ir komercinių bankų vertinimu. Be to, ši prielaida atitinka PwC studijoje nustatytą dydį.</w:t>
            </w:r>
          </w:p>
        </w:tc>
      </w:tr>
      <w:tr w:rsidR="000833F4" w:rsidRPr="00BC2CB8" w14:paraId="259229D5" w14:textId="77777777" w:rsidTr="004F3A7E">
        <w:trPr>
          <w:cnfStyle w:val="000000100000" w:firstRow="0" w:lastRow="0" w:firstColumn="0" w:lastColumn="0" w:oddVBand="0" w:evenVBand="0" w:oddHBand="1" w:evenHBand="0" w:firstRowFirstColumn="0" w:firstRowLastColumn="0" w:lastRowFirstColumn="0" w:lastRowLastColumn="0"/>
          <w:cantSplit/>
          <w:trHeight w:val="547"/>
        </w:trPr>
        <w:tc>
          <w:tcPr>
            <w:cnfStyle w:val="001000000000" w:firstRow="0" w:lastRow="0" w:firstColumn="1" w:lastColumn="0" w:oddVBand="0" w:evenVBand="0" w:oddHBand="0" w:evenHBand="0" w:firstRowFirstColumn="0" w:firstRowLastColumn="0" w:lastRowFirstColumn="0" w:lastRowLastColumn="0"/>
            <w:tcW w:w="1372" w:type="pct"/>
            <w:tcBorders>
              <w:top w:val="single" w:sz="6" w:space="0" w:color="C0504D" w:themeColor="accent2"/>
              <w:right w:val="single" w:sz="6" w:space="0" w:color="C0504D" w:themeColor="accent2"/>
            </w:tcBorders>
          </w:tcPr>
          <w:p w14:paraId="11FA26BA" w14:textId="77777777" w:rsidR="000833F4" w:rsidRPr="00BC2CB8" w:rsidRDefault="000833F4" w:rsidP="004F3A7E">
            <w:pPr>
              <w:rPr>
                <w:rFonts w:ascii="Georgia" w:hAnsi="Georgia"/>
                <w:b w:val="0"/>
                <w:sz w:val="20"/>
                <w:szCs w:val="20"/>
              </w:rPr>
            </w:pPr>
            <w:r w:rsidRPr="00BC2CB8">
              <w:rPr>
                <w:rFonts w:ascii="Georgia" w:hAnsi="Georgia"/>
                <w:sz w:val="20"/>
                <w:szCs w:val="20"/>
              </w:rPr>
              <w:t>Tipinio viešojo pastato projekto investicijų vertė: 228 000 eurų</w:t>
            </w:r>
          </w:p>
        </w:tc>
        <w:tc>
          <w:tcPr>
            <w:tcW w:w="3628" w:type="pct"/>
            <w:tcBorders>
              <w:top w:val="single" w:sz="6" w:space="0" w:color="C0504D" w:themeColor="accent2"/>
              <w:left w:val="single" w:sz="6" w:space="0" w:color="C0504D" w:themeColor="accent2"/>
            </w:tcBorders>
          </w:tcPr>
          <w:p w14:paraId="44AC6B03" w14:textId="77777777" w:rsidR="000833F4" w:rsidRPr="00BC2CB8" w:rsidRDefault="000833F4" w:rsidP="004F3A7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Vidutinė tipinio viešojo pastato renovacijos kaina buvo nustatyta remiantis vidutinio viešojo pastato plotu ir pastato renovacijos kaštais vienam kvadratiniam metrui. Vidutinis pastato plotas paskaičiuotas remiantis Registrų centro duomenimis 2.1.1. skyriuje, o viešojo pastato renovacijos kaštai numatyti </w:t>
            </w:r>
            <w:r w:rsidRPr="00BC2CB8">
              <w:rPr>
                <w:rFonts w:ascii="Georgia" w:hAnsi="Georgia"/>
                <w:bCs/>
                <w:sz w:val="20"/>
                <w:szCs w:val="20"/>
              </w:rPr>
              <w:t>Viešųjų pastatų energinio efektyvumo didinimo programos projekte</w:t>
            </w:r>
            <w:r w:rsidRPr="00BC2CB8">
              <w:rPr>
                <w:rStyle w:val="Puslapioinaosnuoroda"/>
                <w:rFonts w:ascii="Georgia" w:hAnsi="Georgia"/>
                <w:bCs/>
                <w:sz w:val="20"/>
                <w:szCs w:val="20"/>
              </w:rPr>
              <w:footnoteReference w:id="109"/>
            </w:r>
            <w:r w:rsidRPr="00BC2CB8">
              <w:rPr>
                <w:rFonts w:ascii="Georgia" w:hAnsi="Georgia"/>
                <w:bCs/>
                <w:sz w:val="20"/>
                <w:szCs w:val="20"/>
              </w:rPr>
              <w:t xml:space="preserve"> ir sudaro 202,7 </w:t>
            </w:r>
            <w:r w:rsidRPr="00BC2CB8">
              <w:rPr>
                <w:rFonts w:ascii="Georgia" w:hAnsi="Georgia"/>
                <w:sz w:val="20"/>
                <w:szCs w:val="20"/>
              </w:rPr>
              <w:t>eurų</w:t>
            </w:r>
            <w:r w:rsidRPr="00BC2CB8" w:rsidDel="00334CC9">
              <w:rPr>
                <w:rFonts w:ascii="Georgia" w:hAnsi="Georgia"/>
                <w:bCs/>
                <w:sz w:val="20"/>
                <w:szCs w:val="20"/>
              </w:rPr>
              <w:t xml:space="preserve"> </w:t>
            </w:r>
            <w:r w:rsidRPr="00BC2CB8">
              <w:rPr>
                <w:rFonts w:ascii="Georgia" w:hAnsi="Georgia"/>
                <w:bCs/>
                <w:sz w:val="20"/>
                <w:szCs w:val="20"/>
              </w:rPr>
              <w:t>/m</w:t>
            </w:r>
            <w:r w:rsidRPr="00BC2CB8">
              <w:rPr>
                <w:rFonts w:ascii="Georgia" w:hAnsi="Georgia"/>
                <w:bCs/>
                <w:sz w:val="20"/>
                <w:szCs w:val="20"/>
                <w:vertAlign w:val="superscript"/>
              </w:rPr>
              <w:t>2</w:t>
            </w:r>
            <w:r w:rsidRPr="00BC2CB8">
              <w:rPr>
                <w:rFonts w:ascii="Georgia" w:hAnsi="Georgia"/>
                <w:bCs/>
                <w:sz w:val="20"/>
                <w:szCs w:val="20"/>
              </w:rPr>
              <w:t>.</w:t>
            </w:r>
          </w:p>
        </w:tc>
      </w:tr>
      <w:tr w:rsidR="000833F4" w:rsidRPr="00BC2CB8" w14:paraId="452B41A5" w14:textId="77777777" w:rsidTr="004F3A7E">
        <w:trPr>
          <w:cantSplit/>
          <w:trHeight w:val="434"/>
        </w:trPr>
        <w:tc>
          <w:tcPr>
            <w:cnfStyle w:val="001000000000" w:firstRow="0" w:lastRow="0" w:firstColumn="1" w:lastColumn="0" w:oddVBand="0" w:evenVBand="0" w:oddHBand="0" w:evenHBand="0" w:firstRowFirstColumn="0" w:firstRowLastColumn="0" w:lastRowFirstColumn="0" w:lastRowLastColumn="0"/>
            <w:tcW w:w="1372" w:type="pct"/>
            <w:tcBorders>
              <w:top w:val="single" w:sz="6" w:space="0" w:color="C0504D" w:themeColor="accent2"/>
              <w:right w:val="single" w:sz="6" w:space="0" w:color="C0504D" w:themeColor="accent2"/>
            </w:tcBorders>
          </w:tcPr>
          <w:p w14:paraId="735B9EC0" w14:textId="2F0A6547" w:rsidR="000833F4" w:rsidRPr="00BC2CB8" w:rsidRDefault="000833F4" w:rsidP="00183ED3">
            <w:pPr>
              <w:rPr>
                <w:rFonts w:ascii="Georgia" w:hAnsi="Georgia"/>
                <w:b w:val="0"/>
                <w:sz w:val="20"/>
                <w:szCs w:val="20"/>
              </w:rPr>
            </w:pPr>
            <w:r w:rsidRPr="00BC2CB8">
              <w:rPr>
                <w:rFonts w:ascii="Georgia" w:hAnsi="Georgia"/>
                <w:sz w:val="20"/>
                <w:szCs w:val="20"/>
              </w:rPr>
              <w:t xml:space="preserve">Investuojamų ESI fondų lėšų suma į fondą: </w:t>
            </w:r>
            <w:r w:rsidR="002C2968">
              <w:rPr>
                <w:rFonts w:ascii="Georgia" w:hAnsi="Georgia"/>
                <w:sz w:val="20"/>
                <w:szCs w:val="20"/>
              </w:rPr>
              <w:t>50</w:t>
            </w:r>
            <w:r w:rsidR="00183ED3">
              <w:rPr>
                <w:rFonts w:ascii="Georgia" w:hAnsi="Georgia"/>
                <w:sz w:val="20"/>
                <w:szCs w:val="20"/>
              </w:rPr>
              <w:t xml:space="preserve"> </w:t>
            </w:r>
            <w:r w:rsidRPr="00BC2CB8">
              <w:rPr>
                <w:rFonts w:ascii="Georgia" w:hAnsi="Georgia"/>
                <w:sz w:val="20"/>
                <w:szCs w:val="20"/>
              </w:rPr>
              <w:t>mln. eurų</w:t>
            </w:r>
          </w:p>
        </w:tc>
        <w:tc>
          <w:tcPr>
            <w:tcW w:w="3628" w:type="pct"/>
            <w:tcBorders>
              <w:top w:val="single" w:sz="6" w:space="0" w:color="C0504D" w:themeColor="accent2"/>
              <w:left w:val="single" w:sz="6" w:space="0" w:color="C0504D" w:themeColor="accent2"/>
            </w:tcBorders>
          </w:tcPr>
          <w:p w14:paraId="1CE62BCE" w14:textId="3CDC32FA" w:rsidR="000833F4" w:rsidRPr="002C2968" w:rsidRDefault="000833F4" w:rsidP="00775B14">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Daroma prielaida, jog </w:t>
            </w:r>
            <w:r w:rsidR="00144171">
              <w:rPr>
                <w:rFonts w:ascii="Georgia" w:hAnsi="Georgia"/>
                <w:sz w:val="20"/>
                <w:szCs w:val="20"/>
              </w:rPr>
              <w:t>savivaldybių</w:t>
            </w:r>
            <w:r w:rsidRPr="00BC2CB8">
              <w:rPr>
                <w:rFonts w:ascii="Georgia" w:hAnsi="Georgia"/>
                <w:sz w:val="20"/>
                <w:szCs w:val="20"/>
              </w:rPr>
              <w:t xml:space="preserve"> </w:t>
            </w:r>
            <w:r w:rsidR="00516F84">
              <w:rPr>
                <w:rFonts w:ascii="Georgia" w:hAnsi="Georgia"/>
                <w:sz w:val="20"/>
                <w:szCs w:val="20"/>
              </w:rPr>
              <w:t xml:space="preserve">viešųjų </w:t>
            </w:r>
            <w:r w:rsidRPr="00BC2CB8">
              <w:rPr>
                <w:rFonts w:ascii="Georgia" w:hAnsi="Georgia"/>
                <w:sz w:val="20"/>
                <w:szCs w:val="20"/>
              </w:rPr>
              <w:t xml:space="preserve">pastatų renovacijai skirtos lėšos </w:t>
            </w:r>
            <w:r w:rsidR="00516F84">
              <w:rPr>
                <w:rFonts w:ascii="Georgia" w:hAnsi="Georgia"/>
                <w:sz w:val="20"/>
                <w:szCs w:val="20"/>
              </w:rPr>
              <w:t>(</w:t>
            </w:r>
            <w:r w:rsidR="002C2968">
              <w:rPr>
                <w:rFonts w:ascii="Georgia" w:hAnsi="Georgia"/>
                <w:sz w:val="20"/>
                <w:szCs w:val="20"/>
              </w:rPr>
              <w:t>50</w:t>
            </w:r>
            <w:r w:rsidRPr="00BC2CB8">
              <w:rPr>
                <w:rFonts w:ascii="Georgia" w:hAnsi="Georgia"/>
                <w:sz w:val="20"/>
                <w:szCs w:val="20"/>
              </w:rPr>
              <w:t xml:space="preserve"> mln. eurų</w:t>
            </w:r>
            <w:r w:rsidR="00516F84">
              <w:rPr>
                <w:rFonts w:ascii="Georgia" w:hAnsi="Georgia"/>
                <w:sz w:val="20"/>
                <w:szCs w:val="20"/>
              </w:rPr>
              <w:t>)</w:t>
            </w:r>
            <w:r w:rsidR="0067431F">
              <w:rPr>
                <w:rFonts w:ascii="Georgia" w:hAnsi="Georgia"/>
                <w:sz w:val="20"/>
                <w:szCs w:val="20"/>
              </w:rPr>
              <w:t xml:space="preserve"> bus skirtos paskolų</w:t>
            </w:r>
            <w:r w:rsidR="00516F84">
              <w:rPr>
                <w:rFonts w:ascii="Georgia" w:hAnsi="Georgia"/>
                <w:sz w:val="20"/>
                <w:szCs w:val="20"/>
              </w:rPr>
              <w:t xml:space="preserve"> finansinei</w:t>
            </w:r>
            <w:r w:rsidR="0067431F">
              <w:rPr>
                <w:rFonts w:ascii="Georgia" w:hAnsi="Georgia"/>
                <w:sz w:val="20"/>
                <w:szCs w:val="20"/>
              </w:rPr>
              <w:t xml:space="preserve"> priemonei įgyvendinti</w:t>
            </w:r>
            <w:r w:rsidR="002C2968">
              <w:rPr>
                <w:rFonts w:ascii="Georgia" w:hAnsi="Georgia"/>
                <w:sz w:val="20"/>
                <w:szCs w:val="20"/>
              </w:rPr>
              <w:t xml:space="preserve">. </w:t>
            </w:r>
          </w:p>
        </w:tc>
      </w:tr>
      <w:tr w:rsidR="000833F4" w:rsidRPr="00BC2CB8" w14:paraId="2277FE5E" w14:textId="77777777" w:rsidTr="004F3A7E">
        <w:trPr>
          <w:cnfStyle w:val="000000100000" w:firstRow="0" w:lastRow="0" w:firstColumn="0" w:lastColumn="0" w:oddVBand="0" w:evenVBand="0" w:oddHBand="1" w:evenHBand="0" w:firstRowFirstColumn="0" w:firstRowLastColumn="0" w:lastRowFirstColumn="0" w:lastRowLastColumn="0"/>
          <w:cantSplit/>
          <w:trHeight w:val="107"/>
        </w:trPr>
        <w:tc>
          <w:tcPr>
            <w:cnfStyle w:val="001000000000" w:firstRow="0" w:lastRow="0" w:firstColumn="1" w:lastColumn="0" w:oddVBand="0" w:evenVBand="0" w:oddHBand="0" w:evenHBand="0" w:firstRowFirstColumn="0" w:firstRowLastColumn="0" w:lastRowFirstColumn="0" w:lastRowLastColumn="0"/>
            <w:tcW w:w="1372" w:type="pct"/>
            <w:tcBorders>
              <w:top w:val="single" w:sz="6" w:space="0" w:color="C0504D" w:themeColor="accent2"/>
              <w:right w:val="single" w:sz="6" w:space="0" w:color="C0504D" w:themeColor="accent2"/>
            </w:tcBorders>
          </w:tcPr>
          <w:p w14:paraId="27823F8B" w14:textId="1DF4C1BB" w:rsidR="000833F4" w:rsidRPr="00BC2CB8" w:rsidRDefault="000833F4" w:rsidP="004F3A7E">
            <w:pPr>
              <w:rPr>
                <w:rFonts w:ascii="Georgia" w:hAnsi="Georgia"/>
                <w:b w:val="0"/>
                <w:sz w:val="20"/>
                <w:szCs w:val="20"/>
              </w:rPr>
            </w:pPr>
            <w:r w:rsidRPr="00BC2CB8">
              <w:rPr>
                <w:rFonts w:ascii="Georgia" w:hAnsi="Georgia"/>
                <w:sz w:val="20"/>
                <w:szCs w:val="20"/>
              </w:rPr>
              <w:t xml:space="preserve">Paskolų palūkanų norma: </w:t>
            </w:r>
            <w:r w:rsidR="00E36FAE">
              <w:rPr>
                <w:rFonts w:ascii="Georgia" w:hAnsi="Georgia"/>
                <w:sz w:val="20"/>
                <w:szCs w:val="20"/>
              </w:rPr>
              <w:t>su iki</w:t>
            </w:r>
            <w:r w:rsidR="00E36FAE" w:rsidRPr="00BC2CB8">
              <w:rPr>
                <w:rFonts w:ascii="Georgia" w:hAnsi="Georgia"/>
                <w:sz w:val="20"/>
                <w:szCs w:val="20"/>
              </w:rPr>
              <w:t xml:space="preserve"> 2 %</w:t>
            </w:r>
            <w:r w:rsidR="00E36FAE">
              <w:rPr>
                <w:rFonts w:ascii="Georgia" w:hAnsi="Georgia"/>
                <w:sz w:val="20"/>
                <w:szCs w:val="20"/>
              </w:rPr>
              <w:t xml:space="preserve"> palūkanų marža</w:t>
            </w:r>
          </w:p>
        </w:tc>
        <w:tc>
          <w:tcPr>
            <w:tcW w:w="3628" w:type="pct"/>
            <w:tcBorders>
              <w:top w:val="single" w:sz="6" w:space="0" w:color="C0504D" w:themeColor="accent2"/>
              <w:left w:val="single" w:sz="6" w:space="0" w:color="C0504D" w:themeColor="accent2"/>
            </w:tcBorders>
          </w:tcPr>
          <w:p w14:paraId="4ACC80DA" w14:textId="22B9418F" w:rsidR="000833F4" w:rsidRPr="00BC2CB8" w:rsidRDefault="00C652A0" w:rsidP="003E7034">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Analizės tikslais n</w:t>
            </w:r>
            <w:r w:rsidR="000833F4" w:rsidRPr="00BC2CB8">
              <w:rPr>
                <w:rFonts w:ascii="Georgia" w:hAnsi="Georgia"/>
                <w:sz w:val="20"/>
                <w:szCs w:val="20"/>
              </w:rPr>
              <w:t>ustatomos 2</w:t>
            </w:r>
            <w:r w:rsidR="00516F84">
              <w:rPr>
                <w:rFonts w:ascii="Georgia" w:hAnsi="Georgia"/>
                <w:sz w:val="20"/>
                <w:szCs w:val="20"/>
              </w:rPr>
              <w:t xml:space="preserve"> </w:t>
            </w:r>
            <w:r w:rsidR="000833F4" w:rsidRPr="00BC2CB8">
              <w:rPr>
                <w:rFonts w:ascii="Georgia" w:hAnsi="Georgia"/>
                <w:sz w:val="20"/>
                <w:szCs w:val="20"/>
              </w:rPr>
              <w:t xml:space="preserve">% </w:t>
            </w:r>
            <w:r w:rsidR="00516F84">
              <w:rPr>
                <w:rFonts w:ascii="Georgia" w:hAnsi="Georgia"/>
                <w:sz w:val="20"/>
                <w:szCs w:val="20"/>
              </w:rPr>
              <w:t xml:space="preserve">metinės </w:t>
            </w:r>
            <w:r w:rsidR="000833F4" w:rsidRPr="00BC2CB8">
              <w:rPr>
                <w:rFonts w:ascii="Georgia" w:hAnsi="Georgia"/>
                <w:sz w:val="20"/>
                <w:szCs w:val="20"/>
              </w:rPr>
              <w:t>palūkanos.</w:t>
            </w:r>
            <w:r>
              <w:rPr>
                <w:rFonts w:ascii="Georgia" w:hAnsi="Georgia"/>
                <w:sz w:val="20"/>
                <w:szCs w:val="20"/>
              </w:rPr>
              <w:t xml:space="preserve"> Pradinėje FP stadijoje gali būti nustatomos ir mažesnės palūkanos. Išnaudojus ESI fondų lėšas palūkanos turėtų atitikti FP administravimo ir </w:t>
            </w:r>
            <w:r w:rsidR="003E7034">
              <w:rPr>
                <w:rFonts w:ascii="Georgia" w:hAnsi="Georgia"/>
                <w:sz w:val="20"/>
                <w:szCs w:val="20"/>
              </w:rPr>
              <w:t>lėšų</w:t>
            </w:r>
            <w:r>
              <w:rPr>
                <w:rFonts w:ascii="Georgia" w:hAnsi="Georgia"/>
                <w:sz w:val="20"/>
                <w:szCs w:val="20"/>
              </w:rPr>
              <w:t xml:space="preserve"> pritraukimo kainą.</w:t>
            </w:r>
          </w:p>
        </w:tc>
      </w:tr>
      <w:tr w:rsidR="000833F4" w:rsidRPr="00BC2CB8" w14:paraId="33577ABB" w14:textId="77777777" w:rsidTr="004F3A7E">
        <w:trPr>
          <w:cantSplit/>
          <w:trHeight w:val="322"/>
        </w:trPr>
        <w:tc>
          <w:tcPr>
            <w:cnfStyle w:val="001000000000" w:firstRow="0" w:lastRow="0" w:firstColumn="1" w:lastColumn="0" w:oddVBand="0" w:evenVBand="0" w:oddHBand="0" w:evenHBand="0" w:firstRowFirstColumn="0" w:firstRowLastColumn="0" w:lastRowFirstColumn="0" w:lastRowLastColumn="0"/>
            <w:tcW w:w="1372" w:type="pct"/>
            <w:tcBorders>
              <w:top w:val="single" w:sz="6" w:space="0" w:color="C0504D" w:themeColor="accent2"/>
              <w:right w:val="single" w:sz="6" w:space="0" w:color="C0504D" w:themeColor="accent2"/>
            </w:tcBorders>
          </w:tcPr>
          <w:p w14:paraId="70662773" w14:textId="77777777" w:rsidR="000833F4" w:rsidRPr="00BC2CB8" w:rsidRDefault="000833F4" w:rsidP="004F3A7E">
            <w:pPr>
              <w:rPr>
                <w:rFonts w:ascii="Georgia" w:hAnsi="Georgia"/>
                <w:b w:val="0"/>
                <w:sz w:val="20"/>
                <w:szCs w:val="20"/>
              </w:rPr>
            </w:pPr>
            <w:r w:rsidRPr="00BC2CB8">
              <w:rPr>
                <w:rFonts w:ascii="Georgia" w:hAnsi="Georgia"/>
                <w:sz w:val="20"/>
              </w:rPr>
              <w:t>Valdymo mokestis: vadovaujantis Deleguoto reglamento nuostatomis</w:t>
            </w:r>
          </w:p>
        </w:tc>
        <w:tc>
          <w:tcPr>
            <w:tcW w:w="3628" w:type="pct"/>
            <w:tcBorders>
              <w:top w:val="single" w:sz="6" w:space="0" w:color="C0504D" w:themeColor="accent2"/>
              <w:left w:val="single" w:sz="6" w:space="0" w:color="C0504D" w:themeColor="accent2"/>
            </w:tcBorders>
          </w:tcPr>
          <w:p w14:paraId="1A0455AD" w14:textId="3814BF06" w:rsidR="000833F4" w:rsidRPr="00BC2CB8" w:rsidRDefault="000833F4" w:rsidP="009647A2">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rPr>
              <w:t>Vadovaujantis Deleguoto reglamento nuostatomis, valdymo mokestis susideda iš dviejų dalių: 0,5 proc. bazinis mokestis nuo finansinei priemonei skirtų ir įmokėtų lėšų, 1 proc. mokestis nuo paskolų</w:t>
            </w:r>
            <w:r w:rsidR="00775B14">
              <w:rPr>
                <w:rFonts w:ascii="Georgia" w:hAnsi="Georgia"/>
                <w:sz w:val="20"/>
              </w:rPr>
              <w:t xml:space="preserve"> </w:t>
            </w:r>
            <w:r w:rsidRPr="00BC2CB8">
              <w:rPr>
                <w:rFonts w:ascii="Georgia" w:hAnsi="Georgia"/>
                <w:sz w:val="20"/>
              </w:rPr>
              <w:t>sumos.</w:t>
            </w:r>
          </w:p>
        </w:tc>
      </w:tr>
      <w:tr w:rsidR="000833F4" w:rsidRPr="00BC2CB8" w14:paraId="0D190862" w14:textId="77777777" w:rsidTr="004F3A7E">
        <w:trPr>
          <w:cnfStyle w:val="000000100000" w:firstRow="0" w:lastRow="0" w:firstColumn="0" w:lastColumn="0" w:oddVBand="0" w:evenVBand="0" w:oddHBand="1" w:evenHBand="0" w:firstRowFirstColumn="0" w:firstRowLastColumn="0" w:lastRowFirstColumn="0" w:lastRowLastColumn="0"/>
          <w:cantSplit/>
          <w:trHeight w:val="220"/>
        </w:trPr>
        <w:tc>
          <w:tcPr>
            <w:cnfStyle w:val="001000000000" w:firstRow="0" w:lastRow="0" w:firstColumn="1" w:lastColumn="0" w:oddVBand="0" w:evenVBand="0" w:oddHBand="0" w:evenHBand="0" w:firstRowFirstColumn="0" w:firstRowLastColumn="0" w:lastRowFirstColumn="0" w:lastRowLastColumn="0"/>
            <w:tcW w:w="1372" w:type="pct"/>
            <w:tcBorders>
              <w:top w:val="single" w:sz="6" w:space="0" w:color="C0504D" w:themeColor="accent2"/>
              <w:right w:val="single" w:sz="6" w:space="0" w:color="C0504D" w:themeColor="accent2"/>
            </w:tcBorders>
          </w:tcPr>
          <w:p w14:paraId="3E0C2A35" w14:textId="77777777" w:rsidR="000833F4" w:rsidRPr="00BC2CB8" w:rsidRDefault="000833F4" w:rsidP="004F3A7E">
            <w:pPr>
              <w:rPr>
                <w:rFonts w:ascii="Georgia" w:hAnsi="Georgia"/>
                <w:b w:val="0"/>
                <w:sz w:val="20"/>
                <w:szCs w:val="20"/>
              </w:rPr>
            </w:pPr>
            <w:r w:rsidRPr="00BC2CB8">
              <w:rPr>
                <w:rFonts w:ascii="Georgia" w:hAnsi="Georgia"/>
                <w:sz w:val="20"/>
                <w:szCs w:val="20"/>
              </w:rPr>
              <w:t xml:space="preserve">Projekto įgyvendinimo laikotarpis: 1 metai </w:t>
            </w:r>
          </w:p>
        </w:tc>
        <w:tc>
          <w:tcPr>
            <w:tcW w:w="3628" w:type="pct"/>
            <w:tcBorders>
              <w:top w:val="single" w:sz="6" w:space="0" w:color="C0504D" w:themeColor="accent2"/>
              <w:left w:val="single" w:sz="6" w:space="0" w:color="C0504D" w:themeColor="accent2"/>
            </w:tcBorders>
          </w:tcPr>
          <w:p w14:paraId="73BBF7A9" w14:textId="77777777" w:rsidR="000833F4" w:rsidRPr="00BC2CB8" w:rsidRDefault="000833F4" w:rsidP="004F3A7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tipinio viešojo pastato renovacijos laikas yra 1 metai nuo paskolos sutarties pasirašymo momento.</w:t>
            </w:r>
          </w:p>
        </w:tc>
      </w:tr>
      <w:tr w:rsidR="000833F4" w:rsidRPr="00BC2CB8" w14:paraId="4D6F0BC2" w14:textId="77777777" w:rsidTr="004F3A7E">
        <w:trPr>
          <w:cantSplit/>
          <w:trHeight w:val="439"/>
        </w:trPr>
        <w:tc>
          <w:tcPr>
            <w:cnfStyle w:val="001000000000" w:firstRow="0" w:lastRow="0" w:firstColumn="1" w:lastColumn="0" w:oddVBand="0" w:evenVBand="0" w:oddHBand="0" w:evenHBand="0" w:firstRowFirstColumn="0" w:firstRowLastColumn="0" w:lastRowFirstColumn="0" w:lastRowLastColumn="0"/>
            <w:tcW w:w="1372" w:type="pct"/>
            <w:tcBorders>
              <w:top w:val="single" w:sz="6" w:space="0" w:color="C0504D" w:themeColor="accent2"/>
              <w:right w:val="single" w:sz="6" w:space="0" w:color="C0504D" w:themeColor="accent2"/>
            </w:tcBorders>
          </w:tcPr>
          <w:p w14:paraId="14633FFE" w14:textId="77777777" w:rsidR="000833F4" w:rsidRPr="00BC2CB8" w:rsidRDefault="000833F4" w:rsidP="004F3A7E">
            <w:pPr>
              <w:rPr>
                <w:rFonts w:ascii="Georgia" w:hAnsi="Georgia"/>
                <w:b w:val="0"/>
                <w:sz w:val="20"/>
                <w:szCs w:val="20"/>
              </w:rPr>
            </w:pPr>
            <w:r w:rsidRPr="00BC2CB8">
              <w:rPr>
                <w:rFonts w:ascii="Georgia" w:hAnsi="Georgia"/>
                <w:sz w:val="20"/>
              </w:rPr>
              <w:t>Pakartotinai panaudojamos grįžusios lėšos: po 2 metų</w:t>
            </w:r>
          </w:p>
        </w:tc>
        <w:tc>
          <w:tcPr>
            <w:tcW w:w="3628" w:type="pct"/>
            <w:tcBorders>
              <w:top w:val="single" w:sz="6" w:space="0" w:color="C0504D" w:themeColor="accent2"/>
              <w:left w:val="single" w:sz="6" w:space="0" w:color="C0504D" w:themeColor="accent2"/>
            </w:tcBorders>
          </w:tcPr>
          <w:p w14:paraId="3E9AA314" w14:textId="77777777" w:rsidR="000833F4" w:rsidRPr="00BC2CB8" w:rsidRDefault="000833F4" w:rsidP="004F3A7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rPr>
              <w:t>Daroma prielaida, jog grįžtančios lėšos pakartotinai panaudojamos projektų finansavimui tomis pačiomis sąlygomis po 2 metų.</w:t>
            </w:r>
          </w:p>
        </w:tc>
      </w:tr>
    </w:tbl>
    <w:p w14:paraId="3822F4FB" w14:textId="77777777" w:rsidR="000833F4" w:rsidRPr="00BC2CB8" w:rsidRDefault="000833F4" w:rsidP="000833F4">
      <w:pPr>
        <w:ind w:left="360"/>
        <w:rPr>
          <w:rFonts w:ascii="Georgia" w:hAnsi="Georgia"/>
          <w:sz w:val="20"/>
          <w:szCs w:val="20"/>
          <w:lang w:val="lt-LT"/>
        </w:rPr>
      </w:pPr>
    </w:p>
    <w:p w14:paraId="301D236A" w14:textId="201BBAD4" w:rsidR="000833F4" w:rsidRDefault="000833F4" w:rsidP="00B76111">
      <w:pPr>
        <w:pStyle w:val="Antrat"/>
        <w:jc w:val="both"/>
        <w:rPr>
          <w:lang w:val="lt-LT"/>
        </w:rPr>
      </w:pPr>
      <w:bookmarkStart w:id="176" w:name="_Toc460321662"/>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81</w:t>
      </w:r>
      <w:r w:rsidRPr="00BC2CB8">
        <w:rPr>
          <w:lang w:val="lt-LT"/>
        </w:rPr>
        <w:fldChar w:fldCharType="end"/>
      </w:r>
      <w:r w:rsidRPr="00BC2CB8">
        <w:rPr>
          <w:lang w:val="lt-LT"/>
        </w:rPr>
        <w:t>. Scenarijaus Nr. 1 įgyvendinimo prognozė</w:t>
      </w:r>
      <w:bookmarkEnd w:id="176"/>
    </w:p>
    <w:p w14:paraId="68E4785D" w14:textId="117B54FC" w:rsidR="003B165A" w:rsidRDefault="00C212B6" w:rsidP="00A734A4">
      <w:pPr>
        <w:keepNext/>
        <w:rPr>
          <w:lang w:val="lt-LT"/>
        </w:rPr>
      </w:pPr>
      <w:r>
        <w:rPr>
          <w:noProof/>
          <w:lang w:val="lt-LT" w:eastAsia="lt-LT"/>
        </w:rPr>
        <w:drawing>
          <wp:inline distT="0" distB="0" distL="0" distR="0" wp14:anchorId="150BC430" wp14:editId="7F722D97">
            <wp:extent cx="5629559" cy="2451100"/>
            <wp:effectExtent l="0" t="0" r="9525" b="6350"/>
            <wp:docPr id="50199" name="Picture 5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screen">
                      <a:extLst>
                        <a:ext uri="{28A0092B-C50C-407E-A947-70E740481C1C}">
                          <a14:useLocalDpi xmlns:a14="http://schemas.microsoft.com/office/drawing/2010/main"/>
                        </a:ext>
                      </a:extLst>
                    </a:blip>
                    <a:srcRect/>
                    <a:stretch/>
                  </pic:blipFill>
                  <pic:spPr bwMode="auto">
                    <a:xfrm>
                      <a:off x="0" y="0"/>
                      <a:ext cx="5635294" cy="2453597"/>
                    </a:xfrm>
                    <a:prstGeom prst="rect">
                      <a:avLst/>
                    </a:prstGeom>
                    <a:ln>
                      <a:noFill/>
                    </a:ln>
                    <a:extLst>
                      <a:ext uri="{53640926-AAD7-44D8-BBD7-CCE9431645EC}">
                        <a14:shadowObscured xmlns:a14="http://schemas.microsoft.com/office/drawing/2010/main"/>
                      </a:ext>
                    </a:extLst>
                  </pic:spPr>
                </pic:pic>
              </a:graphicData>
            </a:graphic>
          </wp:inline>
        </w:drawing>
      </w:r>
    </w:p>
    <w:p w14:paraId="1FEA8657" w14:textId="77777777" w:rsidR="000833F4" w:rsidRPr="00BC2CB8" w:rsidRDefault="000833F4" w:rsidP="000833F4">
      <w:pPr>
        <w:rPr>
          <w:lang w:val="lt-LT"/>
        </w:rPr>
      </w:pPr>
    </w:p>
    <w:p w14:paraId="0330896E" w14:textId="20A26138" w:rsidR="000833F4" w:rsidRPr="00BC2CB8" w:rsidRDefault="000833F4" w:rsidP="000833F4">
      <w:pPr>
        <w:pStyle w:val="Antrat"/>
        <w:rPr>
          <w:szCs w:val="20"/>
          <w:lang w:val="lt-LT"/>
        </w:rPr>
      </w:pPr>
      <w:bookmarkStart w:id="177" w:name="_Toc460321663"/>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82</w:t>
      </w:r>
      <w:r w:rsidRPr="00BC2CB8">
        <w:rPr>
          <w:lang w:val="lt-LT"/>
        </w:rPr>
        <w:fldChar w:fldCharType="end"/>
      </w:r>
      <w:r w:rsidRPr="00BC2CB8">
        <w:rPr>
          <w:lang w:val="lt-LT"/>
        </w:rPr>
        <w:t xml:space="preserve">. </w:t>
      </w:r>
      <w:r w:rsidRPr="00BC2CB8">
        <w:rPr>
          <w:szCs w:val="20"/>
          <w:lang w:val="lt-LT"/>
        </w:rPr>
        <w:t>Scenarijaus Nr. 1 rezultatai</w:t>
      </w:r>
      <w:bookmarkEnd w:id="177"/>
    </w:p>
    <w:tbl>
      <w:tblPr>
        <w:tblStyle w:val="viesussraas2parykinimas"/>
        <w:tblW w:w="5000" w:type="pct"/>
        <w:tblLook w:val="04A0" w:firstRow="1" w:lastRow="0" w:firstColumn="1" w:lastColumn="0" w:noHBand="0" w:noVBand="1"/>
      </w:tblPr>
      <w:tblGrid>
        <w:gridCol w:w="6651"/>
        <w:gridCol w:w="2591"/>
      </w:tblGrid>
      <w:tr w:rsidR="000833F4" w:rsidRPr="00BC2CB8" w14:paraId="2FD1B436" w14:textId="77777777" w:rsidTr="004F3A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781501EC" w14:textId="77777777" w:rsidR="000833F4" w:rsidRPr="00BC2CB8" w:rsidRDefault="000833F4" w:rsidP="004F3A7E">
            <w:pPr>
              <w:jc w:val="center"/>
              <w:rPr>
                <w:rFonts w:ascii="Georgia" w:hAnsi="Georgia"/>
                <w:sz w:val="20"/>
                <w:szCs w:val="20"/>
              </w:rPr>
            </w:pPr>
            <w:r w:rsidRPr="00BC2CB8">
              <w:rPr>
                <w:rFonts w:ascii="Georgia" w:hAnsi="Georgia"/>
                <w:sz w:val="20"/>
                <w:szCs w:val="20"/>
              </w:rPr>
              <w:t>Fondas</w:t>
            </w:r>
          </w:p>
        </w:tc>
        <w:tc>
          <w:tcPr>
            <w:tcW w:w="1402" w:type="pct"/>
          </w:tcPr>
          <w:p w14:paraId="58F7A715" w14:textId="77777777" w:rsidR="000833F4" w:rsidRPr="00BC2CB8" w:rsidRDefault="000833F4" w:rsidP="004F3A7E">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mln. eurų</w:t>
            </w:r>
          </w:p>
        </w:tc>
      </w:tr>
      <w:tr w:rsidR="00C652A0" w:rsidRPr="00BC2CB8" w14:paraId="601C0A4D" w14:textId="77777777" w:rsidTr="004F3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1AFB3E75" w14:textId="77777777" w:rsidR="00C652A0" w:rsidRPr="00BC2CB8" w:rsidRDefault="00C652A0" w:rsidP="00C652A0">
            <w:pPr>
              <w:rPr>
                <w:rFonts w:ascii="Georgia" w:hAnsi="Georgia"/>
                <w:sz w:val="20"/>
                <w:szCs w:val="20"/>
              </w:rPr>
            </w:pPr>
            <w:r w:rsidRPr="00BC2CB8">
              <w:rPr>
                <w:rFonts w:ascii="Georgia" w:hAnsi="Georgia"/>
                <w:sz w:val="20"/>
                <w:szCs w:val="20"/>
              </w:rPr>
              <w:t>Galutinius naudos gavėjus pasiekusios lėšos</w:t>
            </w:r>
          </w:p>
        </w:tc>
        <w:tc>
          <w:tcPr>
            <w:tcW w:w="1402" w:type="pct"/>
          </w:tcPr>
          <w:p w14:paraId="3397C2E1" w14:textId="19A970FD" w:rsidR="00C652A0" w:rsidRPr="001D4A0D" w:rsidRDefault="00C652A0" w:rsidP="00CD01C4">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60FD0">
              <w:t xml:space="preserve"> </w:t>
            </w:r>
            <w:r w:rsidR="00183ED3">
              <w:t>49,</w:t>
            </w:r>
            <w:r w:rsidR="0047041F">
              <w:t>0</w:t>
            </w:r>
            <w:r w:rsidR="008F6DA3">
              <w:rPr>
                <w:rStyle w:val="Puslapioinaosnuoroda"/>
              </w:rPr>
              <w:footnoteReference w:id="110"/>
            </w:r>
            <w:r w:rsidRPr="00D60FD0">
              <w:t xml:space="preserve"> </w:t>
            </w:r>
          </w:p>
        </w:tc>
      </w:tr>
      <w:tr w:rsidR="00C652A0" w:rsidRPr="00BC2CB8" w14:paraId="62AFC20B" w14:textId="77777777" w:rsidTr="004F3A7E">
        <w:tc>
          <w:tcPr>
            <w:cnfStyle w:val="001000000000" w:firstRow="0" w:lastRow="0" w:firstColumn="1" w:lastColumn="0" w:oddVBand="0" w:evenVBand="0" w:oddHBand="0" w:evenHBand="0" w:firstRowFirstColumn="0" w:firstRowLastColumn="0" w:lastRowFirstColumn="0" w:lastRowLastColumn="0"/>
            <w:tcW w:w="3598" w:type="pct"/>
          </w:tcPr>
          <w:p w14:paraId="2EC420A3" w14:textId="77777777" w:rsidR="00C652A0" w:rsidRPr="00BC2CB8" w:rsidRDefault="00C652A0" w:rsidP="00C652A0">
            <w:pPr>
              <w:rPr>
                <w:rFonts w:ascii="Georgia" w:hAnsi="Georgia"/>
                <w:sz w:val="20"/>
                <w:szCs w:val="20"/>
              </w:rPr>
            </w:pPr>
            <w:r>
              <w:rPr>
                <w:rFonts w:ascii="Georgia" w:hAnsi="Georgia"/>
                <w:sz w:val="20"/>
                <w:szCs w:val="20"/>
              </w:rPr>
              <w:t>Pasirašytų paskolos sutarčių skaičius</w:t>
            </w:r>
          </w:p>
        </w:tc>
        <w:tc>
          <w:tcPr>
            <w:tcW w:w="1402" w:type="pct"/>
          </w:tcPr>
          <w:p w14:paraId="3524DFF0" w14:textId="4EA71D06" w:rsidR="00C652A0" w:rsidRPr="001D4A0D" w:rsidRDefault="00C652A0" w:rsidP="0050613B">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60FD0">
              <w:t xml:space="preserve"> 216</w:t>
            </w:r>
          </w:p>
        </w:tc>
      </w:tr>
      <w:tr w:rsidR="00C652A0" w:rsidRPr="00BC2CB8" w14:paraId="1F7BA713" w14:textId="77777777" w:rsidTr="004F3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0BB40142" w14:textId="77777777" w:rsidR="00C652A0" w:rsidRPr="00BC2CB8" w:rsidRDefault="00C652A0" w:rsidP="00C652A0">
            <w:pPr>
              <w:rPr>
                <w:rFonts w:ascii="Georgia" w:hAnsi="Georgia"/>
                <w:sz w:val="20"/>
                <w:szCs w:val="20"/>
              </w:rPr>
            </w:pPr>
            <w:r w:rsidRPr="00BC2CB8">
              <w:rPr>
                <w:rFonts w:ascii="Georgia" w:hAnsi="Georgia"/>
                <w:sz w:val="20"/>
                <w:szCs w:val="20"/>
              </w:rPr>
              <w:t>Iki 2022 m. renovuotų pastatų skaičius</w:t>
            </w:r>
          </w:p>
        </w:tc>
        <w:tc>
          <w:tcPr>
            <w:tcW w:w="1402" w:type="pct"/>
          </w:tcPr>
          <w:p w14:paraId="13A0EB9D" w14:textId="2C3370CF" w:rsidR="00C652A0" w:rsidRPr="001D4A0D" w:rsidRDefault="00C652A0" w:rsidP="0050613B">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60FD0">
              <w:t xml:space="preserve"> 215</w:t>
            </w:r>
          </w:p>
        </w:tc>
      </w:tr>
      <w:tr w:rsidR="00C652A0" w:rsidRPr="00BC2CB8" w14:paraId="037347DD" w14:textId="77777777" w:rsidTr="004F3A7E">
        <w:tc>
          <w:tcPr>
            <w:cnfStyle w:val="001000000000" w:firstRow="0" w:lastRow="0" w:firstColumn="1" w:lastColumn="0" w:oddVBand="0" w:evenVBand="0" w:oddHBand="0" w:evenHBand="0" w:firstRowFirstColumn="0" w:firstRowLastColumn="0" w:lastRowFirstColumn="0" w:lastRowLastColumn="0"/>
            <w:tcW w:w="3598" w:type="pct"/>
          </w:tcPr>
          <w:p w14:paraId="65C550DA" w14:textId="77777777" w:rsidR="00C652A0" w:rsidRPr="00BC2CB8" w:rsidRDefault="00C652A0" w:rsidP="00C652A0">
            <w:pPr>
              <w:rPr>
                <w:rFonts w:ascii="Georgia" w:hAnsi="Georgia"/>
                <w:sz w:val="20"/>
                <w:szCs w:val="20"/>
              </w:rPr>
            </w:pPr>
            <w:r w:rsidRPr="00BC2CB8">
              <w:rPr>
                <w:rFonts w:ascii="Georgia" w:hAnsi="Georgia"/>
                <w:sz w:val="20"/>
                <w:szCs w:val="20"/>
              </w:rPr>
              <w:t>Iki 2022 m. Renovuotų pastatų plotas, tūkst. kv. m.</w:t>
            </w:r>
          </w:p>
        </w:tc>
        <w:tc>
          <w:tcPr>
            <w:tcW w:w="1402" w:type="pct"/>
          </w:tcPr>
          <w:p w14:paraId="5DBBA9F0" w14:textId="39AA15A3" w:rsidR="00C652A0" w:rsidRPr="001D4A0D" w:rsidRDefault="00C652A0">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60FD0">
              <w:t xml:space="preserve"> 242</w:t>
            </w:r>
            <w:r w:rsidR="005D4222">
              <w:t>,</w:t>
            </w:r>
            <w:r w:rsidRPr="00D60FD0">
              <w:t xml:space="preserve">3 </w:t>
            </w:r>
          </w:p>
        </w:tc>
      </w:tr>
    </w:tbl>
    <w:p w14:paraId="78989D6F" w14:textId="77777777" w:rsidR="000833F4" w:rsidRDefault="000833F4" w:rsidP="000833F4">
      <w:pPr>
        <w:ind w:left="360"/>
        <w:rPr>
          <w:rFonts w:ascii="Georgia" w:hAnsi="Georgia"/>
          <w:sz w:val="20"/>
          <w:szCs w:val="20"/>
          <w:lang w:val="lt-LT"/>
        </w:rPr>
      </w:pPr>
    </w:p>
    <w:p w14:paraId="11DC955A" w14:textId="77777777" w:rsidR="00C652A0" w:rsidRPr="00BC2CB8" w:rsidRDefault="00C652A0" w:rsidP="00A734A4">
      <w:pPr>
        <w:ind w:left="360"/>
        <w:jc w:val="both"/>
        <w:rPr>
          <w:rFonts w:ascii="Georgia" w:hAnsi="Georgia"/>
          <w:sz w:val="20"/>
          <w:szCs w:val="20"/>
          <w:lang w:val="lt-LT"/>
        </w:rPr>
      </w:pPr>
    </w:p>
    <w:p w14:paraId="565A5212" w14:textId="77777777" w:rsidR="004F3A7E" w:rsidRPr="00BC2CB8" w:rsidRDefault="004F3A7E" w:rsidP="004F3A7E">
      <w:pPr>
        <w:pStyle w:val="Sraopastraipa"/>
        <w:keepNext/>
        <w:numPr>
          <w:ilvl w:val="0"/>
          <w:numId w:val="34"/>
        </w:numPr>
        <w:ind w:left="714" w:hanging="357"/>
        <w:rPr>
          <w:rFonts w:ascii="Georgia" w:hAnsi="Georgia"/>
          <w:b/>
          <w:i/>
          <w:sz w:val="20"/>
          <w:szCs w:val="20"/>
          <w:lang w:val="lt-LT"/>
        </w:rPr>
      </w:pPr>
      <w:r w:rsidRPr="00BC2CB8">
        <w:rPr>
          <w:rFonts w:ascii="Georgia" w:hAnsi="Georgia"/>
          <w:b/>
          <w:i/>
          <w:sz w:val="20"/>
          <w:szCs w:val="20"/>
          <w:lang w:val="lt-LT"/>
        </w:rPr>
        <w:t>Scenarijus Nr. 2: Lengvatinių paskolų teikimas su galimybe išpirkti ateities finansinius srautus</w:t>
      </w:r>
    </w:p>
    <w:p w14:paraId="620B551A" w14:textId="62228769" w:rsidR="005F1D8E" w:rsidRPr="001D26F2" w:rsidRDefault="00E95099" w:rsidP="00B76111">
      <w:pPr>
        <w:keepNext/>
        <w:jc w:val="both"/>
        <w:rPr>
          <w:rFonts w:ascii="Georgia" w:hAnsi="Georgia"/>
          <w:sz w:val="20"/>
          <w:szCs w:val="20"/>
        </w:rPr>
      </w:pPr>
      <w:r>
        <w:rPr>
          <w:rFonts w:ascii="Georgia" w:hAnsi="Georgia"/>
          <w:noProof/>
          <w:sz w:val="20"/>
          <w:szCs w:val="20"/>
          <w:lang w:val="lt-LT" w:eastAsia="lt-LT"/>
        </w:rPr>
        <w:drawing>
          <wp:inline distT="0" distB="0" distL="0" distR="0" wp14:anchorId="0608BFE1" wp14:editId="18B5D15D">
            <wp:extent cx="5731510" cy="1410970"/>
            <wp:effectExtent l="0" t="0" r="254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Savivaldybe Nr. 2.jpg"/>
                    <pic:cNvPicPr/>
                  </pic:nvPicPr>
                  <pic:blipFill>
                    <a:blip r:embed="rId63" cstate="screen">
                      <a:extLst>
                        <a:ext uri="{28A0092B-C50C-407E-A947-70E740481C1C}">
                          <a14:useLocalDpi xmlns:a14="http://schemas.microsoft.com/office/drawing/2010/main"/>
                        </a:ext>
                      </a:extLst>
                    </a:blip>
                    <a:stretch>
                      <a:fillRect/>
                    </a:stretch>
                  </pic:blipFill>
                  <pic:spPr>
                    <a:xfrm>
                      <a:off x="0" y="0"/>
                      <a:ext cx="5731510" cy="1410970"/>
                    </a:xfrm>
                    <a:prstGeom prst="rect">
                      <a:avLst/>
                    </a:prstGeom>
                  </pic:spPr>
                </pic:pic>
              </a:graphicData>
            </a:graphic>
          </wp:inline>
        </w:drawing>
      </w:r>
    </w:p>
    <w:p w14:paraId="67CCBB1B" w14:textId="751296C9" w:rsidR="004F3A7E" w:rsidRPr="00BC2CB8" w:rsidRDefault="004F3A7E" w:rsidP="001554CF">
      <w:pPr>
        <w:pStyle w:val="Antrat"/>
        <w:rPr>
          <w:szCs w:val="20"/>
          <w:lang w:val="lt-LT"/>
        </w:rPr>
      </w:pPr>
      <w:bookmarkStart w:id="178" w:name="_Toc417378307"/>
      <w:r w:rsidRPr="00BC2CB8">
        <w:rPr>
          <w:lang w:val="lt-LT"/>
        </w:rPr>
        <w:t xml:space="preserve">Paveikslas </w:t>
      </w:r>
      <w:r w:rsidRPr="00BC2CB8">
        <w:rPr>
          <w:lang w:val="lt-LT"/>
        </w:rPr>
        <w:fldChar w:fldCharType="begin"/>
      </w:r>
      <w:r w:rsidRPr="00BC2CB8">
        <w:rPr>
          <w:lang w:val="lt-LT"/>
        </w:rPr>
        <w:instrText xml:space="preserve"> SEQ Paveikslas \* ARABIC </w:instrText>
      </w:r>
      <w:r w:rsidRPr="00BC2CB8">
        <w:rPr>
          <w:lang w:val="lt-LT"/>
        </w:rPr>
        <w:fldChar w:fldCharType="separate"/>
      </w:r>
      <w:r w:rsidR="00AA3082">
        <w:rPr>
          <w:noProof/>
          <w:lang w:val="lt-LT"/>
        </w:rPr>
        <w:t>30</w:t>
      </w:r>
      <w:r w:rsidRPr="00BC2CB8">
        <w:rPr>
          <w:lang w:val="lt-LT"/>
        </w:rPr>
        <w:fldChar w:fldCharType="end"/>
      </w:r>
      <w:r w:rsidRPr="00BC2CB8">
        <w:rPr>
          <w:lang w:val="lt-LT"/>
        </w:rPr>
        <w:t xml:space="preserve">. </w:t>
      </w:r>
      <w:r w:rsidR="00667973">
        <w:rPr>
          <w:lang w:val="lt-LT"/>
        </w:rPr>
        <w:t>Savivaldybių v</w:t>
      </w:r>
      <w:r w:rsidRPr="00BC2CB8">
        <w:rPr>
          <w:lang w:val="lt-LT"/>
        </w:rPr>
        <w:t>iešųjų pastatų scenarijaus Nr. 2 schema.</w:t>
      </w:r>
      <w:bookmarkEnd w:id="178"/>
      <w:r w:rsidRPr="00BC2CB8">
        <w:rPr>
          <w:lang w:val="lt-LT"/>
        </w:rPr>
        <w:t xml:space="preserve"> </w:t>
      </w:r>
    </w:p>
    <w:p w14:paraId="3432F3E5" w14:textId="77777777" w:rsidR="004F3A7E" w:rsidRPr="00BC2CB8" w:rsidRDefault="004F3A7E" w:rsidP="004F3A7E">
      <w:pPr>
        <w:jc w:val="both"/>
        <w:rPr>
          <w:rFonts w:ascii="Georgia" w:hAnsi="Georgia"/>
          <w:sz w:val="20"/>
          <w:szCs w:val="20"/>
          <w:lang w:val="lt-LT"/>
        </w:rPr>
      </w:pPr>
      <w:r w:rsidRPr="00BC2CB8">
        <w:rPr>
          <w:rFonts w:ascii="Georgia" w:hAnsi="Georgia"/>
          <w:sz w:val="20"/>
          <w:szCs w:val="20"/>
          <w:lang w:val="lt-LT"/>
        </w:rPr>
        <w:t xml:space="preserve">Antrame scenarijuje </w:t>
      </w:r>
      <w:r>
        <w:rPr>
          <w:rFonts w:ascii="Georgia" w:hAnsi="Georgia"/>
          <w:sz w:val="20"/>
          <w:szCs w:val="20"/>
          <w:lang w:val="lt-LT"/>
        </w:rPr>
        <w:t>modeliuojama</w:t>
      </w:r>
      <w:r w:rsidRPr="00BC2CB8">
        <w:rPr>
          <w:rFonts w:ascii="Georgia" w:hAnsi="Georgia"/>
          <w:sz w:val="20"/>
          <w:szCs w:val="20"/>
          <w:lang w:val="lt-LT"/>
        </w:rPr>
        <w:t xml:space="preserve"> paskolų finansinė priemonė, kaip ir scenarijuje Nr. 1, tačiau numatoma, jog </w:t>
      </w:r>
      <w:r w:rsidR="002F60CA" w:rsidRPr="00BC2CB8">
        <w:rPr>
          <w:rFonts w:ascii="Georgia" w:hAnsi="Georgia"/>
          <w:sz w:val="20"/>
          <w:szCs w:val="20"/>
          <w:lang w:val="lt-LT"/>
        </w:rPr>
        <w:t>201</w:t>
      </w:r>
      <w:r w:rsidR="002F60CA">
        <w:rPr>
          <w:rFonts w:ascii="Georgia" w:hAnsi="Georgia"/>
          <w:sz w:val="20"/>
          <w:szCs w:val="20"/>
          <w:lang w:val="lt-LT"/>
        </w:rPr>
        <w:t>6</w:t>
      </w:r>
      <w:r w:rsidR="002F60CA" w:rsidRPr="00BC2CB8">
        <w:rPr>
          <w:rFonts w:ascii="Georgia" w:hAnsi="Georgia"/>
          <w:sz w:val="20"/>
          <w:szCs w:val="20"/>
          <w:lang w:val="lt-LT"/>
        </w:rPr>
        <w:t xml:space="preserve"> </w:t>
      </w:r>
      <w:r w:rsidRPr="00BC2CB8">
        <w:rPr>
          <w:rFonts w:ascii="Georgia" w:hAnsi="Georgia"/>
          <w:sz w:val="20"/>
          <w:szCs w:val="20"/>
          <w:lang w:val="lt-LT"/>
        </w:rPr>
        <w:t xml:space="preserve">metais veiklą pradės privatus investicinis fondas, kuris išpirktų apie </w:t>
      </w:r>
      <w:r>
        <w:rPr>
          <w:rFonts w:ascii="Georgia" w:hAnsi="Georgia"/>
          <w:sz w:val="20"/>
          <w:szCs w:val="20"/>
          <w:lang w:val="lt-LT"/>
        </w:rPr>
        <w:t>5</w:t>
      </w:r>
      <w:r w:rsidRPr="00BC2CB8">
        <w:rPr>
          <w:rFonts w:ascii="Georgia" w:hAnsi="Georgia"/>
          <w:sz w:val="20"/>
          <w:szCs w:val="20"/>
          <w:lang w:val="lt-LT"/>
        </w:rPr>
        <w:t xml:space="preserve">0 proc. finansinės priemonės paskolų (investiciniam fondui būtų parduodamos gerosios paskolos). </w:t>
      </w:r>
    </w:p>
    <w:p w14:paraId="21C3600D" w14:textId="372DAA0D" w:rsidR="004F3A7E" w:rsidRPr="00BC2CB8" w:rsidRDefault="004F3A7E" w:rsidP="004F3A7E">
      <w:pPr>
        <w:pStyle w:val="Antrat"/>
        <w:rPr>
          <w:szCs w:val="20"/>
          <w:lang w:val="lt-LT"/>
        </w:rPr>
      </w:pPr>
      <w:bookmarkStart w:id="179" w:name="_Toc460321664"/>
      <w:r w:rsidRPr="00BC2CB8">
        <w:rPr>
          <w:lang w:val="lt-LT"/>
        </w:rPr>
        <w:lastRenderedPageBreak/>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83</w:t>
      </w:r>
      <w:r w:rsidRPr="00BC2CB8">
        <w:rPr>
          <w:lang w:val="lt-LT"/>
        </w:rPr>
        <w:fldChar w:fldCharType="end"/>
      </w:r>
      <w:r w:rsidRPr="00BC2CB8">
        <w:rPr>
          <w:lang w:val="lt-LT"/>
        </w:rPr>
        <w:t xml:space="preserve">. </w:t>
      </w:r>
      <w:r w:rsidRPr="00BC2CB8">
        <w:rPr>
          <w:szCs w:val="20"/>
          <w:lang w:val="lt-LT"/>
        </w:rPr>
        <w:t>Scenarijaus Nr. 2 Prielaidos</w:t>
      </w:r>
      <w:bookmarkEnd w:id="179"/>
    </w:p>
    <w:tbl>
      <w:tblPr>
        <w:tblStyle w:val="viesussraas2parykinimas"/>
        <w:tblW w:w="5000" w:type="pct"/>
        <w:tblLook w:val="04A0" w:firstRow="1" w:lastRow="0" w:firstColumn="1" w:lastColumn="0" w:noHBand="0" w:noVBand="1"/>
      </w:tblPr>
      <w:tblGrid>
        <w:gridCol w:w="2518"/>
        <w:gridCol w:w="6724"/>
      </w:tblGrid>
      <w:tr w:rsidR="004F3A7E" w:rsidRPr="00BC2CB8" w14:paraId="75218517" w14:textId="77777777" w:rsidTr="004F3A7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62" w:type="pct"/>
            <w:tcBorders>
              <w:bottom w:val="single" w:sz="8" w:space="0" w:color="C0504D" w:themeColor="accent2"/>
            </w:tcBorders>
          </w:tcPr>
          <w:p w14:paraId="5F488D9D" w14:textId="77777777" w:rsidR="004F3A7E" w:rsidRPr="00BC2CB8" w:rsidRDefault="004F3A7E" w:rsidP="004F3A7E">
            <w:pPr>
              <w:pStyle w:val="Sraopastraipa"/>
              <w:rPr>
                <w:rFonts w:ascii="Georgia" w:hAnsi="Georgia"/>
                <w:sz w:val="20"/>
                <w:szCs w:val="20"/>
              </w:rPr>
            </w:pPr>
            <w:r w:rsidRPr="00BC2CB8">
              <w:rPr>
                <w:rFonts w:ascii="Georgia" w:hAnsi="Georgia"/>
                <w:sz w:val="20"/>
                <w:szCs w:val="20"/>
              </w:rPr>
              <w:t>Prielaidos</w:t>
            </w:r>
          </w:p>
        </w:tc>
        <w:tc>
          <w:tcPr>
            <w:tcW w:w="3638" w:type="pct"/>
            <w:tcBorders>
              <w:bottom w:val="single" w:sz="8" w:space="0" w:color="C0504D" w:themeColor="accent2"/>
            </w:tcBorders>
          </w:tcPr>
          <w:p w14:paraId="7D6DB764" w14:textId="77777777" w:rsidR="004F3A7E" w:rsidRPr="00BC2CB8" w:rsidRDefault="004F3A7E" w:rsidP="004F3A7E">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Komentaras</w:t>
            </w:r>
          </w:p>
        </w:tc>
      </w:tr>
      <w:tr w:rsidR="004F3A7E" w:rsidRPr="00BC2CB8" w14:paraId="7F4665D3" w14:textId="77777777" w:rsidTr="004F3A7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62" w:type="pct"/>
            <w:tcBorders>
              <w:top w:val="single" w:sz="6" w:space="0" w:color="C0504D" w:themeColor="accent2"/>
              <w:right w:val="single" w:sz="6" w:space="0" w:color="C0504D" w:themeColor="accent2"/>
            </w:tcBorders>
          </w:tcPr>
          <w:p w14:paraId="21FBB6AC" w14:textId="77777777" w:rsidR="004F3A7E" w:rsidRPr="00BC2CB8" w:rsidRDefault="004F3A7E" w:rsidP="004F3A7E">
            <w:pPr>
              <w:rPr>
                <w:rFonts w:ascii="Georgia" w:hAnsi="Georgia"/>
                <w:b w:val="0"/>
                <w:sz w:val="20"/>
                <w:szCs w:val="20"/>
              </w:rPr>
            </w:pPr>
            <w:r w:rsidRPr="00BC2CB8">
              <w:rPr>
                <w:rFonts w:ascii="Georgia" w:hAnsi="Georgia"/>
                <w:sz w:val="20"/>
                <w:szCs w:val="20"/>
              </w:rPr>
              <w:t>Paskolos laikotarpis: iki 20 metų</w:t>
            </w:r>
          </w:p>
        </w:tc>
        <w:tc>
          <w:tcPr>
            <w:tcW w:w="3638" w:type="pct"/>
            <w:tcBorders>
              <w:top w:val="single" w:sz="6" w:space="0" w:color="C0504D" w:themeColor="accent2"/>
              <w:left w:val="single" w:sz="6" w:space="0" w:color="C0504D" w:themeColor="accent2"/>
            </w:tcBorders>
          </w:tcPr>
          <w:p w14:paraId="509BACF0" w14:textId="77777777" w:rsidR="004F3A7E" w:rsidRPr="00BC2CB8" w:rsidRDefault="004F3A7E" w:rsidP="004F3A7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Maksimalus paskolos sutarties terminas yra 20 metų.</w:t>
            </w:r>
          </w:p>
        </w:tc>
      </w:tr>
      <w:tr w:rsidR="004F3A7E" w:rsidRPr="00BC2CB8" w14:paraId="7B5E886C" w14:textId="77777777" w:rsidTr="004F3A7E">
        <w:trPr>
          <w:cantSplit/>
          <w:trHeight w:val="489"/>
        </w:trPr>
        <w:tc>
          <w:tcPr>
            <w:cnfStyle w:val="001000000000" w:firstRow="0" w:lastRow="0" w:firstColumn="1" w:lastColumn="0" w:oddVBand="0" w:evenVBand="0" w:oddHBand="0" w:evenHBand="0" w:firstRowFirstColumn="0" w:firstRowLastColumn="0" w:lastRowFirstColumn="0" w:lastRowLastColumn="0"/>
            <w:tcW w:w="1362" w:type="pct"/>
            <w:tcBorders>
              <w:top w:val="single" w:sz="6" w:space="0" w:color="C0504D" w:themeColor="accent2"/>
              <w:right w:val="single" w:sz="6" w:space="0" w:color="C0504D" w:themeColor="accent2"/>
            </w:tcBorders>
          </w:tcPr>
          <w:p w14:paraId="1E53E371" w14:textId="77777777" w:rsidR="004F3A7E" w:rsidRPr="00BC2CB8" w:rsidRDefault="004F3A7E" w:rsidP="004F3A7E">
            <w:pPr>
              <w:rPr>
                <w:rFonts w:ascii="Georgia" w:hAnsi="Georgia"/>
                <w:b w:val="0"/>
                <w:sz w:val="20"/>
                <w:szCs w:val="20"/>
              </w:rPr>
            </w:pPr>
            <w:r w:rsidRPr="00BC2CB8">
              <w:rPr>
                <w:rFonts w:ascii="Georgia" w:hAnsi="Georgia"/>
                <w:sz w:val="20"/>
                <w:szCs w:val="20"/>
              </w:rPr>
              <w:t>Blogų paskolų dalis: 5 %</w:t>
            </w:r>
          </w:p>
        </w:tc>
        <w:tc>
          <w:tcPr>
            <w:tcW w:w="3638" w:type="pct"/>
            <w:tcBorders>
              <w:top w:val="single" w:sz="6" w:space="0" w:color="C0504D" w:themeColor="accent2"/>
              <w:left w:val="single" w:sz="6" w:space="0" w:color="C0504D" w:themeColor="accent2"/>
            </w:tcBorders>
          </w:tcPr>
          <w:p w14:paraId="13493AB9" w14:textId="77777777" w:rsidR="004F3A7E" w:rsidRPr="00BC2CB8" w:rsidRDefault="004F3A7E" w:rsidP="004F3A7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Blogų paskolų dalis buvo nustatyta remiantis ekspertų ir komercinių bankų vertinimu. Be to, ši prielaida atitinka PwC studijoje nustatytą dydį.</w:t>
            </w:r>
          </w:p>
        </w:tc>
      </w:tr>
      <w:tr w:rsidR="004F3A7E" w:rsidRPr="00BC2CB8" w14:paraId="5CFC2774" w14:textId="77777777" w:rsidTr="004F3A7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62" w:type="pct"/>
            <w:tcBorders>
              <w:top w:val="single" w:sz="6" w:space="0" w:color="C0504D" w:themeColor="accent2"/>
              <w:right w:val="single" w:sz="6" w:space="0" w:color="C0504D" w:themeColor="accent2"/>
            </w:tcBorders>
          </w:tcPr>
          <w:p w14:paraId="74A4806E" w14:textId="77777777" w:rsidR="004F3A7E" w:rsidRPr="00BC2CB8" w:rsidRDefault="004F3A7E" w:rsidP="004F3A7E">
            <w:pPr>
              <w:rPr>
                <w:rFonts w:ascii="Georgia" w:hAnsi="Georgia"/>
                <w:b w:val="0"/>
                <w:sz w:val="20"/>
                <w:szCs w:val="20"/>
              </w:rPr>
            </w:pPr>
            <w:r w:rsidRPr="00BC2CB8">
              <w:rPr>
                <w:rFonts w:ascii="Georgia" w:hAnsi="Georgia"/>
                <w:sz w:val="20"/>
                <w:szCs w:val="20"/>
              </w:rPr>
              <w:t>Tipinio viešojo pastato projekto investicijų vertė: 228 000 eurų</w:t>
            </w:r>
          </w:p>
        </w:tc>
        <w:tc>
          <w:tcPr>
            <w:tcW w:w="3638" w:type="pct"/>
            <w:tcBorders>
              <w:top w:val="single" w:sz="6" w:space="0" w:color="C0504D" w:themeColor="accent2"/>
              <w:left w:val="single" w:sz="6" w:space="0" w:color="C0504D" w:themeColor="accent2"/>
            </w:tcBorders>
          </w:tcPr>
          <w:p w14:paraId="65DFFD0F" w14:textId="77777777" w:rsidR="004F3A7E" w:rsidRPr="00BC2CB8" w:rsidRDefault="004F3A7E" w:rsidP="004F3A7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Vidutinė tipinio viešojo pastato renovacijos kaina buvo nustatyta remiantis vidutinio viešojo pastato plotu ir pastato renovacijos kaštais vienam kvadratiniam metrui. Vidutinis pastato plotas paskaičiuotas remiantis Registrų centro duomenimis 2.1.1. skyriuje, o viešojo pastato renovacijos kaštai numatyti </w:t>
            </w:r>
            <w:r w:rsidRPr="00BC2CB8">
              <w:rPr>
                <w:rFonts w:ascii="Georgia" w:hAnsi="Georgia"/>
                <w:bCs/>
                <w:sz w:val="20"/>
                <w:szCs w:val="20"/>
              </w:rPr>
              <w:t>Viešųjų pastatų energinio efektyvumo didinimo programos projekte</w:t>
            </w:r>
            <w:r w:rsidRPr="00BC2CB8">
              <w:rPr>
                <w:rStyle w:val="Puslapioinaosnuoroda"/>
                <w:rFonts w:ascii="Georgia" w:hAnsi="Georgia"/>
                <w:bCs/>
                <w:sz w:val="20"/>
                <w:szCs w:val="20"/>
              </w:rPr>
              <w:footnoteReference w:id="111"/>
            </w:r>
            <w:r w:rsidRPr="00BC2CB8">
              <w:rPr>
                <w:rFonts w:ascii="Georgia" w:hAnsi="Georgia"/>
                <w:bCs/>
                <w:sz w:val="20"/>
                <w:szCs w:val="20"/>
              </w:rPr>
              <w:t xml:space="preserve"> ir sudaro 202,7 </w:t>
            </w:r>
            <w:r w:rsidRPr="00BC2CB8">
              <w:rPr>
                <w:rFonts w:ascii="Georgia" w:hAnsi="Georgia"/>
                <w:sz w:val="20"/>
                <w:szCs w:val="20"/>
              </w:rPr>
              <w:t>eurų</w:t>
            </w:r>
            <w:r w:rsidRPr="00BC2CB8" w:rsidDel="00334CC9">
              <w:rPr>
                <w:rFonts w:ascii="Georgia" w:hAnsi="Georgia"/>
                <w:bCs/>
                <w:sz w:val="20"/>
                <w:szCs w:val="20"/>
              </w:rPr>
              <w:t xml:space="preserve"> </w:t>
            </w:r>
            <w:r w:rsidRPr="00BC2CB8">
              <w:rPr>
                <w:rFonts w:ascii="Georgia" w:hAnsi="Georgia"/>
                <w:bCs/>
                <w:sz w:val="20"/>
                <w:szCs w:val="20"/>
              </w:rPr>
              <w:t>/m</w:t>
            </w:r>
            <w:r w:rsidRPr="00BC2CB8">
              <w:rPr>
                <w:rFonts w:ascii="Georgia" w:hAnsi="Georgia"/>
                <w:bCs/>
                <w:sz w:val="20"/>
                <w:szCs w:val="20"/>
                <w:vertAlign w:val="superscript"/>
              </w:rPr>
              <w:t>2</w:t>
            </w:r>
            <w:r w:rsidRPr="00BC2CB8">
              <w:rPr>
                <w:rFonts w:ascii="Georgia" w:hAnsi="Georgia"/>
                <w:bCs/>
                <w:sz w:val="20"/>
                <w:szCs w:val="20"/>
              </w:rPr>
              <w:t>.</w:t>
            </w:r>
          </w:p>
        </w:tc>
      </w:tr>
      <w:tr w:rsidR="007D567C" w:rsidRPr="00BC2CB8" w14:paraId="47BC7B9E" w14:textId="77777777" w:rsidTr="004F3A7E">
        <w:trPr>
          <w:cantSplit/>
        </w:trPr>
        <w:tc>
          <w:tcPr>
            <w:cnfStyle w:val="001000000000" w:firstRow="0" w:lastRow="0" w:firstColumn="1" w:lastColumn="0" w:oddVBand="0" w:evenVBand="0" w:oddHBand="0" w:evenHBand="0" w:firstRowFirstColumn="0" w:firstRowLastColumn="0" w:lastRowFirstColumn="0" w:lastRowLastColumn="0"/>
            <w:tcW w:w="1362" w:type="pct"/>
            <w:tcBorders>
              <w:top w:val="single" w:sz="6" w:space="0" w:color="C0504D" w:themeColor="accent2"/>
              <w:right w:val="single" w:sz="6" w:space="0" w:color="C0504D" w:themeColor="accent2"/>
            </w:tcBorders>
          </w:tcPr>
          <w:p w14:paraId="50826269" w14:textId="4DC3B10D" w:rsidR="007D567C" w:rsidRPr="00BC2CB8" w:rsidRDefault="007D567C" w:rsidP="00B76111">
            <w:pPr>
              <w:rPr>
                <w:rFonts w:ascii="Georgia" w:hAnsi="Georgia"/>
                <w:b w:val="0"/>
                <w:sz w:val="20"/>
                <w:szCs w:val="20"/>
              </w:rPr>
            </w:pPr>
            <w:r w:rsidRPr="00BC2CB8">
              <w:rPr>
                <w:rFonts w:ascii="Georgia" w:hAnsi="Georgia"/>
                <w:sz w:val="20"/>
                <w:szCs w:val="20"/>
              </w:rPr>
              <w:t xml:space="preserve">Investuojamų ESI fondų lėšų suma: </w:t>
            </w:r>
            <w:r>
              <w:rPr>
                <w:rFonts w:ascii="Georgia" w:hAnsi="Georgia"/>
                <w:sz w:val="20"/>
                <w:szCs w:val="20"/>
              </w:rPr>
              <w:t>50</w:t>
            </w:r>
            <w:r w:rsidRPr="00BC2CB8">
              <w:rPr>
                <w:rFonts w:ascii="Georgia" w:hAnsi="Georgia"/>
                <w:sz w:val="20"/>
                <w:szCs w:val="20"/>
              </w:rPr>
              <w:t xml:space="preserve"> mln. eurų</w:t>
            </w:r>
          </w:p>
        </w:tc>
        <w:tc>
          <w:tcPr>
            <w:tcW w:w="3638" w:type="pct"/>
            <w:tcBorders>
              <w:top w:val="single" w:sz="6" w:space="0" w:color="C0504D" w:themeColor="accent2"/>
              <w:left w:val="single" w:sz="6" w:space="0" w:color="C0504D" w:themeColor="accent2"/>
            </w:tcBorders>
          </w:tcPr>
          <w:p w14:paraId="350624BF" w14:textId="676C0D6C" w:rsidR="007D567C" w:rsidRPr="00BC2CB8" w:rsidRDefault="007D567C" w:rsidP="001554C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Daroma prielaida, jog </w:t>
            </w:r>
            <w:r w:rsidR="00144171">
              <w:rPr>
                <w:rFonts w:ascii="Georgia" w:hAnsi="Georgia"/>
                <w:sz w:val="20"/>
                <w:szCs w:val="20"/>
              </w:rPr>
              <w:t>savivaldybių</w:t>
            </w:r>
            <w:r w:rsidRPr="00BC2CB8">
              <w:rPr>
                <w:rFonts w:ascii="Georgia" w:hAnsi="Georgia"/>
                <w:sz w:val="20"/>
                <w:szCs w:val="20"/>
              </w:rPr>
              <w:t xml:space="preserve"> pastatų renovacijai skirtos lėšos – </w:t>
            </w:r>
            <w:r>
              <w:rPr>
                <w:rFonts w:ascii="Georgia" w:hAnsi="Georgia"/>
                <w:sz w:val="20"/>
                <w:szCs w:val="20"/>
              </w:rPr>
              <w:t>50</w:t>
            </w:r>
            <w:r w:rsidRPr="00BC2CB8">
              <w:rPr>
                <w:rFonts w:ascii="Georgia" w:hAnsi="Georgia"/>
                <w:sz w:val="20"/>
                <w:szCs w:val="20"/>
              </w:rPr>
              <w:t xml:space="preserve"> mln. eurų</w:t>
            </w:r>
            <w:r w:rsidR="0067431F">
              <w:rPr>
                <w:rFonts w:ascii="Georgia" w:hAnsi="Georgia"/>
                <w:sz w:val="20"/>
                <w:szCs w:val="20"/>
              </w:rPr>
              <w:t xml:space="preserve"> bus skirtos paskolų priemonei įgyvendinti</w:t>
            </w:r>
            <w:r>
              <w:rPr>
                <w:rFonts w:ascii="Georgia" w:hAnsi="Georgia"/>
                <w:sz w:val="20"/>
                <w:szCs w:val="20"/>
              </w:rPr>
              <w:t xml:space="preserve">. </w:t>
            </w:r>
          </w:p>
        </w:tc>
      </w:tr>
      <w:tr w:rsidR="00B76111" w:rsidRPr="00BC2CB8" w14:paraId="22F1AE16" w14:textId="77777777" w:rsidTr="004F3A7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62" w:type="pct"/>
            <w:tcBorders>
              <w:top w:val="single" w:sz="6" w:space="0" w:color="C0504D" w:themeColor="accent2"/>
              <w:right w:val="single" w:sz="6" w:space="0" w:color="C0504D" w:themeColor="accent2"/>
            </w:tcBorders>
          </w:tcPr>
          <w:p w14:paraId="24DF3A23" w14:textId="7274ECA5" w:rsidR="00B76111" w:rsidRPr="00BC2CB8" w:rsidRDefault="00B76111" w:rsidP="00B76111">
            <w:pPr>
              <w:rPr>
                <w:rFonts w:ascii="Georgia" w:hAnsi="Georgia"/>
                <w:b w:val="0"/>
                <w:sz w:val="20"/>
                <w:szCs w:val="20"/>
              </w:rPr>
            </w:pPr>
            <w:r w:rsidRPr="00BC2CB8">
              <w:rPr>
                <w:rFonts w:ascii="Georgia" w:hAnsi="Georgia"/>
                <w:sz w:val="20"/>
                <w:szCs w:val="20"/>
              </w:rPr>
              <w:t xml:space="preserve">Paskolų palūkanų norma: </w:t>
            </w:r>
            <w:r w:rsidR="00E36FAE">
              <w:rPr>
                <w:rFonts w:ascii="Georgia" w:hAnsi="Georgia"/>
                <w:sz w:val="20"/>
                <w:szCs w:val="20"/>
              </w:rPr>
              <w:t>su iki</w:t>
            </w:r>
            <w:r w:rsidR="00E36FAE" w:rsidRPr="00BC2CB8">
              <w:rPr>
                <w:rFonts w:ascii="Georgia" w:hAnsi="Georgia"/>
                <w:sz w:val="20"/>
                <w:szCs w:val="20"/>
              </w:rPr>
              <w:t xml:space="preserve"> 2 %</w:t>
            </w:r>
            <w:r w:rsidR="00E36FAE">
              <w:rPr>
                <w:rFonts w:ascii="Georgia" w:hAnsi="Georgia"/>
                <w:sz w:val="20"/>
                <w:szCs w:val="20"/>
              </w:rPr>
              <w:t xml:space="preserve"> palūkanų marža</w:t>
            </w:r>
          </w:p>
        </w:tc>
        <w:tc>
          <w:tcPr>
            <w:tcW w:w="3638" w:type="pct"/>
            <w:tcBorders>
              <w:top w:val="single" w:sz="6" w:space="0" w:color="C0504D" w:themeColor="accent2"/>
              <w:left w:val="single" w:sz="6" w:space="0" w:color="C0504D" w:themeColor="accent2"/>
            </w:tcBorders>
          </w:tcPr>
          <w:p w14:paraId="22C60D1C" w14:textId="1B61C212" w:rsidR="00B76111" w:rsidRPr="00BC2CB8" w:rsidRDefault="00B76111" w:rsidP="003E7034">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Analizės tikslais n</w:t>
            </w:r>
            <w:r w:rsidRPr="00BC2CB8">
              <w:rPr>
                <w:rFonts w:ascii="Georgia" w:hAnsi="Georgia"/>
                <w:sz w:val="20"/>
                <w:szCs w:val="20"/>
              </w:rPr>
              <w:t>ustatomos 2</w:t>
            </w:r>
            <w:r>
              <w:rPr>
                <w:rFonts w:ascii="Georgia" w:hAnsi="Georgia"/>
                <w:sz w:val="20"/>
                <w:szCs w:val="20"/>
              </w:rPr>
              <w:t xml:space="preserve"> </w:t>
            </w:r>
            <w:r w:rsidRPr="00BC2CB8">
              <w:rPr>
                <w:rFonts w:ascii="Georgia" w:hAnsi="Georgia"/>
                <w:sz w:val="20"/>
                <w:szCs w:val="20"/>
              </w:rPr>
              <w:t xml:space="preserve">% </w:t>
            </w:r>
            <w:r>
              <w:rPr>
                <w:rFonts w:ascii="Georgia" w:hAnsi="Georgia"/>
                <w:sz w:val="20"/>
                <w:szCs w:val="20"/>
              </w:rPr>
              <w:t xml:space="preserve">metinės </w:t>
            </w:r>
            <w:r w:rsidRPr="00BC2CB8">
              <w:rPr>
                <w:rFonts w:ascii="Georgia" w:hAnsi="Georgia"/>
                <w:sz w:val="20"/>
                <w:szCs w:val="20"/>
              </w:rPr>
              <w:t>palūkanos.</w:t>
            </w:r>
            <w:r>
              <w:rPr>
                <w:rFonts w:ascii="Georgia" w:hAnsi="Georgia"/>
                <w:sz w:val="20"/>
                <w:szCs w:val="20"/>
              </w:rPr>
              <w:t xml:space="preserve"> Pradinėje FP stadijoje gali būti nustatomos ir mažesnės palūkanos. Išnaudojus ESI fondų lėšas palūkanos turėtų atitikti FP administravimo ir </w:t>
            </w:r>
            <w:r w:rsidR="003E7034">
              <w:rPr>
                <w:rFonts w:ascii="Georgia" w:hAnsi="Georgia"/>
                <w:sz w:val="20"/>
                <w:szCs w:val="20"/>
              </w:rPr>
              <w:t>lėšų</w:t>
            </w:r>
            <w:r>
              <w:rPr>
                <w:rFonts w:ascii="Georgia" w:hAnsi="Georgia"/>
                <w:sz w:val="20"/>
                <w:szCs w:val="20"/>
              </w:rPr>
              <w:t xml:space="preserve"> pritraukimo kainą.</w:t>
            </w:r>
          </w:p>
        </w:tc>
      </w:tr>
      <w:tr w:rsidR="004F3A7E" w:rsidRPr="00BC2CB8" w14:paraId="7B118E9C" w14:textId="77777777" w:rsidTr="004F3A7E">
        <w:trPr>
          <w:cantSplit/>
        </w:trPr>
        <w:tc>
          <w:tcPr>
            <w:cnfStyle w:val="001000000000" w:firstRow="0" w:lastRow="0" w:firstColumn="1" w:lastColumn="0" w:oddVBand="0" w:evenVBand="0" w:oddHBand="0" w:evenHBand="0" w:firstRowFirstColumn="0" w:firstRowLastColumn="0" w:lastRowFirstColumn="0" w:lastRowLastColumn="0"/>
            <w:tcW w:w="1362" w:type="pct"/>
            <w:tcBorders>
              <w:top w:val="single" w:sz="6" w:space="0" w:color="C0504D" w:themeColor="accent2"/>
              <w:right w:val="single" w:sz="6" w:space="0" w:color="C0504D" w:themeColor="accent2"/>
            </w:tcBorders>
          </w:tcPr>
          <w:p w14:paraId="2CB03D56" w14:textId="77777777" w:rsidR="004F3A7E" w:rsidRPr="00BC2CB8" w:rsidRDefault="004F3A7E" w:rsidP="004F3A7E">
            <w:pPr>
              <w:rPr>
                <w:rFonts w:ascii="Georgia" w:hAnsi="Georgia"/>
                <w:b w:val="0"/>
                <w:sz w:val="20"/>
                <w:szCs w:val="20"/>
              </w:rPr>
            </w:pPr>
            <w:r w:rsidRPr="00BC2CB8">
              <w:rPr>
                <w:rFonts w:ascii="Georgia" w:hAnsi="Georgia"/>
                <w:sz w:val="20"/>
              </w:rPr>
              <w:t>Valdymo mokestis: vadovaujantis Deleguoto reglamento nuostatomis</w:t>
            </w:r>
          </w:p>
        </w:tc>
        <w:tc>
          <w:tcPr>
            <w:tcW w:w="3638" w:type="pct"/>
            <w:tcBorders>
              <w:top w:val="single" w:sz="6" w:space="0" w:color="C0504D" w:themeColor="accent2"/>
              <w:left w:val="single" w:sz="6" w:space="0" w:color="C0504D" w:themeColor="accent2"/>
            </w:tcBorders>
          </w:tcPr>
          <w:p w14:paraId="002DE0B1" w14:textId="105EE916" w:rsidR="004F3A7E" w:rsidRPr="00BC2CB8" w:rsidRDefault="004F3A7E" w:rsidP="009647A2">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rPr>
              <w:t>Vadovaujantis Deleguoto reglamento nuostatomis, valdymo mokestis susideda iš dviejų dalių: 0,5 proc. bazinis mokestis nuo finansinei priemonei skirtų ir įmokėtų lėšų, 1 proc. mokestis nuo paskolų</w:t>
            </w:r>
            <w:r w:rsidR="00B76111">
              <w:rPr>
                <w:rFonts w:ascii="Georgia" w:hAnsi="Georgia"/>
                <w:sz w:val="20"/>
              </w:rPr>
              <w:t xml:space="preserve"> </w:t>
            </w:r>
            <w:r w:rsidRPr="00BC2CB8">
              <w:rPr>
                <w:rFonts w:ascii="Georgia" w:hAnsi="Georgia"/>
                <w:sz w:val="20"/>
              </w:rPr>
              <w:t>sumos.</w:t>
            </w:r>
          </w:p>
        </w:tc>
      </w:tr>
      <w:tr w:rsidR="004F3A7E" w:rsidRPr="00BC2CB8" w14:paraId="276DCD64" w14:textId="77777777" w:rsidTr="004F3A7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62" w:type="pct"/>
            <w:tcBorders>
              <w:top w:val="single" w:sz="6" w:space="0" w:color="C0504D" w:themeColor="accent2"/>
              <w:right w:val="single" w:sz="6" w:space="0" w:color="C0504D" w:themeColor="accent2"/>
            </w:tcBorders>
          </w:tcPr>
          <w:p w14:paraId="6B98EC3C" w14:textId="77777777" w:rsidR="004F3A7E" w:rsidRPr="00BC2CB8" w:rsidRDefault="004F3A7E" w:rsidP="004F3A7E">
            <w:pPr>
              <w:rPr>
                <w:rFonts w:ascii="Georgia" w:hAnsi="Georgia"/>
                <w:b w:val="0"/>
                <w:sz w:val="20"/>
                <w:szCs w:val="20"/>
              </w:rPr>
            </w:pPr>
            <w:r w:rsidRPr="00BC2CB8">
              <w:rPr>
                <w:rFonts w:ascii="Georgia" w:hAnsi="Georgia"/>
                <w:sz w:val="20"/>
                <w:szCs w:val="20"/>
              </w:rPr>
              <w:t xml:space="preserve">Projekto įgyvendinimo laikotarpis: 1 metai </w:t>
            </w:r>
          </w:p>
        </w:tc>
        <w:tc>
          <w:tcPr>
            <w:tcW w:w="3638" w:type="pct"/>
            <w:tcBorders>
              <w:top w:val="single" w:sz="6" w:space="0" w:color="C0504D" w:themeColor="accent2"/>
              <w:left w:val="single" w:sz="6" w:space="0" w:color="C0504D" w:themeColor="accent2"/>
            </w:tcBorders>
          </w:tcPr>
          <w:p w14:paraId="64ABA1DF" w14:textId="77777777" w:rsidR="004F3A7E" w:rsidRPr="00BC2CB8" w:rsidRDefault="004F3A7E" w:rsidP="004F3A7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tipinio viešojo pastato renovacijos laikas yra 1 metai nuo paskolos sutarties pasirašymo momento.</w:t>
            </w:r>
          </w:p>
        </w:tc>
      </w:tr>
      <w:tr w:rsidR="004F3A7E" w:rsidRPr="00BC2CB8" w14:paraId="555A9415" w14:textId="77777777" w:rsidTr="004F3A7E">
        <w:trPr>
          <w:cantSplit/>
        </w:trPr>
        <w:tc>
          <w:tcPr>
            <w:cnfStyle w:val="001000000000" w:firstRow="0" w:lastRow="0" w:firstColumn="1" w:lastColumn="0" w:oddVBand="0" w:evenVBand="0" w:oddHBand="0" w:evenHBand="0" w:firstRowFirstColumn="0" w:firstRowLastColumn="0" w:lastRowFirstColumn="0" w:lastRowLastColumn="0"/>
            <w:tcW w:w="1362" w:type="pct"/>
            <w:tcBorders>
              <w:top w:val="single" w:sz="6" w:space="0" w:color="C0504D" w:themeColor="accent2"/>
              <w:right w:val="single" w:sz="6" w:space="0" w:color="C0504D" w:themeColor="accent2"/>
            </w:tcBorders>
          </w:tcPr>
          <w:p w14:paraId="3A6D45F4" w14:textId="77777777" w:rsidR="004F3A7E" w:rsidRPr="00BC2CB8" w:rsidRDefault="004F3A7E" w:rsidP="00144171">
            <w:pPr>
              <w:rPr>
                <w:rFonts w:ascii="Georgia" w:hAnsi="Georgia"/>
                <w:b w:val="0"/>
                <w:sz w:val="20"/>
                <w:szCs w:val="20"/>
              </w:rPr>
            </w:pPr>
            <w:r w:rsidRPr="00BC2CB8">
              <w:rPr>
                <w:rFonts w:ascii="Georgia" w:hAnsi="Georgia"/>
                <w:sz w:val="20"/>
                <w:szCs w:val="20"/>
              </w:rPr>
              <w:t xml:space="preserve">Privataus investicinio fondo išperkamų paskolų dalis: </w:t>
            </w:r>
            <w:r w:rsidR="00144171">
              <w:rPr>
                <w:rFonts w:ascii="Georgia" w:hAnsi="Georgia"/>
                <w:sz w:val="20"/>
                <w:szCs w:val="20"/>
              </w:rPr>
              <w:t>5</w:t>
            </w:r>
            <w:r w:rsidRPr="00BC2CB8">
              <w:rPr>
                <w:rFonts w:ascii="Georgia" w:hAnsi="Georgia"/>
                <w:sz w:val="20"/>
                <w:szCs w:val="20"/>
              </w:rPr>
              <w:t>0 %</w:t>
            </w:r>
          </w:p>
        </w:tc>
        <w:tc>
          <w:tcPr>
            <w:tcW w:w="3638" w:type="pct"/>
            <w:tcBorders>
              <w:top w:val="single" w:sz="6" w:space="0" w:color="C0504D" w:themeColor="accent2"/>
              <w:left w:val="single" w:sz="6" w:space="0" w:color="C0504D" w:themeColor="accent2"/>
            </w:tcBorders>
          </w:tcPr>
          <w:p w14:paraId="0D216634" w14:textId="77777777" w:rsidR="004F3A7E" w:rsidRPr="00BC2CB8" w:rsidRDefault="004F3A7E" w:rsidP="002F60CA">
            <w:pPr>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BC2CB8">
              <w:rPr>
                <w:rFonts w:ascii="Georgia" w:hAnsi="Georgia" w:cs="Georgia"/>
                <w:sz w:val="20"/>
                <w:szCs w:val="20"/>
              </w:rPr>
              <w:t xml:space="preserve">Daroma prielaidą, kad privatus investicinis fondas nuo </w:t>
            </w:r>
            <w:r w:rsidR="002F60CA" w:rsidRPr="00BC2CB8">
              <w:rPr>
                <w:rFonts w:ascii="Georgia" w:hAnsi="Georgia" w:cs="Georgia"/>
                <w:sz w:val="20"/>
                <w:szCs w:val="20"/>
              </w:rPr>
              <w:t>201</w:t>
            </w:r>
            <w:r w:rsidR="002F60CA">
              <w:rPr>
                <w:rFonts w:ascii="Georgia" w:hAnsi="Georgia" w:cs="Georgia"/>
                <w:sz w:val="20"/>
                <w:szCs w:val="20"/>
              </w:rPr>
              <w:t>6</w:t>
            </w:r>
            <w:r w:rsidR="002F60CA" w:rsidRPr="00BC2CB8">
              <w:rPr>
                <w:rFonts w:ascii="Georgia" w:hAnsi="Georgia" w:cs="Georgia"/>
                <w:sz w:val="20"/>
                <w:szCs w:val="20"/>
              </w:rPr>
              <w:t xml:space="preserve"> </w:t>
            </w:r>
            <w:r w:rsidRPr="00BC2CB8">
              <w:rPr>
                <w:rFonts w:ascii="Georgia" w:hAnsi="Georgia" w:cs="Georgia"/>
                <w:sz w:val="20"/>
                <w:szCs w:val="20"/>
              </w:rPr>
              <w:t xml:space="preserve">m. galėtų išpirkti apie </w:t>
            </w:r>
            <w:r w:rsidR="00144171">
              <w:rPr>
                <w:rFonts w:ascii="Georgia" w:hAnsi="Georgia" w:cs="Georgia"/>
                <w:sz w:val="20"/>
                <w:szCs w:val="20"/>
              </w:rPr>
              <w:t>5</w:t>
            </w:r>
            <w:r w:rsidRPr="00BC2CB8">
              <w:rPr>
                <w:rFonts w:ascii="Georgia" w:hAnsi="Georgia" w:cs="Georgia"/>
                <w:sz w:val="20"/>
                <w:szCs w:val="20"/>
              </w:rPr>
              <w:t xml:space="preserve">0 % visų paskolų portfelio. </w:t>
            </w:r>
            <w:r w:rsidR="00144171" w:rsidRPr="00144171">
              <w:rPr>
                <w:rFonts w:ascii="Georgia" w:hAnsi="Georgia" w:cs="Georgia"/>
                <w:sz w:val="20"/>
                <w:szCs w:val="20"/>
              </w:rPr>
              <w:t xml:space="preserve">Šis dydis žemesnis, negu centrinės valdžios pastatų renovacijos atveju, nes komerciniai bankai pabrėžė, jog pasitikėjimas savivaldybių projektais yra labai žemas ir perkami piniginiai srautai gali būti nupirkti tik iš </w:t>
            </w:r>
            <w:r w:rsidR="00516F84">
              <w:rPr>
                <w:rFonts w:ascii="Georgia" w:hAnsi="Georgia" w:cs="Georgia"/>
                <w:sz w:val="20"/>
                <w:szCs w:val="20"/>
              </w:rPr>
              <w:t>finansiškai stipriausių</w:t>
            </w:r>
            <w:r w:rsidR="00144171" w:rsidRPr="00144171">
              <w:rPr>
                <w:rFonts w:ascii="Georgia" w:hAnsi="Georgia" w:cs="Georgia"/>
                <w:sz w:val="20"/>
                <w:szCs w:val="20"/>
              </w:rPr>
              <w:t xml:space="preserve"> savivaldybių.</w:t>
            </w:r>
          </w:p>
        </w:tc>
      </w:tr>
      <w:tr w:rsidR="004F3A7E" w:rsidRPr="00BC2CB8" w14:paraId="2BC9AE53" w14:textId="77777777" w:rsidTr="004F3A7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62" w:type="pct"/>
            <w:tcBorders>
              <w:top w:val="single" w:sz="6" w:space="0" w:color="C0504D" w:themeColor="accent2"/>
              <w:right w:val="single" w:sz="6" w:space="0" w:color="C0504D" w:themeColor="accent2"/>
            </w:tcBorders>
          </w:tcPr>
          <w:p w14:paraId="0EEFD681" w14:textId="77777777" w:rsidR="004F3A7E" w:rsidRPr="00BC2CB8" w:rsidRDefault="004F3A7E" w:rsidP="004F3A7E">
            <w:pPr>
              <w:rPr>
                <w:rFonts w:ascii="Georgia" w:hAnsi="Georgia"/>
                <w:sz w:val="20"/>
                <w:szCs w:val="20"/>
              </w:rPr>
            </w:pPr>
            <w:r w:rsidRPr="00BC2CB8">
              <w:rPr>
                <w:rFonts w:ascii="Georgia" w:hAnsi="Georgia"/>
                <w:sz w:val="20"/>
              </w:rPr>
              <w:t>Pakartotinai panaudojamos grįžusios lėšos: po 2 metų</w:t>
            </w:r>
          </w:p>
        </w:tc>
        <w:tc>
          <w:tcPr>
            <w:tcW w:w="3638" w:type="pct"/>
            <w:tcBorders>
              <w:top w:val="single" w:sz="6" w:space="0" w:color="C0504D" w:themeColor="accent2"/>
              <w:left w:val="single" w:sz="6" w:space="0" w:color="C0504D" w:themeColor="accent2"/>
            </w:tcBorders>
          </w:tcPr>
          <w:p w14:paraId="2204C36B" w14:textId="77777777" w:rsidR="004F3A7E" w:rsidRPr="00BC2CB8" w:rsidRDefault="004F3A7E" w:rsidP="004F3A7E">
            <w:pPr>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BC2CB8">
              <w:rPr>
                <w:rFonts w:ascii="Georgia" w:hAnsi="Georgia"/>
                <w:sz w:val="20"/>
              </w:rPr>
              <w:t>Daroma prielaida, jog grįžtančios lėšos pakartotinai panaudojamos projektų finansavimui tomis pačiomis sąlygomis po 2 metų.</w:t>
            </w:r>
          </w:p>
        </w:tc>
      </w:tr>
    </w:tbl>
    <w:p w14:paraId="73316072" w14:textId="77777777" w:rsidR="004F3A7E" w:rsidRPr="00BC2CB8" w:rsidRDefault="004F3A7E" w:rsidP="004F3A7E">
      <w:pPr>
        <w:ind w:left="360"/>
        <w:rPr>
          <w:rFonts w:ascii="Georgia" w:hAnsi="Georgia"/>
          <w:sz w:val="20"/>
          <w:szCs w:val="20"/>
          <w:lang w:val="lt-LT"/>
        </w:rPr>
      </w:pPr>
    </w:p>
    <w:p w14:paraId="484DDB64" w14:textId="444F1301" w:rsidR="004F3A7E" w:rsidRPr="00BC2CB8" w:rsidRDefault="004F3A7E" w:rsidP="004F3A7E">
      <w:pPr>
        <w:pStyle w:val="Antrat"/>
        <w:jc w:val="both"/>
        <w:rPr>
          <w:szCs w:val="20"/>
          <w:lang w:val="lt-LT"/>
        </w:rPr>
      </w:pPr>
      <w:bookmarkStart w:id="180" w:name="_Toc460321665"/>
      <w:r w:rsidRPr="00BC2CB8">
        <w:rPr>
          <w:lang w:val="lt-LT"/>
        </w:rPr>
        <w:lastRenderedPageBreak/>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84</w:t>
      </w:r>
      <w:r w:rsidRPr="00BC2CB8">
        <w:rPr>
          <w:lang w:val="lt-LT"/>
        </w:rPr>
        <w:fldChar w:fldCharType="end"/>
      </w:r>
      <w:r w:rsidRPr="00BC2CB8">
        <w:rPr>
          <w:lang w:val="lt-LT"/>
        </w:rPr>
        <w:t>. Scenarijaus Nr. 2 įgyvendinimo prognozė</w:t>
      </w:r>
      <w:bookmarkEnd w:id="180"/>
    </w:p>
    <w:p w14:paraId="6DE66D68" w14:textId="03B1102D" w:rsidR="003B165A" w:rsidRDefault="006D6CAB" w:rsidP="004F3A7E">
      <w:pPr>
        <w:rPr>
          <w:lang w:val="lt-LT"/>
        </w:rPr>
      </w:pPr>
      <w:r>
        <w:rPr>
          <w:noProof/>
          <w:lang w:val="lt-LT" w:eastAsia="lt-LT"/>
        </w:rPr>
        <w:drawing>
          <wp:inline distT="0" distB="0" distL="0" distR="0" wp14:anchorId="70AF6330" wp14:editId="137D2040">
            <wp:extent cx="5653377" cy="2953121"/>
            <wp:effectExtent l="0" t="0" r="5080" b="0"/>
            <wp:docPr id="50203" name="Picture 5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screen">
                      <a:extLst>
                        <a:ext uri="{28A0092B-C50C-407E-A947-70E740481C1C}">
                          <a14:useLocalDpi xmlns:a14="http://schemas.microsoft.com/office/drawing/2010/main"/>
                        </a:ext>
                      </a:extLst>
                    </a:blip>
                    <a:srcRect/>
                    <a:stretch/>
                  </pic:blipFill>
                  <pic:spPr bwMode="auto">
                    <a:xfrm>
                      <a:off x="0" y="0"/>
                      <a:ext cx="5673976" cy="2963881"/>
                    </a:xfrm>
                    <a:prstGeom prst="rect">
                      <a:avLst/>
                    </a:prstGeom>
                    <a:ln>
                      <a:noFill/>
                    </a:ln>
                    <a:extLst>
                      <a:ext uri="{53640926-AAD7-44D8-BBD7-CCE9431645EC}">
                        <a14:shadowObscured xmlns:a14="http://schemas.microsoft.com/office/drawing/2010/main"/>
                      </a:ext>
                    </a:extLst>
                  </pic:spPr>
                </pic:pic>
              </a:graphicData>
            </a:graphic>
          </wp:inline>
        </w:drawing>
      </w:r>
    </w:p>
    <w:p w14:paraId="3C002611" w14:textId="77777777" w:rsidR="00EC2811" w:rsidRDefault="00EC2811" w:rsidP="004F3A7E">
      <w:pPr>
        <w:rPr>
          <w:lang w:val="lt-LT"/>
        </w:rPr>
      </w:pPr>
    </w:p>
    <w:p w14:paraId="6CC13A9B" w14:textId="0B32C5F9" w:rsidR="004F3A7E" w:rsidRPr="00BC2CB8" w:rsidRDefault="004F3A7E" w:rsidP="004F3A7E">
      <w:pPr>
        <w:pStyle w:val="Antrat"/>
        <w:rPr>
          <w:szCs w:val="20"/>
          <w:lang w:val="lt-LT"/>
        </w:rPr>
      </w:pPr>
      <w:bookmarkStart w:id="181" w:name="_Toc460321666"/>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85</w:t>
      </w:r>
      <w:r w:rsidRPr="00BC2CB8">
        <w:rPr>
          <w:lang w:val="lt-LT"/>
        </w:rPr>
        <w:fldChar w:fldCharType="end"/>
      </w:r>
      <w:r w:rsidRPr="00BC2CB8">
        <w:rPr>
          <w:lang w:val="lt-LT"/>
        </w:rPr>
        <w:t xml:space="preserve">. </w:t>
      </w:r>
      <w:r w:rsidRPr="00BC2CB8">
        <w:rPr>
          <w:szCs w:val="20"/>
          <w:lang w:val="lt-LT"/>
        </w:rPr>
        <w:t>Scenarijaus Nr. 2 rezultatai</w:t>
      </w:r>
      <w:bookmarkEnd w:id="181"/>
    </w:p>
    <w:tbl>
      <w:tblPr>
        <w:tblStyle w:val="viesussraas2parykinimas"/>
        <w:tblW w:w="5000" w:type="pct"/>
        <w:tblLook w:val="04A0" w:firstRow="1" w:lastRow="0" w:firstColumn="1" w:lastColumn="0" w:noHBand="0" w:noVBand="1"/>
      </w:tblPr>
      <w:tblGrid>
        <w:gridCol w:w="6651"/>
        <w:gridCol w:w="2591"/>
      </w:tblGrid>
      <w:tr w:rsidR="004F3A7E" w:rsidRPr="00BC2CB8" w14:paraId="1823B144" w14:textId="77777777" w:rsidTr="004F3A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4BF243BE" w14:textId="77777777" w:rsidR="004F3A7E" w:rsidRPr="00BC2CB8" w:rsidRDefault="004F3A7E" w:rsidP="004F3A7E">
            <w:pPr>
              <w:jc w:val="center"/>
              <w:rPr>
                <w:rFonts w:ascii="Georgia" w:hAnsi="Georgia"/>
                <w:sz w:val="20"/>
                <w:szCs w:val="20"/>
              </w:rPr>
            </w:pPr>
            <w:r w:rsidRPr="00BC2CB8">
              <w:rPr>
                <w:rFonts w:ascii="Georgia" w:hAnsi="Georgia"/>
                <w:sz w:val="20"/>
                <w:szCs w:val="20"/>
              </w:rPr>
              <w:t>Fondas</w:t>
            </w:r>
          </w:p>
        </w:tc>
        <w:tc>
          <w:tcPr>
            <w:tcW w:w="1402" w:type="pct"/>
          </w:tcPr>
          <w:p w14:paraId="281DBE8B" w14:textId="77777777" w:rsidR="004F3A7E" w:rsidRPr="00BC2CB8" w:rsidRDefault="004F3A7E" w:rsidP="004F3A7E">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mln. eurų</w:t>
            </w:r>
          </w:p>
        </w:tc>
      </w:tr>
      <w:tr w:rsidR="004F3A7E" w:rsidRPr="00BC2CB8" w14:paraId="576C18F7" w14:textId="77777777" w:rsidTr="004F3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2C543E38" w14:textId="77777777" w:rsidR="004F3A7E" w:rsidRPr="00BC2CB8" w:rsidRDefault="004F3A7E" w:rsidP="004F3A7E">
            <w:pPr>
              <w:rPr>
                <w:rFonts w:ascii="Georgia" w:hAnsi="Georgia"/>
                <w:sz w:val="20"/>
                <w:szCs w:val="20"/>
              </w:rPr>
            </w:pPr>
            <w:r w:rsidRPr="00BC2CB8">
              <w:rPr>
                <w:rFonts w:ascii="Georgia" w:hAnsi="Georgia"/>
                <w:sz w:val="20"/>
                <w:szCs w:val="20"/>
              </w:rPr>
              <w:t>Galutinius naudos gavėjus pasiekusios lėšos</w:t>
            </w:r>
          </w:p>
        </w:tc>
        <w:tc>
          <w:tcPr>
            <w:tcW w:w="1402" w:type="pct"/>
          </w:tcPr>
          <w:p w14:paraId="36E3ACE2" w14:textId="07EE8D8F" w:rsidR="004F3A7E" w:rsidRPr="001D4A0D" w:rsidRDefault="00A12855">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53</w:t>
            </w:r>
            <w:r w:rsidR="005D4222">
              <w:rPr>
                <w:rFonts w:ascii="Georgia" w:hAnsi="Georgia"/>
                <w:sz w:val="20"/>
                <w:szCs w:val="20"/>
              </w:rPr>
              <w:t>,</w:t>
            </w:r>
            <w:r>
              <w:rPr>
                <w:rFonts w:ascii="Georgia" w:hAnsi="Georgia"/>
                <w:sz w:val="20"/>
                <w:szCs w:val="20"/>
              </w:rPr>
              <w:t>6</w:t>
            </w:r>
          </w:p>
        </w:tc>
      </w:tr>
      <w:tr w:rsidR="004F3A7E" w:rsidRPr="00BC2CB8" w14:paraId="0C30BE51" w14:textId="77777777" w:rsidTr="004F3A7E">
        <w:tc>
          <w:tcPr>
            <w:cnfStyle w:val="001000000000" w:firstRow="0" w:lastRow="0" w:firstColumn="1" w:lastColumn="0" w:oddVBand="0" w:evenVBand="0" w:oddHBand="0" w:evenHBand="0" w:firstRowFirstColumn="0" w:firstRowLastColumn="0" w:lastRowFirstColumn="0" w:lastRowLastColumn="0"/>
            <w:tcW w:w="3598" w:type="pct"/>
          </w:tcPr>
          <w:p w14:paraId="6906A4C7" w14:textId="77777777" w:rsidR="004F3A7E" w:rsidRPr="00BC2CB8" w:rsidRDefault="001D4A0D" w:rsidP="007D567C">
            <w:pPr>
              <w:rPr>
                <w:rFonts w:ascii="Georgia" w:hAnsi="Georgia"/>
                <w:sz w:val="20"/>
                <w:szCs w:val="20"/>
              </w:rPr>
            </w:pPr>
            <w:r>
              <w:rPr>
                <w:rFonts w:ascii="Georgia" w:hAnsi="Georgia"/>
                <w:sz w:val="20"/>
                <w:szCs w:val="20"/>
              </w:rPr>
              <w:t>Pasirašytų paskolos sutarčių skaičius</w:t>
            </w:r>
          </w:p>
        </w:tc>
        <w:tc>
          <w:tcPr>
            <w:tcW w:w="1402" w:type="pct"/>
          </w:tcPr>
          <w:p w14:paraId="3EEC5975" w14:textId="65B94C30" w:rsidR="004F3A7E" w:rsidRPr="001D4A0D" w:rsidRDefault="00A12855" w:rsidP="001554CF">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276</w:t>
            </w:r>
          </w:p>
        </w:tc>
      </w:tr>
      <w:tr w:rsidR="004F3A7E" w:rsidRPr="00BC2CB8" w14:paraId="129EB32E" w14:textId="77777777" w:rsidTr="004F3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4501D09D" w14:textId="77777777" w:rsidR="004F3A7E" w:rsidRPr="00BC2CB8" w:rsidRDefault="004F3A7E" w:rsidP="007D567C">
            <w:pPr>
              <w:rPr>
                <w:rFonts w:ascii="Georgia" w:hAnsi="Georgia"/>
                <w:sz w:val="20"/>
                <w:szCs w:val="20"/>
              </w:rPr>
            </w:pPr>
            <w:r w:rsidRPr="00BC2CB8">
              <w:rPr>
                <w:rFonts w:ascii="Georgia" w:hAnsi="Georgia"/>
                <w:sz w:val="20"/>
                <w:szCs w:val="20"/>
              </w:rPr>
              <w:t>Pritraukta lėšų iš kitų šaltinių (t.y. nupirktos paskolos)</w:t>
            </w:r>
          </w:p>
        </w:tc>
        <w:tc>
          <w:tcPr>
            <w:tcW w:w="1402" w:type="pct"/>
          </w:tcPr>
          <w:p w14:paraId="71ACF0CC" w14:textId="10ACB1D8" w:rsidR="004F3A7E" w:rsidRPr="001D4A0D" w:rsidRDefault="001554CF">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19</w:t>
            </w:r>
            <w:r w:rsidR="005D4222">
              <w:rPr>
                <w:rFonts w:ascii="Georgia" w:hAnsi="Georgia"/>
                <w:sz w:val="20"/>
                <w:szCs w:val="20"/>
              </w:rPr>
              <w:t>,</w:t>
            </w:r>
            <w:r>
              <w:rPr>
                <w:rFonts w:ascii="Georgia" w:hAnsi="Georgia"/>
                <w:sz w:val="20"/>
                <w:szCs w:val="20"/>
              </w:rPr>
              <w:t>6</w:t>
            </w:r>
          </w:p>
        </w:tc>
      </w:tr>
      <w:tr w:rsidR="004F3A7E" w:rsidRPr="00BC2CB8" w14:paraId="7714A817" w14:textId="77777777" w:rsidTr="004F3A7E">
        <w:tc>
          <w:tcPr>
            <w:cnfStyle w:val="001000000000" w:firstRow="0" w:lastRow="0" w:firstColumn="1" w:lastColumn="0" w:oddVBand="0" w:evenVBand="0" w:oddHBand="0" w:evenHBand="0" w:firstRowFirstColumn="0" w:firstRowLastColumn="0" w:lastRowFirstColumn="0" w:lastRowLastColumn="0"/>
            <w:tcW w:w="3598" w:type="pct"/>
          </w:tcPr>
          <w:p w14:paraId="6D4CA2EE" w14:textId="77777777" w:rsidR="004F3A7E" w:rsidRPr="00BC2CB8" w:rsidRDefault="004F3A7E" w:rsidP="004F3A7E">
            <w:pPr>
              <w:rPr>
                <w:rFonts w:ascii="Georgia" w:hAnsi="Georgia"/>
                <w:sz w:val="20"/>
                <w:szCs w:val="20"/>
              </w:rPr>
            </w:pPr>
            <w:r w:rsidRPr="00BC2CB8">
              <w:rPr>
                <w:rFonts w:ascii="Georgia" w:hAnsi="Georgia"/>
                <w:sz w:val="20"/>
                <w:szCs w:val="20"/>
              </w:rPr>
              <w:t>Iki 2022 m. renovuotų pastatų skaičius</w:t>
            </w:r>
          </w:p>
        </w:tc>
        <w:tc>
          <w:tcPr>
            <w:tcW w:w="1402" w:type="pct"/>
          </w:tcPr>
          <w:p w14:paraId="30137FA5" w14:textId="4C2F6E3B" w:rsidR="004F3A7E" w:rsidRPr="001D4A0D" w:rsidRDefault="001554CF" w:rsidP="004F3A7E">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235</w:t>
            </w:r>
          </w:p>
        </w:tc>
      </w:tr>
      <w:tr w:rsidR="004F3A7E" w:rsidRPr="00BC2CB8" w14:paraId="58D16594" w14:textId="77777777" w:rsidTr="004F3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6E8181AC" w14:textId="77777777" w:rsidR="004F3A7E" w:rsidRPr="00BC2CB8" w:rsidRDefault="004F3A7E" w:rsidP="004F3A7E">
            <w:pPr>
              <w:rPr>
                <w:rFonts w:ascii="Georgia" w:hAnsi="Georgia"/>
                <w:sz w:val="20"/>
                <w:szCs w:val="20"/>
              </w:rPr>
            </w:pPr>
            <w:r w:rsidRPr="00BC2CB8">
              <w:rPr>
                <w:rFonts w:ascii="Georgia" w:hAnsi="Georgia"/>
                <w:sz w:val="20"/>
                <w:szCs w:val="20"/>
              </w:rPr>
              <w:t>Iki 2022 m. renovuotų pastatų plotas, tūkst. kv. m.</w:t>
            </w:r>
          </w:p>
        </w:tc>
        <w:tc>
          <w:tcPr>
            <w:tcW w:w="1402" w:type="pct"/>
          </w:tcPr>
          <w:p w14:paraId="7958A57B" w14:textId="52A4A134" w:rsidR="004F3A7E" w:rsidRPr="001D4A0D" w:rsidRDefault="001554CF">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264</w:t>
            </w:r>
            <w:r w:rsidR="005D4222">
              <w:rPr>
                <w:rFonts w:ascii="Georgia" w:hAnsi="Georgia"/>
                <w:sz w:val="20"/>
                <w:szCs w:val="20"/>
              </w:rPr>
              <w:t>,</w:t>
            </w:r>
            <w:r>
              <w:rPr>
                <w:rFonts w:ascii="Georgia" w:hAnsi="Georgia"/>
                <w:sz w:val="20"/>
                <w:szCs w:val="20"/>
              </w:rPr>
              <w:t>8</w:t>
            </w:r>
          </w:p>
        </w:tc>
      </w:tr>
    </w:tbl>
    <w:p w14:paraId="7432CF61" w14:textId="77777777" w:rsidR="004F3A7E" w:rsidRPr="00BC2CB8" w:rsidRDefault="007A0E07" w:rsidP="004F3A7E">
      <w:pPr>
        <w:rPr>
          <w:rFonts w:ascii="Georgia" w:hAnsi="Georgia"/>
          <w:sz w:val="20"/>
          <w:szCs w:val="20"/>
          <w:lang w:val="lt-LT"/>
        </w:rPr>
      </w:pPr>
      <w:r>
        <w:rPr>
          <w:rFonts w:ascii="Georgia" w:hAnsi="Georgia"/>
          <w:sz w:val="20"/>
          <w:szCs w:val="20"/>
          <w:lang w:val="lt-LT"/>
        </w:rPr>
        <w:t xml:space="preserve"> </w:t>
      </w:r>
    </w:p>
    <w:p w14:paraId="5C4ABCAA" w14:textId="77777777" w:rsidR="009D75AC" w:rsidRPr="00BC2CB8" w:rsidRDefault="009D75AC" w:rsidP="009D75AC">
      <w:pPr>
        <w:pStyle w:val="Sraopastraipa"/>
        <w:keepNext/>
        <w:numPr>
          <w:ilvl w:val="0"/>
          <w:numId w:val="34"/>
        </w:numPr>
        <w:ind w:left="714" w:hanging="357"/>
        <w:rPr>
          <w:rFonts w:ascii="Georgia" w:hAnsi="Georgia"/>
          <w:b/>
          <w:i/>
          <w:sz w:val="20"/>
          <w:szCs w:val="20"/>
          <w:lang w:val="lt-LT"/>
        </w:rPr>
      </w:pPr>
      <w:r w:rsidRPr="00BC2CB8">
        <w:rPr>
          <w:rFonts w:ascii="Georgia" w:hAnsi="Georgia"/>
          <w:b/>
          <w:i/>
          <w:sz w:val="20"/>
          <w:szCs w:val="20"/>
          <w:lang w:val="lt-LT"/>
        </w:rPr>
        <w:t>Scenarijus Nr. 3: Dalis finansinės priemonės lėšų nukreipiama į paskolų modelį ir dalis į garantijų priemonę</w:t>
      </w:r>
    </w:p>
    <w:p w14:paraId="3A34AC7C" w14:textId="7D24E0C5" w:rsidR="005F1D8E" w:rsidRPr="005F1D8E" w:rsidRDefault="00E95099" w:rsidP="00A734A4">
      <w:pPr>
        <w:keepNext/>
        <w:rPr>
          <w:lang w:val="lt-LT"/>
        </w:rPr>
      </w:pPr>
      <w:r>
        <w:rPr>
          <w:noProof/>
          <w:lang w:val="lt-LT" w:eastAsia="lt-LT"/>
        </w:rPr>
        <w:drawing>
          <wp:inline distT="0" distB="0" distL="0" distR="0" wp14:anchorId="2B6E79FC" wp14:editId="484A8F77">
            <wp:extent cx="5644896" cy="2100072"/>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avivaldybe Nr. 3.jpg"/>
                    <pic:cNvPicPr/>
                  </pic:nvPicPr>
                  <pic:blipFill>
                    <a:blip r:embed="rId65" cstate="screen">
                      <a:extLst>
                        <a:ext uri="{28A0092B-C50C-407E-A947-70E740481C1C}">
                          <a14:useLocalDpi xmlns:a14="http://schemas.microsoft.com/office/drawing/2010/main"/>
                        </a:ext>
                      </a:extLst>
                    </a:blip>
                    <a:stretch>
                      <a:fillRect/>
                    </a:stretch>
                  </pic:blipFill>
                  <pic:spPr>
                    <a:xfrm>
                      <a:off x="0" y="0"/>
                      <a:ext cx="5644896" cy="2100072"/>
                    </a:xfrm>
                    <a:prstGeom prst="rect">
                      <a:avLst/>
                    </a:prstGeom>
                  </pic:spPr>
                </pic:pic>
              </a:graphicData>
            </a:graphic>
          </wp:inline>
        </w:drawing>
      </w:r>
    </w:p>
    <w:p w14:paraId="11C9EC03" w14:textId="607039A7" w:rsidR="009D75AC" w:rsidRPr="00BC2CB8" w:rsidRDefault="009D75AC">
      <w:pPr>
        <w:pStyle w:val="Antrat"/>
        <w:rPr>
          <w:szCs w:val="20"/>
          <w:lang w:val="lt-LT"/>
        </w:rPr>
      </w:pPr>
      <w:bookmarkStart w:id="182" w:name="_Toc417378308"/>
      <w:r w:rsidRPr="00BC2CB8">
        <w:rPr>
          <w:lang w:val="lt-LT"/>
        </w:rPr>
        <w:t xml:space="preserve">Paveikslas </w:t>
      </w:r>
      <w:r w:rsidRPr="00BC2CB8">
        <w:rPr>
          <w:lang w:val="lt-LT"/>
        </w:rPr>
        <w:fldChar w:fldCharType="begin"/>
      </w:r>
      <w:r w:rsidRPr="00BC2CB8">
        <w:rPr>
          <w:lang w:val="lt-LT"/>
        </w:rPr>
        <w:instrText xml:space="preserve"> SEQ Paveikslas \* ARABIC </w:instrText>
      </w:r>
      <w:r w:rsidRPr="00BC2CB8">
        <w:rPr>
          <w:lang w:val="lt-LT"/>
        </w:rPr>
        <w:fldChar w:fldCharType="separate"/>
      </w:r>
      <w:r w:rsidR="00AA3082">
        <w:rPr>
          <w:noProof/>
          <w:lang w:val="lt-LT"/>
        </w:rPr>
        <w:t>31</w:t>
      </w:r>
      <w:r w:rsidRPr="00BC2CB8">
        <w:rPr>
          <w:lang w:val="lt-LT"/>
        </w:rPr>
        <w:fldChar w:fldCharType="end"/>
      </w:r>
      <w:r w:rsidRPr="00BC2CB8">
        <w:rPr>
          <w:lang w:val="lt-LT"/>
        </w:rPr>
        <w:t xml:space="preserve">. </w:t>
      </w:r>
      <w:r w:rsidR="00667973">
        <w:rPr>
          <w:lang w:val="lt-LT"/>
        </w:rPr>
        <w:t>Savivaldybių v</w:t>
      </w:r>
      <w:r w:rsidRPr="00BC2CB8">
        <w:rPr>
          <w:lang w:val="lt-LT"/>
        </w:rPr>
        <w:t>iešųjų pastatų scenarijaus Nr. 3 schema.</w:t>
      </w:r>
      <w:bookmarkEnd w:id="182"/>
      <w:r w:rsidRPr="00BC2CB8">
        <w:rPr>
          <w:lang w:val="lt-LT"/>
        </w:rPr>
        <w:t xml:space="preserve"> </w:t>
      </w:r>
    </w:p>
    <w:p w14:paraId="0A6FF633" w14:textId="3ECF7EFB" w:rsidR="009D75AC" w:rsidRPr="00BC2CB8" w:rsidRDefault="00585E78" w:rsidP="009D75AC">
      <w:pPr>
        <w:jc w:val="both"/>
        <w:rPr>
          <w:rFonts w:ascii="Georgia" w:hAnsi="Georgia"/>
          <w:sz w:val="20"/>
          <w:szCs w:val="20"/>
          <w:lang w:val="lt-LT"/>
        </w:rPr>
      </w:pPr>
      <w:r w:rsidRPr="00585E78">
        <w:rPr>
          <w:rFonts w:ascii="Georgia" w:hAnsi="Georgia"/>
          <w:sz w:val="20"/>
          <w:szCs w:val="20"/>
          <w:lang w:val="lt-LT"/>
        </w:rPr>
        <w:t xml:space="preserve">Nors komerciniai bankai ypač ribotai vertina galimybę finansuoti savivaldybių viešųjų pastatų renovacijos projektus, tačiau šiame scenarijuje modeliuojama teorinė galimybė, </w:t>
      </w:r>
      <w:r>
        <w:rPr>
          <w:rFonts w:ascii="Georgia" w:hAnsi="Georgia"/>
          <w:sz w:val="20"/>
          <w:szCs w:val="20"/>
          <w:lang w:val="lt-LT"/>
        </w:rPr>
        <w:t xml:space="preserve">kai </w:t>
      </w:r>
      <w:r w:rsidR="009D75AC" w:rsidRPr="00BC2CB8">
        <w:rPr>
          <w:rFonts w:ascii="Georgia" w:hAnsi="Georgia"/>
          <w:sz w:val="20"/>
          <w:szCs w:val="20"/>
          <w:lang w:val="lt-LT"/>
        </w:rPr>
        <w:t xml:space="preserve">kuriamos dvi finansinės priemonės: paskolų ir garantijų. Paskolų priemonės prielaidos yra tokios pat kaip scenarijuje Nr. 1. Šis modelis skaičiuojamas darant prielaidą, kad 60 % </w:t>
      </w:r>
      <w:r w:rsidR="00440ED7">
        <w:rPr>
          <w:rFonts w:ascii="Georgia" w:hAnsi="Georgia"/>
          <w:sz w:val="20"/>
          <w:szCs w:val="20"/>
          <w:lang w:val="lt-LT"/>
        </w:rPr>
        <w:t>skirtų lėšų</w:t>
      </w:r>
      <w:r w:rsidR="009D75AC" w:rsidRPr="00BC2CB8">
        <w:rPr>
          <w:rFonts w:ascii="Georgia" w:hAnsi="Georgia"/>
          <w:sz w:val="20"/>
          <w:szCs w:val="20"/>
          <w:lang w:val="lt-LT"/>
        </w:rPr>
        <w:t xml:space="preserve"> bus </w:t>
      </w:r>
      <w:r w:rsidR="00440ED7">
        <w:rPr>
          <w:rFonts w:ascii="Georgia" w:hAnsi="Georgia"/>
          <w:sz w:val="20"/>
          <w:szCs w:val="20"/>
          <w:lang w:val="lt-LT"/>
        </w:rPr>
        <w:t xml:space="preserve">skiriama </w:t>
      </w:r>
      <w:r w:rsidR="009D75AC" w:rsidRPr="00BC2CB8">
        <w:rPr>
          <w:rFonts w:ascii="Georgia" w:hAnsi="Georgia"/>
          <w:sz w:val="20"/>
          <w:szCs w:val="20"/>
          <w:lang w:val="lt-LT"/>
        </w:rPr>
        <w:lastRenderedPageBreak/>
        <w:t>paskolų priemon</w:t>
      </w:r>
      <w:r w:rsidR="00440ED7">
        <w:rPr>
          <w:rFonts w:ascii="Georgia" w:hAnsi="Georgia"/>
          <w:sz w:val="20"/>
          <w:szCs w:val="20"/>
          <w:lang w:val="lt-LT"/>
        </w:rPr>
        <w:t>ei</w:t>
      </w:r>
      <w:r w:rsidR="009D75AC" w:rsidRPr="00BC2CB8">
        <w:rPr>
          <w:rFonts w:ascii="Georgia" w:hAnsi="Georgia"/>
          <w:sz w:val="20"/>
          <w:szCs w:val="20"/>
          <w:lang w:val="lt-LT"/>
        </w:rPr>
        <w:t xml:space="preserve">, o 40 % </w:t>
      </w:r>
      <w:r w:rsidR="00440ED7">
        <w:rPr>
          <w:rFonts w:ascii="Georgia" w:hAnsi="Georgia"/>
          <w:sz w:val="20"/>
          <w:szCs w:val="20"/>
          <w:lang w:val="lt-LT"/>
        </w:rPr>
        <w:t xml:space="preserve">lėšų </w:t>
      </w:r>
      <w:r w:rsidR="009D75AC" w:rsidRPr="00BC2CB8">
        <w:rPr>
          <w:rFonts w:ascii="Georgia" w:hAnsi="Georgia"/>
          <w:sz w:val="20"/>
          <w:szCs w:val="20"/>
          <w:lang w:val="lt-LT"/>
        </w:rPr>
        <w:t xml:space="preserve">suteikiant garantijas bankams. Modelis skaičiuojamas neviršijant turimų asignavimų ribų. Taigi paskolų fondui skiriama </w:t>
      </w:r>
      <w:r w:rsidR="00440ED7">
        <w:rPr>
          <w:rFonts w:ascii="Georgia" w:hAnsi="Georgia"/>
          <w:sz w:val="20"/>
          <w:szCs w:val="20"/>
          <w:lang w:val="lt-LT"/>
        </w:rPr>
        <w:t>30</w:t>
      </w:r>
      <w:r w:rsidR="009D75AC" w:rsidRPr="00BC2CB8">
        <w:rPr>
          <w:rFonts w:ascii="Georgia" w:hAnsi="Georgia"/>
          <w:sz w:val="20"/>
          <w:szCs w:val="20"/>
          <w:lang w:val="lt-LT"/>
        </w:rPr>
        <w:t xml:space="preserve"> mln. eurų, garantijų </w:t>
      </w:r>
      <w:r w:rsidR="00440ED7">
        <w:rPr>
          <w:rFonts w:ascii="Georgia" w:hAnsi="Georgia"/>
          <w:sz w:val="20"/>
          <w:szCs w:val="20"/>
          <w:lang w:val="lt-LT"/>
        </w:rPr>
        <w:t>priemonei</w:t>
      </w:r>
      <w:r w:rsidR="009D75AC" w:rsidRPr="00BC2CB8">
        <w:rPr>
          <w:rFonts w:ascii="Georgia" w:hAnsi="Georgia"/>
          <w:sz w:val="20"/>
          <w:szCs w:val="20"/>
          <w:lang w:val="lt-LT"/>
        </w:rPr>
        <w:t xml:space="preserve"> – </w:t>
      </w:r>
      <w:r w:rsidR="00440ED7">
        <w:rPr>
          <w:rFonts w:ascii="Georgia" w:hAnsi="Georgia"/>
          <w:sz w:val="20"/>
          <w:szCs w:val="20"/>
          <w:lang w:val="lt-LT"/>
        </w:rPr>
        <w:t>20 mln.</w:t>
      </w:r>
      <w:r w:rsidR="009D75AC" w:rsidRPr="00BC2CB8">
        <w:rPr>
          <w:rFonts w:ascii="Georgia" w:hAnsi="Georgia"/>
          <w:sz w:val="20"/>
          <w:szCs w:val="20"/>
          <w:lang w:val="lt-LT"/>
        </w:rPr>
        <w:t xml:space="preserve"> eurų</w:t>
      </w:r>
      <w:r w:rsidR="00440ED7">
        <w:rPr>
          <w:rFonts w:ascii="Georgia" w:hAnsi="Georgia"/>
          <w:sz w:val="20"/>
          <w:szCs w:val="20"/>
          <w:lang w:val="lt-LT"/>
        </w:rPr>
        <w:t xml:space="preserve">. </w:t>
      </w:r>
      <w:r w:rsidR="009D75AC" w:rsidRPr="00BC2CB8">
        <w:rPr>
          <w:rFonts w:ascii="Georgia" w:hAnsi="Georgia"/>
          <w:sz w:val="20"/>
          <w:szCs w:val="20"/>
          <w:lang w:val="lt-LT"/>
        </w:rPr>
        <w:t>Žemiau esančioje lentelėje pateikiamos paskolų ir garantijų priemonių prielaidos.</w:t>
      </w:r>
    </w:p>
    <w:p w14:paraId="0444C478" w14:textId="68ED2B37" w:rsidR="009D75AC" w:rsidRPr="00BC2CB8" w:rsidRDefault="009D75AC" w:rsidP="009D75AC">
      <w:pPr>
        <w:pStyle w:val="Antrat"/>
        <w:jc w:val="both"/>
        <w:rPr>
          <w:szCs w:val="20"/>
          <w:lang w:val="lt-LT"/>
        </w:rPr>
      </w:pPr>
      <w:bookmarkStart w:id="183" w:name="_Toc460321667"/>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86</w:t>
      </w:r>
      <w:r w:rsidRPr="00BC2CB8">
        <w:rPr>
          <w:lang w:val="lt-LT"/>
        </w:rPr>
        <w:fldChar w:fldCharType="end"/>
      </w:r>
      <w:r w:rsidRPr="00BC2CB8">
        <w:rPr>
          <w:lang w:val="lt-LT"/>
        </w:rPr>
        <w:t>. Scenarijaus Nr. 3 prielaidos</w:t>
      </w:r>
      <w:bookmarkEnd w:id="183"/>
    </w:p>
    <w:tbl>
      <w:tblPr>
        <w:tblStyle w:val="viesussraas2parykinimas"/>
        <w:tblW w:w="9242" w:type="dxa"/>
        <w:tblLook w:val="04A0" w:firstRow="1" w:lastRow="0" w:firstColumn="1" w:lastColumn="0" w:noHBand="0" w:noVBand="1"/>
      </w:tblPr>
      <w:tblGrid>
        <w:gridCol w:w="3164"/>
        <w:gridCol w:w="6078"/>
      </w:tblGrid>
      <w:tr w:rsidR="009D75AC" w:rsidRPr="00BC2CB8" w14:paraId="251108C1" w14:textId="77777777" w:rsidTr="00BC2D4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4" w:type="dxa"/>
            <w:tcBorders>
              <w:bottom w:val="single" w:sz="8" w:space="0" w:color="C0504D" w:themeColor="accent2"/>
            </w:tcBorders>
          </w:tcPr>
          <w:p w14:paraId="5D31DD13" w14:textId="77777777" w:rsidR="009D75AC" w:rsidRPr="00BC2CB8" w:rsidRDefault="009D75AC" w:rsidP="00BC2D48">
            <w:pPr>
              <w:jc w:val="center"/>
              <w:rPr>
                <w:rFonts w:ascii="Georgia" w:hAnsi="Georgia"/>
                <w:sz w:val="20"/>
                <w:szCs w:val="20"/>
              </w:rPr>
            </w:pPr>
            <w:r w:rsidRPr="00BC2CB8">
              <w:rPr>
                <w:rFonts w:ascii="Georgia" w:hAnsi="Georgia"/>
                <w:sz w:val="20"/>
                <w:szCs w:val="20"/>
              </w:rPr>
              <w:t>Prielaidos</w:t>
            </w:r>
          </w:p>
        </w:tc>
        <w:tc>
          <w:tcPr>
            <w:tcW w:w="6078" w:type="dxa"/>
            <w:tcBorders>
              <w:bottom w:val="single" w:sz="8" w:space="0" w:color="C0504D" w:themeColor="accent2"/>
            </w:tcBorders>
          </w:tcPr>
          <w:p w14:paraId="5CFB058E" w14:textId="77777777" w:rsidR="009D75AC" w:rsidRPr="00BC2CB8" w:rsidRDefault="009D75AC" w:rsidP="00BC2D48">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Komentaras</w:t>
            </w:r>
          </w:p>
        </w:tc>
      </w:tr>
      <w:tr w:rsidR="009D75AC" w:rsidRPr="00BC2CB8" w14:paraId="0F937C28" w14:textId="77777777" w:rsidTr="00BC2D4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4" w:type="dxa"/>
            <w:tcBorders>
              <w:bottom w:val="single" w:sz="6" w:space="0" w:color="C0504D" w:themeColor="accent2"/>
              <w:right w:val="single" w:sz="6" w:space="0" w:color="C0504D" w:themeColor="accent2"/>
            </w:tcBorders>
          </w:tcPr>
          <w:p w14:paraId="1989AABC" w14:textId="77777777" w:rsidR="009D75AC" w:rsidRPr="00BC2CB8" w:rsidRDefault="009D75AC" w:rsidP="00BC2D48">
            <w:pPr>
              <w:rPr>
                <w:rFonts w:ascii="Georgia" w:hAnsi="Georgia"/>
                <w:b w:val="0"/>
                <w:sz w:val="20"/>
                <w:szCs w:val="20"/>
              </w:rPr>
            </w:pPr>
            <w:r w:rsidRPr="00BC2CB8">
              <w:rPr>
                <w:rFonts w:ascii="Georgia" w:hAnsi="Georgia"/>
                <w:sz w:val="20"/>
                <w:szCs w:val="20"/>
              </w:rPr>
              <w:t>Paskolos laikotarpis: iki 20 metų</w:t>
            </w:r>
          </w:p>
        </w:tc>
        <w:tc>
          <w:tcPr>
            <w:tcW w:w="6078" w:type="dxa"/>
            <w:tcBorders>
              <w:left w:val="single" w:sz="6" w:space="0" w:color="C0504D" w:themeColor="accent2"/>
              <w:bottom w:val="single" w:sz="6" w:space="0" w:color="C0504D" w:themeColor="accent2"/>
            </w:tcBorders>
          </w:tcPr>
          <w:p w14:paraId="5167A0DF" w14:textId="77777777" w:rsidR="009D75AC" w:rsidRPr="00BC2CB8" w:rsidRDefault="009D75AC" w:rsidP="00BC2D48">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Maksimalus paskolos sutarties terminas yra 20 metų.</w:t>
            </w:r>
          </w:p>
        </w:tc>
      </w:tr>
      <w:tr w:rsidR="009D75AC" w:rsidRPr="00BC2CB8" w14:paraId="16A07193" w14:textId="77777777" w:rsidTr="00BC2D48">
        <w:trPr>
          <w:cantSplit/>
        </w:trPr>
        <w:tc>
          <w:tcPr>
            <w:cnfStyle w:val="001000000000" w:firstRow="0" w:lastRow="0" w:firstColumn="1" w:lastColumn="0" w:oddVBand="0" w:evenVBand="0" w:oddHBand="0" w:evenHBand="0" w:firstRowFirstColumn="0" w:firstRowLastColumn="0" w:lastRowFirstColumn="0" w:lastRowLastColumn="0"/>
            <w:tcW w:w="3164" w:type="dxa"/>
            <w:tcBorders>
              <w:top w:val="single" w:sz="6" w:space="0" w:color="C0504D" w:themeColor="accent2"/>
              <w:bottom w:val="single" w:sz="6" w:space="0" w:color="C0504D" w:themeColor="accent2"/>
              <w:right w:val="single" w:sz="6" w:space="0" w:color="C0504D" w:themeColor="accent2"/>
            </w:tcBorders>
          </w:tcPr>
          <w:p w14:paraId="2AE2FE6F" w14:textId="77777777" w:rsidR="009D75AC" w:rsidRPr="00BC2CB8" w:rsidRDefault="009D75AC" w:rsidP="00BC2D48">
            <w:pPr>
              <w:rPr>
                <w:rFonts w:ascii="Georgia" w:hAnsi="Georgia"/>
                <w:b w:val="0"/>
                <w:sz w:val="20"/>
                <w:szCs w:val="20"/>
              </w:rPr>
            </w:pPr>
            <w:r w:rsidRPr="00BC2CB8">
              <w:rPr>
                <w:rFonts w:ascii="Georgia" w:hAnsi="Georgia"/>
                <w:sz w:val="20"/>
                <w:szCs w:val="20"/>
              </w:rPr>
              <w:t>Blogų paskolų dalis: 5 %</w:t>
            </w:r>
          </w:p>
        </w:tc>
        <w:tc>
          <w:tcPr>
            <w:tcW w:w="6078" w:type="dxa"/>
            <w:tcBorders>
              <w:top w:val="single" w:sz="6" w:space="0" w:color="C0504D" w:themeColor="accent2"/>
              <w:left w:val="single" w:sz="6" w:space="0" w:color="C0504D" w:themeColor="accent2"/>
              <w:bottom w:val="single" w:sz="6" w:space="0" w:color="C0504D" w:themeColor="accent2"/>
            </w:tcBorders>
          </w:tcPr>
          <w:p w14:paraId="6147B2BA" w14:textId="77777777" w:rsidR="009D75AC" w:rsidRPr="00BC2CB8" w:rsidRDefault="009D75AC" w:rsidP="00BC2D48">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Blogų paskolų dalis buvo nustatyta remiantis ekspertų ir komercinių bankų vertinimu. Be to, ši prielaida atitinka PwC studijoje nustatytą dydį. Garantijų priemonės atveju daroma prielaida, kad iki 2022 metų reikės išmokėti 50% garantuotos sumos bankams nuo atsiradusių blogų paskolų.</w:t>
            </w:r>
          </w:p>
        </w:tc>
      </w:tr>
      <w:tr w:rsidR="009D75AC" w:rsidRPr="00BC2CB8" w14:paraId="5FDB6AF9" w14:textId="77777777" w:rsidTr="00BC2D4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4" w:type="dxa"/>
            <w:tcBorders>
              <w:top w:val="single" w:sz="6" w:space="0" w:color="C0504D" w:themeColor="accent2"/>
              <w:bottom w:val="single" w:sz="6" w:space="0" w:color="C0504D" w:themeColor="accent2"/>
              <w:right w:val="single" w:sz="6" w:space="0" w:color="C0504D" w:themeColor="accent2"/>
            </w:tcBorders>
          </w:tcPr>
          <w:p w14:paraId="2431CC60" w14:textId="77777777" w:rsidR="009D75AC" w:rsidRPr="00BC2CB8" w:rsidRDefault="009D75AC" w:rsidP="00440ED7">
            <w:pPr>
              <w:rPr>
                <w:rFonts w:ascii="Georgia" w:hAnsi="Georgia"/>
                <w:b w:val="0"/>
                <w:sz w:val="20"/>
                <w:szCs w:val="20"/>
              </w:rPr>
            </w:pPr>
            <w:r w:rsidRPr="00BC2CB8">
              <w:rPr>
                <w:rFonts w:ascii="Georgia" w:hAnsi="Georgia"/>
                <w:sz w:val="20"/>
                <w:szCs w:val="20"/>
              </w:rPr>
              <w:t xml:space="preserve">Fonde rezervuojamos lėšos garantijų įsipareigojimų vykdymui: </w:t>
            </w:r>
            <w:r w:rsidR="00440ED7">
              <w:rPr>
                <w:rFonts w:ascii="Georgia" w:hAnsi="Georgia"/>
                <w:sz w:val="20"/>
                <w:szCs w:val="20"/>
              </w:rPr>
              <w:t>3</w:t>
            </w:r>
            <w:r w:rsidRPr="00BC2CB8">
              <w:rPr>
                <w:rFonts w:ascii="Georgia" w:hAnsi="Georgia"/>
                <w:sz w:val="20"/>
                <w:szCs w:val="20"/>
              </w:rPr>
              <w:t xml:space="preserve">0 % </w:t>
            </w:r>
          </w:p>
        </w:tc>
        <w:tc>
          <w:tcPr>
            <w:tcW w:w="6078" w:type="dxa"/>
            <w:tcBorders>
              <w:top w:val="single" w:sz="6" w:space="0" w:color="C0504D" w:themeColor="accent2"/>
              <w:left w:val="single" w:sz="6" w:space="0" w:color="C0504D" w:themeColor="accent2"/>
              <w:bottom w:val="single" w:sz="6" w:space="0" w:color="C0504D" w:themeColor="accent2"/>
            </w:tcBorders>
          </w:tcPr>
          <w:p w14:paraId="257A4CA7" w14:textId="77777777" w:rsidR="009D75AC" w:rsidRPr="00BC2CB8" w:rsidRDefault="009D75AC" w:rsidP="00585E78">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Fondo garantiniams įsipareigojimams vykdyti rezervuojama </w:t>
            </w:r>
            <w:r w:rsidR="00440ED7">
              <w:rPr>
                <w:rFonts w:ascii="Georgia" w:hAnsi="Georgia"/>
                <w:sz w:val="20"/>
                <w:szCs w:val="20"/>
              </w:rPr>
              <w:t>3</w:t>
            </w:r>
            <w:r w:rsidRPr="00BC2CB8">
              <w:rPr>
                <w:rFonts w:ascii="Georgia" w:hAnsi="Georgia"/>
                <w:sz w:val="20"/>
                <w:szCs w:val="20"/>
              </w:rPr>
              <w:t>0 % lėšų</w:t>
            </w:r>
            <w:r w:rsidR="00440ED7">
              <w:rPr>
                <w:rFonts w:ascii="Georgia" w:hAnsi="Georgia"/>
                <w:sz w:val="20"/>
                <w:szCs w:val="20"/>
              </w:rPr>
              <w:t xml:space="preserve"> (susitikimų su bankais metu nustatyta, jog pastarieji savivaldybių mokėjimus laiko rizikingesniais, todėl šis procentas didesnis negu centrinės valdžios pastatų modernizacijos atveju)</w:t>
            </w:r>
            <w:r w:rsidRPr="00BC2CB8">
              <w:rPr>
                <w:rFonts w:ascii="Georgia" w:hAnsi="Georgia"/>
                <w:sz w:val="20"/>
                <w:szCs w:val="20"/>
              </w:rPr>
              <w:t>, tačiau modeliuojant scenarijų, skaičiuojama jog tikėtina praradimų dalis 5 %, kuri paremta ekspertiniu ir komercinių bankų vertinimu, bei atitinka PwC studijos prielaidas.</w:t>
            </w:r>
          </w:p>
        </w:tc>
      </w:tr>
      <w:tr w:rsidR="009D75AC" w:rsidRPr="00BC2CB8" w14:paraId="6220EAC4" w14:textId="77777777" w:rsidTr="00BC2D48">
        <w:trPr>
          <w:cantSplit/>
        </w:trPr>
        <w:tc>
          <w:tcPr>
            <w:cnfStyle w:val="001000000000" w:firstRow="0" w:lastRow="0" w:firstColumn="1" w:lastColumn="0" w:oddVBand="0" w:evenVBand="0" w:oddHBand="0" w:evenHBand="0" w:firstRowFirstColumn="0" w:firstRowLastColumn="0" w:lastRowFirstColumn="0" w:lastRowLastColumn="0"/>
            <w:tcW w:w="3164" w:type="dxa"/>
            <w:tcBorders>
              <w:top w:val="single" w:sz="6" w:space="0" w:color="C0504D" w:themeColor="accent2"/>
              <w:bottom w:val="single" w:sz="6" w:space="0" w:color="C0504D" w:themeColor="accent2"/>
              <w:right w:val="single" w:sz="6" w:space="0" w:color="C0504D" w:themeColor="accent2"/>
            </w:tcBorders>
          </w:tcPr>
          <w:p w14:paraId="7FA3B728" w14:textId="7CD78288" w:rsidR="009D75AC" w:rsidRPr="00BC2CB8" w:rsidRDefault="009D75AC" w:rsidP="00BC2D48">
            <w:pPr>
              <w:rPr>
                <w:rFonts w:ascii="Georgia" w:hAnsi="Georgia"/>
                <w:sz w:val="20"/>
                <w:szCs w:val="20"/>
              </w:rPr>
            </w:pPr>
            <w:r w:rsidRPr="00BC2CB8">
              <w:rPr>
                <w:rFonts w:ascii="Georgia" w:hAnsi="Georgia"/>
                <w:sz w:val="20"/>
                <w:szCs w:val="20"/>
              </w:rPr>
              <w:t xml:space="preserve">Paskolų palūkanų norma: </w:t>
            </w:r>
            <w:r w:rsidR="00E36FAE">
              <w:rPr>
                <w:rFonts w:ascii="Georgia" w:hAnsi="Georgia"/>
                <w:sz w:val="20"/>
                <w:szCs w:val="20"/>
              </w:rPr>
              <w:t>su iki</w:t>
            </w:r>
            <w:r w:rsidR="00E36FAE" w:rsidRPr="00BC2CB8">
              <w:rPr>
                <w:rFonts w:ascii="Georgia" w:hAnsi="Georgia"/>
                <w:sz w:val="20"/>
                <w:szCs w:val="20"/>
              </w:rPr>
              <w:t xml:space="preserve"> 2 %</w:t>
            </w:r>
            <w:r w:rsidR="00E36FAE">
              <w:rPr>
                <w:rFonts w:ascii="Georgia" w:hAnsi="Georgia"/>
                <w:sz w:val="20"/>
                <w:szCs w:val="20"/>
              </w:rPr>
              <w:t xml:space="preserve"> palūkanų marža</w:t>
            </w:r>
          </w:p>
        </w:tc>
        <w:tc>
          <w:tcPr>
            <w:tcW w:w="6078" w:type="dxa"/>
            <w:tcBorders>
              <w:top w:val="single" w:sz="6" w:space="0" w:color="C0504D" w:themeColor="accent2"/>
              <w:left w:val="single" w:sz="6" w:space="0" w:color="C0504D" w:themeColor="accent2"/>
              <w:bottom w:val="single" w:sz="6" w:space="0" w:color="C0504D" w:themeColor="accent2"/>
            </w:tcBorders>
          </w:tcPr>
          <w:p w14:paraId="46B67E87" w14:textId="080555A6" w:rsidR="009D75AC" w:rsidRPr="00BC2CB8" w:rsidRDefault="007A0E07" w:rsidP="003E7034">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Analizės tikslais n</w:t>
            </w:r>
            <w:r w:rsidRPr="00BC2CB8">
              <w:rPr>
                <w:rFonts w:ascii="Georgia" w:hAnsi="Georgia"/>
                <w:sz w:val="20"/>
                <w:szCs w:val="20"/>
              </w:rPr>
              <w:t>ustatomos 2</w:t>
            </w:r>
            <w:r>
              <w:rPr>
                <w:rFonts w:ascii="Georgia" w:hAnsi="Georgia"/>
                <w:sz w:val="20"/>
                <w:szCs w:val="20"/>
              </w:rPr>
              <w:t xml:space="preserve"> </w:t>
            </w:r>
            <w:r w:rsidRPr="00BC2CB8">
              <w:rPr>
                <w:rFonts w:ascii="Georgia" w:hAnsi="Georgia"/>
                <w:sz w:val="20"/>
                <w:szCs w:val="20"/>
              </w:rPr>
              <w:t xml:space="preserve">% </w:t>
            </w:r>
            <w:r>
              <w:rPr>
                <w:rFonts w:ascii="Georgia" w:hAnsi="Georgia"/>
                <w:sz w:val="20"/>
                <w:szCs w:val="20"/>
              </w:rPr>
              <w:t xml:space="preserve">metinės </w:t>
            </w:r>
            <w:r w:rsidRPr="00BC2CB8">
              <w:rPr>
                <w:rFonts w:ascii="Georgia" w:hAnsi="Georgia"/>
                <w:sz w:val="20"/>
                <w:szCs w:val="20"/>
              </w:rPr>
              <w:t>palūkanos.</w:t>
            </w:r>
            <w:r>
              <w:rPr>
                <w:rFonts w:ascii="Georgia" w:hAnsi="Georgia"/>
                <w:sz w:val="20"/>
                <w:szCs w:val="20"/>
              </w:rPr>
              <w:t xml:space="preserve"> Pradinėje FP stadijoje gali būti nustatomos ir mažesnės palūkanos. Išnaudojus ESI fondų lėšas palūkanos turėtų atitikti FP administravimo ir </w:t>
            </w:r>
            <w:r w:rsidR="003E7034">
              <w:rPr>
                <w:rFonts w:ascii="Georgia" w:hAnsi="Georgia"/>
                <w:sz w:val="20"/>
                <w:szCs w:val="20"/>
              </w:rPr>
              <w:t>lėšų</w:t>
            </w:r>
            <w:r>
              <w:rPr>
                <w:rFonts w:ascii="Georgia" w:hAnsi="Georgia"/>
                <w:sz w:val="20"/>
                <w:szCs w:val="20"/>
              </w:rPr>
              <w:t xml:space="preserve"> pritraukimo kainą.</w:t>
            </w:r>
          </w:p>
        </w:tc>
      </w:tr>
      <w:tr w:rsidR="009D75AC" w:rsidRPr="00BC2CB8" w14:paraId="562ED375" w14:textId="77777777" w:rsidTr="00BC2D4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4" w:type="dxa"/>
            <w:tcBorders>
              <w:top w:val="single" w:sz="6" w:space="0" w:color="C0504D" w:themeColor="accent2"/>
              <w:bottom w:val="single" w:sz="6" w:space="0" w:color="C0504D" w:themeColor="accent2"/>
              <w:right w:val="single" w:sz="6" w:space="0" w:color="C0504D" w:themeColor="accent2"/>
            </w:tcBorders>
          </w:tcPr>
          <w:p w14:paraId="23DB465C" w14:textId="77777777" w:rsidR="009D75AC" w:rsidRPr="00BC2CB8" w:rsidRDefault="009D75AC" w:rsidP="00BC2D48">
            <w:pPr>
              <w:rPr>
                <w:rFonts w:ascii="Georgia" w:hAnsi="Georgia"/>
                <w:b w:val="0"/>
                <w:sz w:val="20"/>
                <w:szCs w:val="20"/>
              </w:rPr>
            </w:pPr>
            <w:r w:rsidRPr="00BC2CB8">
              <w:rPr>
                <w:rFonts w:ascii="Georgia" w:hAnsi="Georgia"/>
                <w:sz w:val="20"/>
                <w:szCs w:val="20"/>
              </w:rPr>
              <w:t>Bankų palūkanų norma garantijų priemonės atveju: 7 %</w:t>
            </w:r>
          </w:p>
        </w:tc>
        <w:tc>
          <w:tcPr>
            <w:tcW w:w="6078" w:type="dxa"/>
            <w:tcBorders>
              <w:top w:val="single" w:sz="6" w:space="0" w:color="C0504D" w:themeColor="accent2"/>
              <w:left w:val="single" w:sz="6" w:space="0" w:color="C0504D" w:themeColor="accent2"/>
              <w:bottom w:val="single" w:sz="6" w:space="0" w:color="C0504D" w:themeColor="accent2"/>
            </w:tcBorders>
          </w:tcPr>
          <w:p w14:paraId="2E26F324" w14:textId="77777777" w:rsidR="009D75AC" w:rsidRPr="00BC2CB8" w:rsidRDefault="009D75AC" w:rsidP="00BC2D48">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garantijų priemonės atveju, komercinių bankų fiksuota paskolų palūkanų norma (20-ies metų laikotarpiui) sudarys 7 proc. Ši palūkanų norma įvertinta remiantis šiais duomenimis:</w:t>
            </w:r>
          </w:p>
          <w:p w14:paraId="274A7D01" w14:textId="77777777" w:rsidR="009D75AC" w:rsidRPr="00BC2CB8" w:rsidRDefault="009D75AC" w:rsidP="00BC2D48">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1) Prognozuojamas suderintas vartotojų kainų indekso (SVKI) vidurkis Lietuvoje 2013-2017 (2,9%); </w:t>
            </w:r>
          </w:p>
          <w:p w14:paraId="6FAA496E" w14:textId="77777777" w:rsidR="009D75AC" w:rsidRPr="00BC2CB8" w:rsidRDefault="009D75AC" w:rsidP="00BC2D48">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2) Lietuvos Respublikos Vyriausybės obligacijų emisijos (2536 dienų trukmės) palūkanos 2014 rugsėjo mėnesį (2,0%); </w:t>
            </w:r>
          </w:p>
          <w:p w14:paraId="72CFF865" w14:textId="77777777" w:rsidR="009D75AC" w:rsidRPr="00BC2CB8" w:rsidRDefault="009D75AC" w:rsidP="00BC2D48">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3) Galima komercinių bankų marža (2,1%).</w:t>
            </w:r>
          </w:p>
          <w:p w14:paraId="2F792936" w14:textId="77777777" w:rsidR="009D75AC" w:rsidRPr="00BC2CB8" w:rsidRDefault="009D75AC" w:rsidP="00BC2D48">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Pokalbių su bankais metu paminėta, jog vertinant įvairias rizikas, ilgalaikėms paskoloms (20 metų) preliminariai galėtų būti taikomos nuo 7 iki 10 proc. palūkanų normos.</w:t>
            </w:r>
          </w:p>
        </w:tc>
      </w:tr>
      <w:tr w:rsidR="009D75AC" w:rsidRPr="00BC2CB8" w14:paraId="57254BC6" w14:textId="77777777" w:rsidTr="00BC2D48">
        <w:trPr>
          <w:cantSplit/>
        </w:trPr>
        <w:tc>
          <w:tcPr>
            <w:cnfStyle w:val="001000000000" w:firstRow="0" w:lastRow="0" w:firstColumn="1" w:lastColumn="0" w:oddVBand="0" w:evenVBand="0" w:oddHBand="0" w:evenHBand="0" w:firstRowFirstColumn="0" w:firstRowLastColumn="0" w:lastRowFirstColumn="0" w:lastRowLastColumn="0"/>
            <w:tcW w:w="3164" w:type="dxa"/>
            <w:tcBorders>
              <w:top w:val="single" w:sz="6" w:space="0" w:color="C0504D" w:themeColor="accent2"/>
              <w:bottom w:val="single" w:sz="6" w:space="0" w:color="C0504D" w:themeColor="accent2"/>
              <w:right w:val="single" w:sz="6" w:space="0" w:color="C0504D" w:themeColor="accent2"/>
            </w:tcBorders>
          </w:tcPr>
          <w:p w14:paraId="5D731D59" w14:textId="77777777" w:rsidR="009D75AC" w:rsidRPr="00BC2CB8" w:rsidRDefault="009D75AC" w:rsidP="00BC2D48">
            <w:pPr>
              <w:rPr>
                <w:rFonts w:ascii="Georgia" w:hAnsi="Georgia"/>
                <w:b w:val="0"/>
                <w:sz w:val="20"/>
                <w:szCs w:val="20"/>
              </w:rPr>
            </w:pPr>
            <w:r w:rsidRPr="00BC2CB8">
              <w:rPr>
                <w:rFonts w:ascii="Georgia" w:hAnsi="Georgia"/>
                <w:sz w:val="20"/>
                <w:szCs w:val="20"/>
              </w:rPr>
              <w:t>Tipinio viešojo pastato projekto investicijų vertė: 228 000 eurų</w:t>
            </w:r>
          </w:p>
        </w:tc>
        <w:tc>
          <w:tcPr>
            <w:tcW w:w="6078" w:type="dxa"/>
            <w:tcBorders>
              <w:top w:val="single" w:sz="6" w:space="0" w:color="C0504D" w:themeColor="accent2"/>
              <w:left w:val="single" w:sz="6" w:space="0" w:color="C0504D" w:themeColor="accent2"/>
              <w:bottom w:val="single" w:sz="6" w:space="0" w:color="C0504D" w:themeColor="accent2"/>
            </w:tcBorders>
          </w:tcPr>
          <w:p w14:paraId="2439C41D" w14:textId="77777777" w:rsidR="009D75AC" w:rsidRPr="00BC2CB8" w:rsidRDefault="009D75AC" w:rsidP="00BC2D48">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Vidutinė tipinio viešojo pastato renovacijos kaina buvo nustatyta remiantis vidutinio viešojo pastato plotu ir pastato renovacijos kaštais vienam kvadratiniam metrui. Vidutinis pastato plotas paskaičiuotas remiantis Registrų centro duomenimis 2.1.1. skyriuje, o viešojo pastato renovacijos kaštai numatyti </w:t>
            </w:r>
            <w:r w:rsidRPr="00BC2CB8">
              <w:rPr>
                <w:rFonts w:ascii="Georgia" w:hAnsi="Georgia"/>
                <w:bCs/>
                <w:sz w:val="20"/>
                <w:szCs w:val="20"/>
              </w:rPr>
              <w:t>Viešųjų pastatų energinio efektyvumo didinimo programos projekte</w:t>
            </w:r>
            <w:r w:rsidRPr="00BC2CB8">
              <w:rPr>
                <w:rStyle w:val="Puslapioinaosnuoroda"/>
                <w:rFonts w:ascii="Georgia" w:hAnsi="Georgia"/>
                <w:bCs/>
                <w:sz w:val="20"/>
                <w:szCs w:val="20"/>
              </w:rPr>
              <w:footnoteReference w:id="112"/>
            </w:r>
            <w:r w:rsidRPr="00BC2CB8">
              <w:rPr>
                <w:rFonts w:ascii="Georgia" w:hAnsi="Georgia"/>
                <w:bCs/>
                <w:sz w:val="20"/>
                <w:szCs w:val="20"/>
              </w:rPr>
              <w:t xml:space="preserve"> ir sudaro 202,7 </w:t>
            </w:r>
            <w:r w:rsidRPr="00BC2CB8">
              <w:rPr>
                <w:rFonts w:ascii="Georgia" w:hAnsi="Georgia"/>
                <w:sz w:val="20"/>
                <w:szCs w:val="20"/>
              </w:rPr>
              <w:t>eurų</w:t>
            </w:r>
            <w:r w:rsidRPr="00BC2CB8" w:rsidDel="00334CC9">
              <w:rPr>
                <w:rFonts w:ascii="Georgia" w:hAnsi="Georgia"/>
                <w:bCs/>
                <w:sz w:val="20"/>
                <w:szCs w:val="20"/>
              </w:rPr>
              <w:t xml:space="preserve"> </w:t>
            </w:r>
            <w:r w:rsidRPr="00BC2CB8">
              <w:rPr>
                <w:rFonts w:ascii="Georgia" w:hAnsi="Georgia"/>
                <w:bCs/>
                <w:sz w:val="20"/>
                <w:szCs w:val="20"/>
              </w:rPr>
              <w:t>/m</w:t>
            </w:r>
            <w:r w:rsidRPr="00BC2CB8">
              <w:rPr>
                <w:rFonts w:ascii="Georgia" w:hAnsi="Georgia"/>
                <w:bCs/>
                <w:sz w:val="20"/>
                <w:szCs w:val="20"/>
                <w:vertAlign w:val="superscript"/>
              </w:rPr>
              <w:t>2</w:t>
            </w:r>
            <w:r w:rsidRPr="00BC2CB8">
              <w:rPr>
                <w:rFonts w:ascii="Georgia" w:hAnsi="Georgia"/>
                <w:bCs/>
                <w:sz w:val="20"/>
                <w:szCs w:val="20"/>
              </w:rPr>
              <w:t>.</w:t>
            </w:r>
          </w:p>
        </w:tc>
      </w:tr>
      <w:tr w:rsidR="009D75AC" w:rsidRPr="00BC2CB8" w14:paraId="119B7419" w14:textId="77777777" w:rsidTr="00BC2D4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4" w:type="dxa"/>
            <w:tcBorders>
              <w:top w:val="single" w:sz="6" w:space="0" w:color="C0504D" w:themeColor="accent2"/>
              <w:bottom w:val="single" w:sz="6" w:space="0" w:color="C0504D" w:themeColor="accent2"/>
              <w:right w:val="single" w:sz="6" w:space="0" w:color="C0504D" w:themeColor="accent2"/>
            </w:tcBorders>
          </w:tcPr>
          <w:p w14:paraId="4CD8D075" w14:textId="4FB385B7" w:rsidR="009D75AC" w:rsidRPr="00BC2CB8" w:rsidRDefault="009D75AC">
            <w:pPr>
              <w:rPr>
                <w:rFonts w:ascii="Georgia" w:hAnsi="Georgia"/>
                <w:b w:val="0"/>
                <w:sz w:val="20"/>
                <w:szCs w:val="20"/>
              </w:rPr>
            </w:pPr>
            <w:r w:rsidRPr="00BC2CB8">
              <w:rPr>
                <w:rFonts w:ascii="Georgia" w:hAnsi="Georgia"/>
                <w:sz w:val="20"/>
                <w:szCs w:val="20"/>
              </w:rPr>
              <w:t xml:space="preserve">Investuojamų ESI lėšų suma į fondą: </w:t>
            </w:r>
            <w:r w:rsidR="00440ED7">
              <w:rPr>
                <w:rFonts w:ascii="Georgia" w:hAnsi="Georgia"/>
                <w:sz w:val="20"/>
                <w:szCs w:val="20"/>
              </w:rPr>
              <w:t>50</w:t>
            </w:r>
            <w:r w:rsidRPr="00BC2CB8">
              <w:rPr>
                <w:rFonts w:ascii="Georgia" w:hAnsi="Georgia"/>
                <w:sz w:val="20"/>
                <w:szCs w:val="20"/>
              </w:rPr>
              <w:t xml:space="preserve"> mln. eurų</w:t>
            </w:r>
          </w:p>
        </w:tc>
        <w:tc>
          <w:tcPr>
            <w:tcW w:w="6078" w:type="dxa"/>
            <w:tcBorders>
              <w:top w:val="single" w:sz="6" w:space="0" w:color="C0504D" w:themeColor="accent2"/>
              <w:left w:val="single" w:sz="6" w:space="0" w:color="C0504D" w:themeColor="accent2"/>
              <w:bottom w:val="single" w:sz="6" w:space="0" w:color="C0504D" w:themeColor="accent2"/>
            </w:tcBorders>
          </w:tcPr>
          <w:p w14:paraId="34C1F710" w14:textId="351D911A" w:rsidR="00440ED7" w:rsidRDefault="00440ED7" w:rsidP="00BC2D48">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Daroma prielaida, jog </w:t>
            </w:r>
            <w:r w:rsidR="00144171">
              <w:rPr>
                <w:rFonts w:ascii="Georgia" w:hAnsi="Georgia"/>
                <w:sz w:val="20"/>
                <w:szCs w:val="20"/>
              </w:rPr>
              <w:t>savivaldybių</w:t>
            </w:r>
            <w:r w:rsidRPr="00BC2CB8">
              <w:rPr>
                <w:rFonts w:ascii="Georgia" w:hAnsi="Georgia"/>
                <w:sz w:val="20"/>
                <w:szCs w:val="20"/>
              </w:rPr>
              <w:t xml:space="preserve"> pastatų renovacijai skirtos lėšos – </w:t>
            </w:r>
            <w:r>
              <w:rPr>
                <w:rFonts w:ascii="Georgia" w:hAnsi="Georgia"/>
                <w:sz w:val="20"/>
                <w:szCs w:val="20"/>
              </w:rPr>
              <w:t>50</w:t>
            </w:r>
            <w:r w:rsidRPr="00BC2CB8">
              <w:rPr>
                <w:rFonts w:ascii="Georgia" w:hAnsi="Georgia"/>
                <w:sz w:val="20"/>
                <w:szCs w:val="20"/>
              </w:rPr>
              <w:t xml:space="preserve"> mln. eurų</w:t>
            </w:r>
            <w:r>
              <w:rPr>
                <w:rFonts w:ascii="Georgia" w:hAnsi="Georgia"/>
                <w:sz w:val="20"/>
                <w:szCs w:val="20"/>
              </w:rPr>
              <w:t>, bus skirstomos taip:</w:t>
            </w:r>
          </w:p>
          <w:p w14:paraId="1030037F" w14:textId="4A546132" w:rsidR="00440ED7" w:rsidRPr="00BC2CB8" w:rsidRDefault="00440ED7" w:rsidP="00440ED7">
            <w:pPr>
              <w:pStyle w:val="Sraopastraipa"/>
              <w:numPr>
                <w:ilvl w:val="0"/>
                <w:numId w:val="8"/>
              </w:num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30</w:t>
            </w:r>
            <w:r w:rsidRPr="00BC2CB8">
              <w:rPr>
                <w:rFonts w:ascii="Georgia" w:hAnsi="Georgia"/>
                <w:sz w:val="20"/>
                <w:szCs w:val="20"/>
              </w:rPr>
              <w:t xml:space="preserve"> mln. eurų</w:t>
            </w:r>
            <w:r w:rsidRPr="00BC2CB8" w:rsidDel="00334CC9">
              <w:rPr>
                <w:rFonts w:ascii="Georgia" w:hAnsi="Georgia"/>
                <w:sz w:val="20"/>
                <w:szCs w:val="20"/>
              </w:rPr>
              <w:t xml:space="preserve"> </w:t>
            </w:r>
            <w:r w:rsidRPr="00BC2CB8">
              <w:rPr>
                <w:rFonts w:ascii="Georgia" w:hAnsi="Georgia"/>
                <w:sz w:val="20"/>
                <w:szCs w:val="20"/>
              </w:rPr>
              <w:t>skiriama lengvatinių paskolų priemonei;</w:t>
            </w:r>
          </w:p>
          <w:p w14:paraId="1D02DB15" w14:textId="22219155" w:rsidR="009D75AC" w:rsidRPr="00DA65C2" w:rsidRDefault="00440ED7">
            <w:pPr>
              <w:pStyle w:val="Sraopastraipa"/>
              <w:numPr>
                <w:ilvl w:val="0"/>
                <w:numId w:val="8"/>
              </w:num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20</w:t>
            </w:r>
            <w:r w:rsidRPr="00BC2CB8">
              <w:rPr>
                <w:rFonts w:ascii="Georgia" w:hAnsi="Georgia"/>
                <w:sz w:val="20"/>
                <w:szCs w:val="20"/>
              </w:rPr>
              <w:t xml:space="preserve"> mln. eurų</w:t>
            </w:r>
            <w:r w:rsidRPr="00BC2CB8" w:rsidDel="00334CC9">
              <w:rPr>
                <w:rFonts w:ascii="Georgia" w:hAnsi="Georgia"/>
                <w:sz w:val="20"/>
                <w:szCs w:val="20"/>
              </w:rPr>
              <w:t xml:space="preserve"> </w:t>
            </w:r>
            <w:r w:rsidRPr="00BC2CB8">
              <w:rPr>
                <w:rFonts w:ascii="Georgia" w:hAnsi="Georgia"/>
                <w:sz w:val="20"/>
                <w:szCs w:val="20"/>
              </w:rPr>
              <w:t>skiriama garantijų priemonei;</w:t>
            </w:r>
          </w:p>
        </w:tc>
      </w:tr>
      <w:tr w:rsidR="009D75AC" w:rsidRPr="00BC2CB8" w14:paraId="397E7C92" w14:textId="77777777" w:rsidTr="00BC2D48">
        <w:trPr>
          <w:cantSplit/>
        </w:trPr>
        <w:tc>
          <w:tcPr>
            <w:cnfStyle w:val="001000000000" w:firstRow="0" w:lastRow="0" w:firstColumn="1" w:lastColumn="0" w:oddVBand="0" w:evenVBand="0" w:oddHBand="0" w:evenHBand="0" w:firstRowFirstColumn="0" w:firstRowLastColumn="0" w:lastRowFirstColumn="0" w:lastRowLastColumn="0"/>
            <w:tcW w:w="3164" w:type="dxa"/>
            <w:tcBorders>
              <w:top w:val="single" w:sz="6" w:space="0" w:color="C0504D" w:themeColor="accent2"/>
              <w:bottom w:val="single" w:sz="6" w:space="0" w:color="C0504D" w:themeColor="accent2"/>
              <w:right w:val="single" w:sz="6" w:space="0" w:color="C0504D" w:themeColor="accent2"/>
            </w:tcBorders>
          </w:tcPr>
          <w:p w14:paraId="13C190CB" w14:textId="77777777" w:rsidR="009D75AC" w:rsidRPr="00BC2CB8" w:rsidRDefault="009D75AC" w:rsidP="00BC2D48">
            <w:pPr>
              <w:rPr>
                <w:rFonts w:ascii="Georgia" w:hAnsi="Georgia"/>
                <w:sz w:val="20"/>
                <w:szCs w:val="20"/>
              </w:rPr>
            </w:pPr>
            <w:r w:rsidRPr="00BC2CB8">
              <w:rPr>
                <w:rFonts w:ascii="Georgia" w:hAnsi="Georgia"/>
                <w:sz w:val="20"/>
              </w:rPr>
              <w:t>Valdymo mokestis: vadovaujantis Deleguoto reglamento nuostatomis</w:t>
            </w:r>
          </w:p>
        </w:tc>
        <w:tc>
          <w:tcPr>
            <w:tcW w:w="6078" w:type="dxa"/>
            <w:tcBorders>
              <w:top w:val="single" w:sz="6" w:space="0" w:color="C0504D" w:themeColor="accent2"/>
              <w:left w:val="single" w:sz="6" w:space="0" w:color="C0504D" w:themeColor="accent2"/>
              <w:bottom w:val="single" w:sz="6" w:space="0" w:color="C0504D" w:themeColor="accent2"/>
            </w:tcBorders>
          </w:tcPr>
          <w:p w14:paraId="03DC6795" w14:textId="02790305" w:rsidR="009D75AC" w:rsidRPr="00BC2CB8" w:rsidRDefault="009D75AC" w:rsidP="009647A2">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rPr>
              <w:t xml:space="preserve">Vadovaujantis Deleguoto reglamento nuostatomis, valdymo mokestis susideda iš dviejų dalių: 0,5 proc. bazinis mokestis nuo finansinei priemonei skirtų ir įmokėtų lėšų ir: paskolų atveju – 1 proc. mokestis nuo paskolų, sumos; garantijų atveju – 1,5 proc. nuo </w:t>
            </w:r>
            <w:r w:rsidR="009647A2">
              <w:rPr>
                <w:rFonts w:ascii="Georgia" w:hAnsi="Georgia"/>
                <w:sz w:val="20"/>
              </w:rPr>
              <w:t xml:space="preserve">garantuotos </w:t>
            </w:r>
            <w:r w:rsidRPr="00BC2CB8">
              <w:rPr>
                <w:rFonts w:ascii="Georgia" w:hAnsi="Georgia"/>
                <w:sz w:val="20"/>
              </w:rPr>
              <w:t>sum</w:t>
            </w:r>
            <w:r w:rsidR="009647A2">
              <w:rPr>
                <w:rFonts w:ascii="Georgia" w:hAnsi="Georgia"/>
                <w:sz w:val="20"/>
              </w:rPr>
              <w:t>os</w:t>
            </w:r>
            <w:r w:rsidRPr="00BC2CB8">
              <w:rPr>
                <w:rFonts w:ascii="Georgia" w:hAnsi="Georgia"/>
                <w:sz w:val="20"/>
              </w:rPr>
              <w:t xml:space="preserve">. </w:t>
            </w:r>
          </w:p>
        </w:tc>
      </w:tr>
      <w:tr w:rsidR="009D75AC" w:rsidRPr="00BC2CB8" w14:paraId="2F953B99" w14:textId="77777777" w:rsidTr="00BC2D4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4" w:type="dxa"/>
            <w:tcBorders>
              <w:top w:val="single" w:sz="6" w:space="0" w:color="C0504D" w:themeColor="accent2"/>
              <w:bottom w:val="single" w:sz="6" w:space="0" w:color="C0504D" w:themeColor="accent2"/>
              <w:right w:val="single" w:sz="6" w:space="0" w:color="C0504D" w:themeColor="accent2"/>
            </w:tcBorders>
          </w:tcPr>
          <w:p w14:paraId="447DC4C8" w14:textId="77777777" w:rsidR="009D75AC" w:rsidRPr="00BC2CB8" w:rsidRDefault="009D75AC" w:rsidP="00BC2D48">
            <w:pPr>
              <w:rPr>
                <w:rFonts w:ascii="Georgia" w:hAnsi="Georgia"/>
                <w:b w:val="0"/>
                <w:sz w:val="20"/>
                <w:szCs w:val="20"/>
              </w:rPr>
            </w:pPr>
            <w:r w:rsidRPr="00BC2CB8">
              <w:rPr>
                <w:rFonts w:ascii="Georgia" w:hAnsi="Georgia"/>
                <w:sz w:val="20"/>
                <w:szCs w:val="20"/>
              </w:rPr>
              <w:t>Projekto įgyvendinimo laikotarpis: 1 metai</w:t>
            </w:r>
          </w:p>
        </w:tc>
        <w:tc>
          <w:tcPr>
            <w:tcW w:w="6078" w:type="dxa"/>
            <w:tcBorders>
              <w:top w:val="single" w:sz="6" w:space="0" w:color="C0504D" w:themeColor="accent2"/>
              <w:left w:val="single" w:sz="6" w:space="0" w:color="C0504D" w:themeColor="accent2"/>
              <w:bottom w:val="single" w:sz="6" w:space="0" w:color="C0504D" w:themeColor="accent2"/>
            </w:tcBorders>
          </w:tcPr>
          <w:p w14:paraId="27F2FB08" w14:textId="77777777" w:rsidR="009D75AC" w:rsidRPr="00BC2CB8" w:rsidRDefault="009D75AC" w:rsidP="00BC2D48">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tipinio viešojo pastato renovacijos laikas yra 1 metai nuo paskolos sutarties pasirašymo momento.</w:t>
            </w:r>
          </w:p>
        </w:tc>
      </w:tr>
    </w:tbl>
    <w:p w14:paraId="0B1C2052" w14:textId="77777777" w:rsidR="009D75AC" w:rsidRPr="00BC2CB8" w:rsidRDefault="009D75AC" w:rsidP="009D75AC">
      <w:pPr>
        <w:ind w:left="360"/>
        <w:rPr>
          <w:rFonts w:ascii="Georgia" w:hAnsi="Georgia"/>
          <w:sz w:val="20"/>
          <w:szCs w:val="20"/>
          <w:lang w:val="lt-LT"/>
        </w:rPr>
      </w:pPr>
    </w:p>
    <w:p w14:paraId="5110A50E" w14:textId="453EAF34" w:rsidR="009D75AC" w:rsidRPr="00BC2CB8" w:rsidRDefault="009D75AC" w:rsidP="009D75AC">
      <w:pPr>
        <w:pStyle w:val="Antrat"/>
        <w:jc w:val="both"/>
        <w:rPr>
          <w:szCs w:val="20"/>
          <w:lang w:val="lt-LT"/>
        </w:rPr>
      </w:pPr>
      <w:bookmarkStart w:id="184" w:name="_Toc460321668"/>
      <w:r w:rsidRPr="00BC2CB8">
        <w:rPr>
          <w:lang w:val="lt-LT"/>
        </w:rPr>
        <w:lastRenderedPageBreak/>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87</w:t>
      </w:r>
      <w:r w:rsidRPr="00BC2CB8">
        <w:rPr>
          <w:lang w:val="lt-LT"/>
        </w:rPr>
        <w:fldChar w:fldCharType="end"/>
      </w:r>
      <w:r w:rsidRPr="00BC2CB8">
        <w:rPr>
          <w:lang w:val="lt-LT"/>
        </w:rPr>
        <w:t xml:space="preserve">. Scenarijaus Nr. 3 </w:t>
      </w:r>
      <w:r w:rsidRPr="00BC2CB8">
        <w:rPr>
          <w:szCs w:val="20"/>
          <w:lang w:val="lt-LT"/>
        </w:rPr>
        <w:t>lengvatinių paskolų modelio įgyvendinimo prognozė</w:t>
      </w:r>
      <w:bookmarkEnd w:id="184"/>
    </w:p>
    <w:p w14:paraId="0698FDEE" w14:textId="777592AE" w:rsidR="001D4A0D" w:rsidRDefault="005D4222" w:rsidP="009D75AC">
      <w:pPr>
        <w:rPr>
          <w:lang w:val="lt-LT"/>
        </w:rPr>
      </w:pPr>
      <w:r w:rsidRPr="005D4222">
        <w:rPr>
          <w:noProof/>
        </w:rPr>
        <w:t xml:space="preserve"> </w:t>
      </w:r>
      <w:r>
        <w:rPr>
          <w:noProof/>
          <w:lang w:val="lt-LT" w:eastAsia="lt-LT"/>
        </w:rPr>
        <w:drawing>
          <wp:inline distT="0" distB="0" distL="0" distR="0" wp14:anchorId="0528DC8E" wp14:editId="0BA1EA83">
            <wp:extent cx="5808874" cy="2628900"/>
            <wp:effectExtent l="0" t="0" r="1905" b="0"/>
            <wp:docPr id="50198" name="Picture 5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5813643" cy="2631058"/>
                    </a:xfrm>
                    <a:prstGeom prst="rect">
                      <a:avLst/>
                    </a:prstGeom>
                    <a:ln>
                      <a:noFill/>
                    </a:ln>
                    <a:extLst>
                      <a:ext uri="{53640926-AAD7-44D8-BBD7-CCE9431645EC}">
                        <a14:shadowObscured xmlns:a14="http://schemas.microsoft.com/office/drawing/2010/main"/>
                      </a:ext>
                    </a:extLst>
                  </pic:spPr>
                </pic:pic>
              </a:graphicData>
            </a:graphic>
          </wp:inline>
        </w:drawing>
      </w:r>
    </w:p>
    <w:p w14:paraId="36523FE5" w14:textId="77777777" w:rsidR="00EC2811" w:rsidRDefault="00EC2811" w:rsidP="009D75AC">
      <w:pPr>
        <w:rPr>
          <w:lang w:val="lt-LT"/>
        </w:rPr>
      </w:pPr>
    </w:p>
    <w:p w14:paraId="0C6A0305" w14:textId="5B53B3D3" w:rsidR="009D75AC" w:rsidRPr="00BC2CB8" w:rsidRDefault="009D75AC" w:rsidP="009D75AC">
      <w:pPr>
        <w:pStyle w:val="Antrat"/>
        <w:jc w:val="both"/>
        <w:rPr>
          <w:lang w:val="lt-LT"/>
        </w:rPr>
      </w:pPr>
      <w:bookmarkStart w:id="185" w:name="_Toc460321669"/>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88</w:t>
      </w:r>
      <w:r w:rsidRPr="00BC2CB8">
        <w:rPr>
          <w:lang w:val="lt-LT"/>
        </w:rPr>
        <w:fldChar w:fldCharType="end"/>
      </w:r>
      <w:r w:rsidRPr="00BC2CB8">
        <w:rPr>
          <w:lang w:val="lt-LT"/>
        </w:rPr>
        <w:t>. Scenarijaus Nr. 3 garantijų modelio įgyvendinimo prognozė</w:t>
      </w:r>
      <w:bookmarkEnd w:id="185"/>
    </w:p>
    <w:p w14:paraId="5A028D96" w14:textId="576C358F" w:rsidR="00B32512" w:rsidRDefault="005D4222" w:rsidP="009D75AC">
      <w:pPr>
        <w:rPr>
          <w:lang w:val="lt-LT"/>
        </w:rPr>
      </w:pPr>
      <w:r>
        <w:rPr>
          <w:noProof/>
          <w:lang w:val="lt-LT" w:eastAsia="lt-LT"/>
        </w:rPr>
        <w:drawing>
          <wp:inline distT="0" distB="0" distL="0" distR="0" wp14:anchorId="5DAE5C89" wp14:editId="0520CF69">
            <wp:extent cx="5651500" cy="2637963"/>
            <wp:effectExtent l="0" t="0" r="6350" b="0"/>
            <wp:docPr id="50197" name="Picture 5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screen">
                      <a:extLst>
                        <a:ext uri="{28A0092B-C50C-407E-A947-70E740481C1C}">
                          <a14:useLocalDpi xmlns:a14="http://schemas.microsoft.com/office/drawing/2010/main"/>
                        </a:ext>
                      </a:extLst>
                    </a:blip>
                    <a:srcRect/>
                    <a:stretch/>
                  </pic:blipFill>
                  <pic:spPr bwMode="auto">
                    <a:xfrm>
                      <a:off x="0" y="0"/>
                      <a:ext cx="5666153" cy="2644802"/>
                    </a:xfrm>
                    <a:prstGeom prst="rect">
                      <a:avLst/>
                    </a:prstGeom>
                    <a:ln>
                      <a:noFill/>
                    </a:ln>
                    <a:extLst>
                      <a:ext uri="{53640926-AAD7-44D8-BBD7-CCE9431645EC}">
                        <a14:shadowObscured xmlns:a14="http://schemas.microsoft.com/office/drawing/2010/main"/>
                      </a:ext>
                    </a:extLst>
                  </pic:spPr>
                </pic:pic>
              </a:graphicData>
            </a:graphic>
          </wp:inline>
        </w:drawing>
      </w:r>
    </w:p>
    <w:p w14:paraId="2EFEAB3B" w14:textId="26332749" w:rsidR="009D75AC" w:rsidRPr="00BC2CB8" w:rsidRDefault="009D75AC" w:rsidP="009D75AC">
      <w:pPr>
        <w:pStyle w:val="Antrat"/>
        <w:jc w:val="both"/>
        <w:rPr>
          <w:szCs w:val="20"/>
          <w:lang w:val="lt-LT"/>
        </w:rPr>
      </w:pPr>
      <w:bookmarkStart w:id="186" w:name="_Toc460321670"/>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89</w:t>
      </w:r>
      <w:r w:rsidRPr="00BC2CB8">
        <w:rPr>
          <w:lang w:val="lt-LT"/>
        </w:rPr>
        <w:fldChar w:fldCharType="end"/>
      </w:r>
      <w:r w:rsidRPr="00BC2CB8">
        <w:rPr>
          <w:lang w:val="lt-LT"/>
        </w:rPr>
        <w:t xml:space="preserve">. </w:t>
      </w:r>
      <w:r w:rsidRPr="00BC2CB8">
        <w:rPr>
          <w:szCs w:val="20"/>
          <w:lang w:val="lt-LT"/>
        </w:rPr>
        <w:t>Scenarijaus Nr. 3 rezultatai</w:t>
      </w:r>
      <w:bookmarkEnd w:id="186"/>
    </w:p>
    <w:tbl>
      <w:tblPr>
        <w:tblStyle w:val="viesussraas2parykinimas"/>
        <w:tblW w:w="5000" w:type="pct"/>
        <w:tblLook w:val="04A0" w:firstRow="1" w:lastRow="0" w:firstColumn="1" w:lastColumn="0" w:noHBand="0" w:noVBand="1"/>
      </w:tblPr>
      <w:tblGrid>
        <w:gridCol w:w="6647"/>
        <w:gridCol w:w="2595"/>
      </w:tblGrid>
      <w:tr w:rsidR="009D75AC" w:rsidRPr="00BC2CB8" w14:paraId="3C90672A" w14:textId="77777777" w:rsidTr="00BC2D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96" w:type="pct"/>
          </w:tcPr>
          <w:p w14:paraId="7AFBB3F2" w14:textId="77777777" w:rsidR="009D75AC" w:rsidRPr="00BC2CB8" w:rsidRDefault="009D75AC" w:rsidP="00BC2D48">
            <w:pPr>
              <w:jc w:val="center"/>
              <w:rPr>
                <w:rFonts w:ascii="Georgia" w:hAnsi="Georgia"/>
                <w:sz w:val="20"/>
                <w:szCs w:val="20"/>
              </w:rPr>
            </w:pPr>
            <w:r w:rsidRPr="00BC2CB8">
              <w:rPr>
                <w:rFonts w:ascii="Georgia" w:hAnsi="Georgia"/>
                <w:sz w:val="20"/>
                <w:szCs w:val="20"/>
              </w:rPr>
              <w:t>Fondas</w:t>
            </w:r>
          </w:p>
        </w:tc>
        <w:tc>
          <w:tcPr>
            <w:tcW w:w="1404" w:type="pct"/>
          </w:tcPr>
          <w:p w14:paraId="25334FFD" w14:textId="77777777" w:rsidR="009D75AC" w:rsidRPr="00BC2CB8" w:rsidRDefault="009D75AC" w:rsidP="00BC2D48">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mln. eurų</w:t>
            </w:r>
          </w:p>
        </w:tc>
      </w:tr>
      <w:tr w:rsidR="00AC395E" w:rsidRPr="00BC2CB8" w14:paraId="1404632D" w14:textId="77777777" w:rsidTr="00BC2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pct"/>
          </w:tcPr>
          <w:p w14:paraId="0AD29053" w14:textId="77777777" w:rsidR="00AC395E" w:rsidRPr="00BC2CB8" w:rsidRDefault="00AC395E" w:rsidP="00BC2D48">
            <w:pPr>
              <w:rPr>
                <w:rFonts w:ascii="Georgia" w:hAnsi="Georgia"/>
                <w:sz w:val="20"/>
                <w:szCs w:val="20"/>
              </w:rPr>
            </w:pPr>
            <w:r w:rsidRPr="00BC2CB8">
              <w:rPr>
                <w:rFonts w:ascii="Georgia" w:hAnsi="Georgia"/>
                <w:sz w:val="20"/>
                <w:szCs w:val="20"/>
              </w:rPr>
              <w:t>Galutinius naudos gavėjus pasiekusios lėšos</w:t>
            </w:r>
          </w:p>
        </w:tc>
        <w:tc>
          <w:tcPr>
            <w:tcW w:w="1404" w:type="pct"/>
          </w:tcPr>
          <w:p w14:paraId="4AF7805E" w14:textId="76FC7F56" w:rsidR="00AC395E" w:rsidRPr="00653FAF" w:rsidRDefault="005D4222" w:rsidP="0062724A">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50,5</w:t>
            </w:r>
            <w:r w:rsidR="00AC395E" w:rsidRPr="00653FAF">
              <w:rPr>
                <w:rFonts w:ascii="Georgia" w:hAnsi="Georgia"/>
                <w:sz w:val="20"/>
                <w:szCs w:val="20"/>
              </w:rPr>
              <w:t xml:space="preserve"> </w:t>
            </w:r>
          </w:p>
        </w:tc>
      </w:tr>
      <w:tr w:rsidR="00AC395E" w:rsidRPr="00BC2CB8" w14:paraId="274E80DF" w14:textId="77777777" w:rsidTr="00BC2D48">
        <w:tc>
          <w:tcPr>
            <w:cnfStyle w:val="001000000000" w:firstRow="0" w:lastRow="0" w:firstColumn="1" w:lastColumn="0" w:oddVBand="0" w:evenVBand="0" w:oddHBand="0" w:evenHBand="0" w:firstRowFirstColumn="0" w:firstRowLastColumn="0" w:lastRowFirstColumn="0" w:lastRowLastColumn="0"/>
            <w:tcW w:w="3596" w:type="pct"/>
          </w:tcPr>
          <w:p w14:paraId="075D84B3" w14:textId="77777777" w:rsidR="00AC395E" w:rsidRPr="00BC2CB8" w:rsidRDefault="00AC395E" w:rsidP="00BC2D48">
            <w:pPr>
              <w:rPr>
                <w:rFonts w:ascii="Georgia" w:hAnsi="Georgia"/>
                <w:sz w:val="20"/>
                <w:szCs w:val="20"/>
              </w:rPr>
            </w:pPr>
            <w:r w:rsidRPr="00BC2CB8">
              <w:rPr>
                <w:rFonts w:ascii="Georgia" w:hAnsi="Georgia"/>
                <w:sz w:val="20"/>
                <w:szCs w:val="20"/>
              </w:rPr>
              <w:t>Suteiktos komercinių bankų paskolos</w:t>
            </w:r>
          </w:p>
        </w:tc>
        <w:tc>
          <w:tcPr>
            <w:tcW w:w="1404" w:type="pct"/>
          </w:tcPr>
          <w:p w14:paraId="29B88837" w14:textId="4FADEEFE" w:rsidR="00AC395E" w:rsidRPr="00653FAF" w:rsidRDefault="005D4222" w:rsidP="0062724A">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22,0</w:t>
            </w:r>
            <w:r w:rsidR="00AC395E" w:rsidRPr="00653FAF">
              <w:rPr>
                <w:rFonts w:ascii="Georgia" w:hAnsi="Georgia"/>
                <w:sz w:val="20"/>
                <w:szCs w:val="20"/>
              </w:rPr>
              <w:t xml:space="preserve"> </w:t>
            </w:r>
          </w:p>
        </w:tc>
      </w:tr>
      <w:tr w:rsidR="00AC395E" w:rsidRPr="00BC2CB8" w14:paraId="4ED42D8A" w14:textId="77777777" w:rsidTr="00BC2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pct"/>
          </w:tcPr>
          <w:p w14:paraId="09B2AB27" w14:textId="77777777" w:rsidR="00AC395E" w:rsidRPr="00BC2CB8" w:rsidRDefault="00653FAF" w:rsidP="00BC2D48">
            <w:pPr>
              <w:rPr>
                <w:rFonts w:ascii="Georgia" w:hAnsi="Georgia"/>
                <w:sz w:val="20"/>
                <w:szCs w:val="20"/>
              </w:rPr>
            </w:pPr>
            <w:r>
              <w:rPr>
                <w:rFonts w:ascii="Georgia" w:hAnsi="Georgia"/>
                <w:sz w:val="20"/>
                <w:szCs w:val="20"/>
              </w:rPr>
              <w:t>Pasirašytų paskolos sutarčių skaičius</w:t>
            </w:r>
          </w:p>
        </w:tc>
        <w:tc>
          <w:tcPr>
            <w:tcW w:w="1404" w:type="pct"/>
          </w:tcPr>
          <w:p w14:paraId="265CBD3A" w14:textId="15360E59" w:rsidR="00AC395E" w:rsidRPr="00653FAF" w:rsidRDefault="005D4222" w:rsidP="0062724A">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233</w:t>
            </w:r>
          </w:p>
        </w:tc>
      </w:tr>
      <w:tr w:rsidR="00AC395E" w:rsidRPr="00BC2CB8" w14:paraId="4594A5EA" w14:textId="77777777" w:rsidTr="00BC2D48">
        <w:tc>
          <w:tcPr>
            <w:cnfStyle w:val="001000000000" w:firstRow="0" w:lastRow="0" w:firstColumn="1" w:lastColumn="0" w:oddVBand="0" w:evenVBand="0" w:oddHBand="0" w:evenHBand="0" w:firstRowFirstColumn="0" w:firstRowLastColumn="0" w:lastRowFirstColumn="0" w:lastRowLastColumn="0"/>
            <w:tcW w:w="3596" w:type="pct"/>
          </w:tcPr>
          <w:p w14:paraId="3CE3EE4F" w14:textId="77777777" w:rsidR="00AC395E" w:rsidRPr="00BC2CB8" w:rsidRDefault="00AC395E" w:rsidP="00BC2D48">
            <w:pPr>
              <w:rPr>
                <w:rFonts w:ascii="Georgia" w:hAnsi="Georgia"/>
                <w:sz w:val="20"/>
                <w:szCs w:val="20"/>
              </w:rPr>
            </w:pPr>
            <w:r w:rsidRPr="00BC2CB8">
              <w:rPr>
                <w:rFonts w:ascii="Georgia" w:hAnsi="Georgia"/>
                <w:sz w:val="20"/>
                <w:szCs w:val="20"/>
              </w:rPr>
              <w:t>Iki 2022 m. renovuotų pastatų skaičius (per paskolų ir garantijų priemones)</w:t>
            </w:r>
          </w:p>
        </w:tc>
        <w:tc>
          <w:tcPr>
            <w:tcW w:w="1404" w:type="pct"/>
          </w:tcPr>
          <w:p w14:paraId="0F3A2B1D" w14:textId="55D13024" w:rsidR="00AC395E" w:rsidRPr="00653FAF" w:rsidRDefault="005D4222" w:rsidP="0062724A">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230</w:t>
            </w:r>
          </w:p>
        </w:tc>
      </w:tr>
      <w:tr w:rsidR="00AC395E" w:rsidRPr="00BC2CB8" w14:paraId="0EE29CF3" w14:textId="77777777" w:rsidTr="00BC2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pct"/>
          </w:tcPr>
          <w:p w14:paraId="72ADEC8E" w14:textId="77777777" w:rsidR="00AC395E" w:rsidRPr="00BC2CB8" w:rsidRDefault="00AC395E" w:rsidP="00BC2D48">
            <w:pPr>
              <w:rPr>
                <w:rFonts w:ascii="Georgia" w:hAnsi="Georgia"/>
                <w:sz w:val="20"/>
                <w:szCs w:val="20"/>
              </w:rPr>
            </w:pPr>
            <w:r w:rsidRPr="00BC2CB8">
              <w:rPr>
                <w:rFonts w:ascii="Georgia" w:hAnsi="Georgia"/>
                <w:sz w:val="20"/>
                <w:szCs w:val="20"/>
              </w:rPr>
              <w:t>Iki 2022 m. renovuotų pastatų plotas, tūkst. kv. m.</w:t>
            </w:r>
          </w:p>
        </w:tc>
        <w:tc>
          <w:tcPr>
            <w:tcW w:w="1404" w:type="pct"/>
          </w:tcPr>
          <w:p w14:paraId="1558E8AB" w14:textId="5530BDAD" w:rsidR="00AC395E" w:rsidRPr="00653FAF" w:rsidRDefault="005D4222">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259,2</w:t>
            </w:r>
          </w:p>
        </w:tc>
      </w:tr>
    </w:tbl>
    <w:p w14:paraId="26ABCBEE" w14:textId="77777777" w:rsidR="009D75AC" w:rsidRDefault="009D75AC" w:rsidP="009D75AC">
      <w:pPr>
        <w:ind w:left="360"/>
        <w:rPr>
          <w:rFonts w:ascii="Georgia" w:hAnsi="Georgia"/>
          <w:sz w:val="20"/>
          <w:szCs w:val="20"/>
          <w:lang w:val="lt-LT"/>
        </w:rPr>
      </w:pPr>
    </w:p>
    <w:p w14:paraId="27BB1F09" w14:textId="77777777" w:rsidR="00D1469A" w:rsidRDefault="00D1469A" w:rsidP="009D75AC">
      <w:pPr>
        <w:ind w:left="360"/>
        <w:rPr>
          <w:rFonts w:ascii="Georgia" w:hAnsi="Georgia"/>
          <w:sz w:val="20"/>
          <w:szCs w:val="20"/>
          <w:lang w:val="lt-LT"/>
        </w:rPr>
      </w:pPr>
    </w:p>
    <w:p w14:paraId="50A2713D" w14:textId="77777777" w:rsidR="00D1469A" w:rsidRDefault="00D1469A" w:rsidP="009D75AC">
      <w:pPr>
        <w:ind w:left="360"/>
        <w:rPr>
          <w:rFonts w:ascii="Georgia" w:hAnsi="Georgia"/>
          <w:sz w:val="20"/>
          <w:szCs w:val="20"/>
          <w:lang w:val="lt-LT"/>
        </w:rPr>
      </w:pPr>
    </w:p>
    <w:p w14:paraId="02DF0A41" w14:textId="77777777" w:rsidR="00E65460" w:rsidRPr="00BC2CB8" w:rsidRDefault="00E65460" w:rsidP="00E65460">
      <w:pPr>
        <w:pStyle w:val="Sraopastraipa"/>
        <w:keepNext/>
        <w:numPr>
          <w:ilvl w:val="0"/>
          <w:numId w:val="34"/>
        </w:numPr>
        <w:ind w:left="714" w:hanging="357"/>
        <w:rPr>
          <w:rFonts w:ascii="Georgia" w:hAnsi="Georgia"/>
          <w:b/>
          <w:i/>
          <w:sz w:val="20"/>
          <w:szCs w:val="20"/>
          <w:lang w:val="lt-LT"/>
        </w:rPr>
      </w:pPr>
      <w:r w:rsidRPr="00BC2CB8">
        <w:rPr>
          <w:rFonts w:ascii="Georgia" w:hAnsi="Georgia"/>
          <w:b/>
          <w:i/>
          <w:sz w:val="20"/>
          <w:szCs w:val="20"/>
          <w:lang w:val="lt-LT"/>
        </w:rPr>
        <w:lastRenderedPageBreak/>
        <w:t xml:space="preserve">Scenarijus Nr. </w:t>
      </w:r>
      <w:r>
        <w:rPr>
          <w:rFonts w:ascii="Georgia" w:hAnsi="Georgia"/>
          <w:b/>
          <w:i/>
          <w:sz w:val="20"/>
          <w:szCs w:val="20"/>
          <w:lang w:val="lt-LT"/>
        </w:rPr>
        <w:t>4</w:t>
      </w:r>
      <w:r w:rsidRPr="00BC2CB8">
        <w:rPr>
          <w:rFonts w:ascii="Georgia" w:hAnsi="Georgia"/>
          <w:b/>
          <w:i/>
          <w:sz w:val="20"/>
          <w:szCs w:val="20"/>
          <w:lang w:val="lt-LT"/>
        </w:rPr>
        <w:t xml:space="preserve">: </w:t>
      </w:r>
      <w:r w:rsidR="001C13B5">
        <w:rPr>
          <w:rFonts w:ascii="Georgia" w:hAnsi="Georgia"/>
          <w:b/>
          <w:i/>
          <w:sz w:val="20"/>
          <w:szCs w:val="20"/>
          <w:lang w:val="lt-LT"/>
        </w:rPr>
        <w:t>L</w:t>
      </w:r>
      <w:r w:rsidRPr="00BC2CB8">
        <w:rPr>
          <w:rFonts w:ascii="Georgia" w:hAnsi="Georgia"/>
          <w:b/>
          <w:i/>
          <w:sz w:val="20"/>
          <w:szCs w:val="20"/>
          <w:lang w:val="lt-LT"/>
        </w:rPr>
        <w:t xml:space="preserve">ėšos nukreipiamos garantijų </w:t>
      </w:r>
      <w:r w:rsidR="001C13B5">
        <w:rPr>
          <w:rFonts w:ascii="Georgia" w:hAnsi="Georgia"/>
          <w:b/>
          <w:i/>
          <w:sz w:val="20"/>
          <w:szCs w:val="20"/>
          <w:lang w:val="lt-LT"/>
        </w:rPr>
        <w:t xml:space="preserve">finansinei </w:t>
      </w:r>
      <w:r w:rsidR="003F3389">
        <w:rPr>
          <w:rFonts w:ascii="Georgia" w:hAnsi="Georgia"/>
          <w:b/>
          <w:i/>
          <w:sz w:val="20"/>
          <w:szCs w:val="20"/>
          <w:lang w:val="lt-LT"/>
        </w:rPr>
        <w:t>priemonei</w:t>
      </w:r>
      <w:r w:rsidR="001C13B5">
        <w:rPr>
          <w:rFonts w:ascii="Georgia" w:hAnsi="Georgia"/>
          <w:b/>
          <w:i/>
          <w:sz w:val="20"/>
          <w:szCs w:val="20"/>
          <w:lang w:val="lt-LT"/>
        </w:rPr>
        <w:t xml:space="preserve"> įgyvendinti</w:t>
      </w:r>
    </w:p>
    <w:p w14:paraId="419911F7" w14:textId="49E98591" w:rsidR="005F1D8E" w:rsidRPr="0064135E" w:rsidRDefault="00E95099" w:rsidP="0064135E">
      <w:pPr>
        <w:rPr>
          <w:lang w:val="lt-LT"/>
        </w:rPr>
      </w:pPr>
      <w:r>
        <w:rPr>
          <w:noProof/>
          <w:lang w:val="lt-LT" w:eastAsia="lt-LT"/>
        </w:rPr>
        <w:drawing>
          <wp:inline distT="0" distB="0" distL="0" distR="0" wp14:anchorId="5957242E" wp14:editId="7F13E02F">
            <wp:extent cx="5697314" cy="2019631"/>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avivaldybe Nr. 4.jpg"/>
                    <pic:cNvPicPr/>
                  </pic:nvPicPr>
                  <pic:blipFill>
                    <a:blip r:embed="rId68" cstate="screen">
                      <a:extLst>
                        <a:ext uri="{28A0092B-C50C-407E-A947-70E740481C1C}">
                          <a14:useLocalDpi xmlns:a14="http://schemas.microsoft.com/office/drawing/2010/main"/>
                        </a:ext>
                      </a:extLst>
                    </a:blip>
                    <a:stretch>
                      <a:fillRect/>
                    </a:stretch>
                  </pic:blipFill>
                  <pic:spPr>
                    <a:xfrm>
                      <a:off x="0" y="0"/>
                      <a:ext cx="5726990" cy="2030151"/>
                    </a:xfrm>
                    <a:prstGeom prst="rect">
                      <a:avLst/>
                    </a:prstGeom>
                  </pic:spPr>
                </pic:pic>
              </a:graphicData>
            </a:graphic>
          </wp:inline>
        </w:drawing>
      </w:r>
    </w:p>
    <w:p w14:paraId="28530CF9" w14:textId="704DEA30" w:rsidR="00E65460" w:rsidRPr="00BC2CB8" w:rsidRDefault="00E65460" w:rsidP="00E65460">
      <w:pPr>
        <w:pStyle w:val="Antrat"/>
        <w:rPr>
          <w:szCs w:val="20"/>
          <w:lang w:val="lt-LT"/>
        </w:rPr>
      </w:pPr>
      <w:bookmarkStart w:id="187" w:name="_Toc417378309"/>
      <w:r w:rsidRPr="00BC2CB8">
        <w:rPr>
          <w:lang w:val="lt-LT"/>
        </w:rPr>
        <w:t xml:space="preserve">Paveikslas </w:t>
      </w:r>
      <w:r w:rsidRPr="00BC2CB8">
        <w:rPr>
          <w:lang w:val="lt-LT"/>
        </w:rPr>
        <w:fldChar w:fldCharType="begin"/>
      </w:r>
      <w:r w:rsidRPr="00BC2CB8">
        <w:rPr>
          <w:lang w:val="lt-LT"/>
        </w:rPr>
        <w:instrText xml:space="preserve"> SEQ Paveikslas \* ARABIC </w:instrText>
      </w:r>
      <w:r w:rsidRPr="00BC2CB8">
        <w:rPr>
          <w:lang w:val="lt-LT"/>
        </w:rPr>
        <w:fldChar w:fldCharType="separate"/>
      </w:r>
      <w:r w:rsidR="00AA3082">
        <w:rPr>
          <w:noProof/>
          <w:lang w:val="lt-LT"/>
        </w:rPr>
        <w:t>32</w:t>
      </w:r>
      <w:r w:rsidRPr="00BC2CB8">
        <w:rPr>
          <w:lang w:val="lt-LT"/>
        </w:rPr>
        <w:fldChar w:fldCharType="end"/>
      </w:r>
      <w:r w:rsidRPr="00BC2CB8">
        <w:rPr>
          <w:lang w:val="lt-LT"/>
        </w:rPr>
        <w:t xml:space="preserve">. </w:t>
      </w:r>
      <w:r>
        <w:rPr>
          <w:lang w:val="lt-LT"/>
        </w:rPr>
        <w:t>Savivaldybių v</w:t>
      </w:r>
      <w:r w:rsidRPr="00BC2CB8">
        <w:rPr>
          <w:lang w:val="lt-LT"/>
        </w:rPr>
        <w:t xml:space="preserve">iešųjų pastatų scenarijaus Nr. </w:t>
      </w:r>
      <w:r>
        <w:rPr>
          <w:lang w:val="lt-LT"/>
        </w:rPr>
        <w:t>4</w:t>
      </w:r>
      <w:r w:rsidRPr="00BC2CB8">
        <w:rPr>
          <w:lang w:val="lt-LT"/>
        </w:rPr>
        <w:t xml:space="preserve"> schema.</w:t>
      </w:r>
      <w:bookmarkEnd w:id="187"/>
      <w:r w:rsidRPr="00BC2CB8">
        <w:rPr>
          <w:lang w:val="lt-LT"/>
        </w:rPr>
        <w:t xml:space="preserve"> </w:t>
      </w:r>
    </w:p>
    <w:p w14:paraId="15256794" w14:textId="77777777" w:rsidR="00E65460" w:rsidRPr="00BC2CB8" w:rsidRDefault="00E65460" w:rsidP="00E65460">
      <w:pPr>
        <w:jc w:val="both"/>
        <w:rPr>
          <w:rFonts w:ascii="Georgia" w:hAnsi="Georgia"/>
          <w:sz w:val="20"/>
          <w:szCs w:val="20"/>
          <w:lang w:val="lt-LT"/>
        </w:rPr>
      </w:pPr>
      <w:r w:rsidRPr="00BC2CB8">
        <w:rPr>
          <w:rFonts w:ascii="Georgia" w:hAnsi="Georgia"/>
          <w:sz w:val="20"/>
          <w:szCs w:val="20"/>
          <w:lang w:val="lt-LT"/>
        </w:rPr>
        <w:t>Šiame scenarijuje modeliuojama situacija su prielaidomis kaip scenarijuje Nr. 3, papildomai darant prielaidą, kad bus kuriama tik garantijų priemonė ir visos lėšos bus panaudotos komerciniams bankams teikiant garantijas pagal kurias pastarieji išduos paskolas.</w:t>
      </w:r>
    </w:p>
    <w:p w14:paraId="5703584E" w14:textId="57B98D04" w:rsidR="00E65460" w:rsidRPr="00BC2CB8" w:rsidRDefault="00E65460" w:rsidP="00E65460">
      <w:pPr>
        <w:pStyle w:val="Antrat"/>
        <w:rPr>
          <w:szCs w:val="20"/>
          <w:lang w:val="lt-LT"/>
        </w:rPr>
      </w:pPr>
      <w:bookmarkStart w:id="188" w:name="_Toc460321671"/>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90</w:t>
      </w:r>
      <w:r w:rsidRPr="00BC2CB8">
        <w:rPr>
          <w:lang w:val="lt-LT"/>
        </w:rPr>
        <w:fldChar w:fldCharType="end"/>
      </w:r>
      <w:r w:rsidRPr="00BC2CB8">
        <w:rPr>
          <w:lang w:val="lt-LT"/>
        </w:rPr>
        <w:t xml:space="preserve">. </w:t>
      </w:r>
      <w:r w:rsidRPr="00BC2CB8">
        <w:rPr>
          <w:szCs w:val="20"/>
          <w:lang w:val="lt-LT"/>
        </w:rPr>
        <w:t xml:space="preserve">Scenarijaus Nr. </w:t>
      </w:r>
      <w:r w:rsidR="001C13B5">
        <w:rPr>
          <w:szCs w:val="20"/>
          <w:lang w:val="lt-LT"/>
        </w:rPr>
        <w:t>4</w:t>
      </w:r>
      <w:r w:rsidRPr="00BC2CB8">
        <w:rPr>
          <w:szCs w:val="20"/>
          <w:lang w:val="lt-LT"/>
        </w:rPr>
        <w:t xml:space="preserve"> Prielaidos</w:t>
      </w:r>
      <w:bookmarkEnd w:id="188"/>
    </w:p>
    <w:tbl>
      <w:tblPr>
        <w:tblStyle w:val="viesussraas2parykinimas"/>
        <w:tblW w:w="5000" w:type="pct"/>
        <w:tblLook w:val="04A0" w:firstRow="1" w:lastRow="0" w:firstColumn="1" w:lastColumn="0" w:noHBand="0" w:noVBand="1"/>
      </w:tblPr>
      <w:tblGrid>
        <w:gridCol w:w="2577"/>
        <w:gridCol w:w="6665"/>
      </w:tblGrid>
      <w:tr w:rsidR="00E65460" w:rsidRPr="00BC2CB8" w14:paraId="6EE69974" w14:textId="77777777" w:rsidTr="00BC2D4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94" w:type="pct"/>
            <w:tcBorders>
              <w:bottom w:val="single" w:sz="8" w:space="0" w:color="C0504D" w:themeColor="accent2"/>
            </w:tcBorders>
          </w:tcPr>
          <w:p w14:paraId="365F8360" w14:textId="77777777" w:rsidR="00E65460" w:rsidRPr="00BC2CB8" w:rsidRDefault="00E65460" w:rsidP="00BC2D48">
            <w:pPr>
              <w:jc w:val="center"/>
              <w:rPr>
                <w:rFonts w:ascii="Georgia" w:hAnsi="Georgia"/>
                <w:sz w:val="20"/>
                <w:szCs w:val="20"/>
              </w:rPr>
            </w:pPr>
            <w:r w:rsidRPr="00BC2CB8">
              <w:rPr>
                <w:rFonts w:ascii="Georgia" w:hAnsi="Georgia"/>
                <w:sz w:val="20"/>
                <w:szCs w:val="20"/>
              </w:rPr>
              <w:t>Prielaidos</w:t>
            </w:r>
          </w:p>
        </w:tc>
        <w:tc>
          <w:tcPr>
            <w:tcW w:w="3606" w:type="pct"/>
            <w:tcBorders>
              <w:bottom w:val="single" w:sz="8" w:space="0" w:color="C0504D" w:themeColor="accent2"/>
            </w:tcBorders>
          </w:tcPr>
          <w:p w14:paraId="093FC7F4" w14:textId="77777777" w:rsidR="00E65460" w:rsidRPr="00BC2CB8" w:rsidRDefault="00E65460" w:rsidP="00BC2D48">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Komentaras</w:t>
            </w:r>
          </w:p>
        </w:tc>
      </w:tr>
      <w:tr w:rsidR="00E65460" w:rsidRPr="00BC2CB8" w14:paraId="455AB32B" w14:textId="77777777" w:rsidTr="00BC2D4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94" w:type="pct"/>
            <w:tcBorders>
              <w:top w:val="single" w:sz="6" w:space="0" w:color="C0504D" w:themeColor="accent2"/>
              <w:right w:val="single" w:sz="6" w:space="0" w:color="C0504D" w:themeColor="accent2"/>
            </w:tcBorders>
          </w:tcPr>
          <w:p w14:paraId="1F99F1BA" w14:textId="77777777" w:rsidR="00E65460" w:rsidRPr="00BC2CB8" w:rsidRDefault="00E65460" w:rsidP="00BC2D48">
            <w:pPr>
              <w:rPr>
                <w:rFonts w:ascii="Georgia" w:hAnsi="Georgia"/>
                <w:b w:val="0"/>
                <w:sz w:val="20"/>
                <w:szCs w:val="20"/>
              </w:rPr>
            </w:pPr>
            <w:r w:rsidRPr="00BC2CB8">
              <w:rPr>
                <w:rFonts w:ascii="Georgia" w:hAnsi="Georgia"/>
                <w:sz w:val="20"/>
                <w:szCs w:val="20"/>
              </w:rPr>
              <w:t>Paskolos laikotarpis: iki 20 metų</w:t>
            </w:r>
          </w:p>
        </w:tc>
        <w:tc>
          <w:tcPr>
            <w:tcW w:w="3606" w:type="pct"/>
            <w:tcBorders>
              <w:top w:val="single" w:sz="6" w:space="0" w:color="C0504D" w:themeColor="accent2"/>
              <w:left w:val="single" w:sz="6" w:space="0" w:color="C0504D" w:themeColor="accent2"/>
            </w:tcBorders>
          </w:tcPr>
          <w:p w14:paraId="6FDB2656" w14:textId="77777777" w:rsidR="00E65460" w:rsidRPr="00BC2CB8" w:rsidRDefault="00E65460" w:rsidP="00BC2D48">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Maksimalus paskolos sutarties terminas yra 20 metų. </w:t>
            </w:r>
          </w:p>
        </w:tc>
      </w:tr>
      <w:tr w:rsidR="00E65460" w:rsidRPr="00BC2CB8" w14:paraId="49BEC5D2" w14:textId="77777777" w:rsidTr="00BC2D48">
        <w:trPr>
          <w:cantSplit/>
          <w:trHeight w:val="489"/>
        </w:trPr>
        <w:tc>
          <w:tcPr>
            <w:cnfStyle w:val="001000000000" w:firstRow="0" w:lastRow="0" w:firstColumn="1" w:lastColumn="0" w:oddVBand="0" w:evenVBand="0" w:oddHBand="0" w:evenHBand="0" w:firstRowFirstColumn="0" w:firstRowLastColumn="0" w:lastRowFirstColumn="0" w:lastRowLastColumn="0"/>
            <w:tcW w:w="1394" w:type="pct"/>
            <w:tcBorders>
              <w:top w:val="single" w:sz="6" w:space="0" w:color="C0504D" w:themeColor="accent2"/>
              <w:right w:val="single" w:sz="6" w:space="0" w:color="C0504D" w:themeColor="accent2"/>
            </w:tcBorders>
          </w:tcPr>
          <w:p w14:paraId="731004A8" w14:textId="77777777" w:rsidR="00E65460" w:rsidRPr="00BC2CB8" w:rsidRDefault="00E65460" w:rsidP="00BC2D48">
            <w:pPr>
              <w:rPr>
                <w:rFonts w:ascii="Georgia" w:hAnsi="Georgia"/>
                <w:b w:val="0"/>
                <w:sz w:val="20"/>
                <w:szCs w:val="20"/>
              </w:rPr>
            </w:pPr>
            <w:r w:rsidRPr="00BC2CB8">
              <w:rPr>
                <w:rFonts w:ascii="Georgia" w:hAnsi="Georgia"/>
                <w:sz w:val="20"/>
                <w:szCs w:val="20"/>
              </w:rPr>
              <w:t>Blogų paskolų dalis: 5%</w:t>
            </w:r>
          </w:p>
        </w:tc>
        <w:tc>
          <w:tcPr>
            <w:tcW w:w="3606" w:type="pct"/>
            <w:tcBorders>
              <w:top w:val="single" w:sz="6" w:space="0" w:color="C0504D" w:themeColor="accent2"/>
              <w:left w:val="single" w:sz="6" w:space="0" w:color="C0504D" w:themeColor="accent2"/>
            </w:tcBorders>
          </w:tcPr>
          <w:p w14:paraId="488FA521" w14:textId="77777777" w:rsidR="00E65460" w:rsidRPr="00BC2CB8" w:rsidRDefault="00E65460" w:rsidP="00BC2D48">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Blogų paskolų dalis buvo nustatyta remiantis ekspertų ir komercinių bankų vertinimu. Be to, ši prielaida atitinka PwC studijoje nustatytą dydį.</w:t>
            </w:r>
          </w:p>
        </w:tc>
      </w:tr>
      <w:tr w:rsidR="00E65460" w:rsidRPr="00BC2CB8" w14:paraId="68EE2412" w14:textId="77777777" w:rsidTr="00BC2D4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94" w:type="pct"/>
            <w:tcBorders>
              <w:top w:val="single" w:sz="6" w:space="0" w:color="C0504D" w:themeColor="accent2"/>
              <w:right w:val="single" w:sz="6" w:space="0" w:color="C0504D" w:themeColor="accent2"/>
            </w:tcBorders>
          </w:tcPr>
          <w:p w14:paraId="36B7D32B" w14:textId="77777777" w:rsidR="00E65460" w:rsidRPr="00BC2CB8" w:rsidRDefault="00E65460" w:rsidP="00BC2D48">
            <w:pPr>
              <w:rPr>
                <w:rFonts w:ascii="Georgia" w:hAnsi="Georgia"/>
                <w:sz w:val="20"/>
                <w:szCs w:val="20"/>
              </w:rPr>
            </w:pPr>
            <w:r w:rsidRPr="00BC2CB8">
              <w:rPr>
                <w:rFonts w:ascii="Georgia" w:hAnsi="Georgia"/>
                <w:sz w:val="20"/>
                <w:szCs w:val="20"/>
              </w:rPr>
              <w:t>Fonde rezervuojamos lėšos garantijų įsiparei</w:t>
            </w:r>
            <w:r>
              <w:rPr>
                <w:rFonts w:ascii="Georgia" w:hAnsi="Georgia"/>
                <w:sz w:val="20"/>
                <w:szCs w:val="20"/>
              </w:rPr>
              <w:t>gojimų vykdymui: 3</w:t>
            </w:r>
            <w:r w:rsidRPr="00BC2CB8">
              <w:rPr>
                <w:rFonts w:ascii="Georgia" w:hAnsi="Georgia"/>
                <w:sz w:val="20"/>
                <w:szCs w:val="20"/>
              </w:rPr>
              <w:t>0%</w:t>
            </w:r>
          </w:p>
        </w:tc>
        <w:tc>
          <w:tcPr>
            <w:tcW w:w="3606" w:type="pct"/>
            <w:tcBorders>
              <w:top w:val="single" w:sz="6" w:space="0" w:color="C0504D" w:themeColor="accent2"/>
              <w:left w:val="single" w:sz="6" w:space="0" w:color="C0504D" w:themeColor="accent2"/>
            </w:tcBorders>
          </w:tcPr>
          <w:p w14:paraId="452CF635" w14:textId="77777777" w:rsidR="00E65460" w:rsidRPr="00BC2CB8" w:rsidRDefault="00E65460" w:rsidP="00BC2D48">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Fondo garantiniams įsipareigojimams vykdyti rezervuojama </w:t>
            </w:r>
            <w:r>
              <w:rPr>
                <w:rFonts w:ascii="Georgia" w:hAnsi="Georgia"/>
                <w:sz w:val="20"/>
                <w:szCs w:val="20"/>
              </w:rPr>
              <w:t>3</w:t>
            </w:r>
            <w:r w:rsidRPr="00BC2CB8">
              <w:rPr>
                <w:rFonts w:ascii="Georgia" w:hAnsi="Georgia"/>
                <w:sz w:val="20"/>
                <w:szCs w:val="20"/>
              </w:rPr>
              <w:t>0 % lėšų</w:t>
            </w:r>
            <w:r>
              <w:rPr>
                <w:rFonts w:ascii="Georgia" w:hAnsi="Georgia"/>
                <w:sz w:val="20"/>
                <w:szCs w:val="20"/>
              </w:rPr>
              <w:t xml:space="preserve"> (susitikimų su bankais metu nustatyta, jog pastarieji savivaldybių mokėjimus laiko rizikingesniais, todėl šis procentas didesnis negu centrinės valdžios pastatų modernizacijos atveju)</w:t>
            </w:r>
            <w:r w:rsidRPr="00BC2CB8">
              <w:rPr>
                <w:rFonts w:ascii="Georgia" w:hAnsi="Georgia"/>
                <w:sz w:val="20"/>
                <w:szCs w:val="20"/>
              </w:rPr>
              <w:t>, tačiau modeliuojant scenarijų,  skaičiuojama jog tikėtina praradimų dalis 5 %, kuri paremta ekspertiniu ir komercinių bankų vertinimu, bei atitinka PwC studijos prielaidas.</w:t>
            </w:r>
          </w:p>
        </w:tc>
      </w:tr>
      <w:tr w:rsidR="00E65460" w:rsidRPr="00BC2CB8" w14:paraId="14BDCB7D" w14:textId="77777777" w:rsidTr="00BC2D48">
        <w:trPr>
          <w:cantSplit/>
        </w:trPr>
        <w:tc>
          <w:tcPr>
            <w:cnfStyle w:val="001000000000" w:firstRow="0" w:lastRow="0" w:firstColumn="1" w:lastColumn="0" w:oddVBand="0" w:evenVBand="0" w:oddHBand="0" w:evenHBand="0" w:firstRowFirstColumn="0" w:firstRowLastColumn="0" w:lastRowFirstColumn="0" w:lastRowLastColumn="0"/>
            <w:tcW w:w="1394" w:type="pct"/>
            <w:tcBorders>
              <w:top w:val="single" w:sz="6" w:space="0" w:color="C0504D" w:themeColor="accent2"/>
              <w:right w:val="single" w:sz="6" w:space="0" w:color="C0504D" w:themeColor="accent2"/>
            </w:tcBorders>
          </w:tcPr>
          <w:p w14:paraId="12EAB80F" w14:textId="77777777" w:rsidR="00E65460" w:rsidRPr="00BC2CB8" w:rsidRDefault="00E65460" w:rsidP="00BC2D48">
            <w:pPr>
              <w:rPr>
                <w:rFonts w:ascii="Georgia" w:hAnsi="Georgia"/>
                <w:b w:val="0"/>
                <w:sz w:val="20"/>
                <w:szCs w:val="20"/>
              </w:rPr>
            </w:pPr>
            <w:r w:rsidRPr="00BC2CB8">
              <w:rPr>
                <w:rFonts w:ascii="Georgia" w:hAnsi="Georgia"/>
                <w:sz w:val="20"/>
                <w:szCs w:val="20"/>
              </w:rPr>
              <w:t>Tipinio viešojo pastato projekto investicijų vertė: 228 000 eurų</w:t>
            </w:r>
          </w:p>
        </w:tc>
        <w:tc>
          <w:tcPr>
            <w:tcW w:w="3606" w:type="pct"/>
            <w:tcBorders>
              <w:top w:val="single" w:sz="6" w:space="0" w:color="C0504D" w:themeColor="accent2"/>
              <w:left w:val="single" w:sz="6" w:space="0" w:color="C0504D" w:themeColor="accent2"/>
            </w:tcBorders>
          </w:tcPr>
          <w:p w14:paraId="51A3D20B" w14:textId="77777777" w:rsidR="00E65460" w:rsidRPr="00BC2CB8" w:rsidRDefault="00E65460" w:rsidP="00BC2D48">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Vidutinė tipinio viešojo pastato renovacijos kaina buvo nustatyta remiantis vidutinio viešojo pastato plotu ir pastato renovacijos kaštais vienam kvadratiniam metrui. Vidutinis pastato plotas paskaičiuotas remiantis Registrų centro duomenimis 2.1.1. skyriuje, o viešojo pastato renovacijos kaštai numatyti </w:t>
            </w:r>
            <w:r w:rsidRPr="00BC2CB8">
              <w:rPr>
                <w:rFonts w:ascii="Georgia" w:hAnsi="Georgia"/>
                <w:bCs/>
                <w:sz w:val="20"/>
                <w:szCs w:val="20"/>
              </w:rPr>
              <w:t>Viešųjų pastatų energinio efektyvumo didinimo programos projekte</w:t>
            </w:r>
            <w:r w:rsidRPr="00BC2CB8">
              <w:rPr>
                <w:rStyle w:val="Puslapioinaosnuoroda"/>
                <w:rFonts w:ascii="Georgia" w:hAnsi="Georgia"/>
                <w:bCs/>
                <w:sz w:val="20"/>
                <w:szCs w:val="20"/>
              </w:rPr>
              <w:footnoteReference w:id="113"/>
            </w:r>
            <w:r w:rsidRPr="00BC2CB8">
              <w:rPr>
                <w:rFonts w:ascii="Georgia" w:hAnsi="Georgia"/>
                <w:bCs/>
                <w:sz w:val="20"/>
                <w:szCs w:val="20"/>
              </w:rPr>
              <w:t xml:space="preserve"> ir sudaro 202,7 </w:t>
            </w:r>
            <w:r w:rsidRPr="00BC2CB8">
              <w:rPr>
                <w:rFonts w:ascii="Georgia" w:hAnsi="Georgia"/>
                <w:sz w:val="20"/>
                <w:szCs w:val="20"/>
              </w:rPr>
              <w:t>eurų</w:t>
            </w:r>
            <w:r w:rsidRPr="00BC2CB8" w:rsidDel="00334CC9">
              <w:rPr>
                <w:rFonts w:ascii="Georgia" w:hAnsi="Georgia"/>
                <w:bCs/>
                <w:sz w:val="20"/>
                <w:szCs w:val="20"/>
              </w:rPr>
              <w:t xml:space="preserve"> </w:t>
            </w:r>
            <w:r w:rsidRPr="00BC2CB8">
              <w:rPr>
                <w:rFonts w:ascii="Georgia" w:hAnsi="Georgia"/>
                <w:bCs/>
                <w:sz w:val="20"/>
                <w:szCs w:val="20"/>
              </w:rPr>
              <w:t>/m</w:t>
            </w:r>
            <w:r w:rsidRPr="00BC2CB8">
              <w:rPr>
                <w:rFonts w:ascii="Georgia" w:hAnsi="Georgia"/>
                <w:bCs/>
                <w:sz w:val="20"/>
                <w:szCs w:val="20"/>
                <w:vertAlign w:val="superscript"/>
              </w:rPr>
              <w:t>2</w:t>
            </w:r>
            <w:r w:rsidRPr="00BC2CB8">
              <w:rPr>
                <w:rFonts w:ascii="Georgia" w:hAnsi="Georgia"/>
                <w:bCs/>
                <w:sz w:val="20"/>
                <w:szCs w:val="20"/>
              </w:rPr>
              <w:t>.</w:t>
            </w:r>
          </w:p>
        </w:tc>
      </w:tr>
      <w:tr w:rsidR="00E65460" w:rsidRPr="00BC2CB8" w14:paraId="330DB2AD" w14:textId="77777777" w:rsidTr="00BC2D4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94" w:type="pct"/>
            <w:tcBorders>
              <w:top w:val="single" w:sz="6" w:space="0" w:color="C0504D" w:themeColor="accent2"/>
              <w:right w:val="single" w:sz="6" w:space="0" w:color="C0504D" w:themeColor="accent2"/>
            </w:tcBorders>
          </w:tcPr>
          <w:p w14:paraId="50342591" w14:textId="799B7D8F" w:rsidR="00E65460" w:rsidRPr="00BC2CB8" w:rsidRDefault="00E65460">
            <w:pPr>
              <w:rPr>
                <w:rFonts w:ascii="Georgia" w:hAnsi="Georgia"/>
                <w:b w:val="0"/>
                <w:sz w:val="20"/>
                <w:szCs w:val="20"/>
              </w:rPr>
            </w:pPr>
            <w:r w:rsidRPr="00BC2CB8">
              <w:rPr>
                <w:rFonts w:ascii="Georgia" w:hAnsi="Georgia"/>
                <w:sz w:val="20"/>
                <w:szCs w:val="20"/>
              </w:rPr>
              <w:t xml:space="preserve">Investuojamų ESI lėšų suma į fondą: </w:t>
            </w:r>
            <w:r>
              <w:rPr>
                <w:rFonts w:ascii="Georgia" w:hAnsi="Georgia"/>
                <w:sz w:val="20"/>
                <w:szCs w:val="20"/>
              </w:rPr>
              <w:t>50</w:t>
            </w:r>
            <w:r w:rsidRPr="00BC2CB8">
              <w:rPr>
                <w:rFonts w:ascii="Georgia" w:hAnsi="Georgia"/>
                <w:sz w:val="20"/>
                <w:szCs w:val="20"/>
              </w:rPr>
              <w:t xml:space="preserve"> mln. eurų.</w:t>
            </w:r>
          </w:p>
        </w:tc>
        <w:tc>
          <w:tcPr>
            <w:tcW w:w="3606" w:type="pct"/>
            <w:tcBorders>
              <w:top w:val="single" w:sz="6" w:space="0" w:color="C0504D" w:themeColor="accent2"/>
              <w:left w:val="single" w:sz="6" w:space="0" w:color="C0504D" w:themeColor="accent2"/>
            </w:tcBorders>
          </w:tcPr>
          <w:p w14:paraId="7B921D7D" w14:textId="5D2CD919" w:rsidR="00E65460" w:rsidRDefault="00E65460" w:rsidP="00E65460">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Daroma prielaida, jog </w:t>
            </w:r>
            <w:r w:rsidR="001551F2">
              <w:rPr>
                <w:rFonts w:ascii="Georgia" w:hAnsi="Georgia"/>
                <w:sz w:val="20"/>
                <w:szCs w:val="20"/>
              </w:rPr>
              <w:t>s</w:t>
            </w:r>
            <w:r w:rsidR="00144171">
              <w:rPr>
                <w:rFonts w:ascii="Georgia" w:hAnsi="Georgia"/>
                <w:sz w:val="20"/>
                <w:szCs w:val="20"/>
              </w:rPr>
              <w:t>avivaldybių</w:t>
            </w:r>
            <w:r w:rsidRPr="00BC2CB8">
              <w:rPr>
                <w:rFonts w:ascii="Georgia" w:hAnsi="Georgia"/>
                <w:sz w:val="20"/>
                <w:szCs w:val="20"/>
              </w:rPr>
              <w:t xml:space="preserve"> pastatų renovacijai skirtos lėšos – </w:t>
            </w:r>
            <w:r>
              <w:rPr>
                <w:rFonts w:ascii="Georgia" w:hAnsi="Georgia"/>
                <w:sz w:val="20"/>
                <w:szCs w:val="20"/>
              </w:rPr>
              <w:t>50</w:t>
            </w:r>
            <w:r w:rsidRPr="00BC2CB8">
              <w:rPr>
                <w:rFonts w:ascii="Georgia" w:hAnsi="Georgia"/>
                <w:sz w:val="20"/>
                <w:szCs w:val="20"/>
              </w:rPr>
              <w:t xml:space="preserve"> mln. eurų</w:t>
            </w:r>
            <w:r>
              <w:rPr>
                <w:rFonts w:ascii="Georgia" w:hAnsi="Georgia"/>
                <w:sz w:val="20"/>
                <w:szCs w:val="20"/>
              </w:rPr>
              <w:t>, bus skiriamos garantijų priemonei.</w:t>
            </w:r>
          </w:p>
          <w:p w14:paraId="2F82413E" w14:textId="77777777" w:rsidR="00E65460" w:rsidRPr="00BC2CB8" w:rsidRDefault="00E65460" w:rsidP="00E65460">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p>
        </w:tc>
      </w:tr>
      <w:tr w:rsidR="00E65460" w:rsidRPr="00BC2CB8" w14:paraId="643C581B" w14:textId="77777777" w:rsidTr="00BC2D48">
        <w:trPr>
          <w:cantSplit/>
        </w:trPr>
        <w:tc>
          <w:tcPr>
            <w:cnfStyle w:val="001000000000" w:firstRow="0" w:lastRow="0" w:firstColumn="1" w:lastColumn="0" w:oddVBand="0" w:evenVBand="0" w:oddHBand="0" w:evenHBand="0" w:firstRowFirstColumn="0" w:firstRowLastColumn="0" w:lastRowFirstColumn="0" w:lastRowLastColumn="0"/>
            <w:tcW w:w="1394" w:type="pct"/>
            <w:tcBorders>
              <w:top w:val="single" w:sz="6" w:space="0" w:color="C0504D" w:themeColor="accent2"/>
              <w:right w:val="single" w:sz="6" w:space="0" w:color="C0504D" w:themeColor="accent2"/>
            </w:tcBorders>
          </w:tcPr>
          <w:p w14:paraId="2F8C77CE" w14:textId="77777777" w:rsidR="00E65460" w:rsidRPr="00BC2CB8" w:rsidRDefault="00E65460" w:rsidP="00BC2D48">
            <w:pPr>
              <w:rPr>
                <w:rFonts w:ascii="Georgia" w:hAnsi="Georgia"/>
                <w:sz w:val="20"/>
                <w:szCs w:val="20"/>
              </w:rPr>
            </w:pPr>
            <w:r w:rsidRPr="00BC2CB8">
              <w:rPr>
                <w:rFonts w:ascii="Georgia" w:hAnsi="Georgia"/>
                <w:sz w:val="20"/>
                <w:szCs w:val="20"/>
              </w:rPr>
              <w:lastRenderedPageBreak/>
              <w:t>Bankų palūkanų norma garantijų priemonės atveju: 7%</w:t>
            </w:r>
          </w:p>
        </w:tc>
        <w:tc>
          <w:tcPr>
            <w:tcW w:w="3606" w:type="pct"/>
            <w:tcBorders>
              <w:top w:val="single" w:sz="6" w:space="0" w:color="C0504D" w:themeColor="accent2"/>
              <w:left w:val="single" w:sz="6" w:space="0" w:color="C0504D" w:themeColor="accent2"/>
            </w:tcBorders>
          </w:tcPr>
          <w:p w14:paraId="3ADCF553" w14:textId="77777777" w:rsidR="00E65460" w:rsidRPr="00BC2CB8" w:rsidRDefault="00E65460" w:rsidP="00BC2D48">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garantijų priemonės atveju, komercinių bankų fiksuota paskolų palūkanų norma (20-ies metų laikotarpiui) sudarys 7 proc. Ši palūkanų norma įvertinta remiantis šiais duomenimis:</w:t>
            </w:r>
          </w:p>
          <w:p w14:paraId="49BC42AD" w14:textId="77777777" w:rsidR="00E65460" w:rsidRPr="00BC2CB8" w:rsidRDefault="00E65460" w:rsidP="00BC2D48">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1) Prognozuojamas suderintas vartotojų kainų indekso (SVKI) vidurkis Lietuvoje 2013-2017 (2,9%); </w:t>
            </w:r>
          </w:p>
          <w:p w14:paraId="5656B24D" w14:textId="77777777" w:rsidR="00E65460" w:rsidRPr="00BC2CB8" w:rsidRDefault="00E65460" w:rsidP="00BC2D48">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2) vidutinės Lietuvos Respublikos Vyriausybės obligacijų emisijos (2536 dienų trukmės) palūkanos 2014 rugsėjo mėnesį (2,0%); </w:t>
            </w:r>
          </w:p>
          <w:p w14:paraId="57030A70" w14:textId="77777777" w:rsidR="00E65460" w:rsidRPr="00BC2CB8" w:rsidRDefault="00E65460" w:rsidP="00BC2D48">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3) Galima komercinių bankų marža (2,1%).</w:t>
            </w:r>
          </w:p>
          <w:p w14:paraId="2AB45C0E" w14:textId="77777777" w:rsidR="00E65460" w:rsidRPr="00BC2CB8" w:rsidRDefault="00E65460" w:rsidP="00BC2D48">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Pokalbių su bankais metu paminėta, jog vertinant įvairias rizikas, ilgalaikėms paskoloms (20 metų) preliminariai galėtų būti taikomos nuo 7 iki 10 proc. palūkanų normos.</w:t>
            </w:r>
          </w:p>
        </w:tc>
      </w:tr>
      <w:tr w:rsidR="00E65460" w:rsidRPr="00BC2CB8" w14:paraId="22BABBEE" w14:textId="77777777" w:rsidTr="00BC2D4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94" w:type="pct"/>
            <w:tcBorders>
              <w:top w:val="single" w:sz="6" w:space="0" w:color="C0504D" w:themeColor="accent2"/>
              <w:right w:val="single" w:sz="6" w:space="0" w:color="C0504D" w:themeColor="accent2"/>
            </w:tcBorders>
          </w:tcPr>
          <w:p w14:paraId="7A0CE789" w14:textId="1523E687" w:rsidR="00E65460" w:rsidRPr="00BC2CB8" w:rsidRDefault="00E65460" w:rsidP="00BC2D48">
            <w:pPr>
              <w:rPr>
                <w:rFonts w:ascii="Georgia" w:hAnsi="Georgia"/>
                <w:b w:val="0"/>
                <w:sz w:val="20"/>
                <w:szCs w:val="20"/>
              </w:rPr>
            </w:pPr>
            <w:r w:rsidRPr="00BC2CB8">
              <w:rPr>
                <w:rFonts w:ascii="Georgia" w:hAnsi="Georgia"/>
                <w:sz w:val="20"/>
                <w:szCs w:val="20"/>
              </w:rPr>
              <w:t xml:space="preserve">Paskolų palūkanų norma: </w:t>
            </w:r>
            <w:r w:rsidR="00E36FAE">
              <w:rPr>
                <w:rFonts w:ascii="Georgia" w:hAnsi="Georgia"/>
                <w:sz w:val="20"/>
                <w:szCs w:val="20"/>
              </w:rPr>
              <w:t>su iki</w:t>
            </w:r>
            <w:r w:rsidR="00E36FAE" w:rsidRPr="00BC2CB8">
              <w:rPr>
                <w:rFonts w:ascii="Georgia" w:hAnsi="Georgia"/>
                <w:sz w:val="20"/>
                <w:szCs w:val="20"/>
              </w:rPr>
              <w:t xml:space="preserve"> 2 %</w:t>
            </w:r>
            <w:r w:rsidR="00E36FAE">
              <w:rPr>
                <w:rFonts w:ascii="Georgia" w:hAnsi="Georgia"/>
                <w:sz w:val="20"/>
                <w:szCs w:val="20"/>
              </w:rPr>
              <w:t xml:space="preserve"> palūkanų marža</w:t>
            </w:r>
          </w:p>
        </w:tc>
        <w:tc>
          <w:tcPr>
            <w:tcW w:w="3606" w:type="pct"/>
            <w:tcBorders>
              <w:top w:val="single" w:sz="6" w:space="0" w:color="C0504D" w:themeColor="accent2"/>
              <w:left w:val="single" w:sz="6" w:space="0" w:color="C0504D" w:themeColor="accent2"/>
            </w:tcBorders>
          </w:tcPr>
          <w:p w14:paraId="5C1B69E7" w14:textId="57C881FA" w:rsidR="00E65460" w:rsidRPr="00E67C77" w:rsidRDefault="00C212B6" w:rsidP="003E7034">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lang w:val="en-US"/>
              </w:rPr>
            </w:pPr>
            <w:r>
              <w:rPr>
                <w:rFonts w:ascii="Georgia" w:hAnsi="Georgia"/>
                <w:sz w:val="20"/>
                <w:szCs w:val="20"/>
              </w:rPr>
              <w:t>Analizės tikslais n</w:t>
            </w:r>
            <w:r w:rsidRPr="00BC2CB8">
              <w:rPr>
                <w:rFonts w:ascii="Georgia" w:hAnsi="Georgia"/>
                <w:sz w:val="20"/>
                <w:szCs w:val="20"/>
              </w:rPr>
              <w:t>ustatomos 2</w:t>
            </w:r>
            <w:r>
              <w:rPr>
                <w:rFonts w:ascii="Georgia" w:hAnsi="Georgia"/>
                <w:sz w:val="20"/>
                <w:szCs w:val="20"/>
              </w:rPr>
              <w:t xml:space="preserve"> </w:t>
            </w:r>
            <w:r w:rsidRPr="00BC2CB8">
              <w:rPr>
                <w:rFonts w:ascii="Georgia" w:hAnsi="Georgia"/>
                <w:sz w:val="20"/>
                <w:szCs w:val="20"/>
              </w:rPr>
              <w:t xml:space="preserve">% </w:t>
            </w:r>
            <w:r>
              <w:rPr>
                <w:rFonts w:ascii="Georgia" w:hAnsi="Georgia"/>
                <w:sz w:val="20"/>
                <w:szCs w:val="20"/>
              </w:rPr>
              <w:t xml:space="preserve">metinės </w:t>
            </w:r>
            <w:r w:rsidRPr="00BC2CB8">
              <w:rPr>
                <w:rFonts w:ascii="Georgia" w:hAnsi="Georgia"/>
                <w:sz w:val="20"/>
                <w:szCs w:val="20"/>
              </w:rPr>
              <w:t>palūkanos.</w:t>
            </w:r>
            <w:r>
              <w:rPr>
                <w:rFonts w:ascii="Georgia" w:hAnsi="Georgia"/>
                <w:sz w:val="20"/>
                <w:szCs w:val="20"/>
              </w:rPr>
              <w:t xml:space="preserve"> Pradinėje FP stadijoje gali būti nustatomos ir mažesnės palūkanos. Išnaudojus ESI fondų lėšas palūkanos turėtų atitikti FP administravimo ir </w:t>
            </w:r>
            <w:r w:rsidR="003E7034">
              <w:rPr>
                <w:rFonts w:ascii="Georgia" w:hAnsi="Georgia"/>
                <w:sz w:val="20"/>
                <w:szCs w:val="20"/>
              </w:rPr>
              <w:t xml:space="preserve">lėšų </w:t>
            </w:r>
            <w:r>
              <w:rPr>
                <w:rFonts w:ascii="Georgia" w:hAnsi="Georgia"/>
                <w:sz w:val="20"/>
                <w:szCs w:val="20"/>
              </w:rPr>
              <w:t>pritraukimo kainą.</w:t>
            </w:r>
          </w:p>
        </w:tc>
      </w:tr>
      <w:tr w:rsidR="00E65460" w:rsidRPr="00BC2CB8" w14:paraId="76322FD0" w14:textId="77777777" w:rsidTr="00BC2D48">
        <w:trPr>
          <w:cantSplit/>
        </w:trPr>
        <w:tc>
          <w:tcPr>
            <w:cnfStyle w:val="001000000000" w:firstRow="0" w:lastRow="0" w:firstColumn="1" w:lastColumn="0" w:oddVBand="0" w:evenVBand="0" w:oddHBand="0" w:evenHBand="0" w:firstRowFirstColumn="0" w:firstRowLastColumn="0" w:lastRowFirstColumn="0" w:lastRowLastColumn="0"/>
            <w:tcW w:w="1394" w:type="pct"/>
            <w:tcBorders>
              <w:top w:val="single" w:sz="6" w:space="0" w:color="C0504D" w:themeColor="accent2"/>
              <w:right w:val="single" w:sz="6" w:space="0" w:color="C0504D" w:themeColor="accent2"/>
            </w:tcBorders>
          </w:tcPr>
          <w:p w14:paraId="70C85A59" w14:textId="77777777" w:rsidR="00E65460" w:rsidRPr="00BC2CB8" w:rsidRDefault="00E65460" w:rsidP="00BC2D48">
            <w:pPr>
              <w:rPr>
                <w:rFonts w:ascii="Georgia" w:hAnsi="Georgia"/>
                <w:b w:val="0"/>
                <w:sz w:val="20"/>
                <w:szCs w:val="20"/>
              </w:rPr>
            </w:pPr>
            <w:r w:rsidRPr="00BC2CB8">
              <w:rPr>
                <w:rFonts w:ascii="Georgia" w:hAnsi="Georgia"/>
                <w:sz w:val="20"/>
              </w:rPr>
              <w:t>Valdymo mokestis: vadovaujantis Deleguoto reglamento nuostatomis</w:t>
            </w:r>
          </w:p>
        </w:tc>
        <w:tc>
          <w:tcPr>
            <w:tcW w:w="3606" w:type="pct"/>
            <w:tcBorders>
              <w:top w:val="single" w:sz="6" w:space="0" w:color="C0504D" w:themeColor="accent2"/>
              <w:left w:val="single" w:sz="6" w:space="0" w:color="C0504D" w:themeColor="accent2"/>
            </w:tcBorders>
          </w:tcPr>
          <w:p w14:paraId="513EEDB6" w14:textId="26D4FF9F" w:rsidR="00E65460" w:rsidRPr="00BC2CB8" w:rsidRDefault="00E65460" w:rsidP="009647A2">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rPr>
              <w:t>Vadovaujantis Deleguoto reglamento nuostatomis, valdymo mokestis susideda iš dviejų dalių: 0,5 proc. bazinis mokestis nuo finansinei priemonei skirtų ir įmokėtų lėšų, 1,5 proc. mokestis nuo garantijų, sumos.</w:t>
            </w:r>
          </w:p>
        </w:tc>
      </w:tr>
      <w:tr w:rsidR="00E65460" w:rsidRPr="00BC2CB8" w14:paraId="3D3887B9" w14:textId="77777777" w:rsidTr="00BC2D4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94" w:type="pct"/>
            <w:tcBorders>
              <w:top w:val="single" w:sz="6" w:space="0" w:color="C0504D" w:themeColor="accent2"/>
              <w:right w:val="single" w:sz="6" w:space="0" w:color="C0504D" w:themeColor="accent2"/>
            </w:tcBorders>
          </w:tcPr>
          <w:p w14:paraId="7E613073" w14:textId="77777777" w:rsidR="00E65460" w:rsidRPr="00BC2CB8" w:rsidRDefault="00E65460" w:rsidP="00BC2D48">
            <w:pPr>
              <w:rPr>
                <w:rFonts w:ascii="Georgia" w:hAnsi="Georgia"/>
                <w:b w:val="0"/>
                <w:sz w:val="20"/>
                <w:szCs w:val="20"/>
              </w:rPr>
            </w:pPr>
            <w:r w:rsidRPr="00BC2CB8">
              <w:rPr>
                <w:rFonts w:ascii="Georgia" w:hAnsi="Georgia"/>
                <w:sz w:val="20"/>
                <w:szCs w:val="20"/>
              </w:rPr>
              <w:t xml:space="preserve">Projekto įgyvendinimo laikotarpis: 1 metai </w:t>
            </w:r>
          </w:p>
        </w:tc>
        <w:tc>
          <w:tcPr>
            <w:tcW w:w="3606" w:type="pct"/>
            <w:tcBorders>
              <w:top w:val="single" w:sz="6" w:space="0" w:color="C0504D" w:themeColor="accent2"/>
              <w:left w:val="single" w:sz="6" w:space="0" w:color="C0504D" w:themeColor="accent2"/>
            </w:tcBorders>
          </w:tcPr>
          <w:p w14:paraId="718CAF93" w14:textId="77777777" w:rsidR="00E65460" w:rsidRPr="00BC2CB8" w:rsidRDefault="00E65460" w:rsidP="00BC2D48">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tipinio viešojo pastato renovacijos laikas yra 1 metai nuo paskolos sutarties pasirašymo momento.</w:t>
            </w:r>
          </w:p>
        </w:tc>
      </w:tr>
      <w:tr w:rsidR="00E65460" w:rsidRPr="00BC2CB8" w14:paraId="21F9CF6C" w14:textId="77777777" w:rsidTr="00BC2D48">
        <w:trPr>
          <w:cantSplit/>
        </w:trPr>
        <w:tc>
          <w:tcPr>
            <w:cnfStyle w:val="001000000000" w:firstRow="0" w:lastRow="0" w:firstColumn="1" w:lastColumn="0" w:oddVBand="0" w:evenVBand="0" w:oddHBand="0" w:evenHBand="0" w:firstRowFirstColumn="0" w:firstRowLastColumn="0" w:lastRowFirstColumn="0" w:lastRowLastColumn="0"/>
            <w:tcW w:w="1394" w:type="pct"/>
            <w:tcBorders>
              <w:top w:val="single" w:sz="6" w:space="0" w:color="C0504D" w:themeColor="accent2"/>
              <w:right w:val="single" w:sz="6" w:space="0" w:color="C0504D" w:themeColor="accent2"/>
            </w:tcBorders>
          </w:tcPr>
          <w:p w14:paraId="3CBB9EA5" w14:textId="77777777" w:rsidR="00E65460" w:rsidRPr="00BC2CB8" w:rsidRDefault="00E65460" w:rsidP="00BC2D48">
            <w:pPr>
              <w:rPr>
                <w:rFonts w:ascii="Georgia" w:hAnsi="Georgia"/>
                <w:b w:val="0"/>
                <w:sz w:val="20"/>
                <w:szCs w:val="20"/>
              </w:rPr>
            </w:pPr>
            <w:r w:rsidRPr="00BC2CB8">
              <w:rPr>
                <w:rFonts w:ascii="Georgia" w:hAnsi="Georgia"/>
                <w:sz w:val="20"/>
              </w:rPr>
              <w:t>Sugrįžusios lėšos pakartotinai panaudojamos: po 2 metų</w:t>
            </w:r>
          </w:p>
        </w:tc>
        <w:tc>
          <w:tcPr>
            <w:tcW w:w="3606" w:type="pct"/>
            <w:tcBorders>
              <w:top w:val="single" w:sz="6" w:space="0" w:color="C0504D" w:themeColor="accent2"/>
              <w:left w:val="single" w:sz="6" w:space="0" w:color="C0504D" w:themeColor="accent2"/>
            </w:tcBorders>
          </w:tcPr>
          <w:p w14:paraId="04C20300" w14:textId="77777777" w:rsidR="00E65460" w:rsidRPr="00BC2CB8" w:rsidRDefault="00E65460" w:rsidP="00BC2D48">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rPr>
              <w:t>Daroma prielaida, jog grįžtančios lėšos pakartotinai panaudojamos projektų finansavimui tomis pačiomis sąlygomis po 2 metų.</w:t>
            </w:r>
          </w:p>
        </w:tc>
      </w:tr>
    </w:tbl>
    <w:p w14:paraId="07973376" w14:textId="77777777" w:rsidR="00E65460" w:rsidRPr="00BC2CB8" w:rsidRDefault="00E65460" w:rsidP="00E65460">
      <w:pPr>
        <w:ind w:left="360"/>
        <w:rPr>
          <w:rFonts w:ascii="Georgia" w:hAnsi="Georgia"/>
          <w:sz w:val="20"/>
          <w:szCs w:val="20"/>
          <w:lang w:val="lt-LT"/>
        </w:rPr>
      </w:pPr>
    </w:p>
    <w:p w14:paraId="4E9DE572" w14:textId="64F41BFB" w:rsidR="00E65460" w:rsidRPr="00BC2CB8" w:rsidRDefault="00E65460" w:rsidP="00E65460">
      <w:pPr>
        <w:pStyle w:val="Antrat"/>
        <w:jc w:val="both"/>
        <w:rPr>
          <w:szCs w:val="20"/>
          <w:lang w:val="lt-LT"/>
        </w:rPr>
      </w:pPr>
      <w:bookmarkStart w:id="189" w:name="_Toc460321672"/>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91</w:t>
      </w:r>
      <w:r w:rsidRPr="00BC2CB8">
        <w:rPr>
          <w:lang w:val="lt-LT"/>
        </w:rPr>
        <w:fldChar w:fldCharType="end"/>
      </w:r>
      <w:r w:rsidRPr="00BC2CB8">
        <w:rPr>
          <w:lang w:val="lt-LT"/>
        </w:rPr>
        <w:t xml:space="preserve">. Scenarijaus Nr. </w:t>
      </w:r>
      <w:r w:rsidR="001C13B5">
        <w:rPr>
          <w:lang w:val="lt-LT"/>
        </w:rPr>
        <w:t>4</w:t>
      </w:r>
      <w:r w:rsidRPr="00BC2CB8">
        <w:rPr>
          <w:lang w:val="lt-LT"/>
        </w:rPr>
        <w:t xml:space="preserve"> įgyvendinimo prognozė</w:t>
      </w:r>
      <w:bookmarkEnd w:id="189"/>
    </w:p>
    <w:p w14:paraId="1A782D5E" w14:textId="1C3ABEFD" w:rsidR="00653FAF" w:rsidRDefault="00C631B0" w:rsidP="00E65460">
      <w:pPr>
        <w:rPr>
          <w:lang w:val="lt-LT"/>
        </w:rPr>
      </w:pPr>
      <w:r>
        <w:rPr>
          <w:noProof/>
          <w:lang w:val="lt-LT" w:eastAsia="lt-LT"/>
        </w:rPr>
        <w:drawing>
          <wp:inline distT="0" distB="0" distL="0" distR="0" wp14:anchorId="388C655C" wp14:editId="7D193EAE">
            <wp:extent cx="5775753" cy="3009900"/>
            <wp:effectExtent l="0" t="0" r="0" b="0"/>
            <wp:docPr id="50196" name="Picture 5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screen">
                      <a:extLst>
                        <a:ext uri="{28A0092B-C50C-407E-A947-70E740481C1C}">
                          <a14:useLocalDpi xmlns:a14="http://schemas.microsoft.com/office/drawing/2010/main"/>
                        </a:ext>
                      </a:extLst>
                    </a:blip>
                    <a:srcRect/>
                    <a:stretch/>
                  </pic:blipFill>
                  <pic:spPr bwMode="auto">
                    <a:xfrm>
                      <a:off x="0" y="0"/>
                      <a:ext cx="5784864" cy="3014648"/>
                    </a:xfrm>
                    <a:prstGeom prst="rect">
                      <a:avLst/>
                    </a:prstGeom>
                    <a:ln>
                      <a:noFill/>
                    </a:ln>
                    <a:extLst>
                      <a:ext uri="{53640926-AAD7-44D8-BBD7-CCE9431645EC}">
                        <a14:shadowObscured xmlns:a14="http://schemas.microsoft.com/office/drawing/2010/main"/>
                      </a:ext>
                    </a:extLst>
                  </pic:spPr>
                </pic:pic>
              </a:graphicData>
            </a:graphic>
          </wp:inline>
        </w:drawing>
      </w:r>
    </w:p>
    <w:p w14:paraId="0F7138A8" w14:textId="77777777" w:rsidR="00F40EFD" w:rsidRDefault="00F40EFD" w:rsidP="00E65460">
      <w:pPr>
        <w:rPr>
          <w:lang w:val="lt-LT"/>
        </w:rPr>
      </w:pPr>
    </w:p>
    <w:p w14:paraId="05973FC7" w14:textId="5B7FB918" w:rsidR="00E65460" w:rsidRPr="00BC2CB8" w:rsidRDefault="00E65460" w:rsidP="00E65460">
      <w:pPr>
        <w:pStyle w:val="Antrat"/>
        <w:rPr>
          <w:szCs w:val="20"/>
          <w:lang w:val="lt-LT"/>
        </w:rPr>
      </w:pPr>
      <w:bookmarkStart w:id="190" w:name="_Toc460321673"/>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92</w:t>
      </w:r>
      <w:r w:rsidRPr="00BC2CB8">
        <w:rPr>
          <w:lang w:val="lt-LT"/>
        </w:rPr>
        <w:fldChar w:fldCharType="end"/>
      </w:r>
      <w:r w:rsidRPr="00BC2CB8">
        <w:rPr>
          <w:lang w:val="lt-LT"/>
        </w:rPr>
        <w:t xml:space="preserve">. </w:t>
      </w:r>
      <w:r w:rsidRPr="00BC2CB8">
        <w:rPr>
          <w:szCs w:val="20"/>
          <w:lang w:val="lt-LT"/>
        </w:rPr>
        <w:t xml:space="preserve">Scenarijaus Nr. </w:t>
      </w:r>
      <w:r w:rsidR="001C13B5">
        <w:rPr>
          <w:szCs w:val="20"/>
          <w:lang w:val="lt-LT"/>
        </w:rPr>
        <w:t>4</w:t>
      </w:r>
      <w:r w:rsidRPr="00BC2CB8">
        <w:rPr>
          <w:szCs w:val="20"/>
          <w:lang w:val="lt-LT"/>
        </w:rPr>
        <w:t xml:space="preserve"> rezultatai</w:t>
      </w:r>
      <w:bookmarkEnd w:id="190"/>
    </w:p>
    <w:tbl>
      <w:tblPr>
        <w:tblStyle w:val="viesussraas2parykinimas"/>
        <w:tblW w:w="5000" w:type="pct"/>
        <w:tblLook w:val="04A0" w:firstRow="1" w:lastRow="0" w:firstColumn="1" w:lastColumn="0" w:noHBand="0" w:noVBand="1"/>
      </w:tblPr>
      <w:tblGrid>
        <w:gridCol w:w="6651"/>
        <w:gridCol w:w="2591"/>
      </w:tblGrid>
      <w:tr w:rsidR="00E65460" w:rsidRPr="00BC2CB8" w14:paraId="015749D0" w14:textId="77777777" w:rsidTr="00BC2D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1676785B" w14:textId="77777777" w:rsidR="00E65460" w:rsidRPr="00BC2CB8" w:rsidRDefault="00E65460" w:rsidP="00BC2D48">
            <w:pPr>
              <w:jc w:val="center"/>
              <w:rPr>
                <w:rFonts w:ascii="Georgia" w:hAnsi="Georgia"/>
                <w:sz w:val="20"/>
                <w:szCs w:val="20"/>
              </w:rPr>
            </w:pPr>
            <w:r w:rsidRPr="00BC2CB8">
              <w:rPr>
                <w:rFonts w:ascii="Georgia" w:hAnsi="Georgia"/>
                <w:sz w:val="20"/>
                <w:szCs w:val="20"/>
              </w:rPr>
              <w:t>Fondas</w:t>
            </w:r>
          </w:p>
        </w:tc>
        <w:tc>
          <w:tcPr>
            <w:tcW w:w="1402" w:type="pct"/>
          </w:tcPr>
          <w:p w14:paraId="59F40456" w14:textId="77777777" w:rsidR="00E65460" w:rsidRPr="00BC2CB8" w:rsidRDefault="00E65460" w:rsidP="00BC2D48">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mln. eurų</w:t>
            </w:r>
          </w:p>
        </w:tc>
      </w:tr>
      <w:tr w:rsidR="00E65460" w:rsidRPr="00BC2CB8" w14:paraId="2BE8076D" w14:textId="77777777" w:rsidTr="00BC2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0CB759A0" w14:textId="77777777" w:rsidR="00E65460" w:rsidRPr="0062724A" w:rsidRDefault="00BC2D48" w:rsidP="00653FAF">
            <w:pPr>
              <w:rPr>
                <w:rFonts w:ascii="Georgia" w:hAnsi="Georgia"/>
                <w:sz w:val="20"/>
                <w:szCs w:val="20"/>
                <w:lang w:val="en-US"/>
              </w:rPr>
            </w:pPr>
            <w:r>
              <w:rPr>
                <w:rFonts w:ascii="Georgia" w:hAnsi="Georgia"/>
                <w:sz w:val="20"/>
                <w:szCs w:val="20"/>
              </w:rPr>
              <w:t xml:space="preserve">Bankų </w:t>
            </w:r>
            <w:r w:rsidR="00653FAF">
              <w:rPr>
                <w:rFonts w:ascii="Georgia" w:hAnsi="Georgia"/>
                <w:sz w:val="20"/>
                <w:szCs w:val="20"/>
              </w:rPr>
              <w:t>suteiktų paskolų apimtis</w:t>
            </w:r>
          </w:p>
        </w:tc>
        <w:tc>
          <w:tcPr>
            <w:tcW w:w="1402" w:type="pct"/>
          </w:tcPr>
          <w:p w14:paraId="70F61748" w14:textId="0650D244" w:rsidR="00E65460" w:rsidRPr="007C22AB" w:rsidRDefault="00C631B0" w:rsidP="00BC2D48">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79.9</w:t>
            </w:r>
          </w:p>
        </w:tc>
      </w:tr>
      <w:tr w:rsidR="00E65460" w:rsidRPr="00BC2CB8" w14:paraId="7B45E255" w14:textId="77777777" w:rsidTr="00BC2D48">
        <w:tc>
          <w:tcPr>
            <w:cnfStyle w:val="001000000000" w:firstRow="0" w:lastRow="0" w:firstColumn="1" w:lastColumn="0" w:oddVBand="0" w:evenVBand="0" w:oddHBand="0" w:evenHBand="0" w:firstRowFirstColumn="0" w:firstRowLastColumn="0" w:lastRowFirstColumn="0" w:lastRowLastColumn="0"/>
            <w:tcW w:w="3598" w:type="pct"/>
          </w:tcPr>
          <w:p w14:paraId="7F71AFCB" w14:textId="77777777" w:rsidR="00E65460" w:rsidRPr="00BC2CB8" w:rsidRDefault="00E65460" w:rsidP="00BC2D48">
            <w:pPr>
              <w:rPr>
                <w:rFonts w:ascii="Georgia" w:hAnsi="Georgia"/>
                <w:sz w:val="20"/>
                <w:szCs w:val="20"/>
              </w:rPr>
            </w:pPr>
            <w:r w:rsidRPr="00BC2CB8">
              <w:rPr>
                <w:rFonts w:ascii="Georgia" w:hAnsi="Georgia"/>
                <w:sz w:val="20"/>
                <w:szCs w:val="20"/>
              </w:rPr>
              <w:t>Iki 2022 m. renovuotų pastatų skaičius</w:t>
            </w:r>
          </w:p>
        </w:tc>
        <w:tc>
          <w:tcPr>
            <w:tcW w:w="1402" w:type="pct"/>
          </w:tcPr>
          <w:p w14:paraId="4771FEB9" w14:textId="659F25B6" w:rsidR="00E65460" w:rsidRPr="007C22AB" w:rsidRDefault="00C631B0" w:rsidP="00C631B0">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A65C2">
              <w:rPr>
                <w:rFonts w:ascii="Georgia" w:hAnsi="Georgia"/>
                <w:sz w:val="20"/>
                <w:szCs w:val="20"/>
              </w:rPr>
              <w:t>3</w:t>
            </w:r>
            <w:r>
              <w:rPr>
                <w:rFonts w:ascii="Georgia" w:hAnsi="Georgia"/>
                <w:sz w:val="20"/>
                <w:szCs w:val="20"/>
              </w:rPr>
              <w:t>80</w:t>
            </w:r>
          </w:p>
        </w:tc>
      </w:tr>
      <w:tr w:rsidR="00E65460" w:rsidRPr="00BC2CB8" w14:paraId="5DFC71B8" w14:textId="77777777" w:rsidTr="00BC2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4308E2FF" w14:textId="77777777" w:rsidR="00E65460" w:rsidRPr="00BC2CB8" w:rsidRDefault="00E65460" w:rsidP="00BC2D48">
            <w:pPr>
              <w:rPr>
                <w:rFonts w:ascii="Georgia" w:hAnsi="Georgia"/>
                <w:sz w:val="20"/>
                <w:szCs w:val="20"/>
              </w:rPr>
            </w:pPr>
            <w:r w:rsidRPr="00BC2CB8">
              <w:rPr>
                <w:rFonts w:ascii="Georgia" w:hAnsi="Georgia"/>
                <w:sz w:val="20"/>
                <w:szCs w:val="20"/>
              </w:rPr>
              <w:t>Iki 2022 m. renovuotų pastatų plotas, tūkst. kv. m.</w:t>
            </w:r>
          </w:p>
        </w:tc>
        <w:tc>
          <w:tcPr>
            <w:tcW w:w="1402" w:type="pct"/>
          </w:tcPr>
          <w:p w14:paraId="46F91DE3" w14:textId="25769B00" w:rsidR="00E65460" w:rsidRPr="007C22AB" w:rsidDel="00CE3FDD" w:rsidRDefault="00C631B0" w:rsidP="00BC2D48">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428.3</w:t>
            </w:r>
          </w:p>
        </w:tc>
      </w:tr>
    </w:tbl>
    <w:p w14:paraId="38A37B08" w14:textId="77777777" w:rsidR="00BC2D48" w:rsidRDefault="00BC2D48" w:rsidP="009D75AC">
      <w:pPr>
        <w:ind w:left="360"/>
        <w:rPr>
          <w:rFonts w:ascii="Georgia" w:hAnsi="Georgia"/>
          <w:sz w:val="20"/>
          <w:szCs w:val="20"/>
          <w:lang w:val="lt-LT"/>
        </w:rPr>
      </w:pPr>
    </w:p>
    <w:p w14:paraId="72B3BDEA" w14:textId="77777777" w:rsidR="00C50605" w:rsidRPr="00BC2CB8" w:rsidRDefault="00C50605" w:rsidP="00BC2D48">
      <w:pPr>
        <w:pStyle w:val="Sraopastraipa"/>
        <w:numPr>
          <w:ilvl w:val="0"/>
          <w:numId w:val="34"/>
        </w:numPr>
        <w:rPr>
          <w:rFonts w:ascii="Georgia" w:hAnsi="Georgia"/>
          <w:b/>
          <w:i/>
          <w:sz w:val="20"/>
          <w:szCs w:val="20"/>
          <w:lang w:val="lt-LT"/>
        </w:rPr>
      </w:pPr>
      <w:r w:rsidRPr="00BC2CB8">
        <w:rPr>
          <w:rFonts w:ascii="Georgia" w:hAnsi="Georgia"/>
          <w:b/>
          <w:i/>
          <w:sz w:val="20"/>
          <w:szCs w:val="20"/>
          <w:lang w:val="lt-LT"/>
        </w:rPr>
        <w:t>Scenarijus Nr. 5: ESI fondų lėšos nukreipiamos fondo pirmojo praradimo kapitalui suformuoti</w:t>
      </w:r>
      <w:r w:rsidR="0020130A">
        <w:rPr>
          <w:rFonts w:ascii="Georgia" w:hAnsi="Georgia"/>
          <w:b/>
          <w:i/>
          <w:sz w:val="20"/>
          <w:szCs w:val="20"/>
          <w:lang w:val="lt-LT"/>
        </w:rPr>
        <w:t xml:space="preserve"> (rizikos pasidalijimo fondas)</w:t>
      </w:r>
    </w:p>
    <w:p w14:paraId="7489BC4E" w14:textId="77777777" w:rsidR="005F1D8E" w:rsidRPr="00BC2CB8" w:rsidRDefault="00C50605" w:rsidP="00BC2D48">
      <w:pPr>
        <w:jc w:val="both"/>
        <w:rPr>
          <w:szCs w:val="20"/>
          <w:lang w:val="lt-LT"/>
        </w:rPr>
      </w:pPr>
      <w:r w:rsidRPr="00BC2CB8">
        <w:rPr>
          <w:rFonts w:ascii="Georgia" w:hAnsi="Georgia"/>
          <w:sz w:val="20"/>
          <w:szCs w:val="20"/>
          <w:lang w:val="lt-LT"/>
        </w:rPr>
        <w:t xml:space="preserve">Šio scenarijaus atveju ESI fondų lėšos būtų nukreipiamos į naujai sukurtą juridinio asmens statusą turintį subjektą – </w:t>
      </w:r>
      <w:r w:rsidR="0020130A">
        <w:rPr>
          <w:rFonts w:ascii="Georgia" w:hAnsi="Georgia"/>
          <w:sz w:val="20"/>
          <w:szCs w:val="20"/>
          <w:lang w:val="lt-LT"/>
        </w:rPr>
        <w:t>rizikos pasidalijimo</w:t>
      </w:r>
      <w:r w:rsidRPr="00BC2CB8">
        <w:rPr>
          <w:rFonts w:ascii="Georgia" w:hAnsi="Georgia"/>
          <w:sz w:val="20"/>
          <w:szCs w:val="20"/>
          <w:lang w:val="lt-LT"/>
        </w:rPr>
        <w:t xml:space="preserve"> fondą, ir tomis lėšomis būtų užtikrinama privačių investuotojų ir/ar paskolos davėjų investicijų saugumas.</w:t>
      </w:r>
    </w:p>
    <w:p w14:paraId="6309F7BE" w14:textId="52250758" w:rsidR="005F1D8E" w:rsidRDefault="00E95099" w:rsidP="00DA65C2">
      <w:pPr>
        <w:keepNext/>
        <w:jc w:val="both"/>
        <w:rPr>
          <w:lang w:val="lt-LT"/>
        </w:rPr>
      </w:pPr>
      <w:r>
        <w:rPr>
          <w:noProof/>
          <w:lang w:val="lt-LT" w:eastAsia="lt-LT"/>
        </w:rPr>
        <w:drawing>
          <wp:inline distT="0" distB="0" distL="0" distR="0" wp14:anchorId="23C78676" wp14:editId="387E14EA">
            <wp:extent cx="5780707" cy="1701579"/>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Savivaldybe Nr. 5.jpg"/>
                    <pic:cNvPicPr/>
                  </pic:nvPicPr>
                  <pic:blipFill>
                    <a:blip r:embed="rId70" cstate="screen">
                      <a:extLst>
                        <a:ext uri="{28A0092B-C50C-407E-A947-70E740481C1C}">
                          <a14:useLocalDpi xmlns:a14="http://schemas.microsoft.com/office/drawing/2010/main"/>
                        </a:ext>
                      </a:extLst>
                    </a:blip>
                    <a:stretch>
                      <a:fillRect/>
                    </a:stretch>
                  </pic:blipFill>
                  <pic:spPr>
                    <a:xfrm>
                      <a:off x="0" y="0"/>
                      <a:ext cx="5809475" cy="1710047"/>
                    </a:xfrm>
                    <a:prstGeom prst="rect">
                      <a:avLst/>
                    </a:prstGeom>
                  </pic:spPr>
                </pic:pic>
              </a:graphicData>
            </a:graphic>
          </wp:inline>
        </w:drawing>
      </w:r>
    </w:p>
    <w:p w14:paraId="10721429" w14:textId="6F333ED2" w:rsidR="00C50605" w:rsidRPr="00BC2CB8" w:rsidRDefault="00C50605" w:rsidP="005F1D8E">
      <w:pPr>
        <w:pStyle w:val="Antrat"/>
        <w:rPr>
          <w:szCs w:val="20"/>
          <w:lang w:val="lt-LT"/>
        </w:rPr>
      </w:pPr>
      <w:bookmarkStart w:id="191" w:name="_Toc417378310"/>
      <w:r w:rsidRPr="00BC2CB8">
        <w:rPr>
          <w:lang w:val="lt-LT"/>
        </w:rPr>
        <w:t xml:space="preserve">Paveikslas </w:t>
      </w:r>
      <w:r w:rsidRPr="00BC2CB8">
        <w:rPr>
          <w:lang w:val="lt-LT"/>
        </w:rPr>
        <w:fldChar w:fldCharType="begin"/>
      </w:r>
      <w:r w:rsidRPr="00BC2CB8">
        <w:rPr>
          <w:lang w:val="lt-LT"/>
        </w:rPr>
        <w:instrText xml:space="preserve"> SEQ Paveikslas \* ARABIC </w:instrText>
      </w:r>
      <w:r w:rsidRPr="00BC2CB8">
        <w:rPr>
          <w:lang w:val="lt-LT"/>
        </w:rPr>
        <w:fldChar w:fldCharType="separate"/>
      </w:r>
      <w:r w:rsidR="00AA3082">
        <w:rPr>
          <w:noProof/>
          <w:lang w:val="lt-LT"/>
        </w:rPr>
        <w:t>33</w:t>
      </w:r>
      <w:r w:rsidRPr="00BC2CB8">
        <w:rPr>
          <w:lang w:val="lt-LT"/>
        </w:rPr>
        <w:fldChar w:fldCharType="end"/>
      </w:r>
      <w:r w:rsidRPr="00BC2CB8">
        <w:rPr>
          <w:lang w:val="lt-LT"/>
        </w:rPr>
        <w:t xml:space="preserve">. </w:t>
      </w:r>
      <w:r w:rsidR="00BC2D48">
        <w:rPr>
          <w:lang w:val="lt-LT"/>
        </w:rPr>
        <w:t>Savivaldybių v</w:t>
      </w:r>
      <w:r w:rsidRPr="00BC2CB8">
        <w:rPr>
          <w:lang w:val="lt-LT"/>
        </w:rPr>
        <w:t>iešųjų pastatų scenarijaus Nr. 5 schema.</w:t>
      </w:r>
      <w:bookmarkEnd w:id="191"/>
      <w:r w:rsidRPr="00BC2CB8">
        <w:rPr>
          <w:lang w:val="lt-LT"/>
        </w:rPr>
        <w:t xml:space="preserve"> </w:t>
      </w:r>
    </w:p>
    <w:p w14:paraId="037C1E19" w14:textId="2829276D" w:rsidR="00C50605" w:rsidRPr="00BC2CB8" w:rsidRDefault="00C50605" w:rsidP="00C50605">
      <w:pPr>
        <w:jc w:val="both"/>
        <w:rPr>
          <w:rFonts w:ascii="Georgia" w:hAnsi="Georgia"/>
          <w:sz w:val="20"/>
          <w:szCs w:val="20"/>
          <w:lang w:val="lt-LT"/>
        </w:rPr>
      </w:pPr>
      <w:r w:rsidRPr="00BC2CB8">
        <w:rPr>
          <w:rFonts w:ascii="Georgia" w:hAnsi="Georgia"/>
          <w:sz w:val="20"/>
          <w:szCs w:val="20"/>
          <w:lang w:val="lt-LT"/>
        </w:rPr>
        <w:t xml:space="preserve">Su galimais investuotojais (tarptautinėmis finansų institucijomis, komerciniais bankais, pensijų fondais) aptarus finansinės priemonės ar fondų fondo </w:t>
      </w:r>
      <w:r w:rsidR="001551F2">
        <w:rPr>
          <w:rFonts w:ascii="Georgia" w:hAnsi="Georgia"/>
          <w:sz w:val="20"/>
          <w:szCs w:val="20"/>
          <w:lang w:val="lt-LT"/>
        </w:rPr>
        <w:t>(</w:t>
      </w:r>
      <w:r w:rsidRPr="00BC2CB8">
        <w:rPr>
          <w:rFonts w:ascii="Georgia" w:hAnsi="Georgia"/>
          <w:sz w:val="20"/>
          <w:szCs w:val="20"/>
          <w:lang w:val="lt-LT"/>
        </w:rPr>
        <w:t>kaip juridinio asmens</w:t>
      </w:r>
      <w:r w:rsidR="001551F2">
        <w:rPr>
          <w:rFonts w:ascii="Georgia" w:hAnsi="Georgia"/>
          <w:sz w:val="20"/>
          <w:szCs w:val="20"/>
          <w:lang w:val="lt-LT"/>
        </w:rPr>
        <w:t>)</w:t>
      </w:r>
      <w:r w:rsidRPr="00BC2CB8">
        <w:rPr>
          <w:rFonts w:ascii="Georgia" w:hAnsi="Georgia"/>
          <w:sz w:val="20"/>
          <w:szCs w:val="20"/>
          <w:lang w:val="lt-LT"/>
        </w:rPr>
        <w:t xml:space="preserve"> steigimo galimyb</w:t>
      </w:r>
      <w:r>
        <w:rPr>
          <w:rFonts w:ascii="Georgia" w:hAnsi="Georgia"/>
          <w:sz w:val="20"/>
          <w:szCs w:val="20"/>
          <w:lang w:val="lt-LT"/>
        </w:rPr>
        <w:t xml:space="preserve">es, buvo nustatyta, kad </w:t>
      </w:r>
      <w:r w:rsidR="00F939A5">
        <w:rPr>
          <w:rFonts w:ascii="Georgia" w:hAnsi="Georgia"/>
          <w:sz w:val="20"/>
          <w:szCs w:val="20"/>
          <w:lang w:val="lt-LT"/>
        </w:rPr>
        <w:t>50%</w:t>
      </w:r>
      <w:r w:rsidRPr="00BC2CB8">
        <w:rPr>
          <w:rFonts w:ascii="Georgia" w:hAnsi="Georgia"/>
          <w:sz w:val="20"/>
          <w:szCs w:val="20"/>
          <w:lang w:val="lt-LT"/>
        </w:rPr>
        <w:t xml:space="preserve"> fondo lėšų galėtų sudaryti 2014-2020 m. ES</w:t>
      </w:r>
      <w:r w:rsidR="001551F2">
        <w:rPr>
          <w:rFonts w:ascii="Georgia" w:hAnsi="Georgia"/>
          <w:sz w:val="20"/>
          <w:szCs w:val="20"/>
          <w:lang w:val="lt-LT"/>
        </w:rPr>
        <w:t>I fondų</w:t>
      </w:r>
      <w:r w:rsidRPr="00BC2CB8">
        <w:rPr>
          <w:rFonts w:ascii="Georgia" w:hAnsi="Georgia"/>
          <w:sz w:val="20"/>
          <w:szCs w:val="20"/>
          <w:lang w:val="lt-LT"/>
        </w:rPr>
        <w:t xml:space="preserve"> lėšos</w:t>
      </w:r>
      <w:r w:rsidR="001551F2">
        <w:rPr>
          <w:rFonts w:ascii="Georgia" w:hAnsi="Georgia"/>
          <w:sz w:val="20"/>
          <w:szCs w:val="20"/>
          <w:lang w:val="lt-LT"/>
        </w:rPr>
        <w:t>,</w:t>
      </w:r>
      <w:r w:rsidRPr="00BC2CB8">
        <w:rPr>
          <w:rFonts w:ascii="Georgia" w:hAnsi="Georgia"/>
          <w:sz w:val="20"/>
          <w:szCs w:val="20"/>
          <w:lang w:val="lt-LT"/>
        </w:rPr>
        <w:t xml:space="preserve"> numatytos </w:t>
      </w:r>
      <w:r>
        <w:rPr>
          <w:rFonts w:ascii="Georgia" w:hAnsi="Georgia"/>
          <w:sz w:val="20"/>
          <w:szCs w:val="20"/>
          <w:lang w:val="lt-LT"/>
        </w:rPr>
        <w:t>savivaldybių</w:t>
      </w:r>
      <w:r w:rsidRPr="00BC2CB8">
        <w:rPr>
          <w:rFonts w:ascii="Georgia" w:hAnsi="Georgia"/>
          <w:sz w:val="20"/>
          <w:szCs w:val="20"/>
          <w:lang w:val="lt-LT"/>
        </w:rPr>
        <w:t xml:space="preserve"> viešųjų pastatų renovacijai, ir apie </w:t>
      </w:r>
      <w:r w:rsidR="00F939A5">
        <w:rPr>
          <w:rFonts w:ascii="Georgia" w:hAnsi="Georgia"/>
          <w:sz w:val="20"/>
          <w:szCs w:val="20"/>
          <w:lang w:val="lt-LT"/>
        </w:rPr>
        <w:t>5</w:t>
      </w:r>
      <w:r w:rsidR="00F939A5" w:rsidRPr="00BC2CB8">
        <w:rPr>
          <w:rFonts w:ascii="Georgia" w:hAnsi="Georgia"/>
          <w:sz w:val="20"/>
          <w:szCs w:val="20"/>
          <w:lang w:val="lt-LT"/>
        </w:rPr>
        <w:t xml:space="preserve">0 </w:t>
      </w:r>
      <w:r w:rsidRPr="00BC2CB8">
        <w:rPr>
          <w:rFonts w:ascii="Georgia" w:hAnsi="Georgia"/>
          <w:sz w:val="20"/>
          <w:szCs w:val="20"/>
          <w:lang w:val="lt-LT"/>
        </w:rPr>
        <w:t xml:space="preserve">% sudarytų privačių investuotojų paskolos ir investicijos į tokį fondą. </w:t>
      </w:r>
      <w:r>
        <w:rPr>
          <w:rFonts w:ascii="Georgia" w:hAnsi="Georgia"/>
          <w:sz w:val="20"/>
          <w:szCs w:val="20"/>
          <w:lang w:val="lt-LT"/>
        </w:rPr>
        <w:t>T</w:t>
      </w:r>
      <w:r w:rsidRPr="00BC2CB8">
        <w:rPr>
          <w:rFonts w:ascii="Georgia" w:hAnsi="Georgia"/>
          <w:sz w:val="20"/>
          <w:szCs w:val="20"/>
          <w:lang w:val="lt-LT"/>
        </w:rPr>
        <w:t xml:space="preserve">okį finansinio sverto efektą galima būtų pasiekti, jeigu vadovaujančiosios institucijos </w:t>
      </w:r>
      <w:r w:rsidR="008B7D10" w:rsidRPr="00BC2CB8">
        <w:rPr>
          <w:rFonts w:ascii="Georgia" w:hAnsi="Georgia"/>
          <w:sz w:val="20"/>
          <w:szCs w:val="20"/>
          <w:lang w:val="lt-LT"/>
        </w:rPr>
        <w:t>įnaš</w:t>
      </w:r>
      <w:r w:rsidR="008B7D10">
        <w:rPr>
          <w:rFonts w:ascii="Georgia" w:hAnsi="Georgia"/>
          <w:sz w:val="20"/>
          <w:szCs w:val="20"/>
          <w:lang w:val="lt-LT"/>
        </w:rPr>
        <w:t>as</w:t>
      </w:r>
      <w:r w:rsidR="008B7D10" w:rsidRPr="00BC2CB8">
        <w:rPr>
          <w:rFonts w:ascii="Georgia" w:hAnsi="Georgia"/>
          <w:sz w:val="20"/>
          <w:szCs w:val="20"/>
          <w:lang w:val="lt-LT"/>
        </w:rPr>
        <w:t xml:space="preserve"> </w:t>
      </w:r>
      <w:r w:rsidRPr="00BC2CB8">
        <w:rPr>
          <w:rFonts w:ascii="Georgia" w:hAnsi="Georgia"/>
          <w:sz w:val="20"/>
          <w:szCs w:val="20"/>
          <w:lang w:val="lt-LT"/>
        </w:rPr>
        <w:t>(tokiu atveju bendroje fondo apimtyje pirmo praradimo kapitalas sudarytų 30 proc., t.y. analogiškai kaip daugiabučių pastatų atveju) į fondą, būtų laikomas pirmojo praradimo kapitalu.</w:t>
      </w:r>
    </w:p>
    <w:p w14:paraId="216D79F3" w14:textId="102704CB" w:rsidR="00C50605" w:rsidRPr="00BC2CB8" w:rsidRDefault="00C50605" w:rsidP="00C50605">
      <w:pPr>
        <w:pStyle w:val="Antrat"/>
        <w:jc w:val="both"/>
        <w:rPr>
          <w:szCs w:val="20"/>
          <w:lang w:val="lt-LT"/>
        </w:rPr>
      </w:pPr>
      <w:bookmarkStart w:id="192" w:name="_Toc460321674"/>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93</w:t>
      </w:r>
      <w:r w:rsidRPr="00BC2CB8">
        <w:rPr>
          <w:lang w:val="lt-LT"/>
        </w:rPr>
        <w:fldChar w:fldCharType="end"/>
      </w:r>
      <w:r w:rsidRPr="00BC2CB8">
        <w:rPr>
          <w:lang w:val="lt-LT"/>
        </w:rPr>
        <w:t>. Scenarijaus Nr. 5 prielaidos</w:t>
      </w:r>
      <w:bookmarkEnd w:id="192"/>
    </w:p>
    <w:tbl>
      <w:tblPr>
        <w:tblStyle w:val="viesussraas2parykinimas"/>
        <w:tblW w:w="5000" w:type="pct"/>
        <w:tblLook w:val="04A0" w:firstRow="1" w:lastRow="0" w:firstColumn="1" w:lastColumn="0" w:noHBand="0" w:noVBand="1"/>
      </w:tblPr>
      <w:tblGrid>
        <w:gridCol w:w="3164"/>
        <w:gridCol w:w="6078"/>
      </w:tblGrid>
      <w:tr w:rsidR="00C50605" w:rsidRPr="00BC2CB8" w14:paraId="24D9FFF4" w14:textId="77777777" w:rsidTr="00BC2D4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12" w:type="pct"/>
            <w:tcBorders>
              <w:bottom w:val="single" w:sz="8" w:space="0" w:color="C0504D" w:themeColor="accent2"/>
            </w:tcBorders>
          </w:tcPr>
          <w:p w14:paraId="7FEC361E" w14:textId="77777777" w:rsidR="00C50605" w:rsidRPr="00BC2CB8" w:rsidRDefault="00C50605" w:rsidP="00BC2D48">
            <w:pPr>
              <w:jc w:val="center"/>
              <w:rPr>
                <w:rFonts w:ascii="Georgia" w:hAnsi="Georgia"/>
                <w:sz w:val="20"/>
                <w:szCs w:val="20"/>
              </w:rPr>
            </w:pPr>
            <w:r w:rsidRPr="00BC2CB8">
              <w:rPr>
                <w:rFonts w:ascii="Georgia" w:hAnsi="Georgia"/>
                <w:sz w:val="20"/>
                <w:szCs w:val="20"/>
              </w:rPr>
              <w:t>Prielaidos</w:t>
            </w:r>
          </w:p>
        </w:tc>
        <w:tc>
          <w:tcPr>
            <w:tcW w:w="3288" w:type="pct"/>
            <w:tcBorders>
              <w:bottom w:val="single" w:sz="8" w:space="0" w:color="C0504D" w:themeColor="accent2"/>
            </w:tcBorders>
          </w:tcPr>
          <w:p w14:paraId="23E50ABF" w14:textId="77777777" w:rsidR="00C50605" w:rsidRPr="00BC2CB8" w:rsidRDefault="00C50605" w:rsidP="00BC2D48">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Komentaras</w:t>
            </w:r>
          </w:p>
        </w:tc>
      </w:tr>
      <w:tr w:rsidR="00C50605" w:rsidRPr="00BC2CB8" w14:paraId="6C0109EC" w14:textId="77777777" w:rsidTr="00BC2D4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bottom w:val="single" w:sz="6" w:space="0" w:color="C0504D" w:themeColor="accent2"/>
              <w:right w:val="single" w:sz="6" w:space="0" w:color="C0504D" w:themeColor="accent2"/>
            </w:tcBorders>
          </w:tcPr>
          <w:p w14:paraId="5A3D00D1" w14:textId="77777777" w:rsidR="00C50605" w:rsidRPr="00BC2CB8" w:rsidRDefault="00C50605" w:rsidP="00BC2D48">
            <w:pPr>
              <w:rPr>
                <w:rFonts w:ascii="Georgia" w:hAnsi="Georgia"/>
                <w:b w:val="0"/>
                <w:sz w:val="20"/>
                <w:szCs w:val="20"/>
              </w:rPr>
            </w:pPr>
            <w:r w:rsidRPr="00BC2CB8">
              <w:rPr>
                <w:rFonts w:ascii="Georgia" w:hAnsi="Georgia"/>
                <w:sz w:val="20"/>
                <w:szCs w:val="20"/>
              </w:rPr>
              <w:t>Paskolos laikotarpis: iki 20 metų</w:t>
            </w:r>
          </w:p>
        </w:tc>
        <w:tc>
          <w:tcPr>
            <w:tcW w:w="3288" w:type="pct"/>
            <w:tcBorders>
              <w:left w:val="single" w:sz="6" w:space="0" w:color="C0504D" w:themeColor="accent2"/>
              <w:bottom w:val="single" w:sz="6" w:space="0" w:color="C0504D" w:themeColor="accent2"/>
            </w:tcBorders>
          </w:tcPr>
          <w:p w14:paraId="71552F35" w14:textId="77777777" w:rsidR="00C50605" w:rsidRPr="00BC2CB8" w:rsidRDefault="00C50605" w:rsidP="00BC2D48">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Maksimalus paskolos sutarties terminas yra 20 metų.</w:t>
            </w:r>
          </w:p>
        </w:tc>
      </w:tr>
      <w:tr w:rsidR="00C50605" w:rsidRPr="00BC2CB8" w14:paraId="2972E469" w14:textId="77777777" w:rsidTr="00BC2D48">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493AB8FD" w14:textId="77777777" w:rsidR="00C50605" w:rsidRPr="00BC2CB8" w:rsidRDefault="00C50605" w:rsidP="00BC2D48">
            <w:pPr>
              <w:rPr>
                <w:rFonts w:ascii="Georgia" w:hAnsi="Georgia"/>
                <w:b w:val="0"/>
                <w:sz w:val="20"/>
                <w:szCs w:val="20"/>
              </w:rPr>
            </w:pPr>
            <w:r w:rsidRPr="00BC2CB8">
              <w:rPr>
                <w:rFonts w:ascii="Georgia" w:hAnsi="Georgia"/>
                <w:sz w:val="20"/>
                <w:szCs w:val="20"/>
              </w:rPr>
              <w:t>Blogų paskolų dalis: 5%</w:t>
            </w:r>
          </w:p>
        </w:tc>
        <w:tc>
          <w:tcPr>
            <w:tcW w:w="3288" w:type="pct"/>
            <w:tcBorders>
              <w:top w:val="single" w:sz="6" w:space="0" w:color="C0504D" w:themeColor="accent2"/>
              <w:left w:val="single" w:sz="6" w:space="0" w:color="C0504D" w:themeColor="accent2"/>
              <w:bottom w:val="single" w:sz="6" w:space="0" w:color="C0504D" w:themeColor="accent2"/>
            </w:tcBorders>
          </w:tcPr>
          <w:p w14:paraId="6CD7AF74" w14:textId="77777777" w:rsidR="00C50605" w:rsidRPr="00BC2CB8" w:rsidRDefault="00C50605" w:rsidP="00BC2D48">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Blogų paskolų dalis buvo nustatyta remiantis ekspertų ir komercinių bankų vertinimu. Be to, ši prielaida atitinka PwC studijoje nustatytą dydį.</w:t>
            </w:r>
          </w:p>
        </w:tc>
      </w:tr>
      <w:tr w:rsidR="00C50605" w:rsidRPr="00BC2CB8" w14:paraId="51886262" w14:textId="77777777" w:rsidTr="00BC2D4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37B15FF2" w14:textId="77777777" w:rsidR="00C50605" w:rsidRPr="00BC2CB8" w:rsidRDefault="00C50605" w:rsidP="00BC2D48">
            <w:pPr>
              <w:rPr>
                <w:rFonts w:ascii="Georgia" w:hAnsi="Georgia"/>
                <w:b w:val="0"/>
                <w:sz w:val="20"/>
                <w:szCs w:val="20"/>
              </w:rPr>
            </w:pPr>
            <w:r w:rsidRPr="00BC2CB8">
              <w:rPr>
                <w:rFonts w:ascii="Georgia" w:hAnsi="Georgia"/>
                <w:sz w:val="20"/>
                <w:szCs w:val="20"/>
              </w:rPr>
              <w:t>Tipinio viešojo pastato projekto investicijų vertė: 228 000 eurų</w:t>
            </w:r>
          </w:p>
        </w:tc>
        <w:tc>
          <w:tcPr>
            <w:tcW w:w="3288" w:type="pct"/>
            <w:tcBorders>
              <w:top w:val="single" w:sz="6" w:space="0" w:color="C0504D" w:themeColor="accent2"/>
              <w:left w:val="single" w:sz="6" w:space="0" w:color="C0504D" w:themeColor="accent2"/>
              <w:bottom w:val="single" w:sz="6" w:space="0" w:color="C0504D" w:themeColor="accent2"/>
            </w:tcBorders>
          </w:tcPr>
          <w:p w14:paraId="2ABA8B8D" w14:textId="77777777" w:rsidR="00C50605" w:rsidRPr="00BC2CB8" w:rsidRDefault="00C50605" w:rsidP="00BC2D48">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Vidutinė tipinio viešojo pastato renovacijos kaina buvo nustatyta remiantis vidutinio viešojo pastato plotu ir pastato renovacijos kaštais vienam kvadratiniam metrui. Vidutinis pastato plotas paskaičiuotas remiantis Registrų centro duomenimis 2.1.1. skyriuje, o viešojo pastato renovacijos kaštai numatyti </w:t>
            </w:r>
            <w:r w:rsidRPr="00BC2CB8">
              <w:rPr>
                <w:rFonts w:ascii="Georgia" w:hAnsi="Georgia"/>
                <w:bCs/>
                <w:sz w:val="20"/>
                <w:szCs w:val="20"/>
              </w:rPr>
              <w:t>Viešųjų pastatų energinio efektyvumo didinimo programos projekte</w:t>
            </w:r>
            <w:r w:rsidRPr="00BC2CB8">
              <w:rPr>
                <w:rStyle w:val="Puslapioinaosnuoroda"/>
                <w:rFonts w:ascii="Georgia" w:hAnsi="Georgia"/>
                <w:bCs/>
                <w:sz w:val="20"/>
                <w:szCs w:val="20"/>
              </w:rPr>
              <w:footnoteReference w:id="114"/>
            </w:r>
            <w:r w:rsidRPr="00BC2CB8">
              <w:rPr>
                <w:rFonts w:ascii="Georgia" w:hAnsi="Georgia"/>
                <w:bCs/>
                <w:sz w:val="20"/>
                <w:szCs w:val="20"/>
              </w:rPr>
              <w:t xml:space="preserve"> ir sudaro 202,7 </w:t>
            </w:r>
            <w:r w:rsidRPr="00BC2CB8">
              <w:rPr>
                <w:rFonts w:ascii="Georgia" w:hAnsi="Georgia"/>
                <w:sz w:val="20"/>
                <w:szCs w:val="20"/>
              </w:rPr>
              <w:t>eurų</w:t>
            </w:r>
            <w:r w:rsidRPr="00BC2CB8" w:rsidDel="00334CC9">
              <w:rPr>
                <w:rFonts w:ascii="Georgia" w:hAnsi="Georgia"/>
                <w:bCs/>
                <w:sz w:val="20"/>
                <w:szCs w:val="20"/>
              </w:rPr>
              <w:t xml:space="preserve"> </w:t>
            </w:r>
            <w:r w:rsidRPr="00BC2CB8">
              <w:rPr>
                <w:rFonts w:ascii="Georgia" w:hAnsi="Georgia"/>
                <w:bCs/>
                <w:sz w:val="20"/>
                <w:szCs w:val="20"/>
              </w:rPr>
              <w:t>/m</w:t>
            </w:r>
            <w:r w:rsidRPr="00BC2CB8">
              <w:rPr>
                <w:rFonts w:ascii="Georgia" w:hAnsi="Georgia"/>
                <w:bCs/>
                <w:sz w:val="20"/>
                <w:szCs w:val="20"/>
                <w:vertAlign w:val="superscript"/>
              </w:rPr>
              <w:t>2</w:t>
            </w:r>
            <w:r w:rsidRPr="00BC2CB8">
              <w:rPr>
                <w:rFonts w:ascii="Georgia" w:hAnsi="Georgia"/>
                <w:bCs/>
                <w:sz w:val="20"/>
                <w:szCs w:val="20"/>
              </w:rPr>
              <w:t>.</w:t>
            </w:r>
          </w:p>
        </w:tc>
      </w:tr>
      <w:tr w:rsidR="00C50605" w:rsidRPr="00BC2CB8" w14:paraId="56311DEA" w14:textId="77777777" w:rsidTr="00BC2D48">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78333259" w14:textId="47AAA5ED" w:rsidR="00C50605" w:rsidRPr="00BC2CB8" w:rsidRDefault="00C50605" w:rsidP="00BC2D48">
            <w:pPr>
              <w:rPr>
                <w:rFonts w:ascii="Georgia" w:hAnsi="Georgia"/>
                <w:b w:val="0"/>
                <w:sz w:val="20"/>
                <w:szCs w:val="20"/>
              </w:rPr>
            </w:pPr>
            <w:r w:rsidRPr="00BC2CB8">
              <w:rPr>
                <w:rFonts w:ascii="Georgia" w:hAnsi="Georgia"/>
                <w:sz w:val="20"/>
                <w:szCs w:val="20"/>
              </w:rPr>
              <w:t>Pa</w:t>
            </w:r>
            <w:r>
              <w:rPr>
                <w:rFonts w:ascii="Georgia" w:hAnsi="Georgia"/>
                <w:sz w:val="20"/>
                <w:szCs w:val="20"/>
              </w:rPr>
              <w:t xml:space="preserve">skolų palūkanų norma: </w:t>
            </w:r>
            <w:r w:rsidR="00E36FAE">
              <w:rPr>
                <w:rFonts w:ascii="Georgia" w:hAnsi="Georgia"/>
                <w:sz w:val="20"/>
                <w:szCs w:val="20"/>
              </w:rPr>
              <w:t>su iki</w:t>
            </w:r>
            <w:r w:rsidR="00E36FAE" w:rsidRPr="00BC2CB8">
              <w:rPr>
                <w:rFonts w:ascii="Georgia" w:hAnsi="Georgia"/>
                <w:sz w:val="20"/>
                <w:szCs w:val="20"/>
              </w:rPr>
              <w:t xml:space="preserve"> 2 %</w:t>
            </w:r>
            <w:r w:rsidR="00E36FAE">
              <w:rPr>
                <w:rFonts w:ascii="Georgia" w:hAnsi="Georgia"/>
                <w:sz w:val="20"/>
                <w:szCs w:val="20"/>
              </w:rPr>
              <w:t xml:space="preserve"> palūkanų marža</w:t>
            </w:r>
          </w:p>
        </w:tc>
        <w:tc>
          <w:tcPr>
            <w:tcW w:w="3288" w:type="pct"/>
            <w:tcBorders>
              <w:top w:val="single" w:sz="6" w:space="0" w:color="C0504D" w:themeColor="accent2"/>
              <w:left w:val="single" w:sz="6" w:space="0" w:color="C0504D" w:themeColor="accent2"/>
              <w:bottom w:val="single" w:sz="6" w:space="0" w:color="C0504D" w:themeColor="accent2"/>
            </w:tcBorders>
          </w:tcPr>
          <w:p w14:paraId="5F1F7DFC" w14:textId="2D524569" w:rsidR="00C50605" w:rsidRPr="00BC2CB8" w:rsidRDefault="00352E8A" w:rsidP="00400E38">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Analizės tikslais n</w:t>
            </w:r>
            <w:r w:rsidRPr="00BC2CB8">
              <w:rPr>
                <w:rFonts w:ascii="Georgia" w:hAnsi="Georgia"/>
                <w:sz w:val="20"/>
                <w:szCs w:val="20"/>
              </w:rPr>
              <w:t>ustatomos 2</w:t>
            </w:r>
            <w:r>
              <w:rPr>
                <w:rFonts w:ascii="Georgia" w:hAnsi="Georgia"/>
                <w:sz w:val="20"/>
                <w:szCs w:val="20"/>
              </w:rPr>
              <w:t xml:space="preserve"> </w:t>
            </w:r>
            <w:r w:rsidRPr="00BC2CB8">
              <w:rPr>
                <w:rFonts w:ascii="Georgia" w:hAnsi="Georgia"/>
                <w:sz w:val="20"/>
                <w:szCs w:val="20"/>
              </w:rPr>
              <w:t xml:space="preserve">% </w:t>
            </w:r>
            <w:r>
              <w:rPr>
                <w:rFonts w:ascii="Georgia" w:hAnsi="Georgia"/>
                <w:sz w:val="20"/>
                <w:szCs w:val="20"/>
              </w:rPr>
              <w:t xml:space="preserve">metinės </w:t>
            </w:r>
            <w:r w:rsidRPr="00BC2CB8">
              <w:rPr>
                <w:rFonts w:ascii="Georgia" w:hAnsi="Georgia"/>
                <w:sz w:val="20"/>
                <w:szCs w:val="20"/>
              </w:rPr>
              <w:t>palūkanos.</w:t>
            </w:r>
            <w:r>
              <w:rPr>
                <w:rFonts w:ascii="Georgia" w:hAnsi="Georgia"/>
                <w:sz w:val="20"/>
                <w:szCs w:val="20"/>
              </w:rPr>
              <w:t xml:space="preserve"> Pradinėje FP stadijoje gali būti nustatomos ir mažesnės palūkanos. Išnaudojus ESI fondų lėšas palūkanos turėtų atitikti FP administravimo ir </w:t>
            </w:r>
            <w:r w:rsidR="00400E38">
              <w:rPr>
                <w:rFonts w:ascii="Georgia" w:hAnsi="Georgia"/>
                <w:sz w:val="20"/>
                <w:szCs w:val="20"/>
              </w:rPr>
              <w:t>lėšų</w:t>
            </w:r>
            <w:r>
              <w:rPr>
                <w:rFonts w:ascii="Georgia" w:hAnsi="Georgia"/>
                <w:sz w:val="20"/>
                <w:szCs w:val="20"/>
              </w:rPr>
              <w:t xml:space="preserve"> pritraukimo kainą.</w:t>
            </w:r>
          </w:p>
        </w:tc>
      </w:tr>
      <w:tr w:rsidR="00C50605" w:rsidRPr="00BC2CB8" w14:paraId="7127A347" w14:textId="77777777" w:rsidTr="00BC2D4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35556D08" w14:textId="483D942D" w:rsidR="00C50605" w:rsidRPr="00BC2CB8" w:rsidRDefault="00C50605" w:rsidP="00352E8A">
            <w:pPr>
              <w:rPr>
                <w:rFonts w:ascii="Georgia" w:hAnsi="Georgia"/>
                <w:b w:val="0"/>
                <w:sz w:val="20"/>
                <w:szCs w:val="20"/>
              </w:rPr>
            </w:pPr>
            <w:r w:rsidRPr="00BC2CB8">
              <w:rPr>
                <w:rFonts w:ascii="Georgia" w:hAnsi="Georgia"/>
                <w:sz w:val="20"/>
                <w:szCs w:val="20"/>
              </w:rPr>
              <w:t xml:space="preserve">Investuojamų ESI fondų lėšų suma į fondą: </w:t>
            </w:r>
            <w:r w:rsidR="00BC2D48">
              <w:rPr>
                <w:rFonts w:ascii="Georgia" w:hAnsi="Georgia"/>
                <w:sz w:val="20"/>
                <w:szCs w:val="20"/>
              </w:rPr>
              <w:t>50</w:t>
            </w:r>
            <w:r w:rsidRPr="00BC2CB8">
              <w:rPr>
                <w:rFonts w:ascii="Georgia" w:hAnsi="Georgia"/>
                <w:sz w:val="20"/>
                <w:szCs w:val="20"/>
              </w:rPr>
              <w:t xml:space="preserve"> mln. eurų</w:t>
            </w:r>
          </w:p>
        </w:tc>
        <w:tc>
          <w:tcPr>
            <w:tcW w:w="3288" w:type="pct"/>
            <w:tcBorders>
              <w:top w:val="single" w:sz="6" w:space="0" w:color="C0504D" w:themeColor="accent2"/>
              <w:left w:val="single" w:sz="6" w:space="0" w:color="C0504D" w:themeColor="accent2"/>
              <w:bottom w:val="single" w:sz="6" w:space="0" w:color="C0504D" w:themeColor="accent2"/>
            </w:tcBorders>
          </w:tcPr>
          <w:p w14:paraId="1F148464" w14:textId="1FB61752" w:rsidR="00C50605" w:rsidRPr="00B32512" w:rsidRDefault="00C50605" w:rsidP="00E67C77">
            <w:pPr>
              <w:jc w:val="both"/>
              <w:cnfStyle w:val="000000100000" w:firstRow="0" w:lastRow="0" w:firstColumn="0" w:lastColumn="0" w:oddVBand="0" w:evenVBand="0" w:oddHBand="1" w:evenHBand="0" w:firstRowFirstColumn="0" w:firstRowLastColumn="0" w:lastRowFirstColumn="0" w:lastRowLastColumn="0"/>
            </w:pPr>
            <w:r w:rsidRPr="007772AB">
              <w:rPr>
                <w:rFonts w:ascii="Georgia" w:hAnsi="Georgia"/>
                <w:sz w:val="20"/>
                <w:szCs w:val="20"/>
              </w:rPr>
              <w:t xml:space="preserve">Daroma prielaida, jog </w:t>
            </w:r>
            <w:r w:rsidR="00144171">
              <w:rPr>
                <w:rFonts w:ascii="Georgia" w:hAnsi="Georgia"/>
                <w:sz w:val="20"/>
                <w:szCs w:val="20"/>
              </w:rPr>
              <w:t>savivaldybių</w:t>
            </w:r>
            <w:r w:rsidRPr="007772AB">
              <w:rPr>
                <w:rFonts w:ascii="Georgia" w:hAnsi="Georgia"/>
                <w:sz w:val="20"/>
                <w:szCs w:val="20"/>
              </w:rPr>
              <w:t xml:space="preserve"> pastatų renovacijai skirtos lėšos – </w:t>
            </w:r>
            <w:r w:rsidR="0020130A">
              <w:rPr>
                <w:rFonts w:ascii="Georgia" w:hAnsi="Georgia"/>
                <w:sz w:val="20"/>
                <w:szCs w:val="20"/>
              </w:rPr>
              <w:t>50</w:t>
            </w:r>
            <w:r w:rsidRPr="007772AB">
              <w:rPr>
                <w:rFonts w:ascii="Georgia" w:hAnsi="Georgia"/>
                <w:sz w:val="20"/>
                <w:szCs w:val="20"/>
              </w:rPr>
              <w:t xml:space="preserve"> mln.</w:t>
            </w:r>
            <w:r w:rsidR="00BC2D48" w:rsidRPr="003F3389">
              <w:rPr>
                <w:rFonts w:ascii="Georgia" w:hAnsi="Georgia"/>
                <w:sz w:val="20"/>
                <w:szCs w:val="20"/>
              </w:rPr>
              <w:t xml:space="preserve"> eurų bus </w:t>
            </w:r>
            <w:r w:rsidR="00BC2D48" w:rsidRPr="0062724A">
              <w:rPr>
                <w:rFonts w:ascii="Georgia" w:hAnsi="Georgia"/>
                <w:sz w:val="20"/>
                <w:szCs w:val="20"/>
              </w:rPr>
              <w:t xml:space="preserve">skirtos </w:t>
            </w:r>
            <w:r w:rsidR="0020130A">
              <w:rPr>
                <w:rFonts w:ascii="Georgia" w:hAnsi="Georgia"/>
                <w:sz w:val="20"/>
                <w:szCs w:val="20"/>
              </w:rPr>
              <w:t xml:space="preserve">rizikos pasidalijimo </w:t>
            </w:r>
            <w:r w:rsidR="007772AB" w:rsidRPr="007772AB">
              <w:rPr>
                <w:rFonts w:ascii="Georgia" w:hAnsi="Georgia"/>
                <w:sz w:val="20"/>
                <w:szCs w:val="20"/>
              </w:rPr>
              <w:t>fondui</w:t>
            </w:r>
            <w:r w:rsidR="00BC2D48" w:rsidRPr="0062724A">
              <w:rPr>
                <w:rFonts w:ascii="Georgia" w:hAnsi="Georgia"/>
                <w:sz w:val="20"/>
                <w:szCs w:val="20"/>
              </w:rPr>
              <w:t xml:space="preserve"> </w:t>
            </w:r>
            <w:r w:rsidR="0020130A">
              <w:rPr>
                <w:rFonts w:ascii="Georgia" w:hAnsi="Georgia"/>
                <w:sz w:val="20"/>
                <w:szCs w:val="20"/>
              </w:rPr>
              <w:t>suformuojant</w:t>
            </w:r>
            <w:r w:rsidR="00BC2D48" w:rsidRPr="0062724A">
              <w:rPr>
                <w:rFonts w:ascii="Georgia" w:hAnsi="Georgia"/>
                <w:sz w:val="20"/>
                <w:szCs w:val="20"/>
              </w:rPr>
              <w:t xml:space="preserve"> pirmo praradimo kapitalą</w:t>
            </w:r>
            <w:r w:rsidR="00067B48">
              <w:rPr>
                <w:rFonts w:ascii="Georgia" w:hAnsi="Georgia"/>
                <w:sz w:val="20"/>
                <w:szCs w:val="20"/>
              </w:rPr>
              <w:t>;</w:t>
            </w:r>
            <w:r w:rsidR="00BC2D48" w:rsidRPr="0062724A">
              <w:rPr>
                <w:rFonts w:ascii="Georgia" w:hAnsi="Georgia"/>
                <w:sz w:val="20"/>
                <w:szCs w:val="20"/>
              </w:rPr>
              <w:t xml:space="preserve"> </w:t>
            </w:r>
          </w:p>
        </w:tc>
      </w:tr>
      <w:tr w:rsidR="00C50605" w:rsidRPr="00BC2CB8" w14:paraId="17A30D14" w14:textId="77777777" w:rsidTr="00BC2D48">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18AFC86A" w14:textId="77777777" w:rsidR="00C50605" w:rsidRPr="00BC2CB8" w:rsidRDefault="00C50605" w:rsidP="00BC2D48">
            <w:pPr>
              <w:rPr>
                <w:rFonts w:ascii="Georgia" w:hAnsi="Georgia"/>
                <w:b w:val="0"/>
                <w:sz w:val="20"/>
                <w:szCs w:val="20"/>
              </w:rPr>
            </w:pPr>
            <w:r w:rsidRPr="00BC2CB8">
              <w:rPr>
                <w:rFonts w:ascii="Georgia" w:hAnsi="Georgia"/>
                <w:sz w:val="20"/>
              </w:rPr>
              <w:lastRenderedPageBreak/>
              <w:t>Valdymo mokestis: vadovaujantis Deleguoto reglamento nuostatomis</w:t>
            </w:r>
          </w:p>
        </w:tc>
        <w:tc>
          <w:tcPr>
            <w:tcW w:w="3288" w:type="pct"/>
            <w:tcBorders>
              <w:top w:val="single" w:sz="6" w:space="0" w:color="C0504D" w:themeColor="accent2"/>
              <w:left w:val="single" w:sz="6" w:space="0" w:color="C0504D" w:themeColor="accent2"/>
              <w:bottom w:val="single" w:sz="6" w:space="0" w:color="C0504D" w:themeColor="accent2"/>
            </w:tcBorders>
          </w:tcPr>
          <w:p w14:paraId="2AA85A75" w14:textId="27A976D6" w:rsidR="00C50605" w:rsidRPr="00BC2CB8" w:rsidRDefault="00C50605" w:rsidP="009647A2">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rPr>
              <w:t>Vadovaujantis Deleguoto reglamento nuostatomis, valdymo mokestis susideda iš dviejų dalių: 0,5 proc. bazinis mokestis nuo finansinei priemonei skirtų ir įmokėtų lėšų, 1 proc. mokestis nuo paskolų, sumos.</w:t>
            </w:r>
          </w:p>
        </w:tc>
      </w:tr>
      <w:tr w:rsidR="00C50605" w:rsidRPr="00BC2CB8" w14:paraId="58DEFDA6" w14:textId="77777777" w:rsidTr="00BC2D4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6539722F" w14:textId="77777777" w:rsidR="00C50605" w:rsidRPr="00BC2CB8" w:rsidRDefault="00C50605" w:rsidP="00BC2D48">
            <w:pPr>
              <w:rPr>
                <w:rFonts w:ascii="Georgia" w:hAnsi="Georgia"/>
                <w:b w:val="0"/>
                <w:sz w:val="20"/>
                <w:szCs w:val="20"/>
              </w:rPr>
            </w:pPr>
            <w:r w:rsidRPr="00BC2CB8">
              <w:rPr>
                <w:rFonts w:ascii="Georgia" w:hAnsi="Georgia"/>
                <w:sz w:val="20"/>
                <w:szCs w:val="20"/>
              </w:rPr>
              <w:t>Projekto įgyvendinimo laikotarpis: 1 metai</w:t>
            </w:r>
          </w:p>
        </w:tc>
        <w:tc>
          <w:tcPr>
            <w:tcW w:w="3288" w:type="pct"/>
            <w:tcBorders>
              <w:top w:val="single" w:sz="6" w:space="0" w:color="C0504D" w:themeColor="accent2"/>
              <w:left w:val="single" w:sz="6" w:space="0" w:color="C0504D" w:themeColor="accent2"/>
              <w:bottom w:val="single" w:sz="6" w:space="0" w:color="C0504D" w:themeColor="accent2"/>
            </w:tcBorders>
          </w:tcPr>
          <w:p w14:paraId="67DE5E92" w14:textId="77777777" w:rsidR="00C50605" w:rsidRPr="00BC2CB8" w:rsidRDefault="00C50605" w:rsidP="00BC2D48">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tipinio viešojo pastato renovacijos laikas yra 1 metai nuo paskolos sutarties pasirašymo momento.</w:t>
            </w:r>
          </w:p>
        </w:tc>
      </w:tr>
      <w:tr w:rsidR="00C50605" w:rsidRPr="00BC2CB8" w14:paraId="0A22B5EF" w14:textId="77777777" w:rsidTr="00BC2D48">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7DB5B7BF" w14:textId="77777777" w:rsidR="00C50605" w:rsidRPr="00BC2CB8" w:rsidRDefault="00C50605" w:rsidP="00BC2D48">
            <w:pPr>
              <w:rPr>
                <w:rFonts w:ascii="Georgia" w:hAnsi="Georgia"/>
                <w:b w:val="0"/>
                <w:sz w:val="20"/>
                <w:szCs w:val="20"/>
              </w:rPr>
            </w:pPr>
            <w:r w:rsidRPr="00BC2CB8">
              <w:rPr>
                <w:rFonts w:ascii="Georgia" w:hAnsi="Georgia"/>
                <w:sz w:val="20"/>
                <w:szCs w:val="20"/>
              </w:rPr>
              <w:t>Investicinio fondo pritraukiamų privačių investicijų dalis: 50 proc.</w:t>
            </w:r>
          </w:p>
        </w:tc>
        <w:tc>
          <w:tcPr>
            <w:tcW w:w="3288" w:type="pct"/>
            <w:tcBorders>
              <w:top w:val="single" w:sz="6" w:space="0" w:color="C0504D" w:themeColor="accent2"/>
              <w:left w:val="single" w:sz="6" w:space="0" w:color="C0504D" w:themeColor="accent2"/>
              <w:bottom w:val="single" w:sz="6" w:space="0" w:color="C0504D" w:themeColor="accent2"/>
            </w:tcBorders>
          </w:tcPr>
          <w:p w14:paraId="3F57108D" w14:textId="2B40C59D" w:rsidR="00C50605" w:rsidRPr="00BC2CB8" w:rsidRDefault="00C50605" w:rsidP="00067B48">
            <w:pPr>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BC2CB8">
              <w:rPr>
                <w:rFonts w:ascii="Georgia" w:hAnsi="Georgia" w:cs="Georgia"/>
                <w:sz w:val="20"/>
                <w:szCs w:val="20"/>
              </w:rPr>
              <w:t xml:space="preserve">Daroma prielaida, kad </w:t>
            </w:r>
            <w:r w:rsidR="0020130A">
              <w:rPr>
                <w:rFonts w:ascii="Georgia" w:hAnsi="Georgia" w:cs="Georgia"/>
                <w:sz w:val="20"/>
                <w:szCs w:val="20"/>
              </w:rPr>
              <w:t>rizikos pasidalijimo</w:t>
            </w:r>
            <w:r w:rsidRPr="00BC2CB8">
              <w:rPr>
                <w:rFonts w:ascii="Georgia" w:hAnsi="Georgia" w:cs="Georgia"/>
                <w:sz w:val="20"/>
                <w:szCs w:val="20"/>
              </w:rPr>
              <w:t xml:space="preserve"> fondas pritrauks tiek pat investicijų kiek bus įnešta iš ESI lėšų. </w:t>
            </w:r>
            <w:r w:rsidRPr="00BC2CB8">
              <w:rPr>
                <w:rFonts w:ascii="Georgia" w:hAnsi="Georgia"/>
                <w:sz w:val="20"/>
                <w:szCs w:val="20"/>
              </w:rPr>
              <w:t>Įnašas, 60 proc. įnašo</w:t>
            </w:r>
            <w:r w:rsidR="007772AB">
              <w:rPr>
                <w:rFonts w:ascii="Georgia" w:hAnsi="Georgia"/>
                <w:sz w:val="20"/>
                <w:szCs w:val="20"/>
              </w:rPr>
              <w:t xml:space="preserve"> (30 mln. eurų)</w:t>
            </w:r>
            <w:r w:rsidRPr="00BC2CB8">
              <w:rPr>
                <w:rFonts w:ascii="Georgia" w:hAnsi="Georgia"/>
                <w:sz w:val="20"/>
                <w:szCs w:val="20"/>
              </w:rPr>
              <w:t>, kurį padarys vadovaujančioji institucija į fondą, bus laikoma pirmojo praradimo kapitalu.</w:t>
            </w:r>
          </w:p>
        </w:tc>
      </w:tr>
    </w:tbl>
    <w:p w14:paraId="70AA5AF4" w14:textId="77777777" w:rsidR="00C50605" w:rsidRPr="00BC2CB8" w:rsidRDefault="00C50605" w:rsidP="00C50605">
      <w:pPr>
        <w:rPr>
          <w:rFonts w:ascii="Georgia" w:hAnsi="Georgia"/>
          <w:sz w:val="20"/>
          <w:szCs w:val="20"/>
          <w:lang w:val="lt-LT"/>
        </w:rPr>
      </w:pPr>
    </w:p>
    <w:p w14:paraId="52702745" w14:textId="0B001E78" w:rsidR="00C50605" w:rsidRPr="00BC2CB8" w:rsidRDefault="00C50605" w:rsidP="00C50605">
      <w:pPr>
        <w:pStyle w:val="Antrat"/>
        <w:rPr>
          <w:szCs w:val="20"/>
          <w:lang w:val="lt-LT"/>
        </w:rPr>
      </w:pPr>
      <w:bookmarkStart w:id="193" w:name="_Toc460321675"/>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94</w:t>
      </w:r>
      <w:r w:rsidRPr="00BC2CB8">
        <w:rPr>
          <w:lang w:val="lt-LT"/>
        </w:rPr>
        <w:fldChar w:fldCharType="end"/>
      </w:r>
      <w:r w:rsidRPr="00BC2CB8">
        <w:rPr>
          <w:lang w:val="lt-LT"/>
        </w:rPr>
        <w:t>. Scenarijaus Nr. 5 įgyvendinimo prognozė.</w:t>
      </w:r>
      <w:bookmarkEnd w:id="193"/>
      <w:r w:rsidRPr="00BC2CB8">
        <w:rPr>
          <w:lang w:val="lt-LT"/>
        </w:rPr>
        <w:t xml:space="preserve"> </w:t>
      </w:r>
    </w:p>
    <w:p w14:paraId="339F59CF" w14:textId="6816DCD8" w:rsidR="00653FAF" w:rsidRDefault="00183ED3" w:rsidP="00C50605">
      <w:pPr>
        <w:rPr>
          <w:lang w:val="lt-LT"/>
        </w:rPr>
      </w:pPr>
      <w:r>
        <w:rPr>
          <w:noProof/>
          <w:lang w:val="lt-LT" w:eastAsia="lt-LT"/>
        </w:rPr>
        <w:drawing>
          <wp:inline distT="0" distB="0" distL="0" distR="0" wp14:anchorId="57F529C0" wp14:editId="734F954C">
            <wp:extent cx="5876014" cy="2717720"/>
            <wp:effectExtent l="0" t="0" r="0" b="698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8602" t="31138" r="30484" b="17029"/>
                    <a:stretch/>
                  </pic:blipFill>
                  <pic:spPr bwMode="auto">
                    <a:xfrm>
                      <a:off x="0" y="0"/>
                      <a:ext cx="5895371" cy="2726673"/>
                    </a:xfrm>
                    <a:prstGeom prst="rect">
                      <a:avLst/>
                    </a:prstGeom>
                    <a:ln>
                      <a:noFill/>
                    </a:ln>
                    <a:extLst>
                      <a:ext uri="{53640926-AAD7-44D8-BBD7-CCE9431645EC}">
                        <a14:shadowObscured xmlns:a14="http://schemas.microsoft.com/office/drawing/2010/main"/>
                      </a:ext>
                    </a:extLst>
                  </pic:spPr>
                </pic:pic>
              </a:graphicData>
            </a:graphic>
          </wp:inline>
        </w:drawing>
      </w:r>
      <w:r w:rsidR="008B7D10" w:rsidDel="008B7D10">
        <w:rPr>
          <w:noProof/>
        </w:rPr>
        <w:t xml:space="preserve"> </w:t>
      </w:r>
    </w:p>
    <w:p w14:paraId="03452894" w14:textId="77777777" w:rsidR="00F40EFD" w:rsidRPr="00BC2CB8" w:rsidRDefault="00F40EFD" w:rsidP="00C50605">
      <w:pPr>
        <w:rPr>
          <w:lang w:val="lt-LT"/>
        </w:rPr>
      </w:pPr>
    </w:p>
    <w:p w14:paraId="0F326918" w14:textId="3A196B26" w:rsidR="00C50605" w:rsidRPr="00BC2CB8" w:rsidRDefault="00C50605" w:rsidP="00C50605">
      <w:pPr>
        <w:pStyle w:val="Antrat"/>
        <w:rPr>
          <w:szCs w:val="20"/>
          <w:lang w:val="lt-LT"/>
        </w:rPr>
      </w:pPr>
      <w:bookmarkStart w:id="194" w:name="_Toc460321676"/>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95</w:t>
      </w:r>
      <w:r w:rsidRPr="00BC2CB8">
        <w:rPr>
          <w:lang w:val="lt-LT"/>
        </w:rPr>
        <w:fldChar w:fldCharType="end"/>
      </w:r>
      <w:r w:rsidRPr="00BC2CB8">
        <w:rPr>
          <w:lang w:val="lt-LT"/>
        </w:rPr>
        <w:t xml:space="preserve">. Scenarijaus Nr. 5 </w:t>
      </w:r>
      <w:r w:rsidRPr="00BC2CB8">
        <w:rPr>
          <w:szCs w:val="20"/>
          <w:lang w:val="lt-LT"/>
        </w:rPr>
        <w:t>rezultatai:</w:t>
      </w:r>
      <w:bookmarkEnd w:id="194"/>
    </w:p>
    <w:tbl>
      <w:tblPr>
        <w:tblStyle w:val="viesussraas2parykinimas"/>
        <w:tblW w:w="5000" w:type="pct"/>
        <w:tblLook w:val="04A0" w:firstRow="1" w:lastRow="0" w:firstColumn="1" w:lastColumn="0" w:noHBand="0" w:noVBand="1"/>
      </w:tblPr>
      <w:tblGrid>
        <w:gridCol w:w="6651"/>
        <w:gridCol w:w="2591"/>
      </w:tblGrid>
      <w:tr w:rsidR="00C50605" w:rsidRPr="00BC2CB8" w14:paraId="275591B4" w14:textId="77777777" w:rsidTr="00BC2D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1BF68175" w14:textId="77777777" w:rsidR="00C50605" w:rsidRPr="00BC2CB8" w:rsidRDefault="00C50605" w:rsidP="00BC2D48">
            <w:pPr>
              <w:jc w:val="center"/>
              <w:rPr>
                <w:rFonts w:ascii="Georgia" w:hAnsi="Georgia"/>
                <w:sz w:val="20"/>
                <w:szCs w:val="20"/>
              </w:rPr>
            </w:pPr>
            <w:r w:rsidRPr="00BC2CB8">
              <w:rPr>
                <w:rFonts w:ascii="Georgia" w:hAnsi="Georgia"/>
                <w:sz w:val="20"/>
                <w:szCs w:val="20"/>
              </w:rPr>
              <w:t>Fondas</w:t>
            </w:r>
          </w:p>
        </w:tc>
        <w:tc>
          <w:tcPr>
            <w:tcW w:w="1402" w:type="pct"/>
          </w:tcPr>
          <w:p w14:paraId="5AD137C6" w14:textId="77777777" w:rsidR="00C50605" w:rsidRPr="00BC2CB8" w:rsidRDefault="00C50605" w:rsidP="00BC2D48">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mln. eurų</w:t>
            </w:r>
          </w:p>
        </w:tc>
      </w:tr>
      <w:tr w:rsidR="00C50605" w:rsidRPr="00BC2CB8" w14:paraId="2F307546" w14:textId="77777777" w:rsidTr="00BC2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18C37A03" w14:textId="77777777" w:rsidR="00C50605" w:rsidRPr="00BC2CB8" w:rsidRDefault="00C50605" w:rsidP="00BC2D48">
            <w:pPr>
              <w:rPr>
                <w:rFonts w:ascii="Georgia" w:hAnsi="Georgia"/>
                <w:sz w:val="20"/>
                <w:szCs w:val="20"/>
              </w:rPr>
            </w:pPr>
            <w:r w:rsidRPr="00BC2CB8">
              <w:rPr>
                <w:rFonts w:ascii="Georgia" w:hAnsi="Georgia"/>
                <w:sz w:val="20"/>
                <w:szCs w:val="20"/>
              </w:rPr>
              <w:t>Galutinius naudos gavėjus pasiekusios lėšos</w:t>
            </w:r>
          </w:p>
        </w:tc>
        <w:tc>
          <w:tcPr>
            <w:tcW w:w="1402" w:type="pct"/>
          </w:tcPr>
          <w:p w14:paraId="1E2C93D8" w14:textId="7B5D4B0D" w:rsidR="00C50605" w:rsidRPr="007C22AB" w:rsidRDefault="0047041F" w:rsidP="00CD01C4">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70.3</w:t>
            </w:r>
          </w:p>
        </w:tc>
      </w:tr>
      <w:tr w:rsidR="00C50605" w:rsidRPr="00BC2CB8" w14:paraId="06774E65" w14:textId="77777777" w:rsidTr="00BC2D48">
        <w:tc>
          <w:tcPr>
            <w:cnfStyle w:val="001000000000" w:firstRow="0" w:lastRow="0" w:firstColumn="1" w:lastColumn="0" w:oddVBand="0" w:evenVBand="0" w:oddHBand="0" w:evenHBand="0" w:firstRowFirstColumn="0" w:firstRowLastColumn="0" w:lastRowFirstColumn="0" w:lastRowLastColumn="0"/>
            <w:tcW w:w="3598" w:type="pct"/>
          </w:tcPr>
          <w:p w14:paraId="710FD3EC" w14:textId="77777777" w:rsidR="00C50605" w:rsidRPr="00BC2CB8" w:rsidRDefault="00C50605" w:rsidP="00BC2D48">
            <w:pPr>
              <w:rPr>
                <w:rFonts w:ascii="Georgia" w:hAnsi="Georgia"/>
                <w:sz w:val="20"/>
                <w:szCs w:val="20"/>
              </w:rPr>
            </w:pPr>
            <w:r w:rsidRPr="00BC2CB8">
              <w:rPr>
                <w:rFonts w:ascii="Georgia" w:hAnsi="Georgia"/>
                <w:sz w:val="20"/>
                <w:szCs w:val="20"/>
              </w:rPr>
              <w:t>Iki 2022 m. renovuotų pastatų skaičius</w:t>
            </w:r>
          </w:p>
        </w:tc>
        <w:tc>
          <w:tcPr>
            <w:tcW w:w="1402" w:type="pct"/>
          </w:tcPr>
          <w:p w14:paraId="0741E83E" w14:textId="5A039904" w:rsidR="00C50605" w:rsidRPr="007C22AB" w:rsidRDefault="0047041F" w:rsidP="008B7D10">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219</w:t>
            </w:r>
          </w:p>
        </w:tc>
      </w:tr>
      <w:tr w:rsidR="00C50605" w:rsidRPr="00BC2CB8" w14:paraId="4894B04F" w14:textId="77777777" w:rsidTr="00BC2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2A073130" w14:textId="77777777" w:rsidR="00C50605" w:rsidRPr="00BC2CB8" w:rsidRDefault="00C50605" w:rsidP="00BC2D48">
            <w:pPr>
              <w:rPr>
                <w:rFonts w:ascii="Georgia" w:hAnsi="Georgia"/>
                <w:sz w:val="20"/>
                <w:szCs w:val="20"/>
              </w:rPr>
            </w:pPr>
            <w:r w:rsidRPr="00BC2CB8">
              <w:rPr>
                <w:rFonts w:ascii="Georgia" w:hAnsi="Georgia"/>
                <w:sz w:val="20"/>
                <w:szCs w:val="20"/>
              </w:rPr>
              <w:t>Iki 2022 m. renovuotų pastatų plotas, tūkst. kv. m.</w:t>
            </w:r>
          </w:p>
        </w:tc>
        <w:tc>
          <w:tcPr>
            <w:tcW w:w="1402" w:type="pct"/>
          </w:tcPr>
          <w:p w14:paraId="70F6D6A0" w14:textId="69DD9687" w:rsidR="00C50605" w:rsidRPr="00DA65C2" w:rsidRDefault="0047041F" w:rsidP="00CD01C4">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lang w:val="en-US"/>
              </w:rPr>
            </w:pPr>
            <w:r>
              <w:rPr>
                <w:rFonts w:ascii="Georgia" w:hAnsi="Georgia"/>
                <w:sz w:val="20"/>
                <w:szCs w:val="20"/>
              </w:rPr>
              <w:t>246.8</w:t>
            </w:r>
          </w:p>
        </w:tc>
      </w:tr>
    </w:tbl>
    <w:p w14:paraId="0B3CAE07" w14:textId="77777777" w:rsidR="00280058" w:rsidRPr="00DF3A8E" w:rsidRDefault="00280058" w:rsidP="00280058">
      <w:pPr>
        <w:rPr>
          <w:rFonts w:ascii="Georgia" w:hAnsi="Georgia"/>
          <w:u w:val="single"/>
          <w:lang w:val="lt-LT"/>
        </w:rPr>
      </w:pPr>
      <w:r w:rsidRPr="00DF3A8E">
        <w:rPr>
          <w:rFonts w:ascii="Georgia" w:hAnsi="Georgia"/>
          <w:u w:val="single"/>
          <w:lang w:val="lt-LT"/>
        </w:rPr>
        <w:br w:type="page"/>
      </w:r>
    </w:p>
    <w:p w14:paraId="31ED0887" w14:textId="77777777" w:rsidR="00280058" w:rsidRPr="00BE7647" w:rsidRDefault="002C12CB" w:rsidP="00C03122">
      <w:pPr>
        <w:pStyle w:val="Antrat2"/>
        <w:numPr>
          <w:ilvl w:val="3"/>
          <w:numId w:val="2"/>
        </w:numPr>
        <w:rPr>
          <w:lang w:val="lt-LT"/>
        </w:rPr>
      </w:pPr>
      <w:bookmarkStart w:id="195" w:name="_Toc399924055"/>
      <w:bookmarkStart w:id="196" w:name="_Toc402352629"/>
      <w:bookmarkStart w:id="197" w:name="_Toc417378391"/>
      <w:r w:rsidRPr="00BE7647">
        <w:rPr>
          <w:lang w:val="lt-LT"/>
        </w:rPr>
        <w:lastRenderedPageBreak/>
        <w:t xml:space="preserve">Centrinės valdžios </w:t>
      </w:r>
      <w:r>
        <w:rPr>
          <w:lang w:val="lt-LT"/>
        </w:rPr>
        <w:t xml:space="preserve">viešieji </w:t>
      </w:r>
      <w:r w:rsidRPr="00BE7647">
        <w:rPr>
          <w:lang w:val="lt-LT"/>
        </w:rPr>
        <w:t>pastatai</w:t>
      </w:r>
      <w:bookmarkEnd w:id="195"/>
      <w:bookmarkEnd w:id="196"/>
      <w:bookmarkEnd w:id="197"/>
    </w:p>
    <w:p w14:paraId="6D6CEF8B" w14:textId="77777777" w:rsidR="00280058" w:rsidRDefault="00280058" w:rsidP="00280058">
      <w:pPr>
        <w:jc w:val="both"/>
        <w:rPr>
          <w:rFonts w:ascii="Georgia" w:hAnsi="Georgia"/>
          <w:sz w:val="20"/>
          <w:szCs w:val="20"/>
          <w:lang w:val="lt-LT"/>
        </w:rPr>
      </w:pPr>
    </w:p>
    <w:p w14:paraId="072E92CC" w14:textId="77777777" w:rsidR="00280058" w:rsidRPr="00BC2CB8" w:rsidRDefault="00280058" w:rsidP="00280058">
      <w:pPr>
        <w:jc w:val="both"/>
        <w:rPr>
          <w:rFonts w:ascii="Georgia" w:hAnsi="Georgia"/>
          <w:sz w:val="20"/>
          <w:szCs w:val="20"/>
          <w:lang w:val="lt-LT"/>
        </w:rPr>
      </w:pPr>
      <w:r w:rsidRPr="00BC2CB8">
        <w:rPr>
          <w:rFonts w:ascii="Georgia" w:hAnsi="Georgia"/>
          <w:sz w:val="20"/>
          <w:szCs w:val="20"/>
          <w:lang w:val="lt-LT"/>
        </w:rPr>
        <w:t xml:space="preserve">Centrinės valdžios pastatams renovuoti tiesioginis paskolų teikimas yra apribotas teisinių aplinkybių, kadangi biudžetinės įstaigos negali skolintis savo vardu. Centrinės valdžios vardu paskolas imti gali tik Finansų ministerija, todėl siekiant to išvengti yra siūlomi scenarijai, kai paskolos suteikiamos per ESCO įmones arba, kai nėra teisinių apribojimų (pavyzdžiui, viešosioms įstaigoms) paskolos teikiamos tiesiogiai galutiniams naudos gavėjams. </w:t>
      </w:r>
    </w:p>
    <w:p w14:paraId="20C253C9" w14:textId="58361002" w:rsidR="00280058" w:rsidRPr="00BC2CB8" w:rsidRDefault="002D1FD0" w:rsidP="00280058">
      <w:pPr>
        <w:jc w:val="both"/>
        <w:rPr>
          <w:rFonts w:ascii="Georgia" w:hAnsi="Georgia"/>
          <w:sz w:val="20"/>
          <w:szCs w:val="20"/>
          <w:lang w:val="lt-LT"/>
        </w:rPr>
      </w:pPr>
      <w:r>
        <w:rPr>
          <w:rFonts w:ascii="Georgia" w:hAnsi="Georgia"/>
          <w:sz w:val="20"/>
          <w:szCs w:val="20"/>
          <w:lang w:val="lt-LT"/>
        </w:rPr>
        <w:t>Š</w:t>
      </w:r>
      <w:r w:rsidR="00280058" w:rsidRPr="00BC2CB8">
        <w:rPr>
          <w:rFonts w:ascii="Georgia" w:hAnsi="Georgia"/>
          <w:sz w:val="20"/>
          <w:szCs w:val="20"/>
          <w:lang w:val="lt-LT"/>
        </w:rPr>
        <w:t xml:space="preserve">ioje ex ante dalyje modeliuojami pridėtinės vertės skaičiavimai darant prielaidą, kad ESI fondų lėšos, skiriamos projektų finansavimui, </w:t>
      </w:r>
      <w:r>
        <w:rPr>
          <w:rFonts w:ascii="Georgia" w:hAnsi="Georgia"/>
          <w:sz w:val="20"/>
          <w:szCs w:val="20"/>
          <w:lang w:val="lt-LT"/>
        </w:rPr>
        <w:t>sudarys apie 79,6</w:t>
      </w:r>
      <w:r w:rsidR="00280058" w:rsidRPr="00BC2CB8">
        <w:rPr>
          <w:rFonts w:ascii="Georgia" w:hAnsi="Georgia"/>
          <w:sz w:val="20"/>
          <w:szCs w:val="20"/>
          <w:lang w:val="lt-LT"/>
        </w:rPr>
        <w:t xml:space="preserve"> mln. </w:t>
      </w:r>
      <w:r>
        <w:rPr>
          <w:rFonts w:ascii="Georgia" w:hAnsi="Georgia"/>
          <w:sz w:val="20"/>
          <w:szCs w:val="20"/>
          <w:lang w:val="lt-LT"/>
        </w:rPr>
        <w:t>eurų</w:t>
      </w:r>
      <w:r w:rsidR="00280058" w:rsidRPr="00BC2CB8">
        <w:rPr>
          <w:rFonts w:ascii="Georgia" w:hAnsi="Georgia"/>
          <w:sz w:val="20"/>
          <w:szCs w:val="20"/>
          <w:lang w:val="lt-LT"/>
        </w:rPr>
        <w:t xml:space="preserve">. </w:t>
      </w:r>
      <w:r>
        <w:rPr>
          <w:rFonts w:ascii="Georgia" w:hAnsi="Georgia"/>
          <w:sz w:val="20"/>
          <w:szCs w:val="20"/>
          <w:lang w:val="lt-LT"/>
        </w:rPr>
        <w:t>Pažymėtina, kad skyrus daugiau arba mažiau lėšų, atitinkamai padidės arba sumažės</w:t>
      </w:r>
      <w:r w:rsidR="003E7034">
        <w:rPr>
          <w:rFonts w:ascii="Georgia" w:hAnsi="Georgia"/>
          <w:sz w:val="20"/>
          <w:szCs w:val="20"/>
          <w:lang w:val="lt-LT"/>
        </w:rPr>
        <w:t xml:space="preserve"> rezultatas.</w:t>
      </w:r>
    </w:p>
    <w:p w14:paraId="5A14F7EC" w14:textId="77777777" w:rsidR="00280058" w:rsidRPr="00BC2CB8" w:rsidRDefault="00280058" w:rsidP="00280058">
      <w:pPr>
        <w:jc w:val="both"/>
        <w:rPr>
          <w:rFonts w:ascii="Georgia" w:hAnsi="Georgia"/>
          <w:sz w:val="20"/>
          <w:lang w:val="lt-LT"/>
        </w:rPr>
      </w:pPr>
      <w:r w:rsidRPr="00BC2CB8">
        <w:rPr>
          <w:rFonts w:ascii="Georgia" w:hAnsi="Georgia"/>
          <w:sz w:val="20"/>
          <w:lang w:val="lt-LT"/>
        </w:rPr>
        <w:t>Šiame ex ante vertinime bus nagrinėjami šie viešųjų pastatų modernizavimo finansinės priemonės įgyvendinimo scenarijai:</w:t>
      </w:r>
    </w:p>
    <w:p w14:paraId="7177F186" w14:textId="77777777" w:rsidR="00280058" w:rsidRPr="00BC2CB8" w:rsidRDefault="00280058" w:rsidP="00C03122">
      <w:pPr>
        <w:pStyle w:val="Sraopastraipa"/>
        <w:numPr>
          <w:ilvl w:val="0"/>
          <w:numId w:val="34"/>
        </w:numPr>
        <w:jc w:val="both"/>
        <w:rPr>
          <w:rFonts w:ascii="Georgia" w:hAnsi="Georgia"/>
          <w:i/>
          <w:sz w:val="20"/>
          <w:szCs w:val="20"/>
          <w:lang w:val="lt-LT"/>
        </w:rPr>
      </w:pPr>
      <w:r w:rsidRPr="00BC2CB8">
        <w:rPr>
          <w:rFonts w:ascii="Georgia" w:hAnsi="Georgia"/>
          <w:i/>
          <w:sz w:val="20"/>
          <w:szCs w:val="20"/>
          <w:lang w:val="lt-LT"/>
        </w:rPr>
        <w:t xml:space="preserve">Scenarijus Nr. 1: Lengvatinių paskolų teikimas </w:t>
      </w:r>
    </w:p>
    <w:p w14:paraId="217984E3" w14:textId="77777777" w:rsidR="00280058" w:rsidRPr="00BC2CB8" w:rsidRDefault="00280058" w:rsidP="00C03122">
      <w:pPr>
        <w:pStyle w:val="Sraopastraipa"/>
        <w:numPr>
          <w:ilvl w:val="0"/>
          <w:numId w:val="34"/>
        </w:numPr>
        <w:jc w:val="both"/>
        <w:rPr>
          <w:rFonts w:ascii="Georgia" w:hAnsi="Georgia"/>
          <w:i/>
          <w:sz w:val="20"/>
          <w:szCs w:val="20"/>
          <w:lang w:val="lt-LT"/>
        </w:rPr>
      </w:pPr>
      <w:r w:rsidRPr="00BC2CB8">
        <w:rPr>
          <w:rFonts w:ascii="Georgia" w:hAnsi="Georgia"/>
          <w:i/>
          <w:sz w:val="20"/>
          <w:szCs w:val="20"/>
          <w:lang w:val="lt-LT"/>
        </w:rPr>
        <w:t>Scenarijus Nr. 2: Lengvatinių paskolų teikimas su galimybe išpirkti ateities finansinius srautus</w:t>
      </w:r>
    </w:p>
    <w:p w14:paraId="4DEBBED2" w14:textId="77777777" w:rsidR="00280058" w:rsidRPr="00BC2CB8" w:rsidRDefault="00280058" w:rsidP="00C03122">
      <w:pPr>
        <w:pStyle w:val="Sraopastraipa"/>
        <w:numPr>
          <w:ilvl w:val="0"/>
          <w:numId w:val="34"/>
        </w:numPr>
        <w:jc w:val="both"/>
        <w:rPr>
          <w:rFonts w:ascii="Georgia" w:hAnsi="Georgia"/>
          <w:i/>
          <w:sz w:val="20"/>
          <w:szCs w:val="20"/>
          <w:lang w:val="lt-LT"/>
        </w:rPr>
      </w:pPr>
      <w:r w:rsidRPr="00BC2CB8">
        <w:rPr>
          <w:rFonts w:ascii="Georgia" w:hAnsi="Georgia"/>
          <w:i/>
          <w:sz w:val="20"/>
          <w:szCs w:val="20"/>
          <w:lang w:val="lt-LT"/>
        </w:rPr>
        <w:t>Scenarijus Nr. 3: Dalis finansinės priemonės lėšų nukreipiama į paskolų priemonę ir dalis į garantijų priemonę</w:t>
      </w:r>
    </w:p>
    <w:p w14:paraId="68046DA1" w14:textId="77777777" w:rsidR="00280058" w:rsidRPr="00BC2CB8" w:rsidRDefault="00280058" w:rsidP="00C03122">
      <w:pPr>
        <w:pStyle w:val="Sraopastraipa"/>
        <w:numPr>
          <w:ilvl w:val="0"/>
          <w:numId w:val="34"/>
        </w:numPr>
        <w:jc w:val="both"/>
        <w:rPr>
          <w:rFonts w:ascii="Georgia" w:hAnsi="Georgia"/>
          <w:i/>
          <w:sz w:val="20"/>
          <w:szCs w:val="20"/>
          <w:lang w:val="lt-LT"/>
        </w:rPr>
      </w:pPr>
      <w:r w:rsidRPr="00BC2CB8">
        <w:rPr>
          <w:rFonts w:ascii="Georgia" w:hAnsi="Georgia"/>
          <w:i/>
          <w:sz w:val="20"/>
          <w:szCs w:val="20"/>
          <w:lang w:val="lt-LT"/>
        </w:rPr>
        <w:t>Scenarijus Nr. 4: Dalis finansinės priemonės lėšų nukreipiama į paskolų priemonę ir dalis į garantijų priemonę su galimybe išpirkti ateities finansinius srautus</w:t>
      </w:r>
    </w:p>
    <w:p w14:paraId="0CEEB68C" w14:textId="77777777" w:rsidR="00280058" w:rsidRPr="00BC2CB8" w:rsidRDefault="00280058" w:rsidP="00C03122">
      <w:pPr>
        <w:pStyle w:val="Sraopastraipa"/>
        <w:numPr>
          <w:ilvl w:val="0"/>
          <w:numId w:val="34"/>
        </w:numPr>
        <w:jc w:val="both"/>
        <w:rPr>
          <w:rFonts w:ascii="Georgia" w:hAnsi="Georgia"/>
          <w:i/>
          <w:sz w:val="20"/>
          <w:szCs w:val="20"/>
          <w:lang w:val="lt-LT"/>
        </w:rPr>
      </w:pPr>
      <w:r w:rsidRPr="00BC2CB8">
        <w:rPr>
          <w:rFonts w:ascii="Georgia" w:hAnsi="Georgia"/>
          <w:i/>
          <w:sz w:val="20"/>
          <w:szCs w:val="20"/>
          <w:lang w:val="lt-LT"/>
        </w:rPr>
        <w:t>Scenarijus Nr. 5: ESI fondų lėšos nukreipiamos fondo pirmojo nuostolio padengimo kapitalui suformuoti</w:t>
      </w:r>
    </w:p>
    <w:p w14:paraId="3CDDD268" w14:textId="77777777" w:rsidR="00280058" w:rsidRPr="00BC2CB8" w:rsidRDefault="00280058" w:rsidP="00C03122">
      <w:pPr>
        <w:pStyle w:val="Sraopastraipa"/>
        <w:numPr>
          <w:ilvl w:val="0"/>
          <w:numId w:val="34"/>
        </w:numPr>
        <w:jc w:val="both"/>
        <w:rPr>
          <w:rFonts w:ascii="Georgia" w:hAnsi="Georgia"/>
          <w:i/>
          <w:sz w:val="20"/>
          <w:szCs w:val="20"/>
          <w:lang w:val="lt-LT"/>
        </w:rPr>
      </w:pPr>
      <w:r w:rsidRPr="00BC2CB8">
        <w:rPr>
          <w:rFonts w:ascii="Georgia" w:hAnsi="Georgia"/>
          <w:i/>
          <w:sz w:val="20"/>
          <w:szCs w:val="20"/>
          <w:lang w:val="lt-LT"/>
        </w:rPr>
        <w:t>Scenarijus Nr. 6: Lengvatinių paskolų teikimas, kai bankai finansinio tarpininko lygmenyje dalyvauja ir savo lėšomis, su galimybe išpirkti ateities finansinius srautus</w:t>
      </w:r>
    </w:p>
    <w:p w14:paraId="24DDA671" w14:textId="77777777" w:rsidR="00280058" w:rsidRPr="00BC2CB8" w:rsidRDefault="00280058" w:rsidP="00C03122">
      <w:pPr>
        <w:pStyle w:val="Sraopastraipa"/>
        <w:numPr>
          <w:ilvl w:val="0"/>
          <w:numId w:val="34"/>
        </w:numPr>
        <w:jc w:val="both"/>
        <w:rPr>
          <w:rFonts w:ascii="Georgia" w:hAnsi="Georgia"/>
          <w:i/>
          <w:sz w:val="20"/>
          <w:szCs w:val="20"/>
          <w:lang w:val="lt-LT"/>
        </w:rPr>
      </w:pPr>
      <w:r w:rsidRPr="00BC2CB8">
        <w:rPr>
          <w:rFonts w:ascii="Georgia" w:hAnsi="Georgia"/>
          <w:i/>
          <w:sz w:val="20"/>
          <w:szCs w:val="20"/>
          <w:lang w:val="lt-LT"/>
        </w:rPr>
        <w:t>Scenarijus Nr. 7: Finansinės priemonės lėšos nukreipiamos garantijų priemonei</w:t>
      </w:r>
    </w:p>
    <w:p w14:paraId="6646FB8A" w14:textId="2E5AEAAF" w:rsidR="00280058" w:rsidRPr="00BC2CB8" w:rsidRDefault="00280058" w:rsidP="00280058">
      <w:pPr>
        <w:jc w:val="both"/>
        <w:rPr>
          <w:rFonts w:ascii="Georgia" w:hAnsi="Georgia"/>
          <w:sz w:val="20"/>
          <w:szCs w:val="20"/>
          <w:lang w:val="lt-LT"/>
        </w:rPr>
      </w:pPr>
      <w:r w:rsidRPr="00BC2CB8">
        <w:rPr>
          <w:rFonts w:ascii="Georgia" w:hAnsi="Georgia"/>
          <w:sz w:val="20"/>
          <w:szCs w:val="20"/>
          <w:lang w:val="lt-LT"/>
        </w:rPr>
        <w:t xml:space="preserve">Subsidijos poreikio analizėje (4.1.1.2 punkte) nustatyta, jog viešųjų pastatų modernizavimo projektams reikalinga papildoma 20 proc. subsidija. Atsižvelgiant į tai, kad papildomų išteklių, iš kurių galėtų būti numatyta teikti 20 proc. subsidiją, valstybės biudžete nėra, subsidija galėtų būti teikiama </w:t>
      </w:r>
      <w:r w:rsidR="002D1FD0">
        <w:rPr>
          <w:rFonts w:ascii="Georgia" w:hAnsi="Georgia"/>
          <w:sz w:val="20"/>
          <w:szCs w:val="20"/>
          <w:lang w:val="lt-LT"/>
        </w:rPr>
        <w:t>tokiu atveju, jei atsirastų lėšų šaltinis galintis užtikrinti tokios paramos galimybę</w:t>
      </w:r>
      <w:r w:rsidRPr="00BC2CB8">
        <w:rPr>
          <w:rFonts w:ascii="Georgia" w:hAnsi="Georgia"/>
          <w:sz w:val="20"/>
          <w:szCs w:val="20"/>
          <w:lang w:val="lt-LT"/>
        </w:rPr>
        <w:t>.</w:t>
      </w:r>
      <w:r w:rsidR="002D1FD0">
        <w:rPr>
          <w:rFonts w:ascii="Georgia" w:hAnsi="Georgia"/>
          <w:sz w:val="20"/>
          <w:szCs w:val="20"/>
          <w:lang w:val="lt-LT"/>
        </w:rPr>
        <w:t xml:space="preserve"> Pažymėtina, jog fondų fondo ar finansinės priemonės valdytojas arba finansinis tarpininkas turės įvertinti kiekvieno projekto gyvybingumą teikia</w:t>
      </w:r>
      <w:r w:rsidR="003E7034">
        <w:rPr>
          <w:rFonts w:ascii="Georgia" w:hAnsi="Georgia"/>
          <w:sz w:val="20"/>
          <w:szCs w:val="20"/>
          <w:lang w:val="lt-LT"/>
        </w:rPr>
        <w:t>nt</w:t>
      </w:r>
      <w:r w:rsidR="002D1FD0">
        <w:rPr>
          <w:rFonts w:ascii="Georgia" w:hAnsi="Georgia"/>
          <w:sz w:val="20"/>
          <w:szCs w:val="20"/>
          <w:lang w:val="lt-LT"/>
        </w:rPr>
        <w:t xml:space="preserve"> finansinės priemonės lėšas, o galutiniai naudos gavėjai (centrinės valdžios pastatų valdytojai</w:t>
      </w:r>
      <w:r w:rsidR="003C3CFF" w:rsidRPr="003C3CFF">
        <w:rPr>
          <w:rFonts w:ascii="Georgia" w:hAnsi="Georgia"/>
          <w:sz w:val="20"/>
          <w:szCs w:val="20"/>
          <w:lang w:val="lt-LT"/>
        </w:rPr>
        <w:t>, kurių nuosavybės, patikėjimo ar panaudos teise valdomi pastatai yra renovuojami pasinaudojant finansinės priemonės lėšomis</w:t>
      </w:r>
      <w:r w:rsidR="002D1FD0">
        <w:rPr>
          <w:rFonts w:ascii="Georgia" w:hAnsi="Georgia"/>
          <w:sz w:val="20"/>
          <w:szCs w:val="20"/>
          <w:lang w:val="lt-LT"/>
        </w:rPr>
        <w:t xml:space="preserve">) galimai turės </w:t>
      </w:r>
      <w:r w:rsidR="003E7034">
        <w:rPr>
          <w:rFonts w:ascii="Georgia" w:hAnsi="Georgia"/>
          <w:sz w:val="20"/>
          <w:szCs w:val="20"/>
          <w:lang w:val="lt-LT"/>
        </w:rPr>
        <w:t xml:space="preserve">papildomai </w:t>
      </w:r>
      <w:r w:rsidR="002D1FD0">
        <w:rPr>
          <w:rFonts w:ascii="Georgia" w:hAnsi="Georgia"/>
          <w:sz w:val="20"/>
          <w:szCs w:val="20"/>
          <w:lang w:val="lt-LT"/>
        </w:rPr>
        <w:t>prisidėti savo lėšomis siekiant pastatų modernizavimo projektų įgyvendinimo.</w:t>
      </w:r>
    </w:p>
    <w:p w14:paraId="4C2CC9B4" w14:textId="77777777" w:rsidR="00280058" w:rsidRPr="00BC2CB8" w:rsidRDefault="00280058" w:rsidP="00280058">
      <w:pPr>
        <w:jc w:val="both"/>
        <w:rPr>
          <w:rFonts w:ascii="Georgia" w:hAnsi="Georgia"/>
          <w:sz w:val="20"/>
          <w:lang w:val="lt-LT"/>
        </w:rPr>
      </w:pPr>
      <w:r w:rsidRPr="00BC2CB8">
        <w:rPr>
          <w:rFonts w:ascii="Georgia" w:hAnsi="Georgia"/>
          <w:sz w:val="20"/>
          <w:lang w:val="lt-LT"/>
        </w:rPr>
        <w:t>Toliau detaliai nagrinėjami identifikuoti finansinės priemonės veiklos scenarijai.</w:t>
      </w:r>
    </w:p>
    <w:p w14:paraId="6D42DFCC" w14:textId="77777777" w:rsidR="00280058" w:rsidRPr="00BC2CB8" w:rsidRDefault="00280058" w:rsidP="00280058">
      <w:pPr>
        <w:jc w:val="both"/>
        <w:rPr>
          <w:rFonts w:ascii="Georgia" w:hAnsi="Georgia"/>
          <w:sz w:val="20"/>
          <w:szCs w:val="20"/>
          <w:lang w:val="lt-LT"/>
        </w:rPr>
      </w:pPr>
    </w:p>
    <w:p w14:paraId="3990740B" w14:textId="77777777" w:rsidR="00280058" w:rsidRPr="00BC2CB8" w:rsidRDefault="00280058" w:rsidP="00C03122">
      <w:pPr>
        <w:pStyle w:val="Sraopastraipa"/>
        <w:numPr>
          <w:ilvl w:val="0"/>
          <w:numId w:val="34"/>
        </w:numPr>
        <w:rPr>
          <w:rFonts w:ascii="Georgia" w:hAnsi="Georgia"/>
          <w:b/>
          <w:i/>
          <w:sz w:val="20"/>
          <w:szCs w:val="20"/>
          <w:lang w:val="lt-LT"/>
        </w:rPr>
      </w:pPr>
      <w:r w:rsidRPr="00BC2CB8">
        <w:rPr>
          <w:rFonts w:ascii="Georgia" w:hAnsi="Georgia"/>
          <w:b/>
          <w:i/>
          <w:sz w:val="20"/>
          <w:szCs w:val="20"/>
          <w:lang w:val="lt-LT"/>
        </w:rPr>
        <w:t>Scenarijus Nr. 1: Lengvatinių paskolų teikimas</w:t>
      </w:r>
    </w:p>
    <w:p w14:paraId="75C0A93A" w14:textId="38EFBDEE" w:rsidR="00280058" w:rsidRPr="00BC2CB8" w:rsidRDefault="00280058" w:rsidP="00280058">
      <w:pPr>
        <w:jc w:val="both"/>
        <w:rPr>
          <w:rFonts w:ascii="Georgia" w:hAnsi="Georgia"/>
          <w:sz w:val="20"/>
          <w:szCs w:val="20"/>
          <w:lang w:val="lt-LT"/>
        </w:rPr>
      </w:pPr>
      <w:r w:rsidRPr="00BC2CB8">
        <w:rPr>
          <w:rFonts w:ascii="Georgia" w:hAnsi="Georgia"/>
          <w:sz w:val="20"/>
          <w:szCs w:val="20"/>
          <w:lang w:val="lt-LT"/>
        </w:rPr>
        <w:t xml:space="preserve">Energetikos ministerijos pateiktais duomenimis viešųjų pastatų renovacijai planuojama skirti 79,6mln. eurų 2014-2020 m. ES lėšų. Šiame scenarijuje nagrinėjama paskolų finansinė priemonė su </w:t>
      </w:r>
      <w:r w:rsidR="00234582">
        <w:rPr>
          <w:rFonts w:ascii="Georgia" w:hAnsi="Georgia"/>
          <w:sz w:val="20"/>
          <w:szCs w:val="20"/>
          <w:lang w:val="lt-LT"/>
        </w:rPr>
        <w:t>2</w:t>
      </w:r>
      <w:r w:rsidRPr="00BC2CB8">
        <w:rPr>
          <w:rFonts w:ascii="Georgia" w:hAnsi="Georgia"/>
          <w:sz w:val="20"/>
          <w:szCs w:val="20"/>
          <w:lang w:val="lt-LT"/>
        </w:rPr>
        <w:t xml:space="preserve"> % palūkanomis. </w:t>
      </w:r>
    </w:p>
    <w:p w14:paraId="7181F62C" w14:textId="203A31B4" w:rsidR="00280058" w:rsidRPr="00BC2CB8" w:rsidRDefault="00E95099" w:rsidP="00C83DB2">
      <w:pPr>
        <w:ind w:right="282"/>
        <w:jc w:val="center"/>
        <w:rPr>
          <w:rFonts w:ascii="Georgia" w:hAnsi="Georgia"/>
          <w:sz w:val="20"/>
          <w:szCs w:val="20"/>
          <w:lang w:val="lt-LT"/>
        </w:rPr>
      </w:pPr>
      <w:r>
        <w:rPr>
          <w:rFonts w:ascii="Georgia" w:hAnsi="Georgia"/>
          <w:noProof/>
          <w:sz w:val="20"/>
          <w:szCs w:val="20"/>
          <w:lang w:val="lt-LT" w:eastAsia="lt-LT"/>
        </w:rPr>
        <w:lastRenderedPageBreak/>
        <w:drawing>
          <wp:inline distT="0" distB="0" distL="0" distR="0" wp14:anchorId="0D5B4825" wp14:editId="01EB5D2E">
            <wp:extent cx="5413248" cy="188976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ESCO Nr. 1.jpg"/>
                    <pic:cNvPicPr/>
                  </pic:nvPicPr>
                  <pic:blipFill>
                    <a:blip r:embed="rId72" cstate="screen">
                      <a:extLst>
                        <a:ext uri="{28A0092B-C50C-407E-A947-70E740481C1C}">
                          <a14:useLocalDpi xmlns:a14="http://schemas.microsoft.com/office/drawing/2010/main"/>
                        </a:ext>
                      </a:extLst>
                    </a:blip>
                    <a:stretch>
                      <a:fillRect/>
                    </a:stretch>
                  </pic:blipFill>
                  <pic:spPr>
                    <a:xfrm>
                      <a:off x="0" y="0"/>
                      <a:ext cx="5413248" cy="1889760"/>
                    </a:xfrm>
                    <a:prstGeom prst="rect">
                      <a:avLst/>
                    </a:prstGeom>
                  </pic:spPr>
                </pic:pic>
              </a:graphicData>
            </a:graphic>
          </wp:inline>
        </w:drawing>
      </w:r>
    </w:p>
    <w:p w14:paraId="21CDED33" w14:textId="6002C182" w:rsidR="00280058" w:rsidRPr="00BC2CB8" w:rsidRDefault="00280058" w:rsidP="00280058">
      <w:pPr>
        <w:pStyle w:val="Antrat"/>
        <w:rPr>
          <w:szCs w:val="20"/>
          <w:lang w:val="lt-LT"/>
        </w:rPr>
      </w:pPr>
      <w:bookmarkStart w:id="198" w:name="_Toc417378311"/>
      <w:r w:rsidRPr="00BC2CB8">
        <w:rPr>
          <w:lang w:val="lt-LT"/>
        </w:rPr>
        <w:t xml:space="preserve">Paveikslas </w:t>
      </w:r>
      <w:r w:rsidRPr="00BC2CB8">
        <w:rPr>
          <w:lang w:val="lt-LT"/>
        </w:rPr>
        <w:fldChar w:fldCharType="begin"/>
      </w:r>
      <w:r w:rsidRPr="00BC2CB8">
        <w:rPr>
          <w:lang w:val="lt-LT"/>
        </w:rPr>
        <w:instrText xml:space="preserve"> SEQ Paveikslas \* ARABIC </w:instrText>
      </w:r>
      <w:r w:rsidRPr="00BC2CB8">
        <w:rPr>
          <w:lang w:val="lt-LT"/>
        </w:rPr>
        <w:fldChar w:fldCharType="separate"/>
      </w:r>
      <w:r w:rsidR="00AA3082">
        <w:rPr>
          <w:noProof/>
          <w:lang w:val="lt-LT"/>
        </w:rPr>
        <w:t>34</w:t>
      </w:r>
      <w:r w:rsidRPr="00BC2CB8">
        <w:rPr>
          <w:lang w:val="lt-LT"/>
        </w:rPr>
        <w:fldChar w:fldCharType="end"/>
      </w:r>
      <w:r w:rsidRPr="00BC2CB8">
        <w:rPr>
          <w:lang w:val="lt-LT"/>
        </w:rPr>
        <w:t>. Viešųjų pastatų scenarijaus Nr. 1 schema.</w:t>
      </w:r>
      <w:bookmarkEnd w:id="198"/>
    </w:p>
    <w:p w14:paraId="741170B3" w14:textId="7C3BF618" w:rsidR="00280058" w:rsidRPr="00BC2CB8" w:rsidRDefault="00280058" w:rsidP="00280058">
      <w:pPr>
        <w:jc w:val="both"/>
        <w:rPr>
          <w:rFonts w:ascii="Georgia" w:hAnsi="Georgia"/>
          <w:sz w:val="20"/>
          <w:szCs w:val="20"/>
          <w:lang w:val="lt-LT"/>
        </w:rPr>
      </w:pPr>
      <w:r w:rsidRPr="00BC2CB8">
        <w:rPr>
          <w:rFonts w:ascii="Georgia" w:hAnsi="Georgia"/>
          <w:sz w:val="20"/>
          <w:szCs w:val="20"/>
          <w:lang w:val="lt-LT"/>
        </w:rPr>
        <w:t xml:space="preserve">Tolimesniuose skaičiavimuose daroma prielaida, kad per pirmus metus bus renovuoti </w:t>
      </w:r>
      <w:r w:rsidR="00CC608A">
        <w:rPr>
          <w:rFonts w:ascii="Georgia" w:hAnsi="Georgia"/>
          <w:sz w:val="20"/>
          <w:szCs w:val="20"/>
          <w:lang w:val="lt-LT"/>
        </w:rPr>
        <w:t>2</w:t>
      </w:r>
      <w:r w:rsidRPr="00BC2CB8">
        <w:rPr>
          <w:rFonts w:ascii="Georgia" w:hAnsi="Georgia"/>
          <w:sz w:val="20"/>
          <w:szCs w:val="20"/>
          <w:lang w:val="lt-LT"/>
        </w:rPr>
        <w:t xml:space="preserve">0 tipinių viešųjų pastatų, o susiformavus rinkai (patirčiai), kiekvienais sekančiais metais šis skaičius galėtų siekti apie </w:t>
      </w:r>
      <w:r w:rsidR="00CC608A">
        <w:rPr>
          <w:rFonts w:ascii="Georgia" w:hAnsi="Georgia"/>
          <w:sz w:val="20"/>
          <w:szCs w:val="20"/>
          <w:lang w:val="lt-LT"/>
        </w:rPr>
        <w:t>90</w:t>
      </w:r>
      <w:r w:rsidR="00CC608A" w:rsidRPr="00BC2CB8">
        <w:rPr>
          <w:rFonts w:ascii="Georgia" w:hAnsi="Georgia"/>
          <w:sz w:val="20"/>
          <w:szCs w:val="20"/>
          <w:lang w:val="lt-LT"/>
        </w:rPr>
        <w:t xml:space="preserve"> </w:t>
      </w:r>
      <w:r w:rsidRPr="00BC2CB8">
        <w:rPr>
          <w:rFonts w:ascii="Georgia" w:hAnsi="Georgia"/>
          <w:sz w:val="20"/>
          <w:szCs w:val="20"/>
          <w:lang w:val="lt-LT"/>
        </w:rPr>
        <w:t>centrinės valdžios viešųjų pastatų renovacijos projektų per metus.</w:t>
      </w:r>
    </w:p>
    <w:p w14:paraId="5C1D858D" w14:textId="6496C46C" w:rsidR="00280058" w:rsidRPr="00BC2CB8" w:rsidRDefault="00280058" w:rsidP="00280058">
      <w:pPr>
        <w:pStyle w:val="Antrat"/>
        <w:rPr>
          <w:szCs w:val="20"/>
          <w:lang w:val="lt-LT"/>
        </w:rPr>
      </w:pPr>
      <w:bookmarkStart w:id="199" w:name="_Toc460321677"/>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96</w:t>
      </w:r>
      <w:r w:rsidRPr="00BC2CB8">
        <w:rPr>
          <w:lang w:val="lt-LT"/>
        </w:rPr>
        <w:fldChar w:fldCharType="end"/>
      </w:r>
      <w:r w:rsidRPr="00BC2CB8">
        <w:rPr>
          <w:lang w:val="lt-LT"/>
        </w:rPr>
        <w:t xml:space="preserve">. </w:t>
      </w:r>
      <w:r w:rsidRPr="00BC2CB8">
        <w:rPr>
          <w:szCs w:val="20"/>
          <w:lang w:val="lt-LT"/>
        </w:rPr>
        <w:t>Scenarijaus Nr. 1 prielaidos</w:t>
      </w:r>
      <w:bookmarkEnd w:id="199"/>
    </w:p>
    <w:tbl>
      <w:tblPr>
        <w:tblStyle w:val="viesussraas2parykinimas"/>
        <w:tblW w:w="5000" w:type="pct"/>
        <w:tblLook w:val="04A0" w:firstRow="1" w:lastRow="0" w:firstColumn="1" w:lastColumn="0" w:noHBand="0" w:noVBand="1"/>
      </w:tblPr>
      <w:tblGrid>
        <w:gridCol w:w="2536"/>
        <w:gridCol w:w="6706"/>
      </w:tblGrid>
      <w:tr w:rsidR="00280058" w:rsidRPr="00BC2CB8" w14:paraId="61B26DF8" w14:textId="77777777" w:rsidTr="00C83DB2">
        <w:trPr>
          <w:cnfStyle w:val="100000000000" w:firstRow="1" w:lastRow="0" w:firstColumn="0" w:lastColumn="0" w:oddVBand="0" w:evenVBand="0" w:oddHBand="0" w:evenHBand="0" w:firstRowFirstColumn="0" w:firstRowLastColumn="0" w:lastRowFirstColumn="0" w:lastRowLastColumn="0"/>
          <w:cantSplit/>
          <w:trHeight w:val="107"/>
          <w:tblHeader/>
        </w:trPr>
        <w:tc>
          <w:tcPr>
            <w:cnfStyle w:val="001000000000" w:firstRow="0" w:lastRow="0" w:firstColumn="1" w:lastColumn="0" w:oddVBand="0" w:evenVBand="0" w:oddHBand="0" w:evenHBand="0" w:firstRowFirstColumn="0" w:firstRowLastColumn="0" w:lastRowFirstColumn="0" w:lastRowLastColumn="0"/>
            <w:tcW w:w="1372" w:type="pct"/>
            <w:tcBorders>
              <w:bottom w:val="single" w:sz="8" w:space="0" w:color="C0504D" w:themeColor="accent2"/>
            </w:tcBorders>
          </w:tcPr>
          <w:p w14:paraId="73995C3E" w14:textId="77777777" w:rsidR="00280058" w:rsidRPr="00BC2CB8" w:rsidRDefault="00280058" w:rsidP="00C83DB2">
            <w:pPr>
              <w:jc w:val="center"/>
              <w:rPr>
                <w:rFonts w:ascii="Georgia" w:hAnsi="Georgia"/>
                <w:sz w:val="20"/>
                <w:szCs w:val="20"/>
              </w:rPr>
            </w:pPr>
            <w:r w:rsidRPr="00BC2CB8">
              <w:rPr>
                <w:rFonts w:ascii="Georgia" w:hAnsi="Georgia"/>
                <w:sz w:val="20"/>
                <w:szCs w:val="20"/>
              </w:rPr>
              <w:t>Prielaidos</w:t>
            </w:r>
          </w:p>
        </w:tc>
        <w:tc>
          <w:tcPr>
            <w:tcW w:w="3628" w:type="pct"/>
            <w:tcBorders>
              <w:bottom w:val="single" w:sz="8" w:space="0" w:color="C0504D" w:themeColor="accent2"/>
            </w:tcBorders>
          </w:tcPr>
          <w:p w14:paraId="5D74B78C" w14:textId="77777777" w:rsidR="00280058" w:rsidRPr="00BC2CB8" w:rsidRDefault="00280058" w:rsidP="00C83DB2">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Komentaras</w:t>
            </w:r>
          </w:p>
        </w:tc>
      </w:tr>
      <w:tr w:rsidR="00280058" w:rsidRPr="00BC2CB8" w14:paraId="55E43403" w14:textId="77777777" w:rsidTr="00C83DB2">
        <w:trPr>
          <w:cnfStyle w:val="000000100000" w:firstRow="0" w:lastRow="0" w:firstColumn="0" w:lastColumn="0" w:oddVBand="0" w:evenVBand="0" w:oddHBand="1" w:evenHBand="0" w:firstRowFirstColumn="0" w:firstRowLastColumn="0" w:lastRowFirstColumn="0" w:lastRowLastColumn="0"/>
          <w:cantSplit/>
          <w:trHeight w:val="220"/>
        </w:trPr>
        <w:tc>
          <w:tcPr>
            <w:cnfStyle w:val="001000000000" w:firstRow="0" w:lastRow="0" w:firstColumn="1" w:lastColumn="0" w:oddVBand="0" w:evenVBand="0" w:oddHBand="0" w:evenHBand="0" w:firstRowFirstColumn="0" w:firstRowLastColumn="0" w:lastRowFirstColumn="0" w:lastRowLastColumn="0"/>
            <w:tcW w:w="1372" w:type="pct"/>
            <w:tcBorders>
              <w:top w:val="single" w:sz="6" w:space="0" w:color="C0504D" w:themeColor="accent2"/>
              <w:right w:val="single" w:sz="6" w:space="0" w:color="C0504D" w:themeColor="accent2"/>
            </w:tcBorders>
          </w:tcPr>
          <w:p w14:paraId="1531A374" w14:textId="77777777" w:rsidR="00280058" w:rsidRPr="00BC2CB8" w:rsidRDefault="00280058" w:rsidP="00BB18F6">
            <w:pPr>
              <w:rPr>
                <w:rFonts w:ascii="Georgia" w:hAnsi="Georgia"/>
                <w:b w:val="0"/>
                <w:sz w:val="20"/>
                <w:szCs w:val="20"/>
              </w:rPr>
            </w:pPr>
            <w:r w:rsidRPr="00BC2CB8">
              <w:rPr>
                <w:rFonts w:ascii="Georgia" w:hAnsi="Georgia"/>
                <w:sz w:val="20"/>
                <w:szCs w:val="20"/>
              </w:rPr>
              <w:t>Paskolos laikotarpis: iki 20 metų</w:t>
            </w:r>
          </w:p>
        </w:tc>
        <w:tc>
          <w:tcPr>
            <w:tcW w:w="3628" w:type="pct"/>
            <w:tcBorders>
              <w:top w:val="single" w:sz="6" w:space="0" w:color="C0504D" w:themeColor="accent2"/>
              <w:left w:val="single" w:sz="6" w:space="0" w:color="C0504D" w:themeColor="accent2"/>
            </w:tcBorders>
          </w:tcPr>
          <w:p w14:paraId="2C58633F" w14:textId="77777777"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Maksimalus paskolos sutarties terminas yra 20 metų. </w:t>
            </w:r>
          </w:p>
        </w:tc>
      </w:tr>
      <w:tr w:rsidR="00280058" w:rsidRPr="00BC2CB8" w14:paraId="66513724" w14:textId="77777777" w:rsidTr="00C83DB2">
        <w:trPr>
          <w:cantSplit/>
          <w:trHeight w:val="213"/>
        </w:trPr>
        <w:tc>
          <w:tcPr>
            <w:cnfStyle w:val="001000000000" w:firstRow="0" w:lastRow="0" w:firstColumn="1" w:lastColumn="0" w:oddVBand="0" w:evenVBand="0" w:oddHBand="0" w:evenHBand="0" w:firstRowFirstColumn="0" w:firstRowLastColumn="0" w:lastRowFirstColumn="0" w:lastRowLastColumn="0"/>
            <w:tcW w:w="1372" w:type="pct"/>
            <w:tcBorders>
              <w:top w:val="single" w:sz="6" w:space="0" w:color="C0504D" w:themeColor="accent2"/>
              <w:right w:val="single" w:sz="6" w:space="0" w:color="C0504D" w:themeColor="accent2"/>
            </w:tcBorders>
          </w:tcPr>
          <w:p w14:paraId="5D65D906" w14:textId="77777777" w:rsidR="00280058" w:rsidRPr="00BC2CB8" w:rsidRDefault="00280058" w:rsidP="00BB18F6">
            <w:pPr>
              <w:rPr>
                <w:rFonts w:ascii="Georgia" w:hAnsi="Georgia"/>
                <w:b w:val="0"/>
                <w:sz w:val="20"/>
                <w:szCs w:val="20"/>
              </w:rPr>
            </w:pPr>
            <w:r w:rsidRPr="00BC2CB8">
              <w:rPr>
                <w:rFonts w:ascii="Georgia" w:hAnsi="Georgia"/>
                <w:sz w:val="20"/>
                <w:szCs w:val="20"/>
              </w:rPr>
              <w:t>Blogų paskolų dalis: 5 %</w:t>
            </w:r>
          </w:p>
        </w:tc>
        <w:tc>
          <w:tcPr>
            <w:tcW w:w="3628" w:type="pct"/>
            <w:tcBorders>
              <w:top w:val="single" w:sz="6" w:space="0" w:color="C0504D" w:themeColor="accent2"/>
              <w:left w:val="single" w:sz="6" w:space="0" w:color="C0504D" w:themeColor="accent2"/>
            </w:tcBorders>
          </w:tcPr>
          <w:p w14:paraId="27439253" w14:textId="77777777"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Blogų paskolų dalis buvo nustatyta remiantis ekspertų ir komercinių bankų vertinimu. Be to, ši prielaida atitinka PwC studijoje nustatytą dydį.</w:t>
            </w:r>
          </w:p>
        </w:tc>
      </w:tr>
      <w:tr w:rsidR="00280058" w:rsidRPr="00BC2CB8" w14:paraId="0BF7B180" w14:textId="77777777" w:rsidTr="00C83DB2">
        <w:trPr>
          <w:cnfStyle w:val="000000100000" w:firstRow="0" w:lastRow="0" w:firstColumn="0" w:lastColumn="0" w:oddVBand="0" w:evenVBand="0" w:oddHBand="1" w:evenHBand="0" w:firstRowFirstColumn="0" w:firstRowLastColumn="0" w:lastRowFirstColumn="0" w:lastRowLastColumn="0"/>
          <w:cantSplit/>
          <w:trHeight w:val="547"/>
        </w:trPr>
        <w:tc>
          <w:tcPr>
            <w:cnfStyle w:val="001000000000" w:firstRow="0" w:lastRow="0" w:firstColumn="1" w:lastColumn="0" w:oddVBand="0" w:evenVBand="0" w:oddHBand="0" w:evenHBand="0" w:firstRowFirstColumn="0" w:firstRowLastColumn="0" w:lastRowFirstColumn="0" w:lastRowLastColumn="0"/>
            <w:tcW w:w="1372" w:type="pct"/>
            <w:tcBorders>
              <w:top w:val="single" w:sz="6" w:space="0" w:color="C0504D" w:themeColor="accent2"/>
              <w:right w:val="single" w:sz="6" w:space="0" w:color="C0504D" w:themeColor="accent2"/>
            </w:tcBorders>
          </w:tcPr>
          <w:p w14:paraId="54BD5ABC" w14:textId="77777777" w:rsidR="00280058" w:rsidRPr="00BC2CB8" w:rsidRDefault="00280058" w:rsidP="00BB18F6">
            <w:pPr>
              <w:rPr>
                <w:rFonts w:ascii="Georgia" w:hAnsi="Georgia"/>
                <w:b w:val="0"/>
                <w:sz w:val="20"/>
                <w:szCs w:val="20"/>
              </w:rPr>
            </w:pPr>
            <w:r w:rsidRPr="00BC2CB8">
              <w:rPr>
                <w:rFonts w:ascii="Georgia" w:hAnsi="Georgia"/>
                <w:sz w:val="20"/>
                <w:szCs w:val="20"/>
              </w:rPr>
              <w:t>Tipinio viešojo pastato projekto investicijų vertė: 228 000 eurų</w:t>
            </w:r>
          </w:p>
        </w:tc>
        <w:tc>
          <w:tcPr>
            <w:tcW w:w="3628" w:type="pct"/>
            <w:tcBorders>
              <w:top w:val="single" w:sz="6" w:space="0" w:color="C0504D" w:themeColor="accent2"/>
              <w:left w:val="single" w:sz="6" w:space="0" w:color="C0504D" w:themeColor="accent2"/>
            </w:tcBorders>
          </w:tcPr>
          <w:p w14:paraId="7F4EC565" w14:textId="77777777"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Vidutinė tipinio viešojo pastato renovacijos kaina buvo nustatyta remiantis vidutinio viešojo pastato plotu ir pastato renovacijos kaštais vienam kvadratiniam metrui. Vidutinis pastato plotas paskaičiuotas remiantis Registrų centro duomenimis 2.1.1. skyriuje, o viešojo pastato renovacijos kaštai numatyti </w:t>
            </w:r>
            <w:r w:rsidRPr="00BC2CB8">
              <w:rPr>
                <w:rFonts w:ascii="Georgia" w:hAnsi="Georgia"/>
                <w:bCs/>
                <w:sz w:val="20"/>
                <w:szCs w:val="20"/>
              </w:rPr>
              <w:t>Viešųjų pastatų energinio efektyvumo didinimo programos projekte</w:t>
            </w:r>
            <w:r w:rsidRPr="00BC2CB8">
              <w:rPr>
                <w:rStyle w:val="Puslapioinaosnuoroda"/>
                <w:rFonts w:ascii="Georgia" w:hAnsi="Georgia"/>
                <w:bCs/>
                <w:sz w:val="20"/>
                <w:szCs w:val="20"/>
              </w:rPr>
              <w:footnoteReference w:id="115"/>
            </w:r>
            <w:r w:rsidRPr="00BC2CB8">
              <w:rPr>
                <w:rFonts w:ascii="Georgia" w:hAnsi="Georgia"/>
                <w:bCs/>
                <w:sz w:val="20"/>
                <w:szCs w:val="20"/>
              </w:rPr>
              <w:t xml:space="preserve"> ir sudaro 202,7 </w:t>
            </w:r>
            <w:r w:rsidRPr="00BC2CB8">
              <w:rPr>
                <w:rFonts w:ascii="Georgia" w:hAnsi="Georgia"/>
                <w:sz w:val="20"/>
                <w:szCs w:val="20"/>
              </w:rPr>
              <w:t>eurų</w:t>
            </w:r>
            <w:r w:rsidRPr="00BC2CB8" w:rsidDel="00334CC9">
              <w:rPr>
                <w:rFonts w:ascii="Georgia" w:hAnsi="Georgia"/>
                <w:bCs/>
                <w:sz w:val="20"/>
                <w:szCs w:val="20"/>
              </w:rPr>
              <w:t xml:space="preserve"> </w:t>
            </w:r>
            <w:r w:rsidRPr="00BC2CB8">
              <w:rPr>
                <w:rFonts w:ascii="Georgia" w:hAnsi="Georgia"/>
                <w:bCs/>
                <w:sz w:val="20"/>
                <w:szCs w:val="20"/>
              </w:rPr>
              <w:t>/m</w:t>
            </w:r>
            <w:r w:rsidRPr="00BC2CB8">
              <w:rPr>
                <w:rFonts w:ascii="Georgia" w:hAnsi="Georgia"/>
                <w:bCs/>
                <w:sz w:val="20"/>
                <w:szCs w:val="20"/>
                <w:vertAlign w:val="superscript"/>
              </w:rPr>
              <w:t>2</w:t>
            </w:r>
            <w:r w:rsidRPr="00BC2CB8">
              <w:rPr>
                <w:rFonts w:ascii="Georgia" w:hAnsi="Georgia"/>
                <w:bCs/>
                <w:sz w:val="20"/>
                <w:szCs w:val="20"/>
              </w:rPr>
              <w:t>.</w:t>
            </w:r>
          </w:p>
        </w:tc>
      </w:tr>
      <w:tr w:rsidR="00280058" w:rsidRPr="00BC2CB8" w14:paraId="3E483D60" w14:textId="77777777" w:rsidTr="00C83DB2">
        <w:trPr>
          <w:cantSplit/>
          <w:trHeight w:val="434"/>
        </w:trPr>
        <w:tc>
          <w:tcPr>
            <w:cnfStyle w:val="001000000000" w:firstRow="0" w:lastRow="0" w:firstColumn="1" w:lastColumn="0" w:oddVBand="0" w:evenVBand="0" w:oddHBand="0" w:evenHBand="0" w:firstRowFirstColumn="0" w:firstRowLastColumn="0" w:lastRowFirstColumn="0" w:lastRowLastColumn="0"/>
            <w:tcW w:w="1372" w:type="pct"/>
            <w:tcBorders>
              <w:top w:val="single" w:sz="6" w:space="0" w:color="C0504D" w:themeColor="accent2"/>
              <w:right w:val="single" w:sz="6" w:space="0" w:color="C0504D" w:themeColor="accent2"/>
            </w:tcBorders>
          </w:tcPr>
          <w:p w14:paraId="38612E14" w14:textId="235D016A" w:rsidR="00280058" w:rsidRPr="00BC2CB8" w:rsidRDefault="00280058" w:rsidP="006D6CAB">
            <w:pPr>
              <w:rPr>
                <w:rFonts w:ascii="Georgia" w:hAnsi="Georgia"/>
                <w:b w:val="0"/>
                <w:sz w:val="20"/>
                <w:szCs w:val="20"/>
              </w:rPr>
            </w:pPr>
            <w:r w:rsidRPr="00BC2CB8">
              <w:rPr>
                <w:rFonts w:ascii="Georgia" w:hAnsi="Georgia"/>
                <w:sz w:val="20"/>
                <w:szCs w:val="20"/>
              </w:rPr>
              <w:t xml:space="preserve">Investuojamų ESI fondų lėšų suma į fondą: </w:t>
            </w:r>
            <w:r w:rsidR="006D6CAB">
              <w:rPr>
                <w:rFonts w:ascii="Georgia" w:hAnsi="Georgia"/>
                <w:sz w:val="20"/>
                <w:szCs w:val="20"/>
              </w:rPr>
              <w:t>79,6</w:t>
            </w:r>
            <w:r w:rsidRPr="00BC2CB8">
              <w:rPr>
                <w:rFonts w:ascii="Georgia" w:hAnsi="Georgia"/>
                <w:sz w:val="20"/>
                <w:szCs w:val="20"/>
              </w:rPr>
              <w:t xml:space="preserve"> mln. eurų</w:t>
            </w:r>
          </w:p>
        </w:tc>
        <w:tc>
          <w:tcPr>
            <w:tcW w:w="3628" w:type="pct"/>
            <w:tcBorders>
              <w:top w:val="single" w:sz="6" w:space="0" w:color="C0504D" w:themeColor="accent2"/>
              <w:left w:val="single" w:sz="6" w:space="0" w:color="C0504D" w:themeColor="accent2"/>
            </w:tcBorders>
          </w:tcPr>
          <w:p w14:paraId="2540B40E" w14:textId="3A6D7407" w:rsidR="00280058" w:rsidRPr="00BC2CB8" w:rsidRDefault="00280058" w:rsidP="00E67C77">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Daroma prielaida, jog centrinės valdžios pastatų renovacijai skirtos lėšos – 79,6 mln. eurų – </w:t>
            </w:r>
            <w:r w:rsidR="006D6CAB" w:rsidRPr="00BC2CB8">
              <w:rPr>
                <w:rFonts w:ascii="Georgia" w:hAnsi="Georgia"/>
                <w:sz w:val="20"/>
                <w:szCs w:val="20"/>
              </w:rPr>
              <w:t>b</w:t>
            </w:r>
            <w:r w:rsidR="006D6CAB">
              <w:rPr>
                <w:rFonts w:ascii="Georgia" w:hAnsi="Georgia"/>
                <w:sz w:val="20"/>
                <w:szCs w:val="20"/>
              </w:rPr>
              <w:t>us skirtos paskolų</w:t>
            </w:r>
            <w:r w:rsidR="005B6C13">
              <w:rPr>
                <w:rFonts w:ascii="Georgia" w:hAnsi="Georgia"/>
                <w:sz w:val="20"/>
                <w:szCs w:val="20"/>
              </w:rPr>
              <w:t xml:space="preserve"> </w:t>
            </w:r>
            <w:r w:rsidRPr="00BC2CB8">
              <w:rPr>
                <w:rFonts w:ascii="Georgia" w:hAnsi="Georgia"/>
                <w:sz w:val="20"/>
                <w:szCs w:val="20"/>
              </w:rPr>
              <w:t>finansin</w:t>
            </w:r>
            <w:r w:rsidR="006D6CAB">
              <w:rPr>
                <w:rFonts w:ascii="Georgia" w:hAnsi="Georgia"/>
                <w:sz w:val="20"/>
                <w:szCs w:val="20"/>
              </w:rPr>
              <w:t>ei</w:t>
            </w:r>
            <w:r w:rsidRPr="00BC2CB8">
              <w:rPr>
                <w:rFonts w:ascii="Georgia" w:hAnsi="Georgia"/>
                <w:sz w:val="20"/>
                <w:szCs w:val="20"/>
              </w:rPr>
              <w:t xml:space="preserve"> priemon</w:t>
            </w:r>
            <w:r w:rsidR="006D6CAB">
              <w:rPr>
                <w:rFonts w:ascii="Georgia" w:hAnsi="Georgia"/>
                <w:sz w:val="20"/>
                <w:szCs w:val="20"/>
              </w:rPr>
              <w:t>ei</w:t>
            </w:r>
          </w:p>
        </w:tc>
      </w:tr>
      <w:tr w:rsidR="00280058" w:rsidRPr="00BC2CB8" w14:paraId="6E304115" w14:textId="77777777" w:rsidTr="00C83DB2">
        <w:trPr>
          <w:cnfStyle w:val="000000100000" w:firstRow="0" w:lastRow="0" w:firstColumn="0" w:lastColumn="0" w:oddVBand="0" w:evenVBand="0" w:oddHBand="1" w:evenHBand="0" w:firstRowFirstColumn="0" w:firstRowLastColumn="0" w:lastRowFirstColumn="0" w:lastRowLastColumn="0"/>
          <w:cantSplit/>
          <w:trHeight w:val="107"/>
        </w:trPr>
        <w:tc>
          <w:tcPr>
            <w:cnfStyle w:val="001000000000" w:firstRow="0" w:lastRow="0" w:firstColumn="1" w:lastColumn="0" w:oddVBand="0" w:evenVBand="0" w:oddHBand="0" w:evenHBand="0" w:firstRowFirstColumn="0" w:firstRowLastColumn="0" w:lastRowFirstColumn="0" w:lastRowLastColumn="0"/>
            <w:tcW w:w="1372" w:type="pct"/>
            <w:tcBorders>
              <w:top w:val="single" w:sz="6" w:space="0" w:color="C0504D" w:themeColor="accent2"/>
              <w:right w:val="single" w:sz="6" w:space="0" w:color="C0504D" w:themeColor="accent2"/>
            </w:tcBorders>
          </w:tcPr>
          <w:p w14:paraId="74675FDE" w14:textId="1408F15C" w:rsidR="00280058" w:rsidRPr="00BC2CB8" w:rsidRDefault="00280058" w:rsidP="00BB18F6">
            <w:pPr>
              <w:rPr>
                <w:rFonts w:ascii="Georgia" w:hAnsi="Georgia"/>
                <w:b w:val="0"/>
                <w:sz w:val="20"/>
                <w:szCs w:val="20"/>
              </w:rPr>
            </w:pPr>
            <w:r w:rsidRPr="00BC2CB8">
              <w:rPr>
                <w:rFonts w:ascii="Georgia" w:hAnsi="Georgia"/>
                <w:sz w:val="20"/>
                <w:szCs w:val="20"/>
              </w:rPr>
              <w:t xml:space="preserve">Paskolų palūkanų norma: </w:t>
            </w:r>
            <w:r w:rsidR="00E36FAE">
              <w:rPr>
                <w:rFonts w:ascii="Georgia" w:hAnsi="Georgia"/>
                <w:sz w:val="20"/>
                <w:szCs w:val="20"/>
              </w:rPr>
              <w:t>su iki</w:t>
            </w:r>
            <w:r w:rsidR="00E36FAE" w:rsidRPr="00BC2CB8">
              <w:rPr>
                <w:rFonts w:ascii="Georgia" w:hAnsi="Georgia"/>
                <w:sz w:val="20"/>
                <w:szCs w:val="20"/>
              </w:rPr>
              <w:t xml:space="preserve"> 2 %</w:t>
            </w:r>
            <w:r w:rsidR="00E36FAE">
              <w:rPr>
                <w:rFonts w:ascii="Georgia" w:hAnsi="Georgia"/>
                <w:sz w:val="20"/>
                <w:szCs w:val="20"/>
              </w:rPr>
              <w:t xml:space="preserve"> palūkanų marža</w:t>
            </w:r>
          </w:p>
        </w:tc>
        <w:tc>
          <w:tcPr>
            <w:tcW w:w="3628" w:type="pct"/>
            <w:tcBorders>
              <w:top w:val="single" w:sz="6" w:space="0" w:color="C0504D" w:themeColor="accent2"/>
              <w:left w:val="single" w:sz="6" w:space="0" w:color="C0504D" w:themeColor="accent2"/>
            </w:tcBorders>
          </w:tcPr>
          <w:p w14:paraId="3CD5B93E" w14:textId="06D7E657" w:rsidR="00280058" w:rsidRPr="00BC2CB8" w:rsidRDefault="006D6CAB" w:rsidP="003C5DAD">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Analizės tikslais n</w:t>
            </w:r>
            <w:r w:rsidRPr="00BC2CB8">
              <w:rPr>
                <w:rFonts w:ascii="Georgia" w:hAnsi="Georgia"/>
                <w:sz w:val="20"/>
                <w:szCs w:val="20"/>
              </w:rPr>
              <w:t>ustatomos 2</w:t>
            </w:r>
            <w:r>
              <w:rPr>
                <w:rFonts w:ascii="Georgia" w:hAnsi="Georgia"/>
                <w:sz w:val="20"/>
                <w:szCs w:val="20"/>
              </w:rPr>
              <w:t xml:space="preserve"> </w:t>
            </w:r>
            <w:r w:rsidRPr="00BC2CB8">
              <w:rPr>
                <w:rFonts w:ascii="Georgia" w:hAnsi="Georgia"/>
                <w:sz w:val="20"/>
                <w:szCs w:val="20"/>
              </w:rPr>
              <w:t xml:space="preserve">% </w:t>
            </w:r>
            <w:r>
              <w:rPr>
                <w:rFonts w:ascii="Georgia" w:hAnsi="Georgia"/>
                <w:sz w:val="20"/>
                <w:szCs w:val="20"/>
              </w:rPr>
              <w:t xml:space="preserve">metinės </w:t>
            </w:r>
            <w:r w:rsidRPr="00BC2CB8">
              <w:rPr>
                <w:rFonts w:ascii="Georgia" w:hAnsi="Georgia"/>
                <w:sz w:val="20"/>
                <w:szCs w:val="20"/>
              </w:rPr>
              <w:t>palūkanos.</w:t>
            </w:r>
            <w:r>
              <w:rPr>
                <w:rFonts w:ascii="Georgia" w:hAnsi="Georgia"/>
                <w:sz w:val="20"/>
                <w:szCs w:val="20"/>
              </w:rPr>
              <w:t xml:space="preserve"> Pradinėje FP stadijoje gali būti nustatomos ir mažesnės palūkanos. Išnaudojus ESI fondų lėšas palūkanos turėtų atitikti FP administravimo ir </w:t>
            </w:r>
            <w:r w:rsidR="003C5DAD">
              <w:rPr>
                <w:rFonts w:ascii="Georgia" w:hAnsi="Georgia"/>
                <w:sz w:val="20"/>
                <w:szCs w:val="20"/>
              </w:rPr>
              <w:t>lėšų</w:t>
            </w:r>
            <w:r>
              <w:rPr>
                <w:rFonts w:ascii="Georgia" w:hAnsi="Georgia"/>
                <w:sz w:val="20"/>
                <w:szCs w:val="20"/>
              </w:rPr>
              <w:t xml:space="preserve"> pritraukimo kainą.</w:t>
            </w:r>
          </w:p>
        </w:tc>
      </w:tr>
      <w:tr w:rsidR="00280058" w:rsidRPr="00BC2CB8" w14:paraId="1A06E077" w14:textId="77777777" w:rsidTr="00C83DB2">
        <w:trPr>
          <w:cantSplit/>
          <w:trHeight w:val="327"/>
        </w:trPr>
        <w:tc>
          <w:tcPr>
            <w:cnfStyle w:val="001000000000" w:firstRow="0" w:lastRow="0" w:firstColumn="1" w:lastColumn="0" w:oddVBand="0" w:evenVBand="0" w:oddHBand="0" w:evenHBand="0" w:firstRowFirstColumn="0" w:firstRowLastColumn="0" w:lastRowFirstColumn="0" w:lastRowLastColumn="0"/>
            <w:tcW w:w="1372" w:type="pct"/>
            <w:tcBorders>
              <w:top w:val="single" w:sz="6" w:space="0" w:color="C0504D" w:themeColor="accent2"/>
              <w:right w:val="single" w:sz="6" w:space="0" w:color="C0504D" w:themeColor="accent2"/>
            </w:tcBorders>
          </w:tcPr>
          <w:p w14:paraId="4C3DC05C" w14:textId="264A3977" w:rsidR="00280058" w:rsidRPr="00BC2CB8" w:rsidRDefault="00280058" w:rsidP="00F7739C">
            <w:pPr>
              <w:rPr>
                <w:rFonts w:ascii="Georgia" w:hAnsi="Georgia"/>
                <w:b w:val="0"/>
                <w:sz w:val="20"/>
                <w:szCs w:val="20"/>
              </w:rPr>
            </w:pPr>
            <w:r w:rsidRPr="00BC2CB8">
              <w:rPr>
                <w:rFonts w:ascii="Georgia" w:hAnsi="Georgia"/>
                <w:sz w:val="20"/>
              </w:rPr>
              <w:t>Siektinas įgyvendinamų projektų skaičius</w:t>
            </w:r>
            <w:r w:rsidRPr="00BC2CB8">
              <w:rPr>
                <w:rFonts w:ascii="Georgia" w:hAnsi="Georgia"/>
                <w:sz w:val="20"/>
                <w:szCs w:val="20"/>
              </w:rPr>
              <w:t xml:space="preserve"> nuo </w:t>
            </w:r>
            <w:r w:rsidR="006D6CAB" w:rsidRPr="00BC2CB8">
              <w:rPr>
                <w:rFonts w:ascii="Georgia" w:hAnsi="Georgia"/>
                <w:sz w:val="20"/>
                <w:szCs w:val="20"/>
              </w:rPr>
              <w:t>201</w:t>
            </w:r>
            <w:r w:rsidR="006D6CAB">
              <w:rPr>
                <w:rFonts w:ascii="Georgia" w:hAnsi="Georgia"/>
                <w:sz w:val="20"/>
                <w:szCs w:val="20"/>
              </w:rPr>
              <w:t>8</w:t>
            </w:r>
            <w:r w:rsidR="006D6CAB" w:rsidRPr="00BC2CB8">
              <w:rPr>
                <w:rFonts w:ascii="Georgia" w:hAnsi="Georgia"/>
                <w:sz w:val="20"/>
                <w:szCs w:val="20"/>
              </w:rPr>
              <w:t xml:space="preserve"> </w:t>
            </w:r>
            <w:r w:rsidRPr="00BC2CB8">
              <w:rPr>
                <w:rFonts w:ascii="Georgia" w:hAnsi="Georgia"/>
                <w:sz w:val="20"/>
                <w:szCs w:val="20"/>
              </w:rPr>
              <w:t xml:space="preserve">m.:  </w:t>
            </w:r>
            <w:r w:rsidR="00F7739C">
              <w:rPr>
                <w:rFonts w:ascii="Georgia" w:hAnsi="Georgia"/>
                <w:sz w:val="20"/>
                <w:szCs w:val="20"/>
              </w:rPr>
              <w:t>90</w:t>
            </w:r>
            <w:r w:rsidR="00F7739C" w:rsidRPr="00BC2CB8">
              <w:rPr>
                <w:rFonts w:ascii="Georgia" w:hAnsi="Georgia"/>
                <w:sz w:val="20"/>
                <w:szCs w:val="20"/>
              </w:rPr>
              <w:t xml:space="preserve"> </w:t>
            </w:r>
            <w:r w:rsidRPr="00BC2CB8">
              <w:rPr>
                <w:rFonts w:ascii="Georgia" w:hAnsi="Georgia"/>
                <w:sz w:val="20"/>
                <w:szCs w:val="20"/>
              </w:rPr>
              <w:t>projektai</w:t>
            </w:r>
          </w:p>
        </w:tc>
        <w:tc>
          <w:tcPr>
            <w:tcW w:w="3628" w:type="pct"/>
            <w:tcBorders>
              <w:top w:val="single" w:sz="6" w:space="0" w:color="C0504D" w:themeColor="accent2"/>
              <w:left w:val="single" w:sz="6" w:space="0" w:color="C0504D" w:themeColor="accent2"/>
            </w:tcBorders>
          </w:tcPr>
          <w:p w14:paraId="78095B77" w14:textId="19A3CFBE" w:rsidR="00280058" w:rsidRPr="00BC2CB8" w:rsidRDefault="00280058" w:rsidP="00F7739C">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Daroma prielaida, kad nuo </w:t>
            </w:r>
            <w:r w:rsidR="006D6CAB" w:rsidRPr="00BC2CB8">
              <w:rPr>
                <w:rFonts w:ascii="Georgia" w:hAnsi="Georgia"/>
                <w:sz w:val="20"/>
                <w:szCs w:val="20"/>
              </w:rPr>
              <w:t>201</w:t>
            </w:r>
            <w:r w:rsidR="006D6CAB">
              <w:rPr>
                <w:rFonts w:ascii="Georgia" w:hAnsi="Georgia"/>
                <w:sz w:val="20"/>
                <w:szCs w:val="20"/>
              </w:rPr>
              <w:t>8</w:t>
            </w:r>
            <w:r w:rsidR="006D6CAB" w:rsidRPr="00BC2CB8">
              <w:rPr>
                <w:rFonts w:ascii="Georgia" w:hAnsi="Georgia"/>
                <w:sz w:val="20"/>
                <w:szCs w:val="20"/>
              </w:rPr>
              <w:t xml:space="preserve"> </w:t>
            </w:r>
            <w:r w:rsidRPr="00BC2CB8">
              <w:rPr>
                <w:rFonts w:ascii="Georgia" w:hAnsi="Georgia"/>
                <w:sz w:val="20"/>
                <w:szCs w:val="20"/>
              </w:rPr>
              <w:t xml:space="preserve">metų, susiformavus ESCO rinkai, projektų skaičius galėtų siekti apie </w:t>
            </w:r>
            <w:r w:rsidR="00F7739C">
              <w:rPr>
                <w:rFonts w:ascii="Georgia" w:hAnsi="Georgia"/>
                <w:sz w:val="20"/>
                <w:szCs w:val="20"/>
              </w:rPr>
              <w:t>90</w:t>
            </w:r>
            <w:r w:rsidR="00F7739C" w:rsidRPr="00BC2CB8">
              <w:rPr>
                <w:rFonts w:ascii="Georgia" w:hAnsi="Georgia"/>
                <w:sz w:val="20"/>
                <w:szCs w:val="20"/>
              </w:rPr>
              <w:t xml:space="preserve"> tipini</w:t>
            </w:r>
            <w:r w:rsidR="00F7739C">
              <w:rPr>
                <w:rFonts w:ascii="Georgia" w:hAnsi="Georgia"/>
                <w:sz w:val="20"/>
                <w:szCs w:val="20"/>
              </w:rPr>
              <w:t>ų</w:t>
            </w:r>
            <w:r w:rsidR="00F7739C" w:rsidRPr="00BC2CB8">
              <w:rPr>
                <w:rFonts w:ascii="Georgia" w:hAnsi="Georgia"/>
                <w:sz w:val="20"/>
                <w:szCs w:val="20"/>
              </w:rPr>
              <w:t xml:space="preserve"> </w:t>
            </w:r>
            <w:r w:rsidRPr="00BC2CB8">
              <w:rPr>
                <w:rFonts w:ascii="Georgia" w:hAnsi="Georgia"/>
                <w:sz w:val="20"/>
                <w:szCs w:val="20"/>
              </w:rPr>
              <w:t xml:space="preserve">viešųjų pastatų modernizavimo </w:t>
            </w:r>
            <w:r w:rsidR="00F7739C" w:rsidRPr="00BC2CB8">
              <w:rPr>
                <w:rFonts w:ascii="Georgia" w:hAnsi="Georgia"/>
                <w:sz w:val="20"/>
                <w:szCs w:val="20"/>
              </w:rPr>
              <w:t>projekt</w:t>
            </w:r>
            <w:r w:rsidR="00F7739C">
              <w:rPr>
                <w:rFonts w:ascii="Georgia" w:hAnsi="Georgia"/>
                <w:sz w:val="20"/>
                <w:szCs w:val="20"/>
              </w:rPr>
              <w:t xml:space="preserve">ų </w:t>
            </w:r>
            <w:r w:rsidRPr="00BC2CB8">
              <w:rPr>
                <w:rFonts w:ascii="Georgia" w:hAnsi="Georgia"/>
                <w:sz w:val="20"/>
                <w:szCs w:val="20"/>
              </w:rPr>
              <w:t>per metus.</w:t>
            </w:r>
          </w:p>
        </w:tc>
      </w:tr>
      <w:tr w:rsidR="00280058" w:rsidRPr="00BC2CB8" w14:paraId="6403A2CD" w14:textId="77777777" w:rsidTr="00C83DB2">
        <w:trPr>
          <w:cnfStyle w:val="000000100000" w:firstRow="0" w:lastRow="0" w:firstColumn="0" w:lastColumn="0" w:oddVBand="0" w:evenVBand="0" w:oddHBand="1" w:evenHBand="0" w:firstRowFirstColumn="0" w:firstRowLastColumn="0" w:lastRowFirstColumn="0" w:lastRowLastColumn="0"/>
          <w:cantSplit/>
          <w:trHeight w:val="322"/>
        </w:trPr>
        <w:tc>
          <w:tcPr>
            <w:cnfStyle w:val="001000000000" w:firstRow="0" w:lastRow="0" w:firstColumn="1" w:lastColumn="0" w:oddVBand="0" w:evenVBand="0" w:oddHBand="0" w:evenHBand="0" w:firstRowFirstColumn="0" w:firstRowLastColumn="0" w:lastRowFirstColumn="0" w:lastRowLastColumn="0"/>
            <w:tcW w:w="1372" w:type="pct"/>
            <w:tcBorders>
              <w:top w:val="single" w:sz="6" w:space="0" w:color="C0504D" w:themeColor="accent2"/>
              <w:right w:val="single" w:sz="6" w:space="0" w:color="C0504D" w:themeColor="accent2"/>
            </w:tcBorders>
          </w:tcPr>
          <w:p w14:paraId="14DDEF01" w14:textId="77777777" w:rsidR="00280058" w:rsidRPr="00BC2CB8" w:rsidRDefault="00280058" w:rsidP="00BB18F6">
            <w:pPr>
              <w:rPr>
                <w:rFonts w:ascii="Georgia" w:hAnsi="Georgia"/>
                <w:b w:val="0"/>
                <w:sz w:val="20"/>
                <w:szCs w:val="20"/>
              </w:rPr>
            </w:pPr>
            <w:r w:rsidRPr="00BC2CB8">
              <w:rPr>
                <w:rFonts w:ascii="Georgia" w:hAnsi="Georgia"/>
                <w:sz w:val="20"/>
              </w:rPr>
              <w:t>Valdymo mokestis: vadovaujantis Deleguoto reglamento nuostatomis</w:t>
            </w:r>
          </w:p>
        </w:tc>
        <w:tc>
          <w:tcPr>
            <w:tcW w:w="3628" w:type="pct"/>
            <w:tcBorders>
              <w:top w:val="single" w:sz="6" w:space="0" w:color="C0504D" w:themeColor="accent2"/>
              <w:left w:val="single" w:sz="6" w:space="0" w:color="C0504D" w:themeColor="accent2"/>
            </w:tcBorders>
          </w:tcPr>
          <w:p w14:paraId="2126AE91" w14:textId="3C6572FB" w:rsidR="00280058" w:rsidRPr="00BC2CB8" w:rsidRDefault="00280058" w:rsidP="009647A2">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rPr>
              <w:t>Vadovaujantis Deleguoto reglamento nuostatomis, valdymo mokestis susideda iš dviejų dalių: 0,5 proc. bazinis mokestis nuo finansinei priemonei skirtų ir įmokėtų lėšų, 1 proc. mokestis nuo paskolų</w:t>
            </w:r>
            <w:r w:rsidR="009647A2">
              <w:rPr>
                <w:rFonts w:ascii="Georgia" w:hAnsi="Georgia"/>
                <w:sz w:val="20"/>
              </w:rPr>
              <w:t xml:space="preserve"> </w:t>
            </w:r>
            <w:r w:rsidRPr="00BC2CB8">
              <w:rPr>
                <w:rFonts w:ascii="Georgia" w:hAnsi="Georgia"/>
                <w:sz w:val="20"/>
              </w:rPr>
              <w:t>sumos.</w:t>
            </w:r>
          </w:p>
        </w:tc>
      </w:tr>
      <w:tr w:rsidR="00280058" w:rsidRPr="00BC2CB8" w14:paraId="074544CA" w14:textId="77777777" w:rsidTr="00C83DB2">
        <w:trPr>
          <w:cantSplit/>
          <w:trHeight w:val="220"/>
        </w:trPr>
        <w:tc>
          <w:tcPr>
            <w:cnfStyle w:val="001000000000" w:firstRow="0" w:lastRow="0" w:firstColumn="1" w:lastColumn="0" w:oddVBand="0" w:evenVBand="0" w:oddHBand="0" w:evenHBand="0" w:firstRowFirstColumn="0" w:firstRowLastColumn="0" w:lastRowFirstColumn="0" w:lastRowLastColumn="0"/>
            <w:tcW w:w="1372" w:type="pct"/>
            <w:tcBorders>
              <w:top w:val="single" w:sz="6" w:space="0" w:color="C0504D" w:themeColor="accent2"/>
              <w:right w:val="single" w:sz="6" w:space="0" w:color="C0504D" w:themeColor="accent2"/>
            </w:tcBorders>
          </w:tcPr>
          <w:p w14:paraId="7A89802A" w14:textId="77777777" w:rsidR="00280058" w:rsidRPr="00BC2CB8" w:rsidRDefault="00280058" w:rsidP="00BB18F6">
            <w:pPr>
              <w:rPr>
                <w:rFonts w:ascii="Georgia" w:hAnsi="Georgia"/>
                <w:b w:val="0"/>
                <w:sz w:val="20"/>
                <w:szCs w:val="20"/>
              </w:rPr>
            </w:pPr>
            <w:r w:rsidRPr="00BC2CB8">
              <w:rPr>
                <w:rFonts w:ascii="Georgia" w:hAnsi="Georgia"/>
                <w:sz w:val="20"/>
                <w:szCs w:val="20"/>
              </w:rPr>
              <w:t xml:space="preserve">Projekto įgyvendinimo laikotarpis: 1 metai </w:t>
            </w:r>
          </w:p>
        </w:tc>
        <w:tc>
          <w:tcPr>
            <w:tcW w:w="3628" w:type="pct"/>
            <w:tcBorders>
              <w:top w:val="single" w:sz="6" w:space="0" w:color="C0504D" w:themeColor="accent2"/>
              <w:left w:val="single" w:sz="6" w:space="0" w:color="C0504D" w:themeColor="accent2"/>
            </w:tcBorders>
          </w:tcPr>
          <w:p w14:paraId="0806C877" w14:textId="77777777"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tipinio viešojo pastato renovacijos laikas yra 1 metai nuo paskolos sutarties pasirašymo momento.</w:t>
            </w:r>
          </w:p>
        </w:tc>
      </w:tr>
      <w:tr w:rsidR="00280058" w:rsidRPr="00BC2CB8" w14:paraId="1DA78D7B" w14:textId="77777777" w:rsidTr="00C83DB2">
        <w:trPr>
          <w:cnfStyle w:val="000000100000" w:firstRow="0" w:lastRow="0" w:firstColumn="0" w:lastColumn="0" w:oddVBand="0" w:evenVBand="0" w:oddHBand="1" w:evenHBand="0" w:firstRowFirstColumn="0" w:firstRowLastColumn="0" w:lastRowFirstColumn="0" w:lastRowLastColumn="0"/>
          <w:cantSplit/>
          <w:trHeight w:val="439"/>
        </w:trPr>
        <w:tc>
          <w:tcPr>
            <w:cnfStyle w:val="001000000000" w:firstRow="0" w:lastRow="0" w:firstColumn="1" w:lastColumn="0" w:oddVBand="0" w:evenVBand="0" w:oddHBand="0" w:evenHBand="0" w:firstRowFirstColumn="0" w:firstRowLastColumn="0" w:lastRowFirstColumn="0" w:lastRowLastColumn="0"/>
            <w:tcW w:w="1372" w:type="pct"/>
            <w:tcBorders>
              <w:top w:val="single" w:sz="6" w:space="0" w:color="C0504D" w:themeColor="accent2"/>
              <w:right w:val="single" w:sz="6" w:space="0" w:color="C0504D" w:themeColor="accent2"/>
            </w:tcBorders>
          </w:tcPr>
          <w:p w14:paraId="076CBEC5" w14:textId="77777777" w:rsidR="00280058" w:rsidRPr="00BC2CB8" w:rsidRDefault="00280058" w:rsidP="00BB18F6">
            <w:pPr>
              <w:rPr>
                <w:rFonts w:ascii="Georgia" w:hAnsi="Georgia"/>
                <w:b w:val="0"/>
                <w:sz w:val="20"/>
                <w:szCs w:val="20"/>
              </w:rPr>
            </w:pPr>
            <w:r w:rsidRPr="00BC2CB8">
              <w:rPr>
                <w:rFonts w:ascii="Georgia" w:hAnsi="Georgia"/>
                <w:sz w:val="20"/>
              </w:rPr>
              <w:t>Pakartotinai panaudojamos grįžusios lėšos: po 2 metų</w:t>
            </w:r>
          </w:p>
        </w:tc>
        <w:tc>
          <w:tcPr>
            <w:tcW w:w="3628" w:type="pct"/>
            <w:tcBorders>
              <w:top w:val="single" w:sz="6" w:space="0" w:color="C0504D" w:themeColor="accent2"/>
              <w:left w:val="single" w:sz="6" w:space="0" w:color="C0504D" w:themeColor="accent2"/>
            </w:tcBorders>
          </w:tcPr>
          <w:p w14:paraId="71DF46AF" w14:textId="77777777"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rPr>
              <w:t>Daroma prielaida, jog grįžtančios lėšos pakartotinai panaudojamos projektų finansavimui tomis pačiomis sąlygomis po 2 metų.</w:t>
            </w:r>
          </w:p>
        </w:tc>
      </w:tr>
    </w:tbl>
    <w:p w14:paraId="3FEB5C5C" w14:textId="77777777" w:rsidR="00280058" w:rsidRPr="00BC2CB8" w:rsidRDefault="00280058" w:rsidP="00280058">
      <w:pPr>
        <w:ind w:left="360"/>
        <w:rPr>
          <w:rFonts w:ascii="Georgia" w:hAnsi="Georgia"/>
          <w:sz w:val="20"/>
          <w:szCs w:val="20"/>
          <w:lang w:val="lt-LT"/>
        </w:rPr>
      </w:pPr>
    </w:p>
    <w:p w14:paraId="4343037F" w14:textId="546AB827" w:rsidR="00280058" w:rsidRPr="00F7739C" w:rsidRDefault="00280058" w:rsidP="00280058">
      <w:pPr>
        <w:pStyle w:val="Antrat"/>
        <w:jc w:val="both"/>
        <w:rPr>
          <w:szCs w:val="20"/>
          <w:lang w:val="lt-LT"/>
        </w:rPr>
      </w:pPr>
      <w:bookmarkStart w:id="200" w:name="_Toc460321678"/>
      <w:r w:rsidRPr="00F7739C">
        <w:rPr>
          <w:lang w:val="lt-LT"/>
        </w:rPr>
        <w:lastRenderedPageBreak/>
        <w:t xml:space="preserve">Lentelė </w:t>
      </w:r>
      <w:r w:rsidRPr="00F7739C">
        <w:rPr>
          <w:lang w:val="lt-LT"/>
        </w:rPr>
        <w:fldChar w:fldCharType="begin"/>
      </w:r>
      <w:r w:rsidRPr="00F517E7">
        <w:rPr>
          <w:lang w:val="lt-LT"/>
        </w:rPr>
        <w:instrText xml:space="preserve"> SEQ Lentelė \* ARABIC </w:instrText>
      </w:r>
      <w:r w:rsidRPr="00F7739C">
        <w:rPr>
          <w:lang w:val="lt-LT"/>
        </w:rPr>
        <w:fldChar w:fldCharType="separate"/>
      </w:r>
      <w:r w:rsidR="00AA3082">
        <w:rPr>
          <w:noProof/>
          <w:lang w:val="lt-LT"/>
        </w:rPr>
        <w:t>97</w:t>
      </w:r>
      <w:r w:rsidRPr="00F7739C">
        <w:rPr>
          <w:lang w:val="lt-LT"/>
        </w:rPr>
        <w:fldChar w:fldCharType="end"/>
      </w:r>
      <w:r w:rsidRPr="00F7739C">
        <w:rPr>
          <w:lang w:val="lt-LT"/>
        </w:rPr>
        <w:t>. Scenarijaus Nr. 1 įgyvendinimo prognozė</w:t>
      </w:r>
      <w:bookmarkEnd w:id="200"/>
    </w:p>
    <w:p w14:paraId="7CEA0350" w14:textId="2270A8A9" w:rsidR="00280058" w:rsidRPr="00BC2CB8" w:rsidRDefault="00094500" w:rsidP="00280058">
      <w:pPr>
        <w:rPr>
          <w:lang w:val="lt-LT"/>
        </w:rPr>
      </w:pPr>
      <w:r>
        <w:rPr>
          <w:noProof/>
          <w:lang w:val="lt-LT" w:eastAsia="lt-LT"/>
        </w:rPr>
        <w:drawing>
          <wp:inline distT="0" distB="0" distL="0" distR="0" wp14:anchorId="3D6267DB" wp14:editId="0337149B">
            <wp:extent cx="6050943" cy="2743238"/>
            <wp:effectExtent l="0" t="0" r="698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screen">
                      <a:extLst>
                        <a:ext uri="{28A0092B-C50C-407E-A947-70E740481C1C}">
                          <a14:useLocalDpi xmlns:a14="http://schemas.microsoft.com/office/drawing/2010/main"/>
                        </a:ext>
                      </a:extLst>
                    </a:blip>
                    <a:srcRect/>
                    <a:stretch/>
                  </pic:blipFill>
                  <pic:spPr bwMode="auto">
                    <a:xfrm>
                      <a:off x="0" y="0"/>
                      <a:ext cx="6071150" cy="2752399"/>
                    </a:xfrm>
                    <a:prstGeom prst="rect">
                      <a:avLst/>
                    </a:prstGeom>
                    <a:ln>
                      <a:noFill/>
                    </a:ln>
                    <a:extLst>
                      <a:ext uri="{53640926-AAD7-44D8-BBD7-CCE9431645EC}">
                        <a14:shadowObscured xmlns:a14="http://schemas.microsoft.com/office/drawing/2010/main"/>
                      </a:ext>
                    </a:extLst>
                  </pic:spPr>
                </pic:pic>
              </a:graphicData>
            </a:graphic>
          </wp:inline>
        </w:drawing>
      </w:r>
      <w:r w:rsidRPr="00F7739C" w:rsidDel="00E95099">
        <w:rPr>
          <w:noProof/>
        </w:rPr>
        <w:t xml:space="preserve"> </w:t>
      </w:r>
    </w:p>
    <w:p w14:paraId="388E0EA5" w14:textId="46E07E2E" w:rsidR="00280058" w:rsidRPr="00BC2CB8" w:rsidRDefault="00280058" w:rsidP="00280058">
      <w:pPr>
        <w:pStyle w:val="Antrat"/>
        <w:rPr>
          <w:szCs w:val="20"/>
          <w:lang w:val="lt-LT"/>
        </w:rPr>
      </w:pPr>
      <w:bookmarkStart w:id="201" w:name="_Toc460321679"/>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98</w:t>
      </w:r>
      <w:r w:rsidRPr="00BC2CB8">
        <w:rPr>
          <w:lang w:val="lt-LT"/>
        </w:rPr>
        <w:fldChar w:fldCharType="end"/>
      </w:r>
      <w:r w:rsidRPr="00BC2CB8">
        <w:rPr>
          <w:lang w:val="lt-LT"/>
        </w:rPr>
        <w:t xml:space="preserve">. </w:t>
      </w:r>
      <w:r w:rsidRPr="00BC2CB8">
        <w:rPr>
          <w:szCs w:val="20"/>
          <w:lang w:val="lt-LT"/>
        </w:rPr>
        <w:t>Scenarijaus Nr. 1 rezultatai</w:t>
      </w:r>
      <w:bookmarkEnd w:id="201"/>
    </w:p>
    <w:tbl>
      <w:tblPr>
        <w:tblStyle w:val="viesussraas2parykinimas"/>
        <w:tblW w:w="5000" w:type="pct"/>
        <w:tblLook w:val="04A0" w:firstRow="1" w:lastRow="0" w:firstColumn="1" w:lastColumn="0" w:noHBand="0" w:noVBand="1"/>
      </w:tblPr>
      <w:tblGrid>
        <w:gridCol w:w="6651"/>
        <w:gridCol w:w="2591"/>
      </w:tblGrid>
      <w:tr w:rsidR="00280058" w:rsidRPr="00F517E7" w14:paraId="5D7941B8" w14:textId="77777777" w:rsidTr="00BB18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3CD4B013" w14:textId="77777777" w:rsidR="00280058" w:rsidRPr="00F7739C" w:rsidRDefault="00280058" w:rsidP="00BB18F6">
            <w:pPr>
              <w:jc w:val="center"/>
              <w:rPr>
                <w:rFonts w:ascii="Georgia" w:hAnsi="Georgia"/>
                <w:sz w:val="20"/>
                <w:szCs w:val="20"/>
              </w:rPr>
            </w:pPr>
            <w:r w:rsidRPr="00F7739C">
              <w:rPr>
                <w:rFonts w:ascii="Georgia" w:hAnsi="Georgia"/>
                <w:sz w:val="20"/>
                <w:szCs w:val="20"/>
              </w:rPr>
              <w:t>Fondas</w:t>
            </w:r>
          </w:p>
        </w:tc>
        <w:tc>
          <w:tcPr>
            <w:tcW w:w="1402" w:type="pct"/>
          </w:tcPr>
          <w:p w14:paraId="4673A477" w14:textId="77777777" w:rsidR="00280058" w:rsidRPr="00E36FAE" w:rsidRDefault="00280058" w:rsidP="00BB18F6">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E36FAE">
              <w:rPr>
                <w:rFonts w:ascii="Georgia" w:hAnsi="Georgia"/>
                <w:sz w:val="20"/>
                <w:szCs w:val="20"/>
              </w:rPr>
              <w:t>mln. eurų</w:t>
            </w:r>
          </w:p>
        </w:tc>
      </w:tr>
      <w:tr w:rsidR="00280058" w:rsidRPr="00F517E7" w14:paraId="4A69F74D" w14:textId="77777777" w:rsidTr="00BB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0FDB1D8B" w14:textId="77777777" w:rsidR="00280058" w:rsidRPr="00F517E7" w:rsidRDefault="00280058" w:rsidP="00BB18F6">
            <w:pPr>
              <w:rPr>
                <w:rFonts w:ascii="Georgia" w:hAnsi="Georgia"/>
                <w:sz w:val="20"/>
                <w:szCs w:val="20"/>
              </w:rPr>
            </w:pPr>
            <w:r w:rsidRPr="00F517E7">
              <w:rPr>
                <w:rFonts w:ascii="Georgia" w:hAnsi="Georgia"/>
                <w:sz w:val="20"/>
                <w:szCs w:val="20"/>
              </w:rPr>
              <w:t>Galutinius naudos gavėjus pasiekusios lėšos</w:t>
            </w:r>
          </w:p>
        </w:tc>
        <w:tc>
          <w:tcPr>
            <w:tcW w:w="1402" w:type="pct"/>
          </w:tcPr>
          <w:p w14:paraId="64090DF9" w14:textId="728562BC" w:rsidR="00280058" w:rsidRPr="00F7739C" w:rsidRDefault="00F7739C"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7739C">
              <w:rPr>
                <w:rFonts w:ascii="Georgia" w:hAnsi="Georgia"/>
                <w:sz w:val="20"/>
                <w:szCs w:val="20"/>
              </w:rPr>
              <w:t>78,0</w:t>
            </w:r>
          </w:p>
        </w:tc>
      </w:tr>
      <w:tr w:rsidR="00280058" w:rsidRPr="00F517E7" w14:paraId="7DF863E7" w14:textId="77777777" w:rsidTr="00BB18F6">
        <w:tc>
          <w:tcPr>
            <w:cnfStyle w:val="001000000000" w:firstRow="0" w:lastRow="0" w:firstColumn="1" w:lastColumn="0" w:oddVBand="0" w:evenVBand="0" w:oddHBand="0" w:evenHBand="0" w:firstRowFirstColumn="0" w:firstRowLastColumn="0" w:lastRowFirstColumn="0" w:lastRowLastColumn="0"/>
            <w:tcW w:w="3598" w:type="pct"/>
          </w:tcPr>
          <w:p w14:paraId="147B1345" w14:textId="77777777" w:rsidR="00280058" w:rsidRPr="00F517E7" w:rsidRDefault="00280058" w:rsidP="00BB18F6">
            <w:pPr>
              <w:rPr>
                <w:rFonts w:ascii="Georgia" w:hAnsi="Georgia"/>
                <w:sz w:val="20"/>
                <w:szCs w:val="20"/>
              </w:rPr>
            </w:pPr>
            <w:r w:rsidRPr="00F517E7">
              <w:rPr>
                <w:rFonts w:ascii="Georgia" w:hAnsi="Georgia"/>
                <w:sz w:val="20"/>
                <w:szCs w:val="20"/>
              </w:rPr>
              <w:t>Iki 2022 m. renovuotų pastatų skaičius</w:t>
            </w:r>
          </w:p>
        </w:tc>
        <w:tc>
          <w:tcPr>
            <w:tcW w:w="1402" w:type="pct"/>
          </w:tcPr>
          <w:p w14:paraId="509EFA62" w14:textId="0229CE2F" w:rsidR="00280058" w:rsidRPr="00F7739C" w:rsidRDefault="00F7739C" w:rsidP="00BB18F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7739C">
              <w:rPr>
                <w:rFonts w:ascii="Georgia" w:hAnsi="Georgia"/>
                <w:sz w:val="20"/>
                <w:szCs w:val="20"/>
              </w:rPr>
              <w:t>342</w:t>
            </w:r>
          </w:p>
        </w:tc>
      </w:tr>
      <w:tr w:rsidR="00280058" w:rsidRPr="00F517E7" w14:paraId="724C9396" w14:textId="77777777" w:rsidTr="00BB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3D1DA11C" w14:textId="77777777" w:rsidR="00280058" w:rsidRPr="00F517E7" w:rsidRDefault="00280058" w:rsidP="00BB18F6">
            <w:pPr>
              <w:rPr>
                <w:rFonts w:ascii="Georgia" w:hAnsi="Georgia"/>
                <w:sz w:val="20"/>
                <w:szCs w:val="20"/>
              </w:rPr>
            </w:pPr>
            <w:r w:rsidRPr="00F517E7">
              <w:rPr>
                <w:rFonts w:ascii="Georgia" w:hAnsi="Georgia"/>
                <w:sz w:val="20"/>
                <w:szCs w:val="20"/>
              </w:rPr>
              <w:t>Iki 2022 m. Renovuotų pastatų plotas, tūkst. kv. m.</w:t>
            </w:r>
          </w:p>
        </w:tc>
        <w:tc>
          <w:tcPr>
            <w:tcW w:w="1402" w:type="pct"/>
          </w:tcPr>
          <w:p w14:paraId="34BA8351" w14:textId="18D790F5" w:rsidR="00280058" w:rsidRPr="00F7739C" w:rsidRDefault="00F7739C" w:rsidP="00F7739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7739C">
              <w:rPr>
                <w:rFonts w:ascii="Georgia" w:hAnsi="Georgia"/>
                <w:sz w:val="20"/>
                <w:szCs w:val="20"/>
              </w:rPr>
              <w:t>225,4</w:t>
            </w:r>
          </w:p>
        </w:tc>
      </w:tr>
      <w:tr w:rsidR="00280058" w:rsidRPr="00BC2CB8" w14:paraId="2BE14F0D" w14:textId="77777777" w:rsidTr="00BB18F6">
        <w:tc>
          <w:tcPr>
            <w:cnfStyle w:val="001000000000" w:firstRow="0" w:lastRow="0" w:firstColumn="1" w:lastColumn="0" w:oddVBand="0" w:evenVBand="0" w:oddHBand="0" w:evenHBand="0" w:firstRowFirstColumn="0" w:firstRowLastColumn="0" w:lastRowFirstColumn="0" w:lastRowLastColumn="0"/>
            <w:tcW w:w="3598" w:type="pct"/>
          </w:tcPr>
          <w:p w14:paraId="7EC6E789" w14:textId="77777777" w:rsidR="00280058" w:rsidRPr="00F7739C" w:rsidRDefault="00280058" w:rsidP="00BB18F6">
            <w:pPr>
              <w:rPr>
                <w:rFonts w:ascii="Georgia" w:hAnsi="Georgia"/>
                <w:sz w:val="20"/>
                <w:szCs w:val="20"/>
              </w:rPr>
            </w:pPr>
            <w:r w:rsidRPr="00F7739C">
              <w:rPr>
                <w:rFonts w:ascii="Georgia" w:hAnsi="Georgia"/>
                <w:sz w:val="20"/>
                <w:szCs w:val="20"/>
              </w:rPr>
              <w:t>Iki 2020 m. Renovuotų pastatų plotas, tūkst. kv. m.</w:t>
            </w:r>
          </w:p>
        </w:tc>
        <w:tc>
          <w:tcPr>
            <w:tcW w:w="1402" w:type="pct"/>
          </w:tcPr>
          <w:p w14:paraId="2FAD7153" w14:textId="20E0BD1B" w:rsidR="00280058" w:rsidRPr="00F7739C" w:rsidRDefault="00F7739C" w:rsidP="00BB18F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lang w:val="en-US"/>
              </w:rPr>
            </w:pPr>
            <w:r w:rsidRPr="00F7739C">
              <w:rPr>
                <w:rFonts w:ascii="Georgia" w:hAnsi="Georgia"/>
                <w:sz w:val="20"/>
                <w:szCs w:val="20"/>
              </w:rPr>
              <w:t>385,7</w:t>
            </w:r>
          </w:p>
        </w:tc>
      </w:tr>
    </w:tbl>
    <w:p w14:paraId="7DA26DA6" w14:textId="77777777" w:rsidR="00280058" w:rsidRPr="00BC2CB8" w:rsidRDefault="00280058" w:rsidP="00280058">
      <w:pPr>
        <w:ind w:left="360"/>
        <w:rPr>
          <w:rFonts w:ascii="Georgia" w:hAnsi="Georgia"/>
          <w:sz w:val="20"/>
          <w:szCs w:val="20"/>
          <w:lang w:val="lt-LT"/>
        </w:rPr>
      </w:pPr>
    </w:p>
    <w:p w14:paraId="0D7638D3" w14:textId="77777777" w:rsidR="00280058" w:rsidRPr="00BC2CB8" w:rsidRDefault="00280058" w:rsidP="00C03122">
      <w:pPr>
        <w:pStyle w:val="Sraopastraipa"/>
        <w:keepNext/>
        <w:numPr>
          <w:ilvl w:val="0"/>
          <w:numId w:val="34"/>
        </w:numPr>
        <w:ind w:left="714" w:hanging="357"/>
        <w:rPr>
          <w:rFonts w:ascii="Georgia" w:hAnsi="Georgia"/>
          <w:b/>
          <w:i/>
          <w:sz w:val="20"/>
          <w:szCs w:val="20"/>
          <w:lang w:val="lt-LT"/>
        </w:rPr>
      </w:pPr>
      <w:r w:rsidRPr="00BC2CB8">
        <w:rPr>
          <w:rFonts w:ascii="Georgia" w:hAnsi="Georgia"/>
          <w:b/>
          <w:i/>
          <w:sz w:val="20"/>
          <w:szCs w:val="20"/>
          <w:lang w:val="lt-LT"/>
        </w:rPr>
        <w:t>Scenarijus Nr. 2: Lengvatinių paskolų teikimas su galimybe išpirkti ateities finansinius srautus</w:t>
      </w:r>
    </w:p>
    <w:p w14:paraId="0B6EBC1D" w14:textId="68C384D4" w:rsidR="00280058" w:rsidRPr="00BC2CB8" w:rsidRDefault="00F7739C" w:rsidP="00C83DB2">
      <w:pPr>
        <w:keepNext/>
        <w:jc w:val="center"/>
        <w:rPr>
          <w:rFonts w:ascii="Georgia" w:hAnsi="Georgia"/>
          <w:sz w:val="20"/>
          <w:szCs w:val="20"/>
          <w:lang w:val="lt-LT"/>
        </w:rPr>
      </w:pPr>
      <w:r>
        <w:rPr>
          <w:rFonts w:ascii="Georgia" w:hAnsi="Georgia"/>
          <w:noProof/>
          <w:sz w:val="20"/>
          <w:szCs w:val="20"/>
          <w:lang w:val="lt-LT" w:eastAsia="lt-LT"/>
        </w:rPr>
        <w:drawing>
          <wp:inline distT="0" distB="0" distL="0" distR="0" wp14:anchorId="41260049" wp14:editId="69E5CF3A">
            <wp:extent cx="5731510" cy="1401445"/>
            <wp:effectExtent l="0" t="0" r="2540" b="825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ESCO Nr. 2.jpg"/>
                    <pic:cNvPicPr/>
                  </pic:nvPicPr>
                  <pic:blipFill>
                    <a:blip r:embed="rId74" cstate="screen">
                      <a:extLst>
                        <a:ext uri="{28A0092B-C50C-407E-A947-70E740481C1C}">
                          <a14:useLocalDpi xmlns:a14="http://schemas.microsoft.com/office/drawing/2010/main"/>
                        </a:ext>
                      </a:extLst>
                    </a:blip>
                    <a:stretch>
                      <a:fillRect/>
                    </a:stretch>
                  </pic:blipFill>
                  <pic:spPr>
                    <a:xfrm>
                      <a:off x="0" y="0"/>
                      <a:ext cx="5731510" cy="1401445"/>
                    </a:xfrm>
                    <a:prstGeom prst="rect">
                      <a:avLst/>
                    </a:prstGeom>
                  </pic:spPr>
                </pic:pic>
              </a:graphicData>
            </a:graphic>
          </wp:inline>
        </w:drawing>
      </w:r>
    </w:p>
    <w:p w14:paraId="323366A0" w14:textId="100B2708" w:rsidR="00280058" w:rsidRPr="00BC2CB8" w:rsidRDefault="00280058" w:rsidP="00280058">
      <w:pPr>
        <w:pStyle w:val="Antrat"/>
        <w:rPr>
          <w:szCs w:val="20"/>
          <w:lang w:val="lt-LT"/>
        </w:rPr>
      </w:pPr>
      <w:bookmarkStart w:id="202" w:name="_Toc417378312"/>
      <w:r w:rsidRPr="00BC2CB8">
        <w:rPr>
          <w:lang w:val="lt-LT"/>
        </w:rPr>
        <w:t xml:space="preserve">Paveikslas </w:t>
      </w:r>
      <w:r w:rsidRPr="00BC2CB8">
        <w:rPr>
          <w:lang w:val="lt-LT"/>
        </w:rPr>
        <w:fldChar w:fldCharType="begin"/>
      </w:r>
      <w:r w:rsidRPr="00BC2CB8">
        <w:rPr>
          <w:lang w:val="lt-LT"/>
        </w:rPr>
        <w:instrText xml:space="preserve"> SEQ Paveikslas \* ARABIC </w:instrText>
      </w:r>
      <w:r w:rsidRPr="00BC2CB8">
        <w:rPr>
          <w:lang w:val="lt-LT"/>
        </w:rPr>
        <w:fldChar w:fldCharType="separate"/>
      </w:r>
      <w:r w:rsidR="00AA3082">
        <w:rPr>
          <w:noProof/>
          <w:lang w:val="lt-LT"/>
        </w:rPr>
        <w:t>35</w:t>
      </w:r>
      <w:r w:rsidRPr="00BC2CB8">
        <w:rPr>
          <w:lang w:val="lt-LT"/>
        </w:rPr>
        <w:fldChar w:fldCharType="end"/>
      </w:r>
      <w:r w:rsidRPr="00BC2CB8">
        <w:rPr>
          <w:lang w:val="lt-LT"/>
        </w:rPr>
        <w:t>. Viešųjų pastatų scenarijaus Nr. 2 schema.</w:t>
      </w:r>
      <w:bookmarkEnd w:id="202"/>
      <w:r w:rsidRPr="00BC2CB8">
        <w:rPr>
          <w:lang w:val="lt-LT"/>
        </w:rPr>
        <w:t xml:space="preserve"> </w:t>
      </w:r>
    </w:p>
    <w:p w14:paraId="78F4C38A" w14:textId="7EDE588B" w:rsidR="00280058" w:rsidRPr="00BC2CB8" w:rsidRDefault="00280058" w:rsidP="00280058">
      <w:pPr>
        <w:jc w:val="both"/>
        <w:rPr>
          <w:rFonts w:ascii="Georgia" w:hAnsi="Georgia"/>
          <w:sz w:val="20"/>
          <w:szCs w:val="20"/>
          <w:lang w:val="lt-LT"/>
        </w:rPr>
      </w:pPr>
      <w:r w:rsidRPr="00BC2CB8">
        <w:rPr>
          <w:rFonts w:ascii="Georgia" w:hAnsi="Georgia"/>
          <w:sz w:val="20"/>
          <w:szCs w:val="20"/>
          <w:lang w:val="lt-LT"/>
        </w:rPr>
        <w:t xml:space="preserve">Antrame scenarijuje skaičiuojama paskolų finansinė priemonė, kaip ir scenarijuje Nr. 1, tačiau numatoma, jog </w:t>
      </w:r>
      <w:r w:rsidR="00F7739C" w:rsidRPr="00BC2CB8">
        <w:rPr>
          <w:rFonts w:ascii="Georgia" w:hAnsi="Georgia"/>
          <w:sz w:val="20"/>
          <w:szCs w:val="20"/>
          <w:lang w:val="lt-LT"/>
        </w:rPr>
        <w:t>201</w:t>
      </w:r>
      <w:r w:rsidR="00FC52EA">
        <w:rPr>
          <w:rFonts w:ascii="Georgia" w:hAnsi="Georgia"/>
          <w:sz w:val="20"/>
          <w:szCs w:val="20"/>
          <w:lang w:val="lt-LT"/>
        </w:rPr>
        <w:t>9</w:t>
      </w:r>
      <w:r w:rsidR="00F7739C" w:rsidRPr="00BC2CB8">
        <w:rPr>
          <w:rFonts w:ascii="Georgia" w:hAnsi="Georgia"/>
          <w:sz w:val="20"/>
          <w:szCs w:val="20"/>
          <w:lang w:val="lt-LT"/>
        </w:rPr>
        <w:t xml:space="preserve"> </w:t>
      </w:r>
      <w:r w:rsidRPr="00BC2CB8">
        <w:rPr>
          <w:rFonts w:ascii="Georgia" w:hAnsi="Georgia"/>
          <w:sz w:val="20"/>
          <w:szCs w:val="20"/>
          <w:lang w:val="lt-LT"/>
        </w:rPr>
        <w:t>metais veiklą pradės privatus investicinis fondas, kuris išpirktų apie 70 proc. finansinės priemonės paskolų (investiciniam fondui būtų parduodamos gerosios paskolos). Įkūrus investicinį fondą, subsidijos dalis butų skiriama iš lėšų, kurias pervestų naujas investicinis fondas už nupirktas paskolas.</w:t>
      </w:r>
    </w:p>
    <w:p w14:paraId="60FE86E8" w14:textId="2887F314" w:rsidR="00280058" w:rsidRPr="00BC2CB8" w:rsidRDefault="00280058" w:rsidP="00280058">
      <w:pPr>
        <w:pStyle w:val="Antrat"/>
        <w:rPr>
          <w:szCs w:val="20"/>
          <w:lang w:val="lt-LT"/>
        </w:rPr>
      </w:pPr>
      <w:bookmarkStart w:id="203" w:name="_Toc460321680"/>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99</w:t>
      </w:r>
      <w:r w:rsidRPr="00BC2CB8">
        <w:rPr>
          <w:lang w:val="lt-LT"/>
        </w:rPr>
        <w:fldChar w:fldCharType="end"/>
      </w:r>
      <w:r w:rsidRPr="00BC2CB8">
        <w:rPr>
          <w:lang w:val="lt-LT"/>
        </w:rPr>
        <w:t xml:space="preserve">. </w:t>
      </w:r>
      <w:r w:rsidRPr="00BC2CB8">
        <w:rPr>
          <w:szCs w:val="20"/>
          <w:lang w:val="lt-LT"/>
        </w:rPr>
        <w:t>Scenarijaus Nr. 2 Prielaidos</w:t>
      </w:r>
      <w:bookmarkEnd w:id="203"/>
    </w:p>
    <w:tbl>
      <w:tblPr>
        <w:tblStyle w:val="viesussraas2parykinimas"/>
        <w:tblW w:w="5000" w:type="pct"/>
        <w:tblLook w:val="04A0" w:firstRow="1" w:lastRow="0" w:firstColumn="1" w:lastColumn="0" w:noHBand="0" w:noVBand="1"/>
      </w:tblPr>
      <w:tblGrid>
        <w:gridCol w:w="2518"/>
        <w:gridCol w:w="6724"/>
      </w:tblGrid>
      <w:tr w:rsidR="00280058" w:rsidRPr="00BC2CB8" w14:paraId="46759A8A" w14:textId="77777777" w:rsidTr="00C83DB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62" w:type="pct"/>
            <w:tcBorders>
              <w:bottom w:val="single" w:sz="8" w:space="0" w:color="C0504D" w:themeColor="accent2"/>
            </w:tcBorders>
          </w:tcPr>
          <w:p w14:paraId="1F8A6333" w14:textId="77777777" w:rsidR="00280058" w:rsidRPr="00BC2CB8" w:rsidRDefault="00280058" w:rsidP="00C83DB2">
            <w:pPr>
              <w:pStyle w:val="Sraopastraipa"/>
              <w:rPr>
                <w:rFonts w:ascii="Georgia" w:hAnsi="Georgia"/>
                <w:sz w:val="20"/>
                <w:szCs w:val="20"/>
              </w:rPr>
            </w:pPr>
            <w:r w:rsidRPr="00BC2CB8">
              <w:rPr>
                <w:rFonts w:ascii="Georgia" w:hAnsi="Georgia"/>
                <w:sz w:val="20"/>
                <w:szCs w:val="20"/>
              </w:rPr>
              <w:t>Prielaidos</w:t>
            </w:r>
          </w:p>
        </w:tc>
        <w:tc>
          <w:tcPr>
            <w:tcW w:w="3638" w:type="pct"/>
            <w:tcBorders>
              <w:bottom w:val="single" w:sz="8" w:space="0" w:color="C0504D" w:themeColor="accent2"/>
            </w:tcBorders>
          </w:tcPr>
          <w:p w14:paraId="1B0C6B1B" w14:textId="77777777" w:rsidR="00280058" w:rsidRPr="00BC2CB8" w:rsidRDefault="00280058" w:rsidP="00C83DB2">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Komentaras</w:t>
            </w:r>
          </w:p>
        </w:tc>
      </w:tr>
      <w:tr w:rsidR="00280058" w:rsidRPr="00BC2CB8" w14:paraId="5765B0E3" w14:textId="77777777"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62" w:type="pct"/>
            <w:tcBorders>
              <w:top w:val="single" w:sz="6" w:space="0" w:color="C0504D" w:themeColor="accent2"/>
              <w:right w:val="single" w:sz="6" w:space="0" w:color="C0504D" w:themeColor="accent2"/>
            </w:tcBorders>
          </w:tcPr>
          <w:p w14:paraId="28B66EA9" w14:textId="77777777" w:rsidR="00280058" w:rsidRPr="00BC2CB8" w:rsidRDefault="00280058" w:rsidP="00BB18F6">
            <w:pPr>
              <w:rPr>
                <w:rFonts w:ascii="Georgia" w:hAnsi="Georgia"/>
                <w:b w:val="0"/>
                <w:sz w:val="20"/>
                <w:szCs w:val="20"/>
              </w:rPr>
            </w:pPr>
            <w:r w:rsidRPr="00BC2CB8">
              <w:rPr>
                <w:rFonts w:ascii="Georgia" w:hAnsi="Georgia"/>
                <w:sz w:val="20"/>
                <w:szCs w:val="20"/>
              </w:rPr>
              <w:t>Paskolos laikotarpis: iki 20 metų</w:t>
            </w:r>
          </w:p>
        </w:tc>
        <w:tc>
          <w:tcPr>
            <w:tcW w:w="3638" w:type="pct"/>
            <w:tcBorders>
              <w:top w:val="single" w:sz="6" w:space="0" w:color="C0504D" w:themeColor="accent2"/>
              <w:left w:val="single" w:sz="6" w:space="0" w:color="C0504D" w:themeColor="accent2"/>
            </w:tcBorders>
          </w:tcPr>
          <w:p w14:paraId="79C00AA7" w14:textId="77777777"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Maksimalus paskolos sutarties terminas yra 20 metų.</w:t>
            </w:r>
          </w:p>
        </w:tc>
      </w:tr>
      <w:tr w:rsidR="00280058" w:rsidRPr="00BC2CB8" w14:paraId="352896A9" w14:textId="77777777" w:rsidTr="00C83DB2">
        <w:trPr>
          <w:cantSplit/>
          <w:trHeight w:val="489"/>
        </w:trPr>
        <w:tc>
          <w:tcPr>
            <w:cnfStyle w:val="001000000000" w:firstRow="0" w:lastRow="0" w:firstColumn="1" w:lastColumn="0" w:oddVBand="0" w:evenVBand="0" w:oddHBand="0" w:evenHBand="0" w:firstRowFirstColumn="0" w:firstRowLastColumn="0" w:lastRowFirstColumn="0" w:lastRowLastColumn="0"/>
            <w:tcW w:w="1362" w:type="pct"/>
            <w:tcBorders>
              <w:top w:val="single" w:sz="6" w:space="0" w:color="C0504D" w:themeColor="accent2"/>
              <w:right w:val="single" w:sz="6" w:space="0" w:color="C0504D" w:themeColor="accent2"/>
            </w:tcBorders>
          </w:tcPr>
          <w:p w14:paraId="207D4A77" w14:textId="77777777" w:rsidR="00280058" w:rsidRPr="00BC2CB8" w:rsidRDefault="00280058" w:rsidP="00BB18F6">
            <w:pPr>
              <w:rPr>
                <w:rFonts w:ascii="Georgia" w:hAnsi="Georgia"/>
                <w:b w:val="0"/>
                <w:sz w:val="20"/>
                <w:szCs w:val="20"/>
              </w:rPr>
            </w:pPr>
            <w:r w:rsidRPr="00BC2CB8">
              <w:rPr>
                <w:rFonts w:ascii="Georgia" w:hAnsi="Georgia"/>
                <w:sz w:val="20"/>
                <w:szCs w:val="20"/>
              </w:rPr>
              <w:lastRenderedPageBreak/>
              <w:t>Blogų paskolų dalis: 5 %</w:t>
            </w:r>
          </w:p>
        </w:tc>
        <w:tc>
          <w:tcPr>
            <w:tcW w:w="3638" w:type="pct"/>
            <w:tcBorders>
              <w:top w:val="single" w:sz="6" w:space="0" w:color="C0504D" w:themeColor="accent2"/>
              <w:left w:val="single" w:sz="6" w:space="0" w:color="C0504D" w:themeColor="accent2"/>
            </w:tcBorders>
          </w:tcPr>
          <w:p w14:paraId="019E68D6" w14:textId="77777777"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Blogų paskolų dalis buvo nustatyta remiantis ekspertų ir komercinių bankų vertinimu. Be to, ši prielaida atitinka PwC studijoje nustatytą dydį.</w:t>
            </w:r>
          </w:p>
        </w:tc>
      </w:tr>
      <w:tr w:rsidR="00280058" w:rsidRPr="00BC2CB8" w14:paraId="34BC7381" w14:textId="77777777"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62" w:type="pct"/>
            <w:tcBorders>
              <w:top w:val="single" w:sz="6" w:space="0" w:color="C0504D" w:themeColor="accent2"/>
              <w:right w:val="single" w:sz="6" w:space="0" w:color="C0504D" w:themeColor="accent2"/>
            </w:tcBorders>
          </w:tcPr>
          <w:p w14:paraId="71289EB8" w14:textId="77777777" w:rsidR="00280058" w:rsidRPr="00BC2CB8" w:rsidRDefault="00280058" w:rsidP="00BB18F6">
            <w:pPr>
              <w:rPr>
                <w:rFonts w:ascii="Georgia" w:hAnsi="Georgia"/>
                <w:b w:val="0"/>
                <w:sz w:val="20"/>
                <w:szCs w:val="20"/>
              </w:rPr>
            </w:pPr>
            <w:r w:rsidRPr="00BC2CB8">
              <w:rPr>
                <w:rFonts w:ascii="Georgia" w:hAnsi="Georgia"/>
                <w:sz w:val="20"/>
                <w:szCs w:val="20"/>
              </w:rPr>
              <w:t>Tipinio viešojo pastato projekto investicijų vertė: 228 000 eurų</w:t>
            </w:r>
          </w:p>
        </w:tc>
        <w:tc>
          <w:tcPr>
            <w:tcW w:w="3638" w:type="pct"/>
            <w:tcBorders>
              <w:top w:val="single" w:sz="6" w:space="0" w:color="C0504D" w:themeColor="accent2"/>
              <w:left w:val="single" w:sz="6" w:space="0" w:color="C0504D" w:themeColor="accent2"/>
            </w:tcBorders>
          </w:tcPr>
          <w:p w14:paraId="3E5DEF91" w14:textId="77777777"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Vidutinė tipinio viešojo pastato renovacijos kaina buvo nustatyta remiantis vidutinio viešojo pastato plotu ir pastato renovacijos kaštais vienam kvadratiniam metrui. Vidutinis pastato plotas paskaičiuotas remiantis Registrų centro duomenimis 2.1.1. skyriuje, o viešojo pastato renovacijos kaštai numatyti </w:t>
            </w:r>
            <w:r w:rsidRPr="00BC2CB8">
              <w:rPr>
                <w:rFonts w:ascii="Georgia" w:hAnsi="Georgia"/>
                <w:bCs/>
                <w:sz w:val="20"/>
                <w:szCs w:val="20"/>
              </w:rPr>
              <w:t>Viešųjų pastatų energinio efektyvumo didinimo programos projekte</w:t>
            </w:r>
            <w:r w:rsidRPr="00BC2CB8">
              <w:rPr>
                <w:rStyle w:val="Puslapioinaosnuoroda"/>
                <w:rFonts w:ascii="Georgia" w:hAnsi="Georgia"/>
                <w:bCs/>
                <w:sz w:val="20"/>
                <w:szCs w:val="20"/>
              </w:rPr>
              <w:footnoteReference w:id="116"/>
            </w:r>
            <w:r w:rsidRPr="00BC2CB8">
              <w:rPr>
                <w:rFonts w:ascii="Georgia" w:hAnsi="Georgia"/>
                <w:bCs/>
                <w:sz w:val="20"/>
                <w:szCs w:val="20"/>
              </w:rPr>
              <w:t xml:space="preserve"> ir sudaro 202,7 </w:t>
            </w:r>
            <w:r w:rsidRPr="00BC2CB8">
              <w:rPr>
                <w:rFonts w:ascii="Georgia" w:hAnsi="Georgia"/>
                <w:sz w:val="20"/>
                <w:szCs w:val="20"/>
              </w:rPr>
              <w:t>eurų</w:t>
            </w:r>
            <w:r w:rsidRPr="00BC2CB8" w:rsidDel="00334CC9">
              <w:rPr>
                <w:rFonts w:ascii="Georgia" w:hAnsi="Georgia"/>
                <w:bCs/>
                <w:sz w:val="20"/>
                <w:szCs w:val="20"/>
              </w:rPr>
              <w:t xml:space="preserve"> </w:t>
            </w:r>
            <w:r w:rsidRPr="00BC2CB8">
              <w:rPr>
                <w:rFonts w:ascii="Georgia" w:hAnsi="Georgia"/>
                <w:bCs/>
                <w:sz w:val="20"/>
                <w:szCs w:val="20"/>
              </w:rPr>
              <w:t>/m</w:t>
            </w:r>
            <w:r w:rsidRPr="00BC2CB8">
              <w:rPr>
                <w:rFonts w:ascii="Georgia" w:hAnsi="Georgia"/>
                <w:bCs/>
                <w:sz w:val="20"/>
                <w:szCs w:val="20"/>
                <w:vertAlign w:val="superscript"/>
              </w:rPr>
              <w:t>2</w:t>
            </w:r>
            <w:r w:rsidRPr="00BC2CB8">
              <w:rPr>
                <w:rFonts w:ascii="Georgia" w:hAnsi="Georgia"/>
                <w:bCs/>
                <w:sz w:val="20"/>
                <w:szCs w:val="20"/>
              </w:rPr>
              <w:t>.</w:t>
            </w:r>
          </w:p>
        </w:tc>
      </w:tr>
      <w:tr w:rsidR="00280058" w:rsidRPr="00BC2CB8" w14:paraId="203881A0" w14:textId="77777777" w:rsidTr="00C83DB2">
        <w:trPr>
          <w:cantSplit/>
        </w:trPr>
        <w:tc>
          <w:tcPr>
            <w:cnfStyle w:val="001000000000" w:firstRow="0" w:lastRow="0" w:firstColumn="1" w:lastColumn="0" w:oddVBand="0" w:evenVBand="0" w:oddHBand="0" w:evenHBand="0" w:firstRowFirstColumn="0" w:firstRowLastColumn="0" w:lastRowFirstColumn="0" w:lastRowLastColumn="0"/>
            <w:tcW w:w="1362" w:type="pct"/>
            <w:tcBorders>
              <w:top w:val="single" w:sz="6" w:space="0" w:color="C0504D" w:themeColor="accent2"/>
              <w:right w:val="single" w:sz="6" w:space="0" w:color="C0504D" w:themeColor="accent2"/>
            </w:tcBorders>
          </w:tcPr>
          <w:p w14:paraId="3CA7EFEF" w14:textId="6494E1E1" w:rsidR="00280058" w:rsidRPr="00BC2CB8" w:rsidRDefault="00280058" w:rsidP="00F7739C">
            <w:pPr>
              <w:rPr>
                <w:rFonts w:ascii="Georgia" w:hAnsi="Georgia"/>
                <w:b w:val="0"/>
                <w:sz w:val="20"/>
                <w:szCs w:val="20"/>
              </w:rPr>
            </w:pPr>
            <w:r w:rsidRPr="00BC2CB8">
              <w:rPr>
                <w:rFonts w:ascii="Georgia" w:hAnsi="Georgia"/>
                <w:sz w:val="20"/>
              </w:rPr>
              <w:t>Siektinas įgyvendinamų projektų skaičius</w:t>
            </w:r>
            <w:r w:rsidRPr="00BC2CB8">
              <w:rPr>
                <w:rFonts w:ascii="Georgia" w:hAnsi="Georgia"/>
                <w:sz w:val="20"/>
                <w:szCs w:val="20"/>
              </w:rPr>
              <w:t xml:space="preserve"> nuo </w:t>
            </w:r>
            <w:r w:rsidR="00F7739C" w:rsidRPr="00BC2CB8">
              <w:rPr>
                <w:rFonts w:ascii="Georgia" w:hAnsi="Georgia"/>
                <w:sz w:val="20"/>
                <w:szCs w:val="20"/>
              </w:rPr>
              <w:t>201</w:t>
            </w:r>
            <w:r w:rsidR="00F7739C">
              <w:rPr>
                <w:rFonts w:ascii="Georgia" w:hAnsi="Georgia"/>
                <w:sz w:val="20"/>
                <w:szCs w:val="20"/>
              </w:rPr>
              <w:t>8</w:t>
            </w:r>
            <w:r w:rsidR="00F7739C" w:rsidRPr="00BC2CB8">
              <w:rPr>
                <w:rFonts w:ascii="Georgia" w:hAnsi="Georgia"/>
                <w:sz w:val="20"/>
                <w:szCs w:val="20"/>
              </w:rPr>
              <w:t xml:space="preserve"> </w:t>
            </w:r>
            <w:r w:rsidRPr="00BC2CB8">
              <w:rPr>
                <w:rFonts w:ascii="Georgia" w:hAnsi="Georgia"/>
                <w:sz w:val="20"/>
                <w:szCs w:val="20"/>
              </w:rPr>
              <w:t xml:space="preserve">m.:  </w:t>
            </w:r>
            <w:r w:rsidR="00F7739C">
              <w:rPr>
                <w:rFonts w:ascii="Georgia" w:hAnsi="Georgia"/>
                <w:sz w:val="20"/>
                <w:szCs w:val="20"/>
              </w:rPr>
              <w:t>90</w:t>
            </w:r>
            <w:r w:rsidR="00F7739C" w:rsidRPr="00BC2CB8">
              <w:rPr>
                <w:rFonts w:ascii="Georgia" w:hAnsi="Georgia"/>
                <w:sz w:val="20"/>
                <w:szCs w:val="20"/>
              </w:rPr>
              <w:t xml:space="preserve"> </w:t>
            </w:r>
            <w:r w:rsidRPr="00BC2CB8">
              <w:rPr>
                <w:rFonts w:ascii="Georgia" w:hAnsi="Georgia"/>
                <w:sz w:val="20"/>
                <w:szCs w:val="20"/>
              </w:rPr>
              <w:t>projektai</w:t>
            </w:r>
          </w:p>
        </w:tc>
        <w:tc>
          <w:tcPr>
            <w:tcW w:w="3638" w:type="pct"/>
            <w:tcBorders>
              <w:top w:val="single" w:sz="6" w:space="0" w:color="C0504D" w:themeColor="accent2"/>
              <w:left w:val="single" w:sz="6" w:space="0" w:color="C0504D" w:themeColor="accent2"/>
            </w:tcBorders>
          </w:tcPr>
          <w:p w14:paraId="11AC7606" w14:textId="3EAA6847" w:rsidR="00280058" w:rsidRPr="00BC2CB8" w:rsidRDefault="00F7739C"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kad nuo 201</w:t>
            </w:r>
            <w:r>
              <w:rPr>
                <w:rFonts w:ascii="Georgia" w:hAnsi="Georgia"/>
                <w:sz w:val="20"/>
                <w:szCs w:val="20"/>
              </w:rPr>
              <w:t>8</w:t>
            </w:r>
            <w:r w:rsidRPr="00BC2CB8">
              <w:rPr>
                <w:rFonts w:ascii="Georgia" w:hAnsi="Georgia"/>
                <w:sz w:val="20"/>
                <w:szCs w:val="20"/>
              </w:rPr>
              <w:t xml:space="preserve"> metų, susiformavus ESCO rinkai, projektų skaičius galėtų siekti apie </w:t>
            </w:r>
            <w:r>
              <w:rPr>
                <w:rFonts w:ascii="Georgia" w:hAnsi="Georgia"/>
                <w:sz w:val="20"/>
                <w:szCs w:val="20"/>
              </w:rPr>
              <w:t>90</w:t>
            </w:r>
            <w:r w:rsidRPr="00BC2CB8">
              <w:rPr>
                <w:rFonts w:ascii="Georgia" w:hAnsi="Georgia"/>
                <w:sz w:val="20"/>
                <w:szCs w:val="20"/>
              </w:rPr>
              <w:t xml:space="preserve"> tipini</w:t>
            </w:r>
            <w:r>
              <w:rPr>
                <w:rFonts w:ascii="Georgia" w:hAnsi="Georgia"/>
                <w:sz w:val="20"/>
                <w:szCs w:val="20"/>
              </w:rPr>
              <w:t>ų</w:t>
            </w:r>
            <w:r w:rsidRPr="00BC2CB8">
              <w:rPr>
                <w:rFonts w:ascii="Georgia" w:hAnsi="Georgia"/>
                <w:sz w:val="20"/>
                <w:szCs w:val="20"/>
              </w:rPr>
              <w:t xml:space="preserve"> viešųjų pastatų modernizavimo projekt</w:t>
            </w:r>
            <w:r>
              <w:rPr>
                <w:rFonts w:ascii="Georgia" w:hAnsi="Georgia"/>
                <w:sz w:val="20"/>
                <w:szCs w:val="20"/>
              </w:rPr>
              <w:t xml:space="preserve">ų </w:t>
            </w:r>
            <w:r w:rsidRPr="00BC2CB8">
              <w:rPr>
                <w:rFonts w:ascii="Georgia" w:hAnsi="Georgia"/>
                <w:sz w:val="20"/>
                <w:szCs w:val="20"/>
              </w:rPr>
              <w:t>per metus.</w:t>
            </w:r>
          </w:p>
        </w:tc>
      </w:tr>
      <w:tr w:rsidR="00280058" w:rsidRPr="00BC2CB8" w14:paraId="2E9F0C32" w14:textId="77777777"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62" w:type="pct"/>
            <w:tcBorders>
              <w:top w:val="single" w:sz="6" w:space="0" w:color="C0504D" w:themeColor="accent2"/>
              <w:right w:val="single" w:sz="6" w:space="0" w:color="C0504D" w:themeColor="accent2"/>
            </w:tcBorders>
          </w:tcPr>
          <w:p w14:paraId="32D18881" w14:textId="2A6F4915" w:rsidR="00280058" w:rsidRPr="00BC2CB8" w:rsidRDefault="00280058" w:rsidP="00E36FAE">
            <w:pPr>
              <w:rPr>
                <w:rFonts w:ascii="Georgia" w:hAnsi="Georgia"/>
                <w:b w:val="0"/>
                <w:sz w:val="20"/>
                <w:szCs w:val="20"/>
              </w:rPr>
            </w:pPr>
            <w:r w:rsidRPr="00BC2CB8">
              <w:rPr>
                <w:rFonts w:ascii="Georgia" w:hAnsi="Georgia"/>
                <w:sz w:val="20"/>
                <w:szCs w:val="20"/>
              </w:rPr>
              <w:t xml:space="preserve">Investuojamų ESI fondų lėšų suma į fondą: </w:t>
            </w:r>
            <w:r w:rsidR="00E36FAE">
              <w:rPr>
                <w:rFonts w:ascii="Georgia" w:hAnsi="Georgia"/>
                <w:sz w:val="20"/>
                <w:szCs w:val="20"/>
              </w:rPr>
              <w:t>79,6</w:t>
            </w:r>
            <w:r w:rsidRPr="00BC2CB8">
              <w:rPr>
                <w:rFonts w:ascii="Georgia" w:hAnsi="Georgia"/>
                <w:sz w:val="20"/>
                <w:szCs w:val="20"/>
              </w:rPr>
              <w:t xml:space="preserve"> mln. eurų</w:t>
            </w:r>
          </w:p>
        </w:tc>
        <w:tc>
          <w:tcPr>
            <w:tcW w:w="3638" w:type="pct"/>
            <w:tcBorders>
              <w:top w:val="single" w:sz="6" w:space="0" w:color="C0504D" w:themeColor="accent2"/>
              <w:left w:val="single" w:sz="6" w:space="0" w:color="C0504D" w:themeColor="accent2"/>
            </w:tcBorders>
          </w:tcPr>
          <w:p w14:paraId="42D2DE18" w14:textId="1C28FC2C" w:rsidR="00280058" w:rsidRPr="00BC2CB8" w:rsidRDefault="00E36FAE"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centrinės valdžios pastatų renovacijai skirtos lėšos – 79,6 mln. eurų – b</w:t>
            </w:r>
            <w:r>
              <w:rPr>
                <w:rFonts w:ascii="Georgia" w:hAnsi="Georgia"/>
                <w:sz w:val="20"/>
                <w:szCs w:val="20"/>
              </w:rPr>
              <w:t xml:space="preserve">us skirtos paskolų </w:t>
            </w:r>
            <w:r w:rsidRPr="00BC2CB8">
              <w:rPr>
                <w:rFonts w:ascii="Georgia" w:hAnsi="Georgia"/>
                <w:sz w:val="20"/>
                <w:szCs w:val="20"/>
              </w:rPr>
              <w:t>finansin</w:t>
            </w:r>
            <w:r>
              <w:rPr>
                <w:rFonts w:ascii="Georgia" w:hAnsi="Georgia"/>
                <w:sz w:val="20"/>
                <w:szCs w:val="20"/>
              </w:rPr>
              <w:t>ei</w:t>
            </w:r>
            <w:r w:rsidRPr="00BC2CB8">
              <w:rPr>
                <w:rFonts w:ascii="Georgia" w:hAnsi="Georgia"/>
                <w:sz w:val="20"/>
                <w:szCs w:val="20"/>
              </w:rPr>
              <w:t xml:space="preserve"> priemon</w:t>
            </w:r>
            <w:r>
              <w:rPr>
                <w:rFonts w:ascii="Georgia" w:hAnsi="Georgia"/>
                <w:sz w:val="20"/>
                <w:szCs w:val="20"/>
              </w:rPr>
              <w:t>ei.</w:t>
            </w:r>
          </w:p>
        </w:tc>
      </w:tr>
      <w:tr w:rsidR="00280058" w:rsidRPr="00BC2CB8" w14:paraId="5C25BCEF" w14:textId="77777777" w:rsidTr="00C83DB2">
        <w:trPr>
          <w:cantSplit/>
        </w:trPr>
        <w:tc>
          <w:tcPr>
            <w:cnfStyle w:val="001000000000" w:firstRow="0" w:lastRow="0" w:firstColumn="1" w:lastColumn="0" w:oddVBand="0" w:evenVBand="0" w:oddHBand="0" w:evenHBand="0" w:firstRowFirstColumn="0" w:firstRowLastColumn="0" w:lastRowFirstColumn="0" w:lastRowLastColumn="0"/>
            <w:tcW w:w="1362" w:type="pct"/>
            <w:tcBorders>
              <w:top w:val="single" w:sz="6" w:space="0" w:color="C0504D" w:themeColor="accent2"/>
              <w:right w:val="single" w:sz="6" w:space="0" w:color="C0504D" w:themeColor="accent2"/>
            </w:tcBorders>
          </w:tcPr>
          <w:p w14:paraId="26A3ACF6" w14:textId="77777777" w:rsidR="00280058" w:rsidRPr="00BC2CB8" w:rsidRDefault="00280058" w:rsidP="00F7739C">
            <w:pPr>
              <w:rPr>
                <w:rFonts w:ascii="Georgia" w:hAnsi="Georgia"/>
                <w:b w:val="0"/>
                <w:sz w:val="20"/>
                <w:szCs w:val="20"/>
              </w:rPr>
            </w:pPr>
            <w:r w:rsidRPr="00BC2CB8">
              <w:rPr>
                <w:rFonts w:ascii="Georgia" w:hAnsi="Georgia"/>
                <w:sz w:val="20"/>
                <w:szCs w:val="20"/>
              </w:rPr>
              <w:t>Paskolų palūkanų norma:</w:t>
            </w:r>
            <w:r w:rsidR="00F7739C">
              <w:rPr>
                <w:rFonts w:ascii="Georgia" w:hAnsi="Georgia"/>
                <w:sz w:val="20"/>
                <w:szCs w:val="20"/>
              </w:rPr>
              <w:t xml:space="preserve"> su iki</w:t>
            </w:r>
            <w:r w:rsidRPr="00BC2CB8">
              <w:rPr>
                <w:rFonts w:ascii="Georgia" w:hAnsi="Georgia"/>
                <w:sz w:val="20"/>
                <w:szCs w:val="20"/>
              </w:rPr>
              <w:t xml:space="preserve"> 2 %</w:t>
            </w:r>
            <w:r w:rsidR="00F7739C">
              <w:rPr>
                <w:rFonts w:ascii="Georgia" w:hAnsi="Georgia"/>
                <w:sz w:val="20"/>
                <w:szCs w:val="20"/>
              </w:rPr>
              <w:t xml:space="preserve"> palūkanų marža</w:t>
            </w:r>
          </w:p>
        </w:tc>
        <w:tc>
          <w:tcPr>
            <w:tcW w:w="3638" w:type="pct"/>
            <w:tcBorders>
              <w:top w:val="single" w:sz="6" w:space="0" w:color="C0504D" w:themeColor="accent2"/>
              <w:left w:val="single" w:sz="6" w:space="0" w:color="C0504D" w:themeColor="accent2"/>
            </w:tcBorders>
          </w:tcPr>
          <w:p w14:paraId="702F2830" w14:textId="32C042B9" w:rsidR="00280058" w:rsidRPr="00BC2CB8" w:rsidRDefault="00F7739C" w:rsidP="005A10AB">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Analizės tikslais n</w:t>
            </w:r>
            <w:r w:rsidRPr="00BC2CB8">
              <w:rPr>
                <w:rFonts w:ascii="Georgia" w:hAnsi="Georgia"/>
                <w:sz w:val="20"/>
                <w:szCs w:val="20"/>
              </w:rPr>
              <w:t>ustatomos 2</w:t>
            </w:r>
            <w:r>
              <w:rPr>
                <w:rFonts w:ascii="Georgia" w:hAnsi="Georgia"/>
                <w:sz w:val="20"/>
                <w:szCs w:val="20"/>
              </w:rPr>
              <w:t xml:space="preserve"> </w:t>
            </w:r>
            <w:r w:rsidRPr="00BC2CB8">
              <w:rPr>
                <w:rFonts w:ascii="Georgia" w:hAnsi="Georgia"/>
                <w:sz w:val="20"/>
                <w:szCs w:val="20"/>
              </w:rPr>
              <w:t xml:space="preserve">% </w:t>
            </w:r>
            <w:r>
              <w:rPr>
                <w:rFonts w:ascii="Georgia" w:hAnsi="Georgia"/>
                <w:sz w:val="20"/>
                <w:szCs w:val="20"/>
              </w:rPr>
              <w:t xml:space="preserve">metinės </w:t>
            </w:r>
            <w:r w:rsidRPr="00BC2CB8">
              <w:rPr>
                <w:rFonts w:ascii="Georgia" w:hAnsi="Georgia"/>
                <w:sz w:val="20"/>
                <w:szCs w:val="20"/>
              </w:rPr>
              <w:t>palūkanos.</w:t>
            </w:r>
            <w:r>
              <w:rPr>
                <w:rFonts w:ascii="Georgia" w:hAnsi="Georgia"/>
                <w:sz w:val="20"/>
                <w:szCs w:val="20"/>
              </w:rPr>
              <w:t xml:space="preserve"> Pradinėje FP stadijoje gali būti nustatomos ir mažesnės palūkanos. Išnaudojus ESI fondų lėšas palūkanos turėtų atitikti FP administravimo ir </w:t>
            </w:r>
            <w:r w:rsidR="005A10AB">
              <w:rPr>
                <w:rFonts w:ascii="Georgia" w:hAnsi="Georgia"/>
                <w:sz w:val="20"/>
                <w:szCs w:val="20"/>
              </w:rPr>
              <w:t>lėšų</w:t>
            </w:r>
            <w:r>
              <w:rPr>
                <w:rFonts w:ascii="Georgia" w:hAnsi="Georgia"/>
                <w:sz w:val="20"/>
                <w:szCs w:val="20"/>
              </w:rPr>
              <w:t xml:space="preserve"> pritraukimo kainą.</w:t>
            </w:r>
          </w:p>
        </w:tc>
      </w:tr>
      <w:tr w:rsidR="00280058" w:rsidRPr="00BC2CB8" w14:paraId="4D822E9D" w14:textId="77777777"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62" w:type="pct"/>
            <w:tcBorders>
              <w:top w:val="single" w:sz="6" w:space="0" w:color="C0504D" w:themeColor="accent2"/>
              <w:right w:val="single" w:sz="6" w:space="0" w:color="C0504D" w:themeColor="accent2"/>
            </w:tcBorders>
          </w:tcPr>
          <w:p w14:paraId="2ECE14A3" w14:textId="77777777" w:rsidR="00280058" w:rsidRPr="00BC2CB8" w:rsidRDefault="00280058" w:rsidP="00BB18F6">
            <w:pPr>
              <w:rPr>
                <w:rFonts w:ascii="Georgia" w:hAnsi="Georgia"/>
                <w:b w:val="0"/>
                <w:sz w:val="20"/>
                <w:szCs w:val="20"/>
              </w:rPr>
            </w:pPr>
            <w:r w:rsidRPr="00BC2CB8">
              <w:rPr>
                <w:rFonts w:ascii="Georgia" w:hAnsi="Georgia"/>
                <w:sz w:val="20"/>
              </w:rPr>
              <w:t>Valdymo mokestis: vadovaujantis Deleguoto reglamento nuostatomis</w:t>
            </w:r>
          </w:p>
        </w:tc>
        <w:tc>
          <w:tcPr>
            <w:tcW w:w="3638" w:type="pct"/>
            <w:tcBorders>
              <w:top w:val="single" w:sz="6" w:space="0" w:color="C0504D" w:themeColor="accent2"/>
              <w:left w:val="single" w:sz="6" w:space="0" w:color="C0504D" w:themeColor="accent2"/>
            </w:tcBorders>
          </w:tcPr>
          <w:p w14:paraId="32FA75B3" w14:textId="77777777"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rPr>
              <w:t>Vadovaujantis Deleguoto reglamento nuostatomis, valdymo mokestis susideda iš dviejų dalių: 0,5 proc. bazinis mokestis nuo finansinei priemonei skirtų ir įmokėtų lėšų, 1 proc. mokestis nuo paskolų, suteiktų galutiniams naudos gavėjams, sumos.</w:t>
            </w:r>
          </w:p>
        </w:tc>
      </w:tr>
      <w:tr w:rsidR="00280058" w:rsidRPr="00BC2CB8" w14:paraId="6482B2F6" w14:textId="77777777" w:rsidTr="00C83DB2">
        <w:trPr>
          <w:cantSplit/>
        </w:trPr>
        <w:tc>
          <w:tcPr>
            <w:cnfStyle w:val="001000000000" w:firstRow="0" w:lastRow="0" w:firstColumn="1" w:lastColumn="0" w:oddVBand="0" w:evenVBand="0" w:oddHBand="0" w:evenHBand="0" w:firstRowFirstColumn="0" w:firstRowLastColumn="0" w:lastRowFirstColumn="0" w:lastRowLastColumn="0"/>
            <w:tcW w:w="1362" w:type="pct"/>
            <w:tcBorders>
              <w:top w:val="single" w:sz="6" w:space="0" w:color="C0504D" w:themeColor="accent2"/>
              <w:right w:val="single" w:sz="6" w:space="0" w:color="C0504D" w:themeColor="accent2"/>
            </w:tcBorders>
          </w:tcPr>
          <w:p w14:paraId="16432E08" w14:textId="77777777" w:rsidR="00280058" w:rsidRPr="00BC2CB8" w:rsidRDefault="00280058" w:rsidP="00BB18F6">
            <w:pPr>
              <w:rPr>
                <w:rFonts w:ascii="Georgia" w:hAnsi="Georgia"/>
                <w:b w:val="0"/>
                <w:sz w:val="20"/>
                <w:szCs w:val="20"/>
              </w:rPr>
            </w:pPr>
            <w:r w:rsidRPr="00BC2CB8">
              <w:rPr>
                <w:rFonts w:ascii="Georgia" w:hAnsi="Georgia"/>
                <w:sz w:val="20"/>
                <w:szCs w:val="20"/>
              </w:rPr>
              <w:t xml:space="preserve">Projekto įgyvendinimo laikotarpis: 1 metai </w:t>
            </w:r>
          </w:p>
        </w:tc>
        <w:tc>
          <w:tcPr>
            <w:tcW w:w="3638" w:type="pct"/>
            <w:tcBorders>
              <w:top w:val="single" w:sz="6" w:space="0" w:color="C0504D" w:themeColor="accent2"/>
              <w:left w:val="single" w:sz="6" w:space="0" w:color="C0504D" w:themeColor="accent2"/>
            </w:tcBorders>
          </w:tcPr>
          <w:p w14:paraId="2A499916" w14:textId="77777777"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tipinio viešojo pastato renovacijos laikas yra 1 metai nuo paskolos sutarties pasirašymo momento.</w:t>
            </w:r>
          </w:p>
        </w:tc>
      </w:tr>
      <w:tr w:rsidR="00280058" w:rsidRPr="00BC2CB8" w14:paraId="0DF36479" w14:textId="77777777"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62" w:type="pct"/>
            <w:tcBorders>
              <w:top w:val="single" w:sz="6" w:space="0" w:color="C0504D" w:themeColor="accent2"/>
              <w:right w:val="single" w:sz="6" w:space="0" w:color="C0504D" w:themeColor="accent2"/>
            </w:tcBorders>
          </w:tcPr>
          <w:p w14:paraId="05187CA2" w14:textId="77777777" w:rsidR="00280058" w:rsidRPr="00BC2CB8" w:rsidRDefault="00280058" w:rsidP="00BB18F6">
            <w:pPr>
              <w:rPr>
                <w:rFonts w:ascii="Georgia" w:hAnsi="Georgia"/>
                <w:b w:val="0"/>
                <w:sz w:val="20"/>
                <w:szCs w:val="20"/>
              </w:rPr>
            </w:pPr>
            <w:r w:rsidRPr="00BC2CB8">
              <w:rPr>
                <w:rFonts w:ascii="Georgia" w:hAnsi="Georgia"/>
                <w:sz w:val="20"/>
                <w:szCs w:val="20"/>
              </w:rPr>
              <w:t>Privataus investicinio fondo išperkamų paskolų dalis: 70 %</w:t>
            </w:r>
          </w:p>
        </w:tc>
        <w:tc>
          <w:tcPr>
            <w:tcW w:w="3638" w:type="pct"/>
            <w:tcBorders>
              <w:top w:val="single" w:sz="6" w:space="0" w:color="C0504D" w:themeColor="accent2"/>
              <w:left w:val="single" w:sz="6" w:space="0" w:color="C0504D" w:themeColor="accent2"/>
            </w:tcBorders>
          </w:tcPr>
          <w:p w14:paraId="17721098" w14:textId="14CC7E70" w:rsidR="00280058" w:rsidRPr="00BC2CB8" w:rsidRDefault="00280058" w:rsidP="00FC52EA">
            <w:pPr>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BC2CB8">
              <w:rPr>
                <w:rFonts w:ascii="Georgia" w:hAnsi="Georgia" w:cs="Georgia"/>
                <w:sz w:val="20"/>
                <w:szCs w:val="20"/>
              </w:rPr>
              <w:t>Daroma prielaidą, kad privatus investicinis fondas nuo 201</w:t>
            </w:r>
            <w:r w:rsidR="00FC52EA">
              <w:rPr>
                <w:rFonts w:ascii="Georgia" w:hAnsi="Georgia" w:cs="Georgia"/>
                <w:sz w:val="20"/>
                <w:szCs w:val="20"/>
              </w:rPr>
              <w:t>9</w:t>
            </w:r>
            <w:r w:rsidRPr="00BC2CB8">
              <w:rPr>
                <w:rFonts w:ascii="Georgia" w:hAnsi="Georgia" w:cs="Georgia"/>
                <w:sz w:val="20"/>
                <w:szCs w:val="20"/>
              </w:rPr>
              <w:t xml:space="preserve"> m. galėtų išpirkti apie 70 % visų paskolų portfelio. </w:t>
            </w:r>
          </w:p>
        </w:tc>
      </w:tr>
      <w:tr w:rsidR="00280058" w:rsidRPr="00BC2CB8" w14:paraId="058A86D5" w14:textId="77777777" w:rsidTr="00C83DB2">
        <w:trPr>
          <w:cantSplit/>
        </w:trPr>
        <w:tc>
          <w:tcPr>
            <w:cnfStyle w:val="001000000000" w:firstRow="0" w:lastRow="0" w:firstColumn="1" w:lastColumn="0" w:oddVBand="0" w:evenVBand="0" w:oddHBand="0" w:evenHBand="0" w:firstRowFirstColumn="0" w:firstRowLastColumn="0" w:lastRowFirstColumn="0" w:lastRowLastColumn="0"/>
            <w:tcW w:w="1362" w:type="pct"/>
            <w:tcBorders>
              <w:top w:val="single" w:sz="6" w:space="0" w:color="C0504D" w:themeColor="accent2"/>
              <w:right w:val="single" w:sz="6" w:space="0" w:color="C0504D" w:themeColor="accent2"/>
            </w:tcBorders>
          </w:tcPr>
          <w:p w14:paraId="4D6233D9" w14:textId="77777777" w:rsidR="00280058" w:rsidRPr="00BC2CB8" w:rsidRDefault="00280058" w:rsidP="00BB18F6">
            <w:pPr>
              <w:rPr>
                <w:rFonts w:ascii="Georgia" w:hAnsi="Georgia"/>
                <w:sz w:val="20"/>
                <w:szCs w:val="20"/>
              </w:rPr>
            </w:pPr>
            <w:r w:rsidRPr="00BC2CB8">
              <w:rPr>
                <w:rFonts w:ascii="Georgia" w:hAnsi="Georgia"/>
                <w:sz w:val="20"/>
              </w:rPr>
              <w:t>Pakartotinai panaudojamos grįžusios lėšos: po 2 metų</w:t>
            </w:r>
          </w:p>
        </w:tc>
        <w:tc>
          <w:tcPr>
            <w:tcW w:w="3638" w:type="pct"/>
            <w:tcBorders>
              <w:top w:val="single" w:sz="6" w:space="0" w:color="C0504D" w:themeColor="accent2"/>
              <w:left w:val="single" w:sz="6" w:space="0" w:color="C0504D" w:themeColor="accent2"/>
            </w:tcBorders>
          </w:tcPr>
          <w:p w14:paraId="4B6BE705" w14:textId="77777777"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BC2CB8">
              <w:rPr>
                <w:rFonts w:ascii="Georgia" w:hAnsi="Georgia"/>
                <w:sz w:val="20"/>
              </w:rPr>
              <w:t>Daroma prielaida, jog grįžtančios lėšos pakartotinai panaudojamos projektų finansavimui tomis pačiomis sąlygomis po 2 metų.</w:t>
            </w:r>
          </w:p>
        </w:tc>
      </w:tr>
    </w:tbl>
    <w:p w14:paraId="2E634EF4" w14:textId="77777777" w:rsidR="00280058" w:rsidRPr="00BC2CB8" w:rsidRDefault="00280058" w:rsidP="00280058">
      <w:pPr>
        <w:ind w:left="360"/>
        <w:rPr>
          <w:rFonts w:ascii="Georgia" w:hAnsi="Georgia"/>
          <w:sz w:val="20"/>
          <w:szCs w:val="20"/>
          <w:lang w:val="lt-LT"/>
        </w:rPr>
      </w:pPr>
    </w:p>
    <w:p w14:paraId="32D8BB9C" w14:textId="404CF73D" w:rsidR="00280058" w:rsidRPr="00BC2CB8" w:rsidRDefault="00280058" w:rsidP="00280058">
      <w:pPr>
        <w:pStyle w:val="Antrat"/>
        <w:jc w:val="both"/>
        <w:rPr>
          <w:szCs w:val="20"/>
          <w:lang w:val="lt-LT"/>
        </w:rPr>
      </w:pPr>
      <w:bookmarkStart w:id="204" w:name="_Toc460321681"/>
      <w:r w:rsidRPr="00BC2CB8">
        <w:rPr>
          <w:lang w:val="lt-LT"/>
        </w:rPr>
        <w:lastRenderedPageBreak/>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100</w:t>
      </w:r>
      <w:r w:rsidRPr="00BC2CB8">
        <w:rPr>
          <w:lang w:val="lt-LT"/>
        </w:rPr>
        <w:fldChar w:fldCharType="end"/>
      </w:r>
      <w:r w:rsidRPr="00BC2CB8">
        <w:rPr>
          <w:lang w:val="lt-LT"/>
        </w:rPr>
        <w:t>. Scenarijaus Nr. 2 įgyvendinimo prognozė</w:t>
      </w:r>
      <w:bookmarkEnd w:id="204"/>
    </w:p>
    <w:p w14:paraId="3FA228C3" w14:textId="177D9F7A" w:rsidR="00280058" w:rsidRPr="00BC2CB8" w:rsidRDefault="00094500" w:rsidP="00280058">
      <w:pPr>
        <w:rPr>
          <w:lang w:val="lt-LT"/>
        </w:rPr>
      </w:pPr>
      <w:r>
        <w:rPr>
          <w:noProof/>
          <w:lang w:val="lt-LT" w:eastAsia="lt-LT"/>
        </w:rPr>
        <w:drawing>
          <wp:inline distT="0" distB="0" distL="0" distR="0" wp14:anchorId="304BD4B0" wp14:editId="682B3E00">
            <wp:extent cx="5963478" cy="3177637"/>
            <wp:effectExtent l="0" t="0" r="0" b="381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screen">
                      <a:extLst>
                        <a:ext uri="{28A0092B-C50C-407E-A947-70E740481C1C}">
                          <a14:useLocalDpi xmlns:a14="http://schemas.microsoft.com/office/drawing/2010/main"/>
                        </a:ext>
                      </a:extLst>
                    </a:blip>
                    <a:srcRect l="7908" t="28172" r="32993" b="19846"/>
                    <a:stretch/>
                  </pic:blipFill>
                  <pic:spPr bwMode="auto">
                    <a:xfrm>
                      <a:off x="0" y="0"/>
                      <a:ext cx="5976988" cy="3184836"/>
                    </a:xfrm>
                    <a:prstGeom prst="rect">
                      <a:avLst/>
                    </a:prstGeom>
                    <a:ln>
                      <a:noFill/>
                    </a:ln>
                    <a:extLst>
                      <a:ext uri="{53640926-AAD7-44D8-BBD7-CCE9431645EC}">
                        <a14:shadowObscured xmlns:a14="http://schemas.microsoft.com/office/drawing/2010/main"/>
                      </a:ext>
                    </a:extLst>
                  </pic:spPr>
                </pic:pic>
              </a:graphicData>
            </a:graphic>
          </wp:inline>
        </w:drawing>
      </w:r>
      <w:r w:rsidRPr="00BC2CB8" w:rsidDel="00FC52EA">
        <w:rPr>
          <w:noProof/>
        </w:rPr>
        <w:t xml:space="preserve"> </w:t>
      </w:r>
    </w:p>
    <w:p w14:paraId="4B02998E" w14:textId="5DEE14DE" w:rsidR="00280058" w:rsidRPr="00BC2CB8" w:rsidRDefault="00280058" w:rsidP="00280058">
      <w:pPr>
        <w:pStyle w:val="Antrat"/>
        <w:rPr>
          <w:szCs w:val="20"/>
          <w:lang w:val="lt-LT"/>
        </w:rPr>
      </w:pPr>
      <w:bookmarkStart w:id="205" w:name="_Toc460321682"/>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101</w:t>
      </w:r>
      <w:r w:rsidRPr="00BC2CB8">
        <w:rPr>
          <w:lang w:val="lt-LT"/>
        </w:rPr>
        <w:fldChar w:fldCharType="end"/>
      </w:r>
      <w:r w:rsidRPr="00BC2CB8">
        <w:rPr>
          <w:lang w:val="lt-LT"/>
        </w:rPr>
        <w:t xml:space="preserve">. </w:t>
      </w:r>
      <w:r w:rsidRPr="00BC2CB8">
        <w:rPr>
          <w:szCs w:val="20"/>
          <w:lang w:val="lt-LT"/>
        </w:rPr>
        <w:t>Scenarijaus Nr. 2 rezultatai</w:t>
      </w:r>
      <w:bookmarkEnd w:id="205"/>
    </w:p>
    <w:tbl>
      <w:tblPr>
        <w:tblStyle w:val="viesussraas2parykinimas"/>
        <w:tblW w:w="5000" w:type="pct"/>
        <w:tblLook w:val="04A0" w:firstRow="1" w:lastRow="0" w:firstColumn="1" w:lastColumn="0" w:noHBand="0" w:noVBand="1"/>
      </w:tblPr>
      <w:tblGrid>
        <w:gridCol w:w="6651"/>
        <w:gridCol w:w="2591"/>
      </w:tblGrid>
      <w:tr w:rsidR="00280058" w:rsidRPr="00BC2CB8" w14:paraId="4A037DF5" w14:textId="77777777" w:rsidTr="00C83D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3DC9B8D3" w14:textId="77777777" w:rsidR="00280058" w:rsidRPr="00BC2CB8" w:rsidRDefault="00280058" w:rsidP="00BB18F6">
            <w:pPr>
              <w:jc w:val="center"/>
              <w:rPr>
                <w:rFonts w:ascii="Georgia" w:hAnsi="Georgia"/>
                <w:sz w:val="20"/>
                <w:szCs w:val="20"/>
              </w:rPr>
            </w:pPr>
            <w:r w:rsidRPr="00BC2CB8">
              <w:rPr>
                <w:rFonts w:ascii="Georgia" w:hAnsi="Georgia"/>
                <w:sz w:val="20"/>
                <w:szCs w:val="20"/>
              </w:rPr>
              <w:t>Fondas</w:t>
            </w:r>
          </w:p>
        </w:tc>
        <w:tc>
          <w:tcPr>
            <w:tcW w:w="1402" w:type="pct"/>
          </w:tcPr>
          <w:p w14:paraId="7EC44121" w14:textId="77777777" w:rsidR="00280058" w:rsidRPr="00BC2CB8" w:rsidRDefault="00280058" w:rsidP="00BB18F6">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mln. eurų</w:t>
            </w:r>
          </w:p>
        </w:tc>
      </w:tr>
      <w:tr w:rsidR="00280058" w:rsidRPr="00BC2CB8" w14:paraId="5936AAD0" w14:textId="77777777" w:rsidTr="00C83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0303FA4C" w14:textId="77777777" w:rsidR="00280058" w:rsidRPr="00BC2CB8" w:rsidRDefault="00280058" w:rsidP="00BB18F6">
            <w:pPr>
              <w:rPr>
                <w:rFonts w:ascii="Georgia" w:hAnsi="Georgia"/>
                <w:sz w:val="20"/>
                <w:szCs w:val="20"/>
              </w:rPr>
            </w:pPr>
            <w:r w:rsidRPr="00BC2CB8">
              <w:rPr>
                <w:rFonts w:ascii="Georgia" w:hAnsi="Georgia"/>
                <w:sz w:val="20"/>
                <w:szCs w:val="20"/>
              </w:rPr>
              <w:t>Galutinius naudos gavėjus pasiekusios lėšos</w:t>
            </w:r>
          </w:p>
        </w:tc>
        <w:tc>
          <w:tcPr>
            <w:tcW w:w="1402" w:type="pct"/>
          </w:tcPr>
          <w:p w14:paraId="4AA5E45D" w14:textId="3A3FD9BF" w:rsidR="00280058" w:rsidRPr="00BC2CB8" w:rsidRDefault="00FC52EA"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104,6</w:t>
            </w:r>
          </w:p>
        </w:tc>
      </w:tr>
      <w:tr w:rsidR="00280058" w:rsidRPr="00BC2CB8" w14:paraId="1740C469" w14:textId="77777777" w:rsidTr="00C83DB2">
        <w:tc>
          <w:tcPr>
            <w:cnfStyle w:val="001000000000" w:firstRow="0" w:lastRow="0" w:firstColumn="1" w:lastColumn="0" w:oddVBand="0" w:evenVBand="0" w:oddHBand="0" w:evenHBand="0" w:firstRowFirstColumn="0" w:firstRowLastColumn="0" w:lastRowFirstColumn="0" w:lastRowLastColumn="0"/>
            <w:tcW w:w="3598" w:type="pct"/>
          </w:tcPr>
          <w:p w14:paraId="766E9D83" w14:textId="77777777" w:rsidR="00280058" w:rsidRPr="00BC2CB8" w:rsidRDefault="00280058" w:rsidP="00BB18F6">
            <w:pPr>
              <w:rPr>
                <w:rFonts w:ascii="Georgia" w:hAnsi="Georgia"/>
                <w:sz w:val="20"/>
                <w:szCs w:val="20"/>
              </w:rPr>
            </w:pPr>
            <w:r w:rsidRPr="00BC2CB8">
              <w:rPr>
                <w:rFonts w:ascii="Georgia" w:hAnsi="Georgia"/>
                <w:sz w:val="20"/>
                <w:szCs w:val="20"/>
              </w:rPr>
              <w:t>Pritraukta lėšų iš kitų šaltinių (t.y. nupirktos paskolos, įvertinus grįžtančių lėšų panaudojimą)</w:t>
            </w:r>
          </w:p>
        </w:tc>
        <w:tc>
          <w:tcPr>
            <w:tcW w:w="1402" w:type="pct"/>
          </w:tcPr>
          <w:p w14:paraId="0C9DA7F3" w14:textId="3E9141A3" w:rsidR="00280058" w:rsidRPr="00BC2CB8" w:rsidRDefault="00FC52EA" w:rsidP="00FC52EA">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57,2</w:t>
            </w:r>
          </w:p>
        </w:tc>
      </w:tr>
      <w:tr w:rsidR="00280058" w:rsidRPr="00BC2CB8" w14:paraId="2B10C39C" w14:textId="77777777" w:rsidTr="00C83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2ABBAD4A" w14:textId="77777777" w:rsidR="00280058" w:rsidRPr="00BC2CB8" w:rsidRDefault="00280058" w:rsidP="00BB18F6">
            <w:pPr>
              <w:rPr>
                <w:rFonts w:ascii="Georgia" w:hAnsi="Georgia"/>
                <w:sz w:val="20"/>
                <w:szCs w:val="20"/>
              </w:rPr>
            </w:pPr>
            <w:r w:rsidRPr="00BC2CB8">
              <w:rPr>
                <w:rFonts w:ascii="Georgia" w:hAnsi="Georgia"/>
                <w:sz w:val="20"/>
                <w:szCs w:val="20"/>
              </w:rPr>
              <w:t>Iki 2022 m. renovuotų pastatų skaičius</w:t>
            </w:r>
          </w:p>
        </w:tc>
        <w:tc>
          <w:tcPr>
            <w:tcW w:w="1402" w:type="pct"/>
          </w:tcPr>
          <w:p w14:paraId="7CF3ABBF" w14:textId="658FEE78" w:rsidR="00280058" w:rsidRPr="00BC2CB8" w:rsidRDefault="00FC52EA" w:rsidP="00FC52EA">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459</w:t>
            </w:r>
          </w:p>
        </w:tc>
      </w:tr>
      <w:tr w:rsidR="00280058" w:rsidRPr="00BC2CB8" w14:paraId="2661BDEB" w14:textId="77777777" w:rsidTr="00C83DB2">
        <w:tc>
          <w:tcPr>
            <w:cnfStyle w:val="001000000000" w:firstRow="0" w:lastRow="0" w:firstColumn="1" w:lastColumn="0" w:oddVBand="0" w:evenVBand="0" w:oddHBand="0" w:evenHBand="0" w:firstRowFirstColumn="0" w:firstRowLastColumn="0" w:lastRowFirstColumn="0" w:lastRowLastColumn="0"/>
            <w:tcW w:w="3598" w:type="pct"/>
          </w:tcPr>
          <w:p w14:paraId="3D2D1003" w14:textId="77777777" w:rsidR="00280058" w:rsidRPr="00BC2CB8" w:rsidRDefault="00280058" w:rsidP="00BB18F6">
            <w:pPr>
              <w:rPr>
                <w:rFonts w:ascii="Georgia" w:hAnsi="Georgia"/>
                <w:sz w:val="20"/>
                <w:szCs w:val="20"/>
              </w:rPr>
            </w:pPr>
            <w:r w:rsidRPr="00BC2CB8">
              <w:rPr>
                <w:rFonts w:ascii="Georgia" w:hAnsi="Georgia"/>
                <w:sz w:val="20"/>
                <w:szCs w:val="20"/>
              </w:rPr>
              <w:t>Iki 2022 m. renovuotų pastatų plotas, tūkst. kv. m.</w:t>
            </w:r>
          </w:p>
        </w:tc>
        <w:tc>
          <w:tcPr>
            <w:tcW w:w="1402" w:type="pct"/>
          </w:tcPr>
          <w:p w14:paraId="04CC22DA" w14:textId="5DBC4CC8" w:rsidR="00280058" w:rsidRPr="00BC2CB8" w:rsidRDefault="00FC52EA" w:rsidP="00FC52EA">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517,0</w:t>
            </w:r>
          </w:p>
        </w:tc>
      </w:tr>
      <w:tr w:rsidR="00280058" w:rsidRPr="00BC2CB8" w14:paraId="1AFE2528" w14:textId="77777777" w:rsidTr="00C83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0EBFA71B" w14:textId="77777777" w:rsidR="00280058" w:rsidRPr="00BC2CB8" w:rsidRDefault="00280058" w:rsidP="00BB18F6">
            <w:pPr>
              <w:rPr>
                <w:rFonts w:ascii="Georgia" w:hAnsi="Georgia"/>
                <w:sz w:val="20"/>
                <w:szCs w:val="20"/>
              </w:rPr>
            </w:pPr>
            <w:r w:rsidRPr="00BC2CB8">
              <w:rPr>
                <w:rFonts w:ascii="Georgia" w:hAnsi="Georgia"/>
                <w:sz w:val="20"/>
                <w:szCs w:val="20"/>
              </w:rPr>
              <w:t>Iki 2020 m. renovuotų pastatų plotas, tūkst. kv. m.</w:t>
            </w:r>
          </w:p>
        </w:tc>
        <w:tc>
          <w:tcPr>
            <w:tcW w:w="1402" w:type="pct"/>
          </w:tcPr>
          <w:p w14:paraId="697A7C44" w14:textId="1BDA70AC" w:rsidR="00280058" w:rsidRPr="00BC2CB8" w:rsidRDefault="00FC52EA"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338,1</w:t>
            </w:r>
          </w:p>
        </w:tc>
      </w:tr>
    </w:tbl>
    <w:p w14:paraId="22E42AF4" w14:textId="77777777" w:rsidR="00280058" w:rsidRPr="00BC2CB8" w:rsidRDefault="00280058" w:rsidP="00280058">
      <w:pPr>
        <w:rPr>
          <w:rFonts w:ascii="Georgia" w:hAnsi="Georgia"/>
          <w:sz w:val="20"/>
          <w:szCs w:val="20"/>
          <w:lang w:val="lt-LT"/>
        </w:rPr>
      </w:pPr>
    </w:p>
    <w:p w14:paraId="265087B1" w14:textId="77777777" w:rsidR="00280058" w:rsidRPr="00BC2CB8" w:rsidRDefault="00280058" w:rsidP="00C03122">
      <w:pPr>
        <w:pStyle w:val="Sraopastraipa"/>
        <w:keepNext/>
        <w:numPr>
          <w:ilvl w:val="0"/>
          <w:numId w:val="34"/>
        </w:numPr>
        <w:ind w:left="714" w:hanging="357"/>
        <w:rPr>
          <w:rFonts w:ascii="Georgia" w:hAnsi="Georgia"/>
          <w:b/>
          <w:i/>
          <w:sz w:val="20"/>
          <w:szCs w:val="20"/>
          <w:lang w:val="lt-LT"/>
        </w:rPr>
      </w:pPr>
      <w:r w:rsidRPr="00BC2CB8">
        <w:rPr>
          <w:rFonts w:ascii="Georgia" w:hAnsi="Georgia"/>
          <w:b/>
          <w:i/>
          <w:sz w:val="20"/>
          <w:szCs w:val="20"/>
          <w:lang w:val="lt-LT"/>
        </w:rPr>
        <w:lastRenderedPageBreak/>
        <w:t>Scenarijus Nr. 3: Dalis finansinės priemonės lėšų nukreipiama į paskolų modelį ir dalis į garantijų priemonę</w:t>
      </w:r>
    </w:p>
    <w:p w14:paraId="7A725BDA" w14:textId="26212C0F" w:rsidR="0010799D" w:rsidRDefault="0010799D" w:rsidP="00C83DB2">
      <w:pPr>
        <w:pStyle w:val="Antrat"/>
        <w:jc w:val="center"/>
        <w:rPr>
          <w:lang w:val="lt-LT"/>
        </w:rPr>
      </w:pPr>
    </w:p>
    <w:p w14:paraId="103AB023" w14:textId="77777777" w:rsidR="0010799D" w:rsidRDefault="00FC52EA" w:rsidP="00280058">
      <w:pPr>
        <w:pStyle w:val="Antrat"/>
        <w:rPr>
          <w:lang w:val="lt-LT"/>
        </w:rPr>
      </w:pPr>
      <w:r>
        <w:rPr>
          <w:noProof/>
          <w:lang w:val="lt-LT" w:eastAsia="lt-LT"/>
        </w:rPr>
        <w:drawing>
          <wp:inline distT="0" distB="0" distL="0" distR="0" wp14:anchorId="6C37131A" wp14:editId="17E4C0E3">
            <wp:extent cx="5650992" cy="2898648"/>
            <wp:effectExtent l="0" t="0" r="698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ESCO Nr. 3.jpg"/>
                    <pic:cNvPicPr/>
                  </pic:nvPicPr>
                  <pic:blipFill>
                    <a:blip r:embed="rId76" cstate="screen">
                      <a:extLst>
                        <a:ext uri="{28A0092B-C50C-407E-A947-70E740481C1C}">
                          <a14:useLocalDpi xmlns:a14="http://schemas.microsoft.com/office/drawing/2010/main"/>
                        </a:ext>
                      </a:extLst>
                    </a:blip>
                    <a:stretch>
                      <a:fillRect/>
                    </a:stretch>
                  </pic:blipFill>
                  <pic:spPr>
                    <a:xfrm>
                      <a:off x="0" y="0"/>
                      <a:ext cx="5650992" cy="2898648"/>
                    </a:xfrm>
                    <a:prstGeom prst="rect">
                      <a:avLst/>
                    </a:prstGeom>
                  </pic:spPr>
                </pic:pic>
              </a:graphicData>
            </a:graphic>
          </wp:inline>
        </w:drawing>
      </w:r>
    </w:p>
    <w:p w14:paraId="3683DE98" w14:textId="71905166" w:rsidR="00280058" w:rsidRPr="00BC2CB8" w:rsidRDefault="00280058" w:rsidP="00280058">
      <w:pPr>
        <w:pStyle w:val="Antrat"/>
        <w:rPr>
          <w:szCs w:val="20"/>
          <w:lang w:val="lt-LT"/>
        </w:rPr>
      </w:pPr>
      <w:bookmarkStart w:id="206" w:name="_Toc417378313"/>
      <w:r w:rsidRPr="00BC2CB8">
        <w:rPr>
          <w:lang w:val="lt-LT"/>
        </w:rPr>
        <w:t xml:space="preserve">Paveikslas </w:t>
      </w:r>
      <w:r w:rsidRPr="00BC2CB8">
        <w:rPr>
          <w:lang w:val="lt-LT"/>
        </w:rPr>
        <w:fldChar w:fldCharType="begin"/>
      </w:r>
      <w:r w:rsidRPr="00BC2CB8">
        <w:rPr>
          <w:lang w:val="lt-LT"/>
        </w:rPr>
        <w:instrText xml:space="preserve"> SEQ Paveikslas \* ARABIC </w:instrText>
      </w:r>
      <w:r w:rsidRPr="00BC2CB8">
        <w:rPr>
          <w:lang w:val="lt-LT"/>
        </w:rPr>
        <w:fldChar w:fldCharType="separate"/>
      </w:r>
      <w:r w:rsidR="00AA3082">
        <w:rPr>
          <w:noProof/>
          <w:lang w:val="lt-LT"/>
        </w:rPr>
        <w:t>36</w:t>
      </w:r>
      <w:r w:rsidRPr="00BC2CB8">
        <w:rPr>
          <w:lang w:val="lt-LT"/>
        </w:rPr>
        <w:fldChar w:fldCharType="end"/>
      </w:r>
      <w:r w:rsidRPr="00BC2CB8">
        <w:rPr>
          <w:lang w:val="lt-LT"/>
        </w:rPr>
        <w:t>. Viešųjų pastatų scenarijaus Nr. 3 schema.</w:t>
      </w:r>
      <w:bookmarkEnd w:id="206"/>
      <w:r w:rsidRPr="00BC2CB8">
        <w:rPr>
          <w:lang w:val="lt-LT"/>
        </w:rPr>
        <w:t xml:space="preserve"> </w:t>
      </w:r>
    </w:p>
    <w:p w14:paraId="7BFF49AD" w14:textId="635B50A2" w:rsidR="00280058" w:rsidRPr="00BC2CB8" w:rsidRDefault="00280058" w:rsidP="00280058">
      <w:pPr>
        <w:jc w:val="both"/>
        <w:rPr>
          <w:rFonts w:ascii="Georgia" w:hAnsi="Georgia"/>
          <w:sz w:val="20"/>
          <w:szCs w:val="20"/>
          <w:lang w:val="lt-LT"/>
        </w:rPr>
      </w:pPr>
      <w:r w:rsidRPr="00BC2CB8">
        <w:rPr>
          <w:rFonts w:ascii="Georgia" w:hAnsi="Georgia"/>
          <w:sz w:val="20"/>
          <w:szCs w:val="20"/>
          <w:lang w:val="lt-LT"/>
        </w:rPr>
        <w:t xml:space="preserve">Šio scenarijaus atveju kuriamos dvi finansinės priemonės: paskolų ir garantijų. Paskolų priemonės prielaidos yra tokios pat kaip scenarijuje Nr. 1. Šis modelis skaičiuojamas darant prielaidą, kad </w:t>
      </w:r>
      <w:r w:rsidR="00695278">
        <w:rPr>
          <w:rFonts w:ascii="Georgia" w:hAnsi="Georgia"/>
          <w:sz w:val="20"/>
          <w:szCs w:val="20"/>
          <w:lang w:val="lt-LT"/>
        </w:rPr>
        <w:t>7</w:t>
      </w:r>
      <w:r w:rsidR="00695278" w:rsidRPr="00BC2CB8">
        <w:rPr>
          <w:rFonts w:ascii="Georgia" w:hAnsi="Georgia"/>
          <w:sz w:val="20"/>
          <w:szCs w:val="20"/>
          <w:lang w:val="lt-LT"/>
        </w:rPr>
        <w:t xml:space="preserve">0 </w:t>
      </w:r>
      <w:r w:rsidRPr="00BC2CB8">
        <w:rPr>
          <w:rFonts w:ascii="Georgia" w:hAnsi="Georgia"/>
          <w:sz w:val="20"/>
          <w:szCs w:val="20"/>
          <w:lang w:val="lt-LT"/>
        </w:rPr>
        <w:t xml:space="preserve">% projektų bus įgyvendinami per paskolų priemonę, o </w:t>
      </w:r>
      <w:r w:rsidR="00695278">
        <w:rPr>
          <w:rFonts w:ascii="Georgia" w:hAnsi="Georgia"/>
          <w:sz w:val="20"/>
          <w:szCs w:val="20"/>
          <w:lang w:val="lt-LT"/>
        </w:rPr>
        <w:t>3</w:t>
      </w:r>
      <w:r w:rsidR="00695278" w:rsidRPr="00BC2CB8">
        <w:rPr>
          <w:rFonts w:ascii="Georgia" w:hAnsi="Georgia"/>
          <w:sz w:val="20"/>
          <w:szCs w:val="20"/>
          <w:lang w:val="lt-LT"/>
        </w:rPr>
        <w:t xml:space="preserve">0 </w:t>
      </w:r>
      <w:r w:rsidRPr="00BC2CB8">
        <w:rPr>
          <w:rFonts w:ascii="Georgia" w:hAnsi="Georgia"/>
          <w:sz w:val="20"/>
          <w:szCs w:val="20"/>
          <w:lang w:val="lt-LT"/>
        </w:rPr>
        <w:t xml:space="preserve">% projektų bus įgyvendinti suteikiant garantijas bankams. Modelis skaičiuojamas neviršijant turimų asignavimų ribų. Taigi paskolų </w:t>
      </w:r>
      <w:r w:rsidR="00695278">
        <w:rPr>
          <w:rFonts w:ascii="Georgia" w:hAnsi="Georgia"/>
          <w:sz w:val="20"/>
          <w:szCs w:val="20"/>
          <w:lang w:val="lt-LT"/>
        </w:rPr>
        <w:t>finansinei priemonei</w:t>
      </w:r>
      <w:r w:rsidR="00695278" w:rsidRPr="00BC2CB8">
        <w:rPr>
          <w:rFonts w:ascii="Georgia" w:hAnsi="Georgia"/>
          <w:sz w:val="20"/>
          <w:szCs w:val="20"/>
          <w:lang w:val="lt-LT"/>
        </w:rPr>
        <w:t xml:space="preserve"> </w:t>
      </w:r>
      <w:r w:rsidRPr="00BC2CB8">
        <w:rPr>
          <w:rFonts w:ascii="Georgia" w:hAnsi="Georgia"/>
          <w:sz w:val="20"/>
          <w:szCs w:val="20"/>
          <w:lang w:val="lt-LT"/>
        </w:rPr>
        <w:t xml:space="preserve">skiriama </w:t>
      </w:r>
      <w:r w:rsidR="00695278">
        <w:rPr>
          <w:rFonts w:ascii="Georgia" w:hAnsi="Georgia"/>
          <w:sz w:val="20"/>
          <w:szCs w:val="20"/>
          <w:lang w:val="lt-LT"/>
        </w:rPr>
        <w:t xml:space="preserve">55,7 </w:t>
      </w:r>
      <w:r w:rsidRPr="00BC2CB8">
        <w:rPr>
          <w:rFonts w:ascii="Georgia" w:hAnsi="Georgia"/>
          <w:sz w:val="20"/>
          <w:szCs w:val="20"/>
          <w:lang w:val="lt-LT"/>
        </w:rPr>
        <w:t xml:space="preserve">mln. eurųgarantijų </w:t>
      </w:r>
      <w:r w:rsidR="00695278">
        <w:rPr>
          <w:rFonts w:ascii="Georgia" w:hAnsi="Georgia"/>
          <w:sz w:val="20"/>
          <w:szCs w:val="20"/>
          <w:lang w:val="lt-LT"/>
        </w:rPr>
        <w:t>priemonei</w:t>
      </w:r>
      <w:r w:rsidR="00695278" w:rsidRPr="00BC2CB8">
        <w:rPr>
          <w:rFonts w:ascii="Georgia" w:hAnsi="Georgia"/>
          <w:sz w:val="20"/>
          <w:szCs w:val="20"/>
          <w:lang w:val="lt-LT"/>
        </w:rPr>
        <w:t xml:space="preserve"> </w:t>
      </w:r>
      <w:r w:rsidRPr="00BC2CB8">
        <w:rPr>
          <w:rFonts w:ascii="Georgia" w:hAnsi="Georgia"/>
          <w:sz w:val="20"/>
          <w:szCs w:val="20"/>
          <w:lang w:val="lt-LT"/>
        </w:rPr>
        <w:t>–</w:t>
      </w:r>
      <w:r w:rsidR="00695278">
        <w:rPr>
          <w:rFonts w:ascii="Georgia" w:hAnsi="Georgia"/>
          <w:sz w:val="20"/>
          <w:szCs w:val="20"/>
          <w:lang w:val="lt-LT"/>
        </w:rPr>
        <w:t>23,9</w:t>
      </w:r>
      <w:r w:rsidRPr="00BC2CB8">
        <w:rPr>
          <w:rFonts w:ascii="Georgia" w:hAnsi="Georgia"/>
          <w:sz w:val="20"/>
          <w:szCs w:val="20"/>
          <w:lang w:val="lt-LT"/>
        </w:rPr>
        <w:t xml:space="preserve"> eurų. Žemiau esančioje lentelėje pateikiamos paskolų ir garantijų priemonių prielaidos.</w:t>
      </w:r>
    </w:p>
    <w:p w14:paraId="0BBA7799" w14:textId="4859A12B" w:rsidR="00280058" w:rsidRPr="00BC2CB8" w:rsidRDefault="00280058" w:rsidP="00280058">
      <w:pPr>
        <w:pStyle w:val="Antrat"/>
        <w:jc w:val="both"/>
        <w:rPr>
          <w:szCs w:val="20"/>
          <w:lang w:val="lt-LT"/>
        </w:rPr>
      </w:pPr>
      <w:bookmarkStart w:id="207" w:name="_Toc460321683"/>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102</w:t>
      </w:r>
      <w:r w:rsidRPr="00BC2CB8">
        <w:rPr>
          <w:lang w:val="lt-LT"/>
        </w:rPr>
        <w:fldChar w:fldCharType="end"/>
      </w:r>
      <w:r w:rsidRPr="00BC2CB8">
        <w:rPr>
          <w:lang w:val="lt-LT"/>
        </w:rPr>
        <w:t>. Scenarijaus Nr. 3 prielaidos</w:t>
      </w:r>
      <w:bookmarkEnd w:id="207"/>
    </w:p>
    <w:tbl>
      <w:tblPr>
        <w:tblStyle w:val="viesussraas2parykinimas"/>
        <w:tblW w:w="9242" w:type="dxa"/>
        <w:tblLook w:val="04A0" w:firstRow="1" w:lastRow="0" w:firstColumn="1" w:lastColumn="0" w:noHBand="0" w:noVBand="1"/>
      </w:tblPr>
      <w:tblGrid>
        <w:gridCol w:w="3164"/>
        <w:gridCol w:w="6078"/>
      </w:tblGrid>
      <w:tr w:rsidR="00280058" w:rsidRPr="00BC2CB8" w14:paraId="38F836C0" w14:textId="77777777" w:rsidTr="00C83DB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4" w:type="dxa"/>
            <w:tcBorders>
              <w:bottom w:val="single" w:sz="8" w:space="0" w:color="C0504D" w:themeColor="accent2"/>
            </w:tcBorders>
          </w:tcPr>
          <w:p w14:paraId="0B8AE4E7" w14:textId="77777777" w:rsidR="00280058" w:rsidRPr="00BC2CB8" w:rsidRDefault="00280058" w:rsidP="00C83DB2">
            <w:pPr>
              <w:jc w:val="center"/>
              <w:rPr>
                <w:rFonts w:ascii="Georgia" w:hAnsi="Georgia"/>
                <w:sz w:val="20"/>
                <w:szCs w:val="20"/>
              </w:rPr>
            </w:pPr>
            <w:r w:rsidRPr="00BC2CB8">
              <w:rPr>
                <w:rFonts w:ascii="Georgia" w:hAnsi="Georgia"/>
                <w:sz w:val="20"/>
                <w:szCs w:val="20"/>
              </w:rPr>
              <w:t>Prielaidos</w:t>
            </w:r>
          </w:p>
        </w:tc>
        <w:tc>
          <w:tcPr>
            <w:tcW w:w="6078" w:type="dxa"/>
            <w:tcBorders>
              <w:bottom w:val="single" w:sz="8" w:space="0" w:color="C0504D" w:themeColor="accent2"/>
            </w:tcBorders>
          </w:tcPr>
          <w:p w14:paraId="6A7C2DDC" w14:textId="77777777" w:rsidR="00280058" w:rsidRPr="00BC2CB8" w:rsidRDefault="00280058" w:rsidP="00C83DB2">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Komentaras</w:t>
            </w:r>
          </w:p>
        </w:tc>
      </w:tr>
      <w:tr w:rsidR="00280058" w:rsidRPr="00BC2CB8" w14:paraId="46D989DA"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4" w:type="dxa"/>
            <w:tcBorders>
              <w:bottom w:val="single" w:sz="6" w:space="0" w:color="C0504D" w:themeColor="accent2"/>
              <w:right w:val="single" w:sz="6" w:space="0" w:color="C0504D" w:themeColor="accent2"/>
            </w:tcBorders>
          </w:tcPr>
          <w:p w14:paraId="255937D2" w14:textId="77777777" w:rsidR="00280058" w:rsidRPr="00BC2CB8" w:rsidRDefault="00280058" w:rsidP="00BB18F6">
            <w:pPr>
              <w:rPr>
                <w:rFonts w:ascii="Georgia" w:hAnsi="Georgia"/>
                <w:b w:val="0"/>
                <w:sz w:val="20"/>
                <w:szCs w:val="20"/>
              </w:rPr>
            </w:pPr>
            <w:r w:rsidRPr="00BC2CB8">
              <w:rPr>
                <w:rFonts w:ascii="Georgia" w:hAnsi="Georgia"/>
                <w:sz w:val="20"/>
                <w:szCs w:val="20"/>
              </w:rPr>
              <w:t>Paskolos laikotarpis: iki 20 metų</w:t>
            </w:r>
          </w:p>
        </w:tc>
        <w:tc>
          <w:tcPr>
            <w:tcW w:w="6078" w:type="dxa"/>
            <w:tcBorders>
              <w:left w:val="single" w:sz="6" w:space="0" w:color="C0504D" w:themeColor="accent2"/>
              <w:bottom w:val="single" w:sz="6" w:space="0" w:color="C0504D" w:themeColor="accent2"/>
            </w:tcBorders>
          </w:tcPr>
          <w:p w14:paraId="6ABF457C" w14:textId="77777777"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Maksimalus paskolos sutarties terminas yra 20 metų.</w:t>
            </w:r>
          </w:p>
        </w:tc>
      </w:tr>
      <w:tr w:rsidR="00280058" w:rsidRPr="00BC2CB8" w14:paraId="15AFC9F6" w14:textId="77777777" w:rsidTr="00BB18F6">
        <w:trPr>
          <w:cantSplit/>
        </w:trPr>
        <w:tc>
          <w:tcPr>
            <w:cnfStyle w:val="001000000000" w:firstRow="0" w:lastRow="0" w:firstColumn="1" w:lastColumn="0" w:oddVBand="0" w:evenVBand="0" w:oddHBand="0" w:evenHBand="0" w:firstRowFirstColumn="0" w:firstRowLastColumn="0" w:lastRowFirstColumn="0" w:lastRowLastColumn="0"/>
            <w:tcW w:w="3164" w:type="dxa"/>
            <w:tcBorders>
              <w:top w:val="single" w:sz="6" w:space="0" w:color="C0504D" w:themeColor="accent2"/>
              <w:bottom w:val="single" w:sz="6" w:space="0" w:color="C0504D" w:themeColor="accent2"/>
              <w:right w:val="single" w:sz="6" w:space="0" w:color="C0504D" w:themeColor="accent2"/>
            </w:tcBorders>
          </w:tcPr>
          <w:p w14:paraId="21C9F01A" w14:textId="77777777" w:rsidR="00280058" w:rsidRPr="00BC2CB8" w:rsidRDefault="00280058" w:rsidP="00BB18F6">
            <w:pPr>
              <w:rPr>
                <w:rFonts w:ascii="Georgia" w:hAnsi="Georgia"/>
                <w:b w:val="0"/>
                <w:sz w:val="20"/>
                <w:szCs w:val="20"/>
              </w:rPr>
            </w:pPr>
            <w:r w:rsidRPr="00BC2CB8">
              <w:rPr>
                <w:rFonts w:ascii="Georgia" w:hAnsi="Georgia"/>
                <w:sz w:val="20"/>
                <w:szCs w:val="20"/>
              </w:rPr>
              <w:t>Blogų paskolų dalis: 5 %</w:t>
            </w:r>
          </w:p>
        </w:tc>
        <w:tc>
          <w:tcPr>
            <w:tcW w:w="6078" w:type="dxa"/>
            <w:tcBorders>
              <w:top w:val="single" w:sz="6" w:space="0" w:color="C0504D" w:themeColor="accent2"/>
              <w:left w:val="single" w:sz="6" w:space="0" w:color="C0504D" w:themeColor="accent2"/>
              <w:bottom w:val="single" w:sz="6" w:space="0" w:color="C0504D" w:themeColor="accent2"/>
            </w:tcBorders>
          </w:tcPr>
          <w:p w14:paraId="5B0CD0B6" w14:textId="77777777"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Blogų paskolų dalis buvo nustatyta remiantis ekspertų ir komercinių bankų vertinimu. Be to, ši prielaida atitinka PwC studijoje nustatytą dydį. Garantijų priemonės atveju daroma prielaida, kad iki 2022 metų reikės išmokėti 50% garantuotos sumos bankams nuo atsiradusių blogų paskolų.</w:t>
            </w:r>
          </w:p>
        </w:tc>
      </w:tr>
      <w:tr w:rsidR="00280058" w:rsidRPr="00BC2CB8" w14:paraId="7F72C9BE"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4" w:type="dxa"/>
            <w:tcBorders>
              <w:top w:val="single" w:sz="6" w:space="0" w:color="C0504D" w:themeColor="accent2"/>
              <w:bottom w:val="single" w:sz="6" w:space="0" w:color="C0504D" w:themeColor="accent2"/>
              <w:right w:val="single" w:sz="6" w:space="0" w:color="C0504D" w:themeColor="accent2"/>
            </w:tcBorders>
          </w:tcPr>
          <w:p w14:paraId="13E38ECD" w14:textId="77777777" w:rsidR="00280058" w:rsidRPr="00BC2CB8" w:rsidRDefault="00280058" w:rsidP="00BB18F6">
            <w:pPr>
              <w:rPr>
                <w:rFonts w:ascii="Georgia" w:hAnsi="Georgia"/>
                <w:b w:val="0"/>
                <w:sz w:val="20"/>
                <w:szCs w:val="20"/>
              </w:rPr>
            </w:pPr>
            <w:r w:rsidRPr="00BC2CB8">
              <w:rPr>
                <w:rFonts w:ascii="Georgia" w:hAnsi="Georgia"/>
                <w:sz w:val="20"/>
                <w:szCs w:val="20"/>
              </w:rPr>
              <w:t xml:space="preserve">Fonde rezervuojamos lėšos garantijų įsipareigojimų vykdymui: 20 % </w:t>
            </w:r>
          </w:p>
        </w:tc>
        <w:tc>
          <w:tcPr>
            <w:tcW w:w="6078" w:type="dxa"/>
            <w:tcBorders>
              <w:top w:val="single" w:sz="6" w:space="0" w:color="C0504D" w:themeColor="accent2"/>
              <w:left w:val="single" w:sz="6" w:space="0" w:color="C0504D" w:themeColor="accent2"/>
              <w:bottom w:val="single" w:sz="6" w:space="0" w:color="C0504D" w:themeColor="accent2"/>
            </w:tcBorders>
          </w:tcPr>
          <w:p w14:paraId="1BEA1D4D" w14:textId="77777777"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Fondo garantiniams įsipareigojimams vykdyti rezervuojama 20 % lėšų, tačiau modeliuojant scenarijų,  skaičiuojama jog tikėtina praradimų dalis 5 %, kuri paremta ekspertiniu ir komercinių bankų vertinimu, bei atitinka PwC studijos prielaidas.</w:t>
            </w:r>
          </w:p>
        </w:tc>
      </w:tr>
      <w:tr w:rsidR="00280058" w:rsidRPr="00BC2CB8" w14:paraId="04617C97" w14:textId="77777777" w:rsidTr="00BB18F6">
        <w:trPr>
          <w:cantSplit/>
        </w:trPr>
        <w:tc>
          <w:tcPr>
            <w:cnfStyle w:val="001000000000" w:firstRow="0" w:lastRow="0" w:firstColumn="1" w:lastColumn="0" w:oddVBand="0" w:evenVBand="0" w:oddHBand="0" w:evenHBand="0" w:firstRowFirstColumn="0" w:firstRowLastColumn="0" w:lastRowFirstColumn="0" w:lastRowLastColumn="0"/>
            <w:tcW w:w="3164" w:type="dxa"/>
            <w:tcBorders>
              <w:top w:val="single" w:sz="6" w:space="0" w:color="C0504D" w:themeColor="accent2"/>
              <w:bottom w:val="single" w:sz="6" w:space="0" w:color="C0504D" w:themeColor="accent2"/>
              <w:right w:val="single" w:sz="6" w:space="0" w:color="C0504D" w:themeColor="accent2"/>
            </w:tcBorders>
          </w:tcPr>
          <w:p w14:paraId="71B275C2" w14:textId="413136FC" w:rsidR="00280058" w:rsidRPr="00BC2CB8" w:rsidRDefault="00280058" w:rsidP="00BB18F6">
            <w:pPr>
              <w:rPr>
                <w:rFonts w:ascii="Georgia" w:hAnsi="Georgia"/>
                <w:sz w:val="20"/>
                <w:szCs w:val="20"/>
              </w:rPr>
            </w:pPr>
            <w:r w:rsidRPr="00BC2CB8">
              <w:rPr>
                <w:rFonts w:ascii="Georgia" w:hAnsi="Georgia"/>
                <w:sz w:val="20"/>
                <w:szCs w:val="20"/>
              </w:rPr>
              <w:t xml:space="preserve">Paskolų palūkanų norma: </w:t>
            </w:r>
            <w:r w:rsidR="00695278">
              <w:rPr>
                <w:rFonts w:ascii="Georgia" w:hAnsi="Georgia"/>
                <w:sz w:val="20"/>
                <w:szCs w:val="20"/>
              </w:rPr>
              <w:t>su iki</w:t>
            </w:r>
            <w:r w:rsidR="00695278" w:rsidRPr="00BC2CB8">
              <w:rPr>
                <w:rFonts w:ascii="Georgia" w:hAnsi="Georgia"/>
                <w:sz w:val="20"/>
                <w:szCs w:val="20"/>
              </w:rPr>
              <w:t xml:space="preserve"> 2 %</w:t>
            </w:r>
            <w:r w:rsidR="00695278">
              <w:rPr>
                <w:rFonts w:ascii="Georgia" w:hAnsi="Georgia"/>
                <w:sz w:val="20"/>
                <w:szCs w:val="20"/>
              </w:rPr>
              <w:t xml:space="preserve"> palūkanų marža</w:t>
            </w:r>
          </w:p>
        </w:tc>
        <w:tc>
          <w:tcPr>
            <w:tcW w:w="6078" w:type="dxa"/>
            <w:tcBorders>
              <w:top w:val="single" w:sz="6" w:space="0" w:color="C0504D" w:themeColor="accent2"/>
              <w:left w:val="single" w:sz="6" w:space="0" w:color="C0504D" w:themeColor="accent2"/>
              <w:bottom w:val="single" w:sz="6" w:space="0" w:color="C0504D" w:themeColor="accent2"/>
            </w:tcBorders>
          </w:tcPr>
          <w:p w14:paraId="665C7781" w14:textId="4E9033A9" w:rsidR="00280058" w:rsidRPr="00BC2CB8" w:rsidRDefault="00695278" w:rsidP="007D0263">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Analizės tikslais n</w:t>
            </w:r>
            <w:r w:rsidRPr="00BC2CB8">
              <w:rPr>
                <w:rFonts w:ascii="Georgia" w:hAnsi="Georgia"/>
                <w:sz w:val="20"/>
                <w:szCs w:val="20"/>
              </w:rPr>
              <w:t>ustatomos 2</w:t>
            </w:r>
            <w:r>
              <w:rPr>
                <w:rFonts w:ascii="Georgia" w:hAnsi="Georgia"/>
                <w:sz w:val="20"/>
                <w:szCs w:val="20"/>
              </w:rPr>
              <w:t xml:space="preserve"> </w:t>
            </w:r>
            <w:r w:rsidRPr="00BC2CB8">
              <w:rPr>
                <w:rFonts w:ascii="Georgia" w:hAnsi="Georgia"/>
                <w:sz w:val="20"/>
                <w:szCs w:val="20"/>
              </w:rPr>
              <w:t xml:space="preserve">% </w:t>
            </w:r>
            <w:r>
              <w:rPr>
                <w:rFonts w:ascii="Georgia" w:hAnsi="Georgia"/>
                <w:sz w:val="20"/>
                <w:szCs w:val="20"/>
              </w:rPr>
              <w:t xml:space="preserve">metinės </w:t>
            </w:r>
            <w:r w:rsidRPr="00BC2CB8">
              <w:rPr>
                <w:rFonts w:ascii="Georgia" w:hAnsi="Georgia"/>
                <w:sz w:val="20"/>
                <w:szCs w:val="20"/>
              </w:rPr>
              <w:t>palūkanos.</w:t>
            </w:r>
            <w:r>
              <w:rPr>
                <w:rFonts w:ascii="Georgia" w:hAnsi="Georgia"/>
                <w:sz w:val="20"/>
                <w:szCs w:val="20"/>
              </w:rPr>
              <w:t xml:space="preserve"> Pradinėje FP stadijoje gali būti nustatomos ir mažesnės palūkanos. Išnaudojus ESI fondų lėšas palūkanos turėtų atitikti FP administravimo ir </w:t>
            </w:r>
            <w:r w:rsidR="007D0263">
              <w:rPr>
                <w:rFonts w:ascii="Georgia" w:hAnsi="Georgia"/>
                <w:sz w:val="20"/>
                <w:szCs w:val="20"/>
              </w:rPr>
              <w:t>lėšų</w:t>
            </w:r>
            <w:r>
              <w:rPr>
                <w:rFonts w:ascii="Georgia" w:hAnsi="Georgia"/>
                <w:sz w:val="20"/>
                <w:szCs w:val="20"/>
              </w:rPr>
              <w:t xml:space="preserve"> pritraukimo kainą.</w:t>
            </w:r>
          </w:p>
        </w:tc>
      </w:tr>
      <w:tr w:rsidR="00280058" w:rsidRPr="00BC2CB8" w14:paraId="56FA9DCB"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4" w:type="dxa"/>
            <w:tcBorders>
              <w:top w:val="single" w:sz="6" w:space="0" w:color="C0504D" w:themeColor="accent2"/>
              <w:bottom w:val="single" w:sz="6" w:space="0" w:color="C0504D" w:themeColor="accent2"/>
              <w:right w:val="single" w:sz="6" w:space="0" w:color="C0504D" w:themeColor="accent2"/>
            </w:tcBorders>
          </w:tcPr>
          <w:p w14:paraId="2AF54F79" w14:textId="77777777" w:rsidR="00280058" w:rsidRPr="00BC2CB8" w:rsidRDefault="00280058" w:rsidP="00BB18F6">
            <w:pPr>
              <w:rPr>
                <w:rFonts w:ascii="Georgia" w:hAnsi="Georgia"/>
                <w:b w:val="0"/>
                <w:sz w:val="20"/>
                <w:szCs w:val="20"/>
              </w:rPr>
            </w:pPr>
            <w:r w:rsidRPr="00BC2CB8">
              <w:rPr>
                <w:rFonts w:ascii="Georgia" w:hAnsi="Georgia"/>
                <w:sz w:val="20"/>
                <w:szCs w:val="20"/>
              </w:rPr>
              <w:lastRenderedPageBreak/>
              <w:t>Bankų palūkanų norma garantijų priemonės atveju: 7 %</w:t>
            </w:r>
          </w:p>
        </w:tc>
        <w:tc>
          <w:tcPr>
            <w:tcW w:w="6078" w:type="dxa"/>
            <w:tcBorders>
              <w:top w:val="single" w:sz="6" w:space="0" w:color="C0504D" w:themeColor="accent2"/>
              <w:left w:val="single" w:sz="6" w:space="0" w:color="C0504D" w:themeColor="accent2"/>
              <w:bottom w:val="single" w:sz="6" w:space="0" w:color="C0504D" w:themeColor="accent2"/>
            </w:tcBorders>
          </w:tcPr>
          <w:p w14:paraId="1FF6ABA7" w14:textId="77777777"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garantijų priemonės atveju, komercinių bankų fiksuota paskolų palūkanų norma (20-ies metų laikotarpiui) sudarys 7 proc. Ši palūkanų norma įvertinta remiantis šiais duomenimis:</w:t>
            </w:r>
          </w:p>
          <w:p w14:paraId="5523DF36" w14:textId="77777777"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1) Prognozuojamas suderintas vartotojų kainų indekso (SVKI) vidurkis Lietuvoje 2013-2017 (2,9%); </w:t>
            </w:r>
          </w:p>
          <w:p w14:paraId="5C3707A3" w14:textId="77777777"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2) Lietuvos Respublikos Vyriausybės obligacijų emisijos (2536 dienų trukmės) palūkanos 2014 rugsėjo mėnesį (2,0%); </w:t>
            </w:r>
          </w:p>
          <w:p w14:paraId="462CDD11" w14:textId="77777777"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3) Galima komercinių bankų marža (2,1%).</w:t>
            </w:r>
          </w:p>
          <w:p w14:paraId="4229C1BF" w14:textId="77777777"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Pokalbių su bankais metu paminėta, jog vertinant įvairias rizikas, ilgalaikėms paskoloms (20 metų) preliminariai galėtų būti taikomos nuo 7 iki 10 proc. palūkanų normos.</w:t>
            </w:r>
          </w:p>
        </w:tc>
      </w:tr>
      <w:tr w:rsidR="00280058" w:rsidRPr="00BC2CB8" w14:paraId="25591F37" w14:textId="77777777" w:rsidTr="00BB18F6">
        <w:trPr>
          <w:cantSplit/>
        </w:trPr>
        <w:tc>
          <w:tcPr>
            <w:cnfStyle w:val="001000000000" w:firstRow="0" w:lastRow="0" w:firstColumn="1" w:lastColumn="0" w:oddVBand="0" w:evenVBand="0" w:oddHBand="0" w:evenHBand="0" w:firstRowFirstColumn="0" w:firstRowLastColumn="0" w:lastRowFirstColumn="0" w:lastRowLastColumn="0"/>
            <w:tcW w:w="3164" w:type="dxa"/>
            <w:tcBorders>
              <w:top w:val="single" w:sz="6" w:space="0" w:color="C0504D" w:themeColor="accent2"/>
              <w:bottom w:val="single" w:sz="6" w:space="0" w:color="C0504D" w:themeColor="accent2"/>
              <w:right w:val="single" w:sz="6" w:space="0" w:color="C0504D" w:themeColor="accent2"/>
            </w:tcBorders>
          </w:tcPr>
          <w:p w14:paraId="678453AE" w14:textId="77777777" w:rsidR="00280058" w:rsidRPr="00BC2CB8" w:rsidRDefault="00280058" w:rsidP="00BB18F6">
            <w:pPr>
              <w:rPr>
                <w:rFonts w:ascii="Georgia" w:hAnsi="Georgia"/>
                <w:b w:val="0"/>
                <w:sz w:val="20"/>
                <w:szCs w:val="20"/>
              </w:rPr>
            </w:pPr>
            <w:r w:rsidRPr="00BC2CB8">
              <w:rPr>
                <w:rFonts w:ascii="Georgia" w:hAnsi="Georgia"/>
                <w:sz w:val="20"/>
                <w:szCs w:val="20"/>
              </w:rPr>
              <w:t>Tipinio viešojo pastato projekto investicijų vertė: 228 000 eurų</w:t>
            </w:r>
          </w:p>
        </w:tc>
        <w:tc>
          <w:tcPr>
            <w:tcW w:w="6078" w:type="dxa"/>
            <w:tcBorders>
              <w:top w:val="single" w:sz="6" w:space="0" w:color="C0504D" w:themeColor="accent2"/>
              <w:left w:val="single" w:sz="6" w:space="0" w:color="C0504D" w:themeColor="accent2"/>
              <w:bottom w:val="single" w:sz="6" w:space="0" w:color="C0504D" w:themeColor="accent2"/>
            </w:tcBorders>
          </w:tcPr>
          <w:p w14:paraId="5A8B195E" w14:textId="77777777"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Vidutinė tipinio viešojo pastato renovacijos kaina buvo nustatyta remiantis vidutinio viešojo pastato plotu ir pastato renovacijos kaštais vienam kvadratiniam metrui. Vidutinis pastato plotas paskaičiuotas remiantis Registrų centro duomenimis 2.1.1. skyriuje, o viešojo pastato renovacijos kaštai numatyti </w:t>
            </w:r>
            <w:r w:rsidRPr="00BC2CB8">
              <w:rPr>
                <w:rFonts w:ascii="Georgia" w:hAnsi="Georgia"/>
                <w:bCs/>
                <w:sz w:val="20"/>
                <w:szCs w:val="20"/>
              </w:rPr>
              <w:t>Viešųjų pastatų energinio efektyvumo didinimo programos projekte</w:t>
            </w:r>
            <w:r w:rsidRPr="00BC2CB8">
              <w:rPr>
                <w:rStyle w:val="Puslapioinaosnuoroda"/>
                <w:rFonts w:ascii="Georgia" w:hAnsi="Georgia"/>
                <w:bCs/>
                <w:sz w:val="20"/>
                <w:szCs w:val="20"/>
              </w:rPr>
              <w:footnoteReference w:id="117"/>
            </w:r>
            <w:r w:rsidRPr="00BC2CB8">
              <w:rPr>
                <w:rFonts w:ascii="Georgia" w:hAnsi="Georgia"/>
                <w:bCs/>
                <w:sz w:val="20"/>
                <w:szCs w:val="20"/>
              </w:rPr>
              <w:t xml:space="preserve"> ir sudaro 202,7 </w:t>
            </w:r>
            <w:r w:rsidRPr="00BC2CB8">
              <w:rPr>
                <w:rFonts w:ascii="Georgia" w:hAnsi="Georgia"/>
                <w:sz w:val="20"/>
                <w:szCs w:val="20"/>
              </w:rPr>
              <w:t>eurų</w:t>
            </w:r>
            <w:r w:rsidRPr="00BC2CB8" w:rsidDel="00334CC9">
              <w:rPr>
                <w:rFonts w:ascii="Georgia" w:hAnsi="Georgia"/>
                <w:bCs/>
                <w:sz w:val="20"/>
                <w:szCs w:val="20"/>
              </w:rPr>
              <w:t xml:space="preserve"> </w:t>
            </w:r>
            <w:r w:rsidRPr="00BC2CB8">
              <w:rPr>
                <w:rFonts w:ascii="Georgia" w:hAnsi="Georgia"/>
                <w:bCs/>
                <w:sz w:val="20"/>
                <w:szCs w:val="20"/>
              </w:rPr>
              <w:t>/m</w:t>
            </w:r>
            <w:r w:rsidRPr="00BC2CB8">
              <w:rPr>
                <w:rFonts w:ascii="Georgia" w:hAnsi="Georgia"/>
                <w:bCs/>
                <w:sz w:val="20"/>
                <w:szCs w:val="20"/>
                <w:vertAlign w:val="superscript"/>
              </w:rPr>
              <w:t>2</w:t>
            </w:r>
            <w:r w:rsidRPr="00BC2CB8">
              <w:rPr>
                <w:rFonts w:ascii="Georgia" w:hAnsi="Georgia"/>
                <w:bCs/>
                <w:sz w:val="20"/>
                <w:szCs w:val="20"/>
              </w:rPr>
              <w:t>.</w:t>
            </w:r>
          </w:p>
        </w:tc>
      </w:tr>
      <w:tr w:rsidR="00280058" w:rsidRPr="00BC2CB8" w14:paraId="35366CA6"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4" w:type="dxa"/>
            <w:tcBorders>
              <w:top w:val="single" w:sz="6" w:space="0" w:color="C0504D" w:themeColor="accent2"/>
              <w:bottom w:val="single" w:sz="6" w:space="0" w:color="C0504D" w:themeColor="accent2"/>
              <w:right w:val="single" w:sz="6" w:space="0" w:color="C0504D" w:themeColor="accent2"/>
            </w:tcBorders>
          </w:tcPr>
          <w:p w14:paraId="670F4251" w14:textId="0D1AC818" w:rsidR="00280058" w:rsidRPr="00BC2CB8" w:rsidRDefault="00280058" w:rsidP="00695278">
            <w:pPr>
              <w:rPr>
                <w:rFonts w:ascii="Georgia" w:hAnsi="Georgia"/>
                <w:b w:val="0"/>
                <w:sz w:val="20"/>
                <w:szCs w:val="20"/>
              </w:rPr>
            </w:pPr>
            <w:r w:rsidRPr="00BC2CB8">
              <w:rPr>
                <w:rFonts w:ascii="Georgia" w:hAnsi="Georgia"/>
                <w:sz w:val="20"/>
                <w:szCs w:val="20"/>
              </w:rPr>
              <w:t xml:space="preserve">Investuojamų ESI lėšų suma į fondą: </w:t>
            </w:r>
            <w:r w:rsidR="00695278">
              <w:rPr>
                <w:rFonts w:ascii="Georgia" w:hAnsi="Georgia"/>
                <w:sz w:val="20"/>
                <w:szCs w:val="20"/>
              </w:rPr>
              <w:t>79,6</w:t>
            </w:r>
            <w:r w:rsidRPr="00BC2CB8">
              <w:rPr>
                <w:rFonts w:ascii="Georgia" w:hAnsi="Georgia"/>
                <w:sz w:val="20"/>
                <w:szCs w:val="20"/>
              </w:rPr>
              <w:t xml:space="preserve"> mln. eurų</w:t>
            </w:r>
          </w:p>
        </w:tc>
        <w:tc>
          <w:tcPr>
            <w:tcW w:w="6078" w:type="dxa"/>
            <w:tcBorders>
              <w:top w:val="single" w:sz="6" w:space="0" w:color="C0504D" w:themeColor="accent2"/>
              <w:left w:val="single" w:sz="6" w:space="0" w:color="C0504D" w:themeColor="accent2"/>
              <w:bottom w:val="single" w:sz="6" w:space="0" w:color="C0504D" w:themeColor="accent2"/>
            </w:tcBorders>
          </w:tcPr>
          <w:p w14:paraId="4F700640" w14:textId="577AF132"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centrinės valdžios pastatų renovacijai skirtos lėšos – 79,6 mln. eurų – būtų išskaidomos į dvi finansines priemones (paskolų ir garantijų</w:t>
            </w:r>
            <w:r w:rsidR="00695278">
              <w:rPr>
                <w:rFonts w:ascii="Georgia" w:hAnsi="Georgia"/>
                <w:sz w:val="20"/>
                <w:szCs w:val="20"/>
              </w:rPr>
              <w:t>)</w:t>
            </w:r>
            <w:r w:rsidRPr="00BC2CB8">
              <w:rPr>
                <w:rFonts w:ascii="Georgia" w:hAnsi="Georgia"/>
                <w:sz w:val="20"/>
                <w:szCs w:val="20"/>
              </w:rPr>
              <w:t>. Numatytos lėšos skirstomos taip:</w:t>
            </w:r>
          </w:p>
          <w:p w14:paraId="17ACA383" w14:textId="2283F903" w:rsidR="00280058" w:rsidRPr="00BC2CB8" w:rsidRDefault="00695278" w:rsidP="00C03122">
            <w:pPr>
              <w:pStyle w:val="Sraopastraipa"/>
              <w:numPr>
                <w:ilvl w:val="0"/>
                <w:numId w:val="8"/>
              </w:num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55,7</w:t>
            </w:r>
            <w:r w:rsidR="00280058" w:rsidRPr="00BC2CB8">
              <w:rPr>
                <w:rFonts w:ascii="Georgia" w:hAnsi="Georgia"/>
                <w:sz w:val="20"/>
                <w:szCs w:val="20"/>
              </w:rPr>
              <w:t xml:space="preserve"> mln. eurų</w:t>
            </w:r>
            <w:r w:rsidR="00280058" w:rsidRPr="00BC2CB8" w:rsidDel="00334CC9">
              <w:rPr>
                <w:rFonts w:ascii="Georgia" w:hAnsi="Georgia"/>
                <w:sz w:val="20"/>
                <w:szCs w:val="20"/>
              </w:rPr>
              <w:t xml:space="preserve"> </w:t>
            </w:r>
            <w:r w:rsidR="00280058" w:rsidRPr="00BC2CB8">
              <w:rPr>
                <w:rFonts w:ascii="Georgia" w:hAnsi="Georgia"/>
                <w:sz w:val="20"/>
                <w:szCs w:val="20"/>
              </w:rPr>
              <w:t>skiriama lengvatinių paskolų priemonei;</w:t>
            </w:r>
          </w:p>
          <w:p w14:paraId="55099F65" w14:textId="3BF4A681" w:rsidR="00280058" w:rsidRPr="00BC2CB8" w:rsidRDefault="00695278" w:rsidP="00C03122">
            <w:pPr>
              <w:pStyle w:val="Sraopastraipa"/>
              <w:numPr>
                <w:ilvl w:val="0"/>
                <w:numId w:val="8"/>
              </w:num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23,9</w:t>
            </w:r>
            <w:r w:rsidR="00280058" w:rsidRPr="00BC2CB8">
              <w:rPr>
                <w:rFonts w:ascii="Georgia" w:hAnsi="Georgia"/>
                <w:sz w:val="20"/>
                <w:szCs w:val="20"/>
              </w:rPr>
              <w:t xml:space="preserve"> mln. eurų</w:t>
            </w:r>
            <w:r w:rsidR="00280058" w:rsidRPr="00BC2CB8" w:rsidDel="00334CC9">
              <w:rPr>
                <w:rFonts w:ascii="Georgia" w:hAnsi="Georgia"/>
                <w:sz w:val="20"/>
                <w:szCs w:val="20"/>
              </w:rPr>
              <w:t xml:space="preserve"> </w:t>
            </w:r>
            <w:r w:rsidR="00280058" w:rsidRPr="00BC2CB8">
              <w:rPr>
                <w:rFonts w:ascii="Georgia" w:hAnsi="Georgia"/>
                <w:sz w:val="20"/>
                <w:szCs w:val="20"/>
              </w:rPr>
              <w:t>skiriama garantijų priemonei;</w:t>
            </w:r>
          </w:p>
          <w:p w14:paraId="05B61453" w14:textId="77777777" w:rsidR="00280058" w:rsidRPr="00BC2CB8" w:rsidRDefault="00280058" w:rsidP="00F517E7">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p>
        </w:tc>
      </w:tr>
      <w:tr w:rsidR="00280058" w:rsidRPr="00BC2CB8" w14:paraId="33DF0755" w14:textId="77777777" w:rsidTr="00BB18F6">
        <w:trPr>
          <w:cantSplit/>
        </w:trPr>
        <w:tc>
          <w:tcPr>
            <w:cnfStyle w:val="001000000000" w:firstRow="0" w:lastRow="0" w:firstColumn="1" w:lastColumn="0" w:oddVBand="0" w:evenVBand="0" w:oddHBand="0" w:evenHBand="0" w:firstRowFirstColumn="0" w:firstRowLastColumn="0" w:lastRowFirstColumn="0" w:lastRowLastColumn="0"/>
            <w:tcW w:w="3164" w:type="dxa"/>
            <w:tcBorders>
              <w:top w:val="single" w:sz="6" w:space="0" w:color="C0504D" w:themeColor="accent2"/>
              <w:bottom w:val="single" w:sz="6" w:space="0" w:color="C0504D" w:themeColor="accent2"/>
              <w:right w:val="single" w:sz="6" w:space="0" w:color="C0504D" w:themeColor="accent2"/>
            </w:tcBorders>
          </w:tcPr>
          <w:p w14:paraId="03F2F480" w14:textId="77777777" w:rsidR="00280058" w:rsidRPr="00BC2CB8" w:rsidRDefault="00280058" w:rsidP="00BB18F6">
            <w:pPr>
              <w:rPr>
                <w:rFonts w:ascii="Georgia" w:hAnsi="Georgia"/>
                <w:sz w:val="20"/>
                <w:szCs w:val="20"/>
              </w:rPr>
            </w:pPr>
            <w:r w:rsidRPr="00BC2CB8">
              <w:rPr>
                <w:rFonts w:ascii="Georgia" w:hAnsi="Georgia"/>
                <w:sz w:val="20"/>
              </w:rPr>
              <w:t>Valdymo mokestis: vadovaujantis Deleguoto reglamento nuostatomis</w:t>
            </w:r>
          </w:p>
        </w:tc>
        <w:tc>
          <w:tcPr>
            <w:tcW w:w="6078" w:type="dxa"/>
            <w:tcBorders>
              <w:top w:val="single" w:sz="6" w:space="0" w:color="C0504D" w:themeColor="accent2"/>
              <w:left w:val="single" w:sz="6" w:space="0" w:color="C0504D" w:themeColor="accent2"/>
              <w:bottom w:val="single" w:sz="6" w:space="0" w:color="C0504D" w:themeColor="accent2"/>
            </w:tcBorders>
          </w:tcPr>
          <w:p w14:paraId="1A9A7DF6" w14:textId="4A1422C2" w:rsidR="00280058" w:rsidRPr="00BC2CB8" w:rsidRDefault="00280058" w:rsidP="009647A2">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rPr>
              <w:t xml:space="preserve">Vadovaujantis Deleguoto reglamento nuostatomis, valdymo mokestis susideda iš dviejų dalių: 0,5 proc. bazinis mokestis nuo finansinei priemonei skirtų ir įmokėtų lėšų ir: paskolų atveju – 1 proc. mokestis nuo paskolų, suteiktų galutiniams naudos gavėjams, sumos; garantijų atveju – 1,5 proc. nuo </w:t>
            </w:r>
            <w:r w:rsidR="009647A2">
              <w:rPr>
                <w:rFonts w:ascii="Georgia" w:hAnsi="Georgia"/>
                <w:sz w:val="20"/>
              </w:rPr>
              <w:t xml:space="preserve">garantuotų </w:t>
            </w:r>
            <w:r w:rsidRPr="00BC2CB8">
              <w:rPr>
                <w:rFonts w:ascii="Georgia" w:hAnsi="Georgia"/>
                <w:sz w:val="20"/>
              </w:rPr>
              <w:t xml:space="preserve">sumų. </w:t>
            </w:r>
          </w:p>
        </w:tc>
      </w:tr>
      <w:tr w:rsidR="00280058" w:rsidRPr="00BC2CB8" w14:paraId="6B694151"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4" w:type="dxa"/>
            <w:tcBorders>
              <w:top w:val="single" w:sz="6" w:space="0" w:color="C0504D" w:themeColor="accent2"/>
              <w:bottom w:val="single" w:sz="6" w:space="0" w:color="C0504D" w:themeColor="accent2"/>
              <w:right w:val="single" w:sz="6" w:space="0" w:color="C0504D" w:themeColor="accent2"/>
            </w:tcBorders>
          </w:tcPr>
          <w:p w14:paraId="0E290DDE" w14:textId="01864B0A" w:rsidR="00280058" w:rsidRPr="00BC2CB8" w:rsidRDefault="00280058" w:rsidP="00BB18F6">
            <w:pPr>
              <w:rPr>
                <w:rFonts w:ascii="Georgia" w:hAnsi="Georgia"/>
                <w:sz w:val="20"/>
                <w:szCs w:val="20"/>
              </w:rPr>
            </w:pPr>
            <w:r w:rsidRPr="00BC2CB8">
              <w:rPr>
                <w:rFonts w:ascii="Georgia" w:hAnsi="Georgia"/>
                <w:sz w:val="20"/>
                <w:szCs w:val="20"/>
              </w:rPr>
              <w:t xml:space="preserve">Siektinas įgyvendinamųjų projektų skaičius per metus: </w:t>
            </w:r>
            <w:r w:rsidR="00094500">
              <w:rPr>
                <w:rFonts w:ascii="Georgia" w:hAnsi="Georgia"/>
                <w:sz w:val="20"/>
                <w:szCs w:val="20"/>
              </w:rPr>
              <w:t>1</w:t>
            </w:r>
            <w:r w:rsidRPr="00BC2CB8">
              <w:rPr>
                <w:rFonts w:ascii="Georgia" w:hAnsi="Georgia"/>
                <w:sz w:val="20"/>
                <w:szCs w:val="20"/>
              </w:rPr>
              <w:t>00 projektų per metus</w:t>
            </w:r>
          </w:p>
        </w:tc>
        <w:tc>
          <w:tcPr>
            <w:tcW w:w="6078" w:type="dxa"/>
            <w:tcBorders>
              <w:top w:val="single" w:sz="6" w:space="0" w:color="C0504D" w:themeColor="accent2"/>
              <w:left w:val="single" w:sz="6" w:space="0" w:color="C0504D" w:themeColor="accent2"/>
              <w:bottom w:val="single" w:sz="6" w:space="0" w:color="C0504D" w:themeColor="accent2"/>
            </w:tcBorders>
          </w:tcPr>
          <w:p w14:paraId="5805A3C9" w14:textId="3F19CA73" w:rsidR="00280058" w:rsidRPr="00BC2CB8" w:rsidRDefault="00280058" w:rsidP="00094500">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Daroma prielaida, kad nuo </w:t>
            </w:r>
            <w:r w:rsidR="00695278" w:rsidRPr="00BC2CB8">
              <w:rPr>
                <w:rFonts w:ascii="Georgia" w:hAnsi="Georgia"/>
                <w:sz w:val="20"/>
                <w:szCs w:val="20"/>
              </w:rPr>
              <w:t>201</w:t>
            </w:r>
            <w:r w:rsidR="00695278">
              <w:rPr>
                <w:rFonts w:ascii="Georgia" w:hAnsi="Georgia"/>
                <w:sz w:val="20"/>
                <w:szCs w:val="20"/>
              </w:rPr>
              <w:t xml:space="preserve">8 </w:t>
            </w:r>
            <w:r w:rsidRPr="00BC2CB8">
              <w:rPr>
                <w:rFonts w:ascii="Georgia" w:hAnsi="Georgia"/>
                <w:sz w:val="20"/>
                <w:szCs w:val="20"/>
              </w:rPr>
              <w:t xml:space="preserve">metų, susiformavus ESCO rinkai, projektų skaičius galėtų siekti apie </w:t>
            </w:r>
            <w:r w:rsidR="00094500">
              <w:rPr>
                <w:rFonts w:ascii="Georgia" w:hAnsi="Georgia"/>
                <w:sz w:val="20"/>
                <w:szCs w:val="20"/>
              </w:rPr>
              <w:t>50</w:t>
            </w:r>
            <w:r w:rsidR="00695278">
              <w:rPr>
                <w:rFonts w:ascii="Georgia" w:hAnsi="Georgia"/>
                <w:sz w:val="20"/>
                <w:szCs w:val="20"/>
              </w:rPr>
              <w:t xml:space="preserve"> </w:t>
            </w:r>
            <w:r w:rsidR="00695278" w:rsidRPr="00BC2CB8">
              <w:rPr>
                <w:rFonts w:ascii="Georgia" w:hAnsi="Georgia"/>
                <w:sz w:val="20"/>
                <w:szCs w:val="20"/>
              </w:rPr>
              <w:t xml:space="preserve"> </w:t>
            </w:r>
            <w:r w:rsidRPr="00BC2CB8">
              <w:rPr>
                <w:rFonts w:ascii="Georgia" w:hAnsi="Georgia"/>
                <w:sz w:val="20"/>
                <w:szCs w:val="20"/>
              </w:rPr>
              <w:t>tipini</w:t>
            </w:r>
            <w:r w:rsidR="00094500">
              <w:rPr>
                <w:rFonts w:ascii="Georgia" w:hAnsi="Georgia"/>
                <w:sz w:val="20"/>
                <w:szCs w:val="20"/>
              </w:rPr>
              <w:t>ų</w:t>
            </w:r>
            <w:r w:rsidRPr="00BC2CB8">
              <w:rPr>
                <w:rFonts w:ascii="Georgia" w:hAnsi="Georgia"/>
                <w:sz w:val="20"/>
                <w:szCs w:val="20"/>
              </w:rPr>
              <w:t xml:space="preserve"> viešųjų pastatų modernizavimo projekt</w:t>
            </w:r>
            <w:r w:rsidR="00094500">
              <w:rPr>
                <w:rFonts w:ascii="Georgia" w:hAnsi="Georgia"/>
                <w:sz w:val="20"/>
                <w:szCs w:val="20"/>
              </w:rPr>
              <w:t>ų</w:t>
            </w:r>
            <w:r w:rsidRPr="00BC2CB8">
              <w:rPr>
                <w:rFonts w:ascii="Georgia" w:hAnsi="Georgia"/>
                <w:sz w:val="20"/>
                <w:szCs w:val="20"/>
              </w:rPr>
              <w:t xml:space="preserve"> per metus paskolų finansinės priemonės atveju ir </w:t>
            </w:r>
            <w:r w:rsidR="00094500">
              <w:rPr>
                <w:rFonts w:ascii="Georgia" w:hAnsi="Georgia"/>
                <w:sz w:val="20"/>
                <w:szCs w:val="20"/>
              </w:rPr>
              <w:t>50</w:t>
            </w:r>
            <w:r w:rsidR="00094500" w:rsidRPr="00BC2CB8">
              <w:rPr>
                <w:rFonts w:ascii="Georgia" w:hAnsi="Georgia"/>
                <w:sz w:val="20"/>
                <w:szCs w:val="20"/>
              </w:rPr>
              <w:t xml:space="preserve"> </w:t>
            </w:r>
            <w:r w:rsidRPr="00BC2CB8">
              <w:rPr>
                <w:rFonts w:ascii="Georgia" w:hAnsi="Georgia"/>
                <w:sz w:val="20"/>
                <w:szCs w:val="20"/>
              </w:rPr>
              <w:t>tipini</w:t>
            </w:r>
            <w:r w:rsidR="00094500">
              <w:rPr>
                <w:rFonts w:ascii="Georgia" w:hAnsi="Georgia"/>
                <w:sz w:val="20"/>
                <w:szCs w:val="20"/>
              </w:rPr>
              <w:t>ų</w:t>
            </w:r>
            <w:r w:rsidRPr="00BC2CB8">
              <w:rPr>
                <w:rFonts w:ascii="Georgia" w:hAnsi="Georgia"/>
                <w:sz w:val="20"/>
                <w:szCs w:val="20"/>
              </w:rPr>
              <w:t xml:space="preserve"> viešųjų pastatų modernizavimo projekt</w:t>
            </w:r>
            <w:r w:rsidR="00094500">
              <w:rPr>
                <w:rFonts w:ascii="Georgia" w:hAnsi="Georgia"/>
                <w:sz w:val="20"/>
                <w:szCs w:val="20"/>
              </w:rPr>
              <w:t>ų</w:t>
            </w:r>
            <w:r w:rsidRPr="00BC2CB8">
              <w:rPr>
                <w:rFonts w:ascii="Georgia" w:hAnsi="Georgia"/>
                <w:sz w:val="20"/>
                <w:szCs w:val="20"/>
              </w:rPr>
              <w:t xml:space="preserve"> per metus garantijų finansinės priemonės atveju.</w:t>
            </w:r>
          </w:p>
        </w:tc>
      </w:tr>
      <w:tr w:rsidR="00280058" w:rsidRPr="00BC2CB8" w14:paraId="5F6AEA03" w14:textId="77777777" w:rsidTr="00BB18F6">
        <w:trPr>
          <w:cantSplit/>
        </w:trPr>
        <w:tc>
          <w:tcPr>
            <w:cnfStyle w:val="001000000000" w:firstRow="0" w:lastRow="0" w:firstColumn="1" w:lastColumn="0" w:oddVBand="0" w:evenVBand="0" w:oddHBand="0" w:evenHBand="0" w:firstRowFirstColumn="0" w:firstRowLastColumn="0" w:lastRowFirstColumn="0" w:lastRowLastColumn="0"/>
            <w:tcW w:w="3164" w:type="dxa"/>
            <w:tcBorders>
              <w:top w:val="single" w:sz="6" w:space="0" w:color="C0504D" w:themeColor="accent2"/>
              <w:bottom w:val="single" w:sz="6" w:space="0" w:color="C0504D" w:themeColor="accent2"/>
              <w:right w:val="single" w:sz="6" w:space="0" w:color="C0504D" w:themeColor="accent2"/>
            </w:tcBorders>
          </w:tcPr>
          <w:p w14:paraId="3FFB9E76" w14:textId="77777777" w:rsidR="00280058" w:rsidRPr="00BC2CB8" w:rsidRDefault="00280058" w:rsidP="00BB18F6">
            <w:pPr>
              <w:rPr>
                <w:rFonts w:ascii="Georgia" w:hAnsi="Georgia"/>
                <w:b w:val="0"/>
                <w:sz w:val="20"/>
                <w:szCs w:val="20"/>
              </w:rPr>
            </w:pPr>
            <w:r w:rsidRPr="00BC2CB8">
              <w:rPr>
                <w:rFonts w:ascii="Georgia" w:hAnsi="Georgia"/>
                <w:sz w:val="20"/>
                <w:szCs w:val="20"/>
              </w:rPr>
              <w:t>Projekto įgyvendinimo laikotarpis: 1 metai</w:t>
            </w:r>
          </w:p>
        </w:tc>
        <w:tc>
          <w:tcPr>
            <w:tcW w:w="6078" w:type="dxa"/>
            <w:tcBorders>
              <w:top w:val="single" w:sz="6" w:space="0" w:color="C0504D" w:themeColor="accent2"/>
              <w:left w:val="single" w:sz="6" w:space="0" w:color="C0504D" w:themeColor="accent2"/>
              <w:bottom w:val="single" w:sz="6" w:space="0" w:color="C0504D" w:themeColor="accent2"/>
            </w:tcBorders>
          </w:tcPr>
          <w:p w14:paraId="32FAED35" w14:textId="77777777"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tipinio viešojo pastato renovacijos laikas yra 1 metai nuo paskolos sutarties pasirašymo momento.</w:t>
            </w:r>
          </w:p>
        </w:tc>
      </w:tr>
    </w:tbl>
    <w:p w14:paraId="23A0542D" w14:textId="77777777" w:rsidR="00280058" w:rsidRPr="00BC2CB8" w:rsidRDefault="00280058" w:rsidP="00280058">
      <w:pPr>
        <w:ind w:left="360"/>
        <w:rPr>
          <w:rFonts w:ascii="Georgia" w:hAnsi="Georgia"/>
          <w:sz w:val="20"/>
          <w:szCs w:val="20"/>
          <w:lang w:val="lt-LT"/>
        </w:rPr>
      </w:pPr>
    </w:p>
    <w:p w14:paraId="58CA0914" w14:textId="42186FC5" w:rsidR="00280058" w:rsidRPr="00BC2CB8" w:rsidRDefault="00280058" w:rsidP="00280058">
      <w:pPr>
        <w:pStyle w:val="Antrat"/>
        <w:jc w:val="both"/>
        <w:rPr>
          <w:szCs w:val="20"/>
          <w:lang w:val="lt-LT"/>
        </w:rPr>
      </w:pPr>
      <w:bookmarkStart w:id="208" w:name="_Toc460321684"/>
      <w:r w:rsidRPr="00BC2CB8">
        <w:rPr>
          <w:lang w:val="lt-LT"/>
        </w:rPr>
        <w:lastRenderedPageBreak/>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103</w:t>
      </w:r>
      <w:r w:rsidRPr="00BC2CB8">
        <w:rPr>
          <w:lang w:val="lt-LT"/>
        </w:rPr>
        <w:fldChar w:fldCharType="end"/>
      </w:r>
      <w:r w:rsidRPr="00BC2CB8">
        <w:rPr>
          <w:lang w:val="lt-LT"/>
        </w:rPr>
        <w:t xml:space="preserve">. Scenarijaus Nr. 3 </w:t>
      </w:r>
      <w:r w:rsidRPr="00BC2CB8">
        <w:rPr>
          <w:szCs w:val="20"/>
          <w:lang w:val="lt-LT"/>
        </w:rPr>
        <w:t>lengvatinių paskolų modelio įgyvendinimo prognozė</w:t>
      </w:r>
      <w:bookmarkEnd w:id="208"/>
    </w:p>
    <w:p w14:paraId="59CB3016" w14:textId="608A0A55" w:rsidR="00280058" w:rsidRPr="00BC2CB8" w:rsidRDefault="00094500" w:rsidP="00280058">
      <w:pPr>
        <w:rPr>
          <w:lang w:val="lt-LT"/>
        </w:rPr>
      </w:pPr>
      <w:r w:rsidRPr="00BC2CB8" w:rsidDel="00094500">
        <w:rPr>
          <w:noProof/>
        </w:rPr>
        <w:t xml:space="preserve"> </w:t>
      </w:r>
      <w:r>
        <w:rPr>
          <w:noProof/>
          <w:lang w:val="lt-LT" w:eastAsia="lt-LT"/>
        </w:rPr>
        <w:drawing>
          <wp:inline distT="0" distB="0" distL="0" distR="0" wp14:anchorId="3DC8826E" wp14:editId="5040981E">
            <wp:extent cx="6019138" cy="2880929"/>
            <wp:effectExtent l="0" t="0" r="127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screen">
                      <a:extLst>
                        <a:ext uri="{28A0092B-C50C-407E-A947-70E740481C1C}">
                          <a14:useLocalDpi xmlns:a14="http://schemas.microsoft.com/office/drawing/2010/main"/>
                        </a:ext>
                      </a:extLst>
                    </a:blip>
                    <a:srcRect/>
                    <a:stretch/>
                  </pic:blipFill>
                  <pic:spPr bwMode="auto">
                    <a:xfrm>
                      <a:off x="0" y="0"/>
                      <a:ext cx="6027227" cy="2884801"/>
                    </a:xfrm>
                    <a:prstGeom prst="rect">
                      <a:avLst/>
                    </a:prstGeom>
                    <a:ln>
                      <a:noFill/>
                    </a:ln>
                    <a:extLst>
                      <a:ext uri="{53640926-AAD7-44D8-BBD7-CCE9431645EC}">
                        <a14:shadowObscured xmlns:a14="http://schemas.microsoft.com/office/drawing/2010/main"/>
                      </a:ext>
                    </a:extLst>
                  </pic:spPr>
                </pic:pic>
              </a:graphicData>
            </a:graphic>
          </wp:inline>
        </w:drawing>
      </w:r>
      <w:r w:rsidRPr="00BC2CB8" w:rsidDel="00094500">
        <w:rPr>
          <w:noProof/>
        </w:rPr>
        <w:t xml:space="preserve"> </w:t>
      </w:r>
    </w:p>
    <w:p w14:paraId="6300A471" w14:textId="65513815" w:rsidR="00280058" w:rsidRPr="00BC2CB8" w:rsidRDefault="00280058" w:rsidP="00280058">
      <w:pPr>
        <w:pStyle w:val="Antrat"/>
        <w:jc w:val="both"/>
        <w:rPr>
          <w:lang w:val="lt-LT"/>
        </w:rPr>
      </w:pPr>
      <w:bookmarkStart w:id="209" w:name="_Toc460321685"/>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104</w:t>
      </w:r>
      <w:r w:rsidRPr="00BC2CB8">
        <w:rPr>
          <w:lang w:val="lt-LT"/>
        </w:rPr>
        <w:fldChar w:fldCharType="end"/>
      </w:r>
      <w:r w:rsidRPr="00BC2CB8">
        <w:rPr>
          <w:lang w:val="lt-LT"/>
        </w:rPr>
        <w:t>. Scenarijaus Nr. 3 garantijų modelio įgyvendinimo prognozė</w:t>
      </w:r>
      <w:bookmarkEnd w:id="209"/>
    </w:p>
    <w:p w14:paraId="2AB164D5" w14:textId="2456CF8A" w:rsidR="00280058" w:rsidRPr="00BC2CB8" w:rsidRDefault="00440FFF" w:rsidP="00280058">
      <w:pPr>
        <w:rPr>
          <w:lang w:val="lt-LT"/>
        </w:rPr>
      </w:pPr>
      <w:r>
        <w:rPr>
          <w:noProof/>
          <w:lang w:val="lt-LT" w:eastAsia="lt-LT"/>
        </w:rPr>
        <w:drawing>
          <wp:inline distT="0" distB="0" distL="0" distR="0" wp14:anchorId="67D5F91C" wp14:editId="16C29206">
            <wp:extent cx="6066845" cy="2761732"/>
            <wp:effectExtent l="0" t="0" r="0" b="63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10545" t="36869" r="18427" b="9759"/>
                    <a:stretch/>
                  </pic:blipFill>
                  <pic:spPr bwMode="auto">
                    <a:xfrm>
                      <a:off x="0" y="0"/>
                      <a:ext cx="6082939" cy="2769058"/>
                    </a:xfrm>
                    <a:prstGeom prst="rect">
                      <a:avLst/>
                    </a:prstGeom>
                    <a:ln>
                      <a:noFill/>
                    </a:ln>
                    <a:extLst>
                      <a:ext uri="{53640926-AAD7-44D8-BBD7-CCE9431645EC}">
                        <a14:shadowObscured xmlns:a14="http://schemas.microsoft.com/office/drawing/2010/main"/>
                      </a:ext>
                    </a:extLst>
                  </pic:spPr>
                </pic:pic>
              </a:graphicData>
            </a:graphic>
          </wp:inline>
        </w:drawing>
      </w:r>
      <w:r w:rsidRPr="00BC2CB8" w:rsidDel="00094500">
        <w:rPr>
          <w:noProof/>
        </w:rPr>
        <w:t xml:space="preserve"> </w:t>
      </w:r>
    </w:p>
    <w:p w14:paraId="72761ACA" w14:textId="6F0FE565" w:rsidR="00280058" w:rsidRPr="00BC2CB8" w:rsidRDefault="00280058" w:rsidP="00280058">
      <w:pPr>
        <w:pStyle w:val="Antrat"/>
        <w:jc w:val="both"/>
        <w:rPr>
          <w:szCs w:val="20"/>
          <w:lang w:val="lt-LT"/>
        </w:rPr>
      </w:pPr>
      <w:bookmarkStart w:id="210" w:name="_Toc460321686"/>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105</w:t>
      </w:r>
      <w:r w:rsidRPr="00BC2CB8">
        <w:rPr>
          <w:lang w:val="lt-LT"/>
        </w:rPr>
        <w:fldChar w:fldCharType="end"/>
      </w:r>
      <w:r w:rsidRPr="00BC2CB8">
        <w:rPr>
          <w:lang w:val="lt-LT"/>
        </w:rPr>
        <w:t xml:space="preserve">. </w:t>
      </w:r>
      <w:r w:rsidRPr="00BC2CB8">
        <w:rPr>
          <w:szCs w:val="20"/>
          <w:lang w:val="lt-LT"/>
        </w:rPr>
        <w:t>Scenarijaus Nr. 3 rezultatai</w:t>
      </w:r>
      <w:bookmarkEnd w:id="210"/>
    </w:p>
    <w:tbl>
      <w:tblPr>
        <w:tblStyle w:val="viesussraas2parykinimas"/>
        <w:tblW w:w="5000" w:type="pct"/>
        <w:tblLook w:val="04A0" w:firstRow="1" w:lastRow="0" w:firstColumn="1" w:lastColumn="0" w:noHBand="0" w:noVBand="1"/>
      </w:tblPr>
      <w:tblGrid>
        <w:gridCol w:w="6647"/>
        <w:gridCol w:w="2595"/>
      </w:tblGrid>
      <w:tr w:rsidR="00280058" w:rsidRPr="00BC2CB8" w14:paraId="049CEDD4" w14:textId="77777777" w:rsidTr="00C83D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96" w:type="pct"/>
          </w:tcPr>
          <w:p w14:paraId="37EEA84D" w14:textId="77777777" w:rsidR="00280058" w:rsidRPr="00BC2CB8" w:rsidRDefault="00280058" w:rsidP="00BB18F6">
            <w:pPr>
              <w:jc w:val="center"/>
              <w:rPr>
                <w:rFonts w:ascii="Georgia" w:hAnsi="Georgia"/>
                <w:sz w:val="20"/>
                <w:szCs w:val="20"/>
              </w:rPr>
            </w:pPr>
            <w:r w:rsidRPr="00BC2CB8">
              <w:rPr>
                <w:rFonts w:ascii="Georgia" w:hAnsi="Georgia"/>
                <w:sz w:val="20"/>
                <w:szCs w:val="20"/>
              </w:rPr>
              <w:t>Fondas</w:t>
            </w:r>
          </w:p>
        </w:tc>
        <w:tc>
          <w:tcPr>
            <w:tcW w:w="1404" w:type="pct"/>
          </w:tcPr>
          <w:p w14:paraId="59BB619F" w14:textId="77777777" w:rsidR="00280058" w:rsidRPr="00BC2CB8" w:rsidRDefault="00280058" w:rsidP="00BB18F6">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mln. eurų</w:t>
            </w:r>
          </w:p>
        </w:tc>
      </w:tr>
      <w:tr w:rsidR="00280058" w:rsidRPr="00BC2CB8" w14:paraId="27459954" w14:textId="77777777" w:rsidTr="00C83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pct"/>
          </w:tcPr>
          <w:p w14:paraId="135C820F" w14:textId="77777777" w:rsidR="00280058" w:rsidRPr="00BC2CB8" w:rsidRDefault="00280058" w:rsidP="00BB18F6">
            <w:pPr>
              <w:rPr>
                <w:rFonts w:ascii="Georgia" w:hAnsi="Georgia"/>
                <w:sz w:val="20"/>
                <w:szCs w:val="20"/>
              </w:rPr>
            </w:pPr>
            <w:r w:rsidRPr="00BC2CB8">
              <w:rPr>
                <w:rFonts w:ascii="Georgia" w:hAnsi="Georgia"/>
                <w:sz w:val="20"/>
                <w:szCs w:val="20"/>
              </w:rPr>
              <w:t>Galutinius naudos gavėjus pasiekusios lėšos</w:t>
            </w:r>
          </w:p>
        </w:tc>
        <w:tc>
          <w:tcPr>
            <w:tcW w:w="1404" w:type="pct"/>
          </w:tcPr>
          <w:p w14:paraId="5EF63B16" w14:textId="59B9D61F" w:rsidR="00280058" w:rsidRPr="00BC2CB8" w:rsidRDefault="00F517E7" w:rsidP="00BB18F6">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99,7</w:t>
            </w:r>
          </w:p>
        </w:tc>
      </w:tr>
      <w:tr w:rsidR="00280058" w:rsidRPr="00BC2CB8" w14:paraId="644157ED" w14:textId="77777777" w:rsidTr="00C83DB2">
        <w:tc>
          <w:tcPr>
            <w:cnfStyle w:val="001000000000" w:firstRow="0" w:lastRow="0" w:firstColumn="1" w:lastColumn="0" w:oddVBand="0" w:evenVBand="0" w:oddHBand="0" w:evenHBand="0" w:firstRowFirstColumn="0" w:firstRowLastColumn="0" w:lastRowFirstColumn="0" w:lastRowLastColumn="0"/>
            <w:tcW w:w="3596" w:type="pct"/>
          </w:tcPr>
          <w:p w14:paraId="3417F94B" w14:textId="77777777" w:rsidR="00280058" w:rsidRPr="00BC2CB8" w:rsidRDefault="00280058" w:rsidP="00BB18F6">
            <w:pPr>
              <w:rPr>
                <w:rFonts w:ascii="Georgia" w:hAnsi="Georgia"/>
                <w:sz w:val="20"/>
                <w:szCs w:val="20"/>
              </w:rPr>
            </w:pPr>
            <w:r w:rsidRPr="00BC2CB8">
              <w:rPr>
                <w:rFonts w:ascii="Georgia" w:hAnsi="Georgia"/>
                <w:sz w:val="20"/>
                <w:szCs w:val="20"/>
              </w:rPr>
              <w:t>Suteiktos komercinių bankų paskolos</w:t>
            </w:r>
          </w:p>
        </w:tc>
        <w:tc>
          <w:tcPr>
            <w:tcW w:w="1404" w:type="pct"/>
          </w:tcPr>
          <w:p w14:paraId="16C37A8E" w14:textId="49585873" w:rsidR="00280058" w:rsidRPr="00BC2CB8" w:rsidRDefault="00F517E7" w:rsidP="00BB18F6">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50,2</w:t>
            </w:r>
            <w:r w:rsidR="00280058" w:rsidRPr="00BC2CB8">
              <w:rPr>
                <w:rFonts w:ascii="Georgia" w:hAnsi="Georgia"/>
                <w:sz w:val="20"/>
                <w:szCs w:val="20"/>
              </w:rPr>
              <w:t xml:space="preserve">  </w:t>
            </w:r>
          </w:p>
        </w:tc>
      </w:tr>
      <w:tr w:rsidR="00280058" w:rsidRPr="00BC2CB8" w14:paraId="04E16535" w14:textId="77777777" w:rsidTr="00C83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pct"/>
          </w:tcPr>
          <w:p w14:paraId="2ABFA544" w14:textId="77777777" w:rsidR="00280058" w:rsidRPr="00BC2CB8" w:rsidRDefault="00280058" w:rsidP="00BB18F6">
            <w:pPr>
              <w:rPr>
                <w:rFonts w:ascii="Georgia" w:hAnsi="Georgia"/>
                <w:sz w:val="20"/>
                <w:szCs w:val="20"/>
              </w:rPr>
            </w:pPr>
            <w:r w:rsidRPr="00BC2CB8">
              <w:rPr>
                <w:rFonts w:ascii="Georgia" w:hAnsi="Georgia"/>
                <w:sz w:val="20"/>
                <w:szCs w:val="20"/>
              </w:rPr>
              <w:t>Išmokėtos lėšos garantijų padengimui</w:t>
            </w:r>
          </w:p>
        </w:tc>
        <w:tc>
          <w:tcPr>
            <w:tcW w:w="1404" w:type="pct"/>
          </w:tcPr>
          <w:p w14:paraId="1533F241" w14:textId="5D461F4C" w:rsidR="00280058" w:rsidRPr="00BC2CB8" w:rsidRDefault="00F517E7" w:rsidP="00BB18F6">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2</w:t>
            </w:r>
          </w:p>
        </w:tc>
      </w:tr>
      <w:tr w:rsidR="00280058" w:rsidRPr="00BC2CB8" w14:paraId="62F1466C" w14:textId="77777777" w:rsidTr="00C83DB2">
        <w:tc>
          <w:tcPr>
            <w:cnfStyle w:val="001000000000" w:firstRow="0" w:lastRow="0" w:firstColumn="1" w:lastColumn="0" w:oddVBand="0" w:evenVBand="0" w:oddHBand="0" w:evenHBand="0" w:firstRowFirstColumn="0" w:firstRowLastColumn="0" w:lastRowFirstColumn="0" w:lastRowLastColumn="0"/>
            <w:tcW w:w="3596" w:type="pct"/>
          </w:tcPr>
          <w:p w14:paraId="55F46191" w14:textId="77777777" w:rsidR="00280058" w:rsidRPr="00BC2CB8" w:rsidRDefault="00280058" w:rsidP="00BB18F6">
            <w:pPr>
              <w:rPr>
                <w:rFonts w:ascii="Georgia" w:hAnsi="Georgia"/>
                <w:sz w:val="20"/>
                <w:szCs w:val="20"/>
              </w:rPr>
            </w:pPr>
            <w:r w:rsidRPr="00BC2CB8">
              <w:rPr>
                <w:rFonts w:ascii="Georgia" w:hAnsi="Georgia"/>
                <w:sz w:val="20"/>
                <w:szCs w:val="20"/>
              </w:rPr>
              <w:t>Iki 2022 m. renovuotų pastatų skaičius (per paskolų ir garantijų priemones)</w:t>
            </w:r>
          </w:p>
        </w:tc>
        <w:tc>
          <w:tcPr>
            <w:tcW w:w="1404" w:type="pct"/>
          </w:tcPr>
          <w:p w14:paraId="1B4FE42D" w14:textId="0EC2DF8B" w:rsidR="00280058" w:rsidRPr="00BC2CB8" w:rsidRDefault="00F517E7" w:rsidP="00F517E7">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437</w:t>
            </w:r>
            <w:r w:rsidRPr="00BC2CB8">
              <w:rPr>
                <w:rFonts w:ascii="Georgia" w:hAnsi="Georgia"/>
                <w:sz w:val="20"/>
                <w:szCs w:val="20"/>
              </w:rPr>
              <w:t xml:space="preserve"> </w:t>
            </w:r>
            <w:r w:rsidR="00280058" w:rsidRPr="00BC2CB8">
              <w:rPr>
                <w:rFonts w:ascii="Georgia" w:hAnsi="Georgia"/>
                <w:sz w:val="20"/>
                <w:szCs w:val="20"/>
              </w:rPr>
              <w:t>(</w:t>
            </w:r>
            <w:r>
              <w:rPr>
                <w:rFonts w:ascii="Georgia" w:hAnsi="Georgia"/>
                <w:sz w:val="20"/>
                <w:szCs w:val="20"/>
              </w:rPr>
              <w:t>217</w:t>
            </w:r>
            <w:r w:rsidR="00280058" w:rsidRPr="00BC2CB8">
              <w:rPr>
                <w:rFonts w:ascii="Georgia" w:hAnsi="Georgia"/>
                <w:sz w:val="20"/>
                <w:szCs w:val="20"/>
              </w:rPr>
              <w:t xml:space="preserve">+ </w:t>
            </w:r>
            <w:r>
              <w:rPr>
                <w:rFonts w:ascii="Georgia" w:hAnsi="Georgia"/>
                <w:sz w:val="20"/>
                <w:szCs w:val="20"/>
              </w:rPr>
              <w:t>220</w:t>
            </w:r>
            <w:r w:rsidR="00280058" w:rsidRPr="00BC2CB8">
              <w:rPr>
                <w:rFonts w:ascii="Georgia" w:hAnsi="Georgia"/>
                <w:sz w:val="20"/>
                <w:szCs w:val="20"/>
              </w:rPr>
              <w:t>)</w:t>
            </w:r>
          </w:p>
        </w:tc>
      </w:tr>
      <w:tr w:rsidR="00280058" w:rsidRPr="00BC2CB8" w14:paraId="4EBBF258" w14:textId="77777777" w:rsidTr="00C83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pct"/>
          </w:tcPr>
          <w:p w14:paraId="5D27804A" w14:textId="77777777" w:rsidR="00280058" w:rsidRPr="00BC2CB8" w:rsidRDefault="00280058" w:rsidP="00BB18F6">
            <w:pPr>
              <w:rPr>
                <w:rFonts w:ascii="Georgia" w:hAnsi="Georgia"/>
                <w:sz w:val="20"/>
                <w:szCs w:val="20"/>
              </w:rPr>
            </w:pPr>
            <w:r w:rsidRPr="00BC2CB8">
              <w:rPr>
                <w:rFonts w:ascii="Georgia" w:hAnsi="Georgia"/>
                <w:sz w:val="20"/>
                <w:szCs w:val="20"/>
              </w:rPr>
              <w:t>Iki 2022 m. renovuotų pastatų plotas, tūkst. kv. m.</w:t>
            </w:r>
          </w:p>
        </w:tc>
        <w:tc>
          <w:tcPr>
            <w:tcW w:w="1404" w:type="pct"/>
          </w:tcPr>
          <w:p w14:paraId="4F7175AB" w14:textId="650689C5" w:rsidR="00280058" w:rsidRPr="00BC2CB8" w:rsidRDefault="00F517E7" w:rsidP="00BB18F6">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492</w:t>
            </w:r>
          </w:p>
        </w:tc>
      </w:tr>
      <w:tr w:rsidR="00280058" w:rsidRPr="00BC2CB8" w14:paraId="21634B17" w14:textId="77777777" w:rsidTr="00C83DB2">
        <w:tc>
          <w:tcPr>
            <w:cnfStyle w:val="001000000000" w:firstRow="0" w:lastRow="0" w:firstColumn="1" w:lastColumn="0" w:oddVBand="0" w:evenVBand="0" w:oddHBand="0" w:evenHBand="0" w:firstRowFirstColumn="0" w:firstRowLastColumn="0" w:lastRowFirstColumn="0" w:lastRowLastColumn="0"/>
            <w:tcW w:w="3596" w:type="pct"/>
          </w:tcPr>
          <w:p w14:paraId="1B4CEFEA" w14:textId="77777777" w:rsidR="00280058" w:rsidRPr="00BC2CB8" w:rsidRDefault="00280058" w:rsidP="00BB18F6">
            <w:pPr>
              <w:rPr>
                <w:rFonts w:ascii="Georgia" w:hAnsi="Georgia"/>
                <w:sz w:val="20"/>
                <w:szCs w:val="20"/>
              </w:rPr>
            </w:pPr>
            <w:r w:rsidRPr="00BC2CB8">
              <w:rPr>
                <w:rFonts w:ascii="Georgia" w:hAnsi="Georgia"/>
                <w:sz w:val="20"/>
                <w:szCs w:val="20"/>
              </w:rPr>
              <w:t>Iki 2020 m. renovuotų pastatų plotas, tūkst. kv. m.</w:t>
            </w:r>
          </w:p>
        </w:tc>
        <w:tc>
          <w:tcPr>
            <w:tcW w:w="1404" w:type="pct"/>
          </w:tcPr>
          <w:p w14:paraId="719CA498" w14:textId="46E04633" w:rsidR="00280058" w:rsidRPr="00BC2CB8" w:rsidRDefault="00F517E7" w:rsidP="00BB18F6">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267</w:t>
            </w:r>
          </w:p>
        </w:tc>
      </w:tr>
    </w:tbl>
    <w:p w14:paraId="79446C2C" w14:textId="77777777" w:rsidR="00280058" w:rsidRPr="00BC2CB8" w:rsidRDefault="00280058" w:rsidP="00280058">
      <w:pPr>
        <w:ind w:left="360"/>
        <w:rPr>
          <w:rFonts w:ascii="Georgia" w:hAnsi="Georgia"/>
          <w:sz w:val="20"/>
          <w:szCs w:val="20"/>
          <w:lang w:val="lt-LT"/>
        </w:rPr>
      </w:pPr>
    </w:p>
    <w:p w14:paraId="50F6C460" w14:textId="77777777" w:rsidR="00280058" w:rsidRPr="00BC2CB8" w:rsidRDefault="00280058" w:rsidP="00280058">
      <w:pPr>
        <w:ind w:left="360"/>
        <w:rPr>
          <w:rFonts w:ascii="Georgia" w:hAnsi="Georgia"/>
          <w:sz w:val="20"/>
          <w:szCs w:val="20"/>
          <w:lang w:val="lt-LT"/>
        </w:rPr>
      </w:pPr>
    </w:p>
    <w:p w14:paraId="25D88266" w14:textId="77777777" w:rsidR="00280058" w:rsidRPr="00BC2CB8" w:rsidRDefault="00280058" w:rsidP="00C03122">
      <w:pPr>
        <w:pStyle w:val="Sraopastraipa"/>
        <w:numPr>
          <w:ilvl w:val="0"/>
          <w:numId w:val="34"/>
        </w:numPr>
        <w:rPr>
          <w:rFonts w:ascii="Georgia" w:hAnsi="Georgia"/>
          <w:b/>
          <w:i/>
          <w:sz w:val="20"/>
          <w:szCs w:val="20"/>
          <w:lang w:val="lt-LT"/>
        </w:rPr>
      </w:pPr>
      <w:r w:rsidRPr="00BC2CB8">
        <w:rPr>
          <w:rFonts w:ascii="Georgia" w:hAnsi="Georgia"/>
          <w:b/>
          <w:i/>
          <w:sz w:val="20"/>
          <w:szCs w:val="20"/>
          <w:lang w:val="lt-LT"/>
        </w:rPr>
        <w:t>Scenarijus Nr. 4: Dalis finansinės priemonės lėšų nukreipiama į paskolų modelį ir dalis į garantijų priemonę su galimybę išpirkti ateities finansinius srautus</w:t>
      </w:r>
      <w:r w:rsidRPr="00BC2CB8" w:rsidDel="00037033">
        <w:rPr>
          <w:rFonts w:ascii="Georgia" w:hAnsi="Georgia"/>
          <w:b/>
          <w:i/>
          <w:sz w:val="20"/>
          <w:szCs w:val="20"/>
          <w:lang w:val="lt-LT"/>
        </w:rPr>
        <w:t xml:space="preserve"> </w:t>
      </w:r>
    </w:p>
    <w:p w14:paraId="7E0F4FA1" w14:textId="24F1E121" w:rsidR="00280058" w:rsidRPr="00BC2CB8" w:rsidRDefault="00280058" w:rsidP="00280058">
      <w:pPr>
        <w:jc w:val="both"/>
        <w:rPr>
          <w:rFonts w:ascii="Georgia" w:hAnsi="Georgia"/>
          <w:sz w:val="20"/>
          <w:szCs w:val="20"/>
          <w:lang w:val="lt-LT"/>
        </w:rPr>
      </w:pPr>
    </w:p>
    <w:p w14:paraId="2C6EC5C1" w14:textId="77777777" w:rsidR="0010799D" w:rsidRDefault="00D33537" w:rsidP="00280058">
      <w:pPr>
        <w:pStyle w:val="Antrat"/>
        <w:rPr>
          <w:lang w:val="lt-LT"/>
        </w:rPr>
      </w:pPr>
      <w:r>
        <w:rPr>
          <w:noProof/>
          <w:lang w:val="lt-LT" w:eastAsia="lt-LT"/>
        </w:rPr>
        <w:drawing>
          <wp:inline distT="0" distB="0" distL="0" distR="0" wp14:anchorId="6BE2EC8B" wp14:editId="7B997499">
            <wp:extent cx="5731510" cy="2156460"/>
            <wp:effectExtent l="0" t="0" r="254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SCO Nr. 4.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31510" cy="2156460"/>
                    </a:xfrm>
                    <a:prstGeom prst="rect">
                      <a:avLst/>
                    </a:prstGeom>
                  </pic:spPr>
                </pic:pic>
              </a:graphicData>
            </a:graphic>
          </wp:inline>
        </w:drawing>
      </w:r>
    </w:p>
    <w:p w14:paraId="30A5571A" w14:textId="3580AAC7" w:rsidR="00280058" w:rsidRPr="00BC2CB8" w:rsidRDefault="00280058" w:rsidP="00280058">
      <w:pPr>
        <w:pStyle w:val="Antrat"/>
        <w:rPr>
          <w:szCs w:val="20"/>
          <w:lang w:val="lt-LT"/>
        </w:rPr>
      </w:pPr>
      <w:bookmarkStart w:id="211" w:name="_Toc417378314"/>
      <w:r w:rsidRPr="00BC2CB8">
        <w:rPr>
          <w:lang w:val="lt-LT"/>
        </w:rPr>
        <w:t xml:space="preserve">Paveikslas </w:t>
      </w:r>
      <w:r w:rsidRPr="00BC2CB8">
        <w:rPr>
          <w:lang w:val="lt-LT"/>
        </w:rPr>
        <w:fldChar w:fldCharType="begin"/>
      </w:r>
      <w:r w:rsidRPr="00BC2CB8">
        <w:rPr>
          <w:lang w:val="lt-LT"/>
        </w:rPr>
        <w:instrText xml:space="preserve"> SEQ Paveikslas \* ARABIC </w:instrText>
      </w:r>
      <w:r w:rsidRPr="00BC2CB8">
        <w:rPr>
          <w:lang w:val="lt-LT"/>
        </w:rPr>
        <w:fldChar w:fldCharType="separate"/>
      </w:r>
      <w:r w:rsidR="00AA3082">
        <w:rPr>
          <w:noProof/>
          <w:lang w:val="lt-LT"/>
        </w:rPr>
        <w:t>37</w:t>
      </w:r>
      <w:r w:rsidRPr="00BC2CB8">
        <w:rPr>
          <w:lang w:val="lt-LT"/>
        </w:rPr>
        <w:fldChar w:fldCharType="end"/>
      </w:r>
      <w:r w:rsidRPr="00BC2CB8">
        <w:rPr>
          <w:lang w:val="lt-LT"/>
        </w:rPr>
        <w:t>. Viešųjų pastatų scenarijaus Nr. 4 schema.</w:t>
      </w:r>
      <w:bookmarkEnd w:id="211"/>
      <w:r w:rsidRPr="00BC2CB8">
        <w:rPr>
          <w:lang w:val="lt-LT"/>
        </w:rPr>
        <w:t xml:space="preserve"> </w:t>
      </w:r>
    </w:p>
    <w:p w14:paraId="520B600E" w14:textId="77777777" w:rsidR="00280058" w:rsidRPr="00BC2CB8" w:rsidRDefault="00280058" w:rsidP="00280058">
      <w:pPr>
        <w:jc w:val="both"/>
        <w:rPr>
          <w:rFonts w:ascii="Georgia" w:hAnsi="Georgia"/>
          <w:sz w:val="20"/>
          <w:szCs w:val="20"/>
          <w:lang w:val="lt-LT"/>
        </w:rPr>
      </w:pPr>
      <w:r w:rsidRPr="00BC2CB8">
        <w:rPr>
          <w:rFonts w:ascii="Georgia" w:hAnsi="Georgia"/>
          <w:sz w:val="20"/>
          <w:szCs w:val="20"/>
          <w:lang w:val="lt-LT"/>
        </w:rPr>
        <w:t xml:space="preserve">Šiame scenarijuje naudojamos tokios pat prielaidos, kaip scenarijus Nr. 3, papildomai darant prielaidą, kad bus sukurtas privatus investicinis fondas kuris nupirks apie 70 % fondo paskolų, o šios lėšos bus panaudotos naujų paskolų išdavimui. </w:t>
      </w:r>
    </w:p>
    <w:p w14:paraId="1970CA3C" w14:textId="672E6764" w:rsidR="00280058" w:rsidRPr="00BC2CB8" w:rsidRDefault="00280058" w:rsidP="00280058">
      <w:pPr>
        <w:pStyle w:val="Antrat"/>
        <w:jc w:val="both"/>
        <w:rPr>
          <w:szCs w:val="20"/>
          <w:lang w:val="lt-LT"/>
        </w:rPr>
      </w:pPr>
      <w:bookmarkStart w:id="212" w:name="_Toc460321687"/>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106</w:t>
      </w:r>
      <w:r w:rsidRPr="00BC2CB8">
        <w:rPr>
          <w:lang w:val="lt-LT"/>
        </w:rPr>
        <w:fldChar w:fldCharType="end"/>
      </w:r>
      <w:r w:rsidRPr="00BC2CB8">
        <w:rPr>
          <w:lang w:val="lt-LT"/>
        </w:rPr>
        <w:t>. Scenarijaus Nr. 4 prielaidos</w:t>
      </w:r>
      <w:bookmarkEnd w:id="212"/>
    </w:p>
    <w:tbl>
      <w:tblPr>
        <w:tblStyle w:val="viesussraas2parykinimas"/>
        <w:tblW w:w="5000" w:type="pct"/>
        <w:tblLook w:val="04A0" w:firstRow="1" w:lastRow="0" w:firstColumn="1" w:lastColumn="0" w:noHBand="0" w:noVBand="1"/>
      </w:tblPr>
      <w:tblGrid>
        <w:gridCol w:w="3164"/>
        <w:gridCol w:w="6078"/>
      </w:tblGrid>
      <w:tr w:rsidR="00280058" w:rsidRPr="00BC2CB8" w14:paraId="70ED2AB5" w14:textId="77777777" w:rsidTr="00C83DB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12" w:type="pct"/>
            <w:tcBorders>
              <w:bottom w:val="single" w:sz="8" w:space="0" w:color="C0504D" w:themeColor="accent2"/>
            </w:tcBorders>
          </w:tcPr>
          <w:p w14:paraId="170B2EC6" w14:textId="77777777" w:rsidR="00280058" w:rsidRPr="00BC2CB8" w:rsidRDefault="00280058" w:rsidP="00C83DB2">
            <w:pPr>
              <w:jc w:val="center"/>
              <w:rPr>
                <w:rFonts w:ascii="Georgia" w:hAnsi="Georgia"/>
                <w:sz w:val="20"/>
                <w:szCs w:val="20"/>
              </w:rPr>
            </w:pPr>
            <w:r w:rsidRPr="00BC2CB8">
              <w:rPr>
                <w:rFonts w:ascii="Georgia" w:hAnsi="Georgia"/>
                <w:sz w:val="20"/>
                <w:szCs w:val="20"/>
              </w:rPr>
              <w:t>Prielaidos</w:t>
            </w:r>
          </w:p>
        </w:tc>
        <w:tc>
          <w:tcPr>
            <w:tcW w:w="3288" w:type="pct"/>
            <w:tcBorders>
              <w:bottom w:val="single" w:sz="8" w:space="0" w:color="C0504D" w:themeColor="accent2"/>
            </w:tcBorders>
          </w:tcPr>
          <w:p w14:paraId="230E26A4" w14:textId="77777777" w:rsidR="00280058" w:rsidRPr="00BC2CB8" w:rsidRDefault="00280058" w:rsidP="00C83DB2">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Komentaras</w:t>
            </w:r>
          </w:p>
        </w:tc>
      </w:tr>
      <w:tr w:rsidR="00280058" w:rsidRPr="00BC2CB8" w14:paraId="7EF4FF57" w14:textId="77777777"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bottom w:val="single" w:sz="6" w:space="0" w:color="C0504D" w:themeColor="accent2"/>
              <w:right w:val="single" w:sz="6" w:space="0" w:color="C0504D" w:themeColor="accent2"/>
            </w:tcBorders>
          </w:tcPr>
          <w:p w14:paraId="558C4662" w14:textId="77777777" w:rsidR="00280058" w:rsidRPr="00BC2CB8" w:rsidRDefault="00280058" w:rsidP="00BB18F6">
            <w:pPr>
              <w:rPr>
                <w:rFonts w:ascii="Georgia" w:hAnsi="Georgia"/>
                <w:b w:val="0"/>
                <w:sz w:val="20"/>
                <w:szCs w:val="20"/>
              </w:rPr>
            </w:pPr>
            <w:r w:rsidRPr="00BC2CB8">
              <w:rPr>
                <w:rFonts w:ascii="Georgia" w:hAnsi="Georgia"/>
                <w:sz w:val="20"/>
                <w:szCs w:val="20"/>
              </w:rPr>
              <w:t>Paskolos laikotarpis: iki 20 metų</w:t>
            </w:r>
          </w:p>
        </w:tc>
        <w:tc>
          <w:tcPr>
            <w:tcW w:w="3288" w:type="pct"/>
            <w:tcBorders>
              <w:left w:val="single" w:sz="6" w:space="0" w:color="C0504D" w:themeColor="accent2"/>
              <w:bottom w:val="single" w:sz="6" w:space="0" w:color="C0504D" w:themeColor="accent2"/>
            </w:tcBorders>
          </w:tcPr>
          <w:p w14:paraId="0174F559" w14:textId="77777777"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Maksimalus paskolos sutarties terminas yra 20 metų.</w:t>
            </w:r>
          </w:p>
        </w:tc>
      </w:tr>
      <w:tr w:rsidR="00280058" w:rsidRPr="00BC2CB8" w14:paraId="300FD506" w14:textId="77777777" w:rsidTr="00C83DB2">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559CD04A" w14:textId="77777777" w:rsidR="00280058" w:rsidRPr="00BC2CB8" w:rsidRDefault="00C83DB2" w:rsidP="00BB18F6">
            <w:pPr>
              <w:rPr>
                <w:rFonts w:ascii="Georgia" w:hAnsi="Georgia"/>
                <w:b w:val="0"/>
                <w:sz w:val="20"/>
                <w:szCs w:val="20"/>
              </w:rPr>
            </w:pPr>
            <w:r>
              <w:rPr>
                <w:rFonts w:ascii="Georgia" w:hAnsi="Georgia"/>
                <w:sz w:val="20"/>
                <w:szCs w:val="20"/>
              </w:rPr>
              <w:t>Blogų paskolų dalis: 5</w:t>
            </w:r>
            <w:r w:rsidR="00280058" w:rsidRPr="00BC2CB8">
              <w:rPr>
                <w:rFonts w:ascii="Georgia" w:hAnsi="Georgia"/>
                <w:sz w:val="20"/>
                <w:szCs w:val="20"/>
              </w:rPr>
              <w:t>%</w:t>
            </w:r>
          </w:p>
        </w:tc>
        <w:tc>
          <w:tcPr>
            <w:tcW w:w="3288" w:type="pct"/>
            <w:tcBorders>
              <w:top w:val="single" w:sz="6" w:space="0" w:color="C0504D" w:themeColor="accent2"/>
              <w:left w:val="single" w:sz="6" w:space="0" w:color="C0504D" w:themeColor="accent2"/>
              <w:bottom w:val="single" w:sz="6" w:space="0" w:color="C0504D" w:themeColor="accent2"/>
            </w:tcBorders>
          </w:tcPr>
          <w:p w14:paraId="7BEF8D62" w14:textId="77777777"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Blogų paskolų dalis buvo nustatyta remiantis ekspertų ir komercinių bankų vertinimu. Be to, ši prielaida atitinka PwC studijoje nustatytą dydį.</w:t>
            </w:r>
          </w:p>
        </w:tc>
      </w:tr>
      <w:tr w:rsidR="00280058" w:rsidRPr="00BC2CB8" w14:paraId="45BB6BFC" w14:textId="77777777"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6A6C1AB9" w14:textId="77777777" w:rsidR="00280058" w:rsidRPr="00BC2CB8" w:rsidRDefault="00280058" w:rsidP="00BB18F6">
            <w:pPr>
              <w:rPr>
                <w:rFonts w:ascii="Georgia" w:hAnsi="Georgia"/>
                <w:b w:val="0"/>
                <w:sz w:val="20"/>
                <w:szCs w:val="20"/>
              </w:rPr>
            </w:pPr>
            <w:r w:rsidRPr="00BC2CB8">
              <w:rPr>
                <w:rFonts w:ascii="Georgia" w:hAnsi="Georgia"/>
                <w:sz w:val="20"/>
                <w:szCs w:val="20"/>
              </w:rPr>
              <w:t>Fonde rezervuojamos lėšos garant</w:t>
            </w:r>
            <w:r w:rsidR="00C83DB2">
              <w:rPr>
                <w:rFonts w:ascii="Georgia" w:hAnsi="Georgia"/>
                <w:sz w:val="20"/>
                <w:szCs w:val="20"/>
              </w:rPr>
              <w:t>ijų įsipareigojimų vykdymui: 20</w:t>
            </w:r>
            <w:r w:rsidRPr="00BC2CB8">
              <w:rPr>
                <w:rFonts w:ascii="Georgia" w:hAnsi="Georgia"/>
                <w:sz w:val="20"/>
                <w:szCs w:val="20"/>
              </w:rPr>
              <w:t>%</w:t>
            </w:r>
          </w:p>
        </w:tc>
        <w:tc>
          <w:tcPr>
            <w:tcW w:w="3288" w:type="pct"/>
            <w:tcBorders>
              <w:top w:val="single" w:sz="6" w:space="0" w:color="C0504D" w:themeColor="accent2"/>
              <w:left w:val="single" w:sz="6" w:space="0" w:color="C0504D" w:themeColor="accent2"/>
              <w:bottom w:val="single" w:sz="6" w:space="0" w:color="C0504D" w:themeColor="accent2"/>
            </w:tcBorders>
          </w:tcPr>
          <w:p w14:paraId="504A195A" w14:textId="77777777"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Fondo garantiniams įsipareigojimams vykdyti rezervuojama 20 % lėšų, tačiau modeliuojant scenarijų,  skaičiuojama jog tikėtina praradimų dalis 5 %, kuri paremta ekspertiniu ir komercinių bankų vertinimu, bei atitinka PwC studijos prielaidas.</w:t>
            </w:r>
          </w:p>
        </w:tc>
      </w:tr>
      <w:tr w:rsidR="00280058" w:rsidRPr="00BC2CB8" w14:paraId="408E3E7E" w14:textId="77777777" w:rsidTr="00C83DB2">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422A77AA" w14:textId="1AF644F2" w:rsidR="00280058" w:rsidRPr="00BC2CB8" w:rsidRDefault="00C83DB2" w:rsidP="00BB18F6">
            <w:pPr>
              <w:rPr>
                <w:rFonts w:ascii="Georgia" w:hAnsi="Georgia"/>
                <w:sz w:val="20"/>
                <w:szCs w:val="20"/>
              </w:rPr>
            </w:pPr>
            <w:r>
              <w:rPr>
                <w:rFonts w:ascii="Georgia" w:hAnsi="Georgia"/>
                <w:sz w:val="20"/>
                <w:szCs w:val="20"/>
              </w:rPr>
              <w:t xml:space="preserve">Paskolų palūkanų norma: </w:t>
            </w:r>
            <w:r w:rsidR="00D33537">
              <w:rPr>
                <w:rFonts w:ascii="Georgia" w:hAnsi="Georgia"/>
                <w:sz w:val="20"/>
                <w:szCs w:val="20"/>
              </w:rPr>
              <w:t>su iki</w:t>
            </w:r>
            <w:r w:rsidR="00D33537" w:rsidRPr="00BC2CB8">
              <w:rPr>
                <w:rFonts w:ascii="Georgia" w:hAnsi="Georgia"/>
                <w:sz w:val="20"/>
                <w:szCs w:val="20"/>
              </w:rPr>
              <w:t xml:space="preserve"> 2 %</w:t>
            </w:r>
            <w:r w:rsidR="00D33537">
              <w:rPr>
                <w:rFonts w:ascii="Georgia" w:hAnsi="Georgia"/>
                <w:sz w:val="20"/>
                <w:szCs w:val="20"/>
              </w:rPr>
              <w:t xml:space="preserve"> palūkanų marža</w:t>
            </w:r>
          </w:p>
        </w:tc>
        <w:tc>
          <w:tcPr>
            <w:tcW w:w="3288" w:type="pct"/>
            <w:tcBorders>
              <w:top w:val="single" w:sz="6" w:space="0" w:color="C0504D" w:themeColor="accent2"/>
              <w:left w:val="single" w:sz="6" w:space="0" w:color="C0504D" w:themeColor="accent2"/>
              <w:bottom w:val="single" w:sz="6" w:space="0" w:color="C0504D" w:themeColor="accent2"/>
            </w:tcBorders>
          </w:tcPr>
          <w:p w14:paraId="723D9BC8" w14:textId="44E991C7" w:rsidR="00280058" w:rsidRPr="00BC2CB8" w:rsidRDefault="00D33537" w:rsidP="007D0263">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Analizės tikslais n</w:t>
            </w:r>
            <w:r w:rsidRPr="00BC2CB8">
              <w:rPr>
                <w:rFonts w:ascii="Georgia" w:hAnsi="Georgia"/>
                <w:sz w:val="20"/>
                <w:szCs w:val="20"/>
              </w:rPr>
              <w:t>ustatomos 2</w:t>
            </w:r>
            <w:r>
              <w:rPr>
                <w:rFonts w:ascii="Georgia" w:hAnsi="Georgia"/>
                <w:sz w:val="20"/>
                <w:szCs w:val="20"/>
              </w:rPr>
              <w:t xml:space="preserve"> </w:t>
            </w:r>
            <w:r w:rsidRPr="00BC2CB8">
              <w:rPr>
                <w:rFonts w:ascii="Georgia" w:hAnsi="Georgia"/>
                <w:sz w:val="20"/>
                <w:szCs w:val="20"/>
              </w:rPr>
              <w:t xml:space="preserve">% </w:t>
            </w:r>
            <w:r>
              <w:rPr>
                <w:rFonts w:ascii="Georgia" w:hAnsi="Georgia"/>
                <w:sz w:val="20"/>
                <w:szCs w:val="20"/>
              </w:rPr>
              <w:t xml:space="preserve">metinės </w:t>
            </w:r>
            <w:r w:rsidRPr="00BC2CB8">
              <w:rPr>
                <w:rFonts w:ascii="Georgia" w:hAnsi="Georgia"/>
                <w:sz w:val="20"/>
                <w:szCs w:val="20"/>
              </w:rPr>
              <w:t>palūkanos.</w:t>
            </w:r>
            <w:r>
              <w:rPr>
                <w:rFonts w:ascii="Georgia" w:hAnsi="Georgia"/>
                <w:sz w:val="20"/>
                <w:szCs w:val="20"/>
              </w:rPr>
              <w:t xml:space="preserve"> Pradinėje FP stadijoje gali būti nustatomos ir mažesnės palūkanos. Išnaudojus ESI fondų lėšas palūkanos turėtų atitikti FP administravimo ir </w:t>
            </w:r>
            <w:r w:rsidR="007D0263">
              <w:rPr>
                <w:rFonts w:ascii="Georgia" w:hAnsi="Georgia"/>
                <w:sz w:val="20"/>
                <w:szCs w:val="20"/>
              </w:rPr>
              <w:t>lėšų</w:t>
            </w:r>
            <w:r>
              <w:rPr>
                <w:rFonts w:ascii="Georgia" w:hAnsi="Georgia"/>
                <w:sz w:val="20"/>
                <w:szCs w:val="20"/>
              </w:rPr>
              <w:t xml:space="preserve"> pritraukimo kainą.</w:t>
            </w:r>
          </w:p>
        </w:tc>
      </w:tr>
      <w:tr w:rsidR="00280058" w:rsidRPr="00BC2CB8" w14:paraId="074B0761" w14:textId="77777777"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2C0044E9" w14:textId="77777777" w:rsidR="00280058" w:rsidRPr="00BC2CB8" w:rsidRDefault="00280058" w:rsidP="00BB18F6">
            <w:pPr>
              <w:rPr>
                <w:rFonts w:ascii="Georgia" w:hAnsi="Georgia"/>
                <w:b w:val="0"/>
                <w:sz w:val="20"/>
                <w:szCs w:val="20"/>
              </w:rPr>
            </w:pPr>
            <w:r w:rsidRPr="00BC2CB8">
              <w:rPr>
                <w:rFonts w:ascii="Georgia" w:hAnsi="Georgia"/>
                <w:sz w:val="20"/>
                <w:szCs w:val="20"/>
              </w:rPr>
              <w:t>Bankų palūkanų norm</w:t>
            </w:r>
            <w:r w:rsidR="00C83DB2">
              <w:rPr>
                <w:rFonts w:ascii="Georgia" w:hAnsi="Georgia"/>
                <w:sz w:val="20"/>
                <w:szCs w:val="20"/>
              </w:rPr>
              <w:t>a garantijų priemonės atveju: 7</w:t>
            </w:r>
            <w:r w:rsidRPr="00BC2CB8">
              <w:rPr>
                <w:rFonts w:ascii="Georgia" w:hAnsi="Georgia"/>
                <w:sz w:val="20"/>
                <w:szCs w:val="20"/>
              </w:rPr>
              <w:t>%</w:t>
            </w:r>
          </w:p>
        </w:tc>
        <w:tc>
          <w:tcPr>
            <w:tcW w:w="3288" w:type="pct"/>
            <w:tcBorders>
              <w:top w:val="single" w:sz="6" w:space="0" w:color="C0504D" w:themeColor="accent2"/>
              <w:left w:val="single" w:sz="6" w:space="0" w:color="C0504D" w:themeColor="accent2"/>
              <w:bottom w:val="single" w:sz="6" w:space="0" w:color="C0504D" w:themeColor="accent2"/>
            </w:tcBorders>
          </w:tcPr>
          <w:p w14:paraId="21607005" w14:textId="77777777"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garantijų priemonės atveju, komercinių bankų fiksuota paskolų palūkanų norma (20-ies metų laikotarpiui) sudarys 7 proc. Ši palūkanų norma įvertinta remiantis šiais duomenimis:</w:t>
            </w:r>
          </w:p>
          <w:p w14:paraId="0BB62D56" w14:textId="77777777"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1) Prognozuojamas suderintas vartotojų kainų indekso (SVKI) vidurkis Lietuvoje 2013-2017 (2,9%); </w:t>
            </w:r>
          </w:p>
          <w:p w14:paraId="66F5F496" w14:textId="77777777"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2) vidutinės Lietuvos Respublikos Vyriausybės obligacijų emisijos (2536 dienų trukmės) palūkanos 2014 rugsėjo mėnesį (2,0%); </w:t>
            </w:r>
          </w:p>
          <w:p w14:paraId="04B50F1D" w14:textId="77777777"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3) Galima komercinių bankų marža (2,1%).</w:t>
            </w:r>
          </w:p>
          <w:p w14:paraId="31117F3D" w14:textId="77777777"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Pokalbių su bankais metu paminėta, jog vertinant įvairias rizikas, ilgalaikėms paskoloms (20 metų) preliminariai galėtų būti taikomos nuo 7 iki 10 proc. palūkanų normos.</w:t>
            </w:r>
          </w:p>
        </w:tc>
      </w:tr>
      <w:tr w:rsidR="00280058" w:rsidRPr="00BC2CB8" w14:paraId="7779BB40" w14:textId="77777777" w:rsidTr="00C83DB2">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6466BAE6" w14:textId="77777777" w:rsidR="00280058" w:rsidRPr="00BC2CB8" w:rsidRDefault="00280058" w:rsidP="00BB18F6">
            <w:pPr>
              <w:rPr>
                <w:rFonts w:ascii="Georgia" w:hAnsi="Georgia"/>
                <w:b w:val="0"/>
                <w:sz w:val="20"/>
                <w:szCs w:val="20"/>
              </w:rPr>
            </w:pPr>
            <w:r w:rsidRPr="00BC2CB8">
              <w:rPr>
                <w:rFonts w:ascii="Georgia" w:hAnsi="Georgia"/>
                <w:sz w:val="20"/>
                <w:szCs w:val="20"/>
              </w:rPr>
              <w:lastRenderedPageBreak/>
              <w:t>Tipinio viešojo pastato projekto investicijų vertė: 228 000 eurų</w:t>
            </w:r>
          </w:p>
        </w:tc>
        <w:tc>
          <w:tcPr>
            <w:tcW w:w="3288" w:type="pct"/>
            <w:tcBorders>
              <w:top w:val="single" w:sz="6" w:space="0" w:color="C0504D" w:themeColor="accent2"/>
              <w:left w:val="single" w:sz="6" w:space="0" w:color="C0504D" w:themeColor="accent2"/>
              <w:bottom w:val="single" w:sz="6" w:space="0" w:color="C0504D" w:themeColor="accent2"/>
            </w:tcBorders>
          </w:tcPr>
          <w:p w14:paraId="541CFF44" w14:textId="77777777"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Vidutinė tipinio viešojo pastato renovacijos kaina buvo nustatyta remiantis vidutinio viešojo pastato plotu ir pastato renovacijos kaštais vienam kvadratiniam metrui. Vidutinis pastato plotas paskaičiuotas remiantis Registrų centro duomenimis 2.1.1. skyriuje, o viešojo pastato renovacijos kaštai numatyti </w:t>
            </w:r>
            <w:r w:rsidRPr="00BC2CB8">
              <w:rPr>
                <w:rFonts w:ascii="Georgia" w:hAnsi="Georgia"/>
                <w:bCs/>
                <w:sz w:val="20"/>
                <w:szCs w:val="20"/>
              </w:rPr>
              <w:t>Viešųjų pastatų energinio efektyvumo didinimo programos projekte</w:t>
            </w:r>
            <w:r w:rsidRPr="00BC2CB8">
              <w:rPr>
                <w:rStyle w:val="Puslapioinaosnuoroda"/>
                <w:rFonts w:ascii="Georgia" w:hAnsi="Georgia"/>
                <w:bCs/>
                <w:sz w:val="20"/>
                <w:szCs w:val="20"/>
              </w:rPr>
              <w:footnoteReference w:id="118"/>
            </w:r>
            <w:r w:rsidRPr="00BC2CB8">
              <w:rPr>
                <w:rFonts w:ascii="Georgia" w:hAnsi="Georgia"/>
                <w:bCs/>
                <w:sz w:val="20"/>
                <w:szCs w:val="20"/>
              </w:rPr>
              <w:t xml:space="preserve"> ir sudaro 202,7 </w:t>
            </w:r>
            <w:r w:rsidRPr="00BC2CB8">
              <w:rPr>
                <w:rFonts w:ascii="Georgia" w:hAnsi="Georgia"/>
                <w:sz w:val="20"/>
                <w:szCs w:val="20"/>
              </w:rPr>
              <w:t>eurų</w:t>
            </w:r>
            <w:r w:rsidRPr="00BC2CB8" w:rsidDel="00334CC9">
              <w:rPr>
                <w:rFonts w:ascii="Georgia" w:hAnsi="Georgia"/>
                <w:bCs/>
                <w:sz w:val="20"/>
                <w:szCs w:val="20"/>
              </w:rPr>
              <w:t xml:space="preserve"> </w:t>
            </w:r>
            <w:r w:rsidRPr="00BC2CB8">
              <w:rPr>
                <w:rFonts w:ascii="Georgia" w:hAnsi="Georgia"/>
                <w:bCs/>
                <w:sz w:val="20"/>
                <w:szCs w:val="20"/>
              </w:rPr>
              <w:t>/m</w:t>
            </w:r>
            <w:r w:rsidRPr="00BC2CB8">
              <w:rPr>
                <w:rFonts w:ascii="Georgia" w:hAnsi="Georgia"/>
                <w:bCs/>
                <w:sz w:val="20"/>
                <w:szCs w:val="20"/>
                <w:vertAlign w:val="superscript"/>
              </w:rPr>
              <w:t>2</w:t>
            </w:r>
            <w:r w:rsidRPr="00BC2CB8">
              <w:rPr>
                <w:rFonts w:ascii="Georgia" w:hAnsi="Georgia"/>
                <w:bCs/>
                <w:sz w:val="20"/>
                <w:szCs w:val="20"/>
              </w:rPr>
              <w:t>.</w:t>
            </w:r>
          </w:p>
        </w:tc>
      </w:tr>
      <w:tr w:rsidR="00280058" w:rsidRPr="00BC2CB8" w14:paraId="24436C4B" w14:textId="77777777"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14118781" w14:textId="09D4FBAA" w:rsidR="00280058" w:rsidRPr="00BC2CB8" w:rsidRDefault="00280058" w:rsidP="007C3B17">
            <w:r w:rsidRPr="00BC2CB8">
              <w:rPr>
                <w:rFonts w:ascii="Georgia" w:hAnsi="Georgia"/>
                <w:sz w:val="20"/>
                <w:szCs w:val="20"/>
              </w:rPr>
              <w:t xml:space="preserve">Siektinas įgyvendinamųjų projektų skaičius per metus: </w:t>
            </w:r>
            <w:r w:rsidR="00D33537">
              <w:rPr>
                <w:rFonts w:ascii="Georgia" w:hAnsi="Georgia"/>
                <w:sz w:val="20"/>
                <w:szCs w:val="20"/>
              </w:rPr>
              <w:t>120</w:t>
            </w:r>
            <w:r w:rsidR="00D33537" w:rsidRPr="00BC2CB8">
              <w:rPr>
                <w:rFonts w:ascii="Georgia" w:hAnsi="Georgia"/>
                <w:sz w:val="20"/>
                <w:szCs w:val="20"/>
              </w:rPr>
              <w:t xml:space="preserve"> </w:t>
            </w:r>
            <w:r w:rsidRPr="00BC2CB8">
              <w:rPr>
                <w:rFonts w:ascii="Georgia" w:hAnsi="Georgia"/>
                <w:sz w:val="20"/>
                <w:szCs w:val="20"/>
              </w:rPr>
              <w:t>projektų per metus</w:t>
            </w:r>
          </w:p>
        </w:tc>
        <w:tc>
          <w:tcPr>
            <w:tcW w:w="3288" w:type="pct"/>
            <w:tcBorders>
              <w:top w:val="single" w:sz="6" w:space="0" w:color="C0504D" w:themeColor="accent2"/>
              <w:left w:val="single" w:sz="6" w:space="0" w:color="C0504D" w:themeColor="accent2"/>
              <w:bottom w:val="single" w:sz="6" w:space="0" w:color="C0504D" w:themeColor="accent2"/>
            </w:tcBorders>
          </w:tcPr>
          <w:p w14:paraId="7F882013" w14:textId="34628B32" w:rsidR="00280058" w:rsidRPr="00BC2CB8" w:rsidRDefault="00280058" w:rsidP="007D0263">
            <w:pPr>
              <w:jc w:val="both"/>
              <w:cnfStyle w:val="000000100000" w:firstRow="0" w:lastRow="0" w:firstColumn="0" w:lastColumn="0" w:oddVBand="0" w:evenVBand="0" w:oddHBand="1" w:evenHBand="0" w:firstRowFirstColumn="0" w:firstRowLastColumn="0" w:lastRowFirstColumn="0" w:lastRowLastColumn="0"/>
            </w:pPr>
            <w:r w:rsidRPr="00BC2CB8">
              <w:rPr>
                <w:rFonts w:ascii="Georgia" w:hAnsi="Georgia"/>
                <w:sz w:val="20"/>
                <w:szCs w:val="20"/>
              </w:rPr>
              <w:t xml:space="preserve">Daroma prielaida, kad nuo </w:t>
            </w:r>
            <w:r w:rsidR="00D33537" w:rsidRPr="00BC2CB8">
              <w:rPr>
                <w:rFonts w:ascii="Georgia" w:hAnsi="Georgia"/>
                <w:sz w:val="20"/>
                <w:szCs w:val="20"/>
              </w:rPr>
              <w:t>201</w:t>
            </w:r>
            <w:r w:rsidR="007D0263">
              <w:rPr>
                <w:rFonts w:ascii="Georgia" w:hAnsi="Georgia"/>
                <w:sz w:val="20"/>
                <w:szCs w:val="20"/>
              </w:rPr>
              <w:t>8</w:t>
            </w:r>
            <w:r w:rsidRPr="00BC2CB8">
              <w:rPr>
                <w:rFonts w:ascii="Georgia" w:hAnsi="Georgia"/>
                <w:sz w:val="20"/>
                <w:szCs w:val="20"/>
              </w:rPr>
              <w:t xml:space="preserve">metų, susiformavus ESCO rinkai, projektų skaičius galėtų siekti apie </w:t>
            </w:r>
            <w:r w:rsidR="00D33537">
              <w:rPr>
                <w:rFonts w:ascii="Georgia" w:hAnsi="Georgia"/>
                <w:sz w:val="20"/>
                <w:szCs w:val="20"/>
              </w:rPr>
              <w:t>70</w:t>
            </w:r>
            <w:r w:rsidR="00D33537" w:rsidRPr="00BC2CB8">
              <w:rPr>
                <w:rFonts w:ascii="Georgia" w:hAnsi="Georgia"/>
                <w:sz w:val="20"/>
                <w:szCs w:val="20"/>
              </w:rPr>
              <w:t xml:space="preserve"> </w:t>
            </w:r>
            <w:r w:rsidRPr="00BC2CB8">
              <w:rPr>
                <w:rFonts w:ascii="Georgia" w:hAnsi="Georgia"/>
                <w:sz w:val="20"/>
                <w:szCs w:val="20"/>
              </w:rPr>
              <w:t>tipini</w:t>
            </w:r>
            <w:r w:rsidR="00D33537">
              <w:rPr>
                <w:rFonts w:ascii="Georgia" w:hAnsi="Georgia"/>
                <w:sz w:val="20"/>
                <w:szCs w:val="20"/>
              </w:rPr>
              <w:t>ų</w:t>
            </w:r>
            <w:r w:rsidRPr="00BC2CB8">
              <w:rPr>
                <w:rFonts w:ascii="Georgia" w:hAnsi="Georgia"/>
                <w:sz w:val="20"/>
                <w:szCs w:val="20"/>
              </w:rPr>
              <w:t xml:space="preserve"> viešųjų pastatų modernizavimo projekt</w:t>
            </w:r>
            <w:r w:rsidR="00D33537">
              <w:rPr>
                <w:rFonts w:ascii="Georgia" w:hAnsi="Georgia"/>
                <w:sz w:val="20"/>
                <w:szCs w:val="20"/>
              </w:rPr>
              <w:t>ų</w:t>
            </w:r>
            <w:r w:rsidRPr="00BC2CB8">
              <w:rPr>
                <w:rFonts w:ascii="Georgia" w:hAnsi="Georgia"/>
                <w:sz w:val="20"/>
                <w:szCs w:val="20"/>
              </w:rPr>
              <w:t xml:space="preserve"> per metus paskolų finansinės priemonės atveju</w:t>
            </w:r>
            <w:r w:rsidR="00171AB3">
              <w:rPr>
                <w:rFonts w:ascii="Georgia" w:hAnsi="Georgia"/>
                <w:sz w:val="20"/>
                <w:szCs w:val="20"/>
              </w:rPr>
              <w:t>. Taip pat daroma prielaida, jog garantijų finansinė priemonė daro lėtą progresą ir projektai sunkiai pradedami įgyvendinti. Be to, esant mišriai priemonei, garantijų priemonės patrauklumas yra mažesnis, nes paskolų finansinė priemonė siūlo geresnes finansavimo sąlygas. Dėl šių priežasčių garantijų priemonė demonstruoja prastus rezultatus ir užtrunka daug laiko juos pademonstruoti.</w:t>
            </w:r>
          </w:p>
        </w:tc>
      </w:tr>
      <w:tr w:rsidR="00280058" w:rsidRPr="00BC2CB8" w14:paraId="766C93FF" w14:textId="77777777" w:rsidTr="00C83DB2">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499E4898" w14:textId="4382D98D" w:rsidR="00280058" w:rsidRPr="00BC2CB8" w:rsidRDefault="00280058" w:rsidP="00D33537">
            <w:pPr>
              <w:rPr>
                <w:rFonts w:ascii="Georgia" w:hAnsi="Georgia"/>
                <w:b w:val="0"/>
                <w:sz w:val="20"/>
                <w:szCs w:val="20"/>
              </w:rPr>
            </w:pPr>
            <w:r w:rsidRPr="00BC2CB8">
              <w:rPr>
                <w:rFonts w:ascii="Georgia" w:hAnsi="Georgia"/>
                <w:sz w:val="20"/>
                <w:szCs w:val="20"/>
              </w:rPr>
              <w:t xml:space="preserve">Investuojamų ESI lėšų suma į fondą: </w:t>
            </w:r>
            <w:r w:rsidR="00D33537">
              <w:rPr>
                <w:rFonts w:ascii="Georgia" w:hAnsi="Georgia"/>
                <w:sz w:val="20"/>
                <w:szCs w:val="20"/>
              </w:rPr>
              <w:t>79.6</w:t>
            </w:r>
            <w:r w:rsidRPr="00BC2CB8">
              <w:rPr>
                <w:rFonts w:ascii="Georgia" w:hAnsi="Georgia"/>
                <w:sz w:val="20"/>
                <w:szCs w:val="20"/>
              </w:rPr>
              <w:t xml:space="preserve"> mln. eurų</w:t>
            </w:r>
          </w:p>
        </w:tc>
        <w:tc>
          <w:tcPr>
            <w:tcW w:w="3288" w:type="pct"/>
            <w:tcBorders>
              <w:top w:val="single" w:sz="6" w:space="0" w:color="C0504D" w:themeColor="accent2"/>
              <w:left w:val="single" w:sz="6" w:space="0" w:color="C0504D" w:themeColor="accent2"/>
              <w:bottom w:val="single" w:sz="6" w:space="0" w:color="C0504D" w:themeColor="accent2"/>
            </w:tcBorders>
          </w:tcPr>
          <w:p w14:paraId="5853D6C5" w14:textId="77777777" w:rsidR="00D33537" w:rsidRPr="00BC2CB8" w:rsidRDefault="00D33537" w:rsidP="00D33537">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centrinės valdžios pastatų renovacijai skirtos lėšos – 79,6 mln. eurų – būtų išskaidomos į dvi finansines priemones (paskolų ir garantijų</w:t>
            </w:r>
            <w:r>
              <w:rPr>
                <w:rFonts w:ascii="Georgia" w:hAnsi="Georgia"/>
                <w:sz w:val="20"/>
                <w:szCs w:val="20"/>
              </w:rPr>
              <w:t>)</w:t>
            </w:r>
            <w:r w:rsidRPr="00BC2CB8">
              <w:rPr>
                <w:rFonts w:ascii="Georgia" w:hAnsi="Georgia"/>
                <w:sz w:val="20"/>
                <w:szCs w:val="20"/>
              </w:rPr>
              <w:t>. Numatytos lėšos skirstomos taip:</w:t>
            </w:r>
          </w:p>
          <w:p w14:paraId="23631E75" w14:textId="77777777" w:rsidR="00D33537" w:rsidRPr="00BC2CB8" w:rsidRDefault="00D33537" w:rsidP="00D33537">
            <w:pPr>
              <w:pStyle w:val="Sraopastraipa"/>
              <w:numPr>
                <w:ilvl w:val="0"/>
                <w:numId w:val="8"/>
              </w:num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55,7</w:t>
            </w:r>
            <w:r w:rsidRPr="00BC2CB8">
              <w:rPr>
                <w:rFonts w:ascii="Georgia" w:hAnsi="Georgia"/>
                <w:sz w:val="20"/>
                <w:szCs w:val="20"/>
              </w:rPr>
              <w:t xml:space="preserve"> mln. eurų</w:t>
            </w:r>
            <w:r w:rsidRPr="00BC2CB8" w:rsidDel="00334CC9">
              <w:rPr>
                <w:rFonts w:ascii="Georgia" w:hAnsi="Georgia"/>
                <w:sz w:val="20"/>
                <w:szCs w:val="20"/>
              </w:rPr>
              <w:t xml:space="preserve"> </w:t>
            </w:r>
            <w:r w:rsidRPr="00BC2CB8">
              <w:rPr>
                <w:rFonts w:ascii="Georgia" w:hAnsi="Georgia"/>
                <w:sz w:val="20"/>
                <w:szCs w:val="20"/>
              </w:rPr>
              <w:t>skiriama lengvatinių paskolų priemonei;</w:t>
            </w:r>
          </w:p>
          <w:p w14:paraId="2C942EA5" w14:textId="77777777" w:rsidR="00D33537" w:rsidRPr="00BC2CB8" w:rsidRDefault="00D33537" w:rsidP="00D33537">
            <w:pPr>
              <w:pStyle w:val="Sraopastraipa"/>
              <w:numPr>
                <w:ilvl w:val="0"/>
                <w:numId w:val="8"/>
              </w:num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23,9</w:t>
            </w:r>
            <w:r w:rsidRPr="00BC2CB8">
              <w:rPr>
                <w:rFonts w:ascii="Georgia" w:hAnsi="Georgia"/>
                <w:sz w:val="20"/>
                <w:szCs w:val="20"/>
              </w:rPr>
              <w:t xml:space="preserve"> mln. eurų</w:t>
            </w:r>
            <w:r w:rsidRPr="00BC2CB8" w:rsidDel="00334CC9">
              <w:rPr>
                <w:rFonts w:ascii="Georgia" w:hAnsi="Georgia"/>
                <w:sz w:val="20"/>
                <w:szCs w:val="20"/>
              </w:rPr>
              <w:t xml:space="preserve"> </w:t>
            </w:r>
            <w:r w:rsidRPr="00BC2CB8">
              <w:rPr>
                <w:rFonts w:ascii="Georgia" w:hAnsi="Georgia"/>
                <w:sz w:val="20"/>
                <w:szCs w:val="20"/>
              </w:rPr>
              <w:t>skiriama garantijų priemonei;</w:t>
            </w:r>
          </w:p>
          <w:p w14:paraId="4E0023DC" w14:textId="77777777"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p>
        </w:tc>
      </w:tr>
      <w:tr w:rsidR="00280058" w:rsidRPr="00BC2CB8" w14:paraId="3C943DD3" w14:textId="77777777"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3E769F1D" w14:textId="77777777" w:rsidR="00280058" w:rsidRPr="00BC2CB8" w:rsidRDefault="00280058" w:rsidP="00BB18F6">
            <w:pPr>
              <w:rPr>
                <w:rFonts w:ascii="Georgia" w:hAnsi="Georgia"/>
                <w:sz w:val="20"/>
              </w:rPr>
            </w:pPr>
            <w:r w:rsidRPr="00BC2CB8">
              <w:rPr>
                <w:rFonts w:ascii="Georgia" w:hAnsi="Georgia"/>
                <w:sz w:val="20"/>
              </w:rPr>
              <w:t>Valdymo mokestis: vadovaujantis Deleguoto reglamento nuostatomis</w:t>
            </w:r>
          </w:p>
        </w:tc>
        <w:tc>
          <w:tcPr>
            <w:tcW w:w="3288" w:type="pct"/>
            <w:tcBorders>
              <w:top w:val="single" w:sz="6" w:space="0" w:color="C0504D" w:themeColor="accent2"/>
              <w:left w:val="single" w:sz="6" w:space="0" w:color="C0504D" w:themeColor="accent2"/>
              <w:bottom w:val="single" w:sz="6" w:space="0" w:color="C0504D" w:themeColor="accent2"/>
            </w:tcBorders>
          </w:tcPr>
          <w:p w14:paraId="67C2F094" w14:textId="3CA3D810" w:rsidR="00280058" w:rsidRPr="00BC2CB8" w:rsidRDefault="00280058" w:rsidP="009647A2">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rPr>
              <w:t xml:space="preserve">Vadovaujantis Deleguoto reglamento nuostatomis, valdymo mokestis susideda iš dviejų dalių: 0,5 proc. bazinis mokestis nuo finansinei priemonei skirtų ir įmokėtų lėšų ir: paskolų atveju – 1 proc. mokestis nuo paskolų, suteiktų galutiniams naudos gavėjams, sumos; garantijų atveju – 1,5 proc. nuo </w:t>
            </w:r>
            <w:r w:rsidR="009647A2">
              <w:rPr>
                <w:rFonts w:ascii="Georgia" w:hAnsi="Georgia"/>
                <w:sz w:val="20"/>
              </w:rPr>
              <w:t>g</w:t>
            </w:r>
            <w:r w:rsidR="007D0263">
              <w:rPr>
                <w:rFonts w:ascii="Georgia" w:hAnsi="Georgia"/>
                <w:sz w:val="20"/>
              </w:rPr>
              <w:t>a</w:t>
            </w:r>
            <w:r w:rsidR="009647A2">
              <w:rPr>
                <w:rFonts w:ascii="Georgia" w:hAnsi="Georgia"/>
                <w:sz w:val="20"/>
              </w:rPr>
              <w:t xml:space="preserve">rantuotų </w:t>
            </w:r>
            <w:r w:rsidRPr="00BC2CB8">
              <w:rPr>
                <w:rFonts w:ascii="Georgia" w:hAnsi="Georgia"/>
                <w:sz w:val="20"/>
              </w:rPr>
              <w:t>sumų.</w:t>
            </w:r>
          </w:p>
        </w:tc>
      </w:tr>
      <w:tr w:rsidR="00280058" w:rsidRPr="00BC2CB8" w14:paraId="7B026A74" w14:textId="77777777" w:rsidTr="00C83DB2">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1E149C40" w14:textId="77777777" w:rsidR="00280058" w:rsidRPr="00BC2CB8" w:rsidRDefault="00280058" w:rsidP="00BB18F6">
            <w:pPr>
              <w:rPr>
                <w:rFonts w:ascii="Georgia" w:hAnsi="Georgia"/>
                <w:b w:val="0"/>
                <w:sz w:val="20"/>
                <w:szCs w:val="20"/>
              </w:rPr>
            </w:pPr>
            <w:r w:rsidRPr="00BC2CB8">
              <w:rPr>
                <w:rFonts w:ascii="Georgia" w:hAnsi="Georgia"/>
                <w:sz w:val="20"/>
                <w:szCs w:val="20"/>
              </w:rPr>
              <w:t>Projekto įgyvendinimo laikotarpis: 1 metai</w:t>
            </w:r>
          </w:p>
        </w:tc>
        <w:tc>
          <w:tcPr>
            <w:tcW w:w="3288" w:type="pct"/>
            <w:tcBorders>
              <w:top w:val="single" w:sz="6" w:space="0" w:color="C0504D" w:themeColor="accent2"/>
              <w:left w:val="single" w:sz="6" w:space="0" w:color="C0504D" w:themeColor="accent2"/>
              <w:bottom w:val="single" w:sz="6" w:space="0" w:color="C0504D" w:themeColor="accent2"/>
            </w:tcBorders>
          </w:tcPr>
          <w:p w14:paraId="17BAF980" w14:textId="77777777"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tipinio viešojo pastato renovacijos laikas yra 1 metai nuo paskolos sutarties pasirašymo momento.</w:t>
            </w:r>
          </w:p>
        </w:tc>
      </w:tr>
      <w:tr w:rsidR="00280058" w:rsidRPr="00BC2CB8" w14:paraId="52C172F1" w14:textId="77777777"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26BAE4DF" w14:textId="77777777" w:rsidR="00280058" w:rsidRPr="00BC2CB8" w:rsidRDefault="00280058" w:rsidP="00BB18F6">
            <w:pPr>
              <w:rPr>
                <w:rFonts w:ascii="Georgia" w:hAnsi="Georgia"/>
                <w:b w:val="0"/>
                <w:sz w:val="20"/>
                <w:szCs w:val="20"/>
              </w:rPr>
            </w:pPr>
            <w:r w:rsidRPr="00BC2CB8">
              <w:rPr>
                <w:rFonts w:ascii="Georgia" w:hAnsi="Georgia"/>
                <w:sz w:val="20"/>
                <w:szCs w:val="20"/>
              </w:rPr>
              <w:t>Privataus investicinio fondo išperkamų paskolų dalis: 70%</w:t>
            </w:r>
          </w:p>
        </w:tc>
        <w:tc>
          <w:tcPr>
            <w:tcW w:w="3288" w:type="pct"/>
            <w:tcBorders>
              <w:top w:val="single" w:sz="6" w:space="0" w:color="C0504D" w:themeColor="accent2"/>
              <w:left w:val="single" w:sz="6" w:space="0" w:color="C0504D" w:themeColor="accent2"/>
              <w:bottom w:val="single" w:sz="6" w:space="0" w:color="C0504D" w:themeColor="accent2"/>
            </w:tcBorders>
          </w:tcPr>
          <w:p w14:paraId="6AEAF4E2" w14:textId="659A16F2" w:rsidR="00280058" w:rsidRPr="00BC2CB8" w:rsidRDefault="00280058" w:rsidP="00337064">
            <w:pPr>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BC2CB8">
              <w:rPr>
                <w:rFonts w:ascii="Georgia" w:hAnsi="Georgia" w:cs="Georgia"/>
                <w:sz w:val="20"/>
                <w:szCs w:val="20"/>
              </w:rPr>
              <w:t xml:space="preserve">Daroma prielaida, kad privatus investicinis fondas galėtų išpirkti paskolas nuo </w:t>
            </w:r>
            <w:r w:rsidR="00337064" w:rsidRPr="00BC2CB8">
              <w:rPr>
                <w:rFonts w:ascii="Georgia" w:hAnsi="Georgia" w:cs="Georgia"/>
                <w:sz w:val="20"/>
                <w:szCs w:val="20"/>
              </w:rPr>
              <w:t>201</w:t>
            </w:r>
            <w:r w:rsidR="00337064">
              <w:rPr>
                <w:rFonts w:ascii="Georgia" w:hAnsi="Georgia" w:cs="Georgia"/>
                <w:sz w:val="20"/>
                <w:szCs w:val="20"/>
              </w:rPr>
              <w:t>9</w:t>
            </w:r>
            <w:r w:rsidR="00337064" w:rsidRPr="00BC2CB8">
              <w:rPr>
                <w:rFonts w:ascii="Georgia" w:hAnsi="Georgia" w:cs="Georgia"/>
                <w:sz w:val="20"/>
                <w:szCs w:val="20"/>
              </w:rPr>
              <w:t xml:space="preserve"> </w:t>
            </w:r>
            <w:r w:rsidRPr="00BC2CB8">
              <w:rPr>
                <w:rFonts w:ascii="Georgia" w:hAnsi="Georgia" w:cs="Georgia"/>
                <w:sz w:val="20"/>
                <w:szCs w:val="20"/>
              </w:rPr>
              <w:t>m. ir išpirktų apie 70 % visų paskolų portfelio. Iš šių grįžusių lėšų butų skiriama ir subsidijos dalis.</w:t>
            </w:r>
          </w:p>
        </w:tc>
      </w:tr>
      <w:tr w:rsidR="00280058" w:rsidRPr="00BC2CB8" w14:paraId="687C5156" w14:textId="77777777" w:rsidTr="00C83DB2">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626376AB" w14:textId="77777777" w:rsidR="00280058" w:rsidRPr="00BC2CB8" w:rsidRDefault="00280058" w:rsidP="00BB18F6">
            <w:pPr>
              <w:rPr>
                <w:rFonts w:ascii="Georgia" w:hAnsi="Georgia"/>
                <w:sz w:val="20"/>
                <w:szCs w:val="20"/>
              </w:rPr>
            </w:pPr>
            <w:r w:rsidRPr="00BC2CB8">
              <w:rPr>
                <w:rFonts w:ascii="Georgia" w:hAnsi="Georgia"/>
                <w:sz w:val="20"/>
              </w:rPr>
              <w:t>Pakartotinai panaudojamos grįžusios lėšos: po 2 metų</w:t>
            </w:r>
          </w:p>
        </w:tc>
        <w:tc>
          <w:tcPr>
            <w:tcW w:w="3288" w:type="pct"/>
            <w:tcBorders>
              <w:top w:val="single" w:sz="6" w:space="0" w:color="C0504D" w:themeColor="accent2"/>
              <w:left w:val="single" w:sz="6" w:space="0" w:color="C0504D" w:themeColor="accent2"/>
              <w:bottom w:val="single" w:sz="6" w:space="0" w:color="C0504D" w:themeColor="accent2"/>
            </w:tcBorders>
          </w:tcPr>
          <w:p w14:paraId="1CCC6646" w14:textId="77777777"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sidRPr="00BC2CB8">
              <w:rPr>
                <w:rFonts w:ascii="Georgia" w:hAnsi="Georgia"/>
                <w:sz w:val="20"/>
              </w:rPr>
              <w:t>Daroma prielaida, jog grįžtančios lėšos pakartotinai panaudojamos projektų finansavimui tomis pačiomis sąlygomis po 2 metų.</w:t>
            </w:r>
          </w:p>
        </w:tc>
      </w:tr>
    </w:tbl>
    <w:p w14:paraId="04493C25" w14:textId="77777777" w:rsidR="00280058" w:rsidRPr="00BC2CB8" w:rsidRDefault="00280058" w:rsidP="00280058">
      <w:pPr>
        <w:rPr>
          <w:rFonts w:ascii="Georgia" w:hAnsi="Georgia"/>
          <w:sz w:val="20"/>
          <w:szCs w:val="20"/>
          <w:lang w:val="lt-LT"/>
        </w:rPr>
      </w:pPr>
    </w:p>
    <w:p w14:paraId="0894FA23" w14:textId="3E692D76" w:rsidR="00280058" w:rsidRPr="00BC2CB8" w:rsidRDefault="00280058" w:rsidP="00280058">
      <w:pPr>
        <w:pStyle w:val="Antrat"/>
        <w:jc w:val="both"/>
        <w:rPr>
          <w:szCs w:val="20"/>
          <w:lang w:val="lt-LT"/>
        </w:rPr>
      </w:pPr>
      <w:bookmarkStart w:id="213" w:name="_Toc460321688"/>
      <w:r w:rsidRPr="00BC2CB8">
        <w:rPr>
          <w:lang w:val="lt-LT"/>
        </w:rPr>
        <w:lastRenderedPageBreak/>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107</w:t>
      </w:r>
      <w:r w:rsidRPr="00BC2CB8">
        <w:rPr>
          <w:lang w:val="lt-LT"/>
        </w:rPr>
        <w:fldChar w:fldCharType="end"/>
      </w:r>
      <w:r w:rsidRPr="00BC2CB8">
        <w:rPr>
          <w:lang w:val="lt-LT"/>
        </w:rPr>
        <w:t xml:space="preserve">. Scenarijaus Nr. 4 </w:t>
      </w:r>
      <w:r w:rsidRPr="00BC2CB8">
        <w:rPr>
          <w:szCs w:val="20"/>
          <w:lang w:val="lt-LT"/>
        </w:rPr>
        <w:t>paskolų su galimybe išpirkti ateities finansinius srautus įgyvendinimo prognozė</w:t>
      </w:r>
      <w:bookmarkEnd w:id="213"/>
    </w:p>
    <w:p w14:paraId="564CC803" w14:textId="3CF60E58" w:rsidR="00280058" w:rsidRPr="00BC2CB8" w:rsidRDefault="00337064" w:rsidP="00280058">
      <w:pPr>
        <w:rPr>
          <w:lang w:val="lt-LT"/>
        </w:rPr>
      </w:pPr>
      <w:r>
        <w:rPr>
          <w:noProof/>
          <w:lang w:val="lt-LT" w:eastAsia="lt-LT"/>
        </w:rPr>
        <w:drawing>
          <wp:inline distT="0" distB="0" distL="0" distR="0" wp14:anchorId="491B0532" wp14:editId="2CA3337F">
            <wp:extent cx="5661329" cy="3104711"/>
            <wp:effectExtent l="0" t="0" r="0" b="63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8463" t="29542" r="29802" b="14573"/>
                    <a:stretch/>
                  </pic:blipFill>
                  <pic:spPr bwMode="auto">
                    <a:xfrm>
                      <a:off x="0" y="0"/>
                      <a:ext cx="5661329" cy="3104711"/>
                    </a:xfrm>
                    <a:prstGeom prst="rect">
                      <a:avLst/>
                    </a:prstGeom>
                    <a:ln>
                      <a:noFill/>
                    </a:ln>
                    <a:extLst>
                      <a:ext uri="{53640926-AAD7-44D8-BBD7-CCE9431645EC}">
                        <a14:shadowObscured xmlns:a14="http://schemas.microsoft.com/office/drawing/2010/main"/>
                      </a:ext>
                    </a:extLst>
                  </pic:spPr>
                </pic:pic>
              </a:graphicData>
            </a:graphic>
          </wp:inline>
        </w:drawing>
      </w:r>
    </w:p>
    <w:p w14:paraId="5AA1F6E0" w14:textId="72ECDEA2" w:rsidR="00280058" w:rsidRPr="00BC2CB8" w:rsidRDefault="00280058" w:rsidP="00280058">
      <w:pPr>
        <w:pStyle w:val="Antrat"/>
        <w:jc w:val="both"/>
        <w:rPr>
          <w:lang w:val="lt-LT"/>
        </w:rPr>
      </w:pPr>
      <w:bookmarkStart w:id="214" w:name="_Toc460321689"/>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108</w:t>
      </w:r>
      <w:r w:rsidRPr="00BC2CB8">
        <w:rPr>
          <w:lang w:val="lt-LT"/>
        </w:rPr>
        <w:fldChar w:fldCharType="end"/>
      </w:r>
      <w:r w:rsidRPr="00BC2CB8">
        <w:rPr>
          <w:lang w:val="lt-LT"/>
        </w:rPr>
        <w:t>. Scenarijaus Nr. 4 garantijų priemonės įgyvendinimo prognozė</w:t>
      </w:r>
      <w:bookmarkEnd w:id="214"/>
    </w:p>
    <w:p w14:paraId="1288DCC6" w14:textId="09739CE9" w:rsidR="00280058" w:rsidRPr="00BC2CB8" w:rsidRDefault="00337064" w:rsidP="00280058">
      <w:pPr>
        <w:rPr>
          <w:lang w:val="lt-LT"/>
        </w:rPr>
      </w:pPr>
      <w:r>
        <w:rPr>
          <w:noProof/>
          <w:lang w:val="lt-LT" w:eastAsia="lt-LT"/>
        </w:rPr>
        <w:drawing>
          <wp:inline distT="0" distB="0" distL="0" distR="0" wp14:anchorId="52F4AD02" wp14:editId="0F9DF72D">
            <wp:extent cx="5731510" cy="2635318"/>
            <wp:effectExtent l="0" t="0" r="254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0686" t="36411" r="18409" b="9773"/>
                    <a:stretch/>
                  </pic:blipFill>
                  <pic:spPr bwMode="auto">
                    <a:xfrm>
                      <a:off x="0" y="0"/>
                      <a:ext cx="5740240" cy="2639332"/>
                    </a:xfrm>
                    <a:prstGeom prst="rect">
                      <a:avLst/>
                    </a:prstGeom>
                    <a:ln>
                      <a:noFill/>
                    </a:ln>
                    <a:extLst>
                      <a:ext uri="{53640926-AAD7-44D8-BBD7-CCE9431645EC}">
                        <a14:shadowObscured xmlns:a14="http://schemas.microsoft.com/office/drawing/2010/main"/>
                      </a:ext>
                    </a:extLst>
                  </pic:spPr>
                </pic:pic>
              </a:graphicData>
            </a:graphic>
          </wp:inline>
        </w:drawing>
      </w:r>
    </w:p>
    <w:p w14:paraId="278A52E6" w14:textId="03046045" w:rsidR="00280058" w:rsidRPr="00BC2CB8" w:rsidRDefault="00280058" w:rsidP="00280058">
      <w:pPr>
        <w:pStyle w:val="Antrat"/>
        <w:rPr>
          <w:szCs w:val="20"/>
          <w:lang w:val="lt-LT"/>
        </w:rPr>
      </w:pPr>
      <w:bookmarkStart w:id="215" w:name="_Toc460321690"/>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109</w:t>
      </w:r>
      <w:r w:rsidRPr="00BC2CB8">
        <w:rPr>
          <w:lang w:val="lt-LT"/>
        </w:rPr>
        <w:fldChar w:fldCharType="end"/>
      </w:r>
      <w:r w:rsidRPr="00BC2CB8">
        <w:rPr>
          <w:lang w:val="lt-LT"/>
        </w:rPr>
        <w:t xml:space="preserve">. </w:t>
      </w:r>
      <w:r w:rsidRPr="00BC2CB8">
        <w:rPr>
          <w:szCs w:val="20"/>
          <w:lang w:val="lt-LT"/>
        </w:rPr>
        <w:t>Scenarijaus Nr. 4 rezultatai:</w:t>
      </w:r>
      <w:bookmarkEnd w:id="215"/>
    </w:p>
    <w:tbl>
      <w:tblPr>
        <w:tblStyle w:val="viesussraas2parykinimas"/>
        <w:tblW w:w="5000" w:type="pct"/>
        <w:tblLook w:val="04A0" w:firstRow="1" w:lastRow="0" w:firstColumn="1" w:lastColumn="0" w:noHBand="0" w:noVBand="1"/>
      </w:tblPr>
      <w:tblGrid>
        <w:gridCol w:w="6634"/>
        <w:gridCol w:w="2608"/>
      </w:tblGrid>
      <w:tr w:rsidR="00280058" w:rsidRPr="00BC2CB8" w14:paraId="775148E8" w14:textId="77777777" w:rsidTr="00C83DB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89" w:type="pct"/>
          </w:tcPr>
          <w:p w14:paraId="009B1986" w14:textId="77777777" w:rsidR="00280058" w:rsidRPr="00BC2CB8" w:rsidRDefault="00280058" w:rsidP="00BB18F6">
            <w:pPr>
              <w:jc w:val="center"/>
              <w:rPr>
                <w:rFonts w:ascii="Georgia" w:hAnsi="Georgia"/>
                <w:sz w:val="20"/>
                <w:szCs w:val="20"/>
              </w:rPr>
            </w:pPr>
            <w:r w:rsidRPr="00BC2CB8">
              <w:rPr>
                <w:rFonts w:ascii="Georgia" w:hAnsi="Georgia"/>
                <w:sz w:val="20"/>
                <w:szCs w:val="20"/>
              </w:rPr>
              <w:t>Fondas</w:t>
            </w:r>
          </w:p>
        </w:tc>
        <w:tc>
          <w:tcPr>
            <w:tcW w:w="1411" w:type="pct"/>
          </w:tcPr>
          <w:p w14:paraId="592EE698" w14:textId="77777777" w:rsidR="00280058" w:rsidRPr="00BC2CB8" w:rsidRDefault="00280058" w:rsidP="00BB18F6">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mln. eurų</w:t>
            </w:r>
          </w:p>
        </w:tc>
      </w:tr>
      <w:tr w:rsidR="00280058" w:rsidRPr="00BC2CB8" w14:paraId="6ED13E1E" w14:textId="77777777"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89" w:type="pct"/>
          </w:tcPr>
          <w:p w14:paraId="0466E2F9" w14:textId="77777777" w:rsidR="00280058" w:rsidRPr="00BC2CB8" w:rsidRDefault="00280058" w:rsidP="00BB18F6">
            <w:pPr>
              <w:rPr>
                <w:rFonts w:ascii="Georgia" w:hAnsi="Georgia"/>
                <w:sz w:val="20"/>
                <w:szCs w:val="20"/>
              </w:rPr>
            </w:pPr>
            <w:r w:rsidRPr="00BC2CB8">
              <w:rPr>
                <w:rFonts w:ascii="Georgia" w:hAnsi="Georgia"/>
                <w:sz w:val="20"/>
                <w:szCs w:val="20"/>
              </w:rPr>
              <w:t>Galutinius naudos gavėjus pasiekusios lėšos</w:t>
            </w:r>
          </w:p>
        </w:tc>
        <w:tc>
          <w:tcPr>
            <w:tcW w:w="1411" w:type="pct"/>
          </w:tcPr>
          <w:p w14:paraId="7A1E1324" w14:textId="6D41FF1C" w:rsidR="00280058" w:rsidRPr="00BC2CB8" w:rsidRDefault="00337064" w:rsidP="00681225">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118,6</w:t>
            </w:r>
          </w:p>
        </w:tc>
      </w:tr>
      <w:tr w:rsidR="00280058" w:rsidRPr="00BC2CB8" w14:paraId="306C7669" w14:textId="77777777" w:rsidTr="00C83DB2">
        <w:trPr>
          <w:cantSplit/>
        </w:trPr>
        <w:tc>
          <w:tcPr>
            <w:cnfStyle w:val="001000000000" w:firstRow="0" w:lastRow="0" w:firstColumn="1" w:lastColumn="0" w:oddVBand="0" w:evenVBand="0" w:oddHBand="0" w:evenHBand="0" w:firstRowFirstColumn="0" w:firstRowLastColumn="0" w:lastRowFirstColumn="0" w:lastRowLastColumn="0"/>
            <w:tcW w:w="3589" w:type="pct"/>
          </w:tcPr>
          <w:p w14:paraId="6C48F06B" w14:textId="77777777" w:rsidR="00280058" w:rsidRPr="00BC2CB8" w:rsidRDefault="00280058" w:rsidP="00BB18F6">
            <w:pPr>
              <w:rPr>
                <w:rFonts w:ascii="Georgia" w:hAnsi="Georgia"/>
                <w:sz w:val="20"/>
                <w:szCs w:val="20"/>
              </w:rPr>
            </w:pPr>
            <w:r w:rsidRPr="00BC2CB8">
              <w:rPr>
                <w:rFonts w:ascii="Georgia" w:hAnsi="Georgia"/>
                <w:sz w:val="20"/>
                <w:szCs w:val="20"/>
              </w:rPr>
              <w:t>Komercinių bankų paskolos</w:t>
            </w:r>
          </w:p>
        </w:tc>
        <w:tc>
          <w:tcPr>
            <w:tcW w:w="1411" w:type="pct"/>
          </w:tcPr>
          <w:p w14:paraId="453C2BE3" w14:textId="3D4E3E7D" w:rsidR="00280058" w:rsidRPr="00BC2CB8" w:rsidRDefault="00337064" w:rsidP="00BB18F6">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50,2</w:t>
            </w:r>
          </w:p>
        </w:tc>
      </w:tr>
      <w:tr w:rsidR="00280058" w:rsidRPr="00BC2CB8" w14:paraId="4A0DCB78" w14:textId="77777777"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89" w:type="pct"/>
          </w:tcPr>
          <w:p w14:paraId="4C0776E8" w14:textId="77777777" w:rsidR="00280058" w:rsidRPr="00BC2CB8" w:rsidRDefault="00280058" w:rsidP="00BB18F6">
            <w:pPr>
              <w:rPr>
                <w:rFonts w:ascii="Georgia" w:hAnsi="Georgia"/>
                <w:sz w:val="20"/>
                <w:szCs w:val="20"/>
              </w:rPr>
            </w:pPr>
            <w:r w:rsidRPr="00BC2CB8">
              <w:rPr>
                <w:rFonts w:ascii="Georgia" w:hAnsi="Georgia"/>
                <w:sz w:val="20"/>
                <w:szCs w:val="20"/>
              </w:rPr>
              <w:t>Pritraukta lėšų iš kitų šaltinių (įvertinus grįžtančių lėšų panaudojimą)</w:t>
            </w:r>
          </w:p>
        </w:tc>
        <w:tc>
          <w:tcPr>
            <w:tcW w:w="1411" w:type="pct"/>
          </w:tcPr>
          <w:p w14:paraId="5569772D" w14:textId="7DC01FAB" w:rsidR="00280058" w:rsidRPr="00BC2CB8" w:rsidRDefault="00337064" w:rsidP="00BB18F6">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91,7</w:t>
            </w:r>
          </w:p>
        </w:tc>
      </w:tr>
      <w:tr w:rsidR="00280058" w:rsidRPr="00BC2CB8" w14:paraId="155A581A" w14:textId="77777777" w:rsidTr="00C83DB2">
        <w:trPr>
          <w:cantSplit/>
        </w:trPr>
        <w:tc>
          <w:tcPr>
            <w:cnfStyle w:val="001000000000" w:firstRow="0" w:lastRow="0" w:firstColumn="1" w:lastColumn="0" w:oddVBand="0" w:evenVBand="0" w:oddHBand="0" w:evenHBand="0" w:firstRowFirstColumn="0" w:firstRowLastColumn="0" w:lastRowFirstColumn="0" w:lastRowLastColumn="0"/>
            <w:tcW w:w="3589" w:type="pct"/>
          </w:tcPr>
          <w:p w14:paraId="78DF61E0" w14:textId="77777777" w:rsidR="00280058" w:rsidRPr="00BC2CB8" w:rsidRDefault="00280058" w:rsidP="00BB18F6">
            <w:pPr>
              <w:rPr>
                <w:rFonts w:ascii="Georgia" w:hAnsi="Georgia"/>
                <w:sz w:val="20"/>
                <w:szCs w:val="20"/>
              </w:rPr>
            </w:pPr>
            <w:r w:rsidRPr="00BC2CB8">
              <w:rPr>
                <w:rFonts w:ascii="Georgia" w:hAnsi="Georgia"/>
                <w:sz w:val="20"/>
                <w:szCs w:val="20"/>
              </w:rPr>
              <w:t>Išmokėtos lėšos garantijų padengimui</w:t>
            </w:r>
          </w:p>
        </w:tc>
        <w:tc>
          <w:tcPr>
            <w:tcW w:w="1411" w:type="pct"/>
          </w:tcPr>
          <w:p w14:paraId="2CBACD15" w14:textId="4E8BD04B" w:rsidR="00280058" w:rsidRPr="00BC2CB8" w:rsidRDefault="00337064" w:rsidP="00BB18F6">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2,0</w:t>
            </w:r>
          </w:p>
        </w:tc>
      </w:tr>
      <w:tr w:rsidR="00337064" w:rsidRPr="00BC2CB8" w14:paraId="492FFE59" w14:textId="77777777"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89" w:type="pct"/>
          </w:tcPr>
          <w:p w14:paraId="45F29D22" w14:textId="77777777" w:rsidR="00337064" w:rsidRPr="00BC2CB8" w:rsidRDefault="00337064" w:rsidP="00337064">
            <w:pPr>
              <w:rPr>
                <w:rFonts w:ascii="Georgia" w:hAnsi="Georgia"/>
                <w:sz w:val="20"/>
                <w:szCs w:val="20"/>
              </w:rPr>
            </w:pPr>
            <w:r w:rsidRPr="00BC2CB8">
              <w:rPr>
                <w:rFonts w:ascii="Georgia" w:hAnsi="Georgia"/>
                <w:sz w:val="20"/>
                <w:szCs w:val="20"/>
              </w:rPr>
              <w:t>Iki 2022 m. renovuotų pastatų skaičius (per paskolos ir garantijos priemones)</w:t>
            </w:r>
          </w:p>
        </w:tc>
        <w:tc>
          <w:tcPr>
            <w:tcW w:w="1411" w:type="pct"/>
          </w:tcPr>
          <w:p w14:paraId="07830A54" w14:textId="64C299BF" w:rsidR="00337064" w:rsidRPr="00BC2CB8" w:rsidRDefault="00337064" w:rsidP="00337064">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9826F6">
              <w:t xml:space="preserve"> 520 </w:t>
            </w:r>
          </w:p>
        </w:tc>
      </w:tr>
      <w:tr w:rsidR="00337064" w:rsidRPr="00BC2CB8" w14:paraId="46DE093D" w14:textId="77777777" w:rsidTr="00C83DB2">
        <w:trPr>
          <w:cantSplit/>
        </w:trPr>
        <w:tc>
          <w:tcPr>
            <w:cnfStyle w:val="001000000000" w:firstRow="0" w:lastRow="0" w:firstColumn="1" w:lastColumn="0" w:oddVBand="0" w:evenVBand="0" w:oddHBand="0" w:evenHBand="0" w:firstRowFirstColumn="0" w:firstRowLastColumn="0" w:lastRowFirstColumn="0" w:lastRowLastColumn="0"/>
            <w:tcW w:w="3589" w:type="pct"/>
          </w:tcPr>
          <w:p w14:paraId="513D8142" w14:textId="77777777" w:rsidR="00337064" w:rsidRPr="00BC2CB8" w:rsidRDefault="00337064" w:rsidP="00337064">
            <w:pPr>
              <w:rPr>
                <w:rFonts w:ascii="Georgia" w:hAnsi="Georgia"/>
                <w:sz w:val="20"/>
                <w:szCs w:val="20"/>
              </w:rPr>
            </w:pPr>
            <w:r w:rsidRPr="00BC2CB8">
              <w:rPr>
                <w:rFonts w:ascii="Georgia" w:hAnsi="Georgia"/>
                <w:sz w:val="20"/>
                <w:szCs w:val="20"/>
              </w:rPr>
              <w:t>Iki 2022 m. renovuotų pastatų plotas, tūkst. kv. m.</w:t>
            </w:r>
          </w:p>
        </w:tc>
        <w:tc>
          <w:tcPr>
            <w:tcW w:w="1411" w:type="pct"/>
          </w:tcPr>
          <w:p w14:paraId="3F94B484" w14:textId="18911FB0" w:rsidR="00337064" w:rsidRPr="00BC2CB8" w:rsidRDefault="00337064" w:rsidP="00337064">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9826F6">
              <w:t xml:space="preserve"> 586 </w:t>
            </w:r>
          </w:p>
        </w:tc>
      </w:tr>
      <w:tr w:rsidR="00337064" w:rsidRPr="00BC2CB8" w14:paraId="0F1159E5" w14:textId="77777777"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89" w:type="pct"/>
          </w:tcPr>
          <w:p w14:paraId="4F154878" w14:textId="77777777" w:rsidR="00337064" w:rsidRPr="00BC2CB8" w:rsidRDefault="00337064" w:rsidP="00337064">
            <w:pPr>
              <w:rPr>
                <w:rFonts w:ascii="Georgia" w:hAnsi="Georgia"/>
                <w:sz w:val="20"/>
                <w:szCs w:val="20"/>
              </w:rPr>
            </w:pPr>
            <w:r w:rsidRPr="00BC2CB8">
              <w:rPr>
                <w:rFonts w:ascii="Georgia" w:hAnsi="Georgia"/>
                <w:sz w:val="20"/>
                <w:szCs w:val="20"/>
              </w:rPr>
              <w:t>Iki 2020 m. renovuotų pastatų plotas, tūkst. kv. m.</w:t>
            </w:r>
          </w:p>
        </w:tc>
        <w:tc>
          <w:tcPr>
            <w:tcW w:w="1411" w:type="pct"/>
          </w:tcPr>
          <w:p w14:paraId="7E89FF3A" w14:textId="12795A9D" w:rsidR="00337064" w:rsidRPr="00BC2CB8" w:rsidRDefault="00337064" w:rsidP="00337064">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t xml:space="preserve"> 315,6</w:t>
            </w:r>
            <w:r w:rsidRPr="009826F6">
              <w:t xml:space="preserve"> </w:t>
            </w:r>
          </w:p>
        </w:tc>
      </w:tr>
    </w:tbl>
    <w:p w14:paraId="27B2698E" w14:textId="77777777" w:rsidR="00280058" w:rsidRPr="00BC2CB8" w:rsidRDefault="00280058" w:rsidP="00280058">
      <w:pPr>
        <w:rPr>
          <w:rFonts w:ascii="Georgia" w:hAnsi="Georgia"/>
          <w:sz w:val="20"/>
          <w:szCs w:val="20"/>
          <w:lang w:val="lt-LT"/>
        </w:rPr>
      </w:pPr>
    </w:p>
    <w:p w14:paraId="02882B61" w14:textId="77777777" w:rsidR="00280058" w:rsidRPr="00BC2CB8" w:rsidRDefault="00280058" w:rsidP="00E67C77">
      <w:pPr>
        <w:pStyle w:val="Sraopastraipa"/>
        <w:keepNext/>
        <w:numPr>
          <w:ilvl w:val="0"/>
          <w:numId w:val="34"/>
        </w:numPr>
        <w:rPr>
          <w:rFonts w:ascii="Georgia" w:hAnsi="Georgia"/>
          <w:b/>
          <w:i/>
          <w:sz w:val="20"/>
          <w:szCs w:val="20"/>
          <w:lang w:val="lt-LT"/>
        </w:rPr>
      </w:pPr>
      <w:r w:rsidRPr="00BC2CB8">
        <w:rPr>
          <w:rFonts w:ascii="Georgia" w:hAnsi="Georgia"/>
          <w:b/>
          <w:i/>
          <w:sz w:val="20"/>
          <w:szCs w:val="20"/>
          <w:lang w:val="lt-LT"/>
        </w:rPr>
        <w:lastRenderedPageBreak/>
        <w:t>Scenarijus Nr. 5: ESI fondų lėšos nukreipiamos fondo pirmojo praradimo kapitalui suformuoti</w:t>
      </w:r>
    </w:p>
    <w:p w14:paraId="3CF4E3F5" w14:textId="77777777" w:rsidR="00280058" w:rsidRPr="00BC2CB8" w:rsidRDefault="00280058" w:rsidP="00E67C77">
      <w:pPr>
        <w:keepNext/>
        <w:jc w:val="both"/>
        <w:rPr>
          <w:szCs w:val="20"/>
          <w:lang w:val="lt-LT"/>
        </w:rPr>
      </w:pPr>
      <w:r w:rsidRPr="00BC2CB8">
        <w:rPr>
          <w:rFonts w:ascii="Georgia" w:hAnsi="Georgia"/>
          <w:sz w:val="20"/>
          <w:szCs w:val="20"/>
          <w:lang w:val="lt-LT"/>
        </w:rPr>
        <w:t>Šio scenarijaus atveju ESI fondų lėšos būtų nukreipiamos į naujai sukurtą juridinio asmens statusą turintį subjektą – investicinį fondą, ir tomis lėšomis būtų užtikrinama privačių investuotojų ir/ar paskolos davėjų investicijų saugumas.</w:t>
      </w:r>
    </w:p>
    <w:p w14:paraId="19D9FEEE" w14:textId="5495EAF0" w:rsidR="009F55BB" w:rsidRDefault="00337064" w:rsidP="00C83DB2">
      <w:pPr>
        <w:pStyle w:val="Antrat"/>
        <w:jc w:val="center"/>
        <w:rPr>
          <w:lang w:val="lt-LT"/>
        </w:rPr>
      </w:pPr>
      <w:r>
        <w:rPr>
          <w:noProof/>
          <w:lang w:val="lt-LT" w:eastAsia="lt-LT"/>
        </w:rPr>
        <w:drawing>
          <wp:inline distT="0" distB="0" distL="0" distR="0" wp14:anchorId="3320DBBA" wp14:editId="0E9A3468">
            <wp:extent cx="5685155" cy="1908175"/>
            <wp:effectExtent l="0" t="0" r="0" b="0"/>
            <wp:docPr id="175" name="Picture 175" descr="C:\Users\justinas.bucys\AppData\Local\Microsoft\Windows\INetCacheContent.Word\ESCO N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5" descr="C:\Users\justinas.bucys\AppData\Local\Microsoft\Windows\INetCacheContent.Word\ESCO Nr. 5.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685155" cy="1908175"/>
                    </a:xfrm>
                    <a:prstGeom prst="rect">
                      <a:avLst/>
                    </a:prstGeom>
                    <a:noFill/>
                    <a:ln>
                      <a:noFill/>
                    </a:ln>
                  </pic:spPr>
                </pic:pic>
              </a:graphicData>
            </a:graphic>
          </wp:inline>
        </w:drawing>
      </w:r>
    </w:p>
    <w:p w14:paraId="5B15C188" w14:textId="691C2E22" w:rsidR="00280058" w:rsidRPr="00BC2CB8" w:rsidRDefault="00280058" w:rsidP="00280058">
      <w:pPr>
        <w:pStyle w:val="Antrat"/>
        <w:rPr>
          <w:szCs w:val="20"/>
          <w:lang w:val="lt-LT"/>
        </w:rPr>
      </w:pPr>
      <w:bookmarkStart w:id="216" w:name="_Toc417378315"/>
      <w:r w:rsidRPr="00BC2CB8">
        <w:rPr>
          <w:lang w:val="lt-LT"/>
        </w:rPr>
        <w:t xml:space="preserve">Paveikslas </w:t>
      </w:r>
      <w:r w:rsidRPr="00BC2CB8">
        <w:rPr>
          <w:lang w:val="lt-LT"/>
        </w:rPr>
        <w:fldChar w:fldCharType="begin"/>
      </w:r>
      <w:r w:rsidRPr="00BC2CB8">
        <w:rPr>
          <w:lang w:val="lt-LT"/>
        </w:rPr>
        <w:instrText xml:space="preserve"> SEQ Paveikslas \* ARABIC </w:instrText>
      </w:r>
      <w:r w:rsidRPr="00BC2CB8">
        <w:rPr>
          <w:lang w:val="lt-LT"/>
        </w:rPr>
        <w:fldChar w:fldCharType="separate"/>
      </w:r>
      <w:r w:rsidR="00AA3082">
        <w:rPr>
          <w:noProof/>
          <w:lang w:val="lt-LT"/>
        </w:rPr>
        <w:t>38</w:t>
      </w:r>
      <w:r w:rsidRPr="00BC2CB8">
        <w:rPr>
          <w:lang w:val="lt-LT"/>
        </w:rPr>
        <w:fldChar w:fldCharType="end"/>
      </w:r>
      <w:r w:rsidRPr="00BC2CB8">
        <w:rPr>
          <w:lang w:val="lt-LT"/>
        </w:rPr>
        <w:t>. Viešųjų pastatų scenarijaus Nr. 5 schema.</w:t>
      </w:r>
      <w:bookmarkEnd w:id="216"/>
      <w:r w:rsidRPr="00BC2CB8">
        <w:rPr>
          <w:lang w:val="lt-LT"/>
        </w:rPr>
        <w:t xml:space="preserve"> </w:t>
      </w:r>
    </w:p>
    <w:p w14:paraId="6CAE6CC6" w14:textId="77777777" w:rsidR="00EA1C94" w:rsidRDefault="00EA1C94" w:rsidP="00280058">
      <w:pPr>
        <w:jc w:val="both"/>
        <w:rPr>
          <w:rFonts w:ascii="Georgia" w:hAnsi="Georgia"/>
          <w:sz w:val="20"/>
          <w:szCs w:val="20"/>
          <w:lang w:val="lt-LT"/>
        </w:rPr>
      </w:pPr>
    </w:p>
    <w:p w14:paraId="7A8FD71F" w14:textId="77777777" w:rsidR="00280058" w:rsidRPr="00BC2CB8" w:rsidRDefault="00280058" w:rsidP="00280058">
      <w:pPr>
        <w:jc w:val="both"/>
        <w:rPr>
          <w:rFonts w:ascii="Georgia" w:hAnsi="Georgia"/>
          <w:sz w:val="20"/>
          <w:szCs w:val="20"/>
          <w:lang w:val="lt-LT"/>
        </w:rPr>
      </w:pPr>
      <w:r w:rsidRPr="00BC2CB8">
        <w:rPr>
          <w:rFonts w:ascii="Georgia" w:hAnsi="Georgia"/>
          <w:sz w:val="20"/>
          <w:szCs w:val="20"/>
          <w:lang w:val="lt-LT"/>
        </w:rPr>
        <w:t>Su galimais investuotojais (tarptautinėmis finansų institucijomis, komerciniais bankais, pensijų fondais) aptarus finansinės priemonės ar fondų fondo, kaip juridinio asmens įsteigimo galimyb</w:t>
      </w:r>
      <w:r w:rsidR="00C83DB2">
        <w:rPr>
          <w:rFonts w:ascii="Georgia" w:hAnsi="Georgia"/>
          <w:sz w:val="20"/>
          <w:szCs w:val="20"/>
          <w:lang w:val="lt-LT"/>
        </w:rPr>
        <w:t>es, buvo nustatyta, kad apie 50</w:t>
      </w:r>
      <w:r w:rsidRPr="00BC2CB8">
        <w:rPr>
          <w:rFonts w:ascii="Georgia" w:hAnsi="Georgia"/>
          <w:sz w:val="20"/>
          <w:szCs w:val="20"/>
          <w:lang w:val="lt-LT"/>
        </w:rPr>
        <w:t>% (ši dalis yra mažesnė negu daugiabučių renovacijos atveju, nes ESCO rinkos Lietuvoje nėra ir pritraukti investuotojus būtų sunkiau) fondo lėšų galėtų sudaryti 2014-2020 m. ES lėšos numatytos centrinės valdžios viešųjų pastatų renovacijai, ir apie 50 % sudarytų privačių investuotojų paskolos ir investicijos į tokį fondą. Tačiau tokį finansinio sverto efektą galima būtų pasiekti, jeigu 60 proc. vadovaujančiosios institucijos įnašo (tokiu atveju bendroje fondo apimtyje pirmo praradimo kapitalas sudarytų 30 proc., t.y. analogiškai kaip daugiabučių pastatų atveju) į fondą, būtų laikomas pirmojo praradimo kapitalu.</w:t>
      </w:r>
    </w:p>
    <w:p w14:paraId="7B3CAF61" w14:textId="31B92A70" w:rsidR="00280058" w:rsidRPr="00C83DB2" w:rsidRDefault="00280058" w:rsidP="00280058">
      <w:pPr>
        <w:jc w:val="both"/>
      </w:pPr>
      <w:r w:rsidRPr="00BC2CB8">
        <w:rPr>
          <w:rFonts w:ascii="Georgia" w:hAnsi="Georgia"/>
          <w:sz w:val="20"/>
          <w:szCs w:val="20"/>
          <w:lang w:val="lt-LT"/>
        </w:rPr>
        <w:t>Paskolų finansin</w:t>
      </w:r>
      <w:r w:rsidR="00C83DB2">
        <w:rPr>
          <w:rFonts w:ascii="Georgia" w:hAnsi="Georgia"/>
          <w:sz w:val="20"/>
          <w:szCs w:val="20"/>
          <w:lang w:val="lt-LT"/>
        </w:rPr>
        <w:t>ei priemonei numatoma skirti 70</w:t>
      </w:r>
      <w:r w:rsidRPr="00BC2CB8">
        <w:rPr>
          <w:rFonts w:ascii="Georgia" w:hAnsi="Georgia"/>
          <w:sz w:val="20"/>
          <w:szCs w:val="20"/>
          <w:lang w:val="lt-LT"/>
        </w:rPr>
        <w:t xml:space="preserve">% turimo fondo lėšų t.y. </w:t>
      </w:r>
      <w:r w:rsidR="009B7758">
        <w:rPr>
          <w:rFonts w:ascii="Georgia" w:hAnsi="Georgia"/>
          <w:sz w:val="20"/>
          <w:szCs w:val="20"/>
          <w:lang w:val="lt-LT"/>
        </w:rPr>
        <w:t>111,4</w:t>
      </w:r>
      <w:r w:rsidRPr="00BC2CB8">
        <w:rPr>
          <w:rFonts w:ascii="Georgia" w:hAnsi="Georgia"/>
          <w:sz w:val="20"/>
          <w:szCs w:val="20"/>
          <w:lang w:val="lt-LT"/>
        </w:rPr>
        <w:t xml:space="preserve"> mln. eurų, o likusi 30% fondo dalis bus laikoma pirmo nuostolio padengimo lėšomis.  </w:t>
      </w:r>
    </w:p>
    <w:p w14:paraId="62210476" w14:textId="169D6C75" w:rsidR="00280058" w:rsidRPr="00BC2CB8" w:rsidRDefault="00280058" w:rsidP="00280058">
      <w:pPr>
        <w:pStyle w:val="Antrat"/>
        <w:jc w:val="both"/>
        <w:rPr>
          <w:szCs w:val="20"/>
          <w:lang w:val="lt-LT"/>
        </w:rPr>
      </w:pPr>
      <w:bookmarkStart w:id="217" w:name="_Toc460321691"/>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110</w:t>
      </w:r>
      <w:r w:rsidRPr="00BC2CB8">
        <w:rPr>
          <w:lang w:val="lt-LT"/>
        </w:rPr>
        <w:fldChar w:fldCharType="end"/>
      </w:r>
      <w:r w:rsidRPr="00BC2CB8">
        <w:rPr>
          <w:lang w:val="lt-LT"/>
        </w:rPr>
        <w:t>. Scenarijaus Nr. 5 prielaidos</w:t>
      </w:r>
      <w:bookmarkEnd w:id="217"/>
    </w:p>
    <w:tbl>
      <w:tblPr>
        <w:tblStyle w:val="viesussraas2parykinimas"/>
        <w:tblW w:w="5000" w:type="pct"/>
        <w:tblLook w:val="04A0" w:firstRow="1" w:lastRow="0" w:firstColumn="1" w:lastColumn="0" w:noHBand="0" w:noVBand="1"/>
      </w:tblPr>
      <w:tblGrid>
        <w:gridCol w:w="3164"/>
        <w:gridCol w:w="6078"/>
      </w:tblGrid>
      <w:tr w:rsidR="00280058" w:rsidRPr="00BC2CB8" w14:paraId="2B103AD0" w14:textId="77777777" w:rsidTr="00BB18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12" w:type="pct"/>
            <w:tcBorders>
              <w:bottom w:val="single" w:sz="8" w:space="0" w:color="C0504D" w:themeColor="accent2"/>
            </w:tcBorders>
          </w:tcPr>
          <w:p w14:paraId="27B5162F" w14:textId="77777777" w:rsidR="00280058" w:rsidRPr="00BC2CB8" w:rsidRDefault="00280058" w:rsidP="00C83DB2">
            <w:pPr>
              <w:jc w:val="center"/>
              <w:rPr>
                <w:rFonts w:ascii="Georgia" w:hAnsi="Georgia"/>
                <w:sz w:val="20"/>
                <w:szCs w:val="20"/>
              </w:rPr>
            </w:pPr>
            <w:r w:rsidRPr="00BC2CB8">
              <w:rPr>
                <w:rFonts w:ascii="Georgia" w:hAnsi="Georgia"/>
                <w:sz w:val="20"/>
                <w:szCs w:val="20"/>
              </w:rPr>
              <w:t>Prielaidos</w:t>
            </w:r>
          </w:p>
        </w:tc>
        <w:tc>
          <w:tcPr>
            <w:tcW w:w="3288" w:type="pct"/>
            <w:tcBorders>
              <w:bottom w:val="single" w:sz="8" w:space="0" w:color="C0504D" w:themeColor="accent2"/>
            </w:tcBorders>
          </w:tcPr>
          <w:p w14:paraId="6920D174" w14:textId="77777777" w:rsidR="00280058" w:rsidRPr="00BC2CB8" w:rsidRDefault="00280058" w:rsidP="00C83DB2">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Komentaras</w:t>
            </w:r>
          </w:p>
        </w:tc>
      </w:tr>
      <w:tr w:rsidR="00280058" w:rsidRPr="00BC2CB8" w14:paraId="6955B0C2"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bottom w:val="single" w:sz="6" w:space="0" w:color="C0504D" w:themeColor="accent2"/>
              <w:right w:val="single" w:sz="6" w:space="0" w:color="C0504D" w:themeColor="accent2"/>
            </w:tcBorders>
          </w:tcPr>
          <w:p w14:paraId="28AD1814" w14:textId="77777777" w:rsidR="00280058" w:rsidRPr="00BC2CB8" w:rsidRDefault="00280058" w:rsidP="00BB18F6">
            <w:pPr>
              <w:rPr>
                <w:rFonts w:ascii="Georgia" w:hAnsi="Georgia"/>
                <w:b w:val="0"/>
                <w:sz w:val="20"/>
                <w:szCs w:val="20"/>
              </w:rPr>
            </w:pPr>
            <w:r w:rsidRPr="00BC2CB8">
              <w:rPr>
                <w:rFonts w:ascii="Georgia" w:hAnsi="Georgia"/>
                <w:sz w:val="20"/>
                <w:szCs w:val="20"/>
              </w:rPr>
              <w:t>Paskolos laikotarpis: iki 20 metų</w:t>
            </w:r>
          </w:p>
        </w:tc>
        <w:tc>
          <w:tcPr>
            <w:tcW w:w="3288" w:type="pct"/>
            <w:tcBorders>
              <w:left w:val="single" w:sz="6" w:space="0" w:color="C0504D" w:themeColor="accent2"/>
              <w:bottom w:val="single" w:sz="6" w:space="0" w:color="C0504D" w:themeColor="accent2"/>
            </w:tcBorders>
          </w:tcPr>
          <w:p w14:paraId="13817AEE" w14:textId="77777777"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Maksimalus paskolos sutarties terminas yra 20 metų.</w:t>
            </w:r>
          </w:p>
        </w:tc>
      </w:tr>
      <w:tr w:rsidR="00280058" w:rsidRPr="00BC2CB8" w14:paraId="73FEE245" w14:textId="77777777" w:rsidTr="00BB18F6">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57FBC2C5" w14:textId="77777777" w:rsidR="00280058" w:rsidRPr="00BC2CB8" w:rsidRDefault="00280058" w:rsidP="00C83DB2">
            <w:pPr>
              <w:rPr>
                <w:rFonts w:ascii="Georgia" w:hAnsi="Georgia"/>
                <w:b w:val="0"/>
                <w:sz w:val="20"/>
                <w:szCs w:val="20"/>
              </w:rPr>
            </w:pPr>
            <w:r w:rsidRPr="00BC2CB8">
              <w:rPr>
                <w:rFonts w:ascii="Georgia" w:hAnsi="Georgia"/>
                <w:sz w:val="20"/>
                <w:szCs w:val="20"/>
              </w:rPr>
              <w:t>Blogų paskolų dalis: 5%</w:t>
            </w:r>
          </w:p>
        </w:tc>
        <w:tc>
          <w:tcPr>
            <w:tcW w:w="3288" w:type="pct"/>
            <w:tcBorders>
              <w:top w:val="single" w:sz="6" w:space="0" w:color="C0504D" w:themeColor="accent2"/>
              <w:left w:val="single" w:sz="6" w:space="0" w:color="C0504D" w:themeColor="accent2"/>
              <w:bottom w:val="single" w:sz="6" w:space="0" w:color="C0504D" w:themeColor="accent2"/>
            </w:tcBorders>
          </w:tcPr>
          <w:p w14:paraId="706BD608" w14:textId="77777777"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Blogų paskolų dalis buvo nustatyta remiantis ekspertų ir komercinių bankų vertinimu. Be to, ši prielaida atitinka PwC studijoje nustatytą dydį.</w:t>
            </w:r>
          </w:p>
        </w:tc>
      </w:tr>
      <w:tr w:rsidR="00280058" w:rsidRPr="00BC2CB8" w14:paraId="31DD12C3"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143B6A87" w14:textId="77777777" w:rsidR="00280058" w:rsidRPr="00BC2CB8" w:rsidRDefault="00280058" w:rsidP="00BB18F6">
            <w:pPr>
              <w:rPr>
                <w:rFonts w:ascii="Georgia" w:hAnsi="Georgia"/>
                <w:b w:val="0"/>
                <w:sz w:val="20"/>
                <w:szCs w:val="20"/>
              </w:rPr>
            </w:pPr>
            <w:r w:rsidRPr="00BC2CB8">
              <w:rPr>
                <w:rFonts w:ascii="Georgia" w:hAnsi="Georgia"/>
                <w:sz w:val="20"/>
                <w:szCs w:val="20"/>
              </w:rPr>
              <w:t>Tipinio viešojo pastato projekto investicijų vertė: 228 000 eurų</w:t>
            </w:r>
          </w:p>
        </w:tc>
        <w:tc>
          <w:tcPr>
            <w:tcW w:w="3288" w:type="pct"/>
            <w:tcBorders>
              <w:top w:val="single" w:sz="6" w:space="0" w:color="C0504D" w:themeColor="accent2"/>
              <w:left w:val="single" w:sz="6" w:space="0" w:color="C0504D" w:themeColor="accent2"/>
              <w:bottom w:val="single" w:sz="6" w:space="0" w:color="C0504D" w:themeColor="accent2"/>
            </w:tcBorders>
          </w:tcPr>
          <w:p w14:paraId="46728174" w14:textId="77777777"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Vidutinė tipinio viešojo pastato renovacijos kaina buvo nustatyta remiantis vidutinio viešojo pastato plotu ir pastato renovacijos kaštais vienam kvadratiniam metrui. Vidutinis pastato plotas paskaičiuotas remiantis Registrų centro duomenimis 2.1.1. skyriuje, o viešojo pastato renovacijos kaštai numatyti </w:t>
            </w:r>
            <w:r w:rsidRPr="00BC2CB8">
              <w:rPr>
                <w:rFonts w:ascii="Georgia" w:hAnsi="Georgia"/>
                <w:bCs/>
                <w:sz w:val="20"/>
                <w:szCs w:val="20"/>
              </w:rPr>
              <w:t>Viešųjų pastatų energinio efektyvumo didinimo programos projekte</w:t>
            </w:r>
            <w:r w:rsidRPr="00BC2CB8">
              <w:rPr>
                <w:rStyle w:val="Puslapioinaosnuoroda"/>
                <w:rFonts w:ascii="Georgia" w:hAnsi="Georgia"/>
                <w:bCs/>
                <w:sz w:val="20"/>
                <w:szCs w:val="20"/>
              </w:rPr>
              <w:footnoteReference w:id="119"/>
            </w:r>
            <w:r w:rsidRPr="00BC2CB8">
              <w:rPr>
                <w:rFonts w:ascii="Georgia" w:hAnsi="Georgia"/>
                <w:bCs/>
                <w:sz w:val="20"/>
                <w:szCs w:val="20"/>
              </w:rPr>
              <w:t xml:space="preserve"> ir sudaro 202,7 </w:t>
            </w:r>
            <w:r w:rsidRPr="00BC2CB8">
              <w:rPr>
                <w:rFonts w:ascii="Georgia" w:hAnsi="Georgia"/>
                <w:sz w:val="20"/>
                <w:szCs w:val="20"/>
              </w:rPr>
              <w:t>eurų</w:t>
            </w:r>
            <w:r w:rsidRPr="00BC2CB8" w:rsidDel="00334CC9">
              <w:rPr>
                <w:rFonts w:ascii="Georgia" w:hAnsi="Georgia"/>
                <w:bCs/>
                <w:sz w:val="20"/>
                <w:szCs w:val="20"/>
              </w:rPr>
              <w:t xml:space="preserve"> </w:t>
            </w:r>
            <w:r w:rsidRPr="00BC2CB8">
              <w:rPr>
                <w:rFonts w:ascii="Georgia" w:hAnsi="Georgia"/>
                <w:bCs/>
                <w:sz w:val="20"/>
                <w:szCs w:val="20"/>
              </w:rPr>
              <w:t>/m</w:t>
            </w:r>
            <w:r w:rsidRPr="00BC2CB8">
              <w:rPr>
                <w:rFonts w:ascii="Georgia" w:hAnsi="Georgia"/>
                <w:bCs/>
                <w:sz w:val="20"/>
                <w:szCs w:val="20"/>
                <w:vertAlign w:val="superscript"/>
              </w:rPr>
              <w:t>2</w:t>
            </w:r>
            <w:r w:rsidRPr="00BC2CB8">
              <w:rPr>
                <w:rFonts w:ascii="Georgia" w:hAnsi="Georgia"/>
                <w:bCs/>
                <w:sz w:val="20"/>
                <w:szCs w:val="20"/>
              </w:rPr>
              <w:t>.</w:t>
            </w:r>
          </w:p>
        </w:tc>
      </w:tr>
      <w:tr w:rsidR="00280058" w:rsidRPr="00BC2CB8" w14:paraId="5425CFAC" w14:textId="77777777" w:rsidTr="00BB18F6">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09259198" w14:textId="6EF0453D" w:rsidR="00280058" w:rsidRPr="00BC2CB8" w:rsidRDefault="00280058" w:rsidP="00BB18F6">
            <w:pPr>
              <w:rPr>
                <w:rFonts w:ascii="Georgia" w:hAnsi="Georgia"/>
                <w:b w:val="0"/>
                <w:sz w:val="20"/>
                <w:szCs w:val="20"/>
              </w:rPr>
            </w:pPr>
            <w:r w:rsidRPr="00BC2CB8">
              <w:rPr>
                <w:rFonts w:ascii="Georgia" w:hAnsi="Georgia"/>
                <w:sz w:val="20"/>
                <w:szCs w:val="20"/>
              </w:rPr>
              <w:lastRenderedPageBreak/>
              <w:t>Pa</w:t>
            </w:r>
            <w:r w:rsidR="00C83DB2">
              <w:rPr>
                <w:rFonts w:ascii="Georgia" w:hAnsi="Georgia"/>
                <w:sz w:val="20"/>
                <w:szCs w:val="20"/>
              </w:rPr>
              <w:t xml:space="preserve">skolų palūkanų norma: </w:t>
            </w:r>
            <w:r w:rsidR="009B7758">
              <w:rPr>
                <w:rFonts w:ascii="Georgia" w:hAnsi="Georgia"/>
                <w:sz w:val="20"/>
                <w:szCs w:val="20"/>
              </w:rPr>
              <w:t>su iki</w:t>
            </w:r>
            <w:r w:rsidR="009B7758" w:rsidRPr="00BC2CB8">
              <w:rPr>
                <w:rFonts w:ascii="Georgia" w:hAnsi="Georgia"/>
                <w:sz w:val="20"/>
                <w:szCs w:val="20"/>
              </w:rPr>
              <w:t xml:space="preserve"> 2 %</w:t>
            </w:r>
            <w:r w:rsidR="009B7758">
              <w:rPr>
                <w:rFonts w:ascii="Georgia" w:hAnsi="Georgia"/>
                <w:sz w:val="20"/>
                <w:szCs w:val="20"/>
              </w:rPr>
              <w:t xml:space="preserve"> palūkanų marža</w:t>
            </w:r>
          </w:p>
        </w:tc>
        <w:tc>
          <w:tcPr>
            <w:tcW w:w="3288" w:type="pct"/>
            <w:tcBorders>
              <w:top w:val="single" w:sz="6" w:space="0" w:color="C0504D" w:themeColor="accent2"/>
              <w:left w:val="single" w:sz="6" w:space="0" w:color="C0504D" w:themeColor="accent2"/>
              <w:bottom w:val="single" w:sz="6" w:space="0" w:color="C0504D" w:themeColor="accent2"/>
            </w:tcBorders>
          </w:tcPr>
          <w:p w14:paraId="014F2407" w14:textId="32A2334B" w:rsidR="00280058" w:rsidRPr="00BC2CB8" w:rsidRDefault="009B7758" w:rsidP="007C3B17">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Analizės tikslais n</w:t>
            </w:r>
            <w:r w:rsidRPr="00BC2CB8">
              <w:rPr>
                <w:rFonts w:ascii="Georgia" w:hAnsi="Georgia"/>
                <w:sz w:val="20"/>
                <w:szCs w:val="20"/>
              </w:rPr>
              <w:t>ustatomos 2</w:t>
            </w:r>
            <w:r>
              <w:rPr>
                <w:rFonts w:ascii="Georgia" w:hAnsi="Georgia"/>
                <w:sz w:val="20"/>
                <w:szCs w:val="20"/>
              </w:rPr>
              <w:t xml:space="preserve"> </w:t>
            </w:r>
            <w:r w:rsidRPr="00BC2CB8">
              <w:rPr>
                <w:rFonts w:ascii="Georgia" w:hAnsi="Georgia"/>
                <w:sz w:val="20"/>
                <w:szCs w:val="20"/>
              </w:rPr>
              <w:t xml:space="preserve">% </w:t>
            </w:r>
            <w:r>
              <w:rPr>
                <w:rFonts w:ascii="Georgia" w:hAnsi="Georgia"/>
                <w:sz w:val="20"/>
                <w:szCs w:val="20"/>
              </w:rPr>
              <w:t xml:space="preserve">metinės </w:t>
            </w:r>
            <w:r w:rsidRPr="00BC2CB8">
              <w:rPr>
                <w:rFonts w:ascii="Georgia" w:hAnsi="Georgia"/>
                <w:sz w:val="20"/>
                <w:szCs w:val="20"/>
              </w:rPr>
              <w:t>palūkanos.</w:t>
            </w:r>
            <w:r>
              <w:rPr>
                <w:rFonts w:ascii="Georgia" w:hAnsi="Georgia"/>
                <w:sz w:val="20"/>
                <w:szCs w:val="20"/>
              </w:rPr>
              <w:t xml:space="preserve"> Pradinėje FP stadijoje gali būti nustatomos ir mažesnės palūkanos. Išnaudojus ESI fondų lėšas palūkanos turėtų atitikti FP administravimo ir </w:t>
            </w:r>
            <w:r w:rsidR="007C3B17">
              <w:rPr>
                <w:rFonts w:ascii="Georgia" w:hAnsi="Georgia"/>
                <w:sz w:val="20"/>
                <w:szCs w:val="20"/>
              </w:rPr>
              <w:t>lėšų</w:t>
            </w:r>
            <w:r>
              <w:rPr>
                <w:rFonts w:ascii="Georgia" w:hAnsi="Georgia"/>
                <w:sz w:val="20"/>
                <w:szCs w:val="20"/>
              </w:rPr>
              <w:t xml:space="preserve"> pritraukimo kainą.</w:t>
            </w:r>
          </w:p>
        </w:tc>
      </w:tr>
      <w:tr w:rsidR="00280058" w:rsidRPr="00BC2CB8" w14:paraId="471AE826"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499CDCFD" w14:textId="13967FBE" w:rsidR="00280058" w:rsidRPr="00BC2CB8" w:rsidRDefault="00280058" w:rsidP="009B7758">
            <w:pPr>
              <w:rPr>
                <w:rFonts w:ascii="Georgia" w:hAnsi="Georgia"/>
                <w:b w:val="0"/>
                <w:sz w:val="20"/>
                <w:szCs w:val="20"/>
              </w:rPr>
            </w:pPr>
            <w:r w:rsidRPr="00BC2CB8">
              <w:rPr>
                <w:rFonts w:ascii="Georgia" w:hAnsi="Georgia"/>
                <w:sz w:val="20"/>
              </w:rPr>
              <w:t>Siektinas įgyvendinamų projektų skaičius</w:t>
            </w:r>
            <w:r w:rsidRPr="00BC2CB8">
              <w:rPr>
                <w:rFonts w:ascii="Georgia" w:hAnsi="Georgia"/>
                <w:sz w:val="20"/>
                <w:szCs w:val="20"/>
              </w:rPr>
              <w:t xml:space="preserve"> nuo 2016 m.:  </w:t>
            </w:r>
            <w:r w:rsidR="009B7758">
              <w:rPr>
                <w:rFonts w:ascii="Georgia" w:hAnsi="Georgia"/>
                <w:sz w:val="20"/>
                <w:szCs w:val="20"/>
              </w:rPr>
              <w:t>80</w:t>
            </w:r>
            <w:r w:rsidR="009B7758" w:rsidRPr="00BC2CB8">
              <w:rPr>
                <w:rFonts w:ascii="Georgia" w:hAnsi="Georgia"/>
                <w:sz w:val="20"/>
                <w:szCs w:val="20"/>
              </w:rPr>
              <w:t xml:space="preserve"> </w:t>
            </w:r>
            <w:r w:rsidRPr="00BC2CB8">
              <w:rPr>
                <w:rFonts w:ascii="Georgia" w:hAnsi="Georgia"/>
                <w:sz w:val="20"/>
                <w:szCs w:val="20"/>
              </w:rPr>
              <w:t>projektai</w:t>
            </w:r>
          </w:p>
        </w:tc>
        <w:tc>
          <w:tcPr>
            <w:tcW w:w="3288" w:type="pct"/>
            <w:tcBorders>
              <w:top w:val="single" w:sz="6" w:space="0" w:color="C0504D" w:themeColor="accent2"/>
              <w:left w:val="single" w:sz="6" w:space="0" w:color="C0504D" w:themeColor="accent2"/>
              <w:bottom w:val="single" w:sz="6" w:space="0" w:color="C0504D" w:themeColor="accent2"/>
            </w:tcBorders>
          </w:tcPr>
          <w:p w14:paraId="21D6C39B" w14:textId="19318038" w:rsidR="00280058" w:rsidRPr="00BC2CB8" w:rsidRDefault="00280058" w:rsidP="009B7758">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Daroma prielaida, kad nuo </w:t>
            </w:r>
            <w:r w:rsidR="009B7758" w:rsidRPr="00BC2CB8">
              <w:rPr>
                <w:rFonts w:ascii="Georgia" w:hAnsi="Georgia"/>
                <w:sz w:val="20"/>
                <w:szCs w:val="20"/>
              </w:rPr>
              <w:t>201</w:t>
            </w:r>
            <w:r w:rsidR="009B7758">
              <w:rPr>
                <w:rFonts w:ascii="Georgia" w:hAnsi="Georgia"/>
                <w:sz w:val="20"/>
                <w:szCs w:val="20"/>
              </w:rPr>
              <w:t>8</w:t>
            </w:r>
            <w:r w:rsidR="009B7758" w:rsidRPr="00BC2CB8">
              <w:rPr>
                <w:rFonts w:ascii="Georgia" w:hAnsi="Georgia"/>
                <w:sz w:val="20"/>
                <w:szCs w:val="20"/>
              </w:rPr>
              <w:t xml:space="preserve"> </w:t>
            </w:r>
            <w:r w:rsidRPr="00BC2CB8">
              <w:rPr>
                <w:rFonts w:ascii="Georgia" w:hAnsi="Georgia"/>
                <w:sz w:val="20"/>
                <w:szCs w:val="20"/>
              </w:rPr>
              <w:t xml:space="preserve">metų, susiformavus ESCO rinkai, projektų skaičius galėtų siekti apie </w:t>
            </w:r>
            <w:r w:rsidR="009B7758">
              <w:rPr>
                <w:rFonts w:ascii="Georgia" w:hAnsi="Georgia"/>
                <w:sz w:val="20"/>
                <w:szCs w:val="20"/>
              </w:rPr>
              <w:t>80</w:t>
            </w:r>
            <w:r w:rsidR="009B7758" w:rsidRPr="00BC2CB8">
              <w:rPr>
                <w:rFonts w:ascii="Georgia" w:hAnsi="Georgia"/>
                <w:sz w:val="20"/>
                <w:szCs w:val="20"/>
              </w:rPr>
              <w:t xml:space="preserve"> </w:t>
            </w:r>
            <w:r w:rsidRPr="00BC2CB8">
              <w:rPr>
                <w:rFonts w:ascii="Georgia" w:hAnsi="Georgia"/>
                <w:sz w:val="20"/>
                <w:szCs w:val="20"/>
              </w:rPr>
              <w:t>tipini</w:t>
            </w:r>
            <w:r w:rsidR="009B7758">
              <w:rPr>
                <w:rFonts w:ascii="Georgia" w:hAnsi="Georgia"/>
                <w:sz w:val="20"/>
                <w:szCs w:val="20"/>
              </w:rPr>
              <w:t>ų</w:t>
            </w:r>
            <w:r w:rsidRPr="00BC2CB8">
              <w:rPr>
                <w:rFonts w:ascii="Georgia" w:hAnsi="Georgia"/>
                <w:sz w:val="20"/>
                <w:szCs w:val="20"/>
              </w:rPr>
              <w:t xml:space="preserve"> viešųjų pastatų modernizavimo projekt</w:t>
            </w:r>
            <w:r w:rsidR="009B7758">
              <w:rPr>
                <w:rFonts w:ascii="Georgia" w:hAnsi="Georgia"/>
                <w:sz w:val="20"/>
                <w:szCs w:val="20"/>
              </w:rPr>
              <w:t>ų</w:t>
            </w:r>
            <w:r w:rsidRPr="00BC2CB8">
              <w:rPr>
                <w:rFonts w:ascii="Georgia" w:hAnsi="Georgia"/>
                <w:sz w:val="20"/>
                <w:szCs w:val="20"/>
              </w:rPr>
              <w:t xml:space="preserve"> per metus.</w:t>
            </w:r>
          </w:p>
        </w:tc>
      </w:tr>
      <w:tr w:rsidR="00280058" w:rsidRPr="00BC2CB8" w14:paraId="0E1A64B1" w14:textId="77777777" w:rsidTr="00BB18F6">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6E48E7A6" w14:textId="1B109E44" w:rsidR="00280058" w:rsidRPr="00BC2CB8" w:rsidRDefault="00280058" w:rsidP="009B7758">
            <w:pPr>
              <w:rPr>
                <w:rFonts w:ascii="Georgia" w:hAnsi="Georgia"/>
                <w:b w:val="0"/>
                <w:sz w:val="20"/>
                <w:szCs w:val="20"/>
              </w:rPr>
            </w:pPr>
            <w:r w:rsidRPr="00BC2CB8">
              <w:rPr>
                <w:rFonts w:ascii="Georgia" w:hAnsi="Georgia"/>
                <w:sz w:val="20"/>
                <w:szCs w:val="20"/>
              </w:rPr>
              <w:t xml:space="preserve">Investuojamų ESI fondų lėšų suma į fondą: </w:t>
            </w:r>
            <w:r w:rsidR="009B7758">
              <w:rPr>
                <w:rFonts w:ascii="Georgia" w:hAnsi="Georgia"/>
                <w:sz w:val="20"/>
                <w:szCs w:val="20"/>
              </w:rPr>
              <w:t>79,6</w:t>
            </w:r>
            <w:r w:rsidRPr="00BC2CB8">
              <w:rPr>
                <w:rFonts w:ascii="Georgia" w:hAnsi="Georgia"/>
                <w:sz w:val="20"/>
                <w:szCs w:val="20"/>
              </w:rPr>
              <w:t xml:space="preserve"> mln. eurų</w:t>
            </w:r>
          </w:p>
        </w:tc>
        <w:tc>
          <w:tcPr>
            <w:tcW w:w="3288" w:type="pct"/>
            <w:tcBorders>
              <w:top w:val="single" w:sz="6" w:space="0" w:color="C0504D" w:themeColor="accent2"/>
              <w:left w:val="single" w:sz="6" w:space="0" w:color="C0504D" w:themeColor="accent2"/>
              <w:bottom w:val="single" w:sz="6" w:space="0" w:color="C0504D" w:themeColor="accent2"/>
            </w:tcBorders>
          </w:tcPr>
          <w:p w14:paraId="008BCBE9" w14:textId="1D63963A" w:rsidR="00280058" w:rsidRPr="00BC2CB8" w:rsidRDefault="00280058" w:rsidP="00E67C77">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Daroma prielaida, jog centrinės valdžios pastatų renovacijai skirtos lėšos – 79,6 mln. eurų – būtų </w:t>
            </w:r>
            <w:r w:rsidR="009B7758">
              <w:rPr>
                <w:rFonts w:ascii="Georgia" w:hAnsi="Georgia"/>
                <w:sz w:val="20"/>
                <w:szCs w:val="20"/>
              </w:rPr>
              <w:t>skiriamos</w:t>
            </w:r>
            <w:r w:rsidR="009B7758" w:rsidRPr="00BC2CB8">
              <w:rPr>
                <w:rFonts w:ascii="Georgia" w:hAnsi="Georgia"/>
                <w:sz w:val="20"/>
                <w:szCs w:val="20"/>
              </w:rPr>
              <w:t xml:space="preserve"> </w:t>
            </w:r>
            <w:r w:rsidR="009B7758">
              <w:rPr>
                <w:rFonts w:ascii="Georgia" w:hAnsi="Georgia"/>
                <w:sz w:val="20"/>
                <w:szCs w:val="20"/>
              </w:rPr>
              <w:t xml:space="preserve">paskolos </w:t>
            </w:r>
            <w:r w:rsidRPr="00BC2CB8">
              <w:rPr>
                <w:rFonts w:ascii="Georgia" w:hAnsi="Georgia"/>
                <w:sz w:val="20"/>
                <w:szCs w:val="20"/>
              </w:rPr>
              <w:t>finansin</w:t>
            </w:r>
            <w:r w:rsidR="009B7758">
              <w:rPr>
                <w:rFonts w:ascii="Georgia" w:hAnsi="Georgia"/>
                <w:sz w:val="20"/>
                <w:szCs w:val="20"/>
              </w:rPr>
              <w:t>ei</w:t>
            </w:r>
            <w:r w:rsidRPr="00BC2CB8">
              <w:rPr>
                <w:rFonts w:ascii="Georgia" w:hAnsi="Georgia"/>
                <w:sz w:val="20"/>
                <w:szCs w:val="20"/>
              </w:rPr>
              <w:t xml:space="preserve"> priemon</w:t>
            </w:r>
            <w:r w:rsidR="009B7758">
              <w:rPr>
                <w:rFonts w:ascii="Georgia" w:hAnsi="Georgia"/>
                <w:sz w:val="20"/>
                <w:szCs w:val="20"/>
              </w:rPr>
              <w:t>ei.</w:t>
            </w:r>
          </w:p>
        </w:tc>
      </w:tr>
      <w:tr w:rsidR="00280058" w:rsidRPr="00BC2CB8" w14:paraId="38D325D6"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259592E0" w14:textId="77777777" w:rsidR="00280058" w:rsidRPr="00BC2CB8" w:rsidRDefault="00280058" w:rsidP="00BB18F6">
            <w:pPr>
              <w:rPr>
                <w:rFonts w:ascii="Georgia" w:hAnsi="Georgia"/>
                <w:b w:val="0"/>
                <w:sz w:val="20"/>
                <w:szCs w:val="20"/>
              </w:rPr>
            </w:pPr>
            <w:r w:rsidRPr="00BC2CB8">
              <w:rPr>
                <w:rFonts w:ascii="Georgia" w:hAnsi="Georgia"/>
                <w:sz w:val="20"/>
              </w:rPr>
              <w:t>Valdymo mokestis: vadovaujantis Deleguoto reglamento nuostatomis</w:t>
            </w:r>
          </w:p>
        </w:tc>
        <w:tc>
          <w:tcPr>
            <w:tcW w:w="3288" w:type="pct"/>
            <w:tcBorders>
              <w:top w:val="single" w:sz="6" w:space="0" w:color="C0504D" w:themeColor="accent2"/>
              <w:left w:val="single" w:sz="6" w:space="0" w:color="C0504D" w:themeColor="accent2"/>
              <w:bottom w:val="single" w:sz="6" w:space="0" w:color="C0504D" w:themeColor="accent2"/>
            </w:tcBorders>
          </w:tcPr>
          <w:p w14:paraId="76305FAB" w14:textId="77777777"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rPr>
              <w:t>Vadovaujantis Deleguoto reglamento nuostatomis, valdymo mokestis susideda iš dviejų dalių: 0,5 proc. bazinis mokestis nuo finansinei priemonei skirtų ir įmokėtų lėšų, 1 proc. mokestis nuo paskolų, suteiktų galutiniams naudos gavėjams, sumos.</w:t>
            </w:r>
          </w:p>
        </w:tc>
      </w:tr>
      <w:tr w:rsidR="00280058" w:rsidRPr="00BC2CB8" w14:paraId="3B34E1DA" w14:textId="77777777" w:rsidTr="00BB18F6">
        <w:trPr>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175F449B" w14:textId="77777777" w:rsidR="00280058" w:rsidRPr="00BC2CB8" w:rsidRDefault="00280058" w:rsidP="00BB18F6">
            <w:pPr>
              <w:rPr>
                <w:rFonts w:ascii="Georgia" w:hAnsi="Georgia"/>
                <w:b w:val="0"/>
                <w:sz w:val="20"/>
                <w:szCs w:val="20"/>
              </w:rPr>
            </w:pPr>
            <w:r w:rsidRPr="00BC2CB8">
              <w:rPr>
                <w:rFonts w:ascii="Georgia" w:hAnsi="Georgia"/>
                <w:sz w:val="20"/>
                <w:szCs w:val="20"/>
              </w:rPr>
              <w:t>Projekto įgyvendinimo laikotarpis: 1 metai</w:t>
            </w:r>
          </w:p>
        </w:tc>
        <w:tc>
          <w:tcPr>
            <w:tcW w:w="3288" w:type="pct"/>
            <w:tcBorders>
              <w:top w:val="single" w:sz="6" w:space="0" w:color="C0504D" w:themeColor="accent2"/>
              <w:left w:val="single" w:sz="6" w:space="0" w:color="C0504D" w:themeColor="accent2"/>
              <w:bottom w:val="single" w:sz="6" w:space="0" w:color="C0504D" w:themeColor="accent2"/>
            </w:tcBorders>
          </w:tcPr>
          <w:p w14:paraId="3CD7BB2F" w14:textId="77777777"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tipinio viešojo pastato renovacijos laikas yra 1 metai nuo paskolos sutarties pasirašymo momento.</w:t>
            </w:r>
          </w:p>
        </w:tc>
      </w:tr>
      <w:tr w:rsidR="00280058" w:rsidRPr="00BC2CB8" w14:paraId="4B1474F6"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2" w:type="pct"/>
            <w:tcBorders>
              <w:top w:val="single" w:sz="6" w:space="0" w:color="C0504D" w:themeColor="accent2"/>
              <w:bottom w:val="single" w:sz="6" w:space="0" w:color="C0504D" w:themeColor="accent2"/>
              <w:right w:val="single" w:sz="6" w:space="0" w:color="C0504D" w:themeColor="accent2"/>
            </w:tcBorders>
          </w:tcPr>
          <w:p w14:paraId="76C9319F" w14:textId="77777777" w:rsidR="00280058" w:rsidRPr="00BC2CB8" w:rsidRDefault="00280058" w:rsidP="00BB18F6">
            <w:pPr>
              <w:rPr>
                <w:rFonts w:ascii="Georgia" w:hAnsi="Georgia"/>
                <w:b w:val="0"/>
                <w:sz w:val="20"/>
                <w:szCs w:val="20"/>
              </w:rPr>
            </w:pPr>
            <w:r w:rsidRPr="00BC2CB8">
              <w:rPr>
                <w:rFonts w:ascii="Georgia" w:hAnsi="Georgia"/>
                <w:sz w:val="20"/>
                <w:szCs w:val="20"/>
              </w:rPr>
              <w:t>Investicinio fondo pritraukiamų privačių investicijų dalis: 50 proc.</w:t>
            </w:r>
          </w:p>
        </w:tc>
        <w:tc>
          <w:tcPr>
            <w:tcW w:w="3288" w:type="pct"/>
            <w:tcBorders>
              <w:top w:val="single" w:sz="6" w:space="0" w:color="C0504D" w:themeColor="accent2"/>
              <w:left w:val="single" w:sz="6" w:space="0" w:color="C0504D" w:themeColor="accent2"/>
              <w:bottom w:val="single" w:sz="6" w:space="0" w:color="C0504D" w:themeColor="accent2"/>
            </w:tcBorders>
          </w:tcPr>
          <w:p w14:paraId="1F81A144" w14:textId="77777777"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BC2CB8">
              <w:rPr>
                <w:rFonts w:ascii="Georgia" w:hAnsi="Georgia" w:cs="Georgia"/>
                <w:sz w:val="20"/>
                <w:szCs w:val="20"/>
              </w:rPr>
              <w:t xml:space="preserve">Daroma prielaida, kad investicinis fondas pritrauks tiek pat investicijų kiek bus įnešta iš ESI lėšų. </w:t>
            </w:r>
            <w:r w:rsidRPr="00BC2CB8">
              <w:rPr>
                <w:rFonts w:ascii="Georgia" w:hAnsi="Georgia"/>
                <w:sz w:val="20"/>
                <w:szCs w:val="20"/>
              </w:rPr>
              <w:t>Įnašas, 60 proc. įnašo, kurį padarys vadovaujančioji institucija į fondą, bus laikoma pirmojo praradimo kapitalu.</w:t>
            </w:r>
          </w:p>
        </w:tc>
      </w:tr>
    </w:tbl>
    <w:p w14:paraId="6AD7D13D" w14:textId="77777777" w:rsidR="00280058" w:rsidRPr="00BC2CB8" w:rsidRDefault="00280058" w:rsidP="00280058">
      <w:pPr>
        <w:rPr>
          <w:rFonts w:ascii="Georgia" w:hAnsi="Georgia"/>
          <w:sz w:val="20"/>
          <w:szCs w:val="20"/>
          <w:lang w:val="lt-LT"/>
        </w:rPr>
      </w:pPr>
    </w:p>
    <w:p w14:paraId="74830320" w14:textId="77777777" w:rsidR="00280058" w:rsidRPr="00BC2CB8" w:rsidRDefault="00280058" w:rsidP="00280058">
      <w:pPr>
        <w:rPr>
          <w:rFonts w:ascii="Georgia" w:hAnsi="Georgia"/>
          <w:sz w:val="20"/>
          <w:szCs w:val="20"/>
          <w:lang w:val="lt-LT"/>
        </w:rPr>
      </w:pPr>
    </w:p>
    <w:p w14:paraId="611BC71A" w14:textId="36096C0D" w:rsidR="00280058" w:rsidRPr="00BC2CB8" w:rsidRDefault="00280058" w:rsidP="00280058">
      <w:pPr>
        <w:pStyle w:val="Antrat"/>
        <w:rPr>
          <w:szCs w:val="20"/>
          <w:lang w:val="lt-LT"/>
        </w:rPr>
      </w:pPr>
      <w:bookmarkStart w:id="218" w:name="_Toc460321692"/>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111</w:t>
      </w:r>
      <w:r w:rsidRPr="00BC2CB8">
        <w:rPr>
          <w:lang w:val="lt-LT"/>
        </w:rPr>
        <w:fldChar w:fldCharType="end"/>
      </w:r>
      <w:r w:rsidRPr="00BC2CB8">
        <w:rPr>
          <w:lang w:val="lt-LT"/>
        </w:rPr>
        <w:t>. Scenarijaus Nr. 5 įgyvendinimo prognozė.</w:t>
      </w:r>
      <w:bookmarkEnd w:id="218"/>
      <w:r w:rsidRPr="00BC2CB8">
        <w:rPr>
          <w:lang w:val="lt-LT"/>
        </w:rPr>
        <w:t xml:space="preserve"> </w:t>
      </w:r>
    </w:p>
    <w:p w14:paraId="01B2209E" w14:textId="142B8E2C" w:rsidR="00280058" w:rsidRPr="00BC2CB8" w:rsidRDefault="009B7758" w:rsidP="00280058">
      <w:pPr>
        <w:rPr>
          <w:lang w:val="lt-LT"/>
        </w:rPr>
      </w:pPr>
      <w:r>
        <w:rPr>
          <w:noProof/>
          <w:lang w:val="lt-LT" w:eastAsia="lt-LT"/>
        </w:rPr>
        <w:drawing>
          <wp:inline distT="0" distB="0" distL="0" distR="0" wp14:anchorId="4CD93859" wp14:editId="44537B82">
            <wp:extent cx="6098650" cy="2901374"/>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10546" t="31602" r="11886" b="7484"/>
                    <a:stretch/>
                  </pic:blipFill>
                  <pic:spPr bwMode="auto">
                    <a:xfrm>
                      <a:off x="0" y="0"/>
                      <a:ext cx="6108357" cy="2905992"/>
                    </a:xfrm>
                    <a:prstGeom prst="rect">
                      <a:avLst/>
                    </a:prstGeom>
                    <a:ln>
                      <a:noFill/>
                    </a:ln>
                    <a:extLst>
                      <a:ext uri="{53640926-AAD7-44D8-BBD7-CCE9431645EC}">
                        <a14:shadowObscured xmlns:a14="http://schemas.microsoft.com/office/drawing/2010/main"/>
                      </a:ext>
                    </a:extLst>
                  </pic:spPr>
                </pic:pic>
              </a:graphicData>
            </a:graphic>
          </wp:inline>
        </w:drawing>
      </w:r>
    </w:p>
    <w:p w14:paraId="2999FDA7" w14:textId="65F826CB" w:rsidR="00280058" w:rsidRPr="00BC2CB8" w:rsidRDefault="00280058" w:rsidP="00280058">
      <w:pPr>
        <w:pStyle w:val="Antrat"/>
        <w:rPr>
          <w:szCs w:val="20"/>
          <w:lang w:val="lt-LT"/>
        </w:rPr>
      </w:pPr>
      <w:bookmarkStart w:id="219" w:name="_Toc460321693"/>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112</w:t>
      </w:r>
      <w:r w:rsidRPr="00BC2CB8">
        <w:rPr>
          <w:lang w:val="lt-LT"/>
        </w:rPr>
        <w:fldChar w:fldCharType="end"/>
      </w:r>
      <w:r w:rsidRPr="00BC2CB8">
        <w:rPr>
          <w:lang w:val="lt-LT"/>
        </w:rPr>
        <w:t xml:space="preserve">. Scenarijaus Nr. 5 </w:t>
      </w:r>
      <w:r w:rsidRPr="00BC2CB8">
        <w:rPr>
          <w:szCs w:val="20"/>
          <w:lang w:val="lt-LT"/>
        </w:rPr>
        <w:t>rezultatai:</w:t>
      </w:r>
      <w:bookmarkEnd w:id="219"/>
    </w:p>
    <w:tbl>
      <w:tblPr>
        <w:tblStyle w:val="viesussraas2parykinimas"/>
        <w:tblW w:w="5000" w:type="pct"/>
        <w:tblLook w:val="04A0" w:firstRow="1" w:lastRow="0" w:firstColumn="1" w:lastColumn="0" w:noHBand="0" w:noVBand="1"/>
      </w:tblPr>
      <w:tblGrid>
        <w:gridCol w:w="6651"/>
        <w:gridCol w:w="2591"/>
      </w:tblGrid>
      <w:tr w:rsidR="00280058" w:rsidRPr="00BC2CB8" w14:paraId="251F3F8E" w14:textId="77777777" w:rsidTr="00C83D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13A4C89D" w14:textId="77777777" w:rsidR="00280058" w:rsidRPr="00BC2CB8" w:rsidRDefault="00280058" w:rsidP="00BB18F6">
            <w:pPr>
              <w:jc w:val="center"/>
              <w:rPr>
                <w:rFonts w:ascii="Georgia" w:hAnsi="Georgia"/>
                <w:sz w:val="20"/>
                <w:szCs w:val="20"/>
              </w:rPr>
            </w:pPr>
            <w:r w:rsidRPr="00BC2CB8">
              <w:rPr>
                <w:rFonts w:ascii="Georgia" w:hAnsi="Georgia"/>
                <w:sz w:val="20"/>
                <w:szCs w:val="20"/>
              </w:rPr>
              <w:t>Fondas</w:t>
            </w:r>
          </w:p>
        </w:tc>
        <w:tc>
          <w:tcPr>
            <w:tcW w:w="1402" w:type="pct"/>
          </w:tcPr>
          <w:p w14:paraId="33B0EA74" w14:textId="77777777" w:rsidR="00280058" w:rsidRPr="00BC2CB8" w:rsidRDefault="00280058" w:rsidP="00BB18F6">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mln. eurų</w:t>
            </w:r>
          </w:p>
        </w:tc>
      </w:tr>
      <w:tr w:rsidR="00280058" w:rsidRPr="00BC2CB8" w14:paraId="17591DC3" w14:textId="77777777" w:rsidTr="00C83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3AD5F524" w14:textId="77777777" w:rsidR="00280058" w:rsidRPr="00BC2CB8" w:rsidRDefault="00280058" w:rsidP="00BB18F6">
            <w:pPr>
              <w:rPr>
                <w:rFonts w:ascii="Georgia" w:hAnsi="Georgia"/>
                <w:sz w:val="20"/>
                <w:szCs w:val="20"/>
              </w:rPr>
            </w:pPr>
            <w:r w:rsidRPr="00BC2CB8">
              <w:rPr>
                <w:rFonts w:ascii="Georgia" w:hAnsi="Georgia"/>
                <w:sz w:val="20"/>
                <w:szCs w:val="20"/>
              </w:rPr>
              <w:t>Galutinius naudos gavėjus pasiekusios lėšos</w:t>
            </w:r>
          </w:p>
        </w:tc>
        <w:tc>
          <w:tcPr>
            <w:tcW w:w="1402" w:type="pct"/>
          </w:tcPr>
          <w:p w14:paraId="3D2A35A7" w14:textId="39827FBE" w:rsidR="00280058" w:rsidRPr="00BC2CB8" w:rsidRDefault="009B7758"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77,5</w:t>
            </w:r>
          </w:p>
        </w:tc>
      </w:tr>
      <w:tr w:rsidR="00280058" w:rsidRPr="00BC2CB8" w14:paraId="31CD19DF" w14:textId="77777777" w:rsidTr="00C83DB2">
        <w:tc>
          <w:tcPr>
            <w:cnfStyle w:val="001000000000" w:firstRow="0" w:lastRow="0" w:firstColumn="1" w:lastColumn="0" w:oddVBand="0" w:evenVBand="0" w:oddHBand="0" w:evenHBand="0" w:firstRowFirstColumn="0" w:firstRowLastColumn="0" w:lastRowFirstColumn="0" w:lastRowLastColumn="0"/>
            <w:tcW w:w="3598" w:type="pct"/>
          </w:tcPr>
          <w:p w14:paraId="6269E787" w14:textId="77777777" w:rsidR="00280058" w:rsidRPr="00BC2CB8" w:rsidRDefault="00280058" w:rsidP="00BB18F6">
            <w:pPr>
              <w:rPr>
                <w:rFonts w:ascii="Georgia" w:hAnsi="Georgia"/>
                <w:sz w:val="20"/>
                <w:szCs w:val="20"/>
              </w:rPr>
            </w:pPr>
            <w:r w:rsidRPr="00BC2CB8">
              <w:rPr>
                <w:rFonts w:ascii="Georgia" w:hAnsi="Georgia"/>
                <w:sz w:val="20"/>
                <w:szCs w:val="20"/>
              </w:rPr>
              <w:t>Iki 2022 m. renovuotų pastatų skaičius</w:t>
            </w:r>
          </w:p>
        </w:tc>
        <w:tc>
          <w:tcPr>
            <w:tcW w:w="1402" w:type="pct"/>
          </w:tcPr>
          <w:p w14:paraId="13E420DA" w14:textId="5E6B72F0" w:rsidR="00280058" w:rsidRPr="00BC2CB8" w:rsidRDefault="009B7758" w:rsidP="00BB18F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340</w:t>
            </w:r>
          </w:p>
        </w:tc>
      </w:tr>
      <w:tr w:rsidR="00280058" w:rsidRPr="00BC2CB8" w14:paraId="1B1E4E91" w14:textId="77777777" w:rsidTr="00C83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24664F37" w14:textId="77777777" w:rsidR="00280058" w:rsidRPr="00BC2CB8" w:rsidRDefault="00280058" w:rsidP="00BB18F6">
            <w:pPr>
              <w:rPr>
                <w:rFonts w:ascii="Georgia" w:hAnsi="Georgia"/>
                <w:sz w:val="20"/>
                <w:szCs w:val="20"/>
              </w:rPr>
            </w:pPr>
            <w:r w:rsidRPr="00BC2CB8">
              <w:rPr>
                <w:rFonts w:ascii="Georgia" w:hAnsi="Georgia"/>
                <w:sz w:val="20"/>
                <w:szCs w:val="20"/>
              </w:rPr>
              <w:t>Iki 2022 m. renovuotų pastatų plotas, tūkst. kv. m.</w:t>
            </w:r>
          </w:p>
        </w:tc>
        <w:tc>
          <w:tcPr>
            <w:tcW w:w="1402" w:type="pct"/>
          </w:tcPr>
          <w:p w14:paraId="03F9A43C" w14:textId="5B255600" w:rsidR="00280058" w:rsidRPr="00BC2CB8" w:rsidRDefault="009B7758"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383,2</w:t>
            </w:r>
          </w:p>
        </w:tc>
      </w:tr>
      <w:tr w:rsidR="00280058" w:rsidRPr="00BC2CB8" w14:paraId="7D8C1F2F" w14:textId="77777777" w:rsidTr="00C83DB2">
        <w:tc>
          <w:tcPr>
            <w:cnfStyle w:val="001000000000" w:firstRow="0" w:lastRow="0" w:firstColumn="1" w:lastColumn="0" w:oddVBand="0" w:evenVBand="0" w:oddHBand="0" w:evenHBand="0" w:firstRowFirstColumn="0" w:firstRowLastColumn="0" w:lastRowFirstColumn="0" w:lastRowLastColumn="0"/>
            <w:tcW w:w="3598" w:type="pct"/>
          </w:tcPr>
          <w:p w14:paraId="74B8D010" w14:textId="77777777" w:rsidR="00280058" w:rsidRPr="00BC2CB8" w:rsidRDefault="00280058" w:rsidP="00BB18F6">
            <w:pPr>
              <w:rPr>
                <w:rFonts w:ascii="Georgia" w:hAnsi="Georgia"/>
                <w:sz w:val="20"/>
                <w:szCs w:val="20"/>
              </w:rPr>
            </w:pPr>
            <w:r w:rsidRPr="00BC2CB8">
              <w:rPr>
                <w:rFonts w:ascii="Georgia" w:hAnsi="Georgia"/>
                <w:sz w:val="20"/>
                <w:szCs w:val="20"/>
              </w:rPr>
              <w:t>Iki 2020 m. renovuotų pastatų plotas, tūkst. kv. m.</w:t>
            </w:r>
          </w:p>
        </w:tc>
        <w:tc>
          <w:tcPr>
            <w:tcW w:w="1402" w:type="pct"/>
          </w:tcPr>
          <w:p w14:paraId="7112E946" w14:textId="22E1F903" w:rsidR="00280058" w:rsidRPr="00BC2CB8" w:rsidRDefault="009B7758" w:rsidP="00BB18F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202,9</w:t>
            </w:r>
          </w:p>
        </w:tc>
      </w:tr>
    </w:tbl>
    <w:p w14:paraId="0395388D" w14:textId="77777777" w:rsidR="00280058" w:rsidRPr="00BC2CB8" w:rsidRDefault="00280058" w:rsidP="00280058">
      <w:pPr>
        <w:rPr>
          <w:rFonts w:ascii="Georgia" w:hAnsi="Georgia"/>
          <w:sz w:val="20"/>
          <w:szCs w:val="20"/>
          <w:lang w:val="lt-LT"/>
        </w:rPr>
      </w:pPr>
    </w:p>
    <w:p w14:paraId="0EA7310C" w14:textId="77777777" w:rsidR="00280058" w:rsidRPr="00BC2CB8" w:rsidRDefault="00280058" w:rsidP="00C03122">
      <w:pPr>
        <w:pStyle w:val="Sraopastraipa"/>
        <w:keepNext/>
        <w:numPr>
          <w:ilvl w:val="0"/>
          <w:numId w:val="34"/>
        </w:numPr>
        <w:ind w:left="714" w:hanging="357"/>
        <w:rPr>
          <w:rFonts w:ascii="Georgia" w:hAnsi="Georgia"/>
          <w:b/>
          <w:i/>
          <w:sz w:val="20"/>
          <w:szCs w:val="20"/>
          <w:lang w:val="lt-LT"/>
        </w:rPr>
      </w:pPr>
      <w:r w:rsidRPr="00BC2CB8">
        <w:rPr>
          <w:rFonts w:ascii="Georgia" w:hAnsi="Georgia"/>
          <w:b/>
          <w:i/>
          <w:sz w:val="20"/>
          <w:szCs w:val="20"/>
          <w:lang w:val="lt-LT"/>
        </w:rPr>
        <w:lastRenderedPageBreak/>
        <w:t>Scenarijus Nr. 6: Lengvatinių paskolų teikimas, kai dalyvauja bankai savo lėšomis finansinio tarpininko lygmenyje, su galimybe išpirkti ateities finansinius srautus</w:t>
      </w:r>
    </w:p>
    <w:p w14:paraId="3F115933" w14:textId="521AA3BB" w:rsidR="009F55BB" w:rsidRDefault="0036390E" w:rsidP="00C83DB2">
      <w:pPr>
        <w:pStyle w:val="Antrat"/>
        <w:jc w:val="center"/>
        <w:rPr>
          <w:lang w:val="lt-LT"/>
        </w:rPr>
      </w:pPr>
      <w:r>
        <w:rPr>
          <w:noProof/>
          <w:lang w:val="lt-LT" w:eastAsia="lt-LT"/>
        </w:rPr>
        <w:drawing>
          <wp:inline distT="0" distB="0" distL="0" distR="0" wp14:anchorId="65172A8C" wp14:editId="44C83A70">
            <wp:extent cx="5731510" cy="2284095"/>
            <wp:effectExtent l="0" t="0" r="2540" b="190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ESCO Nr. 6.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31510" cy="2284095"/>
                    </a:xfrm>
                    <a:prstGeom prst="rect">
                      <a:avLst/>
                    </a:prstGeom>
                  </pic:spPr>
                </pic:pic>
              </a:graphicData>
            </a:graphic>
          </wp:inline>
        </w:drawing>
      </w:r>
    </w:p>
    <w:p w14:paraId="1797CA14" w14:textId="4E12BFA4" w:rsidR="00280058" w:rsidRPr="00BC2CB8" w:rsidRDefault="00280058" w:rsidP="00280058">
      <w:pPr>
        <w:pStyle w:val="Antrat"/>
        <w:rPr>
          <w:szCs w:val="20"/>
          <w:lang w:val="lt-LT"/>
        </w:rPr>
      </w:pPr>
      <w:bookmarkStart w:id="220" w:name="_Toc417378316"/>
      <w:r w:rsidRPr="00BC2CB8">
        <w:rPr>
          <w:lang w:val="lt-LT"/>
        </w:rPr>
        <w:t xml:space="preserve">Paveikslas </w:t>
      </w:r>
      <w:r w:rsidRPr="00BC2CB8">
        <w:rPr>
          <w:lang w:val="lt-LT"/>
        </w:rPr>
        <w:fldChar w:fldCharType="begin"/>
      </w:r>
      <w:r w:rsidRPr="00BC2CB8">
        <w:rPr>
          <w:lang w:val="lt-LT"/>
        </w:rPr>
        <w:instrText xml:space="preserve"> SEQ Paveikslas \* ARABIC </w:instrText>
      </w:r>
      <w:r w:rsidRPr="00BC2CB8">
        <w:rPr>
          <w:lang w:val="lt-LT"/>
        </w:rPr>
        <w:fldChar w:fldCharType="separate"/>
      </w:r>
      <w:r w:rsidR="00AA3082">
        <w:rPr>
          <w:noProof/>
          <w:lang w:val="lt-LT"/>
        </w:rPr>
        <w:t>39</w:t>
      </w:r>
      <w:r w:rsidRPr="00BC2CB8">
        <w:rPr>
          <w:lang w:val="lt-LT"/>
        </w:rPr>
        <w:fldChar w:fldCharType="end"/>
      </w:r>
      <w:r w:rsidRPr="00BC2CB8">
        <w:rPr>
          <w:lang w:val="lt-LT"/>
        </w:rPr>
        <w:t>. Viešųjų pastatų scenarijaus Nr. 6 schema.</w:t>
      </w:r>
      <w:bookmarkEnd w:id="220"/>
      <w:r w:rsidRPr="00BC2CB8">
        <w:rPr>
          <w:lang w:val="lt-LT"/>
        </w:rPr>
        <w:t xml:space="preserve"> </w:t>
      </w:r>
    </w:p>
    <w:p w14:paraId="35301EDC" w14:textId="474D1FD3" w:rsidR="00280058" w:rsidRPr="00BC2CB8" w:rsidRDefault="00280058" w:rsidP="00280058">
      <w:pPr>
        <w:jc w:val="both"/>
        <w:rPr>
          <w:rFonts w:ascii="Georgia" w:hAnsi="Georgia"/>
          <w:sz w:val="20"/>
          <w:szCs w:val="20"/>
          <w:lang w:val="lt-LT"/>
        </w:rPr>
      </w:pPr>
      <w:r w:rsidRPr="00BC2CB8">
        <w:rPr>
          <w:rFonts w:ascii="Georgia" w:hAnsi="Georgia"/>
          <w:sz w:val="20"/>
          <w:szCs w:val="20"/>
          <w:lang w:val="lt-LT"/>
        </w:rPr>
        <w:t xml:space="preserve">Šeštame scenarijuje modeliuojama tokia pati finansinė priemonė, kaip ir scenarijuje Nr.2, tačiau papildomai daroma prielaida, jog bankai papildomai dalyvaus savo lėšomis finansinės priemonės lygmenyje proporcingai finansinės priemonės apimčiai (t.y. </w:t>
      </w:r>
      <w:r w:rsidR="0036390E">
        <w:rPr>
          <w:rFonts w:ascii="Georgia" w:hAnsi="Georgia"/>
          <w:sz w:val="20"/>
          <w:szCs w:val="20"/>
          <w:lang w:val="lt-LT"/>
        </w:rPr>
        <w:t>5</w:t>
      </w:r>
      <w:r w:rsidR="0036390E" w:rsidRPr="00BC2CB8">
        <w:rPr>
          <w:rFonts w:ascii="Georgia" w:hAnsi="Georgia"/>
          <w:sz w:val="20"/>
          <w:szCs w:val="20"/>
          <w:lang w:val="lt-LT"/>
        </w:rPr>
        <w:t xml:space="preserve">0 </w:t>
      </w:r>
      <w:r w:rsidRPr="00BC2CB8">
        <w:rPr>
          <w:rFonts w:ascii="Georgia" w:hAnsi="Georgia"/>
          <w:sz w:val="20"/>
          <w:szCs w:val="20"/>
          <w:lang w:val="lt-LT"/>
        </w:rPr>
        <w:t xml:space="preserve">proc. projekto apimties sieks finansinės priemonės lėšos, </w:t>
      </w:r>
      <w:r w:rsidR="0036390E">
        <w:rPr>
          <w:rFonts w:ascii="Georgia" w:hAnsi="Georgia"/>
          <w:sz w:val="20"/>
          <w:szCs w:val="20"/>
          <w:lang w:val="lt-LT"/>
        </w:rPr>
        <w:t>5</w:t>
      </w:r>
      <w:r w:rsidR="0036390E" w:rsidRPr="00BC2CB8">
        <w:rPr>
          <w:rFonts w:ascii="Georgia" w:hAnsi="Georgia"/>
          <w:sz w:val="20"/>
          <w:szCs w:val="20"/>
          <w:lang w:val="lt-LT"/>
        </w:rPr>
        <w:t xml:space="preserve">0 </w:t>
      </w:r>
      <w:r w:rsidRPr="00BC2CB8">
        <w:rPr>
          <w:rFonts w:ascii="Georgia" w:hAnsi="Georgia"/>
          <w:sz w:val="20"/>
          <w:szCs w:val="20"/>
          <w:lang w:val="lt-LT"/>
        </w:rPr>
        <w:t xml:space="preserve">proc. projekto apimties sieks bankų dalyvavimas nuosavomis lėšomis, o finansinės priemonės apimtyje lėšos pasiskirstys 50 proc. ESI fondų lėšos ir 50 proc. privačios lėšos). Taip pat </w:t>
      </w:r>
      <w:r w:rsidR="0036390E" w:rsidRPr="00BC2CB8">
        <w:rPr>
          <w:rFonts w:ascii="Georgia" w:hAnsi="Georgia"/>
          <w:sz w:val="20"/>
          <w:szCs w:val="20"/>
          <w:lang w:val="lt-LT"/>
        </w:rPr>
        <w:t>201</w:t>
      </w:r>
      <w:r w:rsidR="0036390E">
        <w:rPr>
          <w:rFonts w:ascii="Georgia" w:hAnsi="Georgia"/>
          <w:sz w:val="20"/>
          <w:szCs w:val="20"/>
          <w:lang w:val="lt-LT"/>
        </w:rPr>
        <w:t>9</w:t>
      </w:r>
      <w:r w:rsidR="0036390E" w:rsidRPr="00BC2CB8">
        <w:rPr>
          <w:rFonts w:ascii="Georgia" w:hAnsi="Georgia"/>
          <w:sz w:val="20"/>
          <w:szCs w:val="20"/>
          <w:lang w:val="lt-LT"/>
        </w:rPr>
        <w:t xml:space="preserve"> </w:t>
      </w:r>
      <w:r w:rsidRPr="00BC2CB8">
        <w:rPr>
          <w:rFonts w:ascii="Georgia" w:hAnsi="Georgia"/>
          <w:sz w:val="20"/>
          <w:szCs w:val="20"/>
          <w:lang w:val="lt-LT"/>
        </w:rPr>
        <w:t>metais bus sukuriamas privatus investicinis fondas, kuris nupirks 70</w:t>
      </w:r>
      <w:r w:rsidRPr="00BC2CB8">
        <w:rPr>
          <w:lang w:val="lt-LT"/>
        </w:rPr>
        <w:t xml:space="preserve"> </w:t>
      </w:r>
      <w:r w:rsidRPr="00BC2CB8">
        <w:rPr>
          <w:rFonts w:ascii="Georgia" w:hAnsi="Georgia"/>
          <w:sz w:val="20"/>
          <w:szCs w:val="20"/>
          <w:lang w:val="lt-LT"/>
        </w:rPr>
        <w:t>% finansinės priemonės paskolų (investiciniam fondui būtų parduodamos geros paskolos). Įkūrus investicinį fondą, subsidijos dalis butų skiriama iš lėšų, kurias pervestų naujas investicinis fondas už nupirktas paskolas.</w:t>
      </w:r>
    </w:p>
    <w:p w14:paraId="121C9D3D" w14:textId="6EB03546" w:rsidR="00280058" w:rsidRPr="00BC2CB8" w:rsidRDefault="00280058" w:rsidP="00280058">
      <w:pPr>
        <w:pStyle w:val="Antrat"/>
        <w:rPr>
          <w:szCs w:val="20"/>
          <w:lang w:val="lt-LT"/>
        </w:rPr>
      </w:pPr>
      <w:bookmarkStart w:id="221" w:name="_Toc460321694"/>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113</w:t>
      </w:r>
      <w:r w:rsidRPr="00BC2CB8">
        <w:rPr>
          <w:lang w:val="lt-LT"/>
        </w:rPr>
        <w:fldChar w:fldCharType="end"/>
      </w:r>
      <w:r w:rsidRPr="00BC2CB8">
        <w:rPr>
          <w:lang w:val="lt-LT"/>
        </w:rPr>
        <w:t xml:space="preserve">. </w:t>
      </w:r>
      <w:r w:rsidRPr="00BC2CB8">
        <w:rPr>
          <w:szCs w:val="20"/>
          <w:lang w:val="lt-LT"/>
        </w:rPr>
        <w:t>Scenarijaus Nr. 6 Prielaidos</w:t>
      </w:r>
      <w:bookmarkEnd w:id="221"/>
    </w:p>
    <w:tbl>
      <w:tblPr>
        <w:tblStyle w:val="viesussraas2parykinimas"/>
        <w:tblW w:w="5000" w:type="pct"/>
        <w:tblLook w:val="04A0" w:firstRow="1" w:lastRow="0" w:firstColumn="1" w:lastColumn="0" w:noHBand="0" w:noVBand="1"/>
      </w:tblPr>
      <w:tblGrid>
        <w:gridCol w:w="2660"/>
        <w:gridCol w:w="6582"/>
      </w:tblGrid>
      <w:tr w:rsidR="00280058" w:rsidRPr="00BC2CB8" w14:paraId="2A7F42B5" w14:textId="77777777" w:rsidTr="00C83DB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39" w:type="pct"/>
            <w:tcBorders>
              <w:bottom w:val="single" w:sz="8" w:space="0" w:color="C0504D" w:themeColor="accent2"/>
            </w:tcBorders>
          </w:tcPr>
          <w:p w14:paraId="6EC8F34A" w14:textId="77777777" w:rsidR="00280058" w:rsidRPr="00BC2CB8" w:rsidRDefault="00280058" w:rsidP="00C83DB2">
            <w:pPr>
              <w:jc w:val="center"/>
              <w:rPr>
                <w:rFonts w:ascii="Georgia" w:hAnsi="Georgia"/>
                <w:sz w:val="20"/>
                <w:szCs w:val="20"/>
              </w:rPr>
            </w:pPr>
            <w:r w:rsidRPr="00BC2CB8">
              <w:rPr>
                <w:rFonts w:ascii="Georgia" w:hAnsi="Georgia"/>
                <w:sz w:val="20"/>
                <w:szCs w:val="20"/>
              </w:rPr>
              <w:t>Prielaidos</w:t>
            </w:r>
          </w:p>
        </w:tc>
        <w:tc>
          <w:tcPr>
            <w:tcW w:w="3561" w:type="pct"/>
            <w:tcBorders>
              <w:bottom w:val="single" w:sz="8" w:space="0" w:color="C0504D" w:themeColor="accent2"/>
            </w:tcBorders>
          </w:tcPr>
          <w:p w14:paraId="2E2A5EB0" w14:textId="77777777" w:rsidR="00280058" w:rsidRPr="00BC2CB8" w:rsidRDefault="00280058" w:rsidP="00C83DB2">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Komentaras</w:t>
            </w:r>
          </w:p>
        </w:tc>
      </w:tr>
      <w:tr w:rsidR="00280058" w:rsidRPr="00BC2CB8" w14:paraId="72D903E3" w14:textId="77777777"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39" w:type="pct"/>
            <w:tcBorders>
              <w:top w:val="single" w:sz="6" w:space="0" w:color="C0504D" w:themeColor="accent2"/>
              <w:right w:val="single" w:sz="6" w:space="0" w:color="C0504D" w:themeColor="accent2"/>
            </w:tcBorders>
          </w:tcPr>
          <w:p w14:paraId="6F2ED924" w14:textId="77777777" w:rsidR="00280058" w:rsidRPr="00BC2CB8" w:rsidRDefault="00280058" w:rsidP="00BB18F6">
            <w:pPr>
              <w:rPr>
                <w:rFonts w:ascii="Georgia" w:hAnsi="Georgia"/>
                <w:b w:val="0"/>
                <w:sz w:val="20"/>
                <w:szCs w:val="20"/>
              </w:rPr>
            </w:pPr>
            <w:r w:rsidRPr="00BC2CB8">
              <w:rPr>
                <w:rFonts w:ascii="Georgia" w:hAnsi="Georgia"/>
                <w:sz w:val="20"/>
                <w:szCs w:val="20"/>
              </w:rPr>
              <w:t>Paskolos laikotarpis: iki 20 metų</w:t>
            </w:r>
          </w:p>
        </w:tc>
        <w:tc>
          <w:tcPr>
            <w:tcW w:w="3561" w:type="pct"/>
            <w:tcBorders>
              <w:top w:val="single" w:sz="6" w:space="0" w:color="C0504D" w:themeColor="accent2"/>
              <w:left w:val="single" w:sz="6" w:space="0" w:color="C0504D" w:themeColor="accent2"/>
            </w:tcBorders>
          </w:tcPr>
          <w:p w14:paraId="734D2D8A" w14:textId="77777777"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Maksimalus paskolos sutarties terminas yra 20 metų.</w:t>
            </w:r>
          </w:p>
        </w:tc>
      </w:tr>
      <w:tr w:rsidR="00280058" w:rsidRPr="00BC2CB8" w14:paraId="41F532D1" w14:textId="77777777" w:rsidTr="00C83DB2">
        <w:trPr>
          <w:cantSplit/>
          <w:trHeight w:val="489"/>
        </w:trPr>
        <w:tc>
          <w:tcPr>
            <w:cnfStyle w:val="001000000000" w:firstRow="0" w:lastRow="0" w:firstColumn="1" w:lastColumn="0" w:oddVBand="0" w:evenVBand="0" w:oddHBand="0" w:evenHBand="0" w:firstRowFirstColumn="0" w:firstRowLastColumn="0" w:lastRowFirstColumn="0" w:lastRowLastColumn="0"/>
            <w:tcW w:w="1439" w:type="pct"/>
            <w:tcBorders>
              <w:top w:val="single" w:sz="6" w:space="0" w:color="C0504D" w:themeColor="accent2"/>
              <w:right w:val="single" w:sz="6" w:space="0" w:color="C0504D" w:themeColor="accent2"/>
            </w:tcBorders>
          </w:tcPr>
          <w:p w14:paraId="1BE2ED08" w14:textId="77777777" w:rsidR="00280058" w:rsidRPr="00BC2CB8" w:rsidRDefault="00C83DB2" w:rsidP="00BB18F6">
            <w:pPr>
              <w:rPr>
                <w:rFonts w:ascii="Georgia" w:hAnsi="Georgia"/>
                <w:b w:val="0"/>
                <w:sz w:val="20"/>
                <w:szCs w:val="20"/>
              </w:rPr>
            </w:pPr>
            <w:r>
              <w:rPr>
                <w:rFonts w:ascii="Georgia" w:hAnsi="Georgia"/>
                <w:sz w:val="20"/>
                <w:szCs w:val="20"/>
              </w:rPr>
              <w:t>Blogų paskolų dalis: 5</w:t>
            </w:r>
            <w:r w:rsidR="00280058" w:rsidRPr="00BC2CB8">
              <w:rPr>
                <w:rFonts w:ascii="Georgia" w:hAnsi="Georgia"/>
                <w:sz w:val="20"/>
                <w:szCs w:val="20"/>
              </w:rPr>
              <w:t>%</w:t>
            </w:r>
          </w:p>
        </w:tc>
        <w:tc>
          <w:tcPr>
            <w:tcW w:w="3561" w:type="pct"/>
            <w:tcBorders>
              <w:top w:val="single" w:sz="6" w:space="0" w:color="C0504D" w:themeColor="accent2"/>
              <w:left w:val="single" w:sz="6" w:space="0" w:color="C0504D" w:themeColor="accent2"/>
            </w:tcBorders>
          </w:tcPr>
          <w:p w14:paraId="6BAC097F" w14:textId="77777777"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Blogų paskolų dalis buvo nustatyta remiantis ekspertų ir komercinių bankų vertinimu. Be to, ši prielaida atitinka PwC studijoje nustatytą dydį.</w:t>
            </w:r>
          </w:p>
        </w:tc>
      </w:tr>
      <w:tr w:rsidR="00280058" w:rsidRPr="00BC2CB8" w14:paraId="75D83868" w14:textId="77777777"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39" w:type="pct"/>
            <w:tcBorders>
              <w:top w:val="single" w:sz="6" w:space="0" w:color="C0504D" w:themeColor="accent2"/>
              <w:right w:val="single" w:sz="6" w:space="0" w:color="C0504D" w:themeColor="accent2"/>
            </w:tcBorders>
          </w:tcPr>
          <w:p w14:paraId="76AB4221" w14:textId="77777777" w:rsidR="00280058" w:rsidRPr="00BC2CB8" w:rsidRDefault="00280058" w:rsidP="00BB18F6">
            <w:pPr>
              <w:rPr>
                <w:rFonts w:ascii="Georgia" w:hAnsi="Georgia"/>
                <w:b w:val="0"/>
                <w:sz w:val="20"/>
                <w:szCs w:val="20"/>
              </w:rPr>
            </w:pPr>
            <w:r w:rsidRPr="00BC2CB8">
              <w:rPr>
                <w:rFonts w:ascii="Georgia" w:hAnsi="Georgia"/>
                <w:sz w:val="20"/>
                <w:szCs w:val="20"/>
              </w:rPr>
              <w:t>Tipinio viešojo pastato projekto investicijų vertė: 228 000 eurų</w:t>
            </w:r>
          </w:p>
        </w:tc>
        <w:tc>
          <w:tcPr>
            <w:tcW w:w="3561" w:type="pct"/>
            <w:tcBorders>
              <w:top w:val="single" w:sz="6" w:space="0" w:color="C0504D" w:themeColor="accent2"/>
              <w:left w:val="single" w:sz="6" w:space="0" w:color="C0504D" w:themeColor="accent2"/>
            </w:tcBorders>
          </w:tcPr>
          <w:p w14:paraId="2314F3C3" w14:textId="77777777"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Vidutinė tipinio viešojo pastato renovacijos kaina buvo nustatyta remiantis vidutinio viešojo pastato plotu ir pastato renovacijos kaštais vienam kvadratiniam metrui. Vidutinis pastato plotas paskaičiuotas remiantis Registrų centro duomenimis 2.1.1. skyriuje, o viešojo pastato renovacijos kaštai numatyti </w:t>
            </w:r>
            <w:r w:rsidRPr="00BC2CB8">
              <w:rPr>
                <w:rFonts w:ascii="Georgia" w:hAnsi="Georgia"/>
                <w:bCs/>
                <w:sz w:val="20"/>
                <w:szCs w:val="20"/>
              </w:rPr>
              <w:t>Viešųjų pastatų energinio efektyvumo didinimo programos projekte</w:t>
            </w:r>
            <w:r w:rsidRPr="00BC2CB8">
              <w:rPr>
                <w:rStyle w:val="Puslapioinaosnuoroda"/>
                <w:rFonts w:ascii="Georgia" w:hAnsi="Georgia"/>
                <w:bCs/>
                <w:sz w:val="20"/>
                <w:szCs w:val="20"/>
              </w:rPr>
              <w:footnoteReference w:id="120"/>
            </w:r>
            <w:r w:rsidRPr="00BC2CB8">
              <w:rPr>
                <w:rFonts w:ascii="Georgia" w:hAnsi="Georgia"/>
                <w:bCs/>
                <w:sz w:val="20"/>
                <w:szCs w:val="20"/>
              </w:rPr>
              <w:t xml:space="preserve"> ir sudaro 202,7 </w:t>
            </w:r>
            <w:r w:rsidRPr="00BC2CB8">
              <w:rPr>
                <w:rFonts w:ascii="Georgia" w:hAnsi="Georgia"/>
                <w:sz w:val="20"/>
                <w:szCs w:val="20"/>
              </w:rPr>
              <w:t>eurų</w:t>
            </w:r>
            <w:r w:rsidRPr="00BC2CB8" w:rsidDel="00334CC9">
              <w:rPr>
                <w:rFonts w:ascii="Georgia" w:hAnsi="Georgia"/>
                <w:bCs/>
                <w:sz w:val="20"/>
                <w:szCs w:val="20"/>
              </w:rPr>
              <w:t xml:space="preserve"> </w:t>
            </w:r>
            <w:r w:rsidRPr="00BC2CB8">
              <w:rPr>
                <w:rFonts w:ascii="Georgia" w:hAnsi="Georgia"/>
                <w:bCs/>
                <w:sz w:val="20"/>
                <w:szCs w:val="20"/>
              </w:rPr>
              <w:t>/m</w:t>
            </w:r>
            <w:r w:rsidRPr="00BC2CB8">
              <w:rPr>
                <w:rFonts w:ascii="Georgia" w:hAnsi="Georgia"/>
                <w:bCs/>
                <w:sz w:val="20"/>
                <w:szCs w:val="20"/>
                <w:vertAlign w:val="superscript"/>
              </w:rPr>
              <w:t>2</w:t>
            </w:r>
            <w:r w:rsidRPr="00BC2CB8">
              <w:rPr>
                <w:rFonts w:ascii="Georgia" w:hAnsi="Georgia"/>
                <w:bCs/>
                <w:sz w:val="20"/>
                <w:szCs w:val="20"/>
              </w:rPr>
              <w:t>.</w:t>
            </w:r>
          </w:p>
        </w:tc>
      </w:tr>
      <w:tr w:rsidR="00280058" w:rsidRPr="00BC2CB8" w14:paraId="038B91B8" w14:textId="77777777" w:rsidTr="00C83DB2">
        <w:trPr>
          <w:cantSplit/>
        </w:trPr>
        <w:tc>
          <w:tcPr>
            <w:cnfStyle w:val="001000000000" w:firstRow="0" w:lastRow="0" w:firstColumn="1" w:lastColumn="0" w:oddVBand="0" w:evenVBand="0" w:oddHBand="0" w:evenHBand="0" w:firstRowFirstColumn="0" w:firstRowLastColumn="0" w:lastRowFirstColumn="0" w:lastRowLastColumn="0"/>
            <w:tcW w:w="1439" w:type="pct"/>
            <w:tcBorders>
              <w:top w:val="single" w:sz="6" w:space="0" w:color="C0504D" w:themeColor="accent2"/>
              <w:right w:val="single" w:sz="6" w:space="0" w:color="C0504D" w:themeColor="accent2"/>
            </w:tcBorders>
          </w:tcPr>
          <w:p w14:paraId="02F8F34F" w14:textId="22ACA9BF" w:rsidR="00280058" w:rsidRPr="00BC2CB8" w:rsidRDefault="00280058" w:rsidP="0036390E">
            <w:pPr>
              <w:rPr>
                <w:rFonts w:ascii="Georgia" w:hAnsi="Georgia"/>
                <w:b w:val="0"/>
                <w:sz w:val="20"/>
                <w:szCs w:val="20"/>
              </w:rPr>
            </w:pPr>
            <w:r w:rsidRPr="00BC2CB8">
              <w:rPr>
                <w:rFonts w:ascii="Georgia" w:hAnsi="Georgia"/>
                <w:sz w:val="20"/>
              </w:rPr>
              <w:t>Siektinas įgyvendinamų projektų skaičius</w:t>
            </w:r>
            <w:r w:rsidRPr="00BC2CB8">
              <w:rPr>
                <w:rFonts w:ascii="Georgia" w:hAnsi="Georgia"/>
                <w:sz w:val="20"/>
                <w:szCs w:val="20"/>
              </w:rPr>
              <w:t xml:space="preserve"> nuo 2016 m.:  </w:t>
            </w:r>
            <w:r w:rsidR="0036390E">
              <w:rPr>
                <w:rFonts w:ascii="Georgia" w:hAnsi="Georgia"/>
                <w:sz w:val="20"/>
                <w:szCs w:val="20"/>
              </w:rPr>
              <w:t>100</w:t>
            </w:r>
            <w:r w:rsidR="0036390E" w:rsidRPr="00BC2CB8">
              <w:rPr>
                <w:rFonts w:ascii="Georgia" w:hAnsi="Georgia"/>
                <w:sz w:val="20"/>
                <w:szCs w:val="20"/>
              </w:rPr>
              <w:t xml:space="preserve"> </w:t>
            </w:r>
            <w:r w:rsidRPr="00BC2CB8">
              <w:rPr>
                <w:rFonts w:ascii="Georgia" w:hAnsi="Georgia"/>
                <w:sz w:val="20"/>
                <w:szCs w:val="20"/>
              </w:rPr>
              <w:t>projekt</w:t>
            </w:r>
            <w:r w:rsidR="00C83DB2">
              <w:rPr>
                <w:rFonts w:ascii="Georgia" w:hAnsi="Georgia"/>
                <w:sz w:val="20"/>
                <w:szCs w:val="20"/>
              </w:rPr>
              <w:t>ų</w:t>
            </w:r>
          </w:p>
        </w:tc>
        <w:tc>
          <w:tcPr>
            <w:tcW w:w="3561" w:type="pct"/>
            <w:tcBorders>
              <w:top w:val="single" w:sz="6" w:space="0" w:color="C0504D" w:themeColor="accent2"/>
              <w:left w:val="single" w:sz="6" w:space="0" w:color="C0504D" w:themeColor="accent2"/>
            </w:tcBorders>
          </w:tcPr>
          <w:p w14:paraId="239AC530" w14:textId="6A4E2BEE" w:rsidR="00280058" w:rsidRPr="00BC2CB8" w:rsidRDefault="00280058" w:rsidP="0036390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kad nuo 201</w:t>
            </w:r>
            <w:r w:rsidR="0036390E">
              <w:rPr>
                <w:rFonts w:ascii="Georgia" w:hAnsi="Georgia"/>
                <w:sz w:val="20"/>
                <w:szCs w:val="20"/>
              </w:rPr>
              <w:t>8</w:t>
            </w:r>
            <w:r w:rsidRPr="00BC2CB8">
              <w:rPr>
                <w:rFonts w:ascii="Georgia" w:hAnsi="Georgia"/>
                <w:sz w:val="20"/>
                <w:szCs w:val="20"/>
              </w:rPr>
              <w:t xml:space="preserve"> metų, susiformavus ESCO rinkai, projektų skaičius galėtų siekti apie </w:t>
            </w:r>
            <w:r w:rsidR="0036390E">
              <w:rPr>
                <w:rFonts w:ascii="Georgia" w:hAnsi="Georgia"/>
                <w:sz w:val="20"/>
                <w:szCs w:val="20"/>
              </w:rPr>
              <w:t>100</w:t>
            </w:r>
            <w:r w:rsidR="0036390E" w:rsidRPr="00BC2CB8">
              <w:rPr>
                <w:rFonts w:ascii="Georgia" w:hAnsi="Georgia"/>
                <w:sz w:val="20"/>
                <w:szCs w:val="20"/>
              </w:rPr>
              <w:t xml:space="preserve"> </w:t>
            </w:r>
            <w:r w:rsidRPr="00BC2CB8">
              <w:rPr>
                <w:rFonts w:ascii="Georgia" w:hAnsi="Georgia"/>
                <w:sz w:val="20"/>
                <w:szCs w:val="20"/>
              </w:rPr>
              <w:t>tipini</w:t>
            </w:r>
            <w:r w:rsidR="00E60F37">
              <w:rPr>
                <w:rFonts w:ascii="Georgia" w:hAnsi="Georgia"/>
                <w:sz w:val="20"/>
                <w:szCs w:val="20"/>
              </w:rPr>
              <w:t>ų</w:t>
            </w:r>
            <w:r w:rsidRPr="00BC2CB8">
              <w:rPr>
                <w:rFonts w:ascii="Georgia" w:hAnsi="Georgia"/>
                <w:sz w:val="20"/>
                <w:szCs w:val="20"/>
              </w:rPr>
              <w:t xml:space="preserve"> viešųjų pastatų modernizavimo projekt</w:t>
            </w:r>
            <w:r w:rsidR="00E60F37">
              <w:rPr>
                <w:rFonts w:ascii="Georgia" w:hAnsi="Georgia"/>
                <w:sz w:val="20"/>
                <w:szCs w:val="20"/>
              </w:rPr>
              <w:t>ų</w:t>
            </w:r>
            <w:r w:rsidRPr="00BC2CB8">
              <w:rPr>
                <w:rFonts w:ascii="Georgia" w:hAnsi="Georgia"/>
                <w:sz w:val="20"/>
                <w:szCs w:val="20"/>
              </w:rPr>
              <w:t xml:space="preserve"> per metus.</w:t>
            </w:r>
            <w:r w:rsidR="00171AB3">
              <w:rPr>
                <w:rFonts w:ascii="Georgia" w:hAnsi="Georgia"/>
                <w:sz w:val="20"/>
                <w:szCs w:val="20"/>
              </w:rPr>
              <w:t xml:space="preserve"> Ši prielaida grindžiama tuo, kad didelio proveržio periodo pradžioje nebus, kadangi komerciniai bankai nebus linkę finansuoti naujo modelio būdu įgyvendinamų projektų.</w:t>
            </w:r>
          </w:p>
        </w:tc>
      </w:tr>
      <w:tr w:rsidR="00280058" w:rsidRPr="00BC2CB8" w14:paraId="1D133576" w14:textId="77777777"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39" w:type="pct"/>
            <w:tcBorders>
              <w:top w:val="single" w:sz="6" w:space="0" w:color="C0504D" w:themeColor="accent2"/>
              <w:right w:val="single" w:sz="6" w:space="0" w:color="C0504D" w:themeColor="accent2"/>
            </w:tcBorders>
          </w:tcPr>
          <w:p w14:paraId="1C61EAB5" w14:textId="53F84BFC" w:rsidR="00280058" w:rsidRPr="00BC2CB8" w:rsidRDefault="00280058" w:rsidP="00CB466E">
            <w:pPr>
              <w:rPr>
                <w:rFonts w:ascii="Georgia" w:hAnsi="Georgia"/>
                <w:b w:val="0"/>
                <w:sz w:val="20"/>
                <w:szCs w:val="20"/>
              </w:rPr>
            </w:pPr>
            <w:r w:rsidRPr="00BC2CB8">
              <w:rPr>
                <w:rFonts w:ascii="Georgia" w:hAnsi="Georgia"/>
                <w:sz w:val="20"/>
                <w:szCs w:val="20"/>
              </w:rPr>
              <w:t xml:space="preserve">Investuojamų ESI fondų lėšų suma į fondą: </w:t>
            </w:r>
            <w:r w:rsidR="00CB466E">
              <w:rPr>
                <w:rFonts w:ascii="Georgia" w:hAnsi="Georgia"/>
                <w:sz w:val="20"/>
                <w:szCs w:val="20"/>
              </w:rPr>
              <w:t>79.6</w:t>
            </w:r>
            <w:r w:rsidRPr="00BC2CB8">
              <w:rPr>
                <w:rFonts w:ascii="Georgia" w:hAnsi="Georgia"/>
                <w:sz w:val="20"/>
                <w:szCs w:val="20"/>
              </w:rPr>
              <w:t xml:space="preserve"> mln. eurų.</w:t>
            </w:r>
          </w:p>
        </w:tc>
        <w:tc>
          <w:tcPr>
            <w:tcW w:w="3561" w:type="pct"/>
            <w:tcBorders>
              <w:top w:val="single" w:sz="6" w:space="0" w:color="C0504D" w:themeColor="accent2"/>
              <w:left w:val="single" w:sz="6" w:space="0" w:color="C0504D" w:themeColor="accent2"/>
            </w:tcBorders>
          </w:tcPr>
          <w:p w14:paraId="7E36F2F2" w14:textId="3FC19EA3" w:rsidR="00280058" w:rsidRPr="00BC2CB8" w:rsidRDefault="00CB466E" w:rsidP="00C83DB2">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centrinės valdžios pastatų renovacijai skirtos lėšos – 79,6 mln. eurų – b</w:t>
            </w:r>
            <w:r>
              <w:rPr>
                <w:rFonts w:ascii="Georgia" w:hAnsi="Georgia"/>
                <w:sz w:val="20"/>
                <w:szCs w:val="20"/>
              </w:rPr>
              <w:t xml:space="preserve">us skirtos paskolų </w:t>
            </w:r>
            <w:r w:rsidRPr="00BC2CB8">
              <w:rPr>
                <w:rFonts w:ascii="Georgia" w:hAnsi="Georgia"/>
                <w:sz w:val="20"/>
                <w:szCs w:val="20"/>
              </w:rPr>
              <w:t>finansin</w:t>
            </w:r>
            <w:r>
              <w:rPr>
                <w:rFonts w:ascii="Georgia" w:hAnsi="Georgia"/>
                <w:sz w:val="20"/>
                <w:szCs w:val="20"/>
              </w:rPr>
              <w:t>ei</w:t>
            </w:r>
            <w:r w:rsidRPr="00BC2CB8">
              <w:rPr>
                <w:rFonts w:ascii="Georgia" w:hAnsi="Georgia"/>
                <w:sz w:val="20"/>
                <w:szCs w:val="20"/>
              </w:rPr>
              <w:t xml:space="preserve"> priemon</w:t>
            </w:r>
            <w:r>
              <w:rPr>
                <w:rFonts w:ascii="Georgia" w:hAnsi="Georgia"/>
                <w:sz w:val="20"/>
                <w:szCs w:val="20"/>
              </w:rPr>
              <w:t>ei.</w:t>
            </w:r>
          </w:p>
        </w:tc>
      </w:tr>
      <w:tr w:rsidR="00280058" w:rsidRPr="00BC2CB8" w14:paraId="7FCBAFF2" w14:textId="77777777" w:rsidTr="00C83DB2">
        <w:trPr>
          <w:cantSplit/>
        </w:trPr>
        <w:tc>
          <w:tcPr>
            <w:cnfStyle w:val="001000000000" w:firstRow="0" w:lastRow="0" w:firstColumn="1" w:lastColumn="0" w:oddVBand="0" w:evenVBand="0" w:oddHBand="0" w:evenHBand="0" w:firstRowFirstColumn="0" w:firstRowLastColumn="0" w:lastRowFirstColumn="0" w:lastRowLastColumn="0"/>
            <w:tcW w:w="1439" w:type="pct"/>
            <w:tcBorders>
              <w:top w:val="single" w:sz="6" w:space="0" w:color="C0504D" w:themeColor="accent2"/>
              <w:right w:val="single" w:sz="6" w:space="0" w:color="C0504D" w:themeColor="accent2"/>
            </w:tcBorders>
          </w:tcPr>
          <w:p w14:paraId="04F6B9FA" w14:textId="60B25C12" w:rsidR="00280058" w:rsidRPr="00BC2CB8" w:rsidRDefault="00280058" w:rsidP="00BB18F6">
            <w:pPr>
              <w:rPr>
                <w:rFonts w:ascii="Georgia" w:hAnsi="Georgia"/>
                <w:b w:val="0"/>
                <w:sz w:val="20"/>
                <w:szCs w:val="20"/>
              </w:rPr>
            </w:pPr>
            <w:r w:rsidRPr="00BC2CB8">
              <w:rPr>
                <w:rFonts w:ascii="Georgia" w:hAnsi="Georgia"/>
                <w:sz w:val="20"/>
                <w:szCs w:val="20"/>
              </w:rPr>
              <w:lastRenderedPageBreak/>
              <w:t>Palūkanų norma</w:t>
            </w:r>
            <w:r w:rsidR="00C83DB2">
              <w:rPr>
                <w:rFonts w:ascii="Georgia" w:hAnsi="Georgia"/>
                <w:sz w:val="20"/>
                <w:szCs w:val="20"/>
              </w:rPr>
              <w:t xml:space="preserve"> galutiniams naudos gavėjams: </w:t>
            </w:r>
            <w:r w:rsidR="006C3CAF">
              <w:rPr>
                <w:rFonts w:ascii="Georgia" w:hAnsi="Georgia"/>
                <w:sz w:val="20"/>
                <w:szCs w:val="20"/>
              </w:rPr>
              <w:t>su iki</w:t>
            </w:r>
            <w:r w:rsidR="006C3CAF" w:rsidRPr="00BC2CB8">
              <w:rPr>
                <w:rFonts w:ascii="Georgia" w:hAnsi="Georgia"/>
                <w:sz w:val="20"/>
                <w:szCs w:val="20"/>
              </w:rPr>
              <w:t xml:space="preserve"> 2 %</w:t>
            </w:r>
            <w:r w:rsidR="006C3CAF">
              <w:rPr>
                <w:rFonts w:ascii="Georgia" w:hAnsi="Georgia"/>
                <w:sz w:val="20"/>
                <w:szCs w:val="20"/>
              </w:rPr>
              <w:t xml:space="preserve"> palūkanų marža</w:t>
            </w:r>
          </w:p>
        </w:tc>
        <w:tc>
          <w:tcPr>
            <w:tcW w:w="3561" w:type="pct"/>
            <w:tcBorders>
              <w:top w:val="single" w:sz="6" w:space="0" w:color="C0504D" w:themeColor="accent2"/>
              <w:left w:val="single" w:sz="6" w:space="0" w:color="C0504D" w:themeColor="accent2"/>
            </w:tcBorders>
          </w:tcPr>
          <w:p w14:paraId="08495197" w14:textId="7D8DBDC1" w:rsidR="00280058" w:rsidRPr="00BC2CB8" w:rsidRDefault="006C3CAF" w:rsidP="007C3B17">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Analizės tikslais n</w:t>
            </w:r>
            <w:r w:rsidRPr="00BC2CB8">
              <w:rPr>
                <w:rFonts w:ascii="Georgia" w:hAnsi="Georgia"/>
                <w:sz w:val="20"/>
                <w:szCs w:val="20"/>
              </w:rPr>
              <w:t>ustatomos 2</w:t>
            </w:r>
            <w:r>
              <w:rPr>
                <w:rFonts w:ascii="Georgia" w:hAnsi="Georgia"/>
                <w:sz w:val="20"/>
                <w:szCs w:val="20"/>
              </w:rPr>
              <w:t xml:space="preserve"> </w:t>
            </w:r>
            <w:r w:rsidRPr="00BC2CB8">
              <w:rPr>
                <w:rFonts w:ascii="Georgia" w:hAnsi="Georgia"/>
                <w:sz w:val="20"/>
                <w:szCs w:val="20"/>
              </w:rPr>
              <w:t xml:space="preserve">% </w:t>
            </w:r>
            <w:r>
              <w:rPr>
                <w:rFonts w:ascii="Georgia" w:hAnsi="Georgia"/>
                <w:sz w:val="20"/>
                <w:szCs w:val="20"/>
              </w:rPr>
              <w:t xml:space="preserve">metinės </w:t>
            </w:r>
            <w:r w:rsidRPr="00BC2CB8">
              <w:rPr>
                <w:rFonts w:ascii="Georgia" w:hAnsi="Georgia"/>
                <w:sz w:val="20"/>
                <w:szCs w:val="20"/>
              </w:rPr>
              <w:t>palūkanos.</w:t>
            </w:r>
            <w:r>
              <w:rPr>
                <w:rFonts w:ascii="Georgia" w:hAnsi="Georgia"/>
                <w:sz w:val="20"/>
                <w:szCs w:val="20"/>
              </w:rPr>
              <w:t xml:space="preserve"> Pradinėje FP stadijoje gali būti nustatomos ir mažesnės palūkanos. Išnaudojus ESI fondų lėšas palūkanos turėtų atitikti FP administravimo ir </w:t>
            </w:r>
            <w:r w:rsidR="007C3B17">
              <w:rPr>
                <w:rFonts w:ascii="Georgia" w:hAnsi="Georgia"/>
                <w:sz w:val="20"/>
                <w:szCs w:val="20"/>
              </w:rPr>
              <w:t>lėšų</w:t>
            </w:r>
            <w:r>
              <w:rPr>
                <w:rFonts w:ascii="Georgia" w:hAnsi="Georgia"/>
                <w:sz w:val="20"/>
                <w:szCs w:val="20"/>
              </w:rPr>
              <w:t xml:space="preserve"> pritraukimo kainą.</w:t>
            </w:r>
          </w:p>
        </w:tc>
      </w:tr>
      <w:tr w:rsidR="00280058" w:rsidRPr="00BC2CB8" w14:paraId="5C1E7AF5" w14:textId="77777777"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39" w:type="pct"/>
            <w:tcBorders>
              <w:top w:val="single" w:sz="6" w:space="0" w:color="C0504D" w:themeColor="accent2"/>
              <w:right w:val="single" w:sz="6" w:space="0" w:color="C0504D" w:themeColor="accent2"/>
            </w:tcBorders>
          </w:tcPr>
          <w:p w14:paraId="4429C98E" w14:textId="77777777" w:rsidR="00280058" w:rsidRPr="00BC2CB8" w:rsidRDefault="00280058" w:rsidP="00BB18F6">
            <w:pPr>
              <w:rPr>
                <w:rFonts w:ascii="Georgia" w:hAnsi="Georgia"/>
                <w:b w:val="0"/>
                <w:sz w:val="20"/>
                <w:szCs w:val="20"/>
              </w:rPr>
            </w:pPr>
            <w:r w:rsidRPr="00BC2CB8">
              <w:rPr>
                <w:rFonts w:ascii="Georgia" w:hAnsi="Georgia"/>
                <w:sz w:val="20"/>
              </w:rPr>
              <w:t>Valdymo mokestis: vadovaujantis Deleguoto reglamento nuostatomis</w:t>
            </w:r>
          </w:p>
        </w:tc>
        <w:tc>
          <w:tcPr>
            <w:tcW w:w="3561" w:type="pct"/>
            <w:tcBorders>
              <w:top w:val="single" w:sz="6" w:space="0" w:color="C0504D" w:themeColor="accent2"/>
              <w:left w:val="single" w:sz="6" w:space="0" w:color="C0504D" w:themeColor="accent2"/>
            </w:tcBorders>
          </w:tcPr>
          <w:p w14:paraId="12262322" w14:textId="77777777"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rPr>
              <w:t>Vadovaujantis Deleguoto reglamento nuostatomis, valdymo mokestis susideda iš dviejų dalių: 0,5 proc. bazinis mokestis nuo finansinei priemonei skirtų ir įmokėtų lėšų, 1 proc. mokestis nuo paskolų, suteiktų galutiniams naudos gavėjams, sumos.</w:t>
            </w:r>
          </w:p>
        </w:tc>
      </w:tr>
      <w:tr w:rsidR="00280058" w:rsidRPr="00BC2CB8" w14:paraId="636A8473" w14:textId="77777777" w:rsidTr="00C83DB2">
        <w:trPr>
          <w:cantSplit/>
        </w:trPr>
        <w:tc>
          <w:tcPr>
            <w:cnfStyle w:val="001000000000" w:firstRow="0" w:lastRow="0" w:firstColumn="1" w:lastColumn="0" w:oddVBand="0" w:evenVBand="0" w:oddHBand="0" w:evenHBand="0" w:firstRowFirstColumn="0" w:firstRowLastColumn="0" w:lastRowFirstColumn="0" w:lastRowLastColumn="0"/>
            <w:tcW w:w="1439" w:type="pct"/>
            <w:tcBorders>
              <w:top w:val="single" w:sz="6" w:space="0" w:color="C0504D" w:themeColor="accent2"/>
              <w:right w:val="single" w:sz="6" w:space="0" w:color="C0504D" w:themeColor="accent2"/>
            </w:tcBorders>
          </w:tcPr>
          <w:p w14:paraId="185FFE45" w14:textId="77777777" w:rsidR="00280058" w:rsidRPr="00BC2CB8" w:rsidRDefault="00280058" w:rsidP="00BB18F6">
            <w:pPr>
              <w:rPr>
                <w:rFonts w:ascii="Georgia" w:hAnsi="Georgia"/>
                <w:b w:val="0"/>
                <w:sz w:val="20"/>
                <w:szCs w:val="20"/>
              </w:rPr>
            </w:pPr>
            <w:r w:rsidRPr="00BC2CB8">
              <w:rPr>
                <w:rFonts w:ascii="Georgia" w:hAnsi="Georgia"/>
                <w:sz w:val="20"/>
                <w:szCs w:val="20"/>
              </w:rPr>
              <w:t xml:space="preserve">Projekto įgyvendinimo laikotarpis: 1 metai </w:t>
            </w:r>
          </w:p>
        </w:tc>
        <w:tc>
          <w:tcPr>
            <w:tcW w:w="3561" w:type="pct"/>
            <w:tcBorders>
              <w:top w:val="single" w:sz="6" w:space="0" w:color="C0504D" w:themeColor="accent2"/>
              <w:left w:val="single" w:sz="6" w:space="0" w:color="C0504D" w:themeColor="accent2"/>
            </w:tcBorders>
          </w:tcPr>
          <w:p w14:paraId="35AA5ACF" w14:textId="77777777"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tipinio viešojo pastato renovacijos laikas yra 1 metai nuo paskolos sutarties pasirašymo momento.</w:t>
            </w:r>
          </w:p>
        </w:tc>
      </w:tr>
      <w:tr w:rsidR="00280058" w:rsidRPr="00BC2CB8" w14:paraId="61BB3EBB" w14:textId="77777777" w:rsidTr="00C83D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39" w:type="pct"/>
            <w:tcBorders>
              <w:top w:val="single" w:sz="6" w:space="0" w:color="C0504D" w:themeColor="accent2"/>
              <w:right w:val="single" w:sz="6" w:space="0" w:color="C0504D" w:themeColor="accent2"/>
            </w:tcBorders>
          </w:tcPr>
          <w:p w14:paraId="08681409" w14:textId="77777777" w:rsidR="00280058" w:rsidRPr="00BC2CB8" w:rsidRDefault="00280058" w:rsidP="00BB18F6">
            <w:pPr>
              <w:rPr>
                <w:rFonts w:ascii="Georgia" w:hAnsi="Georgia"/>
                <w:b w:val="0"/>
                <w:sz w:val="20"/>
                <w:szCs w:val="20"/>
              </w:rPr>
            </w:pPr>
            <w:r w:rsidRPr="00BC2CB8">
              <w:rPr>
                <w:rFonts w:ascii="Georgia" w:hAnsi="Georgia"/>
                <w:sz w:val="20"/>
                <w:szCs w:val="20"/>
              </w:rPr>
              <w:t>Privataus investicinio fo</w:t>
            </w:r>
            <w:r w:rsidR="00C83DB2">
              <w:rPr>
                <w:rFonts w:ascii="Georgia" w:hAnsi="Georgia"/>
                <w:sz w:val="20"/>
                <w:szCs w:val="20"/>
              </w:rPr>
              <w:t>ndo išperkamų paskolų dalis: 70</w:t>
            </w:r>
            <w:r w:rsidRPr="00BC2CB8">
              <w:rPr>
                <w:rFonts w:ascii="Georgia" w:hAnsi="Georgia"/>
                <w:sz w:val="20"/>
                <w:szCs w:val="20"/>
              </w:rPr>
              <w:t>%</w:t>
            </w:r>
          </w:p>
        </w:tc>
        <w:tc>
          <w:tcPr>
            <w:tcW w:w="3561" w:type="pct"/>
            <w:tcBorders>
              <w:top w:val="single" w:sz="6" w:space="0" w:color="C0504D" w:themeColor="accent2"/>
              <w:left w:val="single" w:sz="6" w:space="0" w:color="C0504D" w:themeColor="accent2"/>
            </w:tcBorders>
          </w:tcPr>
          <w:p w14:paraId="1BD55219" w14:textId="41B5880E" w:rsidR="00280058" w:rsidRPr="00BC2CB8" w:rsidRDefault="00280058" w:rsidP="00A977CE">
            <w:pPr>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sidRPr="00BC2CB8">
              <w:rPr>
                <w:rFonts w:ascii="Georgia" w:hAnsi="Georgia" w:cs="Georgia"/>
                <w:sz w:val="20"/>
                <w:szCs w:val="20"/>
              </w:rPr>
              <w:t>Darome prielaidą, kad privatus investicinis fondas galėtų išpirkti pask</w:t>
            </w:r>
            <w:r w:rsidR="00C83DB2">
              <w:rPr>
                <w:rFonts w:ascii="Georgia" w:hAnsi="Georgia" w:cs="Georgia"/>
                <w:sz w:val="20"/>
                <w:szCs w:val="20"/>
              </w:rPr>
              <w:t>olas nuo 201</w:t>
            </w:r>
            <w:r w:rsidR="00A977CE">
              <w:rPr>
                <w:rFonts w:ascii="Georgia" w:hAnsi="Georgia" w:cs="Georgia"/>
                <w:sz w:val="20"/>
                <w:szCs w:val="20"/>
              </w:rPr>
              <w:t>9</w:t>
            </w:r>
            <w:r w:rsidR="00C83DB2">
              <w:rPr>
                <w:rFonts w:ascii="Georgia" w:hAnsi="Georgia" w:cs="Georgia"/>
                <w:sz w:val="20"/>
                <w:szCs w:val="20"/>
              </w:rPr>
              <w:t xml:space="preserve"> m. ir išpirktų 70</w:t>
            </w:r>
            <w:r w:rsidRPr="00BC2CB8">
              <w:rPr>
                <w:rFonts w:ascii="Georgia" w:hAnsi="Georgia" w:cs="Georgia"/>
                <w:sz w:val="20"/>
                <w:szCs w:val="20"/>
              </w:rPr>
              <w:t xml:space="preserve">% visų paskolų portfelio. </w:t>
            </w:r>
          </w:p>
        </w:tc>
      </w:tr>
      <w:tr w:rsidR="00280058" w:rsidRPr="00BC2CB8" w14:paraId="03A73847" w14:textId="77777777" w:rsidTr="00C83DB2">
        <w:trPr>
          <w:cantSplit/>
        </w:trPr>
        <w:tc>
          <w:tcPr>
            <w:cnfStyle w:val="001000000000" w:firstRow="0" w:lastRow="0" w:firstColumn="1" w:lastColumn="0" w:oddVBand="0" w:evenVBand="0" w:oddHBand="0" w:evenHBand="0" w:firstRowFirstColumn="0" w:firstRowLastColumn="0" w:lastRowFirstColumn="0" w:lastRowLastColumn="0"/>
            <w:tcW w:w="1439" w:type="pct"/>
            <w:tcBorders>
              <w:top w:val="single" w:sz="6" w:space="0" w:color="C0504D" w:themeColor="accent2"/>
              <w:right w:val="single" w:sz="6" w:space="0" w:color="C0504D" w:themeColor="accent2"/>
            </w:tcBorders>
          </w:tcPr>
          <w:p w14:paraId="676267DE" w14:textId="77777777" w:rsidR="00280058" w:rsidRPr="00BC2CB8" w:rsidRDefault="00280058" w:rsidP="00BB18F6">
            <w:pPr>
              <w:rPr>
                <w:rFonts w:ascii="Georgia" w:hAnsi="Georgia"/>
                <w:b w:val="0"/>
                <w:sz w:val="20"/>
                <w:szCs w:val="20"/>
              </w:rPr>
            </w:pPr>
            <w:r w:rsidRPr="00BC2CB8">
              <w:rPr>
                <w:rFonts w:ascii="Georgia" w:hAnsi="Georgia"/>
                <w:sz w:val="20"/>
              </w:rPr>
              <w:t>Sugrįžusios lėšos pakartotinai panaudojamos: po 2 metų</w:t>
            </w:r>
          </w:p>
        </w:tc>
        <w:tc>
          <w:tcPr>
            <w:tcW w:w="3561" w:type="pct"/>
            <w:tcBorders>
              <w:top w:val="single" w:sz="6" w:space="0" w:color="C0504D" w:themeColor="accent2"/>
              <w:left w:val="single" w:sz="6" w:space="0" w:color="C0504D" w:themeColor="accent2"/>
            </w:tcBorders>
          </w:tcPr>
          <w:p w14:paraId="4537AAFB" w14:textId="77777777"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rPr>
              <w:t>Daroma prielaida, jog grįžtančios lėšos pakartotinai panaudojamos projektų finansavimui tomis pačiomis sąlygomis po 2 metų.</w:t>
            </w:r>
          </w:p>
        </w:tc>
      </w:tr>
    </w:tbl>
    <w:p w14:paraId="4126AE25" w14:textId="77777777" w:rsidR="00280058" w:rsidRPr="00BC2CB8" w:rsidRDefault="00280058" w:rsidP="00280058">
      <w:pPr>
        <w:ind w:left="360"/>
        <w:rPr>
          <w:rFonts w:ascii="Georgia" w:hAnsi="Georgia"/>
          <w:sz w:val="20"/>
          <w:szCs w:val="20"/>
          <w:lang w:val="lt-LT"/>
        </w:rPr>
      </w:pPr>
    </w:p>
    <w:p w14:paraId="03F39DAF" w14:textId="1674136C" w:rsidR="00280058" w:rsidRPr="00BC2CB8" w:rsidRDefault="00280058" w:rsidP="00280058">
      <w:pPr>
        <w:pStyle w:val="Antrat"/>
        <w:jc w:val="both"/>
        <w:rPr>
          <w:szCs w:val="20"/>
          <w:lang w:val="lt-LT"/>
        </w:rPr>
      </w:pPr>
      <w:bookmarkStart w:id="222" w:name="_Toc460321695"/>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114</w:t>
      </w:r>
      <w:r w:rsidRPr="00BC2CB8">
        <w:rPr>
          <w:lang w:val="lt-LT"/>
        </w:rPr>
        <w:fldChar w:fldCharType="end"/>
      </w:r>
      <w:r w:rsidRPr="00BC2CB8">
        <w:rPr>
          <w:lang w:val="lt-LT"/>
        </w:rPr>
        <w:t>. Scenarijaus Nr. 6 įgyvendinimo prognozė</w:t>
      </w:r>
      <w:bookmarkEnd w:id="222"/>
    </w:p>
    <w:p w14:paraId="33F4E6B1" w14:textId="11A7D587" w:rsidR="00280058" w:rsidRDefault="006C3CAF" w:rsidP="00280058">
      <w:r>
        <w:rPr>
          <w:noProof/>
          <w:lang w:val="lt-LT" w:eastAsia="lt-LT"/>
        </w:rPr>
        <w:drawing>
          <wp:inline distT="0" distB="0" distL="0" distR="0" wp14:anchorId="5076C503" wp14:editId="7770D443">
            <wp:extent cx="5343277" cy="3611854"/>
            <wp:effectExtent l="0" t="0" r="0" b="825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7769" t="29352" r="46451" b="13715"/>
                    <a:stretch/>
                  </pic:blipFill>
                  <pic:spPr bwMode="auto">
                    <a:xfrm>
                      <a:off x="0" y="0"/>
                      <a:ext cx="5362333" cy="3624735"/>
                    </a:xfrm>
                    <a:prstGeom prst="rect">
                      <a:avLst/>
                    </a:prstGeom>
                    <a:ln>
                      <a:noFill/>
                    </a:ln>
                    <a:extLst>
                      <a:ext uri="{53640926-AAD7-44D8-BBD7-CCE9431645EC}">
                        <a14:shadowObscured xmlns:a14="http://schemas.microsoft.com/office/drawing/2010/main"/>
                      </a:ext>
                    </a:extLst>
                  </pic:spPr>
                </pic:pic>
              </a:graphicData>
            </a:graphic>
          </wp:inline>
        </w:drawing>
      </w:r>
    </w:p>
    <w:p w14:paraId="5542DCE8" w14:textId="77777777" w:rsidR="00280058" w:rsidRPr="00BC2CB8" w:rsidRDefault="00280058" w:rsidP="00280058">
      <w:pPr>
        <w:rPr>
          <w:lang w:val="lt-LT"/>
        </w:rPr>
      </w:pPr>
    </w:p>
    <w:p w14:paraId="01218A80" w14:textId="54C0E87C" w:rsidR="00280058" w:rsidRPr="00BC2CB8" w:rsidRDefault="00280058" w:rsidP="00280058">
      <w:pPr>
        <w:pStyle w:val="Antrat"/>
        <w:rPr>
          <w:szCs w:val="20"/>
          <w:lang w:val="lt-LT"/>
        </w:rPr>
      </w:pPr>
      <w:r w:rsidRPr="00BC2CB8" w:rsidDel="00DC6143">
        <w:rPr>
          <w:noProof/>
          <w:szCs w:val="20"/>
          <w:lang w:val="lt-LT" w:eastAsia="lt-LT"/>
        </w:rPr>
        <w:t xml:space="preserve"> </w:t>
      </w:r>
      <w:bookmarkStart w:id="223" w:name="_Toc460321696"/>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115</w:t>
      </w:r>
      <w:r w:rsidRPr="00BC2CB8">
        <w:rPr>
          <w:lang w:val="lt-LT"/>
        </w:rPr>
        <w:fldChar w:fldCharType="end"/>
      </w:r>
      <w:r w:rsidRPr="00BC2CB8">
        <w:rPr>
          <w:lang w:val="lt-LT"/>
        </w:rPr>
        <w:t xml:space="preserve">. </w:t>
      </w:r>
      <w:r w:rsidRPr="00BC2CB8">
        <w:rPr>
          <w:szCs w:val="20"/>
          <w:lang w:val="lt-LT"/>
        </w:rPr>
        <w:t>Scenarijaus Nr. 6 rezultatai</w:t>
      </w:r>
      <w:bookmarkEnd w:id="223"/>
    </w:p>
    <w:tbl>
      <w:tblPr>
        <w:tblStyle w:val="viesussraas2parykinimas"/>
        <w:tblW w:w="5000" w:type="pct"/>
        <w:tblLook w:val="04A0" w:firstRow="1" w:lastRow="0" w:firstColumn="1" w:lastColumn="0" w:noHBand="0" w:noVBand="1"/>
      </w:tblPr>
      <w:tblGrid>
        <w:gridCol w:w="6651"/>
        <w:gridCol w:w="2591"/>
      </w:tblGrid>
      <w:tr w:rsidR="00280058" w:rsidRPr="00BC2CB8" w14:paraId="6BC7C2C2" w14:textId="77777777" w:rsidTr="00BB18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7ECAF849" w14:textId="77777777" w:rsidR="00280058" w:rsidRPr="00BC2CB8" w:rsidRDefault="00280058" w:rsidP="00BB18F6">
            <w:pPr>
              <w:jc w:val="center"/>
              <w:rPr>
                <w:rFonts w:ascii="Georgia" w:hAnsi="Georgia"/>
                <w:sz w:val="20"/>
                <w:szCs w:val="20"/>
              </w:rPr>
            </w:pPr>
            <w:r w:rsidRPr="00BC2CB8">
              <w:rPr>
                <w:rFonts w:ascii="Georgia" w:hAnsi="Georgia"/>
                <w:sz w:val="20"/>
                <w:szCs w:val="20"/>
              </w:rPr>
              <w:t>Fondas</w:t>
            </w:r>
          </w:p>
        </w:tc>
        <w:tc>
          <w:tcPr>
            <w:tcW w:w="1402" w:type="pct"/>
          </w:tcPr>
          <w:p w14:paraId="4BA3F3AB" w14:textId="77777777" w:rsidR="00280058" w:rsidRPr="00BC2CB8" w:rsidRDefault="00280058" w:rsidP="00BB18F6">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mln. eurų</w:t>
            </w:r>
          </w:p>
        </w:tc>
      </w:tr>
      <w:tr w:rsidR="00280058" w:rsidRPr="00BC2CB8" w14:paraId="61C37503" w14:textId="77777777" w:rsidTr="00BB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69876BEF" w14:textId="77777777" w:rsidR="00280058" w:rsidRPr="00BC2CB8" w:rsidRDefault="00280058" w:rsidP="00BB18F6">
            <w:pPr>
              <w:rPr>
                <w:rFonts w:ascii="Georgia" w:hAnsi="Georgia"/>
                <w:sz w:val="20"/>
                <w:szCs w:val="20"/>
              </w:rPr>
            </w:pPr>
            <w:r w:rsidRPr="00BC2CB8">
              <w:rPr>
                <w:rFonts w:ascii="Georgia" w:hAnsi="Georgia"/>
                <w:sz w:val="20"/>
                <w:szCs w:val="20"/>
              </w:rPr>
              <w:t>Galutinius naudos gavėjus pasiekusios lėšos</w:t>
            </w:r>
          </w:p>
        </w:tc>
        <w:tc>
          <w:tcPr>
            <w:tcW w:w="1402" w:type="pct"/>
          </w:tcPr>
          <w:p w14:paraId="0B44998D" w14:textId="6F2DC55A" w:rsidR="00280058" w:rsidRPr="00BC2CB8" w:rsidRDefault="006C3CAF" w:rsidP="006C3CAF">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95,8</w:t>
            </w:r>
          </w:p>
        </w:tc>
      </w:tr>
      <w:tr w:rsidR="00280058" w:rsidRPr="00BC2CB8" w14:paraId="2506220D" w14:textId="77777777" w:rsidTr="00BB18F6">
        <w:tc>
          <w:tcPr>
            <w:cnfStyle w:val="001000000000" w:firstRow="0" w:lastRow="0" w:firstColumn="1" w:lastColumn="0" w:oddVBand="0" w:evenVBand="0" w:oddHBand="0" w:evenHBand="0" w:firstRowFirstColumn="0" w:firstRowLastColumn="0" w:lastRowFirstColumn="0" w:lastRowLastColumn="0"/>
            <w:tcW w:w="3598" w:type="pct"/>
          </w:tcPr>
          <w:p w14:paraId="5123A78D" w14:textId="77777777" w:rsidR="00280058" w:rsidRPr="00BC2CB8" w:rsidRDefault="00280058" w:rsidP="00BB18F6">
            <w:pPr>
              <w:rPr>
                <w:rFonts w:ascii="Georgia" w:hAnsi="Georgia"/>
                <w:sz w:val="20"/>
                <w:szCs w:val="20"/>
              </w:rPr>
            </w:pPr>
            <w:r w:rsidRPr="00BC2CB8">
              <w:rPr>
                <w:rFonts w:ascii="Georgia" w:hAnsi="Georgia"/>
                <w:sz w:val="20"/>
                <w:szCs w:val="20"/>
              </w:rPr>
              <w:t>Pritraukta lėšų iš kitų šaltinių (įvertinus grįžtančių lėšų panaudojimą)</w:t>
            </w:r>
          </w:p>
        </w:tc>
        <w:tc>
          <w:tcPr>
            <w:tcW w:w="1402" w:type="pct"/>
          </w:tcPr>
          <w:p w14:paraId="5FDFBA97" w14:textId="49F8FBD7" w:rsidR="00280058" w:rsidRPr="00BC2CB8" w:rsidRDefault="006C3CAF" w:rsidP="00BB18F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59.3</w:t>
            </w:r>
          </w:p>
        </w:tc>
      </w:tr>
      <w:tr w:rsidR="00280058" w:rsidRPr="00BC2CB8" w14:paraId="43E1D504" w14:textId="77777777" w:rsidTr="00BB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7755157A" w14:textId="77777777" w:rsidR="00280058" w:rsidRPr="00BC2CB8" w:rsidRDefault="00280058" w:rsidP="00BB18F6">
            <w:pPr>
              <w:rPr>
                <w:rFonts w:ascii="Georgia" w:hAnsi="Georgia"/>
                <w:sz w:val="20"/>
                <w:szCs w:val="20"/>
              </w:rPr>
            </w:pPr>
            <w:r w:rsidRPr="00BC2CB8">
              <w:rPr>
                <w:rFonts w:ascii="Georgia" w:hAnsi="Georgia"/>
                <w:sz w:val="20"/>
                <w:szCs w:val="20"/>
              </w:rPr>
              <w:t>Iki 2022 m. renovuotų pastatų skaičius</w:t>
            </w:r>
          </w:p>
        </w:tc>
        <w:tc>
          <w:tcPr>
            <w:tcW w:w="1402" w:type="pct"/>
          </w:tcPr>
          <w:p w14:paraId="1625D179" w14:textId="55F9548D" w:rsidR="00280058" w:rsidRPr="00BC2CB8" w:rsidRDefault="006C3CAF"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420</w:t>
            </w:r>
          </w:p>
        </w:tc>
      </w:tr>
      <w:tr w:rsidR="00280058" w:rsidRPr="00BC2CB8" w14:paraId="30E7720E" w14:textId="77777777" w:rsidTr="00BB18F6">
        <w:tc>
          <w:tcPr>
            <w:cnfStyle w:val="001000000000" w:firstRow="0" w:lastRow="0" w:firstColumn="1" w:lastColumn="0" w:oddVBand="0" w:evenVBand="0" w:oddHBand="0" w:evenHBand="0" w:firstRowFirstColumn="0" w:firstRowLastColumn="0" w:lastRowFirstColumn="0" w:lastRowLastColumn="0"/>
            <w:tcW w:w="3598" w:type="pct"/>
          </w:tcPr>
          <w:p w14:paraId="49B5CDEC" w14:textId="77777777" w:rsidR="00280058" w:rsidRPr="00BC2CB8" w:rsidRDefault="00280058" w:rsidP="00BB18F6">
            <w:pPr>
              <w:rPr>
                <w:rFonts w:ascii="Georgia" w:hAnsi="Georgia"/>
                <w:sz w:val="20"/>
                <w:szCs w:val="20"/>
              </w:rPr>
            </w:pPr>
            <w:r w:rsidRPr="00BC2CB8">
              <w:rPr>
                <w:rFonts w:ascii="Georgia" w:hAnsi="Georgia"/>
                <w:sz w:val="20"/>
                <w:szCs w:val="20"/>
              </w:rPr>
              <w:t>Iki 2022 m. renovuotų pastatų plotas, tūkst. kv. m.</w:t>
            </w:r>
          </w:p>
        </w:tc>
        <w:tc>
          <w:tcPr>
            <w:tcW w:w="1402" w:type="pct"/>
          </w:tcPr>
          <w:p w14:paraId="5EA9BDE9" w14:textId="592D8428" w:rsidR="00280058" w:rsidRPr="00BC2CB8" w:rsidDel="00CE3FDD" w:rsidRDefault="006C3CAF" w:rsidP="00BB18F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473,3</w:t>
            </w:r>
          </w:p>
        </w:tc>
      </w:tr>
      <w:tr w:rsidR="00280058" w:rsidRPr="00BC2CB8" w14:paraId="6E9E5B63" w14:textId="77777777" w:rsidTr="00BB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3A0F57D5" w14:textId="77777777" w:rsidR="00280058" w:rsidRPr="00BC2CB8" w:rsidRDefault="00280058" w:rsidP="00BB18F6">
            <w:pPr>
              <w:rPr>
                <w:rFonts w:ascii="Georgia" w:hAnsi="Georgia"/>
                <w:sz w:val="20"/>
                <w:szCs w:val="20"/>
              </w:rPr>
            </w:pPr>
            <w:r w:rsidRPr="00BC2CB8">
              <w:rPr>
                <w:rFonts w:ascii="Georgia" w:hAnsi="Georgia"/>
                <w:sz w:val="20"/>
                <w:szCs w:val="20"/>
              </w:rPr>
              <w:t>Iki 2020 m. renovuotų pastatų plotas, tūkst. kv. m.</w:t>
            </w:r>
          </w:p>
        </w:tc>
        <w:tc>
          <w:tcPr>
            <w:tcW w:w="1402" w:type="pct"/>
          </w:tcPr>
          <w:p w14:paraId="79A94A8F" w14:textId="4233D1B1" w:rsidR="00280058" w:rsidRPr="00BC2CB8" w:rsidRDefault="006C3CAF"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247,9</w:t>
            </w:r>
          </w:p>
        </w:tc>
      </w:tr>
    </w:tbl>
    <w:p w14:paraId="4C24E684" w14:textId="77777777" w:rsidR="00280058" w:rsidRPr="00BC2CB8" w:rsidRDefault="00280058" w:rsidP="00280058">
      <w:pPr>
        <w:rPr>
          <w:rFonts w:ascii="Georgia" w:hAnsi="Georgia"/>
          <w:sz w:val="20"/>
          <w:szCs w:val="20"/>
          <w:lang w:val="lt-LT"/>
        </w:rPr>
      </w:pPr>
    </w:p>
    <w:p w14:paraId="3EAC320A" w14:textId="77777777" w:rsidR="00280058" w:rsidRPr="00BC2CB8" w:rsidRDefault="00280058" w:rsidP="00280058">
      <w:pPr>
        <w:rPr>
          <w:rFonts w:ascii="Georgia" w:hAnsi="Georgia"/>
          <w:sz w:val="20"/>
          <w:szCs w:val="20"/>
          <w:lang w:val="lt-LT"/>
        </w:rPr>
      </w:pPr>
    </w:p>
    <w:p w14:paraId="6F088C89" w14:textId="77777777" w:rsidR="00280058" w:rsidRPr="00BC2CB8" w:rsidRDefault="00280058" w:rsidP="00C03122">
      <w:pPr>
        <w:pStyle w:val="Sraopastraipa"/>
        <w:keepNext/>
        <w:numPr>
          <w:ilvl w:val="0"/>
          <w:numId w:val="34"/>
        </w:numPr>
        <w:ind w:left="714" w:hanging="357"/>
        <w:rPr>
          <w:rFonts w:ascii="Georgia" w:hAnsi="Georgia"/>
          <w:b/>
          <w:i/>
          <w:sz w:val="20"/>
          <w:szCs w:val="20"/>
          <w:lang w:val="lt-LT"/>
        </w:rPr>
      </w:pPr>
      <w:r w:rsidRPr="00BC2CB8">
        <w:rPr>
          <w:rFonts w:ascii="Georgia" w:hAnsi="Georgia"/>
          <w:b/>
          <w:i/>
          <w:sz w:val="20"/>
          <w:szCs w:val="20"/>
          <w:lang w:val="lt-LT"/>
        </w:rPr>
        <w:t>Scenarijus Nr. 7: Finansinės priemonės lėšos nukreipiamos garantijų priemonėms</w:t>
      </w:r>
    </w:p>
    <w:p w14:paraId="36045AFB" w14:textId="5F472DCF" w:rsidR="009F55BB" w:rsidRDefault="00DE390F" w:rsidP="00C83DB2">
      <w:pPr>
        <w:pStyle w:val="Antrat"/>
        <w:jc w:val="center"/>
        <w:rPr>
          <w:lang w:val="lt-LT"/>
        </w:rPr>
      </w:pPr>
      <w:r>
        <w:rPr>
          <w:noProof/>
          <w:lang w:val="lt-LT" w:eastAsia="lt-LT"/>
        </w:rPr>
        <w:drawing>
          <wp:inline distT="0" distB="0" distL="0" distR="0" wp14:anchorId="427BF6F6" wp14:editId="28BE234B">
            <wp:extent cx="5650992" cy="2051304"/>
            <wp:effectExtent l="0" t="0" r="6985" b="635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ESCO Nr. 7.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650992" cy="2051304"/>
                    </a:xfrm>
                    <a:prstGeom prst="rect">
                      <a:avLst/>
                    </a:prstGeom>
                  </pic:spPr>
                </pic:pic>
              </a:graphicData>
            </a:graphic>
          </wp:inline>
        </w:drawing>
      </w:r>
    </w:p>
    <w:p w14:paraId="602328B9" w14:textId="073D81FC" w:rsidR="00280058" w:rsidRPr="00BC2CB8" w:rsidRDefault="00280058" w:rsidP="00280058">
      <w:pPr>
        <w:pStyle w:val="Antrat"/>
        <w:rPr>
          <w:szCs w:val="20"/>
          <w:lang w:val="lt-LT"/>
        </w:rPr>
      </w:pPr>
      <w:bookmarkStart w:id="224" w:name="_Toc417378317"/>
      <w:r w:rsidRPr="00BC2CB8">
        <w:rPr>
          <w:lang w:val="lt-LT"/>
        </w:rPr>
        <w:t xml:space="preserve">Paveikslas </w:t>
      </w:r>
      <w:r w:rsidRPr="00BC2CB8">
        <w:rPr>
          <w:lang w:val="lt-LT"/>
        </w:rPr>
        <w:fldChar w:fldCharType="begin"/>
      </w:r>
      <w:r w:rsidRPr="00BC2CB8">
        <w:rPr>
          <w:lang w:val="lt-LT"/>
        </w:rPr>
        <w:instrText xml:space="preserve"> SEQ Paveikslas \* ARABIC </w:instrText>
      </w:r>
      <w:r w:rsidRPr="00BC2CB8">
        <w:rPr>
          <w:lang w:val="lt-LT"/>
        </w:rPr>
        <w:fldChar w:fldCharType="separate"/>
      </w:r>
      <w:r w:rsidR="00AA3082">
        <w:rPr>
          <w:noProof/>
          <w:lang w:val="lt-LT"/>
        </w:rPr>
        <w:t>40</w:t>
      </w:r>
      <w:r w:rsidRPr="00BC2CB8">
        <w:rPr>
          <w:lang w:val="lt-LT"/>
        </w:rPr>
        <w:fldChar w:fldCharType="end"/>
      </w:r>
      <w:r w:rsidRPr="00BC2CB8">
        <w:rPr>
          <w:lang w:val="lt-LT"/>
        </w:rPr>
        <w:t>. Viešųjų pastatų scenarijaus Nr. 7 schema.</w:t>
      </w:r>
      <w:bookmarkEnd w:id="224"/>
      <w:r w:rsidRPr="00BC2CB8">
        <w:rPr>
          <w:lang w:val="lt-LT"/>
        </w:rPr>
        <w:t xml:space="preserve"> </w:t>
      </w:r>
    </w:p>
    <w:p w14:paraId="3FDE1D5F" w14:textId="77777777" w:rsidR="00280058" w:rsidRPr="00BC2CB8" w:rsidRDefault="00280058" w:rsidP="00280058">
      <w:pPr>
        <w:jc w:val="both"/>
        <w:rPr>
          <w:rFonts w:ascii="Georgia" w:hAnsi="Georgia"/>
          <w:sz w:val="20"/>
          <w:szCs w:val="20"/>
          <w:lang w:val="lt-LT"/>
        </w:rPr>
      </w:pPr>
      <w:r w:rsidRPr="00BC2CB8">
        <w:rPr>
          <w:rFonts w:ascii="Georgia" w:hAnsi="Georgia"/>
          <w:sz w:val="20"/>
          <w:szCs w:val="20"/>
          <w:lang w:val="lt-LT"/>
        </w:rPr>
        <w:t>Šiame scenarijuje modeliuojama situacija su prielaidomis kaip scenarijuje Nr. 3, papildomai darant prielaidą, kad bus kuriama tik garantijų priemonė ir visos lėšos bus panaudotos komerciniams bankams teikiant garantijas pagal kurias pastarieji išduos paskolas.</w:t>
      </w:r>
    </w:p>
    <w:p w14:paraId="47198906" w14:textId="0FEAFC4B" w:rsidR="00280058" w:rsidRPr="00BC2CB8" w:rsidRDefault="00280058" w:rsidP="00280058">
      <w:pPr>
        <w:pStyle w:val="Antrat"/>
        <w:rPr>
          <w:szCs w:val="20"/>
          <w:lang w:val="lt-LT"/>
        </w:rPr>
      </w:pPr>
      <w:bookmarkStart w:id="225" w:name="_Toc460321697"/>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116</w:t>
      </w:r>
      <w:r w:rsidRPr="00BC2CB8">
        <w:rPr>
          <w:lang w:val="lt-LT"/>
        </w:rPr>
        <w:fldChar w:fldCharType="end"/>
      </w:r>
      <w:r w:rsidRPr="00BC2CB8">
        <w:rPr>
          <w:lang w:val="lt-LT"/>
        </w:rPr>
        <w:t xml:space="preserve">. </w:t>
      </w:r>
      <w:r w:rsidRPr="00BC2CB8">
        <w:rPr>
          <w:szCs w:val="20"/>
          <w:lang w:val="lt-LT"/>
        </w:rPr>
        <w:t>Scenarijaus Nr. 7 Prielaidos</w:t>
      </w:r>
      <w:bookmarkEnd w:id="225"/>
    </w:p>
    <w:tbl>
      <w:tblPr>
        <w:tblStyle w:val="viesussraas2parykinimas"/>
        <w:tblW w:w="5000" w:type="pct"/>
        <w:tblLook w:val="04A0" w:firstRow="1" w:lastRow="0" w:firstColumn="1" w:lastColumn="0" w:noHBand="0" w:noVBand="1"/>
      </w:tblPr>
      <w:tblGrid>
        <w:gridCol w:w="2577"/>
        <w:gridCol w:w="6665"/>
      </w:tblGrid>
      <w:tr w:rsidR="00280058" w:rsidRPr="00BC2CB8" w14:paraId="76844BEE" w14:textId="77777777" w:rsidTr="00C83DB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94" w:type="pct"/>
            <w:tcBorders>
              <w:bottom w:val="single" w:sz="8" w:space="0" w:color="C0504D" w:themeColor="accent2"/>
            </w:tcBorders>
          </w:tcPr>
          <w:p w14:paraId="39AA77E8" w14:textId="77777777" w:rsidR="00280058" w:rsidRPr="00BC2CB8" w:rsidRDefault="00280058" w:rsidP="00C83DB2">
            <w:pPr>
              <w:jc w:val="center"/>
              <w:rPr>
                <w:rFonts w:ascii="Georgia" w:hAnsi="Georgia"/>
                <w:sz w:val="20"/>
                <w:szCs w:val="20"/>
              </w:rPr>
            </w:pPr>
            <w:r w:rsidRPr="00BC2CB8">
              <w:rPr>
                <w:rFonts w:ascii="Georgia" w:hAnsi="Georgia"/>
                <w:sz w:val="20"/>
                <w:szCs w:val="20"/>
              </w:rPr>
              <w:t>Prielaidos</w:t>
            </w:r>
          </w:p>
        </w:tc>
        <w:tc>
          <w:tcPr>
            <w:tcW w:w="3606" w:type="pct"/>
            <w:tcBorders>
              <w:bottom w:val="single" w:sz="8" w:space="0" w:color="C0504D" w:themeColor="accent2"/>
            </w:tcBorders>
          </w:tcPr>
          <w:p w14:paraId="5BC6D91E" w14:textId="77777777" w:rsidR="00280058" w:rsidRPr="00BC2CB8" w:rsidRDefault="00280058" w:rsidP="00C83DB2">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Komentaras</w:t>
            </w:r>
          </w:p>
        </w:tc>
      </w:tr>
      <w:tr w:rsidR="00280058" w:rsidRPr="00BC2CB8" w14:paraId="2A69E9E1"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94" w:type="pct"/>
            <w:tcBorders>
              <w:top w:val="single" w:sz="6" w:space="0" w:color="C0504D" w:themeColor="accent2"/>
              <w:right w:val="single" w:sz="6" w:space="0" w:color="C0504D" w:themeColor="accent2"/>
            </w:tcBorders>
          </w:tcPr>
          <w:p w14:paraId="4C61E937" w14:textId="77777777" w:rsidR="00280058" w:rsidRPr="00BC2CB8" w:rsidRDefault="00280058" w:rsidP="00BB18F6">
            <w:pPr>
              <w:rPr>
                <w:rFonts w:ascii="Georgia" w:hAnsi="Georgia"/>
                <w:b w:val="0"/>
                <w:sz w:val="20"/>
                <w:szCs w:val="20"/>
              </w:rPr>
            </w:pPr>
            <w:r w:rsidRPr="00BC2CB8">
              <w:rPr>
                <w:rFonts w:ascii="Georgia" w:hAnsi="Georgia"/>
                <w:sz w:val="20"/>
                <w:szCs w:val="20"/>
              </w:rPr>
              <w:t>Paskolos laikotarpis: iki 20 metų</w:t>
            </w:r>
          </w:p>
        </w:tc>
        <w:tc>
          <w:tcPr>
            <w:tcW w:w="3606" w:type="pct"/>
            <w:tcBorders>
              <w:top w:val="single" w:sz="6" w:space="0" w:color="C0504D" w:themeColor="accent2"/>
              <w:left w:val="single" w:sz="6" w:space="0" w:color="C0504D" w:themeColor="accent2"/>
            </w:tcBorders>
          </w:tcPr>
          <w:p w14:paraId="633CB147" w14:textId="77777777"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Maksimalus paskolos sutarties terminas yra 20 metų. </w:t>
            </w:r>
          </w:p>
        </w:tc>
      </w:tr>
      <w:tr w:rsidR="00280058" w:rsidRPr="00BC2CB8" w14:paraId="1FC2728D" w14:textId="77777777" w:rsidTr="00BB18F6">
        <w:trPr>
          <w:cantSplit/>
          <w:trHeight w:val="489"/>
        </w:trPr>
        <w:tc>
          <w:tcPr>
            <w:cnfStyle w:val="001000000000" w:firstRow="0" w:lastRow="0" w:firstColumn="1" w:lastColumn="0" w:oddVBand="0" w:evenVBand="0" w:oddHBand="0" w:evenHBand="0" w:firstRowFirstColumn="0" w:firstRowLastColumn="0" w:lastRowFirstColumn="0" w:lastRowLastColumn="0"/>
            <w:tcW w:w="1394" w:type="pct"/>
            <w:tcBorders>
              <w:top w:val="single" w:sz="6" w:space="0" w:color="C0504D" w:themeColor="accent2"/>
              <w:right w:val="single" w:sz="6" w:space="0" w:color="C0504D" w:themeColor="accent2"/>
            </w:tcBorders>
          </w:tcPr>
          <w:p w14:paraId="7278BBD3" w14:textId="77777777" w:rsidR="00280058" w:rsidRPr="00BC2CB8" w:rsidRDefault="00280058" w:rsidP="00C83DB2">
            <w:pPr>
              <w:rPr>
                <w:rFonts w:ascii="Georgia" w:hAnsi="Georgia"/>
                <w:b w:val="0"/>
                <w:sz w:val="20"/>
                <w:szCs w:val="20"/>
              </w:rPr>
            </w:pPr>
            <w:r w:rsidRPr="00BC2CB8">
              <w:rPr>
                <w:rFonts w:ascii="Georgia" w:hAnsi="Georgia"/>
                <w:sz w:val="20"/>
                <w:szCs w:val="20"/>
              </w:rPr>
              <w:t>Blogų paskolų dalis: 5%</w:t>
            </w:r>
          </w:p>
        </w:tc>
        <w:tc>
          <w:tcPr>
            <w:tcW w:w="3606" w:type="pct"/>
            <w:tcBorders>
              <w:top w:val="single" w:sz="6" w:space="0" w:color="C0504D" w:themeColor="accent2"/>
              <w:left w:val="single" w:sz="6" w:space="0" w:color="C0504D" w:themeColor="accent2"/>
            </w:tcBorders>
          </w:tcPr>
          <w:p w14:paraId="1CCA80F8" w14:textId="77777777"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Blogų paskolų dalis buvo nustatyta remiantis ekspertų ir komercinių bankų vertinimu. Be to, ši prielaida atitinka PwC studijoje nustatytą dydį.</w:t>
            </w:r>
          </w:p>
        </w:tc>
      </w:tr>
      <w:tr w:rsidR="00280058" w:rsidRPr="00BC2CB8" w14:paraId="60E0D83A"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94" w:type="pct"/>
            <w:tcBorders>
              <w:top w:val="single" w:sz="6" w:space="0" w:color="C0504D" w:themeColor="accent2"/>
              <w:right w:val="single" w:sz="6" w:space="0" w:color="C0504D" w:themeColor="accent2"/>
            </w:tcBorders>
          </w:tcPr>
          <w:p w14:paraId="01B15781" w14:textId="77777777" w:rsidR="00280058" w:rsidRPr="00BC2CB8" w:rsidRDefault="00280058" w:rsidP="00C83DB2">
            <w:pPr>
              <w:rPr>
                <w:rFonts w:ascii="Georgia" w:hAnsi="Georgia"/>
                <w:sz w:val="20"/>
                <w:szCs w:val="20"/>
              </w:rPr>
            </w:pPr>
            <w:r w:rsidRPr="00BC2CB8">
              <w:rPr>
                <w:rFonts w:ascii="Georgia" w:hAnsi="Georgia"/>
                <w:sz w:val="20"/>
                <w:szCs w:val="20"/>
              </w:rPr>
              <w:t>Fonde rezervuojamos lėšos garantijų įsipareigojimų vykdymui: 20%</w:t>
            </w:r>
          </w:p>
        </w:tc>
        <w:tc>
          <w:tcPr>
            <w:tcW w:w="3606" w:type="pct"/>
            <w:tcBorders>
              <w:top w:val="single" w:sz="6" w:space="0" w:color="C0504D" w:themeColor="accent2"/>
              <w:left w:val="single" w:sz="6" w:space="0" w:color="C0504D" w:themeColor="accent2"/>
            </w:tcBorders>
          </w:tcPr>
          <w:p w14:paraId="0B769FE5" w14:textId="77777777" w:rsidR="00280058" w:rsidRPr="00BC2CB8" w:rsidRDefault="00280058" w:rsidP="00A074B2">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Fondo garantiniams įsipareigojimams vykdyti rezervuojama 20 % lėšų, tačiau modeliuojant scenarijų,  skaičiuojama jog tikėtina praradimų dalis 5%, kuri paremta ekspertiniu ir komercinių bankų vertinimu, bei atitinka PwC studijos prielaidas.</w:t>
            </w:r>
          </w:p>
        </w:tc>
      </w:tr>
      <w:tr w:rsidR="00280058" w:rsidRPr="00BC2CB8" w14:paraId="760811FE" w14:textId="77777777" w:rsidTr="00BB18F6">
        <w:trPr>
          <w:cantSplit/>
        </w:trPr>
        <w:tc>
          <w:tcPr>
            <w:cnfStyle w:val="001000000000" w:firstRow="0" w:lastRow="0" w:firstColumn="1" w:lastColumn="0" w:oddVBand="0" w:evenVBand="0" w:oddHBand="0" w:evenHBand="0" w:firstRowFirstColumn="0" w:firstRowLastColumn="0" w:lastRowFirstColumn="0" w:lastRowLastColumn="0"/>
            <w:tcW w:w="1394" w:type="pct"/>
            <w:tcBorders>
              <w:top w:val="single" w:sz="6" w:space="0" w:color="C0504D" w:themeColor="accent2"/>
              <w:right w:val="single" w:sz="6" w:space="0" w:color="C0504D" w:themeColor="accent2"/>
            </w:tcBorders>
          </w:tcPr>
          <w:p w14:paraId="2CD41735" w14:textId="77777777" w:rsidR="00280058" w:rsidRPr="00BC2CB8" w:rsidRDefault="00280058" w:rsidP="00BB18F6">
            <w:pPr>
              <w:rPr>
                <w:rFonts w:ascii="Georgia" w:hAnsi="Georgia"/>
                <w:b w:val="0"/>
                <w:sz w:val="20"/>
                <w:szCs w:val="20"/>
              </w:rPr>
            </w:pPr>
            <w:r w:rsidRPr="00BC2CB8">
              <w:rPr>
                <w:rFonts w:ascii="Georgia" w:hAnsi="Georgia"/>
                <w:sz w:val="20"/>
                <w:szCs w:val="20"/>
              </w:rPr>
              <w:t>Tipinio viešojo pastato projekto investicijų vertė: 228 000 eurų</w:t>
            </w:r>
          </w:p>
        </w:tc>
        <w:tc>
          <w:tcPr>
            <w:tcW w:w="3606" w:type="pct"/>
            <w:tcBorders>
              <w:top w:val="single" w:sz="6" w:space="0" w:color="C0504D" w:themeColor="accent2"/>
              <w:left w:val="single" w:sz="6" w:space="0" w:color="C0504D" w:themeColor="accent2"/>
            </w:tcBorders>
          </w:tcPr>
          <w:p w14:paraId="5F8B1741" w14:textId="77777777"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Vidutinė tipinio viešojo pastato renovacijos kaina buvo nustatyta remiantis vidutinio viešojo pastato plotu ir pastato renovacijos kaštais vienam kvadratiniam metrui. Vidutinis pastato plotas paskaičiuotas remiantis Registrų centro duomenimis 2.1.1. skyriuje, o viešojo pastato renovacijos kaštai numatyti </w:t>
            </w:r>
            <w:r w:rsidRPr="00BC2CB8">
              <w:rPr>
                <w:rFonts w:ascii="Georgia" w:hAnsi="Georgia"/>
                <w:bCs/>
                <w:sz w:val="20"/>
                <w:szCs w:val="20"/>
              </w:rPr>
              <w:t>Viešųjų pastatų energinio efektyvumo didinimo programos projekte</w:t>
            </w:r>
            <w:r w:rsidRPr="00BC2CB8">
              <w:rPr>
                <w:rStyle w:val="Puslapioinaosnuoroda"/>
                <w:rFonts w:ascii="Georgia" w:hAnsi="Georgia"/>
                <w:bCs/>
                <w:sz w:val="20"/>
                <w:szCs w:val="20"/>
              </w:rPr>
              <w:footnoteReference w:id="121"/>
            </w:r>
            <w:r w:rsidRPr="00BC2CB8">
              <w:rPr>
                <w:rFonts w:ascii="Georgia" w:hAnsi="Georgia"/>
                <w:bCs/>
                <w:sz w:val="20"/>
                <w:szCs w:val="20"/>
              </w:rPr>
              <w:t xml:space="preserve"> ir sudaro 202,7 </w:t>
            </w:r>
            <w:r w:rsidRPr="00BC2CB8">
              <w:rPr>
                <w:rFonts w:ascii="Georgia" w:hAnsi="Georgia"/>
                <w:sz w:val="20"/>
                <w:szCs w:val="20"/>
              </w:rPr>
              <w:t>eurų</w:t>
            </w:r>
            <w:r w:rsidRPr="00BC2CB8" w:rsidDel="00334CC9">
              <w:rPr>
                <w:rFonts w:ascii="Georgia" w:hAnsi="Georgia"/>
                <w:bCs/>
                <w:sz w:val="20"/>
                <w:szCs w:val="20"/>
              </w:rPr>
              <w:t xml:space="preserve"> </w:t>
            </w:r>
            <w:r w:rsidRPr="00BC2CB8">
              <w:rPr>
                <w:rFonts w:ascii="Georgia" w:hAnsi="Georgia"/>
                <w:bCs/>
                <w:sz w:val="20"/>
                <w:szCs w:val="20"/>
              </w:rPr>
              <w:t>/m</w:t>
            </w:r>
            <w:r w:rsidRPr="00BC2CB8">
              <w:rPr>
                <w:rFonts w:ascii="Georgia" w:hAnsi="Georgia"/>
                <w:bCs/>
                <w:sz w:val="20"/>
                <w:szCs w:val="20"/>
                <w:vertAlign w:val="superscript"/>
              </w:rPr>
              <w:t>2</w:t>
            </w:r>
            <w:r w:rsidRPr="00BC2CB8">
              <w:rPr>
                <w:rFonts w:ascii="Georgia" w:hAnsi="Georgia"/>
                <w:bCs/>
                <w:sz w:val="20"/>
                <w:szCs w:val="20"/>
              </w:rPr>
              <w:t>.</w:t>
            </w:r>
          </w:p>
        </w:tc>
      </w:tr>
      <w:tr w:rsidR="00280058" w:rsidRPr="00BC2CB8" w14:paraId="0BDE5D1B"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94" w:type="pct"/>
            <w:tcBorders>
              <w:top w:val="single" w:sz="6" w:space="0" w:color="C0504D" w:themeColor="accent2"/>
              <w:right w:val="single" w:sz="6" w:space="0" w:color="C0504D" w:themeColor="accent2"/>
            </w:tcBorders>
          </w:tcPr>
          <w:p w14:paraId="2EA7475E" w14:textId="403EA0DF" w:rsidR="00280058" w:rsidRPr="00BC2CB8" w:rsidRDefault="00280058" w:rsidP="00DE390F">
            <w:pPr>
              <w:rPr>
                <w:rFonts w:ascii="Georgia" w:hAnsi="Georgia"/>
                <w:b w:val="0"/>
                <w:sz w:val="20"/>
                <w:szCs w:val="20"/>
              </w:rPr>
            </w:pPr>
            <w:r w:rsidRPr="00BC2CB8">
              <w:rPr>
                <w:rFonts w:ascii="Georgia" w:hAnsi="Georgia"/>
                <w:sz w:val="20"/>
              </w:rPr>
              <w:t>Siektinas įgyvendinamų projektų skaičius</w:t>
            </w:r>
            <w:r w:rsidRPr="00BC2CB8">
              <w:rPr>
                <w:rFonts w:ascii="Georgia" w:hAnsi="Georgia"/>
                <w:sz w:val="20"/>
                <w:szCs w:val="20"/>
              </w:rPr>
              <w:t xml:space="preserve"> nuo </w:t>
            </w:r>
            <w:r w:rsidR="00DE390F" w:rsidRPr="00BC2CB8">
              <w:rPr>
                <w:rFonts w:ascii="Georgia" w:hAnsi="Georgia"/>
                <w:sz w:val="20"/>
                <w:szCs w:val="20"/>
              </w:rPr>
              <w:t>201</w:t>
            </w:r>
            <w:r w:rsidR="00DE390F">
              <w:rPr>
                <w:rFonts w:ascii="Georgia" w:hAnsi="Georgia"/>
                <w:sz w:val="20"/>
                <w:szCs w:val="20"/>
              </w:rPr>
              <w:t>8</w:t>
            </w:r>
            <w:r w:rsidR="00DE390F" w:rsidRPr="00BC2CB8">
              <w:rPr>
                <w:rFonts w:ascii="Georgia" w:hAnsi="Georgia"/>
                <w:sz w:val="20"/>
                <w:szCs w:val="20"/>
              </w:rPr>
              <w:t xml:space="preserve"> </w:t>
            </w:r>
            <w:r w:rsidRPr="00BC2CB8">
              <w:rPr>
                <w:rFonts w:ascii="Georgia" w:hAnsi="Georgia"/>
                <w:sz w:val="20"/>
                <w:szCs w:val="20"/>
              </w:rPr>
              <w:t xml:space="preserve">m.:  </w:t>
            </w:r>
            <w:r w:rsidR="00DE390F">
              <w:rPr>
                <w:rFonts w:ascii="Georgia" w:hAnsi="Georgia"/>
                <w:sz w:val="20"/>
                <w:szCs w:val="20"/>
              </w:rPr>
              <w:t xml:space="preserve">100 </w:t>
            </w:r>
            <w:r w:rsidRPr="00BC2CB8">
              <w:rPr>
                <w:rFonts w:ascii="Georgia" w:hAnsi="Georgia"/>
                <w:sz w:val="20"/>
                <w:szCs w:val="20"/>
              </w:rPr>
              <w:t>projekt</w:t>
            </w:r>
            <w:r w:rsidR="00171AB3">
              <w:rPr>
                <w:rFonts w:ascii="Georgia" w:hAnsi="Georgia"/>
                <w:sz w:val="20"/>
                <w:szCs w:val="20"/>
              </w:rPr>
              <w:t>ų</w:t>
            </w:r>
          </w:p>
        </w:tc>
        <w:tc>
          <w:tcPr>
            <w:tcW w:w="3606" w:type="pct"/>
            <w:tcBorders>
              <w:top w:val="single" w:sz="6" w:space="0" w:color="C0504D" w:themeColor="accent2"/>
              <w:left w:val="single" w:sz="6" w:space="0" w:color="C0504D" w:themeColor="accent2"/>
            </w:tcBorders>
          </w:tcPr>
          <w:p w14:paraId="6269B1FF" w14:textId="6B0B133E" w:rsidR="00280058" w:rsidRPr="00BC2CB8" w:rsidRDefault="00280058" w:rsidP="00DE390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kad nuo 201</w:t>
            </w:r>
            <w:r w:rsidR="00DE390F">
              <w:rPr>
                <w:rFonts w:ascii="Georgia" w:hAnsi="Georgia"/>
                <w:sz w:val="20"/>
                <w:szCs w:val="20"/>
              </w:rPr>
              <w:t>8</w:t>
            </w:r>
            <w:r w:rsidRPr="00BC2CB8">
              <w:rPr>
                <w:rFonts w:ascii="Georgia" w:hAnsi="Georgia"/>
                <w:sz w:val="20"/>
                <w:szCs w:val="20"/>
              </w:rPr>
              <w:t xml:space="preserve"> metų, susiformavus ESCO rinkai, projektų skaičius galėtų siekti apie </w:t>
            </w:r>
            <w:r w:rsidR="00DE390F">
              <w:rPr>
                <w:rFonts w:ascii="Georgia" w:hAnsi="Georgia"/>
                <w:sz w:val="20"/>
                <w:szCs w:val="20"/>
              </w:rPr>
              <w:t>100</w:t>
            </w:r>
            <w:r w:rsidR="00DE390F" w:rsidRPr="00BC2CB8">
              <w:rPr>
                <w:rFonts w:ascii="Georgia" w:hAnsi="Georgia"/>
                <w:sz w:val="20"/>
                <w:szCs w:val="20"/>
              </w:rPr>
              <w:t xml:space="preserve"> </w:t>
            </w:r>
            <w:r w:rsidRPr="00BC2CB8">
              <w:rPr>
                <w:rFonts w:ascii="Georgia" w:hAnsi="Georgia"/>
                <w:sz w:val="20"/>
                <w:szCs w:val="20"/>
              </w:rPr>
              <w:t>tipini</w:t>
            </w:r>
            <w:r w:rsidR="00171AB3">
              <w:rPr>
                <w:rFonts w:ascii="Georgia" w:hAnsi="Georgia"/>
                <w:sz w:val="20"/>
                <w:szCs w:val="20"/>
              </w:rPr>
              <w:t>ų</w:t>
            </w:r>
            <w:r w:rsidRPr="00BC2CB8">
              <w:rPr>
                <w:rFonts w:ascii="Georgia" w:hAnsi="Georgia"/>
                <w:sz w:val="20"/>
                <w:szCs w:val="20"/>
              </w:rPr>
              <w:t xml:space="preserve"> viešųjų pastatų modernizavimo projekt</w:t>
            </w:r>
            <w:r w:rsidR="00171AB3">
              <w:rPr>
                <w:rFonts w:ascii="Georgia" w:hAnsi="Georgia"/>
                <w:sz w:val="20"/>
                <w:szCs w:val="20"/>
              </w:rPr>
              <w:t>ų</w:t>
            </w:r>
            <w:r w:rsidRPr="00BC2CB8">
              <w:rPr>
                <w:rFonts w:ascii="Georgia" w:hAnsi="Georgia"/>
                <w:sz w:val="20"/>
                <w:szCs w:val="20"/>
              </w:rPr>
              <w:t xml:space="preserve"> per metus.</w:t>
            </w:r>
            <w:r w:rsidR="00E60F37">
              <w:rPr>
                <w:rFonts w:ascii="Georgia" w:hAnsi="Georgia"/>
                <w:sz w:val="20"/>
                <w:szCs w:val="20"/>
              </w:rPr>
              <w:t xml:space="preserve"> Ši prielaida grindžiama tuo, kad didelio proveržio periodo pradžioje nebus, kadangi komerciniai bankai nebus linkę finansuoti naujo modelio būdu įgyvendinamų projektų.</w:t>
            </w:r>
          </w:p>
        </w:tc>
      </w:tr>
      <w:tr w:rsidR="00280058" w:rsidRPr="00BC2CB8" w14:paraId="617D4821" w14:textId="77777777" w:rsidTr="00BB18F6">
        <w:trPr>
          <w:cantSplit/>
        </w:trPr>
        <w:tc>
          <w:tcPr>
            <w:cnfStyle w:val="001000000000" w:firstRow="0" w:lastRow="0" w:firstColumn="1" w:lastColumn="0" w:oddVBand="0" w:evenVBand="0" w:oddHBand="0" w:evenHBand="0" w:firstRowFirstColumn="0" w:firstRowLastColumn="0" w:lastRowFirstColumn="0" w:lastRowLastColumn="0"/>
            <w:tcW w:w="1394" w:type="pct"/>
            <w:tcBorders>
              <w:top w:val="single" w:sz="6" w:space="0" w:color="C0504D" w:themeColor="accent2"/>
              <w:right w:val="single" w:sz="6" w:space="0" w:color="C0504D" w:themeColor="accent2"/>
            </w:tcBorders>
          </w:tcPr>
          <w:p w14:paraId="6CA683A3" w14:textId="77777777" w:rsidR="00280058" w:rsidRPr="00BC2CB8" w:rsidRDefault="00280058" w:rsidP="00BB18F6">
            <w:pPr>
              <w:rPr>
                <w:rFonts w:ascii="Georgia" w:hAnsi="Georgia"/>
                <w:b w:val="0"/>
                <w:sz w:val="20"/>
                <w:szCs w:val="20"/>
              </w:rPr>
            </w:pPr>
            <w:r w:rsidRPr="00BC2CB8">
              <w:rPr>
                <w:rFonts w:ascii="Georgia" w:hAnsi="Georgia"/>
                <w:sz w:val="20"/>
                <w:szCs w:val="20"/>
              </w:rPr>
              <w:t>Investuojamų ESI lėšų suma į fondą: 47,4 mln. eurų.</w:t>
            </w:r>
          </w:p>
        </w:tc>
        <w:tc>
          <w:tcPr>
            <w:tcW w:w="3606" w:type="pct"/>
            <w:tcBorders>
              <w:top w:val="single" w:sz="6" w:space="0" w:color="C0504D" w:themeColor="accent2"/>
              <w:left w:val="single" w:sz="6" w:space="0" w:color="C0504D" w:themeColor="accent2"/>
            </w:tcBorders>
          </w:tcPr>
          <w:p w14:paraId="3FCAC891" w14:textId="7CAFFF3D" w:rsidR="00280058" w:rsidRPr="00BC2CB8" w:rsidRDefault="00DE390F" w:rsidP="00C83DB2">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centrinės valdžios pastatų renovacijai skirtos lėšos – 79,6 mln. eurų – b</w:t>
            </w:r>
            <w:r>
              <w:rPr>
                <w:rFonts w:ascii="Georgia" w:hAnsi="Georgia"/>
                <w:sz w:val="20"/>
                <w:szCs w:val="20"/>
              </w:rPr>
              <w:t xml:space="preserve">us skirtos garantijų </w:t>
            </w:r>
            <w:r w:rsidRPr="00BC2CB8">
              <w:rPr>
                <w:rFonts w:ascii="Georgia" w:hAnsi="Georgia"/>
                <w:sz w:val="20"/>
                <w:szCs w:val="20"/>
              </w:rPr>
              <w:t>finansin</w:t>
            </w:r>
            <w:r>
              <w:rPr>
                <w:rFonts w:ascii="Georgia" w:hAnsi="Georgia"/>
                <w:sz w:val="20"/>
                <w:szCs w:val="20"/>
              </w:rPr>
              <w:t>ei</w:t>
            </w:r>
            <w:r w:rsidRPr="00BC2CB8">
              <w:rPr>
                <w:rFonts w:ascii="Georgia" w:hAnsi="Georgia"/>
                <w:sz w:val="20"/>
                <w:szCs w:val="20"/>
              </w:rPr>
              <w:t xml:space="preserve"> priemon</w:t>
            </w:r>
            <w:r>
              <w:rPr>
                <w:rFonts w:ascii="Georgia" w:hAnsi="Georgia"/>
                <w:sz w:val="20"/>
                <w:szCs w:val="20"/>
              </w:rPr>
              <w:t>ei.</w:t>
            </w:r>
          </w:p>
        </w:tc>
      </w:tr>
      <w:tr w:rsidR="00280058" w:rsidRPr="00BC2CB8" w14:paraId="57609350"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94" w:type="pct"/>
            <w:tcBorders>
              <w:top w:val="single" w:sz="6" w:space="0" w:color="C0504D" w:themeColor="accent2"/>
              <w:right w:val="single" w:sz="6" w:space="0" w:color="C0504D" w:themeColor="accent2"/>
            </w:tcBorders>
          </w:tcPr>
          <w:p w14:paraId="1E44F195" w14:textId="77777777" w:rsidR="00280058" w:rsidRPr="00BC2CB8" w:rsidRDefault="00280058" w:rsidP="00C83DB2">
            <w:pPr>
              <w:rPr>
                <w:rFonts w:ascii="Georgia" w:hAnsi="Georgia"/>
                <w:sz w:val="20"/>
                <w:szCs w:val="20"/>
              </w:rPr>
            </w:pPr>
            <w:r w:rsidRPr="00BC2CB8">
              <w:rPr>
                <w:rFonts w:ascii="Georgia" w:hAnsi="Georgia"/>
                <w:sz w:val="20"/>
                <w:szCs w:val="20"/>
              </w:rPr>
              <w:lastRenderedPageBreak/>
              <w:t>Bankų palūkanų norma garantijų priemonės atveju: 7%</w:t>
            </w:r>
          </w:p>
        </w:tc>
        <w:tc>
          <w:tcPr>
            <w:tcW w:w="3606" w:type="pct"/>
            <w:tcBorders>
              <w:top w:val="single" w:sz="6" w:space="0" w:color="C0504D" w:themeColor="accent2"/>
              <w:left w:val="single" w:sz="6" w:space="0" w:color="C0504D" w:themeColor="accent2"/>
            </w:tcBorders>
          </w:tcPr>
          <w:p w14:paraId="55F4A191" w14:textId="77777777"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garantijų priemonės atveju, komercinių bankų fiksuota paskolų palūkanų norma (20-ies metų laikotarpiui) sudarys 7 proc. Ši palūkanų norma įvertinta remiantis šiais duomenimis:</w:t>
            </w:r>
          </w:p>
          <w:p w14:paraId="24E7199C" w14:textId="77777777"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1) Prognozuojamas suderintas vartotojų kainų indekso (SVKI) vidurkis Lietuvoje 2013-2017 (2,9%); </w:t>
            </w:r>
          </w:p>
          <w:p w14:paraId="50CE38A8" w14:textId="77777777"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 xml:space="preserve">2) vidutinės Lietuvos Respublikos Vyriausybės obligacijų emisijos (2536 dienų trukmės) palūkanos 2014 rugsėjo mėnesį (2,0%); </w:t>
            </w:r>
          </w:p>
          <w:p w14:paraId="12606DB6" w14:textId="77777777"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3) Galima komercinių bankų marža (2,1%).</w:t>
            </w:r>
          </w:p>
          <w:p w14:paraId="185D8914" w14:textId="77777777"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Pokalbių su bankais metu paminėta, jog vertinant įvairias rizikas, ilgalaikėms paskoloms (20 metų) preliminariai galėtų būti taikomos nuo 7 iki 10 proc. palūkanų normos.</w:t>
            </w:r>
          </w:p>
        </w:tc>
      </w:tr>
      <w:tr w:rsidR="00280058" w:rsidRPr="00BC2CB8" w14:paraId="211352CB" w14:textId="77777777" w:rsidTr="00BB18F6">
        <w:trPr>
          <w:cantSplit/>
        </w:trPr>
        <w:tc>
          <w:tcPr>
            <w:cnfStyle w:val="001000000000" w:firstRow="0" w:lastRow="0" w:firstColumn="1" w:lastColumn="0" w:oddVBand="0" w:evenVBand="0" w:oddHBand="0" w:evenHBand="0" w:firstRowFirstColumn="0" w:firstRowLastColumn="0" w:lastRowFirstColumn="0" w:lastRowLastColumn="0"/>
            <w:tcW w:w="1394" w:type="pct"/>
            <w:tcBorders>
              <w:top w:val="single" w:sz="6" w:space="0" w:color="C0504D" w:themeColor="accent2"/>
              <w:right w:val="single" w:sz="6" w:space="0" w:color="C0504D" w:themeColor="accent2"/>
            </w:tcBorders>
          </w:tcPr>
          <w:p w14:paraId="74391A9A" w14:textId="77777777" w:rsidR="00280058" w:rsidRPr="00BC2CB8" w:rsidRDefault="00280058" w:rsidP="00BB18F6">
            <w:pPr>
              <w:rPr>
                <w:rFonts w:ascii="Georgia" w:hAnsi="Georgia"/>
                <w:b w:val="0"/>
                <w:sz w:val="20"/>
                <w:szCs w:val="20"/>
              </w:rPr>
            </w:pPr>
            <w:r w:rsidRPr="00BC2CB8">
              <w:rPr>
                <w:rFonts w:ascii="Georgia" w:hAnsi="Georgia"/>
                <w:sz w:val="20"/>
              </w:rPr>
              <w:t>Valdymo mokestis: vadovaujantis Deleguoto reglamento nuostatomis</w:t>
            </w:r>
          </w:p>
        </w:tc>
        <w:tc>
          <w:tcPr>
            <w:tcW w:w="3606" w:type="pct"/>
            <w:tcBorders>
              <w:top w:val="single" w:sz="6" w:space="0" w:color="C0504D" w:themeColor="accent2"/>
              <w:left w:val="single" w:sz="6" w:space="0" w:color="C0504D" w:themeColor="accent2"/>
            </w:tcBorders>
          </w:tcPr>
          <w:p w14:paraId="4DBE8579" w14:textId="77777777"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rPr>
              <w:t>Vadovaujantis Deleguoto reglamento nuostatomis, valdymo mokestis susideda iš dviejų dalių: 0,5 proc. bazinis mokestis nuo finansinei priemonei skirtų ir įmokėtų lėšų, 1,5 proc. mokestis nuo garantijų, suteiktų galutiniams naudos gavėjams, sumos.</w:t>
            </w:r>
          </w:p>
        </w:tc>
      </w:tr>
      <w:tr w:rsidR="00280058" w:rsidRPr="00BC2CB8" w14:paraId="738A2BE1"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94" w:type="pct"/>
            <w:tcBorders>
              <w:top w:val="single" w:sz="6" w:space="0" w:color="C0504D" w:themeColor="accent2"/>
              <w:right w:val="single" w:sz="6" w:space="0" w:color="C0504D" w:themeColor="accent2"/>
            </w:tcBorders>
          </w:tcPr>
          <w:p w14:paraId="7D5BF56F" w14:textId="77777777" w:rsidR="00280058" w:rsidRPr="00BC2CB8" w:rsidRDefault="00280058" w:rsidP="00BB18F6">
            <w:pPr>
              <w:rPr>
                <w:rFonts w:ascii="Georgia" w:hAnsi="Georgia"/>
                <w:b w:val="0"/>
                <w:sz w:val="20"/>
                <w:szCs w:val="20"/>
              </w:rPr>
            </w:pPr>
            <w:r w:rsidRPr="00BC2CB8">
              <w:rPr>
                <w:rFonts w:ascii="Georgia" w:hAnsi="Georgia"/>
                <w:sz w:val="20"/>
                <w:szCs w:val="20"/>
              </w:rPr>
              <w:t xml:space="preserve">Projekto įgyvendinimo laikotarpis: 1 metai </w:t>
            </w:r>
          </w:p>
        </w:tc>
        <w:tc>
          <w:tcPr>
            <w:tcW w:w="3606" w:type="pct"/>
            <w:tcBorders>
              <w:top w:val="single" w:sz="6" w:space="0" w:color="C0504D" w:themeColor="accent2"/>
              <w:left w:val="single" w:sz="6" w:space="0" w:color="C0504D" w:themeColor="accent2"/>
            </w:tcBorders>
          </w:tcPr>
          <w:p w14:paraId="4BE38C4C" w14:textId="77777777" w:rsidR="00280058" w:rsidRPr="00BC2CB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C2CB8">
              <w:rPr>
                <w:rFonts w:ascii="Georgia" w:hAnsi="Georgia"/>
                <w:sz w:val="20"/>
                <w:szCs w:val="20"/>
              </w:rPr>
              <w:t>Daroma prielaida, jog tipinio viešojo pastato renovacijos laikas yra 1 metai nuo paskolos sutarties pasirašymo momento.</w:t>
            </w:r>
          </w:p>
        </w:tc>
      </w:tr>
      <w:tr w:rsidR="00280058" w:rsidRPr="00BC2CB8" w14:paraId="04DFA4BB" w14:textId="77777777" w:rsidTr="00BB18F6">
        <w:trPr>
          <w:cantSplit/>
        </w:trPr>
        <w:tc>
          <w:tcPr>
            <w:cnfStyle w:val="001000000000" w:firstRow="0" w:lastRow="0" w:firstColumn="1" w:lastColumn="0" w:oddVBand="0" w:evenVBand="0" w:oddHBand="0" w:evenHBand="0" w:firstRowFirstColumn="0" w:firstRowLastColumn="0" w:lastRowFirstColumn="0" w:lastRowLastColumn="0"/>
            <w:tcW w:w="1394" w:type="pct"/>
            <w:tcBorders>
              <w:top w:val="single" w:sz="6" w:space="0" w:color="C0504D" w:themeColor="accent2"/>
              <w:right w:val="single" w:sz="6" w:space="0" w:color="C0504D" w:themeColor="accent2"/>
            </w:tcBorders>
          </w:tcPr>
          <w:p w14:paraId="16C242A3" w14:textId="77777777" w:rsidR="00280058" w:rsidRPr="00BC2CB8" w:rsidRDefault="00280058" w:rsidP="00BB18F6">
            <w:pPr>
              <w:rPr>
                <w:rFonts w:ascii="Georgia" w:hAnsi="Georgia"/>
                <w:b w:val="0"/>
                <w:sz w:val="20"/>
                <w:szCs w:val="20"/>
              </w:rPr>
            </w:pPr>
            <w:r w:rsidRPr="00BC2CB8">
              <w:rPr>
                <w:rFonts w:ascii="Georgia" w:hAnsi="Georgia"/>
                <w:sz w:val="20"/>
              </w:rPr>
              <w:t>Sugrįžusios lėšos pakartotinai panaudojamos: po 2 metų</w:t>
            </w:r>
          </w:p>
        </w:tc>
        <w:tc>
          <w:tcPr>
            <w:tcW w:w="3606" w:type="pct"/>
            <w:tcBorders>
              <w:top w:val="single" w:sz="6" w:space="0" w:color="C0504D" w:themeColor="accent2"/>
              <w:left w:val="single" w:sz="6" w:space="0" w:color="C0504D" w:themeColor="accent2"/>
            </w:tcBorders>
          </w:tcPr>
          <w:p w14:paraId="35833045" w14:textId="77777777" w:rsidR="00280058" w:rsidRPr="00BC2CB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rPr>
              <w:t>Daroma prielaida, jog grįžtančios lėšos pakartotinai panaudojamos projektų finansavimui tomis pačiomis sąlygomis po 2 metų.</w:t>
            </w:r>
          </w:p>
        </w:tc>
      </w:tr>
    </w:tbl>
    <w:p w14:paraId="12BF4F5C" w14:textId="77777777" w:rsidR="00280058" w:rsidRPr="00BC2CB8" w:rsidRDefault="00280058" w:rsidP="00280058">
      <w:pPr>
        <w:ind w:left="360"/>
        <w:rPr>
          <w:rFonts w:ascii="Georgia" w:hAnsi="Georgia"/>
          <w:sz w:val="20"/>
          <w:szCs w:val="20"/>
          <w:lang w:val="lt-LT"/>
        </w:rPr>
      </w:pPr>
    </w:p>
    <w:p w14:paraId="50544374" w14:textId="4ABD4E1D" w:rsidR="00280058" w:rsidRPr="00BC2CB8" w:rsidRDefault="00280058" w:rsidP="00280058">
      <w:pPr>
        <w:pStyle w:val="Antrat"/>
        <w:jc w:val="both"/>
        <w:rPr>
          <w:szCs w:val="20"/>
          <w:lang w:val="lt-LT"/>
        </w:rPr>
      </w:pPr>
      <w:bookmarkStart w:id="226" w:name="_Toc460321698"/>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117</w:t>
      </w:r>
      <w:r w:rsidRPr="00BC2CB8">
        <w:rPr>
          <w:lang w:val="lt-LT"/>
        </w:rPr>
        <w:fldChar w:fldCharType="end"/>
      </w:r>
      <w:r w:rsidRPr="00BC2CB8">
        <w:rPr>
          <w:lang w:val="lt-LT"/>
        </w:rPr>
        <w:t>. Scenarijaus Nr. 7 įgyvendinimo prognozė</w:t>
      </w:r>
      <w:bookmarkEnd w:id="226"/>
    </w:p>
    <w:p w14:paraId="4BAC9A79" w14:textId="188F6934" w:rsidR="00280058" w:rsidRPr="00BC2CB8" w:rsidRDefault="006E0CD7" w:rsidP="00280058">
      <w:pPr>
        <w:rPr>
          <w:lang w:val="lt-LT"/>
        </w:rPr>
      </w:pPr>
      <w:r>
        <w:rPr>
          <w:noProof/>
          <w:lang w:val="lt-LT" w:eastAsia="lt-LT"/>
        </w:rPr>
        <w:drawing>
          <wp:inline distT="0" distB="0" distL="0" distR="0" wp14:anchorId="052EF3C2" wp14:editId="754A1B56">
            <wp:extent cx="5738544" cy="2615979"/>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10964" t="33946" r="18115" b="6573"/>
                    <a:stretch/>
                  </pic:blipFill>
                  <pic:spPr bwMode="auto">
                    <a:xfrm>
                      <a:off x="0" y="0"/>
                      <a:ext cx="5752092" cy="2622155"/>
                    </a:xfrm>
                    <a:prstGeom prst="rect">
                      <a:avLst/>
                    </a:prstGeom>
                    <a:ln>
                      <a:noFill/>
                    </a:ln>
                    <a:extLst>
                      <a:ext uri="{53640926-AAD7-44D8-BBD7-CCE9431645EC}">
                        <a14:shadowObscured xmlns:a14="http://schemas.microsoft.com/office/drawing/2010/main"/>
                      </a:ext>
                    </a:extLst>
                  </pic:spPr>
                </pic:pic>
              </a:graphicData>
            </a:graphic>
          </wp:inline>
        </w:drawing>
      </w:r>
    </w:p>
    <w:p w14:paraId="37AEEBEC" w14:textId="3FE48345" w:rsidR="00280058" w:rsidRPr="00BC2CB8" w:rsidRDefault="00280058" w:rsidP="00280058">
      <w:pPr>
        <w:pStyle w:val="Antrat"/>
        <w:rPr>
          <w:szCs w:val="20"/>
          <w:lang w:val="lt-LT"/>
        </w:rPr>
      </w:pPr>
      <w:r w:rsidRPr="00BC2CB8" w:rsidDel="00DC6143">
        <w:rPr>
          <w:noProof/>
          <w:szCs w:val="20"/>
          <w:lang w:val="lt-LT" w:eastAsia="lt-LT"/>
        </w:rPr>
        <w:t xml:space="preserve"> </w:t>
      </w:r>
      <w:bookmarkStart w:id="227" w:name="_Toc460321699"/>
      <w:r w:rsidRPr="00BC2CB8">
        <w:rPr>
          <w:lang w:val="lt-LT"/>
        </w:rPr>
        <w:t xml:space="preserve">Lentelė </w:t>
      </w:r>
      <w:r w:rsidRPr="00BC2CB8">
        <w:rPr>
          <w:lang w:val="lt-LT"/>
        </w:rPr>
        <w:fldChar w:fldCharType="begin"/>
      </w:r>
      <w:r w:rsidRPr="00BC2CB8">
        <w:rPr>
          <w:lang w:val="lt-LT"/>
        </w:rPr>
        <w:instrText xml:space="preserve"> SEQ Lentelė \* ARABIC </w:instrText>
      </w:r>
      <w:r w:rsidRPr="00BC2CB8">
        <w:rPr>
          <w:lang w:val="lt-LT"/>
        </w:rPr>
        <w:fldChar w:fldCharType="separate"/>
      </w:r>
      <w:r w:rsidR="00AA3082">
        <w:rPr>
          <w:noProof/>
          <w:lang w:val="lt-LT"/>
        </w:rPr>
        <w:t>118</w:t>
      </w:r>
      <w:r w:rsidRPr="00BC2CB8">
        <w:rPr>
          <w:lang w:val="lt-LT"/>
        </w:rPr>
        <w:fldChar w:fldCharType="end"/>
      </w:r>
      <w:r w:rsidRPr="00BC2CB8">
        <w:rPr>
          <w:lang w:val="lt-LT"/>
        </w:rPr>
        <w:t xml:space="preserve">. </w:t>
      </w:r>
      <w:r w:rsidRPr="00BC2CB8">
        <w:rPr>
          <w:szCs w:val="20"/>
          <w:lang w:val="lt-LT"/>
        </w:rPr>
        <w:t>Scenarijaus Nr. 7 rezultatai</w:t>
      </w:r>
      <w:bookmarkEnd w:id="227"/>
    </w:p>
    <w:tbl>
      <w:tblPr>
        <w:tblStyle w:val="viesussraas2parykinimas"/>
        <w:tblW w:w="5000" w:type="pct"/>
        <w:tblLook w:val="04A0" w:firstRow="1" w:lastRow="0" w:firstColumn="1" w:lastColumn="0" w:noHBand="0" w:noVBand="1"/>
      </w:tblPr>
      <w:tblGrid>
        <w:gridCol w:w="6651"/>
        <w:gridCol w:w="2591"/>
      </w:tblGrid>
      <w:tr w:rsidR="00280058" w:rsidRPr="00BC2CB8" w14:paraId="530F6B84" w14:textId="77777777" w:rsidTr="002302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4C9DA004" w14:textId="77777777" w:rsidR="00280058" w:rsidRPr="00BC2CB8" w:rsidRDefault="00280058" w:rsidP="00BB18F6">
            <w:pPr>
              <w:jc w:val="center"/>
              <w:rPr>
                <w:rFonts w:ascii="Georgia" w:hAnsi="Georgia"/>
                <w:sz w:val="20"/>
                <w:szCs w:val="20"/>
              </w:rPr>
            </w:pPr>
            <w:r w:rsidRPr="00BC2CB8">
              <w:rPr>
                <w:rFonts w:ascii="Georgia" w:hAnsi="Georgia"/>
                <w:sz w:val="20"/>
                <w:szCs w:val="20"/>
              </w:rPr>
              <w:t>Fondas</w:t>
            </w:r>
          </w:p>
        </w:tc>
        <w:tc>
          <w:tcPr>
            <w:tcW w:w="1402" w:type="pct"/>
          </w:tcPr>
          <w:p w14:paraId="561086C7" w14:textId="77777777" w:rsidR="00280058" w:rsidRPr="00BC2CB8" w:rsidRDefault="00280058" w:rsidP="00BB18F6">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BC2CB8">
              <w:rPr>
                <w:rFonts w:ascii="Georgia" w:hAnsi="Georgia"/>
                <w:sz w:val="20"/>
                <w:szCs w:val="20"/>
              </w:rPr>
              <w:t>mln. eurų</w:t>
            </w:r>
          </w:p>
        </w:tc>
      </w:tr>
      <w:tr w:rsidR="00280058" w:rsidRPr="00BC2CB8" w14:paraId="53133D4E" w14:textId="77777777" w:rsidTr="00230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119C7E06" w14:textId="77777777" w:rsidR="00280058" w:rsidRPr="00BC2CB8" w:rsidRDefault="00280058" w:rsidP="00BB18F6">
            <w:pPr>
              <w:rPr>
                <w:rFonts w:ascii="Georgia" w:hAnsi="Georgia"/>
                <w:sz w:val="20"/>
                <w:szCs w:val="20"/>
              </w:rPr>
            </w:pPr>
            <w:r w:rsidRPr="00BC2CB8">
              <w:rPr>
                <w:rFonts w:ascii="Georgia" w:hAnsi="Georgia"/>
                <w:sz w:val="20"/>
                <w:szCs w:val="20"/>
              </w:rPr>
              <w:t>Galutinius naudos gavėjus pasiekusios lėšos</w:t>
            </w:r>
          </w:p>
        </w:tc>
        <w:tc>
          <w:tcPr>
            <w:tcW w:w="1402" w:type="pct"/>
          </w:tcPr>
          <w:p w14:paraId="3B9B6234" w14:textId="5877328C" w:rsidR="00280058" w:rsidRPr="00BC2CB8" w:rsidRDefault="006E0CD7"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114,0</w:t>
            </w:r>
          </w:p>
        </w:tc>
      </w:tr>
      <w:tr w:rsidR="00280058" w:rsidRPr="00BC2CB8" w14:paraId="6448D5A5" w14:textId="77777777" w:rsidTr="00230209">
        <w:tc>
          <w:tcPr>
            <w:cnfStyle w:val="001000000000" w:firstRow="0" w:lastRow="0" w:firstColumn="1" w:lastColumn="0" w:oddVBand="0" w:evenVBand="0" w:oddHBand="0" w:evenHBand="0" w:firstRowFirstColumn="0" w:firstRowLastColumn="0" w:lastRowFirstColumn="0" w:lastRowLastColumn="0"/>
            <w:tcW w:w="3598" w:type="pct"/>
          </w:tcPr>
          <w:p w14:paraId="7037C65A" w14:textId="77777777" w:rsidR="00280058" w:rsidRPr="00BC2CB8" w:rsidRDefault="00280058" w:rsidP="00BB18F6">
            <w:pPr>
              <w:rPr>
                <w:rFonts w:ascii="Georgia" w:hAnsi="Georgia"/>
                <w:sz w:val="20"/>
                <w:szCs w:val="20"/>
              </w:rPr>
            </w:pPr>
            <w:r w:rsidRPr="00BC2CB8">
              <w:rPr>
                <w:rFonts w:ascii="Georgia" w:hAnsi="Georgia"/>
                <w:sz w:val="20"/>
                <w:szCs w:val="20"/>
              </w:rPr>
              <w:t>Iki 2022 m. renovuotų pastatų skaičius</w:t>
            </w:r>
          </w:p>
        </w:tc>
        <w:tc>
          <w:tcPr>
            <w:tcW w:w="1402" w:type="pct"/>
          </w:tcPr>
          <w:p w14:paraId="26C164E8" w14:textId="6FDB1147" w:rsidR="00280058" w:rsidRPr="00BC2CB8" w:rsidRDefault="006E0CD7" w:rsidP="00BB18F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500</w:t>
            </w:r>
          </w:p>
        </w:tc>
      </w:tr>
      <w:tr w:rsidR="00280058" w:rsidRPr="00BC2CB8" w14:paraId="67082127" w14:textId="77777777" w:rsidTr="00230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pct"/>
          </w:tcPr>
          <w:p w14:paraId="59391214" w14:textId="77777777" w:rsidR="00280058" w:rsidRPr="00BC2CB8" w:rsidRDefault="00280058" w:rsidP="00BB18F6">
            <w:pPr>
              <w:rPr>
                <w:rFonts w:ascii="Georgia" w:hAnsi="Georgia"/>
                <w:sz w:val="20"/>
                <w:szCs w:val="20"/>
              </w:rPr>
            </w:pPr>
            <w:r w:rsidRPr="00BC2CB8">
              <w:rPr>
                <w:rFonts w:ascii="Georgia" w:hAnsi="Georgia"/>
                <w:sz w:val="20"/>
                <w:szCs w:val="20"/>
              </w:rPr>
              <w:t>Iki 2022 m. renovuotų pastatų plotas, tūkst. kv. m.</w:t>
            </w:r>
          </w:p>
        </w:tc>
        <w:tc>
          <w:tcPr>
            <w:tcW w:w="1402" w:type="pct"/>
          </w:tcPr>
          <w:p w14:paraId="7D775BC2" w14:textId="4232CAA0" w:rsidR="00280058" w:rsidRPr="00BC2CB8" w:rsidDel="00CE3FDD" w:rsidRDefault="006E0CD7"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563.5</w:t>
            </w:r>
          </w:p>
        </w:tc>
      </w:tr>
      <w:tr w:rsidR="00280058" w:rsidRPr="00BC2CB8" w14:paraId="06F9A295" w14:textId="77777777" w:rsidTr="00230209">
        <w:tc>
          <w:tcPr>
            <w:cnfStyle w:val="001000000000" w:firstRow="0" w:lastRow="0" w:firstColumn="1" w:lastColumn="0" w:oddVBand="0" w:evenVBand="0" w:oddHBand="0" w:evenHBand="0" w:firstRowFirstColumn="0" w:firstRowLastColumn="0" w:lastRowFirstColumn="0" w:lastRowLastColumn="0"/>
            <w:tcW w:w="3598" w:type="pct"/>
          </w:tcPr>
          <w:p w14:paraId="3DECC2CA" w14:textId="77777777" w:rsidR="00280058" w:rsidRPr="00BC2CB8" w:rsidRDefault="00280058" w:rsidP="00BB18F6">
            <w:pPr>
              <w:rPr>
                <w:rFonts w:ascii="Georgia" w:hAnsi="Georgia"/>
                <w:sz w:val="20"/>
                <w:szCs w:val="20"/>
              </w:rPr>
            </w:pPr>
            <w:r w:rsidRPr="00BC2CB8">
              <w:rPr>
                <w:rFonts w:ascii="Georgia" w:hAnsi="Georgia"/>
                <w:sz w:val="20"/>
                <w:szCs w:val="20"/>
              </w:rPr>
              <w:t>Iki 2020 m. renovuotų pastatų plotas, tūkst. kv. m.</w:t>
            </w:r>
          </w:p>
        </w:tc>
        <w:tc>
          <w:tcPr>
            <w:tcW w:w="1402" w:type="pct"/>
          </w:tcPr>
          <w:p w14:paraId="3EF98F42" w14:textId="31944374" w:rsidR="00280058" w:rsidRPr="00BC2CB8" w:rsidRDefault="006E0CD7" w:rsidP="00BB18F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293,0</w:t>
            </w:r>
          </w:p>
        </w:tc>
      </w:tr>
    </w:tbl>
    <w:p w14:paraId="31DEEC2C" w14:textId="77777777" w:rsidR="00280058" w:rsidRPr="00BC2CB8" w:rsidRDefault="00280058" w:rsidP="00280058">
      <w:pPr>
        <w:rPr>
          <w:rFonts w:ascii="Georgia" w:hAnsi="Georgia"/>
          <w:sz w:val="20"/>
          <w:szCs w:val="20"/>
          <w:lang w:val="lt-LT"/>
        </w:rPr>
      </w:pPr>
    </w:p>
    <w:p w14:paraId="501716BF" w14:textId="77777777" w:rsidR="00280058" w:rsidRPr="00AC3318" w:rsidRDefault="00280058" w:rsidP="00280058">
      <w:pPr>
        <w:rPr>
          <w:rFonts w:ascii="Georgia" w:hAnsi="Georgia"/>
          <w:sz w:val="20"/>
          <w:szCs w:val="20"/>
          <w:lang w:val="lt-LT"/>
        </w:rPr>
      </w:pPr>
    </w:p>
    <w:p w14:paraId="20D07129" w14:textId="77777777" w:rsidR="00280058" w:rsidRPr="00AC3318" w:rsidRDefault="00280058" w:rsidP="00280058">
      <w:pPr>
        <w:rPr>
          <w:rFonts w:ascii="Georgia" w:hAnsi="Georgia"/>
          <w:sz w:val="20"/>
          <w:szCs w:val="20"/>
          <w:lang w:val="lt-LT"/>
        </w:rPr>
      </w:pPr>
    </w:p>
    <w:p w14:paraId="7791E837" w14:textId="77777777" w:rsidR="00280058" w:rsidRPr="00AC3318" w:rsidRDefault="00280058" w:rsidP="00280058">
      <w:pPr>
        <w:rPr>
          <w:rFonts w:ascii="Georgia" w:hAnsi="Georgia"/>
          <w:sz w:val="20"/>
          <w:szCs w:val="20"/>
          <w:lang w:val="lt-LT"/>
        </w:rPr>
      </w:pPr>
      <w:r w:rsidRPr="00AC3318">
        <w:rPr>
          <w:rFonts w:ascii="Georgia" w:hAnsi="Georgia"/>
          <w:sz w:val="20"/>
          <w:szCs w:val="20"/>
          <w:lang w:val="lt-LT"/>
        </w:rPr>
        <w:br w:type="page"/>
      </w:r>
    </w:p>
    <w:p w14:paraId="33867A45" w14:textId="77777777" w:rsidR="00280058" w:rsidRPr="00BF6CDF" w:rsidRDefault="002C12CB" w:rsidP="00C03122">
      <w:pPr>
        <w:pStyle w:val="Antrat2"/>
        <w:numPr>
          <w:ilvl w:val="3"/>
          <w:numId w:val="2"/>
        </w:numPr>
        <w:rPr>
          <w:lang w:val="lt-LT"/>
        </w:rPr>
      </w:pPr>
      <w:bookmarkStart w:id="228" w:name="_Toc399924056"/>
      <w:bookmarkStart w:id="229" w:name="_Toc402352630"/>
      <w:bookmarkStart w:id="230" w:name="_Toc417378392"/>
      <w:r w:rsidRPr="00BF6CDF">
        <w:rPr>
          <w:lang w:val="lt-LT"/>
        </w:rPr>
        <w:lastRenderedPageBreak/>
        <w:t>Gatvių apšvietimas</w:t>
      </w:r>
      <w:bookmarkEnd w:id="228"/>
      <w:bookmarkEnd w:id="229"/>
      <w:bookmarkEnd w:id="230"/>
    </w:p>
    <w:p w14:paraId="490D7F4F" w14:textId="77777777" w:rsidR="00280058" w:rsidRDefault="00280058" w:rsidP="00280058">
      <w:pPr>
        <w:jc w:val="both"/>
        <w:rPr>
          <w:rFonts w:ascii="Georgia" w:hAnsi="Georgia"/>
          <w:sz w:val="20"/>
          <w:szCs w:val="20"/>
          <w:lang w:val="lt-LT"/>
        </w:rPr>
      </w:pPr>
    </w:p>
    <w:p w14:paraId="25D9D62A" w14:textId="77777777" w:rsidR="00280058" w:rsidRDefault="00280058" w:rsidP="00280058">
      <w:pPr>
        <w:jc w:val="both"/>
        <w:rPr>
          <w:rFonts w:ascii="Georgia" w:hAnsi="Georgia"/>
          <w:sz w:val="20"/>
          <w:szCs w:val="20"/>
          <w:lang w:val="lt-LT"/>
        </w:rPr>
      </w:pPr>
      <w:r w:rsidRPr="00AC3318">
        <w:rPr>
          <w:rFonts w:ascii="Georgia" w:hAnsi="Georgia"/>
          <w:sz w:val="20"/>
          <w:szCs w:val="20"/>
          <w:lang w:val="lt-LT"/>
        </w:rPr>
        <w:t>Gatvių apšvietimo modernizavimo pro</w:t>
      </w:r>
      <w:r>
        <w:rPr>
          <w:rFonts w:ascii="Georgia" w:hAnsi="Georgia"/>
          <w:sz w:val="20"/>
          <w:szCs w:val="20"/>
          <w:lang w:val="lt-LT"/>
        </w:rPr>
        <w:t>je</w:t>
      </w:r>
      <w:r w:rsidRPr="00AC3318">
        <w:rPr>
          <w:rFonts w:ascii="Georgia" w:hAnsi="Georgia"/>
          <w:sz w:val="20"/>
          <w:szCs w:val="20"/>
          <w:lang w:val="lt-LT"/>
        </w:rPr>
        <w:t xml:space="preserve">ktai yra vieni iš finansiškai gyvybingiausių, todėl nebuvo vertinamas </w:t>
      </w:r>
      <w:r>
        <w:rPr>
          <w:rFonts w:ascii="Georgia" w:hAnsi="Georgia"/>
          <w:sz w:val="20"/>
          <w:szCs w:val="20"/>
          <w:lang w:val="lt-LT"/>
        </w:rPr>
        <w:t>šių</w:t>
      </w:r>
      <w:r w:rsidRPr="00AC3318">
        <w:rPr>
          <w:rFonts w:ascii="Georgia" w:hAnsi="Georgia"/>
          <w:sz w:val="20"/>
          <w:szCs w:val="20"/>
          <w:lang w:val="lt-LT"/>
        </w:rPr>
        <w:t xml:space="preserve"> projektų subsidijos poreikis. Tačiau nustačius jog šios rinkos pasiūla nepakankama analizuojam</w:t>
      </w:r>
      <w:r>
        <w:rPr>
          <w:rFonts w:ascii="Georgia" w:hAnsi="Georgia"/>
          <w:sz w:val="20"/>
          <w:szCs w:val="20"/>
          <w:lang w:val="lt-LT"/>
        </w:rPr>
        <w:t>i galimi</w:t>
      </w:r>
      <w:r w:rsidRPr="00AC3318">
        <w:rPr>
          <w:rFonts w:ascii="Georgia" w:hAnsi="Georgia"/>
          <w:sz w:val="20"/>
          <w:szCs w:val="20"/>
          <w:lang w:val="lt-LT"/>
        </w:rPr>
        <w:t xml:space="preserve"> finansinės priemonės scenarijai.</w:t>
      </w:r>
    </w:p>
    <w:p w14:paraId="30F9C248" w14:textId="77777777" w:rsidR="00280058" w:rsidRDefault="00280058" w:rsidP="00280058">
      <w:pPr>
        <w:jc w:val="both"/>
        <w:rPr>
          <w:rFonts w:ascii="Georgia" w:hAnsi="Georgia"/>
          <w:sz w:val="20"/>
          <w:lang w:val="lt-LT"/>
        </w:rPr>
      </w:pPr>
      <w:r>
        <w:rPr>
          <w:rFonts w:ascii="Georgia" w:hAnsi="Georgia"/>
          <w:sz w:val="20"/>
          <w:lang w:val="lt-LT"/>
        </w:rPr>
        <w:t>Šiame ex ante vertinime bus nagrinėjami šie gatvių apšvietimo modernizavimo finansinės priemonės veiklos scenarijai:</w:t>
      </w:r>
    </w:p>
    <w:p w14:paraId="789F0065" w14:textId="77777777" w:rsidR="00280058" w:rsidRDefault="00280058" w:rsidP="00C03122">
      <w:pPr>
        <w:pStyle w:val="Sraopastraipa"/>
        <w:numPr>
          <w:ilvl w:val="0"/>
          <w:numId w:val="34"/>
        </w:numPr>
        <w:jc w:val="both"/>
        <w:rPr>
          <w:rFonts w:ascii="Georgia" w:hAnsi="Georgia"/>
          <w:i/>
          <w:sz w:val="20"/>
          <w:szCs w:val="20"/>
          <w:lang w:val="lt-LT"/>
        </w:rPr>
      </w:pPr>
      <w:r w:rsidRPr="00AD3749">
        <w:rPr>
          <w:rFonts w:ascii="Georgia" w:hAnsi="Georgia"/>
          <w:i/>
          <w:sz w:val="20"/>
          <w:szCs w:val="20"/>
          <w:lang w:val="lt-LT"/>
        </w:rPr>
        <w:t xml:space="preserve">Scenarijus Nr. 1: Lengvatinių paskolų teikimas </w:t>
      </w:r>
    </w:p>
    <w:p w14:paraId="06DF2465" w14:textId="77777777" w:rsidR="00280058" w:rsidRPr="00AD3749" w:rsidRDefault="00280058" w:rsidP="00C03122">
      <w:pPr>
        <w:pStyle w:val="Sraopastraipa"/>
        <w:numPr>
          <w:ilvl w:val="0"/>
          <w:numId w:val="34"/>
        </w:numPr>
        <w:jc w:val="both"/>
        <w:rPr>
          <w:rFonts w:ascii="Georgia" w:hAnsi="Georgia"/>
          <w:i/>
          <w:sz w:val="20"/>
          <w:szCs w:val="20"/>
          <w:lang w:val="lt-LT"/>
        </w:rPr>
      </w:pPr>
      <w:r w:rsidRPr="00AD3749">
        <w:rPr>
          <w:rFonts w:ascii="Georgia" w:hAnsi="Georgia"/>
          <w:i/>
          <w:sz w:val="20"/>
          <w:szCs w:val="20"/>
          <w:lang w:val="lt-LT"/>
        </w:rPr>
        <w:t xml:space="preserve">Scenarijus Nr. 2: </w:t>
      </w:r>
      <w:r w:rsidRPr="001624AE">
        <w:rPr>
          <w:rFonts w:ascii="Georgia" w:hAnsi="Georgia"/>
          <w:i/>
          <w:sz w:val="20"/>
          <w:szCs w:val="20"/>
          <w:lang w:val="lt-LT"/>
        </w:rPr>
        <w:t>Lengvatinių paskolų teikimas su galimybę išpirkti ateities finansinius srautus</w:t>
      </w:r>
    </w:p>
    <w:p w14:paraId="3983FA5A" w14:textId="77777777" w:rsidR="00280058" w:rsidRDefault="00280058" w:rsidP="00C03122">
      <w:pPr>
        <w:pStyle w:val="Sraopastraipa"/>
        <w:numPr>
          <w:ilvl w:val="0"/>
          <w:numId w:val="34"/>
        </w:numPr>
        <w:jc w:val="both"/>
        <w:rPr>
          <w:rFonts w:ascii="Georgia" w:hAnsi="Georgia"/>
          <w:i/>
          <w:sz w:val="20"/>
          <w:szCs w:val="20"/>
          <w:lang w:val="lt-LT"/>
        </w:rPr>
      </w:pPr>
      <w:r w:rsidRPr="00AD3749">
        <w:rPr>
          <w:rFonts w:ascii="Georgia" w:hAnsi="Georgia"/>
          <w:i/>
          <w:sz w:val="20"/>
          <w:szCs w:val="20"/>
          <w:lang w:val="lt-LT"/>
        </w:rPr>
        <w:t xml:space="preserve">Scenarijus Nr. 3: </w:t>
      </w:r>
      <w:r w:rsidRPr="001624AE">
        <w:rPr>
          <w:rFonts w:ascii="Georgia" w:hAnsi="Georgia"/>
          <w:i/>
          <w:sz w:val="20"/>
          <w:szCs w:val="20"/>
          <w:lang w:val="lt-LT"/>
        </w:rPr>
        <w:t>Dalis finansinės priemonės lėšų nukreipiama į paskolų modelį ir dalis į garantijų priemonę</w:t>
      </w:r>
    </w:p>
    <w:p w14:paraId="1728295D" w14:textId="77777777" w:rsidR="00280058" w:rsidRDefault="00280058" w:rsidP="00C03122">
      <w:pPr>
        <w:pStyle w:val="Sraopastraipa"/>
        <w:numPr>
          <w:ilvl w:val="0"/>
          <w:numId w:val="34"/>
        </w:numPr>
        <w:jc w:val="both"/>
        <w:rPr>
          <w:rFonts w:ascii="Georgia" w:hAnsi="Georgia"/>
          <w:i/>
          <w:sz w:val="20"/>
          <w:szCs w:val="20"/>
          <w:lang w:val="lt-LT"/>
        </w:rPr>
      </w:pPr>
      <w:r w:rsidRPr="00AD3749">
        <w:rPr>
          <w:rFonts w:ascii="Georgia" w:hAnsi="Georgia"/>
          <w:i/>
          <w:sz w:val="20"/>
          <w:szCs w:val="20"/>
          <w:lang w:val="lt-LT"/>
        </w:rPr>
        <w:t xml:space="preserve">Scenarijus Nr. 4: </w:t>
      </w:r>
      <w:r w:rsidRPr="007E6337">
        <w:rPr>
          <w:rFonts w:ascii="Georgia" w:hAnsi="Georgia"/>
          <w:i/>
          <w:sz w:val="20"/>
          <w:szCs w:val="20"/>
          <w:lang w:val="lt-LT"/>
        </w:rPr>
        <w:t>Dalis finansinės priemonės lėšų nukreipiama į paskolų modelį ir dalis į garantijų priemonę su galimybę išpirkti ateities finansinius srautus</w:t>
      </w:r>
    </w:p>
    <w:p w14:paraId="7AC78004" w14:textId="77777777" w:rsidR="00280058" w:rsidRDefault="00280058" w:rsidP="00C03122">
      <w:pPr>
        <w:pStyle w:val="Sraopastraipa"/>
        <w:numPr>
          <w:ilvl w:val="0"/>
          <w:numId w:val="34"/>
        </w:numPr>
        <w:jc w:val="both"/>
        <w:rPr>
          <w:rFonts w:ascii="Georgia" w:hAnsi="Georgia"/>
          <w:i/>
          <w:sz w:val="20"/>
          <w:szCs w:val="20"/>
          <w:lang w:val="lt-LT"/>
        </w:rPr>
      </w:pPr>
      <w:r w:rsidRPr="001C5DEC">
        <w:rPr>
          <w:rFonts w:ascii="Georgia" w:hAnsi="Georgia"/>
          <w:i/>
          <w:sz w:val="20"/>
          <w:szCs w:val="20"/>
          <w:lang w:val="lt-LT"/>
        </w:rPr>
        <w:t xml:space="preserve">Scenarijus Nr. 5: </w:t>
      </w:r>
      <w:r>
        <w:rPr>
          <w:rFonts w:ascii="Georgia" w:hAnsi="Georgia"/>
          <w:i/>
          <w:sz w:val="20"/>
          <w:szCs w:val="20"/>
          <w:lang w:val="lt-LT"/>
        </w:rPr>
        <w:t>Finansinės priemonės lėšos</w:t>
      </w:r>
      <w:r w:rsidRPr="007E6337">
        <w:rPr>
          <w:rFonts w:ascii="Georgia" w:hAnsi="Georgia"/>
          <w:i/>
          <w:sz w:val="20"/>
          <w:szCs w:val="20"/>
          <w:lang w:val="lt-LT"/>
        </w:rPr>
        <w:t xml:space="preserve"> nukreipiam</w:t>
      </w:r>
      <w:r>
        <w:rPr>
          <w:rFonts w:ascii="Georgia" w:hAnsi="Georgia"/>
          <w:i/>
          <w:sz w:val="20"/>
          <w:szCs w:val="20"/>
          <w:lang w:val="lt-LT"/>
        </w:rPr>
        <w:t>os</w:t>
      </w:r>
      <w:r w:rsidRPr="007E6337">
        <w:rPr>
          <w:rFonts w:ascii="Georgia" w:hAnsi="Georgia"/>
          <w:i/>
          <w:sz w:val="20"/>
          <w:szCs w:val="20"/>
          <w:lang w:val="lt-LT"/>
        </w:rPr>
        <w:t xml:space="preserve"> į garantijų priemonę</w:t>
      </w:r>
    </w:p>
    <w:p w14:paraId="5287123D" w14:textId="77777777" w:rsidR="00280058" w:rsidRDefault="00280058" w:rsidP="00C03122">
      <w:pPr>
        <w:pStyle w:val="Sraopastraipa"/>
        <w:numPr>
          <w:ilvl w:val="0"/>
          <w:numId w:val="34"/>
        </w:numPr>
        <w:jc w:val="both"/>
        <w:rPr>
          <w:rFonts w:ascii="Georgia" w:hAnsi="Georgia"/>
          <w:i/>
          <w:sz w:val="20"/>
          <w:szCs w:val="20"/>
          <w:lang w:val="lt-LT"/>
        </w:rPr>
      </w:pPr>
      <w:r>
        <w:rPr>
          <w:rFonts w:ascii="Georgia" w:hAnsi="Georgia"/>
          <w:i/>
          <w:sz w:val="20"/>
          <w:szCs w:val="20"/>
          <w:lang w:val="lt-LT"/>
        </w:rPr>
        <w:t>Scenarijus Nr. 6</w:t>
      </w:r>
      <w:r w:rsidRPr="00AD3749">
        <w:rPr>
          <w:rFonts w:ascii="Georgia" w:hAnsi="Georgia"/>
          <w:i/>
          <w:sz w:val="20"/>
          <w:szCs w:val="20"/>
          <w:lang w:val="lt-LT"/>
        </w:rPr>
        <w:t>:</w:t>
      </w:r>
      <w:r w:rsidRPr="008F2E5A">
        <w:rPr>
          <w:rFonts w:ascii="Georgia" w:hAnsi="Georgia"/>
          <w:i/>
          <w:sz w:val="20"/>
          <w:szCs w:val="20"/>
          <w:lang w:val="lt-LT"/>
        </w:rPr>
        <w:t xml:space="preserve"> </w:t>
      </w:r>
      <w:r>
        <w:rPr>
          <w:rFonts w:ascii="Georgia" w:hAnsi="Georgia"/>
          <w:i/>
          <w:sz w:val="20"/>
          <w:szCs w:val="20"/>
          <w:lang w:val="lt-LT"/>
        </w:rPr>
        <w:t>Finansinės priemonės lėšos</w:t>
      </w:r>
      <w:r w:rsidRPr="007E6337">
        <w:rPr>
          <w:rFonts w:ascii="Georgia" w:hAnsi="Georgia"/>
          <w:i/>
          <w:sz w:val="20"/>
          <w:szCs w:val="20"/>
          <w:lang w:val="lt-LT"/>
        </w:rPr>
        <w:t xml:space="preserve"> nukreipiam</w:t>
      </w:r>
      <w:r>
        <w:rPr>
          <w:rFonts w:ascii="Georgia" w:hAnsi="Georgia"/>
          <w:i/>
          <w:sz w:val="20"/>
          <w:szCs w:val="20"/>
          <w:lang w:val="lt-LT"/>
        </w:rPr>
        <w:t>os</w:t>
      </w:r>
      <w:r w:rsidRPr="007E6337">
        <w:rPr>
          <w:rFonts w:ascii="Georgia" w:hAnsi="Georgia"/>
          <w:i/>
          <w:sz w:val="20"/>
          <w:szCs w:val="20"/>
          <w:lang w:val="lt-LT"/>
        </w:rPr>
        <w:t xml:space="preserve"> į </w:t>
      </w:r>
      <w:r>
        <w:rPr>
          <w:rFonts w:ascii="Georgia" w:hAnsi="Georgia"/>
          <w:i/>
          <w:sz w:val="20"/>
          <w:szCs w:val="20"/>
          <w:lang w:val="lt-LT"/>
        </w:rPr>
        <w:t>paskolų priemonę, o finansiniai tarpininkai prisideda prie projektų tokia pačia suma</w:t>
      </w:r>
    </w:p>
    <w:p w14:paraId="22D38082" w14:textId="77777777" w:rsidR="00280058" w:rsidRPr="007B08F7" w:rsidRDefault="00280058" w:rsidP="00C03122">
      <w:pPr>
        <w:pStyle w:val="Sraopastraipa"/>
        <w:numPr>
          <w:ilvl w:val="0"/>
          <w:numId w:val="34"/>
        </w:numPr>
        <w:jc w:val="both"/>
        <w:rPr>
          <w:rFonts w:ascii="Georgia" w:hAnsi="Georgia"/>
          <w:i/>
          <w:sz w:val="20"/>
          <w:szCs w:val="20"/>
          <w:lang w:val="lt-LT"/>
        </w:rPr>
      </w:pPr>
      <w:r>
        <w:rPr>
          <w:rFonts w:ascii="Georgia" w:hAnsi="Georgia"/>
          <w:i/>
          <w:sz w:val="20"/>
          <w:szCs w:val="20"/>
          <w:lang w:val="lt-LT"/>
        </w:rPr>
        <w:t>Scenarijus Nr. 7</w:t>
      </w:r>
      <w:r w:rsidRPr="00AD3749">
        <w:rPr>
          <w:rFonts w:ascii="Georgia" w:hAnsi="Georgia"/>
          <w:i/>
          <w:sz w:val="20"/>
          <w:szCs w:val="20"/>
          <w:lang w:val="lt-LT"/>
        </w:rPr>
        <w:t>:</w:t>
      </w:r>
      <w:r w:rsidRPr="008F2E5A">
        <w:rPr>
          <w:rFonts w:ascii="Georgia" w:hAnsi="Georgia"/>
          <w:i/>
          <w:sz w:val="20"/>
          <w:szCs w:val="20"/>
          <w:lang w:val="lt-LT"/>
        </w:rPr>
        <w:t xml:space="preserve"> </w:t>
      </w:r>
      <w:r w:rsidRPr="00C01701">
        <w:rPr>
          <w:rFonts w:ascii="Georgia" w:hAnsi="Georgia"/>
          <w:i/>
          <w:sz w:val="20"/>
          <w:szCs w:val="20"/>
          <w:lang w:val="lt-LT"/>
        </w:rPr>
        <w:t>ESI fondų lėšos panaudojamos fondo pirmojo nuostolio padengimui</w:t>
      </w:r>
    </w:p>
    <w:p w14:paraId="26F5C69B" w14:textId="77777777" w:rsidR="00280058" w:rsidRPr="00A161A9" w:rsidRDefault="00280058" w:rsidP="00280058">
      <w:pPr>
        <w:jc w:val="both"/>
        <w:rPr>
          <w:rFonts w:ascii="Georgia" w:hAnsi="Georgia"/>
          <w:sz w:val="20"/>
          <w:lang w:val="lt-LT"/>
        </w:rPr>
      </w:pPr>
      <w:r w:rsidRPr="009D771A">
        <w:rPr>
          <w:rFonts w:ascii="Georgia" w:hAnsi="Georgia"/>
          <w:sz w:val="20"/>
          <w:lang w:val="lt-LT"/>
        </w:rPr>
        <w:t>Toliau detaliai nagrinėjami identifikuoti finansinės priemonės veiklos scenarijai.</w:t>
      </w:r>
    </w:p>
    <w:p w14:paraId="3DD0F7CF" w14:textId="77777777" w:rsidR="00280058" w:rsidRPr="00765A39" w:rsidRDefault="00280058" w:rsidP="00C03122">
      <w:pPr>
        <w:pStyle w:val="Sraopastraipa"/>
        <w:numPr>
          <w:ilvl w:val="0"/>
          <w:numId w:val="34"/>
        </w:numPr>
        <w:jc w:val="both"/>
        <w:rPr>
          <w:rFonts w:ascii="Georgia" w:hAnsi="Georgia"/>
          <w:b/>
          <w:i/>
          <w:sz w:val="20"/>
          <w:szCs w:val="20"/>
          <w:lang w:val="lt-LT"/>
        </w:rPr>
      </w:pPr>
      <w:r w:rsidRPr="00765A39">
        <w:rPr>
          <w:rFonts w:ascii="Georgia" w:hAnsi="Georgia"/>
          <w:b/>
          <w:i/>
          <w:sz w:val="20"/>
          <w:szCs w:val="20"/>
          <w:lang w:val="lt-LT"/>
        </w:rPr>
        <w:t>Scenarijus Nr. 1: Lengvatinių paskolų teikimas</w:t>
      </w:r>
    </w:p>
    <w:p w14:paraId="14BF8F54" w14:textId="77777777" w:rsidR="00280058" w:rsidRPr="00AC3318" w:rsidRDefault="00280058" w:rsidP="00280058">
      <w:pPr>
        <w:jc w:val="both"/>
        <w:rPr>
          <w:rFonts w:ascii="Georgia" w:hAnsi="Georgia"/>
          <w:sz w:val="20"/>
          <w:szCs w:val="20"/>
          <w:lang w:val="lt-LT"/>
        </w:rPr>
      </w:pPr>
      <w:r w:rsidRPr="00AC3318">
        <w:rPr>
          <w:rFonts w:ascii="Georgia" w:hAnsi="Georgia"/>
          <w:sz w:val="20"/>
          <w:szCs w:val="20"/>
          <w:lang w:val="lt-LT"/>
        </w:rPr>
        <w:t xml:space="preserve">Šiame scenarijuje </w:t>
      </w:r>
      <w:r>
        <w:rPr>
          <w:rFonts w:ascii="Georgia" w:hAnsi="Georgia"/>
          <w:sz w:val="20"/>
          <w:szCs w:val="20"/>
          <w:lang w:val="lt-LT"/>
        </w:rPr>
        <w:t>modeliuojama</w:t>
      </w:r>
      <w:r w:rsidRPr="00AC3318">
        <w:rPr>
          <w:rFonts w:ascii="Georgia" w:hAnsi="Georgia"/>
          <w:sz w:val="20"/>
          <w:szCs w:val="20"/>
          <w:lang w:val="lt-LT"/>
        </w:rPr>
        <w:t xml:space="preserve"> situacija, kai </w:t>
      </w:r>
      <w:r>
        <w:rPr>
          <w:rFonts w:ascii="Georgia" w:hAnsi="Georgia"/>
          <w:sz w:val="20"/>
          <w:szCs w:val="20"/>
          <w:lang w:val="lt-LT"/>
        </w:rPr>
        <w:t>ESI</w:t>
      </w:r>
      <w:r w:rsidRPr="00AC3318">
        <w:rPr>
          <w:rFonts w:ascii="Georgia" w:hAnsi="Georgia"/>
          <w:sz w:val="20"/>
          <w:szCs w:val="20"/>
          <w:lang w:val="lt-LT"/>
        </w:rPr>
        <w:t xml:space="preserve"> fondų </w:t>
      </w:r>
      <w:r>
        <w:rPr>
          <w:rFonts w:ascii="Georgia" w:hAnsi="Georgia"/>
          <w:sz w:val="20"/>
          <w:szCs w:val="20"/>
          <w:lang w:val="lt-LT"/>
        </w:rPr>
        <w:t xml:space="preserve">lėšomis </w:t>
      </w:r>
      <w:r w:rsidRPr="00AC3318">
        <w:rPr>
          <w:rFonts w:ascii="Georgia" w:hAnsi="Georgia"/>
          <w:sz w:val="20"/>
          <w:szCs w:val="20"/>
          <w:lang w:val="lt-LT"/>
        </w:rPr>
        <w:t xml:space="preserve">sukuriama </w:t>
      </w:r>
      <w:r>
        <w:rPr>
          <w:rFonts w:ascii="Georgia" w:hAnsi="Georgia"/>
          <w:sz w:val="20"/>
          <w:szCs w:val="20"/>
          <w:lang w:val="lt-LT"/>
        </w:rPr>
        <w:t>finansinė priemonė ir pasitelkus finansinius tarpininkus</w:t>
      </w:r>
      <w:r w:rsidRPr="00AC3318">
        <w:rPr>
          <w:rFonts w:ascii="Georgia" w:hAnsi="Georgia"/>
          <w:sz w:val="20"/>
          <w:szCs w:val="20"/>
          <w:lang w:val="lt-LT"/>
        </w:rPr>
        <w:t xml:space="preserve"> </w:t>
      </w:r>
      <w:r>
        <w:rPr>
          <w:rFonts w:ascii="Georgia" w:hAnsi="Georgia"/>
          <w:sz w:val="20"/>
          <w:szCs w:val="20"/>
          <w:lang w:val="lt-LT"/>
        </w:rPr>
        <w:t xml:space="preserve">teikiamos paskolos </w:t>
      </w:r>
      <w:r w:rsidRPr="00AC3318">
        <w:rPr>
          <w:rFonts w:ascii="Georgia" w:hAnsi="Georgia"/>
          <w:sz w:val="20"/>
          <w:szCs w:val="20"/>
          <w:lang w:val="lt-LT"/>
        </w:rPr>
        <w:t>gatvių modernizavimą vykdantiems subjektams</w:t>
      </w:r>
      <w:r>
        <w:rPr>
          <w:rFonts w:ascii="Georgia" w:hAnsi="Georgia"/>
          <w:sz w:val="20"/>
          <w:szCs w:val="20"/>
          <w:lang w:val="lt-LT"/>
        </w:rPr>
        <w:t>.</w:t>
      </w:r>
    </w:p>
    <w:p w14:paraId="13EA35CD" w14:textId="77777777" w:rsidR="00280058" w:rsidRPr="00AC3318" w:rsidRDefault="00280058" w:rsidP="00230209">
      <w:pPr>
        <w:jc w:val="center"/>
        <w:rPr>
          <w:rFonts w:ascii="Georgia" w:hAnsi="Georgia"/>
          <w:sz w:val="20"/>
          <w:szCs w:val="20"/>
          <w:lang w:val="lt-LT"/>
        </w:rPr>
      </w:pPr>
      <w:r>
        <w:rPr>
          <w:rFonts w:ascii="Georgia" w:hAnsi="Georgia"/>
          <w:noProof/>
          <w:sz w:val="20"/>
          <w:szCs w:val="20"/>
          <w:lang w:val="lt-LT" w:eastAsia="lt-LT"/>
        </w:rPr>
        <w:drawing>
          <wp:inline distT="0" distB="0" distL="0" distR="0" wp14:anchorId="111C030B" wp14:editId="7AAD6887">
            <wp:extent cx="5295900" cy="1990725"/>
            <wp:effectExtent l="0" t="0" r="0" b="9525"/>
            <wp:docPr id="287" name="Paveikslėlis 287" descr="Gatviu apsvietimas 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atviu apsvietimas Nr"/>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5295900" cy="1990725"/>
                    </a:xfrm>
                    <a:prstGeom prst="rect">
                      <a:avLst/>
                    </a:prstGeom>
                    <a:noFill/>
                    <a:ln>
                      <a:noFill/>
                    </a:ln>
                  </pic:spPr>
                </pic:pic>
              </a:graphicData>
            </a:graphic>
          </wp:inline>
        </w:drawing>
      </w:r>
    </w:p>
    <w:p w14:paraId="1B1EBA5D" w14:textId="77777777" w:rsidR="009F55BB" w:rsidRDefault="009F55BB" w:rsidP="00280058">
      <w:pPr>
        <w:pStyle w:val="Antrat"/>
        <w:rPr>
          <w:lang w:val="lt-LT"/>
        </w:rPr>
      </w:pPr>
    </w:p>
    <w:p w14:paraId="04E040CE" w14:textId="0EF14D70" w:rsidR="00280058" w:rsidRPr="002B70C1" w:rsidRDefault="00280058" w:rsidP="00280058">
      <w:pPr>
        <w:pStyle w:val="Antrat"/>
        <w:rPr>
          <w:szCs w:val="20"/>
          <w:lang w:val="lt-LT"/>
        </w:rPr>
      </w:pPr>
      <w:bookmarkStart w:id="231" w:name="_Toc417378318"/>
      <w:r w:rsidRPr="009D771A">
        <w:rPr>
          <w:lang w:val="lt-LT"/>
        </w:rPr>
        <w:t xml:space="preserve">Paveikslas </w:t>
      </w:r>
      <w:r w:rsidRPr="009D771A">
        <w:rPr>
          <w:lang w:val="lt-LT"/>
        </w:rPr>
        <w:fldChar w:fldCharType="begin"/>
      </w:r>
      <w:r w:rsidRPr="009D771A">
        <w:rPr>
          <w:lang w:val="lt-LT"/>
        </w:rPr>
        <w:instrText xml:space="preserve"> SEQ Paveikslas \* ARABIC </w:instrText>
      </w:r>
      <w:r w:rsidRPr="009D771A">
        <w:rPr>
          <w:lang w:val="lt-LT"/>
        </w:rPr>
        <w:fldChar w:fldCharType="separate"/>
      </w:r>
      <w:r w:rsidR="00AA3082">
        <w:rPr>
          <w:noProof/>
          <w:lang w:val="lt-LT"/>
        </w:rPr>
        <w:t>41</w:t>
      </w:r>
      <w:r w:rsidRPr="009D771A">
        <w:rPr>
          <w:lang w:val="lt-LT"/>
        </w:rPr>
        <w:fldChar w:fldCharType="end"/>
      </w:r>
      <w:r w:rsidRPr="009D771A">
        <w:rPr>
          <w:lang w:val="lt-LT"/>
        </w:rPr>
        <w:t>. Gatvių apšvietimo scenarij</w:t>
      </w:r>
      <w:r>
        <w:rPr>
          <w:lang w:val="lt-LT"/>
        </w:rPr>
        <w:t>a</w:t>
      </w:r>
      <w:r w:rsidRPr="009D771A">
        <w:rPr>
          <w:lang w:val="lt-LT"/>
        </w:rPr>
        <w:t>us Nr. 1</w:t>
      </w:r>
      <w:r w:rsidRPr="002B70C1">
        <w:rPr>
          <w:lang w:val="lt-LT"/>
        </w:rPr>
        <w:t xml:space="preserve"> </w:t>
      </w:r>
      <w:r>
        <w:rPr>
          <w:lang w:val="lt-LT"/>
        </w:rPr>
        <w:t>schema</w:t>
      </w:r>
      <w:r w:rsidRPr="009D771A">
        <w:rPr>
          <w:lang w:val="lt-LT"/>
        </w:rPr>
        <w:t>.</w:t>
      </w:r>
      <w:bookmarkEnd w:id="231"/>
      <w:r w:rsidRPr="009D771A">
        <w:rPr>
          <w:lang w:val="lt-LT"/>
        </w:rPr>
        <w:t xml:space="preserve"> </w:t>
      </w:r>
    </w:p>
    <w:p w14:paraId="2A22C919" w14:textId="4A620547" w:rsidR="00280058" w:rsidRPr="002B70C1" w:rsidRDefault="00280058" w:rsidP="00280058">
      <w:pPr>
        <w:pStyle w:val="Antrat"/>
        <w:rPr>
          <w:szCs w:val="20"/>
          <w:lang w:val="lt-LT"/>
        </w:rPr>
      </w:pPr>
      <w:bookmarkStart w:id="232" w:name="_Toc460321700"/>
      <w:r w:rsidRPr="009D771A">
        <w:rPr>
          <w:lang w:val="lt-LT"/>
        </w:rPr>
        <w:t xml:space="preserve">Lentelė </w:t>
      </w:r>
      <w:r w:rsidRPr="009D771A">
        <w:rPr>
          <w:lang w:val="lt-LT"/>
        </w:rPr>
        <w:fldChar w:fldCharType="begin"/>
      </w:r>
      <w:r w:rsidRPr="009D771A">
        <w:rPr>
          <w:lang w:val="lt-LT"/>
        </w:rPr>
        <w:instrText xml:space="preserve"> SEQ Lentelė \* ARABIC </w:instrText>
      </w:r>
      <w:r w:rsidRPr="009D771A">
        <w:rPr>
          <w:lang w:val="lt-LT"/>
        </w:rPr>
        <w:fldChar w:fldCharType="separate"/>
      </w:r>
      <w:r w:rsidR="00AA3082">
        <w:rPr>
          <w:noProof/>
          <w:lang w:val="lt-LT"/>
        </w:rPr>
        <w:t>119</w:t>
      </w:r>
      <w:r w:rsidRPr="009D771A">
        <w:rPr>
          <w:lang w:val="lt-LT"/>
        </w:rPr>
        <w:fldChar w:fldCharType="end"/>
      </w:r>
      <w:r w:rsidRPr="009D771A">
        <w:rPr>
          <w:lang w:val="lt-LT"/>
        </w:rPr>
        <w:t xml:space="preserve">. </w:t>
      </w:r>
      <w:r w:rsidRPr="002B70C1">
        <w:rPr>
          <w:szCs w:val="20"/>
          <w:lang w:val="lt-LT"/>
        </w:rPr>
        <w:t>Scenarijaus Nr. 1 Prielaidos</w:t>
      </w:r>
      <w:bookmarkEnd w:id="232"/>
    </w:p>
    <w:tbl>
      <w:tblPr>
        <w:tblStyle w:val="viesussraas2parykinimas"/>
        <w:tblW w:w="5000" w:type="pct"/>
        <w:tblLook w:val="04A0" w:firstRow="1" w:lastRow="0" w:firstColumn="1" w:lastColumn="0" w:noHBand="0" w:noVBand="1"/>
      </w:tblPr>
      <w:tblGrid>
        <w:gridCol w:w="2551"/>
        <w:gridCol w:w="6691"/>
      </w:tblGrid>
      <w:tr w:rsidR="00280058" w:rsidRPr="00E649A6" w14:paraId="5F6F4E39" w14:textId="77777777" w:rsidTr="002302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80" w:type="pct"/>
            <w:tcBorders>
              <w:bottom w:val="single" w:sz="8" w:space="0" w:color="C0504D" w:themeColor="accent2"/>
            </w:tcBorders>
          </w:tcPr>
          <w:p w14:paraId="138988A5" w14:textId="77777777" w:rsidR="00280058" w:rsidRPr="00AC3318" w:rsidRDefault="00280058" w:rsidP="00230209">
            <w:pPr>
              <w:jc w:val="center"/>
              <w:rPr>
                <w:rFonts w:ascii="Georgia" w:hAnsi="Georgia"/>
                <w:sz w:val="20"/>
                <w:szCs w:val="20"/>
              </w:rPr>
            </w:pPr>
            <w:r w:rsidRPr="00AC3318">
              <w:rPr>
                <w:rFonts w:ascii="Georgia" w:hAnsi="Georgia"/>
                <w:sz w:val="20"/>
                <w:szCs w:val="20"/>
              </w:rPr>
              <w:t>Prielaidos</w:t>
            </w:r>
          </w:p>
        </w:tc>
        <w:tc>
          <w:tcPr>
            <w:tcW w:w="3620" w:type="pct"/>
            <w:tcBorders>
              <w:bottom w:val="single" w:sz="8" w:space="0" w:color="C0504D" w:themeColor="accent2"/>
            </w:tcBorders>
          </w:tcPr>
          <w:p w14:paraId="1E4BDD23" w14:textId="77777777" w:rsidR="00280058" w:rsidRPr="00AC3318" w:rsidRDefault="00280058" w:rsidP="00230209">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Komentaras</w:t>
            </w:r>
          </w:p>
        </w:tc>
      </w:tr>
      <w:tr w:rsidR="00280058" w:rsidRPr="00E649A6" w14:paraId="74B23F0F" w14:textId="77777777" w:rsidTr="002302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14:paraId="4C18B7A0" w14:textId="77777777" w:rsidR="00280058" w:rsidRPr="00C50D6A" w:rsidRDefault="00280058" w:rsidP="00BB18F6">
            <w:pPr>
              <w:rPr>
                <w:rFonts w:ascii="Georgia" w:hAnsi="Georgia"/>
                <w:b w:val="0"/>
                <w:sz w:val="20"/>
                <w:szCs w:val="20"/>
              </w:rPr>
            </w:pPr>
            <w:r w:rsidRPr="00C50D6A">
              <w:rPr>
                <w:rFonts w:ascii="Georgia" w:hAnsi="Georgia"/>
                <w:sz w:val="20"/>
                <w:szCs w:val="20"/>
              </w:rPr>
              <w:t>Paskolos laikotarpis: iki 20 metų</w:t>
            </w:r>
          </w:p>
        </w:tc>
        <w:tc>
          <w:tcPr>
            <w:tcW w:w="3620" w:type="pct"/>
            <w:tcBorders>
              <w:top w:val="single" w:sz="6" w:space="0" w:color="C0504D" w:themeColor="accent2"/>
              <w:left w:val="single" w:sz="6" w:space="0" w:color="C0504D" w:themeColor="accent2"/>
            </w:tcBorders>
          </w:tcPr>
          <w:p w14:paraId="6B494393" w14:textId="77777777"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Maksim</w:t>
            </w:r>
            <w:r>
              <w:rPr>
                <w:rFonts w:ascii="Georgia" w:hAnsi="Georgia"/>
                <w:sz w:val="20"/>
                <w:szCs w:val="20"/>
              </w:rPr>
              <w:t>alus sutarties terminas 20 metų.</w:t>
            </w:r>
          </w:p>
        </w:tc>
      </w:tr>
      <w:tr w:rsidR="00280058" w:rsidRPr="00E649A6" w14:paraId="2562FAFE" w14:textId="77777777" w:rsidTr="00230209">
        <w:trPr>
          <w:cantSplit/>
          <w:trHeight w:val="489"/>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14:paraId="752A0893" w14:textId="77777777" w:rsidR="00280058" w:rsidRPr="00C50D6A" w:rsidRDefault="00230209" w:rsidP="00BB18F6">
            <w:pPr>
              <w:rPr>
                <w:rFonts w:ascii="Georgia" w:hAnsi="Georgia"/>
                <w:b w:val="0"/>
                <w:sz w:val="20"/>
                <w:szCs w:val="20"/>
              </w:rPr>
            </w:pPr>
            <w:r>
              <w:rPr>
                <w:rFonts w:ascii="Georgia" w:hAnsi="Georgia"/>
                <w:sz w:val="20"/>
                <w:szCs w:val="20"/>
              </w:rPr>
              <w:t>Blogų paskolų dalis: 5</w:t>
            </w:r>
            <w:r w:rsidR="00280058" w:rsidRPr="00C50D6A">
              <w:rPr>
                <w:rFonts w:ascii="Georgia" w:hAnsi="Georgia"/>
                <w:sz w:val="20"/>
                <w:szCs w:val="20"/>
              </w:rPr>
              <w:t>%</w:t>
            </w:r>
          </w:p>
        </w:tc>
        <w:tc>
          <w:tcPr>
            <w:tcW w:w="3620" w:type="pct"/>
            <w:tcBorders>
              <w:top w:val="single" w:sz="6" w:space="0" w:color="C0504D" w:themeColor="accent2"/>
              <w:left w:val="single" w:sz="6" w:space="0" w:color="C0504D" w:themeColor="accent2"/>
            </w:tcBorders>
          </w:tcPr>
          <w:p w14:paraId="6897DF6B" w14:textId="77777777"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Blogų paskolų dalis buvo nustatyta remiantis ekspertų ir </w:t>
            </w:r>
            <w:r>
              <w:rPr>
                <w:rFonts w:ascii="Georgia" w:hAnsi="Georgia"/>
                <w:sz w:val="20"/>
                <w:szCs w:val="20"/>
              </w:rPr>
              <w:t xml:space="preserve">komercinių </w:t>
            </w:r>
            <w:r w:rsidRPr="00AC3318">
              <w:rPr>
                <w:rFonts w:ascii="Georgia" w:hAnsi="Georgia"/>
                <w:sz w:val="20"/>
                <w:szCs w:val="20"/>
              </w:rPr>
              <w:t>bankų vertinimu ir ji atitinka PwC studijoje nustatytą dydį</w:t>
            </w:r>
          </w:p>
        </w:tc>
      </w:tr>
      <w:tr w:rsidR="00280058" w:rsidRPr="00E649A6" w14:paraId="6CACFF13" w14:textId="77777777" w:rsidTr="002302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14:paraId="6143A40F" w14:textId="77777777" w:rsidR="00280058" w:rsidRPr="00C50D6A" w:rsidRDefault="00280058" w:rsidP="00BB18F6">
            <w:pPr>
              <w:rPr>
                <w:rFonts w:ascii="Georgia" w:hAnsi="Georgia"/>
                <w:b w:val="0"/>
                <w:sz w:val="20"/>
                <w:szCs w:val="20"/>
              </w:rPr>
            </w:pPr>
            <w:r w:rsidRPr="00C50D6A">
              <w:rPr>
                <w:rFonts w:ascii="Georgia" w:hAnsi="Georgia"/>
                <w:sz w:val="20"/>
                <w:szCs w:val="20"/>
              </w:rPr>
              <w:lastRenderedPageBreak/>
              <w:t xml:space="preserve">Vieno šviestuvo pakeitimo vertė: </w:t>
            </w:r>
          </w:p>
          <w:p w14:paraId="7AF9BFB8" w14:textId="77777777" w:rsidR="00280058" w:rsidRPr="00C50D6A" w:rsidRDefault="00280058" w:rsidP="00BB18F6">
            <w:pPr>
              <w:rPr>
                <w:rFonts w:ascii="Georgia" w:hAnsi="Georgia"/>
                <w:b w:val="0"/>
                <w:sz w:val="20"/>
                <w:szCs w:val="20"/>
              </w:rPr>
            </w:pPr>
            <w:r w:rsidRPr="00C50D6A">
              <w:rPr>
                <w:rFonts w:ascii="Georgia" w:hAnsi="Georgia"/>
                <w:sz w:val="20"/>
                <w:szCs w:val="20"/>
              </w:rPr>
              <w:t>710 eurų</w:t>
            </w:r>
          </w:p>
        </w:tc>
        <w:tc>
          <w:tcPr>
            <w:tcW w:w="3620" w:type="pct"/>
            <w:tcBorders>
              <w:top w:val="single" w:sz="6" w:space="0" w:color="C0504D" w:themeColor="accent2"/>
              <w:left w:val="single" w:sz="6" w:space="0" w:color="C0504D" w:themeColor="accent2"/>
            </w:tcBorders>
          </w:tcPr>
          <w:p w14:paraId="5A3CE1BD" w14:textId="77777777" w:rsidR="00280058" w:rsidRPr="009D771A"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0"/>
              </w:rPr>
            </w:pPr>
            <w:r>
              <w:rPr>
                <w:rFonts w:ascii="Georgia" w:hAnsi="Georgia" w:cs="Georgia"/>
                <w:sz w:val="20"/>
                <w:szCs w:val="20"/>
              </w:rPr>
              <w:t xml:space="preserve">Atsižvelgiant į Vilniaus miesto apšvietimo tinklų modernizavimo techninį projektą bei pasirašytą sutartį su privačiu partneriu, Vilniuje bus renovuota 44000 šviestuvų už 31,28 mln. EUR (108 mln. Lt). Remiantis šiais duomenimis paskaičiuota, kad </w:t>
            </w:r>
            <w:r w:rsidRPr="00AC3318">
              <w:rPr>
                <w:rFonts w:ascii="Georgia" w:hAnsi="Georgia"/>
                <w:bCs/>
                <w:sz w:val="20"/>
                <w:szCs w:val="20"/>
              </w:rPr>
              <w:t xml:space="preserve">vieno šviestuvo vidutinė modernizacijos kaina sieks 710 </w:t>
            </w:r>
            <w:r>
              <w:rPr>
                <w:rFonts w:ascii="Georgia" w:hAnsi="Georgia"/>
                <w:bCs/>
                <w:sz w:val="20"/>
                <w:szCs w:val="20"/>
              </w:rPr>
              <w:t>eurų</w:t>
            </w:r>
            <w:r w:rsidRPr="00AC3318">
              <w:rPr>
                <w:rFonts w:ascii="Georgia" w:hAnsi="Georgia"/>
                <w:bCs/>
                <w:sz w:val="20"/>
                <w:szCs w:val="20"/>
              </w:rPr>
              <w:t xml:space="preserve"> (2451 LTL)</w:t>
            </w:r>
            <w:r>
              <w:rPr>
                <w:rFonts w:ascii="Georgia" w:hAnsi="Georgia"/>
                <w:bCs/>
                <w:sz w:val="20"/>
                <w:szCs w:val="20"/>
              </w:rPr>
              <w:t>.</w:t>
            </w:r>
            <w:r>
              <w:rPr>
                <w:rFonts w:ascii="Georgia" w:hAnsi="Georgia" w:cs="Georgia"/>
                <w:sz w:val="20"/>
                <w:szCs w:val="20"/>
              </w:rPr>
              <w:t xml:space="preserve"> </w:t>
            </w:r>
          </w:p>
        </w:tc>
      </w:tr>
      <w:tr w:rsidR="00280058" w:rsidRPr="00E649A6" w14:paraId="3659C53D" w14:textId="77777777" w:rsidTr="00230209">
        <w:trPr>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14:paraId="43C27FED" w14:textId="77777777" w:rsidR="00280058" w:rsidRPr="00C50D6A" w:rsidRDefault="00280058" w:rsidP="00BB18F6">
            <w:pPr>
              <w:rPr>
                <w:rFonts w:ascii="Georgia" w:hAnsi="Georgia"/>
                <w:b w:val="0"/>
                <w:sz w:val="20"/>
                <w:szCs w:val="20"/>
              </w:rPr>
            </w:pPr>
            <w:r w:rsidRPr="00C50D6A">
              <w:rPr>
                <w:rFonts w:ascii="Georgia" w:hAnsi="Georgia"/>
                <w:sz w:val="20"/>
                <w:szCs w:val="20"/>
              </w:rPr>
              <w:t xml:space="preserve">Investuojamos ESI fondų lėšos į fondą: 14,5 mln. </w:t>
            </w:r>
            <w:r w:rsidRPr="00C50D6A">
              <w:rPr>
                <w:rFonts w:ascii="Georgia" w:hAnsi="Georgia"/>
                <w:bCs w:val="0"/>
                <w:sz w:val="20"/>
                <w:szCs w:val="20"/>
              </w:rPr>
              <w:t>eurų</w:t>
            </w:r>
            <w:r w:rsidRPr="00C50D6A">
              <w:rPr>
                <w:rFonts w:ascii="Georgia" w:hAnsi="Georgia"/>
                <w:sz w:val="20"/>
                <w:szCs w:val="20"/>
              </w:rPr>
              <w:t>.</w:t>
            </w:r>
          </w:p>
        </w:tc>
        <w:tc>
          <w:tcPr>
            <w:tcW w:w="3620" w:type="pct"/>
            <w:tcBorders>
              <w:top w:val="single" w:sz="6" w:space="0" w:color="C0504D" w:themeColor="accent2"/>
              <w:left w:val="single" w:sz="6" w:space="0" w:color="C0504D" w:themeColor="accent2"/>
            </w:tcBorders>
          </w:tcPr>
          <w:p w14:paraId="17B2830A" w14:textId="77777777"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Daroma prielaida, jog 2014-2020 programavimo periodo, gatvių apšvietimo modernizavimui skirtos lėšos – 14,5 mln. eurų- bus nukeiptos paskolų priemonei įgyvendinti.</w:t>
            </w:r>
          </w:p>
        </w:tc>
      </w:tr>
      <w:tr w:rsidR="00280058" w:rsidRPr="00E649A6" w14:paraId="1A87B0F8" w14:textId="77777777" w:rsidTr="002302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14:paraId="2CF08E40" w14:textId="77777777" w:rsidR="00280058" w:rsidRPr="00C50D6A" w:rsidRDefault="00280058" w:rsidP="00230209">
            <w:pPr>
              <w:rPr>
                <w:rFonts w:ascii="Georgia" w:hAnsi="Georgia"/>
                <w:b w:val="0"/>
                <w:sz w:val="20"/>
                <w:szCs w:val="20"/>
              </w:rPr>
            </w:pPr>
            <w:r w:rsidRPr="00C50D6A">
              <w:rPr>
                <w:rFonts w:ascii="Georgia" w:hAnsi="Georgia"/>
                <w:sz w:val="20"/>
                <w:szCs w:val="20"/>
              </w:rPr>
              <w:t>Palūkanų norma galutiniams naudos gavėjams: 2%</w:t>
            </w:r>
          </w:p>
        </w:tc>
        <w:tc>
          <w:tcPr>
            <w:tcW w:w="3620" w:type="pct"/>
            <w:tcBorders>
              <w:top w:val="single" w:sz="6" w:space="0" w:color="C0504D" w:themeColor="accent2"/>
              <w:left w:val="single" w:sz="6" w:space="0" w:color="C0504D" w:themeColor="accent2"/>
            </w:tcBorders>
          </w:tcPr>
          <w:p w14:paraId="238E05F8" w14:textId="77777777"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1D11FC">
              <w:rPr>
                <w:rFonts w:ascii="Georgia" w:hAnsi="Georgia"/>
                <w:sz w:val="20"/>
                <w:szCs w:val="20"/>
              </w:rPr>
              <w:t>Nustatomos lengvatinės  fiksuotos 2% palūkanos.</w:t>
            </w:r>
          </w:p>
        </w:tc>
      </w:tr>
      <w:tr w:rsidR="00280058" w:rsidRPr="00E649A6" w14:paraId="7F15BAF0" w14:textId="77777777" w:rsidTr="00230209">
        <w:trPr>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14:paraId="629CE492" w14:textId="77777777" w:rsidR="00280058" w:rsidRPr="00C50D6A" w:rsidRDefault="00280058" w:rsidP="00BB18F6">
            <w:pPr>
              <w:rPr>
                <w:rFonts w:ascii="Georgia" w:hAnsi="Georgia"/>
                <w:b w:val="0"/>
                <w:sz w:val="20"/>
                <w:szCs w:val="20"/>
              </w:rPr>
            </w:pPr>
            <w:r w:rsidRPr="00C50D6A">
              <w:rPr>
                <w:rFonts w:ascii="Georgia" w:hAnsi="Georgia"/>
                <w:sz w:val="20"/>
                <w:szCs w:val="20"/>
              </w:rPr>
              <w:t>Siektinas pakeistų šviestuvų skaičius per metus: 10 000</w:t>
            </w:r>
          </w:p>
        </w:tc>
        <w:tc>
          <w:tcPr>
            <w:tcW w:w="3620" w:type="pct"/>
            <w:tcBorders>
              <w:top w:val="single" w:sz="6" w:space="0" w:color="C0504D" w:themeColor="accent2"/>
              <w:left w:val="single" w:sz="6" w:space="0" w:color="C0504D" w:themeColor="accent2"/>
            </w:tcBorders>
          </w:tcPr>
          <w:p w14:paraId="37F9A402" w14:textId="77777777"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Daroma prielaida, kad per metus butų galima </w:t>
            </w:r>
            <w:r>
              <w:rPr>
                <w:rFonts w:ascii="Georgia" w:hAnsi="Georgia"/>
                <w:sz w:val="20"/>
                <w:szCs w:val="20"/>
              </w:rPr>
              <w:t>atnaujinti</w:t>
            </w:r>
            <w:r w:rsidRPr="00AC3318">
              <w:rPr>
                <w:rFonts w:ascii="Georgia" w:hAnsi="Georgia"/>
                <w:sz w:val="20"/>
                <w:szCs w:val="20"/>
              </w:rPr>
              <w:t xml:space="preserve"> 10 000 šviestuvų </w:t>
            </w:r>
          </w:p>
        </w:tc>
      </w:tr>
      <w:tr w:rsidR="00280058" w:rsidRPr="00E649A6" w14:paraId="6D5E9964" w14:textId="77777777" w:rsidTr="002302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14:paraId="7FB17DB3" w14:textId="77777777" w:rsidR="00280058" w:rsidRPr="00C50D6A" w:rsidRDefault="00280058" w:rsidP="00BB18F6">
            <w:pPr>
              <w:rPr>
                <w:rFonts w:ascii="Georgia" w:hAnsi="Georgia"/>
                <w:b w:val="0"/>
                <w:sz w:val="20"/>
                <w:szCs w:val="20"/>
              </w:rPr>
            </w:pPr>
            <w:r w:rsidRPr="00C50D6A">
              <w:rPr>
                <w:rFonts w:ascii="Georgia" w:hAnsi="Georgia"/>
                <w:sz w:val="20"/>
              </w:rPr>
              <w:t>Valdymo mokestis: vadovaujantis Deleguoto reglamento nuostatomis</w:t>
            </w:r>
          </w:p>
        </w:tc>
        <w:tc>
          <w:tcPr>
            <w:tcW w:w="3620" w:type="pct"/>
            <w:tcBorders>
              <w:top w:val="single" w:sz="6" w:space="0" w:color="C0504D" w:themeColor="accent2"/>
              <w:left w:val="single" w:sz="6" w:space="0" w:color="C0504D" w:themeColor="accent2"/>
            </w:tcBorders>
          </w:tcPr>
          <w:p w14:paraId="57302740" w14:textId="77777777"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rPr>
              <w:t>Vadovaujantis Deleguoto reglamento nuostatomis, valdymo mokestis susideda iš dviejų dalių: 0,5 proc. bazinis mokestis nuo finansinei priemonei skirtų ir įmokėtų lėšų, 1 proc. mokestis n</w:t>
            </w:r>
            <w:r w:rsidRPr="00A445EE">
              <w:rPr>
                <w:rFonts w:ascii="Georgia" w:hAnsi="Georgia"/>
                <w:sz w:val="20"/>
              </w:rPr>
              <w:t xml:space="preserve">uo </w:t>
            </w:r>
            <w:r>
              <w:rPr>
                <w:rFonts w:ascii="Georgia" w:hAnsi="Georgia"/>
                <w:sz w:val="20"/>
              </w:rPr>
              <w:t>paskolų,</w:t>
            </w:r>
            <w:r w:rsidRPr="00A445EE">
              <w:rPr>
                <w:rFonts w:ascii="Georgia" w:hAnsi="Georgia"/>
                <w:sz w:val="20"/>
              </w:rPr>
              <w:t xml:space="preserve"> </w:t>
            </w:r>
            <w:r>
              <w:rPr>
                <w:rFonts w:ascii="Georgia" w:hAnsi="Georgia"/>
                <w:sz w:val="20"/>
              </w:rPr>
              <w:t>suteikt</w:t>
            </w:r>
            <w:r w:rsidRPr="00A445EE">
              <w:rPr>
                <w:rFonts w:ascii="Georgia" w:hAnsi="Georgia"/>
                <w:sz w:val="20"/>
              </w:rPr>
              <w:t xml:space="preserve">ų </w:t>
            </w:r>
            <w:r>
              <w:rPr>
                <w:rFonts w:ascii="Georgia" w:hAnsi="Georgia"/>
                <w:sz w:val="20"/>
              </w:rPr>
              <w:t xml:space="preserve">galutiniams </w:t>
            </w:r>
            <w:r w:rsidRPr="00A445EE">
              <w:rPr>
                <w:rFonts w:ascii="Georgia" w:hAnsi="Georgia"/>
                <w:sz w:val="20"/>
              </w:rPr>
              <w:t>naudos gavėjams</w:t>
            </w:r>
            <w:r>
              <w:rPr>
                <w:rFonts w:ascii="Georgia" w:hAnsi="Georgia"/>
                <w:sz w:val="20"/>
              </w:rPr>
              <w:t>, sumos.</w:t>
            </w:r>
          </w:p>
        </w:tc>
      </w:tr>
      <w:tr w:rsidR="00280058" w:rsidRPr="00E649A6" w14:paraId="2737B87E" w14:textId="77777777" w:rsidTr="00230209">
        <w:trPr>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bottom w:val="single" w:sz="8" w:space="0" w:color="C0504D" w:themeColor="accent2"/>
              <w:right w:val="single" w:sz="6" w:space="0" w:color="C0504D" w:themeColor="accent2"/>
            </w:tcBorders>
          </w:tcPr>
          <w:p w14:paraId="612F74AE" w14:textId="77777777" w:rsidR="00280058" w:rsidRPr="00C50D6A" w:rsidRDefault="00280058" w:rsidP="00BB18F6">
            <w:pPr>
              <w:rPr>
                <w:rFonts w:ascii="Georgia" w:hAnsi="Georgia"/>
                <w:b w:val="0"/>
                <w:sz w:val="20"/>
                <w:szCs w:val="20"/>
              </w:rPr>
            </w:pPr>
            <w:r w:rsidRPr="00C50D6A">
              <w:rPr>
                <w:rFonts w:ascii="Georgia" w:hAnsi="Georgia"/>
                <w:sz w:val="20"/>
                <w:szCs w:val="20"/>
              </w:rPr>
              <w:t xml:space="preserve">Projekto įgyvendinimo laikotarpis: 1 metai </w:t>
            </w:r>
          </w:p>
        </w:tc>
        <w:tc>
          <w:tcPr>
            <w:tcW w:w="3620" w:type="pct"/>
            <w:tcBorders>
              <w:top w:val="single" w:sz="6" w:space="0" w:color="C0504D" w:themeColor="accent2"/>
              <w:left w:val="single" w:sz="6" w:space="0" w:color="C0504D" w:themeColor="accent2"/>
              <w:bottom w:val="single" w:sz="8" w:space="0" w:color="C0504D" w:themeColor="accent2"/>
            </w:tcBorders>
          </w:tcPr>
          <w:p w14:paraId="749C3204" w14:textId="77777777"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Daroma prielaida, jog 10000 šviestuvų modernizavimo laikas yra 1 metai nuo paskolos sutarties pasirašymo momento.</w:t>
            </w:r>
          </w:p>
        </w:tc>
      </w:tr>
      <w:tr w:rsidR="00280058" w:rsidRPr="00E649A6" w14:paraId="3FB97373" w14:textId="77777777" w:rsidTr="002302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14:paraId="1FAD8920" w14:textId="77777777" w:rsidR="00280058" w:rsidRPr="00C50D6A" w:rsidRDefault="00280058" w:rsidP="00BB18F6">
            <w:pPr>
              <w:rPr>
                <w:rFonts w:ascii="Georgia" w:hAnsi="Georgia"/>
                <w:b w:val="0"/>
                <w:sz w:val="20"/>
                <w:szCs w:val="20"/>
              </w:rPr>
            </w:pPr>
            <w:r w:rsidRPr="00C50D6A">
              <w:rPr>
                <w:rFonts w:ascii="Georgia" w:hAnsi="Georgia"/>
                <w:sz w:val="20"/>
              </w:rPr>
              <w:t>Sugrįžusios lėšos pakartotinai panaudojamos: po 2 metų</w:t>
            </w:r>
          </w:p>
        </w:tc>
        <w:tc>
          <w:tcPr>
            <w:tcW w:w="3620" w:type="pct"/>
            <w:tcBorders>
              <w:top w:val="single" w:sz="6" w:space="0" w:color="C0504D" w:themeColor="accent2"/>
              <w:left w:val="single" w:sz="6" w:space="0" w:color="C0504D" w:themeColor="accent2"/>
            </w:tcBorders>
          </w:tcPr>
          <w:p w14:paraId="5F7251D0" w14:textId="77777777"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rPr>
              <w:t>Daroma prielaida, jog g</w:t>
            </w:r>
            <w:r w:rsidRPr="00E649A6">
              <w:rPr>
                <w:rFonts w:ascii="Georgia" w:hAnsi="Georgia"/>
                <w:sz w:val="20"/>
              </w:rPr>
              <w:t>rįžta</w:t>
            </w:r>
            <w:r>
              <w:rPr>
                <w:rFonts w:ascii="Georgia" w:hAnsi="Georgia"/>
                <w:sz w:val="20"/>
              </w:rPr>
              <w:t>nč</w:t>
            </w:r>
            <w:r w:rsidRPr="00E649A6">
              <w:rPr>
                <w:rFonts w:ascii="Georgia" w:hAnsi="Georgia"/>
                <w:sz w:val="20"/>
              </w:rPr>
              <w:t xml:space="preserve">ios lėšos </w:t>
            </w:r>
            <w:r>
              <w:rPr>
                <w:rFonts w:ascii="Georgia" w:hAnsi="Georgia"/>
                <w:sz w:val="20"/>
              </w:rPr>
              <w:t>pakartotinai panaudojamos projektų finansavimui tomis pačiomis sąlygomis po 2 metų.</w:t>
            </w:r>
          </w:p>
        </w:tc>
      </w:tr>
    </w:tbl>
    <w:p w14:paraId="488EE947" w14:textId="77777777" w:rsidR="00280058" w:rsidRDefault="00280058" w:rsidP="00280058">
      <w:pPr>
        <w:rPr>
          <w:rFonts w:ascii="Georgia" w:hAnsi="Georgia"/>
          <w:sz w:val="20"/>
          <w:szCs w:val="20"/>
          <w:lang w:val="lt-LT"/>
        </w:rPr>
      </w:pPr>
    </w:p>
    <w:p w14:paraId="2D983537" w14:textId="416591E6" w:rsidR="00280058" w:rsidRPr="002B70C1" w:rsidRDefault="00280058" w:rsidP="00280058">
      <w:pPr>
        <w:pStyle w:val="Antrat"/>
        <w:rPr>
          <w:szCs w:val="20"/>
          <w:lang w:val="lt-LT"/>
        </w:rPr>
      </w:pPr>
      <w:bookmarkStart w:id="233" w:name="_Toc460321701"/>
      <w:r w:rsidRPr="0009214D">
        <w:rPr>
          <w:lang w:val="lt-LT"/>
        </w:rPr>
        <w:t xml:space="preserve">Lentelė </w:t>
      </w:r>
      <w:r w:rsidRPr="0009214D">
        <w:rPr>
          <w:lang w:val="lt-LT"/>
        </w:rPr>
        <w:fldChar w:fldCharType="begin"/>
      </w:r>
      <w:r w:rsidRPr="0009214D">
        <w:rPr>
          <w:lang w:val="lt-LT"/>
        </w:rPr>
        <w:instrText xml:space="preserve"> SEQ Lentelė \* ARABIC </w:instrText>
      </w:r>
      <w:r w:rsidRPr="0009214D">
        <w:rPr>
          <w:lang w:val="lt-LT"/>
        </w:rPr>
        <w:fldChar w:fldCharType="separate"/>
      </w:r>
      <w:r w:rsidR="00AA3082">
        <w:rPr>
          <w:noProof/>
          <w:lang w:val="lt-LT"/>
        </w:rPr>
        <w:t>120</w:t>
      </w:r>
      <w:r w:rsidRPr="0009214D">
        <w:rPr>
          <w:lang w:val="lt-LT"/>
        </w:rPr>
        <w:fldChar w:fldCharType="end"/>
      </w:r>
      <w:r w:rsidRPr="0009214D">
        <w:rPr>
          <w:lang w:val="lt-LT"/>
        </w:rPr>
        <w:t xml:space="preserve">. </w:t>
      </w:r>
      <w:r w:rsidRPr="002B70C1">
        <w:rPr>
          <w:lang w:val="lt-LT"/>
        </w:rPr>
        <w:t>Scenarijaus Nr. 1 įgyvendinimo prognozė</w:t>
      </w:r>
      <w:bookmarkEnd w:id="233"/>
    </w:p>
    <w:p w14:paraId="433E5273" w14:textId="77777777" w:rsidR="00280058" w:rsidRDefault="00280058" w:rsidP="00280058">
      <w:pPr>
        <w:rPr>
          <w:lang w:val="lt-LT"/>
        </w:rPr>
      </w:pPr>
      <w:r>
        <w:rPr>
          <w:noProof/>
          <w:lang w:val="lt-LT" w:eastAsia="lt-LT"/>
        </w:rPr>
        <w:drawing>
          <wp:inline distT="0" distB="0" distL="0" distR="0" wp14:anchorId="698FF156" wp14:editId="522A5877">
            <wp:extent cx="6116320" cy="2286000"/>
            <wp:effectExtent l="0" t="0" r="0" b="0"/>
            <wp:docPr id="238" name="Paveikslėlis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6116320" cy="2286000"/>
                    </a:xfrm>
                    <a:prstGeom prst="rect">
                      <a:avLst/>
                    </a:prstGeom>
                    <a:noFill/>
                    <a:ln>
                      <a:noFill/>
                    </a:ln>
                  </pic:spPr>
                </pic:pic>
              </a:graphicData>
            </a:graphic>
          </wp:inline>
        </w:drawing>
      </w:r>
    </w:p>
    <w:p w14:paraId="48EDECF4" w14:textId="09B3EA31" w:rsidR="00280058" w:rsidRPr="002B70C1" w:rsidRDefault="00280058" w:rsidP="00280058">
      <w:pPr>
        <w:pStyle w:val="Antrat"/>
        <w:rPr>
          <w:szCs w:val="20"/>
          <w:lang w:val="lt-LT"/>
        </w:rPr>
      </w:pPr>
      <w:r w:rsidRPr="0009214D">
        <w:rPr>
          <w:lang w:val="lt-LT"/>
        </w:rPr>
        <w:t xml:space="preserve"> </w:t>
      </w:r>
      <w:bookmarkStart w:id="234" w:name="_Toc460321702"/>
      <w:r w:rsidRPr="0009214D">
        <w:rPr>
          <w:lang w:val="lt-LT"/>
        </w:rPr>
        <w:t xml:space="preserve">Lentelė </w:t>
      </w:r>
      <w:r w:rsidRPr="0009214D">
        <w:rPr>
          <w:lang w:val="lt-LT"/>
        </w:rPr>
        <w:fldChar w:fldCharType="begin"/>
      </w:r>
      <w:r w:rsidRPr="0009214D">
        <w:rPr>
          <w:lang w:val="lt-LT"/>
        </w:rPr>
        <w:instrText xml:space="preserve"> SEQ Lentelė \* ARABIC </w:instrText>
      </w:r>
      <w:r w:rsidRPr="0009214D">
        <w:rPr>
          <w:lang w:val="lt-LT"/>
        </w:rPr>
        <w:fldChar w:fldCharType="separate"/>
      </w:r>
      <w:r w:rsidR="00AA3082">
        <w:rPr>
          <w:noProof/>
          <w:lang w:val="lt-LT"/>
        </w:rPr>
        <w:t>121</w:t>
      </w:r>
      <w:r w:rsidRPr="0009214D">
        <w:rPr>
          <w:lang w:val="lt-LT"/>
        </w:rPr>
        <w:fldChar w:fldCharType="end"/>
      </w:r>
      <w:r w:rsidRPr="0009214D">
        <w:rPr>
          <w:lang w:val="lt-LT"/>
        </w:rPr>
        <w:t xml:space="preserve">. </w:t>
      </w:r>
      <w:r w:rsidRPr="002B70C1">
        <w:rPr>
          <w:lang w:val="lt-LT"/>
        </w:rPr>
        <w:t>Scenarijaus Nr. 1 rezultatai</w:t>
      </w:r>
      <w:bookmarkEnd w:id="234"/>
    </w:p>
    <w:tbl>
      <w:tblPr>
        <w:tblStyle w:val="viesussraas2parykinimas"/>
        <w:tblW w:w="0" w:type="auto"/>
        <w:tblLook w:val="04A0" w:firstRow="1" w:lastRow="0" w:firstColumn="1" w:lastColumn="0" w:noHBand="0" w:noVBand="1"/>
      </w:tblPr>
      <w:tblGrid>
        <w:gridCol w:w="6653"/>
        <w:gridCol w:w="2589"/>
      </w:tblGrid>
      <w:tr w:rsidR="00280058" w:rsidRPr="00E649A6" w14:paraId="1BCFCDC8" w14:textId="77777777" w:rsidTr="00BB18F6">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6653" w:type="dxa"/>
          </w:tcPr>
          <w:p w14:paraId="6AA82B0C" w14:textId="77777777" w:rsidR="00280058" w:rsidRPr="00AC3318" w:rsidRDefault="00280058" w:rsidP="00BB18F6">
            <w:pPr>
              <w:jc w:val="center"/>
              <w:rPr>
                <w:rFonts w:ascii="Georgia" w:hAnsi="Georgia"/>
                <w:sz w:val="20"/>
                <w:szCs w:val="20"/>
              </w:rPr>
            </w:pPr>
            <w:r w:rsidRPr="00AC3318">
              <w:rPr>
                <w:rFonts w:ascii="Georgia" w:hAnsi="Georgia"/>
                <w:sz w:val="20"/>
                <w:szCs w:val="20"/>
              </w:rPr>
              <w:t>Fondas</w:t>
            </w:r>
          </w:p>
        </w:tc>
        <w:tc>
          <w:tcPr>
            <w:tcW w:w="2589" w:type="dxa"/>
          </w:tcPr>
          <w:p w14:paraId="50886677" w14:textId="77777777" w:rsidR="00280058" w:rsidRPr="00AC3318" w:rsidRDefault="00280058" w:rsidP="00BB18F6">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mln. </w:t>
            </w:r>
            <w:r>
              <w:rPr>
                <w:rFonts w:ascii="Georgia" w:hAnsi="Georgia"/>
                <w:bCs w:val="0"/>
                <w:sz w:val="20"/>
                <w:szCs w:val="20"/>
              </w:rPr>
              <w:t>eurų</w:t>
            </w:r>
          </w:p>
        </w:tc>
      </w:tr>
      <w:tr w:rsidR="00280058" w:rsidRPr="00E649A6" w14:paraId="3A41DA2B" w14:textId="77777777" w:rsidTr="00BB18F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6653" w:type="dxa"/>
          </w:tcPr>
          <w:p w14:paraId="0E163060" w14:textId="77777777" w:rsidR="00280058" w:rsidRPr="00AC3318" w:rsidRDefault="00280058" w:rsidP="00BB18F6">
            <w:pPr>
              <w:rPr>
                <w:rFonts w:ascii="Georgia" w:hAnsi="Georgia"/>
                <w:sz w:val="20"/>
                <w:szCs w:val="20"/>
              </w:rPr>
            </w:pPr>
            <w:r w:rsidRPr="00AC3318">
              <w:rPr>
                <w:rFonts w:ascii="Georgia" w:hAnsi="Georgia"/>
                <w:sz w:val="20"/>
                <w:szCs w:val="20"/>
              </w:rPr>
              <w:t>Galutinius naudos gavėjus pasiekusios lėšos</w:t>
            </w:r>
          </w:p>
        </w:tc>
        <w:tc>
          <w:tcPr>
            <w:tcW w:w="2589" w:type="dxa"/>
          </w:tcPr>
          <w:p w14:paraId="044A87A1" w14:textId="77777777" w:rsidR="00280058" w:rsidRPr="00AC3318" w:rsidRDefault="00280058"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15,6</w:t>
            </w:r>
          </w:p>
        </w:tc>
      </w:tr>
      <w:tr w:rsidR="00280058" w:rsidRPr="00E649A6" w14:paraId="76288172" w14:textId="77777777" w:rsidTr="00BB18F6">
        <w:trPr>
          <w:trHeight w:val="266"/>
        </w:trPr>
        <w:tc>
          <w:tcPr>
            <w:cnfStyle w:val="001000000000" w:firstRow="0" w:lastRow="0" w:firstColumn="1" w:lastColumn="0" w:oddVBand="0" w:evenVBand="0" w:oddHBand="0" w:evenHBand="0" w:firstRowFirstColumn="0" w:firstRowLastColumn="0" w:lastRowFirstColumn="0" w:lastRowLastColumn="0"/>
            <w:tcW w:w="6653" w:type="dxa"/>
          </w:tcPr>
          <w:p w14:paraId="0B5B83AF" w14:textId="77777777" w:rsidR="00280058" w:rsidRPr="00AC3318" w:rsidRDefault="00280058" w:rsidP="00BB18F6">
            <w:pPr>
              <w:rPr>
                <w:rFonts w:ascii="Georgia" w:hAnsi="Georgia"/>
                <w:sz w:val="20"/>
                <w:szCs w:val="20"/>
              </w:rPr>
            </w:pPr>
            <w:r w:rsidRPr="00AC3318">
              <w:rPr>
                <w:rFonts w:ascii="Georgia" w:hAnsi="Georgia"/>
                <w:sz w:val="20"/>
                <w:szCs w:val="20"/>
              </w:rPr>
              <w:t>Renovuotų šviestuvų skaičius</w:t>
            </w:r>
          </w:p>
        </w:tc>
        <w:tc>
          <w:tcPr>
            <w:tcW w:w="2589" w:type="dxa"/>
          </w:tcPr>
          <w:p w14:paraId="50D77ECE" w14:textId="77777777" w:rsidR="00280058" w:rsidRPr="00AC3318" w:rsidRDefault="00280058" w:rsidP="00BB18F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21920</w:t>
            </w:r>
          </w:p>
        </w:tc>
      </w:tr>
    </w:tbl>
    <w:p w14:paraId="0AFADFBD" w14:textId="77777777" w:rsidR="00280058" w:rsidRPr="00AC3318" w:rsidRDefault="00280058" w:rsidP="00280058">
      <w:pPr>
        <w:rPr>
          <w:rFonts w:ascii="Georgia" w:hAnsi="Georgia"/>
          <w:sz w:val="20"/>
          <w:szCs w:val="20"/>
          <w:lang w:val="lt-LT"/>
        </w:rPr>
      </w:pPr>
    </w:p>
    <w:p w14:paraId="556609BC" w14:textId="77777777" w:rsidR="00280058" w:rsidRPr="00765A39" w:rsidRDefault="00280058" w:rsidP="00C03122">
      <w:pPr>
        <w:pStyle w:val="Sraopastraipa"/>
        <w:keepNext/>
        <w:numPr>
          <w:ilvl w:val="0"/>
          <w:numId w:val="34"/>
        </w:numPr>
        <w:rPr>
          <w:rFonts w:ascii="Georgia" w:hAnsi="Georgia"/>
          <w:b/>
          <w:i/>
          <w:sz w:val="20"/>
          <w:szCs w:val="20"/>
          <w:lang w:val="lt-LT"/>
        </w:rPr>
      </w:pPr>
      <w:r w:rsidRPr="00765A39">
        <w:rPr>
          <w:rFonts w:ascii="Georgia" w:hAnsi="Georgia"/>
          <w:b/>
          <w:i/>
          <w:sz w:val="20"/>
          <w:szCs w:val="20"/>
          <w:lang w:val="lt-LT"/>
        </w:rPr>
        <w:lastRenderedPageBreak/>
        <w:t>Scenarijus Nr. 2: Lengvatinių paskolų teikimas su galimybę išpirkti ateities finansinius srautus</w:t>
      </w:r>
    </w:p>
    <w:p w14:paraId="4690545A" w14:textId="77777777" w:rsidR="00280058" w:rsidRDefault="00280058" w:rsidP="00280058">
      <w:pPr>
        <w:pStyle w:val="Antrat"/>
        <w:rPr>
          <w:lang w:val="lt-LT"/>
        </w:rPr>
      </w:pPr>
      <w:r>
        <w:rPr>
          <w:noProof/>
          <w:lang w:val="lt-LT" w:eastAsia="lt-LT"/>
        </w:rPr>
        <w:drawing>
          <wp:inline distT="0" distB="0" distL="0" distR="0" wp14:anchorId="3D90C078" wp14:editId="7534A35E">
            <wp:extent cx="5724525" cy="1390650"/>
            <wp:effectExtent l="0" t="0" r="9525" b="0"/>
            <wp:docPr id="286" name="Paveikslėlis 286" descr="Gatviu apsvietimas 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atviu apsvietimas Nr"/>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5724525" cy="1390650"/>
                    </a:xfrm>
                    <a:prstGeom prst="rect">
                      <a:avLst/>
                    </a:prstGeom>
                    <a:noFill/>
                    <a:ln>
                      <a:noFill/>
                    </a:ln>
                  </pic:spPr>
                </pic:pic>
              </a:graphicData>
            </a:graphic>
          </wp:inline>
        </w:drawing>
      </w:r>
    </w:p>
    <w:p w14:paraId="2A00DF7B" w14:textId="77777777" w:rsidR="009F55BB" w:rsidRDefault="009F55BB" w:rsidP="00280058">
      <w:pPr>
        <w:pStyle w:val="Antrat"/>
        <w:rPr>
          <w:lang w:val="lt-LT"/>
        </w:rPr>
      </w:pPr>
    </w:p>
    <w:p w14:paraId="7E8A42E7" w14:textId="5099F866" w:rsidR="00280058" w:rsidRPr="002B70C1" w:rsidRDefault="00280058" w:rsidP="00280058">
      <w:pPr>
        <w:pStyle w:val="Antrat"/>
        <w:rPr>
          <w:szCs w:val="20"/>
          <w:lang w:val="lt-LT"/>
        </w:rPr>
      </w:pPr>
      <w:bookmarkStart w:id="235" w:name="_Toc417378319"/>
      <w:r w:rsidRPr="0009214D">
        <w:rPr>
          <w:lang w:val="lt-LT"/>
        </w:rPr>
        <w:t xml:space="preserve">Paveikslas </w:t>
      </w:r>
      <w:r w:rsidRPr="0009214D">
        <w:rPr>
          <w:lang w:val="lt-LT"/>
        </w:rPr>
        <w:fldChar w:fldCharType="begin"/>
      </w:r>
      <w:r w:rsidRPr="0009214D">
        <w:rPr>
          <w:lang w:val="lt-LT"/>
        </w:rPr>
        <w:instrText xml:space="preserve"> SEQ Paveikslas \* ARABIC </w:instrText>
      </w:r>
      <w:r w:rsidRPr="0009214D">
        <w:rPr>
          <w:lang w:val="lt-LT"/>
        </w:rPr>
        <w:fldChar w:fldCharType="separate"/>
      </w:r>
      <w:r w:rsidR="00AA3082">
        <w:rPr>
          <w:noProof/>
          <w:lang w:val="lt-LT"/>
        </w:rPr>
        <w:t>42</w:t>
      </w:r>
      <w:r w:rsidRPr="0009214D">
        <w:rPr>
          <w:lang w:val="lt-LT"/>
        </w:rPr>
        <w:fldChar w:fldCharType="end"/>
      </w:r>
      <w:r w:rsidRPr="0009214D">
        <w:rPr>
          <w:lang w:val="lt-LT"/>
        </w:rPr>
        <w:t>. Gatvių apšvietimo scenarij</w:t>
      </w:r>
      <w:r>
        <w:rPr>
          <w:lang w:val="lt-LT"/>
        </w:rPr>
        <w:t>a</w:t>
      </w:r>
      <w:r w:rsidRPr="0009214D">
        <w:rPr>
          <w:lang w:val="lt-LT"/>
        </w:rPr>
        <w:t>us Nr. 2</w:t>
      </w:r>
      <w:r w:rsidRPr="002B70C1">
        <w:rPr>
          <w:lang w:val="lt-LT"/>
        </w:rPr>
        <w:t xml:space="preserve"> </w:t>
      </w:r>
      <w:r>
        <w:rPr>
          <w:lang w:val="lt-LT"/>
        </w:rPr>
        <w:t>schema</w:t>
      </w:r>
      <w:r w:rsidRPr="0009214D">
        <w:rPr>
          <w:lang w:val="lt-LT"/>
        </w:rPr>
        <w:t>.</w:t>
      </w:r>
      <w:bookmarkEnd w:id="235"/>
      <w:r w:rsidRPr="0009214D">
        <w:rPr>
          <w:lang w:val="lt-LT"/>
        </w:rPr>
        <w:t xml:space="preserve"> </w:t>
      </w:r>
    </w:p>
    <w:p w14:paraId="1935943A" w14:textId="48F02D1F" w:rsidR="00280058" w:rsidRPr="00AC3318" w:rsidRDefault="00280058" w:rsidP="00280058">
      <w:pPr>
        <w:jc w:val="both"/>
        <w:rPr>
          <w:rFonts w:ascii="Georgia" w:hAnsi="Georgia"/>
          <w:sz w:val="20"/>
          <w:szCs w:val="20"/>
          <w:lang w:val="lt-LT"/>
        </w:rPr>
      </w:pPr>
      <w:r w:rsidRPr="00AC3318">
        <w:rPr>
          <w:rFonts w:ascii="Georgia" w:hAnsi="Georgia"/>
          <w:sz w:val="20"/>
          <w:szCs w:val="20"/>
          <w:lang w:val="lt-LT"/>
        </w:rPr>
        <w:t xml:space="preserve">Antrame scenarijuje </w:t>
      </w:r>
      <w:r>
        <w:rPr>
          <w:rFonts w:ascii="Georgia" w:hAnsi="Georgia"/>
          <w:sz w:val="20"/>
          <w:szCs w:val="20"/>
          <w:lang w:val="lt-LT"/>
        </w:rPr>
        <w:t xml:space="preserve">modeliuojama toks pat scenarijus kaip </w:t>
      </w:r>
      <w:r w:rsidRPr="00AC3318">
        <w:rPr>
          <w:rFonts w:ascii="Georgia" w:hAnsi="Georgia"/>
          <w:sz w:val="20"/>
          <w:szCs w:val="20"/>
          <w:lang w:val="lt-LT"/>
        </w:rPr>
        <w:t xml:space="preserve">scenarijuje Nr. 1, tik papildomai </w:t>
      </w:r>
      <w:r>
        <w:rPr>
          <w:rFonts w:ascii="Georgia" w:hAnsi="Georgia"/>
          <w:sz w:val="20"/>
          <w:szCs w:val="20"/>
          <w:lang w:val="lt-LT"/>
        </w:rPr>
        <w:t>daroma prielaida</w:t>
      </w:r>
      <w:r w:rsidRPr="00AC3318">
        <w:rPr>
          <w:rFonts w:ascii="Georgia" w:hAnsi="Georgia"/>
          <w:sz w:val="20"/>
          <w:szCs w:val="20"/>
          <w:lang w:val="lt-LT"/>
        </w:rPr>
        <w:t>, kad</w:t>
      </w:r>
      <w:r>
        <w:rPr>
          <w:rFonts w:ascii="Georgia" w:hAnsi="Georgia"/>
          <w:sz w:val="20"/>
          <w:szCs w:val="20"/>
          <w:lang w:val="lt-LT"/>
        </w:rPr>
        <w:t xml:space="preserve"> bus</w:t>
      </w:r>
      <w:r w:rsidRPr="00AC3318">
        <w:rPr>
          <w:rFonts w:ascii="Georgia" w:hAnsi="Georgia"/>
          <w:sz w:val="20"/>
          <w:szCs w:val="20"/>
          <w:lang w:val="lt-LT"/>
        </w:rPr>
        <w:t xml:space="preserve"> sukuriamas </w:t>
      </w:r>
      <w:r>
        <w:rPr>
          <w:rFonts w:ascii="Georgia" w:hAnsi="Georgia"/>
          <w:sz w:val="20"/>
          <w:szCs w:val="20"/>
          <w:lang w:val="lt-LT"/>
        </w:rPr>
        <w:t xml:space="preserve">privatus </w:t>
      </w:r>
      <w:r w:rsidRPr="00AC3318">
        <w:rPr>
          <w:rFonts w:ascii="Georgia" w:hAnsi="Georgia"/>
          <w:sz w:val="20"/>
          <w:szCs w:val="20"/>
          <w:lang w:val="lt-LT"/>
        </w:rPr>
        <w:t xml:space="preserve">investicinis </w:t>
      </w:r>
      <w:r>
        <w:rPr>
          <w:rFonts w:ascii="Georgia" w:hAnsi="Georgia"/>
          <w:sz w:val="20"/>
          <w:szCs w:val="20"/>
          <w:lang w:val="lt-LT"/>
        </w:rPr>
        <w:t>fondas</w:t>
      </w:r>
      <w:r w:rsidRPr="00AC3318">
        <w:rPr>
          <w:rFonts w:ascii="Georgia" w:hAnsi="Georgia"/>
          <w:sz w:val="20"/>
          <w:szCs w:val="20"/>
          <w:lang w:val="lt-LT"/>
        </w:rPr>
        <w:t xml:space="preserve">, kuris </w:t>
      </w:r>
      <w:r>
        <w:rPr>
          <w:rFonts w:ascii="Georgia" w:hAnsi="Georgia"/>
          <w:sz w:val="20"/>
          <w:szCs w:val="20"/>
          <w:lang w:val="lt-LT"/>
        </w:rPr>
        <w:t>išpers</w:t>
      </w:r>
      <w:r w:rsidRPr="00AC3318">
        <w:rPr>
          <w:rFonts w:ascii="Georgia" w:hAnsi="Georgia"/>
          <w:sz w:val="20"/>
          <w:szCs w:val="20"/>
          <w:lang w:val="lt-LT"/>
        </w:rPr>
        <w:t xml:space="preserve"> 70 % paskolų. </w:t>
      </w:r>
    </w:p>
    <w:p w14:paraId="378435BC" w14:textId="48528871" w:rsidR="00280058" w:rsidRPr="002B70C1" w:rsidRDefault="00280058" w:rsidP="00280058">
      <w:pPr>
        <w:pStyle w:val="Antrat"/>
        <w:rPr>
          <w:szCs w:val="20"/>
          <w:lang w:val="lt-LT"/>
        </w:rPr>
      </w:pPr>
      <w:bookmarkStart w:id="236" w:name="_Toc460321703"/>
      <w:r w:rsidRPr="0009214D">
        <w:rPr>
          <w:lang w:val="lt-LT"/>
        </w:rPr>
        <w:t xml:space="preserve">Lentelė </w:t>
      </w:r>
      <w:r w:rsidRPr="0009214D">
        <w:rPr>
          <w:lang w:val="lt-LT"/>
        </w:rPr>
        <w:fldChar w:fldCharType="begin"/>
      </w:r>
      <w:r w:rsidRPr="0009214D">
        <w:rPr>
          <w:lang w:val="lt-LT"/>
        </w:rPr>
        <w:instrText xml:space="preserve"> SEQ Lentelė \* ARABIC </w:instrText>
      </w:r>
      <w:r w:rsidRPr="0009214D">
        <w:rPr>
          <w:lang w:val="lt-LT"/>
        </w:rPr>
        <w:fldChar w:fldCharType="separate"/>
      </w:r>
      <w:r w:rsidR="00AA3082">
        <w:rPr>
          <w:noProof/>
          <w:lang w:val="lt-LT"/>
        </w:rPr>
        <w:t>122</w:t>
      </w:r>
      <w:r w:rsidRPr="0009214D">
        <w:rPr>
          <w:lang w:val="lt-LT"/>
        </w:rPr>
        <w:fldChar w:fldCharType="end"/>
      </w:r>
      <w:r w:rsidRPr="0009214D">
        <w:rPr>
          <w:lang w:val="lt-LT"/>
        </w:rPr>
        <w:t xml:space="preserve">. </w:t>
      </w:r>
      <w:r w:rsidRPr="002B70C1">
        <w:rPr>
          <w:szCs w:val="20"/>
          <w:lang w:val="lt-LT"/>
        </w:rPr>
        <w:t>Scenarijaus Nr. 2 prielaidos</w:t>
      </w:r>
      <w:bookmarkEnd w:id="236"/>
    </w:p>
    <w:tbl>
      <w:tblPr>
        <w:tblStyle w:val="viesussraas2parykinimas"/>
        <w:tblW w:w="5000" w:type="pct"/>
        <w:tblLook w:val="04A0" w:firstRow="1" w:lastRow="0" w:firstColumn="1" w:lastColumn="0" w:noHBand="0" w:noVBand="1"/>
      </w:tblPr>
      <w:tblGrid>
        <w:gridCol w:w="2488"/>
        <w:gridCol w:w="6754"/>
      </w:tblGrid>
      <w:tr w:rsidR="00280058" w:rsidRPr="00E649A6" w14:paraId="6B4A8A05" w14:textId="77777777" w:rsidTr="002302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46" w:type="pct"/>
            <w:tcBorders>
              <w:bottom w:val="single" w:sz="8" w:space="0" w:color="C0504D" w:themeColor="accent2"/>
            </w:tcBorders>
          </w:tcPr>
          <w:p w14:paraId="660E3DC5" w14:textId="77777777" w:rsidR="00280058" w:rsidRPr="00AC3318" w:rsidRDefault="00280058" w:rsidP="00230209">
            <w:pPr>
              <w:jc w:val="center"/>
              <w:rPr>
                <w:rFonts w:ascii="Georgia" w:hAnsi="Georgia"/>
                <w:sz w:val="20"/>
                <w:szCs w:val="20"/>
              </w:rPr>
            </w:pPr>
            <w:r w:rsidRPr="00AC3318">
              <w:rPr>
                <w:rFonts w:ascii="Georgia" w:hAnsi="Georgia"/>
                <w:sz w:val="20"/>
                <w:szCs w:val="20"/>
              </w:rPr>
              <w:t>Prielaidos</w:t>
            </w:r>
          </w:p>
        </w:tc>
        <w:tc>
          <w:tcPr>
            <w:tcW w:w="3654" w:type="pct"/>
            <w:tcBorders>
              <w:bottom w:val="single" w:sz="8" w:space="0" w:color="C0504D" w:themeColor="accent2"/>
            </w:tcBorders>
          </w:tcPr>
          <w:p w14:paraId="4B648B8D" w14:textId="77777777" w:rsidR="00280058" w:rsidRPr="00AC3318" w:rsidRDefault="00280058" w:rsidP="00230209">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Komentaras</w:t>
            </w:r>
          </w:p>
        </w:tc>
      </w:tr>
      <w:tr w:rsidR="00280058" w:rsidRPr="00E649A6" w14:paraId="37AFB8F9" w14:textId="77777777" w:rsidTr="002302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46" w:type="pct"/>
            <w:tcBorders>
              <w:top w:val="single" w:sz="6" w:space="0" w:color="C0504D" w:themeColor="accent2"/>
              <w:right w:val="single" w:sz="6" w:space="0" w:color="C0504D" w:themeColor="accent2"/>
            </w:tcBorders>
          </w:tcPr>
          <w:p w14:paraId="259DCDF1" w14:textId="77777777" w:rsidR="00280058" w:rsidRPr="00C50D6A" w:rsidRDefault="00280058" w:rsidP="00BB18F6">
            <w:pPr>
              <w:rPr>
                <w:rFonts w:ascii="Georgia" w:hAnsi="Georgia"/>
                <w:b w:val="0"/>
                <w:sz w:val="20"/>
                <w:szCs w:val="20"/>
              </w:rPr>
            </w:pPr>
            <w:r w:rsidRPr="00C50D6A">
              <w:rPr>
                <w:rFonts w:ascii="Georgia" w:hAnsi="Georgia"/>
                <w:sz w:val="20"/>
                <w:szCs w:val="20"/>
              </w:rPr>
              <w:t>Paskolos laikotarpis: iki 20 metų</w:t>
            </w:r>
          </w:p>
        </w:tc>
        <w:tc>
          <w:tcPr>
            <w:tcW w:w="3654" w:type="pct"/>
            <w:tcBorders>
              <w:top w:val="single" w:sz="6" w:space="0" w:color="C0504D" w:themeColor="accent2"/>
              <w:left w:val="single" w:sz="6" w:space="0" w:color="C0504D" w:themeColor="accent2"/>
            </w:tcBorders>
          </w:tcPr>
          <w:p w14:paraId="31F24E39" w14:textId="77777777"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Maksim</w:t>
            </w:r>
            <w:r>
              <w:rPr>
                <w:rFonts w:ascii="Georgia" w:hAnsi="Georgia"/>
                <w:sz w:val="20"/>
                <w:szCs w:val="20"/>
              </w:rPr>
              <w:t>alus sutarties terminas 20 metų.</w:t>
            </w:r>
          </w:p>
        </w:tc>
      </w:tr>
      <w:tr w:rsidR="00280058" w:rsidRPr="00E649A6" w14:paraId="427AAC14" w14:textId="77777777" w:rsidTr="00230209">
        <w:trPr>
          <w:cantSplit/>
          <w:trHeight w:val="489"/>
        </w:trPr>
        <w:tc>
          <w:tcPr>
            <w:cnfStyle w:val="001000000000" w:firstRow="0" w:lastRow="0" w:firstColumn="1" w:lastColumn="0" w:oddVBand="0" w:evenVBand="0" w:oddHBand="0" w:evenHBand="0" w:firstRowFirstColumn="0" w:firstRowLastColumn="0" w:lastRowFirstColumn="0" w:lastRowLastColumn="0"/>
            <w:tcW w:w="1346" w:type="pct"/>
            <w:tcBorders>
              <w:top w:val="single" w:sz="6" w:space="0" w:color="C0504D" w:themeColor="accent2"/>
              <w:right w:val="single" w:sz="6" w:space="0" w:color="C0504D" w:themeColor="accent2"/>
            </w:tcBorders>
          </w:tcPr>
          <w:p w14:paraId="6B58013F" w14:textId="77777777" w:rsidR="00280058" w:rsidRPr="00C50D6A" w:rsidRDefault="00280058" w:rsidP="00BB18F6">
            <w:pPr>
              <w:rPr>
                <w:rFonts w:ascii="Georgia" w:hAnsi="Georgia"/>
                <w:b w:val="0"/>
                <w:sz w:val="20"/>
                <w:szCs w:val="20"/>
              </w:rPr>
            </w:pPr>
            <w:r w:rsidRPr="00C50D6A">
              <w:rPr>
                <w:rFonts w:ascii="Georgia" w:hAnsi="Georgia"/>
                <w:sz w:val="20"/>
                <w:szCs w:val="20"/>
              </w:rPr>
              <w:t>B</w:t>
            </w:r>
            <w:r w:rsidR="00230209">
              <w:rPr>
                <w:rFonts w:ascii="Georgia" w:hAnsi="Georgia"/>
                <w:sz w:val="20"/>
                <w:szCs w:val="20"/>
              </w:rPr>
              <w:t>logų paskolų dalis: 5</w:t>
            </w:r>
            <w:r w:rsidRPr="00C50D6A">
              <w:rPr>
                <w:rFonts w:ascii="Georgia" w:hAnsi="Georgia"/>
                <w:sz w:val="20"/>
                <w:szCs w:val="20"/>
              </w:rPr>
              <w:t>%</w:t>
            </w:r>
          </w:p>
        </w:tc>
        <w:tc>
          <w:tcPr>
            <w:tcW w:w="3654" w:type="pct"/>
            <w:tcBorders>
              <w:top w:val="single" w:sz="6" w:space="0" w:color="C0504D" w:themeColor="accent2"/>
              <w:left w:val="single" w:sz="6" w:space="0" w:color="C0504D" w:themeColor="accent2"/>
            </w:tcBorders>
          </w:tcPr>
          <w:p w14:paraId="2A34B118" w14:textId="77777777"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Blogų paskolų dalis buvo nustatyta remiantis ekspertų ir </w:t>
            </w:r>
            <w:r>
              <w:rPr>
                <w:rFonts w:ascii="Georgia" w:hAnsi="Georgia"/>
                <w:sz w:val="20"/>
                <w:szCs w:val="20"/>
              </w:rPr>
              <w:t xml:space="preserve">komercinių </w:t>
            </w:r>
            <w:r w:rsidRPr="00AC3318">
              <w:rPr>
                <w:rFonts w:ascii="Georgia" w:hAnsi="Georgia"/>
                <w:sz w:val="20"/>
                <w:szCs w:val="20"/>
              </w:rPr>
              <w:t>bankų vertinimu ir ji atitinka PwC studijoje nustatytą dydį</w:t>
            </w:r>
          </w:p>
        </w:tc>
      </w:tr>
      <w:tr w:rsidR="00280058" w:rsidRPr="00E649A6" w14:paraId="2FA55F61" w14:textId="77777777" w:rsidTr="002302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46" w:type="pct"/>
            <w:tcBorders>
              <w:top w:val="single" w:sz="6" w:space="0" w:color="C0504D" w:themeColor="accent2"/>
              <w:right w:val="single" w:sz="6" w:space="0" w:color="C0504D" w:themeColor="accent2"/>
            </w:tcBorders>
          </w:tcPr>
          <w:p w14:paraId="7728443E" w14:textId="77777777" w:rsidR="00280058" w:rsidRPr="00C50D6A" w:rsidRDefault="00280058" w:rsidP="00BB18F6">
            <w:pPr>
              <w:rPr>
                <w:rFonts w:ascii="Georgia" w:hAnsi="Georgia"/>
                <w:b w:val="0"/>
                <w:sz w:val="20"/>
                <w:szCs w:val="20"/>
              </w:rPr>
            </w:pPr>
            <w:r w:rsidRPr="00C50D6A">
              <w:rPr>
                <w:rFonts w:ascii="Georgia" w:hAnsi="Georgia"/>
                <w:sz w:val="20"/>
                <w:szCs w:val="20"/>
              </w:rPr>
              <w:t xml:space="preserve">Vieno šviestuvo pakeitimo vertė: </w:t>
            </w:r>
          </w:p>
          <w:p w14:paraId="5ECEFB94" w14:textId="77777777" w:rsidR="00280058" w:rsidRPr="00C50D6A" w:rsidRDefault="00280058" w:rsidP="00BB18F6">
            <w:pPr>
              <w:rPr>
                <w:rFonts w:ascii="Georgia" w:hAnsi="Georgia"/>
                <w:b w:val="0"/>
                <w:sz w:val="20"/>
                <w:szCs w:val="20"/>
              </w:rPr>
            </w:pPr>
            <w:r w:rsidRPr="00C50D6A">
              <w:rPr>
                <w:rFonts w:ascii="Georgia" w:hAnsi="Georgia"/>
                <w:sz w:val="20"/>
                <w:szCs w:val="20"/>
              </w:rPr>
              <w:t xml:space="preserve">710 </w:t>
            </w:r>
            <w:r w:rsidRPr="00C50D6A">
              <w:rPr>
                <w:rFonts w:ascii="Georgia" w:hAnsi="Georgia"/>
                <w:bCs w:val="0"/>
                <w:sz w:val="20"/>
                <w:szCs w:val="20"/>
              </w:rPr>
              <w:t>eurų</w:t>
            </w:r>
          </w:p>
        </w:tc>
        <w:tc>
          <w:tcPr>
            <w:tcW w:w="3654" w:type="pct"/>
            <w:tcBorders>
              <w:top w:val="single" w:sz="6" w:space="0" w:color="C0504D" w:themeColor="accent2"/>
              <w:left w:val="single" w:sz="6" w:space="0" w:color="C0504D" w:themeColor="accent2"/>
            </w:tcBorders>
          </w:tcPr>
          <w:p w14:paraId="45963CC0" w14:textId="77777777" w:rsidR="00280058" w:rsidRPr="009D771A"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0"/>
              </w:rPr>
            </w:pPr>
            <w:r>
              <w:rPr>
                <w:rFonts w:ascii="Georgia" w:hAnsi="Georgia" w:cs="Georgia"/>
                <w:sz w:val="20"/>
                <w:szCs w:val="20"/>
              </w:rPr>
              <w:t xml:space="preserve">Atsižvelgiant į Vilniaus miesto apšvietimo tinklų modernizavimo techninį projektą bei pasirašytą sutartį su privačiu partneriu, Vilniuje bus renovuota 44000 šviestuvų už 31,28 mln. EUR (108 mln. Lt). Remiantis šiais duomenimis paskaičiuota, kad </w:t>
            </w:r>
            <w:r w:rsidRPr="00AC3318">
              <w:rPr>
                <w:rFonts w:ascii="Georgia" w:hAnsi="Georgia"/>
                <w:bCs/>
                <w:sz w:val="20"/>
                <w:szCs w:val="20"/>
              </w:rPr>
              <w:t xml:space="preserve">vieno šviestuvo vidutinė modernizacijos kaina sieks 710 </w:t>
            </w:r>
            <w:r>
              <w:rPr>
                <w:rFonts w:ascii="Georgia" w:hAnsi="Georgia"/>
                <w:bCs/>
                <w:sz w:val="20"/>
                <w:szCs w:val="20"/>
              </w:rPr>
              <w:t>eurų</w:t>
            </w:r>
            <w:r w:rsidRPr="00AC3318">
              <w:rPr>
                <w:rFonts w:ascii="Georgia" w:hAnsi="Georgia"/>
                <w:bCs/>
                <w:sz w:val="20"/>
                <w:szCs w:val="20"/>
              </w:rPr>
              <w:t xml:space="preserve"> (2451 LTL)</w:t>
            </w:r>
            <w:r>
              <w:rPr>
                <w:rFonts w:ascii="Georgia" w:hAnsi="Georgia"/>
                <w:bCs/>
                <w:sz w:val="20"/>
                <w:szCs w:val="20"/>
              </w:rPr>
              <w:t>.</w:t>
            </w:r>
            <w:r>
              <w:rPr>
                <w:rFonts w:ascii="Georgia" w:hAnsi="Georgia" w:cs="Georgia"/>
                <w:sz w:val="20"/>
                <w:szCs w:val="20"/>
              </w:rPr>
              <w:t xml:space="preserve"> </w:t>
            </w:r>
          </w:p>
        </w:tc>
      </w:tr>
      <w:tr w:rsidR="00280058" w:rsidRPr="00E649A6" w14:paraId="28543CA6" w14:textId="77777777" w:rsidTr="00230209">
        <w:trPr>
          <w:cantSplit/>
        </w:trPr>
        <w:tc>
          <w:tcPr>
            <w:cnfStyle w:val="001000000000" w:firstRow="0" w:lastRow="0" w:firstColumn="1" w:lastColumn="0" w:oddVBand="0" w:evenVBand="0" w:oddHBand="0" w:evenHBand="0" w:firstRowFirstColumn="0" w:firstRowLastColumn="0" w:lastRowFirstColumn="0" w:lastRowLastColumn="0"/>
            <w:tcW w:w="1346" w:type="pct"/>
            <w:tcBorders>
              <w:top w:val="single" w:sz="6" w:space="0" w:color="C0504D" w:themeColor="accent2"/>
              <w:right w:val="single" w:sz="6" w:space="0" w:color="C0504D" w:themeColor="accent2"/>
            </w:tcBorders>
          </w:tcPr>
          <w:p w14:paraId="7648C69B" w14:textId="77777777" w:rsidR="00280058" w:rsidRPr="00C50D6A" w:rsidRDefault="00280058" w:rsidP="00BB18F6">
            <w:pPr>
              <w:rPr>
                <w:rFonts w:ascii="Georgia" w:hAnsi="Georgia"/>
                <w:b w:val="0"/>
                <w:sz w:val="20"/>
                <w:szCs w:val="20"/>
              </w:rPr>
            </w:pPr>
            <w:r w:rsidRPr="00C50D6A">
              <w:rPr>
                <w:rFonts w:ascii="Georgia" w:hAnsi="Georgia"/>
                <w:sz w:val="20"/>
                <w:szCs w:val="20"/>
              </w:rPr>
              <w:t xml:space="preserve">Investuojamos ESI fondų lėšos į fondą: 14,5 mln. </w:t>
            </w:r>
            <w:r w:rsidRPr="00C50D6A">
              <w:rPr>
                <w:rFonts w:ascii="Georgia" w:hAnsi="Georgia"/>
                <w:bCs w:val="0"/>
                <w:sz w:val="20"/>
                <w:szCs w:val="20"/>
              </w:rPr>
              <w:t>eurų</w:t>
            </w:r>
            <w:r w:rsidRPr="00C50D6A">
              <w:rPr>
                <w:rFonts w:ascii="Georgia" w:hAnsi="Georgia"/>
                <w:sz w:val="20"/>
                <w:szCs w:val="20"/>
              </w:rPr>
              <w:t>.</w:t>
            </w:r>
          </w:p>
        </w:tc>
        <w:tc>
          <w:tcPr>
            <w:tcW w:w="3654" w:type="pct"/>
            <w:tcBorders>
              <w:top w:val="single" w:sz="6" w:space="0" w:color="C0504D" w:themeColor="accent2"/>
              <w:left w:val="single" w:sz="6" w:space="0" w:color="C0504D" w:themeColor="accent2"/>
            </w:tcBorders>
          </w:tcPr>
          <w:p w14:paraId="60F81541" w14:textId="77777777"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Daroma prielaida, jog 2014-2020 programavimo periodo, gatvių apšvietimo modernizavimui skirtos lėšos – 14,5 mln. eurų- bus nukeiptos paskolų priemonei įgyvendinti.</w:t>
            </w:r>
          </w:p>
        </w:tc>
      </w:tr>
      <w:tr w:rsidR="00280058" w:rsidRPr="00E649A6" w14:paraId="1C3A8139" w14:textId="77777777" w:rsidTr="002302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46" w:type="pct"/>
            <w:tcBorders>
              <w:top w:val="single" w:sz="6" w:space="0" w:color="C0504D" w:themeColor="accent2"/>
              <w:right w:val="single" w:sz="6" w:space="0" w:color="C0504D" w:themeColor="accent2"/>
            </w:tcBorders>
          </w:tcPr>
          <w:p w14:paraId="42A78492" w14:textId="77777777" w:rsidR="00280058" w:rsidRPr="00C50D6A" w:rsidRDefault="00280058" w:rsidP="00230209">
            <w:pPr>
              <w:rPr>
                <w:rFonts w:ascii="Georgia" w:hAnsi="Georgia"/>
                <w:b w:val="0"/>
                <w:sz w:val="20"/>
                <w:szCs w:val="20"/>
              </w:rPr>
            </w:pPr>
            <w:r w:rsidRPr="00C50D6A">
              <w:rPr>
                <w:rFonts w:ascii="Georgia" w:hAnsi="Georgia"/>
                <w:sz w:val="20"/>
                <w:szCs w:val="20"/>
              </w:rPr>
              <w:t>Palūkanų norma: 2%</w:t>
            </w:r>
          </w:p>
        </w:tc>
        <w:tc>
          <w:tcPr>
            <w:tcW w:w="3654" w:type="pct"/>
            <w:tcBorders>
              <w:top w:val="single" w:sz="6" w:space="0" w:color="C0504D" w:themeColor="accent2"/>
              <w:left w:val="single" w:sz="6" w:space="0" w:color="C0504D" w:themeColor="accent2"/>
            </w:tcBorders>
          </w:tcPr>
          <w:p w14:paraId="2F95ADD5" w14:textId="77777777"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1D11FC">
              <w:rPr>
                <w:rFonts w:ascii="Georgia" w:hAnsi="Georgia"/>
                <w:sz w:val="20"/>
                <w:szCs w:val="20"/>
              </w:rPr>
              <w:t>Nustatomos lengvatinės  fiksuotos 2% palūkanos.</w:t>
            </w:r>
          </w:p>
        </w:tc>
      </w:tr>
      <w:tr w:rsidR="00280058" w:rsidRPr="00E649A6" w14:paraId="3AB8D439" w14:textId="77777777" w:rsidTr="00230209">
        <w:trPr>
          <w:cantSplit/>
        </w:trPr>
        <w:tc>
          <w:tcPr>
            <w:cnfStyle w:val="001000000000" w:firstRow="0" w:lastRow="0" w:firstColumn="1" w:lastColumn="0" w:oddVBand="0" w:evenVBand="0" w:oddHBand="0" w:evenHBand="0" w:firstRowFirstColumn="0" w:firstRowLastColumn="0" w:lastRowFirstColumn="0" w:lastRowLastColumn="0"/>
            <w:tcW w:w="1346" w:type="pct"/>
            <w:tcBorders>
              <w:top w:val="single" w:sz="6" w:space="0" w:color="C0504D" w:themeColor="accent2"/>
              <w:right w:val="single" w:sz="6" w:space="0" w:color="C0504D" w:themeColor="accent2"/>
            </w:tcBorders>
          </w:tcPr>
          <w:p w14:paraId="0B7C2E11" w14:textId="77777777" w:rsidR="00280058" w:rsidRPr="00C50D6A" w:rsidRDefault="00280058" w:rsidP="00BB18F6">
            <w:pPr>
              <w:rPr>
                <w:rFonts w:ascii="Georgia" w:hAnsi="Georgia"/>
                <w:b w:val="0"/>
                <w:sz w:val="20"/>
                <w:szCs w:val="20"/>
              </w:rPr>
            </w:pPr>
            <w:r w:rsidRPr="00C50D6A">
              <w:rPr>
                <w:rFonts w:ascii="Georgia" w:hAnsi="Georgia"/>
                <w:sz w:val="20"/>
                <w:szCs w:val="20"/>
              </w:rPr>
              <w:t>Siektinas pakeistų šviestuvų skaičius per metus: 10 000</w:t>
            </w:r>
          </w:p>
        </w:tc>
        <w:tc>
          <w:tcPr>
            <w:tcW w:w="3654" w:type="pct"/>
            <w:tcBorders>
              <w:top w:val="single" w:sz="6" w:space="0" w:color="C0504D" w:themeColor="accent2"/>
              <w:left w:val="single" w:sz="6" w:space="0" w:color="C0504D" w:themeColor="accent2"/>
            </w:tcBorders>
          </w:tcPr>
          <w:p w14:paraId="36000B28" w14:textId="77777777"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Daroma prielaida, kad per metus butų galima </w:t>
            </w:r>
            <w:r>
              <w:rPr>
                <w:rFonts w:ascii="Georgia" w:hAnsi="Georgia"/>
                <w:sz w:val="20"/>
                <w:szCs w:val="20"/>
              </w:rPr>
              <w:t>atnaujinti</w:t>
            </w:r>
            <w:r w:rsidRPr="00AC3318">
              <w:rPr>
                <w:rFonts w:ascii="Georgia" w:hAnsi="Georgia"/>
                <w:sz w:val="20"/>
                <w:szCs w:val="20"/>
              </w:rPr>
              <w:t xml:space="preserve"> 10 000 šviestuvų </w:t>
            </w:r>
          </w:p>
        </w:tc>
      </w:tr>
      <w:tr w:rsidR="00280058" w:rsidRPr="00E649A6" w14:paraId="50D37FF0" w14:textId="77777777" w:rsidTr="002302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46" w:type="pct"/>
            <w:tcBorders>
              <w:top w:val="single" w:sz="6" w:space="0" w:color="C0504D" w:themeColor="accent2"/>
              <w:right w:val="single" w:sz="6" w:space="0" w:color="C0504D" w:themeColor="accent2"/>
            </w:tcBorders>
          </w:tcPr>
          <w:p w14:paraId="5FB26E9D" w14:textId="77777777" w:rsidR="00280058" w:rsidRPr="00C50D6A" w:rsidRDefault="00280058" w:rsidP="00BB18F6">
            <w:pPr>
              <w:rPr>
                <w:rFonts w:ascii="Georgia" w:hAnsi="Georgia"/>
                <w:b w:val="0"/>
                <w:sz w:val="20"/>
                <w:szCs w:val="20"/>
              </w:rPr>
            </w:pPr>
            <w:r w:rsidRPr="00C50D6A">
              <w:rPr>
                <w:rFonts w:ascii="Georgia" w:hAnsi="Georgia"/>
                <w:sz w:val="20"/>
              </w:rPr>
              <w:t>Valdymo mokestis: vadovaujantis Deleguoto reglamento nuostatomis</w:t>
            </w:r>
          </w:p>
        </w:tc>
        <w:tc>
          <w:tcPr>
            <w:tcW w:w="3654" w:type="pct"/>
            <w:tcBorders>
              <w:top w:val="single" w:sz="6" w:space="0" w:color="C0504D" w:themeColor="accent2"/>
              <w:left w:val="single" w:sz="6" w:space="0" w:color="C0504D" w:themeColor="accent2"/>
            </w:tcBorders>
          </w:tcPr>
          <w:p w14:paraId="5B4A6A0E" w14:textId="77777777"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rPr>
              <w:t>Vadovaujantis Deleguoto reglamento nuostatomis, valdymo mokestis susideda iš dviejų dalių: 0,5 proc. bazinis mokestis nuo finansinei priemonei skirtų ir įmokėtų lėšų, 1 proc. mokestis n</w:t>
            </w:r>
            <w:r w:rsidRPr="00A445EE">
              <w:rPr>
                <w:rFonts w:ascii="Georgia" w:hAnsi="Georgia"/>
                <w:sz w:val="20"/>
              </w:rPr>
              <w:t xml:space="preserve">uo </w:t>
            </w:r>
            <w:r>
              <w:rPr>
                <w:rFonts w:ascii="Georgia" w:hAnsi="Georgia"/>
                <w:sz w:val="20"/>
              </w:rPr>
              <w:t>paskolų,</w:t>
            </w:r>
            <w:r w:rsidRPr="00A445EE">
              <w:rPr>
                <w:rFonts w:ascii="Georgia" w:hAnsi="Georgia"/>
                <w:sz w:val="20"/>
              </w:rPr>
              <w:t xml:space="preserve"> </w:t>
            </w:r>
            <w:r>
              <w:rPr>
                <w:rFonts w:ascii="Georgia" w:hAnsi="Georgia"/>
                <w:sz w:val="20"/>
              </w:rPr>
              <w:t>suteikt</w:t>
            </w:r>
            <w:r w:rsidRPr="00A445EE">
              <w:rPr>
                <w:rFonts w:ascii="Georgia" w:hAnsi="Georgia"/>
                <w:sz w:val="20"/>
              </w:rPr>
              <w:t xml:space="preserve">ų </w:t>
            </w:r>
            <w:r>
              <w:rPr>
                <w:rFonts w:ascii="Georgia" w:hAnsi="Georgia"/>
                <w:sz w:val="20"/>
              </w:rPr>
              <w:t xml:space="preserve">galutiniams </w:t>
            </w:r>
            <w:r w:rsidRPr="00A445EE">
              <w:rPr>
                <w:rFonts w:ascii="Georgia" w:hAnsi="Georgia"/>
                <w:sz w:val="20"/>
              </w:rPr>
              <w:t>naudos gavėjams</w:t>
            </w:r>
            <w:r>
              <w:rPr>
                <w:rFonts w:ascii="Georgia" w:hAnsi="Georgia"/>
                <w:sz w:val="20"/>
              </w:rPr>
              <w:t>, sumos.</w:t>
            </w:r>
          </w:p>
        </w:tc>
      </w:tr>
      <w:tr w:rsidR="00280058" w:rsidRPr="00E649A6" w14:paraId="7DD0BA08" w14:textId="77777777" w:rsidTr="00230209">
        <w:trPr>
          <w:cantSplit/>
        </w:trPr>
        <w:tc>
          <w:tcPr>
            <w:cnfStyle w:val="001000000000" w:firstRow="0" w:lastRow="0" w:firstColumn="1" w:lastColumn="0" w:oddVBand="0" w:evenVBand="0" w:oddHBand="0" w:evenHBand="0" w:firstRowFirstColumn="0" w:firstRowLastColumn="0" w:lastRowFirstColumn="0" w:lastRowLastColumn="0"/>
            <w:tcW w:w="1346" w:type="pct"/>
            <w:tcBorders>
              <w:top w:val="single" w:sz="6" w:space="0" w:color="C0504D" w:themeColor="accent2"/>
              <w:bottom w:val="single" w:sz="8" w:space="0" w:color="C0504D" w:themeColor="accent2"/>
              <w:right w:val="single" w:sz="6" w:space="0" w:color="C0504D" w:themeColor="accent2"/>
            </w:tcBorders>
          </w:tcPr>
          <w:p w14:paraId="5CE006C2" w14:textId="77777777" w:rsidR="00280058" w:rsidRPr="00C50D6A" w:rsidRDefault="00280058" w:rsidP="00BB18F6">
            <w:pPr>
              <w:rPr>
                <w:rFonts w:ascii="Georgia" w:hAnsi="Georgia"/>
                <w:b w:val="0"/>
                <w:sz w:val="20"/>
                <w:szCs w:val="20"/>
              </w:rPr>
            </w:pPr>
            <w:r w:rsidRPr="00C50D6A">
              <w:rPr>
                <w:rFonts w:ascii="Georgia" w:hAnsi="Georgia"/>
                <w:sz w:val="20"/>
                <w:szCs w:val="20"/>
              </w:rPr>
              <w:t xml:space="preserve">Projekto įgyvendinimo laikotarpis: 1 metai </w:t>
            </w:r>
          </w:p>
        </w:tc>
        <w:tc>
          <w:tcPr>
            <w:tcW w:w="3654" w:type="pct"/>
            <w:tcBorders>
              <w:top w:val="single" w:sz="6" w:space="0" w:color="C0504D" w:themeColor="accent2"/>
              <w:left w:val="single" w:sz="6" w:space="0" w:color="C0504D" w:themeColor="accent2"/>
              <w:bottom w:val="single" w:sz="8" w:space="0" w:color="C0504D" w:themeColor="accent2"/>
            </w:tcBorders>
          </w:tcPr>
          <w:p w14:paraId="197021E3" w14:textId="77777777"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Daroma prielaida, jog 10000 šviestuvų modernizavimo laikas yra 1 metai nuo paskolos sutarties pasirašymo momento.</w:t>
            </w:r>
          </w:p>
        </w:tc>
      </w:tr>
      <w:tr w:rsidR="00280058" w:rsidRPr="00E649A6" w14:paraId="278B19D7" w14:textId="77777777" w:rsidTr="002302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46" w:type="pct"/>
            <w:tcBorders>
              <w:top w:val="single" w:sz="6" w:space="0" w:color="C0504D" w:themeColor="accent2"/>
              <w:bottom w:val="single" w:sz="6" w:space="0" w:color="C0504D" w:themeColor="accent2"/>
              <w:right w:val="single" w:sz="6" w:space="0" w:color="C0504D" w:themeColor="accent2"/>
            </w:tcBorders>
          </w:tcPr>
          <w:p w14:paraId="4B7DCA6E" w14:textId="77777777" w:rsidR="00280058" w:rsidRPr="00C50D6A" w:rsidRDefault="00280058" w:rsidP="00BB18F6">
            <w:pPr>
              <w:rPr>
                <w:rFonts w:ascii="Georgia" w:hAnsi="Georgia"/>
                <w:b w:val="0"/>
                <w:sz w:val="20"/>
                <w:szCs w:val="20"/>
              </w:rPr>
            </w:pPr>
            <w:r w:rsidRPr="00C50D6A">
              <w:rPr>
                <w:rFonts w:ascii="Georgia" w:hAnsi="Georgia"/>
                <w:sz w:val="20"/>
              </w:rPr>
              <w:t>Sugrįžusios lėšos pakartotinai panaudojamos: po 2 metų</w:t>
            </w:r>
          </w:p>
        </w:tc>
        <w:tc>
          <w:tcPr>
            <w:tcW w:w="3654" w:type="pct"/>
            <w:tcBorders>
              <w:top w:val="single" w:sz="6" w:space="0" w:color="C0504D" w:themeColor="accent2"/>
              <w:left w:val="single" w:sz="6" w:space="0" w:color="C0504D" w:themeColor="accent2"/>
              <w:bottom w:val="single" w:sz="6" w:space="0" w:color="C0504D" w:themeColor="accent2"/>
            </w:tcBorders>
          </w:tcPr>
          <w:p w14:paraId="33CBABD0" w14:textId="77777777"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rPr>
              <w:t>Daroma prielaida, jog g</w:t>
            </w:r>
            <w:r w:rsidRPr="00E649A6">
              <w:rPr>
                <w:rFonts w:ascii="Georgia" w:hAnsi="Georgia"/>
                <w:sz w:val="20"/>
              </w:rPr>
              <w:t>rįžta</w:t>
            </w:r>
            <w:r>
              <w:rPr>
                <w:rFonts w:ascii="Georgia" w:hAnsi="Georgia"/>
                <w:sz w:val="20"/>
              </w:rPr>
              <w:t>nč</w:t>
            </w:r>
            <w:r w:rsidRPr="00E649A6">
              <w:rPr>
                <w:rFonts w:ascii="Georgia" w:hAnsi="Georgia"/>
                <w:sz w:val="20"/>
              </w:rPr>
              <w:t xml:space="preserve">ios lėšos </w:t>
            </w:r>
            <w:r>
              <w:rPr>
                <w:rFonts w:ascii="Georgia" w:hAnsi="Georgia"/>
                <w:sz w:val="20"/>
              </w:rPr>
              <w:t>pakartotinai panaudojamos projektų finansavimui tomis pačiomis sąlygomis po 2 metų.</w:t>
            </w:r>
          </w:p>
        </w:tc>
      </w:tr>
      <w:tr w:rsidR="00280058" w:rsidRPr="00E649A6" w14:paraId="54323D05" w14:textId="77777777" w:rsidTr="00230209">
        <w:trPr>
          <w:cantSplit/>
        </w:trPr>
        <w:tc>
          <w:tcPr>
            <w:cnfStyle w:val="001000000000" w:firstRow="0" w:lastRow="0" w:firstColumn="1" w:lastColumn="0" w:oddVBand="0" w:evenVBand="0" w:oddHBand="0" w:evenHBand="0" w:firstRowFirstColumn="0" w:firstRowLastColumn="0" w:lastRowFirstColumn="0" w:lastRowLastColumn="0"/>
            <w:tcW w:w="1346" w:type="pct"/>
            <w:tcBorders>
              <w:top w:val="single" w:sz="6" w:space="0" w:color="C0504D" w:themeColor="accent2"/>
              <w:right w:val="single" w:sz="6" w:space="0" w:color="C0504D" w:themeColor="accent2"/>
            </w:tcBorders>
          </w:tcPr>
          <w:p w14:paraId="1E6B0754" w14:textId="77777777" w:rsidR="00280058" w:rsidRPr="00C50D6A" w:rsidRDefault="00280058" w:rsidP="00230209">
            <w:pPr>
              <w:rPr>
                <w:rFonts w:ascii="Georgia" w:hAnsi="Georgia"/>
                <w:b w:val="0"/>
                <w:sz w:val="20"/>
                <w:szCs w:val="20"/>
              </w:rPr>
            </w:pPr>
            <w:r w:rsidRPr="00C50D6A">
              <w:rPr>
                <w:rFonts w:ascii="Georgia" w:hAnsi="Georgia"/>
                <w:sz w:val="20"/>
                <w:szCs w:val="20"/>
              </w:rPr>
              <w:t>Privataus investicinio fondo išperkamų paskolų dalis: 70%</w:t>
            </w:r>
          </w:p>
        </w:tc>
        <w:tc>
          <w:tcPr>
            <w:tcW w:w="3654" w:type="pct"/>
            <w:tcBorders>
              <w:top w:val="single" w:sz="6" w:space="0" w:color="C0504D" w:themeColor="accent2"/>
              <w:left w:val="single" w:sz="6" w:space="0" w:color="C0504D" w:themeColor="accent2"/>
            </w:tcBorders>
          </w:tcPr>
          <w:p w14:paraId="0B04DA2A" w14:textId="77777777" w:rsidR="00280058" w:rsidRPr="00AC3318" w:rsidRDefault="00280058" w:rsidP="002F60CA">
            <w:pPr>
              <w:jc w:val="both"/>
              <w:cnfStyle w:val="000000000000" w:firstRow="0" w:lastRow="0" w:firstColumn="0" w:lastColumn="0" w:oddVBand="0" w:evenVBand="0" w:oddHBand="0" w:evenHBand="0" w:firstRowFirstColumn="0" w:firstRowLastColumn="0" w:lastRowFirstColumn="0" w:lastRowLastColumn="0"/>
              <w:rPr>
                <w:rFonts w:ascii="Georgia" w:hAnsi="Georgia" w:cs="Georgia"/>
                <w:sz w:val="20"/>
                <w:szCs w:val="20"/>
              </w:rPr>
            </w:pPr>
            <w:r>
              <w:rPr>
                <w:rFonts w:ascii="Georgia" w:hAnsi="Georgia" w:cs="Georgia"/>
                <w:sz w:val="20"/>
                <w:szCs w:val="20"/>
              </w:rPr>
              <w:t>Daroma</w:t>
            </w:r>
            <w:r w:rsidRPr="00E649A6">
              <w:rPr>
                <w:rFonts w:ascii="Georgia" w:hAnsi="Georgia" w:cs="Georgia"/>
                <w:sz w:val="20"/>
                <w:szCs w:val="20"/>
              </w:rPr>
              <w:t xml:space="preserve"> prielaidą, kad </w:t>
            </w:r>
            <w:r>
              <w:rPr>
                <w:rFonts w:ascii="Georgia" w:hAnsi="Georgia" w:cs="Georgia"/>
                <w:sz w:val="20"/>
                <w:szCs w:val="20"/>
              </w:rPr>
              <w:t>privatus</w:t>
            </w:r>
            <w:r w:rsidRPr="00E649A6">
              <w:rPr>
                <w:rFonts w:ascii="Georgia" w:hAnsi="Georgia" w:cs="Georgia"/>
                <w:sz w:val="20"/>
                <w:szCs w:val="20"/>
              </w:rPr>
              <w:t xml:space="preserve"> investicinis </w:t>
            </w:r>
            <w:r>
              <w:rPr>
                <w:rFonts w:ascii="Georgia" w:hAnsi="Georgia" w:cs="Georgia"/>
                <w:sz w:val="20"/>
                <w:szCs w:val="20"/>
              </w:rPr>
              <w:t xml:space="preserve">fondas </w:t>
            </w:r>
            <w:r w:rsidRPr="00E649A6">
              <w:rPr>
                <w:rFonts w:ascii="Georgia" w:hAnsi="Georgia" w:cs="Georgia"/>
                <w:sz w:val="20"/>
                <w:szCs w:val="20"/>
              </w:rPr>
              <w:t>nuo 201</w:t>
            </w:r>
            <w:r w:rsidR="002F60CA">
              <w:rPr>
                <w:rFonts w:ascii="Georgia" w:hAnsi="Georgia" w:cs="Georgia"/>
                <w:sz w:val="20"/>
                <w:szCs w:val="20"/>
              </w:rPr>
              <w:t>6</w:t>
            </w:r>
            <w:r w:rsidRPr="00E649A6">
              <w:rPr>
                <w:rFonts w:ascii="Georgia" w:hAnsi="Georgia" w:cs="Georgia"/>
                <w:sz w:val="20"/>
                <w:szCs w:val="20"/>
              </w:rPr>
              <w:t xml:space="preserve"> m. galėtų išpirkti </w:t>
            </w:r>
            <w:r>
              <w:rPr>
                <w:rFonts w:ascii="Georgia" w:hAnsi="Georgia" w:cs="Georgia"/>
                <w:sz w:val="20"/>
                <w:szCs w:val="20"/>
              </w:rPr>
              <w:t>apie</w:t>
            </w:r>
            <w:r w:rsidRPr="00E649A6">
              <w:rPr>
                <w:rFonts w:ascii="Georgia" w:hAnsi="Georgia" w:cs="Georgia"/>
                <w:sz w:val="20"/>
                <w:szCs w:val="20"/>
              </w:rPr>
              <w:t xml:space="preserve"> 70% visų paskolų portfelio.</w:t>
            </w:r>
          </w:p>
        </w:tc>
      </w:tr>
    </w:tbl>
    <w:p w14:paraId="265BD8C3" w14:textId="77777777" w:rsidR="00280058" w:rsidRDefault="00280058" w:rsidP="00280058">
      <w:pPr>
        <w:rPr>
          <w:rFonts w:ascii="Georgia" w:hAnsi="Georgia"/>
          <w:sz w:val="20"/>
          <w:szCs w:val="20"/>
          <w:lang w:val="lt-LT"/>
        </w:rPr>
      </w:pPr>
    </w:p>
    <w:p w14:paraId="2C97728E" w14:textId="06EF6894" w:rsidR="00280058" w:rsidRPr="00C205F4" w:rsidRDefault="00280058" w:rsidP="00280058">
      <w:pPr>
        <w:pStyle w:val="Antrat"/>
        <w:rPr>
          <w:szCs w:val="20"/>
          <w:lang w:val="lt-LT"/>
        </w:rPr>
      </w:pPr>
      <w:bookmarkStart w:id="237" w:name="_Toc460321704"/>
      <w:r w:rsidRPr="0009214D">
        <w:rPr>
          <w:lang w:val="lt-LT"/>
        </w:rPr>
        <w:lastRenderedPageBreak/>
        <w:t xml:space="preserve">Lentelė </w:t>
      </w:r>
      <w:r w:rsidRPr="0009214D">
        <w:rPr>
          <w:lang w:val="lt-LT"/>
        </w:rPr>
        <w:fldChar w:fldCharType="begin"/>
      </w:r>
      <w:r w:rsidRPr="0009214D">
        <w:rPr>
          <w:lang w:val="lt-LT"/>
        </w:rPr>
        <w:instrText xml:space="preserve"> SEQ Lentelė \* ARABIC </w:instrText>
      </w:r>
      <w:r w:rsidRPr="0009214D">
        <w:rPr>
          <w:lang w:val="lt-LT"/>
        </w:rPr>
        <w:fldChar w:fldCharType="separate"/>
      </w:r>
      <w:r w:rsidR="00AA3082">
        <w:rPr>
          <w:noProof/>
          <w:lang w:val="lt-LT"/>
        </w:rPr>
        <w:t>123</w:t>
      </w:r>
      <w:r w:rsidRPr="0009214D">
        <w:rPr>
          <w:lang w:val="lt-LT"/>
        </w:rPr>
        <w:fldChar w:fldCharType="end"/>
      </w:r>
      <w:r w:rsidRPr="0009214D">
        <w:rPr>
          <w:lang w:val="lt-LT"/>
        </w:rPr>
        <w:t xml:space="preserve">. </w:t>
      </w:r>
      <w:r w:rsidRPr="002B70C1">
        <w:rPr>
          <w:lang w:val="lt-LT"/>
        </w:rPr>
        <w:t>Scenarijaus Nr. 2 įgyvendinimo prognozė</w:t>
      </w:r>
      <w:bookmarkEnd w:id="237"/>
    </w:p>
    <w:p w14:paraId="49127087" w14:textId="77777777" w:rsidR="00280058" w:rsidRDefault="00280058" w:rsidP="00280058">
      <w:pPr>
        <w:rPr>
          <w:lang w:val="lt-LT"/>
        </w:rPr>
      </w:pPr>
      <w:r>
        <w:rPr>
          <w:noProof/>
          <w:lang w:val="lt-LT" w:eastAsia="lt-LT"/>
        </w:rPr>
        <w:drawing>
          <wp:inline distT="0" distB="0" distL="0" distR="0" wp14:anchorId="7F6C3CF0" wp14:editId="766AC3B0">
            <wp:extent cx="6116320" cy="2622550"/>
            <wp:effectExtent l="0" t="0" r="0" b="6350"/>
            <wp:docPr id="239" name="Paveikslėlis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6116320" cy="2622550"/>
                    </a:xfrm>
                    <a:prstGeom prst="rect">
                      <a:avLst/>
                    </a:prstGeom>
                    <a:noFill/>
                    <a:ln>
                      <a:noFill/>
                    </a:ln>
                  </pic:spPr>
                </pic:pic>
              </a:graphicData>
            </a:graphic>
          </wp:inline>
        </w:drawing>
      </w:r>
    </w:p>
    <w:p w14:paraId="6373B4B2" w14:textId="1D2CD358" w:rsidR="00280058" w:rsidRPr="00C205F4" w:rsidRDefault="00280058" w:rsidP="00280058">
      <w:pPr>
        <w:pStyle w:val="Antrat"/>
        <w:rPr>
          <w:szCs w:val="20"/>
          <w:lang w:val="lt-LT"/>
        </w:rPr>
      </w:pPr>
      <w:r w:rsidRPr="0009214D">
        <w:rPr>
          <w:lang w:val="lt-LT"/>
        </w:rPr>
        <w:t xml:space="preserve"> </w:t>
      </w:r>
      <w:bookmarkStart w:id="238" w:name="_Toc460321705"/>
      <w:r w:rsidRPr="0009214D">
        <w:rPr>
          <w:lang w:val="lt-LT"/>
        </w:rPr>
        <w:t xml:space="preserve">Lentelė </w:t>
      </w:r>
      <w:r w:rsidRPr="0009214D">
        <w:rPr>
          <w:lang w:val="lt-LT"/>
        </w:rPr>
        <w:fldChar w:fldCharType="begin"/>
      </w:r>
      <w:r w:rsidRPr="0009214D">
        <w:rPr>
          <w:lang w:val="lt-LT"/>
        </w:rPr>
        <w:instrText xml:space="preserve"> SEQ Lentelė \* ARABIC </w:instrText>
      </w:r>
      <w:r w:rsidRPr="0009214D">
        <w:rPr>
          <w:lang w:val="lt-LT"/>
        </w:rPr>
        <w:fldChar w:fldCharType="separate"/>
      </w:r>
      <w:r w:rsidR="00AA3082">
        <w:rPr>
          <w:noProof/>
          <w:lang w:val="lt-LT"/>
        </w:rPr>
        <w:t>124</w:t>
      </w:r>
      <w:r w:rsidRPr="0009214D">
        <w:rPr>
          <w:lang w:val="lt-LT"/>
        </w:rPr>
        <w:fldChar w:fldCharType="end"/>
      </w:r>
      <w:r w:rsidRPr="0009214D">
        <w:rPr>
          <w:lang w:val="lt-LT"/>
        </w:rPr>
        <w:t xml:space="preserve">. </w:t>
      </w:r>
      <w:r w:rsidRPr="002B70C1">
        <w:rPr>
          <w:lang w:val="lt-LT"/>
        </w:rPr>
        <w:t>Scenarijaus Nr.</w:t>
      </w:r>
      <w:r w:rsidRPr="00C205F4">
        <w:rPr>
          <w:lang w:val="lt-LT"/>
        </w:rPr>
        <w:t>2 rezultatai</w:t>
      </w:r>
      <w:bookmarkEnd w:id="238"/>
    </w:p>
    <w:tbl>
      <w:tblPr>
        <w:tblStyle w:val="viesussraas2parykinimas"/>
        <w:tblW w:w="5000" w:type="pct"/>
        <w:tblLook w:val="04A0" w:firstRow="1" w:lastRow="0" w:firstColumn="1" w:lastColumn="0" w:noHBand="0" w:noVBand="1"/>
      </w:tblPr>
      <w:tblGrid>
        <w:gridCol w:w="6652"/>
        <w:gridCol w:w="2590"/>
      </w:tblGrid>
      <w:tr w:rsidR="00280058" w:rsidRPr="00E649A6" w14:paraId="4F22F837" w14:textId="77777777" w:rsidTr="00230209">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99" w:type="pct"/>
          </w:tcPr>
          <w:p w14:paraId="68E7FFB5" w14:textId="77777777" w:rsidR="00280058" w:rsidRPr="00AC3318" w:rsidRDefault="00280058" w:rsidP="00BB18F6">
            <w:pPr>
              <w:jc w:val="center"/>
              <w:rPr>
                <w:rFonts w:ascii="Georgia" w:hAnsi="Georgia"/>
                <w:sz w:val="20"/>
                <w:szCs w:val="20"/>
              </w:rPr>
            </w:pPr>
            <w:r w:rsidRPr="00AC3318">
              <w:rPr>
                <w:rFonts w:ascii="Georgia" w:hAnsi="Georgia"/>
                <w:sz w:val="20"/>
                <w:szCs w:val="20"/>
              </w:rPr>
              <w:t>Fondas</w:t>
            </w:r>
          </w:p>
        </w:tc>
        <w:tc>
          <w:tcPr>
            <w:tcW w:w="1401" w:type="pct"/>
          </w:tcPr>
          <w:p w14:paraId="2749A3F0" w14:textId="77777777" w:rsidR="00280058" w:rsidRPr="00AC3318" w:rsidRDefault="00280058" w:rsidP="00BB18F6">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mln. </w:t>
            </w:r>
            <w:r>
              <w:rPr>
                <w:rFonts w:ascii="Georgia" w:hAnsi="Georgia"/>
                <w:bCs w:val="0"/>
                <w:sz w:val="20"/>
                <w:szCs w:val="20"/>
              </w:rPr>
              <w:t>eurų</w:t>
            </w:r>
          </w:p>
        </w:tc>
      </w:tr>
      <w:tr w:rsidR="00280058" w:rsidRPr="00E649A6" w14:paraId="7A00C0F3" w14:textId="77777777" w:rsidTr="0023020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99" w:type="pct"/>
          </w:tcPr>
          <w:p w14:paraId="0B994182" w14:textId="77777777" w:rsidR="00280058" w:rsidRPr="00AC3318" w:rsidRDefault="00280058" w:rsidP="00BB18F6">
            <w:pPr>
              <w:rPr>
                <w:rFonts w:ascii="Georgia" w:hAnsi="Georgia"/>
                <w:sz w:val="20"/>
                <w:szCs w:val="20"/>
              </w:rPr>
            </w:pPr>
            <w:r w:rsidRPr="00AC3318">
              <w:rPr>
                <w:rFonts w:ascii="Georgia" w:hAnsi="Georgia"/>
                <w:sz w:val="20"/>
                <w:szCs w:val="20"/>
              </w:rPr>
              <w:t>Galutinius naudos gavėjus pasiekusios lėšos</w:t>
            </w:r>
          </w:p>
        </w:tc>
        <w:tc>
          <w:tcPr>
            <w:tcW w:w="1401" w:type="pct"/>
          </w:tcPr>
          <w:p w14:paraId="1172BE71" w14:textId="77777777" w:rsidR="00280058" w:rsidRPr="00AC3318" w:rsidRDefault="00280058"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24,8</w:t>
            </w:r>
          </w:p>
        </w:tc>
      </w:tr>
      <w:tr w:rsidR="00280058" w:rsidRPr="00E649A6" w14:paraId="2A4D2057" w14:textId="77777777" w:rsidTr="00230209">
        <w:trPr>
          <w:trHeight w:val="266"/>
        </w:trPr>
        <w:tc>
          <w:tcPr>
            <w:cnfStyle w:val="001000000000" w:firstRow="0" w:lastRow="0" w:firstColumn="1" w:lastColumn="0" w:oddVBand="0" w:evenVBand="0" w:oddHBand="0" w:evenHBand="0" w:firstRowFirstColumn="0" w:firstRowLastColumn="0" w:lastRowFirstColumn="0" w:lastRowLastColumn="0"/>
            <w:tcW w:w="3599" w:type="pct"/>
          </w:tcPr>
          <w:p w14:paraId="09F72A8F" w14:textId="77777777" w:rsidR="00280058" w:rsidRPr="00AC3318" w:rsidRDefault="00280058" w:rsidP="00BB18F6">
            <w:pPr>
              <w:rPr>
                <w:rFonts w:ascii="Georgia" w:hAnsi="Georgia"/>
                <w:sz w:val="20"/>
                <w:szCs w:val="20"/>
              </w:rPr>
            </w:pPr>
            <w:r w:rsidRPr="00AC3318">
              <w:rPr>
                <w:rFonts w:ascii="Georgia" w:hAnsi="Georgia"/>
                <w:sz w:val="20"/>
                <w:szCs w:val="20"/>
              </w:rPr>
              <w:t>Renovuotų šviestuvų skaičius</w:t>
            </w:r>
          </w:p>
        </w:tc>
        <w:tc>
          <w:tcPr>
            <w:tcW w:w="1401" w:type="pct"/>
          </w:tcPr>
          <w:p w14:paraId="6A286239" w14:textId="77777777" w:rsidR="00280058" w:rsidRPr="00AC3318" w:rsidRDefault="00280058" w:rsidP="00BB18F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34990</w:t>
            </w:r>
          </w:p>
        </w:tc>
      </w:tr>
    </w:tbl>
    <w:p w14:paraId="6BDE7834" w14:textId="77777777" w:rsidR="00280058" w:rsidRPr="00AC3318" w:rsidRDefault="00280058" w:rsidP="00280058">
      <w:pPr>
        <w:ind w:left="360"/>
        <w:rPr>
          <w:rFonts w:ascii="Georgia" w:hAnsi="Georgia"/>
          <w:sz w:val="20"/>
          <w:szCs w:val="20"/>
          <w:lang w:val="lt-LT"/>
        </w:rPr>
      </w:pPr>
    </w:p>
    <w:p w14:paraId="50B6517C" w14:textId="77777777" w:rsidR="00280058" w:rsidRPr="00765A39" w:rsidRDefault="00280058" w:rsidP="00C03122">
      <w:pPr>
        <w:pStyle w:val="Sraopastraipa"/>
        <w:keepNext/>
        <w:numPr>
          <w:ilvl w:val="0"/>
          <w:numId w:val="34"/>
        </w:numPr>
        <w:ind w:left="714" w:hanging="357"/>
        <w:rPr>
          <w:rFonts w:ascii="Georgia" w:hAnsi="Georgia"/>
          <w:b/>
          <w:i/>
          <w:sz w:val="20"/>
          <w:szCs w:val="20"/>
          <w:lang w:val="lt-LT"/>
        </w:rPr>
      </w:pPr>
      <w:r w:rsidRPr="00765A39">
        <w:rPr>
          <w:rFonts w:ascii="Georgia" w:hAnsi="Georgia"/>
          <w:b/>
          <w:i/>
          <w:sz w:val="20"/>
          <w:szCs w:val="20"/>
          <w:lang w:val="lt-LT"/>
        </w:rPr>
        <w:t>Scenarijus Nr. 3: Dalis finansinės priemonės lėšų nukreipiama į paskolų modelį ir dalis į garantijų priemonę</w:t>
      </w:r>
    </w:p>
    <w:p w14:paraId="7D60DFC7" w14:textId="77777777" w:rsidR="009F55BB" w:rsidRDefault="00280058" w:rsidP="00230209">
      <w:pPr>
        <w:pStyle w:val="Antrat"/>
        <w:jc w:val="center"/>
        <w:rPr>
          <w:lang w:val="lt-LT"/>
        </w:rPr>
      </w:pPr>
      <w:r>
        <w:rPr>
          <w:noProof/>
          <w:lang w:val="lt-LT" w:eastAsia="lt-LT"/>
        </w:rPr>
        <w:drawing>
          <wp:inline distT="0" distB="0" distL="0" distR="0" wp14:anchorId="78E2248E" wp14:editId="16A151E7">
            <wp:extent cx="5619750" cy="3048000"/>
            <wp:effectExtent l="0" t="0" r="0" b="0"/>
            <wp:docPr id="285" name="Paveikslėlis 285" descr="Gatviu apsvietimas 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atviu apsvietimas Nr"/>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5619750" cy="3048000"/>
                    </a:xfrm>
                    <a:prstGeom prst="rect">
                      <a:avLst/>
                    </a:prstGeom>
                    <a:noFill/>
                    <a:ln>
                      <a:noFill/>
                    </a:ln>
                  </pic:spPr>
                </pic:pic>
              </a:graphicData>
            </a:graphic>
          </wp:inline>
        </w:drawing>
      </w:r>
    </w:p>
    <w:p w14:paraId="0875DE6A" w14:textId="63C70C5C" w:rsidR="00280058" w:rsidRPr="00901908" w:rsidRDefault="00280058" w:rsidP="00280058">
      <w:pPr>
        <w:pStyle w:val="Antrat"/>
        <w:rPr>
          <w:szCs w:val="20"/>
          <w:lang w:val="lt-LT"/>
        </w:rPr>
      </w:pPr>
      <w:bookmarkStart w:id="239" w:name="_Toc417378320"/>
      <w:r w:rsidRPr="0009214D">
        <w:rPr>
          <w:lang w:val="lt-LT"/>
        </w:rPr>
        <w:t xml:space="preserve">Paveikslas </w:t>
      </w:r>
      <w:r w:rsidRPr="0009214D">
        <w:rPr>
          <w:lang w:val="lt-LT"/>
        </w:rPr>
        <w:fldChar w:fldCharType="begin"/>
      </w:r>
      <w:r w:rsidRPr="0009214D">
        <w:rPr>
          <w:lang w:val="lt-LT"/>
        </w:rPr>
        <w:instrText xml:space="preserve"> SEQ Paveikslas \* ARABIC </w:instrText>
      </w:r>
      <w:r w:rsidRPr="0009214D">
        <w:rPr>
          <w:lang w:val="lt-LT"/>
        </w:rPr>
        <w:fldChar w:fldCharType="separate"/>
      </w:r>
      <w:r w:rsidR="00AA3082">
        <w:rPr>
          <w:noProof/>
          <w:lang w:val="lt-LT"/>
        </w:rPr>
        <w:t>43</w:t>
      </w:r>
      <w:r w:rsidRPr="0009214D">
        <w:rPr>
          <w:lang w:val="lt-LT"/>
        </w:rPr>
        <w:fldChar w:fldCharType="end"/>
      </w:r>
      <w:r w:rsidRPr="0009214D">
        <w:rPr>
          <w:lang w:val="lt-LT"/>
        </w:rPr>
        <w:t>. Gatvių apšvietimo scenarij</w:t>
      </w:r>
      <w:r>
        <w:rPr>
          <w:lang w:val="lt-LT"/>
        </w:rPr>
        <w:t>a</w:t>
      </w:r>
      <w:r w:rsidRPr="0009214D">
        <w:rPr>
          <w:lang w:val="lt-LT"/>
        </w:rPr>
        <w:t>us Nr. 3</w:t>
      </w:r>
      <w:r w:rsidRPr="002B70C1">
        <w:rPr>
          <w:lang w:val="lt-LT"/>
        </w:rPr>
        <w:t xml:space="preserve"> </w:t>
      </w:r>
      <w:r>
        <w:rPr>
          <w:lang w:val="lt-LT"/>
        </w:rPr>
        <w:t>schema</w:t>
      </w:r>
      <w:r w:rsidRPr="0009214D">
        <w:rPr>
          <w:lang w:val="lt-LT"/>
        </w:rPr>
        <w:t>.</w:t>
      </w:r>
      <w:bookmarkEnd w:id="239"/>
      <w:r w:rsidRPr="0009214D">
        <w:rPr>
          <w:lang w:val="lt-LT"/>
        </w:rPr>
        <w:t xml:space="preserve"> </w:t>
      </w:r>
    </w:p>
    <w:p w14:paraId="2CE24B92" w14:textId="77777777" w:rsidR="00280058" w:rsidRPr="0004528E" w:rsidRDefault="00280058" w:rsidP="00280058">
      <w:pPr>
        <w:jc w:val="both"/>
        <w:rPr>
          <w:rFonts w:ascii="Georgia" w:hAnsi="Georgia"/>
          <w:sz w:val="20"/>
          <w:szCs w:val="20"/>
          <w:lang w:val="lt-LT"/>
        </w:rPr>
      </w:pPr>
      <w:r w:rsidRPr="00AC3318">
        <w:rPr>
          <w:rFonts w:ascii="Georgia" w:hAnsi="Georgia"/>
          <w:sz w:val="20"/>
          <w:szCs w:val="20"/>
          <w:lang w:val="lt-LT"/>
        </w:rPr>
        <w:t xml:space="preserve">Šio scenarijaus paskolų priemonės prielaidos yra tokios pat kaip scenarijui Nr. 1., </w:t>
      </w:r>
      <w:r>
        <w:rPr>
          <w:rFonts w:ascii="Georgia" w:hAnsi="Georgia"/>
          <w:sz w:val="20"/>
          <w:szCs w:val="20"/>
          <w:lang w:val="lt-LT"/>
        </w:rPr>
        <w:t>tačiau daroma prielaida, kad</w:t>
      </w:r>
      <w:r w:rsidRPr="00AC3318">
        <w:rPr>
          <w:rFonts w:ascii="Georgia" w:hAnsi="Georgia"/>
          <w:sz w:val="20"/>
          <w:szCs w:val="20"/>
          <w:lang w:val="lt-LT"/>
        </w:rPr>
        <w:t xml:space="preserve"> </w:t>
      </w:r>
      <w:r>
        <w:rPr>
          <w:rFonts w:ascii="Georgia" w:hAnsi="Georgia"/>
          <w:sz w:val="20"/>
          <w:szCs w:val="20"/>
          <w:lang w:val="lt-LT"/>
        </w:rPr>
        <w:t>dalis</w:t>
      </w:r>
      <w:r w:rsidRPr="00AC3318">
        <w:rPr>
          <w:rFonts w:ascii="Georgia" w:hAnsi="Georgia"/>
          <w:sz w:val="20"/>
          <w:szCs w:val="20"/>
          <w:lang w:val="lt-LT"/>
        </w:rPr>
        <w:t xml:space="preserve"> lėš</w:t>
      </w:r>
      <w:r>
        <w:rPr>
          <w:rFonts w:ascii="Georgia" w:hAnsi="Georgia"/>
          <w:sz w:val="20"/>
          <w:szCs w:val="20"/>
          <w:lang w:val="lt-LT"/>
        </w:rPr>
        <w:t>ų</w:t>
      </w:r>
      <w:r w:rsidRPr="00AC3318">
        <w:rPr>
          <w:rFonts w:ascii="Georgia" w:hAnsi="Georgia"/>
          <w:sz w:val="20"/>
          <w:szCs w:val="20"/>
          <w:lang w:val="lt-LT"/>
        </w:rPr>
        <w:t xml:space="preserve"> </w:t>
      </w:r>
      <w:r>
        <w:rPr>
          <w:rFonts w:ascii="Georgia" w:hAnsi="Georgia"/>
          <w:sz w:val="20"/>
          <w:szCs w:val="20"/>
          <w:lang w:val="lt-LT"/>
        </w:rPr>
        <w:t>bus nukreipiama į</w:t>
      </w:r>
      <w:r w:rsidRPr="00AC3318">
        <w:rPr>
          <w:rFonts w:ascii="Georgia" w:hAnsi="Georgia"/>
          <w:sz w:val="20"/>
          <w:szCs w:val="20"/>
          <w:lang w:val="lt-LT"/>
        </w:rPr>
        <w:t xml:space="preserve"> garantij</w:t>
      </w:r>
      <w:r>
        <w:rPr>
          <w:rFonts w:ascii="Georgia" w:hAnsi="Georgia"/>
          <w:sz w:val="20"/>
          <w:szCs w:val="20"/>
          <w:lang w:val="lt-LT"/>
        </w:rPr>
        <w:t>ų priemonę</w:t>
      </w:r>
      <w:r w:rsidRPr="00AC3318">
        <w:rPr>
          <w:rFonts w:ascii="Georgia" w:hAnsi="Georgia"/>
          <w:sz w:val="20"/>
          <w:szCs w:val="20"/>
          <w:lang w:val="lt-LT"/>
        </w:rPr>
        <w:t xml:space="preserve">. Paskolų garantijų komerciniams bankams prielaidos pateikiamas </w:t>
      </w:r>
      <w:r>
        <w:rPr>
          <w:rFonts w:ascii="Georgia" w:hAnsi="Georgia"/>
          <w:sz w:val="20"/>
          <w:szCs w:val="20"/>
          <w:lang w:val="lt-LT"/>
        </w:rPr>
        <w:t>sekančioje</w:t>
      </w:r>
      <w:r w:rsidRPr="00AC3318">
        <w:rPr>
          <w:rFonts w:ascii="Georgia" w:hAnsi="Georgia"/>
          <w:sz w:val="20"/>
          <w:szCs w:val="20"/>
          <w:lang w:val="lt-LT"/>
        </w:rPr>
        <w:t xml:space="preserve"> lentelėje. Šis modelis skaičiuojamas atsižvelgiant kad 9 mln. </w:t>
      </w:r>
      <w:r w:rsidRPr="0009214D">
        <w:rPr>
          <w:rFonts w:ascii="Georgia" w:hAnsi="Georgia"/>
          <w:bCs/>
          <w:sz w:val="20"/>
          <w:szCs w:val="20"/>
          <w:lang w:val="lt-LT"/>
        </w:rPr>
        <w:t>eurų</w:t>
      </w:r>
      <w:r w:rsidRPr="0004528E">
        <w:rPr>
          <w:rFonts w:ascii="Georgia" w:hAnsi="Georgia"/>
          <w:sz w:val="20"/>
          <w:szCs w:val="20"/>
          <w:lang w:val="lt-LT"/>
        </w:rPr>
        <w:t>. Bus skirta paskolų teikimui, o 5,</w:t>
      </w:r>
      <w:r>
        <w:rPr>
          <w:rFonts w:ascii="Georgia" w:hAnsi="Georgia"/>
          <w:sz w:val="20"/>
          <w:szCs w:val="20"/>
          <w:lang w:val="lt-LT"/>
        </w:rPr>
        <w:t>5</w:t>
      </w:r>
      <w:r w:rsidRPr="0004528E">
        <w:rPr>
          <w:rFonts w:ascii="Georgia" w:hAnsi="Georgia"/>
          <w:sz w:val="20"/>
          <w:szCs w:val="20"/>
          <w:lang w:val="lt-LT"/>
        </w:rPr>
        <w:t xml:space="preserve"> mln. </w:t>
      </w:r>
      <w:r w:rsidRPr="0009214D">
        <w:rPr>
          <w:rFonts w:ascii="Georgia" w:hAnsi="Georgia"/>
          <w:bCs/>
          <w:sz w:val="20"/>
          <w:szCs w:val="20"/>
          <w:lang w:val="lt-LT"/>
        </w:rPr>
        <w:t>eurų</w:t>
      </w:r>
      <w:r w:rsidRPr="0004528E" w:rsidDel="00901908">
        <w:rPr>
          <w:rFonts w:ascii="Georgia" w:hAnsi="Georgia"/>
          <w:sz w:val="20"/>
          <w:szCs w:val="20"/>
          <w:lang w:val="lt-LT"/>
        </w:rPr>
        <w:t xml:space="preserve"> </w:t>
      </w:r>
      <w:r w:rsidRPr="0004528E">
        <w:rPr>
          <w:rFonts w:ascii="Georgia" w:hAnsi="Georgia"/>
          <w:sz w:val="20"/>
          <w:szCs w:val="20"/>
          <w:lang w:val="lt-LT"/>
        </w:rPr>
        <w:t>garantijų priemonei.</w:t>
      </w:r>
    </w:p>
    <w:p w14:paraId="0079E953" w14:textId="14355156" w:rsidR="00280058" w:rsidRPr="00901908" w:rsidRDefault="00280058" w:rsidP="00280058">
      <w:pPr>
        <w:pStyle w:val="Antrat"/>
        <w:rPr>
          <w:szCs w:val="20"/>
          <w:lang w:val="lt-LT"/>
        </w:rPr>
      </w:pPr>
      <w:bookmarkStart w:id="240" w:name="_Toc460321706"/>
      <w:r w:rsidRPr="0009214D">
        <w:rPr>
          <w:lang w:val="lt-LT"/>
        </w:rPr>
        <w:lastRenderedPageBreak/>
        <w:t xml:space="preserve">Lentelė </w:t>
      </w:r>
      <w:r w:rsidRPr="0009214D">
        <w:rPr>
          <w:lang w:val="lt-LT"/>
        </w:rPr>
        <w:fldChar w:fldCharType="begin"/>
      </w:r>
      <w:r w:rsidRPr="0009214D">
        <w:rPr>
          <w:lang w:val="lt-LT"/>
        </w:rPr>
        <w:instrText xml:space="preserve"> SEQ Lentelė \* ARABIC </w:instrText>
      </w:r>
      <w:r w:rsidRPr="0009214D">
        <w:rPr>
          <w:lang w:val="lt-LT"/>
        </w:rPr>
        <w:fldChar w:fldCharType="separate"/>
      </w:r>
      <w:r w:rsidR="00AA3082">
        <w:rPr>
          <w:noProof/>
          <w:lang w:val="lt-LT"/>
        </w:rPr>
        <w:t>125</w:t>
      </w:r>
      <w:r w:rsidRPr="0009214D">
        <w:rPr>
          <w:lang w:val="lt-LT"/>
        </w:rPr>
        <w:fldChar w:fldCharType="end"/>
      </w:r>
      <w:r w:rsidRPr="0009214D">
        <w:rPr>
          <w:lang w:val="lt-LT"/>
        </w:rPr>
        <w:t xml:space="preserve">. </w:t>
      </w:r>
      <w:r w:rsidRPr="00901908">
        <w:rPr>
          <w:szCs w:val="20"/>
          <w:lang w:val="lt-LT"/>
        </w:rPr>
        <w:t>Scenarijaus Nr. 3 prielaidos</w:t>
      </w:r>
      <w:bookmarkEnd w:id="240"/>
    </w:p>
    <w:tbl>
      <w:tblPr>
        <w:tblStyle w:val="viesussraas2parykinimas"/>
        <w:tblW w:w="0" w:type="auto"/>
        <w:tblLook w:val="04A0" w:firstRow="1" w:lastRow="0" w:firstColumn="1" w:lastColumn="0" w:noHBand="0" w:noVBand="1"/>
      </w:tblPr>
      <w:tblGrid>
        <w:gridCol w:w="3162"/>
        <w:gridCol w:w="6080"/>
      </w:tblGrid>
      <w:tr w:rsidR="00280058" w:rsidRPr="00E649A6" w14:paraId="4B58B3A6" w14:textId="77777777" w:rsidTr="00BB18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2" w:type="dxa"/>
            <w:tcBorders>
              <w:bottom w:val="single" w:sz="8" w:space="0" w:color="C0504D" w:themeColor="accent2"/>
            </w:tcBorders>
          </w:tcPr>
          <w:p w14:paraId="5FF8BAFD" w14:textId="77777777" w:rsidR="00280058" w:rsidRPr="00AC3318" w:rsidRDefault="00280058" w:rsidP="00230209">
            <w:pPr>
              <w:keepNext/>
              <w:jc w:val="center"/>
              <w:rPr>
                <w:rFonts w:ascii="Georgia" w:hAnsi="Georgia"/>
                <w:sz w:val="20"/>
                <w:szCs w:val="20"/>
              </w:rPr>
            </w:pPr>
            <w:r w:rsidRPr="00AC3318">
              <w:rPr>
                <w:rFonts w:ascii="Georgia" w:hAnsi="Georgia"/>
                <w:sz w:val="20"/>
                <w:szCs w:val="20"/>
              </w:rPr>
              <w:t>Prielaidos</w:t>
            </w:r>
          </w:p>
        </w:tc>
        <w:tc>
          <w:tcPr>
            <w:tcW w:w="6080" w:type="dxa"/>
            <w:tcBorders>
              <w:bottom w:val="single" w:sz="8" w:space="0" w:color="C0504D" w:themeColor="accent2"/>
            </w:tcBorders>
          </w:tcPr>
          <w:p w14:paraId="642A71B2" w14:textId="77777777" w:rsidR="00280058" w:rsidRPr="00AC3318" w:rsidRDefault="00280058" w:rsidP="00230209">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Komentaras</w:t>
            </w:r>
          </w:p>
        </w:tc>
      </w:tr>
      <w:tr w:rsidR="00280058" w:rsidRPr="00E649A6" w14:paraId="285A4C1C"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2" w:type="dxa"/>
            <w:tcBorders>
              <w:bottom w:val="single" w:sz="6" w:space="0" w:color="C0504D" w:themeColor="accent2"/>
              <w:right w:val="single" w:sz="6" w:space="0" w:color="C0504D" w:themeColor="accent2"/>
            </w:tcBorders>
          </w:tcPr>
          <w:p w14:paraId="24F0B60E" w14:textId="77777777" w:rsidR="00280058" w:rsidRPr="00C50D6A" w:rsidRDefault="00280058" w:rsidP="00BB18F6">
            <w:pPr>
              <w:rPr>
                <w:rFonts w:ascii="Georgia" w:hAnsi="Georgia"/>
                <w:b w:val="0"/>
                <w:sz w:val="20"/>
                <w:szCs w:val="20"/>
              </w:rPr>
            </w:pPr>
            <w:r w:rsidRPr="00C50D6A">
              <w:rPr>
                <w:rFonts w:ascii="Georgia" w:hAnsi="Georgia"/>
                <w:sz w:val="20"/>
                <w:szCs w:val="20"/>
              </w:rPr>
              <w:t>Paskolos laikotarpis: iki 20 metų</w:t>
            </w:r>
          </w:p>
        </w:tc>
        <w:tc>
          <w:tcPr>
            <w:tcW w:w="6080" w:type="dxa"/>
            <w:tcBorders>
              <w:left w:val="single" w:sz="6" w:space="0" w:color="C0504D" w:themeColor="accent2"/>
              <w:bottom w:val="single" w:sz="6" w:space="0" w:color="C0504D" w:themeColor="accent2"/>
            </w:tcBorders>
          </w:tcPr>
          <w:p w14:paraId="41850D41" w14:textId="77777777"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Maksim</w:t>
            </w:r>
            <w:r>
              <w:rPr>
                <w:rFonts w:ascii="Georgia" w:hAnsi="Georgia"/>
                <w:sz w:val="20"/>
                <w:szCs w:val="20"/>
              </w:rPr>
              <w:t>alus sutarties terminas 20 metų.</w:t>
            </w:r>
          </w:p>
        </w:tc>
      </w:tr>
      <w:tr w:rsidR="00280058" w:rsidRPr="00E649A6" w14:paraId="2F1D421B" w14:textId="77777777" w:rsidTr="00BB18F6">
        <w:trPr>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bottom w:val="single" w:sz="6" w:space="0" w:color="C0504D" w:themeColor="accent2"/>
              <w:right w:val="single" w:sz="6" w:space="0" w:color="C0504D" w:themeColor="accent2"/>
            </w:tcBorders>
          </w:tcPr>
          <w:p w14:paraId="2B268B51" w14:textId="77777777" w:rsidR="00280058" w:rsidRPr="00C50D6A" w:rsidRDefault="00280058" w:rsidP="00BB18F6">
            <w:pPr>
              <w:rPr>
                <w:rFonts w:ascii="Georgia" w:hAnsi="Georgia"/>
                <w:b w:val="0"/>
                <w:sz w:val="20"/>
                <w:szCs w:val="20"/>
              </w:rPr>
            </w:pPr>
            <w:r w:rsidRPr="00C50D6A">
              <w:rPr>
                <w:rFonts w:ascii="Georgia" w:hAnsi="Georgia"/>
                <w:sz w:val="20"/>
                <w:szCs w:val="20"/>
              </w:rPr>
              <w:t>Blogų paskolų dalis: 5 %</w:t>
            </w:r>
          </w:p>
        </w:tc>
        <w:tc>
          <w:tcPr>
            <w:tcW w:w="6080" w:type="dxa"/>
            <w:tcBorders>
              <w:top w:val="single" w:sz="6" w:space="0" w:color="C0504D" w:themeColor="accent2"/>
              <w:left w:val="single" w:sz="6" w:space="0" w:color="C0504D" w:themeColor="accent2"/>
              <w:bottom w:val="single" w:sz="6" w:space="0" w:color="C0504D" w:themeColor="accent2"/>
            </w:tcBorders>
          </w:tcPr>
          <w:p w14:paraId="00BB5E4C" w14:textId="77777777"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Blogų paskolų dalis buvo nustatyta remiantis ekspertų ir </w:t>
            </w:r>
            <w:r>
              <w:rPr>
                <w:rFonts w:ascii="Georgia" w:hAnsi="Georgia"/>
                <w:sz w:val="20"/>
                <w:szCs w:val="20"/>
              </w:rPr>
              <w:t xml:space="preserve">komercinių </w:t>
            </w:r>
            <w:r w:rsidRPr="00AC3318">
              <w:rPr>
                <w:rFonts w:ascii="Georgia" w:hAnsi="Georgia"/>
                <w:sz w:val="20"/>
                <w:szCs w:val="20"/>
              </w:rPr>
              <w:t>bankų vertinimu ir ji atitinka PwC studijoje nustatytą dydį</w:t>
            </w:r>
          </w:p>
        </w:tc>
      </w:tr>
      <w:tr w:rsidR="00280058" w:rsidRPr="00E649A6" w14:paraId="594CD6C3"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right w:val="single" w:sz="6" w:space="0" w:color="C0504D" w:themeColor="accent2"/>
            </w:tcBorders>
          </w:tcPr>
          <w:p w14:paraId="107DDE01" w14:textId="77777777" w:rsidR="00280058" w:rsidRPr="00C50D6A" w:rsidRDefault="00280058" w:rsidP="00BB18F6">
            <w:pPr>
              <w:rPr>
                <w:rFonts w:ascii="Georgia" w:hAnsi="Georgia"/>
                <w:b w:val="0"/>
                <w:sz w:val="20"/>
                <w:szCs w:val="20"/>
              </w:rPr>
            </w:pPr>
            <w:r w:rsidRPr="00C50D6A">
              <w:rPr>
                <w:rFonts w:ascii="Georgia" w:hAnsi="Georgia"/>
                <w:sz w:val="20"/>
                <w:szCs w:val="20"/>
              </w:rPr>
              <w:t xml:space="preserve">Vieno šviestuvo pakeitimo vertė: 710 </w:t>
            </w:r>
            <w:r w:rsidRPr="00C50D6A">
              <w:rPr>
                <w:rFonts w:ascii="Georgia" w:hAnsi="Georgia"/>
                <w:bCs w:val="0"/>
                <w:sz w:val="20"/>
                <w:szCs w:val="20"/>
              </w:rPr>
              <w:t>eurų</w:t>
            </w:r>
          </w:p>
        </w:tc>
        <w:tc>
          <w:tcPr>
            <w:tcW w:w="6080" w:type="dxa"/>
            <w:tcBorders>
              <w:top w:val="single" w:sz="6" w:space="0" w:color="C0504D" w:themeColor="accent2"/>
              <w:left w:val="single" w:sz="6" w:space="0" w:color="C0504D" w:themeColor="accent2"/>
            </w:tcBorders>
          </w:tcPr>
          <w:p w14:paraId="47BA8353" w14:textId="77777777" w:rsidR="00280058" w:rsidRPr="009D771A"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0"/>
              </w:rPr>
            </w:pPr>
            <w:r>
              <w:rPr>
                <w:rFonts w:ascii="Georgia" w:hAnsi="Georgia" w:cs="Georgia"/>
                <w:sz w:val="20"/>
                <w:szCs w:val="20"/>
              </w:rPr>
              <w:t xml:space="preserve">Atsižvelgiant į Vilniaus miesto apšvietimo tinklų modernizavimo techninį projektą bei pasirašytą sutartį su privačiu partneriu, Vilniuje bus renovuota 44000 šviestuvų už 31,28 mln. EUR (108 mln. Lt). Remiantis šiais duomenimis paskaičiuota, kad </w:t>
            </w:r>
            <w:r w:rsidRPr="00AC3318">
              <w:rPr>
                <w:rFonts w:ascii="Georgia" w:hAnsi="Georgia"/>
                <w:bCs/>
                <w:sz w:val="20"/>
                <w:szCs w:val="20"/>
              </w:rPr>
              <w:t xml:space="preserve">vieno šviestuvo vidutinė modernizacijos kaina sieks 710 </w:t>
            </w:r>
            <w:r>
              <w:rPr>
                <w:rFonts w:ascii="Georgia" w:hAnsi="Georgia"/>
                <w:bCs/>
                <w:sz w:val="20"/>
                <w:szCs w:val="20"/>
              </w:rPr>
              <w:t>eurų</w:t>
            </w:r>
            <w:r w:rsidRPr="00AC3318">
              <w:rPr>
                <w:rFonts w:ascii="Georgia" w:hAnsi="Georgia"/>
                <w:bCs/>
                <w:sz w:val="20"/>
                <w:szCs w:val="20"/>
              </w:rPr>
              <w:t xml:space="preserve"> (2451 LTL)</w:t>
            </w:r>
            <w:r>
              <w:rPr>
                <w:rFonts w:ascii="Georgia" w:hAnsi="Georgia"/>
                <w:bCs/>
                <w:sz w:val="20"/>
                <w:szCs w:val="20"/>
              </w:rPr>
              <w:t>.</w:t>
            </w:r>
            <w:r>
              <w:rPr>
                <w:rFonts w:ascii="Georgia" w:hAnsi="Georgia" w:cs="Georgia"/>
                <w:sz w:val="20"/>
                <w:szCs w:val="20"/>
              </w:rPr>
              <w:t xml:space="preserve"> </w:t>
            </w:r>
          </w:p>
        </w:tc>
      </w:tr>
      <w:tr w:rsidR="00280058" w:rsidRPr="00E649A6" w14:paraId="4076F100" w14:textId="77777777" w:rsidTr="00BB18F6">
        <w:trPr>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right w:val="single" w:sz="6" w:space="0" w:color="C0504D" w:themeColor="accent2"/>
            </w:tcBorders>
          </w:tcPr>
          <w:p w14:paraId="73D7E3A2" w14:textId="77777777" w:rsidR="00280058" w:rsidRPr="00C50D6A" w:rsidRDefault="00280058" w:rsidP="00BB18F6">
            <w:pPr>
              <w:rPr>
                <w:rFonts w:ascii="Georgia" w:hAnsi="Georgia"/>
                <w:b w:val="0"/>
                <w:sz w:val="20"/>
                <w:szCs w:val="20"/>
              </w:rPr>
            </w:pPr>
            <w:r w:rsidRPr="00C50D6A">
              <w:rPr>
                <w:rFonts w:ascii="Georgia" w:hAnsi="Georgia"/>
                <w:sz w:val="20"/>
                <w:szCs w:val="20"/>
              </w:rPr>
              <w:t xml:space="preserve">Investuojamos ESI fondų lėšos į fondą: 14,5 mln. </w:t>
            </w:r>
            <w:r w:rsidRPr="00C50D6A">
              <w:rPr>
                <w:rFonts w:ascii="Georgia" w:hAnsi="Georgia"/>
                <w:bCs w:val="0"/>
                <w:sz w:val="20"/>
                <w:szCs w:val="20"/>
              </w:rPr>
              <w:t>eurų</w:t>
            </w:r>
            <w:r w:rsidRPr="00C50D6A">
              <w:rPr>
                <w:rFonts w:ascii="Georgia" w:hAnsi="Georgia"/>
                <w:sz w:val="20"/>
                <w:szCs w:val="20"/>
              </w:rPr>
              <w:t>.</w:t>
            </w:r>
          </w:p>
        </w:tc>
        <w:tc>
          <w:tcPr>
            <w:tcW w:w="6080" w:type="dxa"/>
            <w:tcBorders>
              <w:top w:val="single" w:sz="6" w:space="0" w:color="C0504D" w:themeColor="accent2"/>
              <w:left w:val="single" w:sz="6" w:space="0" w:color="C0504D" w:themeColor="accent2"/>
            </w:tcBorders>
          </w:tcPr>
          <w:p w14:paraId="3C44B42A" w14:textId="77777777" w:rsidR="0028005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 xml:space="preserve">Daroma prielaida jog, 2014-2020 programavimo periodo, gatvių apšvietimo modernizacijai skirtomis </w:t>
            </w:r>
            <w:r w:rsidRPr="00AC3318">
              <w:rPr>
                <w:rFonts w:ascii="Georgia" w:hAnsi="Georgia"/>
                <w:sz w:val="20"/>
                <w:szCs w:val="20"/>
              </w:rPr>
              <w:t>lėšo</w:t>
            </w:r>
            <w:r>
              <w:rPr>
                <w:rFonts w:ascii="Georgia" w:hAnsi="Georgia"/>
                <w:sz w:val="20"/>
                <w:szCs w:val="20"/>
              </w:rPr>
              <w:t>mis – 14,5</w:t>
            </w:r>
            <w:r w:rsidRPr="00AC3318">
              <w:rPr>
                <w:rFonts w:ascii="Georgia" w:hAnsi="Georgia"/>
                <w:sz w:val="20"/>
                <w:szCs w:val="20"/>
              </w:rPr>
              <w:t xml:space="preserve"> mln. </w:t>
            </w:r>
            <w:r>
              <w:rPr>
                <w:rFonts w:ascii="Georgia" w:hAnsi="Georgia"/>
                <w:sz w:val="20"/>
                <w:szCs w:val="20"/>
              </w:rPr>
              <w:t>eurų - bus sukurtos dvi finansinės priemonės. Numatytos lėšos skirstomos taip:</w:t>
            </w:r>
          </w:p>
          <w:p w14:paraId="32C081E8" w14:textId="77777777" w:rsidR="00280058" w:rsidRDefault="00280058" w:rsidP="00C03122">
            <w:pPr>
              <w:pStyle w:val="Sraopastraipa"/>
              <w:numPr>
                <w:ilvl w:val="0"/>
                <w:numId w:val="8"/>
              </w:num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9</w:t>
            </w:r>
            <w:r w:rsidRPr="00026EF9">
              <w:rPr>
                <w:rFonts w:ascii="Georgia" w:hAnsi="Georgia"/>
                <w:sz w:val="20"/>
                <w:szCs w:val="20"/>
              </w:rPr>
              <w:t xml:space="preserve"> mln. eurų</w:t>
            </w:r>
            <w:r w:rsidRPr="00026EF9" w:rsidDel="00334CC9">
              <w:rPr>
                <w:rFonts w:ascii="Georgia" w:hAnsi="Georgia"/>
                <w:sz w:val="20"/>
                <w:szCs w:val="20"/>
              </w:rPr>
              <w:t xml:space="preserve"> </w:t>
            </w:r>
            <w:r w:rsidRPr="00026EF9">
              <w:rPr>
                <w:rFonts w:ascii="Georgia" w:hAnsi="Georgia"/>
                <w:sz w:val="20"/>
                <w:szCs w:val="20"/>
              </w:rPr>
              <w:t>skiriama paskolų priemonei;</w:t>
            </w:r>
          </w:p>
          <w:p w14:paraId="1E44622C" w14:textId="77777777" w:rsidR="00280058" w:rsidRPr="00D0328A" w:rsidRDefault="00280058" w:rsidP="00C03122">
            <w:pPr>
              <w:pStyle w:val="Sraopastraipa"/>
              <w:numPr>
                <w:ilvl w:val="0"/>
                <w:numId w:val="8"/>
              </w:num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5,5</w:t>
            </w:r>
            <w:r w:rsidRPr="00026EF9">
              <w:rPr>
                <w:rFonts w:ascii="Georgia" w:hAnsi="Georgia"/>
                <w:sz w:val="20"/>
                <w:szCs w:val="20"/>
              </w:rPr>
              <w:t xml:space="preserve"> mln. eurų</w:t>
            </w:r>
            <w:r w:rsidRPr="00026EF9" w:rsidDel="00334CC9">
              <w:rPr>
                <w:rFonts w:ascii="Georgia" w:hAnsi="Georgia"/>
                <w:sz w:val="20"/>
                <w:szCs w:val="20"/>
              </w:rPr>
              <w:t xml:space="preserve"> </w:t>
            </w:r>
            <w:r w:rsidRPr="00026EF9">
              <w:rPr>
                <w:rFonts w:ascii="Georgia" w:hAnsi="Georgia"/>
                <w:sz w:val="20"/>
                <w:szCs w:val="20"/>
              </w:rPr>
              <w:t xml:space="preserve">skiriama </w:t>
            </w:r>
            <w:r>
              <w:rPr>
                <w:rFonts w:ascii="Georgia" w:hAnsi="Georgia"/>
                <w:sz w:val="20"/>
                <w:szCs w:val="20"/>
              </w:rPr>
              <w:t>garantijų</w:t>
            </w:r>
            <w:r w:rsidRPr="00026EF9">
              <w:rPr>
                <w:rFonts w:ascii="Georgia" w:hAnsi="Georgia"/>
                <w:sz w:val="20"/>
                <w:szCs w:val="20"/>
              </w:rPr>
              <w:t xml:space="preserve"> priemonei;</w:t>
            </w:r>
          </w:p>
        </w:tc>
      </w:tr>
      <w:tr w:rsidR="00280058" w:rsidRPr="00E649A6" w14:paraId="1FEE2622"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right w:val="single" w:sz="6" w:space="0" w:color="C0504D" w:themeColor="accent2"/>
            </w:tcBorders>
          </w:tcPr>
          <w:p w14:paraId="2E085DA0" w14:textId="77777777" w:rsidR="00280058" w:rsidRPr="00C50D6A" w:rsidRDefault="00280058" w:rsidP="00BB18F6">
            <w:pPr>
              <w:rPr>
                <w:rFonts w:ascii="Georgia" w:hAnsi="Georgia"/>
                <w:b w:val="0"/>
                <w:sz w:val="20"/>
                <w:szCs w:val="20"/>
              </w:rPr>
            </w:pPr>
            <w:r w:rsidRPr="00C50D6A">
              <w:rPr>
                <w:rFonts w:ascii="Georgia" w:hAnsi="Georgia"/>
                <w:sz w:val="20"/>
                <w:szCs w:val="20"/>
              </w:rPr>
              <w:t>Siektinas pakeistų šviestuvų skaičius per metus: 10 000</w:t>
            </w:r>
          </w:p>
        </w:tc>
        <w:tc>
          <w:tcPr>
            <w:tcW w:w="6080" w:type="dxa"/>
            <w:tcBorders>
              <w:top w:val="single" w:sz="6" w:space="0" w:color="C0504D" w:themeColor="accent2"/>
              <w:left w:val="single" w:sz="6" w:space="0" w:color="C0504D" w:themeColor="accent2"/>
            </w:tcBorders>
          </w:tcPr>
          <w:p w14:paraId="11FC87B0" w14:textId="77777777"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Daroma prielaida, kad per metus butų galima </w:t>
            </w:r>
            <w:r>
              <w:rPr>
                <w:rFonts w:ascii="Georgia" w:hAnsi="Georgia"/>
                <w:sz w:val="20"/>
                <w:szCs w:val="20"/>
              </w:rPr>
              <w:t>atnaujinti</w:t>
            </w:r>
            <w:r w:rsidRPr="00AC3318">
              <w:rPr>
                <w:rFonts w:ascii="Georgia" w:hAnsi="Georgia"/>
                <w:sz w:val="20"/>
                <w:szCs w:val="20"/>
              </w:rPr>
              <w:t xml:space="preserve"> 10 000 šviestuvų </w:t>
            </w:r>
          </w:p>
        </w:tc>
      </w:tr>
      <w:tr w:rsidR="00280058" w:rsidRPr="00E649A6" w14:paraId="5AA8E88E" w14:textId="77777777" w:rsidTr="00BB18F6">
        <w:trPr>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bottom w:val="single" w:sz="6" w:space="0" w:color="C0504D" w:themeColor="accent2"/>
              <w:right w:val="single" w:sz="6" w:space="0" w:color="C0504D" w:themeColor="accent2"/>
            </w:tcBorders>
          </w:tcPr>
          <w:p w14:paraId="0E39ACDD" w14:textId="77777777" w:rsidR="00280058" w:rsidRPr="00C50D6A" w:rsidRDefault="00280058" w:rsidP="00BB18F6">
            <w:pPr>
              <w:rPr>
                <w:rFonts w:ascii="Georgia" w:hAnsi="Georgia"/>
                <w:b w:val="0"/>
                <w:sz w:val="20"/>
                <w:szCs w:val="20"/>
              </w:rPr>
            </w:pPr>
            <w:r w:rsidRPr="00C50D6A">
              <w:rPr>
                <w:rFonts w:ascii="Georgia" w:hAnsi="Georgia"/>
                <w:sz w:val="20"/>
                <w:szCs w:val="20"/>
              </w:rPr>
              <w:t>Palūkanų norma galutiniams naudos gavėjams: 2 %</w:t>
            </w:r>
          </w:p>
        </w:tc>
        <w:tc>
          <w:tcPr>
            <w:tcW w:w="6080" w:type="dxa"/>
            <w:tcBorders>
              <w:top w:val="single" w:sz="6" w:space="0" w:color="C0504D" w:themeColor="accent2"/>
              <w:left w:val="single" w:sz="6" w:space="0" w:color="C0504D" w:themeColor="accent2"/>
              <w:bottom w:val="single" w:sz="6" w:space="0" w:color="C0504D" w:themeColor="accent2"/>
            </w:tcBorders>
          </w:tcPr>
          <w:p w14:paraId="55A94AD6" w14:textId="77777777"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1D11FC">
              <w:rPr>
                <w:rFonts w:ascii="Georgia" w:hAnsi="Georgia"/>
                <w:sz w:val="20"/>
                <w:szCs w:val="20"/>
              </w:rPr>
              <w:t>Nustatomos lengvatinės  fiksuotos 2% palūkanos.</w:t>
            </w:r>
          </w:p>
        </w:tc>
      </w:tr>
      <w:tr w:rsidR="00280058" w:rsidRPr="00E649A6" w14:paraId="20DA2ADE"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bottom w:val="single" w:sz="6" w:space="0" w:color="C0504D" w:themeColor="accent2"/>
              <w:right w:val="single" w:sz="6" w:space="0" w:color="C0504D" w:themeColor="accent2"/>
            </w:tcBorders>
          </w:tcPr>
          <w:p w14:paraId="1CEE703F" w14:textId="77777777" w:rsidR="00280058" w:rsidRPr="00C50D6A" w:rsidRDefault="00280058" w:rsidP="00BB18F6">
            <w:pPr>
              <w:rPr>
                <w:rFonts w:ascii="Georgia" w:hAnsi="Georgia"/>
                <w:b w:val="0"/>
                <w:sz w:val="20"/>
                <w:szCs w:val="20"/>
              </w:rPr>
            </w:pPr>
            <w:r w:rsidRPr="00C50D6A">
              <w:rPr>
                <w:rFonts w:ascii="Georgia" w:hAnsi="Georgia"/>
                <w:sz w:val="20"/>
                <w:szCs w:val="20"/>
              </w:rPr>
              <w:t>Bankų palūkanos garantijos priemonės atveju: 7 %</w:t>
            </w:r>
          </w:p>
        </w:tc>
        <w:tc>
          <w:tcPr>
            <w:tcW w:w="6080" w:type="dxa"/>
            <w:tcBorders>
              <w:top w:val="single" w:sz="6" w:space="0" w:color="C0504D" w:themeColor="accent2"/>
              <w:left w:val="single" w:sz="6" w:space="0" w:color="C0504D" w:themeColor="accent2"/>
              <w:bottom w:val="single" w:sz="6" w:space="0" w:color="C0504D" w:themeColor="accent2"/>
            </w:tcBorders>
          </w:tcPr>
          <w:p w14:paraId="0254E081" w14:textId="77777777"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Tais atvejais kai bankui reikės išmokėti garantijas už blogas paskolas, numatoma, jog į išmokas turės būti įskaičiuotos palūkanos. Šiame scenarijuje daroma prielaida, jog, garantijų priemonės atveju, komercinių bankų f</w:t>
            </w:r>
            <w:r w:rsidRPr="00AC3318">
              <w:rPr>
                <w:rFonts w:ascii="Georgia" w:hAnsi="Georgia"/>
                <w:sz w:val="20"/>
                <w:szCs w:val="20"/>
              </w:rPr>
              <w:t>iksuot</w:t>
            </w:r>
            <w:r>
              <w:rPr>
                <w:rFonts w:ascii="Georgia" w:hAnsi="Georgia"/>
                <w:sz w:val="20"/>
                <w:szCs w:val="20"/>
              </w:rPr>
              <w:t>a</w:t>
            </w:r>
            <w:r w:rsidRPr="00AC3318">
              <w:rPr>
                <w:rFonts w:ascii="Georgia" w:hAnsi="Georgia"/>
                <w:sz w:val="20"/>
                <w:szCs w:val="20"/>
              </w:rPr>
              <w:t xml:space="preserve"> palūkan</w:t>
            </w:r>
            <w:r>
              <w:rPr>
                <w:rFonts w:ascii="Georgia" w:hAnsi="Georgia"/>
                <w:sz w:val="20"/>
                <w:szCs w:val="20"/>
              </w:rPr>
              <w:t>ų norma</w:t>
            </w:r>
            <w:r w:rsidRPr="00AC3318">
              <w:rPr>
                <w:rFonts w:ascii="Georgia" w:hAnsi="Georgia"/>
                <w:sz w:val="20"/>
                <w:szCs w:val="20"/>
              </w:rPr>
              <w:t xml:space="preserve"> jų išduot</w:t>
            </w:r>
            <w:r>
              <w:rPr>
                <w:rFonts w:ascii="Georgia" w:hAnsi="Georgia"/>
                <w:sz w:val="20"/>
                <w:szCs w:val="20"/>
              </w:rPr>
              <w:t>oms</w:t>
            </w:r>
            <w:r w:rsidRPr="00AC3318">
              <w:rPr>
                <w:rFonts w:ascii="Georgia" w:hAnsi="Georgia"/>
                <w:sz w:val="20"/>
                <w:szCs w:val="20"/>
              </w:rPr>
              <w:t xml:space="preserve"> paskol</w:t>
            </w:r>
            <w:r>
              <w:rPr>
                <w:rFonts w:ascii="Georgia" w:hAnsi="Georgia"/>
                <w:sz w:val="20"/>
                <w:szCs w:val="20"/>
              </w:rPr>
              <w:t>oms (20-ies metų laikotarpiui)</w:t>
            </w:r>
            <w:r w:rsidRPr="00AC3318">
              <w:rPr>
                <w:rFonts w:ascii="Georgia" w:hAnsi="Georgia"/>
                <w:sz w:val="20"/>
                <w:szCs w:val="20"/>
              </w:rPr>
              <w:t xml:space="preserve"> sudarys 7 proc. Šios palūkanos paskaičiuotos remiantis šių rezultatų suma:</w:t>
            </w:r>
          </w:p>
          <w:p w14:paraId="0D357082" w14:textId="77777777"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1) Prognozuojamas suderintas vartotojų kainų indeks</w:t>
            </w:r>
            <w:r>
              <w:rPr>
                <w:rFonts w:ascii="Georgia" w:hAnsi="Georgia"/>
                <w:sz w:val="20"/>
                <w:szCs w:val="20"/>
              </w:rPr>
              <w:t>o</w:t>
            </w:r>
            <w:r w:rsidRPr="00AC3318">
              <w:rPr>
                <w:rFonts w:ascii="Georgia" w:hAnsi="Georgia"/>
                <w:sz w:val="20"/>
                <w:szCs w:val="20"/>
              </w:rPr>
              <w:t xml:space="preserve"> (SVKI) vidurkis Lietuvoje 2013-201</w:t>
            </w:r>
            <w:r>
              <w:rPr>
                <w:rFonts w:ascii="Georgia" w:hAnsi="Georgia"/>
                <w:sz w:val="20"/>
                <w:szCs w:val="20"/>
                <w:lang w:val="en-US"/>
              </w:rPr>
              <w:t>7</w:t>
            </w:r>
            <w:r w:rsidRPr="00AC3318">
              <w:rPr>
                <w:rFonts w:ascii="Georgia" w:hAnsi="Georgia"/>
                <w:sz w:val="20"/>
                <w:szCs w:val="20"/>
              </w:rPr>
              <w:t xml:space="preserve"> (</w:t>
            </w:r>
            <w:r>
              <w:rPr>
                <w:rFonts w:ascii="Georgia" w:hAnsi="Georgia"/>
                <w:sz w:val="20"/>
                <w:szCs w:val="20"/>
              </w:rPr>
              <w:t>2,9</w:t>
            </w:r>
            <w:r w:rsidRPr="00AC3318">
              <w:rPr>
                <w:rFonts w:ascii="Georgia" w:hAnsi="Georgia"/>
                <w:sz w:val="20"/>
                <w:szCs w:val="20"/>
              </w:rPr>
              <w:t xml:space="preserve">%); </w:t>
            </w:r>
          </w:p>
          <w:p w14:paraId="5629F52F" w14:textId="77777777"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2) Lietuvos </w:t>
            </w:r>
            <w:r>
              <w:rPr>
                <w:rFonts w:ascii="Georgia" w:hAnsi="Georgia"/>
                <w:sz w:val="20"/>
                <w:szCs w:val="20"/>
              </w:rPr>
              <w:t xml:space="preserve">Respublikos </w:t>
            </w:r>
            <w:r w:rsidRPr="00AC3318">
              <w:rPr>
                <w:rFonts w:ascii="Georgia" w:hAnsi="Georgia"/>
                <w:sz w:val="20"/>
                <w:szCs w:val="20"/>
              </w:rPr>
              <w:t>Vyriausybė</w:t>
            </w:r>
            <w:r>
              <w:rPr>
                <w:rFonts w:ascii="Georgia" w:hAnsi="Georgia"/>
                <w:sz w:val="20"/>
                <w:szCs w:val="20"/>
              </w:rPr>
              <w:t>s</w:t>
            </w:r>
            <w:r w:rsidRPr="00AC3318">
              <w:rPr>
                <w:rFonts w:ascii="Georgia" w:hAnsi="Georgia"/>
                <w:sz w:val="20"/>
                <w:szCs w:val="20"/>
              </w:rPr>
              <w:t xml:space="preserve"> obligacijų emisijos </w:t>
            </w:r>
            <w:r w:rsidRPr="00B76C82">
              <w:rPr>
                <w:rFonts w:ascii="Georgia" w:hAnsi="Georgia"/>
                <w:sz w:val="20"/>
                <w:szCs w:val="20"/>
              </w:rPr>
              <w:t>(</w:t>
            </w:r>
            <w:r>
              <w:rPr>
                <w:rFonts w:ascii="Georgia" w:hAnsi="Georgia"/>
                <w:sz w:val="20"/>
                <w:szCs w:val="20"/>
              </w:rPr>
              <w:t>2536 dienų trukmės) palūkanos 2014 rugsėjo mėnesį (2,0%)</w:t>
            </w:r>
            <w:r w:rsidRPr="00AC3318">
              <w:rPr>
                <w:rFonts w:ascii="Georgia" w:hAnsi="Georgia"/>
                <w:sz w:val="20"/>
                <w:szCs w:val="20"/>
              </w:rPr>
              <w:t xml:space="preserve">; </w:t>
            </w:r>
          </w:p>
          <w:p w14:paraId="22AFE143" w14:textId="77777777" w:rsidR="0028005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3) Galima komercinių bankų marža (2,1%).</w:t>
            </w:r>
          </w:p>
          <w:p w14:paraId="50617FAF" w14:textId="77777777" w:rsidR="0028005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Šių palūkanų skaičiavimo metodika taip pat atitinka PwC studijoje naudotą metodiką.</w:t>
            </w:r>
          </w:p>
          <w:p w14:paraId="476C4D31" w14:textId="77777777"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 xml:space="preserve">Pokalbių su bankais metu paminėta, jog vertinant įvairias rizikas, ilgalaikėms paskoloms (20 metų) preliminariai galėtų būti taikomos nuo </w:t>
            </w:r>
            <w:r>
              <w:rPr>
                <w:rFonts w:ascii="Georgia" w:hAnsi="Georgia"/>
                <w:sz w:val="20"/>
                <w:szCs w:val="20"/>
                <w:lang w:val="en-US"/>
              </w:rPr>
              <w:t xml:space="preserve">7 </w:t>
            </w:r>
            <w:r w:rsidRPr="00A074B2">
              <w:rPr>
                <w:rFonts w:ascii="Georgia" w:hAnsi="Georgia"/>
                <w:sz w:val="20"/>
                <w:szCs w:val="20"/>
              </w:rPr>
              <w:t>iki</w:t>
            </w:r>
            <w:r>
              <w:rPr>
                <w:rFonts w:ascii="Georgia" w:hAnsi="Georgia"/>
                <w:sz w:val="20"/>
                <w:szCs w:val="20"/>
                <w:lang w:val="en-US"/>
              </w:rPr>
              <w:t xml:space="preserve"> 10 proc. pal</w:t>
            </w:r>
            <w:r>
              <w:rPr>
                <w:rFonts w:ascii="Georgia" w:hAnsi="Georgia"/>
                <w:sz w:val="20"/>
                <w:szCs w:val="20"/>
              </w:rPr>
              <w:t>ūkanų normos.</w:t>
            </w:r>
          </w:p>
        </w:tc>
      </w:tr>
      <w:tr w:rsidR="00280058" w:rsidRPr="00E649A6" w14:paraId="4AD12169" w14:textId="77777777" w:rsidTr="00BB18F6">
        <w:trPr>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bottom w:val="single" w:sz="6" w:space="0" w:color="C0504D" w:themeColor="accent2"/>
              <w:right w:val="single" w:sz="6" w:space="0" w:color="C0504D" w:themeColor="accent2"/>
            </w:tcBorders>
          </w:tcPr>
          <w:p w14:paraId="6CAB46DC" w14:textId="77777777" w:rsidR="00280058" w:rsidRPr="00C50D6A" w:rsidRDefault="00280058" w:rsidP="00BB18F6">
            <w:pPr>
              <w:rPr>
                <w:rFonts w:ascii="Georgia" w:hAnsi="Georgia"/>
                <w:sz w:val="20"/>
                <w:szCs w:val="20"/>
              </w:rPr>
            </w:pPr>
            <w:r w:rsidRPr="00C50D6A">
              <w:rPr>
                <w:rFonts w:ascii="Georgia" w:hAnsi="Georgia"/>
                <w:sz w:val="20"/>
                <w:szCs w:val="20"/>
              </w:rPr>
              <w:t>Fonde rezervuojamos lėšos garantijų įsipareigojimų vykdymui: 20 %</w:t>
            </w:r>
          </w:p>
        </w:tc>
        <w:tc>
          <w:tcPr>
            <w:tcW w:w="6080" w:type="dxa"/>
            <w:tcBorders>
              <w:top w:val="single" w:sz="6" w:space="0" w:color="C0504D" w:themeColor="accent2"/>
              <w:left w:val="single" w:sz="6" w:space="0" w:color="C0504D" w:themeColor="accent2"/>
              <w:bottom w:val="single" w:sz="6" w:space="0" w:color="C0504D" w:themeColor="accent2"/>
            </w:tcBorders>
          </w:tcPr>
          <w:p w14:paraId="01CA5951" w14:textId="77777777"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Fondo garantiniams įsipareigojimams vykdyti r</w:t>
            </w:r>
            <w:r w:rsidRPr="00AC3318">
              <w:rPr>
                <w:rFonts w:ascii="Georgia" w:hAnsi="Georgia"/>
                <w:sz w:val="20"/>
                <w:szCs w:val="20"/>
              </w:rPr>
              <w:t>ezervuojama 20 %</w:t>
            </w:r>
            <w:r>
              <w:rPr>
                <w:rFonts w:ascii="Georgia" w:hAnsi="Georgia"/>
                <w:sz w:val="20"/>
                <w:szCs w:val="20"/>
              </w:rPr>
              <w:t xml:space="preserve"> lėšų</w:t>
            </w:r>
            <w:r w:rsidRPr="00AC3318">
              <w:rPr>
                <w:rFonts w:ascii="Georgia" w:hAnsi="Georgia"/>
                <w:sz w:val="20"/>
                <w:szCs w:val="20"/>
              </w:rPr>
              <w:t xml:space="preserve">, </w:t>
            </w:r>
            <w:r>
              <w:rPr>
                <w:rFonts w:ascii="Georgia" w:hAnsi="Georgia"/>
                <w:sz w:val="20"/>
                <w:szCs w:val="20"/>
              </w:rPr>
              <w:t>tačiau</w:t>
            </w:r>
            <w:r w:rsidRPr="00AC3318">
              <w:rPr>
                <w:rFonts w:ascii="Georgia" w:hAnsi="Georgia"/>
                <w:sz w:val="20"/>
                <w:szCs w:val="20"/>
              </w:rPr>
              <w:t xml:space="preserve"> model</w:t>
            </w:r>
            <w:r>
              <w:rPr>
                <w:rFonts w:ascii="Georgia" w:hAnsi="Georgia"/>
                <w:sz w:val="20"/>
                <w:szCs w:val="20"/>
              </w:rPr>
              <w:t>iuojant scenarijų,</w:t>
            </w:r>
            <w:r w:rsidRPr="00AC3318">
              <w:rPr>
                <w:rFonts w:ascii="Georgia" w:hAnsi="Georgia"/>
                <w:sz w:val="20"/>
                <w:szCs w:val="20"/>
              </w:rPr>
              <w:t xml:space="preserve">  skaičiuojama</w:t>
            </w:r>
            <w:r>
              <w:rPr>
                <w:rFonts w:ascii="Georgia" w:hAnsi="Georgia"/>
                <w:sz w:val="20"/>
                <w:szCs w:val="20"/>
              </w:rPr>
              <w:t xml:space="preserve"> jog</w:t>
            </w:r>
            <w:r w:rsidRPr="00AC3318">
              <w:rPr>
                <w:rFonts w:ascii="Georgia" w:hAnsi="Georgia"/>
                <w:sz w:val="20"/>
                <w:szCs w:val="20"/>
              </w:rPr>
              <w:t xml:space="preserve"> tikėtina praradimų dalis 5%, kuri paremta ekspertiniu ir </w:t>
            </w:r>
            <w:r>
              <w:rPr>
                <w:rFonts w:ascii="Georgia" w:hAnsi="Georgia"/>
                <w:sz w:val="20"/>
                <w:szCs w:val="20"/>
              </w:rPr>
              <w:t xml:space="preserve">komercinių </w:t>
            </w:r>
            <w:r w:rsidRPr="00AC3318">
              <w:rPr>
                <w:rFonts w:ascii="Georgia" w:hAnsi="Georgia"/>
                <w:sz w:val="20"/>
                <w:szCs w:val="20"/>
              </w:rPr>
              <w:t>bankų vertinimu, bei atitinka PwC studijos prielaidas.</w:t>
            </w:r>
          </w:p>
        </w:tc>
      </w:tr>
      <w:tr w:rsidR="00280058" w:rsidRPr="00E649A6" w14:paraId="6FAB2B05"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right w:val="single" w:sz="6" w:space="0" w:color="C0504D" w:themeColor="accent2"/>
            </w:tcBorders>
          </w:tcPr>
          <w:p w14:paraId="53FBA0B2" w14:textId="77777777" w:rsidR="00280058" w:rsidRPr="00C50D6A" w:rsidRDefault="00280058" w:rsidP="00BB18F6">
            <w:pPr>
              <w:rPr>
                <w:rFonts w:ascii="Georgia" w:hAnsi="Georgia"/>
                <w:sz w:val="20"/>
                <w:szCs w:val="20"/>
              </w:rPr>
            </w:pPr>
            <w:r w:rsidRPr="00C50D6A">
              <w:rPr>
                <w:rFonts w:ascii="Georgia" w:hAnsi="Georgia"/>
                <w:sz w:val="20"/>
              </w:rPr>
              <w:t>Valdymo mokestis: vadovaujantis Deleguoto reglamento nuostatomis</w:t>
            </w:r>
          </w:p>
        </w:tc>
        <w:tc>
          <w:tcPr>
            <w:tcW w:w="6080" w:type="dxa"/>
            <w:tcBorders>
              <w:top w:val="single" w:sz="6" w:space="0" w:color="C0504D" w:themeColor="accent2"/>
              <w:left w:val="single" w:sz="6" w:space="0" w:color="C0504D" w:themeColor="accent2"/>
            </w:tcBorders>
          </w:tcPr>
          <w:p w14:paraId="7750BE8D" w14:textId="0D48281C" w:rsidR="00280058" w:rsidRPr="00AC3318" w:rsidRDefault="00280058" w:rsidP="009647A2">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rPr>
              <w:t>Vadovaujantis Deleguoto reglamento nuostatomis, valdymo mokestis susideda iš dviejų dalių: 0,5 proc. bazinis mokestis nuo finansinei priemonei skirtų ir įmokėtų lėšų ir: paskolų atveju – 1 proc. mokestis n</w:t>
            </w:r>
            <w:r w:rsidRPr="00A445EE">
              <w:rPr>
                <w:rFonts w:ascii="Georgia" w:hAnsi="Georgia"/>
                <w:sz w:val="20"/>
              </w:rPr>
              <w:t xml:space="preserve">uo </w:t>
            </w:r>
            <w:r>
              <w:rPr>
                <w:rFonts w:ascii="Georgia" w:hAnsi="Georgia"/>
                <w:sz w:val="20"/>
              </w:rPr>
              <w:t>paskolų,</w:t>
            </w:r>
            <w:r w:rsidRPr="00A445EE">
              <w:rPr>
                <w:rFonts w:ascii="Georgia" w:hAnsi="Georgia"/>
                <w:sz w:val="20"/>
              </w:rPr>
              <w:t xml:space="preserve"> </w:t>
            </w:r>
            <w:r>
              <w:rPr>
                <w:rFonts w:ascii="Georgia" w:hAnsi="Georgia"/>
                <w:sz w:val="20"/>
              </w:rPr>
              <w:t>suteikt</w:t>
            </w:r>
            <w:r w:rsidRPr="00A445EE">
              <w:rPr>
                <w:rFonts w:ascii="Georgia" w:hAnsi="Georgia"/>
                <w:sz w:val="20"/>
              </w:rPr>
              <w:t xml:space="preserve">ų </w:t>
            </w:r>
            <w:r>
              <w:rPr>
                <w:rFonts w:ascii="Georgia" w:hAnsi="Georgia"/>
                <w:sz w:val="20"/>
              </w:rPr>
              <w:t xml:space="preserve">galutiniams </w:t>
            </w:r>
            <w:r w:rsidRPr="00A445EE">
              <w:rPr>
                <w:rFonts w:ascii="Georgia" w:hAnsi="Georgia"/>
                <w:sz w:val="20"/>
              </w:rPr>
              <w:t>naudos gavėjams</w:t>
            </w:r>
            <w:r>
              <w:rPr>
                <w:rFonts w:ascii="Georgia" w:hAnsi="Georgia"/>
                <w:sz w:val="20"/>
              </w:rPr>
              <w:t>, sumos; garantijų atveju – 1,5 proc. nuo sumų, išmokėtų galutiniams naudos gavėjams.</w:t>
            </w:r>
          </w:p>
        </w:tc>
      </w:tr>
      <w:tr w:rsidR="00280058" w:rsidRPr="00E649A6" w14:paraId="62C17C39" w14:textId="77777777" w:rsidTr="00BB18F6">
        <w:trPr>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right w:val="single" w:sz="6" w:space="0" w:color="C0504D" w:themeColor="accent2"/>
            </w:tcBorders>
          </w:tcPr>
          <w:p w14:paraId="149E4C24" w14:textId="77777777" w:rsidR="00280058" w:rsidRPr="00C50D6A" w:rsidRDefault="00280058" w:rsidP="00BB18F6">
            <w:pPr>
              <w:rPr>
                <w:rFonts w:ascii="Georgia" w:hAnsi="Georgia"/>
                <w:b w:val="0"/>
                <w:sz w:val="20"/>
                <w:szCs w:val="20"/>
              </w:rPr>
            </w:pPr>
            <w:r w:rsidRPr="00C50D6A">
              <w:rPr>
                <w:rFonts w:ascii="Georgia" w:hAnsi="Georgia"/>
                <w:sz w:val="20"/>
                <w:szCs w:val="20"/>
              </w:rPr>
              <w:t xml:space="preserve">Projekto įgyvendinimo laikotarpis: 1 metai </w:t>
            </w:r>
          </w:p>
        </w:tc>
        <w:tc>
          <w:tcPr>
            <w:tcW w:w="6080" w:type="dxa"/>
            <w:tcBorders>
              <w:top w:val="single" w:sz="6" w:space="0" w:color="C0504D" w:themeColor="accent2"/>
              <w:left w:val="single" w:sz="6" w:space="0" w:color="C0504D" w:themeColor="accent2"/>
            </w:tcBorders>
          </w:tcPr>
          <w:p w14:paraId="17DBB528" w14:textId="77777777"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Daroma prielaida, jog tipinio viešojo pastato renovacijos laikas yra 1 metai nuo paskolos sutarties pasirašymo momento.</w:t>
            </w:r>
          </w:p>
        </w:tc>
      </w:tr>
    </w:tbl>
    <w:p w14:paraId="33C7757E" w14:textId="77777777" w:rsidR="00280058" w:rsidRPr="00AC3318" w:rsidRDefault="00280058" w:rsidP="00280058">
      <w:pPr>
        <w:jc w:val="both"/>
        <w:rPr>
          <w:rFonts w:ascii="Georgia" w:hAnsi="Georgia"/>
          <w:sz w:val="20"/>
          <w:szCs w:val="20"/>
          <w:lang w:val="lt-LT"/>
        </w:rPr>
      </w:pPr>
    </w:p>
    <w:p w14:paraId="05F33400" w14:textId="168B034B" w:rsidR="00280058" w:rsidRPr="00C205F4" w:rsidRDefault="00280058" w:rsidP="00280058">
      <w:pPr>
        <w:pStyle w:val="Antrat"/>
        <w:jc w:val="both"/>
        <w:rPr>
          <w:szCs w:val="20"/>
          <w:lang w:val="lt-LT"/>
        </w:rPr>
      </w:pPr>
      <w:bookmarkStart w:id="241" w:name="_Toc460321707"/>
      <w:r w:rsidRPr="00D0328A">
        <w:rPr>
          <w:lang w:val="lt-LT"/>
        </w:rPr>
        <w:lastRenderedPageBreak/>
        <w:t xml:space="preserve">Lentelė </w:t>
      </w:r>
      <w:r w:rsidRPr="00D0328A">
        <w:rPr>
          <w:lang w:val="lt-LT"/>
        </w:rPr>
        <w:fldChar w:fldCharType="begin"/>
      </w:r>
      <w:r w:rsidRPr="00D0328A">
        <w:rPr>
          <w:lang w:val="lt-LT"/>
        </w:rPr>
        <w:instrText xml:space="preserve"> SEQ Lentelė \* ARABIC </w:instrText>
      </w:r>
      <w:r w:rsidRPr="00D0328A">
        <w:rPr>
          <w:lang w:val="lt-LT"/>
        </w:rPr>
        <w:fldChar w:fldCharType="separate"/>
      </w:r>
      <w:r w:rsidR="00AA3082">
        <w:rPr>
          <w:noProof/>
          <w:lang w:val="lt-LT"/>
        </w:rPr>
        <w:t>126</w:t>
      </w:r>
      <w:r w:rsidRPr="00D0328A">
        <w:rPr>
          <w:lang w:val="lt-LT"/>
        </w:rPr>
        <w:fldChar w:fldCharType="end"/>
      </w:r>
      <w:r w:rsidRPr="00D0328A">
        <w:rPr>
          <w:lang w:val="lt-LT"/>
        </w:rPr>
        <w:t xml:space="preserve">. </w:t>
      </w:r>
      <w:r w:rsidRPr="002B70C1">
        <w:rPr>
          <w:lang w:val="lt-LT"/>
        </w:rPr>
        <w:t>Scenarijaus Nr. 3</w:t>
      </w:r>
      <w:r w:rsidRPr="002B70C1">
        <w:rPr>
          <w:szCs w:val="20"/>
          <w:lang w:val="lt-LT"/>
        </w:rPr>
        <w:t xml:space="preserve"> p</w:t>
      </w:r>
      <w:r w:rsidRPr="00C205F4">
        <w:rPr>
          <w:szCs w:val="20"/>
          <w:lang w:val="lt-LT"/>
        </w:rPr>
        <w:t>askolų modelio įgyvendinimo prognozė</w:t>
      </w:r>
      <w:bookmarkEnd w:id="241"/>
    </w:p>
    <w:p w14:paraId="5E1E9394" w14:textId="77777777" w:rsidR="00280058" w:rsidRDefault="00280058" w:rsidP="00280058">
      <w:pPr>
        <w:rPr>
          <w:lang w:val="lt-LT"/>
        </w:rPr>
      </w:pPr>
      <w:r>
        <w:rPr>
          <w:noProof/>
          <w:lang w:val="lt-LT" w:eastAsia="lt-LT"/>
        </w:rPr>
        <w:drawing>
          <wp:inline distT="0" distB="0" distL="0" distR="0" wp14:anchorId="45CFB733" wp14:editId="4CB406C7">
            <wp:extent cx="6115050" cy="2266950"/>
            <wp:effectExtent l="0" t="0" r="0" b="0"/>
            <wp:docPr id="240" name="Paveikslėlis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6115050" cy="2266950"/>
                    </a:xfrm>
                    <a:prstGeom prst="rect">
                      <a:avLst/>
                    </a:prstGeom>
                    <a:noFill/>
                    <a:ln>
                      <a:noFill/>
                    </a:ln>
                  </pic:spPr>
                </pic:pic>
              </a:graphicData>
            </a:graphic>
          </wp:inline>
        </w:drawing>
      </w:r>
    </w:p>
    <w:p w14:paraId="56107BB7" w14:textId="7FE0629F" w:rsidR="00280058" w:rsidRPr="00C205F4" w:rsidRDefault="00280058" w:rsidP="00280058">
      <w:pPr>
        <w:pStyle w:val="Antrat"/>
        <w:rPr>
          <w:szCs w:val="20"/>
          <w:lang w:val="lt-LT"/>
        </w:rPr>
      </w:pPr>
      <w:r w:rsidRPr="00D0328A">
        <w:rPr>
          <w:lang w:val="lt-LT"/>
        </w:rPr>
        <w:t xml:space="preserve"> </w:t>
      </w:r>
      <w:bookmarkStart w:id="242" w:name="_Toc460321708"/>
      <w:r w:rsidRPr="00D0328A">
        <w:rPr>
          <w:lang w:val="lt-LT"/>
        </w:rPr>
        <w:t xml:space="preserve">Lentelė </w:t>
      </w:r>
      <w:r w:rsidRPr="00D0328A">
        <w:rPr>
          <w:lang w:val="lt-LT"/>
        </w:rPr>
        <w:fldChar w:fldCharType="begin"/>
      </w:r>
      <w:r w:rsidRPr="00D0328A">
        <w:rPr>
          <w:lang w:val="lt-LT"/>
        </w:rPr>
        <w:instrText xml:space="preserve"> SEQ Lentelė \* ARABIC </w:instrText>
      </w:r>
      <w:r w:rsidRPr="00D0328A">
        <w:rPr>
          <w:lang w:val="lt-LT"/>
        </w:rPr>
        <w:fldChar w:fldCharType="separate"/>
      </w:r>
      <w:r w:rsidR="00AA3082">
        <w:rPr>
          <w:noProof/>
          <w:lang w:val="lt-LT"/>
        </w:rPr>
        <w:t>127</w:t>
      </w:r>
      <w:r w:rsidRPr="00D0328A">
        <w:rPr>
          <w:lang w:val="lt-LT"/>
        </w:rPr>
        <w:fldChar w:fldCharType="end"/>
      </w:r>
      <w:r w:rsidRPr="00D0328A">
        <w:rPr>
          <w:lang w:val="lt-LT"/>
        </w:rPr>
        <w:t xml:space="preserve">. </w:t>
      </w:r>
      <w:r w:rsidRPr="002B70C1">
        <w:rPr>
          <w:lang w:val="lt-LT"/>
        </w:rPr>
        <w:t xml:space="preserve">Scenarijaus Nr. 3 </w:t>
      </w:r>
      <w:r w:rsidRPr="002B70C1">
        <w:rPr>
          <w:szCs w:val="20"/>
          <w:lang w:val="lt-LT"/>
        </w:rPr>
        <w:t>g</w:t>
      </w:r>
      <w:r w:rsidRPr="00C205F4">
        <w:rPr>
          <w:szCs w:val="20"/>
          <w:lang w:val="lt-LT"/>
        </w:rPr>
        <w:t xml:space="preserve">arantijų modelio </w:t>
      </w:r>
      <w:r w:rsidRPr="00C205F4">
        <w:rPr>
          <w:lang w:val="lt-LT"/>
        </w:rPr>
        <w:t>įgyvendinimo prognozė</w:t>
      </w:r>
      <w:bookmarkEnd w:id="242"/>
    </w:p>
    <w:p w14:paraId="51670B59" w14:textId="77777777" w:rsidR="00280058" w:rsidRDefault="00280058" w:rsidP="00280058">
      <w:pPr>
        <w:rPr>
          <w:lang w:val="lt-LT"/>
        </w:rPr>
      </w:pPr>
      <w:r>
        <w:rPr>
          <w:noProof/>
          <w:lang w:val="lt-LT" w:eastAsia="lt-LT"/>
        </w:rPr>
        <w:drawing>
          <wp:inline distT="0" distB="0" distL="0" distR="0" wp14:anchorId="3174E5AC" wp14:editId="6C9BC81B">
            <wp:extent cx="6115050" cy="2647950"/>
            <wp:effectExtent l="0" t="0" r="0" b="0"/>
            <wp:docPr id="252" name="Paveikslėlis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6115050" cy="2647950"/>
                    </a:xfrm>
                    <a:prstGeom prst="rect">
                      <a:avLst/>
                    </a:prstGeom>
                    <a:noFill/>
                    <a:ln>
                      <a:noFill/>
                    </a:ln>
                  </pic:spPr>
                </pic:pic>
              </a:graphicData>
            </a:graphic>
          </wp:inline>
        </w:drawing>
      </w:r>
    </w:p>
    <w:p w14:paraId="792B3670" w14:textId="3E28CEC9" w:rsidR="00280058" w:rsidRPr="00C205F4" w:rsidRDefault="00280058" w:rsidP="00280058">
      <w:pPr>
        <w:pStyle w:val="Antrat"/>
        <w:rPr>
          <w:szCs w:val="20"/>
          <w:lang w:val="lt-LT"/>
        </w:rPr>
      </w:pPr>
      <w:r w:rsidRPr="00D0328A">
        <w:rPr>
          <w:lang w:val="lt-LT"/>
        </w:rPr>
        <w:t xml:space="preserve"> </w:t>
      </w:r>
      <w:bookmarkStart w:id="243" w:name="_Toc460321709"/>
      <w:r w:rsidRPr="00D0328A">
        <w:rPr>
          <w:lang w:val="lt-LT"/>
        </w:rPr>
        <w:t xml:space="preserve">Lentelė </w:t>
      </w:r>
      <w:r w:rsidRPr="00D0328A">
        <w:rPr>
          <w:lang w:val="lt-LT"/>
        </w:rPr>
        <w:fldChar w:fldCharType="begin"/>
      </w:r>
      <w:r w:rsidRPr="00D0328A">
        <w:rPr>
          <w:lang w:val="lt-LT"/>
        </w:rPr>
        <w:instrText xml:space="preserve"> SEQ Lentelė \* ARABIC </w:instrText>
      </w:r>
      <w:r w:rsidRPr="00D0328A">
        <w:rPr>
          <w:lang w:val="lt-LT"/>
        </w:rPr>
        <w:fldChar w:fldCharType="separate"/>
      </w:r>
      <w:r w:rsidR="00AA3082">
        <w:rPr>
          <w:noProof/>
          <w:lang w:val="lt-LT"/>
        </w:rPr>
        <w:t>128</w:t>
      </w:r>
      <w:r w:rsidRPr="00D0328A">
        <w:rPr>
          <w:lang w:val="lt-LT"/>
        </w:rPr>
        <w:fldChar w:fldCharType="end"/>
      </w:r>
      <w:r w:rsidRPr="00D0328A">
        <w:rPr>
          <w:lang w:val="lt-LT"/>
        </w:rPr>
        <w:t xml:space="preserve">. </w:t>
      </w:r>
      <w:r w:rsidRPr="002B70C1">
        <w:rPr>
          <w:lang w:val="lt-LT"/>
        </w:rPr>
        <w:t xml:space="preserve">Scenarijaus Nr. </w:t>
      </w:r>
      <w:r w:rsidRPr="00C205F4">
        <w:rPr>
          <w:lang w:val="lt-LT"/>
        </w:rPr>
        <w:t>3 rezultatai</w:t>
      </w:r>
      <w:bookmarkEnd w:id="243"/>
    </w:p>
    <w:tbl>
      <w:tblPr>
        <w:tblStyle w:val="viesussraas2parykinimas"/>
        <w:tblW w:w="5000" w:type="pct"/>
        <w:tblLook w:val="04A0" w:firstRow="1" w:lastRow="0" w:firstColumn="1" w:lastColumn="0" w:noHBand="0" w:noVBand="1"/>
      </w:tblPr>
      <w:tblGrid>
        <w:gridCol w:w="6634"/>
        <w:gridCol w:w="2608"/>
      </w:tblGrid>
      <w:tr w:rsidR="00280058" w:rsidRPr="00E649A6" w14:paraId="2210CB00" w14:textId="77777777" w:rsidTr="00230209">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89" w:type="pct"/>
          </w:tcPr>
          <w:p w14:paraId="09D4501E" w14:textId="77777777" w:rsidR="00280058" w:rsidRPr="00AC3318" w:rsidRDefault="00280058" w:rsidP="00BB18F6">
            <w:pPr>
              <w:jc w:val="center"/>
              <w:rPr>
                <w:rFonts w:ascii="Georgia" w:hAnsi="Georgia"/>
                <w:sz w:val="20"/>
                <w:szCs w:val="20"/>
              </w:rPr>
            </w:pPr>
            <w:r w:rsidRPr="00AC3318">
              <w:rPr>
                <w:rFonts w:ascii="Georgia" w:hAnsi="Georgia"/>
                <w:sz w:val="20"/>
                <w:szCs w:val="20"/>
              </w:rPr>
              <w:t>Fondas</w:t>
            </w:r>
          </w:p>
        </w:tc>
        <w:tc>
          <w:tcPr>
            <w:tcW w:w="1411" w:type="pct"/>
          </w:tcPr>
          <w:p w14:paraId="311231E4" w14:textId="77777777" w:rsidR="00280058" w:rsidRPr="00AC3318" w:rsidRDefault="00280058" w:rsidP="00BB18F6">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mln. </w:t>
            </w:r>
            <w:r>
              <w:rPr>
                <w:rFonts w:ascii="Georgia" w:hAnsi="Georgia"/>
                <w:bCs w:val="0"/>
                <w:sz w:val="20"/>
                <w:szCs w:val="20"/>
              </w:rPr>
              <w:t>eurų</w:t>
            </w:r>
          </w:p>
        </w:tc>
      </w:tr>
      <w:tr w:rsidR="00280058" w:rsidRPr="00E649A6" w14:paraId="52B809E5" w14:textId="77777777" w:rsidTr="0023020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89" w:type="pct"/>
          </w:tcPr>
          <w:p w14:paraId="79488A4D" w14:textId="77777777" w:rsidR="00280058" w:rsidRPr="00AC3318" w:rsidRDefault="00280058" w:rsidP="00BB18F6">
            <w:pPr>
              <w:rPr>
                <w:rFonts w:ascii="Georgia" w:hAnsi="Georgia"/>
                <w:sz w:val="20"/>
                <w:szCs w:val="20"/>
              </w:rPr>
            </w:pPr>
            <w:r w:rsidRPr="00AC3318">
              <w:rPr>
                <w:rFonts w:ascii="Georgia" w:hAnsi="Georgia"/>
                <w:sz w:val="20"/>
                <w:szCs w:val="20"/>
              </w:rPr>
              <w:t>Galutinius naudos gavėjus pasiekusios lėšos</w:t>
            </w:r>
          </w:p>
        </w:tc>
        <w:tc>
          <w:tcPr>
            <w:tcW w:w="1411" w:type="pct"/>
          </w:tcPr>
          <w:p w14:paraId="6EEE9ADD" w14:textId="77777777" w:rsidR="00280058" w:rsidRPr="00AC3318" w:rsidRDefault="00280058"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9,8</w:t>
            </w:r>
            <w:r w:rsidRPr="00AC3318">
              <w:rPr>
                <w:rFonts w:ascii="Georgia" w:hAnsi="Georgia"/>
                <w:sz w:val="20"/>
                <w:szCs w:val="20"/>
              </w:rPr>
              <w:t>+</w:t>
            </w:r>
            <w:r>
              <w:rPr>
                <w:rFonts w:ascii="Georgia" w:hAnsi="Georgia"/>
                <w:sz w:val="20"/>
                <w:szCs w:val="20"/>
              </w:rPr>
              <w:t>16</w:t>
            </w:r>
            <w:r w:rsidRPr="00AC3318">
              <w:rPr>
                <w:rFonts w:ascii="Georgia" w:hAnsi="Georgia"/>
                <w:sz w:val="20"/>
                <w:szCs w:val="20"/>
              </w:rPr>
              <w:t xml:space="preserve"> = </w:t>
            </w:r>
            <w:r>
              <w:rPr>
                <w:rFonts w:ascii="Georgia" w:hAnsi="Georgia"/>
                <w:sz w:val="20"/>
                <w:szCs w:val="20"/>
              </w:rPr>
              <w:t>25,8</w:t>
            </w:r>
          </w:p>
        </w:tc>
      </w:tr>
      <w:tr w:rsidR="00280058" w:rsidRPr="00E649A6" w14:paraId="7FB90E3C" w14:textId="77777777" w:rsidTr="00230209">
        <w:trPr>
          <w:trHeight w:val="266"/>
        </w:trPr>
        <w:tc>
          <w:tcPr>
            <w:cnfStyle w:val="001000000000" w:firstRow="0" w:lastRow="0" w:firstColumn="1" w:lastColumn="0" w:oddVBand="0" w:evenVBand="0" w:oddHBand="0" w:evenHBand="0" w:firstRowFirstColumn="0" w:firstRowLastColumn="0" w:lastRowFirstColumn="0" w:lastRowLastColumn="0"/>
            <w:tcW w:w="3589" w:type="pct"/>
          </w:tcPr>
          <w:p w14:paraId="79606889" w14:textId="77777777" w:rsidR="00280058" w:rsidRPr="00AC3318" w:rsidRDefault="00280058" w:rsidP="00BB18F6">
            <w:pPr>
              <w:rPr>
                <w:rFonts w:ascii="Georgia" w:hAnsi="Georgia"/>
                <w:sz w:val="20"/>
                <w:szCs w:val="20"/>
              </w:rPr>
            </w:pPr>
            <w:r w:rsidRPr="00AC3318">
              <w:rPr>
                <w:rFonts w:ascii="Georgia" w:hAnsi="Georgia"/>
                <w:sz w:val="20"/>
                <w:szCs w:val="20"/>
              </w:rPr>
              <w:t>Renovuotų šviestuvų skaičius</w:t>
            </w:r>
          </w:p>
        </w:tc>
        <w:tc>
          <w:tcPr>
            <w:tcW w:w="1411" w:type="pct"/>
          </w:tcPr>
          <w:p w14:paraId="02974184" w14:textId="77777777" w:rsidR="00280058" w:rsidRPr="00AC3318" w:rsidRDefault="00280058" w:rsidP="00BB18F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36313</w:t>
            </w:r>
          </w:p>
        </w:tc>
      </w:tr>
    </w:tbl>
    <w:p w14:paraId="79641738" w14:textId="77777777" w:rsidR="00280058" w:rsidRPr="00AC3318" w:rsidRDefault="00280058" w:rsidP="00280058">
      <w:pPr>
        <w:rPr>
          <w:rFonts w:ascii="Georgia" w:hAnsi="Georgia"/>
          <w:sz w:val="20"/>
          <w:szCs w:val="20"/>
          <w:lang w:val="lt-LT"/>
        </w:rPr>
      </w:pPr>
    </w:p>
    <w:p w14:paraId="0FDBC731" w14:textId="77777777" w:rsidR="00280058" w:rsidRPr="00765A39" w:rsidRDefault="00280058" w:rsidP="00C03122">
      <w:pPr>
        <w:pStyle w:val="Sraopastraipa"/>
        <w:keepNext/>
        <w:numPr>
          <w:ilvl w:val="0"/>
          <w:numId w:val="34"/>
        </w:numPr>
        <w:ind w:left="714" w:hanging="357"/>
        <w:rPr>
          <w:rFonts w:ascii="Georgia" w:hAnsi="Georgia"/>
          <w:b/>
          <w:i/>
          <w:sz w:val="20"/>
          <w:szCs w:val="20"/>
          <w:lang w:val="lt-LT"/>
        </w:rPr>
      </w:pPr>
      <w:r w:rsidRPr="00765A39">
        <w:rPr>
          <w:rFonts w:ascii="Georgia" w:hAnsi="Georgia"/>
          <w:b/>
          <w:i/>
          <w:sz w:val="20"/>
          <w:szCs w:val="20"/>
          <w:lang w:val="lt-LT"/>
        </w:rPr>
        <w:lastRenderedPageBreak/>
        <w:t>Scenarijus Nr. 4: Dalis finansinės priemonės lėšų nukreipiama į paskolų modelį ir dalis į garantijų priemonę su galimybę išpirkti ateities finansinius srautus</w:t>
      </w:r>
    </w:p>
    <w:p w14:paraId="7D756269" w14:textId="77777777" w:rsidR="009F55BB" w:rsidRDefault="00280058" w:rsidP="00230209">
      <w:pPr>
        <w:pStyle w:val="Antrat"/>
        <w:jc w:val="center"/>
        <w:rPr>
          <w:lang w:val="lt-LT"/>
        </w:rPr>
      </w:pPr>
      <w:r>
        <w:rPr>
          <w:noProof/>
          <w:lang w:val="lt-LT" w:eastAsia="lt-LT"/>
        </w:rPr>
        <w:drawing>
          <wp:inline distT="0" distB="0" distL="0" distR="0" wp14:anchorId="2F589EBC" wp14:editId="75CE4D90">
            <wp:extent cx="5715000" cy="2162175"/>
            <wp:effectExtent l="0" t="0" r="0" b="9525"/>
            <wp:docPr id="284" name="Paveikslėlis 284" descr="Gatviu apsvietimas 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atviu apsvietimas Nr"/>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5715000" cy="2162175"/>
                    </a:xfrm>
                    <a:prstGeom prst="rect">
                      <a:avLst/>
                    </a:prstGeom>
                    <a:noFill/>
                    <a:ln>
                      <a:noFill/>
                    </a:ln>
                  </pic:spPr>
                </pic:pic>
              </a:graphicData>
            </a:graphic>
          </wp:inline>
        </w:drawing>
      </w:r>
    </w:p>
    <w:p w14:paraId="1B4D5E84" w14:textId="4BD5AE00" w:rsidR="00280058" w:rsidRPr="002B70C1" w:rsidRDefault="00280058" w:rsidP="00280058">
      <w:pPr>
        <w:pStyle w:val="Antrat"/>
        <w:rPr>
          <w:szCs w:val="20"/>
          <w:lang w:val="lt-LT"/>
        </w:rPr>
      </w:pPr>
      <w:bookmarkStart w:id="244" w:name="_Toc417378321"/>
      <w:r w:rsidRPr="00D0328A">
        <w:rPr>
          <w:lang w:val="lt-LT"/>
        </w:rPr>
        <w:t xml:space="preserve">Paveikslas </w:t>
      </w:r>
      <w:r w:rsidRPr="00D0328A">
        <w:rPr>
          <w:lang w:val="lt-LT"/>
        </w:rPr>
        <w:fldChar w:fldCharType="begin"/>
      </w:r>
      <w:r w:rsidRPr="00D0328A">
        <w:rPr>
          <w:lang w:val="lt-LT"/>
        </w:rPr>
        <w:instrText xml:space="preserve"> SEQ Paveikslas \* ARABIC </w:instrText>
      </w:r>
      <w:r w:rsidRPr="00D0328A">
        <w:rPr>
          <w:lang w:val="lt-LT"/>
        </w:rPr>
        <w:fldChar w:fldCharType="separate"/>
      </w:r>
      <w:r w:rsidR="00AA3082">
        <w:rPr>
          <w:noProof/>
          <w:lang w:val="lt-LT"/>
        </w:rPr>
        <w:t>44</w:t>
      </w:r>
      <w:r w:rsidRPr="00D0328A">
        <w:rPr>
          <w:lang w:val="lt-LT"/>
        </w:rPr>
        <w:fldChar w:fldCharType="end"/>
      </w:r>
      <w:r w:rsidRPr="00D0328A">
        <w:rPr>
          <w:lang w:val="lt-LT"/>
        </w:rPr>
        <w:t>. Gatvių apšvietimo scenarij</w:t>
      </w:r>
      <w:r>
        <w:rPr>
          <w:lang w:val="lt-LT"/>
        </w:rPr>
        <w:t>a</w:t>
      </w:r>
      <w:r w:rsidRPr="00D0328A">
        <w:rPr>
          <w:lang w:val="lt-LT"/>
        </w:rPr>
        <w:t>us Nr. 4</w:t>
      </w:r>
      <w:r w:rsidRPr="002B70C1">
        <w:rPr>
          <w:lang w:val="lt-LT"/>
        </w:rPr>
        <w:t xml:space="preserve"> </w:t>
      </w:r>
      <w:r>
        <w:rPr>
          <w:lang w:val="lt-LT"/>
        </w:rPr>
        <w:t>schema</w:t>
      </w:r>
      <w:r w:rsidRPr="00D0328A">
        <w:rPr>
          <w:lang w:val="lt-LT"/>
        </w:rPr>
        <w:t>.</w:t>
      </w:r>
      <w:bookmarkEnd w:id="244"/>
      <w:r w:rsidRPr="00D0328A">
        <w:rPr>
          <w:lang w:val="lt-LT"/>
        </w:rPr>
        <w:t xml:space="preserve"> </w:t>
      </w:r>
    </w:p>
    <w:p w14:paraId="022FB7E9" w14:textId="77777777" w:rsidR="00280058" w:rsidRDefault="00280058" w:rsidP="00280058">
      <w:pPr>
        <w:jc w:val="both"/>
        <w:rPr>
          <w:rFonts w:ascii="Georgia" w:hAnsi="Georgia"/>
          <w:sz w:val="20"/>
          <w:szCs w:val="20"/>
          <w:lang w:val="lt-LT"/>
        </w:rPr>
      </w:pPr>
      <w:r>
        <w:rPr>
          <w:rFonts w:ascii="Georgia" w:hAnsi="Georgia"/>
          <w:sz w:val="20"/>
          <w:szCs w:val="20"/>
          <w:lang w:val="lt-LT"/>
        </w:rPr>
        <w:t>Šiuo atveju v</w:t>
      </w:r>
      <w:r w:rsidRPr="00AC3318">
        <w:rPr>
          <w:rFonts w:ascii="Georgia" w:hAnsi="Georgia"/>
          <w:sz w:val="20"/>
          <w:szCs w:val="20"/>
          <w:lang w:val="lt-LT"/>
        </w:rPr>
        <w:t>ertinamas scenarijus su tokiomis pat prielaidomis, kaip scenarijus Nr. 3, papild</w:t>
      </w:r>
      <w:r>
        <w:rPr>
          <w:rFonts w:ascii="Georgia" w:hAnsi="Georgia"/>
          <w:sz w:val="20"/>
          <w:szCs w:val="20"/>
          <w:lang w:val="lt-LT"/>
        </w:rPr>
        <w:t>ant</w:t>
      </w:r>
      <w:r w:rsidRPr="00AC3318">
        <w:rPr>
          <w:rFonts w:ascii="Georgia" w:hAnsi="Georgia"/>
          <w:sz w:val="20"/>
          <w:szCs w:val="20"/>
          <w:lang w:val="lt-LT"/>
        </w:rPr>
        <w:t xml:space="preserve"> prielaid</w:t>
      </w:r>
      <w:r>
        <w:rPr>
          <w:rFonts w:ascii="Georgia" w:hAnsi="Georgia"/>
          <w:sz w:val="20"/>
          <w:szCs w:val="20"/>
          <w:lang w:val="lt-LT"/>
        </w:rPr>
        <w:t>a</w:t>
      </w:r>
      <w:r w:rsidRPr="00AC3318">
        <w:rPr>
          <w:rFonts w:ascii="Georgia" w:hAnsi="Georgia"/>
          <w:sz w:val="20"/>
          <w:szCs w:val="20"/>
          <w:lang w:val="lt-LT"/>
        </w:rPr>
        <w:t>, kad bus sukurtas</w:t>
      </w:r>
      <w:r>
        <w:rPr>
          <w:rFonts w:ascii="Georgia" w:hAnsi="Georgia"/>
          <w:sz w:val="20"/>
          <w:szCs w:val="20"/>
          <w:lang w:val="lt-LT"/>
        </w:rPr>
        <w:t xml:space="preserve"> privatus</w:t>
      </w:r>
      <w:r w:rsidRPr="00AC3318">
        <w:rPr>
          <w:rFonts w:ascii="Georgia" w:hAnsi="Georgia"/>
          <w:sz w:val="20"/>
          <w:szCs w:val="20"/>
          <w:lang w:val="lt-LT"/>
        </w:rPr>
        <w:t xml:space="preserve"> investicinis </w:t>
      </w:r>
      <w:r>
        <w:rPr>
          <w:rFonts w:ascii="Georgia" w:hAnsi="Georgia"/>
          <w:sz w:val="20"/>
          <w:szCs w:val="20"/>
          <w:lang w:val="lt-LT"/>
        </w:rPr>
        <w:t>fondas</w:t>
      </w:r>
      <w:r w:rsidRPr="00AC3318">
        <w:rPr>
          <w:rFonts w:ascii="Georgia" w:hAnsi="Georgia"/>
          <w:sz w:val="20"/>
          <w:szCs w:val="20"/>
          <w:lang w:val="lt-LT"/>
        </w:rPr>
        <w:t xml:space="preserve"> kuris nupirks 70 % fondo paskolų, o šios lėšos bus panaudotos naujų paskolų išdavimui. </w:t>
      </w:r>
    </w:p>
    <w:p w14:paraId="7BAF23D5" w14:textId="52BB4A60" w:rsidR="00280058" w:rsidRPr="002B70C1" w:rsidRDefault="00280058" w:rsidP="00280058">
      <w:pPr>
        <w:pStyle w:val="Antrat"/>
        <w:rPr>
          <w:szCs w:val="20"/>
          <w:lang w:val="lt-LT"/>
        </w:rPr>
      </w:pPr>
      <w:bookmarkStart w:id="245" w:name="_Toc460321710"/>
      <w:r w:rsidRPr="00D0328A">
        <w:rPr>
          <w:lang w:val="lt-LT"/>
        </w:rPr>
        <w:t xml:space="preserve">Lentelė </w:t>
      </w:r>
      <w:r w:rsidRPr="00D0328A">
        <w:rPr>
          <w:lang w:val="lt-LT"/>
        </w:rPr>
        <w:fldChar w:fldCharType="begin"/>
      </w:r>
      <w:r w:rsidRPr="00D0328A">
        <w:rPr>
          <w:lang w:val="lt-LT"/>
        </w:rPr>
        <w:instrText xml:space="preserve"> SEQ Lentelė \* ARABIC </w:instrText>
      </w:r>
      <w:r w:rsidRPr="00D0328A">
        <w:rPr>
          <w:lang w:val="lt-LT"/>
        </w:rPr>
        <w:fldChar w:fldCharType="separate"/>
      </w:r>
      <w:r w:rsidR="00AA3082">
        <w:rPr>
          <w:noProof/>
          <w:lang w:val="lt-LT"/>
        </w:rPr>
        <w:t>129</w:t>
      </w:r>
      <w:r w:rsidRPr="00D0328A">
        <w:rPr>
          <w:lang w:val="lt-LT"/>
        </w:rPr>
        <w:fldChar w:fldCharType="end"/>
      </w:r>
      <w:r w:rsidRPr="00D0328A">
        <w:rPr>
          <w:lang w:val="lt-LT"/>
        </w:rPr>
        <w:t xml:space="preserve">. </w:t>
      </w:r>
      <w:r w:rsidRPr="002B70C1">
        <w:rPr>
          <w:lang w:val="lt-LT"/>
        </w:rPr>
        <w:t>Scenarijaus Nr. 4 prielaidos</w:t>
      </w:r>
      <w:bookmarkEnd w:id="245"/>
    </w:p>
    <w:tbl>
      <w:tblPr>
        <w:tblStyle w:val="viesussraas2parykinimas"/>
        <w:tblW w:w="0" w:type="auto"/>
        <w:tblLook w:val="04A0" w:firstRow="1" w:lastRow="0" w:firstColumn="1" w:lastColumn="0" w:noHBand="0" w:noVBand="1"/>
      </w:tblPr>
      <w:tblGrid>
        <w:gridCol w:w="3162"/>
        <w:gridCol w:w="6080"/>
      </w:tblGrid>
      <w:tr w:rsidR="00280058" w:rsidRPr="00E649A6" w14:paraId="0FD93680" w14:textId="77777777" w:rsidTr="002302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2" w:type="dxa"/>
            <w:tcBorders>
              <w:top w:val="single" w:sz="8" w:space="0" w:color="C0504D" w:themeColor="accent2"/>
              <w:left w:val="single" w:sz="8" w:space="0" w:color="C0504D" w:themeColor="accent2"/>
              <w:bottom w:val="single" w:sz="8" w:space="0" w:color="C0504D" w:themeColor="accent2"/>
              <w:right w:val="nil"/>
            </w:tcBorders>
            <w:hideMark/>
          </w:tcPr>
          <w:p w14:paraId="08FE9972" w14:textId="77777777" w:rsidR="00280058" w:rsidRPr="00AC3318" w:rsidRDefault="00280058" w:rsidP="00230209">
            <w:pPr>
              <w:jc w:val="center"/>
              <w:rPr>
                <w:rFonts w:ascii="Georgia" w:hAnsi="Georgia"/>
                <w:sz w:val="20"/>
                <w:szCs w:val="20"/>
              </w:rPr>
            </w:pPr>
            <w:r w:rsidRPr="00AC3318">
              <w:rPr>
                <w:rFonts w:ascii="Georgia" w:hAnsi="Georgia"/>
                <w:sz w:val="20"/>
                <w:szCs w:val="20"/>
              </w:rPr>
              <w:t>Prielaidos</w:t>
            </w:r>
          </w:p>
        </w:tc>
        <w:tc>
          <w:tcPr>
            <w:tcW w:w="6080" w:type="dxa"/>
            <w:tcBorders>
              <w:top w:val="single" w:sz="8" w:space="0" w:color="C0504D" w:themeColor="accent2"/>
              <w:left w:val="nil"/>
              <w:bottom w:val="single" w:sz="8" w:space="0" w:color="C0504D" w:themeColor="accent2"/>
              <w:right w:val="single" w:sz="8" w:space="0" w:color="C0504D" w:themeColor="accent2"/>
            </w:tcBorders>
            <w:hideMark/>
          </w:tcPr>
          <w:p w14:paraId="2A516695" w14:textId="77777777" w:rsidR="00280058" w:rsidRPr="00AC3318" w:rsidRDefault="00280058" w:rsidP="00230209">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Komentaras</w:t>
            </w:r>
          </w:p>
        </w:tc>
      </w:tr>
      <w:tr w:rsidR="00280058" w:rsidRPr="00E649A6" w14:paraId="78EA48A4"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2" w:type="dxa"/>
            <w:tcBorders>
              <w:bottom w:val="single" w:sz="6" w:space="0" w:color="C0504D" w:themeColor="accent2"/>
              <w:right w:val="single" w:sz="6" w:space="0" w:color="C0504D" w:themeColor="accent2"/>
            </w:tcBorders>
            <w:hideMark/>
          </w:tcPr>
          <w:p w14:paraId="1B0C9435" w14:textId="77777777" w:rsidR="00280058" w:rsidRPr="00C50D6A" w:rsidRDefault="00280058" w:rsidP="00BB18F6">
            <w:pPr>
              <w:rPr>
                <w:rFonts w:ascii="Georgia" w:hAnsi="Georgia"/>
                <w:b w:val="0"/>
                <w:sz w:val="20"/>
                <w:szCs w:val="20"/>
              </w:rPr>
            </w:pPr>
            <w:r w:rsidRPr="00C50D6A">
              <w:rPr>
                <w:rFonts w:ascii="Georgia" w:hAnsi="Georgia"/>
                <w:sz w:val="20"/>
                <w:szCs w:val="20"/>
              </w:rPr>
              <w:t>Paskolos laikotarpis: iki 20 metų</w:t>
            </w:r>
          </w:p>
        </w:tc>
        <w:tc>
          <w:tcPr>
            <w:tcW w:w="6080" w:type="dxa"/>
            <w:tcBorders>
              <w:left w:val="single" w:sz="6" w:space="0" w:color="C0504D" w:themeColor="accent2"/>
              <w:bottom w:val="single" w:sz="6" w:space="0" w:color="C0504D" w:themeColor="accent2"/>
            </w:tcBorders>
            <w:hideMark/>
          </w:tcPr>
          <w:p w14:paraId="4C9E8893" w14:textId="77777777"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Maksim</w:t>
            </w:r>
            <w:r>
              <w:rPr>
                <w:rFonts w:ascii="Georgia" w:hAnsi="Georgia"/>
                <w:sz w:val="20"/>
                <w:szCs w:val="20"/>
              </w:rPr>
              <w:t>alus sutarties terminas 20 metų.</w:t>
            </w:r>
          </w:p>
        </w:tc>
      </w:tr>
      <w:tr w:rsidR="00280058" w:rsidRPr="00E649A6" w14:paraId="67B657EE" w14:textId="77777777" w:rsidTr="00BB18F6">
        <w:trPr>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left w:val="single" w:sz="8" w:space="0" w:color="C0504D" w:themeColor="accent2"/>
              <w:bottom w:val="single" w:sz="6" w:space="0" w:color="C0504D" w:themeColor="accent2"/>
              <w:right w:val="single" w:sz="6" w:space="0" w:color="C0504D" w:themeColor="accent2"/>
            </w:tcBorders>
            <w:hideMark/>
          </w:tcPr>
          <w:p w14:paraId="4EF1A23B" w14:textId="77777777" w:rsidR="00280058" w:rsidRPr="00C50D6A" w:rsidRDefault="00280058" w:rsidP="00BB18F6">
            <w:pPr>
              <w:rPr>
                <w:rFonts w:ascii="Georgia" w:hAnsi="Georgia"/>
                <w:b w:val="0"/>
                <w:sz w:val="20"/>
                <w:szCs w:val="20"/>
              </w:rPr>
            </w:pPr>
            <w:r w:rsidRPr="00C50D6A">
              <w:rPr>
                <w:rFonts w:ascii="Georgia" w:hAnsi="Georgia"/>
                <w:sz w:val="20"/>
                <w:szCs w:val="20"/>
              </w:rPr>
              <w:t>Blogų paskolų dalis: 5 %</w:t>
            </w:r>
          </w:p>
        </w:tc>
        <w:tc>
          <w:tcPr>
            <w:tcW w:w="6080" w:type="dxa"/>
            <w:tcBorders>
              <w:top w:val="single" w:sz="6" w:space="0" w:color="C0504D" w:themeColor="accent2"/>
              <w:left w:val="single" w:sz="6" w:space="0" w:color="C0504D" w:themeColor="accent2"/>
              <w:bottom w:val="single" w:sz="6" w:space="0" w:color="C0504D" w:themeColor="accent2"/>
              <w:right w:val="single" w:sz="8" w:space="0" w:color="C0504D" w:themeColor="accent2"/>
            </w:tcBorders>
            <w:hideMark/>
          </w:tcPr>
          <w:p w14:paraId="26E98594" w14:textId="77777777"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Blogų paskolų dalis buvo nustatyta remiantis ekspertų ir </w:t>
            </w:r>
            <w:r>
              <w:rPr>
                <w:rFonts w:ascii="Georgia" w:hAnsi="Georgia"/>
                <w:sz w:val="20"/>
                <w:szCs w:val="20"/>
              </w:rPr>
              <w:t xml:space="preserve">komercinių </w:t>
            </w:r>
            <w:r w:rsidRPr="00AC3318">
              <w:rPr>
                <w:rFonts w:ascii="Georgia" w:hAnsi="Georgia"/>
                <w:sz w:val="20"/>
                <w:szCs w:val="20"/>
              </w:rPr>
              <w:t>bankų vertinimu ir ji atitinka PwC studijoje nustatytą dydį</w:t>
            </w:r>
          </w:p>
        </w:tc>
      </w:tr>
      <w:tr w:rsidR="00280058" w:rsidRPr="00E649A6" w14:paraId="00083CCF"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right w:val="single" w:sz="6" w:space="0" w:color="C0504D" w:themeColor="accent2"/>
            </w:tcBorders>
            <w:hideMark/>
          </w:tcPr>
          <w:p w14:paraId="59582525" w14:textId="77777777" w:rsidR="00280058" w:rsidRPr="00C50D6A" w:rsidRDefault="00280058" w:rsidP="00BB18F6">
            <w:pPr>
              <w:rPr>
                <w:rFonts w:ascii="Georgia" w:hAnsi="Georgia"/>
                <w:b w:val="0"/>
                <w:sz w:val="20"/>
                <w:szCs w:val="20"/>
              </w:rPr>
            </w:pPr>
            <w:r w:rsidRPr="00C50D6A">
              <w:rPr>
                <w:rFonts w:ascii="Georgia" w:hAnsi="Georgia"/>
                <w:sz w:val="20"/>
                <w:szCs w:val="20"/>
              </w:rPr>
              <w:t xml:space="preserve">Vieno šviestuvo pakeitimo vertė: 710 </w:t>
            </w:r>
            <w:r w:rsidRPr="00C50D6A">
              <w:rPr>
                <w:rFonts w:ascii="Georgia" w:hAnsi="Georgia"/>
                <w:bCs w:val="0"/>
                <w:sz w:val="20"/>
                <w:szCs w:val="20"/>
              </w:rPr>
              <w:t>eurų</w:t>
            </w:r>
          </w:p>
        </w:tc>
        <w:tc>
          <w:tcPr>
            <w:tcW w:w="6080" w:type="dxa"/>
            <w:tcBorders>
              <w:top w:val="single" w:sz="6" w:space="0" w:color="C0504D" w:themeColor="accent2"/>
              <w:left w:val="single" w:sz="6" w:space="0" w:color="C0504D" w:themeColor="accent2"/>
            </w:tcBorders>
            <w:hideMark/>
          </w:tcPr>
          <w:p w14:paraId="2595D48F" w14:textId="77777777" w:rsidR="00280058" w:rsidRPr="009D771A"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0"/>
              </w:rPr>
            </w:pPr>
            <w:r>
              <w:rPr>
                <w:rFonts w:ascii="Georgia" w:hAnsi="Georgia" w:cs="Georgia"/>
                <w:sz w:val="20"/>
                <w:szCs w:val="20"/>
              </w:rPr>
              <w:t xml:space="preserve">Atsižvelgiant į Vilniaus miesto apšvietimo tinklų modernizavimo techninį projektą bei pasirašytą sutartį su privačiu partneriu, Vilniuje bus renovuota 44000 šviestuvų už 31,28 mln. EUR (108 mln. Lt). Remiantis šiais duomenimis paskaičiuota, kad </w:t>
            </w:r>
            <w:r w:rsidRPr="00AC3318">
              <w:rPr>
                <w:rFonts w:ascii="Georgia" w:hAnsi="Georgia"/>
                <w:bCs/>
                <w:sz w:val="20"/>
                <w:szCs w:val="20"/>
              </w:rPr>
              <w:t xml:space="preserve">vieno šviestuvo vidutinė modernizacijos kaina sieks 710 </w:t>
            </w:r>
            <w:r>
              <w:rPr>
                <w:rFonts w:ascii="Georgia" w:hAnsi="Georgia"/>
                <w:bCs/>
                <w:sz w:val="20"/>
                <w:szCs w:val="20"/>
              </w:rPr>
              <w:t>eurų</w:t>
            </w:r>
            <w:r w:rsidRPr="00AC3318">
              <w:rPr>
                <w:rFonts w:ascii="Georgia" w:hAnsi="Georgia"/>
                <w:bCs/>
                <w:sz w:val="20"/>
                <w:szCs w:val="20"/>
              </w:rPr>
              <w:t xml:space="preserve"> (2451 LTL)</w:t>
            </w:r>
            <w:r>
              <w:rPr>
                <w:rFonts w:ascii="Georgia" w:hAnsi="Georgia"/>
                <w:bCs/>
                <w:sz w:val="20"/>
                <w:szCs w:val="20"/>
              </w:rPr>
              <w:t>.</w:t>
            </w:r>
            <w:r>
              <w:rPr>
                <w:rFonts w:ascii="Georgia" w:hAnsi="Georgia" w:cs="Georgia"/>
                <w:sz w:val="20"/>
                <w:szCs w:val="20"/>
              </w:rPr>
              <w:t xml:space="preserve"> </w:t>
            </w:r>
          </w:p>
        </w:tc>
      </w:tr>
      <w:tr w:rsidR="00280058" w:rsidRPr="00E649A6" w14:paraId="202979D4" w14:textId="77777777" w:rsidTr="00BB18F6">
        <w:trPr>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left w:val="single" w:sz="8" w:space="0" w:color="C0504D" w:themeColor="accent2"/>
              <w:bottom w:val="nil"/>
              <w:right w:val="single" w:sz="6" w:space="0" w:color="C0504D" w:themeColor="accent2"/>
            </w:tcBorders>
            <w:hideMark/>
          </w:tcPr>
          <w:p w14:paraId="57116FEB" w14:textId="77777777" w:rsidR="00280058" w:rsidRPr="00C50D6A" w:rsidRDefault="00280058" w:rsidP="00BB18F6">
            <w:pPr>
              <w:rPr>
                <w:rFonts w:ascii="Georgia" w:hAnsi="Georgia"/>
                <w:b w:val="0"/>
                <w:sz w:val="20"/>
                <w:szCs w:val="20"/>
              </w:rPr>
            </w:pPr>
            <w:r w:rsidRPr="00C50D6A">
              <w:rPr>
                <w:rFonts w:ascii="Georgia" w:hAnsi="Georgia"/>
                <w:sz w:val="20"/>
                <w:szCs w:val="20"/>
              </w:rPr>
              <w:t xml:space="preserve">Investuojamos ESI fondų lėšos į fondą: 14,5 mln. </w:t>
            </w:r>
            <w:r w:rsidRPr="00C50D6A">
              <w:rPr>
                <w:rFonts w:ascii="Georgia" w:hAnsi="Georgia"/>
                <w:bCs w:val="0"/>
                <w:sz w:val="20"/>
                <w:szCs w:val="20"/>
              </w:rPr>
              <w:t>eurų</w:t>
            </w:r>
            <w:r w:rsidRPr="00C50D6A">
              <w:rPr>
                <w:rFonts w:ascii="Georgia" w:hAnsi="Georgia"/>
                <w:sz w:val="20"/>
                <w:szCs w:val="20"/>
              </w:rPr>
              <w:t>.</w:t>
            </w:r>
          </w:p>
        </w:tc>
        <w:tc>
          <w:tcPr>
            <w:tcW w:w="6080" w:type="dxa"/>
            <w:tcBorders>
              <w:top w:val="single" w:sz="6" w:space="0" w:color="C0504D" w:themeColor="accent2"/>
              <w:left w:val="single" w:sz="6" w:space="0" w:color="C0504D" w:themeColor="accent2"/>
              <w:bottom w:val="nil"/>
              <w:right w:val="single" w:sz="8" w:space="0" w:color="C0504D" w:themeColor="accent2"/>
            </w:tcBorders>
            <w:hideMark/>
          </w:tcPr>
          <w:p w14:paraId="52FF7658" w14:textId="77777777" w:rsidR="0028005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 xml:space="preserve">Daroma prielaida jog, 2014-2020 programavimo periodo, gatvių apšvietimo modernizacijai skirtomis </w:t>
            </w:r>
            <w:r w:rsidRPr="00AC3318">
              <w:rPr>
                <w:rFonts w:ascii="Georgia" w:hAnsi="Georgia"/>
                <w:sz w:val="20"/>
                <w:szCs w:val="20"/>
              </w:rPr>
              <w:t>lėšo</w:t>
            </w:r>
            <w:r>
              <w:rPr>
                <w:rFonts w:ascii="Georgia" w:hAnsi="Georgia"/>
                <w:sz w:val="20"/>
                <w:szCs w:val="20"/>
              </w:rPr>
              <w:t>mis – 14,5</w:t>
            </w:r>
            <w:r w:rsidRPr="00AC3318">
              <w:rPr>
                <w:rFonts w:ascii="Georgia" w:hAnsi="Georgia"/>
                <w:sz w:val="20"/>
                <w:szCs w:val="20"/>
              </w:rPr>
              <w:t xml:space="preserve"> mln. </w:t>
            </w:r>
            <w:r>
              <w:rPr>
                <w:rFonts w:ascii="Georgia" w:hAnsi="Georgia"/>
                <w:sz w:val="20"/>
                <w:szCs w:val="20"/>
              </w:rPr>
              <w:t>eurų - bus sukurtos dvi finansinės priemonės. Numatytos lėšos skirstomos taip:</w:t>
            </w:r>
          </w:p>
          <w:p w14:paraId="2D6BEBA1" w14:textId="77777777" w:rsidR="00280058" w:rsidRDefault="00280058" w:rsidP="00C03122">
            <w:pPr>
              <w:pStyle w:val="Sraopastraipa"/>
              <w:numPr>
                <w:ilvl w:val="0"/>
                <w:numId w:val="8"/>
              </w:num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9</w:t>
            </w:r>
            <w:r w:rsidRPr="00026EF9">
              <w:rPr>
                <w:rFonts w:ascii="Georgia" w:hAnsi="Georgia"/>
                <w:sz w:val="20"/>
                <w:szCs w:val="20"/>
              </w:rPr>
              <w:t xml:space="preserve"> mln. eurų</w:t>
            </w:r>
            <w:r w:rsidRPr="00026EF9" w:rsidDel="00334CC9">
              <w:rPr>
                <w:rFonts w:ascii="Georgia" w:hAnsi="Georgia"/>
                <w:sz w:val="20"/>
                <w:szCs w:val="20"/>
              </w:rPr>
              <w:t xml:space="preserve"> </w:t>
            </w:r>
            <w:r w:rsidRPr="00026EF9">
              <w:rPr>
                <w:rFonts w:ascii="Georgia" w:hAnsi="Georgia"/>
                <w:sz w:val="20"/>
                <w:szCs w:val="20"/>
              </w:rPr>
              <w:t>skiriama paskolų priemonei;</w:t>
            </w:r>
          </w:p>
          <w:p w14:paraId="203B5B47" w14:textId="77777777" w:rsidR="00280058" w:rsidRPr="00D0328A" w:rsidRDefault="00280058" w:rsidP="00C03122">
            <w:pPr>
              <w:pStyle w:val="Sraopastraipa"/>
              <w:numPr>
                <w:ilvl w:val="0"/>
                <w:numId w:val="8"/>
              </w:num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5,5</w:t>
            </w:r>
            <w:r w:rsidRPr="00026EF9">
              <w:rPr>
                <w:rFonts w:ascii="Georgia" w:hAnsi="Georgia"/>
                <w:sz w:val="20"/>
                <w:szCs w:val="20"/>
              </w:rPr>
              <w:t xml:space="preserve"> mln. eurų</w:t>
            </w:r>
            <w:r w:rsidRPr="00026EF9" w:rsidDel="00334CC9">
              <w:rPr>
                <w:rFonts w:ascii="Georgia" w:hAnsi="Georgia"/>
                <w:sz w:val="20"/>
                <w:szCs w:val="20"/>
              </w:rPr>
              <w:t xml:space="preserve"> </w:t>
            </w:r>
            <w:r w:rsidRPr="00026EF9">
              <w:rPr>
                <w:rFonts w:ascii="Georgia" w:hAnsi="Georgia"/>
                <w:sz w:val="20"/>
                <w:szCs w:val="20"/>
              </w:rPr>
              <w:t xml:space="preserve">skiriama </w:t>
            </w:r>
            <w:r>
              <w:rPr>
                <w:rFonts w:ascii="Georgia" w:hAnsi="Georgia"/>
                <w:sz w:val="20"/>
                <w:szCs w:val="20"/>
              </w:rPr>
              <w:t>garantijų</w:t>
            </w:r>
            <w:r w:rsidRPr="00026EF9">
              <w:rPr>
                <w:rFonts w:ascii="Georgia" w:hAnsi="Georgia"/>
                <w:sz w:val="20"/>
                <w:szCs w:val="20"/>
              </w:rPr>
              <w:t xml:space="preserve"> priemonei;</w:t>
            </w:r>
          </w:p>
        </w:tc>
      </w:tr>
      <w:tr w:rsidR="00280058" w:rsidRPr="00E649A6" w14:paraId="328EE805"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bottom w:val="nil"/>
              <w:right w:val="single" w:sz="6" w:space="0" w:color="C0504D" w:themeColor="accent2"/>
            </w:tcBorders>
            <w:hideMark/>
          </w:tcPr>
          <w:p w14:paraId="723374FB" w14:textId="77777777" w:rsidR="00280058" w:rsidRPr="00C50D6A" w:rsidRDefault="00280058" w:rsidP="00BB18F6">
            <w:pPr>
              <w:rPr>
                <w:rFonts w:ascii="Georgia" w:hAnsi="Georgia"/>
                <w:b w:val="0"/>
                <w:sz w:val="20"/>
                <w:szCs w:val="20"/>
              </w:rPr>
            </w:pPr>
            <w:r w:rsidRPr="00C50D6A">
              <w:rPr>
                <w:rFonts w:ascii="Georgia" w:hAnsi="Georgia"/>
                <w:sz w:val="20"/>
                <w:szCs w:val="20"/>
              </w:rPr>
              <w:t>Pakeistų šviestuvų skaičius per metus : 10 000</w:t>
            </w:r>
          </w:p>
        </w:tc>
        <w:tc>
          <w:tcPr>
            <w:tcW w:w="6080" w:type="dxa"/>
            <w:tcBorders>
              <w:top w:val="single" w:sz="6" w:space="0" w:color="C0504D" w:themeColor="accent2"/>
              <w:left w:val="single" w:sz="6" w:space="0" w:color="C0504D" w:themeColor="accent2"/>
              <w:bottom w:val="nil"/>
            </w:tcBorders>
            <w:hideMark/>
          </w:tcPr>
          <w:p w14:paraId="3B1BBF83" w14:textId="77777777"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Daroma prielaida, kad per metus butų galima </w:t>
            </w:r>
            <w:r>
              <w:rPr>
                <w:rFonts w:ascii="Georgia" w:hAnsi="Georgia"/>
                <w:sz w:val="20"/>
                <w:szCs w:val="20"/>
              </w:rPr>
              <w:t>atnaujinti</w:t>
            </w:r>
            <w:r w:rsidRPr="00AC3318">
              <w:rPr>
                <w:rFonts w:ascii="Georgia" w:hAnsi="Georgia"/>
                <w:sz w:val="20"/>
                <w:szCs w:val="20"/>
              </w:rPr>
              <w:t xml:space="preserve"> 10 000 šviestuvų </w:t>
            </w:r>
          </w:p>
        </w:tc>
      </w:tr>
      <w:tr w:rsidR="00280058" w:rsidRPr="00E649A6" w14:paraId="138F9DB5" w14:textId="77777777" w:rsidTr="00BB18F6">
        <w:trPr>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bottom w:val="single" w:sz="6" w:space="0" w:color="C0504D" w:themeColor="accent2"/>
              <w:right w:val="single" w:sz="6" w:space="0" w:color="C0504D" w:themeColor="accent2"/>
            </w:tcBorders>
          </w:tcPr>
          <w:p w14:paraId="2F67E315" w14:textId="77777777" w:rsidR="00280058" w:rsidRPr="00C50D6A" w:rsidRDefault="00280058" w:rsidP="00BB18F6">
            <w:pPr>
              <w:rPr>
                <w:rFonts w:ascii="Georgia" w:hAnsi="Georgia"/>
                <w:b w:val="0"/>
                <w:sz w:val="20"/>
                <w:szCs w:val="20"/>
              </w:rPr>
            </w:pPr>
            <w:r w:rsidRPr="00C50D6A">
              <w:rPr>
                <w:rFonts w:ascii="Georgia" w:hAnsi="Georgia"/>
                <w:sz w:val="20"/>
                <w:szCs w:val="20"/>
              </w:rPr>
              <w:t>Palūkanų norma galutiniams naudos gavėjams: 2 %</w:t>
            </w:r>
          </w:p>
        </w:tc>
        <w:tc>
          <w:tcPr>
            <w:tcW w:w="6080" w:type="dxa"/>
            <w:tcBorders>
              <w:top w:val="single" w:sz="6" w:space="0" w:color="C0504D" w:themeColor="accent2"/>
              <w:left w:val="single" w:sz="6" w:space="0" w:color="C0504D" w:themeColor="accent2"/>
              <w:bottom w:val="single" w:sz="6" w:space="0" w:color="C0504D" w:themeColor="accent2"/>
            </w:tcBorders>
          </w:tcPr>
          <w:p w14:paraId="3F7F593F" w14:textId="77777777"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1D11FC">
              <w:rPr>
                <w:rFonts w:ascii="Georgia" w:hAnsi="Georgia"/>
                <w:sz w:val="20"/>
                <w:szCs w:val="20"/>
              </w:rPr>
              <w:t>Nustatomos lengvatinės  fiksuotos 2% palūkanos.</w:t>
            </w:r>
          </w:p>
        </w:tc>
      </w:tr>
      <w:tr w:rsidR="00280058" w:rsidRPr="00E649A6" w14:paraId="544755E6"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bottom w:val="single" w:sz="6" w:space="0" w:color="C0504D" w:themeColor="accent2"/>
              <w:right w:val="single" w:sz="6" w:space="0" w:color="C0504D" w:themeColor="accent2"/>
            </w:tcBorders>
            <w:hideMark/>
          </w:tcPr>
          <w:p w14:paraId="07A1D7BD" w14:textId="77777777" w:rsidR="00280058" w:rsidRPr="00C50D6A" w:rsidRDefault="00280058" w:rsidP="00BB18F6">
            <w:pPr>
              <w:rPr>
                <w:rFonts w:ascii="Georgia" w:hAnsi="Georgia"/>
                <w:b w:val="0"/>
                <w:sz w:val="20"/>
                <w:szCs w:val="20"/>
              </w:rPr>
            </w:pPr>
            <w:r w:rsidRPr="00C50D6A">
              <w:rPr>
                <w:rFonts w:ascii="Georgia" w:hAnsi="Georgia"/>
                <w:sz w:val="20"/>
                <w:szCs w:val="20"/>
              </w:rPr>
              <w:lastRenderedPageBreak/>
              <w:t>Bankų palūkanos garantijos priemonės atveju: 7 %</w:t>
            </w:r>
          </w:p>
        </w:tc>
        <w:tc>
          <w:tcPr>
            <w:tcW w:w="6080" w:type="dxa"/>
            <w:tcBorders>
              <w:top w:val="single" w:sz="6" w:space="0" w:color="C0504D" w:themeColor="accent2"/>
              <w:left w:val="single" w:sz="6" w:space="0" w:color="C0504D" w:themeColor="accent2"/>
              <w:bottom w:val="single" w:sz="6" w:space="0" w:color="C0504D" w:themeColor="accent2"/>
            </w:tcBorders>
            <w:hideMark/>
          </w:tcPr>
          <w:p w14:paraId="66DE1CDD" w14:textId="77777777"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Tais atvejais kai bankui reikės išmokėti garantijas už blogas paskolas, numatoma, jog į išmokas turės būti įskaičiuotos palūkanos. Šiame scenarijuje daroma prielaida, jog, garantijų priemonės atveju, komercinių bankų f</w:t>
            </w:r>
            <w:r w:rsidRPr="00AC3318">
              <w:rPr>
                <w:rFonts w:ascii="Georgia" w:hAnsi="Georgia"/>
                <w:sz w:val="20"/>
                <w:szCs w:val="20"/>
              </w:rPr>
              <w:t>iksuot</w:t>
            </w:r>
            <w:r>
              <w:rPr>
                <w:rFonts w:ascii="Georgia" w:hAnsi="Georgia"/>
                <w:sz w:val="20"/>
                <w:szCs w:val="20"/>
              </w:rPr>
              <w:t>a</w:t>
            </w:r>
            <w:r w:rsidRPr="00AC3318">
              <w:rPr>
                <w:rFonts w:ascii="Georgia" w:hAnsi="Georgia"/>
                <w:sz w:val="20"/>
                <w:szCs w:val="20"/>
              </w:rPr>
              <w:t xml:space="preserve"> palūkan</w:t>
            </w:r>
            <w:r>
              <w:rPr>
                <w:rFonts w:ascii="Georgia" w:hAnsi="Georgia"/>
                <w:sz w:val="20"/>
                <w:szCs w:val="20"/>
              </w:rPr>
              <w:t>ų norma</w:t>
            </w:r>
            <w:r w:rsidRPr="00AC3318">
              <w:rPr>
                <w:rFonts w:ascii="Georgia" w:hAnsi="Georgia"/>
                <w:sz w:val="20"/>
                <w:szCs w:val="20"/>
              </w:rPr>
              <w:t xml:space="preserve"> jų išduot</w:t>
            </w:r>
            <w:r>
              <w:rPr>
                <w:rFonts w:ascii="Georgia" w:hAnsi="Georgia"/>
                <w:sz w:val="20"/>
                <w:szCs w:val="20"/>
              </w:rPr>
              <w:t>oms</w:t>
            </w:r>
            <w:r w:rsidRPr="00AC3318">
              <w:rPr>
                <w:rFonts w:ascii="Georgia" w:hAnsi="Georgia"/>
                <w:sz w:val="20"/>
                <w:szCs w:val="20"/>
              </w:rPr>
              <w:t xml:space="preserve"> paskol</w:t>
            </w:r>
            <w:r>
              <w:rPr>
                <w:rFonts w:ascii="Georgia" w:hAnsi="Georgia"/>
                <w:sz w:val="20"/>
                <w:szCs w:val="20"/>
              </w:rPr>
              <w:t>oms (20-ies metų laikotarpiui)</w:t>
            </w:r>
            <w:r w:rsidRPr="00AC3318">
              <w:rPr>
                <w:rFonts w:ascii="Georgia" w:hAnsi="Georgia"/>
                <w:sz w:val="20"/>
                <w:szCs w:val="20"/>
              </w:rPr>
              <w:t xml:space="preserve"> sudarys 7 proc. Šios palūkanos paskaičiuotos remiantis šių rezultatų suma:</w:t>
            </w:r>
          </w:p>
          <w:p w14:paraId="720634C1" w14:textId="77777777"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1) Prognozuojamas suderintas vartotojų kainų indeks</w:t>
            </w:r>
            <w:r>
              <w:rPr>
                <w:rFonts w:ascii="Georgia" w:hAnsi="Georgia"/>
                <w:sz w:val="20"/>
                <w:szCs w:val="20"/>
              </w:rPr>
              <w:t>o</w:t>
            </w:r>
            <w:r w:rsidRPr="00AC3318">
              <w:rPr>
                <w:rFonts w:ascii="Georgia" w:hAnsi="Georgia"/>
                <w:sz w:val="20"/>
                <w:szCs w:val="20"/>
              </w:rPr>
              <w:t xml:space="preserve"> (SVKI) vidurkis Lietuvoje 2013-201</w:t>
            </w:r>
            <w:r>
              <w:rPr>
                <w:rFonts w:ascii="Georgia" w:hAnsi="Georgia"/>
                <w:sz w:val="20"/>
                <w:szCs w:val="20"/>
                <w:lang w:val="en-US"/>
              </w:rPr>
              <w:t>7</w:t>
            </w:r>
            <w:r w:rsidRPr="00AC3318">
              <w:rPr>
                <w:rFonts w:ascii="Georgia" w:hAnsi="Georgia"/>
                <w:sz w:val="20"/>
                <w:szCs w:val="20"/>
              </w:rPr>
              <w:t xml:space="preserve"> (</w:t>
            </w:r>
            <w:r>
              <w:rPr>
                <w:rFonts w:ascii="Georgia" w:hAnsi="Georgia"/>
                <w:sz w:val="20"/>
                <w:szCs w:val="20"/>
              </w:rPr>
              <w:t>2,9</w:t>
            </w:r>
            <w:r w:rsidRPr="00AC3318">
              <w:rPr>
                <w:rFonts w:ascii="Georgia" w:hAnsi="Georgia"/>
                <w:sz w:val="20"/>
                <w:szCs w:val="20"/>
              </w:rPr>
              <w:t xml:space="preserve">%); </w:t>
            </w:r>
          </w:p>
          <w:p w14:paraId="7322D495" w14:textId="77777777"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2) Lietuvos </w:t>
            </w:r>
            <w:r>
              <w:rPr>
                <w:rFonts w:ascii="Georgia" w:hAnsi="Georgia"/>
                <w:sz w:val="20"/>
                <w:szCs w:val="20"/>
              </w:rPr>
              <w:t xml:space="preserve">Respublikos </w:t>
            </w:r>
            <w:r w:rsidRPr="00AC3318">
              <w:rPr>
                <w:rFonts w:ascii="Georgia" w:hAnsi="Georgia"/>
                <w:sz w:val="20"/>
                <w:szCs w:val="20"/>
              </w:rPr>
              <w:t>Vyriausybė</w:t>
            </w:r>
            <w:r>
              <w:rPr>
                <w:rFonts w:ascii="Georgia" w:hAnsi="Georgia"/>
                <w:sz w:val="20"/>
                <w:szCs w:val="20"/>
              </w:rPr>
              <w:t>s</w:t>
            </w:r>
            <w:r w:rsidRPr="00AC3318">
              <w:rPr>
                <w:rFonts w:ascii="Georgia" w:hAnsi="Georgia"/>
                <w:sz w:val="20"/>
                <w:szCs w:val="20"/>
              </w:rPr>
              <w:t xml:space="preserve"> obligacijų emisijos </w:t>
            </w:r>
            <w:r w:rsidRPr="00B76C82">
              <w:rPr>
                <w:rFonts w:ascii="Georgia" w:hAnsi="Georgia"/>
                <w:sz w:val="20"/>
                <w:szCs w:val="20"/>
              </w:rPr>
              <w:t>(</w:t>
            </w:r>
            <w:r>
              <w:rPr>
                <w:rFonts w:ascii="Georgia" w:hAnsi="Georgia"/>
                <w:sz w:val="20"/>
                <w:szCs w:val="20"/>
              </w:rPr>
              <w:t>2536 dienų trukmės) palūkanos 2014 rugsėjo mėnesį (2,0%)</w:t>
            </w:r>
            <w:r w:rsidRPr="00AC3318">
              <w:rPr>
                <w:rFonts w:ascii="Georgia" w:hAnsi="Georgia"/>
                <w:sz w:val="20"/>
                <w:szCs w:val="20"/>
              </w:rPr>
              <w:t xml:space="preserve">; </w:t>
            </w:r>
          </w:p>
          <w:p w14:paraId="1A425DBB" w14:textId="77777777" w:rsidR="0028005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3) Galima komercinių bankų marža (2,1%).</w:t>
            </w:r>
          </w:p>
          <w:p w14:paraId="7F127D50" w14:textId="77777777" w:rsidR="0028005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Šių palūkanų skaičiavimo metodika taip pat atitinka PwC studijoje naudotą metodiką.</w:t>
            </w:r>
          </w:p>
          <w:p w14:paraId="035E509D" w14:textId="77777777"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 xml:space="preserve">Pokalbių su bankais metu paminėta, jog vertinant įvairias rizikas, ilgalaikėms paskoloms (20 metų) preliminariai galėtų būti taikomos nuo </w:t>
            </w:r>
            <w:r>
              <w:rPr>
                <w:rFonts w:ascii="Georgia" w:hAnsi="Georgia"/>
                <w:sz w:val="20"/>
                <w:szCs w:val="20"/>
                <w:lang w:val="en-US"/>
              </w:rPr>
              <w:t xml:space="preserve">7 </w:t>
            </w:r>
            <w:r w:rsidRPr="00A074B2">
              <w:rPr>
                <w:rFonts w:ascii="Georgia" w:hAnsi="Georgia"/>
                <w:sz w:val="20"/>
                <w:szCs w:val="20"/>
              </w:rPr>
              <w:t>iki</w:t>
            </w:r>
            <w:r>
              <w:rPr>
                <w:rFonts w:ascii="Georgia" w:hAnsi="Georgia"/>
                <w:sz w:val="20"/>
                <w:szCs w:val="20"/>
                <w:lang w:val="en-US"/>
              </w:rPr>
              <w:t xml:space="preserve"> 10 proc. pal</w:t>
            </w:r>
            <w:r>
              <w:rPr>
                <w:rFonts w:ascii="Georgia" w:hAnsi="Georgia"/>
                <w:sz w:val="20"/>
                <w:szCs w:val="20"/>
              </w:rPr>
              <w:t>ūkanų normos.</w:t>
            </w:r>
          </w:p>
        </w:tc>
      </w:tr>
      <w:tr w:rsidR="00280058" w:rsidRPr="00E649A6" w14:paraId="3110A6FB" w14:textId="77777777" w:rsidTr="00BB18F6">
        <w:trPr>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bottom w:val="single" w:sz="6" w:space="0" w:color="C0504D" w:themeColor="accent2"/>
              <w:right w:val="single" w:sz="6" w:space="0" w:color="C0504D" w:themeColor="accent2"/>
            </w:tcBorders>
            <w:hideMark/>
          </w:tcPr>
          <w:p w14:paraId="4FB7419B" w14:textId="77777777" w:rsidR="00280058" w:rsidRPr="00C50D6A" w:rsidRDefault="00280058" w:rsidP="00BB18F6">
            <w:pPr>
              <w:rPr>
                <w:rFonts w:ascii="Georgia" w:hAnsi="Georgia"/>
                <w:sz w:val="20"/>
                <w:szCs w:val="20"/>
              </w:rPr>
            </w:pPr>
            <w:r w:rsidRPr="00C50D6A">
              <w:rPr>
                <w:rFonts w:ascii="Georgia" w:hAnsi="Georgia"/>
                <w:sz w:val="20"/>
                <w:szCs w:val="20"/>
              </w:rPr>
              <w:t>Fonde rezervuojamos lėšos garantijų įsipareigojimų vykdymui: 20 %</w:t>
            </w:r>
          </w:p>
        </w:tc>
        <w:tc>
          <w:tcPr>
            <w:tcW w:w="6080" w:type="dxa"/>
            <w:tcBorders>
              <w:top w:val="single" w:sz="6" w:space="0" w:color="C0504D" w:themeColor="accent2"/>
              <w:left w:val="single" w:sz="6" w:space="0" w:color="C0504D" w:themeColor="accent2"/>
              <w:bottom w:val="single" w:sz="6" w:space="0" w:color="C0504D" w:themeColor="accent2"/>
            </w:tcBorders>
            <w:hideMark/>
          </w:tcPr>
          <w:p w14:paraId="445CA41C" w14:textId="77777777"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Fondo garantiniams įsipareigojimams vykdyti r</w:t>
            </w:r>
            <w:r w:rsidRPr="00AC3318">
              <w:rPr>
                <w:rFonts w:ascii="Georgia" w:hAnsi="Georgia"/>
                <w:sz w:val="20"/>
                <w:szCs w:val="20"/>
              </w:rPr>
              <w:t>ezervuojama 20 %</w:t>
            </w:r>
            <w:r>
              <w:rPr>
                <w:rFonts w:ascii="Georgia" w:hAnsi="Georgia"/>
                <w:sz w:val="20"/>
                <w:szCs w:val="20"/>
              </w:rPr>
              <w:t xml:space="preserve"> lėšų</w:t>
            </w:r>
            <w:r w:rsidRPr="00AC3318">
              <w:rPr>
                <w:rFonts w:ascii="Georgia" w:hAnsi="Georgia"/>
                <w:sz w:val="20"/>
                <w:szCs w:val="20"/>
              </w:rPr>
              <w:t xml:space="preserve">, </w:t>
            </w:r>
            <w:r>
              <w:rPr>
                <w:rFonts w:ascii="Georgia" w:hAnsi="Georgia"/>
                <w:sz w:val="20"/>
                <w:szCs w:val="20"/>
              </w:rPr>
              <w:t>tačiau</w:t>
            </w:r>
            <w:r w:rsidRPr="00AC3318">
              <w:rPr>
                <w:rFonts w:ascii="Georgia" w:hAnsi="Georgia"/>
                <w:sz w:val="20"/>
                <w:szCs w:val="20"/>
              </w:rPr>
              <w:t xml:space="preserve"> model</w:t>
            </w:r>
            <w:r>
              <w:rPr>
                <w:rFonts w:ascii="Georgia" w:hAnsi="Georgia"/>
                <w:sz w:val="20"/>
                <w:szCs w:val="20"/>
              </w:rPr>
              <w:t>iuojant scenarijų,</w:t>
            </w:r>
            <w:r w:rsidRPr="00AC3318">
              <w:rPr>
                <w:rFonts w:ascii="Georgia" w:hAnsi="Georgia"/>
                <w:sz w:val="20"/>
                <w:szCs w:val="20"/>
              </w:rPr>
              <w:t xml:space="preserve">  skaičiuojama</w:t>
            </w:r>
            <w:r>
              <w:rPr>
                <w:rFonts w:ascii="Georgia" w:hAnsi="Georgia"/>
                <w:sz w:val="20"/>
                <w:szCs w:val="20"/>
              </w:rPr>
              <w:t xml:space="preserve"> jog</w:t>
            </w:r>
            <w:r w:rsidRPr="00AC3318">
              <w:rPr>
                <w:rFonts w:ascii="Georgia" w:hAnsi="Georgia"/>
                <w:sz w:val="20"/>
                <w:szCs w:val="20"/>
              </w:rPr>
              <w:t xml:space="preserve"> tikėtina praradimų dalis 5%, kuri paremta ekspertiniu ir </w:t>
            </w:r>
            <w:r>
              <w:rPr>
                <w:rFonts w:ascii="Georgia" w:hAnsi="Georgia"/>
                <w:sz w:val="20"/>
                <w:szCs w:val="20"/>
              </w:rPr>
              <w:t xml:space="preserve">komercinių </w:t>
            </w:r>
            <w:r w:rsidRPr="00AC3318">
              <w:rPr>
                <w:rFonts w:ascii="Georgia" w:hAnsi="Georgia"/>
                <w:sz w:val="20"/>
                <w:szCs w:val="20"/>
              </w:rPr>
              <w:t>bankų vertinimu, bei atitinka PwC studijos prielaidas.</w:t>
            </w:r>
          </w:p>
        </w:tc>
      </w:tr>
      <w:tr w:rsidR="00280058" w:rsidRPr="00E649A6" w14:paraId="01B4D685"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bottom w:val="single" w:sz="6" w:space="0" w:color="C0504D" w:themeColor="accent2"/>
              <w:right w:val="single" w:sz="6" w:space="0" w:color="C0504D" w:themeColor="accent2"/>
            </w:tcBorders>
          </w:tcPr>
          <w:p w14:paraId="66E2B8BB" w14:textId="77777777" w:rsidR="00280058" w:rsidRPr="00C50D6A" w:rsidRDefault="00280058" w:rsidP="00BB18F6">
            <w:pPr>
              <w:rPr>
                <w:rFonts w:ascii="Georgia" w:hAnsi="Georgia"/>
                <w:sz w:val="20"/>
                <w:szCs w:val="20"/>
              </w:rPr>
            </w:pPr>
            <w:r w:rsidRPr="00C50D6A">
              <w:rPr>
                <w:rFonts w:ascii="Georgia" w:hAnsi="Georgia"/>
                <w:sz w:val="20"/>
              </w:rPr>
              <w:t>Finansinės priemonės administravimo išlaidos: remiantis Deleguoto reglamento nuostatomis</w:t>
            </w:r>
          </w:p>
        </w:tc>
        <w:tc>
          <w:tcPr>
            <w:tcW w:w="6080" w:type="dxa"/>
            <w:tcBorders>
              <w:top w:val="single" w:sz="6" w:space="0" w:color="C0504D" w:themeColor="accent2"/>
              <w:left w:val="single" w:sz="6" w:space="0" w:color="C0504D" w:themeColor="accent2"/>
              <w:bottom w:val="single" w:sz="6" w:space="0" w:color="C0504D" w:themeColor="accent2"/>
            </w:tcBorders>
          </w:tcPr>
          <w:p w14:paraId="22D5DE10" w14:textId="4D36D7B4" w:rsidR="00280058" w:rsidRPr="00AC3318" w:rsidRDefault="00280058" w:rsidP="009647A2">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rPr>
              <w:t>Vadovaujantis Deleguoto reglamento nuostatomis, valdymo mokestis susideda iš dviejų dalių: 0,5 proc. bazinis mokestis nuo finansinei priemonei skirtų ir įmokėtų lėšų ir: paskolų atveju – 1 proc. mokestis n</w:t>
            </w:r>
            <w:r w:rsidRPr="00A445EE">
              <w:rPr>
                <w:rFonts w:ascii="Georgia" w:hAnsi="Georgia"/>
                <w:sz w:val="20"/>
              </w:rPr>
              <w:t xml:space="preserve">uo </w:t>
            </w:r>
            <w:r>
              <w:rPr>
                <w:rFonts w:ascii="Georgia" w:hAnsi="Georgia"/>
                <w:sz w:val="20"/>
              </w:rPr>
              <w:t>paskolų,</w:t>
            </w:r>
            <w:r w:rsidRPr="00A445EE">
              <w:rPr>
                <w:rFonts w:ascii="Georgia" w:hAnsi="Georgia"/>
                <w:sz w:val="20"/>
              </w:rPr>
              <w:t xml:space="preserve"> </w:t>
            </w:r>
            <w:r>
              <w:rPr>
                <w:rFonts w:ascii="Georgia" w:hAnsi="Georgia"/>
                <w:sz w:val="20"/>
              </w:rPr>
              <w:t>suteikt</w:t>
            </w:r>
            <w:r w:rsidRPr="00A445EE">
              <w:rPr>
                <w:rFonts w:ascii="Georgia" w:hAnsi="Georgia"/>
                <w:sz w:val="20"/>
              </w:rPr>
              <w:t xml:space="preserve">ų </w:t>
            </w:r>
            <w:r>
              <w:rPr>
                <w:rFonts w:ascii="Georgia" w:hAnsi="Georgia"/>
                <w:sz w:val="20"/>
              </w:rPr>
              <w:t xml:space="preserve">galutiniams </w:t>
            </w:r>
            <w:r w:rsidRPr="00A445EE">
              <w:rPr>
                <w:rFonts w:ascii="Georgia" w:hAnsi="Georgia"/>
                <w:sz w:val="20"/>
              </w:rPr>
              <w:t>naudos gavėjams</w:t>
            </w:r>
            <w:r>
              <w:rPr>
                <w:rFonts w:ascii="Georgia" w:hAnsi="Georgia"/>
                <w:sz w:val="20"/>
              </w:rPr>
              <w:t>, sumos; garantijų atveju – 1,5 proc. nuo sumų, išmokėtų galutiniams naudos gavėjams.</w:t>
            </w:r>
          </w:p>
        </w:tc>
      </w:tr>
      <w:tr w:rsidR="00280058" w:rsidRPr="00E649A6" w14:paraId="348DFDE8" w14:textId="77777777" w:rsidTr="00BB18F6">
        <w:trPr>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bottom w:val="single" w:sz="6" w:space="0" w:color="C0504D" w:themeColor="accent2"/>
              <w:right w:val="single" w:sz="6" w:space="0" w:color="C0504D" w:themeColor="accent2"/>
            </w:tcBorders>
            <w:hideMark/>
          </w:tcPr>
          <w:p w14:paraId="11966377" w14:textId="77777777" w:rsidR="00280058" w:rsidRPr="00C50D6A" w:rsidRDefault="00280058" w:rsidP="00BB18F6">
            <w:pPr>
              <w:rPr>
                <w:rFonts w:ascii="Georgia" w:hAnsi="Georgia"/>
                <w:b w:val="0"/>
                <w:sz w:val="20"/>
                <w:szCs w:val="20"/>
              </w:rPr>
            </w:pPr>
            <w:r w:rsidRPr="00C50D6A">
              <w:rPr>
                <w:rFonts w:ascii="Georgia" w:hAnsi="Georgia"/>
                <w:sz w:val="20"/>
                <w:szCs w:val="20"/>
              </w:rPr>
              <w:t xml:space="preserve">Projekto įgyvendinimo laikotarpis: 1 metai </w:t>
            </w:r>
          </w:p>
        </w:tc>
        <w:tc>
          <w:tcPr>
            <w:tcW w:w="6080" w:type="dxa"/>
            <w:tcBorders>
              <w:top w:val="single" w:sz="6" w:space="0" w:color="C0504D" w:themeColor="accent2"/>
              <w:left w:val="single" w:sz="6" w:space="0" w:color="C0504D" w:themeColor="accent2"/>
              <w:bottom w:val="single" w:sz="6" w:space="0" w:color="C0504D" w:themeColor="accent2"/>
            </w:tcBorders>
            <w:hideMark/>
          </w:tcPr>
          <w:p w14:paraId="51729A15" w14:textId="77777777"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Daroma prielaida, jog tipinio viešojo pastato renovacijos laikas yra 1 metai nuo paskolos sutarties pasirašymo momento.</w:t>
            </w:r>
          </w:p>
        </w:tc>
      </w:tr>
      <w:tr w:rsidR="00280058" w:rsidRPr="00E649A6" w14:paraId="0AFCB49B"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right w:val="single" w:sz="6" w:space="0" w:color="C0504D" w:themeColor="accent2"/>
            </w:tcBorders>
            <w:hideMark/>
          </w:tcPr>
          <w:p w14:paraId="465284CC" w14:textId="77777777" w:rsidR="00280058" w:rsidRPr="00C50D6A" w:rsidRDefault="00280058" w:rsidP="00BB18F6">
            <w:pPr>
              <w:rPr>
                <w:rFonts w:ascii="Georgia" w:hAnsi="Georgia"/>
                <w:b w:val="0"/>
                <w:sz w:val="20"/>
                <w:szCs w:val="20"/>
              </w:rPr>
            </w:pPr>
            <w:r w:rsidRPr="00C50D6A">
              <w:rPr>
                <w:rFonts w:ascii="Georgia" w:hAnsi="Georgia"/>
                <w:sz w:val="20"/>
                <w:szCs w:val="20"/>
              </w:rPr>
              <w:t>Privataus investicinio fo</w:t>
            </w:r>
            <w:r w:rsidR="00230209">
              <w:rPr>
                <w:rFonts w:ascii="Georgia" w:hAnsi="Georgia"/>
                <w:sz w:val="20"/>
                <w:szCs w:val="20"/>
              </w:rPr>
              <w:t>ndo išperkamų paskolų dalis: 70</w:t>
            </w:r>
            <w:r w:rsidRPr="00C50D6A">
              <w:rPr>
                <w:rFonts w:ascii="Georgia" w:hAnsi="Georgia"/>
                <w:sz w:val="20"/>
                <w:szCs w:val="20"/>
              </w:rPr>
              <w:t>%</w:t>
            </w:r>
          </w:p>
        </w:tc>
        <w:tc>
          <w:tcPr>
            <w:tcW w:w="6080" w:type="dxa"/>
            <w:tcBorders>
              <w:top w:val="single" w:sz="6" w:space="0" w:color="C0504D" w:themeColor="accent2"/>
              <w:left w:val="single" w:sz="6" w:space="0" w:color="C0504D" w:themeColor="accent2"/>
            </w:tcBorders>
            <w:hideMark/>
          </w:tcPr>
          <w:p w14:paraId="66BD65F1" w14:textId="77777777" w:rsidR="00280058" w:rsidRPr="00E649A6" w:rsidRDefault="00280058" w:rsidP="002F60CA">
            <w:pPr>
              <w:jc w:val="both"/>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cs="Georgia"/>
                <w:sz w:val="20"/>
                <w:szCs w:val="20"/>
              </w:rPr>
              <w:t>Daroma</w:t>
            </w:r>
            <w:r w:rsidRPr="00E649A6">
              <w:rPr>
                <w:rFonts w:ascii="Georgia" w:hAnsi="Georgia" w:cs="Georgia"/>
                <w:sz w:val="20"/>
                <w:szCs w:val="20"/>
              </w:rPr>
              <w:t xml:space="preserve"> prielaidą, kad </w:t>
            </w:r>
            <w:r>
              <w:rPr>
                <w:rFonts w:ascii="Georgia" w:hAnsi="Georgia" w:cs="Georgia"/>
                <w:sz w:val="20"/>
                <w:szCs w:val="20"/>
              </w:rPr>
              <w:t>privatus</w:t>
            </w:r>
            <w:r w:rsidRPr="00E649A6">
              <w:rPr>
                <w:rFonts w:ascii="Georgia" w:hAnsi="Georgia" w:cs="Georgia"/>
                <w:sz w:val="20"/>
                <w:szCs w:val="20"/>
              </w:rPr>
              <w:t xml:space="preserve"> investicinis </w:t>
            </w:r>
            <w:r>
              <w:rPr>
                <w:rFonts w:ascii="Georgia" w:hAnsi="Georgia" w:cs="Georgia"/>
                <w:sz w:val="20"/>
                <w:szCs w:val="20"/>
              </w:rPr>
              <w:t xml:space="preserve">fondas </w:t>
            </w:r>
            <w:r w:rsidRPr="00E649A6">
              <w:rPr>
                <w:rFonts w:ascii="Georgia" w:hAnsi="Georgia" w:cs="Georgia"/>
                <w:sz w:val="20"/>
                <w:szCs w:val="20"/>
              </w:rPr>
              <w:t xml:space="preserve">nuo </w:t>
            </w:r>
            <w:r w:rsidR="002F60CA" w:rsidRPr="00E649A6">
              <w:rPr>
                <w:rFonts w:ascii="Georgia" w:hAnsi="Georgia" w:cs="Georgia"/>
                <w:sz w:val="20"/>
                <w:szCs w:val="20"/>
              </w:rPr>
              <w:t>201</w:t>
            </w:r>
            <w:r w:rsidR="002F60CA">
              <w:rPr>
                <w:rFonts w:ascii="Georgia" w:hAnsi="Georgia" w:cs="Georgia"/>
                <w:sz w:val="20"/>
                <w:szCs w:val="20"/>
              </w:rPr>
              <w:t>6</w:t>
            </w:r>
            <w:r w:rsidR="002F60CA" w:rsidRPr="00E649A6">
              <w:rPr>
                <w:rFonts w:ascii="Georgia" w:hAnsi="Georgia" w:cs="Georgia"/>
                <w:sz w:val="20"/>
                <w:szCs w:val="20"/>
              </w:rPr>
              <w:t xml:space="preserve"> </w:t>
            </w:r>
            <w:r w:rsidRPr="00E649A6">
              <w:rPr>
                <w:rFonts w:ascii="Georgia" w:hAnsi="Georgia" w:cs="Georgia"/>
                <w:sz w:val="20"/>
                <w:szCs w:val="20"/>
              </w:rPr>
              <w:t xml:space="preserve">m. galėtų išpirkti </w:t>
            </w:r>
            <w:r>
              <w:rPr>
                <w:rFonts w:ascii="Georgia" w:hAnsi="Georgia" w:cs="Georgia"/>
                <w:sz w:val="20"/>
                <w:szCs w:val="20"/>
              </w:rPr>
              <w:t>apie</w:t>
            </w:r>
            <w:r w:rsidRPr="00E649A6">
              <w:rPr>
                <w:rFonts w:ascii="Georgia" w:hAnsi="Georgia" w:cs="Georgia"/>
                <w:sz w:val="20"/>
                <w:szCs w:val="20"/>
              </w:rPr>
              <w:t xml:space="preserve"> 70 % visų paskolų portfelio.</w:t>
            </w:r>
          </w:p>
        </w:tc>
      </w:tr>
    </w:tbl>
    <w:p w14:paraId="1BA960EC" w14:textId="77777777" w:rsidR="00280058" w:rsidRPr="00AC3318" w:rsidRDefault="00280058" w:rsidP="00280058">
      <w:pPr>
        <w:rPr>
          <w:rFonts w:ascii="Georgia" w:hAnsi="Georgia"/>
          <w:sz w:val="20"/>
          <w:szCs w:val="20"/>
          <w:lang w:val="lt-LT"/>
        </w:rPr>
      </w:pPr>
    </w:p>
    <w:p w14:paraId="4BF80391" w14:textId="787C9414" w:rsidR="00280058" w:rsidRPr="00C205F4" w:rsidRDefault="00280058" w:rsidP="00280058">
      <w:pPr>
        <w:pStyle w:val="Antrat"/>
        <w:rPr>
          <w:szCs w:val="20"/>
          <w:lang w:val="lt-LT"/>
        </w:rPr>
      </w:pPr>
      <w:bookmarkStart w:id="246" w:name="_Toc460321711"/>
      <w:r w:rsidRPr="00B52279">
        <w:rPr>
          <w:lang w:val="lt-LT"/>
        </w:rPr>
        <w:t xml:space="preserve">Lentelė </w:t>
      </w:r>
      <w:r w:rsidRPr="00B52279">
        <w:rPr>
          <w:lang w:val="lt-LT"/>
        </w:rPr>
        <w:fldChar w:fldCharType="begin"/>
      </w:r>
      <w:r w:rsidRPr="00B52279">
        <w:rPr>
          <w:lang w:val="lt-LT"/>
        </w:rPr>
        <w:instrText xml:space="preserve"> SEQ Lentelė \* ARABIC </w:instrText>
      </w:r>
      <w:r w:rsidRPr="00B52279">
        <w:rPr>
          <w:lang w:val="lt-LT"/>
        </w:rPr>
        <w:fldChar w:fldCharType="separate"/>
      </w:r>
      <w:r w:rsidR="00AA3082">
        <w:rPr>
          <w:noProof/>
          <w:lang w:val="lt-LT"/>
        </w:rPr>
        <w:t>130</w:t>
      </w:r>
      <w:r w:rsidRPr="00B52279">
        <w:rPr>
          <w:lang w:val="lt-LT"/>
        </w:rPr>
        <w:fldChar w:fldCharType="end"/>
      </w:r>
      <w:r w:rsidRPr="00B52279">
        <w:rPr>
          <w:lang w:val="lt-LT"/>
        </w:rPr>
        <w:t xml:space="preserve">. </w:t>
      </w:r>
      <w:r w:rsidRPr="002B70C1">
        <w:rPr>
          <w:lang w:val="lt-LT"/>
        </w:rPr>
        <w:t>Scenarijaus Nr. 4 paskolų su išpirkimo galimybe įgyvendinimo prognozė</w:t>
      </w:r>
      <w:bookmarkEnd w:id="246"/>
    </w:p>
    <w:p w14:paraId="04ADB69C" w14:textId="77777777" w:rsidR="00280058" w:rsidRDefault="00280058" w:rsidP="00280058">
      <w:pPr>
        <w:rPr>
          <w:lang w:val="lt-LT"/>
        </w:rPr>
      </w:pPr>
      <w:r>
        <w:rPr>
          <w:noProof/>
          <w:lang w:val="lt-LT" w:eastAsia="lt-LT"/>
        </w:rPr>
        <w:drawing>
          <wp:inline distT="0" distB="0" distL="0" distR="0" wp14:anchorId="06828128" wp14:editId="57A1881D">
            <wp:extent cx="6115050" cy="2619375"/>
            <wp:effectExtent l="0" t="0" r="0" b="9525"/>
            <wp:docPr id="253" name="Paveikslėlis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6115050" cy="2619375"/>
                    </a:xfrm>
                    <a:prstGeom prst="rect">
                      <a:avLst/>
                    </a:prstGeom>
                    <a:noFill/>
                    <a:ln>
                      <a:noFill/>
                    </a:ln>
                  </pic:spPr>
                </pic:pic>
              </a:graphicData>
            </a:graphic>
          </wp:inline>
        </w:drawing>
      </w:r>
    </w:p>
    <w:p w14:paraId="1743257D" w14:textId="05CFF356" w:rsidR="00280058" w:rsidRPr="00C205F4" w:rsidRDefault="00280058" w:rsidP="00280058">
      <w:pPr>
        <w:pStyle w:val="Antrat"/>
        <w:rPr>
          <w:szCs w:val="20"/>
          <w:lang w:val="lt-LT"/>
        </w:rPr>
      </w:pPr>
      <w:r w:rsidRPr="00B52279">
        <w:rPr>
          <w:lang w:val="lt-LT"/>
        </w:rPr>
        <w:lastRenderedPageBreak/>
        <w:t xml:space="preserve"> </w:t>
      </w:r>
      <w:bookmarkStart w:id="247" w:name="_Toc460321712"/>
      <w:r w:rsidRPr="00B52279">
        <w:rPr>
          <w:lang w:val="lt-LT"/>
        </w:rPr>
        <w:t xml:space="preserve">Lentelė </w:t>
      </w:r>
      <w:r w:rsidRPr="00B52279">
        <w:rPr>
          <w:lang w:val="lt-LT"/>
        </w:rPr>
        <w:fldChar w:fldCharType="begin"/>
      </w:r>
      <w:r w:rsidRPr="00B52279">
        <w:rPr>
          <w:lang w:val="lt-LT"/>
        </w:rPr>
        <w:instrText xml:space="preserve"> SEQ Lentelė \* ARABIC </w:instrText>
      </w:r>
      <w:r w:rsidRPr="00B52279">
        <w:rPr>
          <w:lang w:val="lt-LT"/>
        </w:rPr>
        <w:fldChar w:fldCharType="separate"/>
      </w:r>
      <w:r w:rsidR="00AA3082">
        <w:rPr>
          <w:noProof/>
          <w:lang w:val="lt-LT"/>
        </w:rPr>
        <w:t>131</w:t>
      </w:r>
      <w:r w:rsidRPr="00B52279">
        <w:rPr>
          <w:lang w:val="lt-LT"/>
        </w:rPr>
        <w:fldChar w:fldCharType="end"/>
      </w:r>
      <w:r w:rsidRPr="00B52279">
        <w:rPr>
          <w:lang w:val="lt-LT"/>
        </w:rPr>
        <w:t xml:space="preserve">. </w:t>
      </w:r>
      <w:r w:rsidRPr="002B70C1">
        <w:rPr>
          <w:lang w:val="lt-LT"/>
        </w:rPr>
        <w:t xml:space="preserve">Scenarijaus Nr. 4 </w:t>
      </w:r>
      <w:r w:rsidRPr="002B70C1">
        <w:rPr>
          <w:szCs w:val="20"/>
          <w:lang w:val="lt-LT"/>
        </w:rPr>
        <w:t>g</w:t>
      </w:r>
      <w:r w:rsidRPr="00C205F4">
        <w:rPr>
          <w:szCs w:val="20"/>
          <w:lang w:val="lt-LT"/>
        </w:rPr>
        <w:t>arantijų priemonės įgyvendinimo prognozė</w:t>
      </w:r>
      <w:bookmarkEnd w:id="247"/>
    </w:p>
    <w:p w14:paraId="0601E356" w14:textId="77777777" w:rsidR="00280058" w:rsidRDefault="00280058" w:rsidP="00280058">
      <w:pPr>
        <w:rPr>
          <w:lang w:val="lt-LT"/>
        </w:rPr>
      </w:pPr>
      <w:r>
        <w:rPr>
          <w:noProof/>
          <w:lang w:val="lt-LT" w:eastAsia="lt-LT"/>
        </w:rPr>
        <w:drawing>
          <wp:inline distT="0" distB="0" distL="0" distR="0" wp14:anchorId="6AEF9D4B" wp14:editId="05724182">
            <wp:extent cx="6115050" cy="2647950"/>
            <wp:effectExtent l="0" t="0" r="0" b="0"/>
            <wp:docPr id="254" name="Paveikslėlis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pic:cNvPicPr>
                      <a:picLocks noChangeAspect="1"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6115050" cy="2647950"/>
                    </a:xfrm>
                    <a:prstGeom prst="rect">
                      <a:avLst/>
                    </a:prstGeom>
                    <a:noFill/>
                    <a:ln>
                      <a:noFill/>
                    </a:ln>
                  </pic:spPr>
                </pic:pic>
              </a:graphicData>
            </a:graphic>
          </wp:inline>
        </w:drawing>
      </w:r>
    </w:p>
    <w:p w14:paraId="117B1331" w14:textId="63AC2DE9" w:rsidR="00280058" w:rsidRPr="00C205F4" w:rsidRDefault="00280058" w:rsidP="00280058">
      <w:pPr>
        <w:pStyle w:val="Antrat"/>
        <w:rPr>
          <w:szCs w:val="20"/>
          <w:lang w:val="lt-LT"/>
        </w:rPr>
      </w:pPr>
      <w:r w:rsidRPr="00B52279">
        <w:rPr>
          <w:lang w:val="lt-LT"/>
        </w:rPr>
        <w:t xml:space="preserve"> </w:t>
      </w:r>
      <w:bookmarkStart w:id="248" w:name="_Toc460321713"/>
      <w:r w:rsidRPr="00B52279">
        <w:rPr>
          <w:lang w:val="lt-LT"/>
        </w:rPr>
        <w:t xml:space="preserve">Lentelė </w:t>
      </w:r>
      <w:r w:rsidRPr="00B52279">
        <w:rPr>
          <w:lang w:val="lt-LT"/>
        </w:rPr>
        <w:fldChar w:fldCharType="begin"/>
      </w:r>
      <w:r w:rsidRPr="00B52279">
        <w:rPr>
          <w:lang w:val="lt-LT"/>
        </w:rPr>
        <w:instrText xml:space="preserve"> SEQ Lentelė \* ARABIC </w:instrText>
      </w:r>
      <w:r w:rsidRPr="00B52279">
        <w:rPr>
          <w:lang w:val="lt-LT"/>
        </w:rPr>
        <w:fldChar w:fldCharType="separate"/>
      </w:r>
      <w:r w:rsidR="00AA3082">
        <w:rPr>
          <w:noProof/>
          <w:lang w:val="lt-LT"/>
        </w:rPr>
        <w:t>132</w:t>
      </w:r>
      <w:r w:rsidRPr="00B52279">
        <w:rPr>
          <w:lang w:val="lt-LT"/>
        </w:rPr>
        <w:fldChar w:fldCharType="end"/>
      </w:r>
      <w:r w:rsidRPr="00B52279">
        <w:rPr>
          <w:lang w:val="lt-LT"/>
        </w:rPr>
        <w:t xml:space="preserve">. </w:t>
      </w:r>
      <w:r w:rsidRPr="002B70C1">
        <w:rPr>
          <w:lang w:val="lt-LT"/>
        </w:rPr>
        <w:t xml:space="preserve">Scenarijaus Nr. </w:t>
      </w:r>
      <w:r w:rsidRPr="00C205F4">
        <w:rPr>
          <w:lang w:val="lt-LT"/>
        </w:rPr>
        <w:t>4 rezultatai</w:t>
      </w:r>
      <w:bookmarkEnd w:id="248"/>
    </w:p>
    <w:tbl>
      <w:tblPr>
        <w:tblStyle w:val="viesussraas2parykinimas"/>
        <w:tblW w:w="5000" w:type="pct"/>
        <w:tblLook w:val="04A0" w:firstRow="1" w:lastRow="0" w:firstColumn="1" w:lastColumn="0" w:noHBand="0" w:noVBand="1"/>
      </w:tblPr>
      <w:tblGrid>
        <w:gridCol w:w="6638"/>
        <w:gridCol w:w="2604"/>
      </w:tblGrid>
      <w:tr w:rsidR="00280058" w:rsidRPr="00E649A6" w14:paraId="2FB71EFF" w14:textId="77777777" w:rsidTr="008903A9">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91" w:type="pct"/>
            <w:tcBorders>
              <w:top w:val="single" w:sz="8" w:space="0" w:color="C0504D" w:themeColor="accent2"/>
              <w:left w:val="single" w:sz="8" w:space="0" w:color="C0504D" w:themeColor="accent2"/>
              <w:bottom w:val="nil"/>
              <w:right w:val="nil"/>
            </w:tcBorders>
            <w:hideMark/>
          </w:tcPr>
          <w:p w14:paraId="399BF413" w14:textId="77777777" w:rsidR="00280058" w:rsidRPr="00AC3318" w:rsidRDefault="00280058" w:rsidP="00BB18F6">
            <w:pPr>
              <w:jc w:val="center"/>
              <w:rPr>
                <w:rFonts w:ascii="Georgia" w:hAnsi="Georgia"/>
                <w:sz w:val="20"/>
                <w:szCs w:val="20"/>
              </w:rPr>
            </w:pPr>
            <w:r w:rsidRPr="00AC3318">
              <w:rPr>
                <w:rFonts w:ascii="Georgia" w:hAnsi="Georgia"/>
                <w:sz w:val="20"/>
                <w:szCs w:val="20"/>
              </w:rPr>
              <w:t>Fondas</w:t>
            </w:r>
          </w:p>
        </w:tc>
        <w:tc>
          <w:tcPr>
            <w:tcW w:w="1409" w:type="pct"/>
            <w:tcBorders>
              <w:top w:val="single" w:sz="8" w:space="0" w:color="C0504D" w:themeColor="accent2"/>
              <w:left w:val="nil"/>
              <w:bottom w:val="nil"/>
              <w:right w:val="single" w:sz="8" w:space="0" w:color="C0504D" w:themeColor="accent2"/>
            </w:tcBorders>
            <w:hideMark/>
          </w:tcPr>
          <w:p w14:paraId="2EEF5C5D" w14:textId="77777777" w:rsidR="00280058" w:rsidRPr="00AC3318" w:rsidRDefault="00280058" w:rsidP="00BB18F6">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mln. </w:t>
            </w:r>
            <w:r>
              <w:rPr>
                <w:rFonts w:ascii="Georgia" w:hAnsi="Georgia"/>
                <w:bCs w:val="0"/>
                <w:sz w:val="20"/>
                <w:szCs w:val="20"/>
              </w:rPr>
              <w:t>eurų</w:t>
            </w:r>
          </w:p>
        </w:tc>
      </w:tr>
      <w:tr w:rsidR="00280058" w:rsidRPr="00E649A6" w14:paraId="357FAA7E" w14:textId="77777777" w:rsidTr="008903A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91" w:type="pct"/>
            <w:tcBorders>
              <w:right w:val="nil"/>
            </w:tcBorders>
            <w:hideMark/>
          </w:tcPr>
          <w:p w14:paraId="1F2CF3DB" w14:textId="77777777" w:rsidR="00280058" w:rsidRPr="00AC3318" w:rsidRDefault="00280058" w:rsidP="00BB18F6">
            <w:pPr>
              <w:rPr>
                <w:rFonts w:ascii="Georgia" w:hAnsi="Georgia"/>
                <w:sz w:val="20"/>
                <w:szCs w:val="20"/>
              </w:rPr>
            </w:pPr>
            <w:r w:rsidRPr="00AC3318">
              <w:rPr>
                <w:rFonts w:ascii="Georgia" w:hAnsi="Georgia"/>
                <w:sz w:val="20"/>
                <w:szCs w:val="20"/>
              </w:rPr>
              <w:t>Galutinius naudos gavėjus pasiekusios lėšos</w:t>
            </w:r>
          </w:p>
        </w:tc>
        <w:tc>
          <w:tcPr>
            <w:tcW w:w="1409" w:type="pct"/>
            <w:tcBorders>
              <w:left w:val="nil"/>
            </w:tcBorders>
            <w:hideMark/>
          </w:tcPr>
          <w:p w14:paraId="1A93DC85" w14:textId="77777777" w:rsidR="00280058" w:rsidRPr="00AC3318" w:rsidRDefault="00280058"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15,</w:t>
            </w:r>
            <w:r>
              <w:rPr>
                <w:rFonts w:ascii="Georgia" w:hAnsi="Georgia"/>
                <w:sz w:val="20"/>
                <w:szCs w:val="20"/>
              </w:rPr>
              <w:t>5</w:t>
            </w:r>
            <w:r w:rsidRPr="00AC3318">
              <w:rPr>
                <w:rFonts w:ascii="Georgia" w:hAnsi="Georgia"/>
                <w:sz w:val="20"/>
                <w:szCs w:val="20"/>
              </w:rPr>
              <w:t>+</w:t>
            </w:r>
            <w:r>
              <w:rPr>
                <w:rFonts w:ascii="Georgia" w:hAnsi="Georgia"/>
                <w:sz w:val="20"/>
                <w:szCs w:val="20"/>
              </w:rPr>
              <w:t>16</w:t>
            </w:r>
            <w:r w:rsidRPr="00AC3318">
              <w:rPr>
                <w:rFonts w:ascii="Georgia" w:hAnsi="Georgia"/>
                <w:sz w:val="20"/>
                <w:szCs w:val="20"/>
              </w:rPr>
              <w:t xml:space="preserve"> = </w:t>
            </w:r>
            <w:r>
              <w:rPr>
                <w:rFonts w:ascii="Georgia" w:hAnsi="Georgia"/>
                <w:sz w:val="20"/>
                <w:szCs w:val="20"/>
              </w:rPr>
              <w:t>31,5</w:t>
            </w:r>
          </w:p>
        </w:tc>
      </w:tr>
      <w:tr w:rsidR="00280058" w:rsidRPr="00E649A6" w14:paraId="59EE9639" w14:textId="77777777" w:rsidTr="008903A9">
        <w:trPr>
          <w:trHeight w:val="266"/>
        </w:trPr>
        <w:tc>
          <w:tcPr>
            <w:cnfStyle w:val="001000000000" w:firstRow="0" w:lastRow="0" w:firstColumn="1" w:lastColumn="0" w:oddVBand="0" w:evenVBand="0" w:oddHBand="0" w:evenHBand="0" w:firstRowFirstColumn="0" w:firstRowLastColumn="0" w:lastRowFirstColumn="0" w:lastRowLastColumn="0"/>
            <w:tcW w:w="3591" w:type="pct"/>
            <w:tcBorders>
              <w:right w:val="nil"/>
            </w:tcBorders>
            <w:hideMark/>
          </w:tcPr>
          <w:p w14:paraId="7DBC64E2" w14:textId="77777777" w:rsidR="00280058" w:rsidRPr="00AC3318" w:rsidRDefault="00280058" w:rsidP="00BB18F6">
            <w:pPr>
              <w:rPr>
                <w:rFonts w:ascii="Georgia" w:hAnsi="Georgia"/>
                <w:sz w:val="20"/>
                <w:szCs w:val="20"/>
              </w:rPr>
            </w:pPr>
            <w:r w:rsidRPr="00AC3318">
              <w:rPr>
                <w:rFonts w:ascii="Georgia" w:hAnsi="Georgia"/>
                <w:sz w:val="20"/>
                <w:szCs w:val="20"/>
              </w:rPr>
              <w:t>Renovuotų šviestuvų skaičius</w:t>
            </w:r>
          </w:p>
        </w:tc>
        <w:tc>
          <w:tcPr>
            <w:tcW w:w="1409" w:type="pct"/>
            <w:tcBorders>
              <w:left w:val="nil"/>
            </w:tcBorders>
            <w:hideMark/>
          </w:tcPr>
          <w:p w14:paraId="3F772C63" w14:textId="77777777" w:rsidR="00280058" w:rsidRPr="00AC3318" w:rsidRDefault="00280058" w:rsidP="00BB18F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44342</w:t>
            </w:r>
          </w:p>
        </w:tc>
      </w:tr>
    </w:tbl>
    <w:p w14:paraId="3105F4C1" w14:textId="77777777" w:rsidR="00280058" w:rsidRDefault="00280058" w:rsidP="00280058">
      <w:pPr>
        <w:rPr>
          <w:rFonts w:ascii="Georgia" w:hAnsi="Georgia"/>
          <w:sz w:val="20"/>
          <w:szCs w:val="20"/>
          <w:lang w:val="lt-LT"/>
        </w:rPr>
      </w:pPr>
    </w:p>
    <w:p w14:paraId="4C8B671B" w14:textId="77777777" w:rsidR="00280058" w:rsidRDefault="00280058" w:rsidP="00280058">
      <w:pPr>
        <w:rPr>
          <w:rFonts w:ascii="Georgia" w:hAnsi="Georgia"/>
          <w:sz w:val="20"/>
          <w:szCs w:val="20"/>
          <w:lang w:val="lt-LT"/>
        </w:rPr>
      </w:pPr>
    </w:p>
    <w:p w14:paraId="1AFF4C3B" w14:textId="77777777" w:rsidR="00280058" w:rsidRPr="00765A39" w:rsidRDefault="00280058" w:rsidP="00C03122">
      <w:pPr>
        <w:pStyle w:val="Sraopastraipa"/>
        <w:keepNext/>
        <w:numPr>
          <w:ilvl w:val="0"/>
          <w:numId w:val="34"/>
        </w:numPr>
        <w:ind w:left="714" w:hanging="357"/>
        <w:rPr>
          <w:rFonts w:ascii="Georgia" w:hAnsi="Georgia"/>
          <w:b/>
          <w:i/>
          <w:sz w:val="20"/>
          <w:szCs w:val="20"/>
          <w:lang w:val="lt-LT"/>
        </w:rPr>
      </w:pPr>
      <w:r w:rsidRPr="00765A39">
        <w:rPr>
          <w:rFonts w:ascii="Georgia" w:hAnsi="Georgia"/>
          <w:b/>
          <w:i/>
          <w:sz w:val="20"/>
          <w:szCs w:val="20"/>
          <w:lang w:val="lt-LT"/>
        </w:rPr>
        <w:t xml:space="preserve">Scenarijus Nr. 5: Finansinės priemonės lėšos nukreipiamos į garantijų priemonę </w:t>
      </w:r>
    </w:p>
    <w:p w14:paraId="4F1C299B" w14:textId="77777777" w:rsidR="009F55BB" w:rsidRDefault="00280058" w:rsidP="008903A9">
      <w:pPr>
        <w:pStyle w:val="Antrat"/>
        <w:jc w:val="center"/>
        <w:rPr>
          <w:lang w:val="lt-LT"/>
        </w:rPr>
      </w:pPr>
      <w:r>
        <w:rPr>
          <w:noProof/>
          <w:lang w:val="lt-LT" w:eastAsia="lt-LT"/>
        </w:rPr>
        <w:drawing>
          <wp:inline distT="0" distB="0" distL="0" distR="0" wp14:anchorId="0B47C410" wp14:editId="5B395741">
            <wp:extent cx="5598795" cy="2173605"/>
            <wp:effectExtent l="0" t="0" r="1905" b="0"/>
            <wp:docPr id="4128" name="Paveikslėlis 4128" descr="\\vipa-server\ESCO_Rolandas\Schemos (Rolandas) (Taisytos 2014-09-29)\Gatviu apsvietimo\Gatviu apsvietimas Nr. 5 tik garanti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vipa-server\ESCO_Rolandas\Schemos (Rolandas) (Taisytos 2014-09-29)\Gatviu apsvietimo\Gatviu apsvietimas Nr. 5 tik garantijos.jpg"/>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5598795" cy="2173605"/>
                    </a:xfrm>
                    <a:prstGeom prst="rect">
                      <a:avLst/>
                    </a:prstGeom>
                    <a:noFill/>
                    <a:ln>
                      <a:noFill/>
                    </a:ln>
                  </pic:spPr>
                </pic:pic>
              </a:graphicData>
            </a:graphic>
          </wp:inline>
        </w:drawing>
      </w:r>
    </w:p>
    <w:p w14:paraId="067505AA" w14:textId="6E2C5ED3" w:rsidR="00280058" w:rsidRPr="00901908" w:rsidRDefault="00280058" w:rsidP="00280058">
      <w:pPr>
        <w:pStyle w:val="Antrat"/>
        <w:rPr>
          <w:szCs w:val="20"/>
          <w:lang w:val="lt-LT"/>
        </w:rPr>
      </w:pPr>
      <w:bookmarkStart w:id="249" w:name="_Toc417378322"/>
      <w:r w:rsidRPr="00B52279">
        <w:rPr>
          <w:lang w:val="lt-LT"/>
        </w:rPr>
        <w:t xml:space="preserve">Paveikslas </w:t>
      </w:r>
      <w:r w:rsidRPr="00B52279">
        <w:rPr>
          <w:lang w:val="lt-LT"/>
        </w:rPr>
        <w:fldChar w:fldCharType="begin"/>
      </w:r>
      <w:r w:rsidRPr="00B52279">
        <w:rPr>
          <w:lang w:val="lt-LT"/>
        </w:rPr>
        <w:instrText xml:space="preserve"> SEQ Paveikslas \* ARABIC </w:instrText>
      </w:r>
      <w:r w:rsidRPr="00B52279">
        <w:rPr>
          <w:lang w:val="lt-LT"/>
        </w:rPr>
        <w:fldChar w:fldCharType="separate"/>
      </w:r>
      <w:r w:rsidR="00AA3082">
        <w:rPr>
          <w:noProof/>
          <w:lang w:val="lt-LT"/>
        </w:rPr>
        <w:t>45</w:t>
      </w:r>
      <w:r w:rsidRPr="00B52279">
        <w:rPr>
          <w:lang w:val="lt-LT"/>
        </w:rPr>
        <w:fldChar w:fldCharType="end"/>
      </w:r>
      <w:r w:rsidRPr="00B52279">
        <w:rPr>
          <w:lang w:val="lt-LT"/>
        </w:rPr>
        <w:t>. Gatvių apšvietimo scenarij</w:t>
      </w:r>
      <w:r>
        <w:rPr>
          <w:lang w:val="lt-LT"/>
        </w:rPr>
        <w:t>a</w:t>
      </w:r>
      <w:r w:rsidRPr="00B52279">
        <w:rPr>
          <w:lang w:val="lt-LT"/>
        </w:rPr>
        <w:t>us Nr. 5</w:t>
      </w:r>
      <w:r w:rsidRPr="002B70C1">
        <w:rPr>
          <w:lang w:val="lt-LT"/>
        </w:rPr>
        <w:t xml:space="preserve"> </w:t>
      </w:r>
      <w:r>
        <w:rPr>
          <w:lang w:val="lt-LT"/>
        </w:rPr>
        <w:t>schema</w:t>
      </w:r>
      <w:r w:rsidRPr="00B52279">
        <w:rPr>
          <w:lang w:val="lt-LT"/>
        </w:rPr>
        <w:t>.</w:t>
      </w:r>
      <w:bookmarkEnd w:id="249"/>
      <w:r w:rsidRPr="00B52279">
        <w:rPr>
          <w:lang w:val="lt-LT"/>
        </w:rPr>
        <w:t xml:space="preserve"> </w:t>
      </w:r>
    </w:p>
    <w:p w14:paraId="526702E1" w14:textId="77777777" w:rsidR="00280058" w:rsidRDefault="00280058" w:rsidP="00280058">
      <w:pPr>
        <w:jc w:val="both"/>
        <w:rPr>
          <w:rFonts w:ascii="Georgia" w:hAnsi="Georgia"/>
          <w:sz w:val="20"/>
          <w:szCs w:val="20"/>
          <w:lang w:val="lt-LT"/>
        </w:rPr>
      </w:pPr>
      <w:r w:rsidRPr="00AC3318">
        <w:rPr>
          <w:rFonts w:ascii="Georgia" w:hAnsi="Georgia"/>
          <w:sz w:val="20"/>
          <w:szCs w:val="20"/>
          <w:lang w:val="lt-LT"/>
        </w:rPr>
        <w:t>Vertinamas scenarijus su prielaidomis, kaip scenariju</w:t>
      </w:r>
      <w:r>
        <w:rPr>
          <w:rFonts w:ascii="Georgia" w:hAnsi="Georgia"/>
          <w:sz w:val="20"/>
          <w:szCs w:val="20"/>
          <w:lang w:val="lt-LT"/>
        </w:rPr>
        <w:t>je</w:t>
      </w:r>
      <w:r w:rsidRPr="00AC3318">
        <w:rPr>
          <w:rFonts w:ascii="Georgia" w:hAnsi="Georgia"/>
          <w:sz w:val="20"/>
          <w:szCs w:val="20"/>
          <w:lang w:val="lt-LT"/>
        </w:rPr>
        <w:t xml:space="preserve"> Nr. </w:t>
      </w:r>
      <w:r>
        <w:rPr>
          <w:rFonts w:ascii="Georgia" w:hAnsi="Georgia"/>
          <w:sz w:val="20"/>
          <w:szCs w:val="20"/>
          <w:lang w:val="lt-LT"/>
        </w:rPr>
        <w:t>3</w:t>
      </w:r>
      <w:r w:rsidRPr="00AC3318">
        <w:rPr>
          <w:rFonts w:ascii="Georgia" w:hAnsi="Georgia"/>
          <w:sz w:val="20"/>
          <w:szCs w:val="20"/>
          <w:lang w:val="lt-LT"/>
        </w:rPr>
        <w:t>, papild</w:t>
      </w:r>
      <w:r>
        <w:rPr>
          <w:rFonts w:ascii="Georgia" w:hAnsi="Georgia"/>
          <w:sz w:val="20"/>
          <w:szCs w:val="20"/>
          <w:lang w:val="lt-LT"/>
        </w:rPr>
        <w:t>ant</w:t>
      </w:r>
      <w:r w:rsidRPr="00AC3318">
        <w:rPr>
          <w:rFonts w:ascii="Georgia" w:hAnsi="Georgia"/>
          <w:sz w:val="20"/>
          <w:szCs w:val="20"/>
          <w:lang w:val="lt-LT"/>
        </w:rPr>
        <w:t xml:space="preserve"> prielaid</w:t>
      </w:r>
      <w:r>
        <w:rPr>
          <w:rFonts w:ascii="Georgia" w:hAnsi="Georgia"/>
          <w:sz w:val="20"/>
          <w:szCs w:val="20"/>
          <w:lang w:val="lt-LT"/>
        </w:rPr>
        <w:t>a</w:t>
      </w:r>
      <w:r w:rsidRPr="00AC3318">
        <w:rPr>
          <w:rFonts w:ascii="Georgia" w:hAnsi="Georgia"/>
          <w:sz w:val="20"/>
          <w:szCs w:val="20"/>
          <w:lang w:val="lt-LT"/>
        </w:rPr>
        <w:t xml:space="preserve">, kad </w:t>
      </w:r>
      <w:r>
        <w:rPr>
          <w:rFonts w:ascii="Georgia" w:hAnsi="Georgia"/>
          <w:sz w:val="20"/>
          <w:szCs w:val="20"/>
          <w:lang w:val="lt-LT"/>
        </w:rPr>
        <w:t>visos ESI fondų lėšos bus panaudotos garantijų priemonei įgyvendinti</w:t>
      </w:r>
      <w:r w:rsidRPr="00AC3318">
        <w:rPr>
          <w:rFonts w:ascii="Georgia" w:hAnsi="Georgia"/>
          <w:sz w:val="20"/>
          <w:szCs w:val="20"/>
          <w:lang w:val="lt-LT"/>
        </w:rPr>
        <w:t>.</w:t>
      </w:r>
    </w:p>
    <w:p w14:paraId="54E64D73" w14:textId="51D1C7C0" w:rsidR="00280058" w:rsidRPr="00901908" w:rsidRDefault="00280058" w:rsidP="00280058">
      <w:pPr>
        <w:pStyle w:val="Antrat"/>
        <w:rPr>
          <w:szCs w:val="20"/>
          <w:lang w:val="lt-LT"/>
        </w:rPr>
      </w:pPr>
      <w:bookmarkStart w:id="250" w:name="_Toc460321714"/>
      <w:r w:rsidRPr="00B52279">
        <w:rPr>
          <w:lang w:val="lt-LT"/>
        </w:rPr>
        <w:t xml:space="preserve">Lentelė </w:t>
      </w:r>
      <w:r w:rsidRPr="00B52279">
        <w:rPr>
          <w:lang w:val="lt-LT"/>
        </w:rPr>
        <w:fldChar w:fldCharType="begin"/>
      </w:r>
      <w:r w:rsidRPr="00B52279">
        <w:rPr>
          <w:lang w:val="lt-LT"/>
        </w:rPr>
        <w:instrText xml:space="preserve"> SEQ Lentelė \* ARABIC </w:instrText>
      </w:r>
      <w:r w:rsidRPr="00B52279">
        <w:rPr>
          <w:lang w:val="lt-LT"/>
        </w:rPr>
        <w:fldChar w:fldCharType="separate"/>
      </w:r>
      <w:r w:rsidR="00AA3082">
        <w:rPr>
          <w:noProof/>
          <w:lang w:val="lt-LT"/>
        </w:rPr>
        <w:t>133</w:t>
      </w:r>
      <w:r w:rsidRPr="00B52279">
        <w:rPr>
          <w:lang w:val="lt-LT"/>
        </w:rPr>
        <w:fldChar w:fldCharType="end"/>
      </w:r>
      <w:r w:rsidRPr="00B52279">
        <w:rPr>
          <w:lang w:val="lt-LT"/>
        </w:rPr>
        <w:t xml:space="preserve">. </w:t>
      </w:r>
      <w:r w:rsidRPr="00901908">
        <w:rPr>
          <w:lang w:val="lt-LT"/>
        </w:rPr>
        <w:t>Scenarijaus Nr. 4 prielaidos</w:t>
      </w:r>
      <w:bookmarkEnd w:id="250"/>
    </w:p>
    <w:tbl>
      <w:tblPr>
        <w:tblStyle w:val="viesussraas2parykinimas"/>
        <w:tblW w:w="0" w:type="auto"/>
        <w:tblLook w:val="04A0" w:firstRow="1" w:lastRow="0" w:firstColumn="1" w:lastColumn="0" w:noHBand="0" w:noVBand="1"/>
      </w:tblPr>
      <w:tblGrid>
        <w:gridCol w:w="3162"/>
        <w:gridCol w:w="6080"/>
      </w:tblGrid>
      <w:tr w:rsidR="00280058" w:rsidRPr="00E649A6" w14:paraId="77282A8F" w14:textId="77777777" w:rsidTr="008903A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2" w:type="dxa"/>
            <w:tcBorders>
              <w:top w:val="single" w:sz="8" w:space="0" w:color="C0504D" w:themeColor="accent2"/>
              <w:left w:val="single" w:sz="8" w:space="0" w:color="C0504D" w:themeColor="accent2"/>
              <w:bottom w:val="single" w:sz="8" w:space="0" w:color="C0504D" w:themeColor="accent2"/>
              <w:right w:val="nil"/>
            </w:tcBorders>
            <w:hideMark/>
          </w:tcPr>
          <w:p w14:paraId="22361B35" w14:textId="77777777" w:rsidR="00280058" w:rsidRPr="00AC3318" w:rsidRDefault="00280058" w:rsidP="008903A9">
            <w:pPr>
              <w:jc w:val="center"/>
              <w:rPr>
                <w:rFonts w:ascii="Georgia" w:hAnsi="Georgia"/>
                <w:sz w:val="20"/>
                <w:szCs w:val="20"/>
              </w:rPr>
            </w:pPr>
            <w:r w:rsidRPr="00AC3318">
              <w:rPr>
                <w:rFonts w:ascii="Georgia" w:hAnsi="Georgia"/>
                <w:sz w:val="20"/>
                <w:szCs w:val="20"/>
              </w:rPr>
              <w:t>Prielaidos</w:t>
            </w:r>
          </w:p>
        </w:tc>
        <w:tc>
          <w:tcPr>
            <w:tcW w:w="6080" w:type="dxa"/>
            <w:tcBorders>
              <w:top w:val="single" w:sz="8" w:space="0" w:color="C0504D" w:themeColor="accent2"/>
              <w:left w:val="nil"/>
              <w:bottom w:val="single" w:sz="8" w:space="0" w:color="C0504D" w:themeColor="accent2"/>
              <w:right w:val="single" w:sz="8" w:space="0" w:color="C0504D" w:themeColor="accent2"/>
            </w:tcBorders>
            <w:hideMark/>
          </w:tcPr>
          <w:p w14:paraId="10BE7F59" w14:textId="77777777" w:rsidR="00280058" w:rsidRPr="00AC3318" w:rsidRDefault="00280058" w:rsidP="008903A9">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Komentaras</w:t>
            </w:r>
          </w:p>
        </w:tc>
      </w:tr>
      <w:tr w:rsidR="00280058" w:rsidRPr="00E649A6" w14:paraId="4CA36D8F"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2" w:type="dxa"/>
            <w:tcBorders>
              <w:bottom w:val="single" w:sz="6" w:space="0" w:color="C0504D" w:themeColor="accent2"/>
              <w:right w:val="single" w:sz="6" w:space="0" w:color="C0504D" w:themeColor="accent2"/>
            </w:tcBorders>
            <w:hideMark/>
          </w:tcPr>
          <w:p w14:paraId="5AF596C0" w14:textId="77777777" w:rsidR="00280058" w:rsidRPr="00C50D6A" w:rsidRDefault="00280058" w:rsidP="00BB18F6">
            <w:pPr>
              <w:rPr>
                <w:rFonts w:ascii="Georgia" w:hAnsi="Georgia"/>
                <w:b w:val="0"/>
                <w:sz w:val="20"/>
                <w:szCs w:val="20"/>
              </w:rPr>
            </w:pPr>
            <w:r w:rsidRPr="00C50D6A">
              <w:rPr>
                <w:rFonts w:ascii="Georgia" w:hAnsi="Georgia"/>
                <w:sz w:val="20"/>
                <w:szCs w:val="20"/>
              </w:rPr>
              <w:t>Paskolos laikotarpis: iki 20 metų</w:t>
            </w:r>
          </w:p>
        </w:tc>
        <w:tc>
          <w:tcPr>
            <w:tcW w:w="6080" w:type="dxa"/>
            <w:tcBorders>
              <w:left w:val="single" w:sz="6" w:space="0" w:color="C0504D" w:themeColor="accent2"/>
              <w:bottom w:val="single" w:sz="6" w:space="0" w:color="C0504D" w:themeColor="accent2"/>
            </w:tcBorders>
            <w:hideMark/>
          </w:tcPr>
          <w:p w14:paraId="1AA525AF" w14:textId="77777777"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Maksim</w:t>
            </w:r>
            <w:r>
              <w:rPr>
                <w:rFonts w:ascii="Georgia" w:hAnsi="Georgia"/>
                <w:sz w:val="20"/>
                <w:szCs w:val="20"/>
              </w:rPr>
              <w:t>alus sutarties terminas 20 metų.</w:t>
            </w:r>
          </w:p>
        </w:tc>
      </w:tr>
      <w:tr w:rsidR="00280058" w:rsidRPr="00E649A6" w14:paraId="424413D4" w14:textId="77777777" w:rsidTr="00BB18F6">
        <w:trPr>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left w:val="single" w:sz="8" w:space="0" w:color="C0504D" w:themeColor="accent2"/>
              <w:bottom w:val="single" w:sz="6" w:space="0" w:color="C0504D" w:themeColor="accent2"/>
              <w:right w:val="single" w:sz="6" w:space="0" w:color="C0504D" w:themeColor="accent2"/>
            </w:tcBorders>
            <w:hideMark/>
          </w:tcPr>
          <w:p w14:paraId="34AEEFA0" w14:textId="77777777" w:rsidR="00280058" w:rsidRPr="00C50D6A" w:rsidRDefault="00280058" w:rsidP="00BB18F6">
            <w:pPr>
              <w:rPr>
                <w:rFonts w:ascii="Georgia" w:hAnsi="Georgia"/>
                <w:b w:val="0"/>
                <w:sz w:val="20"/>
                <w:szCs w:val="20"/>
              </w:rPr>
            </w:pPr>
            <w:r w:rsidRPr="00C50D6A">
              <w:rPr>
                <w:rFonts w:ascii="Georgia" w:hAnsi="Georgia"/>
                <w:sz w:val="20"/>
                <w:szCs w:val="20"/>
              </w:rPr>
              <w:lastRenderedPageBreak/>
              <w:t>Blogų paskolų dalis: 5 %</w:t>
            </w:r>
          </w:p>
        </w:tc>
        <w:tc>
          <w:tcPr>
            <w:tcW w:w="6080" w:type="dxa"/>
            <w:tcBorders>
              <w:top w:val="single" w:sz="6" w:space="0" w:color="C0504D" w:themeColor="accent2"/>
              <w:left w:val="single" w:sz="6" w:space="0" w:color="C0504D" w:themeColor="accent2"/>
              <w:bottom w:val="single" w:sz="6" w:space="0" w:color="C0504D" w:themeColor="accent2"/>
              <w:right w:val="single" w:sz="8" w:space="0" w:color="C0504D" w:themeColor="accent2"/>
            </w:tcBorders>
            <w:hideMark/>
          </w:tcPr>
          <w:p w14:paraId="362B9D73" w14:textId="77777777"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Blogų paskolų dalis buvo nustatyta remiantis ekspertų ir </w:t>
            </w:r>
            <w:r>
              <w:rPr>
                <w:rFonts w:ascii="Georgia" w:hAnsi="Georgia"/>
                <w:sz w:val="20"/>
                <w:szCs w:val="20"/>
              </w:rPr>
              <w:t xml:space="preserve">komercinių </w:t>
            </w:r>
            <w:r w:rsidRPr="00AC3318">
              <w:rPr>
                <w:rFonts w:ascii="Georgia" w:hAnsi="Georgia"/>
                <w:sz w:val="20"/>
                <w:szCs w:val="20"/>
              </w:rPr>
              <w:t>bankų vertinimu ir ji atitinka PwC studijoje nustatytą dydį</w:t>
            </w:r>
          </w:p>
        </w:tc>
      </w:tr>
      <w:tr w:rsidR="00280058" w:rsidRPr="00E649A6" w14:paraId="22BA277D"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right w:val="single" w:sz="6" w:space="0" w:color="C0504D" w:themeColor="accent2"/>
            </w:tcBorders>
            <w:hideMark/>
          </w:tcPr>
          <w:p w14:paraId="48B977B1" w14:textId="77777777" w:rsidR="00280058" w:rsidRPr="00C50D6A" w:rsidRDefault="00280058" w:rsidP="00BB18F6">
            <w:pPr>
              <w:rPr>
                <w:rFonts w:ascii="Georgia" w:hAnsi="Georgia"/>
                <w:b w:val="0"/>
                <w:sz w:val="20"/>
                <w:szCs w:val="20"/>
              </w:rPr>
            </w:pPr>
            <w:r w:rsidRPr="00C50D6A">
              <w:rPr>
                <w:rFonts w:ascii="Georgia" w:hAnsi="Georgia"/>
                <w:sz w:val="20"/>
                <w:szCs w:val="20"/>
              </w:rPr>
              <w:t xml:space="preserve">Vieno šviestuvo pakeitimo vertė: 710 </w:t>
            </w:r>
            <w:r w:rsidRPr="00C50D6A">
              <w:rPr>
                <w:rFonts w:ascii="Georgia" w:hAnsi="Georgia"/>
                <w:bCs w:val="0"/>
                <w:sz w:val="20"/>
                <w:szCs w:val="20"/>
              </w:rPr>
              <w:t>eurų</w:t>
            </w:r>
          </w:p>
        </w:tc>
        <w:tc>
          <w:tcPr>
            <w:tcW w:w="6080" w:type="dxa"/>
            <w:tcBorders>
              <w:top w:val="single" w:sz="6" w:space="0" w:color="C0504D" w:themeColor="accent2"/>
              <w:left w:val="single" w:sz="6" w:space="0" w:color="C0504D" w:themeColor="accent2"/>
            </w:tcBorders>
            <w:hideMark/>
          </w:tcPr>
          <w:p w14:paraId="0E31ACAD" w14:textId="77777777" w:rsidR="00280058" w:rsidRPr="009D771A"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0"/>
              </w:rPr>
            </w:pPr>
            <w:r>
              <w:rPr>
                <w:rFonts w:ascii="Georgia" w:hAnsi="Georgia" w:cs="Georgia"/>
                <w:sz w:val="20"/>
                <w:szCs w:val="20"/>
              </w:rPr>
              <w:t xml:space="preserve">Atsižvelgiant į Vilniaus miesto apšvietimo tinklų modernizavimo techninį projektą bei pasirašytą sutartį su privačiu partneriu, Vilniuje bus renovuota 44000 šviestuvų už 31,28 mln. EUR (108 mln. Lt). Remiantis šiais duomenimis paskaičiuota, kad </w:t>
            </w:r>
            <w:r w:rsidRPr="00AC3318">
              <w:rPr>
                <w:rFonts w:ascii="Georgia" w:hAnsi="Georgia"/>
                <w:bCs/>
                <w:sz w:val="20"/>
                <w:szCs w:val="20"/>
              </w:rPr>
              <w:t xml:space="preserve">vieno šviestuvo vidutinė modernizacijos kaina sieks 710 </w:t>
            </w:r>
            <w:r>
              <w:rPr>
                <w:rFonts w:ascii="Georgia" w:hAnsi="Georgia"/>
                <w:bCs/>
                <w:sz w:val="20"/>
                <w:szCs w:val="20"/>
              </w:rPr>
              <w:t>eurų</w:t>
            </w:r>
            <w:r w:rsidRPr="00AC3318">
              <w:rPr>
                <w:rFonts w:ascii="Georgia" w:hAnsi="Georgia"/>
                <w:bCs/>
                <w:sz w:val="20"/>
                <w:szCs w:val="20"/>
              </w:rPr>
              <w:t xml:space="preserve"> (2451 LTL)</w:t>
            </w:r>
            <w:r>
              <w:rPr>
                <w:rFonts w:ascii="Georgia" w:hAnsi="Georgia"/>
                <w:bCs/>
                <w:sz w:val="20"/>
                <w:szCs w:val="20"/>
              </w:rPr>
              <w:t>.</w:t>
            </w:r>
            <w:r>
              <w:rPr>
                <w:rFonts w:ascii="Georgia" w:hAnsi="Georgia" w:cs="Georgia"/>
                <w:sz w:val="20"/>
                <w:szCs w:val="20"/>
              </w:rPr>
              <w:t xml:space="preserve"> </w:t>
            </w:r>
          </w:p>
        </w:tc>
      </w:tr>
      <w:tr w:rsidR="00280058" w:rsidRPr="00E649A6" w14:paraId="11C44F70" w14:textId="77777777" w:rsidTr="00BB18F6">
        <w:trPr>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left w:val="single" w:sz="8" w:space="0" w:color="C0504D" w:themeColor="accent2"/>
              <w:bottom w:val="nil"/>
              <w:right w:val="single" w:sz="6" w:space="0" w:color="C0504D" w:themeColor="accent2"/>
            </w:tcBorders>
            <w:hideMark/>
          </w:tcPr>
          <w:p w14:paraId="5A89BA8E" w14:textId="77777777" w:rsidR="00280058" w:rsidRPr="00C50D6A" w:rsidRDefault="00280058" w:rsidP="00BB18F6">
            <w:pPr>
              <w:rPr>
                <w:rFonts w:ascii="Georgia" w:hAnsi="Georgia"/>
                <w:b w:val="0"/>
                <w:sz w:val="20"/>
                <w:szCs w:val="20"/>
              </w:rPr>
            </w:pPr>
            <w:r w:rsidRPr="00C50D6A">
              <w:rPr>
                <w:rFonts w:ascii="Georgia" w:hAnsi="Georgia"/>
                <w:sz w:val="20"/>
                <w:szCs w:val="20"/>
              </w:rPr>
              <w:t xml:space="preserve">Investuojamos ESI fondų lėšos į fondą: 14,5 mln. </w:t>
            </w:r>
            <w:r w:rsidRPr="00C50D6A">
              <w:rPr>
                <w:rFonts w:ascii="Georgia" w:hAnsi="Georgia"/>
                <w:bCs w:val="0"/>
                <w:sz w:val="20"/>
                <w:szCs w:val="20"/>
              </w:rPr>
              <w:t>eurų</w:t>
            </w:r>
            <w:r w:rsidRPr="00C50D6A">
              <w:rPr>
                <w:rFonts w:ascii="Georgia" w:hAnsi="Georgia"/>
                <w:sz w:val="20"/>
                <w:szCs w:val="20"/>
              </w:rPr>
              <w:t>.</w:t>
            </w:r>
          </w:p>
        </w:tc>
        <w:tc>
          <w:tcPr>
            <w:tcW w:w="6080" w:type="dxa"/>
            <w:tcBorders>
              <w:top w:val="single" w:sz="6" w:space="0" w:color="C0504D" w:themeColor="accent2"/>
              <w:left w:val="single" w:sz="6" w:space="0" w:color="C0504D" w:themeColor="accent2"/>
              <w:bottom w:val="nil"/>
              <w:right w:val="single" w:sz="8" w:space="0" w:color="C0504D" w:themeColor="accent2"/>
            </w:tcBorders>
            <w:hideMark/>
          </w:tcPr>
          <w:p w14:paraId="70C6B2BF" w14:textId="77777777" w:rsidR="00280058" w:rsidRPr="00AC3318" w:rsidRDefault="00280058" w:rsidP="008903A9">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Daroma prielaida, jog 2014-2020 programavimo periodo, gatvių apšvietimo modernizavimui skirtos lėšos – 1</w:t>
            </w:r>
            <w:r w:rsidR="008903A9">
              <w:rPr>
                <w:rFonts w:ascii="Georgia" w:hAnsi="Georgia"/>
                <w:sz w:val="20"/>
                <w:szCs w:val="20"/>
              </w:rPr>
              <w:t>4,5 mln. eurų- bus nukeiptos gar</w:t>
            </w:r>
            <w:r>
              <w:rPr>
                <w:rFonts w:ascii="Georgia" w:hAnsi="Georgia"/>
                <w:sz w:val="20"/>
                <w:szCs w:val="20"/>
              </w:rPr>
              <w:t>a</w:t>
            </w:r>
            <w:r w:rsidR="008903A9">
              <w:rPr>
                <w:rFonts w:ascii="Georgia" w:hAnsi="Georgia"/>
                <w:sz w:val="20"/>
                <w:szCs w:val="20"/>
              </w:rPr>
              <w:t>nt</w:t>
            </w:r>
            <w:r>
              <w:rPr>
                <w:rFonts w:ascii="Georgia" w:hAnsi="Georgia"/>
                <w:sz w:val="20"/>
                <w:szCs w:val="20"/>
              </w:rPr>
              <w:t>ijų priemonei įgyvendinti.</w:t>
            </w:r>
          </w:p>
        </w:tc>
      </w:tr>
      <w:tr w:rsidR="00280058" w:rsidRPr="00E649A6" w14:paraId="337C7D42"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bottom w:val="nil"/>
              <w:right w:val="single" w:sz="6" w:space="0" w:color="C0504D" w:themeColor="accent2"/>
            </w:tcBorders>
            <w:hideMark/>
          </w:tcPr>
          <w:p w14:paraId="33282D84" w14:textId="77777777" w:rsidR="00280058" w:rsidRPr="00C50D6A" w:rsidRDefault="00280058" w:rsidP="00BB18F6">
            <w:pPr>
              <w:rPr>
                <w:rFonts w:ascii="Georgia" w:hAnsi="Georgia"/>
                <w:b w:val="0"/>
                <w:sz w:val="20"/>
                <w:szCs w:val="20"/>
              </w:rPr>
            </w:pPr>
            <w:r w:rsidRPr="00C50D6A">
              <w:rPr>
                <w:rFonts w:ascii="Georgia" w:hAnsi="Georgia"/>
                <w:sz w:val="20"/>
                <w:szCs w:val="20"/>
              </w:rPr>
              <w:t>Siektinas pakeistų šviestuvų skaičius per metus: 10 000</w:t>
            </w:r>
          </w:p>
        </w:tc>
        <w:tc>
          <w:tcPr>
            <w:tcW w:w="6080" w:type="dxa"/>
            <w:tcBorders>
              <w:top w:val="single" w:sz="6" w:space="0" w:color="C0504D" w:themeColor="accent2"/>
              <w:left w:val="single" w:sz="6" w:space="0" w:color="C0504D" w:themeColor="accent2"/>
              <w:bottom w:val="nil"/>
            </w:tcBorders>
            <w:hideMark/>
          </w:tcPr>
          <w:p w14:paraId="2766F2C7" w14:textId="77777777"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Daroma prielaida, kad per metus butų galima </w:t>
            </w:r>
            <w:r>
              <w:rPr>
                <w:rFonts w:ascii="Georgia" w:hAnsi="Georgia"/>
                <w:sz w:val="20"/>
                <w:szCs w:val="20"/>
              </w:rPr>
              <w:t>atnaujinti</w:t>
            </w:r>
            <w:r w:rsidRPr="00AC3318">
              <w:rPr>
                <w:rFonts w:ascii="Georgia" w:hAnsi="Georgia"/>
                <w:sz w:val="20"/>
                <w:szCs w:val="20"/>
              </w:rPr>
              <w:t xml:space="preserve"> 10 000 šviestuvų </w:t>
            </w:r>
          </w:p>
        </w:tc>
      </w:tr>
      <w:tr w:rsidR="00280058" w:rsidRPr="00E649A6" w14:paraId="2569DAEE" w14:textId="77777777" w:rsidTr="00BB18F6">
        <w:trPr>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bottom w:val="single" w:sz="6" w:space="0" w:color="C0504D" w:themeColor="accent2"/>
              <w:right w:val="single" w:sz="6" w:space="0" w:color="C0504D" w:themeColor="accent2"/>
            </w:tcBorders>
            <w:hideMark/>
          </w:tcPr>
          <w:p w14:paraId="49DE12F6" w14:textId="77777777" w:rsidR="00280058" w:rsidRPr="00C50D6A" w:rsidRDefault="00280058" w:rsidP="00BB18F6">
            <w:pPr>
              <w:rPr>
                <w:rFonts w:ascii="Georgia" w:hAnsi="Georgia"/>
                <w:b w:val="0"/>
                <w:sz w:val="20"/>
                <w:szCs w:val="20"/>
              </w:rPr>
            </w:pPr>
            <w:r w:rsidRPr="00C50D6A">
              <w:rPr>
                <w:rFonts w:ascii="Georgia" w:hAnsi="Georgia"/>
                <w:sz w:val="20"/>
                <w:szCs w:val="20"/>
              </w:rPr>
              <w:t>Bankų palūkanos garantijos priemonės atveju: 7 %</w:t>
            </w:r>
          </w:p>
        </w:tc>
        <w:tc>
          <w:tcPr>
            <w:tcW w:w="6080" w:type="dxa"/>
            <w:tcBorders>
              <w:top w:val="single" w:sz="6" w:space="0" w:color="C0504D" w:themeColor="accent2"/>
              <w:left w:val="single" w:sz="6" w:space="0" w:color="C0504D" w:themeColor="accent2"/>
              <w:bottom w:val="single" w:sz="6" w:space="0" w:color="C0504D" w:themeColor="accent2"/>
            </w:tcBorders>
            <w:hideMark/>
          </w:tcPr>
          <w:p w14:paraId="678A33DE" w14:textId="77777777"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Tais atvejais kai bankui reikės išmokėti garantijas už blogas paskolas, numatoma, jog į išmokas turės būti įskaičiuotos palūkanos. Šiame scenarijuje daroma prielaida, jog, garantijų priemonės atveju, komercinių bankų f</w:t>
            </w:r>
            <w:r w:rsidRPr="00AC3318">
              <w:rPr>
                <w:rFonts w:ascii="Georgia" w:hAnsi="Georgia"/>
                <w:sz w:val="20"/>
                <w:szCs w:val="20"/>
              </w:rPr>
              <w:t>iksuot</w:t>
            </w:r>
            <w:r>
              <w:rPr>
                <w:rFonts w:ascii="Georgia" w:hAnsi="Georgia"/>
                <w:sz w:val="20"/>
                <w:szCs w:val="20"/>
              </w:rPr>
              <w:t>a</w:t>
            </w:r>
            <w:r w:rsidRPr="00AC3318">
              <w:rPr>
                <w:rFonts w:ascii="Georgia" w:hAnsi="Georgia"/>
                <w:sz w:val="20"/>
                <w:szCs w:val="20"/>
              </w:rPr>
              <w:t xml:space="preserve"> palūkan</w:t>
            </w:r>
            <w:r>
              <w:rPr>
                <w:rFonts w:ascii="Georgia" w:hAnsi="Georgia"/>
                <w:sz w:val="20"/>
                <w:szCs w:val="20"/>
              </w:rPr>
              <w:t>ų norma</w:t>
            </w:r>
            <w:r w:rsidRPr="00AC3318">
              <w:rPr>
                <w:rFonts w:ascii="Georgia" w:hAnsi="Georgia"/>
                <w:sz w:val="20"/>
                <w:szCs w:val="20"/>
              </w:rPr>
              <w:t xml:space="preserve"> jų išduot</w:t>
            </w:r>
            <w:r>
              <w:rPr>
                <w:rFonts w:ascii="Georgia" w:hAnsi="Georgia"/>
                <w:sz w:val="20"/>
                <w:szCs w:val="20"/>
              </w:rPr>
              <w:t>oms</w:t>
            </w:r>
            <w:r w:rsidRPr="00AC3318">
              <w:rPr>
                <w:rFonts w:ascii="Georgia" w:hAnsi="Georgia"/>
                <w:sz w:val="20"/>
                <w:szCs w:val="20"/>
              </w:rPr>
              <w:t xml:space="preserve"> paskol</w:t>
            </w:r>
            <w:r>
              <w:rPr>
                <w:rFonts w:ascii="Georgia" w:hAnsi="Georgia"/>
                <w:sz w:val="20"/>
                <w:szCs w:val="20"/>
              </w:rPr>
              <w:t>oms (20-ies metų laikotarpiui)</w:t>
            </w:r>
            <w:r w:rsidRPr="00AC3318">
              <w:rPr>
                <w:rFonts w:ascii="Georgia" w:hAnsi="Georgia"/>
                <w:sz w:val="20"/>
                <w:szCs w:val="20"/>
              </w:rPr>
              <w:t xml:space="preserve"> sudarys 7 proc. Šios palūkanos paskaičiuotos remiantis šių rezultatų suma:</w:t>
            </w:r>
          </w:p>
          <w:p w14:paraId="3BF4B6F2" w14:textId="77777777"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1) Prognozuojamas suderintas vartotojų kainų indeks</w:t>
            </w:r>
            <w:r>
              <w:rPr>
                <w:rFonts w:ascii="Georgia" w:hAnsi="Georgia"/>
                <w:sz w:val="20"/>
                <w:szCs w:val="20"/>
              </w:rPr>
              <w:t>o</w:t>
            </w:r>
            <w:r w:rsidRPr="00AC3318">
              <w:rPr>
                <w:rFonts w:ascii="Georgia" w:hAnsi="Georgia"/>
                <w:sz w:val="20"/>
                <w:szCs w:val="20"/>
              </w:rPr>
              <w:t xml:space="preserve"> (SVKI) vidurkis Lietuvoje 2013-201</w:t>
            </w:r>
            <w:r>
              <w:rPr>
                <w:rFonts w:ascii="Georgia" w:hAnsi="Georgia"/>
                <w:sz w:val="20"/>
                <w:szCs w:val="20"/>
                <w:lang w:val="en-US"/>
              </w:rPr>
              <w:t>7</w:t>
            </w:r>
            <w:r w:rsidRPr="00AC3318">
              <w:rPr>
                <w:rFonts w:ascii="Georgia" w:hAnsi="Georgia"/>
                <w:sz w:val="20"/>
                <w:szCs w:val="20"/>
              </w:rPr>
              <w:t xml:space="preserve"> (</w:t>
            </w:r>
            <w:r>
              <w:rPr>
                <w:rFonts w:ascii="Georgia" w:hAnsi="Georgia"/>
                <w:sz w:val="20"/>
                <w:szCs w:val="20"/>
              </w:rPr>
              <w:t>2,9</w:t>
            </w:r>
            <w:r w:rsidRPr="00AC3318">
              <w:rPr>
                <w:rFonts w:ascii="Georgia" w:hAnsi="Georgia"/>
                <w:sz w:val="20"/>
                <w:szCs w:val="20"/>
              </w:rPr>
              <w:t xml:space="preserve">%); </w:t>
            </w:r>
          </w:p>
          <w:p w14:paraId="361B3FF3" w14:textId="77777777"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2) Lietuvos </w:t>
            </w:r>
            <w:r>
              <w:rPr>
                <w:rFonts w:ascii="Georgia" w:hAnsi="Georgia"/>
                <w:sz w:val="20"/>
                <w:szCs w:val="20"/>
              </w:rPr>
              <w:t xml:space="preserve">Respublikos </w:t>
            </w:r>
            <w:r w:rsidRPr="00AC3318">
              <w:rPr>
                <w:rFonts w:ascii="Georgia" w:hAnsi="Georgia"/>
                <w:sz w:val="20"/>
                <w:szCs w:val="20"/>
              </w:rPr>
              <w:t>Vyriausybė</w:t>
            </w:r>
            <w:r>
              <w:rPr>
                <w:rFonts w:ascii="Georgia" w:hAnsi="Georgia"/>
                <w:sz w:val="20"/>
                <w:szCs w:val="20"/>
              </w:rPr>
              <w:t>s</w:t>
            </w:r>
            <w:r w:rsidRPr="00AC3318">
              <w:rPr>
                <w:rFonts w:ascii="Georgia" w:hAnsi="Georgia"/>
                <w:sz w:val="20"/>
                <w:szCs w:val="20"/>
              </w:rPr>
              <w:t xml:space="preserve"> obligacijų emisijos </w:t>
            </w:r>
            <w:r w:rsidRPr="00B76C82">
              <w:rPr>
                <w:rFonts w:ascii="Georgia" w:hAnsi="Georgia"/>
                <w:sz w:val="20"/>
                <w:szCs w:val="20"/>
              </w:rPr>
              <w:t>(</w:t>
            </w:r>
            <w:r>
              <w:rPr>
                <w:rFonts w:ascii="Georgia" w:hAnsi="Georgia"/>
                <w:sz w:val="20"/>
                <w:szCs w:val="20"/>
              </w:rPr>
              <w:t>2536 dienų trukmės) palūkanos 2014 rugsėjo mėnesį (2,0%)</w:t>
            </w:r>
            <w:r w:rsidRPr="00AC3318">
              <w:rPr>
                <w:rFonts w:ascii="Georgia" w:hAnsi="Georgia"/>
                <w:sz w:val="20"/>
                <w:szCs w:val="20"/>
              </w:rPr>
              <w:t xml:space="preserve">; </w:t>
            </w:r>
          </w:p>
          <w:p w14:paraId="4E71258B" w14:textId="77777777" w:rsidR="0028005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3) Galima komercinių bankų marža (2,1%).</w:t>
            </w:r>
          </w:p>
          <w:p w14:paraId="65BA1E49" w14:textId="77777777" w:rsidR="0028005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Šių palūkanų skaičiavimo metodika taip pat atitinka PwC studijoje naudotą metodiką.</w:t>
            </w:r>
          </w:p>
          <w:p w14:paraId="3028B9BA" w14:textId="77777777"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 xml:space="preserve">Pokalbių su bankais metu paminėta, jog vertinant įvairias rizikas, ilgalaikėms paskoloms (20 metų) preliminariai galėtų būti taikomos nuo </w:t>
            </w:r>
            <w:r>
              <w:rPr>
                <w:rFonts w:ascii="Georgia" w:hAnsi="Georgia"/>
                <w:sz w:val="20"/>
                <w:szCs w:val="20"/>
                <w:lang w:val="en-US"/>
              </w:rPr>
              <w:t xml:space="preserve">7 </w:t>
            </w:r>
            <w:r w:rsidRPr="008903A9">
              <w:rPr>
                <w:rFonts w:ascii="Georgia" w:hAnsi="Georgia"/>
                <w:sz w:val="20"/>
                <w:szCs w:val="20"/>
              </w:rPr>
              <w:t>iki</w:t>
            </w:r>
            <w:r>
              <w:rPr>
                <w:rFonts w:ascii="Georgia" w:hAnsi="Georgia"/>
                <w:sz w:val="20"/>
                <w:szCs w:val="20"/>
                <w:lang w:val="en-US"/>
              </w:rPr>
              <w:t xml:space="preserve"> 10 proc. pal</w:t>
            </w:r>
            <w:r>
              <w:rPr>
                <w:rFonts w:ascii="Georgia" w:hAnsi="Georgia"/>
                <w:sz w:val="20"/>
                <w:szCs w:val="20"/>
              </w:rPr>
              <w:t>ūkanų normos.</w:t>
            </w:r>
          </w:p>
        </w:tc>
      </w:tr>
      <w:tr w:rsidR="00280058" w:rsidRPr="00E649A6" w14:paraId="668A76EE"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bottom w:val="single" w:sz="6" w:space="0" w:color="C0504D" w:themeColor="accent2"/>
              <w:right w:val="single" w:sz="6" w:space="0" w:color="C0504D" w:themeColor="accent2"/>
            </w:tcBorders>
            <w:hideMark/>
          </w:tcPr>
          <w:p w14:paraId="6900A570" w14:textId="77777777" w:rsidR="00280058" w:rsidRPr="00C50D6A" w:rsidRDefault="00280058" w:rsidP="00BB18F6">
            <w:pPr>
              <w:rPr>
                <w:rFonts w:ascii="Georgia" w:hAnsi="Georgia"/>
                <w:sz w:val="20"/>
                <w:szCs w:val="20"/>
              </w:rPr>
            </w:pPr>
            <w:r w:rsidRPr="00C50D6A">
              <w:rPr>
                <w:rFonts w:ascii="Georgia" w:hAnsi="Georgia"/>
                <w:sz w:val="20"/>
                <w:szCs w:val="20"/>
              </w:rPr>
              <w:t>Fonde rezervuojamos lėšos garantijų įsipareigojimų vykdymui: 20 %</w:t>
            </w:r>
          </w:p>
        </w:tc>
        <w:tc>
          <w:tcPr>
            <w:tcW w:w="6080" w:type="dxa"/>
            <w:tcBorders>
              <w:top w:val="single" w:sz="6" w:space="0" w:color="C0504D" w:themeColor="accent2"/>
              <w:left w:val="single" w:sz="6" w:space="0" w:color="C0504D" w:themeColor="accent2"/>
              <w:bottom w:val="single" w:sz="6" w:space="0" w:color="C0504D" w:themeColor="accent2"/>
            </w:tcBorders>
            <w:hideMark/>
          </w:tcPr>
          <w:p w14:paraId="58D7B6BE" w14:textId="77777777"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Fondo garantiniams įsipareigojimams vykdyti r</w:t>
            </w:r>
            <w:r w:rsidRPr="00AC3318">
              <w:rPr>
                <w:rFonts w:ascii="Georgia" w:hAnsi="Georgia"/>
                <w:sz w:val="20"/>
                <w:szCs w:val="20"/>
              </w:rPr>
              <w:t>ezervuojama 20 %</w:t>
            </w:r>
            <w:r>
              <w:rPr>
                <w:rFonts w:ascii="Georgia" w:hAnsi="Georgia"/>
                <w:sz w:val="20"/>
                <w:szCs w:val="20"/>
              </w:rPr>
              <w:t xml:space="preserve"> lėšų</w:t>
            </w:r>
            <w:r w:rsidRPr="00AC3318">
              <w:rPr>
                <w:rFonts w:ascii="Georgia" w:hAnsi="Georgia"/>
                <w:sz w:val="20"/>
                <w:szCs w:val="20"/>
              </w:rPr>
              <w:t xml:space="preserve">, </w:t>
            </w:r>
            <w:r>
              <w:rPr>
                <w:rFonts w:ascii="Georgia" w:hAnsi="Georgia"/>
                <w:sz w:val="20"/>
                <w:szCs w:val="20"/>
              </w:rPr>
              <w:t>tačiau</w:t>
            </w:r>
            <w:r w:rsidRPr="00AC3318">
              <w:rPr>
                <w:rFonts w:ascii="Georgia" w:hAnsi="Georgia"/>
                <w:sz w:val="20"/>
                <w:szCs w:val="20"/>
              </w:rPr>
              <w:t xml:space="preserve"> model</w:t>
            </w:r>
            <w:r>
              <w:rPr>
                <w:rFonts w:ascii="Georgia" w:hAnsi="Georgia"/>
                <w:sz w:val="20"/>
                <w:szCs w:val="20"/>
              </w:rPr>
              <w:t>iuojant scenarijų,</w:t>
            </w:r>
            <w:r w:rsidRPr="00AC3318">
              <w:rPr>
                <w:rFonts w:ascii="Georgia" w:hAnsi="Georgia"/>
                <w:sz w:val="20"/>
                <w:szCs w:val="20"/>
              </w:rPr>
              <w:t xml:space="preserve">  skaičiuojama</w:t>
            </w:r>
            <w:r>
              <w:rPr>
                <w:rFonts w:ascii="Georgia" w:hAnsi="Georgia"/>
                <w:sz w:val="20"/>
                <w:szCs w:val="20"/>
              </w:rPr>
              <w:t xml:space="preserve"> jog</w:t>
            </w:r>
            <w:r w:rsidRPr="00AC3318">
              <w:rPr>
                <w:rFonts w:ascii="Georgia" w:hAnsi="Georgia"/>
                <w:sz w:val="20"/>
                <w:szCs w:val="20"/>
              </w:rPr>
              <w:t xml:space="preserve"> tikėtina praradimų dalis 5%, kuri paremta ekspertiniu ir </w:t>
            </w:r>
            <w:r>
              <w:rPr>
                <w:rFonts w:ascii="Georgia" w:hAnsi="Georgia"/>
                <w:sz w:val="20"/>
                <w:szCs w:val="20"/>
              </w:rPr>
              <w:t xml:space="preserve">komercinių </w:t>
            </w:r>
            <w:r w:rsidRPr="00AC3318">
              <w:rPr>
                <w:rFonts w:ascii="Georgia" w:hAnsi="Georgia"/>
                <w:sz w:val="20"/>
                <w:szCs w:val="20"/>
              </w:rPr>
              <w:t>bankų vertinimu, bei atitinka PwC studijos prielaidas.</w:t>
            </w:r>
          </w:p>
        </w:tc>
      </w:tr>
      <w:tr w:rsidR="00280058" w:rsidRPr="00E649A6" w14:paraId="6C5A7857" w14:textId="77777777" w:rsidTr="00BB18F6">
        <w:trPr>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bottom w:val="single" w:sz="6" w:space="0" w:color="C0504D" w:themeColor="accent2"/>
              <w:right w:val="single" w:sz="6" w:space="0" w:color="C0504D" w:themeColor="accent2"/>
            </w:tcBorders>
          </w:tcPr>
          <w:p w14:paraId="6901757B" w14:textId="77777777" w:rsidR="00280058" w:rsidRPr="00C50D6A" w:rsidRDefault="00280058" w:rsidP="00BB18F6">
            <w:pPr>
              <w:rPr>
                <w:rFonts w:ascii="Georgia" w:hAnsi="Georgia"/>
                <w:sz w:val="20"/>
                <w:szCs w:val="20"/>
              </w:rPr>
            </w:pPr>
            <w:r w:rsidRPr="00C50D6A">
              <w:rPr>
                <w:rFonts w:ascii="Georgia" w:hAnsi="Georgia"/>
                <w:sz w:val="20"/>
              </w:rPr>
              <w:t>Finansinės priemonės administravimo išlaidos: remiantis Deleguoto reglamento nuostatomis</w:t>
            </w:r>
          </w:p>
        </w:tc>
        <w:tc>
          <w:tcPr>
            <w:tcW w:w="6080" w:type="dxa"/>
            <w:tcBorders>
              <w:top w:val="single" w:sz="6" w:space="0" w:color="C0504D" w:themeColor="accent2"/>
              <w:left w:val="single" w:sz="6" w:space="0" w:color="C0504D" w:themeColor="accent2"/>
              <w:bottom w:val="single" w:sz="6" w:space="0" w:color="C0504D" w:themeColor="accent2"/>
            </w:tcBorders>
          </w:tcPr>
          <w:p w14:paraId="7804D489" w14:textId="349999C1" w:rsidR="00280058" w:rsidRPr="00AC3318" w:rsidRDefault="00280058" w:rsidP="009647A2">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rPr>
              <w:t>Garantijų finansinei priemonei numatoma, kad administracinės išlaidos bus sudarytos iš dviejų dalių (remiantis Deleguoto reglamento nuostatomis) ir sudarys 1,5 proc. n</w:t>
            </w:r>
            <w:r w:rsidRPr="00A445EE">
              <w:rPr>
                <w:rFonts w:ascii="Georgia" w:hAnsi="Georgia"/>
                <w:sz w:val="20"/>
              </w:rPr>
              <w:t xml:space="preserve">uo sumų išmokėtų </w:t>
            </w:r>
            <w:r>
              <w:rPr>
                <w:rFonts w:ascii="Georgia" w:hAnsi="Georgia"/>
                <w:sz w:val="20"/>
              </w:rPr>
              <w:t xml:space="preserve">galutiniams </w:t>
            </w:r>
            <w:r w:rsidRPr="00A445EE">
              <w:rPr>
                <w:rFonts w:ascii="Georgia" w:hAnsi="Georgia"/>
                <w:sz w:val="20"/>
              </w:rPr>
              <w:t>naudos gavėjams</w:t>
            </w:r>
            <w:r>
              <w:rPr>
                <w:rFonts w:ascii="Georgia" w:hAnsi="Georgia"/>
                <w:sz w:val="20"/>
              </w:rPr>
              <w:t xml:space="preserve"> ir 0,5 proc. n</w:t>
            </w:r>
            <w:r w:rsidRPr="00A445EE">
              <w:rPr>
                <w:rFonts w:ascii="Georgia" w:hAnsi="Georgia"/>
                <w:sz w:val="20"/>
              </w:rPr>
              <w:t xml:space="preserve">uo finansinei priemonei </w:t>
            </w:r>
            <w:r>
              <w:rPr>
                <w:rFonts w:ascii="Georgia" w:hAnsi="Georgia"/>
                <w:sz w:val="20"/>
              </w:rPr>
              <w:t>įmokėtų į sumų.</w:t>
            </w:r>
          </w:p>
        </w:tc>
      </w:tr>
      <w:tr w:rsidR="00280058" w:rsidRPr="00E649A6" w14:paraId="49B6B41A"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2" w:type="dxa"/>
            <w:tcBorders>
              <w:top w:val="single" w:sz="6" w:space="0" w:color="C0504D" w:themeColor="accent2"/>
              <w:bottom w:val="single" w:sz="6" w:space="0" w:color="C0504D" w:themeColor="accent2"/>
              <w:right w:val="single" w:sz="6" w:space="0" w:color="C0504D" w:themeColor="accent2"/>
            </w:tcBorders>
            <w:hideMark/>
          </w:tcPr>
          <w:p w14:paraId="65C78316" w14:textId="77777777" w:rsidR="00280058" w:rsidRPr="00C50D6A" w:rsidRDefault="00280058" w:rsidP="00BB18F6">
            <w:pPr>
              <w:rPr>
                <w:rFonts w:ascii="Georgia" w:hAnsi="Georgia"/>
                <w:b w:val="0"/>
                <w:sz w:val="20"/>
                <w:szCs w:val="20"/>
              </w:rPr>
            </w:pPr>
            <w:r w:rsidRPr="00C50D6A">
              <w:rPr>
                <w:rFonts w:ascii="Georgia" w:hAnsi="Georgia"/>
                <w:sz w:val="20"/>
                <w:szCs w:val="20"/>
              </w:rPr>
              <w:t xml:space="preserve">Projekto įgyvendinimo laikotarpis: 1 metai </w:t>
            </w:r>
          </w:p>
        </w:tc>
        <w:tc>
          <w:tcPr>
            <w:tcW w:w="6080" w:type="dxa"/>
            <w:tcBorders>
              <w:top w:val="single" w:sz="6" w:space="0" w:color="C0504D" w:themeColor="accent2"/>
              <w:left w:val="single" w:sz="6" w:space="0" w:color="C0504D" w:themeColor="accent2"/>
              <w:bottom w:val="single" w:sz="6" w:space="0" w:color="C0504D" w:themeColor="accent2"/>
            </w:tcBorders>
            <w:hideMark/>
          </w:tcPr>
          <w:p w14:paraId="31FCC8F9" w14:textId="77777777"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Daroma prielaida, jog 10000 šviestuvų modernizavimo laikas yra 1 metai nuo paskolos sutarties pasirašymo momento.</w:t>
            </w:r>
          </w:p>
        </w:tc>
      </w:tr>
    </w:tbl>
    <w:p w14:paraId="01281367" w14:textId="77777777" w:rsidR="00280058" w:rsidRPr="00AC3318" w:rsidRDefault="00280058" w:rsidP="00280058">
      <w:pPr>
        <w:rPr>
          <w:rFonts w:ascii="Georgia" w:hAnsi="Georgia"/>
          <w:sz w:val="20"/>
          <w:szCs w:val="20"/>
          <w:lang w:val="lt-LT"/>
        </w:rPr>
      </w:pPr>
    </w:p>
    <w:p w14:paraId="797D149B" w14:textId="0D902E2E" w:rsidR="00280058" w:rsidRPr="00C205F4" w:rsidRDefault="00280058" w:rsidP="00280058">
      <w:pPr>
        <w:pStyle w:val="Antrat"/>
        <w:rPr>
          <w:szCs w:val="20"/>
          <w:lang w:val="lt-LT"/>
        </w:rPr>
      </w:pPr>
      <w:bookmarkStart w:id="251" w:name="_Toc460321715"/>
      <w:r w:rsidRPr="00427EE8">
        <w:rPr>
          <w:lang w:val="lt-LT"/>
        </w:rPr>
        <w:lastRenderedPageBreak/>
        <w:t xml:space="preserve">Lentelė </w:t>
      </w:r>
      <w:r w:rsidRPr="00427EE8">
        <w:rPr>
          <w:lang w:val="lt-LT"/>
        </w:rPr>
        <w:fldChar w:fldCharType="begin"/>
      </w:r>
      <w:r w:rsidRPr="00427EE8">
        <w:rPr>
          <w:lang w:val="lt-LT"/>
        </w:rPr>
        <w:instrText xml:space="preserve"> SEQ Lentelė \* ARABIC </w:instrText>
      </w:r>
      <w:r w:rsidRPr="00427EE8">
        <w:rPr>
          <w:lang w:val="lt-LT"/>
        </w:rPr>
        <w:fldChar w:fldCharType="separate"/>
      </w:r>
      <w:r w:rsidR="00AA3082">
        <w:rPr>
          <w:noProof/>
          <w:lang w:val="lt-LT"/>
        </w:rPr>
        <w:t>134</w:t>
      </w:r>
      <w:r w:rsidRPr="00427EE8">
        <w:rPr>
          <w:lang w:val="lt-LT"/>
        </w:rPr>
        <w:fldChar w:fldCharType="end"/>
      </w:r>
      <w:r w:rsidRPr="00427EE8">
        <w:rPr>
          <w:lang w:val="lt-LT"/>
        </w:rPr>
        <w:t xml:space="preserve">. </w:t>
      </w:r>
      <w:r w:rsidRPr="002B70C1">
        <w:rPr>
          <w:lang w:val="lt-LT"/>
        </w:rPr>
        <w:t xml:space="preserve">Scenarijaus Nr. 5 </w:t>
      </w:r>
      <w:r w:rsidRPr="002B70C1">
        <w:rPr>
          <w:szCs w:val="20"/>
          <w:lang w:val="lt-LT"/>
        </w:rPr>
        <w:t>garantijų priemonė</w:t>
      </w:r>
      <w:r w:rsidRPr="00C205F4">
        <w:rPr>
          <w:szCs w:val="20"/>
          <w:lang w:val="lt-LT"/>
        </w:rPr>
        <w:t>s įgyvendinimo prognozė</w:t>
      </w:r>
      <w:bookmarkEnd w:id="251"/>
    </w:p>
    <w:p w14:paraId="4E8C755F" w14:textId="77777777" w:rsidR="00280058" w:rsidRDefault="00280058" w:rsidP="00280058">
      <w:pPr>
        <w:rPr>
          <w:lang w:val="lt-LT"/>
        </w:rPr>
      </w:pPr>
      <w:r>
        <w:rPr>
          <w:noProof/>
          <w:lang w:val="lt-LT" w:eastAsia="lt-LT"/>
        </w:rPr>
        <w:drawing>
          <wp:inline distT="0" distB="0" distL="0" distR="0" wp14:anchorId="41D5305B" wp14:editId="2AACE16F">
            <wp:extent cx="6115050" cy="2505075"/>
            <wp:effectExtent l="0" t="0" r="0" b="9525"/>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pic:cNvPicPr>
                      <a:picLocks noChangeAspect="1"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6115050" cy="2505075"/>
                    </a:xfrm>
                    <a:prstGeom prst="rect">
                      <a:avLst/>
                    </a:prstGeom>
                    <a:noFill/>
                    <a:ln>
                      <a:noFill/>
                    </a:ln>
                  </pic:spPr>
                </pic:pic>
              </a:graphicData>
            </a:graphic>
          </wp:inline>
        </w:drawing>
      </w:r>
    </w:p>
    <w:p w14:paraId="7D7F94A6" w14:textId="13172DC6" w:rsidR="00280058" w:rsidRPr="002B70C1" w:rsidRDefault="00280058" w:rsidP="00280058">
      <w:pPr>
        <w:pStyle w:val="Antrat"/>
        <w:rPr>
          <w:szCs w:val="20"/>
          <w:lang w:val="lt-LT"/>
        </w:rPr>
      </w:pPr>
      <w:r w:rsidRPr="002B70C1" w:rsidDel="0052340A">
        <w:rPr>
          <w:noProof/>
          <w:szCs w:val="20"/>
          <w:lang w:val="lt-LT" w:eastAsia="lt-LT"/>
        </w:rPr>
        <w:t xml:space="preserve"> </w:t>
      </w:r>
      <w:bookmarkStart w:id="252" w:name="_Toc460321716"/>
      <w:r w:rsidRPr="00427EE8">
        <w:rPr>
          <w:lang w:val="lt-LT"/>
        </w:rPr>
        <w:t xml:space="preserve">Lentelė </w:t>
      </w:r>
      <w:r w:rsidRPr="00427EE8">
        <w:rPr>
          <w:lang w:val="lt-LT"/>
        </w:rPr>
        <w:fldChar w:fldCharType="begin"/>
      </w:r>
      <w:r w:rsidRPr="00427EE8">
        <w:rPr>
          <w:lang w:val="lt-LT"/>
        </w:rPr>
        <w:instrText xml:space="preserve"> SEQ Lentelė \* ARABIC </w:instrText>
      </w:r>
      <w:r w:rsidRPr="00427EE8">
        <w:rPr>
          <w:lang w:val="lt-LT"/>
        </w:rPr>
        <w:fldChar w:fldCharType="separate"/>
      </w:r>
      <w:r w:rsidR="00AA3082">
        <w:rPr>
          <w:noProof/>
          <w:lang w:val="lt-LT"/>
        </w:rPr>
        <w:t>135</w:t>
      </w:r>
      <w:r w:rsidRPr="00427EE8">
        <w:rPr>
          <w:lang w:val="lt-LT"/>
        </w:rPr>
        <w:fldChar w:fldCharType="end"/>
      </w:r>
      <w:r w:rsidRPr="00427EE8">
        <w:rPr>
          <w:lang w:val="lt-LT"/>
        </w:rPr>
        <w:t xml:space="preserve">. </w:t>
      </w:r>
      <w:r w:rsidRPr="002B70C1">
        <w:rPr>
          <w:lang w:val="lt-LT"/>
        </w:rPr>
        <w:t>Scenarijaus Nr. 5 rezultatai</w:t>
      </w:r>
      <w:bookmarkEnd w:id="252"/>
    </w:p>
    <w:tbl>
      <w:tblPr>
        <w:tblStyle w:val="viesussraas2parykinimas"/>
        <w:tblW w:w="5000" w:type="pct"/>
        <w:tblLook w:val="04A0" w:firstRow="1" w:lastRow="0" w:firstColumn="1" w:lastColumn="0" w:noHBand="0" w:noVBand="1"/>
      </w:tblPr>
      <w:tblGrid>
        <w:gridCol w:w="6630"/>
        <w:gridCol w:w="2612"/>
      </w:tblGrid>
      <w:tr w:rsidR="00280058" w:rsidRPr="00E649A6" w14:paraId="7861F8CC" w14:textId="77777777" w:rsidTr="008903A9">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87" w:type="pct"/>
            <w:tcBorders>
              <w:top w:val="single" w:sz="8" w:space="0" w:color="C0504D" w:themeColor="accent2"/>
              <w:left w:val="single" w:sz="8" w:space="0" w:color="C0504D" w:themeColor="accent2"/>
              <w:bottom w:val="nil"/>
              <w:right w:val="nil"/>
            </w:tcBorders>
            <w:hideMark/>
          </w:tcPr>
          <w:p w14:paraId="2276AE06" w14:textId="77777777" w:rsidR="00280058" w:rsidRPr="00AC3318" w:rsidRDefault="00280058" w:rsidP="00BB18F6">
            <w:pPr>
              <w:jc w:val="center"/>
              <w:rPr>
                <w:rFonts w:ascii="Georgia" w:hAnsi="Georgia"/>
                <w:sz w:val="20"/>
                <w:szCs w:val="20"/>
              </w:rPr>
            </w:pPr>
            <w:r w:rsidRPr="00AC3318">
              <w:rPr>
                <w:rFonts w:ascii="Georgia" w:hAnsi="Georgia"/>
                <w:sz w:val="20"/>
                <w:szCs w:val="20"/>
              </w:rPr>
              <w:t>Fondas</w:t>
            </w:r>
          </w:p>
        </w:tc>
        <w:tc>
          <w:tcPr>
            <w:tcW w:w="1413" w:type="pct"/>
            <w:tcBorders>
              <w:top w:val="single" w:sz="8" w:space="0" w:color="C0504D" w:themeColor="accent2"/>
              <w:left w:val="nil"/>
              <w:bottom w:val="nil"/>
              <w:right w:val="single" w:sz="8" w:space="0" w:color="C0504D" w:themeColor="accent2"/>
            </w:tcBorders>
            <w:hideMark/>
          </w:tcPr>
          <w:p w14:paraId="3DFEF0A0" w14:textId="77777777" w:rsidR="00280058" w:rsidRPr="00AC3318" w:rsidRDefault="00280058" w:rsidP="00BB18F6">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mln. </w:t>
            </w:r>
            <w:r>
              <w:rPr>
                <w:rFonts w:ascii="Georgia" w:hAnsi="Georgia"/>
                <w:bCs w:val="0"/>
                <w:sz w:val="20"/>
                <w:szCs w:val="20"/>
              </w:rPr>
              <w:t>eurų</w:t>
            </w:r>
          </w:p>
        </w:tc>
      </w:tr>
      <w:tr w:rsidR="00280058" w:rsidRPr="00E649A6" w14:paraId="305D7916" w14:textId="77777777" w:rsidTr="008903A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87" w:type="pct"/>
            <w:tcBorders>
              <w:right w:val="nil"/>
            </w:tcBorders>
            <w:hideMark/>
          </w:tcPr>
          <w:p w14:paraId="61929FAC" w14:textId="77777777" w:rsidR="00280058" w:rsidRPr="00AC3318" w:rsidRDefault="00280058" w:rsidP="00BB18F6">
            <w:pPr>
              <w:rPr>
                <w:rFonts w:ascii="Georgia" w:hAnsi="Georgia"/>
                <w:sz w:val="20"/>
                <w:szCs w:val="20"/>
              </w:rPr>
            </w:pPr>
            <w:r w:rsidRPr="00AC3318">
              <w:rPr>
                <w:rFonts w:ascii="Georgia" w:hAnsi="Georgia"/>
                <w:sz w:val="20"/>
                <w:szCs w:val="20"/>
              </w:rPr>
              <w:t>Galutinius naudos gavėjus pasiekusios lėšos</w:t>
            </w:r>
          </w:p>
        </w:tc>
        <w:tc>
          <w:tcPr>
            <w:tcW w:w="1413" w:type="pct"/>
            <w:tcBorders>
              <w:left w:val="nil"/>
            </w:tcBorders>
            <w:hideMark/>
          </w:tcPr>
          <w:p w14:paraId="5104632C" w14:textId="77777777" w:rsidR="00280058" w:rsidRPr="00AC3318" w:rsidRDefault="00280058"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40,9</w:t>
            </w:r>
          </w:p>
        </w:tc>
      </w:tr>
      <w:tr w:rsidR="00280058" w:rsidRPr="00E649A6" w14:paraId="577E1BB8" w14:textId="77777777" w:rsidTr="008903A9">
        <w:trPr>
          <w:trHeight w:val="266"/>
        </w:trPr>
        <w:tc>
          <w:tcPr>
            <w:cnfStyle w:val="001000000000" w:firstRow="0" w:lastRow="0" w:firstColumn="1" w:lastColumn="0" w:oddVBand="0" w:evenVBand="0" w:oddHBand="0" w:evenHBand="0" w:firstRowFirstColumn="0" w:firstRowLastColumn="0" w:lastRowFirstColumn="0" w:lastRowLastColumn="0"/>
            <w:tcW w:w="3587" w:type="pct"/>
            <w:tcBorders>
              <w:right w:val="nil"/>
            </w:tcBorders>
            <w:hideMark/>
          </w:tcPr>
          <w:p w14:paraId="0CFAFC44" w14:textId="77777777" w:rsidR="00280058" w:rsidRPr="00AC3318" w:rsidRDefault="00280058" w:rsidP="00BB18F6">
            <w:pPr>
              <w:rPr>
                <w:rFonts w:ascii="Georgia" w:hAnsi="Georgia"/>
                <w:sz w:val="20"/>
                <w:szCs w:val="20"/>
              </w:rPr>
            </w:pPr>
            <w:r w:rsidRPr="00AC3318">
              <w:rPr>
                <w:rFonts w:ascii="Georgia" w:hAnsi="Georgia"/>
                <w:sz w:val="20"/>
                <w:szCs w:val="20"/>
              </w:rPr>
              <w:t>Renovuotų šviestuvų skaičius</w:t>
            </w:r>
          </w:p>
        </w:tc>
        <w:tc>
          <w:tcPr>
            <w:tcW w:w="1413" w:type="pct"/>
            <w:tcBorders>
              <w:left w:val="nil"/>
            </w:tcBorders>
            <w:hideMark/>
          </w:tcPr>
          <w:p w14:paraId="13AC63D2" w14:textId="77777777" w:rsidR="00280058" w:rsidRPr="00AC3318" w:rsidRDefault="00280058" w:rsidP="00BB18F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57600</w:t>
            </w:r>
          </w:p>
        </w:tc>
      </w:tr>
    </w:tbl>
    <w:p w14:paraId="1BFA5709" w14:textId="77777777" w:rsidR="00280058" w:rsidRDefault="00280058" w:rsidP="00280058">
      <w:pPr>
        <w:rPr>
          <w:rFonts w:ascii="Georgia" w:hAnsi="Georgia"/>
          <w:sz w:val="20"/>
          <w:szCs w:val="20"/>
          <w:lang w:val="lt-LT"/>
        </w:rPr>
      </w:pPr>
    </w:p>
    <w:p w14:paraId="6DE9AB0A" w14:textId="77777777" w:rsidR="00280058" w:rsidRDefault="00280058" w:rsidP="00280058">
      <w:pPr>
        <w:rPr>
          <w:rFonts w:ascii="Georgia" w:hAnsi="Georgia"/>
          <w:sz w:val="20"/>
          <w:szCs w:val="20"/>
          <w:lang w:val="lt-LT"/>
        </w:rPr>
      </w:pPr>
    </w:p>
    <w:p w14:paraId="3853965E" w14:textId="77777777" w:rsidR="00280058" w:rsidRPr="00765A39" w:rsidRDefault="00280058" w:rsidP="00C03122">
      <w:pPr>
        <w:pStyle w:val="Sraopastraipa"/>
        <w:keepNext/>
        <w:numPr>
          <w:ilvl w:val="0"/>
          <w:numId w:val="34"/>
        </w:numPr>
        <w:ind w:left="714" w:hanging="357"/>
        <w:rPr>
          <w:rFonts w:ascii="Georgia" w:hAnsi="Georgia"/>
          <w:b/>
          <w:i/>
          <w:sz w:val="20"/>
          <w:szCs w:val="20"/>
          <w:lang w:val="lt-LT"/>
        </w:rPr>
      </w:pPr>
      <w:r w:rsidRPr="00765A39">
        <w:rPr>
          <w:rFonts w:ascii="Georgia" w:hAnsi="Georgia"/>
          <w:b/>
          <w:i/>
          <w:sz w:val="20"/>
          <w:szCs w:val="20"/>
          <w:lang w:val="lt-LT"/>
        </w:rPr>
        <w:t>Scenarijus Nr. 6: Finansinės priemonės lėšos nukreipiamos į paskolų priemonę, o finansiniai tarpininkai prisideda prie projektų tokia pačia suma.</w:t>
      </w:r>
    </w:p>
    <w:p w14:paraId="79BC782D" w14:textId="77777777" w:rsidR="009F55BB" w:rsidRDefault="00280058" w:rsidP="008903A9">
      <w:pPr>
        <w:pStyle w:val="Antrat"/>
        <w:jc w:val="center"/>
        <w:rPr>
          <w:lang w:val="lt-LT"/>
        </w:rPr>
      </w:pPr>
      <w:r>
        <w:rPr>
          <w:noProof/>
          <w:lang w:val="lt-LT" w:eastAsia="lt-LT"/>
        </w:rPr>
        <w:drawing>
          <wp:inline distT="0" distB="0" distL="0" distR="0" wp14:anchorId="45513903" wp14:editId="58051230">
            <wp:extent cx="5724525" cy="2124075"/>
            <wp:effectExtent l="0" t="0" r="9525" b="9525"/>
            <wp:docPr id="283" name="Paveikslėlis 283" descr="Gatviu apsvietimas 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atviu apsvietimas Nr"/>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5724525" cy="2124075"/>
                    </a:xfrm>
                    <a:prstGeom prst="rect">
                      <a:avLst/>
                    </a:prstGeom>
                    <a:noFill/>
                    <a:ln>
                      <a:noFill/>
                    </a:ln>
                  </pic:spPr>
                </pic:pic>
              </a:graphicData>
            </a:graphic>
          </wp:inline>
        </w:drawing>
      </w:r>
    </w:p>
    <w:p w14:paraId="4E5B42FE" w14:textId="7AB082C5" w:rsidR="00280058" w:rsidRPr="002B70C1" w:rsidRDefault="00280058" w:rsidP="00280058">
      <w:pPr>
        <w:pStyle w:val="Antrat"/>
        <w:rPr>
          <w:szCs w:val="20"/>
          <w:lang w:val="lt-LT"/>
        </w:rPr>
      </w:pPr>
      <w:bookmarkStart w:id="253" w:name="_Toc417378323"/>
      <w:r w:rsidRPr="00427EE8">
        <w:rPr>
          <w:lang w:val="lt-LT"/>
        </w:rPr>
        <w:t xml:space="preserve">Paveikslas </w:t>
      </w:r>
      <w:r w:rsidRPr="00427EE8">
        <w:rPr>
          <w:lang w:val="lt-LT"/>
        </w:rPr>
        <w:fldChar w:fldCharType="begin"/>
      </w:r>
      <w:r w:rsidRPr="00427EE8">
        <w:rPr>
          <w:lang w:val="lt-LT"/>
        </w:rPr>
        <w:instrText xml:space="preserve"> SEQ Paveikslas \* ARABIC </w:instrText>
      </w:r>
      <w:r w:rsidRPr="00427EE8">
        <w:rPr>
          <w:lang w:val="lt-LT"/>
        </w:rPr>
        <w:fldChar w:fldCharType="separate"/>
      </w:r>
      <w:r w:rsidR="00AA3082">
        <w:rPr>
          <w:noProof/>
          <w:lang w:val="lt-LT"/>
        </w:rPr>
        <w:t>46</w:t>
      </w:r>
      <w:r w:rsidRPr="00427EE8">
        <w:rPr>
          <w:lang w:val="lt-LT"/>
        </w:rPr>
        <w:fldChar w:fldCharType="end"/>
      </w:r>
      <w:r w:rsidRPr="00427EE8">
        <w:rPr>
          <w:lang w:val="lt-LT"/>
        </w:rPr>
        <w:t>. Gatvių apšvietimo scenarijaus Nr. 6</w:t>
      </w:r>
      <w:r w:rsidRPr="002B70C1">
        <w:rPr>
          <w:lang w:val="lt-LT"/>
        </w:rPr>
        <w:t xml:space="preserve"> </w:t>
      </w:r>
      <w:r w:rsidRPr="00C205F4">
        <w:rPr>
          <w:lang w:val="lt-LT"/>
        </w:rPr>
        <w:t>schema</w:t>
      </w:r>
      <w:r w:rsidRPr="00427EE8">
        <w:rPr>
          <w:lang w:val="lt-LT"/>
        </w:rPr>
        <w:t>.</w:t>
      </w:r>
      <w:bookmarkEnd w:id="253"/>
      <w:r w:rsidRPr="00427EE8">
        <w:rPr>
          <w:lang w:val="lt-LT"/>
        </w:rPr>
        <w:t xml:space="preserve"> </w:t>
      </w:r>
    </w:p>
    <w:p w14:paraId="1E25F2CD" w14:textId="77777777" w:rsidR="00280058" w:rsidRDefault="00280058" w:rsidP="00280058">
      <w:pPr>
        <w:jc w:val="both"/>
        <w:rPr>
          <w:rFonts w:ascii="Georgia" w:hAnsi="Georgia"/>
          <w:sz w:val="20"/>
          <w:szCs w:val="20"/>
          <w:lang w:val="lt-LT"/>
        </w:rPr>
      </w:pPr>
      <w:r>
        <w:rPr>
          <w:rFonts w:ascii="Georgia" w:hAnsi="Georgia"/>
          <w:sz w:val="20"/>
          <w:szCs w:val="20"/>
          <w:lang w:val="lt-LT"/>
        </w:rPr>
        <w:t>Šiuo atveju v</w:t>
      </w:r>
      <w:r w:rsidRPr="00AC3318">
        <w:rPr>
          <w:rFonts w:ascii="Georgia" w:hAnsi="Georgia"/>
          <w:sz w:val="20"/>
          <w:szCs w:val="20"/>
          <w:lang w:val="lt-LT"/>
        </w:rPr>
        <w:t xml:space="preserve">ertinamas scenarijus su tokiomis pat prielaidomis, kaip scenarijus Nr. </w:t>
      </w:r>
      <w:r>
        <w:rPr>
          <w:rFonts w:ascii="Georgia" w:hAnsi="Georgia"/>
          <w:sz w:val="20"/>
          <w:szCs w:val="20"/>
          <w:lang w:val="lt-LT"/>
        </w:rPr>
        <w:t>1</w:t>
      </w:r>
      <w:r w:rsidRPr="00AC3318">
        <w:rPr>
          <w:rFonts w:ascii="Georgia" w:hAnsi="Georgia"/>
          <w:sz w:val="20"/>
          <w:szCs w:val="20"/>
          <w:lang w:val="lt-LT"/>
        </w:rPr>
        <w:t>, papild</w:t>
      </w:r>
      <w:r>
        <w:rPr>
          <w:rFonts w:ascii="Georgia" w:hAnsi="Georgia"/>
          <w:sz w:val="20"/>
          <w:szCs w:val="20"/>
          <w:lang w:val="lt-LT"/>
        </w:rPr>
        <w:t>ant</w:t>
      </w:r>
      <w:r w:rsidRPr="00AC3318">
        <w:rPr>
          <w:rFonts w:ascii="Georgia" w:hAnsi="Georgia"/>
          <w:sz w:val="20"/>
          <w:szCs w:val="20"/>
          <w:lang w:val="lt-LT"/>
        </w:rPr>
        <w:t xml:space="preserve"> prielaid</w:t>
      </w:r>
      <w:r>
        <w:rPr>
          <w:rFonts w:ascii="Georgia" w:hAnsi="Georgia"/>
          <w:sz w:val="20"/>
          <w:szCs w:val="20"/>
          <w:lang w:val="lt-LT"/>
        </w:rPr>
        <w:t>a</w:t>
      </w:r>
      <w:r w:rsidRPr="00AC3318">
        <w:rPr>
          <w:rFonts w:ascii="Georgia" w:hAnsi="Georgia"/>
          <w:sz w:val="20"/>
          <w:szCs w:val="20"/>
          <w:lang w:val="lt-LT"/>
        </w:rPr>
        <w:t xml:space="preserve">, kad </w:t>
      </w:r>
      <w:r>
        <w:rPr>
          <w:rFonts w:ascii="Georgia" w:hAnsi="Georgia"/>
          <w:sz w:val="20"/>
          <w:szCs w:val="20"/>
          <w:lang w:val="lt-LT"/>
        </w:rPr>
        <w:t>finansiniai tarpininkai (bankai) investuos 50 proc. nuosavų lėšų, t.y. 50 proc. projekto vertės bus finansuojama iš finansinės priemonės lėšų paskolos pavidalu, o bankams bus iškeltas reikalavimas  papildomai  prisidėti 50 proc. savomis lėšomis.</w:t>
      </w:r>
    </w:p>
    <w:p w14:paraId="30E064DC" w14:textId="54E86CAB" w:rsidR="00280058" w:rsidRPr="00C205F4" w:rsidRDefault="00280058" w:rsidP="00280058">
      <w:pPr>
        <w:pStyle w:val="Antrat"/>
        <w:rPr>
          <w:lang w:val="lt-LT"/>
        </w:rPr>
      </w:pPr>
      <w:bookmarkStart w:id="254" w:name="_Toc460321717"/>
      <w:r w:rsidRPr="00427EE8">
        <w:rPr>
          <w:lang w:val="lt-LT"/>
        </w:rPr>
        <w:lastRenderedPageBreak/>
        <w:t xml:space="preserve">Lentelė </w:t>
      </w:r>
      <w:r w:rsidRPr="00427EE8">
        <w:rPr>
          <w:lang w:val="lt-LT"/>
        </w:rPr>
        <w:fldChar w:fldCharType="begin"/>
      </w:r>
      <w:r w:rsidRPr="00427EE8">
        <w:rPr>
          <w:lang w:val="lt-LT"/>
        </w:rPr>
        <w:instrText xml:space="preserve"> SEQ Lentelė \* ARABIC </w:instrText>
      </w:r>
      <w:r w:rsidRPr="00427EE8">
        <w:rPr>
          <w:lang w:val="lt-LT"/>
        </w:rPr>
        <w:fldChar w:fldCharType="separate"/>
      </w:r>
      <w:r w:rsidR="00AA3082">
        <w:rPr>
          <w:noProof/>
          <w:lang w:val="lt-LT"/>
        </w:rPr>
        <w:t>136</w:t>
      </w:r>
      <w:r w:rsidRPr="00427EE8">
        <w:rPr>
          <w:lang w:val="lt-LT"/>
        </w:rPr>
        <w:fldChar w:fldCharType="end"/>
      </w:r>
      <w:r w:rsidRPr="00427EE8">
        <w:rPr>
          <w:lang w:val="lt-LT"/>
        </w:rPr>
        <w:t xml:space="preserve">. </w:t>
      </w:r>
      <w:r w:rsidRPr="002B70C1">
        <w:rPr>
          <w:lang w:val="lt-LT"/>
        </w:rPr>
        <w:t>Scenarijaus Nr. 6 pr</w:t>
      </w:r>
      <w:r w:rsidRPr="00C205F4">
        <w:rPr>
          <w:lang w:val="lt-LT"/>
        </w:rPr>
        <w:t>ielaidos</w:t>
      </w:r>
      <w:bookmarkEnd w:id="254"/>
    </w:p>
    <w:tbl>
      <w:tblPr>
        <w:tblStyle w:val="viesussraas2parykinimas"/>
        <w:tblW w:w="5000" w:type="pct"/>
        <w:tblLook w:val="04A0" w:firstRow="1" w:lastRow="0" w:firstColumn="1" w:lastColumn="0" w:noHBand="0" w:noVBand="1"/>
      </w:tblPr>
      <w:tblGrid>
        <w:gridCol w:w="2551"/>
        <w:gridCol w:w="6691"/>
      </w:tblGrid>
      <w:tr w:rsidR="00280058" w:rsidRPr="00E649A6" w14:paraId="595019B2" w14:textId="77777777" w:rsidTr="00BB18F6">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0" w:type="pct"/>
            <w:tcBorders>
              <w:bottom w:val="single" w:sz="8" w:space="0" w:color="C0504D" w:themeColor="accent2"/>
            </w:tcBorders>
          </w:tcPr>
          <w:p w14:paraId="2B8A2337" w14:textId="77777777" w:rsidR="00280058" w:rsidRPr="00AC3318" w:rsidRDefault="00280058" w:rsidP="008903A9">
            <w:pPr>
              <w:keepNext/>
              <w:jc w:val="center"/>
              <w:rPr>
                <w:rFonts w:ascii="Georgia" w:hAnsi="Georgia"/>
                <w:sz w:val="20"/>
                <w:szCs w:val="20"/>
              </w:rPr>
            </w:pPr>
            <w:r w:rsidRPr="00AC3318">
              <w:rPr>
                <w:rFonts w:ascii="Georgia" w:hAnsi="Georgia"/>
                <w:sz w:val="20"/>
                <w:szCs w:val="20"/>
              </w:rPr>
              <w:t>Prielaidos</w:t>
            </w:r>
          </w:p>
        </w:tc>
        <w:tc>
          <w:tcPr>
            <w:tcW w:w="3620" w:type="pct"/>
            <w:tcBorders>
              <w:bottom w:val="single" w:sz="8" w:space="0" w:color="C0504D" w:themeColor="accent2"/>
            </w:tcBorders>
          </w:tcPr>
          <w:p w14:paraId="6D75BFE8" w14:textId="77777777" w:rsidR="00280058" w:rsidRPr="00AC3318" w:rsidRDefault="00280058" w:rsidP="008903A9">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Komentaras</w:t>
            </w:r>
          </w:p>
        </w:tc>
      </w:tr>
      <w:tr w:rsidR="00280058" w:rsidRPr="00E649A6" w14:paraId="1E37A5C2"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14:paraId="70F6A996" w14:textId="77777777" w:rsidR="00280058" w:rsidRPr="00C50D6A" w:rsidRDefault="00280058" w:rsidP="00BB18F6">
            <w:pPr>
              <w:rPr>
                <w:rFonts w:ascii="Georgia" w:hAnsi="Georgia"/>
                <w:b w:val="0"/>
                <w:sz w:val="20"/>
                <w:szCs w:val="20"/>
              </w:rPr>
            </w:pPr>
            <w:r w:rsidRPr="00C50D6A">
              <w:rPr>
                <w:rFonts w:ascii="Georgia" w:hAnsi="Georgia"/>
                <w:sz w:val="20"/>
                <w:szCs w:val="20"/>
              </w:rPr>
              <w:t>Paskolos laikotarpis: iki 20 metų</w:t>
            </w:r>
          </w:p>
        </w:tc>
        <w:tc>
          <w:tcPr>
            <w:tcW w:w="3620" w:type="pct"/>
            <w:tcBorders>
              <w:top w:val="single" w:sz="6" w:space="0" w:color="C0504D" w:themeColor="accent2"/>
              <w:left w:val="single" w:sz="6" w:space="0" w:color="C0504D" w:themeColor="accent2"/>
            </w:tcBorders>
          </w:tcPr>
          <w:p w14:paraId="41D4DD39" w14:textId="77777777"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Maksim</w:t>
            </w:r>
            <w:r>
              <w:rPr>
                <w:rFonts w:ascii="Georgia" w:hAnsi="Georgia"/>
                <w:sz w:val="20"/>
                <w:szCs w:val="20"/>
              </w:rPr>
              <w:t>alus sutarties terminas 20 metų.</w:t>
            </w:r>
          </w:p>
        </w:tc>
      </w:tr>
      <w:tr w:rsidR="00280058" w:rsidRPr="00E649A6" w14:paraId="303C6A40" w14:textId="77777777" w:rsidTr="00BB18F6">
        <w:trPr>
          <w:cantSplit/>
          <w:trHeight w:val="489"/>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14:paraId="57DEB2FB" w14:textId="77777777" w:rsidR="00280058" w:rsidRPr="00C50D6A" w:rsidRDefault="00280058" w:rsidP="008903A9">
            <w:pPr>
              <w:rPr>
                <w:rFonts w:ascii="Georgia" w:hAnsi="Georgia"/>
                <w:b w:val="0"/>
                <w:sz w:val="20"/>
                <w:szCs w:val="20"/>
              </w:rPr>
            </w:pPr>
            <w:r w:rsidRPr="00C50D6A">
              <w:rPr>
                <w:rFonts w:ascii="Georgia" w:hAnsi="Georgia"/>
                <w:sz w:val="20"/>
                <w:szCs w:val="20"/>
              </w:rPr>
              <w:t>Blogų paskolų dalis: 5%</w:t>
            </w:r>
          </w:p>
        </w:tc>
        <w:tc>
          <w:tcPr>
            <w:tcW w:w="3620" w:type="pct"/>
            <w:tcBorders>
              <w:top w:val="single" w:sz="6" w:space="0" w:color="C0504D" w:themeColor="accent2"/>
              <w:left w:val="single" w:sz="6" w:space="0" w:color="C0504D" w:themeColor="accent2"/>
            </w:tcBorders>
          </w:tcPr>
          <w:p w14:paraId="1585272B" w14:textId="77777777"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Blogų paskolų dalis buvo nustatyta remiantis ekspertų ir </w:t>
            </w:r>
            <w:r>
              <w:rPr>
                <w:rFonts w:ascii="Georgia" w:hAnsi="Georgia"/>
                <w:sz w:val="20"/>
                <w:szCs w:val="20"/>
              </w:rPr>
              <w:t xml:space="preserve">komercinių </w:t>
            </w:r>
            <w:r w:rsidRPr="00AC3318">
              <w:rPr>
                <w:rFonts w:ascii="Georgia" w:hAnsi="Georgia"/>
                <w:sz w:val="20"/>
                <w:szCs w:val="20"/>
              </w:rPr>
              <w:t>bankų vertinimu ir ji atitinka PwC studijoje nustatytą dydį</w:t>
            </w:r>
          </w:p>
        </w:tc>
      </w:tr>
      <w:tr w:rsidR="00280058" w:rsidRPr="00E649A6" w14:paraId="36B15DE3"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14:paraId="18C4D39F" w14:textId="77777777" w:rsidR="00280058" w:rsidRPr="00C50D6A" w:rsidRDefault="00280058" w:rsidP="00BB18F6">
            <w:pPr>
              <w:rPr>
                <w:rFonts w:ascii="Georgia" w:hAnsi="Georgia"/>
                <w:b w:val="0"/>
                <w:sz w:val="20"/>
                <w:szCs w:val="20"/>
              </w:rPr>
            </w:pPr>
            <w:r w:rsidRPr="00C50D6A">
              <w:rPr>
                <w:rFonts w:ascii="Georgia" w:hAnsi="Georgia"/>
                <w:sz w:val="20"/>
                <w:szCs w:val="20"/>
              </w:rPr>
              <w:t xml:space="preserve">Vieno šviestuvo pakeitimo vertė: </w:t>
            </w:r>
          </w:p>
          <w:p w14:paraId="51F74158" w14:textId="77777777" w:rsidR="00280058" w:rsidRPr="00C50D6A" w:rsidRDefault="00280058" w:rsidP="00BB18F6">
            <w:pPr>
              <w:rPr>
                <w:rFonts w:ascii="Georgia" w:hAnsi="Georgia"/>
                <w:b w:val="0"/>
                <w:sz w:val="20"/>
                <w:szCs w:val="20"/>
              </w:rPr>
            </w:pPr>
            <w:r w:rsidRPr="00C50D6A">
              <w:rPr>
                <w:rFonts w:ascii="Georgia" w:hAnsi="Georgia"/>
                <w:sz w:val="20"/>
                <w:szCs w:val="20"/>
              </w:rPr>
              <w:t xml:space="preserve">710 </w:t>
            </w:r>
            <w:r w:rsidRPr="00C50D6A">
              <w:rPr>
                <w:rFonts w:ascii="Georgia" w:hAnsi="Georgia"/>
                <w:bCs w:val="0"/>
                <w:sz w:val="20"/>
                <w:szCs w:val="20"/>
              </w:rPr>
              <w:t>eurų</w:t>
            </w:r>
          </w:p>
        </w:tc>
        <w:tc>
          <w:tcPr>
            <w:tcW w:w="3620" w:type="pct"/>
            <w:tcBorders>
              <w:top w:val="single" w:sz="6" w:space="0" w:color="C0504D" w:themeColor="accent2"/>
              <w:left w:val="single" w:sz="6" w:space="0" w:color="C0504D" w:themeColor="accent2"/>
            </w:tcBorders>
          </w:tcPr>
          <w:p w14:paraId="1592AADB" w14:textId="77777777" w:rsidR="00280058" w:rsidRPr="009D771A"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0"/>
              </w:rPr>
            </w:pPr>
            <w:r>
              <w:rPr>
                <w:rFonts w:ascii="Georgia" w:hAnsi="Georgia" w:cs="Georgia"/>
                <w:sz w:val="20"/>
                <w:szCs w:val="20"/>
              </w:rPr>
              <w:t xml:space="preserve">Atsižvelgiant į Vilniaus miesto apšvietimo tinklų modernizavimo techninį projektą bei pasirašytą sutartį su privačiu partneriu, Vilniuje bus renovuota 44000 šviestuvų už 31,28 mln. EUR (108 mln. Lt). Remiantis šiais duomenimis paskaičiuota, kad </w:t>
            </w:r>
            <w:r w:rsidRPr="00AC3318">
              <w:rPr>
                <w:rFonts w:ascii="Georgia" w:hAnsi="Georgia"/>
                <w:bCs/>
                <w:sz w:val="20"/>
                <w:szCs w:val="20"/>
              </w:rPr>
              <w:t xml:space="preserve">vieno šviestuvo vidutinė modernizacijos kaina sieks 710 </w:t>
            </w:r>
            <w:r>
              <w:rPr>
                <w:rFonts w:ascii="Georgia" w:hAnsi="Georgia"/>
                <w:bCs/>
                <w:sz w:val="20"/>
                <w:szCs w:val="20"/>
              </w:rPr>
              <w:t>eurų</w:t>
            </w:r>
            <w:r w:rsidRPr="00AC3318">
              <w:rPr>
                <w:rFonts w:ascii="Georgia" w:hAnsi="Georgia"/>
                <w:bCs/>
                <w:sz w:val="20"/>
                <w:szCs w:val="20"/>
              </w:rPr>
              <w:t xml:space="preserve"> (2451 LTL)</w:t>
            </w:r>
            <w:r>
              <w:rPr>
                <w:rFonts w:ascii="Georgia" w:hAnsi="Georgia"/>
                <w:bCs/>
                <w:sz w:val="20"/>
                <w:szCs w:val="20"/>
              </w:rPr>
              <w:t>.</w:t>
            </w:r>
            <w:r>
              <w:rPr>
                <w:rFonts w:ascii="Georgia" w:hAnsi="Georgia" w:cs="Georgia"/>
                <w:sz w:val="20"/>
                <w:szCs w:val="20"/>
              </w:rPr>
              <w:t xml:space="preserve"> </w:t>
            </w:r>
          </w:p>
        </w:tc>
      </w:tr>
      <w:tr w:rsidR="00280058" w:rsidRPr="00E649A6" w14:paraId="4D79349F" w14:textId="77777777" w:rsidTr="00BB18F6">
        <w:trPr>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14:paraId="4D6BAE7F" w14:textId="77777777" w:rsidR="00280058" w:rsidRPr="00C50D6A" w:rsidRDefault="00280058" w:rsidP="00BB18F6">
            <w:pPr>
              <w:rPr>
                <w:rFonts w:ascii="Georgia" w:hAnsi="Georgia"/>
                <w:b w:val="0"/>
                <w:sz w:val="20"/>
                <w:szCs w:val="20"/>
              </w:rPr>
            </w:pPr>
            <w:r w:rsidRPr="00C50D6A">
              <w:rPr>
                <w:rFonts w:ascii="Georgia" w:hAnsi="Georgia"/>
                <w:sz w:val="20"/>
                <w:szCs w:val="20"/>
              </w:rPr>
              <w:t xml:space="preserve">Investuojamos ESI fondų lėšos į fondą: 14,5 mln. </w:t>
            </w:r>
            <w:r w:rsidRPr="00C50D6A">
              <w:rPr>
                <w:rFonts w:ascii="Georgia" w:hAnsi="Georgia"/>
                <w:bCs w:val="0"/>
                <w:sz w:val="20"/>
                <w:szCs w:val="20"/>
              </w:rPr>
              <w:t>eurų</w:t>
            </w:r>
          </w:p>
        </w:tc>
        <w:tc>
          <w:tcPr>
            <w:tcW w:w="3620" w:type="pct"/>
            <w:tcBorders>
              <w:top w:val="single" w:sz="6" w:space="0" w:color="C0504D" w:themeColor="accent2"/>
              <w:left w:val="single" w:sz="6" w:space="0" w:color="C0504D" w:themeColor="accent2"/>
            </w:tcBorders>
          </w:tcPr>
          <w:p w14:paraId="37122098" w14:textId="77777777"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Daroma prielaida, jog 2014-2020 programavimo periodo, gatvių apšvietimo modernizavimui skirtos lėšos – 14,5 mln. eurų- bus nukeiptos paskolų priemonei įgyvendinti.</w:t>
            </w:r>
          </w:p>
        </w:tc>
      </w:tr>
      <w:tr w:rsidR="00280058" w:rsidRPr="00E649A6" w14:paraId="4440373C"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14:paraId="3DE48397" w14:textId="77777777" w:rsidR="00280058" w:rsidRPr="00C50D6A" w:rsidRDefault="00280058" w:rsidP="00BB18F6">
            <w:pPr>
              <w:rPr>
                <w:rFonts w:ascii="Georgia" w:hAnsi="Georgia"/>
                <w:b w:val="0"/>
                <w:sz w:val="20"/>
                <w:szCs w:val="20"/>
              </w:rPr>
            </w:pPr>
            <w:r w:rsidRPr="00C50D6A">
              <w:rPr>
                <w:rFonts w:ascii="Georgia" w:hAnsi="Georgia"/>
                <w:sz w:val="20"/>
                <w:szCs w:val="20"/>
              </w:rPr>
              <w:t>Palūkanų norma paskolų priemonės daliai: 1 %</w:t>
            </w:r>
          </w:p>
        </w:tc>
        <w:tc>
          <w:tcPr>
            <w:tcW w:w="3620" w:type="pct"/>
            <w:tcBorders>
              <w:top w:val="single" w:sz="6" w:space="0" w:color="C0504D" w:themeColor="accent2"/>
              <w:left w:val="single" w:sz="6" w:space="0" w:color="C0504D" w:themeColor="accent2"/>
            </w:tcBorders>
          </w:tcPr>
          <w:p w14:paraId="02990ACE" w14:textId="77777777"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1D11FC">
              <w:rPr>
                <w:rFonts w:ascii="Georgia" w:hAnsi="Georgia"/>
                <w:sz w:val="20"/>
                <w:szCs w:val="20"/>
              </w:rPr>
              <w:t>Nustatomos lengvatinės  fiksuotos 2% palūkanos.</w:t>
            </w:r>
          </w:p>
        </w:tc>
      </w:tr>
      <w:tr w:rsidR="00280058" w:rsidRPr="00E649A6" w14:paraId="364F7171" w14:textId="77777777" w:rsidTr="00BB18F6">
        <w:trPr>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14:paraId="6E93CDB1" w14:textId="77777777" w:rsidR="00280058" w:rsidRPr="00C50D6A" w:rsidRDefault="00280058" w:rsidP="00BB18F6">
            <w:pPr>
              <w:rPr>
                <w:rFonts w:ascii="Georgia" w:hAnsi="Georgia"/>
                <w:sz w:val="20"/>
                <w:szCs w:val="20"/>
              </w:rPr>
            </w:pPr>
            <w:r w:rsidRPr="00C50D6A">
              <w:rPr>
                <w:rFonts w:ascii="Georgia" w:hAnsi="Georgia"/>
                <w:sz w:val="20"/>
                <w:szCs w:val="20"/>
              </w:rPr>
              <w:t>Palūkanų norma komercinių bankų daliai</w:t>
            </w:r>
          </w:p>
        </w:tc>
        <w:tc>
          <w:tcPr>
            <w:tcW w:w="3620" w:type="pct"/>
            <w:tcBorders>
              <w:top w:val="single" w:sz="6" w:space="0" w:color="C0504D" w:themeColor="accent2"/>
              <w:left w:val="single" w:sz="6" w:space="0" w:color="C0504D" w:themeColor="accent2"/>
            </w:tcBorders>
          </w:tcPr>
          <w:p w14:paraId="3746E86D" w14:textId="77777777"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Komercinių bankų nustatyta, rinkos palūkanų norma.</w:t>
            </w:r>
          </w:p>
        </w:tc>
      </w:tr>
      <w:tr w:rsidR="00280058" w:rsidRPr="00E649A6" w14:paraId="24810091"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14:paraId="20BFDFB5" w14:textId="77777777" w:rsidR="00280058" w:rsidRPr="00C50D6A" w:rsidRDefault="00280058" w:rsidP="00BB18F6">
            <w:pPr>
              <w:rPr>
                <w:rFonts w:ascii="Georgia" w:hAnsi="Georgia"/>
                <w:b w:val="0"/>
                <w:sz w:val="20"/>
                <w:szCs w:val="20"/>
              </w:rPr>
            </w:pPr>
            <w:r w:rsidRPr="00C50D6A">
              <w:rPr>
                <w:rFonts w:ascii="Georgia" w:hAnsi="Georgia"/>
                <w:sz w:val="20"/>
                <w:szCs w:val="20"/>
              </w:rPr>
              <w:t>Siektinas pakeistų šviestuvų skaičius per metus: 10 000</w:t>
            </w:r>
          </w:p>
        </w:tc>
        <w:tc>
          <w:tcPr>
            <w:tcW w:w="3620" w:type="pct"/>
            <w:tcBorders>
              <w:top w:val="single" w:sz="6" w:space="0" w:color="C0504D" w:themeColor="accent2"/>
              <w:left w:val="single" w:sz="6" w:space="0" w:color="C0504D" w:themeColor="accent2"/>
            </w:tcBorders>
          </w:tcPr>
          <w:p w14:paraId="7BF5EC8E" w14:textId="77777777"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Daroma prielaida, kad per metus butų galima </w:t>
            </w:r>
            <w:r>
              <w:rPr>
                <w:rFonts w:ascii="Georgia" w:hAnsi="Georgia"/>
                <w:sz w:val="20"/>
                <w:szCs w:val="20"/>
              </w:rPr>
              <w:t>atnaujinti</w:t>
            </w:r>
            <w:r w:rsidRPr="00AC3318">
              <w:rPr>
                <w:rFonts w:ascii="Georgia" w:hAnsi="Georgia"/>
                <w:sz w:val="20"/>
                <w:szCs w:val="20"/>
              </w:rPr>
              <w:t xml:space="preserve"> 10 000 šviestuvų </w:t>
            </w:r>
          </w:p>
        </w:tc>
      </w:tr>
      <w:tr w:rsidR="00280058" w:rsidRPr="00E649A6" w14:paraId="6154A5D3" w14:textId="77777777" w:rsidTr="00BB18F6">
        <w:trPr>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14:paraId="03FF939F" w14:textId="77777777" w:rsidR="00280058" w:rsidRPr="00C50D6A" w:rsidRDefault="00280058" w:rsidP="00BB18F6">
            <w:pPr>
              <w:rPr>
                <w:rFonts w:ascii="Georgia" w:hAnsi="Georgia"/>
                <w:b w:val="0"/>
                <w:sz w:val="20"/>
                <w:szCs w:val="20"/>
              </w:rPr>
            </w:pPr>
            <w:r w:rsidRPr="00C50D6A">
              <w:rPr>
                <w:rFonts w:ascii="Georgia" w:hAnsi="Georgia"/>
                <w:sz w:val="20"/>
              </w:rPr>
              <w:t>Valdymo mokestis: vadovaujantis Deleguoto reglamento nuostatomis</w:t>
            </w:r>
          </w:p>
        </w:tc>
        <w:tc>
          <w:tcPr>
            <w:tcW w:w="3620" w:type="pct"/>
            <w:tcBorders>
              <w:top w:val="single" w:sz="6" w:space="0" w:color="C0504D" w:themeColor="accent2"/>
              <w:left w:val="single" w:sz="6" w:space="0" w:color="C0504D" w:themeColor="accent2"/>
            </w:tcBorders>
          </w:tcPr>
          <w:p w14:paraId="7ECEDF2C" w14:textId="77777777" w:rsidR="00280058" w:rsidRPr="00AC3318" w:rsidRDefault="00280058" w:rsidP="009647A2">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rPr>
              <w:t>Vadovaujantis Deleguoto reglamento nuostatomis, valdymo mokestis susideda iš dviejų dalių: 0,5 proc. bazinis mokestis nuo finansinei priemonei skirtų ir įmokėtų lėšų, 1 proc. mokestis n</w:t>
            </w:r>
            <w:r w:rsidRPr="00A445EE">
              <w:rPr>
                <w:rFonts w:ascii="Georgia" w:hAnsi="Georgia"/>
                <w:sz w:val="20"/>
              </w:rPr>
              <w:t xml:space="preserve">uo </w:t>
            </w:r>
            <w:r>
              <w:rPr>
                <w:rFonts w:ascii="Georgia" w:hAnsi="Georgia"/>
                <w:sz w:val="20"/>
              </w:rPr>
              <w:t>paskolų,</w:t>
            </w:r>
            <w:r w:rsidRPr="00A445EE">
              <w:rPr>
                <w:rFonts w:ascii="Georgia" w:hAnsi="Georgia"/>
                <w:sz w:val="20"/>
              </w:rPr>
              <w:t xml:space="preserve"> </w:t>
            </w:r>
            <w:r>
              <w:rPr>
                <w:rFonts w:ascii="Georgia" w:hAnsi="Georgia"/>
                <w:sz w:val="20"/>
              </w:rPr>
              <w:t>suteikt</w:t>
            </w:r>
            <w:r w:rsidRPr="00A445EE">
              <w:rPr>
                <w:rFonts w:ascii="Georgia" w:hAnsi="Georgia"/>
                <w:sz w:val="20"/>
              </w:rPr>
              <w:t xml:space="preserve">ų </w:t>
            </w:r>
            <w:r>
              <w:rPr>
                <w:rFonts w:ascii="Georgia" w:hAnsi="Georgia"/>
                <w:sz w:val="20"/>
              </w:rPr>
              <w:t xml:space="preserve">galutiniams </w:t>
            </w:r>
            <w:r w:rsidRPr="00A445EE">
              <w:rPr>
                <w:rFonts w:ascii="Georgia" w:hAnsi="Georgia"/>
                <w:sz w:val="20"/>
              </w:rPr>
              <w:t>naudos gavėjams</w:t>
            </w:r>
            <w:r>
              <w:rPr>
                <w:rFonts w:ascii="Georgia" w:hAnsi="Georgia"/>
                <w:sz w:val="20"/>
              </w:rPr>
              <w:t>, sumos.</w:t>
            </w:r>
          </w:p>
        </w:tc>
      </w:tr>
      <w:tr w:rsidR="00280058" w:rsidRPr="00E649A6" w14:paraId="413CAA39"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14:paraId="076A7FD3" w14:textId="77777777" w:rsidR="00280058" w:rsidRPr="00C50D6A" w:rsidRDefault="00280058" w:rsidP="00BB18F6">
            <w:pPr>
              <w:rPr>
                <w:rFonts w:ascii="Georgia" w:hAnsi="Georgia"/>
                <w:b w:val="0"/>
                <w:sz w:val="20"/>
                <w:szCs w:val="20"/>
              </w:rPr>
            </w:pPr>
            <w:r w:rsidRPr="00C50D6A">
              <w:rPr>
                <w:rFonts w:ascii="Georgia" w:hAnsi="Georgia"/>
                <w:sz w:val="20"/>
                <w:szCs w:val="20"/>
              </w:rPr>
              <w:t xml:space="preserve">Projekto įgyvendinimo laikotarpis: 1 metai </w:t>
            </w:r>
          </w:p>
        </w:tc>
        <w:tc>
          <w:tcPr>
            <w:tcW w:w="3620" w:type="pct"/>
            <w:tcBorders>
              <w:top w:val="single" w:sz="6" w:space="0" w:color="C0504D" w:themeColor="accent2"/>
              <w:left w:val="single" w:sz="6" w:space="0" w:color="C0504D" w:themeColor="accent2"/>
            </w:tcBorders>
          </w:tcPr>
          <w:p w14:paraId="1BB671E9" w14:textId="77777777"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Daroma prielaida, jog 10000 šviestuvų modernizavimo laikas yra 1 metai nuo paskolos sutarties pasirašymo momento.</w:t>
            </w:r>
          </w:p>
        </w:tc>
      </w:tr>
      <w:tr w:rsidR="00280058" w:rsidRPr="00E649A6" w14:paraId="590608C5" w14:textId="77777777" w:rsidTr="00BB18F6">
        <w:trPr>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14:paraId="4F5B177C" w14:textId="77777777" w:rsidR="00280058" w:rsidRPr="00C50D6A" w:rsidRDefault="00280058" w:rsidP="00BB18F6">
            <w:pPr>
              <w:rPr>
                <w:rFonts w:ascii="Georgia" w:hAnsi="Georgia"/>
                <w:b w:val="0"/>
                <w:sz w:val="20"/>
                <w:szCs w:val="20"/>
              </w:rPr>
            </w:pPr>
            <w:r w:rsidRPr="00C50D6A">
              <w:rPr>
                <w:rFonts w:ascii="Georgia" w:hAnsi="Georgia"/>
                <w:sz w:val="20"/>
              </w:rPr>
              <w:t>Sugrįžusios lėšos pakartotinai panaudojamos: po 2 metų</w:t>
            </w:r>
          </w:p>
        </w:tc>
        <w:tc>
          <w:tcPr>
            <w:tcW w:w="3620" w:type="pct"/>
            <w:tcBorders>
              <w:top w:val="single" w:sz="6" w:space="0" w:color="C0504D" w:themeColor="accent2"/>
              <w:left w:val="single" w:sz="6" w:space="0" w:color="C0504D" w:themeColor="accent2"/>
            </w:tcBorders>
          </w:tcPr>
          <w:p w14:paraId="74A0D486" w14:textId="77777777"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rPr>
              <w:t>Daroma prielaida, jog g</w:t>
            </w:r>
            <w:r w:rsidRPr="00E649A6">
              <w:rPr>
                <w:rFonts w:ascii="Georgia" w:hAnsi="Georgia"/>
                <w:sz w:val="20"/>
              </w:rPr>
              <w:t>rįžta</w:t>
            </w:r>
            <w:r>
              <w:rPr>
                <w:rFonts w:ascii="Georgia" w:hAnsi="Georgia"/>
                <w:sz w:val="20"/>
              </w:rPr>
              <w:t>nč</w:t>
            </w:r>
            <w:r w:rsidRPr="00E649A6">
              <w:rPr>
                <w:rFonts w:ascii="Georgia" w:hAnsi="Georgia"/>
                <w:sz w:val="20"/>
              </w:rPr>
              <w:t xml:space="preserve">ios lėšos </w:t>
            </w:r>
            <w:r>
              <w:rPr>
                <w:rFonts w:ascii="Georgia" w:hAnsi="Georgia"/>
                <w:sz w:val="20"/>
              </w:rPr>
              <w:t>pakartotinai panaudojamos projektų finansavimui tomis pačiomis sąlygomis po 2 metų.</w:t>
            </w:r>
          </w:p>
        </w:tc>
      </w:tr>
    </w:tbl>
    <w:p w14:paraId="578B6394" w14:textId="77777777" w:rsidR="00280058" w:rsidRDefault="00280058" w:rsidP="00280058">
      <w:pPr>
        <w:rPr>
          <w:lang w:val="lt-LT"/>
        </w:rPr>
      </w:pPr>
    </w:p>
    <w:p w14:paraId="197801D4" w14:textId="713A730F" w:rsidR="00280058" w:rsidRPr="00C205F4" w:rsidRDefault="00280058" w:rsidP="00280058">
      <w:pPr>
        <w:pStyle w:val="Antrat"/>
        <w:rPr>
          <w:szCs w:val="20"/>
          <w:lang w:val="lt-LT"/>
        </w:rPr>
      </w:pPr>
      <w:bookmarkStart w:id="255" w:name="_Toc460321718"/>
      <w:r w:rsidRPr="00427EE8">
        <w:rPr>
          <w:lang w:val="lt-LT"/>
        </w:rPr>
        <w:lastRenderedPageBreak/>
        <w:t xml:space="preserve">Lentelė </w:t>
      </w:r>
      <w:r w:rsidRPr="00427EE8">
        <w:rPr>
          <w:lang w:val="lt-LT"/>
        </w:rPr>
        <w:fldChar w:fldCharType="begin"/>
      </w:r>
      <w:r w:rsidRPr="00427EE8">
        <w:rPr>
          <w:lang w:val="lt-LT"/>
        </w:rPr>
        <w:instrText xml:space="preserve"> SEQ Lentelė \* ARABIC </w:instrText>
      </w:r>
      <w:r w:rsidRPr="00427EE8">
        <w:rPr>
          <w:lang w:val="lt-LT"/>
        </w:rPr>
        <w:fldChar w:fldCharType="separate"/>
      </w:r>
      <w:r w:rsidR="00AA3082">
        <w:rPr>
          <w:noProof/>
          <w:lang w:val="lt-LT"/>
        </w:rPr>
        <w:t>137</w:t>
      </w:r>
      <w:r w:rsidRPr="00427EE8">
        <w:rPr>
          <w:lang w:val="lt-LT"/>
        </w:rPr>
        <w:fldChar w:fldCharType="end"/>
      </w:r>
      <w:r w:rsidRPr="00427EE8">
        <w:rPr>
          <w:lang w:val="lt-LT"/>
        </w:rPr>
        <w:t xml:space="preserve">. </w:t>
      </w:r>
      <w:r w:rsidRPr="002B70C1">
        <w:rPr>
          <w:lang w:val="lt-LT"/>
        </w:rPr>
        <w:t xml:space="preserve">Scenarijaus Nr. 6 </w:t>
      </w:r>
      <w:r w:rsidRPr="00C205F4">
        <w:rPr>
          <w:szCs w:val="20"/>
          <w:lang w:val="lt-LT"/>
        </w:rPr>
        <w:t>lengvatinių paskolų ir bankų bendro finansavimo finansinė priemonė</w:t>
      </w:r>
      <w:bookmarkEnd w:id="255"/>
    </w:p>
    <w:p w14:paraId="2BEAEC6C" w14:textId="77777777" w:rsidR="00280058" w:rsidRDefault="00280058" w:rsidP="00280058">
      <w:pPr>
        <w:rPr>
          <w:b/>
          <w:lang w:val="lt-LT"/>
        </w:rPr>
      </w:pPr>
      <w:r>
        <w:rPr>
          <w:b/>
          <w:noProof/>
          <w:lang w:val="lt-LT" w:eastAsia="lt-LT"/>
        </w:rPr>
        <w:drawing>
          <wp:inline distT="0" distB="0" distL="0" distR="0" wp14:anchorId="55979D11" wp14:editId="34718904">
            <wp:extent cx="6115050" cy="3581400"/>
            <wp:effectExtent l="0" t="0" r="0" b="0"/>
            <wp:docPr id="274" name="Paveikslėlis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6115050" cy="3581400"/>
                    </a:xfrm>
                    <a:prstGeom prst="rect">
                      <a:avLst/>
                    </a:prstGeom>
                    <a:noFill/>
                    <a:ln>
                      <a:noFill/>
                    </a:ln>
                  </pic:spPr>
                </pic:pic>
              </a:graphicData>
            </a:graphic>
          </wp:inline>
        </w:drawing>
      </w:r>
    </w:p>
    <w:p w14:paraId="6E7CACDE" w14:textId="482DF428" w:rsidR="00280058" w:rsidRPr="00C205F4" w:rsidRDefault="00280058" w:rsidP="00280058">
      <w:pPr>
        <w:pStyle w:val="Antrat"/>
        <w:rPr>
          <w:szCs w:val="20"/>
          <w:lang w:val="lt-LT"/>
        </w:rPr>
      </w:pPr>
      <w:r w:rsidRPr="002B70C1" w:rsidDel="0052340A">
        <w:rPr>
          <w:noProof/>
          <w:szCs w:val="20"/>
          <w:lang w:val="lt-LT" w:eastAsia="lt-LT"/>
        </w:rPr>
        <w:t xml:space="preserve"> </w:t>
      </w:r>
      <w:bookmarkStart w:id="256" w:name="_Toc460321719"/>
      <w:r w:rsidRPr="00427EE8">
        <w:rPr>
          <w:lang w:val="lt-LT"/>
        </w:rPr>
        <w:t xml:space="preserve">Lentelė </w:t>
      </w:r>
      <w:r w:rsidRPr="00427EE8">
        <w:rPr>
          <w:lang w:val="lt-LT"/>
        </w:rPr>
        <w:fldChar w:fldCharType="begin"/>
      </w:r>
      <w:r w:rsidRPr="00427EE8">
        <w:rPr>
          <w:lang w:val="lt-LT"/>
        </w:rPr>
        <w:instrText xml:space="preserve"> SEQ Lentelė \* ARABIC </w:instrText>
      </w:r>
      <w:r w:rsidRPr="00427EE8">
        <w:rPr>
          <w:lang w:val="lt-LT"/>
        </w:rPr>
        <w:fldChar w:fldCharType="separate"/>
      </w:r>
      <w:r w:rsidR="00AA3082">
        <w:rPr>
          <w:noProof/>
          <w:lang w:val="lt-LT"/>
        </w:rPr>
        <w:t>138</w:t>
      </w:r>
      <w:r w:rsidRPr="00427EE8">
        <w:rPr>
          <w:lang w:val="lt-LT"/>
        </w:rPr>
        <w:fldChar w:fldCharType="end"/>
      </w:r>
      <w:r w:rsidRPr="00427EE8">
        <w:rPr>
          <w:lang w:val="lt-LT"/>
        </w:rPr>
        <w:t xml:space="preserve">. </w:t>
      </w:r>
      <w:r w:rsidRPr="002B70C1">
        <w:rPr>
          <w:lang w:val="lt-LT"/>
        </w:rPr>
        <w:t xml:space="preserve">Scenarijaus Nr. </w:t>
      </w:r>
      <w:r w:rsidRPr="00C205F4">
        <w:rPr>
          <w:lang w:val="lt-LT"/>
        </w:rPr>
        <w:t>6 rezultatai</w:t>
      </w:r>
      <w:bookmarkEnd w:id="256"/>
    </w:p>
    <w:tbl>
      <w:tblPr>
        <w:tblStyle w:val="viesussraas2parykinimas"/>
        <w:tblW w:w="5000" w:type="pct"/>
        <w:tblLook w:val="04A0" w:firstRow="1" w:lastRow="0" w:firstColumn="1" w:lastColumn="0" w:noHBand="0" w:noVBand="1"/>
      </w:tblPr>
      <w:tblGrid>
        <w:gridCol w:w="6630"/>
        <w:gridCol w:w="2612"/>
      </w:tblGrid>
      <w:tr w:rsidR="00280058" w:rsidRPr="00E649A6" w14:paraId="21F69B5A" w14:textId="77777777" w:rsidTr="008903A9">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87" w:type="pct"/>
            <w:tcBorders>
              <w:top w:val="single" w:sz="8" w:space="0" w:color="C0504D" w:themeColor="accent2"/>
              <w:left w:val="single" w:sz="8" w:space="0" w:color="C0504D" w:themeColor="accent2"/>
              <w:bottom w:val="nil"/>
              <w:right w:val="nil"/>
            </w:tcBorders>
            <w:hideMark/>
          </w:tcPr>
          <w:p w14:paraId="4000C559" w14:textId="77777777" w:rsidR="00280058" w:rsidRPr="00AC3318" w:rsidRDefault="00280058" w:rsidP="00BB18F6">
            <w:pPr>
              <w:keepNext/>
              <w:jc w:val="center"/>
              <w:rPr>
                <w:rFonts w:ascii="Georgia" w:hAnsi="Georgia"/>
                <w:sz w:val="20"/>
                <w:szCs w:val="20"/>
              </w:rPr>
            </w:pPr>
            <w:r w:rsidRPr="00AC3318">
              <w:rPr>
                <w:rFonts w:ascii="Georgia" w:hAnsi="Georgia"/>
                <w:sz w:val="20"/>
                <w:szCs w:val="20"/>
              </w:rPr>
              <w:t>Fondas</w:t>
            </w:r>
          </w:p>
        </w:tc>
        <w:tc>
          <w:tcPr>
            <w:tcW w:w="1413" w:type="pct"/>
            <w:tcBorders>
              <w:top w:val="single" w:sz="8" w:space="0" w:color="C0504D" w:themeColor="accent2"/>
              <w:left w:val="nil"/>
              <w:bottom w:val="nil"/>
              <w:right w:val="single" w:sz="8" w:space="0" w:color="C0504D" w:themeColor="accent2"/>
            </w:tcBorders>
            <w:hideMark/>
          </w:tcPr>
          <w:p w14:paraId="789FB52E" w14:textId="77777777" w:rsidR="00280058" w:rsidRPr="00AC3318" w:rsidRDefault="00280058" w:rsidP="00BB18F6">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mln. </w:t>
            </w:r>
            <w:r>
              <w:rPr>
                <w:rFonts w:ascii="Georgia" w:hAnsi="Georgia"/>
                <w:bCs w:val="0"/>
                <w:sz w:val="20"/>
                <w:szCs w:val="20"/>
              </w:rPr>
              <w:t>eurų</w:t>
            </w:r>
          </w:p>
        </w:tc>
      </w:tr>
      <w:tr w:rsidR="00280058" w:rsidRPr="00E649A6" w14:paraId="74FFF05C" w14:textId="77777777" w:rsidTr="008903A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87" w:type="pct"/>
            <w:tcBorders>
              <w:right w:val="nil"/>
            </w:tcBorders>
            <w:hideMark/>
          </w:tcPr>
          <w:p w14:paraId="0CB28611" w14:textId="77777777" w:rsidR="00280058" w:rsidRPr="00AC3318" w:rsidRDefault="00280058" w:rsidP="00BB18F6">
            <w:pPr>
              <w:keepNext/>
              <w:rPr>
                <w:rFonts w:ascii="Georgia" w:hAnsi="Georgia"/>
                <w:sz w:val="20"/>
                <w:szCs w:val="20"/>
              </w:rPr>
            </w:pPr>
            <w:r w:rsidRPr="00AC3318">
              <w:rPr>
                <w:rFonts w:ascii="Georgia" w:hAnsi="Georgia"/>
                <w:sz w:val="20"/>
                <w:szCs w:val="20"/>
              </w:rPr>
              <w:t>Galutinius naudos gavėjus pasiekusios lėšos</w:t>
            </w:r>
          </w:p>
        </w:tc>
        <w:tc>
          <w:tcPr>
            <w:tcW w:w="1413" w:type="pct"/>
            <w:tcBorders>
              <w:left w:val="nil"/>
            </w:tcBorders>
            <w:hideMark/>
          </w:tcPr>
          <w:p w14:paraId="37CE00C2" w14:textId="77777777" w:rsidR="00280058" w:rsidRPr="00AC3318" w:rsidRDefault="00280058" w:rsidP="00BB18F6">
            <w:pPr>
              <w:keepNext/>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42,8</w:t>
            </w:r>
          </w:p>
        </w:tc>
      </w:tr>
      <w:tr w:rsidR="00280058" w:rsidRPr="00E649A6" w14:paraId="54A80C21" w14:textId="77777777" w:rsidTr="008903A9">
        <w:trPr>
          <w:trHeight w:val="266"/>
        </w:trPr>
        <w:tc>
          <w:tcPr>
            <w:cnfStyle w:val="001000000000" w:firstRow="0" w:lastRow="0" w:firstColumn="1" w:lastColumn="0" w:oddVBand="0" w:evenVBand="0" w:oddHBand="0" w:evenHBand="0" w:firstRowFirstColumn="0" w:firstRowLastColumn="0" w:lastRowFirstColumn="0" w:lastRowLastColumn="0"/>
            <w:tcW w:w="3587" w:type="pct"/>
            <w:tcBorders>
              <w:right w:val="nil"/>
            </w:tcBorders>
            <w:hideMark/>
          </w:tcPr>
          <w:p w14:paraId="19B4EA1E" w14:textId="77777777" w:rsidR="00280058" w:rsidRPr="00AC3318" w:rsidRDefault="00280058" w:rsidP="00BB18F6">
            <w:pPr>
              <w:keepNext/>
              <w:rPr>
                <w:rFonts w:ascii="Georgia" w:hAnsi="Georgia"/>
                <w:sz w:val="20"/>
                <w:szCs w:val="20"/>
              </w:rPr>
            </w:pPr>
            <w:r w:rsidRPr="00AC3318">
              <w:rPr>
                <w:rFonts w:ascii="Georgia" w:hAnsi="Georgia"/>
                <w:sz w:val="20"/>
                <w:szCs w:val="20"/>
              </w:rPr>
              <w:t>Renovuotų šviestuvų skaičius</w:t>
            </w:r>
          </w:p>
        </w:tc>
        <w:tc>
          <w:tcPr>
            <w:tcW w:w="1413" w:type="pct"/>
            <w:tcBorders>
              <w:left w:val="nil"/>
            </w:tcBorders>
            <w:hideMark/>
          </w:tcPr>
          <w:p w14:paraId="4C863B91" w14:textId="77777777" w:rsidR="00280058" w:rsidRPr="00AC3318" w:rsidRDefault="00280058" w:rsidP="00BB18F6">
            <w:pPr>
              <w:keepNext/>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60311</w:t>
            </w:r>
          </w:p>
        </w:tc>
      </w:tr>
    </w:tbl>
    <w:p w14:paraId="4DE641C1" w14:textId="77777777" w:rsidR="00280058" w:rsidRDefault="00280058" w:rsidP="00280058">
      <w:pPr>
        <w:rPr>
          <w:rFonts w:ascii="Georgia" w:hAnsi="Georgia"/>
          <w:sz w:val="20"/>
          <w:szCs w:val="20"/>
          <w:lang w:val="lt-LT"/>
        </w:rPr>
      </w:pPr>
    </w:p>
    <w:p w14:paraId="157554F2" w14:textId="77777777" w:rsidR="00280058" w:rsidRPr="00765A39" w:rsidRDefault="00280058" w:rsidP="003144BA">
      <w:pPr>
        <w:pStyle w:val="Sraopastraipa"/>
        <w:keepNext/>
        <w:numPr>
          <w:ilvl w:val="0"/>
          <w:numId w:val="34"/>
        </w:numPr>
        <w:ind w:left="714" w:hanging="357"/>
        <w:rPr>
          <w:rFonts w:ascii="Georgia" w:hAnsi="Georgia"/>
          <w:b/>
          <w:i/>
          <w:sz w:val="20"/>
          <w:szCs w:val="20"/>
          <w:lang w:val="lt-LT"/>
        </w:rPr>
      </w:pPr>
      <w:r w:rsidRPr="00765A39">
        <w:rPr>
          <w:rFonts w:ascii="Georgia" w:hAnsi="Georgia"/>
          <w:b/>
          <w:i/>
          <w:sz w:val="20"/>
          <w:szCs w:val="20"/>
          <w:lang w:val="lt-LT"/>
        </w:rPr>
        <w:lastRenderedPageBreak/>
        <w:t>Scenarijus Nr. 7: ESI fondų lėšos panaudojamos fondo pirmojo nuostolio padengimui</w:t>
      </w:r>
    </w:p>
    <w:p w14:paraId="5148747F" w14:textId="77777777" w:rsidR="00280058" w:rsidRPr="00D36E6A" w:rsidRDefault="00280058" w:rsidP="003144BA">
      <w:pPr>
        <w:keepNext/>
        <w:jc w:val="both"/>
        <w:rPr>
          <w:szCs w:val="20"/>
          <w:lang w:val="lt-LT"/>
        </w:rPr>
      </w:pPr>
      <w:r w:rsidRPr="00050E2D">
        <w:rPr>
          <w:rFonts w:ascii="Georgia" w:hAnsi="Georgia"/>
          <w:sz w:val="20"/>
          <w:szCs w:val="20"/>
          <w:lang w:val="lt-LT"/>
        </w:rPr>
        <w:t>Šio scenarijaus atveju ES</w:t>
      </w:r>
      <w:r>
        <w:rPr>
          <w:rFonts w:ascii="Georgia" w:hAnsi="Georgia"/>
          <w:sz w:val="20"/>
          <w:szCs w:val="20"/>
          <w:lang w:val="lt-LT"/>
        </w:rPr>
        <w:t>I</w:t>
      </w:r>
      <w:r w:rsidRPr="00050E2D">
        <w:rPr>
          <w:rFonts w:ascii="Georgia" w:hAnsi="Georgia"/>
          <w:sz w:val="20"/>
          <w:szCs w:val="20"/>
          <w:lang w:val="lt-LT"/>
        </w:rPr>
        <w:t xml:space="preserve"> fondų lėšos būtų </w:t>
      </w:r>
      <w:r>
        <w:rPr>
          <w:rFonts w:ascii="Georgia" w:hAnsi="Georgia"/>
          <w:sz w:val="20"/>
          <w:szCs w:val="20"/>
          <w:lang w:val="lt-LT"/>
        </w:rPr>
        <w:t>nukreipiamos</w:t>
      </w:r>
      <w:r w:rsidRPr="00050E2D">
        <w:rPr>
          <w:rFonts w:ascii="Georgia" w:hAnsi="Georgia"/>
          <w:sz w:val="20"/>
          <w:szCs w:val="20"/>
          <w:lang w:val="lt-LT"/>
        </w:rPr>
        <w:t xml:space="preserve"> į </w:t>
      </w:r>
      <w:r>
        <w:rPr>
          <w:rFonts w:ascii="Georgia" w:hAnsi="Georgia"/>
          <w:sz w:val="20"/>
          <w:szCs w:val="20"/>
          <w:lang w:val="lt-LT"/>
        </w:rPr>
        <w:t>naujai sukurtą juridinio asmens statusą turintį subjektą – investicinį fondą</w:t>
      </w:r>
      <w:r w:rsidRPr="00050E2D">
        <w:rPr>
          <w:rFonts w:ascii="Georgia" w:hAnsi="Georgia"/>
          <w:sz w:val="20"/>
          <w:szCs w:val="20"/>
          <w:lang w:val="lt-LT"/>
        </w:rPr>
        <w:t xml:space="preserve">, ir tomis lėšomis būtų užtikrinama privačių investuotojų ir/ar paskolos davėjų </w:t>
      </w:r>
      <w:r>
        <w:rPr>
          <w:rFonts w:ascii="Georgia" w:hAnsi="Georgia"/>
          <w:sz w:val="20"/>
          <w:szCs w:val="20"/>
          <w:lang w:val="lt-LT"/>
        </w:rPr>
        <w:t>investicijų saugumas</w:t>
      </w:r>
      <w:r w:rsidRPr="00050E2D">
        <w:rPr>
          <w:rFonts w:ascii="Georgia" w:hAnsi="Georgia"/>
          <w:sz w:val="20"/>
          <w:szCs w:val="20"/>
          <w:lang w:val="lt-LT"/>
        </w:rPr>
        <w:t>.</w:t>
      </w:r>
    </w:p>
    <w:p w14:paraId="63AA08E5" w14:textId="77777777" w:rsidR="009F55BB" w:rsidRDefault="00280058" w:rsidP="003144BA">
      <w:pPr>
        <w:pStyle w:val="Antrat"/>
        <w:jc w:val="center"/>
        <w:rPr>
          <w:lang w:val="lt-LT"/>
        </w:rPr>
      </w:pPr>
      <w:r>
        <w:rPr>
          <w:noProof/>
          <w:lang w:val="lt-LT" w:eastAsia="lt-LT"/>
        </w:rPr>
        <w:drawing>
          <wp:inline distT="0" distB="0" distL="0" distR="0" wp14:anchorId="02A23141" wp14:editId="23483314">
            <wp:extent cx="5629275" cy="2381250"/>
            <wp:effectExtent l="0" t="0" r="9525" b="0"/>
            <wp:docPr id="282" name="Paveikslėlis 282" descr="Gatviu apsvietimas 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atviu apsvietimas Nr"/>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5629275" cy="2381250"/>
                    </a:xfrm>
                    <a:prstGeom prst="rect">
                      <a:avLst/>
                    </a:prstGeom>
                    <a:noFill/>
                    <a:ln>
                      <a:noFill/>
                    </a:ln>
                  </pic:spPr>
                </pic:pic>
              </a:graphicData>
            </a:graphic>
          </wp:inline>
        </w:drawing>
      </w:r>
    </w:p>
    <w:p w14:paraId="0D243474" w14:textId="2E98592E" w:rsidR="00280058" w:rsidRPr="000F7756" w:rsidRDefault="00280058" w:rsidP="003144BA">
      <w:pPr>
        <w:pStyle w:val="Antrat"/>
        <w:rPr>
          <w:szCs w:val="20"/>
          <w:lang w:val="lt-LT"/>
        </w:rPr>
      </w:pPr>
      <w:bookmarkStart w:id="257" w:name="_Toc417378324"/>
      <w:r w:rsidRPr="00C01701">
        <w:rPr>
          <w:lang w:val="lt-LT"/>
        </w:rPr>
        <w:t xml:space="preserve">Paveikslas </w:t>
      </w:r>
      <w:r w:rsidRPr="00C01701">
        <w:rPr>
          <w:lang w:val="lt-LT"/>
        </w:rPr>
        <w:fldChar w:fldCharType="begin"/>
      </w:r>
      <w:r w:rsidRPr="00C01701">
        <w:rPr>
          <w:lang w:val="lt-LT"/>
        </w:rPr>
        <w:instrText xml:space="preserve"> SEQ Paveikslas \* ARABIC </w:instrText>
      </w:r>
      <w:r w:rsidRPr="00C01701">
        <w:rPr>
          <w:lang w:val="lt-LT"/>
        </w:rPr>
        <w:fldChar w:fldCharType="separate"/>
      </w:r>
      <w:r w:rsidR="00AA3082">
        <w:rPr>
          <w:noProof/>
          <w:lang w:val="lt-LT"/>
        </w:rPr>
        <w:t>47</w:t>
      </w:r>
      <w:r w:rsidRPr="00C01701">
        <w:rPr>
          <w:lang w:val="lt-LT"/>
        </w:rPr>
        <w:fldChar w:fldCharType="end"/>
      </w:r>
      <w:r w:rsidRPr="00C01701">
        <w:rPr>
          <w:lang w:val="lt-LT"/>
        </w:rPr>
        <w:t>. Gatvių apšvietimo scenarij</w:t>
      </w:r>
      <w:r>
        <w:rPr>
          <w:lang w:val="lt-LT"/>
        </w:rPr>
        <w:t>a</w:t>
      </w:r>
      <w:r w:rsidRPr="00C01701">
        <w:rPr>
          <w:lang w:val="lt-LT"/>
        </w:rPr>
        <w:t xml:space="preserve">us Nr. </w:t>
      </w:r>
      <w:r>
        <w:rPr>
          <w:lang w:val="lt-LT"/>
        </w:rPr>
        <w:t>7</w:t>
      </w:r>
      <w:r w:rsidRPr="002B70C1">
        <w:rPr>
          <w:lang w:val="lt-LT"/>
        </w:rPr>
        <w:t xml:space="preserve"> </w:t>
      </w:r>
      <w:r>
        <w:rPr>
          <w:lang w:val="lt-LT"/>
        </w:rPr>
        <w:t>schema</w:t>
      </w:r>
      <w:r w:rsidRPr="00C01701">
        <w:rPr>
          <w:lang w:val="lt-LT"/>
        </w:rPr>
        <w:t>.</w:t>
      </w:r>
      <w:bookmarkEnd w:id="257"/>
      <w:r w:rsidRPr="00C01701">
        <w:rPr>
          <w:lang w:val="lt-LT"/>
        </w:rPr>
        <w:t xml:space="preserve"> </w:t>
      </w:r>
    </w:p>
    <w:p w14:paraId="40FCF1E6" w14:textId="77777777" w:rsidR="00280058" w:rsidRDefault="00280058" w:rsidP="00280058">
      <w:pPr>
        <w:jc w:val="both"/>
      </w:pPr>
      <w:r w:rsidRPr="00D4248B">
        <w:rPr>
          <w:rFonts w:ascii="Georgia" w:hAnsi="Georgia"/>
          <w:sz w:val="20"/>
          <w:szCs w:val="20"/>
          <w:lang w:val="lt-LT"/>
        </w:rPr>
        <w:t>Atsižvelgiant į preliminarius pokalbius su bankais ir kitom</w:t>
      </w:r>
      <w:r>
        <w:rPr>
          <w:rFonts w:ascii="Georgia" w:hAnsi="Georgia"/>
          <w:sz w:val="20"/>
          <w:szCs w:val="20"/>
          <w:lang w:val="lt-LT"/>
        </w:rPr>
        <w:t xml:space="preserve">is finansinėmis institucijomis </w:t>
      </w:r>
      <w:r w:rsidRPr="00D4248B">
        <w:rPr>
          <w:rFonts w:ascii="Georgia" w:hAnsi="Georgia"/>
          <w:sz w:val="20"/>
          <w:szCs w:val="20"/>
          <w:lang w:val="lt-LT"/>
        </w:rPr>
        <w:t>ir šiandienines ekonomines aplinkybes</w:t>
      </w:r>
      <w:r>
        <w:rPr>
          <w:rFonts w:ascii="Georgia" w:hAnsi="Georgia"/>
          <w:sz w:val="20"/>
          <w:szCs w:val="20"/>
          <w:lang w:val="lt-LT"/>
        </w:rPr>
        <w:t xml:space="preserve"> bei</w:t>
      </w:r>
      <w:r w:rsidRPr="00D4248B">
        <w:rPr>
          <w:rFonts w:ascii="Georgia" w:hAnsi="Georgia"/>
          <w:sz w:val="20"/>
          <w:szCs w:val="20"/>
          <w:lang w:val="lt-LT"/>
        </w:rPr>
        <w:t xml:space="preserve"> EIB </w:t>
      </w:r>
      <w:r>
        <w:rPr>
          <w:rFonts w:ascii="Georgia" w:hAnsi="Georgia"/>
          <w:sz w:val="20"/>
          <w:szCs w:val="20"/>
          <w:lang w:val="lt-LT"/>
        </w:rPr>
        <w:t>preliminarų vertinimą</w:t>
      </w:r>
      <w:r w:rsidRPr="00D4248B">
        <w:rPr>
          <w:rFonts w:ascii="Georgia" w:hAnsi="Georgia"/>
          <w:sz w:val="20"/>
          <w:szCs w:val="20"/>
          <w:lang w:val="lt-LT"/>
        </w:rPr>
        <w:t xml:space="preserve">, galima būtų tikėtis, kad per 2014-2020 metų laikotarpį būtų galima pasiekti, kad į </w:t>
      </w:r>
      <w:r>
        <w:rPr>
          <w:rFonts w:ascii="Georgia" w:hAnsi="Georgia"/>
          <w:sz w:val="20"/>
          <w:szCs w:val="20"/>
          <w:lang w:val="lt-LT"/>
        </w:rPr>
        <w:t xml:space="preserve">tokio tipo </w:t>
      </w:r>
      <w:r w:rsidRPr="00D4248B">
        <w:rPr>
          <w:rFonts w:ascii="Georgia" w:hAnsi="Georgia"/>
          <w:sz w:val="20"/>
          <w:szCs w:val="20"/>
          <w:lang w:val="lt-LT"/>
        </w:rPr>
        <w:t xml:space="preserve">fondą pritrauktos </w:t>
      </w:r>
      <w:r>
        <w:rPr>
          <w:rFonts w:ascii="Georgia" w:hAnsi="Georgia"/>
          <w:sz w:val="20"/>
          <w:szCs w:val="20"/>
          <w:lang w:val="lt-LT"/>
        </w:rPr>
        <w:t xml:space="preserve">privačios </w:t>
      </w:r>
      <w:r w:rsidRPr="00D4248B">
        <w:rPr>
          <w:rFonts w:ascii="Georgia" w:hAnsi="Georgia"/>
          <w:sz w:val="20"/>
          <w:szCs w:val="20"/>
          <w:lang w:val="lt-LT"/>
        </w:rPr>
        <w:t xml:space="preserve">lėšos </w:t>
      </w:r>
      <w:r>
        <w:rPr>
          <w:rFonts w:ascii="Georgia" w:hAnsi="Georgia"/>
          <w:sz w:val="20"/>
          <w:szCs w:val="20"/>
          <w:lang w:val="lt-LT"/>
        </w:rPr>
        <w:t>sudarytų</w:t>
      </w:r>
      <w:r w:rsidRPr="00D4248B">
        <w:rPr>
          <w:rFonts w:ascii="Georgia" w:hAnsi="Georgia"/>
          <w:sz w:val="20"/>
          <w:szCs w:val="20"/>
          <w:lang w:val="lt-LT"/>
        </w:rPr>
        <w:t xml:space="preserve"> apie </w:t>
      </w:r>
      <w:r>
        <w:rPr>
          <w:rFonts w:ascii="Georgia" w:hAnsi="Georgia"/>
          <w:sz w:val="20"/>
          <w:szCs w:val="20"/>
          <w:lang w:val="lt-LT"/>
        </w:rPr>
        <w:t>7</w:t>
      </w:r>
      <w:r w:rsidRPr="00D4248B">
        <w:rPr>
          <w:rFonts w:ascii="Georgia" w:hAnsi="Georgia"/>
          <w:sz w:val="20"/>
          <w:szCs w:val="20"/>
          <w:lang w:val="lt-LT"/>
        </w:rPr>
        <w:t>0 proc.</w:t>
      </w:r>
      <w:r>
        <w:rPr>
          <w:rFonts w:ascii="Georgia" w:hAnsi="Georgia"/>
          <w:sz w:val="20"/>
          <w:szCs w:val="20"/>
          <w:lang w:val="lt-LT"/>
        </w:rPr>
        <w:t xml:space="preserve"> fondo dydžio, o </w:t>
      </w:r>
      <w:r w:rsidRPr="00D4248B">
        <w:rPr>
          <w:rFonts w:ascii="Georgia" w:hAnsi="Georgia"/>
          <w:sz w:val="20"/>
          <w:szCs w:val="20"/>
          <w:lang w:val="lt-LT"/>
        </w:rPr>
        <w:t>E</w:t>
      </w:r>
      <w:r>
        <w:rPr>
          <w:rFonts w:ascii="Georgia" w:hAnsi="Georgia"/>
          <w:sz w:val="20"/>
          <w:szCs w:val="20"/>
          <w:lang w:val="lt-LT"/>
        </w:rPr>
        <w:t>SI fondų</w:t>
      </w:r>
      <w:r w:rsidRPr="00D4248B">
        <w:rPr>
          <w:rFonts w:ascii="Georgia" w:hAnsi="Georgia"/>
          <w:sz w:val="20"/>
          <w:szCs w:val="20"/>
          <w:lang w:val="lt-LT"/>
        </w:rPr>
        <w:t xml:space="preserve"> struktūrinės lėšos</w:t>
      </w:r>
      <w:r>
        <w:rPr>
          <w:rFonts w:ascii="Georgia" w:hAnsi="Georgia"/>
          <w:sz w:val="20"/>
          <w:szCs w:val="20"/>
          <w:lang w:val="lt-LT"/>
        </w:rPr>
        <w:t xml:space="preserve"> apie</w:t>
      </w:r>
      <w:r w:rsidRPr="00D4248B">
        <w:rPr>
          <w:rFonts w:ascii="Georgia" w:hAnsi="Georgia"/>
          <w:sz w:val="20"/>
          <w:szCs w:val="20"/>
          <w:lang w:val="lt-LT"/>
        </w:rPr>
        <w:t xml:space="preserve"> </w:t>
      </w:r>
      <w:r>
        <w:rPr>
          <w:rFonts w:ascii="Georgia" w:hAnsi="Georgia"/>
          <w:sz w:val="20"/>
          <w:szCs w:val="20"/>
          <w:lang w:val="lt-LT"/>
        </w:rPr>
        <w:t>3</w:t>
      </w:r>
      <w:r w:rsidRPr="00D4248B">
        <w:rPr>
          <w:rFonts w:ascii="Georgia" w:hAnsi="Georgia"/>
          <w:sz w:val="20"/>
          <w:szCs w:val="20"/>
          <w:lang w:val="lt-LT"/>
        </w:rPr>
        <w:t xml:space="preserve">0 proc.. </w:t>
      </w:r>
    </w:p>
    <w:p w14:paraId="42D8E164" w14:textId="77777777" w:rsidR="00280058" w:rsidRDefault="00280058" w:rsidP="00280058">
      <w:pPr>
        <w:jc w:val="both"/>
        <w:rPr>
          <w:rFonts w:ascii="Georgia" w:hAnsi="Georgia"/>
          <w:sz w:val="20"/>
          <w:szCs w:val="20"/>
          <w:lang w:val="lt-LT"/>
        </w:rPr>
      </w:pPr>
      <w:r>
        <w:rPr>
          <w:rFonts w:ascii="Georgia" w:hAnsi="Georgia"/>
          <w:sz w:val="20"/>
          <w:szCs w:val="20"/>
          <w:lang w:val="lt-LT"/>
        </w:rPr>
        <w:t xml:space="preserve">Vertinama, kad finansinės priemonės lėšos bus nukreipiamos paskolų išdavimui. </w:t>
      </w:r>
    </w:p>
    <w:p w14:paraId="154B9531" w14:textId="2BB726A6" w:rsidR="00280058" w:rsidRPr="00C205F4" w:rsidRDefault="00280058" w:rsidP="00280058">
      <w:pPr>
        <w:pStyle w:val="Antrat"/>
        <w:rPr>
          <w:lang w:val="lt-LT"/>
        </w:rPr>
      </w:pPr>
      <w:bookmarkStart w:id="258" w:name="_Toc460321720"/>
      <w:r w:rsidRPr="00427EE8">
        <w:rPr>
          <w:lang w:val="lt-LT"/>
        </w:rPr>
        <w:t xml:space="preserve">Lentelė </w:t>
      </w:r>
      <w:r w:rsidRPr="00427EE8">
        <w:rPr>
          <w:lang w:val="lt-LT"/>
        </w:rPr>
        <w:fldChar w:fldCharType="begin"/>
      </w:r>
      <w:r w:rsidRPr="00427EE8">
        <w:rPr>
          <w:lang w:val="lt-LT"/>
        </w:rPr>
        <w:instrText xml:space="preserve"> SEQ Lentelė \* ARABIC </w:instrText>
      </w:r>
      <w:r w:rsidRPr="00427EE8">
        <w:rPr>
          <w:lang w:val="lt-LT"/>
        </w:rPr>
        <w:fldChar w:fldCharType="separate"/>
      </w:r>
      <w:r w:rsidR="00AA3082">
        <w:rPr>
          <w:noProof/>
          <w:lang w:val="lt-LT"/>
        </w:rPr>
        <w:t>139</w:t>
      </w:r>
      <w:r w:rsidRPr="00427EE8">
        <w:rPr>
          <w:lang w:val="lt-LT"/>
        </w:rPr>
        <w:fldChar w:fldCharType="end"/>
      </w:r>
      <w:r w:rsidRPr="00427EE8">
        <w:rPr>
          <w:lang w:val="lt-LT"/>
        </w:rPr>
        <w:t xml:space="preserve">. </w:t>
      </w:r>
      <w:r w:rsidRPr="002B70C1">
        <w:rPr>
          <w:lang w:val="lt-LT"/>
        </w:rPr>
        <w:t>Scenarijaus Nr. 7 prielaidos</w:t>
      </w:r>
      <w:bookmarkEnd w:id="258"/>
    </w:p>
    <w:tbl>
      <w:tblPr>
        <w:tblStyle w:val="viesussraas2parykinimas"/>
        <w:tblW w:w="5000" w:type="pct"/>
        <w:tblLook w:val="04A0" w:firstRow="1" w:lastRow="0" w:firstColumn="1" w:lastColumn="0" w:noHBand="0" w:noVBand="1"/>
      </w:tblPr>
      <w:tblGrid>
        <w:gridCol w:w="2551"/>
        <w:gridCol w:w="6691"/>
      </w:tblGrid>
      <w:tr w:rsidR="00280058" w:rsidRPr="00E649A6" w14:paraId="751E28E9" w14:textId="77777777" w:rsidTr="008903A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80" w:type="pct"/>
            <w:tcBorders>
              <w:bottom w:val="single" w:sz="8" w:space="0" w:color="C0504D" w:themeColor="accent2"/>
            </w:tcBorders>
          </w:tcPr>
          <w:p w14:paraId="0FA746CE" w14:textId="77777777" w:rsidR="00280058" w:rsidRPr="00AC3318" w:rsidRDefault="00280058" w:rsidP="008903A9">
            <w:pPr>
              <w:keepNext/>
              <w:jc w:val="center"/>
              <w:rPr>
                <w:rFonts w:ascii="Georgia" w:hAnsi="Georgia"/>
                <w:sz w:val="20"/>
                <w:szCs w:val="20"/>
              </w:rPr>
            </w:pPr>
            <w:r w:rsidRPr="00AC3318">
              <w:rPr>
                <w:rFonts w:ascii="Georgia" w:hAnsi="Georgia"/>
                <w:sz w:val="20"/>
                <w:szCs w:val="20"/>
              </w:rPr>
              <w:t>Prielaidos</w:t>
            </w:r>
          </w:p>
        </w:tc>
        <w:tc>
          <w:tcPr>
            <w:tcW w:w="3620" w:type="pct"/>
            <w:tcBorders>
              <w:bottom w:val="single" w:sz="8" w:space="0" w:color="C0504D" w:themeColor="accent2"/>
            </w:tcBorders>
          </w:tcPr>
          <w:p w14:paraId="1F5403B0" w14:textId="77777777" w:rsidR="00280058" w:rsidRPr="00AC3318" w:rsidRDefault="00280058" w:rsidP="008903A9">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Komentaras</w:t>
            </w:r>
          </w:p>
        </w:tc>
      </w:tr>
      <w:tr w:rsidR="00280058" w:rsidRPr="00E649A6" w14:paraId="5C545B5B"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14:paraId="211478C5" w14:textId="77777777" w:rsidR="00280058" w:rsidRPr="00C50D6A" w:rsidRDefault="00280058" w:rsidP="00BB18F6">
            <w:pPr>
              <w:rPr>
                <w:rFonts w:ascii="Georgia" w:hAnsi="Georgia"/>
                <w:b w:val="0"/>
                <w:sz w:val="20"/>
                <w:szCs w:val="20"/>
              </w:rPr>
            </w:pPr>
            <w:r w:rsidRPr="00C50D6A">
              <w:rPr>
                <w:rFonts w:ascii="Georgia" w:hAnsi="Georgia"/>
                <w:sz w:val="20"/>
                <w:szCs w:val="20"/>
              </w:rPr>
              <w:t>Paskolos laikotarpis: iki 20 metų</w:t>
            </w:r>
          </w:p>
        </w:tc>
        <w:tc>
          <w:tcPr>
            <w:tcW w:w="3620" w:type="pct"/>
            <w:tcBorders>
              <w:top w:val="single" w:sz="6" w:space="0" w:color="C0504D" w:themeColor="accent2"/>
              <w:left w:val="single" w:sz="6" w:space="0" w:color="C0504D" w:themeColor="accent2"/>
            </w:tcBorders>
          </w:tcPr>
          <w:p w14:paraId="2969D670" w14:textId="77777777"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Maksim</w:t>
            </w:r>
            <w:r>
              <w:rPr>
                <w:rFonts w:ascii="Georgia" w:hAnsi="Georgia"/>
                <w:sz w:val="20"/>
                <w:szCs w:val="20"/>
              </w:rPr>
              <w:t>alus sutarties terminas 20 metų.</w:t>
            </w:r>
          </w:p>
        </w:tc>
      </w:tr>
      <w:tr w:rsidR="00280058" w:rsidRPr="00E649A6" w14:paraId="0EEFF840" w14:textId="77777777" w:rsidTr="00BB18F6">
        <w:trPr>
          <w:cantSplit/>
          <w:trHeight w:val="489"/>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14:paraId="2B4195A4" w14:textId="77777777" w:rsidR="00280058" w:rsidRPr="00C50D6A" w:rsidRDefault="00280058" w:rsidP="00BB18F6">
            <w:pPr>
              <w:rPr>
                <w:rFonts w:ascii="Georgia" w:hAnsi="Georgia"/>
                <w:b w:val="0"/>
                <w:sz w:val="20"/>
                <w:szCs w:val="20"/>
              </w:rPr>
            </w:pPr>
            <w:r w:rsidRPr="00C50D6A">
              <w:rPr>
                <w:rFonts w:ascii="Georgia" w:hAnsi="Georgia"/>
                <w:sz w:val="20"/>
                <w:szCs w:val="20"/>
              </w:rPr>
              <w:t>Blogų paskolų dalis: 5 %</w:t>
            </w:r>
          </w:p>
        </w:tc>
        <w:tc>
          <w:tcPr>
            <w:tcW w:w="3620" w:type="pct"/>
            <w:tcBorders>
              <w:top w:val="single" w:sz="6" w:space="0" w:color="C0504D" w:themeColor="accent2"/>
              <w:left w:val="single" w:sz="6" w:space="0" w:color="C0504D" w:themeColor="accent2"/>
            </w:tcBorders>
          </w:tcPr>
          <w:p w14:paraId="0E16776B" w14:textId="77777777"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Blogų paskolų dalis buvo nustatyta remiantis ekspertų ir </w:t>
            </w:r>
            <w:r>
              <w:rPr>
                <w:rFonts w:ascii="Georgia" w:hAnsi="Georgia"/>
                <w:sz w:val="20"/>
                <w:szCs w:val="20"/>
              </w:rPr>
              <w:t xml:space="preserve">komercinių </w:t>
            </w:r>
            <w:r w:rsidRPr="00AC3318">
              <w:rPr>
                <w:rFonts w:ascii="Georgia" w:hAnsi="Georgia"/>
                <w:sz w:val="20"/>
                <w:szCs w:val="20"/>
              </w:rPr>
              <w:t>bankų vertinimu ir ji atitinka PwC studijoje nustatytą dydį</w:t>
            </w:r>
          </w:p>
        </w:tc>
      </w:tr>
      <w:tr w:rsidR="00280058" w:rsidRPr="00E649A6" w14:paraId="1DEC25CA"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14:paraId="27136174" w14:textId="77777777" w:rsidR="00280058" w:rsidRPr="00C50D6A" w:rsidRDefault="00280058" w:rsidP="00BB18F6">
            <w:pPr>
              <w:rPr>
                <w:rFonts w:ascii="Georgia" w:hAnsi="Georgia"/>
                <w:b w:val="0"/>
                <w:sz w:val="20"/>
                <w:szCs w:val="20"/>
              </w:rPr>
            </w:pPr>
            <w:r w:rsidRPr="00C50D6A">
              <w:rPr>
                <w:rFonts w:ascii="Georgia" w:hAnsi="Georgia"/>
                <w:sz w:val="20"/>
                <w:szCs w:val="20"/>
              </w:rPr>
              <w:t xml:space="preserve">Vieno šviestuvo pakeitimo vertė: </w:t>
            </w:r>
          </w:p>
          <w:p w14:paraId="2D8E6D71" w14:textId="77777777" w:rsidR="00280058" w:rsidRPr="00C50D6A" w:rsidRDefault="00280058" w:rsidP="00BB18F6">
            <w:pPr>
              <w:rPr>
                <w:rFonts w:ascii="Georgia" w:hAnsi="Georgia"/>
                <w:b w:val="0"/>
                <w:sz w:val="20"/>
                <w:szCs w:val="20"/>
              </w:rPr>
            </w:pPr>
            <w:r w:rsidRPr="00C50D6A">
              <w:rPr>
                <w:rFonts w:ascii="Georgia" w:hAnsi="Georgia"/>
                <w:sz w:val="20"/>
                <w:szCs w:val="20"/>
              </w:rPr>
              <w:t xml:space="preserve">710 </w:t>
            </w:r>
            <w:r w:rsidRPr="00C50D6A">
              <w:rPr>
                <w:rFonts w:ascii="Georgia" w:hAnsi="Georgia"/>
                <w:bCs w:val="0"/>
                <w:sz w:val="20"/>
                <w:szCs w:val="20"/>
              </w:rPr>
              <w:t>eurų</w:t>
            </w:r>
          </w:p>
        </w:tc>
        <w:tc>
          <w:tcPr>
            <w:tcW w:w="3620" w:type="pct"/>
            <w:tcBorders>
              <w:top w:val="single" w:sz="6" w:space="0" w:color="C0504D" w:themeColor="accent2"/>
              <w:left w:val="single" w:sz="6" w:space="0" w:color="C0504D" w:themeColor="accent2"/>
            </w:tcBorders>
          </w:tcPr>
          <w:p w14:paraId="4C095AC5" w14:textId="77777777" w:rsidR="00280058" w:rsidRPr="009D771A"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bCs/>
                <w:sz w:val="20"/>
                <w:szCs w:val="20"/>
              </w:rPr>
            </w:pPr>
            <w:r>
              <w:rPr>
                <w:rFonts w:ascii="Georgia" w:hAnsi="Georgia" w:cs="Georgia"/>
                <w:sz w:val="20"/>
                <w:szCs w:val="20"/>
              </w:rPr>
              <w:t xml:space="preserve">Atsižvelgiant į Vilniaus miesto apšvietimo tinklų modernizavimo techninį projektą bei pasirašytą sutartį su privačiu partneriu, Vilniuje bus renovuota 44000 šviestuvų už 31,28 mln. EUR (108 mln. Lt). Remiantis šiais duomenimis paskaičiuota, kad </w:t>
            </w:r>
            <w:r w:rsidRPr="00AC3318">
              <w:rPr>
                <w:rFonts w:ascii="Georgia" w:hAnsi="Georgia"/>
                <w:bCs/>
                <w:sz w:val="20"/>
                <w:szCs w:val="20"/>
              </w:rPr>
              <w:t xml:space="preserve">vieno šviestuvo vidutinė modernizacijos kaina sieks 710 </w:t>
            </w:r>
            <w:r>
              <w:rPr>
                <w:rFonts w:ascii="Georgia" w:hAnsi="Georgia"/>
                <w:bCs/>
                <w:sz w:val="20"/>
                <w:szCs w:val="20"/>
              </w:rPr>
              <w:t>eurų</w:t>
            </w:r>
            <w:r w:rsidRPr="00AC3318">
              <w:rPr>
                <w:rFonts w:ascii="Georgia" w:hAnsi="Georgia"/>
                <w:bCs/>
                <w:sz w:val="20"/>
                <w:szCs w:val="20"/>
              </w:rPr>
              <w:t xml:space="preserve"> (2451 LTL)</w:t>
            </w:r>
            <w:r>
              <w:rPr>
                <w:rFonts w:ascii="Georgia" w:hAnsi="Georgia"/>
                <w:bCs/>
                <w:sz w:val="20"/>
                <w:szCs w:val="20"/>
              </w:rPr>
              <w:t>.</w:t>
            </w:r>
            <w:r>
              <w:rPr>
                <w:rFonts w:ascii="Georgia" w:hAnsi="Georgia" w:cs="Georgia"/>
                <w:sz w:val="20"/>
                <w:szCs w:val="20"/>
              </w:rPr>
              <w:t xml:space="preserve"> </w:t>
            </w:r>
          </w:p>
        </w:tc>
      </w:tr>
      <w:tr w:rsidR="00280058" w:rsidRPr="00E649A6" w14:paraId="133009C9" w14:textId="77777777" w:rsidTr="00BB18F6">
        <w:trPr>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14:paraId="07727148" w14:textId="77777777" w:rsidR="00280058" w:rsidRPr="00C50D6A" w:rsidRDefault="00280058" w:rsidP="00BB18F6">
            <w:pPr>
              <w:rPr>
                <w:rFonts w:ascii="Georgia" w:hAnsi="Georgia"/>
                <w:b w:val="0"/>
                <w:sz w:val="20"/>
                <w:szCs w:val="20"/>
              </w:rPr>
            </w:pPr>
            <w:r w:rsidRPr="00C50D6A">
              <w:rPr>
                <w:rFonts w:ascii="Georgia" w:hAnsi="Georgia"/>
                <w:sz w:val="20"/>
                <w:szCs w:val="20"/>
              </w:rPr>
              <w:t xml:space="preserve">Investuojamos ESI fondų lėšos į fondą: 14,5 mln. </w:t>
            </w:r>
            <w:r w:rsidRPr="00C50D6A">
              <w:rPr>
                <w:rFonts w:ascii="Georgia" w:hAnsi="Georgia"/>
                <w:bCs w:val="0"/>
                <w:sz w:val="20"/>
                <w:szCs w:val="20"/>
              </w:rPr>
              <w:t>eurų</w:t>
            </w:r>
          </w:p>
        </w:tc>
        <w:tc>
          <w:tcPr>
            <w:tcW w:w="3620" w:type="pct"/>
            <w:tcBorders>
              <w:top w:val="single" w:sz="6" w:space="0" w:color="C0504D" w:themeColor="accent2"/>
              <w:left w:val="single" w:sz="6" w:space="0" w:color="C0504D" w:themeColor="accent2"/>
            </w:tcBorders>
          </w:tcPr>
          <w:p w14:paraId="4C7081CA" w14:textId="77777777"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Daroma prielaida, jog 2014-2020 programavimo periodo, gatvių apšvietimo modernizavimui skirtos lėšos – 14,5 mln. eurų- bus nukeiptos paskolų priemonei įgyvendinti.</w:t>
            </w:r>
          </w:p>
        </w:tc>
      </w:tr>
      <w:tr w:rsidR="00280058" w:rsidRPr="00E649A6" w14:paraId="1719656B"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14:paraId="34F430F9" w14:textId="77777777" w:rsidR="00280058" w:rsidRPr="00C50D6A" w:rsidRDefault="00280058" w:rsidP="00BB18F6">
            <w:pPr>
              <w:rPr>
                <w:rFonts w:ascii="Georgia" w:hAnsi="Georgia"/>
                <w:sz w:val="20"/>
                <w:szCs w:val="20"/>
              </w:rPr>
            </w:pPr>
            <w:r w:rsidRPr="00C50D6A">
              <w:rPr>
                <w:rFonts w:ascii="Georgia" w:hAnsi="Georgia"/>
                <w:sz w:val="20"/>
                <w:szCs w:val="20"/>
              </w:rPr>
              <w:t>Galimų pritraukti privačių lėšų suma: 33,8 mln. eurų</w:t>
            </w:r>
          </w:p>
        </w:tc>
        <w:tc>
          <w:tcPr>
            <w:tcW w:w="3620" w:type="pct"/>
            <w:tcBorders>
              <w:top w:val="single" w:sz="6" w:space="0" w:color="C0504D" w:themeColor="accent2"/>
              <w:left w:val="single" w:sz="6" w:space="0" w:color="C0504D" w:themeColor="accent2"/>
            </w:tcBorders>
          </w:tcPr>
          <w:p w14:paraId="170788D7" w14:textId="77777777"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Remiantis prielaidą, kad bendroje fondo apimtyje privačios lėšos gali sudaryti apie 70 proc. visų lėšų, numatoma jog privačios lėšos sudarys – 33,8 mln. eurų</w:t>
            </w:r>
          </w:p>
        </w:tc>
      </w:tr>
      <w:tr w:rsidR="00280058" w:rsidRPr="00E649A6" w14:paraId="03B9D5C6" w14:textId="77777777" w:rsidTr="00BB18F6">
        <w:trPr>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14:paraId="44546E05" w14:textId="77777777" w:rsidR="00280058" w:rsidRPr="00C50D6A" w:rsidRDefault="00280058" w:rsidP="009647A2">
            <w:pPr>
              <w:rPr>
                <w:rFonts w:ascii="Georgia" w:hAnsi="Georgia"/>
                <w:b w:val="0"/>
                <w:sz w:val="20"/>
                <w:szCs w:val="20"/>
              </w:rPr>
            </w:pPr>
            <w:r w:rsidRPr="00C50D6A">
              <w:rPr>
                <w:rFonts w:ascii="Georgia" w:hAnsi="Georgia"/>
                <w:sz w:val="20"/>
                <w:szCs w:val="20"/>
              </w:rPr>
              <w:t>Palūkanų norma galutiniams naudos gavėjams: 2 %</w:t>
            </w:r>
          </w:p>
        </w:tc>
        <w:tc>
          <w:tcPr>
            <w:tcW w:w="3620" w:type="pct"/>
            <w:tcBorders>
              <w:top w:val="single" w:sz="6" w:space="0" w:color="C0504D" w:themeColor="accent2"/>
              <w:left w:val="single" w:sz="6" w:space="0" w:color="C0504D" w:themeColor="accent2"/>
            </w:tcBorders>
          </w:tcPr>
          <w:p w14:paraId="760D9FD6" w14:textId="77777777"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1D11FC">
              <w:rPr>
                <w:rFonts w:ascii="Georgia" w:hAnsi="Georgia"/>
                <w:sz w:val="20"/>
                <w:szCs w:val="20"/>
              </w:rPr>
              <w:t>Nustatomos lengvatinės  fiksuotos 2% palūkanos.</w:t>
            </w:r>
          </w:p>
        </w:tc>
      </w:tr>
      <w:tr w:rsidR="00280058" w:rsidRPr="00E649A6" w14:paraId="7375BA56"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14:paraId="0B4AB851" w14:textId="77777777" w:rsidR="00280058" w:rsidRPr="00C50D6A" w:rsidRDefault="00280058" w:rsidP="00BB18F6">
            <w:pPr>
              <w:rPr>
                <w:rFonts w:ascii="Georgia" w:hAnsi="Georgia"/>
                <w:b w:val="0"/>
                <w:sz w:val="20"/>
                <w:szCs w:val="20"/>
              </w:rPr>
            </w:pPr>
            <w:r w:rsidRPr="00C50D6A">
              <w:rPr>
                <w:rFonts w:ascii="Georgia" w:hAnsi="Georgia"/>
                <w:sz w:val="20"/>
                <w:szCs w:val="20"/>
              </w:rPr>
              <w:t>Siektinas pakeistų šviestuvų skaičius per metus : 10 000</w:t>
            </w:r>
          </w:p>
        </w:tc>
        <w:tc>
          <w:tcPr>
            <w:tcW w:w="3620" w:type="pct"/>
            <w:tcBorders>
              <w:top w:val="single" w:sz="6" w:space="0" w:color="C0504D" w:themeColor="accent2"/>
              <w:left w:val="single" w:sz="6" w:space="0" w:color="C0504D" w:themeColor="accent2"/>
            </w:tcBorders>
          </w:tcPr>
          <w:p w14:paraId="4C8DB56B" w14:textId="77777777"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Daroma prielaida, kad per metus butų galima </w:t>
            </w:r>
            <w:r>
              <w:rPr>
                <w:rFonts w:ascii="Georgia" w:hAnsi="Georgia"/>
                <w:sz w:val="20"/>
                <w:szCs w:val="20"/>
              </w:rPr>
              <w:t>atnaujinti</w:t>
            </w:r>
            <w:r w:rsidRPr="00AC3318">
              <w:rPr>
                <w:rFonts w:ascii="Georgia" w:hAnsi="Georgia"/>
                <w:sz w:val="20"/>
                <w:szCs w:val="20"/>
              </w:rPr>
              <w:t xml:space="preserve"> 10 000 šviestuvų</w:t>
            </w:r>
          </w:p>
        </w:tc>
      </w:tr>
      <w:tr w:rsidR="00280058" w:rsidRPr="00E649A6" w14:paraId="5A683B64" w14:textId="77777777" w:rsidTr="00BB18F6">
        <w:trPr>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14:paraId="067A67BD" w14:textId="77777777" w:rsidR="00280058" w:rsidRPr="00C50D6A" w:rsidRDefault="00280058" w:rsidP="00BB18F6">
            <w:pPr>
              <w:rPr>
                <w:rFonts w:ascii="Georgia" w:hAnsi="Georgia"/>
                <w:b w:val="0"/>
                <w:sz w:val="20"/>
                <w:szCs w:val="20"/>
              </w:rPr>
            </w:pPr>
            <w:r w:rsidRPr="00C50D6A">
              <w:rPr>
                <w:rFonts w:ascii="Georgia" w:hAnsi="Georgia"/>
                <w:sz w:val="20"/>
              </w:rPr>
              <w:lastRenderedPageBreak/>
              <w:t>Valdymo mokestis: vadovaujantis Deleguoto reglamento nuostatomis</w:t>
            </w:r>
          </w:p>
        </w:tc>
        <w:tc>
          <w:tcPr>
            <w:tcW w:w="3620" w:type="pct"/>
            <w:tcBorders>
              <w:top w:val="single" w:sz="6" w:space="0" w:color="C0504D" w:themeColor="accent2"/>
              <w:left w:val="single" w:sz="6" w:space="0" w:color="C0504D" w:themeColor="accent2"/>
            </w:tcBorders>
          </w:tcPr>
          <w:p w14:paraId="20EA5FC1" w14:textId="77777777" w:rsidR="00280058" w:rsidRPr="00AC3318" w:rsidRDefault="00280058" w:rsidP="009647A2">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rPr>
              <w:t>Vadovaujantis Deleguoto reglamento nuostatomis, valdymo mokestis susideda iš dviejų dalių: 0,5 proc. bazinis mokestis nuo finansinei priemonei skirtų ir įmokėtų lėšų, 1 proc. mokestis n</w:t>
            </w:r>
            <w:r w:rsidRPr="00A445EE">
              <w:rPr>
                <w:rFonts w:ascii="Georgia" w:hAnsi="Georgia"/>
                <w:sz w:val="20"/>
              </w:rPr>
              <w:t xml:space="preserve">uo </w:t>
            </w:r>
            <w:r>
              <w:rPr>
                <w:rFonts w:ascii="Georgia" w:hAnsi="Georgia"/>
                <w:sz w:val="20"/>
              </w:rPr>
              <w:t>paskolų,</w:t>
            </w:r>
            <w:r w:rsidRPr="00A445EE">
              <w:rPr>
                <w:rFonts w:ascii="Georgia" w:hAnsi="Georgia"/>
                <w:sz w:val="20"/>
              </w:rPr>
              <w:t xml:space="preserve"> </w:t>
            </w:r>
            <w:r>
              <w:rPr>
                <w:rFonts w:ascii="Georgia" w:hAnsi="Georgia"/>
                <w:sz w:val="20"/>
              </w:rPr>
              <w:t>suteikt</w:t>
            </w:r>
            <w:r w:rsidRPr="00A445EE">
              <w:rPr>
                <w:rFonts w:ascii="Georgia" w:hAnsi="Georgia"/>
                <w:sz w:val="20"/>
              </w:rPr>
              <w:t xml:space="preserve">ų </w:t>
            </w:r>
            <w:r>
              <w:rPr>
                <w:rFonts w:ascii="Georgia" w:hAnsi="Georgia"/>
                <w:sz w:val="20"/>
              </w:rPr>
              <w:t xml:space="preserve">galutiniams </w:t>
            </w:r>
            <w:r w:rsidRPr="00A445EE">
              <w:rPr>
                <w:rFonts w:ascii="Georgia" w:hAnsi="Georgia"/>
                <w:sz w:val="20"/>
              </w:rPr>
              <w:t>naudos gavėjams</w:t>
            </w:r>
            <w:r>
              <w:rPr>
                <w:rFonts w:ascii="Georgia" w:hAnsi="Georgia"/>
                <w:sz w:val="20"/>
              </w:rPr>
              <w:t>, sumos.</w:t>
            </w:r>
          </w:p>
        </w:tc>
      </w:tr>
      <w:tr w:rsidR="00280058" w:rsidRPr="00E649A6" w14:paraId="4F5C93AA" w14:textId="77777777" w:rsidTr="00BB1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14:paraId="6BBB41B8" w14:textId="77777777" w:rsidR="00280058" w:rsidRPr="00C50D6A" w:rsidRDefault="00280058" w:rsidP="00BB18F6">
            <w:pPr>
              <w:rPr>
                <w:rFonts w:ascii="Georgia" w:hAnsi="Georgia"/>
                <w:b w:val="0"/>
                <w:sz w:val="20"/>
                <w:szCs w:val="20"/>
              </w:rPr>
            </w:pPr>
            <w:r w:rsidRPr="00C50D6A">
              <w:rPr>
                <w:rFonts w:ascii="Georgia" w:hAnsi="Georgia"/>
                <w:sz w:val="20"/>
                <w:szCs w:val="20"/>
              </w:rPr>
              <w:t xml:space="preserve">Projekto įgyvendinimo laikotarpis: 1 metai </w:t>
            </w:r>
          </w:p>
        </w:tc>
        <w:tc>
          <w:tcPr>
            <w:tcW w:w="3620" w:type="pct"/>
            <w:tcBorders>
              <w:top w:val="single" w:sz="6" w:space="0" w:color="C0504D" w:themeColor="accent2"/>
              <w:left w:val="single" w:sz="6" w:space="0" w:color="C0504D" w:themeColor="accent2"/>
            </w:tcBorders>
          </w:tcPr>
          <w:p w14:paraId="09D51A3F" w14:textId="77777777" w:rsidR="00280058" w:rsidRPr="00AC3318" w:rsidRDefault="00280058" w:rsidP="00BB18F6">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Daroma prielaida, jog 10000 šviestuvų modernizavimo laikas yra 1 metai nuo paskolos sutarties pasirašymo momento.</w:t>
            </w:r>
          </w:p>
        </w:tc>
      </w:tr>
      <w:tr w:rsidR="00280058" w:rsidRPr="00E649A6" w14:paraId="0C608C1F" w14:textId="77777777" w:rsidTr="00BB18F6">
        <w:trPr>
          <w:cantSplit/>
        </w:trPr>
        <w:tc>
          <w:tcPr>
            <w:cnfStyle w:val="001000000000" w:firstRow="0" w:lastRow="0" w:firstColumn="1" w:lastColumn="0" w:oddVBand="0" w:evenVBand="0" w:oddHBand="0" w:evenHBand="0" w:firstRowFirstColumn="0" w:firstRowLastColumn="0" w:lastRowFirstColumn="0" w:lastRowLastColumn="0"/>
            <w:tcW w:w="1380" w:type="pct"/>
            <w:tcBorders>
              <w:top w:val="single" w:sz="6" w:space="0" w:color="C0504D" w:themeColor="accent2"/>
              <w:right w:val="single" w:sz="6" w:space="0" w:color="C0504D" w:themeColor="accent2"/>
            </w:tcBorders>
          </w:tcPr>
          <w:p w14:paraId="2D99C41D" w14:textId="77777777" w:rsidR="00280058" w:rsidRPr="00C50D6A" w:rsidRDefault="00280058" w:rsidP="00BB18F6">
            <w:pPr>
              <w:rPr>
                <w:rFonts w:ascii="Georgia" w:hAnsi="Georgia"/>
                <w:b w:val="0"/>
                <w:sz w:val="20"/>
                <w:szCs w:val="20"/>
              </w:rPr>
            </w:pPr>
            <w:r w:rsidRPr="00C50D6A">
              <w:rPr>
                <w:rFonts w:ascii="Georgia" w:hAnsi="Georgia"/>
                <w:sz w:val="20"/>
              </w:rPr>
              <w:t>Sugrįžusios lėšos pakartotinai panaudojamos: po 2 metų</w:t>
            </w:r>
          </w:p>
        </w:tc>
        <w:tc>
          <w:tcPr>
            <w:tcW w:w="3620" w:type="pct"/>
            <w:tcBorders>
              <w:top w:val="single" w:sz="6" w:space="0" w:color="C0504D" w:themeColor="accent2"/>
              <w:left w:val="single" w:sz="6" w:space="0" w:color="C0504D" w:themeColor="accent2"/>
            </w:tcBorders>
          </w:tcPr>
          <w:p w14:paraId="7F0560D3" w14:textId="77777777" w:rsidR="00280058" w:rsidRPr="00AC3318" w:rsidRDefault="00280058" w:rsidP="00BB18F6">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rPr>
              <w:t>Daroma prielaida, jog g</w:t>
            </w:r>
            <w:r w:rsidRPr="00E649A6">
              <w:rPr>
                <w:rFonts w:ascii="Georgia" w:hAnsi="Georgia"/>
                <w:sz w:val="20"/>
              </w:rPr>
              <w:t>rįžta</w:t>
            </w:r>
            <w:r>
              <w:rPr>
                <w:rFonts w:ascii="Georgia" w:hAnsi="Georgia"/>
                <w:sz w:val="20"/>
              </w:rPr>
              <w:t>nč</w:t>
            </w:r>
            <w:r w:rsidRPr="00E649A6">
              <w:rPr>
                <w:rFonts w:ascii="Georgia" w:hAnsi="Georgia"/>
                <w:sz w:val="20"/>
              </w:rPr>
              <w:t xml:space="preserve">ios lėšos </w:t>
            </w:r>
            <w:r>
              <w:rPr>
                <w:rFonts w:ascii="Georgia" w:hAnsi="Georgia"/>
                <w:sz w:val="20"/>
              </w:rPr>
              <w:t>pakartotinai panaudojamos projektų finansavimui tomis pačiomis sąlygomis po 2 metų.</w:t>
            </w:r>
          </w:p>
        </w:tc>
      </w:tr>
    </w:tbl>
    <w:p w14:paraId="6EEC3256" w14:textId="77777777" w:rsidR="00280058" w:rsidRDefault="00280058" w:rsidP="00280058">
      <w:pPr>
        <w:rPr>
          <w:lang w:val="lt-LT"/>
        </w:rPr>
      </w:pPr>
    </w:p>
    <w:p w14:paraId="76540C78" w14:textId="19E5C695" w:rsidR="00280058" w:rsidRPr="00C205F4" w:rsidRDefault="00280058" w:rsidP="00280058">
      <w:pPr>
        <w:pStyle w:val="Antrat"/>
        <w:rPr>
          <w:szCs w:val="20"/>
          <w:lang w:val="lt-LT"/>
        </w:rPr>
      </w:pPr>
      <w:bookmarkStart w:id="259" w:name="_Toc460321721"/>
      <w:r w:rsidRPr="0066230C">
        <w:rPr>
          <w:lang w:val="lt-LT"/>
        </w:rPr>
        <w:t xml:space="preserve">Lentelė </w:t>
      </w:r>
      <w:r w:rsidRPr="0066230C">
        <w:rPr>
          <w:lang w:val="lt-LT"/>
        </w:rPr>
        <w:fldChar w:fldCharType="begin"/>
      </w:r>
      <w:r w:rsidRPr="0066230C">
        <w:rPr>
          <w:lang w:val="lt-LT"/>
        </w:rPr>
        <w:instrText xml:space="preserve"> SEQ Lentelė \* ARABIC </w:instrText>
      </w:r>
      <w:r w:rsidRPr="0066230C">
        <w:rPr>
          <w:lang w:val="lt-LT"/>
        </w:rPr>
        <w:fldChar w:fldCharType="separate"/>
      </w:r>
      <w:r w:rsidR="00AA3082">
        <w:rPr>
          <w:noProof/>
          <w:lang w:val="lt-LT"/>
        </w:rPr>
        <w:t>140</w:t>
      </w:r>
      <w:r w:rsidRPr="0066230C">
        <w:rPr>
          <w:lang w:val="lt-LT"/>
        </w:rPr>
        <w:fldChar w:fldCharType="end"/>
      </w:r>
      <w:r w:rsidRPr="0066230C">
        <w:rPr>
          <w:lang w:val="lt-LT"/>
        </w:rPr>
        <w:t xml:space="preserve">. </w:t>
      </w:r>
      <w:r w:rsidRPr="002B70C1">
        <w:rPr>
          <w:lang w:val="lt-LT"/>
        </w:rPr>
        <w:t xml:space="preserve">Scenarijaus Nr. 7 </w:t>
      </w:r>
      <w:r w:rsidRPr="00C205F4">
        <w:rPr>
          <w:szCs w:val="20"/>
          <w:lang w:val="lt-LT"/>
        </w:rPr>
        <w:t>lengvatinių paskolų finansinė priemonė</w:t>
      </w:r>
      <w:bookmarkEnd w:id="259"/>
    </w:p>
    <w:p w14:paraId="116F41EC" w14:textId="77777777" w:rsidR="00280058" w:rsidRDefault="00280058" w:rsidP="00280058">
      <w:pPr>
        <w:rPr>
          <w:b/>
          <w:lang w:val="lt-LT"/>
        </w:rPr>
      </w:pPr>
      <w:r>
        <w:rPr>
          <w:b/>
          <w:noProof/>
          <w:lang w:val="lt-LT" w:eastAsia="lt-LT"/>
        </w:rPr>
        <w:drawing>
          <wp:inline distT="0" distB="0" distL="0" distR="0" wp14:anchorId="23DC3D0B" wp14:editId="531E9102">
            <wp:extent cx="6115050" cy="2371725"/>
            <wp:effectExtent l="0" t="0" r="0" b="9525"/>
            <wp:docPr id="281" name="Paveikslėlis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pic:cNvPicPr>
                      <a:picLocks noChangeAspect="1" noChangeArrowheads="1"/>
                    </pic:cNvPicPr>
                  </pic:nvPicPr>
                  <pic:blipFill>
                    <a:blip r:embed="rId102">
                      <a:extLst>
                        <a:ext uri="{28A0092B-C50C-407E-A947-70E740481C1C}">
                          <a14:useLocalDpi xmlns:a14="http://schemas.microsoft.com/office/drawing/2010/main"/>
                        </a:ext>
                      </a:extLst>
                    </a:blip>
                    <a:srcRect/>
                    <a:stretch>
                      <a:fillRect/>
                    </a:stretch>
                  </pic:blipFill>
                  <pic:spPr bwMode="auto">
                    <a:xfrm>
                      <a:off x="0" y="0"/>
                      <a:ext cx="6115050" cy="2371725"/>
                    </a:xfrm>
                    <a:prstGeom prst="rect">
                      <a:avLst/>
                    </a:prstGeom>
                    <a:noFill/>
                    <a:ln>
                      <a:noFill/>
                    </a:ln>
                  </pic:spPr>
                </pic:pic>
              </a:graphicData>
            </a:graphic>
          </wp:inline>
        </w:drawing>
      </w:r>
    </w:p>
    <w:p w14:paraId="7440A49E" w14:textId="00D1B07A" w:rsidR="00280058" w:rsidRPr="00C205F4" w:rsidRDefault="00280058" w:rsidP="00280058">
      <w:pPr>
        <w:pStyle w:val="Antrat"/>
        <w:rPr>
          <w:szCs w:val="20"/>
          <w:lang w:val="lt-LT"/>
        </w:rPr>
      </w:pPr>
      <w:r w:rsidRPr="002B70C1" w:rsidDel="0052340A">
        <w:rPr>
          <w:noProof/>
          <w:szCs w:val="20"/>
          <w:lang w:val="lt-LT" w:eastAsia="lt-LT"/>
        </w:rPr>
        <w:t xml:space="preserve"> </w:t>
      </w:r>
      <w:bookmarkStart w:id="260" w:name="_Toc460321722"/>
      <w:r w:rsidRPr="0066230C">
        <w:rPr>
          <w:lang w:val="lt-LT"/>
        </w:rPr>
        <w:t xml:space="preserve">Lentelė </w:t>
      </w:r>
      <w:r w:rsidRPr="0066230C">
        <w:rPr>
          <w:lang w:val="lt-LT"/>
        </w:rPr>
        <w:fldChar w:fldCharType="begin"/>
      </w:r>
      <w:r w:rsidRPr="0066230C">
        <w:rPr>
          <w:lang w:val="lt-LT"/>
        </w:rPr>
        <w:instrText xml:space="preserve"> SEQ Lentelė \* ARABIC </w:instrText>
      </w:r>
      <w:r w:rsidRPr="0066230C">
        <w:rPr>
          <w:lang w:val="lt-LT"/>
        </w:rPr>
        <w:fldChar w:fldCharType="separate"/>
      </w:r>
      <w:r w:rsidR="00AA3082">
        <w:rPr>
          <w:noProof/>
          <w:lang w:val="lt-LT"/>
        </w:rPr>
        <w:t>141</w:t>
      </w:r>
      <w:r w:rsidRPr="0066230C">
        <w:rPr>
          <w:lang w:val="lt-LT"/>
        </w:rPr>
        <w:fldChar w:fldCharType="end"/>
      </w:r>
      <w:r w:rsidRPr="0066230C">
        <w:rPr>
          <w:lang w:val="lt-LT"/>
        </w:rPr>
        <w:t xml:space="preserve">. </w:t>
      </w:r>
      <w:r w:rsidRPr="002B70C1">
        <w:rPr>
          <w:lang w:val="lt-LT"/>
        </w:rPr>
        <w:t xml:space="preserve">Scenarijaus Nr. </w:t>
      </w:r>
      <w:r w:rsidRPr="00C205F4">
        <w:rPr>
          <w:lang w:val="lt-LT"/>
        </w:rPr>
        <w:t>7 rezultatai</w:t>
      </w:r>
      <w:bookmarkEnd w:id="260"/>
    </w:p>
    <w:tbl>
      <w:tblPr>
        <w:tblStyle w:val="viesussraas2parykinimas"/>
        <w:tblW w:w="5000" w:type="pct"/>
        <w:tblLook w:val="04A0" w:firstRow="1" w:lastRow="0" w:firstColumn="1" w:lastColumn="0" w:noHBand="0" w:noVBand="1"/>
      </w:tblPr>
      <w:tblGrid>
        <w:gridCol w:w="6630"/>
        <w:gridCol w:w="2612"/>
      </w:tblGrid>
      <w:tr w:rsidR="00280058" w:rsidRPr="00E649A6" w14:paraId="1BEA7885" w14:textId="77777777" w:rsidTr="008903A9">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87" w:type="pct"/>
            <w:tcBorders>
              <w:top w:val="single" w:sz="8" w:space="0" w:color="C0504D" w:themeColor="accent2"/>
              <w:left w:val="single" w:sz="8" w:space="0" w:color="C0504D" w:themeColor="accent2"/>
              <w:bottom w:val="nil"/>
              <w:right w:val="nil"/>
            </w:tcBorders>
            <w:hideMark/>
          </w:tcPr>
          <w:p w14:paraId="6EF82FD7" w14:textId="77777777" w:rsidR="00280058" w:rsidRPr="00AC3318" w:rsidRDefault="00280058" w:rsidP="00BB18F6">
            <w:pPr>
              <w:jc w:val="center"/>
              <w:rPr>
                <w:rFonts w:ascii="Georgia" w:hAnsi="Georgia"/>
                <w:sz w:val="20"/>
                <w:szCs w:val="20"/>
              </w:rPr>
            </w:pPr>
            <w:r w:rsidRPr="00AC3318">
              <w:rPr>
                <w:rFonts w:ascii="Georgia" w:hAnsi="Georgia"/>
                <w:sz w:val="20"/>
                <w:szCs w:val="20"/>
              </w:rPr>
              <w:t>Fondas</w:t>
            </w:r>
          </w:p>
        </w:tc>
        <w:tc>
          <w:tcPr>
            <w:tcW w:w="1413" w:type="pct"/>
            <w:tcBorders>
              <w:top w:val="single" w:sz="8" w:space="0" w:color="C0504D" w:themeColor="accent2"/>
              <w:left w:val="nil"/>
              <w:bottom w:val="nil"/>
              <w:right w:val="single" w:sz="8" w:space="0" w:color="C0504D" w:themeColor="accent2"/>
            </w:tcBorders>
            <w:hideMark/>
          </w:tcPr>
          <w:p w14:paraId="4250416B" w14:textId="77777777" w:rsidR="00280058" w:rsidRPr="00AC3318" w:rsidRDefault="00280058" w:rsidP="00BB18F6">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C3318">
              <w:rPr>
                <w:rFonts w:ascii="Georgia" w:hAnsi="Georgia"/>
                <w:sz w:val="20"/>
                <w:szCs w:val="20"/>
              </w:rPr>
              <w:t xml:space="preserve">mln. </w:t>
            </w:r>
            <w:r>
              <w:rPr>
                <w:rFonts w:ascii="Georgia" w:hAnsi="Georgia"/>
                <w:bCs w:val="0"/>
                <w:sz w:val="20"/>
                <w:szCs w:val="20"/>
              </w:rPr>
              <w:t>eurų</w:t>
            </w:r>
          </w:p>
        </w:tc>
      </w:tr>
      <w:tr w:rsidR="00280058" w:rsidRPr="00E649A6" w14:paraId="23EBD6B1" w14:textId="77777777" w:rsidTr="008903A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87" w:type="pct"/>
            <w:tcBorders>
              <w:right w:val="nil"/>
            </w:tcBorders>
            <w:hideMark/>
          </w:tcPr>
          <w:p w14:paraId="0D1E4735" w14:textId="77777777" w:rsidR="00280058" w:rsidRPr="00AC3318" w:rsidRDefault="00280058" w:rsidP="00BB18F6">
            <w:pPr>
              <w:rPr>
                <w:rFonts w:ascii="Georgia" w:hAnsi="Georgia"/>
                <w:sz w:val="20"/>
                <w:szCs w:val="20"/>
              </w:rPr>
            </w:pPr>
            <w:r w:rsidRPr="00AC3318">
              <w:rPr>
                <w:rFonts w:ascii="Georgia" w:hAnsi="Georgia"/>
                <w:sz w:val="20"/>
                <w:szCs w:val="20"/>
              </w:rPr>
              <w:t>Galutinius naudos gavėjus pasiekusios lėšos</w:t>
            </w:r>
          </w:p>
        </w:tc>
        <w:tc>
          <w:tcPr>
            <w:tcW w:w="1413" w:type="pct"/>
            <w:tcBorders>
              <w:left w:val="nil"/>
            </w:tcBorders>
            <w:hideMark/>
          </w:tcPr>
          <w:p w14:paraId="5D9E7B44" w14:textId="77777777" w:rsidR="00280058" w:rsidRPr="00AC3318" w:rsidRDefault="00280058" w:rsidP="00BB18F6">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34,6</w:t>
            </w:r>
          </w:p>
        </w:tc>
      </w:tr>
      <w:tr w:rsidR="00280058" w:rsidRPr="00E649A6" w14:paraId="27435231" w14:textId="77777777" w:rsidTr="008903A9">
        <w:trPr>
          <w:trHeight w:val="266"/>
        </w:trPr>
        <w:tc>
          <w:tcPr>
            <w:cnfStyle w:val="001000000000" w:firstRow="0" w:lastRow="0" w:firstColumn="1" w:lastColumn="0" w:oddVBand="0" w:evenVBand="0" w:oddHBand="0" w:evenHBand="0" w:firstRowFirstColumn="0" w:firstRowLastColumn="0" w:lastRowFirstColumn="0" w:lastRowLastColumn="0"/>
            <w:tcW w:w="3587" w:type="pct"/>
            <w:tcBorders>
              <w:right w:val="nil"/>
            </w:tcBorders>
            <w:hideMark/>
          </w:tcPr>
          <w:p w14:paraId="299808DD" w14:textId="77777777" w:rsidR="00280058" w:rsidRPr="00AC3318" w:rsidRDefault="00280058" w:rsidP="00BB18F6">
            <w:pPr>
              <w:rPr>
                <w:rFonts w:ascii="Georgia" w:hAnsi="Georgia"/>
                <w:sz w:val="20"/>
                <w:szCs w:val="20"/>
              </w:rPr>
            </w:pPr>
            <w:r w:rsidRPr="00AC3318">
              <w:rPr>
                <w:rFonts w:ascii="Georgia" w:hAnsi="Georgia"/>
                <w:sz w:val="20"/>
                <w:szCs w:val="20"/>
              </w:rPr>
              <w:t>Renovuotų šviestuvų skaičius</w:t>
            </w:r>
          </w:p>
        </w:tc>
        <w:tc>
          <w:tcPr>
            <w:tcW w:w="1413" w:type="pct"/>
            <w:tcBorders>
              <w:left w:val="nil"/>
            </w:tcBorders>
            <w:hideMark/>
          </w:tcPr>
          <w:p w14:paraId="4898C17A" w14:textId="77777777" w:rsidR="00280058" w:rsidRPr="00AC3318" w:rsidRDefault="00280058" w:rsidP="00BB18F6">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48721</w:t>
            </w:r>
          </w:p>
        </w:tc>
      </w:tr>
    </w:tbl>
    <w:p w14:paraId="5CB4F8B7" w14:textId="77777777" w:rsidR="00280058" w:rsidRDefault="00280058" w:rsidP="00280058">
      <w:pPr>
        <w:rPr>
          <w:rFonts w:ascii="Georgia" w:hAnsi="Georgia"/>
          <w:sz w:val="20"/>
          <w:szCs w:val="20"/>
          <w:lang w:val="lt-LT"/>
        </w:rPr>
      </w:pPr>
    </w:p>
    <w:p w14:paraId="25B6794C" w14:textId="77777777" w:rsidR="00280058" w:rsidRDefault="00280058" w:rsidP="00280058">
      <w:pPr>
        <w:rPr>
          <w:rFonts w:ascii="Georgia" w:hAnsi="Georgia"/>
          <w:sz w:val="20"/>
          <w:szCs w:val="20"/>
          <w:lang w:val="lt-LT"/>
        </w:rPr>
      </w:pPr>
    </w:p>
    <w:p w14:paraId="645812E7" w14:textId="77777777" w:rsidR="00280058" w:rsidRPr="00AC3318" w:rsidRDefault="00280058" w:rsidP="00280058">
      <w:pPr>
        <w:rPr>
          <w:rFonts w:ascii="Georgia" w:eastAsiaTheme="majorEastAsia" w:hAnsi="Georgia" w:cstheme="majorBidi"/>
          <w:b/>
          <w:bCs/>
          <w:color w:val="4F81BD" w:themeColor="accent1"/>
          <w:sz w:val="20"/>
          <w:szCs w:val="20"/>
          <w:lang w:val="lt-LT"/>
        </w:rPr>
      </w:pPr>
      <w:r w:rsidRPr="00AC3318">
        <w:rPr>
          <w:rFonts w:ascii="Georgia" w:hAnsi="Georgia"/>
          <w:sz w:val="20"/>
          <w:szCs w:val="20"/>
          <w:lang w:val="lt-LT"/>
        </w:rPr>
        <w:br w:type="page"/>
      </w:r>
    </w:p>
    <w:p w14:paraId="21DA0DE6" w14:textId="77777777" w:rsidR="00280058" w:rsidRPr="00DF3A8E" w:rsidRDefault="00280058" w:rsidP="00C03122">
      <w:pPr>
        <w:pStyle w:val="Antrat2"/>
        <w:numPr>
          <w:ilvl w:val="1"/>
          <w:numId w:val="2"/>
        </w:numPr>
        <w:spacing w:after="240"/>
        <w:rPr>
          <w:lang w:val="lt-LT"/>
        </w:rPr>
      </w:pPr>
      <w:bookmarkStart w:id="261" w:name="_Toc402352631"/>
      <w:bookmarkStart w:id="262" w:name="_Toc417378393"/>
      <w:r w:rsidRPr="00DF3A8E">
        <w:rPr>
          <w:lang w:val="lt-LT"/>
        </w:rPr>
        <w:lastRenderedPageBreak/>
        <w:t>Kokybinis pridėtinės vertės vertinimas</w:t>
      </w:r>
      <w:bookmarkEnd w:id="261"/>
      <w:bookmarkEnd w:id="262"/>
    </w:p>
    <w:p w14:paraId="4553EC33" w14:textId="77777777" w:rsidR="00280058" w:rsidRPr="00AC3318" w:rsidRDefault="00280058" w:rsidP="00280058">
      <w:pPr>
        <w:jc w:val="both"/>
        <w:rPr>
          <w:rStyle w:val="hps"/>
          <w:rFonts w:ascii="Georgia" w:hAnsi="Georgia" w:cs="Arial"/>
          <w:color w:val="222222"/>
          <w:sz w:val="20"/>
          <w:szCs w:val="20"/>
          <w:lang w:val="lt-LT"/>
        </w:rPr>
      </w:pPr>
      <w:r w:rsidRPr="00AC3318">
        <w:rPr>
          <w:rStyle w:val="hps"/>
          <w:rFonts w:ascii="Georgia" w:hAnsi="Georgia" w:cs="Arial"/>
          <w:color w:val="222222"/>
          <w:sz w:val="20"/>
          <w:szCs w:val="20"/>
          <w:lang w:val="lt-LT"/>
        </w:rPr>
        <w:t>Kokybinis pridėtinės vertės vertinimas atliktas integruojant ir papildant PwC studijos informaciją.</w:t>
      </w:r>
      <w:r>
        <w:rPr>
          <w:rStyle w:val="hps"/>
          <w:rFonts w:ascii="Georgia" w:hAnsi="Georgia" w:cs="Arial"/>
          <w:color w:val="222222"/>
          <w:sz w:val="20"/>
          <w:szCs w:val="20"/>
          <w:lang w:val="lt-LT"/>
        </w:rPr>
        <w:t xml:space="preserve"> Kokybinis pridėtinės vertės vertinimas yra pateikiamas stiprybių-silpnybių-grėsmių-galimybių (toliau – SSGG) matricos forma. </w:t>
      </w:r>
    </w:p>
    <w:p w14:paraId="3F992A7B" w14:textId="77777777" w:rsidR="00280058" w:rsidRDefault="00280058" w:rsidP="002A576D">
      <w:pPr>
        <w:pStyle w:val="Antrat2"/>
        <w:numPr>
          <w:ilvl w:val="2"/>
          <w:numId w:val="85"/>
        </w:numPr>
        <w:spacing w:after="240"/>
        <w:rPr>
          <w:rStyle w:val="hps"/>
          <w:rFonts w:ascii="Georgia" w:eastAsiaTheme="minorHAnsi" w:hAnsi="Georgia" w:cs="Arial"/>
          <w:b w:val="0"/>
          <w:bCs w:val="0"/>
          <w:color w:val="222222"/>
          <w:sz w:val="20"/>
          <w:szCs w:val="20"/>
          <w:lang w:val="lt-LT"/>
        </w:rPr>
      </w:pPr>
      <w:bookmarkStart w:id="263" w:name="_Toc399924058"/>
      <w:bookmarkStart w:id="264" w:name="_Toc402352632"/>
      <w:bookmarkStart w:id="265" w:name="_Toc417378394"/>
      <w:r>
        <w:rPr>
          <w:lang w:val="lt-LT"/>
        </w:rPr>
        <w:t>SSGG analizė. Daugiabučių namų renovacija</w:t>
      </w:r>
      <w:bookmarkEnd w:id="263"/>
      <w:bookmarkEnd w:id="264"/>
      <w:bookmarkEnd w:id="265"/>
    </w:p>
    <w:tbl>
      <w:tblPr>
        <w:tblStyle w:val="1vidutinistinklelis2parykinimas"/>
        <w:tblW w:w="0" w:type="auto"/>
        <w:tblLook w:val="04A0" w:firstRow="1" w:lastRow="0" w:firstColumn="1" w:lastColumn="0" w:noHBand="0" w:noVBand="1"/>
      </w:tblPr>
      <w:tblGrid>
        <w:gridCol w:w="4621"/>
        <w:gridCol w:w="4621"/>
      </w:tblGrid>
      <w:tr w:rsidR="00280058" w14:paraId="60298FED" w14:textId="77777777" w:rsidTr="00BB18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71FF953C" w14:textId="77777777" w:rsidR="00280058" w:rsidRDefault="00280058" w:rsidP="00BB18F6">
            <w:pPr>
              <w:spacing w:after="120"/>
              <w:jc w:val="both"/>
              <w:rPr>
                <w:rStyle w:val="hps"/>
                <w:rFonts w:ascii="Georgia" w:hAnsi="Georgia" w:cs="Arial"/>
                <w:color w:val="222222"/>
                <w:sz w:val="20"/>
                <w:szCs w:val="20"/>
                <w:lang w:val="lt-LT"/>
              </w:rPr>
            </w:pPr>
            <w:r>
              <w:rPr>
                <w:rStyle w:val="hps"/>
                <w:rFonts w:ascii="Georgia" w:hAnsi="Georgia" w:cs="Arial"/>
                <w:color w:val="222222"/>
                <w:sz w:val="20"/>
                <w:szCs w:val="20"/>
                <w:lang w:val="lt-LT"/>
              </w:rPr>
              <w:t>Stiprybės</w:t>
            </w:r>
          </w:p>
          <w:p w14:paraId="750D15DB" w14:textId="77777777" w:rsidR="00280058" w:rsidRDefault="00280058" w:rsidP="002A576D">
            <w:pPr>
              <w:pStyle w:val="Sraopastraipa"/>
              <w:numPr>
                <w:ilvl w:val="0"/>
                <w:numId w:val="72"/>
              </w:numPr>
              <w:ind w:left="426"/>
              <w:jc w:val="both"/>
              <w:rPr>
                <w:rStyle w:val="hps"/>
                <w:rFonts w:ascii="Georgia" w:eastAsiaTheme="majorEastAsia" w:hAnsi="Georgia" w:cs="Arial"/>
                <w:color w:val="222222"/>
                <w:sz w:val="20"/>
                <w:szCs w:val="20"/>
                <w:lang w:val="lt-LT"/>
              </w:rPr>
            </w:pPr>
            <w:r>
              <w:rPr>
                <w:rStyle w:val="hps"/>
                <w:rFonts w:ascii="Georgia" w:hAnsi="Georgia" w:cs="Arial"/>
                <w:b w:val="0"/>
                <w:color w:val="222222"/>
                <w:sz w:val="20"/>
                <w:szCs w:val="20"/>
                <w:lang w:val="lt-LT"/>
              </w:rPr>
              <w:t>Aiškus investicijų grįžimo šaltinis – energijos sutaupymai</w:t>
            </w:r>
          </w:p>
          <w:p w14:paraId="120C6487" w14:textId="77777777" w:rsidR="00280058" w:rsidRDefault="00280058" w:rsidP="002A576D">
            <w:pPr>
              <w:pStyle w:val="Sraopastraipa"/>
              <w:numPr>
                <w:ilvl w:val="0"/>
                <w:numId w:val="72"/>
              </w:numPr>
              <w:ind w:left="426"/>
              <w:jc w:val="both"/>
              <w:rPr>
                <w:rStyle w:val="hps"/>
                <w:rFonts w:ascii="Georgia" w:eastAsiaTheme="majorEastAsia" w:hAnsi="Georgia" w:cs="Arial"/>
                <w:color w:val="222222"/>
                <w:sz w:val="20"/>
                <w:szCs w:val="20"/>
                <w:lang w:val="lt-LT"/>
              </w:rPr>
            </w:pPr>
            <w:r>
              <w:rPr>
                <w:rStyle w:val="hps"/>
                <w:rFonts w:ascii="Georgia" w:hAnsi="Georgia" w:cs="Arial"/>
                <w:b w:val="0"/>
                <w:color w:val="222222"/>
                <w:sz w:val="20"/>
                <w:szCs w:val="20"/>
                <w:lang w:val="lt-LT"/>
              </w:rPr>
              <w:t>JESSICA KF įgyvendinimo metu įgyta patirtis – tiek valstybės institucijų, tiek finansinių tarpininkų</w:t>
            </w:r>
          </w:p>
          <w:p w14:paraId="00794D2A" w14:textId="77777777" w:rsidR="00280058" w:rsidRDefault="00280058" w:rsidP="002A576D">
            <w:pPr>
              <w:pStyle w:val="Sraopastraipa"/>
              <w:numPr>
                <w:ilvl w:val="0"/>
                <w:numId w:val="72"/>
              </w:numPr>
              <w:ind w:left="426"/>
              <w:jc w:val="both"/>
              <w:rPr>
                <w:rStyle w:val="hps"/>
                <w:rFonts w:ascii="Georgia" w:eastAsiaTheme="majorEastAsia" w:hAnsi="Georgia" w:cs="Arial"/>
                <w:color w:val="222222"/>
                <w:sz w:val="20"/>
                <w:szCs w:val="20"/>
                <w:lang w:val="lt-LT"/>
              </w:rPr>
            </w:pPr>
            <w:r>
              <w:rPr>
                <w:rStyle w:val="hps"/>
                <w:rFonts w:ascii="Georgia" w:hAnsi="Georgia" w:cs="Arial"/>
                <w:b w:val="0"/>
                <w:color w:val="222222"/>
                <w:sz w:val="20"/>
                <w:szCs w:val="20"/>
                <w:lang w:val="lt-LT"/>
              </w:rPr>
              <w:t>Politinis palaikymas</w:t>
            </w:r>
          </w:p>
          <w:p w14:paraId="4891E7A0" w14:textId="77777777" w:rsidR="00280058" w:rsidRDefault="00280058" w:rsidP="002A576D">
            <w:pPr>
              <w:pStyle w:val="Sraopastraipa"/>
              <w:numPr>
                <w:ilvl w:val="0"/>
                <w:numId w:val="72"/>
              </w:numPr>
              <w:ind w:left="426"/>
              <w:jc w:val="both"/>
              <w:rPr>
                <w:rStyle w:val="hps"/>
                <w:rFonts w:ascii="Georgia" w:eastAsiaTheme="majorEastAsia" w:hAnsi="Georgia" w:cs="Arial"/>
                <w:color w:val="222222"/>
                <w:sz w:val="20"/>
                <w:szCs w:val="20"/>
                <w:lang w:val="lt-LT"/>
              </w:rPr>
            </w:pPr>
            <w:r>
              <w:rPr>
                <w:rStyle w:val="hps"/>
                <w:rFonts w:ascii="Georgia" w:hAnsi="Georgia" w:cs="Arial"/>
                <w:b w:val="0"/>
                <w:color w:val="222222"/>
                <w:sz w:val="20"/>
                <w:szCs w:val="20"/>
                <w:lang w:val="lt-LT"/>
              </w:rPr>
              <w:t>Didėjantis gyventojų sąmoningumas</w:t>
            </w:r>
          </w:p>
          <w:p w14:paraId="206FB4C7" w14:textId="77777777" w:rsidR="00280058" w:rsidRDefault="00280058" w:rsidP="002A576D">
            <w:pPr>
              <w:pStyle w:val="Sraopastraipa"/>
              <w:numPr>
                <w:ilvl w:val="0"/>
                <w:numId w:val="72"/>
              </w:numPr>
              <w:ind w:left="426"/>
              <w:jc w:val="both"/>
              <w:rPr>
                <w:rStyle w:val="hps"/>
                <w:rFonts w:ascii="Georgia" w:eastAsiaTheme="majorEastAsia" w:hAnsi="Georgia" w:cs="Arial"/>
                <w:color w:val="222222"/>
                <w:sz w:val="20"/>
                <w:szCs w:val="20"/>
                <w:lang w:val="lt-LT"/>
              </w:rPr>
            </w:pPr>
            <w:r>
              <w:rPr>
                <w:rStyle w:val="hps"/>
                <w:rFonts w:ascii="Georgia" w:hAnsi="Georgia" w:cs="Arial"/>
                <w:b w:val="0"/>
                <w:color w:val="222222"/>
                <w:sz w:val="20"/>
                <w:szCs w:val="20"/>
                <w:lang w:val="lt-LT"/>
              </w:rPr>
              <w:t>Palengvinti centralizuoti viešieji pirkimai</w:t>
            </w:r>
          </w:p>
          <w:p w14:paraId="7876F874" w14:textId="77777777" w:rsidR="00280058" w:rsidRDefault="00280058" w:rsidP="002A576D">
            <w:pPr>
              <w:pStyle w:val="Sraopastraipa"/>
              <w:numPr>
                <w:ilvl w:val="0"/>
                <w:numId w:val="72"/>
              </w:numPr>
              <w:ind w:left="426"/>
              <w:jc w:val="both"/>
              <w:rPr>
                <w:rStyle w:val="hps"/>
                <w:rFonts w:ascii="Georgia" w:eastAsiaTheme="majorEastAsia" w:hAnsi="Georgia" w:cs="Arial"/>
                <w:color w:val="222222"/>
                <w:sz w:val="20"/>
                <w:szCs w:val="20"/>
                <w:lang w:val="lt-LT"/>
              </w:rPr>
            </w:pPr>
            <w:r>
              <w:rPr>
                <w:rStyle w:val="hps"/>
                <w:rFonts w:ascii="Georgia" w:hAnsi="Georgia" w:cs="Arial"/>
                <w:b w:val="0"/>
                <w:color w:val="222222"/>
                <w:sz w:val="20"/>
                <w:szCs w:val="20"/>
                <w:lang w:val="lt-LT"/>
              </w:rPr>
              <w:t>Energijos</w:t>
            </w:r>
            <w:r>
              <w:rPr>
                <w:rFonts w:ascii="Georgia" w:hAnsi="Georgia" w:cs="Arial"/>
                <w:b w:val="0"/>
                <w:color w:val="222222"/>
                <w:sz w:val="20"/>
                <w:szCs w:val="20"/>
                <w:lang w:val="lt-LT"/>
              </w:rPr>
              <w:t xml:space="preserve"> </w:t>
            </w:r>
            <w:r>
              <w:rPr>
                <w:rStyle w:val="hps"/>
                <w:rFonts w:ascii="Georgia" w:hAnsi="Georgia" w:cs="Arial"/>
                <w:b w:val="0"/>
                <w:color w:val="222222"/>
                <w:sz w:val="20"/>
                <w:szCs w:val="20"/>
                <w:lang w:val="lt-LT"/>
              </w:rPr>
              <w:t>auditas, investiciniai planai ir energetiniai sertifikatai</w:t>
            </w:r>
            <w:r>
              <w:rPr>
                <w:rFonts w:ascii="Georgia" w:hAnsi="Georgia" w:cs="Arial"/>
                <w:b w:val="0"/>
                <w:color w:val="222222"/>
                <w:sz w:val="20"/>
                <w:szCs w:val="20"/>
                <w:lang w:val="lt-LT"/>
              </w:rPr>
              <w:t xml:space="preserve"> </w:t>
            </w:r>
            <w:r>
              <w:rPr>
                <w:rStyle w:val="hps"/>
                <w:rFonts w:ascii="Georgia" w:hAnsi="Georgia" w:cs="Arial"/>
                <w:b w:val="0"/>
                <w:color w:val="222222"/>
                <w:sz w:val="20"/>
                <w:szCs w:val="20"/>
                <w:lang w:val="lt-LT"/>
              </w:rPr>
              <w:t>leidžia</w:t>
            </w:r>
            <w:r>
              <w:rPr>
                <w:rFonts w:ascii="Georgia" w:hAnsi="Georgia" w:cs="Arial"/>
                <w:b w:val="0"/>
                <w:color w:val="222222"/>
                <w:sz w:val="20"/>
                <w:szCs w:val="20"/>
                <w:lang w:val="lt-LT"/>
              </w:rPr>
              <w:t xml:space="preserve"> </w:t>
            </w:r>
            <w:r>
              <w:rPr>
                <w:rStyle w:val="hps"/>
                <w:rFonts w:ascii="Georgia" w:hAnsi="Georgia" w:cs="Arial"/>
                <w:b w:val="0"/>
                <w:color w:val="222222"/>
                <w:sz w:val="20"/>
                <w:szCs w:val="20"/>
                <w:lang w:val="lt-LT"/>
              </w:rPr>
              <w:t>įvertinti</w:t>
            </w:r>
            <w:r>
              <w:rPr>
                <w:rFonts w:ascii="Georgia" w:hAnsi="Georgia" w:cs="Arial"/>
                <w:b w:val="0"/>
                <w:color w:val="222222"/>
                <w:sz w:val="20"/>
                <w:szCs w:val="20"/>
                <w:lang w:val="lt-LT"/>
              </w:rPr>
              <w:t xml:space="preserve"> </w:t>
            </w:r>
            <w:r>
              <w:rPr>
                <w:rStyle w:val="hps"/>
                <w:rFonts w:ascii="Georgia" w:hAnsi="Georgia" w:cs="Arial"/>
                <w:b w:val="0"/>
                <w:color w:val="222222"/>
                <w:sz w:val="20"/>
                <w:szCs w:val="20"/>
                <w:lang w:val="lt-LT"/>
              </w:rPr>
              <w:t>renovacijos</w:t>
            </w:r>
            <w:r>
              <w:rPr>
                <w:rFonts w:ascii="Georgia" w:hAnsi="Georgia" w:cs="Arial"/>
                <w:b w:val="0"/>
                <w:color w:val="222222"/>
                <w:sz w:val="20"/>
                <w:szCs w:val="20"/>
                <w:lang w:val="lt-LT"/>
              </w:rPr>
              <w:t xml:space="preserve"> </w:t>
            </w:r>
            <w:r>
              <w:rPr>
                <w:rStyle w:val="hps"/>
                <w:rFonts w:ascii="Georgia" w:hAnsi="Georgia" w:cs="Arial"/>
                <w:b w:val="0"/>
                <w:color w:val="222222"/>
                <w:sz w:val="20"/>
                <w:szCs w:val="20"/>
                <w:lang w:val="lt-LT"/>
              </w:rPr>
              <w:t>darbų kokybę</w:t>
            </w:r>
          </w:p>
          <w:p w14:paraId="072662E5" w14:textId="77777777" w:rsidR="00280058" w:rsidRPr="00802547" w:rsidRDefault="00280058" w:rsidP="002A576D">
            <w:pPr>
              <w:pStyle w:val="Sraopastraipa"/>
              <w:numPr>
                <w:ilvl w:val="0"/>
                <w:numId w:val="72"/>
              </w:numPr>
              <w:ind w:left="426"/>
              <w:jc w:val="both"/>
              <w:rPr>
                <w:rStyle w:val="hps"/>
                <w:rFonts w:ascii="Georgia" w:hAnsi="Georgia" w:cs="Arial"/>
                <w:color w:val="222222"/>
                <w:sz w:val="20"/>
                <w:szCs w:val="20"/>
                <w:lang w:val="lt-LT"/>
              </w:rPr>
            </w:pPr>
            <w:r>
              <w:rPr>
                <w:rStyle w:val="hps"/>
                <w:rFonts w:ascii="Georgia" w:hAnsi="Georgia" w:cs="Arial"/>
                <w:b w:val="0"/>
                <w:color w:val="222222"/>
                <w:sz w:val="20"/>
                <w:szCs w:val="20"/>
                <w:lang w:val="lt-LT"/>
              </w:rPr>
              <w:t xml:space="preserve">Suformuotas projektų kiekis (angl. </w:t>
            </w:r>
            <w:r>
              <w:rPr>
                <w:rStyle w:val="hps"/>
                <w:rFonts w:ascii="Georgia" w:hAnsi="Georgia" w:cs="Arial"/>
                <w:b w:val="0"/>
                <w:i/>
                <w:color w:val="222222"/>
                <w:sz w:val="20"/>
                <w:szCs w:val="20"/>
                <w:lang w:val="lt-LT"/>
              </w:rPr>
              <w:t>pipeline)</w:t>
            </w:r>
          </w:p>
          <w:p w14:paraId="66AC9C44" w14:textId="77777777" w:rsidR="00280058" w:rsidRPr="00802547" w:rsidRDefault="00280058" w:rsidP="002A576D">
            <w:pPr>
              <w:pStyle w:val="Sraopastraipa"/>
              <w:numPr>
                <w:ilvl w:val="0"/>
                <w:numId w:val="72"/>
              </w:numPr>
              <w:ind w:left="426"/>
              <w:jc w:val="both"/>
              <w:rPr>
                <w:rStyle w:val="hps"/>
                <w:rFonts w:ascii="Georgia" w:hAnsi="Georgia" w:cs="Arial"/>
                <w:color w:val="222222"/>
                <w:sz w:val="20"/>
                <w:szCs w:val="20"/>
                <w:lang w:val="lt-LT"/>
              </w:rPr>
            </w:pPr>
            <w:r w:rsidRPr="00802547">
              <w:rPr>
                <w:rStyle w:val="hps"/>
                <w:rFonts w:ascii="Georgia" w:hAnsi="Georgia" w:cs="Arial"/>
                <w:b w:val="0"/>
                <w:color w:val="222222"/>
                <w:sz w:val="20"/>
                <w:szCs w:val="20"/>
                <w:lang w:val="lt-LT"/>
              </w:rPr>
              <w:t>Tinkamai ir efektyviai išnaudojamos daugiabučių gyvenamųjų namų bendrojo naudojimo objektų administratori</w:t>
            </w:r>
            <w:r>
              <w:rPr>
                <w:rStyle w:val="hps"/>
                <w:rFonts w:ascii="Georgia" w:hAnsi="Georgia" w:cs="Arial"/>
                <w:b w:val="0"/>
                <w:color w:val="222222"/>
                <w:sz w:val="20"/>
                <w:szCs w:val="20"/>
                <w:lang w:val="lt-LT"/>
              </w:rPr>
              <w:t xml:space="preserve">ų </w:t>
            </w:r>
            <w:r w:rsidRPr="00802547">
              <w:rPr>
                <w:rStyle w:val="hps"/>
                <w:rFonts w:ascii="Georgia" w:hAnsi="Georgia" w:cs="Arial"/>
                <w:b w:val="0"/>
                <w:color w:val="222222"/>
                <w:sz w:val="20"/>
                <w:szCs w:val="20"/>
                <w:lang w:val="lt-LT"/>
              </w:rPr>
              <w:t>funkcijos</w:t>
            </w:r>
          </w:p>
          <w:p w14:paraId="06F3DBEF" w14:textId="77777777" w:rsidR="00280058" w:rsidRDefault="00280058" w:rsidP="002A576D">
            <w:pPr>
              <w:pStyle w:val="Sraopastraipa"/>
              <w:numPr>
                <w:ilvl w:val="0"/>
                <w:numId w:val="72"/>
              </w:numPr>
              <w:spacing w:after="120"/>
              <w:ind w:left="425" w:hanging="357"/>
              <w:jc w:val="both"/>
              <w:rPr>
                <w:b w:val="0"/>
              </w:rPr>
            </w:pPr>
            <w:r>
              <w:rPr>
                <w:rStyle w:val="hps"/>
                <w:rFonts w:ascii="Georgia" w:hAnsi="Georgia" w:cs="Arial"/>
                <w:b w:val="0"/>
                <w:color w:val="222222"/>
                <w:sz w:val="20"/>
                <w:szCs w:val="20"/>
                <w:lang w:val="lt-LT"/>
              </w:rPr>
              <w:t>Didėjantis istorinių duomenų kiekis, leidžiantis tiksliau prognozuoti ir vertinti šių projektų finansavimo ir įgyvendinimo galimybes</w:t>
            </w:r>
          </w:p>
        </w:tc>
        <w:tc>
          <w:tcPr>
            <w:tcW w:w="462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544923A2" w14:textId="77777777" w:rsidR="00280058" w:rsidRDefault="00280058" w:rsidP="00BB18F6">
            <w:pPr>
              <w:spacing w:after="120"/>
              <w:jc w:val="both"/>
              <w:cnfStyle w:val="100000000000" w:firstRow="1" w:lastRow="0" w:firstColumn="0" w:lastColumn="0" w:oddVBand="0" w:evenVBand="0" w:oddHBand="0" w:evenHBand="0" w:firstRowFirstColumn="0" w:firstRowLastColumn="0" w:lastRowFirstColumn="0" w:lastRowLastColumn="0"/>
              <w:rPr>
                <w:rFonts w:ascii="Georgia" w:hAnsi="Georgia" w:cs="Arial"/>
                <w:color w:val="222222"/>
                <w:sz w:val="20"/>
                <w:szCs w:val="20"/>
                <w:lang w:val="lt-LT"/>
              </w:rPr>
            </w:pPr>
            <w:r>
              <w:rPr>
                <w:rStyle w:val="hps"/>
                <w:rFonts w:ascii="Georgia" w:hAnsi="Georgia" w:cs="Arial"/>
                <w:color w:val="222222"/>
                <w:sz w:val="20"/>
                <w:szCs w:val="20"/>
                <w:lang w:val="lt-LT"/>
              </w:rPr>
              <w:t>Silpnybės</w:t>
            </w:r>
          </w:p>
          <w:p w14:paraId="14E8E674" w14:textId="77777777" w:rsidR="00280058" w:rsidRDefault="00280058" w:rsidP="002A576D">
            <w:pPr>
              <w:pStyle w:val="Sraopastraipa"/>
              <w:numPr>
                <w:ilvl w:val="0"/>
                <w:numId w:val="73"/>
              </w:numPr>
              <w:ind w:left="482"/>
              <w:jc w:val="both"/>
              <w:cnfStyle w:val="100000000000" w:firstRow="1" w:lastRow="0" w:firstColumn="0" w:lastColumn="0" w:oddVBand="0" w:evenVBand="0" w:oddHBand="0" w:evenHBand="0" w:firstRowFirstColumn="0" w:firstRowLastColumn="0" w:lastRowFirstColumn="0" w:lastRowLastColumn="0"/>
              <w:rPr>
                <w:rStyle w:val="hps"/>
              </w:rPr>
            </w:pPr>
            <w:r>
              <w:rPr>
                <w:rStyle w:val="hps"/>
                <w:rFonts w:ascii="Georgia" w:hAnsi="Georgia" w:cs="Arial"/>
                <w:b w:val="0"/>
                <w:color w:val="222222"/>
                <w:sz w:val="20"/>
                <w:szCs w:val="20"/>
                <w:lang w:val="lt-LT"/>
              </w:rPr>
              <w:t>Ilgas sutarčių su finansiniais tarpininkais derinimas</w:t>
            </w:r>
          </w:p>
          <w:p w14:paraId="45DDB97F" w14:textId="77777777" w:rsidR="00280058" w:rsidRDefault="00280058" w:rsidP="002A576D">
            <w:pPr>
              <w:pStyle w:val="Sraopastraipa"/>
              <w:numPr>
                <w:ilvl w:val="0"/>
                <w:numId w:val="73"/>
              </w:numPr>
              <w:ind w:left="482"/>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color w:val="222222"/>
                <w:sz w:val="20"/>
                <w:szCs w:val="20"/>
                <w:lang w:val="lt-LT"/>
              </w:rPr>
            </w:pPr>
            <w:r>
              <w:rPr>
                <w:rStyle w:val="hps"/>
                <w:rFonts w:ascii="Georgia" w:hAnsi="Georgia" w:cs="Arial"/>
                <w:b w:val="0"/>
                <w:color w:val="222222"/>
                <w:sz w:val="20"/>
                <w:szCs w:val="20"/>
                <w:lang w:val="lt-LT"/>
              </w:rPr>
              <w:t>Didelis galutinių naudos gavėjų kiekis viename daugiabutyje</w:t>
            </w:r>
          </w:p>
          <w:p w14:paraId="6622104E" w14:textId="77777777" w:rsidR="00280058" w:rsidRDefault="00280058" w:rsidP="002A576D">
            <w:pPr>
              <w:pStyle w:val="Sraopastraipa"/>
              <w:numPr>
                <w:ilvl w:val="0"/>
                <w:numId w:val="73"/>
              </w:numPr>
              <w:ind w:left="482"/>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color w:val="222222"/>
                <w:sz w:val="20"/>
                <w:szCs w:val="20"/>
                <w:lang w:val="lt-LT"/>
              </w:rPr>
            </w:pPr>
            <w:r>
              <w:rPr>
                <w:rStyle w:val="hps"/>
                <w:rFonts w:ascii="Georgia" w:hAnsi="Georgia" w:cs="Arial"/>
                <w:b w:val="0"/>
                <w:color w:val="222222"/>
                <w:sz w:val="20"/>
                <w:szCs w:val="20"/>
                <w:lang w:val="lt-LT"/>
              </w:rPr>
              <w:t>Skirtingos kredito istorijos (ne visi paskolos gavėjai yra patikimi mokėtojai)</w:t>
            </w:r>
          </w:p>
          <w:p w14:paraId="43D87201" w14:textId="77777777" w:rsidR="00280058" w:rsidRDefault="00280058" w:rsidP="002A576D">
            <w:pPr>
              <w:pStyle w:val="Sraopastraipa"/>
              <w:numPr>
                <w:ilvl w:val="0"/>
                <w:numId w:val="73"/>
              </w:numPr>
              <w:ind w:left="482"/>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color w:val="222222"/>
                <w:sz w:val="20"/>
                <w:szCs w:val="20"/>
                <w:lang w:val="lt-LT"/>
              </w:rPr>
            </w:pPr>
            <w:r>
              <w:rPr>
                <w:rStyle w:val="hps"/>
                <w:rFonts w:ascii="Georgia" w:hAnsi="Georgia" w:cs="Arial"/>
                <w:b w:val="0"/>
                <w:color w:val="222222"/>
                <w:sz w:val="20"/>
                <w:szCs w:val="20"/>
                <w:lang w:val="lt-LT"/>
              </w:rPr>
              <w:t>Dalis energetinio efektyvumo priemonių įdiegta gyventojų iniciatyva jau anksčiau (mažėja projekto atsiperkamumas)</w:t>
            </w:r>
          </w:p>
          <w:p w14:paraId="619A58E4" w14:textId="77777777" w:rsidR="00280058" w:rsidRDefault="00280058" w:rsidP="002A576D">
            <w:pPr>
              <w:pStyle w:val="Sraopastraipa"/>
              <w:numPr>
                <w:ilvl w:val="0"/>
                <w:numId w:val="73"/>
              </w:numPr>
              <w:ind w:left="482"/>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color w:val="222222"/>
                <w:sz w:val="20"/>
                <w:szCs w:val="20"/>
                <w:lang w:val="lt-LT"/>
              </w:rPr>
            </w:pPr>
            <w:r>
              <w:rPr>
                <w:rStyle w:val="hps"/>
                <w:rFonts w:ascii="Georgia" w:hAnsi="Georgia" w:cs="Arial"/>
                <w:b w:val="0"/>
                <w:color w:val="222222"/>
                <w:sz w:val="20"/>
                <w:szCs w:val="20"/>
                <w:lang w:val="lt-LT"/>
              </w:rPr>
              <w:t>Skirtingo tipo savininkai daugiabutyje (pvz. įmonės, socialiai remtini asmenys)</w:t>
            </w:r>
          </w:p>
          <w:p w14:paraId="79511C6F" w14:textId="77777777" w:rsidR="00280058" w:rsidRDefault="00280058" w:rsidP="002A576D">
            <w:pPr>
              <w:pStyle w:val="Sraopastraipa"/>
              <w:numPr>
                <w:ilvl w:val="0"/>
                <w:numId w:val="73"/>
              </w:numPr>
              <w:ind w:left="482"/>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color w:val="222222"/>
                <w:sz w:val="20"/>
                <w:szCs w:val="20"/>
                <w:lang w:val="lt-LT"/>
              </w:rPr>
            </w:pPr>
            <w:r>
              <w:rPr>
                <w:rStyle w:val="hps"/>
                <w:rFonts w:ascii="Georgia" w:hAnsi="Georgia" w:cs="Arial"/>
                <w:b w:val="0"/>
                <w:color w:val="222222"/>
                <w:sz w:val="20"/>
                <w:szCs w:val="20"/>
                <w:lang w:val="lt-LT"/>
              </w:rPr>
              <w:t>Papildomos valstybės paramos poreikis projektų finansiniam atsiperkamumui užtikrinti</w:t>
            </w:r>
          </w:p>
          <w:p w14:paraId="37BCC6F6" w14:textId="77777777" w:rsidR="00280058" w:rsidRDefault="00280058" w:rsidP="002A576D">
            <w:pPr>
              <w:pStyle w:val="Sraopastraipa"/>
              <w:numPr>
                <w:ilvl w:val="0"/>
                <w:numId w:val="73"/>
              </w:numPr>
              <w:ind w:left="482"/>
              <w:jc w:val="both"/>
              <w:cnfStyle w:val="100000000000" w:firstRow="1" w:lastRow="0" w:firstColumn="0" w:lastColumn="0" w:oddVBand="0" w:evenVBand="0" w:oddHBand="0" w:evenHBand="0" w:firstRowFirstColumn="0" w:firstRowLastColumn="0" w:lastRowFirstColumn="0" w:lastRowLastColumn="0"/>
              <w:rPr>
                <w:b w:val="0"/>
                <w:bCs w:val="0"/>
              </w:rPr>
            </w:pPr>
            <w:r>
              <w:rPr>
                <w:rStyle w:val="hps"/>
                <w:rFonts w:ascii="Georgia" w:hAnsi="Georgia" w:cs="Arial"/>
                <w:b w:val="0"/>
                <w:color w:val="222222"/>
                <w:sz w:val="20"/>
                <w:szCs w:val="20"/>
                <w:lang w:val="lt-LT"/>
              </w:rPr>
              <w:t>Pirkimai mažiausios kainos būdu gali įtakoti darbų kokybę ir mažinti renovacijos patrauklumą</w:t>
            </w:r>
          </w:p>
        </w:tc>
      </w:tr>
      <w:tr w:rsidR="00280058" w14:paraId="4596691F" w14:textId="77777777" w:rsidTr="00BB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358358A8" w14:textId="77777777" w:rsidR="00280058" w:rsidRDefault="00280058" w:rsidP="00BB18F6">
            <w:pPr>
              <w:spacing w:after="120"/>
              <w:jc w:val="both"/>
              <w:rPr>
                <w:rStyle w:val="hps"/>
                <w:rFonts w:ascii="Georgia" w:hAnsi="Georgia" w:cs="Arial"/>
                <w:color w:val="222222"/>
                <w:sz w:val="20"/>
                <w:szCs w:val="20"/>
                <w:lang w:val="lt-LT"/>
              </w:rPr>
            </w:pPr>
            <w:r>
              <w:rPr>
                <w:rStyle w:val="hps"/>
                <w:rFonts w:ascii="Georgia" w:hAnsi="Georgia" w:cs="Arial"/>
                <w:color w:val="222222"/>
                <w:sz w:val="20"/>
                <w:szCs w:val="20"/>
                <w:lang w:val="lt-LT"/>
              </w:rPr>
              <w:t>Galimybės</w:t>
            </w:r>
          </w:p>
          <w:p w14:paraId="0AECEB8B" w14:textId="77777777" w:rsidR="00280058" w:rsidRDefault="00280058" w:rsidP="002A576D">
            <w:pPr>
              <w:pStyle w:val="Sraopastraipa"/>
              <w:numPr>
                <w:ilvl w:val="0"/>
                <w:numId w:val="72"/>
              </w:numPr>
              <w:ind w:left="426"/>
              <w:jc w:val="both"/>
              <w:rPr>
                <w:rStyle w:val="hps"/>
                <w:rFonts w:ascii="Georgia" w:hAnsi="Georgia" w:cs="Arial"/>
                <w:color w:val="222222"/>
                <w:sz w:val="20"/>
                <w:szCs w:val="20"/>
                <w:lang w:val="lt-LT"/>
              </w:rPr>
            </w:pPr>
            <w:r>
              <w:rPr>
                <w:rStyle w:val="hps"/>
                <w:rFonts w:ascii="Georgia" w:hAnsi="Georgia" w:cs="Arial"/>
                <w:b w:val="0"/>
                <w:color w:val="222222"/>
                <w:sz w:val="20"/>
                <w:szCs w:val="20"/>
                <w:lang w:val="lt-LT"/>
              </w:rPr>
              <w:t>Galimybės pritraukti privačius investuotojus</w:t>
            </w:r>
          </w:p>
          <w:p w14:paraId="3E14E40D" w14:textId="77777777" w:rsidR="00280058" w:rsidRDefault="00280058" w:rsidP="002A576D">
            <w:pPr>
              <w:pStyle w:val="Sraopastraipa"/>
              <w:numPr>
                <w:ilvl w:val="0"/>
                <w:numId w:val="72"/>
              </w:numPr>
              <w:ind w:left="426"/>
              <w:jc w:val="both"/>
              <w:rPr>
                <w:rStyle w:val="hps"/>
                <w:rFonts w:ascii="Georgia" w:hAnsi="Georgia" w:cs="Arial"/>
                <w:color w:val="222222"/>
                <w:sz w:val="20"/>
                <w:szCs w:val="20"/>
                <w:lang w:val="lt-LT"/>
              </w:rPr>
            </w:pPr>
            <w:r>
              <w:rPr>
                <w:rStyle w:val="hps"/>
                <w:rFonts w:ascii="Georgia" w:hAnsi="Georgia" w:cs="Arial"/>
                <w:b w:val="0"/>
                <w:color w:val="222222"/>
                <w:sz w:val="20"/>
                <w:szCs w:val="20"/>
                <w:lang w:val="lt-LT"/>
              </w:rPr>
              <w:t>Galimybės sumažinti papildomą valstybės paramą</w:t>
            </w:r>
          </w:p>
          <w:p w14:paraId="427D952C" w14:textId="77777777" w:rsidR="00280058" w:rsidRDefault="00280058" w:rsidP="002A576D">
            <w:pPr>
              <w:pStyle w:val="Sraopastraipa"/>
              <w:numPr>
                <w:ilvl w:val="0"/>
                <w:numId w:val="72"/>
              </w:numPr>
              <w:ind w:left="426"/>
              <w:jc w:val="both"/>
              <w:rPr>
                <w:rStyle w:val="hps"/>
                <w:rFonts w:ascii="Georgia" w:hAnsi="Georgia" w:cs="Arial"/>
                <w:color w:val="222222"/>
                <w:sz w:val="20"/>
                <w:szCs w:val="20"/>
                <w:lang w:val="lt-LT"/>
              </w:rPr>
            </w:pPr>
            <w:r>
              <w:rPr>
                <w:rStyle w:val="hps"/>
                <w:rFonts w:ascii="Georgia" w:hAnsi="Georgia" w:cs="Arial"/>
                <w:b w:val="0"/>
                <w:color w:val="222222"/>
                <w:sz w:val="20"/>
                <w:szCs w:val="20"/>
                <w:lang w:val="lt-LT"/>
              </w:rPr>
              <w:t>Grįžtantys pinigų srautai gali būti pakartotinai naudojami projektų finansavimui</w:t>
            </w:r>
          </w:p>
          <w:p w14:paraId="66D099A4" w14:textId="77777777" w:rsidR="00280058" w:rsidRDefault="00280058" w:rsidP="002A576D">
            <w:pPr>
              <w:pStyle w:val="Sraopastraipa"/>
              <w:numPr>
                <w:ilvl w:val="0"/>
                <w:numId w:val="72"/>
              </w:numPr>
              <w:ind w:left="426"/>
              <w:jc w:val="both"/>
              <w:rPr>
                <w:rStyle w:val="hps"/>
                <w:rFonts w:ascii="Georgia" w:hAnsi="Georgia" w:cs="Arial"/>
                <w:color w:val="222222"/>
                <w:sz w:val="20"/>
                <w:szCs w:val="20"/>
                <w:lang w:val="lt-LT"/>
              </w:rPr>
            </w:pPr>
            <w:r>
              <w:rPr>
                <w:rStyle w:val="hps"/>
                <w:rFonts w:ascii="Georgia" w:hAnsi="Georgia" w:cs="Arial"/>
                <w:b w:val="0"/>
                <w:color w:val="222222"/>
                <w:sz w:val="20"/>
                <w:szCs w:val="20"/>
                <w:lang w:val="lt-LT"/>
              </w:rPr>
              <w:t>Viešųjų pirkimų paprastinimas</w:t>
            </w:r>
          </w:p>
          <w:p w14:paraId="6BA30E8E" w14:textId="77777777" w:rsidR="00280058" w:rsidRDefault="00280058" w:rsidP="002A576D">
            <w:pPr>
              <w:pStyle w:val="Sraopastraipa"/>
              <w:numPr>
                <w:ilvl w:val="0"/>
                <w:numId w:val="72"/>
              </w:numPr>
              <w:ind w:left="426"/>
              <w:jc w:val="both"/>
              <w:rPr>
                <w:rStyle w:val="hps"/>
                <w:rFonts w:ascii="Georgia" w:hAnsi="Georgia" w:cs="Arial"/>
                <w:color w:val="222222"/>
                <w:sz w:val="20"/>
                <w:szCs w:val="20"/>
                <w:lang w:val="lt-LT"/>
              </w:rPr>
            </w:pPr>
            <w:r>
              <w:rPr>
                <w:rStyle w:val="hps"/>
                <w:rFonts w:ascii="Georgia" w:hAnsi="Georgia" w:cs="Arial"/>
                <w:b w:val="0"/>
                <w:color w:val="222222"/>
                <w:sz w:val="20"/>
                <w:szCs w:val="20"/>
                <w:lang w:val="lt-LT"/>
              </w:rPr>
              <w:t>Kompleksinės renovacijos įgyvendinimas praplečiant remtinas finansuoti projektų veiklas ir priemones</w:t>
            </w:r>
          </w:p>
          <w:p w14:paraId="69723F97" w14:textId="77777777" w:rsidR="00280058" w:rsidRDefault="00280058" w:rsidP="002A576D">
            <w:pPr>
              <w:pStyle w:val="Sraopastraipa"/>
              <w:numPr>
                <w:ilvl w:val="0"/>
                <w:numId w:val="72"/>
              </w:numPr>
              <w:ind w:left="426"/>
              <w:jc w:val="both"/>
              <w:rPr>
                <w:rStyle w:val="hps"/>
                <w:rFonts w:ascii="Georgia" w:hAnsi="Georgia" w:cs="Arial"/>
                <w:color w:val="222222"/>
                <w:sz w:val="20"/>
                <w:szCs w:val="20"/>
                <w:lang w:val="lt-LT"/>
              </w:rPr>
            </w:pPr>
            <w:r>
              <w:rPr>
                <w:rStyle w:val="hps"/>
                <w:rFonts w:ascii="Georgia" w:hAnsi="Georgia" w:cs="Arial"/>
                <w:b w:val="0"/>
                <w:color w:val="222222"/>
                <w:sz w:val="20"/>
                <w:szCs w:val="20"/>
                <w:lang w:val="lt-LT"/>
              </w:rPr>
              <w:t>Modelio lankstumo didinimas</w:t>
            </w:r>
          </w:p>
          <w:p w14:paraId="5EFE742C" w14:textId="77777777" w:rsidR="00280058" w:rsidRDefault="00280058" w:rsidP="002A576D">
            <w:pPr>
              <w:pStyle w:val="Sraopastraipa"/>
              <w:numPr>
                <w:ilvl w:val="0"/>
                <w:numId w:val="72"/>
              </w:numPr>
              <w:ind w:left="426"/>
              <w:jc w:val="both"/>
              <w:rPr>
                <w:rStyle w:val="hps"/>
                <w:rFonts w:ascii="Georgia" w:hAnsi="Georgia" w:cs="Arial"/>
                <w:color w:val="222222"/>
                <w:sz w:val="20"/>
                <w:szCs w:val="20"/>
                <w:lang w:val="lt-LT"/>
              </w:rPr>
            </w:pPr>
            <w:r>
              <w:rPr>
                <w:rStyle w:val="hps"/>
                <w:rFonts w:ascii="Georgia" w:hAnsi="Georgia" w:cs="Arial"/>
                <w:b w:val="0"/>
                <w:color w:val="222222"/>
                <w:sz w:val="20"/>
                <w:szCs w:val="20"/>
                <w:lang w:val="lt-LT"/>
              </w:rPr>
              <w:t>Administracinės naštos mažinimas</w:t>
            </w:r>
          </w:p>
          <w:p w14:paraId="62BBA089" w14:textId="77777777" w:rsidR="00280058" w:rsidRDefault="00280058" w:rsidP="002A576D">
            <w:pPr>
              <w:pStyle w:val="Sraopastraipa"/>
              <w:numPr>
                <w:ilvl w:val="0"/>
                <w:numId w:val="72"/>
              </w:numPr>
              <w:ind w:left="426"/>
              <w:jc w:val="both"/>
            </w:pPr>
            <w:r>
              <w:rPr>
                <w:rStyle w:val="hps"/>
                <w:rFonts w:ascii="Georgia" w:hAnsi="Georgia" w:cs="Arial"/>
                <w:b w:val="0"/>
                <w:color w:val="222222"/>
                <w:sz w:val="20"/>
                <w:szCs w:val="20"/>
                <w:lang w:val="lt-LT"/>
              </w:rPr>
              <w:t>Viešinimo ir informacijos sklaidos gerinimas</w:t>
            </w:r>
          </w:p>
        </w:tc>
        <w:tc>
          <w:tcPr>
            <w:tcW w:w="462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530A9ED4" w14:textId="77777777" w:rsidR="00280058" w:rsidRDefault="00280058" w:rsidP="00BB18F6">
            <w:pPr>
              <w:spacing w:after="120"/>
              <w:jc w:val="both"/>
              <w:cnfStyle w:val="000000100000" w:firstRow="0" w:lastRow="0" w:firstColumn="0" w:lastColumn="0" w:oddVBand="0" w:evenVBand="0" w:oddHBand="1" w:evenHBand="0" w:firstRowFirstColumn="0" w:firstRowLastColumn="0" w:lastRowFirstColumn="0" w:lastRowLastColumn="0"/>
              <w:rPr>
                <w:rStyle w:val="hps"/>
                <w:rFonts w:ascii="Georgia" w:hAnsi="Georgia" w:cs="Arial"/>
                <w:b/>
                <w:color w:val="222222"/>
                <w:sz w:val="20"/>
                <w:szCs w:val="20"/>
                <w:lang w:val="lt-LT"/>
              </w:rPr>
            </w:pPr>
            <w:r>
              <w:rPr>
                <w:rStyle w:val="hps"/>
                <w:rFonts w:ascii="Georgia" w:hAnsi="Georgia" w:cs="Arial"/>
                <w:b/>
                <w:color w:val="222222"/>
                <w:sz w:val="20"/>
                <w:szCs w:val="20"/>
                <w:lang w:val="lt-LT"/>
              </w:rPr>
              <w:t>Grėsmės</w:t>
            </w:r>
          </w:p>
          <w:p w14:paraId="597C1CE8" w14:textId="77777777" w:rsidR="00280058" w:rsidRDefault="00280058" w:rsidP="002A576D">
            <w:pPr>
              <w:pStyle w:val="Sraopastraipa"/>
              <w:numPr>
                <w:ilvl w:val="0"/>
                <w:numId w:val="74"/>
              </w:numPr>
              <w:ind w:left="482"/>
              <w:jc w:val="both"/>
              <w:cnfStyle w:val="000000100000" w:firstRow="0" w:lastRow="0" w:firstColumn="0" w:lastColumn="0" w:oddVBand="0" w:evenVBand="0" w:oddHBand="1" w:evenHBand="0" w:firstRowFirstColumn="0" w:firstRowLastColumn="0" w:lastRowFirstColumn="0" w:lastRowLastColumn="0"/>
            </w:pPr>
            <w:r>
              <w:rPr>
                <w:rFonts w:ascii="Georgia" w:hAnsi="Georgia" w:cs="Arial"/>
                <w:color w:val="222222"/>
                <w:sz w:val="20"/>
                <w:szCs w:val="20"/>
                <w:lang w:val="lt-LT"/>
              </w:rPr>
              <w:t>Besikeičiantys techniniai reikalavimai daugiabučiams pastatams</w:t>
            </w:r>
          </w:p>
          <w:p w14:paraId="096DCDB8" w14:textId="77777777" w:rsidR="00280058" w:rsidRDefault="00280058" w:rsidP="002A576D">
            <w:pPr>
              <w:pStyle w:val="Sraopastraipa"/>
              <w:numPr>
                <w:ilvl w:val="0"/>
                <w:numId w:val="74"/>
              </w:numPr>
              <w:ind w:left="482"/>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222222"/>
                <w:sz w:val="20"/>
                <w:szCs w:val="20"/>
                <w:lang w:val="lt-LT"/>
              </w:rPr>
            </w:pPr>
            <w:r>
              <w:rPr>
                <w:rFonts w:ascii="Georgia" w:hAnsi="Georgia" w:cs="Arial"/>
                <w:color w:val="222222"/>
                <w:sz w:val="20"/>
                <w:szCs w:val="20"/>
                <w:lang w:val="lt-LT"/>
              </w:rPr>
              <w:t>Priklausomybė nuo ekonominės statybos sektoriaus situacijos</w:t>
            </w:r>
          </w:p>
          <w:p w14:paraId="5479D2BA" w14:textId="77777777" w:rsidR="00280058" w:rsidRDefault="00280058" w:rsidP="002A576D">
            <w:pPr>
              <w:pStyle w:val="Sraopastraipa"/>
              <w:numPr>
                <w:ilvl w:val="0"/>
                <w:numId w:val="74"/>
              </w:numPr>
              <w:ind w:left="482"/>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222222"/>
                <w:sz w:val="20"/>
                <w:szCs w:val="20"/>
                <w:lang w:val="lt-LT"/>
              </w:rPr>
            </w:pPr>
            <w:r>
              <w:rPr>
                <w:rFonts w:ascii="Georgia" w:hAnsi="Georgia" w:cs="Arial"/>
                <w:color w:val="222222"/>
                <w:sz w:val="20"/>
                <w:szCs w:val="20"/>
                <w:lang w:val="lt-LT"/>
              </w:rPr>
              <w:t>Ribotas rangovų skaičius</w:t>
            </w:r>
          </w:p>
          <w:p w14:paraId="6095FCF7" w14:textId="77777777" w:rsidR="00280058" w:rsidRDefault="00280058" w:rsidP="002A576D">
            <w:pPr>
              <w:pStyle w:val="Sraopastraipa"/>
              <w:numPr>
                <w:ilvl w:val="0"/>
                <w:numId w:val="74"/>
              </w:numPr>
              <w:ind w:left="482"/>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222222"/>
                <w:sz w:val="20"/>
                <w:szCs w:val="20"/>
                <w:lang w:val="lt-LT"/>
              </w:rPr>
            </w:pPr>
            <w:r>
              <w:rPr>
                <w:rFonts w:ascii="Georgia" w:hAnsi="Georgia" w:cs="Arial"/>
                <w:color w:val="222222"/>
                <w:sz w:val="20"/>
                <w:szCs w:val="20"/>
                <w:lang w:val="lt-LT"/>
              </w:rPr>
              <w:t>Didelės renovacijos projektų paklausos nulemtas statybos darbų kainų augimas</w:t>
            </w:r>
          </w:p>
          <w:p w14:paraId="75166FEF" w14:textId="77777777" w:rsidR="00280058" w:rsidRDefault="00280058" w:rsidP="002A576D">
            <w:pPr>
              <w:pStyle w:val="Sraopastraipa"/>
              <w:numPr>
                <w:ilvl w:val="0"/>
                <w:numId w:val="74"/>
              </w:numPr>
              <w:ind w:left="482"/>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222222"/>
                <w:sz w:val="20"/>
                <w:szCs w:val="20"/>
                <w:lang w:val="lt-LT"/>
              </w:rPr>
            </w:pPr>
            <w:r>
              <w:rPr>
                <w:rFonts w:ascii="Georgia" w:hAnsi="Georgia" w:cs="Arial"/>
                <w:color w:val="222222"/>
                <w:sz w:val="20"/>
                <w:szCs w:val="20"/>
                <w:lang w:val="lt-LT"/>
              </w:rPr>
              <w:t>Subsidijuojamos šildymo išlaidos</w:t>
            </w:r>
          </w:p>
          <w:p w14:paraId="78D12CB7" w14:textId="77777777" w:rsidR="00280058" w:rsidRDefault="00280058" w:rsidP="002A576D">
            <w:pPr>
              <w:pStyle w:val="Sraopastraipa"/>
              <w:numPr>
                <w:ilvl w:val="0"/>
                <w:numId w:val="74"/>
              </w:numPr>
              <w:ind w:left="482"/>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222222"/>
                <w:sz w:val="20"/>
                <w:szCs w:val="20"/>
                <w:lang w:val="lt-LT"/>
              </w:rPr>
            </w:pPr>
            <w:r>
              <w:rPr>
                <w:rFonts w:ascii="Georgia" w:hAnsi="Georgia" w:cs="Arial"/>
                <w:color w:val="222222"/>
                <w:sz w:val="20"/>
                <w:szCs w:val="20"/>
                <w:lang w:val="lt-LT"/>
              </w:rPr>
              <w:t>Politinė ir teisinės bazės pasikeitimų rizika</w:t>
            </w:r>
          </w:p>
          <w:p w14:paraId="0BAD634B" w14:textId="77777777" w:rsidR="00280058" w:rsidRDefault="00280058" w:rsidP="002A576D">
            <w:pPr>
              <w:pStyle w:val="Sraopastraipa"/>
              <w:numPr>
                <w:ilvl w:val="0"/>
                <w:numId w:val="74"/>
              </w:numPr>
              <w:ind w:left="482"/>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222222"/>
                <w:sz w:val="20"/>
                <w:szCs w:val="20"/>
                <w:lang w:val="lt-LT"/>
              </w:rPr>
            </w:pPr>
            <w:r>
              <w:rPr>
                <w:rFonts w:ascii="Georgia" w:hAnsi="Georgia" w:cs="Arial"/>
                <w:color w:val="222222"/>
                <w:sz w:val="20"/>
                <w:szCs w:val="20"/>
                <w:lang w:val="lt-LT"/>
              </w:rPr>
              <w:t>Ribotas, nepakankamas finansavimas</w:t>
            </w:r>
          </w:p>
          <w:p w14:paraId="15C6DCA3" w14:textId="77777777" w:rsidR="00280058" w:rsidRDefault="00280058" w:rsidP="002A576D">
            <w:pPr>
              <w:pStyle w:val="Sraopastraipa"/>
              <w:numPr>
                <w:ilvl w:val="0"/>
                <w:numId w:val="74"/>
              </w:numPr>
              <w:ind w:left="482"/>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222222"/>
                <w:sz w:val="20"/>
                <w:szCs w:val="20"/>
                <w:lang w:val="lt-LT"/>
              </w:rPr>
            </w:pPr>
            <w:r>
              <w:rPr>
                <w:rFonts w:ascii="Georgia" w:hAnsi="Georgia" w:cs="Arial"/>
                <w:color w:val="222222"/>
                <w:sz w:val="20"/>
                <w:szCs w:val="20"/>
                <w:lang w:val="lt-LT"/>
              </w:rPr>
              <w:t>Nepakankama kokybės kontrolė</w:t>
            </w:r>
          </w:p>
          <w:p w14:paraId="090B0906" w14:textId="77777777" w:rsidR="00280058" w:rsidRDefault="00280058" w:rsidP="002A576D">
            <w:pPr>
              <w:pStyle w:val="Sraopastraipa"/>
              <w:numPr>
                <w:ilvl w:val="0"/>
                <w:numId w:val="74"/>
              </w:numPr>
              <w:ind w:left="482"/>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lang w:val="lt-LT"/>
              </w:rPr>
            </w:pPr>
            <w:r>
              <w:rPr>
                <w:rFonts w:ascii="Georgia" w:hAnsi="Georgia" w:cs="Arial"/>
                <w:color w:val="222222"/>
                <w:sz w:val="20"/>
                <w:szCs w:val="20"/>
                <w:lang w:val="lt-LT"/>
              </w:rPr>
              <w:t>Rizika nesuvaldyti didelio projektų srauto</w:t>
            </w:r>
          </w:p>
          <w:p w14:paraId="0765DA50" w14:textId="77777777" w:rsidR="00280058" w:rsidRDefault="00280058" w:rsidP="002A576D">
            <w:pPr>
              <w:pStyle w:val="Sraopastraipa"/>
              <w:numPr>
                <w:ilvl w:val="0"/>
                <w:numId w:val="74"/>
              </w:numPr>
              <w:ind w:left="482"/>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lang w:val="lt-LT"/>
              </w:rPr>
            </w:pPr>
            <w:r>
              <w:rPr>
                <w:rFonts w:ascii="Georgia" w:hAnsi="Georgia" w:cs="Arial"/>
                <w:color w:val="222222"/>
                <w:sz w:val="20"/>
                <w:szCs w:val="20"/>
                <w:lang w:val="lt-LT"/>
              </w:rPr>
              <w:t>Dėl gyventojų emigracijos ir migracijos į didesnius miestus liekantys bešeimininkiai butai</w:t>
            </w:r>
          </w:p>
          <w:p w14:paraId="6974EC34" w14:textId="77777777" w:rsidR="00280058" w:rsidRDefault="00280058" w:rsidP="002A576D">
            <w:pPr>
              <w:pStyle w:val="Sraopastraipa"/>
              <w:numPr>
                <w:ilvl w:val="0"/>
                <w:numId w:val="74"/>
              </w:numPr>
              <w:spacing w:after="120"/>
              <w:ind w:left="482" w:hanging="357"/>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lang w:val="lt-LT"/>
              </w:rPr>
            </w:pPr>
            <w:r>
              <w:rPr>
                <w:rFonts w:ascii="Georgia" w:hAnsi="Georgia" w:cs="Arial"/>
                <w:color w:val="222222"/>
                <w:sz w:val="20"/>
                <w:szCs w:val="20"/>
                <w:lang w:val="lt-LT"/>
              </w:rPr>
              <w:t>Dėl mažėjančio seno planavimo butų patrauklumo, renovuojamuose pastatuose lieka mažesnes pajamas gaunantys gyventojai</w:t>
            </w:r>
          </w:p>
        </w:tc>
      </w:tr>
    </w:tbl>
    <w:p w14:paraId="364BA91F" w14:textId="77777777" w:rsidR="00765A39" w:rsidRDefault="00765A39">
      <w:pPr>
        <w:rPr>
          <w:rFonts w:asciiTheme="majorHAnsi" w:eastAsiaTheme="majorEastAsia" w:hAnsiTheme="majorHAnsi" w:cstheme="majorBidi"/>
          <w:b/>
          <w:bCs/>
          <w:color w:val="4F81BD" w:themeColor="accent1"/>
          <w:sz w:val="26"/>
          <w:szCs w:val="26"/>
          <w:lang w:val="lt-LT"/>
        </w:rPr>
      </w:pPr>
      <w:bookmarkStart w:id="266" w:name="_Toc399924059"/>
      <w:bookmarkStart w:id="267" w:name="_Toc402352633"/>
    </w:p>
    <w:p w14:paraId="0FA3E275" w14:textId="77777777" w:rsidR="00376196" w:rsidRDefault="00376196">
      <w:pPr>
        <w:rPr>
          <w:rFonts w:asciiTheme="majorHAnsi" w:eastAsiaTheme="majorEastAsia" w:hAnsiTheme="majorHAnsi" w:cstheme="majorBidi"/>
          <w:b/>
          <w:bCs/>
          <w:color w:val="4F81BD" w:themeColor="accent1"/>
          <w:sz w:val="26"/>
          <w:szCs w:val="26"/>
          <w:lang w:val="lt-LT"/>
        </w:rPr>
      </w:pPr>
      <w:r>
        <w:rPr>
          <w:lang w:val="lt-LT"/>
        </w:rPr>
        <w:br w:type="page"/>
      </w:r>
    </w:p>
    <w:p w14:paraId="1D334DF7" w14:textId="77777777" w:rsidR="00280058" w:rsidRDefault="00280058" w:rsidP="002A576D">
      <w:pPr>
        <w:pStyle w:val="Antrat2"/>
        <w:numPr>
          <w:ilvl w:val="2"/>
          <w:numId w:val="85"/>
        </w:numPr>
        <w:spacing w:after="240"/>
        <w:rPr>
          <w:lang w:val="lt-LT"/>
        </w:rPr>
      </w:pPr>
      <w:bookmarkStart w:id="268" w:name="_Toc417378395"/>
      <w:r>
        <w:rPr>
          <w:lang w:val="lt-LT"/>
        </w:rPr>
        <w:lastRenderedPageBreak/>
        <w:t xml:space="preserve">SSGG analizė. Viešųjų pastatų </w:t>
      </w:r>
      <w:bookmarkEnd w:id="266"/>
      <w:bookmarkEnd w:id="267"/>
      <w:r w:rsidR="00D954C8">
        <w:rPr>
          <w:lang w:val="lt-LT"/>
        </w:rPr>
        <w:t>modernizavimas</w:t>
      </w:r>
      <w:bookmarkEnd w:id="268"/>
      <w:r w:rsidR="00D954C8">
        <w:rPr>
          <w:lang w:val="lt-LT"/>
        </w:rPr>
        <w:t xml:space="preserve"> </w:t>
      </w:r>
    </w:p>
    <w:p w14:paraId="5442BDB1" w14:textId="77777777" w:rsidR="001E5999" w:rsidRPr="0062724A" w:rsidRDefault="001E5999" w:rsidP="001E5999">
      <w:pPr>
        <w:jc w:val="both"/>
        <w:rPr>
          <w:rFonts w:ascii="Georgia" w:hAnsi="Georgia"/>
          <w:sz w:val="20"/>
          <w:szCs w:val="20"/>
        </w:rPr>
      </w:pPr>
      <w:r>
        <w:rPr>
          <w:rFonts w:ascii="Georgia" w:hAnsi="Georgia"/>
          <w:sz w:val="20"/>
          <w:szCs w:val="20"/>
          <w:lang w:val="lt-LT"/>
        </w:rPr>
        <w:t xml:space="preserve">Šioje dalyje pateikta analizė taikoma centrinės valdžios ir savivaldybių viešųjų pastatų </w:t>
      </w:r>
      <w:r w:rsidR="00D954C8">
        <w:rPr>
          <w:rFonts w:ascii="Georgia" w:hAnsi="Georgia"/>
          <w:sz w:val="20"/>
          <w:szCs w:val="20"/>
          <w:lang w:val="lt-LT"/>
        </w:rPr>
        <w:t>modernizavimui</w:t>
      </w:r>
    </w:p>
    <w:tbl>
      <w:tblPr>
        <w:tblStyle w:val="1vidutinistinklelis2parykinimas"/>
        <w:tblW w:w="0" w:type="auto"/>
        <w:tblLook w:val="04A0" w:firstRow="1" w:lastRow="0" w:firstColumn="1" w:lastColumn="0" w:noHBand="0" w:noVBand="1"/>
      </w:tblPr>
      <w:tblGrid>
        <w:gridCol w:w="4621"/>
        <w:gridCol w:w="4621"/>
      </w:tblGrid>
      <w:tr w:rsidR="00280058" w14:paraId="697AF109" w14:textId="77777777" w:rsidTr="00BB18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1F741BA6" w14:textId="77777777" w:rsidR="00280058" w:rsidRDefault="00280058" w:rsidP="00BB18F6">
            <w:pPr>
              <w:spacing w:after="120"/>
              <w:jc w:val="both"/>
              <w:rPr>
                <w:rFonts w:ascii="Georgia" w:hAnsi="Georgia" w:cs="Arial"/>
                <w:color w:val="222222"/>
                <w:sz w:val="20"/>
                <w:szCs w:val="20"/>
                <w:lang w:val="lt-LT"/>
              </w:rPr>
            </w:pPr>
            <w:r>
              <w:rPr>
                <w:rStyle w:val="hps"/>
                <w:rFonts w:ascii="Georgia" w:hAnsi="Georgia" w:cs="Arial"/>
                <w:color w:val="222222"/>
                <w:sz w:val="20"/>
                <w:szCs w:val="20"/>
                <w:lang w:val="lt-LT"/>
              </w:rPr>
              <w:t>Stiprybės</w:t>
            </w:r>
          </w:p>
          <w:p w14:paraId="44557BCE" w14:textId="77777777" w:rsidR="00280058" w:rsidRDefault="00280058" w:rsidP="002A576D">
            <w:pPr>
              <w:pStyle w:val="Sraopastraipa"/>
              <w:numPr>
                <w:ilvl w:val="0"/>
                <w:numId w:val="75"/>
              </w:numPr>
              <w:ind w:left="426"/>
              <w:jc w:val="both"/>
              <w:rPr>
                <w:rStyle w:val="hps"/>
              </w:rPr>
            </w:pPr>
            <w:r>
              <w:rPr>
                <w:rStyle w:val="hps"/>
                <w:rFonts w:ascii="Georgia" w:hAnsi="Georgia" w:cs="Arial"/>
                <w:b w:val="0"/>
                <w:color w:val="222222"/>
                <w:sz w:val="20"/>
                <w:szCs w:val="20"/>
                <w:lang w:val="lt-LT"/>
              </w:rPr>
              <w:t>Aiškus investicijų atsiperkamumo šaltinis</w:t>
            </w:r>
          </w:p>
          <w:p w14:paraId="1E7B7923" w14:textId="77777777" w:rsidR="00280058" w:rsidRDefault="00280058" w:rsidP="002A576D">
            <w:pPr>
              <w:pStyle w:val="Sraopastraipa"/>
              <w:numPr>
                <w:ilvl w:val="0"/>
                <w:numId w:val="75"/>
              </w:numPr>
              <w:ind w:left="426"/>
              <w:jc w:val="both"/>
              <w:rPr>
                <w:rStyle w:val="hps"/>
                <w:rFonts w:ascii="Georgia" w:hAnsi="Georgia" w:cs="Arial"/>
                <w:color w:val="222222"/>
                <w:sz w:val="20"/>
                <w:szCs w:val="20"/>
                <w:lang w:val="lt-LT"/>
              </w:rPr>
            </w:pPr>
            <w:r>
              <w:rPr>
                <w:rStyle w:val="hps"/>
                <w:rFonts w:ascii="Georgia" w:hAnsi="Georgia" w:cs="Arial"/>
                <w:b w:val="0"/>
                <w:color w:val="222222"/>
                <w:sz w:val="20"/>
                <w:szCs w:val="20"/>
                <w:lang w:val="lt-LT"/>
              </w:rPr>
              <w:t>Politinis palaikymas ir strateginių dokumentų kryptingumas</w:t>
            </w:r>
          </w:p>
          <w:p w14:paraId="01E2EB64" w14:textId="77777777" w:rsidR="00280058" w:rsidRDefault="00280058" w:rsidP="002A576D">
            <w:pPr>
              <w:pStyle w:val="Sraopastraipa"/>
              <w:numPr>
                <w:ilvl w:val="0"/>
                <w:numId w:val="75"/>
              </w:numPr>
              <w:ind w:left="426"/>
              <w:jc w:val="both"/>
              <w:rPr>
                <w:rStyle w:val="hps"/>
                <w:rFonts w:ascii="Georgia" w:hAnsi="Georgia" w:cs="Arial"/>
                <w:color w:val="222222"/>
                <w:sz w:val="20"/>
                <w:szCs w:val="20"/>
                <w:lang w:val="lt-LT"/>
              </w:rPr>
            </w:pPr>
            <w:r>
              <w:rPr>
                <w:rStyle w:val="hps"/>
                <w:rFonts w:ascii="Georgia" w:hAnsi="Georgia" w:cs="Arial"/>
                <w:b w:val="0"/>
                <w:bCs w:val="0"/>
                <w:color w:val="222222"/>
                <w:sz w:val="20"/>
                <w:szCs w:val="20"/>
                <w:lang w:val="lt-LT"/>
              </w:rPr>
              <w:t>Aiški ir koncentruota pastatų nuosavybė</w:t>
            </w:r>
          </w:p>
          <w:p w14:paraId="796D0D3A" w14:textId="77777777" w:rsidR="00280058" w:rsidRDefault="00280058" w:rsidP="002A576D">
            <w:pPr>
              <w:pStyle w:val="Sraopastraipa"/>
              <w:numPr>
                <w:ilvl w:val="0"/>
                <w:numId w:val="75"/>
              </w:numPr>
              <w:ind w:left="426"/>
              <w:jc w:val="both"/>
              <w:rPr>
                <w:rStyle w:val="hps"/>
                <w:rFonts w:ascii="Georgia" w:hAnsi="Georgia" w:cs="Arial"/>
                <w:color w:val="222222"/>
                <w:sz w:val="20"/>
                <w:szCs w:val="20"/>
                <w:lang w:val="lt-LT"/>
              </w:rPr>
            </w:pPr>
            <w:r>
              <w:rPr>
                <w:rStyle w:val="hps"/>
                <w:rFonts w:ascii="Georgia" w:hAnsi="Georgia" w:cs="Arial"/>
                <w:b w:val="0"/>
                <w:bCs w:val="0"/>
                <w:color w:val="222222"/>
                <w:sz w:val="20"/>
                <w:szCs w:val="20"/>
                <w:lang w:val="lt-LT"/>
              </w:rPr>
              <w:t>Rengiami techniniai dokumentai leidžia tinkamai įvertinti pastato energetines savybes ir rezultatus po projekto užbaigimo</w:t>
            </w:r>
          </w:p>
          <w:p w14:paraId="67A16939" w14:textId="77777777" w:rsidR="00280058" w:rsidRDefault="00280058" w:rsidP="002A576D">
            <w:pPr>
              <w:pStyle w:val="Sraopastraipa"/>
              <w:numPr>
                <w:ilvl w:val="0"/>
                <w:numId w:val="75"/>
              </w:numPr>
              <w:ind w:left="426"/>
              <w:jc w:val="both"/>
              <w:rPr>
                <w:b w:val="0"/>
              </w:rPr>
            </w:pPr>
            <w:r>
              <w:rPr>
                <w:rStyle w:val="hps"/>
                <w:rFonts w:ascii="Georgia" w:hAnsi="Georgia" w:cs="Arial"/>
                <w:b w:val="0"/>
                <w:bCs w:val="0"/>
                <w:color w:val="222222"/>
                <w:sz w:val="20"/>
                <w:szCs w:val="20"/>
                <w:lang w:val="lt-LT"/>
              </w:rPr>
              <w:t>ES direktyviniai reikalavimai sąlygojantys renovacijos privalomumą</w:t>
            </w:r>
          </w:p>
        </w:tc>
        <w:tc>
          <w:tcPr>
            <w:tcW w:w="462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364EA9EA" w14:textId="77777777" w:rsidR="00280058" w:rsidRDefault="00280058" w:rsidP="00BB18F6">
            <w:pPr>
              <w:spacing w:after="120"/>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color w:val="222222"/>
                <w:sz w:val="20"/>
                <w:szCs w:val="20"/>
                <w:lang w:val="lt-LT"/>
              </w:rPr>
            </w:pPr>
            <w:r>
              <w:rPr>
                <w:rStyle w:val="hps"/>
                <w:rFonts w:ascii="Georgia" w:hAnsi="Georgia" w:cs="Arial"/>
                <w:color w:val="222222"/>
                <w:sz w:val="20"/>
                <w:szCs w:val="20"/>
                <w:lang w:val="lt-LT"/>
              </w:rPr>
              <w:t>Silpnybės</w:t>
            </w:r>
          </w:p>
          <w:p w14:paraId="02D959AB" w14:textId="77777777" w:rsidR="00280058" w:rsidRPr="00802547" w:rsidRDefault="00280058" w:rsidP="002A576D">
            <w:pPr>
              <w:pStyle w:val="Sraopastraipa"/>
              <w:numPr>
                <w:ilvl w:val="0"/>
                <w:numId w:val="76"/>
              </w:numPr>
              <w:ind w:left="482"/>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b w:val="0"/>
                <w:color w:val="222222"/>
                <w:sz w:val="20"/>
                <w:szCs w:val="20"/>
                <w:lang w:val="lt-LT"/>
              </w:rPr>
            </w:pPr>
            <w:r w:rsidRPr="00802547">
              <w:rPr>
                <w:rStyle w:val="hps"/>
                <w:rFonts w:ascii="Georgia" w:hAnsi="Georgia" w:cs="Arial"/>
                <w:b w:val="0"/>
                <w:bCs w:val="0"/>
                <w:color w:val="222222"/>
                <w:sz w:val="20"/>
                <w:szCs w:val="20"/>
                <w:lang w:val="lt-LT"/>
              </w:rPr>
              <w:t>Ribota pastatų renovacijos finansavimo panaudojant finansinius instrumentus patirtis</w:t>
            </w:r>
          </w:p>
          <w:p w14:paraId="6751988F" w14:textId="77777777" w:rsidR="00280058" w:rsidRPr="00802547" w:rsidRDefault="00280058" w:rsidP="002A576D">
            <w:pPr>
              <w:pStyle w:val="Sraopastraipa"/>
              <w:numPr>
                <w:ilvl w:val="0"/>
                <w:numId w:val="76"/>
              </w:numPr>
              <w:ind w:left="482"/>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b w:val="0"/>
                <w:color w:val="222222"/>
                <w:sz w:val="20"/>
                <w:szCs w:val="20"/>
                <w:lang w:val="lt-LT"/>
              </w:rPr>
            </w:pPr>
            <w:r w:rsidRPr="00802547">
              <w:rPr>
                <w:rStyle w:val="hps"/>
                <w:rFonts w:ascii="Georgia" w:hAnsi="Georgia" w:cs="Arial"/>
                <w:b w:val="0"/>
                <w:color w:val="222222"/>
                <w:sz w:val="20"/>
                <w:szCs w:val="20"/>
                <w:lang w:val="lt-LT"/>
              </w:rPr>
              <w:t>Pastate dirbančių darbuotojų nesuinteresuotumas taupyti energiją, nes tiesiogiai nėra jaučiama energijos kaštų našta</w:t>
            </w:r>
          </w:p>
          <w:p w14:paraId="4056A2EF" w14:textId="77777777" w:rsidR="00280058" w:rsidRPr="00802547" w:rsidRDefault="00280058" w:rsidP="002A576D">
            <w:pPr>
              <w:pStyle w:val="Sraopastraipa"/>
              <w:numPr>
                <w:ilvl w:val="0"/>
                <w:numId w:val="76"/>
              </w:numPr>
              <w:ind w:left="482"/>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b w:val="0"/>
                <w:color w:val="222222"/>
                <w:sz w:val="20"/>
                <w:szCs w:val="20"/>
                <w:lang w:val="lt-LT"/>
              </w:rPr>
            </w:pPr>
            <w:r w:rsidRPr="00802547">
              <w:rPr>
                <w:rStyle w:val="hps"/>
                <w:rFonts w:ascii="Georgia" w:hAnsi="Georgia" w:cs="Arial"/>
                <w:b w:val="0"/>
                <w:color w:val="222222"/>
                <w:sz w:val="20"/>
                <w:szCs w:val="20"/>
                <w:lang w:val="lt-LT"/>
              </w:rPr>
              <w:t>Nepakankami duomenys apie pastatų energetines savybes (ne visi pastatai turi energetinio efektyvumo sertifikatus)</w:t>
            </w:r>
          </w:p>
          <w:p w14:paraId="56B57467" w14:textId="77777777" w:rsidR="00280058" w:rsidRPr="00802547" w:rsidRDefault="00280058" w:rsidP="002A576D">
            <w:pPr>
              <w:pStyle w:val="Sraopastraipa"/>
              <w:numPr>
                <w:ilvl w:val="0"/>
                <w:numId w:val="76"/>
              </w:numPr>
              <w:ind w:left="482"/>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b w:val="0"/>
                <w:color w:val="222222"/>
                <w:sz w:val="20"/>
                <w:szCs w:val="20"/>
                <w:lang w:val="lt-LT"/>
              </w:rPr>
            </w:pPr>
            <w:r w:rsidRPr="00802547">
              <w:rPr>
                <w:rStyle w:val="hps"/>
                <w:rFonts w:ascii="Georgia" w:hAnsi="Georgia" w:cs="Arial"/>
                <w:b w:val="0"/>
                <w:color w:val="222222"/>
                <w:sz w:val="20"/>
                <w:szCs w:val="20"/>
                <w:lang w:val="lt-LT"/>
              </w:rPr>
              <w:t>Diversifikuotas pastatų fondas, kurį sudaro labai įvairaus tipo pastatai pasižymintys skirtingu atsiperkamumu</w:t>
            </w:r>
          </w:p>
          <w:p w14:paraId="0A3F7B7F" w14:textId="77777777" w:rsidR="00280058" w:rsidRPr="00802547" w:rsidRDefault="00280058" w:rsidP="002A576D">
            <w:pPr>
              <w:pStyle w:val="Sraopastraipa"/>
              <w:numPr>
                <w:ilvl w:val="0"/>
                <w:numId w:val="76"/>
              </w:numPr>
              <w:ind w:left="482"/>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b w:val="0"/>
                <w:color w:val="222222"/>
                <w:sz w:val="20"/>
                <w:szCs w:val="20"/>
                <w:lang w:val="lt-LT"/>
              </w:rPr>
            </w:pPr>
            <w:r w:rsidRPr="00802547">
              <w:rPr>
                <w:rStyle w:val="hps"/>
                <w:rFonts w:ascii="Georgia" w:hAnsi="Georgia" w:cs="Arial"/>
                <w:b w:val="0"/>
                <w:color w:val="222222"/>
                <w:sz w:val="20"/>
                <w:szCs w:val="20"/>
                <w:lang w:val="lt-LT"/>
              </w:rPr>
              <w:t>Prasta savivaldybių finansinė padėtis bei taikomi skolinimosi limitai</w:t>
            </w:r>
          </w:p>
          <w:p w14:paraId="40717614" w14:textId="77777777" w:rsidR="00280058" w:rsidRPr="00802547" w:rsidRDefault="00280058" w:rsidP="002A576D">
            <w:pPr>
              <w:pStyle w:val="Sraopastraipa"/>
              <w:numPr>
                <w:ilvl w:val="0"/>
                <w:numId w:val="76"/>
              </w:numPr>
              <w:ind w:left="482"/>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b w:val="0"/>
                <w:color w:val="222222"/>
                <w:sz w:val="20"/>
                <w:szCs w:val="20"/>
                <w:lang w:val="lt-LT"/>
              </w:rPr>
            </w:pPr>
            <w:r w:rsidRPr="00802547">
              <w:rPr>
                <w:rStyle w:val="hps"/>
                <w:rFonts w:ascii="Georgia" w:hAnsi="Georgia" w:cs="Arial"/>
                <w:b w:val="0"/>
                <w:color w:val="222222"/>
                <w:sz w:val="20"/>
                <w:szCs w:val="20"/>
                <w:lang w:val="lt-LT"/>
              </w:rPr>
              <w:t>Mažėjantis gyventojų skaičius nedidelių miestų teritorijose</w:t>
            </w:r>
          </w:p>
          <w:p w14:paraId="5BCBA6EB" w14:textId="77777777" w:rsidR="00280058" w:rsidRPr="00802547" w:rsidRDefault="00280058" w:rsidP="002A576D">
            <w:pPr>
              <w:pStyle w:val="Sraopastraipa"/>
              <w:numPr>
                <w:ilvl w:val="0"/>
                <w:numId w:val="76"/>
              </w:numPr>
              <w:ind w:left="482"/>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b w:val="0"/>
                <w:color w:val="222222"/>
                <w:sz w:val="20"/>
                <w:szCs w:val="20"/>
                <w:lang w:val="lt-LT"/>
              </w:rPr>
            </w:pPr>
            <w:r w:rsidRPr="00802547">
              <w:rPr>
                <w:rStyle w:val="hps"/>
                <w:rFonts w:ascii="Georgia" w:hAnsi="Georgia" w:cs="Arial"/>
                <w:b w:val="0"/>
                <w:color w:val="222222"/>
                <w:sz w:val="20"/>
                <w:szCs w:val="20"/>
                <w:lang w:val="lt-LT"/>
              </w:rPr>
              <w:t>Renovuotas pastatas gali prarasti savo aktualumą jo savininkui ilguoju laikotarpiu</w:t>
            </w:r>
          </w:p>
          <w:p w14:paraId="2ECF746B" w14:textId="77777777" w:rsidR="00280058" w:rsidRPr="00E67C77" w:rsidRDefault="00280058" w:rsidP="002A576D">
            <w:pPr>
              <w:pStyle w:val="Sraopastraipa"/>
              <w:numPr>
                <w:ilvl w:val="0"/>
                <w:numId w:val="76"/>
              </w:numPr>
              <w:spacing w:after="120"/>
              <w:ind w:left="482" w:hanging="357"/>
              <w:jc w:val="both"/>
              <w:cnfStyle w:val="100000000000" w:firstRow="1" w:lastRow="0" w:firstColumn="0" w:lastColumn="0" w:oddVBand="0" w:evenVBand="0" w:oddHBand="0" w:evenHBand="0" w:firstRowFirstColumn="0" w:firstRowLastColumn="0" w:lastRowFirstColumn="0" w:lastRowLastColumn="0"/>
              <w:rPr>
                <w:rStyle w:val="hps"/>
                <w:b w:val="0"/>
              </w:rPr>
            </w:pPr>
            <w:r w:rsidRPr="00802547">
              <w:rPr>
                <w:rStyle w:val="hps"/>
                <w:rFonts w:ascii="Georgia" w:hAnsi="Georgia" w:cs="Arial"/>
                <w:b w:val="0"/>
                <w:color w:val="222222"/>
                <w:sz w:val="20"/>
                <w:szCs w:val="20"/>
                <w:lang w:val="lt-LT"/>
              </w:rPr>
              <w:t>Viešieji pastatai anksčiau buvo renovuojami subsidijų būdu</w:t>
            </w:r>
          </w:p>
          <w:p w14:paraId="67B1E7B0" w14:textId="77777777" w:rsidR="006E0CD7" w:rsidRPr="00E67C77" w:rsidRDefault="006E0CD7" w:rsidP="00E67C77">
            <w:pPr>
              <w:pStyle w:val="Sraopastraipa"/>
              <w:numPr>
                <w:ilvl w:val="0"/>
                <w:numId w:val="76"/>
              </w:numPr>
              <w:ind w:left="482"/>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b w:val="0"/>
                <w:color w:val="222222"/>
                <w:sz w:val="20"/>
                <w:szCs w:val="20"/>
                <w:lang w:val="lt-LT"/>
              </w:rPr>
            </w:pPr>
            <w:r>
              <w:rPr>
                <w:rStyle w:val="hps"/>
                <w:rFonts w:ascii="Georgia" w:hAnsi="Georgia" w:cs="Arial"/>
                <w:b w:val="0"/>
                <w:color w:val="222222"/>
                <w:sz w:val="20"/>
                <w:szCs w:val="20"/>
                <w:lang w:val="lt-LT"/>
              </w:rPr>
              <w:t>Lėtas ESCO projektų įgyvendinimas</w:t>
            </w:r>
          </w:p>
          <w:p w14:paraId="2F123B55" w14:textId="77777777" w:rsidR="006E0CD7" w:rsidRPr="006E0CD7" w:rsidRDefault="006E0CD7" w:rsidP="00E67C77">
            <w:pPr>
              <w:pStyle w:val="Sraopastraipa"/>
              <w:numPr>
                <w:ilvl w:val="0"/>
                <w:numId w:val="76"/>
              </w:numPr>
              <w:ind w:left="482"/>
              <w:jc w:val="both"/>
              <w:cnfStyle w:val="100000000000" w:firstRow="1" w:lastRow="0" w:firstColumn="0" w:lastColumn="0" w:oddVBand="0" w:evenVBand="0" w:oddHBand="0" w:evenHBand="0" w:firstRowFirstColumn="0" w:firstRowLastColumn="0" w:lastRowFirstColumn="0" w:lastRowLastColumn="0"/>
              <w:rPr>
                <w:b w:val="0"/>
              </w:rPr>
            </w:pPr>
            <w:r w:rsidRPr="00E67C77">
              <w:rPr>
                <w:rStyle w:val="hps"/>
                <w:rFonts w:ascii="Georgia" w:hAnsi="Georgia" w:cs="Arial"/>
                <w:b w:val="0"/>
                <w:color w:val="222222"/>
                <w:sz w:val="20"/>
                <w:szCs w:val="20"/>
                <w:lang w:val="lt-LT"/>
              </w:rPr>
              <w:t>EUROSTAT varžantis skolinimos</w:t>
            </w:r>
            <w:r w:rsidR="00F00915" w:rsidRPr="00E67C77">
              <w:rPr>
                <w:rStyle w:val="hps"/>
                <w:rFonts w:ascii="Georgia" w:hAnsi="Georgia" w:cs="Arial"/>
                <w:b w:val="0"/>
                <w:color w:val="222222"/>
                <w:sz w:val="20"/>
                <w:szCs w:val="20"/>
                <w:lang w:val="lt-LT"/>
              </w:rPr>
              <w:t>i</w:t>
            </w:r>
            <w:r w:rsidRPr="00E67C77">
              <w:rPr>
                <w:rStyle w:val="hps"/>
                <w:rFonts w:ascii="Georgia" w:hAnsi="Georgia" w:cs="Arial"/>
                <w:b w:val="0"/>
                <w:color w:val="222222"/>
                <w:sz w:val="20"/>
                <w:szCs w:val="20"/>
                <w:lang w:val="lt-LT"/>
              </w:rPr>
              <w:t xml:space="preserve"> traktavimas skolinantis energijos efektyvumo projektams</w:t>
            </w:r>
          </w:p>
        </w:tc>
      </w:tr>
      <w:tr w:rsidR="00280058" w14:paraId="306CF855" w14:textId="77777777" w:rsidTr="00BB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2C7DD936" w14:textId="77777777" w:rsidR="00280058" w:rsidRDefault="00280058" w:rsidP="00BB18F6">
            <w:pPr>
              <w:spacing w:after="120"/>
              <w:jc w:val="both"/>
              <w:rPr>
                <w:rStyle w:val="hps"/>
                <w:rFonts w:ascii="Georgia" w:hAnsi="Georgia" w:cs="Arial"/>
                <w:color w:val="222222"/>
                <w:sz w:val="20"/>
                <w:szCs w:val="20"/>
                <w:lang w:val="lt-LT"/>
              </w:rPr>
            </w:pPr>
            <w:r>
              <w:rPr>
                <w:rStyle w:val="hps"/>
                <w:rFonts w:ascii="Georgia" w:hAnsi="Georgia" w:cs="Arial"/>
                <w:color w:val="222222"/>
                <w:sz w:val="20"/>
                <w:szCs w:val="20"/>
                <w:lang w:val="lt-LT"/>
              </w:rPr>
              <w:t>Galimybės</w:t>
            </w:r>
          </w:p>
          <w:p w14:paraId="7302B884" w14:textId="77777777" w:rsidR="00280058" w:rsidRPr="00802547" w:rsidRDefault="00280058" w:rsidP="002A576D">
            <w:pPr>
              <w:pStyle w:val="Sraopastraipa"/>
              <w:numPr>
                <w:ilvl w:val="0"/>
                <w:numId w:val="77"/>
              </w:numPr>
              <w:ind w:left="567"/>
              <w:jc w:val="both"/>
              <w:rPr>
                <w:b w:val="0"/>
              </w:rPr>
            </w:pPr>
            <w:r w:rsidRPr="00802547">
              <w:rPr>
                <w:rFonts w:ascii="Georgia" w:hAnsi="Georgia" w:cs="Arial"/>
                <w:b w:val="0"/>
                <w:color w:val="222222"/>
                <w:sz w:val="20"/>
                <w:szCs w:val="20"/>
                <w:lang w:val="lt-LT"/>
              </w:rPr>
              <w:t>Neišnaudotos galimybės taikyti ESCO modelį</w:t>
            </w:r>
          </w:p>
          <w:p w14:paraId="4A6DA03B" w14:textId="77777777" w:rsidR="00280058" w:rsidRPr="00802547" w:rsidRDefault="00280058" w:rsidP="002A576D">
            <w:pPr>
              <w:pStyle w:val="Sraopastraipa"/>
              <w:numPr>
                <w:ilvl w:val="0"/>
                <w:numId w:val="77"/>
              </w:numPr>
              <w:ind w:left="567"/>
              <w:jc w:val="both"/>
              <w:rPr>
                <w:rFonts w:ascii="Georgia" w:hAnsi="Georgia" w:cs="Arial"/>
                <w:b w:val="0"/>
                <w:color w:val="222222"/>
                <w:sz w:val="20"/>
                <w:szCs w:val="20"/>
                <w:lang w:val="lt-LT"/>
              </w:rPr>
            </w:pPr>
            <w:r w:rsidRPr="00802547">
              <w:rPr>
                <w:rFonts w:ascii="Georgia" w:hAnsi="Georgia" w:cs="Arial"/>
                <w:b w:val="0"/>
                <w:color w:val="222222"/>
                <w:sz w:val="20"/>
                <w:szCs w:val="20"/>
                <w:lang w:val="lt-LT"/>
              </w:rPr>
              <w:t>Privataus sektoriaus įtraukimas</w:t>
            </w:r>
          </w:p>
          <w:p w14:paraId="6AA8D012" w14:textId="77777777" w:rsidR="00280058" w:rsidRPr="00802547" w:rsidRDefault="00280058" w:rsidP="002A576D">
            <w:pPr>
              <w:pStyle w:val="Sraopastraipa"/>
              <w:numPr>
                <w:ilvl w:val="0"/>
                <w:numId w:val="77"/>
              </w:numPr>
              <w:ind w:left="567"/>
              <w:jc w:val="both"/>
              <w:rPr>
                <w:rFonts w:ascii="Georgia" w:hAnsi="Georgia" w:cs="Arial"/>
                <w:b w:val="0"/>
                <w:color w:val="222222"/>
                <w:sz w:val="20"/>
                <w:szCs w:val="20"/>
                <w:lang w:val="lt-LT"/>
              </w:rPr>
            </w:pPr>
            <w:r w:rsidRPr="00802547">
              <w:rPr>
                <w:rFonts w:ascii="Georgia" w:hAnsi="Georgia" w:cs="Arial"/>
                <w:b w:val="0"/>
                <w:color w:val="222222"/>
                <w:sz w:val="20"/>
                <w:szCs w:val="20"/>
                <w:lang w:val="lt-LT"/>
              </w:rPr>
              <w:t>Energijos efektyvumo priemonių derinimas su kitomis priemonėmis, tokiomis kaip gerbūvio sutvarkymas, rekonstrukcija pritaikant pastatą pagal poreikius</w:t>
            </w:r>
          </w:p>
          <w:p w14:paraId="69433E2B" w14:textId="77777777" w:rsidR="00280058" w:rsidRPr="00802547" w:rsidRDefault="00280058" w:rsidP="002A576D">
            <w:pPr>
              <w:pStyle w:val="Sraopastraipa"/>
              <w:numPr>
                <w:ilvl w:val="0"/>
                <w:numId w:val="77"/>
              </w:numPr>
              <w:ind w:left="567"/>
              <w:jc w:val="both"/>
              <w:rPr>
                <w:rFonts w:ascii="Georgia" w:hAnsi="Georgia" w:cs="Arial"/>
                <w:b w:val="0"/>
                <w:color w:val="222222"/>
                <w:sz w:val="20"/>
                <w:szCs w:val="20"/>
                <w:lang w:val="lt-LT"/>
              </w:rPr>
            </w:pPr>
            <w:r w:rsidRPr="00802547">
              <w:rPr>
                <w:rFonts w:ascii="Georgia" w:hAnsi="Georgia" w:cs="Arial"/>
                <w:b w:val="0"/>
                <w:color w:val="222222"/>
                <w:sz w:val="20"/>
                <w:szCs w:val="20"/>
                <w:lang w:val="lt-LT"/>
              </w:rPr>
              <w:t>Galimybė įtraukti centralizuotą turto valdytoją į ilgojo laikotarpio pastatų fondo strategijos vertinimą</w:t>
            </w:r>
          </w:p>
          <w:p w14:paraId="53B4EC95" w14:textId="77777777" w:rsidR="00280058" w:rsidRDefault="00280058" w:rsidP="002A576D">
            <w:pPr>
              <w:pStyle w:val="Sraopastraipa"/>
              <w:numPr>
                <w:ilvl w:val="0"/>
                <w:numId w:val="77"/>
              </w:numPr>
              <w:ind w:left="567"/>
              <w:jc w:val="both"/>
              <w:rPr>
                <w:rFonts w:ascii="Georgia" w:hAnsi="Georgia" w:cs="Arial"/>
                <w:b w:val="0"/>
                <w:color w:val="222222"/>
                <w:sz w:val="20"/>
                <w:szCs w:val="20"/>
                <w:lang w:val="lt-LT"/>
              </w:rPr>
            </w:pPr>
            <w:r w:rsidRPr="00802547">
              <w:rPr>
                <w:rFonts w:ascii="Georgia" w:hAnsi="Georgia" w:cs="Arial"/>
                <w:b w:val="0"/>
                <w:color w:val="222222"/>
                <w:sz w:val="20"/>
                <w:szCs w:val="20"/>
                <w:lang w:val="lt-LT"/>
              </w:rPr>
              <w:t>Pakartotinai panaudojamos grįžusios lėšos</w:t>
            </w:r>
          </w:p>
        </w:tc>
        <w:tc>
          <w:tcPr>
            <w:tcW w:w="462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5EE4FEB9" w14:textId="77777777" w:rsidR="00280058" w:rsidRDefault="00280058" w:rsidP="00BB18F6">
            <w:pPr>
              <w:spacing w:after="120"/>
              <w:jc w:val="both"/>
              <w:cnfStyle w:val="000000100000" w:firstRow="0" w:lastRow="0" w:firstColumn="0" w:lastColumn="0" w:oddVBand="0" w:evenVBand="0" w:oddHBand="1" w:evenHBand="0" w:firstRowFirstColumn="0" w:firstRowLastColumn="0" w:lastRowFirstColumn="0" w:lastRowLastColumn="0"/>
              <w:rPr>
                <w:rStyle w:val="hps"/>
                <w:rFonts w:ascii="Georgia" w:hAnsi="Georgia" w:cs="Arial"/>
                <w:b/>
                <w:color w:val="222222"/>
                <w:sz w:val="20"/>
                <w:szCs w:val="20"/>
                <w:lang w:val="lt-LT"/>
              </w:rPr>
            </w:pPr>
            <w:r>
              <w:rPr>
                <w:rStyle w:val="hps"/>
                <w:rFonts w:ascii="Georgia" w:hAnsi="Georgia" w:cs="Arial"/>
                <w:b/>
                <w:color w:val="222222"/>
                <w:sz w:val="20"/>
                <w:szCs w:val="20"/>
                <w:lang w:val="lt-LT"/>
              </w:rPr>
              <w:t>Grėsmės</w:t>
            </w:r>
          </w:p>
          <w:p w14:paraId="120CDCF2" w14:textId="77777777" w:rsidR="00280058" w:rsidRDefault="00280058" w:rsidP="002A576D">
            <w:pPr>
              <w:pStyle w:val="Sraopastraipa"/>
              <w:numPr>
                <w:ilvl w:val="0"/>
                <w:numId w:val="78"/>
              </w:numPr>
              <w:ind w:left="624"/>
              <w:jc w:val="both"/>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lang w:val="lt-LT"/>
              </w:rPr>
            </w:pPr>
            <w:r>
              <w:rPr>
                <w:rStyle w:val="hps"/>
                <w:rFonts w:ascii="Georgia" w:hAnsi="Georgia" w:cs="Arial"/>
                <w:color w:val="222222"/>
                <w:sz w:val="20"/>
                <w:szCs w:val="20"/>
                <w:lang w:val="lt-LT"/>
              </w:rPr>
              <w:t>Ribotas ar nepakankamas finansavimas</w:t>
            </w:r>
          </w:p>
          <w:p w14:paraId="1284EC4F" w14:textId="77777777" w:rsidR="00280058" w:rsidRDefault="00280058" w:rsidP="002A576D">
            <w:pPr>
              <w:pStyle w:val="Sraopastraipa"/>
              <w:numPr>
                <w:ilvl w:val="0"/>
                <w:numId w:val="78"/>
              </w:numPr>
              <w:ind w:left="624"/>
              <w:jc w:val="both"/>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lang w:val="lt-LT"/>
              </w:rPr>
            </w:pPr>
            <w:r>
              <w:rPr>
                <w:rStyle w:val="hps"/>
                <w:rFonts w:ascii="Georgia" w:hAnsi="Georgia" w:cs="Arial"/>
                <w:color w:val="222222"/>
                <w:sz w:val="20"/>
                <w:szCs w:val="20"/>
                <w:lang w:val="lt-LT"/>
              </w:rPr>
              <w:t>Politinė ir teisinės bazės keitimo rizika</w:t>
            </w:r>
          </w:p>
          <w:p w14:paraId="106A559D" w14:textId="77777777" w:rsidR="00280058" w:rsidRDefault="00280058" w:rsidP="002A576D">
            <w:pPr>
              <w:pStyle w:val="Sraopastraipa"/>
              <w:numPr>
                <w:ilvl w:val="0"/>
                <w:numId w:val="78"/>
              </w:numPr>
              <w:ind w:left="624"/>
              <w:jc w:val="both"/>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lang w:val="lt-LT"/>
              </w:rPr>
            </w:pPr>
            <w:r>
              <w:rPr>
                <w:rStyle w:val="hps"/>
                <w:rFonts w:ascii="Georgia" w:hAnsi="Georgia" w:cs="Arial"/>
                <w:color w:val="222222"/>
                <w:sz w:val="20"/>
                <w:szCs w:val="20"/>
                <w:lang w:val="lt-LT"/>
              </w:rPr>
              <w:t>Įtaka valstybės biudžeto deficito ir valstybės skolos rodikliams</w:t>
            </w:r>
          </w:p>
          <w:p w14:paraId="5A632361" w14:textId="77777777" w:rsidR="00280058" w:rsidRDefault="00280058" w:rsidP="002A576D">
            <w:pPr>
              <w:pStyle w:val="Sraopastraipa"/>
              <w:numPr>
                <w:ilvl w:val="0"/>
                <w:numId w:val="78"/>
              </w:numPr>
              <w:ind w:left="624"/>
              <w:jc w:val="both"/>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lang w:val="lt-LT"/>
              </w:rPr>
            </w:pPr>
            <w:r>
              <w:rPr>
                <w:rStyle w:val="hps"/>
                <w:rFonts w:ascii="Georgia" w:hAnsi="Georgia" w:cs="Arial"/>
                <w:color w:val="222222"/>
                <w:sz w:val="20"/>
                <w:szCs w:val="20"/>
                <w:lang w:val="lt-LT"/>
              </w:rPr>
              <w:t>Pastato poreikio ilguoju laikotarpiu įvertinimas</w:t>
            </w:r>
          </w:p>
          <w:p w14:paraId="285114AF" w14:textId="77777777" w:rsidR="00280058" w:rsidRDefault="00280058" w:rsidP="002A576D">
            <w:pPr>
              <w:pStyle w:val="Sraopastraipa"/>
              <w:numPr>
                <w:ilvl w:val="0"/>
                <w:numId w:val="78"/>
              </w:numPr>
              <w:ind w:left="624"/>
              <w:jc w:val="both"/>
              <w:cnfStyle w:val="000000100000" w:firstRow="0" w:lastRow="0" w:firstColumn="0" w:lastColumn="0" w:oddVBand="0" w:evenVBand="0" w:oddHBand="1" w:evenHBand="0" w:firstRowFirstColumn="0" w:firstRowLastColumn="0" w:lastRowFirstColumn="0" w:lastRowLastColumn="0"/>
            </w:pPr>
            <w:r>
              <w:rPr>
                <w:rFonts w:ascii="Georgia" w:hAnsi="Georgia" w:cs="Arial"/>
                <w:color w:val="222222"/>
                <w:sz w:val="20"/>
                <w:szCs w:val="20"/>
                <w:lang w:val="lt-LT"/>
              </w:rPr>
              <w:t>Priklausomybė nuo ekonominės statybų sektoriaus situacijos</w:t>
            </w:r>
          </w:p>
          <w:p w14:paraId="49934C40" w14:textId="77777777" w:rsidR="00280058" w:rsidRDefault="00280058" w:rsidP="002A576D">
            <w:pPr>
              <w:pStyle w:val="Sraopastraipa"/>
              <w:numPr>
                <w:ilvl w:val="0"/>
                <w:numId w:val="78"/>
              </w:numPr>
              <w:ind w:left="624"/>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222222"/>
                <w:sz w:val="20"/>
                <w:szCs w:val="20"/>
                <w:lang w:val="lt-LT"/>
              </w:rPr>
            </w:pPr>
            <w:r>
              <w:rPr>
                <w:rFonts w:ascii="Georgia" w:hAnsi="Georgia" w:cs="Arial"/>
                <w:color w:val="222222"/>
                <w:sz w:val="20"/>
                <w:szCs w:val="20"/>
                <w:lang w:val="lt-LT"/>
              </w:rPr>
              <w:t>Ribotas rangovų skaičius</w:t>
            </w:r>
          </w:p>
          <w:p w14:paraId="32E10273" w14:textId="77777777" w:rsidR="00280058" w:rsidRDefault="00280058" w:rsidP="002A576D">
            <w:pPr>
              <w:pStyle w:val="Sraopastraipa"/>
              <w:numPr>
                <w:ilvl w:val="0"/>
                <w:numId w:val="78"/>
              </w:numPr>
              <w:ind w:left="624"/>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222222"/>
                <w:sz w:val="20"/>
                <w:szCs w:val="20"/>
                <w:lang w:val="lt-LT"/>
              </w:rPr>
            </w:pPr>
            <w:r>
              <w:rPr>
                <w:rFonts w:ascii="Georgia" w:hAnsi="Georgia" w:cs="Arial"/>
                <w:color w:val="222222"/>
                <w:sz w:val="20"/>
                <w:szCs w:val="20"/>
                <w:lang w:val="lt-LT"/>
              </w:rPr>
              <w:t>Didelės renovacijos projektų paklausos nulemtas statybos darbų kainų augimas</w:t>
            </w:r>
          </w:p>
          <w:p w14:paraId="7D27CF63" w14:textId="77777777" w:rsidR="00280058" w:rsidRDefault="00280058" w:rsidP="002A576D">
            <w:pPr>
              <w:pStyle w:val="Sraopastraipa"/>
              <w:numPr>
                <w:ilvl w:val="0"/>
                <w:numId w:val="78"/>
              </w:numPr>
              <w:ind w:left="624"/>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222222"/>
                <w:sz w:val="20"/>
                <w:szCs w:val="20"/>
                <w:lang w:val="lt-LT"/>
              </w:rPr>
            </w:pPr>
            <w:r>
              <w:rPr>
                <w:rFonts w:ascii="Georgia" w:hAnsi="Georgia" w:cs="Arial"/>
                <w:color w:val="222222"/>
                <w:sz w:val="20"/>
                <w:szCs w:val="20"/>
                <w:lang w:val="lt-LT"/>
              </w:rPr>
              <w:t>Besikeičiantys techniniai reikalavimai pastatams</w:t>
            </w:r>
          </w:p>
          <w:p w14:paraId="7B4C1274" w14:textId="77777777" w:rsidR="00280058" w:rsidRDefault="00280058" w:rsidP="002A576D">
            <w:pPr>
              <w:pStyle w:val="Sraopastraipa"/>
              <w:numPr>
                <w:ilvl w:val="0"/>
                <w:numId w:val="78"/>
              </w:numPr>
              <w:spacing w:after="120"/>
              <w:ind w:left="623" w:hanging="357"/>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222222"/>
                <w:sz w:val="20"/>
                <w:szCs w:val="20"/>
                <w:lang w:val="lt-LT"/>
              </w:rPr>
            </w:pPr>
            <w:r>
              <w:rPr>
                <w:rStyle w:val="hps"/>
                <w:rFonts w:ascii="Georgia" w:hAnsi="Georgia" w:cs="Arial"/>
                <w:color w:val="222222"/>
                <w:sz w:val="20"/>
                <w:szCs w:val="20"/>
                <w:lang w:val="lt-LT"/>
              </w:rPr>
              <w:t>Nepakankama renovacijos kokybės kontrolė</w:t>
            </w:r>
          </w:p>
        </w:tc>
      </w:tr>
    </w:tbl>
    <w:p w14:paraId="5F7FA906" w14:textId="77777777" w:rsidR="00280058" w:rsidRDefault="00280058" w:rsidP="00280058">
      <w:pPr>
        <w:rPr>
          <w:rStyle w:val="hps"/>
          <w:rFonts w:ascii="Georgia" w:hAnsi="Georgia" w:cs="Arial"/>
          <w:color w:val="222222"/>
          <w:sz w:val="20"/>
          <w:szCs w:val="20"/>
          <w:highlight w:val="yellow"/>
        </w:rPr>
      </w:pPr>
    </w:p>
    <w:p w14:paraId="3F842458" w14:textId="77777777" w:rsidR="00765A39" w:rsidRDefault="00765A39">
      <w:pPr>
        <w:rPr>
          <w:rFonts w:asciiTheme="majorHAnsi" w:eastAsiaTheme="majorEastAsia" w:hAnsiTheme="majorHAnsi" w:cstheme="majorBidi"/>
          <w:b/>
          <w:bCs/>
          <w:color w:val="4F81BD" w:themeColor="accent1"/>
          <w:sz w:val="26"/>
          <w:szCs w:val="26"/>
          <w:lang w:val="lt-LT"/>
        </w:rPr>
      </w:pPr>
      <w:bookmarkStart w:id="269" w:name="_Toc399924060"/>
      <w:bookmarkStart w:id="270" w:name="_Toc402352634"/>
      <w:r>
        <w:rPr>
          <w:lang w:val="lt-LT"/>
        </w:rPr>
        <w:br w:type="page"/>
      </w:r>
    </w:p>
    <w:p w14:paraId="4B7323A7" w14:textId="77777777" w:rsidR="00280058" w:rsidRDefault="00280058" w:rsidP="002A576D">
      <w:pPr>
        <w:pStyle w:val="Antrat2"/>
        <w:numPr>
          <w:ilvl w:val="2"/>
          <w:numId w:val="85"/>
        </w:numPr>
        <w:spacing w:after="240"/>
      </w:pPr>
      <w:bookmarkStart w:id="271" w:name="_Toc417378396"/>
      <w:r>
        <w:rPr>
          <w:lang w:val="lt-LT"/>
        </w:rPr>
        <w:lastRenderedPageBreak/>
        <w:t>SSGG analizė. Gatvių apšvietimo modernizavimas</w:t>
      </w:r>
      <w:bookmarkEnd w:id="269"/>
      <w:bookmarkEnd w:id="270"/>
      <w:bookmarkEnd w:id="271"/>
      <w:r>
        <w:rPr>
          <w:lang w:val="lt-LT"/>
        </w:rPr>
        <w:t xml:space="preserve"> </w:t>
      </w:r>
    </w:p>
    <w:tbl>
      <w:tblPr>
        <w:tblStyle w:val="1vidutinistinklelis2parykinimas"/>
        <w:tblW w:w="0" w:type="auto"/>
        <w:tblLook w:val="04A0" w:firstRow="1" w:lastRow="0" w:firstColumn="1" w:lastColumn="0" w:noHBand="0" w:noVBand="1"/>
      </w:tblPr>
      <w:tblGrid>
        <w:gridCol w:w="4621"/>
        <w:gridCol w:w="4621"/>
      </w:tblGrid>
      <w:tr w:rsidR="00280058" w14:paraId="27DCA087" w14:textId="77777777" w:rsidTr="00BB18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1B2B95C9" w14:textId="77777777" w:rsidR="00280058" w:rsidRDefault="00280058" w:rsidP="00BB18F6">
            <w:pPr>
              <w:spacing w:after="120"/>
              <w:jc w:val="both"/>
              <w:rPr>
                <w:rStyle w:val="hps"/>
                <w:rFonts w:ascii="Georgia" w:hAnsi="Georgia" w:cs="Arial"/>
                <w:color w:val="222222"/>
                <w:sz w:val="20"/>
                <w:szCs w:val="20"/>
                <w:lang w:val="lt-LT"/>
              </w:rPr>
            </w:pPr>
            <w:r>
              <w:rPr>
                <w:rStyle w:val="hps"/>
                <w:rFonts w:ascii="Georgia" w:hAnsi="Georgia" w:cs="Arial"/>
                <w:color w:val="222222"/>
                <w:sz w:val="20"/>
                <w:szCs w:val="20"/>
                <w:lang w:val="lt-LT"/>
              </w:rPr>
              <w:t>Stiprybės</w:t>
            </w:r>
          </w:p>
          <w:p w14:paraId="721E0ADF" w14:textId="77777777" w:rsidR="00280058" w:rsidRDefault="00280058" w:rsidP="002A576D">
            <w:pPr>
              <w:pStyle w:val="Sraopastraipa"/>
              <w:numPr>
                <w:ilvl w:val="0"/>
                <w:numId w:val="79"/>
              </w:numPr>
              <w:ind w:left="567"/>
              <w:jc w:val="both"/>
              <w:rPr>
                <w:b w:val="0"/>
              </w:rPr>
            </w:pPr>
            <w:r>
              <w:rPr>
                <w:rFonts w:ascii="Georgia" w:hAnsi="Georgia" w:cs="Arial"/>
                <w:b w:val="0"/>
                <w:color w:val="222222"/>
                <w:sz w:val="20"/>
                <w:szCs w:val="20"/>
                <w:lang w:val="lt-LT"/>
              </w:rPr>
              <w:t>Įgyvendinus projektus pasiekiamas greitas ir didelis energijos efektyvumas</w:t>
            </w:r>
          </w:p>
          <w:p w14:paraId="0593F876" w14:textId="77777777" w:rsidR="00280058" w:rsidRDefault="00280058" w:rsidP="002A576D">
            <w:pPr>
              <w:pStyle w:val="Sraopastraipa"/>
              <w:numPr>
                <w:ilvl w:val="0"/>
                <w:numId w:val="79"/>
              </w:numPr>
              <w:ind w:left="567"/>
              <w:jc w:val="both"/>
              <w:rPr>
                <w:rFonts w:ascii="Georgia" w:hAnsi="Georgia" w:cs="Arial"/>
                <w:b w:val="0"/>
                <w:color w:val="222222"/>
                <w:sz w:val="20"/>
                <w:szCs w:val="20"/>
                <w:lang w:val="lt-LT"/>
              </w:rPr>
            </w:pPr>
            <w:r>
              <w:rPr>
                <w:rFonts w:ascii="Georgia" w:hAnsi="Georgia" w:cs="Arial"/>
                <w:b w:val="0"/>
                <w:color w:val="222222"/>
                <w:sz w:val="20"/>
                <w:szCs w:val="20"/>
                <w:lang w:val="lt-LT"/>
              </w:rPr>
              <w:t>Aukštas projektų atsiperkamumas lyginant su kitais energijos vartojimo efektyvumo projektais</w:t>
            </w:r>
          </w:p>
          <w:p w14:paraId="18AF8CA1" w14:textId="77777777" w:rsidR="00280058" w:rsidRDefault="00280058" w:rsidP="002A576D">
            <w:pPr>
              <w:pStyle w:val="Sraopastraipa"/>
              <w:numPr>
                <w:ilvl w:val="0"/>
                <w:numId w:val="79"/>
              </w:numPr>
              <w:ind w:left="567"/>
              <w:jc w:val="both"/>
              <w:rPr>
                <w:rFonts w:ascii="Georgia" w:hAnsi="Georgia" w:cs="Arial"/>
                <w:b w:val="0"/>
                <w:color w:val="222222"/>
                <w:sz w:val="20"/>
                <w:szCs w:val="20"/>
                <w:lang w:val="lt-LT"/>
              </w:rPr>
            </w:pPr>
            <w:r>
              <w:rPr>
                <w:rFonts w:ascii="Georgia" w:hAnsi="Georgia" w:cs="Arial"/>
                <w:b w:val="0"/>
                <w:color w:val="222222"/>
                <w:sz w:val="20"/>
                <w:szCs w:val="20"/>
                <w:lang w:val="lt-LT"/>
              </w:rPr>
              <w:t>Centralizuota gatvių apšvietimo tinklų kontrolė</w:t>
            </w:r>
          </w:p>
          <w:p w14:paraId="21B2B416" w14:textId="77777777" w:rsidR="00280058" w:rsidRDefault="00280058" w:rsidP="002A576D">
            <w:pPr>
              <w:pStyle w:val="Sraopastraipa"/>
              <w:numPr>
                <w:ilvl w:val="0"/>
                <w:numId w:val="79"/>
              </w:numPr>
              <w:spacing w:after="120"/>
              <w:ind w:left="567" w:hanging="357"/>
              <w:jc w:val="both"/>
              <w:rPr>
                <w:rStyle w:val="hps"/>
              </w:rPr>
            </w:pPr>
            <w:r>
              <w:rPr>
                <w:rFonts w:ascii="Georgia" w:hAnsi="Georgia" w:cs="Arial"/>
                <w:b w:val="0"/>
                <w:color w:val="222222"/>
                <w:sz w:val="20"/>
                <w:szCs w:val="20"/>
                <w:lang w:val="lt-LT"/>
              </w:rPr>
              <w:t>Galima remtis Vilniaus miesto gatvių apšvietimo modernizavimo projektu</w:t>
            </w:r>
          </w:p>
        </w:tc>
        <w:tc>
          <w:tcPr>
            <w:tcW w:w="462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5FB3814A" w14:textId="77777777" w:rsidR="00280058" w:rsidRDefault="00280058" w:rsidP="00BB18F6">
            <w:pPr>
              <w:spacing w:after="120"/>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color w:val="222222"/>
                <w:sz w:val="20"/>
                <w:szCs w:val="20"/>
                <w:lang w:val="lt-LT"/>
              </w:rPr>
            </w:pPr>
            <w:r>
              <w:rPr>
                <w:rStyle w:val="hps"/>
                <w:rFonts w:ascii="Georgia" w:hAnsi="Georgia" w:cs="Arial"/>
                <w:color w:val="222222"/>
                <w:sz w:val="20"/>
                <w:szCs w:val="20"/>
                <w:lang w:val="lt-LT"/>
              </w:rPr>
              <w:t>Silpnybės</w:t>
            </w:r>
          </w:p>
          <w:p w14:paraId="0473D0CC" w14:textId="77777777" w:rsidR="00280058" w:rsidRDefault="00280058" w:rsidP="002A576D">
            <w:pPr>
              <w:pStyle w:val="Sraopastraipa"/>
              <w:numPr>
                <w:ilvl w:val="0"/>
                <w:numId w:val="80"/>
              </w:numPr>
              <w:ind w:left="624"/>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color w:val="222222"/>
                <w:sz w:val="20"/>
                <w:szCs w:val="20"/>
                <w:lang w:val="lt-LT"/>
              </w:rPr>
            </w:pPr>
            <w:r>
              <w:rPr>
                <w:rStyle w:val="hps"/>
                <w:rFonts w:ascii="Georgia" w:hAnsi="Georgia" w:cs="Arial"/>
                <w:b w:val="0"/>
                <w:bCs w:val="0"/>
                <w:color w:val="222222"/>
                <w:sz w:val="20"/>
                <w:szCs w:val="20"/>
                <w:lang w:val="lt-LT"/>
              </w:rPr>
              <w:t>Infrastruktūra savivaldybėse nėra pilnai inventorizuota (neaiški tiksli infrastruktūra ir jos būklė)</w:t>
            </w:r>
          </w:p>
          <w:p w14:paraId="6A1DDE93" w14:textId="77777777" w:rsidR="00280058" w:rsidRDefault="00280058" w:rsidP="002A576D">
            <w:pPr>
              <w:pStyle w:val="Sraopastraipa"/>
              <w:numPr>
                <w:ilvl w:val="0"/>
                <w:numId w:val="80"/>
              </w:numPr>
              <w:ind w:left="624"/>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color w:val="222222"/>
                <w:sz w:val="20"/>
                <w:szCs w:val="20"/>
                <w:lang w:val="lt-LT"/>
              </w:rPr>
            </w:pPr>
            <w:r>
              <w:rPr>
                <w:rStyle w:val="hps"/>
                <w:rFonts w:ascii="Georgia" w:hAnsi="Georgia" w:cs="Arial"/>
                <w:b w:val="0"/>
                <w:color w:val="222222"/>
                <w:sz w:val="20"/>
                <w:szCs w:val="20"/>
                <w:lang w:val="lt-LT"/>
              </w:rPr>
              <w:t>Ribota patirtis panašių projektų valdyme savivaldybėse</w:t>
            </w:r>
          </w:p>
          <w:p w14:paraId="16F09DA6" w14:textId="77777777" w:rsidR="00280058" w:rsidRDefault="00280058" w:rsidP="002A576D">
            <w:pPr>
              <w:pStyle w:val="Sraopastraipa"/>
              <w:numPr>
                <w:ilvl w:val="0"/>
                <w:numId w:val="80"/>
              </w:numPr>
              <w:spacing w:after="120"/>
              <w:ind w:left="623" w:hanging="357"/>
              <w:jc w:val="both"/>
              <w:cnfStyle w:val="100000000000" w:firstRow="1" w:lastRow="0" w:firstColumn="0" w:lastColumn="0" w:oddVBand="0" w:evenVBand="0" w:oddHBand="0"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b w:val="0"/>
                <w:color w:val="222222"/>
                <w:sz w:val="20"/>
                <w:szCs w:val="20"/>
                <w:lang w:val="lt-LT"/>
              </w:rPr>
              <w:t>Bloga savivaldybių finansinė būklė (ribotos skolinimosi galimybės)</w:t>
            </w:r>
          </w:p>
        </w:tc>
      </w:tr>
      <w:tr w:rsidR="00280058" w14:paraId="59240238" w14:textId="77777777" w:rsidTr="00BB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56072FDC" w14:textId="77777777" w:rsidR="00280058" w:rsidRDefault="00280058" w:rsidP="00BB18F6">
            <w:pPr>
              <w:spacing w:after="120"/>
              <w:jc w:val="both"/>
              <w:rPr>
                <w:rStyle w:val="hps"/>
                <w:rFonts w:ascii="Georgia" w:hAnsi="Georgia" w:cs="Arial"/>
                <w:color w:val="222222"/>
                <w:sz w:val="20"/>
                <w:szCs w:val="20"/>
                <w:lang w:val="lt-LT"/>
              </w:rPr>
            </w:pPr>
            <w:r>
              <w:rPr>
                <w:rStyle w:val="hps"/>
                <w:rFonts w:ascii="Georgia" w:hAnsi="Georgia" w:cs="Arial"/>
                <w:color w:val="222222"/>
                <w:sz w:val="20"/>
                <w:szCs w:val="20"/>
                <w:lang w:val="lt-LT"/>
              </w:rPr>
              <w:t>Galimybės</w:t>
            </w:r>
          </w:p>
          <w:p w14:paraId="6CC3FC70" w14:textId="77777777" w:rsidR="00280058" w:rsidRDefault="00280058" w:rsidP="002A576D">
            <w:pPr>
              <w:pStyle w:val="Sraopastraipa"/>
              <w:numPr>
                <w:ilvl w:val="0"/>
                <w:numId w:val="81"/>
              </w:numPr>
              <w:ind w:left="567"/>
              <w:jc w:val="both"/>
              <w:rPr>
                <w:rStyle w:val="hps"/>
                <w:rFonts w:ascii="Georgia" w:hAnsi="Georgia" w:cs="Arial"/>
                <w:color w:val="222222"/>
                <w:sz w:val="20"/>
                <w:szCs w:val="20"/>
                <w:lang w:val="lt-LT"/>
              </w:rPr>
            </w:pPr>
            <w:r>
              <w:rPr>
                <w:rStyle w:val="hps"/>
                <w:rFonts w:ascii="Georgia" w:hAnsi="Georgia" w:cs="Arial"/>
                <w:b w:val="0"/>
                <w:color w:val="222222"/>
                <w:sz w:val="20"/>
                <w:szCs w:val="20"/>
                <w:lang w:val="lt-LT"/>
              </w:rPr>
              <w:t>Privačių partnerių susidomėjimas</w:t>
            </w:r>
          </w:p>
          <w:p w14:paraId="35B835A5" w14:textId="77777777" w:rsidR="00280058" w:rsidRDefault="00280058" w:rsidP="002A576D">
            <w:pPr>
              <w:pStyle w:val="Sraopastraipa"/>
              <w:numPr>
                <w:ilvl w:val="0"/>
                <w:numId w:val="81"/>
              </w:numPr>
              <w:ind w:left="567"/>
              <w:jc w:val="both"/>
              <w:rPr>
                <w:rStyle w:val="hps"/>
                <w:rFonts w:ascii="Georgia" w:hAnsi="Georgia" w:cs="Arial"/>
                <w:color w:val="222222"/>
                <w:sz w:val="20"/>
                <w:szCs w:val="20"/>
                <w:lang w:val="lt-LT"/>
              </w:rPr>
            </w:pPr>
            <w:r>
              <w:rPr>
                <w:rStyle w:val="hps"/>
                <w:rFonts w:ascii="Georgia" w:hAnsi="Georgia" w:cs="Arial"/>
                <w:b w:val="0"/>
                <w:color w:val="222222"/>
                <w:sz w:val="20"/>
                <w:szCs w:val="20"/>
                <w:lang w:val="lt-LT"/>
              </w:rPr>
              <w:t>Didelė patirtis įvairiose šalyse, daug prieinamų gerosios praktikos pavyzdžių</w:t>
            </w:r>
          </w:p>
          <w:p w14:paraId="76EED693" w14:textId="77777777" w:rsidR="00280058" w:rsidRDefault="00280058" w:rsidP="002A576D">
            <w:pPr>
              <w:pStyle w:val="Sraopastraipa"/>
              <w:numPr>
                <w:ilvl w:val="0"/>
                <w:numId w:val="81"/>
              </w:numPr>
              <w:ind w:left="567"/>
              <w:jc w:val="both"/>
              <w:rPr>
                <w:rStyle w:val="hps"/>
                <w:rFonts w:ascii="Georgia" w:hAnsi="Georgia" w:cs="Arial"/>
                <w:color w:val="222222"/>
                <w:sz w:val="20"/>
                <w:szCs w:val="20"/>
                <w:lang w:val="lt-LT"/>
              </w:rPr>
            </w:pPr>
            <w:r>
              <w:rPr>
                <w:rStyle w:val="hps"/>
                <w:rFonts w:ascii="Georgia" w:hAnsi="Georgia" w:cs="Arial"/>
                <w:b w:val="0"/>
                <w:color w:val="222222"/>
                <w:sz w:val="20"/>
                <w:szCs w:val="20"/>
                <w:lang w:val="lt-LT"/>
              </w:rPr>
              <w:t>Galimybė kompleksiškai įgyvendinti projektus, apjungiant kelių miestų gatvių apšvietimo tinklus į vieną projektą</w:t>
            </w:r>
          </w:p>
          <w:p w14:paraId="43AACB39" w14:textId="77777777" w:rsidR="00280058" w:rsidRDefault="00280058" w:rsidP="002A576D">
            <w:pPr>
              <w:pStyle w:val="Sraopastraipa"/>
              <w:numPr>
                <w:ilvl w:val="0"/>
                <w:numId w:val="81"/>
              </w:numPr>
              <w:spacing w:after="120"/>
              <w:ind w:left="567" w:hanging="357"/>
              <w:jc w:val="both"/>
              <w:rPr>
                <w:rStyle w:val="hps"/>
                <w:rFonts w:ascii="Georgia" w:hAnsi="Georgia" w:cs="Arial"/>
                <w:color w:val="222222"/>
                <w:sz w:val="20"/>
                <w:szCs w:val="20"/>
              </w:rPr>
            </w:pPr>
            <w:r>
              <w:rPr>
                <w:rStyle w:val="hps"/>
                <w:rFonts w:ascii="Georgia" w:hAnsi="Georgia" w:cs="Arial"/>
                <w:b w:val="0"/>
                <w:color w:val="222222"/>
                <w:sz w:val="20"/>
                <w:szCs w:val="20"/>
                <w:lang w:val="lt-LT"/>
              </w:rPr>
              <w:t>Galimybė įgyvendinti ESCO modelį</w:t>
            </w:r>
          </w:p>
        </w:tc>
        <w:tc>
          <w:tcPr>
            <w:tcW w:w="462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14:paraId="0A43336F" w14:textId="77777777" w:rsidR="00280058" w:rsidRDefault="00280058" w:rsidP="00BB18F6">
            <w:pPr>
              <w:spacing w:after="120"/>
              <w:jc w:val="both"/>
              <w:cnfStyle w:val="000000100000" w:firstRow="0" w:lastRow="0" w:firstColumn="0" w:lastColumn="0" w:oddVBand="0" w:evenVBand="0" w:oddHBand="1" w:evenHBand="0" w:firstRowFirstColumn="0" w:firstRowLastColumn="0" w:lastRowFirstColumn="0" w:lastRowLastColumn="0"/>
              <w:rPr>
                <w:rStyle w:val="hps"/>
                <w:rFonts w:ascii="Georgia" w:hAnsi="Georgia" w:cs="Arial"/>
                <w:b/>
                <w:color w:val="222222"/>
                <w:sz w:val="20"/>
                <w:szCs w:val="20"/>
                <w:lang w:val="lt-LT"/>
              </w:rPr>
            </w:pPr>
            <w:r>
              <w:rPr>
                <w:rStyle w:val="hps"/>
                <w:rFonts w:ascii="Georgia" w:hAnsi="Georgia" w:cs="Arial"/>
                <w:b/>
                <w:color w:val="222222"/>
                <w:sz w:val="20"/>
                <w:szCs w:val="20"/>
                <w:lang w:val="lt-LT"/>
              </w:rPr>
              <w:t>Grėsmės</w:t>
            </w:r>
          </w:p>
          <w:p w14:paraId="4F18E81D" w14:textId="77777777" w:rsidR="00280058" w:rsidRDefault="00280058" w:rsidP="002A576D">
            <w:pPr>
              <w:pStyle w:val="Sraopastraipa"/>
              <w:numPr>
                <w:ilvl w:val="0"/>
                <w:numId w:val="82"/>
              </w:numPr>
              <w:jc w:val="both"/>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lang w:val="lt-LT"/>
              </w:rPr>
            </w:pPr>
            <w:r>
              <w:rPr>
                <w:rStyle w:val="hps"/>
                <w:rFonts w:ascii="Georgia" w:hAnsi="Georgia" w:cs="Arial"/>
                <w:color w:val="222222"/>
                <w:sz w:val="20"/>
                <w:szCs w:val="20"/>
                <w:lang w:val="lt-LT"/>
              </w:rPr>
              <w:t>Ribotas įmonių, galinčių dalyvauti, skaičius</w:t>
            </w:r>
          </w:p>
          <w:p w14:paraId="098D829F" w14:textId="77777777" w:rsidR="00280058" w:rsidRDefault="00280058" w:rsidP="002A576D">
            <w:pPr>
              <w:pStyle w:val="Sraopastraipa"/>
              <w:numPr>
                <w:ilvl w:val="0"/>
                <w:numId w:val="82"/>
              </w:numPr>
              <w:jc w:val="both"/>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lang w:val="lt-LT"/>
              </w:rPr>
            </w:pPr>
            <w:r>
              <w:rPr>
                <w:rStyle w:val="hps"/>
                <w:rFonts w:ascii="Georgia" w:hAnsi="Georgia" w:cs="Arial"/>
                <w:color w:val="222222"/>
                <w:sz w:val="20"/>
                <w:szCs w:val="20"/>
                <w:lang w:val="lt-LT"/>
              </w:rPr>
              <w:t>Ribotas ar nepakankamas finansavimas</w:t>
            </w:r>
          </w:p>
          <w:p w14:paraId="14D8B853" w14:textId="77777777" w:rsidR="00280058" w:rsidRDefault="00280058" w:rsidP="002A576D">
            <w:pPr>
              <w:pStyle w:val="Sraopastraipa"/>
              <w:numPr>
                <w:ilvl w:val="0"/>
                <w:numId w:val="82"/>
              </w:numPr>
              <w:jc w:val="both"/>
              <w:cnfStyle w:val="000000100000" w:firstRow="0" w:lastRow="0" w:firstColumn="0" w:lastColumn="0" w:oddVBand="0" w:evenVBand="0" w:oddHBand="1" w:evenHBand="0" w:firstRowFirstColumn="0" w:firstRowLastColumn="0" w:lastRowFirstColumn="0" w:lastRowLastColumn="0"/>
              <w:rPr>
                <w:rStyle w:val="hps"/>
                <w:rFonts w:ascii="Georgia" w:hAnsi="Georgia" w:cs="Arial"/>
                <w:color w:val="222222"/>
                <w:sz w:val="20"/>
                <w:szCs w:val="20"/>
              </w:rPr>
            </w:pPr>
            <w:r>
              <w:rPr>
                <w:rStyle w:val="hps"/>
                <w:rFonts w:ascii="Georgia" w:hAnsi="Georgia" w:cs="Arial"/>
                <w:color w:val="222222"/>
                <w:sz w:val="20"/>
                <w:szCs w:val="20"/>
                <w:lang w:val="lt-LT"/>
              </w:rPr>
              <w:t>Politinė ir teisinės bazės keitimo rizika</w:t>
            </w:r>
          </w:p>
        </w:tc>
      </w:tr>
    </w:tbl>
    <w:p w14:paraId="557615C7" w14:textId="77777777" w:rsidR="001E5999" w:rsidRPr="00AC3318" w:rsidRDefault="001E5999" w:rsidP="00280058">
      <w:pPr>
        <w:rPr>
          <w:rFonts w:ascii="Georgia" w:hAnsi="Georgia"/>
          <w:sz w:val="20"/>
          <w:szCs w:val="20"/>
          <w:lang w:val="lt-LT"/>
        </w:rPr>
      </w:pPr>
    </w:p>
    <w:p w14:paraId="2E2E61AA" w14:textId="77777777" w:rsidR="00280058" w:rsidRPr="00815C69" w:rsidRDefault="00280058" w:rsidP="00280058">
      <w:pPr>
        <w:jc w:val="both"/>
        <w:rPr>
          <w:rStyle w:val="hps"/>
          <w:rFonts w:ascii="Georgia" w:hAnsi="Georgia" w:cs="Arial"/>
          <w:color w:val="222222"/>
          <w:sz w:val="20"/>
          <w:szCs w:val="20"/>
          <w:lang w:val="lt-LT"/>
        </w:rPr>
      </w:pPr>
      <w:r>
        <w:rPr>
          <w:rStyle w:val="hps"/>
          <w:rFonts w:ascii="Georgia" w:hAnsi="Georgia" w:cs="Arial"/>
          <w:color w:val="222222"/>
          <w:sz w:val="20"/>
          <w:szCs w:val="20"/>
          <w:lang w:val="lt-LT"/>
        </w:rPr>
        <w:t xml:space="preserve"> </w:t>
      </w:r>
    </w:p>
    <w:p w14:paraId="44657F97" w14:textId="77777777" w:rsidR="00280058" w:rsidRPr="00AC3318" w:rsidRDefault="00280058" w:rsidP="00280058">
      <w:pPr>
        <w:rPr>
          <w:rFonts w:ascii="Georgia" w:eastAsiaTheme="majorEastAsia" w:hAnsi="Georgia" w:cstheme="majorBidi"/>
          <w:b/>
          <w:bCs/>
          <w:color w:val="4F81BD" w:themeColor="accent1"/>
          <w:sz w:val="20"/>
          <w:szCs w:val="20"/>
          <w:lang w:val="lt-LT"/>
        </w:rPr>
      </w:pPr>
      <w:r w:rsidRPr="00AC3318">
        <w:rPr>
          <w:rFonts w:ascii="Georgia" w:hAnsi="Georgia"/>
          <w:sz w:val="20"/>
          <w:szCs w:val="20"/>
          <w:lang w:val="lt-LT"/>
        </w:rPr>
        <w:br w:type="page"/>
      </w:r>
    </w:p>
    <w:p w14:paraId="04DC8C9D" w14:textId="77777777" w:rsidR="00FD5FAE" w:rsidRPr="00C8226F" w:rsidRDefault="00FD5FAE" w:rsidP="00FD5FAE">
      <w:pPr>
        <w:pStyle w:val="Antrat2"/>
        <w:numPr>
          <w:ilvl w:val="1"/>
          <w:numId w:val="2"/>
        </w:numPr>
        <w:spacing w:after="240"/>
        <w:rPr>
          <w:lang w:val="lt-LT"/>
        </w:rPr>
      </w:pPr>
      <w:bookmarkStart w:id="272" w:name="_Toc402352635"/>
      <w:bookmarkStart w:id="273" w:name="_Toc417378397"/>
      <w:r w:rsidRPr="00C8226F">
        <w:rPr>
          <w:lang w:val="lt-LT"/>
        </w:rPr>
        <w:lastRenderedPageBreak/>
        <w:t>Sverto efekto skaičiavimas</w:t>
      </w:r>
      <w:bookmarkEnd w:id="272"/>
      <w:bookmarkEnd w:id="273"/>
    </w:p>
    <w:p w14:paraId="1C0B24D3" w14:textId="77777777" w:rsidR="00C812CA" w:rsidRPr="002E2907" w:rsidRDefault="00C812CA" w:rsidP="00C812CA">
      <w:pPr>
        <w:jc w:val="both"/>
        <w:rPr>
          <w:rFonts w:ascii="Georgia" w:hAnsi="Georgia"/>
          <w:sz w:val="20"/>
          <w:szCs w:val="20"/>
          <w:lang w:val="lt-LT"/>
        </w:rPr>
      </w:pPr>
      <w:r w:rsidRPr="002E2907">
        <w:rPr>
          <w:rFonts w:ascii="Georgia" w:hAnsi="Georgia"/>
          <w:sz w:val="20"/>
          <w:szCs w:val="20"/>
          <w:lang w:val="lt-LT"/>
        </w:rPr>
        <w:t>Remiantis Bendrųjų nuostatų reglamentu sverto efektas privalo būti skaičiuojamas kaip lėšų galutiniams naudos gavėjams sumos santykis su asignuotomis ESI lėšomis specifinei finansinei priemonei.</w:t>
      </w:r>
    </w:p>
    <w:p w14:paraId="7290788F" w14:textId="77777777" w:rsidR="00C812CA" w:rsidRPr="002E2907" w:rsidRDefault="00C812CA" w:rsidP="00C812CA">
      <w:pPr>
        <w:jc w:val="both"/>
        <w:rPr>
          <w:rFonts w:ascii="Georgia" w:hAnsi="Georgia"/>
          <w:sz w:val="20"/>
          <w:szCs w:val="20"/>
          <w:lang w:val="lt-LT"/>
        </w:rPr>
      </w:pPr>
      <w:r w:rsidRPr="002E2907">
        <w:rPr>
          <w:rFonts w:ascii="Georgia" w:hAnsi="Georgia"/>
          <w:sz w:val="20"/>
          <w:szCs w:val="20"/>
          <w:lang w:val="lt-LT"/>
        </w:rPr>
        <w:t>Pagal 4.1.2.1. skyriuje identifikuotus scenarijus apskaičiuoti sverto efekto rodikliai daugiabučių renovacijai pateikiami žemiau esančioje lentelėje.</w:t>
      </w:r>
    </w:p>
    <w:p w14:paraId="2B6DF1D9" w14:textId="0015EBC5" w:rsidR="00C812CA" w:rsidRDefault="00C812CA" w:rsidP="00C812CA">
      <w:pPr>
        <w:pStyle w:val="Antrat"/>
        <w:jc w:val="both"/>
        <w:rPr>
          <w:rFonts w:cs="Georgia"/>
          <w:szCs w:val="20"/>
          <w:lang w:val="lt-LT"/>
        </w:rPr>
      </w:pPr>
      <w:bookmarkStart w:id="274" w:name="_Toc460321723"/>
      <w:r w:rsidRPr="002E2907">
        <w:rPr>
          <w:lang w:val="lt-LT"/>
        </w:rPr>
        <w:t xml:space="preserve">Lentelė </w:t>
      </w:r>
      <w:r w:rsidRPr="002E2907">
        <w:rPr>
          <w:lang w:val="lt-LT"/>
        </w:rPr>
        <w:fldChar w:fldCharType="begin"/>
      </w:r>
      <w:r w:rsidRPr="002E2907">
        <w:rPr>
          <w:lang w:val="lt-LT"/>
        </w:rPr>
        <w:instrText xml:space="preserve"> SEQ Lentelė \* ARABIC </w:instrText>
      </w:r>
      <w:r w:rsidRPr="002E2907">
        <w:rPr>
          <w:lang w:val="lt-LT"/>
        </w:rPr>
        <w:fldChar w:fldCharType="separate"/>
      </w:r>
      <w:r w:rsidR="00AA3082">
        <w:rPr>
          <w:noProof/>
          <w:lang w:val="lt-LT"/>
        </w:rPr>
        <w:t>142</w:t>
      </w:r>
      <w:r w:rsidRPr="002E2907">
        <w:rPr>
          <w:lang w:val="lt-LT"/>
        </w:rPr>
        <w:fldChar w:fldCharType="end"/>
      </w:r>
      <w:r w:rsidRPr="002E2907">
        <w:rPr>
          <w:lang w:val="lt-LT"/>
        </w:rPr>
        <w:t xml:space="preserve">. </w:t>
      </w:r>
      <w:r w:rsidRPr="002E2907">
        <w:rPr>
          <w:rFonts w:cs="Georgia"/>
          <w:szCs w:val="20"/>
          <w:lang w:val="lt-LT"/>
        </w:rPr>
        <w:t>Daugiabučių renovacijos finansavimo sverto efekto rodikliai pagal atskirus scenarijus</w:t>
      </w:r>
      <w:bookmarkEnd w:id="274"/>
      <w:r w:rsidRPr="002E2907">
        <w:rPr>
          <w:rFonts w:cs="Georgia"/>
          <w:szCs w:val="20"/>
          <w:lang w:val="lt-LT"/>
        </w:rPr>
        <w:t xml:space="preserve"> </w:t>
      </w:r>
    </w:p>
    <w:tbl>
      <w:tblPr>
        <w:tblStyle w:val="viesussraas2parykinimas"/>
        <w:tblW w:w="5000" w:type="pct"/>
        <w:tblLook w:val="04A0" w:firstRow="1" w:lastRow="0" w:firstColumn="1" w:lastColumn="0" w:noHBand="0" w:noVBand="1"/>
      </w:tblPr>
      <w:tblGrid>
        <w:gridCol w:w="6898"/>
        <w:gridCol w:w="2344"/>
      </w:tblGrid>
      <w:tr w:rsidR="00C812CA" w:rsidRPr="00C8226F" w14:paraId="0C7DEB6A" w14:textId="77777777" w:rsidTr="00B51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2" w:type="pct"/>
            <w:tcBorders>
              <w:top w:val="single" w:sz="8" w:space="0" w:color="C0504D" w:themeColor="accent2"/>
              <w:left w:val="single" w:sz="8" w:space="0" w:color="C0504D" w:themeColor="accent2"/>
              <w:bottom w:val="nil"/>
              <w:right w:val="nil"/>
            </w:tcBorders>
            <w:hideMark/>
          </w:tcPr>
          <w:p w14:paraId="33E3DAE3" w14:textId="77777777" w:rsidR="00C812CA" w:rsidRPr="008B5F19" w:rsidRDefault="00C812CA" w:rsidP="00105B94">
            <w:pPr>
              <w:jc w:val="center"/>
              <w:rPr>
                <w:rFonts w:ascii="Georgia" w:hAnsi="Georgia"/>
                <w:sz w:val="20"/>
                <w:szCs w:val="20"/>
              </w:rPr>
            </w:pPr>
            <w:r w:rsidRPr="008B5F19">
              <w:rPr>
                <w:rFonts w:ascii="Georgia" w:hAnsi="Georgia"/>
                <w:sz w:val="20"/>
                <w:szCs w:val="20"/>
              </w:rPr>
              <w:t>Scenarijai</w:t>
            </w:r>
          </w:p>
        </w:tc>
        <w:tc>
          <w:tcPr>
            <w:tcW w:w="1268" w:type="pct"/>
            <w:tcBorders>
              <w:top w:val="single" w:sz="8" w:space="0" w:color="C0504D" w:themeColor="accent2"/>
              <w:left w:val="nil"/>
              <w:bottom w:val="nil"/>
              <w:right w:val="single" w:sz="8" w:space="0" w:color="C0504D" w:themeColor="accent2"/>
            </w:tcBorders>
            <w:hideMark/>
          </w:tcPr>
          <w:p w14:paraId="47511420" w14:textId="77777777" w:rsidR="00C812CA" w:rsidRPr="008B5F19" w:rsidRDefault="00C812CA" w:rsidP="00105B94">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8B5F19">
              <w:rPr>
                <w:rFonts w:ascii="Georgia" w:hAnsi="Georgia"/>
                <w:sz w:val="20"/>
                <w:szCs w:val="20"/>
              </w:rPr>
              <w:t>Sverto efekto rodiklis</w:t>
            </w:r>
          </w:p>
        </w:tc>
      </w:tr>
      <w:tr w:rsidR="00C812CA" w:rsidRPr="00C8226F" w14:paraId="49DCE832" w14:textId="77777777" w:rsidTr="00B51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2" w:type="pct"/>
            <w:tcBorders>
              <w:right w:val="nil"/>
            </w:tcBorders>
            <w:hideMark/>
          </w:tcPr>
          <w:p w14:paraId="55BD088A" w14:textId="77777777" w:rsidR="00C812CA" w:rsidRPr="008B5F19" w:rsidRDefault="00C812CA" w:rsidP="00105B94">
            <w:pPr>
              <w:rPr>
                <w:rFonts w:ascii="Georgia" w:hAnsi="Georgia"/>
                <w:b w:val="0"/>
                <w:sz w:val="20"/>
                <w:szCs w:val="20"/>
              </w:rPr>
            </w:pPr>
            <w:r w:rsidRPr="008B5F19">
              <w:rPr>
                <w:rFonts w:ascii="Georgia" w:hAnsi="Georgia"/>
                <w:sz w:val="20"/>
                <w:szCs w:val="20"/>
              </w:rPr>
              <w:t>1 scenarijus. Lengvatinė paskola su 3 proc. palūkanomis ir 15 proc. palūkanų kompensavimu</w:t>
            </w:r>
          </w:p>
        </w:tc>
        <w:tc>
          <w:tcPr>
            <w:tcW w:w="1268" w:type="pct"/>
            <w:tcBorders>
              <w:left w:val="nil"/>
            </w:tcBorders>
            <w:hideMark/>
          </w:tcPr>
          <w:p w14:paraId="4FFD7777" w14:textId="77777777" w:rsidR="00C812CA" w:rsidRPr="008B5F19" w:rsidRDefault="00C812CA" w:rsidP="00105B94">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1,24</w:t>
            </w:r>
          </w:p>
        </w:tc>
      </w:tr>
      <w:tr w:rsidR="00C812CA" w:rsidRPr="00C8226F" w14:paraId="50BE08E2" w14:textId="77777777" w:rsidTr="00B51CAE">
        <w:tc>
          <w:tcPr>
            <w:cnfStyle w:val="001000000000" w:firstRow="0" w:lastRow="0" w:firstColumn="1" w:lastColumn="0" w:oddVBand="0" w:evenVBand="0" w:oddHBand="0" w:evenHBand="0" w:firstRowFirstColumn="0" w:firstRowLastColumn="0" w:lastRowFirstColumn="0" w:lastRowLastColumn="0"/>
            <w:tcW w:w="3732" w:type="pct"/>
            <w:tcBorders>
              <w:top w:val="nil"/>
              <w:left w:val="single" w:sz="8" w:space="0" w:color="C0504D" w:themeColor="accent2"/>
              <w:bottom w:val="nil"/>
              <w:right w:val="nil"/>
            </w:tcBorders>
            <w:hideMark/>
          </w:tcPr>
          <w:p w14:paraId="3AC4A972" w14:textId="77777777" w:rsidR="00C812CA" w:rsidRPr="008B5F19" w:rsidRDefault="00C812CA" w:rsidP="00105B94">
            <w:pPr>
              <w:rPr>
                <w:rFonts w:ascii="Georgia" w:hAnsi="Georgia"/>
                <w:b w:val="0"/>
                <w:sz w:val="20"/>
                <w:szCs w:val="20"/>
              </w:rPr>
            </w:pPr>
            <w:r w:rsidRPr="008B5F19">
              <w:rPr>
                <w:rFonts w:ascii="Georgia" w:hAnsi="Georgia"/>
                <w:sz w:val="20"/>
                <w:szCs w:val="20"/>
              </w:rPr>
              <w:t xml:space="preserve">2 scenarijus. Lengvatinė paskola su 1 proc. palūkanomis </w:t>
            </w:r>
          </w:p>
        </w:tc>
        <w:tc>
          <w:tcPr>
            <w:tcW w:w="1268" w:type="pct"/>
            <w:tcBorders>
              <w:top w:val="nil"/>
              <w:left w:val="nil"/>
              <w:bottom w:val="nil"/>
              <w:right w:val="single" w:sz="8" w:space="0" w:color="C0504D" w:themeColor="accent2"/>
            </w:tcBorders>
            <w:hideMark/>
          </w:tcPr>
          <w:p w14:paraId="25A547BE" w14:textId="77777777" w:rsidR="00C812CA" w:rsidRPr="008B5F19" w:rsidRDefault="00C812CA" w:rsidP="00105B94">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1,24</w:t>
            </w:r>
          </w:p>
        </w:tc>
      </w:tr>
      <w:tr w:rsidR="00C812CA" w:rsidRPr="00C8226F" w14:paraId="4EE7C024" w14:textId="77777777" w:rsidTr="00B51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2" w:type="pct"/>
            <w:tcBorders>
              <w:right w:val="nil"/>
            </w:tcBorders>
            <w:hideMark/>
          </w:tcPr>
          <w:p w14:paraId="25679D2C" w14:textId="77777777" w:rsidR="00C812CA" w:rsidRPr="008B5F19" w:rsidRDefault="00C812CA" w:rsidP="00105B94">
            <w:pPr>
              <w:rPr>
                <w:rFonts w:ascii="Georgia" w:hAnsi="Georgia"/>
                <w:b w:val="0"/>
                <w:sz w:val="20"/>
                <w:szCs w:val="20"/>
              </w:rPr>
            </w:pPr>
            <w:r w:rsidRPr="008B5F19">
              <w:rPr>
                <w:rFonts w:ascii="Georgia" w:hAnsi="Georgia"/>
                <w:sz w:val="20"/>
                <w:szCs w:val="20"/>
              </w:rPr>
              <w:t>3 scenarijus. Lengvatinė paskola 3 proc. palūkanomis ir 15 proc. palūkanų kompensavimu ir garantijos bankams</w:t>
            </w:r>
          </w:p>
        </w:tc>
        <w:tc>
          <w:tcPr>
            <w:tcW w:w="1268" w:type="pct"/>
            <w:tcBorders>
              <w:left w:val="nil"/>
            </w:tcBorders>
            <w:hideMark/>
          </w:tcPr>
          <w:p w14:paraId="13055703" w14:textId="77777777" w:rsidR="00C812CA" w:rsidRPr="008B5F19" w:rsidRDefault="00C812CA" w:rsidP="00105B94">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1,73</w:t>
            </w:r>
          </w:p>
        </w:tc>
      </w:tr>
      <w:tr w:rsidR="00C812CA" w:rsidRPr="00C8226F" w14:paraId="07C65795" w14:textId="77777777" w:rsidTr="00B51CAE">
        <w:tc>
          <w:tcPr>
            <w:cnfStyle w:val="001000000000" w:firstRow="0" w:lastRow="0" w:firstColumn="1" w:lastColumn="0" w:oddVBand="0" w:evenVBand="0" w:oddHBand="0" w:evenHBand="0" w:firstRowFirstColumn="0" w:firstRowLastColumn="0" w:lastRowFirstColumn="0" w:lastRowLastColumn="0"/>
            <w:tcW w:w="3732" w:type="pct"/>
            <w:tcBorders>
              <w:top w:val="nil"/>
              <w:left w:val="single" w:sz="8" w:space="0" w:color="C0504D" w:themeColor="accent2"/>
              <w:bottom w:val="nil"/>
              <w:right w:val="nil"/>
            </w:tcBorders>
            <w:hideMark/>
          </w:tcPr>
          <w:p w14:paraId="2BC30BCE" w14:textId="77777777" w:rsidR="00C812CA" w:rsidRPr="008B5F19" w:rsidRDefault="00C812CA" w:rsidP="00105B94">
            <w:pPr>
              <w:rPr>
                <w:rFonts w:ascii="Georgia" w:hAnsi="Georgia"/>
                <w:b w:val="0"/>
                <w:sz w:val="20"/>
                <w:szCs w:val="20"/>
              </w:rPr>
            </w:pPr>
            <w:r w:rsidRPr="008B5F19">
              <w:rPr>
                <w:rFonts w:ascii="Georgia" w:hAnsi="Georgia"/>
                <w:sz w:val="20"/>
                <w:szCs w:val="20"/>
              </w:rPr>
              <w:t>4 scenarijus. Visos ESI fondų lėšos skiriamos garantijos finansinei priemonei</w:t>
            </w:r>
          </w:p>
        </w:tc>
        <w:tc>
          <w:tcPr>
            <w:tcW w:w="1268" w:type="pct"/>
            <w:tcBorders>
              <w:top w:val="nil"/>
              <w:left w:val="nil"/>
              <w:bottom w:val="nil"/>
              <w:right w:val="single" w:sz="8" w:space="0" w:color="C0504D" w:themeColor="accent2"/>
            </w:tcBorders>
            <w:hideMark/>
          </w:tcPr>
          <w:p w14:paraId="74A8B8CC" w14:textId="77777777" w:rsidR="00C812CA" w:rsidRPr="008B5F19" w:rsidRDefault="00C812CA" w:rsidP="00105B94">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3,14</w:t>
            </w:r>
          </w:p>
        </w:tc>
      </w:tr>
      <w:tr w:rsidR="00C812CA" w:rsidRPr="00C8226F" w14:paraId="15CBE65D" w14:textId="77777777" w:rsidTr="00B51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2" w:type="pct"/>
            <w:tcBorders>
              <w:right w:val="nil"/>
            </w:tcBorders>
            <w:hideMark/>
          </w:tcPr>
          <w:p w14:paraId="5F1AB124" w14:textId="77777777" w:rsidR="00C812CA" w:rsidRPr="008B5F19" w:rsidRDefault="00C812CA" w:rsidP="00105B94">
            <w:pPr>
              <w:rPr>
                <w:rFonts w:ascii="Georgia" w:hAnsi="Georgia"/>
                <w:b w:val="0"/>
                <w:sz w:val="20"/>
                <w:szCs w:val="20"/>
              </w:rPr>
            </w:pPr>
            <w:r w:rsidRPr="008B5F19">
              <w:rPr>
                <w:rFonts w:ascii="Georgia" w:hAnsi="Georgia"/>
                <w:sz w:val="20"/>
                <w:szCs w:val="20"/>
              </w:rPr>
              <w:t>5 scenarijus. Investicinis fondas (pirmo praradimo) ir lengvatinė paskola su 3 proc. palūkanomis ir 15 proc. palūkanų kompensavimu</w:t>
            </w:r>
          </w:p>
        </w:tc>
        <w:tc>
          <w:tcPr>
            <w:tcW w:w="1268" w:type="pct"/>
            <w:tcBorders>
              <w:left w:val="nil"/>
            </w:tcBorders>
            <w:hideMark/>
          </w:tcPr>
          <w:p w14:paraId="1E0A8CE5" w14:textId="77777777" w:rsidR="00C812CA" w:rsidRPr="008B5F19" w:rsidRDefault="00C812CA" w:rsidP="00105B94">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3,57</w:t>
            </w:r>
          </w:p>
        </w:tc>
      </w:tr>
      <w:tr w:rsidR="00C812CA" w:rsidRPr="00C8226F" w14:paraId="3647065A" w14:textId="77777777" w:rsidTr="00B51CAE">
        <w:tc>
          <w:tcPr>
            <w:cnfStyle w:val="001000000000" w:firstRow="0" w:lastRow="0" w:firstColumn="1" w:lastColumn="0" w:oddVBand="0" w:evenVBand="0" w:oddHBand="0" w:evenHBand="0" w:firstRowFirstColumn="0" w:firstRowLastColumn="0" w:lastRowFirstColumn="0" w:lastRowLastColumn="0"/>
            <w:tcW w:w="3732" w:type="pct"/>
            <w:tcBorders>
              <w:top w:val="nil"/>
              <w:left w:val="single" w:sz="8" w:space="0" w:color="C0504D" w:themeColor="accent2"/>
              <w:bottom w:val="nil"/>
              <w:right w:val="nil"/>
            </w:tcBorders>
            <w:hideMark/>
          </w:tcPr>
          <w:p w14:paraId="4A5147F7" w14:textId="77777777" w:rsidR="00C812CA" w:rsidRPr="008B5F19" w:rsidRDefault="00C812CA" w:rsidP="002F60CA">
            <w:pPr>
              <w:rPr>
                <w:rFonts w:ascii="Georgia" w:hAnsi="Georgia"/>
                <w:b w:val="0"/>
                <w:sz w:val="20"/>
                <w:szCs w:val="20"/>
              </w:rPr>
            </w:pPr>
            <w:r w:rsidRPr="008B5F19">
              <w:rPr>
                <w:rFonts w:ascii="Georgia" w:hAnsi="Georgia"/>
                <w:sz w:val="20"/>
                <w:szCs w:val="20"/>
              </w:rPr>
              <w:t>6 scenarijus. Lengvatinė paskola (su 3 proc. palūkanomis ir 15 proc. palūkanų kompensavimu) ir garantijos bankams, ir nuo 201</w:t>
            </w:r>
            <w:r w:rsidR="002F60CA">
              <w:rPr>
                <w:rFonts w:ascii="Georgia" w:hAnsi="Georgia"/>
                <w:sz w:val="20"/>
                <w:szCs w:val="20"/>
              </w:rPr>
              <w:t>6</w:t>
            </w:r>
            <w:r w:rsidRPr="008B5F19">
              <w:rPr>
                <w:rFonts w:ascii="Georgia" w:hAnsi="Georgia"/>
                <w:sz w:val="20"/>
                <w:szCs w:val="20"/>
              </w:rPr>
              <w:t xml:space="preserve"> m. sukurtas investicinis fondas išperka 70 proc. visų išduotų paskolų</w:t>
            </w:r>
          </w:p>
        </w:tc>
        <w:tc>
          <w:tcPr>
            <w:tcW w:w="1268" w:type="pct"/>
            <w:tcBorders>
              <w:top w:val="nil"/>
              <w:left w:val="nil"/>
              <w:bottom w:val="nil"/>
              <w:right w:val="single" w:sz="8" w:space="0" w:color="C0504D" w:themeColor="accent2"/>
            </w:tcBorders>
            <w:hideMark/>
          </w:tcPr>
          <w:p w14:paraId="2B42A1D4" w14:textId="77777777" w:rsidR="00C812CA" w:rsidRPr="008B5F19" w:rsidRDefault="00C812CA" w:rsidP="00105B94">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2,59</w:t>
            </w:r>
          </w:p>
        </w:tc>
      </w:tr>
      <w:tr w:rsidR="00C812CA" w:rsidRPr="00C8226F" w14:paraId="7A46F4AE" w14:textId="77777777" w:rsidTr="00B51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2" w:type="pct"/>
            <w:tcBorders>
              <w:right w:val="nil"/>
            </w:tcBorders>
            <w:hideMark/>
          </w:tcPr>
          <w:p w14:paraId="5DCB7758" w14:textId="77777777" w:rsidR="00C812CA" w:rsidRPr="008B5F19" w:rsidRDefault="00C812CA" w:rsidP="002F60CA">
            <w:pPr>
              <w:rPr>
                <w:rFonts w:ascii="Georgia" w:hAnsi="Georgia"/>
                <w:b w:val="0"/>
                <w:sz w:val="20"/>
                <w:szCs w:val="20"/>
              </w:rPr>
            </w:pPr>
            <w:r w:rsidRPr="008B5F19">
              <w:rPr>
                <w:rFonts w:ascii="Georgia" w:hAnsi="Georgia"/>
                <w:sz w:val="20"/>
                <w:szCs w:val="20"/>
              </w:rPr>
              <w:t xml:space="preserve">7 scenarijus. Lengvatinė paskola (su 3 proc. palūkanomis ir 15 proc. palūkanų kompensavimu) ir nuo </w:t>
            </w:r>
            <w:r w:rsidR="002F60CA" w:rsidRPr="008B5F19">
              <w:rPr>
                <w:rFonts w:ascii="Georgia" w:hAnsi="Georgia"/>
                <w:sz w:val="20"/>
                <w:szCs w:val="20"/>
              </w:rPr>
              <w:t>201</w:t>
            </w:r>
            <w:r w:rsidR="002F60CA">
              <w:rPr>
                <w:rFonts w:ascii="Georgia" w:hAnsi="Georgia"/>
                <w:sz w:val="20"/>
                <w:szCs w:val="20"/>
              </w:rPr>
              <w:t>6</w:t>
            </w:r>
            <w:r w:rsidR="002F60CA" w:rsidRPr="008B5F19">
              <w:rPr>
                <w:rFonts w:ascii="Georgia" w:hAnsi="Georgia"/>
                <w:sz w:val="20"/>
                <w:szCs w:val="20"/>
              </w:rPr>
              <w:t xml:space="preserve"> </w:t>
            </w:r>
            <w:r w:rsidRPr="008B5F19">
              <w:rPr>
                <w:rFonts w:ascii="Georgia" w:hAnsi="Georgia"/>
                <w:sz w:val="20"/>
                <w:szCs w:val="20"/>
              </w:rPr>
              <w:t>m. sukurtas investicinis fondas išperka 70 proc. visų išduotų paskolų</w:t>
            </w:r>
          </w:p>
        </w:tc>
        <w:tc>
          <w:tcPr>
            <w:tcW w:w="1268" w:type="pct"/>
            <w:tcBorders>
              <w:left w:val="nil"/>
            </w:tcBorders>
            <w:hideMark/>
          </w:tcPr>
          <w:p w14:paraId="61AE6433" w14:textId="77777777" w:rsidR="00C812CA" w:rsidRPr="008B5F19" w:rsidRDefault="00C812CA" w:rsidP="00105B94">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2,24</w:t>
            </w:r>
          </w:p>
        </w:tc>
      </w:tr>
      <w:tr w:rsidR="00C812CA" w:rsidRPr="002E2907" w14:paraId="3FEA444E" w14:textId="77777777" w:rsidTr="00B51CAE">
        <w:tc>
          <w:tcPr>
            <w:cnfStyle w:val="001000000000" w:firstRow="0" w:lastRow="0" w:firstColumn="1" w:lastColumn="0" w:oddVBand="0" w:evenVBand="0" w:oddHBand="0" w:evenHBand="0" w:firstRowFirstColumn="0" w:firstRowLastColumn="0" w:lastRowFirstColumn="0" w:lastRowLastColumn="0"/>
            <w:tcW w:w="3732" w:type="pct"/>
            <w:tcBorders>
              <w:right w:val="nil"/>
            </w:tcBorders>
          </w:tcPr>
          <w:p w14:paraId="0F25B698" w14:textId="77777777" w:rsidR="00C812CA" w:rsidRPr="002E2907" w:rsidRDefault="00C812CA" w:rsidP="00C812CA">
            <w:pPr>
              <w:rPr>
                <w:rFonts w:ascii="Georgia" w:hAnsi="Georgia"/>
                <w:sz w:val="20"/>
                <w:szCs w:val="20"/>
              </w:rPr>
            </w:pPr>
            <w:r w:rsidRPr="002E2907">
              <w:rPr>
                <w:rFonts w:ascii="Georgia" w:hAnsi="Georgia"/>
                <w:sz w:val="20"/>
                <w:szCs w:val="20"/>
              </w:rPr>
              <w:t>8 scenarijus. Iš E</w:t>
            </w:r>
            <w:r>
              <w:rPr>
                <w:rFonts w:ascii="Georgia" w:hAnsi="Georgia"/>
                <w:sz w:val="20"/>
                <w:szCs w:val="20"/>
              </w:rPr>
              <w:t>SI fondų lėšų kuriamos subsidijos</w:t>
            </w:r>
            <w:r w:rsidRPr="002E2907">
              <w:rPr>
                <w:rFonts w:ascii="Georgia" w:hAnsi="Georgia"/>
                <w:sz w:val="20"/>
                <w:szCs w:val="20"/>
              </w:rPr>
              <w:t xml:space="preserve"> ir finansinė priemonės. Finansinė priemonė apima - investicinį fondą (pirmo praradimo), lengvatinę paskolą su 3 proc. palūkanomis ir 15 proc. palūkanų kompensavimu. </w:t>
            </w:r>
            <w:r>
              <w:rPr>
                <w:rFonts w:ascii="Georgia" w:hAnsi="Georgia"/>
                <w:sz w:val="20"/>
                <w:szCs w:val="20"/>
              </w:rPr>
              <w:t>Subsidijų</w:t>
            </w:r>
            <w:r w:rsidRPr="002E2907">
              <w:rPr>
                <w:rFonts w:ascii="Georgia" w:hAnsi="Georgia"/>
                <w:sz w:val="20"/>
                <w:szCs w:val="20"/>
              </w:rPr>
              <w:t xml:space="preserve"> priemonė yra papildoma 15 % subsidija.</w:t>
            </w:r>
          </w:p>
        </w:tc>
        <w:tc>
          <w:tcPr>
            <w:tcW w:w="1268" w:type="pct"/>
            <w:tcBorders>
              <w:left w:val="nil"/>
            </w:tcBorders>
          </w:tcPr>
          <w:p w14:paraId="34DA909A" w14:textId="77777777" w:rsidR="00C812CA" w:rsidRPr="002E2907" w:rsidRDefault="00C812CA" w:rsidP="00105B94">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E2907">
              <w:rPr>
                <w:rFonts w:ascii="Georgia" w:hAnsi="Georgia"/>
                <w:sz w:val="20"/>
                <w:szCs w:val="20"/>
              </w:rPr>
              <w:t>2,74</w:t>
            </w:r>
          </w:p>
        </w:tc>
      </w:tr>
    </w:tbl>
    <w:p w14:paraId="194B2E71" w14:textId="77777777" w:rsidR="00C812CA" w:rsidRDefault="00C812CA" w:rsidP="00C812CA">
      <w:pPr>
        <w:autoSpaceDE w:val="0"/>
        <w:autoSpaceDN w:val="0"/>
        <w:adjustRightInd w:val="0"/>
        <w:spacing w:after="120"/>
        <w:jc w:val="both"/>
        <w:rPr>
          <w:rFonts w:ascii="Georgia" w:hAnsi="Georgia" w:cs="Georgia"/>
          <w:sz w:val="20"/>
          <w:szCs w:val="20"/>
          <w:lang w:val="lt-LT"/>
        </w:rPr>
      </w:pPr>
    </w:p>
    <w:p w14:paraId="7441712D" w14:textId="77777777" w:rsidR="00C812CA" w:rsidRPr="002E2907" w:rsidRDefault="00C812CA" w:rsidP="00C812CA">
      <w:pPr>
        <w:autoSpaceDE w:val="0"/>
        <w:autoSpaceDN w:val="0"/>
        <w:adjustRightInd w:val="0"/>
        <w:spacing w:after="120"/>
        <w:jc w:val="both"/>
        <w:rPr>
          <w:rFonts w:ascii="Georgia" w:hAnsi="Georgia" w:cs="Georgia"/>
          <w:sz w:val="20"/>
          <w:szCs w:val="20"/>
          <w:lang w:val="lt-LT"/>
        </w:rPr>
      </w:pPr>
      <w:r w:rsidRPr="002E2907">
        <w:rPr>
          <w:rFonts w:ascii="Georgia" w:hAnsi="Georgia" w:cs="Georgia"/>
          <w:sz w:val="20"/>
          <w:szCs w:val="20"/>
          <w:lang w:val="lt-LT"/>
        </w:rPr>
        <w:t>Skaičiavimai rodo, jog daugiabučių renovacijos atveju didžiausias sverto efekto rodiklis (3,5</w:t>
      </w:r>
      <w:r>
        <w:rPr>
          <w:rFonts w:ascii="Georgia" w:hAnsi="Georgia" w:cs="Georgia"/>
          <w:sz w:val="20"/>
          <w:szCs w:val="20"/>
          <w:lang w:val="lt-LT"/>
        </w:rPr>
        <w:t>7</w:t>
      </w:r>
      <w:r w:rsidRPr="002E2907">
        <w:rPr>
          <w:rFonts w:ascii="Georgia" w:hAnsi="Georgia" w:cs="Georgia"/>
          <w:sz w:val="20"/>
          <w:szCs w:val="20"/>
          <w:lang w:val="lt-LT"/>
        </w:rPr>
        <w:t xml:space="preserve">) būtų pasiektas 5 scenarijaus atveju, kai sukuriamas investicinis fondas į kurį investuojamos ESI fondų lėšos kaip pirmo praradimo kapitalas, tokiu būdu pritraukiant privačius investuotojus ir užtikrinant jų investicijų saugumą (detalus aprašymas pateikiamas 4.1.2.1 skyriuje – 5 scenarijus). </w:t>
      </w:r>
    </w:p>
    <w:p w14:paraId="0D9FBA2C" w14:textId="77777777" w:rsidR="00C812CA" w:rsidRPr="002E2907" w:rsidRDefault="00C812CA" w:rsidP="00C812CA">
      <w:pPr>
        <w:autoSpaceDE w:val="0"/>
        <w:autoSpaceDN w:val="0"/>
        <w:adjustRightInd w:val="0"/>
        <w:spacing w:after="120"/>
        <w:jc w:val="both"/>
        <w:rPr>
          <w:rFonts w:ascii="Georgia" w:hAnsi="Georgia" w:cs="Georgia"/>
          <w:sz w:val="20"/>
          <w:szCs w:val="20"/>
          <w:lang w:val="lt-LT"/>
        </w:rPr>
      </w:pPr>
      <w:r w:rsidRPr="002E2907">
        <w:rPr>
          <w:rFonts w:ascii="Georgia" w:hAnsi="Georgia" w:cs="Georgia"/>
          <w:sz w:val="20"/>
          <w:szCs w:val="20"/>
          <w:lang w:val="lt-LT"/>
        </w:rPr>
        <w:t>Nedaug mažesnis sverto rodiklis pasiekiamas kai:</w:t>
      </w:r>
    </w:p>
    <w:p w14:paraId="43B5CFF9" w14:textId="77777777" w:rsidR="00C812CA" w:rsidRDefault="00C812CA" w:rsidP="00C812CA">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w:t>
      </w:r>
      <w:r w:rsidRPr="002E2907">
        <w:rPr>
          <w:rFonts w:ascii="Georgia" w:hAnsi="Georgia" w:cs="Georgia"/>
          <w:sz w:val="20"/>
          <w:szCs w:val="20"/>
          <w:lang w:val="lt-LT"/>
        </w:rPr>
        <w:t>isos ESI fondų lėšos  nukreipiamos į garantinės priemonės (detalus aprašymas pateikiamas 4.1.2.1 skyriuje – 4 scenarijus) įgyvendinimą (sverto efekto rodiklis 3,1</w:t>
      </w:r>
      <w:r>
        <w:rPr>
          <w:rFonts w:ascii="Georgia" w:hAnsi="Georgia" w:cs="Georgia"/>
          <w:sz w:val="20"/>
          <w:szCs w:val="20"/>
          <w:lang w:val="lt-LT"/>
        </w:rPr>
        <w:t>4</w:t>
      </w:r>
      <w:r w:rsidRPr="002E2907">
        <w:rPr>
          <w:rFonts w:ascii="Georgia" w:hAnsi="Georgia" w:cs="Georgia"/>
          <w:sz w:val="20"/>
          <w:szCs w:val="20"/>
          <w:lang w:val="lt-LT"/>
        </w:rPr>
        <w:t xml:space="preserve">), </w:t>
      </w:r>
    </w:p>
    <w:p w14:paraId="30F860D2" w14:textId="77777777" w:rsidR="00C812CA" w:rsidRPr="002E2907" w:rsidRDefault="00C812CA" w:rsidP="00C812CA">
      <w:pPr>
        <w:pStyle w:val="Sraopastraipa"/>
        <w:numPr>
          <w:ilvl w:val="0"/>
          <w:numId w:val="8"/>
        </w:numPr>
        <w:autoSpaceDE w:val="0"/>
        <w:autoSpaceDN w:val="0"/>
        <w:adjustRightInd w:val="0"/>
        <w:spacing w:after="0"/>
        <w:jc w:val="both"/>
        <w:rPr>
          <w:rFonts w:ascii="Georgia" w:hAnsi="Georgia" w:cs="Georgia"/>
          <w:sz w:val="20"/>
          <w:szCs w:val="20"/>
          <w:lang w:val="lt-LT"/>
        </w:rPr>
      </w:pPr>
      <w:r>
        <w:rPr>
          <w:rFonts w:ascii="Georgia" w:hAnsi="Georgia"/>
          <w:sz w:val="20"/>
          <w:szCs w:val="20"/>
          <w:lang w:val="lt-LT"/>
        </w:rPr>
        <w:t>i</w:t>
      </w:r>
      <w:r w:rsidRPr="002E2907">
        <w:rPr>
          <w:rFonts w:ascii="Georgia" w:hAnsi="Georgia"/>
          <w:sz w:val="20"/>
          <w:szCs w:val="20"/>
          <w:lang w:val="lt-LT"/>
        </w:rPr>
        <w:t>š ESI fondų lėšų kuriamos s</w:t>
      </w:r>
      <w:r>
        <w:rPr>
          <w:rFonts w:ascii="Georgia" w:hAnsi="Georgia"/>
          <w:sz w:val="20"/>
          <w:szCs w:val="20"/>
          <w:lang w:val="lt-LT"/>
        </w:rPr>
        <w:t>ubsidijos ir paskolų finansinė priemonės. Iš finansinei priemonei skirtų lėšų s</w:t>
      </w:r>
      <w:r w:rsidRPr="002E2907">
        <w:rPr>
          <w:rFonts w:ascii="Georgia" w:hAnsi="Georgia" w:cs="Georgia"/>
          <w:sz w:val="20"/>
          <w:szCs w:val="20"/>
          <w:lang w:val="lt-LT"/>
        </w:rPr>
        <w:t xml:space="preserve">ukuriamas investicinis fondas į kurį investuojamos ESI fondų lėšos kaip pirmo praradimo kapitalas, tokiu būdu pritraukiant privačius investuotojus ir užtikrinant jų investicijų saugumą (detalus aprašymas pateikiamas 4.1.2.1 skyriuje – </w:t>
      </w:r>
      <w:r>
        <w:rPr>
          <w:rFonts w:ascii="Georgia" w:hAnsi="Georgia" w:cs="Georgia"/>
          <w:sz w:val="20"/>
          <w:szCs w:val="20"/>
          <w:lang w:val="lt-LT"/>
        </w:rPr>
        <w:t>8</w:t>
      </w:r>
      <w:r w:rsidRPr="002E2907">
        <w:rPr>
          <w:rFonts w:ascii="Georgia" w:hAnsi="Georgia" w:cs="Georgia"/>
          <w:sz w:val="20"/>
          <w:szCs w:val="20"/>
          <w:lang w:val="lt-LT"/>
        </w:rPr>
        <w:t xml:space="preserve"> scenarijus)</w:t>
      </w:r>
      <w:r>
        <w:rPr>
          <w:rFonts w:ascii="Georgia" w:hAnsi="Georgia"/>
          <w:sz w:val="20"/>
          <w:szCs w:val="20"/>
          <w:lang w:val="lt-LT"/>
        </w:rPr>
        <w:t xml:space="preserve">, šiuo atveju sverto rodiklis siekia 2,74, </w:t>
      </w:r>
      <w:r w:rsidRPr="002E2907">
        <w:rPr>
          <w:rFonts w:ascii="Georgia" w:hAnsi="Georgia" w:cs="Georgia"/>
          <w:sz w:val="20"/>
          <w:szCs w:val="20"/>
          <w:lang w:val="lt-LT"/>
        </w:rPr>
        <w:t>arba;</w:t>
      </w:r>
    </w:p>
    <w:p w14:paraId="43A71834" w14:textId="77777777" w:rsidR="00C812CA" w:rsidRPr="002E2907" w:rsidRDefault="00C812CA" w:rsidP="00C812CA">
      <w:pPr>
        <w:pStyle w:val="Sraopastraipa"/>
        <w:numPr>
          <w:ilvl w:val="0"/>
          <w:numId w:val="8"/>
        </w:numPr>
        <w:autoSpaceDE w:val="0"/>
        <w:autoSpaceDN w:val="0"/>
        <w:adjustRightInd w:val="0"/>
        <w:spacing w:after="120"/>
        <w:ind w:left="714" w:hanging="357"/>
        <w:jc w:val="both"/>
        <w:rPr>
          <w:rFonts w:ascii="Georgia" w:hAnsi="Georgia" w:cs="Georgia"/>
          <w:sz w:val="20"/>
          <w:szCs w:val="20"/>
          <w:lang w:val="lt-LT"/>
        </w:rPr>
      </w:pPr>
      <w:r w:rsidRPr="002E2907">
        <w:rPr>
          <w:rFonts w:ascii="Georgia" w:hAnsi="Georgia" w:cs="Georgia"/>
          <w:sz w:val="20"/>
          <w:szCs w:val="20"/>
          <w:lang w:val="lt-LT"/>
        </w:rPr>
        <w:t>vadovaujančiai institucijai paskyrus fondo valdytoją, kuris savo institucijoje sukurtų fondų fondą kaip sąskaitų rinkinį, ir kartu yra steigiamas privatus investicinis fondas, kuris iš fondų fondo nuperka gautinus ateities piniginius srautus ir/ar paskolas (detalus aprašymas pateikiamas 4.1.2.1 skyriuje – 6 scenarijus). Tokiu atveju būtų pasiektas – 2,</w:t>
      </w:r>
      <w:r>
        <w:rPr>
          <w:rFonts w:ascii="Georgia" w:hAnsi="Georgia" w:cs="Georgia"/>
          <w:sz w:val="20"/>
          <w:szCs w:val="20"/>
          <w:lang w:val="lt-LT"/>
        </w:rPr>
        <w:t>59</w:t>
      </w:r>
      <w:r w:rsidRPr="002E2907">
        <w:rPr>
          <w:rFonts w:ascii="Georgia" w:hAnsi="Georgia" w:cs="Georgia"/>
          <w:sz w:val="20"/>
          <w:szCs w:val="20"/>
          <w:lang w:val="lt-LT"/>
        </w:rPr>
        <w:t xml:space="preserve"> sverto efekto rodiklis.</w:t>
      </w:r>
    </w:p>
    <w:p w14:paraId="7C585A67" w14:textId="77777777" w:rsidR="00C812CA" w:rsidRPr="002E2907" w:rsidRDefault="00C812CA" w:rsidP="00C812CA">
      <w:pPr>
        <w:autoSpaceDE w:val="0"/>
        <w:autoSpaceDN w:val="0"/>
        <w:adjustRightInd w:val="0"/>
        <w:spacing w:after="120"/>
        <w:jc w:val="both"/>
        <w:rPr>
          <w:rFonts w:ascii="Georgia" w:hAnsi="Georgia" w:cs="Georgia"/>
          <w:sz w:val="20"/>
          <w:szCs w:val="20"/>
          <w:lang w:val="lt-LT"/>
        </w:rPr>
      </w:pPr>
      <w:r w:rsidRPr="002E2907">
        <w:rPr>
          <w:rFonts w:ascii="Georgia" w:hAnsi="Georgia" w:cs="Georgia"/>
          <w:sz w:val="20"/>
          <w:szCs w:val="20"/>
          <w:lang w:val="lt-LT"/>
        </w:rPr>
        <w:lastRenderedPageBreak/>
        <w:t>Kitų scenarijų atvejais sverto rodiklis yra ne mažiau kaip dvigubai mažesnis.</w:t>
      </w:r>
    </w:p>
    <w:p w14:paraId="6491279D" w14:textId="77777777" w:rsidR="00FD5FAE" w:rsidRPr="00C8226F" w:rsidRDefault="00FD5FAE" w:rsidP="00FD5FAE">
      <w:pPr>
        <w:autoSpaceDE w:val="0"/>
        <w:autoSpaceDN w:val="0"/>
        <w:adjustRightInd w:val="0"/>
        <w:spacing w:after="120"/>
        <w:jc w:val="both"/>
        <w:rPr>
          <w:rFonts w:ascii="Georgia" w:hAnsi="Georgia" w:cs="Georgia"/>
          <w:sz w:val="20"/>
          <w:szCs w:val="20"/>
          <w:lang w:val="lt-LT"/>
        </w:rPr>
      </w:pPr>
      <w:r w:rsidRPr="00C8226F">
        <w:rPr>
          <w:rFonts w:ascii="Georgia" w:hAnsi="Georgia" w:cs="Georgia"/>
          <w:sz w:val="20"/>
          <w:szCs w:val="20"/>
          <w:lang w:val="lt-LT"/>
        </w:rPr>
        <w:t xml:space="preserve">Pagal </w:t>
      </w:r>
      <w:r w:rsidRPr="00C8226F">
        <w:rPr>
          <w:rFonts w:ascii="Georgia" w:hAnsi="Georgia"/>
          <w:sz w:val="20"/>
          <w:szCs w:val="20"/>
          <w:lang w:val="lt-LT"/>
        </w:rPr>
        <w:t xml:space="preserve">4.1.2.3 skyriuje identifikuotus </w:t>
      </w:r>
      <w:r w:rsidRPr="00C8226F">
        <w:rPr>
          <w:rFonts w:ascii="Georgia" w:hAnsi="Georgia" w:cs="Georgia"/>
          <w:sz w:val="20"/>
          <w:szCs w:val="20"/>
          <w:lang w:val="lt-LT"/>
        </w:rPr>
        <w:t>scenarijus apskaičiuoti sverto efekto rodikliai centrinės valdžios viešiesiems pastatų renovacijai pateikiami žemiau esančioje lentelėje.</w:t>
      </w:r>
    </w:p>
    <w:p w14:paraId="2FA9982A" w14:textId="3266F287" w:rsidR="00FD5FAE" w:rsidRPr="00C8226F" w:rsidRDefault="00FD5FAE" w:rsidP="00FD5FAE">
      <w:pPr>
        <w:pStyle w:val="Antrat"/>
        <w:jc w:val="both"/>
        <w:rPr>
          <w:rFonts w:cs="Georgia"/>
          <w:szCs w:val="20"/>
          <w:lang w:val="lt-LT"/>
        </w:rPr>
      </w:pPr>
      <w:bookmarkStart w:id="275" w:name="_Toc460321724"/>
      <w:r w:rsidRPr="00C8226F">
        <w:rPr>
          <w:lang w:val="lt-LT"/>
        </w:rPr>
        <w:t xml:space="preserve">Lentelė </w:t>
      </w:r>
      <w:r w:rsidRPr="00C8226F">
        <w:rPr>
          <w:lang w:val="lt-LT"/>
        </w:rPr>
        <w:fldChar w:fldCharType="begin"/>
      </w:r>
      <w:r w:rsidRPr="00C8226F">
        <w:rPr>
          <w:lang w:val="lt-LT"/>
        </w:rPr>
        <w:instrText xml:space="preserve"> SEQ Lentelė \* ARABIC </w:instrText>
      </w:r>
      <w:r w:rsidRPr="00C8226F">
        <w:rPr>
          <w:lang w:val="lt-LT"/>
        </w:rPr>
        <w:fldChar w:fldCharType="separate"/>
      </w:r>
      <w:r w:rsidR="00AA3082">
        <w:rPr>
          <w:noProof/>
          <w:lang w:val="lt-LT"/>
        </w:rPr>
        <w:t>143</w:t>
      </w:r>
      <w:r w:rsidRPr="00C8226F">
        <w:rPr>
          <w:lang w:val="lt-LT"/>
        </w:rPr>
        <w:fldChar w:fldCharType="end"/>
      </w:r>
      <w:r w:rsidRPr="00C8226F">
        <w:rPr>
          <w:lang w:val="lt-LT"/>
        </w:rPr>
        <w:t xml:space="preserve">. </w:t>
      </w:r>
      <w:r w:rsidRPr="00C8226F">
        <w:rPr>
          <w:rFonts w:cs="Georgia"/>
          <w:szCs w:val="20"/>
          <w:lang w:val="lt-LT"/>
        </w:rPr>
        <w:t>Centrinės valdžios viešųjų pastatų renovacijos finansavimo sverto efekto rodikliai pagal atskirus scenarijus</w:t>
      </w:r>
      <w:bookmarkEnd w:id="275"/>
      <w:r w:rsidRPr="00C8226F">
        <w:rPr>
          <w:rFonts w:cs="Georgia"/>
          <w:szCs w:val="20"/>
          <w:lang w:val="lt-LT"/>
        </w:rPr>
        <w:t xml:space="preserve"> </w:t>
      </w:r>
    </w:p>
    <w:tbl>
      <w:tblPr>
        <w:tblStyle w:val="viesussraas2parykinimas"/>
        <w:tblW w:w="0" w:type="auto"/>
        <w:tblLook w:val="04A0" w:firstRow="1" w:lastRow="0" w:firstColumn="1" w:lastColumn="0" w:noHBand="0" w:noVBand="1"/>
      </w:tblPr>
      <w:tblGrid>
        <w:gridCol w:w="6898"/>
        <w:gridCol w:w="2344"/>
      </w:tblGrid>
      <w:tr w:rsidR="00FD5FAE" w:rsidRPr="00C8226F" w14:paraId="2047583B" w14:textId="77777777" w:rsidTr="00765A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8" w:type="dxa"/>
            <w:tcBorders>
              <w:top w:val="single" w:sz="8" w:space="0" w:color="C0504D" w:themeColor="accent2"/>
              <w:left w:val="single" w:sz="8" w:space="0" w:color="C0504D" w:themeColor="accent2"/>
              <w:bottom w:val="nil"/>
              <w:right w:val="nil"/>
            </w:tcBorders>
            <w:hideMark/>
          </w:tcPr>
          <w:p w14:paraId="183F4CD7" w14:textId="77777777" w:rsidR="00FD5FAE" w:rsidRPr="00C8226F" w:rsidRDefault="00FD5FAE" w:rsidP="00FD5FAE">
            <w:pPr>
              <w:keepNext/>
              <w:tabs>
                <w:tab w:val="left" w:pos="614"/>
                <w:tab w:val="center" w:pos="3341"/>
              </w:tabs>
              <w:rPr>
                <w:rFonts w:ascii="Georgia" w:hAnsi="Georgia"/>
                <w:sz w:val="20"/>
                <w:szCs w:val="20"/>
              </w:rPr>
            </w:pPr>
            <w:r>
              <w:rPr>
                <w:rFonts w:ascii="Georgia" w:hAnsi="Georgia"/>
                <w:sz w:val="20"/>
                <w:szCs w:val="20"/>
              </w:rPr>
              <w:tab/>
            </w:r>
            <w:r>
              <w:rPr>
                <w:rFonts w:ascii="Georgia" w:hAnsi="Georgia"/>
                <w:sz w:val="20"/>
                <w:szCs w:val="20"/>
              </w:rPr>
              <w:tab/>
            </w:r>
            <w:r w:rsidRPr="00C8226F">
              <w:rPr>
                <w:rFonts w:ascii="Georgia" w:hAnsi="Georgia"/>
                <w:sz w:val="20"/>
                <w:szCs w:val="20"/>
              </w:rPr>
              <w:t>Scenarijai</w:t>
            </w:r>
          </w:p>
        </w:tc>
        <w:tc>
          <w:tcPr>
            <w:tcW w:w="2344" w:type="dxa"/>
            <w:tcBorders>
              <w:top w:val="single" w:sz="8" w:space="0" w:color="C0504D" w:themeColor="accent2"/>
              <w:left w:val="nil"/>
              <w:bottom w:val="nil"/>
              <w:right w:val="single" w:sz="8" w:space="0" w:color="C0504D" w:themeColor="accent2"/>
            </w:tcBorders>
            <w:hideMark/>
          </w:tcPr>
          <w:p w14:paraId="4F7395D1" w14:textId="77777777" w:rsidR="00FD5FAE" w:rsidRPr="00C8226F" w:rsidRDefault="00FD5FAE" w:rsidP="00FD5FAE">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C8226F">
              <w:rPr>
                <w:rFonts w:ascii="Georgia" w:hAnsi="Georgia"/>
                <w:sz w:val="20"/>
                <w:szCs w:val="20"/>
              </w:rPr>
              <w:t>Sverto efekto rodiklis</w:t>
            </w:r>
          </w:p>
        </w:tc>
      </w:tr>
      <w:tr w:rsidR="00FD5FAE" w:rsidRPr="00C8226F" w14:paraId="19B2CA9B" w14:textId="77777777" w:rsidTr="00765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8" w:type="dxa"/>
            <w:tcBorders>
              <w:right w:val="nil"/>
            </w:tcBorders>
            <w:hideMark/>
          </w:tcPr>
          <w:p w14:paraId="6C109916" w14:textId="4ED5BB20" w:rsidR="00FD5FAE" w:rsidRPr="00C8226F" w:rsidRDefault="00FD5FAE" w:rsidP="006E0CD7">
            <w:pPr>
              <w:keepNext/>
              <w:rPr>
                <w:rFonts w:ascii="Georgia" w:hAnsi="Georgia"/>
                <w:b w:val="0"/>
                <w:sz w:val="20"/>
                <w:szCs w:val="20"/>
              </w:rPr>
            </w:pPr>
            <w:r w:rsidRPr="00C8226F">
              <w:rPr>
                <w:rFonts w:ascii="Georgia" w:hAnsi="Georgia"/>
                <w:sz w:val="20"/>
                <w:szCs w:val="20"/>
              </w:rPr>
              <w:t>1 sce</w:t>
            </w:r>
            <w:r w:rsidR="00234582">
              <w:rPr>
                <w:rFonts w:ascii="Georgia" w:hAnsi="Georgia"/>
                <w:sz w:val="20"/>
                <w:szCs w:val="20"/>
              </w:rPr>
              <w:t xml:space="preserve">narijus. </w:t>
            </w:r>
            <w:r w:rsidR="006E0CD7">
              <w:rPr>
                <w:rFonts w:ascii="Georgia" w:hAnsi="Georgia"/>
                <w:sz w:val="20"/>
                <w:szCs w:val="20"/>
              </w:rPr>
              <w:t>P</w:t>
            </w:r>
            <w:r w:rsidR="00234582">
              <w:rPr>
                <w:rFonts w:ascii="Georgia" w:hAnsi="Georgia"/>
                <w:sz w:val="20"/>
                <w:szCs w:val="20"/>
              </w:rPr>
              <w:t>askola su 2</w:t>
            </w:r>
            <w:r w:rsidRPr="00C8226F">
              <w:rPr>
                <w:rFonts w:ascii="Georgia" w:hAnsi="Georgia"/>
                <w:sz w:val="20"/>
                <w:szCs w:val="20"/>
              </w:rPr>
              <w:t xml:space="preserve"> proc. palūkanomis </w:t>
            </w:r>
          </w:p>
        </w:tc>
        <w:tc>
          <w:tcPr>
            <w:tcW w:w="2344" w:type="dxa"/>
            <w:tcBorders>
              <w:left w:val="nil"/>
            </w:tcBorders>
            <w:hideMark/>
          </w:tcPr>
          <w:p w14:paraId="53CDD009" w14:textId="7878A5EB" w:rsidR="00FD5FAE" w:rsidRPr="00C8226F" w:rsidRDefault="00FD5FAE" w:rsidP="00D16351">
            <w:pPr>
              <w:keepNext/>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8226F">
              <w:rPr>
                <w:rFonts w:ascii="Georgia" w:hAnsi="Georgia"/>
                <w:sz w:val="20"/>
                <w:szCs w:val="20"/>
              </w:rPr>
              <w:t>1,</w:t>
            </w:r>
            <w:r w:rsidR="00D16351">
              <w:rPr>
                <w:rFonts w:ascii="Georgia" w:hAnsi="Georgia"/>
                <w:sz w:val="20"/>
                <w:szCs w:val="20"/>
              </w:rPr>
              <w:t>1</w:t>
            </w:r>
            <w:r w:rsidR="00D16351" w:rsidRPr="00C8226F">
              <w:rPr>
                <w:rFonts w:ascii="Georgia" w:hAnsi="Georgia"/>
                <w:sz w:val="20"/>
                <w:szCs w:val="20"/>
              </w:rPr>
              <w:t>0</w:t>
            </w:r>
          </w:p>
        </w:tc>
      </w:tr>
      <w:tr w:rsidR="00FD5FAE" w:rsidRPr="00C8226F" w14:paraId="68FC3F7F" w14:textId="77777777" w:rsidTr="00765A39">
        <w:tc>
          <w:tcPr>
            <w:cnfStyle w:val="001000000000" w:firstRow="0" w:lastRow="0" w:firstColumn="1" w:lastColumn="0" w:oddVBand="0" w:evenVBand="0" w:oddHBand="0" w:evenHBand="0" w:firstRowFirstColumn="0" w:firstRowLastColumn="0" w:lastRowFirstColumn="0" w:lastRowLastColumn="0"/>
            <w:tcW w:w="6898" w:type="dxa"/>
            <w:tcBorders>
              <w:top w:val="nil"/>
              <w:left w:val="single" w:sz="8" w:space="0" w:color="C0504D" w:themeColor="accent2"/>
              <w:bottom w:val="nil"/>
              <w:right w:val="nil"/>
            </w:tcBorders>
            <w:hideMark/>
          </w:tcPr>
          <w:p w14:paraId="7B134DE8" w14:textId="678BD3B7" w:rsidR="00FD5FAE" w:rsidRPr="00C8226F" w:rsidRDefault="00FD5FAE" w:rsidP="00D16351">
            <w:pPr>
              <w:keepNext/>
              <w:rPr>
                <w:rFonts w:ascii="Georgia" w:hAnsi="Georgia"/>
                <w:b w:val="0"/>
                <w:sz w:val="20"/>
                <w:szCs w:val="20"/>
              </w:rPr>
            </w:pPr>
            <w:r w:rsidRPr="00C8226F">
              <w:rPr>
                <w:rFonts w:ascii="Georgia" w:hAnsi="Georgia"/>
                <w:sz w:val="20"/>
                <w:szCs w:val="20"/>
              </w:rPr>
              <w:t>2 sce</w:t>
            </w:r>
            <w:r w:rsidR="00234582">
              <w:rPr>
                <w:rFonts w:ascii="Georgia" w:hAnsi="Georgia"/>
                <w:sz w:val="20"/>
                <w:szCs w:val="20"/>
              </w:rPr>
              <w:t xml:space="preserve">narijus. </w:t>
            </w:r>
            <w:r w:rsidR="006E0CD7">
              <w:rPr>
                <w:rFonts w:ascii="Georgia" w:hAnsi="Georgia"/>
                <w:sz w:val="20"/>
                <w:szCs w:val="20"/>
              </w:rPr>
              <w:t>P</w:t>
            </w:r>
            <w:r w:rsidR="00234582">
              <w:rPr>
                <w:rFonts w:ascii="Georgia" w:hAnsi="Georgia"/>
                <w:sz w:val="20"/>
                <w:szCs w:val="20"/>
              </w:rPr>
              <w:t>askola su 2</w:t>
            </w:r>
            <w:r w:rsidRPr="00C8226F">
              <w:rPr>
                <w:rFonts w:ascii="Georgia" w:hAnsi="Georgia"/>
                <w:sz w:val="20"/>
                <w:szCs w:val="20"/>
              </w:rPr>
              <w:t xml:space="preserve"> proc. palūkanomis ir nuo 201</w:t>
            </w:r>
            <w:r w:rsidR="00D16351">
              <w:rPr>
                <w:rFonts w:ascii="Georgia" w:hAnsi="Georgia"/>
                <w:sz w:val="20"/>
                <w:szCs w:val="20"/>
              </w:rPr>
              <w:t>9</w:t>
            </w:r>
            <w:r w:rsidRPr="00C8226F">
              <w:rPr>
                <w:rFonts w:ascii="Georgia" w:hAnsi="Georgia"/>
                <w:sz w:val="20"/>
                <w:szCs w:val="20"/>
              </w:rPr>
              <w:t xml:space="preserve"> m. sukurtas investicinis fondas išperka 70 proc. visų išduotų paskolų</w:t>
            </w:r>
          </w:p>
        </w:tc>
        <w:tc>
          <w:tcPr>
            <w:tcW w:w="2344" w:type="dxa"/>
            <w:tcBorders>
              <w:top w:val="nil"/>
              <w:left w:val="nil"/>
              <w:bottom w:val="nil"/>
              <w:right w:val="single" w:sz="8" w:space="0" w:color="C0504D" w:themeColor="accent2"/>
            </w:tcBorders>
            <w:hideMark/>
          </w:tcPr>
          <w:p w14:paraId="2EA0C6ED" w14:textId="7A460093" w:rsidR="00FD5FAE" w:rsidRPr="00C8226F" w:rsidRDefault="00D16351" w:rsidP="00D16351">
            <w:pPr>
              <w:keepNext/>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1,87</w:t>
            </w:r>
          </w:p>
        </w:tc>
      </w:tr>
      <w:tr w:rsidR="00FD5FAE" w:rsidRPr="00C8226F" w14:paraId="31C235A1" w14:textId="77777777" w:rsidTr="00765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8" w:type="dxa"/>
            <w:tcBorders>
              <w:right w:val="nil"/>
            </w:tcBorders>
            <w:hideMark/>
          </w:tcPr>
          <w:p w14:paraId="301CDD54" w14:textId="55CFBA3B" w:rsidR="00FD5FAE" w:rsidRPr="00C8226F" w:rsidRDefault="00FD5FAE" w:rsidP="00D16351">
            <w:pPr>
              <w:rPr>
                <w:rFonts w:ascii="Georgia" w:hAnsi="Georgia"/>
                <w:b w:val="0"/>
                <w:sz w:val="20"/>
                <w:szCs w:val="20"/>
              </w:rPr>
            </w:pPr>
            <w:r w:rsidRPr="00C8226F">
              <w:rPr>
                <w:rFonts w:ascii="Georgia" w:hAnsi="Georgia"/>
                <w:sz w:val="20"/>
                <w:szCs w:val="20"/>
              </w:rPr>
              <w:t xml:space="preserve">3 scenarijus. </w:t>
            </w:r>
            <w:r w:rsidR="00D16351">
              <w:rPr>
                <w:rFonts w:ascii="Georgia" w:hAnsi="Georgia"/>
                <w:sz w:val="20"/>
                <w:szCs w:val="20"/>
              </w:rPr>
              <w:t>P</w:t>
            </w:r>
            <w:r w:rsidRPr="00C8226F">
              <w:rPr>
                <w:rFonts w:ascii="Georgia" w:hAnsi="Georgia"/>
                <w:sz w:val="20"/>
                <w:szCs w:val="20"/>
              </w:rPr>
              <w:t xml:space="preserve">askola su </w:t>
            </w:r>
            <w:r w:rsidR="00234582">
              <w:rPr>
                <w:rFonts w:ascii="Georgia" w:hAnsi="Georgia"/>
                <w:sz w:val="20"/>
                <w:szCs w:val="20"/>
              </w:rPr>
              <w:t>2</w:t>
            </w:r>
            <w:r w:rsidRPr="00C8226F">
              <w:rPr>
                <w:rFonts w:ascii="Georgia" w:hAnsi="Georgia"/>
                <w:sz w:val="20"/>
                <w:szCs w:val="20"/>
              </w:rPr>
              <w:t xml:space="preserve"> proc. palūkanomis ir garantijos bankams</w:t>
            </w:r>
          </w:p>
        </w:tc>
        <w:tc>
          <w:tcPr>
            <w:tcW w:w="2344" w:type="dxa"/>
            <w:tcBorders>
              <w:left w:val="nil"/>
            </w:tcBorders>
            <w:hideMark/>
          </w:tcPr>
          <w:p w14:paraId="5E63B276" w14:textId="1D285230" w:rsidR="00FD5FAE" w:rsidRPr="00C8226F" w:rsidRDefault="00FD5FAE" w:rsidP="00D16351">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8226F">
              <w:rPr>
                <w:rFonts w:ascii="Georgia" w:hAnsi="Georgia"/>
                <w:sz w:val="20"/>
                <w:szCs w:val="20"/>
              </w:rPr>
              <w:t>1,</w:t>
            </w:r>
            <w:r w:rsidR="00D16351">
              <w:rPr>
                <w:rFonts w:ascii="Georgia" w:hAnsi="Georgia"/>
                <w:sz w:val="20"/>
                <w:szCs w:val="20"/>
              </w:rPr>
              <w:t>84</w:t>
            </w:r>
          </w:p>
        </w:tc>
      </w:tr>
      <w:tr w:rsidR="00FD5FAE" w:rsidRPr="00C8226F" w14:paraId="4E64D90C" w14:textId="77777777" w:rsidTr="00765A39">
        <w:tc>
          <w:tcPr>
            <w:cnfStyle w:val="001000000000" w:firstRow="0" w:lastRow="0" w:firstColumn="1" w:lastColumn="0" w:oddVBand="0" w:evenVBand="0" w:oddHBand="0" w:evenHBand="0" w:firstRowFirstColumn="0" w:firstRowLastColumn="0" w:lastRowFirstColumn="0" w:lastRowLastColumn="0"/>
            <w:tcW w:w="6898" w:type="dxa"/>
            <w:tcBorders>
              <w:top w:val="nil"/>
              <w:left w:val="single" w:sz="8" w:space="0" w:color="C0504D" w:themeColor="accent2"/>
              <w:bottom w:val="nil"/>
              <w:right w:val="nil"/>
            </w:tcBorders>
            <w:hideMark/>
          </w:tcPr>
          <w:p w14:paraId="02903663" w14:textId="27899452" w:rsidR="00FD5FAE" w:rsidRPr="00C8226F" w:rsidRDefault="00FD5FAE" w:rsidP="00D16351">
            <w:pPr>
              <w:rPr>
                <w:rFonts w:ascii="Georgia" w:hAnsi="Georgia"/>
                <w:b w:val="0"/>
                <w:sz w:val="20"/>
                <w:szCs w:val="20"/>
              </w:rPr>
            </w:pPr>
            <w:r w:rsidRPr="00C8226F">
              <w:rPr>
                <w:rFonts w:ascii="Georgia" w:hAnsi="Georgia"/>
                <w:sz w:val="20"/>
                <w:szCs w:val="20"/>
              </w:rPr>
              <w:t xml:space="preserve">4 scenarijus. </w:t>
            </w:r>
            <w:r w:rsidR="00D16351">
              <w:rPr>
                <w:rFonts w:ascii="Georgia" w:hAnsi="Georgia"/>
                <w:sz w:val="20"/>
                <w:szCs w:val="20"/>
              </w:rPr>
              <w:t>P</w:t>
            </w:r>
            <w:r w:rsidRPr="00C8226F">
              <w:rPr>
                <w:rFonts w:ascii="Georgia" w:hAnsi="Georgia"/>
                <w:sz w:val="20"/>
                <w:szCs w:val="20"/>
              </w:rPr>
              <w:t xml:space="preserve">askola su </w:t>
            </w:r>
            <w:r w:rsidR="00234582">
              <w:rPr>
                <w:rFonts w:ascii="Georgia" w:hAnsi="Georgia"/>
                <w:sz w:val="20"/>
                <w:szCs w:val="20"/>
              </w:rPr>
              <w:t>2</w:t>
            </w:r>
            <w:r w:rsidRPr="00C8226F">
              <w:rPr>
                <w:rFonts w:ascii="Georgia" w:hAnsi="Georgia"/>
                <w:sz w:val="20"/>
                <w:szCs w:val="20"/>
              </w:rPr>
              <w:t xml:space="preserve"> proc. palūkanomis ir garantijos bankams, ir nuo 201</w:t>
            </w:r>
            <w:r w:rsidR="00D16351">
              <w:rPr>
                <w:rFonts w:ascii="Georgia" w:hAnsi="Georgia"/>
                <w:sz w:val="20"/>
                <w:szCs w:val="20"/>
              </w:rPr>
              <w:t>9</w:t>
            </w:r>
            <w:r w:rsidRPr="00C8226F">
              <w:rPr>
                <w:rFonts w:ascii="Georgia" w:hAnsi="Georgia"/>
                <w:sz w:val="20"/>
                <w:szCs w:val="20"/>
              </w:rPr>
              <w:t xml:space="preserve"> m. sukurtas investicinis fondas išperka 70 proc. visų išduotų paskolų</w:t>
            </w:r>
          </w:p>
        </w:tc>
        <w:tc>
          <w:tcPr>
            <w:tcW w:w="2344" w:type="dxa"/>
            <w:tcBorders>
              <w:top w:val="nil"/>
              <w:left w:val="nil"/>
              <w:bottom w:val="nil"/>
              <w:right w:val="single" w:sz="8" w:space="0" w:color="C0504D" w:themeColor="accent2"/>
            </w:tcBorders>
            <w:hideMark/>
          </w:tcPr>
          <w:p w14:paraId="71831FB8" w14:textId="640BCF46" w:rsidR="00FD5FAE" w:rsidRPr="00C8226F" w:rsidRDefault="00D16351" w:rsidP="00D16351">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2,21</w:t>
            </w:r>
          </w:p>
        </w:tc>
      </w:tr>
      <w:tr w:rsidR="00FD5FAE" w:rsidRPr="00C8226F" w14:paraId="63A04E60" w14:textId="77777777" w:rsidTr="00765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8" w:type="dxa"/>
            <w:tcBorders>
              <w:right w:val="nil"/>
            </w:tcBorders>
            <w:hideMark/>
          </w:tcPr>
          <w:p w14:paraId="0DE76DDD" w14:textId="5D2FB7D8" w:rsidR="00FD5FAE" w:rsidRPr="00C8226F" w:rsidRDefault="00FD5FAE" w:rsidP="00D16351">
            <w:pPr>
              <w:rPr>
                <w:rFonts w:ascii="Georgia" w:hAnsi="Georgia"/>
                <w:b w:val="0"/>
                <w:sz w:val="20"/>
                <w:szCs w:val="20"/>
              </w:rPr>
            </w:pPr>
            <w:r w:rsidRPr="00C8226F">
              <w:rPr>
                <w:rFonts w:ascii="Georgia" w:hAnsi="Georgia"/>
                <w:sz w:val="20"/>
                <w:szCs w:val="20"/>
              </w:rPr>
              <w:t xml:space="preserve">5 scenarijus. </w:t>
            </w:r>
            <w:r w:rsidR="00D16351">
              <w:rPr>
                <w:rFonts w:ascii="Georgia" w:hAnsi="Georgia"/>
                <w:sz w:val="20"/>
                <w:szCs w:val="20"/>
              </w:rPr>
              <w:t>P</w:t>
            </w:r>
            <w:r w:rsidRPr="00C8226F">
              <w:rPr>
                <w:rFonts w:ascii="Georgia" w:hAnsi="Georgia"/>
                <w:sz w:val="20"/>
                <w:szCs w:val="20"/>
              </w:rPr>
              <w:t xml:space="preserve">askola su </w:t>
            </w:r>
            <w:r w:rsidR="00234582">
              <w:rPr>
                <w:rFonts w:ascii="Georgia" w:hAnsi="Georgia"/>
                <w:sz w:val="20"/>
                <w:szCs w:val="20"/>
              </w:rPr>
              <w:t>2</w:t>
            </w:r>
            <w:r w:rsidRPr="00C8226F">
              <w:rPr>
                <w:rFonts w:ascii="Georgia" w:hAnsi="Georgia"/>
                <w:sz w:val="20"/>
                <w:szCs w:val="20"/>
              </w:rPr>
              <w:t xml:space="preserve"> proc. palūkanomis ir juridinio asmens statusą turintis fondas (pirmo praradimo kapitalas)</w:t>
            </w:r>
          </w:p>
        </w:tc>
        <w:tc>
          <w:tcPr>
            <w:tcW w:w="2344" w:type="dxa"/>
            <w:tcBorders>
              <w:left w:val="nil"/>
            </w:tcBorders>
            <w:hideMark/>
          </w:tcPr>
          <w:p w14:paraId="026E7C39" w14:textId="0AACC538" w:rsidR="00FD5FAE" w:rsidRPr="00C8226F" w:rsidRDefault="00D16351" w:rsidP="00D16351">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2,22</w:t>
            </w:r>
          </w:p>
        </w:tc>
      </w:tr>
      <w:tr w:rsidR="00FD5FAE" w:rsidRPr="00C8226F" w14:paraId="17246A2C" w14:textId="77777777" w:rsidTr="00765A39">
        <w:tc>
          <w:tcPr>
            <w:cnfStyle w:val="001000000000" w:firstRow="0" w:lastRow="0" w:firstColumn="1" w:lastColumn="0" w:oddVBand="0" w:evenVBand="0" w:oddHBand="0" w:evenHBand="0" w:firstRowFirstColumn="0" w:firstRowLastColumn="0" w:lastRowFirstColumn="0" w:lastRowLastColumn="0"/>
            <w:tcW w:w="6898" w:type="dxa"/>
            <w:tcBorders>
              <w:top w:val="nil"/>
              <w:left w:val="single" w:sz="8" w:space="0" w:color="C0504D" w:themeColor="accent2"/>
              <w:bottom w:val="nil"/>
              <w:right w:val="nil"/>
            </w:tcBorders>
            <w:hideMark/>
          </w:tcPr>
          <w:p w14:paraId="17EBB782" w14:textId="7B1189EA" w:rsidR="00FD5FAE" w:rsidRPr="00C8226F" w:rsidRDefault="00FD5FAE" w:rsidP="00D16351">
            <w:pPr>
              <w:rPr>
                <w:rFonts w:ascii="Georgia" w:hAnsi="Georgia"/>
                <w:b w:val="0"/>
                <w:sz w:val="20"/>
                <w:szCs w:val="20"/>
              </w:rPr>
            </w:pPr>
            <w:r w:rsidRPr="00C8226F">
              <w:rPr>
                <w:rFonts w:ascii="Georgia" w:hAnsi="Georgia"/>
                <w:sz w:val="20"/>
                <w:szCs w:val="20"/>
              </w:rPr>
              <w:t xml:space="preserve">6 scenarijus. </w:t>
            </w:r>
            <w:r w:rsidR="00D16351">
              <w:rPr>
                <w:rFonts w:ascii="Georgia" w:hAnsi="Georgia"/>
                <w:sz w:val="20"/>
                <w:szCs w:val="20"/>
              </w:rPr>
              <w:t>P</w:t>
            </w:r>
            <w:r w:rsidRPr="00C8226F">
              <w:rPr>
                <w:rFonts w:ascii="Georgia" w:hAnsi="Georgia"/>
                <w:sz w:val="20"/>
                <w:szCs w:val="20"/>
              </w:rPr>
              <w:t xml:space="preserve">askolos (bankai dalyvauja savo lėšomis – </w:t>
            </w:r>
            <w:r w:rsidR="00D16351">
              <w:rPr>
                <w:rFonts w:ascii="Georgia" w:hAnsi="Georgia"/>
                <w:sz w:val="20"/>
                <w:szCs w:val="20"/>
              </w:rPr>
              <w:t>5</w:t>
            </w:r>
            <w:r w:rsidR="00D16351" w:rsidRPr="00C8226F">
              <w:rPr>
                <w:rFonts w:ascii="Georgia" w:hAnsi="Georgia"/>
                <w:sz w:val="20"/>
                <w:szCs w:val="20"/>
              </w:rPr>
              <w:t xml:space="preserve">0 </w:t>
            </w:r>
            <w:r w:rsidRPr="00C8226F">
              <w:rPr>
                <w:rFonts w:ascii="Georgia" w:hAnsi="Georgia"/>
                <w:sz w:val="20"/>
                <w:szCs w:val="20"/>
              </w:rPr>
              <w:t xml:space="preserve">proc. finansinės priemonės lėšos ir </w:t>
            </w:r>
            <w:r w:rsidR="00D16351">
              <w:rPr>
                <w:rFonts w:ascii="Georgia" w:hAnsi="Georgia"/>
                <w:sz w:val="20"/>
                <w:szCs w:val="20"/>
              </w:rPr>
              <w:t>5</w:t>
            </w:r>
            <w:r w:rsidR="00D16351" w:rsidRPr="00C8226F">
              <w:rPr>
                <w:rFonts w:ascii="Georgia" w:hAnsi="Georgia"/>
                <w:sz w:val="20"/>
                <w:szCs w:val="20"/>
              </w:rPr>
              <w:t xml:space="preserve">0 </w:t>
            </w:r>
            <w:r w:rsidRPr="00C8226F">
              <w:rPr>
                <w:rFonts w:ascii="Georgia" w:hAnsi="Georgia"/>
                <w:sz w:val="20"/>
                <w:szCs w:val="20"/>
              </w:rPr>
              <w:t>proc. bankų lėšos paskolos dalies), ir nuo 201</w:t>
            </w:r>
            <w:r w:rsidR="00D16351">
              <w:rPr>
                <w:rFonts w:ascii="Georgia" w:hAnsi="Georgia"/>
                <w:sz w:val="20"/>
                <w:szCs w:val="20"/>
              </w:rPr>
              <w:t>9</w:t>
            </w:r>
            <w:r w:rsidRPr="00C8226F">
              <w:rPr>
                <w:rFonts w:ascii="Georgia" w:hAnsi="Georgia"/>
                <w:sz w:val="20"/>
                <w:szCs w:val="20"/>
              </w:rPr>
              <w:t xml:space="preserve"> m. sukurtas investicinis fondas išperka 70 proc. visų išduotų paskolų</w:t>
            </w:r>
          </w:p>
        </w:tc>
        <w:tc>
          <w:tcPr>
            <w:tcW w:w="2344" w:type="dxa"/>
            <w:tcBorders>
              <w:top w:val="nil"/>
              <w:left w:val="nil"/>
              <w:bottom w:val="nil"/>
              <w:right w:val="single" w:sz="8" w:space="0" w:color="C0504D" w:themeColor="accent2"/>
            </w:tcBorders>
            <w:hideMark/>
          </w:tcPr>
          <w:p w14:paraId="48EBBFA8" w14:textId="6AE4C473" w:rsidR="00FD5FAE" w:rsidRPr="00C8226F" w:rsidRDefault="00D653AF" w:rsidP="00D653AF">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2,05</w:t>
            </w:r>
          </w:p>
        </w:tc>
      </w:tr>
      <w:tr w:rsidR="00FD5FAE" w:rsidRPr="00C8226F" w14:paraId="0097C5D9" w14:textId="77777777" w:rsidTr="00765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8" w:type="dxa"/>
            <w:tcBorders>
              <w:right w:val="nil"/>
            </w:tcBorders>
            <w:hideMark/>
          </w:tcPr>
          <w:p w14:paraId="6B09E12A" w14:textId="65516616" w:rsidR="00FD5FAE" w:rsidRPr="00C8226F" w:rsidRDefault="00FD5FAE" w:rsidP="006E0CD7">
            <w:pPr>
              <w:rPr>
                <w:rFonts w:ascii="Georgia" w:hAnsi="Georgia"/>
                <w:b w:val="0"/>
                <w:sz w:val="20"/>
                <w:szCs w:val="20"/>
              </w:rPr>
            </w:pPr>
            <w:r w:rsidRPr="00C8226F">
              <w:rPr>
                <w:rFonts w:ascii="Georgia" w:hAnsi="Georgia"/>
                <w:sz w:val="20"/>
                <w:szCs w:val="20"/>
              </w:rPr>
              <w:t xml:space="preserve">7 scenarijus. Garantijų bankams priemonė </w:t>
            </w:r>
          </w:p>
        </w:tc>
        <w:tc>
          <w:tcPr>
            <w:tcW w:w="2344" w:type="dxa"/>
            <w:tcBorders>
              <w:left w:val="nil"/>
            </w:tcBorders>
            <w:hideMark/>
          </w:tcPr>
          <w:p w14:paraId="750FF786" w14:textId="7EC652FF" w:rsidR="00FD5FAE" w:rsidRPr="00C8226F" w:rsidRDefault="006E0CD7" w:rsidP="00765A39">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2,</w:t>
            </w:r>
            <w:r w:rsidR="00D653AF">
              <w:rPr>
                <w:rFonts w:ascii="Georgia" w:hAnsi="Georgia"/>
                <w:sz w:val="20"/>
                <w:szCs w:val="20"/>
              </w:rPr>
              <w:t>78</w:t>
            </w:r>
          </w:p>
        </w:tc>
      </w:tr>
    </w:tbl>
    <w:p w14:paraId="598DB42D" w14:textId="77777777" w:rsidR="00FD5FAE" w:rsidRPr="00C8226F" w:rsidRDefault="00FD5FAE" w:rsidP="00FD5FAE">
      <w:pPr>
        <w:autoSpaceDE w:val="0"/>
        <w:autoSpaceDN w:val="0"/>
        <w:adjustRightInd w:val="0"/>
        <w:spacing w:after="0" w:line="240" w:lineRule="auto"/>
        <w:jc w:val="both"/>
        <w:rPr>
          <w:rFonts w:ascii="Georgia" w:hAnsi="Georgia" w:cs="Georgia"/>
          <w:sz w:val="20"/>
          <w:szCs w:val="20"/>
          <w:lang w:val="lt-LT"/>
        </w:rPr>
      </w:pPr>
    </w:p>
    <w:p w14:paraId="2C4611D8" w14:textId="196B0E41" w:rsidR="00FD5FAE" w:rsidRPr="00C8226F" w:rsidRDefault="00FD5FAE" w:rsidP="00FD5FAE">
      <w:pPr>
        <w:autoSpaceDE w:val="0"/>
        <w:autoSpaceDN w:val="0"/>
        <w:adjustRightInd w:val="0"/>
        <w:spacing w:after="120"/>
        <w:jc w:val="both"/>
        <w:rPr>
          <w:rFonts w:ascii="Georgia" w:hAnsi="Georgia" w:cs="Georgia"/>
          <w:sz w:val="20"/>
          <w:szCs w:val="20"/>
          <w:lang w:val="lt-LT"/>
        </w:rPr>
      </w:pPr>
      <w:r w:rsidRPr="00C8226F">
        <w:rPr>
          <w:rFonts w:ascii="Georgia" w:hAnsi="Georgia" w:cs="Georgia"/>
          <w:sz w:val="20"/>
          <w:szCs w:val="20"/>
          <w:lang w:val="lt-LT"/>
        </w:rPr>
        <w:t>Skaičiavimai rodo, jog centrinės valdžios viešųjų pastatų renovacijos atveju didžiausias sverto efekto rodiklis pasiekiamas visas lėšas nukreipus į garantinės priemonės</w:t>
      </w:r>
      <w:r>
        <w:rPr>
          <w:rFonts w:ascii="Georgia" w:hAnsi="Georgia" w:cs="Georgia"/>
          <w:sz w:val="20"/>
          <w:szCs w:val="20"/>
          <w:lang w:val="lt-LT"/>
        </w:rPr>
        <w:t xml:space="preserve"> </w:t>
      </w:r>
      <w:r w:rsidRPr="00C8226F">
        <w:rPr>
          <w:rFonts w:ascii="Georgia" w:hAnsi="Georgia" w:cs="Georgia"/>
          <w:sz w:val="20"/>
          <w:szCs w:val="20"/>
          <w:lang w:val="lt-LT"/>
        </w:rPr>
        <w:t>(detalus aprašymas pateikiamas 4.1.2.</w:t>
      </w:r>
      <w:r>
        <w:rPr>
          <w:rFonts w:ascii="Georgia" w:hAnsi="Georgia" w:cs="Georgia"/>
          <w:sz w:val="20"/>
          <w:szCs w:val="20"/>
          <w:lang w:val="lt-LT"/>
        </w:rPr>
        <w:t>2</w:t>
      </w:r>
      <w:r w:rsidRPr="00C8226F">
        <w:rPr>
          <w:rFonts w:ascii="Georgia" w:hAnsi="Georgia" w:cs="Georgia"/>
          <w:sz w:val="20"/>
          <w:szCs w:val="20"/>
          <w:lang w:val="lt-LT"/>
        </w:rPr>
        <w:t xml:space="preserve"> skyriuje – </w:t>
      </w:r>
      <w:r>
        <w:rPr>
          <w:rFonts w:ascii="Georgia" w:hAnsi="Georgia" w:cs="Georgia"/>
          <w:sz w:val="20"/>
          <w:szCs w:val="20"/>
          <w:lang w:val="lt-LT"/>
        </w:rPr>
        <w:t>7</w:t>
      </w:r>
      <w:r w:rsidRPr="00C8226F">
        <w:rPr>
          <w:rFonts w:ascii="Georgia" w:hAnsi="Georgia" w:cs="Georgia"/>
          <w:sz w:val="20"/>
          <w:szCs w:val="20"/>
          <w:lang w:val="lt-LT"/>
        </w:rPr>
        <w:t xml:space="preserve"> scenarijus) įgyvendinimą (sverto efekto rodiklis 2,</w:t>
      </w:r>
      <w:r w:rsidR="00D653AF">
        <w:rPr>
          <w:rFonts w:ascii="Georgia" w:hAnsi="Georgia" w:cs="Georgia"/>
          <w:sz w:val="20"/>
          <w:szCs w:val="20"/>
          <w:lang w:val="lt-LT"/>
        </w:rPr>
        <w:t>78</w:t>
      </w:r>
      <w:r w:rsidRPr="00C8226F">
        <w:rPr>
          <w:rFonts w:ascii="Georgia" w:hAnsi="Georgia" w:cs="Georgia"/>
          <w:sz w:val="20"/>
          <w:szCs w:val="20"/>
          <w:lang w:val="lt-LT"/>
        </w:rPr>
        <w:t>). Panašūs sverto efekto rodikliai taip pat pasiekiami tais atvejais, kai:</w:t>
      </w:r>
    </w:p>
    <w:p w14:paraId="17275533" w14:textId="77777777" w:rsidR="00D653AF" w:rsidRDefault="00D653AF" w:rsidP="00FD5FAE">
      <w:pPr>
        <w:pStyle w:val="Sraopastraipa"/>
        <w:numPr>
          <w:ilvl w:val="0"/>
          <w:numId w:val="8"/>
        </w:numPr>
        <w:autoSpaceDE w:val="0"/>
        <w:autoSpaceDN w:val="0"/>
        <w:adjustRightInd w:val="0"/>
        <w:spacing w:after="120"/>
        <w:ind w:left="714" w:hanging="357"/>
        <w:jc w:val="both"/>
        <w:rPr>
          <w:rFonts w:ascii="Georgia" w:hAnsi="Georgia" w:cs="Georgia"/>
          <w:sz w:val="20"/>
          <w:szCs w:val="20"/>
          <w:lang w:val="lt-LT"/>
        </w:rPr>
      </w:pPr>
      <w:r w:rsidRPr="00C8226F">
        <w:rPr>
          <w:rFonts w:ascii="Georgia" w:hAnsi="Georgia" w:cs="Georgia"/>
          <w:sz w:val="20"/>
          <w:szCs w:val="20"/>
          <w:lang w:val="lt-LT"/>
        </w:rPr>
        <w:t>kai sukuriamas investicinis fondas (juridinio asmens statusą turintis fondas), į kurio pirmo praradimo kapitalą investuojamos ESI fondų lėšos, taip pritraukiant privačias lėšas bei iš šio fondo teikiant lengvatines paskolas (detalus aprašymas pateikiamas 4.1.2.</w:t>
      </w:r>
      <w:r>
        <w:rPr>
          <w:rFonts w:ascii="Georgia" w:hAnsi="Georgia" w:cs="Georgia"/>
          <w:sz w:val="20"/>
          <w:szCs w:val="20"/>
          <w:lang w:val="lt-LT"/>
        </w:rPr>
        <w:t>2</w:t>
      </w:r>
      <w:r w:rsidRPr="00C8226F">
        <w:rPr>
          <w:rFonts w:ascii="Georgia" w:hAnsi="Georgia" w:cs="Georgia"/>
          <w:sz w:val="20"/>
          <w:szCs w:val="20"/>
          <w:lang w:val="lt-LT"/>
        </w:rPr>
        <w:t xml:space="preserve"> skyriuje – </w:t>
      </w:r>
      <w:r>
        <w:rPr>
          <w:rFonts w:ascii="Georgia" w:hAnsi="Georgia" w:cs="Georgia"/>
          <w:sz w:val="20"/>
          <w:szCs w:val="20"/>
          <w:lang w:val="lt-LT"/>
        </w:rPr>
        <w:t>5</w:t>
      </w:r>
      <w:r w:rsidRPr="00C8226F">
        <w:rPr>
          <w:rFonts w:ascii="Georgia" w:hAnsi="Georgia" w:cs="Georgia"/>
          <w:sz w:val="20"/>
          <w:szCs w:val="20"/>
          <w:lang w:val="lt-LT"/>
        </w:rPr>
        <w:t xml:space="preserve"> scenarijus), pasiekiamas </w:t>
      </w:r>
      <w:r>
        <w:rPr>
          <w:rFonts w:ascii="Georgia" w:hAnsi="Georgia" w:cs="Georgia"/>
          <w:sz w:val="20"/>
          <w:szCs w:val="20"/>
          <w:lang w:val="lt-LT"/>
        </w:rPr>
        <w:t>2,22</w:t>
      </w:r>
      <w:r w:rsidRPr="00C8226F">
        <w:rPr>
          <w:rFonts w:ascii="Georgia" w:hAnsi="Georgia" w:cs="Georgia"/>
          <w:sz w:val="20"/>
          <w:szCs w:val="20"/>
          <w:lang w:val="lt-LT"/>
        </w:rPr>
        <w:t xml:space="preserve"> sverto efekto rodiklis,</w:t>
      </w:r>
    </w:p>
    <w:p w14:paraId="5AFC552D" w14:textId="3B0E92C7" w:rsidR="00FD5FAE" w:rsidRPr="00C8226F" w:rsidRDefault="00FD5FAE" w:rsidP="00FD5FAE">
      <w:pPr>
        <w:pStyle w:val="Sraopastraipa"/>
        <w:numPr>
          <w:ilvl w:val="0"/>
          <w:numId w:val="8"/>
        </w:numPr>
        <w:autoSpaceDE w:val="0"/>
        <w:autoSpaceDN w:val="0"/>
        <w:adjustRightInd w:val="0"/>
        <w:spacing w:after="120"/>
        <w:ind w:left="714" w:hanging="357"/>
        <w:jc w:val="both"/>
        <w:rPr>
          <w:rFonts w:ascii="Georgia" w:hAnsi="Georgia" w:cs="Georgia"/>
          <w:sz w:val="20"/>
          <w:szCs w:val="20"/>
          <w:lang w:val="lt-LT"/>
        </w:rPr>
      </w:pPr>
      <w:r w:rsidRPr="00C8226F">
        <w:rPr>
          <w:rFonts w:ascii="Georgia" w:hAnsi="Georgia" w:cs="Georgia"/>
          <w:sz w:val="20"/>
          <w:szCs w:val="20"/>
          <w:lang w:val="lt-LT"/>
        </w:rPr>
        <w:t>vadovaujanti institucija paskiria fondo valdytoją, kuris savo institucijoje sukuria fondų fondą kaip sąskaitų rinkinį, ir kartu yra steigiamas privatus investicinis fondas, kuris iš fondų fondo nuperka gautinus ateities piniginius srautus ir/ar paskolas. Tuo tarpu finansinė priemonė įgyvendinama teikiant lengvatines paskolas su sąlyga, kad bendroje paskolos sumoje ESI fondų lėšos sudarys 50 proc. ir 50 proc. sudarys bankų ir kitų investuotojų lėšos</w:t>
      </w:r>
      <w:r>
        <w:rPr>
          <w:rFonts w:ascii="Georgia" w:hAnsi="Georgia" w:cs="Georgia"/>
          <w:sz w:val="20"/>
          <w:szCs w:val="20"/>
          <w:lang w:val="lt-LT"/>
        </w:rPr>
        <w:t xml:space="preserve"> </w:t>
      </w:r>
      <w:r w:rsidRPr="00C8226F">
        <w:rPr>
          <w:rFonts w:ascii="Georgia" w:hAnsi="Georgia" w:cs="Georgia"/>
          <w:sz w:val="20"/>
          <w:szCs w:val="20"/>
          <w:lang w:val="lt-LT"/>
        </w:rPr>
        <w:t>(detalus aprašymas pateikiamas 4.1.2.</w:t>
      </w:r>
      <w:r>
        <w:rPr>
          <w:rFonts w:ascii="Georgia" w:hAnsi="Georgia" w:cs="Georgia"/>
          <w:sz w:val="20"/>
          <w:szCs w:val="20"/>
          <w:lang w:val="lt-LT"/>
        </w:rPr>
        <w:t>2</w:t>
      </w:r>
      <w:r w:rsidRPr="00C8226F">
        <w:rPr>
          <w:rFonts w:ascii="Georgia" w:hAnsi="Georgia" w:cs="Georgia"/>
          <w:sz w:val="20"/>
          <w:szCs w:val="20"/>
          <w:lang w:val="lt-LT"/>
        </w:rPr>
        <w:t xml:space="preserve"> skyriuje – </w:t>
      </w:r>
      <w:r>
        <w:rPr>
          <w:rFonts w:ascii="Georgia" w:hAnsi="Georgia" w:cs="Georgia"/>
          <w:sz w:val="20"/>
          <w:szCs w:val="20"/>
          <w:lang w:val="lt-LT"/>
        </w:rPr>
        <w:t>6</w:t>
      </w:r>
      <w:r w:rsidRPr="00C8226F">
        <w:rPr>
          <w:rFonts w:ascii="Georgia" w:hAnsi="Georgia" w:cs="Georgia"/>
          <w:sz w:val="20"/>
          <w:szCs w:val="20"/>
          <w:lang w:val="lt-LT"/>
        </w:rPr>
        <w:t xml:space="preserve"> scenarijus). Tokiu atveju pasiekiamas sverto efekto rodiklis – 2,</w:t>
      </w:r>
      <w:r w:rsidR="00D653AF">
        <w:rPr>
          <w:rFonts w:ascii="Georgia" w:hAnsi="Georgia" w:cs="Georgia"/>
          <w:sz w:val="20"/>
          <w:szCs w:val="20"/>
          <w:lang w:val="lt-LT"/>
        </w:rPr>
        <w:t>05</w:t>
      </w:r>
      <w:r w:rsidRPr="00C8226F">
        <w:rPr>
          <w:rFonts w:ascii="Georgia" w:hAnsi="Georgia" w:cs="Georgia"/>
          <w:sz w:val="20"/>
          <w:szCs w:val="20"/>
          <w:lang w:val="lt-LT"/>
        </w:rPr>
        <w:t xml:space="preserve">, ir </w:t>
      </w:r>
    </w:p>
    <w:p w14:paraId="1D5C7C69" w14:textId="3921BADA" w:rsidR="00FD5FAE" w:rsidRPr="00C8226F" w:rsidRDefault="00FD5FAE" w:rsidP="00FD5FAE">
      <w:pPr>
        <w:pStyle w:val="Sraopastraipa"/>
        <w:numPr>
          <w:ilvl w:val="0"/>
          <w:numId w:val="8"/>
        </w:numPr>
        <w:autoSpaceDE w:val="0"/>
        <w:autoSpaceDN w:val="0"/>
        <w:adjustRightInd w:val="0"/>
        <w:spacing w:after="120"/>
        <w:ind w:left="714" w:hanging="357"/>
        <w:jc w:val="both"/>
        <w:rPr>
          <w:rFonts w:ascii="Georgia" w:hAnsi="Georgia" w:cs="Georgia"/>
          <w:sz w:val="20"/>
          <w:szCs w:val="20"/>
          <w:lang w:val="lt-LT"/>
        </w:rPr>
      </w:pPr>
      <w:r w:rsidRPr="00C8226F">
        <w:rPr>
          <w:rFonts w:ascii="Georgia" w:hAnsi="Georgia" w:cs="Georgia"/>
          <w:sz w:val="20"/>
          <w:szCs w:val="20"/>
          <w:lang w:val="lt-LT"/>
        </w:rPr>
        <w:t>tokiu atveju, kai vadovaujanti institucija paskiria fondo valdytoją, kuris savo institucijoje sukuria fondų fondą kaip sąskaitų rinkinį, ir kartu yra steigiamas privatus investicinis fondas kuris iš fondų fondo nupirktų gautinus ateities piniginius srautus ir/ar paskolas</w:t>
      </w:r>
      <w:r>
        <w:rPr>
          <w:rFonts w:ascii="Georgia" w:hAnsi="Georgia" w:cs="Georgia"/>
          <w:sz w:val="20"/>
          <w:szCs w:val="20"/>
          <w:lang w:val="lt-LT"/>
        </w:rPr>
        <w:t xml:space="preserve"> </w:t>
      </w:r>
      <w:r w:rsidRPr="00C8226F">
        <w:rPr>
          <w:rFonts w:ascii="Georgia" w:hAnsi="Georgia" w:cs="Georgia"/>
          <w:sz w:val="20"/>
          <w:szCs w:val="20"/>
          <w:lang w:val="lt-LT"/>
        </w:rPr>
        <w:t>(detalus aprašymas pateikiamas 4.1.2.</w:t>
      </w:r>
      <w:r>
        <w:rPr>
          <w:rFonts w:ascii="Georgia" w:hAnsi="Georgia" w:cs="Georgia"/>
          <w:sz w:val="20"/>
          <w:szCs w:val="20"/>
          <w:lang w:val="lt-LT"/>
        </w:rPr>
        <w:t>2 skyriuje – 4</w:t>
      </w:r>
      <w:r w:rsidRPr="00C8226F">
        <w:rPr>
          <w:rFonts w:ascii="Georgia" w:hAnsi="Georgia" w:cs="Georgia"/>
          <w:sz w:val="20"/>
          <w:szCs w:val="20"/>
          <w:lang w:val="lt-LT"/>
        </w:rPr>
        <w:t xml:space="preserve"> scenarijus). Tuo tarpu finansinė priemonė įgyvendinama teikiant lengvatines paskolas, neįpareigojant bankų savo lėšomis dalyvauti paskolų teikime, sverto efekto rodiklis sudaro – 2,</w:t>
      </w:r>
      <w:r w:rsidR="00D653AF">
        <w:rPr>
          <w:rFonts w:ascii="Georgia" w:hAnsi="Georgia" w:cs="Georgia"/>
          <w:sz w:val="20"/>
          <w:szCs w:val="20"/>
          <w:lang w:val="lt-LT"/>
        </w:rPr>
        <w:t>21</w:t>
      </w:r>
      <w:r w:rsidRPr="00C8226F">
        <w:rPr>
          <w:rFonts w:ascii="Georgia" w:hAnsi="Georgia" w:cs="Georgia"/>
          <w:sz w:val="20"/>
          <w:szCs w:val="20"/>
          <w:lang w:val="lt-LT"/>
        </w:rPr>
        <w:t>.</w:t>
      </w:r>
    </w:p>
    <w:p w14:paraId="001D928D" w14:textId="77777777" w:rsidR="00FD5FAE" w:rsidRPr="00C8226F" w:rsidRDefault="00FD5FAE" w:rsidP="00FD5FAE">
      <w:pPr>
        <w:autoSpaceDE w:val="0"/>
        <w:autoSpaceDN w:val="0"/>
        <w:adjustRightInd w:val="0"/>
        <w:spacing w:after="120"/>
        <w:jc w:val="both"/>
        <w:rPr>
          <w:rFonts w:ascii="Georgia" w:hAnsi="Georgia" w:cs="Georgia"/>
          <w:sz w:val="20"/>
          <w:szCs w:val="20"/>
          <w:lang w:val="lt-LT"/>
        </w:rPr>
      </w:pPr>
      <w:r w:rsidRPr="00C8226F">
        <w:rPr>
          <w:rFonts w:ascii="Georgia" w:hAnsi="Georgia" w:cs="Georgia"/>
          <w:sz w:val="20"/>
          <w:szCs w:val="20"/>
          <w:lang w:val="lt-LT"/>
        </w:rPr>
        <w:t>Kituose scenarijuose sverto efekto rodiklis yra mažesnis daugiau kaip 25 proc., todėl šių scenarijų pasirinkimas, vertinant tik pagal sverto efektą, nėra patrauklus.</w:t>
      </w:r>
    </w:p>
    <w:p w14:paraId="098BECDD" w14:textId="77777777" w:rsidR="00FD5FAE" w:rsidRPr="00C8226F" w:rsidRDefault="00FD5FAE" w:rsidP="00FD5FAE">
      <w:pPr>
        <w:autoSpaceDE w:val="0"/>
        <w:autoSpaceDN w:val="0"/>
        <w:adjustRightInd w:val="0"/>
        <w:spacing w:after="120"/>
        <w:jc w:val="both"/>
        <w:rPr>
          <w:rFonts w:ascii="Georgia" w:hAnsi="Georgia" w:cs="Georgia"/>
          <w:sz w:val="20"/>
          <w:szCs w:val="20"/>
          <w:lang w:val="lt-LT"/>
        </w:rPr>
      </w:pPr>
      <w:r w:rsidRPr="00C8226F">
        <w:rPr>
          <w:rFonts w:ascii="Georgia" w:hAnsi="Georgia" w:cs="Georgia"/>
          <w:sz w:val="20"/>
          <w:szCs w:val="20"/>
          <w:lang w:val="lt-LT"/>
        </w:rPr>
        <w:t xml:space="preserve">Pagal 4.1.2.4. skyriuje identifikuotus scenarijus sverto efekto rodikliai gatvių apšvietimui modernizuoti pateikiami žemiau esančioje lentelėje. </w:t>
      </w:r>
    </w:p>
    <w:p w14:paraId="580A9242" w14:textId="665112B4" w:rsidR="00FD5FAE" w:rsidRPr="00C8226F" w:rsidRDefault="00FD5FAE" w:rsidP="00FD5FAE">
      <w:pPr>
        <w:pStyle w:val="Antrat"/>
        <w:jc w:val="both"/>
        <w:rPr>
          <w:rFonts w:cs="Georgia"/>
          <w:szCs w:val="20"/>
          <w:lang w:val="lt-LT"/>
        </w:rPr>
      </w:pPr>
      <w:bookmarkStart w:id="276" w:name="_Toc460321725"/>
      <w:r w:rsidRPr="00C8226F">
        <w:rPr>
          <w:lang w:val="lt-LT"/>
        </w:rPr>
        <w:lastRenderedPageBreak/>
        <w:t xml:space="preserve">Lentelė </w:t>
      </w:r>
      <w:r w:rsidRPr="00C8226F">
        <w:rPr>
          <w:lang w:val="lt-LT"/>
        </w:rPr>
        <w:fldChar w:fldCharType="begin"/>
      </w:r>
      <w:r w:rsidRPr="00C8226F">
        <w:rPr>
          <w:lang w:val="lt-LT"/>
        </w:rPr>
        <w:instrText xml:space="preserve"> SEQ Lentelė \* ARABIC </w:instrText>
      </w:r>
      <w:r w:rsidRPr="00C8226F">
        <w:rPr>
          <w:lang w:val="lt-LT"/>
        </w:rPr>
        <w:fldChar w:fldCharType="separate"/>
      </w:r>
      <w:r w:rsidR="00AA3082">
        <w:rPr>
          <w:noProof/>
          <w:lang w:val="lt-LT"/>
        </w:rPr>
        <w:t>144</w:t>
      </w:r>
      <w:r w:rsidRPr="00C8226F">
        <w:rPr>
          <w:lang w:val="lt-LT"/>
        </w:rPr>
        <w:fldChar w:fldCharType="end"/>
      </w:r>
      <w:r w:rsidRPr="00C8226F">
        <w:rPr>
          <w:lang w:val="lt-LT"/>
        </w:rPr>
        <w:t xml:space="preserve">. </w:t>
      </w:r>
      <w:r w:rsidRPr="00C8226F">
        <w:rPr>
          <w:rFonts w:cs="Georgia"/>
          <w:szCs w:val="20"/>
          <w:lang w:val="lt-LT"/>
        </w:rPr>
        <w:t>Gatvių apšvietimui modernizuoti sverto rodikliai pagal atskirus scenarijus</w:t>
      </w:r>
      <w:bookmarkEnd w:id="276"/>
    </w:p>
    <w:tbl>
      <w:tblPr>
        <w:tblStyle w:val="viesussraas2parykinimas"/>
        <w:tblW w:w="0" w:type="auto"/>
        <w:tblLook w:val="04A0" w:firstRow="1" w:lastRow="0" w:firstColumn="1" w:lastColumn="0" w:noHBand="0" w:noVBand="1"/>
      </w:tblPr>
      <w:tblGrid>
        <w:gridCol w:w="6898"/>
        <w:gridCol w:w="2344"/>
      </w:tblGrid>
      <w:tr w:rsidR="00FD5FAE" w:rsidRPr="00C8226F" w14:paraId="35C3AE65" w14:textId="77777777" w:rsidTr="00765A39">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98" w:type="dxa"/>
            <w:tcBorders>
              <w:top w:val="single" w:sz="8" w:space="0" w:color="C0504D" w:themeColor="accent2"/>
              <w:left w:val="single" w:sz="8" w:space="0" w:color="C0504D" w:themeColor="accent2"/>
              <w:bottom w:val="nil"/>
              <w:right w:val="nil"/>
            </w:tcBorders>
            <w:hideMark/>
          </w:tcPr>
          <w:p w14:paraId="2899CA21" w14:textId="77777777" w:rsidR="00FD5FAE" w:rsidRPr="00C8226F" w:rsidRDefault="00FD5FAE" w:rsidP="00FD5FAE">
            <w:pPr>
              <w:keepNext/>
              <w:jc w:val="center"/>
              <w:rPr>
                <w:rFonts w:ascii="Georgia" w:hAnsi="Georgia"/>
                <w:sz w:val="20"/>
                <w:szCs w:val="20"/>
              </w:rPr>
            </w:pPr>
            <w:r w:rsidRPr="00C8226F">
              <w:rPr>
                <w:rFonts w:ascii="Georgia" w:hAnsi="Georgia"/>
                <w:sz w:val="20"/>
                <w:szCs w:val="20"/>
              </w:rPr>
              <w:t>Scenarijai</w:t>
            </w:r>
          </w:p>
        </w:tc>
        <w:tc>
          <w:tcPr>
            <w:tcW w:w="2344" w:type="dxa"/>
            <w:tcBorders>
              <w:top w:val="single" w:sz="8" w:space="0" w:color="C0504D" w:themeColor="accent2"/>
              <w:left w:val="nil"/>
              <w:bottom w:val="nil"/>
              <w:right w:val="single" w:sz="8" w:space="0" w:color="C0504D" w:themeColor="accent2"/>
            </w:tcBorders>
            <w:hideMark/>
          </w:tcPr>
          <w:p w14:paraId="2EEC2E94" w14:textId="77777777" w:rsidR="00FD5FAE" w:rsidRPr="00C8226F" w:rsidRDefault="00FD5FAE" w:rsidP="00FD5FAE">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C8226F">
              <w:rPr>
                <w:rFonts w:ascii="Georgia" w:hAnsi="Georgia"/>
                <w:sz w:val="20"/>
                <w:szCs w:val="20"/>
              </w:rPr>
              <w:t>Sverto efekto rodiklis</w:t>
            </w:r>
          </w:p>
        </w:tc>
      </w:tr>
      <w:tr w:rsidR="00FD5FAE" w:rsidRPr="00C8226F" w14:paraId="3C5E6E77" w14:textId="77777777" w:rsidTr="00765A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98" w:type="dxa"/>
            <w:tcBorders>
              <w:right w:val="nil"/>
            </w:tcBorders>
            <w:hideMark/>
          </w:tcPr>
          <w:p w14:paraId="2F062F3C" w14:textId="77777777" w:rsidR="00FD5FAE" w:rsidRPr="00C8226F" w:rsidRDefault="00FD5FAE" w:rsidP="00234582">
            <w:pPr>
              <w:keepNext/>
              <w:rPr>
                <w:rFonts w:ascii="Georgia" w:hAnsi="Georgia"/>
                <w:b w:val="0"/>
                <w:sz w:val="20"/>
                <w:szCs w:val="20"/>
              </w:rPr>
            </w:pPr>
            <w:r w:rsidRPr="00C8226F">
              <w:rPr>
                <w:rFonts w:ascii="Georgia" w:hAnsi="Georgia"/>
                <w:sz w:val="20"/>
                <w:szCs w:val="20"/>
              </w:rPr>
              <w:t xml:space="preserve">1 scenarijus. Lengvatinė paskola su </w:t>
            </w:r>
            <w:r w:rsidR="00234582">
              <w:rPr>
                <w:rFonts w:ascii="Georgia" w:hAnsi="Georgia"/>
                <w:sz w:val="20"/>
                <w:szCs w:val="20"/>
              </w:rPr>
              <w:t>2</w:t>
            </w:r>
            <w:r w:rsidRPr="00C8226F">
              <w:rPr>
                <w:rFonts w:ascii="Georgia" w:hAnsi="Georgia"/>
                <w:sz w:val="20"/>
                <w:szCs w:val="20"/>
              </w:rPr>
              <w:t xml:space="preserve"> proc. palūkanomis</w:t>
            </w:r>
          </w:p>
        </w:tc>
        <w:tc>
          <w:tcPr>
            <w:tcW w:w="2344" w:type="dxa"/>
            <w:tcBorders>
              <w:left w:val="nil"/>
            </w:tcBorders>
            <w:hideMark/>
          </w:tcPr>
          <w:p w14:paraId="1B4EE2C5" w14:textId="77777777" w:rsidR="00FD5FAE" w:rsidRPr="00C8226F" w:rsidRDefault="00FD5FAE" w:rsidP="00FD5FAE">
            <w:pPr>
              <w:keepNext/>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8226F">
              <w:rPr>
                <w:rFonts w:ascii="Georgia" w:hAnsi="Georgia"/>
                <w:sz w:val="20"/>
                <w:szCs w:val="20"/>
              </w:rPr>
              <w:t>1,00</w:t>
            </w:r>
          </w:p>
        </w:tc>
      </w:tr>
      <w:tr w:rsidR="00FD5FAE" w:rsidRPr="00C8226F" w14:paraId="62111D07" w14:textId="77777777" w:rsidTr="00765A39">
        <w:trPr>
          <w:cantSplit/>
        </w:trPr>
        <w:tc>
          <w:tcPr>
            <w:cnfStyle w:val="001000000000" w:firstRow="0" w:lastRow="0" w:firstColumn="1" w:lastColumn="0" w:oddVBand="0" w:evenVBand="0" w:oddHBand="0" w:evenHBand="0" w:firstRowFirstColumn="0" w:firstRowLastColumn="0" w:lastRowFirstColumn="0" w:lastRowLastColumn="0"/>
            <w:tcW w:w="6898" w:type="dxa"/>
            <w:tcBorders>
              <w:top w:val="nil"/>
              <w:left w:val="single" w:sz="8" w:space="0" w:color="C0504D" w:themeColor="accent2"/>
              <w:bottom w:val="nil"/>
              <w:right w:val="nil"/>
            </w:tcBorders>
            <w:hideMark/>
          </w:tcPr>
          <w:p w14:paraId="0DC0AF57" w14:textId="77777777" w:rsidR="00FD5FAE" w:rsidRPr="00C8226F" w:rsidRDefault="00FD5FAE" w:rsidP="002F60CA">
            <w:pPr>
              <w:keepNext/>
              <w:rPr>
                <w:rFonts w:ascii="Georgia" w:hAnsi="Georgia"/>
                <w:b w:val="0"/>
                <w:sz w:val="20"/>
                <w:szCs w:val="20"/>
              </w:rPr>
            </w:pPr>
            <w:r w:rsidRPr="00C8226F">
              <w:rPr>
                <w:rFonts w:ascii="Georgia" w:hAnsi="Georgia"/>
                <w:sz w:val="20"/>
                <w:szCs w:val="20"/>
              </w:rPr>
              <w:t>2 sce</w:t>
            </w:r>
            <w:r w:rsidR="00234582">
              <w:rPr>
                <w:rFonts w:ascii="Georgia" w:hAnsi="Georgia"/>
                <w:sz w:val="20"/>
                <w:szCs w:val="20"/>
              </w:rPr>
              <w:t>narijus. Lengvatinė paskola su 2</w:t>
            </w:r>
            <w:r w:rsidRPr="00C8226F">
              <w:rPr>
                <w:rFonts w:ascii="Georgia" w:hAnsi="Georgia"/>
                <w:sz w:val="20"/>
                <w:szCs w:val="20"/>
              </w:rPr>
              <w:t xml:space="preserve"> proc. palūkanomis ir nuo 201</w:t>
            </w:r>
            <w:r w:rsidR="002F60CA">
              <w:rPr>
                <w:rFonts w:ascii="Georgia" w:hAnsi="Georgia"/>
                <w:sz w:val="20"/>
                <w:szCs w:val="20"/>
              </w:rPr>
              <w:t>6</w:t>
            </w:r>
            <w:r w:rsidRPr="00C8226F">
              <w:rPr>
                <w:rFonts w:ascii="Georgia" w:hAnsi="Georgia"/>
                <w:sz w:val="20"/>
                <w:szCs w:val="20"/>
              </w:rPr>
              <w:t xml:space="preserve"> m. sukurtas investicinis fondas išperka 70 proc. visų išduotų paskolų</w:t>
            </w:r>
          </w:p>
        </w:tc>
        <w:tc>
          <w:tcPr>
            <w:tcW w:w="2344" w:type="dxa"/>
            <w:tcBorders>
              <w:top w:val="nil"/>
              <w:left w:val="nil"/>
              <w:bottom w:val="nil"/>
              <w:right w:val="single" w:sz="8" w:space="0" w:color="C0504D" w:themeColor="accent2"/>
            </w:tcBorders>
            <w:hideMark/>
          </w:tcPr>
          <w:p w14:paraId="3413437F" w14:textId="77777777" w:rsidR="00FD5FAE" w:rsidRPr="00C8226F" w:rsidRDefault="00FD5FAE" w:rsidP="00FD5FAE">
            <w:pPr>
              <w:keepNext/>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8226F">
              <w:rPr>
                <w:rFonts w:ascii="Georgia" w:hAnsi="Georgia"/>
                <w:sz w:val="20"/>
                <w:szCs w:val="20"/>
              </w:rPr>
              <w:t>2,12</w:t>
            </w:r>
          </w:p>
        </w:tc>
      </w:tr>
      <w:tr w:rsidR="00FD5FAE" w:rsidRPr="00C8226F" w14:paraId="14E3CCDB" w14:textId="77777777" w:rsidTr="00765A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98" w:type="dxa"/>
            <w:tcBorders>
              <w:right w:val="nil"/>
            </w:tcBorders>
            <w:hideMark/>
          </w:tcPr>
          <w:p w14:paraId="459370BB" w14:textId="77777777" w:rsidR="00FD5FAE" w:rsidRPr="00C8226F" w:rsidRDefault="00FD5FAE" w:rsidP="00765A39">
            <w:pPr>
              <w:rPr>
                <w:rFonts w:ascii="Georgia" w:hAnsi="Georgia"/>
                <w:b w:val="0"/>
                <w:sz w:val="20"/>
                <w:szCs w:val="20"/>
              </w:rPr>
            </w:pPr>
            <w:r w:rsidRPr="00C8226F">
              <w:rPr>
                <w:rFonts w:ascii="Georgia" w:hAnsi="Georgia"/>
                <w:sz w:val="20"/>
                <w:szCs w:val="20"/>
              </w:rPr>
              <w:t>3 sce</w:t>
            </w:r>
            <w:r w:rsidR="00234582">
              <w:rPr>
                <w:rFonts w:ascii="Georgia" w:hAnsi="Georgia"/>
                <w:sz w:val="20"/>
                <w:szCs w:val="20"/>
              </w:rPr>
              <w:t>narijus. Lengvatinė paskola su 2</w:t>
            </w:r>
            <w:r w:rsidRPr="00C8226F">
              <w:rPr>
                <w:rFonts w:ascii="Georgia" w:hAnsi="Georgia"/>
                <w:sz w:val="20"/>
                <w:szCs w:val="20"/>
              </w:rPr>
              <w:t xml:space="preserve"> proc. palūkanomis ir garantijos bankams</w:t>
            </w:r>
          </w:p>
        </w:tc>
        <w:tc>
          <w:tcPr>
            <w:tcW w:w="2344" w:type="dxa"/>
            <w:tcBorders>
              <w:left w:val="nil"/>
            </w:tcBorders>
            <w:hideMark/>
          </w:tcPr>
          <w:p w14:paraId="445891F2" w14:textId="77777777" w:rsidR="00FD5FAE" w:rsidRPr="00C8226F" w:rsidRDefault="00FD5FAE" w:rsidP="00765A39">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8226F">
              <w:rPr>
                <w:rFonts w:ascii="Georgia" w:hAnsi="Georgia"/>
                <w:sz w:val="20"/>
                <w:szCs w:val="20"/>
              </w:rPr>
              <w:t>2,11</w:t>
            </w:r>
          </w:p>
        </w:tc>
      </w:tr>
      <w:tr w:rsidR="00FD5FAE" w:rsidRPr="00C8226F" w14:paraId="3A72BF0D" w14:textId="77777777" w:rsidTr="00765A39">
        <w:trPr>
          <w:cantSplit/>
        </w:trPr>
        <w:tc>
          <w:tcPr>
            <w:cnfStyle w:val="001000000000" w:firstRow="0" w:lastRow="0" w:firstColumn="1" w:lastColumn="0" w:oddVBand="0" w:evenVBand="0" w:oddHBand="0" w:evenHBand="0" w:firstRowFirstColumn="0" w:firstRowLastColumn="0" w:lastRowFirstColumn="0" w:lastRowLastColumn="0"/>
            <w:tcW w:w="6898" w:type="dxa"/>
            <w:tcBorders>
              <w:top w:val="nil"/>
              <w:left w:val="single" w:sz="8" w:space="0" w:color="C0504D" w:themeColor="accent2"/>
              <w:bottom w:val="nil"/>
              <w:right w:val="nil"/>
            </w:tcBorders>
            <w:hideMark/>
          </w:tcPr>
          <w:p w14:paraId="02369C2B" w14:textId="77777777" w:rsidR="00FD5FAE" w:rsidRPr="00C8226F" w:rsidRDefault="00FD5FAE" w:rsidP="002F60CA">
            <w:pPr>
              <w:rPr>
                <w:rFonts w:ascii="Georgia" w:hAnsi="Georgia"/>
                <w:b w:val="0"/>
                <w:sz w:val="20"/>
                <w:szCs w:val="20"/>
              </w:rPr>
            </w:pPr>
            <w:r w:rsidRPr="00C8226F">
              <w:rPr>
                <w:rFonts w:ascii="Georgia" w:hAnsi="Georgia"/>
                <w:sz w:val="20"/>
                <w:szCs w:val="20"/>
              </w:rPr>
              <w:t xml:space="preserve">4 scenarijus. Lengvatinė paskola su </w:t>
            </w:r>
            <w:r w:rsidR="00234582">
              <w:rPr>
                <w:rFonts w:ascii="Georgia" w:hAnsi="Georgia"/>
                <w:sz w:val="20"/>
                <w:szCs w:val="20"/>
              </w:rPr>
              <w:t>2</w:t>
            </w:r>
            <w:r w:rsidRPr="00C8226F">
              <w:rPr>
                <w:rFonts w:ascii="Georgia" w:hAnsi="Georgia"/>
                <w:sz w:val="20"/>
                <w:szCs w:val="20"/>
              </w:rPr>
              <w:t xml:space="preserve"> proc. palūkanomis ir garantijos bankams, ir nuo 201</w:t>
            </w:r>
            <w:r w:rsidR="002F60CA">
              <w:rPr>
                <w:rFonts w:ascii="Georgia" w:hAnsi="Georgia"/>
                <w:sz w:val="20"/>
                <w:szCs w:val="20"/>
              </w:rPr>
              <w:t>6</w:t>
            </w:r>
            <w:r w:rsidRPr="00C8226F">
              <w:rPr>
                <w:rFonts w:ascii="Georgia" w:hAnsi="Georgia"/>
                <w:sz w:val="20"/>
                <w:szCs w:val="20"/>
              </w:rPr>
              <w:t xml:space="preserve"> m. sukurtas investicinis fondas išperka 70 proc. visų išduotų paskolų</w:t>
            </w:r>
          </w:p>
        </w:tc>
        <w:tc>
          <w:tcPr>
            <w:tcW w:w="2344" w:type="dxa"/>
            <w:tcBorders>
              <w:top w:val="nil"/>
              <w:left w:val="nil"/>
              <w:bottom w:val="nil"/>
              <w:right w:val="single" w:sz="8" w:space="0" w:color="C0504D" w:themeColor="accent2"/>
            </w:tcBorders>
            <w:hideMark/>
          </w:tcPr>
          <w:p w14:paraId="0411D05A" w14:textId="77777777" w:rsidR="00FD5FAE" w:rsidRPr="00C8226F" w:rsidRDefault="00FD5FAE" w:rsidP="00765A39">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8226F">
              <w:rPr>
                <w:rFonts w:ascii="Georgia" w:hAnsi="Georgia"/>
                <w:sz w:val="20"/>
                <w:szCs w:val="20"/>
              </w:rPr>
              <w:t>2,80</w:t>
            </w:r>
          </w:p>
        </w:tc>
      </w:tr>
      <w:tr w:rsidR="00FD5FAE" w:rsidRPr="00C8226F" w14:paraId="13FFC4AB" w14:textId="77777777" w:rsidTr="00765A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98" w:type="dxa"/>
            <w:tcBorders>
              <w:right w:val="nil"/>
            </w:tcBorders>
            <w:hideMark/>
          </w:tcPr>
          <w:p w14:paraId="5F182297" w14:textId="77777777" w:rsidR="00FD5FAE" w:rsidRPr="00C8226F" w:rsidRDefault="00FD5FAE" w:rsidP="00765A39">
            <w:pPr>
              <w:rPr>
                <w:rFonts w:ascii="Georgia" w:hAnsi="Georgia"/>
                <w:b w:val="0"/>
                <w:sz w:val="20"/>
                <w:szCs w:val="20"/>
              </w:rPr>
            </w:pPr>
            <w:r w:rsidRPr="00C8226F">
              <w:rPr>
                <w:rFonts w:ascii="Georgia" w:hAnsi="Georgia"/>
                <w:sz w:val="20"/>
                <w:szCs w:val="20"/>
              </w:rPr>
              <w:t>5 scenarijus. Garantijų bankams priemonė</w:t>
            </w:r>
          </w:p>
        </w:tc>
        <w:tc>
          <w:tcPr>
            <w:tcW w:w="2344" w:type="dxa"/>
            <w:tcBorders>
              <w:left w:val="nil"/>
            </w:tcBorders>
            <w:hideMark/>
          </w:tcPr>
          <w:p w14:paraId="3BF3D359" w14:textId="77777777" w:rsidR="00FD5FAE" w:rsidRPr="00C8226F" w:rsidRDefault="00FD5FAE" w:rsidP="00765A39">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8226F">
              <w:rPr>
                <w:rFonts w:ascii="Georgia" w:hAnsi="Georgia"/>
                <w:sz w:val="20"/>
                <w:szCs w:val="20"/>
              </w:rPr>
              <w:t>3,82</w:t>
            </w:r>
          </w:p>
        </w:tc>
      </w:tr>
      <w:tr w:rsidR="00FD5FAE" w:rsidRPr="00C8226F" w14:paraId="54E96D60" w14:textId="77777777" w:rsidTr="00765A39">
        <w:trPr>
          <w:cantSplit/>
        </w:trPr>
        <w:tc>
          <w:tcPr>
            <w:cnfStyle w:val="001000000000" w:firstRow="0" w:lastRow="0" w:firstColumn="1" w:lastColumn="0" w:oddVBand="0" w:evenVBand="0" w:oddHBand="0" w:evenHBand="0" w:firstRowFirstColumn="0" w:firstRowLastColumn="0" w:lastRowFirstColumn="0" w:lastRowLastColumn="0"/>
            <w:tcW w:w="6898" w:type="dxa"/>
            <w:tcBorders>
              <w:top w:val="nil"/>
              <w:left w:val="single" w:sz="8" w:space="0" w:color="C0504D" w:themeColor="accent2"/>
              <w:bottom w:val="nil"/>
              <w:right w:val="nil"/>
            </w:tcBorders>
            <w:hideMark/>
          </w:tcPr>
          <w:p w14:paraId="56288499" w14:textId="77777777" w:rsidR="00FD5FAE" w:rsidRPr="00C8226F" w:rsidRDefault="00FD5FAE" w:rsidP="002F60CA">
            <w:pPr>
              <w:rPr>
                <w:rFonts w:ascii="Georgia" w:hAnsi="Georgia"/>
                <w:b w:val="0"/>
                <w:sz w:val="20"/>
                <w:szCs w:val="20"/>
              </w:rPr>
            </w:pPr>
            <w:r w:rsidRPr="00C8226F">
              <w:rPr>
                <w:rFonts w:ascii="Georgia" w:hAnsi="Georgia"/>
                <w:sz w:val="20"/>
                <w:szCs w:val="20"/>
              </w:rPr>
              <w:t>6 scenarijus. Lengvatinės paskolos (bankai dalyvauja savo lėšomis – 50 proc. finansinės priemonės lėšos ir 50 proc. bankų lėšos paskolos dalies) ir nuo 201</w:t>
            </w:r>
            <w:r w:rsidR="002F60CA">
              <w:rPr>
                <w:rFonts w:ascii="Georgia" w:hAnsi="Georgia"/>
                <w:sz w:val="20"/>
                <w:szCs w:val="20"/>
              </w:rPr>
              <w:t>6</w:t>
            </w:r>
            <w:r w:rsidRPr="00C8226F">
              <w:rPr>
                <w:rFonts w:ascii="Georgia" w:hAnsi="Georgia"/>
                <w:sz w:val="20"/>
                <w:szCs w:val="20"/>
              </w:rPr>
              <w:t xml:space="preserve"> m. sukurtas investicinis fondas išperka 70 proc. visų išduotų paskolų</w:t>
            </w:r>
          </w:p>
        </w:tc>
        <w:tc>
          <w:tcPr>
            <w:tcW w:w="2344" w:type="dxa"/>
            <w:tcBorders>
              <w:top w:val="nil"/>
              <w:left w:val="nil"/>
              <w:bottom w:val="nil"/>
              <w:right w:val="single" w:sz="8" w:space="0" w:color="C0504D" w:themeColor="accent2"/>
            </w:tcBorders>
            <w:hideMark/>
          </w:tcPr>
          <w:p w14:paraId="6B73CF6D" w14:textId="77777777" w:rsidR="00FD5FAE" w:rsidRPr="00C8226F" w:rsidRDefault="00FD5FAE" w:rsidP="00765A39">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8226F">
              <w:rPr>
                <w:rFonts w:ascii="Georgia" w:hAnsi="Georgia"/>
                <w:sz w:val="20"/>
                <w:szCs w:val="20"/>
              </w:rPr>
              <w:t>3,35</w:t>
            </w:r>
          </w:p>
        </w:tc>
      </w:tr>
      <w:tr w:rsidR="00FD5FAE" w:rsidRPr="00C8226F" w14:paraId="05BFCF49" w14:textId="77777777" w:rsidTr="00765A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98" w:type="dxa"/>
            <w:tcBorders>
              <w:right w:val="nil"/>
            </w:tcBorders>
            <w:hideMark/>
          </w:tcPr>
          <w:p w14:paraId="1A15E18E" w14:textId="77777777" w:rsidR="00FD5FAE" w:rsidRPr="00C8226F" w:rsidRDefault="00FD5FAE" w:rsidP="00234582">
            <w:pPr>
              <w:rPr>
                <w:rFonts w:ascii="Georgia" w:hAnsi="Georgia"/>
                <w:b w:val="0"/>
                <w:sz w:val="20"/>
                <w:szCs w:val="20"/>
              </w:rPr>
            </w:pPr>
            <w:r w:rsidRPr="00C8226F">
              <w:rPr>
                <w:rFonts w:ascii="Georgia" w:hAnsi="Georgia"/>
                <w:sz w:val="20"/>
                <w:szCs w:val="20"/>
              </w:rPr>
              <w:t xml:space="preserve">7 scenarijus. Investicinis fondas (pirmo praradimo kapitalo) ir lengvatinė paskola su </w:t>
            </w:r>
            <w:r w:rsidR="00234582">
              <w:rPr>
                <w:rFonts w:ascii="Georgia" w:hAnsi="Georgia"/>
                <w:sz w:val="20"/>
                <w:szCs w:val="20"/>
              </w:rPr>
              <w:t>2</w:t>
            </w:r>
            <w:r w:rsidRPr="00C8226F">
              <w:rPr>
                <w:rFonts w:ascii="Georgia" w:hAnsi="Georgia"/>
                <w:sz w:val="20"/>
                <w:szCs w:val="20"/>
              </w:rPr>
              <w:t xml:space="preserve"> proc. palūkanomis</w:t>
            </w:r>
          </w:p>
        </w:tc>
        <w:tc>
          <w:tcPr>
            <w:tcW w:w="2344" w:type="dxa"/>
            <w:tcBorders>
              <w:left w:val="nil"/>
            </w:tcBorders>
            <w:hideMark/>
          </w:tcPr>
          <w:p w14:paraId="547ACAB8" w14:textId="77777777" w:rsidR="00FD5FAE" w:rsidRPr="00C8226F" w:rsidRDefault="00FD5FAE" w:rsidP="00765A39">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C8226F">
              <w:rPr>
                <w:rFonts w:ascii="Georgia" w:hAnsi="Georgia"/>
                <w:sz w:val="20"/>
                <w:szCs w:val="20"/>
              </w:rPr>
              <w:t>3,33</w:t>
            </w:r>
          </w:p>
        </w:tc>
      </w:tr>
    </w:tbl>
    <w:p w14:paraId="2A7FE037" w14:textId="77777777" w:rsidR="00FD5FAE" w:rsidRPr="00C8226F" w:rsidRDefault="00FD5FAE" w:rsidP="00FD5FAE">
      <w:pPr>
        <w:spacing w:before="120" w:after="120"/>
        <w:jc w:val="both"/>
        <w:rPr>
          <w:rFonts w:ascii="Georgia" w:hAnsi="Georgia" w:cs="Georgia"/>
          <w:sz w:val="20"/>
          <w:szCs w:val="20"/>
          <w:lang w:val="lt-LT"/>
        </w:rPr>
      </w:pPr>
      <w:r w:rsidRPr="00C8226F">
        <w:rPr>
          <w:rFonts w:ascii="Georgia" w:hAnsi="Georgia" w:cs="Georgia"/>
          <w:sz w:val="20"/>
          <w:szCs w:val="20"/>
          <w:lang w:val="lt-LT"/>
        </w:rPr>
        <w:t>Skaičiavimai rodo, jog gatvių apšvietimo modernizavimo atveju didžiausias sverto efekto rodiklis (3,82) pasiekiamas, kai visos lėšos nukreipiamos garantijų priemonei įgyvendinti (detalus aprašymas pateikiamas 4.1.2.3 skyriuje – 5 scenarijus).</w:t>
      </w:r>
    </w:p>
    <w:p w14:paraId="06C95668" w14:textId="77777777" w:rsidR="00FD5FAE" w:rsidRPr="00C8226F" w:rsidRDefault="00FD5FAE" w:rsidP="00FD5FAE">
      <w:pPr>
        <w:spacing w:after="120"/>
        <w:jc w:val="both"/>
        <w:rPr>
          <w:rFonts w:ascii="Georgia" w:hAnsi="Georgia" w:cs="Georgia"/>
          <w:sz w:val="20"/>
          <w:szCs w:val="20"/>
          <w:lang w:val="lt-LT"/>
        </w:rPr>
      </w:pPr>
      <w:r w:rsidRPr="00C8226F">
        <w:rPr>
          <w:rFonts w:ascii="Georgia" w:hAnsi="Georgia" w:cs="Georgia"/>
          <w:sz w:val="20"/>
          <w:szCs w:val="20"/>
          <w:lang w:val="lt-LT"/>
        </w:rPr>
        <w:t>Panašūs sverto efekto rodikliai pasiekiami, kai:</w:t>
      </w:r>
    </w:p>
    <w:p w14:paraId="75047EA3" w14:textId="77777777" w:rsidR="00FD5FAE" w:rsidRPr="00C8226F" w:rsidRDefault="00FD5FAE" w:rsidP="00FD5FAE">
      <w:pPr>
        <w:pStyle w:val="Sraopastraipa"/>
        <w:numPr>
          <w:ilvl w:val="0"/>
          <w:numId w:val="8"/>
        </w:numPr>
        <w:jc w:val="both"/>
        <w:rPr>
          <w:rFonts w:ascii="Georgia" w:hAnsi="Georgia" w:cs="Georgia"/>
          <w:sz w:val="20"/>
          <w:szCs w:val="20"/>
          <w:lang w:val="lt-LT"/>
        </w:rPr>
      </w:pPr>
      <w:r w:rsidRPr="00C8226F">
        <w:rPr>
          <w:rFonts w:ascii="Georgia" w:hAnsi="Georgia" w:cs="Georgia"/>
          <w:sz w:val="20"/>
          <w:szCs w:val="20"/>
          <w:lang w:val="lt-LT"/>
        </w:rPr>
        <w:t>kai sukuriamas investicinis fondas (juridinio asmens statusą turintis fondas), į kurio pirmo praradimo kapitalą investuojamos ESI fondų lėšos, taip pritraukiant privačias lėšas bei iš šio fondo teikiant lengvatines paskolas (detalus aprašymas pateikiamas 4.1.2.3 skyriuje – 7 scenarijus), pasiekiamas 3,33 sverto efekto rodiklis, arba</w:t>
      </w:r>
    </w:p>
    <w:p w14:paraId="487B2F85" w14:textId="77777777" w:rsidR="00FD5FAE" w:rsidRPr="00C8226F" w:rsidRDefault="00FD5FAE" w:rsidP="00FD5FAE">
      <w:pPr>
        <w:pStyle w:val="Sraopastraipa"/>
        <w:numPr>
          <w:ilvl w:val="0"/>
          <w:numId w:val="8"/>
        </w:numPr>
        <w:jc w:val="both"/>
        <w:rPr>
          <w:rFonts w:ascii="Georgia" w:hAnsi="Georgia" w:cs="Georgia"/>
          <w:sz w:val="20"/>
          <w:szCs w:val="20"/>
          <w:lang w:val="lt-LT"/>
        </w:rPr>
      </w:pPr>
      <w:r w:rsidRPr="00C8226F">
        <w:rPr>
          <w:rFonts w:ascii="Georgia" w:hAnsi="Georgia" w:cs="Georgia"/>
          <w:sz w:val="20"/>
          <w:szCs w:val="20"/>
          <w:lang w:val="lt-LT"/>
        </w:rPr>
        <w:t>vadovaujanti institucija paskiria fondo valdytoją, kuris savo institucijoje sukuria fondų fondą kaip sąskaitų rinkinį, ir kartu yra steigiamas privatus investicinis fondas kuris iš fondų fondo nuperka gautinus ateities piniginius srautus ir/ar paskolas. Tuo tarpu finansinė priemonė įgyvendinama teikiant lengvatines paskolas su sąlyga, kad bendroje paskolos sumoje ESI lėšos sudarys 50 proc. ir 50 proc. sudarys bankų ir kitų investuotojų lėšos (detalus aprašymas pateikiamas 4.1.2.3 skyriuje – 6 scenarijus). Tokiu atveju pasiekiamas sverto rodiklis – 3,35, arba</w:t>
      </w:r>
    </w:p>
    <w:p w14:paraId="38DAE858" w14:textId="77777777" w:rsidR="00FD5FAE" w:rsidRPr="00C8226F" w:rsidRDefault="00FD5FAE" w:rsidP="00FD5FAE">
      <w:pPr>
        <w:pStyle w:val="Sraopastraipa"/>
        <w:numPr>
          <w:ilvl w:val="0"/>
          <w:numId w:val="8"/>
        </w:numPr>
        <w:jc w:val="both"/>
        <w:rPr>
          <w:rFonts w:ascii="Georgia" w:hAnsi="Georgia"/>
          <w:sz w:val="20"/>
          <w:szCs w:val="20"/>
          <w:lang w:val="lt-LT"/>
        </w:rPr>
      </w:pPr>
      <w:r w:rsidRPr="00C8226F">
        <w:rPr>
          <w:rFonts w:ascii="Georgia" w:hAnsi="Georgia" w:cs="Georgia"/>
          <w:sz w:val="20"/>
          <w:szCs w:val="20"/>
          <w:lang w:val="lt-LT"/>
        </w:rPr>
        <w:t>vadovaujanti institucija paskiria fondo valdytoją, kuris savo institucijoje sukuria fondų fondą kaip sąskaitų rinkinį, ir kartu yra steigiamas investicinis fondas, kuris iš fondų fondo nuperka gautinus ateities piniginius srautus ir/ar paskolas. Tai pat įgyvendinamos dvi finansinės priemonės – lengvatinių paskolų teikimas ir garantijų priemonė (detalus aprašymas pateikiamas 4.1.2.3 skyriuje – 4 scenarijus). Tokiu atveju pasiekiamas sverto rodiklis – 2,8, ir</w:t>
      </w:r>
    </w:p>
    <w:p w14:paraId="41104871" w14:textId="77777777" w:rsidR="00FD5FAE" w:rsidRPr="00C8226F" w:rsidRDefault="00FD5FAE" w:rsidP="00FD5FAE">
      <w:pPr>
        <w:jc w:val="both"/>
        <w:rPr>
          <w:rFonts w:ascii="Georgia" w:hAnsi="Georgia" w:cs="Georgia"/>
          <w:sz w:val="20"/>
          <w:szCs w:val="20"/>
          <w:lang w:val="lt-LT"/>
        </w:rPr>
      </w:pPr>
      <w:r w:rsidRPr="00C8226F">
        <w:rPr>
          <w:rFonts w:ascii="Georgia" w:hAnsi="Georgia" w:cs="Georgia"/>
          <w:sz w:val="20"/>
          <w:szCs w:val="20"/>
          <w:lang w:val="lt-LT"/>
        </w:rPr>
        <w:t>Kituose scenarijuose sverto efekto rodiklis yra mažesnis daugiau kaip 25 proc., todėl šių scenarijų pasirinkimas, vertinant tik pagal sverto efektą, nėra patrauklus.</w:t>
      </w:r>
    </w:p>
    <w:p w14:paraId="28B7F40A" w14:textId="77777777" w:rsidR="00FD5FAE" w:rsidRPr="00C8226F" w:rsidRDefault="00FD5FAE" w:rsidP="00FD5FAE">
      <w:pPr>
        <w:jc w:val="both"/>
        <w:rPr>
          <w:rFonts w:ascii="Georgia" w:hAnsi="Georgia"/>
          <w:sz w:val="20"/>
          <w:szCs w:val="20"/>
          <w:lang w:val="lt-LT"/>
        </w:rPr>
      </w:pPr>
      <w:r w:rsidRPr="00C8226F">
        <w:rPr>
          <w:rFonts w:ascii="Georgia" w:hAnsi="Georgia" w:cs="Georgia"/>
          <w:sz w:val="20"/>
          <w:szCs w:val="20"/>
          <w:lang w:val="lt-LT"/>
        </w:rPr>
        <w:t>Pažymėtina, jog sverto efekto rodiklio reikšmė turi būti vertinama atsižvelgiant ir į įgyvendinamų projektų skaičių ir kitus kiekybinius bei kokybinius rodiklius.</w:t>
      </w:r>
    </w:p>
    <w:p w14:paraId="3419E712" w14:textId="77777777" w:rsidR="00FD5FAE" w:rsidRDefault="00FD5FAE" w:rsidP="00FD5FAE">
      <w:pPr>
        <w:jc w:val="both"/>
        <w:rPr>
          <w:rFonts w:ascii="Georgia" w:hAnsi="Georgia"/>
          <w:sz w:val="20"/>
          <w:szCs w:val="20"/>
          <w:lang w:val="lt-LT"/>
        </w:rPr>
      </w:pPr>
    </w:p>
    <w:p w14:paraId="60C2634C" w14:textId="77777777" w:rsidR="00D954C8" w:rsidRPr="00D07F95" w:rsidRDefault="00D954C8" w:rsidP="00820849">
      <w:pPr>
        <w:keepNext/>
        <w:autoSpaceDE w:val="0"/>
        <w:autoSpaceDN w:val="0"/>
        <w:adjustRightInd w:val="0"/>
        <w:spacing w:after="120"/>
        <w:jc w:val="both"/>
        <w:rPr>
          <w:rFonts w:ascii="Georgia" w:hAnsi="Georgia" w:cs="Georgia"/>
          <w:sz w:val="20"/>
          <w:szCs w:val="20"/>
          <w:lang w:val="lt-LT"/>
        </w:rPr>
      </w:pPr>
      <w:r w:rsidRPr="00D07F95">
        <w:rPr>
          <w:rFonts w:ascii="Georgia" w:hAnsi="Georgia" w:cs="Georgia"/>
          <w:sz w:val="20"/>
          <w:szCs w:val="20"/>
          <w:lang w:val="lt-LT"/>
        </w:rPr>
        <w:lastRenderedPageBreak/>
        <w:t xml:space="preserve">Pagal </w:t>
      </w:r>
      <w:r w:rsidRPr="00D07F95">
        <w:rPr>
          <w:rFonts w:ascii="Georgia" w:hAnsi="Georgia"/>
          <w:sz w:val="20"/>
          <w:szCs w:val="20"/>
          <w:lang w:val="lt-LT"/>
        </w:rPr>
        <w:t xml:space="preserve">4.1.3.2 skyriuje identifikuotus </w:t>
      </w:r>
      <w:r w:rsidRPr="00D07F95">
        <w:rPr>
          <w:rFonts w:ascii="Georgia" w:hAnsi="Georgia" w:cs="Georgia"/>
          <w:sz w:val="20"/>
          <w:szCs w:val="20"/>
          <w:lang w:val="lt-LT"/>
        </w:rPr>
        <w:t xml:space="preserve">scenarijus apskaičiuoti sverto efekto rodikliai savivaldybių </w:t>
      </w:r>
      <w:r>
        <w:rPr>
          <w:rFonts w:ascii="Georgia" w:hAnsi="Georgia" w:cs="Georgia"/>
          <w:sz w:val="20"/>
          <w:szCs w:val="20"/>
          <w:lang w:val="lt-LT"/>
        </w:rPr>
        <w:t>viešųjų</w:t>
      </w:r>
      <w:r w:rsidRPr="00D07F95">
        <w:rPr>
          <w:rFonts w:ascii="Georgia" w:hAnsi="Georgia" w:cs="Georgia"/>
          <w:sz w:val="20"/>
          <w:szCs w:val="20"/>
          <w:lang w:val="lt-LT"/>
        </w:rPr>
        <w:t xml:space="preserve"> pastatų </w:t>
      </w:r>
      <w:r>
        <w:rPr>
          <w:rFonts w:ascii="Georgia" w:hAnsi="Georgia" w:cs="Georgia"/>
          <w:sz w:val="20"/>
          <w:szCs w:val="20"/>
          <w:lang w:val="lt-LT"/>
        </w:rPr>
        <w:t>modernizavimui</w:t>
      </w:r>
      <w:r w:rsidRPr="00D07F95">
        <w:rPr>
          <w:rFonts w:ascii="Georgia" w:hAnsi="Georgia" w:cs="Georgia"/>
          <w:sz w:val="20"/>
          <w:szCs w:val="20"/>
          <w:lang w:val="lt-LT"/>
        </w:rPr>
        <w:t xml:space="preserve"> pateikiami žemiau esančioje lentelėje.</w:t>
      </w:r>
    </w:p>
    <w:p w14:paraId="1C683892" w14:textId="5DDCE341" w:rsidR="00D954C8" w:rsidRPr="00D07F95" w:rsidRDefault="00D954C8" w:rsidP="00820849">
      <w:pPr>
        <w:pStyle w:val="Antrat"/>
        <w:jc w:val="both"/>
        <w:rPr>
          <w:rFonts w:cs="Georgia"/>
          <w:szCs w:val="20"/>
          <w:lang w:val="lt-LT"/>
        </w:rPr>
      </w:pPr>
      <w:bookmarkStart w:id="277" w:name="_Toc460321726"/>
      <w:r w:rsidRPr="00D07F95">
        <w:rPr>
          <w:lang w:val="lt-LT"/>
        </w:rPr>
        <w:t xml:space="preserve">Lentelė </w:t>
      </w:r>
      <w:r w:rsidRPr="00D07F95">
        <w:rPr>
          <w:lang w:val="lt-LT"/>
        </w:rPr>
        <w:fldChar w:fldCharType="begin"/>
      </w:r>
      <w:r w:rsidRPr="00D07F95">
        <w:rPr>
          <w:lang w:val="lt-LT"/>
        </w:rPr>
        <w:instrText xml:space="preserve"> SEQ Lentelė \* ARABIC </w:instrText>
      </w:r>
      <w:r w:rsidRPr="00D07F95">
        <w:rPr>
          <w:lang w:val="lt-LT"/>
        </w:rPr>
        <w:fldChar w:fldCharType="separate"/>
      </w:r>
      <w:r w:rsidR="00AA3082">
        <w:rPr>
          <w:noProof/>
          <w:lang w:val="lt-LT"/>
        </w:rPr>
        <w:t>145</w:t>
      </w:r>
      <w:r w:rsidRPr="00D07F95">
        <w:rPr>
          <w:lang w:val="lt-LT"/>
        </w:rPr>
        <w:fldChar w:fldCharType="end"/>
      </w:r>
      <w:r w:rsidRPr="00D07F95">
        <w:rPr>
          <w:lang w:val="lt-LT"/>
        </w:rPr>
        <w:t xml:space="preserve">. </w:t>
      </w:r>
      <w:r>
        <w:rPr>
          <w:rFonts w:cs="Georgia"/>
          <w:szCs w:val="20"/>
          <w:lang w:val="lt-LT"/>
        </w:rPr>
        <w:t>Savivaldybių</w:t>
      </w:r>
      <w:r w:rsidRPr="00D07F95">
        <w:rPr>
          <w:rFonts w:cs="Georgia"/>
          <w:szCs w:val="20"/>
          <w:lang w:val="lt-LT"/>
        </w:rPr>
        <w:t xml:space="preserve"> viešųjų pastatų </w:t>
      </w:r>
      <w:r>
        <w:rPr>
          <w:rFonts w:cs="Georgia"/>
          <w:szCs w:val="20"/>
          <w:lang w:val="lt-LT"/>
        </w:rPr>
        <w:t>modernizavimo</w:t>
      </w:r>
      <w:r w:rsidRPr="00D07F95">
        <w:rPr>
          <w:rFonts w:cs="Georgia"/>
          <w:szCs w:val="20"/>
          <w:lang w:val="lt-LT"/>
        </w:rPr>
        <w:t xml:space="preserve"> </w:t>
      </w:r>
      <w:r>
        <w:rPr>
          <w:rFonts w:cs="Georgia"/>
          <w:szCs w:val="20"/>
          <w:lang w:val="lt-LT"/>
        </w:rPr>
        <w:t>finansinio</w:t>
      </w:r>
      <w:r w:rsidRPr="00D07F95">
        <w:rPr>
          <w:rFonts w:cs="Georgia"/>
          <w:szCs w:val="20"/>
          <w:lang w:val="lt-LT"/>
        </w:rPr>
        <w:t xml:space="preserve"> sverto efekto rodikliai pagal atskirus scenarijus</w:t>
      </w:r>
      <w:bookmarkEnd w:id="277"/>
      <w:r w:rsidRPr="00D07F95">
        <w:rPr>
          <w:rFonts w:cs="Georgia"/>
          <w:szCs w:val="20"/>
          <w:lang w:val="lt-LT"/>
        </w:rPr>
        <w:t xml:space="preserve"> </w:t>
      </w:r>
    </w:p>
    <w:tbl>
      <w:tblPr>
        <w:tblStyle w:val="viesussraas2parykinimas"/>
        <w:tblW w:w="0" w:type="auto"/>
        <w:tblLook w:val="04A0" w:firstRow="1" w:lastRow="0" w:firstColumn="1" w:lastColumn="0" w:noHBand="0" w:noVBand="1"/>
      </w:tblPr>
      <w:tblGrid>
        <w:gridCol w:w="6898"/>
        <w:gridCol w:w="2344"/>
      </w:tblGrid>
      <w:tr w:rsidR="00D954C8" w:rsidRPr="00D07F95" w14:paraId="215E5500" w14:textId="77777777" w:rsidTr="00D95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8" w:type="dxa"/>
            <w:tcBorders>
              <w:top w:val="single" w:sz="8" w:space="0" w:color="C0504D" w:themeColor="accent2"/>
              <w:left w:val="single" w:sz="8" w:space="0" w:color="C0504D" w:themeColor="accent2"/>
              <w:bottom w:val="nil"/>
              <w:right w:val="nil"/>
            </w:tcBorders>
            <w:hideMark/>
          </w:tcPr>
          <w:p w14:paraId="654F0A56" w14:textId="77777777" w:rsidR="00D954C8" w:rsidRPr="00D07F95" w:rsidRDefault="00D954C8" w:rsidP="00820849">
            <w:pPr>
              <w:keepNext/>
              <w:tabs>
                <w:tab w:val="left" w:pos="614"/>
                <w:tab w:val="center" w:pos="3341"/>
              </w:tabs>
              <w:rPr>
                <w:rFonts w:ascii="Georgia" w:hAnsi="Georgia"/>
                <w:sz w:val="20"/>
                <w:szCs w:val="20"/>
              </w:rPr>
            </w:pPr>
            <w:r w:rsidRPr="00D07F95">
              <w:rPr>
                <w:rFonts w:ascii="Georgia" w:hAnsi="Georgia"/>
                <w:sz w:val="20"/>
                <w:szCs w:val="20"/>
              </w:rPr>
              <w:tab/>
            </w:r>
            <w:r w:rsidRPr="00D07F95">
              <w:rPr>
                <w:rFonts w:ascii="Georgia" w:hAnsi="Georgia"/>
                <w:sz w:val="20"/>
                <w:szCs w:val="20"/>
              </w:rPr>
              <w:tab/>
              <w:t>Scenarijai</w:t>
            </w:r>
          </w:p>
        </w:tc>
        <w:tc>
          <w:tcPr>
            <w:tcW w:w="2344" w:type="dxa"/>
            <w:tcBorders>
              <w:top w:val="single" w:sz="8" w:space="0" w:color="C0504D" w:themeColor="accent2"/>
              <w:left w:val="nil"/>
              <w:bottom w:val="nil"/>
              <w:right w:val="single" w:sz="8" w:space="0" w:color="C0504D" w:themeColor="accent2"/>
            </w:tcBorders>
            <w:hideMark/>
          </w:tcPr>
          <w:p w14:paraId="244C6228" w14:textId="77777777" w:rsidR="00D954C8" w:rsidRPr="00D07F95" w:rsidRDefault="00D954C8" w:rsidP="00820849">
            <w:pPr>
              <w:keepNext/>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D07F95">
              <w:rPr>
                <w:rFonts w:ascii="Georgia" w:hAnsi="Georgia"/>
                <w:sz w:val="20"/>
                <w:szCs w:val="20"/>
              </w:rPr>
              <w:t>Sverto efekto rodiklis</w:t>
            </w:r>
          </w:p>
        </w:tc>
      </w:tr>
      <w:tr w:rsidR="00D954C8" w:rsidRPr="00D07F95" w14:paraId="71D1DFF8" w14:textId="77777777" w:rsidTr="00D95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8" w:type="dxa"/>
            <w:tcBorders>
              <w:right w:val="nil"/>
            </w:tcBorders>
            <w:hideMark/>
          </w:tcPr>
          <w:p w14:paraId="3AEFAAE1" w14:textId="7BF6AEB3" w:rsidR="00D954C8" w:rsidRPr="00D07F95" w:rsidRDefault="00D954C8" w:rsidP="00D653AF">
            <w:pPr>
              <w:keepNext/>
              <w:rPr>
                <w:rFonts w:ascii="Georgia" w:hAnsi="Georgia"/>
                <w:b w:val="0"/>
                <w:sz w:val="20"/>
                <w:szCs w:val="20"/>
              </w:rPr>
            </w:pPr>
            <w:r w:rsidRPr="00D07F95">
              <w:rPr>
                <w:rFonts w:ascii="Georgia" w:hAnsi="Georgia"/>
                <w:sz w:val="20"/>
                <w:szCs w:val="20"/>
              </w:rPr>
              <w:t xml:space="preserve">1 scenarijus. </w:t>
            </w:r>
            <w:r w:rsidR="00D653AF">
              <w:rPr>
                <w:rFonts w:ascii="Georgia" w:hAnsi="Georgia"/>
                <w:sz w:val="20"/>
                <w:szCs w:val="20"/>
              </w:rPr>
              <w:t>P</w:t>
            </w:r>
            <w:r w:rsidRPr="00D07F95">
              <w:rPr>
                <w:rFonts w:ascii="Georgia" w:hAnsi="Georgia"/>
                <w:sz w:val="20"/>
                <w:szCs w:val="20"/>
              </w:rPr>
              <w:t>askola su 2 proc. pal</w:t>
            </w:r>
            <w:r>
              <w:rPr>
                <w:rFonts w:ascii="Georgia" w:hAnsi="Georgia"/>
                <w:sz w:val="20"/>
                <w:szCs w:val="20"/>
              </w:rPr>
              <w:t xml:space="preserve">ūkanomis </w:t>
            </w:r>
          </w:p>
        </w:tc>
        <w:tc>
          <w:tcPr>
            <w:tcW w:w="2344" w:type="dxa"/>
            <w:tcBorders>
              <w:left w:val="nil"/>
            </w:tcBorders>
            <w:hideMark/>
          </w:tcPr>
          <w:p w14:paraId="177B5754" w14:textId="41990196" w:rsidR="00D954C8" w:rsidRPr="00D07F95" w:rsidRDefault="00D954C8" w:rsidP="00820849">
            <w:pPr>
              <w:keepNext/>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07F95">
              <w:rPr>
                <w:rFonts w:ascii="Georgia" w:hAnsi="Georgia"/>
                <w:sz w:val="20"/>
                <w:szCs w:val="20"/>
              </w:rPr>
              <w:t>1,</w:t>
            </w:r>
            <w:r w:rsidR="00714E80">
              <w:rPr>
                <w:rFonts w:ascii="Georgia" w:hAnsi="Georgia"/>
                <w:sz w:val="20"/>
                <w:szCs w:val="20"/>
              </w:rPr>
              <w:t>1</w:t>
            </w:r>
            <w:r w:rsidRPr="00D07F95">
              <w:rPr>
                <w:rFonts w:ascii="Georgia" w:hAnsi="Georgia"/>
                <w:sz w:val="20"/>
                <w:szCs w:val="20"/>
              </w:rPr>
              <w:t>0</w:t>
            </w:r>
          </w:p>
        </w:tc>
      </w:tr>
      <w:tr w:rsidR="00D954C8" w:rsidRPr="00D07F95" w14:paraId="529106D8" w14:textId="77777777" w:rsidTr="00D954C8">
        <w:tc>
          <w:tcPr>
            <w:cnfStyle w:val="001000000000" w:firstRow="0" w:lastRow="0" w:firstColumn="1" w:lastColumn="0" w:oddVBand="0" w:evenVBand="0" w:oddHBand="0" w:evenHBand="0" w:firstRowFirstColumn="0" w:firstRowLastColumn="0" w:lastRowFirstColumn="0" w:lastRowLastColumn="0"/>
            <w:tcW w:w="6898" w:type="dxa"/>
            <w:tcBorders>
              <w:top w:val="nil"/>
              <w:left w:val="single" w:sz="8" w:space="0" w:color="C0504D" w:themeColor="accent2"/>
              <w:bottom w:val="nil"/>
              <w:right w:val="nil"/>
            </w:tcBorders>
            <w:hideMark/>
          </w:tcPr>
          <w:p w14:paraId="1B8A1E9D" w14:textId="1BFF0E31" w:rsidR="00D954C8" w:rsidRPr="00D07F95" w:rsidRDefault="00D954C8" w:rsidP="00D653AF">
            <w:pPr>
              <w:keepNext/>
              <w:rPr>
                <w:rFonts w:ascii="Georgia" w:hAnsi="Georgia"/>
                <w:b w:val="0"/>
                <w:sz w:val="20"/>
                <w:szCs w:val="20"/>
              </w:rPr>
            </w:pPr>
            <w:r w:rsidRPr="00D07F95">
              <w:rPr>
                <w:rFonts w:ascii="Georgia" w:hAnsi="Georgia"/>
                <w:sz w:val="20"/>
                <w:szCs w:val="20"/>
              </w:rPr>
              <w:t xml:space="preserve">2 scenarijus. </w:t>
            </w:r>
            <w:r w:rsidR="00D653AF">
              <w:rPr>
                <w:rFonts w:ascii="Georgia" w:hAnsi="Georgia"/>
                <w:sz w:val="20"/>
                <w:szCs w:val="20"/>
              </w:rPr>
              <w:t>P</w:t>
            </w:r>
            <w:r w:rsidRPr="00D07F95">
              <w:rPr>
                <w:rFonts w:ascii="Georgia" w:hAnsi="Georgia"/>
                <w:sz w:val="20"/>
                <w:szCs w:val="20"/>
              </w:rPr>
              <w:t>askola su 2 proc. palūkanomis, ir nuo 201</w:t>
            </w:r>
            <w:r w:rsidR="00D653AF">
              <w:rPr>
                <w:rFonts w:ascii="Georgia" w:hAnsi="Georgia"/>
                <w:sz w:val="20"/>
                <w:szCs w:val="20"/>
              </w:rPr>
              <w:t>9</w:t>
            </w:r>
            <w:r w:rsidRPr="00D07F95">
              <w:rPr>
                <w:rFonts w:ascii="Georgia" w:hAnsi="Georgia"/>
                <w:sz w:val="20"/>
                <w:szCs w:val="20"/>
              </w:rPr>
              <w:t xml:space="preserve"> m. sukurtas investicinis fondas išperka </w:t>
            </w:r>
            <w:r>
              <w:rPr>
                <w:rFonts w:ascii="Georgia" w:hAnsi="Georgia"/>
                <w:sz w:val="20"/>
                <w:szCs w:val="20"/>
              </w:rPr>
              <w:t>5</w:t>
            </w:r>
            <w:r w:rsidRPr="00D07F95">
              <w:rPr>
                <w:rFonts w:ascii="Georgia" w:hAnsi="Georgia"/>
                <w:sz w:val="20"/>
                <w:szCs w:val="20"/>
              </w:rPr>
              <w:t>0 proc. visų išduotų paskolų</w:t>
            </w:r>
          </w:p>
        </w:tc>
        <w:tc>
          <w:tcPr>
            <w:tcW w:w="2344" w:type="dxa"/>
            <w:tcBorders>
              <w:top w:val="nil"/>
              <w:left w:val="nil"/>
              <w:bottom w:val="nil"/>
              <w:right w:val="single" w:sz="8" w:space="0" w:color="C0504D" w:themeColor="accent2"/>
            </w:tcBorders>
            <w:hideMark/>
          </w:tcPr>
          <w:p w14:paraId="1CC527B5" w14:textId="22D0233A" w:rsidR="00D954C8" w:rsidRPr="00D07F95" w:rsidRDefault="00D954C8" w:rsidP="00714E80">
            <w:pPr>
              <w:keepNext/>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1,</w:t>
            </w:r>
            <w:r w:rsidR="00714E80">
              <w:rPr>
                <w:rFonts w:ascii="Georgia" w:hAnsi="Georgia"/>
                <w:sz w:val="20"/>
                <w:szCs w:val="20"/>
              </w:rPr>
              <w:t>3</w:t>
            </w:r>
            <w:r w:rsidR="00E8360C">
              <w:rPr>
                <w:rFonts w:ascii="Georgia" w:hAnsi="Georgia"/>
                <w:sz w:val="20"/>
                <w:szCs w:val="20"/>
              </w:rPr>
              <w:t>9</w:t>
            </w:r>
          </w:p>
        </w:tc>
      </w:tr>
      <w:tr w:rsidR="00D954C8" w:rsidRPr="00D07F95" w14:paraId="03895213" w14:textId="77777777" w:rsidTr="00D95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8" w:type="dxa"/>
            <w:tcBorders>
              <w:right w:val="nil"/>
            </w:tcBorders>
            <w:hideMark/>
          </w:tcPr>
          <w:p w14:paraId="20C0803C" w14:textId="115F614F" w:rsidR="00D954C8" w:rsidRPr="00D07F95" w:rsidRDefault="00D954C8" w:rsidP="00D653AF">
            <w:pPr>
              <w:rPr>
                <w:rFonts w:ascii="Georgia" w:hAnsi="Georgia"/>
                <w:b w:val="0"/>
                <w:sz w:val="20"/>
                <w:szCs w:val="20"/>
              </w:rPr>
            </w:pPr>
            <w:r w:rsidRPr="00D07F95">
              <w:rPr>
                <w:rFonts w:ascii="Georgia" w:hAnsi="Georgia"/>
                <w:sz w:val="20"/>
                <w:szCs w:val="20"/>
              </w:rPr>
              <w:t xml:space="preserve">3 scenarijus. </w:t>
            </w:r>
            <w:r w:rsidR="00D653AF">
              <w:rPr>
                <w:rFonts w:ascii="Georgia" w:hAnsi="Georgia"/>
                <w:sz w:val="20"/>
                <w:szCs w:val="20"/>
              </w:rPr>
              <w:t>P</w:t>
            </w:r>
            <w:r w:rsidRPr="00D07F95">
              <w:rPr>
                <w:rFonts w:ascii="Georgia" w:hAnsi="Georgia"/>
                <w:sz w:val="20"/>
                <w:szCs w:val="20"/>
              </w:rPr>
              <w:t>askola su 2 proc. palūkanomis ir garantijos bankams</w:t>
            </w:r>
          </w:p>
        </w:tc>
        <w:tc>
          <w:tcPr>
            <w:tcW w:w="2344" w:type="dxa"/>
            <w:tcBorders>
              <w:left w:val="nil"/>
            </w:tcBorders>
            <w:hideMark/>
          </w:tcPr>
          <w:p w14:paraId="140449A1" w14:textId="0666EA99" w:rsidR="00D954C8" w:rsidRPr="00D07F95" w:rsidRDefault="00D954C8" w:rsidP="00D954C8">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1,</w:t>
            </w:r>
            <w:r w:rsidR="00714E80">
              <w:rPr>
                <w:rFonts w:ascii="Georgia" w:hAnsi="Georgia"/>
                <w:sz w:val="20"/>
                <w:szCs w:val="20"/>
              </w:rPr>
              <w:t>44</w:t>
            </w:r>
          </w:p>
        </w:tc>
      </w:tr>
      <w:tr w:rsidR="00D954C8" w:rsidRPr="00D07F95" w14:paraId="6D851DC4" w14:textId="77777777" w:rsidTr="00D954C8">
        <w:tc>
          <w:tcPr>
            <w:cnfStyle w:val="001000000000" w:firstRow="0" w:lastRow="0" w:firstColumn="1" w:lastColumn="0" w:oddVBand="0" w:evenVBand="0" w:oddHBand="0" w:evenHBand="0" w:firstRowFirstColumn="0" w:firstRowLastColumn="0" w:lastRowFirstColumn="0" w:lastRowLastColumn="0"/>
            <w:tcW w:w="6898" w:type="dxa"/>
            <w:tcBorders>
              <w:top w:val="nil"/>
              <w:left w:val="single" w:sz="8" w:space="0" w:color="C0504D" w:themeColor="accent2"/>
              <w:bottom w:val="nil"/>
              <w:right w:val="nil"/>
            </w:tcBorders>
          </w:tcPr>
          <w:p w14:paraId="461E594D" w14:textId="0B68DD4D" w:rsidR="00D954C8" w:rsidRPr="00D07F95" w:rsidRDefault="00D954C8" w:rsidP="00D653AF">
            <w:pPr>
              <w:rPr>
                <w:rFonts w:ascii="Georgia" w:hAnsi="Georgia"/>
                <w:b w:val="0"/>
                <w:sz w:val="20"/>
                <w:szCs w:val="20"/>
              </w:rPr>
            </w:pPr>
            <w:r>
              <w:rPr>
                <w:rFonts w:ascii="Georgia" w:hAnsi="Georgia"/>
                <w:sz w:val="20"/>
                <w:szCs w:val="20"/>
              </w:rPr>
              <w:t xml:space="preserve">4 </w:t>
            </w:r>
            <w:r w:rsidRPr="00D07F95">
              <w:rPr>
                <w:rFonts w:ascii="Georgia" w:hAnsi="Georgia"/>
                <w:sz w:val="20"/>
                <w:szCs w:val="20"/>
              </w:rPr>
              <w:t xml:space="preserve">scenarijus. Garantijų bankams priemonė </w:t>
            </w:r>
          </w:p>
        </w:tc>
        <w:tc>
          <w:tcPr>
            <w:tcW w:w="2344" w:type="dxa"/>
            <w:tcBorders>
              <w:top w:val="nil"/>
              <w:left w:val="nil"/>
              <w:bottom w:val="nil"/>
              <w:right w:val="single" w:sz="8" w:space="0" w:color="C0504D" w:themeColor="accent2"/>
            </w:tcBorders>
          </w:tcPr>
          <w:p w14:paraId="1554B3DF" w14:textId="50FE96C8" w:rsidR="00D954C8" w:rsidRPr="00D07F95" w:rsidRDefault="00D954C8" w:rsidP="00E8360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2,</w:t>
            </w:r>
            <w:r w:rsidR="00714E80">
              <w:rPr>
                <w:rFonts w:ascii="Georgia" w:hAnsi="Georgia"/>
                <w:sz w:val="20"/>
                <w:szCs w:val="20"/>
              </w:rPr>
              <w:t>5</w:t>
            </w:r>
            <w:r w:rsidR="00E8360C">
              <w:rPr>
                <w:rFonts w:ascii="Georgia" w:hAnsi="Georgia"/>
                <w:sz w:val="20"/>
                <w:szCs w:val="20"/>
              </w:rPr>
              <w:t>9</w:t>
            </w:r>
          </w:p>
        </w:tc>
      </w:tr>
      <w:tr w:rsidR="00D954C8" w:rsidRPr="00D07F95" w14:paraId="6D663A06" w14:textId="77777777" w:rsidTr="00D95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8" w:type="dxa"/>
            <w:tcBorders>
              <w:right w:val="nil"/>
            </w:tcBorders>
            <w:hideMark/>
          </w:tcPr>
          <w:p w14:paraId="26D3EB68" w14:textId="7FF9DB12" w:rsidR="00D954C8" w:rsidRPr="00D07F95" w:rsidRDefault="00D954C8" w:rsidP="00D653AF">
            <w:pPr>
              <w:rPr>
                <w:rFonts w:ascii="Georgia" w:hAnsi="Georgia"/>
                <w:b w:val="0"/>
                <w:sz w:val="20"/>
                <w:szCs w:val="20"/>
              </w:rPr>
            </w:pPr>
            <w:r w:rsidRPr="00D07F95">
              <w:rPr>
                <w:rFonts w:ascii="Georgia" w:hAnsi="Georgia"/>
                <w:sz w:val="20"/>
                <w:szCs w:val="20"/>
              </w:rPr>
              <w:t xml:space="preserve">5 scenarijus. </w:t>
            </w:r>
            <w:r w:rsidR="00D653AF">
              <w:rPr>
                <w:rFonts w:ascii="Georgia" w:hAnsi="Georgia"/>
                <w:sz w:val="20"/>
                <w:szCs w:val="20"/>
              </w:rPr>
              <w:t>P</w:t>
            </w:r>
            <w:r w:rsidRPr="00D07F95">
              <w:rPr>
                <w:rFonts w:ascii="Georgia" w:hAnsi="Georgia"/>
                <w:sz w:val="20"/>
                <w:szCs w:val="20"/>
              </w:rPr>
              <w:t xml:space="preserve">askola su 2 proc. palūkanomis ir </w:t>
            </w:r>
            <w:r>
              <w:rPr>
                <w:rFonts w:ascii="Georgia" w:hAnsi="Georgia"/>
                <w:sz w:val="20"/>
                <w:szCs w:val="20"/>
              </w:rPr>
              <w:t>rizikos pasidalijimo fondo įkūrimas</w:t>
            </w:r>
          </w:p>
        </w:tc>
        <w:tc>
          <w:tcPr>
            <w:tcW w:w="2344" w:type="dxa"/>
            <w:tcBorders>
              <w:left w:val="nil"/>
            </w:tcBorders>
            <w:hideMark/>
          </w:tcPr>
          <w:p w14:paraId="2AFAAA5B" w14:textId="2F563B26" w:rsidR="00D954C8" w:rsidRPr="00D07F95" w:rsidRDefault="00E8360C" w:rsidP="00E8360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1,</w:t>
            </w:r>
            <w:r w:rsidR="00714E80">
              <w:rPr>
                <w:rFonts w:ascii="Georgia" w:hAnsi="Georgia"/>
                <w:sz w:val="20"/>
                <w:szCs w:val="20"/>
              </w:rPr>
              <w:t>58</w:t>
            </w:r>
          </w:p>
        </w:tc>
      </w:tr>
    </w:tbl>
    <w:p w14:paraId="05CCF7A3" w14:textId="77777777" w:rsidR="00D954C8" w:rsidRPr="00D07F95" w:rsidRDefault="00D954C8" w:rsidP="00D954C8">
      <w:pPr>
        <w:autoSpaceDE w:val="0"/>
        <w:autoSpaceDN w:val="0"/>
        <w:adjustRightInd w:val="0"/>
        <w:spacing w:after="0" w:line="240" w:lineRule="auto"/>
        <w:jc w:val="both"/>
        <w:rPr>
          <w:rFonts w:ascii="Georgia" w:hAnsi="Georgia" w:cs="Georgia"/>
          <w:sz w:val="20"/>
          <w:szCs w:val="20"/>
          <w:lang w:val="lt-LT"/>
        </w:rPr>
      </w:pPr>
    </w:p>
    <w:p w14:paraId="2344DAA5" w14:textId="09DDCC5D" w:rsidR="00D954C8" w:rsidRPr="00D07F95" w:rsidRDefault="00D954C8" w:rsidP="00D954C8">
      <w:pPr>
        <w:autoSpaceDE w:val="0"/>
        <w:autoSpaceDN w:val="0"/>
        <w:adjustRightInd w:val="0"/>
        <w:spacing w:after="120"/>
        <w:jc w:val="both"/>
        <w:rPr>
          <w:rFonts w:ascii="Georgia" w:hAnsi="Georgia" w:cs="Georgia"/>
          <w:sz w:val="20"/>
          <w:szCs w:val="20"/>
          <w:lang w:val="lt-LT"/>
        </w:rPr>
      </w:pPr>
      <w:r w:rsidRPr="00D07F95">
        <w:rPr>
          <w:rFonts w:ascii="Georgia" w:hAnsi="Georgia" w:cs="Georgia"/>
          <w:sz w:val="20"/>
          <w:szCs w:val="20"/>
          <w:lang w:val="lt-LT"/>
        </w:rPr>
        <w:t xml:space="preserve">Skaičiavimai rodo, jog </w:t>
      </w:r>
      <w:r>
        <w:rPr>
          <w:rFonts w:ascii="Georgia" w:hAnsi="Georgia" w:cs="Georgia"/>
          <w:sz w:val="20"/>
          <w:szCs w:val="20"/>
          <w:lang w:val="lt-LT"/>
        </w:rPr>
        <w:t>savivaldybių</w:t>
      </w:r>
      <w:r w:rsidRPr="00D07F95">
        <w:rPr>
          <w:rFonts w:ascii="Georgia" w:hAnsi="Georgia" w:cs="Georgia"/>
          <w:sz w:val="20"/>
          <w:szCs w:val="20"/>
          <w:lang w:val="lt-LT"/>
        </w:rPr>
        <w:t xml:space="preserve"> viešųjų pastatų renovacijos atveju didžiausias sverto efekto rodiklis pasiekiamas visas lėšas nukreipus </w:t>
      </w:r>
      <w:r>
        <w:rPr>
          <w:rFonts w:ascii="Georgia" w:hAnsi="Georgia" w:cs="Georgia"/>
          <w:sz w:val="20"/>
          <w:szCs w:val="20"/>
          <w:lang w:val="lt-LT"/>
        </w:rPr>
        <w:t>garantijų</w:t>
      </w:r>
      <w:r w:rsidRPr="00D07F95">
        <w:rPr>
          <w:rFonts w:ascii="Georgia" w:hAnsi="Georgia" w:cs="Georgia"/>
          <w:sz w:val="20"/>
          <w:szCs w:val="20"/>
          <w:lang w:val="lt-LT"/>
        </w:rPr>
        <w:t xml:space="preserve"> priemon</w:t>
      </w:r>
      <w:r>
        <w:rPr>
          <w:rFonts w:ascii="Georgia" w:hAnsi="Georgia" w:cs="Georgia"/>
          <w:sz w:val="20"/>
          <w:szCs w:val="20"/>
          <w:lang w:val="lt-LT"/>
        </w:rPr>
        <w:t>ės</w:t>
      </w:r>
      <w:r w:rsidRPr="00D07F95">
        <w:rPr>
          <w:rFonts w:ascii="Georgia" w:hAnsi="Georgia" w:cs="Georgia"/>
          <w:sz w:val="20"/>
          <w:szCs w:val="20"/>
          <w:lang w:val="lt-LT"/>
        </w:rPr>
        <w:t xml:space="preserve"> (detalus aprašymas pateikiamas 4.1.</w:t>
      </w:r>
      <w:r>
        <w:rPr>
          <w:rFonts w:ascii="Georgia" w:hAnsi="Georgia" w:cs="Georgia"/>
          <w:sz w:val="20"/>
          <w:szCs w:val="20"/>
          <w:lang w:val="lt-LT"/>
        </w:rPr>
        <w:t>3</w:t>
      </w:r>
      <w:r w:rsidRPr="00D07F95">
        <w:rPr>
          <w:rFonts w:ascii="Georgia" w:hAnsi="Georgia" w:cs="Georgia"/>
          <w:sz w:val="20"/>
          <w:szCs w:val="20"/>
          <w:lang w:val="lt-LT"/>
        </w:rPr>
        <w:t xml:space="preserve">.2 skyriuje – </w:t>
      </w:r>
      <w:r>
        <w:rPr>
          <w:rFonts w:ascii="Georgia" w:hAnsi="Georgia" w:cs="Georgia"/>
          <w:sz w:val="20"/>
          <w:szCs w:val="20"/>
          <w:lang w:val="lt-LT"/>
        </w:rPr>
        <w:t>4 scenarijus) įgyvendinimui</w:t>
      </w:r>
      <w:r w:rsidRPr="00D07F95">
        <w:rPr>
          <w:rFonts w:ascii="Georgia" w:hAnsi="Georgia" w:cs="Georgia"/>
          <w:sz w:val="20"/>
          <w:szCs w:val="20"/>
          <w:lang w:val="lt-LT"/>
        </w:rPr>
        <w:t xml:space="preserve"> (sverto efekto rodiklis 2,</w:t>
      </w:r>
      <w:r w:rsidR="00714E80">
        <w:rPr>
          <w:rFonts w:ascii="Georgia" w:hAnsi="Georgia" w:cs="Georgia"/>
          <w:sz w:val="20"/>
          <w:szCs w:val="20"/>
          <w:lang w:val="lt-LT"/>
        </w:rPr>
        <w:t>59</w:t>
      </w:r>
      <w:r w:rsidRPr="00D07F95">
        <w:rPr>
          <w:rFonts w:ascii="Georgia" w:hAnsi="Georgia" w:cs="Georgia"/>
          <w:sz w:val="20"/>
          <w:szCs w:val="20"/>
          <w:lang w:val="lt-LT"/>
        </w:rPr>
        <w:t xml:space="preserve">). </w:t>
      </w:r>
      <w:r>
        <w:rPr>
          <w:rFonts w:ascii="Georgia" w:hAnsi="Georgia" w:cs="Georgia"/>
          <w:sz w:val="20"/>
          <w:szCs w:val="20"/>
          <w:lang w:val="lt-LT"/>
        </w:rPr>
        <w:t xml:space="preserve">Antras pagal dydį </w:t>
      </w:r>
      <w:r w:rsidRPr="00D07F95">
        <w:rPr>
          <w:rFonts w:ascii="Georgia" w:hAnsi="Georgia" w:cs="Georgia"/>
          <w:sz w:val="20"/>
          <w:szCs w:val="20"/>
          <w:lang w:val="lt-LT"/>
        </w:rPr>
        <w:t>sverto efekto rodikli</w:t>
      </w:r>
      <w:r>
        <w:rPr>
          <w:rFonts w:ascii="Georgia" w:hAnsi="Georgia" w:cs="Georgia"/>
          <w:sz w:val="20"/>
          <w:szCs w:val="20"/>
          <w:lang w:val="lt-LT"/>
        </w:rPr>
        <w:t>s pasiekiamas</w:t>
      </w:r>
      <w:r w:rsidRPr="00D07F95">
        <w:rPr>
          <w:rFonts w:ascii="Georgia" w:hAnsi="Georgia" w:cs="Georgia"/>
          <w:sz w:val="20"/>
          <w:szCs w:val="20"/>
          <w:lang w:val="lt-LT"/>
        </w:rPr>
        <w:t>, kai</w:t>
      </w:r>
      <w:r>
        <w:rPr>
          <w:rFonts w:ascii="Georgia" w:hAnsi="Georgia" w:cs="Georgia"/>
          <w:sz w:val="20"/>
          <w:szCs w:val="20"/>
          <w:lang w:val="lt-LT"/>
        </w:rPr>
        <w:t xml:space="preserve"> </w:t>
      </w:r>
      <w:r w:rsidR="00E8360C">
        <w:rPr>
          <w:rFonts w:ascii="Georgia" w:hAnsi="Georgia" w:cs="Georgia"/>
          <w:sz w:val="20"/>
          <w:szCs w:val="20"/>
          <w:lang w:val="lt-LT"/>
        </w:rPr>
        <w:t xml:space="preserve">turimo lėšos </w:t>
      </w:r>
      <w:r w:rsidR="00714E80">
        <w:rPr>
          <w:rFonts w:ascii="Georgia" w:hAnsi="Georgia" w:cs="Georgia"/>
          <w:sz w:val="20"/>
          <w:szCs w:val="20"/>
          <w:lang w:val="lt-LT"/>
        </w:rPr>
        <w:t>įnešamos į rizikos pasidalijimo fondą</w:t>
      </w:r>
      <w:r w:rsidRPr="00D07F95">
        <w:rPr>
          <w:rFonts w:ascii="Georgia" w:hAnsi="Georgia" w:cs="Georgia"/>
          <w:sz w:val="20"/>
          <w:szCs w:val="20"/>
          <w:lang w:val="lt-LT"/>
        </w:rPr>
        <w:t>.</w:t>
      </w:r>
      <w:r w:rsidR="00E8360C">
        <w:rPr>
          <w:rFonts w:ascii="Georgia" w:hAnsi="Georgia" w:cs="Georgia"/>
          <w:sz w:val="20"/>
          <w:szCs w:val="20"/>
          <w:lang w:val="lt-LT"/>
        </w:rPr>
        <w:t xml:space="preserve"> Pasirinkimas vertinant tik pagal sverto efektą nėra racionalus, todėl vertinamas tik kaip vienas iš kriterijų.</w:t>
      </w:r>
    </w:p>
    <w:p w14:paraId="2384A8C9" w14:textId="77777777" w:rsidR="00D954C8" w:rsidRDefault="00D954C8" w:rsidP="00FD5FAE">
      <w:pPr>
        <w:jc w:val="both"/>
        <w:rPr>
          <w:rFonts w:ascii="Georgia" w:hAnsi="Georgia"/>
          <w:sz w:val="20"/>
          <w:szCs w:val="20"/>
          <w:lang w:val="lt-LT"/>
        </w:rPr>
      </w:pPr>
    </w:p>
    <w:p w14:paraId="334BED61" w14:textId="77777777" w:rsidR="003F3389" w:rsidRPr="00C8226F" w:rsidRDefault="003F3389" w:rsidP="00FD5FAE">
      <w:pPr>
        <w:jc w:val="both"/>
        <w:rPr>
          <w:rFonts w:ascii="Georgia" w:hAnsi="Georgia"/>
          <w:sz w:val="20"/>
          <w:szCs w:val="20"/>
          <w:lang w:val="lt-LT"/>
        </w:rPr>
      </w:pPr>
    </w:p>
    <w:p w14:paraId="02DE6B39" w14:textId="77777777" w:rsidR="00FD5FAE" w:rsidRPr="00C8226F" w:rsidRDefault="00FD5FAE" w:rsidP="00FD5FAE">
      <w:pPr>
        <w:rPr>
          <w:rFonts w:ascii="Georgia" w:eastAsiaTheme="majorEastAsia" w:hAnsi="Georgia" w:cstheme="majorBidi"/>
          <w:b/>
          <w:bCs/>
          <w:color w:val="4F81BD" w:themeColor="accent1"/>
          <w:sz w:val="20"/>
          <w:szCs w:val="20"/>
          <w:lang w:val="lt-LT"/>
        </w:rPr>
      </w:pPr>
      <w:r w:rsidRPr="00C8226F">
        <w:rPr>
          <w:rFonts w:ascii="Georgia" w:hAnsi="Georgia"/>
          <w:sz w:val="20"/>
          <w:szCs w:val="20"/>
          <w:lang w:val="lt-LT"/>
        </w:rPr>
        <w:br w:type="page"/>
      </w:r>
    </w:p>
    <w:p w14:paraId="29C41A0A" w14:textId="77777777" w:rsidR="00FD5FAE" w:rsidRPr="00C8226F" w:rsidRDefault="00FD5FAE" w:rsidP="00FD5FAE">
      <w:pPr>
        <w:pStyle w:val="Antrat2"/>
        <w:numPr>
          <w:ilvl w:val="1"/>
          <w:numId w:val="2"/>
        </w:numPr>
        <w:spacing w:after="240"/>
        <w:rPr>
          <w:lang w:val="lt-LT"/>
        </w:rPr>
      </w:pPr>
      <w:bookmarkStart w:id="278" w:name="_Toc402352636"/>
      <w:bookmarkStart w:id="279" w:name="_Toc417378398"/>
      <w:r w:rsidRPr="00C8226F">
        <w:rPr>
          <w:lang w:val="lt-LT"/>
        </w:rPr>
        <w:lastRenderedPageBreak/>
        <w:t>Visų alternatyvų palyginimas</w:t>
      </w:r>
      <w:bookmarkEnd w:id="278"/>
      <w:bookmarkEnd w:id="279"/>
    </w:p>
    <w:p w14:paraId="6327AB2E" w14:textId="77777777" w:rsidR="00FD5FAE" w:rsidRPr="00C8226F" w:rsidRDefault="00FD5FAE" w:rsidP="00FD5FAE">
      <w:pPr>
        <w:pStyle w:val="Antrat2"/>
        <w:numPr>
          <w:ilvl w:val="2"/>
          <w:numId w:val="2"/>
        </w:numPr>
        <w:spacing w:after="240"/>
        <w:rPr>
          <w:lang w:val="lt-LT"/>
        </w:rPr>
      </w:pPr>
      <w:bookmarkStart w:id="280" w:name="_Toc402352637"/>
      <w:bookmarkStart w:id="281" w:name="_Toc417378399"/>
      <w:r w:rsidRPr="00C8226F">
        <w:rPr>
          <w:lang w:val="lt-LT"/>
        </w:rPr>
        <w:t>Daugiabučių renovacijos scenarijų palyginimas</w:t>
      </w:r>
      <w:bookmarkEnd w:id="280"/>
      <w:bookmarkEnd w:id="281"/>
    </w:p>
    <w:p w14:paraId="03DEE160" w14:textId="77777777" w:rsidR="00C812CA" w:rsidRPr="001869A7" w:rsidRDefault="00C812CA" w:rsidP="00C812CA">
      <w:pPr>
        <w:jc w:val="both"/>
        <w:rPr>
          <w:rFonts w:ascii="Georgia" w:hAnsi="Georgia"/>
          <w:sz w:val="20"/>
          <w:szCs w:val="20"/>
          <w:lang w:val="lt-LT"/>
        </w:rPr>
      </w:pPr>
      <w:bookmarkStart w:id="282" w:name="_Toc399924067"/>
      <w:bookmarkStart w:id="283" w:name="_Toc402352638"/>
      <w:r w:rsidRPr="001869A7">
        <w:rPr>
          <w:rFonts w:ascii="Georgia" w:hAnsi="Georgia"/>
          <w:sz w:val="20"/>
          <w:szCs w:val="20"/>
          <w:lang w:val="lt-LT"/>
        </w:rPr>
        <w:t>Lentelėje pateikiamas 4.1. dalyje apskaičiuotų daugiabučių scenarijų rezultatų palyginimas. Taip pat palyginimui nurodoma alternatyva, kai visos ES</w:t>
      </w:r>
      <w:r>
        <w:rPr>
          <w:rFonts w:ascii="Georgia" w:hAnsi="Georgia"/>
          <w:sz w:val="20"/>
          <w:szCs w:val="20"/>
          <w:lang w:val="lt-LT"/>
        </w:rPr>
        <w:t>I fondų</w:t>
      </w:r>
      <w:r w:rsidRPr="001869A7">
        <w:rPr>
          <w:rFonts w:ascii="Georgia" w:hAnsi="Georgia"/>
          <w:sz w:val="20"/>
          <w:szCs w:val="20"/>
          <w:lang w:val="lt-LT"/>
        </w:rPr>
        <w:t xml:space="preserve"> lėšos būtų skiriamos subsidijų forma.</w:t>
      </w:r>
    </w:p>
    <w:p w14:paraId="1878D54D" w14:textId="724A9224" w:rsidR="00C812CA" w:rsidRPr="001869A7" w:rsidRDefault="00C812CA" w:rsidP="00C812CA">
      <w:pPr>
        <w:pStyle w:val="Antrat"/>
        <w:rPr>
          <w:szCs w:val="20"/>
          <w:lang w:val="lt-LT"/>
        </w:rPr>
      </w:pPr>
      <w:bookmarkStart w:id="284" w:name="_Toc460321727"/>
      <w:r w:rsidRPr="001869A7">
        <w:rPr>
          <w:lang w:val="lt-LT"/>
        </w:rPr>
        <w:t xml:space="preserve">Lentelė </w:t>
      </w:r>
      <w:r w:rsidRPr="001869A7">
        <w:rPr>
          <w:lang w:val="lt-LT"/>
        </w:rPr>
        <w:fldChar w:fldCharType="begin"/>
      </w:r>
      <w:r w:rsidRPr="001869A7">
        <w:rPr>
          <w:lang w:val="lt-LT"/>
        </w:rPr>
        <w:instrText xml:space="preserve"> SEQ Lentelė \* ARABIC </w:instrText>
      </w:r>
      <w:r w:rsidRPr="001869A7">
        <w:rPr>
          <w:lang w:val="lt-LT"/>
        </w:rPr>
        <w:fldChar w:fldCharType="separate"/>
      </w:r>
      <w:r w:rsidR="00AA3082">
        <w:rPr>
          <w:noProof/>
          <w:lang w:val="lt-LT"/>
        </w:rPr>
        <w:t>146</w:t>
      </w:r>
      <w:r w:rsidRPr="001869A7">
        <w:rPr>
          <w:lang w:val="lt-LT"/>
        </w:rPr>
        <w:fldChar w:fldCharType="end"/>
      </w:r>
      <w:r w:rsidRPr="001869A7">
        <w:rPr>
          <w:lang w:val="lt-LT"/>
        </w:rPr>
        <w:t xml:space="preserve">. </w:t>
      </w:r>
      <w:r w:rsidRPr="001869A7">
        <w:rPr>
          <w:szCs w:val="20"/>
          <w:lang w:val="lt-LT"/>
        </w:rPr>
        <w:t>Skirtingų scenarijų palyginimas</w:t>
      </w:r>
      <w:bookmarkEnd w:id="284"/>
    </w:p>
    <w:tbl>
      <w:tblPr>
        <w:tblStyle w:val="viesussraas2parykinimas"/>
        <w:tblW w:w="5000" w:type="pct"/>
        <w:tblLook w:val="04A0" w:firstRow="1" w:lastRow="0" w:firstColumn="1" w:lastColumn="0" w:noHBand="0" w:noVBand="1"/>
      </w:tblPr>
      <w:tblGrid>
        <w:gridCol w:w="1632"/>
        <w:gridCol w:w="830"/>
        <w:gridCol w:w="832"/>
        <w:gridCol w:w="832"/>
        <w:gridCol w:w="832"/>
        <w:gridCol w:w="832"/>
        <w:gridCol w:w="835"/>
        <w:gridCol w:w="835"/>
        <w:gridCol w:w="835"/>
        <w:gridCol w:w="947"/>
      </w:tblGrid>
      <w:tr w:rsidR="00C812CA" w:rsidRPr="001869A7" w14:paraId="096CD8A0" w14:textId="77777777" w:rsidTr="00105B94">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828" w:type="pct"/>
            <w:tcBorders>
              <w:top w:val="single" w:sz="8" w:space="0" w:color="C0504D" w:themeColor="accent2"/>
              <w:left w:val="single" w:sz="8" w:space="0" w:color="C0504D" w:themeColor="accent2"/>
              <w:bottom w:val="nil"/>
              <w:right w:val="nil"/>
            </w:tcBorders>
          </w:tcPr>
          <w:p w14:paraId="6E9BB201" w14:textId="77777777" w:rsidR="00C812CA" w:rsidRPr="001869A7" w:rsidRDefault="00C812CA" w:rsidP="00105B94">
            <w:pPr>
              <w:ind w:right="-109"/>
              <w:rPr>
                <w:rFonts w:ascii="Georgia" w:hAnsi="Georgia"/>
                <w:b w:val="0"/>
                <w:sz w:val="20"/>
                <w:szCs w:val="20"/>
              </w:rPr>
            </w:pPr>
          </w:p>
        </w:tc>
        <w:tc>
          <w:tcPr>
            <w:tcW w:w="460" w:type="pct"/>
            <w:tcBorders>
              <w:top w:val="single" w:sz="8" w:space="0" w:color="C0504D" w:themeColor="accent2"/>
              <w:left w:val="nil"/>
              <w:bottom w:val="nil"/>
              <w:right w:val="nil"/>
            </w:tcBorders>
            <w:hideMark/>
          </w:tcPr>
          <w:p w14:paraId="6608B1B1" w14:textId="77777777" w:rsidR="00C812CA" w:rsidRPr="001869A7" w:rsidRDefault="00C812CA" w:rsidP="00105B94">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1869A7">
              <w:rPr>
                <w:rFonts w:ascii="Georgia" w:hAnsi="Georgia"/>
                <w:sz w:val="18"/>
                <w:szCs w:val="18"/>
              </w:rPr>
              <w:t>Nr. 1</w:t>
            </w:r>
          </w:p>
        </w:tc>
        <w:tc>
          <w:tcPr>
            <w:tcW w:w="461" w:type="pct"/>
            <w:tcBorders>
              <w:top w:val="single" w:sz="8" w:space="0" w:color="C0504D" w:themeColor="accent2"/>
              <w:left w:val="nil"/>
              <w:bottom w:val="nil"/>
              <w:right w:val="nil"/>
            </w:tcBorders>
            <w:hideMark/>
          </w:tcPr>
          <w:p w14:paraId="7695D1B4" w14:textId="77777777" w:rsidR="00C812CA" w:rsidRPr="001869A7" w:rsidRDefault="00C812CA" w:rsidP="00105B94">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1869A7">
              <w:rPr>
                <w:rFonts w:ascii="Georgia" w:hAnsi="Georgia"/>
                <w:sz w:val="18"/>
                <w:szCs w:val="18"/>
              </w:rPr>
              <w:t>Nr. 2</w:t>
            </w:r>
          </w:p>
        </w:tc>
        <w:tc>
          <w:tcPr>
            <w:tcW w:w="461" w:type="pct"/>
            <w:tcBorders>
              <w:top w:val="single" w:sz="8" w:space="0" w:color="C0504D" w:themeColor="accent2"/>
              <w:left w:val="nil"/>
              <w:bottom w:val="nil"/>
              <w:right w:val="nil"/>
            </w:tcBorders>
            <w:hideMark/>
          </w:tcPr>
          <w:p w14:paraId="6C9AD0A3" w14:textId="77777777" w:rsidR="00C812CA" w:rsidRPr="001869A7" w:rsidRDefault="00C812CA" w:rsidP="00105B94">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1869A7">
              <w:rPr>
                <w:rFonts w:ascii="Georgia" w:hAnsi="Georgia"/>
                <w:sz w:val="18"/>
                <w:szCs w:val="18"/>
              </w:rPr>
              <w:t>Nr. 3</w:t>
            </w:r>
          </w:p>
        </w:tc>
        <w:tc>
          <w:tcPr>
            <w:tcW w:w="461" w:type="pct"/>
            <w:tcBorders>
              <w:top w:val="single" w:sz="8" w:space="0" w:color="C0504D" w:themeColor="accent2"/>
              <w:left w:val="nil"/>
              <w:bottom w:val="nil"/>
              <w:right w:val="nil"/>
            </w:tcBorders>
            <w:hideMark/>
          </w:tcPr>
          <w:p w14:paraId="0A42ECF0" w14:textId="77777777" w:rsidR="00C812CA" w:rsidRPr="001869A7" w:rsidRDefault="00C812CA" w:rsidP="00105B94">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1869A7">
              <w:rPr>
                <w:rFonts w:ascii="Georgia" w:hAnsi="Georgia"/>
                <w:sz w:val="18"/>
                <w:szCs w:val="18"/>
              </w:rPr>
              <w:t>Nr. 4</w:t>
            </w:r>
          </w:p>
        </w:tc>
        <w:tc>
          <w:tcPr>
            <w:tcW w:w="461" w:type="pct"/>
            <w:tcBorders>
              <w:top w:val="single" w:sz="8" w:space="0" w:color="C0504D" w:themeColor="accent2"/>
              <w:left w:val="nil"/>
              <w:bottom w:val="nil"/>
              <w:right w:val="nil"/>
            </w:tcBorders>
            <w:hideMark/>
          </w:tcPr>
          <w:p w14:paraId="44886012" w14:textId="77777777" w:rsidR="00C812CA" w:rsidRPr="001869A7" w:rsidRDefault="00C812CA" w:rsidP="00105B94">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1869A7">
              <w:rPr>
                <w:rFonts w:ascii="Georgia" w:hAnsi="Georgia"/>
                <w:sz w:val="18"/>
                <w:szCs w:val="18"/>
              </w:rPr>
              <w:t>Nr. 5</w:t>
            </w:r>
          </w:p>
        </w:tc>
        <w:tc>
          <w:tcPr>
            <w:tcW w:w="462" w:type="pct"/>
            <w:tcBorders>
              <w:top w:val="single" w:sz="8" w:space="0" w:color="C0504D" w:themeColor="accent2"/>
              <w:left w:val="nil"/>
              <w:bottom w:val="nil"/>
              <w:right w:val="nil"/>
            </w:tcBorders>
            <w:hideMark/>
          </w:tcPr>
          <w:p w14:paraId="3EDA64D0" w14:textId="77777777" w:rsidR="00C812CA" w:rsidRPr="001869A7" w:rsidRDefault="00C812CA" w:rsidP="00105B94">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1869A7">
              <w:rPr>
                <w:rFonts w:ascii="Georgia" w:hAnsi="Georgia"/>
                <w:sz w:val="18"/>
                <w:szCs w:val="18"/>
              </w:rPr>
              <w:t>Nr. 6</w:t>
            </w:r>
          </w:p>
        </w:tc>
        <w:tc>
          <w:tcPr>
            <w:tcW w:w="462" w:type="pct"/>
            <w:tcBorders>
              <w:top w:val="single" w:sz="8" w:space="0" w:color="C0504D" w:themeColor="accent2"/>
              <w:left w:val="nil"/>
              <w:bottom w:val="nil"/>
              <w:right w:val="nil"/>
            </w:tcBorders>
            <w:hideMark/>
          </w:tcPr>
          <w:p w14:paraId="5B5A43F8" w14:textId="77777777" w:rsidR="00C812CA" w:rsidRPr="001869A7" w:rsidRDefault="00C812CA" w:rsidP="00105B94">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1869A7">
              <w:rPr>
                <w:rFonts w:ascii="Georgia" w:hAnsi="Georgia"/>
                <w:sz w:val="18"/>
                <w:szCs w:val="18"/>
              </w:rPr>
              <w:t>Nr.7</w:t>
            </w:r>
          </w:p>
        </w:tc>
        <w:tc>
          <w:tcPr>
            <w:tcW w:w="462" w:type="pct"/>
            <w:tcBorders>
              <w:top w:val="single" w:sz="8" w:space="0" w:color="C0504D" w:themeColor="accent2"/>
              <w:left w:val="nil"/>
              <w:bottom w:val="nil"/>
              <w:right w:val="nil"/>
            </w:tcBorders>
          </w:tcPr>
          <w:p w14:paraId="30EE7B14" w14:textId="77777777" w:rsidR="00C812CA" w:rsidRPr="001869A7" w:rsidRDefault="00C812CA" w:rsidP="00105B94">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1869A7">
              <w:rPr>
                <w:rFonts w:ascii="Georgia" w:hAnsi="Georgia"/>
                <w:sz w:val="20"/>
                <w:szCs w:val="20"/>
              </w:rPr>
              <w:t>Nr.8</w:t>
            </w:r>
          </w:p>
        </w:tc>
        <w:tc>
          <w:tcPr>
            <w:tcW w:w="481" w:type="pct"/>
            <w:tcBorders>
              <w:top w:val="single" w:sz="8" w:space="0" w:color="C0504D" w:themeColor="accent2"/>
              <w:left w:val="nil"/>
              <w:bottom w:val="nil"/>
              <w:right w:val="single" w:sz="8" w:space="0" w:color="C0504D" w:themeColor="accent2"/>
            </w:tcBorders>
            <w:hideMark/>
          </w:tcPr>
          <w:p w14:paraId="47F47D04" w14:textId="77777777" w:rsidR="00C812CA" w:rsidRPr="001869A7" w:rsidRDefault="00C812CA" w:rsidP="00105B94">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b w:val="0"/>
                <w:sz w:val="20"/>
                <w:szCs w:val="20"/>
              </w:rPr>
            </w:pPr>
            <w:r w:rsidRPr="001869A7">
              <w:rPr>
                <w:rFonts w:ascii="Georgia" w:hAnsi="Georgia"/>
                <w:sz w:val="20"/>
                <w:szCs w:val="20"/>
              </w:rPr>
              <w:t>Subsidija</w:t>
            </w:r>
          </w:p>
        </w:tc>
      </w:tr>
      <w:tr w:rsidR="00C812CA" w:rsidRPr="001869A7" w14:paraId="6DFB3304" w14:textId="77777777" w:rsidTr="00105B94">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828" w:type="pct"/>
            <w:tcBorders>
              <w:right w:val="nil"/>
            </w:tcBorders>
            <w:hideMark/>
          </w:tcPr>
          <w:p w14:paraId="2FBF2142" w14:textId="77777777" w:rsidR="00C812CA" w:rsidRPr="001869A7" w:rsidRDefault="00C812CA" w:rsidP="00105B94">
            <w:pPr>
              <w:ind w:right="-109"/>
              <w:rPr>
                <w:rFonts w:ascii="Georgia" w:hAnsi="Georgia"/>
                <w:b w:val="0"/>
                <w:sz w:val="18"/>
                <w:szCs w:val="18"/>
              </w:rPr>
            </w:pPr>
            <w:r w:rsidRPr="001869A7">
              <w:rPr>
                <w:rFonts w:ascii="Georgia" w:hAnsi="Georgia"/>
                <w:sz w:val="18"/>
                <w:szCs w:val="18"/>
              </w:rPr>
              <w:t>Turimos lėšos (mln. eurų)</w:t>
            </w:r>
          </w:p>
        </w:tc>
        <w:tc>
          <w:tcPr>
            <w:tcW w:w="460" w:type="pct"/>
            <w:tcBorders>
              <w:left w:val="nil"/>
              <w:right w:val="nil"/>
            </w:tcBorders>
            <w:hideMark/>
          </w:tcPr>
          <w:p w14:paraId="526B9E1E" w14:textId="77777777"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sz w:val="16"/>
                <w:szCs w:val="16"/>
              </w:rPr>
              <w:t>280,9</w:t>
            </w:r>
          </w:p>
        </w:tc>
        <w:tc>
          <w:tcPr>
            <w:tcW w:w="461" w:type="pct"/>
            <w:tcBorders>
              <w:left w:val="nil"/>
              <w:right w:val="nil"/>
            </w:tcBorders>
            <w:hideMark/>
          </w:tcPr>
          <w:p w14:paraId="059DC722" w14:textId="77777777"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sz w:val="16"/>
                <w:szCs w:val="16"/>
              </w:rPr>
              <w:t>280,9</w:t>
            </w:r>
          </w:p>
        </w:tc>
        <w:tc>
          <w:tcPr>
            <w:tcW w:w="461" w:type="pct"/>
            <w:tcBorders>
              <w:left w:val="nil"/>
              <w:right w:val="nil"/>
            </w:tcBorders>
            <w:hideMark/>
          </w:tcPr>
          <w:p w14:paraId="10ED1BDA" w14:textId="77777777"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sz w:val="16"/>
                <w:szCs w:val="16"/>
              </w:rPr>
              <w:t>280,9</w:t>
            </w:r>
          </w:p>
        </w:tc>
        <w:tc>
          <w:tcPr>
            <w:tcW w:w="461" w:type="pct"/>
            <w:tcBorders>
              <w:left w:val="nil"/>
              <w:right w:val="nil"/>
            </w:tcBorders>
            <w:hideMark/>
          </w:tcPr>
          <w:p w14:paraId="73522C05" w14:textId="77777777"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sz w:val="16"/>
                <w:szCs w:val="16"/>
              </w:rPr>
              <w:t>280,9</w:t>
            </w:r>
          </w:p>
        </w:tc>
        <w:tc>
          <w:tcPr>
            <w:tcW w:w="461" w:type="pct"/>
            <w:tcBorders>
              <w:left w:val="nil"/>
              <w:right w:val="nil"/>
            </w:tcBorders>
            <w:hideMark/>
          </w:tcPr>
          <w:p w14:paraId="326FB401" w14:textId="77777777"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sz w:val="16"/>
                <w:szCs w:val="16"/>
              </w:rPr>
              <w:t>280,9</w:t>
            </w:r>
          </w:p>
        </w:tc>
        <w:tc>
          <w:tcPr>
            <w:tcW w:w="462" w:type="pct"/>
            <w:tcBorders>
              <w:left w:val="nil"/>
              <w:right w:val="nil"/>
            </w:tcBorders>
            <w:hideMark/>
          </w:tcPr>
          <w:p w14:paraId="02594B55" w14:textId="77777777"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sz w:val="16"/>
                <w:szCs w:val="16"/>
              </w:rPr>
              <w:t>280,9</w:t>
            </w:r>
          </w:p>
        </w:tc>
        <w:tc>
          <w:tcPr>
            <w:tcW w:w="462" w:type="pct"/>
            <w:tcBorders>
              <w:left w:val="nil"/>
              <w:right w:val="nil"/>
            </w:tcBorders>
            <w:hideMark/>
          </w:tcPr>
          <w:p w14:paraId="36AB9B80" w14:textId="77777777"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sz w:val="16"/>
                <w:szCs w:val="16"/>
              </w:rPr>
              <w:t>280,9</w:t>
            </w:r>
          </w:p>
        </w:tc>
        <w:tc>
          <w:tcPr>
            <w:tcW w:w="462" w:type="pct"/>
            <w:tcBorders>
              <w:left w:val="nil"/>
              <w:right w:val="nil"/>
            </w:tcBorders>
          </w:tcPr>
          <w:p w14:paraId="70794A00" w14:textId="77777777" w:rsidR="00C812CA" w:rsidRPr="0017088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70887">
              <w:rPr>
                <w:rFonts w:ascii="Georgia" w:hAnsi="Georgia"/>
                <w:sz w:val="16"/>
                <w:szCs w:val="16"/>
              </w:rPr>
              <w:t>280,9</w:t>
            </w:r>
          </w:p>
        </w:tc>
        <w:tc>
          <w:tcPr>
            <w:tcW w:w="481" w:type="pct"/>
            <w:tcBorders>
              <w:left w:val="nil"/>
            </w:tcBorders>
            <w:hideMark/>
          </w:tcPr>
          <w:p w14:paraId="7818E44C" w14:textId="77777777"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sz w:val="16"/>
                <w:szCs w:val="16"/>
              </w:rPr>
              <w:t>280,9</w:t>
            </w:r>
          </w:p>
        </w:tc>
      </w:tr>
      <w:tr w:rsidR="00C812CA" w:rsidRPr="001869A7" w14:paraId="28C3A241" w14:textId="77777777" w:rsidTr="00105B94">
        <w:trPr>
          <w:trHeight w:val="608"/>
        </w:trPr>
        <w:tc>
          <w:tcPr>
            <w:cnfStyle w:val="001000000000" w:firstRow="0" w:lastRow="0" w:firstColumn="1" w:lastColumn="0" w:oddVBand="0" w:evenVBand="0" w:oddHBand="0" w:evenHBand="0" w:firstRowFirstColumn="0" w:firstRowLastColumn="0" w:lastRowFirstColumn="0" w:lastRowLastColumn="0"/>
            <w:tcW w:w="828" w:type="pct"/>
            <w:tcBorders>
              <w:top w:val="nil"/>
              <w:left w:val="single" w:sz="8" w:space="0" w:color="C0504D" w:themeColor="accent2"/>
              <w:bottom w:val="nil"/>
              <w:right w:val="nil"/>
            </w:tcBorders>
            <w:hideMark/>
          </w:tcPr>
          <w:p w14:paraId="58E10096" w14:textId="77777777" w:rsidR="00C812CA" w:rsidRPr="001869A7" w:rsidRDefault="00C812CA" w:rsidP="00105B94">
            <w:pPr>
              <w:ind w:right="-109"/>
              <w:rPr>
                <w:rFonts w:ascii="Georgia" w:hAnsi="Georgia"/>
                <w:b w:val="0"/>
                <w:sz w:val="18"/>
                <w:szCs w:val="18"/>
              </w:rPr>
            </w:pPr>
            <w:r w:rsidRPr="001869A7">
              <w:rPr>
                <w:rFonts w:ascii="Georgia" w:hAnsi="Georgia"/>
                <w:sz w:val="18"/>
                <w:szCs w:val="18"/>
              </w:rPr>
              <w:t>Finansinė priemonė</w:t>
            </w:r>
          </w:p>
        </w:tc>
        <w:tc>
          <w:tcPr>
            <w:tcW w:w="460" w:type="pct"/>
            <w:tcBorders>
              <w:top w:val="nil"/>
              <w:left w:val="nil"/>
              <w:bottom w:val="nil"/>
              <w:right w:val="nil"/>
            </w:tcBorders>
            <w:hideMark/>
          </w:tcPr>
          <w:p w14:paraId="4AE05621" w14:textId="77777777"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sz w:val="16"/>
                <w:szCs w:val="16"/>
              </w:rPr>
              <w:t xml:space="preserve">Lengvatinė paskola </w:t>
            </w:r>
          </w:p>
          <w:p w14:paraId="1B550F73" w14:textId="77777777"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sz w:val="16"/>
                <w:szCs w:val="16"/>
              </w:rPr>
              <w:t>(3 proc. palūkanų)</w:t>
            </w:r>
          </w:p>
        </w:tc>
        <w:tc>
          <w:tcPr>
            <w:tcW w:w="461" w:type="pct"/>
            <w:tcBorders>
              <w:top w:val="nil"/>
              <w:left w:val="nil"/>
              <w:bottom w:val="nil"/>
              <w:right w:val="nil"/>
            </w:tcBorders>
            <w:hideMark/>
          </w:tcPr>
          <w:p w14:paraId="293E71FD" w14:textId="77777777"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sz w:val="16"/>
                <w:szCs w:val="16"/>
              </w:rPr>
              <w:t xml:space="preserve">Lengvatinė paskola </w:t>
            </w:r>
          </w:p>
          <w:p w14:paraId="5BA7CE20" w14:textId="77777777"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sz w:val="16"/>
                <w:szCs w:val="16"/>
              </w:rPr>
              <w:t>(1 proc. palūkanų)</w:t>
            </w:r>
          </w:p>
        </w:tc>
        <w:tc>
          <w:tcPr>
            <w:tcW w:w="461" w:type="pct"/>
            <w:tcBorders>
              <w:top w:val="nil"/>
              <w:left w:val="nil"/>
              <w:bottom w:val="nil"/>
              <w:right w:val="nil"/>
            </w:tcBorders>
            <w:hideMark/>
          </w:tcPr>
          <w:p w14:paraId="4F9B8BF3" w14:textId="77777777"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sz w:val="16"/>
                <w:szCs w:val="16"/>
              </w:rPr>
              <w:t>Lengvatinė paskola + garantijos bankams</w:t>
            </w:r>
          </w:p>
        </w:tc>
        <w:tc>
          <w:tcPr>
            <w:tcW w:w="461" w:type="pct"/>
            <w:tcBorders>
              <w:top w:val="nil"/>
              <w:left w:val="nil"/>
              <w:bottom w:val="nil"/>
              <w:right w:val="nil"/>
            </w:tcBorders>
            <w:hideMark/>
          </w:tcPr>
          <w:p w14:paraId="1D54B974" w14:textId="77777777"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sz w:val="16"/>
                <w:szCs w:val="16"/>
              </w:rPr>
              <w:t>Garantijos bankams</w:t>
            </w:r>
          </w:p>
        </w:tc>
        <w:tc>
          <w:tcPr>
            <w:tcW w:w="461" w:type="pct"/>
            <w:tcBorders>
              <w:top w:val="nil"/>
              <w:left w:val="nil"/>
              <w:bottom w:val="nil"/>
              <w:right w:val="nil"/>
            </w:tcBorders>
            <w:hideMark/>
          </w:tcPr>
          <w:p w14:paraId="565B5841" w14:textId="77777777" w:rsidR="00C812CA" w:rsidRPr="001869A7" w:rsidRDefault="00C812CA" w:rsidP="00105B94">
            <w:pPr>
              <w:ind w:left="-108" w:right="-121"/>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sz w:val="16"/>
                <w:szCs w:val="16"/>
              </w:rPr>
              <w:t>Investicinis fondas (pirmo praradimo kapitalo) + lengvatinė paskola</w:t>
            </w:r>
          </w:p>
        </w:tc>
        <w:tc>
          <w:tcPr>
            <w:tcW w:w="462" w:type="pct"/>
            <w:tcBorders>
              <w:top w:val="nil"/>
              <w:left w:val="nil"/>
              <w:bottom w:val="nil"/>
              <w:right w:val="nil"/>
            </w:tcBorders>
            <w:hideMark/>
          </w:tcPr>
          <w:p w14:paraId="09558989" w14:textId="77777777"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sz w:val="16"/>
                <w:szCs w:val="16"/>
              </w:rPr>
              <w:t>Lengvatinė paskola + garantijos bankams + Investicinis fondas</w:t>
            </w:r>
          </w:p>
        </w:tc>
        <w:tc>
          <w:tcPr>
            <w:tcW w:w="462" w:type="pct"/>
            <w:tcBorders>
              <w:top w:val="nil"/>
              <w:left w:val="nil"/>
              <w:bottom w:val="nil"/>
              <w:right w:val="nil"/>
            </w:tcBorders>
            <w:hideMark/>
          </w:tcPr>
          <w:p w14:paraId="318A1108" w14:textId="77777777"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sz w:val="16"/>
                <w:szCs w:val="16"/>
              </w:rPr>
              <w:t>Lengvatinė paskola + Investicinis fondas</w:t>
            </w:r>
          </w:p>
        </w:tc>
        <w:tc>
          <w:tcPr>
            <w:tcW w:w="462" w:type="pct"/>
            <w:tcBorders>
              <w:top w:val="nil"/>
              <w:left w:val="nil"/>
              <w:bottom w:val="nil"/>
              <w:right w:val="nil"/>
            </w:tcBorders>
          </w:tcPr>
          <w:p w14:paraId="18BC2598" w14:textId="77777777" w:rsidR="00C812CA" w:rsidRPr="0017088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70887">
              <w:rPr>
                <w:rFonts w:ascii="Georgia" w:hAnsi="Georgia"/>
                <w:sz w:val="16"/>
                <w:szCs w:val="16"/>
              </w:rPr>
              <w:t>Investicinis fondas (pirmo praradimo kapitalo) + lengvatinė paskola + subsidija iš ESI fondų lėšų</w:t>
            </w:r>
          </w:p>
        </w:tc>
        <w:tc>
          <w:tcPr>
            <w:tcW w:w="481" w:type="pct"/>
            <w:tcBorders>
              <w:top w:val="nil"/>
              <w:left w:val="nil"/>
              <w:bottom w:val="nil"/>
              <w:right w:val="single" w:sz="8" w:space="0" w:color="C0504D" w:themeColor="accent2"/>
            </w:tcBorders>
            <w:hideMark/>
          </w:tcPr>
          <w:p w14:paraId="04FAE8DA" w14:textId="77777777"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sz w:val="16"/>
                <w:szCs w:val="16"/>
              </w:rPr>
              <w:t>100 proc. Subsidija</w:t>
            </w:r>
          </w:p>
        </w:tc>
      </w:tr>
      <w:tr w:rsidR="00C812CA" w:rsidRPr="001869A7" w14:paraId="67438C4A" w14:textId="77777777" w:rsidTr="00105B94">
        <w:trPr>
          <w:cnfStyle w:val="000000100000" w:firstRow="0" w:lastRow="0" w:firstColumn="0" w:lastColumn="0" w:oddVBand="0" w:evenVBand="0" w:oddHBand="1"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828" w:type="pct"/>
            <w:tcBorders>
              <w:right w:val="nil"/>
            </w:tcBorders>
            <w:hideMark/>
          </w:tcPr>
          <w:p w14:paraId="74344DC9" w14:textId="77777777" w:rsidR="00C812CA" w:rsidRPr="001869A7" w:rsidRDefault="00C812CA" w:rsidP="00105B94">
            <w:pPr>
              <w:ind w:right="-109"/>
              <w:rPr>
                <w:rFonts w:ascii="Georgia" w:hAnsi="Georgia"/>
                <w:b w:val="0"/>
                <w:sz w:val="18"/>
                <w:szCs w:val="18"/>
              </w:rPr>
            </w:pPr>
            <w:r w:rsidRPr="001869A7">
              <w:rPr>
                <w:rFonts w:ascii="Georgia" w:hAnsi="Georgia"/>
                <w:sz w:val="18"/>
                <w:szCs w:val="18"/>
              </w:rPr>
              <w:t>Galutinius naudos gavėjus pasiekusios lėšos (mln. eurų)</w:t>
            </w:r>
          </w:p>
        </w:tc>
        <w:tc>
          <w:tcPr>
            <w:tcW w:w="460" w:type="pct"/>
            <w:tcBorders>
              <w:left w:val="nil"/>
              <w:right w:val="nil"/>
            </w:tcBorders>
            <w:vAlign w:val="center"/>
            <w:hideMark/>
          </w:tcPr>
          <w:p w14:paraId="1598FE60" w14:textId="77777777"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417,7</w:t>
            </w:r>
          </w:p>
        </w:tc>
        <w:tc>
          <w:tcPr>
            <w:tcW w:w="461" w:type="pct"/>
            <w:tcBorders>
              <w:left w:val="nil"/>
              <w:right w:val="nil"/>
            </w:tcBorders>
            <w:vAlign w:val="center"/>
            <w:hideMark/>
          </w:tcPr>
          <w:p w14:paraId="29636126" w14:textId="77777777"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411,4</w:t>
            </w:r>
          </w:p>
        </w:tc>
        <w:tc>
          <w:tcPr>
            <w:tcW w:w="461" w:type="pct"/>
            <w:tcBorders>
              <w:left w:val="nil"/>
              <w:right w:val="nil"/>
            </w:tcBorders>
            <w:vAlign w:val="center"/>
            <w:hideMark/>
          </w:tcPr>
          <w:p w14:paraId="6492B217" w14:textId="77777777"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493,9</w:t>
            </w:r>
          </w:p>
        </w:tc>
        <w:tc>
          <w:tcPr>
            <w:tcW w:w="461" w:type="pct"/>
            <w:tcBorders>
              <w:left w:val="nil"/>
              <w:right w:val="nil"/>
            </w:tcBorders>
            <w:vAlign w:val="center"/>
            <w:hideMark/>
          </w:tcPr>
          <w:p w14:paraId="6AC6FA8A" w14:textId="77777777"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629,1</w:t>
            </w:r>
          </w:p>
        </w:tc>
        <w:tc>
          <w:tcPr>
            <w:tcW w:w="461" w:type="pct"/>
            <w:tcBorders>
              <w:left w:val="nil"/>
              <w:right w:val="nil"/>
            </w:tcBorders>
            <w:vAlign w:val="center"/>
            <w:hideMark/>
          </w:tcPr>
          <w:p w14:paraId="6E866655" w14:textId="77777777"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832,0</w:t>
            </w:r>
          </w:p>
        </w:tc>
        <w:tc>
          <w:tcPr>
            <w:tcW w:w="462" w:type="pct"/>
            <w:tcBorders>
              <w:left w:val="nil"/>
              <w:right w:val="nil"/>
            </w:tcBorders>
            <w:vAlign w:val="center"/>
            <w:hideMark/>
          </w:tcPr>
          <w:p w14:paraId="3510C1CB" w14:textId="77777777"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664,1</w:t>
            </w:r>
          </w:p>
        </w:tc>
        <w:tc>
          <w:tcPr>
            <w:tcW w:w="462" w:type="pct"/>
            <w:tcBorders>
              <w:left w:val="nil"/>
              <w:right w:val="nil"/>
            </w:tcBorders>
            <w:vAlign w:val="center"/>
            <w:hideMark/>
          </w:tcPr>
          <w:p w14:paraId="5EE74669" w14:textId="77777777"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574,1</w:t>
            </w:r>
          </w:p>
        </w:tc>
        <w:tc>
          <w:tcPr>
            <w:tcW w:w="462" w:type="pct"/>
            <w:tcBorders>
              <w:left w:val="nil"/>
              <w:right w:val="nil"/>
            </w:tcBorders>
            <w:vAlign w:val="center"/>
          </w:tcPr>
          <w:p w14:paraId="698516CA" w14:textId="77777777" w:rsidR="00C812CA" w:rsidRPr="0017088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70887">
              <w:rPr>
                <w:rFonts w:ascii="Georgia" w:hAnsi="Georgia"/>
                <w:sz w:val="16"/>
                <w:szCs w:val="16"/>
              </w:rPr>
              <w:t>671,5</w:t>
            </w:r>
          </w:p>
        </w:tc>
        <w:tc>
          <w:tcPr>
            <w:tcW w:w="481" w:type="pct"/>
            <w:tcBorders>
              <w:left w:val="nil"/>
            </w:tcBorders>
            <w:vAlign w:val="center"/>
            <w:hideMark/>
          </w:tcPr>
          <w:p w14:paraId="31C82BC2" w14:textId="77777777"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sz w:val="16"/>
                <w:szCs w:val="16"/>
              </w:rPr>
              <w:t>280,9</w:t>
            </w:r>
          </w:p>
        </w:tc>
      </w:tr>
      <w:tr w:rsidR="00C812CA" w:rsidRPr="001869A7" w14:paraId="0B0E3936" w14:textId="77777777" w:rsidTr="00105B94">
        <w:trPr>
          <w:trHeight w:val="757"/>
        </w:trPr>
        <w:tc>
          <w:tcPr>
            <w:cnfStyle w:val="001000000000" w:firstRow="0" w:lastRow="0" w:firstColumn="1" w:lastColumn="0" w:oddVBand="0" w:evenVBand="0" w:oddHBand="0" w:evenHBand="0" w:firstRowFirstColumn="0" w:firstRowLastColumn="0" w:lastRowFirstColumn="0" w:lastRowLastColumn="0"/>
            <w:tcW w:w="828" w:type="pct"/>
            <w:tcBorders>
              <w:top w:val="nil"/>
              <w:left w:val="single" w:sz="8" w:space="0" w:color="C0504D" w:themeColor="accent2"/>
              <w:bottom w:val="nil"/>
              <w:right w:val="nil"/>
            </w:tcBorders>
            <w:hideMark/>
          </w:tcPr>
          <w:p w14:paraId="2569D26B" w14:textId="77777777" w:rsidR="00C812CA" w:rsidRPr="001869A7" w:rsidRDefault="00C812CA" w:rsidP="00105B94">
            <w:pPr>
              <w:ind w:right="-109"/>
              <w:rPr>
                <w:rFonts w:ascii="Georgia" w:hAnsi="Georgia"/>
                <w:b w:val="0"/>
                <w:sz w:val="18"/>
                <w:szCs w:val="18"/>
              </w:rPr>
            </w:pPr>
            <w:r w:rsidRPr="001869A7">
              <w:rPr>
                <w:rFonts w:ascii="Georgia" w:hAnsi="Georgia"/>
                <w:sz w:val="18"/>
                <w:szCs w:val="18"/>
              </w:rPr>
              <w:t>Renovuotų pastatų skaičius iki 2022 metų (vnt.)</w:t>
            </w:r>
          </w:p>
        </w:tc>
        <w:tc>
          <w:tcPr>
            <w:tcW w:w="460" w:type="pct"/>
            <w:tcBorders>
              <w:top w:val="nil"/>
              <w:left w:val="nil"/>
              <w:bottom w:val="nil"/>
              <w:right w:val="nil"/>
            </w:tcBorders>
            <w:vAlign w:val="center"/>
            <w:hideMark/>
          </w:tcPr>
          <w:p w14:paraId="67BA1D0C" w14:textId="77777777"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2246</w:t>
            </w:r>
          </w:p>
        </w:tc>
        <w:tc>
          <w:tcPr>
            <w:tcW w:w="461" w:type="pct"/>
            <w:tcBorders>
              <w:top w:val="nil"/>
              <w:left w:val="nil"/>
              <w:bottom w:val="nil"/>
              <w:right w:val="nil"/>
            </w:tcBorders>
            <w:vAlign w:val="center"/>
            <w:hideMark/>
          </w:tcPr>
          <w:p w14:paraId="69F94ED1" w14:textId="77777777"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2212</w:t>
            </w:r>
          </w:p>
        </w:tc>
        <w:tc>
          <w:tcPr>
            <w:tcW w:w="461" w:type="pct"/>
            <w:tcBorders>
              <w:top w:val="nil"/>
              <w:left w:val="nil"/>
              <w:bottom w:val="nil"/>
              <w:right w:val="nil"/>
            </w:tcBorders>
            <w:vAlign w:val="center"/>
            <w:hideMark/>
          </w:tcPr>
          <w:p w14:paraId="1C5192A0" w14:textId="77777777"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sz w:val="16"/>
                <w:szCs w:val="16"/>
              </w:rPr>
              <w:t>2655</w:t>
            </w:r>
          </w:p>
        </w:tc>
        <w:tc>
          <w:tcPr>
            <w:tcW w:w="461" w:type="pct"/>
            <w:tcBorders>
              <w:top w:val="nil"/>
              <w:left w:val="nil"/>
              <w:bottom w:val="nil"/>
              <w:right w:val="nil"/>
            </w:tcBorders>
            <w:vAlign w:val="center"/>
            <w:hideMark/>
          </w:tcPr>
          <w:p w14:paraId="0072D0C8" w14:textId="77777777"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3382</w:t>
            </w:r>
          </w:p>
        </w:tc>
        <w:tc>
          <w:tcPr>
            <w:tcW w:w="461" w:type="pct"/>
            <w:tcBorders>
              <w:top w:val="nil"/>
              <w:left w:val="nil"/>
              <w:bottom w:val="nil"/>
              <w:right w:val="nil"/>
            </w:tcBorders>
            <w:vAlign w:val="center"/>
            <w:hideMark/>
          </w:tcPr>
          <w:p w14:paraId="4FC0352A" w14:textId="77777777"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4473</w:t>
            </w:r>
          </w:p>
        </w:tc>
        <w:tc>
          <w:tcPr>
            <w:tcW w:w="462" w:type="pct"/>
            <w:tcBorders>
              <w:top w:val="nil"/>
              <w:left w:val="nil"/>
              <w:bottom w:val="nil"/>
              <w:right w:val="nil"/>
            </w:tcBorders>
            <w:vAlign w:val="center"/>
            <w:hideMark/>
          </w:tcPr>
          <w:p w14:paraId="1BC4620E" w14:textId="77777777"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3571</w:t>
            </w:r>
          </w:p>
        </w:tc>
        <w:tc>
          <w:tcPr>
            <w:tcW w:w="462" w:type="pct"/>
            <w:tcBorders>
              <w:top w:val="nil"/>
              <w:left w:val="nil"/>
              <w:bottom w:val="nil"/>
              <w:right w:val="nil"/>
            </w:tcBorders>
            <w:vAlign w:val="center"/>
            <w:hideMark/>
          </w:tcPr>
          <w:p w14:paraId="57F27133" w14:textId="77777777"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3087</w:t>
            </w:r>
          </w:p>
        </w:tc>
        <w:tc>
          <w:tcPr>
            <w:tcW w:w="462" w:type="pct"/>
            <w:tcBorders>
              <w:top w:val="nil"/>
              <w:left w:val="nil"/>
              <w:bottom w:val="nil"/>
              <w:right w:val="nil"/>
            </w:tcBorders>
            <w:vAlign w:val="center"/>
          </w:tcPr>
          <w:p w14:paraId="0AEDA1A0" w14:textId="77777777" w:rsidR="00C812CA" w:rsidRPr="0017088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70887">
              <w:rPr>
                <w:rFonts w:ascii="Georgia" w:hAnsi="Georgia"/>
                <w:sz w:val="16"/>
                <w:szCs w:val="16"/>
              </w:rPr>
              <w:t>3610</w:t>
            </w:r>
          </w:p>
        </w:tc>
        <w:tc>
          <w:tcPr>
            <w:tcW w:w="481" w:type="pct"/>
            <w:tcBorders>
              <w:top w:val="nil"/>
              <w:left w:val="nil"/>
              <w:bottom w:val="nil"/>
              <w:right w:val="single" w:sz="8" w:space="0" w:color="C0504D" w:themeColor="accent2"/>
            </w:tcBorders>
            <w:vAlign w:val="center"/>
            <w:hideMark/>
          </w:tcPr>
          <w:p w14:paraId="595E2069" w14:textId="77777777"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sz w:val="16"/>
                <w:szCs w:val="16"/>
              </w:rPr>
              <w:t>1510</w:t>
            </w:r>
          </w:p>
        </w:tc>
      </w:tr>
      <w:tr w:rsidR="00C812CA" w:rsidRPr="001869A7" w14:paraId="4D99FD6A" w14:textId="77777777" w:rsidTr="00105B94">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828" w:type="pct"/>
            <w:tcBorders>
              <w:right w:val="nil"/>
            </w:tcBorders>
            <w:hideMark/>
          </w:tcPr>
          <w:p w14:paraId="3BB570A9" w14:textId="77777777" w:rsidR="00C812CA" w:rsidRPr="001869A7" w:rsidRDefault="00C812CA" w:rsidP="00105B94">
            <w:pPr>
              <w:ind w:right="-109"/>
              <w:rPr>
                <w:rFonts w:ascii="Georgia" w:hAnsi="Georgia"/>
                <w:b w:val="0"/>
                <w:sz w:val="18"/>
                <w:szCs w:val="18"/>
                <w:highlight w:val="yellow"/>
              </w:rPr>
            </w:pPr>
            <w:r w:rsidRPr="001869A7">
              <w:rPr>
                <w:rFonts w:ascii="Georgia" w:hAnsi="Georgia"/>
                <w:sz w:val="18"/>
                <w:szCs w:val="18"/>
              </w:rPr>
              <w:t>Projektų multiplikatorius</w:t>
            </w:r>
          </w:p>
        </w:tc>
        <w:tc>
          <w:tcPr>
            <w:tcW w:w="460" w:type="pct"/>
            <w:tcBorders>
              <w:left w:val="nil"/>
              <w:right w:val="nil"/>
            </w:tcBorders>
            <w:vAlign w:val="center"/>
            <w:hideMark/>
          </w:tcPr>
          <w:p w14:paraId="3AAFC508" w14:textId="77777777"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1,49</w:t>
            </w:r>
          </w:p>
        </w:tc>
        <w:tc>
          <w:tcPr>
            <w:tcW w:w="461" w:type="pct"/>
            <w:tcBorders>
              <w:left w:val="nil"/>
              <w:right w:val="nil"/>
            </w:tcBorders>
            <w:vAlign w:val="center"/>
            <w:hideMark/>
          </w:tcPr>
          <w:p w14:paraId="0426A23F" w14:textId="77777777"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1,47</w:t>
            </w:r>
          </w:p>
        </w:tc>
        <w:tc>
          <w:tcPr>
            <w:tcW w:w="461" w:type="pct"/>
            <w:tcBorders>
              <w:left w:val="nil"/>
              <w:right w:val="nil"/>
            </w:tcBorders>
            <w:vAlign w:val="center"/>
            <w:hideMark/>
          </w:tcPr>
          <w:p w14:paraId="592AF24C" w14:textId="77777777"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1,76</w:t>
            </w:r>
          </w:p>
        </w:tc>
        <w:tc>
          <w:tcPr>
            <w:tcW w:w="461" w:type="pct"/>
            <w:tcBorders>
              <w:left w:val="nil"/>
              <w:right w:val="nil"/>
            </w:tcBorders>
            <w:vAlign w:val="center"/>
            <w:hideMark/>
          </w:tcPr>
          <w:p w14:paraId="5F9E3C47" w14:textId="77777777"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2,24</w:t>
            </w:r>
          </w:p>
        </w:tc>
        <w:tc>
          <w:tcPr>
            <w:tcW w:w="461" w:type="pct"/>
            <w:tcBorders>
              <w:left w:val="nil"/>
              <w:right w:val="nil"/>
            </w:tcBorders>
            <w:vAlign w:val="center"/>
            <w:hideMark/>
          </w:tcPr>
          <w:p w14:paraId="547B547F" w14:textId="77777777"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2,96</w:t>
            </w:r>
          </w:p>
        </w:tc>
        <w:tc>
          <w:tcPr>
            <w:tcW w:w="462" w:type="pct"/>
            <w:tcBorders>
              <w:left w:val="nil"/>
              <w:right w:val="nil"/>
            </w:tcBorders>
            <w:vAlign w:val="center"/>
            <w:hideMark/>
          </w:tcPr>
          <w:p w14:paraId="1A656AC6" w14:textId="77777777"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2,36</w:t>
            </w:r>
          </w:p>
        </w:tc>
        <w:tc>
          <w:tcPr>
            <w:tcW w:w="462" w:type="pct"/>
            <w:tcBorders>
              <w:left w:val="nil"/>
              <w:right w:val="nil"/>
            </w:tcBorders>
            <w:vAlign w:val="center"/>
            <w:hideMark/>
          </w:tcPr>
          <w:p w14:paraId="3FBDF137" w14:textId="77777777"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2,04</w:t>
            </w:r>
          </w:p>
        </w:tc>
        <w:tc>
          <w:tcPr>
            <w:tcW w:w="462" w:type="pct"/>
            <w:tcBorders>
              <w:left w:val="nil"/>
              <w:right w:val="nil"/>
            </w:tcBorders>
            <w:vAlign w:val="center"/>
          </w:tcPr>
          <w:p w14:paraId="74DBA92A" w14:textId="77777777" w:rsidR="00C812CA" w:rsidRPr="0017088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70887">
              <w:rPr>
                <w:rFonts w:ascii="Georgia" w:hAnsi="Georgia"/>
                <w:sz w:val="16"/>
                <w:szCs w:val="16"/>
              </w:rPr>
              <w:t>2,40</w:t>
            </w:r>
          </w:p>
        </w:tc>
        <w:tc>
          <w:tcPr>
            <w:tcW w:w="481" w:type="pct"/>
            <w:tcBorders>
              <w:left w:val="nil"/>
            </w:tcBorders>
            <w:vAlign w:val="center"/>
            <w:hideMark/>
          </w:tcPr>
          <w:p w14:paraId="29F59676" w14:textId="77777777" w:rsidR="00C812CA" w:rsidRPr="001869A7" w:rsidRDefault="00C812CA" w:rsidP="00105B94">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1869A7">
              <w:rPr>
                <w:rFonts w:ascii="Georgia" w:hAnsi="Georgia"/>
                <w:sz w:val="16"/>
                <w:szCs w:val="16"/>
              </w:rPr>
              <w:t>nėra</w:t>
            </w:r>
          </w:p>
        </w:tc>
      </w:tr>
      <w:tr w:rsidR="00C812CA" w:rsidRPr="001869A7" w14:paraId="5159872B" w14:textId="77777777" w:rsidTr="00105B94">
        <w:trPr>
          <w:trHeight w:val="513"/>
        </w:trPr>
        <w:tc>
          <w:tcPr>
            <w:cnfStyle w:val="001000000000" w:firstRow="0" w:lastRow="0" w:firstColumn="1" w:lastColumn="0" w:oddVBand="0" w:evenVBand="0" w:oddHBand="0" w:evenHBand="0" w:firstRowFirstColumn="0" w:firstRowLastColumn="0" w:lastRowFirstColumn="0" w:lastRowLastColumn="0"/>
            <w:tcW w:w="828" w:type="pct"/>
            <w:tcBorders>
              <w:top w:val="nil"/>
              <w:left w:val="single" w:sz="8" w:space="0" w:color="C0504D" w:themeColor="accent2"/>
              <w:bottom w:val="single" w:sz="8" w:space="0" w:color="C0504D" w:themeColor="accent2"/>
              <w:right w:val="nil"/>
            </w:tcBorders>
            <w:hideMark/>
          </w:tcPr>
          <w:p w14:paraId="279BAF77" w14:textId="77777777" w:rsidR="00C812CA" w:rsidRPr="001869A7" w:rsidRDefault="00C812CA" w:rsidP="00105B94">
            <w:pPr>
              <w:ind w:right="-109"/>
              <w:rPr>
                <w:rFonts w:ascii="Georgia" w:hAnsi="Georgia"/>
                <w:sz w:val="18"/>
                <w:szCs w:val="18"/>
              </w:rPr>
            </w:pPr>
            <w:r w:rsidRPr="001869A7">
              <w:rPr>
                <w:rFonts w:ascii="Georgia" w:hAnsi="Georgia"/>
                <w:sz w:val="18"/>
                <w:szCs w:val="18"/>
              </w:rPr>
              <w:t>Sverto rodiklis</w:t>
            </w:r>
          </w:p>
        </w:tc>
        <w:tc>
          <w:tcPr>
            <w:tcW w:w="460" w:type="pct"/>
            <w:tcBorders>
              <w:top w:val="nil"/>
              <w:left w:val="nil"/>
              <w:bottom w:val="single" w:sz="8" w:space="0" w:color="C0504D" w:themeColor="accent2"/>
              <w:right w:val="nil"/>
            </w:tcBorders>
            <w:vAlign w:val="center"/>
            <w:hideMark/>
          </w:tcPr>
          <w:p w14:paraId="1AA7278C" w14:textId="77777777"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1,24</w:t>
            </w:r>
          </w:p>
        </w:tc>
        <w:tc>
          <w:tcPr>
            <w:tcW w:w="461" w:type="pct"/>
            <w:tcBorders>
              <w:top w:val="nil"/>
              <w:left w:val="nil"/>
              <w:bottom w:val="single" w:sz="8" w:space="0" w:color="C0504D" w:themeColor="accent2"/>
              <w:right w:val="nil"/>
            </w:tcBorders>
            <w:vAlign w:val="center"/>
            <w:hideMark/>
          </w:tcPr>
          <w:p w14:paraId="19A4EBFF" w14:textId="77777777"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1,24</w:t>
            </w:r>
          </w:p>
        </w:tc>
        <w:tc>
          <w:tcPr>
            <w:tcW w:w="461" w:type="pct"/>
            <w:tcBorders>
              <w:top w:val="nil"/>
              <w:left w:val="nil"/>
              <w:bottom w:val="single" w:sz="8" w:space="0" w:color="C0504D" w:themeColor="accent2"/>
              <w:right w:val="nil"/>
            </w:tcBorders>
            <w:vAlign w:val="center"/>
            <w:hideMark/>
          </w:tcPr>
          <w:p w14:paraId="66FE49B6" w14:textId="77777777"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1,73</w:t>
            </w:r>
          </w:p>
        </w:tc>
        <w:tc>
          <w:tcPr>
            <w:tcW w:w="461" w:type="pct"/>
            <w:tcBorders>
              <w:top w:val="nil"/>
              <w:left w:val="nil"/>
              <w:bottom w:val="single" w:sz="8" w:space="0" w:color="C0504D" w:themeColor="accent2"/>
              <w:right w:val="nil"/>
            </w:tcBorders>
            <w:vAlign w:val="center"/>
            <w:hideMark/>
          </w:tcPr>
          <w:p w14:paraId="445EAE2C" w14:textId="77777777"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3,14</w:t>
            </w:r>
          </w:p>
        </w:tc>
        <w:tc>
          <w:tcPr>
            <w:tcW w:w="461" w:type="pct"/>
            <w:tcBorders>
              <w:top w:val="nil"/>
              <w:left w:val="nil"/>
              <w:bottom w:val="single" w:sz="8" w:space="0" w:color="C0504D" w:themeColor="accent2"/>
              <w:right w:val="nil"/>
            </w:tcBorders>
            <w:vAlign w:val="center"/>
            <w:hideMark/>
          </w:tcPr>
          <w:p w14:paraId="7F4CACC4" w14:textId="77777777"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3,57</w:t>
            </w:r>
          </w:p>
        </w:tc>
        <w:tc>
          <w:tcPr>
            <w:tcW w:w="462" w:type="pct"/>
            <w:tcBorders>
              <w:top w:val="nil"/>
              <w:left w:val="nil"/>
              <w:bottom w:val="single" w:sz="8" w:space="0" w:color="C0504D" w:themeColor="accent2"/>
              <w:right w:val="nil"/>
            </w:tcBorders>
            <w:vAlign w:val="center"/>
            <w:hideMark/>
          </w:tcPr>
          <w:p w14:paraId="3B8CD2CA" w14:textId="77777777"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2,59</w:t>
            </w:r>
          </w:p>
        </w:tc>
        <w:tc>
          <w:tcPr>
            <w:tcW w:w="462" w:type="pct"/>
            <w:tcBorders>
              <w:top w:val="nil"/>
              <w:left w:val="nil"/>
              <w:bottom w:val="single" w:sz="8" w:space="0" w:color="C0504D" w:themeColor="accent2"/>
              <w:right w:val="nil"/>
            </w:tcBorders>
            <w:vAlign w:val="center"/>
            <w:hideMark/>
          </w:tcPr>
          <w:p w14:paraId="247F6554" w14:textId="77777777"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bCs/>
                <w:color w:val="000000"/>
                <w:sz w:val="16"/>
                <w:szCs w:val="16"/>
              </w:rPr>
              <w:t>2,24</w:t>
            </w:r>
          </w:p>
        </w:tc>
        <w:tc>
          <w:tcPr>
            <w:tcW w:w="462" w:type="pct"/>
            <w:tcBorders>
              <w:top w:val="nil"/>
              <w:left w:val="nil"/>
              <w:bottom w:val="single" w:sz="8" w:space="0" w:color="C0504D" w:themeColor="accent2"/>
              <w:right w:val="nil"/>
            </w:tcBorders>
            <w:vAlign w:val="center"/>
          </w:tcPr>
          <w:p w14:paraId="465F081B" w14:textId="77777777" w:rsidR="00C812CA" w:rsidRPr="0017088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70887">
              <w:rPr>
                <w:rFonts w:ascii="Georgia" w:hAnsi="Georgia"/>
                <w:sz w:val="16"/>
                <w:szCs w:val="16"/>
              </w:rPr>
              <w:t>2,74</w:t>
            </w:r>
          </w:p>
        </w:tc>
        <w:tc>
          <w:tcPr>
            <w:tcW w:w="481" w:type="pct"/>
            <w:tcBorders>
              <w:top w:val="nil"/>
              <w:left w:val="nil"/>
              <w:bottom w:val="single" w:sz="8" w:space="0" w:color="C0504D" w:themeColor="accent2"/>
              <w:right w:val="single" w:sz="8" w:space="0" w:color="C0504D" w:themeColor="accent2"/>
            </w:tcBorders>
            <w:vAlign w:val="center"/>
            <w:hideMark/>
          </w:tcPr>
          <w:p w14:paraId="46C6BD50" w14:textId="77777777" w:rsidR="00C812CA" w:rsidRPr="001869A7" w:rsidRDefault="00C812CA" w:rsidP="00105B94">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1869A7">
              <w:rPr>
                <w:rFonts w:ascii="Georgia" w:hAnsi="Georgia"/>
                <w:sz w:val="16"/>
                <w:szCs w:val="16"/>
              </w:rPr>
              <w:t>nėra</w:t>
            </w:r>
          </w:p>
        </w:tc>
      </w:tr>
    </w:tbl>
    <w:p w14:paraId="72A3660B" w14:textId="77777777" w:rsidR="00C812CA" w:rsidRPr="001869A7" w:rsidRDefault="00C812CA" w:rsidP="00C812CA">
      <w:pPr>
        <w:rPr>
          <w:lang w:val="lt-LT"/>
        </w:rPr>
      </w:pPr>
    </w:p>
    <w:p w14:paraId="018EA3A5" w14:textId="77777777" w:rsidR="00C812CA" w:rsidRPr="001869A7" w:rsidRDefault="00C812CA" w:rsidP="00C812CA">
      <w:pPr>
        <w:jc w:val="both"/>
        <w:rPr>
          <w:rFonts w:ascii="Georgia" w:hAnsi="Georgia"/>
          <w:sz w:val="20"/>
          <w:szCs w:val="20"/>
          <w:lang w:val="lt-LT"/>
        </w:rPr>
      </w:pPr>
      <w:r w:rsidRPr="001869A7">
        <w:rPr>
          <w:rFonts w:ascii="Georgia" w:hAnsi="Georgia"/>
          <w:sz w:val="20"/>
          <w:szCs w:val="20"/>
          <w:lang w:val="lt-LT"/>
        </w:rPr>
        <w:t>Visose alternatyvose yra planuojamas ne mažesnis kaip 40 proc. energijos sutaupymas. Vadovaujantis jautrumo analizės rezultatais projektams apskaičiuotas 15 proc. dydžio papildomos valstybės paramos poreikis</w:t>
      </w:r>
      <w:r>
        <w:rPr>
          <w:rFonts w:ascii="Georgia" w:hAnsi="Georgia"/>
          <w:sz w:val="20"/>
          <w:szCs w:val="20"/>
          <w:lang w:val="lt-LT"/>
        </w:rPr>
        <w:t xml:space="preserve"> (8 scenarijuje ši parama yra finansuojama iš ESI fondų lėšų)</w:t>
      </w:r>
      <w:r w:rsidRPr="001869A7">
        <w:rPr>
          <w:rFonts w:ascii="Georgia" w:hAnsi="Georgia"/>
          <w:sz w:val="20"/>
          <w:szCs w:val="20"/>
          <w:lang w:val="lt-LT"/>
        </w:rPr>
        <w:t>.</w:t>
      </w:r>
    </w:p>
    <w:p w14:paraId="582896EE" w14:textId="77777777" w:rsidR="00C812CA" w:rsidRPr="001869A7" w:rsidRDefault="00C812CA" w:rsidP="00C812CA">
      <w:pPr>
        <w:jc w:val="both"/>
        <w:rPr>
          <w:rFonts w:ascii="Georgia" w:hAnsi="Georgia"/>
          <w:sz w:val="20"/>
          <w:highlight w:val="yellow"/>
          <w:lang w:val="lt-LT"/>
        </w:rPr>
      </w:pPr>
      <w:r w:rsidRPr="001869A7">
        <w:rPr>
          <w:rStyle w:val="hps"/>
          <w:rFonts w:ascii="Georgia" w:hAnsi="Georgia" w:cs="Arial"/>
          <w:color w:val="222222"/>
          <w:sz w:val="20"/>
          <w:szCs w:val="20"/>
          <w:lang w:val="lt-LT"/>
        </w:rPr>
        <w:t>Galutinių naudos gavėjų (daugiabučių patalpų savininkų) lygyje teikiamos lengvatinės 3 proc. fiksuotos palūkanos 20 metų laikotarpiui (bankų apklausos metu dalis bankų nurodė, jog fiksuotos, 20 m. laikotarpio palūkanos būtų arba neįmanomos, arba su labai didele palūkanų norma galinčia siekti net iki 10 proc.). Taip pat analizės metu nustatyta, kad reikalingas papildomas paskolų subsidijavimas, kad renovacijos procesas atsipirktų per paskolos gyvavimo terminą, t.y. 20 metų. Atliekant jautrumo analizę (4.1.1 punktas) buvo nustatyta, jog esant tokioms palūkanoms bei 15 proc. palūkanų subsidijos elementui (toks modelis beveik atitiktų scenarijų, kai paskolos išduodamos su 1 proc. palūkanomis nenaudojant papildomo 15 proc. palūkanų subsidijos finansavimo mechanizmo) yra reikalinga ir papildoma 15 proc. subsidija.</w:t>
      </w:r>
      <w:r w:rsidRPr="001869A7">
        <w:rPr>
          <w:rFonts w:ascii="Georgia" w:hAnsi="Georgia"/>
          <w:sz w:val="20"/>
          <w:highlight w:val="yellow"/>
          <w:lang w:val="lt-LT"/>
        </w:rPr>
        <w:t xml:space="preserve"> </w:t>
      </w:r>
    </w:p>
    <w:p w14:paraId="283305D3" w14:textId="77777777" w:rsidR="00C812CA" w:rsidRPr="001869A7" w:rsidRDefault="00C812CA" w:rsidP="00C812CA">
      <w:pPr>
        <w:jc w:val="both"/>
        <w:rPr>
          <w:rFonts w:ascii="Georgia" w:hAnsi="Georgia"/>
          <w:sz w:val="20"/>
          <w:szCs w:val="20"/>
          <w:lang w:val="lt-LT"/>
        </w:rPr>
      </w:pPr>
      <w:r w:rsidRPr="001869A7">
        <w:rPr>
          <w:rFonts w:ascii="Georgia" w:hAnsi="Georgia"/>
          <w:sz w:val="20"/>
          <w:szCs w:val="20"/>
          <w:lang w:val="lt-LT"/>
        </w:rPr>
        <w:t>Garantijų teikimo priemonė yra svarstytina alternatyva, siekiant pritraukti papildomas lėšas daugiabučių namų atnaujinimui (modernizavimui) ir, iš principo, gali padėti užtikrinti gerą finansinį sverto efektą panaudojant turimas ES</w:t>
      </w:r>
      <w:r>
        <w:rPr>
          <w:rFonts w:ascii="Georgia" w:hAnsi="Georgia"/>
          <w:sz w:val="20"/>
          <w:szCs w:val="20"/>
          <w:lang w:val="lt-LT"/>
        </w:rPr>
        <w:t>I fondų</w:t>
      </w:r>
      <w:r w:rsidRPr="001869A7">
        <w:rPr>
          <w:rFonts w:ascii="Georgia" w:hAnsi="Georgia"/>
          <w:sz w:val="20"/>
          <w:szCs w:val="20"/>
          <w:lang w:val="lt-LT"/>
        </w:rPr>
        <w:t xml:space="preserve"> lėšas ir pritraukiant komercinių bankų lėšas. Vis dėlto, EIB aptarus šią priemonę su bankais, paaiškėjo, kad garantijų priemonės patrauklumas komerciniams bankams kol kas yra ribotas (kol nėra didesnės tokių projektų įgyvendinimo ir finansavimo duomenų istorijos).</w:t>
      </w:r>
    </w:p>
    <w:p w14:paraId="48733B08" w14:textId="2B6DCBA1" w:rsidR="00C812CA" w:rsidRPr="001869A7" w:rsidRDefault="00C812CA" w:rsidP="00C812CA">
      <w:pPr>
        <w:jc w:val="both"/>
        <w:rPr>
          <w:rFonts w:ascii="Georgia" w:hAnsi="Georgia"/>
          <w:sz w:val="20"/>
          <w:szCs w:val="20"/>
          <w:lang w:val="lt-LT"/>
        </w:rPr>
      </w:pPr>
      <w:r w:rsidRPr="001869A7">
        <w:rPr>
          <w:rFonts w:ascii="Georgia" w:hAnsi="Georgia"/>
          <w:sz w:val="20"/>
          <w:szCs w:val="20"/>
          <w:lang w:val="lt-LT"/>
        </w:rPr>
        <w:lastRenderedPageBreak/>
        <w:t>Susitikimų metu bankų atstovai informavo, kad, jei bankai teikia modernizavimo paskolas gyventojams (ar administratoriams) iš savo lėšų (garantijų priemonės atveju), jie privalo atlikti pilną kiekvieno paskolos gavėjo rizikos vertinimą. Atitinkamai paskolos būtų suteikiamos ne visiems gyventojams (administratoriams). Be to, garantijos priemonės atveju, vėluojant įmokoms, bankui reikėtų apskaityti tokias paskolas kaip pradelstas, atitinkamai darant kapitalo atidėji</w:t>
      </w:r>
      <w:r w:rsidR="005271F8">
        <w:rPr>
          <w:rFonts w:ascii="Georgia" w:hAnsi="Georgia"/>
          <w:sz w:val="20"/>
          <w:szCs w:val="20"/>
          <w:lang w:val="lt-LT"/>
        </w:rPr>
        <w:t>m</w:t>
      </w:r>
      <w:r w:rsidRPr="001869A7">
        <w:rPr>
          <w:rFonts w:ascii="Georgia" w:hAnsi="Georgia"/>
          <w:sz w:val="20"/>
          <w:szCs w:val="20"/>
          <w:lang w:val="lt-LT"/>
        </w:rPr>
        <w:t>us.</w:t>
      </w:r>
    </w:p>
    <w:p w14:paraId="07AC7169" w14:textId="77777777" w:rsidR="00C812CA" w:rsidRPr="001869A7" w:rsidRDefault="00C812CA" w:rsidP="00C812CA">
      <w:pPr>
        <w:jc w:val="both"/>
        <w:rPr>
          <w:rFonts w:ascii="Georgia" w:hAnsi="Georgia"/>
          <w:sz w:val="20"/>
          <w:szCs w:val="20"/>
          <w:lang w:val="lt-LT"/>
        </w:rPr>
      </w:pPr>
      <w:r w:rsidRPr="001869A7">
        <w:rPr>
          <w:rFonts w:ascii="Georgia" w:hAnsi="Georgia"/>
          <w:sz w:val="20"/>
          <w:szCs w:val="20"/>
          <w:lang w:val="lt-LT"/>
        </w:rPr>
        <w:t xml:space="preserve">Bankai taip pat pažymėjo, kad, paskolos, teikiamos iš nuosavų banko lėšų, būtų visiškai kitoks produktas nei dabar teikiamos lengvatinės paskolos, tad bankams reikėtų iš naujo pertvarkyti savo procesus, apskaitą ir apmokyti personalą, kas yra susiję su papildomomis administracinėmis išlaidomis. </w:t>
      </w:r>
    </w:p>
    <w:p w14:paraId="7D8771E7" w14:textId="77777777" w:rsidR="00C812CA" w:rsidRPr="001869A7" w:rsidRDefault="00C812CA" w:rsidP="00C812CA">
      <w:pPr>
        <w:jc w:val="both"/>
        <w:rPr>
          <w:rFonts w:ascii="Georgia" w:hAnsi="Georgia"/>
          <w:sz w:val="20"/>
          <w:szCs w:val="20"/>
          <w:lang w:val="lt-LT"/>
        </w:rPr>
      </w:pPr>
      <w:r w:rsidRPr="001869A7">
        <w:rPr>
          <w:rFonts w:ascii="Georgia" w:hAnsi="Georgia"/>
          <w:sz w:val="20"/>
          <w:szCs w:val="20"/>
          <w:lang w:val="lt-LT"/>
        </w:rPr>
        <w:t>Atsižvelgiant į šias aplinkybes, programoje dalyvaujantys bankai kol kas labai rezervuotai žiūri į galimybę tiesiogiai skolinti galutiniams naudos gavėjams. Didelė dalis bankų paminėtų problemų galėtų būti gana efektyviai sprendžiamos bankų finansavimą pritraukiant į juridinio asmens statusą turintį fondą.</w:t>
      </w:r>
    </w:p>
    <w:p w14:paraId="5029A3ED" w14:textId="77777777" w:rsidR="00C812CA" w:rsidRPr="001869A7" w:rsidRDefault="00C812CA" w:rsidP="00C812CA">
      <w:pPr>
        <w:jc w:val="both"/>
        <w:rPr>
          <w:rFonts w:ascii="Georgia" w:hAnsi="Georgia"/>
          <w:sz w:val="20"/>
          <w:szCs w:val="20"/>
          <w:lang w:val="lt-LT"/>
        </w:rPr>
      </w:pPr>
      <w:r w:rsidRPr="001869A7">
        <w:rPr>
          <w:rFonts w:ascii="Georgia" w:hAnsi="Georgia"/>
          <w:sz w:val="20"/>
          <w:szCs w:val="20"/>
          <w:lang w:val="lt-LT"/>
        </w:rPr>
        <w:t>Svarstytina galimybė būtų juridinio asmens statusą turinčiame fonde ateityje turėti papildomą garantijų teikimo priemonę, kuria naudotųsi bankai, dėl kokių nors priežasčių nedalyvaujantys ar nepatekę tarp fondo investuotojų, partnerių ar finansinių tarpininkų. Tačiau būtina atsižvelgti į tai, kad dalies ES</w:t>
      </w:r>
      <w:r>
        <w:rPr>
          <w:rFonts w:ascii="Georgia" w:hAnsi="Georgia"/>
          <w:sz w:val="20"/>
          <w:szCs w:val="20"/>
          <w:lang w:val="lt-LT"/>
        </w:rPr>
        <w:t>I fondų</w:t>
      </w:r>
      <w:r w:rsidRPr="001869A7">
        <w:rPr>
          <w:rFonts w:ascii="Georgia" w:hAnsi="Georgia"/>
          <w:sz w:val="20"/>
          <w:szCs w:val="20"/>
          <w:lang w:val="lt-LT"/>
        </w:rPr>
        <w:t xml:space="preserve"> lėšų atskyrimas ir išskirstymas kelioms finansinėms priemonėms mažintų kiekvienos atskiros priemonės finansinį pajėgumą bei potencialą pritraukti papildomas privačias lėšas.</w:t>
      </w:r>
    </w:p>
    <w:p w14:paraId="6882A26C" w14:textId="77777777" w:rsidR="00C812CA" w:rsidRPr="001869A7" w:rsidRDefault="00C812CA" w:rsidP="00C812CA">
      <w:pPr>
        <w:jc w:val="both"/>
        <w:rPr>
          <w:rFonts w:ascii="Georgia" w:hAnsi="Georgia"/>
          <w:b/>
          <w:sz w:val="20"/>
          <w:szCs w:val="20"/>
          <w:lang w:val="lt-LT"/>
        </w:rPr>
      </w:pPr>
      <w:r w:rsidRPr="001869A7">
        <w:rPr>
          <w:rFonts w:ascii="Georgia" w:hAnsi="Georgia"/>
          <w:sz w:val="20"/>
          <w:szCs w:val="20"/>
          <w:lang w:val="lt-LT"/>
        </w:rPr>
        <w:t>Atsižvelgiant į tai, rekomenduotina iš karto neskirstyti lėšų kelioms finansinėms priemonėms, o susikoncentruoti į pasirinktos finansinės priemonės plėtrą. Galbūt tokia (garantijų) papildoma priemonė būtų perspektyvi vėlesniu laikotarpiu, kai nusistovėtų pozityvi modernizavimo paskolų grąžinimo istorija. Garantijų fonde būtų galima panaudoti mišrias lėšas (ESI fondų lėšas bei fondo lygiu pritrauktas investuotojų lėšas), o garantijomis besinaudojantys bankai būtų pasiruošę prisiimti papildomas rizikas ir jų vertinimą.</w:t>
      </w:r>
    </w:p>
    <w:p w14:paraId="769DF594" w14:textId="77777777" w:rsidR="00C812CA" w:rsidRPr="001869A7" w:rsidRDefault="00C812CA" w:rsidP="00C812CA">
      <w:pPr>
        <w:jc w:val="both"/>
        <w:rPr>
          <w:rFonts w:ascii="Georgia" w:hAnsi="Georgia"/>
          <w:sz w:val="20"/>
          <w:szCs w:val="20"/>
          <w:lang w:val="lt-LT"/>
        </w:rPr>
      </w:pPr>
      <w:r w:rsidRPr="001869A7">
        <w:rPr>
          <w:rFonts w:ascii="Georgia" w:hAnsi="Georgia"/>
          <w:sz w:val="20"/>
          <w:szCs w:val="20"/>
          <w:lang w:val="lt-LT"/>
        </w:rPr>
        <w:t>Remiantis pateiktu ekspertiniu vertinimu bei atliktu alternatyvų rodiklių palyginimu darytina išvada, kad daugiausiai pastatų bus renovuota įgyvendinus 5 scenarijaus modelį, kurio metu kuriamas juridinio asmens statusą turintis fondas. Šiuo atveju pasiekiamas ir didžiausias sverto rodiklis. Taip pat siūloma tęsti esamą paskolų teikimo galutiniams naudos gavėjams modelį nekeičiant esminių finansavimo sąlygų. Vadovaujantis jautrumo analizės duomenimis siūloma papildomą valstybės paramą mažinti nuo 25 iki 15 procentų.</w:t>
      </w:r>
    </w:p>
    <w:p w14:paraId="24E321A2" w14:textId="77777777" w:rsidR="00C812CA" w:rsidRPr="001869A7" w:rsidRDefault="00C812CA" w:rsidP="00C812CA">
      <w:pPr>
        <w:jc w:val="both"/>
        <w:rPr>
          <w:rFonts w:ascii="Georgia" w:hAnsi="Georgia"/>
          <w:sz w:val="20"/>
          <w:szCs w:val="20"/>
          <w:lang w:val="lt-LT"/>
        </w:rPr>
      </w:pPr>
      <w:r w:rsidRPr="001869A7">
        <w:rPr>
          <w:rFonts w:ascii="Georgia" w:hAnsi="Georgia"/>
          <w:sz w:val="20"/>
          <w:szCs w:val="20"/>
          <w:lang w:val="lt-LT"/>
        </w:rPr>
        <w:t>Pagrindinės priežastys, dėl kurių nerekomenduotina keisti finansavimo sąlygų galutiniams paramos gavėjams:</w:t>
      </w:r>
    </w:p>
    <w:p w14:paraId="388E08DC" w14:textId="77777777" w:rsidR="00C812CA" w:rsidRPr="001869A7" w:rsidRDefault="00C812CA" w:rsidP="00C812CA">
      <w:pPr>
        <w:pStyle w:val="Sraopastraipa"/>
        <w:numPr>
          <w:ilvl w:val="0"/>
          <w:numId w:val="35"/>
        </w:numPr>
        <w:jc w:val="both"/>
        <w:rPr>
          <w:rFonts w:ascii="Georgia" w:hAnsi="Georgia"/>
          <w:sz w:val="20"/>
          <w:szCs w:val="20"/>
          <w:lang w:val="lt-LT"/>
        </w:rPr>
      </w:pPr>
      <w:r w:rsidRPr="001869A7">
        <w:rPr>
          <w:rFonts w:ascii="Georgia" w:hAnsi="Georgia"/>
          <w:sz w:val="20"/>
          <w:szCs w:val="20"/>
          <w:lang w:val="lt-LT"/>
        </w:rPr>
        <w:t>galutiniai naudos gavėjai yra susipažinę su šiuo veikiančiu finansavimo modeliu, todėl jo įgyvendinimas būtų greitesnis. Taip pat patirtis parodė, jog šio modelio įgyvendinimu suinteresuoti gyventojai, projektų įgyvendinimui parengtos savivaldybių daugiabučių renovacijos programos, projektų įgyvendinimui pasirengę administratoriai, sukurta teisinė bazė, fiksuojami pirmieji gerosios praktikos pavyzdžiai;</w:t>
      </w:r>
    </w:p>
    <w:p w14:paraId="3BF6C4ED" w14:textId="77777777" w:rsidR="00C812CA" w:rsidRPr="001869A7" w:rsidRDefault="00C812CA" w:rsidP="00C812CA">
      <w:pPr>
        <w:pStyle w:val="Sraopastraipa"/>
        <w:numPr>
          <w:ilvl w:val="0"/>
          <w:numId w:val="35"/>
        </w:numPr>
        <w:jc w:val="both"/>
        <w:rPr>
          <w:rFonts w:ascii="Georgia" w:hAnsi="Georgia"/>
          <w:sz w:val="20"/>
          <w:szCs w:val="20"/>
          <w:lang w:val="lt-LT"/>
        </w:rPr>
      </w:pPr>
      <w:r w:rsidRPr="001869A7">
        <w:rPr>
          <w:rFonts w:ascii="Georgia" w:hAnsi="Georgia"/>
          <w:sz w:val="20"/>
          <w:szCs w:val="20"/>
          <w:lang w:val="lt-LT"/>
        </w:rPr>
        <w:t>siūlomos finansavimo sąlygos leidžia gyventojams rinktis paskolą savo vardu arba imti paskolą administratoriui, kuris veiktų jų naudai;</w:t>
      </w:r>
    </w:p>
    <w:p w14:paraId="04ED8C3F" w14:textId="77777777" w:rsidR="00C812CA" w:rsidRPr="001869A7" w:rsidRDefault="00C812CA" w:rsidP="00C812CA">
      <w:pPr>
        <w:pStyle w:val="Sraopastraipa"/>
        <w:numPr>
          <w:ilvl w:val="0"/>
          <w:numId w:val="35"/>
        </w:numPr>
        <w:jc w:val="both"/>
        <w:rPr>
          <w:rFonts w:ascii="Georgia" w:hAnsi="Georgia"/>
          <w:sz w:val="20"/>
          <w:szCs w:val="20"/>
          <w:lang w:val="lt-LT"/>
        </w:rPr>
      </w:pPr>
      <w:r w:rsidRPr="001869A7">
        <w:rPr>
          <w:rFonts w:ascii="Georgia" w:hAnsi="Georgia"/>
          <w:sz w:val="20"/>
          <w:szCs w:val="20"/>
          <w:lang w:val="lt-LT"/>
        </w:rPr>
        <w:t>finansiniai tarpininkai yra susipažinę su modeliu ir plečiantis programos įgyvendinimo apimtims kiti bankai būtų labiau linkę įsijungti į programos įgyvendinimą.</w:t>
      </w:r>
    </w:p>
    <w:p w14:paraId="2829FFB1" w14:textId="77777777" w:rsidR="00C812CA" w:rsidRPr="00105B94" w:rsidRDefault="00C812CA" w:rsidP="00C812CA">
      <w:pPr>
        <w:jc w:val="both"/>
        <w:rPr>
          <w:rFonts w:ascii="Georgia" w:hAnsi="Georgia"/>
          <w:sz w:val="20"/>
          <w:szCs w:val="20"/>
          <w:lang w:val="lt-LT"/>
        </w:rPr>
      </w:pPr>
      <w:r w:rsidRPr="00105B94">
        <w:rPr>
          <w:rFonts w:ascii="Georgia" w:hAnsi="Georgia"/>
          <w:sz w:val="20"/>
          <w:szCs w:val="20"/>
          <w:lang w:val="lt-LT"/>
        </w:rPr>
        <w:t xml:space="preserve">Nustačius, kad paskolos finansinė priemonė (kai finansinės priemonės lėšos nukreipiamos pirmo praradimo kapitalui suformuoti) yra kiekybiškai naudingiausias finansinis produktas daugiabučių renovacijos projektams, taip pat buvo identifikuota, kiek ESI fondų ar kitų lėšų reikėtų skirti šiai finansinei priemonei siekiant padengti visą 2-ame skyriuje identifikuotą rinkos finansavimo trūkumą. Apskaičiuota, jog siekiant padengti visą rinkos finansavimo trūkumą (964,7 mln. eurų įvertinus tai, </w:t>
      </w:r>
      <w:r w:rsidRPr="00105B94">
        <w:rPr>
          <w:rFonts w:ascii="Georgia" w:hAnsi="Georgia"/>
          <w:sz w:val="20"/>
          <w:szCs w:val="20"/>
          <w:lang w:val="lt-LT"/>
        </w:rPr>
        <w:lastRenderedPageBreak/>
        <w:t>kad ESI fondų lėšos yra naudojamos pirmo praradimo kapitalui suformuoti) ESI fondų lėšų apimtis turėtų būti 1,1 mlrd. eurų (nekeičiant kitų scenarijuje priimtų prielaidų), taip pat papildomai reikėtų 200 mln. eurų papildomai valstybės paramai kompensuoti (t.y. 15 proc. subsidijai).</w:t>
      </w:r>
    </w:p>
    <w:p w14:paraId="6E42E29E" w14:textId="77777777" w:rsidR="00C812CA" w:rsidRDefault="00C812CA" w:rsidP="00C812CA">
      <w:pPr>
        <w:jc w:val="both"/>
        <w:rPr>
          <w:rFonts w:ascii="Georgia" w:hAnsi="Georgia"/>
          <w:sz w:val="20"/>
          <w:szCs w:val="20"/>
          <w:lang w:val="lt-LT"/>
        </w:rPr>
      </w:pPr>
      <w:r w:rsidRPr="00105B94">
        <w:rPr>
          <w:rFonts w:ascii="Georgia" w:hAnsi="Georgia"/>
          <w:sz w:val="20"/>
          <w:szCs w:val="20"/>
          <w:lang w:val="lt-LT"/>
        </w:rPr>
        <w:t>Tuo atveju, kai nebus galimybių papildomą valstybės paramą skirti iš Klimato kaitos programos lėšų (kaip tai yra daroma šiuo metu JESSICA KF atveju) rekomenduojama pasirinkti 8 scenarijų, kuris yra analogiškas 5 scenarijui, tik šiuo atveju papildomą subsidijos elementą gauname ESI fondų lėšas paskirstę į subsidijos priemonę ir finansinę priemonę.</w:t>
      </w:r>
    </w:p>
    <w:p w14:paraId="16FCC5E1" w14:textId="77777777" w:rsidR="00FD5FAE" w:rsidRPr="00C8226F" w:rsidRDefault="00FD5FAE" w:rsidP="00FD5FAE">
      <w:pPr>
        <w:pStyle w:val="Antrat2"/>
        <w:numPr>
          <w:ilvl w:val="2"/>
          <w:numId w:val="2"/>
        </w:numPr>
        <w:spacing w:after="240"/>
        <w:rPr>
          <w:lang w:val="lt-LT"/>
        </w:rPr>
      </w:pPr>
      <w:bookmarkStart w:id="285" w:name="_Toc417378400"/>
      <w:r w:rsidRPr="00C8226F">
        <w:rPr>
          <w:lang w:val="lt-LT"/>
        </w:rPr>
        <w:t>Centrinės valdžios pastatų renovavimo modelių palyginimas</w:t>
      </w:r>
      <w:bookmarkEnd w:id="282"/>
      <w:bookmarkEnd w:id="283"/>
      <w:bookmarkEnd w:id="285"/>
    </w:p>
    <w:p w14:paraId="7A401397" w14:textId="77777777" w:rsidR="00FD5FAE" w:rsidRPr="00C8226F" w:rsidRDefault="00FD5FAE" w:rsidP="00FD5FAE">
      <w:pPr>
        <w:jc w:val="both"/>
        <w:rPr>
          <w:rFonts w:ascii="Georgia" w:hAnsi="Georgia"/>
          <w:sz w:val="20"/>
          <w:szCs w:val="20"/>
          <w:lang w:val="lt-LT"/>
        </w:rPr>
      </w:pPr>
      <w:r w:rsidRPr="00C8226F">
        <w:rPr>
          <w:rFonts w:ascii="Georgia" w:hAnsi="Georgia"/>
          <w:sz w:val="20"/>
          <w:szCs w:val="20"/>
          <w:lang w:val="lt-LT"/>
        </w:rPr>
        <w:t>Lentelėje pateikiamas 4.1. dalyje apskaičiuotas centrinės valdžios viešųjų pastatų renovacijos scenarijų palyginimas. Taip pat palyginimui nurodoma alternatyva, kai visos ES</w:t>
      </w:r>
      <w:r w:rsidR="00C812CA">
        <w:rPr>
          <w:rFonts w:ascii="Georgia" w:hAnsi="Georgia"/>
          <w:sz w:val="20"/>
          <w:szCs w:val="20"/>
          <w:lang w:val="lt-LT"/>
        </w:rPr>
        <w:t>I fondų</w:t>
      </w:r>
      <w:r w:rsidRPr="00C8226F">
        <w:rPr>
          <w:rFonts w:ascii="Georgia" w:hAnsi="Georgia"/>
          <w:sz w:val="20"/>
          <w:szCs w:val="20"/>
          <w:lang w:val="lt-LT"/>
        </w:rPr>
        <w:t xml:space="preserve"> lėšos būtų skiriamos subsidijų forma.</w:t>
      </w:r>
    </w:p>
    <w:p w14:paraId="073C734E" w14:textId="6806CF46" w:rsidR="00FD5FAE" w:rsidRPr="00C8226F" w:rsidRDefault="00FD5FAE" w:rsidP="00FD5FAE">
      <w:pPr>
        <w:pStyle w:val="Antrat"/>
        <w:rPr>
          <w:szCs w:val="20"/>
          <w:lang w:val="lt-LT"/>
        </w:rPr>
      </w:pPr>
      <w:bookmarkStart w:id="286" w:name="_Toc460321728"/>
      <w:r w:rsidRPr="00C8226F">
        <w:rPr>
          <w:lang w:val="lt-LT"/>
        </w:rPr>
        <w:t xml:space="preserve">Lentelė </w:t>
      </w:r>
      <w:r w:rsidRPr="00C8226F">
        <w:rPr>
          <w:lang w:val="lt-LT"/>
        </w:rPr>
        <w:fldChar w:fldCharType="begin"/>
      </w:r>
      <w:r w:rsidRPr="00C8226F">
        <w:rPr>
          <w:lang w:val="lt-LT"/>
        </w:rPr>
        <w:instrText xml:space="preserve"> SEQ Lentelė \* ARABIC </w:instrText>
      </w:r>
      <w:r w:rsidRPr="00C8226F">
        <w:rPr>
          <w:lang w:val="lt-LT"/>
        </w:rPr>
        <w:fldChar w:fldCharType="separate"/>
      </w:r>
      <w:r w:rsidR="00AA3082">
        <w:rPr>
          <w:noProof/>
          <w:lang w:val="lt-LT"/>
        </w:rPr>
        <w:t>147</w:t>
      </w:r>
      <w:r w:rsidRPr="00C8226F">
        <w:rPr>
          <w:lang w:val="lt-LT"/>
        </w:rPr>
        <w:fldChar w:fldCharType="end"/>
      </w:r>
      <w:r w:rsidRPr="00C8226F">
        <w:rPr>
          <w:lang w:val="lt-LT"/>
        </w:rPr>
        <w:t xml:space="preserve">. </w:t>
      </w:r>
      <w:r w:rsidRPr="00C8226F">
        <w:rPr>
          <w:szCs w:val="20"/>
          <w:lang w:val="lt-LT"/>
        </w:rPr>
        <w:t>Skirtingų scenarijų palyginimas</w:t>
      </w:r>
      <w:bookmarkEnd w:id="286"/>
    </w:p>
    <w:tbl>
      <w:tblPr>
        <w:tblStyle w:val="viesussraas2parykinimas"/>
        <w:tblW w:w="5000" w:type="pct"/>
        <w:tblLook w:val="04A0" w:firstRow="1" w:lastRow="0" w:firstColumn="1" w:lastColumn="0" w:noHBand="0" w:noVBand="1"/>
      </w:tblPr>
      <w:tblGrid>
        <w:gridCol w:w="1448"/>
        <w:gridCol w:w="941"/>
        <w:gridCol w:w="1011"/>
        <w:gridCol w:w="941"/>
        <w:gridCol w:w="941"/>
        <w:gridCol w:w="993"/>
        <w:gridCol w:w="1024"/>
        <w:gridCol w:w="945"/>
        <w:gridCol w:w="998"/>
      </w:tblGrid>
      <w:tr w:rsidR="000519AE" w:rsidRPr="00C8226F" w14:paraId="28ADA03D" w14:textId="77777777" w:rsidTr="008E64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 w:type="pct"/>
            <w:tcBorders>
              <w:top w:val="single" w:sz="8" w:space="0" w:color="C0504D" w:themeColor="accent2"/>
              <w:left w:val="single" w:sz="8" w:space="0" w:color="C0504D" w:themeColor="accent2"/>
              <w:bottom w:val="nil"/>
              <w:right w:val="nil"/>
            </w:tcBorders>
          </w:tcPr>
          <w:p w14:paraId="35203D18" w14:textId="77777777" w:rsidR="00FD5FAE" w:rsidRPr="00C8226F" w:rsidRDefault="00FD5FAE" w:rsidP="00765A39">
            <w:pPr>
              <w:rPr>
                <w:rFonts w:ascii="Georgia" w:hAnsi="Georgia"/>
                <w:b w:val="0"/>
                <w:sz w:val="20"/>
                <w:szCs w:val="20"/>
              </w:rPr>
            </w:pPr>
          </w:p>
        </w:tc>
        <w:tc>
          <w:tcPr>
            <w:tcW w:w="509" w:type="pct"/>
            <w:tcBorders>
              <w:top w:val="single" w:sz="8" w:space="0" w:color="C0504D" w:themeColor="accent2"/>
              <w:left w:val="nil"/>
              <w:bottom w:val="nil"/>
              <w:right w:val="nil"/>
            </w:tcBorders>
            <w:hideMark/>
          </w:tcPr>
          <w:p w14:paraId="30D49FAE" w14:textId="77777777" w:rsidR="00FD5FAE" w:rsidRPr="00C8226F" w:rsidRDefault="00FD5FAE" w:rsidP="00765A39">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C8226F">
              <w:rPr>
                <w:rFonts w:ascii="Georgia" w:hAnsi="Georgia"/>
                <w:sz w:val="18"/>
                <w:szCs w:val="18"/>
              </w:rPr>
              <w:t>Nr. 1</w:t>
            </w:r>
          </w:p>
        </w:tc>
        <w:tc>
          <w:tcPr>
            <w:tcW w:w="547" w:type="pct"/>
            <w:tcBorders>
              <w:top w:val="single" w:sz="8" w:space="0" w:color="C0504D" w:themeColor="accent2"/>
              <w:left w:val="nil"/>
              <w:bottom w:val="nil"/>
              <w:right w:val="nil"/>
            </w:tcBorders>
            <w:hideMark/>
          </w:tcPr>
          <w:p w14:paraId="67FEA782" w14:textId="77777777" w:rsidR="00FD5FAE" w:rsidRPr="00C8226F" w:rsidRDefault="00FD5FAE" w:rsidP="00765A39">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C8226F">
              <w:rPr>
                <w:rFonts w:ascii="Georgia" w:hAnsi="Georgia"/>
                <w:sz w:val="18"/>
                <w:szCs w:val="18"/>
              </w:rPr>
              <w:t>Nr. 2</w:t>
            </w:r>
          </w:p>
        </w:tc>
        <w:tc>
          <w:tcPr>
            <w:tcW w:w="509" w:type="pct"/>
            <w:tcBorders>
              <w:top w:val="single" w:sz="8" w:space="0" w:color="C0504D" w:themeColor="accent2"/>
              <w:left w:val="nil"/>
              <w:bottom w:val="nil"/>
              <w:right w:val="nil"/>
            </w:tcBorders>
            <w:hideMark/>
          </w:tcPr>
          <w:p w14:paraId="2F6D0324" w14:textId="77777777" w:rsidR="00FD5FAE" w:rsidRPr="00C8226F" w:rsidRDefault="00FD5FAE" w:rsidP="00765A39">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C8226F">
              <w:rPr>
                <w:rFonts w:ascii="Georgia" w:hAnsi="Georgia"/>
                <w:sz w:val="18"/>
                <w:szCs w:val="18"/>
              </w:rPr>
              <w:t>Nr. 3</w:t>
            </w:r>
          </w:p>
        </w:tc>
        <w:tc>
          <w:tcPr>
            <w:tcW w:w="509" w:type="pct"/>
            <w:tcBorders>
              <w:top w:val="single" w:sz="8" w:space="0" w:color="C0504D" w:themeColor="accent2"/>
              <w:left w:val="nil"/>
              <w:bottom w:val="nil"/>
              <w:right w:val="nil"/>
            </w:tcBorders>
            <w:hideMark/>
          </w:tcPr>
          <w:p w14:paraId="041E388D" w14:textId="77777777" w:rsidR="00FD5FAE" w:rsidRPr="00C8226F" w:rsidRDefault="00FD5FAE" w:rsidP="00765A39">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C8226F">
              <w:rPr>
                <w:rFonts w:ascii="Georgia" w:hAnsi="Georgia"/>
                <w:sz w:val="18"/>
                <w:szCs w:val="18"/>
              </w:rPr>
              <w:t>Nr. 4</w:t>
            </w:r>
          </w:p>
        </w:tc>
        <w:tc>
          <w:tcPr>
            <w:tcW w:w="537" w:type="pct"/>
            <w:tcBorders>
              <w:top w:val="single" w:sz="8" w:space="0" w:color="C0504D" w:themeColor="accent2"/>
              <w:left w:val="nil"/>
              <w:bottom w:val="nil"/>
              <w:right w:val="nil"/>
            </w:tcBorders>
            <w:hideMark/>
          </w:tcPr>
          <w:p w14:paraId="166C1CBE" w14:textId="77777777" w:rsidR="00FD5FAE" w:rsidRPr="00C8226F" w:rsidRDefault="00FD5FAE" w:rsidP="00765A39">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C8226F">
              <w:rPr>
                <w:rFonts w:ascii="Georgia" w:hAnsi="Georgia"/>
                <w:sz w:val="18"/>
                <w:szCs w:val="18"/>
              </w:rPr>
              <w:t>Nr. 5</w:t>
            </w:r>
          </w:p>
        </w:tc>
        <w:tc>
          <w:tcPr>
            <w:tcW w:w="554" w:type="pct"/>
            <w:tcBorders>
              <w:top w:val="single" w:sz="8" w:space="0" w:color="C0504D" w:themeColor="accent2"/>
              <w:left w:val="nil"/>
              <w:bottom w:val="nil"/>
              <w:right w:val="nil"/>
            </w:tcBorders>
            <w:hideMark/>
          </w:tcPr>
          <w:p w14:paraId="4C975C3F" w14:textId="77777777" w:rsidR="00FD5FAE" w:rsidRPr="00C8226F" w:rsidRDefault="00FD5FAE" w:rsidP="00765A39">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C8226F">
              <w:rPr>
                <w:rFonts w:ascii="Georgia" w:hAnsi="Georgia"/>
                <w:sz w:val="18"/>
                <w:szCs w:val="18"/>
              </w:rPr>
              <w:t>Nr. 6</w:t>
            </w:r>
          </w:p>
        </w:tc>
        <w:tc>
          <w:tcPr>
            <w:tcW w:w="511" w:type="pct"/>
            <w:tcBorders>
              <w:top w:val="single" w:sz="8" w:space="0" w:color="C0504D" w:themeColor="accent2"/>
              <w:left w:val="nil"/>
              <w:bottom w:val="nil"/>
              <w:right w:val="nil"/>
            </w:tcBorders>
            <w:hideMark/>
          </w:tcPr>
          <w:p w14:paraId="65BAB1B4" w14:textId="77777777" w:rsidR="00FD5FAE" w:rsidRPr="00C8226F" w:rsidRDefault="00FD5FAE" w:rsidP="00765A39">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C8226F">
              <w:rPr>
                <w:rFonts w:ascii="Georgia" w:hAnsi="Georgia"/>
                <w:sz w:val="18"/>
                <w:szCs w:val="18"/>
              </w:rPr>
              <w:t>Nr.7</w:t>
            </w:r>
          </w:p>
        </w:tc>
        <w:tc>
          <w:tcPr>
            <w:tcW w:w="540" w:type="pct"/>
            <w:tcBorders>
              <w:top w:val="single" w:sz="8" w:space="0" w:color="C0504D" w:themeColor="accent2"/>
              <w:left w:val="nil"/>
              <w:bottom w:val="nil"/>
              <w:right w:val="single" w:sz="8" w:space="0" w:color="C0504D" w:themeColor="accent2"/>
            </w:tcBorders>
            <w:hideMark/>
          </w:tcPr>
          <w:p w14:paraId="464037E8" w14:textId="77777777" w:rsidR="00FD5FAE" w:rsidRPr="00C8226F" w:rsidRDefault="00FD5FAE" w:rsidP="00765A39">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C8226F">
              <w:rPr>
                <w:rFonts w:ascii="Georgia" w:hAnsi="Georgia"/>
                <w:sz w:val="18"/>
                <w:szCs w:val="18"/>
              </w:rPr>
              <w:t>Subsidija</w:t>
            </w:r>
          </w:p>
        </w:tc>
      </w:tr>
      <w:tr w:rsidR="00FD5FAE" w:rsidRPr="00C8226F" w14:paraId="5690A668" w14:textId="77777777" w:rsidTr="00E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 w:type="pct"/>
            <w:tcBorders>
              <w:right w:val="nil"/>
            </w:tcBorders>
            <w:hideMark/>
          </w:tcPr>
          <w:p w14:paraId="27E91FA6" w14:textId="77777777" w:rsidR="00FD5FAE" w:rsidRPr="00C8226F" w:rsidRDefault="00FD5FAE" w:rsidP="00765A39">
            <w:pPr>
              <w:rPr>
                <w:rFonts w:ascii="Georgia" w:hAnsi="Georgia"/>
                <w:b w:val="0"/>
                <w:sz w:val="18"/>
                <w:szCs w:val="18"/>
              </w:rPr>
            </w:pPr>
            <w:r w:rsidRPr="00C8226F">
              <w:rPr>
                <w:rFonts w:ascii="Georgia" w:hAnsi="Georgia"/>
                <w:sz w:val="18"/>
                <w:szCs w:val="18"/>
              </w:rPr>
              <w:t>Finansinė priemonė</w:t>
            </w:r>
          </w:p>
        </w:tc>
        <w:tc>
          <w:tcPr>
            <w:tcW w:w="509" w:type="pct"/>
            <w:tcBorders>
              <w:left w:val="nil"/>
              <w:right w:val="nil"/>
            </w:tcBorders>
            <w:hideMark/>
          </w:tcPr>
          <w:p w14:paraId="356FF4D4" w14:textId="191C3182" w:rsidR="00FD5FAE" w:rsidRPr="00C8226F" w:rsidRDefault="00714E80" w:rsidP="00714E80">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sz w:val="16"/>
                <w:szCs w:val="16"/>
              </w:rPr>
              <w:t>P</w:t>
            </w:r>
            <w:r w:rsidR="00FD5FAE" w:rsidRPr="00C8226F">
              <w:rPr>
                <w:rFonts w:ascii="Georgia" w:hAnsi="Georgia"/>
                <w:sz w:val="16"/>
                <w:szCs w:val="16"/>
              </w:rPr>
              <w:t>askola</w:t>
            </w:r>
          </w:p>
        </w:tc>
        <w:tc>
          <w:tcPr>
            <w:tcW w:w="547" w:type="pct"/>
            <w:tcBorders>
              <w:left w:val="nil"/>
              <w:right w:val="nil"/>
            </w:tcBorders>
            <w:hideMark/>
          </w:tcPr>
          <w:p w14:paraId="23103478" w14:textId="42F11BA1" w:rsidR="00FD5FAE" w:rsidRPr="00C8226F" w:rsidRDefault="00714E80" w:rsidP="00714E80">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sz w:val="16"/>
                <w:szCs w:val="16"/>
              </w:rPr>
              <w:t>P</w:t>
            </w:r>
            <w:r w:rsidR="00FD5FAE" w:rsidRPr="00C8226F">
              <w:rPr>
                <w:rFonts w:ascii="Georgia" w:hAnsi="Georgia"/>
                <w:sz w:val="16"/>
                <w:szCs w:val="16"/>
              </w:rPr>
              <w:t xml:space="preserve">askola + investicinis fondas </w:t>
            </w:r>
          </w:p>
        </w:tc>
        <w:tc>
          <w:tcPr>
            <w:tcW w:w="509" w:type="pct"/>
            <w:tcBorders>
              <w:left w:val="nil"/>
              <w:right w:val="nil"/>
            </w:tcBorders>
            <w:hideMark/>
          </w:tcPr>
          <w:p w14:paraId="3FB9B610" w14:textId="36BDDA69" w:rsidR="00FD5FAE" w:rsidRPr="00C8226F" w:rsidRDefault="00714E80"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sz w:val="16"/>
                <w:szCs w:val="16"/>
              </w:rPr>
              <w:t>P</w:t>
            </w:r>
            <w:r w:rsidR="00FD5FAE" w:rsidRPr="00C8226F">
              <w:rPr>
                <w:rFonts w:ascii="Georgia" w:hAnsi="Georgia"/>
                <w:sz w:val="16"/>
                <w:szCs w:val="16"/>
              </w:rPr>
              <w:t xml:space="preserve">askola + Garantijos bankams </w:t>
            </w:r>
          </w:p>
          <w:p w14:paraId="528A4ED1" w14:textId="2C70CFB4"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509" w:type="pct"/>
            <w:tcBorders>
              <w:left w:val="nil"/>
              <w:right w:val="nil"/>
            </w:tcBorders>
            <w:hideMark/>
          </w:tcPr>
          <w:p w14:paraId="1EFE7AF3" w14:textId="7EDCF2E5" w:rsidR="00FD5FAE" w:rsidRPr="00C8226F" w:rsidRDefault="00714E80"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sz w:val="16"/>
                <w:szCs w:val="16"/>
              </w:rPr>
              <w:t>P</w:t>
            </w:r>
            <w:r w:rsidR="00FD5FAE" w:rsidRPr="00C8226F">
              <w:rPr>
                <w:rFonts w:ascii="Georgia" w:hAnsi="Georgia"/>
                <w:sz w:val="16"/>
                <w:szCs w:val="16"/>
              </w:rPr>
              <w:t xml:space="preserve">askola + Garantijos bankams </w:t>
            </w:r>
          </w:p>
          <w:p w14:paraId="23BF79A5" w14:textId="7D5F3878"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 investicinis fondas</w:t>
            </w:r>
          </w:p>
        </w:tc>
        <w:tc>
          <w:tcPr>
            <w:tcW w:w="537" w:type="pct"/>
            <w:tcBorders>
              <w:left w:val="nil"/>
              <w:right w:val="nil"/>
            </w:tcBorders>
            <w:hideMark/>
          </w:tcPr>
          <w:p w14:paraId="03AA7FB8" w14:textId="11149E84" w:rsidR="00FD5FAE" w:rsidRPr="00C8226F" w:rsidRDefault="00714E80" w:rsidP="00714E80">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sz w:val="16"/>
                <w:szCs w:val="16"/>
              </w:rPr>
              <w:t>P</w:t>
            </w:r>
            <w:r w:rsidR="00FD5FAE" w:rsidRPr="00C8226F">
              <w:rPr>
                <w:rFonts w:ascii="Georgia" w:hAnsi="Georgia"/>
                <w:sz w:val="16"/>
                <w:szCs w:val="16"/>
              </w:rPr>
              <w:t>askola + investicinis fondas (pirmo praradimo kapitalas)</w:t>
            </w:r>
          </w:p>
        </w:tc>
        <w:tc>
          <w:tcPr>
            <w:tcW w:w="554" w:type="pct"/>
            <w:tcBorders>
              <w:left w:val="nil"/>
              <w:right w:val="nil"/>
            </w:tcBorders>
            <w:hideMark/>
          </w:tcPr>
          <w:p w14:paraId="3EF261FA" w14:textId="68527674" w:rsidR="00FD5FAE" w:rsidRPr="00C8226F" w:rsidRDefault="00714E80" w:rsidP="00714E80">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sz w:val="16"/>
                <w:szCs w:val="16"/>
              </w:rPr>
              <w:t>5</w:t>
            </w:r>
            <w:r w:rsidR="00FD5FAE" w:rsidRPr="00C8226F">
              <w:rPr>
                <w:rFonts w:ascii="Georgia" w:hAnsi="Georgia"/>
                <w:sz w:val="16"/>
                <w:szCs w:val="16"/>
              </w:rPr>
              <w:t xml:space="preserve">0 proc. </w:t>
            </w:r>
            <w:r>
              <w:rPr>
                <w:rFonts w:ascii="Georgia" w:hAnsi="Georgia"/>
                <w:sz w:val="16"/>
                <w:szCs w:val="16"/>
              </w:rPr>
              <w:t>P</w:t>
            </w:r>
            <w:r w:rsidR="00FD5FAE" w:rsidRPr="00C8226F">
              <w:rPr>
                <w:rFonts w:ascii="Georgia" w:hAnsi="Georgia"/>
                <w:sz w:val="16"/>
                <w:szCs w:val="16"/>
              </w:rPr>
              <w:t xml:space="preserve">askolos + </w:t>
            </w:r>
            <w:r>
              <w:rPr>
                <w:rFonts w:ascii="Georgia" w:hAnsi="Georgia"/>
                <w:sz w:val="16"/>
                <w:szCs w:val="16"/>
              </w:rPr>
              <w:t>5</w:t>
            </w:r>
            <w:r w:rsidR="00FD5FAE" w:rsidRPr="00C8226F">
              <w:rPr>
                <w:rFonts w:ascii="Georgia" w:hAnsi="Georgia"/>
                <w:sz w:val="16"/>
                <w:szCs w:val="16"/>
              </w:rPr>
              <w:t>0 proc. komerciniai bankai + investicinis fondas</w:t>
            </w:r>
          </w:p>
        </w:tc>
        <w:tc>
          <w:tcPr>
            <w:tcW w:w="511" w:type="pct"/>
            <w:tcBorders>
              <w:left w:val="nil"/>
              <w:right w:val="nil"/>
            </w:tcBorders>
            <w:hideMark/>
          </w:tcPr>
          <w:p w14:paraId="73A58D22" w14:textId="3E972299" w:rsidR="00FD5FAE" w:rsidRPr="00C8226F" w:rsidRDefault="00FD5FAE" w:rsidP="00714E80">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 xml:space="preserve">Garantijos </w:t>
            </w:r>
          </w:p>
        </w:tc>
        <w:tc>
          <w:tcPr>
            <w:tcW w:w="540" w:type="pct"/>
            <w:tcBorders>
              <w:left w:val="nil"/>
            </w:tcBorders>
            <w:hideMark/>
          </w:tcPr>
          <w:p w14:paraId="31243EF9" w14:textId="77777777"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100 proc. subsidija</w:t>
            </w:r>
          </w:p>
        </w:tc>
      </w:tr>
      <w:tr w:rsidR="00714E80" w:rsidRPr="00C8226F" w14:paraId="0D914DE7" w14:textId="77777777" w:rsidTr="00E67C77">
        <w:tc>
          <w:tcPr>
            <w:cnfStyle w:val="001000000000" w:firstRow="0" w:lastRow="0" w:firstColumn="1" w:lastColumn="0" w:oddVBand="0" w:evenVBand="0" w:oddHBand="0" w:evenHBand="0" w:firstRowFirstColumn="0" w:firstRowLastColumn="0" w:lastRowFirstColumn="0" w:lastRowLastColumn="0"/>
            <w:tcW w:w="783" w:type="pct"/>
            <w:tcBorders>
              <w:right w:val="nil"/>
            </w:tcBorders>
            <w:hideMark/>
          </w:tcPr>
          <w:p w14:paraId="2F0E4475" w14:textId="77777777" w:rsidR="00714E80" w:rsidRPr="00C8226F" w:rsidRDefault="00714E80" w:rsidP="00714E80">
            <w:pPr>
              <w:rPr>
                <w:rFonts w:ascii="Georgia" w:hAnsi="Georgia"/>
                <w:b w:val="0"/>
                <w:sz w:val="18"/>
                <w:szCs w:val="18"/>
              </w:rPr>
            </w:pPr>
            <w:r w:rsidRPr="00C8226F">
              <w:rPr>
                <w:rFonts w:ascii="Georgia" w:hAnsi="Georgia"/>
                <w:sz w:val="18"/>
                <w:szCs w:val="18"/>
              </w:rPr>
              <w:t>Fondo lėšos (mln. eurų):</w:t>
            </w:r>
          </w:p>
        </w:tc>
        <w:tc>
          <w:tcPr>
            <w:tcW w:w="509" w:type="pct"/>
            <w:tcBorders>
              <w:left w:val="nil"/>
              <w:right w:val="nil"/>
            </w:tcBorders>
            <w:vAlign w:val="center"/>
            <w:hideMark/>
          </w:tcPr>
          <w:p w14:paraId="5165088E" w14:textId="471714FC" w:rsidR="00714E80" w:rsidRPr="00C8226F" w:rsidRDefault="00714E80" w:rsidP="00714E80">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Pr>
                <w:rFonts w:ascii="Georgia" w:hAnsi="Georgia"/>
                <w:color w:val="000000"/>
                <w:sz w:val="16"/>
                <w:szCs w:val="16"/>
              </w:rPr>
              <w:t>79,6</w:t>
            </w:r>
          </w:p>
        </w:tc>
        <w:tc>
          <w:tcPr>
            <w:tcW w:w="547" w:type="pct"/>
            <w:tcBorders>
              <w:left w:val="nil"/>
              <w:right w:val="nil"/>
            </w:tcBorders>
            <w:vAlign w:val="center"/>
            <w:hideMark/>
          </w:tcPr>
          <w:p w14:paraId="2C061770" w14:textId="5B8CD35F" w:rsidR="00714E80" w:rsidRPr="00C8226F" w:rsidRDefault="00714E80" w:rsidP="00714E80">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495E7A">
              <w:rPr>
                <w:rFonts w:ascii="Georgia" w:hAnsi="Georgia"/>
                <w:color w:val="000000"/>
                <w:sz w:val="16"/>
                <w:szCs w:val="16"/>
              </w:rPr>
              <w:t>79,6</w:t>
            </w:r>
          </w:p>
        </w:tc>
        <w:tc>
          <w:tcPr>
            <w:tcW w:w="509" w:type="pct"/>
            <w:tcBorders>
              <w:left w:val="nil"/>
              <w:right w:val="nil"/>
            </w:tcBorders>
            <w:vAlign w:val="center"/>
            <w:hideMark/>
          </w:tcPr>
          <w:p w14:paraId="00BDF417" w14:textId="4495DCD2" w:rsidR="00714E80" w:rsidRPr="00C8226F" w:rsidRDefault="00714E80" w:rsidP="00714E80">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495E7A">
              <w:rPr>
                <w:rFonts w:ascii="Georgia" w:hAnsi="Georgia"/>
                <w:color w:val="000000"/>
                <w:sz w:val="16"/>
                <w:szCs w:val="16"/>
              </w:rPr>
              <w:t>79,6</w:t>
            </w:r>
          </w:p>
        </w:tc>
        <w:tc>
          <w:tcPr>
            <w:tcW w:w="509" w:type="pct"/>
            <w:tcBorders>
              <w:left w:val="nil"/>
              <w:right w:val="nil"/>
            </w:tcBorders>
            <w:vAlign w:val="center"/>
            <w:hideMark/>
          </w:tcPr>
          <w:p w14:paraId="1249C603" w14:textId="4445410D" w:rsidR="00714E80" w:rsidRPr="00C8226F" w:rsidRDefault="00714E80" w:rsidP="00714E80">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495E7A">
              <w:rPr>
                <w:rFonts w:ascii="Georgia" w:hAnsi="Georgia"/>
                <w:color w:val="000000"/>
                <w:sz w:val="16"/>
                <w:szCs w:val="16"/>
              </w:rPr>
              <w:t>79,6</w:t>
            </w:r>
          </w:p>
        </w:tc>
        <w:tc>
          <w:tcPr>
            <w:tcW w:w="537" w:type="pct"/>
            <w:tcBorders>
              <w:left w:val="nil"/>
              <w:right w:val="nil"/>
            </w:tcBorders>
            <w:vAlign w:val="center"/>
            <w:hideMark/>
          </w:tcPr>
          <w:p w14:paraId="333E28A6" w14:textId="2FDD649E" w:rsidR="00714E80" w:rsidRPr="00C8226F" w:rsidRDefault="00714E80" w:rsidP="00714E80">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495E7A">
              <w:rPr>
                <w:rFonts w:ascii="Georgia" w:hAnsi="Georgia"/>
                <w:color w:val="000000"/>
                <w:sz w:val="16"/>
                <w:szCs w:val="16"/>
              </w:rPr>
              <w:t>79,6</w:t>
            </w:r>
          </w:p>
        </w:tc>
        <w:tc>
          <w:tcPr>
            <w:tcW w:w="554" w:type="pct"/>
            <w:tcBorders>
              <w:left w:val="nil"/>
              <w:right w:val="nil"/>
            </w:tcBorders>
            <w:vAlign w:val="center"/>
            <w:hideMark/>
          </w:tcPr>
          <w:p w14:paraId="72AA3930" w14:textId="5B69D385" w:rsidR="00714E80" w:rsidRPr="00C8226F" w:rsidRDefault="00714E80" w:rsidP="00714E80">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495E7A">
              <w:rPr>
                <w:rFonts w:ascii="Georgia" w:hAnsi="Georgia"/>
                <w:color w:val="000000"/>
                <w:sz w:val="16"/>
                <w:szCs w:val="16"/>
              </w:rPr>
              <w:t>79,6</w:t>
            </w:r>
          </w:p>
        </w:tc>
        <w:tc>
          <w:tcPr>
            <w:tcW w:w="511" w:type="pct"/>
            <w:tcBorders>
              <w:left w:val="nil"/>
              <w:right w:val="nil"/>
            </w:tcBorders>
            <w:vAlign w:val="center"/>
            <w:hideMark/>
          </w:tcPr>
          <w:p w14:paraId="0760D692" w14:textId="05E47228" w:rsidR="00714E80" w:rsidRPr="00C8226F" w:rsidRDefault="00714E80" w:rsidP="00206B18">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495E7A">
              <w:rPr>
                <w:rFonts w:ascii="Georgia" w:hAnsi="Georgia"/>
                <w:color w:val="000000"/>
                <w:sz w:val="16"/>
                <w:szCs w:val="16"/>
              </w:rPr>
              <w:t>79,6</w:t>
            </w:r>
          </w:p>
        </w:tc>
        <w:tc>
          <w:tcPr>
            <w:tcW w:w="540" w:type="pct"/>
            <w:tcBorders>
              <w:left w:val="nil"/>
            </w:tcBorders>
            <w:vAlign w:val="center"/>
            <w:hideMark/>
          </w:tcPr>
          <w:p w14:paraId="29145F1B" w14:textId="77777777" w:rsidR="00714E80" w:rsidRPr="00C8226F" w:rsidRDefault="00714E80" w:rsidP="00714E80">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n/a</w:t>
            </w:r>
          </w:p>
        </w:tc>
      </w:tr>
      <w:tr w:rsidR="000519AE" w:rsidRPr="00C8226F" w14:paraId="1C32811A" w14:textId="77777777" w:rsidTr="008E6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 w:type="pct"/>
            <w:tcBorders>
              <w:top w:val="nil"/>
              <w:bottom w:val="nil"/>
              <w:right w:val="nil"/>
            </w:tcBorders>
            <w:hideMark/>
          </w:tcPr>
          <w:p w14:paraId="1A664826" w14:textId="77777777" w:rsidR="00FD5FAE" w:rsidRPr="00C8226F" w:rsidRDefault="00FD5FAE" w:rsidP="00765A39">
            <w:pPr>
              <w:rPr>
                <w:rFonts w:ascii="Georgia" w:hAnsi="Georgia"/>
                <w:b w:val="0"/>
                <w:sz w:val="18"/>
                <w:szCs w:val="18"/>
              </w:rPr>
            </w:pPr>
            <w:r w:rsidRPr="00C8226F">
              <w:rPr>
                <w:rFonts w:ascii="Georgia" w:hAnsi="Georgia"/>
                <w:sz w:val="18"/>
                <w:szCs w:val="18"/>
              </w:rPr>
              <w:t>Galutinius naudos gavėjus pasiekusios lėšos (mln. eurų)</w:t>
            </w:r>
          </w:p>
        </w:tc>
        <w:tc>
          <w:tcPr>
            <w:tcW w:w="509" w:type="pct"/>
            <w:tcBorders>
              <w:top w:val="nil"/>
              <w:left w:val="nil"/>
              <w:bottom w:val="nil"/>
              <w:right w:val="nil"/>
            </w:tcBorders>
            <w:vAlign w:val="center"/>
            <w:hideMark/>
          </w:tcPr>
          <w:p w14:paraId="60EA9A3E" w14:textId="27FC1E08" w:rsidR="00FD5FAE" w:rsidRPr="00C8226F" w:rsidRDefault="00714E80"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bCs/>
                <w:color w:val="000000"/>
                <w:sz w:val="16"/>
                <w:szCs w:val="16"/>
              </w:rPr>
              <w:t>78,4</w:t>
            </w:r>
          </w:p>
        </w:tc>
        <w:tc>
          <w:tcPr>
            <w:tcW w:w="547" w:type="pct"/>
            <w:tcBorders>
              <w:top w:val="nil"/>
              <w:left w:val="nil"/>
              <w:bottom w:val="nil"/>
              <w:right w:val="nil"/>
            </w:tcBorders>
            <w:vAlign w:val="center"/>
            <w:hideMark/>
          </w:tcPr>
          <w:p w14:paraId="232C1E75" w14:textId="0E18E6E9" w:rsidR="00FD5FAE" w:rsidRPr="00C8226F" w:rsidRDefault="00714E80"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bCs/>
                <w:color w:val="000000"/>
                <w:sz w:val="16"/>
                <w:szCs w:val="16"/>
              </w:rPr>
              <w:t>104,6</w:t>
            </w:r>
          </w:p>
        </w:tc>
        <w:tc>
          <w:tcPr>
            <w:tcW w:w="509" w:type="pct"/>
            <w:tcBorders>
              <w:top w:val="nil"/>
              <w:left w:val="nil"/>
              <w:bottom w:val="nil"/>
              <w:right w:val="nil"/>
            </w:tcBorders>
            <w:vAlign w:val="center"/>
            <w:hideMark/>
          </w:tcPr>
          <w:p w14:paraId="6E99317D" w14:textId="6C5F2F7D" w:rsidR="00FD5FAE" w:rsidRPr="00C8226F" w:rsidRDefault="00714E80"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bCs/>
                <w:color w:val="000000"/>
                <w:sz w:val="16"/>
                <w:szCs w:val="16"/>
              </w:rPr>
              <w:t>99,6</w:t>
            </w:r>
          </w:p>
        </w:tc>
        <w:tc>
          <w:tcPr>
            <w:tcW w:w="509" w:type="pct"/>
            <w:tcBorders>
              <w:top w:val="nil"/>
              <w:left w:val="nil"/>
              <w:bottom w:val="nil"/>
              <w:right w:val="nil"/>
            </w:tcBorders>
            <w:vAlign w:val="center"/>
            <w:hideMark/>
          </w:tcPr>
          <w:p w14:paraId="060C7117" w14:textId="1AADCD1E" w:rsidR="00FD5FAE" w:rsidRPr="00C8226F" w:rsidRDefault="00714E80"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bCs/>
                <w:color w:val="000000"/>
                <w:sz w:val="16"/>
                <w:szCs w:val="16"/>
              </w:rPr>
              <w:t>118,6</w:t>
            </w:r>
          </w:p>
        </w:tc>
        <w:tc>
          <w:tcPr>
            <w:tcW w:w="537" w:type="pct"/>
            <w:tcBorders>
              <w:top w:val="nil"/>
              <w:left w:val="nil"/>
              <w:bottom w:val="nil"/>
              <w:right w:val="nil"/>
            </w:tcBorders>
            <w:vAlign w:val="center"/>
            <w:hideMark/>
          </w:tcPr>
          <w:p w14:paraId="265B2964" w14:textId="18A2B15F" w:rsidR="00FD5FAE" w:rsidRPr="00C8226F" w:rsidRDefault="00714E80"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bCs/>
                <w:color w:val="000000"/>
                <w:sz w:val="16"/>
                <w:szCs w:val="16"/>
              </w:rPr>
              <w:t>77,5</w:t>
            </w:r>
          </w:p>
        </w:tc>
        <w:tc>
          <w:tcPr>
            <w:tcW w:w="554" w:type="pct"/>
            <w:tcBorders>
              <w:top w:val="nil"/>
              <w:left w:val="nil"/>
              <w:bottom w:val="nil"/>
              <w:right w:val="nil"/>
            </w:tcBorders>
            <w:vAlign w:val="center"/>
            <w:hideMark/>
          </w:tcPr>
          <w:p w14:paraId="124FB759" w14:textId="347B4934" w:rsidR="00FD5FAE" w:rsidRPr="00C8226F" w:rsidRDefault="00714E80"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bCs/>
                <w:color w:val="000000"/>
                <w:sz w:val="16"/>
                <w:szCs w:val="16"/>
              </w:rPr>
              <w:t>107,2</w:t>
            </w:r>
          </w:p>
        </w:tc>
        <w:tc>
          <w:tcPr>
            <w:tcW w:w="511" w:type="pct"/>
            <w:tcBorders>
              <w:top w:val="nil"/>
              <w:left w:val="nil"/>
              <w:bottom w:val="nil"/>
              <w:right w:val="nil"/>
            </w:tcBorders>
            <w:vAlign w:val="center"/>
            <w:hideMark/>
          </w:tcPr>
          <w:p w14:paraId="173998E4" w14:textId="78B41280" w:rsidR="00FD5FAE" w:rsidRPr="00C8226F" w:rsidRDefault="00714E80"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bCs/>
                <w:color w:val="000000"/>
                <w:sz w:val="16"/>
                <w:szCs w:val="16"/>
              </w:rPr>
              <w:t>114,0</w:t>
            </w:r>
            <w:r w:rsidR="00007761">
              <w:rPr>
                <w:rFonts w:ascii="Georgia" w:hAnsi="Georgia"/>
                <w:bCs/>
                <w:color w:val="000000"/>
                <w:sz w:val="16"/>
                <w:szCs w:val="16"/>
              </w:rPr>
              <w:t>5</w:t>
            </w:r>
          </w:p>
        </w:tc>
        <w:tc>
          <w:tcPr>
            <w:tcW w:w="540" w:type="pct"/>
            <w:tcBorders>
              <w:top w:val="nil"/>
              <w:left w:val="nil"/>
              <w:bottom w:val="nil"/>
            </w:tcBorders>
            <w:vAlign w:val="center"/>
            <w:hideMark/>
          </w:tcPr>
          <w:p w14:paraId="17AB2837" w14:textId="77777777"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79,60</w:t>
            </w:r>
          </w:p>
        </w:tc>
      </w:tr>
      <w:tr w:rsidR="00206B18" w:rsidRPr="00C8226F" w14:paraId="358EA174" w14:textId="77777777" w:rsidTr="008E6454">
        <w:tc>
          <w:tcPr>
            <w:cnfStyle w:val="001000000000" w:firstRow="0" w:lastRow="0" w:firstColumn="1" w:lastColumn="0" w:oddVBand="0" w:evenVBand="0" w:oddHBand="0" w:evenHBand="0" w:firstRowFirstColumn="0" w:firstRowLastColumn="0" w:lastRowFirstColumn="0" w:lastRowLastColumn="0"/>
            <w:tcW w:w="783" w:type="pct"/>
            <w:tcBorders>
              <w:right w:val="nil"/>
            </w:tcBorders>
            <w:hideMark/>
          </w:tcPr>
          <w:p w14:paraId="588F81FC" w14:textId="77777777" w:rsidR="00206B18" w:rsidRPr="00C8226F" w:rsidRDefault="00206B18" w:rsidP="00206B18">
            <w:pPr>
              <w:rPr>
                <w:rFonts w:ascii="Georgia" w:hAnsi="Georgia"/>
                <w:sz w:val="18"/>
                <w:szCs w:val="18"/>
              </w:rPr>
            </w:pPr>
            <w:r w:rsidRPr="00C8226F">
              <w:rPr>
                <w:rFonts w:ascii="Georgia" w:hAnsi="Georgia"/>
                <w:sz w:val="18"/>
                <w:szCs w:val="18"/>
              </w:rPr>
              <w:t>Iki 2022 m. renovuotų pastatų skaičius</w:t>
            </w:r>
          </w:p>
        </w:tc>
        <w:tc>
          <w:tcPr>
            <w:tcW w:w="509" w:type="pct"/>
            <w:tcBorders>
              <w:left w:val="nil"/>
              <w:right w:val="nil"/>
            </w:tcBorders>
            <w:vAlign w:val="center"/>
            <w:hideMark/>
          </w:tcPr>
          <w:p w14:paraId="147A7B96" w14:textId="2F36A4B3" w:rsidR="00206B18" w:rsidRPr="00714E80" w:rsidRDefault="00206B18" w:rsidP="00206B18">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bCs/>
                <w:color w:val="000000"/>
                <w:sz w:val="16"/>
                <w:szCs w:val="16"/>
              </w:rPr>
            </w:pPr>
            <w:r w:rsidRPr="00714E80">
              <w:rPr>
                <w:rFonts w:ascii="Georgia" w:hAnsi="Georgia"/>
                <w:bCs/>
                <w:color w:val="000000"/>
                <w:sz w:val="16"/>
                <w:szCs w:val="16"/>
              </w:rPr>
              <w:t>342</w:t>
            </w:r>
          </w:p>
        </w:tc>
        <w:tc>
          <w:tcPr>
            <w:tcW w:w="547" w:type="pct"/>
            <w:tcBorders>
              <w:left w:val="nil"/>
              <w:right w:val="nil"/>
            </w:tcBorders>
            <w:vAlign w:val="center"/>
            <w:hideMark/>
          </w:tcPr>
          <w:p w14:paraId="39E3F791" w14:textId="5E592597" w:rsidR="00206B18" w:rsidRPr="00E67C77" w:rsidRDefault="00206B18" w:rsidP="00206B18">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bCs/>
                <w:color w:val="000000"/>
                <w:sz w:val="16"/>
                <w:szCs w:val="16"/>
              </w:rPr>
            </w:pPr>
            <w:r w:rsidRPr="00E67C77">
              <w:rPr>
                <w:rFonts w:ascii="Georgia" w:hAnsi="Georgia"/>
                <w:bCs/>
                <w:color w:val="000000"/>
                <w:sz w:val="16"/>
                <w:szCs w:val="16"/>
              </w:rPr>
              <w:t>459</w:t>
            </w:r>
          </w:p>
        </w:tc>
        <w:tc>
          <w:tcPr>
            <w:tcW w:w="509" w:type="pct"/>
            <w:tcBorders>
              <w:left w:val="nil"/>
              <w:right w:val="nil"/>
            </w:tcBorders>
            <w:vAlign w:val="center"/>
            <w:hideMark/>
          </w:tcPr>
          <w:p w14:paraId="799D59DA" w14:textId="1D040566" w:rsidR="00206B18" w:rsidRPr="00E67C77" w:rsidRDefault="00206B18" w:rsidP="00206B18">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bCs/>
                <w:color w:val="000000"/>
                <w:sz w:val="16"/>
                <w:szCs w:val="16"/>
              </w:rPr>
            </w:pPr>
            <w:r w:rsidRPr="00E67C77">
              <w:rPr>
                <w:rFonts w:ascii="Georgia" w:hAnsi="Georgia"/>
                <w:bCs/>
                <w:color w:val="000000"/>
                <w:sz w:val="16"/>
                <w:szCs w:val="16"/>
              </w:rPr>
              <w:t>437</w:t>
            </w:r>
          </w:p>
        </w:tc>
        <w:tc>
          <w:tcPr>
            <w:tcW w:w="509" w:type="pct"/>
            <w:tcBorders>
              <w:left w:val="nil"/>
              <w:right w:val="nil"/>
            </w:tcBorders>
            <w:vAlign w:val="center"/>
            <w:hideMark/>
          </w:tcPr>
          <w:p w14:paraId="248CFAC8" w14:textId="3E4FD0FA" w:rsidR="00206B18" w:rsidRPr="00E67C77" w:rsidRDefault="00206B18" w:rsidP="00206B18">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bCs/>
                <w:color w:val="000000"/>
                <w:sz w:val="16"/>
                <w:szCs w:val="16"/>
              </w:rPr>
            </w:pPr>
            <w:r w:rsidRPr="00E67C77">
              <w:rPr>
                <w:rFonts w:ascii="Georgia" w:hAnsi="Georgia"/>
                <w:bCs/>
                <w:color w:val="000000"/>
                <w:sz w:val="16"/>
                <w:szCs w:val="16"/>
              </w:rPr>
              <w:t xml:space="preserve">520 </w:t>
            </w:r>
          </w:p>
        </w:tc>
        <w:tc>
          <w:tcPr>
            <w:tcW w:w="537" w:type="pct"/>
            <w:tcBorders>
              <w:left w:val="nil"/>
              <w:right w:val="nil"/>
            </w:tcBorders>
            <w:vAlign w:val="center"/>
            <w:hideMark/>
          </w:tcPr>
          <w:p w14:paraId="4F7D846D" w14:textId="1710E622" w:rsidR="00206B18" w:rsidRPr="00E67C77" w:rsidRDefault="00206B18" w:rsidP="00206B18">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bCs/>
                <w:color w:val="000000"/>
                <w:sz w:val="16"/>
                <w:szCs w:val="16"/>
              </w:rPr>
            </w:pPr>
            <w:r w:rsidRPr="00E67C77">
              <w:rPr>
                <w:rFonts w:ascii="Georgia" w:hAnsi="Georgia"/>
                <w:bCs/>
                <w:color w:val="000000"/>
                <w:sz w:val="16"/>
                <w:szCs w:val="16"/>
              </w:rPr>
              <w:t>340</w:t>
            </w:r>
          </w:p>
        </w:tc>
        <w:tc>
          <w:tcPr>
            <w:tcW w:w="554" w:type="pct"/>
            <w:tcBorders>
              <w:left w:val="nil"/>
              <w:right w:val="nil"/>
            </w:tcBorders>
            <w:vAlign w:val="center"/>
            <w:hideMark/>
          </w:tcPr>
          <w:p w14:paraId="1D4E252A" w14:textId="7E595B9F" w:rsidR="00206B18" w:rsidRPr="00E67C77" w:rsidRDefault="00206B18" w:rsidP="00206B18">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bCs/>
                <w:color w:val="000000"/>
                <w:sz w:val="16"/>
                <w:szCs w:val="16"/>
              </w:rPr>
            </w:pPr>
            <w:r w:rsidRPr="00E67C77">
              <w:rPr>
                <w:rFonts w:ascii="Georgia" w:hAnsi="Georgia"/>
                <w:bCs/>
                <w:color w:val="000000"/>
                <w:sz w:val="16"/>
                <w:szCs w:val="16"/>
              </w:rPr>
              <w:t>420</w:t>
            </w:r>
          </w:p>
        </w:tc>
        <w:tc>
          <w:tcPr>
            <w:tcW w:w="511" w:type="pct"/>
            <w:tcBorders>
              <w:left w:val="nil"/>
              <w:right w:val="nil"/>
            </w:tcBorders>
            <w:vAlign w:val="center"/>
            <w:hideMark/>
          </w:tcPr>
          <w:p w14:paraId="59F46E62" w14:textId="451CE895" w:rsidR="00206B18" w:rsidRPr="00E67C77" w:rsidRDefault="00206B18" w:rsidP="00206B18">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bCs/>
                <w:color w:val="000000"/>
                <w:sz w:val="16"/>
                <w:szCs w:val="16"/>
              </w:rPr>
            </w:pPr>
            <w:r w:rsidRPr="00E67C77">
              <w:rPr>
                <w:rFonts w:ascii="Georgia" w:hAnsi="Georgia"/>
                <w:bCs/>
                <w:color w:val="000000"/>
                <w:sz w:val="16"/>
                <w:szCs w:val="16"/>
              </w:rPr>
              <w:t>500</w:t>
            </w:r>
          </w:p>
        </w:tc>
        <w:tc>
          <w:tcPr>
            <w:tcW w:w="540" w:type="pct"/>
            <w:tcBorders>
              <w:left w:val="nil"/>
            </w:tcBorders>
            <w:vAlign w:val="center"/>
            <w:hideMark/>
          </w:tcPr>
          <w:p w14:paraId="113B934D" w14:textId="77777777" w:rsidR="00206B18" w:rsidRPr="00C8226F" w:rsidRDefault="00206B18" w:rsidP="00206B18">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349</w:t>
            </w:r>
          </w:p>
        </w:tc>
      </w:tr>
      <w:tr w:rsidR="00206B18" w:rsidRPr="00C8226F" w14:paraId="737FFEC2" w14:textId="77777777" w:rsidTr="008E6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 w:type="pct"/>
            <w:tcBorders>
              <w:top w:val="nil"/>
              <w:bottom w:val="nil"/>
              <w:right w:val="nil"/>
            </w:tcBorders>
            <w:hideMark/>
          </w:tcPr>
          <w:p w14:paraId="3BD4A69F" w14:textId="77777777" w:rsidR="00206B18" w:rsidRPr="00C8226F" w:rsidRDefault="00206B18" w:rsidP="00206B18">
            <w:pPr>
              <w:rPr>
                <w:rFonts w:ascii="Georgia" w:hAnsi="Georgia"/>
                <w:sz w:val="18"/>
                <w:szCs w:val="18"/>
              </w:rPr>
            </w:pPr>
            <w:r w:rsidRPr="00C8226F">
              <w:rPr>
                <w:rFonts w:ascii="Georgia" w:hAnsi="Georgia"/>
                <w:sz w:val="18"/>
                <w:szCs w:val="18"/>
              </w:rPr>
              <w:t>Iki 2022 m. Renovuotų pastatų plotas, tūkst. kv. m.</w:t>
            </w:r>
          </w:p>
        </w:tc>
        <w:tc>
          <w:tcPr>
            <w:tcW w:w="509" w:type="pct"/>
            <w:tcBorders>
              <w:top w:val="nil"/>
              <w:left w:val="nil"/>
              <w:bottom w:val="nil"/>
              <w:right w:val="nil"/>
            </w:tcBorders>
            <w:vAlign w:val="center"/>
            <w:hideMark/>
          </w:tcPr>
          <w:p w14:paraId="6809068A" w14:textId="011385DB" w:rsidR="00206B18" w:rsidRPr="00714E80" w:rsidRDefault="00206B18" w:rsidP="00206B18">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bCs/>
                <w:color w:val="000000"/>
                <w:sz w:val="16"/>
                <w:szCs w:val="16"/>
              </w:rPr>
            </w:pPr>
            <w:r w:rsidRPr="00714E80">
              <w:rPr>
                <w:rFonts w:ascii="Georgia" w:hAnsi="Georgia"/>
                <w:bCs/>
                <w:color w:val="000000"/>
                <w:sz w:val="16"/>
                <w:szCs w:val="16"/>
              </w:rPr>
              <w:t>225,4</w:t>
            </w:r>
          </w:p>
        </w:tc>
        <w:tc>
          <w:tcPr>
            <w:tcW w:w="547" w:type="pct"/>
            <w:tcBorders>
              <w:top w:val="nil"/>
              <w:left w:val="nil"/>
              <w:bottom w:val="nil"/>
              <w:right w:val="nil"/>
            </w:tcBorders>
            <w:vAlign w:val="center"/>
            <w:hideMark/>
          </w:tcPr>
          <w:p w14:paraId="3D4CC1BC" w14:textId="6502E159" w:rsidR="00206B18" w:rsidRPr="00E67C77" w:rsidRDefault="00206B18" w:rsidP="00206B18">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bCs/>
                <w:color w:val="000000"/>
                <w:sz w:val="16"/>
                <w:szCs w:val="16"/>
              </w:rPr>
            </w:pPr>
            <w:r w:rsidRPr="00E67C77">
              <w:rPr>
                <w:rFonts w:ascii="Georgia" w:hAnsi="Georgia"/>
                <w:bCs/>
                <w:color w:val="000000"/>
                <w:sz w:val="16"/>
                <w:szCs w:val="16"/>
              </w:rPr>
              <w:t>517,0</w:t>
            </w:r>
          </w:p>
        </w:tc>
        <w:tc>
          <w:tcPr>
            <w:tcW w:w="509" w:type="pct"/>
            <w:tcBorders>
              <w:top w:val="nil"/>
              <w:left w:val="nil"/>
              <w:bottom w:val="nil"/>
              <w:right w:val="nil"/>
            </w:tcBorders>
            <w:vAlign w:val="center"/>
            <w:hideMark/>
          </w:tcPr>
          <w:p w14:paraId="44B12ED3" w14:textId="3A8BF56A" w:rsidR="00206B18" w:rsidRPr="00E67C77" w:rsidRDefault="00206B18" w:rsidP="00206B18">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bCs/>
                <w:color w:val="000000"/>
                <w:sz w:val="16"/>
                <w:szCs w:val="16"/>
              </w:rPr>
            </w:pPr>
            <w:r w:rsidRPr="00E67C77">
              <w:rPr>
                <w:rFonts w:ascii="Georgia" w:hAnsi="Georgia"/>
                <w:bCs/>
                <w:color w:val="000000"/>
                <w:sz w:val="16"/>
                <w:szCs w:val="16"/>
              </w:rPr>
              <w:t>492</w:t>
            </w:r>
          </w:p>
        </w:tc>
        <w:tc>
          <w:tcPr>
            <w:tcW w:w="509" w:type="pct"/>
            <w:tcBorders>
              <w:top w:val="nil"/>
              <w:left w:val="nil"/>
              <w:bottom w:val="nil"/>
              <w:right w:val="nil"/>
            </w:tcBorders>
            <w:vAlign w:val="center"/>
            <w:hideMark/>
          </w:tcPr>
          <w:p w14:paraId="5C5E3336" w14:textId="2652BFE5" w:rsidR="00206B18" w:rsidRPr="00E67C77" w:rsidRDefault="00206B18" w:rsidP="00206B18">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bCs/>
                <w:color w:val="000000"/>
                <w:sz w:val="16"/>
                <w:szCs w:val="16"/>
              </w:rPr>
            </w:pPr>
            <w:r w:rsidRPr="00E67C77">
              <w:rPr>
                <w:rFonts w:ascii="Georgia" w:hAnsi="Georgia"/>
                <w:bCs/>
                <w:color w:val="000000"/>
                <w:sz w:val="16"/>
                <w:szCs w:val="16"/>
              </w:rPr>
              <w:t xml:space="preserve">586 </w:t>
            </w:r>
          </w:p>
        </w:tc>
        <w:tc>
          <w:tcPr>
            <w:tcW w:w="537" w:type="pct"/>
            <w:tcBorders>
              <w:top w:val="nil"/>
              <w:left w:val="nil"/>
              <w:bottom w:val="nil"/>
              <w:right w:val="nil"/>
            </w:tcBorders>
            <w:vAlign w:val="center"/>
            <w:hideMark/>
          </w:tcPr>
          <w:p w14:paraId="24DF814D" w14:textId="4F988C9B" w:rsidR="00206B18" w:rsidRPr="00E67C77" w:rsidRDefault="00206B18" w:rsidP="00206B18">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bCs/>
                <w:color w:val="000000"/>
                <w:sz w:val="16"/>
                <w:szCs w:val="16"/>
              </w:rPr>
            </w:pPr>
            <w:r w:rsidRPr="00E67C77">
              <w:rPr>
                <w:rFonts w:ascii="Georgia" w:hAnsi="Georgia"/>
                <w:bCs/>
                <w:color w:val="000000"/>
                <w:sz w:val="16"/>
                <w:szCs w:val="16"/>
              </w:rPr>
              <w:t>383,2</w:t>
            </w:r>
          </w:p>
        </w:tc>
        <w:tc>
          <w:tcPr>
            <w:tcW w:w="554" w:type="pct"/>
            <w:tcBorders>
              <w:top w:val="nil"/>
              <w:left w:val="nil"/>
              <w:bottom w:val="nil"/>
              <w:right w:val="nil"/>
            </w:tcBorders>
            <w:vAlign w:val="center"/>
            <w:hideMark/>
          </w:tcPr>
          <w:p w14:paraId="2D7022EB" w14:textId="2A56FD09" w:rsidR="00206B18" w:rsidRPr="00E67C77" w:rsidRDefault="00206B18" w:rsidP="00206B18">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bCs/>
                <w:color w:val="000000"/>
                <w:sz w:val="16"/>
                <w:szCs w:val="16"/>
              </w:rPr>
            </w:pPr>
            <w:r w:rsidRPr="00E67C77">
              <w:rPr>
                <w:rFonts w:ascii="Georgia" w:hAnsi="Georgia"/>
                <w:bCs/>
                <w:color w:val="000000"/>
                <w:sz w:val="16"/>
                <w:szCs w:val="16"/>
              </w:rPr>
              <w:t>473,3</w:t>
            </w:r>
          </w:p>
        </w:tc>
        <w:tc>
          <w:tcPr>
            <w:tcW w:w="511" w:type="pct"/>
            <w:tcBorders>
              <w:top w:val="nil"/>
              <w:left w:val="nil"/>
              <w:bottom w:val="nil"/>
              <w:right w:val="nil"/>
            </w:tcBorders>
            <w:vAlign w:val="center"/>
            <w:hideMark/>
          </w:tcPr>
          <w:p w14:paraId="41F850D6" w14:textId="66361D3B" w:rsidR="00206B18" w:rsidRPr="00E67C77" w:rsidRDefault="00206B18" w:rsidP="00206B18">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bCs/>
                <w:color w:val="000000"/>
                <w:sz w:val="16"/>
                <w:szCs w:val="16"/>
              </w:rPr>
            </w:pPr>
            <w:r w:rsidRPr="00E67C77">
              <w:rPr>
                <w:rFonts w:ascii="Georgia" w:hAnsi="Georgia"/>
                <w:bCs/>
                <w:color w:val="000000"/>
                <w:sz w:val="16"/>
                <w:szCs w:val="16"/>
              </w:rPr>
              <w:t>563.5</w:t>
            </w:r>
          </w:p>
        </w:tc>
        <w:tc>
          <w:tcPr>
            <w:tcW w:w="540" w:type="pct"/>
            <w:tcBorders>
              <w:top w:val="nil"/>
              <w:left w:val="nil"/>
              <w:bottom w:val="nil"/>
            </w:tcBorders>
            <w:vAlign w:val="center"/>
            <w:hideMark/>
          </w:tcPr>
          <w:p w14:paraId="6E41F5CF" w14:textId="77777777" w:rsidR="00206B18" w:rsidRPr="00C8226F" w:rsidRDefault="00206B18" w:rsidP="00206B18">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393,3</w:t>
            </w:r>
          </w:p>
        </w:tc>
      </w:tr>
      <w:tr w:rsidR="00206B18" w:rsidRPr="00C8226F" w14:paraId="0C95E82B" w14:textId="77777777" w:rsidTr="008E6454">
        <w:tc>
          <w:tcPr>
            <w:cnfStyle w:val="001000000000" w:firstRow="0" w:lastRow="0" w:firstColumn="1" w:lastColumn="0" w:oddVBand="0" w:evenVBand="0" w:oddHBand="0" w:evenHBand="0" w:firstRowFirstColumn="0" w:firstRowLastColumn="0" w:lastRowFirstColumn="0" w:lastRowLastColumn="0"/>
            <w:tcW w:w="783" w:type="pct"/>
            <w:tcBorders>
              <w:right w:val="nil"/>
            </w:tcBorders>
            <w:hideMark/>
          </w:tcPr>
          <w:p w14:paraId="105D3C5C" w14:textId="77777777" w:rsidR="00206B18" w:rsidRPr="00C8226F" w:rsidRDefault="00206B18" w:rsidP="00206B18">
            <w:pPr>
              <w:rPr>
                <w:rFonts w:ascii="Georgia" w:hAnsi="Georgia"/>
                <w:sz w:val="18"/>
                <w:szCs w:val="18"/>
              </w:rPr>
            </w:pPr>
            <w:r w:rsidRPr="00C8226F">
              <w:rPr>
                <w:rFonts w:ascii="Georgia" w:hAnsi="Georgia"/>
                <w:sz w:val="18"/>
                <w:szCs w:val="18"/>
              </w:rPr>
              <w:t>Iki 2020 m. Renovuotų pastatų plotas, tūkst. kv. m.</w:t>
            </w:r>
          </w:p>
        </w:tc>
        <w:tc>
          <w:tcPr>
            <w:tcW w:w="509" w:type="pct"/>
            <w:tcBorders>
              <w:left w:val="nil"/>
              <w:right w:val="nil"/>
            </w:tcBorders>
            <w:vAlign w:val="center"/>
            <w:hideMark/>
          </w:tcPr>
          <w:p w14:paraId="63E14DD7" w14:textId="450C4DE7" w:rsidR="00206B18" w:rsidRPr="00C8226F" w:rsidRDefault="00206B18" w:rsidP="00206B18">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bCs/>
                <w:color w:val="000000"/>
                <w:sz w:val="16"/>
                <w:szCs w:val="16"/>
              </w:rPr>
            </w:pPr>
            <w:r w:rsidRPr="00714E80">
              <w:rPr>
                <w:rFonts w:ascii="Georgia" w:hAnsi="Georgia"/>
                <w:bCs/>
                <w:color w:val="000000"/>
                <w:sz w:val="16"/>
                <w:szCs w:val="16"/>
              </w:rPr>
              <w:t>385,7</w:t>
            </w:r>
          </w:p>
        </w:tc>
        <w:tc>
          <w:tcPr>
            <w:tcW w:w="547" w:type="pct"/>
            <w:tcBorders>
              <w:left w:val="nil"/>
              <w:right w:val="nil"/>
            </w:tcBorders>
            <w:vAlign w:val="center"/>
            <w:hideMark/>
          </w:tcPr>
          <w:p w14:paraId="557428B1" w14:textId="04157F39" w:rsidR="00206B18" w:rsidRPr="00C8226F" w:rsidRDefault="00206B18" w:rsidP="00206B18">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bCs/>
                <w:color w:val="000000"/>
                <w:sz w:val="16"/>
                <w:szCs w:val="16"/>
              </w:rPr>
            </w:pPr>
            <w:r w:rsidRPr="00E67C77">
              <w:rPr>
                <w:rFonts w:ascii="Georgia" w:hAnsi="Georgia"/>
                <w:bCs/>
                <w:color w:val="000000"/>
                <w:sz w:val="16"/>
                <w:szCs w:val="16"/>
              </w:rPr>
              <w:t>338,1</w:t>
            </w:r>
          </w:p>
        </w:tc>
        <w:tc>
          <w:tcPr>
            <w:tcW w:w="509" w:type="pct"/>
            <w:tcBorders>
              <w:left w:val="nil"/>
              <w:right w:val="nil"/>
            </w:tcBorders>
            <w:vAlign w:val="center"/>
            <w:hideMark/>
          </w:tcPr>
          <w:p w14:paraId="6449E43E" w14:textId="47BE5B30" w:rsidR="00206B18" w:rsidRPr="00C8226F" w:rsidRDefault="00206B18" w:rsidP="00206B18">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bCs/>
                <w:color w:val="000000"/>
                <w:sz w:val="16"/>
                <w:szCs w:val="16"/>
              </w:rPr>
            </w:pPr>
            <w:r w:rsidRPr="00E67C77">
              <w:rPr>
                <w:rFonts w:ascii="Georgia" w:hAnsi="Georgia"/>
                <w:bCs/>
                <w:color w:val="000000"/>
                <w:sz w:val="16"/>
                <w:szCs w:val="16"/>
              </w:rPr>
              <w:t>267</w:t>
            </w:r>
          </w:p>
        </w:tc>
        <w:tc>
          <w:tcPr>
            <w:tcW w:w="509" w:type="pct"/>
            <w:tcBorders>
              <w:left w:val="nil"/>
              <w:right w:val="nil"/>
            </w:tcBorders>
            <w:vAlign w:val="center"/>
            <w:hideMark/>
          </w:tcPr>
          <w:p w14:paraId="01C6057B" w14:textId="6CBD2417" w:rsidR="00206B18" w:rsidRPr="00C8226F" w:rsidRDefault="00206B18" w:rsidP="00206B18">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bCs/>
                <w:color w:val="000000"/>
                <w:sz w:val="16"/>
                <w:szCs w:val="16"/>
              </w:rPr>
            </w:pPr>
            <w:r w:rsidRPr="00E67C77">
              <w:rPr>
                <w:rFonts w:ascii="Georgia" w:hAnsi="Georgia"/>
                <w:bCs/>
                <w:color w:val="000000"/>
                <w:sz w:val="16"/>
                <w:szCs w:val="16"/>
              </w:rPr>
              <w:t xml:space="preserve">315,6 </w:t>
            </w:r>
          </w:p>
        </w:tc>
        <w:tc>
          <w:tcPr>
            <w:tcW w:w="537" w:type="pct"/>
            <w:tcBorders>
              <w:left w:val="nil"/>
              <w:right w:val="nil"/>
            </w:tcBorders>
            <w:vAlign w:val="center"/>
            <w:hideMark/>
          </w:tcPr>
          <w:p w14:paraId="24CCE2D4" w14:textId="2F1E7686" w:rsidR="00206B18" w:rsidRPr="00C8226F" w:rsidRDefault="00206B18" w:rsidP="00206B18">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bCs/>
                <w:color w:val="000000"/>
                <w:sz w:val="16"/>
                <w:szCs w:val="16"/>
              </w:rPr>
            </w:pPr>
            <w:r w:rsidRPr="00E67C77">
              <w:rPr>
                <w:rFonts w:ascii="Georgia" w:hAnsi="Georgia"/>
                <w:bCs/>
                <w:color w:val="000000"/>
                <w:sz w:val="16"/>
                <w:szCs w:val="16"/>
              </w:rPr>
              <w:t>202,9</w:t>
            </w:r>
          </w:p>
        </w:tc>
        <w:tc>
          <w:tcPr>
            <w:tcW w:w="554" w:type="pct"/>
            <w:tcBorders>
              <w:left w:val="nil"/>
              <w:right w:val="nil"/>
            </w:tcBorders>
            <w:vAlign w:val="center"/>
            <w:hideMark/>
          </w:tcPr>
          <w:p w14:paraId="632699C3" w14:textId="3EB5C95F" w:rsidR="00206B18" w:rsidRPr="00C8226F" w:rsidRDefault="00206B18" w:rsidP="00206B18">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bCs/>
                <w:color w:val="000000"/>
                <w:sz w:val="16"/>
                <w:szCs w:val="16"/>
              </w:rPr>
            </w:pPr>
            <w:r w:rsidRPr="00E67C77">
              <w:rPr>
                <w:rFonts w:ascii="Georgia" w:hAnsi="Georgia"/>
                <w:bCs/>
                <w:color w:val="000000"/>
                <w:sz w:val="16"/>
                <w:szCs w:val="16"/>
              </w:rPr>
              <w:t>247,9</w:t>
            </w:r>
          </w:p>
        </w:tc>
        <w:tc>
          <w:tcPr>
            <w:tcW w:w="511" w:type="pct"/>
            <w:tcBorders>
              <w:left w:val="nil"/>
              <w:right w:val="nil"/>
            </w:tcBorders>
            <w:vAlign w:val="center"/>
            <w:hideMark/>
          </w:tcPr>
          <w:p w14:paraId="5AE5A7E7" w14:textId="5EFB216B" w:rsidR="00206B18" w:rsidRPr="00C8226F" w:rsidRDefault="00206B18" w:rsidP="00206B18">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bCs/>
                <w:color w:val="000000"/>
                <w:sz w:val="16"/>
                <w:szCs w:val="16"/>
              </w:rPr>
            </w:pPr>
            <w:r w:rsidRPr="00E67C77">
              <w:rPr>
                <w:rFonts w:ascii="Georgia" w:hAnsi="Georgia"/>
                <w:bCs/>
                <w:color w:val="000000"/>
                <w:sz w:val="16"/>
                <w:szCs w:val="16"/>
              </w:rPr>
              <w:t>293,0</w:t>
            </w:r>
          </w:p>
        </w:tc>
        <w:tc>
          <w:tcPr>
            <w:tcW w:w="540" w:type="pct"/>
            <w:tcBorders>
              <w:left w:val="nil"/>
            </w:tcBorders>
            <w:vAlign w:val="center"/>
            <w:hideMark/>
          </w:tcPr>
          <w:p w14:paraId="37672F7F" w14:textId="77777777" w:rsidR="00206B18" w:rsidRPr="00C8226F" w:rsidRDefault="00206B18" w:rsidP="00206B18">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393,3</w:t>
            </w:r>
          </w:p>
        </w:tc>
      </w:tr>
      <w:tr w:rsidR="00206B18" w:rsidRPr="00C8226F" w14:paraId="6A05B953" w14:textId="77777777" w:rsidTr="00E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il"/>
              <w:bottom w:val="nil"/>
              <w:right w:val="nil"/>
            </w:tcBorders>
            <w:hideMark/>
          </w:tcPr>
          <w:p w14:paraId="6DF8629B" w14:textId="77777777" w:rsidR="00206B18" w:rsidRPr="00C8226F" w:rsidRDefault="00206B18" w:rsidP="00206B18">
            <w:pPr>
              <w:rPr>
                <w:rFonts w:ascii="Georgia" w:hAnsi="Georgia"/>
                <w:b w:val="0"/>
                <w:sz w:val="18"/>
                <w:szCs w:val="18"/>
              </w:rPr>
            </w:pPr>
            <w:r w:rsidRPr="00C8226F">
              <w:rPr>
                <w:rFonts w:ascii="Georgia" w:hAnsi="Georgia"/>
                <w:sz w:val="18"/>
                <w:szCs w:val="18"/>
              </w:rPr>
              <w:t>Projektų multiplika-torius</w:t>
            </w:r>
          </w:p>
        </w:tc>
        <w:tc>
          <w:tcPr>
            <w:tcW w:w="0" w:type="pct"/>
            <w:tcBorders>
              <w:top w:val="nil"/>
              <w:left w:val="nil"/>
              <w:bottom w:val="nil"/>
              <w:right w:val="nil"/>
            </w:tcBorders>
            <w:vAlign w:val="center"/>
            <w:hideMark/>
          </w:tcPr>
          <w:p w14:paraId="6CEBBBDB" w14:textId="633DF2E4" w:rsidR="00206B18" w:rsidRPr="00C8226F" w:rsidRDefault="00206B18" w:rsidP="00206B18">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bCs/>
                <w:color w:val="000000"/>
                <w:sz w:val="16"/>
                <w:szCs w:val="16"/>
              </w:rPr>
              <w:t>0,99</w:t>
            </w:r>
          </w:p>
        </w:tc>
        <w:tc>
          <w:tcPr>
            <w:tcW w:w="0" w:type="pct"/>
            <w:tcBorders>
              <w:top w:val="nil"/>
              <w:left w:val="nil"/>
              <w:bottom w:val="nil"/>
              <w:right w:val="nil"/>
            </w:tcBorders>
            <w:vAlign w:val="center"/>
            <w:hideMark/>
          </w:tcPr>
          <w:p w14:paraId="2A92C1F6" w14:textId="5A9BF9AE" w:rsidR="00206B18" w:rsidRPr="00E67C77" w:rsidRDefault="00206B18" w:rsidP="00206B18">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bCs/>
                <w:color w:val="000000"/>
                <w:sz w:val="16"/>
                <w:szCs w:val="16"/>
              </w:rPr>
            </w:pPr>
            <w:r w:rsidRPr="00E67C77">
              <w:rPr>
                <w:rFonts w:ascii="Georgia" w:hAnsi="Georgia"/>
                <w:bCs/>
                <w:color w:val="000000"/>
                <w:sz w:val="16"/>
                <w:szCs w:val="16"/>
              </w:rPr>
              <w:t>1</w:t>
            </w:r>
            <w:r>
              <w:rPr>
                <w:rFonts w:ascii="Georgia" w:hAnsi="Georgia"/>
                <w:bCs/>
                <w:color w:val="000000"/>
                <w:sz w:val="16"/>
                <w:szCs w:val="16"/>
              </w:rPr>
              <w:t>,</w:t>
            </w:r>
            <w:r w:rsidRPr="00E67C77">
              <w:rPr>
                <w:rFonts w:ascii="Georgia" w:hAnsi="Georgia"/>
                <w:bCs/>
                <w:color w:val="000000"/>
                <w:sz w:val="16"/>
                <w:szCs w:val="16"/>
              </w:rPr>
              <w:t>31</w:t>
            </w:r>
          </w:p>
        </w:tc>
        <w:tc>
          <w:tcPr>
            <w:tcW w:w="0" w:type="pct"/>
            <w:tcBorders>
              <w:top w:val="nil"/>
              <w:left w:val="nil"/>
              <w:bottom w:val="nil"/>
              <w:right w:val="nil"/>
            </w:tcBorders>
            <w:vAlign w:val="center"/>
            <w:hideMark/>
          </w:tcPr>
          <w:p w14:paraId="5B27C884" w14:textId="2CC674C9" w:rsidR="00206B18" w:rsidRPr="00E67C77" w:rsidRDefault="00206B18" w:rsidP="00206B18">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bCs/>
                <w:color w:val="000000"/>
                <w:sz w:val="16"/>
                <w:szCs w:val="16"/>
              </w:rPr>
            </w:pPr>
            <w:r w:rsidRPr="00E67C77">
              <w:rPr>
                <w:rFonts w:ascii="Georgia" w:hAnsi="Georgia"/>
                <w:bCs/>
                <w:color w:val="000000"/>
                <w:sz w:val="16"/>
                <w:szCs w:val="16"/>
              </w:rPr>
              <w:t>1</w:t>
            </w:r>
            <w:r>
              <w:rPr>
                <w:rFonts w:ascii="Georgia" w:hAnsi="Georgia"/>
                <w:bCs/>
                <w:color w:val="000000"/>
                <w:sz w:val="16"/>
                <w:szCs w:val="16"/>
              </w:rPr>
              <w:t>,</w:t>
            </w:r>
            <w:r w:rsidRPr="00E67C77">
              <w:rPr>
                <w:rFonts w:ascii="Georgia" w:hAnsi="Georgia"/>
                <w:bCs/>
                <w:color w:val="000000"/>
                <w:sz w:val="16"/>
                <w:szCs w:val="16"/>
              </w:rPr>
              <w:t>25</w:t>
            </w:r>
          </w:p>
        </w:tc>
        <w:tc>
          <w:tcPr>
            <w:tcW w:w="0" w:type="pct"/>
            <w:tcBorders>
              <w:top w:val="nil"/>
              <w:left w:val="nil"/>
              <w:bottom w:val="nil"/>
              <w:right w:val="nil"/>
            </w:tcBorders>
            <w:vAlign w:val="center"/>
            <w:hideMark/>
          </w:tcPr>
          <w:p w14:paraId="20445B1A" w14:textId="547AFE10" w:rsidR="00206B18" w:rsidRPr="00E67C77" w:rsidRDefault="00206B18" w:rsidP="00206B18">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bCs/>
                <w:color w:val="000000"/>
                <w:sz w:val="16"/>
                <w:szCs w:val="16"/>
              </w:rPr>
            </w:pPr>
            <w:r w:rsidRPr="00E67C77">
              <w:rPr>
                <w:rFonts w:ascii="Georgia" w:hAnsi="Georgia"/>
                <w:bCs/>
                <w:color w:val="000000"/>
                <w:sz w:val="16"/>
                <w:szCs w:val="16"/>
              </w:rPr>
              <w:t>1</w:t>
            </w:r>
            <w:r>
              <w:rPr>
                <w:rFonts w:ascii="Georgia" w:hAnsi="Georgia"/>
                <w:bCs/>
                <w:color w:val="000000"/>
                <w:sz w:val="16"/>
                <w:szCs w:val="16"/>
              </w:rPr>
              <w:t>,</w:t>
            </w:r>
            <w:r w:rsidRPr="00E67C77">
              <w:rPr>
                <w:rFonts w:ascii="Georgia" w:hAnsi="Georgia"/>
                <w:bCs/>
                <w:color w:val="000000"/>
                <w:sz w:val="16"/>
                <w:szCs w:val="16"/>
              </w:rPr>
              <w:t>49</w:t>
            </w:r>
          </w:p>
        </w:tc>
        <w:tc>
          <w:tcPr>
            <w:tcW w:w="0" w:type="pct"/>
            <w:tcBorders>
              <w:top w:val="nil"/>
              <w:left w:val="nil"/>
              <w:bottom w:val="nil"/>
              <w:right w:val="nil"/>
            </w:tcBorders>
            <w:vAlign w:val="center"/>
            <w:hideMark/>
          </w:tcPr>
          <w:p w14:paraId="7967C48A" w14:textId="0D718AC0" w:rsidR="00206B18" w:rsidRPr="00E67C77" w:rsidRDefault="00206B18" w:rsidP="00206B18">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bCs/>
                <w:color w:val="000000"/>
                <w:sz w:val="16"/>
                <w:szCs w:val="16"/>
              </w:rPr>
            </w:pPr>
            <w:r w:rsidRPr="00E67C77">
              <w:rPr>
                <w:rFonts w:ascii="Georgia" w:hAnsi="Georgia"/>
                <w:bCs/>
                <w:color w:val="000000"/>
                <w:sz w:val="16"/>
                <w:szCs w:val="16"/>
              </w:rPr>
              <w:t>0</w:t>
            </w:r>
            <w:r>
              <w:rPr>
                <w:rFonts w:ascii="Georgia" w:hAnsi="Georgia"/>
                <w:bCs/>
                <w:color w:val="000000"/>
                <w:sz w:val="16"/>
                <w:szCs w:val="16"/>
              </w:rPr>
              <w:t>,</w:t>
            </w:r>
            <w:r w:rsidRPr="00E67C77">
              <w:rPr>
                <w:rFonts w:ascii="Georgia" w:hAnsi="Georgia"/>
                <w:bCs/>
                <w:color w:val="000000"/>
                <w:sz w:val="16"/>
                <w:szCs w:val="16"/>
              </w:rPr>
              <w:t>97</w:t>
            </w:r>
          </w:p>
        </w:tc>
        <w:tc>
          <w:tcPr>
            <w:tcW w:w="0" w:type="pct"/>
            <w:tcBorders>
              <w:top w:val="nil"/>
              <w:left w:val="nil"/>
              <w:bottom w:val="nil"/>
              <w:right w:val="nil"/>
            </w:tcBorders>
            <w:vAlign w:val="center"/>
            <w:hideMark/>
          </w:tcPr>
          <w:p w14:paraId="1CEBE902" w14:textId="57E4A08B" w:rsidR="00206B18" w:rsidRPr="00E67C77" w:rsidRDefault="00206B18" w:rsidP="00206B18">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bCs/>
                <w:color w:val="000000"/>
                <w:sz w:val="16"/>
                <w:szCs w:val="16"/>
              </w:rPr>
            </w:pPr>
            <w:r w:rsidRPr="00E67C77">
              <w:rPr>
                <w:rFonts w:ascii="Georgia" w:hAnsi="Georgia"/>
                <w:bCs/>
                <w:color w:val="000000"/>
                <w:sz w:val="16"/>
                <w:szCs w:val="16"/>
              </w:rPr>
              <w:t>1</w:t>
            </w:r>
            <w:r>
              <w:rPr>
                <w:rFonts w:ascii="Georgia" w:hAnsi="Georgia"/>
                <w:bCs/>
                <w:color w:val="000000"/>
                <w:sz w:val="16"/>
                <w:szCs w:val="16"/>
              </w:rPr>
              <w:t>,</w:t>
            </w:r>
            <w:r w:rsidRPr="00E67C77">
              <w:rPr>
                <w:rFonts w:ascii="Georgia" w:hAnsi="Georgia"/>
                <w:bCs/>
                <w:color w:val="000000"/>
                <w:sz w:val="16"/>
                <w:szCs w:val="16"/>
              </w:rPr>
              <w:t>35</w:t>
            </w:r>
          </w:p>
        </w:tc>
        <w:tc>
          <w:tcPr>
            <w:tcW w:w="0" w:type="pct"/>
            <w:tcBorders>
              <w:top w:val="nil"/>
              <w:left w:val="nil"/>
              <w:bottom w:val="nil"/>
              <w:right w:val="nil"/>
            </w:tcBorders>
            <w:vAlign w:val="center"/>
            <w:hideMark/>
          </w:tcPr>
          <w:p w14:paraId="2156A368" w14:textId="78EFE88F" w:rsidR="00206B18" w:rsidRPr="00E67C77" w:rsidRDefault="00206B18" w:rsidP="00206B18">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bCs/>
                <w:color w:val="000000"/>
                <w:sz w:val="16"/>
                <w:szCs w:val="16"/>
              </w:rPr>
            </w:pPr>
            <w:r w:rsidRPr="00E67C77">
              <w:rPr>
                <w:rFonts w:ascii="Georgia" w:hAnsi="Georgia"/>
                <w:bCs/>
                <w:color w:val="000000"/>
                <w:sz w:val="16"/>
                <w:szCs w:val="16"/>
              </w:rPr>
              <w:t>1</w:t>
            </w:r>
            <w:r>
              <w:rPr>
                <w:rFonts w:ascii="Georgia" w:hAnsi="Georgia"/>
                <w:bCs/>
                <w:color w:val="000000"/>
                <w:sz w:val="16"/>
                <w:szCs w:val="16"/>
              </w:rPr>
              <w:t>,</w:t>
            </w:r>
            <w:r w:rsidRPr="00E67C77">
              <w:rPr>
                <w:rFonts w:ascii="Georgia" w:hAnsi="Georgia"/>
                <w:bCs/>
                <w:color w:val="000000"/>
                <w:sz w:val="16"/>
                <w:szCs w:val="16"/>
              </w:rPr>
              <w:t>43</w:t>
            </w:r>
          </w:p>
        </w:tc>
        <w:tc>
          <w:tcPr>
            <w:tcW w:w="0" w:type="pct"/>
            <w:tcBorders>
              <w:top w:val="nil"/>
              <w:left w:val="nil"/>
              <w:bottom w:val="nil"/>
            </w:tcBorders>
            <w:vAlign w:val="center"/>
            <w:hideMark/>
          </w:tcPr>
          <w:p w14:paraId="13C790AB" w14:textId="77777777" w:rsidR="00206B18" w:rsidRPr="00C8226F" w:rsidRDefault="00206B18" w:rsidP="00206B18">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Nėra</w:t>
            </w:r>
          </w:p>
        </w:tc>
      </w:tr>
      <w:tr w:rsidR="00206B18" w:rsidRPr="00C8226F" w14:paraId="56968A2F" w14:textId="77777777" w:rsidTr="00E67C77">
        <w:tc>
          <w:tcPr>
            <w:cnfStyle w:val="001000000000" w:firstRow="0" w:lastRow="0" w:firstColumn="1" w:lastColumn="0" w:oddVBand="0" w:evenVBand="0" w:oddHBand="0" w:evenHBand="0" w:firstRowFirstColumn="0" w:firstRowLastColumn="0" w:lastRowFirstColumn="0" w:lastRowLastColumn="0"/>
            <w:tcW w:w="0" w:type="pct"/>
            <w:tcBorders>
              <w:right w:val="nil"/>
            </w:tcBorders>
            <w:hideMark/>
          </w:tcPr>
          <w:p w14:paraId="78A390BF" w14:textId="77777777" w:rsidR="00206B18" w:rsidRPr="00C8226F" w:rsidRDefault="00206B18" w:rsidP="00206B18">
            <w:pPr>
              <w:rPr>
                <w:rFonts w:ascii="Georgia" w:hAnsi="Georgia"/>
                <w:b w:val="0"/>
                <w:sz w:val="18"/>
                <w:szCs w:val="18"/>
              </w:rPr>
            </w:pPr>
            <w:r w:rsidRPr="00C8226F">
              <w:rPr>
                <w:rFonts w:ascii="Georgia" w:hAnsi="Georgia"/>
                <w:sz w:val="18"/>
                <w:szCs w:val="18"/>
              </w:rPr>
              <w:t>Sverto efektas</w:t>
            </w:r>
          </w:p>
        </w:tc>
        <w:tc>
          <w:tcPr>
            <w:tcW w:w="0" w:type="pct"/>
            <w:tcBorders>
              <w:left w:val="nil"/>
              <w:right w:val="nil"/>
            </w:tcBorders>
            <w:vAlign w:val="center"/>
            <w:hideMark/>
          </w:tcPr>
          <w:p w14:paraId="35F4E94C" w14:textId="26B99DA7" w:rsidR="00206B18" w:rsidRPr="00C8226F" w:rsidRDefault="00206B18" w:rsidP="00206B18">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Pr>
                <w:rFonts w:ascii="Georgia" w:hAnsi="Georgia"/>
                <w:bCs/>
                <w:color w:val="000000"/>
                <w:sz w:val="16"/>
                <w:szCs w:val="16"/>
              </w:rPr>
              <w:t>1,10</w:t>
            </w:r>
          </w:p>
        </w:tc>
        <w:tc>
          <w:tcPr>
            <w:tcW w:w="0" w:type="pct"/>
            <w:tcBorders>
              <w:left w:val="nil"/>
              <w:right w:val="nil"/>
            </w:tcBorders>
            <w:vAlign w:val="center"/>
            <w:hideMark/>
          </w:tcPr>
          <w:p w14:paraId="0FA6D078" w14:textId="39E1D221" w:rsidR="00206B18" w:rsidRPr="00E67C77" w:rsidRDefault="00206B18" w:rsidP="00206B18">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bCs/>
                <w:color w:val="000000"/>
                <w:sz w:val="16"/>
                <w:szCs w:val="16"/>
              </w:rPr>
            </w:pPr>
            <w:r w:rsidRPr="00E67C77">
              <w:rPr>
                <w:rFonts w:ascii="Georgia" w:hAnsi="Georgia"/>
                <w:bCs/>
                <w:color w:val="000000"/>
                <w:sz w:val="16"/>
                <w:szCs w:val="16"/>
              </w:rPr>
              <w:t>1</w:t>
            </w:r>
            <w:r>
              <w:rPr>
                <w:rFonts w:ascii="Georgia" w:hAnsi="Georgia"/>
                <w:bCs/>
                <w:color w:val="000000"/>
                <w:sz w:val="16"/>
                <w:szCs w:val="16"/>
              </w:rPr>
              <w:t>,</w:t>
            </w:r>
            <w:r w:rsidRPr="00E67C77">
              <w:rPr>
                <w:rFonts w:ascii="Georgia" w:hAnsi="Georgia"/>
                <w:bCs/>
                <w:color w:val="000000"/>
                <w:sz w:val="16"/>
                <w:szCs w:val="16"/>
              </w:rPr>
              <w:t>87</w:t>
            </w:r>
          </w:p>
        </w:tc>
        <w:tc>
          <w:tcPr>
            <w:tcW w:w="0" w:type="pct"/>
            <w:tcBorders>
              <w:left w:val="nil"/>
              <w:right w:val="nil"/>
            </w:tcBorders>
            <w:vAlign w:val="center"/>
            <w:hideMark/>
          </w:tcPr>
          <w:p w14:paraId="0D98467E" w14:textId="27471A40" w:rsidR="00206B18" w:rsidRPr="00E67C77" w:rsidRDefault="00206B18" w:rsidP="00206B18">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bCs/>
                <w:color w:val="000000"/>
                <w:sz w:val="16"/>
                <w:szCs w:val="16"/>
              </w:rPr>
            </w:pPr>
            <w:r w:rsidRPr="00E67C77">
              <w:rPr>
                <w:rFonts w:ascii="Georgia" w:hAnsi="Georgia"/>
                <w:bCs/>
                <w:color w:val="000000"/>
                <w:sz w:val="16"/>
                <w:szCs w:val="16"/>
              </w:rPr>
              <w:t>1</w:t>
            </w:r>
            <w:r>
              <w:rPr>
                <w:rFonts w:ascii="Georgia" w:hAnsi="Georgia"/>
                <w:bCs/>
                <w:color w:val="000000"/>
                <w:sz w:val="16"/>
                <w:szCs w:val="16"/>
              </w:rPr>
              <w:t>,</w:t>
            </w:r>
            <w:r w:rsidRPr="00E67C77">
              <w:rPr>
                <w:rFonts w:ascii="Georgia" w:hAnsi="Georgia"/>
                <w:bCs/>
                <w:color w:val="000000"/>
                <w:sz w:val="16"/>
                <w:szCs w:val="16"/>
              </w:rPr>
              <w:t>84</w:t>
            </w:r>
          </w:p>
        </w:tc>
        <w:tc>
          <w:tcPr>
            <w:tcW w:w="0" w:type="pct"/>
            <w:tcBorders>
              <w:left w:val="nil"/>
              <w:right w:val="nil"/>
            </w:tcBorders>
            <w:vAlign w:val="center"/>
            <w:hideMark/>
          </w:tcPr>
          <w:p w14:paraId="25D4FA69" w14:textId="6DC6D00E" w:rsidR="00206B18" w:rsidRPr="00E67C77" w:rsidRDefault="00206B18" w:rsidP="00206B18">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bCs/>
                <w:color w:val="000000"/>
                <w:sz w:val="16"/>
                <w:szCs w:val="16"/>
              </w:rPr>
            </w:pPr>
            <w:r w:rsidRPr="00E67C77">
              <w:rPr>
                <w:rFonts w:ascii="Georgia" w:hAnsi="Georgia"/>
                <w:bCs/>
                <w:color w:val="000000"/>
                <w:sz w:val="16"/>
                <w:szCs w:val="16"/>
              </w:rPr>
              <w:t>2</w:t>
            </w:r>
            <w:r>
              <w:rPr>
                <w:rFonts w:ascii="Georgia" w:hAnsi="Georgia"/>
                <w:bCs/>
                <w:color w:val="000000"/>
                <w:sz w:val="16"/>
                <w:szCs w:val="16"/>
              </w:rPr>
              <w:t>,</w:t>
            </w:r>
            <w:r w:rsidRPr="00E67C77">
              <w:rPr>
                <w:rFonts w:ascii="Georgia" w:hAnsi="Georgia"/>
                <w:bCs/>
                <w:color w:val="000000"/>
                <w:sz w:val="16"/>
                <w:szCs w:val="16"/>
              </w:rPr>
              <w:t>21</w:t>
            </w:r>
          </w:p>
        </w:tc>
        <w:tc>
          <w:tcPr>
            <w:tcW w:w="0" w:type="pct"/>
            <w:tcBorders>
              <w:left w:val="nil"/>
              <w:right w:val="nil"/>
            </w:tcBorders>
            <w:vAlign w:val="center"/>
            <w:hideMark/>
          </w:tcPr>
          <w:p w14:paraId="76974F2E" w14:textId="53F0C4B4" w:rsidR="00206B18" w:rsidRPr="00E67C77" w:rsidRDefault="00206B18" w:rsidP="00206B18">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bCs/>
                <w:color w:val="000000"/>
                <w:sz w:val="16"/>
                <w:szCs w:val="16"/>
              </w:rPr>
            </w:pPr>
            <w:r w:rsidRPr="00E67C77">
              <w:rPr>
                <w:rFonts w:ascii="Georgia" w:hAnsi="Georgia"/>
                <w:bCs/>
                <w:color w:val="000000"/>
                <w:sz w:val="16"/>
                <w:szCs w:val="16"/>
              </w:rPr>
              <w:t>2</w:t>
            </w:r>
            <w:r>
              <w:rPr>
                <w:rFonts w:ascii="Georgia" w:hAnsi="Georgia"/>
                <w:bCs/>
                <w:color w:val="000000"/>
                <w:sz w:val="16"/>
                <w:szCs w:val="16"/>
              </w:rPr>
              <w:t>,</w:t>
            </w:r>
            <w:r w:rsidRPr="00E67C77">
              <w:rPr>
                <w:rFonts w:ascii="Georgia" w:hAnsi="Georgia"/>
                <w:bCs/>
                <w:color w:val="000000"/>
                <w:sz w:val="16"/>
                <w:szCs w:val="16"/>
              </w:rPr>
              <w:t>22</w:t>
            </w:r>
          </w:p>
        </w:tc>
        <w:tc>
          <w:tcPr>
            <w:tcW w:w="0" w:type="pct"/>
            <w:tcBorders>
              <w:left w:val="nil"/>
              <w:right w:val="nil"/>
            </w:tcBorders>
            <w:vAlign w:val="center"/>
            <w:hideMark/>
          </w:tcPr>
          <w:p w14:paraId="25C58B07" w14:textId="56B70F9F" w:rsidR="00206B18" w:rsidRPr="00E67C77" w:rsidRDefault="00206B18" w:rsidP="00206B18">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bCs/>
                <w:color w:val="000000"/>
                <w:sz w:val="16"/>
                <w:szCs w:val="16"/>
              </w:rPr>
            </w:pPr>
            <w:r w:rsidRPr="00E67C77">
              <w:rPr>
                <w:rFonts w:ascii="Georgia" w:hAnsi="Georgia"/>
                <w:bCs/>
                <w:color w:val="000000"/>
                <w:sz w:val="16"/>
                <w:szCs w:val="16"/>
              </w:rPr>
              <w:t>2</w:t>
            </w:r>
            <w:r>
              <w:rPr>
                <w:rFonts w:ascii="Georgia" w:hAnsi="Georgia"/>
                <w:bCs/>
                <w:color w:val="000000"/>
                <w:sz w:val="16"/>
                <w:szCs w:val="16"/>
              </w:rPr>
              <w:t>,</w:t>
            </w:r>
            <w:r w:rsidRPr="00E67C77">
              <w:rPr>
                <w:rFonts w:ascii="Georgia" w:hAnsi="Georgia"/>
                <w:bCs/>
                <w:color w:val="000000"/>
                <w:sz w:val="16"/>
                <w:szCs w:val="16"/>
              </w:rPr>
              <w:t>05</w:t>
            </w:r>
          </w:p>
        </w:tc>
        <w:tc>
          <w:tcPr>
            <w:tcW w:w="0" w:type="pct"/>
            <w:tcBorders>
              <w:left w:val="nil"/>
              <w:right w:val="nil"/>
            </w:tcBorders>
            <w:vAlign w:val="center"/>
            <w:hideMark/>
          </w:tcPr>
          <w:p w14:paraId="26735400" w14:textId="47DF259F" w:rsidR="00206B18" w:rsidRPr="00E67C77" w:rsidRDefault="00206B18" w:rsidP="00206B18">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bCs/>
                <w:color w:val="000000"/>
                <w:sz w:val="16"/>
                <w:szCs w:val="16"/>
              </w:rPr>
            </w:pPr>
            <w:r w:rsidRPr="00E67C77">
              <w:rPr>
                <w:rFonts w:ascii="Georgia" w:hAnsi="Georgia"/>
                <w:bCs/>
                <w:color w:val="000000"/>
                <w:sz w:val="16"/>
                <w:szCs w:val="16"/>
              </w:rPr>
              <w:t>2</w:t>
            </w:r>
            <w:r>
              <w:rPr>
                <w:rFonts w:ascii="Georgia" w:hAnsi="Georgia"/>
                <w:bCs/>
                <w:color w:val="000000"/>
                <w:sz w:val="16"/>
                <w:szCs w:val="16"/>
              </w:rPr>
              <w:t>,</w:t>
            </w:r>
            <w:r w:rsidRPr="00E67C77">
              <w:rPr>
                <w:rFonts w:ascii="Georgia" w:hAnsi="Georgia"/>
                <w:bCs/>
                <w:color w:val="000000"/>
                <w:sz w:val="16"/>
                <w:szCs w:val="16"/>
              </w:rPr>
              <w:t>78</w:t>
            </w:r>
          </w:p>
        </w:tc>
        <w:tc>
          <w:tcPr>
            <w:tcW w:w="0" w:type="pct"/>
            <w:tcBorders>
              <w:left w:val="nil"/>
            </w:tcBorders>
            <w:vAlign w:val="center"/>
            <w:hideMark/>
          </w:tcPr>
          <w:p w14:paraId="316A5047" w14:textId="77777777" w:rsidR="00206B18" w:rsidRPr="00C8226F" w:rsidRDefault="00206B18" w:rsidP="00206B18">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Nėra</w:t>
            </w:r>
          </w:p>
        </w:tc>
      </w:tr>
    </w:tbl>
    <w:p w14:paraId="68401778" w14:textId="77777777" w:rsidR="00FD5FAE" w:rsidRPr="00C8226F" w:rsidRDefault="00FD5FAE" w:rsidP="00FD5FAE">
      <w:pPr>
        <w:jc w:val="both"/>
        <w:rPr>
          <w:rFonts w:ascii="Georgia" w:hAnsi="Georgia"/>
          <w:sz w:val="20"/>
          <w:szCs w:val="20"/>
          <w:lang w:val="lt-LT"/>
        </w:rPr>
      </w:pPr>
    </w:p>
    <w:p w14:paraId="7DD15418" w14:textId="77777777" w:rsidR="00FD5FAE" w:rsidRPr="00C8226F" w:rsidRDefault="00FD5FAE" w:rsidP="00FD5FAE">
      <w:pPr>
        <w:jc w:val="both"/>
        <w:rPr>
          <w:rFonts w:ascii="Georgia" w:hAnsi="Georgia"/>
          <w:sz w:val="20"/>
          <w:szCs w:val="20"/>
          <w:lang w:val="lt-LT"/>
        </w:rPr>
      </w:pPr>
      <w:r w:rsidRPr="00C8226F">
        <w:rPr>
          <w:rFonts w:ascii="Georgia" w:hAnsi="Georgia"/>
          <w:sz w:val="20"/>
          <w:szCs w:val="20"/>
          <w:lang w:val="lt-LT"/>
        </w:rPr>
        <w:t xml:space="preserve">Lyginant visus scenarijus matyti, jog scenarijai, kuriuose nėra investicinio fondo, t.y. struktūros, kuri išpirktų ateities pinigų srautus (arba pritrauktų privačių lėšų viršijančių ESI fondų lėšas), </w:t>
      </w:r>
      <w:r w:rsidR="00EA1C94">
        <w:rPr>
          <w:rFonts w:ascii="Georgia" w:hAnsi="Georgia"/>
          <w:sz w:val="20"/>
          <w:szCs w:val="20"/>
          <w:lang w:val="lt-LT"/>
        </w:rPr>
        <w:t xml:space="preserve">arba scenarijai, kuriuose yra garantijų priemonė, </w:t>
      </w:r>
      <w:r w:rsidRPr="00C8226F">
        <w:rPr>
          <w:rFonts w:ascii="Georgia" w:hAnsi="Georgia"/>
          <w:sz w:val="20"/>
          <w:szCs w:val="20"/>
          <w:lang w:val="lt-LT"/>
        </w:rPr>
        <w:t>turi prasčiausius rodiklius</w:t>
      </w:r>
      <w:r w:rsidR="00EA1C94">
        <w:rPr>
          <w:rFonts w:ascii="Georgia" w:hAnsi="Georgia"/>
          <w:sz w:val="20"/>
          <w:szCs w:val="20"/>
          <w:lang w:val="lt-LT"/>
        </w:rPr>
        <w:t>. Todėl</w:t>
      </w:r>
      <w:r w:rsidRPr="00C8226F">
        <w:rPr>
          <w:rFonts w:ascii="Georgia" w:hAnsi="Georgia"/>
          <w:sz w:val="20"/>
          <w:szCs w:val="20"/>
          <w:lang w:val="lt-LT"/>
        </w:rPr>
        <w:t xml:space="preserve"> </w:t>
      </w:r>
      <w:r w:rsidR="00EA1C94">
        <w:rPr>
          <w:rFonts w:ascii="Georgia" w:hAnsi="Georgia"/>
          <w:sz w:val="20"/>
          <w:szCs w:val="20"/>
          <w:lang w:val="lt-LT"/>
        </w:rPr>
        <w:t>v</w:t>
      </w:r>
      <w:r w:rsidRPr="00C8226F">
        <w:rPr>
          <w:rFonts w:ascii="Georgia" w:hAnsi="Georgia"/>
          <w:sz w:val="20"/>
          <w:szCs w:val="20"/>
          <w:lang w:val="lt-LT"/>
        </w:rPr>
        <w:t xml:space="preserve">ertinant iš kiekybinės pusės šie scenarijai yra nerekomenduotini. </w:t>
      </w:r>
    </w:p>
    <w:p w14:paraId="6294266F" w14:textId="77777777" w:rsidR="00FD5FAE" w:rsidRPr="00C8226F" w:rsidRDefault="00EA1C94" w:rsidP="00FD5FAE">
      <w:pPr>
        <w:jc w:val="both"/>
        <w:rPr>
          <w:rFonts w:ascii="Georgia" w:hAnsi="Georgia"/>
          <w:sz w:val="20"/>
          <w:szCs w:val="20"/>
          <w:lang w:val="lt-LT"/>
        </w:rPr>
      </w:pPr>
      <w:r>
        <w:rPr>
          <w:rFonts w:ascii="Georgia" w:hAnsi="Georgia"/>
          <w:sz w:val="20"/>
          <w:szCs w:val="20"/>
          <w:lang w:val="lt-LT"/>
        </w:rPr>
        <w:t>Pažymėtina, kad vertinant teoriškai, garantijų priemonė turėtų demonstruoti geriausius kiekybinius rezultatus</w:t>
      </w:r>
      <w:r w:rsidR="00FD5FAE" w:rsidRPr="00C8226F">
        <w:rPr>
          <w:rFonts w:ascii="Georgia" w:hAnsi="Georgia"/>
          <w:sz w:val="20"/>
          <w:szCs w:val="20"/>
          <w:lang w:val="lt-LT"/>
        </w:rPr>
        <w:t>.</w:t>
      </w:r>
      <w:r>
        <w:rPr>
          <w:rFonts w:ascii="Georgia" w:hAnsi="Georgia"/>
          <w:sz w:val="20"/>
          <w:szCs w:val="20"/>
          <w:lang w:val="lt-LT"/>
        </w:rPr>
        <w:t xml:space="preserve"> Tačiau susitikimų su komercinių bankų atstovais metu buvo identifikuota, jog garantijų priemonė bankams nėra patraukli. Atsižvelgiant į šią aplinkybę, kiekybinės pridėtinės vertės analizėje </w:t>
      </w:r>
      <w:r>
        <w:rPr>
          <w:rFonts w:ascii="Georgia" w:hAnsi="Georgia"/>
          <w:sz w:val="20"/>
          <w:szCs w:val="20"/>
          <w:lang w:val="lt-LT"/>
        </w:rPr>
        <w:lastRenderedPageBreak/>
        <w:t>buvo padaryta prielaida, jog garantijų priemonė būtų įgyvendinama gan vangiai, ilgai užtruktų jai įsivažiuoti ir pasiekti gerus rezultatus. Dėl to ir garantijų priemonės kiekybiniai rezultatai yra ne tokie geri.</w:t>
      </w:r>
      <w:r w:rsidR="00FD5FAE" w:rsidRPr="00C8226F">
        <w:rPr>
          <w:rFonts w:ascii="Georgia" w:hAnsi="Georgia"/>
          <w:sz w:val="20"/>
          <w:szCs w:val="20"/>
          <w:lang w:val="lt-LT"/>
        </w:rPr>
        <w:t xml:space="preserve"> Komercinių bankų susidomėjimas garantijų priemonėmis viešųjų pastatų renovacijai yra ribotas dėl keleto priežasčių. Pirmiausia, paskolos viešųjų pastatų renovacijos projektams, teikiamos iš komercinių bankų, o ne iš ESI fondų lėšų būtų traktuojamos kaip finansinis produktas, kuriam banko viduje reikalinga sukurti ir pritaikyti visus vidinius banko procesus. Antra, naujai sukurta garantijų priemonė komerciniams bankams būtų nepatraukli dėl tokių projektų paskolų istorijos trūkumo. Susitikimų su komerciniais bankais metu bankai pažymėjo, kad viešųjų pastatų renovacijos srityje jie neturi patirties ir įžvelgia įvairaus pobūdžio rizikų. Be to, apsisprendus viešųjų pastatų renovaciją vykdyti per ESCO modelį, šis modelis bankams būtų nepažįstamas ir reikalautų daug laiko sąnaudų siekiant jį išsinagrinėti bei įgyvendinti. Atsižvelgiant į tai, kad komerciniams bankams būtų reikalingas ilgas adaptacijos laikotarpis (kol būtų suderintos vidinės procedūros garantuojamų paskolų teikimui) ir bankai paskolas savomis lėšomis teiktų tik esant kelerių metų kredito istorijai. Pabrėžtina, jog tokiai istorijai atsiradus svarstytinas garantijų finansinių instrumentų sukūrimas.</w:t>
      </w:r>
    </w:p>
    <w:p w14:paraId="68936B21" w14:textId="77777777" w:rsidR="00FD5FAE" w:rsidRPr="00C8226F" w:rsidRDefault="00FD5FAE" w:rsidP="00FD5FAE">
      <w:pPr>
        <w:jc w:val="both"/>
        <w:rPr>
          <w:rFonts w:ascii="Georgia" w:hAnsi="Georgia"/>
          <w:sz w:val="20"/>
          <w:szCs w:val="20"/>
          <w:lang w:val="lt-LT"/>
        </w:rPr>
      </w:pPr>
      <w:r w:rsidRPr="00C8226F">
        <w:rPr>
          <w:rFonts w:ascii="Georgia" w:hAnsi="Georgia"/>
          <w:sz w:val="20"/>
          <w:szCs w:val="20"/>
          <w:lang w:val="lt-LT"/>
        </w:rPr>
        <w:t>Didžiausias šiame ex ante vertinime identifikuotas trūkumas, kad Lietuvoje nėra darbo su ESCO patirties, todėl bankai nėra suinteresuoti dalyvauti tokių kompanijų finansavime savo lėšomis, todėl 6 scenarijaus įgyvendinimo galimybė šiame etape nėra svarstoma.</w:t>
      </w:r>
    </w:p>
    <w:p w14:paraId="7A81C606" w14:textId="77777777" w:rsidR="00FD5FAE" w:rsidRPr="00C8226F" w:rsidRDefault="00FD5FAE" w:rsidP="00FD5FAE">
      <w:pPr>
        <w:jc w:val="both"/>
        <w:rPr>
          <w:rFonts w:ascii="Georgia" w:hAnsi="Georgia"/>
          <w:sz w:val="20"/>
          <w:szCs w:val="20"/>
          <w:lang w:val="lt-LT"/>
        </w:rPr>
      </w:pPr>
      <w:r w:rsidRPr="00C8226F">
        <w:rPr>
          <w:rFonts w:ascii="Georgia" w:hAnsi="Georgia"/>
          <w:sz w:val="20"/>
          <w:szCs w:val="20"/>
          <w:lang w:val="lt-LT"/>
        </w:rPr>
        <w:t>ESI fondų lėšų išskaidymas per skirtingas finansines priemones mažintų kiekvienos finansinės priemonės pajėgumą.</w:t>
      </w:r>
    </w:p>
    <w:p w14:paraId="5F96C9BE" w14:textId="306A8E77" w:rsidR="00FD5FAE" w:rsidRPr="00C8226F" w:rsidRDefault="00FD5FAE" w:rsidP="00FD5FAE">
      <w:pPr>
        <w:jc w:val="both"/>
        <w:rPr>
          <w:rFonts w:ascii="Georgia" w:hAnsi="Georgia"/>
          <w:sz w:val="20"/>
          <w:szCs w:val="20"/>
          <w:lang w:val="lt-LT"/>
        </w:rPr>
      </w:pPr>
      <w:r w:rsidRPr="00C8226F">
        <w:rPr>
          <w:rFonts w:ascii="Georgia" w:hAnsi="Georgia"/>
          <w:sz w:val="20"/>
          <w:szCs w:val="20"/>
          <w:lang w:val="lt-LT"/>
        </w:rPr>
        <w:t>Atsižvelgus į pateiktą alternatyvų analizę siūloma pasirinkti scenarijų su paskolų finansine priemone ir galimybe pritraukti lėšas investicinio fondo lygyje. Tokie scenarijai yra 2 ir 5</w:t>
      </w:r>
      <w:r w:rsidR="00206B18">
        <w:rPr>
          <w:rStyle w:val="Puslapioinaosnuoroda"/>
          <w:rFonts w:ascii="Georgia" w:hAnsi="Georgia"/>
          <w:sz w:val="20"/>
          <w:szCs w:val="20"/>
          <w:lang w:val="lt-LT"/>
        </w:rPr>
        <w:footnoteReference w:id="122"/>
      </w:r>
      <w:r w:rsidRPr="00C8226F">
        <w:rPr>
          <w:rFonts w:ascii="Georgia" w:hAnsi="Georgia"/>
          <w:sz w:val="20"/>
          <w:szCs w:val="20"/>
          <w:lang w:val="lt-LT"/>
        </w:rPr>
        <w:t xml:space="preserve">. Lyginant šiuos du scenarijus matyti, jog antrojo scenarijaus atveju sudaromos galimybės padidinti galutinius naudos gavėjus pasiekusių lėšų kiekį , atitinkamai didėja ir renovuotų pastatų plotas. Dar vienas šio scenarijaus pasirinkimo motyvas galėtų būti šio scenarijaus įgyvendinimo sparta, kadangi tokios priemonės struktūra vadovaujančiajai institucijai yra gerai pažįstama. </w:t>
      </w:r>
    </w:p>
    <w:p w14:paraId="36C657B7" w14:textId="77777777" w:rsidR="00FD5FAE" w:rsidRDefault="00FD5FAE" w:rsidP="00FD5FAE">
      <w:pPr>
        <w:jc w:val="both"/>
        <w:rPr>
          <w:rFonts w:ascii="Georgia" w:hAnsi="Georgia"/>
          <w:sz w:val="20"/>
          <w:szCs w:val="20"/>
          <w:lang w:val="lt-LT"/>
        </w:rPr>
      </w:pPr>
      <w:r w:rsidRPr="00C8226F">
        <w:rPr>
          <w:rFonts w:ascii="Georgia" w:hAnsi="Georgia"/>
          <w:sz w:val="20"/>
          <w:szCs w:val="20"/>
          <w:lang w:val="lt-LT"/>
        </w:rPr>
        <w:t>Atitinkamai rekomenduojama pasirinkti antrąjį scenarijų. Antrojo scenarijaus metu ESI fondų lėšos būtų panaudojamos paskolų finansinės priemonės sukūrimui, o papildomos lėšos būtų pritraukiamos per investicinį fondą</w:t>
      </w:r>
      <w:r w:rsidR="00206B18">
        <w:rPr>
          <w:rFonts w:ascii="Georgia" w:hAnsi="Georgia"/>
          <w:sz w:val="20"/>
          <w:szCs w:val="20"/>
          <w:lang w:val="lt-LT"/>
        </w:rPr>
        <w:t xml:space="preserve"> ar kitais alternatyviais būdais</w:t>
      </w:r>
      <w:r w:rsidRPr="00C8226F">
        <w:rPr>
          <w:rFonts w:ascii="Georgia" w:hAnsi="Georgia"/>
          <w:sz w:val="20"/>
          <w:szCs w:val="20"/>
          <w:lang w:val="lt-LT"/>
        </w:rPr>
        <w:t>. Tuo atveju jei bus nuspręsta pasirinkti finansinius tarpininkus, taip pat rekomenduojama, finansinės priemonės lygiu, atrenkant finansinius tarpininkus, juos skatinti prisidėti savo lėšomis.</w:t>
      </w:r>
    </w:p>
    <w:p w14:paraId="721FCB37" w14:textId="784DBE4E" w:rsidR="00C812CA" w:rsidRDefault="00C812CA" w:rsidP="00C812CA">
      <w:pPr>
        <w:jc w:val="both"/>
        <w:rPr>
          <w:lang w:val="lt-LT"/>
        </w:rPr>
      </w:pPr>
      <w:r w:rsidRPr="00105B94">
        <w:rPr>
          <w:rFonts w:ascii="Georgia" w:hAnsi="Georgia"/>
          <w:sz w:val="20"/>
          <w:szCs w:val="20"/>
          <w:lang w:val="lt-LT"/>
        </w:rPr>
        <w:t>Nustačius, kad paskolos finansinė priemonė yra patraukliausias finansinis produktas centrinės valdžios pastatų projektams, taip pat buvo identifikuota, kiek ESI fondų ar kitų lėšų reikėtų skirti šiai finansinei priemonei siekiant padengti visą 2-ame skyriuje identifikuotą rinkos finansavimo trūkumą. Apskaičiuota, jog siekiant padengti visą rinkos finansavimo trūkumą (66,9 mln. eurų įvertinus tai, kad ESI fondų lėšos yra naudojamos paskolos finansinei priemonei įgyvendinti) ESI fondų lėšų apimtis turėtų būti 111,3 mln. eurų (nekeičiant kitų 2 centrinės valdžios pastatų renovavimo scenarijuje priimtų prielaidų) .</w:t>
      </w:r>
    </w:p>
    <w:p w14:paraId="48C3DE9D" w14:textId="77777777" w:rsidR="00C812CA" w:rsidRPr="004F374D" w:rsidRDefault="00C812CA" w:rsidP="00C812CA">
      <w:pPr>
        <w:jc w:val="both"/>
        <w:rPr>
          <w:rFonts w:ascii="Georgia" w:hAnsi="Georgia"/>
          <w:sz w:val="20"/>
          <w:szCs w:val="20"/>
          <w:lang w:val="lt-LT"/>
        </w:rPr>
      </w:pPr>
      <w:r>
        <w:rPr>
          <w:rFonts w:ascii="Georgia" w:hAnsi="Georgia"/>
          <w:sz w:val="20"/>
          <w:szCs w:val="20"/>
          <w:lang w:val="lt-LT"/>
        </w:rPr>
        <w:t xml:space="preserve"> </w:t>
      </w:r>
    </w:p>
    <w:p w14:paraId="1D3FFA97" w14:textId="77777777" w:rsidR="00C812CA" w:rsidRPr="00C8226F" w:rsidRDefault="00C812CA" w:rsidP="00FD5FAE">
      <w:pPr>
        <w:jc w:val="both"/>
        <w:rPr>
          <w:rFonts w:ascii="Georgia" w:hAnsi="Georgia"/>
          <w:sz w:val="20"/>
          <w:szCs w:val="20"/>
          <w:lang w:val="lt-LT"/>
        </w:rPr>
      </w:pPr>
    </w:p>
    <w:p w14:paraId="3A7D2642" w14:textId="77777777" w:rsidR="00FD5FAE" w:rsidRPr="00C8226F" w:rsidRDefault="00FD5FAE" w:rsidP="00FD5FAE">
      <w:pPr>
        <w:pStyle w:val="Antrat2"/>
        <w:numPr>
          <w:ilvl w:val="2"/>
          <w:numId w:val="2"/>
        </w:numPr>
        <w:spacing w:after="240"/>
        <w:rPr>
          <w:lang w:val="lt-LT"/>
        </w:rPr>
      </w:pPr>
      <w:bookmarkStart w:id="287" w:name="_Toc399924068"/>
      <w:bookmarkStart w:id="288" w:name="_Toc402352639"/>
      <w:bookmarkStart w:id="289" w:name="_Toc417378401"/>
      <w:r w:rsidRPr="00C8226F">
        <w:rPr>
          <w:lang w:val="lt-LT"/>
        </w:rPr>
        <w:lastRenderedPageBreak/>
        <w:t>Gatvių apšvietimo modernizavimo scenarijų palyginimas</w:t>
      </w:r>
      <w:bookmarkEnd w:id="287"/>
      <w:bookmarkEnd w:id="288"/>
      <w:bookmarkEnd w:id="289"/>
    </w:p>
    <w:p w14:paraId="6E317CAD" w14:textId="77777777" w:rsidR="00FD5FAE" w:rsidRPr="00C8226F" w:rsidRDefault="00FD5FAE" w:rsidP="00FD5FAE">
      <w:pPr>
        <w:jc w:val="both"/>
        <w:rPr>
          <w:rFonts w:ascii="Georgia" w:hAnsi="Georgia"/>
          <w:sz w:val="20"/>
          <w:szCs w:val="20"/>
          <w:lang w:val="lt-LT"/>
        </w:rPr>
      </w:pPr>
      <w:r w:rsidRPr="00C8226F">
        <w:rPr>
          <w:rFonts w:ascii="Georgia" w:hAnsi="Georgia"/>
          <w:sz w:val="20"/>
          <w:szCs w:val="20"/>
          <w:lang w:val="lt-LT"/>
        </w:rPr>
        <w:t>Lentelėje pateikiamas 4.1. dalyje apskaičiuotas gatvių apšvietimo modernizavimo scenarijų rezultatų palyginimas. Taip pat palyginimui nurodoma alternatyva, kai visos ESI fondų lėšos būtų skiriamos subsidijų forma.</w:t>
      </w:r>
    </w:p>
    <w:p w14:paraId="7B88FCB8" w14:textId="36D33061" w:rsidR="00FD5FAE" w:rsidRPr="00C8226F" w:rsidRDefault="00FD5FAE" w:rsidP="00FD5FAE">
      <w:pPr>
        <w:pStyle w:val="Antrat"/>
        <w:rPr>
          <w:szCs w:val="20"/>
          <w:lang w:val="lt-LT"/>
        </w:rPr>
      </w:pPr>
      <w:bookmarkStart w:id="290" w:name="_Toc460321729"/>
      <w:r w:rsidRPr="00C8226F">
        <w:rPr>
          <w:lang w:val="lt-LT"/>
        </w:rPr>
        <w:t xml:space="preserve">Lentelė </w:t>
      </w:r>
      <w:r w:rsidRPr="00C8226F">
        <w:rPr>
          <w:lang w:val="lt-LT"/>
        </w:rPr>
        <w:fldChar w:fldCharType="begin"/>
      </w:r>
      <w:r w:rsidRPr="00C8226F">
        <w:rPr>
          <w:lang w:val="lt-LT"/>
        </w:rPr>
        <w:instrText xml:space="preserve"> SEQ Lentelė \* ARABIC </w:instrText>
      </w:r>
      <w:r w:rsidRPr="00C8226F">
        <w:rPr>
          <w:lang w:val="lt-LT"/>
        </w:rPr>
        <w:fldChar w:fldCharType="separate"/>
      </w:r>
      <w:r w:rsidR="00AA3082">
        <w:rPr>
          <w:noProof/>
          <w:lang w:val="lt-LT"/>
        </w:rPr>
        <w:t>148</w:t>
      </w:r>
      <w:r w:rsidRPr="00C8226F">
        <w:rPr>
          <w:lang w:val="lt-LT"/>
        </w:rPr>
        <w:fldChar w:fldCharType="end"/>
      </w:r>
      <w:r w:rsidRPr="00C8226F">
        <w:rPr>
          <w:lang w:val="lt-LT"/>
        </w:rPr>
        <w:t xml:space="preserve">. </w:t>
      </w:r>
      <w:r w:rsidRPr="00C8226F">
        <w:rPr>
          <w:szCs w:val="20"/>
          <w:lang w:val="lt-LT"/>
        </w:rPr>
        <w:t>Skirtingų scenarijų palyginimas</w:t>
      </w:r>
      <w:bookmarkEnd w:id="290"/>
    </w:p>
    <w:tbl>
      <w:tblPr>
        <w:tblStyle w:val="viesussraas2parykinimas"/>
        <w:tblW w:w="5000" w:type="pct"/>
        <w:tblLook w:val="04A0" w:firstRow="1" w:lastRow="0" w:firstColumn="1" w:lastColumn="0" w:noHBand="0" w:noVBand="1"/>
      </w:tblPr>
      <w:tblGrid>
        <w:gridCol w:w="1742"/>
        <w:gridCol w:w="938"/>
        <w:gridCol w:w="938"/>
        <w:gridCol w:w="937"/>
        <w:gridCol w:w="937"/>
        <w:gridCol w:w="937"/>
        <w:gridCol w:w="937"/>
        <w:gridCol w:w="937"/>
        <w:gridCol w:w="939"/>
      </w:tblGrid>
      <w:tr w:rsidR="00FD5FAE" w:rsidRPr="00C8226F" w14:paraId="5021CE58" w14:textId="77777777" w:rsidTr="00765A39">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942" w:type="pct"/>
            <w:tcBorders>
              <w:top w:val="single" w:sz="8" w:space="0" w:color="C0504D" w:themeColor="accent2"/>
              <w:left w:val="single" w:sz="8" w:space="0" w:color="C0504D" w:themeColor="accent2"/>
              <w:bottom w:val="nil"/>
              <w:right w:val="nil"/>
            </w:tcBorders>
          </w:tcPr>
          <w:p w14:paraId="5154130F" w14:textId="77777777" w:rsidR="00FD5FAE" w:rsidRPr="00C8226F" w:rsidRDefault="00FD5FAE" w:rsidP="00765A39">
            <w:pPr>
              <w:rPr>
                <w:rFonts w:ascii="Georgia" w:hAnsi="Georgia"/>
                <w:color w:val="auto"/>
                <w:sz w:val="18"/>
                <w:szCs w:val="18"/>
              </w:rPr>
            </w:pPr>
          </w:p>
        </w:tc>
        <w:tc>
          <w:tcPr>
            <w:tcW w:w="507" w:type="pct"/>
            <w:tcBorders>
              <w:top w:val="single" w:sz="8" w:space="0" w:color="C0504D" w:themeColor="accent2"/>
              <w:left w:val="nil"/>
              <w:bottom w:val="nil"/>
              <w:right w:val="nil"/>
            </w:tcBorders>
            <w:hideMark/>
          </w:tcPr>
          <w:p w14:paraId="216BF5CD" w14:textId="77777777" w:rsidR="00FD5FAE" w:rsidRPr="00C8226F" w:rsidRDefault="00FD5FAE" w:rsidP="00765A39">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C8226F">
              <w:rPr>
                <w:rFonts w:ascii="Georgia" w:hAnsi="Georgia"/>
                <w:sz w:val="18"/>
                <w:szCs w:val="18"/>
              </w:rPr>
              <w:t>Nr. 1</w:t>
            </w:r>
          </w:p>
        </w:tc>
        <w:tc>
          <w:tcPr>
            <w:tcW w:w="507" w:type="pct"/>
            <w:tcBorders>
              <w:top w:val="single" w:sz="8" w:space="0" w:color="C0504D" w:themeColor="accent2"/>
              <w:left w:val="nil"/>
              <w:bottom w:val="nil"/>
              <w:right w:val="nil"/>
            </w:tcBorders>
            <w:hideMark/>
          </w:tcPr>
          <w:p w14:paraId="45C17AA9" w14:textId="77777777" w:rsidR="00FD5FAE" w:rsidRPr="00C8226F" w:rsidRDefault="00FD5FAE" w:rsidP="00765A39">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C8226F">
              <w:rPr>
                <w:rFonts w:ascii="Georgia" w:hAnsi="Georgia"/>
                <w:sz w:val="18"/>
                <w:szCs w:val="18"/>
              </w:rPr>
              <w:t>Nr. 2</w:t>
            </w:r>
          </w:p>
        </w:tc>
        <w:tc>
          <w:tcPr>
            <w:tcW w:w="507" w:type="pct"/>
            <w:tcBorders>
              <w:top w:val="single" w:sz="8" w:space="0" w:color="C0504D" w:themeColor="accent2"/>
              <w:left w:val="nil"/>
              <w:bottom w:val="nil"/>
              <w:right w:val="nil"/>
            </w:tcBorders>
            <w:hideMark/>
          </w:tcPr>
          <w:p w14:paraId="2A8B8049" w14:textId="77777777" w:rsidR="00FD5FAE" w:rsidRPr="00C8226F" w:rsidRDefault="00FD5FAE" w:rsidP="00765A39">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C8226F">
              <w:rPr>
                <w:rFonts w:ascii="Georgia" w:hAnsi="Georgia"/>
                <w:sz w:val="18"/>
                <w:szCs w:val="18"/>
              </w:rPr>
              <w:t>Nr. 3</w:t>
            </w:r>
          </w:p>
        </w:tc>
        <w:tc>
          <w:tcPr>
            <w:tcW w:w="507" w:type="pct"/>
            <w:tcBorders>
              <w:top w:val="single" w:sz="8" w:space="0" w:color="C0504D" w:themeColor="accent2"/>
              <w:left w:val="nil"/>
              <w:bottom w:val="nil"/>
              <w:right w:val="nil"/>
            </w:tcBorders>
            <w:hideMark/>
          </w:tcPr>
          <w:p w14:paraId="44C530A8" w14:textId="77777777" w:rsidR="00FD5FAE" w:rsidRPr="00C8226F" w:rsidRDefault="00FD5FAE" w:rsidP="00765A39">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C8226F">
              <w:rPr>
                <w:rFonts w:ascii="Georgia" w:hAnsi="Georgia"/>
                <w:sz w:val="18"/>
                <w:szCs w:val="18"/>
              </w:rPr>
              <w:t>Nr. 4</w:t>
            </w:r>
          </w:p>
        </w:tc>
        <w:tc>
          <w:tcPr>
            <w:tcW w:w="507" w:type="pct"/>
            <w:tcBorders>
              <w:top w:val="single" w:sz="8" w:space="0" w:color="C0504D" w:themeColor="accent2"/>
              <w:left w:val="nil"/>
              <w:bottom w:val="nil"/>
              <w:right w:val="nil"/>
            </w:tcBorders>
            <w:hideMark/>
          </w:tcPr>
          <w:p w14:paraId="5BE88973" w14:textId="77777777" w:rsidR="00FD5FAE" w:rsidRPr="00C8226F" w:rsidRDefault="00FD5FAE" w:rsidP="00765A39">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C8226F">
              <w:rPr>
                <w:rFonts w:ascii="Georgia" w:hAnsi="Georgia"/>
                <w:sz w:val="18"/>
                <w:szCs w:val="18"/>
              </w:rPr>
              <w:t>Nr. 5</w:t>
            </w:r>
          </w:p>
        </w:tc>
        <w:tc>
          <w:tcPr>
            <w:tcW w:w="507" w:type="pct"/>
            <w:tcBorders>
              <w:top w:val="single" w:sz="8" w:space="0" w:color="C0504D" w:themeColor="accent2"/>
              <w:left w:val="nil"/>
              <w:bottom w:val="nil"/>
              <w:right w:val="nil"/>
            </w:tcBorders>
            <w:hideMark/>
          </w:tcPr>
          <w:p w14:paraId="02EDFA9D" w14:textId="77777777" w:rsidR="00FD5FAE" w:rsidRPr="00C8226F" w:rsidRDefault="00FD5FAE" w:rsidP="00765A39">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C8226F">
              <w:rPr>
                <w:rFonts w:ascii="Georgia" w:hAnsi="Georgia"/>
                <w:sz w:val="18"/>
                <w:szCs w:val="18"/>
              </w:rPr>
              <w:t>Nr. 6</w:t>
            </w:r>
          </w:p>
        </w:tc>
        <w:tc>
          <w:tcPr>
            <w:tcW w:w="507" w:type="pct"/>
            <w:tcBorders>
              <w:top w:val="single" w:sz="8" w:space="0" w:color="C0504D" w:themeColor="accent2"/>
              <w:left w:val="nil"/>
              <w:bottom w:val="nil"/>
              <w:right w:val="nil"/>
            </w:tcBorders>
            <w:hideMark/>
          </w:tcPr>
          <w:p w14:paraId="7EB419D8" w14:textId="77777777" w:rsidR="00FD5FAE" w:rsidRPr="00C8226F" w:rsidRDefault="00FD5FAE" w:rsidP="00765A39">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C8226F">
              <w:rPr>
                <w:rFonts w:ascii="Georgia" w:hAnsi="Georgia"/>
                <w:sz w:val="18"/>
                <w:szCs w:val="18"/>
              </w:rPr>
              <w:t>Nr.7</w:t>
            </w:r>
          </w:p>
        </w:tc>
        <w:tc>
          <w:tcPr>
            <w:tcW w:w="508" w:type="pct"/>
            <w:tcBorders>
              <w:top w:val="single" w:sz="8" w:space="0" w:color="C0504D" w:themeColor="accent2"/>
              <w:left w:val="nil"/>
              <w:bottom w:val="nil"/>
              <w:right w:val="single" w:sz="8" w:space="0" w:color="C0504D" w:themeColor="accent2"/>
            </w:tcBorders>
            <w:hideMark/>
          </w:tcPr>
          <w:p w14:paraId="5E50783E" w14:textId="77777777" w:rsidR="00FD5FAE" w:rsidRPr="00C8226F" w:rsidRDefault="00FD5FAE" w:rsidP="00765A39">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C8226F">
              <w:rPr>
                <w:rFonts w:ascii="Georgia" w:hAnsi="Georgia"/>
                <w:sz w:val="18"/>
                <w:szCs w:val="18"/>
              </w:rPr>
              <w:t>Subsidija</w:t>
            </w:r>
          </w:p>
        </w:tc>
      </w:tr>
      <w:tr w:rsidR="00FD5FAE" w:rsidRPr="00C8226F" w14:paraId="1B07885D" w14:textId="77777777" w:rsidTr="00765A39">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942" w:type="pct"/>
            <w:tcBorders>
              <w:right w:val="nil"/>
            </w:tcBorders>
            <w:hideMark/>
          </w:tcPr>
          <w:p w14:paraId="3BF5EE6B" w14:textId="77777777" w:rsidR="00FD5FAE" w:rsidRPr="00C8226F" w:rsidRDefault="00FD5FAE" w:rsidP="00765A39">
            <w:pPr>
              <w:rPr>
                <w:rFonts w:ascii="Georgia" w:hAnsi="Georgia"/>
                <w:b w:val="0"/>
                <w:sz w:val="18"/>
                <w:szCs w:val="18"/>
              </w:rPr>
            </w:pPr>
            <w:r w:rsidRPr="00C8226F">
              <w:rPr>
                <w:rFonts w:ascii="Georgia" w:hAnsi="Georgia"/>
                <w:sz w:val="18"/>
                <w:szCs w:val="18"/>
              </w:rPr>
              <w:t>Turimos lėšos (mln. eurų)</w:t>
            </w:r>
          </w:p>
        </w:tc>
        <w:tc>
          <w:tcPr>
            <w:tcW w:w="507" w:type="pct"/>
            <w:tcBorders>
              <w:left w:val="nil"/>
              <w:right w:val="nil"/>
            </w:tcBorders>
            <w:hideMark/>
          </w:tcPr>
          <w:p w14:paraId="64C860A7" w14:textId="77777777"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14,5</w:t>
            </w:r>
          </w:p>
        </w:tc>
        <w:tc>
          <w:tcPr>
            <w:tcW w:w="507" w:type="pct"/>
            <w:tcBorders>
              <w:left w:val="nil"/>
              <w:right w:val="nil"/>
            </w:tcBorders>
            <w:hideMark/>
          </w:tcPr>
          <w:p w14:paraId="7630C214" w14:textId="77777777"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14,5</w:t>
            </w:r>
          </w:p>
        </w:tc>
        <w:tc>
          <w:tcPr>
            <w:tcW w:w="507" w:type="pct"/>
            <w:tcBorders>
              <w:left w:val="nil"/>
              <w:right w:val="nil"/>
            </w:tcBorders>
            <w:hideMark/>
          </w:tcPr>
          <w:p w14:paraId="47926A2F" w14:textId="77777777"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14,5</w:t>
            </w:r>
          </w:p>
        </w:tc>
        <w:tc>
          <w:tcPr>
            <w:tcW w:w="507" w:type="pct"/>
            <w:tcBorders>
              <w:left w:val="nil"/>
              <w:right w:val="nil"/>
            </w:tcBorders>
            <w:hideMark/>
          </w:tcPr>
          <w:p w14:paraId="57005CB9" w14:textId="77777777"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14,5</w:t>
            </w:r>
          </w:p>
        </w:tc>
        <w:tc>
          <w:tcPr>
            <w:tcW w:w="507" w:type="pct"/>
            <w:tcBorders>
              <w:left w:val="nil"/>
              <w:right w:val="nil"/>
            </w:tcBorders>
            <w:hideMark/>
          </w:tcPr>
          <w:p w14:paraId="43F20245" w14:textId="77777777"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14,5</w:t>
            </w:r>
          </w:p>
        </w:tc>
        <w:tc>
          <w:tcPr>
            <w:tcW w:w="507" w:type="pct"/>
            <w:tcBorders>
              <w:left w:val="nil"/>
              <w:right w:val="nil"/>
            </w:tcBorders>
            <w:hideMark/>
          </w:tcPr>
          <w:p w14:paraId="364DDB79" w14:textId="77777777"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14,5</w:t>
            </w:r>
          </w:p>
        </w:tc>
        <w:tc>
          <w:tcPr>
            <w:tcW w:w="507" w:type="pct"/>
            <w:tcBorders>
              <w:left w:val="nil"/>
              <w:right w:val="nil"/>
            </w:tcBorders>
            <w:hideMark/>
          </w:tcPr>
          <w:p w14:paraId="63E97298" w14:textId="77777777"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14,5</w:t>
            </w:r>
          </w:p>
        </w:tc>
        <w:tc>
          <w:tcPr>
            <w:tcW w:w="508" w:type="pct"/>
            <w:tcBorders>
              <w:left w:val="nil"/>
            </w:tcBorders>
            <w:hideMark/>
          </w:tcPr>
          <w:p w14:paraId="0DDE0F8F" w14:textId="77777777"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14,5</w:t>
            </w:r>
          </w:p>
        </w:tc>
      </w:tr>
      <w:tr w:rsidR="00FD5FAE" w:rsidRPr="00C8226F" w14:paraId="38C22A06" w14:textId="77777777" w:rsidTr="00765A39">
        <w:trPr>
          <w:trHeight w:val="631"/>
        </w:trPr>
        <w:tc>
          <w:tcPr>
            <w:cnfStyle w:val="001000000000" w:firstRow="0" w:lastRow="0" w:firstColumn="1" w:lastColumn="0" w:oddVBand="0" w:evenVBand="0" w:oddHBand="0" w:evenHBand="0" w:firstRowFirstColumn="0" w:firstRowLastColumn="0" w:lastRowFirstColumn="0" w:lastRowLastColumn="0"/>
            <w:tcW w:w="942" w:type="pct"/>
            <w:tcBorders>
              <w:top w:val="nil"/>
              <w:left w:val="single" w:sz="8" w:space="0" w:color="C0504D" w:themeColor="accent2"/>
              <w:bottom w:val="nil"/>
              <w:right w:val="nil"/>
            </w:tcBorders>
            <w:hideMark/>
          </w:tcPr>
          <w:p w14:paraId="0B072018" w14:textId="77777777" w:rsidR="00FD5FAE" w:rsidRPr="00C8226F" w:rsidRDefault="00FD5FAE" w:rsidP="00765A39">
            <w:pPr>
              <w:rPr>
                <w:rFonts w:ascii="Georgia" w:hAnsi="Georgia"/>
                <w:b w:val="0"/>
                <w:sz w:val="18"/>
                <w:szCs w:val="18"/>
              </w:rPr>
            </w:pPr>
            <w:r w:rsidRPr="00C8226F">
              <w:rPr>
                <w:rFonts w:ascii="Georgia" w:hAnsi="Georgia"/>
                <w:sz w:val="18"/>
                <w:szCs w:val="18"/>
              </w:rPr>
              <w:t>Finansinė priemonė</w:t>
            </w:r>
          </w:p>
        </w:tc>
        <w:tc>
          <w:tcPr>
            <w:tcW w:w="507" w:type="pct"/>
            <w:tcBorders>
              <w:top w:val="nil"/>
              <w:left w:val="nil"/>
              <w:bottom w:val="nil"/>
              <w:right w:val="nil"/>
            </w:tcBorders>
            <w:hideMark/>
          </w:tcPr>
          <w:p w14:paraId="2B66F710" w14:textId="77777777"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Lengvatinė paskola</w:t>
            </w:r>
          </w:p>
        </w:tc>
        <w:tc>
          <w:tcPr>
            <w:tcW w:w="507" w:type="pct"/>
            <w:tcBorders>
              <w:top w:val="nil"/>
              <w:left w:val="nil"/>
              <w:bottom w:val="nil"/>
              <w:right w:val="nil"/>
            </w:tcBorders>
            <w:hideMark/>
          </w:tcPr>
          <w:p w14:paraId="2820D916" w14:textId="77777777"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Lengvatinė paskola + investicinis fondas</w:t>
            </w:r>
          </w:p>
        </w:tc>
        <w:tc>
          <w:tcPr>
            <w:tcW w:w="507" w:type="pct"/>
            <w:tcBorders>
              <w:top w:val="nil"/>
              <w:left w:val="nil"/>
              <w:bottom w:val="nil"/>
              <w:right w:val="nil"/>
            </w:tcBorders>
            <w:hideMark/>
          </w:tcPr>
          <w:p w14:paraId="0F34E448" w14:textId="77777777"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 xml:space="preserve">Lengvatinė paskola + Garantijos bankams </w:t>
            </w:r>
          </w:p>
        </w:tc>
        <w:tc>
          <w:tcPr>
            <w:tcW w:w="507" w:type="pct"/>
            <w:tcBorders>
              <w:top w:val="nil"/>
              <w:left w:val="nil"/>
              <w:bottom w:val="nil"/>
              <w:right w:val="nil"/>
            </w:tcBorders>
            <w:hideMark/>
          </w:tcPr>
          <w:p w14:paraId="7B2655F9" w14:textId="77777777"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Lengvatinė paskola + Garantijos bankams + investicinis fondas</w:t>
            </w:r>
          </w:p>
        </w:tc>
        <w:tc>
          <w:tcPr>
            <w:tcW w:w="507" w:type="pct"/>
            <w:tcBorders>
              <w:top w:val="nil"/>
              <w:left w:val="nil"/>
              <w:bottom w:val="nil"/>
              <w:right w:val="nil"/>
            </w:tcBorders>
            <w:hideMark/>
          </w:tcPr>
          <w:p w14:paraId="08BD3E07" w14:textId="77777777"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Tik garantijos</w:t>
            </w:r>
          </w:p>
        </w:tc>
        <w:tc>
          <w:tcPr>
            <w:tcW w:w="507" w:type="pct"/>
            <w:tcBorders>
              <w:top w:val="nil"/>
              <w:left w:val="nil"/>
              <w:bottom w:val="nil"/>
              <w:right w:val="nil"/>
            </w:tcBorders>
            <w:hideMark/>
          </w:tcPr>
          <w:p w14:paraId="5F013CBA" w14:textId="77777777"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50 proc. Lengvatinės paskolos + 50 proc. komerciniai bankai + investicinis fondas</w:t>
            </w:r>
          </w:p>
        </w:tc>
        <w:tc>
          <w:tcPr>
            <w:tcW w:w="507" w:type="pct"/>
            <w:tcBorders>
              <w:top w:val="nil"/>
              <w:left w:val="nil"/>
              <w:bottom w:val="nil"/>
              <w:right w:val="nil"/>
            </w:tcBorders>
          </w:tcPr>
          <w:p w14:paraId="4D838F86" w14:textId="77777777"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KŪB (Lengvatinė paskola)</w:t>
            </w:r>
          </w:p>
          <w:p w14:paraId="4B25ED5B" w14:textId="77777777" w:rsidR="00FD5FAE" w:rsidRPr="00C8226F" w:rsidRDefault="00FD5FAE" w:rsidP="00765A39">
            <w:pPr>
              <w:ind w:left="-108" w:right="-121"/>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p>
        </w:tc>
        <w:tc>
          <w:tcPr>
            <w:tcW w:w="508" w:type="pct"/>
            <w:tcBorders>
              <w:top w:val="nil"/>
              <w:left w:val="nil"/>
              <w:bottom w:val="nil"/>
              <w:right w:val="single" w:sz="8" w:space="0" w:color="C0504D" w:themeColor="accent2"/>
            </w:tcBorders>
            <w:hideMark/>
          </w:tcPr>
          <w:p w14:paraId="090FA88F" w14:textId="77777777"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100 proc. Subsidija</w:t>
            </w:r>
          </w:p>
        </w:tc>
      </w:tr>
      <w:tr w:rsidR="00FD5FAE" w:rsidRPr="00C8226F" w14:paraId="7751CA7F" w14:textId="77777777" w:rsidTr="00765A39">
        <w:trPr>
          <w:cnfStyle w:val="000000100000" w:firstRow="0" w:lastRow="0" w:firstColumn="0" w:lastColumn="0" w:oddVBand="0" w:evenVBand="0" w:oddHBand="1" w:evenHBand="0"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942" w:type="pct"/>
            <w:tcBorders>
              <w:right w:val="nil"/>
            </w:tcBorders>
            <w:hideMark/>
          </w:tcPr>
          <w:p w14:paraId="0BD30B3D" w14:textId="77777777" w:rsidR="00FD5FAE" w:rsidRPr="00C8226F" w:rsidRDefault="00FD5FAE" w:rsidP="00765A39">
            <w:pPr>
              <w:rPr>
                <w:rFonts w:ascii="Georgia" w:hAnsi="Georgia"/>
                <w:b w:val="0"/>
                <w:sz w:val="18"/>
                <w:szCs w:val="18"/>
              </w:rPr>
            </w:pPr>
            <w:r w:rsidRPr="00C8226F">
              <w:rPr>
                <w:rFonts w:ascii="Georgia" w:hAnsi="Georgia"/>
                <w:sz w:val="18"/>
                <w:szCs w:val="18"/>
              </w:rPr>
              <w:t>Galutinius naudos gavėjus pasiekusios lėšos (mln. eurų)</w:t>
            </w:r>
          </w:p>
        </w:tc>
        <w:tc>
          <w:tcPr>
            <w:tcW w:w="507" w:type="pct"/>
            <w:tcBorders>
              <w:left w:val="nil"/>
              <w:right w:val="nil"/>
            </w:tcBorders>
            <w:vAlign w:val="center"/>
            <w:hideMark/>
          </w:tcPr>
          <w:p w14:paraId="3A62DB95" w14:textId="77777777"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15,6</w:t>
            </w:r>
          </w:p>
        </w:tc>
        <w:tc>
          <w:tcPr>
            <w:tcW w:w="507" w:type="pct"/>
            <w:tcBorders>
              <w:left w:val="nil"/>
              <w:right w:val="nil"/>
            </w:tcBorders>
            <w:vAlign w:val="center"/>
            <w:hideMark/>
          </w:tcPr>
          <w:p w14:paraId="7D8EB459" w14:textId="77777777"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24,8</w:t>
            </w:r>
          </w:p>
        </w:tc>
        <w:tc>
          <w:tcPr>
            <w:tcW w:w="507" w:type="pct"/>
            <w:tcBorders>
              <w:left w:val="nil"/>
              <w:right w:val="nil"/>
            </w:tcBorders>
            <w:vAlign w:val="center"/>
            <w:hideMark/>
          </w:tcPr>
          <w:p w14:paraId="66A9B6A3" w14:textId="77777777"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25,8</w:t>
            </w:r>
          </w:p>
        </w:tc>
        <w:tc>
          <w:tcPr>
            <w:tcW w:w="507" w:type="pct"/>
            <w:tcBorders>
              <w:left w:val="nil"/>
              <w:right w:val="nil"/>
            </w:tcBorders>
            <w:vAlign w:val="center"/>
            <w:hideMark/>
          </w:tcPr>
          <w:p w14:paraId="17D0723E" w14:textId="77777777"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31,5</w:t>
            </w:r>
          </w:p>
        </w:tc>
        <w:tc>
          <w:tcPr>
            <w:tcW w:w="507" w:type="pct"/>
            <w:tcBorders>
              <w:left w:val="nil"/>
              <w:right w:val="nil"/>
            </w:tcBorders>
            <w:vAlign w:val="center"/>
            <w:hideMark/>
          </w:tcPr>
          <w:p w14:paraId="32BB84FF" w14:textId="77777777"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40,90</w:t>
            </w:r>
          </w:p>
        </w:tc>
        <w:tc>
          <w:tcPr>
            <w:tcW w:w="507" w:type="pct"/>
            <w:tcBorders>
              <w:left w:val="nil"/>
              <w:right w:val="nil"/>
            </w:tcBorders>
            <w:vAlign w:val="center"/>
            <w:hideMark/>
          </w:tcPr>
          <w:p w14:paraId="5EEA079F" w14:textId="77777777"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42,8</w:t>
            </w:r>
          </w:p>
        </w:tc>
        <w:tc>
          <w:tcPr>
            <w:tcW w:w="507" w:type="pct"/>
            <w:tcBorders>
              <w:left w:val="nil"/>
              <w:right w:val="nil"/>
            </w:tcBorders>
            <w:vAlign w:val="center"/>
            <w:hideMark/>
          </w:tcPr>
          <w:p w14:paraId="5333488F" w14:textId="77777777"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34,6</w:t>
            </w:r>
          </w:p>
        </w:tc>
        <w:tc>
          <w:tcPr>
            <w:tcW w:w="508" w:type="pct"/>
            <w:tcBorders>
              <w:left w:val="nil"/>
            </w:tcBorders>
            <w:vAlign w:val="center"/>
            <w:hideMark/>
          </w:tcPr>
          <w:p w14:paraId="71738211" w14:textId="77777777"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14,5</w:t>
            </w:r>
          </w:p>
        </w:tc>
      </w:tr>
      <w:tr w:rsidR="00FD5FAE" w:rsidRPr="00C8226F" w14:paraId="52A62A38" w14:textId="77777777" w:rsidTr="00765A39">
        <w:trPr>
          <w:trHeight w:val="1038"/>
        </w:trPr>
        <w:tc>
          <w:tcPr>
            <w:cnfStyle w:val="001000000000" w:firstRow="0" w:lastRow="0" w:firstColumn="1" w:lastColumn="0" w:oddVBand="0" w:evenVBand="0" w:oddHBand="0" w:evenHBand="0" w:firstRowFirstColumn="0" w:firstRowLastColumn="0" w:lastRowFirstColumn="0" w:lastRowLastColumn="0"/>
            <w:tcW w:w="942" w:type="pct"/>
            <w:tcBorders>
              <w:top w:val="nil"/>
              <w:left w:val="single" w:sz="8" w:space="0" w:color="C0504D" w:themeColor="accent2"/>
              <w:bottom w:val="nil"/>
              <w:right w:val="nil"/>
            </w:tcBorders>
            <w:hideMark/>
          </w:tcPr>
          <w:p w14:paraId="17D261F3" w14:textId="77777777" w:rsidR="00FD5FAE" w:rsidRPr="00C8226F" w:rsidRDefault="00FD5FAE" w:rsidP="00765A39">
            <w:pPr>
              <w:rPr>
                <w:rFonts w:ascii="Georgia" w:hAnsi="Georgia"/>
                <w:b w:val="0"/>
                <w:sz w:val="18"/>
                <w:szCs w:val="18"/>
              </w:rPr>
            </w:pPr>
            <w:r w:rsidRPr="00C8226F">
              <w:rPr>
                <w:rFonts w:ascii="Georgia" w:hAnsi="Georgia"/>
                <w:sz w:val="18"/>
                <w:szCs w:val="18"/>
              </w:rPr>
              <w:t>Renovuotų šviestuvų skaičius iki 2022 metų (vnt.)</w:t>
            </w:r>
          </w:p>
        </w:tc>
        <w:tc>
          <w:tcPr>
            <w:tcW w:w="507" w:type="pct"/>
            <w:tcBorders>
              <w:top w:val="nil"/>
              <w:left w:val="nil"/>
              <w:bottom w:val="nil"/>
              <w:right w:val="nil"/>
            </w:tcBorders>
            <w:vAlign w:val="center"/>
            <w:hideMark/>
          </w:tcPr>
          <w:p w14:paraId="7D046BD5" w14:textId="77777777"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21920</w:t>
            </w:r>
          </w:p>
        </w:tc>
        <w:tc>
          <w:tcPr>
            <w:tcW w:w="507" w:type="pct"/>
            <w:tcBorders>
              <w:top w:val="nil"/>
              <w:left w:val="nil"/>
              <w:bottom w:val="nil"/>
              <w:right w:val="nil"/>
            </w:tcBorders>
            <w:vAlign w:val="center"/>
            <w:hideMark/>
          </w:tcPr>
          <w:p w14:paraId="2DA9D24D" w14:textId="77777777"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34990</w:t>
            </w:r>
          </w:p>
        </w:tc>
        <w:tc>
          <w:tcPr>
            <w:tcW w:w="507" w:type="pct"/>
            <w:tcBorders>
              <w:top w:val="nil"/>
              <w:left w:val="nil"/>
              <w:bottom w:val="nil"/>
              <w:right w:val="nil"/>
            </w:tcBorders>
            <w:vAlign w:val="center"/>
            <w:hideMark/>
          </w:tcPr>
          <w:p w14:paraId="66F59AA1" w14:textId="77777777"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36313</w:t>
            </w:r>
          </w:p>
        </w:tc>
        <w:tc>
          <w:tcPr>
            <w:tcW w:w="507" w:type="pct"/>
            <w:tcBorders>
              <w:top w:val="nil"/>
              <w:left w:val="nil"/>
              <w:bottom w:val="nil"/>
              <w:right w:val="nil"/>
            </w:tcBorders>
            <w:vAlign w:val="center"/>
            <w:hideMark/>
          </w:tcPr>
          <w:p w14:paraId="7739F757" w14:textId="77777777"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44342</w:t>
            </w:r>
          </w:p>
        </w:tc>
        <w:tc>
          <w:tcPr>
            <w:tcW w:w="507" w:type="pct"/>
            <w:tcBorders>
              <w:top w:val="nil"/>
              <w:left w:val="nil"/>
              <w:bottom w:val="nil"/>
              <w:right w:val="nil"/>
            </w:tcBorders>
            <w:vAlign w:val="center"/>
            <w:hideMark/>
          </w:tcPr>
          <w:p w14:paraId="05D2B12E" w14:textId="77777777"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57600</w:t>
            </w:r>
          </w:p>
        </w:tc>
        <w:tc>
          <w:tcPr>
            <w:tcW w:w="507" w:type="pct"/>
            <w:tcBorders>
              <w:top w:val="nil"/>
              <w:left w:val="nil"/>
              <w:bottom w:val="nil"/>
              <w:right w:val="nil"/>
            </w:tcBorders>
            <w:vAlign w:val="center"/>
            <w:hideMark/>
          </w:tcPr>
          <w:p w14:paraId="7EE3ECD3" w14:textId="77777777"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60311</w:t>
            </w:r>
          </w:p>
        </w:tc>
        <w:tc>
          <w:tcPr>
            <w:tcW w:w="507" w:type="pct"/>
            <w:tcBorders>
              <w:top w:val="nil"/>
              <w:left w:val="nil"/>
              <w:bottom w:val="nil"/>
              <w:right w:val="nil"/>
            </w:tcBorders>
            <w:vAlign w:val="center"/>
            <w:hideMark/>
          </w:tcPr>
          <w:p w14:paraId="090166EC" w14:textId="77777777"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48721</w:t>
            </w:r>
          </w:p>
        </w:tc>
        <w:tc>
          <w:tcPr>
            <w:tcW w:w="508" w:type="pct"/>
            <w:tcBorders>
              <w:top w:val="nil"/>
              <w:left w:val="nil"/>
              <w:bottom w:val="nil"/>
              <w:right w:val="single" w:sz="8" w:space="0" w:color="C0504D" w:themeColor="accent2"/>
            </w:tcBorders>
            <w:vAlign w:val="center"/>
            <w:hideMark/>
          </w:tcPr>
          <w:p w14:paraId="15D62069" w14:textId="77777777"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20394</w:t>
            </w:r>
          </w:p>
        </w:tc>
      </w:tr>
      <w:tr w:rsidR="00FD5FAE" w:rsidRPr="00C8226F" w14:paraId="01D52975" w14:textId="77777777" w:rsidTr="00765A39">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942" w:type="pct"/>
            <w:tcBorders>
              <w:right w:val="nil"/>
            </w:tcBorders>
            <w:hideMark/>
          </w:tcPr>
          <w:p w14:paraId="4BAE8A86" w14:textId="77777777" w:rsidR="00FD5FAE" w:rsidRPr="00C8226F" w:rsidRDefault="00FD5FAE" w:rsidP="00765A39">
            <w:pPr>
              <w:rPr>
                <w:rFonts w:ascii="Georgia" w:hAnsi="Georgia"/>
                <w:b w:val="0"/>
                <w:sz w:val="18"/>
                <w:szCs w:val="18"/>
              </w:rPr>
            </w:pPr>
            <w:r w:rsidRPr="00C8226F">
              <w:rPr>
                <w:rFonts w:ascii="Georgia" w:hAnsi="Georgia"/>
                <w:sz w:val="18"/>
                <w:szCs w:val="18"/>
              </w:rPr>
              <w:t>Projektų multiplikatorius</w:t>
            </w:r>
          </w:p>
        </w:tc>
        <w:tc>
          <w:tcPr>
            <w:tcW w:w="507" w:type="pct"/>
            <w:tcBorders>
              <w:left w:val="nil"/>
              <w:right w:val="nil"/>
            </w:tcBorders>
            <w:vAlign w:val="center"/>
            <w:hideMark/>
          </w:tcPr>
          <w:p w14:paraId="02050AE7" w14:textId="77777777"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1,08</w:t>
            </w:r>
          </w:p>
        </w:tc>
        <w:tc>
          <w:tcPr>
            <w:tcW w:w="507" w:type="pct"/>
            <w:tcBorders>
              <w:left w:val="nil"/>
              <w:right w:val="nil"/>
            </w:tcBorders>
            <w:vAlign w:val="center"/>
            <w:hideMark/>
          </w:tcPr>
          <w:p w14:paraId="167FF9B1" w14:textId="77777777"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1,71</w:t>
            </w:r>
          </w:p>
        </w:tc>
        <w:tc>
          <w:tcPr>
            <w:tcW w:w="507" w:type="pct"/>
            <w:tcBorders>
              <w:left w:val="nil"/>
              <w:right w:val="nil"/>
            </w:tcBorders>
            <w:vAlign w:val="center"/>
            <w:hideMark/>
          </w:tcPr>
          <w:p w14:paraId="469AB081" w14:textId="77777777"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1,78</w:t>
            </w:r>
          </w:p>
        </w:tc>
        <w:tc>
          <w:tcPr>
            <w:tcW w:w="507" w:type="pct"/>
            <w:tcBorders>
              <w:left w:val="nil"/>
              <w:right w:val="nil"/>
            </w:tcBorders>
            <w:vAlign w:val="center"/>
            <w:hideMark/>
          </w:tcPr>
          <w:p w14:paraId="37720DFF" w14:textId="77777777"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2,18</w:t>
            </w:r>
          </w:p>
        </w:tc>
        <w:tc>
          <w:tcPr>
            <w:tcW w:w="507" w:type="pct"/>
            <w:tcBorders>
              <w:left w:val="nil"/>
              <w:right w:val="nil"/>
            </w:tcBorders>
            <w:vAlign w:val="center"/>
            <w:hideMark/>
          </w:tcPr>
          <w:p w14:paraId="2D8FADE7" w14:textId="77777777"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2,82</w:t>
            </w:r>
          </w:p>
        </w:tc>
        <w:tc>
          <w:tcPr>
            <w:tcW w:w="507" w:type="pct"/>
            <w:tcBorders>
              <w:left w:val="nil"/>
              <w:right w:val="nil"/>
            </w:tcBorders>
            <w:vAlign w:val="center"/>
            <w:hideMark/>
          </w:tcPr>
          <w:p w14:paraId="7C0F4E95" w14:textId="77777777"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2.96</w:t>
            </w:r>
          </w:p>
        </w:tc>
        <w:tc>
          <w:tcPr>
            <w:tcW w:w="507" w:type="pct"/>
            <w:tcBorders>
              <w:left w:val="nil"/>
              <w:right w:val="nil"/>
            </w:tcBorders>
            <w:vAlign w:val="center"/>
            <w:hideMark/>
          </w:tcPr>
          <w:p w14:paraId="724697E5" w14:textId="77777777"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2,39</w:t>
            </w:r>
          </w:p>
        </w:tc>
        <w:tc>
          <w:tcPr>
            <w:tcW w:w="508" w:type="pct"/>
            <w:tcBorders>
              <w:left w:val="nil"/>
            </w:tcBorders>
            <w:vAlign w:val="center"/>
            <w:hideMark/>
          </w:tcPr>
          <w:p w14:paraId="193E3071" w14:textId="77777777" w:rsidR="00FD5FAE" w:rsidRPr="00C8226F" w:rsidRDefault="00FD5FAE" w:rsidP="00765A39">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C8226F">
              <w:rPr>
                <w:rFonts w:ascii="Georgia" w:hAnsi="Georgia"/>
                <w:sz w:val="16"/>
                <w:szCs w:val="16"/>
              </w:rPr>
              <w:t>nėra</w:t>
            </w:r>
          </w:p>
        </w:tc>
      </w:tr>
      <w:tr w:rsidR="00FD5FAE" w:rsidRPr="00C8226F" w14:paraId="3DF2CC7B" w14:textId="77777777" w:rsidTr="00765A39">
        <w:trPr>
          <w:trHeight w:val="533"/>
        </w:trPr>
        <w:tc>
          <w:tcPr>
            <w:cnfStyle w:val="001000000000" w:firstRow="0" w:lastRow="0" w:firstColumn="1" w:lastColumn="0" w:oddVBand="0" w:evenVBand="0" w:oddHBand="0" w:evenHBand="0" w:firstRowFirstColumn="0" w:firstRowLastColumn="0" w:lastRowFirstColumn="0" w:lastRowLastColumn="0"/>
            <w:tcW w:w="942" w:type="pct"/>
            <w:tcBorders>
              <w:top w:val="nil"/>
              <w:left w:val="single" w:sz="8" w:space="0" w:color="C0504D" w:themeColor="accent2"/>
              <w:bottom w:val="single" w:sz="8" w:space="0" w:color="C0504D" w:themeColor="accent2"/>
              <w:right w:val="nil"/>
            </w:tcBorders>
            <w:hideMark/>
          </w:tcPr>
          <w:p w14:paraId="69A42F24" w14:textId="77777777" w:rsidR="00FD5FAE" w:rsidRPr="00C8226F" w:rsidRDefault="00FD5FAE" w:rsidP="00765A39">
            <w:pPr>
              <w:rPr>
                <w:rFonts w:ascii="Georgia" w:hAnsi="Georgia"/>
                <w:b w:val="0"/>
                <w:sz w:val="18"/>
                <w:szCs w:val="18"/>
              </w:rPr>
            </w:pPr>
            <w:r w:rsidRPr="00C8226F">
              <w:rPr>
                <w:rFonts w:ascii="Georgia" w:hAnsi="Georgia"/>
                <w:sz w:val="18"/>
                <w:szCs w:val="18"/>
              </w:rPr>
              <w:t>Sverto efektas</w:t>
            </w:r>
          </w:p>
        </w:tc>
        <w:tc>
          <w:tcPr>
            <w:tcW w:w="507" w:type="pct"/>
            <w:tcBorders>
              <w:top w:val="nil"/>
              <w:left w:val="nil"/>
              <w:bottom w:val="single" w:sz="8" w:space="0" w:color="C0504D" w:themeColor="accent2"/>
              <w:right w:val="nil"/>
            </w:tcBorders>
            <w:vAlign w:val="center"/>
            <w:hideMark/>
          </w:tcPr>
          <w:p w14:paraId="5AB1566A" w14:textId="77777777"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1,00</w:t>
            </w:r>
          </w:p>
        </w:tc>
        <w:tc>
          <w:tcPr>
            <w:tcW w:w="507" w:type="pct"/>
            <w:tcBorders>
              <w:top w:val="nil"/>
              <w:left w:val="nil"/>
              <w:bottom w:val="single" w:sz="8" w:space="0" w:color="C0504D" w:themeColor="accent2"/>
              <w:right w:val="nil"/>
            </w:tcBorders>
            <w:vAlign w:val="center"/>
            <w:hideMark/>
          </w:tcPr>
          <w:p w14:paraId="604D0549" w14:textId="77777777"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2,12</w:t>
            </w:r>
          </w:p>
        </w:tc>
        <w:tc>
          <w:tcPr>
            <w:tcW w:w="507" w:type="pct"/>
            <w:tcBorders>
              <w:top w:val="nil"/>
              <w:left w:val="nil"/>
              <w:bottom w:val="single" w:sz="8" w:space="0" w:color="C0504D" w:themeColor="accent2"/>
              <w:right w:val="nil"/>
            </w:tcBorders>
            <w:vAlign w:val="center"/>
            <w:hideMark/>
          </w:tcPr>
          <w:p w14:paraId="05D0A720" w14:textId="77777777"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2,11</w:t>
            </w:r>
          </w:p>
        </w:tc>
        <w:tc>
          <w:tcPr>
            <w:tcW w:w="507" w:type="pct"/>
            <w:tcBorders>
              <w:top w:val="nil"/>
              <w:left w:val="nil"/>
              <w:bottom w:val="single" w:sz="8" w:space="0" w:color="C0504D" w:themeColor="accent2"/>
              <w:right w:val="nil"/>
            </w:tcBorders>
            <w:vAlign w:val="center"/>
            <w:hideMark/>
          </w:tcPr>
          <w:p w14:paraId="30A835CA" w14:textId="77777777"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2,80</w:t>
            </w:r>
          </w:p>
        </w:tc>
        <w:tc>
          <w:tcPr>
            <w:tcW w:w="507" w:type="pct"/>
            <w:tcBorders>
              <w:top w:val="nil"/>
              <w:left w:val="nil"/>
              <w:bottom w:val="single" w:sz="8" w:space="0" w:color="C0504D" w:themeColor="accent2"/>
              <w:right w:val="nil"/>
            </w:tcBorders>
            <w:vAlign w:val="center"/>
            <w:hideMark/>
          </w:tcPr>
          <w:p w14:paraId="402464F1" w14:textId="77777777"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3,82</w:t>
            </w:r>
          </w:p>
        </w:tc>
        <w:tc>
          <w:tcPr>
            <w:tcW w:w="507" w:type="pct"/>
            <w:tcBorders>
              <w:top w:val="nil"/>
              <w:left w:val="nil"/>
              <w:bottom w:val="single" w:sz="8" w:space="0" w:color="C0504D" w:themeColor="accent2"/>
              <w:right w:val="nil"/>
            </w:tcBorders>
            <w:vAlign w:val="center"/>
            <w:hideMark/>
          </w:tcPr>
          <w:p w14:paraId="4F41543B" w14:textId="77777777"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3,35</w:t>
            </w:r>
          </w:p>
        </w:tc>
        <w:tc>
          <w:tcPr>
            <w:tcW w:w="507" w:type="pct"/>
            <w:tcBorders>
              <w:top w:val="nil"/>
              <w:left w:val="nil"/>
              <w:bottom w:val="single" w:sz="8" w:space="0" w:color="C0504D" w:themeColor="accent2"/>
              <w:right w:val="nil"/>
            </w:tcBorders>
            <w:vAlign w:val="center"/>
            <w:hideMark/>
          </w:tcPr>
          <w:p w14:paraId="18493DBE" w14:textId="77777777"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bCs/>
                <w:color w:val="000000"/>
                <w:sz w:val="16"/>
                <w:szCs w:val="16"/>
              </w:rPr>
              <w:t>3,33</w:t>
            </w:r>
          </w:p>
        </w:tc>
        <w:tc>
          <w:tcPr>
            <w:tcW w:w="508" w:type="pct"/>
            <w:tcBorders>
              <w:top w:val="nil"/>
              <w:left w:val="nil"/>
              <w:bottom w:val="single" w:sz="8" w:space="0" w:color="C0504D" w:themeColor="accent2"/>
              <w:right w:val="single" w:sz="8" w:space="0" w:color="C0504D" w:themeColor="accent2"/>
            </w:tcBorders>
            <w:vAlign w:val="center"/>
            <w:hideMark/>
          </w:tcPr>
          <w:p w14:paraId="4CD2617D" w14:textId="77777777" w:rsidR="00FD5FAE" w:rsidRPr="00C8226F" w:rsidRDefault="00FD5FAE" w:rsidP="00765A39">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C8226F">
              <w:rPr>
                <w:rFonts w:ascii="Georgia" w:hAnsi="Georgia"/>
                <w:sz w:val="16"/>
                <w:szCs w:val="16"/>
              </w:rPr>
              <w:t>nėra</w:t>
            </w:r>
          </w:p>
        </w:tc>
      </w:tr>
    </w:tbl>
    <w:p w14:paraId="269B5CE2" w14:textId="77777777" w:rsidR="00FD5FAE" w:rsidRPr="00C8226F" w:rsidRDefault="00FD5FAE" w:rsidP="00FD5FAE">
      <w:pPr>
        <w:jc w:val="both"/>
        <w:rPr>
          <w:rFonts w:ascii="Georgia" w:hAnsi="Georgia"/>
          <w:sz w:val="20"/>
          <w:szCs w:val="20"/>
          <w:lang w:val="lt-LT"/>
        </w:rPr>
      </w:pPr>
    </w:p>
    <w:p w14:paraId="3147078B" w14:textId="77777777" w:rsidR="00FD5FAE" w:rsidRPr="00C8226F" w:rsidRDefault="00FD5FAE" w:rsidP="00FD5FAE">
      <w:pPr>
        <w:jc w:val="both"/>
        <w:rPr>
          <w:rFonts w:ascii="Georgia" w:hAnsi="Georgia"/>
          <w:sz w:val="20"/>
          <w:szCs w:val="20"/>
          <w:lang w:val="lt-LT"/>
        </w:rPr>
      </w:pPr>
      <w:r w:rsidRPr="00C8226F">
        <w:rPr>
          <w:rFonts w:ascii="Georgia" w:hAnsi="Georgia"/>
          <w:sz w:val="20"/>
          <w:szCs w:val="20"/>
          <w:lang w:val="lt-LT"/>
        </w:rPr>
        <w:t>Pateiktame gatvių apšvietimo modernizavimo scenarijų palyginime matyti, kad 1-3 scenarijai demonstruoja prastus kiekybinius rezultatus, t.y. mažiausios galutinius naudos gavėjus pasiekusios lėšos ir renovuotų šviestuvų skaičius. Atsižvelgiant į tai, šie trys scenarijai toliau nėra nagrinėjami ir nerekomenduojami.</w:t>
      </w:r>
    </w:p>
    <w:p w14:paraId="0CF9373E" w14:textId="77777777" w:rsidR="00FD5FAE" w:rsidRPr="00C8226F" w:rsidRDefault="00FD5FAE" w:rsidP="00FD5FAE">
      <w:pPr>
        <w:jc w:val="both"/>
        <w:rPr>
          <w:rFonts w:ascii="Georgia" w:hAnsi="Georgia"/>
          <w:sz w:val="20"/>
          <w:szCs w:val="20"/>
          <w:lang w:val="lt-LT"/>
        </w:rPr>
      </w:pPr>
      <w:r w:rsidRPr="00C8226F">
        <w:rPr>
          <w:rFonts w:ascii="Georgia" w:hAnsi="Georgia"/>
          <w:sz w:val="20"/>
          <w:szCs w:val="20"/>
          <w:lang w:val="lt-LT"/>
        </w:rPr>
        <w:t>Likę keturi scenarijai (scenarijai 4-7) demonstruoja žymiai geresnius rezultatus, todėl šie keturi scenarijai yra lyginami tarpusavyje.</w:t>
      </w:r>
    </w:p>
    <w:p w14:paraId="4FC8ED89" w14:textId="77777777" w:rsidR="00FD5FAE" w:rsidRPr="00C8226F" w:rsidRDefault="00FD5FAE" w:rsidP="00FD5FAE">
      <w:pPr>
        <w:jc w:val="both"/>
        <w:rPr>
          <w:rFonts w:ascii="Georgia" w:hAnsi="Georgia"/>
          <w:sz w:val="20"/>
          <w:szCs w:val="20"/>
          <w:lang w:val="lt-LT"/>
        </w:rPr>
      </w:pPr>
      <w:r w:rsidRPr="00C8226F">
        <w:rPr>
          <w:rFonts w:ascii="Georgia" w:hAnsi="Georgia"/>
          <w:sz w:val="20"/>
          <w:szCs w:val="20"/>
          <w:lang w:val="lt-LT"/>
        </w:rPr>
        <w:t>Pažymėtina, jog gatvių apšvietimo modernizavimui numatyta nedidelė ESI fondų lėšų suma – tik apie 14,5 mln. eurų, todėl lyginant scenarijus taip pat reikia atsižvelgti ir į šį faktorių.</w:t>
      </w:r>
    </w:p>
    <w:p w14:paraId="6A4D7A75" w14:textId="77777777" w:rsidR="00FD5FAE" w:rsidRPr="00C8226F" w:rsidRDefault="00FD5FAE" w:rsidP="00FD5FAE">
      <w:pPr>
        <w:jc w:val="both"/>
        <w:rPr>
          <w:rFonts w:ascii="Georgia" w:hAnsi="Georgia"/>
          <w:sz w:val="20"/>
          <w:szCs w:val="20"/>
          <w:lang w:val="lt-LT"/>
        </w:rPr>
      </w:pPr>
      <w:r w:rsidRPr="00C8226F">
        <w:rPr>
          <w:rFonts w:ascii="Georgia" w:hAnsi="Georgia"/>
          <w:sz w:val="20"/>
          <w:szCs w:val="20"/>
          <w:lang w:val="lt-LT"/>
        </w:rPr>
        <w:t xml:space="preserve">4-asis scenarijus modeliuojamas kai ESI fondų lėšos išskaidomos į dvi finansines priemones: garantijas ir paskolas. Atlikus šį išskaidymą, kiekvienai iš finansinių priemonių įgyvendinti bus skirta tik nedidelė lėšų suma, o administravimo kaštai bei našta santykinai būtų didesni negu vienos priemonės atveju. Atitinkamai tikslinga pasirinkti vieną finansinį produktą gatvių apšvietimo modernizavimo projektų finansavimui, todėl 4 scenarijų siūloma atmesti. </w:t>
      </w:r>
    </w:p>
    <w:p w14:paraId="395FC49A" w14:textId="77777777" w:rsidR="00FD5FAE" w:rsidRPr="00C8226F" w:rsidRDefault="00FD5FAE" w:rsidP="00FD5FAE">
      <w:pPr>
        <w:jc w:val="both"/>
        <w:rPr>
          <w:rFonts w:ascii="Georgia" w:hAnsi="Georgia"/>
          <w:sz w:val="20"/>
          <w:szCs w:val="20"/>
          <w:lang w:val="lt-LT"/>
        </w:rPr>
      </w:pPr>
      <w:r w:rsidRPr="00C8226F">
        <w:rPr>
          <w:rFonts w:ascii="Georgia" w:hAnsi="Georgia"/>
          <w:sz w:val="20"/>
          <w:szCs w:val="20"/>
          <w:lang w:val="lt-LT"/>
        </w:rPr>
        <w:t xml:space="preserve">Taip pat siūloma atmesti 7-ąjį scenarijų, kurio metu būtų kuriamas juridinio asmens statusą turintis investicinis fondas. Tai scenarijus, kuris pasiteisintų didesnės apimties fondo atveju, tačiau gatvių apšvietimo modernizavimo įgyvendinimui tai būtų per didelė administracinė našta. </w:t>
      </w:r>
    </w:p>
    <w:p w14:paraId="2A062994" w14:textId="77777777" w:rsidR="00FD5FAE" w:rsidRPr="00C8226F" w:rsidRDefault="00FD5FAE" w:rsidP="00FD5FAE">
      <w:pPr>
        <w:jc w:val="both"/>
        <w:rPr>
          <w:rFonts w:ascii="Georgia" w:hAnsi="Georgia"/>
          <w:sz w:val="20"/>
          <w:szCs w:val="20"/>
          <w:lang w:val="lt-LT"/>
        </w:rPr>
      </w:pPr>
      <w:r w:rsidRPr="00C8226F">
        <w:rPr>
          <w:rFonts w:ascii="Georgia" w:hAnsi="Georgia"/>
          <w:sz w:val="20"/>
          <w:szCs w:val="20"/>
          <w:lang w:val="lt-LT"/>
        </w:rPr>
        <w:t xml:space="preserve">Lyginant 5 ir 6 scenarijus siūloma pasirinkti 5 scenarijų, kadangi tokiu atveju bankai vertintų projektus pagal savo nustatytas vertinimo procedūras ir jiems nereikėtų papildomai pritaikyti </w:t>
      </w:r>
      <w:r w:rsidRPr="00C8226F">
        <w:rPr>
          <w:rFonts w:ascii="Georgia" w:hAnsi="Georgia"/>
          <w:sz w:val="20"/>
          <w:szCs w:val="20"/>
          <w:lang w:val="lt-LT"/>
        </w:rPr>
        <w:lastRenderedPageBreak/>
        <w:t>vertinimo kriterijų prie fondų fondo reikalavimų. Taip pat 5 scenarijaus atveju multiplikatoriaus efektas yra panašus, tačiau sverto efektas yra didesnis, o tai reiškia, jog bankai labiau įsitrauks į šių projektų finansavimą, kas galimai geriau leis suprasti ESCO modelio įgyvendinimo subtilybes.</w:t>
      </w:r>
    </w:p>
    <w:p w14:paraId="4975E03E" w14:textId="77777777" w:rsidR="00FD5FAE" w:rsidRDefault="00FD5FAE" w:rsidP="00FD5FAE">
      <w:pPr>
        <w:jc w:val="both"/>
        <w:rPr>
          <w:rFonts w:ascii="Georgia" w:hAnsi="Georgia"/>
          <w:sz w:val="20"/>
          <w:szCs w:val="20"/>
          <w:lang w:val="lt-LT"/>
        </w:rPr>
      </w:pPr>
      <w:r w:rsidRPr="00C8226F">
        <w:rPr>
          <w:rFonts w:ascii="Georgia" w:hAnsi="Georgia"/>
          <w:sz w:val="20"/>
          <w:szCs w:val="20"/>
          <w:lang w:val="lt-LT"/>
        </w:rPr>
        <w:t>Atsižvelgus į aukščiau pateiktą analizę siūloma pasirinkti scenarijų su garantijų finansine priemone. Nors bankai yra identifikavę, jog garantijų finansinė priemonė yra sudėtingesnė, tačiau gatvių modernizavimo projektai demonstruoja geriausius sutaupymus, atsipirkimo laiką, bei investicijų grąžą, todėl bankų nuomone, ši sritis galėtų būti finansuojama garantijų priemonės pagalba.</w:t>
      </w:r>
    </w:p>
    <w:p w14:paraId="4A287D52" w14:textId="77777777" w:rsidR="004F374D" w:rsidRDefault="004F374D" w:rsidP="00FD5FAE">
      <w:pPr>
        <w:jc w:val="both"/>
        <w:rPr>
          <w:rFonts w:ascii="Georgia" w:hAnsi="Georgia"/>
          <w:sz w:val="20"/>
          <w:szCs w:val="20"/>
          <w:lang w:val="lt-LT"/>
        </w:rPr>
      </w:pPr>
      <w:r w:rsidRPr="00105B94">
        <w:rPr>
          <w:rFonts w:ascii="Georgia" w:hAnsi="Georgia"/>
          <w:sz w:val="20"/>
          <w:szCs w:val="20"/>
          <w:lang w:val="lt-LT"/>
        </w:rPr>
        <w:t xml:space="preserve">Nustačius, kad garantijų priemonė yra kiekybiškai naudingiausias finansinis produktas gatvių apšvietimo modernizavimo projektams, taip pat buvo identifikuota, kiek ESI fondų ar kitų lėšų reikėtų skirti garantijų priemonei siekiant padengti visą </w:t>
      </w:r>
      <w:r w:rsidRPr="00105B94">
        <w:rPr>
          <w:rFonts w:ascii="Georgia" w:hAnsi="Georgia"/>
          <w:sz w:val="20"/>
          <w:szCs w:val="20"/>
        </w:rPr>
        <w:t xml:space="preserve">2-ame </w:t>
      </w:r>
      <w:r w:rsidRPr="00B51CAE">
        <w:rPr>
          <w:rFonts w:ascii="Georgia" w:hAnsi="Georgia"/>
          <w:sz w:val="20"/>
          <w:szCs w:val="20"/>
          <w:lang w:val="lt-LT"/>
        </w:rPr>
        <w:t>skyriuje identifikuotą</w:t>
      </w:r>
      <w:r w:rsidRPr="00105B94">
        <w:rPr>
          <w:rFonts w:ascii="Georgia" w:hAnsi="Georgia"/>
          <w:sz w:val="20"/>
          <w:szCs w:val="20"/>
          <w:lang w:val="lt-LT"/>
        </w:rPr>
        <w:t xml:space="preserve"> rinkos finansavimo trūkumą. Apskaičiuota, jog siekiant padengti visą rinkos finansavimo trūkumą (70,7 mln. eurų įvertinus tai, kad ESI fondų lėšos yra naudojamos garantijų priemonės kūrimui) garantijų priemonės apimtis turėtų būti 25,85 mln. eurų.</w:t>
      </w:r>
      <w:r>
        <w:rPr>
          <w:rFonts w:ascii="Georgia" w:hAnsi="Georgia"/>
          <w:sz w:val="20"/>
          <w:szCs w:val="20"/>
          <w:lang w:val="lt-LT"/>
        </w:rPr>
        <w:t xml:space="preserve"> </w:t>
      </w:r>
    </w:p>
    <w:p w14:paraId="0E5C819E" w14:textId="77777777" w:rsidR="00826892" w:rsidRDefault="00826892" w:rsidP="00FD5FAE">
      <w:pPr>
        <w:jc w:val="both"/>
        <w:rPr>
          <w:rFonts w:ascii="Georgia" w:hAnsi="Georgia"/>
          <w:sz w:val="20"/>
          <w:szCs w:val="20"/>
          <w:lang w:val="lt-LT"/>
        </w:rPr>
      </w:pPr>
    </w:p>
    <w:p w14:paraId="0DE5412D" w14:textId="77777777" w:rsidR="00826892" w:rsidRPr="00C8226F" w:rsidRDefault="00FD3C97" w:rsidP="0062724A">
      <w:pPr>
        <w:pStyle w:val="Antrat2"/>
        <w:numPr>
          <w:ilvl w:val="2"/>
          <w:numId w:val="2"/>
        </w:numPr>
        <w:spacing w:after="240"/>
        <w:rPr>
          <w:lang w:val="lt-LT"/>
        </w:rPr>
      </w:pPr>
      <w:bookmarkStart w:id="291" w:name="_Toc417378402"/>
      <w:r>
        <w:rPr>
          <w:lang w:val="lt-LT"/>
        </w:rPr>
        <w:t>Savivaldybių</w:t>
      </w:r>
      <w:r w:rsidR="00826892" w:rsidRPr="00C8226F">
        <w:rPr>
          <w:lang w:val="lt-LT"/>
        </w:rPr>
        <w:t xml:space="preserve"> pastatų </w:t>
      </w:r>
      <w:r w:rsidR="00F8724F">
        <w:rPr>
          <w:lang w:val="lt-LT"/>
        </w:rPr>
        <w:t>modernizavimo</w:t>
      </w:r>
      <w:r w:rsidR="00826892" w:rsidRPr="00C8226F">
        <w:rPr>
          <w:lang w:val="lt-LT"/>
        </w:rPr>
        <w:t xml:space="preserve"> modelių palyginimas</w:t>
      </w:r>
      <w:bookmarkEnd w:id="291"/>
    </w:p>
    <w:p w14:paraId="2F02065C" w14:textId="77777777" w:rsidR="00826892" w:rsidRPr="00C8226F" w:rsidRDefault="00826892" w:rsidP="00826892">
      <w:pPr>
        <w:jc w:val="both"/>
        <w:rPr>
          <w:rFonts w:ascii="Georgia" w:hAnsi="Georgia"/>
          <w:sz w:val="20"/>
          <w:szCs w:val="20"/>
          <w:lang w:val="lt-LT"/>
        </w:rPr>
      </w:pPr>
      <w:r w:rsidRPr="00C8226F">
        <w:rPr>
          <w:rFonts w:ascii="Georgia" w:hAnsi="Georgia"/>
          <w:sz w:val="20"/>
          <w:szCs w:val="20"/>
          <w:lang w:val="lt-LT"/>
        </w:rPr>
        <w:t xml:space="preserve">Lentelėje pateikiamas 4.1. dalyje apskaičiuotas </w:t>
      </w:r>
      <w:r w:rsidR="002674A0">
        <w:rPr>
          <w:rFonts w:ascii="Georgia" w:hAnsi="Georgia"/>
          <w:sz w:val="20"/>
          <w:szCs w:val="20"/>
          <w:lang w:val="lt-LT"/>
        </w:rPr>
        <w:t>savivaldybių</w:t>
      </w:r>
      <w:r w:rsidRPr="00C8226F">
        <w:rPr>
          <w:rFonts w:ascii="Georgia" w:hAnsi="Georgia"/>
          <w:sz w:val="20"/>
          <w:szCs w:val="20"/>
          <w:lang w:val="lt-LT"/>
        </w:rPr>
        <w:t xml:space="preserve"> viešųjų pastatų </w:t>
      </w:r>
      <w:r w:rsidR="00F8724F">
        <w:rPr>
          <w:rFonts w:ascii="Georgia" w:hAnsi="Georgia"/>
          <w:sz w:val="20"/>
          <w:szCs w:val="20"/>
          <w:lang w:val="lt-LT"/>
        </w:rPr>
        <w:t>modernizavimo</w:t>
      </w:r>
      <w:r w:rsidRPr="00C8226F">
        <w:rPr>
          <w:rFonts w:ascii="Georgia" w:hAnsi="Georgia"/>
          <w:sz w:val="20"/>
          <w:szCs w:val="20"/>
          <w:lang w:val="lt-LT"/>
        </w:rPr>
        <w:t xml:space="preserve"> scenarijų palyginimas. Taip pat palyginimui nurodoma alternatyva, kai visos ES</w:t>
      </w:r>
      <w:r>
        <w:rPr>
          <w:rFonts w:ascii="Georgia" w:hAnsi="Georgia"/>
          <w:sz w:val="20"/>
          <w:szCs w:val="20"/>
          <w:lang w:val="lt-LT"/>
        </w:rPr>
        <w:t>I fondų</w:t>
      </w:r>
      <w:r w:rsidRPr="00C8226F">
        <w:rPr>
          <w:rFonts w:ascii="Georgia" w:hAnsi="Georgia"/>
          <w:sz w:val="20"/>
          <w:szCs w:val="20"/>
          <w:lang w:val="lt-LT"/>
        </w:rPr>
        <w:t xml:space="preserve"> lėšos būtų skiriamos subsidijų forma.</w:t>
      </w:r>
    </w:p>
    <w:p w14:paraId="7BBAB4EF" w14:textId="7D7BF7BD" w:rsidR="00826892" w:rsidRDefault="00826892" w:rsidP="00826892">
      <w:pPr>
        <w:pStyle w:val="Antrat"/>
        <w:rPr>
          <w:szCs w:val="20"/>
          <w:lang w:val="lt-LT"/>
        </w:rPr>
      </w:pPr>
      <w:bookmarkStart w:id="292" w:name="_Toc460321730"/>
      <w:r w:rsidRPr="00C8226F">
        <w:rPr>
          <w:lang w:val="lt-LT"/>
        </w:rPr>
        <w:t xml:space="preserve">Lentelė </w:t>
      </w:r>
      <w:r w:rsidRPr="00C8226F">
        <w:rPr>
          <w:lang w:val="lt-LT"/>
        </w:rPr>
        <w:fldChar w:fldCharType="begin"/>
      </w:r>
      <w:r w:rsidRPr="00C8226F">
        <w:rPr>
          <w:lang w:val="lt-LT"/>
        </w:rPr>
        <w:instrText xml:space="preserve"> SEQ Lentelė \* ARABIC </w:instrText>
      </w:r>
      <w:r w:rsidRPr="00C8226F">
        <w:rPr>
          <w:lang w:val="lt-LT"/>
        </w:rPr>
        <w:fldChar w:fldCharType="separate"/>
      </w:r>
      <w:r w:rsidR="00AA3082">
        <w:rPr>
          <w:noProof/>
          <w:lang w:val="lt-LT"/>
        </w:rPr>
        <w:t>149</w:t>
      </w:r>
      <w:r w:rsidRPr="00C8226F">
        <w:rPr>
          <w:lang w:val="lt-LT"/>
        </w:rPr>
        <w:fldChar w:fldCharType="end"/>
      </w:r>
      <w:r w:rsidRPr="00C8226F">
        <w:rPr>
          <w:lang w:val="lt-LT"/>
        </w:rPr>
        <w:t xml:space="preserve">. </w:t>
      </w:r>
      <w:r w:rsidRPr="00C8226F">
        <w:rPr>
          <w:szCs w:val="20"/>
          <w:lang w:val="lt-LT"/>
        </w:rPr>
        <w:t>Skirtingų scenarijų palyginimas</w:t>
      </w:r>
      <w:bookmarkEnd w:id="292"/>
    </w:p>
    <w:tbl>
      <w:tblPr>
        <w:tblStyle w:val="viesussraas2parykinimas"/>
        <w:tblW w:w="4966" w:type="pct"/>
        <w:tblLook w:val="04A0" w:firstRow="1" w:lastRow="0" w:firstColumn="1" w:lastColumn="0" w:noHBand="0" w:noVBand="1"/>
      </w:tblPr>
      <w:tblGrid>
        <w:gridCol w:w="1952"/>
        <w:gridCol w:w="1205"/>
        <w:gridCol w:w="1205"/>
        <w:gridCol w:w="1205"/>
        <w:gridCol w:w="1204"/>
        <w:gridCol w:w="1204"/>
        <w:gridCol w:w="1204"/>
      </w:tblGrid>
      <w:tr w:rsidR="00F9670E" w:rsidRPr="006A5452" w14:paraId="4684E82F" w14:textId="77777777" w:rsidTr="00506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pct"/>
          </w:tcPr>
          <w:p w14:paraId="44BC39E6" w14:textId="77777777" w:rsidR="00F9670E" w:rsidRPr="006A5452" w:rsidRDefault="00F9670E" w:rsidP="00F9670E">
            <w:pPr>
              <w:rPr>
                <w:rFonts w:ascii="Georgia" w:hAnsi="Georgia"/>
                <w:b w:val="0"/>
                <w:sz w:val="20"/>
                <w:szCs w:val="20"/>
              </w:rPr>
            </w:pPr>
          </w:p>
        </w:tc>
        <w:tc>
          <w:tcPr>
            <w:tcW w:w="656" w:type="pct"/>
            <w:hideMark/>
          </w:tcPr>
          <w:p w14:paraId="0405F6D0" w14:textId="77777777" w:rsidR="00F9670E" w:rsidRPr="006A5452" w:rsidRDefault="00F9670E" w:rsidP="00F9670E">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6A5452">
              <w:rPr>
                <w:rFonts w:ascii="Georgia" w:hAnsi="Georgia"/>
                <w:sz w:val="18"/>
                <w:szCs w:val="18"/>
              </w:rPr>
              <w:t>Nr. 1</w:t>
            </w:r>
          </w:p>
        </w:tc>
        <w:tc>
          <w:tcPr>
            <w:tcW w:w="656" w:type="pct"/>
            <w:hideMark/>
          </w:tcPr>
          <w:p w14:paraId="73DA3D43" w14:textId="77777777" w:rsidR="00F9670E" w:rsidRPr="006A5452" w:rsidRDefault="00F9670E" w:rsidP="00F9670E">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6A5452">
              <w:rPr>
                <w:rFonts w:ascii="Georgia" w:hAnsi="Georgia"/>
                <w:sz w:val="18"/>
                <w:szCs w:val="18"/>
              </w:rPr>
              <w:t>Nr. 2</w:t>
            </w:r>
          </w:p>
        </w:tc>
        <w:tc>
          <w:tcPr>
            <w:tcW w:w="656" w:type="pct"/>
            <w:hideMark/>
          </w:tcPr>
          <w:p w14:paraId="166D19EB" w14:textId="77777777" w:rsidR="00F9670E" w:rsidRPr="006A5452" w:rsidRDefault="00F9670E" w:rsidP="00F9670E">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6A5452">
              <w:rPr>
                <w:rFonts w:ascii="Georgia" w:hAnsi="Georgia"/>
                <w:sz w:val="18"/>
                <w:szCs w:val="18"/>
              </w:rPr>
              <w:t>Nr. 3</w:t>
            </w:r>
          </w:p>
        </w:tc>
        <w:tc>
          <w:tcPr>
            <w:tcW w:w="656" w:type="pct"/>
            <w:hideMark/>
          </w:tcPr>
          <w:p w14:paraId="72881978" w14:textId="77777777" w:rsidR="00F9670E" w:rsidRPr="006A5452" w:rsidRDefault="00F9670E" w:rsidP="00F9670E">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6A5452">
              <w:rPr>
                <w:rFonts w:ascii="Georgia" w:hAnsi="Georgia"/>
                <w:sz w:val="18"/>
                <w:szCs w:val="18"/>
              </w:rPr>
              <w:t>Nr. 4</w:t>
            </w:r>
          </w:p>
        </w:tc>
        <w:tc>
          <w:tcPr>
            <w:tcW w:w="656" w:type="pct"/>
            <w:hideMark/>
          </w:tcPr>
          <w:p w14:paraId="6A460D46" w14:textId="77777777" w:rsidR="00F9670E" w:rsidRPr="006A5452" w:rsidRDefault="00F9670E" w:rsidP="00F9670E">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6A5452">
              <w:rPr>
                <w:rFonts w:ascii="Georgia" w:hAnsi="Georgia"/>
                <w:sz w:val="18"/>
                <w:szCs w:val="18"/>
              </w:rPr>
              <w:t>Nr.5</w:t>
            </w:r>
          </w:p>
        </w:tc>
        <w:tc>
          <w:tcPr>
            <w:tcW w:w="656" w:type="pct"/>
            <w:hideMark/>
          </w:tcPr>
          <w:p w14:paraId="1C7819DD" w14:textId="77777777" w:rsidR="00F9670E" w:rsidRPr="006A5452" w:rsidRDefault="00F9670E" w:rsidP="00F9670E">
            <w:pPr>
              <w:ind w:left="-108" w:right="-121"/>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6A5452">
              <w:rPr>
                <w:rFonts w:ascii="Georgia" w:hAnsi="Georgia"/>
                <w:sz w:val="18"/>
                <w:szCs w:val="18"/>
              </w:rPr>
              <w:t>Subsidija</w:t>
            </w:r>
          </w:p>
        </w:tc>
      </w:tr>
      <w:tr w:rsidR="00F9670E" w:rsidRPr="006A5452" w14:paraId="4DA4A3B8" w14:textId="77777777" w:rsidTr="00506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pct"/>
            <w:hideMark/>
          </w:tcPr>
          <w:p w14:paraId="73CC360D" w14:textId="77777777" w:rsidR="00F9670E" w:rsidRPr="006A5452" w:rsidRDefault="00F9670E" w:rsidP="00F9670E">
            <w:pPr>
              <w:rPr>
                <w:rFonts w:ascii="Georgia" w:hAnsi="Georgia"/>
                <w:b w:val="0"/>
                <w:sz w:val="18"/>
                <w:szCs w:val="18"/>
              </w:rPr>
            </w:pPr>
            <w:r w:rsidRPr="006A5452">
              <w:rPr>
                <w:rFonts w:ascii="Georgia" w:hAnsi="Georgia"/>
                <w:sz w:val="18"/>
                <w:szCs w:val="18"/>
              </w:rPr>
              <w:t>Finansinė priemonė</w:t>
            </w:r>
          </w:p>
        </w:tc>
        <w:tc>
          <w:tcPr>
            <w:tcW w:w="656" w:type="pct"/>
            <w:hideMark/>
          </w:tcPr>
          <w:p w14:paraId="7C428EE6" w14:textId="2ADBCBDD" w:rsidR="00F9670E" w:rsidRPr="006A5452" w:rsidRDefault="00206B18" w:rsidP="00206B18">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sz w:val="16"/>
                <w:szCs w:val="16"/>
              </w:rPr>
              <w:t>P</w:t>
            </w:r>
            <w:r w:rsidR="00F9670E" w:rsidRPr="006A5452">
              <w:rPr>
                <w:rFonts w:ascii="Georgia" w:hAnsi="Georgia"/>
                <w:sz w:val="16"/>
                <w:szCs w:val="16"/>
              </w:rPr>
              <w:t>askola</w:t>
            </w:r>
            <w:r w:rsidR="00F9670E">
              <w:rPr>
                <w:rFonts w:ascii="Georgia" w:hAnsi="Georgia"/>
                <w:sz w:val="16"/>
                <w:szCs w:val="16"/>
              </w:rPr>
              <w:t xml:space="preserve"> </w:t>
            </w:r>
          </w:p>
        </w:tc>
        <w:tc>
          <w:tcPr>
            <w:tcW w:w="656" w:type="pct"/>
            <w:hideMark/>
          </w:tcPr>
          <w:p w14:paraId="20710943" w14:textId="13BDB6EF" w:rsidR="00F9670E" w:rsidRPr="006A5452" w:rsidRDefault="00206B18" w:rsidP="00206B18">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sz w:val="16"/>
                <w:szCs w:val="16"/>
              </w:rPr>
              <w:t>P</w:t>
            </w:r>
            <w:r w:rsidR="00F9670E" w:rsidRPr="006A5452">
              <w:rPr>
                <w:rFonts w:ascii="Georgia" w:hAnsi="Georgia"/>
                <w:sz w:val="16"/>
                <w:szCs w:val="16"/>
              </w:rPr>
              <w:t xml:space="preserve">askola + investicinis fondas </w:t>
            </w:r>
          </w:p>
        </w:tc>
        <w:tc>
          <w:tcPr>
            <w:tcW w:w="656" w:type="pct"/>
            <w:hideMark/>
          </w:tcPr>
          <w:p w14:paraId="2B7D24FC" w14:textId="701FA7D8" w:rsidR="00F9670E" w:rsidRPr="006A5452" w:rsidRDefault="00206B18" w:rsidP="00F9670E">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sz w:val="16"/>
                <w:szCs w:val="16"/>
              </w:rPr>
              <w:t>P</w:t>
            </w:r>
            <w:r w:rsidR="00F9670E" w:rsidRPr="006A5452">
              <w:rPr>
                <w:rFonts w:ascii="Georgia" w:hAnsi="Georgia"/>
                <w:sz w:val="16"/>
                <w:szCs w:val="16"/>
              </w:rPr>
              <w:t>askola + Garantijos bankams</w:t>
            </w:r>
          </w:p>
          <w:p w14:paraId="7B00A29F" w14:textId="131DBE1D" w:rsidR="00F9670E" w:rsidRPr="006A5452" w:rsidRDefault="00F9670E" w:rsidP="00F9670E">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p>
        </w:tc>
        <w:tc>
          <w:tcPr>
            <w:tcW w:w="656" w:type="pct"/>
            <w:hideMark/>
          </w:tcPr>
          <w:p w14:paraId="626BAE1D" w14:textId="14C8FD33" w:rsidR="00F9670E" w:rsidRPr="006A5452" w:rsidRDefault="00F9670E" w:rsidP="00206B18">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6A5452">
              <w:rPr>
                <w:rFonts w:ascii="Georgia" w:hAnsi="Georgia" w:cs="Arial"/>
                <w:color w:val="000000"/>
                <w:sz w:val="16"/>
                <w:szCs w:val="16"/>
              </w:rPr>
              <w:t xml:space="preserve">Garantijos bankams </w:t>
            </w:r>
            <w:r w:rsidRPr="006A5452">
              <w:rPr>
                <w:rFonts w:ascii="Georgia" w:hAnsi="Georgia" w:cs="Arial"/>
                <w:color w:val="000000"/>
                <w:sz w:val="16"/>
                <w:szCs w:val="16"/>
              </w:rPr>
              <w:br/>
            </w:r>
            <w:r w:rsidRPr="006A5452">
              <w:rPr>
                <w:rFonts w:ascii="Georgia" w:hAnsi="Georgia" w:cs="Arial"/>
                <w:color w:val="000000"/>
                <w:sz w:val="16"/>
                <w:szCs w:val="16"/>
              </w:rPr>
              <w:br/>
            </w:r>
          </w:p>
        </w:tc>
        <w:tc>
          <w:tcPr>
            <w:tcW w:w="656" w:type="pct"/>
            <w:hideMark/>
          </w:tcPr>
          <w:p w14:paraId="58036E38" w14:textId="60D37ACB" w:rsidR="00F9670E" w:rsidRPr="006A5452" w:rsidRDefault="00206B18" w:rsidP="00206B18">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cs="Arial"/>
                <w:color w:val="000000"/>
                <w:sz w:val="16"/>
                <w:szCs w:val="16"/>
              </w:rPr>
              <w:t>P</w:t>
            </w:r>
            <w:r w:rsidR="00F9670E" w:rsidRPr="006A5452">
              <w:rPr>
                <w:rFonts w:ascii="Georgia" w:hAnsi="Georgia" w:cs="Arial"/>
                <w:color w:val="000000"/>
                <w:sz w:val="16"/>
                <w:szCs w:val="16"/>
              </w:rPr>
              <w:t xml:space="preserve">askola </w:t>
            </w:r>
            <w:r w:rsidR="00F9670E">
              <w:rPr>
                <w:rFonts w:ascii="Georgia" w:hAnsi="Georgia" w:cs="Arial"/>
                <w:color w:val="000000"/>
                <w:sz w:val="16"/>
                <w:szCs w:val="16"/>
              </w:rPr>
              <w:t>+ rizikos pasidalijimo fondas</w:t>
            </w:r>
          </w:p>
        </w:tc>
        <w:tc>
          <w:tcPr>
            <w:tcW w:w="656" w:type="pct"/>
            <w:hideMark/>
          </w:tcPr>
          <w:p w14:paraId="16A83276" w14:textId="77777777" w:rsidR="00F9670E" w:rsidRPr="006A5452" w:rsidRDefault="00F9670E" w:rsidP="00F9670E">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6A5452">
              <w:rPr>
                <w:rFonts w:ascii="Georgia" w:hAnsi="Georgia"/>
                <w:sz w:val="16"/>
                <w:szCs w:val="16"/>
              </w:rPr>
              <w:t>100 proc. subsidija</w:t>
            </w:r>
          </w:p>
        </w:tc>
      </w:tr>
      <w:tr w:rsidR="00F9670E" w:rsidRPr="006A5452" w14:paraId="3CC158B1" w14:textId="77777777" w:rsidTr="0050613B">
        <w:tc>
          <w:tcPr>
            <w:cnfStyle w:val="001000000000" w:firstRow="0" w:lastRow="0" w:firstColumn="1" w:lastColumn="0" w:oddVBand="0" w:evenVBand="0" w:oddHBand="0" w:evenHBand="0" w:firstRowFirstColumn="0" w:firstRowLastColumn="0" w:lastRowFirstColumn="0" w:lastRowLastColumn="0"/>
            <w:tcW w:w="1063" w:type="pct"/>
            <w:hideMark/>
          </w:tcPr>
          <w:p w14:paraId="4029B54B" w14:textId="77777777" w:rsidR="00F9670E" w:rsidRPr="006A5452" w:rsidRDefault="00F9670E" w:rsidP="00F9670E">
            <w:pPr>
              <w:rPr>
                <w:rFonts w:ascii="Georgia" w:hAnsi="Georgia"/>
                <w:b w:val="0"/>
                <w:sz w:val="18"/>
                <w:szCs w:val="18"/>
              </w:rPr>
            </w:pPr>
            <w:r w:rsidRPr="006A5452">
              <w:rPr>
                <w:rFonts w:ascii="Georgia" w:hAnsi="Georgia"/>
                <w:sz w:val="18"/>
                <w:szCs w:val="18"/>
              </w:rPr>
              <w:t>Fondo lėšos (mln. eurų):</w:t>
            </w:r>
          </w:p>
        </w:tc>
        <w:tc>
          <w:tcPr>
            <w:tcW w:w="656" w:type="pct"/>
            <w:vAlign w:val="center"/>
          </w:tcPr>
          <w:p w14:paraId="1B1CC3DB" w14:textId="2C1A9EDB" w:rsidR="00F9670E" w:rsidRDefault="00F9670E" w:rsidP="00206B18">
            <w:pPr>
              <w:jc w:val="center"/>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16"/>
                <w:szCs w:val="16"/>
              </w:rPr>
            </w:pPr>
            <w:r>
              <w:rPr>
                <w:rFonts w:ascii="Georgia" w:hAnsi="Georgia" w:cs="Arial"/>
                <w:color w:val="000000"/>
                <w:sz w:val="16"/>
                <w:szCs w:val="16"/>
              </w:rPr>
              <w:t>50</w:t>
            </w:r>
          </w:p>
        </w:tc>
        <w:tc>
          <w:tcPr>
            <w:tcW w:w="656" w:type="pct"/>
            <w:vAlign w:val="center"/>
          </w:tcPr>
          <w:p w14:paraId="39927895" w14:textId="144CFA9F" w:rsidR="00F9670E" w:rsidRDefault="00F9670E" w:rsidP="00206B18">
            <w:pPr>
              <w:jc w:val="center"/>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16"/>
                <w:szCs w:val="16"/>
              </w:rPr>
            </w:pPr>
            <w:r>
              <w:rPr>
                <w:rFonts w:ascii="Georgia" w:hAnsi="Georgia" w:cs="Arial"/>
                <w:color w:val="000000"/>
                <w:sz w:val="16"/>
                <w:szCs w:val="16"/>
              </w:rPr>
              <w:t>50</w:t>
            </w:r>
          </w:p>
        </w:tc>
        <w:tc>
          <w:tcPr>
            <w:tcW w:w="656" w:type="pct"/>
            <w:vAlign w:val="center"/>
          </w:tcPr>
          <w:p w14:paraId="4328C5AB" w14:textId="68376F0A" w:rsidR="00F9670E" w:rsidRDefault="00F9670E" w:rsidP="00206B18">
            <w:pPr>
              <w:jc w:val="center"/>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16"/>
                <w:szCs w:val="16"/>
              </w:rPr>
            </w:pPr>
            <w:r>
              <w:rPr>
                <w:rFonts w:ascii="Georgia" w:hAnsi="Georgia" w:cs="Arial"/>
                <w:color w:val="000000"/>
                <w:sz w:val="16"/>
                <w:szCs w:val="16"/>
              </w:rPr>
              <w:t>50</w:t>
            </w:r>
          </w:p>
        </w:tc>
        <w:tc>
          <w:tcPr>
            <w:tcW w:w="656" w:type="pct"/>
            <w:vAlign w:val="center"/>
          </w:tcPr>
          <w:p w14:paraId="0E340D49" w14:textId="31ABC533" w:rsidR="00F9670E" w:rsidRDefault="00F9670E" w:rsidP="00206B18">
            <w:pPr>
              <w:jc w:val="center"/>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16"/>
                <w:szCs w:val="16"/>
              </w:rPr>
            </w:pPr>
            <w:r>
              <w:rPr>
                <w:rFonts w:ascii="Georgia" w:hAnsi="Georgia" w:cs="Arial"/>
                <w:color w:val="000000"/>
                <w:sz w:val="16"/>
                <w:szCs w:val="16"/>
              </w:rPr>
              <w:t>50</w:t>
            </w:r>
          </w:p>
        </w:tc>
        <w:tc>
          <w:tcPr>
            <w:tcW w:w="656" w:type="pct"/>
            <w:vAlign w:val="center"/>
          </w:tcPr>
          <w:p w14:paraId="7DEE6D07" w14:textId="25B904F4" w:rsidR="00F9670E" w:rsidRDefault="008F73C3" w:rsidP="00206B18">
            <w:pPr>
              <w:jc w:val="center"/>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16"/>
                <w:szCs w:val="16"/>
              </w:rPr>
            </w:pPr>
            <w:r>
              <w:rPr>
                <w:rFonts w:ascii="Georgia" w:hAnsi="Georgia" w:cs="Arial"/>
                <w:color w:val="000000"/>
                <w:sz w:val="16"/>
                <w:szCs w:val="16"/>
              </w:rPr>
              <w:t>50</w:t>
            </w:r>
          </w:p>
        </w:tc>
        <w:tc>
          <w:tcPr>
            <w:tcW w:w="656" w:type="pct"/>
            <w:vAlign w:val="center"/>
            <w:hideMark/>
          </w:tcPr>
          <w:p w14:paraId="3ED998A2" w14:textId="45FFCCCC" w:rsidR="00F9670E" w:rsidRPr="006A5452" w:rsidRDefault="00F9670E" w:rsidP="00206B18">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6A5452">
              <w:rPr>
                <w:rFonts w:ascii="Georgia" w:hAnsi="Georgia" w:cs="Arial"/>
                <w:color w:val="000000"/>
                <w:sz w:val="16"/>
                <w:szCs w:val="16"/>
              </w:rPr>
              <w:t>50</w:t>
            </w:r>
          </w:p>
        </w:tc>
      </w:tr>
      <w:tr w:rsidR="0050613B" w:rsidRPr="006A5452" w14:paraId="0E4E33F2" w14:textId="77777777" w:rsidTr="00E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0744FF9" w14:textId="77777777" w:rsidR="0050613B" w:rsidRPr="006A5452" w:rsidRDefault="0050613B" w:rsidP="0050613B">
            <w:pPr>
              <w:rPr>
                <w:rFonts w:ascii="Georgia" w:hAnsi="Georgia"/>
                <w:sz w:val="18"/>
                <w:szCs w:val="18"/>
              </w:rPr>
            </w:pPr>
            <w:r w:rsidRPr="006A5452">
              <w:rPr>
                <w:rFonts w:ascii="Georgia" w:hAnsi="Georgia"/>
                <w:sz w:val="18"/>
                <w:szCs w:val="18"/>
              </w:rPr>
              <w:t>Iki 2022 m. pasirašyta paskolos sutarčių vertė (mln. eurų)</w:t>
            </w:r>
          </w:p>
        </w:tc>
        <w:tc>
          <w:tcPr>
            <w:tcW w:w="0" w:type="pct"/>
            <w:vAlign w:val="center"/>
          </w:tcPr>
          <w:p w14:paraId="692CDCD8" w14:textId="016084E1" w:rsidR="0050613B" w:rsidRDefault="0050613B" w:rsidP="0050613B">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6"/>
                <w:szCs w:val="16"/>
              </w:rPr>
            </w:pPr>
            <w:r>
              <w:rPr>
                <w:rFonts w:ascii="Georgia" w:hAnsi="Georgia" w:cs="Arial"/>
                <w:color w:val="000000"/>
                <w:sz w:val="16"/>
                <w:szCs w:val="16"/>
              </w:rPr>
              <w:t>49,3</w:t>
            </w:r>
          </w:p>
        </w:tc>
        <w:tc>
          <w:tcPr>
            <w:tcW w:w="0" w:type="pct"/>
            <w:vAlign w:val="center"/>
          </w:tcPr>
          <w:p w14:paraId="79213F0E" w14:textId="6ED66C40" w:rsidR="0050613B" w:rsidRDefault="0050613B" w:rsidP="0050613B">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6"/>
                <w:szCs w:val="16"/>
              </w:rPr>
            </w:pPr>
            <w:r>
              <w:rPr>
                <w:rFonts w:ascii="Georgia" w:hAnsi="Georgia" w:cs="Arial"/>
                <w:color w:val="000000"/>
                <w:sz w:val="16"/>
                <w:szCs w:val="16"/>
              </w:rPr>
              <w:t>62,9</w:t>
            </w:r>
          </w:p>
        </w:tc>
        <w:tc>
          <w:tcPr>
            <w:tcW w:w="0" w:type="pct"/>
            <w:vAlign w:val="center"/>
          </w:tcPr>
          <w:p w14:paraId="0B7CEE35" w14:textId="3303BC27" w:rsidR="0050613B" w:rsidRDefault="0050613B" w:rsidP="0050613B">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6"/>
                <w:szCs w:val="16"/>
              </w:rPr>
            </w:pPr>
            <w:r w:rsidRPr="00E67C77">
              <w:rPr>
                <w:rFonts w:ascii="Georgia" w:hAnsi="Georgia" w:cs="Arial"/>
                <w:color w:val="000000"/>
                <w:sz w:val="16"/>
                <w:szCs w:val="16"/>
              </w:rPr>
              <w:t>53,2</w:t>
            </w:r>
          </w:p>
        </w:tc>
        <w:tc>
          <w:tcPr>
            <w:tcW w:w="0" w:type="pct"/>
            <w:vAlign w:val="center"/>
          </w:tcPr>
          <w:p w14:paraId="52CB0CF1" w14:textId="3155EE93" w:rsidR="0050613B" w:rsidRDefault="0050613B" w:rsidP="0050613B">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6"/>
                <w:szCs w:val="16"/>
              </w:rPr>
            </w:pPr>
            <w:r>
              <w:rPr>
                <w:rFonts w:ascii="Georgia" w:hAnsi="Georgia" w:cs="Arial"/>
                <w:color w:val="000000"/>
                <w:sz w:val="16"/>
                <w:szCs w:val="16"/>
              </w:rPr>
              <w:t>86,6</w:t>
            </w:r>
          </w:p>
        </w:tc>
        <w:tc>
          <w:tcPr>
            <w:tcW w:w="0" w:type="pct"/>
            <w:vAlign w:val="center"/>
          </w:tcPr>
          <w:p w14:paraId="52BC6167" w14:textId="48AE3F0A" w:rsidR="0050613B" w:rsidRDefault="0050613B" w:rsidP="0050613B">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6"/>
                <w:szCs w:val="16"/>
              </w:rPr>
            </w:pPr>
            <w:r>
              <w:rPr>
                <w:rFonts w:ascii="Georgia" w:hAnsi="Georgia" w:cs="Arial"/>
                <w:color w:val="000000"/>
                <w:sz w:val="16"/>
                <w:szCs w:val="16"/>
              </w:rPr>
              <w:t>70,6</w:t>
            </w:r>
          </w:p>
        </w:tc>
        <w:tc>
          <w:tcPr>
            <w:tcW w:w="0" w:type="pct"/>
            <w:vAlign w:val="center"/>
          </w:tcPr>
          <w:p w14:paraId="1FF17CD1" w14:textId="77777777" w:rsidR="0050613B" w:rsidRPr="006A5452" w:rsidRDefault="0050613B" w:rsidP="0050613B">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6"/>
                <w:szCs w:val="16"/>
              </w:rPr>
            </w:pPr>
            <w:r>
              <w:rPr>
                <w:rFonts w:ascii="Georgia" w:hAnsi="Georgia" w:cs="Arial"/>
                <w:color w:val="000000"/>
                <w:sz w:val="16"/>
                <w:szCs w:val="16"/>
              </w:rPr>
              <w:t>50,7</w:t>
            </w:r>
          </w:p>
        </w:tc>
      </w:tr>
      <w:tr w:rsidR="0050613B" w:rsidRPr="006A5452" w14:paraId="30EB6F00" w14:textId="77777777" w:rsidTr="00E67C77">
        <w:tc>
          <w:tcPr>
            <w:cnfStyle w:val="001000000000" w:firstRow="0" w:lastRow="0" w:firstColumn="1" w:lastColumn="0" w:oddVBand="0" w:evenVBand="0" w:oddHBand="0" w:evenHBand="0" w:firstRowFirstColumn="0" w:firstRowLastColumn="0" w:lastRowFirstColumn="0" w:lastRowLastColumn="0"/>
            <w:tcW w:w="1063" w:type="pct"/>
            <w:hideMark/>
          </w:tcPr>
          <w:p w14:paraId="692B9278" w14:textId="77777777" w:rsidR="0050613B" w:rsidRPr="006A5452" w:rsidRDefault="0050613B" w:rsidP="0050613B">
            <w:pPr>
              <w:rPr>
                <w:rFonts w:ascii="Georgia" w:hAnsi="Georgia"/>
                <w:sz w:val="18"/>
                <w:szCs w:val="18"/>
              </w:rPr>
            </w:pPr>
            <w:r w:rsidRPr="006A5452">
              <w:rPr>
                <w:rFonts w:ascii="Georgia" w:hAnsi="Georgia"/>
                <w:sz w:val="18"/>
                <w:szCs w:val="18"/>
              </w:rPr>
              <w:t>Iki 2022 m. renovuotų pastatų skaičius</w:t>
            </w:r>
          </w:p>
        </w:tc>
        <w:tc>
          <w:tcPr>
            <w:tcW w:w="0" w:type="pct"/>
            <w:vAlign w:val="center"/>
          </w:tcPr>
          <w:p w14:paraId="479EF157" w14:textId="5FB540F7" w:rsidR="0050613B" w:rsidRDefault="0050613B" w:rsidP="0050613B">
            <w:pPr>
              <w:jc w:val="center"/>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16"/>
                <w:szCs w:val="16"/>
              </w:rPr>
            </w:pPr>
            <w:r w:rsidRPr="00E67C77">
              <w:rPr>
                <w:rFonts w:ascii="Georgia" w:hAnsi="Georgia" w:cs="Arial"/>
                <w:color w:val="000000"/>
                <w:sz w:val="16"/>
                <w:szCs w:val="16"/>
              </w:rPr>
              <w:t xml:space="preserve">215 </w:t>
            </w:r>
          </w:p>
        </w:tc>
        <w:tc>
          <w:tcPr>
            <w:tcW w:w="0" w:type="pct"/>
            <w:vAlign w:val="center"/>
          </w:tcPr>
          <w:p w14:paraId="379D7817" w14:textId="478A37DF" w:rsidR="0050613B" w:rsidRDefault="0050613B" w:rsidP="0050613B">
            <w:pPr>
              <w:jc w:val="center"/>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16"/>
                <w:szCs w:val="16"/>
              </w:rPr>
            </w:pPr>
            <w:r w:rsidRPr="00E67C77">
              <w:rPr>
                <w:rFonts w:ascii="Georgia" w:hAnsi="Georgia" w:cs="Arial"/>
                <w:color w:val="000000"/>
                <w:sz w:val="16"/>
                <w:szCs w:val="16"/>
              </w:rPr>
              <w:t>235</w:t>
            </w:r>
          </w:p>
        </w:tc>
        <w:tc>
          <w:tcPr>
            <w:tcW w:w="0" w:type="pct"/>
            <w:vAlign w:val="center"/>
          </w:tcPr>
          <w:p w14:paraId="2F14C9E5" w14:textId="1C8E2E52" w:rsidR="0050613B" w:rsidRDefault="0050613B" w:rsidP="0050613B">
            <w:pPr>
              <w:jc w:val="center"/>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16"/>
                <w:szCs w:val="16"/>
              </w:rPr>
            </w:pPr>
            <w:r w:rsidRPr="00E67C77">
              <w:rPr>
                <w:rFonts w:ascii="Georgia" w:hAnsi="Georgia" w:cs="Arial"/>
                <w:color w:val="000000"/>
                <w:sz w:val="16"/>
                <w:szCs w:val="16"/>
              </w:rPr>
              <w:t>230</w:t>
            </w:r>
          </w:p>
        </w:tc>
        <w:tc>
          <w:tcPr>
            <w:tcW w:w="0" w:type="pct"/>
            <w:vAlign w:val="center"/>
          </w:tcPr>
          <w:p w14:paraId="4B92313B" w14:textId="1593BE22" w:rsidR="0050613B" w:rsidRDefault="0050613B" w:rsidP="0050613B">
            <w:pPr>
              <w:jc w:val="center"/>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16"/>
                <w:szCs w:val="16"/>
              </w:rPr>
            </w:pPr>
            <w:r w:rsidRPr="00E67C77">
              <w:rPr>
                <w:rFonts w:ascii="Georgia" w:hAnsi="Georgia" w:cs="Arial"/>
                <w:color w:val="000000"/>
                <w:sz w:val="16"/>
                <w:szCs w:val="16"/>
              </w:rPr>
              <w:t>380</w:t>
            </w:r>
          </w:p>
        </w:tc>
        <w:tc>
          <w:tcPr>
            <w:tcW w:w="0" w:type="pct"/>
            <w:vAlign w:val="center"/>
          </w:tcPr>
          <w:p w14:paraId="42777282" w14:textId="5BC37B69" w:rsidR="0050613B" w:rsidRDefault="0047041F" w:rsidP="0050613B">
            <w:pPr>
              <w:jc w:val="center"/>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16"/>
                <w:szCs w:val="16"/>
              </w:rPr>
            </w:pPr>
            <w:r>
              <w:rPr>
                <w:rFonts w:ascii="Georgia" w:hAnsi="Georgia" w:cs="Arial"/>
                <w:color w:val="000000"/>
                <w:sz w:val="16"/>
                <w:szCs w:val="16"/>
              </w:rPr>
              <w:t>219</w:t>
            </w:r>
          </w:p>
        </w:tc>
        <w:tc>
          <w:tcPr>
            <w:tcW w:w="0" w:type="pct"/>
            <w:vAlign w:val="center"/>
            <w:hideMark/>
          </w:tcPr>
          <w:p w14:paraId="7B70C967" w14:textId="75624954" w:rsidR="0050613B" w:rsidRPr="006A5452" w:rsidRDefault="0050613B" w:rsidP="0050613B">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6A5452">
              <w:rPr>
                <w:rFonts w:ascii="Georgia" w:hAnsi="Georgia" w:cs="Arial"/>
                <w:color w:val="000000"/>
                <w:sz w:val="16"/>
                <w:szCs w:val="16"/>
              </w:rPr>
              <w:t>2</w:t>
            </w:r>
            <w:r>
              <w:rPr>
                <w:rFonts w:ascii="Georgia" w:hAnsi="Georgia" w:cs="Arial"/>
                <w:color w:val="000000"/>
                <w:sz w:val="16"/>
                <w:szCs w:val="16"/>
              </w:rPr>
              <w:t>19</w:t>
            </w:r>
          </w:p>
        </w:tc>
      </w:tr>
      <w:tr w:rsidR="0050613B" w:rsidRPr="006A5452" w14:paraId="059AB167" w14:textId="77777777" w:rsidTr="00E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pct"/>
            <w:hideMark/>
          </w:tcPr>
          <w:p w14:paraId="530E3322" w14:textId="77777777" w:rsidR="0050613B" w:rsidRPr="006A5452" w:rsidRDefault="0050613B" w:rsidP="0050613B">
            <w:pPr>
              <w:rPr>
                <w:rFonts w:ascii="Georgia" w:hAnsi="Georgia"/>
                <w:sz w:val="18"/>
                <w:szCs w:val="18"/>
              </w:rPr>
            </w:pPr>
            <w:r w:rsidRPr="006A5452">
              <w:rPr>
                <w:rFonts w:ascii="Georgia" w:hAnsi="Georgia"/>
                <w:sz w:val="18"/>
                <w:szCs w:val="18"/>
              </w:rPr>
              <w:t>Iki 2022 m. Renovuotų pastatų plotas, tūkst. kv. m.</w:t>
            </w:r>
          </w:p>
        </w:tc>
        <w:tc>
          <w:tcPr>
            <w:tcW w:w="0" w:type="pct"/>
            <w:vAlign w:val="center"/>
          </w:tcPr>
          <w:p w14:paraId="62CC7AEA" w14:textId="56A401B7" w:rsidR="0050613B" w:rsidRDefault="0050613B" w:rsidP="0050613B">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6"/>
                <w:szCs w:val="16"/>
              </w:rPr>
            </w:pPr>
            <w:r w:rsidRPr="00E67C77">
              <w:rPr>
                <w:rFonts w:ascii="Georgia" w:hAnsi="Georgia" w:cs="Arial"/>
                <w:color w:val="000000"/>
                <w:sz w:val="16"/>
                <w:szCs w:val="16"/>
              </w:rPr>
              <w:t xml:space="preserve">242,3 </w:t>
            </w:r>
          </w:p>
        </w:tc>
        <w:tc>
          <w:tcPr>
            <w:tcW w:w="0" w:type="pct"/>
            <w:vAlign w:val="center"/>
          </w:tcPr>
          <w:p w14:paraId="59943B7F" w14:textId="6CE2C064" w:rsidR="0050613B" w:rsidRDefault="0050613B" w:rsidP="0050613B">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6"/>
                <w:szCs w:val="16"/>
              </w:rPr>
            </w:pPr>
            <w:r w:rsidRPr="00E67C77">
              <w:rPr>
                <w:rFonts w:ascii="Georgia" w:hAnsi="Georgia" w:cs="Arial"/>
                <w:color w:val="000000"/>
                <w:sz w:val="16"/>
                <w:szCs w:val="16"/>
              </w:rPr>
              <w:t>264,8</w:t>
            </w:r>
          </w:p>
        </w:tc>
        <w:tc>
          <w:tcPr>
            <w:tcW w:w="0" w:type="pct"/>
            <w:vAlign w:val="center"/>
          </w:tcPr>
          <w:p w14:paraId="26BB64D5" w14:textId="51FBA048" w:rsidR="0050613B" w:rsidRDefault="0050613B" w:rsidP="0050613B">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6"/>
                <w:szCs w:val="16"/>
              </w:rPr>
            </w:pPr>
            <w:r w:rsidRPr="00E67C77">
              <w:rPr>
                <w:rFonts w:ascii="Georgia" w:hAnsi="Georgia" w:cs="Arial"/>
                <w:color w:val="000000"/>
                <w:sz w:val="16"/>
                <w:szCs w:val="16"/>
              </w:rPr>
              <w:t>259,2</w:t>
            </w:r>
          </w:p>
        </w:tc>
        <w:tc>
          <w:tcPr>
            <w:tcW w:w="0" w:type="pct"/>
            <w:vAlign w:val="center"/>
          </w:tcPr>
          <w:p w14:paraId="7E181638" w14:textId="3D40CFFC" w:rsidR="0050613B" w:rsidRDefault="0050613B" w:rsidP="0050613B">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6"/>
                <w:szCs w:val="16"/>
              </w:rPr>
            </w:pPr>
            <w:r w:rsidRPr="00E67C77">
              <w:rPr>
                <w:rFonts w:ascii="Georgia" w:hAnsi="Georgia" w:cs="Arial"/>
                <w:color w:val="000000"/>
                <w:sz w:val="16"/>
                <w:szCs w:val="16"/>
              </w:rPr>
              <w:t>428.3</w:t>
            </w:r>
          </w:p>
        </w:tc>
        <w:tc>
          <w:tcPr>
            <w:tcW w:w="0" w:type="pct"/>
            <w:vAlign w:val="center"/>
          </w:tcPr>
          <w:p w14:paraId="7D19502F" w14:textId="306F6819" w:rsidR="0050613B" w:rsidRDefault="0047041F" w:rsidP="000D10FC">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6"/>
                <w:szCs w:val="16"/>
              </w:rPr>
            </w:pPr>
            <w:r>
              <w:rPr>
                <w:rFonts w:ascii="Georgia" w:hAnsi="Georgia" w:cs="Arial"/>
                <w:color w:val="000000"/>
                <w:sz w:val="16"/>
                <w:szCs w:val="16"/>
              </w:rPr>
              <w:t>246.8</w:t>
            </w:r>
          </w:p>
        </w:tc>
        <w:tc>
          <w:tcPr>
            <w:tcW w:w="0" w:type="pct"/>
            <w:vAlign w:val="center"/>
            <w:hideMark/>
          </w:tcPr>
          <w:p w14:paraId="4F26265E" w14:textId="3CF965CB" w:rsidR="0050613B" w:rsidRPr="006A5452" w:rsidRDefault="0050613B" w:rsidP="0050613B">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Pr>
                <w:rFonts w:ascii="Georgia" w:hAnsi="Georgia" w:cs="Arial"/>
                <w:color w:val="000000"/>
                <w:sz w:val="16"/>
                <w:szCs w:val="16"/>
              </w:rPr>
              <w:t>246,8</w:t>
            </w:r>
          </w:p>
        </w:tc>
      </w:tr>
      <w:tr w:rsidR="0050613B" w:rsidRPr="006A5452" w14:paraId="37A7EA81" w14:textId="77777777" w:rsidTr="00E67C77">
        <w:tc>
          <w:tcPr>
            <w:cnfStyle w:val="001000000000" w:firstRow="0" w:lastRow="0" w:firstColumn="1" w:lastColumn="0" w:oddVBand="0" w:evenVBand="0" w:oddHBand="0" w:evenHBand="0" w:firstRowFirstColumn="0" w:firstRowLastColumn="0" w:lastRowFirstColumn="0" w:lastRowLastColumn="0"/>
            <w:tcW w:w="0" w:type="pct"/>
            <w:hideMark/>
          </w:tcPr>
          <w:p w14:paraId="1A947A50" w14:textId="77777777" w:rsidR="0050613B" w:rsidRPr="006A5452" w:rsidRDefault="0050613B" w:rsidP="0050613B">
            <w:pPr>
              <w:rPr>
                <w:rFonts w:ascii="Georgia" w:hAnsi="Georgia"/>
                <w:b w:val="0"/>
                <w:sz w:val="18"/>
                <w:szCs w:val="18"/>
              </w:rPr>
            </w:pPr>
            <w:r w:rsidRPr="006A5452">
              <w:rPr>
                <w:rFonts w:ascii="Georgia" w:hAnsi="Georgia"/>
                <w:sz w:val="18"/>
                <w:szCs w:val="18"/>
              </w:rPr>
              <w:t>Projektų multiplikatorius</w:t>
            </w:r>
          </w:p>
        </w:tc>
        <w:tc>
          <w:tcPr>
            <w:tcW w:w="0" w:type="pct"/>
            <w:vAlign w:val="center"/>
          </w:tcPr>
          <w:p w14:paraId="4D2503E3" w14:textId="46C2E700" w:rsidR="0050613B" w:rsidRDefault="0050613B" w:rsidP="0050613B">
            <w:pPr>
              <w:jc w:val="center"/>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16"/>
                <w:szCs w:val="16"/>
              </w:rPr>
            </w:pPr>
            <w:r w:rsidRPr="00E67C77">
              <w:rPr>
                <w:rFonts w:ascii="Georgia" w:hAnsi="Georgia" w:cs="Arial"/>
                <w:color w:val="000000"/>
                <w:sz w:val="16"/>
                <w:szCs w:val="16"/>
              </w:rPr>
              <w:t>0</w:t>
            </w:r>
            <w:r>
              <w:rPr>
                <w:rFonts w:ascii="Georgia" w:hAnsi="Georgia" w:cs="Arial"/>
                <w:color w:val="000000"/>
                <w:sz w:val="16"/>
                <w:szCs w:val="16"/>
              </w:rPr>
              <w:t>,</w:t>
            </w:r>
            <w:r w:rsidRPr="00E67C77">
              <w:rPr>
                <w:rFonts w:ascii="Georgia" w:hAnsi="Georgia" w:cs="Arial"/>
                <w:color w:val="000000"/>
                <w:sz w:val="16"/>
                <w:szCs w:val="16"/>
              </w:rPr>
              <w:t>98</w:t>
            </w:r>
          </w:p>
        </w:tc>
        <w:tc>
          <w:tcPr>
            <w:tcW w:w="0" w:type="pct"/>
            <w:vAlign w:val="center"/>
          </w:tcPr>
          <w:p w14:paraId="2012F77B" w14:textId="3E24C510" w:rsidR="0050613B" w:rsidRDefault="0050613B" w:rsidP="0050613B">
            <w:pPr>
              <w:jc w:val="center"/>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16"/>
                <w:szCs w:val="16"/>
              </w:rPr>
            </w:pPr>
            <w:r w:rsidRPr="00E67C77">
              <w:rPr>
                <w:rFonts w:ascii="Georgia" w:hAnsi="Georgia" w:cs="Arial"/>
                <w:color w:val="000000"/>
                <w:sz w:val="16"/>
                <w:szCs w:val="16"/>
              </w:rPr>
              <w:t>1</w:t>
            </w:r>
            <w:r>
              <w:rPr>
                <w:rFonts w:ascii="Georgia" w:hAnsi="Georgia" w:cs="Arial"/>
                <w:color w:val="000000"/>
                <w:sz w:val="16"/>
                <w:szCs w:val="16"/>
              </w:rPr>
              <w:t>,</w:t>
            </w:r>
            <w:r w:rsidRPr="00E67C77">
              <w:rPr>
                <w:rFonts w:ascii="Georgia" w:hAnsi="Georgia" w:cs="Arial"/>
                <w:color w:val="000000"/>
                <w:sz w:val="16"/>
                <w:szCs w:val="16"/>
              </w:rPr>
              <w:t>07</w:t>
            </w:r>
          </w:p>
        </w:tc>
        <w:tc>
          <w:tcPr>
            <w:tcW w:w="0" w:type="pct"/>
            <w:vAlign w:val="center"/>
          </w:tcPr>
          <w:p w14:paraId="12ACDF43" w14:textId="23A8DD64" w:rsidR="0050613B" w:rsidRDefault="0050613B" w:rsidP="0050613B">
            <w:pPr>
              <w:jc w:val="center"/>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16"/>
                <w:szCs w:val="16"/>
              </w:rPr>
            </w:pPr>
            <w:r w:rsidRPr="00E67C77">
              <w:rPr>
                <w:rFonts w:ascii="Georgia" w:hAnsi="Georgia" w:cs="Arial"/>
                <w:color w:val="000000"/>
                <w:sz w:val="16"/>
                <w:szCs w:val="16"/>
              </w:rPr>
              <w:t>1</w:t>
            </w:r>
            <w:r>
              <w:rPr>
                <w:rFonts w:ascii="Georgia" w:hAnsi="Georgia" w:cs="Arial"/>
                <w:color w:val="000000"/>
                <w:sz w:val="16"/>
                <w:szCs w:val="16"/>
              </w:rPr>
              <w:t>,</w:t>
            </w:r>
            <w:r w:rsidRPr="00E67C77">
              <w:rPr>
                <w:rFonts w:ascii="Georgia" w:hAnsi="Georgia" w:cs="Arial"/>
                <w:color w:val="000000"/>
                <w:sz w:val="16"/>
                <w:szCs w:val="16"/>
              </w:rPr>
              <w:t>01</w:t>
            </w:r>
          </w:p>
        </w:tc>
        <w:tc>
          <w:tcPr>
            <w:tcW w:w="0" w:type="pct"/>
            <w:vAlign w:val="center"/>
          </w:tcPr>
          <w:p w14:paraId="0CFDBBF3" w14:textId="2042125B" w:rsidR="0050613B" w:rsidRDefault="0050613B" w:rsidP="0050613B">
            <w:pPr>
              <w:jc w:val="center"/>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16"/>
                <w:szCs w:val="16"/>
              </w:rPr>
            </w:pPr>
            <w:r w:rsidRPr="00E67C77">
              <w:rPr>
                <w:rFonts w:ascii="Georgia" w:hAnsi="Georgia" w:cs="Arial"/>
                <w:color w:val="000000"/>
                <w:sz w:val="16"/>
                <w:szCs w:val="16"/>
              </w:rPr>
              <w:t>1</w:t>
            </w:r>
            <w:r>
              <w:rPr>
                <w:rFonts w:ascii="Georgia" w:hAnsi="Georgia" w:cs="Arial"/>
                <w:color w:val="000000"/>
                <w:sz w:val="16"/>
                <w:szCs w:val="16"/>
              </w:rPr>
              <w:t>,</w:t>
            </w:r>
            <w:r w:rsidRPr="00E67C77">
              <w:rPr>
                <w:rFonts w:ascii="Georgia" w:hAnsi="Georgia" w:cs="Arial"/>
                <w:color w:val="000000"/>
                <w:sz w:val="16"/>
                <w:szCs w:val="16"/>
              </w:rPr>
              <w:t>59</w:t>
            </w:r>
          </w:p>
        </w:tc>
        <w:tc>
          <w:tcPr>
            <w:tcW w:w="0" w:type="pct"/>
            <w:vAlign w:val="center"/>
          </w:tcPr>
          <w:p w14:paraId="7D200C00" w14:textId="21C6FC69" w:rsidR="0050613B" w:rsidRDefault="0050613B" w:rsidP="0050613B">
            <w:pPr>
              <w:jc w:val="center"/>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16"/>
                <w:szCs w:val="16"/>
              </w:rPr>
            </w:pPr>
            <w:r w:rsidRPr="00E67C77">
              <w:rPr>
                <w:rFonts w:ascii="Georgia" w:hAnsi="Georgia" w:cs="Arial"/>
                <w:color w:val="000000"/>
                <w:sz w:val="16"/>
                <w:szCs w:val="16"/>
              </w:rPr>
              <w:t>1</w:t>
            </w:r>
            <w:r>
              <w:rPr>
                <w:rFonts w:ascii="Georgia" w:hAnsi="Georgia" w:cs="Arial"/>
                <w:color w:val="000000"/>
                <w:sz w:val="16"/>
                <w:szCs w:val="16"/>
              </w:rPr>
              <w:t>,</w:t>
            </w:r>
            <w:r w:rsidRPr="00E67C77">
              <w:rPr>
                <w:rFonts w:ascii="Georgia" w:hAnsi="Georgia" w:cs="Arial"/>
                <w:color w:val="000000"/>
                <w:sz w:val="16"/>
                <w:szCs w:val="16"/>
              </w:rPr>
              <w:t>41</w:t>
            </w:r>
          </w:p>
        </w:tc>
        <w:tc>
          <w:tcPr>
            <w:tcW w:w="0" w:type="pct"/>
            <w:vAlign w:val="center"/>
            <w:hideMark/>
          </w:tcPr>
          <w:p w14:paraId="51795B14" w14:textId="77777777" w:rsidR="0050613B" w:rsidRPr="006A5452" w:rsidRDefault="0050613B" w:rsidP="0050613B">
            <w:pPr>
              <w:ind w:left="-108" w:right="-121"/>
              <w:jc w:val="center"/>
              <w:cnfStyle w:val="000000000000" w:firstRow="0" w:lastRow="0" w:firstColumn="0" w:lastColumn="0" w:oddVBand="0" w:evenVBand="0" w:oddHBand="0" w:evenHBand="0" w:firstRowFirstColumn="0" w:firstRowLastColumn="0" w:lastRowFirstColumn="0" w:lastRowLastColumn="0"/>
              <w:rPr>
                <w:rFonts w:ascii="Georgia" w:hAnsi="Georgia"/>
                <w:sz w:val="16"/>
                <w:szCs w:val="16"/>
              </w:rPr>
            </w:pPr>
            <w:r w:rsidRPr="006A5452">
              <w:rPr>
                <w:rFonts w:ascii="Georgia" w:hAnsi="Georgia" w:cs="Arial"/>
                <w:color w:val="000000"/>
                <w:sz w:val="16"/>
                <w:szCs w:val="16"/>
              </w:rPr>
              <w:t>Nėra</w:t>
            </w:r>
          </w:p>
        </w:tc>
      </w:tr>
      <w:tr w:rsidR="0050613B" w:rsidRPr="006A5452" w14:paraId="1C7A3EF0" w14:textId="77777777" w:rsidTr="00E67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3FDC2158" w14:textId="77777777" w:rsidR="0050613B" w:rsidRPr="006A5452" w:rsidRDefault="0050613B" w:rsidP="0050613B">
            <w:pPr>
              <w:rPr>
                <w:rFonts w:ascii="Georgia" w:hAnsi="Georgia"/>
                <w:b w:val="0"/>
                <w:sz w:val="18"/>
                <w:szCs w:val="18"/>
              </w:rPr>
            </w:pPr>
            <w:r w:rsidRPr="006A5452">
              <w:rPr>
                <w:rFonts w:ascii="Georgia" w:hAnsi="Georgia"/>
                <w:sz w:val="18"/>
                <w:szCs w:val="18"/>
              </w:rPr>
              <w:t>Sverto efektas</w:t>
            </w:r>
          </w:p>
        </w:tc>
        <w:tc>
          <w:tcPr>
            <w:tcW w:w="0" w:type="pct"/>
            <w:vAlign w:val="center"/>
          </w:tcPr>
          <w:p w14:paraId="7AF7F592" w14:textId="69CE0954" w:rsidR="0050613B" w:rsidRDefault="0050613B" w:rsidP="0050613B">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6"/>
                <w:szCs w:val="16"/>
              </w:rPr>
            </w:pPr>
            <w:r w:rsidRPr="00E67C77">
              <w:rPr>
                <w:rFonts w:ascii="Georgia" w:hAnsi="Georgia" w:cs="Arial"/>
                <w:color w:val="000000"/>
                <w:sz w:val="16"/>
                <w:szCs w:val="16"/>
              </w:rPr>
              <w:t>1</w:t>
            </w:r>
            <w:r>
              <w:rPr>
                <w:rFonts w:ascii="Georgia" w:hAnsi="Georgia" w:cs="Arial"/>
                <w:color w:val="000000"/>
                <w:sz w:val="16"/>
                <w:szCs w:val="16"/>
              </w:rPr>
              <w:t>,</w:t>
            </w:r>
            <w:r w:rsidRPr="00E67C77">
              <w:rPr>
                <w:rFonts w:ascii="Georgia" w:hAnsi="Georgia" w:cs="Arial"/>
                <w:color w:val="000000"/>
                <w:sz w:val="16"/>
                <w:szCs w:val="16"/>
              </w:rPr>
              <w:t>10</w:t>
            </w:r>
          </w:p>
        </w:tc>
        <w:tc>
          <w:tcPr>
            <w:tcW w:w="0" w:type="pct"/>
            <w:vAlign w:val="center"/>
          </w:tcPr>
          <w:p w14:paraId="1594E29E" w14:textId="2048DCC5" w:rsidR="0050613B" w:rsidRDefault="0050613B" w:rsidP="0050613B">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6"/>
                <w:szCs w:val="16"/>
              </w:rPr>
            </w:pPr>
            <w:r w:rsidRPr="00E67C77">
              <w:rPr>
                <w:rFonts w:ascii="Georgia" w:hAnsi="Georgia" w:cs="Arial"/>
                <w:color w:val="000000"/>
                <w:sz w:val="16"/>
                <w:szCs w:val="16"/>
              </w:rPr>
              <w:t>1</w:t>
            </w:r>
            <w:r>
              <w:rPr>
                <w:rFonts w:ascii="Georgia" w:hAnsi="Georgia" w:cs="Arial"/>
                <w:color w:val="000000"/>
                <w:sz w:val="16"/>
                <w:szCs w:val="16"/>
              </w:rPr>
              <w:t>,</w:t>
            </w:r>
            <w:r w:rsidRPr="00E67C77">
              <w:rPr>
                <w:rFonts w:ascii="Georgia" w:hAnsi="Georgia" w:cs="Arial"/>
                <w:color w:val="000000"/>
                <w:sz w:val="16"/>
                <w:szCs w:val="16"/>
              </w:rPr>
              <w:t>39</w:t>
            </w:r>
          </w:p>
        </w:tc>
        <w:tc>
          <w:tcPr>
            <w:tcW w:w="0" w:type="pct"/>
            <w:vAlign w:val="center"/>
          </w:tcPr>
          <w:p w14:paraId="0BC6958D" w14:textId="264A31B5" w:rsidR="0050613B" w:rsidRDefault="0050613B" w:rsidP="0050613B">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6"/>
                <w:szCs w:val="16"/>
              </w:rPr>
            </w:pPr>
            <w:r w:rsidRPr="00E67C77">
              <w:rPr>
                <w:rFonts w:ascii="Georgia" w:hAnsi="Georgia" w:cs="Arial"/>
                <w:color w:val="000000"/>
                <w:sz w:val="16"/>
                <w:szCs w:val="16"/>
              </w:rPr>
              <w:t>1</w:t>
            </w:r>
            <w:r>
              <w:rPr>
                <w:rFonts w:ascii="Georgia" w:hAnsi="Georgia" w:cs="Arial"/>
                <w:color w:val="000000"/>
                <w:sz w:val="16"/>
                <w:szCs w:val="16"/>
              </w:rPr>
              <w:t>,</w:t>
            </w:r>
            <w:r w:rsidRPr="00E67C77">
              <w:rPr>
                <w:rFonts w:ascii="Georgia" w:hAnsi="Georgia" w:cs="Arial"/>
                <w:color w:val="000000"/>
                <w:sz w:val="16"/>
                <w:szCs w:val="16"/>
              </w:rPr>
              <w:t>44</w:t>
            </w:r>
          </w:p>
        </w:tc>
        <w:tc>
          <w:tcPr>
            <w:tcW w:w="0" w:type="pct"/>
            <w:vAlign w:val="center"/>
          </w:tcPr>
          <w:p w14:paraId="5C640701" w14:textId="0761B2D1" w:rsidR="0050613B" w:rsidRDefault="0050613B" w:rsidP="0050613B">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6"/>
                <w:szCs w:val="16"/>
              </w:rPr>
            </w:pPr>
            <w:r w:rsidRPr="00E67C77">
              <w:rPr>
                <w:rFonts w:ascii="Georgia" w:hAnsi="Georgia" w:cs="Arial"/>
                <w:color w:val="000000"/>
                <w:sz w:val="16"/>
                <w:szCs w:val="16"/>
              </w:rPr>
              <w:t>2</w:t>
            </w:r>
            <w:r>
              <w:rPr>
                <w:rFonts w:ascii="Georgia" w:hAnsi="Georgia" w:cs="Arial"/>
                <w:color w:val="000000"/>
                <w:sz w:val="16"/>
                <w:szCs w:val="16"/>
              </w:rPr>
              <w:t>,</w:t>
            </w:r>
            <w:r w:rsidRPr="00E67C77">
              <w:rPr>
                <w:rFonts w:ascii="Georgia" w:hAnsi="Georgia" w:cs="Arial"/>
                <w:color w:val="000000"/>
                <w:sz w:val="16"/>
                <w:szCs w:val="16"/>
              </w:rPr>
              <w:t>59</w:t>
            </w:r>
          </w:p>
        </w:tc>
        <w:tc>
          <w:tcPr>
            <w:tcW w:w="0" w:type="pct"/>
            <w:vAlign w:val="center"/>
          </w:tcPr>
          <w:p w14:paraId="046DA7D4" w14:textId="4A15A908" w:rsidR="0050613B" w:rsidRDefault="0050613B" w:rsidP="0050613B">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16"/>
                <w:szCs w:val="16"/>
              </w:rPr>
            </w:pPr>
            <w:r w:rsidRPr="00E67C77">
              <w:rPr>
                <w:rFonts w:ascii="Georgia" w:hAnsi="Georgia" w:cs="Arial"/>
                <w:color w:val="000000"/>
                <w:sz w:val="16"/>
                <w:szCs w:val="16"/>
              </w:rPr>
              <w:t>1</w:t>
            </w:r>
            <w:r>
              <w:rPr>
                <w:rFonts w:ascii="Georgia" w:hAnsi="Georgia" w:cs="Arial"/>
                <w:color w:val="000000"/>
                <w:sz w:val="16"/>
                <w:szCs w:val="16"/>
              </w:rPr>
              <w:t>,</w:t>
            </w:r>
            <w:r w:rsidRPr="00E67C77">
              <w:rPr>
                <w:rFonts w:ascii="Georgia" w:hAnsi="Georgia" w:cs="Arial"/>
                <w:color w:val="000000"/>
                <w:sz w:val="16"/>
                <w:szCs w:val="16"/>
              </w:rPr>
              <w:t>58</w:t>
            </w:r>
          </w:p>
        </w:tc>
        <w:tc>
          <w:tcPr>
            <w:tcW w:w="0" w:type="pct"/>
            <w:vAlign w:val="center"/>
            <w:hideMark/>
          </w:tcPr>
          <w:p w14:paraId="7DCC2A28" w14:textId="77777777" w:rsidR="0050613B" w:rsidRPr="006A5452" w:rsidRDefault="0050613B" w:rsidP="0050613B">
            <w:pPr>
              <w:ind w:left="-108" w:right="-121"/>
              <w:jc w:val="center"/>
              <w:cnfStyle w:val="000000100000" w:firstRow="0" w:lastRow="0" w:firstColumn="0" w:lastColumn="0" w:oddVBand="0" w:evenVBand="0" w:oddHBand="1" w:evenHBand="0" w:firstRowFirstColumn="0" w:firstRowLastColumn="0" w:lastRowFirstColumn="0" w:lastRowLastColumn="0"/>
              <w:rPr>
                <w:rFonts w:ascii="Georgia" w:hAnsi="Georgia"/>
                <w:sz w:val="16"/>
                <w:szCs w:val="16"/>
              </w:rPr>
            </w:pPr>
            <w:r w:rsidRPr="006A5452">
              <w:rPr>
                <w:rFonts w:ascii="Georgia" w:hAnsi="Georgia" w:cs="Arial"/>
                <w:color w:val="000000"/>
                <w:sz w:val="16"/>
                <w:szCs w:val="16"/>
              </w:rPr>
              <w:t>Nėra</w:t>
            </w:r>
          </w:p>
        </w:tc>
      </w:tr>
    </w:tbl>
    <w:p w14:paraId="18CD4126" w14:textId="77777777" w:rsidR="00F9670E" w:rsidRDefault="00F9670E" w:rsidP="00DA65C2">
      <w:pPr>
        <w:rPr>
          <w:lang w:val="lt-LT"/>
        </w:rPr>
      </w:pPr>
    </w:p>
    <w:p w14:paraId="15491EFB" w14:textId="77777777" w:rsidR="00826892" w:rsidRPr="00C8226F" w:rsidRDefault="00826892" w:rsidP="00826892">
      <w:pPr>
        <w:jc w:val="both"/>
        <w:rPr>
          <w:rFonts w:ascii="Georgia" w:hAnsi="Georgia"/>
          <w:sz w:val="20"/>
          <w:szCs w:val="20"/>
          <w:lang w:val="lt-LT"/>
        </w:rPr>
      </w:pPr>
      <w:r w:rsidRPr="00C8226F">
        <w:rPr>
          <w:rFonts w:ascii="Georgia" w:hAnsi="Georgia"/>
          <w:sz w:val="20"/>
          <w:szCs w:val="20"/>
          <w:lang w:val="lt-LT"/>
        </w:rPr>
        <w:t>Lyginant scenarijus matyti, jog</w:t>
      </w:r>
      <w:r w:rsidR="00FD3C97">
        <w:rPr>
          <w:rFonts w:ascii="Georgia" w:hAnsi="Georgia"/>
          <w:sz w:val="20"/>
          <w:szCs w:val="20"/>
          <w:lang w:val="lt-LT"/>
        </w:rPr>
        <w:t xml:space="preserve"> 1-ame</w:t>
      </w:r>
      <w:r w:rsidRPr="00C8226F">
        <w:rPr>
          <w:rFonts w:ascii="Georgia" w:hAnsi="Georgia"/>
          <w:sz w:val="20"/>
          <w:szCs w:val="20"/>
          <w:lang w:val="lt-LT"/>
        </w:rPr>
        <w:t xml:space="preserve"> scenarij</w:t>
      </w:r>
      <w:r w:rsidR="00FD3C97">
        <w:rPr>
          <w:rFonts w:ascii="Georgia" w:hAnsi="Georgia"/>
          <w:sz w:val="20"/>
          <w:szCs w:val="20"/>
          <w:lang w:val="lt-LT"/>
        </w:rPr>
        <w:t>uje</w:t>
      </w:r>
      <w:r w:rsidRPr="00C8226F">
        <w:rPr>
          <w:rFonts w:ascii="Georgia" w:hAnsi="Georgia"/>
          <w:sz w:val="20"/>
          <w:szCs w:val="20"/>
          <w:lang w:val="lt-LT"/>
        </w:rPr>
        <w:t>, kuri</w:t>
      </w:r>
      <w:r w:rsidR="00FD3C97">
        <w:rPr>
          <w:rFonts w:ascii="Georgia" w:hAnsi="Georgia"/>
          <w:sz w:val="20"/>
          <w:szCs w:val="20"/>
          <w:lang w:val="lt-LT"/>
        </w:rPr>
        <w:t>ame</w:t>
      </w:r>
      <w:r w:rsidRPr="00C8226F">
        <w:rPr>
          <w:rFonts w:ascii="Georgia" w:hAnsi="Georgia"/>
          <w:sz w:val="20"/>
          <w:szCs w:val="20"/>
          <w:lang w:val="lt-LT"/>
        </w:rPr>
        <w:t xml:space="preserve"> nėra investicinio fondo, t.y. struktūros, kuri išpirktų ateities pinigų srautus (</w:t>
      </w:r>
      <w:r w:rsidR="00F8724F">
        <w:rPr>
          <w:rFonts w:ascii="Georgia" w:hAnsi="Georgia"/>
          <w:sz w:val="20"/>
          <w:szCs w:val="20"/>
          <w:lang w:val="lt-LT"/>
        </w:rPr>
        <w:t>ir</w:t>
      </w:r>
      <w:r w:rsidRPr="00C8226F">
        <w:rPr>
          <w:rFonts w:ascii="Georgia" w:hAnsi="Georgia"/>
          <w:sz w:val="20"/>
          <w:szCs w:val="20"/>
          <w:lang w:val="lt-LT"/>
        </w:rPr>
        <w:t xml:space="preserve"> pritrauktų privačių lėšų), turi prasčiausius rodiklius</w:t>
      </w:r>
      <w:r w:rsidR="00F9670E">
        <w:rPr>
          <w:rFonts w:ascii="Georgia" w:hAnsi="Georgia"/>
          <w:sz w:val="20"/>
          <w:szCs w:val="20"/>
          <w:lang w:val="lt-LT"/>
        </w:rPr>
        <w:t>, o projektų multiplikatorius netgi mažesnis už 1, nes patiriamos išlaidos ir numatomų blogų paskolų praradimai neigiamai veikia fondo lėšų balansą</w:t>
      </w:r>
      <w:r>
        <w:rPr>
          <w:rFonts w:ascii="Georgia" w:hAnsi="Georgia"/>
          <w:sz w:val="20"/>
          <w:szCs w:val="20"/>
          <w:lang w:val="lt-LT"/>
        </w:rPr>
        <w:t>. Todėl</w:t>
      </w:r>
      <w:r w:rsidRPr="00C8226F">
        <w:rPr>
          <w:rFonts w:ascii="Georgia" w:hAnsi="Georgia"/>
          <w:sz w:val="20"/>
          <w:szCs w:val="20"/>
          <w:lang w:val="lt-LT"/>
        </w:rPr>
        <w:t xml:space="preserve"> </w:t>
      </w:r>
      <w:r w:rsidR="00FD3C97">
        <w:rPr>
          <w:rFonts w:ascii="Georgia" w:hAnsi="Georgia"/>
          <w:sz w:val="20"/>
          <w:szCs w:val="20"/>
          <w:lang w:val="lt-LT"/>
        </w:rPr>
        <w:t>šio scenarijaus,</w:t>
      </w:r>
      <w:r w:rsidR="00967199">
        <w:rPr>
          <w:rFonts w:ascii="Georgia" w:hAnsi="Georgia"/>
          <w:sz w:val="20"/>
          <w:szCs w:val="20"/>
          <w:lang w:val="lt-LT"/>
        </w:rPr>
        <w:t xml:space="preserve"> į</w:t>
      </w:r>
      <w:r>
        <w:rPr>
          <w:rFonts w:ascii="Georgia" w:hAnsi="Georgia"/>
          <w:sz w:val="20"/>
          <w:szCs w:val="20"/>
          <w:lang w:val="lt-LT"/>
        </w:rPr>
        <w:t>v</w:t>
      </w:r>
      <w:r w:rsidRPr="00C8226F">
        <w:rPr>
          <w:rFonts w:ascii="Georgia" w:hAnsi="Georgia"/>
          <w:sz w:val="20"/>
          <w:szCs w:val="20"/>
          <w:lang w:val="lt-LT"/>
        </w:rPr>
        <w:t>ertin</w:t>
      </w:r>
      <w:r w:rsidR="00967199">
        <w:rPr>
          <w:rFonts w:ascii="Georgia" w:hAnsi="Georgia"/>
          <w:sz w:val="20"/>
          <w:szCs w:val="20"/>
          <w:lang w:val="lt-LT"/>
        </w:rPr>
        <w:t>us</w:t>
      </w:r>
      <w:r w:rsidRPr="00C8226F">
        <w:rPr>
          <w:rFonts w:ascii="Georgia" w:hAnsi="Georgia"/>
          <w:sz w:val="20"/>
          <w:szCs w:val="20"/>
          <w:lang w:val="lt-LT"/>
        </w:rPr>
        <w:t xml:space="preserve"> </w:t>
      </w:r>
      <w:r w:rsidR="00967199">
        <w:rPr>
          <w:rFonts w:ascii="Georgia" w:hAnsi="Georgia"/>
          <w:sz w:val="20"/>
          <w:szCs w:val="20"/>
          <w:lang w:val="lt-LT"/>
        </w:rPr>
        <w:t>kiekybiniu aspektu</w:t>
      </w:r>
      <w:r w:rsidR="00FD3C97">
        <w:rPr>
          <w:rFonts w:ascii="Georgia" w:hAnsi="Georgia"/>
          <w:sz w:val="20"/>
          <w:szCs w:val="20"/>
          <w:lang w:val="lt-LT"/>
        </w:rPr>
        <w:t>, įgyvendinti</w:t>
      </w:r>
      <w:r w:rsidR="00967199">
        <w:rPr>
          <w:rFonts w:ascii="Georgia" w:hAnsi="Georgia"/>
          <w:sz w:val="20"/>
          <w:szCs w:val="20"/>
          <w:lang w:val="lt-LT"/>
        </w:rPr>
        <w:t xml:space="preserve"> </w:t>
      </w:r>
      <w:r w:rsidRPr="00C8226F">
        <w:rPr>
          <w:rFonts w:ascii="Georgia" w:hAnsi="Georgia"/>
          <w:sz w:val="20"/>
          <w:szCs w:val="20"/>
          <w:lang w:val="lt-LT"/>
        </w:rPr>
        <w:t>nerekomenduo</w:t>
      </w:r>
      <w:r w:rsidR="00FD3C97">
        <w:rPr>
          <w:rFonts w:ascii="Georgia" w:hAnsi="Georgia"/>
          <w:sz w:val="20"/>
          <w:szCs w:val="20"/>
          <w:lang w:val="lt-LT"/>
        </w:rPr>
        <w:t>jama</w:t>
      </w:r>
      <w:r w:rsidRPr="00C8226F">
        <w:rPr>
          <w:rFonts w:ascii="Georgia" w:hAnsi="Georgia"/>
          <w:sz w:val="20"/>
          <w:szCs w:val="20"/>
          <w:lang w:val="lt-LT"/>
        </w:rPr>
        <w:t xml:space="preserve">. </w:t>
      </w:r>
    </w:p>
    <w:p w14:paraId="3136444C" w14:textId="3C027F15" w:rsidR="00826892" w:rsidRPr="00C8226F" w:rsidRDefault="00826892" w:rsidP="00826892">
      <w:pPr>
        <w:jc w:val="both"/>
        <w:rPr>
          <w:rFonts w:ascii="Georgia" w:hAnsi="Georgia"/>
          <w:sz w:val="20"/>
          <w:szCs w:val="20"/>
          <w:lang w:val="lt-LT"/>
        </w:rPr>
      </w:pPr>
      <w:r>
        <w:rPr>
          <w:rFonts w:ascii="Georgia" w:hAnsi="Georgia"/>
          <w:sz w:val="20"/>
          <w:szCs w:val="20"/>
          <w:lang w:val="lt-LT"/>
        </w:rPr>
        <w:t>Pažymėtina, kad</w:t>
      </w:r>
      <w:r w:rsidR="00333C84">
        <w:rPr>
          <w:rFonts w:ascii="Georgia" w:hAnsi="Georgia"/>
          <w:sz w:val="20"/>
          <w:szCs w:val="20"/>
          <w:lang w:val="lt-LT"/>
        </w:rPr>
        <w:t>,</w:t>
      </w:r>
      <w:r>
        <w:rPr>
          <w:rFonts w:ascii="Georgia" w:hAnsi="Georgia"/>
          <w:sz w:val="20"/>
          <w:szCs w:val="20"/>
          <w:lang w:val="lt-LT"/>
        </w:rPr>
        <w:t xml:space="preserve"> vertinant </w:t>
      </w:r>
      <w:r w:rsidR="00333C84">
        <w:rPr>
          <w:rFonts w:ascii="Georgia" w:hAnsi="Georgia"/>
          <w:sz w:val="20"/>
          <w:szCs w:val="20"/>
          <w:lang w:val="lt-LT"/>
        </w:rPr>
        <w:t>teorinę galimybę</w:t>
      </w:r>
      <w:r>
        <w:rPr>
          <w:rFonts w:ascii="Georgia" w:hAnsi="Georgia"/>
          <w:sz w:val="20"/>
          <w:szCs w:val="20"/>
          <w:lang w:val="lt-LT"/>
        </w:rPr>
        <w:t>, garantijų priemonė demonstruo</w:t>
      </w:r>
      <w:r w:rsidR="00F9670E">
        <w:rPr>
          <w:rFonts w:ascii="Georgia" w:hAnsi="Georgia"/>
          <w:sz w:val="20"/>
          <w:szCs w:val="20"/>
          <w:lang w:val="lt-LT"/>
        </w:rPr>
        <w:t>ja</w:t>
      </w:r>
      <w:r>
        <w:rPr>
          <w:rFonts w:ascii="Georgia" w:hAnsi="Georgia"/>
          <w:sz w:val="20"/>
          <w:szCs w:val="20"/>
          <w:lang w:val="lt-LT"/>
        </w:rPr>
        <w:t xml:space="preserve"> geriausius kiekybinius rezultatus</w:t>
      </w:r>
      <w:r w:rsidRPr="00C8226F">
        <w:rPr>
          <w:rFonts w:ascii="Georgia" w:hAnsi="Georgia"/>
          <w:sz w:val="20"/>
          <w:szCs w:val="20"/>
          <w:lang w:val="lt-LT"/>
        </w:rPr>
        <w:t>.</w:t>
      </w:r>
      <w:r>
        <w:rPr>
          <w:rFonts w:ascii="Georgia" w:hAnsi="Georgia"/>
          <w:sz w:val="20"/>
          <w:szCs w:val="20"/>
          <w:lang w:val="lt-LT"/>
        </w:rPr>
        <w:t xml:space="preserve"> Tačiau susitikimų su komercinių bankų atstovais metu buvo identifikuota, jog garantijų priemonė bankams nėra patraukli. Atsižvelgiant į šią aplinkybę, kiekybinės pridėtinės vertės analizėje buvo padaryta prielaida, jog garantijų priemonė būtų įgyvendinama gan vangiai, ilgai užtruktų jai </w:t>
      </w:r>
      <w:r>
        <w:rPr>
          <w:rFonts w:ascii="Georgia" w:hAnsi="Georgia"/>
          <w:sz w:val="20"/>
          <w:szCs w:val="20"/>
          <w:lang w:val="lt-LT"/>
        </w:rPr>
        <w:lastRenderedPageBreak/>
        <w:t xml:space="preserve">įsivažiuoti ir pasiekti gerus rezultatus. </w:t>
      </w:r>
      <w:r w:rsidR="00F648EF">
        <w:rPr>
          <w:rFonts w:ascii="Georgia" w:hAnsi="Georgia"/>
          <w:sz w:val="20"/>
          <w:szCs w:val="20"/>
          <w:lang w:val="lt-LT"/>
        </w:rPr>
        <w:t>Taip pat bankų atstovai nurodė</w:t>
      </w:r>
      <w:r w:rsidR="00F8724F">
        <w:rPr>
          <w:rFonts w:ascii="Georgia" w:hAnsi="Georgia"/>
          <w:sz w:val="20"/>
          <w:szCs w:val="20"/>
          <w:lang w:val="lt-LT"/>
        </w:rPr>
        <w:t>,</w:t>
      </w:r>
      <w:r w:rsidR="00F648EF">
        <w:rPr>
          <w:rFonts w:ascii="Georgia" w:hAnsi="Georgia"/>
          <w:sz w:val="20"/>
          <w:szCs w:val="20"/>
          <w:lang w:val="lt-LT"/>
        </w:rPr>
        <w:t xml:space="preserve"> jog garantijų priemonės atveju norėtų</w:t>
      </w:r>
      <w:r w:rsidR="00F8724F">
        <w:rPr>
          <w:rFonts w:ascii="Georgia" w:hAnsi="Georgia"/>
          <w:sz w:val="20"/>
          <w:szCs w:val="20"/>
          <w:lang w:val="lt-LT"/>
        </w:rPr>
        <w:t>,</w:t>
      </w:r>
      <w:r w:rsidR="00F648EF">
        <w:rPr>
          <w:rFonts w:ascii="Georgia" w:hAnsi="Georgia"/>
          <w:sz w:val="20"/>
          <w:szCs w:val="20"/>
          <w:lang w:val="lt-LT"/>
        </w:rPr>
        <w:t xml:space="preserve"> jog </w:t>
      </w:r>
      <w:r w:rsidR="00F8724F">
        <w:rPr>
          <w:rFonts w:ascii="Georgia" w:hAnsi="Georgia"/>
          <w:sz w:val="20"/>
          <w:szCs w:val="20"/>
          <w:lang w:val="lt-LT"/>
        </w:rPr>
        <w:t>finansinės priemonės</w:t>
      </w:r>
      <w:r w:rsidR="00F648EF">
        <w:rPr>
          <w:rFonts w:ascii="Georgia" w:hAnsi="Georgia"/>
          <w:sz w:val="20"/>
          <w:szCs w:val="20"/>
          <w:lang w:val="lt-LT"/>
        </w:rPr>
        <w:t xml:space="preserve"> valdytojas rezervuotų didesnes sumas, negu </w:t>
      </w:r>
      <w:r w:rsidR="00F8724F">
        <w:rPr>
          <w:rFonts w:ascii="Georgia" w:hAnsi="Georgia"/>
          <w:sz w:val="20"/>
          <w:szCs w:val="20"/>
          <w:lang w:val="lt-LT"/>
        </w:rPr>
        <w:t>kitų sričių atveju</w:t>
      </w:r>
      <w:r w:rsidR="00F648EF">
        <w:rPr>
          <w:rFonts w:ascii="Georgia" w:hAnsi="Georgia"/>
          <w:sz w:val="20"/>
          <w:szCs w:val="20"/>
          <w:lang w:val="lt-LT"/>
        </w:rPr>
        <w:t xml:space="preserve">, o didesnis kompensuojamų palūkanų skirtumas (lyginant su daugiabučių pastatų renovacijos modeliu) tarp </w:t>
      </w:r>
      <w:r w:rsidR="009647A2">
        <w:rPr>
          <w:rFonts w:ascii="Georgia" w:hAnsi="Georgia"/>
          <w:sz w:val="20"/>
          <w:szCs w:val="20"/>
          <w:lang w:val="lt-LT"/>
        </w:rPr>
        <w:t>paskolos</w:t>
      </w:r>
      <w:r w:rsidR="00F648EF">
        <w:rPr>
          <w:rFonts w:ascii="Georgia" w:hAnsi="Georgia"/>
          <w:sz w:val="20"/>
          <w:szCs w:val="20"/>
          <w:lang w:val="lt-LT"/>
        </w:rPr>
        <w:t xml:space="preserve"> gavėjų mokamų palūkanų ir bankų planuojamų ilgalaikių paskolos palūkanų neigiamai paveiks fondo rezultatus. </w:t>
      </w:r>
      <w:r>
        <w:rPr>
          <w:rFonts w:ascii="Georgia" w:hAnsi="Georgia"/>
          <w:sz w:val="20"/>
          <w:szCs w:val="20"/>
          <w:lang w:val="lt-LT"/>
        </w:rPr>
        <w:t>Dėl to ir garantijų priemonės kiekybiniai rezultatai yra ne tokie geri.</w:t>
      </w:r>
      <w:r w:rsidRPr="00C8226F">
        <w:rPr>
          <w:rFonts w:ascii="Georgia" w:hAnsi="Georgia"/>
          <w:sz w:val="20"/>
          <w:szCs w:val="20"/>
          <w:lang w:val="lt-LT"/>
        </w:rPr>
        <w:t xml:space="preserve"> Komercinių bankų susidomėjimas garantijų priemonėmis </w:t>
      </w:r>
      <w:r w:rsidR="00F648EF">
        <w:rPr>
          <w:rFonts w:ascii="Georgia" w:hAnsi="Georgia"/>
          <w:sz w:val="20"/>
          <w:szCs w:val="20"/>
          <w:lang w:val="lt-LT"/>
        </w:rPr>
        <w:t xml:space="preserve">savivaldybių </w:t>
      </w:r>
      <w:r w:rsidRPr="00C8226F">
        <w:rPr>
          <w:rFonts w:ascii="Georgia" w:hAnsi="Georgia"/>
          <w:sz w:val="20"/>
          <w:szCs w:val="20"/>
          <w:lang w:val="lt-LT"/>
        </w:rPr>
        <w:t>viešųjų pastatų renovacijai yra ribotas dėl keleto priežasčių. Pirmiausia, paskolos viešųjų pastatų renovacijos projektams</w:t>
      </w:r>
      <w:r w:rsidR="00024E2B">
        <w:rPr>
          <w:rFonts w:ascii="Georgia" w:hAnsi="Georgia"/>
          <w:sz w:val="20"/>
          <w:szCs w:val="20"/>
          <w:lang w:val="lt-LT"/>
        </w:rPr>
        <w:t>,</w:t>
      </w:r>
      <w:r w:rsidRPr="00C8226F">
        <w:rPr>
          <w:rFonts w:ascii="Georgia" w:hAnsi="Georgia"/>
          <w:sz w:val="20"/>
          <w:szCs w:val="20"/>
          <w:lang w:val="lt-LT"/>
        </w:rPr>
        <w:t xml:space="preserve"> teikiamos iš komercinių bankų, o ne iš ESI fondų lėšų</w:t>
      </w:r>
      <w:r w:rsidR="00024E2B">
        <w:rPr>
          <w:rFonts w:ascii="Georgia" w:hAnsi="Georgia"/>
          <w:sz w:val="20"/>
          <w:szCs w:val="20"/>
          <w:lang w:val="lt-LT"/>
        </w:rPr>
        <w:t>,</w:t>
      </w:r>
      <w:r w:rsidRPr="00C8226F">
        <w:rPr>
          <w:rFonts w:ascii="Georgia" w:hAnsi="Georgia"/>
          <w:sz w:val="20"/>
          <w:szCs w:val="20"/>
          <w:lang w:val="lt-LT"/>
        </w:rPr>
        <w:t xml:space="preserve"> būtų traktuojamos kaip finansinis produktas, kuriam banko viduje reikalinga sukurti ir pritaikyti visus vidinius banko procesus. Antra, naujai sukurta garantijų priemonė komerciniams bankams būtų nepatraukli dėl tokių projektų paskolų istorijos trūkumo</w:t>
      </w:r>
      <w:r w:rsidR="00F8724F">
        <w:rPr>
          <w:rFonts w:ascii="Georgia" w:hAnsi="Georgia"/>
          <w:sz w:val="20"/>
          <w:szCs w:val="20"/>
          <w:lang w:val="lt-LT"/>
        </w:rPr>
        <w:t xml:space="preserve"> bei dėl žemo projektų atsiperkamumo</w:t>
      </w:r>
      <w:r w:rsidRPr="00C8226F">
        <w:rPr>
          <w:rFonts w:ascii="Georgia" w:hAnsi="Georgia"/>
          <w:sz w:val="20"/>
          <w:szCs w:val="20"/>
          <w:lang w:val="lt-LT"/>
        </w:rPr>
        <w:t xml:space="preserve">. Susitikimų su komerciniais bankais metu bankai pažymėjo, kad </w:t>
      </w:r>
      <w:r w:rsidR="00F648EF">
        <w:rPr>
          <w:rFonts w:ascii="Georgia" w:hAnsi="Georgia"/>
          <w:sz w:val="20"/>
          <w:szCs w:val="20"/>
          <w:lang w:val="lt-LT"/>
        </w:rPr>
        <w:t xml:space="preserve">savivaldybių </w:t>
      </w:r>
      <w:r w:rsidRPr="00C8226F">
        <w:rPr>
          <w:rFonts w:ascii="Georgia" w:hAnsi="Georgia"/>
          <w:sz w:val="20"/>
          <w:szCs w:val="20"/>
          <w:lang w:val="lt-LT"/>
        </w:rPr>
        <w:t>viešųjų pastatų renovacijos srityje jie neturi patirties ir įžvelgia įvairaus pobūdžio rizikų. Be to, apsisprendus viešųjų pastatų renovaciją vykdyti per ESCO modelį, šis modelis bankams būtų nepažįstamas ir reikalautų daug laiko sąnaudų siekiant jį išsinagrinėti bei įgyvendinti. Atsižvelgiant į tai, komerciniams bankams būtų reikalingas ilgas adaptacijos laikotarpis (kol būtų suderintos vidinės procedūros garantuojamų paskolų teikimui) ir bankai paskolas savomis lėšomis teiktų tik esant kelerių metų kredito istorijai.</w:t>
      </w:r>
      <w:r w:rsidR="00F8724F">
        <w:rPr>
          <w:rFonts w:ascii="Georgia" w:hAnsi="Georgia"/>
          <w:sz w:val="20"/>
          <w:szCs w:val="20"/>
          <w:lang w:val="lt-LT"/>
        </w:rPr>
        <w:t xml:space="preserve"> Savivaldybių finansinės padėties stiprinimas bei papildomų užtikrinimo priemonių sukūrimas taip pat būtų būtinas.</w:t>
      </w:r>
      <w:r w:rsidRPr="00C8226F">
        <w:rPr>
          <w:rFonts w:ascii="Georgia" w:hAnsi="Georgia"/>
          <w:sz w:val="20"/>
          <w:szCs w:val="20"/>
          <w:lang w:val="lt-LT"/>
        </w:rPr>
        <w:t xml:space="preserve"> Pabrėžtina, jog </w:t>
      </w:r>
      <w:r w:rsidR="00F8724F">
        <w:rPr>
          <w:rFonts w:ascii="Georgia" w:hAnsi="Georgia"/>
          <w:sz w:val="20"/>
          <w:szCs w:val="20"/>
          <w:lang w:val="lt-LT"/>
        </w:rPr>
        <w:t>atsižvelgus į visus šiuos aspektus bei išsprendus visas išvardintas problemas, būtų</w:t>
      </w:r>
      <w:r w:rsidRPr="00C8226F">
        <w:rPr>
          <w:rFonts w:ascii="Georgia" w:hAnsi="Georgia"/>
          <w:sz w:val="20"/>
          <w:szCs w:val="20"/>
          <w:lang w:val="lt-LT"/>
        </w:rPr>
        <w:t xml:space="preserve"> svarstytinas garantijų finansin</w:t>
      </w:r>
      <w:r w:rsidR="00F8724F">
        <w:rPr>
          <w:rFonts w:ascii="Georgia" w:hAnsi="Georgia"/>
          <w:sz w:val="20"/>
          <w:szCs w:val="20"/>
          <w:lang w:val="lt-LT"/>
        </w:rPr>
        <w:t>ės priemonės</w:t>
      </w:r>
      <w:r w:rsidRPr="00C8226F">
        <w:rPr>
          <w:rFonts w:ascii="Georgia" w:hAnsi="Georgia"/>
          <w:sz w:val="20"/>
          <w:szCs w:val="20"/>
          <w:lang w:val="lt-LT"/>
        </w:rPr>
        <w:t xml:space="preserve"> kūrimas.</w:t>
      </w:r>
      <w:r w:rsidR="00FD3C97">
        <w:rPr>
          <w:rFonts w:ascii="Georgia" w:hAnsi="Georgia"/>
          <w:sz w:val="20"/>
          <w:szCs w:val="20"/>
          <w:lang w:val="lt-LT"/>
        </w:rPr>
        <w:t xml:space="preserve"> Atsižvelgus į aukščiau pateiktus argumentus</w:t>
      </w:r>
      <w:r w:rsidR="00F8724F">
        <w:rPr>
          <w:rFonts w:ascii="Georgia" w:hAnsi="Georgia"/>
          <w:sz w:val="20"/>
          <w:szCs w:val="20"/>
          <w:lang w:val="lt-LT"/>
        </w:rPr>
        <w:t>, šiuo metu</w:t>
      </w:r>
      <w:r w:rsidR="00FD3C97">
        <w:rPr>
          <w:rFonts w:ascii="Georgia" w:hAnsi="Georgia"/>
          <w:sz w:val="20"/>
          <w:szCs w:val="20"/>
          <w:lang w:val="lt-LT"/>
        </w:rPr>
        <w:t xml:space="preserve"> nerekomenduojama įgyvendinti scenarijaus Nr. 4.</w:t>
      </w:r>
    </w:p>
    <w:p w14:paraId="09E6EB88" w14:textId="77777777" w:rsidR="00826892" w:rsidRPr="00C8226F" w:rsidRDefault="00F648EF" w:rsidP="00826892">
      <w:pPr>
        <w:jc w:val="both"/>
        <w:rPr>
          <w:rFonts w:ascii="Georgia" w:hAnsi="Georgia"/>
          <w:sz w:val="20"/>
          <w:szCs w:val="20"/>
          <w:lang w:val="lt-LT"/>
        </w:rPr>
      </w:pPr>
      <w:r>
        <w:rPr>
          <w:rFonts w:ascii="Georgia" w:hAnsi="Georgia"/>
          <w:sz w:val="20"/>
          <w:szCs w:val="20"/>
          <w:lang w:val="lt-LT"/>
        </w:rPr>
        <w:t>Savivaldybių</w:t>
      </w:r>
      <w:r w:rsidR="00940524">
        <w:rPr>
          <w:rFonts w:ascii="Georgia" w:hAnsi="Georgia"/>
          <w:sz w:val="20"/>
          <w:szCs w:val="20"/>
          <w:lang w:val="lt-LT"/>
        </w:rPr>
        <w:t xml:space="preserve"> viešųjų</w:t>
      </w:r>
      <w:r>
        <w:rPr>
          <w:rFonts w:ascii="Georgia" w:hAnsi="Georgia"/>
          <w:sz w:val="20"/>
          <w:szCs w:val="20"/>
          <w:lang w:val="lt-LT"/>
        </w:rPr>
        <w:t xml:space="preserve"> pastatų </w:t>
      </w:r>
      <w:r w:rsidR="00F8724F">
        <w:rPr>
          <w:rFonts w:ascii="Georgia" w:hAnsi="Georgia"/>
          <w:sz w:val="20"/>
          <w:szCs w:val="20"/>
          <w:lang w:val="lt-LT"/>
        </w:rPr>
        <w:t>modernizavimui</w:t>
      </w:r>
      <w:r>
        <w:rPr>
          <w:rFonts w:ascii="Georgia" w:hAnsi="Georgia"/>
          <w:sz w:val="20"/>
          <w:szCs w:val="20"/>
          <w:lang w:val="lt-LT"/>
        </w:rPr>
        <w:t xml:space="preserve"> skirta santykinai nedidelė </w:t>
      </w:r>
      <w:r w:rsidR="00826892" w:rsidRPr="00C8226F">
        <w:rPr>
          <w:rFonts w:ascii="Georgia" w:hAnsi="Georgia"/>
          <w:sz w:val="20"/>
          <w:szCs w:val="20"/>
          <w:lang w:val="lt-LT"/>
        </w:rPr>
        <w:t xml:space="preserve">ESI fondų lėšų </w:t>
      </w:r>
      <w:r>
        <w:rPr>
          <w:rFonts w:ascii="Georgia" w:hAnsi="Georgia"/>
          <w:sz w:val="20"/>
          <w:szCs w:val="20"/>
          <w:lang w:val="lt-LT"/>
        </w:rPr>
        <w:t>apimtis, todėl</w:t>
      </w:r>
      <w:r w:rsidR="00F8724F">
        <w:rPr>
          <w:rFonts w:ascii="Georgia" w:hAnsi="Georgia"/>
          <w:sz w:val="20"/>
          <w:szCs w:val="20"/>
          <w:lang w:val="lt-LT"/>
        </w:rPr>
        <w:t xml:space="preserve"> šių</w:t>
      </w:r>
      <w:r>
        <w:rPr>
          <w:rFonts w:ascii="Georgia" w:hAnsi="Georgia"/>
          <w:sz w:val="20"/>
          <w:szCs w:val="20"/>
          <w:lang w:val="lt-LT"/>
        </w:rPr>
        <w:t xml:space="preserve"> lėšų </w:t>
      </w:r>
      <w:r w:rsidR="00826892" w:rsidRPr="00C8226F">
        <w:rPr>
          <w:rFonts w:ascii="Georgia" w:hAnsi="Georgia"/>
          <w:sz w:val="20"/>
          <w:szCs w:val="20"/>
          <w:lang w:val="lt-LT"/>
        </w:rPr>
        <w:t>išskaidymas per skirtingas finansines priemones mažintų kiekvienos finansinės priemonės pajėgumą</w:t>
      </w:r>
      <w:r w:rsidR="00FD3C97">
        <w:rPr>
          <w:rFonts w:ascii="Georgia" w:hAnsi="Georgia"/>
          <w:sz w:val="20"/>
          <w:szCs w:val="20"/>
          <w:lang w:val="lt-LT"/>
        </w:rPr>
        <w:t xml:space="preserve"> bei </w:t>
      </w:r>
      <w:r w:rsidR="00F8724F">
        <w:rPr>
          <w:rFonts w:ascii="Georgia" w:hAnsi="Georgia"/>
          <w:sz w:val="20"/>
          <w:szCs w:val="20"/>
          <w:lang w:val="lt-LT"/>
        </w:rPr>
        <w:t>didintų administracinę naštą</w:t>
      </w:r>
      <w:r w:rsidR="00FD3C97">
        <w:rPr>
          <w:rFonts w:ascii="Georgia" w:hAnsi="Georgia"/>
          <w:sz w:val="20"/>
          <w:szCs w:val="20"/>
          <w:lang w:val="lt-LT"/>
        </w:rPr>
        <w:t xml:space="preserve">, todėl scenarijus Nr. 3, su </w:t>
      </w:r>
      <w:r w:rsidR="00F8724F">
        <w:rPr>
          <w:rFonts w:ascii="Georgia" w:hAnsi="Georgia"/>
          <w:sz w:val="20"/>
          <w:szCs w:val="20"/>
          <w:lang w:val="lt-LT"/>
        </w:rPr>
        <w:t>dvejomis</w:t>
      </w:r>
      <w:r w:rsidR="00FD3C97">
        <w:rPr>
          <w:rFonts w:ascii="Georgia" w:hAnsi="Georgia"/>
          <w:sz w:val="20"/>
          <w:szCs w:val="20"/>
          <w:lang w:val="lt-LT"/>
        </w:rPr>
        <w:t xml:space="preserve"> finansinėmis priemonėmis, nėra rekomenduojamas</w:t>
      </w:r>
      <w:r w:rsidR="00F9670E">
        <w:rPr>
          <w:rFonts w:ascii="Georgia" w:hAnsi="Georgia"/>
          <w:sz w:val="20"/>
          <w:szCs w:val="20"/>
          <w:lang w:val="lt-LT"/>
        </w:rPr>
        <w:t>.</w:t>
      </w:r>
      <w:r w:rsidR="00FD3C97">
        <w:rPr>
          <w:rFonts w:ascii="Georgia" w:hAnsi="Georgia"/>
          <w:sz w:val="20"/>
          <w:szCs w:val="20"/>
          <w:lang w:val="lt-LT"/>
        </w:rPr>
        <w:t xml:space="preserve"> </w:t>
      </w:r>
    </w:p>
    <w:p w14:paraId="7AE684AA" w14:textId="77777777" w:rsidR="00826892" w:rsidRPr="00C8226F" w:rsidRDefault="00826892" w:rsidP="00826892">
      <w:pPr>
        <w:jc w:val="both"/>
        <w:rPr>
          <w:rFonts w:ascii="Georgia" w:hAnsi="Georgia"/>
          <w:sz w:val="20"/>
          <w:szCs w:val="20"/>
          <w:lang w:val="lt-LT"/>
        </w:rPr>
      </w:pPr>
      <w:r w:rsidRPr="00C8226F">
        <w:rPr>
          <w:rFonts w:ascii="Georgia" w:hAnsi="Georgia"/>
          <w:sz w:val="20"/>
          <w:szCs w:val="20"/>
          <w:lang w:val="lt-LT"/>
        </w:rPr>
        <w:t>Atsižvelgus į pateiktą alternatyvų analizę siūloma pasirinkti scenarijų su paskolų finansine priemone ir galimybe pritraukti lėšas fondo lyg</w:t>
      </w:r>
      <w:r w:rsidR="00FD3C97">
        <w:rPr>
          <w:rFonts w:ascii="Georgia" w:hAnsi="Georgia"/>
          <w:sz w:val="20"/>
          <w:szCs w:val="20"/>
          <w:lang w:val="lt-LT"/>
        </w:rPr>
        <w:t>menyje</w:t>
      </w:r>
      <w:r w:rsidRPr="00C8226F">
        <w:rPr>
          <w:rFonts w:ascii="Georgia" w:hAnsi="Georgia"/>
          <w:sz w:val="20"/>
          <w:szCs w:val="20"/>
          <w:lang w:val="lt-LT"/>
        </w:rPr>
        <w:t xml:space="preserve">. Tokie scenarijai yra 2 ir 5. Lyginant šiuos du scenarijus matyti, jog </w:t>
      </w:r>
      <w:r w:rsidR="009928AE">
        <w:rPr>
          <w:rFonts w:ascii="Georgia" w:hAnsi="Georgia"/>
          <w:sz w:val="20"/>
          <w:szCs w:val="20"/>
          <w:lang w:val="lt-LT"/>
        </w:rPr>
        <w:t>kiekybiškai šie scenarijai pasiekia beveik identiškus rezultatus (atitinkamai 305 ir 306 įgyvendintus projektus)</w:t>
      </w:r>
      <w:r w:rsidR="00F8724F">
        <w:rPr>
          <w:rFonts w:ascii="Georgia" w:hAnsi="Georgia"/>
          <w:sz w:val="20"/>
          <w:szCs w:val="20"/>
          <w:lang w:val="lt-LT"/>
        </w:rPr>
        <w:t>,</w:t>
      </w:r>
      <w:r w:rsidR="007B3E05">
        <w:rPr>
          <w:rFonts w:ascii="Georgia" w:hAnsi="Georgia"/>
          <w:sz w:val="20"/>
          <w:szCs w:val="20"/>
          <w:lang w:val="lt-LT"/>
        </w:rPr>
        <w:t xml:space="preserve"> taip pat geriausi multiplikatoriaus ir sverto rodikliai</w:t>
      </w:r>
      <w:r w:rsidRPr="00C8226F">
        <w:rPr>
          <w:rFonts w:ascii="Georgia" w:hAnsi="Georgia"/>
          <w:sz w:val="20"/>
          <w:szCs w:val="20"/>
          <w:lang w:val="lt-LT"/>
        </w:rPr>
        <w:t xml:space="preserve">. </w:t>
      </w:r>
      <w:r w:rsidR="007B3E05">
        <w:rPr>
          <w:rFonts w:ascii="Georgia" w:hAnsi="Georgia"/>
          <w:sz w:val="20"/>
          <w:szCs w:val="20"/>
          <w:lang w:val="lt-LT"/>
        </w:rPr>
        <w:t xml:space="preserve">Taip pat teigiamai vertinama tai, jog paskolos finansinė priemonės </w:t>
      </w:r>
      <w:r w:rsidRPr="00C8226F">
        <w:rPr>
          <w:rFonts w:ascii="Georgia" w:hAnsi="Georgia"/>
          <w:sz w:val="20"/>
          <w:szCs w:val="20"/>
          <w:lang w:val="lt-LT"/>
        </w:rPr>
        <w:t xml:space="preserve">struktūra vadovaujančiajai institucijai yra gerai pažįstama. </w:t>
      </w:r>
    </w:p>
    <w:p w14:paraId="787C59CD" w14:textId="46D2270A" w:rsidR="009928AE" w:rsidRDefault="009928AE" w:rsidP="00826892">
      <w:pPr>
        <w:jc w:val="both"/>
        <w:rPr>
          <w:rFonts w:ascii="Georgia" w:hAnsi="Georgia"/>
          <w:sz w:val="20"/>
          <w:szCs w:val="20"/>
          <w:lang w:val="lt-LT"/>
        </w:rPr>
      </w:pPr>
      <w:r>
        <w:rPr>
          <w:rFonts w:ascii="Georgia" w:hAnsi="Georgia"/>
          <w:sz w:val="20"/>
          <w:szCs w:val="20"/>
          <w:lang w:val="lt-LT"/>
        </w:rPr>
        <w:t>Įvertinus, jog 2-ojo ir 5-ojo scenarijų atvejais pasiekiami panašūs rezultatai, ministerijoms rekomenduojama pačioms nuspręsti kurį scenarijų pasirinkti, tačiau siūloma atsižvelgti į tai</w:t>
      </w:r>
      <w:r w:rsidR="00940524">
        <w:rPr>
          <w:rFonts w:ascii="Georgia" w:hAnsi="Georgia"/>
          <w:sz w:val="20"/>
          <w:szCs w:val="20"/>
          <w:lang w:val="lt-LT"/>
        </w:rPr>
        <w:t>,</w:t>
      </w:r>
      <w:r>
        <w:rPr>
          <w:rFonts w:ascii="Georgia" w:hAnsi="Georgia"/>
          <w:sz w:val="20"/>
          <w:szCs w:val="20"/>
          <w:lang w:val="lt-LT"/>
        </w:rPr>
        <w:t xml:space="preserve"> kuris fondas (investicinis ar rizikos pasidalijimo) pradės veikti anksčiau</w:t>
      </w:r>
      <w:r w:rsidR="00AA32C1">
        <w:rPr>
          <w:rFonts w:ascii="Georgia" w:hAnsi="Georgia"/>
          <w:sz w:val="20"/>
          <w:szCs w:val="20"/>
          <w:lang w:val="lt-LT"/>
        </w:rPr>
        <w:t>, kaip ir kad</w:t>
      </w:r>
      <w:r w:rsidR="0050613B">
        <w:rPr>
          <w:rFonts w:ascii="Georgia" w:hAnsi="Georgia"/>
          <w:sz w:val="20"/>
          <w:szCs w:val="20"/>
          <w:lang w:val="lt-LT"/>
        </w:rPr>
        <w:t xml:space="preserve"> ministerijos ar fondų fondo (arba finansinės priemonės) valdytojas gali pasiūlyti alternatyvų lėšų pritraukimo būdą</w:t>
      </w:r>
      <w:r>
        <w:rPr>
          <w:rFonts w:ascii="Georgia" w:hAnsi="Georgia"/>
          <w:sz w:val="20"/>
          <w:szCs w:val="20"/>
          <w:lang w:val="lt-LT"/>
        </w:rPr>
        <w:t>.</w:t>
      </w:r>
      <w:r w:rsidR="00826892" w:rsidRPr="00C8226F">
        <w:rPr>
          <w:rFonts w:ascii="Georgia" w:hAnsi="Georgia"/>
          <w:sz w:val="20"/>
          <w:szCs w:val="20"/>
          <w:lang w:val="lt-LT"/>
        </w:rPr>
        <w:t xml:space="preserve"> </w:t>
      </w:r>
    </w:p>
    <w:p w14:paraId="558E0AFA" w14:textId="77777777" w:rsidR="00826892" w:rsidRDefault="00826892" w:rsidP="00826892">
      <w:pPr>
        <w:jc w:val="both"/>
        <w:rPr>
          <w:rFonts w:ascii="Georgia" w:hAnsi="Georgia"/>
          <w:sz w:val="20"/>
          <w:szCs w:val="20"/>
          <w:lang w:val="lt-LT"/>
        </w:rPr>
      </w:pPr>
      <w:r w:rsidRPr="00C8226F">
        <w:rPr>
          <w:rFonts w:ascii="Georgia" w:hAnsi="Georgia"/>
          <w:sz w:val="20"/>
          <w:szCs w:val="20"/>
          <w:lang w:val="lt-LT"/>
        </w:rPr>
        <w:t>Tuo atveju jei bus nuspręsta pasirinkti finansinius tarpininkus, rekomenduojama, atrenkant finansinius tarpininkus, juos skatinti</w:t>
      </w:r>
      <w:r w:rsidR="007B3E05">
        <w:rPr>
          <w:rFonts w:ascii="Georgia" w:hAnsi="Georgia"/>
          <w:sz w:val="20"/>
          <w:szCs w:val="20"/>
          <w:lang w:val="lt-LT"/>
        </w:rPr>
        <w:t xml:space="preserve"> (arba įpareigoti)</w:t>
      </w:r>
      <w:r w:rsidRPr="00C8226F">
        <w:rPr>
          <w:rFonts w:ascii="Georgia" w:hAnsi="Georgia"/>
          <w:sz w:val="20"/>
          <w:szCs w:val="20"/>
          <w:lang w:val="lt-LT"/>
        </w:rPr>
        <w:t xml:space="preserve"> prisidėti savo lėšomis.</w:t>
      </w:r>
      <w:r w:rsidR="00F8724F" w:rsidRPr="00F8724F">
        <w:rPr>
          <w:rFonts w:ascii="Georgia" w:hAnsi="Georgia"/>
          <w:sz w:val="20"/>
          <w:szCs w:val="20"/>
          <w:lang w:val="lt-LT"/>
        </w:rPr>
        <w:t xml:space="preserve"> </w:t>
      </w:r>
    </w:p>
    <w:p w14:paraId="4547FC40" w14:textId="07307F61" w:rsidR="00280058" w:rsidRPr="00AC3318" w:rsidRDefault="00024E2B" w:rsidP="00280058">
      <w:pPr>
        <w:jc w:val="both"/>
        <w:rPr>
          <w:rFonts w:ascii="Georgia" w:eastAsiaTheme="majorEastAsia" w:hAnsi="Georgia" w:cstheme="majorBidi"/>
          <w:b/>
          <w:bCs/>
          <w:color w:val="4F81BD" w:themeColor="accent1"/>
          <w:sz w:val="20"/>
          <w:szCs w:val="20"/>
          <w:lang w:val="lt-LT"/>
        </w:rPr>
      </w:pPr>
      <w:r>
        <w:rPr>
          <w:rFonts w:ascii="Georgia" w:hAnsi="Georgia"/>
          <w:sz w:val="20"/>
          <w:szCs w:val="20"/>
          <w:lang w:val="lt-LT"/>
        </w:rPr>
        <w:t>Pažymėtina, kad, esant galimybei, subsidija projektams galėtų būti teikiama ir iš kitų lėšų šaltinių (pvz. nacionalinių lėšų) ir tai nedarytų jokios įtakos scenarijų vertinimui bei optimalaus scenarijaus pasirinkimui</w:t>
      </w:r>
      <w:r w:rsidR="00DA65C2">
        <w:rPr>
          <w:rFonts w:ascii="Georgia" w:hAnsi="Georgia"/>
          <w:sz w:val="20"/>
          <w:szCs w:val="20"/>
          <w:lang w:val="lt-LT"/>
        </w:rPr>
        <w:t>, tačiau darytų įtaką konkretiems kiekybinių rodiklių rezultatams</w:t>
      </w:r>
      <w:r>
        <w:rPr>
          <w:rFonts w:ascii="Georgia" w:hAnsi="Georgia"/>
          <w:sz w:val="20"/>
          <w:szCs w:val="20"/>
          <w:lang w:val="lt-LT"/>
        </w:rPr>
        <w:t xml:space="preserve">. </w:t>
      </w:r>
      <w:r w:rsidR="00280058" w:rsidRPr="00AC3318">
        <w:rPr>
          <w:rFonts w:ascii="Georgia" w:hAnsi="Georgia"/>
          <w:sz w:val="20"/>
          <w:szCs w:val="20"/>
          <w:lang w:val="lt-LT"/>
        </w:rPr>
        <w:br w:type="page"/>
      </w:r>
    </w:p>
    <w:p w14:paraId="75A4FE82" w14:textId="77777777" w:rsidR="00280058" w:rsidRPr="00DF3A8E" w:rsidRDefault="00280058" w:rsidP="00D73687">
      <w:pPr>
        <w:pStyle w:val="Antrat2"/>
        <w:numPr>
          <w:ilvl w:val="1"/>
          <w:numId w:val="2"/>
        </w:numPr>
        <w:spacing w:after="240"/>
        <w:rPr>
          <w:lang w:val="lt-LT"/>
        </w:rPr>
      </w:pPr>
      <w:bookmarkStart w:id="293" w:name="_Toc402352640"/>
      <w:bookmarkStart w:id="294" w:name="_Toc417378403"/>
      <w:r w:rsidRPr="00DF3A8E">
        <w:rPr>
          <w:lang w:val="lt-LT"/>
        </w:rPr>
        <w:lastRenderedPageBreak/>
        <w:t>Finansinės priemonės darna su kitomis viešųjų intervencijų formomis</w:t>
      </w:r>
      <w:bookmarkEnd w:id="293"/>
      <w:bookmarkEnd w:id="294"/>
    </w:p>
    <w:p w14:paraId="55C4CA92" w14:textId="77777777" w:rsidR="00280058" w:rsidRDefault="00280058" w:rsidP="00280058">
      <w:pPr>
        <w:jc w:val="both"/>
        <w:rPr>
          <w:rFonts w:ascii="Georgia" w:hAnsi="Georgia"/>
          <w:sz w:val="20"/>
          <w:lang w:val="lt-LT"/>
        </w:rPr>
      </w:pPr>
      <w:r>
        <w:rPr>
          <w:rFonts w:ascii="Georgia" w:hAnsi="Georgia"/>
          <w:sz w:val="20"/>
          <w:lang w:val="lt-LT"/>
        </w:rPr>
        <w:t>Šio skyriaus tikslas yra išsiaiškinti, kaip siūlomos finansinės priemonės dera su kitomis viešųjų intervencijų formomis, ar toje pačioje rinkoje finansinės priemonės nepersidengia su kitomis viešųjų intervencijų formomis, o jei persidengia, ar neatsiranda prieštaravimai ir ar skirtingos viešosios intervencijos formos viena kitai nekliudo ir nedaro reikšmingos įtakos.</w:t>
      </w:r>
    </w:p>
    <w:p w14:paraId="799C1AED" w14:textId="77777777" w:rsidR="00280058" w:rsidRDefault="00280058" w:rsidP="00280058">
      <w:pPr>
        <w:jc w:val="both"/>
        <w:rPr>
          <w:rFonts w:ascii="Georgia" w:hAnsi="Georgia"/>
          <w:i/>
          <w:sz w:val="20"/>
          <w:lang w:val="lt-LT"/>
        </w:rPr>
      </w:pPr>
      <w:r>
        <w:rPr>
          <w:rFonts w:ascii="Georgia" w:hAnsi="Georgia"/>
          <w:i/>
          <w:sz w:val="20"/>
          <w:lang w:val="lt-LT"/>
        </w:rPr>
        <w:t>Daugiabučių pastatų modernizavimas</w:t>
      </w:r>
    </w:p>
    <w:p w14:paraId="74C1F8C5" w14:textId="77777777" w:rsidR="00280058" w:rsidRDefault="00280058" w:rsidP="00280058">
      <w:pPr>
        <w:jc w:val="both"/>
        <w:rPr>
          <w:rFonts w:ascii="Georgia" w:hAnsi="Georgia"/>
          <w:sz w:val="20"/>
          <w:lang w:val="lt-LT"/>
        </w:rPr>
      </w:pPr>
      <w:r>
        <w:rPr>
          <w:rFonts w:ascii="Georgia" w:hAnsi="Georgia"/>
          <w:sz w:val="20"/>
          <w:lang w:val="lt-LT"/>
        </w:rPr>
        <w:t>Daugiabučių pastatų modernizavimui per pastaruosius JESSICA KF įgyvendinimo metus buvo taikomos finansinės priemonės. 2014-2020 m. periodu yra rekomenduojama tęsti finansinių priemonių taikymą, kadangi tokia projektų finansavimo forma yra efektyvi, sudaro galimybes pritraukti privačius išteklius ir generuoja grįžtančias lėšas. Finansinės priemonės taip pat buvo derinamos su kitomis viešųjų intervencijų formomis.</w:t>
      </w:r>
    </w:p>
    <w:p w14:paraId="50719560" w14:textId="77777777" w:rsidR="00280058" w:rsidRDefault="00280058" w:rsidP="00280058">
      <w:pPr>
        <w:jc w:val="both"/>
        <w:rPr>
          <w:rFonts w:ascii="Georgia" w:hAnsi="Georgia"/>
          <w:sz w:val="20"/>
          <w:lang w:val="lt-LT"/>
        </w:rPr>
      </w:pPr>
      <w:r>
        <w:rPr>
          <w:rFonts w:ascii="Georgia" w:hAnsi="Georgia"/>
          <w:sz w:val="20"/>
          <w:lang w:val="lt-LT"/>
        </w:rPr>
        <w:t xml:space="preserve">Viešųjų intervencijų formos, kurios buvo nukreiptos į būsto sektorių, yra aptariamos žemiau. </w:t>
      </w:r>
    </w:p>
    <w:p w14:paraId="307C6ECD" w14:textId="77777777" w:rsidR="00280058" w:rsidRDefault="00280058" w:rsidP="002A576D">
      <w:pPr>
        <w:pStyle w:val="Sraopastraipa"/>
        <w:numPr>
          <w:ilvl w:val="0"/>
          <w:numId w:val="86"/>
        </w:numPr>
        <w:jc w:val="both"/>
        <w:rPr>
          <w:rFonts w:ascii="Georgia" w:hAnsi="Georgia"/>
          <w:sz w:val="20"/>
          <w:lang w:val="lt-LT"/>
        </w:rPr>
      </w:pPr>
      <w:r>
        <w:rPr>
          <w:rFonts w:ascii="Georgia" w:hAnsi="Georgia"/>
          <w:sz w:val="20"/>
          <w:lang w:val="lt-LT"/>
        </w:rPr>
        <w:t>Galutiniams naudos gavėjams iki 2015 m. spalio 1 d. 100 proc. kompensuojamos techninio projekto parengimo išlaidos, projekto priežiūros išlaidos, projekto administravimo išlaidos. Nuo 2015 m. spalio 1 d. šios išlaidos bus mažinamos perpus – iki 50 proc.</w:t>
      </w:r>
      <w:r>
        <w:rPr>
          <w:rStyle w:val="Puslapioinaosnuoroda"/>
          <w:rFonts w:ascii="Georgia" w:hAnsi="Georgia"/>
          <w:sz w:val="20"/>
          <w:lang w:val="lt-LT"/>
        </w:rPr>
        <w:footnoteReference w:id="123"/>
      </w:r>
    </w:p>
    <w:p w14:paraId="30B369AB" w14:textId="77777777" w:rsidR="00280058" w:rsidRDefault="00280058" w:rsidP="002A576D">
      <w:pPr>
        <w:pStyle w:val="Sraopastraipa"/>
        <w:numPr>
          <w:ilvl w:val="0"/>
          <w:numId w:val="86"/>
        </w:numPr>
        <w:jc w:val="both"/>
        <w:rPr>
          <w:rFonts w:ascii="Georgia" w:hAnsi="Georgia"/>
          <w:sz w:val="20"/>
          <w:lang w:val="lt-LT"/>
        </w:rPr>
      </w:pPr>
      <w:r>
        <w:rPr>
          <w:rFonts w:ascii="Georgia" w:hAnsi="Georgia"/>
          <w:sz w:val="20"/>
          <w:lang w:val="lt-LT"/>
        </w:rPr>
        <w:t>Kompensuojamos paskolų įmokos asmenims, turintiems teisę į būsto šildymo išlaidų kompensaciją, ir savivaldybėms, turinčioms nuosavybės teisę į gyvenamąsias patalpas atnaujinamame name. Be to, atsisakius dalyvauti renovacijos procese gyventojams, turintiems teisę gauti kompensaciją už šildymą, ji mažinama ir/arba jos netenkama. Ši nuostata įtvirtinta Lietuvos Respublikos piniginės socialinės paramos nepasiturintiems gyventojams įstatymo 21 str. 12 d.</w:t>
      </w:r>
    </w:p>
    <w:p w14:paraId="6DE98BA0" w14:textId="77777777" w:rsidR="00280058" w:rsidRDefault="00280058" w:rsidP="002A576D">
      <w:pPr>
        <w:pStyle w:val="Sraopastraipa"/>
        <w:numPr>
          <w:ilvl w:val="0"/>
          <w:numId w:val="86"/>
        </w:numPr>
        <w:jc w:val="both"/>
        <w:rPr>
          <w:rFonts w:ascii="Georgia" w:hAnsi="Georgia"/>
          <w:sz w:val="20"/>
          <w:lang w:val="lt-LT"/>
        </w:rPr>
      </w:pPr>
      <w:r>
        <w:rPr>
          <w:rFonts w:ascii="Georgia" w:hAnsi="Georgia"/>
          <w:sz w:val="20"/>
          <w:lang w:val="lt-LT"/>
        </w:rPr>
        <w:t>Klimato kaitos specialiosios programos lėšomis teikiama papildoma valstybės parama kompensuojant dalį energijos efektyvumo priemonių investicijų, jeigu įgyvendinus projektą pasiekiama ne mažesnė kaip D pastato energinio naudingumo klasė ir skaičiuojamosios šiluminės energijos sąnaudos sumažinamos ne mažiau kaip 40 procentų. Kompensuojama nuo 15 iki 25 proc. tokių investicijų.</w:t>
      </w:r>
      <w:r>
        <w:rPr>
          <w:rStyle w:val="Puslapioinaosnuoroda"/>
          <w:rFonts w:ascii="Georgia" w:hAnsi="Georgia"/>
          <w:sz w:val="20"/>
          <w:lang w:val="lt-LT"/>
        </w:rPr>
        <w:footnoteReference w:id="124"/>
      </w:r>
    </w:p>
    <w:p w14:paraId="339E7668" w14:textId="77777777" w:rsidR="00280058" w:rsidRDefault="00280058" w:rsidP="002A576D">
      <w:pPr>
        <w:pStyle w:val="Sraopastraipa"/>
        <w:numPr>
          <w:ilvl w:val="0"/>
          <w:numId w:val="86"/>
        </w:numPr>
        <w:jc w:val="both"/>
        <w:rPr>
          <w:rFonts w:ascii="Georgia" w:hAnsi="Georgia"/>
          <w:sz w:val="20"/>
          <w:lang w:val="lt-LT"/>
        </w:rPr>
      </w:pPr>
      <w:r>
        <w:rPr>
          <w:rFonts w:ascii="Georgia" w:hAnsi="Georgia"/>
          <w:sz w:val="20"/>
          <w:lang w:val="lt-LT"/>
        </w:rPr>
        <w:t>PVM lengvata šildymui. Nuo 2009 rugsėjo 1 d. iki 2014 m. gruodžio 31 d. taikomas lengvatinis 9 procentų PVM tarifas šilumos energijai, tiekiamai gyvenamosioms patalpoms šildyti pagal PVM įstatymo 19 str. 3 d. 1 p. Šios nuostatos taikomos iki 2014 m. gruodžio 31 d. faktiškai suteiktai šilumos energijai.</w:t>
      </w:r>
    </w:p>
    <w:p w14:paraId="6131423B" w14:textId="77777777" w:rsidR="00280058" w:rsidRDefault="00280058" w:rsidP="002A576D">
      <w:pPr>
        <w:pStyle w:val="Sraopastraipa"/>
        <w:numPr>
          <w:ilvl w:val="0"/>
          <w:numId w:val="86"/>
        </w:numPr>
        <w:jc w:val="both"/>
        <w:rPr>
          <w:rFonts w:ascii="Georgia" w:hAnsi="Georgia"/>
          <w:sz w:val="20"/>
          <w:lang w:val="lt-LT"/>
        </w:rPr>
      </w:pPr>
      <w:r>
        <w:rPr>
          <w:rFonts w:ascii="Georgia" w:hAnsi="Georgia"/>
          <w:sz w:val="20"/>
          <w:lang w:val="lt-LT"/>
        </w:rPr>
        <w:t xml:space="preserve">2007-2013 m. ES finansiniu laikotarpiu per Vidaus reikalų ministerijos administruojamas ES SF priemones buvo remiama socialinio būsto plėtra ir daugiabučių namų renovacija probleminėse teritorijose. Šios VRM priemonės buvo įgyvendinamos subsidijų forma, tačiau pažymėtina, kad JESSICA KF ir VRM priemonės buvo gyvendinamos skirtingose to paties sektoriaus srityse ir siekė skirtingų tikslų. </w:t>
      </w:r>
    </w:p>
    <w:p w14:paraId="39C6B217" w14:textId="77777777" w:rsidR="00280058" w:rsidRDefault="00280058" w:rsidP="002A576D">
      <w:pPr>
        <w:pStyle w:val="Sraopastraipa"/>
        <w:numPr>
          <w:ilvl w:val="0"/>
          <w:numId w:val="86"/>
        </w:numPr>
        <w:jc w:val="both"/>
        <w:rPr>
          <w:rFonts w:ascii="Georgia" w:hAnsi="Georgia"/>
          <w:sz w:val="20"/>
          <w:lang w:val="lt-LT"/>
        </w:rPr>
      </w:pPr>
      <w:r>
        <w:rPr>
          <w:rFonts w:ascii="Georgia" w:hAnsi="Georgia"/>
          <w:sz w:val="20"/>
          <w:lang w:val="lt-LT"/>
        </w:rPr>
        <w:t>JESSICA KF paskolos daugiabučių modernizavimo projektų įgyvendinimui buvo teikiamos lengvatinėmis sąlygomis. Tai viešosios intervencijos forma, kadangi finansuotojai rinkoje daugiabučių modernizavimo projektams siūlo žymiai didesnes palūkanų normas, be to, reikalauja užstato (šiuo metu iš per JESSICA KF finansuojamų projektų užstatas nereikalaujamas).</w:t>
      </w:r>
    </w:p>
    <w:p w14:paraId="16AB0256" w14:textId="77777777" w:rsidR="00280058" w:rsidRDefault="00280058" w:rsidP="00280058">
      <w:pPr>
        <w:jc w:val="both"/>
        <w:rPr>
          <w:rFonts w:ascii="Georgia" w:hAnsi="Georgia"/>
          <w:sz w:val="20"/>
          <w:lang w:val="lt-LT"/>
        </w:rPr>
      </w:pPr>
      <w:r>
        <w:rPr>
          <w:rFonts w:ascii="Georgia" w:hAnsi="Georgia"/>
          <w:sz w:val="20"/>
          <w:lang w:val="lt-LT"/>
        </w:rPr>
        <w:lastRenderedPageBreak/>
        <w:t xml:space="preserve">Pažymėtina, jog šios šešios viešųjų intervencijų formos viena kitai neprieštarauja, o priešingai, yra derinamos tarpusavyje. Lengvatinių paskolų teikimas yra derinamas su 1-4 punktuose nurodytomis priemonėmis ir nekonkuruoja tarpusavyje. </w:t>
      </w:r>
    </w:p>
    <w:p w14:paraId="398558E3" w14:textId="77777777" w:rsidR="00280058" w:rsidRDefault="00280058" w:rsidP="00280058">
      <w:pPr>
        <w:jc w:val="both"/>
        <w:rPr>
          <w:rFonts w:ascii="Georgia" w:hAnsi="Georgia"/>
          <w:i/>
          <w:sz w:val="20"/>
          <w:lang w:val="lt-LT"/>
        </w:rPr>
      </w:pPr>
      <w:r>
        <w:rPr>
          <w:rFonts w:ascii="Georgia" w:hAnsi="Georgia"/>
          <w:i/>
          <w:sz w:val="20"/>
          <w:lang w:val="lt-LT"/>
        </w:rPr>
        <w:t>Viešųjų pastatų modernizavimas</w:t>
      </w:r>
    </w:p>
    <w:p w14:paraId="4BAFC66B" w14:textId="77777777" w:rsidR="00280058" w:rsidRDefault="00280058" w:rsidP="00280058">
      <w:pPr>
        <w:keepNext/>
        <w:jc w:val="both"/>
        <w:rPr>
          <w:rFonts w:ascii="Georgia" w:hAnsi="Georgia"/>
          <w:sz w:val="20"/>
          <w:lang w:val="lt-LT"/>
        </w:rPr>
      </w:pPr>
      <w:r>
        <w:rPr>
          <w:rFonts w:ascii="Georgia" w:hAnsi="Georgia"/>
          <w:sz w:val="20"/>
          <w:lang w:val="lt-LT"/>
        </w:rPr>
        <w:t xml:space="preserve">Viešųjų pastatų modernizavimas 2007-2013 m. periodu buvo įgyvendinamas per Ūkio ministerijos administruojamas ES SF priemones (detaliau aprašyta pasiūlos analizės skyriuje). Šios priemonės buvo įgyvendinamos subsidijų forma. 2014-2020 m. periodu per finansines priemones bus finansuojama viešųjų pastatų renovacija ir siekiama didinti pastatų energetinį efektyvumą. Tačiau verta paminėti ir kitokias priemones, susijusias su viešųjų pastatų atnaujinimu. </w:t>
      </w:r>
    </w:p>
    <w:p w14:paraId="315BDB6D" w14:textId="77777777" w:rsidR="00280058" w:rsidRDefault="00280058" w:rsidP="00280058">
      <w:pPr>
        <w:keepNext/>
        <w:jc w:val="both"/>
        <w:rPr>
          <w:rFonts w:ascii="Georgia" w:hAnsi="Georgia"/>
          <w:sz w:val="20"/>
          <w:lang w:val="lt-LT"/>
        </w:rPr>
      </w:pPr>
      <w:r>
        <w:rPr>
          <w:rFonts w:ascii="Georgia" w:hAnsi="Georgia"/>
          <w:sz w:val="20"/>
          <w:lang w:val="lt-LT"/>
        </w:rPr>
        <w:t>Finansų ministerija ir Energetikos ministerija kartu su suinteresuotomis institucijomis šiuo metu</w:t>
      </w:r>
      <w:r>
        <w:rPr>
          <w:rStyle w:val="Puslapioinaosnuoroda"/>
          <w:rFonts w:ascii="Georgia" w:hAnsi="Georgia"/>
          <w:sz w:val="20"/>
          <w:lang w:val="lt-LT"/>
        </w:rPr>
        <w:footnoteReference w:id="125"/>
      </w:r>
      <w:r>
        <w:rPr>
          <w:rFonts w:ascii="Georgia" w:hAnsi="Georgia"/>
          <w:sz w:val="20"/>
          <w:lang w:val="lt-LT"/>
        </w:rPr>
        <w:t xml:space="preserve"> analizuoja grąžintinos paramos modelį viešųjų pastatų modernizavimui. Grąžintina parama – tai toks subsidijos teikimo modelis, kuomet paramos gavėjas per finansavimo sutartyje numatytą laiką turi grąžinti gautą lėšų sumą. Grąžintina parama savo veikimo principais panaši į beprocentę paskolą. Apsprendus grąžintinos paramos modelį viešųjų pastatų modernizavimui, grąžintina parama būtų taikoma tam tikriems pastatams. Pažymėtina, jog tiek grąžintinos paramos, tiek finansinių priemonių taikymo tikslinė grupė yra ta pati – centrinės valdžios viešieji pastatai, todėl kyla rizika, kad šios dvi priemonės gali persidengti ir konkuruoti tarpusavyje. Siekiant to išvengti privaloma suformuluoti aiškius ir griežtus kriterijus, kuriais remiantis yra apsprendžiama, ar pastatui taikoma grąžintina parama, ar finansinė priemonė. </w:t>
      </w:r>
    </w:p>
    <w:p w14:paraId="2BFDB54C" w14:textId="77777777" w:rsidR="00280058" w:rsidRDefault="00280058" w:rsidP="00280058">
      <w:pPr>
        <w:keepNext/>
        <w:jc w:val="both"/>
        <w:rPr>
          <w:rFonts w:ascii="Georgia" w:hAnsi="Georgia"/>
          <w:sz w:val="20"/>
          <w:lang w:val="lt-LT"/>
        </w:rPr>
      </w:pPr>
      <w:r>
        <w:rPr>
          <w:rFonts w:ascii="Georgia" w:hAnsi="Georgia"/>
          <w:sz w:val="20"/>
          <w:lang w:val="lt-LT"/>
        </w:rPr>
        <w:t xml:space="preserve">Pagal Veiksmų programos 7.1 prioritetą planuojama remti senų viešųjų ar komercinės paskirties pastatų atnaujinimą miestų vietovėse, pritaikant juos naudojimui. Nors tai siejasi su Veiksmų programos 4.3 prioriteto viešųjų pastatų atnaujinimo veiklomis, šių priemonių tikslai ir tikslinės galutinių naudos gavėjų grupės yra skirtingos, todėl šios viešųjų intervencijų formos nekonkuruos tarpusavyje ir nepersidengs. </w:t>
      </w:r>
    </w:p>
    <w:p w14:paraId="3F20F023" w14:textId="77777777" w:rsidR="00280058" w:rsidRDefault="00280058" w:rsidP="00280058">
      <w:pPr>
        <w:keepNext/>
        <w:jc w:val="both"/>
        <w:rPr>
          <w:rFonts w:ascii="Georgia" w:hAnsi="Georgia"/>
          <w:sz w:val="20"/>
          <w:lang w:val="lt-LT"/>
        </w:rPr>
      </w:pPr>
      <w:r>
        <w:rPr>
          <w:rFonts w:ascii="Georgia" w:hAnsi="Georgia"/>
          <w:sz w:val="20"/>
          <w:lang w:val="lt-LT"/>
        </w:rPr>
        <w:t xml:space="preserve">Dar viena viešųjų intervencijų forma viešųjų pastatų modernizavimo srityje yra Klimato kaitos programa. Klimato kaitos programos lėšomis gali būti remiamas viešųjų pastatų modernizavimas, tačiau, analogiškai kaip ir daugiabučiuose, finansinė priemonė ir parama iš Klimato kaitos programos yra derinama tarpusavyje. Taip užtikrinama, kad priemonės viena kitą papildo, o ne konkuruoja tarpusavyje. </w:t>
      </w:r>
    </w:p>
    <w:p w14:paraId="6DA94C26" w14:textId="77777777" w:rsidR="00280058" w:rsidRDefault="00280058" w:rsidP="00280058">
      <w:pPr>
        <w:jc w:val="both"/>
        <w:rPr>
          <w:rFonts w:ascii="Georgia" w:hAnsi="Georgia"/>
          <w:i/>
          <w:sz w:val="20"/>
          <w:lang w:val="lt-LT"/>
        </w:rPr>
      </w:pPr>
      <w:r>
        <w:rPr>
          <w:rFonts w:ascii="Georgia" w:hAnsi="Georgia"/>
          <w:i/>
          <w:sz w:val="20"/>
          <w:lang w:val="lt-LT"/>
        </w:rPr>
        <w:t>Gatvių apšvietimo modernizavimas</w:t>
      </w:r>
    </w:p>
    <w:p w14:paraId="12DB3B0E" w14:textId="77777777" w:rsidR="00280058" w:rsidRDefault="00280058" w:rsidP="00280058">
      <w:pPr>
        <w:spacing w:after="0" w:line="240" w:lineRule="auto"/>
        <w:jc w:val="both"/>
        <w:rPr>
          <w:rFonts w:ascii="Times New Roman" w:hAnsi="Times New Roman" w:cs="Times New Roman"/>
          <w:sz w:val="24"/>
          <w:szCs w:val="24"/>
          <w:lang w:val="lt-LT" w:eastAsia="lt-LT"/>
        </w:rPr>
      </w:pPr>
      <w:r>
        <w:rPr>
          <w:rFonts w:ascii="Georgia" w:hAnsi="Georgia"/>
          <w:sz w:val="20"/>
          <w:lang w:val="lt-LT"/>
        </w:rPr>
        <w:t>Gatvių apšvietimo projektai 2007-2013 m. ES finansiniu laikotarpiu remiami nebuvo, kitokių viešosios intervencijos formų šiai sričiai nėra, todėl planuojami remti gatvių apšvietimo modernizavimo projektai neturi būti derinami su kitomis viešųjų intervencijų formomis.</w:t>
      </w:r>
      <w:r>
        <w:rPr>
          <w:rFonts w:ascii="Times New Roman" w:hAnsi="Times New Roman" w:cs="Times New Roman"/>
          <w:sz w:val="24"/>
          <w:szCs w:val="24"/>
          <w:lang w:val="lt-LT" w:eastAsia="lt-LT"/>
        </w:rPr>
        <w:t xml:space="preserve"> </w:t>
      </w:r>
    </w:p>
    <w:p w14:paraId="7F753544" w14:textId="77777777" w:rsidR="00280058" w:rsidRDefault="00280058" w:rsidP="00280058">
      <w:pPr>
        <w:spacing w:after="0" w:line="240" w:lineRule="auto"/>
        <w:jc w:val="both"/>
        <w:rPr>
          <w:rFonts w:ascii="Times New Roman" w:hAnsi="Times New Roman" w:cs="Times New Roman"/>
          <w:sz w:val="24"/>
          <w:szCs w:val="24"/>
          <w:lang w:val="lt-LT" w:eastAsia="lt-LT"/>
        </w:rPr>
      </w:pPr>
      <w:r>
        <w:rPr>
          <w:rFonts w:ascii="Times New Roman" w:hAnsi="Times New Roman" w:cs="Times New Roman"/>
          <w:sz w:val="24"/>
          <w:szCs w:val="24"/>
          <w:lang w:val="lt-LT" w:eastAsia="lt-LT"/>
        </w:rPr>
        <w:t xml:space="preserve"> </w:t>
      </w:r>
    </w:p>
    <w:p w14:paraId="4E895FD9" w14:textId="77777777" w:rsidR="00280058" w:rsidRDefault="00280058" w:rsidP="00280058">
      <w:pPr>
        <w:spacing w:after="0" w:line="240" w:lineRule="auto"/>
        <w:rPr>
          <w:rFonts w:ascii="Times New Roman" w:hAnsi="Times New Roman" w:cs="Times New Roman"/>
          <w:sz w:val="24"/>
          <w:szCs w:val="24"/>
          <w:lang w:val="lt-LT" w:eastAsia="lt-LT"/>
        </w:rPr>
      </w:pPr>
    </w:p>
    <w:p w14:paraId="072EE246" w14:textId="77777777" w:rsidR="00995FCE" w:rsidRDefault="00995FCE">
      <w:pPr>
        <w:rPr>
          <w:lang w:val="lt-LT"/>
        </w:rPr>
      </w:pPr>
      <w:r>
        <w:rPr>
          <w:lang w:val="lt-LT"/>
        </w:rPr>
        <w:br w:type="page"/>
      </w:r>
    </w:p>
    <w:p w14:paraId="2CAB5420" w14:textId="77777777" w:rsidR="00995FCE" w:rsidRPr="00D73687" w:rsidRDefault="00995FCE" w:rsidP="00D73687">
      <w:pPr>
        <w:pStyle w:val="Antrat2"/>
        <w:numPr>
          <w:ilvl w:val="1"/>
          <w:numId w:val="2"/>
        </w:numPr>
        <w:spacing w:after="240"/>
        <w:rPr>
          <w:lang w:val="lt-LT"/>
        </w:rPr>
      </w:pPr>
      <w:bookmarkStart w:id="295" w:name="_Toc417378404"/>
      <w:r>
        <w:rPr>
          <w:lang w:val="lt-LT"/>
        </w:rPr>
        <w:lastRenderedPageBreak/>
        <w:t>Finansinių priemonių poveikis valstybės biudžeto deficitui ir valstybės skolai</w:t>
      </w:r>
      <w:bookmarkEnd w:id="295"/>
    </w:p>
    <w:p w14:paraId="43C7080C" w14:textId="77777777" w:rsidR="00995FCE" w:rsidRDefault="00995FCE" w:rsidP="00995FCE">
      <w:pPr>
        <w:rPr>
          <w:lang w:val="lt-LT"/>
        </w:rPr>
      </w:pPr>
    </w:p>
    <w:p w14:paraId="458C8595" w14:textId="77777777" w:rsidR="00D17B85" w:rsidRDefault="00995FCE" w:rsidP="00D17B85">
      <w:pPr>
        <w:spacing w:after="120"/>
        <w:jc w:val="both"/>
        <w:rPr>
          <w:rFonts w:ascii="Georgia" w:hAnsi="Georgia"/>
          <w:sz w:val="20"/>
          <w:szCs w:val="20"/>
          <w:lang w:val="lt-LT"/>
        </w:rPr>
      </w:pPr>
      <w:r w:rsidRPr="00995FCE">
        <w:rPr>
          <w:rFonts w:ascii="Georgia" w:hAnsi="Georgia"/>
          <w:sz w:val="20"/>
          <w:szCs w:val="20"/>
          <w:lang w:val="lt-LT"/>
        </w:rPr>
        <w:t xml:space="preserve">Šiame ex-ante skyriuje išanalizuoti </w:t>
      </w:r>
      <w:r w:rsidR="00D17B85">
        <w:rPr>
          <w:rFonts w:ascii="Georgia" w:hAnsi="Georgia"/>
          <w:sz w:val="20"/>
          <w:szCs w:val="20"/>
          <w:lang w:val="lt-LT"/>
        </w:rPr>
        <w:t>du atvejai, koks yra siūlomų finansinių priemonių poveikis valstybės biudžeto deficitui ir valstybės skolai viešųjų pastatų ir gatvių apšvietimo modernizavimo atvejais:</w:t>
      </w:r>
    </w:p>
    <w:p w14:paraId="3AED7B13" w14:textId="77777777" w:rsidR="00D17B85" w:rsidRPr="00D17B85" w:rsidRDefault="00995FCE" w:rsidP="002A576D">
      <w:pPr>
        <w:pStyle w:val="Sraopastraipa"/>
        <w:numPr>
          <w:ilvl w:val="0"/>
          <w:numId w:val="104"/>
        </w:numPr>
        <w:jc w:val="both"/>
        <w:rPr>
          <w:rFonts w:ascii="Georgia" w:hAnsi="Georgia"/>
          <w:sz w:val="20"/>
          <w:szCs w:val="20"/>
          <w:lang w:val="lt-LT"/>
        </w:rPr>
      </w:pPr>
      <w:r w:rsidRPr="00D17B85">
        <w:rPr>
          <w:rFonts w:ascii="Georgia" w:hAnsi="Georgia"/>
          <w:sz w:val="20"/>
          <w:szCs w:val="20"/>
          <w:lang w:val="lt-LT"/>
        </w:rPr>
        <w:t xml:space="preserve">finansinės priemonės; </w:t>
      </w:r>
    </w:p>
    <w:p w14:paraId="4397487E" w14:textId="77777777" w:rsidR="00995FCE" w:rsidRPr="00D17B85" w:rsidRDefault="00995FCE" w:rsidP="002A576D">
      <w:pPr>
        <w:pStyle w:val="Sraopastraipa"/>
        <w:numPr>
          <w:ilvl w:val="0"/>
          <w:numId w:val="104"/>
        </w:numPr>
        <w:jc w:val="both"/>
        <w:rPr>
          <w:rFonts w:ascii="Georgia" w:hAnsi="Georgia"/>
          <w:sz w:val="20"/>
          <w:szCs w:val="20"/>
          <w:lang w:val="lt-LT"/>
        </w:rPr>
      </w:pPr>
      <w:r w:rsidRPr="00D17B85">
        <w:rPr>
          <w:rFonts w:ascii="Georgia" w:hAnsi="Georgia"/>
          <w:sz w:val="20"/>
          <w:szCs w:val="20"/>
          <w:lang w:val="lt-LT"/>
        </w:rPr>
        <w:t>ESCO modelis</w:t>
      </w:r>
      <w:r w:rsidR="00D17B85" w:rsidRPr="00D17B85">
        <w:rPr>
          <w:rFonts w:ascii="Georgia" w:hAnsi="Georgia"/>
          <w:sz w:val="20"/>
          <w:szCs w:val="20"/>
          <w:lang w:val="lt-LT"/>
        </w:rPr>
        <w:t>.</w:t>
      </w:r>
    </w:p>
    <w:p w14:paraId="1DC4D348" w14:textId="77777777" w:rsidR="00D17B85" w:rsidRPr="00D17B85" w:rsidRDefault="00D17B85" w:rsidP="00995FCE">
      <w:pPr>
        <w:jc w:val="both"/>
        <w:rPr>
          <w:rFonts w:ascii="Georgia" w:hAnsi="Georgia"/>
          <w:b/>
          <w:sz w:val="20"/>
          <w:szCs w:val="20"/>
          <w:lang w:val="lt-LT"/>
        </w:rPr>
      </w:pPr>
      <w:r w:rsidRPr="00D17B85">
        <w:rPr>
          <w:rFonts w:ascii="Georgia" w:hAnsi="Georgia"/>
          <w:b/>
          <w:sz w:val="20"/>
          <w:szCs w:val="20"/>
          <w:lang w:val="lt-LT"/>
        </w:rPr>
        <w:t>Finansinės priemonės</w:t>
      </w:r>
    </w:p>
    <w:p w14:paraId="22EA2BE7" w14:textId="77777777" w:rsidR="00995FCE" w:rsidRPr="00995FCE" w:rsidRDefault="00D17B85" w:rsidP="00995FCE">
      <w:pPr>
        <w:jc w:val="both"/>
        <w:rPr>
          <w:rFonts w:ascii="Georgia" w:hAnsi="Georgia"/>
          <w:sz w:val="20"/>
          <w:szCs w:val="20"/>
          <w:lang w:val="lt-LT"/>
        </w:rPr>
      </w:pPr>
      <w:r>
        <w:rPr>
          <w:rFonts w:ascii="Georgia" w:hAnsi="Georgia"/>
          <w:sz w:val="20"/>
          <w:szCs w:val="20"/>
          <w:lang w:val="lt-LT"/>
        </w:rPr>
        <w:t>T</w:t>
      </w:r>
      <w:r w:rsidR="00995FCE" w:rsidRPr="00995FCE">
        <w:rPr>
          <w:rFonts w:ascii="Georgia" w:hAnsi="Georgia"/>
          <w:sz w:val="20"/>
          <w:szCs w:val="20"/>
          <w:lang w:val="lt-LT"/>
        </w:rPr>
        <w:t>arpininkaujant finansų įstaigoms fondų fonde esančios lėšos būtų skolinamos viešųjų pastatų valdytojams. Viešųjų pastatų valdytojų atžvilgiu pastatų atnaujinimo darbų finansavimo priemonė būtų aiškiai apibrėžta – paskola. Atitinkamai viešųjų pastatų valdytojai turėtų registruoti finansinį skolinį įsipareigojimą (finansinę skolą) apskaitoje. Statistinė valstybės skola irgi padidėtų paskolos dydžiu. Taigi nors viešųjų pastatų renovacijai skiriama didelė dalis ES</w:t>
      </w:r>
      <w:r>
        <w:rPr>
          <w:rFonts w:ascii="Georgia" w:hAnsi="Georgia"/>
          <w:sz w:val="20"/>
          <w:szCs w:val="20"/>
          <w:lang w:val="lt-LT"/>
        </w:rPr>
        <w:t>I fondų</w:t>
      </w:r>
      <w:r w:rsidR="00995FCE" w:rsidRPr="00995FCE">
        <w:rPr>
          <w:rFonts w:ascii="Georgia" w:hAnsi="Georgia"/>
          <w:sz w:val="20"/>
          <w:szCs w:val="20"/>
          <w:lang w:val="lt-LT"/>
        </w:rPr>
        <w:t xml:space="preserve"> lėšų valstybės skola vis tiek padidėtų viešųjų pastatų valdytojams skolinantis, nepaisant to, kad padidėtų ir valdžios sektoriaus turtas (ateityje – gautina-sugrįžusi suma iš fondo). Pažymėtina, kad, vadovaujantis LR biudžeto sandaros įstatymu, biudžetinės įstaigos savo vardu negali skolintis lėšų, prisiimti jokių skolinių įsipareigojimų (netaikoma viešosioms įstaigoms).</w:t>
      </w:r>
    </w:p>
    <w:p w14:paraId="0CA2FFFB" w14:textId="77777777" w:rsidR="00D17B85" w:rsidRDefault="00995FCE" w:rsidP="00995FCE">
      <w:pPr>
        <w:jc w:val="both"/>
        <w:rPr>
          <w:rFonts w:ascii="Georgia" w:hAnsi="Georgia"/>
          <w:sz w:val="20"/>
          <w:szCs w:val="20"/>
          <w:lang w:val="lt-LT"/>
        </w:rPr>
      </w:pPr>
      <w:r w:rsidRPr="00D17B85">
        <w:rPr>
          <w:rFonts w:ascii="Georgia" w:hAnsi="Georgia"/>
          <w:i/>
          <w:sz w:val="20"/>
          <w:szCs w:val="20"/>
          <w:lang w:val="lt-LT"/>
        </w:rPr>
        <w:t>Įvertinta finansinių priemonių įtaka valdžios sektoriaus balansui (deficitui)</w:t>
      </w:r>
      <w:r w:rsidRPr="00995FCE">
        <w:rPr>
          <w:rFonts w:ascii="Georgia" w:hAnsi="Georgia"/>
          <w:sz w:val="20"/>
          <w:szCs w:val="20"/>
          <w:lang w:val="lt-LT"/>
        </w:rPr>
        <w:t xml:space="preserve"> </w:t>
      </w:r>
    </w:p>
    <w:p w14:paraId="64430976" w14:textId="77777777" w:rsidR="00995FCE" w:rsidRPr="00995FCE" w:rsidRDefault="00995FCE" w:rsidP="00995FCE">
      <w:pPr>
        <w:jc w:val="both"/>
        <w:rPr>
          <w:rFonts w:ascii="Georgia" w:hAnsi="Georgia"/>
          <w:sz w:val="20"/>
          <w:szCs w:val="20"/>
          <w:lang w:val="lt-LT"/>
        </w:rPr>
      </w:pPr>
      <w:r w:rsidRPr="00995FCE">
        <w:rPr>
          <w:rFonts w:ascii="Georgia" w:hAnsi="Georgia"/>
          <w:sz w:val="20"/>
          <w:szCs w:val="20"/>
          <w:lang w:val="lt-LT"/>
        </w:rPr>
        <w:t xml:space="preserve">Viešųjų pastatų valdytojai, imdami paskolas </w:t>
      </w:r>
      <w:r w:rsidR="00EF6FC0">
        <w:rPr>
          <w:rFonts w:ascii="Georgia" w:hAnsi="Georgia"/>
          <w:sz w:val="20"/>
          <w:szCs w:val="20"/>
          <w:lang w:val="lt-LT"/>
        </w:rPr>
        <w:t>pastatų atnaujinimui</w:t>
      </w:r>
      <w:r w:rsidRPr="00995FCE">
        <w:rPr>
          <w:rFonts w:ascii="Georgia" w:hAnsi="Georgia"/>
          <w:sz w:val="20"/>
          <w:szCs w:val="20"/>
          <w:lang w:val="lt-LT"/>
        </w:rPr>
        <w:t xml:space="preserve">, už paskolintas lėšas pirktų statybas ir susijusias paslaugas iš privačių subjektų. Pastatų </w:t>
      </w:r>
      <w:r w:rsidR="00EF6FC0">
        <w:rPr>
          <w:rFonts w:ascii="Georgia" w:hAnsi="Georgia"/>
          <w:sz w:val="20"/>
          <w:szCs w:val="20"/>
          <w:lang w:val="lt-LT"/>
        </w:rPr>
        <w:t>atnaujinimas</w:t>
      </w:r>
      <w:r w:rsidRPr="00995FCE">
        <w:rPr>
          <w:rFonts w:ascii="Georgia" w:hAnsi="Georgia"/>
          <w:sz w:val="20"/>
          <w:szCs w:val="20"/>
          <w:lang w:val="lt-LT"/>
        </w:rPr>
        <w:t xml:space="preserve"> (pagerinimas) padidintų šių pastatų vertę. Finansinėje apskaitoje investicijų suma būtų pripažinta sąnaudomis dalimis per investicijos naudingo tarnavimo laiką (amortizuojant pastato vertės padidėjimą pamečiui). Rengiant statistinius duomenis visa suma būtų pripažinta sąnaudomis investavimo laikotarpiu ir didintų valdžios sektoriaus deficitą, nors didelė visos schemos finansavimo dalis šaltinio dalis ir yra ES</w:t>
      </w:r>
      <w:r w:rsidR="00EF6FC0">
        <w:rPr>
          <w:rFonts w:ascii="Georgia" w:hAnsi="Georgia"/>
          <w:sz w:val="20"/>
          <w:szCs w:val="20"/>
          <w:lang w:val="lt-LT"/>
        </w:rPr>
        <w:t>I fondų</w:t>
      </w:r>
      <w:r w:rsidRPr="00995FCE">
        <w:rPr>
          <w:rFonts w:ascii="Georgia" w:hAnsi="Georgia"/>
          <w:sz w:val="20"/>
          <w:szCs w:val="20"/>
          <w:lang w:val="lt-LT"/>
        </w:rPr>
        <w:t xml:space="preserve"> lėšos, kurios, nesant sudėtingoms įsisavinimo schemoms ir, kai parama įsisavinama laikantis ES reglamentų nuostatų, yra neutralios valdžios sektoriaus deficitui (jo nedidina). Sudėtingesnė finansavimo schema (lyginant su tiesioginiu investavimu be tarpininkų) sąlygoja tai, kad sudėtingiau nustatyti, kuris investuotas į viešąjį pastatą piniginis vienetas yra iš ES</w:t>
      </w:r>
      <w:r w:rsidR="00EF6FC0">
        <w:rPr>
          <w:rFonts w:ascii="Georgia" w:hAnsi="Georgia"/>
          <w:sz w:val="20"/>
          <w:szCs w:val="20"/>
          <w:lang w:val="lt-LT"/>
        </w:rPr>
        <w:t>I fondų</w:t>
      </w:r>
      <w:r w:rsidRPr="00995FCE">
        <w:rPr>
          <w:rFonts w:ascii="Georgia" w:hAnsi="Georgia"/>
          <w:sz w:val="20"/>
          <w:szCs w:val="20"/>
          <w:lang w:val="lt-LT"/>
        </w:rPr>
        <w:t xml:space="preserve"> lėšų, o kuris – ne. Siekiant, kad finansinių priemonių naudojimas </w:t>
      </w:r>
      <w:r w:rsidR="00EF6FC0">
        <w:rPr>
          <w:rFonts w:ascii="Georgia" w:hAnsi="Georgia"/>
          <w:sz w:val="20"/>
          <w:szCs w:val="20"/>
          <w:lang w:val="lt-LT"/>
        </w:rPr>
        <w:t>atnaujinant</w:t>
      </w:r>
      <w:r w:rsidRPr="00995FCE">
        <w:rPr>
          <w:rFonts w:ascii="Georgia" w:hAnsi="Georgia"/>
          <w:sz w:val="20"/>
          <w:szCs w:val="20"/>
          <w:lang w:val="lt-LT"/>
        </w:rPr>
        <w:t xml:space="preserve"> viešuosius pastatus nedidintų paramos lėšų (kaip tai būtų taikant schemą, neapimančią privataus sektoriaus tarpininkų pritraukimo), nėra aišku, ar rengiant statistinius duomenis galima pripažinti valdžios sektoriaus pajamas, sumažinančias deficitą ir kuriuo laiku. </w:t>
      </w:r>
    </w:p>
    <w:p w14:paraId="7ACEE66E" w14:textId="77777777" w:rsidR="00EF6FC0" w:rsidRDefault="00995FCE" w:rsidP="00995FCE">
      <w:pPr>
        <w:jc w:val="both"/>
        <w:rPr>
          <w:rFonts w:ascii="Georgia" w:hAnsi="Georgia"/>
          <w:b/>
          <w:sz w:val="20"/>
          <w:szCs w:val="20"/>
          <w:lang w:val="lt-LT"/>
        </w:rPr>
      </w:pPr>
      <w:r w:rsidRPr="00EF6FC0">
        <w:rPr>
          <w:rFonts w:ascii="Georgia" w:hAnsi="Georgia"/>
          <w:b/>
          <w:sz w:val="20"/>
          <w:szCs w:val="20"/>
          <w:lang w:val="lt-LT"/>
        </w:rPr>
        <w:t>ESCO modelis</w:t>
      </w:r>
    </w:p>
    <w:p w14:paraId="6E6AFFBF" w14:textId="77777777" w:rsidR="00995FCE" w:rsidRPr="00995FCE" w:rsidRDefault="00EF6FC0" w:rsidP="00995FCE">
      <w:pPr>
        <w:jc w:val="both"/>
        <w:rPr>
          <w:rFonts w:ascii="Georgia" w:hAnsi="Georgia"/>
          <w:sz w:val="20"/>
          <w:szCs w:val="20"/>
          <w:lang w:val="lt-LT"/>
        </w:rPr>
      </w:pPr>
      <w:r>
        <w:rPr>
          <w:rFonts w:ascii="Georgia" w:hAnsi="Georgia"/>
          <w:sz w:val="20"/>
          <w:szCs w:val="20"/>
          <w:lang w:val="lt-LT"/>
        </w:rPr>
        <w:t>T</w:t>
      </w:r>
      <w:r w:rsidR="00995FCE" w:rsidRPr="00995FCE">
        <w:rPr>
          <w:rFonts w:ascii="Georgia" w:hAnsi="Georgia"/>
          <w:sz w:val="20"/>
          <w:szCs w:val="20"/>
          <w:lang w:val="lt-LT"/>
        </w:rPr>
        <w:t xml:space="preserve">arpininkaujant finansų įstaigoms fondų fonde esančios lėšos būtų skolinamos privataus sektoriaus įmonei – ESCO, kuri investuotų į viešuosius pastatus, galimai prisidėdama savo lėšomis. Tarp ESCO ir viešųjų pastatų valdytojo būtų pasirašyta </w:t>
      </w:r>
      <w:r>
        <w:rPr>
          <w:rFonts w:ascii="Georgia" w:hAnsi="Georgia"/>
          <w:sz w:val="20"/>
          <w:szCs w:val="20"/>
          <w:lang w:val="lt-LT"/>
        </w:rPr>
        <w:t xml:space="preserve">energetinių </w:t>
      </w:r>
      <w:r w:rsidR="00995FCE" w:rsidRPr="00995FCE">
        <w:rPr>
          <w:rFonts w:ascii="Georgia" w:hAnsi="Georgia"/>
          <w:sz w:val="20"/>
          <w:szCs w:val="20"/>
          <w:lang w:val="lt-LT"/>
        </w:rPr>
        <w:t xml:space="preserve">paslaugų teikimo sutartis. Atsižvelgiant į tai, kad ESCO prisiimtų tam tikrą riziką dėl investicijos efektyvumo, paslaugų teikimo sutartyje nebūtų įvardintos konkrečios pastato valdytojo mokėtinos sumos ESCO įmonei. Šios sumos būtų kintamos (gali būti didesnės ar mažesnės, nei iš anksto numatytos), priklausomai nuo ateityje gautinų sąskaitų už šildymą ir sutartyje nustatytų ESCO įsipareigojimų užtikrinti atitinkamą energijos išteklių sutaupymo kiekį. Be to, sutartyje mokėtinos palūkanos nebūtų išskiriamos į atskirą piniginį srautą. Dėl to toks viešojo pastato valdytojo įsipareigojimas ESCO įmonei pagal apsirašytą paslaugų teikimo sutartį nebūtų pripažintas skoliniu įsipareigojimu finansinėje apskaitoje ir rengiant statistinius duomenis (išskyrus, kai toks finansavimo modelis pripažįstamas VPSP). </w:t>
      </w:r>
    </w:p>
    <w:p w14:paraId="19E230E9" w14:textId="77777777" w:rsidR="00EF6FC0" w:rsidRDefault="00995FCE" w:rsidP="00995FCE">
      <w:pPr>
        <w:jc w:val="both"/>
        <w:rPr>
          <w:rFonts w:ascii="Georgia" w:hAnsi="Georgia"/>
          <w:i/>
          <w:sz w:val="20"/>
          <w:szCs w:val="20"/>
          <w:lang w:val="lt-LT"/>
        </w:rPr>
      </w:pPr>
      <w:r w:rsidRPr="00EF6FC0">
        <w:rPr>
          <w:rFonts w:ascii="Georgia" w:hAnsi="Georgia"/>
          <w:i/>
          <w:sz w:val="20"/>
          <w:szCs w:val="20"/>
          <w:lang w:val="lt-LT"/>
        </w:rPr>
        <w:lastRenderedPageBreak/>
        <w:t xml:space="preserve">Įvertinta ESCO modelio įtaka valdžios </w:t>
      </w:r>
      <w:r w:rsidR="00EF6FC0">
        <w:rPr>
          <w:rFonts w:ascii="Georgia" w:hAnsi="Georgia"/>
          <w:i/>
          <w:sz w:val="20"/>
          <w:szCs w:val="20"/>
          <w:lang w:val="lt-LT"/>
        </w:rPr>
        <w:t>sektoriaus balansui (deficitui)</w:t>
      </w:r>
    </w:p>
    <w:p w14:paraId="157B0B20" w14:textId="77777777" w:rsidR="00995FCE" w:rsidRPr="00995FCE" w:rsidRDefault="00995FCE" w:rsidP="00995FCE">
      <w:pPr>
        <w:jc w:val="both"/>
        <w:rPr>
          <w:rFonts w:ascii="Georgia" w:hAnsi="Georgia"/>
          <w:sz w:val="20"/>
          <w:szCs w:val="20"/>
          <w:lang w:val="lt-LT"/>
        </w:rPr>
      </w:pPr>
      <w:r w:rsidRPr="00995FCE">
        <w:rPr>
          <w:rFonts w:ascii="Georgia" w:hAnsi="Georgia"/>
          <w:sz w:val="20"/>
          <w:szCs w:val="20"/>
          <w:lang w:val="lt-LT"/>
        </w:rPr>
        <w:t>Kaip ir finansinių priemonių atveju, taikant ESCO modelį viešųjų pastatų renovacija padidintų šių pastatų vertę, o išlaidos (didinančios valdžios sektoriaus deficitą apskaitymo momentu), būtų apskaitytos kaip atidėjinys, kuris neturi įtakos skolai, nes įsipareigojimų ESCO įmonei sumos laikytinos sąlyginėmis (mažiau apibrėžtomis) dėl galimai svyruojančios mokėtinos sumos ESCO sutarties laikotarpiu. Vėlesni (reguliarūs) viešojo pastato valdytojo mokėjimai pagal pateikiamas ESCO sąskaitas nebūtų laikomi valdžios deficitą didinančiais veiksniais. Nesėkmingai investavus į viešuosius pastatus, ESCO prisiima atsakomybę už viešojo pastato valdytojo nuostolius. Kaip ir finansinių priemonių atveju, nėra aišku, kuriuo momentu rengiant statistiką galima pripažinti valdžios sektoriaus nacionalines pajamas (lygias išleistų ES lėšų sumai), sumažinančias deficitą.</w:t>
      </w:r>
    </w:p>
    <w:p w14:paraId="2C66921C" w14:textId="77777777" w:rsidR="00995FCE" w:rsidRPr="00EF6FC0" w:rsidRDefault="00995FCE" w:rsidP="00995FCE">
      <w:pPr>
        <w:jc w:val="both"/>
        <w:rPr>
          <w:rFonts w:ascii="Georgia" w:hAnsi="Georgia"/>
          <w:b/>
          <w:sz w:val="20"/>
          <w:szCs w:val="20"/>
          <w:lang w:val="lt-LT"/>
        </w:rPr>
      </w:pPr>
      <w:r w:rsidRPr="00EF6FC0">
        <w:rPr>
          <w:rFonts w:ascii="Georgia" w:hAnsi="Georgia"/>
          <w:b/>
          <w:sz w:val="20"/>
          <w:szCs w:val="20"/>
          <w:lang w:val="lt-LT"/>
        </w:rPr>
        <w:t>Išvados:</w:t>
      </w:r>
    </w:p>
    <w:p w14:paraId="75FFFA96" w14:textId="77777777" w:rsidR="00995FCE" w:rsidRPr="00995FCE" w:rsidRDefault="00995FCE" w:rsidP="002A576D">
      <w:pPr>
        <w:widowControl w:val="0"/>
        <w:numPr>
          <w:ilvl w:val="0"/>
          <w:numId w:val="103"/>
        </w:numPr>
        <w:spacing w:after="0"/>
        <w:jc w:val="both"/>
        <w:rPr>
          <w:rFonts w:ascii="Georgia" w:hAnsi="Georgia"/>
          <w:sz w:val="20"/>
          <w:szCs w:val="20"/>
          <w:lang w:val="lt-LT"/>
        </w:rPr>
      </w:pPr>
      <w:r w:rsidRPr="00995FCE">
        <w:rPr>
          <w:rFonts w:ascii="Georgia" w:hAnsi="Georgia"/>
          <w:sz w:val="20"/>
          <w:szCs w:val="20"/>
          <w:lang w:val="lt-LT"/>
        </w:rPr>
        <w:t>įgyvendinant finansines priemones viešųjų pastatų valdytojų apskaitoje ir statistikoje būtų registruojamas skolinis įsipareigojimas (finansinė skola). Atitinkamai būtų pripažinta įtaka valstybės ir savivaldybių skolinimosi limitams (limitai būtų panaudojami);</w:t>
      </w:r>
    </w:p>
    <w:p w14:paraId="783D3218" w14:textId="77777777" w:rsidR="00995FCE" w:rsidRPr="00995FCE" w:rsidRDefault="00995FCE" w:rsidP="002A576D">
      <w:pPr>
        <w:widowControl w:val="0"/>
        <w:numPr>
          <w:ilvl w:val="0"/>
          <w:numId w:val="103"/>
        </w:numPr>
        <w:spacing w:after="0"/>
        <w:jc w:val="both"/>
        <w:rPr>
          <w:rFonts w:ascii="Georgia" w:hAnsi="Georgia"/>
          <w:sz w:val="20"/>
          <w:szCs w:val="20"/>
          <w:lang w:val="lt-LT"/>
        </w:rPr>
      </w:pPr>
      <w:r w:rsidRPr="00995FCE">
        <w:rPr>
          <w:rFonts w:ascii="Georgia" w:hAnsi="Georgia"/>
          <w:sz w:val="20"/>
          <w:szCs w:val="20"/>
          <w:lang w:val="lt-LT"/>
        </w:rPr>
        <w:t xml:space="preserve">įgyvendinant ESCO modelį viešojo pastato valdytojo įsipareigojimas ESCO įmonei pagal pasirašytą paslaugų teikimo sutartį nebūtų pripažintas skoliniu įsipareigojimu finansinėje apskaitoje ir rengiant statistinius duomenis, nes minėtoje sutartyje nebūtų mokėtinų palūkanų išskyrimo į atskirą piniginį srautą, o grąžintina suma sąlyginė ir tiksliai neapibrėžta. Atitinkamai skolinimosi limitai nebūtų išnaudojami, išskyrus tada, kai toks finansavimo modelis pripažįstamas vieša ir privačia partneryste ir didesnė rizika tenka viešajam sektoriui. Remiantis </w:t>
      </w:r>
      <w:r w:rsidRPr="00995FCE">
        <w:rPr>
          <w:rFonts w:ascii="Georgia" w:hAnsi="Georgia"/>
          <w:i/>
          <w:sz w:val="20"/>
          <w:szCs w:val="20"/>
          <w:lang w:val="lt-LT"/>
        </w:rPr>
        <w:t>Eurostat</w:t>
      </w:r>
      <w:r w:rsidR="00100EF9">
        <w:rPr>
          <w:rFonts w:ascii="Georgia" w:hAnsi="Georgia"/>
          <w:i/>
          <w:sz w:val="20"/>
          <w:szCs w:val="20"/>
          <w:lang w:val="lt-LT"/>
        </w:rPr>
        <w:t>o</w:t>
      </w:r>
      <w:r w:rsidRPr="00995FCE">
        <w:rPr>
          <w:rFonts w:ascii="Georgia" w:hAnsi="Georgia"/>
          <w:sz w:val="20"/>
          <w:szCs w:val="20"/>
          <w:lang w:val="lt-LT"/>
        </w:rPr>
        <w:t xml:space="preserve"> vieša ir privačia partneryste ESCO finansavimo modelis būtų pripažintas, jeigu privatus subjektas investuotų sumą, kuri sąlygotų viešojo pastato vertės padidėjimą ne mažiau kaip 50 proc.</w:t>
      </w:r>
    </w:p>
    <w:p w14:paraId="5EB7A83F" w14:textId="77777777" w:rsidR="00E700F9" w:rsidRDefault="00E700F9" w:rsidP="00F20933">
      <w:pPr>
        <w:rPr>
          <w:lang w:val="lt-LT"/>
        </w:rPr>
      </w:pPr>
    </w:p>
    <w:p w14:paraId="46BE5785" w14:textId="77777777" w:rsidR="00F42132" w:rsidRPr="00995FCE" w:rsidRDefault="00F42132" w:rsidP="00F20933">
      <w:pPr>
        <w:rPr>
          <w:b/>
          <w:bCs/>
          <w:color w:val="365F91" w:themeColor="accent1" w:themeShade="BF"/>
          <w:sz w:val="28"/>
          <w:szCs w:val="28"/>
          <w:lang w:val="lt-LT"/>
        </w:rPr>
      </w:pPr>
      <w:r w:rsidRPr="00995FCE">
        <w:rPr>
          <w:lang w:val="lt-LT"/>
        </w:rPr>
        <w:br w:type="page"/>
      </w:r>
    </w:p>
    <w:p w14:paraId="0F3072F8" w14:textId="77777777" w:rsidR="00097A34" w:rsidRPr="00B51CAE" w:rsidRDefault="00F948E4" w:rsidP="0062724A">
      <w:pPr>
        <w:pStyle w:val="Antrat1"/>
        <w:numPr>
          <w:ilvl w:val="0"/>
          <w:numId w:val="2"/>
        </w:numPr>
        <w:rPr>
          <w:lang w:val="lt-LT"/>
        </w:rPr>
      </w:pPr>
      <w:bookmarkStart w:id="296" w:name="_Toc417378405"/>
      <w:r w:rsidRPr="00B51CAE">
        <w:rPr>
          <w:lang w:val="lt-LT"/>
        </w:rPr>
        <w:lastRenderedPageBreak/>
        <w:t>Valstybės pagalba</w:t>
      </w:r>
      <w:bookmarkEnd w:id="296"/>
    </w:p>
    <w:p w14:paraId="50B74BEA" w14:textId="77777777" w:rsidR="008D5EBC" w:rsidRDefault="008D5EBC" w:rsidP="00EF6FC0">
      <w:pPr>
        <w:jc w:val="both"/>
        <w:rPr>
          <w:rFonts w:ascii="Georgia" w:hAnsi="Georgia"/>
          <w:sz w:val="20"/>
          <w:szCs w:val="20"/>
          <w:lang w:val="lt-LT"/>
        </w:rPr>
      </w:pPr>
      <w:bookmarkStart w:id="297" w:name="_Toc395795824"/>
    </w:p>
    <w:p w14:paraId="22E83636" w14:textId="77777777" w:rsidR="00EF6FC0" w:rsidRDefault="00EF6FC0" w:rsidP="00EF6FC0">
      <w:pPr>
        <w:jc w:val="both"/>
        <w:rPr>
          <w:rFonts w:ascii="Georgia" w:hAnsi="Georgia"/>
          <w:sz w:val="20"/>
          <w:szCs w:val="20"/>
          <w:lang w:val="lt-LT"/>
        </w:rPr>
      </w:pPr>
      <w:r w:rsidRPr="003B164C">
        <w:rPr>
          <w:rFonts w:ascii="Georgia" w:hAnsi="Georgia"/>
          <w:sz w:val="20"/>
          <w:szCs w:val="20"/>
          <w:lang w:val="lt-LT"/>
        </w:rPr>
        <w:t>Poreikis įvertinti galiojančio valstybės pagalbos teisinio reglamentavimo įtaką, atliekant energijos efektyvumo ex-ant</w:t>
      </w:r>
      <w:r w:rsidR="00A27CDB">
        <w:rPr>
          <w:rFonts w:ascii="Georgia" w:hAnsi="Georgia"/>
          <w:sz w:val="20"/>
          <w:szCs w:val="20"/>
          <w:lang w:val="lt-LT"/>
        </w:rPr>
        <w:t>e</w:t>
      </w:r>
      <w:r w:rsidRPr="003B164C">
        <w:rPr>
          <w:rFonts w:ascii="Georgia" w:hAnsi="Georgia"/>
          <w:sz w:val="20"/>
          <w:szCs w:val="20"/>
          <w:lang w:val="lt-LT"/>
        </w:rPr>
        <w:t xml:space="preserve"> analizę bei laikantis prielaidos, kad numatomos įgyvendinti finansin</w:t>
      </w:r>
      <w:r>
        <w:rPr>
          <w:rFonts w:ascii="Georgia" w:hAnsi="Georgia"/>
          <w:sz w:val="20"/>
          <w:szCs w:val="20"/>
          <w:lang w:val="lt-LT"/>
        </w:rPr>
        <w:t>ių</w:t>
      </w:r>
      <w:r w:rsidRPr="003B164C">
        <w:rPr>
          <w:rFonts w:ascii="Georgia" w:hAnsi="Georgia"/>
          <w:sz w:val="20"/>
          <w:szCs w:val="20"/>
          <w:lang w:val="lt-LT"/>
        </w:rPr>
        <w:t xml:space="preserve"> priemon</w:t>
      </w:r>
      <w:r>
        <w:rPr>
          <w:rFonts w:ascii="Georgia" w:hAnsi="Georgia"/>
          <w:sz w:val="20"/>
          <w:szCs w:val="20"/>
          <w:lang w:val="lt-LT"/>
        </w:rPr>
        <w:t>ių finansavimui bus panaudojamos ES struktūrinės investicijos</w:t>
      </w:r>
      <w:r w:rsidRPr="003B164C">
        <w:rPr>
          <w:rFonts w:ascii="Georgia" w:hAnsi="Georgia"/>
          <w:sz w:val="20"/>
          <w:szCs w:val="20"/>
          <w:lang w:val="lt-LT"/>
        </w:rPr>
        <w:t>, yra aiškiai nurodytas Bendrųjų nuostatų reglamento</w:t>
      </w:r>
      <w:r>
        <w:rPr>
          <w:rFonts w:ascii="Georgia" w:hAnsi="Georgia"/>
          <w:sz w:val="20"/>
          <w:szCs w:val="20"/>
          <w:lang w:val="lt-LT"/>
        </w:rPr>
        <w:t xml:space="preserve"> 37 str. 1 d. 2 pastraipoje, 2 d. b) punkte, 4 d., 7 d. bei 9 d. Paskirstytas ES struktūrinių investicijų valdymo, kai didžiąją dalį investicijų panaudojimo valdymo ir kontrolės sistemos funkcijų atlieka nacionalinės institucijos (Vadovaujančioji institucija ir jos įgaliotos kitos institucijos), modelis kartu reiškia, kad šios investicijos yra sudedamoji nacionalinio biudžeto dalis, tai yra šios investicijos yra viešieji finansiniai ištekliai, kurių panaudojimas turi atitikti taikytinas valstybės pagalbos teikimo kontrolės taisykles.</w:t>
      </w:r>
    </w:p>
    <w:p w14:paraId="4174862A" w14:textId="77777777" w:rsidR="00EF6FC0" w:rsidRDefault="00EF6FC0" w:rsidP="00EF6FC0">
      <w:pPr>
        <w:jc w:val="both"/>
        <w:rPr>
          <w:rFonts w:ascii="Georgia" w:hAnsi="Georgia"/>
          <w:sz w:val="20"/>
          <w:szCs w:val="20"/>
          <w:lang w:val="lt-LT"/>
        </w:rPr>
      </w:pPr>
      <w:r>
        <w:rPr>
          <w:rFonts w:ascii="Georgia" w:hAnsi="Georgia"/>
          <w:sz w:val="20"/>
          <w:szCs w:val="20"/>
          <w:lang w:val="lt-LT"/>
        </w:rPr>
        <w:t>Pagrindiniai dokumentai, kurių nuostatos yra nagrinėtinos, atliekant valstybės pagalbos taisyklių galimo taikymo ir jų poveikio numatomoms įgyvendinti finansinėms priemonėms vertinimą yra:</w:t>
      </w:r>
    </w:p>
    <w:p w14:paraId="2E4BDD37" w14:textId="77777777" w:rsidR="00EF6FC0" w:rsidRDefault="00EF6FC0" w:rsidP="002A576D">
      <w:pPr>
        <w:widowControl w:val="0"/>
        <w:numPr>
          <w:ilvl w:val="0"/>
          <w:numId w:val="103"/>
        </w:numPr>
        <w:spacing w:after="0"/>
        <w:jc w:val="both"/>
        <w:rPr>
          <w:rFonts w:ascii="Georgia" w:hAnsi="Georgia"/>
          <w:sz w:val="20"/>
          <w:szCs w:val="20"/>
          <w:lang w:val="lt-LT"/>
        </w:rPr>
      </w:pPr>
      <w:r>
        <w:rPr>
          <w:rFonts w:ascii="Georgia" w:hAnsi="Georgia"/>
          <w:sz w:val="20"/>
          <w:szCs w:val="20"/>
          <w:lang w:val="lt-LT"/>
        </w:rPr>
        <w:t xml:space="preserve">2014 m. sausio 22 d. </w:t>
      </w:r>
      <w:r w:rsidRPr="00552701">
        <w:rPr>
          <w:rFonts w:ascii="Georgia" w:hAnsi="Georgia"/>
          <w:sz w:val="20"/>
          <w:szCs w:val="20"/>
          <w:lang w:val="lt-LT"/>
        </w:rPr>
        <w:t>Komisijos komunikatas</w:t>
      </w:r>
      <w:r>
        <w:rPr>
          <w:rFonts w:ascii="Georgia" w:hAnsi="Georgia"/>
          <w:sz w:val="20"/>
          <w:szCs w:val="20"/>
          <w:lang w:val="lt-LT"/>
        </w:rPr>
        <w:t xml:space="preserve"> </w:t>
      </w:r>
      <w:r w:rsidRPr="00552701">
        <w:rPr>
          <w:rFonts w:ascii="Georgia" w:hAnsi="Georgia"/>
          <w:sz w:val="20"/>
          <w:szCs w:val="20"/>
          <w:lang w:val="lt-LT"/>
        </w:rPr>
        <w:t>dėl valstybės pagalbos rizikos finansų investicijoms skatinti gairių</w:t>
      </w:r>
      <w:r>
        <w:rPr>
          <w:rFonts w:ascii="Georgia" w:hAnsi="Georgia"/>
          <w:sz w:val="20"/>
          <w:szCs w:val="20"/>
          <w:lang w:val="lt-LT"/>
        </w:rPr>
        <w:t xml:space="preserve"> (2014/C 19/04);</w:t>
      </w:r>
    </w:p>
    <w:p w14:paraId="2F72464C" w14:textId="77777777" w:rsidR="00EF6FC0" w:rsidRDefault="00EF6FC0" w:rsidP="002A576D">
      <w:pPr>
        <w:widowControl w:val="0"/>
        <w:numPr>
          <w:ilvl w:val="0"/>
          <w:numId w:val="103"/>
        </w:numPr>
        <w:spacing w:after="0"/>
        <w:jc w:val="both"/>
        <w:rPr>
          <w:rFonts w:ascii="Georgia" w:hAnsi="Georgia"/>
          <w:sz w:val="20"/>
          <w:szCs w:val="20"/>
          <w:lang w:val="lt-LT"/>
        </w:rPr>
      </w:pPr>
      <w:r w:rsidRPr="00431FA8">
        <w:rPr>
          <w:rFonts w:ascii="Georgia" w:hAnsi="Georgia"/>
          <w:sz w:val="20"/>
          <w:szCs w:val="20"/>
          <w:lang w:val="lt-LT"/>
        </w:rPr>
        <w:t>2014 m. birželio 17 d. Komisijos reglamentas (ES) Nr. 651/2014, kuriuo tam tikrų kategorijų pagalba skelbiama suderinama su vidaus rinka taikant Sutarties 107 ir 108 straipsnius</w:t>
      </w:r>
      <w:r>
        <w:rPr>
          <w:rFonts w:ascii="Georgia" w:hAnsi="Georgia"/>
          <w:sz w:val="20"/>
          <w:szCs w:val="20"/>
          <w:lang w:val="lt-LT"/>
        </w:rPr>
        <w:t>;</w:t>
      </w:r>
    </w:p>
    <w:p w14:paraId="4DFF97BE" w14:textId="77777777" w:rsidR="00EF6FC0" w:rsidRDefault="00EF6FC0" w:rsidP="002A576D">
      <w:pPr>
        <w:widowControl w:val="0"/>
        <w:numPr>
          <w:ilvl w:val="0"/>
          <w:numId w:val="103"/>
        </w:numPr>
        <w:spacing w:after="0"/>
        <w:jc w:val="both"/>
        <w:rPr>
          <w:rFonts w:ascii="Georgia" w:hAnsi="Georgia"/>
          <w:sz w:val="20"/>
          <w:szCs w:val="20"/>
          <w:lang w:val="lt-LT"/>
        </w:rPr>
      </w:pPr>
      <w:r w:rsidRPr="00431FA8">
        <w:rPr>
          <w:rFonts w:ascii="Georgia" w:hAnsi="Georgia"/>
          <w:sz w:val="20"/>
          <w:szCs w:val="20"/>
          <w:lang w:val="lt-LT"/>
        </w:rPr>
        <w:t>2013 m. gruodžio 18 d. Komisijos reglamentas (ES) Nr. 1407/2013 dėl Sutarties dėl Europos Sąjungos veikimo 107 ir 108 straipsnių taikymo de minimis pagalbai</w:t>
      </w:r>
      <w:r>
        <w:rPr>
          <w:rFonts w:ascii="Georgia" w:hAnsi="Georgia"/>
          <w:sz w:val="20"/>
          <w:szCs w:val="20"/>
          <w:lang w:val="lt-LT"/>
        </w:rPr>
        <w:t>;</w:t>
      </w:r>
    </w:p>
    <w:p w14:paraId="616D2E76" w14:textId="77777777" w:rsidR="00EF6FC0" w:rsidRDefault="00EF6FC0" w:rsidP="002A576D">
      <w:pPr>
        <w:widowControl w:val="0"/>
        <w:numPr>
          <w:ilvl w:val="0"/>
          <w:numId w:val="103"/>
        </w:numPr>
        <w:spacing w:after="0"/>
        <w:jc w:val="both"/>
        <w:rPr>
          <w:rFonts w:ascii="Georgia" w:hAnsi="Georgia"/>
          <w:sz w:val="20"/>
          <w:szCs w:val="20"/>
          <w:lang w:val="lt-LT"/>
        </w:rPr>
      </w:pPr>
      <w:r w:rsidRPr="0085634D">
        <w:rPr>
          <w:rFonts w:ascii="Georgia" w:hAnsi="Georgia"/>
          <w:sz w:val="20"/>
          <w:szCs w:val="20"/>
          <w:lang w:val="lt-LT"/>
        </w:rPr>
        <w:t>2014–2020 m. regioninės valstybės pagalbos gairės</w:t>
      </w:r>
      <w:r>
        <w:rPr>
          <w:rFonts w:ascii="Georgia" w:hAnsi="Georgia"/>
          <w:sz w:val="20"/>
          <w:szCs w:val="20"/>
          <w:lang w:val="lt-LT"/>
        </w:rPr>
        <w:t xml:space="preserve"> (</w:t>
      </w:r>
      <w:r w:rsidRPr="0085634D">
        <w:rPr>
          <w:rFonts w:ascii="Georgia" w:hAnsi="Georgia"/>
          <w:sz w:val="20"/>
          <w:szCs w:val="20"/>
          <w:lang w:val="lt-LT"/>
        </w:rPr>
        <w:t>2013/C 209/01</w:t>
      </w:r>
      <w:r>
        <w:rPr>
          <w:rFonts w:ascii="Georgia" w:hAnsi="Georgia"/>
          <w:sz w:val="20"/>
          <w:szCs w:val="20"/>
          <w:lang w:val="lt-LT"/>
        </w:rPr>
        <w:t>).</w:t>
      </w:r>
    </w:p>
    <w:p w14:paraId="349C47EC" w14:textId="77777777" w:rsidR="00446A6A" w:rsidRDefault="00446A6A" w:rsidP="00EF6FC0">
      <w:pPr>
        <w:jc w:val="both"/>
        <w:rPr>
          <w:rFonts w:ascii="Georgia" w:hAnsi="Georgia"/>
          <w:sz w:val="20"/>
          <w:szCs w:val="20"/>
          <w:lang w:val="lt-LT"/>
        </w:rPr>
      </w:pPr>
    </w:p>
    <w:p w14:paraId="6A800784" w14:textId="77777777" w:rsidR="00EF6FC0" w:rsidRDefault="00EF6FC0" w:rsidP="00EF6FC0">
      <w:pPr>
        <w:jc w:val="both"/>
        <w:rPr>
          <w:rFonts w:ascii="Georgia" w:hAnsi="Georgia"/>
          <w:sz w:val="20"/>
          <w:szCs w:val="20"/>
          <w:lang w:val="lt-LT"/>
        </w:rPr>
      </w:pPr>
      <w:r>
        <w:rPr>
          <w:rFonts w:ascii="Georgia" w:hAnsi="Georgia"/>
          <w:sz w:val="20"/>
          <w:szCs w:val="20"/>
          <w:lang w:val="lt-LT"/>
        </w:rPr>
        <w:t>Nurodytų dokumentų nuostatos yra vertinamos tokiu eiliškumu:</w:t>
      </w:r>
    </w:p>
    <w:p w14:paraId="4CAD4A8A" w14:textId="77777777" w:rsidR="00EF6FC0" w:rsidRDefault="00EF6FC0" w:rsidP="002A576D">
      <w:pPr>
        <w:pStyle w:val="Sraopastraipa"/>
        <w:numPr>
          <w:ilvl w:val="0"/>
          <w:numId w:val="89"/>
        </w:numPr>
        <w:ind w:firstLine="0"/>
        <w:jc w:val="both"/>
        <w:rPr>
          <w:rFonts w:ascii="Georgia" w:hAnsi="Georgia"/>
          <w:sz w:val="20"/>
          <w:szCs w:val="20"/>
          <w:lang w:val="lt-LT"/>
        </w:rPr>
      </w:pPr>
      <w:r>
        <w:rPr>
          <w:rFonts w:ascii="Georgia" w:hAnsi="Georgia"/>
          <w:sz w:val="20"/>
          <w:szCs w:val="20"/>
          <w:lang w:val="lt-LT"/>
        </w:rPr>
        <w:t>apibūdinami valstybės pagalbos teikimo požymiai numatytų finansinių priemonių įgyvendinimo kontekste;</w:t>
      </w:r>
    </w:p>
    <w:p w14:paraId="2F116614" w14:textId="77777777" w:rsidR="00EF6FC0" w:rsidRDefault="00EF6FC0" w:rsidP="002A576D">
      <w:pPr>
        <w:pStyle w:val="Sraopastraipa"/>
        <w:numPr>
          <w:ilvl w:val="0"/>
          <w:numId w:val="89"/>
        </w:numPr>
        <w:ind w:firstLine="0"/>
        <w:jc w:val="both"/>
        <w:rPr>
          <w:rFonts w:ascii="Georgia" w:hAnsi="Georgia"/>
          <w:sz w:val="20"/>
          <w:szCs w:val="20"/>
          <w:lang w:val="lt-LT"/>
        </w:rPr>
      </w:pPr>
      <w:r>
        <w:rPr>
          <w:rFonts w:ascii="Georgia" w:hAnsi="Georgia"/>
          <w:sz w:val="20"/>
          <w:szCs w:val="20"/>
          <w:lang w:val="lt-LT"/>
        </w:rPr>
        <w:t>atskirai įvertinama kiekviena finansinių priemonių įgyvendinimo alternatyva:</w:t>
      </w:r>
    </w:p>
    <w:p w14:paraId="4985CDDB" w14:textId="77777777" w:rsidR="00EF6FC0" w:rsidRDefault="00EF6FC0" w:rsidP="002A576D">
      <w:pPr>
        <w:pStyle w:val="Sraopastraipa"/>
        <w:numPr>
          <w:ilvl w:val="1"/>
          <w:numId w:val="89"/>
        </w:numPr>
        <w:ind w:firstLine="0"/>
        <w:jc w:val="both"/>
        <w:rPr>
          <w:rFonts w:ascii="Georgia" w:hAnsi="Georgia"/>
          <w:sz w:val="20"/>
          <w:szCs w:val="20"/>
          <w:lang w:val="lt-LT"/>
        </w:rPr>
      </w:pPr>
      <w:r>
        <w:rPr>
          <w:rFonts w:ascii="Georgia" w:hAnsi="Georgia"/>
          <w:sz w:val="20"/>
          <w:szCs w:val="20"/>
          <w:lang w:val="lt-LT"/>
        </w:rPr>
        <w:t>pasirinktos daugiabučių renovacijos finansinės priemonės bei jos įgyvendinimo struktūros įvertinimas valstybės pagalbos taisyklių kontekste (ex-ante analizės 4.4.1. bei 7.1.4.4. skyriai):</w:t>
      </w:r>
    </w:p>
    <w:p w14:paraId="2D371411" w14:textId="77777777" w:rsidR="00EF6FC0" w:rsidRDefault="00EF6FC0" w:rsidP="002A576D">
      <w:pPr>
        <w:pStyle w:val="Sraopastraipa"/>
        <w:numPr>
          <w:ilvl w:val="2"/>
          <w:numId w:val="89"/>
        </w:numPr>
        <w:ind w:firstLine="0"/>
        <w:jc w:val="both"/>
        <w:rPr>
          <w:rFonts w:ascii="Georgia" w:hAnsi="Georgia"/>
          <w:sz w:val="20"/>
          <w:szCs w:val="20"/>
          <w:lang w:val="lt-LT"/>
        </w:rPr>
      </w:pPr>
      <w:r>
        <w:rPr>
          <w:rFonts w:ascii="Georgia" w:hAnsi="Georgia"/>
          <w:sz w:val="20"/>
          <w:szCs w:val="20"/>
          <w:lang w:val="lt-LT"/>
        </w:rPr>
        <w:t>įgyvendinimo struktūra – juridinio asmens statusą turinčio fondo steigimas;</w:t>
      </w:r>
    </w:p>
    <w:p w14:paraId="35098AEC" w14:textId="77777777" w:rsidR="00EF6FC0" w:rsidRDefault="00EF6FC0" w:rsidP="002A576D">
      <w:pPr>
        <w:pStyle w:val="Sraopastraipa"/>
        <w:numPr>
          <w:ilvl w:val="2"/>
          <w:numId w:val="89"/>
        </w:numPr>
        <w:ind w:firstLine="0"/>
        <w:jc w:val="both"/>
        <w:rPr>
          <w:rFonts w:ascii="Georgia" w:hAnsi="Georgia"/>
          <w:sz w:val="20"/>
          <w:szCs w:val="20"/>
          <w:lang w:val="lt-LT"/>
        </w:rPr>
      </w:pPr>
      <w:r>
        <w:rPr>
          <w:rFonts w:ascii="Georgia" w:hAnsi="Georgia"/>
          <w:sz w:val="20"/>
          <w:szCs w:val="20"/>
          <w:lang w:val="lt-LT"/>
        </w:rPr>
        <w:t xml:space="preserve">finansinės priemonės - lengvatinės paskolos finansinė priemonė, subsidija. Nepaisant to, kad subsidijų priemonę yra planuojama įgyvendinti kaip atskirą priemonę, jos naudos gavėjai bei potencialūs valstybės pagalbos subjektai sutaps, todėl subsidijos, nors ir nėra šio vertinimo objektas, yra vertinamos atliekant </w:t>
      </w:r>
      <w:r w:rsidRPr="00D85096">
        <w:rPr>
          <w:rFonts w:ascii="Georgia" w:hAnsi="Georgia"/>
          <w:i/>
          <w:sz w:val="20"/>
          <w:szCs w:val="20"/>
          <w:lang w:val="lt-LT"/>
        </w:rPr>
        <w:t>ex-ante</w:t>
      </w:r>
      <w:r>
        <w:rPr>
          <w:rFonts w:ascii="Georgia" w:hAnsi="Georgia"/>
          <w:sz w:val="20"/>
          <w:szCs w:val="20"/>
          <w:lang w:val="lt-LT"/>
        </w:rPr>
        <w:t xml:space="preserve"> vertinimą tiek, kiek jos yra susijusios su finansinių priemonių įgyvendinimu;</w:t>
      </w:r>
    </w:p>
    <w:p w14:paraId="4A2342CB" w14:textId="77777777" w:rsidR="00EF6FC0" w:rsidRDefault="00EF6FC0" w:rsidP="002A576D">
      <w:pPr>
        <w:pStyle w:val="Sraopastraipa"/>
        <w:numPr>
          <w:ilvl w:val="1"/>
          <w:numId w:val="89"/>
        </w:numPr>
        <w:ind w:firstLine="0"/>
        <w:jc w:val="both"/>
        <w:rPr>
          <w:rFonts w:ascii="Georgia" w:hAnsi="Georgia"/>
          <w:sz w:val="20"/>
          <w:szCs w:val="20"/>
          <w:lang w:val="lt-LT"/>
        </w:rPr>
      </w:pPr>
      <w:r>
        <w:rPr>
          <w:rFonts w:ascii="Georgia" w:hAnsi="Georgia"/>
          <w:sz w:val="20"/>
          <w:szCs w:val="20"/>
          <w:lang w:val="lt-LT"/>
        </w:rPr>
        <w:t>pasirinktos centrinės valdžios pastatų finansinės priemonės bei jos įgyvendinimo struktūros įvertinimas valstybės pagalbos taisyklių kontekste (ex-ante  analizės 4.4.3. bei 7.2.4.4. skyriai):</w:t>
      </w:r>
    </w:p>
    <w:p w14:paraId="45C65564" w14:textId="77777777" w:rsidR="00EF6FC0" w:rsidRDefault="00EF6FC0" w:rsidP="002A576D">
      <w:pPr>
        <w:pStyle w:val="Sraopastraipa"/>
        <w:numPr>
          <w:ilvl w:val="2"/>
          <w:numId w:val="89"/>
        </w:numPr>
        <w:ind w:firstLine="0"/>
        <w:jc w:val="both"/>
        <w:rPr>
          <w:rFonts w:ascii="Georgia" w:hAnsi="Georgia"/>
          <w:sz w:val="20"/>
          <w:szCs w:val="20"/>
          <w:lang w:val="lt-LT"/>
        </w:rPr>
      </w:pPr>
      <w:r>
        <w:rPr>
          <w:rFonts w:ascii="Georgia" w:hAnsi="Georgia"/>
          <w:sz w:val="20"/>
          <w:szCs w:val="20"/>
          <w:lang w:val="lt-LT"/>
        </w:rPr>
        <w:t>įgyvendinimo struktūra - fondų fondo (sąskaitų rinkinio finansų įstaigoje) steigimas (viešosios infrastruktūros fondo steigimas), investicijų fondo steigimas;</w:t>
      </w:r>
    </w:p>
    <w:p w14:paraId="64C6A987" w14:textId="77777777" w:rsidR="00EF6FC0" w:rsidRDefault="00EF6FC0" w:rsidP="002A576D">
      <w:pPr>
        <w:pStyle w:val="Sraopastraipa"/>
        <w:numPr>
          <w:ilvl w:val="2"/>
          <w:numId w:val="89"/>
        </w:numPr>
        <w:ind w:firstLine="0"/>
        <w:jc w:val="both"/>
        <w:rPr>
          <w:rFonts w:ascii="Georgia" w:hAnsi="Georgia"/>
          <w:sz w:val="20"/>
          <w:szCs w:val="20"/>
          <w:lang w:val="lt-LT"/>
        </w:rPr>
      </w:pPr>
      <w:r>
        <w:rPr>
          <w:rFonts w:ascii="Georgia" w:hAnsi="Georgia"/>
          <w:sz w:val="20"/>
          <w:szCs w:val="20"/>
          <w:lang w:val="lt-LT"/>
        </w:rPr>
        <w:t xml:space="preserve"> finansinės priemonės - lengvatinės paskolos finansinė priemonė;</w:t>
      </w:r>
    </w:p>
    <w:p w14:paraId="346295D5" w14:textId="77777777" w:rsidR="00EF6FC0" w:rsidRDefault="00EF6FC0" w:rsidP="002A576D">
      <w:pPr>
        <w:pStyle w:val="Sraopastraipa"/>
        <w:numPr>
          <w:ilvl w:val="2"/>
          <w:numId w:val="89"/>
        </w:numPr>
        <w:ind w:firstLine="0"/>
        <w:jc w:val="both"/>
        <w:rPr>
          <w:rFonts w:ascii="Georgia" w:hAnsi="Georgia"/>
          <w:sz w:val="20"/>
          <w:szCs w:val="20"/>
          <w:lang w:val="lt-LT"/>
        </w:rPr>
      </w:pPr>
      <w:r>
        <w:rPr>
          <w:rFonts w:ascii="Georgia" w:hAnsi="Georgia"/>
          <w:sz w:val="20"/>
          <w:szCs w:val="20"/>
          <w:lang w:val="lt-LT"/>
        </w:rPr>
        <w:t>subsidijos.</w:t>
      </w:r>
    </w:p>
    <w:p w14:paraId="451AD489" w14:textId="77777777" w:rsidR="00EF6FC0" w:rsidRDefault="00EF6FC0" w:rsidP="002A576D">
      <w:pPr>
        <w:pStyle w:val="Sraopastraipa"/>
        <w:numPr>
          <w:ilvl w:val="1"/>
          <w:numId w:val="89"/>
        </w:numPr>
        <w:ind w:firstLine="0"/>
        <w:jc w:val="both"/>
        <w:rPr>
          <w:rFonts w:ascii="Georgia" w:hAnsi="Georgia"/>
          <w:sz w:val="20"/>
          <w:szCs w:val="20"/>
          <w:lang w:val="lt-LT"/>
        </w:rPr>
      </w:pPr>
      <w:r>
        <w:rPr>
          <w:rFonts w:ascii="Georgia" w:hAnsi="Georgia"/>
          <w:sz w:val="20"/>
          <w:szCs w:val="20"/>
          <w:lang w:val="lt-LT"/>
        </w:rPr>
        <w:t>pasirinktos gatvių apšvietimo finansinės priemonės bei jos įgyvendinimo struktūros įvertinimas valstybės pagalbos taisyklių kontekste (ex-ante  analizės 4.4.2. bei 7.2.4.4. skyriai):</w:t>
      </w:r>
    </w:p>
    <w:p w14:paraId="3158628A" w14:textId="77777777" w:rsidR="00EF6FC0" w:rsidRDefault="00EF6FC0" w:rsidP="002A576D">
      <w:pPr>
        <w:pStyle w:val="Sraopastraipa"/>
        <w:numPr>
          <w:ilvl w:val="2"/>
          <w:numId w:val="89"/>
        </w:numPr>
        <w:ind w:firstLine="0"/>
        <w:jc w:val="both"/>
        <w:rPr>
          <w:rFonts w:ascii="Georgia" w:hAnsi="Georgia"/>
          <w:sz w:val="20"/>
          <w:szCs w:val="20"/>
          <w:lang w:val="lt-LT"/>
        </w:rPr>
      </w:pPr>
      <w:r>
        <w:rPr>
          <w:rFonts w:ascii="Georgia" w:hAnsi="Georgia"/>
          <w:sz w:val="20"/>
          <w:szCs w:val="20"/>
          <w:lang w:val="lt-LT"/>
        </w:rPr>
        <w:t>įgyvendinimo struktūra - fondų fondo (sąskaitų rinkinio finansų įstaigoje) steigimas (viešosios infrastruktūros fondo steigimas), investicijų fondo steigimas;</w:t>
      </w:r>
    </w:p>
    <w:p w14:paraId="26C908A6" w14:textId="77777777" w:rsidR="00EF6FC0" w:rsidRDefault="00EF6FC0" w:rsidP="002A576D">
      <w:pPr>
        <w:pStyle w:val="Sraopastraipa"/>
        <w:numPr>
          <w:ilvl w:val="2"/>
          <w:numId w:val="89"/>
        </w:numPr>
        <w:ind w:firstLine="0"/>
        <w:jc w:val="both"/>
        <w:rPr>
          <w:rFonts w:ascii="Georgia" w:hAnsi="Georgia"/>
          <w:sz w:val="20"/>
          <w:szCs w:val="20"/>
          <w:lang w:val="lt-LT"/>
        </w:rPr>
      </w:pPr>
      <w:r>
        <w:rPr>
          <w:rFonts w:ascii="Georgia" w:hAnsi="Georgia"/>
          <w:sz w:val="20"/>
          <w:szCs w:val="20"/>
          <w:lang w:val="lt-LT"/>
        </w:rPr>
        <w:t>finansinės priemonės - garantijų finansinė priemonė.</w:t>
      </w:r>
    </w:p>
    <w:p w14:paraId="095D8AD8" w14:textId="77777777" w:rsidR="00EF6FC0" w:rsidRDefault="00EF6FC0" w:rsidP="002A576D">
      <w:pPr>
        <w:pStyle w:val="Sraopastraipa"/>
        <w:numPr>
          <w:ilvl w:val="0"/>
          <w:numId w:val="89"/>
        </w:numPr>
        <w:ind w:firstLine="0"/>
        <w:jc w:val="both"/>
        <w:rPr>
          <w:rFonts w:ascii="Georgia" w:hAnsi="Georgia"/>
          <w:sz w:val="20"/>
          <w:szCs w:val="20"/>
          <w:lang w:val="lt-LT"/>
        </w:rPr>
      </w:pPr>
      <w:r>
        <w:rPr>
          <w:rFonts w:ascii="Georgia" w:hAnsi="Georgia"/>
          <w:sz w:val="20"/>
          <w:szCs w:val="20"/>
          <w:lang w:val="lt-LT"/>
        </w:rPr>
        <w:lastRenderedPageBreak/>
        <w:t>apibendrinamos ir nurodomos pagrindinės sąlygos ir apribojimai, kuriems esant numatytos įgyvendinti priemonės gali būti įgyvendinamos, nepažeidžiant valstybės pagalbos teikimo taisyklių reikalavimus.</w:t>
      </w:r>
    </w:p>
    <w:p w14:paraId="64A43F55" w14:textId="77777777" w:rsidR="00EF6FC0" w:rsidRDefault="00EF6FC0" w:rsidP="0062724A">
      <w:pPr>
        <w:jc w:val="both"/>
        <w:rPr>
          <w:rFonts w:ascii="Georgia" w:hAnsi="Georgia"/>
          <w:sz w:val="20"/>
          <w:szCs w:val="20"/>
          <w:lang w:val="lt-LT"/>
        </w:rPr>
      </w:pPr>
      <w:r>
        <w:rPr>
          <w:rFonts w:ascii="Georgia" w:hAnsi="Georgia"/>
          <w:sz w:val="20"/>
          <w:szCs w:val="20"/>
          <w:lang w:val="lt-LT"/>
        </w:rPr>
        <w:t>Pabrėžtina, kad valstybės pagalbos teikimo taisyklių įtaka turi būti vertinama kiekvieno finansinės priemonės įgyvendinime dalyvaujančio ūkio subjektų tipo atžvilgiu atskirai, tai yra priklausomai nuo šio tipo (investuotojas, valdytojas, naudos gavėjas, kt.) bei dalyvavimo priemonėje masto turėtų būti apibūdinamos priemonės įgyvendinimo sąlygos, siekiant jų atitikties valstybės pagalbos taisyklių reikalavimams.</w:t>
      </w:r>
    </w:p>
    <w:p w14:paraId="0C1E88EF" w14:textId="77777777" w:rsidR="008D5EBC" w:rsidRPr="00EE4BBA" w:rsidRDefault="008D5EBC" w:rsidP="0062724A">
      <w:pPr>
        <w:jc w:val="both"/>
        <w:rPr>
          <w:rFonts w:ascii="Georgia" w:hAnsi="Georgia"/>
          <w:sz w:val="20"/>
          <w:szCs w:val="20"/>
          <w:lang w:val="lt-LT"/>
        </w:rPr>
      </w:pPr>
    </w:p>
    <w:p w14:paraId="0A77DF44" w14:textId="77777777" w:rsidR="00EF6FC0" w:rsidRPr="003B164C" w:rsidRDefault="00EF6FC0" w:rsidP="00EA16CD">
      <w:pPr>
        <w:pStyle w:val="Antrat2"/>
        <w:numPr>
          <w:ilvl w:val="1"/>
          <w:numId w:val="2"/>
        </w:numPr>
        <w:spacing w:after="240"/>
        <w:rPr>
          <w:lang w:val="lt-LT"/>
        </w:rPr>
      </w:pPr>
      <w:bookmarkStart w:id="298" w:name="_Toc417378406"/>
      <w:r>
        <w:rPr>
          <w:lang w:val="lt-LT"/>
        </w:rPr>
        <w:t>Valstybės pagalbos teikimo požymių apibūdinimas</w:t>
      </w:r>
      <w:bookmarkEnd w:id="298"/>
    </w:p>
    <w:p w14:paraId="33BCEE26" w14:textId="77777777" w:rsidR="00EF6FC0" w:rsidRDefault="00EF6FC0" w:rsidP="0062724A">
      <w:pPr>
        <w:keepNext/>
        <w:jc w:val="both"/>
        <w:rPr>
          <w:rFonts w:ascii="Georgia" w:hAnsi="Georgia"/>
          <w:sz w:val="20"/>
          <w:szCs w:val="20"/>
          <w:lang w:val="lt-LT"/>
        </w:rPr>
      </w:pPr>
      <w:r>
        <w:rPr>
          <w:rFonts w:ascii="Georgia" w:hAnsi="Georgia"/>
          <w:sz w:val="20"/>
          <w:szCs w:val="20"/>
          <w:lang w:val="lt-LT"/>
        </w:rPr>
        <w:t>Bendruoju atveju, valstybės pagalba yra pripažįstama, kai yra tenkinamos keturios pagrindinės sąlygos</w:t>
      </w:r>
      <w:r>
        <w:rPr>
          <w:rStyle w:val="Puslapioinaosnuoroda"/>
          <w:rFonts w:ascii="Georgia" w:hAnsi="Georgia"/>
          <w:sz w:val="20"/>
          <w:szCs w:val="20"/>
          <w:lang w:val="lt-LT"/>
        </w:rPr>
        <w:footnoteReference w:id="126"/>
      </w:r>
      <w:r>
        <w:rPr>
          <w:rFonts w:ascii="Georgia" w:hAnsi="Georgia"/>
          <w:sz w:val="20"/>
          <w:szCs w:val="20"/>
          <w:lang w:val="lt-LT"/>
        </w:rPr>
        <w:t>:</w:t>
      </w:r>
    </w:p>
    <w:p w14:paraId="7208F55A" w14:textId="77777777" w:rsidR="00EF6FC0" w:rsidRDefault="00EF6FC0" w:rsidP="002A576D">
      <w:pPr>
        <w:pStyle w:val="Sraopastraipa"/>
        <w:numPr>
          <w:ilvl w:val="0"/>
          <w:numId w:val="112"/>
        </w:numPr>
        <w:ind w:left="709"/>
        <w:jc w:val="both"/>
        <w:rPr>
          <w:rFonts w:ascii="Georgia" w:hAnsi="Georgia"/>
          <w:sz w:val="20"/>
          <w:szCs w:val="20"/>
          <w:lang w:val="lt-LT"/>
        </w:rPr>
      </w:pPr>
      <w:r w:rsidRPr="00B94678">
        <w:rPr>
          <w:rFonts w:ascii="Georgia" w:hAnsi="Georgia"/>
          <w:sz w:val="20"/>
          <w:szCs w:val="20"/>
          <w:lang w:val="lt-LT"/>
        </w:rPr>
        <w:t xml:space="preserve">numatoma įgyvendinti priemonė yra priskirtina (angl. </w:t>
      </w:r>
      <w:r w:rsidRPr="00446A6A">
        <w:rPr>
          <w:rFonts w:ascii="Georgia" w:hAnsi="Georgia"/>
          <w:sz w:val="20"/>
          <w:szCs w:val="20"/>
          <w:lang w:val="lt-LT"/>
        </w:rPr>
        <w:t>imputable</w:t>
      </w:r>
      <w:r w:rsidRPr="00B94678">
        <w:rPr>
          <w:rFonts w:ascii="Georgia" w:hAnsi="Georgia"/>
          <w:sz w:val="20"/>
          <w:szCs w:val="20"/>
          <w:lang w:val="lt-LT"/>
        </w:rPr>
        <w:t>) viešajam sektoriui (tai yra panaudojami nacionalinio biudžeto ar kiti viešieji ištekliai)</w:t>
      </w:r>
      <w:r>
        <w:rPr>
          <w:rFonts w:ascii="Georgia" w:hAnsi="Georgia"/>
          <w:sz w:val="20"/>
          <w:szCs w:val="20"/>
          <w:lang w:val="lt-LT"/>
        </w:rPr>
        <w:t>,</w:t>
      </w:r>
    </w:p>
    <w:p w14:paraId="5CB97DD2" w14:textId="77777777" w:rsidR="00EF6FC0" w:rsidRDefault="00EF6FC0" w:rsidP="002A576D">
      <w:pPr>
        <w:pStyle w:val="Sraopastraipa"/>
        <w:numPr>
          <w:ilvl w:val="0"/>
          <w:numId w:val="112"/>
        </w:numPr>
        <w:ind w:left="709"/>
        <w:jc w:val="both"/>
        <w:rPr>
          <w:rFonts w:ascii="Georgia" w:hAnsi="Georgia"/>
          <w:sz w:val="20"/>
          <w:szCs w:val="20"/>
          <w:lang w:val="lt-LT"/>
        </w:rPr>
      </w:pPr>
      <w:r>
        <w:rPr>
          <w:rFonts w:ascii="Georgia" w:hAnsi="Georgia"/>
          <w:sz w:val="20"/>
          <w:szCs w:val="20"/>
          <w:lang w:val="lt-LT"/>
        </w:rPr>
        <w:t>rinkoje veikiantiems ūkio subjektams teikiama ekonominė nauda (suteikiamas ekonominis pranašumas), kuri nėra prieinama įprastomis rinkos sąlygomis,</w:t>
      </w:r>
    </w:p>
    <w:p w14:paraId="531CD281" w14:textId="77777777" w:rsidR="00EF6FC0" w:rsidRDefault="00EF6FC0" w:rsidP="002A576D">
      <w:pPr>
        <w:pStyle w:val="Sraopastraipa"/>
        <w:numPr>
          <w:ilvl w:val="0"/>
          <w:numId w:val="112"/>
        </w:numPr>
        <w:ind w:left="709"/>
        <w:jc w:val="both"/>
        <w:rPr>
          <w:rFonts w:ascii="Georgia" w:hAnsi="Georgia"/>
          <w:sz w:val="20"/>
          <w:szCs w:val="20"/>
          <w:lang w:val="lt-LT"/>
        </w:rPr>
      </w:pPr>
      <w:r>
        <w:rPr>
          <w:rFonts w:ascii="Georgia" w:hAnsi="Georgia"/>
          <w:sz w:val="20"/>
          <w:szCs w:val="20"/>
          <w:lang w:val="lt-LT"/>
        </w:rPr>
        <w:t>priemone yra (bus) teikiama ekonominė nauda tik kai kuriems rinkos subjektams (priemonės selektyvumo kriterijus),</w:t>
      </w:r>
    </w:p>
    <w:p w14:paraId="13C48A50" w14:textId="77777777" w:rsidR="00EF6FC0" w:rsidRDefault="00EF6FC0" w:rsidP="002A576D">
      <w:pPr>
        <w:pStyle w:val="Sraopastraipa"/>
        <w:numPr>
          <w:ilvl w:val="0"/>
          <w:numId w:val="112"/>
        </w:numPr>
        <w:ind w:left="709"/>
        <w:jc w:val="both"/>
        <w:rPr>
          <w:rFonts w:ascii="Georgia" w:hAnsi="Georgia"/>
          <w:sz w:val="20"/>
          <w:szCs w:val="20"/>
          <w:lang w:val="lt-LT"/>
        </w:rPr>
      </w:pPr>
      <w:r>
        <w:rPr>
          <w:rFonts w:ascii="Georgia" w:hAnsi="Georgia"/>
          <w:sz w:val="20"/>
          <w:szCs w:val="20"/>
          <w:lang w:val="lt-LT"/>
        </w:rPr>
        <w:t>priemone yra iškraipoma arba gali būti iškraipoma konkurencija ir (arba) paveikiama prekyba tarp ES valstybių-narių.</w:t>
      </w:r>
    </w:p>
    <w:p w14:paraId="75FAE4AB" w14:textId="77777777" w:rsidR="00EF6FC0" w:rsidRDefault="00EF6FC0" w:rsidP="00EF6FC0">
      <w:pPr>
        <w:jc w:val="both"/>
        <w:rPr>
          <w:rFonts w:ascii="Georgia" w:hAnsi="Georgia"/>
          <w:sz w:val="20"/>
          <w:szCs w:val="20"/>
          <w:lang w:val="lt-LT"/>
        </w:rPr>
      </w:pPr>
      <w:r>
        <w:rPr>
          <w:rFonts w:ascii="Georgia" w:hAnsi="Georgia"/>
          <w:sz w:val="20"/>
          <w:szCs w:val="20"/>
          <w:lang w:val="lt-LT"/>
        </w:rPr>
        <w:t>Pagal šiuos kriterijus, valstybės pagalba gali būti pripažįstama tik tuo atveju, kai yra visų kriterijų visuma, tai yra numatoma įgyvendinti priemonė atitinka kiekvieną kriterijų. Tiek Europos Komisijos, tiek Europos Sąjungos Teisingumo Teismo praktikoje valstybės pagalbos samprata yra laikoma objektyviu, pirminės teisės nuostatomis apibrėžtu institutu, kurio nuostatų taikymas negali būti skirtingas kiekvienu konkrečiu atveju, išskyrus sudėtingo ekonominio vertinimo reikalaujančias specifines situacijas</w:t>
      </w:r>
      <w:r>
        <w:rPr>
          <w:rStyle w:val="Puslapioinaosnuoroda"/>
          <w:rFonts w:ascii="Georgia" w:hAnsi="Georgia"/>
          <w:sz w:val="20"/>
          <w:szCs w:val="20"/>
          <w:lang w:val="lt-LT"/>
        </w:rPr>
        <w:footnoteReference w:id="127"/>
      </w:r>
      <w:r>
        <w:rPr>
          <w:rFonts w:ascii="Georgia" w:hAnsi="Georgia"/>
          <w:sz w:val="20"/>
          <w:szCs w:val="20"/>
          <w:lang w:val="lt-LT"/>
        </w:rPr>
        <w:t>.</w:t>
      </w:r>
    </w:p>
    <w:p w14:paraId="35236A82" w14:textId="77777777" w:rsidR="008D5EBC" w:rsidRDefault="008D5EBC" w:rsidP="00EF6FC0">
      <w:pPr>
        <w:jc w:val="both"/>
        <w:rPr>
          <w:rFonts w:ascii="Georgia" w:hAnsi="Georgia"/>
          <w:sz w:val="20"/>
          <w:szCs w:val="20"/>
          <w:lang w:val="lt-LT"/>
        </w:rPr>
      </w:pPr>
    </w:p>
    <w:p w14:paraId="2AB9D6C4" w14:textId="77777777" w:rsidR="00EF6FC0" w:rsidRPr="003B164C" w:rsidRDefault="00EF6FC0" w:rsidP="00EA16CD">
      <w:pPr>
        <w:pStyle w:val="Antrat2"/>
        <w:numPr>
          <w:ilvl w:val="2"/>
          <w:numId w:val="2"/>
        </w:numPr>
        <w:spacing w:after="240"/>
        <w:rPr>
          <w:lang w:val="lt-LT"/>
        </w:rPr>
      </w:pPr>
      <w:bookmarkStart w:id="299" w:name="_Toc417378407"/>
      <w:r>
        <w:rPr>
          <w:lang w:val="lt-LT"/>
        </w:rPr>
        <w:t>Priemonės priskyrimas viešajam sektoriui</w:t>
      </w:r>
      <w:bookmarkEnd w:id="299"/>
    </w:p>
    <w:p w14:paraId="3670F95E" w14:textId="77777777" w:rsidR="00EF6FC0" w:rsidRDefault="00EF6FC0" w:rsidP="0062724A">
      <w:pPr>
        <w:keepNext/>
        <w:jc w:val="both"/>
        <w:rPr>
          <w:rFonts w:ascii="Georgia" w:hAnsi="Georgia"/>
          <w:sz w:val="20"/>
          <w:szCs w:val="20"/>
          <w:lang w:val="lt-LT"/>
        </w:rPr>
      </w:pPr>
      <w:r>
        <w:rPr>
          <w:rFonts w:ascii="Georgia" w:hAnsi="Georgia"/>
          <w:sz w:val="20"/>
          <w:szCs w:val="20"/>
          <w:lang w:val="lt-LT"/>
        </w:rPr>
        <w:t>Numatomos įgyvendinti priemonės priskyrimas viešajam sektoriui reiškia, kad priemonės įgyvendinimą kontroliuoja valstybės/savivaldybės institucija. Pabrėžtina, kad privataus juridinio asmens, kurį įsteigė valstybės ar ją atstovaujantys subjektai, teikiamas finansavimas taip pat yra priskirtinas viešajam sektoriui, jeigu tokį šio juridinio asmens elgesį valstybė kontroliuoja/nulemia. Pavyzdiniai požymiai, kuriais remiantis gali būti nustatyta, kad teikiamą finansavimą kontroliuoja viešasis sektorius yra:</w:t>
      </w:r>
    </w:p>
    <w:p w14:paraId="271B4EA9" w14:textId="77777777" w:rsidR="00EF6FC0" w:rsidRPr="00AE7137" w:rsidRDefault="00EF6FC0" w:rsidP="002A576D">
      <w:pPr>
        <w:pStyle w:val="Sraopastraipa"/>
        <w:numPr>
          <w:ilvl w:val="0"/>
          <w:numId w:val="90"/>
        </w:numPr>
        <w:ind w:firstLine="0"/>
        <w:jc w:val="both"/>
        <w:rPr>
          <w:rFonts w:ascii="Georgia" w:hAnsi="Georgia"/>
          <w:sz w:val="28"/>
          <w:szCs w:val="28"/>
          <w:lang w:val="lt-LT"/>
        </w:rPr>
      </w:pPr>
      <w:r w:rsidRPr="00127AA5">
        <w:rPr>
          <w:rFonts w:ascii="Georgia" w:hAnsi="Georgia"/>
          <w:sz w:val="20"/>
          <w:szCs w:val="20"/>
          <w:lang w:val="lt-LT"/>
        </w:rPr>
        <w:t>ūkio subjekto vykdoma veikla/teikiamos paslaugos yra analogiškos rinkoje teikiamoms paslaugoms, kai priemonę</w:t>
      </w:r>
      <w:r>
        <w:rPr>
          <w:rFonts w:ascii="Georgia" w:hAnsi="Georgia"/>
          <w:sz w:val="20"/>
          <w:szCs w:val="20"/>
          <w:lang w:val="lt-LT"/>
        </w:rPr>
        <w:t xml:space="preserve"> įgyvendina/finansavimą teikia viešasis plėtros bankas</w:t>
      </w:r>
      <w:r>
        <w:rPr>
          <w:rStyle w:val="Puslapioinaosnuoroda"/>
          <w:rFonts w:ascii="Georgia" w:hAnsi="Georgia"/>
          <w:sz w:val="20"/>
          <w:szCs w:val="20"/>
          <w:lang w:val="lt-LT"/>
        </w:rPr>
        <w:footnoteReference w:id="128"/>
      </w:r>
      <w:r>
        <w:rPr>
          <w:rFonts w:ascii="Georgia" w:hAnsi="Georgia"/>
          <w:sz w:val="20"/>
          <w:szCs w:val="20"/>
          <w:lang w:val="lt-LT"/>
        </w:rPr>
        <w:t>;</w:t>
      </w:r>
    </w:p>
    <w:p w14:paraId="5DA5761F" w14:textId="77777777" w:rsidR="00EF6FC0" w:rsidRPr="00B0466D" w:rsidRDefault="00EF6FC0" w:rsidP="002A576D">
      <w:pPr>
        <w:pStyle w:val="Sraopastraipa"/>
        <w:numPr>
          <w:ilvl w:val="0"/>
          <w:numId w:val="90"/>
        </w:numPr>
        <w:ind w:firstLine="0"/>
        <w:jc w:val="both"/>
        <w:rPr>
          <w:rFonts w:ascii="Georgia" w:hAnsi="Georgia"/>
          <w:sz w:val="28"/>
          <w:szCs w:val="28"/>
          <w:lang w:val="lt-LT"/>
        </w:rPr>
      </w:pPr>
      <w:r>
        <w:rPr>
          <w:rFonts w:ascii="Georgia" w:hAnsi="Georgia"/>
          <w:sz w:val="20"/>
          <w:szCs w:val="20"/>
          <w:lang w:val="lt-LT"/>
        </w:rPr>
        <w:t>viešojo sektoriaus vykdomos jos įsteigtos įmonės valdymo priežiūros apimtis ar kiti požymiai, apibūdinantys viešojo sektoriaus dalyvavimą, plėtojant priemonę.</w:t>
      </w:r>
    </w:p>
    <w:p w14:paraId="2FB15D1A" w14:textId="77777777" w:rsidR="00EF6FC0" w:rsidRDefault="00EF6FC0" w:rsidP="00EF6FC0">
      <w:pPr>
        <w:jc w:val="both"/>
        <w:rPr>
          <w:rFonts w:ascii="Georgia" w:hAnsi="Georgia"/>
          <w:sz w:val="20"/>
          <w:szCs w:val="20"/>
          <w:lang w:val="lt-LT"/>
        </w:rPr>
      </w:pPr>
      <w:r w:rsidRPr="00B0466D">
        <w:rPr>
          <w:rFonts w:ascii="Georgia" w:hAnsi="Georgia"/>
          <w:sz w:val="20"/>
          <w:szCs w:val="20"/>
          <w:lang w:val="lt-LT"/>
        </w:rPr>
        <w:lastRenderedPageBreak/>
        <w:t xml:space="preserve">Būtina pažymėti, kad priemonė nėra priskirtina valstybei, jeigu ji yra įgyvendinama dėl ES </w:t>
      </w:r>
      <w:r w:rsidRPr="00B0466D">
        <w:rPr>
          <w:rFonts w:ascii="Georgia" w:hAnsi="Georgia"/>
          <w:i/>
          <w:sz w:val="20"/>
          <w:szCs w:val="20"/>
          <w:lang w:val="lt-LT"/>
        </w:rPr>
        <w:t>acquis communautaire</w:t>
      </w:r>
      <w:r w:rsidRPr="00B0466D">
        <w:rPr>
          <w:rFonts w:ascii="Georgia" w:hAnsi="Georgia"/>
          <w:sz w:val="20"/>
          <w:szCs w:val="20"/>
          <w:lang w:val="lt-LT"/>
        </w:rPr>
        <w:t xml:space="preserve"> įsakmių reikalavimų</w:t>
      </w:r>
      <w:r>
        <w:rPr>
          <w:rFonts w:ascii="Georgia" w:hAnsi="Georgia"/>
          <w:sz w:val="20"/>
          <w:szCs w:val="20"/>
          <w:lang w:val="lt-LT"/>
        </w:rPr>
        <w:t>, tai yra tokiu atveju priemonė yra priskirtina ES teisės aktų leidžiamajai valdžiai, o ne atskirai ES valstybei-narei</w:t>
      </w:r>
      <w:r>
        <w:rPr>
          <w:rStyle w:val="Puslapioinaosnuoroda"/>
          <w:rFonts w:ascii="Georgia" w:hAnsi="Georgia"/>
          <w:sz w:val="20"/>
          <w:szCs w:val="20"/>
          <w:lang w:val="lt-LT"/>
        </w:rPr>
        <w:footnoteReference w:id="129"/>
      </w:r>
      <w:r>
        <w:rPr>
          <w:rFonts w:ascii="Georgia" w:hAnsi="Georgia"/>
          <w:sz w:val="20"/>
          <w:szCs w:val="20"/>
          <w:lang w:val="lt-LT"/>
        </w:rPr>
        <w:t>.</w:t>
      </w:r>
      <w:r w:rsidRPr="00B0466D">
        <w:rPr>
          <w:rFonts w:ascii="Georgia" w:hAnsi="Georgia"/>
          <w:sz w:val="20"/>
          <w:szCs w:val="20"/>
          <w:lang w:val="lt-LT"/>
        </w:rPr>
        <w:t xml:space="preserve"> </w:t>
      </w:r>
      <w:r>
        <w:rPr>
          <w:rFonts w:ascii="Georgia" w:hAnsi="Georgia"/>
          <w:sz w:val="20"/>
          <w:szCs w:val="20"/>
          <w:lang w:val="lt-LT"/>
        </w:rPr>
        <w:t>Ši taisyklė negali būti taikoma, kai ES teisė tik suteikia galimybę įgyvendinti tam tikras priemones, kurios gali būti laikomos valstybės pagalbos teisinio reglamentavimo objektu, tai yra tokiu atveju ES valstybė-narė turi galimybę pasirinkti elgesio modelį bei prisiimti atsakomybę dėl atliekamos intervencijos poveikio rinkai, arba kitaip tariant, dėl galimos valstybės pagalbos atsiradimo.</w:t>
      </w:r>
    </w:p>
    <w:p w14:paraId="424D801E" w14:textId="77777777" w:rsidR="008D5EBC" w:rsidRDefault="008D5EBC" w:rsidP="00EF6FC0">
      <w:pPr>
        <w:jc w:val="both"/>
        <w:rPr>
          <w:rFonts w:ascii="Georgia" w:hAnsi="Georgia"/>
          <w:sz w:val="20"/>
          <w:szCs w:val="20"/>
          <w:lang w:val="lt-LT"/>
        </w:rPr>
      </w:pPr>
    </w:p>
    <w:p w14:paraId="3238D84A" w14:textId="77777777" w:rsidR="00EF6FC0" w:rsidRPr="003B164C" w:rsidRDefault="00EF6FC0" w:rsidP="00EA16CD">
      <w:pPr>
        <w:pStyle w:val="Antrat2"/>
        <w:numPr>
          <w:ilvl w:val="2"/>
          <w:numId w:val="2"/>
        </w:numPr>
        <w:spacing w:after="240"/>
        <w:rPr>
          <w:lang w:val="lt-LT"/>
        </w:rPr>
      </w:pPr>
      <w:bookmarkStart w:id="300" w:name="_Toc417378408"/>
      <w:r>
        <w:rPr>
          <w:lang w:val="lt-LT"/>
        </w:rPr>
        <w:t>Ekonominio pranašumo suteikimas</w:t>
      </w:r>
      <w:bookmarkEnd w:id="300"/>
    </w:p>
    <w:p w14:paraId="49CE5D1C" w14:textId="77777777" w:rsidR="00EF6FC0" w:rsidRDefault="00EF6FC0" w:rsidP="00EF6FC0">
      <w:pPr>
        <w:jc w:val="both"/>
        <w:rPr>
          <w:rFonts w:ascii="Georgia" w:hAnsi="Georgia"/>
          <w:sz w:val="20"/>
          <w:szCs w:val="20"/>
          <w:lang w:val="lt-LT"/>
        </w:rPr>
      </w:pPr>
      <w:r>
        <w:rPr>
          <w:rFonts w:ascii="Georgia" w:hAnsi="Georgia"/>
          <w:sz w:val="20"/>
          <w:szCs w:val="20"/>
          <w:lang w:val="lt-LT"/>
        </w:rPr>
        <w:t>Rinkoje veikiantis ūkio subjektas yra suprantamas kaip ekonominę veiklą vykdantis vienetas, nepriklausomai nuo jo įsisteigimo teisinės formos bei nepriklausomai nuo šio vieneto finansavimo būdo</w:t>
      </w:r>
      <w:r>
        <w:rPr>
          <w:rStyle w:val="Puslapioinaosnuoroda"/>
          <w:rFonts w:ascii="Georgia" w:hAnsi="Georgia"/>
          <w:sz w:val="20"/>
          <w:szCs w:val="20"/>
          <w:lang w:val="lt-LT"/>
        </w:rPr>
        <w:footnoteReference w:id="130"/>
      </w:r>
      <w:r>
        <w:rPr>
          <w:rFonts w:ascii="Georgia" w:hAnsi="Georgia"/>
          <w:sz w:val="20"/>
          <w:szCs w:val="20"/>
          <w:lang w:val="lt-LT"/>
        </w:rPr>
        <w:t>. Kitaip tariant, valstybės pagalbos taisyklių taikymo požiūriu nėra svarbu, ar juridinis vienetas yra įsteigtas kaip pelno nesiekiantis juridinis asmuo, ar kaip bet kurios formos viešasis juridinis asmuo.</w:t>
      </w:r>
    </w:p>
    <w:p w14:paraId="0CD6C6EE" w14:textId="77777777" w:rsidR="00EF6FC0" w:rsidRDefault="00EF6FC0" w:rsidP="00EF6FC0">
      <w:pPr>
        <w:jc w:val="both"/>
        <w:rPr>
          <w:rFonts w:ascii="Georgia" w:hAnsi="Georgia"/>
          <w:sz w:val="20"/>
          <w:szCs w:val="20"/>
          <w:lang w:val="lt-LT"/>
        </w:rPr>
      </w:pPr>
      <w:r>
        <w:rPr>
          <w:rFonts w:ascii="Georgia" w:hAnsi="Georgia"/>
          <w:sz w:val="20"/>
          <w:szCs w:val="20"/>
          <w:lang w:val="lt-LT"/>
        </w:rPr>
        <w:t>Ypatingai aktualu, kad vienetai, vykdantys ir ekonominę veiklą, ir neekonominę veiklą (pvz., viešąjį administravimą) patenka į valstybės pagalbos taisyklių reguliavimo sritį tik ta apimtimi, kuri yra susijusi su ekonominės veiklos vykdymu. Pabrėžtina, kad viešosios infrastruktūros ar jos dalies panaudojimas komercinei veiklai taip pat yra laikytinas ekonomine veikla. Be to, du ar daugiau ūkio subjektų gali būti laikomi vienu vienetu pagal valstybės pagalbos taisykles, jeigu šie ūkio subjektai yra tarpusavyje susiję (vienas ūkio subjektas vykdo kontrolės, valdymo ar kitas funkcijas, susijusias su kitu subjektu)</w:t>
      </w:r>
      <w:r>
        <w:rPr>
          <w:rStyle w:val="Puslapioinaosnuoroda"/>
          <w:rFonts w:ascii="Georgia" w:hAnsi="Georgia"/>
          <w:sz w:val="20"/>
          <w:szCs w:val="20"/>
          <w:lang w:val="lt-LT"/>
        </w:rPr>
        <w:footnoteReference w:id="131"/>
      </w:r>
      <w:r>
        <w:rPr>
          <w:rFonts w:ascii="Georgia" w:hAnsi="Georgia"/>
          <w:sz w:val="20"/>
          <w:szCs w:val="20"/>
          <w:lang w:val="lt-LT"/>
        </w:rPr>
        <w:t xml:space="preserve">. Taip pat ekonomine veikla yra laikoma bet kokia veikla, tiekiant prekes ar teikiant paslaugas rinkoje. </w:t>
      </w:r>
    </w:p>
    <w:p w14:paraId="269A3E14" w14:textId="77777777" w:rsidR="00EF6FC0" w:rsidRDefault="00EF6FC0" w:rsidP="00EF6FC0">
      <w:pPr>
        <w:jc w:val="both"/>
        <w:rPr>
          <w:rFonts w:ascii="Georgia" w:hAnsi="Georgia"/>
          <w:sz w:val="20"/>
          <w:szCs w:val="20"/>
          <w:lang w:val="lt-LT"/>
        </w:rPr>
      </w:pPr>
      <w:r>
        <w:rPr>
          <w:rFonts w:ascii="Georgia" w:hAnsi="Georgia"/>
          <w:sz w:val="20"/>
          <w:szCs w:val="20"/>
          <w:lang w:val="lt-LT"/>
        </w:rPr>
        <w:t>Konkrečioje valstybėje-narėje taikomas ekonominės ir neekonominės veiklos (pvz., atskirų oro erdvės kontrolės viešųjų funkcijų vykdymas</w:t>
      </w:r>
      <w:r>
        <w:rPr>
          <w:rStyle w:val="Puslapioinaosnuoroda"/>
          <w:rFonts w:ascii="Georgia" w:hAnsi="Georgia"/>
          <w:sz w:val="20"/>
          <w:szCs w:val="20"/>
          <w:lang w:val="lt-LT"/>
        </w:rPr>
        <w:footnoteReference w:id="132"/>
      </w:r>
      <w:r>
        <w:rPr>
          <w:rFonts w:ascii="Georgia" w:hAnsi="Georgia"/>
          <w:sz w:val="20"/>
          <w:szCs w:val="20"/>
          <w:lang w:val="lt-LT"/>
        </w:rPr>
        <w:t>) atskyrimas gali priklausyti nuo ekonominio išsivystymo lygio ir politinių sprendimų dėl ekonomikos reguliavimo, todėl išsamus ir baigtinis ekonominės veiklos rūšių sąrašas negali būti sudarytas.</w:t>
      </w:r>
    </w:p>
    <w:p w14:paraId="064C3FCA" w14:textId="77777777" w:rsidR="00EF6FC0" w:rsidRPr="00B51CAE" w:rsidRDefault="00EF6FC0" w:rsidP="00EF6FC0">
      <w:pPr>
        <w:jc w:val="both"/>
        <w:rPr>
          <w:rFonts w:ascii="Georgia" w:hAnsi="Georgia"/>
          <w:sz w:val="20"/>
          <w:szCs w:val="20"/>
          <w:lang w:val="lt-LT"/>
        </w:rPr>
      </w:pPr>
      <w:r w:rsidRPr="00B51CAE">
        <w:rPr>
          <w:rFonts w:ascii="Georgia" w:hAnsi="Georgia"/>
          <w:sz w:val="20"/>
          <w:szCs w:val="20"/>
          <w:lang w:val="lt-LT"/>
        </w:rPr>
        <w:t>Finansinių priemonių įgyvendinimo kontekste pažymėtina, kad:</w:t>
      </w:r>
    </w:p>
    <w:p w14:paraId="3637D68A" w14:textId="77777777" w:rsidR="00EF6FC0" w:rsidRDefault="00EF6FC0" w:rsidP="002A576D">
      <w:pPr>
        <w:pStyle w:val="Sraopastraipa"/>
        <w:numPr>
          <w:ilvl w:val="0"/>
          <w:numId w:val="113"/>
        </w:numPr>
        <w:ind w:left="709"/>
        <w:jc w:val="both"/>
        <w:rPr>
          <w:rFonts w:ascii="Georgia" w:hAnsi="Georgia"/>
          <w:sz w:val="20"/>
          <w:szCs w:val="20"/>
          <w:lang w:val="lt-LT"/>
        </w:rPr>
      </w:pPr>
      <w:r>
        <w:rPr>
          <w:rFonts w:ascii="Georgia" w:hAnsi="Georgia"/>
          <w:sz w:val="20"/>
          <w:szCs w:val="20"/>
          <w:lang w:val="lt-LT"/>
        </w:rPr>
        <w:t>fiziniai asmenys (gyventojai), kurie nevykdo jokios ekonominės veiklos, kaip ji yra suprantama ES Teisingumo Teismo praktikoje, tai yra gyventojai, kurie neteikia prekių ar paslaugų už atlygį, nėra laikomi ekonomine veikla vykdančiais ūkio subjektais, todėl jų atžvilgiu negali būti taikomi valstybės pagalbos taisyklių reikalavimai, kadangi nėra vieno iš valstybės pagalbos pripažinimui būtino elemento;</w:t>
      </w:r>
    </w:p>
    <w:p w14:paraId="172E41C7" w14:textId="77777777" w:rsidR="00EF6FC0" w:rsidRDefault="00EF6FC0" w:rsidP="002A576D">
      <w:pPr>
        <w:pStyle w:val="Sraopastraipa"/>
        <w:numPr>
          <w:ilvl w:val="0"/>
          <w:numId w:val="113"/>
        </w:numPr>
        <w:ind w:left="709"/>
        <w:jc w:val="both"/>
        <w:rPr>
          <w:rFonts w:ascii="Georgia" w:hAnsi="Georgia"/>
          <w:sz w:val="20"/>
          <w:szCs w:val="20"/>
          <w:lang w:val="lt-LT"/>
        </w:rPr>
      </w:pPr>
      <w:r>
        <w:rPr>
          <w:rFonts w:ascii="Georgia" w:hAnsi="Georgia"/>
          <w:sz w:val="20"/>
          <w:szCs w:val="20"/>
          <w:lang w:val="lt-LT"/>
        </w:rPr>
        <w:t>fizinių asmenų (gyventojų), kurie vykdo ekonominę veiklą, atžvilgiu turi būti taikomi valstybės pagalbos teikimo taisyklių reikalavimai, jeigu yra nustatyti visi kiti valstybės pagalbos požymiai;</w:t>
      </w:r>
    </w:p>
    <w:p w14:paraId="649E3A5F" w14:textId="77777777" w:rsidR="00EF6FC0" w:rsidRDefault="00EF6FC0" w:rsidP="002A576D">
      <w:pPr>
        <w:pStyle w:val="Sraopastraipa"/>
        <w:numPr>
          <w:ilvl w:val="0"/>
          <w:numId w:val="113"/>
        </w:numPr>
        <w:ind w:left="709"/>
        <w:jc w:val="both"/>
        <w:rPr>
          <w:rFonts w:ascii="Georgia" w:hAnsi="Georgia"/>
          <w:sz w:val="20"/>
          <w:szCs w:val="20"/>
          <w:lang w:val="lt-LT"/>
        </w:rPr>
      </w:pPr>
      <w:r>
        <w:rPr>
          <w:rFonts w:ascii="Georgia" w:hAnsi="Georgia"/>
          <w:sz w:val="20"/>
          <w:szCs w:val="20"/>
          <w:lang w:val="lt-LT"/>
        </w:rPr>
        <w:t>nustatant, ar juridiniai asmenys, dalyvaujantys finansinės priemonės struktūroje, nepriklausomai nuo to, koks yra jų vaidmuo (vykdytojas, valdytojas, naudos gavėjas, kt.), yra laikytini ekonominę veiklą vykdančiais ūkio subjektais, turi būti vertinamas tik jų vykdomos veiklos pobūdis (ar yra teikiamos prekės/paslaugos rinkoje už atlygį), tačiau neturi būti vertinamas juridinio asmens statusas ar teisinė forma;</w:t>
      </w:r>
    </w:p>
    <w:p w14:paraId="25322881" w14:textId="77777777" w:rsidR="00EF6FC0" w:rsidRDefault="00EF6FC0" w:rsidP="002A576D">
      <w:pPr>
        <w:pStyle w:val="Sraopastraipa"/>
        <w:numPr>
          <w:ilvl w:val="0"/>
          <w:numId w:val="113"/>
        </w:numPr>
        <w:ind w:left="709"/>
        <w:jc w:val="both"/>
        <w:rPr>
          <w:rFonts w:ascii="Georgia" w:hAnsi="Georgia"/>
          <w:sz w:val="20"/>
          <w:szCs w:val="20"/>
          <w:lang w:val="lt-LT"/>
        </w:rPr>
      </w:pPr>
      <w:r>
        <w:rPr>
          <w:rFonts w:ascii="Georgia" w:hAnsi="Georgia"/>
          <w:sz w:val="20"/>
          <w:szCs w:val="20"/>
          <w:lang w:val="lt-LT"/>
        </w:rPr>
        <w:lastRenderedPageBreak/>
        <w:t>finansinės priemonės teikiama nauda gali pasireikšti netiesiogiai, tai yra ne tiems subjektams, kuriems yra skiriami viešieji finansiniai ištekliai</w:t>
      </w:r>
      <w:r w:rsidRPr="00446A6A">
        <w:footnoteReference w:id="133"/>
      </w:r>
      <w:r>
        <w:rPr>
          <w:rFonts w:ascii="Georgia" w:hAnsi="Georgia"/>
          <w:sz w:val="20"/>
          <w:szCs w:val="20"/>
          <w:lang w:val="lt-LT"/>
        </w:rPr>
        <w:t>, o tiems kurie veikia kitame paslaugų teikimo lygmenyje. Tai ypač aktualu tais atvejais, kai numatomos įgyvendinti priemonės valdytojas yra tik tarpininkas, kuris perduoda finansinės priemonės sukuriamą naudą kitiems gavėjams, tačiau pats sau nepasilieka jokios finansinės priemonės teikiamos naudos.</w:t>
      </w:r>
    </w:p>
    <w:p w14:paraId="1048961D" w14:textId="77777777" w:rsidR="008D5EBC" w:rsidRPr="008D5EBC" w:rsidRDefault="008D5EBC" w:rsidP="008D5EBC">
      <w:pPr>
        <w:ind w:left="349"/>
        <w:jc w:val="both"/>
        <w:rPr>
          <w:rFonts w:ascii="Georgia" w:hAnsi="Georgia"/>
          <w:sz w:val="20"/>
          <w:szCs w:val="20"/>
          <w:lang w:val="lt-LT"/>
        </w:rPr>
      </w:pPr>
    </w:p>
    <w:p w14:paraId="4BB38152" w14:textId="77777777" w:rsidR="00EF6FC0" w:rsidRDefault="00EF6FC0" w:rsidP="00EA16CD">
      <w:pPr>
        <w:pStyle w:val="Antrat2"/>
        <w:numPr>
          <w:ilvl w:val="2"/>
          <w:numId w:val="2"/>
        </w:numPr>
        <w:spacing w:after="240"/>
        <w:rPr>
          <w:lang w:val="lt-LT"/>
        </w:rPr>
      </w:pPr>
      <w:bookmarkStart w:id="301" w:name="_Toc417378409"/>
      <w:r>
        <w:rPr>
          <w:lang w:val="lt-LT"/>
        </w:rPr>
        <w:t>Priemonės selektyvumas</w:t>
      </w:r>
      <w:bookmarkEnd w:id="301"/>
    </w:p>
    <w:p w14:paraId="4074F5C4" w14:textId="77777777" w:rsidR="00EF6FC0" w:rsidRDefault="00EF6FC0" w:rsidP="00EF6FC0">
      <w:pPr>
        <w:jc w:val="both"/>
        <w:rPr>
          <w:rFonts w:ascii="Georgia" w:hAnsi="Georgia"/>
          <w:sz w:val="20"/>
          <w:szCs w:val="20"/>
          <w:lang w:val="lt-LT"/>
        </w:rPr>
      </w:pPr>
      <w:r>
        <w:rPr>
          <w:rFonts w:ascii="Georgia" w:hAnsi="Georgia"/>
          <w:sz w:val="20"/>
          <w:szCs w:val="20"/>
          <w:lang w:val="lt-LT"/>
        </w:rPr>
        <w:t>Siekiant pripažinti tam tikrą priemonę selektyvia, nauda turi atsirasti tik tam tikroms įmonėms, įmonių kategorijoms arba ekonominiams sektoriams. Kitaip tariant, priemonė yra selektyvi, jeigu ne visi ūkio subjektai gali pasinaudoti jos teikiama nauda. Šis vertinimas remiasi ne priemonės aprašymu ar struktūra, bet faktiniu poveikiu rinkai, kuris atsiranda įgyvendinant priemonę, tai yra net tuo atveju, kai priemone teisiniu požiūriu gali pasinaudoti bet kuris ūkio subjektas, priemonė gali būti pripažinta selektyvia dėl faktinių jos įgyvendinimo aplinkybių</w:t>
      </w:r>
      <w:r>
        <w:rPr>
          <w:rStyle w:val="Puslapioinaosnuoroda"/>
          <w:rFonts w:ascii="Georgia" w:hAnsi="Georgia"/>
          <w:sz w:val="20"/>
          <w:szCs w:val="20"/>
          <w:lang w:val="lt-LT"/>
        </w:rPr>
        <w:footnoteReference w:id="134"/>
      </w:r>
      <w:r>
        <w:rPr>
          <w:rFonts w:ascii="Georgia" w:hAnsi="Georgia"/>
          <w:sz w:val="20"/>
          <w:szCs w:val="20"/>
          <w:lang w:val="lt-LT"/>
        </w:rPr>
        <w:t>.</w:t>
      </w:r>
    </w:p>
    <w:p w14:paraId="620524E9" w14:textId="77777777" w:rsidR="00EF6FC0" w:rsidRDefault="00EF6FC0" w:rsidP="00EF6FC0">
      <w:pPr>
        <w:jc w:val="both"/>
        <w:rPr>
          <w:rFonts w:ascii="Georgia" w:hAnsi="Georgia"/>
          <w:sz w:val="20"/>
          <w:szCs w:val="20"/>
          <w:lang w:val="lt-LT"/>
        </w:rPr>
      </w:pPr>
      <w:r>
        <w:rPr>
          <w:rFonts w:ascii="Georgia" w:hAnsi="Georgia"/>
          <w:sz w:val="20"/>
          <w:szCs w:val="20"/>
          <w:lang w:val="lt-LT"/>
        </w:rPr>
        <w:t>Selektyvumas gali pasireikšti priemonės turiniu (pvz., mokestinės lengvatos taikymas tik investicijoms, kurios viršija tam tikrą finansinę apimtį), taip pat priemonės taikymo administracine tvarka (pvz., kai priemonės vykdytojas/valdytojas turi galimybę įtakoti priemonės įgyvendinimą/pasirinkti naudos gavėjus</w:t>
      </w:r>
      <w:r>
        <w:rPr>
          <w:rStyle w:val="Puslapioinaosnuoroda"/>
          <w:rFonts w:ascii="Georgia" w:hAnsi="Georgia"/>
          <w:sz w:val="20"/>
          <w:szCs w:val="20"/>
          <w:lang w:val="lt-LT"/>
        </w:rPr>
        <w:footnoteReference w:id="135"/>
      </w:r>
      <w:r>
        <w:rPr>
          <w:rFonts w:ascii="Georgia" w:hAnsi="Georgia"/>
          <w:sz w:val="20"/>
          <w:szCs w:val="20"/>
          <w:lang w:val="lt-LT"/>
        </w:rPr>
        <w:t>).</w:t>
      </w:r>
    </w:p>
    <w:p w14:paraId="7A65EE22" w14:textId="77777777" w:rsidR="00EF6FC0" w:rsidRDefault="00EF6FC0" w:rsidP="00EF6FC0">
      <w:pPr>
        <w:jc w:val="both"/>
        <w:rPr>
          <w:rFonts w:ascii="Georgia" w:hAnsi="Georgia"/>
          <w:sz w:val="20"/>
          <w:szCs w:val="20"/>
          <w:lang w:val="lt-LT"/>
        </w:rPr>
      </w:pPr>
      <w:r>
        <w:rPr>
          <w:rFonts w:ascii="Georgia" w:hAnsi="Georgia"/>
          <w:sz w:val="20"/>
          <w:szCs w:val="20"/>
          <w:lang w:val="lt-LT"/>
        </w:rPr>
        <w:t>Sudėtingu atveju (kai iš anksto nėra akivaizdus priemonės selektyvus pobūdis), selektyvumas yra nustatomas trimis etapais:</w:t>
      </w:r>
    </w:p>
    <w:p w14:paraId="336D9958" w14:textId="77777777" w:rsidR="00EF6FC0" w:rsidRDefault="00EF6FC0" w:rsidP="002A576D">
      <w:pPr>
        <w:widowControl w:val="0"/>
        <w:numPr>
          <w:ilvl w:val="0"/>
          <w:numId w:val="103"/>
        </w:numPr>
        <w:spacing w:after="0"/>
        <w:jc w:val="both"/>
        <w:rPr>
          <w:rFonts w:ascii="Georgia" w:hAnsi="Georgia"/>
          <w:sz w:val="20"/>
          <w:szCs w:val="20"/>
          <w:lang w:val="lt-LT"/>
        </w:rPr>
      </w:pPr>
      <w:r>
        <w:rPr>
          <w:rFonts w:ascii="Georgia" w:hAnsi="Georgia"/>
          <w:sz w:val="20"/>
          <w:szCs w:val="20"/>
          <w:lang w:val="lt-LT"/>
        </w:rPr>
        <w:t>apibūdinamas atskaitos taškas, tai yra nustatoma rinkos situacija bei identifikuojami rinkoje veikiantys ūkio subjektai;</w:t>
      </w:r>
    </w:p>
    <w:p w14:paraId="0EA09CB7" w14:textId="77777777" w:rsidR="00EF6FC0" w:rsidRDefault="00EF6FC0" w:rsidP="002A576D">
      <w:pPr>
        <w:widowControl w:val="0"/>
        <w:numPr>
          <w:ilvl w:val="0"/>
          <w:numId w:val="103"/>
        </w:numPr>
        <w:spacing w:after="0"/>
        <w:jc w:val="both"/>
        <w:rPr>
          <w:rFonts w:ascii="Georgia" w:hAnsi="Georgia"/>
          <w:sz w:val="20"/>
          <w:szCs w:val="20"/>
          <w:lang w:val="lt-LT"/>
        </w:rPr>
      </w:pPr>
      <w:r>
        <w:rPr>
          <w:rFonts w:ascii="Georgia" w:hAnsi="Georgia"/>
          <w:sz w:val="20"/>
          <w:szCs w:val="20"/>
          <w:lang w:val="lt-LT"/>
        </w:rPr>
        <w:t>nustatoma, ar priemonės praktinis taikymas gali paveikti / nulemti skirtingų rinkos veikėjų situaciją nevienoda apimtimi. Nesant tokios galimybės, priemonė negali būti pripažinta selektyvia;</w:t>
      </w:r>
    </w:p>
    <w:p w14:paraId="42A8C07E" w14:textId="77777777" w:rsidR="00EF6FC0" w:rsidRDefault="00EF6FC0" w:rsidP="002A576D">
      <w:pPr>
        <w:widowControl w:val="0"/>
        <w:numPr>
          <w:ilvl w:val="0"/>
          <w:numId w:val="103"/>
        </w:numPr>
        <w:spacing w:after="0"/>
        <w:jc w:val="both"/>
        <w:rPr>
          <w:rFonts w:ascii="Georgia" w:hAnsi="Georgia"/>
          <w:sz w:val="20"/>
          <w:szCs w:val="20"/>
          <w:lang w:val="lt-LT"/>
        </w:rPr>
      </w:pPr>
      <w:r>
        <w:rPr>
          <w:rFonts w:ascii="Georgia" w:hAnsi="Georgia"/>
          <w:sz w:val="20"/>
          <w:szCs w:val="20"/>
          <w:lang w:val="lt-LT"/>
        </w:rPr>
        <w:t>įvertinama, ar priemonės įgyvendinimas ir jos sąlygojamas poveikis gali būti pateisintas veikiančios schemos sistema ir prigimtimi</w:t>
      </w:r>
      <w:r w:rsidRPr="00446A6A">
        <w:footnoteReference w:id="136"/>
      </w:r>
      <w:r>
        <w:rPr>
          <w:rFonts w:ascii="Georgia" w:hAnsi="Georgia"/>
          <w:sz w:val="20"/>
          <w:szCs w:val="20"/>
          <w:lang w:val="lt-LT"/>
        </w:rPr>
        <w:t>.</w:t>
      </w:r>
    </w:p>
    <w:p w14:paraId="5EED7B76" w14:textId="77777777" w:rsidR="008D5EBC" w:rsidRPr="00C976FC" w:rsidRDefault="008D5EBC" w:rsidP="008D5EBC">
      <w:pPr>
        <w:widowControl w:val="0"/>
        <w:spacing w:after="0"/>
        <w:jc w:val="both"/>
        <w:rPr>
          <w:rFonts w:ascii="Georgia" w:hAnsi="Georgia"/>
          <w:sz w:val="20"/>
          <w:szCs w:val="20"/>
          <w:lang w:val="lt-LT"/>
        </w:rPr>
      </w:pPr>
    </w:p>
    <w:p w14:paraId="57A647F7" w14:textId="77777777" w:rsidR="00EF6FC0" w:rsidRDefault="00EF6FC0" w:rsidP="00EA16CD">
      <w:pPr>
        <w:pStyle w:val="Antrat2"/>
        <w:numPr>
          <w:ilvl w:val="2"/>
          <w:numId w:val="2"/>
        </w:numPr>
        <w:spacing w:after="240"/>
        <w:rPr>
          <w:lang w:val="lt-LT"/>
        </w:rPr>
      </w:pPr>
      <w:bookmarkStart w:id="302" w:name="_Toc417378410"/>
      <w:r>
        <w:rPr>
          <w:lang w:val="lt-LT"/>
        </w:rPr>
        <w:t>Priemonės poveikis konkurencijai ir (ar) prekybai</w:t>
      </w:r>
      <w:bookmarkEnd w:id="302"/>
    </w:p>
    <w:p w14:paraId="2123B05D" w14:textId="77777777" w:rsidR="00EF6FC0" w:rsidRDefault="00EF6FC0" w:rsidP="00EF6FC0">
      <w:pPr>
        <w:jc w:val="both"/>
        <w:rPr>
          <w:rFonts w:ascii="Georgia" w:hAnsi="Georgia"/>
          <w:sz w:val="20"/>
          <w:szCs w:val="20"/>
          <w:lang w:val="lt-LT"/>
        </w:rPr>
      </w:pPr>
      <w:r w:rsidRPr="00A865A9">
        <w:rPr>
          <w:rFonts w:ascii="Georgia" w:hAnsi="Georgia"/>
          <w:sz w:val="20"/>
          <w:szCs w:val="20"/>
          <w:lang w:val="lt-LT"/>
        </w:rPr>
        <w:t xml:space="preserve">Valstybės finansuojamų </w:t>
      </w:r>
      <w:r>
        <w:rPr>
          <w:rFonts w:ascii="Georgia" w:hAnsi="Georgia"/>
          <w:sz w:val="20"/>
          <w:szCs w:val="20"/>
          <w:lang w:val="lt-LT"/>
        </w:rPr>
        <w:t xml:space="preserve">ir valdomų selektyvių ūkio subjektams skirtų </w:t>
      </w:r>
      <w:r w:rsidRPr="00A865A9">
        <w:rPr>
          <w:rFonts w:ascii="Georgia" w:hAnsi="Georgia"/>
          <w:sz w:val="20"/>
          <w:szCs w:val="20"/>
          <w:lang w:val="lt-LT"/>
        </w:rPr>
        <w:t>priemonių įgyvendinimas</w:t>
      </w:r>
      <w:r>
        <w:rPr>
          <w:rFonts w:ascii="Georgia" w:hAnsi="Georgia"/>
          <w:sz w:val="20"/>
          <w:szCs w:val="20"/>
          <w:lang w:val="lt-LT"/>
        </w:rPr>
        <w:t xml:space="preserve"> pagal valstybės pagalbos taisykles yra draudžiamas tik tuo atveju, kai tokie veiksmai paveikia ar gali paveikti konkurenciją bei gali turėti įtakos ES valstybių-narių tarpusavio prekybai.</w:t>
      </w:r>
    </w:p>
    <w:p w14:paraId="7131AD42" w14:textId="77777777" w:rsidR="00EF6FC0" w:rsidRPr="00A865A9" w:rsidRDefault="00EF6FC0" w:rsidP="00EF6FC0">
      <w:pPr>
        <w:jc w:val="both"/>
        <w:rPr>
          <w:rFonts w:ascii="Georgia" w:hAnsi="Georgia"/>
          <w:sz w:val="20"/>
          <w:szCs w:val="20"/>
          <w:lang w:val="lt-LT"/>
        </w:rPr>
      </w:pPr>
      <w:r>
        <w:rPr>
          <w:rFonts w:ascii="Georgia" w:hAnsi="Georgia"/>
          <w:sz w:val="20"/>
          <w:szCs w:val="20"/>
          <w:lang w:val="lt-LT"/>
        </w:rPr>
        <w:t>Potencialus poveikis konkurencijai yra pripažįstamas tada, kaip priemonės įgyvendinimu yra pagerinama ūkio subjekto (priemonės naudos gavėjo) konkurencinė padėtis rinkoje, lyginant su šio ūkio subjekto konkurentais. Kitaip tariant, praktiniu požiūriu, potencialus poveikis konkurencijai yra pripažįstamas tuo momentu, kai ūkio subjektas gauna finansinį pranašumą iš viešojo sektoriaus, su sąlyga, kad ūkio subjektas veikia rinkoje, kurioje gali vykti konkurencija (gali veiki kiti ūkio subjektai), nepriklausomai nuo to, ar taip iš tikrųjų yra.</w:t>
      </w:r>
    </w:p>
    <w:p w14:paraId="19D0B623" w14:textId="12CF7483" w:rsidR="00EF6FC0" w:rsidRDefault="00EF6FC0" w:rsidP="00EF6FC0">
      <w:pPr>
        <w:jc w:val="both"/>
        <w:rPr>
          <w:rFonts w:ascii="Georgia" w:hAnsi="Georgia"/>
          <w:sz w:val="20"/>
          <w:szCs w:val="20"/>
          <w:lang w:val="lt-LT"/>
        </w:rPr>
      </w:pPr>
      <w:r>
        <w:rPr>
          <w:rFonts w:ascii="Georgia" w:hAnsi="Georgia"/>
          <w:sz w:val="20"/>
          <w:szCs w:val="20"/>
          <w:lang w:val="lt-LT"/>
        </w:rPr>
        <w:lastRenderedPageBreak/>
        <w:t>Valstybės pagalbos sampratos požiūriu nėra svarbu, ar poveikis konkurencijai gali būti didelis (ženklus), ar mažareikšmis. Kitaip tariant, mažas poveikis nepanaikina rinkos iškraipymo, išskyrus tuos atvejus, kai tokia prielaida būtų visiškai hipotetinė</w:t>
      </w:r>
      <w:r>
        <w:rPr>
          <w:rStyle w:val="Puslapioinaosnuoroda"/>
          <w:rFonts w:ascii="Georgia" w:hAnsi="Georgia"/>
          <w:sz w:val="20"/>
          <w:szCs w:val="20"/>
          <w:lang w:val="lt-LT"/>
        </w:rPr>
        <w:footnoteReference w:id="137"/>
      </w:r>
      <w:r>
        <w:rPr>
          <w:rFonts w:ascii="Georgia" w:hAnsi="Georgia"/>
          <w:sz w:val="20"/>
          <w:szCs w:val="20"/>
          <w:lang w:val="lt-LT"/>
        </w:rPr>
        <w:t xml:space="preserve"> arba poveikis neviršytų pačios Europos Komisijos nustatytų </w:t>
      </w:r>
      <w:r w:rsidRPr="009B7B17">
        <w:rPr>
          <w:rFonts w:ascii="Georgia" w:hAnsi="Georgia"/>
          <w:i/>
          <w:sz w:val="20"/>
          <w:szCs w:val="20"/>
          <w:lang w:val="lt-LT"/>
        </w:rPr>
        <w:t>de minimis</w:t>
      </w:r>
      <w:r>
        <w:rPr>
          <w:rFonts w:ascii="Georgia" w:hAnsi="Georgia"/>
          <w:sz w:val="20"/>
          <w:szCs w:val="20"/>
          <w:lang w:val="lt-LT"/>
        </w:rPr>
        <w:t xml:space="preserve"> ribų. Aktualu, kad Bendrųjų nuostatų reglamento požiūriu, valstybės pagalbos sąvoka apima</w:t>
      </w:r>
      <w:r w:rsidRPr="00DC5BF3">
        <w:rPr>
          <w:rFonts w:ascii="Georgia" w:hAnsi="Georgia"/>
          <w:i/>
          <w:sz w:val="20"/>
          <w:szCs w:val="20"/>
          <w:lang w:val="lt-LT"/>
        </w:rPr>
        <w:t xml:space="preserve"> </w:t>
      </w:r>
      <w:r w:rsidRPr="00DC5BF3">
        <w:rPr>
          <w:rFonts w:ascii="Georgia" w:hAnsi="Georgia"/>
          <w:sz w:val="20"/>
          <w:szCs w:val="20"/>
          <w:lang w:val="lt-LT"/>
        </w:rPr>
        <w:t xml:space="preserve">pagal </w:t>
      </w:r>
      <w:r w:rsidRPr="00A64148">
        <w:rPr>
          <w:rFonts w:ascii="Georgia" w:hAnsi="Georgia"/>
          <w:i/>
          <w:sz w:val="20"/>
          <w:szCs w:val="20"/>
          <w:lang w:val="lt-LT"/>
        </w:rPr>
        <w:t>de minimis</w:t>
      </w:r>
      <w:r>
        <w:rPr>
          <w:rFonts w:ascii="Georgia" w:hAnsi="Georgia"/>
          <w:sz w:val="20"/>
          <w:szCs w:val="20"/>
          <w:lang w:val="lt-LT"/>
        </w:rPr>
        <w:t xml:space="preserve"> taisykles </w:t>
      </w:r>
      <w:r w:rsidR="00C405B5">
        <w:rPr>
          <w:rFonts w:ascii="Georgia" w:hAnsi="Georgia"/>
          <w:sz w:val="20"/>
          <w:szCs w:val="20"/>
          <w:lang w:val="lt-LT"/>
        </w:rPr>
        <w:t xml:space="preserve">arba pagal Bendrosios išimties reglamentą </w:t>
      </w:r>
      <w:r>
        <w:rPr>
          <w:rFonts w:ascii="Georgia" w:hAnsi="Georgia"/>
          <w:sz w:val="20"/>
          <w:szCs w:val="20"/>
          <w:lang w:val="lt-LT"/>
        </w:rPr>
        <w:t>teikiamą finansavimą</w:t>
      </w:r>
      <w:r w:rsidR="00C405B5">
        <w:rPr>
          <w:rFonts w:ascii="Georgia" w:hAnsi="Georgia"/>
          <w:sz w:val="20"/>
          <w:szCs w:val="20"/>
          <w:lang w:val="lt-LT"/>
        </w:rPr>
        <w:t xml:space="preserve"> </w:t>
      </w:r>
      <w:r>
        <w:rPr>
          <w:rStyle w:val="Puslapioinaosnuoroda"/>
          <w:rFonts w:ascii="Georgia" w:hAnsi="Georgia"/>
          <w:sz w:val="20"/>
          <w:szCs w:val="20"/>
          <w:lang w:val="lt-LT"/>
        </w:rPr>
        <w:footnoteReference w:id="138"/>
      </w:r>
      <w:r>
        <w:rPr>
          <w:rFonts w:ascii="Georgia" w:hAnsi="Georgia"/>
          <w:sz w:val="20"/>
          <w:szCs w:val="20"/>
          <w:lang w:val="lt-LT"/>
        </w:rPr>
        <w:t xml:space="preserve">. </w:t>
      </w:r>
    </w:p>
    <w:p w14:paraId="76E82B9C" w14:textId="77777777" w:rsidR="008D5EBC" w:rsidRPr="00876804" w:rsidRDefault="008D5EBC" w:rsidP="00EF6FC0">
      <w:pPr>
        <w:jc w:val="both"/>
        <w:rPr>
          <w:rFonts w:ascii="Georgia" w:hAnsi="Georgia"/>
          <w:sz w:val="20"/>
          <w:szCs w:val="20"/>
          <w:lang w:val="lt-LT"/>
        </w:rPr>
      </w:pPr>
    </w:p>
    <w:p w14:paraId="43DE0A24" w14:textId="77777777" w:rsidR="00EF6FC0" w:rsidRPr="003B164C" w:rsidRDefault="00EF6FC0" w:rsidP="00EA16CD">
      <w:pPr>
        <w:pStyle w:val="Antrat2"/>
        <w:numPr>
          <w:ilvl w:val="1"/>
          <w:numId w:val="2"/>
        </w:numPr>
        <w:spacing w:after="240"/>
        <w:rPr>
          <w:lang w:val="lt-LT"/>
        </w:rPr>
      </w:pPr>
      <w:bookmarkStart w:id="303" w:name="_Toc417378411"/>
      <w:r>
        <w:rPr>
          <w:lang w:val="lt-LT"/>
        </w:rPr>
        <w:t>Numatomų vykdyti finansinių priemonių apribojimai, susiję su valstybės pagalbos taisyklių reikalavimais</w:t>
      </w:r>
      <w:bookmarkEnd w:id="303"/>
    </w:p>
    <w:p w14:paraId="3837D454" w14:textId="77777777" w:rsidR="00EF6FC0" w:rsidRDefault="00EF6FC0" w:rsidP="00EF6FC0">
      <w:pPr>
        <w:jc w:val="both"/>
        <w:rPr>
          <w:rFonts w:ascii="Georgia" w:hAnsi="Georgia"/>
          <w:sz w:val="20"/>
          <w:szCs w:val="20"/>
          <w:lang w:val="lt-LT"/>
        </w:rPr>
      </w:pPr>
      <w:r>
        <w:rPr>
          <w:rFonts w:ascii="Georgia" w:hAnsi="Georgia"/>
          <w:sz w:val="20"/>
          <w:szCs w:val="20"/>
          <w:lang w:val="lt-LT"/>
        </w:rPr>
        <w:t>Planuojant finansinių priemonių įgyvendinimą, būtina akcentuoti, kad ES valstybė-narė turi teisę pasirinkti konkrečią priemonės struktūrą bei jos įgyvendinimo mechanizmą taip, kad numatoma finansinė priemonė</w:t>
      </w:r>
      <w:r w:rsidRPr="00DD1ADF">
        <w:rPr>
          <w:rFonts w:ascii="Georgia" w:hAnsi="Georgia"/>
          <w:sz w:val="20"/>
          <w:szCs w:val="20"/>
          <w:lang w:val="lt-LT"/>
        </w:rPr>
        <w:t xml:space="preserve"> </w:t>
      </w:r>
      <w:r>
        <w:rPr>
          <w:rFonts w:ascii="Georgia" w:hAnsi="Georgia"/>
          <w:sz w:val="20"/>
          <w:szCs w:val="20"/>
          <w:lang w:val="lt-LT"/>
        </w:rPr>
        <w:t>būtų įgyvendinama kaip priemonė:</w:t>
      </w:r>
    </w:p>
    <w:p w14:paraId="50D97EC5" w14:textId="77777777" w:rsidR="00EF6FC0" w:rsidRDefault="00EF6FC0" w:rsidP="002A576D">
      <w:pPr>
        <w:widowControl w:val="0"/>
        <w:numPr>
          <w:ilvl w:val="0"/>
          <w:numId w:val="103"/>
        </w:numPr>
        <w:spacing w:after="0"/>
        <w:jc w:val="both"/>
        <w:rPr>
          <w:rFonts w:ascii="Georgia" w:hAnsi="Georgia"/>
          <w:sz w:val="20"/>
          <w:szCs w:val="20"/>
          <w:lang w:val="lt-LT"/>
        </w:rPr>
      </w:pPr>
      <w:r>
        <w:rPr>
          <w:rFonts w:ascii="Georgia" w:hAnsi="Georgia"/>
          <w:sz w:val="20"/>
          <w:szCs w:val="20"/>
          <w:lang w:val="lt-LT"/>
        </w:rPr>
        <w:t>kuriai nėra taikomos valstybės pagalbos taisyklės;</w:t>
      </w:r>
    </w:p>
    <w:p w14:paraId="42E126C1" w14:textId="77777777" w:rsidR="00EF6FC0" w:rsidRDefault="00EF6FC0" w:rsidP="002A576D">
      <w:pPr>
        <w:widowControl w:val="0"/>
        <w:numPr>
          <w:ilvl w:val="0"/>
          <w:numId w:val="103"/>
        </w:numPr>
        <w:spacing w:after="0"/>
        <w:jc w:val="both"/>
        <w:rPr>
          <w:rFonts w:ascii="Georgia" w:hAnsi="Georgia"/>
          <w:sz w:val="20"/>
          <w:szCs w:val="20"/>
          <w:lang w:val="lt-LT"/>
        </w:rPr>
      </w:pPr>
      <w:r>
        <w:rPr>
          <w:rFonts w:ascii="Georgia" w:hAnsi="Georgia"/>
          <w:sz w:val="20"/>
          <w:szCs w:val="20"/>
          <w:lang w:val="lt-LT"/>
        </w:rPr>
        <w:t>kuriai yra taikomos de minimis taisyklės;</w:t>
      </w:r>
    </w:p>
    <w:p w14:paraId="52989620" w14:textId="77777777" w:rsidR="00EF6FC0" w:rsidRDefault="00EF6FC0" w:rsidP="002A576D">
      <w:pPr>
        <w:widowControl w:val="0"/>
        <w:numPr>
          <w:ilvl w:val="0"/>
          <w:numId w:val="103"/>
        </w:numPr>
        <w:spacing w:after="0"/>
        <w:jc w:val="both"/>
        <w:rPr>
          <w:rFonts w:ascii="Georgia" w:hAnsi="Georgia"/>
          <w:sz w:val="20"/>
          <w:szCs w:val="20"/>
          <w:lang w:val="lt-LT"/>
        </w:rPr>
      </w:pPr>
      <w:r>
        <w:rPr>
          <w:rFonts w:ascii="Georgia" w:hAnsi="Georgia"/>
          <w:sz w:val="20"/>
          <w:szCs w:val="20"/>
          <w:lang w:val="lt-LT"/>
        </w:rPr>
        <w:t>kuriai yra taikomos bendrosios išimties reglamentų taisyklės;</w:t>
      </w:r>
    </w:p>
    <w:p w14:paraId="42C42590" w14:textId="77777777" w:rsidR="00EF6FC0" w:rsidRDefault="00EF6FC0" w:rsidP="002A576D">
      <w:pPr>
        <w:widowControl w:val="0"/>
        <w:numPr>
          <w:ilvl w:val="0"/>
          <w:numId w:val="103"/>
        </w:numPr>
        <w:spacing w:after="0"/>
        <w:jc w:val="both"/>
        <w:rPr>
          <w:rFonts w:ascii="Georgia" w:hAnsi="Georgia"/>
          <w:sz w:val="20"/>
          <w:szCs w:val="20"/>
          <w:lang w:val="lt-LT"/>
        </w:rPr>
      </w:pPr>
      <w:r>
        <w:rPr>
          <w:rFonts w:ascii="Georgia" w:hAnsi="Georgia"/>
          <w:sz w:val="20"/>
          <w:szCs w:val="20"/>
          <w:lang w:val="lt-LT"/>
        </w:rPr>
        <w:t>kuri naudoja Europos Komisijos patvirtintas standartines finansinių priemonių sąlygas (</w:t>
      </w:r>
      <w:r w:rsidRPr="00446A6A">
        <w:rPr>
          <w:rFonts w:ascii="Georgia" w:hAnsi="Georgia"/>
          <w:sz w:val="20"/>
          <w:szCs w:val="20"/>
          <w:lang w:val="lt-LT"/>
        </w:rPr>
        <w:t>off-the-shelf instruments</w:t>
      </w:r>
      <w:r>
        <w:rPr>
          <w:rFonts w:ascii="Georgia" w:hAnsi="Georgia"/>
          <w:sz w:val="20"/>
          <w:szCs w:val="20"/>
          <w:lang w:val="lt-LT"/>
        </w:rPr>
        <w:t>).</w:t>
      </w:r>
    </w:p>
    <w:p w14:paraId="79E1DA47" w14:textId="77777777" w:rsidR="00EF6FC0" w:rsidRPr="00B94678" w:rsidRDefault="00EF6FC0" w:rsidP="002A576D">
      <w:pPr>
        <w:widowControl w:val="0"/>
        <w:numPr>
          <w:ilvl w:val="0"/>
          <w:numId w:val="103"/>
        </w:numPr>
        <w:spacing w:after="0"/>
        <w:jc w:val="both"/>
        <w:rPr>
          <w:rFonts w:ascii="Georgia" w:hAnsi="Georgia"/>
          <w:sz w:val="20"/>
          <w:szCs w:val="20"/>
          <w:lang w:val="lt-LT"/>
        </w:rPr>
      </w:pPr>
      <w:r w:rsidRPr="00B94678">
        <w:rPr>
          <w:rFonts w:ascii="Georgia" w:hAnsi="Georgia"/>
          <w:sz w:val="20"/>
          <w:szCs w:val="20"/>
          <w:lang w:val="lt-LT"/>
        </w:rPr>
        <w:t>pagal kurią yra teikiama valstybės pagalba pagal iš anksto suderintą su Europos Komisiją schemą.</w:t>
      </w:r>
    </w:p>
    <w:p w14:paraId="687FD53E" w14:textId="77777777" w:rsidR="00EF6FC0" w:rsidRDefault="00EF6FC0" w:rsidP="00EF6FC0">
      <w:pPr>
        <w:jc w:val="both"/>
        <w:rPr>
          <w:rFonts w:ascii="Georgia" w:hAnsi="Georgia"/>
          <w:sz w:val="20"/>
          <w:szCs w:val="20"/>
          <w:lang w:val="lt-LT"/>
        </w:rPr>
      </w:pPr>
      <w:r>
        <w:rPr>
          <w:rFonts w:ascii="Georgia" w:hAnsi="Georgia"/>
          <w:sz w:val="20"/>
          <w:szCs w:val="20"/>
          <w:lang w:val="lt-LT"/>
        </w:rPr>
        <w:t>Žemiau atliekamas finansinių priemonių įgyvendinimo modelio vertinimas valstybės pagalbos taisyklių kontekste, identifikuojant privalomas vykdyti sąlygas, veiksmus ir (arba) veiklos apribojimus tam, kad finansinės priemonės taikymas nepažeistų valstybės pagalbos taisyklių reikalavimų.</w:t>
      </w:r>
    </w:p>
    <w:p w14:paraId="0B24AAAE" w14:textId="77777777" w:rsidR="00EF6FC0" w:rsidRDefault="00EF6FC0" w:rsidP="00EF6FC0">
      <w:pPr>
        <w:jc w:val="both"/>
        <w:rPr>
          <w:rFonts w:ascii="Georgia" w:hAnsi="Georgia"/>
          <w:sz w:val="20"/>
          <w:szCs w:val="20"/>
          <w:lang w:val="lt-LT"/>
        </w:rPr>
      </w:pPr>
      <w:r>
        <w:rPr>
          <w:rFonts w:ascii="Georgia" w:hAnsi="Georgia"/>
          <w:sz w:val="20"/>
          <w:szCs w:val="20"/>
          <w:lang w:val="lt-LT"/>
        </w:rPr>
        <w:t>Vertinimas atliekamas šiais etapais:</w:t>
      </w:r>
    </w:p>
    <w:p w14:paraId="18B4920E" w14:textId="77777777" w:rsidR="00EF6FC0" w:rsidRDefault="00EF6FC0" w:rsidP="002A576D">
      <w:pPr>
        <w:pStyle w:val="Sraopastraipa"/>
        <w:numPr>
          <w:ilvl w:val="0"/>
          <w:numId w:val="114"/>
        </w:numPr>
        <w:ind w:left="709" w:hanging="425"/>
        <w:jc w:val="both"/>
        <w:rPr>
          <w:rFonts w:ascii="Georgia" w:hAnsi="Georgia"/>
          <w:sz w:val="20"/>
          <w:szCs w:val="20"/>
          <w:lang w:val="lt-LT"/>
        </w:rPr>
      </w:pPr>
      <w:r>
        <w:rPr>
          <w:rFonts w:ascii="Georgia" w:hAnsi="Georgia"/>
          <w:sz w:val="20"/>
          <w:szCs w:val="20"/>
          <w:lang w:val="lt-LT"/>
        </w:rPr>
        <w:t>pasirinkto priemonės įgyvendinimo mechanizmo klasifikavimas, tai yra valstybės pagalbos požymių buvimo nustatymas,</w:t>
      </w:r>
    </w:p>
    <w:p w14:paraId="6253E971" w14:textId="77777777" w:rsidR="00EF6FC0" w:rsidRDefault="00EF6FC0" w:rsidP="002A576D">
      <w:pPr>
        <w:pStyle w:val="Sraopastraipa"/>
        <w:numPr>
          <w:ilvl w:val="0"/>
          <w:numId w:val="114"/>
        </w:numPr>
        <w:ind w:left="709" w:hanging="425"/>
        <w:jc w:val="both"/>
        <w:rPr>
          <w:rFonts w:ascii="Georgia" w:hAnsi="Georgia"/>
          <w:sz w:val="20"/>
          <w:szCs w:val="20"/>
          <w:lang w:val="lt-LT"/>
        </w:rPr>
      </w:pPr>
      <w:r>
        <w:rPr>
          <w:rFonts w:ascii="Georgia" w:hAnsi="Georgia"/>
          <w:sz w:val="20"/>
          <w:szCs w:val="20"/>
          <w:lang w:val="lt-LT"/>
        </w:rPr>
        <w:t>suderinamumo vertinimas, jeigu priemonės įgyvendinimas atitinka valstybės pagalbos požymius,</w:t>
      </w:r>
    </w:p>
    <w:p w14:paraId="482F8365" w14:textId="77777777" w:rsidR="00EF6FC0" w:rsidRDefault="00EF6FC0" w:rsidP="002A576D">
      <w:pPr>
        <w:pStyle w:val="Sraopastraipa"/>
        <w:numPr>
          <w:ilvl w:val="0"/>
          <w:numId w:val="114"/>
        </w:numPr>
        <w:ind w:left="709" w:hanging="425"/>
        <w:jc w:val="both"/>
        <w:rPr>
          <w:rFonts w:ascii="Georgia" w:hAnsi="Georgia"/>
          <w:sz w:val="20"/>
          <w:szCs w:val="20"/>
          <w:lang w:val="lt-LT"/>
        </w:rPr>
      </w:pPr>
      <w:r>
        <w:rPr>
          <w:rFonts w:ascii="Georgia" w:hAnsi="Georgia"/>
          <w:sz w:val="20"/>
          <w:szCs w:val="20"/>
          <w:lang w:val="lt-LT"/>
        </w:rPr>
        <w:t>notifikavimo procedūros apibūdinimas (jeigu yra nustatomas šio veiksmo poreikis).</w:t>
      </w:r>
    </w:p>
    <w:p w14:paraId="61D09062" w14:textId="77777777" w:rsidR="00EF6FC0" w:rsidRDefault="00EF6FC0" w:rsidP="00EF6FC0">
      <w:pPr>
        <w:jc w:val="both"/>
        <w:rPr>
          <w:rFonts w:ascii="Georgia" w:hAnsi="Georgia"/>
          <w:sz w:val="20"/>
          <w:szCs w:val="20"/>
          <w:lang w:val="lt-LT"/>
        </w:rPr>
      </w:pPr>
      <w:r>
        <w:rPr>
          <w:rFonts w:ascii="Georgia" w:hAnsi="Georgia"/>
          <w:sz w:val="20"/>
          <w:szCs w:val="20"/>
          <w:lang w:val="lt-LT"/>
        </w:rPr>
        <w:t xml:space="preserve">Antro etapo veiksmai apima atitikties </w:t>
      </w:r>
      <w:r w:rsidRPr="00D709AF">
        <w:rPr>
          <w:rFonts w:ascii="Georgia" w:hAnsi="Georgia"/>
          <w:i/>
          <w:sz w:val="20"/>
          <w:szCs w:val="20"/>
          <w:lang w:val="lt-LT"/>
        </w:rPr>
        <w:t>de minimis</w:t>
      </w:r>
      <w:r>
        <w:rPr>
          <w:rFonts w:ascii="Georgia" w:hAnsi="Georgia"/>
          <w:sz w:val="20"/>
          <w:szCs w:val="20"/>
          <w:lang w:val="lt-LT"/>
        </w:rPr>
        <w:t xml:space="preserve"> reglamentavimui vertinimą, atitikties bendrosios išimtis reglamento nuostatoms vertinimą ir, esant poreikiui, standartinių sąlygų (</w:t>
      </w:r>
      <w:r w:rsidRPr="00F11ECC">
        <w:rPr>
          <w:rFonts w:ascii="Georgia" w:hAnsi="Georgia"/>
          <w:i/>
          <w:sz w:val="20"/>
          <w:szCs w:val="20"/>
          <w:lang w:val="lt-LT"/>
        </w:rPr>
        <w:t>off-the-shelf instrument</w:t>
      </w:r>
      <w:r>
        <w:rPr>
          <w:rFonts w:ascii="Georgia" w:hAnsi="Georgia"/>
          <w:sz w:val="20"/>
          <w:szCs w:val="20"/>
          <w:lang w:val="lt-LT"/>
        </w:rPr>
        <w:t>) panaudojimo galimybės vertinimą, atsižvelgiant į priemonės įgyvendinimo tikslus ir sektorių. Pabrėžtina, kad pasirinkto finansinės priemonės įgyvendinimo būdo ir sandaros vertinimo valstybės pagalbos taisyklių kontekste rezultatai gali pasikeisti, jeigu bus pakeista priemonės sandara (būdas), kas reikalautų papildomai įvertinti pakeitimų įtaką valstybės pagalbos vertinimo rezultatams.</w:t>
      </w:r>
    </w:p>
    <w:p w14:paraId="193FDF83" w14:textId="77777777" w:rsidR="008D5EBC" w:rsidRPr="008345BD" w:rsidRDefault="008D5EBC" w:rsidP="00EF6FC0">
      <w:pPr>
        <w:jc w:val="both"/>
        <w:rPr>
          <w:rFonts w:ascii="Georgia" w:hAnsi="Georgia"/>
          <w:sz w:val="20"/>
          <w:szCs w:val="20"/>
          <w:lang w:val="lt-LT"/>
        </w:rPr>
      </w:pPr>
    </w:p>
    <w:p w14:paraId="426E6B3F" w14:textId="77777777" w:rsidR="00EF6FC0" w:rsidRDefault="00EF6FC0" w:rsidP="00EA16CD">
      <w:pPr>
        <w:pStyle w:val="Antrat2"/>
        <w:numPr>
          <w:ilvl w:val="2"/>
          <w:numId w:val="2"/>
        </w:numPr>
        <w:spacing w:after="240"/>
        <w:rPr>
          <w:lang w:val="lt-LT"/>
        </w:rPr>
      </w:pPr>
      <w:bookmarkStart w:id="304" w:name="_Toc417378412"/>
      <w:r>
        <w:rPr>
          <w:lang w:val="lt-LT"/>
        </w:rPr>
        <w:t>Daugiabučių renovacijos finansinių priemonių vertinimas</w:t>
      </w:r>
      <w:bookmarkEnd w:id="304"/>
    </w:p>
    <w:p w14:paraId="211534BE" w14:textId="77777777" w:rsidR="00EF6FC0" w:rsidRDefault="00EF6FC0" w:rsidP="00EF6FC0">
      <w:pPr>
        <w:jc w:val="both"/>
        <w:rPr>
          <w:rFonts w:ascii="Georgia" w:hAnsi="Georgia"/>
          <w:sz w:val="20"/>
          <w:szCs w:val="20"/>
          <w:lang w:val="lt-LT"/>
        </w:rPr>
      </w:pPr>
      <w:r w:rsidRPr="004E322A">
        <w:rPr>
          <w:rFonts w:ascii="Georgia" w:hAnsi="Georgia"/>
          <w:sz w:val="20"/>
          <w:szCs w:val="20"/>
          <w:lang w:val="lt-LT"/>
        </w:rPr>
        <w:t>Šiame skyriuje nagrinėjama pasirinkta daugiabučių renovacijai skirtų finansinių priemonių alternatyva.</w:t>
      </w:r>
      <w:r>
        <w:rPr>
          <w:rFonts w:ascii="Georgia" w:hAnsi="Georgia"/>
          <w:sz w:val="20"/>
          <w:szCs w:val="20"/>
          <w:lang w:val="lt-LT"/>
        </w:rPr>
        <w:t xml:space="preserve"> Būtina nurodyti, kad:</w:t>
      </w:r>
    </w:p>
    <w:p w14:paraId="4595233B" w14:textId="77777777" w:rsidR="00EF6FC0" w:rsidRDefault="00EF6FC0" w:rsidP="002A576D">
      <w:pPr>
        <w:pStyle w:val="Sraopastraipa"/>
        <w:numPr>
          <w:ilvl w:val="0"/>
          <w:numId w:val="115"/>
        </w:numPr>
        <w:ind w:left="709"/>
        <w:jc w:val="both"/>
        <w:rPr>
          <w:rFonts w:ascii="Georgia" w:hAnsi="Georgia"/>
          <w:sz w:val="20"/>
          <w:szCs w:val="20"/>
          <w:lang w:val="lt-LT"/>
        </w:rPr>
      </w:pPr>
      <w:r>
        <w:rPr>
          <w:rFonts w:ascii="Georgia" w:hAnsi="Georgia"/>
          <w:sz w:val="20"/>
          <w:szCs w:val="20"/>
          <w:lang w:val="lt-LT"/>
        </w:rPr>
        <w:lastRenderedPageBreak/>
        <w:t>Kaip nurodyta 5.1. skyriuje apibūdinant bendruosius valstybės pagalbos požymius, numatomų įgyvendinti finansinių priemonių kontekste išskirtini ir vertintini visi priemonės įgyvendinime dalyvaujantys fiziniai ir juridiniai asmenys, kurie atitinka ūkio subjekto apibrėžimą, tai yra vykdo ekonominę veiklą, tiekdami prekes ir (arba) teikdami paslaugas. Pabrėžtina, kad ūkio subjektu gali būti laikomi keli juridiniai asmenys, o ekonominė veikla gali būti ir nedidelė visos ūkio subjekto vykdomos veiklos (pvz., neekonominės viešojo administravimo veiklos) dalis;</w:t>
      </w:r>
    </w:p>
    <w:p w14:paraId="05756FD8" w14:textId="77777777" w:rsidR="00EF6FC0" w:rsidRDefault="00EF6FC0" w:rsidP="002A576D">
      <w:pPr>
        <w:pStyle w:val="Sraopastraipa"/>
        <w:numPr>
          <w:ilvl w:val="0"/>
          <w:numId w:val="115"/>
        </w:numPr>
        <w:ind w:left="709"/>
        <w:jc w:val="both"/>
        <w:rPr>
          <w:rFonts w:ascii="Georgia" w:hAnsi="Georgia"/>
          <w:sz w:val="20"/>
          <w:szCs w:val="20"/>
          <w:lang w:val="lt-LT"/>
        </w:rPr>
      </w:pPr>
      <w:r>
        <w:rPr>
          <w:rFonts w:ascii="Georgia" w:hAnsi="Georgia"/>
          <w:sz w:val="20"/>
          <w:szCs w:val="20"/>
          <w:lang w:val="lt-LT"/>
        </w:rPr>
        <w:t>Vertinimas atliekamas tik finansinių priemonių atžvilgiu. Finansinėmis priemonėmis yra laikomos finansinės paramos priemonės, kurios įgyvendinamos remiantis papildomumo principu, siekiant iš anksto apibrėžtų politikos tikslų. Finansinės priemonės gali apimti nuosavo kapitalo investicijas, kvazinuosavo kapitalo investicijas, paskolas, garantijas, taip pat kitas rizikos pasidalinimo priemones. Finansinių priemonių įgyvendinimas gali būti susietas su subsidijų teikimu (negrąžintina subsidija, paskolų palūkanų kompensavimas), tačiau šiame dokumente vertinimas yra atliekamas tik finansinių priemonių atžvilgiu. Kitaip tariant, vertinimas neapima planuojamų subsidijų skyrimo procese dalyvaujančių asmenų ir jiems daromos įtakos.</w:t>
      </w:r>
    </w:p>
    <w:p w14:paraId="05506A0B" w14:textId="77777777" w:rsidR="00EF6FC0" w:rsidRPr="00BC6574" w:rsidRDefault="00EF6FC0" w:rsidP="00EF6FC0">
      <w:pPr>
        <w:ind w:left="284"/>
        <w:jc w:val="both"/>
        <w:rPr>
          <w:rFonts w:ascii="Georgia" w:hAnsi="Georgia"/>
          <w:sz w:val="20"/>
          <w:szCs w:val="20"/>
          <w:lang w:val="lt-LT"/>
        </w:rPr>
      </w:pPr>
      <w:r>
        <w:rPr>
          <w:rFonts w:ascii="Georgia" w:hAnsi="Georgia"/>
          <w:sz w:val="20"/>
          <w:szCs w:val="20"/>
          <w:lang w:val="lt-LT"/>
        </w:rPr>
        <w:t>Daugiabučių renovacijai, pagal alternatyvų vertinimo rezultatus, yra pasirinktas</w:t>
      </w:r>
      <w:r w:rsidRPr="00325F8E">
        <w:rPr>
          <w:rFonts w:ascii="Georgia" w:hAnsi="Georgia"/>
          <w:sz w:val="20"/>
          <w:szCs w:val="20"/>
          <w:lang w:val="lt-LT"/>
        </w:rPr>
        <w:t xml:space="preserve"> </w:t>
      </w:r>
      <w:r>
        <w:rPr>
          <w:rFonts w:ascii="Georgia" w:hAnsi="Georgia"/>
          <w:sz w:val="20"/>
          <w:szCs w:val="20"/>
          <w:lang w:val="lt-LT"/>
        </w:rPr>
        <w:t>lengvatinės paskolos finansinės priemonės bei subsidijos taikymo derinys, steigiant juridinio asmens statusą turintį fondą.</w:t>
      </w:r>
    </w:p>
    <w:p w14:paraId="7900E0CA" w14:textId="77777777" w:rsidR="00EF6FC0" w:rsidRDefault="00EF6FC0" w:rsidP="00EF6FC0">
      <w:pPr>
        <w:jc w:val="both"/>
        <w:rPr>
          <w:rFonts w:ascii="Georgia" w:hAnsi="Georgia"/>
          <w:sz w:val="20"/>
          <w:szCs w:val="20"/>
          <w:lang w:val="lt-LT"/>
        </w:rPr>
      </w:pPr>
      <w:r>
        <w:rPr>
          <w:rFonts w:ascii="Georgia" w:hAnsi="Georgia"/>
          <w:sz w:val="20"/>
          <w:szCs w:val="20"/>
          <w:lang w:val="lt-LT"/>
        </w:rPr>
        <w:t>Įgyvendinant priemonę, dalyvauja šie ūkio subjektai:</w:t>
      </w:r>
    </w:p>
    <w:p w14:paraId="31BC9973" w14:textId="77777777" w:rsidR="00EF6FC0" w:rsidRDefault="00EF6FC0" w:rsidP="002A576D">
      <w:pPr>
        <w:pStyle w:val="Sraopastraipa"/>
        <w:numPr>
          <w:ilvl w:val="0"/>
          <w:numId w:val="116"/>
        </w:numPr>
        <w:ind w:left="709"/>
        <w:jc w:val="both"/>
        <w:rPr>
          <w:rFonts w:ascii="Georgia" w:hAnsi="Georgia"/>
          <w:sz w:val="20"/>
          <w:szCs w:val="20"/>
          <w:lang w:val="lt-LT"/>
        </w:rPr>
      </w:pPr>
      <w:r>
        <w:rPr>
          <w:rFonts w:ascii="Georgia" w:hAnsi="Georgia"/>
          <w:sz w:val="20"/>
          <w:szCs w:val="20"/>
          <w:lang w:val="lt-LT"/>
        </w:rPr>
        <w:t>fondo steigimui reikalingą finansavimą suteikiančios bei investiciniame komitete dalyvaujančios viešosios institucijos (Lietuvos Respublikos aplinkos ministerija, Lietuvos Respublikos finansų ministerija);</w:t>
      </w:r>
    </w:p>
    <w:p w14:paraId="2B579231" w14:textId="77777777" w:rsidR="00EF6FC0" w:rsidRDefault="00EF6FC0" w:rsidP="002A576D">
      <w:pPr>
        <w:pStyle w:val="Sraopastraipa"/>
        <w:numPr>
          <w:ilvl w:val="0"/>
          <w:numId w:val="116"/>
        </w:numPr>
        <w:ind w:left="709"/>
        <w:jc w:val="both"/>
        <w:rPr>
          <w:rFonts w:ascii="Georgia" w:hAnsi="Georgia"/>
          <w:sz w:val="20"/>
          <w:szCs w:val="20"/>
          <w:lang w:val="lt-LT"/>
        </w:rPr>
      </w:pPr>
      <w:r>
        <w:rPr>
          <w:rFonts w:ascii="Georgia" w:hAnsi="Georgia"/>
          <w:sz w:val="20"/>
          <w:szCs w:val="20"/>
          <w:lang w:val="lt-LT"/>
        </w:rPr>
        <w:t>fondo valdytojas, kuris vykdo fondo valdymo investicinio komiteto pavedimus, teikia fondo valdymo paslaugas nurodytoms viešosioms institucijoms ir investuotojams, valdydamas fondą, taip pat gaudamas fondo valdymo mokestį;</w:t>
      </w:r>
    </w:p>
    <w:p w14:paraId="59902B3B" w14:textId="77777777" w:rsidR="00EF6FC0" w:rsidRDefault="00EF6FC0" w:rsidP="002A576D">
      <w:pPr>
        <w:pStyle w:val="Sraopastraipa"/>
        <w:numPr>
          <w:ilvl w:val="0"/>
          <w:numId w:val="116"/>
        </w:numPr>
        <w:ind w:left="709"/>
        <w:jc w:val="both"/>
        <w:rPr>
          <w:rFonts w:ascii="Georgia" w:hAnsi="Georgia"/>
          <w:sz w:val="20"/>
          <w:szCs w:val="20"/>
          <w:lang w:val="lt-LT"/>
        </w:rPr>
      </w:pPr>
      <w:r>
        <w:rPr>
          <w:rFonts w:ascii="Georgia" w:hAnsi="Georgia"/>
          <w:sz w:val="20"/>
          <w:szCs w:val="20"/>
          <w:lang w:val="lt-LT"/>
        </w:rPr>
        <w:t>privatūs instituciniai bei profesionalūs investuotojai;</w:t>
      </w:r>
    </w:p>
    <w:p w14:paraId="0AD75093" w14:textId="77777777" w:rsidR="00EF6FC0" w:rsidRDefault="00EF6FC0" w:rsidP="002A576D">
      <w:pPr>
        <w:pStyle w:val="Sraopastraipa"/>
        <w:numPr>
          <w:ilvl w:val="0"/>
          <w:numId w:val="116"/>
        </w:numPr>
        <w:ind w:left="709"/>
        <w:jc w:val="both"/>
        <w:rPr>
          <w:rFonts w:ascii="Georgia" w:hAnsi="Georgia"/>
          <w:sz w:val="20"/>
          <w:szCs w:val="20"/>
          <w:lang w:val="lt-LT"/>
        </w:rPr>
      </w:pPr>
      <w:r>
        <w:rPr>
          <w:rFonts w:ascii="Georgia" w:hAnsi="Georgia"/>
          <w:sz w:val="20"/>
          <w:szCs w:val="20"/>
          <w:lang w:val="lt-LT"/>
        </w:rPr>
        <w:t>fondas (kaip atskiras juridinis asmuo);</w:t>
      </w:r>
    </w:p>
    <w:p w14:paraId="013ADE97" w14:textId="77777777" w:rsidR="00EF6FC0" w:rsidRDefault="00EF6FC0" w:rsidP="002A576D">
      <w:pPr>
        <w:pStyle w:val="Sraopastraipa"/>
        <w:numPr>
          <w:ilvl w:val="0"/>
          <w:numId w:val="116"/>
        </w:numPr>
        <w:ind w:left="709"/>
        <w:jc w:val="both"/>
        <w:rPr>
          <w:rFonts w:ascii="Georgia" w:hAnsi="Georgia"/>
          <w:sz w:val="20"/>
          <w:szCs w:val="20"/>
          <w:lang w:val="lt-LT"/>
        </w:rPr>
      </w:pPr>
      <w:r>
        <w:rPr>
          <w:rFonts w:ascii="Georgia" w:hAnsi="Georgia"/>
          <w:sz w:val="20"/>
          <w:szCs w:val="20"/>
          <w:lang w:val="lt-LT"/>
        </w:rPr>
        <w:t>įgyvendinant priemonę, numatoma galimybė pasitelkti finansinius tarpininkus, kurie vykdytų finansavimo nukreipimo konkretiems projektams funkciją;</w:t>
      </w:r>
    </w:p>
    <w:p w14:paraId="4A79E966" w14:textId="77777777" w:rsidR="00EF6FC0" w:rsidRDefault="00EF6FC0" w:rsidP="002A576D">
      <w:pPr>
        <w:pStyle w:val="Sraopastraipa"/>
        <w:numPr>
          <w:ilvl w:val="0"/>
          <w:numId w:val="116"/>
        </w:numPr>
        <w:ind w:left="709"/>
        <w:jc w:val="both"/>
        <w:rPr>
          <w:rFonts w:ascii="Georgia" w:hAnsi="Georgia"/>
          <w:sz w:val="20"/>
          <w:szCs w:val="20"/>
          <w:lang w:val="lt-LT"/>
        </w:rPr>
      </w:pPr>
      <w:r>
        <w:rPr>
          <w:rFonts w:ascii="Georgia" w:hAnsi="Georgia"/>
          <w:sz w:val="20"/>
          <w:szCs w:val="20"/>
          <w:lang w:val="lt-LT"/>
        </w:rPr>
        <w:t>daugiabučių namų bendrijos, taip pat daugiabučių namų administratoriai.</w:t>
      </w:r>
    </w:p>
    <w:p w14:paraId="41FBBDC8" w14:textId="77777777" w:rsidR="00EF6FC0" w:rsidRDefault="00EF6FC0" w:rsidP="002A576D">
      <w:pPr>
        <w:pStyle w:val="Sraopastraipa"/>
        <w:numPr>
          <w:ilvl w:val="0"/>
          <w:numId w:val="116"/>
        </w:numPr>
        <w:ind w:left="709"/>
        <w:jc w:val="both"/>
        <w:rPr>
          <w:rFonts w:ascii="Georgia" w:hAnsi="Georgia"/>
          <w:sz w:val="20"/>
          <w:szCs w:val="20"/>
          <w:lang w:val="lt-LT"/>
        </w:rPr>
      </w:pPr>
      <w:r>
        <w:rPr>
          <w:rFonts w:ascii="Georgia" w:hAnsi="Georgia"/>
          <w:sz w:val="20"/>
          <w:szCs w:val="20"/>
          <w:lang w:val="lt-LT"/>
        </w:rPr>
        <w:t>daugiabučių namų gyventojai (fiziniai asmenys), taip pat daugiabučių namų butuose įsikūrę juridiniai asmenys;</w:t>
      </w:r>
    </w:p>
    <w:p w14:paraId="71AC6AC9" w14:textId="77777777" w:rsidR="00EF6FC0" w:rsidRDefault="00EF6FC0" w:rsidP="002A576D">
      <w:pPr>
        <w:pStyle w:val="Sraopastraipa"/>
        <w:numPr>
          <w:ilvl w:val="0"/>
          <w:numId w:val="116"/>
        </w:numPr>
        <w:ind w:left="709"/>
        <w:jc w:val="both"/>
        <w:rPr>
          <w:rFonts w:ascii="Georgia" w:hAnsi="Georgia"/>
          <w:sz w:val="20"/>
          <w:szCs w:val="20"/>
          <w:lang w:val="lt-LT"/>
        </w:rPr>
      </w:pPr>
      <w:r>
        <w:rPr>
          <w:rFonts w:ascii="Georgia" w:hAnsi="Georgia"/>
          <w:sz w:val="20"/>
          <w:szCs w:val="20"/>
          <w:lang w:val="lt-LT"/>
        </w:rPr>
        <w:t>rangos darbus vykdantys ūkio subjektai.</w:t>
      </w:r>
    </w:p>
    <w:p w14:paraId="7E8985A5" w14:textId="77777777" w:rsidR="008D5EBC" w:rsidRPr="008D5EBC" w:rsidRDefault="008D5EBC" w:rsidP="008D5EBC">
      <w:pPr>
        <w:jc w:val="both"/>
        <w:rPr>
          <w:rFonts w:ascii="Georgia" w:hAnsi="Georgia"/>
          <w:sz w:val="20"/>
          <w:szCs w:val="20"/>
          <w:lang w:val="lt-LT"/>
        </w:rPr>
      </w:pPr>
    </w:p>
    <w:p w14:paraId="7CD9090B" w14:textId="77777777" w:rsidR="00EF6FC0" w:rsidRDefault="00EF6FC0" w:rsidP="00EA16CD">
      <w:pPr>
        <w:pStyle w:val="Antrat2"/>
        <w:numPr>
          <w:ilvl w:val="3"/>
          <w:numId w:val="2"/>
        </w:numPr>
        <w:rPr>
          <w:lang w:val="lt-LT"/>
        </w:rPr>
      </w:pPr>
      <w:bookmarkStart w:id="305" w:name="_Toc417378413"/>
      <w:r>
        <w:rPr>
          <w:lang w:val="lt-LT"/>
        </w:rPr>
        <w:t>Priemonės įgyvendinimo mechanizmo klasifikavimas</w:t>
      </w:r>
      <w:bookmarkEnd w:id="305"/>
    </w:p>
    <w:p w14:paraId="2D3CDFD0" w14:textId="77777777" w:rsidR="008D5EBC" w:rsidRDefault="008D5EBC" w:rsidP="00EF6FC0">
      <w:pPr>
        <w:jc w:val="both"/>
        <w:rPr>
          <w:rFonts w:ascii="Georgia" w:hAnsi="Georgia"/>
          <w:sz w:val="20"/>
          <w:szCs w:val="20"/>
          <w:lang w:val="lt-LT"/>
        </w:rPr>
      </w:pPr>
    </w:p>
    <w:p w14:paraId="1362E8EF" w14:textId="77777777" w:rsidR="00EF6FC0" w:rsidRDefault="00EF6FC0" w:rsidP="00EF6FC0">
      <w:pPr>
        <w:jc w:val="both"/>
        <w:rPr>
          <w:rFonts w:ascii="Georgia" w:hAnsi="Georgia"/>
          <w:sz w:val="20"/>
          <w:szCs w:val="20"/>
          <w:lang w:val="lt-LT"/>
        </w:rPr>
      </w:pPr>
      <w:r>
        <w:rPr>
          <w:rFonts w:ascii="Georgia" w:hAnsi="Georgia"/>
          <w:sz w:val="20"/>
          <w:szCs w:val="20"/>
          <w:lang w:val="lt-LT"/>
        </w:rPr>
        <w:t>Finansinės priemonės vertinimas, siekiant nustatyti valstybės pagalbos buvimo požymius, turi būti atliekamas kiekvienos tikslinės grupės atžvilgiu atskirai, kadangi priemonės įgyvendinimo poveikis kiekvienai skirtingai grupei gali būti kitoks.</w:t>
      </w:r>
    </w:p>
    <w:p w14:paraId="548EDF68" w14:textId="77777777" w:rsidR="00EF6FC0" w:rsidRDefault="00EF6FC0" w:rsidP="00EF6FC0">
      <w:pPr>
        <w:jc w:val="both"/>
        <w:rPr>
          <w:rFonts w:ascii="Georgia" w:hAnsi="Georgia"/>
          <w:sz w:val="20"/>
          <w:szCs w:val="20"/>
          <w:lang w:val="lt-LT"/>
        </w:rPr>
      </w:pPr>
      <w:r w:rsidRPr="006D12E1">
        <w:rPr>
          <w:rFonts w:ascii="Georgia" w:hAnsi="Georgia"/>
          <w:b/>
          <w:sz w:val="20"/>
          <w:szCs w:val="20"/>
          <w:lang w:val="lt-LT"/>
        </w:rPr>
        <w:t>Fondo steigimui reikalingą finansavimą suteikiančios viešosios institucijos</w:t>
      </w:r>
    </w:p>
    <w:p w14:paraId="081D76AC" w14:textId="77777777" w:rsidR="00EF6FC0" w:rsidRDefault="00EF6FC0" w:rsidP="00EF6FC0">
      <w:pPr>
        <w:jc w:val="both"/>
        <w:rPr>
          <w:rFonts w:ascii="Georgia" w:hAnsi="Georgia"/>
          <w:sz w:val="20"/>
          <w:szCs w:val="20"/>
          <w:lang w:val="lt-LT"/>
        </w:rPr>
      </w:pPr>
      <w:r>
        <w:rPr>
          <w:rFonts w:ascii="Georgia" w:hAnsi="Georgia"/>
          <w:sz w:val="20"/>
          <w:szCs w:val="20"/>
          <w:lang w:val="lt-LT"/>
        </w:rPr>
        <w:t>Lietuvos Respublikos aplinkos ministerija bei Lietuvos Respublikos finansų ministerija, vykdydamos jiems pavestas funkcijas pagal Bendrųjų nuostatų reglamento reikalavimus, taip pat pagal Lietuvos Respublikos biudžeto sandaros įstatymo, Projektų administravimo ir finansavimo taisyklių nuostatas, vykdo tik viešąsias funkcijas, tai yra šios finansinės priemonės kontekste vykdo neekonominę veiklą bei negali būti laikomi ūkio subjektais.</w:t>
      </w:r>
    </w:p>
    <w:p w14:paraId="6D5E4873" w14:textId="77777777" w:rsidR="00EF6FC0" w:rsidRDefault="00EF6FC0" w:rsidP="00EF6FC0">
      <w:pPr>
        <w:jc w:val="both"/>
        <w:rPr>
          <w:rFonts w:ascii="Georgia" w:hAnsi="Georgia"/>
          <w:sz w:val="20"/>
          <w:szCs w:val="20"/>
          <w:lang w:val="lt-LT"/>
        </w:rPr>
      </w:pPr>
      <w:r>
        <w:rPr>
          <w:rFonts w:ascii="Georgia" w:hAnsi="Georgia"/>
          <w:sz w:val="20"/>
          <w:szCs w:val="20"/>
          <w:lang w:val="lt-LT"/>
        </w:rPr>
        <w:lastRenderedPageBreak/>
        <w:t>Pabrėžtina, kad šioms viešosioms institucijoms, detalizuojant priemonės aprašymą, negali būti numatytas jokios ekonominės naudos atsiradimas (pvz., sėkmės mokestis, valdymo mokestis, išduotų paskolų palūkanų panaudojimas įstaigos reikmėms, kt.), kadangi tokiu atveju atsirastų valstybės pagalbos atsiradimo rizika.</w:t>
      </w:r>
    </w:p>
    <w:p w14:paraId="550E44CF" w14:textId="77777777" w:rsidR="00EF6FC0" w:rsidRDefault="00EF6FC0" w:rsidP="002A248B">
      <w:pPr>
        <w:keepNext/>
        <w:jc w:val="both"/>
        <w:rPr>
          <w:rFonts w:ascii="Georgia" w:hAnsi="Georgia"/>
          <w:sz w:val="20"/>
          <w:szCs w:val="20"/>
          <w:lang w:val="lt-LT"/>
        </w:rPr>
      </w:pPr>
      <w:r>
        <w:rPr>
          <w:rFonts w:ascii="Georgia" w:hAnsi="Georgia"/>
          <w:b/>
          <w:sz w:val="20"/>
          <w:szCs w:val="20"/>
          <w:lang w:val="lt-LT"/>
        </w:rPr>
        <w:t>F</w:t>
      </w:r>
      <w:r w:rsidRPr="005D485D">
        <w:rPr>
          <w:rFonts w:ascii="Georgia" w:hAnsi="Georgia"/>
          <w:b/>
          <w:sz w:val="20"/>
          <w:szCs w:val="20"/>
          <w:lang w:val="lt-LT"/>
        </w:rPr>
        <w:t>ondo valdytojas</w:t>
      </w:r>
    </w:p>
    <w:p w14:paraId="1F729BBB" w14:textId="77777777" w:rsidR="00EF6FC0" w:rsidRDefault="00EF6FC0" w:rsidP="002A248B">
      <w:pPr>
        <w:keepNext/>
        <w:jc w:val="both"/>
        <w:rPr>
          <w:rFonts w:ascii="Georgia" w:hAnsi="Georgia"/>
          <w:sz w:val="20"/>
          <w:szCs w:val="20"/>
          <w:lang w:val="lt-LT"/>
        </w:rPr>
      </w:pPr>
      <w:r>
        <w:rPr>
          <w:rFonts w:ascii="Georgia" w:hAnsi="Georgia"/>
          <w:sz w:val="20"/>
          <w:szCs w:val="20"/>
          <w:lang w:val="lt-LT"/>
        </w:rPr>
        <w:t>Pagal numatomą mechanizmą, fondo valdytojas turi būti atskiras juridinis asmuo, teikiantis fondo valdymo paslaugas. Pabrėžtina, kad numatoma fondo valdytojo teisinė forma valstybės pagalbos požiūriu nėra svarbus veiksnys, kuris nulemtų valstybės pagalbos buvimą (nebuvimą), tačiau atskiro juridinio asmens įsteigimas nulemia didesnį skaidrumą bei atskaitomybę.</w:t>
      </w:r>
    </w:p>
    <w:p w14:paraId="0ACD294E" w14:textId="77777777" w:rsidR="00EF6FC0" w:rsidRDefault="00EF6FC0" w:rsidP="00EF6FC0">
      <w:pPr>
        <w:jc w:val="both"/>
        <w:rPr>
          <w:rFonts w:ascii="Georgia" w:hAnsi="Georgia"/>
          <w:sz w:val="20"/>
          <w:szCs w:val="20"/>
          <w:lang w:val="lt-LT"/>
        </w:rPr>
      </w:pPr>
      <w:r>
        <w:rPr>
          <w:rFonts w:ascii="Georgia" w:hAnsi="Georgia"/>
          <w:sz w:val="20"/>
          <w:szCs w:val="20"/>
          <w:lang w:val="lt-LT"/>
        </w:rPr>
        <w:t>Remiantis V</w:t>
      </w:r>
      <w:r w:rsidRPr="007F0CB4">
        <w:rPr>
          <w:rFonts w:ascii="Georgia" w:hAnsi="Georgia"/>
          <w:sz w:val="20"/>
          <w:szCs w:val="20"/>
          <w:lang w:val="lt-LT"/>
        </w:rPr>
        <w:t>alstybės pagalbos rizikos finansų investicijoms skatinti gairių</w:t>
      </w:r>
      <w:r>
        <w:rPr>
          <w:rFonts w:ascii="Georgia" w:hAnsi="Georgia"/>
          <w:sz w:val="20"/>
          <w:szCs w:val="20"/>
          <w:lang w:val="lt-LT"/>
        </w:rPr>
        <w:t xml:space="preserve"> (toliau – Rizikos finansų gairės) 39 punktu, „</w:t>
      </w:r>
      <w:r w:rsidRPr="005A41D2">
        <w:rPr>
          <w:rFonts w:ascii="Georgia" w:hAnsi="Georgia"/>
          <w:i/>
          <w:sz w:val="20"/>
          <w:szCs w:val="20"/>
          <w:lang w:val="lt-LT"/>
        </w:rPr>
        <w:t>jeigu rizikos finansų priemonę valdo įgaliotasis subjektas, bet šis subjektas neinvestuoja kartu su valstybe nare, įgaliotasis subjektas laikomas finansavimo nukreipimo priemone, o ne pagalbos gavėju, jeigu nėra kompensacijos permokos. Tačiau jeigu įgaliotasis subjektas finansuoja priemonę arba investuoja kartu su valstybe nare panašiai kaip finansų tarpininkai, Komisija turės įvertinti, ar įgaliotasis subjektas negauna valstybės pagalbos</w:t>
      </w:r>
      <w:r w:rsidRPr="007F0CB4">
        <w:rPr>
          <w:rFonts w:ascii="Georgia" w:hAnsi="Georgia"/>
          <w:sz w:val="20"/>
          <w:szCs w:val="20"/>
          <w:lang w:val="lt-LT"/>
        </w:rPr>
        <w:t>.</w:t>
      </w:r>
      <w:r>
        <w:rPr>
          <w:rFonts w:ascii="Georgia" w:hAnsi="Georgia"/>
          <w:sz w:val="20"/>
          <w:szCs w:val="20"/>
          <w:lang w:val="lt-LT"/>
        </w:rPr>
        <w:t>“</w:t>
      </w:r>
    </w:p>
    <w:p w14:paraId="7BB65D0A" w14:textId="77777777" w:rsidR="00EF6FC0" w:rsidRPr="00AC5A64" w:rsidRDefault="00EF6FC0" w:rsidP="00EF6FC0">
      <w:pPr>
        <w:jc w:val="both"/>
        <w:rPr>
          <w:rFonts w:ascii="Georgia" w:hAnsi="Georgia"/>
          <w:sz w:val="20"/>
          <w:szCs w:val="20"/>
          <w:lang w:val="lt-LT"/>
        </w:rPr>
      </w:pPr>
      <w:r w:rsidRPr="00AC5A64">
        <w:rPr>
          <w:rFonts w:ascii="Georgia" w:hAnsi="Georgia"/>
          <w:sz w:val="20"/>
          <w:szCs w:val="20"/>
          <w:lang w:val="lt-LT"/>
        </w:rPr>
        <w:t>Kitaip tariant, tam, kad fondo valdytojui neiškiltų valstybės pagalbos teikimo grėsmė ir (ar) nebūtų taikomas reikalavimas dėl notifikavimo, yra būtina laikytis šių finansinės priemonės įgyvendinimo sąlygų:</w:t>
      </w:r>
    </w:p>
    <w:p w14:paraId="1E1C4252" w14:textId="77777777" w:rsidR="00EF6FC0" w:rsidRPr="00AC5A64" w:rsidRDefault="00EF6FC0" w:rsidP="002A576D">
      <w:pPr>
        <w:pStyle w:val="Sraopastraipa"/>
        <w:numPr>
          <w:ilvl w:val="0"/>
          <w:numId w:val="91"/>
        </w:numPr>
        <w:jc w:val="both"/>
        <w:rPr>
          <w:rFonts w:ascii="Georgia" w:hAnsi="Georgia"/>
          <w:sz w:val="20"/>
          <w:szCs w:val="20"/>
          <w:lang w:val="lt-LT"/>
        </w:rPr>
      </w:pPr>
      <w:r w:rsidRPr="00AC5A64">
        <w:rPr>
          <w:rFonts w:ascii="Georgia" w:hAnsi="Georgia"/>
          <w:sz w:val="20"/>
          <w:szCs w:val="20"/>
          <w:lang w:val="lt-LT"/>
        </w:rPr>
        <w:t>įgaliotasis subjektas negali investuoti kartu su viešuoju sektoriumi,</w:t>
      </w:r>
    </w:p>
    <w:p w14:paraId="3D28F6AA" w14:textId="77777777" w:rsidR="00EF6FC0" w:rsidRPr="00AC5A64" w:rsidRDefault="00EF6FC0" w:rsidP="002A576D">
      <w:pPr>
        <w:pStyle w:val="Sraopastraipa"/>
        <w:numPr>
          <w:ilvl w:val="0"/>
          <w:numId w:val="91"/>
        </w:numPr>
        <w:jc w:val="both"/>
        <w:rPr>
          <w:rFonts w:ascii="Georgia" w:hAnsi="Georgia"/>
          <w:sz w:val="20"/>
          <w:szCs w:val="20"/>
          <w:lang w:val="lt-LT"/>
        </w:rPr>
      </w:pPr>
      <w:r w:rsidRPr="00AC5A64">
        <w:rPr>
          <w:rFonts w:ascii="Georgia" w:hAnsi="Georgia"/>
          <w:sz w:val="20"/>
          <w:szCs w:val="20"/>
          <w:lang w:val="lt-LT"/>
        </w:rPr>
        <w:t>kompensacija už teikiamas fondo valdymo paslaugas negali būti per didelė.</w:t>
      </w:r>
    </w:p>
    <w:p w14:paraId="678BBE68" w14:textId="77777777" w:rsidR="00EF6FC0" w:rsidRPr="00AC5A64" w:rsidRDefault="00EF6FC0" w:rsidP="00EF6FC0">
      <w:pPr>
        <w:jc w:val="both"/>
        <w:rPr>
          <w:rFonts w:ascii="Georgia" w:hAnsi="Georgia"/>
          <w:sz w:val="20"/>
          <w:szCs w:val="20"/>
          <w:lang w:val="lt-LT"/>
        </w:rPr>
      </w:pPr>
      <w:r w:rsidRPr="00AC5A64">
        <w:rPr>
          <w:rFonts w:ascii="Georgia" w:hAnsi="Georgia"/>
          <w:sz w:val="20"/>
          <w:szCs w:val="20"/>
          <w:lang w:val="lt-LT"/>
        </w:rPr>
        <w:t>Jeigu išpildomos abi sąlygos, valstybės pagalbos rizika yra eliminuojama.</w:t>
      </w:r>
    </w:p>
    <w:p w14:paraId="77149623" w14:textId="77777777" w:rsidR="00EF6FC0" w:rsidRPr="00A20F4A" w:rsidRDefault="00EF6FC0" w:rsidP="00EF6FC0">
      <w:pPr>
        <w:pStyle w:val="Sraopastraipa"/>
        <w:ind w:left="0"/>
        <w:jc w:val="both"/>
        <w:rPr>
          <w:rFonts w:ascii="Georgia" w:hAnsi="Georgia"/>
          <w:sz w:val="20"/>
          <w:szCs w:val="20"/>
          <w:lang w:val="lt-LT"/>
        </w:rPr>
      </w:pPr>
      <w:r w:rsidRPr="00AC5A64">
        <w:rPr>
          <w:rFonts w:ascii="Georgia" w:hAnsi="Georgia"/>
          <w:sz w:val="20"/>
          <w:szCs w:val="20"/>
          <w:lang w:val="lt-LT"/>
        </w:rPr>
        <w:t xml:space="preserve">Pabrėžtina, kad pagal Rizikos finansų gairių 39 p., jeigu fondo valdytojas suteikia finansavimą priemonei arba investuoja kartu su valstybe kaip finansų tarpininkas, Europos Komisija turės įvertinti, ar įgaliotasis subjektas negauna valstybės pagalbos. Nesant išlygos su nuoroda į kitus Rizikos finansų gairių punktus, pagal kuriuos gali būti laikoma, kad finansiniai tarpininkai negauna valstybės pagalbos, tikėtina, </w:t>
      </w:r>
      <w:r w:rsidRPr="00A20F4A">
        <w:rPr>
          <w:rFonts w:ascii="Georgia" w:hAnsi="Georgia"/>
          <w:sz w:val="20"/>
          <w:szCs w:val="20"/>
          <w:lang w:val="lt-LT"/>
        </w:rPr>
        <w:t>kad fondo valdytojas, vykdantis nurodytą veiklą, turi būti įvertintas Europos Komisijos valstybės pagalbos taisyklių taikymo požiūriu visais atvejais. Dėl šios priežasties, nustatant priemonės taisykles, yra siūloma apriboti fondo valdytojo galimybes suteikti finansavimą numatomai įgyvendinti priemonei.</w:t>
      </w:r>
    </w:p>
    <w:p w14:paraId="6BD0AE4E" w14:textId="77777777" w:rsidR="00EF6FC0" w:rsidRPr="00A20F4A" w:rsidRDefault="00EF6FC0" w:rsidP="00EF6FC0">
      <w:pPr>
        <w:jc w:val="both"/>
        <w:rPr>
          <w:rFonts w:ascii="Georgia" w:hAnsi="Georgia"/>
          <w:sz w:val="20"/>
          <w:szCs w:val="20"/>
          <w:lang w:val="lt-LT"/>
        </w:rPr>
      </w:pPr>
      <w:r w:rsidRPr="00A20F4A">
        <w:rPr>
          <w:rFonts w:ascii="Georgia" w:hAnsi="Georgia"/>
          <w:sz w:val="20"/>
          <w:szCs w:val="20"/>
          <w:lang w:val="lt-LT"/>
        </w:rPr>
        <w:t>Svarbu, kad fondo valdytoją parinkus</w:t>
      </w:r>
      <w:r w:rsidRPr="001D30F7">
        <w:rPr>
          <w:rFonts w:ascii="Georgia" w:hAnsi="Georgia"/>
          <w:sz w:val="20"/>
          <w:szCs w:val="20"/>
          <w:lang w:val="lt-LT"/>
        </w:rPr>
        <w:t xml:space="preserve"> </w:t>
      </w:r>
      <w:r w:rsidRPr="00A20F4A">
        <w:rPr>
          <w:rFonts w:ascii="Georgia" w:hAnsi="Georgia"/>
          <w:sz w:val="20"/>
          <w:szCs w:val="20"/>
          <w:lang w:val="lt-LT"/>
        </w:rPr>
        <w:t>atvira, skaidria, nediskriminacine ir objektyvia tvarka, pagal Rizikos finansų gairių 40 p., valstybės pagalba fondo valdytojui nėra teikiama. Tokia pati situacija susidaro, kai fondo valdytojo atlygis visiškai</w:t>
      </w:r>
      <w:r w:rsidRPr="001D30F7">
        <w:rPr>
          <w:rFonts w:ascii="Georgia" w:hAnsi="Georgia"/>
          <w:sz w:val="20"/>
          <w:szCs w:val="20"/>
          <w:lang w:val="lt-LT"/>
        </w:rPr>
        <w:t xml:space="preserve"> </w:t>
      </w:r>
      <w:r w:rsidRPr="00A20F4A">
        <w:rPr>
          <w:rFonts w:ascii="Georgia" w:hAnsi="Georgia"/>
          <w:sz w:val="20"/>
          <w:szCs w:val="20"/>
          <w:lang w:val="lt-LT"/>
        </w:rPr>
        <w:t>atspindi atitinkamose situacijose mokamus atlygius rinkoje.</w:t>
      </w:r>
    </w:p>
    <w:p w14:paraId="3FBBCE43" w14:textId="77777777" w:rsidR="00EF6FC0" w:rsidRPr="00A20F4A" w:rsidRDefault="00EF6FC0" w:rsidP="00EF6FC0">
      <w:pPr>
        <w:jc w:val="both"/>
        <w:rPr>
          <w:rFonts w:ascii="Georgia" w:hAnsi="Georgia"/>
          <w:sz w:val="20"/>
          <w:szCs w:val="20"/>
          <w:lang w:val="lt-LT"/>
        </w:rPr>
      </w:pPr>
      <w:r w:rsidRPr="00A20F4A">
        <w:rPr>
          <w:rFonts w:ascii="Georgia" w:hAnsi="Georgia"/>
          <w:sz w:val="20"/>
          <w:szCs w:val="20"/>
          <w:lang w:val="lt-LT"/>
        </w:rPr>
        <w:t xml:space="preserve">Jeigu fondo valdytojas </w:t>
      </w:r>
      <w:r>
        <w:rPr>
          <w:rFonts w:ascii="Georgia" w:hAnsi="Georgia"/>
          <w:sz w:val="20"/>
          <w:szCs w:val="20"/>
          <w:lang w:val="lt-LT"/>
        </w:rPr>
        <w:t xml:space="preserve">yra viešasis subjektas ir </w:t>
      </w:r>
      <w:r w:rsidRPr="00A20F4A">
        <w:rPr>
          <w:rFonts w:ascii="Georgia" w:hAnsi="Georgia"/>
          <w:sz w:val="20"/>
          <w:szCs w:val="20"/>
          <w:lang w:val="lt-LT"/>
        </w:rPr>
        <w:t xml:space="preserve">nėra parinktas atvira, skaidria, nediskriminacine ir objektyvia tvarka (pvz., fondo valdytojas buvo paskirtas atskiru teisės aktu), tam, kad fondo valdytojas nebūtų laikomas valstybės pagalbos gavėju (tai yra tam, kad būtų pripažinta atitiktis aukščiau nurodytam </w:t>
      </w:r>
      <w:r w:rsidRPr="00A20F4A">
        <w:rPr>
          <w:rFonts w:ascii="Georgia" w:hAnsi="Georgia"/>
          <w:i/>
          <w:sz w:val="20"/>
          <w:szCs w:val="20"/>
          <w:lang w:val="lt-LT"/>
        </w:rPr>
        <w:t>b) ii.</w:t>
      </w:r>
      <w:r w:rsidRPr="00A20F4A">
        <w:rPr>
          <w:rFonts w:ascii="Georgia" w:hAnsi="Georgia"/>
          <w:sz w:val="20"/>
          <w:szCs w:val="20"/>
          <w:lang w:val="lt-LT"/>
        </w:rPr>
        <w:t xml:space="preserve"> punktui), turi būti įvykdytos šios sąlygos:</w:t>
      </w:r>
    </w:p>
    <w:p w14:paraId="22E4B7C9" w14:textId="77777777" w:rsidR="00EF6FC0" w:rsidRPr="00A20F4A" w:rsidRDefault="00EF6FC0" w:rsidP="002A576D">
      <w:pPr>
        <w:pStyle w:val="Sraopastraipa"/>
        <w:numPr>
          <w:ilvl w:val="0"/>
          <w:numId w:val="117"/>
        </w:numPr>
        <w:ind w:left="709"/>
        <w:jc w:val="both"/>
        <w:rPr>
          <w:rFonts w:ascii="Georgia" w:hAnsi="Georgia"/>
          <w:sz w:val="20"/>
          <w:szCs w:val="20"/>
          <w:lang w:val="lt-LT"/>
        </w:rPr>
      </w:pPr>
      <w:r w:rsidRPr="00A20F4A">
        <w:rPr>
          <w:rFonts w:ascii="Georgia" w:hAnsi="Georgia"/>
          <w:sz w:val="20"/>
          <w:szCs w:val="20"/>
          <w:lang w:val="lt-LT"/>
        </w:rPr>
        <w:t>valdymo mokesčio suma turi būti apribota (turi būti nurodytas maksimalus mokesčio dydis),</w:t>
      </w:r>
    </w:p>
    <w:p w14:paraId="3B6B4C86" w14:textId="77777777" w:rsidR="00EF6FC0" w:rsidRPr="00A20F4A" w:rsidRDefault="00EF6FC0" w:rsidP="002A576D">
      <w:pPr>
        <w:pStyle w:val="Sraopastraipa"/>
        <w:numPr>
          <w:ilvl w:val="0"/>
          <w:numId w:val="117"/>
        </w:numPr>
        <w:ind w:left="709"/>
        <w:jc w:val="both"/>
        <w:rPr>
          <w:rFonts w:ascii="Georgia" w:hAnsi="Georgia"/>
          <w:sz w:val="20"/>
          <w:szCs w:val="20"/>
          <w:lang w:val="lt-LT"/>
        </w:rPr>
      </w:pPr>
      <w:r w:rsidRPr="00A20F4A">
        <w:rPr>
          <w:rFonts w:ascii="Georgia" w:hAnsi="Georgia"/>
          <w:sz w:val="20"/>
          <w:szCs w:val="20"/>
          <w:lang w:val="lt-LT"/>
        </w:rPr>
        <w:t>valdymo mokesčio faktinė suma atspindi įprastas rinkos sąlygas,</w:t>
      </w:r>
    </w:p>
    <w:p w14:paraId="1E63747E" w14:textId="77777777" w:rsidR="00EF6FC0" w:rsidRPr="00A20F4A" w:rsidRDefault="00EF6FC0" w:rsidP="002A576D">
      <w:pPr>
        <w:pStyle w:val="Sraopastraipa"/>
        <w:numPr>
          <w:ilvl w:val="0"/>
          <w:numId w:val="117"/>
        </w:numPr>
        <w:ind w:left="709"/>
        <w:jc w:val="both"/>
        <w:rPr>
          <w:rFonts w:ascii="Georgia" w:hAnsi="Georgia"/>
          <w:sz w:val="20"/>
          <w:szCs w:val="20"/>
          <w:lang w:val="lt-LT"/>
        </w:rPr>
      </w:pPr>
      <w:r w:rsidRPr="00A20F4A">
        <w:rPr>
          <w:rFonts w:ascii="Georgia" w:hAnsi="Georgia"/>
          <w:sz w:val="20"/>
          <w:szCs w:val="20"/>
          <w:lang w:val="lt-LT"/>
        </w:rPr>
        <w:t>valdymo mokestis yra susietas su veiklos rezultatais,</w:t>
      </w:r>
    </w:p>
    <w:p w14:paraId="6878C802" w14:textId="77777777" w:rsidR="00EF6FC0" w:rsidRPr="00A20F4A" w:rsidRDefault="00EF6FC0" w:rsidP="002A576D">
      <w:pPr>
        <w:pStyle w:val="Sraopastraipa"/>
        <w:numPr>
          <w:ilvl w:val="0"/>
          <w:numId w:val="117"/>
        </w:numPr>
        <w:ind w:left="709"/>
        <w:jc w:val="both"/>
        <w:rPr>
          <w:rFonts w:ascii="Georgia" w:hAnsi="Georgia"/>
          <w:sz w:val="20"/>
          <w:szCs w:val="20"/>
          <w:lang w:val="lt-LT"/>
        </w:rPr>
      </w:pPr>
      <w:r w:rsidRPr="00A20F4A">
        <w:rPr>
          <w:rFonts w:ascii="Georgia" w:hAnsi="Georgia"/>
          <w:sz w:val="20"/>
          <w:szCs w:val="20"/>
          <w:lang w:val="lt-LT"/>
        </w:rPr>
        <w:t>įgaliotasis subjektas turi būti valdomas, remiantis komerciniais principais, tai yra investicijų sprendimai turi būti priimami, siekiant pelno, nepriklausomai nuo valstybės nurodymų. Siekiant užtikrinti atitiktį šiai sąlygai, fondo valdymo reguliuojančiuose dokumentuose turi būti numatytos nuostatos, kurios užtikrintų fondo valdytojo nepriklausomybę nuo galimų valstybės nurodymų,</w:t>
      </w:r>
    </w:p>
    <w:p w14:paraId="7C9DE471" w14:textId="77777777" w:rsidR="00EF6FC0" w:rsidRPr="00AB6767" w:rsidRDefault="00EF6FC0" w:rsidP="002A576D">
      <w:pPr>
        <w:pStyle w:val="Sraopastraipa"/>
        <w:numPr>
          <w:ilvl w:val="0"/>
          <w:numId w:val="117"/>
        </w:numPr>
        <w:ind w:left="709"/>
        <w:jc w:val="both"/>
        <w:rPr>
          <w:rFonts w:ascii="Georgia" w:hAnsi="Georgia"/>
          <w:sz w:val="20"/>
          <w:szCs w:val="20"/>
          <w:lang w:val="lt-LT"/>
        </w:rPr>
      </w:pPr>
      <w:r w:rsidRPr="00A20F4A">
        <w:rPr>
          <w:rFonts w:ascii="Georgia" w:hAnsi="Georgia"/>
          <w:sz w:val="20"/>
          <w:szCs w:val="20"/>
          <w:lang w:val="lt-LT"/>
        </w:rPr>
        <w:lastRenderedPageBreak/>
        <w:t>fondo valdytojas privalo privačius investuotojus pasirinkti</w:t>
      </w:r>
      <w:r w:rsidRPr="00446A6A">
        <w:rPr>
          <w:rFonts w:ascii="Georgia" w:hAnsi="Georgia"/>
          <w:sz w:val="20"/>
          <w:szCs w:val="20"/>
          <w:lang w:val="lt-LT"/>
        </w:rPr>
        <w:t xml:space="preserve"> </w:t>
      </w:r>
      <w:r w:rsidRPr="00A20F4A">
        <w:rPr>
          <w:rFonts w:ascii="Georgia" w:hAnsi="Georgia"/>
          <w:sz w:val="20"/>
          <w:szCs w:val="20"/>
          <w:lang w:val="lt-LT"/>
        </w:rPr>
        <w:t xml:space="preserve">atviro, skaidraus ir nediskriminacinio </w:t>
      </w:r>
      <w:r w:rsidRPr="00AB6767">
        <w:rPr>
          <w:rFonts w:ascii="Georgia" w:hAnsi="Georgia"/>
          <w:sz w:val="20"/>
          <w:szCs w:val="20"/>
          <w:lang w:val="lt-LT"/>
        </w:rPr>
        <w:t>konkurso tvarka.</w:t>
      </w:r>
    </w:p>
    <w:p w14:paraId="5051BC95" w14:textId="77777777" w:rsidR="00EF6FC0" w:rsidRPr="00AB6767" w:rsidRDefault="00EF6FC0" w:rsidP="00EF6FC0">
      <w:pPr>
        <w:jc w:val="both"/>
        <w:rPr>
          <w:rFonts w:ascii="Georgia" w:hAnsi="Georgia"/>
          <w:sz w:val="20"/>
          <w:szCs w:val="20"/>
          <w:lang w:val="lt-LT"/>
        </w:rPr>
      </w:pPr>
      <w:r w:rsidRPr="00AB6767">
        <w:rPr>
          <w:rFonts w:ascii="Georgia" w:hAnsi="Georgia"/>
          <w:sz w:val="20"/>
          <w:szCs w:val="20"/>
          <w:lang w:val="lt-LT"/>
        </w:rPr>
        <w:t xml:space="preserve">Pagal Bendrųjų nuostatų reglamento 38 str. 4 d. b) p., valstybė-narė, pasirinkusi plėtoti specifinius finansinius instrumentus (tai yra nepasirinkusi naudoti standartinių sąlygų (off-the-shelf) instrumentų), gali paskirti įgaliotuoju subjektu Europos investicijų banką (EIB), tarptautinę finansų įstaigą, kurioje valstybė-narė yra kapitalo dalies savininkas, valstybėje-narėje veikiančią finansų įstaigą, kuri siekia viešojo intereso, kontroliuojant viešajam sektoriui, arba kitai įstaigai, kurios veiklą reguliuoja viešoji arba civilinė teisė. </w:t>
      </w:r>
      <w:r>
        <w:rPr>
          <w:rFonts w:ascii="Georgia" w:hAnsi="Georgia"/>
          <w:sz w:val="20"/>
          <w:szCs w:val="20"/>
          <w:lang w:val="lt-LT"/>
        </w:rPr>
        <w:t>Ž</w:t>
      </w:r>
      <w:r w:rsidRPr="00AB6767">
        <w:rPr>
          <w:rFonts w:ascii="Georgia" w:hAnsi="Georgia"/>
          <w:sz w:val="20"/>
          <w:szCs w:val="20"/>
          <w:lang w:val="lt-LT"/>
        </w:rPr>
        <w:t>emiau pateikiamas vertinimas kiekvieno galimo subjekto atžvilgiu atskirai bei pateikiamas pasiūlymas valstybės pagalbos taisyklių bei apribojimų kontekste.</w:t>
      </w:r>
    </w:p>
    <w:p w14:paraId="6ABC91F1" w14:textId="77777777" w:rsidR="00EF6FC0" w:rsidRPr="00AB6767" w:rsidRDefault="00EF6FC0" w:rsidP="00EF6FC0">
      <w:pPr>
        <w:jc w:val="both"/>
        <w:rPr>
          <w:rFonts w:ascii="Georgia" w:hAnsi="Georgia"/>
          <w:sz w:val="20"/>
          <w:szCs w:val="20"/>
          <w:lang w:val="lt-LT"/>
        </w:rPr>
      </w:pPr>
      <w:r w:rsidRPr="00AB6767">
        <w:rPr>
          <w:rFonts w:ascii="Georgia" w:hAnsi="Georgia"/>
          <w:sz w:val="20"/>
          <w:szCs w:val="20"/>
          <w:lang w:val="lt-LT"/>
        </w:rPr>
        <w:t>EIB yra viešojo sektoriaus įstaiga, kuri galėtų būti paskirta remiantis Bendrųjų nuostatų reglamento nuostatomis, tačiau tam, kad būtų pripažinta, kad valstybės pagalba yra neteikiama, turi būti laikomasi visų aukščiau nurodytų sąlygų, taikytinų tais atvejais, kai įgaliotasis subjektas yra viešasis subjektas ir yra paskiriamas nesilaikant atviros, skaidrios, nediskriminacinės ir objektyvios tvarkos.</w:t>
      </w:r>
    </w:p>
    <w:p w14:paraId="5F37C761" w14:textId="77777777" w:rsidR="00EF6FC0" w:rsidRPr="00AB6767" w:rsidRDefault="00EF6FC0" w:rsidP="00EF6FC0">
      <w:pPr>
        <w:jc w:val="both"/>
        <w:rPr>
          <w:rFonts w:ascii="Georgia" w:hAnsi="Georgia"/>
          <w:sz w:val="20"/>
          <w:szCs w:val="20"/>
          <w:lang w:val="lt-LT"/>
        </w:rPr>
      </w:pPr>
      <w:r w:rsidRPr="00AB6767">
        <w:rPr>
          <w:rFonts w:ascii="Georgia" w:hAnsi="Georgia"/>
          <w:sz w:val="20"/>
          <w:szCs w:val="20"/>
          <w:lang w:val="lt-LT"/>
        </w:rPr>
        <w:t>Lietuva šiuo metu dalyvauja tik tose tarptautinėse finansų įstaigose, kurios yra laikomos viešaisiais subjektais, todėl pasirinkus šį modelį taip pat turėtų būti laikomasi visų aukščiau nurodytų sąlygų.</w:t>
      </w:r>
    </w:p>
    <w:p w14:paraId="79E8C59A" w14:textId="77777777" w:rsidR="00EF6FC0" w:rsidRPr="00AB6767" w:rsidRDefault="00EF6FC0" w:rsidP="00EF6FC0">
      <w:pPr>
        <w:jc w:val="both"/>
        <w:rPr>
          <w:rFonts w:ascii="Georgia" w:hAnsi="Georgia"/>
          <w:sz w:val="20"/>
          <w:szCs w:val="20"/>
          <w:lang w:val="lt-LT"/>
        </w:rPr>
      </w:pPr>
      <w:r w:rsidRPr="00AB6767">
        <w:rPr>
          <w:rFonts w:ascii="Georgia" w:hAnsi="Georgia"/>
          <w:sz w:val="20"/>
          <w:szCs w:val="20"/>
          <w:lang w:val="lt-LT"/>
        </w:rPr>
        <w:t xml:space="preserve">Pasirinkus valstybėje-narėje veikiančią finansų įstaigą, kuri siekia viešojo intereso, kontroliuojant viešajam sektoriui, tačiau </w:t>
      </w:r>
      <w:r>
        <w:rPr>
          <w:rFonts w:ascii="Georgia" w:hAnsi="Georgia"/>
          <w:sz w:val="20"/>
          <w:szCs w:val="20"/>
          <w:lang w:val="lt-LT"/>
        </w:rPr>
        <w:t xml:space="preserve">pati </w:t>
      </w:r>
      <w:r w:rsidRPr="00AB6767">
        <w:rPr>
          <w:rFonts w:ascii="Georgia" w:hAnsi="Georgia"/>
          <w:sz w:val="20"/>
          <w:szCs w:val="20"/>
          <w:lang w:val="lt-LT"/>
        </w:rPr>
        <w:t>nėra viešasis subjektas, valstybės pagalbos teikimo rizika būtų eliminuota šiais atvejais:</w:t>
      </w:r>
    </w:p>
    <w:p w14:paraId="71F19E54" w14:textId="77777777" w:rsidR="00EF6FC0" w:rsidRPr="00AB6767" w:rsidRDefault="00EF6FC0" w:rsidP="002A576D">
      <w:pPr>
        <w:pStyle w:val="Sraopastraipa"/>
        <w:numPr>
          <w:ilvl w:val="0"/>
          <w:numId w:val="92"/>
        </w:numPr>
        <w:ind w:hanging="436"/>
        <w:jc w:val="both"/>
        <w:rPr>
          <w:rFonts w:ascii="Georgia" w:hAnsi="Georgia"/>
          <w:sz w:val="20"/>
          <w:szCs w:val="20"/>
          <w:lang w:val="lt-LT"/>
        </w:rPr>
      </w:pPr>
      <w:r w:rsidRPr="00AB6767">
        <w:rPr>
          <w:rFonts w:ascii="Georgia" w:hAnsi="Georgia"/>
          <w:sz w:val="20"/>
          <w:szCs w:val="20"/>
          <w:lang w:val="lt-LT"/>
        </w:rPr>
        <w:t>fondo valdytojas parinktas atvira, skaidria, nediskriminacine ir objektyvia tvarka, arba</w:t>
      </w:r>
    </w:p>
    <w:p w14:paraId="5D53E03E" w14:textId="77777777" w:rsidR="00EF6FC0" w:rsidRPr="00AB6767" w:rsidRDefault="00EF6FC0" w:rsidP="002A576D">
      <w:pPr>
        <w:pStyle w:val="Sraopastraipa"/>
        <w:numPr>
          <w:ilvl w:val="0"/>
          <w:numId w:val="92"/>
        </w:numPr>
        <w:ind w:hanging="436"/>
        <w:jc w:val="both"/>
        <w:rPr>
          <w:rFonts w:ascii="Georgia" w:hAnsi="Georgia"/>
          <w:sz w:val="20"/>
          <w:szCs w:val="20"/>
          <w:lang w:val="lt-LT"/>
        </w:rPr>
      </w:pPr>
      <w:r w:rsidRPr="00AB6767">
        <w:rPr>
          <w:rFonts w:ascii="Georgia" w:hAnsi="Georgia"/>
          <w:sz w:val="20"/>
          <w:szCs w:val="20"/>
          <w:lang w:val="lt-LT"/>
        </w:rPr>
        <w:t>fondo valdytojo atlygis visiškai</w:t>
      </w:r>
      <w:r w:rsidRPr="00AB6767">
        <w:t xml:space="preserve"> </w:t>
      </w:r>
      <w:r w:rsidRPr="00AB6767">
        <w:rPr>
          <w:rFonts w:ascii="Georgia" w:hAnsi="Georgia"/>
          <w:sz w:val="20"/>
          <w:szCs w:val="20"/>
          <w:lang w:val="lt-LT"/>
        </w:rPr>
        <w:t>atspindi atitinkamose situacijose mokamus atlygius rinkoje.</w:t>
      </w:r>
    </w:p>
    <w:p w14:paraId="75CEA1BB" w14:textId="77777777" w:rsidR="00EF6FC0" w:rsidRPr="00AB6767" w:rsidRDefault="00EF6FC0" w:rsidP="00EF6FC0">
      <w:pPr>
        <w:jc w:val="both"/>
        <w:rPr>
          <w:rFonts w:ascii="Georgia" w:hAnsi="Georgia"/>
          <w:sz w:val="20"/>
          <w:szCs w:val="20"/>
          <w:lang w:val="lt-LT"/>
        </w:rPr>
      </w:pPr>
      <w:r w:rsidRPr="00AB6767">
        <w:rPr>
          <w:rFonts w:ascii="Georgia" w:hAnsi="Georgia"/>
          <w:sz w:val="20"/>
          <w:szCs w:val="20"/>
          <w:lang w:val="lt-LT"/>
        </w:rPr>
        <w:t>Ekonominiu požiūriu, pasirinkus a) variantą, fondo valdytojo atlygis atitiktų rinkos sąlygas fondo valdytojo atrankos metu, tačiau praėjus tam tikram laikotarpiui, sutarties dėl fondo valdymo nuostatomis reguliuojamas atlygis gali neatitikti rinkos sąlygų. Kita vertus, pasirinkus b) variantą, rinkos galimo iškraipymo požiūriu, fondo valdytojo atlygis nuolat atitiktų rinkos sąlygas, nepaisant to, kad valdytojas nėra parinktas a) punkte nurodytos procedūros pagalba.</w:t>
      </w:r>
    </w:p>
    <w:p w14:paraId="131F82C4" w14:textId="77777777" w:rsidR="00EF6FC0" w:rsidRPr="00AB6767" w:rsidRDefault="00EF6FC0" w:rsidP="00EF6FC0">
      <w:pPr>
        <w:jc w:val="both"/>
        <w:rPr>
          <w:rFonts w:ascii="Georgia" w:hAnsi="Georgia"/>
          <w:sz w:val="20"/>
          <w:szCs w:val="20"/>
          <w:lang w:val="lt-LT"/>
        </w:rPr>
      </w:pPr>
      <w:r w:rsidRPr="00AB6767">
        <w:rPr>
          <w:rFonts w:ascii="Georgia" w:hAnsi="Georgia"/>
          <w:sz w:val="20"/>
          <w:szCs w:val="20"/>
          <w:lang w:val="lt-LT"/>
        </w:rPr>
        <w:t>Pasirinkus kitą įstaigą pagal Bendrųjų nuostatų reglamento 38 str. 4 d. c) p., būtų taikomos tos pačios sąlygos, priklausomai nuo to, ar parinktas viešasis subjektas, ar privatus juridinis asmuo. Pabrėžtina, kad kiekvienos finansinės priemonės įgyvendinimas turi tam tikrą specifiką bei reikalauja specifinės patirties, todėl labiausiai šios funkcijos vykdymui tinka ūkio subjektai, kurie jau šiuo metu turi teisę vykdyti tokią veiklą (pvz., UAB „Investicijų ir verslo garantijos“, UAB „Viešųjų investicijų plėtros agentūra“, kredito įstaigos).</w:t>
      </w:r>
    </w:p>
    <w:p w14:paraId="3AE8482F" w14:textId="77777777" w:rsidR="00EF6FC0" w:rsidRPr="00AB6767" w:rsidRDefault="00621306" w:rsidP="00EF6FC0">
      <w:pPr>
        <w:jc w:val="both"/>
        <w:rPr>
          <w:rFonts w:ascii="Georgia" w:hAnsi="Georgia"/>
          <w:sz w:val="20"/>
          <w:szCs w:val="20"/>
          <w:lang w:val="lt-LT"/>
        </w:rPr>
      </w:pPr>
      <w:r>
        <w:rPr>
          <w:rFonts w:ascii="Georgia" w:hAnsi="Georgia"/>
          <w:sz w:val="20"/>
          <w:szCs w:val="20"/>
          <w:lang w:val="lt-LT"/>
        </w:rPr>
        <w:t>Vadovaujantis</w:t>
      </w:r>
      <w:r w:rsidR="00EF6FC0" w:rsidRPr="00AB6767">
        <w:rPr>
          <w:rFonts w:ascii="Georgia" w:hAnsi="Georgia"/>
          <w:sz w:val="20"/>
          <w:szCs w:val="20"/>
          <w:lang w:val="lt-LT"/>
        </w:rPr>
        <w:t xml:space="preserve"> Rizikos kapitalo gairių </w:t>
      </w:r>
      <w:r w:rsidR="00EF6FC0">
        <w:rPr>
          <w:rFonts w:ascii="Georgia" w:hAnsi="Georgia"/>
          <w:sz w:val="20"/>
          <w:szCs w:val="20"/>
          <w:lang w:val="lt-LT"/>
        </w:rPr>
        <w:t>nuostatas</w:t>
      </w:r>
      <w:r w:rsidR="00EF6FC0" w:rsidRPr="00AB6767">
        <w:rPr>
          <w:rFonts w:ascii="Georgia" w:hAnsi="Georgia"/>
          <w:sz w:val="20"/>
          <w:szCs w:val="20"/>
          <w:lang w:val="lt-LT"/>
        </w:rPr>
        <w:t>, siūloma, kad fondo valdymo mokesčiui būtų nustatyti šie apribojimai:</w:t>
      </w:r>
    </w:p>
    <w:p w14:paraId="7C2608A4" w14:textId="77777777" w:rsidR="00EF6FC0" w:rsidRPr="00AB6767" w:rsidRDefault="00EF6FC0" w:rsidP="002A576D">
      <w:pPr>
        <w:pStyle w:val="Sraopastraipa"/>
        <w:numPr>
          <w:ilvl w:val="0"/>
          <w:numId w:val="118"/>
        </w:numPr>
        <w:ind w:left="709" w:hanging="425"/>
        <w:jc w:val="both"/>
        <w:rPr>
          <w:rFonts w:ascii="Georgia" w:hAnsi="Georgia"/>
          <w:sz w:val="20"/>
          <w:szCs w:val="20"/>
          <w:lang w:val="lt-LT"/>
        </w:rPr>
      </w:pPr>
      <w:r w:rsidRPr="00AB6767">
        <w:rPr>
          <w:rFonts w:ascii="Georgia" w:hAnsi="Georgia"/>
          <w:sz w:val="20"/>
          <w:szCs w:val="20"/>
          <w:lang w:val="lt-LT"/>
        </w:rPr>
        <w:t>valdymo mokesčio suma turi būti apribota (turi būti nurod</w:t>
      </w:r>
      <w:r>
        <w:rPr>
          <w:rFonts w:ascii="Georgia" w:hAnsi="Georgia"/>
          <w:sz w:val="20"/>
          <w:szCs w:val="20"/>
          <w:lang w:val="lt-LT"/>
        </w:rPr>
        <w:t>ytas maksimalus mokesčio dydis). Pagal Rizikos kapitalo gairių 148 p., metinė valdymo mokesčio suma neturi viršyti 3 % viso fondo valdytojui patikėto kapitalo, išskyrus valdymo mokesčio dalį, kuri yra susijusi su veiklos rezultatais.</w:t>
      </w:r>
    </w:p>
    <w:p w14:paraId="5A26660D" w14:textId="77777777" w:rsidR="00EF6FC0" w:rsidRDefault="00EF6FC0" w:rsidP="002A576D">
      <w:pPr>
        <w:pStyle w:val="Sraopastraipa"/>
        <w:numPr>
          <w:ilvl w:val="0"/>
          <w:numId w:val="118"/>
        </w:numPr>
        <w:ind w:left="709" w:hanging="425"/>
        <w:jc w:val="both"/>
        <w:rPr>
          <w:rFonts w:ascii="Georgia" w:hAnsi="Georgia"/>
          <w:sz w:val="20"/>
          <w:szCs w:val="20"/>
          <w:lang w:val="lt-LT"/>
        </w:rPr>
      </w:pPr>
      <w:r w:rsidRPr="00AB6767">
        <w:rPr>
          <w:rFonts w:ascii="Georgia" w:hAnsi="Georgia"/>
          <w:sz w:val="20"/>
          <w:szCs w:val="20"/>
          <w:lang w:val="lt-LT"/>
        </w:rPr>
        <w:t xml:space="preserve">valdymo mokesčio faktinė suma turi nuolat atspindėti įprastas rinkos sąlygas. Tam, kad būtų vykdoma ši sąlyga, siūloma įpareigoti fondo valdytoją kas pusmetį atlikti rinkos sąlygų analizę bei pateikti valdymo mokesčio dydžio </w:t>
      </w:r>
      <w:r>
        <w:rPr>
          <w:rFonts w:ascii="Georgia" w:hAnsi="Georgia"/>
          <w:sz w:val="20"/>
          <w:szCs w:val="20"/>
          <w:lang w:val="lt-LT"/>
        </w:rPr>
        <w:t xml:space="preserve">apskaičiavimo </w:t>
      </w:r>
      <w:r w:rsidRPr="00AB6767">
        <w:rPr>
          <w:rFonts w:ascii="Georgia" w:hAnsi="Georgia"/>
          <w:sz w:val="20"/>
          <w:szCs w:val="20"/>
          <w:lang w:val="lt-LT"/>
        </w:rPr>
        <w:t>pagrindimo dokumentus</w:t>
      </w:r>
      <w:r>
        <w:rPr>
          <w:rFonts w:ascii="Georgia" w:hAnsi="Georgia"/>
          <w:sz w:val="20"/>
          <w:szCs w:val="20"/>
          <w:lang w:val="lt-LT"/>
        </w:rPr>
        <w:t>. Bendra mokesčio metinė suma negali viršyti veiklos ir valdymo išlaidų, kurių suma gali būti padidinama pagrįstu pelno maržos dydžiu, atitinkančiu rinkos sąlygas.</w:t>
      </w:r>
    </w:p>
    <w:p w14:paraId="0E25DEE9" w14:textId="77777777" w:rsidR="00EF6FC0" w:rsidRPr="00AB6767" w:rsidRDefault="00EF6FC0" w:rsidP="002A576D">
      <w:pPr>
        <w:pStyle w:val="Sraopastraipa"/>
        <w:numPr>
          <w:ilvl w:val="0"/>
          <w:numId w:val="118"/>
        </w:numPr>
        <w:ind w:left="709" w:hanging="425"/>
        <w:jc w:val="both"/>
        <w:rPr>
          <w:rFonts w:ascii="Georgia" w:hAnsi="Georgia"/>
          <w:sz w:val="20"/>
          <w:szCs w:val="20"/>
          <w:lang w:val="lt-LT"/>
        </w:rPr>
      </w:pPr>
      <w:r>
        <w:rPr>
          <w:rFonts w:ascii="Georgia" w:hAnsi="Georgia"/>
          <w:sz w:val="20"/>
          <w:szCs w:val="20"/>
          <w:lang w:val="lt-LT"/>
        </w:rPr>
        <w:t>valdymo mokestis negali būti skirtas padengti investicijų išlaidas.</w:t>
      </w:r>
    </w:p>
    <w:p w14:paraId="5DE5507B" w14:textId="77777777" w:rsidR="00EF6FC0" w:rsidRDefault="00EF6FC0" w:rsidP="002A576D">
      <w:pPr>
        <w:pStyle w:val="Sraopastraipa"/>
        <w:numPr>
          <w:ilvl w:val="0"/>
          <w:numId w:val="118"/>
        </w:numPr>
        <w:ind w:left="709" w:hanging="425"/>
        <w:jc w:val="both"/>
        <w:rPr>
          <w:rFonts w:ascii="Georgia" w:hAnsi="Georgia"/>
          <w:sz w:val="20"/>
          <w:szCs w:val="20"/>
          <w:lang w:val="lt-LT"/>
        </w:rPr>
      </w:pPr>
      <w:r w:rsidRPr="00AB6767">
        <w:rPr>
          <w:rFonts w:ascii="Georgia" w:hAnsi="Georgia"/>
          <w:sz w:val="20"/>
          <w:szCs w:val="20"/>
          <w:lang w:val="lt-LT"/>
        </w:rPr>
        <w:t>valdymo mokestis yra susietas su veiklos rezultatais.</w:t>
      </w:r>
      <w:r>
        <w:rPr>
          <w:rFonts w:ascii="Georgia" w:hAnsi="Georgia"/>
          <w:sz w:val="20"/>
          <w:szCs w:val="20"/>
          <w:lang w:val="lt-LT"/>
        </w:rPr>
        <w:t xml:space="preserve"> Valdymo mokesčio dalis, kurios dydis priklauso nuo veiklos rezultatų, turi būti pakankamai reikšminga tam, kad paskatintų įgaliotąjį subjektą pasiekti politikos tikslus bei užtikrintų efektyvią ūkio subjektų, į kuriuos yra </w:t>
      </w:r>
      <w:r>
        <w:rPr>
          <w:rFonts w:ascii="Georgia" w:hAnsi="Georgia"/>
          <w:sz w:val="20"/>
          <w:szCs w:val="20"/>
          <w:lang w:val="lt-LT"/>
        </w:rPr>
        <w:lastRenderedPageBreak/>
        <w:t xml:space="preserve">investuojama, atranką. Kitaip tariant, valdymo mokestis turi apimti ne tik finansinio instrumento lėšų paskirstymą bei pritraukto privataus kapitalo dydį, bet ir investicijų grąžos sėkmingumą, kuri yra nustatoma pagal tai, kiek yra viršijama minimali grąžos ar pelningumo norma. </w:t>
      </w:r>
    </w:p>
    <w:p w14:paraId="414D7598" w14:textId="77777777" w:rsidR="00EF6FC0" w:rsidRDefault="00EF6FC0" w:rsidP="008D5EBC">
      <w:pPr>
        <w:jc w:val="both"/>
        <w:rPr>
          <w:rFonts w:ascii="Georgia" w:hAnsi="Georgia"/>
          <w:sz w:val="20"/>
          <w:szCs w:val="20"/>
          <w:lang w:val="lt-LT"/>
        </w:rPr>
      </w:pPr>
      <w:r w:rsidRPr="00AB6767">
        <w:rPr>
          <w:rFonts w:ascii="Georgia" w:hAnsi="Georgia"/>
          <w:sz w:val="20"/>
          <w:szCs w:val="20"/>
          <w:lang w:val="lt-LT"/>
        </w:rPr>
        <w:t>Įvykdžius aukščiau nurodytas sąlygas, laikytina, kad fondo valdytojas nėra valstybės pagalbos gavėjas</w:t>
      </w:r>
      <w:r>
        <w:rPr>
          <w:rFonts w:ascii="Georgia" w:hAnsi="Georgia"/>
          <w:sz w:val="20"/>
          <w:szCs w:val="20"/>
          <w:lang w:val="lt-LT"/>
        </w:rPr>
        <w:t>, kadangi fondo valdytojui nebūtų suteikiamas ekonominis pranašumas.</w:t>
      </w:r>
    </w:p>
    <w:p w14:paraId="53A52C2C" w14:textId="77777777" w:rsidR="00EF6FC0" w:rsidRDefault="00EF6FC0" w:rsidP="00EF6FC0">
      <w:pPr>
        <w:pStyle w:val="Sraopastraipa"/>
        <w:ind w:left="0"/>
        <w:jc w:val="both"/>
        <w:rPr>
          <w:rFonts w:ascii="Georgia" w:hAnsi="Georgia"/>
          <w:sz w:val="20"/>
          <w:szCs w:val="20"/>
          <w:lang w:val="lt-LT"/>
        </w:rPr>
      </w:pPr>
    </w:p>
    <w:p w14:paraId="029C79AB" w14:textId="77777777" w:rsidR="00EF6FC0" w:rsidRPr="00EA6723" w:rsidRDefault="00EF6FC0" w:rsidP="00EF6FC0">
      <w:pPr>
        <w:pStyle w:val="Sraopastraipa"/>
        <w:ind w:left="0"/>
        <w:jc w:val="both"/>
        <w:rPr>
          <w:rFonts w:ascii="Georgia" w:hAnsi="Georgia"/>
          <w:b/>
          <w:sz w:val="20"/>
          <w:szCs w:val="20"/>
          <w:lang w:val="lt-LT"/>
        </w:rPr>
      </w:pPr>
      <w:r>
        <w:rPr>
          <w:rFonts w:ascii="Georgia" w:hAnsi="Georgia"/>
          <w:b/>
          <w:sz w:val="20"/>
          <w:szCs w:val="20"/>
          <w:lang w:val="lt-LT"/>
        </w:rPr>
        <w:t>P</w:t>
      </w:r>
      <w:r w:rsidRPr="00EA6723">
        <w:rPr>
          <w:rFonts w:ascii="Georgia" w:hAnsi="Georgia"/>
          <w:b/>
          <w:sz w:val="20"/>
          <w:szCs w:val="20"/>
          <w:lang w:val="lt-LT"/>
        </w:rPr>
        <w:t>rivatūs instituciniai bei profesionalūs investuotojai</w:t>
      </w:r>
    </w:p>
    <w:p w14:paraId="47F434E4" w14:textId="77777777" w:rsidR="00EF6FC0" w:rsidRDefault="00EF6FC0" w:rsidP="00EF6FC0">
      <w:pPr>
        <w:jc w:val="both"/>
        <w:rPr>
          <w:rFonts w:ascii="Georgia" w:hAnsi="Georgia"/>
          <w:sz w:val="20"/>
          <w:szCs w:val="20"/>
          <w:lang w:val="lt-LT"/>
        </w:rPr>
      </w:pPr>
      <w:r>
        <w:rPr>
          <w:rFonts w:ascii="Georgia" w:hAnsi="Georgia"/>
          <w:sz w:val="20"/>
          <w:szCs w:val="20"/>
          <w:lang w:val="lt-LT"/>
        </w:rPr>
        <w:t xml:space="preserve">Pagal numatomą mechanizmą, privatūs investuotojai dalyvaus priemonės įgyvendinime, investuojant į numatomos sukurti komanditinės ūkinės bendrijos (atskiro juridinio asmens statusą turinčio fondo) kapitalą arba skolinant šiai komanditinei ūkinei bendrijai. Pagal Rizikos kapitalo gairių 24 p., dalijimasis rizika ir atlygiu yra būtina finansinės priemonės įgyvendinimo sąlyga tam, kad priemonė nepažeistų valstybės pagalbos reikalavimų. Pagrindinis kriterijus, kuriuo yra remiamasi, priimant sprendimą, ar yra suteikiamas ekonominis pranašumas, yra rinkos ekonomikos veiklos vykdytojo kriterijus. </w:t>
      </w:r>
    </w:p>
    <w:p w14:paraId="7E9DE944" w14:textId="77777777" w:rsidR="00EF6FC0" w:rsidRDefault="00EF6FC0" w:rsidP="00EF6FC0">
      <w:pPr>
        <w:jc w:val="both"/>
        <w:rPr>
          <w:rFonts w:ascii="Georgia" w:hAnsi="Georgia"/>
          <w:sz w:val="20"/>
          <w:szCs w:val="20"/>
          <w:lang w:val="lt-LT"/>
        </w:rPr>
      </w:pPr>
      <w:r>
        <w:rPr>
          <w:rFonts w:ascii="Georgia" w:hAnsi="Georgia"/>
          <w:sz w:val="20"/>
          <w:szCs w:val="20"/>
          <w:lang w:val="lt-LT"/>
        </w:rPr>
        <w:t xml:space="preserve">Pagal šį kriterijų, sandoriai, kuriuos sudaro viešasis sektorius, kurie atitinka normalias rinkos sąlygas ir kurie nesuteikia ekonominio pranašumo kurių ūkio subjektų atžvilgiu, yra laikytini valstybės pagalbos reikalavimų nepažeidžiančiais santykiais. Tam, kad sandoris nesuteiktų ekonominio pranašumo privačiam investuotojui, jis turėtų būti atliekamas </w:t>
      </w:r>
      <w:r w:rsidRPr="00FD1F06">
        <w:rPr>
          <w:rFonts w:ascii="Georgia" w:hAnsi="Georgia"/>
          <w:i/>
          <w:sz w:val="20"/>
          <w:szCs w:val="20"/>
          <w:lang w:val="lt-LT"/>
        </w:rPr>
        <w:t>parri pasu</w:t>
      </w:r>
      <w:r>
        <w:rPr>
          <w:rFonts w:ascii="Georgia" w:hAnsi="Georgia"/>
          <w:sz w:val="20"/>
          <w:szCs w:val="20"/>
          <w:lang w:val="lt-LT"/>
        </w:rPr>
        <w:t xml:space="preserve"> sąlygomis su viešuoju sektoriumi, tai yra:</w:t>
      </w:r>
    </w:p>
    <w:p w14:paraId="0B0ACFC4" w14:textId="77777777" w:rsidR="00EF6FC0" w:rsidRDefault="00EF6FC0" w:rsidP="002A576D">
      <w:pPr>
        <w:pStyle w:val="Sraopastraipa"/>
        <w:numPr>
          <w:ilvl w:val="0"/>
          <w:numId w:val="93"/>
        </w:numPr>
        <w:jc w:val="both"/>
        <w:rPr>
          <w:rFonts w:ascii="Georgia" w:hAnsi="Georgia"/>
          <w:sz w:val="20"/>
          <w:szCs w:val="20"/>
          <w:lang w:val="lt-LT"/>
        </w:rPr>
      </w:pPr>
      <w:r>
        <w:rPr>
          <w:rFonts w:ascii="Georgia" w:hAnsi="Georgia"/>
          <w:sz w:val="20"/>
          <w:szCs w:val="20"/>
          <w:lang w:val="lt-LT"/>
        </w:rPr>
        <w:t>viešajai ir privačiai investicijai taikomos tos pačios sąlygos,</w:t>
      </w:r>
    </w:p>
    <w:p w14:paraId="38D141A2" w14:textId="77777777" w:rsidR="00EF6FC0" w:rsidRDefault="00EF6FC0" w:rsidP="002A576D">
      <w:pPr>
        <w:pStyle w:val="Sraopastraipa"/>
        <w:numPr>
          <w:ilvl w:val="0"/>
          <w:numId w:val="93"/>
        </w:numPr>
        <w:jc w:val="both"/>
        <w:rPr>
          <w:rFonts w:ascii="Georgia" w:hAnsi="Georgia"/>
          <w:sz w:val="20"/>
          <w:szCs w:val="20"/>
          <w:lang w:val="lt-LT"/>
        </w:rPr>
      </w:pPr>
      <w:r>
        <w:rPr>
          <w:rFonts w:ascii="Georgia" w:hAnsi="Georgia"/>
          <w:sz w:val="20"/>
          <w:szCs w:val="20"/>
          <w:lang w:val="lt-LT"/>
        </w:rPr>
        <w:t>investicijos atliekamos vienu metu, ir</w:t>
      </w:r>
    </w:p>
    <w:p w14:paraId="4ECFBCDE" w14:textId="77777777" w:rsidR="00EF6FC0" w:rsidRDefault="00EF6FC0" w:rsidP="002A576D">
      <w:pPr>
        <w:pStyle w:val="Sraopastraipa"/>
        <w:numPr>
          <w:ilvl w:val="0"/>
          <w:numId w:val="93"/>
        </w:numPr>
        <w:jc w:val="both"/>
        <w:rPr>
          <w:rFonts w:ascii="Georgia" w:hAnsi="Georgia"/>
          <w:sz w:val="20"/>
          <w:szCs w:val="20"/>
          <w:lang w:val="lt-LT"/>
        </w:rPr>
      </w:pPr>
      <w:r>
        <w:rPr>
          <w:rFonts w:ascii="Georgia" w:hAnsi="Georgia"/>
          <w:sz w:val="20"/>
          <w:szCs w:val="20"/>
          <w:lang w:val="lt-LT"/>
        </w:rPr>
        <w:t xml:space="preserve">privačių partnerių </w:t>
      </w:r>
      <w:r w:rsidR="00A27CDB">
        <w:rPr>
          <w:rFonts w:ascii="Georgia" w:hAnsi="Georgia"/>
          <w:sz w:val="20"/>
          <w:szCs w:val="20"/>
          <w:lang w:val="lt-LT"/>
        </w:rPr>
        <w:t xml:space="preserve">investicijos </w:t>
      </w:r>
      <w:r>
        <w:rPr>
          <w:rFonts w:ascii="Georgia" w:hAnsi="Georgia"/>
          <w:sz w:val="20"/>
          <w:szCs w:val="20"/>
          <w:lang w:val="lt-LT"/>
        </w:rPr>
        <w:t>turi didelę ekonominę reikšmę.</w:t>
      </w:r>
    </w:p>
    <w:p w14:paraId="128D6266" w14:textId="77777777" w:rsidR="00EF6FC0" w:rsidRPr="00451032" w:rsidRDefault="00EF6FC0" w:rsidP="00EF6FC0">
      <w:pPr>
        <w:jc w:val="both"/>
        <w:rPr>
          <w:rFonts w:ascii="Georgia" w:hAnsi="Georgia"/>
          <w:sz w:val="20"/>
          <w:szCs w:val="20"/>
          <w:lang w:val="lt-LT"/>
        </w:rPr>
      </w:pPr>
      <w:r>
        <w:rPr>
          <w:rFonts w:ascii="Georgia" w:hAnsi="Georgia"/>
          <w:sz w:val="20"/>
          <w:szCs w:val="20"/>
          <w:lang w:val="lt-LT"/>
        </w:rPr>
        <w:t>Laikytina, kad tos pačios sąlygos yra taikomos viešajai ir privačiajai investicijai, jeigu abu subjektai prisiima tokias pačias rizikas ir naudą to paties finansinio instrumento atžvilgiu (arba viešasis subjektas yra geresnėje pozicijoje privataus subjekto atžvilgiu). Pagal pasiūlytą mechanizmą, pirmo nuostolio kapitalo fondo steigimas reiškia, kad viešasis sektorius prisiima didesnę riziką, nei privatūs investuotojai, kadangi potencialiai atsirasiantis nuostolis turės būti padengtas visų pirma viešojo sektoriaus lėšomis. Dėl šios priežasties pagal Rizikos kapitalo gairių 36 p. yra suteikiamas ekonominis pranašumas privatiems investuotojams (</w:t>
      </w:r>
      <w:r w:rsidRPr="00482C81">
        <w:rPr>
          <w:rFonts w:ascii="Georgia" w:hAnsi="Georgia"/>
          <w:sz w:val="20"/>
          <w:szCs w:val="20"/>
          <w:lang w:val="lt-LT"/>
        </w:rPr>
        <w:t>apsauga nuo investicijų vertės sumažėjimo</w:t>
      </w:r>
      <w:r>
        <w:rPr>
          <w:rFonts w:ascii="Georgia" w:hAnsi="Georgia"/>
          <w:sz w:val="20"/>
          <w:szCs w:val="20"/>
          <w:lang w:val="lt-LT"/>
        </w:rPr>
        <w:t xml:space="preserve">, angl. </w:t>
      </w:r>
      <w:r w:rsidRPr="005A57BC">
        <w:rPr>
          <w:rFonts w:ascii="Georgia" w:hAnsi="Georgia"/>
          <w:i/>
          <w:sz w:val="20"/>
          <w:szCs w:val="20"/>
          <w:u w:val="single"/>
          <w:lang w:val="lt-LT"/>
        </w:rPr>
        <w:t>downside protection</w:t>
      </w:r>
      <w:r>
        <w:rPr>
          <w:rFonts w:ascii="Georgia" w:hAnsi="Georgia"/>
          <w:sz w:val="20"/>
          <w:szCs w:val="20"/>
          <w:lang w:val="lt-LT"/>
        </w:rPr>
        <w:t>), o finansinė priemonė atitinka valstybės pagalbos požymius, todėl jai turi būti atliktas suderinamumo vertinimas.</w:t>
      </w:r>
    </w:p>
    <w:p w14:paraId="55049D0C" w14:textId="77777777" w:rsidR="00EF6FC0" w:rsidRPr="00B94678" w:rsidRDefault="00EF6FC0" w:rsidP="00EF6FC0">
      <w:pPr>
        <w:pStyle w:val="Sraopastraipa"/>
        <w:ind w:left="0"/>
        <w:jc w:val="both"/>
        <w:rPr>
          <w:rFonts w:ascii="Georgia" w:hAnsi="Georgia"/>
          <w:b/>
          <w:sz w:val="20"/>
          <w:szCs w:val="20"/>
          <w:lang w:val="lt-LT"/>
        </w:rPr>
      </w:pPr>
      <w:r w:rsidRPr="00B94678">
        <w:rPr>
          <w:rFonts w:ascii="Georgia" w:hAnsi="Georgia"/>
          <w:b/>
          <w:sz w:val="20"/>
          <w:szCs w:val="20"/>
          <w:lang w:val="lt-LT"/>
        </w:rPr>
        <w:t>Fondas (kaip atskiras juridinis asmuo)</w:t>
      </w:r>
    </w:p>
    <w:p w14:paraId="2D09C5D4" w14:textId="77777777" w:rsidR="00A73D0A" w:rsidRDefault="00A73D0A" w:rsidP="00EF6FC0">
      <w:pPr>
        <w:pStyle w:val="Sraopastraipa"/>
        <w:ind w:left="0"/>
        <w:jc w:val="both"/>
        <w:rPr>
          <w:rFonts w:ascii="Georgia" w:hAnsi="Georgia"/>
          <w:sz w:val="20"/>
          <w:szCs w:val="20"/>
          <w:lang w:val="lt-LT"/>
        </w:rPr>
      </w:pPr>
    </w:p>
    <w:p w14:paraId="6AF72224" w14:textId="77777777" w:rsidR="00EF6FC0" w:rsidRPr="00B94678" w:rsidRDefault="00EF6FC0" w:rsidP="00EF6FC0">
      <w:pPr>
        <w:pStyle w:val="Sraopastraipa"/>
        <w:ind w:left="0"/>
        <w:jc w:val="both"/>
        <w:rPr>
          <w:rFonts w:ascii="Georgia" w:hAnsi="Georgia"/>
          <w:sz w:val="20"/>
          <w:szCs w:val="20"/>
          <w:lang w:val="lt-LT"/>
        </w:rPr>
      </w:pPr>
      <w:r w:rsidRPr="00B94678">
        <w:rPr>
          <w:rFonts w:ascii="Georgia" w:hAnsi="Georgia"/>
          <w:sz w:val="20"/>
          <w:szCs w:val="20"/>
          <w:lang w:val="lt-LT"/>
        </w:rPr>
        <w:t>Pagal numatomą mechanizmą, fondą numatoma įsteigti kaip atskirą juridinį asmenį (komanditinę ūkinę bendriją). Pastarasis juridinis asmuo yra neribotos atsakomybės juridinis asmuo, kuriame dalyvaujantys tikrieji nariai atsako pagal KŪB prievoles visu savo turtu, o komanditoriai - tik savo įnašų suma. Valstybės pagalbos taisyklių taikymo požiūriu, KŪB steigimo sutartyje iš anksto turi būti numatyta, kad savarankiškai vykdomos ekonominės veiklos KŪB nauda tenka fondo valdytojui, kadangi KŪB steigimo tikslas yra užtikrinti fondų fondo veiklą. Visi ištekliai yra įnešami bei paskirstomi komanditoriams bei tikriesiems nariams, tokiu būdu, pats fondas negauna jokios ekonominės naudos iš veiklos vykdymo. Kitaip tariant, pats fondas yra laikytinas pagalbos pervedimo priemone, tačiau pats savaime nėra valstybės pagalbos gavėjas.</w:t>
      </w:r>
    </w:p>
    <w:p w14:paraId="25E5ADE6" w14:textId="77777777" w:rsidR="00EF6FC0" w:rsidRDefault="00EF6FC0" w:rsidP="00EF6FC0">
      <w:pPr>
        <w:pStyle w:val="Sraopastraipa"/>
        <w:ind w:left="0"/>
        <w:jc w:val="both"/>
        <w:rPr>
          <w:rFonts w:ascii="Georgia" w:hAnsi="Georgia"/>
          <w:b/>
          <w:sz w:val="20"/>
          <w:szCs w:val="20"/>
          <w:lang w:val="lt-LT"/>
        </w:rPr>
      </w:pPr>
    </w:p>
    <w:p w14:paraId="774D1CE7" w14:textId="77777777" w:rsidR="00EF6FC0" w:rsidRDefault="00EF6FC0" w:rsidP="00EF6FC0">
      <w:pPr>
        <w:pStyle w:val="Sraopastraipa"/>
        <w:ind w:left="0"/>
        <w:jc w:val="both"/>
        <w:rPr>
          <w:rFonts w:ascii="Georgia" w:hAnsi="Georgia"/>
          <w:b/>
          <w:sz w:val="20"/>
          <w:szCs w:val="20"/>
          <w:lang w:val="lt-LT"/>
        </w:rPr>
      </w:pPr>
      <w:r>
        <w:rPr>
          <w:rFonts w:ascii="Georgia" w:hAnsi="Georgia"/>
          <w:b/>
          <w:sz w:val="20"/>
          <w:szCs w:val="20"/>
          <w:lang w:val="lt-LT"/>
        </w:rPr>
        <w:t>Finansiniai tarpininkai</w:t>
      </w:r>
    </w:p>
    <w:p w14:paraId="645ACDA4" w14:textId="77777777" w:rsidR="00A73D0A" w:rsidRDefault="00A73D0A" w:rsidP="00EF6FC0">
      <w:pPr>
        <w:pStyle w:val="Sraopastraipa"/>
        <w:ind w:left="0"/>
        <w:jc w:val="both"/>
        <w:rPr>
          <w:rFonts w:ascii="Georgia" w:hAnsi="Georgia"/>
          <w:sz w:val="20"/>
          <w:szCs w:val="20"/>
          <w:lang w:val="lt-LT"/>
        </w:rPr>
      </w:pPr>
    </w:p>
    <w:p w14:paraId="0A8FF302" w14:textId="77777777" w:rsidR="00EF6FC0" w:rsidRDefault="00EF6FC0" w:rsidP="00EF6FC0">
      <w:pPr>
        <w:pStyle w:val="Sraopastraipa"/>
        <w:ind w:left="0"/>
        <w:jc w:val="both"/>
        <w:rPr>
          <w:rFonts w:ascii="Georgia" w:hAnsi="Georgia"/>
          <w:sz w:val="20"/>
          <w:szCs w:val="20"/>
          <w:lang w:val="lt-LT"/>
        </w:rPr>
      </w:pPr>
      <w:r>
        <w:rPr>
          <w:rFonts w:ascii="Georgia" w:hAnsi="Georgia"/>
          <w:sz w:val="20"/>
          <w:szCs w:val="20"/>
          <w:lang w:val="lt-LT"/>
        </w:rPr>
        <w:t xml:space="preserve">Bendruoju atveju finansinis tarpininkas yra laikytinas pagalbos pervedimo galutiniams naudos gavėjams priemone, todėl pats nėra laikomas valstybės pagalbos gavėju, tačiau turi būti užtikrinta, </w:t>
      </w:r>
      <w:r>
        <w:rPr>
          <w:rFonts w:ascii="Georgia" w:hAnsi="Georgia"/>
          <w:sz w:val="20"/>
          <w:szCs w:val="20"/>
          <w:lang w:val="lt-LT"/>
        </w:rPr>
        <w:lastRenderedPageBreak/>
        <w:t xml:space="preserve">kad tarpininkui taikomos sąlygos atitiktų rinkos investuotojo kriterijų, tai yra kad finansiniam tarpininkui nebūtų suteikiamas ekonominis pranašumas, kurio jis negautų rinkos sąlygomis. </w:t>
      </w:r>
    </w:p>
    <w:p w14:paraId="4F6A52D1" w14:textId="77777777" w:rsidR="00EF6FC0" w:rsidRDefault="00EF6FC0" w:rsidP="00EF6FC0">
      <w:pPr>
        <w:pStyle w:val="Sraopastraipa"/>
        <w:ind w:left="0"/>
        <w:jc w:val="both"/>
        <w:rPr>
          <w:rFonts w:ascii="Georgia" w:hAnsi="Georgia"/>
          <w:sz w:val="20"/>
          <w:szCs w:val="20"/>
          <w:lang w:val="lt-LT"/>
        </w:rPr>
      </w:pPr>
      <w:r>
        <w:rPr>
          <w:rFonts w:ascii="Georgia" w:hAnsi="Georgia"/>
          <w:sz w:val="20"/>
          <w:szCs w:val="20"/>
          <w:lang w:val="lt-LT"/>
        </w:rPr>
        <w:t>Finansų tarpininkams, kurie investuoja kartu su viešosiomis lėšomis savo lėšas (ko-investuoja), yra suteikiama galimybė tokiu būdu padidinti savo turtą bei pasiekti didesnę apyvartą, tačiau tai nelaikoma valstybės pagalbos suteikimu pagal Rizikos kapitalo gairių 43 p., jeigu antrinis pagalbos poveikis nėra nukreiptas</w:t>
      </w:r>
      <w:r w:rsidRPr="006346C3">
        <w:rPr>
          <w:lang w:val="lt-LT"/>
        </w:rPr>
        <w:t xml:space="preserve"> </w:t>
      </w:r>
      <w:r w:rsidRPr="006346C3">
        <w:rPr>
          <w:rFonts w:ascii="Georgia" w:hAnsi="Georgia"/>
          <w:sz w:val="20"/>
          <w:szCs w:val="20"/>
          <w:lang w:val="lt-LT"/>
        </w:rPr>
        <w:t>į iš anksto nustatytus atskirus finansų tarpininkus</w:t>
      </w:r>
      <w:r>
        <w:rPr>
          <w:rFonts w:ascii="Georgia" w:hAnsi="Georgia"/>
          <w:sz w:val="20"/>
          <w:szCs w:val="20"/>
          <w:lang w:val="lt-LT"/>
        </w:rPr>
        <w:t>. Kitaip tariant, priemonės mechanizmas negali būti susijęs su atskirais finansų tarpininkais.</w:t>
      </w:r>
    </w:p>
    <w:p w14:paraId="3CF7F384" w14:textId="77777777" w:rsidR="00EF6FC0" w:rsidRDefault="00EF6FC0" w:rsidP="00EF6FC0">
      <w:pPr>
        <w:pStyle w:val="Sraopastraipa"/>
        <w:ind w:left="0"/>
        <w:jc w:val="both"/>
        <w:rPr>
          <w:rFonts w:ascii="Georgia" w:hAnsi="Georgia"/>
          <w:sz w:val="20"/>
          <w:szCs w:val="20"/>
          <w:lang w:val="lt-LT"/>
        </w:rPr>
      </w:pPr>
      <w:r>
        <w:rPr>
          <w:rFonts w:ascii="Georgia" w:hAnsi="Georgia"/>
          <w:sz w:val="20"/>
          <w:szCs w:val="20"/>
          <w:lang w:val="lt-LT"/>
        </w:rPr>
        <w:t>Finansinius tarpininkus</w:t>
      </w:r>
      <w:r w:rsidRPr="00A20F4A">
        <w:rPr>
          <w:rFonts w:ascii="Georgia" w:hAnsi="Georgia"/>
          <w:sz w:val="20"/>
          <w:szCs w:val="20"/>
          <w:lang w:val="lt-LT"/>
        </w:rPr>
        <w:t xml:space="preserve"> parinkus</w:t>
      </w:r>
      <w:r w:rsidRPr="001D30F7">
        <w:rPr>
          <w:rFonts w:ascii="Georgia" w:hAnsi="Georgia"/>
          <w:sz w:val="20"/>
          <w:szCs w:val="20"/>
          <w:lang w:val="lt-LT"/>
        </w:rPr>
        <w:t xml:space="preserve"> </w:t>
      </w:r>
      <w:r w:rsidRPr="00A20F4A">
        <w:rPr>
          <w:rFonts w:ascii="Georgia" w:hAnsi="Georgia"/>
          <w:sz w:val="20"/>
          <w:szCs w:val="20"/>
          <w:lang w:val="lt-LT"/>
        </w:rPr>
        <w:t xml:space="preserve">atvira, skaidria, nediskriminacine ir objektyvia tvarka, pagal Rizikos finansų gairių 40 p., valstybės pagalba </w:t>
      </w:r>
      <w:r>
        <w:rPr>
          <w:rFonts w:ascii="Georgia" w:hAnsi="Georgia"/>
          <w:sz w:val="20"/>
          <w:szCs w:val="20"/>
          <w:lang w:val="lt-LT"/>
        </w:rPr>
        <w:t xml:space="preserve">šiems tarpininkams </w:t>
      </w:r>
      <w:r w:rsidRPr="00A20F4A">
        <w:rPr>
          <w:rFonts w:ascii="Georgia" w:hAnsi="Georgia"/>
          <w:sz w:val="20"/>
          <w:szCs w:val="20"/>
          <w:lang w:val="lt-LT"/>
        </w:rPr>
        <w:t>nėra teikiama.</w:t>
      </w:r>
    </w:p>
    <w:p w14:paraId="0F45F5C2" w14:textId="77777777" w:rsidR="00EF6FC0" w:rsidRDefault="00EF6FC0" w:rsidP="00EF6FC0">
      <w:pPr>
        <w:pStyle w:val="Sraopastraipa"/>
        <w:ind w:left="0"/>
        <w:jc w:val="both"/>
        <w:rPr>
          <w:rFonts w:ascii="Georgia" w:hAnsi="Georgia"/>
          <w:sz w:val="20"/>
          <w:szCs w:val="20"/>
          <w:lang w:val="lt-LT"/>
        </w:rPr>
      </w:pPr>
      <w:r>
        <w:rPr>
          <w:rFonts w:ascii="Georgia" w:hAnsi="Georgia"/>
          <w:sz w:val="20"/>
          <w:szCs w:val="20"/>
          <w:lang w:val="lt-LT"/>
        </w:rPr>
        <w:t xml:space="preserve">Pabrėžtina, kad teikiant lengvatines paskolas per finansų tarpininką, būtina laikytis Europos </w:t>
      </w:r>
      <w:r w:rsidRPr="00101DA4">
        <w:rPr>
          <w:rFonts w:ascii="Georgia" w:hAnsi="Georgia"/>
          <w:sz w:val="20"/>
          <w:szCs w:val="20"/>
          <w:lang w:val="lt-LT"/>
        </w:rPr>
        <w:t>Komisijos komunikat</w:t>
      </w:r>
      <w:r>
        <w:rPr>
          <w:rFonts w:ascii="Georgia" w:hAnsi="Georgia"/>
          <w:sz w:val="20"/>
          <w:szCs w:val="20"/>
          <w:lang w:val="lt-LT"/>
        </w:rPr>
        <w:t>o</w:t>
      </w:r>
      <w:r w:rsidRPr="00101DA4">
        <w:rPr>
          <w:rFonts w:ascii="Georgia" w:hAnsi="Georgia"/>
          <w:sz w:val="20"/>
          <w:szCs w:val="20"/>
          <w:lang w:val="lt-LT"/>
        </w:rPr>
        <w:t xml:space="preserve"> dėl orientacinių ir diskonto normų nustatymo metodo pakeitimo</w:t>
      </w:r>
      <w:r>
        <w:rPr>
          <w:rFonts w:ascii="Georgia" w:hAnsi="Georgia"/>
          <w:sz w:val="20"/>
          <w:szCs w:val="20"/>
          <w:lang w:val="lt-LT"/>
        </w:rPr>
        <w:t xml:space="preserve"> reikalavimų, tai yra laikytis bazinės normos bei maržos kitimo ribų, priklausomai nuo įmonės naudos gavėjos reitingo ir įkeičiamo turto</w:t>
      </w:r>
      <w:r>
        <w:rPr>
          <w:rStyle w:val="Puslapioinaosnuoroda"/>
          <w:rFonts w:ascii="Georgia" w:hAnsi="Georgia"/>
          <w:sz w:val="20"/>
          <w:szCs w:val="20"/>
          <w:lang w:val="lt-LT"/>
        </w:rPr>
        <w:footnoteReference w:id="139"/>
      </w:r>
      <w:r>
        <w:rPr>
          <w:rFonts w:ascii="Georgia" w:hAnsi="Georgia"/>
          <w:sz w:val="20"/>
          <w:szCs w:val="20"/>
          <w:lang w:val="lt-LT"/>
        </w:rPr>
        <w:t>.</w:t>
      </w:r>
    </w:p>
    <w:p w14:paraId="09F1CF0C" w14:textId="77777777" w:rsidR="00EF6FC0" w:rsidRDefault="00EF6FC0" w:rsidP="00EF6FC0">
      <w:pPr>
        <w:pStyle w:val="Sraopastraipa"/>
        <w:ind w:left="0"/>
        <w:jc w:val="both"/>
        <w:rPr>
          <w:rFonts w:ascii="Georgia" w:hAnsi="Georgia"/>
          <w:sz w:val="20"/>
          <w:szCs w:val="20"/>
          <w:lang w:val="lt-LT"/>
        </w:rPr>
      </w:pPr>
    </w:p>
    <w:p w14:paraId="1CA0C259" w14:textId="77777777" w:rsidR="00EF6FC0" w:rsidRPr="00442452" w:rsidRDefault="00EF6FC0" w:rsidP="00EF6FC0">
      <w:pPr>
        <w:pStyle w:val="Sraopastraipa"/>
        <w:ind w:left="0"/>
        <w:jc w:val="both"/>
        <w:rPr>
          <w:rFonts w:ascii="Georgia" w:hAnsi="Georgia"/>
          <w:b/>
          <w:sz w:val="20"/>
          <w:szCs w:val="20"/>
          <w:lang w:val="lt-LT"/>
        </w:rPr>
      </w:pPr>
      <w:r>
        <w:rPr>
          <w:rFonts w:ascii="Georgia" w:hAnsi="Georgia"/>
          <w:b/>
          <w:sz w:val="20"/>
          <w:szCs w:val="20"/>
          <w:lang w:val="lt-LT"/>
        </w:rPr>
        <w:t>D</w:t>
      </w:r>
      <w:r w:rsidRPr="00442452">
        <w:rPr>
          <w:rFonts w:ascii="Georgia" w:hAnsi="Georgia"/>
          <w:b/>
          <w:sz w:val="20"/>
          <w:szCs w:val="20"/>
          <w:lang w:val="lt-LT"/>
        </w:rPr>
        <w:t>augiabučių namų bendrijos</w:t>
      </w:r>
    </w:p>
    <w:p w14:paraId="5E4C92A4" w14:textId="77777777" w:rsidR="00A73D0A" w:rsidRDefault="00A73D0A" w:rsidP="00EF6FC0">
      <w:pPr>
        <w:pStyle w:val="Sraopastraipa"/>
        <w:ind w:left="0"/>
        <w:jc w:val="both"/>
        <w:rPr>
          <w:rFonts w:ascii="Georgia" w:hAnsi="Georgia"/>
          <w:sz w:val="20"/>
          <w:szCs w:val="20"/>
          <w:lang w:val="lt-LT"/>
        </w:rPr>
      </w:pPr>
    </w:p>
    <w:p w14:paraId="3AA29444" w14:textId="77777777" w:rsidR="00EF6FC0" w:rsidRDefault="00EF6FC0" w:rsidP="00EF6FC0">
      <w:pPr>
        <w:pStyle w:val="Sraopastraipa"/>
        <w:ind w:left="0"/>
        <w:jc w:val="both"/>
        <w:rPr>
          <w:rFonts w:ascii="Georgia" w:hAnsi="Georgia"/>
          <w:sz w:val="20"/>
          <w:szCs w:val="20"/>
          <w:lang w:val="lt-LT"/>
        </w:rPr>
      </w:pPr>
      <w:r>
        <w:rPr>
          <w:rFonts w:ascii="Georgia" w:hAnsi="Georgia"/>
          <w:sz w:val="20"/>
          <w:szCs w:val="20"/>
          <w:lang w:val="lt-LT"/>
        </w:rPr>
        <w:t xml:space="preserve">Daugiabučių namų bendrijos steigimo tikslas yra </w:t>
      </w:r>
      <w:r w:rsidRPr="00DB447D">
        <w:rPr>
          <w:rFonts w:ascii="Georgia" w:hAnsi="Georgia"/>
          <w:sz w:val="20"/>
          <w:szCs w:val="20"/>
          <w:lang w:val="lt-LT"/>
        </w:rPr>
        <w:t>įgyvendinti butų ir kitų patalpų (pastatų) savininkų teises ir pareigas, susijusias su jiems priklausančių arba kuriamų naujų bendrosios dalinės nuosavybės teisės objektų valdymu, naudojimu ir priežiūra</w:t>
      </w:r>
      <w:r>
        <w:rPr>
          <w:rFonts w:ascii="Georgia" w:hAnsi="Georgia"/>
          <w:sz w:val="20"/>
          <w:szCs w:val="20"/>
          <w:lang w:val="lt-LT"/>
        </w:rPr>
        <w:t>. Kitaip tariant, bendrija nevykdo ekonominės veiklos, tai yra neteikia prekių ir paslaugų rinkoje už atlygį, todėl jai nėra taikomos valstybės pagalbos taisyklės.</w:t>
      </w:r>
    </w:p>
    <w:p w14:paraId="0A1EC3C2" w14:textId="77777777" w:rsidR="00EF6FC0" w:rsidRDefault="00EF6FC0" w:rsidP="00EF6FC0">
      <w:pPr>
        <w:pStyle w:val="Sraopastraipa"/>
        <w:ind w:left="0"/>
        <w:jc w:val="both"/>
        <w:rPr>
          <w:rFonts w:ascii="Georgia" w:hAnsi="Georgia"/>
          <w:sz w:val="20"/>
          <w:szCs w:val="20"/>
          <w:lang w:val="lt-LT"/>
        </w:rPr>
      </w:pPr>
    </w:p>
    <w:p w14:paraId="59488ECA" w14:textId="77777777" w:rsidR="00EF6FC0" w:rsidRPr="00E80692" w:rsidRDefault="00EF6FC0" w:rsidP="00EF6FC0">
      <w:pPr>
        <w:pStyle w:val="Sraopastraipa"/>
        <w:ind w:left="0"/>
        <w:jc w:val="both"/>
        <w:rPr>
          <w:rFonts w:ascii="Georgia" w:hAnsi="Georgia"/>
          <w:b/>
          <w:sz w:val="20"/>
          <w:szCs w:val="20"/>
          <w:lang w:val="lt-LT"/>
        </w:rPr>
      </w:pPr>
      <w:r w:rsidRPr="00E80692">
        <w:rPr>
          <w:rFonts w:ascii="Georgia" w:hAnsi="Georgia"/>
          <w:b/>
          <w:sz w:val="20"/>
          <w:szCs w:val="20"/>
          <w:lang w:val="lt-LT"/>
        </w:rPr>
        <w:t>Daugiabučių namų administratoriai</w:t>
      </w:r>
    </w:p>
    <w:p w14:paraId="4F9AC6C1" w14:textId="77777777" w:rsidR="00A73D0A" w:rsidRDefault="00A73D0A" w:rsidP="00EF6FC0">
      <w:pPr>
        <w:pStyle w:val="Sraopastraipa"/>
        <w:ind w:left="0"/>
        <w:jc w:val="both"/>
        <w:rPr>
          <w:rFonts w:ascii="Georgia" w:hAnsi="Georgia"/>
          <w:sz w:val="20"/>
          <w:szCs w:val="20"/>
          <w:lang w:val="lt-LT"/>
        </w:rPr>
      </w:pPr>
    </w:p>
    <w:p w14:paraId="7FC7BF1D" w14:textId="77777777" w:rsidR="00EF6FC0" w:rsidRDefault="00EF6FC0" w:rsidP="00EF6FC0">
      <w:pPr>
        <w:pStyle w:val="Sraopastraipa"/>
        <w:ind w:left="0"/>
        <w:jc w:val="both"/>
        <w:rPr>
          <w:rFonts w:ascii="Georgia" w:hAnsi="Georgia"/>
          <w:sz w:val="20"/>
          <w:szCs w:val="20"/>
          <w:lang w:val="lt-LT"/>
        </w:rPr>
      </w:pPr>
      <w:r>
        <w:rPr>
          <w:rFonts w:ascii="Georgia" w:hAnsi="Georgia"/>
          <w:sz w:val="20"/>
          <w:szCs w:val="20"/>
          <w:lang w:val="lt-LT"/>
        </w:rPr>
        <w:t>Daugiabučių namų administratoriai yra ekonominę veiklą vykdantys subjektai, todėl jų atžvilgiu turi būti atliktas mechanizmo klasifikavimas, siekiant įsitikinti, kad administratoriai negauna netiesioginės pagalbos.</w:t>
      </w:r>
    </w:p>
    <w:p w14:paraId="2CFBB60B" w14:textId="77777777" w:rsidR="00EF6FC0" w:rsidRDefault="00EF6FC0" w:rsidP="00EF6FC0">
      <w:pPr>
        <w:pStyle w:val="Sraopastraipa"/>
        <w:ind w:left="0"/>
        <w:jc w:val="both"/>
        <w:rPr>
          <w:rFonts w:ascii="Georgia" w:hAnsi="Georgia"/>
          <w:sz w:val="20"/>
          <w:szCs w:val="20"/>
          <w:lang w:val="lt-LT"/>
        </w:rPr>
      </w:pPr>
      <w:r>
        <w:rPr>
          <w:rFonts w:ascii="Georgia" w:hAnsi="Georgia"/>
          <w:sz w:val="20"/>
          <w:szCs w:val="20"/>
          <w:lang w:val="lt-LT"/>
        </w:rPr>
        <w:t>Suteikiant lengvatinę paskolą daugiabučio renovacijos projektui, sumažėja pastato eksploatacijos išlaidos, tačiau padidėja finansinės išlaidos, susijusios su paskolos grąžinimu (pagrindinės paskolos dalies grąžinimas ir susijusių palūkanų įmokos). Daugiabučio namo administratoriaus veiklos tikslas yra užtikrinti efektyvų pastato eksploatavimą (šildymą), už šias paslaugas gaunant apmokėjimą, kurio dydį apsprendžia gyventojai. Sumažėjus pastato šildymo sąnaudoms, administratoriaus veiklos apimtis nepasikeičia, tačiau įdiegus papildomas taupymo priemones (pvz., šildymo punkto nuotolinis ir/arba automatinis aptarnavimas), taip pat gali pasikeisti ir administratoriaus veiklos apimtis. Tokiu atveju, nepatikslinus sutarties su administratoriumi sąlygų, gali atsirasti netiesioginis ekonominis pranašumas administratoriui iki sutarties pakeitimo/pabaigos.</w:t>
      </w:r>
    </w:p>
    <w:p w14:paraId="4F839D3C" w14:textId="77777777" w:rsidR="00EF6FC0" w:rsidRDefault="00EF6FC0" w:rsidP="00EF6FC0">
      <w:pPr>
        <w:pStyle w:val="Sraopastraipa"/>
        <w:ind w:left="0"/>
        <w:jc w:val="both"/>
        <w:rPr>
          <w:rFonts w:ascii="Georgia" w:hAnsi="Georgia"/>
          <w:sz w:val="20"/>
          <w:szCs w:val="20"/>
          <w:lang w:val="lt-LT"/>
        </w:rPr>
      </w:pPr>
      <w:r>
        <w:rPr>
          <w:rFonts w:ascii="Georgia" w:hAnsi="Georgia"/>
          <w:sz w:val="20"/>
          <w:szCs w:val="20"/>
          <w:lang w:val="lt-LT"/>
        </w:rPr>
        <w:t>Siekiant eliminuoti šią grėsmę, siūloma numatyti paramos gavėjo pareigą daugiabučio renovacijos projekto įgyvendinimo metu peržiūrėti sutarties su administratoriumi paslaugų įkainius tam, kad jos atitiktų rinkos sąlygas.</w:t>
      </w:r>
    </w:p>
    <w:p w14:paraId="0733ED74" w14:textId="77777777" w:rsidR="00EF6FC0" w:rsidRDefault="00EF6FC0" w:rsidP="00EF6FC0">
      <w:pPr>
        <w:pStyle w:val="Sraopastraipa"/>
        <w:ind w:left="0"/>
        <w:jc w:val="both"/>
        <w:rPr>
          <w:rFonts w:ascii="Georgia" w:hAnsi="Georgia"/>
          <w:sz w:val="20"/>
          <w:szCs w:val="20"/>
          <w:lang w:val="lt-LT"/>
        </w:rPr>
      </w:pPr>
      <w:r>
        <w:rPr>
          <w:rFonts w:ascii="Georgia" w:hAnsi="Georgia"/>
          <w:sz w:val="20"/>
          <w:szCs w:val="20"/>
          <w:lang w:val="lt-LT"/>
        </w:rPr>
        <w:t>Įgyvendinus šią sąlygą, administratoriui nebūtų suteikiamas ekonominis pranašumas, kas yra vienas iš valstybės pagalbos požymių, todėl nebūtų pripažįstama ir valstybės pagalba.</w:t>
      </w:r>
    </w:p>
    <w:p w14:paraId="6E2928C5" w14:textId="77777777" w:rsidR="00EF6FC0" w:rsidRDefault="00EF6FC0" w:rsidP="00EF6FC0">
      <w:pPr>
        <w:pStyle w:val="Sraopastraipa"/>
        <w:ind w:left="0"/>
        <w:jc w:val="both"/>
        <w:rPr>
          <w:rFonts w:ascii="Georgia" w:hAnsi="Georgia"/>
          <w:sz w:val="20"/>
          <w:szCs w:val="20"/>
          <w:lang w:val="lt-LT"/>
        </w:rPr>
      </w:pPr>
    </w:p>
    <w:p w14:paraId="3C0DFF29" w14:textId="77777777" w:rsidR="00EF6FC0" w:rsidRPr="006A3186" w:rsidRDefault="00EF6FC0" w:rsidP="00EF6FC0">
      <w:pPr>
        <w:pStyle w:val="Sraopastraipa"/>
        <w:ind w:left="0"/>
        <w:jc w:val="both"/>
        <w:rPr>
          <w:rFonts w:ascii="Georgia" w:hAnsi="Georgia"/>
          <w:b/>
          <w:sz w:val="20"/>
          <w:szCs w:val="20"/>
          <w:lang w:val="lt-LT"/>
        </w:rPr>
      </w:pPr>
      <w:r>
        <w:rPr>
          <w:rFonts w:ascii="Georgia" w:hAnsi="Georgia"/>
          <w:b/>
          <w:sz w:val="20"/>
          <w:szCs w:val="20"/>
          <w:lang w:val="lt-LT"/>
        </w:rPr>
        <w:t>D</w:t>
      </w:r>
      <w:r w:rsidRPr="006A3186">
        <w:rPr>
          <w:rFonts w:ascii="Georgia" w:hAnsi="Georgia"/>
          <w:b/>
          <w:sz w:val="20"/>
          <w:szCs w:val="20"/>
          <w:lang w:val="lt-LT"/>
        </w:rPr>
        <w:t>augiabučių namų gyventojai (fiziniai asmenys), taip pat daugiabučių namų butuose įsikūrę juridiniai asmenys</w:t>
      </w:r>
    </w:p>
    <w:p w14:paraId="00028976" w14:textId="77777777" w:rsidR="00A73D0A" w:rsidRDefault="00A73D0A" w:rsidP="00EF6FC0">
      <w:pPr>
        <w:pStyle w:val="Sraopastraipa"/>
        <w:ind w:left="0"/>
        <w:jc w:val="both"/>
        <w:rPr>
          <w:rFonts w:ascii="Georgia" w:hAnsi="Georgia"/>
          <w:sz w:val="20"/>
          <w:szCs w:val="20"/>
          <w:lang w:val="lt-LT"/>
        </w:rPr>
      </w:pPr>
    </w:p>
    <w:p w14:paraId="7C6024DE" w14:textId="77777777" w:rsidR="00EF6FC0" w:rsidRDefault="00EF6FC0" w:rsidP="00EF6FC0">
      <w:pPr>
        <w:pStyle w:val="Sraopastraipa"/>
        <w:ind w:left="0"/>
        <w:jc w:val="both"/>
        <w:rPr>
          <w:rFonts w:ascii="Georgia" w:hAnsi="Georgia"/>
          <w:sz w:val="20"/>
          <w:szCs w:val="20"/>
          <w:lang w:val="lt-LT"/>
        </w:rPr>
      </w:pPr>
      <w:r>
        <w:rPr>
          <w:rFonts w:ascii="Georgia" w:hAnsi="Georgia"/>
          <w:sz w:val="20"/>
          <w:szCs w:val="20"/>
          <w:lang w:val="lt-LT"/>
        </w:rPr>
        <w:t>Fiziniai asmenys valstybės pagalbos taisyklių požiūriu nėra laikomi ūkio subjektais, todėl jų atžvilgiu nėra taikomos valstybės pagalbos taisyklės.</w:t>
      </w:r>
    </w:p>
    <w:p w14:paraId="0F7350EA" w14:textId="77777777" w:rsidR="00EF6FC0" w:rsidRDefault="00EF6FC0" w:rsidP="00EF6FC0">
      <w:pPr>
        <w:pStyle w:val="Sraopastraipa"/>
        <w:ind w:left="0"/>
        <w:jc w:val="both"/>
        <w:rPr>
          <w:rFonts w:ascii="Georgia" w:hAnsi="Georgia"/>
          <w:sz w:val="20"/>
          <w:szCs w:val="20"/>
          <w:lang w:val="lt-LT"/>
        </w:rPr>
      </w:pPr>
      <w:r>
        <w:rPr>
          <w:rFonts w:ascii="Georgia" w:hAnsi="Georgia"/>
          <w:sz w:val="20"/>
          <w:szCs w:val="20"/>
          <w:lang w:val="lt-LT"/>
        </w:rPr>
        <w:t>D</w:t>
      </w:r>
      <w:r w:rsidRPr="009248C6">
        <w:rPr>
          <w:rFonts w:ascii="Georgia" w:hAnsi="Georgia"/>
          <w:sz w:val="20"/>
          <w:szCs w:val="20"/>
          <w:lang w:val="lt-LT"/>
        </w:rPr>
        <w:t>augiabučių namų butuose įsikūrę juridiniai asmenys</w:t>
      </w:r>
      <w:r>
        <w:rPr>
          <w:rFonts w:ascii="Georgia" w:hAnsi="Georgia"/>
          <w:sz w:val="20"/>
          <w:szCs w:val="20"/>
          <w:lang w:val="lt-LT"/>
        </w:rPr>
        <w:t xml:space="preserve">, taip pat ūkinę veiklą vykdantys fiziniai asmenys laikytini ekonominę veiklą vykdančiais ūkio subjektais valstybės pagalbos taisyklių požiūriu, tai yra daugiabučio namo renovacijos projekto dėka sumažėtų šių asmenų įprastinės veiklos sąnaudos, </w:t>
      </w:r>
      <w:r>
        <w:rPr>
          <w:rFonts w:ascii="Georgia" w:hAnsi="Georgia"/>
          <w:sz w:val="20"/>
          <w:szCs w:val="20"/>
          <w:lang w:val="lt-LT"/>
        </w:rPr>
        <w:lastRenderedPageBreak/>
        <w:t>kas yra laikytina ekonominiu pranašumu, todėl šių asmenų atžvilgiu turi būti atliktas priemonės įgyvendinimo suderinamumo vertinimas.</w:t>
      </w:r>
    </w:p>
    <w:p w14:paraId="55F3D070" w14:textId="77777777" w:rsidR="00EF6FC0" w:rsidRDefault="00EF6FC0" w:rsidP="00EF6FC0">
      <w:pPr>
        <w:pStyle w:val="Sraopastraipa"/>
        <w:ind w:left="0"/>
        <w:jc w:val="both"/>
        <w:rPr>
          <w:rFonts w:ascii="Georgia" w:hAnsi="Georgia"/>
          <w:sz w:val="20"/>
          <w:szCs w:val="20"/>
          <w:lang w:val="lt-LT"/>
        </w:rPr>
      </w:pPr>
    </w:p>
    <w:p w14:paraId="059031B5" w14:textId="77777777" w:rsidR="00EF6FC0" w:rsidRPr="00A1645B" w:rsidRDefault="00EF6FC0" w:rsidP="002A248B">
      <w:pPr>
        <w:pStyle w:val="Sraopastraipa"/>
        <w:keepNext/>
        <w:ind w:left="0"/>
        <w:jc w:val="both"/>
        <w:rPr>
          <w:rFonts w:ascii="Georgia" w:hAnsi="Georgia"/>
          <w:b/>
          <w:sz w:val="20"/>
          <w:szCs w:val="20"/>
          <w:lang w:val="lt-LT"/>
        </w:rPr>
      </w:pPr>
      <w:r>
        <w:rPr>
          <w:rFonts w:ascii="Georgia" w:hAnsi="Georgia"/>
          <w:b/>
          <w:sz w:val="20"/>
          <w:szCs w:val="20"/>
          <w:lang w:val="lt-LT"/>
        </w:rPr>
        <w:t>R</w:t>
      </w:r>
      <w:r w:rsidRPr="00A1645B">
        <w:rPr>
          <w:rFonts w:ascii="Georgia" w:hAnsi="Georgia"/>
          <w:b/>
          <w:sz w:val="20"/>
          <w:szCs w:val="20"/>
          <w:lang w:val="lt-LT"/>
        </w:rPr>
        <w:t>angos darbus vykdantys ūkio subjektai</w:t>
      </w:r>
    </w:p>
    <w:p w14:paraId="07CF9824" w14:textId="77777777" w:rsidR="00A73D0A" w:rsidRDefault="00A73D0A" w:rsidP="002A248B">
      <w:pPr>
        <w:pStyle w:val="Sraopastraipa"/>
        <w:keepNext/>
        <w:ind w:left="0"/>
        <w:jc w:val="both"/>
        <w:rPr>
          <w:rFonts w:ascii="Georgia" w:hAnsi="Georgia"/>
          <w:sz w:val="20"/>
          <w:szCs w:val="20"/>
          <w:lang w:val="lt-LT"/>
        </w:rPr>
      </w:pPr>
    </w:p>
    <w:p w14:paraId="420C5713" w14:textId="77777777" w:rsidR="00EF6FC0" w:rsidRDefault="00EF6FC0" w:rsidP="002A248B">
      <w:pPr>
        <w:pStyle w:val="Sraopastraipa"/>
        <w:keepNext/>
        <w:ind w:left="0"/>
        <w:jc w:val="both"/>
        <w:rPr>
          <w:rFonts w:ascii="Georgia" w:hAnsi="Georgia"/>
          <w:sz w:val="20"/>
          <w:szCs w:val="20"/>
          <w:lang w:val="lt-LT"/>
        </w:rPr>
      </w:pPr>
      <w:r>
        <w:rPr>
          <w:rFonts w:ascii="Georgia" w:hAnsi="Georgia"/>
          <w:sz w:val="20"/>
          <w:szCs w:val="20"/>
          <w:lang w:val="lt-LT"/>
        </w:rPr>
        <w:t xml:space="preserve">Pagal numatomą mechanizmą, rangos darbus vykdantys ūkio subjektai bus parenkami Lietuvos Respublikos viešųjų pirkimų įstatymo nustatyta tvarka, tai yra </w:t>
      </w:r>
      <w:r w:rsidRPr="00AB6767">
        <w:rPr>
          <w:rFonts w:ascii="Georgia" w:hAnsi="Georgia"/>
          <w:sz w:val="20"/>
          <w:szCs w:val="20"/>
          <w:lang w:val="lt-LT"/>
        </w:rPr>
        <w:t>atvira, skaidria, nediskriminacine ir objektyvia tvarka</w:t>
      </w:r>
      <w:r>
        <w:rPr>
          <w:rFonts w:ascii="Georgia" w:hAnsi="Georgia"/>
          <w:sz w:val="20"/>
          <w:szCs w:val="20"/>
          <w:lang w:val="lt-LT"/>
        </w:rPr>
        <w:t>, todėl pagal analogiją taikant Rizikos kapitalo gairių 40 p., valstybės pagalba šiems subjektams nebūtų teikiama, kadangi būtų laikomasi rinkos investuotojo kriterijaus (nesuteikiamas ekonominis pranašumas).</w:t>
      </w:r>
    </w:p>
    <w:p w14:paraId="6E753E01" w14:textId="77777777" w:rsidR="008D5EBC" w:rsidRDefault="008D5EBC" w:rsidP="00EF6FC0">
      <w:pPr>
        <w:pStyle w:val="Sraopastraipa"/>
        <w:ind w:left="0"/>
        <w:jc w:val="both"/>
        <w:rPr>
          <w:rFonts w:ascii="Georgia" w:hAnsi="Georgia"/>
          <w:sz w:val="20"/>
          <w:szCs w:val="20"/>
          <w:lang w:val="lt-LT"/>
        </w:rPr>
      </w:pPr>
    </w:p>
    <w:p w14:paraId="22D89EDB" w14:textId="77777777" w:rsidR="00EF6FC0" w:rsidRDefault="00EF6FC0" w:rsidP="00EA16CD">
      <w:pPr>
        <w:pStyle w:val="Antrat2"/>
        <w:numPr>
          <w:ilvl w:val="3"/>
          <w:numId w:val="2"/>
        </w:numPr>
        <w:rPr>
          <w:lang w:val="lt-LT"/>
        </w:rPr>
      </w:pPr>
      <w:bookmarkStart w:id="306" w:name="_Toc417378414"/>
      <w:r>
        <w:rPr>
          <w:lang w:val="lt-LT"/>
        </w:rPr>
        <w:t>Priemonės įgyvendinimo suderinamumo vertinimas</w:t>
      </w:r>
      <w:bookmarkEnd w:id="306"/>
    </w:p>
    <w:p w14:paraId="6B530003" w14:textId="77777777" w:rsidR="00EF6FC0" w:rsidRDefault="00EF6FC0" w:rsidP="00EF6FC0">
      <w:pPr>
        <w:pStyle w:val="Sraopastraipa"/>
        <w:ind w:left="0" w:firstLine="284"/>
        <w:jc w:val="both"/>
        <w:rPr>
          <w:rFonts w:ascii="Georgia" w:hAnsi="Georgia"/>
          <w:sz w:val="20"/>
          <w:szCs w:val="20"/>
          <w:lang w:val="lt-LT"/>
        </w:rPr>
      </w:pPr>
    </w:p>
    <w:p w14:paraId="6A3465BA" w14:textId="77777777"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 xml:space="preserve">Atlikus mechanizmo klasifikavimą, pripažintina, kad valstybės pagalbos (įskaitant </w:t>
      </w:r>
      <w:r w:rsidRPr="00613541">
        <w:rPr>
          <w:rFonts w:ascii="Georgia" w:hAnsi="Georgia"/>
          <w:i/>
          <w:sz w:val="20"/>
          <w:szCs w:val="20"/>
          <w:lang w:val="lt-LT"/>
        </w:rPr>
        <w:t>de minimis</w:t>
      </w:r>
      <w:r>
        <w:rPr>
          <w:rFonts w:ascii="Georgia" w:hAnsi="Georgia"/>
          <w:sz w:val="20"/>
          <w:szCs w:val="20"/>
          <w:lang w:val="lt-LT"/>
        </w:rPr>
        <w:t xml:space="preserve"> pagalbą, kaip nurodyta 5.1.4. skyriuje) požymius atitinka</w:t>
      </w:r>
      <w:r w:rsidRPr="00613541">
        <w:rPr>
          <w:rFonts w:ascii="Georgia" w:hAnsi="Georgia"/>
          <w:sz w:val="20"/>
          <w:szCs w:val="20"/>
          <w:lang w:val="lt-LT"/>
        </w:rPr>
        <w:t xml:space="preserve"> mechanizmo sąlygos, sudaromos p</w:t>
      </w:r>
      <w:r>
        <w:rPr>
          <w:rFonts w:ascii="Georgia" w:hAnsi="Georgia"/>
          <w:sz w:val="20"/>
          <w:szCs w:val="20"/>
          <w:lang w:val="lt-LT"/>
        </w:rPr>
        <w:t>rivatiems instituciniams</w:t>
      </w:r>
      <w:r w:rsidRPr="00613541">
        <w:rPr>
          <w:rFonts w:ascii="Georgia" w:hAnsi="Georgia"/>
          <w:sz w:val="20"/>
          <w:szCs w:val="20"/>
          <w:lang w:val="lt-LT"/>
        </w:rPr>
        <w:t xml:space="preserve"> bei profesional</w:t>
      </w:r>
      <w:r>
        <w:rPr>
          <w:rFonts w:ascii="Georgia" w:hAnsi="Georgia"/>
          <w:sz w:val="20"/>
          <w:szCs w:val="20"/>
          <w:lang w:val="lt-LT"/>
        </w:rPr>
        <w:t>iem</w:t>
      </w:r>
      <w:r w:rsidRPr="00613541">
        <w:rPr>
          <w:rFonts w:ascii="Georgia" w:hAnsi="Georgia"/>
          <w:sz w:val="20"/>
          <w:szCs w:val="20"/>
          <w:lang w:val="lt-LT"/>
        </w:rPr>
        <w:t>s investuotoja</w:t>
      </w:r>
      <w:r>
        <w:rPr>
          <w:rFonts w:ascii="Georgia" w:hAnsi="Georgia"/>
          <w:sz w:val="20"/>
          <w:szCs w:val="20"/>
          <w:lang w:val="lt-LT"/>
        </w:rPr>
        <w:t>ms, taip pat daugiabučių namų gyventojams, vykdantiems ūkinę veiklą, bei juridiniams asmenims, vykdantiems veiklą daugiabutyje.</w:t>
      </w:r>
    </w:p>
    <w:p w14:paraId="772F8D79" w14:textId="77777777"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Pažymėtina, kad suderinamumo vertinimo rezultatas yra tiesiogiai susietas su mechanizmo įgyvendinimo metu planuojamomis panaudoti finansinėmis priemonėmis</w:t>
      </w:r>
    </w:p>
    <w:p w14:paraId="7653534A" w14:textId="77777777" w:rsidR="00EF6FC0" w:rsidRDefault="00EF6FC0" w:rsidP="00EF6FC0">
      <w:pPr>
        <w:pStyle w:val="Sraopastraipa"/>
        <w:ind w:left="0" w:firstLine="284"/>
        <w:jc w:val="both"/>
        <w:rPr>
          <w:rFonts w:ascii="Georgia" w:hAnsi="Georgia"/>
          <w:sz w:val="20"/>
          <w:szCs w:val="20"/>
          <w:lang w:val="lt-LT"/>
        </w:rPr>
      </w:pPr>
    </w:p>
    <w:p w14:paraId="75AF334B" w14:textId="77777777" w:rsidR="00EF6FC0" w:rsidRDefault="00EF6FC0" w:rsidP="00A73D0A">
      <w:pPr>
        <w:pStyle w:val="Sraopastraipa"/>
        <w:ind w:left="0"/>
        <w:jc w:val="both"/>
        <w:rPr>
          <w:rFonts w:ascii="Georgia" w:hAnsi="Georgia"/>
          <w:b/>
          <w:sz w:val="20"/>
          <w:szCs w:val="20"/>
          <w:lang w:val="lt-LT"/>
        </w:rPr>
      </w:pPr>
      <w:r w:rsidRPr="005F1D26">
        <w:rPr>
          <w:rFonts w:ascii="Georgia" w:hAnsi="Georgia"/>
          <w:b/>
          <w:sz w:val="20"/>
          <w:szCs w:val="20"/>
          <w:lang w:val="lt-LT"/>
        </w:rPr>
        <w:t>Daugiabučių namų gyventojai, vykdantys ūkinę veiklą, bei juridiniai asmenys, vykdantys veiklą daugiabutyje</w:t>
      </w:r>
    </w:p>
    <w:p w14:paraId="5D4FB65C" w14:textId="77777777" w:rsidR="00EF6FC0" w:rsidRPr="005F1D26" w:rsidRDefault="00EF6FC0" w:rsidP="00A73D0A">
      <w:pPr>
        <w:pStyle w:val="Sraopastraipa"/>
        <w:ind w:left="0"/>
        <w:jc w:val="both"/>
        <w:rPr>
          <w:rFonts w:ascii="Georgia" w:hAnsi="Georgia"/>
          <w:b/>
          <w:sz w:val="20"/>
          <w:szCs w:val="20"/>
          <w:lang w:val="lt-LT"/>
        </w:rPr>
      </w:pPr>
    </w:p>
    <w:p w14:paraId="5613D9D6" w14:textId="77777777"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Šiems ūkio subjektams teikiama pagalba atitinka de minimis pagalbos sąlygas, jeigu:</w:t>
      </w:r>
    </w:p>
    <w:p w14:paraId="5298CE98" w14:textId="77777777" w:rsidR="00EF6FC0" w:rsidRDefault="00EF6FC0" w:rsidP="002A576D">
      <w:pPr>
        <w:pStyle w:val="Sraopastraipa"/>
        <w:numPr>
          <w:ilvl w:val="0"/>
          <w:numId w:val="94"/>
        </w:numPr>
        <w:jc w:val="both"/>
        <w:rPr>
          <w:rFonts w:ascii="Georgia" w:hAnsi="Georgia"/>
          <w:sz w:val="20"/>
          <w:szCs w:val="20"/>
          <w:lang w:val="lt-LT"/>
        </w:rPr>
      </w:pPr>
      <w:r>
        <w:rPr>
          <w:rFonts w:ascii="Georgia" w:hAnsi="Georgia"/>
          <w:sz w:val="20"/>
          <w:szCs w:val="20"/>
          <w:lang w:val="lt-LT"/>
        </w:rPr>
        <w:t>pagalbos suteikimo momentu (</w:t>
      </w:r>
      <w:r w:rsidRPr="007D5871">
        <w:rPr>
          <w:rFonts w:ascii="Georgia" w:hAnsi="Georgia"/>
          <w:i/>
          <w:sz w:val="20"/>
          <w:szCs w:val="20"/>
          <w:lang w:val="lt-LT"/>
        </w:rPr>
        <w:t xml:space="preserve">de minimis </w:t>
      </w:r>
      <w:r>
        <w:rPr>
          <w:rFonts w:ascii="Georgia" w:hAnsi="Georgia"/>
          <w:sz w:val="20"/>
          <w:szCs w:val="20"/>
          <w:lang w:val="lt-LT"/>
        </w:rPr>
        <w:t>Reglamento 3 str . 4 d.) nėra nei vieno ūkio subjekto, kuriam būtų taikoma nemokumo procedūra, ir</w:t>
      </w:r>
    </w:p>
    <w:p w14:paraId="4B3A6D9E" w14:textId="77777777" w:rsidR="00EF6FC0" w:rsidRDefault="00EF6FC0" w:rsidP="002A576D">
      <w:pPr>
        <w:pStyle w:val="Sraopastraipa"/>
        <w:numPr>
          <w:ilvl w:val="0"/>
          <w:numId w:val="94"/>
        </w:numPr>
        <w:jc w:val="both"/>
        <w:rPr>
          <w:rFonts w:ascii="Georgia" w:hAnsi="Georgia"/>
          <w:sz w:val="20"/>
          <w:szCs w:val="20"/>
          <w:lang w:val="lt-LT"/>
        </w:rPr>
      </w:pPr>
      <w:r w:rsidRPr="007D5871">
        <w:rPr>
          <w:rFonts w:ascii="Georgia" w:hAnsi="Georgia"/>
          <w:sz w:val="20"/>
          <w:szCs w:val="20"/>
          <w:lang w:val="lt-LT"/>
        </w:rPr>
        <w:t>paskola yra užtikrinta ne mažiau kaip 50 % paskolos vertės užstatu</w:t>
      </w:r>
      <w:r>
        <w:rPr>
          <w:rFonts w:ascii="Georgia" w:hAnsi="Georgia"/>
          <w:sz w:val="20"/>
          <w:szCs w:val="20"/>
          <w:lang w:val="lt-LT"/>
        </w:rPr>
        <w:t>, o paskolos suma neviršija 1 mln. EUR, kai trukmė yra iki penkerių metų (arba 0,5 mln. EUR, kai trukmė yra iki dešimties metų), ir</w:t>
      </w:r>
    </w:p>
    <w:p w14:paraId="1B8C1C6B" w14:textId="77777777" w:rsidR="00EF6FC0" w:rsidRDefault="00EF6FC0" w:rsidP="002A576D">
      <w:pPr>
        <w:pStyle w:val="Sraopastraipa"/>
        <w:numPr>
          <w:ilvl w:val="0"/>
          <w:numId w:val="94"/>
        </w:numPr>
        <w:jc w:val="both"/>
        <w:rPr>
          <w:rFonts w:ascii="Georgia" w:hAnsi="Georgia"/>
          <w:sz w:val="20"/>
          <w:szCs w:val="20"/>
          <w:lang w:val="lt-LT"/>
        </w:rPr>
      </w:pPr>
      <w:r>
        <w:rPr>
          <w:rFonts w:ascii="Georgia" w:hAnsi="Georgia"/>
          <w:sz w:val="20"/>
          <w:szCs w:val="20"/>
          <w:lang w:val="lt-LT"/>
        </w:rPr>
        <w:t>bendrasis subsidijos ekvivalentas yra apskaičiuotas pagal bazinę palūkanų normą</w:t>
      </w:r>
      <w:r>
        <w:rPr>
          <w:rStyle w:val="Puslapioinaosnuoroda"/>
          <w:rFonts w:ascii="Georgia" w:hAnsi="Georgia"/>
          <w:sz w:val="20"/>
          <w:szCs w:val="20"/>
          <w:lang w:val="lt-LT"/>
        </w:rPr>
        <w:footnoteReference w:id="140"/>
      </w:r>
      <w:r>
        <w:rPr>
          <w:rFonts w:ascii="Georgia" w:hAnsi="Georgia"/>
          <w:sz w:val="20"/>
          <w:szCs w:val="20"/>
          <w:lang w:val="lt-LT"/>
        </w:rPr>
        <w:t>, pridedant reikalingą maržą pagal rizikos lygį, taikytiną pagalbos suteikimo momentu.</w:t>
      </w:r>
    </w:p>
    <w:p w14:paraId="692AFC6D" w14:textId="77777777" w:rsidR="00EF6FC0" w:rsidRDefault="00EF6FC0" w:rsidP="00A73D0A">
      <w:pPr>
        <w:pStyle w:val="Sraopastraipa"/>
        <w:ind w:left="0"/>
        <w:jc w:val="both"/>
        <w:rPr>
          <w:rFonts w:ascii="Georgia" w:hAnsi="Georgia"/>
          <w:sz w:val="20"/>
          <w:szCs w:val="20"/>
          <w:lang w:val="lt-LT"/>
        </w:rPr>
      </w:pPr>
    </w:p>
    <w:p w14:paraId="3122CD59" w14:textId="77777777" w:rsidR="00EF6FC0" w:rsidRDefault="00EF6FC0" w:rsidP="00A73D0A">
      <w:pPr>
        <w:pStyle w:val="Sraopastraipa"/>
        <w:ind w:left="0"/>
        <w:jc w:val="both"/>
        <w:rPr>
          <w:rFonts w:ascii="Georgia" w:hAnsi="Georgia"/>
          <w:sz w:val="20"/>
          <w:szCs w:val="20"/>
          <w:lang w:val="lt-LT"/>
        </w:rPr>
      </w:pPr>
      <w:r w:rsidRPr="005A3553">
        <w:rPr>
          <w:rFonts w:ascii="Georgia" w:hAnsi="Georgia"/>
          <w:sz w:val="20"/>
          <w:szCs w:val="20"/>
          <w:lang w:val="lt-LT"/>
        </w:rPr>
        <w:t xml:space="preserve">Pabrėžtina, kad </w:t>
      </w:r>
      <w:r w:rsidRPr="005A3553">
        <w:rPr>
          <w:rFonts w:ascii="Georgia" w:hAnsi="Georgia"/>
          <w:i/>
          <w:sz w:val="20"/>
          <w:szCs w:val="20"/>
          <w:lang w:val="lt-LT"/>
        </w:rPr>
        <w:t>de minimis</w:t>
      </w:r>
      <w:r w:rsidRPr="005A3553">
        <w:rPr>
          <w:rFonts w:ascii="Georgia" w:hAnsi="Georgia"/>
          <w:sz w:val="20"/>
          <w:szCs w:val="20"/>
          <w:lang w:val="lt-LT"/>
        </w:rPr>
        <w:t xml:space="preserve"> pagalba yra skaičiuojama ne tik vienam juridiniam asmeniui, bet ir visiems su šiuo juridiniu asmeniu susijusiems asmenims, kaip jie yra suprantami pagal </w:t>
      </w:r>
      <w:r w:rsidRPr="005A3553">
        <w:rPr>
          <w:rFonts w:ascii="Georgia" w:hAnsi="Georgia"/>
          <w:i/>
          <w:sz w:val="20"/>
          <w:szCs w:val="20"/>
          <w:lang w:val="lt-LT"/>
        </w:rPr>
        <w:t>de minimis</w:t>
      </w:r>
      <w:r>
        <w:rPr>
          <w:rFonts w:ascii="Georgia" w:hAnsi="Georgia"/>
          <w:sz w:val="20"/>
          <w:szCs w:val="20"/>
          <w:lang w:val="lt-LT"/>
        </w:rPr>
        <w:t xml:space="preserve"> R</w:t>
      </w:r>
      <w:r w:rsidRPr="005A3553">
        <w:rPr>
          <w:rFonts w:ascii="Georgia" w:hAnsi="Georgia"/>
          <w:sz w:val="20"/>
          <w:szCs w:val="20"/>
          <w:lang w:val="lt-LT"/>
        </w:rPr>
        <w:t>eglamento 2 str. 2 d.</w:t>
      </w:r>
    </w:p>
    <w:p w14:paraId="1F2C8A74" w14:textId="77777777"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Kitaip tariant, prieš pasirašant sutartį dėl paskolos suteikimo, būtina įsitikinti, kad:</w:t>
      </w:r>
    </w:p>
    <w:p w14:paraId="0AC843AF" w14:textId="77777777" w:rsidR="00EF6FC0" w:rsidRDefault="00EF6FC0" w:rsidP="002A576D">
      <w:pPr>
        <w:pStyle w:val="Sraopastraipa"/>
        <w:numPr>
          <w:ilvl w:val="0"/>
          <w:numId w:val="95"/>
        </w:numPr>
        <w:ind w:left="709" w:hanging="425"/>
        <w:jc w:val="both"/>
        <w:rPr>
          <w:rFonts w:ascii="Georgia" w:hAnsi="Georgia"/>
          <w:sz w:val="20"/>
          <w:szCs w:val="20"/>
          <w:lang w:val="lt-LT"/>
        </w:rPr>
      </w:pPr>
      <w:r>
        <w:rPr>
          <w:rFonts w:ascii="Georgia" w:hAnsi="Georgia"/>
          <w:sz w:val="20"/>
          <w:szCs w:val="20"/>
          <w:lang w:val="lt-LT"/>
        </w:rPr>
        <w:t>daugiabutyje nėra ūkio subjektų, arba</w:t>
      </w:r>
    </w:p>
    <w:p w14:paraId="3FD94540" w14:textId="77777777" w:rsidR="00EF6FC0" w:rsidRDefault="00EF6FC0" w:rsidP="002A576D">
      <w:pPr>
        <w:pStyle w:val="Sraopastraipa"/>
        <w:numPr>
          <w:ilvl w:val="0"/>
          <w:numId w:val="95"/>
        </w:numPr>
        <w:ind w:left="709" w:hanging="425"/>
        <w:rPr>
          <w:rFonts w:ascii="Georgia" w:hAnsi="Georgia"/>
          <w:sz w:val="20"/>
          <w:szCs w:val="20"/>
          <w:lang w:val="lt-LT"/>
        </w:rPr>
      </w:pPr>
      <w:r>
        <w:rPr>
          <w:rFonts w:ascii="Georgia" w:hAnsi="Georgia"/>
          <w:sz w:val="20"/>
          <w:szCs w:val="20"/>
          <w:lang w:val="lt-LT"/>
        </w:rPr>
        <w:t xml:space="preserve">daugiabutyje yra ūkio subjektų, kurie atitinka nurodytas </w:t>
      </w:r>
      <w:r>
        <w:rPr>
          <w:rFonts w:ascii="Georgia" w:hAnsi="Georgia"/>
          <w:i/>
          <w:sz w:val="20"/>
          <w:szCs w:val="20"/>
          <w:lang w:val="lt-LT"/>
        </w:rPr>
        <w:t>de minimis</w:t>
      </w:r>
      <w:r>
        <w:rPr>
          <w:rFonts w:ascii="Georgia" w:hAnsi="Georgia"/>
          <w:sz w:val="20"/>
          <w:szCs w:val="20"/>
          <w:lang w:val="lt-LT"/>
        </w:rPr>
        <w:t xml:space="preserve"> sąlygas.</w:t>
      </w:r>
    </w:p>
    <w:p w14:paraId="0D427654" w14:textId="77777777" w:rsidR="00EF6FC0" w:rsidRPr="00D63C58" w:rsidRDefault="00EF6FC0" w:rsidP="00446A6A">
      <w:pPr>
        <w:pStyle w:val="Sraopastraipa"/>
        <w:ind w:left="0"/>
        <w:jc w:val="both"/>
        <w:rPr>
          <w:rFonts w:ascii="Georgia" w:hAnsi="Georgia"/>
          <w:sz w:val="20"/>
          <w:szCs w:val="20"/>
          <w:lang w:val="lt-LT"/>
        </w:rPr>
      </w:pPr>
      <w:r>
        <w:rPr>
          <w:rFonts w:ascii="Georgia" w:hAnsi="Georgia"/>
          <w:sz w:val="20"/>
          <w:szCs w:val="20"/>
          <w:lang w:val="lt-LT"/>
        </w:rPr>
        <w:t xml:space="preserve">Atsižvelgiant į valstybės pagalbos taisyklių reikalavimus, siūloma nustatyti, kad pagal numatomą įgyvendinti priemonę daugiabučiai, kuriuose yra ūkio subjektų, neatitinkančių </w:t>
      </w:r>
      <w:r w:rsidRPr="00446A6A">
        <w:rPr>
          <w:rFonts w:ascii="Georgia" w:hAnsi="Georgia"/>
          <w:sz w:val="20"/>
          <w:szCs w:val="20"/>
          <w:lang w:val="lt-LT"/>
        </w:rPr>
        <w:t>de minimis</w:t>
      </w:r>
      <w:r>
        <w:rPr>
          <w:rFonts w:ascii="Georgia" w:hAnsi="Georgia"/>
          <w:sz w:val="20"/>
          <w:szCs w:val="20"/>
          <w:lang w:val="lt-LT"/>
        </w:rPr>
        <w:t xml:space="preserve"> reikalavimų, nėra tinkami pareiškėjai.</w:t>
      </w:r>
    </w:p>
    <w:p w14:paraId="49C23255" w14:textId="77777777" w:rsidR="00EF6FC0" w:rsidRPr="005A3553" w:rsidRDefault="00EF6FC0" w:rsidP="00A73D0A">
      <w:pPr>
        <w:pStyle w:val="Sraopastraipa"/>
        <w:ind w:left="0"/>
        <w:jc w:val="both"/>
        <w:rPr>
          <w:rFonts w:ascii="Georgia" w:hAnsi="Georgia"/>
          <w:sz w:val="20"/>
          <w:szCs w:val="20"/>
          <w:lang w:val="lt-LT"/>
        </w:rPr>
      </w:pPr>
    </w:p>
    <w:p w14:paraId="3A11BB19" w14:textId="77777777" w:rsidR="00EF6FC0" w:rsidRPr="00BC1A6B" w:rsidRDefault="00EF6FC0" w:rsidP="00A73D0A">
      <w:pPr>
        <w:pStyle w:val="Sraopastraipa"/>
        <w:ind w:left="0"/>
        <w:jc w:val="both"/>
        <w:rPr>
          <w:rFonts w:ascii="Georgia" w:hAnsi="Georgia"/>
          <w:b/>
          <w:sz w:val="20"/>
          <w:szCs w:val="20"/>
          <w:lang w:val="lt-LT"/>
        </w:rPr>
      </w:pPr>
      <w:r w:rsidRPr="00BC1A6B">
        <w:rPr>
          <w:rFonts w:ascii="Georgia" w:hAnsi="Georgia"/>
          <w:b/>
          <w:sz w:val="20"/>
          <w:szCs w:val="20"/>
          <w:lang w:val="lt-LT"/>
        </w:rPr>
        <w:t>Privatūs instituciniai bei profesionalūs investuotojai</w:t>
      </w:r>
    </w:p>
    <w:p w14:paraId="55438E37" w14:textId="77777777" w:rsidR="00A73D0A" w:rsidRDefault="00A73D0A" w:rsidP="00A73D0A">
      <w:pPr>
        <w:pStyle w:val="Sraopastraipa"/>
        <w:ind w:left="0"/>
        <w:jc w:val="both"/>
        <w:rPr>
          <w:rFonts w:ascii="Georgia" w:hAnsi="Georgia"/>
          <w:sz w:val="20"/>
          <w:szCs w:val="20"/>
          <w:lang w:val="lt-LT"/>
        </w:rPr>
      </w:pPr>
    </w:p>
    <w:p w14:paraId="1BB3AF8C" w14:textId="77777777" w:rsidR="00EF6FC0" w:rsidRPr="00422659" w:rsidRDefault="00EF6FC0" w:rsidP="00A73D0A">
      <w:pPr>
        <w:pStyle w:val="Sraopastraipa"/>
        <w:ind w:left="0"/>
        <w:jc w:val="both"/>
        <w:rPr>
          <w:rFonts w:ascii="Georgia" w:hAnsi="Georgia"/>
          <w:sz w:val="20"/>
          <w:szCs w:val="20"/>
          <w:lang w:val="lt-LT"/>
        </w:rPr>
      </w:pPr>
      <w:r>
        <w:rPr>
          <w:rFonts w:ascii="Georgia" w:hAnsi="Georgia"/>
          <w:sz w:val="20"/>
          <w:szCs w:val="20"/>
          <w:lang w:val="lt-LT"/>
        </w:rPr>
        <w:t xml:space="preserve">Įvertinus mechanizmo struktūrą, darytina išvada, kad nesilaikant </w:t>
      </w:r>
      <w:r w:rsidRPr="00BC1A6B">
        <w:rPr>
          <w:rFonts w:ascii="Georgia" w:hAnsi="Georgia"/>
          <w:i/>
          <w:sz w:val="20"/>
          <w:szCs w:val="20"/>
          <w:lang w:val="lt-LT"/>
        </w:rPr>
        <w:t>parri pasu</w:t>
      </w:r>
      <w:r>
        <w:rPr>
          <w:rFonts w:ascii="Georgia" w:hAnsi="Georgia"/>
          <w:sz w:val="20"/>
          <w:szCs w:val="20"/>
          <w:lang w:val="lt-LT"/>
        </w:rPr>
        <w:t xml:space="preserve"> principo teikiama pagalba investuotojams, kai viešasis subjektas prisiima didesnę riziką, negu turėtų būti prisiimta, laikantis rinkos investuotojo kriterijaus, neatitinka</w:t>
      </w:r>
      <w:r>
        <w:rPr>
          <w:rFonts w:ascii="Georgia" w:hAnsi="Georgia"/>
          <w:i/>
          <w:sz w:val="20"/>
          <w:szCs w:val="20"/>
          <w:lang w:val="lt-LT"/>
        </w:rPr>
        <w:t xml:space="preserve"> de minimis</w:t>
      </w:r>
      <w:r>
        <w:rPr>
          <w:rFonts w:ascii="Georgia" w:hAnsi="Georgia"/>
          <w:sz w:val="20"/>
          <w:szCs w:val="20"/>
          <w:lang w:val="lt-LT"/>
        </w:rPr>
        <w:t xml:space="preserve"> Reglamento nustatytų sąlygų.</w:t>
      </w:r>
    </w:p>
    <w:p w14:paraId="57623FFC" w14:textId="77777777"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lastRenderedPageBreak/>
        <w:t xml:space="preserve">Nustačius, kad mechanizmas neatitinka </w:t>
      </w:r>
      <w:r>
        <w:rPr>
          <w:rFonts w:ascii="Georgia" w:hAnsi="Georgia"/>
          <w:i/>
          <w:sz w:val="20"/>
          <w:szCs w:val="20"/>
          <w:lang w:val="lt-LT"/>
        </w:rPr>
        <w:t>de minimis</w:t>
      </w:r>
      <w:r>
        <w:rPr>
          <w:rFonts w:ascii="Georgia" w:hAnsi="Georgia"/>
          <w:sz w:val="20"/>
          <w:szCs w:val="20"/>
          <w:lang w:val="lt-LT"/>
        </w:rPr>
        <w:t xml:space="preserve"> Reglamento reikalavimų, turėtų būti įvertinta, ar taikytinos bendrosios išimties reglamentų taisyklės. Šiame kontekste turi būti išnagrinėtos </w:t>
      </w:r>
      <w:r w:rsidRPr="0098343D">
        <w:rPr>
          <w:rFonts w:ascii="Georgia" w:hAnsi="Georgia"/>
          <w:sz w:val="20"/>
          <w:szCs w:val="20"/>
          <w:lang w:val="lt-LT"/>
        </w:rPr>
        <w:t>2014 m. birželio 17 d.</w:t>
      </w:r>
      <w:r>
        <w:rPr>
          <w:rFonts w:ascii="Georgia" w:hAnsi="Georgia"/>
          <w:sz w:val="20"/>
          <w:szCs w:val="20"/>
          <w:lang w:val="lt-LT"/>
        </w:rPr>
        <w:t xml:space="preserve"> Europos Komisijos R</w:t>
      </w:r>
      <w:r w:rsidRPr="0098343D">
        <w:rPr>
          <w:rFonts w:ascii="Georgia" w:hAnsi="Georgia"/>
          <w:sz w:val="20"/>
          <w:szCs w:val="20"/>
          <w:lang w:val="lt-LT"/>
        </w:rPr>
        <w:t>eglament</w:t>
      </w:r>
      <w:r>
        <w:rPr>
          <w:rFonts w:ascii="Georgia" w:hAnsi="Georgia"/>
          <w:sz w:val="20"/>
          <w:szCs w:val="20"/>
          <w:lang w:val="lt-LT"/>
        </w:rPr>
        <w:t>o</w:t>
      </w:r>
      <w:r w:rsidRPr="0098343D">
        <w:rPr>
          <w:rFonts w:ascii="Georgia" w:hAnsi="Georgia"/>
          <w:sz w:val="20"/>
          <w:szCs w:val="20"/>
          <w:lang w:val="lt-LT"/>
        </w:rPr>
        <w:t xml:space="preserve"> (</w:t>
      </w:r>
      <w:r>
        <w:rPr>
          <w:rFonts w:ascii="Georgia" w:hAnsi="Georgia"/>
          <w:sz w:val="20"/>
          <w:szCs w:val="20"/>
          <w:lang w:val="lt-LT"/>
        </w:rPr>
        <w:t>ES</w:t>
      </w:r>
      <w:r w:rsidRPr="0098343D">
        <w:rPr>
          <w:rFonts w:ascii="Georgia" w:hAnsi="Georgia"/>
          <w:sz w:val="20"/>
          <w:szCs w:val="20"/>
          <w:lang w:val="lt-LT"/>
        </w:rPr>
        <w:t xml:space="preserve">) </w:t>
      </w:r>
      <w:r>
        <w:rPr>
          <w:rFonts w:ascii="Georgia" w:hAnsi="Georgia"/>
          <w:sz w:val="20"/>
          <w:szCs w:val="20"/>
          <w:lang w:val="lt-LT"/>
        </w:rPr>
        <w:t>Nr. 651/2014,</w:t>
      </w:r>
      <w:r w:rsidRPr="0098343D">
        <w:rPr>
          <w:rFonts w:ascii="Georgia" w:hAnsi="Georgia"/>
          <w:sz w:val="20"/>
          <w:szCs w:val="20"/>
          <w:lang w:val="lt-LT"/>
        </w:rPr>
        <w:t xml:space="preserve"> kuriuo tam tikrų kategorijų pagalba skelbiama suderinama su vidaus rinka taikant sutarties 107 ir 108 straipsnius</w:t>
      </w:r>
      <w:r>
        <w:rPr>
          <w:rFonts w:ascii="Georgia" w:hAnsi="Georgia"/>
          <w:sz w:val="20"/>
          <w:szCs w:val="20"/>
          <w:lang w:val="lt-LT"/>
        </w:rPr>
        <w:t>, nuostatos (toliau - BIR).</w:t>
      </w:r>
    </w:p>
    <w:p w14:paraId="6F3D943D" w14:textId="77777777" w:rsidR="00A73D0A" w:rsidRDefault="00A73D0A" w:rsidP="00A73D0A">
      <w:pPr>
        <w:pStyle w:val="Sraopastraipa"/>
        <w:ind w:left="0"/>
        <w:jc w:val="both"/>
        <w:rPr>
          <w:rFonts w:ascii="Georgia" w:hAnsi="Georgia"/>
          <w:sz w:val="20"/>
          <w:szCs w:val="20"/>
          <w:lang w:val="lt-LT"/>
        </w:rPr>
      </w:pPr>
    </w:p>
    <w:p w14:paraId="286CE55E" w14:textId="77777777"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Pabrėžtina, kad BIR yra taikomas tik skaidriai pagalbai, kuri finansinių priemonių atveju reiškia, kad nustatytos aiškios sąlygos, kurioms esant priemonė laikoma skaidria. Numatomas įgyvendinti mechanizmas atitinka Bendrosios išimties reglamento 39 str. nuostatas.</w:t>
      </w:r>
    </w:p>
    <w:p w14:paraId="74A80EB4" w14:textId="77777777"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Būtina akcentuoti, kad BIR taikymas nustato papildomas sąlygas, kurių turi būti laikomasi, teikiant pagalbą ne tik šios pagalbos gavėjų grupės, bet ir kitų naudos gavėjų grupių atžvilgiu:</w:t>
      </w:r>
    </w:p>
    <w:p w14:paraId="6E48FB23" w14:textId="77777777" w:rsidR="00EF6FC0" w:rsidRDefault="00EF6FC0" w:rsidP="002A576D">
      <w:pPr>
        <w:pStyle w:val="Sraopastraipa"/>
        <w:numPr>
          <w:ilvl w:val="0"/>
          <w:numId w:val="96"/>
        </w:numPr>
        <w:ind w:left="709" w:hanging="425"/>
        <w:jc w:val="both"/>
        <w:rPr>
          <w:rFonts w:ascii="Georgia" w:hAnsi="Georgia"/>
          <w:sz w:val="20"/>
          <w:szCs w:val="20"/>
          <w:lang w:val="lt-LT"/>
        </w:rPr>
      </w:pPr>
      <w:r>
        <w:rPr>
          <w:rFonts w:ascii="Georgia" w:hAnsi="Georgia"/>
          <w:sz w:val="20"/>
          <w:szCs w:val="20"/>
          <w:lang w:val="lt-LT"/>
        </w:rPr>
        <w:t>pasiektas privataus kapitalo ir viešojo kapitalo santykis 30/70, kaip yra nustatyta BIR 39 str. 7 d., ir</w:t>
      </w:r>
    </w:p>
    <w:p w14:paraId="00D74F5A" w14:textId="77777777" w:rsidR="00EF6FC0" w:rsidRPr="004B4AA7" w:rsidRDefault="00EF6FC0" w:rsidP="002A576D">
      <w:pPr>
        <w:pStyle w:val="Sraopastraipa"/>
        <w:numPr>
          <w:ilvl w:val="0"/>
          <w:numId w:val="96"/>
        </w:numPr>
        <w:ind w:left="709" w:hanging="425"/>
        <w:jc w:val="both"/>
        <w:rPr>
          <w:rFonts w:ascii="Georgia" w:hAnsi="Georgia"/>
          <w:sz w:val="20"/>
          <w:szCs w:val="20"/>
          <w:lang w:val="lt-LT"/>
        </w:rPr>
      </w:pPr>
      <w:r w:rsidRPr="004B4AA7">
        <w:rPr>
          <w:rFonts w:ascii="Georgia" w:hAnsi="Georgia"/>
          <w:sz w:val="20"/>
          <w:szCs w:val="20"/>
          <w:lang w:val="lt-LT"/>
        </w:rPr>
        <w:t>finansiniai tarpininkai ir/ar fondo valdytojas yra parinkti atvira, skaidria, nediskriminacine ir objektyvia tvarka, ir</w:t>
      </w:r>
    </w:p>
    <w:p w14:paraId="5F0BD6E2" w14:textId="77777777" w:rsidR="00EF6FC0" w:rsidRDefault="00EF6FC0" w:rsidP="002A576D">
      <w:pPr>
        <w:pStyle w:val="Sraopastraipa"/>
        <w:numPr>
          <w:ilvl w:val="0"/>
          <w:numId w:val="96"/>
        </w:numPr>
        <w:ind w:left="709" w:hanging="425"/>
        <w:jc w:val="both"/>
        <w:rPr>
          <w:rFonts w:ascii="Georgia" w:hAnsi="Georgia"/>
          <w:sz w:val="20"/>
          <w:szCs w:val="20"/>
          <w:lang w:val="lt-LT"/>
        </w:rPr>
      </w:pPr>
      <w:r>
        <w:rPr>
          <w:rFonts w:ascii="Georgia" w:hAnsi="Georgia"/>
          <w:sz w:val="20"/>
          <w:szCs w:val="20"/>
          <w:lang w:val="lt-LT"/>
        </w:rPr>
        <w:t>pirmojo praradimo viešojo kapitalo dydis negali viršyti 25 % visos investicijos sumos (BIR 39 str. 8 d. c) p.).</w:t>
      </w:r>
    </w:p>
    <w:p w14:paraId="643F75DD" w14:textId="77777777" w:rsidR="008D5EBC" w:rsidRPr="008D5EBC" w:rsidRDefault="008D5EBC" w:rsidP="008D5EBC">
      <w:pPr>
        <w:jc w:val="both"/>
        <w:rPr>
          <w:rFonts w:ascii="Georgia" w:hAnsi="Georgia"/>
          <w:sz w:val="20"/>
          <w:szCs w:val="20"/>
          <w:lang w:val="lt-LT"/>
        </w:rPr>
      </w:pPr>
    </w:p>
    <w:p w14:paraId="71999BD0" w14:textId="77777777" w:rsidR="00EF6FC0" w:rsidRDefault="00EF6FC0" w:rsidP="00EA16CD">
      <w:pPr>
        <w:pStyle w:val="Antrat2"/>
        <w:numPr>
          <w:ilvl w:val="3"/>
          <w:numId w:val="2"/>
        </w:numPr>
        <w:rPr>
          <w:lang w:val="lt-LT"/>
        </w:rPr>
      </w:pPr>
      <w:bookmarkStart w:id="307" w:name="_Toc417378415"/>
      <w:r>
        <w:rPr>
          <w:lang w:val="lt-LT"/>
        </w:rPr>
        <w:t>Priemonės įgyvendinimo vertinimo išvada</w:t>
      </w:r>
      <w:bookmarkEnd w:id="307"/>
    </w:p>
    <w:p w14:paraId="2CFB766C" w14:textId="77777777" w:rsidR="00EF6FC0" w:rsidRDefault="00EF6FC0" w:rsidP="00EF6FC0">
      <w:pPr>
        <w:pStyle w:val="Sraopastraipa"/>
        <w:ind w:left="0"/>
        <w:jc w:val="center"/>
        <w:rPr>
          <w:rFonts w:ascii="Georgia" w:hAnsi="Georgia"/>
          <w:sz w:val="20"/>
          <w:szCs w:val="20"/>
          <w:lang w:val="lt-LT"/>
        </w:rPr>
      </w:pPr>
    </w:p>
    <w:p w14:paraId="45FACA73" w14:textId="77777777" w:rsidR="00EF6FC0" w:rsidRDefault="00EF6FC0" w:rsidP="00EF6FC0">
      <w:pPr>
        <w:pStyle w:val="Sraopastraipa"/>
        <w:ind w:left="0"/>
        <w:jc w:val="both"/>
        <w:rPr>
          <w:rFonts w:ascii="Georgia" w:hAnsi="Georgia"/>
          <w:sz w:val="20"/>
          <w:szCs w:val="20"/>
          <w:lang w:val="lt-LT"/>
        </w:rPr>
      </w:pPr>
      <w:r>
        <w:rPr>
          <w:rFonts w:ascii="Georgia" w:hAnsi="Georgia"/>
          <w:sz w:val="20"/>
          <w:szCs w:val="20"/>
          <w:lang w:val="lt-LT"/>
        </w:rPr>
        <w:t>Įvertinus pasirinkto priemonės įgyvendinimo mechanizmo struktūrą, darytinos šios išvados:</w:t>
      </w:r>
    </w:p>
    <w:p w14:paraId="413586FA" w14:textId="77777777" w:rsidR="00EF6FC0" w:rsidRDefault="00EF6FC0" w:rsidP="002A576D">
      <w:pPr>
        <w:pStyle w:val="Sraopastraipa"/>
        <w:numPr>
          <w:ilvl w:val="0"/>
          <w:numId w:val="119"/>
        </w:numPr>
        <w:ind w:left="709"/>
        <w:jc w:val="both"/>
        <w:rPr>
          <w:rFonts w:ascii="Georgia" w:hAnsi="Georgia"/>
          <w:sz w:val="20"/>
          <w:szCs w:val="20"/>
          <w:lang w:val="lt-LT"/>
        </w:rPr>
      </w:pPr>
      <w:r>
        <w:rPr>
          <w:rFonts w:ascii="Georgia" w:hAnsi="Georgia"/>
          <w:sz w:val="20"/>
          <w:szCs w:val="20"/>
          <w:lang w:val="lt-LT"/>
        </w:rPr>
        <w:t>mechanizmo įgyvendinimas nesukelia valstybės pagalbos atsiradimo rizikos, laikantis atitinkamuose skyriuose nurodytų sąlygų, finansavimą suteikiančių viešųjų institucijų, fondo valdytojo, finansinių tarpininkų, daugiabučių namų bendrijų ir administratorių, ūkinės veiklos nevykdančių fizinių asmenų, taip pat rangos darbus vykdančių asmenų atžvilgiu;</w:t>
      </w:r>
    </w:p>
    <w:p w14:paraId="3D87FF8F" w14:textId="77777777" w:rsidR="00EF6FC0" w:rsidRDefault="00EF6FC0" w:rsidP="002A576D">
      <w:pPr>
        <w:pStyle w:val="Sraopastraipa"/>
        <w:numPr>
          <w:ilvl w:val="0"/>
          <w:numId w:val="119"/>
        </w:numPr>
        <w:ind w:left="709" w:hanging="425"/>
        <w:jc w:val="both"/>
        <w:rPr>
          <w:rFonts w:ascii="Georgia" w:hAnsi="Georgia"/>
          <w:sz w:val="20"/>
          <w:szCs w:val="20"/>
          <w:lang w:val="lt-LT"/>
        </w:rPr>
      </w:pPr>
      <w:r>
        <w:rPr>
          <w:rFonts w:ascii="Georgia" w:hAnsi="Georgia"/>
          <w:sz w:val="20"/>
          <w:szCs w:val="20"/>
          <w:lang w:val="lt-LT"/>
        </w:rPr>
        <w:t xml:space="preserve">mechanizmo įgyvendinimas sąlygoja </w:t>
      </w:r>
      <w:r w:rsidRPr="00446A6A">
        <w:rPr>
          <w:rFonts w:ascii="Georgia" w:hAnsi="Georgia"/>
          <w:sz w:val="20"/>
          <w:szCs w:val="20"/>
          <w:lang w:val="lt-LT"/>
        </w:rPr>
        <w:t>de minimis</w:t>
      </w:r>
      <w:r>
        <w:rPr>
          <w:rFonts w:ascii="Georgia" w:hAnsi="Georgia"/>
          <w:sz w:val="20"/>
          <w:szCs w:val="20"/>
          <w:lang w:val="lt-LT"/>
        </w:rPr>
        <w:t xml:space="preserve"> pagalbos atsiradimą ūkinę veiklą vykdančių fizinių asmenų, gyvenančių daugiabučiuose, taip pat juose veikiančių juridinių asmenų atžvilgiu, jeigu laikomasi apibrėžtų sąlygų;</w:t>
      </w:r>
    </w:p>
    <w:p w14:paraId="2563E984" w14:textId="77777777" w:rsidR="00EF6FC0" w:rsidRDefault="00EF6FC0" w:rsidP="002A576D">
      <w:pPr>
        <w:pStyle w:val="Sraopastraipa"/>
        <w:numPr>
          <w:ilvl w:val="0"/>
          <w:numId w:val="119"/>
        </w:numPr>
        <w:ind w:left="709" w:hanging="425"/>
        <w:jc w:val="both"/>
        <w:rPr>
          <w:rFonts w:ascii="Georgia" w:hAnsi="Georgia"/>
          <w:sz w:val="20"/>
          <w:szCs w:val="20"/>
          <w:lang w:val="lt-LT"/>
        </w:rPr>
      </w:pPr>
      <w:r>
        <w:rPr>
          <w:rFonts w:ascii="Georgia" w:hAnsi="Georgia"/>
          <w:sz w:val="20"/>
          <w:szCs w:val="20"/>
          <w:lang w:val="lt-LT"/>
        </w:rPr>
        <w:t>mechanizmo įgyvendinimas sąlygoja valstybės pagalbos investuotojų atžvilgiu atsiradimą, kuriai yra netaikoma pranešimo procedūra pagal BIR nuostatas, jeigu yra laikomasi nustatytų sąlygų,</w:t>
      </w:r>
    </w:p>
    <w:p w14:paraId="05023B42" w14:textId="77777777" w:rsidR="00EF6FC0" w:rsidRDefault="00EF6FC0" w:rsidP="002A576D">
      <w:pPr>
        <w:pStyle w:val="Sraopastraipa"/>
        <w:numPr>
          <w:ilvl w:val="0"/>
          <w:numId w:val="119"/>
        </w:numPr>
        <w:ind w:left="709" w:hanging="425"/>
        <w:jc w:val="both"/>
        <w:rPr>
          <w:rFonts w:ascii="Georgia" w:hAnsi="Georgia"/>
          <w:sz w:val="20"/>
          <w:szCs w:val="20"/>
          <w:lang w:val="lt-LT"/>
        </w:rPr>
      </w:pPr>
      <w:r>
        <w:rPr>
          <w:rFonts w:ascii="Georgia" w:hAnsi="Georgia"/>
          <w:sz w:val="20"/>
          <w:szCs w:val="20"/>
          <w:lang w:val="lt-LT"/>
        </w:rPr>
        <w:t>dėl BIR taikymo atsiranda papildomi reikalavimai finansinių tarpininkų ir fondo valdytojo atžvilgiu, kurie yra nurodyti 5.1.1.2. skyriuje.</w:t>
      </w:r>
    </w:p>
    <w:p w14:paraId="64FB4E19" w14:textId="77777777" w:rsidR="00EF6FC0" w:rsidRDefault="00EF6FC0" w:rsidP="00446A6A">
      <w:pPr>
        <w:pStyle w:val="Sraopastraipa"/>
        <w:ind w:left="709"/>
        <w:jc w:val="both"/>
        <w:rPr>
          <w:rFonts w:ascii="Georgia" w:hAnsi="Georgia"/>
          <w:sz w:val="20"/>
          <w:szCs w:val="20"/>
          <w:lang w:val="lt-LT"/>
        </w:rPr>
      </w:pPr>
    </w:p>
    <w:p w14:paraId="17EFF657" w14:textId="77777777" w:rsidR="00EF6FC0" w:rsidRPr="00220170" w:rsidRDefault="00EF6FC0" w:rsidP="00EA16CD">
      <w:pPr>
        <w:pStyle w:val="Antrat2"/>
        <w:numPr>
          <w:ilvl w:val="2"/>
          <w:numId w:val="2"/>
        </w:numPr>
        <w:spacing w:after="240"/>
        <w:rPr>
          <w:lang w:val="lt-LT"/>
        </w:rPr>
      </w:pPr>
      <w:bookmarkStart w:id="308" w:name="_Toc417378416"/>
      <w:r>
        <w:rPr>
          <w:lang w:val="lt-LT"/>
        </w:rPr>
        <w:t xml:space="preserve">Centrinės valdžios pastatų renovacijos finansinių priemonių </w:t>
      </w:r>
      <w:r w:rsidRPr="00220170">
        <w:rPr>
          <w:lang w:val="lt-LT"/>
        </w:rPr>
        <w:t>vertinimas</w:t>
      </w:r>
      <w:bookmarkEnd w:id="308"/>
    </w:p>
    <w:p w14:paraId="6BCA389A" w14:textId="77777777" w:rsidR="00EF6FC0" w:rsidRPr="00220170" w:rsidRDefault="00EF6FC0" w:rsidP="00A73D0A">
      <w:pPr>
        <w:jc w:val="both"/>
        <w:rPr>
          <w:rFonts w:ascii="Georgia" w:hAnsi="Georgia"/>
          <w:sz w:val="20"/>
          <w:szCs w:val="20"/>
          <w:lang w:val="lt-LT"/>
        </w:rPr>
      </w:pPr>
      <w:r w:rsidRPr="00220170">
        <w:rPr>
          <w:rFonts w:ascii="Georgia" w:hAnsi="Georgia"/>
          <w:sz w:val="20"/>
          <w:szCs w:val="20"/>
          <w:lang w:val="lt-LT"/>
        </w:rPr>
        <w:t>Šiame skyriuje nagrinėjama pasirinkta centrinės valdžios pastatų renovacijai skirtų finansinių priemonių alternatyva. Analizės apimtis ir eiliškumas atitinka daugiabučių pastatų analizės apimtį ir eiliškumą.</w:t>
      </w:r>
    </w:p>
    <w:p w14:paraId="47EA5359" w14:textId="77777777" w:rsidR="00EF6FC0" w:rsidRPr="00220170" w:rsidRDefault="00EF6FC0" w:rsidP="00A73D0A">
      <w:pPr>
        <w:jc w:val="both"/>
        <w:rPr>
          <w:rFonts w:ascii="Georgia" w:hAnsi="Georgia"/>
          <w:sz w:val="20"/>
          <w:szCs w:val="20"/>
          <w:lang w:val="lt-LT"/>
        </w:rPr>
      </w:pPr>
      <w:r w:rsidRPr="00220170">
        <w:rPr>
          <w:rFonts w:ascii="Georgia" w:hAnsi="Georgia"/>
          <w:sz w:val="20"/>
          <w:szCs w:val="20"/>
          <w:lang w:val="lt-LT"/>
        </w:rPr>
        <w:t>Centrinės valdžios pastatų renovacijai, pagal alternatyvų vertinimo rezultatus, yra pasirinktas lengvatinės paskolos finansinės priemonės, subsidijos taikymo derinys, nesteigiant juridinio asmens statusą turinčio fondo bei numatant ESCO įmonės ir privataus investicijų fondo dalyvavimą.</w:t>
      </w:r>
    </w:p>
    <w:p w14:paraId="038C4A4A" w14:textId="77777777" w:rsidR="00EF6FC0" w:rsidRPr="00220170" w:rsidRDefault="00EF6FC0" w:rsidP="00A73D0A">
      <w:pPr>
        <w:jc w:val="both"/>
        <w:rPr>
          <w:rFonts w:ascii="Georgia" w:hAnsi="Georgia"/>
          <w:sz w:val="20"/>
          <w:szCs w:val="20"/>
          <w:lang w:val="lt-LT"/>
        </w:rPr>
      </w:pPr>
      <w:r w:rsidRPr="00220170">
        <w:rPr>
          <w:rFonts w:ascii="Georgia" w:hAnsi="Georgia"/>
          <w:sz w:val="20"/>
          <w:szCs w:val="20"/>
          <w:lang w:val="lt-LT"/>
        </w:rPr>
        <w:t>Įgyvendinant priemonę, dalyvauja šie ūkio subjektai:</w:t>
      </w:r>
    </w:p>
    <w:p w14:paraId="380A9AE7" w14:textId="77777777" w:rsidR="00EF6FC0" w:rsidRPr="00220170" w:rsidRDefault="00EF6FC0" w:rsidP="002A576D">
      <w:pPr>
        <w:pStyle w:val="Sraopastraipa"/>
        <w:numPr>
          <w:ilvl w:val="0"/>
          <w:numId w:val="120"/>
        </w:numPr>
        <w:ind w:left="567"/>
        <w:jc w:val="both"/>
        <w:rPr>
          <w:rFonts w:ascii="Georgia" w:hAnsi="Georgia"/>
          <w:sz w:val="20"/>
          <w:szCs w:val="20"/>
          <w:lang w:val="lt-LT"/>
        </w:rPr>
      </w:pPr>
      <w:r w:rsidRPr="00220170">
        <w:rPr>
          <w:rFonts w:ascii="Georgia" w:hAnsi="Georgia"/>
          <w:sz w:val="20"/>
          <w:szCs w:val="20"/>
          <w:lang w:val="lt-LT"/>
        </w:rPr>
        <w:t>fondo steigimui reikalingą finansavimą suteikiančios bei investiciniame komitete dalyvaujančios viešosios institucijos (Lietuvos Respublikos energetikos ministerija, Lietuvos Respublikos finansų ministerija);</w:t>
      </w:r>
    </w:p>
    <w:p w14:paraId="09E5553B" w14:textId="77777777" w:rsidR="00EF6FC0" w:rsidRPr="00220170" w:rsidRDefault="00EF6FC0" w:rsidP="002A576D">
      <w:pPr>
        <w:pStyle w:val="Sraopastraipa"/>
        <w:numPr>
          <w:ilvl w:val="0"/>
          <w:numId w:val="120"/>
        </w:numPr>
        <w:ind w:left="567"/>
        <w:jc w:val="both"/>
        <w:rPr>
          <w:rFonts w:ascii="Georgia" w:hAnsi="Georgia"/>
          <w:sz w:val="20"/>
          <w:szCs w:val="20"/>
          <w:lang w:val="lt-LT"/>
        </w:rPr>
      </w:pPr>
      <w:r w:rsidRPr="00220170">
        <w:rPr>
          <w:rFonts w:ascii="Georgia" w:hAnsi="Georgia"/>
          <w:sz w:val="20"/>
          <w:szCs w:val="20"/>
          <w:lang w:val="lt-LT"/>
        </w:rPr>
        <w:lastRenderedPageBreak/>
        <w:t>fondo valdytojas, kuris vykdo fondo valdymo investicinio komiteto pavedimus, teikia fondo valdymo paslaugas nurodytoms viešosioms institucijoms ir investuotojams, valdydamas fondą, taip pat gaudamas fondo valdymo mokestį;</w:t>
      </w:r>
    </w:p>
    <w:p w14:paraId="3E036C96" w14:textId="77777777" w:rsidR="00EF6FC0" w:rsidRPr="00220170" w:rsidRDefault="00EF6FC0" w:rsidP="002A576D">
      <w:pPr>
        <w:pStyle w:val="Sraopastraipa"/>
        <w:numPr>
          <w:ilvl w:val="0"/>
          <w:numId w:val="120"/>
        </w:numPr>
        <w:ind w:left="567"/>
        <w:jc w:val="both"/>
        <w:rPr>
          <w:rFonts w:ascii="Georgia" w:hAnsi="Georgia"/>
          <w:sz w:val="20"/>
          <w:szCs w:val="20"/>
          <w:lang w:val="lt-LT"/>
        </w:rPr>
      </w:pPr>
      <w:r w:rsidRPr="00220170">
        <w:rPr>
          <w:rFonts w:ascii="Georgia" w:hAnsi="Georgia"/>
          <w:sz w:val="20"/>
          <w:szCs w:val="20"/>
          <w:lang w:val="lt-LT"/>
        </w:rPr>
        <w:t>privatūs instituciniai bei profesionalūs investuotojai;</w:t>
      </w:r>
    </w:p>
    <w:p w14:paraId="24697A28" w14:textId="77777777" w:rsidR="00EF6FC0" w:rsidRPr="00220170" w:rsidRDefault="00EF6FC0" w:rsidP="002A576D">
      <w:pPr>
        <w:pStyle w:val="Sraopastraipa"/>
        <w:numPr>
          <w:ilvl w:val="0"/>
          <w:numId w:val="120"/>
        </w:numPr>
        <w:ind w:left="567"/>
        <w:jc w:val="both"/>
        <w:rPr>
          <w:rFonts w:ascii="Georgia" w:hAnsi="Georgia"/>
          <w:sz w:val="20"/>
          <w:szCs w:val="20"/>
          <w:lang w:val="lt-LT"/>
        </w:rPr>
      </w:pPr>
      <w:r w:rsidRPr="00220170">
        <w:rPr>
          <w:rFonts w:ascii="Georgia" w:hAnsi="Georgia"/>
          <w:sz w:val="20"/>
          <w:szCs w:val="20"/>
          <w:lang w:val="lt-LT"/>
        </w:rPr>
        <w:t>ESCO įmonės funkcijas vykdantys ūkio subjektai;</w:t>
      </w:r>
    </w:p>
    <w:p w14:paraId="7D8004D4" w14:textId="77777777" w:rsidR="00EF6FC0" w:rsidRPr="00220170" w:rsidRDefault="00EF6FC0" w:rsidP="002A576D">
      <w:pPr>
        <w:pStyle w:val="Sraopastraipa"/>
        <w:numPr>
          <w:ilvl w:val="0"/>
          <w:numId w:val="120"/>
        </w:numPr>
        <w:ind w:left="567"/>
        <w:jc w:val="both"/>
        <w:rPr>
          <w:rFonts w:ascii="Georgia" w:hAnsi="Georgia"/>
          <w:sz w:val="20"/>
          <w:szCs w:val="20"/>
          <w:lang w:val="lt-LT"/>
        </w:rPr>
      </w:pPr>
      <w:r w:rsidRPr="00220170">
        <w:rPr>
          <w:rFonts w:ascii="Georgia" w:hAnsi="Georgia"/>
          <w:sz w:val="20"/>
          <w:szCs w:val="20"/>
          <w:lang w:val="lt-LT"/>
        </w:rPr>
        <w:t>įgyvendinant priemonę, numatoma galimybė pasitelkti finansinius tarpininkus, kurie vykdytų finansavimo nukreipimo konkretiems projektams funkciją;</w:t>
      </w:r>
    </w:p>
    <w:p w14:paraId="334630FA" w14:textId="77777777" w:rsidR="00EF6FC0" w:rsidRPr="00220170" w:rsidRDefault="00EF6FC0" w:rsidP="002A576D">
      <w:pPr>
        <w:pStyle w:val="Sraopastraipa"/>
        <w:numPr>
          <w:ilvl w:val="0"/>
          <w:numId w:val="120"/>
        </w:numPr>
        <w:ind w:left="567"/>
        <w:jc w:val="both"/>
        <w:rPr>
          <w:rFonts w:ascii="Georgia" w:hAnsi="Georgia"/>
          <w:sz w:val="20"/>
          <w:szCs w:val="20"/>
          <w:lang w:val="lt-LT"/>
        </w:rPr>
      </w:pPr>
      <w:r w:rsidRPr="00220170">
        <w:rPr>
          <w:rFonts w:ascii="Georgia" w:hAnsi="Georgia"/>
          <w:sz w:val="20"/>
          <w:szCs w:val="20"/>
          <w:lang w:val="lt-LT"/>
        </w:rPr>
        <w:t>centrinės valdžios pastatų savininkai/valdytojai</w:t>
      </w:r>
      <w:r>
        <w:rPr>
          <w:rFonts w:ascii="Georgia" w:hAnsi="Georgia"/>
          <w:sz w:val="20"/>
          <w:szCs w:val="20"/>
          <w:lang w:val="lt-LT"/>
        </w:rPr>
        <w:t>;</w:t>
      </w:r>
    </w:p>
    <w:p w14:paraId="26D1B951" w14:textId="77777777" w:rsidR="00EF6FC0" w:rsidRPr="00220170" w:rsidRDefault="00EF6FC0" w:rsidP="002A576D">
      <w:pPr>
        <w:pStyle w:val="Sraopastraipa"/>
        <w:numPr>
          <w:ilvl w:val="0"/>
          <w:numId w:val="120"/>
        </w:numPr>
        <w:ind w:left="567"/>
        <w:jc w:val="both"/>
        <w:rPr>
          <w:rFonts w:ascii="Georgia" w:hAnsi="Georgia"/>
          <w:sz w:val="20"/>
          <w:szCs w:val="20"/>
          <w:lang w:val="lt-LT"/>
        </w:rPr>
      </w:pPr>
      <w:r w:rsidRPr="00220170">
        <w:rPr>
          <w:rFonts w:ascii="Georgia" w:hAnsi="Georgia"/>
          <w:sz w:val="20"/>
          <w:szCs w:val="20"/>
          <w:lang w:val="lt-LT"/>
        </w:rPr>
        <w:t>centrinės valdžios pastatuose įsikūrę ir paslaugas teikiantys ūkio subjektai;</w:t>
      </w:r>
    </w:p>
    <w:p w14:paraId="56BF31BD" w14:textId="77777777" w:rsidR="00EF6FC0" w:rsidRDefault="00EF6FC0" w:rsidP="002A576D">
      <w:pPr>
        <w:pStyle w:val="Sraopastraipa"/>
        <w:numPr>
          <w:ilvl w:val="0"/>
          <w:numId w:val="120"/>
        </w:numPr>
        <w:ind w:left="567"/>
        <w:jc w:val="both"/>
        <w:rPr>
          <w:rFonts w:ascii="Georgia" w:hAnsi="Georgia"/>
          <w:sz w:val="20"/>
          <w:szCs w:val="20"/>
          <w:lang w:val="lt-LT"/>
        </w:rPr>
      </w:pPr>
      <w:r w:rsidRPr="00220170">
        <w:rPr>
          <w:rFonts w:ascii="Georgia" w:hAnsi="Georgia"/>
          <w:sz w:val="20"/>
          <w:szCs w:val="20"/>
          <w:lang w:val="lt-LT"/>
        </w:rPr>
        <w:t>rangos darbus vykdantys ūkio subjektai.</w:t>
      </w:r>
    </w:p>
    <w:p w14:paraId="7FE40D47" w14:textId="77777777" w:rsidR="008D5EBC" w:rsidRPr="008D5EBC" w:rsidRDefault="008D5EBC" w:rsidP="008D5EBC">
      <w:pPr>
        <w:jc w:val="both"/>
        <w:rPr>
          <w:rFonts w:ascii="Georgia" w:hAnsi="Georgia"/>
          <w:sz w:val="20"/>
          <w:szCs w:val="20"/>
          <w:lang w:val="lt-LT"/>
        </w:rPr>
      </w:pPr>
    </w:p>
    <w:p w14:paraId="6ADE5307" w14:textId="77777777" w:rsidR="00EF6FC0" w:rsidRPr="00A34144" w:rsidRDefault="00EF6FC0" w:rsidP="00EA16CD">
      <w:pPr>
        <w:pStyle w:val="Antrat2"/>
        <w:numPr>
          <w:ilvl w:val="3"/>
          <w:numId w:val="2"/>
        </w:numPr>
        <w:rPr>
          <w:lang w:val="lt-LT"/>
        </w:rPr>
      </w:pPr>
      <w:bookmarkStart w:id="309" w:name="_Toc417378417"/>
      <w:r w:rsidRPr="00A34144">
        <w:rPr>
          <w:lang w:val="lt-LT"/>
        </w:rPr>
        <w:t>Priemonės įgyvendinimo mechanizmo klasifikavimas</w:t>
      </w:r>
      <w:bookmarkEnd w:id="309"/>
    </w:p>
    <w:p w14:paraId="6E2425A8" w14:textId="77777777" w:rsidR="008D5EBC" w:rsidRDefault="008D5EBC" w:rsidP="00A73D0A">
      <w:pPr>
        <w:jc w:val="both"/>
        <w:rPr>
          <w:rFonts w:ascii="Georgia" w:hAnsi="Georgia"/>
          <w:sz w:val="20"/>
          <w:szCs w:val="20"/>
          <w:lang w:val="lt-LT"/>
        </w:rPr>
      </w:pPr>
    </w:p>
    <w:p w14:paraId="7BC59072" w14:textId="77777777" w:rsidR="00EF6FC0" w:rsidRPr="00A34144" w:rsidRDefault="00EF6FC0" w:rsidP="00A73D0A">
      <w:pPr>
        <w:jc w:val="both"/>
        <w:rPr>
          <w:rFonts w:ascii="Georgia" w:hAnsi="Georgia"/>
          <w:sz w:val="20"/>
          <w:szCs w:val="20"/>
          <w:lang w:val="lt-LT"/>
        </w:rPr>
      </w:pPr>
      <w:r w:rsidRPr="00A34144">
        <w:rPr>
          <w:rFonts w:ascii="Georgia" w:hAnsi="Georgia"/>
          <w:sz w:val="20"/>
          <w:szCs w:val="20"/>
          <w:lang w:val="lt-LT"/>
        </w:rPr>
        <w:t>Finansinės priemonės vertinimas, siekiant nustatyti valstybės pagalbos buvimo požymius, turi būti atliekamas kiekvienos tikslinės grupės atžvilgiu atskirai, kadangi priemonės įgyvendinimo poveikis kiekvienai skirtingai grupei gali būti kitoks.</w:t>
      </w:r>
    </w:p>
    <w:p w14:paraId="65434D56" w14:textId="77777777" w:rsidR="00EF6FC0" w:rsidRPr="00A34144" w:rsidRDefault="00EF6FC0" w:rsidP="00A73D0A">
      <w:pPr>
        <w:jc w:val="both"/>
        <w:rPr>
          <w:rFonts w:ascii="Georgia" w:hAnsi="Georgia"/>
          <w:sz w:val="20"/>
          <w:szCs w:val="20"/>
          <w:lang w:val="lt-LT"/>
        </w:rPr>
      </w:pPr>
      <w:r w:rsidRPr="00A34144">
        <w:rPr>
          <w:rFonts w:ascii="Georgia" w:hAnsi="Georgia"/>
          <w:b/>
          <w:sz w:val="20"/>
          <w:szCs w:val="20"/>
          <w:lang w:val="lt-LT"/>
        </w:rPr>
        <w:t>Fondo steigimui reikalingą finansavimą suteikiančios viešosios institucijos</w:t>
      </w:r>
    </w:p>
    <w:p w14:paraId="61FADA0C" w14:textId="77777777" w:rsidR="00EF6FC0" w:rsidRPr="00A34144" w:rsidRDefault="00EF6FC0" w:rsidP="00A73D0A">
      <w:pPr>
        <w:jc w:val="both"/>
        <w:rPr>
          <w:rFonts w:ascii="Georgia" w:hAnsi="Georgia"/>
          <w:sz w:val="20"/>
          <w:szCs w:val="20"/>
          <w:lang w:val="lt-LT"/>
        </w:rPr>
      </w:pPr>
      <w:r w:rsidRPr="00A34144">
        <w:rPr>
          <w:rFonts w:ascii="Georgia" w:hAnsi="Georgia"/>
          <w:sz w:val="20"/>
          <w:szCs w:val="20"/>
          <w:lang w:val="lt-LT"/>
        </w:rPr>
        <w:t>Lietuvos Respublikos energetikos ministerija bei Lietuvos Respublikos finansų ministerija, vykdydamos jiems pavestas funkcijas pagal Bendrųjų nuostatų reglamento reikalavimus, taip pat pagal Lietuvos Respublikos biudžeto sandaros įstatymo, Projektų administravimo ir finansavimo taisyklių nuostatas, vykdo tik viešąsias funkcijas, tai yra šios finansinės priemonės kontekste vykdo neekonominę veiklą bei negali būti laikomi ūkio subjektais.</w:t>
      </w:r>
    </w:p>
    <w:p w14:paraId="6F8BD739" w14:textId="77777777" w:rsidR="00EF6FC0" w:rsidRPr="00A34144" w:rsidRDefault="00EF6FC0" w:rsidP="00A73D0A">
      <w:pPr>
        <w:jc w:val="both"/>
        <w:rPr>
          <w:rFonts w:ascii="Georgia" w:hAnsi="Georgia"/>
          <w:sz w:val="20"/>
          <w:szCs w:val="20"/>
          <w:lang w:val="lt-LT"/>
        </w:rPr>
      </w:pPr>
      <w:r w:rsidRPr="00A34144">
        <w:rPr>
          <w:rFonts w:ascii="Georgia" w:hAnsi="Georgia"/>
          <w:sz w:val="20"/>
          <w:szCs w:val="20"/>
          <w:lang w:val="lt-LT"/>
        </w:rPr>
        <w:t>Pabrėžtina, kad šioms viešosioms institucijoms, detalizuojant priemonės aprašymą, negali būti numatytas jokios ekonominės naudos atsiradimas (pvz., sėkmės mokestis, valdymo mokestis, išduotų paskolų palūkanų panaudojimas įstaigos reikmėms, kt.), kadangi tokiu atveju atsirastų valstybės pagalbos atsiradimo rizika.</w:t>
      </w:r>
    </w:p>
    <w:p w14:paraId="62CC8FE1" w14:textId="77777777" w:rsidR="00EF6FC0" w:rsidRPr="00BF4020" w:rsidRDefault="00EF6FC0" w:rsidP="00A73D0A">
      <w:pPr>
        <w:jc w:val="both"/>
        <w:rPr>
          <w:rFonts w:ascii="Georgia" w:hAnsi="Georgia"/>
          <w:sz w:val="20"/>
          <w:szCs w:val="20"/>
          <w:lang w:val="lt-LT"/>
        </w:rPr>
      </w:pPr>
      <w:r w:rsidRPr="00BF4020">
        <w:rPr>
          <w:rFonts w:ascii="Georgia" w:hAnsi="Georgia"/>
          <w:b/>
          <w:sz w:val="20"/>
          <w:szCs w:val="20"/>
          <w:lang w:val="lt-LT"/>
        </w:rPr>
        <w:t>Fondo valdytojas</w:t>
      </w:r>
    </w:p>
    <w:p w14:paraId="5CB89369" w14:textId="77777777" w:rsidR="00EF6FC0" w:rsidRPr="00BF4020" w:rsidRDefault="00EF6FC0" w:rsidP="00A73D0A">
      <w:pPr>
        <w:jc w:val="both"/>
        <w:rPr>
          <w:rFonts w:ascii="Georgia" w:hAnsi="Georgia"/>
          <w:sz w:val="20"/>
          <w:szCs w:val="20"/>
          <w:lang w:val="lt-LT"/>
        </w:rPr>
      </w:pPr>
      <w:r w:rsidRPr="00BF4020">
        <w:rPr>
          <w:rFonts w:ascii="Georgia" w:hAnsi="Georgia"/>
          <w:sz w:val="20"/>
          <w:szCs w:val="20"/>
          <w:lang w:val="lt-LT"/>
        </w:rPr>
        <w:t>Fondo valdytojui taikomas mechanizmas yra tapatus daugiabučių atveju steigiamo fondo valdymo mechanizmui, todėl taikytinos tos pačios sąlygos, kurios yra nurodytos 5.1.1.1. skyriuje</w:t>
      </w:r>
    </w:p>
    <w:p w14:paraId="2FFC19D5" w14:textId="77777777" w:rsidR="00EF6FC0" w:rsidRPr="00BF4020" w:rsidRDefault="00EF6FC0" w:rsidP="00A73D0A">
      <w:pPr>
        <w:pStyle w:val="Sraopastraipa"/>
        <w:ind w:left="0"/>
        <w:jc w:val="both"/>
        <w:rPr>
          <w:rFonts w:ascii="Georgia" w:hAnsi="Georgia"/>
          <w:sz w:val="20"/>
          <w:szCs w:val="20"/>
          <w:lang w:val="lt-LT"/>
        </w:rPr>
      </w:pPr>
      <w:r w:rsidRPr="00BF4020">
        <w:rPr>
          <w:rFonts w:ascii="Georgia" w:hAnsi="Georgia"/>
          <w:sz w:val="20"/>
          <w:szCs w:val="20"/>
          <w:lang w:val="lt-LT"/>
        </w:rPr>
        <w:t>Įvykdžius aukščiau nurodytas sąlygas, laikytina, kad fondo valdytojas nėra valstybės pagalbos gavėjas, kadangi fondo valdytojui nebūtų suteikiamas ekonominis pranašumas.</w:t>
      </w:r>
    </w:p>
    <w:p w14:paraId="7577CF6D" w14:textId="77777777" w:rsidR="00EF6FC0" w:rsidRPr="00220170" w:rsidRDefault="00EF6FC0" w:rsidP="00A73D0A">
      <w:pPr>
        <w:pStyle w:val="Sraopastraipa"/>
        <w:ind w:left="0"/>
        <w:jc w:val="both"/>
        <w:rPr>
          <w:rFonts w:ascii="Georgia" w:hAnsi="Georgia"/>
          <w:sz w:val="20"/>
          <w:szCs w:val="20"/>
          <w:highlight w:val="yellow"/>
          <w:lang w:val="lt-LT"/>
        </w:rPr>
      </w:pPr>
    </w:p>
    <w:p w14:paraId="105D7AA4" w14:textId="77777777" w:rsidR="00EF6FC0" w:rsidRPr="000F2A27" w:rsidRDefault="00EF6FC0" w:rsidP="00A73D0A">
      <w:pPr>
        <w:pStyle w:val="Sraopastraipa"/>
        <w:ind w:left="0"/>
        <w:jc w:val="both"/>
        <w:rPr>
          <w:rFonts w:ascii="Georgia" w:hAnsi="Georgia"/>
          <w:b/>
          <w:sz w:val="20"/>
          <w:szCs w:val="20"/>
          <w:lang w:val="lt-LT"/>
        </w:rPr>
      </w:pPr>
      <w:r w:rsidRPr="000F2A27">
        <w:rPr>
          <w:rFonts w:ascii="Georgia" w:hAnsi="Georgia"/>
          <w:b/>
          <w:sz w:val="20"/>
          <w:szCs w:val="20"/>
          <w:lang w:val="lt-LT"/>
        </w:rPr>
        <w:t>Privatūs instituciniai bei profesionalūs investuotojai</w:t>
      </w:r>
    </w:p>
    <w:p w14:paraId="6D36AABC" w14:textId="77777777" w:rsidR="00EF6FC0" w:rsidRDefault="00EF6FC0" w:rsidP="00A73D0A">
      <w:pPr>
        <w:jc w:val="both"/>
        <w:rPr>
          <w:rFonts w:ascii="Georgia" w:hAnsi="Georgia"/>
          <w:sz w:val="20"/>
          <w:szCs w:val="20"/>
          <w:lang w:val="lt-LT"/>
        </w:rPr>
      </w:pPr>
      <w:r w:rsidRPr="000F2A27">
        <w:rPr>
          <w:rFonts w:ascii="Georgia" w:hAnsi="Georgia"/>
          <w:sz w:val="20"/>
          <w:szCs w:val="20"/>
          <w:lang w:val="lt-LT"/>
        </w:rPr>
        <w:t>Pagal numatomą mechanizmą, valstybė dalyvaus fondo steigime ir valdyme</w:t>
      </w:r>
      <w:r>
        <w:rPr>
          <w:rFonts w:ascii="Georgia" w:hAnsi="Georgia"/>
          <w:sz w:val="20"/>
          <w:szCs w:val="20"/>
          <w:lang w:val="lt-LT"/>
        </w:rPr>
        <w:t xml:space="preserve"> </w:t>
      </w:r>
      <w:r w:rsidRPr="009274D4">
        <w:rPr>
          <w:rFonts w:ascii="Georgia" w:hAnsi="Georgia"/>
          <w:i/>
          <w:sz w:val="20"/>
          <w:szCs w:val="20"/>
          <w:lang w:val="lt-LT"/>
        </w:rPr>
        <w:t xml:space="preserve">parri pasu </w:t>
      </w:r>
      <w:r>
        <w:rPr>
          <w:rFonts w:ascii="Georgia" w:hAnsi="Georgia"/>
          <w:sz w:val="20"/>
          <w:szCs w:val="20"/>
          <w:lang w:val="lt-LT"/>
        </w:rPr>
        <w:t>principo</w:t>
      </w:r>
      <w:r w:rsidRPr="000F2A27">
        <w:rPr>
          <w:rFonts w:ascii="Georgia" w:hAnsi="Georgia"/>
          <w:sz w:val="20"/>
          <w:szCs w:val="20"/>
          <w:lang w:val="lt-LT"/>
        </w:rPr>
        <w:t xml:space="preserve">, tai yra </w:t>
      </w:r>
      <w:r>
        <w:rPr>
          <w:rFonts w:ascii="Georgia" w:hAnsi="Georgia"/>
          <w:sz w:val="20"/>
          <w:szCs w:val="20"/>
          <w:lang w:val="lt-LT"/>
        </w:rPr>
        <w:t>užtikrindama, kad investuotojams nėra suteikiamas ekonominis pranašumas dėl ekonominės veiklos įgyvendinimo. Tokiu atveju, pagal Rizikos kapitalo gairių 31 p., laikytina, kad tokios investicijos atitinka rinkos investuotojo principą bei nepažeidžią valstybės pagalbos teikimo reikalavimų.</w:t>
      </w:r>
    </w:p>
    <w:p w14:paraId="6540E13C" w14:textId="77777777" w:rsidR="00EF6FC0" w:rsidRPr="00017A00" w:rsidRDefault="00EF6FC0" w:rsidP="00A73D0A">
      <w:pPr>
        <w:jc w:val="both"/>
        <w:rPr>
          <w:rFonts w:ascii="Georgia" w:hAnsi="Georgia"/>
          <w:sz w:val="20"/>
          <w:szCs w:val="20"/>
          <w:lang w:val="lt-LT"/>
        </w:rPr>
      </w:pPr>
      <w:r>
        <w:rPr>
          <w:rFonts w:ascii="Georgia" w:hAnsi="Georgia"/>
          <w:sz w:val="20"/>
          <w:szCs w:val="20"/>
          <w:lang w:val="lt-LT"/>
        </w:rPr>
        <w:t>Pabrėžtina, kad steigiant investicijų fondą, būtina užtikrinti, kad tiek viešąsias lėšas investuojantis, tiek privatūs investuotojai prisiimtų tokias pačias rizikas, atliktų investicijas tuo pačiu metu bei privačių partnerių investicijos sudarytų ne mažiau, nei 30 % visų investicijų sumos.</w:t>
      </w:r>
    </w:p>
    <w:p w14:paraId="050DAD37" w14:textId="77777777" w:rsidR="00EF6FC0" w:rsidRPr="000F2A27" w:rsidRDefault="00EF6FC0" w:rsidP="00A73D0A">
      <w:pPr>
        <w:jc w:val="both"/>
        <w:rPr>
          <w:rFonts w:ascii="Georgia" w:hAnsi="Georgia"/>
          <w:sz w:val="20"/>
          <w:szCs w:val="20"/>
          <w:lang w:val="lt-LT"/>
        </w:rPr>
      </w:pPr>
      <w:r w:rsidRPr="000F2A27">
        <w:rPr>
          <w:rFonts w:ascii="Georgia" w:hAnsi="Georgia"/>
          <w:sz w:val="20"/>
          <w:szCs w:val="20"/>
          <w:lang w:val="lt-LT"/>
        </w:rPr>
        <w:t xml:space="preserve">Nusprendus taikyti </w:t>
      </w:r>
      <w:r>
        <w:rPr>
          <w:rFonts w:ascii="Georgia" w:hAnsi="Georgia"/>
          <w:sz w:val="20"/>
          <w:szCs w:val="20"/>
          <w:lang w:val="lt-LT"/>
        </w:rPr>
        <w:t>kitokias/</w:t>
      </w:r>
      <w:r w:rsidRPr="000F2A27">
        <w:rPr>
          <w:rFonts w:ascii="Georgia" w:hAnsi="Georgia"/>
          <w:sz w:val="20"/>
          <w:szCs w:val="20"/>
          <w:lang w:val="lt-LT"/>
        </w:rPr>
        <w:t>papildomas priemones, kurios paskatintų privačių investuotojų aktyvesnį dalyvavimą fondo veikloje, turi būti atliktas papildomas vertinimas valstybės pagalbos požiūriu.</w:t>
      </w:r>
    </w:p>
    <w:p w14:paraId="78BAD877" w14:textId="77777777" w:rsidR="00EF6FC0" w:rsidRPr="00A93ECC" w:rsidRDefault="00EF6FC0" w:rsidP="00A73D0A">
      <w:pPr>
        <w:pStyle w:val="Sraopastraipa"/>
        <w:ind w:left="0"/>
        <w:jc w:val="both"/>
        <w:rPr>
          <w:rFonts w:ascii="Georgia" w:hAnsi="Georgia"/>
          <w:b/>
          <w:sz w:val="20"/>
          <w:szCs w:val="20"/>
          <w:lang w:val="lt-LT"/>
        </w:rPr>
      </w:pPr>
      <w:r w:rsidRPr="00A93ECC">
        <w:rPr>
          <w:rFonts w:ascii="Georgia" w:hAnsi="Georgia"/>
          <w:b/>
          <w:sz w:val="20"/>
          <w:szCs w:val="20"/>
          <w:lang w:val="lt-LT"/>
        </w:rPr>
        <w:lastRenderedPageBreak/>
        <w:t>ESCO įmonės funkcijas vykdantys ūkio subjektai</w:t>
      </w:r>
    </w:p>
    <w:p w14:paraId="330F43FE" w14:textId="77777777" w:rsidR="00A73D0A" w:rsidRDefault="00A73D0A" w:rsidP="00A73D0A">
      <w:pPr>
        <w:pStyle w:val="Sraopastraipa"/>
        <w:ind w:left="0"/>
        <w:jc w:val="both"/>
        <w:rPr>
          <w:rFonts w:ascii="Georgia" w:hAnsi="Georgia"/>
          <w:sz w:val="20"/>
          <w:szCs w:val="20"/>
          <w:lang w:val="lt-LT"/>
        </w:rPr>
      </w:pPr>
    </w:p>
    <w:p w14:paraId="6BB03D5D" w14:textId="77777777" w:rsidR="00EF6FC0" w:rsidRPr="00A93ECC" w:rsidRDefault="00EF6FC0" w:rsidP="00A73D0A">
      <w:pPr>
        <w:pStyle w:val="Sraopastraipa"/>
        <w:ind w:left="0"/>
        <w:jc w:val="both"/>
        <w:rPr>
          <w:rFonts w:ascii="Georgia" w:hAnsi="Georgia"/>
          <w:sz w:val="20"/>
          <w:szCs w:val="20"/>
          <w:lang w:val="lt-LT"/>
        </w:rPr>
      </w:pPr>
      <w:r w:rsidRPr="00A93ECC">
        <w:rPr>
          <w:rFonts w:ascii="Georgia" w:hAnsi="Georgia"/>
          <w:sz w:val="20"/>
          <w:szCs w:val="20"/>
          <w:lang w:val="lt-LT"/>
        </w:rPr>
        <w:t>ESCO įmonė, pagal numatomą įgyvendinti mechanizmą, yra atskiras juridinis asmuo, kurio paskirtis yra užtikrinti savalaikį investicijų atlikimą, bei gauti mokėjimus už atliktas investicijas iš centrinės valdžios pastato renovacijos projektą įgyvendinančio juridinio asmens.</w:t>
      </w:r>
    </w:p>
    <w:p w14:paraId="632F0DAC" w14:textId="77777777" w:rsidR="00EF6FC0" w:rsidRDefault="00EF6FC0" w:rsidP="00A73D0A">
      <w:pPr>
        <w:pStyle w:val="Sraopastraipa"/>
        <w:ind w:left="0"/>
        <w:jc w:val="both"/>
        <w:rPr>
          <w:rFonts w:ascii="Georgia" w:hAnsi="Georgia"/>
          <w:sz w:val="20"/>
          <w:szCs w:val="20"/>
          <w:lang w:val="lt-LT"/>
        </w:rPr>
      </w:pPr>
      <w:r w:rsidRPr="00A93ECC">
        <w:rPr>
          <w:rFonts w:ascii="Georgia" w:hAnsi="Georgia"/>
          <w:sz w:val="20"/>
          <w:szCs w:val="20"/>
          <w:lang w:val="lt-LT"/>
        </w:rPr>
        <w:t>Taip pat numatoma, kad ESCO įmonė gaus lengvatinę paskolą, kurios tikslinė paskirtis yra renovacijos</w:t>
      </w:r>
      <w:r>
        <w:rPr>
          <w:rFonts w:ascii="Georgia" w:hAnsi="Georgia"/>
          <w:sz w:val="20"/>
          <w:szCs w:val="20"/>
          <w:lang w:val="lt-LT"/>
        </w:rPr>
        <w:t xml:space="preserve"> projekto įgyvendinimas. Kitaip tariant, ESCO įmonė negali gauti naudos iš suteikiamos paskolos, todėl ESCO įmonė negali būti laikoma investuotoju. Kita vertus, ESCO įmonė šiuo atveju atlieka finansinio tarpininko vaidmenį, o už suteikiamas paslaugas gauna valdymo mokestį.</w:t>
      </w:r>
    </w:p>
    <w:p w14:paraId="1F2C671D" w14:textId="77777777"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 xml:space="preserve">Kitaip tariant, taikytini </w:t>
      </w:r>
      <w:r w:rsidRPr="00A20F4A">
        <w:rPr>
          <w:rFonts w:ascii="Georgia" w:hAnsi="Georgia"/>
          <w:sz w:val="20"/>
          <w:szCs w:val="20"/>
          <w:lang w:val="lt-LT"/>
        </w:rPr>
        <w:t>Rizikos finansų gairių 40 p</w:t>
      </w:r>
      <w:r>
        <w:rPr>
          <w:rFonts w:ascii="Georgia" w:hAnsi="Georgia"/>
          <w:sz w:val="20"/>
          <w:szCs w:val="20"/>
          <w:lang w:val="lt-LT"/>
        </w:rPr>
        <w:t xml:space="preserve">. (ESCO įmonės </w:t>
      </w:r>
      <w:r w:rsidRPr="00A20F4A">
        <w:rPr>
          <w:rFonts w:ascii="Georgia" w:hAnsi="Georgia"/>
          <w:sz w:val="20"/>
          <w:szCs w:val="20"/>
          <w:lang w:val="lt-LT"/>
        </w:rPr>
        <w:t>parink</w:t>
      </w:r>
      <w:r>
        <w:rPr>
          <w:rFonts w:ascii="Georgia" w:hAnsi="Georgia"/>
          <w:sz w:val="20"/>
          <w:szCs w:val="20"/>
          <w:lang w:val="lt-LT"/>
        </w:rPr>
        <w:t>imas</w:t>
      </w:r>
      <w:r w:rsidRPr="001D30F7">
        <w:rPr>
          <w:rFonts w:ascii="Georgia" w:hAnsi="Georgia"/>
          <w:sz w:val="20"/>
          <w:szCs w:val="20"/>
          <w:lang w:val="lt-LT"/>
        </w:rPr>
        <w:t xml:space="preserve"> </w:t>
      </w:r>
      <w:r w:rsidRPr="00A20F4A">
        <w:rPr>
          <w:rFonts w:ascii="Georgia" w:hAnsi="Georgia"/>
          <w:sz w:val="20"/>
          <w:szCs w:val="20"/>
          <w:lang w:val="lt-LT"/>
        </w:rPr>
        <w:t>atvira, skaidria, nediskriminacine ir objektyvia tvarka</w:t>
      </w:r>
      <w:r>
        <w:rPr>
          <w:rFonts w:ascii="Georgia" w:hAnsi="Georgia"/>
          <w:sz w:val="20"/>
          <w:szCs w:val="20"/>
          <w:lang w:val="lt-LT"/>
        </w:rPr>
        <w:t>), 143-145 p. (valdymo mokesčio suma, atitinkanti rinkos situaciją).</w:t>
      </w:r>
    </w:p>
    <w:p w14:paraId="057C7F08" w14:textId="77777777" w:rsidR="00EF6FC0" w:rsidRPr="00BF4020" w:rsidRDefault="00EF6FC0" w:rsidP="00A73D0A">
      <w:pPr>
        <w:pStyle w:val="Sraopastraipa"/>
        <w:ind w:left="0"/>
        <w:jc w:val="both"/>
        <w:rPr>
          <w:rFonts w:ascii="Georgia" w:hAnsi="Georgia"/>
          <w:sz w:val="20"/>
          <w:szCs w:val="20"/>
          <w:lang w:val="lt-LT"/>
        </w:rPr>
      </w:pPr>
      <w:r w:rsidRPr="00BF4020">
        <w:rPr>
          <w:rFonts w:ascii="Georgia" w:hAnsi="Georgia"/>
          <w:sz w:val="20"/>
          <w:szCs w:val="20"/>
          <w:lang w:val="lt-LT"/>
        </w:rPr>
        <w:t xml:space="preserve">Įvykdžius aukščiau nurodytas sąlygas, laikytina, kad </w:t>
      </w:r>
      <w:r>
        <w:rPr>
          <w:rFonts w:ascii="Georgia" w:hAnsi="Georgia"/>
          <w:sz w:val="20"/>
          <w:szCs w:val="20"/>
          <w:lang w:val="lt-LT"/>
        </w:rPr>
        <w:t>ESCO įmonė</w:t>
      </w:r>
      <w:r w:rsidRPr="00BF4020">
        <w:rPr>
          <w:rFonts w:ascii="Georgia" w:hAnsi="Georgia"/>
          <w:sz w:val="20"/>
          <w:szCs w:val="20"/>
          <w:lang w:val="lt-LT"/>
        </w:rPr>
        <w:t xml:space="preserve"> nėra valstybės pagalbos gavėjas, kadangi </w:t>
      </w:r>
      <w:r>
        <w:rPr>
          <w:rFonts w:ascii="Georgia" w:hAnsi="Georgia"/>
          <w:sz w:val="20"/>
          <w:szCs w:val="20"/>
          <w:lang w:val="lt-LT"/>
        </w:rPr>
        <w:t>jai</w:t>
      </w:r>
      <w:r w:rsidRPr="00BF4020">
        <w:rPr>
          <w:rFonts w:ascii="Georgia" w:hAnsi="Georgia"/>
          <w:sz w:val="20"/>
          <w:szCs w:val="20"/>
          <w:lang w:val="lt-LT"/>
        </w:rPr>
        <w:t xml:space="preserve"> nebūtų suteikiamas ekonominis pranašumas.</w:t>
      </w:r>
    </w:p>
    <w:p w14:paraId="142211ED" w14:textId="77777777" w:rsidR="00EF6FC0" w:rsidRDefault="00EF6FC0" w:rsidP="00A73D0A">
      <w:pPr>
        <w:pStyle w:val="Sraopastraipa"/>
        <w:ind w:left="0"/>
        <w:jc w:val="both"/>
        <w:rPr>
          <w:rFonts w:ascii="Georgia" w:hAnsi="Georgia"/>
          <w:sz w:val="20"/>
          <w:szCs w:val="20"/>
          <w:lang w:val="lt-LT"/>
        </w:rPr>
      </w:pPr>
    </w:p>
    <w:p w14:paraId="7A167787" w14:textId="77777777" w:rsidR="00EF6FC0" w:rsidRPr="000F2A27" w:rsidRDefault="00EF6FC0" w:rsidP="00A73D0A">
      <w:pPr>
        <w:pStyle w:val="Sraopastraipa"/>
        <w:ind w:left="0"/>
        <w:jc w:val="both"/>
        <w:rPr>
          <w:rFonts w:ascii="Georgia" w:hAnsi="Georgia"/>
          <w:b/>
          <w:sz w:val="20"/>
          <w:szCs w:val="20"/>
          <w:lang w:val="lt-LT"/>
        </w:rPr>
      </w:pPr>
      <w:r w:rsidRPr="000F2A27">
        <w:rPr>
          <w:rFonts w:ascii="Georgia" w:hAnsi="Georgia"/>
          <w:b/>
          <w:sz w:val="20"/>
          <w:szCs w:val="20"/>
          <w:lang w:val="lt-LT"/>
        </w:rPr>
        <w:t>Finansiniai tarpininkai</w:t>
      </w:r>
    </w:p>
    <w:p w14:paraId="4AF46C5B" w14:textId="77777777" w:rsidR="00A73D0A" w:rsidRDefault="00A73D0A" w:rsidP="00A73D0A">
      <w:pPr>
        <w:pStyle w:val="Sraopastraipa"/>
        <w:ind w:left="0"/>
        <w:jc w:val="both"/>
        <w:rPr>
          <w:rFonts w:ascii="Georgia" w:hAnsi="Georgia"/>
          <w:sz w:val="20"/>
          <w:szCs w:val="20"/>
          <w:lang w:val="lt-LT"/>
        </w:rPr>
      </w:pPr>
    </w:p>
    <w:p w14:paraId="1DEDB1B5" w14:textId="77777777" w:rsidR="00EF6FC0" w:rsidRPr="000F2A27" w:rsidRDefault="00EF6FC0" w:rsidP="00A73D0A">
      <w:pPr>
        <w:pStyle w:val="Sraopastraipa"/>
        <w:ind w:left="0"/>
        <w:jc w:val="both"/>
        <w:rPr>
          <w:rFonts w:ascii="Georgia" w:hAnsi="Georgia"/>
          <w:sz w:val="20"/>
          <w:szCs w:val="20"/>
          <w:lang w:val="lt-LT"/>
        </w:rPr>
      </w:pPr>
      <w:r w:rsidRPr="000F2A27">
        <w:rPr>
          <w:rFonts w:ascii="Georgia" w:hAnsi="Georgia"/>
          <w:sz w:val="20"/>
          <w:szCs w:val="20"/>
          <w:lang w:val="lt-LT"/>
        </w:rPr>
        <w:t xml:space="preserve">Bendruoju atveju finansinis tarpininkas yra laikytinas pagalbos pervedimo galutiniams naudos gavėjams priemone, todėl pats nėra laikomas valstybės pagalbos gavėju, tačiau turi būti užtikrinta, kad tarpininkui taikomos sąlygos atitiktų rinkos investuotojo kriterijų, tai yra kad finansiniam tarpininkui nebūtų suteikiamas ekonominis pranašumas, kurio jis negautų rinkos sąlygomis. </w:t>
      </w:r>
    </w:p>
    <w:p w14:paraId="42C72DA4" w14:textId="77777777" w:rsidR="00EF6FC0" w:rsidRPr="000F2A27" w:rsidRDefault="00EF6FC0" w:rsidP="00A73D0A">
      <w:pPr>
        <w:pStyle w:val="Sraopastraipa"/>
        <w:ind w:left="0"/>
        <w:jc w:val="both"/>
        <w:rPr>
          <w:rFonts w:ascii="Georgia" w:hAnsi="Georgia"/>
          <w:sz w:val="20"/>
          <w:szCs w:val="20"/>
          <w:lang w:val="lt-LT"/>
        </w:rPr>
      </w:pPr>
      <w:r w:rsidRPr="000F2A27">
        <w:rPr>
          <w:rFonts w:ascii="Georgia" w:hAnsi="Georgia"/>
          <w:sz w:val="20"/>
          <w:szCs w:val="20"/>
          <w:lang w:val="lt-LT"/>
        </w:rPr>
        <w:t>Finansų tarpininkams, kurie investuoja kartu su viešosiomis lėšomis savo lėšas (ko-investuoja), yra suteikiama galimybė tokiu būdu padidinti savo turtą bei pasiekti didesnę apyvartą, tačiau tai nelaikoma valstybės pagalbos suteikimu pagal Rizikos kapitalo gairių 43 p., jeigu antrinis pagalbos poveikis nėra nukreiptas</w:t>
      </w:r>
      <w:r w:rsidRPr="000F2A27">
        <w:rPr>
          <w:lang w:val="lt-LT"/>
        </w:rPr>
        <w:t xml:space="preserve"> </w:t>
      </w:r>
      <w:r w:rsidRPr="000F2A27">
        <w:rPr>
          <w:rFonts w:ascii="Georgia" w:hAnsi="Georgia"/>
          <w:sz w:val="20"/>
          <w:szCs w:val="20"/>
          <w:lang w:val="lt-LT"/>
        </w:rPr>
        <w:t>į iš anksto nustatytus atskirus finansų tarpininkus. Kitaip tariant, priemonės mechanizmas negali būti susijęs su atskirais finansų tarpininkais.</w:t>
      </w:r>
    </w:p>
    <w:p w14:paraId="6E2ED1F4" w14:textId="77777777" w:rsidR="00EF6FC0" w:rsidRPr="000F2A27" w:rsidRDefault="00EF6FC0" w:rsidP="00A73D0A">
      <w:pPr>
        <w:pStyle w:val="Sraopastraipa"/>
        <w:ind w:left="0"/>
        <w:jc w:val="both"/>
        <w:rPr>
          <w:rFonts w:ascii="Georgia" w:hAnsi="Georgia"/>
          <w:sz w:val="20"/>
          <w:szCs w:val="20"/>
          <w:lang w:val="lt-LT"/>
        </w:rPr>
      </w:pPr>
      <w:r w:rsidRPr="000F2A27">
        <w:rPr>
          <w:rFonts w:ascii="Georgia" w:hAnsi="Georgia"/>
          <w:sz w:val="20"/>
          <w:szCs w:val="20"/>
          <w:lang w:val="lt-LT"/>
        </w:rPr>
        <w:t>Finansinius tarpininkus parinkus atvira, skaidria, nediskriminacine ir objektyvia tvarka, pagal Rizikos finansų gairių 40 p., valstybės pagalba šiems tarpininkams nėra teikiama.</w:t>
      </w:r>
    </w:p>
    <w:p w14:paraId="153974A1" w14:textId="77777777" w:rsidR="00EF6FC0" w:rsidRPr="000F2A27" w:rsidRDefault="00EF6FC0" w:rsidP="00A73D0A">
      <w:pPr>
        <w:pStyle w:val="Sraopastraipa"/>
        <w:ind w:left="0"/>
        <w:jc w:val="both"/>
        <w:rPr>
          <w:rFonts w:ascii="Georgia" w:hAnsi="Georgia"/>
          <w:sz w:val="20"/>
          <w:szCs w:val="20"/>
          <w:lang w:val="lt-LT"/>
        </w:rPr>
      </w:pPr>
      <w:r w:rsidRPr="000F2A27">
        <w:rPr>
          <w:rFonts w:ascii="Georgia" w:hAnsi="Georgia"/>
          <w:sz w:val="20"/>
          <w:szCs w:val="20"/>
          <w:lang w:val="lt-LT"/>
        </w:rPr>
        <w:t>Pabrėžtina, kad teikiant lengvatines paskolas per finansų tarpininką, būtina laikytis Europos Komisijos komunikato dėl orientacinių ir diskonto normų nustatymo metodo pakeitimo reikalavimų, tai yra laikytis bazinės normos bei maržos kitimo ribų, priklausomai nuo įmonės naudos gavėjos reitingo ir įkeičiamo turto</w:t>
      </w:r>
      <w:r w:rsidRPr="000F2A27">
        <w:rPr>
          <w:rStyle w:val="Puslapioinaosnuoroda"/>
          <w:rFonts w:ascii="Georgia" w:hAnsi="Georgia"/>
          <w:sz w:val="20"/>
          <w:szCs w:val="20"/>
          <w:lang w:val="lt-LT"/>
        </w:rPr>
        <w:footnoteReference w:id="141"/>
      </w:r>
      <w:r w:rsidRPr="000F2A27">
        <w:rPr>
          <w:rFonts w:ascii="Georgia" w:hAnsi="Georgia"/>
          <w:sz w:val="20"/>
          <w:szCs w:val="20"/>
          <w:lang w:val="lt-LT"/>
        </w:rPr>
        <w:t>.</w:t>
      </w:r>
    </w:p>
    <w:p w14:paraId="583C090C" w14:textId="77777777" w:rsidR="00EF6FC0" w:rsidRDefault="00EF6FC0" w:rsidP="00A73D0A">
      <w:pPr>
        <w:pStyle w:val="Sraopastraipa"/>
        <w:ind w:left="0"/>
        <w:jc w:val="both"/>
        <w:rPr>
          <w:rFonts w:ascii="Georgia" w:hAnsi="Georgia"/>
          <w:b/>
          <w:sz w:val="20"/>
          <w:szCs w:val="20"/>
          <w:lang w:val="lt-LT"/>
        </w:rPr>
      </w:pPr>
    </w:p>
    <w:p w14:paraId="1233F2EB" w14:textId="77777777" w:rsidR="00EF6FC0" w:rsidRPr="00A93ECC" w:rsidRDefault="00EF6FC0" w:rsidP="0062724A">
      <w:pPr>
        <w:pStyle w:val="Sraopastraipa"/>
        <w:keepNext/>
        <w:ind w:left="0"/>
        <w:jc w:val="both"/>
        <w:rPr>
          <w:rFonts w:ascii="Georgia" w:hAnsi="Georgia"/>
          <w:b/>
          <w:sz w:val="20"/>
          <w:szCs w:val="20"/>
          <w:lang w:val="lt-LT"/>
        </w:rPr>
      </w:pPr>
      <w:r w:rsidRPr="00A93ECC">
        <w:rPr>
          <w:rFonts w:ascii="Georgia" w:hAnsi="Georgia"/>
          <w:b/>
          <w:sz w:val="20"/>
          <w:szCs w:val="20"/>
          <w:lang w:val="lt-LT"/>
        </w:rPr>
        <w:t>Centrinės valdžios pastatų savininkai/valdytojai</w:t>
      </w:r>
    </w:p>
    <w:p w14:paraId="6DFAE7E0" w14:textId="77777777" w:rsidR="00A73D0A" w:rsidRDefault="00A73D0A" w:rsidP="0062724A">
      <w:pPr>
        <w:pStyle w:val="Sraopastraipa"/>
        <w:keepNext/>
        <w:ind w:left="0"/>
        <w:jc w:val="both"/>
        <w:rPr>
          <w:rFonts w:ascii="Georgia" w:hAnsi="Georgia"/>
          <w:sz w:val="20"/>
          <w:szCs w:val="20"/>
          <w:lang w:val="lt-LT"/>
        </w:rPr>
      </w:pPr>
    </w:p>
    <w:p w14:paraId="4D9E79A8" w14:textId="77777777" w:rsidR="00EF6FC0" w:rsidRPr="000F32E2" w:rsidRDefault="00EF6FC0" w:rsidP="0062724A">
      <w:pPr>
        <w:pStyle w:val="Sraopastraipa"/>
        <w:keepNext/>
        <w:ind w:left="0"/>
        <w:jc w:val="both"/>
        <w:rPr>
          <w:rFonts w:ascii="Georgia" w:hAnsi="Georgia"/>
          <w:sz w:val="20"/>
          <w:szCs w:val="20"/>
          <w:lang w:val="lt-LT"/>
        </w:rPr>
      </w:pPr>
      <w:r w:rsidRPr="000F32E2">
        <w:rPr>
          <w:rFonts w:ascii="Georgia" w:hAnsi="Georgia"/>
          <w:sz w:val="20"/>
          <w:szCs w:val="20"/>
          <w:lang w:val="lt-LT"/>
        </w:rPr>
        <w:t>Centrinės valdžios pastatų savininkai/valdytojai yra laikytini juridiniais asmenimis, kurie nevykdo ekonominės veiklos, tai yra nėra ūkio subjektai valstybės pagalbos taisyklių taikymo požiūriu.</w:t>
      </w:r>
    </w:p>
    <w:p w14:paraId="53ADF07B" w14:textId="77777777" w:rsidR="00EF6FC0" w:rsidRPr="000F32E2" w:rsidRDefault="00EF6FC0" w:rsidP="00A73D0A">
      <w:pPr>
        <w:pStyle w:val="Sraopastraipa"/>
        <w:ind w:left="0"/>
        <w:jc w:val="both"/>
        <w:rPr>
          <w:rFonts w:ascii="Georgia" w:hAnsi="Georgia"/>
          <w:sz w:val="20"/>
          <w:szCs w:val="20"/>
          <w:lang w:val="lt-LT"/>
        </w:rPr>
      </w:pPr>
      <w:r w:rsidRPr="000F32E2">
        <w:rPr>
          <w:rFonts w:ascii="Georgia" w:hAnsi="Georgia"/>
          <w:sz w:val="20"/>
          <w:szCs w:val="20"/>
          <w:lang w:val="lt-LT"/>
        </w:rPr>
        <w:t>Įgyvendinant priemonė, siūloma užtikrinti, kad prieš pradedant įgyvendinti projektą būtų įsitikinta, kad juridinis a</w:t>
      </w:r>
      <w:r>
        <w:rPr>
          <w:rFonts w:ascii="Georgia" w:hAnsi="Georgia"/>
          <w:sz w:val="20"/>
          <w:szCs w:val="20"/>
          <w:lang w:val="lt-LT"/>
        </w:rPr>
        <w:t>smuo nevykdo ekonominės veiklos, kadangi priešingu atveju gali atsirasti valstybės pagalbos rizika.</w:t>
      </w:r>
    </w:p>
    <w:p w14:paraId="52EF7F57" w14:textId="77777777" w:rsidR="00EF6FC0" w:rsidRPr="00220170" w:rsidRDefault="00EF6FC0" w:rsidP="00A73D0A">
      <w:pPr>
        <w:pStyle w:val="Sraopastraipa"/>
        <w:ind w:left="0"/>
        <w:jc w:val="both"/>
        <w:rPr>
          <w:rFonts w:ascii="Georgia" w:hAnsi="Georgia"/>
          <w:sz w:val="20"/>
          <w:szCs w:val="20"/>
          <w:highlight w:val="yellow"/>
          <w:lang w:val="lt-LT"/>
        </w:rPr>
      </w:pPr>
    </w:p>
    <w:p w14:paraId="48F51295" w14:textId="77777777" w:rsidR="00EF6FC0" w:rsidRPr="00833D80" w:rsidRDefault="00EF6FC0" w:rsidP="00A73D0A">
      <w:pPr>
        <w:pStyle w:val="Sraopastraipa"/>
        <w:ind w:left="0"/>
        <w:jc w:val="both"/>
        <w:rPr>
          <w:rFonts w:ascii="Georgia" w:hAnsi="Georgia"/>
          <w:b/>
          <w:sz w:val="20"/>
          <w:szCs w:val="20"/>
          <w:lang w:val="lt-LT"/>
        </w:rPr>
      </w:pPr>
      <w:r>
        <w:rPr>
          <w:rFonts w:ascii="Georgia" w:hAnsi="Georgia"/>
          <w:b/>
          <w:sz w:val="20"/>
          <w:szCs w:val="20"/>
          <w:lang w:val="lt-LT"/>
        </w:rPr>
        <w:t>C</w:t>
      </w:r>
      <w:r w:rsidRPr="00833D80">
        <w:rPr>
          <w:rFonts w:ascii="Georgia" w:hAnsi="Georgia"/>
          <w:b/>
          <w:sz w:val="20"/>
          <w:szCs w:val="20"/>
          <w:lang w:val="lt-LT"/>
        </w:rPr>
        <w:t>entrinės valdžios pastatuose įsikūrę ir paslaugas teikiantys ūkio subjektai</w:t>
      </w:r>
    </w:p>
    <w:p w14:paraId="7CD6C022" w14:textId="77777777" w:rsidR="00A73D0A" w:rsidRDefault="00A73D0A" w:rsidP="00A73D0A">
      <w:pPr>
        <w:pStyle w:val="Sraopastraipa"/>
        <w:ind w:left="0"/>
        <w:jc w:val="both"/>
        <w:rPr>
          <w:rFonts w:ascii="Georgia" w:hAnsi="Georgia"/>
          <w:sz w:val="20"/>
          <w:szCs w:val="20"/>
          <w:lang w:val="lt-LT"/>
        </w:rPr>
      </w:pPr>
    </w:p>
    <w:p w14:paraId="5595C8AB" w14:textId="77777777" w:rsidR="00EF6FC0" w:rsidRPr="00833D80" w:rsidRDefault="00EF6FC0" w:rsidP="00A73D0A">
      <w:pPr>
        <w:pStyle w:val="Sraopastraipa"/>
        <w:ind w:left="0"/>
        <w:jc w:val="both"/>
        <w:rPr>
          <w:rFonts w:ascii="Georgia" w:hAnsi="Georgia"/>
          <w:sz w:val="20"/>
          <w:szCs w:val="20"/>
          <w:lang w:val="lt-LT"/>
        </w:rPr>
      </w:pPr>
      <w:r w:rsidRPr="00833D80">
        <w:rPr>
          <w:rFonts w:ascii="Georgia" w:hAnsi="Georgia"/>
          <w:sz w:val="20"/>
          <w:szCs w:val="20"/>
          <w:lang w:val="lt-LT"/>
        </w:rPr>
        <w:t xml:space="preserve">Centrinės valdžios pastatuose įsikūrę ir paslaugas teikiantys ūkio subjektai laikytini ekonominę veiklą vykdančiais ūkio subjektais valstybės pagalbos taisyklių požiūriu, tai yra </w:t>
      </w:r>
      <w:r w:rsidR="00A27CDB">
        <w:rPr>
          <w:rFonts w:ascii="Georgia" w:hAnsi="Georgia"/>
          <w:sz w:val="20"/>
          <w:szCs w:val="20"/>
          <w:lang w:val="lt-LT"/>
        </w:rPr>
        <w:t>centrinės valdžios pastato</w:t>
      </w:r>
      <w:r w:rsidRPr="00833D80">
        <w:rPr>
          <w:rFonts w:ascii="Georgia" w:hAnsi="Georgia"/>
          <w:sz w:val="20"/>
          <w:szCs w:val="20"/>
          <w:lang w:val="lt-LT"/>
        </w:rPr>
        <w:t xml:space="preserve"> renovacijos projekto dėka sumažėtų šių asmenų įprastinės veiklos sąnaudos, kas yra laikytina ekonominiu pranašumu, todėl šių asmenų atžvilgiu turi būti atliktas priemonė</w:t>
      </w:r>
      <w:r>
        <w:rPr>
          <w:rFonts w:ascii="Georgia" w:hAnsi="Georgia"/>
          <w:sz w:val="20"/>
          <w:szCs w:val="20"/>
          <w:lang w:val="lt-LT"/>
        </w:rPr>
        <w:t>s</w:t>
      </w:r>
      <w:r w:rsidRPr="00833D80">
        <w:rPr>
          <w:rFonts w:ascii="Georgia" w:hAnsi="Georgia"/>
          <w:sz w:val="20"/>
          <w:szCs w:val="20"/>
          <w:lang w:val="lt-LT"/>
        </w:rPr>
        <w:t xml:space="preserve"> įgyvendinimo suderinamumo vertinimas.</w:t>
      </w:r>
      <w:r>
        <w:rPr>
          <w:rFonts w:ascii="Georgia" w:hAnsi="Georgia"/>
          <w:sz w:val="20"/>
          <w:szCs w:val="20"/>
          <w:lang w:val="lt-LT"/>
        </w:rPr>
        <w:t xml:space="preserve"> Išimtimi yra laikytini tie atvejai, kai šiems ūkio subjektams numatyta nuomos kaina nepriklauso nuo patiriamų sąnaudų, kadangi tokiu atveju nebūtų suteikiamas ekonominis pranašumas, tačiau valstybės pagalbos atsiradimo rizika priklauso nuo faktinio priemonės </w:t>
      </w:r>
      <w:r>
        <w:rPr>
          <w:rFonts w:ascii="Georgia" w:hAnsi="Georgia"/>
          <w:sz w:val="20"/>
          <w:szCs w:val="20"/>
          <w:lang w:val="lt-LT"/>
        </w:rPr>
        <w:lastRenderedPageBreak/>
        <w:t>įgyvendinimo poveikio ūkio subjektų veiklai. Labiausiai tikėtina, kad nuomos kaina net ir nagrinėjamu atveju bus peržiūrėta, įgyvendinus projektą, todėl vertinamas bendrasis atvejis, atliekant suderinamumo vertinimą.</w:t>
      </w:r>
    </w:p>
    <w:p w14:paraId="6E402CBF" w14:textId="77777777" w:rsidR="00EF6FC0" w:rsidRDefault="00EF6FC0" w:rsidP="00A73D0A">
      <w:pPr>
        <w:pStyle w:val="Sraopastraipa"/>
        <w:jc w:val="both"/>
        <w:rPr>
          <w:rFonts w:ascii="Georgia" w:hAnsi="Georgia"/>
          <w:sz w:val="20"/>
          <w:szCs w:val="20"/>
          <w:lang w:val="lt-LT"/>
        </w:rPr>
      </w:pPr>
    </w:p>
    <w:p w14:paraId="2F01996B" w14:textId="77777777" w:rsidR="00EF6FC0" w:rsidRPr="00A1645B" w:rsidRDefault="00EF6FC0" w:rsidP="002A248B">
      <w:pPr>
        <w:pStyle w:val="Sraopastraipa"/>
        <w:keepNext/>
        <w:ind w:left="0"/>
        <w:jc w:val="both"/>
        <w:rPr>
          <w:rFonts w:ascii="Georgia" w:hAnsi="Georgia"/>
          <w:b/>
          <w:sz w:val="20"/>
          <w:szCs w:val="20"/>
          <w:lang w:val="lt-LT"/>
        </w:rPr>
      </w:pPr>
      <w:r>
        <w:rPr>
          <w:rFonts w:ascii="Georgia" w:hAnsi="Georgia"/>
          <w:b/>
          <w:sz w:val="20"/>
          <w:szCs w:val="20"/>
          <w:lang w:val="lt-LT"/>
        </w:rPr>
        <w:t>R</w:t>
      </w:r>
      <w:r w:rsidRPr="00A1645B">
        <w:rPr>
          <w:rFonts w:ascii="Georgia" w:hAnsi="Georgia"/>
          <w:b/>
          <w:sz w:val="20"/>
          <w:szCs w:val="20"/>
          <w:lang w:val="lt-LT"/>
        </w:rPr>
        <w:t>angos darbus vykdantys ūkio subjektai</w:t>
      </w:r>
    </w:p>
    <w:p w14:paraId="6B67656D" w14:textId="77777777" w:rsidR="00A73D0A" w:rsidRDefault="00A73D0A" w:rsidP="002A248B">
      <w:pPr>
        <w:pStyle w:val="Sraopastraipa"/>
        <w:keepNext/>
        <w:ind w:left="0"/>
        <w:jc w:val="both"/>
        <w:rPr>
          <w:rFonts w:ascii="Georgia" w:hAnsi="Georgia"/>
          <w:sz w:val="20"/>
          <w:szCs w:val="20"/>
          <w:lang w:val="lt-LT"/>
        </w:rPr>
      </w:pPr>
    </w:p>
    <w:p w14:paraId="78AAF257" w14:textId="77777777" w:rsidR="00EF6FC0" w:rsidRDefault="00EF6FC0" w:rsidP="002A248B">
      <w:pPr>
        <w:pStyle w:val="Sraopastraipa"/>
        <w:keepNext/>
        <w:ind w:left="0"/>
        <w:jc w:val="both"/>
        <w:rPr>
          <w:rFonts w:ascii="Georgia" w:hAnsi="Georgia"/>
          <w:sz w:val="20"/>
          <w:szCs w:val="20"/>
          <w:lang w:val="lt-LT"/>
        </w:rPr>
      </w:pPr>
      <w:r>
        <w:rPr>
          <w:rFonts w:ascii="Georgia" w:hAnsi="Georgia"/>
          <w:sz w:val="20"/>
          <w:szCs w:val="20"/>
          <w:lang w:val="lt-LT"/>
        </w:rPr>
        <w:t xml:space="preserve">Pagal numatomą mechanizmą, rangos darbus vykdantys ūkio subjektai bus parenkami Lietuvos Respublikos viešųjų pirkimų įstatymo nustatyta tvarka, tai yra </w:t>
      </w:r>
      <w:r w:rsidRPr="00AB6767">
        <w:rPr>
          <w:rFonts w:ascii="Georgia" w:hAnsi="Georgia"/>
          <w:sz w:val="20"/>
          <w:szCs w:val="20"/>
          <w:lang w:val="lt-LT"/>
        </w:rPr>
        <w:t>atvira, skaidria, nediskriminacine ir objektyvia tvarka</w:t>
      </w:r>
      <w:r>
        <w:rPr>
          <w:rFonts w:ascii="Georgia" w:hAnsi="Georgia"/>
          <w:sz w:val="20"/>
          <w:szCs w:val="20"/>
          <w:lang w:val="lt-LT"/>
        </w:rPr>
        <w:t>, todėl pagal analogiją taikant Rizikos kapitalo gairių 40 p., valstybės pagalba šiems subjektams nebūtų teikiama, kadangi būtų laikomasi rinkos investuotojo kriterijaus (nesuteikiamas ekonominis pranašumas).</w:t>
      </w:r>
    </w:p>
    <w:p w14:paraId="511FFB99" w14:textId="77777777" w:rsidR="00EF6FC0" w:rsidRDefault="00EF6FC0" w:rsidP="00EF6FC0">
      <w:pPr>
        <w:pStyle w:val="Sraopastraipa"/>
        <w:ind w:left="0" w:firstLine="284"/>
        <w:jc w:val="both"/>
        <w:rPr>
          <w:rFonts w:ascii="Georgia" w:hAnsi="Georgia"/>
          <w:sz w:val="20"/>
          <w:szCs w:val="20"/>
          <w:highlight w:val="yellow"/>
          <w:lang w:val="lt-LT"/>
        </w:rPr>
      </w:pPr>
    </w:p>
    <w:p w14:paraId="5304107F" w14:textId="77777777" w:rsidR="00EF6FC0" w:rsidRDefault="00EF6FC0" w:rsidP="00EA16CD">
      <w:pPr>
        <w:pStyle w:val="Antrat2"/>
        <w:numPr>
          <w:ilvl w:val="3"/>
          <w:numId w:val="2"/>
        </w:numPr>
        <w:rPr>
          <w:lang w:val="lt-LT"/>
        </w:rPr>
      </w:pPr>
      <w:bookmarkStart w:id="310" w:name="_Toc417378418"/>
      <w:r>
        <w:rPr>
          <w:lang w:val="lt-LT"/>
        </w:rPr>
        <w:t>Priemonės įgyvendinimo suderinamumo vertinimas</w:t>
      </w:r>
      <w:bookmarkEnd w:id="310"/>
    </w:p>
    <w:p w14:paraId="5DF9B1E6" w14:textId="77777777" w:rsidR="00EF6FC0" w:rsidRPr="00220170" w:rsidRDefault="00EF6FC0" w:rsidP="00EF6FC0">
      <w:pPr>
        <w:pStyle w:val="Sraopastraipa"/>
        <w:ind w:left="0" w:firstLine="284"/>
        <w:jc w:val="both"/>
        <w:rPr>
          <w:rFonts w:ascii="Georgia" w:hAnsi="Georgia"/>
          <w:sz w:val="20"/>
          <w:szCs w:val="20"/>
          <w:highlight w:val="yellow"/>
          <w:lang w:val="lt-LT"/>
        </w:rPr>
      </w:pPr>
    </w:p>
    <w:p w14:paraId="4F2AB59F" w14:textId="77777777"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 xml:space="preserve">Atlikus mechanizmo klasifikavimą, pripažintina, kad valstybės pagalbos (įskaitant </w:t>
      </w:r>
      <w:r w:rsidRPr="00613541">
        <w:rPr>
          <w:rFonts w:ascii="Georgia" w:hAnsi="Georgia"/>
          <w:i/>
          <w:sz w:val="20"/>
          <w:szCs w:val="20"/>
          <w:lang w:val="lt-LT"/>
        </w:rPr>
        <w:t>de minimis</w:t>
      </w:r>
      <w:r>
        <w:rPr>
          <w:rFonts w:ascii="Georgia" w:hAnsi="Georgia"/>
          <w:sz w:val="20"/>
          <w:szCs w:val="20"/>
          <w:lang w:val="lt-LT"/>
        </w:rPr>
        <w:t xml:space="preserve"> pagalbą, kaip nurodyta 5.1.4. skyriuje) požymius atitinka</w:t>
      </w:r>
      <w:r w:rsidRPr="00613541">
        <w:rPr>
          <w:rFonts w:ascii="Georgia" w:hAnsi="Georgia"/>
          <w:sz w:val="20"/>
          <w:szCs w:val="20"/>
          <w:lang w:val="lt-LT"/>
        </w:rPr>
        <w:t xml:space="preserve"> mechanizmo sąlygos, sudaromos </w:t>
      </w:r>
      <w:r>
        <w:rPr>
          <w:rFonts w:ascii="Georgia" w:hAnsi="Georgia"/>
          <w:sz w:val="20"/>
          <w:szCs w:val="20"/>
          <w:lang w:val="lt-LT"/>
        </w:rPr>
        <w:t>c</w:t>
      </w:r>
      <w:r w:rsidRPr="00AA78F3">
        <w:rPr>
          <w:rFonts w:ascii="Georgia" w:hAnsi="Georgia"/>
          <w:sz w:val="20"/>
          <w:szCs w:val="20"/>
          <w:lang w:val="lt-LT"/>
        </w:rPr>
        <w:t>entri</w:t>
      </w:r>
      <w:r>
        <w:rPr>
          <w:rFonts w:ascii="Georgia" w:hAnsi="Georgia"/>
          <w:sz w:val="20"/>
          <w:szCs w:val="20"/>
          <w:lang w:val="lt-LT"/>
        </w:rPr>
        <w:t>nės valdžios pastatuose įsikūrusiems</w:t>
      </w:r>
      <w:r w:rsidRPr="00AA78F3">
        <w:rPr>
          <w:rFonts w:ascii="Georgia" w:hAnsi="Georgia"/>
          <w:sz w:val="20"/>
          <w:szCs w:val="20"/>
          <w:lang w:val="lt-LT"/>
        </w:rPr>
        <w:t xml:space="preserve"> ir paslaugas teikiant</w:t>
      </w:r>
      <w:r>
        <w:rPr>
          <w:rFonts w:ascii="Georgia" w:hAnsi="Georgia"/>
          <w:sz w:val="20"/>
          <w:szCs w:val="20"/>
          <w:lang w:val="lt-LT"/>
        </w:rPr>
        <w:t>iems ūkio subjektams.</w:t>
      </w:r>
    </w:p>
    <w:p w14:paraId="34867246" w14:textId="77777777"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Pažymėtina, kad suderinamumo vertinimo rezultatas yra tiesiogiai susietas su mechanizmo įgyvendinimo metu planuojamomis panaudoti finansinėmis priemonėmis.</w:t>
      </w:r>
    </w:p>
    <w:p w14:paraId="24DAB548" w14:textId="77777777" w:rsidR="00EF6FC0" w:rsidRDefault="00EF6FC0" w:rsidP="00A73D0A">
      <w:pPr>
        <w:pStyle w:val="Sraopastraipa"/>
        <w:ind w:left="0"/>
        <w:jc w:val="both"/>
        <w:rPr>
          <w:rFonts w:ascii="Georgia" w:hAnsi="Georgia"/>
          <w:sz w:val="20"/>
          <w:szCs w:val="20"/>
          <w:lang w:val="lt-LT"/>
        </w:rPr>
      </w:pPr>
    </w:p>
    <w:p w14:paraId="75695A6D" w14:textId="77777777" w:rsidR="00EF6FC0" w:rsidRPr="00BC4BD2" w:rsidRDefault="00EF6FC0" w:rsidP="00A73D0A">
      <w:pPr>
        <w:pStyle w:val="Sraopastraipa"/>
        <w:ind w:left="0"/>
        <w:jc w:val="both"/>
        <w:rPr>
          <w:rFonts w:ascii="Georgia" w:hAnsi="Georgia"/>
          <w:b/>
          <w:sz w:val="20"/>
          <w:szCs w:val="20"/>
          <w:lang w:val="lt-LT"/>
        </w:rPr>
      </w:pPr>
      <w:r w:rsidRPr="00BC4BD2">
        <w:rPr>
          <w:rFonts w:ascii="Georgia" w:hAnsi="Georgia"/>
          <w:b/>
          <w:sz w:val="20"/>
          <w:szCs w:val="20"/>
          <w:lang w:val="lt-LT"/>
        </w:rPr>
        <w:t>Centrinės valdžios pastatuose įsikūrę ir paslaugas teikiantys ūkio subjektai</w:t>
      </w:r>
    </w:p>
    <w:p w14:paraId="65BF0E8B" w14:textId="77777777" w:rsidR="00EF6FC0" w:rsidRDefault="00EF6FC0" w:rsidP="00A73D0A">
      <w:pPr>
        <w:pStyle w:val="Sraopastraipa"/>
        <w:ind w:left="0"/>
        <w:jc w:val="both"/>
        <w:rPr>
          <w:rFonts w:ascii="Georgia" w:hAnsi="Georgia"/>
          <w:sz w:val="20"/>
          <w:szCs w:val="20"/>
          <w:lang w:val="lt-LT"/>
        </w:rPr>
      </w:pPr>
    </w:p>
    <w:p w14:paraId="6D9DC994" w14:textId="77777777"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Šiems ūkio subjektams teikiama pagalba atitinka de minimis pagalbos sąlygas, jeigu:</w:t>
      </w:r>
    </w:p>
    <w:p w14:paraId="594B1FDC" w14:textId="77777777" w:rsidR="00EF6FC0" w:rsidRDefault="00EF6FC0" w:rsidP="002A576D">
      <w:pPr>
        <w:pStyle w:val="Sraopastraipa"/>
        <w:numPr>
          <w:ilvl w:val="0"/>
          <w:numId w:val="121"/>
        </w:numPr>
        <w:ind w:left="709"/>
        <w:jc w:val="both"/>
        <w:rPr>
          <w:rFonts w:ascii="Georgia" w:hAnsi="Georgia"/>
          <w:sz w:val="20"/>
          <w:szCs w:val="20"/>
          <w:lang w:val="lt-LT"/>
        </w:rPr>
      </w:pPr>
      <w:r>
        <w:rPr>
          <w:rFonts w:ascii="Georgia" w:hAnsi="Georgia"/>
          <w:sz w:val="20"/>
          <w:szCs w:val="20"/>
          <w:lang w:val="lt-LT"/>
        </w:rPr>
        <w:t>pagalbos suteikimo momentu (</w:t>
      </w:r>
      <w:r w:rsidRPr="007D5871">
        <w:rPr>
          <w:rFonts w:ascii="Georgia" w:hAnsi="Georgia"/>
          <w:i/>
          <w:sz w:val="20"/>
          <w:szCs w:val="20"/>
          <w:lang w:val="lt-LT"/>
        </w:rPr>
        <w:t xml:space="preserve">de minimis </w:t>
      </w:r>
      <w:r>
        <w:rPr>
          <w:rFonts w:ascii="Georgia" w:hAnsi="Georgia"/>
          <w:sz w:val="20"/>
          <w:szCs w:val="20"/>
          <w:lang w:val="lt-LT"/>
        </w:rPr>
        <w:t>Reglamento 3 str . 4 d.) nėra nei vieno ūkio subjekto, kuriam būtų taikoma nemokumo procedūra, ir</w:t>
      </w:r>
    </w:p>
    <w:p w14:paraId="321226BF" w14:textId="77777777" w:rsidR="00EF6FC0" w:rsidRDefault="00EF6FC0" w:rsidP="002A576D">
      <w:pPr>
        <w:pStyle w:val="Sraopastraipa"/>
        <w:numPr>
          <w:ilvl w:val="0"/>
          <w:numId w:val="121"/>
        </w:numPr>
        <w:ind w:left="709"/>
        <w:jc w:val="both"/>
        <w:rPr>
          <w:rFonts w:ascii="Georgia" w:hAnsi="Georgia"/>
          <w:sz w:val="20"/>
          <w:szCs w:val="20"/>
          <w:lang w:val="lt-LT"/>
        </w:rPr>
      </w:pPr>
      <w:r w:rsidRPr="007D5871">
        <w:rPr>
          <w:rFonts w:ascii="Georgia" w:hAnsi="Georgia"/>
          <w:sz w:val="20"/>
          <w:szCs w:val="20"/>
          <w:lang w:val="lt-LT"/>
        </w:rPr>
        <w:t>paskola yra užtikrinta ne mažiau kaip 50 % paskolos vertės užstatu</w:t>
      </w:r>
      <w:r>
        <w:rPr>
          <w:rFonts w:ascii="Georgia" w:hAnsi="Georgia"/>
          <w:sz w:val="20"/>
          <w:szCs w:val="20"/>
          <w:lang w:val="lt-LT"/>
        </w:rPr>
        <w:t>, o paskolos suma neviršija 1 mln. EUR, kai trukmė yra iki penkerių metų (arba 0,5 mln. EUR, kai trukmė yra iki dešimties metų), ir</w:t>
      </w:r>
    </w:p>
    <w:p w14:paraId="7D652F78" w14:textId="77777777" w:rsidR="00EF6FC0" w:rsidRDefault="00EF6FC0" w:rsidP="002A576D">
      <w:pPr>
        <w:pStyle w:val="Sraopastraipa"/>
        <w:numPr>
          <w:ilvl w:val="0"/>
          <w:numId w:val="121"/>
        </w:numPr>
        <w:ind w:left="709"/>
        <w:jc w:val="both"/>
        <w:rPr>
          <w:rFonts w:ascii="Georgia" w:hAnsi="Georgia"/>
          <w:sz w:val="20"/>
          <w:szCs w:val="20"/>
          <w:lang w:val="lt-LT"/>
        </w:rPr>
      </w:pPr>
      <w:r>
        <w:rPr>
          <w:rFonts w:ascii="Georgia" w:hAnsi="Georgia"/>
          <w:sz w:val="20"/>
          <w:szCs w:val="20"/>
          <w:lang w:val="lt-LT"/>
        </w:rPr>
        <w:t>bendrasis subsidijos ekvivalentas yra apskaičiuotas pagal bazinę palūkanų normą</w:t>
      </w:r>
      <w:r>
        <w:rPr>
          <w:rStyle w:val="Puslapioinaosnuoroda"/>
          <w:rFonts w:ascii="Georgia" w:hAnsi="Georgia"/>
          <w:sz w:val="20"/>
          <w:szCs w:val="20"/>
          <w:lang w:val="lt-LT"/>
        </w:rPr>
        <w:footnoteReference w:id="142"/>
      </w:r>
      <w:r>
        <w:rPr>
          <w:rFonts w:ascii="Georgia" w:hAnsi="Georgia"/>
          <w:sz w:val="20"/>
          <w:szCs w:val="20"/>
          <w:lang w:val="lt-LT"/>
        </w:rPr>
        <w:t>, pridedant reikalingą maržą pagal rizikos lygį, taikytiną pagalbos suteikimo momentu.</w:t>
      </w:r>
    </w:p>
    <w:p w14:paraId="2DDB16BD" w14:textId="77777777" w:rsidR="00EF6FC0" w:rsidRDefault="00EF6FC0" w:rsidP="00A73D0A">
      <w:pPr>
        <w:pStyle w:val="Sraopastraipa"/>
        <w:ind w:left="0"/>
        <w:jc w:val="both"/>
        <w:rPr>
          <w:rFonts w:ascii="Georgia" w:hAnsi="Georgia"/>
          <w:sz w:val="20"/>
          <w:szCs w:val="20"/>
          <w:lang w:val="lt-LT"/>
        </w:rPr>
      </w:pPr>
    </w:p>
    <w:p w14:paraId="49042C26" w14:textId="77777777" w:rsidR="00EF6FC0" w:rsidRDefault="00EF6FC0" w:rsidP="00A73D0A">
      <w:pPr>
        <w:pStyle w:val="Sraopastraipa"/>
        <w:ind w:left="0"/>
        <w:jc w:val="both"/>
        <w:rPr>
          <w:rFonts w:ascii="Georgia" w:hAnsi="Georgia"/>
          <w:sz w:val="20"/>
          <w:szCs w:val="20"/>
          <w:lang w:val="lt-LT"/>
        </w:rPr>
      </w:pPr>
      <w:r w:rsidRPr="005A3553">
        <w:rPr>
          <w:rFonts w:ascii="Georgia" w:hAnsi="Georgia"/>
          <w:sz w:val="20"/>
          <w:szCs w:val="20"/>
          <w:lang w:val="lt-LT"/>
        </w:rPr>
        <w:t xml:space="preserve">Pabrėžtina, kad </w:t>
      </w:r>
      <w:r w:rsidRPr="005A3553">
        <w:rPr>
          <w:rFonts w:ascii="Georgia" w:hAnsi="Georgia"/>
          <w:i/>
          <w:sz w:val="20"/>
          <w:szCs w:val="20"/>
          <w:lang w:val="lt-LT"/>
        </w:rPr>
        <w:t>de minimis</w:t>
      </w:r>
      <w:r w:rsidRPr="005A3553">
        <w:rPr>
          <w:rFonts w:ascii="Georgia" w:hAnsi="Georgia"/>
          <w:sz w:val="20"/>
          <w:szCs w:val="20"/>
          <w:lang w:val="lt-LT"/>
        </w:rPr>
        <w:t xml:space="preserve"> pagalba yra skaičiuojama ne tik vienam juridiniam asmeniui, bet ir visiems su šiuo juridiniu asmeniu susijusiems asmenims, kaip jie yra suprantami pagal </w:t>
      </w:r>
      <w:r w:rsidRPr="005A3553">
        <w:rPr>
          <w:rFonts w:ascii="Georgia" w:hAnsi="Georgia"/>
          <w:i/>
          <w:sz w:val="20"/>
          <w:szCs w:val="20"/>
          <w:lang w:val="lt-LT"/>
        </w:rPr>
        <w:t>de minimis</w:t>
      </w:r>
      <w:r>
        <w:rPr>
          <w:rFonts w:ascii="Georgia" w:hAnsi="Georgia"/>
          <w:sz w:val="20"/>
          <w:szCs w:val="20"/>
          <w:lang w:val="lt-LT"/>
        </w:rPr>
        <w:t xml:space="preserve"> R</w:t>
      </w:r>
      <w:r w:rsidRPr="005A3553">
        <w:rPr>
          <w:rFonts w:ascii="Georgia" w:hAnsi="Georgia"/>
          <w:sz w:val="20"/>
          <w:szCs w:val="20"/>
          <w:lang w:val="lt-LT"/>
        </w:rPr>
        <w:t>eglamento 2 str. 2 d.</w:t>
      </w:r>
    </w:p>
    <w:p w14:paraId="401E7F54" w14:textId="77777777" w:rsidR="00EF6FC0" w:rsidRDefault="00EF6FC0" w:rsidP="00A73D0A">
      <w:pPr>
        <w:pStyle w:val="Sraopastraipa"/>
        <w:ind w:left="0"/>
        <w:jc w:val="both"/>
        <w:rPr>
          <w:rFonts w:ascii="Georgia" w:hAnsi="Georgia"/>
          <w:sz w:val="20"/>
          <w:szCs w:val="20"/>
          <w:lang w:val="lt-LT"/>
        </w:rPr>
      </w:pPr>
    </w:p>
    <w:p w14:paraId="6D0784F7" w14:textId="77777777"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Kitaip tariant, prieš pasirašant sutartį dėl paskolos suteikimo, būtina įsitikinti, kad:</w:t>
      </w:r>
    </w:p>
    <w:p w14:paraId="5484F48F" w14:textId="77777777" w:rsidR="00EF6FC0" w:rsidRDefault="00EF6FC0" w:rsidP="002A576D">
      <w:pPr>
        <w:pStyle w:val="Sraopastraipa"/>
        <w:numPr>
          <w:ilvl w:val="0"/>
          <w:numId w:val="122"/>
        </w:numPr>
        <w:ind w:left="709" w:hanging="425"/>
        <w:jc w:val="both"/>
        <w:rPr>
          <w:rFonts w:ascii="Georgia" w:hAnsi="Georgia"/>
          <w:sz w:val="20"/>
          <w:szCs w:val="20"/>
          <w:lang w:val="lt-LT"/>
        </w:rPr>
      </w:pPr>
      <w:r>
        <w:rPr>
          <w:rFonts w:ascii="Georgia" w:hAnsi="Georgia"/>
          <w:sz w:val="20"/>
          <w:szCs w:val="20"/>
          <w:lang w:val="lt-LT"/>
        </w:rPr>
        <w:t>centrinės valdžios pastate nėra ūkio subjektų, arba</w:t>
      </w:r>
    </w:p>
    <w:p w14:paraId="0BA70378" w14:textId="77777777" w:rsidR="00EF6FC0" w:rsidRDefault="00EF6FC0" w:rsidP="002A576D">
      <w:pPr>
        <w:pStyle w:val="Sraopastraipa"/>
        <w:numPr>
          <w:ilvl w:val="0"/>
          <w:numId w:val="122"/>
        </w:numPr>
        <w:ind w:left="709" w:hanging="425"/>
        <w:rPr>
          <w:rFonts w:ascii="Georgia" w:hAnsi="Georgia"/>
          <w:sz w:val="20"/>
          <w:szCs w:val="20"/>
          <w:lang w:val="lt-LT"/>
        </w:rPr>
      </w:pPr>
      <w:r>
        <w:rPr>
          <w:rFonts w:ascii="Georgia" w:hAnsi="Georgia"/>
          <w:sz w:val="20"/>
          <w:szCs w:val="20"/>
          <w:lang w:val="lt-LT"/>
        </w:rPr>
        <w:t xml:space="preserve">centrinės valdžios pastate yra ūkio subjektų, kurie atitinka nurodytas </w:t>
      </w:r>
      <w:r>
        <w:rPr>
          <w:rFonts w:ascii="Georgia" w:hAnsi="Georgia"/>
          <w:i/>
          <w:sz w:val="20"/>
          <w:szCs w:val="20"/>
          <w:lang w:val="lt-LT"/>
        </w:rPr>
        <w:t>de minimis</w:t>
      </w:r>
      <w:r>
        <w:rPr>
          <w:rFonts w:ascii="Georgia" w:hAnsi="Georgia"/>
          <w:sz w:val="20"/>
          <w:szCs w:val="20"/>
          <w:lang w:val="lt-LT"/>
        </w:rPr>
        <w:t xml:space="preserve"> sąlygas.</w:t>
      </w:r>
    </w:p>
    <w:p w14:paraId="213CCD31" w14:textId="77777777" w:rsidR="00EF6FC0" w:rsidRDefault="00EF6FC0" w:rsidP="00A73D0A">
      <w:pPr>
        <w:pStyle w:val="Sraopastraipa"/>
        <w:ind w:left="0"/>
        <w:jc w:val="both"/>
        <w:rPr>
          <w:rFonts w:ascii="Georgia" w:hAnsi="Georgia"/>
          <w:sz w:val="20"/>
          <w:szCs w:val="20"/>
          <w:lang w:val="lt-LT"/>
        </w:rPr>
      </w:pPr>
    </w:p>
    <w:p w14:paraId="349885ED" w14:textId="77777777"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 xml:space="preserve">Atsižvelgiant į valstybės pagalbos taisyklių reikalavimus, siūloma nustatyti, kad pagal numatomą įgyvendinti priemonę centrinės valdžios pastatai, kuriuose yra ūkio subjektų, neatitinkančių </w:t>
      </w:r>
      <w:r w:rsidRPr="00BC1A6B">
        <w:rPr>
          <w:rFonts w:ascii="Georgia" w:hAnsi="Georgia"/>
          <w:i/>
          <w:sz w:val="20"/>
          <w:szCs w:val="20"/>
          <w:lang w:val="lt-LT"/>
        </w:rPr>
        <w:t>de minimis</w:t>
      </w:r>
      <w:r>
        <w:rPr>
          <w:rFonts w:ascii="Georgia" w:hAnsi="Georgia"/>
          <w:sz w:val="20"/>
          <w:szCs w:val="20"/>
          <w:lang w:val="lt-LT"/>
        </w:rPr>
        <w:t xml:space="preserve"> reikalavimų, nėra tinkami pareiškėjai.</w:t>
      </w:r>
    </w:p>
    <w:p w14:paraId="5A56A69E" w14:textId="77777777" w:rsidR="008D5EBC" w:rsidRPr="00D63C58" w:rsidRDefault="008D5EBC" w:rsidP="00A73D0A">
      <w:pPr>
        <w:pStyle w:val="Sraopastraipa"/>
        <w:ind w:left="0"/>
        <w:jc w:val="both"/>
        <w:rPr>
          <w:rFonts w:ascii="Georgia" w:hAnsi="Georgia"/>
          <w:sz w:val="20"/>
          <w:szCs w:val="20"/>
          <w:lang w:val="lt-LT"/>
        </w:rPr>
      </w:pPr>
    </w:p>
    <w:p w14:paraId="4942ED37" w14:textId="77777777" w:rsidR="00EF6FC0" w:rsidRPr="001D5919" w:rsidRDefault="00EF6FC0" w:rsidP="00EA16CD">
      <w:pPr>
        <w:pStyle w:val="Antrat2"/>
        <w:numPr>
          <w:ilvl w:val="3"/>
          <w:numId w:val="2"/>
        </w:numPr>
        <w:rPr>
          <w:lang w:val="lt-LT"/>
        </w:rPr>
      </w:pPr>
      <w:bookmarkStart w:id="311" w:name="_Toc417378419"/>
      <w:r w:rsidRPr="001D5919">
        <w:rPr>
          <w:lang w:val="lt-LT"/>
        </w:rPr>
        <w:t>Priemonės įgyvendinimo vertinimo išvada</w:t>
      </w:r>
      <w:bookmarkEnd w:id="311"/>
    </w:p>
    <w:p w14:paraId="27932D73" w14:textId="77777777" w:rsidR="00EF6FC0" w:rsidRPr="001D5919" w:rsidRDefault="00EF6FC0" w:rsidP="00EF6FC0">
      <w:pPr>
        <w:pStyle w:val="Sraopastraipa"/>
        <w:ind w:left="0"/>
        <w:jc w:val="center"/>
        <w:rPr>
          <w:rFonts w:ascii="Georgia" w:hAnsi="Georgia"/>
          <w:sz w:val="20"/>
          <w:szCs w:val="20"/>
          <w:lang w:val="lt-LT"/>
        </w:rPr>
      </w:pPr>
    </w:p>
    <w:p w14:paraId="54435FC8" w14:textId="77777777" w:rsidR="00EF6FC0" w:rsidRPr="001D5919" w:rsidRDefault="00EF6FC0" w:rsidP="00EF6FC0">
      <w:pPr>
        <w:pStyle w:val="Sraopastraipa"/>
        <w:ind w:left="0"/>
        <w:jc w:val="both"/>
        <w:rPr>
          <w:rFonts w:ascii="Georgia" w:hAnsi="Georgia"/>
          <w:sz w:val="20"/>
          <w:szCs w:val="20"/>
          <w:lang w:val="lt-LT"/>
        </w:rPr>
      </w:pPr>
      <w:r w:rsidRPr="001D5919">
        <w:rPr>
          <w:rFonts w:ascii="Georgia" w:hAnsi="Georgia"/>
          <w:sz w:val="20"/>
          <w:szCs w:val="20"/>
          <w:lang w:val="lt-LT"/>
        </w:rPr>
        <w:t>Įvertinus pasirinkto priemonės įgyvendinimo mechanizmo struktūrą, darytinos šios išvados:</w:t>
      </w:r>
    </w:p>
    <w:p w14:paraId="37BE4EAD" w14:textId="77777777" w:rsidR="00EF6FC0" w:rsidRPr="001D5919" w:rsidRDefault="00EF6FC0" w:rsidP="002A576D">
      <w:pPr>
        <w:pStyle w:val="Sraopastraipa"/>
        <w:numPr>
          <w:ilvl w:val="0"/>
          <w:numId w:val="123"/>
        </w:numPr>
        <w:ind w:left="709"/>
        <w:jc w:val="both"/>
        <w:rPr>
          <w:rFonts w:ascii="Georgia" w:hAnsi="Georgia"/>
          <w:sz w:val="20"/>
          <w:szCs w:val="20"/>
          <w:lang w:val="lt-LT"/>
        </w:rPr>
      </w:pPr>
      <w:r w:rsidRPr="001D5919">
        <w:rPr>
          <w:rFonts w:ascii="Georgia" w:hAnsi="Georgia"/>
          <w:sz w:val="20"/>
          <w:szCs w:val="20"/>
          <w:lang w:val="lt-LT"/>
        </w:rPr>
        <w:lastRenderedPageBreak/>
        <w:t>mechanizmo įgyvendinimas nesukelia valstybės pagalbos atsiradimo rizikos, laikantis atitinkamuose skyriuose nurodytų sąlygų, finansavimą suteikiančių viešųjų institucijų, fondo valdytojo, finansinių tarpininkų, centrinės valdžios pastatų savininkų/valdytojų, taip pat rangos darbus vykdančių asmenų atžvilgiu;</w:t>
      </w:r>
    </w:p>
    <w:p w14:paraId="1ADD2694" w14:textId="77777777" w:rsidR="00EF6FC0" w:rsidRDefault="00EF6FC0" w:rsidP="002A576D">
      <w:pPr>
        <w:pStyle w:val="Sraopastraipa"/>
        <w:numPr>
          <w:ilvl w:val="0"/>
          <w:numId w:val="123"/>
        </w:numPr>
        <w:ind w:left="709"/>
        <w:jc w:val="both"/>
        <w:rPr>
          <w:rFonts w:ascii="Georgia" w:hAnsi="Georgia"/>
          <w:sz w:val="20"/>
          <w:szCs w:val="20"/>
          <w:lang w:val="lt-LT"/>
        </w:rPr>
      </w:pPr>
      <w:r w:rsidRPr="001D5919">
        <w:rPr>
          <w:rFonts w:ascii="Georgia" w:hAnsi="Georgia"/>
          <w:sz w:val="20"/>
          <w:szCs w:val="20"/>
          <w:lang w:val="lt-LT"/>
        </w:rPr>
        <w:t xml:space="preserve">mechanizmo įgyvendinimas sąlygoja </w:t>
      </w:r>
      <w:r w:rsidRPr="00C6372C">
        <w:rPr>
          <w:rFonts w:ascii="Georgia" w:hAnsi="Georgia"/>
          <w:sz w:val="20"/>
          <w:szCs w:val="20"/>
          <w:lang w:val="lt-LT"/>
        </w:rPr>
        <w:t>de minimis</w:t>
      </w:r>
      <w:r w:rsidRPr="001D5919">
        <w:rPr>
          <w:rFonts w:ascii="Georgia" w:hAnsi="Georgia"/>
          <w:sz w:val="20"/>
          <w:szCs w:val="20"/>
          <w:lang w:val="lt-LT"/>
        </w:rPr>
        <w:t xml:space="preserve"> pagalbos atsiradimą ūkio subjektų, veikiančių centrinės vadžios pastatuose, jeigu laikomasi apibrėžtų sąlygų.</w:t>
      </w:r>
    </w:p>
    <w:p w14:paraId="311DCC8A" w14:textId="77777777" w:rsidR="008D5EBC" w:rsidRPr="008D5EBC" w:rsidRDefault="008D5EBC" w:rsidP="008D5EBC">
      <w:pPr>
        <w:jc w:val="both"/>
        <w:rPr>
          <w:rFonts w:ascii="Georgia" w:hAnsi="Georgia"/>
          <w:sz w:val="20"/>
          <w:szCs w:val="20"/>
          <w:lang w:val="lt-LT"/>
        </w:rPr>
      </w:pPr>
    </w:p>
    <w:p w14:paraId="5F3C9CA1" w14:textId="77777777" w:rsidR="00EF6FC0" w:rsidRPr="00220170" w:rsidRDefault="00EF6FC0" w:rsidP="00EA16CD">
      <w:pPr>
        <w:pStyle w:val="Antrat2"/>
        <w:numPr>
          <w:ilvl w:val="2"/>
          <w:numId w:val="2"/>
        </w:numPr>
        <w:spacing w:after="240"/>
        <w:rPr>
          <w:lang w:val="lt-LT"/>
        </w:rPr>
      </w:pPr>
      <w:bookmarkStart w:id="312" w:name="_Toc417378420"/>
      <w:r>
        <w:rPr>
          <w:lang w:val="lt-LT"/>
        </w:rPr>
        <w:t xml:space="preserve">Gatvių apšvietimo finansinių priemonių </w:t>
      </w:r>
      <w:r w:rsidRPr="00220170">
        <w:rPr>
          <w:lang w:val="lt-LT"/>
        </w:rPr>
        <w:t>vertinimas</w:t>
      </w:r>
      <w:bookmarkEnd w:id="312"/>
    </w:p>
    <w:p w14:paraId="3351A5CE" w14:textId="77777777" w:rsidR="00EF6FC0" w:rsidRPr="00220170" w:rsidRDefault="00EF6FC0" w:rsidP="00A73D0A">
      <w:pPr>
        <w:jc w:val="both"/>
        <w:rPr>
          <w:rFonts w:ascii="Georgia" w:hAnsi="Georgia"/>
          <w:sz w:val="20"/>
          <w:szCs w:val="20"/>
          <w:lang w:val="lt-LT"/>
        </w:rPr>
      </w:pPr>
      <w:r w:rsidRPr="00220170">
        <w:rPr>
          <w:rFonts w:ascii="Georgia" w:hAnsi="Georgia"/>
          <w:sz w:val="20"/>
          <w:szCs w:val="20"/>
          <w:lang w:val="lt-LT"/>
        </w:rPr>
        <w:t xml:space="preserve">Šiame skyriuje nagrinėjama pasirinkta </w:t>
      </w:r>
      <w:r>
        <w:rPr>
          <w:rFonts w:ascii="Georgia" w:hAnsi="Georgia"/>
          <w:sz w:val="20"/>
          <w:szCs w:val="20"/>
          <w:lang w:val="lt-LT"/>
        </w:rPr>
        <w:t>gatvių apšvietimui</w:t>
      </w:r>
      <w:r w:rsidRPr="00220170">
        <w:rPr>
          <w:rFonts w:ascii="Georgia" w:hAnsi="Georgia"/>
          <w:sz w:val="20"/>
          <w:szCs w:val="20"/>
          <w:lang w:val="lt-LT"/>
        </w:rPr>
        <w:t xml:space="preserve"> skirtų finansinių priemonių alternatyva. Analizės apimtis ir eiliškumas atitinka daugiabučių pastatų analizės apimtį ir eiliškumą.</w:t>
      </w:r>
    </w:p>
    <w:p w14:paraId="5E529717" w14:textId="77777777" w:rsidR="00EF6FC0" w:rsidRPr="00220170" w:rsidRDefault="00EF6FC0" w:rsidP="00A73D0A">
      <w:pPr>
        <w:jc w:val="both"/>
        <w:rPr>
          <w:rFonts w:ascii="Georgia" w:hAnsi="Georgia"/>
          <w:sz w:val="20"/>
          <w:szCs w:val="20"/>
          <w:lang w:val="lt-LT"/>
        </w:rPr>
      </w:pPr>
      <w:r>
        <w:rPr>
          <w:rFonts w:ascii="Georgia" w:hAnsi="Georgia"/>
          <w:sz w:val="20"/>
          <w:szCs w:val="20"/>
          <w:lang w:val="lt-LT"/>
        </w:rPr>
        <w:t>Gatvių apšvietimui</w:t>
      </w:r>
      <w:r w:rsidRPr="00220170">
        <w:rPr>
          <w:rFonts w:ascii="Georgia" w:hAnsi="Georgia"/>
          <w:sz w:val="20"/>
          <w:szCs w:val="20"/>
          <w:lang w:val="lt-LT"/>
        </w:rPr>
        <w:t xml:space="preserve">, pagal alternatyvų vertinimo rezultatus, yra </w:t>
      </w:r>
      <w:r>
        <w:rPr>
          <w:rFonts w:ascii="Georgia" w:hAnsi="Georgia"/>
          <w:sz w:val="20"/>
          <w:szCs w:val="20"/>
          <w:lang w:val="lt-LT"/>
        </w:rPr>
        <w:t>taikoma garantijų</w:t>
      </w:r>
      <w:r w:rsidRPr="00220170">
        <w:rPr>
          <w:rFonts w:ascii="Georgia" w:hAnsi="Georgia"/>
          <w:sz w:val="20"/>
          <w:szCs w:val="20"/>
          <w:lang w:val="lt-LT"/>
        </w:rPr>
        <w:t xml:space="preserve"> finansinė priemonė, nesteigiant juridinio asmens statusą turinčio fondo bei numatant privataus investicijų fondo dalyvavimą.</w:t>
      </w:r>
    </w:p>
    <w:p w14:paraId="217B4398" w14:textId="77777777" w:rsidR="00EF6FC0" w:rsidRPr="00220170" w:rsidRDefault="00EF6FC0" w:rsidP="00A73D0A">
      <w:pPr>
        <w:jc w:val="both"/>
        <w:rPr>
          <w:rFonts w:ascii="Georgia" w:hAnsi="Georgia"/>
          <w:sz w:val="20"/>
          <w:szCs w:val="20"/>
          <w:lang w:val="lt-LT"/>
        </w:rPr>
      </w:pPr>
      <w:r w:rsidRPr="00220170">
        <w:rPr>
          <w:rFonts w:ascii="Georgia" w:hAnsi="Georgia"/>
          <w:sz w:val="20"/>
          <w:szCs w:val="20"/>
          <w:lang w:val="lt-LT"/>
        </w:rPr>
        <w:t>Įgyvendinant priemonę, dalyvauja šie ūkio subjektai:</w:t>
      </w:r>
    </w:p>
    <w:p w14:paraId="10DCE9D3" w14:textId="77777777" w:rsidR="00EF6FC0" w:rsidRPr="00220170" w:rsidRDefault="00EF6FC0" w:rsidP="002A576D">
      <w:pPr>
        <w:pStyle w:val="Sraopastraipa"/>
        <w:numPr>
          <w:ilvl w:val="0"/>
          <w:numId w:val="124"/>
        </w:numPr>
        <w:ind w:left="709"/>
        <w:jc w:val="both"/>
        <w:rPr>
          <w:rFonts w:ascii="Georgia" w:hAnsi="Georgia"/>
          <w:sz w:val="20"/>
          <w:szCs w:val="20"/>
          <w:lang w:val="lt-LT"/>
        </w:rPr>
      </w:pPr>
      <w:r w:rsidRPr="00220170">
        <w:rPr>
          <w:rFonts w:ascii="Georgia" w:hAnsi="Georgia"/>
          <w:sz w:val="20"/>
          <w:szCs w:val="20"/>
          <w:lang w:val="lt-LT"/>
        </w:rPr>
        <w:t>fondo steigimui reikalingą finansavimą suteikiančios bei investiciniame komitete dalyvaujančios viešosios institucijos (Lietuvos Respublikos energetikos ministerija, Lietuvos Respublikos finansų ministerija);</w:t>
      </w:r>
    </w:p>
    <w:p w14:paraId="060301B2" w14:textId="77777777" w:rsidR="00EF6FC0" w:rsidRPr="00220170" w:rsidRDefault="00EF6FC0" w:rsidP="002A576D">
      <w:pPr>
        <w:pStyle w:val="Sraopastraipa"/>
        <w:numPr>
          <w:ilvl w:val="0"/>
          <w:numId w:val="124"/>
        </w:numPr>
        <w:ind w:left="709"/>
        <w:jc w:val="both"/>
        <w:rPr>
          <w:rFonts w:ascii="Georgia" w:hAnsi="Georgia"/>
          <w:sz w:val="20"/>
          <w:szCs w:val="20"/>
          <w:lang w:val="lt-LT"/>
        </w:rPr>
      </w:pPr>
      <w:r w:rsidRPr="00220170">
        <w:rPr>
          <w:rFonts w:ascii="Georgia" w:hAnsi="Georgia"/>
          <w:sz w:val="20"/>
          <w:szCs w:val="20"/>
          <w:lang w:val="lt-LT"/>
        </w:rPr>
        <w:t>fondo valdytojas, kuris vykdo fondo valdymo investicinio komiteto pavedimus, teikia fondo valdymo paslaugas nurodytoms viešosioms institucijoms ir investuotojams, valdydamas fondą, taip pat gaudamas fondo valdymo mokestį;</w:t>
      </w:r>
    </w:p>
    <w:p w14:paraId="3C64CC6D" w14:textId="77777777" w:rsidR="00EF6FC0" w:rsidRPr="00220170" w:rsidRDefault="00EF6FC0" w:rsidP="002A576D">
      <w:pPr>
        <w:pStyle w:val="Sraopastraipa"/>
        <w:numPr>
          <w:ilvl w:val="0"/>
          <w:numId w:val="124"/>
        </w:numPr>
        <w:ind w:left="709"/>
        <w:jc w:val="both"/>
        <w:rPr>
          <w:rFonts w:ascii="Georgia" w:hAnsi="Georgia"/>
          <w:sz w:val="20"/>
          <w:szCs w:val="20"/>
          <w:lang w:val="lt-LT"/>
        </w:rPr>
      </w:pPr>
      <w:r w:rsidRPr="00220170">
        <w:rPr>
          <w:rFonts w:ascii="Georgia" w:hAnsi="Georgia"/>
          <w:sz w:val="20"/>
          <w:szCs w:val="20"/>
          <w:lang w:val="lt-LT"/>
        </w:rPr>
        <w:t>privatūs instituciniai bei profesionalūs investuotojai;</w:t>
      </w:r>
    </w:p>
    <w:p w14:paraId="0203455F" w14:textId="77777777" w:rsidR="00EF6FC0" w:rsidRPr="00220170" w:rsidRDefault="00EF6FC0" w:rsidP="002A576D">
      <w:pPr>
        <w:pStyle w:val="Sraopastraipa"/>
        <w:numPr>
          <w:ilvl w:val="0"/>
          <w:numId w:val="124"/>
        </w:numPr>
        <w:ind w:left="709"/>
        <w:jc w:val="both"/>
        <w:rPr>
          <w:rFonts w:ascii="Georgia" w:hAnsi="Georgia"/>
          <w:sz w:val="20"/>
          <w:szCs w:val="20"/>
          <w:lang w:val="lt-LT"/>
        </w:rPr>
      </w:pPr>
      <w:r w:rsidRPr="00220170">
        <w:rPr>
          <w:rFonts w:ascii="Georgia" w:hAnsi="Georgia"/>
          <w:sz w:val="20"/>
          <w:szCs w:val="20"/>
          <w:lang w:val="lt-LT"/>
        </w:rPr>
        <w:t>ESCO įmonės funkcijas vykdantys ūkio subjektai;</w:t>
      </w:r>
    </w:p>
    <w:p w14:paraId="528903D5" w14:textId="77777777" w:rsidR="00EF6FC0" w:rsidRPr="00220170" w:rsidRDefault="00EF6FC0" w:rsidP="002A576D">
      <w:pPr>
        <w:pStyle w:val="Sraopastraipa"/>
        <w:numPr>
          <w:ilvl w:val="0"/>
          <w:numId w:val="124"/>
        </w:numPr>
        <w:ind w:left="709"/>
        <w:jc w:val="both"/>
        <w:rPr>
          <w:rFonts w:ascii="Georgia" w:hAnsi="Georgia"/>
          <w:sz w:val="20"/>
          <w:szCs w:val="20"/>
          <w:lang w:val="lt-LT"/>
        </w:rPr>
      </w:pPr>
      <w:r w:rsidRPr="00220170">
        <w:rPr>
          <w:rFonts w:ascii="Georgia" w:hAnsi="Georgia"/>
          <w:sz w:val="20"/>
          <w:szCs w:val="20"/>
          <w:lang w:val="lt-LT"/>
        </w:rPr>
        <w:t>įgyvendinant priemonę, numatoma galimybė pasitelkti finansinius tarpininkus, kurie vykdytų finansavimo nukreipimo konkretiems projektams funkciją;</w:t>
      </w:r>
    </w:p>
    <w:p w14:paraId="6D64F6AB" w14:textId="77777777" w:rsidR="00EF6FC0" w:rsidRDefault="00EF6FC0" w:rsidP="002A576D">
      <w:pPr>
        <w:pStyle w:val="Sraopastraipa"/>
        <w:numPr>
          <w:ilvl w:val="0"/>
          <w:numId w:val="124"/>
        </w:numPr>
        <w:ind w:left="709"/>
        <w:jc w:val="both"/>
        <w:rPr>
          <w:rFonts w:ascii="Georgia" w:hAnsi="Georgia"/>
          <w:sz w:val="20"/>
          <w:szCs w:val="20"/>
          <w:lang w:val="lt-LT"/>
        </w:rPr>
      </w:pPr>
      <w:r>
        <w:rPr>
          <w:rFonts w:ascii="Georgia" w:hAnsi="Georgia"/>
          <w:sz w:val="20"/>
          <w:szCs w:val="20"/>
          <w:lang w:val="lt-LT"/>
        </w:rPr>
        <w:t>gatvių apšvietimo taškų</w:t>
      </w:r>
      <w:r w:rsidRPr="00220170">
        <w:rPr>
          <w:rFonts w:ascii="Georgia" w:hAnsi="Georgia"/>
          <w:sz w:val="20"/>
          <w:szCs w:val="20"/>
          <w:lang w:val="lt-LT"/>
        </w:rPr>
        <w:t xml:space="preserve"> savininkai/valdytojai</w:t>
      </w:r>
      <w:r>
        <w:rPr>
          <w:rFonts w:ascii="Georgia" w:hAnsi="Georgia"/>
          <w:sz w:val="20"/>
          <w:szCs w:val="20"/>
          <w:lang w:val="lt-LT"/>
        </w:rPr>
        <w:t>;</w:t>
      </w:r>
    </w:p>
    <w:p w14:paraId="5557EB5E" w14:textId="77777777" w:rsidR="00EF6FC0" w:rsidRPr="004A23FF" w:rsidRDefault="00EF6FC0" w:rsidP="002A576D">
      <w:pPr>
        <w:pStyle w:val="Sraopastraipa"/>
        <w:numPr>
          <w:ilvl w:val="0"/>
          <w:numId w:val="124"/>
        </w:numPr>
        <w:ind w:left="709"/>
        <w:jc w:val="both"/>
        <w:rPr>
          <w:rFonts w:ascii="Georgia" w:hAnsi="Georgia"/>
          <w:sz w:val="20"/>
          <w:szCs w:val="20"/>
          <w:lang w:val="lt-LT"/>
        </w:rPr>
      </w:pPr>
      <w:r>
        <w:rPr>
          <w:rFonts w:ascii="Georgia" w:hAnsi="Georgia"/>
          <w:sz w:val="20"/>
          <w:szCs w:val="20"/>
          <w:lang w:val="lt-LT"/>
        </w:rPr>
        <w:t>komerciniai bankai ar kitos kredito įstaigos;</w:t>
      </w:r>
    </w:p>
    <w:p w14:paraId="28ED48B2" w14:textId="77777777" w:rsidR="00EF6FC0" w:rsidRDefault="00EF6FC0" w:rsidP="002A576D">
      <w:pPr>
        <w:pStyle w:val="Sraopastraipa"/>
        <w:numPr>
          <w:ilvl w:val="0"/>
          <w:numId w:val="124"/>
        </w:numPr>
        <w:ind w:left="709"/>
        <w:jc w:val="both"/>
        <w:rPr>
          <w:rFonts w:ascii="Georgia" w:hAnsi="Georgia"/>
          <w:sz w:val="20"/>
          <w:szCs w:val="20"/>
          <w:lang w:val="lt-LT"/>
        </w:rPr>
      </w:pPr>
      <w:r w:rsidRPr="00220170">
        <w:rPr>
          <w:rFonts w:ascii="Georgia" w:hAnsi="Georgia"/>
          <w:sz w:val="20"/>
          <w:szCs w:val="20"/>
          <w:lang w:val="lt-LT"/>
        </w:rPr>
        <w:t>rangos darbus vykdantys ūkio subjektai.</w:t>
      </w:r>
    </w:p>
    <w:p w14:paraId="320A9C72" w14:textId="77777777" w:rsidR="008D5EBC" w:rsidRPr="008D5EBC" w:rsidRDefault="008D5EBC" w:rsidP="008D5EBC">
      <w:pPr>
        <w:jc w:val="both"/>
        <w:rPr>
          <w:rFonts w:ascii="Georgia" w:hAnsi="Georgia"/>
          <w:sz w:val="20"/>
          <w:szCs w:val="20"/>
          <w:lang w:val="lt-LT"/>
        </w:rPr>
      </w:pPr>
    </w:p>
    <w:p w14:paraId="5C209BB4" w14:textId="77777777" w:rsidR="00EF6FC0" w:rsidRPr="00A34144" w:rsidRDefault="00EF6FC0" w:rsidP="008D5EBC">
      <w:pPr>
        <w:pStyle w:val="Antrat2"/>
        <w:numPr>
          <w:ilvl w:val="3"/>
          <w:numId w:val="2"/>
        </w:numPr>
        <w:rPr>
          <w:lang w:val="lt-LT"/>
        </w:rPr>
      </w:pPr>
      <w:bookmarkStart w:id="313" w:name="_Toc417378421"/>
      <w:r w:rsidRPr="00A34144">
        <w:rPr>
          <w:lang w:val="lt-LT"/>
        </w:rPr>
        <w:t>Priemonės įgyvendinimo mechanizmo klasifikavimas</w:t>
      </w:r>
      <w:bookmarkEnd w:id="313"/>
    </w:p>
    <w:p w14:paraId="6A021D82" w14:textId="77777777" w:rsidR="00A73D0A" w:rsidRDefault="00A73D0A" w:rsidP="008D5EBC">
      <w:pPr>
        <w:keepNext/>
        <w:ind w:firstLine="284"/>
        <w:jc w:val="both"/>
        <w:rPr>
          <w:rFonts w:ascii="Georgia" w:hAnsi="Georgia"/>
          <w:sz w:val="20"/>
          <w:szCs w:val="20"/>
          <w:lang w:val="lt-LT"/>
        </w:rPr>
      </w:pPr>
    </w:p>
    <w:p w14:paraId="6E32EB40" w14:textId="77777777" w:rsidR="00EF6FC0" w:rsidRPr="00A34144" w:rsidRDefault="00EF6FC0" w:rsidP="008D5EBC">
      <w:pPr>
        <w:keepNext/>
        <w:jc w:val="both"/>
        <w:rPr>
          <w:rFonts w:ascii="Georgia" w:hAnsi="Georgia"/>
          <w:sz w:val="20"/>
          <w:szCs w:val="20"/>
          <w:lang w:val="lt-LT"/>
        </w:rPr>
      </w:pPr>
      <w:r w:rsidRPr="00A34144">
        <w:rPr>
          <w:rFonts w:ascii="Georgia" w:hAnsi="Georgia"/>
          <w:sz w:val="20"/>
          <w:szCs w:val="20"/>
          <w:lang w:val="lt-LT"/>
        </w:rPr>
        <w:t>Finansinės priemonės vertinimas, siekiant nustatyti valstybės pagalbos buvimo požymius, turi būti atliekamas kiekvienos tikslinės grupės atžvilgiu atskirai, kadangi priemonės įgyvendinimo poveikis kiekvienai skirtingai grupei gali būti kitoks.</w:t>
      </w:r>
    </w:p>
    <w:p w14:paraId="3277ED16" w14:textId="77777777" w:rsidR="00EF6FC0" w:rsidRPr="000D44DF" w:rsidRDefault="00EF6FC0" w:rsidP="00A73D0A">
      <w:pPr>
        <w:spacing w:after="0"/>
        <w:jc w:val="both"/>
        <w:rPr>
          <w:rFonts w:ascii="Georgia" w:hAnsi="Georgia"/>
          <w:b/>
          <w:sz w:val="20"/>
          <w:szCs w:val="20"/>
          <w:lang w:val="lt-LT"/>
        </w:rPr>
      </w:pPr>
      <w:r w:rsidRPr="00A34144">
        <w:rPr>
          <w:rFonts w:ascii="Georgia" w:hAnsi="Georgia"/>
          <w:b/>
          <w:sz w:val="20"/>
          <w:szCs w:val="20"/>
          <w:lang w:val="lt-LT"/>
        </w:rPr>
        <w:t>Fondo steigimui reikalingą finansavimą suteikiančios viešosios institucijos</w:t>
      </w:r>
    </w:p>
    <w:p w14:paraId="3DCF4221" w14:textId="77777777" w:rsidR="00EF6FC0" w:rsidRPr="00A34144" w:rsidRDefault="00EF6FC0" w:rsidP="00A73D0A">
      <w:pPr>
        <w:jc w:val="both"/>
        <w:rPr>
          <w:rFonts w:ascii="Georgia" w:hAnsi="Georgia"/>
          <w:sz w:val="20"/>
          <w:szCs w:val="20"/>
          <w:lang w:val="lt-LT"/>
        </w:rPr>
      </w:pPr>
      <w:r w:rsidRPr="00A34144">
        <w:rPr>
          <w:rFonts w:ascii="Georgia" w:hAnsi="Georgia"/>
          <w:sz w:val="20"/>
          <w:szCs w:val="20"/>
          <w:lang w:val="lt-LT"/>
        </w:rPr>
        <w:t>Lietuvos Respublikos energetikos ministerija bei Lietuvos Respublikos finansų ministerija, vykdydamos jiems pavestas funkcijas pagal Bendrųjų nuostatų reglamento reikalavimus, taip pat pagal Lietuvos Respublikos biudžeto sandaros įstatymo, Projektų administravimo ir finansavimo taisyklių nuostatas, vykdo tik viešąsias funkcijas, tai yra šios finansinės priemonės kontekste vykdo neekonominę veiklą bei negali būti laikomi ūkio subjektais.</w:t>
      </w:r>
    </w:p>
    <w:p w14:paraId="5328BD5C" w14:textId="77777777" w:rsidR="00EF6FC0" w:rsidRPr="00A34144" w:rsidRDefault="00EF6FC0" w:rsidP="00A73D0A">
      <w:pPr>
        <w:jc w:val="both"/>
        <w:rPr>
          <w:rFonts w:ascii="Georgia" w:hAnsi="Georgia"/>
          <w:sz w:val="20"/>
          <w:szCs w:val="20"/>
          <w:lang w:val="lt-LT"/>
        </w:rPr>
      </w:pPr>
      <w:r w:rsidRPr="00A34144">
        <w:rPr>
          <w:rFonts w:ascii="Georgia" w:hAnsi="Georgia"/>
          <w:sz w:val="20"/>
          <w:szCs w:val="20"/>
          <w:lang w:val="lt-LT"/>
        </w:rPr>
        <w:t>Pabrėžtina, kad šioms viešosioms institucijoms, detalizuojant priemonės aprašymą, negali būti numatytas jokios ekonominės naudos atsiradimas (pvz., sėkmės mokestis, valdymo mokestis, išduotų paskolų palūkanų panaudojimas įstaigos reikmėms, kt.), kadangi tokiu atveju atsirastų valstybės pagalbos atsiradimo rizika.</w:t>
      </w:r>
    </w:p>
    <w:p w14:paraId="5CF5564D" w14:textId="77777777" w:rsidR="00EF6FC0" w:rsidRPr="00BF4020" w:rsidRDefault="00EF6FC0" w:rsidP="00A73D0A">
      <w:pPr>
        <w:spacing w:after="0"/>
        <w:jc w:val="both"/>
        <w:rPr>
          <w:rFonts w:ascii="Georgia" w:hAnsi="Georgia"/>
          <w:sz w:val="20"/>
          <w:szCs w:val="20"/>
          <w:lang w:val="lt-LT"/>
        </w:rPr>
      </w:pPr>
      <w:r w:rsidRPr="00BF4020">
        <w:rPr>
          <w:rFonts w:ascii="Georgia" w:hAnsi="Georgia"/>
          <w:b/>
          <w:sz w:val="20"/>
          <w:szCs w:val="20"/>
          <w:lang w:val="lt-LT"/>
        </w:rPr>
        <w:lastRenderedPageBreak/>
        <w:t>Fondo valdytojas</w:t>
      </w:r>
    </w:p>
    <w:p w14:paraId="4AFCA6AF" w14:textId="77777777" w:rsidR="00A73D0A" w:rsidRDefault="00A73D0A" w:rsidP="00A73D0A">
      <w:pPr>
        <w:jc w:val="both"/>
        <w:rPr>
          <w:rFonts w:ascii="Georgia" w:hAnsi="Georgia"/>
          <w:sz w:val="20"/>
          <w:szCs w:val="20"/>
          <w:lang w:val="lt-LT"/>
        </w:rPr>
      </w:pPr>
    </w:p>
    <w:p w14:paraId="599351D4" w14:textId="77777777" w:rsidR="00EF6FC0" w:rsidRPr="00BF4020" w:rsidRDefault="00EF6FC0" w:rsidP="00A73D0A">
      <w:pPr>
        <w:jc w:val="both"/>
        <w:rPr>
          <w:rFonts w:ascii="Georgia" w:hAnsi="Georgia"/>
          <w:sz w:val="20"/>
          <w:szCs w:val="20"/>
          <w:lang w:val="lt-LT"/>
        </w:rPr>
      </w:pPr>
      <w:r w:rsidRPr="00BF4020">
        <w:rPr>
          <w:rFonts w:ascii="Georgia" w:hAnsi="Georgia"/>
          <w:sz w:val="20"/>
          <w:szCs w:val="20"/>
          <w:lang w:val="lt-LT"/>
        </w:rPr>
        <w:t>Fondo valdytojui taikomas mechanizmas yra tapatus daugiabučių atveju steigiamo fondo valdymo mechanizmui, todėl taikytinos tos pačios sąlygos, kurios yra nurodytos 5.1.</w:t>
      </w:r>
      <w:r>
        <w:rPr>
          <w:rFonts w:ascii="Georgia" w:hAnsi="Georgia"/>
          <w:sz w:val="20"/>
          <w:szCs w:val="20"/>
          <w:lang w:val="lt-LT"/>
        </w:rPr>
        <w:t>2</w:t>
      </w:r>
      <w:r w:rsidRPr="00BF4020">
        <w:rPr>
          <w:rFonts w:ascii="Georgia" w:hAnsi="Georgia"/>
          <w:sz w:val="20"/>
          <w:szCs w:val="20"/>
          <w:lang w:val="lt-LT"/>
        </w:rPr>
        <w:t>.1. skyriuje</w:t>
      </w:r>
    </w:p>
    <w:p w14:paraId="03B70C15" w14:textId="77777777" w:rsidR="00EF6FC0" w:rsidRPr="00BF4020" w:rsidRDefault="00EF6FC0" w:rsidP="00A73D0A">
      <w:pPr>
        <w:pStyle w:val="Sraopastraipa"/>
        <w:ind w:left="0"/>
        <w:jc w:val="both"/>
        <w:rPr>
          <w:rFonts w:ascii="Georgia" w:hAnsi="Georgia"/>
          <w:sz w:val="20"/>
          <w:szCs w:val="20"/>
          <w:lang w:val="lt-LT"/>
        </w:rPr>
      </w:pPr>
      <w:r w:rsidRPr="00BF4020">
        <w:rPr>
          <w:rFonts w:ascii="Georgia" w:hAnsi="Georgia"/>
          <w:sz w:val="20"/>
          <w:szCs w:val="20"/>
          <w:lang w:val="lt-LT"/>
        </w:rPr>
        <w:t>Įvykdžius aukščiau nurodytas sąlygas, laikytina, kad fondo valdytojas nėra valstybės pagalbos gavėjas, kadangi fondo valdytojui nebūtų suteikiamas ekonominis pranašumas.</w:t>
      </w:r>
    </w:p>
    <w:p w14:paraId="205741D8" w14:textId="77777777" w:rsidR="00EF6FC0" w:rsidRPr="00220170" w:rsidRDefault="00EF6FC0" w:rsidP="00A73D0A">
      <w:pPr>
        <w:pStyle w:val="Sraopastraipa"/>
        <w:ind w:left="0"/>
        <w:jc w:val="both"/>
        <w:rPr>
          <w:rFonts w:ascii="Georgia" w:hAnsi="Georgia"/>
          <w:sz w:val="20"/>
          <w:szCs w:val="20"/>
          <w:highlight w:val="yellow"/>
          <w:lang w:val="lt-LT"/>
        </w:rPr>
      </w:pPr>
    </w:p>
    <w:p w14:paraId="4E85C87F" w14:textId="77777777" w:rsidR="00EF6FC0" w:rsidRPr="000F2A27" w:rsidRDefault="00EF6FC0" w:rsidP="00A73D0A">
      <w:pPr>
        <w:spacing w:after="0"/>
        <w:jc w:val="both"/>
        <w:rPr>
          <w:rFonts w:ascii="Georgia" w:hAnsi="Georgia"/>
          <w:b/>
          <w:sz w:val="20"/>
          <w:szCs w:val="20"/>
          <w:lang w:val="lt-LT"/>
        </w:rPr>
      </w:pPr>
      <w:r w:rsidRPr="000F2A27">
        <w:rPr>
          <w:rFonts w:ascii="Georgia" w:hAnsi="Georgia"/>
          <w:b/>
          <w:sz w:val="20"/>
          <w:szCs w:val="20"/>
          <w:lang w:val="lt-LT"/>
        </w:rPr>
        <w:t>Privatūs instituciniai bei profesionalūs investuotojai</w:t>
      </w:r>
    </w:p>
    <w:p w14:paraId="7D697F7B" w14:textId="77777777" w:rsidR="00A73D0A" w:rsidRDefault="00A73D0A" w:rsidP="00A73D0A">
      <w:pPr>
        <w:jc w:val="both"/>
        <w:rPr>
          <w:rFonts w:ascii="Georgia" w:hAnsi="Georgia"/>
          <w:sz w:val="20"/>
          <w:szCs w:val="20"/>
          <w:lang w:val="lt-LT"/>
        </w:rPr>
      </w:pPr>
    </w:p>
    <w:p w14:paraId="534C9F99" w14:textId="77777777" w:rsidR="00EF6FC0" w:rsidRDefault="00EF6FC0" w:rsidP="00A73D0A">
      <w:pPr>
        <w:jc w:val="both"/>
        <w:rPr>
          <w:rFonts w:ascii="Georgia" w:hAnsi="Georgia"/>
          <w:sz w:val="20"/>
          <w:szCs w:val="20"/>
          <w:lang w:val="lt-LT"/>
        </w:rPr>
      </w:pPr>
      <w:r w:rsidRPr="000F2A27">
        <w:rPr>
          <w:rFonts w:ascii="Georgia" w:hAnsi="Georgia"/>
          <w:sz w:val="20"/>
          <w:szCs w:val="20"/>
          <w:lang w:val="lt-LT"/>
        </w:rPr>
        <w:t>Pagal numatomą mechanizmą, valstybė dalyvaus fondo steigime ir valdyme</w:t>
      </w:r>
      <w:r>
        <w:rPr>
          <w:rFonts w:ascii="Georgia" w:hAnsi="Georgia"/>
          <w:sz w:val="20"/>
          <w:szCs w:val="20"/>
          <w:lang w:val="lt-LT"/>
        </w:rPr>
        <w:t xml:space="preserve"> </w:t>
      </w:r>
      <w:r w:rsidRPr="009274D4">
        <w:rPr>
          <w:rFonts w:ascii="Georgia" w:hAnsi="Georgia"/>
          <w:i/>
          <w:sz w:val="20"/>
          <w:szCs w:val="20"/>
          <w:lang w:val="lt-LT"/>
        </w:rPr>
        <w:t xml:space="preserve">parri pasu </w:t>
      </w:r>
      <w:r>
        <w:rPr>
          <w:rFonts w:ascii="Georgia" w:hAnsi="Georgia"/>
          <w:sz w:val="20"/>
          <w:szCs w:val="20"/>
          <w:lang w:val="lt-LT"/>
        </w:rPr>
        <w:t>principo</w:t>
      </w:r>
      <w:r w:rsidRPr="000F2A27">
        <w:rPr>
          <w:rFonts w:ascii="Georgia" w:hAnsi="Georgia"/>
          <w:sz w:val="20"/>
          <w:szCs w:val="20"/>
          <w:lang w:val="lt-LT"/>
        </w:rPr>
        <w:t xml:space="preserve">, tai yra </w:t>
      </w:r>
      <w:r>
        <w:rPr>
          <w:rFonts w:ascii="Georgia" w:hAnsi="Georgia"/>
          <w:sz w:val="20"/>
          <w:szCs w:val="20"/>
          <w:lang w:val="lt-LT"/>
        </w:rPr>
        <w:t>užtikrindama, kad investuotojams nėra suteikiamas ekonominis pranašumas dėl ekonominės veiklos įgyvendinimo. Tokiu atveju, pagal Rizikos kapitalo gairių 31 p., laikytina, kad tokios investicijos atitinka rinkos investuotojo principą bei nepažeidžią valstybės pagalbos teikimo reikalavimų.</w:t>
      </w:r>
    </w:p>
    <w:p w14:paraId="3D938B9F" w14:textId="77777777" w:rsidR="00EF6FC0" w:rsidRPr="00017A00" w:rsidRDefault="00EF6FC0" w:rsidP="00A73D0A">
      <w:pPr>
        <w:jc w:val="both"/>
        <w:rPr>
          <w:rFonts w:ascii="Georgia" w:hAnsi="Georgia"/>
          <w:sz w:val="20"/>
          <w:szCs w:val="20"/>
          <w:lang w:val="lt-LT"/>
        </w:rPr>
      </w:pPr>
      <w:r>
        <w:rPr>
          <w:rFonts w:ascii="Georgia" w:hAnsi="Georgia"/>
          <w:sz w:val="20"/>
          <w:szCs w:val="20"/>
          <w:lang w:val="lt-LT"/>
        </w:rPr>
        <w:t>Pabrėžtina, kad steigiant investicijų fondą, būtina užtikrinti, kad tiek viešąsias lėšas investuojantis, tiek privatūs investuotojai prisiimtų tokias pačias rizikas, atliktų investicijas tuo pačiu metu bei privačių partnerių investicijos sudarytų ne mažiau, nei 30 % visų investicijų sumos.</w:t>
      </w:r>
    </w:p>
    <w:p w14:paraId="606020D6" w14:textId="77777777" w:rsidR="00EF6FC0" w:rsidRPr="000F2A27" w:rsidRDefault="00EF6FC0" w:rsidP="00A73D0A">
      <w:pPr>
        <w:jc w:val="both"/>
        <w:rPr>
          <w:rFonts w:ascii="Georgia" w:hAnsi="Georgia"/>
          <w:sz w:val="20"/>
          <w:szCs w:val="20"/>
          <w:lang w:val="lt-LT"/>
        </w:rPr>
      </w:pPr>
      <w:r w:rsidRPr="000F2A27">
        <w:rPr>
          <w:rFonts w:ascii="Georgia" w:hAnsi="Georgia"/>
          <w:sz w:val="20"/>
          <w:szCs w:val="20"/>
          <w:lang w:val="lt-LT"/>
        </w:rPr>
        <w:t xml:space="preserve">Nusprendus taikyti </w:t>
      </w:r>
      <w:r>
        <w:rPr>
          <w:rFonts w:ascii="Georgia" w:hAnsi="Georgia"/>
          <w:sz w:val="20"/>
          <w:szCs w:val="20"/>
          <w:lang w:val="lt-LT"/>
        </w:rPr>
        <w:t>kitokias/</w:t>
      </w:r>
      <w:r w:rsidRPr="000F2A27">
        <w:rPr>
          <w:rFonts w:ascii="Georgia" w:hAnsi="Georgia"/>
          <w:sz w:val="20"/>
          <w:szCs w:val="20"/>
          <w:lang w:val="lt-LT"/>
        </w:rPr>
        <w:t>papildomas priemones, kurios paskatintų privačių investuotojų aktyvesnį dalyvavimą fondo veikloje, turi būti atliktas papildomas vertinimas valstybės pagalbos požiūriu.</w:t>
      </w:r>
    </w:p>
    <w:p w14:paraId="62D895EB" w14:textId="77777777" w:rsidR="00EF6FC0" w:rsidRPr="00A93ECC" w:rsidRDefault="00EF6FC0" w:rsidP="00A73D0A">
      <w:pPr>
        <w:pStyle w:val="Sraopastraipa"/>
        <w:ind w:left="0"/>
        <w:jc w:val="both"/>
        <w:rPr>
          <w:rFonts w:ascii="Georgia" w:hAnsi="Georgia"/>
          <w:b/>
          <w:sz w:val="20"/>
          <w:szCs w:val="20"/>
          <w:lang w:val="lt-LT"/>
        </w:rPr>
      </w:pPr>
      <w:r w:rsidRPr="00A93ECC">
        <w:rPr>
          <w:rFonts w:ascii="Georgia" w:hAnsi="Georgia"/>
          <w:b/>
          <w:sz w:val="20"/>
          <w:szCs w:val="20"/>
          <w:lang w:val="lt-LT"/>
        </w:rPr>
        <w:t>ESCO įmonės funkcijas vykdantys ūkio subjektai</w:t>
      </w:r>
    </w:p>
    <w:p w14:paraId="29FC52F5" w14:textId="77777777" w:rsidR="00A73D0A" w:rsidRDefault="00A73D0A" w:rsidP="00A73D0A">
      <w:pPr>
        <w:pStyle w:val="Sraopastraipa"/>
        <w:ind w:left="0"/>
        <w:jc w:val="both"/>
        <w:rPr>
          <w:rFonts w:ascii="Georgia" w:hAnsi="Georgia"/>
          <w:sz w:val="20"/>
          <w:szCs w:val="20"/>
          <w:lang w:val="lt-LT"/>
        </w:rPr>
      </w:pPr>
    </w:p>
    <w:p w14:paraId="50073AC6" w14:textId="77777777" w:rsidR="00EF6FC0" w:rsidRPr="00A93ECC" w:rsidRDefault="00EF6FC0" w:rsidP="00A73D0A">
      <w:pPr>
        <w:pStyle w:val="Sraopastraipa"/>
        <w:ind w:left="0"/>
        <w:jc w:val="both"/>
        <w:rPr>
          <w:rFonts w:ascii="Georgia" w:hAnsi="Georgia"/>
          <w:sz w:val="20"/>
          <w:szCs w:val="20"/>
          <w:lang w:val="lt-LT"/>
        </w:rPr>
      </w:pPr>
      <w:r w:rsidRPr="00A93ECC">
        <w:rPr>
          <w:rFonts w:ascii="Georgia" w:hAnsi="Georgia"/>
          <w:sz w:val="20"/>
          <w:szCs w:val="20"/>
          <w:lang w:val="lt-LT"/>
        </w:rPr>
        <w:t xml:space="preserve">ESCO įmonė, pagal numatomą įgyvendinti mechanizmą, yra atskiras juridinis asmuo, kurio paskirtis yra užtikrinti savalaikį investicijų atlikimą, </w:t>
      </w:r>
      <w:r>
        <w:rPr>
          <w:rFonts w:ascii="Georgia" w:hAnsi="Georgia"/>
          <w:sz w:val="20"/>
          <w:szCs w:val="20"/>
          <w:lang w:val="lt-LT"/>
        </w:rPr>
        <w:t xml:space="preserve">paimti rinkos sąlygomis paskolą iš kredito įstaigos </w:t>
      </w:r>
      <w:r w:rsidRPr="00A93ECC">
        <w:rPr>
          <w:rFonts w:ascii="Georgia" w:hAnsi="Georgia"/>
          <w:sz w:val="20"/>
          <w:szCs w:val="20"/>
          <w:lang w:val="lt-LT"/>
        </w:rPr>
        <w:t xml:space="preserve">bei gauti mokėjimus už atliktas investicijas iš </w:t>
      </w:r>
      <w:r>
        <w:rPr>
          <w:rFonts w:ascii="Georgia" w:hAnsi="Georgia"/>
          <w:sz w:val="20"/>
          <w:szCs w:val="20"/>
          <w:lang w:val="lt-LT"/>
        </w:rPr>
        <w:t>gatvių apšvietimo</w:t>
      </w:r>
      <w:r w:rsidRPr="00A93ECC">
        <w:rPr>
          <w:rFonts w:ascii="Georgia" w:hAnsi="Georgia"/>
          <w:sz w:val="20"/>
          <w:szCs w:val="20"/>
          <w:lang w:val="lt-LT"/>
        </w:rPr>
        <w:t xml:space="preserve"> projektą įgyvendinančio juridinio asmens</w:t>
      </w:r>
      <w:r>
        <w:rPr>
          <w:rFonts w:ascii="Georgia" w:hAnsi="Georgia"/>
          <w:sz w:val="20"/>
          <w:szCs w:val="20"/>
          <w:lang w:val="lt-LT"/>
        </w:rPr>
        <w:t>.</w:t>
      </w:r>
    </w:p>
    <w:p w14:paraId="4066997E" w14:textId="77777777" w:rsidR="00EF6FC0" w:rsidRDefault="00EF6FC0" w:rsidP="00A73D0A">
      <w:pPr>
        <w:pStyle w:val="Sraopastraipa"/>
        <w:ind w:left="0"/>
        <w:jc w:val="both"/>
        <w:rPr>
          <w:rFonts w:ascii="Georgia" w:hAnsi="Georgia"/>
          <w:sz w:val="20"/>
          <w:szCs w:val="20"/>
          <w:lang w:val="lt-LT"/>
        </w:rPr>
      </w:pPr>
      <w:r w:rsidRPr="00A93ECC">
        <w:rPr>
          <w:rFonts w:ascii="Georgia" w:hAnsi="Georgia"/>
          <w:sz w:val="20"/>
          <w:szCs w:val="20"/>
          <w:lang w:val="lt-LT"/>
        </w:rPr>
        <w:t xml:space="preserve">Taip pat numatoma, kad ESCO įmonė </w:t>
      </w:r>
      <w:r>
        <w:rPr>
          <w:rFonts w:ascii="Georgia" w:hAnsi="Georgia"/>
          <w:sz w:val="20"/>
          <w:szCs w:val="20"/>
          <w:lang w:val="lt-LT"/>
        </w:rPr>
        <w:t>garantiją už paimtą rinkos sąlygomis paskolą</w:t>
      </w:r>
      <w:r w:rsidRPr="00A93ECC">
        <w:rPr>
          <w:rFonts w:ascii="Georgia" w:hAnsi="Georgia"/>
          <w:sz w:val="20"/>
          <w:szCs w:val="20"/>
          <w:lang w:val="lt-LT"/>
        </w:rPr>
        <w:t xml:space="preserve">, kurios tikslinė paskirtis yra </w:t>
      </w:r>
      <w:r>
        <w:rPr>
          <w:rFonts w:ascii="Georgia" w:hAnsi="Georgia"/>
          <w:sz w:val="20"/>
          <w:szCs w:val="20"/>
          <w:lang w:val="lt-LT"/>
        </w:rPr>
        <w:t>užtikrinti gatvių apšvietimo projekto įgyvendinimą. Kitaip tariant, ESCO įmonė negali gauti naudos iš suteikiamos garantijos, todėl ESCO įmonė negali būti laikoma investuotoju. Kita vertus, ESCO įmonė šiuo atveju atlieka finansinio tarpininko vaidmenį, o už suteikiamas paslaugas gauna valdymo mokestį.</w:t>
      </w:r>
    </w:p>
    <w:p w14:paraId="3B1B4F44" w14:textId="77777777"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 xml:space="preserve">Kitaip tariant, taikytini </w:t>
      </w:r>
      <w:r w:rsidRPr="00A20F4A">
        <w:rPr>
          <w:rFonts w:ascii="Georgia" w:hAnsi="Georgia"/>
          <w:sz w:val="20"/>
          <w:szCs w:val="20"/>
          <w:lang w:val="lt-LT"/>
        </w:rPr>
        <w:t>Rizikos finansų gairių 40 p</w:t>
      </w:r>
      <w:r>
        <w:rPr>
          <w:rFonts w:ascii="Georgia" w:hAnsi="Georgia"/>
          <w:sz w:val="20"/>
          <w:szCs w:val="20"/>
          <w:lang w:val="lt-LT"/>
        </w:rPr>
        <w:t xml:space="preserve">. (ESCO įmonės </w:t>
      </w:r>
      <w:r w:rsidRPr="00A20F4A">
        <w:rPr>
          <w:rFonts w:ascii="Georgia" w:hAnsi="Georgia"/>
          <w:sz w:val="20"/>
          <w:szCs w:val="20"/>
          <w:lang w:val="lt-LT"/>
        </w:rPr>
        <w:t>parink</w:t>
      </w:r>
      <w:r>
        <w:rPr>
          <w:rFonts w:ascii="Georgia" w:hAnsi="Georgia"/>
          <w:sz w:val="20"/>
          <w:szCs w:val="20"/>
          <w:lang w:val="lt-LT"/>
        </w:rPr>
        <w:t>imas</w:t>
      </w:r>
      <w:r w:rsidRPr="001D30F7">
        <w:rPr>
          <w:rFonts w:ascii="Georgia" w:hAnsi="Georgia"/>
          <w:sz w:val="20"/>
          <w:szCs w:val="20"/>
          <w:lang w:val="lt-LT"/>
        </w:rPr>
        <w:t xml:space="preserve"> </w:t>
      </w:r>
      <w:r w:rsidRPr="00A20F4A">
        <w:rPr>
          <w:rFonts w:ascii="Georgia" w:hAnsi="Georgia"/>
          <w:sz w:val="20"/>
          <w:szCs w:val="20"/>
          <w:lang w:val="lt-LT"/>
        </w:rPr>
        <w:t>atvira, skaidria, nediskriminacine ir objektyvia tvarka</w:t>
      </w:r>
      <w:r>
        <w:rPr>
          <w:rFonts w:ascii="Georgia" w:hAnsi="Georgia"/>
          <w:sz w:val="20"/>
          <w:szCs w:val="20"/>
          <w:lang w:val="lt-LT"/>
        </w:rPr>
        <w:t>), 143-145 p. (valdymo mokesčio suma, atitinkanti rinkos situaciją).</w:t>
      </w:r>
    </w:p>
    <w:p w14:paraId="21BCAB09" w14:textId="77777777"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 xml:space="preserve">Atsižvelgiant į </w:t>
      </w:r>
      <w:r w:rsidRPr="00810707">
        <w:rPr>
          <w:rFonts w:ascii="Georgia" w:hAnsi="Georgia"/>
          <w:sz w:val="20"/>
          <w:szCs w:val="20"/>
          <w:lang w:val="lt-LT"/>
        </w:rPr>
        <w:t>Komisijos pranešim</w:t>
      </w:r>
      <w:r>
        <w:rPr>
          <w:rFonts w:ascii="Georgia" w:hAnsi="Georgia"/>
          <w:sz w:val="20"/>
          <w:szCs w:val="20"/>
          <w:lang w:val="lt-LT"/>
        </w:rPr>
        <w:t>o</w:t>
      </w:r>
      <w:r w:rsidRPr="00810707">
        <w:rPr>
          <w:rFonts w:ascii="Georgia" w:hAnsi="Georgia"/>
          <w:sz w:val="20"/>
          <w:szCs w:val="20"/>
          <w:lang w:val="lt-LT"/>
        </w:rPr>
        <w:t xml:space="preserve"> dėl EB sutarties 87 ir 88 straipsnių taikymo garantijomis suteikiamai valstybės</w:t>
      </w:r>
      <w:r>
        <w:rPr>
          <w:rFonts w:ascii="Georgia" w:hAnsi="Georgia"/>
          <w:sz w:val="20"/>
          <w:szCs w:val="20"/>
          <w:lang w:val="lt-LT"/>
        </w:rPr>
        <w:t xml:space="preserve"> </w:t>
      </w:r>
      <w:r w:rsidRPr="00810707">
        <w:rPr>
          <w:rFonts w:ascii="Georgia" w:hAnsi="Georgia"/>
          <w:sz w:val="20"/>
          <w:szCs w:val="20"/>
          <w:lang w:val="lt-LT"/>
        </w:rPr>
        <w:t>pagalbai</w:t>
      </w:r>
      <w:r>
        <w:rPr>
          <w:rFonts w:ascii="Georgia" w:hAnsi="Georgia"/>
          <w:sz w:val="20"/>
          <w:szCs w:val="20"/>
          <w:lang w:val="lt-LT"/>
        </w:rPr>
        <w:t xml:space="preserve"> 2.2 p., turėtų būti akcentuota, kad, nepaisant to, kad garantija yra suteikiama ESCO įmonės paimtai paskolai, visa nauda, susijusi su šios paskolos ir garantijos gavimu, tenka galutiniam naudos gavėjui, kadangi ESCO įmonė atlieka tik finansinio tarpininko vaidmenį.</w:t>
      </w:r>
    </w:p>
    <w:p w14:paraId="5DFA4F1C" w14:textId="77777777" w:rsidR="00EF6FC0" w:rsidRPr="00BF4020" w:rsidRDefault="00EF6FC0" w:rsidP="00A73D0A">
      <w:pPr>
        <w:pStyle w:val="Sraopastraipa"/>
        <w:ind w:left="0"/>
        <w:jc w:val="both"/>
        <w:rPr>
          <w:rFonts w:ascii="Georgia" w:hAnsi="Georgia"/>
          <w:sz w:val="20"/>
          <w:szCs w:val="20"/>
          <w:lang w:val="lt-LT"/>
        </w:rPr>
      </w:pPr>
      <w:r w:rsidRPr="00BF4020">
        <w:rPr>
          <w:rFonts w:ascii="Georgia" w:hAnsi="Georgia"/>
          <w:sz w:val="20"/>
          <w:szCs w:val="20"/>
          <w:lang w:val="lt-LT"/>
        </w:rPr>
        <w:t xml:space="preserve">Įvykdžius aukščiau nurodytas sąlygas, laikytina, kad </w:t>
      </w:r>
      <w:r>
        <w:rPr>
          <w:rFonts w:ascii="Georgia" w:hAnsi="Georgia"/>
          <w:sz w:val="20"/>
          <w:szCs w:val="20"/>
          <w:lang w:val="lt-LT"/>
        </w:rPr>
        <w:t>ESCO įmonė</w:t>
      </w:r>
      <w:r w:rsidRPr="00BF4020">
        <w:rPr>
          <w:rFonts w:ascii="Georgia" w:hAnsi="Georgia"/>
          <w:sz w:val="20"/>
          <w:szCs w:val="20"/>
          <w:lang w:val="lt-LT"/>
        </w:rPr>
        <w:t xml:space="preserve"> nėra valstybės pagalbos gavėjas, kadangi </w:t>
      </w:r>
      <w:r>
        <w:rPr>
          <w:rFonts w:ascii="Georgia" w:hAnsi="Georgia"/>
          <w:sz w:val="20"/>
          <w:szCs w:val="20"/>
          <w:lang w:val="lt-LT"/>
        </w:rPr>
        <w:t>jai</w:t>
      </w:r>
      <w:r w:rsidRPr="00BF4020">
        <w:rPr>
          <w:rFonts w:ascii="Georgia" w:hAnsi="Georgia"/>
          <w:sz w:val="20"/>
          <w:szCs w:val="20"/>
          <w:lang w:val="lt-LT"/>
        </w:rPr>
        <w:t xml:space="preserve"> nebūtų suteikiamas ekonominis pranašumas.</w:t>
      </w:r>
    </w:p>
    <w:p w14:paraId="66B9D304" w14:textId="77777777" w:rsidR="00EF6FC0" w:rsidRDefault="00EF6FC0" w:rsidP="00A73D0A">
      <w:pPr>
        <w:pStyle w:val="Sraopastraipa"/>
        <w:ind w:left="0"/>
        <w:jc w:val="both"/>
        <w:rPr>
          <w:rFonts w:ascii="Georgia" w:hAnsi="Georgia"/>
          <w:sz w:val="20"/>
          <w:szCs w:val="20"/>
          <w:lang w:val="lt-LT"/>
        </w:rPr>
      </w:pPr>
    </w:p>
    <w:p w14:paraId="01E1253C" w14:textId="77777777" w:rsidR="00EF6FC0" w:rsidRPr="000F2A27" w:rsidRDefault="00EF6FC0" w:rsidP="00A73D0A">
      <w:pPr>
        <w:pStyle w:val="Sraopastraipa"/>
        <w:ind w:left="0"/>
        <w:jc w:val="both"/>
        <w:rPr>
          <w:rFonts w:ascii="Georgia" w:hAnsi="Georgia"/>
          <w:b/>
          <w:sz w:val="20"/>
          <w:szCs w:val="20"/>
          <w:lang w:val="lt-LT"/>
        </w:rPr>
      </w:pPr>
      <w:r w:rsidRPr="000F2A27">
        <w:rPr>
          <w:rFonts w:ascii="Georgia" w:hAnsi="Georgia"/>
          <w:b/>
          <w:sz w:val="20"/>
          <w:szCs w:val="20"/>
          <w:lang w:val="lt-LT"/>
        </w:rPr>
        <w:t>Finansiniai tarpininkai</w:t>
      </w:r>
    </w:p>
    <w:p w14:paraId="355E2E0A" w14:textId="77777777" w:rsidR="00A73D0A" w:rsidRDefault="00A73D0A" w:rsidP="00A73D0A">
      <w:pPr>
        <w:pStyle w:val="Sraopastraipa"/>
        <w:ind w:left="0"/>
        <w:jc w:val="both"/>
        <w:rPr>
          <w:rFonts w:ascii="Georgia" w:hAnsi="Georgia"/>
          <w:sz w:val="20"/>
          <w:szCs w:val="20"/>
          <w:lang w:val="lt-LT"/>
        </w:rPr>
      </w:pPr>
    </w:p>
    <w:p w14:paraId="7918F4CC" w14:textId="77777777" w:rsidR="00EF6FC0" w:rsidRPr="000F2A27" w:rsidRDefault="00EF6FC0" w:rsidP="00A73D0A">
      <w:pPr>
        <w:pStyle w:val="Sraopastraipa"/>
        <w:ind w:left="0"/>
        <w:jc w:val="both"/>
        <w:rPr>
          <w:rFonts w:ascii="Georgia" w:hAnsi="Georgia"/>
          <w:sz w:val="20"/>
          <w:szCs w:val="20"/>
          <w:lang w:val="lt-LT"/>
        </w:rPr>
      </w:pPr>
      <w:r w:rsidRPr="000F2A27">
        <w:rPr>
          <w:rFonts w:ascii="Georgia" w:hAnsi="Georgia"/>
          <w:sz w:val="20"/>
          <w:szCs w:val="20"/>
          <w:lang w:val="lt-LT"/>
        </w:rPr>
        <w:t xml:space="preserve">Bendruoju atveju finansinis tarpininkas yra laikytinas pagalbos pervedimo galutiniams naudos gavėjams priemone, todėl pats nėra laikomas valstybės pagalbos gavėju, tačiau turi būti užtikrinta, kad tarpininkui taikomos sąlygos atitiktų rinkos investuotojo kriterijų, tai yra kad finansiniam tarpininkui nebūtų suteikiamas ekonominis pranašumas, kurio jis negautų rinkos sąlygomis. </w:t>
      </w:r>
    </w:p>
    <w:p w14:paraId="4D742BAC" w14:textId="77777777" w:rsidR="00EF6FC0" w:rsidRPr="000F2A27" w:rsidRDefault="00EF6FC0" w:rsidP="00A73D0A">
      <w:pPr>
        <w:pStyle w:val="Sraopastraipa"/>
        <w:ind w:left="0"/>
        <w:jc w:val="both"/>
        <w:rPr>
          <w:rFonts w:ascii="Georgia" w:hAnsi="Georgia"/>
          <w:sz w:val="20"/>
          <w:szCs w:val="20"/>
          <w:lang w:val="lt-LT"/>
        </w:rPr>
      </w:pPr>
      <w:r w:rsidRPr="000F2A27">
        <w:rPr>
          <w:rFonts w:ascii="Georgia" w:hAnsi="Georgia"/>
          <w:sz w:val="20"/>
          <w:szCs w:val="20"/>
          <w:lang w:val="lt-LT"/>
        </w:rPr>
        <w:t xml:space="preserve">Finansų tarpininkams, kurie investuoja kartu su viešosiomis lėšomis savo lėšas (ko-investuoja), yra suteikiama galimybė tokiu būdu padidinti savo turtą bei pasiekti didesnę apyvartą, tačiau tai nelaikoma valstybės pagalbos suteikimu pagal Rizikos kapitalo gairių 43 p., jeigu antrinis pagalbos </w:t>
      </w:r>
      <w:r w:rsidRPr="000F2A27">
        <w:rPr>
          <w:rFonts w:ascii="Georgia" w:hAnsi="Georgia"/>
          <w:sz w:val="20"/>
          <w:szCs w:val="20"/>
          <w:lang w:val="lt-LT"/>
        </w:rPr>
        <w:lastRenderedPageBreak/>
        <w:t>poveikis nėra nukreiptas</w:t>
      </w:r>
      <w:r w:rsidRPr="000F2A27">
        <w:rPr>
          <w:lang w:val="lt-LT"/>
        </w:rPr>
        <w:t xml:space="preserve"> </w:t>
      </w:r>
      <w:r w:rsidRPr="000F2A27">
        <w:rPr>
          <w:rFonts w:ascii="Georgia" w:hAnsi="Georgia"/>
          <w:sz w:val="20"/>
          <w:szCs w:val="20"/>
          <w:lang w:val="lt-LT"/>
        </w:rPr>
        <w:t>į iš anksto nustatytus atskirus finansų tarpininkus. Kitaip tariant, priemonės mechanizmas negali būti susijęs su atskirais finansų tarpininkais.</w:t>
      </w:r>
    </w:p>
    <w:p w14:paraId="7CBC3F2C" w14:textId="77777777" w:rsidR="00EF6FC0" w:rsidRPr="000F2A27" w:rsidRDefault="00EF6FC0" w:rsidP="00A73D0A">
      <w:pPr>
        <w:pStyle w:val="Sraopastraipa"/>
        <w:ind w:left="0"/>
        <w:jc w:val="both"/>
        <w:rPr>
          <w:rFonts w:ascii="Georgia" w:hAnsi="Georgia"/>
          <w:sz w:val="20"/>
          <w:szCs w:val="20"/>
          <w:lang w:val="lt-LT"/>
        </w:rPr>
      </w:pPr>
      <w:r w:rsidRPr="000F2A27">
        <w:rPr>
          <w:rFonts w:ascii="Georgia" w:hAnsi="Georgia"/>
          <w:sz w:val="20"/>
          <w:szCs w:val="20"/>
          <w:lang w:val="lt-LT"/>
        </w:rPr>
        <w:t>Finansinius tarpininkus parinkus atvira, skaidria, nediskriminacine ir objektyvia tvarka, pagal Rizikos finansų gairių 40 p., valstybės pagalba šiems tarpininkams nėra teikiama.</w:t>
      </w:r>
    </w:p>
    <w:p w14:paraId="5CD06515" w14:textId="77777777" w:rsidR="00EF6FC0" w:rsidRDefault="00EF6FC0" w:rsidP="00A73D0A">
      <w:pPr>
        <w:pStyle w:val="Sraopastraipa"/>
        <w:ind w:left="0"/>
        <w:jc w:val="both"/>
        <w:rPr>
          <w:rFonts w:ascii="Georgia" w:hAnsi="Georgia"/>
          <w:sz w:val="20"/>
          <w:szCs w:val="20"/>
          <w:lang w:val="lt-LT"/>
        </w:rPr>
      </w:pPr>
      <w:r w:rsidRPr="000F2A27">
        <w:rPr>
          <w:rFonts w:ascii="Georgia" w:hAnsi="Georgia"/>
          <w:sz w:val="20"/>
          <w:szCs w:val="20"/>
          <w:lang w:val="lt-LT"/>
        </w:rPr>
        <w:t xml:space="preserve">Pabrėžtina, kad teikiant </w:t>
      </w:r>
      <w:r>
        <w:rPr>
          <w:rFonts w:ascii="Georgia" w:hAnsi="Georgia"/>
          <w:sz w:val="20"/>
          <w:szCs w:val="20"/>
          <w:lang w:val="lt-LT"/>
        </w:rPr>
        <w:t>viešosiomis lėšomis</w:t>
      </w:r>
      <w:r w:rsidRPr="000F2A27">
        <w:rPr>
          <w:rFonts w:ascii="Georgia" w:hAnsi="Georgia"/>
          <w:sz w:val="20"/>
          <w:szCs w:val="20"/>
          <w:lang w:val="lt-LT"/>
        </w:rPr>
        <w:t xml:space="preserve"> </w:t>
      </w:r>
      <w:r>
        <w:rPr>
          <w:rFonts w:ascii="Georgia" w:hAnsi="Georgia"/>
          <w:sz w:val="20"/>
          <w:szCs w:val="20"/>
          <w:lang w:val="lt-LT"/>
        </w:rPr>
        <w:t xml:space="preserve">užtikrintas garantijas </w:t>
      </w:r>
      <w:r w:rsidRPr="000F2A27">
        <w:rPr>
          <w:rFonts w:ascii="Georgia" w:hAnsi="Georgia"/>
          <w:sz w:val="20"/>
          <w:szCs w:val="20"/>
          <w:lang w:val="lt-LT"/>
        </w:rPr>
        <w:t xml:space="preserve">per finansų tarpininką, būtina laikytis </w:t>
      </w:r>
      <w:r w:rsidRPr="00810707">
        <w:rPr>
          <w:rFonts w:ascii="Georgia" w:hAnsi="Georgia"/>
          <w:sz w:val="20"/>
          <w:szCs w:val="20"/>
          <w:lang w:val="lt-LT"/>
        </w:rPr>
        <w:t>Komisijos pranešim</w:t>
      </w:r>
      <w:r>
        <w:rPr>
          <w:rFonts w:ascii="Georgia" w:hAnsi="Georgia"/>
          <w:sz w:val="20"/>
          <w:szCs w:val="20"/>
          <w:lang w:val="lt-LT"/>
        </w:rPr>
        <w:t>e</w:t>
      </w:r>
      <w:r w:rsidRPr="00810707">
        <w:rPr>
          <w:rFonts w:ascii="Georgia" w:hAnsi="Georgia"/>
          <w:sz w:val="20"/>
          <w:szCs w:val="20"/>
          <w:lang w:val="lt-LT"/>
        </w:rPr>
        <w:t xml:space="preserve"> dėl EB sutarties 87 ir 88 straipsnių taikymo garantijomis suteikiamai valstybės</w:t>
      </w:r>
      <w:r>
        <w:rPr>
          <w:rFonts w:ascii="Georgia" w:hAnsi="Georgia"/>
          <w:sz w:val="20"/>
          <w:szCs w:val="20"/>
          <w:lang w:val="lt-LT"/>
        </w:rPr>
        <w:t xml:space="preserve"> </w:t>
      </w:r>
      <w:r w:rsidRPr="00810707">
        <w:rPr>
          <w:rFonts w:ascii="Georgia" w:hAnsi="Georgia"/>
          <w:sz w:val="20"/>
          <w:szCs w:val="20"/>
          <w:lang w:val="lt-LT"/>
        </w:rPr>
        <w:t>pagalbai</w:t>
      </w:r>
      <w:r w:rsidRPr="000F2A27">
        <w:rPr>
          <w:rFonts w:ascii="Georgia" w:hAnsi="Georgia"/>
          <w:sz w:val="20"/>
          <w:szCs w:val="20"/>
          <w:lang w:val="lt-LT"/>
        </w:rPr>
        <w:t xml:space="preserve"> reikalavimų, tai yra </w:t>
      </w:r>
      <w:r>
        <w:rPr>
          <w:rFonts w:ascii="Georgia" w:hAnsi="Georgia"/>
          <w:sz w:val="20"/>
          <w:szCs w:val="20"/>
          <w:lang w:val="lt-LT"/>
        </w:rPr>
        <w:t>būtina įsitikinti, kad naudos gavėjas nėra sunkumus patiriantis ūkio subjektas, o garantijos suma neviršija 80 % paskolos vertės.</w:t>
      </w:r>
    </w:p>
    <w:p w14:paraId="41C2B843" w14:textId="77777777"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Taip pat būtina pažymėti šiuos aspektus:</w:t>
      </w:r>
    </w:p>
    <w:p w14:paraId="6623AFD0" w14:textId="77777777" w:rsidR="00EF6FC0" w:rsidRDefault="00EF6FC0" w:rsidP="002A576D">
      <w:pPr>
        <w:pStyle w:val="Sraopastraipa"/>
        <w:numPr>
          <w:ilvl w:val="0"/>
          <w:numId w:val="97"/>
        </w:numPr>
        <w:jc w:val="both"/>
        <w:rPr>
          <w:rFonts w:ascii="Georgia" w:hAnsi="Georgia"/>
          <w:sz w:val="20"/>
          <w:szCs w:val="20"/>
          <w:lang w:val="lt-LT"/>
        </w:rPr>
      </w:pPr>
      <w:r>
        <w:rPr>
          <w:rFonts w:ascii="Georgia" w:hAnsi="Georgia"/>
          <w:sz w:val="20"/>
          <w:szCs w:val="20"/>
          <w:lang w:val="lt-LT"/>
        </w:rPr>
        <w:t>grąžinant paskolos dalis, turi būti peržiūrima ir garantijos suma taip, kad būtų nuolat laikomasi aukščiau nurodyto 80% limito;</w:t>
      </w:r>
    </w:p>
    <w:p w14:paraId="021CB7BA" w14:textId="77777777" w:rsidR="00EF6FC0" w:rsidRDefault="00EF6FC0" w:rsidP="002A576D">
      <w:pPr>
        <w:pStyle w:val="Sraopastraipa"/>
        <w:numPr>
          <w:ilvl w:val="0"/>
          <w:numId w:val="97"/>
        </w:numPr>
        <w:jc w:val="both"/>
        <w:rPr>
          <w:rFonts w:ascii="Georgia" w:hAnsi="Georgia"/>
          <w:sz w:val="20"/>
          <w:szCs w:val="20"/>
          <w:lang w:val="lt-LT"/>
        </w:rPr>
      </w:pPr>
      <w:r>
        <w:rPr>
          <w:rFonts w:ascii="Georgia" w:hAnsi="Georgia"/>
          <w:sz w:val="20"/>
          <w:szCs w:val="20"/>
          <w:lang w:val="lt-LT"/>
        </w:rPr>
        <w:t>garantija turi būti aiškiai susieta su konkrečia paskola ar paskolomis;</w:t>
      </w:r>
    </w:p>
    <w:p w14:paraId="22C10309" w14:textId="77777777" w:rsidR="00EF6FC0" w:rsidRDefault="00EF6FC0" w:rsidP="002A576D">
      <w:pPr>
        <w:pStyle w:val="Sraopastraipa"/>
        <w:numPr>
          <w:ilvl w:val="0"/>
          <w:numId w:val="97"/>
        </w:numPr>
        <w:jc w:val="both"/>
        <w:rPr>
          <w:rFonts w:ascii="Georgia" w:hAnsi="Georgia"/>
          <w:sz w:val="20"/>
          <w:szCs w:val="20"/>
          <w:lang w:val="lt-LT"/>
        </w:rPr>
      </w:pPr>
      <w:r>
        <w:rPr>
          <w:rFonts w:ascii="Georgia" w:hAnsi="Georgia"/>
          <w:sz w:val="20"/>
          <w:szCs w:val="20"/>
          <w:lang w:val="lt-LT"/>
        </w:rPr>
        <w:t>pagal garantijos sąlygas, valstybei negali būti priskirta pirmojo praradimo riziką, pagal kurią pirmieji netekimai, jeigu negrąžinama paskola, atitektų valstybei;</w:t>
      </w:r>
    </w:p>
    <w:p w14:paraId="619E270B" w14:textId="77777777" w:rsidR="00EF6FC0" w:rsidRDefault="00EF6FC0" w:rsidP="002A576D">
      <w:pPr>
        <w:pStyle w:val="Sraopastraipa"/>
        <w:numPr>
          <w:ilvl w:val="0"/>
          <w:numId w:val="97"/>
        </w:numPr>
        <w:jc w:val="both"/>
        <w:rPr>
          <w:rFonts w:ascii="Georgia" w:hAnsi="Georgia"/>
          <w:sz w:val="20"/>
          <w:szCs w:val="20"/>
          <w:lang w:val="lt-LT"/>
        </w:rPr>
      </w:pPr>
      <w:r>
        <w:rPr>
          <w:rFonts w:ascii="Georgia" w:hAnsi="Georgia"/>
          <w:sz w:val="20"/>
          <w:szCs w:val="20"/>
          <w:lang w:val="lt-LT"/>
        </w:rPr>
        <w:t>garantijos įmoka turi atitikti rinkos sąlygas, tai yra nustatoma atsižvelgiant į paskolos trukmę, skolininko finansinę situaciją, užstato dydį ir kitus ekonominius veiksnius. Kitaip tariant, vieningos garantijos įmokos nustatymas visoms paskoloms, kurios yra išduodamos pagal įgyvendinamą finansinę priemonę, pažeis valstybės pagalbos teikimo reikalavimus;</w:t>
      </w:r>
    </w:p>
    <w:p w14:paraId="0B4CB960" w14:textId="77777777" w:rsidR="00EF6FC0" w:rsidRDefault="00EF6FC0" w:rsidP="002A576D">
      <w:pPr>
        <w:pStyle w:val="Sraopastraipa"/>
        <w:numPr>
          <w:ilvl w:val="0"/>
          <w:numId w:val="97"/>
        </w:numPr>
        <w:jc w:val="both"/>
        <w:rPr>
          <w:rFonts w:ascii="Georgia" w:hAnsi="Georgia"/>
          <w:sz w:val="20"/>
          <w:szCs w:val="20"/>
          <w:lang w:val="lt-LT"/>
        </w:rPr>
      </w:pPr>
      <w:r>
        <w:rPr>
          <w:rFonts w:ascii="Georgia" w:hAnsi="Georgia"/>
          <w:sz w:val="20"/>
          <w:szCs w:val="20"/>
          <w:lang w:val="lt-LT"/>
        </w:rPr>
        <w:t>vykdant garantijų schemą, turi būti tinkamai atsižvelgta į palūkanų normą, nesusijusią su priimama rizika</w:t>
      </w:r>
      <w:r>
        <w:rPr>
          <w:rStyle w:val="Puslapioinaosnuoroda"/>
          <w:rFonts w:ascii="Georgia" w:hAnsi="Georgia"/>
          <w:sz w:val="20"/>
          <w:szCs w:val="20"/>
          <w:lang w:val="lt-LT"/>
        </w:rPr>
        <w:footnoteReference w:id="143"/>
      </w:r>
      <w:r>
        <w:rPr>
          <w:rFonts w:ascii="Georgia" w:hAnsi="Georgia"/>
          <w:sz w:val="20"/>
          <w:szCs w:val="20"/>
          <w:lang w:val="lt-LT"/>
        </w:rPr>
        <w:t>.</w:t>
      </w:r>
    </w:p>
    <w:p w14:paraId="19704C54" w14:textId="77777777" w:rsidR="00EF6FC0" w:rsidRDefault="00EF6FC0" w:rsidP="00A73D0A">
      <w:pPr>
        <w:pStyle w:val="Sraopastraipa"/>
        <w:ind w:left="0"/>
        <w:jc w:val="both"/>
        <w:rPr>
          <w:rFonts w:ascii="Georgia" w:hAnsi="Georgia"/>
          <w:b/>
          <w:sz w:val="20"/>
          <w:szCs w:val="20"/>
          <w:lang w:val="lt-LT"/>
        </w:rPr>
      </w:pPr>
    </w:p>
    <w:p w14:paraId="042CEBB1" w14:textId="77777777" w:rsidR="00EF6FC0" w:rsidRPr="00A93ECC" w:rsidRDefault="00EF6FC0" w:rsidP="00A73D0A">
      <w:pPr>
        <w:pStyle w:val="Sraopastraipa"/>
        <w:ind w:left="0"/>
        <w:jc w:val="both"/>
        <w:rPr>
          <w:rFonts w:ascii="Georgia" w:hAnsi="Georgia"/>
          <w:b/>
          <w:sz w:val="20"/>
          <w:szCs w:val="20"/>
          <w:lang w:val="lt-LT"/>
        </w:rPr>
      </w:pPr>
      <w:r>
        <w:rPr>
          <w:rFonts w:ascii="Georgia" w:hAnsi="Georgia"/>
          <w:b/>
          <w:sz w:val="20"/>
          <w:szCs w:val="20"/>
          <w:lang w:val="lt-LT"/>
        </w:rPr>
        <w:t>G</w:t>
      </w:r>
      <w:r w:rsidRPr="00D079B8">
        <w:rPr>
          <w:rFonts w:ascii="Georgia" w:hAnsi="Georgia"/>
          <w:b/>
          <w:sz w:val="20"/>
          <w:szCs w:val="20"/>
          <w:lang w:val="lt-LT"/>
        </w:rPr>
        <w:t>atvių apšvietimo taškų savininkai/valdytojai</w:t>
      </w:r>
    </w:p>
    <w:p w14:paraId="4A5A891E" w14:textId="77777777" w:rsidR="00A73D0A" w:rsidRDefault="00A73D0A" w:rsidP="00A73D0A">
      <w:pPr>
        <w:pStyle w:val="Sraopastraipa"/>
        <w:ind w:left="0"/>
        <w:jc w:val="both"/>
        <w:rPr>
          <w:rFonts w:ascii="Georgia" w:hAnsi="Georgia"/>
          <w:sz w:val="20"/>
          <w:szCs w:val="20"/>
          <w:lang w:val="lt-LT"/>
        </w:rPr>
      </w:pPr>
    </w:p>
    <w:p w14:paraId="0E4B16FF" w14:textId="77777777" w:rsidR="00EF6FC0" w:rsidRPr="000F32E2" w:rsidRDefault="00EF6FC0" w:rsidP="00A73D0A">
      <w:pPr>
        <w:pStyle w:val="Sraopastraipa"/>
        <w:ind w:left="0"/>
        <w:jc w:val="both"/>
        <w:rPr>
          <w:rFonts w:ascii="Georgia" w:hAnsi="Georgia"/>
          <w:sz w:val="20"/>
          <w:szCs w:val="20"/>
          <w:lang w:val="lt-LT"/>
        </w:rPr>
      </w:pPr>
      <w:r w:rsidRPr="00D079B8">
        <w:rPr>
          <w:rFonts w:ascii="Georgia" w:hAnsi="Georgia"/>
          <w:sz w:val="20"/>
          <w:szCs w:val="20"/>
          <w:lang w:val="lt-LT"/>
        </w:rPr>
        <w:t xml:space="preserve">Gatvių apšvietimo taškų </w:t>
      </w:r>
      <w:r w:rsidRPr="000F32E2">
        <w:rPr>
          <w:rFonts w:ascii="Georgia" w:hAnsi="Georgia"/>
          <w:sz w:val="20"/>
          <w:szCs w:val="20"/>
          <w:lang w:val="lt-LT"/>
        </w:rPr>
        <w:t>savininkai/valdytojai yra laikytini juridiniais asmenimis, kurie nevykdo ekonominės veiklos, tai yra nėra ūkio subjektai valstybės pagalbos taisyklių taikymo požiūriu.</w:t>
      </w:r>
    </w:p>
    <w:p w14:paraId="71BDF8F8" w14:textId="77777777" w:rsidR="00EF6FC0" w:rsidRPr="000F32E2" w:rsidRDefault="00EF6FC0" w:rsidP="00A73D0A">
      <w:pPr>
        <w:pStyle w:val="Sraopastraipa"/>
        <w:ind w:left="0"/>
        <w:jc w:val="both"/>
        <w:rPr>
          <w:rFonts w:ascii="Georgia" w:hAnsi="Georgia"/>
          <w:sz w:val="20"/>
          <w:szCs w:val="20"/>
          <w:lang w:val="lt-LT"/>
        </w:rPr>
      </w:pPr>
      <w:r w:rsidRPr="000F32E2">
        <w:rPr>
          <w:rFonts w:ascii="Georgia" w:hAnsi="Georgia"/>
          <w:sz w:val="20"/>
          <w:szCs w:val="20"/>
          <w:lang w:val="lt-LT"/>
        </w:rPr>
        <w:t>Įgyvendinant priemon</w:t>
      </w:r>
      <w:r>
        <w:rPr>
          <w:rFonts w:ascii="Georgia" w:hAnsi="Georgia"/>
          <w:sz w:val="20"/>
          <w:szCs w:val="20"/>
          <w:lang w:val="lt-LT"/>
        </w:rPr>
        <w:t>ę</w:t>
      </w:r>
      <w:r w:rsidRPr="000F32E2">
        <w:rPr>
          <w:rFonts w:ascii="Georgia" w:hAnsi="Georgia"/>
          <w:sz w:val="20"/>
          <w:szCs w:val="20"/>
          <w:lang w:val="lt-LT"/>
        </w:rPr>
        <w:t>, siūloma užtikrinti, kad prieš pradedant įgyvendinti projektą būtų įsitikinta, kad juridinis a</w:t>
      </w:r>
      <w:r>
        <w:rPr>
          <w:rFonts w:ascii="Georgia" w:hAnsi="Georgia"/>
          <w:sz w:val="20"/>
          <w:szCs w:val="20"/>
          <w:lang w:val="lt-LT"/>
        </w:rPr>
        <w:t>smuo nevykdo ekonominės veiklos, kadangi priešingu atveju gali atsirasti valstybės pagalbos teikimo rizika.</w:t>
      </w:r>
    </w:p>
    <w:p w14:paraId="2005351C" w14:textId="77777777" w:rsidR="00EF6FC0" w:rsidRPr="00220170" w:rsidRDefault="00EF6FC0" w:rsidP="00A73D0A">
      <w:pPr>
        <w:pStyle w:val="Sraopastraipa"/>
        <w:ind w:left="0"/>
        <w:jc w:val="both"/>
        <w:rPr>
          <w:rFonts w:ascii="Georgia" w:hAnsi="Georgia"/>
          <w:sz w:val="20"/>
          <w:szCs w:val="20"/>
          <w:highlight w:val="yellow"/>
          <w:lang w:val="lt-LT"/>
        </w:rPr>
      </w:pPr>
    </w:p>
    <w:p w14:paraId="02D3461F" w14:textId="77777777" w:rsidR="00EF6FC0" w:rsidRPr="00833D80" w:rsidRDefault="00EF6FC0" w:rsidP="0062724A">
      <w:pPr>
        <w:pStyle w:val="Sraopastraipa"/>
        <w:keepNext/>
        <w:ind w:left="0"/>
        <w:jc w:val="both"/>
        <w:rPr>
          <w:rFonts w:ascii="Georgia" w:hAnsi="Georgia"/>
          <w:b/>
          <w:sz w:val="20"/>
          <w:szCs w:val="20"/>
          <w:lang w:val="lt-LT"/>
        </w:rPr>
      </w:pPr>
      <w:r>
        <w:rPr>
          <w:rFonts w:ascii="Georgia" w:hAnsi="Georgia"/>
          <w:b/>
          <w:sz w:val="20"/>
          <w:szCs w:val="20"/>
          <w:lang w:val="lt-LT"/>
        </w:rPr>
        <w:t>K</w:t>
      </w:r>
      <w:r w:rsidRPr="00D079B8">
        <w:rPr>
          <w:rFonts w:ascii="Georgia" w:hAnsi="Georgia"/>
          <w:b/>
          <w:sz w:val="20"/>
          <w:szCs w:val="20"/>
          <w:lang w:val="lt-LT"/>
        </w:rPr>
        <w:t>omerciniai bankai ar kitos kredito įstaigos</w:t>
      </w:r>
    </w:p>
    <w:p w14:paraId="7E35C9A8" w14:textId="77777777" w:rsidR="00A73D0A" w:rsidRDefault="00A73D0A" w:rsidP="0062724A">
      <w:pPr>
        <w:pStyle w:val="Sraopastraipa"/>
        <w:keepNext/>
        <w:ind w:left="0"/>
        <w:jc w:val="both"/>
        <w:rPr>
          <w:rFonts w:ascii="Georgia" w:hAnsi="Georgia"/>
          <w:sz w:val="20"/>
          <w:szCs w:val="20"/>
          <w:lang w:val="lt-LT"/>
        </w:rPr>
      </w:pPr>
    </w:p>
    <w:p w14:paraId="70862D4A" w14:textId="77777777" w:rsidR="00EF6FC0" w:rsidRDefault="00EF6FC0" w:rsidP="0062724A">
      <w:pPr>
        <w:pStyle w:val="Sraopastraipa"/>
        <w:keepNext/>
        <w:ind w:left="0"/>
        <w:jc w:val="both"/>
        <w:rPr>
          <w:rFonts w:ascii="Georgia" w:hAnsi="Georgia"/>
          <w:sz w:val="20"/>
          <w:szCs w:val="20"/>
          <w:lang w:val="lt-LT"/>
        </w:rPr>
      </w:pPr>
      <w:r>
        <w:rPr>
          <w:rFonts w:ascii="Georgia" w:hAnsi="Georgia"/>
          <w:sz w:val="20"/>
          <w:szCs w:val="20"/>
          <w:lang w:val="lt-LT"/>
        </w:rPr>
        <w:t>Pagal numatomą įgyvendinti mechanizmą, kredito įstaigos dalyvaus finansinės priemonės įgyvendinime, teikiant paskolas rinkos sąlygomis galutiniams naudos gavėjams (g</w:t>
      </w:r>
      <w:r w:rsidRPr="00D079B8">
        <w:rPr>
          <w:rFonts w:ascii="Georgia" w:hAnsi="Georgia"/>
          <w:sz w:val="20"/>
          <w:szCs w:val="20"/>
          <w:lang w:val="lt-LT"/>
        </w:rPr>
        <w:t>atvių apšvietimo taškų savi</w:t>
      </w:r>
      <w:r>
        <w:rPr>
          <w:rFonts w:ascii="Georgia" w:hAnsi="Georgia"/>
          <w:sz w:val="20"/>
          <w:szCs w:val="20"/>
          <w:lang w:val="lt-LT"/>
        </w:rPr>
        <w:t>ninkams/valdytojams) arba ESCO įmonei, kuri perteikia naudą galutiniam gavėjui.</w:t>
      </w:r>
    </w:p>
    <w:p w14:paraId="66845901" w14:textId="77777777"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Jeigu yra laikomasi aukščiau nurodytų garantijos suteikimo ir įmokų nustatymo sąlygų, skolintojams neatsiranda nauda dėl finansinės priemonės įgyvendinimo, todėl nėra suteikiamas ir ekonominis pranašumas.</w:t>
      </w:r>
    </w:p>
    <w:p w14:paraId="7E577591" w14:textId="77777777" w:rsidR="00EF6FC0" w:rsidRDefault="00EF6FC0" w:rsidP="00A73D0A">
      <w:pPr>
        <w:pStyle w:val="Sraopastraipa"/>
        <w:jc w:val="both"/>
        <w:rPr>
          <w:rFonts w:ascii="Georgia" w:hAnsi="Georgia"/>
          <w:sz w:val="20"/>
          <w:szCs w:val="20"/>
          <w:lang w:val="lt-LT"/>
        </w:rPr>
      </w:pPr>
    </w:p>
    <w:p w14:paraId="7C4645B1" w14:textId="77777777" w:rsidR="00EF6FC0" w:rsidRPr="00A1645B" w:rsidRDefault="00EF6FC0" w:rsidP="00A73D0A">
      <w:pPr>
        <w:pStyle w:val="Sraopastraipa"/>
        <w:ind w:left="0"/>
        <w:jc w:val="both"/>
        <w:rPr>
          <w:rFonts w:ascii="Georgia" w:hAnsi="Georgia"/>
          <w:b/>
          <w:sz w:val="20"/>
          <w:szCs w:val="20"/>
          <w:lang w:val="lt-LT"/>
        </w:rPr>
      </w:pPr>
      <w:r>
        <w:rPr>
          <w:rFonts w:ascii="Georgia" w:hAnsi="Georgia"/>
          <w:b/>
          <w:sz w:val="20"/>
          <w:szCs w:val="20"/>
          <w:lang w:val="lt-LT"/>
        </w:rPr>
        <w:t>R</w:t>
      </w:r>
      <w:r w:rsidRPr="00A1645B">
        <w:rPr>
          <w:rFonts w:ascii="Georgia" w:hAnsi="Georgia"/>
          <w:b/>
          <w:sz w:val="20"/>
          <w:szCs w:val="20"/>
          <w:lang w:val="lt-LT"/>
        </w:rPr>
        <w:t>angos darbus vykdantys ūkio subjektai</w:t>
      </w:r>
    </w:p>
    <w:p w14:paraId="2EEC879F" w14:textId="77777777" w:rsidR="00A73D0A" w:rsidRDefault="00A73D0A" w:rsidP="00A73D0A">
      <w:pPr>
        <w:pStyle w:val="Sraopastraipa"/>
        <w:ind w:left="0"/>
        <w:jc w:val="both"/>
        <w:rPr>
          <w:rFonts w:ascii="Georgia" w:hAnsi="Georgia"/>
          <w:sz w:val="20"/>
          <w:szCs w:val="20"/>
          <w:lang w:val="lt-LT"/>
        </w:rPr>
      </w:pPr>
    </w:p>
    <w:p w14:paraId="431B9D07" w14:textId="77777777" w:rsidR="00EF6FC0" w:rsidRDefault="00EF6FC0" w:rsidP="00A73D0A">
      <w:pPr>
        <w:pStyle w:val="Sraopastraipa"/>
        <w:ind w:left="0"/>
        <w:jc w:val="both"/>
        <w:rPr>
          <w:rFonts w:ascii="Georgia" w:hAnsi="Georgia"/>
          <w:sz w:val="20"/>
          <w:szCs w:val="20"/>
          <w:lang w:val="lt-LT"/>
        </w:rPr>
      </w:pPr>
      <w:r>
        <w:rPr>
          <w:rFonts w:ascii="Georgia" w:hAnsi="Georgia"/>
          <w:sz w:val="20"/>
          <w:szCs w:val="20"/>
          <w:lang w:val="lt-LT"/>
        </w:rPr>
        <w:t xml:space="preserve">Pagal numatomą mechanizmą, rangos darbus vykdantys ūkio subjektai bus parenkami Lietuvos Respublikos viešųjų pirkimų įstatymo nustatyta tvarka, tai yra </w:t>
      </w:r>
      <w:r w:rsidRPr="00AB6767">
        <w:rPr>
          <w:rFonts w:ascii="Georgia" w:hAnsi="Georgia"/>
          <w:sz w:val="20"/>
          <w:szCs w:val="20"/>
          <w:lang w:val="lt-LT"/>
        </w:rPr>
        <w:t>atvira, skaidria, nediskriminacine ir objektyvia tvarka</w:t>
      </w:r>
      <w:r>
        <w:rPr>
          <w:rFonts w:ascii="Georgia" w:hAnsi="Georgia"/>
          <w:sz w:val="20"/>
          <w:szCs w:val="20"/>
          <w:lang w:val="lt-LT"/>
        </w:rPr>
        <w:t>, todėl pagal analogiją taikant Rizikos kapitalo gairių 40 p., valstybės pagalba šiems subjektams nebūtų teikiama, kadangi būtų laikomasi rinkos investuotojo kriterijaus (nesuteikiamas ekonominis pranašumas).</w:t>
      </w:r>
    </w:p>
    <w:p w14:paraId="1563ED36" w14:textId="77777777" w:rsidR="008D5EBC" w:rsidRDefault="008D5EBC" w:rsidP="00A73D0A">
      <w:pPr>
        <w:pStyle w:val="Sraopastraipa"/>
        <w:ind w:left="0"/>
        <w:jc w:val="both"/>
        <w:rPr>
          <w:rFonts w:ascii="Georgia" w:hAnsi="Georgia"/>
          <w:sz w:val="20"/>
          <w:szCs w:val="20"/>
          <w:lang w:val="lt-LT"/>
        </w:rPr>
      </w:pPr>
    </w:p>
    <w:p w14:paraId="358FF806" w14:textId="77777777" w:rsidR="00EF6FC0" w:rsidRPr="001D5919" w:rsidRDefault="00EF6FC0" w:rsidP="003144BA">
      <w:pPr>
        <w:pStyle w:val="Antrat2"/>
        <w:numPr>
          <w:ilvl w:val="3"/>
          <w:numId w:val="2"/>
        </w:numPr>
        <w:rPr>
          <w:lang w:val="lt-LT"/>
        </w:rPr>
      </w:pPr>
      <w:bookmarkStart w:id="314" w:name="_Toc417378422"/>
      <w:r w:rsidRPr="001D5919">
        <w:rPr>
          <w:lang w:val="lt-LT"/>
        </w:rPr>
        <w:lastRenderedPageBreak/>
        <w:t>Priemonės įgyvendinimo vertinimo išvada</w:t>
      </w:r>
      <w:bookmarkEnd w:id="314"/>
    </w:p>
    <w:p w14:paraId="6F2ADBFD" w14:textId="77777777" w:rsidR="00EF6FC0" w:rsidRPr="001D5919" w:rsidRDefault="00EF6FC0" w:rsidP="003144BA">
      <w:pPr>
        <w:pStyle w:val="Sraopastraipa"/>
        <w:keepNext/>
        <w:ind w:left="0"/>
        <w:jc w:val="center"/>
        <w:rPr>
          <w:rFonts w:ascii="Georgia" w:hAnsi="Georgia"/>
          <w:sz w:val="20"/>
          <w:szCs w:val="20"/>
          <w:lang w:val="lt-LT"/>
        </w:rPr>
      </w:pPr>
    </w:p>
    <w:p w14:paraId="5A4662A2" w14:textId="77777777" w:rsidR="00EF6FC0" w:rsidRDefault="00EF6FC0" w:rsidP="003144BA">
      <w:pPr>
        <w:pStyle w:val="Sraopastraipa"/>
        <w:keepNext/>
        <w:ind w:left="0"/>
        <w:jc w:val="both"/>
        <w:rPr>
          <w:rFonts w:ascii="Georgia" w:hAnsi="Georgia"/>
          <w:sz w:val="20"/>
          <w:szCs w:val="20"/>
          <w:lang w:val="lt-LT"/>
        </w:rPr>
      </w:pPr>
      <w:r w:rsidRPr="001D5919">
        <w:rPr>
          <w:rFonts w:ascii="Georgia" w:hAnsi="Georgia"/>
          <w:sz w:val="20"/>
          <w:szCs w:val="20"/>
          <w:lang w:val="lt-LT"/>
        </w:rPr>
        <w:t>Įvertinus pasirinkto priemonės įgyvendinimo mechanizmo struktūrą, darytin</w:t>
      </w:r>
      <w:r>
        <w:rPr>
          <w:rFonts w:ascii="Georgia" w:hAnsi="Georgia"/>
          <w:sz w:val="20"/>
          <w:szCs w:val="20"/>
          <w:lang w:val="lt-LT"/>
        </w:rPr>
        <w:t>a</w:t>
      </w:r>
      <w:r w:rsidRPr="001D5919">
        <w:rPr>
          <w:rFonts w:ascii="Georgia" w:hAnsi="Georgia"/>
          <w:sz w:val="20"/>
          <w:szCs w:val="20"/>
          <w:lang w:val="lt-LT"/>
        </w:rPr>
        <w:t xml:space="preserve"> išvad</w:t>
      </w:r>
      <w:r>
        <w:rPr>
          <w:rFonts w:ascii="Georgia" w:hAnsi="Georgia"/>
          <w:sz w:val="20"/>
          <w:szCs w:val="20"/>
          <w:lang w:val="lt-LT"/>
        </w:rPr>
        <w:t xml:space="preserve">a, kad </w:t>
      </w:r>
      <w:r w:rsidRPr="001D5919">
        <w:rPr>
          <w:rFonts w:ascii="Georgia" w:hAnsi="Georgia"/>
          <w:sz w:val="20"/>
          <w:szCs w:val="20"/>
          <w:lang w:val="lt-LT"/>
        </w:rPr>
        <w:t xml:space="preserve">mechanizmo įgyvendinimas nesukelia valstybės pagalbos atsiradimo rizikos, laikantis atitinkamuose skyriuose nurodytų sąlygų, </w:t>
      </w:r>
      <w:r>
        <w:rPr>
          <w:rFonts w:ascii="Georgia" w:hAnsi="Georgia"/>
          <w:sz w:val="20"/>
          <w:szCs w:val="20"/>
          <w:lang w:val="lt-LT"/>
        </w:rPr>
        <w:t>visų tikslinių grupių, dalyvaujančių finansinės priemonės įgyvendinime atžvilgiu.</w:t>
      </w:r>
    </w:p>
    <w:p w14:paraId="5942C614" w14:textId="77777777" w:rsidR="008D5EBC" w:rsidRDefault="008D5EBC" w:rsidP="00A73D0A">
      <w:pPr>
        <w:pStyle w:val="Sraopastraipa"/>
        <w:ind w:left="0"/>
        <w:jc w:val="both"/>
        <w:rPr>
          <w:rFonts w:ascii="Georgia" w:hAnsi="Georgia"/>
          <w:sz w:val="20"/>
          <w:szCs w:val="20"/>
          <w:lang w:val="lt-LT"/>
        </w:rPr>
      </w:pPr>
    </w:p>
    <w:p w14:paraId="71B5D650" w14:textId="77777777" w:rsidR="00A27CDB" w:rsidRPr="00220170" w:rsidRDefault="00A27CDB" w:rsidP="00EA16CD">
      <w:pPr>
        <w:pStyle w:val="Antrat2"/>
        <w:numPr>
          <w:ilvl w:val="2"/>
          <w:numId w:val="2"/>
        </w:numPr>
        <w:spacing w:after="240"/>
        <w:rPr>
          <w:lang w:val="lt-LT"/>
        </w:rPr>
      </w:pPr>
      <w:bookmarkStart w:id="315" w:name="_Toc417378423"/>
      <w:r>
        <w:rPr>
          <w:lang w:val="lt-LT"/>
        </w:rPr>
        <w:t xml:space="preserve">Savivaldybės pastatų renovacijos finansinių priemonių </w:t>
      </w:r>
      <w:r w:rsidRPr="00220170">
        <w:rPr>
          <w:lang w:val="lt-LT"/>
        </w:rPr>
        <w:t>vertinimas</w:t>
      </w:r>
      <w:bookmarkEnd w:id="315"/>
    </w:p>
    <w:p w14:paraId="67EBAE3A" w14:textId="77777777" w:rsidR="00A27CDB" w:rsidRPr="00220170" w:rsidRDefault="00A27CDB" w:rsidP="00C6372C">
      <w:pPr>
        <w:jc w:val="both"/>
        <w:rPr>
          <w:rFonts w:ascii="Georgia" w:hAnsi="Georgia"/>
          <w:sz w:val="20"/>
          <w:szCs w:val="20"/>
          <w:lang w:val="lt-LT"/>
        </w:rPr>
      </w:pPr>
      <w:r w:rsidRPr="00220170">
        <w:rPr>
          <w:rFonts w:ascii="Georgia" w:hAnsi="Georgia"/>
          <w:sz w:val="20"/>
          <w:szCs w:val="20"/>
          <w:lang w:val="lt-LT"/>
        </w:rPr>
        <w:t xml:space="preserve">Šiame skyriuje nagrinėjama pasirinkta </w:t>
      </w:r>
      <w:r>
        <w:rPr>
          <w:rFonts w:ascii="Georgia" w:hAnsi="Georgia"/>
          <w:sz w:val="20"/>
          <w:szCs w:val="20"/>
          <w:lang w:val="lt-LT"/>
        </w:rPr>
        <w:t>savivaldybių pastatų renovacijai</w:t>
      </w:r>
      <w:r w:rsidRPr="00220170">
        <w:rPr>
          <w:rFonts w:ascii="Georgia" w:hAnsi="Georgia"/>
          <w:sz w:val="20"/>
          <w:szCs w:val="20"/>
          <w:lang w:val="lt-LT"/>
        </w:rPr>
        <w:t xml:space="preserve"> skirtų finansinių priemonių alternatyva. Analizės apimtis ir eiliškumas atitinka daugiabučių pastatų analizės apimtį ir eiliškumą.</w:t>
      </w:r>
    </w:p>
    <w:p w14:paraId="5787C7F4" w14:textId="255D1AA8" w:rsidR="00A27CDB" w:rsidRPr="0062724A" w:rsidRDefault="00A27CDB" w:rsidP="00C6372C">
      <w:pPr>
        <w:jc w:val="both"/>
        <w:rPr>
          <w:rFonts w:ascii="Georgia" w:hAnsi="Georgia"/>
          <w:sz w:val="20"/>
          <w:szCs w:val="20"/>
          <w:lang w:val="lt-LT"/>
        </w:rPr>
      </w:pPr>
      <w:r w:rsidRPr="0062724A">
        <w:rPr>
          <w:rFonts w:ascii="Georgia" w:hAnsi="Georgia"/>
          <w:sz w:val="20"/>
          <w:szCs w:val="20"/>
          <w:lang w:val="lt-LT"/>
        </w:rPr>
        <w:t xml:space="preserve">Savivaldybės pastatų renovacijai, pagal alternatyvų vertinimo rezultatus, yra taikoma lengvatinės paskolos finansinės priemonės, </w:t>
      </w:r>
      <w:r w:rsidR="00ED2A8C">
        <w:rPr>
          <w:rFonts w:ascii="Georgia" w:hAnsi="Georgia"/>
          <w:sz w:val="20"/>
          <w:szCs w:val="20"/>
          <w:lang w:val="lt-LT"/>
        </w:rPr>
        <w:t xml:space="preserve">taip pat gali būti </w:t>
      </w:r>
      <w:r w:rsidRPr="00BA094C">
        <w:rPr>
          <w:rFonts w:ascii="Georgia" w:hAnsi="Georgia"/>
          <w:sz w:val="20"/>
          <w:szCs w:val="20"/>
          <w:lang w:val="lt-LT"/>
        </w:rPr>
        <w:t>steigia</w:t>
      </w:r>
      <w:r w:rsidR="00ED2A8C" w:rsidRPr="00BA094C">
        <w:rPr>
          <w:rFonts w:ascii="Georgia" w:hAnsi="Georgia"/>
          <w:sz w:val="20"/>
          <w:szCs w:val="20"/>
          <w:lang w:val="lt-LT"/>
        </w:rPr>
        <w:t xml:space="preserve">mas </w:t>
      </w:r>
      <w:r w:rsidRPr="00BA094C">
        <w:rPr>
          <w:rFonts w:ascii="Georgia" w:hAnsi="Georgia"/>
          <w:sz w:val="20"/>
          <w:szCs w:val="20"/>
          <w:lang w:val="lt-LT"/>
        </w:rPr>
        <w:t>juridinio asmens statusą turint</w:t>
      </w:r>
      <w:r w:rsidR="00ED2A8C" w:rsidRPr="00BA094C">
        <w:rPr>
          <w:rFonts w:ascii="Georgia" w:hAnsi="Georgia"/>
          <w:sz w:val="20"/>
          <w:szCs w:val="20"/>
          <w:lang w:val="lt-LT"/>
        </w:rPr>
        <w:t>is</w:t>
      </w:r>
      <w:r w:rsidRPr="00BA094C">
        <w:rPr>
          <w:rFonts w:ascii="Georgia" w:hAnsi="Georgia"/>
          <w:sz w:val="20"/>
          <w:szCs w:val="20"/>
          <w:lang w:val="lt-LT"/>
        </w:rPr>
        <w:t xml:space="preserve"> fond</w:t>
      </w:r>
      <w:r w:rsidR="00ED2A8C" w:rsidRPr="00BA094C">
        <w:rPr>
          <w:rFonts w:ascii="Georgia" w:hAnsi="Georgia"/>
          <w:sz w:val="20"/>
          <w:szCs w:val="20"/>
          <w:lang w:val="lt-LT"/>
        </w:rPr>
        <w:t>as</w:t>
      </w:r>
      <w:r w:rsidRPr="00BA094C">
        <w:rPr>
          <w:rFonts w:ascii="Georgia" w:hAnsi="Georgia"/>
          <w:sz w:val="20"/>
          <w:szCs w:val="20"/>
          <w:lang w:val="lt-LT"/>
        </w:rPr>
        <w:t xml:space="preserve">, </w:t>
      </w:r>
      <w:r w:rsidR="00ED2A8C" w:rsidRPr="00BA094C">
        <w:rPr>
          <w:rFonts w:ascii="Georgia" w:hAnsi="Georgia"/>
          <w:sz w:val="20"/>
          <w:szCs w:val="20"/>
          <w:lang w:val="lt-LT"/>
        </w:rPr>
        <w:t xml:space="preserve">gali būti skiriama </w:t>
      </w:r>
      <w:r w:rsidRPr="00BA094C">
        <w:rPr>
          <w:rFonts w:ascii="Georgia" w:hAnsi="Georgia"/>
          <w:sz w:val="20"/>
          <w:szCs w:val="20"/>
          <w:lang w:val="lt-LT"/>
        </w:rPr>
        <w:t xml:space="preserve">palūkanų normų subsidijos bei sugrįžusių </w:t>
      </w:r>
      <w:r w:rsidR="00ED2A8C" w:rsidRPr="00BA094C">
        <w:rPr>
          <w:rFonts w:ascii="Georgia" w:hAnsi="Georgia"/>
          <w:sz w:val="20"/>
          <w:szCs w:val="20"/>
          <w:lang w:val="lt-LT"/>
        </w:rPr>
        <w:t xml:space="preserve">ir/ar nacionalinio biudžeto </w:t>
      </w:r>
      <w:r w:rsidRPr="00BA094C">
        <w:rPr>
          <w:rFonts w:ascii="Georgia" w:hAnsi="Georgia"/>
          <w:sz w:val="20"/>
          <w:szCs w:val="20"/>
          <w:lang w:val="lt-LT"/>
        </w:rPr>
        <w:t>lėšų subsidijos kombinacija.</w:t>
      </w:r>
      <w:r w:rsidRPr="0062724A">
        <w:rPr>
          <w:rFonts w:ascii="Georgia" w:hAnsi="Georgia"/>
          <w:sz w:val="20"/>
          <w:szCs w:val="20"/>
          <w:lang w:val="lt-LT"/>
        </w:rPr>
        <w:t xml:space="preserve"> Pabrėžtina, kad </w:t>
      </w:r>
      <w:r w:rsidR="004F3BC3">
        <w:rPr>
          <w:rFonts w:ascii="Georgia" w:hAnsi="Georgia"/>
          <w:sz w:val="20"/>
          <w:szCs w:val="20"/>
          <w:lang w:val="lt-LT"/>
        </w:rPr>
        <w:t>galimas</w:t>
      </w:r>
      <w:r w:rsidR="004F3BC3" w:rsidRPr="0062724A">
        <w:rPr>
          <w:rFonts w:ascii="Georgia" w:hAnsi="Georgia"/>
          <w:sz w:val="20"/>
          <w:szCs w:val="20"/>
          <w:lang w:val="lt-LT"/>
        </w:rPr>
        <w:t xml:space="preserve"> </w:t>
      </w:r>
      <w:r w:rsidRPr="0062724A">
        <w:rPr>
          <w:rFonts w:ascii="Georgia" w:hAnsi="Georgia"/>
          <w:sz w:val="20"/>
          <w:szCs w:val="20"/>
          <w:lang w:val="lt-LT"/>
        </w:rPr>
        <w:t>įgyvendinti mechanizmas detaliau procesiniu požiūriu apibūdinamas žemiau:</w:t>
      </w:r>
    </w:p>
    <w:p w14:paraId="0F0EB02A" w14:textId="77777777" w:rsidR="00A27CDB" w:rsidRPr="0062724A" w:rsidRDefault="00A27CDB" w:rsidP="002A576D">
      <w:pPr>
        <w:pStyle w:val="Sraopastraipa"/>
        <w:numPr>
          <w:ilvl w:val="0"/>
          <w:numId w:val="125"/>
        </w:numPr>
        <w:ind w:left="709" w:hanging="425"/>
        <w:jc w:val="both"/>
        <w:rPr>
          <w:rFonts w:ascii="Georgia" w:hAnsi="Georgia"/>
          <w:sz w:val="20"/>
          <w:szCs w:val="20"/>
          <w:lang w:val="lt-LT"/>
        </w:rPr>
      </w:pPr>
      <w:r w:rsidRPr="0062724A">
        <w:rPr>
          <w:rFonts w:ascii="Georgia" w:hAnsi="Georgia"/>
          <w:sz w:val="20"/>
          <w:szCs w:val="20"/>
          <w:lang w:val="lt-LT"/>
        </w:rPr>
        <w:t>planuojant savivaldybės pastato renovacijos projekto finansavimą, numatoma suteikti lengvatinę paskolą, kuri būti grąžinama, įgyvendinus projektą, panaudojant pasiektų energijos sutaupymų dėka atsiradusį teigiamą finansinė pokytį. Numatoma, kad paskolos gavėju gali būti savivaldybė, savivaldybės įmonė, savivaldybės įgaliotasis administratorius, arba ESCO kompanija. Kitaip tariant, paskola yra grąžintina visa apimtimi, o dėl jos pagrindinės dalies (neįskaitant palūkanų) suteikimo papildoma ekonominė nauda paskolos gavėjui neatsiranda (paskola yra tikslinės paskirties ir gali būti panaudojama tik renovacijos projekto įgyvendinimui);</w:t>
      </w:r>
    </w:p>
    <w:p w14:paraId="4188EA8A" w14:textId="12A1520B" w:rsidR="00A27CDB" w:rsidRPr="0062724A" w:rsidRDefault="00A27CDB" w:rsidP="002A576D">
      <w:pPr>
        <w:pStyle w:val="Sraopastraipa"/>
        <w:numPr>
          <w:ilvl w:val="0"/>
          <w:numId w:val="125"/>
        </w:numPr>
        <w:ind w:left="709" w:hanging="425"/>
        <w:jc w:val="both"/>
        <w:rPr>
          <w:rFonts w:ascii="Georgia" w:hAnsi="Georgia"/>
          <w:sz w:val="20"/>
          <w:szCs w:val="20"/>
          <w:lang w:val="lt-LT"/>
        </w:rPr>
      </w:pPr>
      <w:r w:rsidRPr="00BA094C">
        <w:rPr>
          <w:rFonts w:ascii="Georgia" w:hAnsi="Georgia"/>
          <w:sz w:val="20"/>
          <w:szCs w:val="20"/>
          <w:lang w:val="lt-LT"/>
        </w:rPr>
        <w:t xml:space="preserve">kartu su paskolos suteikimu, </w:t>
      </w:r>
      <w:r w:rsidR="00ED2A8C" w:rsidRPr="00BA094C">
        <w:rPr>
          <w:rFonts w:ascii="Georgia" w:hAnsi="Georgia"/>
          <w:sz w:val="20"/>
          <w:szCs w:val="20"/>
          <w:lang w:val="lt-LT"/>
        </w:rPr>
        <w:t xml:space="preserve">gali būti </w:t>
      </w:r>
      <w:r w:rsidRPr="00BA094C">
        <w:rPr>
          <w:rFonts w:ascii="Georgia" w:hAnsi="Georgia"/>
          <w:sz w:val="20"/>
          <w:szCs w:val="20"/>
          <w:lang w:val="lt-LT"/>
        </w:rPr>
        <w:t>pasirašomas susitarimas dėl palūkanų normos subsidijos taikymo,</w:t>
      </w:r>
      <w:r w:rsidRPr="0062724A">
        <w:rPr>
          <w:rFonts w:ascii="Georgia" w:hAnsi="Georgia"/>
          <w:sz w:val="20"/>
          <w:szCs w:val="20"/>
          <w:lang w:val="lt-LT"/>
        </w:rPr>
        <w:t xml:space="preserve"> tai yra grąžinant paskolos dalį, naudos gavėjui priskaičiuotos palūkanos </w:t>
      </w:r>
      <w:r w:rsidR="00BA094C">
        <w:rPr>
          <w:rFonts w:ascii="Georgia" w:hAnsi="Georgia"/>
          <w:sz w:val="20"/>
          <w:szCs w:val="20"/>
          <w:lang w:val="lt-LT"/>
        </w:rPr>
        <w:t xml:space="preserve">galėtų būti </w:t>
      </w:r>
      <w:r w:rsidRPr="0062724A">
        <w:rPr>
          <w:rFonts w:ascii="Georgia" w:hAnsi="Georgia"/>
          <w:sz w:val="20"/>
          <w:szCs w:val="20"/>
          <w:lang w:val="lt-LT"/>
        </w:rPr>
        <w:t>pripažįstamos panaudota palūkanų normos subsidijos dalimi. Teisiniu požiūriu, teisė gauti visą palūkanų dydžio sumą atsira</w:t>
      </w:r>
      <w:r w:rsidR="00BA094C">
        <w:rPr>
          <w:rFonts w:ascii="Georgia" w:hAnsi="Georgia"/>
          <w:sz w:val="20"/>
          <w:szCs w:val="20"/>
          <w:lang w:val="lt-LT"/>
        </w:rPr>
        <w:t xml:space="preserve">stų </w:t>
      </w:r>
      <w:r w:rsidRPr="0062724A">
        <w:rPr>
          <w:rFonts w:ascii="Georgia" w:hAnsi="Georgia"/>
          <w:sz w:val="20"/>
          <w:szCs w:val="20"/>
          <w:lang w:val="lt-LT"/>
        </w:rPr>
        <w:t>tuo metu, kai pasirašoma sutartis dėl palūkanų padengimo;</w:t>
      </w:r>
    </w:p>
    <w:p w14:paraId="3C9A7B36" w14:textId="7A7426E2" w:rsidR="00A27CDB" w:rsidRPr="0062724A" w:rsidRDefault="00A27CDB" w:rsidP="002A576D">
      <w:pPr>
        <w:pStyle w:val="Sraopastraipa"/>
        <w:numPr>
          <w:ilvl w:val="0"/>
          <w:numId w:val="125"/>
        </w:numPr>
        <w:ind w:left="709" w:hanging="425"/>
        <w:jc w:val="both"/>
        <w:rPr>
          <w:rFonts w:ascii="Georgia" w:hAnsi="Georgia"/>
          <w:sz w:val="20"/>
          <w:szCs w:val="20"/>
          <w:lang w:val="lt-LT"/>
        </w:rPr>
      </w:pPr>
      <w:r w:rsidRPr="0062724A">
        <w:rPr>
          <w:rFonts w:ascii="Georgia" w:hAnsi="Georgia"/>
          <w:sz w:val="20"/>
          <w:szCs w:val="20"/>
          <w:lang w:val="lt-LT"/>
        </w:rPr>
        <w:t xml:space="preserve">grąžinus 80 % paskolos dalies bei nepažeidus paskolos sutarties sąlygų, </w:t>
      </w:r>
      <w:r w:rsidRPr="00BA094C">
        <w:rPr>
          <w:rFonts w:ascii="Georgia" w:hAnsi="Georgia"/>
          <w:sz w:val="20"/>
          <w:szCs w:val="20"/>
          <w:lang w:val="lt-LT"/>
        </w:rPr>
        <w:t xml:space="preserve">paskolos gavėjui </w:t>
      </w:r>
      <w:r w:rsidR="00ED2A8C" w:rsidRPr="00BA094C">
        <w:rPr>
          <w:rFonts w:ascii="Georgia" w:hAnsi="Georgia"/>
          <w:sz w:val="20"/>
          <w:szCs w:val="20"/>
          <w:lang w:val="lt-LT"/>
        </w:rPr>
        <w:t>gal</w:t>
      </w:r>
      <w:r w:rsidR="00BA094C" w:rsidRPr="00BA094C">
        <w:rPr>
          <w:rFonts w:ascii="Georgia" w:hAnsi="Georgia"/>
          <w:sz w:val="20"/>
          <w:szCs w:val="20"/>
          <w:lang w:val="lt-LT"/>
        </w:rPr>
        <w:t>ėtų</w:t>
      </w:r>
      <w:r w:rsidR="00ED2A8C" w:rsidRPr="00BA094C">
        <w:rPr>
          <w:rFonts w:ascii="Georgia" w:hAnsi="Georgia"/>
          <w:sz w:val="20"/>
          <w:szCs w:val="20"/>
          <w:lang w:val="lt-LT"/>
        </w:rPr>
        <w:t xml:space="preserve"> būti </w:t>
      </w:r>
      <w:r w:rsidRPr="00BA094C">
        <w:rPr>
          <w:rFonts w:ascii="Georgia" w:hAnsi="Georgia"/>
          <w:sz w:val="20"/>
          <w:szCs w:val="20"/>
          <w:lang w:val="lt-LT"/>
        </w:rPr>
        <w:t xml:space="preserve">suteikiama 20 % anksčiau suteiktos paskolos dydžio subsidija, kurios finansavimo šaltinis yra į fondą grįžusios </w:t>
      </w:r>
      <w:r w:rsidR="00BA094C" w:rsidRPr="00BA094C">
        <w:rPr>
          <w:rFonts w:ascii="Georgia" w:hAnsi="Georgia"/>
          <w:sz w:val="20"/>
          <w:szCs w:val="20"/>
          <w:lang w:val="lt-LT"/>
        </w:rPr>
        <w:t xml:space="preserve">ir/ar </w:t>
      </w:r>
      <w:r w:rsidRPr="00BA094C">
        <w:rPr>
          <w:rFonts w:ascii="Georgia" w:hAnsi="Georgia"/>
          <w:sz w:val="20"/>
          <w:szCs w:val="20"/>
          <w:lang w:val="lt-LT"/>
        </w:rPr>
        <w:t>nacionalin</w:t>
      </w:r>
      <w:r w:rsidR="00BA094C" w:rsidRPr="00BA094C">
        <w:rPr>
          <w:rFonts w:ascii="Georgia" w:hAnsi="Georgia"/>
          <w:sz w:val="20"/>
          <w:szCs w:val="20"/>
          <w:lang w:val="lt-LT"/>
        </w:rPr>
        <w:t xml:space="preserve">io biudžeto </w:t>
      </w:r>
      <w:r w:rsidRPr="00BA094C">
        <w:rPr>
          <w:rFonts w:ascii="Georgia" w:hAnsi="Georgia"/>
          <w:sz w:val="20"/>
          <w:szCs w:val="20"/>
          <w:lang w:val="lt-LT"/>
        </w:rPr>
        <w:t>lėšos, vykdant pagrindinės paskolos sutartį</w:t>
      </w:r>
      <w:r w:rsidRPr="0062724A">
        <w:rPr>
          <w:rFonts w:ascii="Georgia" w:hAnsi="Georgia"/>
          <w:sz w:val="20"/>
          <w:szCs w:val="20"/>
          <w:lang w:val="lt-LT"/>
        </w:rPr>
        <w:t>;</w:t>
      </w:r>
    </w:p>
    <w:p w14:paraId="0D75A09C" w14:textId="498D4624" w:rsidR="00A27CDB" w:rsidRPr="0062724A" w:rsidRDefault="00A27CDB" w:rsidP="002A576D">
      <w:pPr>
        <w:pStyle w:val="Sraopastraipa"/>
        <w:numPr>
          <w:ilvl w:val="0"/>
          <w:numId w:val="125"/>
        </w:numPr>
        <w:ind w:left="709" w:hanging="425"/>
        <w:jc w:val="both"/>
        <w:rPr>
          <w:rFonts w:ascii="Georgia" w:hAnsi="Georgia"/>
          <w:sz w:val="20"/>
          <w:szCs w:val="20"/>
          <w:lang w:val="lt-LT"/>
        </w:rPr>
      </w:pPr>
      <w:r w:rsidRPr="0062724A">
        <w:rPr>
          <w:rFonts w:ascii="Georgia" w:hAnsi="Georgia"/>
          <w:sz w:val="20"/>
          <w:szCs w:val="20"/>
          <w:lang w:val="lt-LT"/>
        </w:rPr>
        <w:t>siekiant padidinti fondo lėšų apyvartumą,</w:t>
      </w:r>
      <w:r w:rsidR="00ED2A8C">
        <w:rPr>
          <w:rFonts w:ascii="Georgia" w:hAnsi="Georgia"/>
          <w:sz w:val="20"/>
          <w:szCs w:val="20"/>
          <w:lang w:val="lt-LT"/>
        </w:rPr>
        <w:t xml:space="preserve"> gali </w:t>
      </w:r>
      <w:r w:rsidR="00ED2A8C" w:rsidRPr="00BA094C">
        <w:rPr>
          <w:rFonts w:ascii="Georgia" w:hAnsi="Georgia"/>
          <w:sz w:val="20"/>
          <w:szCs w:val="20"/>
          <w:lang w:val="lt-LT"/>
        </w:rPr>
        <w:t xml:space="preserve">būti </w:t>
      </w:r>
      <w:r w:rsidRPr="00BA094C">
        <w:rPr>
          <w:rFonts w:ascii="Georgia" w:hAnsi="Georgia"/>
          <w:sz w:val="20"/>
          <w:szCs w:val="20"/>
          <w:lang w:val="lt-LT"/>
        </w:rPr>
        <w:t>steigi</w:t>
      </w:r>
      <w:r w:rsidR="00ED2A8C" w:rsidRPr="00BA094C">
        <w:rPr>
          <w:rFonts w:ascii="Georgia" w:hAnsi="Georgia"/>
          <w:sz w:val="20"/>
          <w:szCs w:val="20"/>
          <w:lang w:val="lt-LT"/>
        </w:rPr>
        <w:t>amas</w:t>
      </w:r>
      <w:r w:rsidRPr="00BA094C">
        <w:rPr>
          <w:rFonts w:ascii="Georgia" w:hAnsi="Georgia"/>
          <w:sz w:val="20"/>
          <w:szCs w:val="20"/>
          <w:lang w:val="lt-LT"/>
        </w:rPr>
        <w:t xml:space="preserve"> parri pasu principo pagrindu veikiant</w:t>
      </w:r>
      <w:r w:rsidR="00ED2A8C" w:rsidRPr="00BA094C">
        <w:rPr>
          <w:rFonts w:ascii="Georgia" w:hAnsi="Georgia"/>
          <w:sz w:val="20"/>
          <w:szCs w:val="20"/>
          <w:lang w:val="lt-LT"/>
        </w:rPr>
        <w:t>is</w:t>
      </w:r>
      <w:r w:rsidRPr="00BA094C">
        <w:rPr>
          <w:rFonts w:ascii="Georgia" w:hAnsi="Georgia"/>
          <w:sz w:val="20"/>
          <w:szCs w:val="20"/>
          <w:lang w:val="lt-LT"/>
        </w:rPr>
        <w:t xml:space="preserve"> investicin</w:t>
      </w:r>
      <w:r w:rsidR="00ED2A8C" w:rsidRPr="00BA094C">
        <w:rPr>
          <w:rFonts w:ascii="Georgia" w:hAnsi="Georgia"/>
          <w:sz w:val="20"/>
          <w:szCs w:val="20"/>
          <w:lang w:val="lt-LT"/>
        </w:rPr>
        <w:t>is</w:t>
      </w:r>
      <w:r w:rsidRPr="00BA094C">
        <w:rPr>
          <w:rFonts w:ascii="Georgia" w:hAnsi="Georgia"/>
          <w:sz w:val="20"/>
          <w:szCs w:val="20"/>
          <w:lang w:val="lt-LT"/>
        </w:rPr>
        <w:t xml:space="preserve"> fond</w:t>
      </w:r>
      <w:r w:rsidR="00ED2A8C" w:rsidRPr="00BA094C">
        <w:rPr>
          <w:rFonts w:ascii="Georgia" w:hAnsi="Georgia"/>
          <w:sz w:val="20"/>
          <w:szCs w:val="20"/>
          <w:lang w:val="lt-LT"/>
        </w:rPr>
        <w:t>as</w:t>
      </w:r>
      <w:r w:rsidRPr="00BA094C">
        <w:rPr>
          <w:rFonts w:ascii="Georgia" w:hAnsi="Georgia"/>
          <w:sz w:val="20"/>
          <w:szCs w:val="20"/>
          <w:lang w:val="lt-LT"/>
        </w:rPr>
        <w:t>.</w:t>
      </w:r>
      <w:r w:rsidRPr="0062724A">
        <w:rPr>
          <w:rFonts w:ascii="Georgia" w:hAnsi="Georgia"/>
          <w:sz w:val="20"/>
          <w:szCs w:val="20"/>
          <w:lang w:val="lt-LT"/>
        </w:rPr>
        <w:t xml:space="preserve"> Valstybė dalyvaus fondo veikloje, o steigiant investicijų fondą, bus užtikrinta, kad tiek viešąsias lėšas investuojantis, tiek privatūs investuotojai prisiims tokias pačias rizikas, atliks investicijas tuo pačiu metu bei privačių partnerių investicijos sudarys ne mažiau, nei 30 % visų investicijų sumos.</w:t>
      </w:r>
    </w:p>
    <w:p w14:paraId="749F39EA" w14:textId="4BC89EFB" w:rsidR="00A27CDB" w:rsidRPr="00220170" w:rsidRDefault="00A27CDB" w:rsidP="00C6372C">
      <w:pPr>
        <w:keepNext/>
        <w:ind w:firstLine="284"/>
        <w:jc w:val="both"/>
        <w:rPr>
          <w:rFonts w:ascii="Georgia" w:hAnsi="Georgia"/>
          <w:sz w:val="20"/>
          <w:szCs w:val="20"/>
          <w:lang w:val="lt-LT"/>
        </w:rPr>
      </w:pPr>
      <w:r>
        <w:rPr>
          <w:rFonts w:ascii="Georgia" w:hAnsi="Georgia"/>
          <w:sz w:val="20"/>
          <w:szCs w:val="20"/>
          <w:lang w:val="lt-LT"/>
        </w:rPr>
        <w:t>Įvertinus numatomą mechanizmą, į</w:t>
      </w:r>
      <w:r w:rsidRPr="00220170">
        <w:rPr>
          <w:rFonts w:ascii="Georgia" w:hAnsi="Georgia"/>
          <w:sz w:val="20"/>
          <w:szCs w:val="20"/>
          <w:lang w:val="lt-LT"/>
        </w:rPr>
        <w:t xml:space="preserve">gyvendinant priemonę, </w:t>
      </w:r>
      <w:r w:rsidR="004B095C">
        <w:rPr>
          <w:rFonts w:ascii="Georgia" w:hAnsi="Georgia"/>
          <w:sz w:val="20"/>
          <w:szCs w:val="20"/>
          <w:lang w:val="lt-LT"/>
        </w:rPr>
        <w:t xml:space="preserve">gali </w:t>
      </w:r>
      <w:r w:rsidRPr="00220170">
        <w:rPr>
          <w:rFonts w:ascii="Georgia" w:hAnsi="Georgia"/>
          <w:sz w:val="20"/>
          <w:szCs w:val="20"/>
          <w:lang w:val="lt-LT"/>
        </w:rPr>
        <w:t>dalyvau</w:t>
      </w:r>
      <w:r w:rsidR="004B095C">
        <w:rPr>
          <w:rFonts w:ascii="Georgia" w:hAnsi="Georgia"/>
          <w:sz w:val="20"/>
          <w:szCs w:val="20"/>
          <w:lang w:val="lt-LT"/>
        </w:rPr>
        <w:t>ti</w:t>
      </w:r>
      <w:r w:rsidRPr="00220170">
        <w:rPr>
          <w:rFonts w:ascii="Georgia" w:hAnsi="Georgia"/>
          <w:sz w:val="20"/>
          <w:szCs w:val="20"/>
          <w:lang w:val="lt-LT"/>
        </w:rPr>
        <w:t xml:space="preserve"> šie ūkio subjektai:</w:t>
      </w:r>
    </w:p>
    <w:p w14:paraId="1B7DBD85" w14:textId="6A87DD18" w:rsidR="00A27CDB" w:rsidRPr="00220170" w:rsidRDefault="00A27CDB" w:rsidP="002A576D">
      <w:pPr>
        <w:pStyle w:val="Sraopastraipa"/>
        <w:keepNext/>
        <w:numPr>
          <w:ilvl w:val="0"/>
          <w:numId w:val="126"/>
        </w:numPr>
        <w:ind w:left="709"/>
        <w:jc w:val="both"/>
        <w:rPr>
          <w:rFonts w:ascii="Georgia" w:hAnsi="Georgia"/>
          <w:sz w:val="20"/>
          <w:szCs w:val="20"/>
          <w:lang w:val="lt-LT"/>
        </w:rPr>
      </w:pPr>
      <w:r w:rsidRPr="00220170">
        <w:rPr>
          <w:rFonts w:ascii="Georgia" w:hAnsi="Georgia"/>
          <w:sz w:val="20"/>
          <w:szCs w:val="20"/>
          <w:lang w:val="lt-LT"/>
        </w:rPr>
        <w:t xml:space="preserve">fondo steigimui reikalingą finansavimą suteikiančios bei </w:t>
      </w:r>
      <w:r w:rsidR="00ED2A8C" w:rsidRPr="00BA094C">
        <w:rPr>
          <w:rFonts w:ascii="Georgia" w:hAnsi="Georgia"/>
          <w:sz w:val="20"/>
          <w:szCs w:val="20"/>
          <w:lang w:val="lt-LT"/>
        </w:rPr>
        <w:t xml:space="preserve">priežiūros </w:t>
      </w:r>
      <w:r w:rsidRPr="00BA094C">
        <w:rPr>
          <w:rFonts w:ascii="Georgia" w:hAnsi="Georgia"/>
          <w:sz w:val="20"/>
          <w:szCs w:val="20"/>
          <w:lang w:val="lt-LT"/>
        </w:rPr>
        <w:t>komitete</w:t>
      </w:r>
      <w:r w:rsidRPr="00220170">
        <w:rPr>
          <w:rFonts w:ascii="Georgia" w:hAnsi="Georgia"/>
          <w:sz w:val="20"/>
          <w:szCs w:val="20"/>
          <w:lang w:val="lt-LT"/>
        </w:rPr>
        <w:t xml:space="preserve"> dalyvaujančios viešosios institucijos (Lietuvos Respublikos </w:t>
      </w:r>
      <w:r>
        <w:rPr>
          <w:rFonts w:ascii="Georgia" w:hAnsi="Georgia"/>
          <w:sz w:val="20"/>
          <w:szCs w:val="20"/>
          <w:lang w:val="lt-LT"/>
        </w:rPr>
        <w:t xml:space="preserve">aplinkos </w:t>
      </w:r>
      <w:r w:rsidRPr="00220170">
        <w:rPr>
          <w:rFonts w:ascii="Georgia" w:hAnsi="Georgia"/>
          <w:sz w:val="20"/>
          <w:szCs w:val="20"/>
          <w:lang w:val="lt-LT"/>
        </w:rPr>
        <w:t>ministerija, Lietuvos Respublikos finansų ministerija);</w:t>
      </w:r>
    </w:p>
    <w:p w14:paraId="41DC665E" w14:textId="7939E0B8" w:rsidR="00A27CDB" w:rsidRPr="00BA094C" w:rsidRDefault="00A27CDB" w:rsidP="002A576D">
      <w:pPr>
        <w:pStyle w:val="Sraopastraipa"/>
        <w:numPr>
          <w:ilvl w:val="0"/>
          <w:numId w:val="126"/>
        </w:numPr>
        <w:ind w:left="709" w:hanging="425"/>
        <w:jc w:val="both"/>
        <w:rPr>
          <w:rFonts w:ascii="Georgia" w:hAnsi="Georgia"/>
          <w:sz w:val="20"/>
          <w:szCs w:val="20"/>
          <w:lang w:val="lt-LT"/>
        </w:rPr>
      </w:pPr>
      <w:r w:rsidRPr="00220170">
        <w:rPr>
          <w:rFonts w:ascii="Georgia" w:hAnsi="Georgia"/>
          <w:sz w:val="20"/>
          <w:szCs w:val="20"/>
          <w:lang w:val="lt-LT"/>
        </w:rPr>
        <w:t xml:space="preserve">fondo valdytojas, kuris vykdo fondo valdymo </w:t>
      </w:r>
      <w:r w:rsidR="00ED2A8C" w:rsidRPr="00BA094C">
        <w:rPr>
          <w:rFonts w:ascii="Georgia" w:hAnsi="Georgia"/>
          <w:sz w:val="20"/>
          <w:szCs w:val="20"/>
          <w:lang w:val="lt-LT"/>
        </w:rPr>
        <w:t xml:space="preserve">priežiūros </w:t>
      </w:r>
      <w:r w:rsidRPr="00BA094C">
        <w:rPr>
          <w:rFonts w:ascii="Georgia" w:hAnsi="Georgia"/>
          <w:sz w:val="20"/>
          <w:szCs w:val="20"/>
          <w:lang w:val="lt-LT"/>
        </w:rPr>
        <w:t xml:space="preserve">komiteto pavedimus, teikia fondo valdymo paslaugas nurodytoms viešosioms institucijoms ir </w:t>
      </w:r>
      <w:r w:rsidR="00ED2A8C" w:rsidRPr="00BA094C">
        <w:rPr>
          <w:rFonts w:ascii="Georgia" w:hAnsi="Georgia"/>
          <w:sz w:val="20"/>
          <w:szCs w:val="20"/>
          <w:lang w:val="lt-LT"/>
        </w:rPr>
        <w:t xml:space="preserve">galimiems </w:t>
      </w:r>
      <w:r w:rsidRPr="00BA094C">
        <w:rPr>
          <w:rFonts w:ascii="Georgia" w:hAnsi="Georgia"/>
          <w:sz w:val="20"/>
          <w:szCs w:val="20"/>
          <w:lang w:val="lt-LT"/>
        </w:rPr>
        <w:t>investuotojams, valdydamas fondą, taip pat gaudamas fondo valdymo mokestį;</w:t>
      </w:r>
    </w:p>
    <w:p w14:paraId="3F4FEFD4" w14:textId="77777777" w:rsidR="00A27CDB" w:rsidRPr="00BA094C" w:rsidRDefault="00A27CDB" w:rsidP="002A576D">
      <w:pPr>
        <w:pStyle w:val="Sraopastraipa"/>
        <w:numPr>
          <w:ilvl w:val="0"/>
          <w:numId w:val="126"/>
        </w:numPr>
        <w:ind w:left="709" w:hanging="425"/>
        <w:jc w:val="both"/>
        <w:rPr>
          <w:rFonts w:ascii="Georgia" w:hAnsi="Georgia"/>
          <w:sz w:val="20"/>
          <w:szCs w:val="20"/>
          <w:lang w:val="lt-LT"/>
        </w:rPr>
      </w:pPr>
      <w:r w:rsidRPr="00BA094C">
        <w:rPr>
          <w:rFonts w:ascii="Georgia" w:hAnsi="Georgia"/>
          <w:sz w:val="20"/>
          <w:szCs w:val="20"/>
          <w:lang w:val="lt-LT"/>
        </w:rPr>
        <w:t>privatūs instituciniai bei profesionalūs investuotojai;</w:t>
      </w:r>
    </w:p>
    <w:p w14:paraId="78B05D05" w14:textId="77777777" w:rsidR="00A27CDB" w:rsidRPr="00BA094C" w:rsidRDefault="00A27CDB" w:rsidP="002A576D">
      <w:pPr>
        <w:pStyle w:val="Sraopastraipa"/>
        <w:numPr>
          <w:ilvl w:val="0"/>
          <w:numId w:val="126"/>
        </w:numPr>
        <w:ind w:left="709" w:hanging="425"/>
        <w:jc w:val="both"/>
        <w:rPr>
          <w:rFonts w:ascii="Georgia" w:hAnsi="Georgia"/>
          <w:sz w:val="20"/>
          <w:szCs w:val="20"/>
          <w:lang w:val="lt-LT"/>
        </w:rPr>
      </w:pPr>
      <w:r w:rsidRPr="00BA094C">
        <w:rPr>
          <w:rFonts w:ascii="Georgia" w:hAnsi="Georgia"/>
          <w:sz w:val="20"/>
          <w:szCs w:val="20"/>
          <w:lang w:val="lt-LT"/>
        </w:rPr>
        <w:t>fondas (kaip atskiras juridinis asmuo);</w:t>
      </w:r>
    </w:p>
    <w:p w14:paraId="20ED942F" w14:textId="77777777" w:rsidR="00A27CDB" w:rsidRPr="00220170" w:rsidRDefault="00A27CDB" w:rsidP="002A576D">
      <w:pPr>
        <w:pStyle w:val="Sraopastraipa"/>
        <w:numPr>
          <w:ilvl w:val="0"/>
          <w:numId w:val="126"/>
        </w:numPr>
        <w:ind w:left="709" w:hanging="425"/>
        <w:jc w:val="both"/>
        <w:rPr>
          <w:rFonts w:ascii="Georgia" w:hAnsi="Georgia"/>
          <w:sz w:val="20"/>
          <w:szCs w:val="20"/>
          <w:lang w:val="lt-LT"/>
        </w:rPr>
      </w:pPr>
      <w:r w:rsidRPr="00220170">
        <w:rPr>
          <w:rFonts w:ascii="Georgia" w:hAnsi="Georgia"/>
          <w:sz w:val="20"/>
          <w:szCs w:val="20"/>
          <w:lang w:val="lt-LT"/>
        </w:rPr>
        <w:t>ESCO įmonės funkcijas vykdantys ūkio subjektai;</w:t>
      </w:r>
    </w:p>
    <w:p w14:paraId="555AA338" w14:textId="77777777" w:rsidR="00A27CDB" w:rsidRPr="00220170" w:rsidRDefault="00A27CDB" w:rsidP="002A576D">
      <w:pPr>
        <w:pStyle w:val="Sraopastraipa"/>
        <w:numPr>
          <w:ilvl w:val="0"/>
          <w:numId w:val="126"/>
        </w:numPr>
        <w:ind w:left="709" w:hanging="425"/>
        <w:jc w:val="both"/>
        <w:rPr>
          <w:rFonts w:ascii="Georgia" w:hAnsi="Georgia"/>
          <w:sz w:val="20"/>
          <w:szCs w:val="20"/>
          <w:lang w:val="lt-LT"/>
        </w:rPr>
      </w:pPr>
      <w:r w:rsidRPr="00220170">
        <w:rPr>
          <w:rFonts w:ascii="Georgia" w:hAnsi="Georgia"/>
          <w:sz w:val="20"/>
          <w:szCs w:val="20"/>
          <w:lang w:val="lt-LT"/>
        </w:rPr>
        <w:lastRenderedPageBreak/>
        <w:t>įgyvendinant priemonę, numatoma galimybė pasitelkti finansinius tarpininkus, kurie vykdytų finansavimo nukreipimo konkretiems projektams funkciją;</w:t>
      </w:r>
    </w:p>
    <w:p w14:paraId="11347483" w14:textId="77777777" w:rsidR="00A27CDB" w:rsidRDefault="00A27CDB" w:rsidP="002A576D">
      <w:pPr>
        <w:pStyle w:val="Sraopastraipa"/>
        <w:numPr>
          <w:ilvl w:val="0"/>
          <w:numId w:val="126"/>
        </w:numPr>
        <w:ind w:left="709" w:hanging="425"/>
        <w:jc w:val="both"/>
        <w:rPr>
          <w:rFonts w:ascii="Georgia" w:hAnsi="Georgia"/>
          <w:sz w:val="20"/>
          <w:szCs w:val="20"/>
          <w:lang w:val="lt-LT"/>
        </w:rPr>
      </w:pPr>
      <w:r>
        <w:rPr>
          <w:rFonts w:ascii="Georgia" w:hAnsi="Georgia"/>
          <w:sz w:val="20"/>
          <w:szCs w:val="20"/>
          <w:lang w:val="lt-LT"/>
        </w:rPr>
        <w:t>savivaldybės pastato</w:t>
      </w:r>
      <w:r w:rsidRPr="00220170">
        <w:rPr>
          <w:rFonts w:ascii="Georgia" w:hAnsi="Georgia"/>
          <w:sz w:val="20"/>
          <w:szCs w:val="20"/>
          <w:lang w:val="lt-LT"/>
        </w:rPr>
        <w:t xml:space="preserve"> savininkai/valdytojai</w:t>
      </w:r>
      <w:r>
        <w:rPr>
          <w:rFonts w:ascii="Georgia" w:hAnsi="Georgia"/>
          <w:sz w:val="20"/>
          <w:szCs w:val="20"/>
          <w:lang w:val="lt-LT"/>
        </w:rPr>
        <w:t>;</w:t>
      </w:r>
    </w:p>
    <w:p w14:paraId="24667EE9" w14:textId="77777777" w:rsidR="00A27CDB" w:rsidRPr="00930686" w:rsidRDefault="00A27CDB" w:rsidP="002A576D">
      <w:pPr>
        <w:pStyle w:val="Sraopastraipa"/>
        <w:numPr>
          <w:ilvl w:val="0"/>
          <w:numId w:val="126"/>
        </w:numPr>
        <w:ind w:left="709" w:hanging="425"/>
        <w:jc w:val="both"/>
        <w:rPr>
          <w:rFonts w:ascii="Georgia" w:hAnsi="Georgia"/>
          <w:sz w:val="20"/>
          <w:szCs w:val="20"/>
          <w:lang w:val="lt-LT"/>
        </w:rPr>
      </w:pPr>
      <w:r>
        <w:rPr>
          <w:rFonts w:ascii="Georgia" w:hAnsi="Georgia"/>
          <w:sz w:val="20"/>
          <w:szCs w:val="20"/>
          <w:lang w:val="lt-LT"/>
        </w:rPr>
        <w:t xml:space="preserve">savivaldybės </w:t>
      </w:r>
      <w:r w:rsidRPr="00220170">
        <w:rPr>
          <w:rFonts w:ascii="Georgia" w:hAnsi="Georgia"/>
          <w:sz w:val="20"/>
          <w:szCs w:val="20"/>
          <w:lang w:val="lt-LT"/>
        </w:rPr>
        <w:t>pastatuose įsikūrę ir paslaugas teikiantys ūkio subjektai;</w:t>
      </w:r>
    </w:p>
    <w:p w14:paraId="0B1F88C4" w14:textId="77777777" w:rsidR="00A27CDB" w:rsidRDefault="00A27CDB" w:rsidP="002A576D">
      <w:pPr>
        <w:pStyle w:val="Sraopastraipa"/>
        <w:numPr>
          <w:ilvl w:val="0"/>
          <w:numId w:val="126"/>
        </w:numPr>
        <w:ind w:left="709" w:hanging="425"/>
        <w:jc w:val="both"/>
        <w:rPr>
          <w:rFonts w:ascii="Georgia" w:hAnsi="Georgia"/>
          <w:sz w:val="20"/>
          <w:szCs w:val="20"/>
          <w:lang w:val="lt-LT"/>
        </w:rPr>
      </w:pPr>
      <w:r w:rsidRPr="00220170">
        <w:rPr>
          <w:rFonts w:ascii="Georgia" w:hAnsi="Georgia"/>
          <w:sz w:val="20"/>
          <w:szCs w:val="20"/>
          <w:lang w:val="lt-LT"/>
        </w:rPr>
        <w:t>rangos darbus vykdantys ūkio subjektai.</w:t>
      </w:r>
    </w:p>
    <w:p w14:paraId="53CE6BB1" w14:textId="77777777" w:rsidR="008D5EBC" w:rsidRPr="008D5EBC" w:rsidRDefault="008D5EBC" w:rsidP="008D5EBC">
      <w:pPr>
        <w:jc w:val="both"/>
        <w:rPr>
          <w:rFonts w:ascii="Georgia" w:hAnsi="Georgia"/>
          <w:sz w:val="20"/>
          <w:szCs w:val="20"/>
          <w:lang w:val="lt-LT"/>
        </w:rPr>
      </w:pPr>
    </w:p>
    <w:p w14:paraId="310650C0" w14:textId="77777777" w:rsidR="00A27CDB" w:rsidRDefault="00A27CDB" w:rsidP="00EA16CD">
      <w:pPr>
        <w:pStyle w:val="Antrat2"/>
        <w:numPr>
          <w:ilvl w:val="3"/>
          <w:numId w:val="2"/>
        </w:numPr>
        <w:rPr>
          <w:lang w:val="lt-LT"/>
        </w:rPr>
      </w:pPr>
      <w:bookmarkStart w:id="316" w:name="_Toc417378424"/>
      <w:r>
        <w:rPr>
          <w:lang w:val="lt-LT"/>
        </w:rPr>
        <w:t>Priemonės įgyvendinimo mechanizmo klasifikavimas</w:t>
      </w:r>
      <w:bookmarkEnd w:id="316"/>
    </w:p>
    <w:p w14:paraId="5A549B5B" w14:textId="77777777" w:rsidR="008D5EBC" w:rsidRDefault="008D5EBC" w:rsidP="00C6372C">
      <w:pPr>
        <w:jc w:val="both"/>
        <w:rPr>
          <w:rFonts w:ascii="Georgia" w:hAnsi="Georgia"/>
          <w:sz w:val="20"/>
          <w:szCs w:val="20"/>
          <w:lang w:val="lt-LT"/>
        </w:rPr>
      </w:pPr>
    </w:p>
    <w:p w14:paraId="7AD8E871" w14:textId="77777777" w:rsidR="00A27CDB" w:rsidRDefault="00A27CDB" w:rsidP="00C6372C">
      <w:pPr>
        <w:jc w:val="both"/>
        <w:rPr>
          <w:rFonts w:ascii="Georgia" w:hAnsi="Georgia"/>
          <w:sz w:val="20"/>
          <w:szCs w:val="20"/>
          <w:lang w:val="lt-LT"/>
        </w:rPr>
      </w:pPr>
      <w:r>
        <w:rPr>
          <w:rFonts w:ascii="Georgia" w:hAnsi="Georgia"/>
          <w:sz w:val="20"/>
          <w:szCs w:val="20"/>
          <w:lang w:val="lt-LT"/>
        </w:rPr>
        <w:t>Finansinės priemonės vertinimas, siekiant nustatyti valstybės pagalbos buvimo požymius, turi būti atliekamas kiekvienos tikslinės grupės atžvilgiu atskirai, kadangi priemonės įgyvendinimo poveikis kiekvienai skirtingai grupei gali būti kitoks.</w:t>
      </w:r>
    </w:p>
    <w:p w14:paraId="6E5A36F3" w14:textId="77777777" w:rsidR="00A27CDB" w:rsidRPr="00C6372C" w:rsidRDefault="00A27CDB" w:rsidP="00C6372C">
      <w:pPr>
        <w:pStyle w:val="Sraopastraipa"/>
        <w:ind w:left="0"/>
        <w:jc w:val="both"/>
        <w:rPr>
          <w:rFonts w:ascii="Georgia" w:hAnsi="Georgia"/>
          <w:b/>
          <w:sz w:val="20"/>
          <w:szCs w:val="20"/>
          <w:lang w:val="lt-LT"/>
        </w:rPr>
      </w:pPr>
      <w:r w:rsidRPr="006D12E1">
        <w:rPr>
          <w:rFonts w:ascii="Georgia" w:hAnsi="Georgia"/>
          <w:b/>
          <w:sz w:val="20"/>
          <w:szCs w:val="20"/>
          <w:lang w:val="lt-LT"/>
        </w:rPr>
        <w:t>Fondo steigimui reikalingą finansavimą suteikiančios viešosios institucijos</w:t>
      </w:r>
    </w:p>
    <w:p w14:paraId="15FB0AE1" w14:textId="3C6EEE7A" w:rsidR="00A27CDB" w:rsidRDefault="00A27CDB" w:rsidP="00C6372C">
      <w:pPr>
        <w:jc w:val="both"/>
        <w:rPr>
          <w:rFonts w:ascii="Georgia" w:hAnsi="Georgia"/>
          <w:sz w:val="20"/>
          <w:szCs w:val="20"/>
          <w:lang w:val="lt-LT"/>
        </w:rPr>
      </w:pPr>
      <w:r>
        <w:rPr>
          <w:rFonts w:ascii="Georgia" w:hAnsi="Georgia"/>
          <w:sz w:val="20"/>
          <w:szCs w:val="20"/>
          <w:lang w:val="lt-LT"/>
        </w:rPr>
        <w:t xml:space="preserve">Lietuvos Respublikos aplinkos ministerija bei Lietuvos Respublikos finansų ministerija, vykdydamos jiems pavestas funkcijas pagal Bendrųjų nuostatų reglamento reikalavimus, taip pat pagal Lietuvos Respublikos biudžeto sandaros įstatymo, </w:t>
      </w:r>
      <w:r w:rsidR="00D309A9">
        <w:rPr>
          <w:rFonts w:ascii="Georgia" w:hAnsi="Georgia"/>
          <w:sz w:val="20"/>
          <w:szCs w:val="20"/>
          <w:lang w:val="lt-LT"/>
        </w:rPr>
        <w:t xml:space="preserve">Lietuvos Respublikos vyriausybės nutarimo dėl atsakomybės ir funkcijų pasiskirstymo tarp institucijų, įgyvendinant 2014 – 2020 metų Europos sąjungos fondų investicijų veiksmų programos </w:t>
      </w:r>
      <w:r>
        <w:rPr>
          <w:rFonts w:ascii="Georgia" w:hAnsi="Georgia"/>
          <w:sz w:val="20"/>
          <w:szCs w:val="20"/>
          <w:lang w:val="lt-LT"/>
        </w:rPr>
        <w:t>nuostatas, vykdo tik viešąsias funkcijas, tai yra šios finansinės priemonės kontekste vykdo neekonominę veiklą bei negali būti laikomi ūkio subjektais.</w:t>
      </w:r>
    </w:p>
    <w:p w14:paraId="5ADD244A" w14:textId="77777777" w:rsidR="00A27CDB" w:rsidRDefault="00A27CDB" w:rsidP="00C6372C">
      <w:pPr>
        <w:jc w:val="both"/>
        <w:rPr>
          <w:rFonts w:ascii="Georgia" w:hAnsi="Georgia"/>
          <w:sz w:val="20"/>
          <w:szCs w:val="20"/>
          <w:lang w:val="lt-LT"/>
        </w:rPr>
      </w:pPr>
      <w:r>
        <w:rPr>
          <w:rFonts w:ascii="Georgia" w:hAnsi="Georgia"/>
          <w:sz w:val="20"/>
          <w:szCs w:val="20"/>
          <w:lang w:val="lt-LT"/>
        </w:rPr>
        <w:t>Pabrėžtina, kad šioms viešosioms institucijoms, detalizuojant priemonės aprašymą, negali būti numatytas jokios ekonominės naudos atsiradimas (pvz., sėkmės mokestis, valdymo mokestis, išduotų paskolų palūkanų panaudojimas įstaigos reikmėms, kt.), kadangi tokiu atveju atsirastų valstybės pagalbos atsiradimo rizika.</w:t>
      </w:r>
    </w:p>
    <w:p w14:paraId="70C620D1" w14:textId="77777777" w:rsidR="00A27CDB" w:rsidRPr="00C6372C" w:rsidRDefault="00A27CDB" w:rsidP="00C6372C">
      <w:pPr>
        <w:pStyle w:val="Sraopastraipa"/>
        <w:ind w:left="0"/>
        <w:jc w:val="both"/>
        <w:rPr>
          <w:rFonts w:ascii="Georgia" w:hAnsi="Georgia"/>
          <w:b/>
          <w:sz w:val="20"/>
          <w:szCs w:val="20"/>
          <w:lang w:val="lt-LT"/>
        </w:rPr>
      </w:pPr>
      <w:r w:rsidRPr="00BF4020">
        <w:rPr>
          <w:rFonts w:ascii="Georgia" w:hAnsi="Georgia"/>
          <w:b/>
          <w:sz w:val="20"/>
          <w:szCs w:val="20"/>
          <w:lang w:val="lt-LT"/>
        </w:rPr>
        <w:t>Fondo valdytojas</w:t>
      </w:r>
    </w:p>
    <w:p w14:paraId="7BE5EE61" w14:textId="06BF8CED" w:rsidR="00A27CDB" w:rsidRPr="00BF4020" w:rsidRDefault="00A27CDB" w:rsidP="00C6372C">
      <w:pPr>
        <w:jc w:val="both"/>
        <w:rPr>
          <w:rFonts w:ascii="Georgia" w:hAnsi="Georgia"/>
          <w:sz w:val="20"/>
          <w:szCs w:val="20"/>
          <w:lang w:val="lt-LT"/>
        </w:rPr>
      </w:pPr>
      <w:r w:rsidRPr="00BF4020">
        <w:rPr>
          <w:rFonts w:ascii="Georgia" w:hAnsi="Georgia"/>
          <w:sz w:val="20"/>
          <w:szCs w:val="20"/>
          <w:lang w:val="lt-LT"/>
        </w:rPr>
        <w:t>Fondo valdytojui taikomas mechanizmas yra tapatus daugiabučių atveju steigiamo fondo valdymo mechanizmui, todėl taikytinos tos pačios sąlygos, kurios yra nurodytos 5.</w:t>
      </w:r>
      <w:r w:rsidR="00ED2A8C">
        <w:rPr>
          <w:rFonts w:ascii="Georgia" w:hAnsi="Georgia"/>
          <w:sz w:val="20"/>
          <w:szCs w:val="20"/>
          <w:lang w:val="lt-LT"/>
        </w:rPr>
        <w:t>2</w:t>
      </w:r>
      <w:r w:rsidRPr="00BF4020">
        <w:rPr>
          <w:rFonts w:ascii="Georgia" w:hAnsi="Georgia"/>
          <w:sz w:val="20"/>
          <w:szCs w:val="20"/>
          <w:lang w:val="lt-LT"/>
        </w:rPr>
        <w:t>.1.1. skyriuje</w:t>
      </w:r>
      <w:r>
        <w:rPr>
          <w:rFonts w:ascii="Georgia" w:hAnsi="Georgia"/>
          <w:sz w:val="20"/>
          <w:szCs w:val="20"/>
          <w:lang w:val="lt-LT"/>
        </w:rPr>
        <w:t>.</w:t>
      </w:r>
    </w:p>
    <w:p w14:paraId="3EF6F434" w14:textId="77777777" w:rsidR="00A27CDB" w:rsidRPr="00BF4020" w:rsidRDefault="00A27CDB" w:rsidP="00C6372C">
      <w:pPr>
        <w:jc w:val="both"/>
        <w:rPr>
          <w:rFonts w:ascii="Georgia" w:hAnsi="Georgia"/>
          <w:sz w:val="20"/>
          <w:szCs w:val="20"/>
          <w:lang w:val="lt-LT"/>
        </w:rPr>
      </w:pPr>
      <w:r w:rsidRPr="00BF4020">
        <w:rPr>
          <w:rFonts w:ascii="Georgia" w:hAnsi="Georgia"/>
          <w:sz w:val="20"/>
          <w:szCs w:val="20"/>
          <w:lang w:val="lt-LT"/>
        </w:rPr>
        <w:t>Įvykdžius aukščiau nurodytas sąlygas, laikytina, kad fondo valdytojas nėra valstybės pagalbos gavėjas, kadangi fondo valdytojui nebūtų suteikiamas ekonominis pranašumas.</w:t>
      </w:r>
    </w:p>
    <w:p w14:paraId="23033733" w14:textId="77777777" w:rsidR="00A27CDB" w:rsidRPr="000F2A27" w:rsidRDefault="00A27CDB" w:rsidP="008D5EBC">
      <w:pPr>
        <w:pStyle w:val="Sraopastraipa"/>
        <w:keepNext/>
        <w:ind w:left="0"/>
        <w:jc w:val="both"/>
        <w:rPr>
          <w:rFonts w:ascii="Georgia" w:hAnsi="Georgia"/>
          <w:b/>
          <w:sz w:val="20"/>
          <w:szCs w:val="20"/>
          <w:lang w:val="lt-LT"/>
        </w:rPr>
      </w:pPr>
      <w:r w:rsidRPr="000F2A27">
        <w:rPr>
          <w:rFonts w:ascii="Georgia" w:hAnsi="Georgia"/>
          <w:b/>
          <w:sz w:val="20"/>
          <w:szCs w:val="20"/>
          <w:lang w:val="lt-LT"/>
        </w:rPr>
        <w:t>Privatūs instituciniai bei profesionalūs investuotojai</w:t>
      </w:r>
    </w:p>
    <w:p w14:paraId="4D695DDE" w14:textId="4BEE3E77" w:rsidR="00A27CDB" w:rsidRPr="00BA094C" w:rsidRDefault="00A27CDB" w:rsidP="008D5EBC">
      <w:pPr>
        <w:keepNext/>
        <w:jc w:val="both"/>
        <w:rPr>
          <w:rFonts w:ascii="Georgia" w:hAnsi="Georgia"/>
          <w:sz w:val="20"/>
          <w:szCs w:val="20"/>
          <w:lang w:val="lt-LT"/>
        </w:rPr>
      </w:pPr>
      <w:r w:rsidRPr="00BA094C">
        <w:rPr>
          <w:rFonts w:ascii="Georgia" w:hAnsi="Georgia"/>
          <w:sz w:val="20"/>
          <w:szCs w:val="20"/>
          <w:lang w:val="lt-LT"/>
        </w:rPr>
        <w:t xml:space="preserve">Pagal numatomą mechanizmą, valstybė </w:t>
      </w:r>
      <w:r w:rsidR="00BA094C" w:rsidRPr="00BA094C">
        <w:rPr>
          <w:rFonts w:ascii="Georgia" w:hAnsi="Georgia"/>
          <w:sz w:val="20"/>
          <w:szCs w:val="20"/>
          <w:lang w:val="lt-LT"/>
        </w:rPr>
        <w:t xml:space="preserve">galėtų </w:t>
      </w:r>
      <w:r w:rsidRPr="00BA094C">
        <w:rPr>
          <w:rFonts w:ascii="Georgia" w:hAnsi="Georgia"/>
          <w:sz w:val="20"/>
          <w:szCs w:val="20"/>
          <w:lang w:val="lt-LT"/>
        </w:rPr>
        <w:t>dalyvau</w:t>
      </w:r>
      <w:r w:rsidR="00BA094C" w:rsidRPr="00BA094C">
        <w:rPr>
          <w:rFonts w:ascii="Georgia" w:hAnsi="Georgia"/>
          <w:sz w:val="20"/>
          <w:szCs w:val="20"/>
          <w:lang w:val="lt-LT"/>
        </w:rPr>
        <w:t>ti</w:t>
      </w:r>
      <w:r w:rsidRPr="00BA094C">
        <w:rPr>
          <w:rFonts w:ascii="Georgia" w:hAnsi="Georgia"/>
          <w:sz w:val="20"/>
          <w:szCs w:val="20"/>
          <w:lang w:val="lt-LT"/>
        </w:rPr>
        <w:t xml:space="preserve"> fondo steigime ir valdyme parri pasu princip</w:t>
      </w:r>
      <w:r w:rsidR="00BA094C" w:rsidRPr="00BA094C">
        <w:rPr>
          <w:rFonts w:ascii="Georgia" w:hAnsi="Georgia"/>
          <w:sz w:val="20"/>
          <w:szCs w:val="20"/>
          <w:lang w:val="lt-LT"/>
        </w:rPr>
        <w:t>u</w:t>
      </w:r>
      <w:r w:rsidRPr="00BA094C">
        <w:rPr>
          <w:rFonts w:ascii="Georgia" w:hAnsi="Georgia"/>
          <w:sz w:val="20"/>
          <w:szCs w:val="20"/>
          <w:lang w:val="lt-LT"/>
        </w:rPr>
        <w:t>, tai yra užtikrindama, kad investuotojams nėra suteikiamas ekonominis pranašumas dėl ekonominės veiklos įgyvendinimo. Tokiu atveju, pagal Rizikos kapitalo gairių 31 p., laikytina, kad tokios investicijos atitinka rinkos investuotojo principą bei nepažeidžią valstybės pagalbos teikimo reikalavimų.</w:t>
      </w:r>
    </w:p>
    <w:p w14:paraId="5E42EC48" w14:textId="77777777" w:rsidR="00A27CDB" w:rsidRPr="00017A00" w:rsidRDefault="00A27CDB" w:rsidP="00C6372C">
      <w:pPr>
        <w:jc w:val="both"/>
        <w:rPr>
          <w:rFonts w:ascii="Georgia" w:hAnsi="Georgia"/>
          <w:sz w:val="20"/>
          <w:szCs w:val="20"/>
          <w:lang w:val="lt-LT"/>
        </w:rPr>
      </w:pPr>
      <w:r w:rsidRPr="00BA094C">
        <w:rPr>
          <w:rFonts w:ascii="Georgia" w:hAnsi="Georgia"/>
          <w:sz w:val="20"/>
          <w:szCs w:val="20"/>
          <w:lang w:val="lt-LT"/>
        </w:rPr>
        <w:t>Pabrėžtina, kad steigiant investicijų fondą, būtina užtikrinti, kad tiek viešąsias lėšas investuojantis, tiek privatūs investuotojai prisiimtų tokias pačias rizikas, atliktų investicijas tuo pačiu metu bei privačių partnerių investicijos sudarytų ne mažiau, nei 30 % visų investicijų sumos.</w:t>
      </w:r>
    </w:p>
    <w:p w14:paraId="3B378671" w14:textId="11ED8F4F" w:rsidR="00A35AA6" w:rsidRDefault="00BA094C" w:rsidP="00C6372C">
      <w:pPr>
        <w:jc w:val="both"/>
        <w:rPr>
          <w:rFonts w:ascii="Georgia" w:hAnsi="Georgia"/>
          <w:sz w:val="20"/>
          <w:szCs w:val="20"/>
          <w:lang w:val="lt-LT"/>
        </w:rPr>
      </w:pPr>
      <w:r>
        <w:rPr>
          <w:rFonts w:ascii="Georgia" w:hAnsi="Georgia"/>
          <w:sz w:val="20"/>
          <w:szCs w:val="20"/>
          <w:lang w:val="lt-LT"/>
        </w:rPr>
        <w:t xml:space="preserve">Privačių investuotojų paskatinimui investuoti nuosavas lėšas galėtų būti naudojamos papildomos priemonės, pavyzdžiui </w:t>
      </w:r>
      <w:r w:rsidR="00A35AA6">
        <w:rPr>
          <w:rFonts w:ascii="Georgia" w:hAnsi="Georgia"/>
          <w:sz w:val="20"/>
          <w:szCs w:val="20"/>
          <w:lang w:val="lt-LT"/>
        </w:rPr>
        <w:t>netolygus nuostolių</w:t>
      </w:r>
      <w:r>
        <w:rPr>
          <w:rFonts w:ascii="Georgia" w:hAnsi="Georgia"/>
          <w:sz w:val="20"/>
          <w:szCs w:val="20"/>
          <w:lang w:val="lt-LT"/>
        </w:rPr>
        <w:t xml:space="preserve"> pasidalinimas tarp privataus ir viešojo investuotojo. Atsiradus </w:t>
      </w:r>
      <w:r w:rsidR="00A35AA6">
        <w:rPr>
          <w:rFonts w:ascii="Georgia" w:hAnsi="Georgia"/>
          <w:sz w:val="20"/>
          <w:szCs w:val="20"/>
          <w:lang w:val="lt-LT"/>
        </w:rPr>
        <w:t>netolygiam nuostolių</w:t>
      </w:r>
      <w:r>
        <w:rPr>
          <w:rFonts w:ascii="Georgia" w:hAnsi="Georgia"/>
          <w:sz w:val="20"/>
          <w:szCs w:val="20"/>
          <w:lang w:val="lt-LT"/>
        </w:rPr>
        <w:t xml:space="preserve"> pasidalinimui, kuomet privatus investuotojas rizikuoja mažiau nei viešasis investuotojas galimai atsiranda ir valstybės pagalbos elementas privataus investuotojo lygmeniu, nes savo lėšomis rizikuodamas mažiau nei viešasis investuotojas, privatus investuotojas patiria ekonominę naudą, kurios veikiant pagal rinkos ekonomikos principą jis negautų. Tokiu atveju</w:t>
      </w:r>
      <w:r w:rsidR="007B7A77">
        <w:rPr>
          <w:rFonts w:ascii="Georgia" w:hAnsi="Georgia"/>
          <w:sz w:val="20"/>
          <w:szCs w:val="20"/>
          <w:lang w:val="lt-LT"/>
        </w:rPr>
        <w:t xml:space="preserve"> Savivaldybės pastatų renovacijos finansinė priemonė galėtų būti įgyvendinama pagal Bendrosios </w:t>
      </w:r>
      <w:r w:rsidR="007B7A77">
        <w:rPr>
          <w:rFonts w:ascii="Georgia" w:hAnsi="Georgia"/>
          <w:sz w:val="20"/>
          <w:szCs w:val="20"/>
          <w:lang w:val="lt-LT"/>
        </w:rPr>
        <w:lastRenderedPageBreak/>
        <w:t>išimties pagalbos reglamento 39 str.</w:t>
      </w:r>
      <w:r w:rsidR="00274302">
        <w:rPr>
          <w:rFonts w:ascii="Georgia" w:hAnsi="Georgia"/>
          <w:sz w:val="20"/>
          <w:szCs w:val="20"/>
          <w:lang w:val="lt-LT"/>
        </w:rPr>
        <w:t>, kuris leidžia nuostolius tarp privataus ir viešojo investuotojo dalintis netolygiai.</w:t>
      </w:r>
      <w:r w:rsidR="007B7A77">
        <w:rPr>
          <w:rFonts w:ascii="Georgia" w:hAnsi="Georgia"/>
          <w:sz w:val="20"/>
          <w:szCs w:val="20"/>
          <w:lang w:val="lt-LT"/>
        </w:rPr>
        <w:t xml:space="preserve"> </w:t>
      </w:r>
      <w:r w:rsidR="00A35AA6">
        <w:rPr>
          <w:rFonts w:ascii="Georgia" w:hAnsi="Georgia"/>
          <w:sz w:val="20"/>
          <w:szCs w:val="20"/>
          <w:lang w:val="lt-LT"/>
        </w:rPr>
        <w:t xml:space="preserve">Norint įgyvendinti finansinę priemonę su netolygiu nuostolių pasidalinimu, būtina užtikrinti Bendrosios išimties reglamento 39 str. nuostatų įgyvendinimą. </w:t>
      </w:r>
    </w:p>
    <w:p w14:paraId="486F6FCE" w14:textId="0DDF3E10" w:rsidR="00A27CDB" w:rsidRPr="000F2A27" w:rsidRDefault="00A27CDB" w:rsidP="00C6372C">
      <w:pPr>
        <w:jc w:val="both"/>
        <w:rPr>
          <w:rFonts w:ascii="Georgia" w:hAnsi="Georgia"/>
          <w:sz w:val="20"/>
          <w:szCs w:val="20"/>
          <w:lang w:val="lt-LT"/>
        </w:rPr>
      </w:pPr>
      <w:r w:rsidRPr="000F2A27">
        <w:rPr>
          <w:rFonts w:ascii="Georgia" w:hAnsi="Georgia"/>
          <w:sz w:val="20"/>
          <w:szCs w:val="20"/>
          <w:lang w:val="lt-LT"/>
        </w:rPr>
        <w:t xml:space="preserve">Nusprendus taikyti </w:t>
      </w:r>
      <w:r>
        <w:rPr>
          <w:rFonts w:ascii="Georgia" w:hAnsi="Georgia"/>
          <w:sz w:val="20"/>
          <w:szCs w:val="20"/>
          <w:lang w:val="lt-LT"/>
        </w:rPr>
        <w:t>kitokias/</w:t>
      </w:r>
      <w:r w:rsidRPr="000F2A27">
        <w:rPr>
          <w:rFonts w:ascii="Georgia" w:hAnsi="Georgia"/>
          <w:sz w:val="20"/>
          <w:szCs w:val="20"/>
          <w:lang w:val="lt-LT"/>
        </w:rPr>
        <w:t xml:space="preserve">papildomas priemones, kurios paskatintų privačių investuotojų aktyvesnį dalyvavimą fondo veikloje, </w:t>
      </w:r>
      <w:r w:rsidR="00D309A9">
        <w:rPr>
          <w:rFonts w:ascii="Georgia" w:hAnsi="Georgia"/>
          <w:sz w:val="20"/>
          <w:szCs w:val="20"/>
          <w:lang w:val="lt-LT"/>
        </w:rPr>
        <w:t>gali</w:t>
      </w:r>
      <w:r w:rsidR="00D309A9" w:rsidRPr="000F2A27">
        <w:rPr>
          <w:rFonts w:ascii="Georgia" w:hAnsi="Georgia"/>
          <w:sz w:val="20"/>
          <w:szCs w:val="20"/>
          <w:lang w:val="lt-LT"/>
        </w:rPr>
        <w:t xml:space="preserve"> </w:t>
      </w:r>
      <w:r w:rsidRPr="000F2A27">
        <w:rPr>
          <w:rFonts w:ascii="Georgia" w:hAnsi="Georgia"/>
          <w:sz w:val="20"/>
          <w:szCs w:val="20"/>
          <w:lang w:val="lt-LT"/>
        </w:rPr>
        <w:t>būti atliktas papildomas vertinimas valstybės pagalbos požiūriu.</w:t>
      </w:r>
      <w:r w:rsidR="00A35AA6">
        <w:rPr>
          <w:rFonts w:ascii="Georgia" w:hAnsi="Georgia"/>
          <w:sz w:val="20"/>
          <w:szCs w:val="20"/>
          <w:lang w:val="lt-LT"/>
        </w:rPr>
        <w:t xml:space="preserve"> </w:t>
      </w:r>
    </w:p>
    <w:p w14:paraId="76211005" w14:textId="77777777" w:rsidR="00A27CDB" w:rsidRPr="00B94678" w:rsidRDefault="00A27CDB" w:rsidP="00C6372C">
      <w:pPr>
        <w:pStyle w:val="Sraopastraipa"/>
        <w:ind w:left="0"/>
        <w:jc w:val="both"/>
        <w:rPr>
          <w:rFonts w:ascii="Georgia" w:hAnsi="Georgia"/>
          <w:b/>
          <w:sz w:val="20"/>
          <w:szCs w:val="20"/>
          <w:lang w:val="lt-LT"/>
        </w:rPr>
      </w:pPr>
      <w:r w:rsidRPr="00B94678">
        <w:rPr>
          <w:rFonts w:ascii="Georgia" w:hAnsi="Georgia"/>
          <w:b/>
          <w:sz w:val="20"/>
          <w:szCs w:val="20"/>
          <w:lang w:val="lt-LT"/>
        </w:rPr>
        <w:t>Fondas (kaip atskiras juridinis asmuo)</w:t>
      </w:r>
    </w:p>
    <w:p w14:paraId="6D707604" w14:textId="2D54BDD4" w:rsidR="00A27CDB" w:rsidRPr="00B94678" w:rsidRDefault="00A27CDB" w:rsidP="00C6372C">
      <w:pPr>
        <w:jc w:val="both"/>
        <w:rPr>
          <w:rFonts w:ascii="Georgia" w:hAnsi="Georgia"/>
          <w:sz w:val="20"/>
          <w:szCs w:val="20"/>
          <w:lang w:val="lt-LT"/>
        </w:rPr>
      </w:pPr>
      <w:r w:rsidRPr="00B94678">
        <w:rPr>
          <w:rFonts w:ascii="Georgia" w:hAnsi="Georgia"/>
          <w:sz w:val="20"/>
          <w:szCs w:val="20"/>
          <w:lang w:val="lt-LT"/>
        </w:rPr>
        <w:t xml:space="preserve">Pagal numatomą mechanizmą, </w:t>
      </w:r>
      <w:r w:rsidRPr="00A35AA6">
        <w:rPr>
          <w:rFonts w:ascii="Georgia" w:hAnsi="Georgia"/>
          <w:sz w:val="20"/>
          <w:szCs w:val="20"/>
          <w:lang w:val="lt-LT"/>
        </w:rPr>
        <w:t>fond</w:t>
      </w:r>
      <w:r w:rsidR="00F170D6">
        <w:rPr>
          <w:rFonts w:ascii="Georgia" w:hAnsi="Georgia"/>
          <w:sz w:val="20"/>
          <w:szCs w:val="20"/>
          <w:lang w:val="lt-LT"/>
        </w:rPr>
        <w:t>as</w:t>
      </w:r>
      <w:r w:rsidRPr="00A35AA6">
        <w:rPr>
          <w:rFonts w:ascii="Georgia" w:hAnsi="Georgia"/>
          <w:sz w:val="20"/>
          <w:szCs w:val="20"/>
          <w:lang w:val="lt-LT"/>
        </w:rPr>
        <w:t xml:space="preserve"> </w:t>
      </w:r>
      <w:r w:rsidR="00A35AA6" w:rsidRPr="00A35AA6">
        <w:rPr>
          <w:rFonts w:ascii="Georgia" w:hAnsi="Georgia"/>
          <w:sz w:val="20"/>
          <w:szCs w:val="20"/>
          <w:lang w:val="lt-LT"/>
        </w:rPr>
        <w:t xml:space="preserve">galėtų būti steigiamas </w:t>
      </w:r>
      <w:r w:rsidRPr="00A35AA6">
        <w:rPr>
          <w:rFonts w:ascii="Georgia" w:hAnsi="Georgia"/>
          <w:sz w:val="20"/>
          <w:szCs w:val="20"/>
          <w:lang w:val="lt-LT"/>
        </w:rPr>
        <w:t>kaip atskir</w:t>
      </w:r>
      <w:r w:rsidR="00A35AA6" w:rsidRPr="00A35AA6">
        <w:rPr>
          <w:rFonts w:ascii="Georgia" w:hAnsi="Georgia"/>
          <w:sz w:val="20"/>
          <w:szCs w:val="20"/>
          <w:lang w:val="lt-LT"/>
        </w:rPr>
        <w:t>as</w:t>
      </w:r>
      <w:r w:rsidRPr="00A35AA6">
        <w:rPr>
          <w:rFonts w:ascii="Georgia" w:hAnsi="Georgia"/>
          <w:sz w:val="20"/>
          <w:szCs w:val="20"/>
          <w:lang w:val="lt-LT"/>
        </w:rPr>
        <w:t xml:space="preserve"> juridin</w:t>
      </w:r>
      <w:r w:rsidR="00A35AA6" w:rsidRPr="00A35AA6">
        <w:rPr>
          <w:rFonts w:ascii="Georgia" w:hAnsi="Georgia"/>
          <w:sz w:val="20"/>
          <w:szCs w:val="20"/>
          <w:lang w:val="lt-LT"/>
        </w:rPr>
        <w:t>is asmuo</w:t>
      </w:r>
      <w:r w:rsidRPr="00A35AA6">
        <w:rPr>
          <w:rFonts w:ascii="Georgia" w:hAnsi="Georgia"/>
          <w:sz w:val="20"/>
          <w:szCs w:val="20"/>
          <w:lang w:val="lt-LT"/>
        </w:rPr>
        <w:t xml:space="preserve"> (komanditin</w:t>
      </w:r>
      <w:r w:rsidR="00A35AA6" w:rsidRPr="00A35AA6">
        <w:rPr>
          <w:rFonts w:ascii="Georgia" w:hAnsi="Georgia"/>
          <w:sz w:val="20"/>
          <w:szCs w:val="20"/>
          <w:lang w:val="lt-LT"/>
        </w:rPr>
        <w:t>ė</w:t>
      </w:r>
      <w:r w:rsidRPr="00A35AA6">
        <w:rPr>
          <w:rFonts w:ascii="Georgia" w:hAnsi="Georgia"/>
          <w:sz w:val="20"/>
          <w:szCs w:val="20"/>
          <w:lang w:val="lt-LT"/>
        </w:rPr>
        <w:t xml:space="preserve"> ūkin</w:t>
      </w:r>
      <w:r w:rsidR="00A35AA6" w:rsidRPr="00A35AA6">
        <w:rPr>
          <w:rFonts w:ascii="Georgia" w:hAnsi="Georgia"/>
          <w:sz w:val="20"/>
          <w:szCs w:val="20"/>
          <w:lang w:val="lt-LT"/>
        </w:rPr>
        <w:t>ė</w:t>
      </w:r>
      <w:r w:rsidRPr="00A35AA6">
        <w:rPr>
          <w:rFonts w:ascii="Georgia" w:hAnsi="Georgia"/>
          <w:sz w:val="20"/>
          <w:szCs w:val="20"/>
          <w:lang w:val="lt-LT"/>
        </w:rPr>
        <w:t xml:space="preserve"> bendrij</w:t>
      </w:r>
      <w:r w:rsidR="00A35AA6" w:rsidRPr="00A35AA6">
        <w:rPr>
          <w:rFonts w:ascii="Georgia" w:hAnsi="Georgia"/>
          <w:sz w:val="20"/>
          <w:szCs w:val="20"/>
          <w:lang w:val="lt-LT"/>
        </w:rPr>
        <w:t>a</w:t>
      </w:r>
      <w:r w:rsidRPr="00A35AA6">
        <w:rPr>
          <w:rFonts w:ascii="Georgia" w:hAnsi="Georgia"/>
          <w:sz w:val="20"/>
          <w:szCs w:val="20"/>
          <w:lang w:val="lt-LT"/>
        </w:rPr>
        <w:t xml:space="preserve">) arba </w:t>
      </w:r>
      <w:r w:rsidR="00A35AA6" w:rsidRPr="00A35AA6">
        <w:rPr>
          <w:rFonts w:ascii="Georgia" w:hAnsi="Georgia"/>
          <w:sz w:val="20"/>
          <w:szCs w:val="20"/>
          <w:lang w:val="lt-LT"/>
        </w:rPr>
        <w:t xml:space="preserve">galėtų būti naudojama </w:t>
      </w:r>
      <w:r w:rsidRPr="00A35AA6">
        <w:rPr>
          <w:rFonts w:ascii="Georgia" w:hAnsi="Georgia"/>
          <w:sz w:val="20"/>
          <w:szCs w:val="20"/>
          <w:lang w:val="lt-LT"/>
        </w:rPr>
        <w:t>esam</w:t>
      </w:r>
      <w:r w:rsidR="00A35AA6" w:rsidRPr="00A35AA6">
        <w:rPr>
          <w:rFonts w:ascii="Georgia" w:hAnsi="Georgia"/>
          <w:sz w:val="20"/>
          <w:szCs w:val="20"/>
          <w:lang w:val="lt-LT"/>
        </w:rPr>
        <w:t>a</w:t>
      </w:r>
      <w:r w:rsidRPr="00A35AA6">
        <w:rPr>
          <w:rFonts w:ascii="Georgia" w:hAnsi="Georgia"/>
          <w:sz w:val="20"/>
          <w:szCs w:val="20"/>
          <w:lang w:val="lt-LT"/>
        </w:rPr>
        <w:t xml:space="preserve"> KŪB, kuri yra skirta investicijoms į daugiabučių projektus. Pastarasis juridinis asmuo yra neribotos atsakomybės juridinis asmuo, kuriame dalyvaujantys tikrieji nariai atsako pagal KŪB prievoles visu savo turtu, o komanditoriai - tik savo įnašų suma. Valstybės pagalbos taisyklių taikymo požiūriu, KŪB steigimo sutartyje iš anksto turi būti numatyta, kad savarankiškai vykdomos ekonominės veiklos KŪB nauda tenka fondo valdytojui, kadangi KŪB steigimo tikslas yra užtikrinti efektyvią fondų fondo veiklą.</w:t>
      </w:r>
      <w:r w:rsidRPr="00B94678">
        <w:rPr>
          <w:rFonts w:ascii="Georgia" w:hAnsi="Georgia"/>
          <w:sz w:val="20"/>
          <w:szCs w:val="20"/>
          <w:lang w:val="lt-LT"/>
        </w:rPr>
        <w:t xml:space="preserve"> Visi ištekliai yra įnešami bei paskirstomi komanditoriams bei tikriesiems nariams, tokiu būdu, pats fondas negauna jokios ekonominės naudos iš veiklos vykdymo. Kitaip tariant, pats fondas yra laikytinas pagalbos pervedimo priemone, tačiau pats savaime nėra valstybės pagalbos gavėjas.</w:t>
      </w:r>
    </w:p>
    <w:p w14:paraId="0E6C6E5E" w14:textId="77777777" w:rsidR="00A27CDB" w:rsidRPr="00A93ECC" w:rsidRDefault="00A27CDB" w:rsidP="002A248B">
      <w:pPr>
        <w:pStyle w:val="Sraopastraipa"/>
        <w:keepNext/>
        <w:ind w:left="0"/>
        <w:jc w:val="both"/>
        <w:rPr>
          <w:rFonts w:ascii="Georgia" w:hAnsi="Georgia"/>
          <w:b/>
          <w:sz w:val="20"/>
          <w:szCs w:val="20"/>
          <w:lang w:val="lt-LT"/>
        </w:rPr>
      </w:pPr>
      <w:r w:rsidRPr="00A93ECC">
        <w:rPr>
          <w:rFonts w:ascii="Georgia" w:hAnsi="Georgia"/>
          <w:b/>
          <w:sz w:val="20"/>
          <w:szCs w:val="20"/>
          <w:lang w:val="lt-LT"/>
        </w:rPr>
        <w:t>ESCO įmonės funkcijas vykdantys ūkio subjektai</w:t>
      </w:r>
    </w:p>
    <w:p w14:paraId="70D2C9D0" w14:textId="77777777" w:rsidR="00A27CDB" w:rsidRPr="00A93ECC" w:rsidRDefault="00A27CDB" w:rsidP="002A248B">
      <w:pPr>
        <w:keepNext/>
        <w:jc w:val="both"/>
        <w:rPr>
          <w:rFonts w:ascii="Georgia" w:hAnsi="Georgia"/>
          <w:sz w:val="20"/>
          <w:szCs w:val="20"/>
          <w:lang w:val="lt-LT"/>
        </w:rPr>
      </w:pPr>
      <w:r w:rsidRPr="00A93ECC">
        <w:rPr>
          <w:rFonts w:ascii="Georgia" w:hAnsi="Georgia"/>
          <w:sz w:val="20"/>
          <w:szCs w:val="20"/>
          <w:lang w:val="lt-LT"/>
        </w:rPr>
        <w:t xml:space="preserve">ESCO įmonė, pagal numatomą įgyvendinti mechanizmą, yra atskiras juridinis asmuo, kurio paskirtis yra užtikrinti savalaikį investicijų atlikimą, bei gauti mokėjimus už atliktas investicijas iš </w:t>
      </w:r>
      <w:r>
        <w:rPr>
          <w:rFonts w:ascii="Georgia" w:hAnsi="Georgia"/>
          <w:sz w:val="20"/>
          <w:szCs w:val="20"/>
          <w:lang w:val="lt-LT"/>
        </w:rPr>
        <w:t xml:space="preserve">savivaldybės </w:t>
      </w:r>
      <w:r w:rsidRPr="00A93ECC">
        <w:rPr>
          <w:rFonts w:ascii="Georgia" w:hAnsi="Georgia"/>
          <w:sz w:val="20"/>
          <w:szCs w:val="20"/>
          <w:lang w:val="lt-LT"/>
        </w:rPr>
        <w:t>pastato renovacijos projektą įgyvendinančio juridinio asmens.</w:t>
      </w:r>
    </w:p>
    <w:p w14:paraId="61951D35" w14:textId="77777777" w:rsidR="00A27CDB" w:rsidRDefault="00A27CDB" w:rsidP="00C6372C">
      <w:pPr>
        <w:jc w:val="both"/>
        <w:rPr>
          <w:rFonts w:ascii="Georgia" w:hAnsi="Georgia"/>
          <w:sz w:val="20"/>
          <w:szCs w:val="20"/>
          <w:lang w:val="lt-LT"/>
        </w:rPr>
      </w:pPr>
      <w:r w:rsidRPr="00A93ECC">
        <w:rPr>
          <w:rFonts w:ascii="Georgia" w:hAnsi="Georgia"/>
          <w:sz w:val="20"/>
          <w:szCs w:val="20"/>
          <w:lang w:val="lt-LT"/>
        </w:rPr>
        <w:t>Taip pat numatoma, kad ESCO įmonė gaus lengvatinę paskolą, kurios tikslinė paskirtis yra renovacijos</w:t>
      </w:r>
      <w:r>
        <w:rPr>
          <w:rFonts w:ascii="Georgia" w:hAnsi="Georgia"/>
          <w:sz w:val="20"/>
          <w:szCs w:val="20"/>
          <w:lang w:val="lt-LT"/>
        </w:rPr>
        <w:t xml:space="preserve"> projekto įgyvendinimas. Kitaip tariant, ESCO įmonė negali gauti naudos iš suteikiamos paskolos, todėl ESCO įmonė negali būti laikoma investuotoju. Kita vertus, ESCO įmonė šiuo atveju atlieka finansinio tarpininko vaidmenį, o už suteikiamas paslaugas gauna valdymo mokestį.</w:t>
      </w:r>
    </w:p>
    <w:p w14:paraId="308E62C8" w14:textId="77777777" w:rsidR="00A27CDB" w:rsidRDefault="00A27CDB" w:rsidP="00C6372C">
      <w:pPr>
        <w:jc w:val="both"/>
        <w:rPr>
          <w:rFonts w:ascii="Georgia" w:hAnsi="Georgia"/>
          <w:sz w:val="20"/>
          <w:szCs w:val="20"/>
          <w:lang w:val="lt-LT"/>
        </w:rPr>
      </w:pPr>
      <w:r>
        <w:rPr>
          <w:rFonts w:ascii="Georgia" w:hAnsi="Georgia"/>
          <w:sz w:val="20"/>
          <w:szCs w:val="20"/>
          <w:lang w:val="lt-LT"/>
        </w:rPr>
        <w:t xml:space="preserve">Kitaip tariant, taikytini </w:t>
      </w:r>
      <w:r w:rsidRPr="00A20F4A">
        <w:rPr>
          <w:rFonts w:ascii="Georgia" w:hAnsi="Georgia"/>
          <w:sz w:val="20"/>
          <w:szCs w:val="20"/>
          <w:lang w:val="lt-LT"/>
        </w:rPr>
        <w:t>Rizikos finansų gairių 40 p</w:t>
      </w:r>
      <w:r>
        <w:rPr>
          <w:rFonts w:ascii="Georgia" w:hAnsi="Georgia"/>
          <w:sz w:val="20"/>
          <w:szCs w:val="20"/>
          <w:lang w:val="lt-LT"/>
        </w:rPr>
        <w:t xml:space="preserve">. (ESCO įmonės </w:t>
      </w:r>
      <w:r w:rsidRPr="00A20F4A">
        <w:rPr>
          <w:rFonts w:ascii="Georgia" w:hAnsi="Georgia"/>
          <w:sz w:val="20"/>
          <w:szCs w:val="20"/>
          <w:lang w:val="lt-LT"/>
        </w:rPr>
        <w:t>parink</w:t>
      </w:r>
      <w:r>
        <w:rPr>
          <w:rFonts w:ascii="Georgia" w:hAnsi="Georgia"/>
          <w:sz w:val="20"/>
          <w:szCs w:val="20"/>
          <w:lang w:val="lt-LT"/>
        </w:rPr>
        <w:t>imas</w:t>
      </w:r>
      <w:r w:rsidRPr="001D30F7">
        <w:rPr>
          <w:rFonts w:ascii="Georgia" w:hAnsi="Georgia"/>
          <w:sz w:val="20"/>
          <w:szCs w:val="20"/>
          <w:lang w:val="lt-LT"/>
        </w:rPr>
        <w:t xml:space="preserve"> </w:t>
      </w:r>
      <w:r w:rsidRPr="00A20F4A">
        <w:rPr>
          <w:rFonts w:ascii="Georgia" w:hAnsi="Georgia"/>
          <w:sz w:val="20"/>
          <w:szCs w:val="20"/>
          <w:lang w:val="lt-LT"/>
        </w:rPr>
        <w:t>atvira, skaidria, nediskriminacine ir objektyvia tvarka</w:t>
      </w:r>
      <w:r>
        <w:rPr>
          <w:rFonts w:ascii="Georgia" w:hAnsi="Georgia"/>
          <w:sz w:val="20"/>
          <w:szCs w:val="20"/>
          <w:lang w:val="lt-LT"/>
        </w:rPr>
        <w:t>), 143-145 p. (valdymo mokesčio suma, atitinkanti rinkos situaciją).</w:t>
      </w:r>
    </w:p>
    <w:p w14:paraId="6170550A" w14:textId="0BB2266A" w:rsidR="00A27CDB" w:rsidRPr="007E6008" w:rsidRDefault="00A27CDB" w:rsidP="00C6372C">
      <w:pPr>
        <w:jc w:val="both"/>
        <w:rPr>
          <w:rFonts w:ascii="Georgia" w:hAnsi="Georgia"/>
          <w:sz w:val="20"/>
          <w:szCs w:val="20"/>
          <w:lang w:val="lt-LT"/>
        </w:rPr>
      </w:pPr>
      <w:r w:rsidRPr="000C3A6B">
        <w:rPr>
          <w:rFonts w:ascii="Georgia" w:hAnsi="Georgia"/>
          <w:sz w:val="20"/>
          <w:szCs w:val="20"/>
          <w:lang w:val="lt-LT"/>
        </w:rPr>
        <w:t xml:space="preserve">Pabrėžtina, kad </w:t>
      </w:r>
      <w:r w:rsidR="00A35AA6" w:rsidRPr="000C3A6B">
        <w:rPr>
          <w:rFonts w:ascii="Georgia" w:hAnsi="Georgia"/>
          <w:sz w:val="20"/>
          <w:szCs w:val="20"/>
          <w:lang w:val="lt-LT"/>
        </w:rPr>
        <w:t xml:space="preserve">tuo atveju, jei </w:t>
      </w:r>
      <w:r w:rsidRPr="000C3A6B">
        <w:rPr>
          <w:rFonts w:ascii="Georgia" w:hAnsi="Georgia"/>
          <w:sz w:val="20"/>
          <w:szCs w:val="20"/>
          <w:lang w:val="lt-LT"/>
        </w:rPr>
        <w:t xml:space="preserve">įgyvendinant mechanizmą </w:t>
      </w:r>
      <w:r w:rsidR="00A35AA6" w:rsidRPr="000C3A6B">
        <w:rPr>
          <w:rFonts w:ascii="Georgia" w:hAnsi="Georgia"/>
          <w:sz w:val="20"/>
          <w:szCs w:val="20"/>
          <w:lang w:val="lt-LT"/>
        </w:rPr>
        <w:t xml:space="preserve">būtų </w:t>
      </w:r>
      <w:r w:rsidRPr="000C3A6B">
        <w:rPr>
          <w:rFonts w:ascii="Georgia" w:hAnsi="Georgia"/>
          <w:sz w:val="20"/>
          <w:szCs w:val="20"/>
          <w:lang w:val="lt-LT"/>
        </w:rPr>
        <w:t>numat</w:t>
      </w:r>
      <w:r w:rsidR="00A35AA6" w:rsidRPr="000C3A6B">
        <w:rPr>
          <w:rFonts w:ascii="Georgia" w:hAnsi="Georgia"/>
          <w:sz w:val="20"/>
          <w:szCs w:val="20"/>
          <w:lang w:val="lt-LT"/>
        </w:rPr>
        <w:t xml:space="preserve">yta iš grįžusių ir/ar nacionalinio biudžeto lėšų skirti </w:t>
      </w:r>
      <w:r w:rsidRPr="000C3A6B">
        <w:rPr>
          <w:rFonts w:ascii="Georgia" w:hAnsi="Georgia"/>
          <w:sz w:val="20"/>
          <w:szCs w:val="20"/>
          <w:lang w:val="lt-LT"/>
        </w:rPr>
        <w:t>subsidij</w:t>
      </w:r>
      <w:r w:rsidR="00A35AA6" w:rsidRPr="000C3A6B">
        <w:rPr>
          <w:rFonts w:ascii="Georgia" w:hAnsi="Georgia"/>
          <w:sz w:val="20"/>
          <w:szCs w:val="20"/>
          <w:lang w:val="lt-LT"/>
        </w:rPr>
        <w:t xml:space="preserve">ą, subsidijos dydis </w:t>
      </w:r>
      <w:r w:rsidRPr="000C3A6B">
        <w:rPr>
          <w:rFonts w:ascii="Georgia" w:hAnsi="Georgia"/>
          <w:sz w:val="20"/>
          <w:szCs w:val="20"/>
          <w:lang w:val="lt-LT"/>
        </w:rPr>
        <w:t>negal</w:t>
      </w:r>
      <w:r w:rsidR="00A35AA6" w:rsidRPr="000C3A6B">
        <w:rPr>
          <w:rFonts w:ascii="Georgia" w:hAnsi="Georgia"/>
          <w:sz w:val="20"/>
          <w:szCs w:val="20"/>
          <w:lang w:val="lt-LT"/>
        </w:rPr>
        <w:t>ėtų</w:t>
      </w:r>
      <w:r w:rsidRPr="000C3A6B">
        <w:rPr>
          <w:rFonts w:ascii="Georgia" w:hAnsi="Georgia"/>
          <w:sz w:val="20"/>
          <w:szCs w:val="20"/>
          <w:lang w:val="lt-LT"/>
        </w:rPr>
        <w:t xml:space="preserve"> viršyti projekto gyvybingumui (kartu su rinkos situaciją atitinkančio valdymo mokesčio suma) užtikrinti reikaling</w:t>
      </w:r>
      <w:r w:rsidR="00A35AA6" w:rsidRPr="000C3A6B">
        <w:rPr>
          <w:rFonts w:ascii="Georgia" w:hAnsi="Georgia"/>
          <w:sz w:val="20"/>
          <w:szCs w:val="20"/>
          <w:lang w:val="lt-LT"/>
        </w:rPr>
        <w:t>os lėšų sumos</w:t>
      </w:r>
      <w:r w:rsidRPr="000C3A6B">
        <w:rPr>
          <w:rFonts w:ascii="Georgia" w:hAnsi="Georgia"/>
          <w:sz w:val="20"/>
          <w:szCs w:val="20"/>
          <w:lang w:val="lt-LT"/>
        </w:rPr>
        <w:t>, kuri konkretaus projekto atveju gali būti mažesnė, nei 20 %. Tokiu atveju iš grįžusių lėšų teikiama subsidija turėtų būti mažinama, o nesumažinus šios subsidijos, atsirastų per didelės kompensacijos (kartu ir valstybės pagalbos) rizika.</w:t>
      </w:r>
      <w:r>
        <w:rPr>
          <w:rFonts w:ascii="Georgia" w:hAnsi="Georgia"/>
          <w:sz w:val="20"/>
          <w:szCs w:val="20"/>
          <w:lang w:val="lt-LT"/>
        </w:rPr>
        <w:t xml:space="preserve"> </w:t>
      </w:r>
    </w:p>
    <w:p w14:paraId="2D7B5E4A" w14:textId="77777777" w:rsidR="00A27CDB" w:rsidRPr="00BF4020" w:rsidRDefault="00A27CDB" w:rsidP="00C6372C">
      <w:pPr>
        <w:jc w:val="both"/>
        <w:rPr>
          <w:rFonts w:ascii="Georgia" w:hAnsi="Georgia"/>
          <w:sz w:val="20"/>
          <w:szCs w:val="20"/>
          <w:lang w:val="lt-LT"/>
        </w:rPr>
      </w:pPr>
      <w:r w:rsidRPr="00BF4020">
        <w:rPr>
          <w:rFonts w:ascii="Georgia" w:hAnsi="Georgia"/>
          <w:sz w:val="20"/>
          <w:szCs w:val="20"/>
          <w:lang w:val="lt-LT"/>
        </w:rPr>
        <w:t xml:space="preserve">Įvykdžius aukščiau nurodytas sąlygas, laikytina, kad </w:t>
      </w:r>
      <w:r>
        <w:rPr>
          <w:rFonts w:ascii="Georgia" w:hAnsi="Georgia"/>
          <w:sz w:val="20"/>
          <w:szCs w:val="20"/>
          <w:lang w:val="lt-LT"/>
        </w:rPr>
        <w:t>ESCO įmonė</w:t>
      </w:r>
      <w:r w:rsidRPr="00BF4020">
        <w:rPr>
          <w:rFonts w:ascii="Georgia" w:hAnsi="Georgia"/>
          <w:sz w:val="20"/>
          <w:szCs w:val="20"/>
          <w:lang w:val="lt-LT"/>
        </w:rPr>
        <w:t xml:space="preserve"> nėra valstybės pagalbos gavėjas, kadangi </w:t>
      </w:r>
      <w:r>
        <w:rPr>
          <w:rFonts w:ascii="Georgia" w:hAnsi="Georgia"/>
          <w:sz w:val="20"/>
          <w:szCs w:val="20"/>
          <w:lang w:val="lt-LT"/>
        </w:rPr>
        <w:t>jai</w:t>
      </w:r>
      <w:r w:rsidRPr="00BF4020">
        <w:rPr>
          <w:rFonts w:ascii="Georgia" w:hAnsi="Georgia"/>
          <w:sz w:val="20"/>
          <w:szCs w:val="20"/>
          <w:lang w:val="lt-LT"/>
        </w:rPr>
        <w:t xml:space="preserve"> nebūtų suteikiamas ekonominis pranašumas.</w:t>
      </w:r>
    </w:p>
    <w:p w14:paraId="70DD07CF" w14:textId="77777777" w:rsidR="00A27CDB" w:rsidRPr="00C6372C" w:rsidRDefault="00A27CDB" w:rsidP="00C6372C">
      <w:pPr>
        <w:pStyle w:val="Sraopastraipa"/>
        <w:ind w:left="0"/>
        <w:jc w:val="both"/>
        <w:rPr>
          <w:rFonts w:ascii="Georgia" w:hAnsi="Georgia"/>
          <w:b/>
          <w:sz w:val="20"/>
          <w:szCs w:val="20"/>
          <w:lang w:val="lt-LT"/>
        </w:rPr>
      </w:pPr>
      <w:r w:rsidRPr="00C6372C">
        <w:rPr>
          <w:rFonts w:ascii="Georgia" w:hAnsi="Georgia"/>
          <w:b/>
          <w:sz w:val="20"/>
          <w:szCs w:val="20"/>
          <w:lang w:val="lt-LT"/>
        </w:rPr>
        <w:t>Finansiniai tarpininkai</w:t>
      </w:r>
    </w:p>
    <w:p w14:paraId="6A81829D" w14:textId="77777777" w:rsidR="00A27CDB" w:rsidRPr="000F2A27" w:rsidRDefault="00A27CDB" w:rsidP="00C6372C">
      <w:pPr>
        <w:jc w:val="both"/>
        <w:rPr>
          <w:rFonts w:ascii="Georgia" w:hAnsi="Georgia"/>
          <w:sz w:val="20"/>
          <w:szCs w:val="20"/>
          <w:lang w:val="lt-LT"/>
        </w:rPr>
      </w:pPr>
      <w:r w:rsidRPr="000F2A27">
        <w:rPr>
          <w:rFonts w:ascii="Georgia" w:hAnsi="Georgia"/>
          <w:sz w:val="20"/>
          <w:szCs w:val="20"/>
          <w:lang w:val="lt-LT"/>
        </w:rPr>
        <w:t xml:space="preserve">Bendruoju atveju finansinis tarpininkas yra laikytinas pagalbos pervedimo galutiniams naudos gavėjams priemone, todėl pats nėra laikomas valstybės pagalbos gavėju, tačiau turi būti užtikrinta, kad tarpininkui taikomos sąlygos atitiktų rinkos investuotojo kriterijų, tai yra kad finansiniam tarpininkui nebūtų suteikiamas ekonominis pranašumas, kurio jis negautų rinkos sąlygomis. </w:t>
      </w:r>
    </w:p>
    <w:p w14:paraId="2BFF2A6D" w14:textId="77777777" w:rsidR="00925633" w:rsidRDefault="00A27CDB" w:rsidP="00C6372C">
      <w:pPr>
        <w:jc w:val="both"/>
        <w:rPr>
          <w:rFonts w:ascii="Georgia" w:hAnsi="Georgia"/>
          <w:sz w:val="20"/>
          <w:szCs w:val="20"/>
          <w:lang w:val="lt-LT"/>
        </w:rPr>
      </w:pPr>
      <w:r w:rsidRPr="009A6D4D">
        <w:rPr>
          <w:rFonts w:ascii="Georgia" w:hAnsi="Georgia"/>
          <w:sz w:val="20"/>
          <w:szCs w:val="20"/>
          <w:lang w:val="lt-LT"/>
        </w:rPr>
        <w:t xml:space="preserve">Finansų tarpininkams, kurie investuoja kartu su viešosiomis lėšomis savo lėšas (ko-investuoja), yra suteikiama galimybė tokiu būdu padidinti savo turtą bei pasiekti didesnę apyvartą, tačiau tai nelaikoma valstybės pagalbos suteikimu pagal Rizikos kapitalo gairių 43 p., jeigu antrinis pagalbos </w:t>
      </w:r>
      <w:r w:rsidRPr="009A6D4D">
        <w:rPr>
          <w:rFonts w:ascii="Georgia" w:hAnsi="Georgia"/>
          <w:sz w:val="20"/>
          <w:szCs w:val="20"/>
          <w:lang w:val="lt-LT"/>
        </w:rPr>
        <w:lastRenderedPageBreak/>
        <w:t>poveikis nėra nukreiptas į iš anksto nustatytus atskirus finansų tarpininkus. Kitaip tariant, priemonės mechanizmas negali būti susijęs su atskirais iš anksto nustatytais finansų tarpininkais.</w:t>
      </w:r>
      <w:r w:rsidR="005D4143">
        <w:rPr>
          <w:rFonts w:ascii="Georgia" w:hAnsi="Georgia"/>
          <w:sz w:val="20"/>
          <w:szCs w:val="20"/>
          <w:lang w:val="lt-LT"/>
        </w:rPr>
        <w:t xml:space="preserve"> </w:t>
      </w:r>
    </w:p>
    <w:p w14:paraId="057CA8F7" w14:textId="795476A0" w:rsidR="00A27CDB" w:rsidRPr="000F2A27" w:rsidRDefault="005D4143" w:rsidP="00C6372C">
      <w:pPr>
        <w:jc w:val="both"/>
        <w:rPr>
          <w:rFonts w:ascii="Georgia" w:hAnsi="Georgia"/>
          <w:sz w:val="20"/>
          <w:szCs w:val="20"/>
          <w:lang w:val="lt-LT"/>
        </w:rPr>
      </w:pPr>
      <w:r>
        <w:rPr>
          <w:rFonts w:ascii="Georgia" w:hAnsi="Georgia"/>
          <w:sz w:val="20"/>
          <w:szCs w:val="20"/>
          <w:lang w:val="lt-LT"/>
        </w:rPr>
        <w:t xml:space="preserve">Tačiau tuo atveju, jei finansiniams tarpininkams, kurie investuoja </w:t>
      </w:r>
      <w:r w:rsidR="00965B86">
        <w:rPr>
          <w:rFonts w:ascii="Georgia" w:hAnsi="Georgia"/>
          <w:sz w:val="20"/>
          <w:szCs w:val="20"/>
          <w:lang w:val="lt-LT"/>
        </w:rPr>
        <w:t>nuosavas lėšas</w:t>
      </w:r>
      <w:r w:rsidR="00D65DA9">
        <w:rPr>
          <w:rFonts w:ascii="Georgia" w:hAnsi="Georgia"/>
          <w:sz w:val="20"/>
          <w:szCs w:val="20"/>
          <w:lang w:val="lt-LT"/>
        </w:rPr>
        <w:t xml:space="preserve">, būtų nustatytas netolygus nuostolių paskirstymas viešųjų lėšų atžvilgiu, finansiniai tarpininkai įgytų ekonominį pranašumą, todėl tai turi būti įvertinama </w:t>
      </w:r>
      <w:r w:rsidR="0038564F">
        <w:rPr>
          <w:rFonts w:ascii="Georgia" w:hAnsi="Georgia"/>
          <w:sz w:val="20"/>
          <w:szCs w:val="20"/>
          <w:lang w:val="lt-LT"/>
        </w:rPr>
        <w:t xml:space="preserve">pagal </w:t>
      </w:r>
      <w:r w:rsidR="00D65DA9">
        <w:rPr>
          <w:rFonts w:ascii="Georgia" w:hAnsi="Georgia"/>
          <w:sz w:val="20"/>
          <w:szCs w:val="20"/>
          <w:lang w:val="lt-LT"/>
        </w:rPr>
        <w:t xml:space="preserve">valstybės pagalbos </w:t>
      </w:r>
      <w:r w:rsidR="0038564F">
        <w:rPr>
          <w:rFonts w:ascii="Georgia" w:hAnsi="Georgia"/>
          <w:sz w:val="20"/>
          <w:szCs w:val="20"/>
          <w:lang w:val="lt-LT"/>
        </w:rPr>
        <w:t>teikimo taisykles</w:t>
      </w:r>
      <w:r w:rsidR="00D65DA9">
        <w:rPr>
          <w:rFonts w:ascii="Georgia" w:hAnsi="Georgia"/>
          <w:sz w:val="20"/>
          <w:szCs w:val="20"/>
          <w:lang w:val="lt-LT"/>
        </w:rPr>
        <w:t>. Bendrosios išimties reglamento 39 str. leidžia įgyvendinant energijos vartojimo efektyvumo projektus nustatyti netolygų nuostolių paskirstymą tarp viešojo ir privataus investuotojo, todėl mechanizmas turi atitikti visas Bendrojo išimties reglamento 39 str. nuostatas, o viešojo investuotojo pirmasis nuostolis turi būti apribotas 25 proc. visos investicijos sumos.</w:t>
      </w:r>
    </w:p>
    <w:p w14:paraId="0BD74A32" w14:textId="77777777" w:rsidR="00A27CDB" w:rsidRDefault="00A27CDB" w:rsidP="00C6372C">
      <w:pPr>
        <w:jc w:val="both"/>
        <w:rPr>
          <w:rFonts w:ascii="Georgia" w:hAnsi="Georgia"/>
          <w:sz w:val="20"/>
          <w:szCs w:val="20"/>
          <w:lang w:val="lt-LT"/>
        </w:rPr>
      </w:pPr>
      <w:r w:rsidRPr="000F2A27">
        <w:rPr>
          <w:rFonts w:ascii="Georgia" w:hAnsi="Georgia"/>
          <w:sz w:val="20"/>
          <w:szCs w:val="20"/>
          <w:lang w:val="lt-LT"/>
        </w:rPr>
        <w:t>Pabrėžtina, kad teikiant lengvatines paskolas per finansų tarpininką, būtina laikytis Europos Komisijos komunikato dėl orientacinių ir diskonto normų nustatymo metodo pakeitimo reikalavimų, tai yra laikytis bazinės normos bei maržos kitimo ribų, priklausomai nuo įmonės naudos gavėjos reitingo ir įkeičiamo turto</w:t>
      </w:r>
      <w:r w:rsidRPr="000F2A27">
        <w:rPr>
          <w:rStyle w:val="Puslapioinaosnuoroda"/>
          <w:rFonts w:ascii="Georgia" w:hAnsi="Georgia"/>
          <w:sz w:val="20"/>
          <w:szCs w:val="20"/>
          <w:lang w:val="lt-LT"/>
        </w:rPr>
        <w:footnoteReference w:id="144"/>
      </w:r>
      <w:r w:rsidRPr="000F2A27">
        <w:rPr>
          <w:rFonts w:ascii="Georgia" w:hAnsi="Georgia"/>
          <w:sz w:val="20"/>
          <w:szCs w:val="20"/>
          <w:lang w:val="lt-LT"/>
        </w:rPr>
        <w:t>.</w:t>
      </w:r>
    </w:p>
    <w:p w14:paraId="5D462818" w14:textId="77777777" w:rsidR="00A27CDB" w:rsidRPr="00A93ECC" w:rsidRDefault="00A27CDB" w:rsidP="003144BA">
      <w:pPr>
        <w:pStyle w:val="Sraopastraipa"/>
        <w:keepNext/>
        <w:ind w:left="0"/>
        <w:jc w:val="both"/>
        <w:rPr>
          <w:rFonts w:ascii="Georgia" w:hAnsi="Georgia"/>
          <w:b/>
          <w:sz w:val="20"/>
          <w:szCs w:val="20"/>
          <w:lang w:val="lt-LT"/>
        </w:rPr>
      </w:pPr>
      <w:r>
        <w:rPr>
          <w:rFonts w:ascii="Georgia" w:hAnsi="Georgia"/>
          <w:b/>
          <w:sz w:val="20"/>
          <w:szCs w:val="20"/>
          <w:lang w:val="lt-LT"/>
        </w:rPr>
        <w:t>Savivaldybės pastato</w:t>
      </w:r>
      <w:r w:rsidRPr="00A93ECC">
        <w:rPr>
          <w:rFonts w:ascii="Georgia" w:hAnsi="Georgia"/>
          <w:b/>
          <w:sz w:val="20"/>
          <w:szCs w:val="20"/>
          <w:lang w:val="lt-LT"/>
        </w:rPr>
        <w:t xml:space="preserve"> savininkai/valdytojai</w:t>
      </w:r>
    </w:p>
    <w:p w14:paraId="677D08F1" w14:textId="77777777" w:rsidR="00A27CDB" w:rsidRPr="000F32E2" w:rsidRDefault="00A27CDB" w:rsidP="003144BA">
      <w:pPr>
        <w:keepNext/>
        <w:jc w:val="both"/>
        <w:rPr>
          <w:rFonts w:ascii="Georgia" w:hAnsi="Georgia"/>
          <w:sz w:val="20"/>
          <w:szCs w:val="20"/>
          <w:lang w:val="lt-LT"/>
        </w:rPr>
      </w:pPr>
      <w:r>
        <w:rPr>
          <w:rFonts w:ascii="Georgia" w:hAnsi="Georgia"/>
          <w:sz w:val="20"/>
          <w:szCs w:val="20"/>
          <w:lang w:val="lt-LT"/>
        </w:rPr>
        <w:t>Savivaldybės</w:t>
      </w:r>
      <w:r w:rsidRPr="000F32E2">
        <w:rPr>
          <w:rFonts w:ascii="Georgia" w:hAnsi="Georgia"/>
          <w:sz w:val="20"/>
          <w:szCs w:val="20"/>
          <w:lang w:val="lt-LT"/>
        </w:rPr>
        <w:t xml:space="preserve"> pastat</w:t>
      </w:r>
      <w:r>
        <w:rPr>
          <w:rFonts w:ascii="Georgia" w:hAnsi="Georgia"/>
          <w:sz w:val="20"/>
          <w:szCs w:val="20"/>
          <w:lang w:val="lt-LT"/>
        </w:rPr>
        <w:t>o</w:t>
      </w:r>
      <w:r w:rsidRPr="000F32E2">
        <w:rPr>
          <w:rFonts w:ascii="Georgia" w:hAnsi="Georgia"/>
          <w:sz w:val="20"/>
          <w:szCs w:val="20"/>
          <w:lang w:val="lt-LT"/>
        </w:rPr>
        <w:t xml:space="preserve"> savininkai/valdytojai yra laikytini juridiniais asmenimis, kurie nevykdo ekonominės veiklos, tai yra nėra ūkio subjektai valstybės pagalbos taisyklių taikymo požiūriu.</w:t>
      </w:r>
    </w:p>
    <w:p w14:paraId="42CCF8CA" w14:textId="77777777" w:rsidR="00A27CDB" w:rsidRPr="000F32E2" w:rsidRDefault="00A27CDB" w:rsidP="00C6372C">
      <w:pPr>
        <w:jc w:val="both"/>
        <w:rPr>
          <w:rFonts w:ascii="Georgia" w:hAnsi="Georgia"/>
          <w:sz w:val="20"/>
          <w:szCs w:val="20"/>
          <w:lang w:val="lt-LT"/>
        </w:rPr>
      </w:pPr>
      <w:r w:rsidRPr="000F32E2">
        <w:rPr>
          <w:rFonts w:ascii="Georgia" w:hAnsi="Georgia"/>
          <w:sz w:val="20"/>
          <w:szCs w:val="20"/>
          <w:lang w:val="lt-LT"/>
        </w:rPr>
        <w:t>Įgyvendinant priemon</w:t>
      </w:r>
      <w:r>
        <w:rPr>
          <w:rFonts w:ascii="Georgia" w:hAnsi="Georgia"/>
          <w:sz w:val="20"/>
          <w:szCs w:val="20"/>
          <w:lang w:val="lt-LT"/>
        </w:rPr>
        <w:t>ę</w:t>
      </w:r>
      <w:r w:rsidRPr="000F32E2">
        <w:rPr>
          <w:rFonts w:ascii="Georgia" w:hAnsi="Georgia"/>
          <w:sz w:val="20"/>
          <w:szCs w:val="20"/>
          <w:lang w:val="lt-LT"/>
        </w:rPr>
        <w:t>, siūloma užtikrinti, kad prieš pradedant įgyvendinti projektą būtų įsitikinta, kad juridinis a</w:t>
      </w:r>
      <w:r>
        <w:rPr>
          <w:rFonts w:ascii="Georgia" w:hAnsi="Georgia"/>
          <w:sz w:val="20"/>
          <w:szCs w:val="20"/>
          <w:lang w:val="lt-LT"/>
        </w:rPr>
        <w:t>smuo nevykdo ekonominės veiklos, kadangi priešingu atveju gali atsirasti valstybės pagalbos rizika.</w:t>
      </w:r>
    </w:p>
    <w:p w14:paraId="4C714528" w14:textId="77777777" w:rsidR="00A27CDB" w:rsidRPr="00833D80" w:rsidRDefault="00A27CDB" w:rsidP="00C6372C">
      <w:pPr>
        <w:pStyle w:val="Sraopastraipa"/>
        <w:ind w:left="0"/>
        <w:jc w:val="both"/>
        <w:rPr>
          <w:rFonts w:ascii="Georgia" w:hAnsi="Georgia"/>
          <w:b/>
          <w:sz w:val="20"/>
          <w:szCs w:val="20"/>
          <w:lang w:val="lt-LT"/>
        </w:rPr>
      </w:pPr>
      <w:r>
        <w:rPr>
          <w:rFonts w:ascii="Georgia" w:hAnsi="Georgia"/>
          <w:b/>
          <w:sz w:val="20"/>
          <w:szCs w:val="20"/>
          <w:lang w:val="lt-LT"/>
        </w:rPr>
        <w:t>Savivaldybės</w:t>
      </w:r>
      <w:r w:rsidRPr="00833D80">
        <w:rPr>
          <w:rFonts w:ascii="Georgia" w:hAnsi="Georgia"/>
          <w:b/>
          <w:sz w:val="20"/>
          <w:szCs w:val="20"/>
          <w:lang w:val="lt-LT"/>
        </w:rPr>
        <w:t xml:space="preserve"> pastatuose įsikūrę ir paslaugas teikiantys ūkio subjektai</w:t>
      </w:r>
    </w:p>
    <w:p w14:paraId="3076FF53" w14:textId="77777777" w:rsidR="00A27CDB" w:rsidRPr="00833D80" w:rsidRDefault="00A27CDB" w:rsidP="00C6372C">
      <w:pPr>
        <w:jc w:val="both"/>
        <w:rPr>
          <w:rFonts w:ascii="Georgia" w:hAnsi="Georgia"/>
          <w:sz w:val="20"/>
          <w:szCs w:val="20"/>
          <w:lang w:val="lt-LT"/>
        </w:rPr>
      </w:pPr>
      <w:r>
        <w:rPr>
          <w:rFonts w:ascii="Georgia" w:hAnsi="Georgia"/>
          <w:sz w:val="20"/>
          <w:szCs w:val="20"/>
          <w:lang w:val="lt-LT"/>
        </w:rPr>
        <w:t>Savivaldybės</w:t>
      </w:r>
      <w:r w:rsidRPr="00833D80">
        <w:rPr>
          <w:rFonts w:ascii="Georgia" w:hAnsi="Georgia"/>
          <w:sz w:val="20"/>
          <w:szCs w:val="20"/>
          <w:lang w:val="lt-LT"/>
        </w:rPr>
        <w:t xml:space="preserve"> pastatuose įsikūrę ir paslaugas teikiantys ūkio subjektai laikytini ekonominę veiklą vykdančiais ūkio subjektais valstybės pagalbos taisyklių požiūriu, tai yra </w:t>
      </w:r>
      <w:r>
        <w:rPr>
          <w:rFonts w:ascii="Georgia" w:hAnsi="Georgia"/>
          <w:sz w:val="20"/>
          <w:szCs w:val="20"/>
          <w:lang w:val="lt-LT"/>
        </w:rPr>
        <w:t>savivaldybės pastato</w:t>
      </w:r>
      <w:r w:rsidRPr="00833D80">
        <w:rPr>
          <w:rFonts w:ascii="Georgia" w:hAnsi="Georgia"/>
          <w:sz w:val="20"/>
          <w:szCs w:val="20"/>
          <w:lang w:val="lt-LT"/>
        </w:rPr>
        <w:t xml:space="preserve"> renovacijos projekto dėka sumažėtų šių asmenų įprastinės veiklos sąnaudos, kas yra laikytina ekonominiu pranašumu, todėl šių asmenų atžvilgiu turi būti atliktas priemonė</w:t>
      </w:r>
      <w:r>
        <w:rPr>
          <w:rFonts w:ascii="Georgia" w:hAnsi="Georgia"/>
          <w:sz w:val="20"/>
          <w:szCs w:val="20"/>
          <w:lang w:val="lt-LT"/>
        </w:rPr>
        <w:t>s</w:t>
      </w:r>
      <w:r w:rsidRPr="00833D80">
        <w:rPr>
          <w:rFonts w:ascii="Georgia" w:hAnsi="Georgia"/>
          <w:sz w:val="20"/>
          <w:szCs w:val="20"/>
          <w:lang w:val="lt-LT"/>
        </w:rPr>
        <w:t xml:space="preserve"> įgyvendinimo suderinamumo vertinimas.</w:t>
      </w:r>
      <w:r>
        <w:rPr>
          <w:rFonts w:ascii="Georgia" w:hAnsi="Georgia"/>
          <w:sz w:val="20"/>
          <w:szCs w:val="20"/>
          <w:lang w:val="lt-LT"/>
        </w:rPr>
        <w:t xml:space="preserve"> Išimtimi yra laikytini tie atvejai, kai šiems ūkio subjektams numatyta nuomos kaina nepriklauso nuo patiriamų sąnaudų, kadangi tokiu atveju nebūtų suteikiamas ekonominis pranašumas, tačiau valstybės pagalbos atsiradimo rizika priklauso nuo faktinio priemonės įgyvendinimo poveikio ūkio subjektų veiklai. Labiausiai tikėtina, kad nuomos kaina net ir nagrinėjamu atveju bus peržiūrėta, įgyvendinus projektą, todėl vertinamas bendrasis atvejis, atliekant suderinamumo vertinimą.</w:t>
      </w:r>
    </w:p>
    <w:p w14:paraId="602DED4A" w14:textId="77777777" w:rsidR="00A27CDB" w:rsidRPr="00A1645B" w:rsidRDefault="00A27CDB" w:rsidP="00C6372C">
      <w:pPr>
        <w:pStyle w:val="Sraopastraipa"/>
        <w:ind w:left="0"/>
        <w:jc w:val="both"/>
        <w:rPr>
          <w:rFonts w:ascii="Georgia" w:hAnsi="Georgia"/>
          <w:b/>
          <w:sz w:val="20"/>
          <w:szCs w:val="20"/>
          <w:lang w:val="lt-LT"/>
        </w:rPr>
      </w:pPr>
      <w:r>
        <w:rPr>
          <w:rFonts w:ascii="Georgia" w:hAnsi="Georgia"/>
          <w:b/>
          <w:sz w:val="20"/>
          <w:szCs w:val="20"/>
          <w:lang w:val="lt-LT"/>
        </w:rPr>
        <w:t>R</w:t>
      </w:r>
      <w:r w:rsidRPr="00A1645B">
        <w:rPr>
          <w:rFonts w:ascii="Georgia" w:hAnsi="Georgia"/>
          <w:b/>
          <w:sz w:val="20"/>
          <w:szCs w:val="20"/>
          <w:lang w:val="lt-LT"/>
        </w:rPr>
        <w:t>angos darbus vykdantys ūkio subjektai</w:t>
      </w:r>
    </w:p>
    <w:p w14:paraId="5CF51D6D" w14:textId="77777777" w:rsidR="00A27CDB" w:rsidRDefault="00A27CDB" w:rsidP="00C6372C">
      <w:pPr>
        <w:jc w:val="both"/>
        <w:rPr>
          <w:rFonts w:ascii="Georgia" w:hAnsi="Georgia"/>
          <w:sz w:val="20"/>
          <w:szCs w:val="20"/>
          <w:lang w:val="lt-LT"/>
        </w:rPr>
      </w:pPr>
      <w:r>
        <w:rPr>
          <w:rFonts w:ascii="Georgia" w:hAnsi="Georgia"/>
          <w:sz w:val="20"/>
          <w:szCs w:val="20"/>
          <w:lang w:val="lt-LT"/>
        </w:rPr>
        <w:t xml:space="preserve">Pagal numatomą mechanizmą, rangos darbus vykdantys ūkio subjektai bus parenkami Lietuvos Respublikos viešųjų pirkimų įstatymo nustatyta tvarka, tai yra </w:t>
      </w:r>
      <w:r w:rsidRPr="00AB6767">
        <w:rPr>
          <w:rFonts w:ascii="Georgia" w:hAnsi="Georgia"/>
          <w:sz w:val="20"/>
          <w:szCs w:val="20"/>
          <w:lang w:val="lt-LT"/>
        </w:rPr>
        <w:t>atvira, skaidria, nediskriminacine ir objektyvia tvarka</w:t>
      </w:r>
      <w:r>
        <w:rPr>
          <w:rFonts w:ascii="Georgia" w:hAnsi="Georgia"/>
          <w:sz w:val="20"/>
          <w:szCs w:val="20"/>
          <w:lang w:val="lt-LT"/>
        </w:rPr>
        <w:t>, todėl pagal analogiją taikant Rizikos kapitalo gairių 40 p., valstybės pagalba šiems subjektams nebūtų teikiama, kadangi būtų laikomasi rinkos investuotojo kriterijaus (nesuteikiamas ekonominis pranašumas).</w:t>
      </w:r>
    </w:p>
    <w:p w14:paraId="4276CDDE" w14:textId="77777777" w:rsidR="00A27CDB" w:rsidRDefault="00A27CDB" w:rsidP="008D5EBC">
      <w:pPr>
        <w:pStyle w:val="Antrat2"/>
        <w:numPr>
          <w:ilvl w:val="3"/>
          <w:numId w:val="2"/>
        </w:numPr>
        <w:rPr>
          <w:lang w:val="lt-LT"/>
        </w:rPr>
      </w:pPr>
      <w:bookmarkStart w:id="317" w:name="_Toc417378425"/>
      <w:r>
        <w:rPr>
          <w:lang w:val="lt-LT"/>
        </w:rPr>
        <w:t>Priemonės įgyvendinimo suderinamumo vertinimas</w:t>
      </w:r>
      <w:bookmarkEnd w:id="317"/>
    </w:p>
    <w:p w14:paraId="62C48D5F" w14:textId="77777777" w:rsidR="008D5EBC" w:rsidRDefault="008D5EBC" w:rsidP="008D5EBC">
      <w:pPr>
        <w:keepNext/>
        <w:jc w:val="both"/>
        <w:rPr>
          <w:rFonts w:ascii="Georgia" w:hAnsi="Georgia"/>
          <w:sz w:val="20"/>
          <w:szCs w:val="20"/>
          <w:lang w:val="lt-LT"/>
        </w:rPr>
      </w:pPr>
    </w:p>
    <w:p w14:paraId="2970598B" w14:textId="73397927" w:rsidR="00A27CDB" w:rsidRDefault="00A27CDB" w:rsidP="008D5EBC">
      <w:pPr>
        <w:keepNext/>
        <w:jc w:val="both"/>
        <w:rPr>
          <w:rFonts w:ascii="Georgia" w:hAnsi="Georgia"/>
          <w:sz w:val="20"/>
          <w:szCs w:val="20"/>
          <w:lang w:val="lt-LT"/>
        </w:rPr>
      </w:pPr>
      <w:r w:rsidRPr="009A6D4D">
        <w:rPr>
          <w:rFonts w:ascii="Georgia" w:hAnsi="Georgia"/>
          <w:sz w:val="20"/>
          <w:szCs w:val="20"/>
          <w:lang w:val="lt-LT"/>
        </w:rPr>
        <w:t>Atlikus mechanizmo klasifikavimą, pripažintina, kad valstybės pagalbos (įskaitant de minimis pagalbą, kaip nurodyta 5.1.4. skyriuje) požymius atitinka mechanizmo sąlygos, sudaromos savivaldybės pastatuose įsikūrusiems ir paslaugas teikiantiems ūkio subjektams</w:t>
      </w:r>
      <w:r w:rsidR="009A6D4D" w:rsidRPr="009A6D4D">
        <w:rPr>
          <w:rFonts w:ascii="Georgia" w:hAnsi="Georgia"/>
          <w:sz w:val="20"/>
          <w:szCs w:val="20"/>
          <w:lang w:val="lt-LT"/>
        </w:rPr>
        <w:t xml:space="preserve"> arba tuo atveju, jei </w:t>
      </w:r>
      <w:r w:rsidR="009A6D4D" w:rsidRPr="009A6D4D">
        <w:rPr>
          <w:rFonts w:ascii="Georgia" w:hAnsi="Georgia"/>
          <w:sz w:val="20"/>
          <w:szCs w:val="20"/>
          <w:lang w:val="lt-LT"/>
        </w:rPr>
        <w:lastRenderedPageBreak/>
        <w:t>nustatomas netolygus nuostolių pasiskirstymas tarp viešojo ir privataus investuotojo, valstybės pagalbos požymi</w:t>
      </w:r>
      <w:r w:rsidR="00F80CEC">
        <w:rPr>
          <w:rFonts w:ascii="Georgia" w:hAnsi="Georgia"/>
          <w:sz w:val="20"/>
          <w:szCs w:val="20"/>
          <w:lang w:val="lt-LT"/>
        </w:rPr>
        <w:t>ų</w:t>
      </w:r>
      <w:r w:rsidR="00C83B40">
        <w:rPr>
          <w:rFonts w:ascii="Georgia" w:hAnsi="Georgia"/>
          <w:sz w:val="20"/>
          <w:szCs w:val="20"/>
          <w:lang w:val="lt-LT"/>
        </w:rPr>
        <w:t xml:space="preserve"> </w:t>
      </w:r>
      <w:r w:rsidR="009A6D4D" w:rsidRPr="009A6D4D">
        <w:rPr>
          <w:rFonts w:ascii="Georgia" w:hAnsi="Georgia"/>
          <w:sz w:val="20"/>
          <w:szCs w:val="20"/>
          <w:lang w:val="lt-LT"/>
        </w:rPr>
        <w:t>atsiranda ir finansų tarpininko lygmenyje, todėl įgyvendinant mechanizmą su netolygiu nuostolių paskirstymu būtina užtikrinti Bendrosios išimties reglamento 39 str. nuostatų įgyvendinimą</w:t>
      </w:r>
      <w:r w:rsidRPr="009A6D4D">
        <w:rPr>
          <w:rFonts w:ascii="Georgia" w:hAnsi="Georgia"/>
          <w:sz w:val="20"/>
          <w:szCs w:val="20"/>
          <w:lang w:val="lt-LT"/>
        </w:rPr>
        <w:t>.</w:t>
      </w:r>
    </w:p>
    <w:p w14:paraId="5627EFC7" w14:textId="77777777" w:rsidR="00A27CDB" w:rsidRDefault="00A27CDB" w:rsidP="00C6372C">
      <w:pPr>
        <w:jc w:val="both"/>
        <w:rPr>
          <w:rFonts w:ascii="Georgia" w:hAnsi="Georgia"/>
          <w:sz w:val="20"/>
          <w:szCs w:val="20"/>
          <w:lang w:val="lt-LT"/>
        </w:rPr>
      </w:pPr>
      <w:r>
        <w:rPr>
          <w:rFonts w:ascii="Georgia" w:hAnsi="Georgia"/>
          <w:sz w:val="20"/>
          <w:szCs w:val="20"/>
          <w:lang w:val="lt-LT"/>
        </w:rPr>
        <w:t>Pažymėtina, kad suderinamumo vertinimo rezultatas yra tiesiogiai susietas su mechanizmo įgyvendinimo metu planuojamomis panaudoti finansinėmis priemonėmis.</w:t>
      </w:r>
    </w:p>
    <w:p w14:paraId="55268DAB" w14:textId="77777777" w:rsidR="00A27CDB" w:rsidRDefault="00A27CDB" w:rsidP="001F37D5">
      <w:pPr>
        <w:pStyle w:val="Sraopastraipa"/>
        <w:keepNext/>
        <w:ind w:left="0" w:firstLine="284"/>
        <w:jc w:val="both"/>
        <w:rPr>
          <w:rFonts w:ascii="Georgia" w:hAnsi="Georgia"/>
          <w:sz w:val="20"/>
          <w:szCs w:val="20"/>
          <w:lang w:val="lt-LT"/>
        </w:rPr>
      </w:pPr>
    </w:p>
    <w:p w14:paraId="4315B3EF" w14:textId="77777777" w:rsidR="00A27CDB" w:rsidRPr="00BC4BD2" w:rsidRDefault="00A27CDB" w:rsidP="001F37D5">
      <w:pPr>
        <w:pStyle w:val="Sraopastraipa"/>
        <w:keepNext/>
        <w:ind w:left="0"/>
        <w:jc w:val="both"/>
        <w:rPr>
          <w:rFonts w:ascii="Georgia" w:hAnsi="Georgia"/>
          <w:b/>
          <w:sz w:val="20"/>
          <w:szCs w:val="20"/>
          <w:lang w:val="lt-LT"/>
        </w:rPr>
      </w:pPr>
      <w:r>
        <w:rPr>
          <w:rFonts w:ascii="Georgia" w:hAnsi="Georgia"/>
          <w:b/>
          <w:sz w:val="20"/>
          <w:szCs w:val="20"/>
          <w:lang w:val="lt-LT"/>
        </w:rPr>
        <w:t>Savivaldybės</w:t>
      </w:r>
      <w:r w:rsidRPr="00BC4BD2">
        <w:rPr>
          <w:rFonts w:ascii="Georgia" w:hAnsi="Georgia"/>
          <w:b/>
          <w:sz w:val="20"/>
          <w:szCs w:val="20"/>
          <w:lang w:val="lt-LT"/>
        </w:rPr>
        <w:t xml:space="preserve"> pastatuose įsikūrę ir paslaugas teikiantys ūkio subjektai</w:t>
      </w:r>
    </w:p>
    <w:p w14:paraId="32A4B75C" w14:textId="77777777" w:rsidR="00A27CDB" w:rsidRPr="00541A2C" w:rsidRDefault="00A27CDB" w:rsidP="001F37D5">
      <w:pPr>
        <w:keepNext/>
        <w:jc w:val="both"/>
        <w:rPr>
          <w:rFonts w:ascii="Georgia" w:hAnsi="Georgia"/>
          <w:sz w:val="20"/>
          <w:szCs w:val="20"/>
          <w:lang w:val="lt-LT"/>
        </w:rPr>
      </w:pPr>
      <w:r w:rsidRPr="00541A2C">
        <w:rPr>
          <w:rFonts w:ascii="Georgia" w:hAnsi="Georgia"/>
          <w:sz w:val="20"/>
          <w:szCs w:val="20"/>
          <w:lang w:val="lt-LT"/>
        </w:rPr>
        <w:t>Šiems ūkio subjektams teikiama pagalba atitinka de minimis pagalbos sąlygas, jeigu:</w:t>
      </w:r>
    </w:p>
    <w:p w14:paraId="741B0E99" w14:textId="77777777" w:rsidR="00A27CDB" w:rsidRPr="00541A2C" w:rsidRDefault="00A27CDB" w:rsidP="002A576D">
      <w:pPr>
        <w:pStyle w:val="Sraopastraipa"/>
        <w:keepNext/>
        <w:numPr>
          <w:ilvl w:val="0"/>
          <w:numId w:val="127"/>
        </w:numPr>
        <w:ind w:left="709"/>
        <w:jc w:val="both"/>
        <w:rPr>
          <w:rFonts w:ascii="Georgia" w:hAnsi="Georgia"/>
          <w:sz w:val="20"/>
          <w:szCs w:val="20"/>
          <w:lang w:val="lt-LT"/>
        </w:rPr>
      </w:pPr>
      <w:r w:rsidRPr="00541A2C">
        <w:rPr>
          <w:rFonts w:ascii="Georgia" w:hAnsi="Georgia"/>
          <w:sz w:val="20"/>
          <w:szCs w:val="20"/>
          <w:lang w:val="lt-LT"/>
        </w:rPr>
        <w:t>pagalbos suteikimo momentu (</w:t>
      </w:r>
      <w:r w:rsidRPr="00541A2C">
        <w:rPr>
          <w:rFonts w:ascii="Georgia" w:hAnsi="Georgia"/>
          <w:i/>
          <w:sz w:val="20"/>
          <w:szCs w:val="20"/>
          <w:lang w:val="lt-LT"/>
        </w:rPr>
        <w:t xml:space="preserve">de minimis </w:t>
      </w:r>
      <w:r w:rsidRPr="00541A2C">
        <w:rPr>
          <w:rFonts w:ascii="Georgia" w:hAnsi="Georgia"/>
          <w:sz w:val="20"/>
          <w:szCs w:val="20"/>
          <w:lang w:val="lt-LT"/>
        </w:rPr>
        <w:t>Reglamento 3 str . 4 d.) pastate nėra nei vieno ūkio subjekto, kuriam būtų taikoma nemokumo procedūra, ir</w:t>
      </w:r>
    </w:p>
    <w:p w14:paraId="4D0BFD0A" w14:textId="77777777" w:rsidR="00A27CDB" w:rsidRPr="00541A2C" w:rsidRDefault="00A27CDB" w:rsidP="002A576D">
      <w:pPr>
        <w:pStyle w:val="Sraopastraipa"/>
        <w:numPr>
          <w:ilvl w:val="0"/>
          <w:numId w:val="127"/>
        </w:numPr>
        <w:ind w:left="709"/>
        <w:jc w:val="both"/>
        <w:rPr>
          <w:rFonts w:ascii="Georgia" w:hAnsi="Georgia"/>
          <w:sz w:val="20"/>
          <w:szCs w:val="20"/>
          <w:lang w:val="lt-LT"/>
        </w:rPr>
      </w:pPr>
      <w:r w:rsidRPr="00541A2C">
        <w:rPr>
          <w:rFonts w:ascii="Georgia" w:hAnsi="Georgia"/>
          <w:sz w:val="20"/>
          <w:szCs w:val="20"/>
          <w:lang w:val="lt-LT"/>
        </w:rPr>
        <w:t>paskola yra užtikrinta ne mažiau kaip 50 % paskolos vertės užstatu, o paskolos suma neviršija 1 mln. EUR, kai trukmė yra iki penkerių metų (arba 0,5 mln. EUR, kai trukmė yra iki dešimties metų), ir</w:t>
      </w:r>
    </w:p>
    <w:p w14:paraId="5FF75367" w14:textId="77777777" w:rsidR="00A27CDB" w:rsidRPr="00541A2C" w:rsidRDefault="00A27CDB" w:rsidP="002A576D">
      <w:pPr>
        <w:pStyle w:val="Sraopastraipa"/>
        <w:numPr>
          <w:ilvl w:val="0"/>
          <w:numId w:val="127"/>
        </w:numPr>
        <w:ind w:left="709"/>
        <w:jc w:val="both"/>
        <w:rPr>
          <w:rFonts w:ascii="Georgia" w:hAnsi="Georgia"/>
          <w:sz w:val="20"/>
          <w:szCs w:val="20"/>
          <w:lang w:val="lt-LT"/>
        </w:rPr>
      </w:pPr>
      <w:r w:rsidRPr="00541A2C">
        <w:rPr>
          <w:rFonts w:ascii="Georgia" w:hAnsi="Georgia"/>
          <w:sz w:val="20"/>
          <w:szCs w:val="20"/>
          <w:lang w:val="lt-LT"/>
        </w:rPr>
        <w:t>bendrasis subsidijos ekvivalentas yra apskaičiuotas pagal bazinę palūkanų normą</w:t>
      </w:r>
      <w:r w:rsidRPr="00541A2C">
        <w:rPr>
          <w:rStyle w:val="Puslapioinaosnuoroda"/>
          <w:rFonts w:ascii="Georgia" w:hAnsi="Georgia"/>
          <w:sz w:val="20"/>
          <w:szCs w:val="20"/>
          <w:lang w:val="lt-LT"/>
        </w:rPr>
        <w:footnoteReference w:id="145"/>
      </w:r>
      <w:r w:rsidRPr="00541A2C">
        <w:rPr>
          <w:rFonts w:ascii="Georgia" w:hAnsi="Georgia"/>
          <w:sz w:val="20"/>
          <w:szCs w:val="20"/>
          <w:lang w:val="lt-LT"/>
        </w:rPr>
        <w:t>, pridedant reikalingą maržą pagal rizikos lygį, taikytiną pagalbos suteikimo momentu.</w:t>
      </w:r>
    </w:p>
    <w:p w14:paraId="2E479067" w14:textId="77777777" w:rsidR="00A27CDB" w:rsidRPr="00541A2C" w:rsidRDefault="00A27CDB" w:rsidP="00C6372C">
      <w:pPr>
        <w:jc w:val="both"/>
        <w:rPr>
          <w:rFonts w:ascii="Georgia" w:hAnsi="Georgia"/>
          <w:sz w:val="20"/>
          <w:szCs w:val="20"/>
          <w:lang w:val="lt-LT"/>
        </w:rPr>
      </w:pPr>
      <w:r w:rsidRPr="00541A2C">
        <w:rPr>
          <w:rFonts w:ascii="Georgia" w:hAnsi="Georgia"/>
          <w:sz w:val="20"/>
          <w:szCs w:val="20"/>
          <w:lang w:val="lt-LT"/>
        </w:rPr>
        <w:t>Pabrėžtina, kad de minimis pagalba yra skaičiuojama ne tik vienam juridiniam asmeniui, bet ir visiems su šiuo juridiniu asmeniu susijusiems asmenims, kaip jie yra suprantami pagal de minimis Reglamento 2 str. 2 d.</w:t>
      </w:r>
    </w:p>
    <w:p w14:paraId="0A7B8E2C" w14:textId="77777777" w:rsidR="00A27CDB" w:rsidRPr="00541A2C" w:rsidRDefault="00A27CDB" w:rsidP="00C6372C">
      <w:pPr>
        <w:jc w:val="both"/>
        <w:rPr>
          <w:rFonts w:ascii="Georgia" w:hAnsi="Georgia"/>
          <w:sz w:val="20"/>
          <w:szCs w:val="20"/>
          <w:lang w:val="lt-LT"/>
        </w:rPr>
      </w:pPr>
      <w:r w:rsidRPr="00541A2C">
        <w:rPr>
          <w:rFonts w:ascii="Georgia" w:hAnsi="Georgia"/>
          <w:sz w:val="20"/>
          <w:szCs w:val="20"/>
          <w:lang w:val="lt-LT"/>
        </w:rPr>
        <w:t>Kitaip tariant, prieš pasirašant sutartį dėl paskolos suteikimo, būtina įsitikinti, kad:</w:t>
      </w:r>
    </w:p>
    <w:p w14:paraId="4109DDCA" w14:textId="77777777" w:rsidR="00A27CDB" w:rsidRPr="00541A2C" w:rsidRDefault="00A27CDB" w:rsidP="002A576D">
      <w:pPr>
        <w:pStyle w:val="Sraopastraipa"/>
        <w:numPr>
          <w:ilvl w:val="0"/>
          <w:numId w:val="128"/>
        </w:numPr>
        <w:ind w:left="709"/>
        <w:jc w:val="both"/>
        <w:rPr>
          <w:rFonts w:ascii="Georgia" w:hAnsi="Georgia"/>
          <w:sz w:val="20"/>
          <w:szCs w:val="20"/>
          <w:lang w:val="lt-LT"/>
        </w:rPr>
      </w:pPr>
      <w:r w:rsidRPr="00541A2C">
        <w:rPr>
          <w:rFonts w:ascii="Georgia" w:hAnsi="Georgia"/>
          <w:sz w:val="20"/>
          <w:szCs w:val="20"/>
          <w:lang w:val="lt-LT"/>
        </w:rPr>
        <w:t>savivaldybės pastate nėra ūkio subjektų, arba</w:t>
      </w:r>
    </w:p>
    <w:p w14:paraId="328E63E1" w14:textId="77777777" w:rsidR="00A27CDB" w:rsidRPr="00541A2C" w:rsidRDefault="00A27CDB" w:rsidP="002A576D">
      <w:pPr>
        <w:pStyle w:val="Sraopastraipa"/>
        <w:numPr>
          <w:ilvl w:val="0"/>
          <w:numId w:val="128"/>
        </w:numPr>
        <w:ind w:left="709"/>
        <w:rPr>
          <w:rFonts w:ascii="Georgia" w:hAnsi="Georgia"/>
          <w:sz w:val="20"/>
          <w:szCs w:val="20"/>
          <w:lang w:val="lt-LT"/>
        </w:rPr>
      </w:pPr>
      <w:r w:rsidRPr="00541A2C">
        <w:rPr>
          <w:rFonts w:ascii="Georgia" w:hAnsi="Georgia"/>
          <w:sz w:val="20"/>
          <w:szCs w:val="20"/>
          <w:lang w:val="lt-LT"/>
        </w:rPr>
        <w:t xml:space="preserve">savivaldybės pastate yra ūkio subjektų, kurie atitinka nurodytas </w:t>
      </w:r>
      <w:r w:rsidRPr="00541A2C">
        <w:rPr>
          <w:rFonts w:ascii="Georgia" w:hAnsi="Georgia"/>
          <w:i/>
          <w:sz w:val="20"/>
          <w:szCs w:val="20"/>
          <w:lang w:val="lt-LT"/>
        </w:rPr>
        <w:t>de minimis</w:t>
      </w:r>
      <w:r w:rsidRPr="00541A2C">
        <w:rPr>
          <w:rFonts w:ascii="Georgia" w:hAnsi="Georgia"/>
          <w:sz w:val="20"/>
          <w:szCs w:val="20"/>
          <w:lang w:val="lt-LT"/>
        </w:rPr>
        <w:t xml:space="preserve"> sąlygas.</w:t>
      </w:r>
    </w:p>
    <w:p w14:paraId="1B9A6BE2" w14:textId="77777777" w:rsidR="00A27CDB" w:rsidRDefault="00A27CDB" w:rsidP="00C6372C">
      <w:pPr>
        <w:jc w:val="both"/>
        <w:rPr>
          <w:rFonts w:ascii="Georgia" w:hAnsi="Georgia"/>
          <w:sz w:val="20"/>
          <w:szCs w:val="20"/>
          <w:lang w:val="lt-LT"/>
        </w:rPr>
      </w:pPr>
      <w:r w:rsidRPr="00541A2C">
        <w:rPr>
          <w:rFonts w:ascii="Georgia" w:hAnsi="Georgia"/>
          <w:sz w:val="20"/>
          <w:szCs w:val="20"/>
          <w:lang w:val="lt-LT"/>
        </w:rPr>
        <w:t>Atsižvelgiant į valstybės pagalbos taisyklių reikalavimus, siūloma nustatyti, kad pagal numatomą įgyvendinti priemonę savivaldybės pastatai, kuriuose yra ūkio subjektų, neatitinkančių de minimis reikalavimų, nėra tinkami pareiškėjai.</w:t>
      </w:r>
    </w:p>
    <w:p w14:paraId="0E2978F9" w14:textId="325BEEAC" w:rsidR="008D5EBC" w:rsidRDefault="009A6D4D" w:rsidP="00C6372C">
      <w:pPr>
        <w:jc w:val="both"/>
        <w:rPr>
          <w:rFonts w:ascii="Georgia" w:hAnsi="Georgia"/>
          <w:b/>
          <w:sz w:val="20"/>
          <w:szCs w:val="20"/>
          <w:lang w:val="lt-LT"/>
        </w:rPr>
      </w:pPr>
      <w:r>
        <w:rPr>
          <w:rFonts w:ascii="Georgia" w:hAnsi="Georgia"/>
          <w:b/>
          <w:sz w:val="20"/>
          <w:szCs w:val="20"/>
          <w:lang w:val="lt-LT"/>
        </w:rPr>
        <w:t>Netolygus nuostolių paskirstymas tarp privataus ir viešojo investuotojo</w:t>
      </w:r>
    </w:p>
    <w:p w14:paraId="0BE00EC2" w14:textId="7EE9CA5F" w:rsidR="009A6D4D" w:rsidRDefault="009A6D4D" w:rsidP="00C6372C">
      <w:pPr>
        <w:jc w:val="both"/>
        <w:rPr>
          <w:rFonts w:ascii="Georgia" w:hAnsi="Georgia"/>
          <w:sz w:val="20"/>
          <w:szCs w:val="20"/>
          <w:lang w:val="lt-LT"/>
        </w:rPr>
      </w:pPr>
      <w:r w:rsidRPr="009A6D4D">
        <w:rPr>
          <w:rFonts w:ascii="Georgia" w:hAnsi="Georgia"/>
          <w:sz w:val="20"/>
          <w:szCs w:val="20"/>
          <w:lang w:val="lt-LT"/>
        </w:rPr>
        <w:t>Esant</w:t>
      </w:r>
      <w:r>
        <w:rPr>
          <w:rFonts w:ascii="Georgia" w:hAnsi="Georgia"/>
          <w:sz w:val="20"/>
          <w:szCs w:val="20"/>
          <w:lang w:val="lt-LT"/>
        </w:rPr>
        <w:t xml:space="preserve"> netolygiam nuostolių paskirstymui tarp privataus ir viešojo investuotojo valstybės pagalba </w:t>
      </w:r>
      <w:r w:rsidR="00BF2DBF">
        <w:rPr>
          <w:rFonts w:ascii="Georgia" w:hAnsi="Georgia"/>
          <w:sz w:val="20"/>
          <w:szCs w:val="20"/>
          <w:lang w:val="lt-LT"/>
        </w:rPr>
        <w:t>at</w:t>
      </w:r>
      <w:r w:rsidR="00E30E0C">
        <w:rPr>
          <w:rFonts w:ascii="Georgia" w:hAnsi="Georgia"/>
          <w:sz w:val="20"/>
          <w:szCs w:val="20"/>
          <w:lang w:val="lt-LT"/>
        </w:rPr>
        <w:t>si</w:t>
      </w:r>
      <w:r w:rsidR="00BF2DBF">
        <w:rPr>
          <w:rFonts w:ascii="Georgia" w:hAnsi="Georgia"/>
          <w:sz w:val="20"/>
          <w:szCs w:val="20"/>
          <w:lang w:val="lt-LT"/>
        </w:rPr>
        <w:t>rastų</w:t>
      </w:r>
      <w:r>
        <w:rPr>
          <w:rFonts w:ascii="Georgia" w:hAnsi="Georgia"/>
          <w:sz w:val="20"/>
          <w:szCs w:val="20"/>
          <w:lang w:val="lt-LT"/>
        </w:rPr>
        <w:t xml:space="preserve"> dv</w:t>
      </w:r>
      <w:r w:rsidR="00E30E0C">
        <w:rPr>
          <w:rFonts w:ascii="Georgia" w:hAnsi="Georgia"/>
          <w:sz w:val="20"/>
          <w:szCs w:val="20"/>
          <w:lang w:val="lt-LT"/>
        </w:rPr>
        <w:t>i</w:t>
      </w:r>
      <w:r>
        <w:rPr>
          <w:rFonts w:ascii="Georgia" w:hAnsi="Georgia"/>
          <w:sz w:val="20"/>
          <w:szCs w:val="20"/>
          <w:lang w:val="lt-LT"/>
        </w:rPr>
        <w:t>ejuose lygmenyse: finansų tarpininko, kuris skiria nuosavas lėšas</w:t>
      </w:r>
      <w:r w:rsidR="00DA61DD">
        <w:rPr>
          <w:rFonts w:ascii="Georgia" w:hAnsi="Georgia"/>
          <w:sz w:val="20"/>
          <w:szCs w:val="20"/>
          <w:lang w:val="lt-LT"/>
        </w:rPr>
        <w:t>,</w:t>
      </w:r>
      <w:r>
        <w:rPr>
          <w:rFonts w:ascii="Georgia" w:hAnsi="Georgia"/>
          <w:sz w:val="20"/>
          <w:szCs w:val="20"/>
          <w:lang w:val="lt-LT"/>
        </w:rPr>
        <w:t xml:space="preserve"> ir savivaldybės pastatuose įsikūrusiems ir paslaugas teikiantiems ūkio subjektams. Šiems subjektams teikiama pagalba yra suderinama </w:t>
      </w:r>
      <w:r w:rsidR="00BF2DBF">
        <w:rPr>
          <w:rFonts w:ascii="Georgia" w:hAnsi="Georgia"/>
          <w:sz w:val="20"/>
          <w:szCs w:val="20"/>
          <w:lang w:val="lt-LT"/>
        </w:rPr>
        <w:t>su vidaus rinka</w:t>
      </w:r>
      <w:r w:rsidR="00E30E0C">
        <w:rPr>
          <w:rFonts w:ascii="Georgia" w:hAnsi="Georgia"/>
          <w:sz w:val="20"/>
          <w:szCs w:val="20"/>
          <w:lang w:val="lt-LT"/>
        </w:rPr>
        <w:t>,</w:t>
      </w:r>
      <w:r w:rsidR="00BF2DBF">
        <w:rPr>
          <w:rFonts w:ascii="Georgia" w:hAnsi="Georgia"/>
          <w:sz w:val="20"/>
          <w:szCs w:val="20"/>
          <w:lang w:val="lt-LT"/>
        </w:rPr>
        <w:t xml:space="preserve"> </w:t>
      </w:r>
      <w:r>
        <w:rPr>
          <w:rFonts w:ascii="Georgia" w:hAnsi="Georgia"/>
          <w:sz w:val="20"/>
          <w:szCs w:val="20"/>
          <w:lang w:val="lt-LT"/>
        </w:rPr>
        <w:t xml:space="preserve">jei ji atitinka Bendrosios išimties reglamento 39 str. </w:t>
      </w:r>
      <w:r w:rsidR="00DE6DED">
        <w:rPr>
          <w:rFonts w:ascii="Georgia" w:hAnsi="Georgia"/>
          <w:sz w:val="20"/>
          <w:szCs w:val="20"/>
          <w:lang w:val="lt-LT"/>
        </w:rPr>
        <w:t xml:space="preserve">nustatytus </w:t>
      </w:r>
      <w:r>
        <w:rPr>
          <w:rFonts w:ascii="Georgia" w:hAnsi="Georgia"/>
          <w:sz w:val="20"/>
          <w:szCs w:val="20"/>
          <w:lang w:val="lt-LT"/>
        </w:rPr>
        <w:t>reikalavimus,</w:t>
      </w:r>
      <w:r w:rsidR="00DE6DED">
        <w:rPr>
          <w:rFonts w:ascii="Georgia" w:hAnsi="Georgia"/>
          <w:sz w:val="20"/>
          <w:szCs w:val="20"/>
          <w:lang w:val="lt-LT"/>
        </w:rPr>
        <w:t xml:space="preserve"> įskaitant</w:t>
      </w:r>
      <w:r w:rsidR="00106EB8">
        <w:rPr>
          <w:rFonts w:ascii="Georgia" w:hAnsi="Georgia"/>
          <w:sz w:val="20"/>
          <w:szCs w:val="20"/>
          <w:lang w:val="lt-LT"/>
        </w:rPr>
        <w:t xml:space="preserve"> </w:t>
      </w:r>
      <w:r w:rsidR="00DA61DD">
        <w:rPr>
          <w:rFonts w:ascii="Georgia" w:hAnsi="Georgia"/>
          <w:sz w:val="20"/>
          <w:szCs w:val="20"/>
          <w:lang w:val="lt-LT"/>
        </w:rPr>
        <w:t>pvz</w:t>
      </w:r>
      <w:r>
        <w:rPr>
          <w:rFonts w:ascii="Georgia" w:hAnsi="Georgia"/>
          <w:sz w:val="20"/>
          <w:szCs w:val="20"/>
          <w:lang w:val="lt-LT"/>
        </w:rPr>
        <w:t>.</w:t>
      </w:r>
      <w:r w:rsidR="00BF2DBF">
        <w:rPr>
          <w:rFonts w:ascii="Georgia" w:hAnsi="Georgia"/>
          <w:sz w:val="20"/>
          <w:szCs w:val="20"/>
          <w:lang w:val="lt-LT"/>
        </w:rPr>
        <w:t>:</w:t>
      </w:r>
    </w:p>
    <w:p w14:paraId="31D7D22F" w14:textId="7114734C" w:rsidR="00BF2DBF" w:rsidRDefault="00BF2DBF" w:rsidP="00BF2DBF">
      <w:pPr>
        <w:pStyle w:val="Sraopastraipa"/>
        <w:numPr>
          <w:ilvl w:val="0"/>
          <w:numId w:val="144"/>
        </w:numPr>
        <w:jc w:val="both"/>
        <w:rPr>
          <w:rFonts w:ascii="Georgia" w:hAnsi="Georgia"/>
          <w:sz w:val="20"/>
          <w:szCs w:val="20"/>
          <w:lang w:val="lt-LT"/>
        </w:rPr>
      </w:pPr>
      <w:r>
        <w:rPr>
          <w:rFonts w:ascii="Georgia" w:hAnsi="Georgia"/>
          <w:sz w:val="20"/>
          <w:szCs w:val="20"/>
          <w:lang w:val="lt-LT"/>
        </w:rPr>
        <w:t>paskolos nominalioji vertė neviršija 10 mln. Eur vienam projektui galutiniams naudos gavėjams;</w:t>
      </w:r>
    </w:p>
    <w:p w14:paraId="38982E1C" w14:textId="51149A82" w:rsidR="00BF2DBF" w:rsidRDefault="00BF2DBF" w:rsidP="00BF2DBF">
      <w:pPr>
        <w:pStyle w:val="Sraopastraipa"/>
        <w:numPr>
          <w:ilvl w:val="0"/>
          <w:numId w:val="144"/>
        </w:numPr>
        <w:jc w:val="both"/>
        <w:rPr>
          <w:rFonts w:ascii="Georgia" w:hAnsi="Georgia"/>
          <w:sz w:val="20"/>
          <w:szCs w:val="20"/>
          <w:lang w:val="lt-LT"/>
        </w:rPr>
      </w:pPr>
      <w:r>
        <w:rPr>
          <w:rFonts w:ascii="Georgia" w:hAnsi="Georgia"/>
          <w:sz w:val="20"/>
          <w:szCs w:val="20"/>
          <w:lang w:val="lt-LT"/>
        </w:rPr>
        <w:t>pritraukiama privačių investuotojų dalis yra ne mažesnė kaip 30 proc. viso skiriamo viešojo finansavimo;</w:t>
      </w:r>
    </w:p>
    <w:p w14:paraId="1E784711" w14:textId="1378E501" w:rsidR="00BF2DBF" w:rsidRDefault="00BF2DBF" w:rsidP="00BF2DBF">
      <w:pPr>
        <w:pStyle w:val="Sraopastraipa"/>
        <w:numPr>
          <w:ilvl w:val="0"/>
          <w:numId w:val="144"/>
        </w:numPr>
        <w:jc w:val="both"/>
        <w:rPr>
          <w:rFonts w:ascii="Georgia" w:hAnsi="Georgia"/>
          <w:sz w:val="20"/>
          <w:szCs w:val="20"/>
          <w:lang w:val="lt-LT"/>
        </w:rPr>
      </w:pPr>
      <w:r>
        <w:rPr>
          <w:rFonts w:ascii="Georgia" w:hAnsi="Georgia"/>
          <w:sz w:val="20"/>
          <w:szCs w:val="20"/>
          <w:lang w:val="lt-LT"/>
        </w:rPr>
        <w:t>finansų tarpininkai ir/ar privatūs investuotojai atrenkam pagal atvirą, skaidrią ir nediskriminacinę procedūrą;</w:t>
      </w:r>
    </w:p>
    <w:p w14:paraId="578C46E4" w14:textId="1CDA381C" w:rsidR="00BF2DBF" w:rsidRDefault="00541A2C" w:rsidP="00BF2DBF">
      <w:pPr>
        <w:pStyle w:val="Sraopastraipa"/>
        <w:numPr>
          <w:ilvl w:val="0"/>
          <w:numId w:val="144"/>
        </w:numPr>
        <w:jc w:val="both"/>
        <w:rPr>
          <w:rFonts w:ascii="Georgia" w:hAnsi="Georgia"/>
          <w:sz w:val="20"/>
          <w:szCs w:val="20"/>
          <w:lang w:val="lt-LT"/>
        </w:rPr>
      </w:pPr>
      <w:r>
        <w:rPr>
          <w:rFonts w:ascii="Georgia" w:hAnsi="Georgia"/>
          <w:sz w:val="20"/>
          <w:szCs w:val="20"/>
          <w:lang w:val="lt-LT"/>
        </w:rPr>
        <w:t>pirmieji viešojo investuotojo patirti  nuostoliai apribojami 25 proc. visos investicijos</w:t>
      </w:r>
      <w:r w:rsidR="00E30E0C">
        <w:rPr>
          <w:rFonts w:ascii="Georgia" w:hAnsi="Georgia"/>
          <w:sz w:val="20"/>
          <w:szCs w:val="20"/>
          <w:lang w:val="lt-LT"/>
        </w:rPr>
        <w:t>.</w:t>
      </w:r>
    </w:p>
    <w:p w14:paraId="064676F5" w14:textId="77777777" w:rsidR="00541A2C" w:rsidRPr="00BF2DBF" w:rsidRDefault="00541A2C" w:rsidP="00541A2C">
      <w:pPr>
        <w:pStyle w:val="Sraopastraipa"/>
        <w:jc w:val="both"/>
        <w:rPr>
          <w:rFonts w:ascii="Georgia" w:hAnsi="Georgia"/>
          <w:sz w:val="20"/>
          <w:szCs w:val="20"/>
          <w:lang w:val="lt-LT"/>
        </w:rPr>
      </w:pPr>
    </w:p>
    <w:p w14:paraId="6812A0F3" w14:textId="77777777" w:rsidR="00A27CDB" w:rsidRPr="001D5919" w:rsidRDefault="00A27CDB" w:rsidP="00EA16CD">
      <w:pPr>
        <w:pStyle w:val="Antrat2"/>
        <w:numPr>
          <w:ilvl w:val="3"/>
          <w:numId w:val="2"/>
        </w:numPr>
        <w:rPr>
          <w:lang w:val="lt-LT"/>
        </w:rPr>
      </w:pPr>
      <w:bookmarkStart w:id="318" w:name="_Toc417378426"/>
      <w:r w:rsidRPr="001D5919">
        <w:rPr>
          <w:lang w:val="lt-LT"/>
        </w:rPr>
        <w:lastRenderedPageBreak/>
        <w:t>Priemonės įgyvendinimo vertinimo išvada</w:t>
      </w:r>
      <w:bookmarkEnd w:id="318"/>
    </w:p>
    <w:p w14:paraId="2DB588D5" w14:textId="77777777" w:rsidR="008D5EBC" w:rsidRDefault="008D5EBC" w:rsidP="00C6372C">
      <w:pPr>
        <w:jc w:val="both"/>
        <w:rPr>
          <w:rFonts w:ascii="Georgia" w:hAnsi="Georgia"/>
          <w:sz w:val="20"/>
          <w:szCs w:val="20"/>
          <w:lang w:val="lt-LT"/>
        </w:rPr>
      </w:pPr>
    </w:p>
    <w:p w14:paraId="284F2534" w14:textId="77777777" w:rsidR="00A27CDB" w:rsidRPr="00541A2C" w:rsidRDefault="00A27CDB" w:rsidP="00C6372C">
      <w:pPr>
        <w:jc w:val="both"/>
        <w:rPr>
          <w:rFonts w:ascii="Georgia" w:hAnsi="Georgia"/>
          <w:sz w:val="20"/>
          <w:szCs w:val="20"/>
          <w:lang w:val="lt-LT"/>
        </w:rPr>
      </w:pPr>
      <w:r w:rsidRPr="00541A2C">
        <w:rPr>
          <w:rFonts w:ascii="Georgia" w:hAnsi="Georgia"/>
          <w:sz w:val="20"/>
          <w:szCs w:val="20"/>
          <w:lang w:val="lt-LT"/>
        </w:rPr>
        <w:t>Įvertinus pasirinkto priemonės įgyvendinimo mechanizmo struktūrą, darytinos šios išvados:</w:t>
      </w:r>
    </w:p>
    <w:p w14:paraId="7F52FCDA" w14:textId="32F3ACA5" w:rsidR="00A27CDB" w:rsidRPr="00541A2C" w:rsidRDefault="00A27CDB" w:rsidP="002A576D">
      <w:pPr>
        <w:pStyle w:val="Sraopastraipa"/>
        <w:keepNext/>
        <w:numPr>
          <w:ilvl w:val="0"/>
          <w:numId w:val="129"/>
        </w:numPr>
        <w:ind w:left="709"/>
        <w:jc w:val="both"/>
        <w:rPr>
          <w:rFonts w:ascii="Georgia" w:hAnsi="Georgia"/>
          <w:sz w:val="20"/>
          <w:szCs w:val="20"/>
          <w:lang w:val="lt-LT"/>
        </w:rPr>
      </w:pPr>
      <w:r w:rsidRPr="00541A2C">
        <w:rPr>
          <w:rFonts w:ascii="Georgia" w:hAnsi="Georgia"/>
          <w:sz w:val="20"/>
          <w:szCs w:val="20"/>
          <w:lang w:val="lt-LT"/>
        </w:rPr>
        <w:t>mechanizmo įgyvendinimas nesukelia valstybės pagalbos atsiradimo rizikos, laikantis atitinkamuose skyriuose nurodytų sąlygų, finansavimą suteikiančių viešųjų institucijų, fondo valdytojo, savivaldybės pastatų savininkų/valdytojų, taip pat rangos darbus vykdančių asmenų atžvilgiu;</w:t>
      </w:r>
    </w:p>
    <w:p w14:paraId="2DBB238B" w14:textId="49330D02" w:rsidR="00A27CDB" w:rsidRPr="00541A2C" w:rsidRDefault="00A27CDB" w:rsidP="002A576D">
      <w:pPr>
        <w:pStyle w:val="Sraopastraipa"/>
        <w:keepNext/>
        <w:numPr>
          <w:ilvl w:val="0"/>
          <w:numId w:val="129"/>
        </w:numPr>
        <w:ind w:left="709"/>
        <w:jc w:val="both"/>
        <w:rPr>
          <w:rFonts w:ascii="Georgia" w:hAnsi="Georgia"/>
          <w:sz w:val="20"/>
          <w:szCs w:val="20"/>
          <w:lang w:val="lt-LT"/>
        </w:rPr>
      </w:pPr>
      <w:r w:rsidRPr="00541A2C">
        <w:rPr>
          <w:rFonts w:ascii="Georgia" w:hAnsi="Georgia"/>
          <w:sz w:val="20"/>
          <w:szCs w:val="20"/>
          <w:lang w:val="lt-LT"/>
        </w:rPr>
        <w:t>mechanizmo įgyvendinimas sąlygoja de minimis pagalbos atsiradimą ūkio subjektų, veikiančių savivaldybės pastatuose, jeigu laikomasi apibrėžtų sąlygų</w:t>
      </w:r>
      <w:r w:rsidR="009053C0">
        <w:rPr>
          <w:rFonts w:ascii="Georgia" w:hAnsi="Georgia"/>
          <w:sz w:val="20"/>
          <w:szCs w:val="20"/>
          <w:lang w:val="lt-LT"/>
        </w:rPr>
        <w:t>;</w:t>
      </w:r>
    </w:p>
    <w:p w14:paraId="5A441F41" w14:textId="0102499F" w:rsidR="00541A2C" w:rsidRPr="00541A2C" w:rsidRDefault="00541A2C" w:rsidP="002A576D">
      <w:pPr>
        <w:pStyle w:val="Sraopastraipa"/>
        <w:keepNext/>
        <w:numPr>
          <w:ilvl w:val="0"/>
          <w:numId w:val="129"/>
        </w:numPr>
        <w:ind w:left="709"/>
        <w:jc w:val="both"/>
        <w:rPr>
          <w:rFonts w:ascii="Georgia" w:hAnsi="Georgia"/>
          <w:sz w:val="20"/>
          <w:szCs w:val="20"/>
          <w:lang w:val="lt-LT"/>
        </w:rPr>
      </w:pPr>
      <w:r w:rsidRPr="00541A2C">
        <w:rPr>
          <w:rFonts w:ascii="Georgia" w:hAnsi="Georgia"/>
          <w:sz w:val="20"/>
          <w:szCs w:val="20"/>
          <w:lang w:val="lt-LT"/>
        </w:rPr>
        <w:t xml:space="preserve">tuo atveju, jei nustatomas netolygus nuostolių paskirstymas tarp privataus ir viešojo investuotojo, tai sąlygoja valstybės pagalbos atsiradimą finansų tarpininko (privataus investuotojo) ir ūkio subjektų, veikiančių savivaldybės pastatuose, lygmenyse ir tokiu atveju mechanizmas turi būti suderintas su Bendrosios išimties reglamento 39 str. reikalavimais. </w:t>
      </w:r>
    </w:p>
    <w:p w14:paraId="7F4F5825" w14:textId="77777777" w:rsidR="00EF6FC0" w:rsidRDefault="00EF6FC0">
      <w:pPr>
        <w:rPr>
          <w:rFonts w:asciiTheme="majorHAnsi" w:eastAsiaTheme="majorEastAsia" w:hAnsiTheme="majorHAnsi" w:cstheme="majorBidi"/>
          <w:b/>
          <w:bCs/>
          <w:color w:val="365F91" w:themeColor="accent1" w:themeShade="BF"/>
          <w:sz w:val="28"/>
          <w:szCs w:val="28"/>
          <w:lang w:val="lt-LT"/>
        </w:rPr>
      </w:pPr>
      <w:r>
        <w:rPr>
          <w:lang w:val="lt-LT"/>
        </w:rPr>
        <w:br w:type="page"/>
      </w:r>
    </w:p>
    <w:p w14:paraId="21F57CAD" w14:textId="77777777" w:rsidR="00E84A38" w:rsidRPr="00DF3A8E" w:rsidRDefault="00E84A38" w:rsidP="00C03122">
      <w:pPr>
        <w:pStyle w:val="Antrat1"/>
        <w:numPr>
          <w:ilvl w:val="0"/>
          <w:numId w:val="36"/>
        </w:numPr>
        <w:rPr>
          <w:lang w:val="lt-LT"/>
        </w:rPr>
      </w:pPr>
      <w:bookmarkStart w:id="319" w:name="_Toc417378427"/>
      <w:r w:rsidRPr="00DF3A8E">
        <w:rPr>
          <w:lang w:val="lt-LT"/>
        </w:rPr>
        <w:lastRenderedPageBreak/>
        <w:t>Finansinių priemonių patirtis Lietuvoje ir kitose šalyse</w:t>
      </w:r>
      <w:bookmarkEnd w:id="297"/>
      <w:bookmarkEnd w:id="319"/>
    </w:p>
    <w:p w14:paraId="61BCCECA" w14:textId="77777777" w:rsidR="009E5C05" w:rsidRDefault="009E5C05" w:rsidP="00E84A38">
      <w:pPr>
        <w:jc w:val="both"/>
        <w:rPr>
          <w:rFonts w:ascii="Georgia" w:hAnsi="Georgia"/>
          <w:sz w:val="20"/>
          <w:szCs w:val="20"/>
          <w:lang w:val="lt-LT"/>
        </w:rPr>
      </w:pPr>
    </w:p>
    <w:p w14:paraId="23560256" w14:textId="77777777" w:rsidR="00451BC7" w:rsidRPr="00451BC7" w:rsidRDefault="00451BC7" w:rsidP="00451BC7">
      <w:pPr>
        <w:jc w:val="both"/>
        <w:rPr>
          <w:rFonts w:ascii="Georgia" w:hAnsi="Georgia"/>
          <w:sz w:val="20"/>
          <w:szCs w:val="20"/>
          <w:lang w:val="lt-LT"/>
        </w:rPr>
      </w:pPr>
      <w:bookmarkStart w:id="320" w:name="_Toc395795825"/>
      <w:r w:rsidRPr="00451BC7">
        <w:rPr>
          <w:rFonts w:ascii="Georgia" w:hAnsi="Georgia"/>
          <w:sz w:val="20"/>
          <w:szCs w:val="20"/>
          <w:lang w:val="lt-LT"/>
        </w:rPr>
        <w:t>Šioje ex ante vertinimo  dalyje apžvelgiama finansinių priemonių įgyvendinimo patirtis orientuojantis į finansines priemones, finansuojančias projektus energijos efektyvumo/atsinaujinančių energijos išteklių sektoriuose, remiantis informacijos šaltiniais, kurie nurodyti 2014-2020 m. periodo finansinių priemonių ex ante vertinimo metodikoje, ir kitais šaltiniais. Apžvalga parengta sukauptą patirtį identifikavus per šias priemones: atliktus interviu</w:t>
      </w:r>
      <w:r w:rsidRPr="00E649A6">
        <w:rPr>
          <w:rStyle w:val="Puslapioinaosnuoroda"/>
          <w:rFonts w:ascii="Georgia" w:hAnsi="Georgia"/>
          <w:sz w:val="20"/>
          <w:szCs w:val="20"/>
          <w:lang w:val="lt-LT"/>
        </w:rPr>
        <w:footnoteReference w:id="146"/>
      </w:r>
      <w:r w:rsidRPr="00451BC7">
        <w:rPr>
          <w:rFonts w:ascii="Georgia" w:hAnsi="Georgia"/>
          <w:sz w:val="20"/>
          <w:szCs w:val="20"/>
          <w:lang w:val="lt-LT"/>
        </w:rPr>
        <w:t>, atliktas tri</w:t>
      </w:r>
      <w:r>
        <w:rPr>
          <w:rFonts w:ascii="Georgia" w:hAnsi="Georgia"/>
          <w:sz w:val="20"/>
          <w:szCs w:val="20"/>
          <w:lang w:val="lt-LT"/>
        </w:rPr>
        <w:t>s atvejo studija</w:t>
      </w:r>
      <w:r w:rsidRPr="00451BC7">
        <w:rPr>
          <w:rFonts w:ascii="Georgia" w:hAnsi="Georgia"/>
          <w:sz w:val="20"/>
          <w:szCs w:val="20"/>
          <w:lang w:val="lt-LT"/>
        </w:rPr>
        <w:t xml:space="preserve">s: JESSICA KF Lietuvoje, Energijos efektyvumo ir atsinaujinančių išteklių fondo Bulgarijoje ir Londono energetinio efektyvumo fondo Jungtinėje Karalystėje. </w:t>
      </w:r>
    </w:p>
    <w:p w14:paraId="35A466BF" w14:textId="77777777" w:rsidR="00E84A38" w:rsidRPr="009E5C05" w:rsidRDefault="00E84A38" w:rsidP="00C03122">
      <w:pPr>
        <w:pStyle w:val="Antrat2"/>
        <w:numPr>
          <w:ilvl w:val="1"/>
          <w:numId w:val="36"/>
        </w:numPr>
        <w:spacing w:after="240"/>
        <w:rPr>
          <w:lang w:val="lt-LT"/>
        </w:rPr>
      </w:pPr>
      <w:bookmarkStart w:id="321" w:name="_Toc417378428"/>
      <w:r w:rsidRPr="009E5C05">
        <w:rPr>
          <w:lang w:val="lt-LT"/>
        </w:rPr>
        <w:t>Finansinių priemonių identifikavimas</w:t>
      </w:r>
      <w:bookmarkEnd w:id="320"/>
      <w:bookmarkEnd w:id="321"/>
    </w:p>
    <w:p w14:paraId="7F068E7E" w14:textId="77777777" w:rsidR="00451BC7" w:rsidRPr="00E649A6" w:rsidRDefault="00451BC7" w:rsidP="00451BC7">
      <w:pPr>
        <w:spacing w:after="120"/>
        <w:jc w:val="both"/>
        <w:rPr>
          <w:rFonts w:ascii="Georgia" w:hAnsi="Georgia" w:cs="Arial"/>
          <w:bCs/>
          <w:sz w:val="20"/>
          <w:szCs w:val="20"/>
          <w:lang w:val="lt-LT"/>
        </w:rPr>
      </w:pPr>
      <w:r>
        <w:rPr>
          <w:rFonts w:ascii="Georgia" w:hAnsi="Georgia" w:cs="Arial"/>
          <w:bCs/>
          <w:sz w:val="20"/>
          <w:szCs w:val="20"/>
          <w:lang w:val="lt-LT"/>
        </w:rPr>
        <w:t>Pateikta informacija</w:t>
      </w:r>
      <w:r w:rsidRPr="00E649A6">
        <w:rPr>
          <w:rFonts w:ascii="Georgia" w:hAnsi="Georgia" w:cs="Arial"/>
          <w:bCs/>
          <w:sz w:val="20"/>
          <w:szCs w:val="20"/>
          <w:lang w:val="lt-LT"/>
        </w:rPr>
        <w:t xml:space="preserve"> remiasi suvestine DG REGIO informacija apie finansinių priemonių įgyvendinimą, kurią vadovaujančiosios institucijos Europos Komisijai teik</w:t>
      </w:r>
      <w:r>
        <w:rPr>
          <w:rFonts w:ascii="Georgia" w:hAnsi="Georgia" w:cs="Arial"/>
          <w:bCs/>
          <w:sz w:val="20"/>
          <w:szCs w:val="20"/>
          <w:lang w:val="lt-LT"/>
        </w:rPr>
        <w:t>ė</w:t>
      </w:r>
      <w:r w:rsidRPr="00E649A6">
        <w:rPr>
          <w:rFonts w:ascii="Georgia" w:hAnsi="Georgia" w:cs="Arial"/>
          <w:bCs/>
          <w:sz w:val="20"/>
          <w:szCs w:val="20"/>
          <w:lang w:val="lt-LT"/>
        </w:rPr>
        <w:t xml:space="preserve"> pagal 2006 m. liepos 11 d. Tarybos reglamento (EB) Nr. 1083/2006, nustatančio bendrąsias nuostatas dėl Europos regioninės plėtros fondo, Europos socialinio fondo ir Sanglaudos fondo bei panaikinančio Reglamentą (EB) N. 1260/1999, </w:t>
      </w:r>
      <w:r w:rsidRPr="00E649A6">
        <w:rPr>
          <w:rFonts w:ascii="Georgia" w:hAnsi="Georgia" w:cs="Arial"/>
          <w:sz w:val="20"/>
          <w:szCs w:val="20"/>
          <w:lang w:val="lt-LT"/>
        </w:rPr>
        <w:t>67(2)(j) straipsnį.</w:t>
      </w:r>
      <w:r w:rsidRPr="00E649A6">
        <w:rPr>
          <w:rFonts w:ascii="Georgia" w:hAnsi="Georgia" w:cs="Arial"/>
          <w:bCs/>
          <w:sz w:val="20"/>
          <w:szCs w:val="20"/>
          <w:lang w:val="lt-LT"/>
        </w:rPr>
        <w:t xml:space="preserve"> Šiuo metu viešai prieinama yra 2013 m. rugsėjo 19 d. ataskaita, kurioje pateikiami duomenys apie situaciją 2012 m. gruodžio 31 d.</w:t>
      </w:r>
      <w:r w:rsidRPr="00E649A6">
        <w:rPr>
          <w:rFonts w:ascii="Georgia" w:hAnsi="Georgia" w:cs="Arial"/>
          <w:bCs/>
          <w:sz w:val="20"/>
          <w:szCs w:val="20"/>
          <w:vertAlign w:val="superscript"/>
          <w:lang w:val="lt-LT"/>
        </w:rPr>
        <w:footnoteReference w:id="147"/>
      </w:r>
    </w:p>
    <w:p w14:paraId="39956133" w14:textId="77777777" w:rsidR="00451BC7" w:rsidRPr="00E649A6" w:rsidRDefault="00451BC7" w:rsidP="00451BC7">
      <w:pPr>
        <w:spacing w:after="120"/>
        <w:jc w:val="both"/>
        <w:rPr>
          <w:rFonts w:ascii="Georgia" w:hAnsi="Georgia" w:cs="Arial"/>
          <w:bCs/>
          <w:sz w:val="20"/>
          <w:szCs w:val="20"/>
          <w:lang w:val="lt-LT"/>
        </w:rPr>
      </w:pPr>
      <w:r w:rsidRPr="00E649A6">
        <w:rPr>
          <w:rFonts w:ascii="Georgia" w:hAnsi="Georgia" w:cs="Arial"/>
          <w:bCs/>
          <w:sz w:val="20"/>
          <w:szCs w:val="20"/>
          <w:lang w:val="lt-LT"/>
        </w:rPr>
        <w:t xml:space="preserve">2012 m. gruodžio 31 d. </w:t>
      </w:r>
      <w:r>
        <w:rPr>
          <w:rFonts w:ascii="Georgia" w:hAnsi="Georgia" w:cs="Arial"/>
          <w:bCs/>
          <w:sz w:val="20"/>
          <w:szCs w:val="20"/>
          <w:lang w:val="lt-LT"/>
        </w:rPr>
        <w:t>ES</w:t>
      </w:r>
      <w:r w:rsidRPr="00E649A6">
        <w:rPr>
          <w:rFonts w:ascii="Georgia" w:hAnsi="Georgia" w:cs="Arial"/>
          <w:bCs/>
          <w:sz w:val="20"/>
          <w:szCs w:val="20"/>
          <w:lang w:val="lt-LT"/>
        </w:rPr>
        <w:t xml:space="preserve"> veikė 940 finansinių priemonių, finansuojamų struktūrinių fondų lėšomis (tarp kurių buvo 70 kontroliuojančiųjų fondų). 92 proc. šių priemonių skirta finansuoti įmones, 6 proc. miestų plėtrą ir mažiau nei 2 proc. – energijos efektyvumą/atsinaujinančius energijos išteklius. Finansinės priemonės finansuojamos iš 175 veiksmų programų 25 valstybėse narėse (finansinės priemonės nebuvo įgyvendinamos Airijoje ir Liuksemburge). 389 finansinės priemonės buvo įgyvendinamos tiesi</w:t>
      </w:r>
      <w:r w:rsidR="00AF1768">
        <w:rPr>
          <w:rFonts w:ascii="Georgia" w:hAnsi="Georgia" w:cs="Arial"/>
          <w:bCs/>
          <w:sz w:val="20"/>
          <w:szCs w:val="20"/>
          <w:lang w:val="lt-LT"/>
        </w:rPr>
        <w:t>ogiai (t. y. be kontroliuojančių</w:t>
      </w:r>
      <w:r w:rsidRPr="00E649A6">
        <w:rPr>
          <w:rFonts w:ascii="Georgia" w:hAnsi="Georgia" w:cs="Arial"/>
          <w:bCs/>
          <w:sz w:val="20"/>
          <w:szCs w:val="20"/>
          <w:lang w:val="lt-LT"/>
        </w:rPr>
        <w:t>j</w:t>
      </w:r>
      <w:r w:rsidR="00AF1768">
        <w:rPr>
          <w:rFonts w:ascii="Georgia" w:hAnsi="Georgia" w:cs="Arial"/>
          <w:bCs/>
          <w:sz w:val="20"/>
          <w:szCs w:val="20"/>
          <w:lang w:val="lt-LT"/>
        </w:rPr>
        <w:t>ų</w:t>
      </w:r>
      <w:r w:rsidRPr="00E649A6">
        <w:rPr>
          <w:rFonts w:ascii="Georgia" w:hAnsi="Georgia" w:cs="Arial"/>
          <w:bCs/>
          <w:sz w:val="20"/>
          <w:szCs w:val="20"/>
          <w:lang w:val="lt-LT"/>
        </w:rPr>
        <w:t xml:space="preserve"> fond</w:t>
      </w:r>
      <w:r w:rsidR="00AF1768">
        <w:rPr>
          <w:rFonts w:ascii="Georgia" w:hAnsi="Georgia" w:cs="Arial"/>
          <w:bCs/>
          <w:sz w:val="20"/>
          <w:szCs w:val="20"/>
          <w:lang w:val="lt-LT"/>
        </w:rPr>
        <w:t>ų</w:t>
      </w:r>
      <w:r w:rsidRPr="00E649A6">
        <w:rPr>
          <w:rFonts w:ascii="Georgia" w:hAnsi="Georgia" w:cs="Arial"/>
          <w:bCs/>
          <w:sz w:val="20"/>
          <w:szCs w:val="20"/>
          <w:lang w:val="lt-LT"/>
        </w:rPr>
        <w:t>), o 481 – per 70 kontroliuojančiųjų fondų.</w:t>
      </w:r>
    </w:p>
    <w:p w14:paraId="32BEAAE2" w14:textId="77777777" w:rsidR="00451BC7" w:rsidRDefault="00451BC7" w:rsidP="00451BC7">
      <w:pPr>
        <w:spacing w:after="120"/>
        <w:jc w:val="both"/>
        <w:rPr>
          <w:rFonts w:ascii="Georgia" w:hAnsi="Georgia" w:cs="Arial"/>
          <w:bCs/>
          <w:sz w:val="20"/>
          <w:szCs w:val="20"/>
          <w:lang w:val="lt-LT"/>
        </w:rPr>
      </w:pPr>
      <w:r w:rsidRPr="00E649A6">
        <w:rPr>
          <w:rFonts w:ascii="Georgia" w:hAnsi="Georgia" w:cs="Arial"/>
          <w:bCs/>
          <w:sz w:val="20"/>
          <w:szCs w:val="20"/>
          <w:lang w:val="lt-LT"/>
        </w:rPr>
        <w:t>Informacija apie finansinių priemonių įgyvendinimo finansinę pažangą 2012 m. gruodžio 31 d</w:t>
      </w:r>
      <w:r>
        <w:rPr>
          <w:rFonts w:ascii="Georgia" w:hAnsi="Georgia" w:cs="Arial"/>
          <w:bCs/>
          <w:sz w:val="20"/>
          <w:szCs w:val="20"/>
          <w:lang w:val="lt-LT"/>
        </w:rPr>
        <w:t>. pateikiama žemiau esančioje lentelėje</w:t>
      </w:r>
      <w:r w:rsidRPr="00E649A6">
        <w:rPr>
          <w:rFonts w:ascii="Georgia" w:hAnsi="Georgia" w:cs="Arial"/>
          <w:bCs/>
          <w:sz w:val="20"/>
          <w:szCs w:val="20"/>
          <w:lang w:val="lt-LT"/>
        </w:rPr>
        <w:t>.</w:t>
      </w:r>
    </w:p>
    <w:p w14:paraId="57AE7345" w14:textId="216A7E18" w:rsidR="00451BC7" w:rsidRPr="005F0137" w:rsidRDefault="00451BC7" w:rsidP="00451BC7">
      <w:pPr>
        <w:pStyle w:val="Antrat"/>
        <w:rPr>
          <w:rFonts w:cs="Arial"/>
          <w:bCs w:val="0"/>
          <w:szCs w:val="20"/>
          <w:lang w:val="lt-LT"/>
        </w:rPr>
      </w:pPr>
      <w:bookmarkStart w:id="322" w:name="_Toc460321731"/>
      <w:r w:rsidRPr="005F0137">
        <w:rPr>
          <w:lang w:val="lt-LT"/>
        </w:rPr>
        <w:t xml:space="preserve">Lentelė </w:t>
      </w:r>
      <w:r w:rsidRPr="005F0137">
        <w:rPr>
          <w:lang w:val="lt-LT"/>
        </w:rPr>
        <w:fldChar w:fldCharType="begin"/>
      </w:r>
      <w:r w:rsidRPr="005F0137">
        <w:rPr>
          <w:lang w:val="lt-LT"/>
        </w:rPr>
        <w:instrText xml:space="preserve"> SEQ Lentelė \* ARABIC </w:instrText>
      </w:r>
      <w:r w:rsidRPr="005F0137">
        <w:rPr>
          <w:lang w:val="lt-LT"/>
        </w:rPr>
        <w:fldChar w:fldCharType="separate"/>
      </w:r>
      <w:r w:rsidR="00AA3082">
        <w:rPr>
          <w:noProof/>
          <w:lang w:val="lt-LT"/>
        </w:rPr>
        <w:t>150</w:t>
      </w:r>
      <w:r w:rsidRPr="005F0137">
        <w:rPr>
          <w:lang w:val="lt-LT"/>
        </w:rPr>
        <w:fldChar w:fldCharType="end"/>
      </w:r>
      <w:r w:rsidRPr="005F0137">
        <w:rPr>
          <w:lang w:val="lt-LT"/>
        </w:rPr>
        <w:t>. Finansinių priemonių įgyvendinimo finansinė pažanga.</w:t>
      </w:r>
      <w:bookmarkEnd w:id="322"/>
      <w:r w:rsidRPr="005F0137">
        <w:rPr>
          <w:lang w:val="lt-LT"/>
        </w:rPr>
        <w:t xml:space="preserve"> </w:t>
      </w:r>
    </w:p>
    <w:tbl>
      <w:tblPr>
        <w:tblStyle w:val="viesussraas2parykinimas"/>
        <w:tblW w:w="5000" w:type="pct"/>
        <w:tblLayout w:type="fixed"/>
        <w:tblLook w:val="04A0" w:firstRow="1" w:lastRow="0" w:firstColumn="1" w:lastColumn="0" w:noHBand="0" w:noVBand="1"/>
      </w:tblPr>
      <w:tblGrid>
        <w:gridCol w:w="1700"/>
        <w:gridCol w:w="1527"/>
        <w:gridCol w:w="1771"/>
        <w:gridCol w:w="1632"/>
        <w:gridCol w:w="1558"/>
        <w:gridCol w:w="1054"/>
      </w:tblGrid>
      <w:tr w:rsidR="00451BC7" w:rsidRPr="00E649A6" w14:paraId="1AEEF309" w14:textId="77777777" w:rsidTr="00B51C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0" w:type="pct"/>
            <w:vMerge w:val="restart"/>
          </w:tcPr>
          <w:p w14:paraId="5A890FBB" w14:textId="77777777" w:rsidR="00451BC7" w:rsidRPr="00E649A6" w:rsidRDefault="00451BC7" w:rsidP="00451BC7">
            <w:pPr>
              <w:spacing w:after="120"/>
              <w:jc w:val="center"/>
              <w:rPr>
                <w:rFonts w:ascii="Georgia" w:hAnsi="Georgia" w:cs="Arial"/>
                <w:bCs w:val="0"/>
                <w:sz w:val="20"/>
                <w:szCs w:val="20"/>
              </w:rPr>
            </w:pPr>
            <w:r w:rsidRPr="00E649A6">
              <w:rPr>
                <w:rFonts w:ascii="Georgia" w:hAnsi="Georgia" w:cs="Arial"/>
                <w:bCs w:val="0"/>
                <w:sz w:val="20"/>
                <w:szCs w:val="20"/>
              </w:rPr>
              <w:t>Bendri įsipareigojimai pagal finansinius susitarimus (mln. €)</w:t>
            </w:r>
          </w:p>
        </w:tc>
        <w:tc>
          <w:tcPr>
            <w:tcW w:w="826" w:type="pct"/>
            <w:vMerge w:val="restart"/>
          </w:tcPr>
          <w:p w14:paraId="572D67D4" w14:textId="77777777" w:rsidR="00451BC7" w:rsidRPr="00E649A6"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E649A6">
              <w:rPr>
                <w:rFonts w:ascii="Georgia" w:hAnsi="Georgia" w:cs="Arial"/>
                <w:bCs w:val="0"/>
                <w:sz w:val="20"/>
                <w:szCs w:val="20"/>
              </w:rPr>
              <w:t xml:space="preserve">Iš veiksmų programų </w:t>
            </w:r>
            <w:r>
              <w:rPr>
                <w:rFonts w:ascii="Georgia" w:hAnsi="Georgia" w:cs="Arial"/>
                <w:bCs w:val="0"/>
                <w:sz w:val="20"/>
                <w:szCs w:val="20"/>
              </w:rPr>
              <w:t>finansai-</w:t>
            </w:r>
            <w:r w:rsidRPr="00E649A6">
              <w:rPr>
                <w:rFonts w:ascii="Georgia" w:hAnsi="Georgia" w:cs="Arial"/>
                <w:bCs w:val="0"/>
                <w:sz w:val="20"/>
                <w:szCs w:val="20"/>
              </w:rPr>
              <w:t>nėms priemo</w:t>
            </w:r>
            <w:r>
              <w:rPr>
                <w:rFonts w:ascii="Georgia" w:hAnsi="Georgia" w:cs="Arial"/>
                <w:bCs w:val="0"/>
                <w:sz w:val="20"/>
                <w:szCs w:val="20"/>
              </w:rPr>
              <w:t>-</w:t>
            </w:r>
            <w:r w:rsidRPr="00E649A6">
              <w:rPr>
                <w:rFonts w:ascii="Georgia" w:hAnsi="Georgia" w:cs="Arial"/>
                <w:bCs w:val="0"/>
                <w:sz w:val="20"/>
                <w:szCs w:val="20"/>
              </w:rPr>
              <w:t>nėms perves</w:t>
            </w:r>
            <w:r>
              <w:rPr>
                <w:rFonts w:ascii="Georgia" w:hAnsi="Georgia" w:cs="Arial"/>
                <w:bCs w:val="0"/>
                <w:sz w:val="20"/>
                <w:szCs w:val="20"/>
              </w:rPr>
              <w:t>-</w:t>
            </w:r>
            <w:r w:rsidRPr="00E649A6">
              <w:rPr>
                <w:rFonts w:ascii="Georgia" w:hAnsi="Georgia" w:cs="Arial"/>
                <w:bCs w:val="0"/>
                <w:sz w:val="20"/>
                <w:szCs w:val="20"/>
              </w:rPr>
              <w:t>tos lėšos (mln. €)</w:t>
            </w:r>
          </w:p>
        </w:tc>
        <w:tc>
          <w:tcPr>
            <w:tcW w:w="1841" w:type="pct"/>
            <w:gridSpan w:val="2"/>
          </w:tcPr>
          <w:p w14:paraId="03F50344" w14:textId="77777777" w:rsidR="00451BC7" w:rsidRPr="00E649A6"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E649A6">
              <w:rPr>
                <w:rFonts w:ascii="Georgia" w:hAnsi="Georgia" w:cs="Arial"/>
                <w:bCs w:val="0"/>
                <w:sz w:val="20"/>
                <w:szCs w:val="20"/>
              </w:rPr>
              <w:t>Finansų priemonės, įgyvendinamos per kontroliuojančiuosius fondus</w:t>
            </w:r>
          </w:p>
        </w:tc>
        <w:tc>
          <w:tcPr>
            <w:tcW w:w="843" w:type="pct"/>
            <w:vMerge w:val="restart"/>
          </w:tcPr>
          <w:p w14:paraId="698AF39C" w14:textId="77777777" w:rsidR="00451BC7" w:rsidRPr="00E649A6"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E649A6">
              <w:rPr>
                <w:rFonts w:ascii="Georgia" w:hAnsi="Georgia" w:cs="Arial"/>
                <w:bCs w:val="0"/>
                <w:sz w:val="20"/>
                <w:szCs w:val="20"/>
              </w:rPr>
              <w:t>Lėšos pervestos tiesiogiai įgyvendi</w:t>
            </w:r>
            <w:r>
              <w:rPr>
                <w:rFonts w:ascii="Georgia" w:hAnsi="Georgia" w:cs="Arial"/>
                <w:bCs w:val="0"/>
                <w:sz w:val="20"/>
                <w:szCs w:val="20"/>
              </w:rPr>
              <w:t>-</w:t>
            </w:r>
            <w:r w:rsidRPr="00E649A6">
              <w:rPr>
                <w:rFonts w:ascii="Georgia" w:hAnsi="Georgia" w:cs="Arial"/>
                <w:bCs w:val="0"/>
                <w:sz w:val="20"/>
                <w:szCs w:val="20"/>
              </w:rPr>
              <w:t xml:space="preserve">namoms </w:t>
            </w:r>
            <w:r>
              <w:rPr>
                <w:rFonts w:ascii="Georgia" w:hAnsi="Georgia" w:cs="Arial"/>
                <w:bCs w:val="0"/>
                <w:sz w:val="20"/>
                <w:szCs w:val="20"/>
              </w:rPr>
              <w:t>finansai-</w:t>
            </w:r>
            <w:r w:rsidRPr="00E649A6">
              <w:rPr>
                <w:rFonts w:ascii="Georgia" w:hAnsi="Georgia" w:cs="Arial"/>
                <w:bCs w:val="0"/>
                <w:sz w:val="20"/>
                <w:szCs w:val="20"/>
              </w:rPr>
              <w:t>nėms priemonėms (mln. €)</w:t>
            </w:r>
          </w:p>
        </w:tc>
        <w:tc>
          <w:tcPr>
            <w:tcW w:w="570" w:type="pct"/>
            <w:vMerge w:val="restart"/>
          </w:tcPr>
          <w:p w14:paraId="12B09273" w14:textId="77777777" w:rsidR="00451BC7" w:rsidRPr="00E649A6"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E649A6">
              <w:rPr>
                <w:rFonts w:ascii="Georgia" w:hAnsi="Georgia" w:cs="Arial"/>
                <w:bCs w:val="0"/>
                <w:sz w:val="20"/>
                <w:szCs w:val="20"/>
              </w:rPr>
              <w:t>Lėšos skirtos galuti</w:t>
            </w:r>
            <w:r>
              <w:rPr>
                <w:rFonts w:ascii="Georgia" w:hAnsi="Georgia" w:cs="Arial"/>
                <w:bCs w:val="0"/>
                <w:sz w:val="20"/>
                <w:szCs w:val="20"/>
              </w:rPr>
              <w:t>-</w:t>
            </w:r>
            <w:r w:rsidRPr="00E649A6">
              <w:rPr>
                <w:rFonts w:ascii="Georgia" w:hAnsi="Georgia" w:cs="Arial"/>
                <w:bCs w:val="0"/>
                <w:sz w:val="20"/>
                <w:szCs w:val="20"/>
              </w:rPr>
              <w:t>niams naudos gavė</w:t>
            </w:r>
            <w:r>
              <w:rPr>
                <w:rFonts w:ascii="Georgia" w:hAnsi="Georgia" w:cs="Arial"/>
                <w:bCs w:val="0"/>
                <w:sz w:val="20"/>
                <w:szCs w:val="20"/>
              </w:rPr>
              <w:t>-</w:t>
            </w:r>
            <w:r w:rsidRPr="00E649A6">
              <w:rPr>
                <w:rFonts w:ascii="Georgia" w:hAnsi="Georgia" w:cs="Arial"/>
                <w:bCs w:val="0"/>
                <w:sz w:val="20"/>
                <w:szCs w:val="20"/>
              </w:rPr>
              <w:t>jams (mln. €)</w:t>
            </w:r>
          </w:p>
        </w:tc>
      </w:tr>
      <w:tr w:rsidR="00451BC7" w:rsidRPr="00E649A6" w14:paraId="01E37DFF" w14:textId="77777777" w:rsidTr="00B51C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0" w:type="pct"/>
            <w:vMerge/>
          </w:tcPr>
          <w:p w14:paraId="5BEE6F05" w14:textId="77777777" w:rsidR="00451BC7" w:rsidRPr="00E649A6" w:rsidRDefault="00451BC7" w:rsidP="00451BC7">
            <w:pPr>
              <w:spacing w:after="120"/>
              <w:jc w:val="center"/>
              <w:rPr>
                <w:rFonts w:ascii="Georgia" w:hAnsi="Georgia" w:cs="Arial"/>
                <w:bCs w:val="0"/>
                <w:sz w:val="20"/>
                <w:szCs w:val="20"/>
              </w:rPr>
            </w:pPr>
          </w:p>
        </w:tc>
        <w:tc>
          <w:tcPr>
            <w:tcW w:w="826" w:type="pct"/>
            <w:vMerge/>
          </w:tcPr>
          <w:p w14:paraId="6525E8FB" w14:textId="77777777" w:rsidR="00451BC7" w:rsidRPr="00E649A6"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p>
        </w:tc>
        <w:tc>
          <w:tcPr>
            <w:tcW w:w="958" w:type="pct"/>
          </w:tcPr>
          <w:p w14:paraId="7A67E109" w14:textId="77777777" w:rsidR="00451BC7" w:rsidRPr="00E649A6"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E649A6">
              <w:rPr>
                <w:rFonts w:ascii="Georgia" w:hAnsi="Georgia" w:cs="Arial"/>
                <w:bCs w:val="0"/>
                <w:sz w:val="20"/>
                <w:szCs w:val="20"/>
              </w:rPr>
              <w:t>Kontroliuojantiesiems fondams sumokėtos lėšos (mln. €)</w:t>
            </w:r>
          </w:p>
        </w:tc>
        <w:tc>
          <w:tcPr>
            <w:tcW w:w="883" w:type="pct"/>
          </w:tcPr>
          <w:p w14:paraId="7E312022" w14:textId="77777777" w:rsidR="00451BC7" w:rsidRPr="00E649A6"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E649A6">
              <w:rPr>
                <w:rFonts w:ascii="Georgia" w:hAnsi="Georgia" w:cs="Arial"/>
                <w:bCs w:val="0"/>
                <w:sz w:val="20"/>
                <w:szCs w:val="20"/>
              </w:rPr>
              <w:t>Kontroliuojančiųjų fondų lėšos pervestos finansiniams tarpininkams (mln. €)</w:t>
            </w:r>
          </w:p>
        </w:tc>
        <w:tc>
          <w:tcPr>
            <w:tcW w:w="843" w:type="pct"/>
            <w:vMerge/>
          </w:tcPr>
          <w:p w14:paraId="3DAAC0F2" w14:textId="77777777" w:rsidR="00451BC7" w:rsidRPr="00E649A6"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p>
        </w:tc>
        <w:tc>
          <w:tcPr>
            <w:tcW w:w="570" w:type="pct"/>
            <w:vMerge/>
          </w:tcPr>
          <w:p w14:paraId="5AB8E2D9" w14:textId="77777777" w:rsidR="00451BC7" w:rsidRPr="00E649A6" w:rsidRDefault="00451BC7" w:rsidP="00451BC7">
            <w:pPr>
              <w:spacing w:after="120"/>
              <w:jc w:val="cente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p>
        </w:tc>
      </w:tr>
      <w:tr w:rsidR="00451BC7" w:rsidRPr="0088418D" w14:paraId="5A116356" w14:textId="77777777" w:rsidTr="00451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14:paraId="0F6546FA" w14:textId="77777777" w:rsidR="00451BC7" w:rsidRPr="0088418D" w:rsidRDefault="00451BC7" w:rsidP="0088418D">
            <w:pPr>
              <w:spacing w:after="120"/>
              <w:jc w:val="center"/>
              <w:rPr>
                <w:rFonts w:ascii="Georgia" w:hAnsi="Georgia" w:cs="Arial"/>
                <w:b w:val="0"/>
                <w:bCs w:val="0"/>
                <w:sz w:val="20"/>
                <w:szCs w:val="20"/>
              </w:rPr>
            </w:pPr>
            <w:r w:rsidRPr="0088418D">
              <w:rPr>
                <w:rFonts w:ascii="Georgia" w:hAnsi="Georgia" w:cs="Arial"/>
                <w:b w:val="0"/>
                <w:bCs w:val="0"/>
                <w:sz w:val="20"/>
                <w:szCs w:val="20"/>
              </w:rPr>
              <w:t>17</w:t>
            </w:r>
            <w:r w:rsidR="0088418D" w:rsidRPr="0088418D">
              <w:rPr>
                <w:rFonts w:ascii="Georgia" w:hAnsi="Georgia" w:cs="Arial"/>
                <w:b w:val="0"/>
                <w:bCs w:val="0"/>
                <w:sz w:val="20"/>
                <w:szCs w:val="20"/>
              </w:rPr>
              <w:t xml:space="preserve"> </w:t>
            </w:r>
            <w:r w:rsidRPr="0088418D">
              <w:rPr>
                <w:rFonts w:ascii="Georgia" w:hAnsi="Georgia" w:cs="Arial"/>
                <w:b w:val="0"/>
                <w:bCs w:val="0"/>
                <w:sz w:val="20"/>
                <w:szCs w:val="20"/>
              </w:rPr>
              <w:t>545,09</w:t>
            </w:r>
          </w:p>
        </w:tc>
        <w:tc>
          <w:tcPr>
            <w:tcW w:w="826" w:type="pct"/>
          </w:tcPr>
          <w:p w14:paraId="3B60A629" w14:textId="77777777" w:rsidR="00451BC7" w:rsidRPr="0088418D" w:rsidRDefault="00451BC7" w:rsidP="0088418D">
            <w:pPr>
              <w:spacing w:after="120"/>
              <w:jc w:val="cente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88418D">
              <w:rPr>
                <w:rFonts w:ascii="Georgia" w:hAnsi="Georgia" w:cs="Arial"/>
                <w:bCs/>
                <w:sz w:val="20"/>
                <w:szCs w:val="20"/>
              </w:rPr>
              <w:t>12</w:t>
            </w:r>
            <w:r w:rsidR="0088418D" w:rsidRPr="0088418D">
              <w:rPr>
                <w:rFonts w:ascii="Georgia" w:hAnsi="Georgia" w:cs="Arial"/>
                <w:bCs/>
                <w:sz w:val="20"/>
                <w:szCs w:val="20"/>
              </w:rPr>
              <w:t xml:space="preserve"> </w:t>
            </w:r>
            <w:r w:rsidRPr="0088418D">
              <w:rPr>
                <w:rFonts w:ascii="Georgia" w:hAnsi="Georgia" w:cs="Arial"/>
                <w:bCs/>
                <w:sz w:val="20"/>
                <w:szCs w:val="20"/>
              </w:rPr>
              <w:t>558,23</w:t>
            </w:r>
          </w:p>
        </w:tc>
        <w:tc>
          <w:tcPr>
            <w:tcW w:w="958" w:type="pct"/>
          </w:tcPr>
          <w:p w14:paraId="05D34C5D" w14:textId="77777777" w:rsidR="00451BC7" w:rsidRPr="0088418D" w:rsidRDefault="00451BC7" w:rsidP="0088418D">
            <w:pPr>
              <w:spacing w:after="120"/>
              <w:jc w:val="cente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88418D">
              <w:rPr>
                <w:rFonts w:ascii="Georgia" w:hAnsi="Georgia" w:cs="Arial"/>
                <w:bCs/>
                <w:sz w:val="20"/>
                <w:szCs w:val="20"/>
              </w:rPr>
              <w:t>5957,16</w:t>
            </w:r>
          </w:p>
        </w:tc>
        <w:tc>
          <w:tcPr>
            <w:tcW w:w="883" w:type="pct"/>
          </w:tcPr>
          <w:p w14:paraId="16253A9E" w14:textId="77777777" w:rsidR="00451BC7" w:rsidRPr="0088418D" w:rsidRDefault="00451BC7" w:rsidP="0088418D">
            <w:pPr>
              <w:spacing w:after="120"/>
              <w:jc w:val="cente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88418D">
              <w:rPr>
                <w:rFonts w:ascii="Georgia" w:hAnsi="Georgia" w:cs="Arial"/>
                <w:bCs/>
                <w:sz w:val="20"/>
                <w:szCs w:val="20"/>
              </w:rPr>
              <w:t>2812,20</w:t>
            </w:r>
          </w:p>
        </w:tc>
        <w:tc>
          <w:tcPr>
            <w:tcW w:w="843" w:type="pct"/>
          </w:tcPr>
          <w:p w14:paraId="2D468708" w14:textId="77777777" w:rsidR="00451BC7" w:rsidRPr="0088418D" w:rsidRDefault="0088418D" w:rsidP="00451BC7">
            <w:pPr>
              <w:spacing w:after="120"/>
              <w:jc w:val="cente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Pr>
                <w:rFonts w:ascii="Georgia" w:hAnsi="Georgia" w:cs="Arial"/>
                <w:bCs/>
                <w:sz w:val="20"/>
                <w:szCs w:val="20"/>
              </w:rPr>
              <w:t>6</w:t>
            </w:r>
            <w:r w:rsidR="00451BC7" w:rsidRPr="0088418D">
              <w:rPr>
                <w:rFonts w:ascii="Georgia" w:hAnsi="Georgia" w:cs="Arial"/>
                <w:bCs/>
                <w:sz w:val="20"/>
                <w:szCs w:val="20"/>
              </w:rPr>
              <w:t>601,07</w:t>
            </w:r>
          </w:p>
        </w:tc>
        <w:tc>
          <w:tcPr>
            <w:tcW w:w="570" w:type="pct"/>
          </w:tcPr>
          <w:p w14:paraId="05B70A43" w14:textId="77777777" w:rsidR="00451BC7" w:rsidRPr="0088418D" w:rsidRDefault="00451BC7" w:rsidP="0088418D">
            <w:pPr>
              <w:spacing w:after="120"/>
              <w:jc w:val="cente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88418D">
              <w:rPr>
                <w:rFonts w:ascii="Georgia" w:hAnsi="Georgia" w:cs="Arial"/>
                <w:bCs/>
                <w:sz w:val="20"/>
                <w:szCs w:val="20"/>
              </w:rPr>
              <w:t>4684,33</w:t>
            </w:r>
          </w:p>
        </w:tc>
      </w:tr>
    </w:tbl>
    <w:p w14:paraId="681CC084" w14:textId="77777777" w:rsidR="00451BC7" w:rsidRPr="00AF1768" w:rsidRDefault="00451BC7" w:rsidP="00AF1768">
      <w:pPr>
        <w:pStyle w:val="Antrat"/>
        <w:rPr>
          <w:b w:val="0"/>
          <w:i/>
          <w:lang w:val="lt-LT"/>
        </w:rPr>
      </w:pPr>
      <w:r w:rsidRPr="00AF1768">
        <w:rPr>
          <w:b w:val="0"/>
          <w:i/>
          <w:lang w:val="lt-LT"/>
        </w:rPr>
        <w:t>Šaltinis: DG REGIO informacija apie finansinių priemonių įgyvendinimą</w:t>
      </w:r>
    </w:p>
    <w:p w14:paraId="321285D5" w14:textId="77777777" w:rsidR="00451BC7" w:rsidRPr="00E649A6" w:rsidRDefault="00451BC7" w:rsidP="00451BC7">
      <w:pPr>
        <w:spacing w:after="120"/>
        <w:jc w:val="both"/>
        <w:rPr>
          <w:rFonts w:ascii="Georgia" w:hAnsi="Georgia" w:cs="Arial"/>
          <w:bCs/>
          <w:sz w:val="20"/>
          <w:szCs w:val="20"/>
          <w:lang w:val="lt-LT"/>
        </w:rPr>
      </w:pPr>
      <w:r>
        <w:rPr>
          <w:rFonts w:ascii="Georgia" w:hAnsi="Georgia" w:cs="Arial"/>
          <w:bCs/>
          <w:sz w:val="20"/>
          <w:szCs w:val="20"/>
          <w:lang w:val="lt-LT"/>
        </w:rPr>
        <w:t>P</w:t>
      </w:r>
      <w:r w:rsidRPr="00E649A6">
        <w:rPr>
          <w:rFonts w:ascii="Georgia" w:hAnsi="Georgia" w:cs="Arial"/>
          <w:bCs/>
          <w:sz w:val="20"/>
          <w:szCs w:val="20"/>
          <w:lang w:val="lt-LT"/>
        </w:rPr>
        <w:t>rie finansinių priemonių įgyvendinimo 17</w:t>
      </w:r>
      <w:r>
        <w:rPr>
          <w:rFonts w:ascii="Georgia" w:hAnsi="Georgia" w:cs="Arial"/>
          <w:bCs/>
          <w:sz w:val="20"/>
          <w:szCs w:val="20"/>
          <w:lang w:val="lt-LT"/>
        </w:rPr>
        <w:t>-oje</w:t>
      </w:r>
      <w:r w:rsidRPr="00E649A6">
        <w:rPr>
          <w:rFonts w:ascii="Georgia" w:hAnsi="Georgia" w:cs="Arial"/>
          <w:bCs/>
          <w:sz w:val="20"/>
          <w:szCs w:val="20"/>
          <w:lang w:val="lt-LT"/>
        </w:rPr>
        <w:t xml:space="preserve"> valstyb</w:t>
      </w:r>
      <w:r>
        <w:rPr>
          <w:rFonts w:ascii="Georgia" w:hAnsi="Georgia" w:cs="Arial"/>
          <w:bCs/>
          <w:sz w:val="20"/>
          <w:szCs w:val="20"/>
          <w:lang w:val="lt-LT"/>
        </w:rPr>
        <w:t>ių</w:t>
      </w:r>
      <w:r w:rsidRPr="00E649A6">
        <w:rPr>
          <w:rFonts w:ascii="Georgia" w:hAnsi="Georgia" w:cs="Arial"/>
          <w:bCs/>
          <w:sz w:val="20"/>
          <w:szCs w:val="20"/>
          <w:lang w:val="lt-LT"/>
        </w:rPr>
        <w:t xml:space="preserve"> nar</w:t>
      </w:r>
      <w:r>
        <w:rPr>
          <w:rFonts w:ascii="Georgia" w:hAnsi="Georgia" w:cs="Arial"/>
          <w:bCs/>
          <w:sz w:val="20"/>
          <w:szCs w:val="20"/>
          <w:lang w:val="lt-LT"/>
        </w:rPr>
        <w:t>ių</w:t>
      </w:r>
      <w:r w:rsidRPr="00E649A6">
        <w:rPr>
          <w:rFonts w:ascii="Georgia" w:hAnsi="Georgia" w:cs="Arial"/>
          <w:bCs/>
          <w:sz w:val="20"/>
          <w:szCs w:val="20"/>
          <w:lang w:val="lt-LT"/>
        </w:rPr>
        <w:t xml:space="preserve"> buvo prisidedama papildomais v</w:t>
      </w:r>
      <w:r w:rsidR="0088418D">
        <w:rPr>
          <w:rFonts w:ascii="Georgia" w:hAnsi="Georgia" w:cs="Arial"/>
          <w:bCs/>
          <w:sz w:val="20"/>
          <w:szCs w:val="20"/>
          <w:lang w:val="lt-LT"/>
        </w:rPr>
        <w:t>iešais/privačiais ištekliais (2</w:t>
      </w:r>
      <w:r w:rsidRPr="00E649A6">
        <w:rPr>
          <w:rFonts w:ascii="Georgia" w:hAnsi="Georgia" w:cs="Arial"/>
          <w:bCs/>
          <w:sz w:val="20"/>
          <w:szCs w:val="20"/>
          <w:lang w:val="lt-LT"/>
        </w:rPr>
        <w:t xml:space="preserve">485,4 mln. € arba </w:t>
      </w:r>
      <w:r>
        <w:rPr>
          <w:rFonts w:ascii="Georgia" w:hAnsi="Georgia" w:cs="Arial"/>
          <w:bCs/>
          <w:sz w:val="20"/>
          <w:szCs w:val="20"/>
          <w:lang w:val="lt-LT"/>
        </w:rPr>
        <w:t xml:space="preserve">papildomai </w:t>
      </w:r>
      <w:r w:rsidRPr="00E649A6">
        <w:rPr>
          <w:rFonts w:ascii="Georgia" w:hAnsi="Georgia" w:cs="Arial"/>
          <w:bCs/>
          <w:sz w:val="20"/>
          <w:szCs w:val="20"/>
          <w:lang w:val="lt-LT"/>
        </w:rPr>
        <w:t>25 proc. prie veiksmų programų indėlio). Finansavimas buvo skirtas daugiau nei 192</w:t>
      </w:r>
      <w:r w:rsidR="0088418D">
        <w:rPr>
          <w:rFonts w:ascii="Georgia" w:hAnsi="Georgia" w:cs="Arial"/>
          <w:bCs/>
          <w:sz w:val="20"/>
          <w:szCs w:val="20"/>
          <w:lang w:val="lt-LT"/>
        </w:rPr>
        <w:t xml:space="preserve"> </w:t>
      </w:r>
      <w:r w:rsidRPr="00E649A6">
        <w:rPr>
          <w:rFonts w:ascii="Georgia" w:hAnsi="Georgia" w:cs="Arial"/>
          <w:bCs/>
          <w:sz w:val="20"/>
          <w:szCs w:val="20"/>
          <w:lang w:val="lt-LT"/>
        </w:rPr>
        <w:t>000 galutini</w:t>
      </w:r>
      <w:r>
        <w:rPr>
          <w:rFonts w:ascii="Georgia" w:hAnsi="Georgia" w:cs="Arial"/>
          <w:bCs/>
          <w:sz w:val="20"/>
          <w:szCs w:val="20"/>
          <w:lang w:val="lt-LT"/>
        </w:rPr>
        <w:t>ų</w:t>
      </w:r>
      <w:r w:rsidRPr="00E649A6">
        <w:rPr>
          <w:rFonts w:ascii="Georgia" w:hAnsi="Georgia" w:cs="Arial"/>
          <w:bCs/>
          <w:sz w:val="20"/>
          <w:szCs w:val="20"/>
          <w:lang w:val="lt-LT"/>
        </w:rPr>
        <w:t xml:space="preserve"> naudos gavėj</w:t>
      </w:r>
      <w:r>
        <w:rPr>
          <w:rFonts w:ascii="Georgia" w:hAnsi="Georgia" w:cs="Arial"/>
          <w:bCs/>
          <w:sz w:val="20"/>
          <w:szCs w:val="20"/>
          <w:lang w:val="lt-LT"/>
        </w:rPr>
        <w:t>ų</w:t>
      </w:r>
      <w:r w:rsidRPr="00E649A6">
        <w:rPr>
          <w:rFonts w:ascii="Georgia" w:hAnsi="Georgia" w:cs="Arial"/>
          <w:bCs/>
          <w:sz w:val="20"/>
          <w:szCs w:val="20"/>
          <w:lang w:val="lt-LT"/>
        </w:rPr>
        <w:t>.</w:t>
      </w:r>
    </w:p>
    <w:p w14:paraId="0BA51C37" w14:textId="77777777" w:rsidR="00451BC7" w:rsidRPr="00E649A6" w:rsidRDefault="00451BC7" w:rsidP="00451BC7">
      <w:pPr>
        <w:spacing w:after="120"/>
        <w:jc w:val="both"/>
        <w:rPr>
          <w:rFonts w:ascii="Georgia" w:hAnsi="Georgia" w:cs="Arial"/>
          <w:bCs/>
          <w:sz w:val="20"/>
          <w:szCs w:val="20"/>
          <w:lang w:val="lt-LT"/>
        </w:rPr>
      </w:pPr>
      <w:r w:rsidRPr="00E649A6">
        <w:rPr>
          <w:rFonts w:ascii="Georgia" w:hAnsi="Georgia" w:cs="Arial"/>
          <w:bCs/>
          <w:sz w:val="20"/>
          <w:szCs w:val="20"/>
          <w:lang w:val="lt-LT"/>
        </w:rPr>
        <w:lastRenderedPageBreak/>
        <w:t xml:space="preserve">Atsižvelgiant į tai, jog ex ante </w:t>
      </w:r>
      <w:r w:rsidR="00AF1768">
        <w:rPr>
          <w:rFonts w:ascii="Georgia" w:hAnsi="Georgia" w:cs="Arial"/>
          <w:bCs/>
          <w:sz w:val="20"/>
          <w:szCs w:val="20"/>
          <w:lang w:val="lt-LT"/>
        </w:rPr>
        <w:t>vertinimas</w:t>
      </w:r>
      <w:r w:rsidRPr="00E649A6">
        <w:rPr>
          <w:rFonts w:ascii="Georgia" w:hAnsi="Georgia" w:cs="Arial"/>
          <w:bCs/>
          <w:sz w:val="20"/>
          <w:szCs w:val="20"/>
          <w:lang w:val="lt-LT"/>
        </w:rPr>
        <w:t xml:space="preserve"> skirta</w:t>
      </w:r>
      <w:r w:rsidR="00AF1768">
        <w:rPr>
          <w:rFonts w:ascii="Georgia" w:hAnsi="Georgia" w:cs="Arial"/>
          <w:bCs/>
          <w:sz w:val="20"/>
          <w:szCs w:val="20"/>
          <w:lang w:val="lt-LT"/>
        </w:rPr>
        <w:t>s</w:t>
      </w:r>
      <w:r w:rsidRPr="00E649A6">
        <w:rPr>
          <w:rFonts w:ascii="Georgia" w:hAnsi="Georgia" w:cs="Arial"/>
          <w:bCs/>
          <w:sz w:val="20"/>
          <w:szCs w:val="20"/>
          <w:lang w:val="lt-LT"/>
        </w:rPr>
        <w:t xml:space="preserve"> investicijų</w:t>
      </w:r>
      <w:r w:rsidR="00AF1768">
        <w:rPr>
          <w:rFonts w:ascii="Georgia" w:hAnsi="Georgia" w:cs="Arial"/>
          <w:bCs/>
          <w:sz w:val="20"/>
          <w:szCs w:val="20"/>
          <w:lang w:val="lt-LT"/>
        </w:rPr>
        <w:t xml:space="preserve"> į energijos efektyvumą sektoriaus analizei</w:t>
      </w:r>
      <w:r w:rsidRPr="00E649A6">
        <w:rPr>
          <w:rFonts w:ascii="Georgia" w:hAnsi="Georgia" w:cs="Arial"/>
          <w:bCs/>
          <w:sz w:val="20"/>
          <w:szCs w:val="20"/>
          <w:lang w:val="lt-LT"/>
        </w:rPr>
        <w:t>, toliau apžvelgiama tik miestų plėtrą</w:t>
      </w:r>
      <w:r w:rsidRPr="00E649A6">
        <w:rPr>
          <w:rFonts w:ascii="Georgia" w:hAnsi="Georgia" w:cs="Arial"/>
          <w:bCs/>
          <w:sz w:val="20"/>
          <w:szCs w:val="20"/>
          <w:vertAlign w:val="superscript"/>
          <w:lang w:val="lt-LT"/>
        </w:rPr>
        <w:footnoteReference w:id="148"/>
      </w:r>
      <w:r w:rsidRPr="00E649A6">
        <w:rPr>
          <w:rFonts w:ascii="Georgia" w:hAnsi="Georgia" w:cs="Arial"/>
          <w:bCs/>
          <w:sz w:val="20"/>
          <w:szCs w:val="20"/>
          <w:lang w:val="lt-LT"/>
        </w:rPr>
        <w:t xml:space="preserve"> ir energijos efektyvumą/atsinaujinančius energijos išteklius finansuojančių priemonių statistika. </w:t>
      </w:r>
    </w:p>
    <w:p w14:paraId="583829AB" w14:textId="77777777" w:rsidR="00451BC7" w:rsidRPr="00E649A6" w:rsidRDefault="00451BC7" w:rsidP="00451BC7">
      <w:pPr>
        <w:spacing w:after="120"/>
        <w:jc w:val="both"/>
        <w:rPr>
          <w:rFonts w:ascii="Georgia" w:hAnsi="Georgia" w:cs="Arial"/>
          <w:bCs/>
          <w:sz w:val="20"/>
          <w:szCs w:val="20"/>
          <w:lang w:val="lt-LT"/>
        </w:rPr>
      </w:pPr>
      <w:r w:rsidRPr="00E649A6">
        <w:rPr>
          <w:rFonts w:ascii="Georgia" w:hAnsi="Georgia" w:cs="Arial"/>
          <w:bCs/>
          <w:i/>
          <w:sz w:val="20"/>
          <w:szCs w:val="20"/>
          <w:lang w:val="lt-LT"/>
        </w:rPr>
        <w:t>Miestų plėtra</w:t>
      </w:r>
      <w:r w:rsidRPr="00E649A6">
        <w:rPr>
          <w:rFonts w:ascii="Georgia" w:hAnsi="Georgia" w:cs="Arial"/>
          <w:bCs/>
          <w:sz w:val="20"/>
          <w:szCs w:val="20"/>
          <w:lang w:val="lt-LT"/>
        </w:rPr>
        <w:t>: 2007-2012 m. laikotarpiu veiksmų programų lėšomis buvo finansuojamos 56 finansinės priemonės, skirtos miestų plėtrai vienuolikoje valstybių</w:t>
      </w:r>
      <w:r w:rsidRPr="00E649A6">
        <w:rPr>
          <w:rFonts w:ascii="Georgia" w:hAnsi="Georgia" w:cs="Arial"/>
          <w:bCs/>
          <w:sz w:val="20"/>
          <w:szCs w:val="20"/>
          <w:vertAlign w:val="superscript"/>
          <w:lang w:val="lt-LT"/>
        </w:rPr>
        <w:footnoteReference w:id="149"/>
      </w:r>
      <w:r w:rsidRPr="00E649A6">
        <w:rPr>
          <w:rFonts w:ascii="Georgia" w:hAnsi="Georgia" w:cs="Arial"/>
          <w:bCs/>
          <w:sz w:val="20"/>
          <w:szCs w:val="20"/>
          <w:lang w:val="lt-LT"/>
        </w:rPr>
        <w:t>.</w:t>
      </w:r>
    </w:p>
    <w:p w14:paraId="7DA36E18" w14:textId="77777777" w:rsidR="00451BC7" w:rsidRPr="00E649A6" w:rsidRDefault="00451BC7" w:rsidP="00451BC7">
      <w:pPr>
        <w:spacing w:after="120"/>
        <w:jc w:val="both"/>
        <w:rPr>
          <w:rFonts w:ascii="Georgia" w:hAnsi="Georgia" w:cs="Arial"/>
          <w:bCs/>
          <w:sz w:val="20"/>
          <w:szCs w:val="20"/>
          <w:lang w:val="lt-LT"/>
        </w:rPr>
      </w:pPr>
      <w:r w:rsidRPr="00E649A6">
        <w:rPr>
          <w:rFonts w:ascii="Georgia" w:hAnsi="Georgia" w:cs="Arial"/>
          <w:bCs/>
          <w:sz w:val="20"/>
          <w:szCs w:val="20"/>
          <w:lang w:val="lt-LT"/>
        </w:rPr>
        <w:t>2012 m. pab</w:t>
      </w:r>
      <w:r>
        <w:rPr>
          <w:rFonts w:ascii="Georgia" w:hAnsi="Georgia" w:cs="Arial"/>
          <w:bCs/>
          <w:sz w:val="20"/>
          <w:szCs w:val="20"/>
          <w:lang w:val="lt-LT"/>
        </w:rPr>
        <w:t>aigoje</w:t>
      </w:r>
      <w:r w:rsidRPr="00E649A6">
        <w:rPr>
          <w:rFonts w:ascii="Georgia" w:hAnsi="Georgia" w:cs="Arial"/>
          <w:bCs/>
          <w:sz w:val="20"/>
          <w:szCs w:val="20"/>
          <w:lang w:val="lt-LT"/>
        </w:rPr>
        <w:t xml:space="preserve"> kontroliuojantieji fondai finansų tarpininkams buvo pervedę pusę iš vadovaujančiųjų institucijų gautų lėšų (789,9 mln. €). Likusios lėšos – 727,6 mln. € tuo metu dar buvo kontroliuojančiųjų fondų lygyje. 124,</w:t>
      </w:r>
      <w:r w:rsidR="0088418D">
        <w:rPr>
          <w:rFonts w:ascii="Georgia" w:hAnsi="Georgia" w:cs="Arial"/>
          <w:bCs/>
          <w:sz w:val="20"/>
          <w:szCs w:val="20"/>
          <w:lang w:val="lt-LT"/>
        </w:rPr>
        <w:t>4</w:t>
      </w:r>
      <w:r w:rsidRPr="00E649A6">
        <w:rPr>
          <w:rFonts w:ascii="Georgia" w:hAnsi="Georgia" w:cs="Arial"/>
          <w:bCs/>
          <w:sz w:val="20"/>
          <w:szCs w:val="20"/>
          <w:lang w:val="lt-LT"/>
        </w:rPr>
        <w:t xml:space="preserve"> mln. € lėšų buvo pervesta tiesiogiai įgyvendinamoms finansinėms priemonėms.</w:t>
      </w:r>
    </w:p>
    <w:p w14:paraId="01C37AEB" w14:textId="77777777" w:rsidR="00451BC7" w:rsidRPr="00E649A6" w:rsidRDefault="00451BC7" w:rsidP="00451BC7">
      <w:pPr>
        <w:spacing w:after="120"/>
        <w:jc w:val="both"/>
        <w:rPr>
          <w:rFonts w:ascii="Georgia" w:hAnsi="Georgia" w:cs="Arial"/>
          <w:bCs/>
          <w:sz w:val="20"/>
          <w:szCs w:val="20"/>
          <w:lang w:val="lt-LT"/>
        </w:rPr>
      </w:pPr>
      <w:r w:rsidRPr="00E649A6">
        <w:rPr>
          <w:rFonts w:ascii="Georgia" w:hAnsi="Georgia" w:cs="Arial"/>
          <w:bCs/>
          <w:i/>
          <w:sz w:val="20"/>
          <w:szCs w:val="20"/>
          <w:lang w:val="lt-LT"/>
        </w:rPr>
        <w:t>Energijos efektyvumas/atsinaujinantys energijos ištekliai</w:t>
      </w:r>
      <w:r w:rsidRPr="00E649A6">
        <w:rPr>
          <w:rFonts w:ascii="Georgia" w:hAnsi="Georgia" w:cs="Arial"/>
          <w:bCs/>
          <w:sz w:val="20"/>
          <w:szCs w:val="20"/>
          <w:lang w:val="lt-LT"/>
        </w:rPr>
        <w:t>: energijos efektyvumo ir atsinaujinančių energijos išteklių projektai kaip atskira finansavimo per finansines priemones sritis išskirta</w:t>
      </w:r>
      <w:r>
        <w:rPr>
          <w:rFonts w:ascii="Georgia" w:hAnsi="Georgia" w:cs="Arial"/>
          <w:bCs/>
          <w:sz w:val="20"/>
          <w:szCs w:val="20"/>
          <w:lang w:val="lt-LT"/>
        </w:rPr>
        <w:t xml:space="preserve"> </w:t>
      </w:r>
      <w:r w:rsidRPr="00E649A6">
        <w:rPr>
          <w:rFonts w:ascii="Georgia" w:hAnsi="Georgia" w:cs="Arial"/>
          <w:bCs/>
          <w:sz w:val="20"/>
          <w:szCs w:val="20"/>
          <w:lang w:val="lt-LT"/>
        </w:rPr>
        <w:t>2010 m. patvirtinus reglamentą (ES) 539/2010</w:t>
      </w:r>
      <w:r w:rsidRPr="00E649A6">
        <w:rPr>
          <w:rFonts w:ascii="Georgia" w:hAnsi="Georgia" w:cs="Arial"/>
          <w:bCs/>
          <w:sz w:val="20"/>
          <w:szCs w:val="20"/>
          <w:vertAlign w:val="superscript"/>
          <w:lang w:val="lt-LT"/>
        </w:rPr>
        <w:footnoteReference w:id="150"/>
      </w:r>
      <w:r w:rsidRPr="00E649A6">
        <w:rPr>
          <w:rFonts w:ascii="Georgia" w:hAnsi="Georgia" w:cs="Arial"/>
          <w:bCs/>
          <w:sz w:val="20"/>
          <w:szCs w:val="20"/>
          <w:lang w:val="lt-LT"/>
        </w:rPr>
        <w:t xml:space="preserve"> </w:t>
      </w:r>
      <w:r w:rsidRPr="00E649A6">
        <w:rPr>
          <w:rFonts w:ascii="Georgia" w:hAnsi="Georgia" w:cs="Arial"/>
          <w:bCs/>
          <w:sz w:val="20"/>
          <w:szCs w:val="20"/>
          <w:vertAlign w:val="superscript"/>
          <w:lang w:val="lt-LT"/>
        </w:rPr>
        <w:footnoteReference w:id="151"/>
      </w:r>
      <w:r w:rsidRPr="00E649A6">
        <w:rPr>
          <w:rFonts w:ascii="Georgia" w:hAnsi="Georgia" w:cs="Arial"/>
          <w:bCs/>
          <w:sz w:val="20"/>
          <w:szCs w:val="20"/>
          <w:lang w:val="lt-LT"/>
        </w:rPr>
        <w:t xml:space="preserve">. Iki tol šios srities projektai buvo finansuojami kaip miestų plėtros projektai, pvz., Lietuvos JESSICA </w:t>
      </w:r>
      <w:r w:rsidR="00AF1768">
        <w:rPr>
          <w:rFonts w:ascii="Georgia" w:hAnsi="Georgia" w:cs="Arial"/>
          <w:bCs/>
          <w:sz w:val="20"/>
          <w:szCs w:val="20"/>
          <w:lang w:val="lt-LT"/>
        </w:rPr>
        <w:t>KF</w:t>
      </w:r>
      <w:r w:rsidRPr="00E649A6">
        <w:rPr>
          <w:rFonts w:ascii="Georgia" w:hAnsi="Georgia" w:cs="Arial"/>
          <w:bCs/>
          <w:sz w:val="20"/>
          <w:szCs w:val="20"/>
          <w:lang w:val="lt-LT"/>
        </w:rPr>
        <w:t>, kurio lėšomis finansuoti energijos efektyvumo projektai daugiabučiuose namuose.</w:t>
      </w:r>
    </w:p>
    <w:p w14:paraId="434F47F0" w14:textId="77777777" w:rsidR="00451BC7" w:rsidRPr="00E649A6" w:rsidRDefault="00451BC7" w:rsidP="00451BC7">
      <w:pPr>
        <w:spacing w:after="120"/>
        <w:jc w:val="both"/>
        <w:rPr>
          <w:rFonts w:ascii="Georgia" w:hAnsi="Georgia" w:cs="Arial"/>
          <w:bCs/>
          <w:sz w:val="20"/>
          <w:szCs w:val="20"/>
          <w:lang w:val="lt-LT"/>
        </w:rPr>
      </w:pPr>
      <w:r w:rsidRPr="00E649A6">
        <w:rPr>
          <w:rFonts w:ascii="Georgia" w:hAnsi="Georgia" w:cs="Arial"/>
          <w:bCs/>
          <w:sz w:val="20"/>
          <w:szCs w:val="20"/>
          <w:lang w:val="lt-LT"/>
        </w:rPr>
        <w:t xml:space="preserve">Iš viso </w:t>
      </w:r>
      <w:r>
        <w:rPr>
          <w:rFonts w:ascii="Georgia" w:hAnsi="Georgia" w:cs="Arial"/>
          <w:bCs/>
          <w:sz w:val="20"/>
          <w:szCs w:val="20"/>
          <w:lang w:val="lt-LT"/>
        </w:rPr>
        <w:t xml:space="preserve">iki </w:t>
      </w:r>
      <w:r w:rsidRPr="00E649A6">
        <w:rPr>
          <w:rFonts w:ascii="Georgia" w:hAnsi="Georgia" w:cs="Arial"/>
          <w:bCs/>
          <w:sz w:val="20"/>
          <w:szCs w:val="20"/>
          <w:lang w:val="lt-LT"/>
        </w:rPr>
        <w:t>2012 m. pab</w:t>
      </w:r>
      <w:r>
        <w:rPr>
          <w:rFonts w:ascii="Georgia" w:hAnsi="Georgia" w:cs="Arial"/>
          <w:bCs/>
          <w:sz w:val="20"/>
          <w:szCs w:val="20"/>
          <w:lang w:val="lt-LT"/>
        </w:rPr>
        <w:t>aigos</w:t>
      </w:r>
      <w:r w:rsidRPr="00E649A6">
        <w:rPr>
          <w:rFonts w:ascii="Georgia" w:hAnsi="Georgia" w:cs="Arial"/>
          <w:bCs/>
          <w:sz w:val="20"/>
          <w:szCs w:val="20"/>
          <w:lang w:val="lt-LT"/>
        </w:rPr>
        <w:t xml:space="preserve"> buvo įsteigta 20 finansinių priemonių</w:t>
      </w:r>
      <w:r w:rsidRPr="00E649A6">
        <w:rPr>
          <w:rFonts w:ascii="Georgia" w:hAnsi="Georgia" w:cs="Arial"/>
          <w:bCs/>
          <w:sz w:val="20"/>
          <w:szCs w:val="20"/>
          <w:vertAlign w:val="superscript"/>
          <w:lang w:val="lt-LT"/>
        </w:rPr>
        <w:footnoteReference w:id="152"/>
      </w:r>
      <w:r w:rsidRPr="00E649A6">
        <w:rPr>
          <w:rFonts w:ascii="Georgia" w:hAnsi="Georgia" w:cs="Arial"/>
          <w:bCs/>
          <w:sz w:val="20"/>
          <w:szCs w:val="20"/>
          <w:lang w:val="lt-LT"/>
        </w:rPr>
        <w:t>. 12 iš jų įsteigta be kontroliuojančiųjų fondų. Kontroliuojančiuosius fondus steigė Čekija, Graikija, Italija ir Nyderlandai.</w:t>
      </w:r>
    </w:p>
    <w:p w14:paraId="53878F5D" w14:textId="0CE49D22" w:rsidR="00451BC7" w:rsidRPr="005F0137" w:rsidRDefault="00451BC7" w:rsidP="00451BC7">
      <w:pPr>
        <w:pStyle w:val="Antrat"/>
        <w:spacing w:line="276" w:lineRule="auto"/>
        <w:rPr>
          <w:lang w:val="lt-LT"/>
        </w:rPr>
      </w:pPr>
      <w:bookmarkStart w:id="323" w:name="_Toc460321732"/>
      <w:r w:rsidRPr="005F0137">
        <w:rPr>
          <w:lang w:val="lt-LT"/>
        </w:rPr>
        <w:t xml:space="preserve">Lentelė </w:t>
      </w:r>
      <w:r w:rsidRPr="005F0137">
        <w:rPr>
          <w:lang w:val="lt-LT"/>
        </w:rPr>
        <w:fldChar w:fldCharType="begin"/>
      </w:r>
      <w:r w:rsidRPr="005F0137">
        <w:rPr>
          <w:lang w:val="lt-LT"/>
        </w:rPr>
        <w:instrText xml:space="preserve"> SEQ Lentelė \* ARABIC </w:instrText>
      </w:r>
      <w:r w:rsidRPr="005F0137">
        <w:rPr>
          <w:lang w:val="lt-LT"/>
        </w:rPr>
        <w:fldChar w:fldCharType="separate"/>
      </w:r>
      <w:r w:rsidR="00AA3082">
        <w:rPr>
          <w:noProof/>
          <w:lang w:val="lt-LT"/>
        </w:rPr>
        <w:t>151</w:t>
      </w:r>
      <w:r w:rsidRPr="005F0137">
        <w:rPr>
          <w:lang w:val="lt-LT"/>
        </w:rPr>
        <w:fldChar w:fldCharType="end"/>
      </w:r>
      <w:r w:rsidRPr="00C27241">
        <w:rPr>
          <w:b w:val="0"/>
          <w:iCs/>
          <w:szCs w:val="20"/>
          <w:lang w:val="lt-LT"/>
        </w:rPr>
        <w:t xml:space="preserve">. </w:t>
      </w:r>
      <w:r w:rsidRPr="005F0137">
        <w:rPr>
          <w:lang w:val="lt-LT"/>
        </w:rPr>
        <w:t>Energijos efektyvumo/atsinaujinančių energijos išteklių projektus finansuoja</w:t>
      </w:r>
      <w:r w:rsidR="00AF1768">
        <w:rPr>
          <w:lang w:val="lt-LT"/>
        </w:rPr>
        <w:t>nčios finansinės priemonės</w:t>
      </w:r>
      <w:bookmarkEnd w:id="323"/>
    </w:p>
    <w:tbl>
      <w:tblPr>
        <w:tblStyle w:val="viesussraas2parykinimas1"/>
        <w:tblW w:w="5000" w:type="pct"/>
        <w:tblLayout w:type="fixed"/>
        <w:tblLook w:val="0420" w:firstRow="1" w:lastRow="0" w:firstColumn="0" w:lastColumn="0" w:noHBand="0" w:noVBand="1"/>
      </w:tblPr>
      <w:tblGrid>
        <w:gridCol w:w="337"/>
        <w:gridCol w:w="1689"/>
        <w:gridCol w:w="1804"/>
        <w:gridCol w:w="1804"/>
        <w:gridCol w:w="1804"/>
        <w:gridCol w:w="1804"/>
      </w:tblGrid>
      <w:tr w:rsidR="00451BC7" w:rsidRPr="00A84FBE" w14:paraId="3C3F6A65" w14:textId="77777777" w:rsidTr="00A84FBE">
        <w:trPr>
          <w:cnfStyle w:val="100000000000" w:firstRow="1" w:lastRow="0" w:firstColumn="0" w:lastColumn="0" w:oddVBand="0" w:evenVBand="0" w:oddHBand="0" w:evenHBand="0" w:firstRowFirstColumn="0" w:firstRowLastColumn="0" w:lastRowFirstColumn="0" w:lastRowLastColumn="0"/>
          <w:tblHeader/>
        </w:trPr>
        <w:tc>
          <w:tcPr>
            <w:tcW w:w="182" w:type="pct"/>
          </w:tcPr>
          <w:p w14:paraId="1293D714" w14:textId="77777777" w:rsidR="00451BC7" w:rsidRPr="00A84FBE" w:rsidRDefault="00451BC7" w:rsidP="00451BC7">
            <w:pPr>
              <w:rPr>
                <w:rFonts w:ascii="Georgia" w:hAnsi="Georgia"/>
                <w:bCs w:val="0"/>
                <w:sz w:val="20"/>
                <w:szCs w:val="20"/>
              </w:rPr>
            </w:pPr>
          </w:p>
        </w:tc>
        <w:tc>
          <w:tcPr>
            <w:tcW w:w="914" w:type="pct"/>
          </w:tcPr>
          <w:p w14:paraId="4CAECA25" w14:textId="77777777" w:rsidR="00451BC7" w:rsidRPr="00A84FBE" w:rsidRDefault="00451BC7" w:rsidP="00451BC7">
            <w:pPr>
              <w:jc w:val="center"/>
              <w:rPr>
                <w:rFonts w:ascii="Georgia" w:hAnsi="Georgia"/>
                <w:bCs w:val="0"/>
                <w:sz w:val="20"/>
                <w:szCs w:val="20"/>
              </w:rPr>
            </w:pPr>
            <w:r w:rsidRPr="00A84FBE">
              <w:rPr>
                <w:rFonts w:ascii="Georgia" w:hAnsi="Georgia"/>
                <w:bCs w:val="0"/>
                <w:sz w:val="20"/>
                <w:szCs w:val="20"/>
              </w:rPr>
              <w:t>Valstybė</w:t>
            </w:r>
          </w:p>
        </w:tc>
        <w:tc>
          <w:tcPr>
            <w:tcW w:w="976" w:type="pct"/>
          </w:tcPr>
          <w:p w14:paraId="688DC9E7" w14:textId="77777777" w:rsidR="00451BC7" w:rsidRPr="00A84FBE" w:rsidRDefault="00451BC7" w:rsidP="00451BC7">
            <w:pPr>
              <w:jc w:val="center"/>
              <w:rPr>
                <w:rFonts w:ascii="Georgia" w:hAnsi="Georgia"/>
                <w:bCs w:val="0"/>
                <w:sz w:val="20"/>
                <w:szCs w:val="20"/>
              </w:rPr>
            </w:pPr>
            <w:r w:rsidRPr="00A84FBE">
              <w:rPr>
                <w:rFonts w:ascii="Georgia" w:hAnsi="Georgia"/>
                <w:bCs w:val="0"/>
                <w:sz w:val="20"/>
                <w:szCs w:val="20"/>
              </w:rPr>
              <w:t>Finansinės priemonės (vnt.) (iš viso)</w:t>
            </w:r>
          </w:p>
        </w:tc>
        <w:tc>
          <w:tcPr>
            <w:tcW w:w="976" w:type="pct"/>
          </w:tcPr>
          <w:p w14:paraId="2287824E" w14:textId="77777777" w:rsidR="00451BC7" w:rsidRPr="00A84FBE" w:rsidRDefault="00451BC7" w:rsidP="00451BC7">
            <w:pPr>
              <w:jc w:val="center"/>
              <w:rPr>
                <w:rFonts w:ascii="Georgia" w:hAnsi="Georgia"/>
                <w:bCs w:val="0"/>
                <w:sz w:val="20"/>
                <w:szCs w:val="20"/>
              </w:rPr>
            </w:pPr>
            <w:r w:rsidRPr="00A84FBE">
              <w:rPr>
                <w:rFonts w:ascii="Georgia" w:hAnsi="Georgia"/>
                <w:bCs w:val="0"/>
                <w:sz w:val="20"/>
                <w:szCs w:val="20"/>
              </w:rPr>
              <w:t>Kontroliuojan</w:t>
            </w:r>
            <w:r w:rsidR="00A84FBE">
              <w:rPr>
                <w:rFonts w:ascii="Georgia" w:hAnsi="Georgia"/>
                <w:bCs w:val="0"/>
                <w:sz w:val="20"/>
                <w:szCs w:val="20"/>
              </w:rPr>
              <w:t>-</w:t>
            </w:r>
            <w:r w:rsidRPr="00A84FBE">
              <w:rPr>
                <w:rFonts w:ascii="Georgia" w:hAnsi="Georgia"/>
                <w:bCs w:val="0"/>
                <w:sz w:val="20"/>
                <w:szCs w:val="20"/>
              </w:rPr>
              <w:t>tieji fondai (vnt.)</w:t>
            </w:r>
          </w:p>
        </w:tc>
        <w:tc>
          <w:tcPr>
            <w:tcW w:w="976" w:type="pct"/>
          </w:tcPr>
          <w:p w14:paraId="439EA694" w14:textId="77777777" w:rsidR="00451BC7" w:rsidRPr="00A84FBE" w:rsidRDefault="00451BC7" w:rsidP="00451BC7">
            <w:pPr>
              <w:jc w:val="center"/>
              <w:rPr>
                <w:rFonts w:ascii="Georgia" w:hAnsi="Georgia"/>
                <w:bCs w:val="0"/>
                <w:sz w:val="20"/>
                <w:szCs w:val="20"/>
              </w:rPr>
            </w:pPr>
            <w:r w:rsidRPr="00A84FBE">
              <w:rPr>
                <w:rFonts w:ascii="Georgia" w:hAnsi="Georgia"/>
                <w:bCs w:val="0"/>
                <w:sz w:val="20"/>
                <w:szCs w:val="20"/>
              </w:rPr>
              <w:t>Finansinės priemonės įgyvendinamos per kontroliuojan</w:t>
            </w:r>
            <w:r w:rsidR="00A84FBE">
              <w:rPr>
                <w:rFonts w:ascii="Georgia" w:hAnsi="Georgia"/>
                <w:bCs w:val="0"/>
                <w:sz w:val="20"/>
                <w:szCs w:val="20"/>
              </w:rPr>
              <w:t>-</w:t>
            </w:r>
            <w:r w:rsidRPr="00A84FBE">
              <w:rPr>
                <w:rFonts w:ascii="Georgia" w:hAnsi="Georgia"/>
                <w:bCs w:val="0"/>
                <w:sz w:val="20"/>
                <w:szCs w:val="20"/>
              </w:rPr>
              <w:t>tįjį fondą (vnt.) (finansų tarpininkai)</w:t>
            </w:r>
          </w:p>
        </w:tc>
        <w:tc>
          <w:tcPr>
            <w:tcW w:w="976" w:type="pct"/>
          </w:tcPr>
          <w:p w14:paraId="3869571B" w14:textId="77777777" w:rsidR="00451BC7" w:rsidRPr="00A84FBE" w:rsidRDefault="00451BC7" w:rsidP="00451BC7">
            <w:pPr>
              <w:jc w:val="center"/>
              <w:rPr>
                <w:rFonts w:ascii="Georgia" w:hAnsi="Georgia"/>
                <w:bCs w:val="0"/>
                <w:sz w:val="20"/>
                <w:szCs w:val="20"/>
              </w:rPr>
            </w:pPr>
            <w:r w:rsidRPr="00A84FBE">
              <w:rPr>
                <w:rFonts w:ascii="Georgia" w:hAnsi="Georgia"/>
                <w:bCs w:val="0"/>
                <w:sz w:val="20"/>
                <w:szCs w:val="20"/>
              </w:rPr>
              <w:t>Tiesiogiai įgyvendinamos finansinės priemonės (vnt.)</w:t>
            </w:r>
          </w:p>
        </w:tc>
      </w:tr>
      <w:tr w:rsidR="00451BC7" w:rsidRPr="009E5C05" w14:paraId="37A956DD" w14:textId="77777777" w:rsidTr="00A84FBE">
        <w:trPr>
          <w:cnfStyle w:val="000000100000" w:firstRow="0" w:lastRow="0" w:firstColumn="0" w:lastColumn="0" w:oddVBand="0" w:evenVBand="0" w:oddHBand="1" w:evenHBand="0" w:firstRowFirstColumn="0" w:firstRowLastColumn="0" w:lastRowFirstColumn="0" w:lastRowLastColumn="0"/>
        </w:trPr>
        <w:tc>
          <w:tcPr>
            <w:tcW w:w="182" w:type="pct"/>
          </w:tcPr>
          <w:p w14:paraId="67E17862" w14:textId="77777777" w:rsidR="00451BC7" w:rsidRPr="009E5C05" w:rsidRDefault="00451BC7" w:rsidP="00451BC7">
            <w:pPr>
              <w:rPr>
                <w:rFonts w:ascii="Georgia" w:hAnsi="Georgia"/>
                <w:bCs/>
                <w:sz w:val="20"/>
                <w:szCs w:val="20"/>
              </w:rPr>
            </w:pPr>
            <w:r w:rsidRPr="009E5C05">
              <w:rPr>
                <w:rFonts w:ascii="Georgia" w:hAnsi="Georgia"/>
                <w:bCs/>
                <w:sz w:val="20"/>
                <w:szCs w:val="20"/>
              </w:rPr>
              <w:t>1</w:t>
            </w:r>
          </w:p>
        </w:tc>
        <w:tc>
          <w:tcPr>
            <w:tcW w:w="914" w:type="pct"/>
          </w:tcPr>
          <w:p w14:paraId="4FD443AF" w14:textId="77777777" w:rsidR="00451BC7" w:rsidRPr="009E5C05" w:rsidRDefault="00451BC7" w:rsidP="00451BC7">
            <w:pPr>
              <w:rPr>
                <w:rFonts w:ascii="Georgia" w:hAnsi="Georgia"/>
                <w:b/>
                <w:bCs/>
                <w:sz w:val="20"/>
                <w:szCs w:val="20"/>
              </w:rPr>
            </w:pPr>
            <w:r w:rsidRPr="009E5C05">
              <w:rPr>
                <w:rFonts w:ascii="Georgia" w:hAnsi="Georgia"/>
                <w:b/>
                <w:bCs/>
                <w:sz w:val="20"/>
                <w:szCs w:val="20"/>
              </w:rPr>
              <w:t>Bulgarija</w:t>
            </w:r>
          </w:p>
        </w:tc>
        <w:tc>
          <w:tcPr>
            <w:tcW w:w="976" w:type="pct"/>
          </w:tcPr>
          <w:p w14:paraId="1D3562A0" w14:textId="77777777" w:rsidR="00451BC7" w:rsidRPr="009E5C05" w:rsidRDefault="00451BC7" w:rsidP="00451BC7">
            <w:pPr>
              <w:rPr>
                <w:rFonts w:ascii="Georgia" w:hAnsi="Georgia"/>
                <w:bCs/>
                <w:sz w:val="20"/>
                <w:szCs w:val="20"/>
              </w:rPr>
            </w:pPr>
            <w:r w:rsidRPr="009E5C05">
              <w:rPr>
                <w:rFonts w:ascii="Georgia" w:hAnsi="Georgia"/>
                <w:bCs/>
                <w:sz w:val="20"/>
                <w:szCs w:val="20"/>
              </w:rPr>
              <w:t>1</w:t>
            </w:r>
          </w:p>
        </w:tc>
        <w:tc>
          <w:tcPr>
            <w:tcW w:w="976" w:type="pct"/>
          </w:tcPr>
          <w:p w14:paraId="241543A2" w14:textId="77777777" w:rsidR="00451BC7" w:rsidRPr="009E5C05" w:rsidRDefault="00451BC7" w:rsidP="00451BC7">
            <w:pPr>
              <w:rPr>
                <w:rFonts w:ascii="Georgia" w:hAnsi="Georgia"/>
                <w:bCs/>
                <w:sz w:val="20"/>
                <w:szCs w:val="20"/>
              </w:rPr>
            </w:pPr>
            <w:r w:rsidRPr="009E5C05">
              <w:rPr>
                <w:rFonts w:ascii="Georgia" w:hAnsi="Georgia"/>
                <w:bCs/>
                <w:sz w:val="20"/>
                <w:szCs w:val="20"/>
              </w:rPr>
              <w:t>0</w:t>
            </w:r>
          </w:p>
        </w:tc>
        <w:tc>
          <w:tcPr>
            <w:tcW w:w="976" w:type="pct"/>
          </w:tcPr>
          <w:p w14:paraId="5ED05778" w14:textId="77777777" w:rsidR="00451BC7" w:rsidRPr="009E5C05" w:rsidRDefault="00451BC7" w:rsidP="00451BC7">
            <w:pPr>
              <w:rPr>
                <w:rFonts w:ascii="Georgia" w:hAnsi="Georgia"/>
                <w:bCs/>
                <w:sz w:val="20"/>
                <w:szCs w:val="20"/>
              </w:rPr>
            </w:pPr>
            <w:r w:rsidRPr="009E5C05">
              <w:rPr>
                <w:rFonts w:ascii="Georgia" w:hAnsi="Georgia"/>
                <w:bCs/>
                <w:sz w:val="20"/>
                <w:szCs w:val="20"/>
              </w:rPr>
              <w:t>0</w:t>
            </w:r>
          </w:p>
        </w:tc>
        <w:tc>
          <w:tcPr>
            <w:tcW w:w="976" w:type="pct"/>
          </w:tcPr>
          <w:p w14:paraId="79B88A94" w14:textId="77777777" w:rsidR="00451BC7" w:rsidRPr="009E5C05" w:rsidRDefault="00451BC7" w:rsidP="00451BC7">
            <w:pPr>
              <w:rPr>
                <w:rFonts w:ascii="Georgia" w:hAnsi="Georgia"/>
                <w:bCs/>
                <w:sz w:val="20"/>
                <w:szCs w:val="20"/>
              </w:rPr>
            </w:pPr>
            <w:r w:rsidRPr="009E5C05">
              <w:rPr>
                <w:rFonts w:ascii="Georgia" w:hAnsi="Georgia"/>
                <w:bCs/>
                <w:sz w:val="20"/>
                <w:szCs w:val="20"/>
              </w:rPr>
              <w:t>1</w:t>
            </w:r>
          </w:p>
        </w:tc>
      </w:tr>
      <w:tr w:rsidR="00451BC7" w:rsidRPr="009E5C05" w14:paraId="6079D891" w14:textId="77777777" w:rsidTr="00A84FBE">
        <w:tc>
          <w:tcPr>
            <w:tcW w:w="182" w:type="pct"/>
          </w:tcPr>
          <w:p w14:paraId="767622F1" w14:textId="77777777" w:rsidR="00451BC7" w:rsidRPr="009E5C05" w:rsidRDefault="00451BC7" w:rsidP="00451BC7">
            <w:pPr>
              <w:rPr>
                <w:rFonts w:ascii="Georgia" w:hAnsi="Georgia"/>
                <w:bCs/>
                <w:sz w:val="20"/>
                <w:szCs w:val="20"/>
              </w:rPr>
            </w:pPr>
            <w:r w:rsidRPr="009E5C05">
              <w:rPr>
                <w:rFonts w:ascii="Georgia" w:hAnsi="Georgia"/>
                <w:bCs/>
                <w:sz w:val="20"/>
                <w:szCs w:val="20"/>
              </w:rPr>
              <w:t>2</w:t>
            </w:r>
          </w:p>
        </w:tc>
        <w:tc>
          <w:tcPr>
            <w:tcW w:w="914" w:type="pct"/>
          </w:tcPr>
          <w:p w14:paraId="2D275C68" w14:textId="77777777" w:rsidR="00451BC7" w:rsidRPr="009E5C05" w:rsidRDefault="00451BC7" w:rsidP="00451BC7">
            <w:pPr>
              <w:rPr>
                <w:rFonts w:ascii="Georgia" w:hAnsi="Georgia"/>
                <w:b/>
                <w:bCs/>
                <w:sz w:val="20"/>
                <w:szCs w:val="20"/>
              </w:rPr>
            </w:pPr>
            <w:r w:rsidRPr="009E5C05">
              <w:rPr>
                <w:rFonts w:ascii="Georgia" w:hAnsi="Georgia"/>
                <w:b/>
                <w:bCs/>
                <w:sz w:val="20"/>
                <w:szCs w:val="20"/>
              </w:rPr>
              <w:t>Čekija</w:t>
            </w:r>
          </w:p>
        </w:tc>
        <w:tc>
          <w:tcPr>
            <w:tcW w:w="976" w:type="pct"/>
          </w:tcPr>
          <w:p w14:paraId="5A10C823" w14:textId="77777777" w:rsidR="00451BC7" w:rsidRPr="009E5C05" w:rsidRDefault="00451BC7" w:rsidP="00451BC7">
            <w:pPr>
              <w:rPr>
                <w:rFonts w:ascii="Georgia" w:hAnsi="Georgia"/>
                <w:bCs/>
                <w:sz w:val="20"/>
                <w:szCs w:val="20"/>
              </w:rPr>
            </w:pPr>
            <w:r w:rsidRPr="009E5C05">
              <w:rPr>
                <w:rFonts w:ascii="Georgia" w:hAnsi="Georgia"/>
                <w:bCs/>
                <w:sz w:val="20"/>
                <w:szCs w:val="20"/>
              </w:rPr>
              <w:t>1</w:t>
            </w:r>
          </w:p>
        </w:tc>
        <w:tc>
          <w:tcPr>
            <w:tcW w:w="976" w:type="pct"/>
          </w:tcPr>
          <w:p w14:paraId="50DAD60F" w14:textId="77777777" w:rsidR="00451BC7" w:rsidRPr="009E5C05" w:rsidRDefault="00451BC7" w:rsidP="00451BC7">
            <w:pPr>
              <w:rPr>
                <w:rFonts w:ascii="Georgia" w:hAnsi="Georgia"/>
                <w:bCs/>
                <w:sz w:val="20"/>
                <w:szCs w:val="20"/>
              </w:rPr>
            </w:pPr>
            <w:r w:rsidRPr="009E5C05">
              <w:rPr>
                <w:rFonts w:ascii="Georgia" w:hAnsi="Georgia"/>
                <w:bCs/>
                <w:sz w:val="20"/>
                <w:szCs w:val="20"/>
              </w:rPr>
              <w:t>1</w:t>
            </w:r>
          </w:p>
        </w:tc>
        <w:tc>
          <w:tcPr>
            <w:tcW w:w="976" w:type="pct"/>
          </w:tcPr>
          <w:p w14:paraId="7652D423" w14:textId="77777777" w:rsidR="00451BC7" w:rsidRPr="009E5C05" w:rsidRDefault="00451BC7" w:rsidP="00451BC7">
            <w:pPr>
              <w:rPr>
                <w:rFonts w:ascii="Georgia" w:hAnsi="Georgia"/>
                <w:bCs/>
                <w:sz w:val="20"/>
                <w:szCs w:val="20"/>
              </w:rPr>
            </w:pPr>
            <w:r w:rsidRPr="009E5C05">
              <w:rPr>
                <w:rFonts w:ascii="Georgia" w:hAnsi="Georgia"/>
                <w:bCs/>
                <w:sz w:val="20"/>
                <w:szCs w:val="20"/>
              </w:rPr>
              <w:t>0</w:t>
            </w:r>
          </w:p>
        </w:tc>
        <w:tc>
          <w:tcPr>
            <w:tcW w:w="976" w:type="pct"/>
          </w:tcPr>
          <w:p w14:paraId="62A148FC" w14:textId="77777777" w:rsidR="00451BC7" w:rsidRPr="009E5C05" w:rsidRDefault="00451BC7" w:rsidP="00451BC7">
            <w:pPr>
              <w:rPr>
                <w:rFonts w:ascii="Georgia" w:hAnsi="Georgia"/>
                <w:bCs/>
                <w:sz w:val="20"/>
                <w:szCs w:val="20"/>
              </w:rPr>
            </w:pPr>
            <w:r w:rsidRPr="009E5C05">
              <w:rPr>
                <w:rFonts w:ascii="Georgia" w:hAnsi="Georgia"/>
                <w:bCs/>
                <w:sz w:val="20"/>
                <w:szCs w:val="20"/>
              </w:rPr>
              <w:t>0</w:t>
            </w:r>
          </w:p>
        </w:tc>
      </w:tr>
      <w:tr w:rsidR="00451BC7" w:rsidRPr="009E5C05" w14:paraId="624A41BB" w14:textId="77777777" w:rsidTr="00A84FBE">
        <w:trPr>
          <w:cnfStyle w:val="000000100000" w:firstRow="0" w:lastRow="0" w:firstColumn="0" w:lastColumn="0" w:oddVBand="0" w:evenVBand="0" w:oddHBand="1" w:evenHBand="0" w:firstRowFirstColumn="0" w:firstRowLastColumn="0" w:lastRowFirstColumn="0" w:lastRowLastColumn="0"/>
        </w:trPr>
        <w:tc>
          <w:tcPr>
            <w:tcW w:w="182" w:type="pct"/>
          </w:tcPr>
          <w:p w14:paraId="3D761788" w14:textId="77777777" w:rsidR="00451BC7" w:rsidRPr="009E5C05" w:rsidRDefault="00451BC7" w:rsidP="00451BC7">
            <w:pPr>
              <w:rPr>
                <w:rFonts w:ascii="Georgia" w:hAnsi="Georgia"/>
                <w:bCs/>
                <w:sz w:val="20"/>
                <w:szCs w:val="20"/>
              </w:rPr>
            </w:pPr>
            <w:r w:rsidRPr="009E5C05">
              <w:rPr>
                <w:rFonts w:ascii="Georgia" w:hAnsi="Georgia"/>
                <w:bCs/>
                <w:sz w:val="20"/>
                <w:szCs w:val="20"/>
              </w:rPr>
              <w:t>3</w:t>
            </w:r>
          </w:p>
        </w:tc>
        <w:tc>
          <w:tcPr>
            <w:tcW w:w="914" w:type="pct"/>
          </w:tcPr>
          <w:p w14:paraId="7671829C" w14:textId="77777777" w:rsidR="00451BC7" w:rsidRPr="009E5C05" w:rsidRDefault="00451BC7" w:rsidP="00451BC7">
            <w:pPr>
              <w:rPr>
                <w:rFonts w:ascii="Georgia" w:hAnsi="Georgia"/>
                <w:b/>
                <w:bCs/>
                <w:sz w:val="20"/>
                <w:szCs w:val="20"/>
              </w:rPr>
            </w:pPr>
            <w:r w:rsidRPr="009E5C05">
              <w:rPr>
                <w:rFonts w:ascii="Georgia" w:hAnsi="Georgia"/>
                <w:b/>
                <w:bCs/>
                <w:sz w:val="20"/>
                <w:szCs w:val="20"/>
              </w:rPr>
              <w:t>Danija</w:t>
            </w:r>
          </w:p>
        </w:tc>
        <w:tc>
          <w:tcPr>
            <w:tcW w:w="976" w:type="pct"/>
          </w:tcPr>
          <w:p w14:paraId="7BACA270" w14:textId="77777777" w:rsidR="00451BC7" w:rsidRPr="009E5C05" w:rsidRDefault="00451BC7" w:rsidP="00451BC7">
            <w:pPr>
              <w:rPr>
                <w:rFonts w:ascii="Georgia" w:hAnsi="Georgia"/>
                <w:bCs/>
                <w:sz w:val="20"/>
                <w:szCs w:val="20"/>
              </w:rPr>
            </w:pPr>
            <w:r w:rsidRPr="009E5C05">
              <w:rPr>
                <w:rFonts w:ascii="Georgia" w:hAnsi="Georgia"/>
                <w:bCs/>
                <w:sz w:val="20"/>
                <w:szCs w:val="20"/>
              </w:rPr>
              <w:t>2</w:t>
            </w:r>
          </w:p>
        </w:tc>
        <w:tc>
          <w:tcPr>
            <w:tcW w:w="976" w:type="pct"/>
          </w:tcPr>
          <w:p w14:paraId="28E0A7FD" w14:textId="77777777" w:rsidR="00451BC7" w:rsidRPr="009E5C05" w:rsidRDefault="00451BC7" w:rsidP="00451BC7">
            <w:pPr>
              <w:rPr>
                <w:rFonts w:ascii="Georgia" w:hAnsi="Georgia"/>
                <w:bCs/>
                <w:sz w:val="20"/>
                <w:szCs w:val="20"/>
              </w:rPr>
            </w:pPr>
            <w:r w:rsidRPr="009E5C05">
              <w:rPr>
                <w:rFonts w:ascii="Georgia" w:hAnsi="Georgia"/>
                <w:bCs/>
                <w:sz w:val="20"/>
                <w:szCs w:val="20"/>
              </w:rPr>
              <w:t>0</w:t>
            </w:r>
          </w:p>
        </w:tc>
        <w:tc>
          <w:tcPr>
            <w:tcW w:w="976" w:type="pct"/>
          </w:tcPr>
          <w:p w14:paraId="4D994DC8" w14:textId="77777777" w:rsidR="00451BC7" w:rsidRPr="009E5C05" w:rsidRDefault="00451BC7" w:rsidP="00451BC7">
            <w:pPr>
              <w:rPr>
                <w:rFonts w:ascii="Georgia" w:hAnsi="Georgia"/>
                <w:bCs/>
                <w:sz w:val="20"/>
                <w:szCs w:val="20"/>
              </w:rPr>
            </w:pPr>
            <w:r w:rsidRPr="009E5C05">
              <w:rPr>
                <w:rFonts w:ascii="Georgia" w:hAnsi="Georgia"/>
                <w:bCs/>
                <w:sz w:val="20"/>
                <w:szCs w:val="20"/>
              </w:rPr>
              <w:t>0</w:t>
            </w:r>
          </w:p>
        </w:tc>
        <w:tc>
          <w:tcPr>
            <w:tcW w:w="976" w:type="pct"/>
          </w:tcPr>
          <w:p w14:paraId="0D49C654" w14:textId="77777777" w:rsidR="00451BC7" w:rsidRPr="009E5C05" w:rsidRDefault="00451BC7" w:rsidP="00451BC7">
            <w:pPr>
              <w:rPr>
                <w:rFonts w:ascii="Georgia" w:hAnsi="Georgia"/>
                <w:bCs/>
                <w:sz w:val="20"/>
                <w:szCs w:val="20"/>
              </w:rPr>
            </w:pPr>
            <w:r w:rsidRPr="009E5C05">
              <w:rPr>
                <w:rFonts w:ascii="Georgia" w:hAnsi="Georgia"/>
                <w:bCs/>
                <w:sz w:val="20"/>
                <w:szCs w:val="20"/>
              </w:rPr>
              <w:t>2</w:t>
            </w:r>
          </w:p>
        </w:tc>
      </w:tr>
      <w:tr w:rsidR="00451BC7" w:rsidRPr="009E5C05" w14:paraId="0A8A6124" w14:textId="77777777" w:rsidTr="00A84FBE">
        <w:tc>
          <w:tcPr>
            <w:tcW w:w="182" w:type="pct"/>
          </w:tcPr>
          <w:p w14:paraId="55C88C22" w14:textId="77777777" w:rsidR="00451BC7" w:rsidRPr="009E5C05" w:rsidRDefault="00451BC7" w:rsidP="00451BC7">
            <w:pPr>
              <w:rPr>
                <w:rFonts w:ascii="Georgia" w:hAnsi="Georgia"/>
                <w:bCs/>
                <w:sz w:val="20"/>
                <w:szCs w:val="20"/>
              </w:rPr>
            </w:pPr>
            <w:r w:rsidRPr="009E5C05">
              <w:rPr>
                <w:rFonts w:ascii="Georgia" w:hAnsi="Georgia"/>
                <w:bCs/>
                <w:sz w:val="20"/>
                <w:szCs w:val="20"/>
              </w:rPr>
              <w:t>4</w:t>
            </w:r>
          </w:p>
        </w:tc>
        <w:tc>
          <w:tcPr>
            <w:tcW w:w="914" w:type="pct"/>
          </w:tcPr>
          <w:p w14:paraId="09B4CF18" w14:textId="77777777" w:rsidR="00451BC7" w:rsidRPr="009E5C05" w:rsidRDefault="00451BC7" w:rsidP="00451BC7">
            <w:pPr>
              <w:rPr>
                <w:rFonts w:ascii="Georgia" w:hAnsi="Georgia"/>
                <w:b/>
                <w:bCs/>
                <w:sz w:val="20"/>
                <w:szCs w:val="20"/>
              </w:rPr>
            </w:pPr>
            <w:r w:rsidRPr="009E5C05">
              <w:rPr>
                <w:rFonts w:ascii="Georgia" w:hAnsi="Georgia"/>
                <w:b/>
                <w:bCs/>
                <w:sz w:val="20"/>
                <w:szCs w:val="20"/>
              </w:rPr>
              <w:t>Estija</w:t>
            </w:r>
          </w:p>
        </w:tc>
        <w:tc>
          <w:tcPr>
            <w:tcW w:w="976" w:type="pct"/>
          </w:tcPr>
          <w:p w14:paraId="78797DEB" w14:textId="77777777" w:rsidR="00451BC7" w:rsidRPr="009E5C05" w:rsidRDefault="00451BC7" w:rsidP="00451BC7">
            <w:pPr>
              <w:rPr>
                <w:rFonts w:ascii="Georgia" w:hAnsi="Georgia"/>
                <w:bCs/>
                <w:sz w:val="20"/>
                <w:szCs w:val="20"/>
              </w:rPr>
            </w:pPr>
            <w:r w:rsidRPr="009E5C05">
              <w:rPr>
                <w:rFonts w:ascii="Georgia" w:hAnsi="Georgia"/>
                <w:bCs/>
                <w:sz w:val="20"/>
                <w:szCs w:val="20"/>
              </w:rPr>
              <w:t>1</w:t>
            </w:r>
          </w:p>
        </w:tc>
        <w:tc>
          <w:tcPr>
            <w:tcW w:w="976" w:type="pct"/>
          </w:tcPr>
          <w:p w14:paraId="67E09508" w14:textId="77777777" w:rsidR="00451BC7" w:rsidRPr="009E5C05" w:rsidRDefault="00451BC7" w:rsidP="00451BC7">
            <w:pPr>
              <w:rPr>
                <w:rFonts w:ascii="Georgia" w:hAnsi="Georgia"/>
                <w:bCs/>
                <w:sz w:val="20"/>
                <w:szCs w:val="20"/>
              </w:rPr>
            </w:pPr>
            <w:r w:rsidRPr="009E5C05">
              <w:rPr>
                <w:rFonts w:ascii="Georgia" w:hAnsi="Georgia"/>
                <w:bCs/>
                <w:sz w:val="20"/>
                <w:szCs w:val="20"/>
              </w:rPr>
              <w:t>0</w:t>
            </w:r>
          </w:p>
        </w:tc>
        <w:tc>
          <w:tcPr>
            <w:tcW w:w="976" w:type="pct"/>
          </w:tcPr>
          <w:p w14:paraId="2DC24D11" w14:textId="77777777" w:rsidR="00451BC7" w:rsidRPr="009E5C05" w:rsidRDefault="00451BC7" w:rsidP="00451BC7">
            <w:pPr>
              <w:rPr>
                <w:rFonts w:ascii="Georgia" w:hAnsi="Georgia"/>
                <w:bCs/>
                <w:sz w:val="20"/>
                <w:szCs w:val="20"/>
              </w:rPr>
            </w:pPr>
            <w:r w:rsidRPr="009E5C05">
              <w:rPr>
                <w:rFonts w:ascii="Georgia" w:hAnsi="Georgia"/>
                <w:bCs/>
                <w:sz w:val="20"/>
                <w:szCs w:val="20"/>
              </w:rPr>
              <w:t>0</w:t>
            </w:r>
          </w:p>
        </w:tc>
        <w:tc>
          <w:tcPr>
            <w:tcW w:w="976" w:type="pct"/>
          </w:tcPr>
          <w:p w14:paraId="12135401" w14:textId="77777777" w:rsidR="00451BC7" w:rsidRPr="009E5C05" w:rsidRDefault="00451BC7" w:rsidP="00451BC7">
            <w:pPr>
              <w:rPr>
                <w:rFonts w:ascii="Georgia" w:hAnsi="Georgia"/>
                <w:bCs/>
                <w:sz w:val="20"/>
                <w:szCs w:val="20"/>
              </w:rPr>
            </w:pPr>
            <w:r w:rsidRPr="009E5C05">
              <w:rPr>
                <w:rFonts w:ascii="Georgia" w:hAnsi="Georgia"/>
                <w:bCs/>
                <w:sz w:val="20"/>
                <w:szCs w:val="20"/>
              </w:rPr>
              <w:t>1</w:t>
            </w:r>
          </w:p>
        </w:tc>
      </w:tr>
      <w:tr w:rsidR="00451BC7" w:rsidRPr="009E5C05" w14:paraId="355E194F" w14:textId="77777777" w:rsidTr="00A84FBE">
        <w:trPr>
          <w:cnfStyle w:val="000000100000" w:firstRow="0" w:lastRow="0" w:firstColumn="0" w:lastColumn="0" w:oddVBand="0" w:evenVBand="0" w:oddHBand="1" w:evenHBand="0" w:firstRowFirstColumn="0" w:firstRowLastColumn="0" w:lastRowFirstColumn="0" w:lastRowLastColumn="0"/>
        </w:trPr>
        <w:tc>
          <w:tcPr>
            <w:tcW w:w="182" w:type="pct"/>
          </w:tcPr>
          <w:p w14:paraId="79BD4D15" w14:textId="77777777" w:rsidR="00451BC7" w:rsidRPr="009E5C05" w:rsidRDefault="00451BC7" w:rsidP="00451BC7">
            <w:pPr>
              <w:rPr>
                <w:rFonts w:ascii="Georgia" w:hAnsi="Georgia"/>
                <w:bCs/>
                <w:sz w:val="20"/>
                <w:szCs w:val="20"/>
              </w:rPr>
            </w:pPr>
            <w:r w:rsidRPr="009E5C05">
              <w:rPr>
                <w:rFonts w:ascii="Georgia" w:hAnsi="Georgia"/>
                <w:bCs/>
                <w:sz w:val="20"/>
                <w:szCs w:val="20"/>
              </w:rPr>
              <w:t>5</w:t>
            </w:r>
          </w:p>
        </w:tc>
        <w:tc>
          <w:tcPr>
            <w:tcW w:w="914" w:type="pct"/>
          </w:tcPr>
          <w:p w14:paraId="6E4328DE" w14:textId="77777777" w:rsidR="00451BC7" w:rsidRPr="009E5C05" w:rsidRDefault="00451BC7" w:rsidP="00451BC7">
            <w:pPr>
              <w:rPr>
                <w:rFonts w:ascii="Georgia" w:hAnsi="Georgia"/>
                <w:b/>
                <w:bCs/>
                <w:sz w:val="20"/>
                <w:szCs w:val="20"/>
              </w:rPr>
            </w:pPr>
            <w:r w:rsidRPr="009E5C05">
              <w:rPr>
                <w:rFonts w:ascii="Georgia" w:hAnsi="Georgia"/>
                <w:b/>
                <w:bCs/>
                <w:sz w:val="20"/>
                <w:szCs w:val="20"/>
              </w:rPr>
              <w:t>Graikija</w:t>
            </w:r>
          </w:p>
        </w:tc>
        <w:tc>
          <w:tcPr>
            <w:tcW w:w="976" w:type="pct"/>
          </w:tcPr>
          <w:p w14:paraId="2183D1CC" w14:textId="77777777" w:rsidR="00451BC7" w:rsidRPr="009E5C05" w:rsidRDefault="00451BC7" w:rsidP="00451BC7">
            <w:pPr>
              <w:rPr>
                <w:rFonts w:ascii="Georgia" w:hAnsi="Georgia"/>
                <w:bCs/>
                <w:sz w:val="20"/>
                <w:szCs w:val="20"/>
              </w:rPr>
            </w:pPr>
            <w:r w:rsidRPr="009E5C05">
              <w:rPr>
                <w:rFonts w:ascii="Georgia" w:hAnsi="Georgia"/>
                <w:bCs/>
                <w:sz w:val="20"/>
                <w:szCs w:val="20"/>
              </w:rPr>
              <w:t>2</w:t>
            </w:r>
          </w:p>
        </w:tc>
        <w:tc>
          <w:tcPr>
            <w:tcW w:w="976" w:type="pct"/>
          </w:tcPr>
          <w:p w14:paraId="59145068" w14:textId="77777777" w:rsidR="00451BC7" w:rsidRPr="009E5C05" w:rsidRDefault="00451BC7" w:rsidP="00451BC7">
            <w:pPr>
              <w:rPr>
                <w:rFonts w:ascii="Georgia" w:hAnsi="Georgia"/>
                <w:bCs/>
                <w:sz w:val="20"/>
                <w:szCs w:val="20"/>
              </w:rPr>
            </w:pPr>
            <w:r w:rsidRPr="009E5C05">
              <w:rPr>
                <w:rFonts w:ascii="Georgia" w:hAnsi="Georgia"/>
                <w:bCs/>
                <w:sz w:val="20"/>
                <w:szCs w:val="20"/>
              </w:rPr>
              <w:t>1</w:t>
            </w:r>
          </w:p>
        </w:tc>
        <w:tc>
          <w:tcPr>
            <w:tcW w:w="976" w:type="pct"/>
          </w:tcPr>
          <w:p w14:paraId="7B5D82B0" w14:textId="77777777" w:rsidR="00451BC7" w:rsidRPr="009E5C05" w:rsidRDefault="00451BC7" w:rsidP="00451BC7">
            <w:pPr>
              <w:rPr>
                <w:rFonts w:ascii="Georgia" w:hAnsi="Georgia"/>
                <w:bCs/>
                <w:sz w:val="20"/>
                <w:szCs w:val="20"/>
              </w:rPr>
            </w:pPr>
            <w:r w:rsidRPr="009E5C05">
              <w:rPr>
                <w:rFonts w:ascii="Georgia" w:hAnsi="Georgia"/>
                <w:bCs/>
                <w:sz w:val="20"/>
                <w:szCs w:val="20"/>
              </w:rPr>
              <w:t>1</w:t>
            </w:r>
          </w:p>
        </w:tc>
        <w:tc>
          <w:tcPr>
            <w:tcW w:w="976" w:type="pct"/>
          </w:tcPr>
          <w:p w14:paraId="4D6BA321" w14:textId="77777777" w:rsidR="00451BC7" w:rsidRPr="009E5C05" w:rsidRDefault="00451BC7" w:rsidP="00451BC7">
            <w:pPr>
              <w:rPr>
                <w:rFonts w:ascii="Georgia" w:hAnsi="Georgia"/>
                <w:bCs/>
                <w:sz w:val="20"/>
                <w:szCs w:val="20"/>
              </w:rPr>
            </w:pPr>
            <w:r w:rsidRPr="009E5C05">
              <w:rPr>
                <w:rFonts w:ascii="Georgia" w:hAnsi="Georgia"/>
                <w:bCs/>
                <w:sz w:val="20"/>
                <w:szCs w:val="20"/>
              </w:rPr>
              <w:t>0</w:t>
            </w:r>
          </w:p>
        </w:tc>
      </w:tr>
      <w:tr w:rsidR="00451BC7" w:rsidRPr="009E5C05" w14:paraId="188830F8" w14:textId="77777777" w:rsidTr="00A84FBE">
        <w:tc>
          <w:tcPr>
            <w:tcW w:w="182" w:type="pct"/>
          </w:tcPr>
          <w:p w14:paraId="75FDA9E3" w14:textId="77777777" w:rsidR="00451BC7" w:rsidRPr="009E5C05" w:rsidRDefault="00451BC7" w:rsidP="00451BC7">
            <w:pPr>
              <w:rPr>
                <w:rFonts w:ascii="Georgia" w:hAnsi="Georgia"/>
                <w:bCs/>
                <w:sz w:val="20"/>
                <w:szCs w:val="20"/>
              </w:rPr>
            </w:pPr>
            <w:r w:rsidRPr="009E5C05">
              <w:rPr>
                <w:rFonts w:ascii="Georgia" w:hAnsi="Georgia"/>
                <w:bCs/>
                <w:sz w:val="20"/>
                <w:szCs w:val="20"/>
              </w:rPr>
              <w:t>6</w:t>
            </w:r>
          </w:p>
        </w:tc>
        <w:tc>
          <w:tcPr>
            <w:tcW w:w="914" w:type="pct"/>
          </w:tcPr>
          <w:p w14:paraId="1F6B6087" w14:textId="77777777" w:rsidR="00451BC7" w:rsidRPr="009E5C05" w:rsidRDefault="00451BC7" w:rsidP="00451BC7">
            <w:pPr>
              <w:rPr>
                <w:rFonts w:ascii="Georgia" w:hAnsi="Georgia"/>
                <w:b/>
                <w:bCs/>
                <w:sz w:val="20"/>
                <w:szCs w:val="20"/>
              </w:rPr>
            </w:pPr>
            <w:r w:rsidRPr="009E5C05">
              <w:rPr>
                <w:rFonts w:ascii="Georgia" w:hAnsi="Georgia"/>
                <w:b/>
                <w:bCs/>
                <w:sz w:val="20"/>
                <w:szCs w:val="20"/>
              </w:rPr>
              <w:t>Italija</w:t>
            </w:r>
          </w:p>
        </w:tc>
        <w:tc>
          <w:tcPr>
            <w:tcW w:w="976" w:type="pct"/>
          </w:tcPr>
          <w:p w14:paraId="7562E6A5" w14:textId="77777777" w:rsidR="00451BC7" w:rsidRPr="009E5C05" w:rsidRDefault="00451BC7" w:rsidP="00451BC7">
            <w:pPr>
              <w:rPr>
                <w:rFonts w:ascii="Georgia" w:hAnsi="Georgia"/>
                <w:bCs/>
                <w:sz w:val="20"/>
                <w:szCs w:val="20"/>
              </w:rPr>
            </w:pPr>
            <w:r w:rsidRPr="009E5C05">
              <w:rPr>
                <w:rFonts w:ascii="Georgia" w:hAnsi="Georgia"/>
                <w:bCs/>
                <w:sz w:val="20"/>
                <w:szCs w:val="20"/>
              </w:rPr>
              <w:t>6</w:t>
            </w:r>
          </w:p>
        </w:tc>
        <w:tc>
          <w:tcPr>
            <w:tcW w:w="976" w:type="pct"/>
          </w:tcPr>
          <w:p w14:paraId="6E372C58" w14:textId="77777777" w:rsidR="00451BC7" w:rsidRPr="009E5C05" w:rsidRDefault="00451BC7" w:rsidP="00451BC7">
            <w:pPr>
              <w:rPr>
                <w:rFonts w:ascii="Georgia" w:hAnsi="Georgia"/>
                <w:bCs/>
                <w:sz w:val="20"/>
                <w:szCs w:val="20"/>
              </w:rPr>
            </w:pPr>
            <w:r w:rsidRPr="009E5C05">
              <w:rPr>
                <w:rFonts w:ascii="Georgia" w:hAnsi="Georgia"/>
                <w:bCs/>
                <w:sz w:val="20"/>
                <w:szCs w:val="20"/>
              </w:rPr>
              <w:t>2</w:t>
            </w:r>
          </w:p>
        </w:tc>
        <w:tc>
          <w:tcPr>
            <w:tcW w:w="976" w:type="pct"/>
          </w:tcPr>
          <w:p w14:paraId="55AD1518" w14:textId="77777777" w:rsidR="00451BC7" w:rsidRPr="009E5C05" w:rsidRDefault="00451BC7" w:rsidP="00451BC7">
            <w:pPr>
              <w:rPr>
                <w:rFonts w:ascii="Georgia" w:hAnsi="Georgia"/>
                <w:bCs/>
                <w:sz w:val="20"/>
                <w:szCs w:val="20"/>
              </w:rPr>
            </w:pPr>
            <w:r w:rsidRPr="009E5C05">
              <w:rPr>
                <w:rFonts w:ascii="Georgia" w:hAnsi="Georgia"/>
                <w:bCs/>
                <w:sz w:val="20"/>
                <w:szCs w:val="20"/>
              </w:rPr>
              <w:t>2</w:t>
            </w:r>
          </w:p>
        </w:tc>
        <w:tc>
          <w:tcPr>
            <w:tcW w:w="976" w:type="pct"/>
          </w:tcPr>
          <w:p w14:paraId="6C0F0D90" w14:textId="77777777" w:rsidR="00451BC7" w:rsidRPr="009E5C05" w:rsidRDefault="00451BC7" w:rsidP="00451BC7">
            <w:pPr>
              <w:rPr>
                <w:rFonts w:ascii="Georgia" w:hAnsi="Georgia"/>
                <w:bCs/>
                <w:sz w:val="20"/>
                <w:szCs w:val="20"/>
              </w:rPr>
            </w:pPr>
            <w:r w:rsidRPr="009E5C05">
              <w:rPr>
                <w:rFonts w:ascii="Georgia" w:hAnsi="Georgia"/>
                <w:bCs/>
                <w:sz w:val="20"/>
                <w:szCs w:val="20"/>
              </w:rPr>
              <w:t>2</w:t>
            </w:r>
          </w:p>
        </w:tc>
      </w:tr>
      <w:tr w:rsidR="00451BC7" w:rsidRPr="009E5C05" w14:paraId="12E249B7" w14:textId="77777777" w:rsidTr="00A84FBE">
        <w:trPr>
          <w:cnfStyle w:val="000000100000" w:firstRow="0" w:lastRow="0" w:firstColumn="0" w:lastColumn="0" w:oddVBand="0" w:evenVBand="0" w:oddHBand="1" w:evenHBand="0" w:firstRowFirstColumn="0" w:firstRowLastColumn="0" w:lastRowFirstColumn="0" w:lastRowLastColumn="0"/>
        </w:trPr>
        <w:tc>
          <w:tcPr>
            <w:tcW w:w="182" w:type="pct"/>
          </w:tcPr>
          <w:p w14:paraId="3BCB640C" w14:textId="77777777" w:rsidR="00451BC7" w:rsidRPr="009E5C05" w:rsidRDefault="00451BC7" w:rsidP="00451BC7">
            <w:pPr>
              <w:rPr>
                <w:rFonts w:ascii="Georgia" w:hAnsi="Georgia"/>
                <w:bCs/>
                <w:sz w:val="20"/>
                <w:szCs w:val="20"/>
              </w:rPr>
            </w:pPr>
            <w:r w:rsidRPr="009E5C05">
              <w:rPr>
                <w:rFonts w:ascii="Georgia" w:hAnsi="Georgia"/>
                <w:bCs/>
                <w:sz w:val="20"/>
                <w:szCs w:val="20"/>
              </w:rPr>
              <w:t>7</w:t>
            </w:r>
          </w:p>
        </w:tc>
        <w:tc>
          <w:tcPr>
            <w:tcW w:w="914" w:type="pct"/>
          </w:tcPr>
          <w:p w14:paraId="04CA04EB" w14:textId="77777777" w:rsidR="00451BC7" w:rsidRPr="009E5C05" w:rsidRDefault="00451BC7" w:rsidP="00451BC7">
            <w:pPr>
              <w:rPr>
                <w:rFonts w:ascii="Georgia" w:hAnsi="Georgia"/>
                <w:b/>
                <w:bCs/>
                <w:sz w:val="20"/>
                <w:szCs w:val="20"/>
              </w:rPr>
            </w:pPr>
            <w:r w:rsidRPr="009E5C05">
              <w:rPr>
                <w:rFonts w:ascii="Georgia" w:hAnsi="Georgia"/>
                <w:b/>
                <w:bCs/>
                <w:sz w:val="20"/>
                <w:szCs w:val="20"/>
              </w:rPr>
              <w:t>Nyderlandai</w:t>
            </w:r>
          </w:p>
        </w:tc>
        <w:tc>
          <w:tcPr>
            <w:tcW w:w="976" w:type="pct"/>
          </w:tcPr>
          <w:p w14:paraId="552B55B4" w14:textId="77777777" w:rsidR="00451BC7" w:rsidRPr="009E5C05" w:rsidRDefault="00451BC7" w:rsidP="00451BC7">
            <w:pPr>
              <w:rPr>
                <w:rFonts w:ascii="Georgia" w:hAnsi="Georgia"/>
                <w:bCs/>
                <w:sz w:val="20"/>
                <w:szCs w:val="20"/>
              </w:rPr>
            </w:pPr>
            <w:r w:rsidRPr="009E5C05">
              <w:rPr>
                <w:rFonts w:ascii="Georgia" w:hAnsi="Georgia"/>
                <w:bCs/>
                <w:sz w:val="20"/>
                <w:szCs w:val="20"/>
              </w:rPr>
              <w:t>1</w:t>
            </w:r>
          </w:p>
        </w:tc>
        <w:tc>
          <w:tcPr>
            <w:tcW w:w="976" w:type="pct"/>
          </w:tcPr>
          <w:p w14:paraId="7A83CC47" w14:textId="77777777" w:rsidR="00451BC7" w:rsidRPr="009E5C05" w:rsidRDefault="00451BC7" w:rsidP="00451BC7">
            <w:pPr>
              <w:rPr>
                <w:rFonts w:ascii="Georgia" w:hAnsi="Georgia"/>
                <w:bCs/>
                <w:sz w:val="20"/>
                <w:szCs w:val="20"/>
              </w:rPr>
            </w:pPr>
            <w:r w:rsidRPr="009E5C05">
              <w:rPr>
                <w:rFonts w:ascii="Georgia" w:hAnsi="Georgia"/>
                <w:bCs/>
                <w:sz w:val="20"/>
                <w:szCs w:val="20"/>
              </w:rPr>
              <w:t>0</w:t>
            </w:r>
          </w:p>
        </w:tc>
        <w:tc>
          <w:tcPr>
            <w:tcW w:w="976" w:type="pct"/>
          </w:tcPr>
          <w:p w14:paraId="2D40C398" w14:textId="77777777" w:rsidR="00451BC7" w:rsidRPr="009E5C05" w:rsidRDefault="00451BC7" w:rsidP="00451BC7">
            <w:pPr>
              <w:rPr>
                <w:rFonts w:ascii="Georgia" w:hAnsi="Georgia"/>
                <w:bCs/>
                <w:sz w:val="20"/>
                <w:szCs w:val="20"/>
              </w:rPr>
            </w:pPr>
            <w:r w:rsidRPr="009E5C05">
              <w:rPr>
                <w:rFonts w:ascii="Georgia" w:hAnsi="Georgia"/>
                <w:bCs/>
                <w:sz w:val="20"/>
                <w:szCs w:val="20"/>
              </w:rPr>
              <w:t>1</w:t>
            </w:r>
          </w:p>
        </w:tc>
        <w:tc>
          <w:tcPr>
            <w:tcW w:w="976" w:type="pct"/>
          </w:tcPr>
          <w:p w14:paraId="289C652D" w14:textId="77777777" w:rsidR="00451BC7" w:rsidRPr="009E5C05" w:rsidRDefault="00451BC7" w:rsidP="00451BC7">
            <w:pPr>
              <w:rPr>
                <w:rFonts w:ascii="Georgia" w:hAnsi="Georgia"/>
                <w:bCs/>
                <w:sz w:val="20"/>
                <w:szCs w:val="20"/>
              </w:rPr>
            </w:pPr>
            <w:r w:rsidRPr="009E5C05">
              <w:rPr>
                <w:rFonts w:ascii="Georgia" w:hAnsi="Georgia"/>
                <w:bCs/>
                <w:sz w:val="20"/>
                <w:szCs w:val="20"/>
              </w:rPr>
              <w:t>0</w:t>
            </w:r>
          </w:p>
        </w:tc>
      </w:tr>
      <w:tr w:rsidR="00451BC7" w:rsidRPr="009E5C05" w14:paraId="1083CFE3" w14:textId="77777777" w:rsidTr="00A84FBE">
        <w:tc>
          <w:tcPr>
            <w:tcW w:w="182" w:type="pct"/>
          </w:tcPr>
          <w:p w14:paraId="0E32A735" w14:textId="77777777" w:rsidR="00451BC7" w:rsidRPr="009E5C05" w:rsidRDefault="00451BC7" w:rsidP="00451BC7">
            <w:pPr>
              <w:rPr>
                <w:rFonts w:ascii="Georgia" w:hAnsi="Georgia"/>
                <w:bCs/>
                <w:sz w:val="20"/>
                <w:szCs w:val="20"/>
              </w:rPr>
            </w:pPr>
            <w:r w:rsidRPr="009E5C05">
              <w:rPr>
                <w:rFonts w:ascii="Georgia" w:hAnsi="Georgia"/>
                <w:bCs/>
                <w:sz w:val="20"/>
                <w:szCs w:val="20"/>
              </w:rPr>
              <w:t>8</w:t>
            </w:r>
          </w:p>
        </w:tc>
        <w:tc>
          <w:tcPr>
            <w:tcW w:w="914" w:type="pct"/>
          </w:tcPr>
          <w:p w14:paraId="484558CC" w14:textId="77777777" w:rsidR="00451BC7" w:rsidRPr="009E5C05" w:rsidRDefault="00451BC7" w:rsidP="00451BC7">
            <w:pPr>
              <w:rPr>
                <w:rFonts w:ascii="Georgia" w:hAnsi="Georgia"/>
                <w:b/>
                <w:bCs/>
                <w:sz w:val="20"/>
                <w:szCs w:val="20"/>
              </w:rPr>
            </w:pPr>
            <w:r w:rsidRPr="009E5C05">
              <w:rPr>
                <w:rFonts w:ascii="Georgia" w:hAnsi="Georgia"/>
                <w:b/>
                <w:bCs/>
                <w:sz w:val="20"/>
                <w:szCs w:val="20"/>
              </w:rPr>
              <w:t>Jungtinė Karalystė</w:t>
            </w:r>
          </w:p>
        </w:tc>
        <w:tc>
          <w:tcPr>
            <w:tcW w:w="976" w:type="pct"/>
          </w:tcPr>
          <w:p w14:paraId="276C5AF5" w14:textId="77777777" w:rsidR="00451BC7" w:rsidRPr="009E5C05" w:rsidRDefault="00451BC7" w:rsidP="00451BC7">
            <w:pPr>
              <w:rPr>
                <w:rFonts w:ascii="Georgia" w:hAnsi="Georgia"/>
                <w:bCs/>
                <w:sz w:val="20"/>
                <w:szCs w:val="20"/>
              </w:rPr>
            </w:pPr>
            <w:r w:rsidRPr="009E5C05">
              <w:rPr>
                <w:rFonts w:ascii="Georgia" w:hAnsi="Georgia"/>
                <w:bCs/>
                <w:sz w:val="20"/>
                <w:szCs w:val="20"/>
              </w:rPr>
              <w:t>6</w:t>
            </w:r>
          </w:p>
        </w:tc>
        <w:tc>
          <w:tcPr>
            <w:tcW w:w="976" w:type="pct"/>
          </w:tcPr>
          <w:p w14:paraId="02EA4279" w14:textId="77777777" w:rsidR="00451BC7" w:rsidRPr="009E5C05" w:rsidRDefault="00451BC7" w:rsidP="00451BC7">
            <w:pPr>
              <w:rPr>
                <w:rFonts w:ascii="Georgia" w:hAnsi="Georgia"/>
                <w:bCs/>
                <w:sz w:val="20"/>
                <w:szCs w:val="20"/>
              </w:rPr>
            </w:pPr>
            <w:r w:rsidRPr="009E5C05">
              <w:rPr>
                <w:rFonts w:ascii="Georgia" w:hAnsi="Georgia"/>
                <w:bCs/>
                <w:sz w:val="20"/>
                <w:szCs w:val="20"/>
              </w:rPr>
              <w:t>0</w:t>
            </w:r>
          </w:p>
        </w:tc>
        <w:tc>
          <w:tcPr>
            <w:tcW w:w="976" w:type="pct"/>
          </w:tcPr>
          <w:p w14:paraId="7004CAC9" w14:textId="77777777" w:rsidR="00451BC7" w:rsidRPr="009E5C05" w:rsidRDefault="00451BC7" w:rsidP="00451BC7">
            <w:pPr>
              <w:rPr>
                <w:rFonts w:ascii="Georgia" w:hAnsi="Georgia"/>
                <w:bCs/>
                <w:sz w:val="20"/>
                <w:szCs w:val="20"/>
              </w:rPr>
            </w:pPr>
            <w:r w:rsidRPr="009E5C05">
              <w:rPr>
                <w:rFonts w:ascii="Georgia" w:hAnsi="Georgia"/>
                <w:bCs/>
                <w:sz w:val="20"/>
                <w:szCs w:val="20"/>
              </w:rPr>
              <w:t>0</w:t>
            </w:r>
          </w:p>
        </w:tc>
        <w:tc>
          <w:tcPr>
            <w:tcW w:w="976" w:type="pct"/>
          </w:tcPr>
          <w:p w14:paraId="02E46F05" w14:textId="77777777" w:rsidR="00451BC7" w:rsidRPr="009E5C05" w:rsidRDefault="00451BC7" w:rsidP="00451BC7">
            <w:pPr>
              <w:rPr>
                <w:rFonts w:ascii="Georgia" w:hAnsi="Georgia"/>
                <w:bCs/>
                <w:sz w:val="20"/>
                <w:szCs w:val="20"/>
              </w:rPr>
            </w:pPr>
            <w:r w:rsidRPr="009E5C05">
              <w:rPr>
                <w:rFonts w:ascii="Georgia" w:hAnsi="Georgia"/>
                <w:bCs/>
                <w:sz w:val="20"/>
                <w:szCs w:val="20"/>
              </w:rPr>
              <w:t>6</w:t>
            </w:r>
          </w:p>
        </w:tc>
      </w:tr>
      <w:tr w:rsidR="00451BC7" w:rsidRPr="009E5C05" w14:paraId="61E948FE" w14:textId="77777777" w:rsidTr="00A84FBE">
        <w:trPr>
          <w:cnfStyle w:val="000000100000" w:firstRow="0" w:lastRow="0" w:firstColumn="0" w:lastColumn="0" w:oddVBand="0" w:evenVBand="0" w:oddHBand="1" w:evenHBand="0" w:firstRowFirstColumn="0" w:firstRowLastColumn="0" w:lastRowFirstColumn="0" w:lastRowLastColumn="0"/>
        </w:trPr>
        <w:tc>
          <w:tcPr>
            <w:tcW w:w="182" w:type="pct"/>
          </w:tcPr>
          <w:p w14:paraId="2BCAEC5E" w14:textId="77777777" w:rsidR="00451BC7" w:rsidRPr="009E5C05" w:rsidRDefault="00451BC7" w:rsidP="00451BC7">
            <w:pPr>
              <w:keepNext/>
              <w:rPr>
                <w:rFonts w:ascii="Georgia" w:hAnsi="Georgia"/>
                <w:bCs/>
                <w:sz w:val="20"/>
                <w:szCs w:val="20"/>
              </w:rPr>
            </w:pPr>
          </w:p>
        </w:tc>
        <w:tc>
          <w:tcPr>
            <w:tcW w:w="914" w:type="pct"/>
          </w:tcPr>
          <w:p w14:paraId="22DAA5C5" w14:textId="77777777" w:rsidR="00451BC7" w:rsidRPr="009E5C05" w:rsidRDefault="00A84FBE" w:rsidP="00451BC7">
            <w:pPr>
              <w:keepNext/>
              <w:rPr>
                <w:rFonts w:ascii="Georgia" w:hAnsi="Georgia"/>
                <w:bCs/>
                <w:sz w:val="20"/>
                <w:szCs w:val="20"/>
              </w:rPr>
            </w:pPr>
            <w:r>
              <w:rPr>
                <w:rFonts w:ascii="Georgia" w:hAnsi="Georgia"/>
                <w:bCs/>
                <w:sz w:val="20"/>
                <w:szCs w:val="20"/>
              </w:rPr>
              <w:t>Iš viso:</w:t>
            </w:r>
          </w:p>
        </w:tc>
        <w:tc>
          <w:tcPr>
            <w:tcW w:w="976" w:type="pct"/>
          </w:tcPr>
          <w:p w14:paraId="39164551" w14:textId="77777777" w:rsidR="00451BC7" w:rsidRPr="009E5C05" w:rsidRDefault="00451BC7" w:rsidP="00451BC7">
            <w:pPr>
              <w:keepNext/>
              <w:rPr>
                <w:rFonts w:ascii="Georgia" w:hAnsi="Georgia"/>
                <w:b/>
                <w:bCs/>
                <w:sz w:val="20"/>
                <w:szCs w:val="20"/>
              </w:rPr>
            </w:pPr>
            <w:r w:rsidRPr="009E5C05">
              <w:rPr>
                <w:rFonts w:ascii="Georgia" w:hAnsi="Georgia"/>
                <w:b/>
                <w:bCs/>
                <w:sz w:val="20"/>
                <w:szCs w:val="20"/>
              </w:rPr>
              <w:t>20</w:t>
            </w:r>
          </w:p>
        </w:tc>
        <w:tc>
          <w:tcPr>
            <w:tcW w:w="976" w:type="pct"/>
          </w:tcPr>
          <w:p w14:paraId="266E0A98" w14:textId="77777777" w:rsidR="00451BC7" w:rsidRPr="009E5C05" w:rsidRDefault="00451BC7" w:rsidP="00451BC7">
            <w:pPr>
              <w:keepNext/>
              <w:rPr>
                <w:rFonts w:ascii="Georgia" w:hAnsi="Georgia"/>
                <w:b/>
                <w:bCs/>
                <w:sz w:val="20"/>
                <w:szCs w:val="20"/>
              </w:rPr>
            </w:pPr>
            <w:r w:rsidRPr="009E5C05">
              <w:rPr>
                <w:rFonts w:ascii="Georgia" w:hAnsi="Georgia"/>
                <w:b/>
                <w:bCs/>
                <w:sz w:val="20"/>
                <w:szCs w:val="20"/>
              </w:rPr>
              <w:t>4</w:t>
            </w:r>
          </w:p>
        </w:tc>
        <w:tc>
          <w:tcPr>
            <w:tcW w:w="976" w:type="pct"/>
          </w:tcPr>
          <w:p w14:paraId="66993EB6" w14:textId="77777777" w:rsidR="00451BC7" w:rsidRPr="009E5C05" w:rsidRDefault="00451BC7" w:rsidP="00451BC7">
            <w:pPr>
              <w:keepNext/>
              <w:rPr>
                <w:rFonts w:ascii="Georgia" w:hAnsi="Georgia"/>
                <w:b/>
                <w:bCs/>
                <w:sz w:val="20"/>
                <w:szCs w:val="20"/>
              </w:rPr>
            </w:pPr>
            <w:r w:rsidRPr="009E5C05">
              <w:rPr>
                <w:rFonts w:ascii="Georgia" w:hAnsi="Georgia"/>
                <w:b/>
                <w:bCs/>
                <w:sz w:val="20"/>
                <w:szCs w:val="20"/>
              </w:rPr>
              <w:t>4</w:t>
            </w:r>
          </w:p>
        </w:tc>
        <w:tc>
          <w:tcPr>
            <w:tcW w:w="976" w:type="pct"/>
          </w:tcPr>
          <w:p w14:paraId="2007AFA0" w14:textId="77777777" w:rsidR="00451BC7" w:rsidRPr="009E5C05" w:rsidRDefault="00451BC7" w:rsidP="00451BC7">
            <w:pPr>
              <w:keepNext/>
              <w:rPr>
                <w:rFonts w:ascii="Georgia" w:hAnsi="Georgia"/>
                <w:b/>
                <w:bCs/>
                <w:sz w:val="20"/>
                <w:szCs w:val="20"/>
              </w:rPr>
            </w:pPr>
            <w:r w:rsidRPr="009E5C05">
              <w:rPr>
                <w:rFonts w:ascii="Georgia" w:hAnsi="Georgia"/>
                <w:b/>
                <w:bCs/>
                <w:sz w:val="20"/>
                <w:szCs w:val="20"/>
              </w:rPr>
              <w:t>12</w:t>
            </w:r>
          </w:p>
        </w:tc>
      </w:tr>
    </w:tbl>
    <w:p w14:paraId="4DA21722" w14:textId="77777777" w:rsidR="00451BC7" w:rsidRPr="00E649A6" w:rsidRDefault="00451BC7" w:rsidP="00451BC7">
      <w:pPr>
        <w:rPr>
          <w:rFonts w:ascii="Georgia" w:hAnsi="Georgia"/>
          <w:bCs/>
          <w:i/>
          <w:sz w:val="20"/>
          <w:szCs w:val="20"/>
          <w:lang w:val="lt-LT"/>
        </w:rPr>
      </w:pPr>
      <w:r w:rsidRPr="00AF1768">
        <w:rPr>
          <w:rFonts w:ascii="Georgia" w:eastAsia="PMingLiU" w:hAnsi="Georgia" w:cs="Times New Roman"/>
          <w:bCs/>
          <w:i/>
          <w:color w:val="A32020"/>
          <w:sz w:val="20"/>
          <w:szCs w:val="18"/>
          <w:lang w:val="lt-LT"/>
        </w:rPr>
        <w:t>Šaltinis: Europos Komisijos informacija apie finansinių priemonių įgyvendinimą</w:t>
      </w:r>
      <w:r>
        <w:rPr>
          <w:rStyle w:val="Puslapioinaosnuoroda"/>
          <w:rFonts w:ascii="Georgia" w:hAnsi="Georgia"/>
          <w:bCs/>
          <w:i/>
          <w:sz w:val="20"/>
          <w:szCs w:val="20"/>
          <w:lang w:val="lt-LT"/>
        </w:rPr>
        <w:footnoteReference w:id="153"/>
      </w:r>
      <w:r>
        <w:rPr>
          <w:rFonts w:ascii="Georgia" w:hAnsi="Georgia"/>
          <w:bCs/>
          <w:i/>
          <w:sz w:val="20"/>
          <w:szCs w:val="20"/>
          <w:lang w:val="lt-LT"/>
        </w:rPr>
        <w:t xml:space="preserve"> </w:t>
      </w:r>
      <w:r w:rsidRPr="00E649A6">
        <w:rPr>
          <w:rFonts w:ascii="Georgia" w:hAnsi="Georgia"/>
          <w:bCs/>
          <w:i/>
          <w:sz w:val="20"/>
          <w:szCs w:val="20"/>
          <w:lang w:val="lt-LT"/>
        </w:rPr>
        <w:t xml:space="preserve"> </w:t>
      </w:r>
    </w:p>
    <w:p w14:paraId="5E5E4B8A" w14:textId="77777777" w:rsidR="00451BC7" w:rsidRPr="00E649A6" w:rsidRDefault="00451BC7" w:rsidP="00451BC7">
      <w:pPr>
        <w:keepNext/>
        <w:jc w:val="both"/>
        <w:rPr>
          <w:rFonts w:ascii="Georgia" w:hAnsi="Georgia"/>
          <w:bCs/>
          <w:sz w:val="20"/>
          <w:szCs w:val="20"/>
          <w:lang w:val="lt-LT"/>
        </w:rPr>
      </w:pPr>
      <w:r>
        <w:rPr>
          <w:rFonts w:ascii="Georgia" w:hAnsi="Georgia"/>
          <w:bCs/>
          <w:sz w:val="20"/>
          <w:szCs w:val="20"/>
          <w:lang w:val="lt-LT"/>
        </w:rPr>
        <w:lastRenderedPageBreak/>
        <w:t>Žemiau esančioje l</w:t>
      </w:r>
      <w:r w:rsidRPr="00E649A6">
        <w:rPr>
          <w:rFonts w:ascii="Georgia" w:hAnsi="Georgia"/>
          <w:bCs/>
          <w:sz w:val="20"/>
          <w:szCs w:val="20"/>
          <w:lang w:val="lt-LT"/>
        </w:rPr>
        <w:t>entelėje pateikiama informacija apie energijos efektyvumo ir atsinaujinančių energijos išteklių projektus finansuoja</w:t>
      </w:r>
      <w:r>
        <w:rPr>
          <w:rFonts w:ascii="Georgia" w:hAnsi="Georgia"/>
          <w:bCs/>
          <w:sz w:val="20"/>
          <w:szCs w:val="20"/>
          <w:lang w:val="lt-LT"/>
        </w:rPr>
        <w:t>mus per</w:t>
      </w:r>
      <w:r w:rsidRPr="00E649A6">
        <w:rPr>
          <w:rFonts w:ascii="Georgia" w:hAnsi="Georgia"/>
          <w:bCs/>
          <w:sz w:val="20"/>
          <w:szCs w:val="20"/>
          <w:lang w:val="lt-LT"/>
        </w:rPr>
        <w:t xml:space="preserve"> finansinių priemonių įgyvendinim</w:t>
      </w:r>
      <w:r>
        <w:rPr>
          <w:rFonts w:ascii="Georgia" w:hAnsi="Georgia"/>
          <w:bCs/>
          <w:sz w:val="20"/>
          <w:szCs w:val="20"/>
          <w:lang w:val="lt-LT"/>
        </w:rPr>
        <w:t>ą</w:t>
      </w:r>
      <w:r w:rsidRPr="00E649A6">
        <w:rPr>
          <w:rFonts w:ascii="Georgia" w:hAnsi="Georgia"/>
          <w:bCs/>
          <w:sz w:val="20"/>
          <w:szCs w:val="20"/>
          <w:lang w:val="lt-LT"/>
        </w:rPr>
        <w:t xml:space="preserve"> pagal siūlomų produktų tipus ir išmokėtas lėšas.</w:t>
      </w:r>
    </w:p>
    <w:p w14:paraId="6284E551" w14:textId="4E552A6D" w:rsidR="00451BC7" w:rsidRPr="005F0137" w:rsidRDefault="00451BC7" w:rsidP="00451BC7">
      <w:pPr>
        <w:pStyle w:val="Antrat"/>
        <w:spacing w:line="276" w:lineRule="auto"/>
        <w:jc w:val="both"/>
        <w:rPr>
          <w:lang w:val="lt-LT"/>
        </w:rPr>
      </w:pPr>
      <w:bookmarkStart w:id="324" w:name="_Toc460321733"/>
      <w:r w:rsidRPr="005F0137">
        <w:rPr>
          <w:lang w:val="lt-LT"/>
        </w:rPr>
        <w:t xml:space="preserve">Lentelė </w:t>
      </w:r>
      <w:r w:rsidRPr="005F0137">
        <w:rPr>
          <w:lang w:val="lt-LT"/>
        </w:rPr>
        <w:fldChar w:fldCharType="begin"/>
      </w:r>
      <w:r w:rsidRPr="005F0137">
        <w:rPr>
          <w:lang w:val="lt-LT"/>
        </w:rPr>
        <w:instrText xml:space="preserve"> SEQ Lentelė \* ARABIC </w:instrText>
      </w:r>
      <w:r w:rsidRPr="005F0137">
        <w:rPr>
          <w:lang w:val="lt-LT"/>
        </w:rPr>
        <w:fldChar w:fldCharType="separate"/>
      </w:r>
      <w:r w:rsidR="00AA3082">
        <w:rPr>
          <w:noProof/>
          <w:lang w:val="lt-LT"/>
        </w:rPr>
        <w:t>152</w:t>
      </w:r>
      <w:r w:rsidRPr="005F0137">
        <w:rPr>
          <w:lang w:val="lt-LT"/>
        </w:rPr>
        <w:fldChar w:fldCharType="end"/>
      </w:r>
      <w:r w:rsidRPr="00C27241">
        <w:rPr>
          <w:b w:val="0"/>
          <w:iCs/>
          <w:szCs w:val="20"/>
          <w:lang w:val="lt-LT"/>
        </w:rPr>
        <w:t xml:space="preserve">. </w:t>
      </w:r>
      <w:r w:rsidRPr="005F0137">
        <w:rPr>
          <w:lang w:val="lt-LT"/>
        </w:rPr>
        <w:t>Energijos efektyvumo ir atsinaujinančių energijos išteklių projekt</w:t>
      </w:r>
      <w:r>
        <w:rPr>
          <w:lang w:val="lt-LT"/>
        </w:rPr>
        <w:t>ų</w:t>
      </w:r>
      <w:r w:rsidRPr="005F0137">
        <w:rPr>
          <w:lang w:val="lt-LT"/>
        </w:rPr>
        <w:t xml:space="preserve"> finans</w:t>
      </w:r>
      <w:r>
        <w:rPr>
          <w:lang w:val="lt-LT"/>
        </w:rPr>
        <w:t>avimas</w:t>
      </w:r>
      <w:r w:rsidRPr="005F0137">
        <w:rPr>
          <w:lang w:val="lt-LT"/>
        </w:rPr>
        <w:t xml:space="preserve"> pagal siūlomų produktų tipus ir išmokėtas lėšas.</w:t>
      </w:r>
      <w:bookmarkEnd w:id="324"/>
    </w:p>
    <w:tbl>
      <w:tblPr>
        <w:tblStyle w:val="viesussraas2parykinimas1"/>
        <w:tblW w:w="5000" w:type="pct"/>
        <w:tblLook w:val="0420" w:firstRow="1" w:lastRow="0" w:firstColumn="0" w:lastColumn="0" w:noHBand="0" w:noVBand="1"/>
      </w:tblPr>
      <w:tblGrid>
        <w:gridCol w:w="3080"/>
        <w:gridCol w:w="3080"/>
        <w:gridCol w:w="3082"/>
      </w:tblGrid>
      <w:tr w:rsidR="00451BC7" w:rsidRPr="009E5C05" w14:paraId="2ADDA781" w14:textId="77777777" w:rsidTr="00A84FBE">
        <w:trPr>
          <w:cnfStyle w:val="100000000000" w:firstRow="1" w:lastRow="0" w:firstColumn="0" w:lastColumn="0" w:oddVBand="0" w:evenVBand="0" w:oddHBand="0" w:evenHBand="0" w:firstRowFirstColumn="0" w:firstRowLastColumn="0" w:lastRowFirstColumn="0" w:lastRowLastColumn="0"/>
        </w:trPr>
        <w:tc>
          <w:tcPr>
            <w:tcW w:w="1666" w:type="pct"/>
          </w:tcPr>
          <w:p w14:paraId="1F5E3BC1" w14:textId="77777777" w:rsidR="00451BC7" w:rsidRPr="009E5C05" w:rsidRDefault="00451BC7" w:rsidP="00A84FBE">
            <w:pPr>
              <w:keepNext/>
              <w:jc w:val="center"/>
              <w:rPr>
                <w:rFonts w:ascii="Georgia" w:hAnsi="Georgia"/>
                <w:bCs w:val="0"/>
                <w:sz w:val="20"/>
                <w:szCs w:val="20"/>
              </w:rPr>
            </w:pPr>
            <w:r w:rsidRPr="009E5C05">
              <w:rPr>
                <w:rFonts w:ascii="Georgia" w:hAnsi="Georgia"/>
                <w:bCs w:val="0"/>
                <w:sz w:val="20"/>
                <w:szCs w:val="20"/>
              </w:rPr>
              <w:t>Produkto tipas</w:t>
            </w:r>
          </w:p>
        </w:tc>
        <w:tc>
          <w:tcPr>
            <w:tcW w:w="1666" w:type="pct"/>
          </w:tcPr>
          <w:p w14:paraId="7D272118" w14:textId="77777777" w:rsidR="00451BC7" w:rsidRPr="009E5C05" w:rsidRDefault="00451BC7" w:rsidP="00A84FBE">
            <w:pPr>
              <w:keepNext/>
              <w:jc w:val="center"/>
              <w:rPr>
                <w:rFonts w:ascii="Georgia" w:hAnsi="Georgia"/>
                <w:bCs w:val="0"/>
                <w:sz w:val="20"/>
                <w:szCs w:val="20"/>
              </w:rPr>
            </w:pPr>
            <w:r w:rsidRPr="009E5C05">
              <w:rPr>
                <w:rFonts w:ascii="Georgia" w:hAnsi="Georgia"/>
                <w:bCs w:val="0"/>
                <w:sz w:val="20"/>
                <w:szCs w:val="20"/>
              </w:rPr>
              <w:t>Vienetai</w:t>
            </w:r>
          </w:p>
        </w:tc>
        <w:tc>
          <w:tcPr>
            <w:tcW w:w="1667" w:type="pct"/>
          </w:tcPr>
          <w:p w14:paraId="612D8895" w14:textId="77777777" w:rsidR="00451BC7" w:rsidRPr="009E5C05" w:rsidRDefault="00451BC7" w:rsidP="00A84FBE">
            <w:pPr>
              <w:keepNext/>
              <w:jc w:val="center"/>
              <w:rPr>
                <w:rFonts w:ascii="Georgia" w:hAnsi="Georgia"/>
                <w:bCs w:val="0"/>
                <w:sz w:val="20"/>
                <w:szCs w:val="20"/>
              </w:rPr>
            </w:pPr>
            <w:r w:rsidRPr="009E5C05">
              <w:rPr>
                <w:rFonts w:ascii="Georgia" w:hAnsi="Georgia"/>
                <w:bCs w:val="0"/>
                <w:sz w:val="20"/>
                <w:szCs w:val="20"/>
              </w:rPr>
              <w:t>Išmokėtos veiksmų programų lėšos (mln. €)</w:t>
            </w:r>
          </w:p>
        </w:tc>
      </w:tr>
      <w:tr w:rsidR="00451BC7" w:rsidRPr="009E5C05" w14:paraId="50976283" w14:textId="77777777" w:rsidTr="00A84FBE">
        <w:trPr>
          <w:cnfStyle w:val="000000100000" w:firstRow="0" w:lastRow="0" w:firstColumn="0" w:lastColumn="0" w:oddVBand="0" w:evenVBand="0" w:oddHBand="1" w:evenHBand="0" w:firstRowFirstColumn="0" w:firstRowLastColumn="0" w:lastRowFirstColumn="0" w:lastRowLastColumn="0"/>
        </w:trPr>
        <w:tc>
          <w:tcPr>
            <w:tcW w:w="1666" w:type="pct"/>
          </w:tcPr>
          <w:p w14:paraId="146FBE82" w14:textId="77777777" w:rsidR="00451BC7" w:rsidRPr="009E5C05" w:rsidRDefault="00451BC7" w:rsidP="00451BC7">
            <w:pPr>
              <w:keepNext/>
              <w:rPr>
                <w:rFonts w:ascii="Georgia" w:hAnsi="Georgia"/>
                <w:bCs/>
                <w:sz w:val="20"/>
                <w:szCs w:val="20"/>
              </w:rPr>
            </w:pPr>
            <w:r w:rsidRPr="009E5C05">
              <w:rPr>
                <w:rFonts w:ascii="Georgia" w:hAnsi="Georgia"/>
                <w:bCs/>
                <w:sz w:val="20"/>
                <w:szCs w:val="20"/>
              </w:rPr>
              <w:t>Paskolos</w:t>
            </w:r>
          </w:p>
        </w:tc>
        <w:tc>
          <w:tcPr>
            <w:tcW w:w="1666" w:type="pct"/>
          </w:tcPr>
          <w:p w14:paraId="1DEC2F03" w14:textId="77777777" w:rsidR="00451BC7" w:rsidRPr="00A84FBE" w:rsidRDefault="00451BC7" w:rsidP="0088418D">
            <w:pPr>
              <w:keepNext/>
              <w:rPr>
                <w:rFonts w:ascii="Georgia" w:hAnsi="Georgia"/>
                <w:bCs/>
                <w:sz w:val="20"/>
                <w:szCs w:val="20"/>
              </w:rPr>
            </w:pPr>
            <w:r w:rsidRPr="00A84FBE">
              <w:rPr>
                <w:rFonts w:ascii="Georgia" w:hAnsi="Georgia"/>
                <w:bCs/>
                <w:sz w:val="20"/>
                <w:szCs w:val="20"/>
              </w:rPr>
              <w:t>13</w:t>
            </w:r>
            <w:r w:rsidR="0088418D" w:rsidRPr="00A84FBE">
              <w:rPr>
                <w:rFonts w:ascii="Georgia" w:hAnsi="Georgia"/>
                <w:bCs/>
                <w:sz w:val="20"/>
                <w:szCs w:val="20"/>
              </w:rPr>
              <w:t xml:space="preserve"> </w:t>
            </w:r>
            <w:r w:rsidRPr="00A84FBE">
              <w:rPr>
                <w:rFonts w:ascii="Georgia" w:hAnsi="Georgia"/>
                <w:bCs/>
                <w:sz w:val="20"/>
                <w:szCs w:val="20"/>
              </w:rPr>
              <w:t>392</w:t>
            </w:r>
          </w:p>
        </w:tc>
        <w:tc>
          <w:tcPr>
            <w:tcW w:w="1667" w:type="pct"/>
          </w:tcPr>
          <w:p w14:paraId="08D438E5" w14:textId="77777777" w:rsidR="00451BC7" w:rsidRPr="00A84FBE" w:rsidRDefault="00451BC7" w:rsidP="00451BC7">
            <w:pPr>
              <w:keepNext/>
              <w:rPr>
                <w:rFonts w:ascii="Georgia" w:hAnsi="Georgia"/>
                <w:bCs/>
                <w:sz w:val="20"/>
                <w:szCs w:val="20"/>
              </w:rPr>
            </w:pPr>
            <w:r w:rsidRPr="00A84FBE">
              <w:rPr>
                <w:rFonts w:ascii="Georgia" w:hAnsi="Georgia"/>
                <w:bCs/>
                <w:sz w:val="20"/>
                <w:szCs w:val="20"/>
              </w:rPr>
              <w:t>86,4</w:t>
            </w:r>
          </w:p>
        </w:tc>
      </w:tr>
      <w:tr w:rsidR="00451BC7" w:rsidRPr="009E5C05" w14:paraId="4A11623C" w14:textId="77777777" w:rsidTr="00A84FBE">
        <w:tc>
          <w:tcPr>
            <w:tcW w:w="1666" w:type="pct"/>
          </w:tcPr>
          <w:p w14:paraId="5AAB13B4" w14:textId="77777777" w:rsidR="00451BC7" w:rsidRPr="009E5C05" w:rsidRDefault="00451BC7" w:rsidP="00451BC7">
            <w:pPr>
              <w:keepNext/>
              <w:rPr>
                <w:rFonts w:ascii="Georgia" w:hAnsi="Georgia"/>
                <w:bCs/>
                <w:sz w:val="20"/>
                <w:szCs w:val="20"/>
              </w:rPr>
            </w:pPr>
            <w:r w:rsidRPr="009E5C05">
              <w:rPr>
                <w:rFonts w:ascii="Georgia" w:hAnsi="Georgia"/>
                <w:bCs/>
                <w:sz w:val="20"/>
                <w:szCs w:val="20"/>
              </w:rPr>
              <w:t>Garantijos</w:t>
            </w:r>
          </w:p>
        </w:tc>
        <w:tc>
          <w:tcPr>
            <w:tcW w:w="1666" w:type="pct"/>
          </w:tcPr>
          <w:p w14:paraId="701FD19B" w14:textId="77777777" w:rsidR="00451BC7" w:rsidRPr="00A84FBE" w:rsidRDefault="00451BC7" w:rsidP="00451BC7">
            <w:pPr>
              <w:keepNext/>
              <w:rPr>
                <w:rFonts w:ascii="Georgia" w:hAnsi="Georgia"/>
                <w:bCs/>
                <w:sz w:val="20"/>
                <w:szCs w:val="20"/>
              </w:rPr>
            </w:pPr>
            <w:r w:rsidRPr="00A84FBE">
              <w:rPr>
                <w:rFonts w:ascii="Georgia" w:hAnsi="Georgia"/>
                <w:bCs/>
                <w:sz w:val="20"/>
                <w:szCs w:val="20"/>
              </w:rPr>
              <w:t>0</w:t>
            </w:r>
          </w:p>
        </w:tc>
        <w:tc>
          <w:tcPr>
            <w:tcW w:w="1667" w:type="pct"/>
          </w:tcPr>
          <w:p w14:paraId="0FB912C2" w14:textId="77777777" w:rsidR="00451BC7" w:rsidRPr="00A84FBE" w:rsidRDefault="00451BC7" w:rsidP="00451BC7">
            <w:pPr>
              <w:keepNext/>
              <w:rPr>
                <w:rFonts w:ascii="Georgia" w:hAnsi="Georgia"/>
                <w:bCs/>
                <w:sz w:val="20"/>
                <w:szCs w:val="20"/>
              </w:rPr>
            </w:pPr>
            <w:r w:rsidRPr="00A84FBE">
              <w:rPr>
                <w:rFonts w:ascii="Georgia" w:hAnsi="Georgia"/>
                <w:bCs/>
                <w:sz w:val="20"/>
                <w:szCs w:val="20"/>
              </w:rPr>
              <w:t>0</w:t>
            </w:r>
          </w:p>
        </w:tc>
      </w:tr>
      <w:tr w:rsidR="00451BC7" w:rsidRPr="009E5C05" w14:paraId="396F06F0" w14:textId="77777777" w:rsidTr="00A84FBE">
        <w:trPr>
          <w:cnfStyle w:val="000000100000" w:firstRow="0" w:lastRow="0" w:firstColumn="0" w:lastColumn="0" w:oddVBand="0" w:evenVBand="0" w:oddHBand="1" w:evenHBand="0" w:firstRowFirstColumn="0" w:firstRowLastColumn="0" w:lastRowFirstColumn="0" w:lastRowLastColumn="0"/>
        </w:trPr>
        <w:tc>
          <w:tcPr>
            <w:tcW w:w="1666" w:type="pct"/>
          </w:tcPr>
          <w:p w14:paraId="17F275C2" w14:textId="77777777" w:rsidR="00451BC7" w:rsidRPr="009E5C05" w:rsidRDefault="00451BC7" w:rsidP="00451BC7">
            <w:pPr>
              <w:rPr>
                <w:rFonts w:ascii="Georgia" w:hAnsi="Georgia"/>
                <w:bCs/>
                <w:sz w:val="20"/>
                <w:szCs w:val="20"/>
              </w:rPr>
            </w:pPr>
            <w:r w:rsidRPr="009E5C05">
              <w:rPr>
                <w:rFonts w:ascii="Georgia" w:hAnsi="Georgia"/>
                <w:bCs/>
                <w:sz w:val="20"/>
                <w:szCs w:val="20"/>
              </w:rPr>
              <w:t>Nuosavas/rizikos kapitalas</w:t>
            </w:r>
          </w:p>
        </w:tc>
        <w:tc>
          <w:tcPr>
            <w:tcW w:w="1666" w:type="pct"/>
          </w:tcPr>
          <w:p w14:paraId="4B9C64C6" w14:textId="77777777" w:rsidR="00451BC7" w:rsidRPr="00A84FBE" w:rsidRDefault="00451BC7" w:rsidP="00451BC7">
            <w:pPr>
              <w:rPr>
                <w:rFonts w:ascii="Georgia" w:hAnsi="Georgia"/>
                <w:bCs/>
                <w:sz w:val="20"/>
                <w:szCs w:val="20"/>
              </w:rPr>
            </w:pPr>
            <w:r w:rsidRPr="00A84FBE">
              <w:rPr>
                <w:rFonts w:ascii="Georgia" w:hAnsi="Georgia"/>
                <w:bCs/>
                <w:sz w:val="20"/>
                <w:szCs w:val="20"/>
              </w:rPr>
              <w:t>N.A.</w:t>
            </w:r>
          </w:p>
        </w:tc>
        <w:tc>
          <w:tcPr>
            <w:tcW w:w="1667" w:type="pct"/>
          </w:tcPr>
          <w:p w14:paraId="49D2DCD7" w14:textId="77777777" w:rsidR="00451BC7" w:rsidRPr="00A84FBE" w:rsidRDefault="00451BC7" w:rsidP="00451BC7">
            <w:pPr>
              <w:rPr>
                <w:rFonts w:ascii="Georgia" w:hAnsi="Georgia"/>
                <w:bCs/>
                <w:sz w:val="20"/>
                <w:szCs w:val="20"/>
              </w:rPr>
            </w:pPr>
            <w:r w:rsidRPr="00A84FBE">
              <w:rPr>
                <w:rFonts w:ascii="Georgia" w:hAnsi="Georgia"/>
                <w:bCs/>
                <w:sz w:val="20"/>
                <w:szCs w:val="20"/>
              </w:rPr>
              <w:t>2,9</w:t>
            </w:r>
          </w:p>
        </w:tc>
      </w:tr>
      <w:tr w:rsidR="00451BC7" w:rsidRPr="009E5C05" w14:paraId="2EC5D36B" w14:textId="77777777" w:rsidTr="00A84FBE">
        <w:tc>
          <w:tcPr>
            <w:tcW w:w="1666" w:type="pct"/>
          </w:tcPr>
          <w:p w14:paraId="7369EF10" w14:textId="77777777" w:rsidR="00451BC7" w:rsidRPr="009E5C05" w:rsidRDefault="00451BC7" w:rsidP="00451BC7">
            <w:pPr>
              <w:rPr>
                <w:rFonts w:ascii="Georgia" w:hAnsi="Georgia"/>
                <w:bCs/>
                <w:sz w:val="20"/>
                <w:szCs w:val="20"/>
              </w:rPr>
            </w:pPr>
            <w:r w:rsidRPr="009E5C05">
              <w:rPr>
                <w:rFonts w:ascii="Georgia" w:hAnsi="Georgia"/>
                <w:bCs/>
                <w:sz w:val="20"/>
                <w:szCs w:val="20"/>
              </w:rPr>
              <w:t>Kiti produktai</w:t>
            </w:r>
          </w:p>
        </w:tc>
        <w:tc>
          <w:tcPr>
            <w:tcW w:w="1666" w:type="pct"/>
          </w:tcPr>
          <w:p w14:paraId="42053CC3" w14:textId="77777777" w:rsidR="00451BC7" w:rsidRPr="00A84FBE" w:rsidRDefault="00451BC7" w:rsidP="00451BC7">
            <w:pPr>
              <w:rPr>
                <w:rFonts w:ascii="Georgia" w:hAnsi="Georgia"/>
                <w:bCs/>
                <w:sz w:val="20"/>
                <w:szCs w:val="20"/>
              </w:rPr>
            </w:pPr>
            <w:r w:rsidRPr="00A84FBE">
              <w:rPr>
                <w:rFonts w:ascii="Georgia" w:hAnsi="Georgia"/>
                <w:bCs/>
                <w:sz w:val="20"/>
                <w:szCs w:val="20"/>
              </w:rPr>
              <w:t>N.A.</w:t>
            </w:r>
          </w:p>
        </w:tc>
        <w:tc>
          <w:tcPr>
            <w:tcW w:w="1667" w:type="pct"/>
          </w:tcPr>
          <w:p w14:paraId="5DF8D9BB" w14:textId="77777777" w:rsidR="00451BC7" w:rsidRPr="00A84FBE" w:rsidRDefault="00451BC7" w:rsidP="00451BC7">
            <w:pPr>
              <w:rPr>
                <w:rFonts w:ascii="Georgia" w:hAnsi="Georgia"/>
                <w:bCs/>
                <w:sz w:val="20"/>
                <w:szCs w:val="20"/>
              </w:rPr>
            </w:pPr>
            <w:r w:rsidRPr="00A84FBE">
              <w:rPr>
                <w:rFonts w:ascii="Georgia" w:hAnsi="Georgia"/>
                <w:bCs/>
                <w:sz w:val="20"/>
                <w:szCs w:val="20"/>
              </w:rPr>
              <w:t>0,3</w:t>
            </w:r>
          </w:p>
        </w:tc>
      </w:tr>
      <w:tr w:rsidR="00451BC7" w:rsidRPr="009E5C05" w14:paraId="7E366414" w14:textId="77777777" w:rsidTr="00A84FBE">
        <w:trPr>
          <w:cnfStyle w:val="000000100000" w:firstRow="0" w:lastRow="0" w:firstColumn="0" w:lastColumn="0" w:oddVBand="0" w:evenVBand="0" w:oddHBand="1" w:evenHBand="0" w:firstRowFirstColumn="0" w:firstRowLastColumn="0" w:lastRowFirstColumn="0" w:lastRowLastColumn="0"/>
        </w:trPr>
        <w:tc>
          <w:tcPr>
            <w:tcW w:w="1666" w:type="pct"/>
          </w:tcPr>
          <w:p w14:paraId="764C8CB4" w14:textId="77777777" w:rsidR="00451BC7" w:rsidRPr="009E5C05" w:rsidRDefault="00451BC7" w:rsidP="00451BC7">
            <w:pPr>
              <w:rPr>
                <w:rFonts w:ascii="Georgia" w:hAnsi="Georgia"/>
                <w:bCs/>
                <w:sz w:val="20"/>
                <w:szCs w:val="20"/>
              </w:rPr>
            </w:pPr>
            <w:r w:rsidRPr="009E5C05">
              <w:rPr>
                <w:rFonts w:ascii="Georgia" w:hAnsi="Georgia"/>
                <w:bCs/>
                <w:sz w:val="20"/>
                <w:szCs w:val="20"/>
              </w:rPr>
              <w:t>Iš viso:</w:t>
            </w:r>
          </w:p>
        </w:tc>
        <w:tc>
          <w:tcPr>
            <w:tcW w:w="1666" w:type="pct"/>
          </w:tcPr>
          <w:p w14:paraId="71BED79D" w14:textId="77777777" w:rsidR="00451BC7" w:rsidRPr="00A84FBE" w:rsidRDefault="00451BC7" w:rsidP="0088418D">
            <w:pPr>
              <w:rPr>
                <w:rFonts w:ascii="Georgia" w:hAnsi="Georgia"/>
                <w:bCs/>
                <w:sz w:val="20"/>
                <w:szCs w:val="20"/>
              </w:rPr>
            </w:pPr>
            <w:r w:rsidRPr="00A84FBE">
              <w:rPr>
                <w:rFonts w:ascii="Georgia" w:hAnsi="Georgia"/>
                <w:bCs/>
                <w:sz w:val="20"/>
                <w:szCs w:val="20"/>
              </w:rPr>
              <w:t>13</w:t>
            </w:r>
            <w:r w:rsidR="0088418D" w:rsidRPr="00A84FBE">
              <w:rPr>
                <w:rFonts w:ascii="Georgia" w:hAnsi="Georgia"/>
                <w:bCs/>
                <w:sz w:val="20"/>
                <w:szCs w:val="20"/>
              </w:rPr>
              <w:t xml:space="preserve"> </w:t>
            </w:r>
            <w:r w:rsidRPr="00A84FBE">
              <w:rPr>
                <w:rFonts w:ascii="Georgia" w:hAnsi="Georgia"/>
                <w:bCs/>
                <w:sz w:val="20"/>
                <w:szCs w:val="20"/>
              </w:rPr>
              <w:t>392</w:t>
            </w:r>
          </w:p>
        </w:tc>
        <w:tc>
          <w:tcPr>
            <w:tcW w:w="1667" w:type="pct"/>
          </w:tcPr>
          <w:p w14:paraId="4162968D" w14:textId="77777777" w:rsidR="00451BC7" w:rsidRPr="00A84FBE" w:rsidRDefault="00451BC7" w:rsidP="00451BC7">
            <w:pPr>
              <w:rPr>
                <w:rFonts w:ascii="Georgia" w:hAnsi="Georgia"/>
                <w:bCs/>
                <w:sz w:val="20"/>
                <w:szCs w:val="20"/>
              </w:rPr>
            </w:pPr>
            <w:r w:rsidRPr="00A84FBE">
              <w:rPr>
                <w:rFonts w:ascii="Georgia" w:hAnsi="Georgia"/>
                <w:bCs/>
                <w:sz w:val="20"/>
                <w:szCs w:val="20"/>
              </w:rPr>
              <w:t>89,6</w:t>
            </w:r>
          </w:p>
        </w:tc>
      </w:tr>
    </w:tbl>
    <w:p w14:paraId="07AA50B3" w14:textId="77777777" w:rsidR="00451BC7" w:rsidRPr="00AF1768" w:rsidRDefault="00451BC7" w:rsidP="00AF1768">
      <w:pPr>
        <w:pStyle w:val="Antrat"/>
        <w:spacing w:line="276" w:lineRule="auto"/>
        <w:jc w:val="both"/>
        <w:rPr>
          <w:b w:val="0"/>
          <w:i/>
          <w:lang w:val="lt-LT"/>
        </w:rPr>
      </w:pPr>
      <w:r w:rsidRPr="00AF1768">
        <w:rPr>
          <w:b w:val="0"/>
          <w:i/>
          <w:lang w:val="lt-LT"/>
        </w:rPr>
        <w:t>Šaltinis: ex ante vertinimo metodologijos IV dalies informacija</w:t>
      </w:r>
    </w:p>
    <w:p w14:paraId="2BE69934" w14:textId="77777777" w:rsidR="00451BC7" w:rsidRPr="00E649A6" w:rsidRDefault="00451BC7" w:rsidP="00451BC7">
      <w:pPr>
        <w:rPr>
          <w:rFonts w:ascii="Georgia" w:hAnsi="Georgia"/>
          <w:bCs/>
          <w:sz w:val="20"/>
          <w:szCs w:val="20"/>
          <w:lang w:val="lt-LT"/>
        </w:rPr>
      </w:pPr>
      <w:r w:rsidRPr="00E649A6">
        <w:rPr>
          <w:rFonts w:ascii="Georgia" w:hAnsi="Georgia"/>
          <w:bCs/>
          <w:sz w:val="20"/>
          <w:szCs w:val="20"/>
          <w:lang w:val="lt-LT"/>
        </w:rPr>
        <w:t xml:space="preserve">89,6 mln. € pasiekė galutinius naudos gavėjus. Suteiktos 13.392 paskolos. Vidutiniškai vienai paskolai teko </w:t>
      </w:r>
      <w:r w:rsidR="0088418D">
        <w:rPr>
          <w:rFonts w:ascii="Georgia" w:hAnsi="Georgia"/>
          <w:bCs/>
          <w:sz w:val="20"/>
          <w:szCs w:val="20"/>
          <w:lang w:val="lt-LT"/>
        </w:rPr>
        <w:t>100 tūkst.</w:t>
      </w:r>
      <w:r w:rsidRPr="00E649A6">
        <w:rPr>
          <w:rFonts w:ascii="Georgia" w:hAnsi="Georgia"/>
          <w:bCs/>
          <w:sz w:val="20"/>
          <w:szCs w:val="20"/>
          <w:lang w:val="lt-LT"/>
        </w:rPr>
        <w:t xml:space="preserve"> €.</w:t>
      </w:r>
    </w:p>
    <w:p w14:paraId="48901FE1" w14:textId="77777777" w:rsidR="00451BC7" w:rsidRPr="00E649A6" w:rsidRDefault="00451BC7" w:rsidP="00451BC7">
      <w:pPr>
        <w:rPr>
          <w:rFonts w:ascii="Georgia" w:hAnsi="Georgia"/>
          <w:bCs/>
          <w:i/>
          <w:sz w:val="20"/>
          <w:szCs w:val="20"/>
          <w:lang w:val="lt-LT"/>
        </w:rPr>
      </w:pPr>
      <w:r w:rsidRPr="00E649A6">
        <w:rPr>
          <w:rFonts w:ascii="Georgia" w:hAnsi="Georgia"/>
          <w:bCs/>
          <w:i/>
          <w:sz w:val="20"/>
          <w:szCs w:val="20"/>
          <w:lang w:val="lt-LT"/>
        </w:rPr>
        <w:t>Apibendrinimas:</w:t>
      </w:r>
    </w:p>
    <w:p w14:paraId="5C23D939" w14:textId="77777777" w:rsidR="00451BC7" w:rsidRPr="00E649A6" w:rsidRDefault="00451BC7" w:rsidP="00C03122">
      <w:pPr>
        <w:numPr>
          <w:ilvl w:val="0"/>
          <w:numId w:val="3"/>
        </w:numPr>
        <w:jc w:val="both"/>
        <w:rPr>
          <w:rFonts w:ascii="Georgia" w:hAnsi="Georgia"/>
          <w:bCs/>
          <w:sz w:val="20"/>
          <w:szCs w:val="20"/>
          <w:lang w:val="lt-LT"/>
        </w:rPr>
      </w:pPr>
      <w:r w:rsidRPr="00E649A6">
        <w:rPr>
          <w:rFonts w:ascii="Georgia" w:hAnsi="Georgia"/>
          <w:bCs/>
          <w:sz w:val="20"/>
          <w:szCs w:val="20"/>
          <w:lang w:val="lt-LT"/>
        </w:rPr>
        <w:t xml:space="preserve">lyginant su įmonėms skirtomis finansinėmis priemonėmis, energijos efektyvumo/miestų plėtros priemonių buvo įgyvendinta ženkliai mažiau (8 proc.). Viena iš priežasčių yra ta, jog tarp naudos gavėjų dominuoja viešojo sektoriaus institucijos. Paskolos ar kitokie finansiniai produktai yra labiau įprasti verslui, be to, miestų plėtros/energijos efektyvumo/atsinaujinančius energijos išteklių projektai yra </w:t>
      </w:r>
      <w:r w:rsidR="00AF1768">
        <w:rPr>
          <w:rFonts w:ascii="Georgia" w:hAnsi="Georgia"/>
          <w:bCs/>
          <w:sz w:val="20"/>
          <w:szCs w:val="20"/>
          <w:lang w:val="lt-LT"/>
        </w:rPr>
        <w:t>labiau kompleksiški</w:t>
      </w:r>
      <w:r w:rsidRPr="00E649A6">
        <w:rPr>
          <w:rFonts w:ascii="Georgia" w:hAnsi="Georgia"/>
          <w:bCs/>
          <w:sz w:val="20"/>
          <w:szCs w:val="20"/>
          <w:lang w:val="lt-LT"/>
        </w:rPr>
        <w:t xml:space="preserve"> ir/ar didesni. Atitinkamai sukaupta finansinių priemonių įgyvendinimo patirtis šiuose sektoriuose yra ne tokia didelė kaip JEREMIE iniciatyvoje;</w:t>
      </w:r>
    </w:p>
    <w:p w14:paraId="66513B6B" w14:textId="77777777" w:rsidR="00451BC7" w:rsidRPr="00E649A6" w:rsidRDefault="00451BC7" w:rsidP="00C03122">
      <w:pPr>
        <w:numPr>
          <w:ilvl w:val="0"/>
          <w:numId w:val="3"/>
        </w:numPr>
        <w:jc w:val="both"/>
        <w:rPr>
          <w:rFonts w:ascii="Georgia" w:hAnsi="Georgia"/>
          <w:bCs/>
          <w:sz w:val="20"/>
          <w:szCs w:val="20"/>
          <w:lang w:val="lt-LT"/>
        </w:rPr>
      </w:pPr>
      <w:r w:rsidRPr="00E649A6">
        <w:rPr>
          <w:rFonts w:ascii="Georgia" w:hAnsi="Georgia"/>
          <w:bCs/>
          <w:sz w:val="20"/>
          <w:szCs w:val="20"/>
          <w:lang w:val="lt-LT"/>
        </w:rPr>
        <w:t>miestų plėtros/energijos efektyvumo/atsinaujinanči</w:t>
      </w:r>
      <w:r w:rsidR="0078681E">
        <w:rPr>
          <w:rFonts w:ascii="Georgia" w:hAnsi="Georgia"/>
          <w:bCs/>
          <w:sz w:val="20"/>
          <w:szCs w:val="20"/>
          <w:lang w:val="lt-LT"/>
        </w:rPr>
        <w:t>ų</w:t>
      </w:r>
      <w:r w:rsidRPr="00E649A6">
        <w:rPr>
          <w:rFonts w:ascii="Georgia" w:hAnsi="Georgia"/>
          <w:bCs/>
          <w:sz w:val="20"/>
          <w:szCs w:val="20"/>
          <w:lang w:val="lt-LT"/>
        </w:rPr>
        <w:t xml:space="preserve"> energijos išteklių finansinės priemonės ne tik skaičiumi, tačiau ir įgyvendinimo pažanga atsilieka nuo verslui skirtų finansinių priemonių. Tai nulemta </w:t>
      </w:r>
      <w:r w:rsidR="0078681E">
        <w:rPr>
          <w:rFonts w:ascii="Georgia" w:hAnsi="Georgia"/>
          <w:bCs/>
          <w:sz w:val="20"/>
          <w:szCs w:val="20"/>
          <w:lang w:val="lt-LT"/>
        </w:rPr>
        <w:t xml:space="preserve">dėl </w:t>
      </w:r>
      <w:r w:rsidRPr="00E649A6">
        <w:rPr>
          <w:rFonts w:ascii="Georgia" w:hAnsi="Georgia"/>
          <w:bCs/>
          <w:sz w:val="20"/>
          <w:szCs w:val="20"/>
          <w:lang w:val="lt-LT"/>
        </w:rPr>
        <w:t>jau minėtų priežasčių – poreikio viešajam sektoriui persiorien</w:t>
      </w:r>
      <w:r>
        <w:rPr>
          <w:rFonts w:ascii="Georgia" w:hAnsi="Georgia"/>
          <w:bCs/>
          <w:sz w:val="20"/>
          <w:szCs w:val="20"/>
          <w:lang w:val="lt-LT"/>
        </w:rPr>
        <w:t>tuoti nuo subsidijų prie kitokio tipo</w:t>
      </w:r>
      <w:r w:rsidRPr="00E649A6">
        <w:rPr>
          <w:rFonts w:ascii="Georgia" w:hAnsi="Georgia"/>
          <w:bCs/>
          <w:sz w:val="20"/>
          <w:szCs w:val="20"/>
          <w:lang w:val="lt-LT"/>
        </w:rPr>
        <w:t xml:space="preserve"> finansinių </w:t>
      </w:r>
      <w:r>
        <w:rPr>
          <w:rFonts w:ascii="Georgia" w:hAnsi="Georgia"/>
          <w:bCs/>
          <w:sz w:val="20"/>
          <w:szCs w:val="20"/>
          <w:lang w:val="lt-LT"/>
        </w:rPr>
        <w:t>priemonių</w:t>
      </w:r>
      <w:r w:rsidRPr="00E649A6">
        <w:rPr>
          <w:rFonts w:ascii="Georgia" w:hAnsi="Georgia"/>
          <w:bCs/>
          <w:sz w:val="20"/>
          <w:szCs w:val="20"/>
          <w:lang w:val="lt-LT"/>
        </w:rPr>
        <w:t>, projektų kompleksiškumo ir/ar dydžio;</w:t>
      </w:r>
    </w:p>
    <w:p w14:paraId="55615E4C" w14:textId="77777777" w:rsidR="00451BC7" w:rsidRPr="00E649A6" w:rsidRDefault="00451BC7" w:rsidP="00C03122">
      <w:pPr>
        <w:numPr>
          <w:ilvl w:val="0"/>
          <w:numId w:val="3"/>
        </w:numPr>
        <w:jc w:val="both"/>
        <w:rPr>
          <w:rFonts w:ascii="Georgia" w:hAnsi="Georgia"/>
          <w:bCs/>
          <w:sz w:val="20"/>
          <w:szCs w:val="20"/>
          <w:lang w:val="lt-LT"/>
        </w:rPr>
      </w:pPr>
      <w:r w:rsidRPr="00E649A6">
        <w:rPr>
          <w:rFonts w:ascii="Georgia" w:hAnsi="Georgia"/>
          <w:bCs/>
          <w:sz w:val="20"/>
          <w:szCs w:val="20"/>
          <w:lang w:val="lt-LT"/>
        </w:rPr>
        <w:t>nepaisant to, finansinių priemonių skaičius šiuose sektoriuose auga, vieš</w:t>
      </w:r>
      <w:r>
        <w:rPr>
          <w:rFonts w:ascii="Georgia" w:hAnsi="Georgia"/>
          <w:bCs/>
          <w:sz w:val="20"/>
          <w:szCs w:val="20"/>
          <w:lang w:val="lt-LT"/>
        </w:rPr>
        <w:t>ojo</w:t>
      </w:r>
      <w:r w:rsidRPr="00E649A6">
        <w:rPr>
          <w:rFonts w:ascii="Georgia" w:hAnsi="Georgia"/>
          <w:bCs/>
          <w:sz w:val="20"/>
          <w:szCs w:val="20"/>
          <w:lang w:val="lt-LT"/>
        </w:rPr>
        <w:t xml:space="preserve"> sektori</w:t>
      </w:r>
      <w:r>
        <w:rPr>
          <w:rFonts w:ascii="Georgia" w:hAnsi="Georgia"/>
          <w:bCs/>
          <w:sz w:val="20"/>
          <w:szCs w:val="20"/>
          <w:lang w:val="lt-LT"/>
        </w:rPr>
        <w:t>a</w:t>
      </w:r>
      <w:r w:rsidRPr="00E649A6">
        <w:rPr>
          <w:rFonts w:ascii="Georgia" w:hAnsi="Georgia"/>
          <w:bCs/>
          <w:sz w:val="20"/>
          <w:szCs w:val="20"/>
          <w:lang w:val="lt-LT"/>
        </w:rPr>
        <w:t>us</w:t>
      </w:r>
      <w:r>
        <w:rPr>
          <w:rFonts w:ascii="Georgia" w:hAnsi="Georgia"/>
          <w:bCs/>
          <w:sz w:val="20"/>
          <w:szCs w:val="20"/>
          <w:lang w:val="lt-LT"/>
        </w:rPr>
        <w:t xml:space="preserve"> atstovai</w:t>
      </w:r>
      <w:r w:rsidRPr="00E649A6">
        <w:rPr>
          <w:rFonts w:ascii="Georgia" w:hAnsi="Georgia"/>
          <w:bCs/>
          <w:sz w:val="20"/>
          <w:szCs w:val="20"/>
          <w:lang w:val="lt-LT"/>
        </w:rPr>
        <w:t xml:space="preserve"> mato potencialą </w:t>
      </w:r>
      <w:r>
        <w:rPr>
          <w:rFonts w:ascii="Georgia" w:hAnsi="Georgia"/>
          <w:bCs/>
          <w:sz w:val="20"/>
          <w:szCs w:val="20"/>
          <w:lang w:val="lt-LT"/>
        </w:rPr>
        <w:t xml:space="preserve">grįžtamose </w:t>
      </w:r>
      <w:r w:rsidRPr="00E649A6">
        <w:rPr>
          <w:rFonts w:ascii="Georgia" w:hAnsi="Georgia"/>
          <w:bCs/>
          <w:sz w:val="20"/>
          <w:szCs w:val="20"/>
          <w:lang w:val="lt-LT"/>
        </w:rPr>
        <w:t xml:space="preserve">finansinėse priemonėse ir jau yra sėkmingų tokio tipo finansinių priemonių įgyvendinimo pavyzdžių. Vienas jų yra Lietuvoje įgyvendinamas JESSICA </w:t>
      </w:r>
      <w:r w:rsidR="0078681E">
        <w:rPr>
          <w:rFonts w:ascii="Georgia" w:hAnsi="Georgia"/>
          <w:bCs/>
          <w:sz w:val="20"/>
          <w:szCs w:val="20"/>
          <w:lang w:val="lt-LT"/>
        </w:rPr>
        <w:t>KF</w:t>
      </w:r>
      <w:r w:rsidRPr="00E649A6">
        <w:rPr>
          <w:rFonts w:ascii="Georgia" w:hAnsi="Georgia"/>
          <w:bCs/>
          <w:sz w:val="20"/>
          <w:szCs w:val="20"/>
          <w:lang w:val="lt-LT"/>
        </w:rPr>
        <w:t>;</w:t>
      </w:r>
    </w:p>
    <w:p w14:paraId="136B6F11" w14:textId="77777777" w:rsidR="00451BC7" w:rsidRPr="00E649A6" w:rsidRDefault="00451BC7" w:rsidP="00C03122">
      <w:pPr>
        <w:numPr>
          <w:ilvl w:val="0"/>
          <w:numId w:val="3"/>
        </w:numPr>
        <w:jc w:val="both"/>
        <w:rPr>
          <w:rFonts w:ascii="Georgia" w:hAnsi="Georgia"/>
          <w:bCs/>
          <w:sz w:val="20"/>
          <w:szCs w:val="20"/>
          <w:lang w:val="lt-LT"/>
        </w:rPr>
      </w:pPr>
      <w:r w:rsidRPr="00E649A6">
        <w:rPr>
          <w:rFonts w:ascii="Georgia" w:hAnsi="Georgia"/>
          <w:bCs/>
          <w:sz w:val="20"/>
          <w:szCs w:val="20"/>
          <w:lang w:val="lt-LT"/>
        </w:rPr>
        <w:t>dominuoja smulkūs projektai (apie 100.000 eurų);</w:t>
      </w:r>
    </w:p>
    <w:p w14:paraId="1B909068" w14:textId="77777777" w:rsidR="00451BC7" w:rsidRPr="00E649A6" w:rsidRDefault="00451BC7" w:rsidP="00C03122">
      <w:pPr>
        <w:numPr>
          <w:ilvl w:val="0"/>
          <w:numId w:val="3"/>
        </w:numPr>
        <w:jc w:val="both"/>
        <w:rPr>
          <w:rFonts w:ascii="Georgia" w:hAnsi="Georgia"/>
          <w:bCs/>
          <w:sz w:val="20"/>
          <w:szCs w:val="20"/>
          <w:lang w:val="lt-LT"/>
        </w:rPr>
      </w:pPr>
      <w:r>
        <w:rPr>
          <w:rFonts w:ascii="Georgia" w:hAnsi="Georgia"/>
          <w:bCs/>
          <w:sz w:val="20"/>
          <w:szCs w:val="20"/>
          <w:lang w:val="lt-LT"/>
        </w:rPr>
        <w:t xml:space="preserve">2007-2013 m. periodu </w:t>
      </w:r>
      <w:r w:rsidRPr="00E649A6">
        <w:rPr>
          <w:rFonts w:ascii="Georgia" w:hAnsi="Georgia"/>
          <w:bCs/>
          <w:sz w:val="20"/>
          <w:szCs w:val="20"/>
          <w:lang w:val="lt-LT"/>
        </w:rPr>
        <w:t xml:space="preserve">energijos efektyvumo/atsinaujinančių energijos išteklių priemonės dažniausiai steigiamos be kontroliuojančiųjų fondų. Iki tol šios srities projektai buvo finansuojami kaip miestų plėtros projektai, pvz., Lietuvos JESSICA </w:t>
      </w:r>
      <w:r w:rsidR="0078681E">
        <w:rPr>
          <w:rFonts w:ascii="Georgia" w:hAnsi="Georgia"/>
          <w:bCs/>
          <w:sz w:val="20"/>
          <w:szCs w:val="20"/>
          <w:lang w:val="lt-LT"/>
        </w:rPr>
        <w:t>KF</w:t>
      </w:r>
      <w:r w:rsidRPr="00E649A6">
        <w:rPr>
          <w:rFonts w:ascii="Georgia" w:hAnsi="Georgia"/>
          <w:bCs/>
          <w:sz w:val="20"/>
          <w:szCs w:val="20"/>
          <w:lang w:val="lt-LT"/>
        </w:rPr>
        <w:t xml:space="preserve">, kurio lėšomis finansuoti energijos efektyvumo projektai daugiabučiuose </w:t>
      </w:r>
      <w:r>
        <w:rPr>
          <w:rFonts w:ascii="Georgia" w:hAnsi="Georgia"/>
          <w:bCs/>
          <w:sz w:val="20"/>
          <w:szCs w:val="20"/>
          <w:lang w:val="lt-LT"/>
        </w:rPr>
        <w:t>namuose</w:t>
      </w:r>
      <w:r w:rsidRPr="00E649A6">
        <w:rPr>
          <w:rFonts w:ascii="Georgia" w:hAnsi="Georgia"/>
          <w:bCs/>
          <w:sz w:val="20"/>
          <w:szCs w:val="20"/>
          <w:lang w:val="lt-LT"/>
        </w:rPr>
        <w:t>;</w:t>
      </w:r>
    </w:p>
    <w:p w14:paraId="1400A639" w14:textId="77777777" w:rsidR="00451BC7" w:rsidRPr="00AC3318" w:rsidRDefault="00451BC7" w:rsidP="00C03122">
      <w:pPr>
        <w:numPr>
          <w:ilvl w:val="0"/>
          <w:numId w:val="3"/>
        </w:numPr>
        <w:jc w:val="both"/>
        <w:rPr>
          <w:rFonts w:ascii="Georgia" w:hAnsi="Georgia"/>
          <w:sz w:val="20"/>
          <w:szCs w:val="20"/>
          <w:lang w:val="lt-LT"/>
        </w:rPr>
      </w:pPr>
      <w:r w:rsidRPr="00E649A6">
        <w:rPr>
          <w:rFonts w:ascii="Georgia" w:hAnsi="Georgia"/>
          <w:bCs/>
          <w:sz w:val="20"/>
          <w:szCs w:val="20"/>
          <w:lang w:val="lt-LT"/>
        </w:rPr>
        <w:t>2012 m. pab</w:t>
      </w:r>
      <w:r>
        <w:rPr>
          <w:rFonts w:ascii="Georgia" w:hAnsi="Georgia"/>
          <w:bCs/>
          <w:sz w:val="20"/>
          <w:szCs w:val="20"/>
          <w:lang w:val="lt-LT"/>
        </w:rPr>
        <w:t>aigos</w:t>
      </w:r>
      <w:r w:rsidRPr="00E649A6">
        <w:rPr>
          <w:rFonts w:ascii="Georgia" w:hAnsi="Georgia"/>
          <w:bCs/>
          <w:sz w:val="20"/>
          <w:szCs w:val="20"/>
          <w:lang w:val="lt-LT"/>
        </w:rPr>
        <w:t xml:space="preserve"> duomenimis aptariamuose sektoriuose buvo siūlomos lengvatinės paskolos ir investicijos į kapitalą. Paskolos yra patraukliausi finansiniai produktai būsto projektams, nes yra tinkamos projektams, turintiems gana ilgą atsipirkimo laiką ir mažas kapitalo sąnaudas bei atitinka būsto projektų rizikos lygį ir tikėtiną grąžą.</w:t>
      </w:r>
    </w:p>
    <w:p w14:paraId="77F59446" w14:textId="77777777" w:rsidR="00451BC7" w:rsidRPr="009E5C05" w:rsidRDefault="00451BC7" w:rsidP="0062724A">
      <w:pPr>
        <w:pStyle w:val="Antrat2"/>
        <w:numPr>
          <w:ilvl w:val="1"/>
          <w:numId w:val="36"/>
        </w:numPr>
        <w:spacing w:after="240"/>
        <w:rPr>
          <w:lang w:val="lt-LT"/>
        </w:rPr>
      </w:pPr>
      <w:bookmarkStart w:id="325" w:name="_Toc417378429"/>
      <w:r w:rsidRPr="009E5C05">
        <w:rPr>
          <w:lang w:val="lt-LT"/>
        </w:rPr>
        <w:lastRenderedPageBreak/>
        <w:t>Įgyta patirtis bei atvejų studijos</w:t>
      </w:r>
      <w:bookmarkEnd w:id="325"/>
    </w:p>
    <w:p w14:paraId="23462AC8" w14:textId="77777777" w:rsidR="00451BC7" w:rsidRPr="00CB0B1D" w:rsidRDefault="00451BC7" w:rsidP="00451BC7">
      <w:pPr>
        <w:jc w:val="both"/>
        <w:rPr>
          <w:rFonts w:ascii="Georgia" w:hAnsi="Georgia"/>
          <w:bCs/>
          <w:sz w:val="20"/>
          <w:szCs w:val="20"/>
        </w:rPr>
      </w:pPr>
      <w:r w:rsidRPr="00E649A6">
        <w:rPr>
          <w:rFonts w:ascii="Georgia" w:hAnsi="Georgia"/>
          <w:bCs/>
          <w:sz w:val="20"/>
          <w:szCs w:val="20"/>
          <w:lang w:val="lt-LT"/>
        </w:rPr>
        <w:t xml:space="preserve">Identifikuojant </w:t>
      </w:r>
      <w:r>
        <w:rPr>
          <w:rFonts w:ascii="Georgia" w:hAnsi="Georgia"/>
          <w:bCs/>
          <w:sz w:val="20"/>
          <w:szCs w:val="20"/>
          <w:lang w:val="lt-LT"/>
        </w:rPr>
        <w:t>finansinių priemonių</w:t>
      </w:r>
      <w:r w:rsidRPr="00E649A6">
        <w:rPr>
          <w:rFonts w:ascii="Georgia" w:hAnsi="Georgia"/>
          <w:bCs/>
          <w:sz w:val="20"/>
          <w:szCs w:val="20"/>
          <w:lang w:val="lt-LT"/>
        </w:rPr>
        <w:t xml:space="preserve"> patirtį buvo išanalizuoti 2014-2020 m. </w:t>
      </w:r>
      <w:r w:rsidR="0078681E">
        <w:rPr>
          <w:rFonts w:ascii="Georgia" w:hAnsi="Georgia"/>
          <w:bCs/>
          <w:sz w:val="20"/>
          <w:szCs w:val="20"/>
          <w:lang w:val="lt-LT"/>
        </w:rPr>
        <w:t>period</w:t>
      </w:r>
      <w:r w:rsidRPr="00E649A6">
        <w:rPr>
          <w:rFonts w:ascii="Georgia" w:hAnsi="Georgia"/>
          <w:bCs/>
          <w:sz w:val="20"/>
          <w:szCs w:val="20"/>
          <w:lang w:val="lt-LT"/>
        </w:rPr>
        <w:t xml:space="preserve">o finansinių priemonių </w:t>
      </w:r>
      <w:r w:rsidR="0078681E">
        <w:rPr>
          <w:rFonts w:ascii="Georgia" w:hAnsi="Georgia"/>
          <w:bCs/>
          <w:sz w:val="20"/>
          <w:szCs w:val="20"/>
          <w:lang w:val="lt-LT"/>
        </w:rPr>
        <w:t xml:space="preserve">ex </w:t>
      </w:r>
      <w:r w:rsidRPr="0078681E">
        <w:rPr>
          <w:rFonts w:ascii="Georgia" w:hAnsi="Georgia"/>
          <w:bCs/>
          <w:sz w:val="20"/>
          <w:szCs w:val="20"/>
          <w:lang w:val="lt-LT"/>
        </w:rPr>
        <w:t>ante</w:t>
      </w:r>
      <w:r w:rsidRPr="00E649A6">
        <w:rPr>
          <w:rFonts w:ascii="Georgia" w:hAnsi="Georgia"/>
          <w:bCs/>
          <w:sz w:val="20"/>
          <w:szCs w:val="20"/>
          <w:lang w:val="lt-LT"/>
        </w:rPr>
        <w:t xml:space="preserve"> vertinimo metodikoje rekomenduojami pagrindiniai informacijos šaltiniai, taip pat kiti šaltiniai, nagrinėjantys energijos efektyvumo priemonių įgyvendinimo patirtį 2007-2013 m. </w:t>
      </w:r>
      <w:r w:rsidR="0078681E">
        <w:rPr>
          <w:rFonts w:ascii="Georgia" w:hAnsi="Georgia"/>
          <w:bCs/>
          <w:sz w:val="20"/>
          <w:szCs w:val="20"/>
          <w:lang w:val="lt-LT"/>
        </w:rPr>
        <w:t>periodu</w:t>
      </w:r>
      <w:r w:rsidRPr="00E649A6">
        <w:rPr>
          <w:rFonts w:ascii="Georgia" w:hAnsi="Georgia"/>
          <w:bCs/>
          <w:sz w:val="20"/>
          <w:szCs w:val="20"/>
          <w:lang w:val="lt-LT"/>
        </w:rPr>
        <w:t>, atlikti interviu su atsakingų institucijų darbuotojais.</w:t>
      </w:r>
    </w:p>
    <w:p w14:paraId="55E3FD1E" w14:textId="77777777" w:rsidR="00451BC7" w:rsidRPr="00E649A6" w:rsidRDefault="00451BC7" w:rsidP="00451BC7">
      <w:pPr>
        <w:jc w:val="both"/>
        <w:rPr>
          <w:rFonts w:ascii="Georgia" w:hAnsi="Georgia"/>
          <w:bCs/>
          <w:sz w:val="20"/>
          <w:szCs w:val="20"/>
          <w:lang w:val="lt-LT"/>
        </w:rPr>
      </w:pPr>
      <w:r w:rsidRPr="00E649A6">
        <w:rPr>
          <w:rFonts w:ascii="Georgia" w:hAnsi="Georgia"/>
          <w:bCs/>
          <w:sz w:val="20"/>
          <w:szCs w:val="20"/>
          <w:lang w:val="lt-LT"/>
        </w:rPr>
        <w:t>Identifikuojant išmoktas pamokas buvo išanalizuota:</w:t>
      </w:r>
    </w:p>
    <w:p w14:paraId="26724629" w14:textId="77777777" w:rsidR="00451BC7" w:rsidRPr="00E649A6" w:rsidRDefault="00451BC7" w:rsidP="00C03122">
      <w:pPr>
        <w:numPr>
          <w:ilvl w:val="0"/>
          <w:numId w:val="4"/>
        </w:numPr>
        <w:spacing w:after="0"/>
        <w:ind w:left="714" w:hanging="357"/>
        <w:jc w:val="both"/>
        <w:rPr>
          <w:rFonts w:ascii="Georgia" w:hAnsi="Georgia"/>
          <w:bCs/>
          <w:sz w:val="20"/>
          <w:szCs w:val="20"/>
          <w:lang w:val="lt-LT"/>
        </w:rPr>
      </w:pPr>
      <w:r w:rsidRPr="00E649A6">
        <w:rPr>
          <w:rFonts w:ascii="Georgia" w:hAnsi="Georgia"/>
          <w:bCs/>
          <w:sz w:val="20"/>
          <w:szCs w:val="20"/>
          <w:lang w:val="lt-LT"/>
        </w:rPr>
        <w:t xml:space="preserve">Europos Audito Rūmų 2012 m. specialioji ataskaita Nr. 2 „Iš </w:t>
      </w:r>
      <w:r w:rsidR="0078681E">
        <w:rPr>
          <w:rFonts w:ascii="Georgia" w:hAnsi="Georgia"/>
          <w:bCs/>
          <w:sz w:val="20"/>
          <w:szCs w:val="20"/>
          <w:lang w:val="lt-LT"/>
        </w:rPr>
        <w:t>ERPF</w:t>
      </w:r>
      <w:r w:rsidRPr="00E649A6">
        <w:rPr>
          <w:rFonts w:ascii="Georgia" w:hAnsi="Georgia"/>
          <w:bCs/>
          <w:sz w:val="20"/>
          <w:szCs w:val="20"/>
          <w:lang w:val="lt-LT"/>
        </w:rPr>
        <w:t xml:space="preserve"> bendrai finansuoto MVĮ skirtos finansinės priemonės“</w:t>
      </w:r>
      <w:r w:rsidRPr="00E649A6">
        <w:rPr>
          <w:rFonts w:ascii="Georgia" w:hAnsi="Georgia"/>
          <w:sz w:val="20"/>
          <w:szCs w:val="20"/>
          <w:vertAlign w:val="superscript"/>
          <w:lang w:val="lt-LT"/>
        </w:rPr>
        <w:footnoteReference w:id="154"/>
      </w:r>
      <w:r w:rsidRPr="00E649A6">
        <w:rPr>
          <w:rFonts w:ascii="Georgia" w:hAnsi="Georgia"/>
          <w:bCs/>
          <w:sz w:val="20"/>
          <w:szCs w:val="20"/>
          <w:lang w:val="lt-LT"/>
        </w:rPr>
        <w:t>;</w:t>
      </w:r>
    </w:p>
    <w:p w14:paraId="08FA59B5" w14:textId="77777777" w:rsidR="00451BC7" w:rsidRPr="00E649A6" w:rsidRDefault="00451BC7" w:rsidP="00C03122">
      <w:pPr>
        <w:numPr>
          <w:ilvl w:val="0"/>
          <w:numId w:val="4"/>
        </w:numPr>
        <w:spacing w:after="0"/>
        <w:ind w:left="714" w:hanging="357"/>
        <w:jc w:val="both"/>
        <w:rPr>
          <w:rFonts w:ascii="Georgia" w:hAnsi="Georgia"/>
          <w:bCs/>
          <w:sz w:val="20"/>
          <w:szCs w:val="20"/>
          <w:lang w:val="lt-LT"/>
        </w:rPr>
      </w:pPr>
      <w:r w:rsidRPr="00E649A6">
        <w:rPr>
          <w:rFonts w:ascii="Georgia" w:hAnsi="Georgia"/>
          <w:bCs/>
          <w:sz w:val="20"/>
          <w:szCs w:val="20"/>
          <w:lang w:val="lt-LT"/>
        </w:rPr>
        <w:t>DG REGIO 2013 m. rugsėjo 19 d. metinė ataskaita apie finansinių priemonių įgyvendinimo pažangą, kurioje pateikiami duomenys apie situaciją 2012 m. gruodžio 31 d.;</w:t>
      </w:r>
    </w:p>
    <w:p w14:paraId="07501AD2" w14:textId="77777777" w:rsidR="00451BC7" w:rsidRPr="00E649A6" w:rsidRDefault="00451BC7" w:rsidP="00C03122">
      <w:pPr>
        <w:numPr>
          <w:ilvl w:val="0"/>
          <w:numId w:val="4"/>
        </w:numPr>
        <w:spacing w:after="0"/>
        <w:ind w:left="714" w:hanging="357"/>
        <w:jc w:val="both"/>
        <w:rPr>
          <w:rFonts w:ascii="Georgia" w:hAnsi="Georgia"/>
          <w:bCs/>
          <w:sz w:val="20"/>
          <w:szCs w:val="20"/>
          <w:lang w:val="lt-LT"/>
        </w:rPr>
      </w:pPr>
      <w:r w:rsidRPr="00E649A6">
        <w:rPr>
          <w:rFonts w:ascii="Georgia" w:hAnsi="Georgia"/>
          <w:bCs/>
          <w:sz w:val="20"/>
          <w:szCs w:val="20"/>
          <w:lang w:val="lt-LT"/>
        </w:rPr>
        <w:t>audito ataskaitos: Lietuvos Respublikos valstybės kontrolė</w:t>
      </w:r>
      <w:r w:rsidR="0078681E">
        <w:rPr>
          <w:rFonts w:ascii="Georgia" w:hAnsi="Georgia"/>
          <w:bCs/>
          <w:sz w:val="20"/>
          <w:szCs w:val="20"/>
          <w:lang w:val="lt-LT"/>
        </w:rPr>
        <w:t>s</w:t>
      </w:r>
      <w:r w:rsidRPr="00E649A6">
        <w:rPr>
          <w:rFonts w:ascii="Georgia" w:hAnsi="Georgia"/>
          <w:bCs/>
          <w:sz w:val="20"/>
          <w:szCs w:val="20"/>
          <w:lang w:val="lt-LT"/>
        </w:rPr>
        <w:t xml:space="preserve"> Valstybinio audito ataskaita „Daugiabučių namų atnaujinimas (modernizavimas)“, 2010 m. rugsėjo 10 d., Nr. VA-P-20-1-14, Lietuvos Respublikos valstybės kontrolė Valstybinio audito ataskaita „Dėl veiksmų programų, įgyvendinančių Lietuvos 2007-2013 m. ES struktūrinės paramos panaudojimo strategiją Konvergencijos tikslui įgyvendinti, valdymo ir kontrolės sistemos veikimo bei Europos Komisijai 2011 metais deklaruotų išlaidų (metinė kontrolės ataskaita pagal reglamento (EB) Nr. 1083/2006 62 str.), 2012 m. gruodžio 20 d. Nr. FA-P-80-1-62;</w:t>
      </w:r>
    </w:p>
    <w:p w14:paraId="2721A842" w14:textId="77777777" w:rsidR="00451BC7" w:rsidRPr="00CA3032" w:rsidRDefault="00451BC7" w:rsidP="00C03122">
      <w:pPr>
        <w:numPr>
          <w:ilvl w:val="0"/>
          <w:numId w:val="4"/>
        </w:numPr>
        <w:spacing w:after="0"/>
        <w:ind w:left="714" w:hanging="357"/>
        <w:jc w:val="both"/>
        <w:rPr>
          <w:rFonts w:ascii="Georgia" w:hAnsi="Georgia"/>
          <w:bCs/>
          <w:sz w:val="20"/>
          <w:szCs w:val="20"/>
          <w:lang w:val="lt-LT"/>
        </w:rPr>
      </w:pPr>
      <w:r w:rsidRPr="00E649A6">
        <w:rPr>
          <w:rFonts w:ascii="Georgia" w:hAnsi="Georgia"/>
          <w:bCs/>
          <w:sz w:val="20"/>
          <w:szCs w:val="20"/>
          <w:lang w:val="lt-LT"/>
        </w:rPr>
        <w:t xml:space="preserve">taip pat kiti dokumentai/studijos, pvz., Europos Komisijos tarnybų darbo dokumentas „Finansinių </w:t>
      </w:r>
      <w:r>
        <w:rPr>
          <w:rFonts w:ascii="Georgia" w:hAnsi="Georgia"/>
          <w:bCs/>
          <w:sz w:val="20"/>
          <w:szCs w:val="20"/>
          <w:lang w:val="lt-LT"/>
        </w:rPr>
        <w:t>priemonių</w:t>
      </w:r>
      <w:r w:rsidRPr="00E649A6">
        <w:rPr>
          <w:rFonts w:ascii="Georgia" w:hAnsi="Georgia"/>
          <w:bCs/>
          <w:sz w:val="20"/>
          <w:szCs w:val="20"/>
          <w:lang w:val="lt-LT"/>
        </w:rPr>
        <w:t xml:space="preserve"> panaudojimas įgyvendinant Sanglaudos politiką“ Briuselis, 27.2.2012 SWD(2012) 36 galutinis</w:t>
      </w:r>
      <w:r w:rsidRPr="00E649A6">
        <w:rPr>
          <w:rFonts w:ascii="Georgia" w:hAnsi="Georgia"/>
          <w:bCs/>
          <w:sz w:val="20"/>
          <w:szCs w:val="20"/>
          <w:vertAlign w:val="superscript"/>
          <w:lang w:val="lt-LT"/>
        </w:rPr>
        <w:footnoteReference w:id="155"/>
      </w:r>
      <w:r w:rsidRPr="00E649A6">
        <w:rPr>
          <w:rFonts w:ascii="Georgia" w:hAnsi="Georgia"/>
          <w:bCs/>
          <w:sz w:val="20"/>
          <w:szCs w:val="20"/>
          <w:lang w:val="lt-LT"/>
        </w:rPr>
        <w:t>; Europos Komisij</w:t>
      </w:r>
      <w:r w:rsidR="00394EBB">
        <w:rPr>
          <w:rFonts w:ascii="Georgia" w:hAnsi="Georgia"/>
          <w:bCs/>
          <w:sz w:val="20"/>
          <w:szCs w:val="20"/>
          <w:lang w:val="lt-LT"/>
        </w:rPr>
        <w:t>os</w:t>
      </w:r>
      <w:r w:rsidRPr="00E649A6">
        <w:rPr>
          <w:rFonts w:ascii="Georgia" w:hAnsi="Georgia"/>
          <w:bCs/>
          <w:sz w:val="20"/>
          <w:szCs w:val="20"/>
          <w:lang w:val="lt-LT"/>
        </w:rPr>
        <w:t xml:space="preserve">, </w:t>
      </w:r>
      <w:r w:rsidR="0078681E">
        <w:rPr>
          <w:rFonts w:ascii="Georgia" w:hAnsi="Georgia"/>
          <w:bCs/>
          <w:sz w:val="20"/>
          <w:szCs w:val="20"/>
          <w:lang w:val="lt-LT"/>
        </w:rPr>
        <w:t>EIB ir</w:t>
      </w:r>
      <w:r w:rsidRPr="00E649A6">
        <w:rPr>
          <w:rFonts w:ascii="Georgia" w:hAnsi="Georgia"/>
          <w:bCs/>
          <w:sz w:val="20"/>
          <w:szCs w:val="20"/>
          <w:lang w:val="lt-LT"/>
        </w:rPr>
        <w:t xml:space="preserve"> </w:t>
      </w:r>
      <w:r w:rsidR="0078681E">
        <w:rPr>
          <w:rFonts w:ascii="Georgia" w:hAnsi="Georgia"/>
          <w:bCs/>
          <w:sz w:val="20"/>
          <w:szCs w:val="20"/>
          <w:lang w:val="lt-LT"/>
        </w:rPr>
        <w:t>CEB ataskaita</w:t>
      </w:r>
      <w:r w:rsidRPr="00E649A6">
        <w:rPr>
          <w:rFonts w:ascii="Georgia" w:hAnsi="Georgia"/>
          <w:bCs/>
          <w:sz w:val="20"/>
          <w:szCs w:val="20"/>
          <w:lang w:val="lt-LT"/>
        </w:rPr>
        <w:t xml:space="preserve"> „JESSICA įgyvendinimo finansinis valdymas, </w:t>
      </w:r>
      <w:r w:rsidR="0078681E">
        <w:rPr>
          <w:rFonts w:ascii="Georgia" w:hAnsi="Georgia"/>
          <w:bCs/>
          <w:sz w:val="20"/>
          <w:szCs w:val="20"/>
          <w:lang w:val="lt-LT"/>
        </w:rPr>
        <w:t>g</w:t>
      </w:r>
      <w:r w:rsidRPr="00E649A6">
        <w:rPr>
          <w:rFonts w:ascii="Georgia" w:hAnsi="Georgia"/>
          <w:bCs/>
          <w:sz w:val="20"/>
          <w:szCs w:val="20"/>
          <w:lang w:val="lt-LT"/>
        </w:rPr>
        <w:t xml:space="preserve">arantijų </w:t>
      </w:r>
      <w:r>
        <w:rPr>
          <w:rFonts w:ascii="Georgia" w:hAnsi="Georgia"/>
          <w:bCs/>
          <w:sz w:val="20"/>
          <w:szCs w:val="20"/>
          <w:lang w:val="lt-LT"/>
        </w:rPr>
        <w:t>priemonių</w:t>
      </w:r>
      <w:r w:rsidRPr="00032456">
        <w:rPr>
          <w:rFonts w:ascii="Georgia" w:hAnsi="Georgia"/>
          <w:bCs/>
          <w:sz w:val="20"/>
          <w:szCs w:val="20"/>
          <w:lang w:val="lt-LT"/>
        </w:rPr>
        <w:t xml:space="preserve"> </w:t>
      </w:r>
      <w:r w:rsidRPr="00CA3032">
        <w:rPr>
          <w:rFonts w:ascii="Georgia" w:hAnsi="Georgia"/>
          <w:bCs/>
          <w:sz w:val="20"/>
          <w:szCs w:val="20"/>
          <w:lang w:val="lt-LT"/>
        </w:rPr>
        <w:t>projektavimas“, 2013 m. liepa</w:t>
      </w:r>
      <w:r w:rsidRPr="00E649A6">
        <w:rPr>
          <w:rFonts w:ascii="Georgia" w:hAnsi="Georgia"/>
          <w:sz w:val="20"/>
          <w:szCs w:val="20"/>
          <w:vertAlign w:val="superscript"/>
          <w:lang w:val="lt-LT"/>
        </w:rPr>
        <w:footnoteReference w:id="156"/>
      </w:r>
      <w:r w:rsidRPr="00032456">
        <w:rPr>
          <w:rFonts w:ascii="Georgia" w:hAnsi="Georgia"/>
          <w:bCs/>
          <w:sz w:val="20"/>
          <w:szCs w:val="20"/>
          <w:lang w:val="lt-LT"/>
        </w:rPr>
        <w:t xml:space="preserve">; </w:t>
      </w:r>
      <w:r w:rsidR="00394EBB">
        <w:rPr>
          <w:rFonts w:ascii="Georgia" w:hAnsi="Georgia"/>
          <w:bCs/>
          <w:sz w:val="20"/>
          <w:szCs w:val="20"/>
          <w:lang w:val="lt-LT"/>
        </w:rPr>
        <w:t>EIB apžvalga</w:t>
      </w:r>
      <w:r w:rsidRPr="00CA3032">
        <w:rPr>
          <w:rFonts w:ascii="Georgia" w:hAnsi="Georgia"/>
          <w:bCs/>
          <w:sz w:val="20"/>
          <w:szCs w:val="20"/>
          <w:lang w:val="lt-LT"/>
        </w:rPr>
        <w:t xml:space="preserve"> „Energijos sektoriaus miestų plėtros fondai“, 2012 m. gruodis</w:t>
      </w:r>
      <w:r w:rsidRPr="00E649A6">
        <w:rPr>
          <w:rFonts w:ascii="Georgia" w:hAnsi="Georgia"/>
          <w:sz w:val="20"/>
          <w:szCs w:val="20"/>
          <w:vertAlign w:val="superscript"/>
          <w:lang w:val="lt-LT"/>
        </w:rPr>
        <w:footnoteReference w:id="157"/>
      </w:r>
      <w:r w:rsidR="00394EBB">
        <w:rPr>
          <w:rFonts w:ascii="Georgia" w:hAnsi="Georgia"/>
          <w:bCs/>
          <w:sz w:val="20"/>
          <w:szCs w:val="20"/>
          <w:lang w:val="lt-LT"/>
        </w:rPr>
        <w:t>;</w:t>
      </w:r>
      <w:r w:rsidRPr="00032456">
        <w:rPr>
          <w:rFonts w:ascii="Georgia" w:hAnsi="Georgia"/>
          <w:bCs/>
          <w:sz w:val="20"/>
          <w:szCs w:val="20"/>
          <w:lang w:val="lt-LT"/>
        </w:rPr>
        <w:t xml:space="preserve"> Europos Komisij</w:t>
      </w:r>
      <w:r w:rsidR="00394EBB">
        <w:rPr>
          <w:rFonts w:ascii="Georgia" w:hAnsi="Georgia"/>
          <w:bCs/>
          <w:sz w:val="20"/>
          <w:szCs w:val="20"/>
          <w:lang w:val="lt-LT"/>
        </w:rPr>
        <w:t>os</w:t>
      </w:r>
      <w:r w:rsidRPr="00032456">
        <w:rPr>
          <w:rFonts w:ascii="Georgia" w:hAnsi="Georgia"/>
          <w:bCs/>
          <w:sz w:val="20"/>
          <w:szCs w:val="20"/>
          <w:lang w:val="lt-LT"/>
        </w:rPr>
        <w:t xml:space="preserve">, </w:t>
      </w:r>
      <w:r w:rsidR="00394EBB">
        <w:rPr>
          <w:rFonts w:ascii="Georgia" w:hAnsi="Georgia"/>
          <w:bCs/>
          <w:sz w:val="20"/>
          <w:szCs w:val="20"/>
          <w:lang w:val="lt-LT"/>
        </w:rPr>
        <w:t>EIB ir CEB ataskaita</w:t>
      </w:r>
      <w:r w:rsidRPr="00032456">
        <w:rPr>
          <w:rFonts w:ascii="Georgia" w:hAnsi="Georgia"/>
          <w:bCs/>
          <w:sz w:val="20"/>
          <w:szCs w:val="20"/>
          <w:lang w:val="lt-LT"/>
        </w:rPr>
        <w:t xml:space="preserve"> „JESSICA iniciatyva būsto sektoriuje“, 2013 m. birželis</w:t>
      </w:r>
      <w:r w:rsidRPr="00E649A6">
        <w:rPr>
          <w:rFonts w:ascii="Georgia" w:hAnsi="Georgia"/>
          <w:bCs/>
          <w:sz w:val="20"/>
          <w:szCs w:val="20"/>
          <w:vertAlign w:val="superscript"/>
          <w:lang w:val="lt-LT"/>
        </w:rPr>
        <w:footnoteReference w:id="158"/>
      </w:r>
      <w:r w:rsidRPr="00032456">
        <w:rPr>
          <w:rFonts w:ascii="Georgia" w:hAnsi="Georgia"/>
          <w:bCs/>
          <w:sz w:val="20"/>
          <w:szCs w:val="20"/>
          <w:lang w:val="lt-LT"/>
        </w:rPr>
        <w:t xml:space="preserve"> ir t. t.</w:t>
      </w:r>
    </w:p>
    <w:p w14:paraId="5140A7C5" w14:textId="77777777" w:rsidR="00451BC7" w:rsidRPr="00E649A6" w:rsidRDefault="00451BC7" w:rsidP="00451BC7">
      <w:pPr>
        <w:jc w:val="both"/>
        <w:rPr>
          <w:rFonts w:ascii="Georgia" w:hAnsi="Georgia"/>
          <w:sz w:val="20"/>
          <w:szCs w:val="20"/>
          <w:lang w:val="lt-LT"/>
        </w:rPr>
      </w:pPr>
    </w:p>
    <w:p w14:paraId="38710875"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Aktualios pamokos sugrupuotos pagal finansinių priemonių įgyvendinimo ciklą. Žemiau pateikiami apibendrinti analizės rezultatai.</w:t>
      </w:r>
    </w:p>
    <w:p w14:paraId="635E4CD0" w14:textId="77777777" w:rsidR="00451BC7" w:rsidRPr="009E5C05" w:rsidRDefault="00451BC7" w:rsidP="00451BC7">
      <w:pPr>
        <w:pStyle w:val="Pagrindinistekstas"/>
        <w:rPr>
          <w:i/>
          <w:lang w:val="lt-LT"/>
        </w:rPr>
      </w:pPr>
      <w:r w:rsidRPr="009E5C05">
        <w:rPr>
          <w:i/>
          <w:lang w:val="lt-LT"/>
        </w:rPr>
        <w:t>Finansinių priemonių patirtis pagal įgyvendinimo ciklą</w:t>
      </w:r>
    </w:p>
    <w:p w14:paraId="33B5BF60" w14:textId="77777777" w:rsidR="00451BC7" w:rsidRPr="00E649A6" w:rsidRDefault="00451BC7" w:rsidP="00451BC7">
      <w:pPr>
        <w:jc w:val="both"/>
        <w:rPr>
          <w:rFonts w:ascii="Georgia" w:hAnsi="Georgia"/>
          <w:i/>
          <w:sz w:val="20"/>
          <w:szCs w:val="20"/>
          <w:lang w:val="lt-LT"/>
        </w:rPr>
      </w:pPr>
      <w:r w:rsidRPr="00E649A6">
        <w:rPr>
          <w:rFonts w:ascii="Georgia" w:hAnsi="Georgia"/>
          <w:i/>
          <w:sz w:val="20"/>
          <w:szCs w:val="20"/>
          <w:lang w:val="lt-LT"/>
        </w:rPr>
        <w:t>Vizijos ir tikslų nustatymas</w:t>
      </w:r>
    </w:p>
    <w:p w14:paraId="5E7B8A5C"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Kuriant finansines priemones svarbu užtikrinti, jog priemonės vizija ir tikslai atitiktų regiono/tikslinės teritorijos strateginiuose dokumentuose apibrėžtus tikslus ir prisidėtų prie jų įgyvendinimo. Tikslai turi būti savalaikiai, konkretūs ir pasiekiami.</w:t>
      </w:r>
    </w:p>
    <w:p w14:paraId="4477C603" w14:textId="77777777" w:rsidR="00451BC7" w:rsidRPr="00E649A6" w:rsidRDefault="00451BC7" w:rsidP="00451BC7">
      <w:pPr>
        <w:jc w:val="both"/>
        <w:rPr>
          <w:rFonts w:ascii="Georgia" w:hAnsi="Georgia"/>
          <w:sz w:val="20"/>
          <w:szCs w:val="20"/>
          <w:lang w:val="lt-LT"/>
        </w:rPr>
      </w:pPr>
      <w:r w:rsidRPr="00E649A6">
        <w:rPr>
          <w:rFonts w:ascii="Georgia" w:hAnsi="Georgia"/>
          <w:i/>
          <w:sz w:val="20"/>
          <w:szCs w:val="20"/>
          <w:lang w:val="lt-LT"/>
        </w:rPr>
        <w:t xml:space="preserve">Sutartys dėl energijos vartojimo efektyvumo </w:t>
      </w:r>
      <w:r w:rsidRPr="00E649A6">
        <w:rPr>
          <w:rFonts w:ascii="Georgia" w:hAnsi="Georgia"/>
          <w:sz w:val="20"/>
          <w:szCs w:val="20"/>
          <w:lang w:val="lt-LT"/>
        </w:rPr>
        <w:t>(</w:t>
      </w:r>
      <w:r>
        <w:rPr>
          <w:rFonts w:ascii="Georgia" w:hAnsi="Georgia"/>
          <w:sz w:val="20"/>
          <w:szCs w:val="20"/>
          <w:lang w:val="lt-LT"/>
        </w:rPr>
        <w:t>ESCO)</w:t>
      </w:r>
    </w:p>
    <w:p w14:paraId="41F42BB8" w14:textId="77777777" w:rsidR="00451BC7" w:rsidRPr="00E649A6" w:rsidRDefault="00451BC7" w:rsidP="00451BC7">
      <w:pPr>
        <w:jc w:val="both"/>
        <w:rPr>
          <w:rFonts w:ascii="Georgia" w:hAnsi="Georgia"/>
          <w:sz w:val="20"/>
          <w:szCs w:val="20"/>
          <w:lang w:val="lt-LT"/>
        </w:rPr>
      </w:pPr>
      <w:r>
        <w:rPr>
          <w:rFonts w:ascii="Georgia" w:hAnsi="Georgia"/>
          <w:sz w:val="20"/>
          <w:szCs w:val="20"/>
          <w:lang w:val="lt-LT"/>
        </w:rPr>
        <w:t>ESCO</w:t>
      </w:r>
      <w:r w:rsidRPr="00E649A6">
        <w:rPr>
          <w:rFonts w:ascii="Georgia" w:hAnsi="Georgia"/>
          <w:sz w:val="20"/>
          <w:szCs w:val="20"/>
          <w:lang w:val="lt-LT"/>
        </w:rPr>
        <w:t xml:space="preserve"> turi potencialą tapti standartizuotu ir plačiai naudojamu miestų energijos efektyvumo projektų įgyvendinimo modeliu.</w:t>
      </w:r>
    </w:p>
    <w:p w14:paraId="4F3E0863"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Remiantis Vokietijos gerąja patirtimi</w:t>
      </w:r>
      <w:r w:rsidRPr="00E649A6">
        <w:rPr>
          <w:rFonts w:ascii="Georgia" w:hAnsi="Georgia"/>
          <w:sz w:val="20"/>
          <w:szCs w:val="20"/>
          <w:vertAlign w:val="superscript"/>
          <w:lang w:val="lt-LT"/>
        </w:rPr>
        <w:footnoteReference w:id="159"/>
      </w:r>
      <w:r w:rsidRPr="00E649A6">
        <w:rPr>
          <w:rFonts w:ascii="Georgia" w:hAnsi="Georgia"/>
          <w:sz w:val="20"/>
          <w:szCs w:val="20"/>
          <w:lang w:val="lt-LT"/>
        </w:rPr>
        <w:t xml:space="preserve">, institucijos, norėdamos skatinti </w:t>
      </w:r>
      <w:r>
        <w:rPr>
          <w:rFonts w:ascii="Georgia" w:hAnsi="Georgia"/>
          <w:sz w:val="20"/>
          <w:szCs w:val="20"/>
          <w:lang w:val="lt-LT"/>
        </w:rPr>
        <w:t>ESCO</w:t>
      </w:r>
      <w:r w:rsidRPr="00E649A6">
        <w:rPr>
          <w:rFonts w:ascii="Georgia" w:hAnsi="Georgia"/>
          <w:sz w:val="20"/>
          <w:szCs w:val="20"/>
          <w:lang w:val="lt-LT"/>
        </w:rPr>
        <w:t xml:space="preserve">, turėtų visų pirma pasirūpinti parama šiai koncepcijai aukščiausiu politiniu lygiu, taip pat stabilios teisinės bazės sukūrimu, nustatyti patikimų ESCO įmonių sąrašą, išanalizuoti pastatų/projektų grupavimo </w:t>
      </w:r>
      <w:r w:rsidRPr="00E649A6">
        <w:rPr>
          <w:rFonts w:ascii="Georgia" w:hAnsi="Georgia"/>
          <w:sz w:val="20"/>
          <w:szCs w:val="20"/>
          <w:lang w:val="lt-LT"/>
        </w:rPr>
        <w:lastRenderedPageBreak/>
        <w:t>galimybes, leisti ESCO būti miestų plėtros fondų finansavimo galutiniais naudos gavėjais, užtikrinti tinkamą techninę pagalbą ir pasiūlyti standartizuotas dokumentų formas.</w:t>
      </w:r>
    </w:p>
    <w:p w14:paraId="19D48FF0" w14:textId="77777777" w:rsidR="00451BC7" w:rsidRPr="00E649A6" w:rsidRDefault="00451BC7" w:rsidP="00451BC7">
      <w:pPr>
        <w:jc w:val="both"/>
        <w:rPr>
          <w:rFonts w:ascii="Georgia" w:hAnsi="Georgia"/>
          <w:sz w:val="20"/>
          <w:szCs w:val="20"/>
          <w:lang w:val="lt-LT"/>
        </w:rPr>
      </w:pPr>
      <w:r w:rsidRPr="00E649A6">
        <w:rPr>
          <w:rFonts w:ascii="Georgia" w:hAnsi="Georgia"/>
          <w:i/>
          <w:sz w:val="20"/>
          <w:szCs w:val="20"/>
          <w:lang w:val="lt-LT"/>
        </w:rPr>
        <w:t>Struktūra</w:t>
      </w:r>
    </w:p>
    <w:p w14:paraId="0AA2B917"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2007-2013 m. </w:t>
      </w:r>
      <w:r w:rsidR="00381237">
        <w:rPr>
          <w:rFonts w:ascii="Georgia" w:hAnsi="Georgia"/>
          <w:sz w:val="20"/>
          <w:szCs w:val="20"/>
          <w:lang w:val="lt-LT"/>
        </w:rPr>
        <w:t>periodu</w:t>
      </w:r>
      <w:r w:rsidRPr="00E649A6">
        <w:rPr>
          <w:rFonts w:ascii="Georgia" w:hAnsi="Georgia"/>
          <w:sz w:val="20"/>
          <w:szCs w:val="20"/>
          <w:lang w:val="lt-LT"/>
        </w:rPr>
        <w:t xml:space="preserve"> miestų plėtros fondai, kurie finansavo gyvenamųjų namų sektorių, buvo daugiausiai įsteigti kaip esamos finansų įstaigos ar banko atskiras finansinis padalinys. Ši organizacinė struktūra turi savo privalumų investuojant į atskirus būstus, kadangi finansinis tarpininkas gali pasinaudoti savo klientų duomenų baze. </w:t>
      </w:r>
      <w:r>
        <w:rPr>
          <w:rFonts w:ascii="Georgia" w:hAnsi="Georgia"/>
          <w:sz w:val="20"/>
          <w:szCs w:val="20"/>
          <w:lang w:val="lt-LT"/>
        </w:rPr>
        <w:t xml:space="preserve">Vienas iš paskolų rizikos perkėlimo </w:t>
      </w:r>
      <w:r w:rsidRPr="00E649A6">
        <w:rPr>
          <w:rFonts w:ascii="Georgia" w:hAnsi="Georgia"/>
          <w:sz w:val="20"/>
          <w:szCs w:val="20"/>
          <w:lang w:val="lt-LT"/>
        </w:rPr>
        <w:t>vietinėms finansų institucijoms</w:t>
      </w:r>
      <w:r>
        <w:rPr>
          <w:rFonts w:ascii="Georgia" w:hAnsi="Georgia"/>
          <w:sz w:val="20"/>
          <w:szCs w:val="20"/>
          <w:lang w:val="lt-LT"/>
        </w:rPr>
        <w:t xml:space="preserve"> privalumų</w:t>
      </w:r>
      <w:r w:rsidRPr="00E649A6">
        <w:rPr>
          <w:rFonts w:ascii="Georgia" w:hAnsi="Georgia"/>
          <w:sz w:val="20"/>
          <w:szCs w:val="20"/>
          <w:lang w:val="lt-LT"/>
        </w:rPr>
        <w:t xml:space="preserve"> </w:t>
      </w:r>
      <w:r>
        <w:rPr>
          <w:rFonts w:ascii="Georgia" w:hAnsi="Georgia"/>
          <w:sz w:val="20"/>
          <w:szCs w:val="20"/>
          <w:lang w:val="lt-LT"/>
        </w:rPr>
        <w:t>yra tai, kad finansinės institucijos</w:t>
      </w:r>
      <w:r w:rsidRPr="00E649A6">
        <w:rPr>
          <w:rFonts w:ascii="Georgia" w:hAnsi="Georgia"/>
          <w:sz w:val="20"/>
          <w:szCs w:val="20"/>
          <w:lang w:val="lt-LT"/>
        </w:rPr>
        <w:t xml:space="preserve"> turi informaciją apie </w:t>
      </w:r>
      <w:r>
        <w:rPr>
          <w:rFonts w:ascii="Georgia" w:hAnsi="Georgia"/>
          <w:sz w:val="20"/>
          <w:szCs w:val="20"/>
          <w:lang w:val="lt-LT"/>
        </w:rPr>
        <w:t xml:space="preserve">paskolos gavėjų </w:t>
      </w:r>
      <w:r w:rsidRPr="00E649A6">
        <w:rPr>
          <w:rFonts w:ascii="Georgia" w:hAnsi="Georgia"/>
          <w:sz w:val="20"/>
          <w:szCs w:val="20"/>
          <w:lang w:val="lt-LT"/>
        </w:rPr>
        <w:t>kredito istoriją ir gali geriau įvertinti paskolų teikimo jiems riziką ir grąžą.</w:t>
      </w:r>
    </w:p>
    <w:p w14:paraId="1FA36519"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Tuo tarpu, kai kalbama apie socialinio būsto projektus, tinkamesnis galėtų būti atskiro juridinio asmens steigimas (pvz., specialaus būsto fondo), kadangi skiriasi galutiniai naudos gavėjai, susijusios rizikos ir investicijų grąža. Socialinio būsto projektuose paprastai dalyvauja didesnis būstų skaičius, paskolą ima ir grąžina vietos savivaldos institucijos arba socialinio būsto organizacijos. Socialinio būsto projektų rizika yra mažesnė, kadangi savivaldos institucijos arba socialinio būsto organizacijos paprastai turi aukštą kredito reitingą. Specialus fondas investuoja, pritraukia ir koordinuoja finansavimą iš įvairių šaltinių, veikia kaip tarpininkas tarp suinteresuotų šalių ir gali greitai pasiekti būtiną techninę ekspertizę įgyvendinant didelės apimties projektus. Analogiški principai taikomi ir kitoms energijos efektyvumo sektoriaus sritims.</w:t>
      </w:r>
    </w:p>
    <w:p w14:paraId="5A6A3D55"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Modeliams, kurie daugiausiai skirti finansuoti energijos efektyvumo priemones individualiuose gyvenamuosiuose namuose arba daugiabučiuose gyvenamuosiuose namuose, rekomenduojama struktūra, kurioje kontroliuojantysis fondas finansiniams tarpininkams suteikia finansavimą kaip kredito liniją arba skolos finansinę priemonę.</w:t>
      </w:r>
    </w:p>
    <w:p w14:paraId="38BFCA22" w14:textId="77777777" w:rsidR="00451BC7" w:rsidRPr="00E649A6" w:rsidRDefault="00451BC7" w:rsidP="00451BC7">
      <w:pPr>
        <w:jc w:val="both"/>
        <w:rPr>
          <w:rFonts w:ascii="Georgia" w:hAnsi="Georgia"/>
          <w:sz w:val="20"/>
          <w:szCs w:val="20"/>
          <w:lang w:val="lt-LT"/>
        </w:rPr>
      </w:pPr>
      <w:r w:rsidRPr="00E649A6">
        <w:rPr>
          <w:rFonts w:ascii="Georgia" w:hAnsi="Georgia"/>
          <w:i/>
          <w:sz w:val="20"/>
          <w:szCs w:val="20"/>
          <w:lang w:val="lt-LT"/>
        </w:rPr>
        <w:t>Ilgai trunkantis steigimo procesas</w:t>
      </w:r>
    </w:p>
    <w:p w14:paraId="30BA558A"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Finansinės priemonės reikalauja didesnių laiko sąnaudų jas sukurti ir yra </w:t>
      </w:r>
      <w:r w:rsidR="00381237">
        <w:rPr>
          <w:rFonts w:ascii="Georgia" w:hAnsi="Georgia"/>
          <w:sz w:val="20"/>
          <w:szCs w:val="20"/>
          <w:lang w:val="lt-LT"/>
        </w:rPr>
        <w:t>labiau kompleksinės</w:t>
      </w:r>
      <w:r w:rsidRPr="00E649A6">
        <w:rPr>
          <w:rFonts w:ascii="Georgia" w:hAnsi="Georgia"/>
          <w:sz w:val="20"/>
          <w:szCs w:val="20"/>
          <w:lang w:val="lt-LT"/>
        </w:rPr>
        <w:t xml:space="preserve"> lyginant su subsidijų mechanizmais arba privačiais investiciniais fondais, kuriuose nėra naudojamos viešojo sektoriaus lėšos. Tai yra dar labiau aktualu, kai teisinė aplinka yra sudėtinga, o </w:t>
      </w:r>
      <w:r>
        <w:rPr>
          <w:rFonts w:ascii="Georgia" w:hAnsi="Georgia"/>
          <w:sz w:val="20"/>
          <w:szCs w:val="20"/>
          <w:lang w:val="lt-LT"/>
        </w:rPr>
        <w:t>priemonės</w:t>
      </w:r>
      <w:r w:rsidRPr="00E649A6">
        <w:rPr>
          <w:rFonts w:ascii="Georgia" w:hAnsi="Georgia"/>
          <w:sz w:val="20"/>
          <w:szCs w:val="20"/>
          <w:lang w:val="lt-LT"/>
        </w:rPr>
        <w:t xml:space="preserve"> nauj</w:t>
      </w:r>
      <w:r>
        <w:rPr>
          <w:rFonts w:ascii="Georgia" w:hAnsi="Georgia"/>
          <w:sz w:val="20"/>
          <w:szCs w:val="20"/>
          <w:lang w:val="lt-LT"/>
        </w:rPr>
        <w:t xml:space="preserve">os </w:t>
      </w:r>
      <w:r w:rsidRPr="00E649A6">
        <w:rPr>
          <w:rFonts w:ascii="Georgia" w:hAnsi="Georgia"/>
          <w:sz w:val="20"/>
          <w:szCs w:val="20"/>
          <w:lang w:val="lt-LT"/>
        </w:rPr>
        <w:t>suinteresuotoms šalims.</w:t>
      </w:r>
    </w:p>
    <w:p w14:paraId="77706B24"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Procesas nuo paraiškos pateikimo iki miestų plėtros fondo veiklos pradžios gali trukti net iki trejų metų. Tai gali būti nulemta įvairių priežasčių, pvz., ilgai trukęs ekspertų samdomų miestų plėtros fondų valdytojų atrankai paraiškų vertinimas, ilga procedūra dėl pateiktų pasiūlymų skaičiaus, dokumentų, dėl kurių buvo deramasi, kompleksiškumas ir pan. Taip pat ilgai trunka atitikties struktūrinių fondų reikalavimams ir valstybės pagalbos taisyklėms užtikrinimas.</w:t>
      </w:r>
    </w:p>
    <w:p w14:paraId="2ECB4661" w14:textId="77777777" w:rsidR="00451BC7" w:rsidRPr="00E649A6" w:rsidRDefault="00451BC7" w:rsidP="00451BC7">
      <w:pPr>
        <w:jc w:val="both"/>
        <w:rPr>
          <w:rFonts w:ascii="Georgia" w:hAnsi="Georgia"/>
          <w:sz w:val="20"/>
          <w:szCs w:val="20"/>
          <w:lang w:val="lt-LT"/>
        </w:rPr>
      </w:pPr>
      <w:r>
        <w:rPr>
          <w:rFonts w:ascii="Georgia" w:hAnsi="Georgia"/>
          <w:sz w:val="20"/>
          <w:szCs w:val="20"/>
          <w:lang w:val="lt-LT"/>
        </w:rPr>
        <w:t xml:space="preserve">Taip pat </w:t>
      </w:r>
      <w:r w:rsidRPr="00E649A6">
        <w:rPr>
          <w:rFonts w:ascii="Georgia" w:hAnsi="Georgia"/>
          <w:sz w:val="20"/>
          <w:szCs w:val="20"/>
          <w:lang w:val="lt-LT"/>
        </w:rPr>
        <w:t>konkrečių projektų lygiu parengti miestų plėtros projektus paprastai t</w:t>
      </w:r>
      <w:r>
        <w:rPr>
          <w:rFonts w:ascii="Georgia" w:hAnsi="Georgia"/>
          <w:sz w:val="20"/>
          <w:szCs w:val="20"/>
          <w:lang w:val="lt-LT"/>
        </w:rPr>
        <w:t xml:space="preserve">runka ilgiau nei kitus projektus, o </w:t>
      </w:r>
      <w:r w:rsidRPr="00E649A6">
        <w:rPr>
          <w:rFonts w:ascii="Georgia" w:hAnsi="Georgia"/>
          <w:sz w:val="20"/>
          <w:szCs w:val="20"/>
          <w:lang w:val="lt-LT"/>
        </w:rPr>
        <w:t>projektų grupavimas, kuris vykdomas, kad būtų užtikrinama pakankama finansinė grąža, gali būti iššūkis.</w:t>
      </w:r>
      <w:r>
        <w:rPr>
          <w:rFonts w:ascii="Georgia" w:hAnsi="Georgia"/>
          <w:sz w:val="20"/>
          <w:szCs w:val="20"/>
          <w:lang w:val="lt-LT"/>
        </w:rPr>
        <w:t xml:space="preserve"> Tačiau i</w:t>
      </w:r>
      <w:r w:rsidRPr="00E649A6">
        <w:rPr>
          <w:rFonts w:ascii="Georgia" w:hAnsi="Georgia"/>
          <w:sz w:val="20"/>
          <w:szCs w:val="20"/>
          <w:lang w:val="lt-LT"/>
        </w:rPr>
        <w:t xml:space="preserve">lgas finansinių priemonių kūrimo procesas </w:t>
      </w:r>
      <w:r w:rsidR="00381237">
        <w:rPr>
          <w:rFonts w:ascii="Georgia" w:hAnsi="Georgia"/>
          <w:sz w:val="20"/>
          <w:szCs w:val="20"/>
          <w:lang w:val="lt-LT"/>
        </w:rPr>
        <w:t xml:space="preserve">didina lėšų grąžinimo į ES </w:t>
      </w:r>
      <w:r w:rsidRPr="00E649A6">
        <w:rPr>
          <w:rFonts w:ascii="Georgia" w:hAnsi="Georgia"/>
          <w:sz w:val="20"/>
          <w:szCs w:val="20"/>
          <w:lang w:val="lt-LT"/>
        </w:rPr>
        <w:t>biudžetą tikimybę.</w:t>
      </w:r>
    </w:p>
    <w:p w14:paraId="4757CC48" w14:textId="77777777" w:rsidR="00451BC7" w:rsidRPr="00E649A6" w:rsidRDefault="00451BC7" w:rsidP="00451BC7">
      <w:pPr>
        <w:jc w:val="both"/>
        <w:rPr>
          <w:rFonts w:ascii="Georgia" w:hAnsi="Georgia"/>
          <w:sz w:val="20"/>
          <w:szCs w:val="20"/>
          <w:lang w:val="lt-LT"/>
        </w:rPr>
      </w:pPr>
      <w:r w:rsidRPr="00E649A6">
        <w:rPr>
          <w:rFonts w:ascii="Georgia" w:hAnsi="Georgia"/>
          <w:i/>
          <w:sz w:val="20"/>
          <w:szCs w:val="20"/>
          <w:lang w:val="lt-LT"/>
        </w:rPr>
        <w:t>Patirties stoka</w:t>
      </w:r>
      <w:r w:rsidRPr="00E649A6">
        <w:rPr>
          <w:rFonts w:ascii="Georgia" w:hAnsi="Georgia"/>
          <w:sz w:val="20"/>
          <w:szCs w:val="20"/>
          <w:lang w:val="lt-LT"/>
        </w:rPr>
        <w:t xml:space="preserve"> </w:t>
      </w:r>
    </w:p>
    <w:p w14:paraId="0E44C638"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2007-2013 m. </w:t>
      </w:r>
      <w:r w:rsidR="00381237">
        <w:rPr>
          <w:rFonts w:ascii="Georgia" w:hAnsi="Georgia"/>
          <w:sz w:val="20"/>
          <w:szCs w:val="20"/>
          <w:lang w:val="lt-LT"/>
        </w:rPr>
        <w:t xml:space="preserve">periodu </w:t>
      </w:r>
      <w:r w:rsidRPr="00E649A6">
        <w:rPr>
          <w:rFonts w:ascii="Georgia" w:hAnsi="Georgia"/>
          <w:sz w:val="20"/>
          <w:szCs w:val="20"/>
          <w:lang w:val="lt-LT"/>
        </w:rPr>
        <w:t>viešasis sektorius neturėjo darbo su finansinėmis priemonėmis patirties, todėl reikėjo skubiai mokytis ir prisitaikyti prie pokyčių. Žinių apie finan</w:t>
      </w:r>
      <w:r>
        <w:rPr>
          <w:rFonts w:ascii="Georgia" w:hAnsi="Georgia"/>
          <w:sz w:val="20"/>
          <w:szCs w:val="20"/>
          <w:lang w:val="lt-LT"/>
        </w:rPr>
        <w:t>sines</w:t>
      </w:r>
      <w:r w:rsidRPr="00E649A6">
        <w:rPr>
          <w:rFonts w:ascii="Georgia" w:hAnsi="Georgia"/>
          <w:sz w:val="20"/>
          <w:szCs w:val="20"/>
          <w:lang w:val="lt-LT"/>
        </w:rPr>
        <w:t xml:space="preserve"> </w:t>
      </w:r>
      <w:r>
        <w:rPr>
          <w:rFonts w:ascii="Georgia" w:hAnsi="Georgia"/>
          <w:sz w:val="20"/>
          <w:szCs w:val="20"/>
          <w:lang w:val="lt-LT"/>
        </w:rPr>
        <w:t>priemones</w:t>
      </w:r>
      <w:r w:rsidRPr="00E649A6">
        <w:rPr>
          <w:rFonts w:ascii="Georgia" w:hAnsi="Georgia"/>
          <w:sz w:val="20"/>
          <w:szCs w:val="20"/>
          <w:lang w:val="lt-LT"/>
        </w:rPr>
        <w:t xml:space="preserve"> viešajame sektoriuje trūkumas ir tokių </w:t>
      </w:r>
      <w:r>
        <w:rPr>
          <w:rFonts w:ascii="Georgia" w:hAnsi="Georgia"/>
          <w:sz w:val="20"/>
          <w:szCs w:val="20"/>
          <w:lang w:val="lt-LT"/>
        </w:rPr>
        <w:t>priemonių</w:t>
      </w:r>
      <w:r w:rsidRPr="00E649A6">
        <w:rPr>
          <w:rFonts w:ascii="Georgia" w:hAnsi="Georgia"/>
          <w:sz w:val="20"/>
          <w:szCs w:val="20"/>
          <w:lang w:val="lt-LT"/>
        </w:rPr>
        <w:t xml:space="preserve"> traktavimas kaip konkuruojančių su subsidijomis, kurios yra mažiau kompleksiškos, produktų, slopino paklausą, net jei projektai buvo tinkami fi</w:t>
      </w:r>
      <w:r w:rsidR="00381237">
        <w:rPr>
          <w:rFonts w:ascii="Georgia" w:hAnsi="Georgia"/>
          <w:sz w:val="20"/>
          <w:szCs w:val="20"/>
          <w:lang w:val="lt-LT"/>
        </w:rPr>
        <w:t>nansuoti per finansines priemones</w:t>
      </w:r>
      <w:r w:rsidRPr="00E649A6">
        <w:rPr>
          <w:rFonts w:ascii="Georgia" w:hAnsi="Georgia"/>
          <w:sz w:val="20"/>
          <w:szCs w:val="20"/>
          <w:lang w:val="lt-LT"/>
        </w:rPr>
        <w:t>.</w:t>
      </w:r>
    </w:p>
    <w:p w14:paraId="7F750092" w14:textId="77777777" w:rsidR="00451BC7" w:rsidRPr="00E649A6" w:rsidRDefault="00451BC7" w:rsidP="0088418D">
      <w:pPr>
        <w:keepNext/>
        <w:jc w:val="both"/>
        <w:rPr>
          <w:rFonts w:ascii="Georgia" w:hAnsi="Georgia"/>
          <w:i/>
          <w:sz w:val="20"/>
          <w:szCs w:val="20"/>
          <w:lang w:val="lt-LT"/>
        </w:rPr>
      </w:pPr>
      <w:r w:rsidRPr="00E649A6">
        <w:rPr>
          <w:rFonts w:ascii="Georgia" w:hAnsi="Georgia"/>
          <w:i/>
          <w:sz w:val="20"/>
          <w:szCs w:val="20"/>
          <w:lang w:val="lt-LT"/>
        </w:rPr>
        <w:lastRenderedPageBreak/>
        <w:t>Platus suinteresuotų šalių įtraukimas</w:t>
      </w:r>
    </w:p>
    <w:p w14:paraId="46A3E403" w14:textId="77777777" w:rsidR="00451BC7" w:rsidRPr="00E649A6" w:rsidRDefault="00451BC7" w:rsidP="0088418D">
      <w:pPr>
        <w:keepNext/>
        <w:jc w:val="both"/>
        <w:rPr>
          <w:rFonts w:ascii="Georgia" w:hAnsi="Georgia"/>
          <w:sz w:val="20"/>
          <w:szCs w:val="20"/>
          <w:lang w:val="lt-LT"/>
        </w:rPr>
      </w:pPr>
      <w:r w:rsidRPr="00E649A6">
        <w:rPr>
          <w:rFonts w:ascii="Georgia" w:hAnsi="Georgia"/>
          <w:sz w:val="20"/>
          <w:szCs w:val="20"/>
          <w:lang w:val="lt-LT"/>
        </w:rPr>
        <w:t xml:space="preserve">Teigiamai vertinamos atsakingų institucijų pastangos įtraukti kuo platesnį suinteresuotųjų institucijų ratą (viešąjį sektorių, nevyriausybines organizacijas, verslą ir privačius asmenis) į visus finansinių priemonių kūrimo ir įgyvendinimo etapus ir lygius. </w:t>
      </w:r>
    </w:p>
    <w:p w14:paraId="186F346A"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Bendradarbiavimas su suinteresuotosiomis šalimis yra ypač svarbus tiems miestų plėtros fondams, kurie apima keletą savivaldybių/regionų, kadangi dalyvaujančių šalių politinis įsipareigojimas ir finansinis dalyvavimas </w:t>
      </w:r>
      <w:r>
        <w:rPr>
          <w:rFonts w:ascii="Georgia" w:hAnsi="Georgia"/>
          <w:sz w:val="20"/>
          <w:szCs w:val="20"/>
          <w:lang w:val="lt-LT"/>
        </w:rPr>
        <w:t xml:space="preserve">dažnai yra </w:t>
      </w:r>
      <w:r w:rsidRPr="00E649A6">
        <w:rPr>
          <w:rFonts w:ascii="Georgia" w:hAnsi="Georgia"/>
          <w:sz w:val="20"/>
          <w:szCs w:val="20"/>
          <w:lang w:val="lt-LT"/>
        </w:rPr>
        <w:t>būtinas siekiant užtikrinti projektų srautą ir sėkmingai įgyvendinti projektus.</w:t>
      </w:r>
    </w:p>
    <w:p w14:paraId="7D3A7A81"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Tiesa, platus suinteresuotųjų šalių įtraukimas gali sukelti ir tam tikrų problemų, pvz., ilgai trunkančias derybas dėl didelio dalyvių skaičiaus ir struktūros kompleksiškumo ir pan. Taip pat gali kilti ir valdymo funkcijų ir atsakomybių pasiskirstymo klausimai tarp nacionalinio ir regioninio lygių, nacionalinių institucijų ir tarptautinių finansinių institucijų ir pan.</w:t>
      </w:r>
    </w:p>
    <w:p w14:paraId="477AA950" w14:textId="77777777" w:rsidR="00451BC7" w:rsidRPr="00E649A6" w:rsidRDefault="00451BC7" w:rsidP="00451BC7">
      <w:pPr>
        <w:jc w:val="both"/>
        <w:rPr>
          <w:rFonts w:ascii="Georgia" w:hAnsi="Georgia"/>
          <w:i/>
          <w:sz w:val="20"/>
          <w:szCs w:val="20"/>
          <w:lang w:val="lt-LT"/>
        </w:rPr>
      </w:pPr>
      <w:r w:rsidRPr="00E649A6">
        <w:rPr>
          <w:rFonts w:ascii="Georgia" w:hAnsi="Georgia"/>
          <w:i/>
          <w:sz w:val="20"/>
          <w:szCs w:val="20"/>
          <w:lang w:val="lt-LT"/>
        </w:rPr>
        <w:t xml:space="preserve">Finansinių produktų parinkimas </w:t>
      </w:r>
    </w:p>
    <w:p w14:paraId="47BE450B"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Bendruoju atveju mažo rizikingumo projektams, turintiems stabilią (netgi jei ji maža) grąžą, labiausiai tinka paskoliniai produktai. Jei rinkos palūkanų norma yra tinkama, miestų plėtros fondų valdytojai gali pritraukti investicijų iš privačių bankų ar investicinių fondų.</w:t>
      </w:r>
    </w:p>
    <w:p w14:paraId="696B8ECF"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Labiau rizikingiems projektams, kuriems reikalingos didesnės investicijos, tačiau taip pat turintiems didesnės grąžos potencialą, gali būti svarstoma kapitalo investicijų galimybė. Tokiais atvejais fondo valdytojas galėtų bandyti pritraukti finansavimą iš rizikos kapitalo fondų ar kitų privataus kapitalo šaltinių.</w:t>
      </w:r>
    </w:p>
    <w:p w14:paraId="5E5296E8"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Aukštos rizikos projektų, kurie greičiausiai negeneruos didelės grąžos, pvz., energijos sistemų decentralizacijos projektai, atveju </w:t>
      </w:r>
      <w:r>
        <w:rPr>
          <w:rFonts w:ascii="Georgia" w:hAnsi="Georgia"/>
          <w:sz w:val="20"/>
          <w:szCs w:val="20"/>
          <w:lang w:val="lt-LT"/>
        </w:rPr>
        <w:t>šalia finansinių priemonių gali būti svarstoma ESI</w:t>
      </w:r>
      <w:r w:rsidRPr="00E649A6">
        <w:rPr>
          <w:rFonts w:ascii="Georgia" w:hAnsi="Georgia"/>
          <w:sz w:val="20"/>
          <w:szCs w:val="20"/>
          <w:lang w:val="lt-LT"/>
        </w:rPr>
        <w:t xml:space="preserve"> fondų arba kitų šaltinių subsidijų galimybė.</w:t>
      </w:r>
    </w:p>
    <w:p w14:paraId="217417DA"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Įvertinus esamų fondų patirtį finansuojant </w:t>
      </w:r>
      <w:r>
        <w:rPr>
          <w:rFonts w:ascii="Georgia" w:hAnsi="Georgia"/>
          <w:sz w:val="20"/>
          <w:szCs w:val="20"/>
          <w:lang w:val="lt-LT"/>
        </w:rPr>
        <w:t xml:space="preserve">renovacijos </w:t>
      </w:r>
      <w:r w:rsidRPr="00E649A6">
        <w:rPr>
          <w:rFonts w:ascii="Georgia" w:hAnsi="Georgia"/>
          <w:sz w:val="20"/>
          <w:szCs w:val="20"/>
          <w:lang w:val="lt-LT"/>
        </w:rPr>
        <w:t xml:space="preserve">projektus, panašu, jog paskolos yra </w:t>
      </w:r>
      <w:r w:rsidR="006B09E7">
        <w:rPr>
          <w:rFonts w:ascii="Georgia" w:hAnsi="Georgia"/>
          <w:sz w:val="20"/>
          <w:szCs w:val="20"/>
          <w:lang w:val="lt-LT"/>
        </w:rPr>
        <w:t>vienas iš tinkamiausių finansinių</w:t>
      </w:r>
      <w:r w:rsidRPr="00E649A6">
        <w:rPr>
          <w:rFonts w:ascii="Georgia" w:hAnsi="Georgia"/>
          <w:sz w:val="20"/>
          <w:szCs w:val="20"/>
          <w:lang w:val="lt-LT"/>
        </w:rPr>
        <w:t xml:space="preserve"> produkt</w:t>
      </w:r>
      <w:r w:rsidR="006B09E7">
        <w:rPr>
          <w:rFonts w:ascii="Georgia" w:hAnsi="Georgia"/>
          <w:sz w:val="20"/>
          <w:szCs w:val="20"/>
          <w:lang w:val="lt-LT"/>
        </w:rPr>
        <w:t>ų</w:t>
      </w:r>
      <w:r w:rsidRPr="00E649A6">
        <w:rPr>
          <w:rFonts w:ascii="Georgia" w:hAnsi="Georgia"/>
          <w:sz w:val="20"/>
          <w:szCs w:val="20"/>
          <w:lang w:val="lt-LT"/>
        </w:rPr>
        <w:t>, atsižvelgiant į palyginti ilgą projektų atsipirkimo laikotarpį, mažas sąnaudas, rizikos lygį ir tokių projektų grąžą.</w:t>
      </w:r>
    </w:p>
    <w:p w14:paraId="7DC3CA4D"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Garantijos gali būti naudojamos būsto projektams, kad projektų plėtotojai (ypač mažos organizacijos), pavyzdžiui, namų asociacijos, ESCO turėtų galimybę gauti paskolas iš finansinių institucijų.</w:t>
      </w:r>
    </w:p>
    <w:p w14:paraId="5B34F072"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Be to, prieš kuriant finansines priemones būtina atsakingai įsivertinti energijos efektyvumo projektų paklausą, pvz., fondai, veikiantys regioniniu lygiu, gali būti nepajėgūs pritraukti reikiamą kritinę projektų masę, dėl ko intervencijos poveikis bus išsklaidytas ir bus patiriamos didesnės administravimo išlaidos.</w:t>
      </w:r>
    </w:p>
    <w:p w14:paraId="18F924A7"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Taip pat svarbu, kad dar prieš kuriant finansinius produktus būtų įvertintas kitų projektų ir programų, kurios yra finansuojamos iš struktūrinių fondų ir kitų šaltinių, mastas ir intervencijos sritys.</w:t>
      </w:r>
    </w:p>
    <w:p w14:paraId="28FFC8FA" w14:textId="77777777" w:rsidR="00451BC7" w:rsidRPr="00E649A6" w:rsidRDefault="00451BC7" w:rsidP="00451BC7">
      <w:pPr>
        <w:jc w:val="both"/>
        <w:rPr>
          <w:rFonts w:ascii="Georgia" w:hAnsi="Georgia"/>
          <w:sz w:val="20"/>
          <w:szCs w:val="20"/>
          <w:lang w:val="lt-LT"/>
        </w:rPr>
      </w:pPr>
      <w:r w:rsidRPr="00E649A6">
        <w:rPr>
          <w:rFonts w:ascii="Georgia" w:hAnsi="Georgia"/>
          <w:i/>
          <w:sz w:val="20"/>
          <w:szCs w:val="20"/>
          <w:lang w:val="lt-LT"/>
        </w:rPr>
        <w:t>Galutiniai naudos gavėjai</w:t>
      </w:r>
      <w:r w:rsidRPr="00E649A6">
        <w:rPr>
          <w:rFonts w:ascii="Georgia" w:hAnsi="Georgia"/>
          <w:sz w:val="20"/>
          <w:szCs w:val="20"/>
          <w:lang w:val="lt-LT"/>
        </w:rPr>
        <w:t xml:space="preserve"> </w:t>
      </w:r>
    </w:p>
    <w:p w14:paraId="77CDDC09" w14:textId="77777777" w:rsidR="00451BC7" w:rsidRPr="00E649A6" w:rsidRDefault="00451BC7" w:rsidP="00451BC7">
      <w:pPr>
        <w:jc w:val="both"/>
        <w:rPr>
          <w:rFonts w:ascii="Georgia" w:hAnsi="Georgia"/>
          <w:sz w:val="20"/>
          <w:szCs w:val="20"/>
          <w:lang w:val="lt-LT"/>
        </w:rPr>
      </w:pPr>
      <w:r>
        <w:rPr>
          <w:rFonts w:ascii="Georgia" w:hAnsi="Georgia"/>
          <w:sz w:val="20"/>
          <w:szCs w:val="20"/>
          <w:lang w:val="lt-LT"/>
        </w:rPr>
        <w:t xml:space="preserve">Patirtis rodo, jog praktiškai neįmanoma </w:t>
      </w:r>
      <w:r w:rsidRPr="00E649A6">
        <w:rPr>
          <w:rFonts w:ascii="Georgia" w:hAnsi="Georgia"/>
          <w:sz w:val="20"/>
          <w:szCs w:val="20"/>
          <w:lang w:val="lt-LT"/>
        </w:rPr>
        <w:t xml:space="preserve">sudaryti galutinių naudos gavėjų, kuriems turėtų būti skirtos energijos efektyvumą finansuojančios finansinės priemonės, </w:t>
      </w:r>
      <w:r>
        <w:rPr>
          <w:rFonts w:ascii="Georgia" w:hAnsi="Georgia"/>
          <w:sz w:val="20"/>
          <w:szCs w:val="20"/>
          <w:lang w:val="lt-LT"/>
        </w:rPr>
        <w:t xml:space="preserve">galutinio </w:t>
      </w:r>
      <w:r w:rsidRPr="00E649A6">
        <w:rPr>
          <w:rFonts w:ascii="Georgia" w:hAnsi="Georgia"/>
          <w:sz w:val="20"/>
          <w:szCs w:val="20"/>
          <w:lang w:val="lt-LT"/>
        </w:rPr>
        <w:t>sąrašo. Tai priklauso nuo konkretaus finansinio produkto tinkamų finansuoti tikslų ir intervencijos sričių. Prieš apibrėždamos galutinius naudos gavėjus, atsakingos institucijos tur</w:t>
      </w:r>
      <w:r>
        <w:rPr>
          <w:rFonts w:ascii="Georgia" w:hAnsi="Georgia"/>
          <w:sz w:val="20"/>
          <w:szCs w:val="20"/>
          <w:lang w:val="lt-LT"/>
        </w:rPr>
        <w:t>i</w:t>
      </w:r>
      <w:r w:rsidRPr="00E649A6">
        <w:rPr>
          <w:rFonts w:ascii="Georgia" w:hAnsi="Georgia"/>
          <w:sz w:val="20"/>
          <w:szCs w:val="20"/>
          <w:lang w:val="lt-LT"/>
        </w:rPr>
        <w:t xml:space="preserve"> įvertinti visas grupes, kurioms skiriamas finansavimas galėtų būtų aktualus.</w:t>
      </w:r>
    </w:p>
    <w:p w14:paraId="2F7F2E78" w14:textId="77777777" w:rsidR="00451BC7" w:rsidRPr="00E649A6" w:rsidRDefault="00451BC7" w:rsidP="00451BC7">
      <w:pPr>
        <w:keepNext/>
        <w:jc w:val="both"/>
        <w:rPr>
          <w:rFonts w:ascii="Georgia" w:hAnsi="Georgia"/>
          <w:sz w:val="20"/>
          <w:szCs w:val="20"/>
          <w:lang w:val="lt-LT"/>
        </w:rPr>
      </w:pPr>
      <w:r w:rsidRPr="00E649A6">
        <w:rPr>
          <w:rFonts w:ascii="Georgia" w:hAnsi="Georgia"/>
          <w:i/>
          <w:sz w:val="20"/>
          <w:szCs w:val="20"/>
          <w:lang w:val="lt-LT"/>
        </w:rPr>
        <w:lastRenderedPageBreak/>
        <w:t>Lankstumas</w:t>
      </w:r>
      <w:r w:rsidRPr="00E649A6">
        <w:rPr>
          <w:rFonts w:ascii="Georgia" w:hAnsi="Georgia"/>
          <w:sz w:val="20"/>
          <w:szCs w:val="20"/>
          <w:lang w:val="lt-LT"/>
        </w:rPr>
        <w:t xml:space="preserve"> </w:t>
      </w:r>
    </w:p>
    <w:p w14:paraId="3D268C55" w14:textId="77777777" w:rsidR="00451BC7" w:rsidRPr="00E649A6" w:rsidRDefault="00451BC7" w:rsidP="00451BC7">
      <w:pPr>
        <w:keepNext/>
        <w:jc w:val="both"/>
        <w:rPr>
          <w:rFonts w:ascii="Georgia" w:hAnsi="Georgia"/>
          <w:sz w:val="20"/>
          <w:szCs w:val="20"/>
          <w:lang w:val="lt-LT"/>
        </w:rPr>
      </w:pPr>
      <w:r w:rsidRPr="00E649A6">
        <w:rPr>
          <w:rFonts w:ascii="Georgia" w:hAnsi="Georgia"/>
          <w:sz w:val="20"/>
          <w:szCs w:val="20"/>
          <w:lang w:val="lt-LT"/>
        </w:rPr>
        <w:t xml:space="preserve">Finansinėms priemonėms svarbus lankstumas. 2007-2013 m. </w:t>
      </w:r>
      <w:r w:rsidR="00074273">
        <w:rPr>
          <w:rFonts w:ascii="Georgia" w:hAnsi="Georgia"/>
          <w:sz w:val="20"/>
          <w:szCs w:val="20"/>
          <w:lang w:val="lt-LT"/>
        </w:rPr>
        <w:t xml:space="preserve">periodu </w:t>
      </w:r>
      <w:r w:rsidRPr="00E649A6">
        <w:rPr>
          <w:rFonts w:ascii="Georgia" w:hAnsi="Georgia"/>
          <w:sz w:val="20"/>
          <w:szCs w:val="20"/>
          <w:lang w:val="lt-LT"/>
        </w:rPr>
        <w:t>maždaug 50 proc. atvejų steigiant finansines priemones buvo nukrypta nuo vertinimo studijos rekomendacijų, nubrėžtų planavimo etape.</w:t>
      </w:r>
    </w:p>
    <w:p w14:paraId="0AE27173"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Trečdaliu atvejų tai įvyko dėl politinės situacijos pokyčių, pokyčių vertinant finansinę riziką, techninių aspektų arba administracinių gebėjimų stokos. 66 proc. situacijų strategijos pakeitimai buvo sukelti paklausos pokyčių, atsiradusių dėl ekonominės ir finansinės krizės. Daugumoje atvejų (66 proc.), rinkos sąlygų pokyčiai paskatino naujų produktų diegimą.</w:t>
      </w:r>
    </w:p>
    <w:p w14:paraId="2C26F0B7"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Pažymėtina, kad 2007-2013 m. </w:t>
      </w:r>
      <w:r w:rsidR="00074273">
        <w:rPr>
          <w:rFonts w:ascii="Georgia" w:hAnsi="Georgia"/>
          <w:sz w:val="20"/>
          <w:szCs w:val="20"/>
          <w:lang w:val="lt-LT"/>
        </w:rPr>
        <w:t xml:space="preserve">periodu atliktų </w:t>
      </w:r>
      <w:r w:rsidRPr="00E649A6">
        <w:rPr>
          <w:rFonts w:ascii="Georgia" w:hAnsi="Georgia"/>
          <w:sz w:val="20"/>
          <w:szCs w:val="20"/>
          <w:lang w:val="lt-LT"/>
        </w:rPr>
        <w:t>vertinimų kokybė ne visais atvejais atitiko keliamus lūkesčius.</w:t>
      </w:r>
      <w:r>
        <w:rPr>
          <w:rFonts w:ascii="Georgia" w:hAnsi="Georgia"/>
          <w:sz w:val="20"/>
          <w:szCs w:val="20"/>
          <w:lang w:val="lt-LT"/>
        </w:rPr>
        <w:t xml:space="preserve"> </w:t>
      </w:r>
      <w:r w:rsidRPr="00E649A6">
        <w:rPr>
          <w:rFonts w:ascii="Georgia" w:hAnsi="Georgia"/>
          <w:sz w:val="20"/>
          <w:szCs w:val="20"/>
          <w:lang w:val="lt-LT"/>
        </w:rPr>
        <w:t>Kai kurios finansinės priemonės patyrė sunkumus įgyvendinant investavimo strategiją, kuri buvo orientuota į siaurą tikslinę grupę, ypač jei kartu buvo taikomi ir geografiniai apribojimai.</w:t>
      </w:r>
      <w:r>
        <w:rPr>
          <w:rFonts w:ascii="Georgia" w:hAnsi="Georgia"/>
          <w:sz w:val="20"/>
          <w:szCs w:val="20"/>
          <w:lang w:val="lt-LT"/>
        </w:rPr>
        <w:t xml:space="preserve"> Todėl atsakingos institucijos turi nuolat sekti finansinių priemonių įgyvendinimo efektyvumą ir lanksčiai reaguoti </w:t>
      </w:r>
      <w:r w:rsidR="00074273">
        <w:rPr>
          <w:rFonts w:ascii="Georgia" w:hAnsi="Georgia"/>
          <w:sz w:val="20"/>
          <w:szCs w:val="20"/>
          <w:lang w:val="lt-LT"/>
        </w:rPr>
        <w:t>pasikeitus rinkos poreikiams</w:t>
      </w:r>
      <w:r>
        <w:rPr>
          <w:rFonts w:ascii="Georgia" w:hAnsi="Georgia"/>
          <w:sz w:val="20"/>
          <w:szCs w:val="20"/>
          <w:lang w:val="lt-LT"/>
        </w:rPr>
        <w:t>.</w:t>
      </w:r>
    </w:p>
    <w:p w14:paraId="6CED6F33" w14:textId="77777777" w:rsidR="00451BC7" w:rsidRPr="00E649A6" w:rsidRDefault="00451BC7" w:rsidP="00451BC7">
      <w:pPr>
        <w:jc w:val="both"/>
        <w:rPr>
          <w:rFonts w:ascii="Georgia" w:hAnsi="Georgia"/>
          <w:i/>
          <w:sz w:val="20"/>
          <w:szCs w:val="20"/>
          <w:lang w:val="lt-LT"/>
        </w:rPr>
      </w:pPr>
      <w:r w:rsidRPr="00E649A6">
        <w:rPr>
          <w:rFonts w:ascii="Georgia" w:hAnsi="Georgia"/>
          <w:i/>
          <w:sz w:val="20"/>
          <w:szCs w:val="20"/>
          <w:lang w:val="lt-LT"/>
        </w:rPr>
        <w:t xml:space="preserve">Privačių partnerių pritraukimas </w:t>
      </w:r>
    </w:p>
    <w:p w14:paraId="6BCFE5BF" w14:textId="77777777" w:rsidR="00451BC7" w:rsidRPr="00E649A6" w:rsidRDefault="00451BC7" w:rsidP="00451BC7">
      <w:pPr>
        <w:jc w:val="both"/>
        <w:rPr>
          <w:rFonts w:ascii="Georgia" w:hAnsi="Georgia"/>
          <w:i/>
          <w:sz w:val="20"/>
          <w:szCs w:val="20"/>
          <w:lang w:val="lt-LT"/>
        </w:rPr>
      </w:pPr>
      <w:r w:rsidRPr="00E649A6">
        <w:rPr>
          <w:rFonts w:ascii="Georgia" w:hAnsi="Georgia"/>
          <w:sz w:val="20"/>
          <w:szCs w:val="20"/>
          <w:lang w:val="lt-LT"/>
        </w:rPr>
        <w:t xml:space="preserve">Viena iš pagrindinių problemų, </w:t>
      </w:r>
      <w:r w:rsidR="00074273">
        <w:rPr>
          <w:rFonts w:ascii="Georgia" w:hAnsi="Georgia"/>
          <w:sz w:val="20"/>
          <w:szCs w:val="20"/>
          <w:lang w:val="lt-LT"/>
        </w:rPr>
        <w:t>kilusių</w:t>
      </w:r>
      <w:r w:rsidRPr="00E649A6">
        <w:rPr>
          <w:rFonts w:ascii="Georgia" w:hAnsi="Georgia"/>
          <w:sz w:val="20"/>
          <w:szCs w:val="20"/>
          <w:lang w:val="lt-LT"/>
        </w:rPr>
        <w:t xml:space="preserve"> 2007-2013 m. </w:t>
      </w:r>
      <w:r w:rsidR="00074273">
        <w:rPr>
          <w:rFonts w:ascii="Georgia" w:hAnsi="Georgia"/>
          <w:sz w:val="20"/>
          <w:szCs w:val="20"/>
          <w:lang w:val="lt-LT"/>
        </w:rPr>
        <w:t>periodu</w:t>
      </w:r>
      <w:r w:rsidRPr="00E649A6">
        <w:rPr>
          <w:rFonts w:ascii="Georgia" w:hAnsi="Georgia"/>
          <w:sz w:val="20"/>
          <w:szCs w:val="20"/>
          <w:lang w:val="lt-LT"/>
        </w:rPr>
        <w:t>, buvo privataus sektoriaus pritraukimas dalyvauti finan</w:t>
      </w:r>
      <w:r w:rsidRPr="00AC3318">
        <w:rPr>
          <w:rFonts w:ascii="Georgia" w:hAnsi="Georgia"/>
          <w:sz w:val="20"/>
          <w:szCs w:val="20"/>
          <w:lang w:val="lt-LT"/>
        </w:rPr>
        <w:t>sin</w:t>
      </w:r>
      <w:r w:rsidRPr="00E649A6">
        <w:rPr>
          <w:rFonts w:ascii="Georgia" w:hAnsi="Georgia"/>
          <w:sz w:val="20"/>
          <w:szCs w:val="20"/>
          <w:lang w:val="lt-LT"/>
        </w:rPr>
        <w:t>ėse priemonėse.</w:t>
      </w:r>
    </w:p>
    <w:p w14:paraId="21ADB1B9" w14:textId="77777777" w:rsidR="00451BC7" w:rsidRPr="00E649A6" w:rsidRDefault="00C648A7" w:rsidP="00451BC7">
      <w:pPr>
        <w:jc w:val="both"/>
        <w:rPr>
          <w:rFonts w:ascii="Georgia" w:hAnsi="Georgia"/>
          <w:sz w:val="20"/>
          <w:szCs w:val="20"/>
          <w:lang w:val="lt-LT"/>
        </w:rPr>
      </w:pPr>
      <w:r>
        <w:rPr>
          <w:rFonts w:ascii="Georgia" w:hAnsi="Georgia"/>
          <w:sz w:val="20"/>
          <w:szCs w:val="20"/>
          <w:lang w:val="lt-LT"/>
        </w:rPr>
        <w:t>Energijos efektyvumo projektai</w:t>
      </w:r>
      <w:r w:rsidR="00451BC7" w:rsidRPr="00E649A6">
        <w:rPr>
          <w:rFonts w:ascii="Georgia" w:hAnsi="Georgia"/>
          <w:sz w:val="20"/>
          <w:szCs w:val="20"/>
          <w:lang w:val="lt-LT"/>
        </w:rPr>
        <w:t xml:space="preserve"> </w:t>
      </w:r>
      <w:r>
        <w:rPr>
          <w:rFonts w:ascii="Georgia" w:hAnsi="Georgia"/>
          <w:sz w:val="20"/>
          <w:szCs w:val="20"/>
          <w:lang w:val="lt-LT"/>
        </w:rPr>
        <w:t>privataus sektoriaus vis dar yra vertinami skeptiškai</w:t>
      </w:r>
      <w:r w:rsidR="00451BC7" w:rsidRPr="00E649A6">
        <w:rPr>
          <w:rFonts w:ascii="Georgia" w:hAnsi="Georgia"/>
          <w:sz w:val="20"/>
          <w:szCs w:val="20"/>
          <w:lang w:val="lt-LT"/>
        </w:rPr>
        <w:t>,</w:t>
      </w:r>
      <w:r>
        <w:rPr>
          <w:rFonts w:ascii="Georgia" w:hAnsi="Georgia"/>
          <w:sz w:val="20"/>
          <w:szCs w:val="20"/>
          <w:lang w:val="lt-LT"/>
        </w:rPr>
        <w:t xml:space="preserve"> kadangi šie projektai yra</w:t>
      </w:r>
      <w:r w:rsidR="00451BC7" w:rsidRPr="00E649A6">
        <w:rPr>
          <w:rFonts w:ascii="Georgia" w:hAnsi="Georgia"/>
          <w:sz w:val="20"/>
          <w:szCs w:val="20"/>
          <w:lang w:val="lt-LT"/>
        </w:rPr>
        <w:t xml:space="preserve"> kompleksišk</w:t>
      </w:r>
      <w:r>
        <w:rPr>
          <w:rFonts w:ascii="Georgia" w:hAnsi="Georgia"/>
          <w:sz w:val="20"/>
          <w:szCs w:val="20"/>
          <w:lang w:val="lt-LT"/>
        </w:rPr>
        <w:t>i, sunkiai apskaičiuojamas jų pelningumas ir sudėtinga juos kokybiškai</w:t>
      </w:r>
      <w:r w:rsidR="00451BC7" w:rsidRPr="00E649A6">
        <w:rPr>
          <w:rFonts w:ascii="Georgia" w:hAnsi="Georgia"/>
          <w:sz w:val="20"/>
          <w:szCs w:val="20"/>
          <w:lang w:val="lt-LT"/>
        </w:rPr>
        <w:t xml:space="preserve"> įgyvendinti. Situaciją galima pakeisti tik su viešojo sektoriaus pagalba, lyderyste ir finansavimu. Daug pastangų reikia siekiant įtikinti privataus sektoriaus investuotojus, jog fondo lėšos bus investuojamos pagal privataus sektoriaus principus, ypač kalbant apie greitį ir investavimo sprendimų pobūdį. Remiantis gerąja praktika rekomenduojama, jog miesto plėtros fondo arba konkretaus projekto lygiu būtų bent minimalus privačių lėšų indėlis.</w:t>
      </w:r>
      <w:r w:rsidR="00451BC7" w:rsidRPr="00CB0B1D">
        <w:rPr>
          <w:rFonts w:ascii="Georgia" w:hAnsi="Georgia"/>
          <w:sz w:val="20"/>
          <w:szCs w:val="20"/>
          <w:lang w:val="lt-LT"/>
        </w:rPr>
        <w:t xml:space="preserve"> </w:t>
      </w:r>
      <w:r w:rsidR="00451BC7" w:rsidRPr="00E649A6">
        <w:rPr>
          <w:rFonts w:ascii="Georgia" w:hAnsi="Georgia"/>
          <w:sz w:val="20"/>
          <w:szCs w:val="20"/>
          <w:lang w:val="lt-LT"/>
        </w:rPr>
        <w:t>Lietuvoje iki šiol nebuvo reikalavimo finansiniams tarpinink</w:t>
      </w:r>
      <w:r>
        <w:rPr>
          <w:rFonts w:ascii="Georgia" w:hAnsi="Georgia"/>
          <w:sz w:val="20"/>
          <w:szCs w:val="20"/>
          <w:lang w:val="lt-LT"/>
        </w:rPr>
        <w:t xml:space="preserve">ams investuoti privačias lėšas, tačiau 2014-2020 m. periodu tai yra labai siektina. </w:t>
      </w:r>
    </w:p>
    <w:p w14:paraId="1F87B7E3"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Dalies rizikų perdavimas viešajam sektoriui galėtų paskatinti privačius investuotojus aktyviau investuoti į projektus, kurie nėra patrauklūs be viešojo sektoriaus įsikišimo. Išskirtinės sąlygos yra svarbus veiksnys norint pritraukti privačius investuotojus investuoti kartu su viešosiomis lėšomis didelės rizikos/mažos grąžos srityse siekiant viešosios politikos tikslų. Tiesa, svarbu, jog privatiems investuotojams nebūtų sudarytos išskirtinės sąlygos, kurios pažeistų valstybės pagalbos taisyklių nuostatas.</w:t>
      </w:r>
    </w:p>
    <w:p w14:paraId="34A6435A" w14:textId="77777777" w:rsidR="00451BC7" w:rsidRPr="00E649A6" w:rsidRDefault="00451BC7" w:rsidP="00451BC7">
      <w:pPr>
        <w:keepNext/>
        <w:jc w:val="both"/>
        <w:rPr>
          <w:rFonts w:ascii="Georgia" w:hAnsi="Georgia"/>
          <w:sz w:val="20"/>
          <w:szCs w:val="20"/>
          <w:lang w:val="lt-LT"/>
        </w:rPr>
      </w:pPr>
      <w:r w:rsidRPr="00E649A6">
        <w:rPr>
          <w:rFonts w:ascii="Georgia" w:hAnsi="Georgia"/>
          <w:i/>
          <w:sz w:val="20"/>
          <w:szCs w:val="20"/>
          <w:lang w:val="lt-LT"/>
        </w:rPr>
        <w:t>Techninė pagalba</w:t>
      </w:r>
    </w:p>
    <w:p w14:paraId="69729CE6" w14:textId="77777777" w:rsidR="00451BC7" w:rsidRPr="00E649A6" w:rsidRDefault="00451BC7" w:rsidP="00451BC7">
      <w:pPr>
        <w:keepNext/>
        <w:jc w:val="both"/>
        <w:rPr>
          <w:rFonts w:ascii="Georgia" w:hAnsi="Georgia"/>
          <w:sz w:val="20"/>
          <w:szCs w:val="20"/>
          <w:lang w:val="lt-LT"/>
        </w:rPr>
      </w:pPr>
      <w:r w:rsidRPr="00E649A6">
        <w:rPr>
          <w:rFonts w:ascii="Georgia" w:hAnsi="Georgia"/>
          <w:sz w:val="20"/>
          <w:szCs w:val="20"/>
          <w:lang w:val="lt-LT"/>
        </w:rPr>
        <w:t>Techninė pagalba nurodoma kaip vienas svarbiausių energijos efektyvumo ir atsinaujinančių energijos išteklių projektų sėkmės elementų.</w:t>
      </w:r>
    </w:p>
    <w:p w14:paraId="6CFA0F26" w14:textId="77777777" w:rsidR="00451BC7" w:rsidRPr="00E649A6" w:rsidRDefault="00C83F1B" w:rsidP="00451BC7">
      <w:pPr>
        <w:jc w:val="both"/>
        <w:rPr>
          <w:rFonts w:ascii="Georgia" w:hAnsi="Georgia"/>
          <w:sz w:val="20"/>
          <w:szCs w:val="20"/>
          <w:lang w:val="lt-LT"/>
        </w:rPr>
      </w:pPr>
      <w:r>
        <w:rPr>
          <w:rFonts w:ascii="Georgia" w:hAnsi="Georgia"/>
          <w:sz w:val="20"/>
          <w:szCs w:val="20"/>
          <w:lang w:val="lt-LT"/>
        </w:rPr>
        <w:t>Egzistuoja keli techninės pagalbos teikimo modeliai</w:t>
      </w:r>
      <w:r w:rsidR="00451BC7" w:rsidRPr="00E649A6">
        <w:rPr>
          <w:rFonts w:ascii="Georgia" w:hAnsi="Georgia"/>
          <w:sz w:val="20"/>
          <w:szCs w:val="20"/>
          <w:lang w:val="lt-LT"/>
        </w:rPr>
        <w:t>. Šiuo metu daugumoje miestų plėtros fondų techninė pagalba teikiama išorės institucijų (pvz., BETA Lietuvoje), kadangi miestų plėtros fondų valdytojų funkcijos yra patikėtos komerciniams bankams, kurie neturi reikiamų vidinių techninių išteklių</w:t>
      </w:r>
      <w:r>
        <w:rPr>
          <w:rFonts w:ascii="Georgia" w:hAnsi="Georgia"/>
          <w:sz w:val="20"/>
          <w:szCs w:val="20"/>
          <w:lang w:val="lt-LT"/>
        </w:rPr>
        <w:t xml:space="preserve"> ir pakankamai patirties užtikrinti techninę pagalbą</w:t>
      </w:r>
      <w:r w:rsidR="00451BC7" w:rsidRPr="00E649A6">
        <w:rPr>
          <w:rFonts w:ascii="Georgia" w:hAnsi="Georgia"/>
          <w:sz w:val="20"/>
          <w:szCs w:val="20"/>
          <w:lang w:val="lt-LT"/>
        </w:rPr>
        <w:t>. Tačiau techninę pagalbą taip pat gali teikti institucijos/organizacijos, kurios dalyvauja miestų plėtros fondą valdančiame konsorciume (pvz., „</w:t>
      </w:r>
      <w:r w:rsidR="00451BC7" w:rsidRPr="00E649A6">
        <w:rPr>
          <w:rFonts w:ascii="Georgia" w:hAnsi="Georgia"/>
          <w:i/>
          <w:sz w:val="20"/>
          <w:szCs w:val="20"/>
          <w:lang w:val="lt-LT"/>
        </w:rPr>
        <w:t>Arup</w:t>
      </w:r>
      <w:r w:rsidR="00451BC7" w:rsidRPr="00E649A6">
        <w:rPr>
          <w:rFonts w:ascii="Georgia" w:hAnsi="Georgia"/>
          <w:sz w:val="20"/>
          <w:szCs w:val="20"/>
          <w:lang w:val="lt-LT"/>
        </w:rPr>
        <w:t xml:space="preserve">“ LEEF atveju) arba miestų plėtros fondų valdytojai, kurie turi pakankamus techninius išteklius. </w:t>
      </w:r>
    </w:p>
    <w:p w14:paraId="50241EB6"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Nebūtinai viena institucija turi būti atsakinga už techninės pagalbos teikimą visuose lygiuose. Atsakingos institucijos turėtų aktyviai bendradarbiauti su nacionalinėmis energetikos agentūromis, nepriklausomomis akredituotomis energijos auditorių įmonėmis, vietiniais konsultantais ir kitomis institucijomis ir organizacijomis, kurios galėtų padėti užtikrinti reikalingą techninę paramą </w:t>
      </w:r>
      <w:r>
        <w:rPr>
          <w:rFonts w:ascii="Georgia" w:hAnsi="Georgia"/>
          <w:sz w:val="20"/>
          <w:szCs w:val="20"/>
          <w:lang w:val="lt-LT"/>
        </w:rPr>
        <w:t xml:space="preserve">finansiniams tarpininkams ir </w:t>
      </w:r>
      <w:r w:rsidRPr="00E649A6">
        <w:rPr>
          <w:rFonts w:ascii="Georgia" w:hAnsi="Georgia"/>
          <w:sz w:val="20"/>
          <w:szCs w:val="20"/>
          <w:lang w:val="lt-LT"/>
        </w:rPr>
        <w:t xml:space="preserve">galutiniams naudos gavėjams. Atsižvelgiant į konkrečią situaciją, </w:t>
      </w:r>
      <w:r w:rsidRPr="00E649A6">
        <w:rPr>
          <w:rFonts w:ascii="Georgia" w:hAnsi="Georgia"/>
          <w:sz w:val="20"/>
          <w:szCs w:val="20"/>
          <w:lang w:val="lt-LT"/>
        </w:rPr>
        <w:lastRenderedPageBreak/>
        <w:t>funkcijos turėtų būti priskirtos institucijoms ir organizacijoms pagal jų kompetencijos sritis ir išteklius.</w:t>
      </w:r>
    </w:p>
    <w:p w14:paraId="14BB1A57" w14:textId="77777777" w:rsidR="00451BC7" w:rsidRPr="00E649A6" w:rsidRDefault="00451BC7" w:rsidP="00451BC7">
      <w:pPr>
        <w:jc w:val="both"/>
        <w:rPr>
          <w:rFonts w:ascii="Georgia" w:hAnsi="Georgia"/>
          <w:sz w:val="20"/>
          <w:szCs w:val="20"/>
          <w:lang w:val="lt-LT"/>
        </w:rPr>
      </w:pPr>
      <w:r w:rsidRPr="00900E09">
        <w:rPr>
          <w:rFonts w:ascii="Georgia" w:hAnsi="Georgia"/>
          <w:sz w:val="20"/>
          <w:szCs w:val="20"/>
          <w:lang w:val="lt-LT"/>
        </w:rPr>
        <w:t>JESSICA KF 3-iojo kvietimo finansiniams tarpininkams atrinkti reikalavimuose buvo nustatytas techninės pagalbos teikimas projektams (t.y. aukštosioms mokykloms ar profesinio mokymo įstaigoms). Kadangi techninės pagalbos teikimas šiems projektams apėmė tokias veiklas, kurios nėra tipinės komercinio banko veiklos (pavyzdžiui, viešųjų pirkimų priežiūra, dokumentacijos parengimas, statybų priežiūra), komerciniai bankai, dalyvavę finansinio tarpininko atrankoje pagal 3-iąjį kvietimą, nebuvo suinteresuoti teikti techninę pagalbą projektams ir prisiimti papildomų funkcijų. Atsižvelgiant į tai, po ilgų derybų su komerciniais bankais finansavimo sutartis buvo pasirašyta su VIPA, kuri kaip valstybės įsteigta finansų įstaiga buvo suinteresuota ir pajėgi užtikrinti techninės pagalbos teikimą.</w:t>
      </w:r>
    </w:p>
    <w:p w14:paraId="68EE367F"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Įvertinus 2007-2013 m. </w:t>
      </w:r>
      <w:r w:rsidR="00C83F1B">
        <w:rPr>
          <w:rFonts w:ascii="Georgia" w:hAnsi="Georgia"/>
          <w:sz w:val="20"/>
          <w:szCs w:val="20"/>
          <w:lang w:val="lt-LT"/>
        </w:rPr>
        <w:t>periodo</w:t>
      </w:r>
      <w:r w:rsidRPr="00E649A6">
        <w:rPr>
          <w:rFonts w:ascii="Georgia" w:hAnsi="Georgia"/>
          <w:sz w:val="20"/>
          <w:szCs w:val="20"/>
          <w:lang w:val="lt-LT"/>
        </w:rPr>
        <w:t xml:space="preserve"> patirtį galima teigti, jog techninės pagalbos poreikis išlieka aktualus visuose įgyvendinimo ciklo etapuose (tiek finansinių priemonių, tiek konkrečių projektų lygiu), nuo inicijavimo iki užbaigimo ir tolimesnės stebėsenos.</w:t>
      </w:r>
    </w:p>
    <w:p w14:paraId="15AD9D80"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Žmogiškųjų išteklių gebėjimų stiprinimas buvo aktualus visoms finansinių priemonių įgyvendinime dalyvaujančioms šalims, įskaitant nacionalines valdžios institucijas, vadovaujančias institucijas, konkrečių projektų rengėjus ir t. t. Pavyzdžiui, dalis projektų buvo nepakankamai išbaigti </w:t>
      </w:r>
      <w:r>
        <w:rPr>
          <w:rFonts w:ascii="Georgia" w:hAnsi="Georgia"/>
          <w:sz w:val="20"/>
          <w:szCs w:val="20"/>
          <w:lang w:val="lt-LT"/>
        </w:rPr>
        <w:t>todėl</w:t>
      </w:r>
      <w:r w:rsidRPr="00E649A6">
        <w:rPr>
          <w:rFonts w:ascii="Georgia" w:hAnsi="Georgia"/>
          <w:sz w:val="20"/>
          <w:szCs w:val="20"/>
          <w:lang w:val="lt-LT"/>
        </w:rPr>
        <w:t xml:space="preserve">, </w:t>
      </w:r>
      <w:r>
        <w:rPr>
          <w:rFonts w:ascii="Georgia" w:hAnsi="Georgia"/>
          <w:sz w:val="20"/>
          <w:szCs w:val="20"/>
          <w:lang w:val="lt-LT"/>
        </w:rPr>
        <w:t xml:space="preserve">kad </w:t>
      </w:r>
      <w:r w:rsidRPr="00E649A6">
        <w:rPr>
          <w:rFonts w:ascii="Georgia" w:hAnsi="Georgia"/>
          <w:sz w:val="20"/>
          <w:szCs w:val="20"/>
          <w:lang w:val="lt-LT"/>
        </w:rPr>
        <w:t xml:space="preserve">savivaldybės neturėjo pakankamų gebėjimų paruošti tinkamus projektus ir užtikrinti, kad </w:t>
      </w:r>
      <w:r>
        <w:rPr>
          <w:rFonts w:ascii="Georgia" w:hAnsi="Georgia"/>
          <w:sz w:val="20"/>
          <w:szCs w:val="20"/>
          <w:lang w:val="lt-LT"/>
        </w:rPr>
        <w:t>būtų pasirengta</w:t>
      </w:r>
      <w:r w:rsidRPr="00E649A6">
        <w:rPr>
          <w:rFonts w:ascii="Georgia" w:hAnsi="Georgia"/>
          <w:sz w:val="20"/>
          <w:szCs w:val="20"/>
          <w:lang w:val="lt-LT"/>
        </w:rPr>
        <w:t xml:space="preserve"> investicijoms. Žinių stoka galėtų būti sprendžiama organizuojant atsakingų institucijų darbuotojų mokymus i</w:t>
      </w:r>
      <w:r>
        <w:rPr>
          <w:rFonts w:ascii="Georgia" w:hAnsi="Georgia"/>
          <w:sz w:val="20"/>
          <w:szCs w:val="20"/>
          <w:lang w:val="lt-LT"/>
        </w:rPr>
        <w:t>r informacijos jų tarpe sklaidą.</w:t>
      </w:r>
    </w:p>
    <w:p w14:paraId="407FF88A"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Techninei pagalbai teikti gali būti pasinaudojama ELENA ištekliais arba </w:t>
      </w:r>
      <w:r>
        <w:rPr>
          <w:rFonts w:ascii="Georgia" w:hAnsi="Georgia"/>
          <w:sz w:val="20"/>
          <w:szCs w:val="20"/>
          <w:lang w:val="lt-LT"/>
        </w:rPr>
        <w:t>ESI fondų</w:t>
      </w:r>
      <w:r w:rsidRPr="00E649A6">
        <w:rPr>
          <w:rFonts w:ascii="Georgia" w:hAnsi="Georgia"/>
          <w:sz w:val="20"/>
          <w:szCs w:val="20"/>
          <w:lang w:val="lt-LT"/>
        </w:rPr>
        <w:t xml:space="preserve"> lėšomis.</w:t>
      </w:r>
    </w:p>
    <w:p w14:paraId="086E9316" w14:textId="77777777" w:rsidR="00451BC7" w:rsidRPr="00E649A6" w:rsidRDefault="00451BC7" w:rsidP="00451BC7">
      <w:pPr>
        <w:jc w:val="both"/>
        <w:rPr>
          <w:rFonts w:ascii="Georgia" w:hAnsi="Georgia"/>
          <w:sz w:val="20"/>
          <w:szCs w:val="20"/>
          <w:lang w:val="lt-LT"/>
        </w:rPr>
      </w:pPr>
      <w:r w:rsidRPr="00E649A6">
        <w:rPr>
          <w:rFonts w:ascii="Georgia" w:hAnsi="Georgia"/>
          <w:i/>
          <w:sz w:val="20"/>
          <w:szCs w:val="20"/>
          <w:lang w:val="lt-LT"/>
        </w:rPr>
        <w:t>Viešinimo veiklos</w:t>
      </w:r>
      <w:r w:rsidRPr="00E649A6">
        <w:rPr>
          <w:rFonts w:ascii="Georgia" w:hAnsi="Georgia"/>
          <w:sz w:val="20"/>
          <w:szCs w:val="20"/>
          <w:lang w:val="lt-LT"/>
        </w:rPr>
        <w:t xml:space="preserve"> </w:t>
      </w:r>
    </w:p>
    <w:p w14:paraId="150D7B60"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Nuo tinkamai parinktų ir įgyvendintų rinkodaros ir viešinimo veiklų ženkliai priklauso konkrečios finansinės priemonės įgyvendinimo sėkmė. Tinkama viešinimo kampanija padeda užtikrinti </w:t>
      </w:r>
      <w:r w:rsidR="00C83F1B">
        <w:rPr>
          <w:rFonts w:ascii="Georgia" w:hAnsi="Georgia"/>
          <w:sz w:val="20"/>
          <w:szCs w:val="20"/>
          <w:lang w:val="lt-LT"/>
        </w:rPr>
        <w:t xml:space="preserve">projektų vykdytojų pasitikėjimą, informacijos sklaidą, gerosios praktikos pavyzdžių viešinimą, todėl generuojamas stabilus projektų srautas. </w:t>
      </w:r>
      <w:r w:rsidRPr="00E649A6">
        <w:rPr>
          <w:rFonts w:ascii="Georgia" w:hAnsi="Georgia"/>
          <w:sz w:val="20"/>
          <w:szCs w:val="20"/>
          <w:lang w:val="lt-LT"/>
        </w:rPr>
        <w:t>Viešinimo veiklos ypač svarbios tiems miestų plėtros fondams, kurie investuoja į energijos efektyvumą būstuose, kadangi jų tikslinė grupė yra labai plati ir sėkmė didžiąja dalimi priklauso nuo pritrauktų klientų skaičiaus.</w:t>
      </w:r>
    </w:p>
    <w:p w14:paraId="4142D72F" w14:textId="77777777" w:rsidR="00451BC7" w:rsidRPr="00E649A6" w:rsidRDefault="00451BC7" w:rsidP="00451BC7">
      <w:pPr>
        <w:jc w:val="both"/>
        <w:rPr>
          <w:rFonts w:ascii="Georgia" w:hAnsi="Georgia"/>
          <w:sz w:val="20"/>
          <w:szCs w:val="20"/>
          <w:lang w:val="lt-LT"/>
        </w:rPr>
      </w:pPr>
      <w:r>
        <w:rPr>
          <w:rFonts w:ascii="Georgia" w:hAnsi="Georgia"/>
          <w:sz w:val="20"/>
          <w:szCs w:val="20"/>
          <w:lang w:val="lt-LT"/>
        </w:rPr>
        <w:t>Rekomenduojama</w:t>
      </w:r>
      <w:r w:rsidRPr="00E649A6">
        <w:rPr>
          <w:rFonts w:ascii="Georgia" w:hAnsi="Georgia"/>
          <w:sz w:val="20"/>
          <w:szCs w:val="20"/>
          <w:lang w:val="lt-LT"/>
        </w:rPr>
        <w:t xml:space="preserve"> praktika, kai fondų valdytojai skirtingiems finansiniams produktams kuria skirtingus prekės ženklus ir taiko strategijas, kurios labiausiai atitinka konkrečių produktų turinį.</w:t>
      </w:r>
    </w:p>
    <w:p w14:paraId="3C460097" w14:textId="77777777" w:rsidR="00451BC7" w:rsidRPr="00E649A6" w:rsidRDefault="00451BC7" w:rsidP="00451BC7">
      <w:pPr>
        <w:jc w:val="both"/>
        <w:rPr>
          <w:rFonts w:ascii="Georgia" w:hAnsi="Georgia"/>
          <w:sz w:val="20"/>
          <w:szCs w:val="20"/>
          <w:lang w:val="lt-LT"/>
        </w:rPr>
      </w:pPr>
      <w:r w:rsidRPr="00E649A6">
        <w:rPr>
          <w:rFonts w:ascii="Georgia" w:hAnsi="Georgia"/>
          <w:i/>
          <w:sz w:val="20"/>
          <w:szCs w:val="20"/>
          <w:lang w:val="lt-LT"/>
        </w:rPr>
        <w:t>Stebėsena</w:t>
      </w:r>
    </w:p>
    <w:p w14:paraId="64916484"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Finansinių priemonių įgyvendinimo stebėsena yra sudėtingas procesas, reikalaujantis apgalvoto rodiklių, kurie geriausiai iliustruotų fondo teikiamą naudą, pasirinkimo. </w:t>
      </w:r>
    </w:p>
    <w:p w14:paraId="38C9F69E"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2007-2013 m. </w:t>
      </w:r>
      <w:r w:rsidR="00132D6F">
        <w:rPr>
          <w:rFonts w:ascii="Georgia" w:hAnsi="Georgia"/>
          <w:sz w:val="20"/>
          <w:szCs w:val="20"/>
          <w:lang w:val="lt-LT"/>
        </w:rPr>
        <w:t xml:space="preserve">periodu </w:t>
      </w:r>
      <w:r>
        <w:rPr>
          <w:rFonts w:ascii="Georgia" w:hAnsi="Georgia"/>
          <w:sz w:val="20"/>
          <w:szCs w:val="20"/>
          <w:lang w:val="lt-LT"/>
        </w:rPr>
        <w:t>ESI</w:t>
      </w:r>
      <w:r w:rsidRPr="00E649A6">
        <w:rPr>
          <w:rFonts w:ascii="Georgia" w:hAnsi="Georgia"/>
          <w:sz w:val="20"/>
          <w:szCs w:val="20"/>
          <w:lang w:val="lt-LT"/>
        </w:rPr>
        <w:t xml:space="preserve"> fondų programose trūko rodiklių, kurie būtų tinkami finansinių priemonių stebėsenai, nebuvo takoskyros tarp finansinių priemonių ir subsidijų rodiklių.</w:t>
      </w:r>
    </w:p>
    <w:p w14:paraId="3706DCFF"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Energijos efektyvumo projektuose stebėsenos sistema rodiklių pagalba turėtų leisti įvertinti projekto techninę pažangą, energijos sutaupymus po projekto įgyvendinimo bei finansinę finansinių priemonės veiklos pažangą. Visose grupėse svarbu nustatyti pradines identifikuotų rodiklių reikšmes.</w:t>
      </w:r>
    </w:p>
    <w:p w14:paraId="1D58F50F" w14:textId="77777777" w:rsidR="00451BC7" w:rsidRPr="00E649A6" w:rsidRDefault="00451BC7" w:rsidP="00451BC7">
      <w:pPr>
        <w:jc w:val="both"/>
        <w:rPr>
          <w:rFonts w:ascii="Georgia" w:hAnsi="Georgia"/>
          <w:sz w:val="20"/>
          <w:szCs w:val="20"/>
          <w:lang w:val="lt-LT"/>
        </w:rPr>
      </w:pPr>
      <w:r>
        <w:rPr>
          <w:rFonts w:ascii="Georgia" w:hAnsi="Georgia"/>
          <w:sz w:val="20"/>
          <w:szCs w:val="20"/>
          <w:lang w:val="lt-LT"/>
        </w:rPr>
        <w:t>G</w:t>
      </w:r>
      <w:r w:rsidRPr="00E649A6">
        <w:rPr>
          <w:rFonts w:ascii="Georgia" w:hAnsi="Georgia"/>
          <w:sz w:val="20"/>
          <w:szCs w:val="20"/>
          <w:lang w:val="lt-LT"/>
        </w:rPr>
        <w:t>eroji praktika identifikuo</w:t>
      </w:r>
      <w:r>
        <w:rPr>
          <w:rFonts w:ascii="Georgia" w:hAnsi="Georgia"/>
          <w:sz w:val="20"/>
          <w:szCs w:val="20"/>
          <w:lang w:val="lt-LT"/>
        </w:rPr>
        <w:t>ja</w:t>
      </w:r>
      <w:r w:rsidRPr="00E649A6">
        <w:rPr>
          <w:rFonts w:ascii="Georgia" w:hAnsi="Georgia"/>
          <w:sz w:val="20"/>
          <w:szCs w:val="20"/>
          <w:lang w:val="lt-LT"/>
        </w:rPr>
        <w:t xml:space="preserve"> platesnio socialinio ir ekonominio poveikio matavimo rodikli</w:t>
      </w:r>
      <w:r>
        <w:rPr>
          <w:rFonts w:ascii="Georgia" w:hAnsi="Georgia"/>
          <w:sz w:val="20"/>
          <w:szCs w:val="20"/>
          <w:lang w:val="lt-LT"/>
        </w:rPr>
        <w:t>us</w:t>
      </w:r>
      <w:r w:rsidRPr="00E649A6">
        <w:rPr>
          <w:rFonts w:ascii="Georgia" w:hAnsi="Georgia"/>
          <w:sz w:val="20"/>
          <w:szCs w:val="20"/>
          <w:lang w:val="lt-LT"/>
        </w:rPr>
        <w:t>, pavyzdžiui, sumažinto degalų skurdo</w:t>
      </w:r>
      <w:r>
        <w:rPr>
          <w:rStyle w:val="Puslapioinaosnuoroda"/>
          <w:rFonts w:ascii="Georgia" w:hAnsi="Georgia"/>
          <w:sz w:val="20"/>
          <w:szCs w:val="20"/>
          <w:lang w:val="lt-LT"/>
        </w:rPr>
        <w:footnoteReference w:id="160"/>
      </w:r>
      <w:r w:rsidRPr="00E649A6">
        <w:rPr>
          <w:rFonts w:ascii="Georgia" w:hAnsi="Georgia"/>
          <w:sz w:val="20"/>
          <w:szCs w:val="20"/>
          <w:lang w:val="lt-LT"/>
        </w:rPr>
        <w:t xml:space="preserve"> arba sukurtų darbo vietų skaičiaus ir pan.</w:t>
      </w:r>
      <w:r>
        <w:rPr>
          <w:rFonts w:ascii="Georgia" w:hAnsi="Georgia"/>
          <w:sz w:val="20"/>
          <w:szCs w:val="20"/>
          <w:lang w:val="lt-LT"/>
        </w:rPr>
        <w:t xml:space="preserve"> kurie</w:t>
      </w:r>
      <w:r w:rsidRPr="00E649A6">
        <w:rPr>
          <w:rFonts w:ascii="Georgia" w:hAnsi="Georgia"/>
          <w:sz w:val="20"/>
          <w:szCs w:val="20"/>
          <w:lang w:val="lt-LT"/>
        </w:rPr>
        <w:t xml:space="preserve"> įtraukia</w:t>
      </w:r>
      <w:r>
        <w:rPr>
          <w:rFonts w:ascii="Georgia" w:hAnsi="Georgia"/>
          <w:sz w:val="20"/>
          <w:szCs w:val="20"/>
          <w:lang w:val="lt-LT"/>
        </w:rPr>
        <w:t>mi</w:t>
      </w:r>
      <w:r w:rsidRPr="00E649A6">
        <w:rPr>
          <w:rFonts w:ascii="Georgia" w:hAnsi="Georgia"/>
          <w:sz w:val="20"/>
          <w:szCs w:val="20"/>
          <w:lang w:val="lt-LT"/>
        </w:rPr>
        <w:t xml:space="preserve"> į miestų plėtros fondų veiklos stebėsenos sistemą. Kita vertus, tokie rodikliai ne visada yra matuojami </w:t>
      </w:r>
      <w:r w:rsidRPr="00E649A6">
        <w:rPr>
          <w:rFonts w:ascii="Georgia" w:hAnsi="Georgia"/>
          <w:sz w:val="20"/>
          <w:szCs w:val="20"/>
          <w:lang w:val="lt-LT"/>
        </w:rPr>
        <w:lastRenderedPageBreak/>
        <w:t>regionų lygiu, todėl jų sekimas gali pareikalaut</w:t>
      </w:r>
      <w:r>
        <w:rPr>
          <w:rFonts w:ascii="Georgia" w:hAnsi="Georgia"/>
          <w:sz w:val="20"/>
          <w:szCs w:val="20"/>
          <w:lang w:val="lt-LT"/>
        </w:rPr>
        <w:t>i papildomų finansinių išteklių, o tokių rodiklių vertinimas sudėtingas.</w:t>
      </w:r>
    </w:p>
    <w:p w14:paraId="78BE12CB" w14:textId="77777777" w:rsidR="00451BC7" w:rsidRPr="00E649A6" w:rsidRDefault="00451BC7" w:rsidP="00451BC7">
      <w:pPr>
        <w:jc w:val="both"/>
        <w:rPr>
          <w:rFonts w:ascii="Georgia" w:hAnsi="Georgia"/>
          <w:sz w:val="20"/>
          <w:szCs w:val="20"/>
          <w:lang w:val="lt-LT"/>
        </w:rPr>
      </w:pPr>
      <w:r>
        <w:rPr>
          <w:rFonts w:ascii="Georgia" w:hAnsi="Georgia"/>
          <w:sz w:val="20"/>
          <w:szCs w:val="20"/>
          <w:lang w:val="lt-LT"/>
        </w:rPr>
        <w:t>Rekomenduotina</w:t>
      </w:r>
      <w:r w:rsidRPr="00E649A6">
        <w:rPr>
          <w:rFonts w:ascii="Georgia" w:hAnsi="Georgia"/>
          <w:sz w:val="20"/>
          <w:szCs w:val="20"/>
          <w:lang w:val="lt-LT"/>
        </w:rPr>
        <w:t xml:space="preserve"> praktika yra fondų valdytojų vykdoma kokybės kontrolės peržiūra, atsižvelgiant į bendrus projekto stebėsenos ir vertinimo procesus, pavyzdžiui, užtikrinant, kad įgyvendinamo projekto išlaidos atitiks prognozes</w:t>
      </w:r>
      <w:r>
        <w:rPr>
          <w:rFonts w:ascii="Georgia" w:hAnsi="Georgia"/>
          <w:sz w:val="20"/>
          <w:szCs w:val="20"/>
          <w:lang w:val="lt-LT"/>
        </w:rPr>
        <w:t>,</w:t>
      </w:r>
      <w:r w:rsidRPr="00E649A6">
        <w:rPr>
          <w:rFonts w:ascii="Georgia" w:hAnsi="Georgia"/>
          <w:sz w:val="20"/>
          <w:szCs w:val="20"/>
          <w:lang w:val="lt-LT"/>
        </w:rPr>
        <w:t xml:space="preserve"> </w:t>
      </w:r>
      <w:r>
        <w:rPr>
          <w:rFonts w:ascii="Georgia" w:hAnsi="Georgia"/>
          <w:sz w:val="20"/>
          <w:szCs w:val="20"/>
          <w:lang w:val="lt-LT"/>
        </w:rPr>
        <w:t>o</w:t>
      </w:r>
      <w:r w:rsidRPr="00E649A6">
        <w:rPr>
          <w:rFonts w:ascii="Georgia" w:hAnsi="Georgia"/>
          <w:sz w:val="20"/>
          <w:szCs w:val="20"/>
          <w:lang w:val="lt-LT"/>
        </w:rPr>
        <w:t xml:space="preserve"> </w:t>
      </w:r>
      <w:r>
        <w:rPr>
          <w:rFonts w:ascii="Georgia" w:hAnsi="Georgia"/>
          <w:sz w:val="20"/>
          <w:szCs w:val="20"/>
          <w:lang w:val="lt-LT"/>
        </w:rPr>
        <w:t>darbai</w:t>
      </w:r>
      <w:r w:rsidRPr="00E649A6">
        <w:rPr>
          <w:rFonts w:ascii="Georgia" w:hAnsi="Georgia"/>
          <w:sz w:val="20"/>
          <w:szCs w:val="20"/>
          <w:lang w:val="lt-LT"/>
        </w:rPr>
        <w:t xml:space="preserve"> atitik</w:t>
      </w:r>
      <w:r>
        <w:rPr>
          <w:rFonts w:ascii="Georgia" w:hAnsi="Georgia"/>
          <w:sz w:val="20"/>
          <w:szCs w:val="20"/>
          <w:lang w:val="lt-LT"/>
        </w:rPr>
        <w:t>s</w:t>
      </w:r>
      <w:r w:rsidRPr="00E649A6">
        <w:rPr>
          <w:rFonts w:ascii="Georgia" w:hAnsi="Georgia"/>
          <w:sz w:val="20"/>
          <w:szCs w:val="20"/>
          <w:lang w:val="lt-LT"/>
        </w:rPr>
        <w:t xml:space="preserve"> kokybės reikalavimus.</w:t>
      </w:r>
    </w:p>
    <w:p w14:paraId="2EE3E77D" w14:textId="77777777" w:rsidR="00451BC7" w:rsidRPr="00E649A6" w:rsidRDefault="00451BC7" w:rsidP="00451BC7">
      <w:pPr>
        <w:jc w:val="both"/>
        <w:rPr>
          <w:rFonts w:ascii="Georgia" w:hAnsi="Georgia"/>
          <w:sz w:val="20"/>
          <w:szCs w:val="20"/>
          <w:lang w:val="lt-LT"/>
        </w:rPr>
      </w:pPr>
      <w:r>
        <w:rPr>
          <w:rFonts w:ascii="Georgia" w:hAnsi="Georgia"/>
          <w:sz w:val="20"/>
          <w:szCs w:val="20"/>
          <w:lang w:val="lt-LT"/>
        </w:rPr>
        <w:t>Energijos efektyvumo didinimo projektuose, t</w:t>
      </w:r>
      <w:r w:rsidRPr="00E649A6">
        <w:rPr>
          <w:rFonts w:ascii="Georgia" w:hAnsi="Georgia"/>
          <w:sz w:val="20"/>
          <w:szCs w:val="20"/>
          <w:lang w:val="lt-LT"/>
        </w:rPr>
        <w:t>aip pat turėtų būti įvertintas ir stebėsenos finansinei priemonei baigus aktyvios veiklos etapą poreikis.</w:t>
      </w:r>
    </w:p>
    <w:p w14:paraId="7834760E" w14:textId="77777777" w:rsidR="00451BC7" w:rsidRPr="00E649A6" w:rsidRDefault="00451BC7" w:rsidP="00451BC7">
      <w:pPr>
        <w:jc w:val="both"/>
        <w:rPr>
          <w:rFonts w:ascii="Georgia" w:hAnsi="Georgia"/>
          <w:sz w:val="20"/>
          <w:szCs w:val="20"/>
          <w:lang w:val="lt-LT"/>
        </w:rPr>
      </w:pPr>
      <w:r w:rsidRPr="00E649A6">
        <w:rPr>
          <w:rFonts w:ascii="Georgia" w:hAnsi="Georgia"/>
          <w:i/>
          <w:sz w:val="20"/>
          <w:szCs w:val="20"/>
          <w:lang w:val="lt-LT"/>
        </w:rPr>
        <w:t>Kiti aspektai</w:t>
      </w:r>
      <w:r w:rsidRPr="00E649A6">
        <w:rPr>
          <w:rFonts w:ascii="Georgia" w:hAnsi="Georgia"/>
          <w:sz w:val="20"/>
          <w:szCs w:val="20"/>
          <w:lang w:val="lt-LT"/>
        </w:rPr>
        <w:t xml:space="preserve"> </w:t>
      </w:r>
    </w:p>
    <w:p w14:paraId="0FA1FA83"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Skaidrumas yra svarbus finansinių priemonių veiklos elementas, pvz., aiškūs investavimo kriterijai, pagrįstas administravimo mokestis ir pan.</w:t>
      </w:r>
    </w:p>
    <w:p w14:paraId="54143E25" w14:textId="77777777" w:rsidR="00451BC7" w:rsidRPr="00E649A6" w:rsidRDefault="00451BC7" w:rsidP="00451BC7">
      <w:pPr>
        <w:jc w:val="both"/>
        <w:rPr>
          <w:rFonts w:ascii="Georgia" w:hAnsi="Georgia"/>
          <w:sz w:val="20"/>
          <w:szCs w:val="20"/>
          <w:lang w:val="lt-LT"/>
        </w:rPr>
      </w:pPr>
      <w:r>
        <w:rPr>
          <w:rFonts w:ascii="Georgia" w:hAnsi="Georgia"/>
          <w:sz w:val="20"/>
          <w:szCs w:val="20"/>
          <w:lang w:val="lt-LT"/>
        </w:rPr>
        <w:t>Rekomenduotina</w:t>
      </w:r>
      <w:r w:rsidRPr="00E649A6">
        <w:rPr>
          <w:rFonts w:ascii="Georgia" w:hAnsi="Georgia"/>
          <w:sz w:val="20"/>
          <w:szCs w:val="20"/>
          <w:lang w:val="lt-LT"/>
        </w:rPr>
        <w:t xml:space="preserve"> praktika yra finansuojamų projektų </w:t>
      </w:r>
      <w:r w:rsidR="007A49C1">
        <w:rPr>
          <w:rFonts w:ascii="Georgia" w:hAnsi="Georgia"/>
          <w:sz w:val="20"/>
          <w:szCs w:val="20"/>
          <w:lang w:val="lt-LT"/>
        </w:rPr>
        <w:t>kompleksinis planavimas ir lankstumas</w:t>
      </w:r>
      <w:r w:rsidRPr="00E649A6">
        <w:rPr>
          <w:rFonts w:ascii="Georgia" w:hAnsi="Georgia"/>
          <w:sz w:val="20"/>
          <w:szCs w:val="20"/>
          <w:lang w:val="lt-LT"/>
        </w:rPr>
        <w:t xml:space="preserve">, pavyzdžiui, sporto infrastruktūros kaip integralios miesto plėtros plano dalies įtraukimas. </w:t>
      </w:r>
      <w:r>
        <w:rPr>
          <w:rFonts w:ascii="Georgia" w:hAnsi="Georgia"/>
          <w:sz w:val="20"/>
          <w:szCs w:val="20"/>
          <w:lang w:val="lt-LT"/>
        </w:rPr>
        <w:t>Pažymėtina, jog įgyvendinant finansines priemones pastebimas poreikis</w:t>
      </w:r>
      <w:r w:rsidRPr="00E649A6">
        <w:rPr>
          <w:rFonts w:ascii="Georgia" w:hAnsi="Georgia"/>
          <w:sz w:val="20"/>
          <w:szCs w:val="20"/>
          <w:lang w:val="lt-LT"/>
        </w:rPr>
        <w:t xml:space="preserve"> didesniam lankstumui perkeliant lėšas tarp skirtingų finansinės priemon</w:t>
      </w:r>
      <w:r>
        <w:rPr>
          <w:rFonts w:ascii="Georgia" w:hAnsi="Georgia"/>
          <w:sz w:val="20"/>
          <w:szCs w:val="20"/>
          <w:lang w:val="lt-LT"/>
        </w:rPr>
        <w:t>ių</w:t>
      </w:r>
      <w:r w:rsidRPr="00E649A6">
        <w:rPr>
          <w:rFonts w:ascii="Georgia" w:hAnsi="Georgia"/>
          <w:sz w:val="20"/>
          <w:szCs w:val="20"/>
          <w:lang w:val="lt-LT"/>
        </w:rPr>
        <w:t>.</w:t>
      </w:r>
    </w:p>
    <w:p w14:paraId="27A0E104" w14:textId="77777777" w:rsidR="00451BC7" w:rsidRPr="009E5C05" w:rsidRDefault="00451BC7" w:rsidP="00451BC7">
      <w:pPr>
        <w:pStyle w:val="Pagrindinistekstas"/>
        <w:rPr>
          <w:i/>
          <w:lang w:val="lt-LT"/>
        </w:rPr>
      </w:pPr>
      <w:r w:rsidRPr="009E5C05">
        <w:rPr>
          <w:i/>
          <w:lang w:val="lt-LT"/>
        </w:rPr>
        <w:t>Atvejo studijos</w:t>
      </w:r>
    </w:p>
    <w:p w14:paraId="61E52C8B" w14:textId="77777777" w:rsidR="00451BC7" w:rsidRPr="00E649A6" w:rsidRDefault="00451BC7" w:rsidP="00451BC7">
      <w:pPr>
        <w:jc w:val="both"/>
        <w:rPr>
          <w:rFonts w:ascii="Georgia" w:hAnsi="Georgia"/>
          <w:bCs/>
          <w:sz w:val="20"/>
          <w:szCs w:val="20"/>
          <w:lang w:val="lt-LT"/>
        </w:rPr>
      </w:pPr>
      <w:r w:rsidRPr="00E649A6">
        <w:rPr>
          <w:rFonts w:ascii="Georgia" w:hAnsi="Georgia"/>
          <w:bCs/>
          <w:sz w:val="20"/>
          <w:szCs w:val="20"/>
          <w:lang w:val="lt-LT"/>
        </w:rPr>
        <w:t>Identifikuojant aktualias išmoktas pamokas taip pat buvo atlikta išsami trijų atvej</w:t>
      </w:r>
      <w:r>
        <w:rPr>
          <w:rFonts w:ascii="Georgia" w:hAnsi="Georgia"/>
          <w:bCs/>
          <w:sz w:val="20"/>
          <w:szCs w:val="20"/>
          <w:lang w:val="lt-LT"/>
        </w:rPr>
        <w:t>ų</w:t>
      </w:r>
      <w:r w:rsidRPr="00E649A6">
        <w:rPr>
          <w:rFonts w:ascii="Georgia" w:hAnsi="Georgia"/>
          <w:bCs/>
          <w:sz w:val="20"/>
          <w:szCs w:val="20"/>
          <w:lang w:val="lt-LT"/>
        </w:rPr>
        <w:t xml:space="preserve"> studijų analizė. Analizei buvo pasirinkti JESSICA </w:t>
      </w:r>
      <w:r w:rsidR="007A49C1">
        <w:rPr>
          <w:rFonts w:ascii="Georgia" w:hAnsi="Georgia"/>
          <w:bCs/>
          <w:sz w:val="20"/>
          <w:szCs w:val="20"/>
          <w:lang w:val="lt-LT"/>
        </w:rPr>
        <w:t>KF</w:t>
      </w:r>
      <w:r w:rsidRPr="00E649A6">
        <w:rPr>
          <w:rFonts w:ascii="Georgia" w:hAnsi="Georgia"/>
          <w:bCs/>
          <w:sz w:val="20"/>
          <w:szCs w:val="20"/>
          <w:lang w:val="lt-LT"/>
        </w:rPr>
        <w:t xml:space="preserve"> Lietuvoje, Energijos efektyvumo ir atsinaujinančių išteklių fondas </w:t>
      </w:r>
      <w:r w:rsidRPr="00673081">
        <w:rPr>
          <w:rFonts w:ascii="Georgia" w:hAnsi="Georgia"/>
          <w:bCs/>
          <w:sz w:val="20"/>
          <w:szCs w:val="20"/>
          <w:lang w:val="lt-LT"/>
        </w:rPr>
        <w:t>Bulgarijoje (</w:t>
      </w:r>
      <w:r w:rsidRPr="00673081">
        <w:rPr>
          <w:rFonts w:ascii="Georgia" w:hAnsi="Georgia"/>
          <w:sz w:val="20"/>
          <w:szCs w:val="20"/>
          <w:lang w:val="lt-LT"/>
        </w:rPr>
        <w:t xml:space="preserve">EERSF) </w:t>
      </w:r>
      <w:r w:rsidRPr="00673081">
        <w:rPr>
          <w:rFonts w:ascii="Georgia" w:hAnsi="Georgia"/>
          <w:bCs/>
          <w:sz w:val="20"/>
          <w:szCs w:val="20"/>
          <w:lang w:val="lt-LT"/>
        </w:rPr>
        <w:t>ir Londono energetinio efektyvumo fondas Jungtinėje Karalystėje (LEEF).</w:t>
      </w:r>
    </w:p>
    <w:p w14:paraId="2FEAC563" w14:textId="77777777" w:rsidR="00451BC7" w:rsidRPr="00E649A6" w:rsidRDefault="00451BC7" w:rsidP="00451BC7">
      <w:pPr>
        <w:jc w:val="both"/>
        <w:rPr>
          <w:rFonts w:ascii="Georgia" w:hAnsi="Georgia"/>
          <w:sz w:val="20"/>
          <w:szCs w:val="20"/>
          <w:lang w:val="lt-LT"/>
        </w:rPr>
      </w:pPr>
      <w:r w:rsidRPr="00E649A6">
        <w:rPr>
          <w:rFonts w:ascii="Georgia" w:hAnsi="Georgia"/>
          <w:bCs/>
          <w:sz w:val="20"/>
          <w:szCs w:val="20"/>
          <w:lang w:val="lt-LT"/>
        </w:rPr>
        <w:t xml:space="preserve">Analizė atlikta pagal 2014-2020 m. </w:t>
      </w:r>
      <w:r w:rsidR="007A49C1">
        <w:rPr>
          <w:rFonts w:ascii="Georgia" w:hAnsi="Georgia"/>
          <w:bCs/>
          <w:sz w:val="20"/>
          <w:szCs w:val="20"/>
          <w:lang w:val="lt-LT"/>
        </w:rPr>
        <w:t xml:space="preserve">periodo </w:t>
      </w:r>
      <w:r w:rsidRPr="00E649A6">
        <w:rPr>
          <w:rFonts w:ascii="Georgia" w:hAnsi="Georgia"/>
          <w:bCs/>
          <w:sz w:val="20"/>
          <w:szCs w:val="20"/>
          <w:lang w:val="lt-LT"/>
        </w:rPr>
        <w:t xml:space="preserve">finansinių priemonių </w:t>
      </w:r>
      <w:r w:rsidRPr="007A49C1">
        <w:rPr>
          <w:rFonts w:ascii="Georgia" w:hAnsi="Georgia"/>
          <w:bCs/>
          <w:sz w:val="20"/>
          <w:szCs w:val="20"/>
          <w:lang w:val="lt-LT"/>
        </w:rPr>
        <w:t>ex</w:t>
      </w:r>
      <w:r w:rsidR="007A49C1">
        <w:rPr>
          <w:rFonts w:ascii="Georgia" w:hAnsi="Georgia"/>
          <w:bCs/>
          <w:sz w:val="20"/>
          <w:szCs w:val="20"/>
          <w:lang w:val="lt-LT"/>
        </w:rPr>
        <w:t xml:space="preserve"> </w:t>
      </w:r>
      <w:r w:rsidRPr="007A49C1">
        <w:rPr>
          <w:rFonts w:ascii="Georgia" w:hAnsi="Georgia"/>
          <w:bCs/>
          <w:sz w:val="20"/>
          <w:szCs w:val="20"/>
          <w:lang w:val="lt-LT"/>
        </w:rPr>
        <w:t>ante</w:t>
      </w:r>
      <w:r w:rsidRPr="00E649A6">
        <w:rPr>
          <w:rFonts w:ascii="Georgia" w:hAnsi="Georgia"/>
          <w:bCs/>
          <w:sz w:val="20"/>
          <w:szCs w:val="20"/>
          <w:lang w:val="lt-LT"/>
        </w:rPr>
        <w:t xml:space="preserve"> vertinimo metodikoje rekomenduojamą struktūrą, t. y. valstybės/regiono ekonominis ir politinis kontekstas, f</w:t>
      </w:r>
      <w:r w:rsidRPr="00E649A6">
        <w:rPr>
          <w:rFonts w:ascii="Georgia" w:hAnsi="Georgia"/>
          <w:sz w:val="20"/>
          <w:szCs w:val="20"/>
          <w:lang w:val="lt-LT"/>
        </w:rPr>
        <w:t>inans</w:t>
      </w:r>
      <w:r>
        <w:rPr>
          <w:rFonts w:ascii="Georgia" w:hAnsi="Georgia"/>
          <w:sz w:val="20"/>
          <w:szCs w:val="20"/>
          <w:lang w:val="lt-LT"/>
        </w:rPr>
        <w:t>inės</w:t>
      </w:r>
      <w:r w:rsidRPr="00E649A6">
        <w:rPr>
          <w:rFonts w:ascii="Georgia" w:hAnsi="Georgia"/>
          <w:sz w:val="20"/>
          <w:szCs w:val="20"/>
          <w:lang w:val="lt-LT"/>
        </w:rPr>
        <w:t xml:space="preserve"> </w:t>
      </w:r>
      <w:r>
        <w:rPr>
          <w:rFonts w:ascii="Georgia" w:hAnsi="Georgia"/>
          <w:sz w:val="20"/>
          <w:szCs w:val="20"/>
          <w:lang w:val="lt-LT"/>
        </w:rPr>
        <w:t xml:space="preserve">priemonės </w:t>
      </w:r>
      <w:r w:rsidRPr="00E649A6">
        <w:rPr>
          <w:rFonts w:ascii="Georgia" w:hAnsi="Georgia"/>
          <w:sz w:val="20"/>
          <w:szCs w:val="20"/>
          <w:lang w:val="lt-LT"/>
        </w:rPr>
        <w:t>tikslai, tikslinė rinka, pateikiamas išsamus finansinio produkto aprašymas (finansinio produkto tipas, finansinio produkto sąlygos, tinkami galutiniai naudos gavėjai, įgyvendinančios institucijos, organizacinė finans</w:t>
      </w:r>
      <w:r>
        <w:rPr>
          <w:rFonts w:ascii="Georgia" w:hAnsi="Georgia"/>
          <w:sz w:val="20"/>
          <w:szCs w:val="20"/>
          <w:lang w:val="lt-LT"/>
        </w:rPr>
        <w:t>inės</w:t>
      </w:r>
      <w:r w:rsidRPr="00E649A6">
        <w:rPr>
          <w:rFonts w:ascii="Georgia" w:hAnsi="Georgia"/>
          <w:sz w:val="20"/>
          <w:szCs w:val="20"/>
          <w:lang w:val="lt-LT"/>
        </w:rPr>
        <w:t xml:space="preserve"> </w:t>
      </w:r>
      <w:r>
        <w:rPr>
          <w:rFonts w:ascii="Georgia" w:hAnsi="Georgia"/>
          <w:sz w:val="20"/>
          <w:szCs w:val="20"/>
          <w:lang w:val="lt-LT"/>
        </w:rPr>
        <w:t xml:space="preserve">priemonės </w:t>
      </w:r>
      <w:r w:rsidRPr="00E649A6">
        <w:rPr>
          <w:rFonts w:ascii="Georgia" w:hAnsi="Georgia"/>
          <w:sz w:val="20"/>
          <w:szCs w:val="20"/>
          <w:lang w:val="lt-LT"/>
        </w:rPr>
        <w:t>struktūra, privatiems investuotojams taikomos lengvatos/paskatos, rezultatai), finans</w:t>
      </w:r>
      <w:r>
        <w:rPr>
          <w:rFonts w:ascii="Georgia" w:hAnsi="Georgia"/>
          <w:sz w:val="20"/>
          <w:szCs w:val="20"/>
          <w:lang w:val="lt-LT"/>
        </w:rPr>
        <w:t>inės</w:t>
      </w:r>
      <w:r w:rsidRPr="00E649A6">
        <w:rPr>
          <w:rFonts w:ascii="Georgia" w:hAnsi="Georgia"/>
          <w:sz w:val="20"/>
          <w:szCs w:val="20"/>
          <w:lang w:val="lt-LT"/>
        </w:rPr>
        <w:t xml:space="preserve"> </w:t>
      </w:r>
      <w:r>
        <w:rPr>
          <w:rFonts w:ascii="Georgia" w:hAnsi="Georgia"/>
          <w:sz w:val="20"/>
          <w:szCs w:val="20"/>
          <w:lang w:val="lt-LT"/>
        </w:rPr>
        <w:t xml:space="preserve">priemonės </w:t>
      </w:r>
      <w:r w:rsidRPr="00E649A6">
        <w:rPr>
          <w:rFonts w:ascii="Georgia" w:hAnsi="Georgia"/>
          <w:sz w:val="20"/>
          <w:szCs w:val="20"/>
          <w:lang w:val="lt-LT"/>
        </w:rPr>
        <w:t>indėlis į veiksmų programos tikslų pasiekimą, sėkmės faktoriai, pasiteisinusios idėjos/elementai, problemos, su kuriomis susidurta, didesnio rizikingumo aspektai ir pasiūlymai. Ši informacija pateikiama</w:t>
      </w:r>
      <w:r>
        <w:rPr>
          <w:rFonts w:ascii="Georgia" w:hAnsi="Georgia"/>
          <w:sz w:val="20"/>
          <w:szCs w:val="20"/>
          <w:lang w:val="lt-LT"/>
        </w:rPr>
        <w:t xml:space="preserve"> 3-6</w:t>
      </w:r>
      <w:r w:rsidRPr="00E649A6">
        <w:rPr>
          <w:rFonts w:ascii="Georgia" w:hAnsi="Georgia"/>
          <w:sz w:val="20"/>
          <w:szCs w:val="20"/>
          <w:lang w:val="lt-LT"/>
        </w:rPr>
        <w:t xml:space="preserve"> </w:t>
      </w:r>
      <w:r w:rsidRPr="009E5C05">
        <w:rPr>
          <w:rFonts w:ascii="Georgia" w:hAnsi="Georgia"/>
          <w:sz w:val="20"/>
          <w:szCs w:val="20"/>
          <w:lang w:val="lt-LT"/>
        </w:rPr>
        <w:t>prieduose.</w:t>
      </w:r>
    </w:p>
    <w:p w14:paraId="5CA3283A"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JESSICA </w:t>
      </w:r>
      <w:r w:rsidR="007A49C1">
        <w:rPr>
          <w:rFonts w:ascii="Georgia" w:hAnsi="Georgia"/>
          <w:sz w:val="20"/>
          <w:szCs w:val="20"/>
          <w:lang w:val="lt-LT"/>
        </w:rPr>
        <w:t>KF</w:t>
      </w:r>
      <w:r w:rsidRPr="00E649A6">
        <w:rPr>
          <w:rFonts w:ascii="Georgia" w:hAnsi="Georgia"/>
          <w:sz w:val="20"/>
          <w:szCs w:val="20"/>
          <w:lang w:val="lt-LT"/>
        </w:rPr>
        <w:t xml:space="preserve"> Lietuvoje pasirinktas </w:t>
      </w:r>
      <w:r>
        <w:rPr>
          <w:rFonts w:ascii="Georgia" w:hAnsi="Georgia"/>
          <w:sz w:val="20"/>
          <w:szCs w:val="20"/>
          <w:lang w:val="lt-LT"/>
        </w:rPr>
        <w:t>todėl, kad</w:t>
      </w:r>
      <w:r w:rsidRPr="00E649A6">
        <w:rPr>
          <w:rFonts w:ascii="Georgia" w:hAnsi="Georgia"/>
          <w:sz w:val="20"/>
          <w:szCs w:val="20"/>
          <w:lang w:val="lt-LT"/>
        </w:rPr>
        <w:t xml:space="preserve"> 2014-2020 m. </w:t>
      </w:r>
      <w:r w:rsidR="007A49C1">
        <w:rPr>
          <w:rFonts w:ascii="Georgia" w:hAnsi="Georgia"/>
          <w:sz w:val="20"/>
          <w:szCs w:val="20"/>
          <w:lang w:val="lt-LT"/>
        </w:rPr>
        <w:t>periodo</w:t>
      </w:r>
      <w:r w:rsidRPr="00E649A6">
        <w:rPr>
          <w:rFonts w:ascii="Georgia" w:hAnsi="Georgia"/>
          <w:sz w:val="20"/>
          <w:szCs w:val="20"/>
          <w:lang w:val="lt-LT"/>
        </w:rPr>
        <w:t xml:space="preserve"> finansinės priemonės neišvengiamai pasinaudos dalimi šio fondo sukauptos patirties. </w:t>
      </w:r>
      <w:r>
        <w:rPr>
          <w:rFonts w:ascii="Georgia" w:hAnsi="Georgia"/>
          <w:sz w:val="20"/>
          <w:szCs w:val="20"/>
          <w:lang w:val="lt-LT"/>
        </w:rPr>
        <w:t>Taip pat</w:t>
      </w:r>
      <w:r w:rsidRPr="00E649A6">
        <w:rPr>
          <w:rFonts w:ascii="Georgia" w:hAnsi="Georgia"/>
          <w:sz w:val="20"/>
          <w:szCs w:val="20"/>
          <w:lang w:val="lt-LT"/>
        </w:rPr>
        <w:t xml:space="preserve">, JESSICA </w:t>
      </w:r>
      <w:r w:rsidR="007A49C1">
        <w:rPr>
          <w:rFonts w:ascii="Georgia" w:hAnsi="Georgia"/>
          <w:sz w:val="20"/>
          <w:szCs w:val="20"/>
          <w:lang w:val="lt-LT"/>
        </w:rPr>
        <w:t>KF</w:t>
      </w:r>
      <w:r w:rsidRPr="00E649A6">
        <w:rPr>
          <w:rFonts w:ascii="Georgia" w:hAnsi="Georgia"/>
          <w:sz w:val="20"/>
          <w:szCs w:val="20"/>
          <w:lang w:val="lt-LT"/>
        </w:rPr>
        <w:t xml:space="preserve"> Lietuvoje pavyzdys naudingas dėl specifinių teisinės ir socialinės aplinkos aspektų, kurių nebūtų galima identifikuoti analizuojant kitų valstybių patirtį.</w:t>
      </w:r>
    </w:p>
    <w:p w14:paraId="7A4B1AEC"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EERSF yra įdomus dėl ESCO teikiamų garantijų bei dėl pamokų, kurias galima išmokti iš </w:t>
      </w:r>
      <w:r>
        <w:rPr>
          <w:rFonts w:ascii="Georgia" w:hAnsi="Georgia"/>
          <w:sz w:val="20"/>
          <w:szCs w:val="20"/>
          <w:lang w:val="lt-LT"/>
        </w:rPr>
        <w:t>priemonių</w:t>
      </w:r>
      <w:r w:rsidRPr="00E649A6">
        <w:rPr>
          <w:rFonts w:ascii="Georgia" w:hAnsi="Georgia"/>
          <w:sz w:val="20"/>
          <w:szCs w:val="20"/>
          <w:lang w:val="lt-LT"/>
        </w:rPr>
        <w:t xml:space="preserve">, finansuojamų be struktūrinių fondų pagalbos. Kita priežastis yra ta, jog nepaisant to, kad </w:t>
      </w:r>
      <w:r w:rsidR="007A49C1">
        <w:rPr>
          <w:rFonts w:ascii="Georgia" w:hAnsi="Georgia"/>
          <w:sz w:val="20"/>
          <w:szCs w:val="20"/>
          <w:lang w:val="lt-LT"/>
        </w:rPr>
        <w:t>egzis</w:t>
      </w:r>
      <w:r>
        <w:rPr>
          <w:rFonts w:ascii="Georgia" w:hAnsi="Georgia"/>
          <w:sz w:val="20"/>
          <w:szCs w:val="20"/>
          <w:lang w:val="lt-LT"/>
        </w:rPr>
        <w:t>tuoja</w:t>
      </w:r>
      <w:r w:rsidR="007A49C1">
        <w:rPr>
          <w:rFonts w:ascii="Georgia" w:hAnsi="Georgia"/>
          <w:sz w:val="20"/>
          <w:szCs w:val="20"/>
          <w:lang w:val="lt-LT"/>
        </w:rPr>
        <w:t xml:space="preserve"> energijos sektoriuje veikiantys</w:t>
      </w:r>
      <w:r w:rsidRPr="00E649A6">
        <w:rPr>
          <w:rFonts w:ascii="Georgia" w:hAnsi="Georgia"/>
          <w:sz w:val="20"/>
          <w:szCs w:val="20"/>
          <w:lang w:val="lt-LT"/>
        </w:rPr>
        <w:t xml:space="preserve"> miestų plėtros fond</w:t>
      </w:r>
      <w:r>
        <w:rPr>
          <w:rFonts w:ascii="Georgia" w:hAnsi="Georgia"/>
          <w:sz w:val="20"/>
          <w:szCs w:val="20"/>
          <w:lang w:val="lt-LT"/>
        </w:rPr>
        <w:t>ai</w:t>
      </w:r>
      <w:r w:rsidRPr="00E649A6">
        <w:rPr>
          <w:rFonts w:ascii="Georgia" w:hAnsi="Georgia"/>
          <w:sz w:val="20"/>
          <w:szCs w:val="20"/>
          <w:lang w:val="lt-LT"/>
        </w:rPr>
        <w:t>, fondų, kuriuose jau įgyvendinami projektai, skaičius yra ribotas. Dar mažiau yra fondų ir įgyvendinimo modelių, kurie pasiteisino įgyvendinant energijos efektyvumo sektoriaus projektus ir turėjo realų poveikį diegiant energijos vartojimo efektyvumo ir atsinaujinančiųjų energijos išteklių sprendimus siekiant tvarios miestų plėtros.</w:t>
      </w:r>
    </w:p>
    <w:p w14:paraId="2E54D87B" w14:textId="77777777" w:rsidR="00451BC7" w:rsidRPr="00AC3318" w:rsidRDefault="00451BC7" w:rsidP="00451BC7">
      <w:pPr>
        <w:jc w:val="both"/>
        <w:rPr>
          <w:lang w:val="lt-LT"/>
        </w:rPr>
      </w:pPr>
      <w:r w:rsidRPr="00E649A6">
        <w:rPr>
          <w:rFonts w:ascii="Georgia" w:hAnsi="Georgia"/>
          <w:sz w:val="20"/>
          <w:szCs w:val="20"/>
          <w:lang w:val="lt-LT"/>
        </w:rPr>
        <w:t xml:space="preserve">LEEF pasirinktas </w:t>
      </w:r>
      <w:r>
        <w:rPr>
          <w:rFonts w:ascii="Georgia" w:hAnsi="Georgia"/>
          <w:sz w:val="20"/>
          <w:szCs w:val="20"/>
          <w:lang w:val="lt-LT"/>
        </w:rPr>
        <w:t>todėl, kad</w:t>
      </w:r>
      <w:r w:rsidRPr="00E649A6">
        <w:rPr>
          <w:rFonts w:ascii="Georgia" w:hAnsi="Georgia"/>
          <w:sz w:val="20"/>
          <w:szCs w:val="20"/>
          <w:lang w:val="lt-LT"/>
        </w:rPr>
        <w:t xml:space="preserve"> Jungtinė Karalystė turi bene daugiausiai finansinių priemonių, finansuojamų struktūrinių fondų lėšomis, įgyvendinimo patirties. Priemonės buvo pradėtos įgyvendinti 2000-2006 m. laikotarpiu Škotijoje, Šiaurės Airijoje, Anglijoje ir Velse. Vien Anglijoje ir Velse veikė 21 rizikos kapitalo paskolų fondas, kurie valdė beveik 1 mlrd. </w:t>
      </w:r>
      <w:r>
        <w:rPr>
          <w:rFonts w:ascii="Georgia" w:hAnsi="Georgia"/>
          <w:sz w:val="20"/>
          <w:szCs w:val="20"/>
          <w:lang w:val="lt-LT"/>
        </w:rPr>
        <w:t>eurų</w:t>
      </w:r>
      <w:r w:rsidRPr="00E649A6">
        <w:rPr>
          <w:rFonts w:ascii="Georgia" w:hAnsi="Georgia"/>
          <w:sz w:val="20"/>
          <w:szCs w:val="20"/>
          <w:lang w:val="lt-LT"/>
        </w:rPr>
        <w:t>. Taigi, Jungtinės Karalystės patirtis įdomi dėl sukauptos patirties, kuri gal</w:t>
      </w:r>
      <w:r>
        <w:rPr>
          <w:rFonts w:ascii="Georgia" w:hAnsi="Georgia"/>
          <w:sz w:val="20"/>
          <w:szCs w:val="20"/>
          <w:lang w:val="lt-LT"/>
        </w:rPr>
        <w:t>ėtų</w:t>
      </w:r>
      <w:r w:rsidRPr="00E649A6">
        <w:rPr>
          <w:rFonts w:ascii="Georgia" w:hAnsi="Georgia"/>
          <w:sz w:val="20"/>
          <w:szCs w:val="20"/>
          <w:lang w:val="lt-LT"/>
        </w:rPr>
        <w:t xml:space="preserve"> būti pritaikyta naujoviškoms finansinėms priemonėms. </w:t>
      </w:r>
      <w:r>
        <w:rPr>
          <w:rFonts w:ascii="Georgia" w:hAnsi="Georgia"/>
          <w:sz w:val="20"/>
          <w:szCs w:val="20"/>
          <w:lang w:val="lt-LT"/>
        </w:rPr>
        <w:t>Taip pat</w:t>
      </w:r>
      <w:r w:rsidRPr="00E649A6">
        <w:rPr>
          <w:rFonts w:ascii="Georgia" w:hAnsi="Georgia"/>
          <w:sz w:val="20"/>
          <w:szCs w:val="20"/>
          <w:lang w:val="lt-LT"/>
        </w:rPr>
        <w:t xml:space="preserve">, LEEF buvo vienas pirmųjų miestų plėtros fondų, pradėjusių veikti 2007-2013 m. </w:t>
      </w:r>
      <w:r w:rsidR="007A49C1">
        <w:rPr>
          <w:rFonts w:ascii="Georgia" w:hAnsi="Georgia"/>
          <w:sz w:val="20"/>
          <w:szCs w:val="20"/>
          <w:lang w:val="lt-LT"/>
        </w:rPr>
        <w:t>periodu</w:t>
      </w:r>
      <w:r w:rsidRPr="00E649A6">
        <w:rPr>
          <w:rFonts w:ascii="Georgia" w:hAnsi="Georgia"/>
          <w:sz w:val="20"/>
          <w:szCs w:val="20"/>
          <w:lang w:val="lt-LT"/>
        </w:rPr>
        <w:t xml:space="preserve">, ir yra geras fondo kaip nepriklausomo juridinio asmens steigimo pavyzdys. </w:t>
      </w:r>
      <w:r>
        <w:rPr>
          <w:rFonts w:ascii="Georgia" w:hAnsi="Georgia"/>
          <w:sz w:val="20"/>
          <w:szCs w:val="20"/>
          <w:lang w:val="lt-LT"/>
        </w:rPr>
        <w:t>F</w:t>
      </w:r>
      <w:r w:rsidRPr="00E649A6">
        <w:rPr>
          <w:rFonts w:ascii="Georgia" w:hAnsi="Georgia"/>
          <w:sz w:val="20"/>
          <w:szCs w:val="20"/>
          <w:lang w:val="lt-LT"/>
        </w:rPr>
        <w:t>ondas pasižymi efektyvia valdymo struktūra, kurioje dalyvauja viešos ir privačios institucijos.</w:t>
      </w:r>
    </w:p>
    <w:p w14:paraId="0801AD32" w14:textId="77777777" w:rsidR="00451BC7" w:rsidRPr="00AC3318" w:rsidRDefault="00451BC7" w:rsidP="00451BC7">
      <w:pPr>
        <w:pStyle w:val="Pagrindinistekstas"/>
        <w:rPr>
          <w:i/>
          <w:lang w:val="lt-LT"/>
        </w:rPr>
      </w:pPr>
      <w:r w:rsidRPr="00AC3318">
        <w:rPr>
          <w:i/>
          <w:lang w:val="lt-LT"/>
        </w:rPr>
        <w:lastRenderedPageBreak/>
        <w:t xml:space="preserve">JESSICA </w:t>
      </w:r>
      <w:r w:rsidR="007A49C1">
        <w:rPr>
          <w:i/>
          <w:lang w:val="lt-LT"/>
        </w:rPr>
        <w:t>KF</w:t>
      </w:r>
      <w:r w:rsidRPr="00AC3318">
        <w:rPr>
          <w:i/>
          <w:lang w:val="lt-LT"/>
        </w:rPr>
        <w:t xml:space="preserve"> Lietuvoje</w:t>
      </w:r>
    </w:p>
    <w:p w14:paraId="435E07B8"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JESSICA KF Lietuvoje siekia 1) skatinti daugiabučių namų savininkus atnaujinti (modernizuoti) daugiabučius namus, did</w:t>
      </w:r>
      <w:r>
        <w:rPr>
          <w:rFonts w:ascii="Georgia" w:hAnsi="Georgia"/>
          <w:sz w:val="20"/>
          <w:szCs w:val="20"/>
          <w:lang w:val="lt-LT"/>
        </w:rPr>
        <w:t>inant</w:t>
      </w:r>
      <w:r w:rsidRPr="00E649A6">
        <w:rPr>
          <w:rFonts w:ascii="Georgia" w:hAnsi="Georgia"/>
          <w:sz w:val="20"/>
          <w:szCs w:val="20"/>
          <w:lang w:val="lt-LT"/>
        </w:rPr>
        <w:t xml:space="preserve"> energin</w:t>
      </w:r>
      <w:r>
        <w:rPr>
          <w:rFonts w:ascii="Georgia" w:hAnsi="Georgia"/>
          <w:sz w:val="20"/>
          <w:szCs w:val="20"/>
          <w:lang w:val="lt-LT"/>
        </w:rPr>
        <w:t>į</w:t>
      </w:r>
      <w:r w:rsidRPr="00E649A6">
        <w:rPr>
          <w:rFonts w:ascii="Georgia" w:hAnsi="Georgia"/>
          <w:sz w:val="20"/>
          <w:szCs w:val="20"/>
          <w:lang w:val="lt-LT"/>
        </w:rPr>
        <w:t xml:space="preserve"> jų naudingum</w:t>
      </w:r>
      <w:r>
        <w:rPr>
          <w:rFonts w:ascii="Georgia" w:hAnsi="Georgia"/>
          <w:sz w:val="20"/>
          <w:szCs w:val="20"/>
          <w:lang w:val="lt-LT"/>
        </w:rPr>
        <w:t>ą</w:t>
      </w:r>
      <w:r w:rsidRPr="00E649A6">
        <w:rPr>
          <w:rFonts w:ascii="Georgia" w:hAnsi="Georgia"/>
          <w:sz w:val="20"/>
          <w:szCs w:val="20"/>
          <w:lang w:val="lt-LT"/>
        </w:rPr>
        <w:t>, ir 2) modernizuoti bendrabučius, pastatytus pagal iki 1993 metų galiojusius statybos techninius normatyvus, pagerinti studentų bei mokinių gyvenimo sąlygas, taupyti energiją. Fondas finansuoja lengvatines paskolas, teikiamas kartu su kita valstybės parama. Tinkami galutiniai naudos gavėjai yra butų ir patalpų savininkai, atstovaujami daugiabučio namo bendrojo naudojimo objektų valdytojo, daugiabučio namo bendrojo naudojimo objektų valdytojai, daugiabučių namų savininkų bendrijo</w:t>
      </w:r>
      <w:r>
        <w:rPr>
          <w:rFonts w:ascii="Georgia" w:hAnsi="Georgia"/>
          <w:sz w:val="20"/>
          <w:szCs w:val="20"/>
          <w:lang w:val="lt-LT"/>
        </w:rPr>
        <w:t>s, savivaldybių administracijos, universitetai.</w:t>
      </w:r>
    </w:p>
    <w:p w14:paraId="095AEC4C" w14:textId="77777777" w:rsidR="00451BC7" w:rsidRPr="00E649A6" w:rsidRDefault="00451BC7" w:rsidP="00451BC7">
      <w:pPr>
        <w:jc w:val="both"/>
        <w:rPr>
          <w:rFonts w:ascii="Georgia" w:hAnsi="Georgia"/>
          <w:sz w:val="20"/>
          <w:szCs w:val="20"/>
          <w:lang w:val="lt-LT"/>
        </w:rPr>
      </w:pPr>
      <w:r w:rsidRPr="00E649A6">
        <w:rPr>
          <w:rFonts w:ascii="Georgia" w:hAnsi="Georgia"/>
          <w:i/>
          <w:sz w:val="20"/>
          <w:szCs w:val="20"/>
          <w:lang w:val="lt-LT"/>
        </w:rPr>
        <w:t>Svarbiausios pamokos</w:t>
      </w:r>
    </w:p>
    <w:p w14:paraId="0027D9E8" w14:textId="77777777" w:rsidR="00451BC7" w:rsidRPr="00E649A6" w:rsidRDefault="00451BC7" w:rsidP="00451BC7">
      <w:pPr>
        <w:jc w:val="both"/>
        <w:rPr>
          <w:rFonts w:ascii="Georgia" w:hAnsi="Georgia"/>
          <w:sz w:val="20"/>
          <w:szCs w:val="20"/>
          <w:lang w:val="lt-LT"/>
        </w:rPr>
      </w:pPr>
      <w:r>
        <w:rPr>
          <w:rFonts w:ascii="Georgia" w:hAnsi="Georgia"/>
          <w:sz w:val="20"/>
          <w:szCs w:val="20"/>
          <w:lang w:val="lt-LT"/>
        </w:rPr>
        <w:t>Pradžioje, k</w:t>
      </w:r>
      <w:r w:rsidRPr="00E649A6">
        <w:rPr>
          <w:rFonts w:ascii="Georgia" w:hAnsi="Georgia"/>
          <w:sz w:val="20"/>
          <w:szCs w:val="20"/>
          <w:lang w:val="lt-LT"/>
        </w:rPr>
        <w:t>ai kuriuose projektuose buvo susidurta su žema statybos darbų kokybe – naudojamos kitos medžiagos nei numatyta arba darbai atliekami nekokybiškai. P</w:t>
      </w:r>
      <w:r>
        <w:rPr>
          <w:rFonts w:ascii="Georgia" w:hAnsi="Georgia"/>
          <w:sz w:val="20"/>
          <w:szCs w:val="20"/>
          <w:lang w:val="lt-LT"/>
        </w:rPr>
        <w:t>ažymėtina, kad darbų klaidos ar nekokybiškų medžiagų naudojimo pasekmės</w:t>
      </w:r>
      <w:r w:rsidRPr="00E649A6">
        <w:rPr>
          <w:rFonts w:ascii="Georgia" w:hAnsi="Georgia"/>
          <w:sz w:val="20"/>
          <w:szCs w:val="20"/>
          <w:lang w:val="lt-LT"/>
        </w:rPr>
        <w:t xml:space="preserve"> gali pasireikšti </w:t>
      </w:r>
      <w:r>
        <w:rPr>
          <w:rFonts w:ascii="Georgia" w:hAnsi="Georgia"/>
          <w:sz w:val="20"/>
          <w:szCs w:val="20"/>
          <w:lang w:val="lt-LT"/>
        </w:rPr>
        <w:t xml:space="preserve">net po keleto metų </w:t>
      </w:r>
      <w:r w:rsidRPr="00E649A6">
        <w:rPr>
          <w:rFonts w:ascii="Georgia" w:hAnsi="Georgia"/>
          <w:sz w:val="20"/>
          <w:szCs w:val="20"/>
          <w:lang w:val="lt-LT"/>
        </w:rPr>
        <w:t xml:space="preserve">po darbų priėmimo akto pasirašymo. Be to, dažnai, įgyvendinant projektus, siekiama sutaupyti, todėl projektai yra skaičiuojami pagal minimalius reikalavimus, kurie yra </w:t>
      </w:r>
      <w:r>
        <w:rPr>
          <w:rFonts w:ascii="Georgia" w:hAnsi="Georgia"/>
          <w:sz w:val="20"/>
          <w:szCs w:val="20"/>
          <w:lang w:val="lt-LT"/>
        </w:rPr>
        <w:t>numatyti techniniame plane</w:t>
      </w:r>
      <w:r w:rsidRPr="00E649A6">
        <w:rPr>
          <w:rFonts w:ascii="Georgia" w:hAnsi="Georgia"/>
          <w:sz w:val="20"/>
          <w:szCs w:val="20"/>
          <w:lang w:val="lt-LT"/>
        </w:rPr>
        <w:t xml:space="preserve">. Tai viena iš priežasčių dėl </w:t>
      </w:r>
      <w:r w:rsidR="00DC5D31">
        <w:rPr>
          <w:rFonts w:ascii="Georgia" w:hAnsi="Georgia"/>
          <w:sz w:val="20"/>
          <w:szCs w:val="20"/>
          <w:lang w:val="lt-LT"/>
        </w:rPr>
        <w:t>susidarančio skirtumo</w:t>
      </w:r>
      <w:r w:rsidRPr="00E649A6">
        <w:rPr>
          <w:rFonts w:ascii="Georgia" w:hAnsi="Georgia"/>
          <w:sz w:val="20"/>
          <w:szCs w:val="20"/>
          <w:lang w:val="lt-LT"/>
        </w:rPr>
        <w:t xml:space="preserve"> tarp lūkesčių </w:t>
      </w:r>
      <w:r>
        <w:rPr>
          <w:rFonts w:ascii="Georgia" w:hAnsi="Georgia"/>
          <w:sz w:val="20"/>
          <w:szCs w:val="20"/>
          <w:lang w:val="lt-LT"/>
        </w:rPr>
        <w:t xml:space="preserve">ir </w:t>
      </w:r>
      <w:r w:rsidRPr="00E649A6">
        <w:rPr>
          <w:rFonts w:ascii="Georgia" w:hAnsi="Georgia"/>
          <w:sz w:val="20"/>
          <w:szCs w:val="20"/>
          <w:lang w:val="lt-LT"/>
        </w:rPr>
        <w:t>realių rezultatų įgyvendinus projektą.</w:t>
      </w:r>
    </w:p>
    <w:p w14:paraId="13DF58E6"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Visuomenės pozicija daugiabučių namų atnaujinimo proceso atžvilgiu yra nuosaiki. Gana </w:t>
      </w:r>
      <w:r w:rsidR="00DC5D31">
        <w:rPr>
          <w:rFonts w:ascii="Georgia" w:hAnsi="Georgia"/>
          <w:sz w:val="20"/>
          <w:szCs w:val="20"/>
          <w:lang w:val="lt-LT"/>
        </w:rPr>
        <w:t>saikingą</w:t>
      </w:r>
      <w:r w:rsidRPr="00E649A6">
        <w:rPr>
          <w:rFonts w:ascii="Georgia" w:hAnsi="Georgia"/>
          <w:sz w:val="20"/>
          <w:szCs w:val="20"/>
          <w:lang w:val="lt-LT"/>
        </w:rPr>
        <w:t xml:space="preserve"> lietuvių poziciją daugiausiai lemia neaiški ekonominė situacija ir pinigų stygius, t. y. žmonės nenori investuoti, kai nėra tikri dėl savo finansinės ateities.</w:t>
      </w:r>
    </w:p>
    <w:p w14:paraId="7A622B32"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Pasirinkus finansinės priemonės kūrimą per kontroliuojančiojo fondo valdymo schemą, kūrimo procesas užtrunka ilgiau ir lėšos galutinius naudos gavėjus pasiekia vėliau nei per finansinę priemonę be kontroliuojančiojo fondo. JESSICA </w:t>
      </w:r>
      <w:r w:rsidR="00DC5D31">
        <w:rPr>
          <w:rFonts w:ascii="Georgia" w:hAnsi="Georgia"/>
          <w:sz w:val="20"/>
          <w:szCs w:val="20"/>
          <w:lang w:val="lt-LT"/>
        </w:rPr>
        <w:t>KF</w:t>
      </w:r>
      <w:r w:rsidRPr="00E649A6">
        <w:rPr>
          <w:rFonts w:ascii="Georgia" w:hAnsi="Georgia"/>
          <w:sz w:val="20"/>
          <w:szCs w:val="20"/>
          <w:lang w:val="lt-LT"/>
        </w:rPr>
        <w:t xml:space="preserve"> atveju po finansavimo sutarties dėl kontroliuojančiojo fondo steigimo pasirašymo prireikė 6 mėnesių kol buvo paskelbtas konkursas finansiniams tarpininkams atrinkti, </w:t>
      </w:r>
      <w:r>
        <w:rPr>
          <w:rFonts w:ascii="Georgia" w:hAnsi="Georgia"/>
          <w:sz w:val="20"/>
          <w:szCs w:val="20"/>
          <w:lang w:val="lt-LT"/>
        </w:rPr>
        <w:t xml:space="preserve">ir tik po </w:t>
      </w:r>
      <w:r w:rsidRPr="00E649A6">
        <w:rPr>
          <w:rFonts w:ascii="Georgia" w:hAnsi="Georgia"/>
          <w:sz w:val="20"/>
          <w:szCs w:val="20"/>
          <w:lang w:val="lt-LT"/>
        </w:rPr>
        <w:t xml:space="preserve">metų buvo pasirašyta pirmoji sutartis su finansiniu tarpininku, </w:t>
      </w:r>
      <w:r>
        <w:rPr>
          <w:rFonts w:ascii="Georgia" w:hAnsi="Georgia"/>
          <w:sz w:val="20"/>
          <w:szCs w:val="20"/>
          <w:lang w:val="lt-LT"/>
        </w:rPr>
        <w:t>o po</w:t>
      </w:r>
      <w:r w:rsidRPr="00E649A6">
        <w:rPr>
          <w:rFonts w:ascii="Georgia" w:hAnsi="Georgia"/>
          <w:sz w:val="20"/>
          <w:szCs w:val="20"/>
          <w:lang w:val="lt-LT"/>
        </w:rPr>
        <w:t xml:space="preserve"> pusantrų metų – pasirašyt</w:t>
      </w:r>
      <w:r>
        <w:rPr>
          <w:rFonts w:ascii="Georgia" w:hAnsi="Georgia"/>
          <w:sz w:val="20"/>
          <w:szCs w:val="20"/>
          <w:lang w:val="lt-LT"/>
        </w:rPr>
        <w:t>a</w:t>
      </w:r>
      <w:r w:rsidRPr="00E649A6">
        <w:rPr>
          <w:rFonts w:ascii="Georgia" w:hAnsi="Georgia"/>
          <w:sz w:val="20"/>
          <w:szCs w:val="20"/>
          <w:lang w:val="lt-LT"/>
        </w:rPr>
        <w:t xml:space="preserve"> pirm</w:t>
      </w:r>
      <w:r>
        <w:rPr>
          <w:rFonts w:ascii="Georgia" w:hAnsi="Georgia"/>
          <w:sz w:val="20"/>
          <w:szCs w:val="20"/>
          <w:lang w:val="lt-LT"/>
        </w:rPr>
        <w:t>o</w:t>
      </w:r>
      <w:r w:rsidRPr="00E649A6">
        <w:rPr>
          <w:rFonts w:ascii="Georgia" w:hAnsi="Georgia"/>
          <w:sz w:val="20"/>
          <w:szCs w:val="20"/>
          <w:lang w:val="lt-LT"/>
        </w:rPr>
        <w:t>j</w:t>
      </w:r>
      <w:r>
        <w:rPr>
          <w:rFonts w:ascii="Georgia" w:hAnsi="Georgia"/>
          <w:sz w:val="20"/>
          <w:szCs w:val="20"/>
          <w:lang w:val="lt-LT"/>
        </w:rPr>
        <w:t>i</w:t>
      </w:r>
      <w:r w:rsidRPr="00E649A6">
        <w:rPr>
          <w:rFonts w:ascii="Georgia" w:hAnsi="Georgia"/>
          <w:sz w:val="20"/>
          <w:szCs w:val="20"/>
          <w:lang w:val="lt-LT"/>
        </w:rPr>
        <w:t xml:space="preserve"> paskolos sutart</w:t>
      </w:r>
      <w:r>
        <w:rPr>
          <w:rFonts w:ascii="Georgia" w:hAnsi="Georgia"/>
          <w:sz w:val="20"/>
          <w:szCs w:val="20"/>
          <w:lang w:val="lt-LT"/>
        </w:rPr>
        <w:t>is</w:t>
      </w:r>
      <w:r w:rsidRPr="00E649A6">
        <w:rPr>
          <w:rFonts w:ascii="Georgia" w:hAnsi="Georgia"/>
          <w:sz w:val="20"/>
          <w:szCs w:val="20"/>
          <w:lang w:val="lt-LT"/>
        </w:rPr>
        <w:t xml:space="preserve"> su galutiniu naudos gavėju.</w:t>
      </w:r>
    </w:p>
    <w:p w14:paraId="23201BDA"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2007-2013 m. buvo pirmasis </w:t>
      </w:r>
      <w:r w:rsidR="00DC5D31">
        <w:rPr>
          <w:rFonts w:ascii="Georgia" w:hAnsi="Georgia"/>
          <w:sz w:val="20"/>
          <w:szCs w:val="20"/>
          <w:lang w:val="lt-LT"/>
        </w:rPr>
        <w:t>periodas</w:t>
      </w:r>
      <w:r w:rsidRPr="00E649A6">
        <w:rPr>
          <w:rFonts w:ascii="Georgia" w:hAnsi="Georgia"/>
          <w:sz w:val="20"/>
          <w:szCs w:val="20"/>
          <w:lang w:val="lt-LT"/>
        </w:rPr>
        <w:t>, kurio metu</w:t>
      </w:r>
      <w:r w:rsidR="00DC5D31">
        <w:rPr>
          <w:rFonts w:ascii="Georgia" w:hAnsi="Georgia"/>
          <w:sz w:val="20"/>
          <w:szCs w:val="20"/>
          <w:lang w:val="lt-LT"/>
        </w:rPr>
        <w:t xml:space="preserve"> ES</w:t>
      </w:r>
      <w:r w:rsidRPr="00E649A6">
        <w:rPr>
          <w:rFonts w:ascii="Georgia" w:hAnsi="Georgia"/>
          <w:sz w:val="20"/>
          <w:szCs w:val="20"/>
          <w:lang w:val="lt-LT"/>
        </w:rPr>
        <w:t xml:space="preserve"> buvo taip plačiai įgyvendinamos finansinės priemonės finansuojamos ES</w:t>
      </w:r>
      <w:r>
        <w:rPr>
          <w:rFonts w:ascii="Georgia" w:hAnsi="Georgia"/>
          <w:sz w:val="20"/>
          <w:szCs w:val="20"/>
          <w:lang w:val="lt-LT"/>
        </w:rPr>
        <w:t>I fondų</w:t>
      </w:r>
      <w:r w:rsidRPr="00E649A6">
        <w:rPr>
          <w:rFonts w:ascii="Georgia" w:hAnsi="Georgia"/>
          <w:sz w:val="20"/>
          <w:szCs w:val="20"/>
          <w:lang w:val="lt-LT"/>
        </w:rPr>
        <w:t xml:space="preserve"> lėšomis. Tuo tarpu </w:t>
      </w:r>
      <w:r>
        <w:rPr>
          <w:rFonts w:ascii="Georgia" w:hAnsi="Georgia"/>
          <w:sz w:val="20"/>
          <w:szCs w:val="20"/>
          <w:lang w:val="lt-LT"/>
        </w:rPr>
        <w:t>ESI</w:t>
      </w:r>
      <w:r w:rsidRPr="00E649A6">
        <w:rPr>
          <w:rFonts w:ascii="Georgia" w:hAnsi="Georgia"/>
          <w:sz w:val="20"/>
          <w:szCs w:val="20"/>
          <w:lang w:val="lt-LT"/>
        </w:rPr>
        <w:t xml:space="preserve"> fondų teisinė bazė buvo labiau pritaikyta subsidijoms – ES teisės aktai nepateikė aiškių atsakymų, susijusių su finansini</w:t>
      </w:r>
      <w:r w:rsidR="00DC5D31">
        <w:rPr>
          <w:rFonts w:ascii="Georgia" w:hAnsi="Georgia"/>
          <w:sz w:val="20"/>
          <w:szCs w:val="20"/>
          <w:lang w:val="lt-LT"/>
        </w:rPr>
        <w:t xml:space="preserve">ų priemonių įgyvendinimu, todėl </w:t>
      </w:r>
      <w:r w:rsidRPr="00E649A6">
        <w:rPr>
          <w:rFonts w:ascii="Georgia" w:hAnsi="Georgia"/>
          <w:sz w:val="20"/>
          <w:szCs w:val="20"/>
          <w:lang w:val="lt-LT"/>
        </w:rPr>
        <w:t xml:space="preserve">steigiant JESSICA </w:t>
      </w:r>
      <w:r w:rsidR="00DC5D31">
        <w:rPr>
          <w:rFonts w:ascii="Georgia" w:hAnsi="Georgia"/>
          <w:sz w:val="20"/>
          <w:szCs w:val="20"/>
          <w:lang w:val="lt-LT"/>
        </w:rPr>
        <w:t>KF</w:t>
      </w:r>
      <w:r w:rsidRPr="00E649A6">
        <w:rPr>
          <w:rFonts w:ascii="Georgia" w:hAnsi="Georgia"/>
          <w:sz w:val="20"/>
          <w:szCs w:val="20"/>
          <w:lang w:val="lt-LT"/>
        </w:rPr>
        <w:t xml:space="preserve"> ir vėliau, projektų įgyvendinimo metu, teko aktyviai konsultuotis su Europos Komisija, kitomis institucijomis ir ekspertais, kas reikalavo papildomų laiko sąnaudų.</w:t>
      </w:r>
    </w:p>
    <w:p w14:paraId="21D93B76"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Sukurtos standartinės formos ir pavyzdiniai dokumentai ženkliai prisidėjo prie daugiabučių namų atnaujinimo projektų įgyvendinimo proceso supaprastinimo, patrauklumo ir skaidrumo didinimo. </w:t>
      </w:r>
      <w:r>
        <w:rPr>
          <w:rFonts w:ascii="Georgia" w:hAnsi="Georgia"/>
          <w:sz w:val="20"/>
          <w:szCs w:val="20"/>
          <w:lang w:val="lt-LT"/>
        </w:rPr>
        <w:t>Ypač</w:t>
      </w:r>
      <w:r w:rsidRPr="00E649A6">
        <w:rPr>
          <w:rFonts w:ascii="Georgia" w:hAnsi="Georgia"/>
          <w:sz w:val="20"/>
          <w:szCs w:val="20"/>
          <w:lang w:val="lt-LT"/>
        </w:rPr>
        <w:t xml:space="preserve"> svarbus yra taisyklių</w:t>
      </w:r>
      <w:r w:rsidR="00DC5D31">
        <w:rPr>
          <w:rFonts w:ascii="Georgia" w:hAnsi="Georgia"/>
          <w:sz w:val="20"/>
          <w:szCs w:val="20"/>
          <w:lang w:val="lt-LT"/>
        </w:rPr>
        <w:t xml:space="preserve"> ir teisinės bazės</w:t>
      </w:r>
      <w:r w:rsidRPr="00E649A6">
        <w:rPr>
          <w:rFonts w:ascii="Georgia" w:hAnsi="Georgia"/>
          <w:sz w:val="20"/>
          <w:szCs w:val="20"/>
          <w:lang w:val="lt-LT"/>
        </w:rPr>
        <w:t xml:space="preserve"> pastovumas, kuris didina pasitikėjimą visa daugiabučių atnaujinimo programa. </w:t>
      </w:r>
    </w:p>
    <w:p w14:paraId="25CAD95D" w14:textId="77777777" w:rsidR="00451BC7" w:rsidRPr="00E649A6" w:rsidRDefault="00451BC7" w:rsidP="00451BC7">
      <w:pPr>
        <w:jc w:val="both"/>
        <w:rPr>
          <w:rFonts w:ascii="Georgia" w:hAnsi="Georgia"/>
          <w:sz w:val="20"/>
          <w:szCs w:val="20"/>
          <w:lang w:val="lt-LT"/>
        </w:rPr>
      </w:pPr>
      <w:r>
        <w:rPr>
          <w:rFonts w:ascii="Georgia" w:hAnsi="Georgia"/>
          <w:sz w:val="20"/>
          <w:szCs w:val="20"/>
          <w:lang w:val="lt-LT"/>
        </w:rPr>
        <w:t>Rekomenduotina</w:t>
      </w:r>
      <w:r w:rsidRPr="00E649A6">
        <w:rPr>
          <w:rFonts w:ascii="Georgia" w:hAnsi="Georgia"/>
          <w:sz w:val="20"/>
          <w:szCs w:val="20"/>
          <w:lang w:val="lt-LT"/>
        </w:rPr>
        <w:t xml:space="preserve"> praktika yra parengiamųjų projekto darbų finansavimas sąskaitų apmokėjimo būdu deklaruojant patirtas, bet dar neapmokėtas išlaidas. Taip pat pasiteisino praktika, </w:t>
      </w:r>
      <w:r>
        <w:rPr>
          <w:rFonts w:ascii="Georgia" w:hAnsi="Georgia"/>
          <w:sz w:val="20"/>
          <w:szCs w:val="20"/>
          <w:lang w:val="lt-LT"/>
        </w:rPr>
        <w:t>kai</w:t>
      </w:r>
      <w:r w:rsidRPr="00E649A6">
        <w:rPr>
          <w:rFonts w:ascii="Georgia" w:hAnsi="Georgia"/>
          <w:sz w:val="20"/>
          <w:szCs w:val="20"/>
          <w:lang w:val="lt-LT"/>
        </w:rPr>
        <w:t xml:space="preserve"> daugiabučių namų atnaujinimo projektuose nebuvo taikomas reikalavimas užstatyti turtą, bei </w:t>
      </w:r>
      <w:r>
        <w:rPr>
          <w:rFonts w:ascii="Georgia" w:hAnsi="Georgia"/>
          <w:sz w:val="20"/>
          <w:szCs w:val="20"/>
          <w:lang w:val="lt-LT"/>
        </w:rPr>
        <w:t xml:space="preserve">susiekti </w:t>
      </w:r>
      <w:r w:rsidRPr="00E649A6">
        <w:rPr>
          <w:rFonts w:ascii="Georgia" w:hAnsi="Georgia"/>
          <w:sz w:val="20"/>
          <w:szCs w:val="20"/>
          <w:lang w:val="lt-LT"/>
        </w:rPr>
        <w:t>paskol</w:t>
      </w:r>
      <w:r>
        <w:rPr>
          <w:rFonts w:ascii="Georgia" w:hAnsi="Georgia"/>
          <w:sz w:val="20"/>
          <w:szCs w:val="20"/>
          <w:lang w:val="lt-LT"/>
        </w:rPr>
        <w:t>ą</w:t>
      </w:r>
      <w:r w:rsidRPr="00E649A6">
        <w:rPr>
          <w:rFonts w:ascii="Georgia" w:hAnsi="Georgia"/>
          <w:sz w:val="20"/>
          <w:szCs w:val="20"/>
          <w:lang w:val="lt-LT"/>
        </w:rPr>
        <w:t xml:space="preserve"> su </w:t>
      </w:r>
      <w:r>
        <w:rPr>
          <w:rFonts w:ascii="Georgia" w:hAnsi="Georgia"/>
          <w:sz w:val="20"/>
          <w:szCs w:val="20"/>
          <w:lang w:val="lt-LT"/>
        </w:rPr>
        <w:t>renovuotinu turtu</w:t>
      </w:r>
      <w:r w:rsidRPr="00E649A6">
        <w:rPr>
          <w:rFonts w:ascii="Georgia" w:hAnsi="Georgia"/>
          <w:sz w:val="20"/>
          <w:szCs w:val="20"/>
          <w:lang w:val="lt-LT"/>
        </w:rPr>
        <w:t>.</w:t>
      </w:r>
    </w:p>
    <w:p w14:paraId="720180CD"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Atliekant viešąjį pirkimą per CPO buvo identifikuotas avanso poreikis. Nors teisinėje bazėje ir numatyta galimybė statybinėms įmonėms sumokėti iki 30 proc. avansą, perkant per CPO tokios galimybės nėra. </w:t>
      </w:r>
      <w:r>
        <w:rPr>
          <w:rFonts w:ascii="Georgia" w:hAnsi="Georgia"/>
          <w:sz w:val="20"/>
          <w:szCs w:val="20"/>
          <w:lang w:val="lt-LT"/>
        </w:rPr>
        <w:t>Todėl</w:t>
      </w:r>
      <w:r w:rsidRPr="00E649A6">
        <w:rPr>
          <w:rFonts w:ascii="Georgia" w:hAnsi="Georgia"/>
          <w:sz w:val="20"/>
          <w:szCs w:val="20"/>
          <w:lang w:val="lt-LT"/>
        </w:rPr>
        <w:t xml:space="preserve"> visos statybų sutartys buvo </w:t>
      </w:r>
      <w:r>
        <w:rPr>
          <w:rFonts w:ascii="Georgia" w:hAnsi="Georgia"/>
          <w:sz w:val="20"/>
          <w:szCs w:val="20"/>
          <w:lang w:val="lt-LT"/>
        </w:rPr>
        <w:t xml:space="preserve">perkamos </w:t>
      </w:r>
      <w:r w:rsidRPr="00E649A6">
        <w:rPr>
          <w:rFonts w:ascii="Georgia" w:hAnsi="Georgia"/>
          <w:sz w:val="20"/>
          <w:szCs w:val="20"/>
          <w:lang w:val="lt-LT"/>
        </w:rPr>
        <w:t xml:space="preserve">be avanso, </w:t>
      </w:r>
      <w:r>
        <w:rPr>
          <w:rFonts w:ascii="Georgia" w:hAnsi="Georgia"/>
          <w:sz w:val="20"/>
          <w:szCs w:val="20"/>
          <w:lang w:val="lt-LT"/>
        </w:rPr>
        <w:t>o</w:t>
      </w:r>
      <w:r w:rsidRPr="00E649A6">
        <w:rPr>
          <w:rFonts w:ascii="Georgia" w:hAnsi="Georgia"/>
          <w:sz w:val="20"/>
          <w:szCs w:val="20"/>
          <w:lang w:val="lt-LT"/>
        </w:rPr>
        <w:t xml:space="preserve"> statybininkams trūko apyvartinių lėšų.</w:t>
      </w:r>
    </w:p>
    <w:p w14:paraId="3EB72545"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JESSICA </w:t>
      </w:r>
      <w:r w:rsidR="00DC5D31">
        <w:rPr>
          <w:rFonts w:ascii="Georgia" w:hAnsi="Georgia"/>
          <w:sz w:val="20"/>
          <w:szCs w:val="20"/>
          <w:lang w:val="lt-LT"/>
        </w:rPr>
        <w:t>KF</w:t>
      </w:r>
      <w:r w:rsidRPr="00E649A6">
        <w:rPr>
          <w:rFonts w:ascii="Georgia" w:hAnsi="Georgia"/>
          <w:sz w:val="20"/>
          <w:szCs w:val="20"/>
          <w:lang w:val="lt-LT"/>
        </w:rPr>
        <w:t xml:space="preserve"> sėkmės faktoriai, pasiteisinusios idėjos/elementai, problemos, su </w:t>
      </w:r>
      <w:r w:rsidRPr="00EE2A65">
        <w:rPr>
          <w:rFonts w:ascii="Georgia" w:hAnsi="Georgia"/>
          <w:sz w:val="20"/>
          <w:szCs w:val="20"/>
          <w:lang w:val="lt-LT"/>
        </w:rPr>
        <w:t xml:space="preserve">kuriomis susidurta, </w:t>
      </w:r>
      <w:r>
        <w:rPr>
          <w:rFonts w:ascii="Georgia" w:hAnsi="Georgia"/>
          <w:sz w:val="20"/>
          <w:szCs w:val="20"/>
          <w:lang w:val="lt-LT"/>
        </w:rPr>
        <w:t xml:space="preserve">įvairūs </w:t>
      </w:r>
      <w:r w:rsidRPr="00EE2A65">
        <w:rPr>
          <w:rFonts w:ascii="Georgia" w:hAnsi="Georgia"/>
          <w:sz w:val="20"/>
          <w:szCs w:val="20"/>
          <w:lang w:val="lt-LT"/>
        </w:rPr>
        <w:t xml:space="preserve">rizikingumo aspektai detaliai aptariami </w:t>
      </w:r>
      <w:r>
        <w:rPr>
          <w:rFonts w:ascii="Georgia" w:hAnsi="Georgia"/>
          <w:sz w:val="20"/>
          <w:szCs w:val="20"/>
          <w:lang w:val="lt-LT"/>
        </w:rPr>
        <w:t>3</w:t>
      </w:r>
      <w:r w:rsidRPr="001C01F1">
        <w:rPr>
          <w:rFonts w:ascii="Georgia" w:hAnsi="Georgia"/>
          <w:sz w:val="20"/>
          <w:szCs w:val="20"/>
          <w:lang w:val="lt-LT"/>
        </w:rPr>
        <w:t xml:space="preserve"> priede,</w:t>
      </w:r>
      <w:r w:rsidRPr="00EE2A65">
        <w:rPr>
          <w:rFonts w:ascii="Georgia" w:hAnsi="Georgia"/>
          <w:sz w:val="20"/>
          <w:szCs w:val="20"/>
          <w:lang w:val="lt-LT"/>
        </w:rPr>
        <w:t xml:space="preserve"> </w:t>
      </w:r>
      <w:r>
        <w:rPr>
          <w:rFonts w:ascii="Georgia" w:hAnsi="Georgia"/>
          <w:sz w:val="20"/>
          <w:szCs w:val="20"/>
          <w:lang w:val="lt-LT"/>
        </w:rPr>
        <w:t>taip</w:t>
      </w:r>
      <w:r w:rsidRPr="00EE2A65">
        <w:rPr>
          <w:rFonts w:ascii="Georgia" w:hAnsi="Georgia"/>
          <w:sz w:val="20"/>
          <w:szCs w:val="20"/>
          <w:lang w:val="lt-LT"/>
        </w:rPr>
        <w:t xml:space="preserve"> pat</w:t>
      </w:r>
      <w:r w:rsidRPr="00E649A6">
        <w:rPr>
          <w:rFonts w:ascii="Georgia" w:hAnsi="Georgia"/>
          <w:sz w:val="20"/>
          <w:szCs w:val="20"/>
          <w:lang w:val="lt-LT"/>
        </w:rPr>
        <w:t xml:space="preserve"> pateikti pasiūlymai, kurie galėtų būti aktualūs kuriant finans</w:t>
      </w:r>
      <w:r>
        <w:rPr>
          <w:rFonts w:ascii="Georgia" w:hAnsi="Georgia"/>
          <w:sz w:val="20"/>
          <w:szCs w:val="20"/>
          <w:lang w:val="lt-LT"/>
        </w:rPr>
        <w:t>ines</w:t>
      </w:r>
      <w:r w:rsidRPr="00E649A6">
        <w:rPr>
          <w:rFonts w:ascii="Georgia" w:hAnsi="Georgia"/>
          <w:sz w:val="20"/>
          <w:szCs w:val="20"/>
          <w:lang w:val="lt-LT"/>
        </w:rPr>
        <w:t xml:space="preserve"> </w:t>
      </w:r>
      <w:r>
        <w:rPr>
          <w:rFonts w:ascii="Georgia" w:hAnsi="Georgia"/>
          <w:sz w:val="20"/>
          <w:szCs w:val="20"/>
          <w:lang w:val="lt-LT"/>
        </w:rPr>
        <w:t xml:space="preserve">priemones </w:t>
      </w:r>
      <w:r w:rsidRPr="00E649A6">
        <w:rPr>
          <w:rFonts w:ascii="Georgia" w:hAnsi="Georgia"/>
          <w:sz w:val="20"/>
          <w:szCs w:val="20"/>
          <w:lang w:val="lt-LT"/>
        </w:rPr>
        <w:t xml:space="preserve">2014-2020 m. </w:t>
      </w:r>
      <w:r w:rsidR="00DC5D31">
        <w:rPr>
          <w:rFonts w:ascii="Georgia" w:hAnsi="Georgia"/>
          <w:sz w:val="20"/>
          <w:szCs w:val="20"/>
          <w:lang w:val="lt-LT"/>
        </w:rPr>
        <w:t>periodu</w:t>
      </w:r>
      <w:r w:rsidRPr="00E649A6">
        <w:rPr>
          <w:rFonts w:ascii="Georgia" w:hAnsi="Georgia"/>
          <w:sz w:val="20"/>
          <w:szCs w:val="20"/>
          <w:lang w:val="lt-LT"/>
        </w:rPr>
        <w:t xml:space="preserve"> Lietuvoje.</w:t>
      </w:r>
    </w:p>
    <w:p w14:paraId="131D9805" w14:textId="77777777" w:rsidR="00451BC7" w:rsidRPr="00AC3318" w:rsidRDefault="00451BC7" w:rsidP="00451BC7">
      <w:pPr>
        <w:pStyle w:val="Pagrindinistekstas"/>
        <w:spacing w:before="240"/>
        <w:rPr>
          <w:i/>
          <w:lang w:val="lt-LT"/>
        </w:rPr>
      </w:pPr>
      <w:r w:rsidRPr="00AC3318">
        <w:rPr>
          <w:i/>
          <w:lang w:val="lt-LT"/>
        </w:rPr>
        <w:lastRenderedPageBreak/>
        <w:t>Energijos efektyvumo ir atsinaujinančių išteklių fondas Bulgarijoje</w:t>
      </w:r>
    </w:p>
    <w:p w14:paraId="715DA405"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Šio fondo tik</w:t>
      </w:r>
      <w:r w:rsidRPr="00AC3318">
        <w:rPr>
          <w:rFonts w:ascii="Georgia" w:hAnsi="Georgia"/>
          <w:sz w:val="20"/>
          <w:szCs w:val="20"/>
          <w:lang w:val="lt-LT"/>
        </w:rPr>
        <w:t>s</w:t>
      </w:r>
      <w:r w:rsidRPr="00E649A6">
        <w:rPr>
          <w:rFonts w:ascii="Georgia" w:hAnsi="Georgia"/>
          <w:sz w:val="20"/>
          <w:szCs w:val="20"/>
          <w:lang w:val="lt-LT"/>
        </w:rPr>
        <w:t>las – palengvinti energijos efektyvumo investicijas bei paskatinti energijos efektyvumo sektoriaus rinkos plėtrą ir atsinaujinančių energijos išteklių projektų įgyvendinimą. Fondas teikia paskolas, dalines garantijas ir ESCO portfelines garantijas. Daugiausiai yra investuojama į viešųjų pastatų projektus. Tinkami galutiniai naudos gavėjai yra savivaldybės, verslo įmonės, universitetai, ligoninės ir pan.</w:t>
      </w:r>
    </w:p>
    <w:p w14:paraId="306A5A77" w14:textId="77777777" w:rsidR="00451BC7" w:rsidRPr="00E649A6" w:rsidRDefault="00451BC7" w:rsidP="00451BC7">
      <w:pPr>
        <w:jc w:val="both"/>
        <w:rPr>
          <w:rFonts w:ascii="Georgia" w:hAnsi="Georgia"/>
          <w:sz w:val="20"/>
          <w:szCs w:val="20"/>
          <w:lang w:val="lt-LT"/>
        </w:rPr>
      </w:pPr>
      <w:r w:rsidRPr="00E649A6">
        <w:rPr>
          <w:rFonts w:ascii="Georgia" w:hAnsi="Georgia"/>
          <w:i/>
          <w:sz w:val="20"/>
          <w:szCs w:val="20"/>
          <w:lang w:val="lt-LT"/>
        </w:rPr>
        <w:t>Svarbiausios pamokos</w:t>
      </w:r>
    </w:p>
    <w:p w14:paraId="7B1D4A70" w14:textId="77777777" w:rsidR="00451BC7" w:rsidRPr="00E649A6" w:rsidRDefault="00451BC7" w:rsidP="00451BC7">
      <w:pPr>
        <w:jc w:val="both"/>
        <w:rPr>
          <w:rFonts w:ascii="Georgia" w:hAnsi="Georgia"/>
          <w:sz w:val="20"/>
          <w:szCs w:val="20"/>
          <w:lang w:val="lt-LT"/>
        </w:rPr>
      </w:pPr>
      <w:r>
        <w:rPr>
          <w:rFonts w:ascii="Georgia" w:hAnsi="Georgia"/>
          <w:sz w:val="20"/>
          <w:szCs w:val="20"/>
          <w:lang w:val="lt-LT"/>
        </w:rPr>
        <w:t>Pastebėta, jog s</w:t>
      </w:r>
      <w:r w:rsidRPr="00E649A6">
        <w:rPr>
          <w:rFonts w:ascii="Georgia" w:hAnsi="Georgia"/>
          <w:sz w:val="20"/>
          <w:szCs w:val="20"/>
          <w:lang w:val="lt-LT"/>
        </w:rPr>
        <w:t>iekiant sėkmingai įgyvendinti fond</w:t>
      </w:r>
      <w:r>
        <w:rPr>
          <w:rFonts w:ascii="Georgia" w:hAnsi="Georgia"/>
          <w:sz w:val="20"/>
          <w:szCs w:val="20"/>
          <w:lang w:val="lt-LT"/>
        </w:rPr>
        <w:t>o tikslus</w:t>
      </w:r>
      <w:r w:rsidRPr="00E649A6">
        <w:rPr>
          <w:rFonts w:ascii="Georgia" w:hAnsi="Georgia"/>
          <w:sz w:val="20"/>
          <w:szCs w:val="20"/>
          <w:lang w:val="lt-LT"/>
        </w:rPr>
        <w:t xml:space="preserve"> svarbu tinkamą dėmesį skirti informacijos sklaidos veikloms, taip pat aktyviai bendradarbiauti su tikslinėmis grupėmis, kurioms skirti fondo produktai.</w:t>
      </w:r>
    </w:p>
    <w:p w14:paraId="2DBDA845"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Pastebėtas neigiamas tame pačiame sektoriuje vykdomų viešųjų intervencijų/kitų finansinių </w:t>
      </w:r>
      <w:r>
        <w:rPr>
          <w:rFonts w:ascii="Georgia" w:hAnsi="Georgia"/>
          <w:sz w:val="20"/>
          <w:szCs w:val="20"/>
          <w:lang w:val="lt-LT"/>
        </w:rPr>
        <w:t>priemonių</w:t>
      </w:r>
      <w:r w:rsidRPr="00E649A6">
        <w:rPr>
          <w:rFonts w:ascii="Georgia" w:hAnsi="Georgia"/>
          <w:sz w:val="20"/>
          <w:szCs w:val="20"/>
          <w:lang w:val="lt-LT"/>
        </w:rPr>
        <w:t xml:space="preserve"> poveikis EERSF produktų paklausai (ypač pagal Bulgarijos ES</w:t>
      </w:r>
      <w:r w:rsidR="00DC5D31">
        <w:rPr>
          <w:rFonts w:ascii="Georgia" w:hAnsi="Georgia"/>
          <w:sz w:val="20"/>
          <w:szCs w:val="20"/>
          <w:lang w:val="lt-LT"/>
        </w:rPr>
        <w:t>I</w:t>
      </w:r>
      <w:r w:rsidRPr="00E649A6">
        <w:rPr>
          <w:rFonts w:ascii="Georgia" w:hAnsi="Georgia"/>
          <w:sz w:val="20"/>
          <w:szCs w:val="20"/>
          <w:lang w:val="lt-LT"/>
        </w:rPr>
        <w:t xml:space="preserve"> fondų veiksmų programas skiriamų subsidijų).</w:t>
      </w:r>
      <w:r>
        <w:rPr>
          <w:rFonts w:ascii="Georgia" w:hAnsi="Georgia"/>
          <w:sz w:val="20"/>
          <w:szCs w:val="20"/>
          <w:lang w:val="lt-LT"/>
        </w:rPr>
        <w:t xml:space="preserve"> Todėl rekomenduotina įvertinti konkuruojančių finansinių priemonių sukūrimo naudą, bei kitas intervencijos priemones skirtas tikslinei rinkai.</w:t>
      </w:r>
    </w:p>
    <w:p w14:paraId="5FED2306"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Siūlomų produktų trukmė turėtų būti nustatoma atsižvelgiant į projektų specifiką ir atsipirkimo laiką. Priešingu atveju tai taip pat gali ženkliai įtakoti paklausą.</w:t>
      </w:r>
    </w:p>
    <w:p w14:paraId="276593B8"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Sveikintina praktika yra platus įvairių organizacijų ir ekspertų įtraukimas į fondo valdymo struktūrą. Tai padeda suformuoti įvairiapusišką poziciją, įvertinti poveikį skirtingoms interesų grupėms. Taip pat pažymėtinas fondo lankstumas, kuris leidžia operatyviai reaguoti į rinkos ir konkurencinės aplinkos pokyčius visuose projekto etapuose.</w:t>
      </w:r>
    </w:p>
    <w:p w14:paraId="7EE0BAF4"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Svarbi yra vyriausybės parama, ypač jei organizacija ar </w:t>
      </w:r>
      <w:r>
        <w:rPr>
          <w:rFonts w:ascii="Georgia" w:hAnsi="Georgia"/>
          <w:sz w:val="20"/>
          <w:szCs w:val="20"/>
          <w:lang w:val="lt-LT"/>
        </w:rPr>
        <w:t>priemonė</w:t>
      </w:r>
      <w:r w:rsidRPr="00E649A6">
        <w:rPr>
          <w:rFonts w:ascii="Georgia" w:hAnsi="Georgia"/>
          <w:sz w:val="20"/>
          <w:szCs w:val="20"/>
          <w:lang w:val="lt-LT"/>
        </w:rPr>
        <w:t xml:space="preserve"> yra nauja. Taip pat prie sėkmės ženkliai prisideda patikima ir aiški teisinė bazė. Tai ypač aktualu kalbant apie ESCO rinkos plėtrą.</w:t>
      </w:r>
    </w:p>
    <w:p w14:paraId="0E711CED" w14:textId="77777777" w:rsidR="00451BC7" w:rsidRPr="00E649A6" w:rsidRDefault="00451BC7" w:rsidP="00451BC7">
      <w:pPr>
        <w:jc w:val="both"/>
        <w:rPr>
          <w:rFonts w:ascii="Georgia" w:hAnsi="Georgia"/>
          <w:sz w:val="20"/>
          <w:szCs w:val="20"/>
          <w:lang w:val="lt-LT"/>
        </w:rPr>
      </w:pPr>
      <w:r>
        <w:rPr>
          <w:rFonts w:ascii="Georgia" w:hAnsi="Georgia"/>
          <w:sz w:val="20"/>
          <w:szCs w:val="20"/>
          <w:lang w:val="lt-LT"/>
        </w:rPr>
        <w:t>Pastebėta, kad f</w:t>
      </w:r>
      <w:r w:rsidRPr="00E649A6">
        <w:rPr>
          <w:rFonts w:ascii="Georgia" w:hAnsi="Georgia"/>
          <w:sz w:val="20"/>
          <w:szCs w:val="20"/>
          <w:lang w:val="lt-LT"/>
        </w:rPr>
        <w:t>inansinės programos nebuvo sistemi</w:t>
      </w:r>
      <w:r>
        <w:rPr>
          <w:rFonts w:ascii="Georgia" w:hAnsi="Georgia"/>
          <w:sz w:val="20"/>
          <w:szCs w:val="20"/>
          <w:lang w:val="lt-LT"/>
        </w:rPr>
        <w:t>ng</w:t>
      </w:r>
      <w:r w:rsidRPr="00E649A6">
        <w:rPr>
          <w:rFonts w:ascii="Georgia" w:hAnsi="Georgia"/>
          <w:sz w:val="20"/>
          <w:szCs w:val="20"/>
          <w:lang w:val="lt-LT"/>
        </w:rPr>
        <w:t xml:space="preserve">ai vertinamos efektyvumo ir poveikio aspektais. Iniciatyvos dažnai nebuvo tarpusavyje koordinuojamos ir optimaliai suprojektuotos, dėl ko atsirasdavo persidengimas bei būdavo nepakankamai išnaudojamas </w:t>
      </w:r>
      <w:r>
        <w:rPr>
          <w:rFonts w:ascii="Georgia" w:hAnsi="Georgia"/>
          <w:sz w:val="20"/>
          <w:szCs w:val="20"/>
          <w:lang w:val="lt-LT"/>
        </w:rPr>
        <w:t xml:space="preserve">finansinių priemonių </w:t>
      </w:r>
      <w:r w:rsidRPr="00E649A6">
        <w:rPr>
          <w:rFonts w:ascii="Georgia" w:hAnsi="Georgia"/>
          <w:sz w:val="20"/>
          <w:szCs w:val="20"/>
          <w:lang w:val="lt-LT"/>
        </w:rPr>
        <w:t>potencialas.</w:t>
      </w:r>
    </w:p>
    <w:p w14:paraId="246F745C"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EERSF sėkmės faktoriai, pasiteisinusios idėjos/elementai, problemos, su kuriomis susidurta, didesnio </w:t>
      </w:r>
      <w:r w:rsidRPr="00EE2A65">
        <w:rPr>
          <w:rFonts w:ascii="Georgia" w:hAnsi="Georgia"/>
          <w:sz w:val="20"/>
          <w:szCs w:val="20"/>
          <w:lang w:val="lt-LT"/>
        </w:rPr>
        <w:t xml:space="preserve">rizikingumo aspektai detaliai aptariami </w:t>
      </w:r>
      <w:r>
        <w:rPr>
          <w:rFonts w:ascii="Georgia" w:hAnsi="Georgia"/>
          <w:sz w:val="20"/>
          <w:szCs w:val="20"/>
          <w:lang w:val="lt-LT"/>
        </w:rPr>
        <w:t>4</w:t>
      </w:r>
      <w:r w:rsidRPr="00EE2A65">
        <w:rPr>
          <w:rFonts w:ascii="Georgia" w:hAnsi="Georgia"/>
          <w:sz w:val="20"/>
          <w:szCs w:val="20"/>
          <w:lang w:val="lt-LT"/>
        </w:rPr>
        <w:t xml:space="preserve"> </w:t>
      </w:r>
      <w:r w:rsidRPr="001C01F1">
        <w:rPr>
          <w:rFonts w:ascii="Georgia" w:hAnsi="Georgia"/>
          <w:sz w:val="20"/>
          <w:szCs w:val="20"/>
          <w:lang w:val="lt-LT"/>
        </w:rPr>
        <w:t>priede</w:t>
      </w:r>
      <w:r w:rsidRPr="00EE2A65">
        <w:rPr>
          <w:rFonts w:ascii="Georgia" w:hAnsi="Georgia"/>
          <w:sz w:val="20"/>
          <w:szCs w:val="20"/>
          <w:lang w:val="lt-LT"/>
        </w:rPr>
        <w:t xml:space="preserve">, </w:t>
      </w:r>
      <w:r>
        <w:rPr>
          <w:rFonts w:ascii="Georgia" w:hAnsi="Georgia"/>
          <w:sz w:val="20"/>
          <w:szCs w:val="20"/>
          <w:lang w:val="lt-LT"/>
        </w:rPr>
        <w:t>taip</w:t>
      </w:r>
      <w:r w:rsidRPr="00EE2A65">
        <w:rPr>
          <w:rFonts w:ascii="Georgia" w:hAnsi="Georgia"/>
          <w:sz w:val="20"/>
          <w:szCs w:val="20"/>
          <w:lang w:val="lt-LT"/>
        </w:rPr>
        <w:t xml:space="preserve"> pat pateikti pasiūlymai, kurie galėtų</w:t>
      </w:r>
      <w:r w:rsidRPr="00E649A6">
        <w:rPr>
          <w:rFonts w:ascii="Georgia" w:hAnsi="Georgia"/>
          <w:sz w:val="20"/>
          <w:szCs w:val="20"/>
          <w:lang w:val="lt-LT"/>
        </w:rPr>
        <w:t xml:space="preserve"> būti aktualūs kuriant finans</w:t>
      </w:r>
      <w:r>
        <w:rPr>
          <w:rFonts w:ascii="Georgia" w:hAnsi="Georgia"/>
          <w:sz w:val="20"/>
          <w:szCs w:val="20"/>
          <w:lang w:val="lt-LT"/>
        </w:rPr>
        <w:t>ines</w:t>
      </w:r>
      <w:r w:rsidRPr="00E649A6">
        <w:rPr>
          <w:rFonts w:ascii="Georgia" w:hAnsi="Georgia"/>
          <w:sz w:val="20"/>
          <w:szCs w:val="20"/>
          <w:lang w:val="lt-LT"/>
        </w:rPr>
        <w:t xml:space="preserve"> </w:t>
      </w:r>
      <w:r>
        <w:rPr>
          <w:rFonts w:ascii="Georgia" w:hAnsi="Georgia"/>
          <w:sz w:val="20"/>
          <w:szCs w:val="20"/>
          <w:lang w:val="lt-LT"/>
        </w:rPr>
        <w:t xml:space="preserve">priemones </w:t>
      </w:r>
      <w:r w:rsidRPr="00E649A6">
        <w:rPr>
          <w:rFonts w:ascii="Georgia" w:hAnsi="Georgia"/>
          <w:sz w:val="20"/>
          <w:szCs w:val="20"/>
          <w:lang w:val="lt-LT"/>
        </w:rPr>
        <w:t>2014-2020 m. finansiniu laikotarpiu Lietuvoje.</w:t>
      </w:r>
    </w:p>
    <w:p w14:paraId="62CFB31A" w14:textId="77777777" w:rsidR="00451BC7" w:rsidRPr="00AC3318" w:rsidRDefault="00451BC7" w:rsidP="00451BC7">
      <w:pPr>
        <w:pStyle w:val="Pagrindinistekstas"/>
        <w:keepNext/>
        <w:spacing w:before="240"/>
        <w:rPr>
          <w:i/>
          <w:lang w:val="lt-LT"/>
        </w:rPr>
      </w:pPr>
      <w:r w:rsidRPr="00AC3318">
        <w:rPr>
          <w:i/>
          <w:lang w:val="lt-LT"/>
        </w:rPr>
        <w:t>Londono energetinio efektyvumo fondas Jungtinėje Karalystėje</w:t>
      </w:r>
    </w:p>
    <w:p w14:paraId="5516E9CD" w14:textId="77777777" w:rsidR="00451BC7" w:rsidRPr="00E649A6" w:rsidRDefault="00451BC7" w:rsidP="00451BC7">
      <w:pPr>
        <w:keepNext/>
        <w:jc w:val="both"/>
        <w:rPr>
          <w:rFonts w:ascii="Georgia" w:hAnsi="Georgia"/>
          <w:sz w:val="20"/>
          <w:szCs w:val="20"/>
          <w:lang w:val="lt-LT"/>
        </w:rPr>
      </w:pPr>
      <w:r w:rsidRPr="00E649A6">
        <w:rPr>
          <w:rFonts w:ascii="Georgia" w:hAnsi="Georgia"/>
          <w:sz w:val="20"/>
          <w:szCs w:val="20"/>
          <w:lang w:val="lt-LT"/>
        </w:rPr>
        <w:t xml:space="preserve">Šis fondas finansuoja investicijas į energijos vartojimo efektyvumo didinimo priemones privataus ir viešojo sektoriaus pastatuose. LEEF iki 2015 m. gruodžio siekia investuoti ne mažiau kaip 70 mln. </w:t>
      </w:r>
      <w:r w:rsidR="00F918A0">
        <w:rPr>
          <w:rFonts w:ascii="Georgia" w:hAnsi="Georgia"/>
          <w:sz w:val="20"/>
          <w:szCs w:val="20"/>
          <w:lang w:val="lt-LT"/>
        </w:rPr>
        <w:t>svarų sterlingų</w:t>
      </w:r>
      <w:r w:rsidRPr="00E649A6">
        <w:rPr>
          <w:rFonts w:ascii="Georgia" w:hAnsi="Georgia"/>
          <w:sz w:val="20"/>
          <w:szCs w:val="20"/>
          <w:lang w:val="lt-LT"/>
        </w:rPr>
        <w:t xml:space="preserve"> daugiausia </w:t>
      </w:r>
      <w:r>
        <w:rPr>
          <w:rFonts w:ascii="Georgia" w:hAnsi="Georgia"/>
          <w:sz w:val="20"/>
          <w:szCs w:val="20"/>
          <w:lang w:val="lt-LT"/>
        </w:rPr>
        <w:t>pirmaeilių</w:t>
      </w:r>
      <w:r w:rsidRPr="00E649A6">
        <w:rPr>
          <w:rFonts w:ascii="Georgia" w:hAnsi="Georgia"/>
          <w:sz w:val="20"/>
          <w:szCs w:val="20"/>
          <w:lang w:val="lt-LT"/>
        </w:rPr>
        <w:t xml:space="preserve"> (privilegijuot</w:t>
      </w:r>
      <w:r>
        <w:rPr>
          <w:rFonts w:ascii="Georgia" w:hAnsi="Georgia"/>
          <w:sz w:val="20"/>
          <w:szCs w:val="20"/>
          <w:lang w:val="lt-LT"/>
        </w:rPr>
        <w:t>ųjų</w:t>
      </w:r>
      <w:r w:rsidRPr="00E649A6">
        <w:rPr>
          <w:rFonts w:ascii="Georgia" w:hAnsi="Georgia"/>
          <w:sz w:val="20"/>
          <w:szCs w:val="20"/>
          <w:lang w:val="lt-LT"/>
        </w:rPr>
        <w:t>) paskol</w:t>
      </w:r>
      <w:r>
        <w:rPr>
          <w:rFonts w:ascii="Georgia" w:hAnsi="Georgia"/>
          <w:sz w:val="20"/>
          <w:szCs w:val="20"/>
          <w:lang w:val="lt-LT"/>
        </w:rPr>
        <w:t>ų</w:t>
      </w:r>
      <w:r w:rsidRPr="00E649A6">
        <w:rPr>
          <w:rFonts w:ascii="Georgia" w:hAnsi="Georgia"/>
          <w:sz w:val="20"/>
          <w:szCs w:val="20"/>
          <w:lang w:val="lt-LT"/>
        </w:rPr>
        <w:t xml:space="preserve"> bei tarpinio pobūdžio paskol</w:t>
      </w:r>
      <w:r>
        <w:rPr>
          <w:rFonts w:ascii="Georgia" w:hAnsi="Georgia"/>
          <w:sz w:val="20"/>
          <w:szCs w:val="20"/>
          <w:lang w:val="lt-LT"/>
        </w:rPr>
        <w:t>ų</w:t>
      </w:r>
      <w:r w:rsidRPr="00E649A6">
        <w:rPr>
          <w:rStyle w:val="Puslapioinaosnuoroda"/>
          <w:rFonts w:ascii="Georgia" w:hAnsi="Georgia"/>
          <w:sz w:val="20"/>
          <w:szCs w:val="20"/>
          <w:lang w:val="lt-LT"/>
        </w:rPr>
        <w:footnoteReference w:id="161"/>
      </w:r>
      <w:r w:rsidRPr="00E649A6">
        <w:rPr>
          <w:rFonts w:ascii="Georgia" w:hAnsi="Georgia"/>
          <w:sz w:val="20"/>
          <w:szCs w:val="20"/>
          <w:lang w:val="lt-LT"/>
        </w:rPr>
        <w:t xml:space="preserve"> (laikantis </w:t>
      </w:r>
      <w:r>
        <w:rPr>
          <w:rFonts w:ascii="Georgia" w:hAnsi="Georgia"/>
          <w:sz w:val="20"/>
          <w:szCs w:val="20"/>
          <w:lang w:val="lt-LT"/>
        </w:rPr>
        <w:t>ESI fondų</w:t>
      </w:r>
      <w:r w:rsidRPr="00E649A6">
        <w:rPr>
          <w:rFonts w:ascii="Georgia" w:hAnsi="Georgia"/>
          <w:sz w:val="20"/>
          <w:szCs w:val="20"/>
          <w:lang w:val="lt-LT"/>
        </w:rPr>
        <w:t xml:space="preserve"> programos reikalavimų)</w:t>
      </w:r>
      <w:r>
        <w:rPr>
          <w:rFonts w:ascii="Georgia" w:hAnsi="Georgia"/>
          <w:sz w:val="20"/>
          <w:szCs w:val="20"/>
          <w:lang w:val="lt-LT"/>
        </w:rPr>
        <w:t xml:space="preserve"> forma</w:t>
      </w:r>
      <w:r w:rsidRPr="00E649A6">
        <w:rPr>
          <w:rFonts w:ascii="Georgia" w:hAnsi="Georgia"/>
          <w:sz w:val="20"/>
          <w:szCs w:val="20"/>
          <w:lang w:val="lt-LT"/>
        </w:rPr>
        <w:t xml:space="preserve">. Šiuo metu LEEF </w:t>
      </w:r>
      <w:r>
        <w:rPr>
          <w:rFonts w:ascii="Georgia" w:hAnsi="Georgia"/>
          <w:sz w:val="20"/>
          <w:szCs w:val="20"/>
          <w:lang w:val="lt-LT"/>
        </w:rPr>
        <w:t>yra sukaupusi</w:t>
      </w:r>
      <w:r w:rsidRPr="00E649A6">
        <w:rPr>
          <w:rFonts w:ascii="Georgia" w:hAnsi="Georgia"/>
          <w:sz w:val="20"/>
          <w:szCs w:val="20"/>
          <w:lang w:val="lt-LT"/>
        </w:rPr>
        <w:t xml:space="preserve"> daugiau nei 100 mln. </w:t>
      </w:r>
      <w:r w:rsidR="00F918A0">
        <w:rPr>
          <w:rFonts w:ascii="Georgia" w:hAnsi="Georgia"/>
          <w:sz w:val="20"/>
          <w:szCs w:val="20"/>
          <w:lang w:val="lt-LT"/>
        </w:rPr>
        <w:t>svarų sterlingų</w:t>
      </w:r>
      <w:r w:rsidRPr="00E649A6">
        <w:rPr>
          <w:rFonts w:ascii="Georgia" w:hAnsi="Georgia"/>
          <w:sz w:val="20"/>
          <w:szCs w:val="20"/>
          <w:lang w:val="lt-LT"/>
        </w:rPr>
        <w:t xml:space="preserve"> lėšų (50 mln. </w:t>
      </w:r>
      <w:r w:rsidR="00F918A0">
        <w:rPr>
          <w:rFonts w:ascii="Georgia" w:hAnsi="Georgia"/>
          <w:sz w:val="20"/>
          <w:szCs w:val="20"/>
          <w:lang w:val="lt-LT"/>
        </w:rPr>
        <w:t>GBP</w:t>
      </w:r>
      <w:r w:rsidRPr="00E649A6">
        <w:rPr>
          <w:rFonts w:ascii="Georgia" w:hAnsi="Georgia"/>
          <w:sz w:val="20"/>
          <w:szCs w:val="20"/>
          <w:lang w:val="lt-LT"/>
        </w:rPr>
        <w:t xml:space="preserve"> iš </w:t>
      </w:r>
      <w:r>
        <w:rPr>
          <w:rFonts w:ascii="Georgia" w:hAnsi="Georgia"/>
          <w:sz w:val="20"/>
          <w:szCs w:val="20"/>
          <w:lang w:val="lt-LT"/>
        </w:rPr>
        <w:t>LGF</w:t>
      </w:r>
      <w:r w:rsidRPr="00E649A6">
        <w:rPr>
          <w:rFonts w:ascii="Georgia" w:hAnsi="Georgia"/>
          <w:sz w:val="20"/>
          <w:szCs w:val="20"/>
          <w:lang w:val="lt-LT"/>
        </w:rPr>
        <w:t xml:space="preserve"> ir daugiau nei 50 mln. </w:t>
      </w:r>
      <w:r w:rsidR="00F918A0">
        <w:rPr>
          <w:rFonts w:ascii="Georgia" w:hAnsi="Georgia"/>
          <w:sz w:val="20"/>
          <w:szCs w:val="20"/>
          <w:lang w:val="lt-LT"/>
        </w:rPr>
        <w:t>GBP</w:t>
      </w:r>
      <w:r w:rsidRPr="00E649A6">
        <w:rPr>
          <w:rFonts w:ascii="Georgia" w:hAnsi="Georgia"/>
          <w:sz w:val="20"/>
          <w:szCs w:val="20"/>
          <w:lang w:val="lt-LT"/>
        </w:rPr>
        <w:t xml:space="preserve"> papildomo privataus finansavimo). Fondas teikia paskolas (išskirtiniais atvejais gali būti investuojamas ir kapitalas). Kiekvienas projektas privalo sutaupyti mažiausiai 20 proc. energijos lyginant su situacija iki projekto įgyvendinimo ir sumažinti metinį anglies dvideginio kiekį bent viena CO</w:t>
      </w:r>
      <w:r w:rsidRPr="00E649A6">
        <w:rPr>
          <w:rFonts w:ascii="Georgia" w:hAnsi="Georgia"/>
          <w:sz w:val="20"/>
          <w:szCs w:val="20"/>
          <w:vertAlign w:val="subscript"/>
          <w:lang w:val="lt-LT"/>
        </w:rPr>
        <w:t>2</w:t>
      </w:r>
      <w:r w:rsidRPr="00E649A6">
        <w:rPr>
          <w:rFonts w:ascii="Georgia" w:hAnsi="Georgia"/>
          <w:sz w:val="20"/>
          <w:szCs w:val="20"/>
          <w:lang w:val="lt-LT"/>
        </w:rPr>
        <w:t xml:space="preserve"> tona už 5000 </w:t>
      </w:r>
      <w:r w:rsidR="00F918A0">
        <w:rPr>
          <w:rFonts w:ascii="Georgia" w:hAnsi="Georgia"/>
          <w:sz w:val="20"/>
          <w:szCs w:val="20"/>
          <w:lang w:val="lt-LT"/>
        </w:rPr>
        <w:t>svarų sterlingų</w:t>
      </w:r>
      <w:r w:rsidRPr="00E649A6">
        <w:rPr>
          <w:rFonts w:ascii="Georgia" w:hAnsi="Georgia"/>
          <w:sz w:val="20"/>
          <w:szCs w:val="20"/>
          <w:lang w:val="lt-LT"/>
        </w:rPr>
        <w:t xml:space="preserve"> investicijų. Tinkami galutiniai naudos gavėjai yra viešojo sektoriaus organizacijos, pvz., vietos savivaldos institucijos, universitetai, privatus sektorius, pvz., ESCO, statybų rangovai, patalpų </w:t>
      </w:r>
      <w:r w:rsidRPr="00E649A6">
        <w:rPr>
          <w:rFonts w:ascii="Georgia" w:hAnsi="Georgia"/>
          <w:sz w:val="20"/>
          <w:szCs w:val="20"/>
          <w:lang w:val="lt-LT"/>
        </w:rPr>
        <w:lastRenderedPageBreak/>
        <w:t>savininkai. Taip pat LEEF gali investuoti į bendrų įmonių</w:t>
      </w:r>
      <w:r>
        <w:rPr>
          <w:rStyle w:val="Puslapioinaosnuoroda"/>
          <w:rFonts w:ascii="Georgia" w:hAnsi="Georgia"/>
          <w:sz w:val="20"/>
          <w:szCs w:val="20"/>
          <w:lang w:val="lt-LT"/>
        </w:rPr>
        <w:footnoteReference w:id="162"/>
      </w:r>
      <w:r w:rsidRPr="00E649A6">
        <w:rPr>
          <w:rFonts w:ascii="Georgia" w:hAnsi="Georgia"/>
          <w:sz w:val="20"/>
          <w:szCs w:val="20"/>
          <w:lang w:val="lt-LT"/>
        </w:rPr>
        <w:t xml:space="preserve">, specialios paskirties įmonių valdomus projektus, </w:t>
      </w:r>
      <w:r>
        <w:rPr>
          <w:rFonts w:ascii="Georgia" w:hAnsi="Georgia"/>
          <w:sz w:val="20"/>
          <w:szCs w:val="20"/>
          <w:lang w:val="lt-LT"/>
        </w:rPr>
        <w:t>viešo</w:t>
      </w:r>
      <w:r w:rsidRPr="00E649A6">
        <w:rPr>
          <w:rFonts w:ascii="Georgia" w:hAnsi="Georgia"/>
          <w:sz w:val="20"/>
          <w:szCs w:val="20"/>
          <w:lang w:val="lt-LT"/>
        </w:rPr>
        <w:t xml:space="preserve"> ir privataus sektorių partnerystės būdu įgyvendinamus projektus.</w:t>
      </w:r>
    </w:p>
    <w:p w14:paraId="6B1432E3" w14:textId="77777777" w:rsidR="00451BC7" w:rsidRPr="00E649A6" w:rsidRDefault="00451BC7" w:rsidP="00451BC7">
      <w:pPr>
        <w:jc w:val="both"/>
        <w:rPr>
          <w:rFonts w:ascii="Georgia" w:hAnsi="Georgia"/>
          <w:sz w:val="20"/>
          <w:szCs w:val="20"/>
          <w:lang w:val="lt-LT"/>
        </w:rPr>
      </w:pPr>
      <w:r w:rsidRPr="00E649A6">
        <w:rPr>
          <w:rFonts w:ascii="Georgia" w:hAnsi="Georgia"/>
          <w:i/>
          <w:sz w:val="20"/>
          <w:szCs w:val="20"/>
          <w:lang w:val="lt-LT"/>
        </w:rPr>
        <w:t>Svarbiausios pamokos</w:t>
      </w:r>
      <w:r w:rsidRPr="00E649A6">
        <w:rPr>
          <w:rFonts w:ascii="Georgia" w:hAnsi="Georgia"/>
          <w:sz w:val="20"/>
          <w:szCs w:val="20"/>
          <w:lang w:val="lt-LT"/>
        </w:rPr>
        <w:t xml:space="preserve"> </w:t>
      </w:r>
    </w:p>
    <w:p w14:paraId="00F1315E" w14:textId="77777777" w:rsidR="00451BC7" w:rsidRPr="00E649A6" w:rsidRDefault="00451BC7" w:rsidP="00451BC7">
      <w:pPr>
        <w:jc w:val="both"/>
        <w:rPr>
          <w:rFonts w:ascii="Georgia" w:hAnsi="Georgia"/>
          <w:sz w:val="20"/>
          <w:szCs w:val="20"/>
          <w:lang w:val="lt-LT"/>
        </w:rPr>
      </w:pPr>
      <w:r>
        <w:rPr>
          <w:rFonts w:ascii="Georgia" w:hAnsi="Georgia"/>
          <w:sz w:val="20"/>
          <w:szCs w:val="20"/>
          <w:lang w:val="lt-LT"/>
        </w:rPr>
        <w:t>Pastebėta, jog b</w:t>
      </w:r>
      <w:r w:rsidRPr="00E649A6">
        <w:rPr>
          <w:rFonts w:ascii="Georgia" w:hAnsi="Georgia"/>
          <w:sz w:val="20"/>
          <w:szCs w:val="20"/>
          <w:lang w:val="lt-LT"/>
        </w:rPr>
        <w:t xml:space="preserve">ūtina tiksliai įsivertinti rinkos situaciją ir remiantis šiuo vertinimu apibrėžti konkrečias siūlomo produkto sąlygas (kainą, trukmę, tikslines grupes ir t. t.). Kitas svarbus elementas </w:t>
      </w:r>
      <w:r w:rsidRPr="00F918A0">
        <w:rPr>
          <w:rFonts w:ascii="Georgia" w:hAnsi="Georgia"/>
          <w:sz w:val="20"/>
          <w:szCs w:val="20"/>
          <w:lang w:val="lt-LT"/>
        </w:rPr>
        <w:t>yra efektyvus priemonių valdymas. Už fondo valdymą atsakinga struktūra turi būti pajėgi priimti</w:t>
      </w:r>
      <w:r w:rsidRPr="00E649A6">
        <w:rPr>
          <w:rFonts w:ascii="Georgia" w:hAnsi="Georgia"/>
          <w:sz w:val="20"/>
          <w:szCs w:val="20"/>
          <w:lang w:val="lt-LT"/>
        </w:rPr>
        <w:t xml:space="preserve"> nepriklausomus, kompetentingus ir patikimus sprendimus.</w:t>
      </w:r>
    </w:p>
    <w:p w14:paraId="3FFFA336"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Nefinansinių tikslų nustatymas, kuris yra inovacija Jungtinėje Karalystėje, padeda pasiekti didesnę socialinę-ekonominę naudą. Pažymėtina, kad miesto plėtros fondams nuo CO</w:t>
      </w:r>
      <w:r w:rsidRPr="00E649A6">
        <w:rPr>
          <w:rFonts w:ascii="Georgia" w:hAnsi="Georgia"/>
          <w:sz w:val="20"/>
          <w:szCs w:val="20"/>
          <w:vertAlign w:val="subscript"/>
          <w:lang w:val="lt-LT"/>
        </w:rPr>
        <w:t>2</w:t>
      </w:r>
      <w:r w:rsidRPr="00E649A6">
        <w:rPr>
          <w:rFonts w:ascii="Georgia" w:hAnsi="Georgia"/>
          <w:sz w:val="20"/>
          <w:szCs w:val="20"/>
          <w:lang w:val="lt-LT"/>
        </w:rPr>
        <w:t xml:space="preserve"> taršos sumažėjimo priklauso ir jiems mokamas atlygis, paprastai </w:t>
      </w:r>
      <w:r>
        <w:rPr>
          <w:rFonts w:ascii="Georgia" w:hAnsi="Georgia"/>
          <w:sz w:val="20"/>
          <w:szCs w:val="20"/>
          <w:lang w:val="lt-LT"/>
        </w:rPr>
        <w:t xml:space="preserve">tai nėra </w:t>
      </w:r>
      <w:r w:rsidRPr="00E649A6">
        <w:rPr>
          <w:rFonts w:ascii="Georgia" w:hAnsi="Georgia"/>
          <w:sz w:val="20"/>
          <w:szCs w:val="20"/>
          <w:lang w:val="lt-LT"/>
        </w:rPr>
        <w:t>būdinga privačiam sektoriui.</w:t>
      </w:r>
    </w:p>
    <w:p w14:paraId="4D253412"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Svarbus aktyvus bendradarbiavimas su Europos Komisija, ypač sprendžiant klausimus, susijusius su finansinių priemonių įgyvendinimu </w:t>
      </w:r>
      <w:r>
        <w:rPr>
          <w:rFonts w:ascii="Georgia" w:hAnsi="Georgia"/>
          <w:sz w:val="20"/>
          <w:szCs w:val="20"/>
          <w:lang w:val="lt-LT"/>
        </w:rPr>
        <w:t xml:space="preserve">bei papildomų </w:t>
      </w:r>
      <w:r w:rsidRPr="00E649A6">
        <w:rPr>
          <w:rFonts w:ascii="Georgia" w:hAnsi="Georgia"/>
          <w:sz w:val="20"/>
          <w:szCs w:val="20"/>
          <w:lang w:val="lt-LT"/>
        </w:rPr>
        <w:t>subsidij</w:t>
      </w:r>
      <w:r>
        <w:rPr>
          <w:rFonts w:ascii="Georgia" w:hAnsi="Georgia"/>
          <w:sz w:val="20"/>
          <w:szCs w:val="20"/>
          <w:lang w:val="lt-LT"/>
        </w:rPr>
        <w:t>ų</w:t>
      </w:r>
      <w:r w:rsidRPr="00E649A6">
        <w:rPr>
          <w:rFonts w:ascii="Georgia" w:hAnsi="Georgia"/>
          <w:sz w:val="20"/>
          <w:szCs w:val="20"/>
          <w:lang w:val="lt-LT"/>
        </w:rPr>
        <w:t xml:space="preserve"> </w:t>
      </w:r>
      <w:r w:rsidR="00F918A0">
        <w:rPr>
          <w:rFonts w:ascii="Georgia" w:hAnsi="Georgia"/>
          <w:sz w:val="20"/>
          <w:szCs w:val="20"/>
          <w:lang w:val="lt-LT"/>
        </w:rPr>
        <w:t>teikimu</w:t>
      </w:r>
      <w:r>
        <w:rPr>
          <w:rFonts w:ascii="Georgia" w:hAnsi="Georgia"/>
          <w:sz w:val="20"/>
          <w:szCs w:val="20"/>
          <w:lang w:val="lt-LT"/>
        </w:rPr>
        <w:t xml:space="preserve"> pasirinktame </w:t>
      </w:r>
      <w:r w:rsidRPr="00E649A6">
        <w:rPr>
          <w:rFonts w:ascii="Georgia" w:hAnsi="Georgia"/>
          <w:sz w:val="20"/>
          <w:szCs w:val="20"/>
          <w:lang w:val="lt-LT"/>
        </w:rPr>
        <w:t>modelyje. Deramas dėmesys turėtų būti skiriamas papildomo privataus finansavimo pritraukimui tiek fondo, tiek ir konkrečių projektų lygiu. Kita vertus, dėl privačių lėšų kainos gali mažėti paskolų patrauklumas. LEEF lėšos yra pigios, bet su</w:t>
      </w:r>
      <w:r>
        <w:rPr>
          <w:rFonts w:ascii="Georgia" w:hAnsi="Georgia"/>
          <w:sz w:val="20"/>
          <w:szCs w:val="20"/>
          <w:lang w:val="lt-LT"/>
        </w:rPr>
        <w:t>sietos</w:t>
      </w:r>
      <w:r w:rsidRPr="00E649A6">
        <w:rPr>
          <w:rFonts w:ascii="Georgia" w:hAnsi="Georgia"/>
          <w:sz w:val="20"/>
          <w:szCs w:val="20"/>
          <w:lang w:val="lt-LT"/>
        </w:rPr>
        <w:t xml:space="preserve"> su privačiomis lėšomis – pabrangsta. Tai gali turėti neigiamą poveikį produktų konkurencingumui.</w:t>
      </w:r>
    </w:p>
    <w:p w14:paraId="274B7999"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LEEF atveju labai svarbi ilgalaikė vizija ir įsipareigojimas siekiant įveikti fondo gyvavimo pradžioje kilusias problemas. Taip pat reikia stengtis išlaikyti tas nuostatas, kurios veikia praktikoje, ir tobulinti tik tuos elementus, kurie neveikia, o ne visą modelį kurti iš naujo.</w:t>
      </w:r>
    </w:p>
    <w:p w14:paraId="15849B02"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Modelio kūrimo procesas užtruko ilgiau nei planuota. 2007-2013 m. Londono ERPF veiksmų programa buvo patvirtinta 2007 m. gruodį. Nuo šios datos iki pirmos investicijos praėjo 4 metai. Miestų plėtros fondai pradėjo veikti praėjus 30 mėnesių po kontroliuojančiojo fondo įsteigimo. Buvo tikimasi, kad pirmojo miesto plėtros fondo valdytojo atrankos metu įgyta patirtis bus pritaikyta kituose pirkimuose ir dėl to jie vyks greičiau ir paprasčiau. Tačiau LGF atveju miesto plėtros fondai turi unikalią struktūrą, todėl buvo būtina adaptacija siekiant atspindėti skirtumus.</w:t>
      </w:r>
    </w:p>
    <w:p w14:paraId="1B3B4697"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Projektai, ne visada atitinka fondo r</w:t>
      </w:r>
      <w:r>
        <w:rPr>
          <w:rFonts w:ascii="Georgia" w:hAnsi="Georgia"/>
          <w:sz w:val="20"/>
          <w:szCs w:val="20"/>
          <w:lang w:val="lt-LT"/>
        </w:rPr>
        <w:t>eikalavimus, todėl kartais nesusidaro prognozuotas</w:t>
      </w:r>
      <w:r w:rsidRPr="00E649A6">
        <w:rPr>
          <w:rFonts w:ascii="Georgia" w:hAnsi="Georgia"/>
          <w:sz w:val="20"/>
          <w:szCs w:val="20"/>
          <w:lang w:val="lt-LT"/>
        </w:rPr>
        <w:t xml:space="preserve"> projektų sraut</w:t>
      </w:r>
      <w:r>
        <w:rPr>
          <w:rFonts w:ascii="Georgia" w:hAnsi="Georgia"/>
          <w:sz w:val="20"/>
          <w:szCs w:val="20"/>
          <w:lang w:val="lt-LT"/>
        </w:rPr>
        <w:t>as</w:t>
      </w:r>
      <w:r w:rsidRPr="00E649A6">
        <w:rPr>
          <w:rFonts w:ascii="Georgia" w:hAnsi="Georgia"/>
          <w:sz w:val="20"/>
          <w:szCs w:val="20"/>
          <w:lang w:val="lt-LT"/>
        </w:rPr>
        <w:t xml:space="preserve">. </w:t>
      </w:r>
      <w:r>
        <w:rPr>
          <w:rFonts w:ascii="Georgia" w:hAnsi="Georgia"/>
          <w:sz w:val="20"/>
          <w:szCs w:val="20"/>
          <w:lang w:val="lt-LT"/>
        </w:rPr>
        <w:t xml:space="preserve">Siekiant sumažinti šią riziką reikia </w:t>
      </w:r>
      <w:r w:rsidRPr="00E649A6">
        <w:rPr>
          <w:rFonts w:ascii="Georgia" w:hAnsi="Georgia"/>
          <w:sz w:val="20"/>
          <w:szCs w:val="20"/>
          <w:lang w:val="lt-LT"/>
        </w:rPr>
        <w:t>užtikrinant aktyvesnį darbą su potencialiais projektais iki fondo veiklos pradžios. Taip pat padėtų didesnis fondo įgyvendinimo taisyklių lankstumas siekiant prisitaikyti prie kintančių rinkos sąlygų.</w:t>
      </w:r>
    </w:p>
    <w:p w14:paraId="4C0FBE6F" w14:textId="77777777" w:rsidR="00451BC7" w:rsidRPr="00E649A6" w:rsidRDefault="00451BC7" w:rsidP="00451BC7">
      <w:pPr>
        <w:jc w:val="both"/>
        <w:rPr>
          <w:rFonts w:ascii="Georgia" w:hAnsi="Georgia"/>
          <w:sz w:val="20"/>
          <w:szCs w:val="20"/>
          <w:lang w:val="lt-LT"/>
        </w:rPr>
      </w:pPr>
      <w:r>
        <w:rPr>
          <w:rFonts w:ascii="Georgia" w:hAnsi="Georgia"/>
          <w:sz w:val="20"/>
          <w:szCs w:val="20"/>
          <w:lang w:val="lt-LT"/>
        </w:rPr>
        <w:t>Pastebėta, jog labai</w:t>
      </w:r>
      <w:r w:rsidRPr="00E649A6">
        <w:rPr>
          <w:rFonts w:ascii="Georgia" w:hAnsi="Georgia"/>
          <w:sz w:val="20"/>
          <w:szCs w:val="20"/>
          <w:lang w:val="lt-LT"/>
        </w:rPr>
        <w:t xml:space="preserve"> svarbu tinkamai suplanuoti viešinimo veiklas ir skirti joms pakankamus žmogiškuosius ir finansinius išteklius.</w:t>
      </w:r>
    </w:p>
    <w:p w14:paraId="13098F47"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Papildoma pridėtinė nauda gali būti sukurta identifikavus ir sukūrus efektyvų bendradarbiavimo mechanizmą su kit</w:t>
      </w:r>
      <w:r>
        <w:rPr>
          <w:rFonts w:ascii="Georgia" w:hAnsi="Georgia"/>
          <w:sz w:val="20"/>
          <w:szCs w:val="20"/>
          <w:lang w:val="lt-LT"/>
        </w:rPr>
        <w:t>omis</w:t>
      </w:r>
      <w:r w:rsidRPr="00E649A6">
        <w:rPr>
          <w:rFonts w:ascii="Georgia" w:hAnsi="Georgia"/>
          <w:sz w:val="20"/>
          <w:szCs w:val="20"/>
          <w:lang w:val="lt-LT"/>
        </w:rPr>
        <w:t xml:space="preserve"> finans</w:t>
      </w:r>
      <w:r>
        <w:rPr>
          <w:rFonts w:ascii="Georgia" w:hAnsi="Georgia"/>
          <w:sz w:val="20"/>
          <w:szCs w:val="20"/>
          <w:lang w:val="lt-LT"/>
        </w:rPr>
        <w:t>inėmis</w:t>
      </w:r>
      <w:r w:rsidRPr="00E649A6">
        <w:rPr>
          <w:rFonts w:ascii="Georgia" w:hAnsi="Georgia"/>
          <w:sz w:val="20"/>
          <w:szCs w:val="20"/>
          <w:lang w:val="lt-LT"/>
        </w:rPr>
        <w:t xml:space="preserve"> </w:t>
      </w:r>
      <w:r>
        <w:rPr>
          <w:rFonts w:ascii="Georgia" w:hAnsi="Georgia"/>
          <w:sz w:val="20"/>
          <w:szCs w:val="20"/>
          <w:lang w:val="lt-LT"/>
        </w:rPr>
        <w:t>priemonėmis</w:t>
      </w:r>
      <w:r w:rsidRPr="00E649A6">
        <w:rPr>
          <w:rFonts w:ascii="Georgia" w:hAnsi="Georgia"/>
          <w:sz w:val="20"/>
          <w:szCs w:val="20"/>
          <w:lang w:val="lt-LT"/>
        </w:rPr>
        <w:t xml:space="preserve">, pvz., RE:FIT programa LEEF atveju. </w:t>
      </w:r>
    </w:p>
    <w:p w14:paraId="70CA604C"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Vienas didžiausių iššūkių LEEF buvo ERPF taisyklių, kurios iš principo buvo skirtos subsidijoms, taikymas komercinei aplinkai. ES</w:t>
      </w:r>
      <w:r w:rsidR="00F918A0">
        <w:rPr>
          <w:rFonts w:ascii="Georgia" w:hAnsi="Georgia"/>
          <w:sz w:val="20"/>
          <w:szCs w:val="20"/>
          <w:lang w:val="lt-LT"/>
        </w:rPr>
        <w:t>I</w:t>
      </w:r>
      <w:r w:rsidRPr="00E649A6">
        <w:rPr>
          <w:rFonts w:ascii="Georgia" w:hAnsi="Georgia"/>
          <w:sz w:val="20"/>
          <w:szCs w:val="20"/>
          <w:lang w:val="lt-LT"/>
        </w:rPr>
        <w:t xml:space="preserve"> fondams taikomos nuostatos pasižymi nelankstumu ir papildomomis sąlygomis, t. y. buvo siūloma komercinė paskola, kuri apipinta papildomais reikalavimais. </w:t>
      </w:r>
    </w:p>
    <w:p w14:paraId="1EDD24B8"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LEEF sėkmės faktoriai, pasiteisinusios idėjos/elementai, problemos, su kuriomis susidurta, </w:t>
      </w:r>
      <w:r>
        <w:rPr>
          <w:rFonts w:ascii="Georgia" w:hAnsi="Georgia"/>
          <w:sz w:val="20"/>
          <w:szCs w:val="20"/>
          <w:lang w:val="lt-LT"/>
        </w:rPr>
        <w:t xml:space="preserve">įvairaus </w:t>
      </w:r>
      <w:r w:rsidRPr="00E649A6">
        <w:rPr>
          <w:rFonts w:ascii="Georgia" w:hAnsi="Georgia"/>
          <w:sz w:val="20"/>
          <w:szCs w:val="20"/>
          <w:lang w:val="lt-LT"/>
        </w:rPr>
        <w:t xml:space="preserve">rizikingumo aspektai detaliai aptariami </w:t>
      </w:r>
      <w:r>
        <w:rPr>
          <w:rFonts w:ascii="Georgia" w:hAnsi="Georgia"/>
          <w:sz w:val="20"/>
          <w:szCs w:val="20"/>
          <w:lang w:val="lt-LT"/>
        </w:rPr>
        <w:t xml:space="preserve">5 </w:t>
      </w:r>
      <w:r w:rsidRPr="00E649A6">
        <w:rPr>
          <w:rFonts w:ascii="Georgia" w:hAnsi="Georgia"/>
          <w:sz w:val="20"/>
          <w:szCs w:val="20"/>
          <w:lang w:val="lt-LT"/>
        </w:rPr>
        <w:t>priede, ten pat pateikti pasiūlymai, kurie galėtų būti aktualūs kuriant finans</w:t>
      </w:r>
      <w:r>
        <w:rPr>
          <w:rFonts w:ascii="Georgia" w:hAnsi="Georgia"/>
          <w:sz w:val="20"/>
          <w:szCs w:val="20"/>
          <w:lang w:val="lt-LT"/>
        </w:rPr>
        <w:t>ines</w:t>
      </w:r>
      <w:r w:rsidRPr="00E649A6">
        <w:rPr>
          <w:rFonts w:ascii="Georgia" w:hAnsi="Georgia"/>
          <w:sz w:val="20"/>
          <w:szCs w:val="20"/>
          <w:lang w:val="lt-LT"/>
        </w:rPr>
        <w:t xml:space="preserve"> </w:t>
      </w:r>
      <w:r>
        <w:rPr>
          <w:rFonts w:ascii="Georgia" w:hAnsi="Georgia"/>
          <w:sz w:val="20"/>
          <w:szCs w:val="20"/>
          <w:lang w:val="lt-LT"/>
        </w:rPr>
        <w:t xml:space="preserve">priemones </w:t>
      </w:r>
      <w:r w:rsidRPr="00E649A6">
        <w:rPr>
          <w:rFonts w:ascii="Georgia" w:hAnsi="Georgia"/>
          <w:sz w:val="20"/>
          <w:szCs w:val="20"/>
          <w:lang w:val="lt-LT"/>
        </w:rPr>
        <w:t xml:space="preserve">2014-2020 m. </w:t>
      </w:r>
      <w:r w:rsidR="00F918A0">
        <w:rPr>
          <w:rFonts w:ascii="Georgia" w:hAnsi="Georgia"/>
          <w:sz w:val="20"/>
          <w:szCs w:val="20"/>
          <w:lang w:val="lt-LT"/>
        </w:rPr>
        <w:t xml:space="preserve">periodu </w:t>
      </w:r>
      <w:r w:rsidRPr="00E649A6">
        <w:rPr>
          <w:rFonts w:ascii="Georgia" w:hAnsi="Georgia"/>
          <w:sz w:val="20"/>
          <w:szCs w:val="20"/>
          <w:lang w:val="lt-LT"/>
        </w:rPr>
        <w:t>Lietuvoje.</w:t>
      </w:r>
    </w:p>
    <w:p w14:paraId="24D669E8"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lastRenderedPageBreak/>
        <w:t xml:space="preserve">Atvejo studijų analizė daugeliu atvejų patvirtino informacijos šaltinių, kurie nurodyti </w:t>
      </w:r>
      <w:r w:rsidR="00F918A0">
        <w:rPr>
          <w:rFonts w:ascii="Georgia" w:hAnsi="Georgia"/>
          <w:sz w:val="20"/>
          <w:szCs w:val="20"/>
          <w:lang w:val="lt-LT"/>
        </w:rPr>
        <w:t>Ex ante vertinimo metodologijoje</w:t>
      </w:r>
      <w:r w:rsidRPr="00E649A6">
        <w:rPr>
          <w:rFonts w:ascii="Georgia" w:hAnsi="Georgia"/>
          <w:sz w:val="20"/>
          <w:szCs w:val="20"/>
          <w:lang w:val="lt-LT"/>
        </w:rPr>
        <w:t>, ir kitų šaltinių apžvalgos bei interviu rezultatus.</w:t>
      </w:r>
    </w:p>
    <w:p w14:paraId="50A9B28F" w14:textId="77777777" w:rsidR="00451BC7" w:rsidRPr="009E5C05" w:rsidRDefault="00451BC7" w:rsidP="0062724A">
      <w:pPr>
        <w:pStyle w:val="Antrat2"/>
        <w:numPr>
          <w:ilvl w:val="1"/>
          <w:numId w:val="36"/>
        </w:numPr>
        <w:spacing w:after="240"/>
        <w:rPr>
          <w:lang w:val="lt-LT"/>
        </w:rPr>
      </w:pPr>
      <w:bookmarkStart w:id="326" w:name="_Toc395795827"/>
      <w:bookmarkStart w:id="327" w:name="_Toc417378430"/>
      <w:r w:rsidRPr="009E5C05">
        <w:rPr>
          <w:lang w:val="lt-LT"/>
        </w:rPr>
        <w:t xml:space="preserve">Patirties pritaikymas Lietuvoje – rizikos </w:t>
      </w:r>
      <w:bookmarkEnd w:id="326"/>
      <w:r w:rsidRPr="009E5C05">
        <w:rPr>
          <w:lang w:val="lt-LT"/>
        </w:rPr>
        <w:t>analizė</w:t>
      </w:r>
      <w:bookmarkEnd w:id="327"/>
    </w:p>
    <w:p w14:paraId="19340A84" w14:textId="77777777" w:rsidR="00451BC7" w:rsidRDefault="00451BC7" w:rsidP="00451BC7">
      <w:pPr>
        <w:jc w:val="both"/>
        <w:rPr>
          <w:rFonts w:ascii="Georgia" w:hAnsi="Georgia"/>
          <w:sz w:val="20"/>
          <w:szCs w:val="20"/>
          <w:lang w:val="lt-LT"/>
        </w:rPr>
      </w:pPr>
      <w:r w:rsidRPr="00E649A6">
        <w:rPr>
          <w:rFonts w:ascii="Georgia" w:hAnsi="Georgia"/>
          <w:sz w:val="20"/>
          <w:szCs w:val="20"/>
          <w:lang w:val="lt-LT"/>
        </w:rPr>
        <w:t>Atliekant rizikos analizę identifikuot</w:t>
      </w:r>
      <w:r>
        <w:rPr>
          <w:rFonts w:ascii="Georgia" w:hAnsi="Georgia"/>
          <w:sz w:val="20"/>
          <w:szCs w:val="20"/>
          <w:lang w:val="lt-LT"/>
        </w:rPr>
        <w:t>i sėkmės faktoriai</w:t>
      </w:r>
      <w:r w:rsidRPr="00E649A6">
        <w:rPr>
          <w:rFonts w:ascii="Georgia" w:hAnsi="Georgia"/>
          <w:sz w:val="20"/>
          <w:szCs w:val="20"/>
          <w:lang w:val="lt-LT"/>
        </w:rPr>
        <w:t>, pasiteisinusi</w:t>
      </w:r>
      <w:r>
        <w:rPr>
          <w:rFonts w:ascii="Georgia" w:hAnsi="Georgia"/>
          <w:sz w:val="20"/>
          <w:szCs w:val="20"/>
          <w:lang w:val="lt-LT"/>
        </w:rPr>
        <w:t>os</w:t>
      </w:r>
      <w:r w:rsidRPr="00E649A6">
        <w:rPr>
          <w:rFonts w:ascii="Georgia" w:hAnsi="Georgia"/>
          <w:sz w:val="20"/>
          <w:szCs w:val="20"/>
          <w:lang w:val="lt-LT"/>
        </w:rPr>
        <w:t xml:space="preserve"> idėj</w:t>
      </w:r>
      <w:r>
        <w:rPr>
          <w:rFonts w:ascii="Georgia" w:hAnsi="Georgia"/>
          <w:sz w:val="20"/>
          <w:szCs w:val="20"/>
          <w:lang w:val="lt-LT"/>
        </w:rPr>
        <w:t>os</w:t>
      </w:r>
      <w:r w:rsidRPr="00E649A6">
        <w:rPr>
          <w:rFonts w:ascii="Georgia" w:hAnsi="Georgia"/>
          <w:sz w:val="20"/>
          <w:szCs w:val="20"/>
          <w:lang w:val="lt-LT"/>
        </w:rPr>
        <w:t>/element</w:t>
      </w:r>
      <w:r>
        <w:rPr>
          <w:rFonts w:ascii="Georgia" w:hAnsi="Georgia"/>
          <w:sz w:val="20"/>
          <w:szCs w:val="20"/>
          <w:lang w:val="lt-LT"/>
        </w:rPr>
        <w:t>ai</w:t>
      </w:r>
      <w:r w:rsidRPr="00E649A6">
        <w:rPr>
          <w:rFonts w:ascii="Georgia" w:hAnsi="Georgia"/>
          <w:sz w:val="20"/>
          <w:szCs w:val="20"/>
          <w:lang w:val="lt-LT"/>
        </w:rPr>
        <w:t>, problem</w:t>
      </w:r>
      <w:r>
        <w:rPr>
          <w:rFonts w:ascii="Georgia" w:hAnsi="Georgia"/>
          <w:sz w:val="20"/>
          <w:szCs w:val="20"/>
          <w:lang w:val="lt-LT"/>
        </w:rPr>
        <w:t>os</w:t>
      </w:r>
      <w:r w:rsidRPr="00E649A6">
        <w:rPr>
          <w:rFonts w:ascii="Georgia" w:hAnsi="Georgia"/>
          <w:sz w:val="20"/>
          <w:szCs w:val="20"/>
          <w:lang w:val="lt-LT"/>
        </w:rPr>
        <w:t xml:space="preserve">, su kuriomis susidurta, </w:t>
      </w:r>
      <w:r>
        <w:rPr>
          <w:rFonts w:ascii="Georgia" w:hAnsi="Georgia"/>
          <w:sz w:val="20"/>
          <w:szCs w:val="20"/>
          <w:lang w:val="lt-LT"/>
        </w:rPr>
        <w:t>įvairaus</w:t>
      </w:r>
      <w:r w:rsidRPr="00E649A6">
        <w:rPr>
          <w:rFonts w:ascii="Georgia" w:hAnsi="Georgia"/>
          <w:sz w:val="20"/>
          <w:szCs w:val="20"/>
          <w:lang w:val="lt-LT"/>
        </w:rPr>
        <w:t xml:space="preserve"> rizikingumo aspektų pagrindu buvo išskirti rizikos veiksniai, kurie galėtų būti aktualūs projektuojant energijos efektyvumo sektoriui skirtas finansines priemones Lietuvoje 2014-2020 m. </w:t>
      </w:r>
      <w:r w:rsidR="00F918A0">
        <w:rPr>
          <w:rFonts w:ascii="Georgia" w:hAnsi="Georgia"/>
          <w:sz w:val="20"/>
          <w:szCs w:val="20"/>
          <w:lang w:val="lt-LT"/>
        </w:rPr>
        <w:t>periodu</w:t>
      </w:r>
      <w:r w:rsidRPr="00E649A6">
        <w:rPr>
          <w:rFonts w:ascii="Georgia" w:hAnsi="Georgia"/>
          <w:sz w:val="20"/>
          <w:szCs w:val="20"/>
          <w:lang w:val="lt-LT"/>
        </w:rPr>
        <w:t>.</w:t>
      </w:r>
    </w:p>
    <w:p w14:paraId="7C843960" w14:textId="77777777" w:rsidR="00451BC7" w:rsidRPr="00F918A0" w:rsidRDefault="00451BC7" w:rsidP="00451BC7">
      <w:pPr>
        <w:jc w:val="both"/>
        <w:rPr>
          <w:rFonts w:ascii="Georgia" w:hAnsi="Georgia"/>
          <w:bCs/>
          <w:sz w:val="20"/>
          <w:szCs w:val="20"/>
          <w:lang w:val="lt-LT"/>
        </w:rPr>
      </w:pPr>
      <w:r>
        <w:rPr>
          <w:rFonts w:ascii="Georgia" w:hAnsi="Georgia"/>
          <w:sz w:val="20"/>
          <w:szCs w:val="20"/>
          <w:lang w:val="lt-LT"/>
        </w:rPr>
        <w:t>Šioje ex ante r</w:t>
      </w:r>
      <w:r w:rsidRPr="00E649A6">
        <w:rPr>
          <w:rFonts w:ascii="Georgia" w:hAnsi="Georgia"/>
          <w:sz w:val="20"/>
          <w:szCs w:val="20"/>
          <w:lang w:val="lt-LT"/>
        </w:rPr>
        <w:t xml:space="preserve">izikos veiksniai buvo skirstomi į tris rizikų veiksnių grupes: </w:t>
      </w:r>
      <w:r w:rsidRPr="00F918A0">
        <w:rPr>
          <w:rFonts w:ascii="Georgia" w:hAnsi="Georgia"/>
          <w:sz w:val="20"/>
          <w:szCs w:val="20"/>
          <w:lang w:val="lt-LT"/>
        </w:rPr>
        <w:t>planavimo, mišrią ir įgyvendinimo:</w:t>
      </w:r>
    </w:p>
    <w:p w14:paraId="779A0664" w14:textId="77777777" w:rsidR="00451BC7" w:rsidRPr="00E649A6" w:rsidRDefault="00451BC7" w:rsidP="00C03122">
      <w:pPr>
        <w:numPr>
          <w:ilvl w:val="0"/>
          <w:numId w:val="5"/>
        </w:numPr>
        <w:spacing w:after="0"/>
        <w:ind w:left="714" w:hanging="357"/>
        <w:jc w:val="both"/>
        <w:rPr>
          <w:rFonts w:ascii="Georgia" w:hAnsi="Georgia"/>
          <w:sz w:val="20"/>
          <w:szCs w:val="20"/>
          <w:lang w:val="lt-LT"/>
        </w:rPr>
      </w:pPr>
      <w:r w:rsidRPr="00932DD0">
        <w:rPr>
          <w:rFonts w:ascii="Georgia" w:hAnsi="Georgia"/>
          <w:sz w:val="20"/>
          <w:szCs w:val="20"/>
          <w:lang w:val="lt-LT"/>
        </w:rPr>
        <w:t>Planavimo</w:t>
      </w:r>
      <w:r w:rsidRPr="00E649A6">
        <w:rPr>
          <w:rFonts w:ascii="Georgia" w:hAnsi="Georgia"/>
          <w:sz w:val="20"/>
          <w:szCs w:val="20"/>
          <w:lang w:val="lt-LT"/>
        </w:rPr>
        <w:t xml:space="preserve"> – veiksniai, apimantys veiksmus susijusius su finansinių priemonių kūrimu.</w:t>
      </w:r>
    </w:p>
    <w:p w14:paraId="6AF42788" w14:textId="77777777" w:rsidR="00451BC7" w:rsidRPr="00E649A6" w:rsidRDefault="00451BC7" w:rsidP="00C03122">
      <w:pPr>
        <w:numPr>
          <w:ilvl w:val="0"/>
          <w:numId w:val="5"/>
        </w:numPr>
        <w:spacing w:after="0"/>
        <w:ind w:left="714" w:hanging="357"/>
        <w:jc w:val="both"/>
        <w:rPr>
          <w:rFonts w:ascii="Georgia" w:hAnsi="Georgia"/>
          <w:sz w:val="20"/>
          <w:szCs w:val="20"/>
          <w:lang w:val="lt-LT"/>
        </w:rPr>
      </w:pPr>
      <w:r w:rsidRPr="00932DD0">
        <w:rPr>
          <w:rFonts w:ascii="Georgia" w:hAnsi="Georgia"/>
          <w:sz w:val="20"/>
          <w:szCs w:val="20"/>
          <w:lang w:val="lt-LT"/>
        </w:rPr>
        <w:t>Mišrūs</w:t>
      </w:r>
      <w:r w:rsidRPr="00E649A6">
        <w:rPr>
          <w:rFonts w:ascii="Georgia" w:hAnsi="Georgia"/>
          <w:sz w:val="20"/>
          <w:szCs w:val="20"/>
          <w:lang w:val="lt-LT"/>
        </w:rPr>
        <w:t xml:space="preserve"> – veiksniai, kurie aktualūs tiek planavimo, tiek įgyvendinimo etapuose.</w:t>
      </w:r>
    </w:p>
    <w:p w14:paraId="339D7A54" w14:textId="77777777" w:rsidR="00451BC7" w:rsidRPr="00932DD0" w:rsidRDefault="00451BC7" w:rsidP="00C03122">
      <w:pPr>
        <w:numPr>
          <w:ilvl w:val="0"/>
          <w:numId w:val="5"/>
        </w:numPr>
        <w:spacing w:after="0"/>
        <w:ind w:left="714" w:hanging="357"/>
        <w:jc w:val="both"/>
        <w:rPr>
          <w:rFonts w:ascii="Georgia" w:hAnsi="Georgia"/>
          <w:sz w:val="20"/>
          <w:szCs w:val="20"/>
          <w:lang w:val="lt-LT"/>
        </w:rPr>
      </w:pPr>
      <w:r w:rsidRPr="00932DD0">
        <w:rPr>
          <w:rFonts w:ascii="Georgia" w:hAnsi="Georgia"/>
          <w:sz w:val="20"/>
          <w:szCs w:val="20"/>
          <w:lang w:val="lt-LT"/>
        </w:rPr>
        <w:t xml:space="preserve">Įgyvendinimo – </w:t>
      </w:r>
      <w:r w:rsidRPr="00E649A6">
        <w:rPr>
          <w:rFonts w:ascii="Georgia" w:hAnsi="Georgia"/>
          <w:sz w:val="20"/>
          <w:szCs w:val="20"/>
          <w:lang w:val="lt-LT"/>
        </w:rPr>
        <w:t>veiksniai, apimantys veiksmus susijusius su finansinių priemonių įgyvendinimu.</w:t>
      </w:r>
    </w:p>
    <w:p w14:paraId="3B6AADFA" w14:textId="77777777" w:rsidR="00451BC7" w:rsidRDefault="00451BC7" w:rsidP="00451BC7">
      <w:pPr>
        <w:jc w:val="both"/>
        <w:rPr>
          <w:rFonts w:ascii="Georgia" w:hAnsi="Georgia"/>
          <w:sz w:val="20"/>
          <w:szCs w:val="20"/>
          <w:lang w:val="lt-LT"/>
        </w:rPr>
      </w:pPr>
    </w:p>
    <w:p w14:paraId="06A111E9" w14:textId="77777777" w:rsidR="00451BC7" w:rsidRPr="00932DD0" w:rsidRDefault="00451BC7" w:rsidP="00451BC7">
      <w:pPr>
        <w:jc w:val="both"/>
        <w:rPr>
          <w:rFonts w:ascii="Georgia" w:hAnsi="Georgia"/>
          <w:sz w:val="20"/>
          <w:szCs w:val="20"/>
          <w:lang w:val="lt-LT"/>
        </w:rPr>
      </w:pPr>
      <w:r w:rsidRPr="00932DD0">
        <w:rPr>
          <w:rFonts w:ascii="Georgia" w:hAnsi="Georgia"/>
          <w:sz w:val="20"/>
          <w:szCs w:val="20"/>
          <w:lang w:val="lt-LT"/>
        </w:rPr>
        <w:t>Vertinamas rizikos faktoriaus, jei jis pasireikštų, poveikis. Kiekvieno rizikos veiksnio poveikis vertinamas keturiais aspektais:</w:t>
      </w:r>
    </w:p>
    <w:p w14:paraId="6C38D30F" w14:textId="77777777" w:rsidR="00451BC7" w:rsidRPr="00F918A0" w:rsidRDefault="00451BC7" w:rsidP="00C03122">
      <w:pPr>
        <w:numPr>
          <w:ilvl w:val="0"/>
          <w:numId w:val="5"/>
        </w:numPr>
        <w:spacing w:after="0"/>
        <w:ind w:left="714" w:hanging="357"/>
        <w:jc w:val="both"/>
        <w:rPr>
          <w:rFonts w:ascii="Georgia" w:hAnsi="Georgia"/>
          <w:sz w:val="20"/>
          <w:szCs w:val="20"/>
          <w:lang w:val="lt-LT"/>
        </w:rPr>
      </w:pPr>
      <w:r w:rsidRPr="00F918A0">
        <w:rPr>
          <w:rFonts w:ascii="Georgia" w:hAnsi="Georgia"/>
          <w:sz w:val="20"/>
          <w:szCs w:val="20"/>
          <w:lang w:val="lt-LT"/>
        </w:rPr>
        <w:t>poveikiu rezultatams – vertinamas rizikos faktoriaus pasireiškimo poveikis finansinių priemonių rezultatams ir jų kokybei viso priemonės įgyvendinimo laikotarpio metu;</w:t>
      </w:r>
    </w:p>
    <w:p w14:paraId="5B05E839" w14:textId="77777777" w:rsidR="00451BC7" w:rsidRPr="00F918A0" w:rsidRDefault="00451BC7" w:rsidP="00C03122">
      <w:pPr>
        <w:numPr>
          <w:ilvl w:val="0"/>
          <w:numId w:val="5"/>
        </w:numPr>
        <w:spacing w:after="0"/>
        <w:ind w:left="714" w:hanging="357"/>
        <w:jc w:val="both"/>
        <w:rPr>
          <w:rFonts w:ascii="Georgia" w:hAnsi="Georgia"/>
          <w:sz w:val="20"/>
          <w:szCs w:val="20"/>
          <w:lang w:val="lt-LT"/>
        </w:rPr>
      </w:pPr>
      <w:r w:rsidRPr="00F918A0">
        <w:rPr>
          <w:rFonts w:ascii="Georgia" w:hAnsi="Georgia"/>
          <w:sz w:val="20"/>
          <w:szCs w:val="20"/>
          <w:lang w:val="lt-LT"/>
        </w:rPr>
        <w:t>finansiniu poveikiu – vertinama, ar pasireiškus rizikos veiksniui gali atsirasti neigiamų finansinių padarinių;</w:t>
      </w:r>
    </w:p>
    <w:p w14:paraId="0CAAC3A1" w14:textId="77777777" w:rsidR="00451BC7" w:rsidRPr="00F918A0" w:rsidRDefault="00451BC7" w:rsidP="00C03122">
      <w:pPr>
        <w:numPr>
          <w:ilvl w:val="0"/>
          <w:numId w:val="5"/>
        </w:numPr>
        <w:spacing w:after="0"/>
        <w:ind w:left="714" w:hanging="357"/>
        <w:jc w:val="both"/>
        <w:rPr>
          <w:rFonts w:ascii="Georgia" w:hAnsi="Georgia"/>
          <w:sz w:val="20"/>
          <w:szCs w:val="20"/>
          <w:lang w:val="lt-LT"/>
        </w:rPr>
      </w:pPr>
      <w:r w:rsidRPr="00F918A0">
        <w:rPr>
          <w:rFonts w:ascii="Georgia" w:hAnsi="Georgia"/>
          <w:sz w:val="20"/>
          <w:szCs w:val="20"/>
          <w:lang w:val="lt-LT"/>
        </w:rPr>
        <w:t>poveikiu įgyvendinimo spartai – vertinama, ar pasireiškus rizikos veiksniui planavimo ir/ar įgyvendinimo etapai truks ilgiau;</w:t>
      </w:r>
    </w:p>
    <w:p w14:paraId="0E1FA0B4" w14:textId="77777777" w:rsidR="00451BC7" w:rsidRPr="00E649A6" w:rsidRDefault="00451BC7" w:rsidP="00C03122">
      <w:pPr>
        <w:numPr>
          <w:ilvl w:val="0"/>
          <w:numId w:val="5"/>
        </w:numPr>
        <w:jc w:val="both"/>
        <w:rPr>
          <w:rFonts w:ascii="Georgia" w:hAnsi="Georgia"/>
          <w:sz w:val="20"/>
          <w:szCs w:val="20"/>
          <w:lang w:val="lt-LT"/>
        </w:rPr>
      </w:pPr>
      <w:r w:rsidRPr="00F918A0">
        <w:rPr>
          <w:rFonts w:ascii="Georgia" w:hAnsi="Georgia"/>
          <w:sz w:val="20"/>
          <w:szCs w:val="20"/>
          <w:lang w:val="lt-LT"/>
        </w:rPr>
        <w:t>poveikiu reputacijai – vertinama</w:t>
      </w:r>
      <w:r w:rsidRPr="00E649A6">
        <w:rPr>
          <w:rFonts w:ascii="Georgia" w:hAnsi="Georgia"/>
          <w:sz w:val="20"/>
          <w:szCs w:val="20"/>
          <w:lang w:val="lt-LT"/>
        </w:rPr>
        <w:t>, ar pasireiškęs rizikos veiksnys, gali turėti neigiamų padarinių finansinės priemonės reputacijai.</w:t>
      </w:r>
    </w:p>
    <w:p w14:paraId="6E64C91E" w14:textId="77777777" w:rsidR="00451BC7" w:rsidRPr="00E649A6" w:rsidRDefault="00451BC7" w:rsidP="00451BC7">
      <w:pPr>
        <w:jc w:val="both"/>
        <w:rPr>
          <w:rFonts w:ascii="Georgia" w:hAnsi="Georgia"/>
          <w:sz w:val="20"/>
          <w:szCs w:val="20"/>
          <w:lang w:val="lt-LT"/>
        </w:rPr>
      </w:pPr>
      <w:r w:rsidRPr="00E649A6">
        <w:rPr>
          <w:rFonts w:ascii="Georgia" w:hAnsi="Georgia"/>
          <w:sz w:val="20"/>
          <w:szCs w:val="20"/>
          <w:lang w:val="lt-LT"/>
        </w:rPr>
        <w:t xml:space="preserve">Rizikos veiksnių poveikio stiprumas skirstomas į </w:t>
      </w:r>
      <w:r w:rsidRPr="00F918A0">
        <w:rPr>
          <w:rFonts w:ascii="Georgia" w:hAnsi="Georgia"/>
          <w:sz w:val="20"/>
          <w:szCs w:val="20"/>
          <w:lang w:val="lt-LT"/>
        </w:rPr>
        <w:t>neutralų, neženklų, vidutinį ir ženklų</w:t>
      </w:r>
      <w:r w:rsidRPr="00E649A6">
        <w:rPr>
          <w:rFonts w:ascii="Georgia" w:hAnsi="Georgia"/>
          <w:sz w:val="20"/>
          <w:szCs w:val="20"/>
          <w:lang w:val="lt-LT"/>
        </w:rPr>
        <w:t>.</w:t>
      </w:r>
    </w:p>
    <w:p w14:paraId="2B8478CA" w14:textId="77777777" w:rsidR="00451BC7" w:rsidRPr="00F918A0" w:rsidRDefault="00451BC7" w:rsidP="00451BC7">
      <w:pPr>
        <w:jc w:val="both"/>
        <w:rPr>
          <w:rFonts w:ascii="Georgia" w:hAnsi="Georgia"/>
          <w:sz w:val="20"/>
          <w:szCs w:val="20"/>
          <w:lang w:val="lt-LT"/>
        </w:rPr>
      </w:pPr>
      <w:r w:rsidRPr="00E649A6">
        <w:rPr>
          <w:rFonts w:ascii="Georgia" w:hAnsi="Georgia"/>
          <w:bCs/>
          <w:sz w:val="20"/>
          <w:szCs w:val="20"/>
          <w:lang w:val="lt-LT"/>
        </w:rPr>
        <w:t xml:space="preserve">Taip pat įvertinama kiekvieno identifikuoto rizikos veiksnio pasireiškimo tikimybė po rizikos valdymo priemonių taikymo. Naudojama vertinimo skalė – </w:t>
      </w:r>
      <w:r w:rsidRPr="00F918A0">
        <w:rPr>
          <w:rFonts w:ascii="Georgia" w:hAnsi="Georgia"/>
          <w:sz w:val="20"/>
          <w:szCs w:val="20"/>
          <w:lang w:val="lt-LT"/>
        </w:rPr>
        <w:t>labai maža, maža, vidutinė ir didelė.</w:t>
      </w:r>
    </w:p>
    <w:p w14:paraId="141A9EA6" w14:textId="77777777" w:rsidR="00451BC7" w:rsidRPr="00E649A6" w:rsidRDefault="00451BC7" w:rsidP="00451BC7">
      <w:pPr>
        <w:jc w:val="both"/>
        <w:rPr>
          <w:rFonts w:ascii="Georgia" w:hAnsi="Georgia"/>
          <w:sz w:val="20"/>
          <w:szCs w:val="20"/>
          <w:lang w:val="lt-LT"/>
        </w:rPr>
      </w:pPr>
      <w:r w:rsidRPr="00EC6257">
        <w:rPr>
          <w:rFonts w:ascii="Georgia" w:hAnsi="Georgia"/>
          <w:sz w:val="20"/>
          <w:szCs w:val="20"/>
          <w:lang w:val="lt-LT"/>
        </w:rPr>
        <w:t>Identifikuoti rizikos faktoriai ir jų valdymo planas pateikiami lentelėje</w:t>
      </w:r>
      <w:r w:rsidRPr="00932DD0">
        <w:rPr>
          <w:rFonts w:ascii="Georgia" w:hAnsi="Georgia"/>
          <w:sz w:val="20"/>
          <w:szCs w:val="20"/>
          <w:lang w:val="lt-LT"/>
        </w:rPr>
        <w:t xml:space="preserve"> 6 priede</w:t>
      </w:r>
      <w:r w:rsidRPr="000C4574">
        <w:rPr>
          <w:rFonts w:ascii="Georgia" w:hAnsi="Georgia"/>
          <w:sz w:val="20"/>
          <w:szCs w:val="20"/>
          <w:lang w:val="lt-LT"/>
        </w:rPr>
        <w:t>.</w:t>
      </w:r>
    </w:p>
    <w:p w14:paraId="5C4501CC" w14:textId="77777777" w:rsidR="00451BC7" w:rsidRPr="00E649A6" w:rsidRDefault="00451BC7" w:rsidP="00451BC7">
      <w:pPr>
        <w:jc w:val="both"/>
        <w:rPr>
          <w:rFonts w:ascii="Georgia" w:hAnsi="Georgia"/>
          <w:sz w:val="20"/>
          <w:szCs w:val="20"/>
          <w:lang w:val="lt-LT"/>
        </w:rPr>
      </w:pPr>
      <w:r w:rsidRPr="00B62D03">
        <w:rPr>
          <w:rFonts w:ascii="Georgia" w:hAnsi="Georgia"/>
          <w:sz w:val="20"/>
          <w:szCs w:val="20"/>
          <w:lang w:val="lt-LT"/>
        </w:rPr>
        <w:t>Įgyvendinus numatytas rizikos valdymo priemones visų rizikos veiksnių pasireiškimo tikimybė vertinama kaip maža arba labai maža. Todėl daroma išvada, kad numatomų finansinių priemonių rizikos lygis yra priimtinas</w:t>
      </w:r>
      <w:r w:rsidR="00B62D03">
        <w:rPr>
          <w:rFonts w:ascii="Georgia" w:hAnsi="Georgia"/>
          <w:sz w:val="20"/>
          <w:szCs w:val="20"/>
          <w:lang w:val="lt-LT"/>
        </w:rPr>
        <w:t xml:space="preserve"> su sąlyga, kad numatytos rizikos valdymo priemonės bus efektyviai įgyvendintos. </w:t>
      </w:r>
    </w:p>
    <w:p w14:paraId="5E62D17D" w14:textId="77777777" w:rsidR="00E84A38" w:rsidRPr="00E649A6" w:rsidRDefault="00E84A38" w:rsidP="00E84A38">
      <w:pPr>
        <w:jc w:val="both"/>
        <w:rPr>
          <w:rFonts w:ascii="Georgia" w:hAnsi="Georgia"/>
          <w:sz w:val="20"/>
          <w:szCs w:val="20"/>
          <w:lang w:val="lt-LT"/>
        </w:rPr>
        <w:sectPr w:rsidR="00E84A38" w:rsidRPr="00E649A6" w:rsidSect="000E3422">
          <w:headerReference w:type="default" r:id="rId103"/>
          <w:pgSz w:w="11906" w:h="16838" w:code="9"/>
          <w:pgMar w:top="1440" w:right="1440" w:bottom="1440" w:left="1440" w:header="708" w:footer="708" w:gutter="0"/>
          <w:cols w:space="708"/>
          <w:titlePg/>
          <w:docGrid w:linePitch="360"/>
        </w:sectPr>
      </w:pPr>
    </w:p>
    <w:p w14:paraId="100B9536" w14:textId="77777777" w:rsidR="00E044B9" w:rsidRPr="00DF3A8E" w:rsidRDefault="00E044B9" w:rsidP="00C03122">
      <w:pPr>
        <w:pStyle w:val="Antrat1"/>
        <w:numPr>
          <w:ilvl w:val="0"/>
          <w:numId w:val="36"/>
        </w:numPr>
        <w:rPr>
          <w:lang w:val="lt-LT"/>
        </w:rPr>
      </w:pPr>
      <w:bookmarkStart w:id="328" w:name="_Toc398567600"/>
      <w:bookmarkStart w:id="329" w:name="_Toc417378431"/>
      <w:r w:rsidRPr="00DF3A8E">
        <w:rPr>
          <w:lang w:val="lt-LT"/>
        </w:rPr>
        <w:lastRenderedPageBreak/>
        <w:t>Investavimo strategija</w:t>
      </w:r>
      <w:bookmarkEnd w:id="328"/>
      <w:bookmarkEnd w:id="329"/>
    </w:p>
    <w:p w14:paraId="2767E234" w14:textId="77777777" w:rsidR="00151543" w:rsidRPr="00AC3318" w:rsidRDefault="00151543" w:rsidP="00151543">
      <w:pPr>
        <w:pStyle w:val="prastasis1"/>
        <w:spacing w:line="276" w:lineRule="auto"/>
        <w:jc w:val="both"/>
        <w:rPr>
          <w:rFonts w:ascii="Georgia" w:hAnsi="Georgia"/>
          <w:sz w:val="20"/>
          <w:szCs w:val="20"/>
        </w:rPr>
      </w:pPr>
      <w:r w:rsidRPr="00AC3318">
        <w:rPr>
          <w:rFonts w:ascii="Georgia" w:hAnsi="Georgia"/>
          <w:sz w:val="20"/>
          <w:szCs w:val="20"/>
        </w:rPr>
        <w:t>Šioje ex</w:t>
      </w:r>
      <w:r w:rsidR="00B718B4">
        <w:rPr>
          <w:rFonts w:ascii="Georgia" w:hAnsi="Georgia"/>
          <w:sz w:val="20"/>
          <w:szCs w:val="20"/>
        </w:rPr>
        <w:t xml:space="preserve"> </w:t>
      </w:r>
      <w:r w:rsidRPr="00AC3318">
        <w:rPr>
          <w:rFonts w:ascii="Georgia" w:hAnsi="Georgia"/>
          <w:sz w:val="20"/>
          <w:szCs w:val="20"/>
        </w:rPr>
        <w:t>ante analizėje analizuojam</w:t>
      </w:r>
      <w:r>
        <w:rPr>
          <w:rFonts w:ascii="Georgia" w:hAnsi="Georgia"/>
          <w:sz w:val="20"/>
          <w:szCs w:val="20"/>
        </w:rPr>
        <w:t>os šios</w:t>
      </w:r>
      <w:r w:rsidRPr="00AC3318">
        <w:rPr>
          <w:rFonts w:ascii="Georgia" w:hAnsi="Georgia"/>
          <w:sz w:val="20"/>
          <w:szCs w:val="20"/>
        </w:rPr>
        <w:t xml:space="preserve"> energijos efektyvum</w:t>
      </w:r>
      <w:r>
        <w:rPr>
          <w:rFonts w:ascii="Georgia" w:hAnsi="Georgia"/>
          <w:sz w:val="20"/>
          <w:szCs w:val="20"/>
        </w:rPr>
        <w:t>o</w:t>
      </w:r>
      <w:r w:rsidRPr="00AC3318">
        <w:rPr>
          <w:rFonts w:ascii="Georgia" w:hAnsi="Georgia"/>
          <w:sz w:val="20"/>
          <w:szCs w:val="20"/>
        </w:rPr>
        <w:t xml:space="preserve"> sritys: </w:t>
      </w:r>
    </w:p>
    <w:p w14:paraId="575DB776" w14:textId="77777777" w:rsidR="00151543" w:rsidRPr="00AC3318" w:rsidRDefault="00151543" w:rsidP="00C03122">
      <w:pPr>
        <w:pStyle w:val="prastasis1"/>
        <w:numPr>
          <w:ilvl w:val="0"/>
          <w:numId w:val="7"/>
        </w:numPr>
        <w:spacing w:line="276" w:lineRule="auto"/>
        <w:jc w:val="both"/>
        <w:rPr>
          <w:rFonts w:ascii="Georgia" w:hAnsi="Georgia"/>
          <w:sz w:val="20"/>
          <w:szCs w:val="20"/>
        </w:rPr>
      </w:pPr>
      <w:r w:rsidRPr="00AC3318">
        <w:rPr>
          <w:rFonts w:ascii="Georgia" w:hAnsi="Georgia"/>
          <w:sz w:val="20"/>
          <w:szCs w:val="20"/>
        </w:rPr>
        <w:t>daugiabučių renovacij</w:t>
      </w:r>
      <w:r>
        <w:rPr>
          <w:rFonts w:ascii="Georgia" w:hAnsi="Georgia"/>
          <w:sz w:val="20"/>
          <w:szCs w:val="20"/>
        </w:rPr>
        <w:t>a</w:t>
      </w:r>
      <w:r w:rsidRPr="00AC3318">
        <w:rPr>
          <w:rFonts w:ascii="Georgia" w:hAnsi="Georgia"/>
          <w:sz w:val="20"/>
          <w:szCs w:val="20"/>
        </w:rPr>
        <w:t>;</w:t>
      </w:r>
    </w:p>
    <w:p w14:paraId="41540A26" w14:textId="77777777" w:rsidR="00151543" w:rsidRPr="00AC3318" w:rsidRDefault="00151543" w:rsidP="00C03122">
      <w:pPr>
        <w:pStyle w:val="prastasis1"/>
        <w:numPr>
          <w:ilvl w:val="0"/>
          <w:numId w:val="7"/>
        </w:numPr>
        <w:spacing w:line="276" w:lineRule="auto"/>
        <w:jc w:val="both"/>
        <w:rPr>
          <w:rFonts w:ascii="Georgia" w:hAnsi="Georgia"/>
          <w:sz w:val="20"/>
          <w:szCs w:val="20"/>
        </w:rPr>
      </w:pPr>
      <w:r w:rsidRPr="00AC3318">
        <w:rPr>
          <w:rFonts w:ascii="Georgia" w:hAnsi="Georgia"/>
          <w:sz w:val="20"/>
          <w:szCs w:val="20"/>
        </w:rPr>
        <w:t xml:space="preserve">centrinės valdžios (valstybės nuosavybės teise valdomų) </w:t>
      </w:r>
      <w:r>
        <w:rPr>
          <w:rFonts w:ascii="Georgia" w:hAnsi="Georgia"/>
          <w:sz w:val="20"/>
          <w:szCs w:val="20"/>
        </w:rPr>
        <w:t xml:space="preserve">viešųjų </w:t>
      </w:r>
      <w:r w:rsidRPr="00AC3318">
        <w:rPr>
          <w:rFonts w:ascii="Georgia" w:hAnsi="Georgia"/>
          <w:sz w:val="20"/>
          <w:szCs w:val="20"/>
        </w:rPr>
        <w:t>pastatų renovacij</w:t>
      </w:r>
      <w:r>
        <w:rPr>
          <w:rFonts w:ascii="Georgia" w:hAnsi="Georgia"/>
          <w:sz w:val="20"/>
          <w:szCs w:val="20"/>
        </w:rPr>
        <w:t>a</w:t>
      </w:r>
      <w:r w:rsidRPr="00AC3318">
        <w:rPr>
          <w:rFonts w:ascii="Georgia" w:hAnsi="Georgia"/>
          <w:sz w:val="20"/>
          <w:szCs w:val="20"/>
        </w:rPr>
        <w:t>;</w:t>
      </w:r>
    </w:p>
    <w:p w14:paraId="50163D4E" w14:textId="77777777" w:rsidR="00151543" w:rsidRPr="00AC3318" w:rsidRDefault="00151543" w:rsidP="00C03122">
      <w:pPr>
        <w:pStyle w:val="prastasis1"/>
        <w:numPr>
          <w:ilvl w:val="0"/>
          <w:numId w:val="7"/>
        </w:numPr>
        <w:spacing w:line="276" w:lineRule="auto"/>
        <w:jc w:val="both"/>
        <w:rPr>
          <w:rFonts w:ascii="Georgia" w:hAnsi="Georgia"/>
          <w:sz w:val="20"/>
          <w:szCs w:val="20"/>
        </w:rPr>
      </w:pPr>
      <w:r w:rsidRPr="00AC3318">
        <w:rPr>
          <w:rFonts w:ascii="Georgia" w:hAnsi="Georgia"/>
          <w:sz w:val="20"/>
          <w:szCs w:val="20"/>
        </w:rPr>
        <w:t>savivaldybių (savivaldybių nuosavybės teise valdomų)</w:t>
      </w:r>
      <w:r>
        <w:rPr>
          <w:rFonts w:ascii="Georgia" w:hAnsi="Georgia"/>
          <w:sz w:val="20"/>
          <w:szCs w:val="20"/>
        </w:rPr>
        <w:t xml:space="preserve"> viešųjų</w:t>
      </w:r>
      <w:r w:rsidRPr="00AC3318">
        <w:rPr>
          <w:rFonts w:ascii="Georgia" w:hAnsi="Georgia"/>
          <w:sz w:val="20"/>
          <w:szCs w:val="20"/>
        </w:rPr>
        <w:t xml:space="preserve"> pastatų renovacija;</w:t>
      </w:r>
    </w:p>
    <w:p w14:paraId="003AA997" w14:textId="77777777" w:rsidR="00151543" w:rsidRDefault="00151543" w:rsidP="00C03122">
      <w:pPr>
        <w:pStyle w:val="prastasis1"/>
        <w:numPr>
          <w:ilvl w:val="0"/>
          <w:numId w:val="7"/>
        </w:numPr>
        <w:spacing w:line="276" w:lineRule="auto"/>
        <w:jc w:val="both"/>
        <w:rPr>
          <w:rFonts w:ascii="Georgia" w:hAnsi="Georgia"/>
          <w:sz w:val="20"/>
          <w:szCs w:val="20"/>
        </w:rPr>
      </w:pPr>
      <w:r w:rsidRPr="00AC3318">
        <w:rPr>
          <w:rFonts w:ascii="Georgia" w:hAnsi="Georgia"/>
          <w:sz w:val="20"/>
          <w:szCs w:val="20"/>
        </w:rPr>
        <w:t>gatvių apšvietimo modernizavim</w:t>
      </w:r>
      <w:r>
        <w:rPr>
          <w:rFonts w:ascii="Georgia" w:hAnsi="Georgia"/>
          <w:sz w:val="20"/>
          <w:szCs w:val="20"/>
        </w:rPr>
        <w:t>as</w:t>
      </w:r>
      <w:r w:rsidRPr="00AC3318">
        <w:rPr>
          <w:rFonts w:ascii="Georgia" w:hAnsi="Georgia"/>
          <w:sz w:val="20"/>
          <w:szCs w:val="20"/>
        </w:rPr>
        <w:t>.</w:t>
      </w:r>
    </w:p>
    <w:p w14:paraId="6588A792" w14:textId="77777777" w:rsidR="00151543" w:rsidRDefault="00B718B4" w:rsidP="00151543">
      <w:pPr>
        <w:pStyle w:val="prastasis1"/>
        <w:spacing w:line="276" w:lineRule="auto"/>
        <w:jc w:val="both"/>
        <w:rPr>
          <w:rFonts w:ascii="Georgia" w:hAnsi="Georgia"/>
          <w:sz w:val="20"/>
          <w:szCs w:val="20"/>
        </w:rPr>
      </w:pPr>
      <w:r>
        <w:rPr>
          <w:rFonts w:ascii="Georgia" w:hAnsi="Georgia"/>
          <w:sz w:val="20"/>
          <w:szCs w:val="20"/>
        </w:rPr>
        <w:t xml:space="preserve">Šioje Investavimo strategijoje </w:t>
      </w:r>
      <w:r w:rsidR="00151543">
        <w:rPr>
          <w:rFonts w:ascii="Georgia" w:hAnsi="Georgia"/>
          <w:sz w:val="20"/>
          <w:szCs w:val="20"/>
        </w:rPr>
        <w:t xml:space="preserve">yra išskiriamos </w:t>
      </w:r>
      <w:r w:rsidR="00940524">
        <w:rPr>
          <w:rFonts w:ascii="Georgia" w:hAnsi="Georgia"/>
          <w:sz w:val="20"/>
          <w:szCs w:val="20"/>
        </w:rPr>
        <w:t>trys</w:t>
      </w:r>
      <w:r w:rsidR="00151543">
        <w:rPr>
          <w:rFonts w:ascii="Georgia" w:hAnsi="Georgia"/>
          <w:sz w:val="20"/>
          <w:szCs w:val="20"/>
        </w:rPr>
        <w:t xml:space="preserve"> investavimo strategijos: daugiabučių modernizavimo investavimo strategija</w:t>
      </w:r>
      <w:r w:rsidR="00940524">
        <w:rPr>
          <w:rFonts w:ascii="Georgia" w:hAnsi="Georgia"/>
          <w:sz w:val="20"/>
          <w:szCs w:val="20"/>
        </w:rPr>
        <w:t>,</w:t>
      </w:r>
      <w:r w:rsidR="00151543">
        <w:rPr>
          <w:rFonts w:ascii="Georgia" w:hAnsi="Georgia"/>
          <w:sz w:val="20"/>
          <w:szCs w:val="20"/>
        </w:rPr>
        <w:t xml:space="preserve"> viešųjų pastatų ir gatvių apšvietimo modernizavimo investavimo strategija</w:t>
      </w:r>
      <w:r w:rsidR="00940524">
        <w:rPr>
          <w:rFonts w:ascii="Georgia" w:hAnsi="Georgia"/>
          <w:sz w:val="20"/>
          <w:szCs w:val="20"/>
        </w:rPr>
        <w:t>, savivaldybių viešųjų pastatų modernizavimo investavimo strategija</w:t>
      </w:r>
      <w:r w:rsidR="00151543">
        <w:rPr>
          <w:rFonts w:ascii="Georgia" w:hAnsi="Georgia"/>
          <w:sz w:val="20"/>
          <w:szCs w:val="20"/>
        </w:rPr>
        <w:t xml:space="preserve">. </w:t>
      </w:r>
    </w:p>
    <w:p w14:paraId="46918234" w14:textId="77777777" w:rsidR="000203BA" w:rsidRPr="00BB042E" w:rsidRDefault="000203BA" w:rsidP="00151543">
      <w:pPr>
        <w:pStyle w:val="prastasis1"/>
        <w:spacing w:line="276" w:lineRule="auto"/>
        <w:jc w:val="both"/>
        <w:rPr>
          <w:rFonts w:ascii="Georgia" w:hAnsi="Georgia"/>
          <w:sz w:val="20"/>
          <w:szCs w:val="20"/>
          <w:lang w:val="en-US"/>
        </w:rPr>
      </w:pPr>
      <w:r w:rsidRPr="00105B94">
        <w:rPr>
          <w:rFonts w:ascii="Georgia" w:hAnsi="Georgia"/>
          <w:sz w:val="20"/>
          <w:szCs w:val="20"/>
        </w:rPr>
        <w:t>Taip pat pažymėtina, jog siekiant Investavimo strategijoje siūlomus finansinius modelius aptarti su komercinių bankų atstovais buvo atlikta komercinių bankų apklausa, įvyko papildomi susitikimai įvairiems klausimams aptarti. Komercinių bankų apklausų metu surinktos informacijos santrauka pateikiama 7-ame priede.</w:t>
      </w:r>
    </w:p>
    <w:p w14:paraId="573CD7E9" w14:textId="77777777" w:rsidR="00151543" w:rsidRPr="00DF3A8E" w:rsidRDefault="00151543" w:rsidP="00C03122">
      <w:pPr>
        <w:pStyle w:val="Antrat2"/>
        <w:numPr>
          <w:ilvl w:val="1"/>
          <w:numId w:val="36"/>
        </w:numPr>
        <w:spacing w:after="240"/>
        <w:ind w:left="1080"/>
        <w:rPr>
          <w:lang w:val="lt-LT"/>
        </w:rPr>
      </w:pPr>
      <w:bookmarkStart w:id="330" w:name="_Toc398567601"/>
      <w:bookmarkStart w:id="331" w:name="_Toc417378432"/>
      <w:r>
        <w:rPr>
          <w:lang w:val="lt-LT"/>
        </w:rPr>
        <w:t>Daugiabučių modernizavimo</w:t>
      </w:r>
      <w:r w:rsidRPr="00DF3A8E">
        <w:rPr>
          <w:lang w:val="lt-LT"/>
        </w:rPr>
        <w:t xml:space="preserve"> investavimo strategija</w:t>
      </w:r>
      <w:bookmarkEnd w:id="330"/>
      <w:bookmarkEnd w:id="331"/>
    </w:p>
    <w:p w14:paraId="5433E960" w14:textId="77777777" w:rsidR="00151543" w:rsidRPr="00DF3A8E" w:rsidRDefault="00151543" w:rsidP="00C03122">
      <w:pPr>
        <w:pStyle w:val="Antrat2"/>
        <w:numPr>
          <w:ilvl w:val="2"/>
          <w:numId w:val="36"/>
        </w:numPr>
        <w:spacing w:after="240"/>
        <w:rPr>
          <w:lang w:val="lt-LT"/>
        </w:rPr>
      </w:pPr>
      <w:bookmarkStart w:id="332" w:name="_Toc398567602"/>
      <w:bookmarkStart w:id="333" w:name="_Toc417378433"/>
      <w:r w:rsidRPr="00DF3A8E">
        <w:rPr>
          <w:lang w:val="lt-LT"/>
        </w:rPr>
        <w:t>Finansinės priemonės apimtis ir tiksliniai galutiniai naudos gavėjai</w:t>
      </w:r>
      <w:bookmarkEnd w:id="332"/>
      <w:bookmarkEnd w:id="333"/>
      <w:r w:rsidRPr="00DF3A8E">
        <w:rPr>
          <w:lang w:val="lt-LT"/>
        </w:rPr>
        <w:t xml:space="preserve"> </w:t>
      </w:r>
    </w:p>
    <w:p w14:paraId="668CD8A5" w14:textId="77777777" w:rsidR="00C60487" w:rsidRPr="00105B94" w:rsidRDefault="00C60487" w:rsidP="00C60487">
      <w:pPr>
        <w:pStyle w:val="prastasis1"/>
        <w:spacing w:line="276" w:lineRule="auto"/>
        <w:jc w:val="both"/>
        <w:rPr>
          <w:rFonts w:ascii="Georgia" w:hAnsi="Georgia"/>
          <w:sz w:val="20"/>
          <w:szCs w:val="20"/>
        </w:rPr>
      </w:pPr>
      <w:r w:rsidRPr="00105B94">
        <w:rPr>
          <w:rFonts w:ascii="Georgia" w:hAnsi="Georgia"/>
          <w:sz w:val="20"/>
          <w:szCs w:val="20"/>
        </w:rPr>
        <w:t>Analizės metu buvo įvertinta, jog siekiant pasiekti užsibrėžtus rezultatus, Lietuvoje per 2014-2020 metų programavimo laikotarpį reikia daugiabučių renovacijai skirti daugiau kaip 1,3 mlrd. eurų, tačiau išnagrinėjus visus rinkoje prieinamus finansavimo šaltinius (įskaitant ir ESI fondų lėšas) bendras finansavimas daugiabučių renovacijai yra nepakankamas. Siekiant tęsti 2009 m. sukurto JESSICA KF veiklas, 2014-2020 m. periodu iš ESI fondų lėšų daugiabučių namų renovacijai numatyta skirti apie 280,9 mln. eurų. Tačiau net ir vertinant šiuo metu veikiančio JESSICA KF lėšas, poreikis investicijoms yra daugiau kaip tris kartus didesnis. Siekiant finansuoti daugiau projektų, būtina finansavimą teikti ne subsidijų, bet grįžtančias lėšas generuojančių ir privačias lėšas pritraukiančių finansinių priemonių pagrindu.</w:t>
      </w:r>
    </w:p>
    <w:p w14:paraId="44602ACD" w14:textId="77777777" w:rsidR="00C60487" w:rsidRPr="00105B94" w:rsidRDefault="00C60487" w:rsidP="00C60487">
      <w:pPr>
        <w:jc w:val="both"/>
        <w:rPr>
          <w:rFonts w:ascii="Georgia" w:hAnsi="Georgia"/>
          <w:sz w:val="20"/>
          <w:szCs w:val="20"/>
          <w:lang w:val="lt-LT"/>
        </w:rPr>
      </w:pPr>
      <w:r w:rsidRPr="00105B94">
        <w:rPr>
          <w:rFonts w:ascii="Georgia" w:hAnsi="Georgia"/>
          <w:sz w:val="20"/>
          <w:szCs w:val="20"/>
          <w:lang w:val="lt-LT"/>
        </w:rPr>
        <w:t>4.4.1 skyriuje  buvo nustatyta, jog paskolų finansinė priemonė (kai finansinės priemonės lėšos nukreipiamos pirmo praradimo kapitalui suformuoti) yra kiekybiškai naudingiausias finansinis produktas daugiabučių renovacijos projektams, be to, buvo identifikuota, kiek ESI fondų ar kitų lėšų reikėtų skirti šiai finansinei priemonei siekiant padengti visą 2-ame skyriuje identifikuotą rinkos finansavimo trūkumą. Apskaičiuota, jog siekiant padengti visą rinkos finansavimo trūkumą (964,7 mln. eurų įvertinus tai, kad ESI fondų lėšos yra naudojamos pirmo praradimo kapitalui suformuoti) ESI fondų lėšų apimtis turėtų būti 1,1 mlrd. eurų (nekeičiant kitų scenarijuje priimtų prielaidų), taip pat papildomai reikėtų 200 mln. eurų papildomai valstybės paramai kompensuoti (t.y. 15 proc. subsidijai).</w:t>
      </w:r>
    </w:p>
    <w:p w14:paraId="3856D3CA" w14:textId="77777777" w:rsidR="00C60487" w:rsidRPr="00C60487" w:rsidRDefault="00C60487" w:rsidP="00C60487">
      <w:pPr>
        <w:jc w:val="both"/>
        <w:rPr>
          <w:rFonts w:ascii="Georgia" w:hAnsi="Georgia"/>
          <w:sz w:val="20"/>
          <w:szCs w:val="20"/>
          <w:lang w:val="lt-LT"/>
        </w:rPr>
      </w:pPr>
      <w:r w:rsidRPr="00105B94">
        <w:rPr>
          <w:rFonts w:ascii="Georgia" w:hAnsi="Georgia"/>
          <w:sz w:val="20"/>
          <w:szCs w:val="20"/>
          <w:lang w:val="lt-LT"/>
        </w:rPr>
        <w:t>Atsižvelgiant į tai, jog planuojamų skirti ESI fondų lėšų ir reikalingų lėšų rinkos finansavimo trūkumo padengimui skirtumas yra labai didelis (280,9 mln. eurų lyginant su 1,1 mlrd. eurų), rekomenduojama finansinės priemonės apimtis – maksimaliai panaudojamos ESI fondų lėšos numatytos daugiabučių renovacijai.</w:t>
      </w:r>
      <w:r>
        <w:rPr>
          <w:rFonts w:ascii="Georgia" w:hAnsi="Georgia"/>
          <w:sz w:val="20"/>
          <w:szCs w:val="20"/>
          <w:lang w:val="lt-LT"/>
        </w:rPr>
        <w:t xml:space="preserve"> </w:t>
      </w:r>
    </w:p>
    <w:p w14:paraId="7607B3A3" w14:textId="77777777" w:rsidR="00151543" w:rsidRPr="00AC3318" w:rsidRDefault="00151543" w:rsidP="00151543">
      <w:pPr>
        <w:pStyle w:val="prastasis1"/>
        <w:spacing w:line="276" w:lineRule="auto"/>
        <w:jc w:val="both"/>
        <w:rPr>
          <w:rFonts w:ascii="Georgia" w:hAnsi="Georgia"/>
          <w:sz w:val="20"/>
          <w:szCs w:val="20"/>
        </w:rPr>
      </w:pPr>
      <w:r w:rsidRPr="00AC3318">
        <w:rPr>
          <w:rFonts w:ascii="Georgia" w:hAnsi="Georgia"/>
          <w:sz w:val="20"/>
          <w:szCs w:val="20"/>
        </w:rPr>
        <w:t>Finansinės priemonės</w:t>
      </w:r>
      <w:r>
        <w:rPr>
          <w:rFonts w:ascii="Georgia" w:hAnsi="Georgia"/>
          <w:sz w:val="20"/>
          <w:szCs w:val="20"/>
        </w:rPr>
        <w:t xml:space="preserve"> daugiabučių renovacijai</w:t>
      </w:r>
      <w:r w:rsidRPr="00AC3318">
        <w:rPr>
          <w:rFonts w:ascii="Georgia" w:hAnsi="Georgia"/>
          <w:sz w:val="20"/>
          <w:szCs w:val="20"/>
        </w:rPr>
        <w:t xml:space="preserve"> planuojamos įgyvendinti visoje Lietuvos Respublikoje. </w:t>
      </w:r>
      <w:r w:rsidR="009036C4">
        <w:rPr>
          <w:rFonts w:ascii="Georgia" w:hAnsi="Georgia"/>
          <w:sz w:val="20"/>
          <w:szCs w:val="20"/>
        </w:rPr>
        <w:t>Vadovaujantis šiuo metu galiojančiu teisiniu reglamentavimu, g</w:t>
      </w:r>
      <w:r w:rsidRPr="00AC3318">
        <w:rPr>
          <w:rFonts w:ascii="Georgia" w:hAnsi="Georgia"/>
          <w:sz w:val="20"/>
          <w:szCs w:val="20"/>
        </w:rPr>
        <w:t xml:space="preserve">alutiniais naudos gavėjais laikomi </w:t>
      </w:r>
      <w:r w:rsidR="009036C4" w:rsidRPr="009036C4">
        <w:rPr>
          <w:rFonts w:ascii="Georgia" w:hAnsi="Georgia"/>
          <w:sz w:val="20"/>
          <w:szCs w:val="20"/>
        </w:rPr>
        <w:lastRenderedPageBreak/>
        <w:t>daugiabučio nam</w:t>
      </w:r>
      <w:r w:rsidR="009036C4">
        <w:rPr>
          <w:rFonts w:ascii="Georgia" w:hAnsi="Georgia"/>
          <w:sz w:val="20"/>
          <w:szCs w:val="20"/>
        </w:rPr>
        <w:t>o butų ir kitų patalpų savininkai arba projekto administratoriai (</w:t>
      </w:r>
      <w:r w:rsidR="009036C4" w:rsidRPr="009036C4">
        <w:rPr>
          <w:rFonts w:ascii="Georgia" w:hAnsi="Georgia"/>
          <w:sz w:val="20"/>
          <w:szCs w:val="20"/>
        </w:rPr>
        <w:t>bendrojo naudojimo objektų valdytojas arba savivaldybės programos įgyvendinimo administratorius</w:t>
      </w:r>
      <w:r w:rsidR="009036C4">
        <w:rPr>
          <w:rFonts w:ascii="Georgia" w:hAnsi="Georgia"/>
          <w:sz w:val="20"/>
          <w:szCs w:val="20"/>
        </w:rPr>
        <w:t xml:space="preserve">, kaip tai numatyta Valstybės paramos teikimo taisyklėse), </w:t>
      </w:r>
      <w:r w:rsidR="009036C4" w:rsidRPr="009036C4">
        <w:rPr>
          <w:rFonts w:ascii="Georgia" w:hAnsi="Georgia"/>
          <w:sz w:val="20"/>
          <w:szCs w:val="20"/>
        </w:rPr>
        <w:t>veikian</w:t>
      </w:r>
      <w:r w:rsidR="009036C4">
        <w:rPr>
          <w:rFonts w:ascii="Georgia" w:hAnsi="Georgia"/>
          <w:sz w:val="20"/>
          <w:szCs w:val="20"/>
        </w:rPr>
        <w:t>tys</w:t>
      </w:r>
      <w:r w:rsidR="009036C4" w:rsidRPr="009036C4">
        <w:rPr>
          <w:rFonts w:ascii="Georgia" w:hAnsi="Georgia"/>
          <w:sz w:val="20"/>
          <w:szCs w:val="20"/>
        </w:rPr>
        <w:t xml:space="preserve"> daugiabučio namo butų ir kitų patalpų savininkų naudai</w:t>
      </w:r>
      <w:r w:rsidRPr="00AC3318">
        <w:rPr>
          <w:rFonts w:ascii="Georgia" w:hAnsi="Georgia"/>
          <w:sz w:val="20"/>
          <w:szCs w:val="20"/>
        </w:rPr>
        <w:t>.</w:t>
      </w:r>
      <w:r w:rsidR="009036C4">
        <w:rPr>
          <w:rFonts w:ascii="Georgia" w:hAnsi="Georgia"/>
          <w:sz w:val="20"/>
          <w:szCs w:val="20"/>
        </w:rPr>
        <w:t xml:space="preserve"> </w:t>
      </w:r>
    </w:p>
    <w:p w14:paraId="20836A74" w14:textId="77777777" w:rsidR="00151543" w:rsidRPr="00DF3A8E" w:rsidRDefault="00151543" w:rsidP="00C03122">
      <w:pPr>
        <w:pStyle w:val="Antrat2"/>
        <w:numPr>
          <w:ilvl w:val="2"/>
          <w:numId w:val="36"/>
        </w:numPr>
        <w:spacing w:after="240"/>
        <w:rPr>
          <w:lang w:val="lt-LT"/>
        </w:rPr>
      </w:pPr>
      <w:bookmarkStart w:id="334" w:name="_Toc398567603"/>
      <w:bookmarkStart w:id="335" w:name="_Toc417378434"/>
      <w:r w:rsidRPr="00DF3A8E">
        <w:rPr>
          <w:lang w:val="lt-LT"/>
        </w:rPr>
        <w:t>Finansinio produkto parinkimas</w:t>
      </w:r>
      <w:bookmarkEnd w:id="334"/>
      <w:bookmarkEnd w:id="335"/>
    </w:p>
    <w:p w14:paraId="6C97AFE4" w14:textId="77777777" w:rsidR="009036C4" w:rsidRDefault="009036C4" w:rsidP="00151543">
      <w:pPr>
        <w:pStyle w:val="prastasis1"/>
        <w:spacing w:line="276" w:lineRule="auto"/>
        <w:jc w:val="both"/>
        <w:rPr>
          <w:rFonts w:ascii="Georgia" w:hAnsi="Georgia"/>
          <w:sz w:val="20"/>
          <w:szCs w:val="20"/>
        </w:rPr>
      </w:pPr>
      <w:r>
        <w:rPr>
          <w:rFonts w:ascii="Georgia" w:hAnsi="Georgia"/>
          <w:sz w:val="20"/>
          <w:szCs w:val="20"/>
        </w:rPr>
        <w:t xml:space="preserve">Daugiabučių modernizavimo projektams rekomenduojamas efektyviausias finansinis produktas turi būti siūlomas atsižvelgiant į </w:t>
      </w:r>
      <w:r w:rsidR="00CC5D1F">
        <w:rPr>
          <w:rFonts w:ascii="Georgia" w:hAnsi="Georgia"/>
          <w:sz w:val="20"/>
          <w:szCs w:val="20"/>
        </w:rPr>
        <w:t xml:space="preserve">ex ante vertinimo 4.1.1.1 skyriuje atliktą daugiabučių modernizavimo jautrumo analizę ir 4.1.2.1 skyriuje atliktą įvairių finansinių produktų pridėtinės vertės analizę.  </w:t>
      </w:r>
    </w:p>
    <w:p w14:paraId="1243B02C" w14:textId="77777777" w:rsidR="00272058" w:rsidRDefault="00CC5D1F" w:rsidP="00151543">
      <w:pPr>
        <w:pStyle w:val="prastasis1"/>
        <w:spacing w:line="276" w:lineRule="auto"/>
        <w:jc w:val="both"/>
        <w:rPr>
          <w:rFonts w:ascii="Georgia" w:hAnsi="Georgia"/>
          <w:sz w:val="20"/>
          <w:szCs w:val="20"/>
        </w:rPr>
      </w:pPr>
      <w:r>
        <w:rPr>
          <w:rFonts w:ascii="Georgia" w:hAnsi="Georgia"/>
          <w:sz w:val="20"/>
          <w:szCs w:val="20"/>
        </w:rPr>
        <w:t>Siekiant parinkti optimaliausią finansinį produktą d</w:t>
      </w:r>
      <w:r w:rsidR="00151543" w:rsidRPr="00AC3318">
        <w:rPr>
          <w:rFonts w:ascii="Georgia" w:hAnsi="Georgia"/>
          <w:sz w:val="20"/>
          <w:szCs w:val="20"/>
        </w:rPr>
        <w:t xml:space="preserve">augiabučių </w:t>
      </w:r>
      <w:r>
        <w:rPr>
          <w:rFonts w:ascii="Georgia" w:hAnsi="Georgia"/>
          <w:sz w:val="20"/>
          <w:szCs w:val="20"/>
        </w:rPr>
        <w:t>modernizavimo projektų finansavimui,</w:t>
      </w:r>
      <w:r w:rsidR="00151543" w:rsidRPr="00AC3318">
        <w:rPr>
          <w:rFonts w:ascii="Georgia" w:hAnsi="Georgia"/>
          <w:sz w:val="20"/>
          <w:szCs w:val="20"/>
        </w:rPr>
        <w:t xml:space="preserve"> buvo įvertinti (</w:t>
      </w:r>
      <w:r w:rsidR="00151543">
        <w:rPr>
          <w:rFonts w:ascii="Georgia" w:hAnsi="Georgia"/>
          <w:sz w:val="20"/>
          <w:szCs w:val="20"/>
        </w:rPr>
        <w:t>4</w:t>
      </w:r>
      <w:r w:rsidR="00151543" w:rsidRPr="00AC3318">
        <w:rPr>
          <w:rFonts w:ascii="Georgia" w:hAnsi="Georgia"/>
          <w:sz w:val="20"/>
          <w:szCs w:val="20"/>
        </w:rPr>
        <w:t>.1.</w:t>
      </w:r>
      <w:r w:rsidR="00151543">
        <w:rPr>
          <w:rFonts w:ascii="Georgia" w:hAnsi="Georgia"/>
          <w:sz w:val="20"/>
          <w:szCs w:val="20"/>
        </w:rPr>
        <w:t>2.1</w:t>
      </w:r>
      <w:r w:rsidR="00151543" w:rsidRPr="00AC3318">
        <w:rPr>
          <w:rFonts w:ascii="Georgia" w:hAnsi="Georgia"/>
          <w:sz w:val="20"/>
          <w:szCs w:val="20"/>
        </w:rPr>
        <w:t xml:space="preserve"> </w:t>
      </w:r>
      <w:r w:rsidR="00151543">
        <w:rPr>
          <w:rFonts w:ascii="Georgia" w:hAnsi="Georgia"/>
          <w:sz w:val="20"/>
          <w:szCs w:val="20"/>
        </w:rPr>
        <w:t>skyrius</w:t>
      </w:r>
      <w:r w:rsidR="00151543" w:rsidRPr="00AC3318">
        <w:rPr>
          <w:rFonts w:ascii="Georgia" w:hAnsi="Georgia"/>
          <w:sz w:val="20"/>
          <w:szCs w:val="20"/>
        </w:rPr>
        <w:t xml:space="preserve">) </w:t>
      </w:r>
      <w:r w:rsidR="00FD613B">
        <w:rPr>
          <w:rFonts w:ascii="Georgia" w:hAnsi="Georgia"/>
          <w:sz w:val="20"/>
          <w:szCs w:val="20"/>
        </w:rPr>
        <w:t xml:space="preserve">7 </w:t>
      </w:r>
      <w:r w:rsidR="00151543" w:rsidRPr="00AC3318">
        <w:rPr>
          <w:rFonts w:ascii="Georgia" w:hAnsi="Georgia"/>
          <w:sz w:val="20"/>
          <w:szCs w:val="20"/>
        </w:rPr>
        <w:t xml:space="preserve">scenarijai su skirtingais </w:t>
      </w:r>
      <w:r w:rsidR="00151543">
        <w:rPr>
          <w:rFonts w:ascii="Georgia" w:hAnsi="Georgia"/>
          <w:sz w:val="20"/>
          <w:szCs w:val="20"/>
        </w:rPr>
        <w:t xml:space="preserve">finansavimo </w:t>
      </w:r>
      <w:r w:rsidR="00151543" w:rsidRPr="00AC3318">
        <w:rPr>
          <w:rFonts w:ascii="Georgia" w:hAnsi="Georgia"/>
          <w:sz w:val="20"/>
          <w:szCs w:val="20"/>
        </w:rPr>
        <w:t xml:space="preserve">modeliais ir finansinėmis priemonėmis. Atsižvelgiant į </w:t>
      </w:r>
      <w:r w:rsidR="00151543">
        <w:rPr>
          <w:rFonts w:ascii="Georgia" w:hAnsi="Georgia"/>
          <w:sz w:val="20"/>
          <w:szCs w:val="20"/>
        </w:rPr>
        <w:t>4 skyriuje</w:t>
      </w:r>
      <w:r w:rsidR="00151543" w:rsidRPr="00AC3318">
        <w:rPr>
          <w:rFonts w:ascii="Georgia" w:hAnsi="Georgia"/>
          <w:sz w:val="20"/>
          <w:szCs w:val="20"/>
        </w:rPr>
        <w:t xml:space="preserve"> išdėstytus kiekvienos alternatyvos</w:t>
      </w:r>
      <w:r w:rsidR="00FD613B">
        <w:rPr>
          <w:rFonts w:ascii="Georgia" w:hAnsi="Georgia"/>
          <w:sz w:val="20"/>
          <w:szCs w:val="20"/>
        </w:rPr>
        <w:t xml:space="preserve"> kiekybinius rezultatus,</w:t>
      </w:r>
      <w:r w:rsidR="00151543" w:rsidRPr="00AC3318">
        <w:rPr>
          <w:rFonts w:ascii="Georgia" w:hAnsi="Georgia"/>
          <w:sz w:val="20"/>
          <w:szCs w:val="20"/>
        </w:rPr>
        <w:t xml:space="preserve"> privalumus ir trūkumus bei prognozuojamą lėšų poreikį priemonei įgyvendinti ir tikėtiną finansinio sverto rodiklį, siūloma vadovaujančiai institucijai kartu su Aplinkos ministerija </w:t>
      </w:r>
      <w:r w:rsidR="00151543" w:rsidRPr="00151543">
        <w:rPr>
          <w:rFonts w:ascii="Georgia" w:hAnsi="Georgia"/>
          <w:sz w:val="20"/>
          <w:szCs w:val="20"/>
        </w:rPr>
        <w:t>pasirinkti 5</w:t>
      </w:r>
      <w:r w:rsidR="00FD613B">
        <w:rPr>
          <w:rFonts w:ascii="Georgia" w:hAnsi="Georgia"/>
          <w:sz w:val="20"/>
          <w:szCs w:val="20"/>
        </w:rPr>
        <w:t>-ąjį</w:t>
      </w:r>
      <w:r w:rsidR="00151543" w:rsidRPr="00151543">
        <w:rPr>
          <w:rFonts w:ascii="Georgia" w:hAnsi="Georgia"/>
          <w:sz w:val="20"/>
          <w:szCs w:val="20"/>
        </w:rPr>
        <w:t xml:space="preserve"> scenarijuje aprašytą modelį – </w:t>
      </w:r>
      <w:r w:rsidR="00151543">
        <w:rPr>
          <w:rFonts w:ascii="Georgia" w:hAnsi="Georgia"/>
          <w:b/>
          <w:i/>
          <w:sz w:val="20"/>
          <w:szCs w:val="20"/>
        </w:rPr>
        <w:t xml:space="preserve">ESI fondų lėšos nukreipiamos fondo pirmojo praradimo kapitalui suformuoti, </w:t>
      </w:r>
      <w:r w:rsidR="00FD613B">
        <w:rPr>
          <w:rFonts w:ascii="Georgia" w:hAnsi="Georgia"/>
          <w:sz w:val="20"/>
          <w:szCs w:val="20"/>
        </w:rPr>
        <w:t>kuris apima j</w:t>
      </w:r>
      <w:r w:rsidR="00151543" w:rsidRPr="00AC3318">
        <w:rPr>
          <w:rFonts w:ascii="Georgia" w:hAnsi="Georgia"/>
          <w:sz w:val="20"/>
          <w:szCs w:val="20"/>
        </w:rPr>
        <w:t>uridin</w:t>
      </w:r>
      <w:r w:rsidR="00151543">
        <w:rPr>
          <w:rFonts w:ascii="Georgia" w:hAnsi="Georgia"/>
          <w:sz w:val="20"/>
          <w:szCs w:val="20"/>
        </w:rPr>
        <w:t>io</w:t>
      </w:r>
      <w:r w:rsidR="00151543" w:rsidRPr="00AC3318">
        <w:rPr>
          <w:rFonts w:ascii="Georgia" w:hAnsi="Georgia"/>
          <w:sz w:val="20"/>
          <w:szCs w:val="20"/>
        </w:rPr>
        <w:t xml:space="preserve"> </w:t>
      </w:r>
      <w:r w:rsidR="00151543">
        <w:rPr>
          <w:rFonts w:ascii="Georgia" w:hAnsi="Georgia"/>
          <w:sz w:val="20"/>
          <w:szCs w:val="20"/>
        </w:rPr>
        <w:t xml:space="preserve">asmens </w:t>
      </w:r>
      <w:r w:rsidR="00151543" w:rsidRPr="00AC3318">
        <w:rPr>
          <w:rFonts w:ascii="Georgia" w:hAnsi="Georgia"/>
          <w:sz w:val="20"/>
          <w:szCs w:val="20"/>
        </w:rPr>
        <w:t>statusą turinčio fondo steigim</w:t>
      </w:r>
      <w:r w:rsidR="00151543">
        <w:rPr>
          <w:rFonts w:ascii="Georgia" w:hAnsi="Georgia"/>
          <w:sz w:val="20"/>
          <w:szCs w:val="20"/>
        </w:rPr>
        <w:t>ą</w:t>
      </w:r>
      <w:r w:rsidR="00151543" w:rsidRPr="00AC3318">
        <w:rPr>
          <w:rFonts w:ascii="Georgia" w:hAnsi="Georgia"/>
          <w:sz w:val="20"/>
          <w:szCs w:val="20"/>
        </w:rPr>
        <w:t xml:space="preserve"> </w:t>
      </w:r>
      <w:r w:rsidR="00151543">
        <w:rPr>
          <w:rFonts w:ascii="Georgia" w:hAnsi="Georgia"/>
          <w:sz w:val="20"/>
          <w:szCs w:val="20"/>
        </w:rPr>
        <w:t xml:space="preserve"> investuotojų pritraukimui ir </w:t>
      </w:r>
      <w:r w:rsidR="00151543" w:rsidRPr="00AC3318">
        <w:rPr>
          <w:rFonts w:ascii="Georgia" w:hAnsi="Georgia"/>
          <w:sz w:val="20"/>
          <w:szCs w:val="20"/>
        </w:rPr>
        <w:t xml:space="preserve">lengvatinių paskolų </w:t>
      </w:r>
      <w:r w:rsidR="00FD613B">
        <w:rPr>
          <w:rFonts w:ascii="Georgia" w:hAnsi="Georgia"/>
          <w:sz w:val="20"/>
          <w:szCs w:val="20"/>
        </w:rPr>
        <w:t>teikimui</w:t>
      </w:r>
      <w:r w:rsidR="00151543" w:rsidRPr="00AC3318">
        <w:rPr>
          <w:rFonts w:ascii="Georgia" w:hAnsi="Georgia"/>
          <w:sz w:val="20"/>
          <w:szCs w:val="20"/>
        </w:rPr>
        <w:t xml:space="preserve">. </w:t>
      </w:r>
    </w:p>
    <w:p w14:paraId="49CA42A7" w14:textId="77777777" w:rsidR="00407EB4" w:rsidRPr="00407EB4" w:rsidRDefault="00407EB4" w:rsidP="00407EB4">
      <w:pPr>
        <w:pStyle w:val="prastasis1"/>
        <w:jc w:val="both"/>
        <w:rPr>
          <w:rFonts w:ascii="Georgia" w:hAnsi="Georgia"/>
          <w:sz w:val="20"/>
          <w:szCs w:val="20"/>
        </w:rPr>
      </w:pPr>
      <w:r w:rsidRPr="00407EB4">
        <w:rPr>
          <w:rFonts w:ascii="Georgia" w:hAnsi="Georgia"/>
          <w:sz w:val="20"/>
          <w:szCs w:val="20"/>
        </w:rPr>
        <w:t>Ši alternatyva rekomenduotina dėl didžiausių kiekybinių rodiklių, kuriuos galima pasiekti pasirinkus šią alternatyvą:</w:t>
      </w:r>
    </w:p>
    <w:p w14:paraId="6F6BE31F" w14:textId="77777777" w:rsidR="00407EB4" w:rsidRPr="00407EB4" w:rsidRDefault="00407EB4" w:rsidP="002A576D">
      <w:pPr>
        <w:pStyle w:val="prastasis1"/>
        <w:numPr>
          <w:ilvl w:val="0"/>
          <w:numId w:val="84"/>
        </w:numPr>
        <w:jc w:val="both"/>
        <w:rPr>
          <w:rFonts w:ascii="Georgia" w:hAnsi="Georgia"/>
          <w:sz w:val="20"/>
          <w:szCs w:val="20"/>
        </w:rPr>
      </w:pPr>
      <w:r w:rsidRPr="00407EB4">
        <w:rPr>
          <w:rFonts w:ascii="Georgia" w:hAnsi="Georgia"/>
          <w:b/>
          <w:sz w:val="20"/>
          <w:szCs w:val="20"/>
        </w:rPr>
        <w:t>Galutinius naudos gavėjus pasiekusios lėšos – 8</w:t>
      </w:r>
      <w:r w:rsidR="00C60487">
        <w:rPr>
          <w:rFonts w:ascii="Georgia" w:hAnsi="Georgia"/>
          <w:b/>
          <w:sz w:val="20"/>
          <w:szCs w:val="20"/>
        </w:rPr>
        <w:t>32</w:t>
      </w:r>
      <w:r w:rsidRPr="00407EB4">
        <w:rPr>
          <w:rFonts w:ascii="Georgia" w:hAnsi="Georgia"/>
          <w:b/>
          <w:sz w:val="20"/>
          <w:szCs w:val="20"/>
        </w:rPr>
        <w:t>,</w:t>
      </w:r>
      <w:r w:rsidR="00C60487">
        <w:rPr>
          <w:rFonts w:ascii="Georgia" w:hAnsi="Georgia"/>
          <w:b/>
          <w:sz w:val="20"/>
          <w:szCs w:val="20"/>
        </w:rPr>
        <w:t>0</w:t>
      </w:r>
      <w:r w:rsidRPr="00407EB4">
        <w:rPr>
          <w:rFonts w:ascii="Georgia" w:hAnsi="Georgia"/>
          <w:b/>
          <w:sz w:val="20"/>
          <w:szCs w:val="20"/>
        </w:rPr>
        <w:t xml:space="preserve"> mln. eurų.</w:t>
      </w:r>
      <w:r w:rsidRPr="00407EB4">
        <w:rPr>
          <w:rFonts w:ascii="Georgia" w:hAnsi="Georgia"/>
          <w:sz w:val="20"/>
          <w:szCs w:val="20"/>
        </w:rPr>
        <w:t xml:space="preserve"> Šis rodiklis yra didžiausias lyginant su kitomis nagrinėtomis alternatyvomis. Tokią sumą projektų įgyvendinimui galima sugeneruoti apjungiant 2007-2013 m. JESSICA KF grįžtančias lėšas, 2014-2020 m. periodo ESI fondų lėšas bei privačių investuotojų lėšas, kurios, remiantis apklausų su tarptautinėmis finansų institucijomis metu pateikta informacija, galėtų sudaryti apie 70 proc. bendros fondo apimties. </w:t>
      </w:r>
    </w:p>
    <w:p w14:paraId="18F51007" w14:textId="77777777" w:rsidR="00407EB4" w:rsidRPr="00407EB4" w:rsidRDefault="00407EB4" w:rsidP="002A576D">
      <w:pPr>
        <w:pStyle w:val="prastasis1"/>
        <w:numPr>
          <w:ilvl w:val="0"/>
          <w:numId w:val="84"/>
        </w:numPr>
        <w:jc w:val="both"/>
        <w:rPr>
          <w:rFonts w:ascii="Georgia" w:hAnsi="Georgia"/>
          <w:sz w:val="20"/>
          <w:szCs w:val="20"/>
        </w:rPr>
      </w:pPr>
      <w:r w:rsidRPr="00407EB4">
        <w:rPr>
          <w:rFonts w:ascii="Georgia" w:hAnsi="Georgia"/>
          <w:b/>
          <w:sz w:val="20"/>
          <w:szCs w:val="20"/>
        </w:rPr>
        <w:t>Renovuotų pastatų skaičius iki 2022 metų – 4</w:t>
      </w:r>
      <w:r w:rsidR="00C60487">
        <w:rPr>
          <w:rFonts w:ascii="Georgia" w:hAnsi="Georgia"/>
          <w:b/>
          <w:sz w:val="20"/>
          <w:szCs w:val="20"/>
        </w:rPr>
        <w:t>473</w:t>
      </w:r>
      <w:r w:rsidRPr="00407EB4">
        <w:rPr>
          <w:rFonts w:ascii="Georgia" w:hAnsi="Georgia"/>
          <w:b/>
          <w:sz w:val="20"/>
          <w:szCs w:val="20"/>
        </w:rPr>
        <w:t>.</w:t>
      </w:r>
      <w:r w:rsidRPr="00407EB4">
        <w:rPr>
          <w:rFonts w:ascii="Georgia" w:hAnsi="Georgia"/>
          <w:sz w:val="20"/>
          <w:szCs w:val="20"/>
        </w:rPr>
        <w:t xml:space="preserve"> Šis rodiklis, kuris yra tiesiogiai sąlygotas galutinius naudos gavėjus pasiekusių lėšų rodiklio, taip pat yra didžiausias lyginant su kitomis nagrinėtomis alternatyvomis. </w:t>
      </w:r>
    </w:p>
    <w:p w14:paraId="0C74A873" w14:textId="77777777" w:rsidR="00407EB4" w:rsidRPr="00407EB4" w:rsidRDefault="00407EB4" w:rsidP="002A576D">
      <w:pPr>
        <w:pStyle w:val="prastasis1"/>
        <w:numPr>
          <w:ilvl w:val="0"/>
          <w:numId w:val="84"/>
        </w:numPr>
        <w:jc w:val="both"/>
        <w:rPr>
          <w:rFonts w:ascii="Georgia" w:hAnsi="Georgia"/>
          <w:sz w:val="20"/>
          <w:szCs w:val="20"/>
        </w:rPr>
      </w:pPr>
      <w:r w:rsidRPr="00407EB4">
        <w:rPr>
          <w:rFonts w:ascii="Georgia" w:hAnsi="Georgia"/>
          <w:b/>
          <w:sz w:val="20"/>
          <w:szCs w:val="20"/>
        </w:rPr>
        <w:t>Multiplikatoriaus efektas – 2,9</w:t>
      </w:r>
      <w:r w:rsidR="00C60487">
        <w:rPr>
          <w:rFonts w:ascii="Georgia" w:hAnsi="Georgia"/>
          <w:b/>
          <w:sz w:val="20"/>
          <w:szCs w:val="20"/>
        </w:rPr>
        <w:t>6</w:t>
      </w:r>
      <w:r w:rsidRPr="00407EB4">
        <w:rPr>
          <w:rFonts w:ascii="Georgia" w:hAnsi="Georgia"/>
          <w:b/>
          <w:sz w:val="20"/>
          <w:szCs w:val="20"/>
        </w:rPr>
        <w:t xml:space="preserve">. </w:t>
      </w:r>
      <w:r w:rsidRPr="00407EB4">
        <w:rPr>
          <w:rFonts w:ascii="Georgia" w:hAnsi="Georgia"/>
          <w:sz w:val="20"/>
          <w:szCs w:val="20"/>
        </w:rPr>
        <w:t>Šis rodiklis yra didžiausias lyginant su kitomis nagrinėtomis alternatyvomis. Multiplikatoriaus efekto rodiklis yra vienas iš svarbiausių rodiklių, kadangi parodo, kiek daugiau projektų galima finansuoti su turimais lėšų ištekliais.</w:t>
      </w:r>
    </w:p>
    <w:p w14:paraId="726EF753" w14:textId="77777777" w:rsidR="00407EB4" w:rsidRDefault="00C60487" w:rsidP="002A576D">
      <w:pPr>
        <w:pStyle w:val="prastasis1"/>
        <w:numPr>
          <w:ilvl w:val="0"/>
          <w:numId w:val="84"/>
        </w:numPr>
        <w:spacing w:line="276" w:lineRule="auto"/>
        <w:jc w:val="both"/>
        <w:rPr>
          <w:rFonts w:ascii="Georgia" w:hAnsi="Georgia"/>
          <w:sz w:val="20"/>
          <w:szCs w:val="20"/>
        </w:rPr>
      </w:pPr>
      <w:r>
        <w:rPr>
          <w:rFonts w:ascii="Georgia" w:hAnsi="Georgia"/>
          <w:b/>
          <w:sz w:val="20"/>
          <w:szCs w:val="20"/>
        </w:rPr>
        <w:t>Sverto efektas – 3</w:t>
      </w:r>
      <w:r w:rsidR="00407EB4" w:rsidRPr="00407EB4">
        <w:rPr>
          <w:rFonts w:ascii="Georgia" w:hAnsi="Georgia"/>
          <w:b/>
          <w:sz w:val="20"/>
          <w:szCs w:val="20"/>
        </w:rPr>
        <w:t>,5</w:t>
      </w:r>
      <w:r>
        <w:rPr>
          <w:rFonts w:ascii="Georgia" w:hAnsi="Georgia"/>
          <w:b/>
          <w:sz w:val="20"/>
          <w:szCs w:val="20"/>
        </w:rPr>
        <w:t>7</w:t>
      </w:r>
      <w:r w:rsidR="00407EB4" w:rsidRPr="00407EB4">
        <w:rPr>
          <w:rFonts w:ascii="Georgia" w:hAnsi="Georgia"/>
          <w:b/>
          <w:sz w:val="20"/>
          <w:szCs w:val="20"/>
        </w:rPr>
        <w:t>.</w:t>
      </w:r>
      <w:r w:rsidR="00407EB4" w:rsidRPr="00407EB4">
        <w:rPr>
          <w:rFonts w:ascii="Georgia" w:hAnsi="Georgia"/>
          <w:sz w:val="20"/>
          <w:szCs w:val="20"/>
        </w:rPr>
        <w:t xml:space="preserve"> Šis rodiklis yra trečias pagal dydį lyginant su kitomis nagrinėtomis alternatyvomis. Šis rodiklis parodo, kiek papildomai privačių lėšų galima pritraukti į fondą arba į finansinę priemonę su turimais ESI fondų lėšų ištekliais. Pažymėtina, kad nors sverto efektas pagal rekomenduojamą alternatyvą nėra didžiausias, tai yra sąlygota įvertintų komercinių bankų lėšų pritraukimo per garantijų priemonę kitose alternatyvose. Tačiau, kaip jau buvo pažymėta kitose ex ante vertinimo dalyse, garantijų priemonė yra svarstytina, tačiau ne pradiniame etape, kadangi komerciniams bankams vis dar nėra pakankamos kredito istorijos.</w:t>
      </w:r>
    </w:p>
    <w:p w14:paraId="26132A28" w14:textId="77777777" w:rsidR="00151543" w:rsidRPr="00AC3318" w:rsidRDefault="00407EB4" w:rsidP="00151543">
      <w:pPr>
        <w:pStyle w:val="prastasis1"/>
        <w:spacing w:line="276" w:lineRule="auto"/>
        <w:jc w:val="both"/>
        <w:rPr>
          <w:rFonts w:ascii="Georgia" w:hAnsi="Georgia"/>
          <w:sz w:val="20"/>
          <w:szCs w:val="20"/>
        </w:rPr>
      </w:pPr>
      <w:r>
        <w:rPr>
          <w:rFonts w:ascii="Georgia" w:hAnsi="Georgia"/>
          <w:sz w:val="20"/>
          <w:szCs w:val="20"/>
        </w:rPr>
        <w:t>Siūlomo finansinio produkto</w:t>
      </w:r>
      <w:r w:rsidR="00151543" w:rsidRPr="00AC3318">
        <w:rPr>
          <w:rFonts w:ascii="Georgia" w:hAnsi="Georgia"/>
          <w:sz w:val="20"/>
          <w:szCs w:val="20"/>
        </w:rPr>
        <w:t xml:space="preserve"> – lengvatin</w:t>
      </w:r>
      <w:r>
        <w:rPr>
          <w:rFonts w:ascii="Georgia" w:hAnsi="Georgia"/>
          <w:sz w:val="20"/>
          <w:szCs w:val="20"/>
        </w:rPr>
        <w:t xml:space="preserve">ių paskolų – sąlygos </w:t>
      </w:r>
      <w:r w:rsidR="00151543" w:rsidRPr="00AC3318">
        <w:rPr>
          <w:rFonts w:ascii="Georgia" w:hAnsi="Georgia"/>
          <w:sz w:val="20"/>
          <w:szCs w:val="20"/>
        </w:rPr>
        <w:t>yra:</w:t>
      </w:r>
    </w:p>
    <w:p w14:paraId="484515E0" w14:textId="77777777" w:rsidR="00151543" w:rsidRPr="00AC3318" w:rsidRDefault="00151543" w:rsidP="00C03122">
      <w:pPr>
        <w:pStyle w:val="prastasis1"/>
        <w:numPr>
          <w:ilvl w:val="0"/>
          <w:numId w:val="7"/>
        </w:numPr>
        <w:spacing w:line="276" w:lineRule="auto"/>
        <w:jc w:val="both"/>
        <w:rPr>
          <w:rFonts w:ascii="Georgia" w:hAnsi="Georgia"/>
          <w:sz w:val="20"/>
          <w:szCs w:val="20"/>
        </w:rPr>
      </w:pPr>
      <w:r w:rsidRPr="00AC3318">
        <w:rPr>
          <w:rFonts w:ascii="Georgia" w:hAnsi="Georgia"/>
          <w:sz w:val="20"/>
          <w:szCs w:val="20"/>
        </w:rPr>
        <w:t xml:space="preserve">3 proc. fiksuotos </w:t>
      </w:r>
      <w:r>
        <w:rPr>
          <w:rFonts w:ascii="Georgia" w:hAnsi="Georgia"/>
          <w:sz w:val="20"/>
          <w:szCs w:val="20"/>
        </w:rPr>
        <w:t>paskolos palūkanos</w:t>
      </w:r>
      <w:r w:rsidRPr="00AC3318">
        <w:rPr>
          <w:rFonts w:ascii="Georgia" w:hAnsi="Georgia"/>
          <w:sz w:val="20"/>
          <w:szCs w:val="20"/>
        </w:rPr>
        <w:t xml:space="preserve"> galutiniams naudos gavėjams;</w:t>
      </w:r>
    </w:p>
    <w:p w14:paraId="1D6507F2" w14:textId="77777777" w:rsidR="00151543" w:rsidRPr="00AC3318" w:rsidRDefault="00151543" w:rsidP="00C03122">
      <w:pPr>
        <w:pStyle w:val="prastasis1"/>
        <w:numPr>
          <w:ilvl w:val="0"/>
          <w:numId w:val="7"/>
        </w:numPr>
        <w:spacing w:line="276" w:lineRule="auto"/>
        <w:jc w:val="both"/>
        <w:rPr>
          <w:rFonts w:ascii="Georgia" w:hAnsi="Georgia"/>
          <w:sz w:val="20"/>
          <w:szCs w:val="20"/>
        </w:rPr>
      </w:pPr>
      <w:r w:rsidRPr="00AC3318">
        <w:rPr>
          <w:rFonts w:ascii="Georgia" w:hAnsi="Georgia"/>
          <w:sz w:val="20"/>
          <w:szCs w:val="20"/>
        </w:rPr>
        <w:t>15 proc. subsidija (palūkanų kompensavimo mechanizmas)</w:t>
      </w:r>
      <w:r>
        <w:rPr>
          <w:rFonts w:ascii="Georgia" w:hAnsi="Georgia"/>
          <w:sz w:val="20"/>
          <w:szCs w:val="20"/>
        </w:rPr>
        <w:t xml:space="preserve"> iš fondo lėšų</w:t>
      </w:r>
      <w:r w:rsidRPr="00AC3318">
        <w:rPr>
          <w:rFonts w:ascii="Georgia" w:hAnsi="Georgia"/>
          <w:sz w:val="20"/>
          <w:szCs w:val="20"/>
        </w:rPr>
        <w:t>;</w:t>
      </w:r>
    </w:p>
    <w:p w14:paraId="47EE9306" w14:textId="77777777" w:rsidR="00151543" w:rsidRPr="00AC3318" w:rsidRDefault="00151543" w:rsidP="00C03122">
      <w:pPr>
        <w:pStyle w:val="prastasis1"/>
        <w:numPr>
          <w:ilvl w:val="0"/>
          <w:numId w:val="7"/>
        </w:numPr>
        <w:spacing w:line="276" w:lineRule="auto"/>
        <w:jc w:val="both"/>
        <w:rPr>
          <w:rFonts w:ascii="Georgia" w:hAnsi="Georgia"/>
          <w:sz w:val="20"/>
          <w:szCs w:val="20"/>
        </w:rPr>
      </w:pPr>
      <w:r w:rsidRPr="00AC3318">
        <w:rPr>
          <w:rFonts w:ascii="Georgia" w:hAnsi="Georgia"/>
          <w:sz w:val="20"/>
          <w:szCs w:val="20"/>
        </w:rPr>
        <w:t>15 proc. subsidija iš Lietuvos biudžeto (</w:t>
      </w:r>
      <w:r>
        <w:rPr>
          <w:rFonts w:ascii="Georgia" w:hAnsi="Georgia"/>
          <w:sz w:val="20"/>
          <w:szCs w:val="20"/>
        </w:rPr>
        <w:t>K</w:t>
      </w:r>
      <w:r w:rsidRPr="00AC3318">
        <w:rPr>
          <w:rFonts w:ascii="Georgia" w:hAnsi="Georgia"/>
          <w:sz w:val="20"/>
          <w:szCs w:val="20"/>
        </w:rPr>
        <w:t>limato kaitos programa ar kiti šaltiniai);</w:t>
      </w:r>
    </w:p>
    <w:p w14:paraId="268B2B4B" w14:textId="77777777" w:rsidR="00151543" w:rsidRPr="00AC3318" w:rsidRDefault="00151543" w:rsidP="00C03122">
      <w:pPr>
        <w:pStyle w:val="prastasis1"/>
        <w:numPr>
          <w:ilvl w:val="0"/>
          <w:numId w:val="7"/>
        </w:numPr>
        <w:spacing w:line="276" w:lineRule="auto"/>
        <w:jc w:val="both"/>
        <w:rPr>
          <w:rFonts w:ascii="Georgia" w:hAnsi="Georgia"/>
          <w:sz w:val="20"/>
          <w:szCs w:val="20"/>
        </w:rPr>
      </w:pPr>
      <w:r w:rsidRPr="00AC3318">
        <w:rPr>
          <w:rFonts w:ascii="Georgia" w:hAnsi="Georgia"/>
          <w:sz w:val="20"/>
          <w:szCs w:val="20"/>
        </w:rPr>
        <w:t xml:space="preserve">paskolos terminas – </w:t>
      </w:r>
      <w:r>
        <w:rPr>
          <w:rFonts w:ascii="Georgia" w:hAnsi="Georgia"/>
          <w:sz w:val="20"/>
          <w:szCs w:val="20"/>
        </w:rPr>
        <w:t xml:space="preserve">iki </w:t>
      </w:r>
      <w:r w:rsidRPr="00AC3318">
        <w:rPr>
          <w:rFonts w:ascii="Georgia" w:hAnsi="Georgia"/>
          <w:sz w:val="20"/>
          <w:szCs w:val="20"/>
        </w:rPr>
        <w:t>20 metų;</w:t>
      </w:r>
    </w:p>
    <w:p w14:paraId="4408951E" w14:textId="77777777" w:rsidR="00151543" w:rsidRPr="00AC3318" w:rsidRDefault="00151543" w:rsidP="00C03122">
      <w:pPr>
        <w:pStyle w:val="prastasis1"/>
        <w:numPr>
          <w:ilvl w:val="0"/>
          <w:numId w:val="7"/>
        </w:numPr>
        <w:spacing w:line="276" w:lineRule="auto"/>
        <w:jc w:val="both"/>
        <w:rPr>
          <w:rFonts w:ascii="Georgia" w:hAnsi="Georgia"/>
          <w:sz w:val="20"/>
          <w:szCs w:val="20"/>
        </w:rPr>
      </w:pPr>
      <w:r w:rsidRPr="00AC3318">
        <w:rPr>
          <w:rFonts w:ascii="Georgia" w:hAnsi="Georgia"/>
          <w:sz w:val="20"/>
          <w:szCs w:val="20"/>
        </w:rPr>
        <w:t xml:space="preserve">grįžtančios lėšos </w:t>
      </w:r>
      <w:r w:rsidR="00407EB4">
        <w:rPr>
          <w:rFonts w:ascii="Georgia" w:hAnsi="Georgia"/>
          <w:sz w:val="20"/>
          <w:szCs w:val="20"/>
        </w:rPr>
        <w:t xml:space="preserve">iš paskolų </w:t>
      </w:r>
      <w:r w:rsidRPr="00AC3318">
        <w:rPr>
          <w:rFonts w:ascii="Georgia" w:hAnsi="Georgia"/>
          <w:sz w:val="20"/>
          <w:szCs w:val="20"/>
        </w:rPr>
        <w:t>reinvestuojamos;</w:t>
      </w:r>
    </w:p>
    <w:p w14:paraId="184D7492" w14:textId="77777777" w:rsidR="00151543" w:rsidRDefault="00151543" w:rsidP="00C03122">
      <w:pPr>
        <w:pStyle w:val="prastasis1"/>
        <w:numPr>
          <w:ilvl w:val="0"/>
          <w:numId w:val="7"/>
        </w:numPr>
        <w:spacing w:line="276" w:lineRule="auto"/>
        <w:jc w:val="both"/>
        <w:rPr>
          <w:rFonts w:ascii="Georgia" w:hAnsi="Georgia"/>
          <w:sz w:val="20"/>
          <w:szCs w:val="20"/>
        </w:rPr>
      </w:pPr>
      <w:r>
        <w:rPr>
          <w:rFonts w:ascii="Georgia" w:hAnsi="Georgia"/>
          <w:sz w:val="20"/>
          <w:szCs w:val="20"/>
        </w:rPr>
        <w:t xml:space="preserve">grįžtančios </w:t>
      </w:r>
      <w:r w:rsidRPr="00AC3318">
        <w:rPr>
          <w:rFonts w:ascii="Georgia" w:hAnsi="Georgia"/>
          <w:sz w:val="20"/>
          <w:szCs w:val="20"/>
        </w:rPr>
        <w:t xml:space="preserve">lėšos iš </w:t>
      </w:r>
      <w:r>
        <w:rPr>
          <w:rFonts w:ascii="Georgia" w:hAnsi="Georgia"/>
          <w:sz w:val="20"/>
          <w:szCs w:val="20"/>
        </w:rPr>
        <w:t>JESSICA</w:t>
      </w:r>
      <w:r w:rsidRPr="00AC3318">
        <w:rPr>
          <w:rFonts w:ascii="Georgia" w:hAnsi="Georgia"/>
          <w:sz w:val="20"/>
          <w:szCs w:val="20"/>
        </w:rPr>
        <w:t xml:space="preserve"> </w:t>
      </w:r>
      <w:r w:rsidR="00407EB4">
        <w:rPr>
          <w:rFonts w:ascii="Georgia" w:hAnsi="Georgia"/>
          <w:sz w:val="20"/>
          <w:szCs w:val="20"/>
        </w:rPr>
        <w:t>KF</w:t>
      </w:r>
      <w:r>
        <w:rPr>
          <w:rFonts w:ascii="Georgia" w:hAnsi="Georgia"/>
          <w:sz w:val="20"/>
          <w:szCs w:val="20"/>
        </w:rPr>
        <w:t xml:space="preserve"> </w:t>
      </w:r>
      <w:r w:rsidRPr="00AC3318">
        <w:rPr>
          <w:rFonts w:ascii="Georgia" w:hAnsi="Georgia"/>
          <w:sz w:val="20"/>
          <w:szCs w:val="20"/>
        </w:rPr>
        <w:t>nukreipiamos į šią priemonę ir reinvestuojamos</w:t>
      </w:r>
      <w:r>
        <w:rPr>
          <w:rFonts w:ascii="Georgia" w:hAnsi="Georgia"/>
          <w:sz w:val="20"/>
          <w:szCs w:val="20"/>
        </w:rPr>
        <w:t>;</w:t>
      </w:r>
    </w:p>
    <w:p w14:paraId="6E7DC241" w14:textId="77777777" w:rsidR="00151543" w:rsidRDefault="00151543" w:rsidP="00C03122">
      <w:pPr>
        <w:pStyle w:val="prastasis1"/>
        <w:numPr>
          <w:ilvl w:val="0"/>
          <w:numId w:val="7"/>
        </w:numPr>
        <w:spacing w:line="276" w:lineRule="auto"/>
        <w:jc w:val="both"/>
        <w:rPr>
          <w:rFonts w:ascii="Georgia" w:hAnsi="Georgia"/>
          <w:sz w:val="20"/>
          <w:szCs w:val="20"/>
        </w:rPr>
      </w:pPr>
      <w:r>
        <w:rPr>
          <w:rFonts w:ascii="Georgia" w:hAnsi="Georgia"/>
          <w:sz w:val="20"/>
          <w:szCs w:val="20"/>
        </w:rPr>
        <w:lastRenderedPageBreak/>
        <w:t>fondo valdytojo ir finansinių tarpininkų</w:t>
      </w:r>
      <w:r w:rsidR="00407EB4">
        <w:rPr>
          <w:rFonts w:ascii="Georgia" w:hAnsi="Georgia"/>
          <w:sz w:val="20"/>
          <w:szCs w:val="20"/>
        </w:rPr>
        <w:t xml:space="preserve"> administravimo</w:t>
      </w:r>
      <w:r>
        <w:rPr>
          <w:rFonts w:ascii="Georgia" w:hAnsi="Georgia"/>
          <w:sz w:val="20"/>
          <w:szCs w:val="20"/>
        </w:rPr>
        <w:t xml:space="preserve"> mokesčiai nustatomi vadovaujantis Deleguoto reglamento nuostatomis</w:t>
      </w:r>
      <w:r w:rsidR="00407EB4">
        <w:rPr>
          <w:rFonts w:ascii="Georgia" w:hAnsi="Georgia"/>
          <w:sz w:val="20"/>
          <w:szCs w:val="20"/>
        </w:rPr>
        <w:t xml:space="preserve"> (detaliau aprašyta 2-ame priede)</w:t>
      </w:r>
      <w:r>
        <w:rPr>
          <w:rFonts w:ascii="Georgia" w:hAnsi="Georgia"/>
          <w:sz w:val="20"/>
          <w:szCs w:val="20"/>
        </w:rPr>
        <w:t>.</w:t>
      </w:r>
    </w:p>
    <w:p w14:paraId="699220CF" w14:textId="77777777" w:rsidR="00407EB4" w:rsidRDefault="00407EB4" w:rsidP="00794E15">
      <w:pPr>
        <w:pStyle w:val="prastasis1"/>
        <w:keepNext/>
        <w:spacing w:line="276" w:lineRule="auto"/>
        <w:jc w:val="both"/>
        <w:rPr>
          <w:rFonts w:ascii="Georgia" w:hAnsi="Georgia"/>
          <w:sz w:val="20"/>
          <w:szCs w:val="20"/>
        </w:rPr>
      </w:pPr>
      <w:r>
        <w:rPr>
          <w:rFonts w:ascii="Georgia" w:hAnsi="Georgia"/>
          <w:sz w:val="20"/>
          <w:szCs w:val="20"/>
        </w:rPr>
        <w:t xml:space="preserve">Žemiau pateikiama principinė finansinio produkto veikimo schema. </w:t>
      </w:r>
    </w:p>
    <w:p w14:paraId="2601A64D" w14:textId="77777777" w:rsidR="009F55BB" w:rsidRDefault="00C60487" w:rsidP="00794E15">
      <w:pPr>
        <w:pStyle w:val="Antrat"/>
        <w:jc w:val="center"/>
      </w:pPr>
      <w:r>
        <w:rPr>
          <w:noProof/>
          <w:lang w:val="lt-LT" w:eastAsia="lt-LT"/>
        </w:rPr>
        <w:drawing>
          <wp:inline distT="0" distB="0" distL="0" distR="0" wp14:anchorId="56ADD48A" wp14:editId="65BF91AA">
            <wp:extent cx="5732145" cy="2467729"/>
            <wp:effectExtent l="0" t="0" r="1905" b="8890"/>
            <wp:docPr id="61" name="Paveikslėlis 13" descr="\\vipa-server\ESCO_Rolandas\EE ex-antes skaiciavimai\Schemos (Rolandas) (Taisytos 2014-11-10)\Daugiabuciu\Daugiabuciai N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pa-server\ESCO_Rolandas\EE ex-antes skaiciavimai\Schemos (Rolandas) (Taisytos 2014-11-10)\Daugiabuciu\Daugiabuciai Nr. 5.jpg"/>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5732145" cy="2467729"/>
                    </a:xfrm>
                    <a:prstGeom prst="rect">
                      <a:avLst/>
                    </a:prstGeom>
                    <a:noFill/>
                    <a:ln>
                      <a:noFill/>
                    </a:ln>
                  </pic:spPr>
                </pic:pic>
              </a:graphicData>
            </a:graphic>
          </wp:inline>
        </w:drawing>
      </w:r>
    </w:p>
    <w:p w14:paraId="2855B08A" w14:textId="4F204391" w:rsidR="00151543" w:rsidRPr="00A84FBE" w:rsidRDefault="00151543" w:rsidP="00794E15">
      <w:pPr>
        <w:pStyle w:val="Antrat"/>
        <w:rPr>
          <w:szCs w:val="20"/>
          <w:lang w:val="lt-LT"/>
        </w:rPr>
      </w:pPr>
      <w:bookmarkStart w:id="336" w:name="_Toc417378325"/>
      <w:r w:rsidRPr="00A84FBE">
        <w:rPr>
          <w:lang w:val="lt-LT"/>
        </w:rPr>
        <w:t xml:space="preserve">Paveikslas </w:t>
      </w:r>
      <w:r w:rsidRPr="00A84FBE">
        <w:rPr>
          <w:lang w:val="lt-LT"/>
        </w:rPr>
        <w:fldChar w:fldCharType="begin"/>
      </w:r>
      <w:r w:rsidRPr="00A84FBE">
        <w:rPr>
          <w:lang w:val="lt-LT"/>
        </w:rPr>
        <w:instrText xml:space="preserve"> SEQ Paveikslas \* ARABIC </w:instrText>
      </w:r>
      <w:r w:rsidRPr="00A84FBE">
        <w:rPr>
          <w:lang w:val="lt-LT"/>
        </w:rPr>
        <w:fldChar w:fldCharType="separate"/>
      </w:r>
      <w:r w:rsidR="00AA3082">
        <w:rPr>
          <w:noProof/>
          <w:lang w:val="lt-LT"/>
        </w:rPr>
        <w:t>48</w:t>
      </w:r>
      <w:r w:rsidRPr="00A84FBE">
        <w:rPr>
          <w:lang w:val="lt-LT"/>
        </w:rPr>
        <w:fldChar w:fldCharType="end"/>
      </w:r>
      <w:r w:rsidRPr="00A84FBE">
        <w:rPr>
          <w:lang w:val="lt-LT"/>
        </w:rPr>
        <w:t>. Siūlomas finansinis produktas daugiabučių renovacijai.</w:t>
      </w:r>
      <w:bookmarkEnd w:id="336"/>
      <w:r w:rsidRPr="00A84FBE">
        <w:rPr>
          <w:lang w:val="lt-LT"/>
        </w:rPr>
        <w:t xml:space="preserve"> </w:t>
      </w:r>
    </w:p>
    <w:p w14:paraId="7A626C6E" w14:textId="77777777" w:rsidR="00151543" w:rsidRPr="00480450" w:rsidRDefault="00151543" w:rsidP="00151543">
      <w:pPr>
        <w:pStyle w:val="prastasis1"/>
        <w:spacing w:line="276" w:lineRule="auto"/>
        <w:jc w:val="both"/>
        <w:rPr>
          <w:rFonts w:ascii="Georgia" w:hAnsi="Georgia"/>
          <w:sz w:val="20"/>
          <w:szCs w:val="20"/>
          <w:lang w:val="en-US"/>
        </w:rPr>
      </w:pPr>
      <w:r>
        <w:rPr>
          <w:rFonts w:ascii="Georgia" w:hAnsi="Georgia"/>
          <w:sz w:val="20"/>
          <w:szCs w:val="20"/>
        </w:rPr>
        <w:t>Siūlomas finansinis produktas (lengvatinė paskola) yra pažįstamas daugeliui modelio įgyvendinime dalyvaujančių subjektų, t.y. vadovaujančiai institucijai, Aplinkos ministerijai, finansiniams tarp</w:t>
      </w:r>
      <w:r w:rsidR="00407EB4">
        <w:rPr>
          <w:rFonts w:ascii="Georgia" w:hAnsi="Georgia"/>
          <w:sz w:val="20"/>
          <w:szCs w:val="20"/>
        </w:rPr>
        <w:t xml:space="preserve">ininkams, projektų vykdytojams </w:t>
      </w:r>
      <w:r>
        <w:rPr>
          <w:rFonts w:ascii="Georgia" w:hAnsi="Georgia"/>
          <w:sz w:val="20"/>
          <w:szCs w:val="20"/>
        </w:rPr>
        <w:t xml:space="preserve">bei galutiniams naudos gavėjams. JESSICA </w:t>
      </w:r>
      <w:r w:rsidR="00407EB4">
        <w:rPr>
          <w:rFonts w:ascii="Georgia" w:hAnsi="Georgia"/>
          <w:sz w:val="20"/>
          <w:szCs w:val="20"/>
        </w:rPr>
        <w:t>KF</w:t>
      </w:r>
      <w:r>
        <w:rPr>
          <w:rFonts w:ascii="Georgia" w:hAnsi="Georgia"/>
          <w:sz w:val="20"/>
          <w:szCs w:val="20"/>
        </w:rPr>
        <w:t xml:space="preserve"> praktika rodo, kad net ir nedideli finansinio produkto sąlygų pakeitimai daro ženklią įtaką galutinių naudos gavėjų suinteresuotumui dalyvauti daugiabučių modernizavimo programoje. Todėl </w:t>
      </w:r>
      <w:r w:rsidR="00407EB4">
        <w:rPr>
          <w:rFonts w:ascii="Georgia" w:hAnsi="Georgia"/>
          <w:sz w:val="20"/>
          <w:szCs w:val="20"/>
        </w:rPr>
        <w:t>rekomenduojama 2014-2020 m. periodu įgyvendinti tokį finansinį produktą</w:t>
      </w:r>
      <w:r>
        <w:rPr>
          <w:rFonts w:ascii="Georgia" w:hAnsi="Georgia"/>
          <w:sz w:val="20"/>
          <w:szCs w:val="20"/>
        </w:rPr>
        <w:t xml:space="preserve">, kuris </w:t>
      </w:r>
      <w:r w:rsidR="00407EB4">
        <w:rPr>
          <w:rFonts w:ascii="Georgia" w:hAnsi="Georgia"/>
          <w:sz w:val="20"/>
          <w:szCs w:val="20"/>
        </w:rPr>
        <w:t>būtų</w:t>
      </w:r>
      <w:r>
        <w:rPr>
          <w:rFonts w:ascii="Georgia" w:hAnsi="Georgia"/>
          <w:sz w:val="20"/>
          <w:szCs w:val="20"/>
        </w:rPr>
        <w:t xml:space="preserve"> JESSICA </w:t>
      </w:r>
      <w:r w:rsidR="00407EB4">
        <w:rPr>
          <w:rFonts w:ascii="Georgia" w:hAnsi="Georgia"/>
          <w:sz w:val="20"/>
          <w:szCs w:val="20"/>
        </w:rPr>
        <w:t>KF finansinio produkto tęsinys bei</w:t>
      </w:r>
      <w:r>
        <w:rPr>
          <w:rFonts w:ascii="Georgia" w:hAnsi="Georgia"/>
          <w:sz w:val="20"/>
          <w:szCs w:val="20"/>
        </w:rPr>
        <w:t xml:space="preserve"> nedarytų didelės įtakos šiuo metu įsibėgėjusiam renovacijos procesui, kas būtų itin tikėtina kuriant naujus finansinius produktus arba iš esmės keičiant esamo </w:t>
      </w:r>
      <w:r w:rsidR="00407EB4">
        <w:rPr>
          <w:rFonts w:ascii="Georgia" w:hAnsi="Georgia"/>
          <w:sz w:val="20"/>
          <w:szCs w:val="20"/>
        </w:rPr>
        <w:t>finansavimo modelio</w:t>
      </w:r>
      <w:r>
        <w:rPr>
          <w:rFonts w:ascii="Georgia" w:hAnsi="Georgia"/>
          <w:sz w:val="20"/>
          <w:szCs w:val="20"/>
        </w:rPr>
        <w:t xml:space="preserve"> sąlygas.</w:t>
      </w:r>
    </w:p>
    <w:p w14:paraId="2CE6B10C" w14:textId="77777777" w:rsidR="00151543" w:rsidRPr="00AA32EA" w:rsidRDefault="00151543" w:rsidP="00C03122">
      <w:pPr>
        <w:pStyle w:val="Antrat2"/>
        <w:numPr>
          <w:ilvl w:val="2"/>
          <w:numId w:val="36"/>
        </w:numPr>
        <w:spacing w:after="240"/>
        <w:rPr>
          <w:lang w:val="lt-LT"/>
        </w:rPr>
      </w:pPr>
      <w:bookmarkStart w:id="337" w:name="_Toc398567604"/>
      <w:bookmarkStart w:id="338" w:name="_Toc417378435"/>
      <w:r w:rsidRPr="00AA32EA">
        <w:rPr>
          <w:lang w:val="lt-LT"/>
        </w:rPr>
        <w:t>Finansinės priemonės derinimas su parama</w:t>
      </w:r>
      <w:bookmarkEnd w:id="337"/>
      <w:bookmarkEnd w:id="338"/>
    </w:p>
    <w:p w14:paraId="2922E138" w14:textId="77777777" w:rsidR="00151543" w:rsidRPr="00AC3318" w:rsidRDefault="00151543" w:rsidP="00151543">
      <w:pPr>
        <w:pStyle w:val="prastasis1"/>
        <w:spacing w:line="276" w:lineRule="auto"/>
        <w:jc w:val="both"/>
        <w:rPr>
          <w:rFonts w:ascii="Georgia" w:hAnsi="Georgia"/>
          <w:sz w:val="20"/>
          <w:szCs w:val="20"/>
        </w:rPr>
      </w:pPr>
      <w:r>
        <w:rPr>
          <w:rFonts w:ascii="Georgia" w:hAnsi="Georgia"/>
          <w:sz w:val="20"/>
          <w:szCs w:val="20"/>
        </w:rPr>
        <w:t>Bendrųjų nuostatų r</w:t>
      </w:r>
      <w:r w:rsidRPr="00AC3318">
        <w:rPr>
          <w:rFonts w:ascii="Georgia" w:hAnsi="Georgia"/>
          <w:sz w:val="20"/>
          <w:szCs w:val="20"/>
        </w:rPr>
        <w:t xml:space="preserve">eglamento 13 straipsnio 7-8 dalys </w:t>
      </w:r>
      <w:r>
        <w:rPr>
          <w:rFonts w:ascii="Georgia" w:hAnsi="Georgia"/>
          <w:sz w:val="20"/>
          <w:szCs w:val="20"/>
        </w:rPr>
        <w:t>reglamentuoja</w:t>
      </w:r>
      <w:r w:rsidRPr="00AC3318">
        <w:rPr>
          <w:rFonts w:ascii="Georgia" w:hAnsi="Georgia"/>
          <w:sz w:val="20"/>
          <w:szCs w:val="20"/>
        </w:rPr>
        <w:t xml:space="preserve"> finansinių priemonių derinim</w:t>
      </w:r>
      <w:r>
        <w:rPr>
          <w:rFonts w:ascii="Georgia" w:hAnsi="Georgia"/>
          <w:sz w:val="20"/>
          <w:szCs w:val="20"/>
        </w:rPr>
        <w:t>ą</w:t>
      </w:r>
      <w:r w:rsidRPr="00AC3318">
        <w:rPr>
          <w:rFonts w:ascii="Georgia" w:hAnsi="Georgia"/>
          <w:sz w:val="20"/>
          <w:szCs w:val="20"/>
        </w:rPr>
        <w:t xml:space="preserve"> </w:t>
      </w:r>
      <w:r>
        <w:rPr>
          <w:rFonts w:ascii="Georgia" w:hAnsi="Georgia"/>
          <w:sz w:val="20"/>
          <w:szCs w:val="20"/>
        </w:rPr>
        <w:t>su kitomis paramos formomis</w:t>
      </w:r>
      <w:r w:rsidRPr="00AC3318">
        <w:rPr>
          <w:rFonts w:ascii="Georgia" w:hAnsi="Georgia"/>
          <w:sz w:val="20"/>
          <w:szCs w:val="20"/>
        </w:rPr>
        <w:t>:</w:t>
      </w:r>
    </w:p>
    <w:p w14:paraId="3A26DC3D" w14:textId="77777777" w:rsidR="00151543" w:rsidRPr="00BB042E" w:rsidRDefault="00151543" w:rsidP="00151543">
      <w:pPr>
        <w:pStyle w:val="prastasis1"/>
        <w:spacing w:line="276" w:lineRule="auto"/>
        <w:jc w:val="both"/>
        <w:rPr>
          <w:rFonts w:ascii="Georgia" w:hAnsi="Georgia"/>
          <w:i/>
          <w:sz w:val="20"/>
          <w:szCs w:val="20"/>
        </w:rPr>
      </w:pPr>
      <w:r w:rsidRPr="00BB042E">
        <w:rPr>
          <w:rFonts w:ascii="Georgia" w:hAnsi="Georgia"/>
          <w:i/>
          <w:sz w:val="20"/>
          <w:szCs w:val="20"/>
        </w:rPr>
        <w:t>„7.   Finansinės priemonės gali būti derinamos su subsidijomis, palūkanų normos subsidijomis arba garantijos mokesčio subsidijomis. Tais atvejais, kai ESI fondų parama teikiama pasitelkiant finansines priemones ir kai ji, vykdant vieną veiksmą, derinama su kitų formų parama tiesiogiai susieta su finansinėmis priemonėmis, skirtomis tiems patiems galutiniams naudos gavėjams, įskaitant techninę pagalbą, palūkanų normos subsidijas ir garantijos mokesčio subsidijas, finansinėms priemonėms taikytinos nuostatos taikomos visų formų paramai, teikiamai tam veiksmui. Tokiais atvejais laikomasi taikytinų Sąjungos valstybės pagalbos taisyklių ir kiekvienos formos paramos atveju tvarkoma atskira apskaita.</w:t>
      </w:r>
    </w:p>
    <w:p w14:paraId="7FDBE127" w14:textId="77777777" w:rsidR="00151543" w:rsidRPr="00BB042E" w:rsidRDefault="00151543" w:rsidP="00151543">
      <w:pPr>
        <w:pStyle w:val="prastasis1"/>
        <w:spacing w:line="276" w:lineRule="auto"/>
        <w:jc w:val="both"/>
        <w:rPr>
          <w:rFonts w:ascii="Georgia" w:hAnsi="Georgia"/>
          <w:i/>
          <w:sz w:val="20"/>
          <w:szCs w:val="20"/>
        </w:rPr>
      </w:pPr>
      <w:r w:rsidRPr="00BB042E">
        <w:rPr>
          <w:rFonts w:ascii="Georgia" w:hAnsi="Georgia"/>
          <w:i/>
          <w:sz w:val="20"/>
          <w:szCs w:val="20"/>
        </w:rPr>
        <w:t>8.   Pagal ESI fondo finansinę priemonę remiami galutiniai naudos gavėjai gali gauti finansavimą ir pagal kitą ESI fondų prioritetą ar programą arba pagal kitą Sąjungos biudžeto lėšomis remiamą priemonę, laikantis taikytinų Sąjungos valstybės pagalbos taisyklių. Tuo atveju tvarkoma atskira kiekvieno pagalbos šaltinio apskaita, o ESI fondų finansinės priemonės parama turi sudaryti dalį veiksmo, kurio tinkamos finansuoti išlaidos atskirtos nuo kitų finansavimo šaltinių.</w:t>
      </w:r>
    </w:p>
    <w:p w14:paraId="3159A2EF" w14:textId="77777777" w:rsidR="00151543" w:rsidRPr="00BB042E" w:rsidRDefault="00151543" w:rsidP="00151543">
      <w:pPr>
        <w:pStyle w:val="prastasis1"/>
        <w:spacing w:line="276" w:lineRule="auto"/>
        <w:jc w:val="both"/>
        <w:rPr>
          <w:rFonts w:ascii="Georgia" w:hAnsi="Georgia"/>
          <w:i/>
          <w:sz w:val="20"/>
          <w:szCs w:val="20"/>
        </w:rPr>
      </w:pPr>
      <w:r w:rsidRPr="00BB042E">
        <w:rPr>
          <w:rFonts w:ascii="Georgia" w:hAnsi="Georgia"/>
          <w:i/>
          <w:sz w:val="20"/>
          <w:szCs w:val="20"/>
        </w:rPr>
        <w:lastRenderedPageBreak/>
        <w:t>9.   Derinant subsidijomis ir finansinėmis priemonėmis teikiamą finansavimą, kaip nurodyta 7 ir 8 dalyse nurodytas jei laikomasi taikytinų Sąjungos valstybės pagalbos taisyklių, galima finansuoti tą patį išlaidų elementą, jei visų derinamų formų paramos suma neviršija visos atitinkamo išlaidų elemento sumos. Subsidijos nenaudojamos finansavimui, gautam pagal finansines priemones, apmokėti. Finansinės priemonės nenaudojamos iš anksto, kol negautas subsidijų finansavimas.“</w:t>
      </w:r>
    </w:p>
    <w:p w14:paraId="56CC77C6" w14:textId="77777777" w:rsidR="00151543" w:rsidRDefault="001B41DF" w:rsidP="00151543">
      <w:pPr>
        <w:pStyle w:val="prastasis1"/>
        <w:spacing w:line="276" w:lineRule="auto"/>
        <w:jc w:val="both"/>
        <w:rPr>
          <w:rFonts w:ascii="Georgia" w:hAnsi="Georgia"/>
          <w:sz w:val="20"/>
          <w:szCs w:val="20"/>
        </w:rPr>
      </w:pPr>
      <w:r>
        <w:rPr>
          <w:rFonts w:ascii="Georgia" w:hAnsi="Georgia"/>
          <w:sz w:val="20"/>
          <w:szCs w:val="20"/>
        </w:rPr>
        <w:t>D</w:t>
      </w:r>
      <w:r w:rsidR="00407EB4">
        <w:rPr>
          <w:rFonts w:ascii="Georgia" w:hAnsi="Georgia"/>
          <w:sz w:val="20"/>
          <w:szCs w:val="20"/>
        </w:rPr>
        <w:t>augiabučių modernizavimo jautrumo analiz</w:t>
      </w:r>
      <w:r>
        <w:rPr>
          <w:rFonts w:ascii="Georgia" w:hAnsi="Georgia"/>
          <w:sz w:val="20"/>
          <w:szCs w:val="20"/>
        </w:rPr>
        <w:t xml:space="preserve">ėje </w:t>
      </w:r>
      <w:r w:rsidR="00151543" w:rsidRPr="00AC3318">
        <w:rPr>
          <w:rFonts w:ascii="Georgia" w:hAnsi="Georgia"/>
          <w:sz w:val="20"/>
          <w:szCs w:val="20"/>
        </w:rPr>
        <w:t>(</w:t>
      </w:r>
      <w:r w:rsidR="00151543">
        <w:rPr>
          <w:rFonts w:ascii="Georgia" w:hAnsi="Georgia"/>
          <w:sz w:val="20"/>
          <w:szCs w:val="20"/>
        </w:rPr>
        <w:t>4</w:t>
      </w:r>
      <w:r w:rsidR="00151543" w:rsidRPr="00AC3318">
        <w:rPr>
          <w:rFonts w:ascii="Georgia" w:hAnsi="Georgia"/>
          <w:sz w:val="20"/>
          <w:szCs w:val="20"/>
        </w:rPr>
        <w:t>.1.</w:t>
      </w:r>
      <w:r>
        <w:rPr>
          <w:rFonts w:ascii="Georgia" w:hAnsi="Georgia"/>
          <w:sz w:val="20"/>
          <w:szCs w:val="20"/>
        </w:rPr>
        <w:t>1.1</w:t>
      </w:r>
      <w:r w:rsidR="00151543" w:rsidRPr="00AC3318">
        <w:rPr>
          <w:rFonts w:ascii="Georgia" w:hAnsi="Georgia"/>
          <w:sz w:val="20"/>
          <w:szCs w:val="20"/>
        </w:rPr>
        <w:t xml:space="preserve"> </w:t>
      </w:r>
      <w:r w:rsidR="00151543">
        <w:rPr>
          <w:rFonts w:ascii="Georgia" w:hAnsi="Georgia"/>
          <w:sz w:val="20"/>
          <w:szCs w:val="20"/>
        </w:rPr>
        <w:t>skyriu</w:t>
      </w:r>
      <w:r w:rsidR="00151543" w:rsidRPr="00AC3318">
        <w:rPr>
          <w:rFonts w:ascii="Georgia" w:hAnsi="Georgia"/>
          <w:sz w:val="20"/>
          <w:szCs w:val="20"/>
        </w:rPr>
        <w:t xml:space="preserve">s) buvo nustatyta, jog tam, kad investicijos į daugiabučių </w:t>
      </w:r>
      <w:r>
        <w:rPr>
          <w:rFonts w:ascii="Georgia" w:hAnsi="Georgia"/>
          <w:sz w:val="20"/>
          <w:szCs w:val="20"/>
        </w:rPr>
        <w:t>modernizavimo projektus</w:t>
      </w:r>
      <w:r w:rsidR="00151543" w:rsidRPr="00AC3318">
        <w:rPr>
          <w:rFonts w:ascii="Georgia" w:hAnsi="Georgia"/>
          <w:sz w:val="20"/>
          <w:szCs w:val="20"/>
        </w:rPr>
        <w:t xml:space="preserve"> atsipirktų</w:t>
      </w:r>
      <w:r w:rsidR="00151543">
        <w:rPr>
          <w:rFonts w:ascii="Georgia" w:hAnsi="Georgia"/>
          <w:sz w:val="20"/>
          <w:szCs w:val="20"/>
        </w:rPr>
        <w:t xml:space="preserve"> per </w:t>
      </w:r>
      <w:r>
        <w:rPr>
          <w:rFonts w:ascii="Georgia" w:hAnsi="Georgia"/>
          <w:sz w:val="20"/>
          <w:szCs w:val="20"/>
        </w:rPr>
        <w:t xml:space="preserve">20 m. </w:t>
      </w:r>
      <w:r w:rsidR="00151543">
        <w:rPr>
          <w:rFonts w:ascii="Georgia" w:hAnsi="Georgia"/>
          <w:sz w:val="20"/>
          <w:szCs w:val="20"/>
        </w:rPr>
        <w:t>paskolos laikotarpį,</w:t>
      </w:r>
      <w:r w:rsidR="00151543" w:rsidRPr="00AC3318">
        <w:rPr>
          <w:rFonts w:ascii="Georgia" w:hAnsi="Georgia"/>
          <w:sz w:val="20"/>
          <w:szCs w:val="20"/>
        </w:rPr>
        <w:t xml:space="preserve"> yra </w:t>
      </w:r>
      <w:r w:rsidR="00151543">
        <w:rPr>
          <w:rFonts w:ascii="Georgia" w:hAnsi="Georgia"/>
          <w:sz w:val="20"/>
          <w:szCs w:val="20"/>
        </w:rPr>
        <w:t>reikalinga</w:t>
      </w:r>
      <w:r w:rsidR="00151543" w:rsidRPr="00AC3318">
        <w:rPr>
          <w:rFonts w:ascii="Georgia" w:hAnsi="Georgia"/>
          <w:sz w:val="20"/>
          <w:szCs w:val="20"/>
        </w:rPr>
        <w:t xml:space="preserve"> 30 proc. subsidija (kai teikiamos paskolos 20 metų laikotarpiui su 3 proc.</w:t>
      </w:r>
      <w:r>
        <w:rPr>
          <w:rFonts w:ascii="Georgia" w:hAnsi="Georgia"/>
          <w:sz w:val="20"/>
          <w:szCs w:val="20"/>
        </w:rPr>
        <w:t xml:space="preserve"> fiksuota</w:t>
      </w:r>
      <w:r w:rsidR="00151543" w:rsidRPr="00AC3318">
        <w:rPr>
          <w:rFonts w:ascii="Georgia" w:hAnsi="Georgia"/>
          <w:sz w:val="20"/>
          <w:szCs w:val="20"/>
        </w:rPr>
        <w:t xml:space="preserve"> palūkanų norma). </w:t>
      </w:r>
    </w:p>
    <w:p w14:paraId="7D1BD5AC" w14:textId="77777777" w:rsidR="00151543" w:rsidRDefault="00151543" w:rsidP="00151543">
      <w:pPr>
        <w:pStyle w:val="prastasis1"/>
        <w:spacing w:line="276" w:lineRule="auto"/>
        <w:jc w:val="both"/>
        <w:rPr>
          <w:rFonts w:ascii="Georgia" w:hAnsi="Georgia"/>
          <w:sz w:val="20"/>
          <w:szCs w:val="20"/>
        </w:rPr>
      </w:pPr>
      <w:r>
        <w:rPr>
          <w:rFonts w:ascii="Georgia" w:hAnsi="Georgia"/>
          <w:sz w:val="20"/>
          <w:szCs w:val="20"/>
        </w:rPr>
        <w:t xml:space="preserve">Šiuo metu daugiabučių </w:t>
      </w:r>
      <w:r w:rsidR="001B41DF">
        <w:rPr>
          <w:rFonts w:ascii="Georgia" w:hAnsi="Georgia"/>
          <w:sz w:val="20"/>
          <w:szCs w:val="20"/>
        </w:rPr>
        <w:t>modernizavimo</w:t>
      </w:r>
      <w:r>
        <w:rPr>
          <w:rFonts w:ascii="Georgia" w:hAnsi="Georgia"/>
          <w:sz w:val="20"/>
          <w:szCs w:val="20"/>
        </w:rPr>
        <w:t xml:space="preserve"> projektams yra skiriama 15 proc. palūkanų subsidija iš JESSICA </w:t>
      </w:r>
      <w:r w:rsidR="001B41DF">
        <w:rPr>
          <w:rFonts w:ascii="Georgia" w:hAnsi="Georgia"/>
          <w:sz w:val="20"/>
          <w:szCs w:val="20"/>
        </w:rPr>
        <w:t>KF</w:t>
      </w:r>
      <w:r>
        <w:rPr>
          <w:rFonts w:ascii="Georgia" w:hAnsi="Georgia"/>
          <w:sz w:val="20"/>
          <w:szCs w:val="20"/>
        </w:rPr>
        <w:t xml:space="preserve"> lėšų ir iki 25 proc.  (15 proc. + 10 proc. jei paskolos sutartys pasirašytos iki 2014-12-31, o projektai įgyvendinti iki 2015-10-01) subsidija iš Klimato kaitos programos lėšų. Analizės metu buvo apskaičiuota, kad 15 proc. subsidija iš JESSICA </w:t>
      </w:r>
      <w:r w:rsidR="001B41DF">
        <w:rPr>
          <w:rFonts w:ascii="Georgia" w:hAnsi="Georgia"/>
          <w:sz w:val="20"/>
          <w:szCs w:val="20"/>
        </w:rPr>
        <w:t>KF</w:t>
      </w:r>
      <w:r>
        <w:rPr>
          <w:rFonts w:ascii="Georgia" w:hAnsi="Georgia"/>
          <w:sz w:val="20"/>
          <w:szCs w:val="20"/>
        </w:rPr>
        <w:t xml:space="preserve"> lėšų atitinka 2 proc. palūkanų subsidiją – tai reiškia, kad galutinė palūkanų norma, kurią sumoka galutiniai naudos gavėjai už paskolą, yra apie 1 proc. Atsižvelgiant į tai, buvo vertinamas administraciniu požiūriu paprastesnis modelis, kai paskolos palūkanų norma yra sumažinama iki 1 proc. ir 15 proc. subsidijos iš fondo lėšų yra atsisakoma. Vertinant šias dvi alternatyvas pažymėtina, kad, g</w:t>
      </w:r>
      <w:r w:rsidRPr="00AC3318">
        <w:rPr>
          <w:rFonts w:ascii="Georgia" w:hAnsi="Georgia"/>
          <w:sz w:val="20"/>
          <w:szCs w:val="20"/>
        </w:rPr>
        <w:t>yventojų požiūriu</w:t>
      </w:r>
      <w:r>
        <w:rPr>
          <w:rFonts w:ascii="Georgia" w:hAnsi="Georgia"/>
          <w:sz w:val="20"/>
          <w:szCs w:val="20"/>
        </w:rPr>
        <w:t>,</w:t>
      </w:r>
      <w:r w:rsidRPr="00AC3318">
        <w:rPr>
          <w:rFonts w:ascii="Georgia" w:hAnsi="Georgia"/>
          <w:sz w:val="20"/>
          <w:szCs w:val="20"/>
        </w:rPr>
        <w:t xml:space="preserve"> 15 proc. </w:t>
      </w:r>
      <w:r>
        <w:rPr>
          <w:rFonts w:ascii="Georgia" w:hAnsi="Georgia"/>
          <w:sz w:val="20"/>
          <w:szCs w:val="20"/>
        </w:rPr>
        <w:t>subsidija, teikiama</w:t>
      </w:r>
      <w:r w:rsidRPr="00AC3318">
        <w:rPr>
          <w:rFonts w:ascii="Georgia" w:hAnsi="Georgia"/>
          <w:sz w:val="20"/>
          <w:szCs w:val="20"/>
        </w:rPr>
        <w:t xml:space="preserve"> iš karto po projekto įgyvendinimo</w:t>
      </w:r>
      <w:r>
        <w:rPr>
          <w:rFonts w:ascii="Georgia" w:hAnsi="Georgia"/>
          <w:sz w:val="20"/>
          <w:szCs w:val="20"/>
        </w:rPr>
        <w:t>,</w:t>
      </w:r>
      <w:r w:rsidRPr="00AC3318">
        <w:rPr>
          <w:rFonts w:ascii="Georgia" w:hAnsi="Georgia"/>
          <w:sz w:val="20"/>
          <w:szCs w:val="20"/>
        </w:rPr>
        <w:t xml:space="preserve"> yra labiau priimtina ne</w:t>
      </w:r>
      <w:r>
        <w:rPr>
          <w:rFonts w:ascii="Georgia" w:hAnsi="Georgia"/>
          <w:sz w:val="20"/>
          <w:szCs w:val="20"/>
        </w:rPr>
        <w:t>i</w:t>
      </w:r>
      <w:r w:rsidRPr="00AC3318">
        <w:rPr>
          <w:rFonts w:ascii="Georgia" w:hAnsi="Georgia"/>
          <w:sz w:val="20"/>
          <w:szCs w:val="20"/>
        </w:rPr>
        <w:t xml:space="preserve"> </w:t>
      </w:r>
      <w:r>
        <w:rPr>
          <w:rFonts w:ascii="Georgia" w:hAnsi="Georgia"/>
          <w:sz w:val="20"/>
          <w:szCs w:val="20"/>
        </w:rPr>
        <w:t xml:space="preserve">sumažintos </w:t>
      </w:r>
      <w:r w:rsidRPr="00AC3318">
        <w:rPr>
          <w:rFonts w:ascii="Georgia" w:hAnsi="Georgia"/>
          <w:sz w:val="20"/>
          <w:szCs w:val="20"/>
        </w:rPr>
        <w:t>palūkan</w:t>
      </w:r>
      <w:r>
        <w:rPr>
          <w:rFonts w:ascii="Georgia" w:hAnsi="Georgia"/>
          <w:sz w:val="20"/>
          <w:szCs w:val="20"/>
        </w:rPr>
        <w:t>os</w:t>
      </w:r>
      <w:r w:rsidRPr="00AC3318">
        <w:rPr>
          <w:rFonts w:ascii="Georgia" w:hAnsi="Georgia"/>
          <w:sz w:val="20"/>
          <w:szCs w:val="20"/>
        </w:rPr>
        <w:t xml:space="preserve"> </w:t>
      </w:r>
      <w:r>
        <w:rPr>
          <w:rFonts w:ascii="Georgia" w:hAnsi="Georgia"/>
          <w:sz w:val="20"/>
          <w:szCs w:val="20"/>
        </w:rPr>
        <w:t>visu paskolos grąžinimo</w:t>
      </w:r>
      <w:r w:rsidRPr="00AC3318">
        <w:rPr>
          <w:rFonts w:ascii="Georgia" w:hAnsi="Georgia"/>
          <w:sz w:val="20"/>
          <w:szCs w:val="20"/>
        </w:rPr>
        <w:t xml:space="preserve"> laikotarpiu. </w:t>
      </w:r>
    </w:p>
    <w:p w14:paraId="2FE11328" w14:textId="77777777" w:rsidR="00151543" w:rsidRDefault="00151543" w:rsidP="00151543">
      <w:pPr>
        <w:pStyle w:val="prastasis1"/>
        <w:spacing w:line="276" w:lineRule="auto"/>
        <w:jc w:val="both"/>
        <w:rPr>
          <w:rFonts w:ascii="Georgia" w:hAnsi="Georgia"/>
          <w:sz w:val="20"/>
          <w:szCs w:val="20"/>
        </w:rPr>
      </w:pPr>
      <w:r>
        <w:rPr>
          <w:rFonts w:ascii="Georgia" w:hAnsi="Georgia"/>
          <w:sz w:val="20"/>
          <w:szCs w:val="20"/>
        </w:rPr>
        <w:t xml:space="preserve">Pažymėtina, jog, kaip nurodyta </w:t>
      </w:r>
      <w:r w:rsidRPr="00151543">
        <w:rPr>
          <w:rFonts w:ascii="Georgia" w:hAnsi="Georgia"/>
          <w:sz w:val="20"/>
          <w:szCs w:val="20"/>
        </w:rPr>
        <w:t>2.2.2.2.</w:t>
      </w:r>
      <w:r>
        <w:rPr>
          <w:rFonts w:ascii="Georgia" w:hAnsi="Georgia"/>
          <w:sz w:val="20"/>
          <w:szCs w:val="20"/>
        </w:rPr>
        <w:t xml:space="preserve"> skyriuje, Klimato kaitos programos lėšomis parama daugiabučių namų renovacijai yra planuojama skirti tik iki 2015 m. spalio 1 d., todėl apsisprendus projektams skirti iki 30 proc. subsidiją 2014-2020 m. periodu, reikalinga ieškoti alternatyvių šaltinių teikti subsidijoms nuo to momento, kuomet bus nebeteikiama parama Klimato kaitos programos lėšomis. </w:t>
      </w:r>
    </w:p>
    <w:p w14:paraId="68A8C01E" w14:textId="77777777" w:rsidR="00151543" w:rsidRPr="00BB042E" w:rsidRDefault="00151543" w:rsidP="002C6024">
      <w:pPr>
        <w:pStyle w:val="prastasis1"/>
        <w:spacing w:line="276" w:lineRule="auto"/>
        <w:jc w:val="both"/>
        <w:rPr>
          <w:rFonts w:ascii="Georgia" w:hAnsi="Georgia"/>
          <w:sz w:val="20"/>
          <w:szCs w:val="20"/>
          <w:lang w:val="en-US"/>
        </w:rPr>
      </w:pPr>
      <w:r w:rsidRPr="00AC3318">
        <w:rPr>
          <w:rFonts w:ascii="Georgia" w:hAnsi="Georgia"/>
          <w:sz w:val="20"/>
          <w:szCs w:val="20"/>
        </w:rPr>
        <w:t>Pasikeitus ex ante aprašytoms sąlygoms ir jautrumo analizės kintamiesiems, galimas ex</w:t>
      </w:r>
      <w:r>
        <w:rPr>
          <w:rFonts w:ascii="Georgia" w:hAnsi="Georgia"/>
          <w:sz w:val="20"/>
          <w:szCs w:val="20"/>
        </w:rPr>
        <w:t xml:space="preserve"> </w:t>
      </w:r>
      <w:r w:rsidRPr="00AC3318">
        <w:rPr>
          <w:rFonts w:ascii="Georgia" w:hAnsi="Georgia"/>
          <w:sz w:val="20"/>
          <w:szCs w:val="20"/>
        </w:rPr>
        <w:t>ante</w:t>
      </w:r>
      <w:r>
        <w:rPr>
          <w:rFonts w:ascii="Georgia" w:hAnsi="Georgia"/>
          <w:sz w:val="20"/>
          <w:szCs w:val="20"/>
        </w:rPr>
        <w:t xml:space="preserve"> analizės tikslinimas siekiant pakartotinai įvertinti subsidijos dydį.</w:t>
      </w:r>
      <w:r w:rsidRPr="00AC3318">
        <w:rPr>
          <w:rFonts w:ascii="Georgia" w:hAnsi="Georgia"/>
          <w:sz w:val="20"/>
          <w:szCs w:val="20"/>
        </w:rPr>
        <w:t xml:space="preserve"> Gyventojams taip pat svarbu, jog prie mažesnių subsidi</w:t>
      </w:r>
      <w:r>
        <w:rPr>
          <w:rFonts w:ascii="Georgia" w:hAnsi="Georgia"/>
          <w:sz w:val="20"/>
          <w:szCs w:val="20"/>
        </w:rPr>
        <w:t>j</w:t>
      </w:r>
      <w:r w:rsidRPr="00AC3318">
        <w:rPr>
          <w:rFonts w:ascii="Georgia" w:hAnsi="Georgia"/>
          <w:sz w:val="20"/>
          <w:szCs w:val="20"/>
        </w:rPr>
        <w:t xml:space="preserve">ų būtų pereinama </w:t>
      </w:r>
      <w:r>
        <w:rPr>
          <w:rFonts w:ascii="Georgia" w:hAnsi="Georgia"/>
          <w:sz w:val="20"/>
          <w:szCs w:val="20"/>
        </w:rPr>
        <w:t>laipsniškai</w:t>
      </w:r>
      <w:r w:rsidRPr="00AC3318">
        <w:rPr>
          <w:rFonts w:ascii="Georgia" w:hAnsi="Georgia"/>
          <w:sz w:val="20"/>
          <w:szCs w:val="20"/>
        </w:rPr>
        <w:t>, tai palaikytų</w:t>
      </w:r>
      <w:r>
        <w:rPr>
          <w:rFonts w:ascii="Georgia" w:hAnsi="Georgia"/>
          <w:sz w:val="20"/>
          <w:szCs w:val="20"/>
        </w:rPr>
        <w:t xml:space="preserve"> stabilesnį gyventojų</w:t>
      </w:r>
      <w:r w:rsidRPr="00AC3318">
        <w:rPr>
          <w:rFonts w:ascii="Georgia" w:hAnsi="Georgia"/>
          <w:sz w:val="20"/>
          <w:szCs w:val="20"/>
        </w:rPr>
        <w:t xml:space="preserve"> </w:t>
      </w:r>
      <w:r>
        <w:rPr>
          <w:rFonts w:ascii="Georgia" w:hAnsi="Georgia"/>
          <w:sz w:val="20"/>
          <w:szCs w:val="20"/>
        </w:rPr>
        <w:t xml:space="preserve">suinteresuotumą </w:t>
      </w:r>
      <w:r w:rsidRPr="00AC3318">
        <w:rPr>
          <w:rFonts w:ascii="Georgia" w:hAnsi="Georgia"/>
          <w:sz w:val="20"/>
          <w:szCs w:val="20"/>
        </w:rPr>
        <w:t>renovacijos procesu.</w:t>
      </w:r>
    </w:p>
    <w:p w14:paraId="2CDF2FE4" w14:textId="77777777" w:rsidR="00151543" w:rsidRPr="00AA32EA" w:rsidRDefault="00151543" w:rsidP="00C03122">
      <w:pPr>
        <w:pStyle w:val="Antrat2"/>
        <w:numPr>
          <w:ilvl w:val="2"/>
          <w:numId w:val="36"/>
        </w:numPr>
        <w:spacing w:after="240"/>
        <w:rPr>
          <w:lang w:val="lt-LT"/>
        </w:rPr>
      </w:pPr>
      <w:bookmarkStart w:id="339" w:name="_Toc398567605"/>
      <w:bookmarkStart w:id="340" w:name="_Toc417378436"/>
      <w:r w:rsidRPr="00AA32EA">
        <w:rPr>
          <w:lang w:val="lt-LT"/>
        </w:rPr>
        <w:t>Finansinės priemonės įgyvendinimo struktūra</w:t>
      </w:r>
      <w:bookmarkEnd w:id="339"/>
      <w:bookmarkEnd w:id="340"/>
    </w:p>
    <w:p w14:paraId="093D1460" w14:textId="77777777" w:rsidR="00151543" w:rsidRPr="00AC3318" w:rsidRDefault="00151543" w:rsidP="00151543">
      <w:pPr>
        <w:pStyle w:val="prastasis1"/>
        <w:spacing w:line="276" w:lineRule="auto"/>
        <w:jc w:val="both"/>
        <w:rPr>
          <w:rFonts w:ascii="Georgia" w:hAnsi="Georgia"/>
          <w:sz w:val="20"/>
          <w:szCs w:val="20"/>
        </w:rPr>
      </w:pPr>
      <w:r w:rsidRPr="00AC3318">
        <w:rPr>
          <w:rFonts w:ascii="Georgia" w:hAnsi="Georgia"/>
          <w:sz w:val="20"/>
          <w:szCs w:val="20"/>
        </w:rPr>
        <w:t xml:space="preserve">Kaip jau buvo nurodyta </w:t>
      </w:r>
      <w:r>
        <w:rPr>
          <w:rFonts w:ascii="Georgia" w:hAnsi="Georgia"/>
          <w:sz w:val="20"/>
          <w:szCs w:val="20"/>
        </w:rPr>
        <w:t>1.</w:t>
      </w:r>
      <w:r w:rsidRPr="00AC3318">
        <w:rPr>
          <w:rFonts w:ascii="Georgia" w:hAnsi="Georgia"/>
          <w:sz w:val="20"/>
          <w:szCs w:val="20"/>
        </w:rPr>
        <w:t>3 skyriuje, nuostatos reglamentuojančios vadovaujančiosios institucijos galimybes pasirinkti finansinių priemonių įgyvendinimo struktūrą yra apibrėžtos Bendr</w:t>
      </w:r>
      <w:r>
        <w:rPr>
          <w:rFonts w:ascii="Georgia" w:hAnsi="Georgia"/>
          <w:sz w:val="20"/>
          <w:szCs w:val="20"/>
        </w:rPr>
        <w:t>ų</w:t>
      </w:r>
      <w:r w:rsidRPr="00AC3318">
        <w:rPr>
          <w:rFonts w:ascii="Georgia" w:hAnsi="Georgia"/>
          <w:sz w:val="20"/>
          <w:szCs w:val="20"/>
        </w:rPr>
        <w:t>j</w:t>
      </w:r>
      <w:r>
        <w:rPr>
          <w:rFonts w:ascii="Georgia" w:hAnsi="Georgia"/>
          <w:sz w:val="20"/>
          <w:szCs w:val="20"/>
        </w:rPr>
        <w:t>ų nuostatų</w:t>
      </w:r>
      <w:r w:rsidRPr="00AC3318">
        <w:rPr>
          <w:rFonts w:ascii="Georgia" w:hAnsi="Georgia"/>
          <w:sz w:val="20"/>
          <w:szCs w:val="20"/>
        </w:rPr>
        <w:t xml:space="preserve"> </w:t>
      </w:r>
      <w:r>
        <w:rPr>
          <w:rFonts w:ascii="Georgia" w:hAnsi="Georgia"/>
          <w:sz w:val="20"/>
          <w:szCs w:val="20"/>
        </w:rPr>
        <w:t>r</w:t>
      </w:r>
      <w:r w:rsidRPr="00AC3318">
        <w:rPr>
          <w:rFonts w:ascii="Georgia" w:hAnsi="Georgia"/>
          <w:sz w:val="20"/>
          <w:szCs w:val="20"/>
        </w:rPr>
        <w:t>eglamento 38 straipsnyje.</w:t>
      </w:r>
    </w:p>
    <w:p w14:paraId="0743527D" w14:textId="77777777" w:rsidR="00151543" w:rsidRDefault="00151543" w:rsidP="00151543">
      <w:pPr>
        <w:pStyle w:val="prastasis1"/>
        <w:spacing w:line="276" w:lineRule="auto"/>
        <w:jc w:val="both"/>
        <w:rPr>
          <w:rFonts w:ascii="Georgia" w:hAnsi="Georgia"/>
          <w:sz w:val="20"/>
          <w:szCs w:val="20"/>
        </w:rPr>
      </w:pPr>
      <w:r>
        <w:rPr>
          <w:rFonts w:ascii="Georgia" w:hAnsi="Georgia"/>
          <w:sz w:val="20"/>
          <w:szCs w:val="20"/>
        </w:rPr>
        <w:t>Atsižvelgiant į tai, kad</w:t>
      </w:r>
      <w:r w:rsidRPr="00AC3318">
        <w:rPr>
          <w:rFonts w:ascii="Georgia" w:hAnsi="Georgia"/>
          <w:sz w:val="20"/>
          <w:szCs w:val="20"/>
        </w:rPr>
        <w:t xml:space="preserve"> daugiabučių namų </w:t>
      </w:r>
      <w:r>
        <w:rPr>
          <w:rFonts w:ascii="Georgia" w:hAnsi="Georgia"/>
          <w:sz w:val="20"/>
          <w:szCs w:val="20"/>
        </w:rPr>
        <w:t>renovacijos projektų</w:t>
      </w:r>
      <w:r w:rsidRPr="00AC3318">
        <w:rPr>
          <w:rFonts w:ascii="Georgia" w:hAnsi="Georgia"/>
          <w:sz w:val="20"/>
          <w:szCs w:val="20"/>
        </w:rPr>
        <w:t xml:space="preserve"> atveju susidaro labai didelis galutinių </w:t>
      </w:r>
      <w:r>
        <w:rPr>
          <w:rFonts w:ascii="Georgia" w:hAnsi="Georgia"/>
          <w:sz w:val="20"/>
          <w:szCs w:val="20"/>
        </w:rPr>
        <w:t>naudos</w:t>
      </w:r>
      <w:r w:rsidRPr="00AC3318">
        <w:rPr>
          <w:rFonts w:ascii="Georgia" w:hAnsi="Georgia"/>
          <w:sz w:val="20"/>
          <w:szCs w:val="20"/>
        </w:rPr>
        <w:t xml:space="preserve"> gavėjų, kurie, be to, yra išsisklaidę po visą šalies teritoriją, skaičius, o suteikiamų paskolų dydis yra nedidelis, </w:t>
      </w:r>
      <w:r>
        <w:rPr>
          <w:rFonts w:ascii="Georgia" w:hAnsi="Georgia"/>
          <w:sz w:val="20"/>
          <w:szCs w:val="20"/>
        </w:rPr>
        <w:t xml:space="preserve">taip pat atsižvelgiant ir į tai, kad </w:t>
      </w:r>
      <w:r w:rsidRPr="00AC3318">
        <w:rPr>
          <w:rFonts w:ascii="Georgia" w:hAnsi="Georgia"/>
          <w:sz w:val="20"/>
          <w:szCs w:val="20"/>
        </w:rPr>
        <w:t>komerciniai bankai ir kitos finansų įstaigos jau veikia kaip finansiniai tarpininkai finansuojant daugiabučių renovaciją</w:t>
      </w:r>
      <w:r>
        <w:rPr>
          <w:rFonts w:ascii="Georgia" w:hAnsi="Georgia"/>
          <w:sz w:val="20"/>
          <w:szCs w:val="20"/>
        </w:rPr>
        <w:t xml:space="preserve"> bei turi didelį Lietuvos teritorijos padengimą bankų padaliniais</w:t>
      </w:r>
      <w:r w:rsidRPr="00AC3318">
        <w:rPr>
          <w:rFonts w:ascii="Georgia" w:hAnsi="Georgia"/>
          <w:sz w:val="20"/>
          <w:szCs w:val="20"/>
        </w:rPr>
        <w:t xml:space="preserve">, </w:t>
      </w:r>
      <w:r w:rsidRPr="00B70C59">
        <w:rPr>
          <w:rFonts w:ascii="Georgia" w:hAnsi="Georgia"/>
          <w:b/>
          <w:i/>
          <w:sz w:val="20"/>
          <w:szCs w:val="20"/>
        </w:rPr>
        <w:t>rekomenduojama finansinės priemonės įgyvendinimui išlaikyti fondų fondo struktūrą</w:t>
      </w:r>
      <w:r>
        <w:rPr>
          <w:rFonts w:ascii="Georgia" w:hAnsi="Georgia"/>
          <w:sz w:val="20"/>
          <w:szCs w:val="20"/>
        </w:rPr>
        <w:t xml:space="preserve"> nurodytą</w:t>
      </w:r>
      <w:r w:rsidRPr="00AC3318">
        <w:rPr>
          <w:rFonts w:ascii="Georgia" w:hAnsi="Georgia"/>
          <w:sz w:val="20"/>
          <w:szCs w:val="20"/>
        </w:rPr>
        <w:t xml:space="preserve"> </w:t>
      </w:r>
      <w:r w:rsidR="008B6689">
        <w:rPr>
          <w:rFonts w:ascii="Georgia" w:hAnsi="Georgia"/>
          <w:sz w:val="20"/>
          <w:szCs w:val="20"/>
        </w:rPr>
        <w:t>paveiksle žemiau</w:t>
      </w:r>
      <w:r w:rsidRPr="00AC3318">
        <w:rPr>
          <w:rFonts w:ascii="Georgia" w:hAnsi="Georgia"/>
          <w:sz w:val="20"/>
          <w:szCs w:val="20"/>
        </w:rPr>
        <w:t>. Atsižvelgiant į jau sukauptą patirtį šalyje įgyvendinant finansines priemones praėjusiame programavimo laikotarpyje, vadovaujančiai institucijai rekomenduotina tęsti finansinės priemonės įgyvendinimą nacionaliniame lygmenyje pasitelkiant finansinius tarpininkus</w:t>
      </w:r>
      <w:r>
        <w:rPr>
          <w:rFonts w:ascii="Georgia" w:hAnsi="Georgia"/>
          <w:sz w:val="20"/>
          <w:szCs w:val="20"/>
        </w:rPr>
        <w:t xml:space="preserve"> (o iškilus būtinybei ir fondo valdytoją)</w:t>
      </w:r>
      <w:r w:rsidRPr="00AC3318">
        <w:rPr>
          <w:rFonts w:ascii="Georgia" w:hAnsi="Georgia"/>
          <w:sz w:val="20"/>
          <w:szCs w:val="20"/>
        </w:rPr>
        <w:t>, analizuojant ir identifikuojant būdus pritraukti papildomą finansavimą šios priemonės įgyvendinimui.</w:t>
      </w:r>
    </w:p>
    <w:p w14:paraId="3CC02DF2" w14:textId="77777777" w:rsidR="00151543" w:rsidRDefault="00151543" w:rsidP="00151543">
      <w:pPr>
        <w:pStyle w:val="prastasis1"/>
        <w:spacing w:line="276" w:lineRule="auto"/>
        <w:jc w:val="both"/>
        <w:rPr>
          <w:rFonts w:ascii="Georgia" w:hAnsi="Georgia"/>
          <w:sz w:val="20"/>
          <w:szCs w:val="20"/>
        </w:rPr>
      </w:pPr>
      <w:r w:rsidRPr="00AC3318">
        <w:rPr>
          <w:rFonts w:ascii="Georgia" w:hAnsi="Georgia"/>
          <w:noProof/>
          <w:sz w:val="20"/>
          <w:szCs w:val="20"/>
        </w:rPr>
        <w:lastRenderedPageBreak/>
        <mc:AlternateContent>
          <mc:Choice Requires="wpc">
            <w:drawing>
              <wp:inline distT="0" distB="0" distL="0" distR="0" wp14:anchorId="0144174E" wp14:editId="2C3EB812">
                <wp:extent cx="5594350" cy="3327400"/>
                <wp:effectExtent l="0" t="0" r="0" b="25400"/>
                <wp:docPr id="4215" name="Drobė 42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5" name="AutoShape 10"/>
                        <wps:cNvSpPr>
                          <a:spLocks noChangeArrowheads="1"/>
                        </wps:cNvSpPr>
                        <wps:spPr bwMode="auto">
                          <a:xfrm>
                            <a:off x="2190432" y="33950"/>
                            <a:ext cx="1423035" cy="240030"/>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14:paraId="0660C931" w14:textId="77777777" w:rsidR="00A65A8D" w:rsidRDefault="00A65A8D" w:rsidP="00151543">
                              <w:pPr>
                                <w:pStyle w:val="prastasistinklapis"/>
                                <w:spacing w:before="0" w:beforeAutospacing="0" w:after="0" w:afterAutospacing="0"/>
                                <w:jc w:val="center"/>
                              </w:pPr>
                              <w:r>
                                <w:rPr>
                                  <w:rFonts w:ascii="Calibri" w:eastAsia="Calibri" w:hAnsi="Calibri"/>
                                  <w:b/>
                                  <w:bCs/>
                                  <w:sz w:val="16"/>
                                  <w:szCs w:val="16"/>
                                </w:rPr>
                                <w:t>III STRUKTŪRA</w:t>
                              </w:r>
                            </w:p>
                          </w:txbxContent>
                        </wps:txbx>
                        <wps:bodyPr rot="0" vert="horz" wrap="square" lIns="91440" tIns="45720" rIns="91440" bIns="45720" anchor="t" anchorCtr="0" upright="1">
                          <a:noAutofit/>
                        </wps:bodyPr>
                      </wps:wsp>
                      <wps:wsp>
                        <wps:cNvPr id="241" name="Rectangle 9"/>
                        <wps:cNvSpPr>
                          <a:spLocks noChangeArrowheads="1"/>
                        </wps:cNvSpPr>
                        <wps:spPr bwMode="auto">
                          <a:xfrm>
                            <a:off x="1982130" y="320040"/>
                            <a:ext cx="1802130" cy="3004185"/>
                          </a:xfrm>
                          <a:prstGeom prst="rect">
                            <a:avLst/>
                          </a:prstGeom>
                          <a:solidFill>
                            <a:srgbClr val="FFFFFF"/>
                          </a:solidFill>
                          <a:ln w="19050">
                            <a:solidFill>
                              <a:srgbClr val="E36C0A"/>
                            </a:solidFill>
                            <a:miter lim="800000"/>
                            <a:headEnd/>
                            <a:tailEnd/>
                          </a:ln>
                        </wps:spPr>
                        <wps:txbx>
                          <w:txbxContent>
                            <w:p w14:paraId="5927BCAB" w14:textId="77777777" w:rsidR="00A65A8D" w:rsidRDefault="00A65A8D" w:rsidP="00A364D8">
                              <w:pPr>
                                <w:pStyle w:val="prastasistinklapis"/>
                                <w:spacing w:before="0" w:beforeAutospacing="0" w:after="200" w:afterAutospacing="0" w:line="276" w:lineRule="auto"/>
                              </w:pPr>
                              <w:r>
                                <w:rPr>
                                  <w:rFonts w:ascii="Calibri" w:hAnsi="Calibri"/>
                                  <w:sz w:val="22"/>
                                  <w:szCs w:val="22"/>
                                  <w:lang w:val="en-US"/>
                                </w:rPr>
                                <w:t> </w:t>
                              </w:r>
                            </w:p>
                          </w:txbxContent>
                        </wps:txbx>
                        <wps:bodyPr rot="0" vert="horz" wrap="square" lIns="91440" tIns="45720" rIns="91440" bIns="45720" anchor="t" anchorCtr="0" upright="1">
                          <a:noAutofit/>
                        </wps:bodyPr>
                      </wps:wsp>
                      <wps:wsp>
                        <wps:cNvPr id="242" name="AutoShape 12"/>
                        <wps:cNvSpPr>
                          <a:spLocks noChangeArrowheads="1"/>
                        </wps:cNvSpPr>
                        <wps:spPr bwMode="auto">
                          <a:xfrm>
                            <a:off x="2161200" y="500380"/>
                            <a:ext cx="1423670" cy="240030"/>
                          </a:xfrm>
                          <a:prstGeom prst="roundRect">
                            <a:avLst>
                              <a:gd name="adj" fmla="val 16667"/>
                            </a:avLst>
                          </a:prstGeom>
                          <a:solidFill>
                            <a:srgbClr val="E36C0A"/>
                          </a:solidFill>
                          <a:ln w="9525">
                            <a:solidFill>
                              <a:srgbClr val="974706"/>
                            </a:solidFill>
                            <a:round/>
                            <a:headEnd/>
                            <a:tailEnd/>
                          </a:ln>
                        </wps:spPr>
                        <wps:txbx>
                          <w:txbxContent>
                            <w:p w14:paraId="4C0E52C6" w14:textId="77777777" w:rsidR="00A65A8D" w:rsidRDefault="00A65A8D" w:rsidP="00A364D8">
                              <w:pPr>
                                <w:pStyle w:val="prastasistinklapis"/>
                                <w:spacing w:before="0" w:beforeAutospacing="0" w:after="0" w:afterAutospacing="0" w:line="276" w:lineRule="auto"/>
                                <w:jc w:val="center"/>
                              </w:pPr>
                              <w:r>
                                <w:rPr>
                                  <w:rFonts w:ascii="Calibri" w:eastAsia="Calibri" w:hAnsi="Calibri"/>
                                  <w:b/>
                                  <w:bCs/>
                                  <w:color w:val="FFFFFF"/>
                                  <w:sz w:val="16"/>
                                  <w:szCs w:val="16"/>
                                  <w:lang w:val="en-US"/>
                                </w:rPr>
                                <w:t>Vadovaujančioji institucija</w:t>
                              </w:r>
                            </w:p>
                          </w:txbxContent>
                        </wps:txbx>
                        <wps:bodyPr rot="0" vert="horz" wrap="square" lIns="91440" tIns="45720" rIns="91440" bIns="45720" anchor="t" anchorCtr="0" upright="1">
                          <a:noAutofit/>
                        </wps:bodyPr>
                      </wps:wsp>
                      <wps:wsp>
                        <wps:cNvPr id="243" name="AutoShape 15"/>
                        <wps:cNvSpPr>
                          <a:spLocks noChangeArrowheads="1"/>
                        </wps:cNvSpPr>
                        <wps:spPr bwMode="auto">
                          <a:xfrm>
                            <a:off x="2161200" y="2743835"/>
                            <a:ext cx="1423670" cy="465455"/>
                          </a:xfrm>
                          <a:prstGeom prst="roundRect">
                            <a:avLst>
                              <a:gd name="adj" fmla="val 16667"/>
                            </a:avLst>
                          </a:prstGeom>
                          <a:solidFill>
                            <a:srgbClr val="E36C0A"/>
                          </a:solidFill>
                          <a:ln w="9525">
                            <a:solidFill>
                              <a:srgbClr val="974706"/>
                            </a:solidFill>
                            <a:round/>
                            <a:headEnd/>
                            <a:tailEnd/>
                          </a:ln>
                        </wps:spPr>
                        <wps:txbx>
                          <w:txbxContent>
                            <w:p w14:paraId="4361F060" w14:textId="77777777" w:rsidR="00A65A8D" w:rsidRDefault="00A65A8D" w:rsidP="00A364D8">
                              <w:pPr>
                                <w:pStyle w:val="prastasistinklapis"/>
                                <w:spacing w:before="0" w:beforeAutospacing="0" w:after="0" w:afterAutospacing="0" w:line="276" w:lineRule="auto"/>
                                <w:jc w:val="center"/>
                              </w:pPr>
                              <w:r>
                                <w:rPr>
                                  <w:rFonts w:ascii="Calibri" w:eastAsia="Calibri" w:hAnsi="Calibri"/>
                                  <w:b/>
                                  <w:bCs/>
                                  <w:color w:val="FFFFFF"/>
                                  <w:sz w:val="16"/>
                                  <w:szCs w:val="16"/>
                                  <w:lang w:val="en-US"/>
                                </w:rPr>
                                <w:t>Galutiniai paramos</w:t>
                              </w:r>
                            </w:p>
                            <w:p w14:paraId="1F4F59AF" w14:textId="77777777" w:rsidR="00A65A8D" w:rsidRDefault="00A65A8D" w:rsidP="00A364D8">
                              <w:pPr>
                                <w:pStyle w:val="prastasistinklapis"/>
                                <w:spacing w:before="0" w:beforeAutospacing="0" w:after="0" w:afterAutospacing="0" w:line="276" w:lineRule="auto"/>
                                <w:jc w:val="center"/>
                              </w:pPr>
                              <w:r>
                                <w:rPr>
                                  <w:rFonts w:ascii="Calibri" w:eastAsia="Calibri" w:hAnsi="Calibri"/>
                                  <w:b/>
                                  <w:bCs/>
                                  <w:color w:val="FFFFFF"/>
                                  <w:sz w:val="16"/>
                                  <w:szCs w:val="16"/>
                                  <w:lang w:val="en-US"/>
                                </w:rPr>
                                <w:t xml:space="preserve"> gavėjai</w:t>
                              </w:r>
                            </w:p>
                            <w:p w14:paraId="42305B00" w14:textId="77777777" w:rsidR="00A65A8D" w:rsidRDefault="00A65A8D" w:rsidP="00A364D8">
                              <w:pPr>
                                <w:pStyle w:val="prastasistinklapis"/>
                                <w:spacing w:before="0" w:beforeAutospacing="0" w:after="0" w:afterAutospacing="0" w:line="276" w:lineRule="auto"/>
                                <w:jc w:val="center"/>
                              </w:pPr>
                              <w:r>
                                <w:rPr>
                                  <w:rFonts w:ascii="Calibri" w:eastAsia="Calibri" w:hAnsi="Calibri"/>
                                  <w:b/>
                                  <w:bCs/>
                                  <w:color w:val="FFFFFF"/>
                                  <w:sz w:val="16"/>
                                  <w:szCs w:val="16"/>
                                  <w:lang w:val="en-US"/>
                                </w:rPr>
                                <w:t> </w:t>
                              </w:r>
                            </w:p>
                          </w:txbxContent>
                        </wps:txbx>
                        <wps:bodyPr rot="0" vert="horz" wrap="square" lIns="91440" tIns="45720" rIns="91440" bIns="45720" anchor="t" anchorCtr="0" upright="1">
                          <a:noAutofit/>
                        </wps:bodyPr>
                      </wps:wsp>
                      <wps:wsp>
                        <wps:cNvPr id="244" name="AutoShape 17"/>
                        <wps:cNvSpPr>
                          <a:spLocks noChangeArrowheads="1"/>
                        </wps:cNvSpPr>
                        <wps:spPr bwMode="auto">
                          <a:xfrm>
                            <a:off x="2157390" y="2262505"/>
                            <a:ext cx="1424305" cy="241300"/>
                          </a:xfrm>
                          <a:prstGeom prst="roundRect">
                            <a:avLst>
                              <a:gd name="adj" fmla="val 16667"/>
                            </a:avLst>
                          </a:prstGeom>
                          <a:solidFill>
                            <a:srgbClr val="E36C0A"/>
                          </a:solidFill>
                          <a:ln w="9525">
                            <a:solidFill>
                              <a:srgbClr val="974706"/>
                            </a:solidFill>
                            <a:prstDash val="dash"/>
                            <a:round/>
                            <a:headEnd/>
                            <a:tailEnd/>
                          </a:ln>
                        </wps:spPr>
                        <wps:txbx>
                          <w:txbxContent>
                            <w:p w14:paraId="68C6BFAB" w14:textId="77777777" w:rsidR="00A65A8D" w:rsidRDefault="00A65A8D" w:rsidP="00A364D8">
                              <w:pPr>
                                <w:pStyle w:val="prastasistinklapis"/>
                                <w:spacing w:before="0" w:beforeAutospacing="0" w:after="0" w:afterAutospacing="0" w:line="276" w:lineRule="auto"/>
                                <w:jc w:val="center"/>
                              </w:pPr>
                              <w:r>
                                <w:rPr>
                                  <w:rFonts w:ascii="Calibri" w:eastAsia="Calibri" w:hAnsi="Calibri"/>
                                  <w:b/>
                                  <w:bCs/>
                                  <w:color w:val="FFFFFF"/>
                                  <w:sz w:val="16"/>
                                  <w:szCs w:val="16"/>
                                  <w:lang w:val="en-US"/>
                                </w:rPr>
                                <w:t>Finansinis tarpininkas</w:t>
                              </w:r>
                            </w:p>
                          </w:txbxContent>
                        </wps:txbx>
                        <wps:bodyPr rot="0" vert="horz" wrap="square" lIns="91440" tIns="45720" rIns="91440" bIns="45720" anchor="t" anchorCtr="0" upright="1">
                          <a:noAutofit/>
                        </wps:bodyPr>
                      </wps:wsp>
                      <wps:wsp>
                        <wps:cNvPr id="245" name="AutoShape 18"/>
                        <wps:cNvSpPr>
                          <a:spLocks noChangeArrowheads="1"/>
                        </wps:cNvSpPr>
                        <wps:spPr bwMode="auto">
                          <a:xfrm>
                            <a:off x="2162470" y="1031240"/>
                            <a:ext cx="1423670" cy="241300"/>
                          </a:xfrm>
                          <a:prstGeom prst="roundRect">
                            <a:avLst>
                              <a:gd name="adj" fmla="val 16667"/>
                            </a:avLst>
                          </a:prstGeom>
                          <a:solidFill>
                            <a:srgbClr val="E36C0A"/>
                          </a:solidFill>
                          <a:ln w="9525">
                            <a:solidFill>
                              <a:srgbClr val="974706"/>
                            </a:solidFill>
                            <a:round/>
                            <a:headEnd/>
                            <a:tailEnd/>
                          </a:ln>
                        </wps:spPr>
                        <wps:txbx>
                          <w:txbxContent>
                            <w:p w14:paraId="33A59C30" w14:textId="77777777" w:rsidR="00A65A8D" w:rsidRDefault="00A65A8D" w:rsidP="00A364D8">
                              <w:pPr>
                                <w:pStyle w:val="prastasistinklapis"/>
                                <w:spacing w:before="0" w:beforeAutospacing="0" w:after="0" w:afterAutospacing="0" w:line="276" w:lineRule="auto"/>
                                <w:jc w:val="center"/>
                              </w:pPr>
                              <w:r>
                                <w:rPr>
                                  <w:rFonts w:ascii="Calibri" w:eastAsia="Calibri" w:hAnsi="Calibri"/>
                                  <w:b/>
                                  <w:bCs/>
                                  <w:color w:val="FFFFFF"/>
                                  <w:sz w:val="16"/>
                                  <w:szCs w:val="16"/>
                                  <w:lang w:val="en-US"/>
                                </w:rPr>
                                <w:t>Fondų fondas</w:t>
                              </w:r>
                            </w:p>
                          </w:txbxContent>
                        </wps:txbx>
                        <wps:bodyPr rot="0" vert="horz" wrap="square" lIns="91440" tIns="45720" rIns="91440" bIns="45720" anchor="t" anchorCtr="0" upright="1">
                          <a:noAutofit/>
                        </wps:bodyPr>
                      </wps:wsp>
                      <wps:wsp>
                        <wps:cNvPr id="246" name="AutoShape 27"/>
                        <wps:cNvCnPr>
                          <a:cxnSpLocks noChangeShapeType="1"/>
                        </wps:cNvCnPr>
                        <wps:spPr bwMode="auto">
                          <a:xfrm flipH="1">
                            <a:off x="2871130" y="1273175"/>
                            <a:ext cx="254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 name="AutoShape 28"/>
                        <wps:cNvCnPr>
                          <a:cxnSpLocks noChangeShapeType="1"/>
                        </wps:cNvCnPr>
                        <wps:spPr bwMode="auto">
                          <a:xfrm flipH="1">
                            <a:off x="2869225" y="2051685"/>
                            <a:ext cx="1270" cy="210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AutoShape 29"/>
                        <wps:cNvCnPr>
                          <a:cxnSpLocks noChangeShapeType="1"/>
                        </wps:cNvCnPr>
                        <wps:spPr bwMode="auto">
                          <a:xfrm flipH="1">
                            <a:off x="2867955" y="2505075"/>
                            <a:ext cx="1270"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AutoShape 30"/>
                        <wps:cNvCnPr>
                          <a:cxnSpLocks noChangeShapeType="1"/>
                        </wps:cNvCnPr>
                        <wps:spPr bwMode="auto">
                          <a:xfrm>
                            <a:off x="2869225" y="2505075"/>
                            <a:ext cx="317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AutoShape 26"/>
                        <wps:cNvCnPr>
                          <a:cxnSpLocks noChangeShapeType="1"/>
                        </wps:cNvCnPr>
                        <wps:spPr bwMode="auto">
                          <a:xfrm>
                            <a:off x="2873035" y="741680"/>
                            <a:ext cx="635" cy="28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Oval 166"/>
                        <wps:cNvSpPr>
                          <a:spLocks noChangeArrowheads="1"/>
                        </wps:cNvSpPr>
                        <wps:spPr bwMode="auto">
                          <a:xfrm>
                            <a:off x="2301535" y="1407795"/>
                            <a:ext cx="1139825" cy="643255"/>
                          </a:xfrm>
                          <a:prstGeom prst="ellipse">
                            <a:avLst/>
                          </a:prstGeom>
                          <a:solidFill>
                            <a:srgbClr val="FFC000"/>
                          </a:solidFill>
                          <a:ln w="9525">
                            <a:solidFill>
                              <a:srgbClr val="974706"/>
                            </a:solidFill>
                            <a:round/>
                            <a:headEnd/>
                            <a:tailEnd/>
                          </a:ln>
                        </wps:spPr>
                        <wps:txbx>
                          <w:txbxContent>
                            <w:p w14:paraId="1EF2FEF4" w14:textId="77777777" w:rsidR="00A65A8D" w:rsidRDefault="00A65A8D" w:rsidP="00A364D8">
                              <w:pPr>
                                <w:pStyle w:val="prastasistinklapis"/>
                                <w:spacing w:before="0" w:beforeAutospacing="0" w:after="200" w:afterAutospacing="0" w:line="276" w:lineRule="auto"/>
                                <w:jc w:val="center"/>
                              </w:pPr>
                              <w:r>
                                <w:rPr>
                                  <w:rFonts w:ascii="Calibri" w:eastAsia="Calibri" w:hAnsi="Calibri"/>
                                  <w:b/>
                                  <w:bCs/>
                                  <w:color w:val="FFFFFF"/>
                                  <w:sz w:val="18"/>
                                  <w:szCs w:val="18"/>
                                </w:rPr>
                                <w:t>Finansinė priemonė</w:t>
                              </w:r>
                            </w:p>
                            <w:p w14:paraId="6B2B8B03" w14:textId="77777777" w:rsidR="00A65A8D" w:rsidRDefault="00A65A8D" w:rsidP="00A364D8">
                              <w:pPr>
                                <w:pStyle w:val="prastasistinklapis"/>
                                <w:spacing w:before="0" w:beforeAutospacing="0" w:after="200" w:afterAutospacing="0" w:line="276" w:lineRule="auto"/>
                                <w:jc w:val="center"/>
                              </w:pPr>
                              <w:r>
                                <w:rPr>
                                  <w:rFonts w:ascii="Calibri" w:eastAsia="Calibri" w:hAnsi="Calibri"/>
                                  <w:b/>
                                  <w:bCs/>
                                  <w:color w:val="FFFFFF"/>
                                  <w:sz w:val="22"/>
                                  <w:szCs w:val="22"/>
                                </w:rPr>
                                <w:t> </w:t>
                              </w:r>
                            </w:p>
                          </w:txbxContent>
                        </wps:txbx>
                        <wps:bodyPr rot="0" vert="horz" wrap="square" lIns="91440" tIns="45720" rIns="91440" bIns="45720" anchor="t" anchorCtr="0" upright="1">
                          <a:noAutofit/>
                        </wps:bodyPr>
                      </wps:wsp>
                    </wpc:wpc>
                  </a:graphicData>
                </a:graphic>
              </wp:inline>
            </w:drawing>
          </mc:Choice>
          <mc:Fallback>
            <w:pict>
              <v:group id="Drobė 4215" o:spid="_x0000_s1087" editas="canvas" style="width:440.5pt;height:262pt;mso-position-horizontal-relative:char;mso-position-vertical-relative:line" coordsize="55943,3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">
                <v:shape id="_x0000_s1088" type="#_x0000_t75" style="position:absolute;width:55943;height:33274;visibility:visible;mso-wrap-style:square">
                  <v:fill o:detectmouseclick="t"/>
                  <v:path o:connecttype="none"/>
                </v:shape>
                <v:roundrect id="AutoShape 10" o:spid="_x0000_s1089" style="position:absolute;left:21904;top:339;width:14230;height:24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cQ8IA&#10;AADcAAAADwAAAGRycy9kb3ducmV2LnhtbERPPWvDMBDdC/kP4gLdajmBGuNGCUlIoFtbu4u3w7rY&#10;JtbJkdTY/fdVodDtHu/zNrvZDOJOzveWFaySFARxY3XPrYLP6vyUg/ABWeNgmRR8k4fddvGwwULb&#10;iT/oXoZWxBD2BSroQhgLKX3TkUGf2JE4chfrDIYIXSu1wymGm0Gu0zSTBnuODR2OdOyouZZfRsGt&#10;d4fz0br3JsvKU+Xf6gHHWqnH5bx/ARFoDv/iP/erjvPzZ/h9Jl4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VxDwgAAANwAAAAPAAAAAAAAAAAAAAAAAJgCAABkcnMvZG93&#10;bnJldi54bWxQSwUGAAAAAAQABAD1AAAAhwMAAAAA&#10;" fillcolor="white [3201]" strokecolor="#f79646 [3209]" strokeweight="2pt">
                  <v:textbox>
                    <w:txbxContent>
                      <w:p w14:paraId="0660C931" w14:textId="77777777" w:rsidR="00A65A8D" w:rsidRDefault="00A65A8D" w:rsidP="00151543">
                        <w:pPr>
                          <w:pStyle w:val="prastasistinklapis"/>
                          <w:spacing w:before="0" w:beforeAutospacing="0" w:after="0" w:afterAutospacing="0"/>
                          <w:jc w:val="center"/>
                        </w:pPr>
                        <w:r>
                          <w:rPr>
                            <w:rFonts w:ascii="Calibri" w:eastAsia="Calibri" w:hAnsi="Calibri"/>
                            <w:b/>
                            <w:bCs/>
                            <w:sz w:val="16"/>
                            <w:szCs w:val="16"/>
                          </w:rPr>
                          <w:t>III STRUKTŪRA</w:t>
                        </w:r>
                      </w:p>
                    </w:txbxContent>
                  </v:textbox>
                </v:roundrect>
                <v:rect id="Rectangle 9" o:spid="_x0000_s1090" style="position:absolute;left:19821;top:3200;width:18021;height:30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k0MQA&#10;AADcAAAADwAAAGRycy9kb3ducmV2LnhtbESPQWsCMRSE74L/ITyhNzerlFK2G0UEQfRiVSi9vW5e&#10;N0s3L0sS3fXfG0HocZiZb5hyOdhWXMmHxrGCWZaDIK6cbrhWcD5tpu8gQkTW2DomBTcKsFyMRyUW&#10;2vX8SddjrEWCcChQgYmxK6QMlSGLIXMdcfJ+nbcYk/S11B77BLetnOf5m7TYcFow2NHaUPV3vFgF&#10;3feOdB+1/BpO/mfr96vDvj4o9TIZVh8gIg3xP/xsb7WC+esMHmfS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wZNDEAAAA3AAAAA8AAAAAAAAAAAAAAAAAmAIAAGRycy9k&#10;b3ducmV2LnhtbFBLBQYAAAAABAAEAPUAAACJAwAAAAA=&#10;" strokecolor="#e36c0a" strokeweight="1.5pt">
                  <v:textbox>
                    <w:txbxContent>
                      <w:p w14:paraId="5927BCAB" w14:textId="77777777" w:rsidR="00A65A8D" w:rsidRDefault="00A65A8D" w:rsidP="00A364D8">
                        <w:pPr>
                          <w:pStyle w:val="prastasistinklapis"/>
                          <w:spacing w:before="0" w:beforeAutospacing="0" w:after="200" w:afterAutospacing="0" w:line="276" w:lineRule="auto"/>
                        </w:pPr>
                        <w:r>
                          <w:rPr>
                            <w:rFonts w:ascii="Calibri" w:hAnsi="Calibri"/>
                            <w:sz w:val="22"/>
                            <w:szCs w:val="22"/>
                            <w:lang w:val="en-US"/>
                          </w:rPr>
                          <w:t> </w:t>
                        </w:r>
                      </w:p>
                    </w:txbxContent>
                  </v:textbox>
                </v:rect>
                <v:roundrect id="AutoShape 12" o:spid="_x0000_s1091" style="position:absolute;left:21612;top:5003;width:14236;height:24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nFsMA&#10;AADcAAAADwAAAGRycy9kb3ducmV2LnhtbESPQWvCQBSE7wX/w/IKvdVNg0iJboKIBW9trHh+ZJ+7&#10;wezbkN2a6K93C4Ueh5n5hllXk+vElYbQelbwNs9AEDdet2wUHL8/Xt9BhIissfNMCm4UoCpnT2ss&#10;tB+5pushGpEgHApUYGPsCylDY8lhmPueOHlnPziMSQ5G6gHHBHedzLNsKR22nBYs9rS11FwOP06B&#10;0XZTf32aepeZRTjGZY738aTUy/O0WYGINMX/8F97rxXkixx+z6QjI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bnFsMAAADcAAAADwAAAAAAAAAAAAAAAACYAgAAZHJzL2Rv&#10;d25yZXYueG1sUEsFBgAAAAAEAAQA9QAAAIgDAAAAAA==&#10;" fillcolor="#e36c0a" strokecolor="#974706">
                  <v:textbox>
                    <w:txbxContent>
                      <w:p w14:paraId="4C0E52C6" w14:textId="77777777" w:rsidR="00A65A8D" w:rsidRDefault="00A65A8D" w:rsidP="00A364D8">
                        <w:pPr>
                          <w:pStyle w:val="prastasistinklapis"/>
                          <w:spacing w:before="0" w:beforeAutospacing="0" w:after="0" w:afterAutospacing="0" w:line="276" w:lineRule="auto"/>
                          <w:jc w:val="center"/>
                        </w:pPr>
                        <w:r>
                          <w:rPr>
                            <w:rFonts w:ascii="Calibri" w:eastAsia="Calibri" w:hAnsi="Calibri"/>
                            <w:b/>
                            <w:bCs/>
                            <w:color w:val="FFFFFF"/>
                            <w:sz w:val="16"/>
                            <w:szCs w:val="16"/>
                            <w:lang w:val="en-US"/>
                          </w:rPr>
                          <w:t>Vadovaujančioji institucija</w:t>
                        </w:r>
                      </w:p>
                    </w:txbxContent>
                  </v:textbox>
                </v:roundrect>
                <v:roundrect id="AutoShape 15" o:spid="_x0000_s1092" style="position:absolute;left:21612;top:27438;width:14236;height:46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CjcIA&#10;AADcAAAADwAAAGRycy9kb3ducmV2LnhtbESPQWsCMRSE7wX/Q3gFbzXbVURWo4i00JuuiufH5jVZ&#10;unlZNqm7+uuNUOhxmJlvmNVmcI24UhdqzwreJxkI4srrmo2C8+nzbQEiRGSNjWdScKMAm/XoZYWF&#10;9j2XdD1GIxKEQ4EKbIxtIWWoLDkME98SJ+/bdw5jkp2RusM+wV0j8yybS4c1pwWLLe0sVT/HX6fA&#10;aLstD3tTfmRmFs5xnuO9vyg1fh22SxCRhvgf/mt/aQX5bAr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CkKNwgAAANwAAAAPAAAAAAAAAAAAAAAAAJgCAABkcnMvZG93&#10;bnJldi54bWxQSwUGAAAAAAQABAD1AAAAhwMAAAAA&#10;" fillcolor="#e36c0a" strokecolor="#974706">
                  <v:textbox>
                    <w:txbxContent>
                      <w:p w14:paraId="4361F060" w14:textId="77777777" w:rsidR="00A65A8D" w:rsidRDefault="00A65A8D" w:rsidP="00A364D8">
                        <w:pPr>
                          <w:pStyle w:val="prastasistinklapis"/>
                          <w:spacing w:before="0" w:beforeAutospacing="0" w:after="0" w:afterAutospacing="0" w:line="276" w:lineRule="auto"/>
                          <w:jc w:val="center"/>
                        </w:pPr>
                        <w:r>
                          <w:rPr>
                            <w:rFonts w:ascii="Calibri" w:eastAsia="Calibri" w:hAnsi="Calibri"/>
                            <w:b/>
                            <w:bCs/>
                            <w:color w:val="FFFFFF"/>
                            <w:sz w:val="16"/>
                            <w:szCs w:val="16"/>
                            <w:lang w:val="en-US"/>
                          </w:rPr>
                          <w:t>Galutiniai paramos</w:t>
                        </w:r>
                      </w:p>
                      <w:p w14:paraId="1F4F59AF" w14:textId="77777777" w:rsidR="00A65A8D" w:rsidRDefault="00A65A8D" w:rsidP="00A364D8">
                        <w:pPr>
                          <w:pStyle w:val="prastasistinklapis"/>
                          <w:spacing w:before="0" w:beforeAutospacing="0" w:after="0" w:afterAutospacing="0" w:line="276" w:lineRule="auto"/>
                          <w:jc w:val="center"/>
                        </w:pPr>
                        <w:r>
                          <w:rPr>
                            <w:rFonts w:ascii="Calibri" w:eastAsia="Calibri" w:hAnsi="Calibri"/>
                            <w:b/>
                            <w:bCs/>
                            <w:color w:val="FFFFFF"/>
                            <w:sz w:val="16"/>
                            <w:szCs w:val="16"/>
                            <w:lang w:val="en-US"/>
                          </w:rPr>
                          <w:t xml:space="preserve"> gavėjai</w:t>
                        </w:r>
                      </w:p>
                      <w:p w14:paraId="42305B00" w14:textId="77777777" w:rsidR="00A65A8D" w:rsidRDefault="00A65A8D" w:rsidP="00A364D8">
                        <w:pPr>
                          <w:pStyle w:val="prastasistinklapis"/>
                          <w:spacing w:before="0" w:beforeAutospacing="0" w:after="0" w:afterAutospacing="0" w:line="276" w:lineRule="auto"/>
                          <w:jc w:val="center"/>
                        </w:pPr>
                        <w:r>
                          <w:rPr>
                            <w:rFonts w:ascii="Calibri" w:eastAsia="Calibri" w:hAnsi="Calibri"/>
                            <w:b/>
                            <w:bCs/>
                            <w:color w:val="FFFFFF"/>
                            <w:sz w:val="16"/>
                            <w:szCs w:val="16"/>
                            <w:lang w:val="en-US"/>
                          </w:rPr>
                          <w:t> </w:t>
                        </w:r>
                      </w:p>
                    </w:txbxContent>
                  </v:textbox>
                </v:roundrect>
                <v:roundrect id="AutoShape 17" o:spid="_x0000_s1093" style="position:absolute;left:21573;top:22625;width:14243;height:24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7/gMYA&#10;AADcAAAADwAAAGRycy9kb3ducmV2LnhtbESP0WrCQBRE34X+w3ILvhTdVGyR6CZIa8SHttCYD7hk&#10;r0kwezfNrjH+fbdQ8HGYmTPMJh1NKwbqXWNZwfM8AkFcWt1wpaA4ZrMVCOeRNbaWScGNHKTJw2SD&#10;sbZX/qYh95UIEHYxKqi972IpXVmTQTe3HXHwTrY36IPsK6l7vAa4aeUiil6lwYbDQo0dvdVUnvOL&#10;UTC8vHe72/YgMSv27ucjezKf+ZdS08dxuwbhafT38H/7oBUslkv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7/gMYAAADcAAAADwAAAAAAAAAAAAAAAACYAgAAZHJz&#10;L2Rvd25yZXYueG1sUEsFBgAAAAAEAAQA9QAAAIsDAAAAAA==&#10;" fillcolor="#e36c0a" strokecolor="#974706">
                  <v:stroke dashstyle="dash"/>
                  <v:textbox>
                    <w:txbxContent>
                      <w:p w14:paraId="68C6BFAB" w14:textId="77777777" w:rsidR="00A65A8D" w:rsidRDefault="00A65A8D" w:rsidP="00A364D8">
                        <w:pPr>
                          <w:pStyle w:val="prastasistinklapis"/>
                          <w:spacing w:before="0" w:beforeAutospacing="0" w:after="0" w:afterAutospacing="0" w:line="276" w:lineRule="auto"/>
                          <w:jc w:val="center"/>
                        </w:pPr>
                        <w:r>
                          <w:rPr>
                            <w:rFonts w:ascii="Calibri" w:eastAsia="Calibri" w:hAnsi="Calibri"/>
                            <w:b/>
                            <w:bCs/>
                            <w:color w:val="FFFFFF"/>
                            <w:sz w:val="16"/>
                            <w:szCs w:val="16"/>
                            <w:lang w:val="en-US"/>
                          </w:rPr>
                          <w:t>Finansinis tarpininkas</w:t>
                        </w:r>
                      </w:p>
                    </w:txbxContent>
                  </v:textbox>
                </v:roundrect>
                <v:roundrect id="AutoShape 18" o:spid="_x0000_s1094" style="position:absolute;left:21624;top:10312;width:14237;height:24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9/YsIA&#10;AADcAAAADwAAAGRycy9kb3ducmV2LnhtbESPQWsCMRSE7wX/Q3hCbzXrolJWo4hU8NauFc+PzTNZ&#10;3Lwsm9Td9tc3guBxmJlvmNVmcI24URdqzwqmkwwEceV1zUbB6Xv/9g4iRGSNjWdS8EsBNuvRywoL&#10;7Xsu6XaMRiQIhwIV2BjbQspQWXIYJr4lTt7Fdw5jkp2RusM+wV0j8yxbSIc1pwWLLe0sVdfjj1Ng&#10;tN2WX5+m/MjMLJziIse//qzU63jYLkFEGuIz/GgftIJ8Nof7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39iwgAAANwAAAAPAAAAAAAAAAAAAAAAAJgCAABkcnMvZG93&#10;bnJldi54bWxQSwUGAAAAAAQABAD1AAAAhwMAAAAA&#10;" fillcolor="#e36c0a" strokecolor="#974706">
                  <v:textbox>
                    <w:txbxContent>
                      <w:p w14:paraId="33A59C30" w14:textId="77777777" w:rsidR="00A65A8D" w:rsidRDefault="00A65A8D" w:rsidP="00A364D8">
                        <w:pPr>
                          <w:pStyle w:val="prastasistinklapis"/>
                          <w:spacing w:before="0" w:beforeAutospacing="0" w:after="0" w:afterAutospacing="0" w:line="276" w:lineRule="auto"/>
                          <w:jc w:val="center"/>
                        </w:pPr>
                        <w:r>
                          <w:rPr>
                            <w:rFonts w:ascii="Calibri" w:eastAsia="Calibri" w:hAnsi="Calibri"/>
                            <w:b/>
                            <w:bCs/>
                            <w:color w:val="FFFFFF"/>
                            <w:sz w:val="16"/>
                            <w:szCs w:val="16"/>
                            <w:lang w:val="en-US"/>
                          </w:rPr>
                          <w:t>Fondų fondas</w:t>
                        </w:r>
                      </w:p>
                    </w:txbxContent>
                  </v:textbox>
                </v:roundrect>
                <v:shape id="AutoShape 27" o:spid="_x0000_s1095" type="#_x0000_t32" style="position:absolute;left:28711;top:12731;width:25;height:13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SAhMIAAADcAAAADwAAAGRycy9kb3ducmV2LnhtbESPQWsCMRSE70L/Q3gFb5qtqJTVKFYo&#10;iBdRC+3xsXnuBjcvyybdrP/eCILHYWa+YZbr3taio9Ybxwo+xhkI4sJpw6WCn/P36BOED8gaa8ek&#10;4EYe1qu3wRJz7SIfqTuFUiQI+xwVVCE0uZS+qMiiH7uGOHkX11oMSbal1C3GBLe1nGTZXFo0nBYq&#10;bGhbUXE9/VsFJh5M1+y28Wv/++d1JHObOaPU8L3fLEAE6sMr/GzvtILJdA6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0SAhMIAAADcAAAADwAAAAAAAAAAAAAA&#10;AAChAgAAZHJzL2Rvd25yZXYueG1sUEsFBgAAAAAEAAQA+QAAAJADAAAAAA==&#10;">
                  <v:stroke endarrow="block"/>
                </v:shape>
                <v:shape id="AutoShape 28" o:spid="_x0000_s1096" type="#_x0000_t32" style="position:absolute;left:28692;top:20516;width:12;height:21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glH8MAAADcAAAADwAAAGRycy9kb3ducmV2LnhtbESPQWsCMRSE7wX/Q3iCt5pVbJXVKFYQ&#10;pJdSFfT42Dx3g5uXZZNu1n9vCoUeh5n5hllteluLjlpvHCuYjDMQxIXThksF59P+dQHCB2SNtWNS&#10;8CAPm/XgZYW5dpG/qTuGUiQI+xwVVCE0uZS+qMiiH7uGOHk311oMSbal1C3GBLe1nGbZu7RoOC1U&#10;2NCuouJ+/LEKTPwyXXPYxY/Py9XrSObx5oxSo2G/XYII1If/8F/7oBVMZ3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IJR/DAAAA3AAAAA8AAAAAAAAAAAAA&#10;AAAAoQIAAGRycy9kb3ducmV2LnhtbFBLBQYAAAAABAAEAPkAAACRAwAAAAA=&#10;">
                  <v:stroke endarrow="block"/>
                </v:shape>
                <v:shape id="AutoShape 29" o:spid="_x0000_s1097" type="#_x0000_t32" style="position:absolute;left:28679;top:25050;width:13;height:23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xbcEAAADcAAAADwAAAGRycy9kb3ducmV2LnhtbERPz2vCMBS+C/sfwhvsZtPJHKM2yiYM&#10;iheZDrbjo3m2Yc1LabKm/e/NQfD48f0ud5PtxEiDN44VPGc5COLaacONgu/z5/INhA/IGjvHpGAm&#10;D7vtw6LEQrvIXzSeQiNSCPsCFbQh9IWUvm7Jos9cT5y4ixsshgSHRuoBYwq3nVzl+au0aDg1tNjT&#10;vqX67/RvFZh4NGNf7ePH4efX60hmXjuj1NPj9L4BEWgKd/HNXWkFq5e0Np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l7FtwQAAANwAAAAPAAAAAAAAAAAAAAAA&#10;AKECAABkcnMvZG93bnJldi54bWxQSwUGAAAAAAQABAD5AAAAjwMAAAAA&#10;">
                  <v:stroke endarrow="block"/>
                </v:shape>
                <v:shape id="AutoShape 30" o:spid="_x0000_s1098" type="#_x0000_t32" style="position:absolute;left:28692;top:25050;width:32;height:2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pftcYAAADcAAAADwAAAGRycy9kb3ducmV2LnhtbESPT2vCQBTE7wW/w/KE3upGKcVEVymF&#10;ilg8+IfQ3h7ZZxKafRt2V41+elcQPA4z8xtmOu9MI07kfG1ZwXCQgCAurK65VLDffb+NQfiArLGx&#10;TAou5GE+671MMdP2zBs6bUMpIoR9hgqqENpMSl9UZNAPbEscvYN1BkOUrpTa4TnCTSNHSfIhDdYc&#10;Fyps6aui4n97NAp+f9JjfsnXtMqH6eoPnfHX3UKp1373OQERqAvP8KO91ApG7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KX7XGAAAA3AAAAA8AAAAAAAAA&#10;AAAAAAAAoQIAAGRycy9kb3ducmV2LnhtbFBLBQYAAAAABAAEAPkAAACUAwAAAAA=&#10;">
                  <v:stroke endarrow="block"/>
                </v:shape>
                <v:shape id="AutoShape 26" o:spid="_x0000_s1099" type="#_x0000_t32" style="position:absolute;left:28730;top:7416;width:6;height:28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g9cIAAADcAAAADwAAAGRycy9kb3ducmV2LnhtbERPTYvCMBC9L/gfwgje1lRB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lg9cIAAADcAAAADwAAAAAAAAAAAAAA&#10;AAChAgAAZHJzL2Rvd25yZXYueG1sUEsFBgAAAAAEAAQA+QAAAJADAAAAAA==&#10;">
                  <v:stroke endarrow="block"/>
                </v:shape>
                <v:oval id="Oval 166" o:spid="_x0000_s1100" style="position:absolute;left:23015;top:14077;width:11398;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h+MQA&#10;AADcAAAADwAAAGRycy9kb3ducmV2LnhtbESPzarCMBSE9xd8h3CEu7umiopUo4h4UXEh/ix0d2yO&#10;bbE5KU3U+vZGEFwOM98MM5rUphB3qlxuWUG7FYEgTqzOOVVw2P//DUA4j6yxsEwKnuRgMm78jDDW&#10;9sFbuu98KkIJuxgVZN6XsZQuyciga9mSOHgXWxn0QVap1BU+QrkpZCeK+tJgzmEhw5JmGSXX3c0o&#10;6Jw253W56i6OvuuKxXoV4WA5V+q3WU+HIDzV/hv+0EsduF4b3mfCEZDj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4fjEAAAA3AAAAA8AAAAAAAAAAAAAAAAAmAIAAGRycy9k&#10;b3ducmV2LnhtbFBLBQYAAAAABAAEAPUAAACJAwAAAAA=&#10;" fillcolor="#ffc000" strokecolor="#974706">
                  <v:textbox>
                    <w:txbxContent>
                      <w:p w14:paraId="1EF2FEF4" w14:textId="77777777" w:rsidR="00A65A8D" w:rsidRDefault="00A65A8D" w:rsidP="00A364D8">
                        <w:pPr>
                          <w:pStyle w:val="prastasistinklapis"/>
                          <w:spacing w:before="0" w:beforeAutospacing="0" w:after="200" w:afterAutospacing="0" w:line="276" w:lineRule="auto"/>
                          <w:jc w:val="center"/>
                        </w:pPr>
                        <w:r>
                          <w:rPr>
                            <w:rFonts w:ascii="Calibri" w:eastAsia="Calibri" w:hAnsi="Calibri"/>
                            <w:b/>
                            <w:bCs/>
                            <w:color w:val="FFFFFF"/>
                            <w:sz w:val="18"/>
                            <w:szCs w:val="18"/>
                          </w:rPr>
                          <w:t>Finansinė priemonė</w:t>
                        </w:r>
                      </w:p>
                      <w:p w14:paraId="6B2B8B03" w14:textId="77777777" w:rsidR="00A65A8D" w:rsidRDefault="00A65A8D" w:rsidP="00A364D8">
                        <w:pPr>
                          <w:pStyle w:val="prastasistinklapis"/>
                          <w:spacing w:before="0" w:beforeAutospacing="0" w:after="200" w:afterAutospacing="0" w:line="276" w:lineRule="auto"/>
                          <w:jc w:val="center"/>
                        </w:pPr>
                        <w:r>
                          <w:rPr>
                            <w:rFonts w:ascii="Calibri" w:eastAsia="Calibri" w:hAnsi="Calibri"/>
                            <w:b/>
                            <w:bCs/>
                            <w:color w:val="FFFFFF"/>
                            <w:sz w:val="22"/>
                            <w:szCs w:val="22"/>
                          </w:rPr>
                          <w:t> </w:t>
                        </w:r>
                      </w:p>
                    </w:txbxContent>
                  </v:textbox>
                </v:oval>
                <w10:anchorlock/>
              </v:group>
            </w:pict>
          </mc:Fallback>
        </mc:AlternateContent>
      </w:r>
    </w:p>
    <w:p w14:paraId="33AF8105" w14:textId="77777777" w:rsidR="009F55BB" w:rsidRDefault="009F55BB" w:rsidP="00151543">
      <w:pPr>
        <w:pStyle w:val="Antrat"/>
      </w:pPr>
    </w:p>
    <w:p w14:paraId="6EF56A11" w14:textId="7D7BFF04" w:rsidR="00151543" w:rsidRPr="00AC3318" w:rsidRDefault="00151543" w:rsidP="00151543">
      <w:pPr>
        <w:pStyle w:val="Antrat"/>
        <w:rPr>
          <w:szCs w:val="20"/>
        </w:rPr>
      </w:pPr>
      <w:bookmarkStart w:id="341" w:name="_Toc417378326"/>
      <w:r>
        <w:t xml:space="preserve">Paveikslas </w:t>
      </w:r>
      <w:r>
        <w:fldChar w:fldCharType="begin"/>
      </w:r>
      <w:r>
        <w:instrText xml:space="preserve"> SEQ Paveikslas \* ARABIC </w:instrText>
      </w:r>
      <w:r>
        <w:fldChar w:fldCharType="separate"/>
      </w:r>
      <w:r w:rsidR="00AA3082">
        <w:rPr>
          <w:noProof/>
        </w:rPr>
        <w:t>49</w:t>
      </w:r>
      <w:r>
        <w:fldChar w:fldCharType="end"/>
      </w:r>
      <w:r>
        <w:t xml:space="preserve">. </w:t>
      </w:r>
      <w:r w:rsidRPr="00151543">
        <w:rPr>
          <w:rFonts w:eastAsiaTheme="minorHAnsi" w:cstheme="minorBidi"/>
          <w:szCs w:val="20"/>
          <w:lang w:val="lt-LT"/>
        </w:rPr>
        <w:t>Siūloma finansinės priemonės įgyvendinimo struktūra</w:t>
      </w:r>
      <w:r>
        <w:rPr>
          <w:rFonts w:eastAsiaTheme="minorHAnsi" w:cstheme="minorBidi"/>
          <w:szCs w:val="20"/>
          <w:lang w:val="lt-LT"/>
        </w:rPr>
        <w:t>.</w:t>
      </w:r>
      <w:bookmarkEnd w:id="341"/>
    </w:p>
    <w:p w14:paraId="57F2F26E" w14:textId="77777777" w:rsidR="00A9076E" w:rsidRPr="00A9076E" w:rsidRDefault="00A9076E" w:rsidP="00151543">
      <w:pPr>
        <w:pStyle w:val="prastasis1"/>
        <w:spacing w:line="276" w:lineRule="auto"/>
        <w:jc w:val="both"/>
        <w:rPr>
          <w:rFonts w:ascii="Georgia" w:hAnsi="Georgia"/>
          <w:sz w:val="20"/>
          <w:szCs w:val="20"/>
        </w:rPr>
      </w:pPr>
      <w:r>
        <w:rPr>
          <w:rFonts w:ascii="Georgia" w:hAnsi="Georgia"/>
          <w:b/>
          <w:i/>
          <w:sz w:val="20"/>
          <w:szCs w:val="20"/>
        </w:rPr>
        <w:t xml:space="preserve">Fondų fondo valdytojas </w:t>
      </w:r>
      <w:r>
        <w:rPr>
          <w:rFonts w:ascii="Georgia" w:hAnsi="Georgia"/>
          <w:sz w:val="20"/>
          <w:szCs w:val="20"/>
        </w:rPr>
        <w:t>galėtų būti paskiriamas vadovaujantis Bendr</w:t>
      </w:r>
      <w:r w:rsidR="00DA6BF7">
        <w:rPr>
          <w:rFonts w:ascii="Georgia" w:hAnsi="Georgia"/>
          <w:sz w:val="20"/>
          <w:szCs w:val="20"/>
        </w:rPr>
        <w:t>ųjų nuostatų reglamento 38(4)</w:t>
      </w:r>
      <w:r>
        <w:rPr>
          <w:rFonts w:ascii="Georgia" w:hAnsi="Georgia"/>
          <w:sz w:val="20"/>
          <w:szCs w:val="20"/>
        </w:rPr>
        <w:t xml:space="preserve"> straipsnyje nurodytomis fondų fondo valdytojo paskyrimo alternatyvomis. </w:t>
      </w:r>
      <w:r w:rsidR="00DA6BF7">
        <w:rPr>
          <w:rFonts w:ascii="Georgia" w:hAnsi="Georgia"/>
          <w:sz w:val="20"/>
          <w:szCs w:val="20"/>
        </w:rPr>
        <w:t>V</w:t>
      </w:r>
      <w:r w:rsidR="00DA6BF7" w:rsidRPr="00DA6BF7">
        <w:rPr>
          <w:rFonts w:ascii="Georgia" w:hAnsi="Georgia"/>
          <w:sz w:val="20"/>
          <w:szCs w:val="20"/>
        </w:rPr>
        <w:t>adovaujančioji institucija turi galimybę</w:t>
      </w:r>
      <w:r w:rsidR="00144349">
        <w:rPr>
          <w:rFonts w:ascii="Georgia" w:hAnsi="Georgia"/>
          <w:sz w:val="20"/>
          <w:szCs w:val="20"/>
        </w:rPr>
        <w:t xml:space="preserve"> investuoti į juridinį vienetą,</w:t>
      </w:r>
      <w:r w:rsidR="00DA6BF7" w:rsidRPr="00DA6BF7">
        <w:rPr>
          <w:rFonts w:ascii="Georgia" w:hAnsi="Georgia"/>
          <w:sz w:val="20"/>
          <w:szCs w:val="20"/>
        </w:rPr>
        <w:t xml:space="preserve"> įgyvendinimo užduotis pavesti EIB (38.4(b)(i)), </w:t>
      </w:r>
      <w:r w:rsidR="0012248F">
        <w:rPr>
          <w:rFonts w:ascii="Georgia" w:hAnsi="Georgia"/>
          <w:sz w:val="20"/>
          <w:szCs w:val="20"/>
        </w:rPr>
        <w:t>nacionalinei finansų įstaigai</w:t>
      </w:r>
      <w:r w:rsidR="00DA6BF7" w:rsidRPr="00DA6BF7">
        <w:rPr>
          <w:rFonts w:ascii="Georgia" w:hAnsi="Georgia"/>
          <w:sz w:val="20"/>
          <w:szCs w:val="20"/>
        </w:rPr>
        <w:t xml:space="preserve"> (38.4(b)(ii)) ir/arba konkurso būdu atrinkti kitą viešosios ir privačiosios teisės subjektą (38.4(b)(iii))</w:t>
      </w:r>
      <w:r w:rsidR="00144349">
        <w:rPr>
          <w:rFonts w:ascii="Georgia" w:hAnsi="Georgia"/>
          <w:sz w:val="20"/>
          <w:szCs w:val="20"/>
        </w:rPr>
        <w:t xml:space="preserve"> arba įgyvendinimo užduotis apsiimti įgyvendinti pati</w:t>
      </w:r>
      <w:r w:rsidR="00DA6BF7" w:rsidRPr="00DA6BF7">
        <w:rPr>
          <w:rFonts w:ascii="Georgia" w:hAnsi="Georgia"/>
          <w:sz w:val="20"/>
          <w:szCs w:val="20"/>
        </w:rPr>
        <w:t xml:space="preserve">. </w:t>
      </w:r>
      <w:r w:rsidR="00144349">
        <w:rPr>
          <w:rFonts w:ascii="Georgia" w:hAnsi="Georgia"/>
          <w:sz w:val="20"/>
          <w:szCs w:val="20"/>
        </w:rPr>
        <w:t xml:space="preserve">Visos šios alternatyvos yra analizuojamos 7.1.4.4 dalyje. </w:t>
      </w:r>
      <w:r w:rsidR="00DA6BF7" w:rsidRPr="00DA6BF7">
        <w:rPr>
          <w:rFonts w:ascii="Georgia" w:hAnsi="Georgia"/>
          <w:sz w:val="20"/>
          <w:szCs w:val="20"/>
        </w:rPr>
        <w:t xml:space="preserve">Vadovaujanti institucija taip pat turi galimybę įgyvendinimo užduotis paskirti ne vienai bet kelioms 38.4(b) punkte nurodytoms institucijoms, pavyzdžiui EIB ir </w:t>
      </w:r>
      <w:r w:rsidR="00181329">
        <w:rPr>
          <w:rFonts w:ascii="Georgia" w:hAnsi="Georgia"/>
          <w:sz w:val="20"/>
          <w:szCs w:val="20"/>
        </w:rPr>
        <w:t>nacionalinei finansų įstaigai</w:t>
      </w:r>
      <w:r w:rsidR="00DA6BF7" w:rsidRPr="00DA6BF7">
        <w:rPr>
          <w:rFonts w:ascii="Georgia" w:hAnsi="Georgia"/>
          <w:sz w:val="20"/>
          <w:szCs w:val="20"/>
        </w:rPr>
        <w:t>. Šiuo atveju institucijos turėtų turėti aiškiai atskirtas funkcijas ir atsakomybes, apibrėžtas bendradarbiavimo sutartyje.</w:t>
      </w:r>
    </w:p>
    <w:p w14:paraId="1E4B414D" w14:textId="77777777" w:rsidR="00B70C59" w:rsidRDefault="00B70C59" w:rsidP="00151543">
      <w:pPr>
        <w:pStyle w:val="prastasis1"/>
        <w:spacing w:line="276" w:lineRule="auto"/>
        <w:jc w:val="both"/>
        <w:rPr>
          <w:rFonts w:ascii="Georgia" w:hAnsi="Georgia"/>
          <w:sz w:val="20"/>
          <w:szCs w:val="20"/>
        </w:rPr>
      </w:pPr>
      <w:r w:rsidRPr="00EB04CD">
        <w:rPr>
          <w:rFonts w:ascii="Georgia" w:hAnsi="Georgia"/>
          <w:b/>
          <w:i/>
          <w:sz w:val="20"/>
          <w:szCs w:val="20"/>
        </w:rPr>
        <w:t>Fondų fondo valdytojas gali finansines priemones įgyvendinti pats tiesiogiai arba dalį įgyvendinimo užduočių pavesti finansiniams tarpininkams.</w:t>
      </w:r>
      <w:r w:rsidRPr="00AC3318">
        <w:rPr>
          <w:rFonts w:ascii="Georgia" w:hAnsi="Georgia"/>
          <w:sz w:val="20"/>
          <w:szCs w:val="20"/>
        </w:rPr>
        <w:t xml:space="preserve"> </w:t>
      </w:r>
      <w:r w:rsidR="00EB04CD">
        <w:rPr>
          <w:rFonts w:ascii="Georgia" w:hAnsi="Georgia"/>
          <w:sz w:val="20"/>
        </w:rPr>
        <w:t>Bendrųjų nuostatų reglamento</w:t>
      </w:r>
      <w:r w:rsidR="00EB04CD" w:rsidRPr="00A07762">
        <w:rPr>
          <w:rFonts w:ascii="Georgia" w:hAnsi="Georgia"/>
          <w:sz w:val="20"/>
        </w:rPr>
        <w:t xml:space="preserve"> 38 str. 5 dalis numato, kad subjektai, kuriems patikėta įgyvendinti fondų fondą, užduotis gali įgyvendinti patys arba jas patikėti vykdyti finansiniams tarpin</w:t>
      </w:r>
      <w:r w:rsidR="00EB04CD">
        <w:rPr>
          <w:rFonts w:ascii="Georgia" w:hAnsi="Georgia"/>
          <w:sz w:val="20"/>
        </w:rPr>
        <w:t>inkams. Iš to seka išvada, kad f</w:t>
      </w:r>
      <w:r w:rsidR="00EB04CD" w:rsidRPr="00A07762">
        <w:rPr>
          <w:rFonts w:ascii="Georgia" w:hAnsi="Georgia"/>
          <w:sz w:val="20"/>
        </w:rPr>
        <w:t xml:space="preserve">ondo </w:t>
      </w:r>
      <w:r w:rsidR="00701BE5">
        <w:rPr>
          <w:rFonts w:ascii="Georgia" w:hAnsi="Georgia"/>
          <w:sz w:val="20"/>
        </w:rPr>
        <w:t>valdytojas (priėmus atitinkamus f</w:t>
      </w:r>
      <w:r w:rsidR="00EB04CD" w:rsidRPr="00A07762">
        <w:rPr>
          <w:rFonts w:ascii="Georgia" w:hAnsi="Georgia"/>
          <w:sz w:val="20"/>
        </w:rPr>
        <w:t>ondo</w:t>
      </w:r>
      <w:r w:rsidR="00701BE5">
        <w:rPr>
          <w:rFonts w:ascii="Georgia" w:hAnsi="Georgia"/>
          <w:sz w:val="20"/>
        </w:rPr>
        <w:t xml:space="preserve"> valdymo</w:t>
      </w:r>
      <w:r w:rsidR="00EB04CD" w:rsidRPr="00A07762">
        <w:rPr>
          <w:rFonts w:ascii="Georgia" w:hAnsi="Georgia"/>
          <w:sz w:val="20"/>
        </w:rPr>
        <w:t xml:space="preserve"> organų sprendimus</w:t>
      </w:r>
      <w:r w:rsidR="00701BE5">
        <w:rPr>
          <w:rFonts w:ascii="Georgia" w:hAnsi="Georgia"/>
          <w:sz w:val="20"/>
        </w:rPr>
        <w:t>)</w:t>
      </w:r>
      <w:r w:rsidR="00EB04CD" w:rsidRPr="00A07762">
        <w:rPr>
          <w:rFonts w:ascii="Georgia" w:hAnsi="Georgia"/>
          <w:sz w:val="20"/>
        </w:rPr>
        <w:t xml:space="preserve"> galėtų tiesiogiai </w:t>
      </w:r>
      <w:r w:rsidR="00701BE5">
        <w:rPr>
          <w:rFonts w:ascii="Georgia" w:hAnsi="Georgia"/>
          <w:sz w:val="20"/>
        </w:rPr>
        <w:t>f</w:t>
      </w:r>
      <w:r w:rsidR="00EB04CD" w:rsidRPr="00A07762">
        <w:rPr>
          <w:rFonts w:ascii="Georgia" w:hAnsi="Georgia"/>
          <w:sz w:val="20"/>
        </w:rPr>
        <w:t>inansuo</w:t>
      </w:r>
      <w:r w:rsidR="00701BE5">
        <w:rPr>
          <w:rFonts w:ascii="Georgia" w:hAnsi="Georgia"/>
          <w:sz w:val="20"/>
        </w:rPr>
        <w:t>ti projektus, atitinkančius f</w:t>
      </w:r>
      <w:r w:rsidR="00EB04CD" w:rsidRPr="00A07762">
        <w:rPr>
          <w:rFonts w:ascii="Georgia" w:hAnsi="Georgia"/>
          <w:sz w:val="20"/>
        </w:rPr>
        <w:t xml:space="preserve">ondo veiklos tikslus ir investavimo strategiją. Nors </w:t>
      </w:r>
      <w:r w:rsidR="00EB04CD">
        <w:rPr>
          <w:rFonts w:ascii="Georgia" w:hAnsi="Georgia"/>
          <w:sz w:val="20"/>
        </w:rPr>
        <w:t>Bendrųjų nuostatų reglamentas</w:t>
      </w:r>
      <w:r w:rsidR="00EB04CD" w:rsidRPr="00A07762">
        <w:rPr>
          <w:rFonts w:ascii="Georgia" w:hAnsi="Georgia"/>
          <w:sz w:val="20"/>
        </w:rPr>
        <w:t xml:space="preserve"> nedetalizuoja, kaip ir koki</w:t>
      </w:r>
      <w:r w:rsidR="00701BE5">
        <w:rPr>
          <w:rFonts w:ascii="Georgia" w:hAnsi="Georgia"/>
          <w:sz w:val="20"/>
        </w:rPr>
        <w:t>a</w:t>
      </w:r>
      <w:r w:rsidR="00EB04CD" w:rsidRPr="00A07762">
        <w:rPr>
          <w:rFonts w:ascii="Georgia" w:hAnsi="Georgia"/>
          <w:sz w:val="20"/>
        </w:rPr>
        <w:t>s</w:t>
      </w:r>
      <w:r w:rsidR="00701BE5">
        <w:rPr>
          <w:rFonts w:ascii="Georgia" w:hAnsi="Georgia"/>
          <w:sz w:val="20"/>
        </w:rPr>
        <w:t xml:space="preserve"> funkcijas fondo valdytojas galėtų įgyvendinti be finansinių tarpininkų,</w:t>
      </w:r>
      <w:r w:rsidR="00EB04CD" w:rsidRPr="00A07762">
        <w:rPr>
          <w:rFonts w:ascii="Georgia" w:hAnsi="Georgia"/>
          <w:sz w:val="20"/>
        </w:rPr>
        <w:t xml:space="preserve"> tačiau ES</w:t>
      </w:r>
      <w:r w:rsidR="00701BE5">
        <w:rPr>
          <w:rFonts w:ascii="Georgia" w:hAnsi="Georgia"/>
          <w:sz w:val="20"/>
        </w:rPr>
        <w:t>I</w:t>
      </w:r>
      <w:r w:rsidR="00EB04CD" w:rsidRPr="00A07762">
        <w:rPr>
          <w:rFonts w:ascii="Georgia" w:hAnsi="Georgia"/>
          <w:sz w:val="20"/>
        </w:rPr>
        <w:t xml:space="preserve"> fondų valdymo reguliavime yra akcentuojamas skaidrumas, proporcingumas, nediskriminavimas bei interesų konflikto vengimas. Atsižvelgiant į šiuos principus, galima būtų daryti išvadą, kad tiesiogiai atrenkami projektai neturėtų tiesiogiai konkuruoti su projektais, kurių įgyvendinimui yra atrenkami finansiniai tarpininkai. </w:t>
      </w:r>
      <w:r w:rsidRPr="00AC3318">
        <w:rPr>
          <w:rFonts w:ascii="Georgia" w:hAnsi="Georgia"/>
          <w:sz w:val="20"/>
          <w:szCs w:val="20"/>
        </w:rPr>
        <w:t>Tiesioginis (be finansinių tarpininkų) užduočių vykdymas tikslingas tuomet, kai finansiniai tarpininkai nedalyvauja savo lėšomis,</w:t>
      </w:r>
      <w:r>
        <w:rPr>
          <w:rFonts w:ascii="Georgia" w:hAnsi="Georgia"/>
          <w:sz w:val="20"/>
          <w:szCs w:val="20"/>
        </w:rPr>
        <w:t xml:space="preserve"> kai dėl tam tikrų priežasčių užsitęsia sutarčių su finansiniais tarpininkais derybos ir pasirašymas,</w:t>
      </w:r>
      <w:r w:rsidRPr="00AC3318">
        <w:rPr>
          <w:rFonts w:ascii="Georgia" w:hAnsi="Georgia"/>
          <w:sz w:val="20"/>
          <w:szCs w:val="20"/>
        </w:rPr>
        <w:t xml:space="preserve"> kai finansiniai tarpininkai nesuinteresuoti finansinės priemonės įgyvendinimu arba kai finansiniai tarpininkai </w:t>
      </w:r>
      <w:r>
        <w:rPr>
          <w:rFonts w:ascii="Georgia" w:hAnsi="Georgia"/>
          <w:sz w:val="20"/>
          <w:szCs w:val="20"/>
        </w:rPr>
        <w:t>negali įvykdyti visos</w:t>
      </w:r>
      <w:r w:rsidRPr="00AC3318">
        <w:rPr>
          <w:rFonts w:ascii="Georgia" w:hAnsi="Georgia"/>
          <w:sz w:val="20"/>
          <w:szCs w:val="20"/>
        </w:rPr>
        <w:t xml:space="preserve"> numatytos finansinės priemonės įgyvendinimo.</w:t>
      </w:r>
    </w:p>
    <w:p w14:paraId="4814EA8F" w14:textId="77777777" w:rsidR="00151543" w:rsidRPr="00AC3318" w:rsidRDefault="00151543" w:rsidP="00151543">
      <w:pPr>
        <w:pStyle w:val="prastasis1"/>
        <w:spacing w:line="276" w:lineRule="auto"/>
        <w:jc w:val="both"/>
        <w:rPr>
          <w:rFonts w:ascii="Georgia" w:hAnsi="Georgia"/>
          <w:sz w:val="20"/>
          <w:szCs w:val="20"/>
        </w:rPr>
      </w:pPr>
      <w:r w:rsidRPr="00AC3318">
        <w:rPr>
          <w:rFonts w:ascii="Georgia" w:hAnsi="Georgia"/>
          <w:sz w:val="20"/>
          <w:szCs w:val="20"/>
        </w:rPr>
        <w:t xml:space="preserve">Atsižvelgiant į šiuos aukščiau išdėstytus argumentus bei </w:t>
      </w:r>
      <w:r>
        <w:rPr>
          <w:rFonts w:ascii="Georgia" w:hAnsi="Georgia"/>
          <w:sz w:val="20"/>
          <w:szCs w:val="20"/>
        </w:rPr>
        <w:t>1.</w:t>
      </w:r>
      <w:r w:rsidRPr="00AC3318">
        <w:rPr>
          <w:rFonts w:ascii="Georgia" w:hAnsi="Georgia"/>
          <w:sz w:val="20"/>
          <w:szCs w:val="20"/>
        </w:rPr>
        <w:t xml:space="preserve">3 skyriuje apibūdintų finansinių priemonių įgyvendinimo alternatyvų privalumus ir trūkumus, vadovaujančiajai institucijai siūloma ir toliau </w:t>
      </w:r>
      <w:r w:rsidRPr="00AC3318">
        <w:rPr>
          <w:rFonts w:ascii="Georgia" w:hAnsi="Georgia"/>
          <w:sz w:val="20"/>
          <w:szCs w:val="20"/>
        </w:rPr>
        <w:lastRenderedPageBreak/>
        <w:t xml:space="preserve">detalizuojama </w:t>
      </w:r>
      <w:r>
        <w:rPr>
          <w:rFonts w:ascii="Georgia" w:hAnsi="Georgia"/>
          <w:sz w:val="20"/>
          <w:szCs w:val="20"/>
        </w:rPr>
        <w:t xml:space="preserve">aukščiau pateikta </w:t>
      </w:r>
      <w:r w:rsidRPr="00AC3318">
        <w:rPr>
          <w:rFonts w:ascii="Georgia" w:hAnsi="Georgia"/>
          <w:sz w:val="20"/>
          <w:szCs w:val="20"/>
        </w:rPr>
        <w:t>III</w:t>
      </w:r>
      <w:r>
        <w:rPr>
          <w:rFonts w:ascii="Georgia" w:hAnsi="Georgia"/>
          <w:sz w:val="20"/>
          <w:szCs w:val="20"/>
        </w:rPr>
        <w:t>-ioji</w:t>
      </w:r>
      <w:r w:rsidRPr="00AC3318">
        <w:rPr>
          <w:rFonts w:ascii="Georgia" w:hAnsi="Georgia"/>
          <w:sz w:val="20"/>
          <w:szCs w:val="20"/>
        </w:rPr>
        <w:t xml:space="preserve"> struktūra, kuri būtų naudojama daugiabučių atnaujinimo (renovacijos) finansinei priemonei sukurti ir kuria būtų tęsiamas JESSICA </w:t>
      </w:r>
      <w:r w:rsidR="00FA09DB">
        <w:rPr>
          <w:rFonts w:ascii="Georgia" w:hAnsi="Georgia"/>
          <w:sz w:val="20"/>
          <w:szCs w:val="20"/>
        </w:rPr>
        <w:t>KF</w:t>
      </w:r>
      <w:r w:rsidRPr="00AC3318">
        <w:rPr>
          <w:rFonts w:ascii="Georgia" w:hAnsi="Georgia"/>
          <w:sz w:val="20"/>
          <w:szCs w:val="20"/>
        </w:rPr>
        <w:t xml:space="preserve"> įgyvendinimas.</w:t>
      </w:r>
    </w:p>
    <w:p w14:paraId="657743A4" w14:textId="77777777" w:rsidR="00151543" w:rsidRPr="00A05665" w:rsidRDefault="00151543" w:rsidP="00151543">
      <w:pPr>
        <w:pStyle w:val="prastasis1"/>
        <w:spacing w:line="276" w:lineRule="auto"/>
        <w:jc w:val="both"/>
        <w:rPr>
          <w:rFonts w:ascii="Georgia" w:hAnsi="Georgia"/>
          <w:sz w:val="20"/>
          <w:szCs w:val="20"/>
        </w:rPr>
      </w:pPr>
      <w:r>
        <w:rPr>
          <w:rFonts w:ascii="Georgia" w:hAnsi="Georgia"/>
          <w:sz w:val="20"/>
          <w:szCs w:val="20"/>
        </w:rPr>
        <w:t xml:space="preserve">Ankstesnėse analizės dalyse jau buvo konstatuota, kad 2014-2020 </w:t>
      </w:r>
      <w:r w:rsidR="003E691C">
        <w:rPr>
          <w:rFonts w:ascii="Georgia" w:hAnsi="Georgia"/>
          <w:sz w:val="20"/>
          <w:szCs w:val="20"/>
        </w:rPr>
        <w:t xml:space="preserve">m. periodu </w:t>
      </w:r>
      <w:r>
        <w:rPr>
          <w:rFonts w:ascii="Georgia" w:hAnsi="Georgia"/>
          <w:sz w:val="20"/>
          <w:szCs w:val="20"/>
        </w:rPr>
        <w:t xml:space="preserve">yra labai svarbu pritraukti papildomų privačių lėšų siekiant didinti investicijas į daugiabučių renovacijos projektus. Trys principiniai modeliai tiek fondų fondo kūrimui, tiek ir privačių lėšų pritraukimo mechanizmo kūrimui buvo aprašyti </w:t>
      </w:r>
      <w:r w:rsidR="00701BE5">
        <w:rPr>
          <w:rFonts w:ascii="Georgia" w:hAnsi="Georgia"/>
          <w:sz w:val="20"/>
          <w:szCs w:val="20"/>
        </w:rPr>
        <w:t>4</w:t>
      </w:r>
      <w:r>
        <w:rPr>
          <w:rFonts w:ascii="Georgia" w:hAnsi="Georgia"/>
          <w:sz w:val="20"/>
          <w:szCs w:val="20"/>
        </w:rPr>
        <w:t xml:space="preserve"> skyriuje. Žemiau yra aprašoma, kaip veiktų kiekviena iš šių principinių schemų daugiabučių renovacijos projektų atveju. Įvertinus kiekvieną iš principinių modelių yra pasirenkama rekomenduotina optimaliausia alternatyva. </w:t>
      </w:r>
      <w:r w:rsidRPr="00A05665">
        <w:rPr>
          <w:rFonts w:ascii="Georgia" w:hAnsi="Georgia"/>
          <w:sz w:val="20"/>
          <w:szCs w:val="20"/>
        </w:rPr>
        <w:t xml:space="preserve">Analizuojamos šios </w:t>
      </w:r>
      <w:r w:rsidRPr="00AA32EA">
        <w:rPr>
          <w:rFonts w:ascii="Georgia" w:hAnsi="Georgia"/>
          <w:sz w:val="20"/>
          <w:szCs w:val="20"/>
        </w:rPr>
        <w:t>fondo</w:t>
      </w:r>
      <w:r w:rsidRPr="00A05665">
        <w:rPr>
          <w:rFonts w:ascii="Georgia" w:hAnsi="Georgia"/>
          <w:sz w:val="20"/>
          <w:szCs w:val="20"/>
        </w:rPr>
        <w:t xml:space="preserve"> </w:t>
      </w:r>
      <w:r>
        <w:rPr>
          <w:rFonts w:ascii="Georgia" w:hAnsi="Georgia"/>
          <w:sz w:val="20"/>
          <w:szCs w:val="20"/>
        </w:rPr>
        <w:t xml:space="preserve">veiklos </w:t>
      </w:r>
      <w:r w:rsidRPr="00A05665">
        <w:rPr>
          <w:rFonts w:ascii="Georgia" w:hAnsi="Georgia"/>
          <w:sz w:val="20"/>
          <w:szCs w:val="20"/>
        </w:rPr>
        <w:t>alternatyvos:</w:t>
      </w:r>
    </w:p>
    <w:p w14:paraId="2B6AE6A9" w14:textId="77777777" w:rsidR="00151543" w:rsidRPr="00C46F9F" w:rsidRDefault="00151543" w:rsidP="00151543">
      <w:pPr>
        <w:pStyle w:val="prastasis1"/>
        <w:spacing w:before="0" w:beforeAutospacing="0" w:after="0" w:afterAutospacing="0" w:line="360" w:lineRule="auto"/>
        <w:jc w:val="both"/>
        <w:rPr>
          <w:rFonts w:ascii="Georgia" w:hAnsi="Georgia"/>
          <w:sz w:val="20"/>
          <w:szCs w:val="20"/>
        </w:rPr>
      </w:pPr>
      <w:r w:rsidRPr="00C46F9F">
        <w:rPr>
          <w:rFonts w:ascii="Georgia" w:hAnsi="Georgia"/>
          <w:sz w:val="20"/>
          <w:szCs w:val="20"/>
        </w:rPr>
        <w:t>1. 2014-2020</w:t>
      </w:r>
      <w:r w:rsidR="00701BE5">
        <w:rPr>
          <w:rFonts w:ascii="Georgia" w:hAnsi="Georgia"/>
          <w:sz w:val="20"/>
          <w:szCs w:val="20"/>
        </w:rPr>
        <w:t xml:space="preserve"> m.</w:t>
      </w:r>
      <w:r w:rsidRPr="00C46F9F">
        <w:rPr>
          <w:rFonts w:ascii="Georgia" w:hAnsi="Georgia"/>
          <w:sz w:val="20"/>
          <w:szCs w:val="20"/>
        </w:rPr>
        <w:t xml:space="preserve"> </w:t>
      </w:r>
      <w:r w:rsidR="00701BE5">
        <w:rPr>
          <w:rFonts w:ascii="Georgia" w:hAnsi="Georgia"/>
          <w:sz w:val="20"/>
          <w:szCs w:val="20"/>
        </w:rPr>
        <w:t xml:space="preserve">ES </w:t>
      </w:r>
      <w:r w:rsidRPr="00C46F9F">
        <w:rPr>
          <w:rFonts w:ascii="Georgia" w:hAnsi="Georgia"/>
          <w:sz w:val="20"/>
          <w:szCs w:val="20"/>
        </w:rPr>
        <w:t>lėšų investavimas į esamą JESSICA fondą</w:t>
      </w:r>
      <w:r w:rsidR="00701BE5">
        <w:rPr>
          <w:rFonts w:ascii="Georgia" w:hAnsi="Georgia"/>
          <w:sz w:val="20"/>
          <w:szCs w:val="20"/>
        </w:rPr>
        <w:t xml:space="preserve"> (fondų fondo tęsinys)</w:t>
      </w:r>
      <w:r w:rsidRPr="00C46F9F">
        <w:rPr>
          <w:rFonts w:ascii="Georgia" w:hAnsi="Georgia"/>
          <w:sz w:val="20"/>
          <w:szCs w:val="20"/>
        </w:rPr>
        <w:t>.</w:t>
      </w:r>
    </w:p>
    <w:p w14:paraId="3F1FB371" w14:textId="77777777" w:rsidR="00151543" w:rsidRPr="00C31379" w:rsidRDefault="00151543" w:rsidP="00151543">
      <w:pPr>
        <w:pStyle w:val="prastasis1"/>
        <w:spacing w:before="0" w:beforeAutospacing="0" w:after="0" w:afterAutospacing="0" w:line="360" w:lineRule="auto"/>
        <w:jc w:val="both"/>
        <w:rPr>
          <w:rFonts w:ascii="Georgia" w:hAnsi="Georgia"/>
          <w:sz w:val="20"/>
          <w:szCs w:val="20"/>
        </w:rPr>
      </w:pPr>
      <w:r w:rsidRPr="001C2860">
        <w:rPr>
          <w:rFonts w:ascii="Georgia" w:hAnsi="Georgia"/>
          <w:sz w:val="20"/>
          <w:szCs w:val="20"/>
        </w:rPr>
        <w:t xml:space="preserve">2. </w:t>
      </w:r>
      <w:r w:rsidR="00612BE4">
        <w:rPr>
          <w:rFonts w:ascii="Georgia" w:hAnsi="Georgia"/>
          <w:sz w:val="20"/>
          <w:szCs w:val="20"/>
        </w:rPr>
        <w:t>J</w:t>
      </w:r>
      <w:r w:rsidR="00612BE4" w:rsidRPr="00B64555">
        <w:rPr>
          <w:rFonts w:ascii="Georgia" w:hAnsi="Georgia"/>
          <w:sz w:val="20"/>
          <w:szCs w:val="20"/>
        </w:rPr>
        <w:t>uridin</w:t>
      </w:r>
      <w:r w:rsidR="00612BE4">
        <w:rPr>
          <w:rFonts w:ascii="Georgia" w:hAnsi="Georgia"/>
          <w:sz w:val="20"/>
          <w:szCs w:val="20"/>
        </w:rPr>
        <w:t>io asmens</w:t>
      </w:r>
      <w:r w:rsidR="00612BE4" w:rsidRPr="00B64555">
        <w:rPr>
          <w:rFonts w:ascii="Georgia" w:hAnsi="Georgia"/>
          <w:sz w:val="20"/>
          <w:szCs w:val="20"/>
        </w:rPr>
        <w:t xml:space="preserve"> </w:t>
      </w:r>
      <w:r w:rsidRPr="00B64555">
        <w:rPr>
          <w:rFonts w:ascii="Georgia" w:hAnsi="Georgia"/>
          <w:sz w:val="20"/>
          <w:szCs w:val="20"/>
        </w:rPr>
        <w:t>statusą turinčio fondo steigimas</w:t>
      </w:r>
      <w:r w:rsidRPr="00C31379">
        <w:rPr>
          <w:rFonts w:ascii="Georgia" w:hAnsi="Georgia"/>
          <w:sz w:val="20"/>
          <w:szCs w:val="20"/>
        </w:rPr>
        <w:t>.</w:t>
      </w:r>
    </w:p>
    <w:p w14:paraId="3E33CBEB" w14:textId="77777777" w:rsidR="00151543" w:rsidRPr="00AC3318" w:rsidRDefault="00151543" w:rsidP="00151543">
      <w:pPr>
        <w:pStyle w:val="prastasis1"/>
        <w:spacing w:before="0" w:beforeAutospacing="0" w:after="0" w:afterAutospacing="0" w:line="360" w:lineRule="auto"/>
        <w:jc w:val="both"/>
        <w:rPr>
          <w:rFonts w:ascii="Georgia" w:hAnsi="Georgia"/>
          <w:sz w:val="20"/>
          <w:szCs w:val="20"/>
        </w:rPr>
      </w:pPr>
      <w:r w:rsidRPr="00C46F9F">
        <w:rPr>
          <w:rFonts w:ascii="Georgia" w:hAnsi="Georgia"/>
          <w:sz w:val="20"/>
          <w:szCs w:val="20"/>
        </w:rPr>
        <w:t>3. 2014-2020</w:t>
      </w:r>
      <w:r w:rsidR="00701BE5">
        <w:rPr>
          <w:rFonts w:ascii="Georgia" w:hAnsi="Georgia"/>
          <w:sz w:val="20"/>
          <w:szCs w:val="20"/>
        </w:rPr>
        <w:t xml:space="preserve"> m. ES</w:t>
      </w:r>
      <w:r w:rsidRPr="00C46F9F">
        <w:rPr>
          <w:rFonts w:ascii="Georgia" w:hAnsi="Georgia"/>
          <w:sz w:val="20"/>
          <w:szCs w:val="20"/>
        </w:rPr>
        <w:t xml:space="preserve"> lėšų investavimas į esamą JESSICA fondą ir investicinio fondo</w:t>
      </w:r>
      <w:r w:rsidR="00A9076E">
        <w:rPr>
          <w:rFonts w:ascii="Georgia" w:hAnsi="Georgia"/>
          <w:sz w:val="20"/>
          <w:szCs w:val="20"/>
        </w:rPr>
        <w:t xml:space="preserve"> </w:t>
      </w:r>
      <w:r w:rsidR="00A9076E" w:rsidRPr="00A9076E">
        <w:rPr>
          <w:rFonts w:ascii="Georgia" w:hAnsi="Georgia"/>
          <w:sz w:val="20"/>
        </w:rPr>
        <w:t>(turinčio juridinio asmens statusą)</w:t>
      </w:r>
      <w:r w:rsidRPr="00C46F9F">
        <w:rPr>
          <w:rFonts w:ascii="Georgia" w:hAnsi="Georgia"/>
          <w:sz w:val="20"/>
          <w:szCs w:val="20"/>
        </w:rPr>
        <w:t xml:space="preserve"> steigimas Lietuvoje.</w:t>
      </w:r>
    </w:p>
    <w:p w14:paraId="6422D65A" w14:textId="77777777" w:rsidR="00151543" w:rsidRPr="00AA32EA" w:rsidRDefault="00151543" w:rsidP="00C03122">
      <w:pPr>
        <w:pStyle w:val="Antrat2"/>
        <w:numPr>
          <w:ilvl w:val="3"/>
          <w:numId w:val="36"/>
        </w:numPr>
        <w:spacing w:after="240"/>
        <w:rPr>
          <w:lang w:val="lt-LT"/>
        </w:rPr>
      </w:pPr>
      <w:bookmarkStart w:id="342" w:name="_Toc398567606"/>
      <w:bookmarkStart w:id="343" w:name="_Toc417378437"/>
      <w:r w:rsidRPr="00AA32EA">
        <w:rPr>
          <w:lang w:val="lt-LT"/>
        </w:rPr>
        <w:t>2014-2020 lėšų investavimas į esamą JESSICA fondą</w:t>
      </w:r>
      <w:bookmarkEnd w:id="342"/>
      <w:r w:rsidR="00A9076E">
        <w:rPr>
          <w:lang w:val="lt-LT"/>
        </w:rPr>
        <w:t xml:space="preserve"> (fondų fondo tęsinys)</w:t>
      </w:r>
      <w:bookmarkEnd w:id="343"/>
    </w:p>
    <w:p w14:paraId="27862EB0" w14:textId="77777777" w:rsidR="00151543" w:rsidRPr="00AC3318" w:rsidRDefault="00151543" w:rsidP="00151543">
      <w:pPr>
        <w:pStyle w:val="prastasis1"/>
        <w:spacing w:line="276" w:lineRule="auto"/>
        <w:jc w:val="both"/>
        <w:rPr>
          <w:rFonts w:ascii="Georgia" w:hAnsi="Georgia"/>
          <w:sz w:val="20"/>
          <w:szCs w:val="20"/>
        </w:rPr>
      </w:pPr>
      <w:r w:rsidRPr="00AC3318">
        <w:rPr>
          <w:rFonts w:ascii="Georgia" w:hAnsi="Georgia"/>
          <w:sz w:val="20"/>
          <w:szCs w:val="20"/>
        </w:rPr>
        <w:t xml:space="preserve">Šios alternatyvos įgyvendinimo atveju Finansų ministerija kaip vadovaujančioji institucija kartu su Aplinkos ministerija priimtų sprendimą pratęsti JESSICA </w:t>
      </w:r>
      <w:r w:rsidR="00A9076E">
        <w:rPr>
          <w:rFonts w:ascii="Georgia" w:hAnsi="Georgia"/>
          <w:sz w:val="20"/>
          <w:szCs w:val="20"/>
        </w:rPr>
        <w:t>KF</w:t>
      </w:r>
      <w:r w:rsidRPr="00AC3318">
        <w:rPr>
          <w:rFonts w:ascii="Georgia" w:hAnsi="Georgia"/>
          <w:sz w:val="20"/>
          <w:szCs w:val="20"/>
        </w:rPr>
        <w:t xml:space="preserve">, kuris buvo sukurtas 2007–2013 m. programavimo </w:t>
      </w:r>
      <w:r w:rsidR="00A9076E">
        <w:rPr>
          <w:rFonts w:ascii="Georgia" w:hAnsi="Georgia"/>
          <w:sz w:val="20"/>
          <w:szCs w:val="20"/>
        </w:rPr>
        <w:t>periodu</w:t>
      </w:r>
      <w:r w:rsidRPr="00AC3318">
        <w:rPr>
          <w:rFonts w:ascii="Georgia" w:hAnsi="Georgia"/>
          <w:sz w:val="20"/>
          <w:szCs w:val="20"/>
        </w:rPr>
        <w:t xml:space="preserve">, veiklą, iš esmės nekeičiant jo struktūros. </w:t>
      </w:r>
      <w:r w:rsidR="00A9076E">
        <w:rPr>
          <w:rFonts w:ascii="Georgia" w:hAnsi="Georgia"/>
          <w:sz w:val="20"/>
          <w:szCs w:val="20"/>
        </w:rPr>
        <w:t xml:space="preserve">Vadovaujantis 2013 m. spalio 30 d. LRV nutarimu Nr. 998 patvirtintu </w:t>
      </w:r>
      <w:r w:rsidR="00A9076E" w:rsidRPr="00890C78">
        <w:rPr>
          <w:rFonts w:ascii="Georgia" w:hAnsi="Georgia"/>
          <w:sz w:val="20"/>
          <w:szCs w:val="20"/>
        </w:rPr>
        <w:t xml:space="preserve">2014–2020 </w:t>
      </w:r>
      <w:r w:rsidR="00A9076E">
        <w:rPr>
          <w:rFonts w:ascii="Georgia" w:hAnsi="Georgia"/>
          <w:sz w:val="20"/>
          <w:szCs w:val="20"/>
        </w:rPr>
        <w:t>m. iš ESI</w:t>
      </w:r>
      <w:r w:rsidR="00A9076E" w:rsidRPr="00890C78">
        <w:rPr>
          <w:rFonts w:ascii="Georgia" w:hAnsi="Georgia"/>
          <w:sz w:val="20"/>
          <w:szCs w:val="20"/>
        </w:rPr>
        <w:t xml:space="preserve"> fondų lėšų planuojamų bendrai finansuoti valstybės projektų atra</w:t>
      </w:r>
      <w:r w:rsidR="00A9076E">
        <w:rPr>
          <w:rFonts w:ascii="Georgia" w:hAnsi="Georgia"/>
          <w:sz w:val="20"/>
          <w:szCs w:val="20"/>
        </w:rPr>
        <w:t>nkos laikinosios tvarkos aprašu (aprašą atitinkamai pakeitus, kad būtų galima finansuoti finansines priemones vadovaujantis laikinąja tvarka) būtų JESSICA KF papildomas 2014-2020 m. ESI fondų lėšomis siekiant patenkinti perėjimo tarp dviejų programavimo periodų laikotarpiu susiformavusį projektų srautą. Vėliau, patvirtinus nacionalinę teisinę bazę, v</w:t>
      </w:r>
      <w:r w:rsidR="00A9076E" w:rsidRPr="00AC3318">
        <w:rPr>
          <w:rFonts w:ascii="Georgia" w:hAnsi="Georgia"/>
          <w:sz w:val="20"/>
          <w:szCs w:val="20"/>
        </w:rPr>
        <w:t xml:space="preserve">adovaudamasi </w:t>
      </w:r>
      <w:r w:rsidR="00A9076E">
        <w:rPr>
          <w:rFonts w:ascii="Georgia" w:hAnsi="Georgia"/>
          <w:sz w:val="20"/>
          <w:szCs w:val="20"/>
        </w:rPr>
        <w:t>Bendrųjų nuostatų r</w:t>
      </w:r>
      <w:r w:rsidR="00A9076E" w:rsidRPr="00AC3318">
        <w:rPr>
          <w:rFonts w:ascii="Georgia" w:hAnsi="Georgia"/>
          <w:sz w:val="20"/>
          <w:szCs w:val="20"/>
        </w:rPr>
        <w:t xml:space="preserve">eglamento 38 str. 4 dalimi, vadovaujančioji institucija galėtų paskirti/atrinkti vieną iš 38(4)(b) straipsnyje nurodytų institucijų </w:t>
      </w:r>
      <w:r w:rsidR="00A9076E">
        <w:rPr>
          <w:rFonts w:ascii="Georgia" w:hAnsi="Georgia"/>
          <w:sz w:val="20"/>
          <w:szCs w:val="20"/>
        </w:rPr>
        <w:t xml:space="preserve">naujojo </w:t>
      </w:r>
      <w:r w:rsidR="00A9076E" w:rsidRPr="00AC3318">
        <w:rPr>
          <w:rFonts w:ascii="Georgia" w:hAnsi="Georgia"/>
          <w:sz w:val="20"/>
          <w:szCs w:val="20"/>
        </w:rPr>
        <w:t>JESSICA fondų fondo valdytoju. Atrinkus/paskyrus fondų fondo valdytoją, būtų galima</w:t>
      </w:r>
      <w:r w:rsidR="00A9076E">
        <w:rPr>
          <w:rFonts w:ascii="Georgia" w:hAnsi="Georgia"/>
          <w:sz w:val="20"/>
          <w:szCs w:val="20"/>
        </w:rPr>
        <w:t xml:space="preserve"> naujajam JESSICA fondų fondui perduoti sugeneruotų projektų srautą,</w:t>
      </w:r>
      <w:r w:rsidR="00A9076E" w:rsidRPr="00AC3318">
        <w:rPr>
          <w:rFonts w:ascii="Georgia" w:hAnsi="Georgia"/>
          <w:sz w:val="20"/>
          <w:szCs w:val="20"/>
        </w:rPr>
        <w:t xml:space="preserve"> JESSICA fondų fondą papildyti 2014-2020 m. programavimo periodo ES struktūrinių fondų lėšomis ir suteikti fondo valdytojui atitinkamus veiklos įgaliojimus.</w:t>
      </w:r>
    </w:p>
    <w:p w14:paraId="61B9D04E" w14:textId="77777777" w:rsidR="009F55BB" w:rsidRDefault="00A9076E" w:rsidP="00A84FBE">
      <w:pPr>
        <w:pStyle w:val="Antrat"/>
        <w:jc w:val="center"/>
        <w:rPr>
          <w:szCs w:val="20"/>
        </w:rPr>
      </w:pPr>
      <w:r w:rsidRPr="00AC3318">
        <w:rPr>
          <w:szCs w:val="20"/>
        </w:rPr>
        <w:object w:dxaOrig="17160" w:dyaOrig="11850" w14:anchorId="7D284EDF">
          <v:shape id="_x0000_i1028" type="#_x0000_t75" style="width:442.75pt;height:304.55pt" o:ole="">
            <v:imagedata r:id="rId105" o:title=""/>
          </v:shape>
          <o:OLEObject Type="Embed" ProgID="Visio.Drawing.15" ShapeID="_x0000_i1028" DrawAspect="Content" ObjectID="_1572853842" r:id="rId106"/>
        </w:object>
      </w:r>
    </w:p>
    <w:p w14:paraId="30792D48" w14:textId="1C530D1B" w:rsidR="00151543" w:rsidRPr="00A84FBE" w:rsidRDefault="00151543" w:rsidP="00151543">
      <w:pPr>
        <w:pStyle w:val="Antrat"/>
        <w:rPr>
          <w:szCs w:val="20"/>
          <w:lang w:val="lt-LT"/>
        </w:rPr>
      </w:pPr>
      <w:bookmarkStart w:id="344" w:name="_Toc417378327"/>
      <w:r w:rsidRPr="00A84FBE">
        <w:rPr>
          <w:lang w:val="lt-LT"/>
        </w:rPr>
        <w:t xml:space="preserve">Paveikslas </w:t>
      </w:r>
      <w:r w:rsidRPr="00A84FBE">
        <w:rPr>
          <w:lang w:val="lt-LT"/>
        </w:rPr>
        <w:fldChar w:fldCharType="begin"/>
      </w:r>
      <w:r w:rsidRPr="00A84FBE">
        <w:rPr>
          <w:lang w:val="lt-LT"/>
        </w:rPr>
        <w:instrText xml:space="preserve"> SEQ Paveikslas \* ARABIC </w:instrText>
      </w:r>
      <w:r w:rsidRPr="00A84FBE">
        <w:rPr>
          <w:lang w:val="lt-LT"/>
        </w:rPr>
        <w:fldChar w:fldCharType="separate"/>
      </w:r>
      <w:r w:rsidR="00AA3082">
        <w:rPr>
          <w:noProof/>
          <w:lang w:val="lt-LT"/>
        </w:rPr>
        <w:t>50</w:t>
      </w:r>
      <w:r w:rsidRPr="00A84FBE">
        <w:rPr>
          <w:lang w:val="lt-LT"/>
        </w:rPr>
        <w:fldChar w:fldCharType="end"/>
      </w:r>
      <w:r w:rsidRPr="00A84FBE">
        <w:rPr>
          <w:lang w:val="lt-LT"/>
        </w:rPr>
        <w:t xml:space="preserve">. </w:t>
      </w:r>
      <w:r w:rsidRPr="00A84FBE">
        <w:rPr>
          <w:rFonts w:eastAsiaTheme="minorHAnsi" w:cstheme="minorBidi"/>
          <w:szCs w:val="20"/>
          <w:lang w:val="lt-LT"/>
        </w:rPr>
        <w:t>2014-2020 lėšų investavimas į esamą JESSICA fondą.</w:t>
      </w:r>
      <w:bookmarkEnd w:id="344"/>
    </w:p>
    <w:p w14:paraId="33CB010B" w14:textId="77777777" w:rsidR="00151543" w:rsidRPr="00AC3318" w:rsidRDefault="00151543" w:rsidP="00151543">
      <w:pPr>
        <w:pStyle w:val="prastasis1"/>
        <w:spacing w:line="276" w:lineRule="auto"/>
        <w:jc w:val="both"/>
        <w:rPr>
          <w:rFonts w:ascii="Georgia" w:hAnsi="Georgia"/>
          <w:sz w:val="20"/>
          <w:szCs w:val="20"/>
        </w:rPr>
      </w:pPr>
      <w:r>
        <w:rPr>
          <w:rFonts w:ascii="Georgia" w:hAnsi="Georgia"/>
          <w:sz w:val="20"/>
          <w:szCs w:val="20"/>
        </w:rPr>
        <w:t>Vykdydamas 2014-2020 m.</w:t>
      </w:r>
      <w:r w:rsidRPr="00AC3318">
        <w:rPr>
          <w:rFonts w:ascii="Georgia" w:hAnsi="Georgia"/>
          <w:sz w:val="20"/>
          <w:szCs w:val="20"/>
        </w:rPr>
        <w:t xml:space="preserve"> JESSICA fondo veiklą, fondo valdytojas atrinktų finansinius tarpininkus, kurie teiktų lengvatines paskolas daugiabučių namų atnaujinimui (moderniza</w:t>
      </w:r>
      <w:r>
        <w:rPr>
          <w:rFonts w:ascii="Georgia" w:hAnsi="Georgia"/>
          <w:sz w:val="20"/>
          <w:szCs w:val="20"/>
        </w:rPr>
        <w:t>v</w:t>
      </w:r>
      <w:r w:rsidRPr="00AC3318">
        <w:rPr>
          <w:rFonts w:ascii="Georgia" w:hAnsi="Georgia"/>
          <w:sz w:val="20"/>
          <w:szCs w:val="20"/>
        </w:rPr>
        <w:t>i</w:t>
      </w:r>
      <w:r>
        <w:rPr>
          <w:rFonts w:ascii="Georgia" w:hAnsi="Georgia"/>
          <w:sz w:val="20"/>
          <w:szCs w:val="20"/>
        </w:rPr>
        <w:t>mu</w:t>
      </w:r>
      <w:r w:rsidRPr="00AC3318">
        <w:rPr>
          <w:rFonts w:ascii="Georgia" w:hAnsi="Georgia"/>
          <w:sz w:val="20"/>
          <w:szCs w:val="20"/>
        </w:rPr>
        <w:t>i). Su atrinktais finansiniais tarpininkais fondo valdytojas pasirašytų sąlygines</w:t>
      </w:r>
      <w:r w:rsidR="00C90A1E">
        <w:rPr>
          <w:rStyle w:val="Puslapioinaosnuoroda"/>
          <w:rFonts w:ascii="Georgia" w:hAnsi="Georgia"/>
          <w:sz w:val="20"/>
          <w:szCs w:val="20"/>
        </w:rPr>
        <w:footnoteReference w:id="163"/>
      </w:r>
      <w:r w:rsidRPr="00AC3318">
        <w:rPr>
          <w:rFonts w:ascii="Georgia" w:hAnsi="Georgia"/>
          <w:sz w:val="20"/>
          <w:szCs w:val="20"/>
        </w:rPr>
        <w:t xml:space="preserve"> paskolos sutartis. Valdytojui už fondo valdymą būtų mokamas </w:t>
      </w:r>
      <w:r w:rsidR="00C90A1E">
        <w:rPr>
          <w:rFonts w:ascii="Georgia" w:hAnsi="Georgia"/>
          <w:sz w:val="20"/>
          <w:szCs w:val="20"/>
        </w:rPr>
        <w:t>valdymo</w:t>
      </w:r>
      <w:r w:rsidRPr="00AC3318">
        <w:rPr>
          <w:rFonts w:ascii="Georgia" w:hAnsi="Georgia"/>
          <w:sz w:val="20"/>
          <w:szCs w:val="20"/>
        </w:rPr>
        <w:t xml:space="preserve"> mokestis</w:t>
      </w:r>
      <w:r>
        <w:rPr>
          <w:rFonts w:ascii="Georgia" w:hAnsi="Georgia"/>
          <w:sz w:val="20"/>
          <w:szCs w:val="20"/>
        </w:rPr>
        <w:t>,</w:t>
      </w:r>
      <w:r w:rsidR="0027348B">
        <w:rPr>
          <w:rFonts w:ascii="Georgia" w:hAnsi="Georgia"/>
          <w:sz w:val="20"/>
          <w:szCs w:val="20"/>
        </w:rPr>
        <w:t xml:space="preserve"> kuris būtų mokamas vadovaujantis</w:t>
      </w:r>
      <w:r>
        <w:rPr>
          <w:rFonts w:ascii="Georgia" w:hAnsi="Georgia"/>
          <w:sz w:val="20"/>
          <w:szCs w:val="20"/>
        </w:rPr>
        <w:t xml:space="preserve"> Deleguotame reglamente</w:t>
      </w:r>
      <w:r w:rsidR="0027348B">
        <w:rPr>
          <w:rFonts w:ascii="Georgia" w:hAnsi="Georgia"/>
          <w:sz w:val="20"/>
          <w:szCs w:val="20"/>
        </w:rPr>
        <w:t xml:space="preserve"> apibrėžtomis nuostatomis</w:t>
      </w:r>
      <w:r w:rsidRPr="00AC3318">
        <w:rPr>
          <w:rFonts w:ascii="Georgia" w:hAnsi="Georgia"/>
          <w:sz w:val="20"/>
          <w:szCs w:val="20"/>
        </w:rPr>
        <w:t xml:space="preserve">. Finansiniai tarpininkai taip pat gautų nustatytą </w:t>
      </w:r>
      <w:r w:rsidR="0027348B">
        <w:rPr>
          <w:rFonts w:ascii="Georgia" w:hAnsi="Georgia"/>
          <w:sz w:val="20"/>
          <w:szCs w:val="20"/>
        </w:rPr>
        <w:t>valdymo</w:t>
      </w:r>
      <w:r>
        <w:rPr>
          <w:rFonts w:ascii="Georgia" w:hAnsi="Georgia"/>
          <w:sz w:val="20"/>
          <w:szCs w:val="20"/>
        </w:rPr>
        <w:t xml:space="preserve"> mokestį</w:t>
      </w:r>
      <w:r w:rsidRPr="00AC3318">
        <w:rPr>
          <w:rFonts w:ascii="Georgia" w:hAnsi="Georgia"/>
          <w:sz w:val="20"/>
          <w:szCs w:val="20"/>
        </w:rPr>
        <w:t xml:space="preserve"> už teikiamas finansinio tarpininko paslaugas</w:t>
      </w:r>
      <w:r w:rsidR="0027348B">
        <w:rPr>
          <w:rFonts w:ascii="Georgia" w:hAnsi="Georgia"/>
          <w:sz w:val="20"/>
          <w:szCs w:val="20"/>
        </w:rPr>
        <w:t>, kaip tai numatyta Deleguoto reglamento nuostatose</w:t>
      </w:r>
      <w:r w:rsidRPr="00AC3318">
        <w:rPr>
          <w:rFonts w:ascii="Georgia" w:hAnsi="Georgia"/>
          <w:sz w:val="20"/>
          <w:szCs w:val="20"/>
        </w:rPr>
        <w:t>.</w:t>
      </w:r>
    </w:p>
    <w:p w14:paraId="0DF3CD54" w14:textId="77777777" w:rsidR="00151543" w:rsidRPr="00AC3318" w:rsidRDefault="00151543" w:rsidP="00151543">
      <w:pPr>
        <w:pStyle w:val="prastasis1"/>
        <w:spacing w:line="276" w:lineRule="auto"/>
        <w:jc w:val="both"/>
        <w:rPr>
          <w:rFonts w:ascii="Georgia" w:hAnsi="Georgia"/>
          <w:sz w:val="20"/>
          <w:szCs w:val="20"/>
        </w:rPr>
      </w:pPr>
      <w:r>
        <w:rPr>
          <w:rFonts w:ascii="Georgia" w:hAnsi="Georgia"/>
          <w:sz w:val="20"/>
          <w:szCs w:val="20"/>
        </w:rPr>
        <w:t xml:space="preserve">JESSICA </w:t>
      </w:r>
      <w:r w:rsidR="0027348B">
        <w:rPr>
          <w:rFonts w:ascii="Georgia" w:hAnsi="Georgia"/>
          <w:sz w:val="20"/>
          <w:szCs w:val="20"/>
        </w:rPr>
        <w:t>KF</w:t>
      </w:r>
      <w:r w:rsidRPr="00AC3318">
        <w:rPr>
          <w:rFonts w:ascii="Georgia" w:hAnsi="Georgia"/>
          <w:sz w:val="20"/>
          <w:szCs w:val="20"/>
        </w:rPr>
        <w:t xml:space="preserve"> modelio </w:t>
      </w:r>
      <w:r>
        <w:rPr>
          <w:rFonts w:ascii="Georgia" w:hAnsi="Georgia"/>
          <w:sz w:val="20"/>
          <w:szCs w:val="20"/>
        </w:rPr>
        <w:t xml:space="preserve">tęstinumas </w:t>
      </w:r>
      <w:r w:rsidRPr="00AC3318">
        <w:rPr>
          <w:rFonts w:ascii="Georgia" w:hAnsi="Georgia"/>
          <w:sz w:val="20"/>
          <w:szCs w:val="20"/>
        </w:rPr>
        <w:t xml:space="preserve">turi tam tikrų privalumų. Vadovaujančioji institucija ir Aplinkos ministerija jau yra gerai susipažinusios su šio modelio veikla, </w:t>
      </w:r>
      <w:r>
        <w:rPr>
          <w:rFonts w:ascii="Georgia" w:hAnsi="Georgia"/>
          <w:sz w:val="20"/>
          <w:szCs w:val="20"/>
        </w:rPr>
        <w:t xml:space="preserve">turi didelę patirtį </w:t>
      </w:r>
      <w:r w:rsidRPr="00AC3318">
        <w:rPr>
          <w:rFonts w:ascii="Georgia" w:hAnsi="Georgia"/>
          <w:sz w:val="20"/>
          <w:szCs w:val="20"/>
        </w:rPr>
        <w:t>fondų fond</w:t>
      </w:r>
      <w:r>
        <w:rPr>
          <w:rFonts w:ascii="Georgia" w:hAnsi="Georgia"/>
          <w:sz w:val="20"/>
          <w:szCs w:val="20"/>
        </w:rPr>
        <w:t>o</w:t>
      </w:r>
      <w:r w:rsidRPr="00AC3318">
        <w:rPr>
          <w:rFonts w:ascii="Georgia" w:hAnsi="Georgia"/>
          <w:sz w:val="20"/>
          <w:szCs w:val="20"/>
        </w:rPr>
        <w:t xml:space="preserve"> vald</w:t>
      </w:r>
      <w:r>
        <w:rPr>
          <w:rFonts w:ascii="Georgia" w:hAnsi="Georgia"/>
          <w:sz w:val="20"/>
          <w:szCs w:val="20"/>
        </w:rPr>
        <w:t>yme.</w:t>
      </w:r>
      <w:r w:rsidRPr="00AC3318">
        <w:rPr>
          <w:rFonts w:ascii="Georgia" w:hAnsi="Georgia"/>
          <w:sz w:val="20"/>
          <w:szCs w:val="20"/>
        </w:rPr>
        <w:t xml:space="preserve"> </w:t>
      </w:r>
      <w:r>
        <w:rPr>
          <w:rFonts w:ascii="Georgia" w:hAnsi="Georgia"/>
          <w:sz w:val="20"/>
          <w:szCs w:val="20"/>
        </w:rPr>
        <w:t xml:space="preserve">Vertinant, kad tiek ministerijos, tiek ir finansiniai tarpininkai turi didelę patirtį įgyvendinant šį modelį, su sąlyga kad iš esmės nebūtų keičiamos fondų fondo įgyvendinimo sąlygos, tikėtina, kad pereinamasis laikotarpis tarp 2007-2013 ir 2014-2020 laikotarpių, teisinės bazės pakeitimai, techniniai, sutarčių derinimo klausimai galėtų būti išsprendžiami per sąlyginai trumpą laiką. </w:t>
      </w:r>
    </w:p>
    <w:p w14:paraId="5D18CA2F" w14:textId="77777777" w:rsidR="00151543" w:rsidRPr="00AC3318" w:rsidRDefault="00151543" w:rsidP="00151543">
      <w:pPr>
        <w:pStyle w:val="prastasis1"/>
        <w:spacing w:line="276" w:lineRule="auto"/>
        <w:jc w:val="both"/>
        <w:rPr>
          <w:rFonts w:ascii="Georgia" w:hAnsi="Georgia"/>
          <w:sz w:val="20"/>
          <w:szCs w:val="20"/>
        </w:rPr>
      </w:pPr>
      <w:r w:rsidRPr="00AC3318">
        <w:rPr>
          <w:rFonts w:ascii="Georgia" w:hAnsi="Georgia"/>
          <w:sz w:val="20"/>
          <w:szCs w:val="20"/>
        </w:rPr>
        <w:t xml:space="preserve">Tačiau šio modelio panaudojimas turi ir svarių trūkumų, kurie išryškėjo praėjusiame programavimo laikotarpyje. </w:t>
      </w:r>
      <w:r>
        <w:rPr>
          <w:rFonts w:ascii="Georgia" w:hAnsi="Georgia"/>
          <w:sz w:val="20"/>
          <w:szCs w:val="20"/>
        </w:rPr>
        <w:t xml:space="preserve">JESSICA </w:t>
      </w:r>
      <w:r w:rsidR="00851285">
        <w:rPr>
          <w:rFonts w:ascii="Georgia" w:hAnsi="Georgia"/>
          <w:sz w:val="20"/>
          <w:szCs w:val="20"/>
        </w:rPr>
        <w:t>KF</w:t>
      </w:r>
      <w:r w:rsidRPr="00AC3318">
        <w:rPr>
          <w:rFonts w:ascii="Georgia" w:hAnsi="Georgia"/>
          <w:sz w:val="20"/>
          <w:szCs w:val="20"/>
        </w:rPr>
        <w:t xml:space="preserve"> buvo sukurtas kaip </w:t>
      </w:r>
      <w:r>
        <w:rPr>
          <w:rFonts w:ascii="Georgia" w:hAnsi="Georgia"/>
          <w:sz w:val="20"/>
          <w:szCs w:val="20"/>
        </w:rPr>
        <w:t xml:space="preserve">atskiras finansinis padalinys EIB, t.y. – kaip atskirų </w:t>
      </w:r>
      <w:r w:rsidRPr="00AC3318">
        <w:rPr>
          <w:rFonts w:ascii="Georgia" w:hAnsi="Georgia"/>
          <w:sz w:val="20"/>
          <w:szCs w:val="20"/>
        </w:rPr>
        <w:t xml:space="preserve">sąskaitų rinkinys, todėl jis neturėjo juridinio asmens statuso. O tai apribojo galimybę pritraukti papildomas lėšas iš privataus sektoriaus bei iš kitų tarptautinių finansų įstaigų. </w:t>
      </w:r>
      <w:r w:rsidR="00851285">
        <w:rPr>
          <w:rFonts w:ascii="Georgia" w:hAnsi="Georgia"/>
          <w:sz w:val="20"/>
          <w:szCs w:val="20"/>
        </w:rPr>
        <w:t>Dėl to</w:t>
      </w:r>
      <w:r w:rsidRPr="00AC3318">
        <w:rPr>
          <w:rFonts w:ascii="Georgia" w:hAnsi="Georgia"/>
          <w:sz w:val="20"/>
          <w:szCs w:val="20"/>
        </w:rPr>
        <w:t xml:space="preserve"> finansinio sverto efektu nebuvo deramai pasinaudota. </w:t>
      </w:r>
    </w:p>
    <w:p w14:paraId="1B114F88" w14:textId="77777777" w:rsidR="00151543" w:rsidRPr="00AC3318" w:rsidRDefault="00151543" w:rsidP="00151543">
      <w:pPr>
        <w:pStyle w:val="prastasis1"/>
        <w:spacing w:line="276" w:lineRule="auto"/>
        <w:jc w:val="both"/>
        <w:rPr>
          <w:rFonts w:ascii="Georgia" w:hAnsi="Georgia"/>
          <w:sz w:val="20"/>
          <w:szCs w:val="20"/>
        </w:rPr>
      </w:pPr>
      <w:r w:rsidRPr="00AC3318">
        <w:rPr>
          <w:rFonts w:ascii="Georgia" w:hAnsi="Georgia"/>
          <w:sz w:val="20"/>
          <w:szCs w:val="20"/>
        </w:rPr>
        <w:t xml:space="preserve">Be to, sutartys su fondo valdytoju ir finansiniais tarpininkais turi būti pakeistos taip, kad jos būtų pritaikytos prie naujų 2014–2020 m. programavimo periodo reikalavimų. Tai gali </w:t>
      </w:r>
      <w:r>
        <w:rPr>
          <w:rFonts w:ascii="Georgia" w:hAnsi="Georgia"/>
          <w:sz w:val="20"/>
          <w:szCs w:val="20"/>
        </w:rPr>
        <w:t>užtrukti</w:t>
      </w:r>
      <w:r w:rsidRPr="00AC3318">
        <w:rPr>
          <w:rFonts w:ascii="Georgia" w:hAnsi="Georgia"/>
          <w:sz w:val="20"/>
          <w:szCs w:val="20"/>
        </w:rPr>
        <w:t xml:space="preserve">, nes derybos su fondų fondo valdytoju ir finansiniais tarpininkais gali užsitęsti, ypač, jeigu bus keičiami ir </w:t>
      </w:r>
      <w:r w:rsidRPr="00AC3318">
        <w:rPr>
          <w:rFonts w:ascii="Georgia" w:hAnsi="Georgia"/>
          <w:sz w:val="20"/>
          <w:szCs w:val="20"/>
        </w:rPr>
        <w:lastRenderedPageBreak/>
        <w:t xml:space="preserve">jų atlygio dydžiai. Tačiau didžiausias šio modelio trūkumas, kad įgyvendinant finansinę priemonę 2014–2020 m. </w:t>
      </w:r>
      <w:r w:rsidR="00851285">
        <w:rPr>
          <w:rFonts w:ascii="Georgia" w:hAnsi="Georgia"/>
          <w:sz w:val="20"/>
          <w:szCs w:val="20"/>
        </w:rPr>
        <w:t>periodu</w:t>
      </w:r>
      <w:r w:rsidRPr="00AC3318">
        <w:rPr>
          <w:rFonts w:ascii="Georgia" w:hAnsi="Georgia"/>
          <w:sz w:val="20"/>
          <w:szCs w:val="20"/>
        </w:rPr>
        <w:t xml:space="preserve"> negalima būtų pasiekti deramo finansinio sverto efekto</w:t>
      </w:r>
      <w:r>
        <w:rPr>
          <w:rFonts w:ascii="Georgia" w:hAnsi="Georgia"/>
          <w:sz w:val="20"/>
          <w:szCs w:val="20"/>
        </w:rPr>
        <w:t xml:space="preserve"> ir alternatyva nesudaro galimybių įgyvendinti 4 skyriuje išskirtos naudingiausios alternatyvos - </w:t>
      </w:r>
      <w:r w:rsidRPr="00AA32EA">
        <w:rPr>
          <w:rFonts w:ascii="Georgia" w:hAnsi="Georgia"/>
          <w:i/>
          <w:sz w:val="20"/>
          <w:szCs w:val="20"/>
        </w:rPr>
        <w:t xml:space="preserve">ESI fondų lėšos nukreipiamos fondo pirmojo </w:t>
      </w:r>
      <w:r w:rsidR="00851285">
        <w:rPr>
          <w:rFonts w:ascii="Georgia" w:hAnsi="Georgia"/>
          <w:i/>
          <w:sz w:val="20"/>
          <w:szCs w:val="20"/>
        </w:rPr>
        <w:t>nuostolio padengimo lėšoms</w:t>
      </w:r>
      <w:r w:rsidRPr="00AA32EA">
        <w:rPr>
          <w:rFonts w:ascii="Georgia" w:hAnsi="Georgia"/>
          <w:i/>
          <w:sz w:val="20"/>
          <w:szCs w:val="20"/>
        </w:rPr>
        <w:t xml:space="preserve"> suformuoti</w:t>
      </w:r>
      <w:r w:rsidRPr="00A05665">
        <w:rPr>
          <w:rFonts w:ascii="Georgia" w:hAnsi="Georgia"/>
          <w:sz w:val="20"/>
          <w:szCs w:val="20"/>
        </w:rPr>
        <w:t>.</w:t>
      </w:r>
    </w:p>
    <w:p w14:paraId="0224E1D0" w14:textId="147FADAD" w:rsidR="00151543" w:rsidRPr="00AA32EA" w:rsidRDefault="00151543" w:rsidP="00151543">
      <w:pPr>
        <w:pStyle w:val="Antrat"/>
        <w:rPr>
          <w:rFonts w:eastAsiaTheme="minorHAnsi" w:cstheme="minorBidi"/>
          <w:szCs w:val="20"/>
          <w:highlight w:val="yellow"/>
          <w:lang w:val="en-US"/>
        </w:rPr>
      </w:pPr>
      <w:bookmarkStart w:id="345" w:name="_Toc460321734"/>
      <w:r>
        <w:t xml:space="preserve">Lentelė </w:t>
      </w:r>
      <w:r>
        <w:fldChar w:fldCharType="begin"/>
      </w:r>
      <w:r>
        <w:instrText xml:space="preserve"> SEQ Lentelė \* ARABIC </w:instrText>
      </w:r>
      <w:r>
        <w:fldChar w:fldCharType="separate"/>
      </w:r>
      <w:r w:rsidR="00AA3082">
        <w:rPr>
          <w:noProof/>
        </w:rPr>
        <w:t>153</w:t>
      </w:r>
      <w:r>
        <w:fldChar w:fldCharType="end"/>
      </w:r>
      <w:r>
        <w:t xml:space="preserve">. </w:t>
      </w:r>
      <w:r w:rsidRPr="00151543">
        <w:rPr>
          <w:rFonts w:eastAsiaTheme="minorHAnsi" w:cstheme="minorBidi"/>
          <w:szCs w:val="20"/>
          <w:lang w:val="lt-LT"/>
        </w:rPr>
        <w:t>Fondo veiklos 1 alternatyvos privalumų ir trūkumų palygimas</w:t>
      </w:r>
      <w:bookmarkEnd w:id="345"/>
    </w:p>
    <w:tbl>
      <w:tblPr>
        <w:tblStyle w:val="Spalvotassraas2parykinimas"/>
        <w:tblW w:w="5000" w:type="pct"/>
        <w:tblLook w:val="04A0" w:firstRow="1" w:lastRow="0" w:firstColumn="1" w:lastColumn="0" w:noHBand="0" w:noVBand="1"/>
      </w:tblPr>
      <w:tblGrid>
        <w:gridCol w:w="4621"/>
        <w:gridCol w:w="4622"/>
      </w:tblGrid>
      <w:tr w:rsidR="00151543" w:rsidRPr="00E649A6" w14:paraId="6978302C" w14:textId="77777777" w:rsidTr="00A84F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BF78E06" w14:textId="77777777" w:rsidR="00151543" w:rsidRPr="00AC3318" w:rsidRDefault="00151543" w:rsidP="00A84FBE">
            <w:pPr>
              <w:pStyle w:val="prastasis1"/>
              <w:jc w:val="center"/>
              <w:rPr>
                <w:rFonts w:ascii="Georgia" w:hAnsi="Georgia"/>
                <w:b w:val="0"/>
                <w:bCs w:val="0"/>
                <w:color w:val="auto"/>
                <w:sz w:val="20"/>
                <w:szCs w:val="20"/>
              </w:rPr>
            </w:pPr>
            <w:r w:rsidRPr="00AC3318">
              <w:rPr>
                <w:rFonts w:ascii="Georgia" w:hAnsi="Georgia"/>
                <w:sz w:val="20"/>
                <w:szCs w:val="20"/>
              </w:rPr>
              <w:t>Privalumai</w:t>
            </w:r>
          </w:p>
        </w:tc>
        <w:tc>
          <w:tcPr>
            <w:tcW w:w="2500" w:type="pct"/>
          </w:tcPr>
          <w:p w14:paraId="4310757E" w14:textId="77777777" w:rsidR="00151543" w:rsidRPr="00AC3318" w:rsidRDefault="00151543" w:rsidP="00A84FBE">
            <w:pPr>
              <w:pStyle w:val="prastasis1"/>
              <w:jc w:val="center"/>
              <w:cnfStyle w:val="100000000000" w:firstRow="1" w:lastRow="0" w:firstColumn="0" w:lastColumn="0" w:oddVBand="0" w:evenVBand="0" w:oddHBand="0" w:evenHBand="0" w:firstRowFirstColumn="0" w:firstRowLastColumn="0" w:lastRowFirstColumn="0" w:lastRowLastColumn="0"/>
              <w:rPr>
                <w:rFonts w:ascii="Georgia" w:hAnsi="Georgia"/>
                <w:b w:val="0"/>
                <w:bCs w:val="0"/>
                <w:color w:val="auto"/>
                <w:sz w:val="20"/>
                <w:szCs w:val="20"/>
              </w:rPr>
            </w:pPr>
            <w:r w:rsidRPr="00AC3318">
              <w:rPr>
                <w:rFonts w:ascii="Georgia" w:hAnsi="Georgia"/>
                <w:sz w:val="20"/>
                <w:szCs w:val="20"/>
              </w:rPr>
              <w:t>Trūkumai</w:t>
            </w:r>
          </w:p>
        </w:tc>
      </w:tr>
      <w:tr w:rsidR="00151543" w:rsidRPr="00E649A6" w14:paraId="02CC1103" w14:textId="77777777" w:rsidTr="00A84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2DCFA2D" w14:textId="77777777" w:rsidR="00151543" w:rsidRPr="00332C26" w:rsidRDefault="00151543" w:rsidP="00851285">
            <w:pPr>
              <w:pStyle w:val="prastasis1"/>
              <w:jc w:val="both"/>
              <w:rPr>
                <w:rFonts w:ascii="Georgia" w:hAnsi="Georgia"/>
                <w:b w:val="0"/>
                <w:bCs w:val="0"/>
                <w:color w:val="auto"/>
                <w:sz w:val="20"/>
                <w:szCs w:val="20"/>
              </w:rPr>
            </w:pPr>
            <w:r w:rsidRPr="00332C26">
              <w:rPr>
                <w:rFonts w:ascii="Georgia" w:hAnsi="Georgia"/>
                <w:b w:val="0"/>
                <w:sz w:val="20"/>
                <w:szCs w:val="20"/>
              </w:rPr>
              <w:t>1. Aiški ir įprasta fondo veiklos struktūra (t.y. fondo valdymas ir jo santykiai su finansiniais tarpininkais).</w:t>
            </w:r>
          </w:p>
        </w:tc>
        <w:tc>
          <w:tcPr>
            <w:tcW w:w="2500" w:type="pct"/>
          </w:tcPr>
          <w:p w14:paraId="3276634B" w14:textId="77777777" w:rsidR="00151543" w:rsidRPr="00AC3318" w:rsidRDefault="00151543" w:rsidP="00151543">
            <w:pPr>
              <w:pStyle w:val="prastasis1"/>
              <w:jc w:val="both"/>
              <w:cnfStyle w:val="000000100000" w:firstRow="0" w:lastRow="0" w:firstColumn="0" w:lastColumn="0" w:oddVBand="0" w:evenVBand="0" w:oddHBand="1" w:evenHBand="0" w:firstRowFirstColumn="0" w:firstRowLastColumn="0" w:lastRowFirstColumn="0" w:lastRowLastColumn="0"/>
              <w:rPr>
                <w:rFonts w:ascii="Georgia" w:hAnsi="Georgia"/>
                <w:color w:val="auto"/>
                <w:sz w:val="20"/>
                <w:szCs w:val="20"/>
              </w:rPr>
            </w:pPr>
            <w:r w:rsidRPr="00AC3318">
              <w:rPr>
                <w:rFonts w:ascii="Georgia" w:hAnsi="Georgia"/>
                <w:sz w:val="20"/>
                <w:szCs w:val="20"/>
              </w:rPr>
              <w:t>1. Fondas yra įsteigtas kaip sąskaitų rinkinys, todėl neturi juridinio asmens statuso ir turi tik labai ribotas galimybes pritraukti papildomas lėšas.</w:t>
            </w:r>
          </w:p>
        </w:tc>
      </w:tr>
      <w:tr w:rsidR="00151543" w:rsidRPr="00E649A6" w14:paraId="73ED00F0" w14:textId="77777777" w:rsidTr="00A84FBE">
        <w:tc>
          <w:tcPr>
            <w:cnfStyle w:val="001000000000" w:firstRow="0" w:lastRow="0" w:firstColumn="1" w:lastColumn="0" w:oddVBand="0" w:evenVBand="0" w:oddHBand="0" w:evenHBand="0" w:firstRowFirstColumn="0" w:firstRowLastColumn="0" w:lastRowFirstColumn="0" w:lastRowLastColumn="0"/>
            <w:tcW w:w="2500" w:type="pct"/>
          </w:tcPr>
          <w:p w14:paraId="69B54E9E" w14:textId="77777777" w:rsidR="00151543" w:rsidRPr="00332C26" w:rsidRDefault="00151543" w:rsidP="00151543">
            <w:pPr>
              <w:pStyle w:val="prastasis1"/>
              <w:jc w:val="both"/>
              <w:rPr>
                <w:rFonts w:ascii="Georgia" w:hAnsi="Georgia"/>
                <w:b w:val="0"/>
                <w:bCs w:val="0"/>
                <w:color w:val="auto"/>
                <w:sz w:val="20"/>
                <w:szCs w:val="20"/>
              </w:rPr>
            </w:pPr>
            <w:r w:rsidRPr="00332C26">
              <w:rPr>
                <w:rFonts w:ascii="Georgia" w:hAnsi="Georgia"/>
                <w:b w:val="0"/>
                <w:sz w:val="20"/>
                <w:szCs w:val="20"/>
              </w:rPr>
              <w:t>2. Pradėtiems projektams sudaromos teisinės prielaidos juos finansuoti 2014 – 2020 m. programavimo periodo lėšomis.</w:t>
            </w:r>
          </w:p>
        </w:tc>
        <w:tc>
          <w:tcPr>
            <w:tcW w:w="2500" w:type="pct"/>
          </w:tcPr>
          <w:p w14:paraId="6B95FBE2" w14:textId="77777777" w:rsidR="00151543" w:rsidRPr="00AC3318" w:rsidRDefault="00151543" w:rsidP="00151543">
            <w:pPr>
              <w:pStyle w:val="prastasis1"/>
              <w:jc w:val="both"/>
              <w:cnfStyle w:val="000000000000" w:firstRow="0" w:lastRow="0" w:firstColumn="0" w:lastColumn="0" w:oddVBand="0" w:evenVBand="0" w:oddHBand="0" w:evenHBand="0" w:firstRowFirstColumn="0" w:firstRowLastColumn="0" w:lastRowFirstColumn="0" w:lastRowLastColumn="0"/>
              <w:rPr>
                <w:rFonts w:ascii="Georgia" w:hAnsi="Georgia"/>
                <w:color w:val="auto"/>
                <w:sz w:val="20"/>
                <w:szCs w:val="20"/>
              </w:rPr>
            </w:pPr>
            <w:r w:rsidRPr="00AC3318">
              <w:rPr>
                <w:rFonts w:ascii="Georgia" w:hAnsi="Georgia"/>
                <w:sz w:val="20"/>
                <w:szCs w:val="20"/>
              </w:rPr>
              <w:t>2. Neužtikrina deramo finansinio sverto efekto.</w:t>
            </w:r>
          </w:p>
        </w:tc>
      </w:tr>
      <w:tr w:rsidR="00151543" w:rsidRPr="00E649A6" w14:paraId="27DD7052" w14:textId="77777777" w:rsidTr="00A84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649F07F" w14:textId="77777777" w:rsidR="00151543" w:rsidRPr="00332C26" w:rsidRDefault="00151543" w:rsidP="00151543">
            <w:pPr>
              <w:pStyle w:val="prastasis1"/>
              <w:jc w:val="both"/>
              <w:rPr>
                <w:rFonts w:ascii="Georgia" w:hAnsi="Georgia"/>
                <w:b w:val="0"/>
                <w:bCs w:val="0"/>
                <w:color w:val="auto"/>
                <w:sz w:val="20"/>
                <w:szCs w:val="20"/>
              </w:rPr>
            </w:pPr>
            <w:r w:rsidRPr="00332C26">
              <w:rPr>
                <w:rFonts w:ascii="Georgia" w:hAnsi="Georgia"/>
                <w:b w:val="0"/>
                <w:sz w:val="20"/>
                <w:szCs w:val="20"/>
              </w:rPr>
              <w:t>3. Pakankamai trumpas įgyvendinimo laikas</w:t>
            </w:r>
          </w:p>
        </w:tc>
        <w:tc>
          <w:tcPr>
            <w:tcW w:w="2500" w:type="pct"/>
          </w:tcPr>
          <w:p w14:paraId="3D9C14F9" w14:textId="77777777" w:rsidR="00151543" w:rsidRPr="00AC3318" w:rsidRDefault="00151543" w:rsidP="00151543">
            <w:pPr>
              <w:pStyle w:val="prastasis1"/>
              <w:jc w:val="both"/>
              <w:cnfStyle w:val="000000100000" w:firstRow="0" w:lastRow="0" w:firstColumn="0" w:lastColumn="0" w:oddVBand="0" w:evenVBand="0" w:oddHBand="1" w:evenHBand="0" w:firstRowFirstColumn="0" w:firstRowLastColumn="0" w:lastRowFirstColumn="0" w:lastRowLastColumn="0"/>
              <w:rPr>
                <w:rFonts w:ascii="Georgia" w:hAnsi="Georgia"/>
                <w:color w:val="auto"/>
                <w:sz w:val="20"/>
                <w:szCs w:val="20"/>
              </w:rPr>
            </w:pPr>
            <w:r w:rsidRPr="00AC3318">
              <w:rPr>
                <w:rFonts w:ascii="Georgia" w:hAnsi="Georgia"/>
                <w:sz w:val="20"/>
                <w:szCs w:val="20"/>
              </w:rPr>
              <w:t xml:space="preserve">3. Reikia pakeisti sutartis su fondo valdytoju ir finansiniais tarpininkais, kad jos atitiktų 2014 – 2020 m. programavimo periodo reikalavimus, o tai gali užtrukti </w:t>
            </w:r>
            <w:r>
              <w:rPr>
                <w:rFonts w:ascii="Georgia" w:hAnsi="Georgia"/>
                <w:sz w:val="20"/>
                <w:szCs w:val="20"/>
              </w:rPr>
              <w:t xml:space="preserve">iki </w:t>
            </w:r>
            <w:r w:rsidRPr="00AC3318">
              <w:rPr>
                <w:rFonts w:ascii="Georgia" w:hAnsi="Georgia"/>
                <w:sz w:val="20"/>
                <w:szCs w:val="20"/>
              </w:rPr>
              <w:t>6 mėnesi</w:t>
            </w:r>
            <w:r>
              <w:rPr>
                <w:rFonts w:ascii="Georgia" w:hAnsi="Georgia"/>
                <w:sz w:val="20"/>
                <w:szCs w:val="20"/>
              </w:rPr>
              <w:t>ų</w:t>
            </w:r>
            <w:r w:rsidR="00851285">
              <w:rPr>
                <w:rFonts w:ascii="Georgia" w:hAnsi="Georgia"/>
                <w:sz w:val="20"/>
                <w:szCs w:val="20"/>
              </w:rPr>
              <w:t xml:space="preserve"> ir dar ilgiau</w:t>
            </w:r>
            <w:r w:rsidRPr="00AC3318">
              <w:rPr>
                <w:rFonts w:ascii="Georgia" w:hAnsi="Georgia"/>
                <w:sz w:val="20"/>
                <w:szCs w:val="20"/>
              </w:rPr>
              <w:t>.</w:t>
            </w:r>
          </w:p>
        </w:tc>
      </w:tr>
    </w:tbl>
    <w:p w14:paraId="752AC7C9" w14:textId="77777777" w:rsidR="00151543" w:rsidRPr="00AC3318" w:rsidRDefault="00151543" w:rsidP="00151543">
      <w:pPr>
        <w:pStyle w:val="prastasis1"/>
        <w:spacing w:line="276" w:lineRule="auto"/>
        <w:jc w:val="both"/>
        <w:rPr>
          <w:rFonts w:ascii="Georgia" w:hAnsi="Georgia"/>
          <w:sz w:val="20"/>
          <w:szCs w:val="20"/>
        </w:rPr>
      </w:pPr>
    </w:p>
    <w:p w14:paraId="053F6D99" w14:textId="77777777" w:rsidR="00151543" w:rsidRPr="00AA32EA" w:rsidRDefault="00151543" w:rsidP="00C03122">
      <w:pPr>
        <w:pStyle w:val="Antrat2"/>
        <w:numPr>
          <w:ilvl w:val="3"/>
          <w:numId w:val="36"/>
        </w:numPr>
        <w:spacing w:after="240"/>
        <w:rPr>
          <w:lang w:val="lt-LT"/>
        </w:rPr>
      </w:pPr>
      <w:bookmarkStart w:id="346" w:name="_Toc398567607"/>
      <w:bookmarkStart w:id="347" w:name="_Toc417378438"/>
      <w:r>
        <w:rPr>
          <w:lang w:val="lt-LT"/>
        </w:rPr>
        <w:t>J</w:t>
      </w:r>
      <w:r w:rsidRPr="00AA32EA">
        <w:rPr>
          <w:lang w:val="lt-LT"/>
        </w:rPr>
        <w:t>uridin</w:t>
      </w:r>
      <w:r>
        <w:rPr>
          <w:lang w:val="lt-LT"/>
        </w:rPr>
        <w:t>io asmens</w:t>
      </w:r>
      <w:r w:rsidRPr="00AA32EA">
        <w:rPr>
          <w:lang w:val="lt-LT"/>
        </w:rPr>
        <w:t xml:space="preserve"> statusą turinčio fondo steigimas</w:t>
      </w:r>
      <w:bookmarkEnd w:id="346"/>
      <w:bookmarkEnd w:id="347"/>
    </w:p>
    <w:p w14:paraId="6D5C388F" w14:textId="77777777" w:rsidR="00151543" w:rsidRPr="00AC3318" w:rsidRDefault="00151543" w:rsidP="00151543">
      <w:pPr>
        <w:pStyle w:val="prastasis1"/>
        <w:spacing w:line="276" w:lineRule="auto"/>
        <w:jc w:val="both"/>
        <w:rPr>
          <w:rFonts w:ascii="Georgia" w:hAnsi="Georgia"/>
          <w:sz w:val="20"/>
          <w:szCs w:val="20"/>
        </w:rPr>
      </w:pPr>
      <w:r w:rsidRPr="00AC3318">
        <w:rPr>
          <w:rFonts w:ascii="Georgia" w:hAnsi="Georgia"/>
          <w:sz w:val="20"/>
          <w:szCs w:val="20"/>
        </w:rPr>
        <w:t>Atsižvelgiant į pirmoje alternatyvoje nurodytus 2007-2013 m. periodu įsteigto JESSICA</w:t>
      </w:r>
      <w:r w:rsidR="00851285">
        <w:rPr>
          <w:rFonts w:ascii="Georgia" w:hAnsi="Georgia"/>
          <w:sz w:val="20"/>
          <w:szCs w:val="20"/>
        </w:rPr>
        <w:t xml:space="preserve"> KF</w:t>
      </w:r>
      <w:r w:rsidRPr="00AC3318">
        <w:rPr>
          <w:rFonts w:ascii="Georgia" w:hAnsi="Georgia"/>
          <w:sz w:val="20"/>
          <w:szCs w:val="20"/>
        </w:rPr>
        <w:t xml:space="preserve"> trūkumus, alternatyvus fondo modelis apimtų naujo juridin</w:t>
      </w:r>
      <w:r>
        <w:rPr>
          <w:rFonts w:ascii="Georgia" w:hAnsi="Georgia"/>
          <w:sz w:val="20"/>
          <w:szCs w:val="20"/>
        </w:rPr>
        <w:t xml:space="preserve">io asmens </w:t>
      </w:r>
      <w:r w:rsidRPr="00AC3318">
        <w:rPr>
          <w:rFonts w:ascii="Georgia" w:hAnsi="Georgia"/>
          <w:sz w:val="20"/>
          <w:szCs w:val="20"/>
        </w:rPr>
        <w:t xml:space="preserve"> statusą turinčio fondo steigimą. Šios alternatyvos įgyvendinimo atveju Finansų ministerija kaip vadovaujančioji institucija kartu su Aplinkos minist</w:t>
      </w:r>
      <w:r w:rsidR="00851285">
        <w:rPr>
          <w:rFonts w:ascii="Georgia" w:hAnsi="Georgia"/>
          <w:sz w:val="20"/>
          <w:szCs w:val="20"/>
        </w:rPr>
        <w:t>erija priima sprendimą steigti</w:t>
      </w:r>
      <w:r w:rsidRPr="00AC3318">
        <w:rPr>
          <w:rFonts w:ascii="Georgia" w:hAnsi="Georgia"/>
          <w:sz w:val="20"/>
          <w:szCs w:val="20"/>
        </w:rPr>
        <w:t xml:space="preserve"> </w:t>
      </w:r>
      <w:r>
        <w:rPr>
          <w:rFonts w:ascii="Georgia" w:hAnsi="Georgia"/>
          <w:sz w:val="20"/>
          <w:szCs w:val="20"/>
        </w:rPr>
        <w:t xml:space="preserve">fondų </w:t>
      </w:r>
      <w:r w:rsidRPr="00AC3318">
        <w:rPr>
          <w:rFonts w:ascii="Georgia" w:hAnsi="Georgia"/>
          <w:sz w:val="20"/>
          <w:szCs w:val="20"/>
        </w:rPr>
        <w:t xml:space="preserve">fondą, kuris yra skirtas 2014 – 2020 m. </w:t>
      </w:r>
      <w:r w:rsidR="00851285">
        <w:rPr>
          <w:rFonts w:ascii="Georgia" w:hAnsi="Georgia"/>
          <w:sz w:val="20"/>
          <w:szCs w:val="20"/>
        </w:rPr>
        <w:t>periodu</w:t>
      </w:r>
      <w:r w:rsidRPr="00AC3318">
        <w:rPr>
          <w:rFonts w:ascii="Georgia" w:hAnsi="Georgia"/>
          <w:sz w:val="20"/>
          <w:szCs w:val="20"/>
        </w:rPr>
        <w:t xml:space="preserve"> teikti paskolas daugiabučių namų moderniza</w:t>
      </w:r>
      <w:r w:rsidR="00851285">
        <w:rPr>
          <w:rFonts w:ascii="Georgia" w:hAnsi="Georgia"/>
          <w:sz w:val="20"/>
          <w:szCs w:val="20"/>
        </w:rPr>
        <w:t>vimui</w:t>
      </w:r>
      <w:r w:rsidRPr="00AC3318">
        <w:rPr>
          <w:rFonts w:ascii="Georgia" w:hAnsi="Georgia"/>
          <w:sz w:val="20"/>
          <w:szCs w:val="20"/>
        </w:rPr>
        <w:t>. Fondų fondas įsteigiamas kaip juridin</w:t>
      </w:r>
      <w:r>
        <w:rPr>
          <w:rFonts w:ascii="Georgia" w:hAnsi="Georgia"/>
          <w:sz w:val="20"/>
          <w:szCs w:val="20"/>
        </w:rPr>
        <w:t>is</w:t>
      </w:r>
      <w:r w:rsidRPr="00AC3318">
        <w:rPr>
          <w:rFonts w:ascii="Georgia" w:hAnsi="Georgia"/>
          <w:sz w:val="20"/>
          <w:szCs w:val="20"/>
        </w:rPr>
        <w:t xml:space="preserve"> </w:t>
      </w:r>
      <w:r>
        <w:rPr>
          <w:rFonts w:ascii="Georgia" w:hAnsi="Georgia"/>
          <w:sz w:val="20"/>
          <w:szCs w:val="20"/>
        </w:rPr>
        <w:t>asmuo</w:t>
      </w:r>
      <w:r w:rsidRPr="00AC3318">
        <w:rPr>
          <w:rFonts w:ascii="Georgia" w:hAnsi="Georgia"/>
          <w:sz w:val="20"/>
          <w:szCs w:val="20"/>
        </w:rPr>
        <w:t xml:space="preserve">. </w:t>
      </w:r>
      <w:r>
        <w:rPr>
          <w:rFonts w:ascii="Georgia" w:hAnsi="Georgia"/>
          <w:sz w:val="20"/>
          <w:szCs w:val="20"/>
        </w:rPr>
        <w:t>F</w:t>
      </w:r>
      <w:r w:rsidRPr="00AC3318">
        <w:rPr>
          <w:rFonts w:ascii="Georgia" w:hAnsi="Georgia"/>
          <w:sz w:val="20"/>
          <w:szCs w:val="20"/>
        </w:rPr>
        <w:t xml:space="preserve">inansinę priemonę jis gali įgyvendinti tiesiogiai arba per finansinius tarpininkus. </w:t>
      </w:r>
    </w:p>
    <w:p w14:paraId="05F2A5B6" w14:textId="77777777" w:rsidR="009F55BB" w:rsidRDefault="00151543" w:rsidP="00A84FBE">
      <w:pPr>
        <w:pStyle w:val="Antrat"/>
        <w:jc w:val="center"/>
        <w:rPr>
          <w:szCs w:val="20"/>
        </w:rPr>
      </w:pPr>
      <w:r w:rsidRPr="00AC3318">
        <w:rPr>
          <w:szCs w:val="20"/>
        </w:rPr>
        <w:object w:dxaOrig="9615" w:dyaOrig="3675" w14:anchorId="0E66BF88">
          <v:shape id="_x0000_i1029" type="#_x0000_t75" style="width:456.25pt;height:174.55pt" o:ole="">
            <v:imagedata r:id="rId107" o:title=""/>
          </v:shape>
          <o:OLEObject Type="Embed" ProgID="Visio.Drawing.15" ShapeID="_x0000_i1029" DrawAspect="Content" ObjectID="_1572853843" r:id="rId108"/>
        </w:object>
      </w:r>
    </w:p>
    <w:p w14:paraId="48CBEFFD" w14:textId="1F126B25" w:rsidR="00151543" w:rsidRPr="00A84FBE" w:rsidRDefault="00151543" w:rsidP="00151543">
      <w:pPr>
        <w:pStyle w:val="Antrat"/>
        <w:rPr>
          <w:szCs w:val="20"/>
          <w:lang w:val="lt-LT"/>
        </w:rPr>
      </w:pPr>
      <w:bookmarkStart w:id="348" w:name="_Toc417378328"/>
      <w:r w:rsidRPr="00A84FBE">
        <w:rPr>
          <w:lang w:val="lt-LT"/>
        </w:rPr>
        <w:t xml:space="preserve">Paveikslas </w:t>
      </w:r>
      <w:r w:rsidRPr="00A84FBE">
        <w:rPr>
          <w:lang w:val="lt-LT"/>
        </w:rPr>
        <w:fldChar w:fldCharType="begin"/>
      </w:r>
      <w:r w:rsidRPr="00A84FBE">
        <w:rPr>
          <w:lang w:val="lt-LT"/>
        </w:rPr>
        <w:instrText xml:space="preserve"> SEQ Paveikslas \* ARABIC </w:instrText>
      </w:r>
      <w:r w:rsidRPr="00A84FBE">
        <w:rPr>
          <w:lang w:val="lt-LT"/>
        </w:rPr>
        <w:fldChar w:fldCharType="separate"/>
      </w:r>
      <w:r w:rsidR="00AA3082">
        <w:rPr>
          <w:noProof/>
          <w:lang w:val="lt-LT"/>
        </w:rPr>
        <w:t>51</w:t>
      </w:r>
      <w:r w:rsidRPr="00A84FBE">
        <w:rPr>
          <w:lang w:val="lt-LT"/>
        </w:rPr>
        <w:fldChar w:fldCharType="end"/>
      </w:r>
      <w:r w:rsidRPr="00A84FBE">
        <w:rPr>
          <w:lang w:val="lt-LT"/>
        </w:rPr>
        <w:t xml:space="preserve">. </w:t>
      </w:r>
      <w:r w:rsidR="00E046A9" w:rsidRPr="00A84FBE">
        <w:rPr>
          <w:rFonts w:eastAsiaTheme="minorHAnsi" w:cstheme="minorBidi"/>
          <w:szCs w:val="20"/>
          <w:lang w:val="lt-LT"/>
        </w:rPr>
        <w:t>J</w:t>
      </w:r>
      <w:r w:rsidRPr="00A84FBE">
        <w:rPr>
          <w:rFonts w:eastAsiaTheme="minorHAnsi" w:cstheme="minorBidi"/>
          <w:szCs w:val="20"/>
          <w:lang w:val="lt-LT"/>
        </w:rPr>
        <w:t>uridinio asmens statusą turinčio fondo steigimas Lietuvoje.</w:t>
      </w:r>
      <w:bookmarkEnd w:id="348"/>
    </w:p>
    <w:p w14:paraId="52C29194" w14:textId="77777777" w:rsidR="00151543" w:rsidRPr="00AC3318" w:rsidRDefault="00105B94" w:rsidP="00151543">
      <w:pPr>
        <w:pStyle w:val="prastasis1"/>
        <w:spacing w:line="276" w:lineRule="auto"/>
        <w:jc w:val="both"/>
        <w:rPr>
          <w:rFonts w:ascii="Georgia" w:hAnsi="Georgia"/>
          <w:sz w:val="20"/>
          <w:szCs w:val="20"/>
        </w:rPr>
      </w:pPr>
      <w:r>
        <w:rPr>
          <w:rFonts w:ascii="Georgia" w:hAnsi="Georgia"/>
          <w:sz w:val="20"/>
          <w:szCs w:val="20"/>
        </w:rPr>
        <w:t xml:space="preserve">Šios alternatyvos atveju įkurtas fondas, įgyvendinant 4 skyriuje pasirinktą 5 alternatyvą - </w:t>
      </w:r>
      <w:r>
        <w:rPr>
          <w:rFonts w:ascii="Georgia" w:hAnsi="Georgia"/>
          <w:i/>
          <w:iCs/>
          <w:sz w:val="20"/>
          <w:szCs w:val="20"/>
        </w:rPr>
        <w:t>ESI fondų lėšos nukreipiamos fondo pirmojo praradimo kapitalui suformuoti</w:t>
      </w:r>
      <w:r>
        <w:rPr>
          <w:rFonts w:ascii="Georgia" w:hAnsi="Georgia"/>
          <w:sz w:val="20"/>
          <w:szCs w:val="20"/>
        </w:rPr>
        <w:t xml:space="preserve"> savo veiklos metu galėtų pasiekti finansinio sverto rodiklio santykį 70/30. Vadovaujančiajai institucijai fondui skyrus 280,9 mln. eurų sumą iš ESI fondų ir nacionalinių lėšų, ir 67,2 mln. eurų sumą iš grįžtančių lėšų į JESSICA KF, planuojama, kad papildomai iš investuojančių finansinių institucijų galima būtų pritraukti iki 700 mln. eurų</w:t>
      </w:r>
      <w:r w:rsidR="00151543" w:rsidRPr="00AC3318">
        <w:rPr>
          <w:rFonts w:ascii="Georgia" w:hAnsi="Georgia"/>
          <w:sz w:val="20"/>
          <w:szCs w:val="20"/>
        </w:rPr>
        <w:t>. Tokį finansinio sverto efektą galima būtų pasiekti jeigu  vadovaujančio</w:t>
      </w:r>
      <w:r w:rsidR="00151543">
        <w:rPr>
          <w:rFonts w:ascii="Georgia" w:hAnsi="Georgia"/>
          <w:sz w:val="20"/>
          <w:szCs w:val="20"/>
        </w:rPr>
        <w:t>s</w:t>
      </w:r>
      <w:r w:rsidR="00151543" w:rsidRPr="00AC3318">
        <w:rPr>
          <w:rFonts w:ascii="Georgia" w:hAnsi="Georgia"/>
          <w:sz w:val="20"/>
          <w:szCs w:val="20"/>
        </w:rPr>
        <w:t xml:space="preserve"> institucij</w:t>
      </w:r>
      <w:r w:rsidR="00151543">
        <w:rPr>
          <w:rFonts w:ascii="Georgia" w:hAnsi="Georgia"/>
          <w:sz w:val="20"/>
          <w:szCs w:val="20"/>
        </w:rPr>
        <w:t>os įnašas</w:t>
      </w:r>
      <w:r w:rsidR="00151543" w:rsidRPr="00AC3318">
        <w:rPr>
          <w:rFonts w:ascii="Georgia" w:hAnsi="Georgia"/>
          <w:sz w:val="20"/>
          <w:szCs w:val="20"/>
        </w:rPr>
        <w:t xml:space="preserve"> į </w:t>
      </w:r>
      <w:r w:rsidR="00151543" w:rsidRPr="00AC3318">
        <w:rPr>
          <w:rFonts w:ascii="Georgia" w:hAnsi="Georgia"/>
          <w:sz w:val="20"/>
          <w:szCs w:val="20"/>
        </w:rPr>
        <w:lastRenderedPageBreak/>
        <w:t xml:space="preserve">fondą bus traktuojamas kaip pirmojo </w:t>
      </w:r>
      <w:r w:rsidR="00DA6BF7">
        <w:rPr>
          <w:rFonts w:ascii="Georgia" w:hAnsi="Georgia"/>
          <w:sz w:val="20"/>
          <w:szCs w:val="20"/>
        </w:rPr>
        <w:t>nuostolio padengimo lėšos</w:t>
      </w:r>
      <w:r w:rsidR="00151543" w:rsidRPr="00AC3318">
        <w:rPr>
          <w:rFonts w:ascii="Georgia" w:hAnsi="Georgia"/>
          <w:sz w:val="20"/>
          <w:szCs w:val="20"/>
        </w:rPr>
        <w:t>.</w:t>
      </w:r>
      <w:r w:rsidR="00DA6BF7">
        <w:rPr>
          <w:rFonts w:ascii="Georgia" w:hAnsi="Georgia"/>
          <w:sz w:val="20"/>
          <w:szCs w:val="20"/>
        </w:rPr>
        <w:t xml:space="preserve"> </w:t>
      </w:r>
      <w:r w:rsidR="00151543">
        <w:rPr>
          <w:rFonts w:ascii="Georgia" w:hAnsi="Georgia"/>
          <w:sz w:val="20"/>
          <w:szCs w:val="20"/>
        </w:rPr>
        <w:t xml:space="preserve">Pagrindinis šio modelio privalumas - </w:t>
      </w:r>
      <w:r w:rsidR="00151543" w:rsidRPr="00AC3318">
        <w:rPr>
          <w:rFonts w:ascii="Georgia" w:hAnsi="Georgia"/>
          <w:sz w:val="20"/>
          <w:szCs w:val="20"/>
        </w:rPr>
        <w:t xml:space="preserve"> </w:t>
      </w:r>
      <w:r w:rsidR="00151543">
        <w:rPr>
          <w:rFonts w:ascii="Georgia" w:hAnsi="Georgia"/>
          <w:sz w:val="20"/>
          <w:szCs w:val="20"/>
        </w:rPr>
        <w:t>didelis</w:t>
      </w:r>
      <w:r w:rsidR="00DA6BF7">
        <w:rPr>
          <w:rFonts w:ascii="Georgia" w:hAnsi="Georgia"/>
          <w:sz w:val="20"/>
          <w:szCs w:val="20"/>
        </w:rPr>
        <w:t xml:space="preserve"> </w:t>
      </w:r>
      <w:r w:rsidR="00151543" w:rsidRPr="00AC3318">
        <w:rPr>
          <w:rFonts w:ascii="Georgia" w:hAnsi="Georgia"/>
          <w:sz w:val="20"/>
          <w:szCs w:val="20"/>
        </w:rPr>
        <w:t>finansinio sverto efekt</w:t>
      </w:r>
      <w:r w:rsidR="00151543">
        <w:rPr>
          <w:rFonts w:ascii="Georgia" w:hAnsi="Georgia"/>
          <w:sz w:val="20"/>
          <w:szCs w:val="20"/>
        </w:rPr>
        <w:t>as</w:t>
      </w:r>
      <w:r w:rsidR="00151543" w:rsidRPr="00AC3318">
        <w:rPr>
          <w:rFonts w:ascii="Georgia" w:hAnsi="Georgia"/>
          <w:sz w:val="20"/>
          <w:szCs w:val="20"/>
        </w:rPr>
        <w:t>.</w:t>
      </w:r>
      <w:r w:rsidR="00151543">
        <w:rPr>
          <w:rFonts w:ascii="Georgia" w:hAnsi="Georgia"/>
          <w:sz w:val="20"/>
          <w:szCs w:val="20"/>
        </w:rPr>
        <w:t xml:space="preserve"> </w:t>
      </w:r>
    </w:p>
    <w:p w14:paraId="0D57BE59" w14:textId="77777777" w:rsidR="00151543" w:rsidRDefault="00151543" w:rsidP="00151543">
      <w:pPr>
        <w:pStyle w:val="prastasis1"/>
        <w:spacing w:line="276" w:lineRule="auto"/>
        <w:jc w:val="both"/>
        <w:rPr>
          <w:rFonts w:ascii="Georgia" w:hAnsi="Georgia"/>
          <w:sz w:val="20"/>
          <w:szCs w:val="20"/>
        </w:rPr>
      </w:pPr>
      <w:r>
        <w:rPr>
          <w:rFonts w:ascii="Georgia" w:hAnsi="Georgia"/>
          <w:sz w:val="20"/>
          <w:szCs w:val="20"/>
        </w:rPr>
        <w:t>Lietuvoje steigiant fon</w:t>
      </w:r>
      <w:r w:rsidR="00DA6BF7">
        <w:rPr>
          <w:rFonts w:ascii="Georgia" w:hAnsi="Georgia"/>
          <w:sz w:val="20"/>
          <w:szCs w:val="20"/>
        </w:rPr>
        <w:t>dą kaip atskirą juridinį asmenį</w:t>
      </w:r>
      <w:r>
        <w:rPr>
          <w:rFonts w:ascii="Georgia" w:hAnsi="Georgia"/>
          <w:sz w:val="20"/>
          <w:szCs w:val="20"/>
        </w:rPr>
        <w:t xml:space="preserve"> </w:t>
      </w:r>
      <w:r w:rsidR="00DA6BF7">
        <w:rPr>
          <w:rFonts w:ascii="Georgia" w:hAnsi="Georgia"/>
          <w:sz w:val="20"/>
          <w:szCs w:val="20"/>
        </w:rPr>
        <w:t>vadovaujantis esama praktika ir patirtimi</w:t>
      </w:r>
      <w:r>
        <w:rPr>
          <w:rFonts w:ascii="Georgia" w:hAnsi="Georgia"/>
          <w:sz w:val="20"/>
          <w:szCs w:val="20"/>
        </w:rPr>
        <w:t xml:space="preserve"> turėt</w:t>
      </w:r>
      <w:r w:rsidR="00DA6BF7">
        <w:rPr>
          <w:rFonts w:ascii="Georgia" w:hAnsi="Georgia"/>
          <w:sz w:val="20"/>
          <w:szCs w:val="20"/>
        </w:rPr>
        <w:t>ų būti steigiama</w:t>
      </w:r>
      <w:r w:rsidRPr="00AC3318">
        <w:rPr>
          <w:rFonts w:ascii="Georgia" w:hAnsi="Georgia"/>
          <w:sz w:val="20"/>
          <w:szCs w:val="20"/>
        </w:rPr>
        <w:t xml:space="preserve"> komanditinė ūkinė bendrovė (toliau – KŪB). </w:t>
      </w:r>
      <w:r>
        <w:rPr>
          <w:rFonts w:ascii="Georgia" w:hAnsi="Georgia"/>
          <w:sz w:val="20"/>
          <w:szCs w:val="20"/>
        </w:rPr>
        <w:t>Steigiant šį fondą b</w:t>
      </w:r>
      <w:r w:rsidRPr="00AC3318">
        <w:rPr>
          <w:rFonts w:ascii="Georgia" w:hAnsi="Georgia"/>
          <w:sz w:val="20"/>
          <w:szCs w:val="20"/>
        </w:rPr>
        <w:t xml:space="preserve">ūtina </w:t>
      </w:r>
      <w:r>
        <w:rPr>
          <w:rFonts w:ascii="Georgia" w:hAnsi="Georgia"/>
          <w:sz w:val="20"/>
          <w:szCs w:val="20"/>
        </w:rPr>
        <w:t>atsižvelgti į susijusius apribojimus. P</w:t>
      </w:r>
      <w:r w:rsidRPr="00AC3318">
        <w:rPr>
          <w:rFonts w:ascii="Georgia" w:hAnsi="Georgia"/>
          <w:sz w:val="20"/>
          <w:szCs w:val="20"/>
        </w:rPr>
        <w:t xml:space="preserve">agal LR Ūkinių bendrijų įstatymo pakeitimo įstatymo Nr. XI-2073 2 str. 5 dalį KŪB yra neribotos civilinės atsakomybės privatusis juridinis asmuo. Atsižvelgiant į tai, kad pagal LR Ūkinių bendrijų įstatymo pakeitimo įstatymo Nr. XI-2073 6 str. 4 ir 5 dalis vadovaujančioji institucija negali būti KŪB nei tikruoju nariu nei komanditoriumi, </w:t>
      </w:r>
      <w:r>
        <w:rPr>
          <w:rFonts w:ascii="Georgia" w:hAnsi="Georgia"/>
          <w:sz w:val="20"/>
          <w:szCs w:val="20"/>
        </w:rPr>
        <w:t>būtent per fondų fondo valdytoją vadovaujančioji institucija</w:t>
      </w:r>
      <w:r w:rsidRPr="00AC3318">
        <w:rPr>
          <w:rFonts w:ascii="Georgia" w:hAnsi="Georgia"/>
          <w:sz w:val="20"/>
          <w:szCs w:val="20"/>
        </w:rPr>
        <w:t xml:space="preserve"> galėtų investuoti į KŪB. Pagal LR Ūkinių bendrijų įstatymo pakeitimo įstatymo Nr. XI-2073 8 str. 1 dalį komanditorius pagal komanditinės ūkinės bendrijos prievoles atsako tik tuo savo turtu, kurį įnešė ir (ar) įsipareigojo įnešti į komanditinę ūkinę bendriją</w:t>
      </w:r>
      <w:r>
        <w:rPr>
          <w:rFonts w:ascii="Georgia" w:hAnsi="Georgia"/>
          <w:sz w:val="20"/>
          <w:szCs w:val="20"/>
        </w:rPr>
        <w:t xml:space="preserve">. </w:t>
      </w:r>
      <w:r w:rsidRPr="00AC3318">
        <w:rPr>
          <w:rFonts w:ascii="Georgia" w:hAnsi="Georgia"/>
          <w:sz w:val="20"/>
          <w:szCs w:val="20"/>
        </w:rPr>
        <w:t xml:space="preserve">Pagal LR Ūkinių bendrijų įstatymo pakeitimo įstatymo Nr. XI-2073 8 str. 1 dalį bendrijos tikrieji nariai pagal bendrijos prievoles atsako solidariai visu savo turtu. </w:t>
      </w:r>
    </w:p>
    <w:p w14:paraId="7A2E1F2A" w14:textId="77777777" w:rsidR="00151543" w:rsidRDefault="00151543" w:rsidP="00151543">
      <w:pPr>
        <w:pStyle w:val="prastasis1"/>
        <w:spacing w:line="276" w:lineRule="auto"/>
        <w:jc w:val="both"/>
        <w:rPr>
          <w:rFonts w:ascii="Georgia" w:hAnsi="Georgia"/>
          <w:sz w:val="20"/>
          <w:szCs w:val="20"/>
        </w:rPr>
      </w:pPr>
      <w:r>
        <w:rPr>
          <w:rFonts w:ascii="Georgia" w:hAnsi="Georgia"/>
          <w:sz w:val="20"/>
          <w:szCs w:val="20"/>
        </w:rPr>
        <w:t xml:space="preserve">Pažymėtina, jog būtina įvertinti riziką, kad pritraukus papildomų lėšų iš privačių investuotojų pastarieji gali siekti dalyvauti fondo valdyme, gebėti priiminėti sprendimus, kam ir kokiomis sąlygomis yra skolinamos jų investuotos lėšos bei kurie finansiniai tarpininkai gali tą daryti. Iškilus tokiems apribojimams ir siekiant suderinti šalių (vadovaujančios institucijos, Aplinkos ministerijos, fondo valdytojo, investuotojų ir finansinių tarpininkų) interesus, fondo veiklos įgyvendinimas gali užsitęsti. </w:t>
      </w:r>
    </w:p>
    <w:p w14:paraId="566E8F5C" w14:textId="57A27CFE" w:rsidR="00151543" w:rsidRPr="00A84FBE" w:rsidRDefault="00151543" w:rsidP="00151543">
      <w:pPr>
        <w:pStyle w:val="Antrat"/>
        <w:rPr>
          <w:szCs w:val="20"/>
          <w:lang w:val="lt-LT"/>
        </w:rPr>
      </w:pPr>
      <w:bookmarkStart w:id="349" w:name="_Toc460321735"/>
      <w:r w:rsidRPr="00A84FBE">
        <w:rPr>
          <w:lang w:val="lt-LT"/>
        </w:rPr>
        <w:t xml:space="preserve">Lentelė </w:t>
      </w:r>
      <w:r w:rsidRPr="00A84FBE">
        <w:rPr>
          <w:lang w:val="lt-LT"/>
        </w:rPr>
        <w:fldChar w:fldCharType="begin"/>
      </w:r>
      <w:r w:rsidRPr="00A84FBE">
        <w:rPr>
          <w:lang w:val="lt-LT"/>
        </w:rPr>
        <w:instrText xml:space="preserve"> SEQ Lentelė \* ARABIC </w:instrText>
      </w:r>
      <w:r w:rsidRPr="00A84FBE">
        <w:rPr>
          <w:lang w:val="lt-LT"/>
        </w:rPr>
        <w:fldChar w:fldCharType="separate"/>
      </w:r>
      <w:r w:rsidR="00AA3082">
        <w:rPr>
          <w:noProof/>
          <w:lang w:val="lt-LT"/>
        </w:rPr>
        <w:t>154</w:t>
      </w:r>
      <w:r w:rsidRPr="00A84FBE">
        <w:rPr>
          <w:lang w:val="lt-LT"/>
        </w:rPr>
        <w:fldChar w:fldCharType="end"/>
      </w:r>
      <w:r w:rsidRPr="00A84FBE">
        <w:rPr>
          <w:lang w:val="lt-LT"/>
        </w:rPr>
        <w:t xml:space="preserve">. </w:t>
      </w:r>
      <w:r w:rsidRPr="00A84FBE">
        <w:rPr>
          <w:rFonts w:eastAsiaTheme="minorHAnsi" w:cstheme="minorBidi"/>
          <w:szCs w:val="20"/>
          <w:lang w:val="lt-LT"/>
        </w:rPr>
        <w:t>Fondo veiklos 2 alternatyvos privalumų ir trūkumų palygimas</w:t>
      </w:r>
      <w:bookmarkEnd w:id="349"/>
    </w:p>
    <w:tbl>
      <w:tblPr>
        <w:tblStyle w:val="Spalvotassraas2parykinimas"/>
        <w:tblW w:w="0" w:type="auto"/>
        <w:tblLook w:val="04A0" w:firstRow="1" w:lastRow="0" w:firstColumn="1" w:lastColumn="0" w:noHBand="0" w:noVBand="1"/>
      </w:tblPr>
      <w:tblGrid>
        <w:gridCol w:w="4622"/>
        <w:gridCol w:w="4621"/>
      </w:tblGrid>
      <w:tr w:rsidR="00151543" w:rsidRPr="00E649A6" w14:paraId="6EBE603A" w14:textId="77777777" w:rsidTr="00DA6B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2" w:type="dxa"/>
          </w:tcPr>
          <w:p w14:paraId="6A7E950F" w14:textId="77777777" w:rsidR="00151543" w:rsidRPr="00AC3318" w:rsidRDefault="00151543" w:rsidP="00A84FBE">
            <w:pPr>
              <w:pStyle w:val="prastasis1"/>
              <w:jc w:val="center"/>
              <w:rPr>
                <w:rFonts w:ascii="Georgia" w:hAnsi="Georgia"/>
                <w:b w:val="0"/>
                <w:bCs w:val="0"/>
                <w:color w:val="auto"/>
                <w:sz w:val="20"/>
                <w:szCs w:val="20"/>
              </w:rPr>
            </w:pPr>
            <w:r w:rsidRPr="00AC3318">
              <w:rPr>
                <w:rFonts w:ascii="Georgia" w:hAnsi="Georgia"/>
                <w:sz w:val="20"/>
                <w:szCs w:val="20"/>
              </w:rPr>
              <w:t>Privalumai</w:t>
            </w:r>
          </w:p>
        </w:tc>
        <w:tc>
          <w:tcPr>
            <w:tcW w:w="4621" w:type="dxa"/>
          </w:tcPr>
          <w:p w14:paraId="15295C15" w14:textId="77777777" w:rsidR="00151543" w:rsidRPr="00AC3318" w:rsidRDefault="00151543" w:rsidP="00A84FBE">
            <w:pPr>
              <w:pStyle w:val="prastasis1"/>
              <w:jc w:val="center"/>
              <w:cnfStyle w:val="100000000000" w:firstRow="1" w:lastRow="0" w:firstColumn="0" w:lastColumn="0" w:oddVBand="0" w:evenVBand="0" w:oddHBand="0" w:evenHBand="0" w:firstRowFirstColumn="0" w:firstRowLastColumn="0" w:lastRowFirstColumn="0" w:lastRowLastColumn="0"/>
              <w:rPr>
                <w:rFonts w:ascii="Georgia" w:hAnsi="Georgia"/>
                <w:b w:val="0"/>
                <w:bCs w:val="0"/>
                <w:color w:val="auto"/>
                <w:sz w:val="20"/>
                <w:szCs w:val="20"/>
              </w:rPr>
            </w:pPr>
            <w:r w:rsidRPr="00AC3318">
              <w:rPr>
                <w:rFonts w:ascii="Georgia" w:hAnsi="Georgia"/>
                <w:sz w:val="20"/>
                <w:szCs w:val="20"/>
              </w:rPr>
              <w:t>Trūkumai</w:t>
            </w:r>
          </w:p>
        </w:tc>
      </w:tr>
      <w:tr w:rsidR="00151543" w:rsidRPr="00E649A6" w14:paraId="090C1688" w14:textId="77777777" w:rsidTr="00DA6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2" w:type="dxa"/>
          </w:tcPr>
          <w:p w14:paraId="187E7FAB" w14:textId="77777777" w:rsidR="00151543" w:rsidRPr="00332C26" w:rsidRDefault="00151543" w:rsidP="00151543">
            <w:pPr>
              <w:pStyle w:val="prastasis1"/>
              <w:jc w:val="both"/>
              <w:rPr>
                <w:rFonts w:ascii="Georgia" w:hAnsi="Georgia"/>
                <w:b w:val="0"/>
                <w:bCs w:val="0"/>
                <w:color w:val="auto"/>
                <w:sz w:val="20"/>
                <w:szCs w:val="20"/>
              </w:rPr>
            </w:pPr>
            <w:r w:rsidRPr="00332C26">
              <w:rPr>
                <w:rFonts w:ascii="Georgia" w:hAnsi="Georgia"/>
                <w:b w:val="0"/>
                <w:sz w:val="20"/>
                <w:szCs w:val="20"/>
              </w:rPr>
              <w:t>1. Pasiekiamas ženklus finansinio sverto efektas.</w:t>
            </w:r>
          </w:p>
        </w:tc>
        <w:tc>
          <w:tcPr>
            <w:tcW w:w="4621" w:type="dxa"/>
          </w:tcPr>
          <w:p w14:paraId="47F47A7E" w14:textId="77777777" w:rsidR="00151543" w:rsidRPr="00AC3318" w:rsidRDefault="00151543" w:rsidP="00DA6BF7">
            <w:pPr>
              <w:pStyle w:val="prastasis1"/>
              <w:jc w:val="both"/>
              <w:cnfStyle w:val="000000100000" w:firstRow="0" w:lastRow="0" w:firstColumn="0" w:lastColumn="0" w:oddVBand="0" w:evenVBand="0" w:oddHBand="1" w:evenHBand="0" w:firstRowFirstColumn="0" w:firstRowLastColumn="0" w:lastRowFirstColumn="0" w:lastRowLastColumn="0"/>
              <w:rPr>
                <w:rFonts w:ascii="Georgia" w:hAnsi="Georgia"/>
                <w:color w:val="auto"/>
                <w:sz w:val="20"/>
                <w:szCs w:val="20"/>
              </w:rPr>
            </w:pPr>
            <w:r w:rsidRPr="00AC3318">
              <w:rPr>
                <w:rFonts w:ascii="Georgia" w:hAnsi="Georgia"/>
                <w:sz w:val="20"/>
                <w:szCs w:val="20"/>
              </w:rPr>
              <w:t>1. 2014 – 2020 m. periodo lėšų panaudojimui turės būti sudaromos naujos sutartys su fondo valdytoju, atrenkami finansiniai tarpininkai.</w:t>
            </w:r>
          </w:p>
        </w:tc>
      </w:tr>
      <w:tr w:rsidR="00151543" w:rsidRPr="00E649A6" w14:paraId="0AEC6FCD" w14:textId="77777777" w:rsidTr="00DA6BF7">
        <w:tc>
          <w:tcPr>
            <w:cnfStyle w:val="001000000000" w:firstRow="0" w:lastRow="0" w:firstColumn="1" w:lastColumn="0" w:oddVBand="0" w:evenVBand="0" w:oddHBand="0" w:evenHBand="0" w:firstRowFirstColumn="0" w:firstRowLastColumn="0" w:lastRowFirstColumn="0" w:lastRowLastColumn="0"/>
            <w:tcW w:w="4622" w:type="dxa"/>
          </w:tcPr>
          <w:p w14:paraId="2FC92252" w14:textId="77777777" w:rsidR="00151543" w:rsidRPr="00332C26" w:rsidRDefault="00151543" w:rsidP="00151543">
            <w:pPr>
              <w:pStyle w:val="prastasis1"/>
              <w:jc w:val="both"/>
              <w:rPr>
                <w:rFonts w:ascii="Georgia" w:hAnsi="Georgia"/>
                <w:b w:val="0"/>
                <w:bCs w:val="0"/>
                <w:color w:val="auto"/>
                <w:sz w:val="20"/>
                <w:szCs w:val="20"/>
              </w:rPr>
            </w:pPr>
            <w:r w:rsidRPr="00332C26">
              <w:rPr>
                <w:rFonts w:ascii="Georgia" w:hAnsi="Georgia"/>
                <w:b w:val="0"/>
                <w:sz w:val="20"/>
                <w:szCs w:val="20"/>
              </w:rPr>
              <w:t>2. Į fondą pritraukiamos privataus sektoriaus lėšos.</w:t>
            </w:r>
          </w:p>
        </w:tc>
        <w:tc>
          <w:tcPr>
            <w:tcW w:w="4621" w:type="dxa"/>
          </w:tcPr>
          <w:p w14:paraId="52365F22" w14:textId="77777777" w:rsidR="00151543" w:rsidRPr="00AC3318" w:rsidRDefault="00151543" w:rsidP="00151543">
            <w:pPr>
              <w:pStyle w:val="prastasis1"/>
              <w:jc w:val="both"/>
              <w:cnfStyle w:val="000000000000" w:firstRow="0" w:lastRow="0" w:firstColumn="0" w:lastColumn="0" w:oddVBand="0" w:evenVBand="0" w:oddHBand="0" w:evenHBand="0" w:firstRowFirstColumn="0" w:firstRowLastColumn="0" w:lastRowFirstColumn="0" w:lastRowLastColumn="0"/>
              <w:rPr>
                <w:rFonts w:ascii="Georgia" w:hAnsi="Georgia"/>
                <w:color w:val="auto"/>
                <w:sz w:val="20"/>
                <w:szCs w:val="20"/>
              </w:rPr>
            </w:pPr>
            <w:r w:rsidRPr="00AC3318">
              <w:rPr>
                <w:rFonts w:ascii="Georgia" w:hAnsi="Georgia"/>
                <w:sz w:val="20"/>
                <w:szCs w:val="20"/>
              </w:rPr>
              <w:t>2. Finansinių tarpininkų atrinkimui galio</w:t>
            </w:r>
            <w:r>
              <w:rPr>
                <w:rFonts w:ascii="Georgia" w:hAnsi="Georgia"/>
                <w:sz w:val="20"/>
                <w:szCs w:val="20"/>
              </w:rPr>
              <w:t>s</w:t>
            </w:r>
            <w:r w:rsidRPr="00AC3318">
              <w:rPr>
                <w:rFonts w:ascii="Georgia" w:hAnsi="Georgia"/>
                <w:sz w:val="20"/>
                <w:szCs w:val="20"/>
              </w:rPr>
              <w:t xml:space="preserve"> Viešųjų pirkimų įstatymo nuostatos, todėl tai apsunkins ir gali užtęsti jų atranką.</w:t>
            </w:r>
          </w:p>
        </w:tc>
      </w:tr>
      <w:tr w:rsidR="00151543" w:rsidRPr="00E649A6" w14:paraId="3E463EF5" w14:textId="77777777" w:rsidTr="00DA6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2" w:type="dxa"/>
          </w:tcPr>
          <w:p w14:paraId="2B89B3C9" w14:textId="77777777" w:rsidR="00151543" w:rsidRPr="00332C26" w:rsidRDefault="00151543" w:rsidP="00181329">
            <w:pPr>
              <w:pStyle w:val="prastasis1"/>
              <w:jc w:val="both"/>
              <w:rPr>
                <w:rFonts w:ascii="Georgia" w:hAnsi="Georgia"/>
                <w:b w:val="0"/>
                <w:bCs w:val="0"/>
                <w:color w:val="auto"/>
                <w:sz w:val="20"/>
                <w:szCs w:val="20"/>
              </w:rPr>
            </w:pPr>
            <w:r w:rsidRPr="00332C26">
              <w:rPr>
                <w:rFonts w:ascii="Georgia" w:hAnsi="Georgia"/>
                <w:b w:val="0"/>
                <w:sz w:val="20"/>
                <w:szCs w:val="20"/>
              </w:rPr>
              <w:t xml:space="preserve">Finansinę priemonę galima įgyvendinti tiesiogiai ir (arba) per finansinius tarpininkus, jei fondų fondo valdyme dalyvautų </w:t>
            </w:r>
            <w:r w:rsidR="00DA6BF7">
              <w:rPr>
                <w:rFonts w:ascii="Georgia" w:hAnsi="Georgia"/>
                <w:b w:val="0"/>
                <w:sz w:val="20"/>
                <w:szCs w:val="20"/>
              </w:rPr>
              <w:t>nacionalinė finansų įstaiga</w:t>
            </w:r>
            <w:r w:rsidRPr="00332C26">
              <w:rPr>
                <w:rFonts w:ascii="Georgia" w:hAnsi="Georgia"/>
                <w:b w:val="0"/>
                <w:sz w:val="20"/>
                <w:szCs w:val="20"/>
              </w:rPr>
              <w:t>.</w:t>
            </w:r>
          </w:p>
        </w:tc>
        <w:tc>
          <w:tcPr>
            <w:tcW w:w="4621" w:type="dxa"/>
          </w:tcPr>
          <w:p w14:paraId="5CC2F538" w14:textId="77777777" w:rsidR="00151543" w:rsidRPr="00AC3318" w:rsidRDefault="00151543" w:rsidP="00151543">
            <w:pPr>
              <w:pStyle w:val="prastasis1"/>
              <w:jc w:val="both"/>
              <w:cnfStyle w:val="000000100000" w:firstRow="0" w:lastRow="0" w:firstColumn="0" w:lastColumn="0" w:oddVBand="0" w:evenVBand="0" w:oddHBand="1" w:evenHBand="0" w:firstRowFirstColumn="0" w:firstRowLastColumn="0" w:lastRowFirstColumn="0" w:lastRowLastColumn="0"/>
              <w:rPr>
                <w:rFonts w:ascii="Georgia" w:hAnsi="Georgia"/>
                <w:color w:val="auto"/>
                <w:sz w:val="20"/>
                <w:szCs w:val="20"/>
              </w:rPr>
            </w:pPr>
            <w:r>
              <w:rPr>
                <w:rFonts w:ascii="Georgia" w:hAnsi="Georgia"/>
                <w:sz w:val="20"/>
                <w:szCs w:val="20"/>
              </w:rPr>
              <w:t>3</w:t>
            </w:r>
            <w:r w:rsidRPr="00AC3318">
              <w:rPr>
                <w:rFonts w:ascii="Georgia" w:hAnsi="Georgia"/>
                <w:sz w:val="20"/>
                <w:szCs w:val="20"/>
              </w:rPr>
              <w:t>. Neaišku, kas bus tikruoju nariu ir kokį jis vaidmenį atliks fondo įgyvendinime</w:t>
            </w:r>
          </w:p>
        </w:tc>
      </w:tr>
      <w:tr w:rsidR="00151543" w:rsidRPr="00E649A6" w14:paraId="2CC13EE9" w14:textId="77777777" w:rsidTr="00DA6BF7">
        <w:tc>
          <w:tcPr>
            <w:cnfStyle w:val="001000000000" w:firstRow="0" w:lastRow="0" w:firstColumn="1" w:lastColumn="0" w:oddVBand="0" w:evenVBand="0" w:oddHBand="0" w:evenHBand="0" w:firstRowFirstColumn="0" w:firstRowLastColumn="0" w:lastRowFirstColumn="0" w:lastRowLastColumn="0"/>
            <w:tcW w:w="4622" w:type="dxa"/>
          </w:tcPr>
          <w:p w14:paraId="27EA2023" w14:textId="77777777" w:rsidR="00151543" w:rsidRPr="00332C26" w:rsidRDefault="00151543" w:rsidP="00151543">
            <w:pPr>
              <w:pStyle w:val="prastasis1"/>
              <w:jc w:val="both"/>
              <w:rPr>
                <w:rFonts w:ascii="Georgia" w:hAnsi="Georgia"/>
                <w:b w:val="0"/>
                <w:bCs w:val="0"/>
                <w:color w:val="auto"/>
                <w:sz w:val="20"/>
                <w:szCs w:val="20"/>
              </w:rPr>
            </w:pPr>
          </w:p>
        </w:tc>
        <w:tc>
          <w:tcPr>
            <w:tcW w:w="4621" w:type="dxa"/>
          </w:tcPr>
          <w:p w14:paraId="5BDF9E1A" w14:textId="77777777" w:rsidR="00151543" w:rsidRPr="00AC3318" w:rsidRDefault="00151543" w:rsidP="00151543">
            <w:pPr>
              <w:pStyle w:val="prastasis1"/>
              <w:jc w:val="both"/>
              <w:cnfStyle w:val="000000000000" w:firstRow="0" w:lastRow="0" w:firstColumn="0" w:lastColumn="0" w:oddVBand="0" w:evenVBand="0" w:oddHBand="0" w:evenHBand="0" w:firstRowFirstColumn="0" w:firstRowLastColumn="0" w:lastRowFirstColumn="0" w:lastRowLastColumn="0"/>
              <w:rPr>
                <w:rFonts w:ascii="Georgia" w:hAnsi="Georgia"/>
                <w:color w:val="auto"/>
                <w:sz w:val="20"/>
                <w:szCs w:val="20"/>
              </w:rPr>
            </w:pPr>
            <w:r>
              <w:rPr>
                <w:rFonts w:ascii="Georgia" w:hAnsi="Georgia"/>
                <w:sz w:val="20"/>
                <w:szCs w:val="20"/>
              </w:rPr>
              <w:t>4</w:t>
            </w:r>
            <w:r w:rsidRPr="00AC3318">
              <w:rPr>
                <w:rFonts w:ascii="Georgia" w:hAnsi="Georgia"/>
                <w:sz w:val="20"/>
                <w:szCs w:val="20"/>
              </w:rPr>
              <w:t xml:space="preserve">. Komerciniai bankai </w:t>
            </w:r>
            <w:r>
              <w:rPr>
                <w:rFonts w:ascii="Georgia" w:hAnsi="Georgia"/>
                <w:sz w:val="20"/>
                <w:szCs w:val="20"/>
              </w:rPr>
              <w:t>nenoriai</w:t>
            </w:r>
            <w:r w:rsidRPr="00AC3318">
              <w:rPr>
                <w:rFonts w:ascii="Georgia" w:hAnsi="Georgia"/>
                <w:sz w:val="20"/>
                <w:szCs w:val="20"/>
              </w:rPr>
              <w:t xml:space="preserve"> investuotų į fondą, jeigu paskolintas lėšas naudotų ne jie patys.</w:t>
            </w:r>
          </w:p>
        </w:tc>
      </w:tr>
    </w:tbl>
    <w:p w14:paraId="0C9746F7" w14:textId="77777777" w:rsidR="00151543" w:rsidRPr="00AC3318" w:rsidRDefault="00151543" w:rsidP="00151543">
      <w:pPr>
        <w:pStyle w:val="prastasis1"/>
        <w:spacing w:line="276" w:lineRule="auto"/>
        <w:jc w:val="both"/>
        <w:rPr>
          <w:rFonts w:ascii="Georgia" w:hAnsi="Georgia"/>
          <w:sz w:val="20"/>
          <w:szCs w:val="20"/>
        </w:rPr>
      </w:pPr>
    </w:p>
    <w:p w14:paraId="228A2ECD" w14:textId="77777777" w:rsidR="00151543" w:rsidRPr="00AA32EA" w:rsidRDefault="00151543" w:rsidP="00C03122">
      <w:pPr>
        <w:pStyle w:val="Antrat2"/>
        <w:numPr>
          <w:ilvl w:val="3"/>
          <w:numId w:val="36"/>
        </w:numPr>
        <w:spacing w:after="240"/>
        <w:rPr>
          <w:lang w:val="lt-LT"/>
        </w:rPr>
      </w:pPr>
      <w:bookmarkStart w:id="350" w:name="_Toc398567608"/>
      <w:bookmarkStart w:id="351" w:name="_Toc417378439"/>
      <w:r w:rsidRPr="00AA32EA">
        <w:rPr>
          <w:lang w:val="lt-LT"/>
        </w:rPr>
        <w:t>2014-2020 lėšų investavimas į esamą JESSICA fondą ir investicinio fondo steigimas Lietuvoje</w:t>
      </w:r>
      <w:bookmarkEnd w:id="350"/>
      <w:bookmarkEnd w:id="351"/>
    </w:p>
    <w:p w14:paraId="2A322360" w14:textId="77777777" w:rsidR="00151543" w:rsidRPr="00AC3318" w:rsidRDefault="00151543" w:rsidP="00151543">
      <w:pPr>
        <w:pStyle w:val="prastasis1"/>
        <w:spacing w:line="276" w:lineRule="auto"/>
        <w:jc w:val="both"/>
        <w:rPr>
          <w:rFonts w:ascii="Georgia" w:hAnsi="Georgia"/>
          <w:sz w:val="20"/>
          <w:szCs w:val="20"/>
        </w:rPr>
      </w:pPr>
      <w:r w:rsidRPr="00AC3318">
        <w:rPr>
          <w:rFonts w:ascii="Georgia" w:hAnsi="Georgia"/>
          <w:sz w:val="20"/>
          <w:szCs w:val="20"/>
        </w:rPr>
        <w:t xml:space="preserve">Šios alternatyvos įgyvendinimo atveju Finansų ministerija kaip vadovaujančioji institucija kartu su Aplinkos </w:t>
      </w:r>
      <w:r w:rsidR="00DA6BF7">
        <w:rPr>
          <w:rFonts w:ascii="Georgia" w:hAnsi="Georgia"/>
          <w:sz w:val="20"/>
          <w:szCs w:val="20"/>
        </w:rPr>
        <w:t xml:space="preserve">ministerija priimtų sprendimą </w:t>
      </w:r>
      <w:r w:rsidRPr="00AC3318">
        <w:rPr>
          <w:rFonts w:ascii="Georgia" w:hAnsi="Georgia"/>
          <w:sz w:val="20"/>
          <w:szCs w:val="20"/>
        </w:rPr>
        <w:t xml:space="preserve">tęsti </w:t>
      </w:r>
      <w:r>
        <w:rPr>
          <w:rFonts w:ascii="Georgia" w:hAnsi="Georgia"/>
          <w:sz w:val="20"/>
          <w:szCs w:val="20"/>
        </w:rPr>
        <w:t xml:space="preserve">2007-2013 m. </w:t>
      </w:r>
      <w:r w:rsidRPr="00AC3318">
        <w:rPr>
          <w:rFonts w:ascii="Georgia" w:hAnsi="Georgia"/>
          <w:sz w:val="20"/>
          <w:szCs w:val="20"/>
        </w:rPr>
        <w:t xml:space="preserve">JESSICA </w:t>
      </w:r>
      <w:r w:rsidR="00DA6BF7">
        <w:rPr>
          <w:rFonts w:ascii="Georgia" w:hAnsi="Georgia"/>
          <w:sz w:val="20"/>
          <w:szCs w:val="20"/>
        </w:rPr>
        <w:t>KF</w:t>
      </w:r>
      <w:r w:rsidRPr="00AC3318">
        <w:rPr>
          <w:rFonts w:ascii="Georgia" w:hAnsi="Georgia"/>
          <w:sz w:val="20"/>
          <w:szCs w:val="20"/>
        </w:rPr>
        <w:t xml:space="preserve"> veiklą</w:t>
      </w:r>
      <w:r>
        <w:rPr>
          <w:rFonts w:ascii="Georgia" w:hAnsi="Georgia"/>
          <w:sz w:val="20"/>
          <w:szCs w:val="20"/>
        </w:rPr>
        <w:t xml:space="preserve"> ir greta kurti investicinį fondą</w:t>
      </w:r>
      <w:r w:rsidRPr="00AC3318">
        <w:rPr>
          <w:rFonts w:ascii="Georgia" w:hAnsi="Georgia"/>
          <w:sz w:val="20"/>
          <w:szCs w:val="20"/>
        </w:rPr>
        <w:t xml:space="preserve">. </w:t>
      </w:r>
      <w:r>
        <w:rPr>
          <w:rFonts w:ascii="Georgia" w:hAnsi="Georgia"/>
          <w:sz w:val="20"/>
          <w:szCs w:val="20"/>
        </w:rPr>
        <w:t>Analogiškai kaip ir pirmosios alternatyvos atveju,</w:t>
      </w:r>
      <w:r w:rsidRPr="00266DBA">
        <w:rPr>
          <w:rFonts w:ascii="Georgia" w:hAnsi="Georgia"/>
          <w:sz w:val="20"/>
          <w:szCs w:val="20"/>
        </w:rPr>
        <w:t xml:space="preserve"> </w:t>
      </w:r>
      <w:r>
        <w:rPr>
          <w:rFonts w:ascii="Georgia" w:hAnsi="Georgia"/>
          <w:sz w:val="20"/>
          <w:szCs w:val="20"/>
        </w:rPr>
        <w:t xml:space="preserve">JESSICA </w:t>
      </w:r>
      <w:r w:rsidR="00DA6BF7">
        <w:rPr>
          <w:rFonts w:ascii="Georgia" w:hAnsi="Georgia"/>
          <w:sz w:val="20"/>
          <w:szCs w:val="20"/>
        </w:rPr>
        <w:t>KF</w:t>
      </w:r>
      <w:r>
        <w:rPr>
          <w:rFonts w:ascii="Georgia" w:hAnsi="Georgia"/>
          <w:sz w:val="20"/>
          <w:szCs w:val="20"/>
        </w:rPr>
        <w:t xml:space="preserve"> galėtų būti papildomas 2014-2020 m. ESI fondų lėšomis vadovaujantis Lietuvos Respublikos Vyriausybės patvirtintomis laikinosios tvarkos nuostatomis. Vėliau, patvirtinus nacionalinę teisinę bazę, v</w:t>
      </w:r>
      <w:r w:rsidRPr="00AC3318">
        <w:rPr>
          <w:rFonts w:ascii="Georgia" w:hAnsi="Georgia"/>
          <w:sz w:val="20"/>
          <w:szCs w:val="20"/>
        </w:rPr>
        <w:t xml:space="preserve">adovaudamasi </w:t>
      </w:r>
      <w:r>
        <w:rPr>
          <w:rFonts w:ascii="Georgia" w:hAnsi="Georgia"/>
          <w:sz w:val="20"/>
          <w:szCs w:val="20"/>
        </w:rPr>
        <w:t>Bendrųjų nuostatų r</w:t>
      </w:r>
      <w:r w:rsidRPr="00AC3318">
        <w:rPr>
          <w:rFonts w:ascii="Georgia" w:hAnsi="Georgia"/>
          <w:sz w:val="20"/>
          <w:szCs w:val="20"/>
        </w:rPr>
        <w:t xml:space="preserve">eglamento 38 str. 4 dalimi, vadovaujančioji institucija galėtų </w:t>
      </w:r>
      <w:r>
        <w:rPr>
          <w:rFonts w:ascii="Georgia" w:hAnsi="Georgia"/>
          <w:sz w:val="20"/>
          <w:szCs w:val="20"/>
        </w:rPr>
        <w:t>įgyvendinimo užduotis pavesti vykdyti vienai ar kelioms</w:t>
      </w:r>
      <w:r w:rsidRPr="00AC3318">
        <w:rPr>
          <w:rFonts w:ascii="Georgia" w:hAnsi="Georgia"/>
          <w:sz w:val="20"/>
          <w:szCs w:val="20"/>
        </w:rPr>
        <w:t xml:space="preserve"> iš </w:t>
      </w:r>
      <w:r>
        <w:rPr>
          <w:rFonts w:ascii="Georgia" w:hAnsi="Georgia"/>
          <w:sz w:val="20"/>
          <w:szCs w:val="20"/>
        </w:rPr>
        <w:t xml:space="preserve">Bendrųjų nuostatų reglamento </w:t>
      </w:r>
      <w:r w:rsidRPr="00AC3318">
        <w:rPr>
          <w:rFonts w:ascii="Georgia" w:hAnsi="Georgia"/>
          <w:sz w:val="20"/>
          <w:szCs w:val="20"/>
        </w:rPr>
        <w:t>38(4)(b) straipsnyje nurodytų institucijų</w:t>
      </w:r>
      <w:r>
        <w:rPr>
          <w:rFonts w:ascii="Georgia" w:hAnsi="Georgia"/>
          <w:sz w:val="20"/>
          <w:szCs w:val="20"/>
        </w:rPr>
        <w:t xml:space="preserve"> (detaliau aprašyta 7.1.4 punkte)</w:t>
      </w:r>
      <w:r w:rsidRPr="00AC3318">
        <w:rPr>
          <w:rFonts w:ascii="Georgia" w:hAnsi="Georgia"/>
          <w:sz w:val="20"/>
          <w:szCs w:val="20"/>
        </w:rPr>
        <w:t>. Atrinkus/paskyrus fondų fondo valdytoją, būtų galima</w:t>
      </w:r>
      <w:r>
        <w:rPr>
          <w:rFonts w:ascii="Georgia" w:hAnsi="Georgia"/>
          <w:sz w:val="20"/>
          <w:szCs w:val="20"/>
        </w:rPr>
        <w:t xml:space="preserve"> JESSICA fondų fondui perduoti sugeneruotų projektų srautą,</w:t>
      </w:r>
      <w:r w:rsidRPr="00AC3318">
        <w:rPr>
          <w:rFonts w:ascii="Georgia" w:hAnsi="Georgia"/>
          <w:sz w:val="20"/>
          <w:szCs w:val="20"/>
        </w:rPr>
        <w:t xml:space="preserve"> JESSICA fondų fondą papildyti 2014-2020 m. ES lėšomis ir suteikti fondo valdytojui atitinkamus veiklos įgaliojimus.</w:t>
      </w:r>
      <w:r>
        <w:rPr>
          <w:rFonts w:ascii="Georgia" w:hAnsi="Georgia"/>
          <w:sz w:val="20"/>
          <w:szCs w:val="20"/>
        </w:rPr>
        <w:t xml:space="preserve"> </w:t>
      </w:r>
      <w:r>
        <w:rPr>
          <w:rFonts w:ascii="Georgia" w:hAnsi="Georgia"/>
          <w:sz w:val="20"/>
          <w:szCs w:val="20"/>
        </w:rPr>
        <w:lastRenderedPageBreak/>
        <w:t>Naujasis JESSICA f</w:t>
      </w:r>
      <w:r w:rsidRPr="00AC3318">
        <w:rPr>
          <w:rFonts w:ascii="Georgia" w:hAnsi="Georgia"/>
          <w:sz w:val="20"/>
          <w:szCs w:val="20"/>
        </w:rPr>
        <w:t xml:space="preserve">ondų fondas ir toliau tęstų savo veiklą kaip sąskaitų rinkinys. </w:t>
      </w:r>
      <w:r>
        <w:rPr>
          <w:rFonts w:ascii="Georgia" w:hAnsi="Georgia"/>
          <w:sz w:val="20"/>
          <w:szCs w:val="20"/>
        </w:rPr>
        <w:t>V</w:t>
      </w:r>
      <w:r w:rsidRPr="00AC3318">
        <w:rPr>
          <w:rFonts w:ascii="Georgia" w:hAnsi="Georgia"/>
          <w:sz w:val="20"/>
          <w:szCs w:val="20"/>
        </w:rPr>
        <w:t xml:space="preserve">adovaujančioji institucija </w:t>
      </w:r>
      <w:r>
        <w:rPr>
          <w:rFonts w:ascii="Georgia" w:hAnsi="Georgia"/>
          <w:sz w:val="20"/>
          <w:szCs w:val="20"/>
        </w:rPr>
        <w:t xml:space="preserve">fondui </w:t>
      </w:r>
      <w:r w:rsidR="003C45BF">
        <w:rPr>
          <w:rFonts w:ascii="Georgia" w:hAnsi="Georgia"/>
          <w:sz w:val="20"/>
          <w:szCs w:val="20"/>
        </w:rPr>
        <w:t>galėtų skirti</w:t>
      </w:r>
      <w:r w:rsidRPr="00AC3318">
        <w:rPr>
          <w:rFonts w:ascii="Georgia" w:hAnsi="Georgia"/>
          <w:sz w:val="20"/>
          <w:szCs w:val="20"/>
        </w:rPr>
        <w:t xml:space="preserve"> </w:t>
      </w:r>
      <w:r>
        <w:rPr>
          <w:rFonts w:ascii="Georgia" w:hAnsi="Georgia"/>
          <w:sz w:val="20"/>
          <w:szCs w:val="20"/>
        </w:rPr>
        <w:t>2</w:t>
      </w:r>
      <w:r w:rsidR="00105B94">
        <w:rPr>
          <w:rFonts w:ascii="Georgia" w:hAnsi="Georgia"/>
          <w:sz w:val="20"/>
          <w:szCs w:val="20"/>
        </w:rPr>
        <w:t>81</w:t>
      </w:r>
      <w:r w:rsidRPr="00AC3318">
        <w:rPr>
          <w:rFonts w:ascii="Georgia" w:hAnsi="Georgia"/>
          <w:sz w:val="20"/>
          <w:szCs w:val="20"/>
        </w:rPr>
        <w:t xml:space="preserve"> mln. eurų sumą iš ES</w:t>
      </w:r>
      <w:r>
        <w:rPr>
          <w:rFonts w:ascii="Georgia" w:hAnsi="Georgia"/>
          <w:sz w:val="20"/>
          <w:szCs w:val="20"/>
        </w:rPr>
        <w:t>I fondų ir nacionalinių</w:t>
      </w:r>
      <w:r w:rsidRPr="00AC3318">
        <w:rPr>
          <w:rFonts w:ascii="Georgia" w:hAnsi="Georgia"/>
          <w:sz w:val="20"/>
          <w:szCs w:val="20"/>
        </w:rPr>
        <w:t xml:space="preserve"> lėšų ir 50 mln. eurų sumą iš grįžtančių lėšų į JESSICA</w:t>
      </w:r>
      <w:r>
        <w:rPr>
          <w:rFonts w:ascii="Georgia" w:hAnsi="Georgia"/>
          <w:sz w:val="20"/>
          <w:szCs w:val="20"/>
        </w:rPr>
        <w:t xml:space="preserve"> </w:t>
      </w:r>
      <w:r w:rsidR="003C45BF">
        <w:rPr>
          <w:rFonts w:ascii="Georgia" w:hAnsi="Georgia"/>
          <w:sz w:val="20"/>
          <w:szCs w:val="20"/>
        </w:rPr>
        <w:t>KF</w:t>
      </w:r>
      <w:r w:rsidRPr="00AC3318">
        <w:rPr>
          <w:rFonts w:ascii="Georgia" w:hAnsi="Georgia"/>
          <w:sz w:val="20"/>
          <w:szCs w:val="20"/>
        </w:rPr>
        <w:t xml:space="preserve">. </w:t>
      </w:r>
    </w:p>
    <w:p w14:paraId="6083D67E" w14:textId="77777777" w:rsidR="00151543" w:rsidRDefault="00151543" w:rsidP="003D55FC">
      <w:pPr>
        <w:pStyle w:val="Antrat"/>
        <w:jc w:val="center"/>
        <w:rPr>
          <w:szCs w:val="20"/>
        </w:rPr>
      </w:pPr>
      <w:r w:rsidRPr="00AC3318">
        <w:rPr>
          <w:szCs w:val="20"/>
        </w:rPr>
        <w:object w:dxaOrig="9630" w:dyaOrig="5625" w14:anchorId="16CE7FAD">
          <v:shape id="_x0000_i1030" type="#_x0000_t75" style="width:445.4pt;height:260.45pt" o:ole="">
            <v:imagedata r:id="rId109" o:title=""/>
          </v:shape>
          <o:OLEObject Type="Embed" ProgID="Visio.Drawing.15" ShapeID="_x0000_i1030" DrawAspect="Content" ObjectID="_1572853844" r:id="rId110"/>
        </w:object>
      </w:r>
    </w:p>
    <w:p w14:paraId="3CC87797" w14:textId="3383FE6B" w:rsidR="00151543" w:rsidRPr="00A84FBE" w:rsidRDefault="00151543" w:rsidP="00151543">
      <w:pPr>
        <w:pStyle w:val="Antrat"/>
        <w:spacing w:line="276" w:lineRule="auto"/>
        <w:jc w:val="both"/>
        <w:rPr>
          <w:szCs w:val="20"/>
          <w:lang w:val="lt-LT"/>
        </w:rPr>
      </w:pPr>
      <w:bookmarkStart w:id="352" w:name="_Toc417378329"/>
      <w:r w:rsidRPr="00A84FBE">
        <w:rPr>
          <w:lang w:val="lt-LT"/>
        </w:rPr>
        <w:t xml:space="preserve">Paveikslas </w:t>
      </w:r>
      <w:r w:rsidRPr="00A84FBE">
        <w:rPr>
          <w:lang w:val="lt-LT"/>
        </w:rPr>
        <w:fldChar w:fldCharType="begin"/>
      </w:r>
      <w:r w:rsidRPr="00A84FBE">
        <w:rPr>
          <w:lang w:val="lt-LT"/>
        </w:rPr>
        <w:instrText xml:space="preserve"> SEQ Paveikslas \* ARABIC </w:instrText>
      </w:r>
      <w:r w:rsidRPr="00A84FBE">
        <w:rPr>
          <w:lang w:val="lt-LT"/>
        </w:rPr>
        <w:fldChar w:fldCharType="separate"/>
      </w:r>
      <w:r w:rsidR="00AA3082">
        <w:rPr>
          <w:noProof/>
          <w:lang w:val="lt-LT"/>
        </w:rPr>
        <w:t>52</w:t>
      </w:r>
      <w:r w:rsidRPr="00A84FBE">
        <w:rPr>
          <w:lang w:val="lt-LT"/>
        </w:rPr>
        <w:fldChar w:fldCharType="end"/>
      </w:r>
      <w:r w:rsidRPr="00A84FBE">
        <w:rPr>
          <w:lang w:val="lt-LT"/>
        </w:rPr>
        <w:t xml:space="preserve">. </w:t>
      </w:r>
      <w:r w:rsidRPr="00A84FBE">
        <w:rPr>
          <w:szCs w:val="20"/>
          <w:lang w:val="lt-LT"/>
        </w:rPr>
        <w:t>2014-2020 lėšų investavimas į esamą JESSICA fondą ir investicinio fondo steigimas Lietuvoje.</w:t>
      </w:r>
      <w:bookmarkEnd w:id="352"/>
    </w:p>
    <w:p w14:paraId="71A0B132" w14:textId="77777777" w:rsidR="00151543" w:rsidRPr="00AC3318" w:rsidRDefault="00151543" w:rsidP="00151543">
      <w:pPr>
        <w:pStyle w:val="prastasis1"/>
        <w:spacing w:line="276" w:lineRule="auto"/>
        <w:jc w:val="both"/>
        <w:rPr>
          <w:rFonts w:ascii="Georgia" w:hAnsi="Georgia"/>
          <w:sz w:val="20"/>
          <w:szCs w:val="20"/>
        </w:rPr>
      </w:pPr>
      <w:r w:rsidRPr="00AC3318">
        <w:rPr>
          <w:rFonts w:ascii="Georgia" w:hAnsi="Georgia"/>
          <w:sz w:val="20"/>
          <w:szCs w:val="20"/>
        </w:rPr>
        <w:t>Tęsdamas esamą JESSICA fondo veiklą, šio fondo valdytojas atrinktų finansinius tarpininkus, kurie teiktų lengvatines paskolas daugiabučių namų moderniza</w:t>
      </w:r>
      <w:r>
        <w:rPr>
          <w:rFonts w:ascii="Georgia" w:hAnsi="Georgia"/>
          <w:sz w:val="20"/>
          <w:szCs w:val="20"/>
        </w:rPr>
        <w:t>vimui</w:t>
      </w:r>
      <w:r w:rsidRPr="00AC3318">
        <w:rPr>
          <w:rFonts w:ascii="Georgia" w:hAnsi="Georgia"/>
          <w:sz w:val="20"/>
          <w:szCs w:val="20"/>
        </w:rPr>
        <w:t xml:space="preserve">. Su atrinktais finansiniais tarpininkais fondo valdytojas pasirašytų sąlygines paskolos sutartis. </w:t>
      </w:r>
    </w:p>
    <w:p w14:paraId="3CBAC719" w14:textId="77777777" w:rsidR="00151543" w:rsidRDefault="00151543" w:rsidP="00151543">
      <w:pPr>
        <w:pStyle w:val="prastasis1"/>
        <w:spacing w:line="276" w:lineRule="auto"/>
        <w:jc w:val="both"/>
        <w:rPr>
          <w:rFonts w:ascii="Georgia" w:hAnsi="Georgia"/>
          <w:sz w:val="20"/>
          <w:szCs w:val="20"/>
        </w:rPr>
      </w:pPr>
      <w:r>
        <w:rPr>
          <w:rFonts w:ascii="Georgia" w:hAnsi="Georgia"/>
          <w:sz w:val="20"/>
          <w:szCs w:val="20"/>
        </w:rPr>
        <w:t xml:space="preserve">Greta veikiančio JESSICA fondo būtų steigiamas </w:t>
      </w:r>
      <w:r w:rsidRPr="00AC3318">
        <w:rPr>
          <w:rFonts w:ascii="Georgia" w:hAnsi="Georgia"/>
          <w:sz w:val="20"/>
          <w:szCs w:val="20"/>
        </w:rPr>
        <w:t>investicinis fondas, turintis juridin</w:t>
      </w:r>
      <w:r>
        <w:rPr>
          <w:rFonts w:ascii="Georgia" w:hAnsi="Georgia"/>
          <w:sz w:val="20"/>
          <w:szCs w:val="20"/>
        </w:rPr>
        <w:t>io asmens</w:t>
      </w:r>
      <w:r w:rsidRPr="00AC3318">
        <w:rPr>
          <w:rFonts w:ascii="Georgia" w:hAnsi="Georgia"/>
          <w:sz w:val="20"/>
          <w:szCs w:val="20"/>
        </w:rPr>
        <w:t xml:space="preserve"> statusą</w:t>
      </w:r>
      <w:r w:rsidR="003C45BF">
        <w:rPr>
          <w:rFonts w:ascii="Georgia" w:hAnsi="Georgia"/>
          <w:sz w:val="20"/>
          <w:szCs w:val="20"/>
        </w:rPr>
        <w:t>, kurio pagrindinis tikslas – išpirkti gerus rezultatus pasiekusių projektų ateities piniginius srautus, generuojamus iš energijos kaštų sutaupymų</w:t>
      </w:r>
      <w:r w:rsidRPr="00AC3318">
        <w:rPr>
          <w:rFonts w:ascii="Georgia" w:hAnsi="Georgia"/>
          <w:sz w:val="20"/>
          <w:szCs w:val="20"/>
        </w:rPr>
        <w:t xml:space="preserve">. </w:t>
      </w:r>
      <w:r w:rsidR="003C45BF">
        <w:rPr>
          <w:rFonts w:ascii="Georgia" w:hAnsi="Georgia"/>
          <w:sz w:val="20"/>
          <w:szCs w:val="20"/>
        </w:rPr>
        <w:t>Pagrindiniai Investicinio fondo</w:t>
      </w:r>
      <w:r w:rsidRPr="00AC3318">
        <w:rPr>
          <w:rFonts w:ascii="Georgia" w:hAnsi="Georgia"/>
          <w:sz w:val="20"/>
          <w:szCs w:val="20"/>
        </w:rPr>
        <w:t xml:space="preserve"> dalyv</w:t>
      </w:r>
      <w:r w:rsidR="003C45BF">
        <w:rPr>
          <w:rFonts w:ascii="Georgia" w:hAnsi="Georgia"/>
          <w:sz w:val="20"/>
          <w:szCs w:val="20"/>
        </w:rPr>
        <w:t>i</w:t>
      </w:r>
      <w:r w:rsidRPr="00AC3318">
        <w:rPr>
          <w:rFonts w:ascii="Georgia" w:hAnsi="Georgia"/>
          <w:sz w:val="20"/>
          <w:szCs w:val="20"/>
        </w:rPr>
        <w:t>a</w:t>
      </w:r>
      <w:r w:rsidR="003C45BF">
        <w:rPr>
          <w:rFonts w:ascii="Georgia" w:hAnsi="Georgia"/>
          <w:sz w:val="20"/>
          <w:szCs w:val="20"/>
        </w:rPr>
        <w:t>i būtų</w:t>
      </w:r>
      <w:r w:rsidRPr="00AC3318">
        <w:rPr>
          <w:rFonts w:ascii="Georgia" w:hAnsi="Georgia"/>
          <w:sz w:val="20"/>
          <w:szCs w:val="20"/>
        </w:rPr>
        <w:t xml:space="preserve"> privatūs ir instituciniai investuotojai. </w:t>
      </w:r>
      <w:r>
        <w:rPr>
          <w:rFonts w:ascii="Georgia" w:hAnsi="Georgia"/>
          <w:sz w:val="20"/>
          <w:szCs w:val="20"/>
        </w:rPr>
        <w:t>Kaip ir antrosios alternatyvos atveju s</w:t>
      </w:r>
      <w:r w:rsidRPr="00AC3318">
        <w:rPr>
          <w:rFonts w:ascii="Georgia" w:hAnsi="Georgia"/>
          <w:sz w:val="20"/>
          <w:szCs w:val="20"/>
        </w:rPr>
        <w:t>iūloma jo forma – komanditinė ūkinė bendrovė (toliau – KŪB). Būtina pabrėžti taip pat, kad pagal LR Ūkinių bendrijų įstatymo pakeitimo įstatymo Nr. XI-2073 2 str. 5 dalį KŪB yra neribotos civilinės atsakomybės privatusis juridinis asmuo. Planuojama, kad investicinis fondas galėtų perpirkti iš JESSICA fondo iki 70 procentų jos išduotų paskolų</w:t>
      </w:r>
      <w:r>
        <w:rPr>
          <w:rFonts w:ascii="Georgia" w:hAnsi="Georgia"/>
          <w:sz w:val="20"/>
          <w:szCs w:val="20"/>
        </w:rPr>
        <w:t xml:space="preserve"> sėkmingai įgyvendinamiems projektams</w:t>
      </w:r>
      <w:r w:rsidRPr="00AC3318">
        <w:rPr>
          <w:rFonts w:ascii="Georgia" w:hAnsi="Georgia"/>
          <w:sz w:val="20"/>
          <w:szCs w:val="20"/>
        </w:rPr>
        <w:t>.</w:t>
      </w:r>
      <w:r>
        <w:rPr>
          <w:rFonts w:ascii="Georgia" w:hAnsi="Georgia"/>
          <w:sz w:val="20"/>
          <w:szCs w:val="20"/>
        </w:rPr>
        <w:t xml:space="preserve"> Toks paskolų perpirkimas galėtų būti taikomas ir 2007-2013 m. periodu</w:t>
      </w:r>
      <w:r w:rsidRPr="00AC3318">
        <w:rPr>
          <w:rFonts w:ascii="Georgia" w:hAnsi="Georgia"/>
          <w:sz w:val="20"/>
          <w:szCs w:val="20"/>
        </w:rPr>
        <w:t xml:space="preserve"> įgyvendint</w:t>
      </w:r>
      <w:r>
        <w:rPr>
          <w:rFonts w:ascii="Georgia" w:hAnsi="Georgia"/>
          <w:sz w:val="20"/>
          <w:szCs w:val="20"/>
        </w:rPr>
        <w:t>iem</w:t>
      </w:r>
      <w:r w:rsidRPr="00AC3318">
        <w:rPr>
          <w:rFonts w:ascii="Georgia" w:hAnsi="Georgia"/>
          <w:sz w:val="20"/>
          <w:szCs w:val="20"/>
        </w:rPr>
        <w:t>s projekt</w:t>
      </w:r>
      <w:r>
        <w:rPr>
          <w:rFonts w:ascii="Georgia" w:hAnsi="Georgia"/>
          <w:sz w:val="20"/>
          <w:szCs w:val="20"/>
        </w:rPr>
        <w:t>am</w:t>
      </w:r>
      <w:r w:rsidRPr="00AC3318">
        <w:rPr>
          <w:rFonts w:ascii="Georgia" w:hAnsi="Georgia"/>
          <w:sz w:val="20"/>
          <w:szCs w:val="20"/>
        </w:rPr>
        <w:t xml:space="preserve">s, kurie pademonstravo </w:t>
      </w:r>
      <w:r>
        <w:rPr>
          <w:rFonts w:ascii="Georgia" w:hAnsi="Georgia"/>
          <w:sz w:val="20"/>
          <w:szCs w:val="20"/>
        </w:rPr>
        <w:t>gerus energijos sutaupymus</w:t>
      </w:r>
      <w:r w:rsidRPr="00AC3318">
        <w:rPr>
          <w:rFonts w:ascii="Georgia" w:hAnsi="Georgia"/>
          <w:sz w:val="20"/>
          <w:szCs w:val="20"/>
        </w:rPr>
        <w:t xml:space="preserve">. Gautas lėšas fondų valdytojas galėtų panaudoti naujų projektų finansavimui, </w:t>
      </w:r>
      <w:r>
        <w:rPr>
          <w:rFonts w:ascii="Georgia" w:hAnsi="Georgia"/>
          <w:sz w:val="20"/>
          <w:szCs w:val="20"/>
        </w:rPr>
        <w:t>taip didinant multiplikatoriaus ir</w:t>
      </w:r>
      <w:r w:rsidRPr="00AC3318">
        <w:rPr>
          <w:rFonts w:ascii="Georgia" w:hAnsi="Georgia"/>
          <w:sz w:val="20"/>
          <w:szCs w:val="20"/>
        </w:rPr>
        <w:t xml:space="preserve"> sverto efektą. </w:t>
      </w:r>
    </w:p>
    <w:p w14:paraId="6474CE57" w14:textId="77777777" w:rsidR="00151543" w:rsidRPr="00AC3318" w:rsidRDefault="00151543" w:rsidP="00151543">
      <w:pPr>
        <w:pStyle w:val="prastasis1"/>
        <w:spacing w:line="276" w:lineRule="auto"/>
        <w:jc w:val="both"/>
        <w:rPr>
          <w:rFonts w:ascii="Georgia" w:hAnsi="Georgia"/>
          <w:sz w:val="20"/>
          <w:szCs w:val="20"/>
        </w:rPr>
      </w:pPr>
      <w:r>
        <w:rPr>
          <w:rFonts w:ascii="Georgia" w:hAnsi="Georgia"/>
          <w:sz w:val="20"/>
          <w:szCs w:val="20"/>
        </w:rPr>
        <w:t xml:space="preserve">Tačiau šios alternatyvos atveju nebūtų įgyvendinama 4 skyriuje pasirinkta naudingiausia 5 alternatyva - </w:t>
      </w:r>
      <w:r w:rsidRPr="00890789">
        <w:rPr>
          <w:rFonts w:ascii="Georgia" w:hAnsi="Georgia"/>
          <w:i/>
          <w:sz w:val="20"/>
          <w:szCs w:val="20"/>
        </w:rPr>
        <w:t>ESI fondų lėšos nukreipiamos fondo pirmojo praradimo kapitalui suformuoti</w:t>
      </w:r>
      <w:r>
        <w:rPr>
          <w:rFonts w:ascii="Georgia" w:hAnsi="Georgia"/>
          <w:i/>
          <w:sz w:val="20"/>
          <w:szCs w:val="20"/>
        </w:rPr>
        <w:t>.</w:t>
      </w:r>
    </w:p>
    <w:p w14:paraId="701CCBA6" w14:textId="4BD9BF4C" w:rsidR="00151543" w:rsidRPr="00AC3318" w:rsidRDefault="00151543" w:rsidP="00151543">
      <w:pPr>
        <w:pStyle w:val="Antrat"/>
        <w:rPr>
          <w:szCs w:val="20"/>
        </w:rPr>
      </w:pPr>
      <w:bookmarkStart w:id="353" w:name="_Toc460321736"/>
      <w:r>
        <w:t xml:space="preserve">Lentelė </w:t>
      </w:r>
      <w:r>
        <w:fldChar w:fldCharType="begin"/>
      </w:r>
      <w:r>
        <w:instrText xml:space="preserve"> SEQ Lentelė \* ARABIC </w:instrText>
      </w:r>
      <w:r>
        <w:fldChar w:fldCharType="separate"/>
      </w:r>
      <w:r w:rsidR="00AA3082">
        <w:rPr>
          <w:noProof/>
        </w:rPr>
        <w:t>155</w:t>
      </w:r>
      <w:r>
        <w:fldChar w:fldCharType="end"/>
      </w:r>
      <w:r>
        <w:t xml:space="preserve">. </w:t>
      </w:r>
      <w:r>
        <w:rPr>
          <w:rFonts w:eastAsiaTheme="minorHAnsi" w:cstheme="minorBidi"/>
          <w:szCs w:val="20"/>
          <w:lang w:val="lt-LT"/>
        </w:rPr>
        <w:t>Fondo veiklos 3</w:t>
      </w:r>
      <w:r w:rsidRPr="00151543">
        <w:rPr>
          <w:rFonts w:eastAsiaTheme="minorHAnsi" w:cstheme="minorBidi"/>
          <w:szCs w:val="20"/>
          <w:lang w:val="lt-LT"/>
        </w:rPr>
        <w:t xml:space="preserve"> alternatyvos privalumų ir trūkumų palygimas</w:t>
      </w:r>
      <w:r>
        <w:rPr>
          <w:rFonts w:eastAsiaTheme="minorHAnsi" w:cstheme="minorBidi"/>
          <w:szCs w:val="20"/>
          <w:lang w:val="lt-LT"/>
        </w:rPr>
        <w:t>.</w:t>
      </w:r>
      <w:bookmarkEnd w:id="353"/>
    </w:p>
    <w:tbl>
      <w:tblPr>
        <w:tblStyle w:val="Spalvotassraas2parykinimas"/>
        <w:tblW w:w="0" w:type="auto"/>
        <w:tblLook w:val="04A0" w:firstRow="1" w:lastRow="0" w:firstColumn="1" w:lastColumn="0" w:noHBand="0" w:noVBand="1"/>
      </w:tblPr>
      <w:tblGrid>
        <w:gridCol w:w="4622"/>
        <w:gridCol w:w="4621"/>
      </w:tblGrid>
      <w:tr w:rsidR="00151543" w:rsidRPr="00E649A6" w14:paraId="4A06EBF8" w14:textId="77777777" w:rsidTr="001515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8" w:type="dxa"/>
          </w:tcPr>
          <w:p w14:paraId="1BBD9CAA" w14:textId="77777777" w:rsidR="00151543" w:rsidRPr="00AC3318" w:rsidRDefault="00151543" w:rsidP="00A84FBE">
            <w:pPr>
              <w:pStyle w:val="prastasis1"/>
              <w:spacing w:line="276" w:lineRule="auto"/>
              <w:jc w:val="center"/>
              <w:rPr>
                <w:rFonts w:ascii="Georgia" w:hAnsi="Georgia"/>
                <w:b w:val="0"/>
                <w:bCs w:val="0"/>
                <w:color w:val="auto"/>
                <w:sz w:val="20"/>
                <w:szCs w:val="20"/>
              </w:rPr>
            </w:pPr>
            <w:r w:rsidRPr="00AC3318">
              <w:rPr>
                <w:rFonts w:ascii="Georgia" w:hAnsi="Georgia"/>
                <w:sz w:val="20"/>
                <w:szCs w:val="20"/>
              </w:rPr>
              <w:t>Privalumai</w:t>
            </w:r>
          </w:p>
        </w:tc>
        <w:tc>
          <w:tcPr>
            <w:tcW w:w="4788" w:type="dxa"/>
          </w:tcPr>
          <w:p w14:paraId="542FD4E3" w14:textId="77777777" w:rsidR="00151543" w:rsidRPr="00AC3318" w:rsidRDefault="00151543" w:rsidP="00A84FBE">
            <w:pPr>
              <w:pStyle w:val="prastasis1"/>
              <w:spacing w:line="276" w:lineRule="auto"/>
              <w:jc w:val="center"/>
              <w:cnfStyle w:val="100000000000" w:firstRow="1" w:lastRow="0" w:firstColumn="0" w:lastColumn="0" w:oddVBand="0" w:evenVBand="0" w:oddHBand="0" w:evenHBand="0" w:firstRowFirstColumn="0" w:firstRowLastColumn="0" w:lastRowFirstColumn="0" w:lastRowLastColumn="0"/>
              <w:rPr>
                <w:rFonts w:ascii="Georgia" w:hAnsi="Georgia"/>
                <w:b w:val="0"/>
                <w:bCs w:val="0"/>
                <w:color w:val="auto"/>
                <w:sz w:val="20"/>
                <w:szCs w:val="20"/>
              </w:rPr>
            </w:pPr>
            <w:r w:rsidRPr="00AC3318">
              <w:rPr>
                <w:rFonts w:ascii="Georgia" w:hAnsi="Georgia"/>
                <w:sz w:val="20"/>
                <w:szCs w:val="20"/>
              </w:rPr>
              <w:t>Trūkumai</w:t>
            </w:r>
          </w:p>
        </w:tc>
      </w:tr>
      <w:tr w:rsidR="00151543" w:rsidRPr="00E649A6" w14:paraId="00DB0149" w14:textId="77777777" w:rsidTr="00151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6976B54" w14:textId="77777777" w:rsidR="00151543" w:rsidRPr="00332C26" w:rsidRDefault="00151543" w:rsidP="00181329">
            <w:pPr>
              <w:pStyle w:val="prastasis1"/>
              <w:jc w:val="both"/>
              <w:rPr>
                <w:rFonts w:ascii="Georgia" w:hAnsi="Georgia"/>
                <w:b w:val="0"/>
                <w:bCs w:val="0"/>
                <w:color w:val="auto"/>
                <w:sz w:val="20"/>
                <w:szCs w:val="20"/>
              </w:rPr>
            </w:pPr>
            <w:r w:rsidRPr="00332C26">
              <w:rPr>
                <w:rFonts w:ascii="Georgia" w:hAnsi="Georgia"/>
                <w:b w:val="0"/>
                <w:sz w:val="20"/>
                <w:szCs w:val="20"/>
              </w:rPr>
              <w:t xml:space="preserve">1. Pakankamai lanksti valdymo struktūra, fondų fondo valdymą galima būtų pavesti </w:t>
            </w:r>
            <w:r>
              <w:rPr>
                <w:rFonts w:ascii="Georgia" w:hAnsi="Georgia"/>
                <w:b w:val="0"/>
                <w:sz w:val="20"/>
                <w:szCs w:val="20"/>
              </w:rPr>
              <w:t xml:space="preserve">EIB ir (arba) </w:t>
            </w:r>
            <w:r w:rsidR="00181329">
              <w:rPr>
                <w:rFonts w:ascii="Georgia" w:hAnsi="Georgia"/>
                <w:b w:val="0"/>
                <w:sz w:val="20"/>
                <w:szCs w:val="20"/>
              </w:rPr>
              <w:t>nacionalinei finansų įstaigai</w:t>
            </w:r>
            <w:r w:rsidRPr="00332C26">
              <w:rPr>
                <w:rFonts w:ascii="Georgia" w:hAnsi="Georgia"/>
                <w:b w:val="0"/>
                <w:sz w:val="20"/>
                <w:szCs w:val="20"/>
              </w:rPr>
              <w:t xml:space="preserve">, o investicinio fondo </w:t>
            </w:r>
            <w:r w:rsidRPr="00332C26">
              <w:rPr>
                <w:rFonts w:ascii="Georgia" w:hAnsi="Georgia"/>
                <w:b w:val="0"/>
                <w:sz w:val="20"/>
                <w:szCs w:val="20"/>
              </w:rPr>
              <w:lastRenderedPageBreak/>
              <w:t xml:space="preserve">steigimą ir valdymą – EIB. </w:t>
            </w:r>
          </w:p>
        </w:tc>
        <w:tc>
          <w:tcPr>
            <w:tcW w:w="4788" w:type="dxa"/>
          </w:tcPr>
          <w:p w14:paraId="79FD2E02" w14:textId="77777777" w:rsidR="00151543" w:rsidRPr="00AC3318" w:rsidRDefault="00151543" w:rsidP="003C45BF">
            <w:pPr>
              <w:pStyle w:val="prastasis1"/>
              <w:jc w:val="both"/>
              <w:cnfStyle w:val="000000100000" w:firstRow="0" w:lastRow="0" w:firstColumn="0" w:lastColumn="0" w:oddVBand="0" w:evenVBand="0" w:oddHBand="1" w:evenHBand="0" w:firstRowFirstColumn="0" w:firstRowLastColumn="0" w:lastRowFirstColumn="0" w:lastRowLastColumn="0"/>
              <w:rPr>
                <w:rFonts w:ascii="Georgia" w:hAnsi="Georgia"/>
                <w:color w:val="auto"/>
                <w:sz w:val="20"/>
                <w:szCs w:val="20"/>
              </w:rPr>
            </w:pPr>
            <w:r w:rsidRPr="00AC3318">
              <w:rPr>
                <w:rFonts w:ascii="Georgia" w:hAnsi="Georgia"/>
                <w:sz w:val="20"/>
                <w:szCs w:val="20"/>
              </w:rPr>
              <w:lastRenderedPageBreak/>
              <w:t>1. 2014 – 2020 m. periodo lėšų panaudojimui turės būti sudaroma nauja sutartis su fondo valdytoju.</w:t>
            </w:r>
          </w:p>
        </w:tc>
      </w:tr>
      <w:tr w:rsidR="00151543" w:rsidRPr="00E649A6" w14:paraId="2C9FCB38" w14:textId="77777777" w:rsidTr="00151543">
        <w:tc>
          <w:tcPr>
            <w:cnfStyle w:val="001000000000" w:firstRow="0" w:lastRow="0" w:firstColumn="1" w:lastColumn="0" w:oddVBand="0" w:evenVBand="0" w:oddHBand="0" w:evenHBand="0" w:firstRowFirstColumn="0" w:firstRowLastColumn="0" w:lastRowFirstColumn="0" w:lastRowLastColumn="0"/>
            <w:tcW w:w="4788" w:type="dxa"/>
          </w:tcPr>
          <w:p w14:paraId="6CCCF90D" w14:textId="77777777" w:rsidR="00151543" w:rsidRPr="00332C26" w:rsidRDefault="00151543" w:rsidP="00151543">
            <w:pPr>
              <w:pStyle w:val="prastasis1"/>
              <w:jc w:val="both"/>
              <w:rPr>
                <w:rFonts w:ascii="Georgia" w:hAnsi="Georgia"/>
                <w:b w:val="0"/>
                <w:bCs w:val="0"/>
                <w:color w:val="auto"/>
                <w:sz w:val="20"/>
                <w:szCs w:val="20"/>
              </w:rPr>
            </w:pPr>
            <w:r w:rsidRPr="00332C26">
              <w:rPr>
                <w:rFonts w:ascii="Georgia" w:hAnsi="Georgia"/>
                <w:b w:val="0"/>
                <w:sz w:val="20"/>
                <w:szCs w:val="20"/>
              </w:rPr>
              <w:lastRenderedPageBreak/>
              <w:t>2. Aiški ir įprasta finansinės priemonės veiklos struktūra (t.y., fondų fondo valdymas ir jo santykiai su finansiniais tarpininkais).</w:t>
            </w:r>
          </w:p>
        </w:tc>
        <w:tc>
          <w:tcPr>
            <w:tcW w:w="4788" w:type="dxa"/>
          </w:tcPr>
          <w:p w14:paraId="0E7B5606" w14:textId="77777777" w:rsidR="00151543" w:rsidRPr="00AC3318" w:rsidRDefault="00151543" w:rsidP="00151543">
            <w:pPr>
              <w:pStyle w:val="prastasis1"/>
              <w:jc w:val="both"/>
              <w:cnfStyle w:val="000000000000" w:firstRow="0" w:lastRow="0" w:firstColumn="0" w:lastColumn="0" w:oddVBand="0" w:evenVBand="0" w:oddHBand="0" w:evenHBand="0" w:firstRowFirstColumn="0" w:firstRowLastColumn="0" w:lastRowFirstColumn="0" w:lastRowLastColumn="0"/>
              <w:rPr>
                <w:rFonts w:ascii="Georgia" w:hAnsi="Georgia"/>
                <w:color w:val="auto"/>
                <w:sz w:val="20"/>
                <w:szCs w:val="20"/>
              </w:rPr>
            </w:pPr>
            <w:r w:rsidRPr="00AC3318">
              <w:rPr>
                <w:rFonts w:ascii="Georgia" w:hAnsi="Georgia"/>
                <w:sz w:val="20"/>
                <w:szCs w:val="20"/>
              </w:rPr>
              <w:t>2. Finansinių tarpininkų atrinkimui galioja Viešųjų pirkimų įstatymo nuostatos, todėl tai labai apsunkins ir gali užtęsti jų atranką.</w:t>
            </w:r>
          </w:p>
        </w:tc>
      </w:tr>
      <w:tr w:rsidR="00151543" w:rsidRPr="00E649A6" w14:paraId="11C3B03A" w14:textId="77777777" w:rsidTr="00151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943EF2D" w14:textId="77777777" w:rsidR="00151543" w:rsidRPr="00332C26" w:rsidRDefault="00151543" w:rsidP="00181329">
            <w:pPr>
              <w:pStyle w:val="prastasis1"/>
              <w:jc w:val="both"/>
              <w:rPr>
                <w:rFonts w:ascii="Georgia" w:hAnsi="Georgia"/>
                <w:b w:val="0"/>
                <w:bCs w:val="0"/>
                <w:color w:val="auto"/>
                <w:sz w:val="20"/>
                <w:szCs w:val="20"/>
              </w:rPr>
            </w:pPr>
            <w:r w:rsidRPr="00332C26">
              <w:rPr>
                <w:rFonts w:ascii="Georgia" w:hAnsi="Georgia"/>
                <w:b w:val="0"/>
                <w:sz w:val="20"/>
                <w:szCs w:val="20"/>
              </w:rPr>
              <w:t xml:space="preserve">3. Finansinę priemonę galima įgyvendinti tiesiogiai ir (arba) per finansinius tarpininkus, jei fondų fondo valdyme dalyvautų </w:t>
            </w:r>
            <w:r w:rsidR="003C45BF">
              <w:rPr>
                <w:rFonts w:ascii="Georgia" w:hAnsi="Georgia"/>
                <w:b w:val="0"/>
                <w:sz w:val="20"/>
                <w:szCs w:val="20"/>
              </w:rPr>
              <w:t>n</w:t>
            </w:r>
            <w:r w:rsidR="00181329">
              <w:rPr>
                <w:rFonts w:ascii="Georgia" w:hAnsi="Georgia"/>
                <w:b w:val="0"/>
                <w:sz w:val="20"/>
                <w:szCs w:val="20"/>
              </w:rPr>
              <w:t>acionalinė finansų įstaiga</w:t>
            </w:r>
            <w:r w:rsidRPr="00332C26">
              <w:rPr>
                <w:rFonts w:ascii="Georgia" w:hAnsi="Georgia"/>
                <w:b w:val="0"/>
                <w:sz w:val="20"/>
                <w:szCs w:val="20"/>
              </w:rPr>
              <w:t>.</w:t>
            </w:r>
          </w:p>
        </w:tc>
        <w:tc>
          <w:tcPr>
            <w:tcW w:w="4788" w:type="dxa"/>
          </w:tcPr>
          <w:p w14:paraId="0E3B3DEF" w14:textId="77777777" w:rsidR="00151543" w:rsidRPr="00AC3318" w:rsidRDefault="00151543" w:rsidP="00151543">
            <w:pPr>
              <w:pStyle w:val="prastasis1"/>
              <w:jc w:val="both"/>
              <w:cnfStyle w:val="000000100000" w:firstRow="0" w:lastRow="0" w:firstColumn="0" w:lastColumn="0" w:oddVBand="0" w:evenVBand="0" w:oddHBand="1" w:evenHBand="0" w:firstRowFirstColumn="0" w:firstRowLastColumn="0" w:lastRowFirstColumn="0" w:lastRowLastColumn="0"/>
              <w:rPr>
                <w:rFonts w:ascii="Georgia" w:hAnsi="Georgia"/>
                <w:color w:val="auto"/>
                <w:sz w:val="20"/>
                <w:szCs w:val="20"/>
              </w:rPr>
            </w:pPr>
          </w:p>
        </w:tc>
      </w:tr>
      <w:tr w:rsidR="00151543" w:rsidRPr="00E649A6" w14:paraId="017AFE04" w14:textId="77777777" w:rsidTr="00151543">
        <w:tc>
          <w:tcPr>
            <w:cnfStyle w:val="001000000000" w:firstRow="0" w:lastRow="0" w:firstColumn="1" w:lastColumn="0" w:oddVBand="0" w:evenVBand="0" w:oddHBand="0" w:evenHBand="0" w:firstRowFirstColumn="0" w:firstRowLastColumn="0" w:lastRowFirstColumn="0" w:lastRowLastColumn="0"/>
            <w:tcW w:w="4788" w:type="dxa"/>
          </w:tcPr>
          <w:p w14:paraId="1B4C4F9A" w14:textId="77777777" w:rsidR="00151543" w:rsidRPr="00332C26" w:rsidRDefault="00151543" w:rsidP="003C45BF">
            <w:pPr>
              <w:pStyle w:val="prastasis1"/>
              <w:jc w:val="both"/>
              <w:rPr>
                <w:rFonts w:ascii="Georgia" w:hAnsi="Georgia"/>
                <w:b w:val="0"/>
                <w:bCs w:val="0"/>
                <w:color w:val="auto"/>
                <w:sz w:val="20"/>
                <w:szCs w:val="20"/>
              </w:rPr>
            </w:pPr>
            <w:r w:rsidRPr="00332C26">
              <w:rPr>
                <w:rFonts w:ascii="Georgia" w:hAnsi="Georgia"/>
                <w:b w:val="0"/>
                <w:sz w:val="20"/>
                <w:szCs w:val="20"/>
              </w:rPr>
              <w:t>4. Pradėtiems projektams sudaromos teisinės prielaidos perkelti finansuoti 2014 – 2020 m. periodo lėšomis.</w:t>
            </w:r>
          </w:p>
        </w:tc>
        <w:tc>
          <w:tcPr>
            <w:tcW w:w="4788" w:type="dxa"/>
          </w:tcPr>
          <w:p w14:paraId="59969911" w14:textId="77777777" w:rsidR="00151543" w:rsidRPr="00AC3318" w:rsidRDefault="00151543" w:rsidP="00151543">
            <w:pPr>
              <w:pStyle w:val="prastasis1"/>
              <w:jc w:val="both"/>
              <w:cnfStyle w:val="000000000000" w:firstRow="0" w:lastRow="0" w:firstColumn="0" w:lastColumn="0" w:oddVBand="0" w:evenVBand="0" w:oddHBand="0" w:evenHBand="0" w:firstRowFirstColumn="0" w:firstRowLastColumn="0" w:lastRowFirstColumn="0" w:lastRowLastColumn="0"/>
              <w:rPr>
                <w:rFonts w:ascii="Georgia" w:hAnsi="Georgia"/>
                <w:color w:val="auto"/>
                <w:sz w:val="20"/>
                <w:szCs w:val="20"/>
              </w:rPr>
            </w:pPr>
          </w:p>
        </w:tc>
      </w:tr>
      <w:tr w:rsidR="00151543" w:rsidRPr="00E649A6" w14:paraId="09E7D642" w14:textId="77777777" w:rsidTr="00151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66F94F3" w14:textId="77777777" w:rsidR="00151543" w:rsidRPr="00332C26" w:rsidRDefault="00151543" w:rsidP="003C45BF">
            <w:pPr>
              <w:pStyle w:val="prastasis1"/>
              <w:jc w:val="both"/>
              <w:rPr>
                <w:rFonts w:ascii="Georgia" w:hAnsi="Georgia"/>
                <w:b w:val="0"/>
                <w:bCs w:val="0"/>
                <w:color w:val="auto"/>
                <w:sz w:val="20"/>
                <w:szCs w:val="20"/>
              </w:rPr>
            </w:pPr>
            <w:r w:rsidRPr="00332C26">
              <w:rPr>
                <w:rFonts w:ascii="Georgia" w:hAnsi="Georgia"/>
                <w:b w:val="0"/>
                <w:sz w:val="20"/>
                <w:szCs w:val="20"/>
              </w:rPr>
              <w:t>5. Leidžia sutaupyti laiko, nes projektai pradedami finansuoti ES</w:t>
            </w:r>
            <w:r w:rsidR="003C45BF">
              <w:rPr>
                <w:rFonts w:ascii="Georgia" w:hAnsi="Georgia"/>
                <w:b w:val="0"/>
                <w:sz w:val="20"/>
                <w:szCs w:val="20"/>
              </w:rPr>
              <w:t>I</w:t>
            </w:r>
            <w:r w:rsidRPr="00332C26">
              <w:rPr>
                <w:rFonts w:ascii="Georgia" w:hAnsi="Georgia"/>
                <w:b w:val="0"/>
                <w:sz w:val="20"/>
                <w:szCs w:val="20"/>
              </w:rPr>
              <w:t xml:space="preserve"> fondų lėšomis, o investicinis fondas, kuriam įsteigti riekia daugiau laiko, kuriamas lygiagrečiai.</w:t>
            </w:r>
          </w:p>
        </w:tc>
        <w:tc>
          <w:tcPr>
            <w:tcW w:w="4788" w:type="dxa"/>
          </w:tcPr>
          <w:p w14:paraId="61B222A4" w14:textId="77777777" w:rsidR="00151543" w:rsidRPr="00AC3318" w:rsidRDefault="00151543" w:rsidP="00151543">
            <w:pPr>
              <w:pStyle w:val="prastasis1"/>
              <w:jc w:val="both"/>
              <w:cnfStyle w:val="000000100000" w:firstRow="0" w:lastRow="0" w:firstColumn="0" w:lastColumn="0" w:oddVBand="0" w:evenVBand="0" w:oddHBand="1" w:evenHBand="0" w:firstRowFirstColumn="0" w:firstRowLastColumn="0" w:lastRowFirstColumn="0" w:lastRowLastColumn="0"/>
              <w:rPr>
                <w:rFonts w:ascii="Georgia" w:hAnsi="Georgia"/>
                <w:color w:val="auto"/>
                <w:sz w:val="20"/>
                <w:szCs w:val="20"/>
              </w:rPr>
            </w:pPr>
          </w:p>
        </w:tc>
      </w:tr>
      <w:tr w:rsidR="00151543" w:rsidRPr="00E649A6" w14:paraId="09B6C0D7" w14:textId="77777777" w:rsidTr="00151543">
        <w:tc>
          <w:tcPr>
            <w:cnfStyle w:val="001000000000" w:firstRow="0" w:lastRow="0" w:firstColumn="1" w:lastColumn="0" w:oddVBand="0" w:evenVBand="0" w:oddHBand="0" w:evenHBand="0" w:firstRowFirstColumn="0" w:firstRowLastColumn="0" w:lastRowFirstColumn="0" w:lastRowLastColumn="0"/>
            <w:tcW w:w="4788" w:type="dxa"/>
          </w:tcPr>
          <w:p w14:paraId="1E134BF0" w14:textId="77777777" w:rsidR="00151543" w:rsidRPr="00332C26" w:rsidRDefault="00151543" w:rsidP="00151543">
            <w:pPr>
              <w:pStyle w:val="prastasis1"/>
              <w:jc w:val="both"/>
              <w:rPr>
                <w:rFonts w:ascii="Georgia" w:hAnsi="Georgia"/>
                <w:b w:val="0"/>
                <w:bCs w:val="0"/>
                <w:color w:val="auto"/>
                <w:sz w:val="20"/>
                <w:szCs w:val="20"/>
              </w:rPr>
            </w:pPr>
            <w:r w:rsidRPr="00332C26">
              <w:rPr>
                <w:rFonts w:ascii="Georgia" w:hAnsi="Georgia"/>
                <w:b w:val="0"/>
                <w:sz w:val="20"/>
                <w:szCs w:val="20"/>
              </w:rPr>
              <w:t>6. Suteikia galimybę pritraukti privataus sektoriaus lėšas.</w:t>
            </w:r>
          </w:p>
        </w:tc>
        <w:tc>
          <w:tcPr>
            <w:tcW w:w="4788" w:type="dxa"/>
          </w:tcPr>
          <w:p w14:paraId="6555053C" w14:textId="77777777" w:rsidR="00151543" w:rsidRPr="00AC3318" w:rsidRDefault="00151543" w:rsidP="00151543">
            <w:pPr>
              <w:pStyle w:val="prastasis1"/>
              <w:jc w:val="both"/>
              <w:cnfStyle w:val="000000000000" w:firstRow="0" w:lastRow="0" w:firstColumn="0" w:lastColumn="0" w:oddVBand="0" w:evenVBand="0" w:oddHBand="0" w:evenHBand="0" w:firstRowFirstColumn="0" w:firstRowLastColumn="0" w:lastRowFirstColumn="0" w:lastRowLastColumn="0"/>
              <w:rPr>
                <w:rFonts w:ascii="Georgia" w:hAnsi="Georgia"/>
                <w:color w:val="auto"/>
                <w:sz w:val="20"/>
                <w:szCs w:val="20"/>
              </w:rPr>
            </w:pPr>
          </w:p>
        </w:tc>
      </w:tr>
      <w:tr w:rsidR="00151543" w:rsidRPr="00E649A6" w14:paraId="06201048" w14:textId="77777777" w:rsidTr="00151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310BD1D" w14:textId="77777777" w:rsidR="00151543" w:rsidRPr="00332C26" w:rsidRDefault="00151543" w:rsidP="00151543">
            <w:pPr>
              <w:pStyle w:val="prastasis1"/>
              <w:jc w:val="both"/>
              <w:rPr>
                <w:rFonts w:ascii="Georgia" w:hAnsi="Georgia"/>
                <w:b w:val="0"/>
                <w:sz w:val="20"/>
                <w:szCs w:val="20"/>
              </w:rPr>
            </w:pPr>
            <w:r w:rsidRPr="001C2860">
              <w:rPr>
                <w:rFonts w:ascii="Georgia" w:hAnsi="Georgia"/>
                <w:b w:val="0"/>
                <w:sz w:val="20"/>
                <w:szCs w:val="20"/>
              </w:rPr>
              <w:t>7.</w:t>
            </w:r>
            <w:r>
              <w:rPr>
                <w:rFonts w:ascii="Georgia" w:hAnsi="Georgia"/>
                <w:b w:val="0"/>
                <w:sz w:val="20"/>
                <w:szCs w:val="20"/>
              </w:rPr>
              <w:t xml:space="preserve"> Finansiniams tarpininkams būtų suteikta galimybė investuoti (išpirkti) savo pačių sėkmingai įgyvendinamų projektų srautus.</w:t>
            </w:r>
          </w:p>
        </w:tc>
        <w:tc>
          <w:tcPr>
            <w:tcW w:w="4788" w:type="dxa"/>
          </w:tcPr>
          <w:p w14:paraId="7433E689" w14:textId="77777777" w:rsidR="00151543" w:rsidRPr="00AC3318" w:rsidRDefault="00151543" w:rsidP="00151543">
            <w:pPr>
              <w:pStyle w:val="prastasis1"/>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p>
        </w:tc>
      </w:tr>
    </w:tbl>
    <w:p w14:paraId="171D4D09" w14:textId="77777777" w:rsidR="00151543" w:rsidRPr="00E649A6" w:rsidRDefault="00151543" w:rsidP="00151543">
      <w:pPr>
        <w:pStyle w:val="prastasis1"/>
        <w:spacing w:line="276" w:lineRule="auto"/>
        <w:jc w:val="both"/>
        <w:rPr>
          <w:rFonts w:ascii="Georgia" w:hAnsi="Georgia"/>
          <w:sz w:val="20"/>
          <w:szCs w:val="20"/>
        </w:rPr>
      </w:pPr>
    </w:p>
    <w:p w14:paraId="5A21128F" w14:textId="77777777" w:rsidR="00151543" w:rsidRPr="00AA32EA" w:rsidRDefault="00151543" w:rsidP="00C03122">
      <w:pPr>
        <w:pStyle w:val="Antrat2"/>
        <w:numPr>
          <w:ilvl w:val="3"/>
          <w:numId w:val="36"/>
        </w:numPr>
        <w:spacing w:after="240"/>
        <w:rPr>
          <w:lang w:val="lt-LT"/>
        </w:rPr>
      </w:pPr>
      <w:bookmarkStart w:id="354" w:name="_Toc398567609"/>
      <w:bookmarkStart w:id="355" w:name="_Toc417378440"/>
      <w:r w:rsidRPr="00AA32EA">
        <w:rPr>
          <w:lang w:val="lt-LT"/>
        </w:rPr>
        <w:t>Siūloma įgyvendinti alternatyva</w:t>
      </w:r>
      <w:bookmarkEnd w:id="354"/>
      <w:bookmarkEnd w:id="355"/>
    </w:p>
    <w:p w14:paraId="41D1CBF2" w14:textId="77777777" w:rsidR="00151543" w:rsidRDefault="00151543" w:rsidP="003D55FC">
      <w:pPr>
        <w:pStyle w:val="prastasis1"/>
        <w:spacing w:line="276" w:lineRule="auto"/>
        <w:jc w:val="both"/>
        <w:rPr>
          <w:rFonts w:ascii="Georgia" w:hAnsi="Georgia"/>
          <w:sz w:val="20"/>
          <w:szCs w:val="20"/>
        </w:rPr>
      </w:pPr>
      <w:r w:rsidRPr="00AC3318">
        <w:rPr>
          <w:rFonts w:ascii="Georgia" w:hAnsi="Georgia"/>
          <w:sz w:val="20"/>
          <w:szCs w:val="20"/>
        </w:rPr>
        <w:t xml:space="preserve">Atsižvelgiant į šiuos aukščiau išdėstytus kiekvienos alternatyvos privalumus ir trūkumus bei prognozuojamą lėšų poreikį tai priemonei įgyvendinti ir tikėtiną finansinio sverto rodiklį, </w:t>
      </w:r>
      <w:r>
        <w:rPr>
          <w:rFonts w:ascii="Georgia" w:hAnsi="Georgia"/>
          <w:sz w:val="20"/>
          <w:szCs w:val="20"/>
        </w:rPr>
        <w:t>rekomenduojama</w:t>
      </w:r>
      <w:r w:rsidRPr="00AC3318">
        <w:rPr>
          <w:rFonts w:ascii="Georgia" w:hAnsi="Georgia"/>
          <w:sz w:val="20"/>
          <w:szCs w:val="20"/>
        </w:rPr>
        <w:t xml:space="preserve"> vadovaujančiai institucijai kartu su Aplinkos ministerija pasirinkti antrą</w:t>
      </w:r>
      <w:r>
        <w:rPr>
          <w:rFonts w:ascii="Georgia" w:hAnsi="Georgia"/>
          <w:sz w:val="20"/>
          <w:szCs w:val="20"/>
        </w:rPr>
        <w:t>jį modelį</w:t>
      </w:r>
      <w:r w:rsidRPr="00AC3318">
        <w:rPr>
          <w:rFonts w:ascii="Georgia" w:hAnsi="Georgia"/>
          <w:sz w:val="20"/>
          <w:szCs w:val="20"/>
        </w:rPr>
        <w:t xml:space="preserve">. </w:t>
      </w:r>
      <w:r>
        <w:rPr>
          <w:rFonts w:ascii="Georgia" w:hAnsi="Georgia"/>
          <w:sz w:val="20"/>
          <w:szCs w:val="20"/>
        </w:rPr>
        <w:t>J</w:t>
      </w:r>
      <w:r w:rsidRPr="00AC3318">
        <w:rPr>
          <w:rFonts w:ascii="Georgia" w:hAnsi="Georgia"/>
          <w:sz w:val="20"/>
          <w:szCs w:val="20"/>
        </w:rPr>
        <w:t>uridin</w:t>
      </w:r>
      <w:r>
        <w:rPr>
          <w:rFonts w:ascii="Georgia" w:hAnsi="Georgia"/>
          <w:sz w:val="20"/>
          <w:szCs w:val="20"/>
        </w:rPr>
        <w:t>io asmens</w:t>
      </w:r>
      <w:r w:rsidRPr="00AC3318">
        <w:rPr>
          <w:rFonts w:ascii="Georgia" w:hAnsi="Georgia"/>
          <w:sz w:val="20"/>
          <w:szCs w:val="20"/>
        </w:rPr>
        <w:t xml:space="preserve"> statusą turinčio fondo steigimas leis tinkamai įgyvendinti pasirinktas finansines priemones daugiabučių namų atnaujinimo srityje</w:t>
      </w:r>
      <w:r>
        <w:rPr>
          <w:rFonts w:ascii="Georgia" w:hAnsi="Georgia"/>
          <w:sz w:val="20"/>
          <w:szCs w:val="20"/>
        </w:rPr>
        <w:t xml:space="preserve">, bus užtikrintas finansinio sverto pasiekimas. </w:t>
      </w:r>
    </w:p>
    <w:p w14:paraId="2889CE25" w14:textId="77777777" w:rsidR="00496433" w:rsidRPr="00496433" w:rsidRDefault="00496433" w:rsidP="00151543">
      <w:pPr>
        <w:pStyle w:val="prastasis1"/>
        <w:spacing w:line="276" w:lineRule="auto"/>
        <w:jc w:val="both"/>
        <w:rPr>
          <w:rFonts w:ascii="Georgia" w:hAnsi="Georgia"/>
          <w:b/>
          <w:i/>
          <w:sz w:val="20"/>
          <w:szCs w:val="20"/>
        </w:rPr>
      </w:pPr>
      <w:r>
        <w:rPr>
          <w:rFonts w:ascii="Georgia" w:hAnsi="Georgia"/>
          <w:sz w:val="20"/>
          <w:szCs w:val="20"/>
        </w:rPr>
        <w:t xml:space="preserve">Pažymėtina, jog, kaip buvo identifikuota 5 skyriuje, </w:t>
      </w:r>
      <w:r w:rsidRPr="00496433">
        <w:rPr>
          <w:rFonts w:ascii="Georgia" w:hAnsi="Georgia"/>
          <w:b/>
          <w:i/>
          <w:sz w:val="20"/>
          <w:szCs w:val="20"/>
        </w:rPr>
        <w:t xml:space="preserve">prieš įgyvendinant šią alternatyvą turi būti pilnai suderinta valstybės pagalbos schema, priešingu atveju kyla rizika pažeisti valstybės pagalbos reikalavimus. </w:t>
      </w:r>
    </w:p>
    <w:p w14:paraId="49B62301" w14:textId="77777777" w:rsidR="003D55FC" w:rsidRPr="003D55FC" w:rsidRDefault="00151543" w:rsidP="003D55FC">
      <w:pPr>
        <w:pStyle w:val="prastasis1"/>
        <w:spacing w:line="276" w:lineRule="auto"/>
        <w:jc w:val="both"/>
        <w:rPr>
          <w:rFonts w:ascii="Georgia" w:hAnsi="Georgia"/>
          <w:sz w:val="20"/>
          <w:szCs w:val="20"/>
        </w:rPr>
      </w:pPr>
      <w:r w:rsidRPr="003D55FC">
        <w:rPr>
          <w:rFonts w:ascii="Georgia" w:hAnsi="Georgia"/>
          <w:sz w:val="20"/>
          <w:szCs w:val="20"/>
        </w:rPr>
        <w:object w:dxaOrig="9615" w:dyaOrig="3675" w14:anchorId="0B04DD54">
          <v:shape id="_x0000_i1031" type="#_x0000_t75" style="width:457.65pt;height:174.55pt" o:ole="">
            <v:imagedata r:id="rId107" o:title=""/>
          </v:shape>
          <o:OLEObject Type="Embed" ProgID="Visio.Drawing.15" ShapeID="_x0000_i1031" DrawAspect="Content" ObjectID="_1572853845" r:id="rId111"/>
        </w:object>
      </w:r>
    </w:p>
    <w:p w14:paraId="6B69B4BA" w14:textId="7ACE196F" w:rsidR="00151543" w:rsidRPr="00A84FBE" w:rsidRDefault="00151543" w:rsidP="00A84FBE">
      <w:pPr>
        <w:pStyle w:val="Antrat"/>
        <w:spacing w:line="276" w:lineRule="auto"/>
        <w:jc w:val="both"/>
        <w:rPr>
          <w:lang w:val="lt-LT"/>
        </w:rPr>
      </w:pPr>
      <w:bookmarkStart w:id="356" w:name="_Toc417378330"/>
      <w:r w:rsidRPr="003C45BF">
        <w:rPr>
          <w:lang w:val="lt-LT"/>
        </w:rPr>
        <w:t xml:space="preserve">Paveikslas </w:t>
      </w:r>
      <w:r w:rsidRPr="003C45BF">
        <w:rPr>
          <w:lang w:val="lt-LT"/>
        </w:rPr>
        <w:fldChar w:fldCharType="begin"/>
      </w:r>
      <w:r w:rsidRPr="003C45BF">
        <w:rPr>
          <w:lang w:val="lt-LT"/>
        </w:rPr>
        <w:instrText xml:space="preserve"> SEQ Paveikslas \* ARABIC </w:instrText>
      </w:r>
      <w:r w:rsidRPr="003C45BF">
        <w:rPr>
          <w:lang w:val="lt-LT"/>
        </w:rPr>
        <w:fldChar w:fldCharType="separate"/>
      </w:r>
      <w:r w:rsidR="00AA3082">
        <w:rPr>
          <w:noProof/>
          <w:lang w:val="lt-LT"/>
        </w:rPr>
        <w:t>53</w:t>
      </w:r>
      <w:r w:rsidRPr="003C45BF">
        <w:rPr>
          <w:lang w:val="lt-LT"/>
        </w:rPr>
        <w:fldChar w:fldCharType="end"/>
      </w:r>
      <w:r w:rsidRPr="003C45BF">
        <w:rPr>
          <w:lang w:val="lt-LT"/>
        </w:rPr>
        <w:t xml:space="preserve">. </w:t>
      </w:r>
      <w:r w:rsidRPr="00A84FBE">
        <w:rPr>
          <w:lang w:val="lt-LT"/>
        </w:rPr>
        <w:t xml:space="preserve">Naujo </w:t>
      </w:r>
      <w:r w:rsidR="00612BE4" w:rsidRPr="00A84FBE">
        <w:rPr>
          <w:lang w:val="lt-LT"/>
        </w:rPr>
        <w:t xml:space="preserve">juridinio asmens </w:t>
      </w:r>
      <w:r w:rsidRPr="00A84FBE">
        <w:rPr>
          <w:lang w:val="lt-LT"/>
        </w:rPr>
        <w:t>statusą turinčio fondo steigimas Lietuvoje.</w:t>
      </w:r>
      <w:bookmarkEnd w:id="356"/>
    </w:p>
    <w:p w14:paraId="51473BD4" w14:textId="77777777" w:rsidR="00151543" w:rsidRDefault="00151543" w:rsidP="00151543">
      <w:pPr>
        <w:pStyle w:val="prastasis1"/>
        <w:jc w:val="both"/>
        <w:rPr>
          <w:rFonts w:ascii="Georgia" w:hAnsi="Georgia"/>
          <w:sz w:val="20"/>
          <w:szCs w:val="20"/>
        </w:rPr>
      </w:pPr>
    </w:p>
    <w:p w14:paraId="34CF2263" w14:textId="77777777" w:rsidR="00151543" w:rsidRPr="00AA32EA" w:rsidRDefault="00151543" w:rsidP="005B4195">
      <w:pPr>
        <w:pStyle w:val="prastasis1"/>
        <w:keepNext/>
        <w:spacing w:line="276" w:lineRule="auto"/>
        <w:jc w:val="both"/>
        <w:rPr>
          <w:rFonts w:ascii="Georgia" w:hAnsi="Georgia"/>
          <w:b/>
          <w:sz w:val="20"/>
          <w:szCs w:val="20"/>
        </w:rPr>
      </w:pPr>
      <w:r w:rsidRPr="00AA32EA">
        <w:rPr>
          <w:rFonts w:ascii="Georgia" w:hAnsi="Georgia"/>
          <w:b/>
          <w:sz w:val="20"/>
          <w:szCs w:val="20"/>
        </w:rPr>
        <w:lastRenderedPageBreak/>
        <w:t>Perėjimas iš dabar veikiančio JESSICA fondo į naujai steigiamą Fondų fondą</w:t>
      </w:r>
    </w:p>
    <w:p w14:paraId="0966F8CC" w14:textId="77777777" w:rsidR="00151543" w:rsidRDefault="00151543" w:rsidP="005B4195">
      <w:pPr>
        <w:pStyle w:val="prastasis1"/>
        <w:keepNext/>
        <w:spacing w:line="276" w:lineRule="auto"/>
        <w:jc w:val="both"/>
        <w:rPr>
          <w:rFonts w:ascii="Georgia" w:hAnsi="Georgia"/>
          <w:sz w:val="20"/>
          <w:szCs w:val="20"/>
        </w:rPr>
      </w:pPr>
      <w:r>
        <w:rPr>
          <w:rFonts w:ascii="Georgia" w:hAnsi="Georgia"/>
          <w:sz w:val="20"/>
          <w:szCs w:val="20"/>
        </w:rPr>
        <w:t>Siekiant sėkmingai tęsti daugiabučių namų modernizavimo programos įgyvendinimą ir 2014-2020 m. periodu, perėjimas iš 2007-2013 m. periodo turėtų būti gerai apgalvotas ir įgyvendintas taip, kad galutiniai naudos gavėjai neturėtų sunkumų adaptuotis prie naujojo periodo.</w:t>
      </w:r>
    </w:p>
    <w:p w14:paraId="4E6372DD" w14:textId="77777777" w:rsidR="00970308" w:rsidRDefault="00970308" w:rsidP="00151543">
      <w:pPr>
        <w:pStyle w:val="prastasis1"/>
        <w:spacing w:line="276" w:lineRule="auto"/>
        <w:jc w:val="both"/>
        <w:rPr>
          <w:rFonts w:ascii="Georgia" w:hAnsi="Georgia"/>
          <w:sz w:val="20"/>
          <w:szCs w:val="20"/>
        </w:rPr>
      </w:pPr>
      <w:r>
        <w:rPr>
          <w:rFonts w:ascii="Georgia" w:hAnsi="Georgia"/>
          <w:sz w:val="20"/>
          <w:szCs w:val="20"/>
        </w:rPr>
        <w:t xml:space="preserve">Pažymėtina, kad kadangi antrosios alternatyvos – komanditinės ūkinės bendrijos – steigimas ir įgyvendinimas užims nemažai laiko kol bus pradedami finansuoti daugiabučių modernizavimo projektai iš 2014-2020 m. periodo lėšų, bei atsižvelgiant į tai, jog šiuo metu yra susiformavęs didžiulis projektų srautas, kurio finansavimas yra didelis iššūkis programavimų periodų sandūros ir kaitos metu, ir JESSICA KF lėšų kiekis nėra pakankamas padengti susiformavusį projektų srautą, schemoje žemiau yra pateikiamas siūlomas pereinamojo laikotarpio modelis. Pažymėtina, jog kadangi pereinamasis laikotarpis iš 2007-2013 m. JESSICA KF į 2014-2020 m. periodo fondą nėra ex ante analizės objektas, šis pereinamasis laikotarpis detaliai nėra nagrinėjamas, tačiau </w:t>
      </w:r>
      <w:r>
        <w:rPr>
          <w:rFonts w:ascii="Georgia" w:hAnsi="Georgia"/>
          <w:b/>
          <w:i/>
          <w:sz w:val="20"/>
          <w:szCs w:val="20"/>
        </w:rPr>
        <w:t>fondų fondo valdytojas turi pateikti tinkamą ir įgyvendinamą veiksmų planą dėl sklandaus perėjimo iš 2007-2013 m. JESSICA KF į 2014-2020 m. fondą užtikrinant susiformavusio projektų srauto kontrolę ir finansavimo tęstinumą.</w:t>
      </w:r>
    </w:p>
    <w:p w14:paraId="583A706F" w14:textId="77777777" w:rsidR="009F55BB" w:rsidRDefault="00430159" w:rsidP="00A84FBE">
      <w:pPr>
        <w:pStyle w:val="prastasis1"/>
        <w:keepNext/>
        <w:spacing w:line="276" w:lineRule="auto"/>
        <w:jc w:val="center"/>
      </w:pPr>
      <w:r w:rsidRPr="00430159">
        <w:rPr>
          <w:rFonts w:ascii="Georgia" w:hAnsi="Georgia"/>
          <w:noProof/>
          <w:sz w:val="20"/>
          <w:szCs w:val="20"/>
        </w:rPr>
        <w:drawing>
          <wp:inline distT="0" distB="0" distL="0" distR="0" wp14:anchorId="54AB8BF2" wp14:editId="5424B81A">
            <wp:extent cx="5732145" cy="3908392"/>
            <wp:effectExtent l="0" t="0" r="1905" b="0"/>
            <wp:docPr id="50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0" name="Picture 3"/>
                    <pic:cNvPicPr>
                      <a:picLocks noChangeAspect="1" noChangeArrowheads="1"/>
                    </pic:cNvPicPr>
                  </pic:nvPicPr>
                  <pic:blipFill>
                    <a:blip r:embed="rId112" cstate="print">
                      <a:extLst>
                        <a:ext uri="{28A0092B-C50C-407E-A947-70E740481C1C}">
                          <a14:useLocalDpi xmlns:a14="http://schemas.microsoft.com/office/drawing/2010/main"/>
                        </a:ext>
                      </a:extLst>
                    </a:blip>
                    <a:srcRect/>
                    <a:stretch>
                      <a:fillRect/>
                    </a:stretch>
                  </pic:blipFill>
                  <pic:spPr bwMode="auto">
                    <a:xfrm>
                      <a:off x="0" y="0"/>
                      <a:ext cx="5732145" cy="3908392"/>
                    </a:xfrm>
                    <a:prstGeom prst="rect">
                      <a:avLst/>
                    </a:prstGeom>
                    <a:noFill/>
                    <a:ln>
                      <a:noFill/>
                    </a:ln>
                    <a:extLst/>
                  </pic:spPr>
                </pic:pic>
              </a:graphicData>
            </a:graphic>
          </wp:inline>
        </w:drawing>
      </w:r>
    </w:p>
    <w:p w14:paraId="54F83E98" w14:textId="04FCDFBE" w:rsidR="00970308" w:rsidRPr="00A84FBE" w:rsidRDefault="00430159" w:rsidP="00430159">
      <w:pPr>
        <w:pStyle w:val="Antrat"/>
        <w:jc w:val="both"/>
        <w:rPr>
          <w:szCs w:val="20"/>
          <w:lang w:val="lt-LT"/>
        </w:rPr>
      </w:pPr>
      <w:bookmarkStart w:id="357" w:name="_Toc417378331"/>
      <w:r w:rsidRPr="00A84FBE">
        <w:rPr>
          <w:lang w:val="lt-LT"/>
        </w:rPr>
        <w:t xml:space="preserve">Paveikslas </w:t>
      </w:r>
      <w:r w:rsidRPr="00A84FBE">
        <w:rPr>
          <w:lang w:val="lt-LT"/>
        </w:rPr>
        <w:fldChar w:fldCharType="begin"/>
      </w:r>
      <w:r w:rsidRPr="00A84FBE">
        <w:rPr>
          <w:lang w:val="lt-LT"/>
        </w:rPr>
        <w:instrText xml:space="preserve"> SEQ Paveikslas \* ARABIC </w:instrText>
      </w:r>
      <w:r w:rsidRPr="00A84FBE">
        <w:rPr>
          <w:lang w:val="lt-LT"/>
        </w:rPr>
        <w:fldChar w:fldCharType="separate"/>
      </w:r>
      <w:r w:rsidR="00AA3082">
        <w:rPr>
          <w:noProof/>
          <w:lang w:val="lt-LT"/>
        </w:rPr>
        <w:t>54</w:t>
      </w:r>
      <w:r w:rsidRPr="00A84FBE">
        <w:rPr>
          <w:lang w:val="lt-LT"/>
        </w:rPr>
        <w:fldChar w:fldCharType="end"/>
      </w:r>
      <w:r w:rsidRPr="00A84FBE">
        <w:rPr>
          <w:lang w:val="lt-LT"/>
        </w:rPr>
        <w:t>. Perėjimas iš JESSICA KF į 2014-2020 m. fondą.</w:t>
      </w:r>
      <w:bookmarkEnd w:id="357"/>
      <w:r w:rsidRPr="00A84FBE">
        <w:rPr>
          <w:lang w:val="lt-LT"/>
        </w:rPr>
        <w:t xml:space="preserve"> </w:t>
      </w:r>
    </w:p>
    <w:p w14:paraId="5286391D" w14:textId="77777777" w:rsidR="00151543" w:rsidRPr="00430159" w:rsidRDefault="00151543" w:rsidP="00430159">
      <w:pPr>
        <w:pStyle w:val="prastasis1"/>
        <w:spacing w:line="276" w:lineRule="auto"/>
        <w:jc w:val="both"/>
        <w:rPr>
          <w:rFonts w:ascii="Georgia" w:hAnsi="Georgia"/>
          <w:sz w:val="20"/>
          <w:szCs w:val="20"/>
        </w:rPr>
      </w:pPr>
      <w:r w:rsidRPr="00430159">
        <w:rPr>
          <w:rFonts w:ascii="Georgia" w:hAnsi="Georgia"/>
          <w:sz w:val="20"/>
          <w:szCs w:val="20"/>
        </w:rPr>
        <w:t xml:space="preserve">Perėjimas iš JESSICA </w:t>
      </w:r>
      <w:r w:rsidR="003C45BF" w:rsidRPr="00430159">
        <w:rPr>
          <w:rFonts w:ascii="Georgia" w:hAnsi="Georgia"/>
          <w:sz w:val="20"/>
          <w:szCs w:val="20"/>
        </w:rPr>
        <w:t>KF</w:t>
      </w:r>
      <w:r w:rsidRPr="00430159">
        <w:rPr>
          <w:rFonts w:ascii="Georgia" w:hAnsi="Georgia"/>
          <w:sz w:val="20"/>
          <w:szCs w:val="20"/>
        </w:rPr>
        <w:t xml:space="preserve"> į naujai įkurtą Fondą būtų vykdomas </w:t>
      </w:r>
      <w:r w:rsidR="00430159">
        <w:rPr>
          <w:rFonts w:ascii="Georgia" w:hAnsi="Georgia"/>
          <w:sz w:val="20"/>
          <w:szCs w:val="20"/>
        </w:rPr>
        <w:t xml:space="preserve">per fondų fondą, sukurtą panaudojant 2014-2020 m. ES lėšas. Šio fondų fondo funkcija – užtikrinti greitą susidariusio projektų srauto finansavimą. Sukūrus fondų fondą, kuris greitai gali reaguoti ir finansuoti projektus, lygiagrečiai gali būti kuriamas juridinio asmens statusą turintis fondas, kuris vėliau perims projektų valdymą iš fondų fondo. </w:t>
      </w:r>
    </w:p>
    <w:p w14:paraId="0249FCF5" w14:textId="77777777" w:rsidR="00FB2554" w:rsidRDefault="00FB2554" w:rsidP="00151543">
      <w:pPr>
        <w:pStyle w:val="prastasis1"/>
        <w:spacing w:line="276" w:lineRule="auto"/>
        <w:jc w:val="both"/>
        <w:rPr>
          <w:rFonts w:ascii="Georgia" w:hAnsi="Georgia"/>
          <w:b/>
          <w:sz w:val="20"/>
          <w:szCs w:val="20"/>
        </w:rPr>
      </w:pPr>
    </w:p>
    <w:p w14:paraId="6B79FA4C" w14:textId="77777777" w:rsidR="00151543" w:rsidRPr="00AA32EA" w:rsidRDefault="00151543" w:rsidP="00151543">
      <w:pPr>
        <w:pStyle w:val="prastasis1"/>
        <w:spacing w:line="276" w:lineRule="auto"/>
        <w:jc w:val="both"/>
        <w:rPr>
          <w:rFonts w:ascii="Georgia" w:hAnsi="Georgia"/>
          <w:b/>
          <w:sz w:val="20"/>
          <w:szCs w:val="20"/>
        </w:rPr>
      </w:pPr>
      <w:r w:rsidRPr="00AA32EA">
        <w:rPr>
          <w:rFonts w:ascii="Georgia" w:hAnsi="Georgia"/>
          <w:b/>
          <w:sz w:val="20"/>
          <w:szCs w:val="20"/>
        </w:rPr>
        <w:lastRenderedPageBreak/>
        <w:t>Bendri teisės aktų reikalavimai struktūrai</w:t>
      </w:r>
    </w:p>
    <w:p w14:paraId="418437C3" w14:textId="77777777" w:rsidR="00151543" w:rsidRPr="0079578D" w:rsidRDefault="00151543" w:rsidP="00151543">
      <w:pPr>
        <w:pStyle w:val="prastasis1"/>
        <w:spacing w:line="276" w:lineRule="auto"/>
        <w:jc w:val="both"/>
        <w:rPr>
          <w:rFonts w:ascii="Georgia" w:hAnsi="Georgia"/>
          <w:sz w:val="20"/>
          <w:szCs w:val="20"/>
        </w:rPr>
      </w:pPr>
      <w:r w:rsidRPr="0079578D">
        <w:rPr>
          <w:rFonts w:ascii="Georgia" w:hAnsi="Georgia"/>
          <w:sz w:val="20"/>
          <w:szCs w:val="20"/>
        </w:rPr>
        <w:t>Vadovaujantis taikytinais teisės aktais, Fondas galėtų būti steigiamas KŪB teisine forma. Tokiu atveju jis privalėtų būti registruotas kaip juridinis asmuo Juridinių asmenų registre.</w:t>
      </w:r>
    </w:p>
    <w:p w14:paraId="085C11E1" w14:textId="77777777" w:rsidR="00151543" w:rsidRPr="0079578D" w:rsidRDefault="00151543" w:rsidP="00151543">
      <w:pPr>
        <w:pStyle w:val="prastasis1"/>
        <w:spacing w:line="276" w:lineRule="auto"/>
        <w:jc w:val="both"/>
        <w:rPr>
          <w:rFonts w:ascii="Georgia" w:hAnsi="Georgia"/>
          <w:sz w:val="20"/>
          <w:szCs w:val="20"/>
        </w:rPr>
      </w:pPr>
      <w:r w:rsidRPr="00EE1E61">
        <w:rPr>
          <w:rFonts w:ascii="Georgia" w:hAnsi="Georgia"/>
          <w:i/>
          <w:sz w:val="20"/>
          <w:szCs w:val="20"/>
        </w:rPr>
        <w:t>Fondo veiklos dokumentai</w:t>
      </w:r>
      <w:r w:rsidRPr="00AA32EA">
        <w:rPr>
          <w:rFonts w:ascii="Georgia" w:hAnsi="Georgia"/>
          <w:i/>
          <w:sz w:val="20"/>
          <w:szCs w:val="20"/>
        </w:rPr>
        <w:t>.</w:t>
      </w:r>
      <w:r w:rsidRPr="0079578D">
        <w:rPr>
          <w:rFonts w:ascii="Georgia" w:hAnsi="Georgia"/>
          <w:sz w:val="20"/>
          <w:szCs w:val="20"/>
        </w:rPr>
        <w:t xml:space="preserve"> Pagrindinis dokumentas, reglamentuojantis KŪB veiklą, yra veiklos sutartis (toliau – Veiklos sutartis), kuri turi būti pasirašoma visų Fondo dalyvių (investuotojų) (tikrųjų narių ir komanditorių (toliau tikrieji nariai ir komanditoriai vadinami “Dalyviais”)) ir patvirtinta notariškai. Kadangi ši sutartis turi būti registruojama Juridinių asmenų registre (tokiu būdu paviešinama), esant poreikiui, tam tikros konfidencialios su Fondo veikla susijusios nuostatos gali būti įtrauktos į atskirus susitarimus, pasirašomus su Dalyviais.</w:t>
      </w:r>
    </w:p>
    <w:p w14:paraId="4F2696A4" w14:textId="77777777" w:rsidR="00151543" w:rsidRPr="0079578D" w:rsidRDefault="00151543" w:rsidP="00151543">
      <w:pPr>
        <w:pStyle w:val="prastasis1"/>
        <w:spacing w:line="276" w:lineRule="auto"/>
        <w:jc w:val="both"/>
        <w:rPr>
          <w:rFonts w:ascii="Georgia" w:hAnsi="Georgia"/>
          <w:sz w:val="20"/>
          <w:szCs w:val="20"/>
        </w:rPr>
      </w:pPr>
      <w:r w:rsidRPr="00EE1E61">
        <w:rPr>
          <w:rFonts w:ascii="Georgia" w:hAnsi="Georgia"/>
          <w:i/>
          <w:sz w:val="20"/>
          <w:szCs w:val="20"/>
        </w:rPr>
        <w:t>Dalyviai</w:t>
      </w:r>
      <w:r w:rsidRPr="00AA32EA">
        <w:rPr>
          <w:rFonts w:ascii="Georgia" w:hAnsi="Georgia"/>
          <w:i/>
          <w:sz w:val="20"/>
          <w:szCs w:val="20"/>
        </w:rPr>
        <w:t>.</w:t>
      </w:r>
      <w:r w:rsidRPr="0079578D">
        <w:rPr>
          <w:rFonts w:ascii="Georgia" w:hAnsi="Georgia"/>
          <w:sz w:val="20"/>
          <w:szCs w:val="20"/>
        </w:rPr>
        <w:t xml:space="preserve"> KŪB turi būti bent vienas tikrasis narys (kuris pagal Fondo prievoles atsako solidariai visu savo turtu; dėl šios priežasties tikraisiais nariais paprastai skiriamos specialiai šiam tikslui įsteigtos įmonės (toliau – SPV)) ir bent vienas komanditorius (kuris pagal Fondo prievoles atsako tik tuo savo turtu, kurį įnešė ir (ar) įsipareigojo įnešti į KŪB). Nėra numatytas maksimalus Fondo dalyvių skaičius. Komanditoriai gali tapti Fondo Dalyviais tiek jo steigimo metu, tiek ir po jo</w:t>
      </w:r>
      <w:r>
        <w:rPr>
          <w:rFonts w:ascii="Georgia" w:hAnsi="Georgia"/>
          <w:sz w:val="20"/>
          <w:szCs w:val="20"/>
        </w:rPr>
        <w:t>.</w:t>
      </w:r>
    </w:p>
    <w:p w14:paraId="166DEA5F" w14:textId="77777777" w:rsidR="00151543" w:rsidRPr="0079578D" w:rsidRDefault="00151543" w:rsidP="00151543">
      <w:pPr>
        <w:pStyle w:val="prastasis1"/>
        <w:spacing w:line="276" w:lineRule="auto"/>
        <w:jc w:val="both"/>
        <w:rPr>
          <w:rFonts w:ascii="Georgia" w:hAnsi="Georgia"/>
          <w:sz w:val="20"/>
          <w:szCs w:val="20"/>
        </w:rPr>
      </w:pPr>
      <w:r w:rsidRPr="0079578D">
        <w:rPr>
          <w:rFonts w:ascii="Georgia" w:hAnsi="Georgia"/>
          <w:sz w:val="20"/>
          <w:szCs w:val="20"/>
        </w:rPr>
        <w:t>Atkreiptinas dėmesys, kad tikruoju nariu negali būti kitų bendrijų tikrieji nariai, individualių įmonių savininkai, valstybė, savivaldybės, valstybės įmonės, savivaldybės įmonės, biudžetinės įstaigos, ūkinės bendrijos ir individualios įmonės, taip pat Europos ekonominių interesų grupės ir jų nariai, o komanditoriumi negali būti valstybė, savivaldybės, valstybės įmonės, savivaldybės įmonės, biudžetinės įstaigos. Taigi, esant poreikiui, kad Lietuvos ministerijos dalyvautų fonde, jos tai galėtų daryti tik per SPV. Be to, KŪB dalyvis tuo pačiu metu negali būti tos pačios KŪB tikruoju nariu ir komanditoriumi.</w:t>
      </w:r>
    </w:p>
    <w:p w14:paraId="11C4FB5B" w14:textId="77777777" w:rsidR="00151543" w:rsidRPr="0079578D" w:rsidRDefault="00151543" w:rsidP="00151543">
      <w:pPr>
        <w:pStyle w:val="prastasis1"/>
        <w:spacing w:line="276" w:lineRule="auto"/>
        <w:jc w:val="both"/>
        <w:rPr>
          <w:rFonts w:ascii="Georgia" w:hAnsi="Georgia"/>
          <w:sz w:val="20"/>
          <w:szCs w:val="20"/>
        </w:rPr>
      </w:pPr>
      <w:r w:rsidRPr="00EE1E61">
        <w:rPr>
          <w:rFonts w:ascii="Georgia" w:hAnsi="Georgia"/>
          <w:i/>
          <w:sz w:val="20"/>
          <w:szCs w:val="20"/>
        </w:rPr>
        <w:t>Dalyvių įnašai</w:t>
      </w:r>
      <w:r w:rsidRPr="00AA32EA">
        <w:rPr>
          <w:rFonts w:ascii="Georgia" w:hAnsi="Georgia"/>
          <w:i/>
          <w:sz w:val="20"/>
          <w:szCs w:val="20"/>
        </w:rPr>
        <w:t xml:space="preserve">. </w:t>
      </w:r>
      <w:r w:rsidRPr="0079578D">
        <w:rPr>
          <w:rFonts w:ascii="Georgia" w:hAnsi="Georgia"/>
          <w:sz w:val="20"/>
          <w:szCs w:val="20"/>
        </w:rPr>
        <w:t>Asmenys tampa KŪB Dalyviais (i) įsipareigodami įnešti įnašą arba (ii) faktiškai jį sumokėdami. Taigi Fondo kapitalas (įnašai) gali būti formuojamas lanksčiai, be to, jam nėra taikomos specialios registravimo ar pan. procedūros, t.y. vadovaujantis Veiklos sutartimi, Dalyviai gali susitarti dėl tam tikrų jų įnašų dydžių į KŪB, kurie būtų sumokami (pilnai arba dalimis), kuomet tai būtų būtina konkrečiam projektui, pagal atskirus Fondo valdytojo (tikrojo nario) prašymus.</w:t>
      </w:r>
    </w:p>
    <w:p w14:paraId="4CEB986A" w14:textId="77777777" w:rsidR="00151543" w:rsidRPr="0079578D" w:rsidRDefault="00151543" w:rsidP="00151543">
      <w:pPr>
        <w:pStyle w:val="prastasis1"/>
        <w:spacing w:line="276" w:lineRule="auto"/>
        <w:jc w:val="both"/>
        <w:rPr>
          <w:rFonts w:ascii="Georgia" w:hAnsi="Georgia"/>
          <w:sz w:val="20"/>
          <w:szCs w:val="20"/>
        </w:rPr>
      </w:pPr>
      <w:r w:rsidRPr="0079578D">
        <w:rPr>
          <w:rFonts w:ascii="Georgia" w:hAnsi="Georgia"/>
          <w:sz w:val="20"/>
          <w:szCs w:val="20"/>
        </w:rPr>
        <w:t xml:space="preserve">Nėra numatyti minimalūs fondo kapitalo (Dalyvių įnašų) reikalavimai, taigi jie gali būti ir, pvz., 1 Lt. Fondo kapitalas gali būti struktūrizuotas kaip (i) Dalyvių įnašai ir (ii) Dalyvių skolos įsipareigojimai (angl. </w:t>
      </w:r>
      <w:r w:rsidRPr="00496433">
        <w:rPr>
          <w:rFonts w:ascii="Georgia" w:hAnsi="Georgia"/>
          <w:i/>
          <w:sz w:val="20"/>
          <w:szCs w:val="20"/>
        </w:rPr>
        <w:t>loan commitments</w:t>
      </w:r>
      <w:r w:rsidRPr="0079578D">
        <w:rPr>
          <w:rFonts w:ascii="Georgia" w:hAnsi="Georgia"/>
          <w:sz w:val="20"/>
          <w:szCs w:val="20"/>
        </w:rPr>
        <w:t>), teikiami Dalyvių ir/ ar kitų asmenų. Taigi bankai ir kiti investuotojai gali dalyvauti Fonde, įnešdami (įsipareigodami įnešti) įnašus (tuo būdu tapdami KŪB Dalyviais) arba per skolos įsipareigojimus (tokiu atveju jie negalėtų būti priimti į Fondą komanditoriais) arba Veiklos sutartyje kombinuojant abu iš nurodytų mokėjimų.</w:t>
      </w:r>
    </w:p>
    <w:p w14:paraId="054309DB" w14:textId="77777777" w:rsidR="00151543" w:rsidRPr="00AA32EA" w:rsidRDefault="00151543" w:rsidP="00151543">
      <w:pPr>
        <w:pStyle w:val="prastasis1"/>
        <w:spacing w:line="276" w:lineRule="auto"/>
        <w:jc w:val="both"/>
        <w:rPr>
          <w:rFonts w:ascii="Georgia" w:hAnsi="Georgia"/>
          <w:b/>
          <w:sz w:val="20"/>
          <w:szCs w:val="20"/>
        </w:rPr>
      </w:pPr>
      <w:r w:rsidRPr="00AA32EA">
        <w:rPr>
          <w:rFonts w:ascii="Georgia" w:hAnsi="Georgia"/>
          <w:b/>
          <w:sz w:val="20"/>
          <w:szCs w:val="20"/>
        </w:rPr>
        <w:t>Fondo valdymas</w:t>
      </w:r>
    </w:p>
    <w:p w14:paraId="77DDC6E2" w14:textId="77777777" w:rsidR="00151543" w:rsidRPr="0079578D" w:rsidRDefault="00151543" w:rsidP="00151543">
      <w:pPr>
        <w:pStyle w:val="prastasis1"/>
        <w:spacing w:line="276" w:lineRule="auto"/>
        <w:jc w:val="both"/>
        <w:rPr>
          <w:rFonts w:ascii="Georgia" w:hAnsi="Georgia"/>
          <w:sz w:val="20"/>
          <w:szCs w:val="20"/>
        </w:rPr>
      </w:pPr>
      <w:r w:rsidRPr="00496433">
        <w:rPr>
          <w:rFonts w:ascii="Georgia" w:hAnsi="Georgia"/>
          <w:i/>
          <w:sz w:val="20"/>
          <w:szCs w:val="20"/>
        </w:rPr>
        <w:t>Teisės aktų reikalavimai.</w:t>
      </w:r>
      <w:r w:rsidRPr="0079578D">
        <w:rPr>
          <w:rFonts w:ascii="Georgia" w:hAnsi="Georgia"/>
          <w:sz w:val="20"/>
          <w:szCs w:val="20"/>
        </w:rPr>
        <w:t xml:space="preserve"> Taikytini teisės aktai nenumato detalių nuostatų, susijusių su KŪB valdymo organais ir/ ar jų kompetencija. Įstatymai neriboja investuotojų (Dalyvių) teisės savo nuožiūra nusimatyti Fondo valdymo struktūrą. Priklausomai nuo specifinių KŪB tikslų Dalyviai iš esmės yra laisvi savo nuožiūra nuspręsti dėl šio klau</w:t>
      </w:r>
      <w:r>
        <w:rPr>
          <w:rFonts w:ascii="Georgia" w:hAnsi="Georgia"/>
          <w:sz w:val="20"/>
          <w:szCs w:val="20"/>
        </w:rPr>
        <w:t xml:space="preserve">simo ir Fondo valdymo struktūrą </w:t>
      </w:r>
      <w:r w:rsidRPr="0079578D">
        <w:rPr>
          <w:rFonts w:ascii="Georgia" w:hAnsi="Georgia"/>
          <w:sz w:val="20"/>
          <w:szCs w:val="20"/>
        </w:rPr>
        <w:t>įtvirtinti Veiklos sutartyje.</w:t>
      </w:r>
    </w:p>
    <w:p w14:paraId="1223D260" w14:textId="77777777" w:rsidR="00151543" w:rsidRPr="0079578D" w:rsidRDefault="00151543" w:rsidP="00151543">
      <w:pPr>
        <w:pStyle w:val="prastasis1"/>
        <w:spacing w:line="276" w:lineRule="auto"/>
        <w:jc w:val="both"/>
        <w:rPr>
          <w:rFonts w:ascii="Georgia" w:hAnsi="Georgia"/>
          <w:sz w:val="20"/>
          <w:szCs w:val="20"/>
        </w:rPr>
      </w:pPr>
      <w:r w:rsidRPr="0079578D">
        <w:rPr>
          <w:rFonts w:ascii="Georgia" w:hAnsi="Georgia"/>
          <w:sz w:val="20"/>
          <w:szCs w:val="20"/>
        </w:rPr>
        <w:t>Vadovaujantis taikytinais teisės aktais, išimtinai tikrasis narys turi teisę veikti KŪB vardu ir vykdyti jo veiklą. Komanditoriai (kartu su tikruoju nariu) priima tik šiuos su KŪB valdymu susijusius sprendimus: dėl jo reorganizavimo, pertvarkymo, likvidavimo, taip pat dėl Veiklos sutarties keitimo. Teisės aktais nėra draudžiama numatyti papildomą komanditorių kompetenciją dėl jų dalyvavimo KŪB valdyme (pvz. tvirtinti tam tikrus Veiklos sutartyje nurodytus sandorius, KŪB vardu sudaromus tikrojo nario).</w:t>
      </w:r>
    </w:p>
    <w:p w14:paraId="034A7389" w14:textId="77777777" w:rsidR="00151543" w:rsidRPr="0079578D" w:rsidRDefault="00151543" w:rsidP="00151543">
      <w:pPr>
        <w:pStyle w:val="prastasis1"/>
        <w:spacing w:line="276" w:lineRule="auto"/>
        <w:jc w:val="both"/>
        <w:rPr>
          <w:rFonts w:ascii="Georgia" w:hAnsi="Georgia"/>
          <w:sz w:val="20"/>
          <w:szCs w:val="20"/>
        </w:rPr>
      </w:pPr>
      <w:r w:rsidRPr="0079578D">
        <w:rPr>
          <w:rFonts w:ascii="Georgia" w:hAnsi="Georgia"/>
          <w:sz w:val="20"/>
          <w:szCs w:val="20"/>
        </w:rPr>
        <w:lastRenderedPageBreak/>
        <w:t>Teisės aktuose nėra numatytas reikalavimas KŪB turėti savo personalą ir/ ar tam tikras pareigybes. Taigi iš esmės Fondas gali neturėti nei vieno savo darbuotojo (ypač, jei visas valdymo funkcijas prisiima Fondo valdytojas, kuris yra atskira įmonė). Tačiau šie aspektai turėtų būti svarstytini konkrečiu atveju, vertinant fondo valdytojo kompetenciją ir turimą valdymo struktūrą.</w:t>
      </w:r>
    </w:p>
    <w:p w14:paraId="5A3F0D42" w14:textId="77777777" w:rsidR="00151543" w:rsidRPr="0079578D" w:rsidRDefault="00151543" w:rsidP="00151543">
      <w:pPr>
        <w:pStyle w:val="prastasis1"/>
        <w:spacing w:line="276" w:lineRule="auto"/>
        <w:jc w:val="both"/>
        <w:rPr>
          <w:rFonts w:ascii="Georgia" w:hAnsi="Georgia"/>
          <w:sz w:val="20"/>
          <w:szCs w:val="20"/>
        </w:rPr>
      </w:pPr>
      <w:r w:rsidRPr="00496433">
        <w:rPr>
          <w:rFonts w:ascii="Georgia" w:hAnsi="Georgia"/>
          <w:i/>
          <w:sz w:val="20"/>
          <w:szCs w:val="20"/>
        </w:rPr>
        <w:t>Galimas Fondo valdymo modelis pagal Veiklos sutartį.</w:t>
      </w:r>
      <w:r w:rsidRPr="0079578D">
        <w:rPr>
          <w:rFonts w:ascii="Georgia" w:hAnsi="Georgia"/>
          <w:sz w:val="20"/>
          <w:szCs w:val="20"/>
        </w:rPr>
        <w:t xml:space="preserve"> Be tikrojo nario, kuris, kaip nurodyta aukščiau, turi teisę atstovauti Fondui ir kuris paprastai veikia kaip Fondo valdytojas, tokio pobūdžio Fonduose paprastai sudaromi šie organai:</w:t>
      </w:r>
    </w:p>
    <w:p w14:paraId="3FEC898D" w14:textId="77777777" w:rsidR="00151543" w:rsidRPr="0079578D" w:rsidRDefault="00151543" w:rsidP="002A576D">
      <w:pPr>
        <w:pStyle w:val="prastasis1"/>
        <w:numPr>
          <w:ilvl w:val="0"/>
          <w:numId w:val="64"/>
        </w:numPr>
        <w:spacing w:line="276" w:lineRule="auto"/>
        <w:ind w:left="567"/>
        <w:jc w:val="both"/>
        <w:rPr>
          <w:rFonts w:ascii="Georgia" w:hAnsi="Georgia"/>
          <w:sz w:val="20"/>
          <w:szCs w:val="20"/>
        </w:rPr>
      </w:pPr>
      <w:r w:rsidRPr="0079578D">
        <w:rPr>
          <w:rFonts w:ascii="Georgia" w:hAnsi="Georgia"/>
          <w:sz w:val="20"/>
          <w:szCs w:val="20"/>
        </w:rPr>
        <w:t>Fondo Dalyvių susirinkimas – visi investuotojai (Dalyviai) turi teisę dalyvauti ir balsuoti susirinkimuose. Šis organas paprastai yra atsakingas už reikšmingiausių su Fondo veikla susijusių klausimų priėmimą (dėl Fondo likvidavimo, naujų Dalyvių priėmimo, tikrojo nario (Fondo valdytojo) pakeitimo ir kt.);</w:t>
      </w:r>
    </w:p>
    <w:p w14:paraId="7065B844" w14:textId="77777777" w:rsidR="00151543" w:rsidRPr="0079578D" w:rsidRDefault="00151543" w:rsidP="002A576D">
      <w:pPr>
        <w:pStyle w:val="prastasis1"/>
        <w:numPr>
          <w:ilvl w:val="0"/>
          <w:numId w:val="64"/>
        </w:numPr>
        <w:spacing w:line="276" w:lineRule="auto"/>
        <w:ind w:left="567"/>
        <w:jc w:val="both"/>
        <w:rPr>
          <w:rFonts w:ascii="Georgia" w:hAnsi="Georgia"/>
          <w:sz w:val="20"/>
          <w:szCs w:val="20"/>
        </w:rPr>
      </w:pPr>
      <w:r w:rsidRPr="0079578D">
        <w:rPr>
          <w:rFonts w:ascii="Georgia" w:hAnsi="Georgia"/>
          <w:sz w:val="20"/>
          <w:szCs w:val="20"/>
        </w:rPr>
        <w:t>Investicinis komitetas (patariamoji valdyba ar pan.) – jis paprastai formuojamas iš narių, kuriuos deleguoja investuotojai (konkretaus investuotojo deleguotų narių skaičiui priklausant nuo, pvz., jo įnašo dydžio, taip pat numatant, kad į šį organą nebus paskirtas su Fondo valdytoju susijęs asmuo ir/ ar jo darbuotojas). Šis organas paprastai atsakingas už strateginių klausimų, susijusių su Fondo investicijomis, priėmimą (Fondo investavimo strategijos patvirtinimą ir keitimą, konkrečių investicijų vertinimą, Fondo metinių išlaidų peržiūrą ir pan.);</w:t>
      </w:r>
    </w:p>
    <w:p w14:paraId="095B04F0" w14:textId="77777777" w:rsidR="00151543" w:rsidRPr="0079578D" w:rsidRDefault="00151543" w:rsidP="002A576D">
      <w:pPr>
        <w:pStyle w:val="prastasis1"/>
        <w:numPr>
          <w:ilvl w:val="0"/>
          <w:numId w:val="64"/>
        </w:numPr>
        <w:spacing w:line="276" w:lineRule="auto"/>
        <w:ind w:left="567"/>
        <w:jc w:val="both"/>
        <w:rPr>
          <w:rFonts w:ascii="Georgia" w:hAnsi="Georgia"/>
          <w:sz w:val="20"/>
          <w:szCs w:val="20"/>
        </w:rPr>
      </w:pPr>
      <w:r w:rsidRPr="0079578D">
        <w:rPr>
          <w:rFonts w:ascii="Georgia" w:hAnsi="Georgia"/>
          <w:sz w:val="20"/>
          <w:szCs w:val="20"/>
        </w:rPr>
        <w:t>Valdymo komitetas – jis paprastai formuojamas Fondo valdytojo (tikrojo nario), ir yra atsakingas už investicinių sprendimų (dėl investavimo ir dėl pasitraukimo iš investicijų) svarstymą ir tvirtinimą.</w:t>
      </w:r>
    </w:p>
    <w:p w14:paraId="03D924F6" w14:textId="77777777" w:rsidR="00151543" w:rsidRPr="0079578D" w:rsidRDefault="00151543" w:rsidP="00151543">
      <w:pPr>
        <w:pStyle w:val="prastasis1"/>
        <w:spacing w:line="276" w:lineRule="auto"/>
        <w:jc w:val="both"/>
        <w:rPr>
          <w:rFonts w:ascii="Georgia" w:hAnsi="Georgia"/>
          <w:sz w:val="20"/>
          <w:szCs w:val="20"/>
        </w:rPr>
      </w:pPr>
      <w:r w:rsidRPr="0079578D">
        <w:rPr>
          <w:rFonts w:ascii="Georgia" w:hAnsi="Georgia"/>
          <w:sz w:val="20"/>
          <w:szCs w:val="20"/>
        </w:rPr>
        <w:t>Atsižvelgiant į tai, kad taikytini teisės aktai nenumato detalių nuostatų, susijusių su KŪB valdymu (išskyrus nuostatas, nurodytas šio skirsnio pradžioje), aukščiau nurodytų organų kompetencijos, jų posėdžių šaukimo procedūros, kvorumo reikalavimai sprendimų priėmimui ir kt. turi būti įtvirtinti Veiklos sutartyje.</w:t>
      </w:r>
    </w:p>
    <w:p w14:paraId="3C6BA691" w14:textId="77777777" w:rsidR="00151543" w:rsidRPr="00AA32EA" w:rsidRDefault="00151543" w:rsidP="00151543">
      <w:pPr>
        <w:pStyle w:val="prastasis1"/>
        <w:spacing w:line="276" w:lineRule="auto"/>
        <w:jc w:val="both"/>
        <w:rPr>
          <w:rFonts w:ascii="Georgia" w:hAnsi="Georgia"/>
          <w:b/>
          <w:sz w:val="20"/>
          <w:szCs w:val="20"/>
        </w:rPr>
      </w:pPr>
      <w:r w:rsidRPr="00AA32EA">
        <w:rPr>
          <w:rFonts w:ascii="Georgia" w:hAnsi="Georgia"/>
          <w:b/>
          <w:sz w:val="20"/>
          <w:szCs w:val="20"/>
        </w:rPr>
        <w:t>Fondo apskaita ir pelno (nuostolių) skirstymas</w:t>
      </w:r>
    </w:p>
    <w:p w14:paraId="08E1E12B" w14:textId="77777777" w:rsidR="00151543" w:rsidRPr="0079578D" w:rsidRDefault="00151543" w:rsidP="00151543">
      <w:pPr>
        <w:pStyle w:val="prastasis1"/>
        <w:spacing w:line="276" w:lineRule="auto"/>
        <w:jc w:val="both"/>
        <w:rPr>
          <w:rFonts w:ascii="Georgia" w:hAnsi="Georgia"/>
          <w:sz w:val="20"/>
          <w:szCs w:val="20"/>
        </w:rPr>
      </w:pPr>
      <w:r w:rsidRPr="0079578D">
        <w:rPr>
          <w:rFonts w:ascii="Georgia" w:hAnsi="Georgia"/>
          <w:sz w:val="20"/>
          <w:szCs w:val="20"/>
        </w:rPr>
        <w:t>Darant prielaidą, kad KŪB tikrasis narys bus uždaroji akcinė bendrovė, Fondas privalės įstatymų nustatyta tvarka parengti metinį pranešimą ir sudaryti metinių finansinių ataskaitų rinkinį. KŪB metinių finansinių ataskaitų rinkinys ir metinis pranešimas ne vėliau kaip per tris mėnesius nuo finansinių metų pabaigos turės būti patvirtinti (finansinių ataskaitų rinkinys turi būti patvirtintas Fondo dalyvių susirinkimo) ir pateikti Juridinių asmenų registrui.</w:t>
      </w:r>
    </w:p>
    <w:p w14:paraId="5C87F5F4" w14:textId="77777777" w:rsidR="00151543" w:rsidRPr="0079578D" w:rsidRDefault="00151543" w:rsidP="00151543">
      <w:pPr>
        <w:pStyle w:val="prastasis1"/>
        <w:spacing w:line="276" w:lineRule="auto"/>
        <w:jc w:val="both"/>
        <w:rPr>
          <w:rFonts w:ascii="Georgia" w:hAnsi="Georgia"/>
          <w:sz w:val="20"/>
          <w:szCs w:val="20"/>
        </w:rPr>
      </w:pPr>
      <w:r w:rsidRPr="0079578D">
        <w:rPr>
          <w:rFonts w:ascii="Georgia" w:hAnsi="Georgia"/>
          <w:sz w:val="20"/>
          <w:szCs w:val="20"/>
        </w:rPr>
        <w:t>Taikytini teisės aktai nereikalauja, kad KŪB finansinių ataskaitų rinkiniai būtų audituoti, tačiau tokio pobūdžio Fondų Veiklos sutartyse paprastai auditas yra numatomas. Be to, nėra numatyta reikalavimo, kad finansinių ataskaitų rinkiniai būtų parengti pagal tarptautinius apskaitos standartus, tačiau paprastai nustatoma, kad rinkiniai turi būti parengti pagal šiuos standartus arba pagal apskaitos standartus, patvirtintus Europos rizikos kapitalo asociacijos. Kadangi dalis fondo lėšų bus ES struktūrinių fondų lėšos, jų apskaitai bus papildomai taikomos tokių lėšų apskaitos ir ataskaitų rengimo taisyklės.</w:t>
      </w:r>
    </w:p>
    <w:p w14:paraId="66F3687B" w14:textId="77777777" w:rsidR="00151543" w:rsidRPr="0079578D" w:rsidRDefault="00151543" w:rsidP="00151543">
      <w:pPr>
        <w:pStyle w:val="prastasis1"/>
        <w:spacing w:line="276" w:lineRule="auto"/>
        <w:jc w:val="both"/>
        <w:rPr>
          <w:rFonts w:ascii="Georgia" w:hAnsi="Georgia"/>
          <w:sz w:val="20"/>
          <w:szCs w:val="20"/>
        </w:rPr>
      </w:pPr>
      <w:r w:rsidRPr="0079578D">
        <w:rPr>
          <w:rFonts w:ascii="Georgia" w:hAnsi="Georgia"/>
          <w:sz w:val="20"/>
          <w:szCs w:val="20"/>
        </w:rPr>
        <w:t>Tokio pobūdžio Fondų Veiklos sutartyse paprastai numatomas ir įpareigojimas be metinių</w:t>
      </w:r>
      <w:r>
        <w:rPr>
          <w:rFonts w:ascii="Georgia" w:hAnsi="Georgia"/>
          <w:sz w:val="20"/>
          <w:szCs w:val="20"/>
        </w:rPr>
        <w:t xml:space="preserve"> </w:t>
      </w:r>
      <w:r w:rsidRPr="0079578D">
        <w:rPr>
          <w:rFonts w:ascii="Georgia" w:hAnsi="Georgia"/>
          <w:sz w:val="20"/>
          <w:szCs w:val="20"/>
        </w:rPr>
        <w:t>finansinių ataskaitų rinkinių papildomai rengti ir pusmetines ir/ ar ketvirtines ataskaitas (tai taip pat nėra reikalaujama taikytinais teisės aktais).</w:t>
      </w:r>
    </w:p>
    <w:p w14:paraId="22FC2488" w14:textId="77777777" w:rsidR="00151543" w:rsidRPr="0079578D" w:rsidRDefault="00151543" w:rsidP="00151543">
      <w:pPr>
        <w:pStyle w:val="prastasis1"/>
        <w:spacing w:line="276" w:lineRule="auto"/>
        <w:jc w:val="both"/>
        <w:rPr>
          <w:rFonts w:ascii="Georgia" w:hAnsi="Georgia"/>
          <w:sz w:val="20"/>
          <w:szCs w:val="20"/>
        </w:rPr>
      </w:pPr>
      <w:r w:rsidRPr="0079578D">
        <w:rPr>
          <w:rFonts w:ascii="Georgia" w:hAnsi="Georgia"/>
          <w:sz w:val="20"/>
          <w:szCs w:val="20"/>
        </w:rPr>
        <w:t xml:space="preserve">Pasibaigus KŪB finansiniams metams, iš Fondo veiklos gautas pelnas paskirstomas Veiklos sutartyje nustatyta tvarka. Dalyviams skirta iš KŪB veiklos gauto pelno dalis Veiklos sutartyje nustatyta tvarka gali būti paskirstyta ir nepasibaigus Fondo finansiniams metams – už trumpesnį negu finansiniai metai laikotarpį kaip avansu išmokamas pelnas, jeigu (i) KŪB per šį laikotarpį gavo pelno, (ii) neturi </w:t>
      </w:r>
      <w:r w:rsidRPr="0079578D">
        <w:rPr>
          <w:rFonts w:ascii="Georgia" w:hAnsi="Georgia"/>
          <w:sz w:val="20"/>
          <w:szCs w:val="20"/>
        </w:rPr>
        <w:lastRenderedPageBreak/>
        <w:t>neįvykdytų prievolių, kurių terminai yra suėję iki sprendimo dėl pelno dalies paskirstymo priėmimo, ir paskirsčius iš KŪB veiklos gautą Dalyviams skirtą pelno dalį būtų pajėgi įvykdyti savo prievoles už einamuosius finansinius metus, (iii) KŪB yra sudariusi ir patvirtinusi trumpesnio negu finansiniai metai laikotarpio, už kurį skirstoma Dalyviams skirta pelno dalis, tarpinių finansinių ataskaitų rinkinį. Be to, KŪB tikrieji nariai Veiklos sutartyje nustatytomis sąlygomis ir tvarka turi teisę gauti Fondo lėšų kaip avansu išmokamą pelną.</w:t>
      </w:r>
    </w:p>
    <w:p w14:paraId="3E1233D2" w14:textId="77777777" w:rsidR="00151543" w:rsidRPr="0079578D" w:rsidRDefault="00151543" w:rsidP="00151543">
      <w:pPr>
        <w:pStyle w:val="prastasis1"/>
        <w:spacing w:line="276" w:lineRule="auto"/>
        <w:jc w:val="both"/>
        <w:rPr>
          <w:rFonts w:ascii="Georgia" w:hAnsi="Georgia"/>
          <w:sz w:val="20"/>
          <w:szCs w:val="20"/>
        </w:rPr>
      </w:pPr>
      <w:r w:rsidRPr="0079578D">
        <w:rPr>
          <w:rFonts w:ascii="Georgia" w:hAnsi="Georgia"/>
          <w:sz w:val="20"/>
          <w:szCs w:val="20"/>
        </w:rPr>
        <w:t>Sprendimas dėl KŪB Dalyviams skirto pelno dalies už trumpesnį negu finansiniai metai laikotarpį paskirstymo gali būti priimtas per tris mėnesius nuo laikotarpio, už kurį siūloma paskirstyti Dalyviams skirto pelno dalį, pabaigos, bet ne anksčiau, negu buvo patvirtintas metinių finansinių ataskaitų rinkinys ir paskirstytas KŪB pelnas už ankstesnius finansinius metus, ir ne vėliau kaip iki finansinių metų pabaigos.</w:t>
      </w:r>
    </w:p>
    <w:p w14:paraId="5B5AE4E4" w14:textId="77777777" w:rsidR="00151543" w:rsidRPr="0079578D" w:rsidRDefault="00151543" w:rsidP="00151543">
      <w:pPr>
        <w:pStyle w:val="prastasis1"/>
        <w:spacing w:line="276" w:lineRule="auto"/>
        <w:jc w:val="both"/>
        <w:rPr>
          <w:rFonts w:ascii="Georgia" w:hAnsi="Georgia"/>
          <w:sz w:val="20"/>
          <w:szCs w:val="20"/>
        </w:rPr>
      </w:pPr>
      <w:r w:rsidRPr="0079578D">
        <w:rPr>
          <w:rFonts w:ascii="Georgia" w:hAnsi="Georgia"/>
          <w:sz w:val="20"/>
          <w:szCs w:val="20"/>
        </w:rPr>
        <w:t>Sprendimą dėl pelno paskirstymo (įskaitant dėl pelno dėl pelno už trumpesnį negu finansiniai metai laikotarpį) priima Fondo tikrieji nariai. Sprendimas priimamas vienbalsiai, jeigu Veiklos sutartyje nenustatyta kitaip.</w:t>
      </w:r>
    </w:p>
    <w:p w14:paraId="490BE45B" w14:textId="77777777" w:rsidR="00151543" w:rsidRPr="0079578D" w:rsidRDefault="00151543" w:rsidP="00151543">
      <w:pPr>
        <w:pStyle w:val="prastasis1"/>
        <w:spacing w:line="276" w:lineRule="auto"/>
        <w:jc w:val="both"/>
        <w:rPr>
          <w:rFonts w:ascii="Georgia" w:hAnsi="Georgia"/>
          <w:sz w:val="20"/>
          <w:szCs w:val="20"/>
        </w:rPr>
      </w:pPr>
      <w:r w:rsidRPr="0079578D">
        <w:rPr>
          <w:rFonts w:ascii="Georgia" w:hAnsi="Georgia"/>
          <w:sz w:val="20"/>
          <w:szCs w:val="20"/>
        </w:rPr>
        <w:t>KŪB pelno dalis, skirta Dalyviams, paskirstoma kiekvienam Dalyviui proporcingai jo įnašo dydžiui, jeigu Veiklos sutartyje nenustatyta kitaip.</w:t>
      </w:r>
    </w:p>
    <w:p w14:paraId="6844559E" w14:textId="77777777" w:rsidR="00151543" w:rsidRPr="00AA32EA" w:rsidRDefault="00151543" w:rsidP="005B4195">
      <w:pPr>
        <w:pStyle w:val="prastasis1"/>
        <w:keepNext/>
        <w:spacing w:line="276" w:lineRule="auto"/>
        <w:jc w:val="both"/>
        <w:rPr>
          <w:rFonts w:ascii="Georgia" w:hAnsi="Georgia"/>
          <w:b/>
          <w:sz w:val="20"/>
          <w:szCs w:val="20"/>
        </w:rPr>
      </w:pPr>
      <w:r w:rsidRPr="00AA32EA">
        <w:rPr>
          <w:rFonts w:ascii="Georgia" w:hAnsi="Georgia"/>
          <w:b/>
          <w:sz w:val="20"/>
          <w:szCs w:val="20"/>
        </w:rPr>
        <w:t>Galima Fondo kaip KŪB struktūra</w:t>
      </w:r>
    </w:p>
    <w:p w14:paraId="20957115" w14:textId="77777777" w:rsidR="00151543" w:rsidRPr="0079578D" w:rsidRDefault="00151543" w:rsidP="005B4195">
      <w:pPr>
        <w:pStyle w:val="prastasis1"/>
        <w:keepNext/>
        <w:spacing w:line="276" w:lineRule="auto"/>
        <w:jc w:val="both"/>
        <w:rPr>
          <w:rFonts w:ascii="Georgia" w:hAnsi="Georgia"/>
          <w:sz w:val="20"/>
          <w:szCs w:val="20"/>
        </w:rPr>
      </w:pPr>
      <w:r w:rsidRPr="0079578D">
        <w:rPr>
          <w:rFonts w:ascii="Georgia" w:hAnsi="Georgia"/>
          <w:sz w:val="20"/>
          <w:szCs w:val="20"/>
        </w:rPr>
        <w:t>Remiantis pateikta informacija, Fondo struktūros prielaidos būtų tokios:</w:t>
      </w:r>
    </w:p>
    <w:p w14:paraId="201FEE93" w14:textId="77777777" w:rsidR="00151543" w:rsidRPr="0079578D" w:rsidRDefault="00151543" w:rsidP="002A576D">
      <w:pPr>
        <w:pStyle w:val="prastasis1"/>
        <w:keepNext/>
        <w:numPr>
          <w:ilvl w:val="0"/>
          <w:numId w:val="61"/>
        </w:numPr>
        <w:spacing w:line="276" w:lineRule="auto"/>
        <w:ind w:left="567"/>
        <w:jc w:val="both"/>
        <w:rPr>
          <w:rFonts w:ascii="Georgia" w:hAnsi="Georgia"/>
          <w:sz w:val="20"/>
          <w:szCs w:val="20"/>
        </w:rPr>
      </w:pPr>
      <w:r w:rsidRPr="0079578D">
        <w:rPr>
          <w:rFonts w:ascii="Georgia" w:hAnsi="Georgia"/>
          <w:sz w:val="20"/>
          <w:szCs w:val="20"/>
        </w:rPr>
        <w:t>Fondo dalyviai būtų valstybės tiesiogiai ar netiesiogiai kontroliuojami ribotos atsakomybės juridiniai asmenys;</w:t>
      </w:r>
    </w:p>
    <w:p w14:paraId="04103CDF" w14:textId="77777777" w:rsidR="00151543" w:rsidRPr="00F03A0C" w:rsidRDefault="00151543" w:rsidP="002A576D">
      <w:pPr>
        <w:pStyle w:val="prastasis1"/>
        <w:numPr>
          <w:ilvl w:val="0"/>
          <w:numId w:val="61"/>
        </w:numPr>
        <w:spacing w:line="276" w:lineRule="auto"/>
        <w:ind w:left="567"/>
        <w:jc w:val="both"/>
        <w:rPr>
          <w:rFonts w:ascii="Georgia" w:hAnsi="Georgia"/>
          <w:sz w:val="20"/>
          <w:szCs w:val="20"/>
        </w:rPr>
      </w:pPr>
      <w:r w:rsidRPr="00F03A0C">
        <w:rPr>
          <w:rFonts w:ascii="Georgia" w:hAnsi="Georgia"/>
          <w:sz w:val="20"/>
          <w:szCs w:val="20"/>
        </w:rPr>
        <w:t>Fondo valdytojas(-ai) būtų paskirtas va</w:t>
      </w:r>
      <w:r>
        <w:rPr>
          <w:rFonts w:ascii="Georgia" w:hAnsi="Georgia"/>
          <w:sz w:val="20"/>
          <w:szCs w:val="20"/>
        </w:rPr>
        <w:t>dovaujanč</w:t>
      </w:r>
      <w:r w:rsidRPr="00F03A0C">
        <w:rPr>
          <w:rFonts w:ascii="Georgia" w:hAnsi="Georgia"/>
          <w:sz w:val="20"/>
          <w:szCs w:val="20"/>
        </w:rPr>
        <w:t>iosios institucijos</w:t>
      </w:r>
      <w:r>
        <w:rPr>
          <w:rFonts w:ascii="Georgia" w:hAnsi="Georgia"/>
          <w:sz w:val="20"/>
          <w:szCs w:val="20"/>
        </w:rPr>
        <w:t xml:space="preserve"> (galimas variantas, kai </w:t>
      </w:r>
      <w:r w:rsidRPr="00F03A0C">
        <w:rPr>
          <w:rFonts w:ascii="Georgia" w:hAnsi="Georgia"/>
          <w:sz w:val="20"/>
          <w:szCs w:val="20"/>
        </w:rPr>
        <w:t>EIB atitinkama sutartimi nustatytą laiką dalyvautų Fondo valdyme kartu su nacionaline finansų įstaiga</w:t>
      </w:r>
      <w:r>
        <w:rPr>
          <w:rFonts w:ascii="Georgia" w:hAnsi="Georgia"/>
          <w:sz w:val="20"/>
          <w:szCs w:val="20"/>
        </w:rPr>
        <w:t>)</w:t>
      </w:r>
      <w:r w:rsidRPr="00F03A0C">
        <w:rPr>
          <w:rFonts w:ascii="Georgia" w:hAnsi="Georgia"/>
          <w:sz w:val="20"/>
          <w:szCs w:val="20"/>
        </w:rPr>
        <w:t>;</w:t>
      </w:r>
    </w:p>
    <w:p w14:paraId="7DFBE4B7" w14:textId="77777777" w:rsidR="00151543" w:rsidRPr="0079578D" w:rsidRDefault="00151543" w:rsidP="002A576D">
      <w:pPr>
        <w:pStyle w:val="prastasis1"/>
        <w:numPr>
          <w:ilvl w:val="0"/>
          <w:numId w:val="61"/>
        </w:numPr>
        <w:spacing w:line="276" w:lineRule="auto"/>
        <w:ind w:left="567"/>
        <w:jc w:val="both"/>
        <w:rPr>
          <w:rFonts w:ascii="Georgia" w:hAnsi="Georgia"/>
          <w:sz w:val="20"/>
          <w:szCs w:val="20"/>
        </w:rPr>
      </w:pPr>
      <w:r w:rsidRPr="0079578D">
        <w:rPr>
          <w:rFonts w:ascii="Georgia" w:hAnsi="Georgia"/>
          <w:sz w:val="20"/>
          <w:szCs w:val="20"/>
        </w:rPr>
        <w:t>Fondo valdymo struktūra turi užtikrinti, kad strateginius investicinius sprendimus patvirtintų LR finansų ministerija ir LR aplinkos ministerija (jų atstovai).</w:t>
      </w:r>
    </w:p>
    <w:p w14:paraId="4382390A" w14:textId="77777777" w:rsidR="00151543" w:rsidRPr="0079578D" w:rsidRDefault="00151543" w:rsidP="00151543">
      <w:pPr>
        <w:pStyle w:val="prastasis1"/>
        <w:spacing w:line="276" w:lineRule="auto"/>
        <w:jc w:val="both"/>
        <w:rPr>
          <w:rFonts w:ascii="Georgia" w:hAnsi="Georgia"/>
          <w:sz w:val="20"/>
          <w:szCs w:val="20"/>
        </w:rPr>
      </w:pPr>
      <w:r>
        <w:rPr>
          <w:rFonts w:ascii="Georgia" w:hAnsi="Georgia"/>
          <w:sz w:val="20"/>
          <w:szCs w:val="20"/>
        </w:rPr>
        <w:t>S</w:t>
      </w:r>
      <w:r w:rsidRPr="0079578D">
        <w:rPr>
          <w:rFonts w:ascii="Georgia" w:hAnsi="Georgia"/>
          <w:sz w:val="20"/>
          <w:szCs w:val="20"/>
        </w:rPr>
        <w:t>iūl</w:t>
      </w:r>
      <w:r>
        <w:rPr>
          <w:rFonts w:ascii="Georgia" w:hAnsi="Georgia"/>
          <w:sz w:val="20"/>
          <w:szCs w:val="20"/>
        </w:rPr>
        <w:t>oma</w:t>
      </w:r>
      <w:r w:rsidRPr="0079578D">
        <w:rPr>
          <w:rFonts w:ascii="Georgia" w:hAnsi="Georgia"/>
          <w:sz w:val="20"/>
          <w:szCs w:val="20"/>
        </w:rPr>
        <w:t xml:space="preserve"> svarstyti toliau aptart</w:t>
      </w:r>
      <w:r>
        <w:rPr>
          <w:rFonts w:ascii="Georgia" w:hAnsi="Georgia"/>
          <w:sz w:val="20"/>
          <w:szCs w:val="20"/>
        </w:rPr>
        <w:t>a</w:t>
      </w:r>
      <w:r w:rsidRPr="0079578D">
        <w:rPr>
          <w:rFonts w:ascii="Georgia" w:hAnsi="Georgia"/>
          <w:sz w:val="20"/>
          <w:szCs w:val="20"/>
        </w:rPr>
        <w:t xml:space="preserve"> principin</w:t>
      </w:r>
      <w:r>
        <w:rPr>
          <w:rFonts w:ascii="Georgia" w:hAnsi="Georgia"/>
          <w:sz w:val="20"/>
          <w:szCs w:val="20"/>
        </w:rPr>
        <w:t>ė</w:t>
      </w:r>
      <w:r w:rsidRPr="0079578D">
        <w:rPr>
          <w:rFonts w:ascii="Georgia" w:hAnsi="Georgia"/>
          <w:sz w:val="20"/>
          <w:szCs w:val="20"/>
        </w:rPr>
        <w:t xml:space="preserve"> Fondo struktūr</w:t>
      </w:r>
      <w:r>
        <w:rPr>
          <w:rFonts w:ascii="Georgia" w:hAnsi="Georgia"/>
          <w:sz w:val="20"/>
          <w:szCs w:val="20"/>
        </w:rPr>
        <w:t>a</w:t>
      </w:r>
      <w:r w:rsidRPr="0079578D">
        <w:rPr>
          <w:rFonts w:ascii="Georgia" w:hAnsi="Georgia"/>
          <w:sz w:val="20"/>
          <w:szCs w:val="20"/>
        </w:rPr>
        <w:t xml:space="preserve"> (Fondo grafinė struktūra nurodyta </w:t>
      </w:r>
      <w:r>
        <w:rPr>
          <w:rFonts w:ascii="Georgia" w:hAnsi="Georgia"/>
          <w:sz w:val="20"/>
          <w:szCs w:val="20"/>
        </w:rPr>
        <w:t>38-ame paveiksle</w:t>
      </w:r>
      <w:r w:rsidRPr="0079578D">
        <w:rPr>
          <w:rFonts w:ascii="Georgia" w:hAnsi="Georgia"/>
          <w:sz w:val="20"/>
          <w:szCs w:val="20"/>
        </w:rPr>
        <w:t>):</w:t>
      </w:r>
    </w:p>
    <w:p w14:paraId="75D31882" w14:textId="77777777" w:rsidR="00151543" w:rsidRPr="0079578D" w:rsidRDefault="00151543" w:rsidP="002A576D">
      <w:pPr>
        <w:pStyle w:val="prastasis1"/>
        <w:numPr>
          <w:ilvl w:val="0"/>
          <w:numId w:val="60"/>
        </w:numPr>
        <w:spacing w:line="276" w:lineRule="auto"/>
        <w:ind w:left="567"/>
        <w:jc w:val="both"/>
        <w:rPr>
          <w:rFonts w:ascii="Georgia" w:hAnsi="Georgia"/>
          <w:sz w:val="20"/>
          <w:szCs w:val="20"/>
        </w:rPr>
      </w:pPr>
      <w:r w:rsidRPr="00A36B00">
        <w:rPr>
          <w:rFonts w:ascii="Georgia" w:hAnsi="Georgia"/>
          <w:sz w:val="20"/>
          <w:szCs w:val="20"/>
        </w:rPr>
        <w:t>Fondo komanditoriumi galėtų būti naujai sukurtas ar egzistuojantis valdžios kontroliuojamas juridinis subjektas (tol</w:t>
      </w:r>
      <w:r>
        <w:rPr>
          <w:rFonts w:ascii="Georgia" w:hAnsi="Georgia"/>
          <w:sz w:val="20"/>
          <w:szCs w:val="20"/>
        </w:rPr>
        <w:t>iau – „Nacionalinis subjektas“)</w:t>
      </w:r>
      <w:r w:rsidRPr="00A36B00">
        <w:rPr>
          <w:rFonts w:ascii="Georgia" w:hAnsi="Georgia"/>
          <w:sz w:val="20"/>
          <w:szCs w:val="20"/>
        </w:rPr>
        <w:t>.</w:t>
      </w:r>
      <w:r>
        <w:rPr>
          <w:rFonts w:ascii="Georgia" w:hAnsi="Georgia"/>
          <w:sz w:val="20"/>
          <w:szCs w:val="20"/>
        </w:rPr>
        <w:t xml:space="preserve"> </w:t>
      </w:r>
      <w:r w:rsidRPr="00A36B00">
        <w:rPr>
          <w:rFonts w:ascii="Georgia" w:hAnsi="Georgia"/>
          <w:sz w:val="20"/>
          <w:szCs w:val="20"/>
        </w:rPr>
        <w:t>Jei būtų siekiama išvengti neribotos Fondo tikrojo nario atsako</w:t>
      </w:r>
      <w:r>
        <w:rPr>
          <w:rFonts w:ascii="Georgia" w:hAnsi="Georgia"/>
          <w:sz w:val="20"/>
          <w:szCs w:val="20"/>
        </w:rPr>
        <w:t>mybės, juo siūlytume skirti SPV</w:t>
      </w:r>
      <w:r w:rsidRPr="00A36B00">
        <w:rPr>
          <w:rFonts w:ascii="Georgia" w:hAnsi="Georgia"/>
          <w:sz w:val="20"/>
          <w:szCs w:val="20"/>
        </w:rPr>
        <w:t>. SPV galėtų įsteigti Nacionalinis subjektas ar kitas asmuo.</w:t>
      </w:r>
    </w:p>
    <w:p w14:paraId="3E60384D" w14:textId="77777777" w:rsidR="00151543" w:rsidRPr="0079578D" w:rsidRDefault="00151543" w:rsidP="002A576D">
      <w:pPr>
        <w:pStyle w:val="prastasis1"/>
        <w:numPr>
          <w:ilvl w:val="0"/>
          <w:numId w:val="60"/>
        </w:numPr>
        <w:spacing w:line="276" w:lineRule="auto"/>
        <w:ind w:left="567"/>
        <w:jc w:val="both"/>
        <w:rPr>
          <w:rFonts w:ascii="Georgia" w:hAnsi="Georgia"/>
          <w:sz w:val="20"/>
          <w:szCs w:val="20"/>
        </w:rPr>
      </w:pPr>
      <w:r w:rsidRPr="0079578D">
        <w:rPr>
          <w:rFonts w:ascii="Georgia" w:hAnsi="Georgia"/>
          <w:sz w:val="20"/>
          <w:szCs w:val="20"/>
        </w:rPr>
        <w:t>Aukščiau nurodyti subjektai (Nacionalinis subjektas kaip komanditorius ir SPV, kontroliuojamas Nacionalinio subjekto ar kito asmens, kaip tikrasis narys) būtų Fondo dalyviais, kartu su bankais ir kitais galimais investuotojais, kurie taptų Fondo komanditoriais, įsipareigojusiais atlikti įnašus į KŪB ir suteikti reikiamas paskolas (angl. loan commitment).</w:t>
      </w:r>
    </w:p>
    <w:p w14:paraId="0C5CAC3B" w14:textId="77777777" w:rsidR="00151543" w:rsidRPr="0079578D" w:rsidRDefault="00151543" w:rsidP="002A576D">
      <w:pPr>
        <w:pStyle w:val="prastasis1"/>
        <w:numPr>
          <w:ilvl w:val="0"/>
          <w:numId w:val="60"/>
        </w:numPr>
        <w:spacing w:line="276" w:lineRule="auto"/>
        <w:ind w:left="567"/>
        <w:jc w:val="both"/>
        <w:rPr>
          <w:rFonts w:ascii="Georgia" w:hAnsi="Georgia"/>
          <w:sz w:val="20"/>
          <w:szCs w:val="20"/>
        </w:rPr>
      </w:pPr>
      <w:r w:rsidRPr="0079578D">
        <w:rPr>
          <w:rFonts w:ascii="Georgia" w:hAnsi="Georgia"/>
          <w:sz w:val="20"/>
          <w:szCs w:val="20"/>
        </w:rPr>
        <w:t>EIB, kaip kontroliuojančiojo fondo valdytojas</w:t>
      </w:r>
      <w:r>
        <w:rPr>
          <w:rFonts w:ascii="Georgia" w:hAnsi="Georgia"/>
          <w:sz w:val="20"/>
          <w:szCs w:val="20"/>
        </w:rPr>
        <w:t xml:space="preserve"> arba vienas iš kontroliuojančiojo fondo valdytojų</w:t>
      </w:r>
      <w:r w:rsidRPr="0079578D">
        <w:rPr>
          <w:rFonts w:ascii="Georgia" w:hAnsi="Georgia"/>
          <w:sz w:val="20"/>
          <w:szCs w:val="20"/>
        </w:rPr>
        <w:t>, paskirtas vadovaujančiosios institucijos, investuoja į Fondą,</w:t>
      </w:r>
      <w:r>
        <w:rPr>
          <w:rFonts w:ascii="Georgia" w:hAnsi="Georgia"/>
          <w:sz w:val="20"/>
          <w:szCs w:val="20"/>
        </w:rPr>
        <w:t xml:space="preserve"> </w:t>
      </w:r>
      <w:r w:rsidRPr="0079578D">
        <w:rPr>
          <w:rFonts w:ascii="Georgia" w:hAnsi="Georgia"/>
          <w:sz w:val="20"/>
          <w:szCs w:val="20"/>
        </w:rPr>
        <w:t>suteikdamas jam (sąlyginę) paskolą, kuri galėtų būti subordinuojama kitų investuotojų ar kredito davėjų teikiamo finansavimo atžvilgiu ir būtų prilyginama Fondo kapitalui.</w:t>
      </w:r>
    </w:p>
    <w:p w14:paraId="5A480722" w14:textId="77777777" w:rsidR="002B0C63" w:rsidRDefault="00144349" w:rsidP="002B0C63">
      <w:pPr>
        <w:pStyle w:val="prastasis1"/>
        <w:spacing w:line="276" w:lineRule="auto"/>
        <w:jc w:val="both"/>
        <w:rPr>
          <w:rFonts w:ascii="Georgia" w:hAnsi="Georgia"/>
          <w:sz w:val="20"/>
          <w:szCs w:val="20"/>
        </w:rPr>
      </w:pPr>
      <w:r>
        <w:rPr>
          <w:rFonts w:ascii="Georgia" w:hAnsi="Georgia"/>
          <w:b/>
          <w:sz w:val="20"/>
          <w:szCs w:val="20"/>
        </w:rPr>
        <w:br w:type="page"/>
      </w:r>
      <w:r w:rsidR="002B0C63">
        <w:rPr>
          <w:rFonts w:ascii="Georgia" w:hAnsi="Georgia"/>
          <w:sz w:val="20"/>
          <w:szCs w:val="20"/>
        </w:rPr>
        <w:lastRenderedPageBreak/>
        <w:t>Galima KŪB formos fondo struktūra pavaizduota paveiksle žemiau.</w:t>
      </w:r>
    </w:p>
    <w:p w14:paraId="184689EE" w14:textId="77777777" w:rsidR="002B0C63" w:rsidRDefault="002B0C63" w:rsidP="002B0C63">
      <w:pPr>
        <w:pStyle w:val="prastasis1"/>
        <w:jc w:val="both"/>
        <w:rPr>
          <w:rFonts w:ascii="Georgia" w:hAnsi="Georgia"/>
          <w:i/>
          <w:sz w:val="20"/>
          <w:szCs w:val="20"/>
        </w:rPr>
      </w:pPr>
      <w:r>
        <w:rPr>
          <w:noProof/>
        </w:rPr>
        <mc:AlternateContent>
          <mc:Choice Requires="wpg">
            <w:drawing>
              <wp:inline distT="0" distB="0" distL="0" distR="0" wp14:anchorId="1FB79A95" wp14:editId="61B21780">
                <wp:extent cx="5943600" cy="5222758"/>
                <wp:effectExtent l="0" t="0" r="19050" b="16510"/>
                <wp:docPr id="150" name="Grupė 150"/>
                <wp:cNvGraphicFramePr/>
                <a:graphic xmlns:a="http://schemas.openxmlformats.org/drawingml/2006/main">
                  <a:graphicData uri="http://schemas.microsoft.com/office/word/2010/wordprocessingGroup">
                    <wpg:wgp>
                      <wpg:cNvGrpSpPr/>
                      <wpg:grpSpPr>
                        <a:xfrm>
                          <a:off x="0" y="0"/>
                          <a:ext cx="5943600" cy="5222758"/>
                          <a:chOff x="0" y="-112724"/>
                          <a:chExt cx="6238875" cy="5482222"/>
                        </a:xfrm>
                      </wpg:grpSpPr>
                      <wpg:grpSp>
                        <wpg:cNvPr id="151" name="Grupė 151"/>
                        <wpg:cNvGrpSpPr/>
                        <wpg:grpSpPr>
                          <a:xfrm>
                            <a:off x="0" y="4209685"/>
                            <a:ext cx="5915599" cy="1159813"/>
                            <a:chOff x="0" y="-365"/>
                            <a:chExt cx="5915599" cy="1159813"/>
                          </a:xfrm>
                        </wpg:grpSpPr>
                        <wps:wsp>
                          <wps:cNvPr id="152" name="2 teksto laukas"/>
                          <wps:cNvSpPr txBox="1">
                            <a:spLocks noChangeArrowheads="1"/>
                          </wps:cNvSpPr>
                          <wps:spPr bwMode="auto">
                            <a:xfrm>
                              <a:off x="0" y="-365"/>
                              <a:ext cx="5915599" cy="463915"/>
                            </a:xfrm>
                            <a:prstGeom prst="rect">
                              <a:avLst/>
                            </a:prstGeom>
                            <a:solidFill>
                              <a:srgbClr val="FFFFFF"/>
                            </a:solidFill>
                            <a:ln w="9525">
                              <a:solidFill>
                                <a:srgbClr val="000000"/>
                              </a:solidFill>
                              <a:miter lim="800000"/>
                              <a:headEnd/>
                              <a:tailEnd/>
                            </a:ln>
                          </wps:spPr>
                          <wps:txbx>
                            <w:txbxContent>
                              <w:p w14:paraId="6DAB1B44" w14:textId="77777777" w:rsidR="00A65A8D" w:rsidRDefault="00A65A8D" w:rsidP="002B0C63">
                                <w:pPr>
                                  <w:spacing w:after="0" w:line="240" w:lineRule="auto"/>
                                  <w:jc w:val="center"/>
                                </w:pPr>
                                <w:r>
                                  <w:t>Fondas</w:t>
                                </w:r>
                              </w:p>
                              <w:p w14:paraId="5841E05C" w14:textId="77777777" w:rsidR="00A65A8D" w:rsidRDefault="00A65A8D" w:rsidP="002B0C63">
                                <w:pPr>
                                  <w:spacing w:after="0" w:line="240" w:lineRule="auto"/>
                                  <w:jc w:val="center"/>
                                </w:pPr>
                                <w:r>
                                  <w:t>(juridinis asmuo)</w:t>
                                </w:r>
                              </w:p>
                            </w:txbxContent>
                          </wps:txbx>
                          <wps:bodyPr rot="0" vert="horz" wrap="square" lIns="91440" tIns="45720" rIns="91440" bIns="45720" anchor="t" anchorCtr="0">
                            <a:spAutoFit/>
                          </wps:bodyPr>
                        </wps:wsp>
                        <wps:wsp>
                          <wps:cNvPr id="153" name="2 teksto laukas"/>
                          <wps:cNvSpPr txBox="1">
                            <a:spLocks noChangeArrowheads="1"/>
                          </wps:cNvSpPr>
                          <wps:spPr bwMode="auto">
                            <a:xfrm>
                              <a:off x="0" y="713948"/>
                              <a:ext cx="1333759" cy="445252"/>
                            </a:xfrm>
                            <a:prstGeom prst="rect">
                              <a:avLst/>
                            </a:prstGeom>
                            <a:solidFill>
                              <a:srgbClr val="FFFFFF"/>
                            </a:solidFill>
                            <a:ln w="9525">
                              <a:solidFill>
                                <a:srgbClr val="000000"/>
                              </a:solidFill>
                              <a:miter lim="800000"/>
                              <a:headEnd/>
                              <a:tailEnd/>
                            </a:ln>
                          </wps:spPr>
                          <wps:txbx>
                            <w:txbxContent>
                              <w:p w14:paraId="799B4A24" w14:textId="77777777" w:rsidR="00A65A8D" w:rsidRDefault="00A65A8D" w:rsidP="002B0C63">
                                <w:r>
                                  <w:t>Paskola/investicija</w:t>
                                </w:r>
                              </w:p>
                            </w:txbxContent>
                          </wps:txbx>
                          <wps:bodyPr rot="0" vert="horz" wrap="square" lIns="91440" tIns="45720" rIns="91440" bIns="45720" anchor="t" anchorCtr="0">
                            <a:spAutoFit/>
                          </wps:bodyPr>
                        </wps:wsp>
                        <wps:wsp>
                          <wps:cNvPr id="154" name="2 teksto laukas"/>
                          <wps:cNvSpPr txBox="1">
                            <a:spLocks noChangeArrowheads="1"/>
                          </wps:cNvSpPr>
                          <wps:spPr bwMode="auto">
                            <a:xfrm>
                              <a:off x="1485900" y="713948"/>
                              <a:ext cx="1333092" cy="445252"/>
                            </a:xfrm>
                            <a:prstGeom prst="rect">
                              <a:avLst/>
                            </a:prstGeom>
                            <a:solidFill>
                              <a:srgbClr val="FFFFFF"/>
                            </a:solidFill>
                            <a:ln w="9525">
                              <a:solidFill>
                                <a:srgbClr val="000000"/>
                              </a:solidFill>
                              <a:miter lim="800000"/>
                              <a:headEnd/>
                              <a:tailEnd/>
                            </a:ln>
                          </wps:spPr>
                          <wps:txbx>
                            <w:txbxContent>
                              <w:p w14:paraId="029863CE" w14:textId="77777777" w:rsidR="00A65A8D" w:rsidRDefault="00A65A8D" w:rsidP="002B0C63">
                                <w:r>
                                  <w:t>Paskola/investicija</w:t>
                                </w:r>
                              </w:p>
                            </w:txbxContent>
                          </wps:txbx>
                          <wps:bodyPr rot="0" vert="horz" wrap="square" lIns="91440" tIns="45720" rIns="91440" bIns="45720" anchor="t" anchorCtr="0">
                            <a:spAutoFit/>
                          </wps:bodyPr>
                        </wps:wsp>
                        <wps:wsp>
                          <wps:cNvPr id="159" name="2 teksto laukas"/>
                          <wps:cNvSpPr txBox="1">
                            <a:spLocks noChangeArrowheads="1"/>
                          </wps:cNvSpPr>
                          <wps:spPr bwMode="auto">
                            <a:xfrm>
                              <a:off x="2952750" y="714196"/>
                              <a:ext cx="1333759" cy="445252"/>
                            </a:xfrm>
                            <a:prstGeom prst="rect">
                              <a:avLst/>
                            </a:prstGeom>
                            <a:solidFill>
                              <a:srgbClr val="FFFFFF"/>
                            </a:solidFill>
                            <a:ln w="9525">
                              <a:solidFill>
                                <a:srgbClr val="000000"/>
                              </a:solidFill>
                              <a:miter lim="800000"/>
                              <a:headEnd/>
                              <a:tailEnd/>
                            </a:ln>
                          </wps:spPr>
                          <wps:txbx>
                            <w:txbxContent>
                              <w:p w14:paraId="56FCCEC4" w14:textId="77777777" w:rsidR="00A65A8D" w:rsidRDefault="00A65A8D" w:rsidP="002B0C63">
                                <w:r>
                                  <w:t>Paskola/investicija</w:t>
                                </w:r>
                              </w:p>
                            </w:txbxContent>
                          </wps:txbx>
                          <wps:bodyPr rot="0" vert="horz" wrap="square" lIns="91440" tIns="45720" rIns="91440" bIns="45720" anchor="t" anchorCtr="0">
                            <a:spAutoFit/>
                          </wps:bodyPr>
                        </wps:wsp>
                        <wps:wsp>
                          <wps:cNvPr id="4160" name="2 teksto laukas"/>
                          <wps:cNvSpPr txBox="1">
                            <a:spLocks noChangeArrowheads="1"/>
                          </wps:cNvSpPr>
                          <wps:spPr bwMode="auto">
                            <a:xfrm>
                              <a:off x="4552950" y="713925"/>
                              <a:ext cx="1333759" cy="445252"/>
                            </a:xfrm>
                            <a:prstGeom prst="rect">
                              <a:avLst/>
                            </a:prstGeom>
                            <a:solidFill>
                              <a:srgbClr val="FFFFFF"/>
                            </a:solidFill>
                            <a:ln w="9525">
                              <a:solidFill>
                                <a:srgbClr val="000000"/>
                              </a:solidFill>
                              <a:miter lim="800000"/>
                              <a:headEnd/>
                              <a:tailEnd/>
                            </a:ln>
                          </wps:spPr>
                          <wps:txbx>
                            <w:txbxContent>
                              <w:p w14:paraId="60A86814" w14:textId="77777777" w:rsidR="00A65A8D" w:rsidRDefault="00A65A8D" w:rsidP="002B0C63">
                                <w:r>
                                  <w:t>Paskola/investicija</w:t>
                                </w:r>
                              </w:p>
                            </w:txbxContent>
                          </wps:txbx>
                          <wps:bodyPr rot="0" vert="horz" wrap="square" lIns="91440" tIns="45720" rIns="91440" bIns="45720" anchor="t" anchorCtr="0">
                            <a:spAutoFit/>
                          </wps:bodyPr>
                        </wps:wsp>
                        <wps:wsp>
                          <wps:cNvPr id="4161" name="Tiesioji rodyklės jungtis 4161"/>
                          <wps:cNvCnPr/>
                          <wps:spPr>
                            <a:xfrm>
                              <a:off x="638175" y="438150"/>
                              <a:ext cx="0" cy="273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62" name="Tiesioji rodyklės jungtis 4162"/>
                          <wps:cNvCnPr/>
                          <wps:spPr>
                            <a:xfrm>
                              <a:off x="2200275" y="438150"/>
                              <a:ext cx="0" cy="273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63" name="Tiesioji rodyklės jungtis 4163"/>
                          <wps:cNvCnPr/>
                          <wps:spPr>
                            <a:xfrm>
                              <a:off x="5305425" y="438150"/>
                              <a:ext cx="0" cy="273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64" name="Tiesioji rodyklės jungtis 4164"/>
                          <wps:cNvCnPr/>
                          <wps:spPr>
                            <a:xfrm>
                              <a:off x="3705225" y="438150"/>
                              <a:ext cx="0" cy="273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4165" name="Grupė 4165"/>
                        <wpg:cNvGrpSpPr/>
                        <wpg:grpSpPr>
                          <a:xfrm>
                            <a:off x="142875" y="-112724"/>
                            <a:ext cx="4255583" cy="1262762"/>
                            <a:chOff x="0" y="-112724"/>
                            <a:chExt cx="4255583" cy="1262762"/>
                          </a:xfrm>
                        </wpg:grpSpPr>
                        <wps:wsp>
                          <wps:cNvPr id="4166" name="2 teksto laukas"/>
                          <wps:cNvSpPr txBox="1">
                            <a:spLocks noChangeArrowheads="1"/>
                          </wps:cNvSpPr>
                          <wps:spPr bwMode="auto">
                            <a:xfrm>
                              <a:off x="1866900" y="-112724"/>
                              <a:ext cx="1419076" cy="651215"/>
                            </a:xfrm>
                            <a:prstGeom prst="rect">
                              <a:avLst/>
                            </a:prstGeom>
                            <a:solidFill>
                              <a:srgbClr val="FFFFFF"/>
                            </a:solidFill>
                            <a:ln w="9525">
                              <a:noFill/>
                              <a:miter lim="800000"/>
                              <a:headEnd/>
                              <a:tailEnd/>
                            </a:ln>
                          </wps:spPr>
                          <wps:txbx>
                            <w:txbxContent>
                              <w:p w14:paraId="1FDE62DF" w14:textId="77777777" w:rsidR="00A65A8D" w:rsidRDefault="00A65A8D" w:rsidP="002B0C63">
                                <w:r>
                                  <w:t>Finansavimo sutartis</w:t>
                                </w:r>
                              </w:p>
                            </w:txbxContent>
                          </wps:txbx>
                          <wps:bodyPr rot="0" vert="horz" wrap="square" lIns="91440" tIns="45720" rIns="91440" bIns="45720" anchor="t" anchorCtr="0">
                            <a:spAutoFit/>
                          </wps:bodyPr>
                        </wps:wsp>
                        <wps:wsp>
                          <wps:cNvPr id="4167" name="2 teksto laukas"/>
                          <wps:cNvSpPr txBox="1">
                            <a:spLocks noChangeArrowheads="1"/>
                          </wps:cNvSpPr>
                          <wps:spPr bwMode="auto">
                            <a:xfrm>
                              <a:off x="68492" y="-26161"/>
                              <a:ext cx="1551719" cy="445252"/>
                            </a:xfrm>
                            <a:prstGeom prst="rect">
                              <a:avLst/>
                            </a:prstGeom>
                            <a:solidFill>
                              <a:srgbClr val="FFFFFF"/>
                            </a:solidFill>
                            <a:ln w="9525">
                              <a:solidFill>
                                <a:srgbClr val="000000"/>
                              </a:solidFill>
                              <a:miter lim="800000"/>
                              <a:headEnd/>
                              <a:tailEnd/>
                            </a:ln>
                          </wps:spPr>
                          <wps:txbx>
                            <w:txbxContent>
                              <w:p w14:paraId="29DE3052" w14:textId="77777777" w:rsidR="00A65A8D" w:rsidRDefault="00A65A8D" w:rsidP="002B0C63">
                                <w:r>
                                  <w:t>Aplinkos ministerija</w:t>
                                </w:r>
                              </w:p>
                            </w:txbxContent>
                          </wps:txbx>
                          <wps:bodyPr rot="0" vert="horz" wrap="square" lIns="91440" tIns="45720" rIns="91440" bIns="45720" anchor="t" anchorCtr="0">
                            <a:spAutoFit/>
                          </wps:bodyPr>
                        </wps:wsp>
                        <wps:wsp>
                          <wps:cNvPr id="4168" name="2 teksto laukas"/>
                          <wps:cNvSpPr txBox="1">
                            <a:spLocks noChangeArrowheads="1"/>
                          </wps:cNvSpPr>
                          <wps:spPr bwMode="auto">
                            <a:xfrm>
                              <a:off x="2922491" y="-26159"/>
                              <a:ext cx="1333092" cy="445252"/>
                            </a:xfrm>
                            <a:prstGeom prst="rect">
                              <a:avLst/>
                            </a:prstGeom>
                            <a:solidFill>
                              <a:srgbClr val="FFFFFF"/>
                            </a:solidFill>
                            <a:ln w="9525">
                              <a:solidFill>
                                <a:srgbClr val="000000"/>
                              </a:solidFill>
                              <a:miter lim="800000"/>
                              <a:headEnd/>
                              <a:tailEnd/>
                            </a:ln>
                          </wps:spPr>
                          <wps:txbx>
                            <w:txbxContent>
                              <w:p w14:paraId="628850C5" w14:textId="77777777" w:rsidR="00A65A8D" w:rsidRDefault="00A65A8D" w:rsidP="002B0C63">
                                <w:r>
                                  <w:t>Finansų ministerija</w:t>
                                </w:r>
                              </w:p>
                            </w:txbxContent>
                          </wps:txbx>
                          <wps:bodyPr rot="0" vert="horz" wrap="square" lIns="91440" tIns="45720" rIns="91440" bIns="45720" anchor="t" anchorCtr="0">
                            <a:spAutoFit/>
                          </wps:bodyPr>
                        </wps:wsp>
                        <wps:wsp>
                          <wps:cNvPr id="4169" name="2 teksto laukas"/>
                          <wps:cNvSpPr txBox="1">
                            <a:spLocks noChangeArrowheads="1"/>
                          </wps:cNvSpPr>
                          <wps:spPr bwMode="auto">
                            <a:xfrm>
                              <a:off x="0" y="704786"/>
                              <a:ext cx="1333092" cy="445252"/>
                            </a:xfrm>
                            <a:prstGeom prst="rect">
                              <a:avLst/>
                            </a:prstGeom>
                            <a:solidFill>
                              <a:srgbClr val="FFFFFF"/>
                            </a:solidFill>
                            <a:ln w="9525">
                              <a:solidFill>
                                <a:srgbClr val="000000"/>
                              </a:solidFill>
                              <a:miter lim="800000"/>
                              <a:headEnd/>
                              <a:tailEnd/>
                            </a:ln>
                          </wps:spPr>
                          <wps:txbx>
                            <w:txbxContent>
                              <w:p w14:paraId="74BA2E8D" w14:textId="77777777" w:rsidR="00A65A8D" w:rsidRDefault="00A65A8D" w:rsidP="002B0C63">
                                <w:r>
                                  <w:t>Fondo valdytojas</w:t>
                                </w:r>
                              </w:p>
                            </w:txbxContent>
                          </wps:txbx>
                          <wps:bodyPr rot="0" vert="horz" wrap="square" lIns="91440" tIns="45720" rIns="91440" bIns="45720" anchor="t" anchorCtr="0">
                            <a:spAutoFit/>
                          </wps:bodyPr>
                        </wps:wsp>
                        <wps:wsp>
                          <wps:cNvPr id="4170" name="2 teksto laukas"/>
                          <wps:cNvSpPr txBox="1">
                            <a:spLocks noChangeArrowheads="1"/>
                          </wps:cNvSpPr>
                          <wps:spPr bwMode="auto">
                            <a:xfrm>
                              <a:off x="1333500" y="704786"/>
                              <a:ext cx="2696179" cy="445252"/>
                            </a:xfrm>
                            <a:prstGeom prst="rect">
                              <a:avLst/>
                            </a:prstGeom>
                            <a:solidFill>
                              <a:srgbClr val="FFFFFF"/>
                            </a:solidFill>
                            <a:ln w="9525">
                              <a:solidFill>
                                <a:srgbClr val="000000"/>
                              </a:solidFill>
                              <a:miter lim="800000"/>
                              <a:headEnd/>
                              <a:tailEnd/>
                            </a:ln>
                          </wps:spPr>
                          <wps:txbx>
                            <w:txbxContent>
                              <w:p w14:paraId="74287B5C" w14:textId="77777777" w:rsidR="00A65A8D" w:rsidRDefault="00A65A8D" w:rsidP="002B0C63">
                                <w:r>
                                  <w:t>Finansų blokas kontroliuojamame fonde</w:t>
                                </w:r>
                              </w:p>
                            </w:txbxContent>
                          </wps:txbx>
                          <wps:bodyPr rot="0" vert="horz" wrap="square" lIns="91440" tIns="45720" rIns="91440" bIns="45720" anchor="t" anchorCtr="0">
                            <a:spAutoFit/>
                          </wps:bodyPr>
                        </wps:wsp>
                        <wpg:grpSp>
                          <wpg:cNvPr id="4171" name="Grupė 4171"/>
                          <wpg:cNvGrpSpPr/>
                          <wpg:grpSpPr>
                            <a:xfrm>
                              <a:off x="752475" y="419100"/>
                              <a:ext cx="2876550" cy="285750"/>
                              <a:chOff x="0" y="0"/>
                              <a:chExt cx="2876550" cy="285750"/>
                            </a:xfrm>
                          </wpg:grpSpPr>
                          <wps:wsp>
                            <wps:cNvPr id="4172" name="Tiesioji jungtis 4172"/>
                            <wps:cNvCnPr/>
                            <wps:spPr>
                              <a:xfrm>
                                <a:off x="0" y="123825"/>
                                <a:ext cx="2876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3" name="Tiesioji jungtis 4173"/>
                            <wps:cNvCnPr/>
                            <wps:spPr>
                              <a:xfrm>
                                <a:off x="0" y="0"/>
                                <a:ext cx="0" cy="1193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4" name="Tiesioji jungtis 4174"/>
                            <wps:cNvCnPr/>
                            <wps:spPr>
                              <a:xfrm>
                                <a:off x="2876550" y="9525"/>
                                <a:ext cx="0" cy="1098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5" name="Tiesioji rodyklės jungtis 4175"/>
                            <wps:cNvCnPr/>
                            <wps:spPr>
                              <a:xfrm>
                                <a:off x="266700" y="133350"/>
                                <a:ext cx="0" cy="1524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76" name="Tiesioji rodyklės jungtis 4176"/>
                            <wps:cNvCnPr/>
                            <wps:spPr>
                              <a:xfrm>
                                <a:off x="1714500" y="133350"/>
                                <a:ext cx="0" cy="1524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grpSp>
                        <wpg:cNvPr id="4177" name="Grupė 4177"/>
                        <wpg:cNvGrpSpPr/>
                        <wpg:grpSpPr>
                          <a:xfrm>
                            <a:off x="4171950" y="914400"/>
                            <a:ext cx="2066925" cy="3505200"/>
                            <a:chOff x="0" y="0"/>
                            <a:chExt cx="2066925" cy="3505200"/>
                          </a:xfrm>
                        </wpg:grpSpPr>
                        <wps:wsp>
                          <wps:cNvPr id="4178" name="Tiesioji jungtis 4178"/>
                          <wps:cNvCnPr/>
                          <wps:spPr>
                            <a:xfrm>
                              <a:off x="0" y="0"/>
                              <a:ext cx="2066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9" name="Tiesioji jungtis 4179"/>
                          <wps:cNvCnPr/>
                          <wps:spPr>
                            <a:xfrm>
                              <a:off x="2066925" y="0"/>
                              <a:ext cx="0" cy="3505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80" name="Tiesioji rodyklės jungtis 4180"/>
                          <wps:cNvCnPr/>
                          <wps:spPr>
                            <a:xfrm flipH="1">
                              <a:off x="1743075" y="3505200"/>
                              <a:ext cx="3238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4181" name="Grupė 4181"/>
                        <wpg:cNvGrpSpPr/>
                        <wpg:grpSpPr>
                          <a:xfrm>
                            <a:off x="142875" y="1123950"/>
                            <a:ext cx="5429250" cy="3086100"/>
                            <a:chOff x="0" y="0"/>
                            <a:chExt cx="5429250" cy="3086100"/>
                          </a:xfrm>
                        </wpg:grpSpPr>
                        <wpg:grpSp>
                          <wpg:cNvPr id="4183" name="Grupė 4183"/>
                          <wpg:cNvGrpSpPr/>
                          <wpg:grpSpPr>
                            <a:xfrm>
                              <a:off x="0" y="0"/>
                              <a:ext cx="5429250" cy="3086100"/>
                              <a:chOff x="0" y="0"/>
                              <a:chExt cx="5429250" cy="3086100"/>
                            </a:xfrm>
                          </wpg:grpSpPr>
                          <wps:wsp>
                            <wps:cNvPr id="4184" name="2 teksto laukas"/>
                            <wps:cNvSpPr txBox="1">
                              <a:spLocks noChangeArrowheads="1"/>
                            </wps:cNvSpPr>
                            <wps:spPr bwMode="auto">
                              <a:xfrm>
                                <a:off x="0" y="619125"/>
                                <a:ext cx="5429250" cy="2238375"/>
                              </a:xfrm>
                              <a:prstGeom prst="rect">
                                <a:avLst/>
                              </a:prstGeom>
                              <a:solidFill>
                                <a:srgbClr val="FFFFFF"/>
                              </a:solidFill>
                              <a:ln w="9525">
                                <a:solidFill>
                                  <a:srgbClr val="000000"/>
                                </a:solidFill>
                                <a:prstDash val="dash"/>
                                <a:miter lim="800000"/>
                                <a:headEnd/>
                                <a:tailEnd/>
                              </a:ln>
                            </wps:spPr>
                            <wps:txbx>
                              <w:txbxContent>
                                <w:p w14:paraId="45ACED92" w14:textId="77777777" w:rsidR="00A65A8D" w:rsidRDefault="00A65A8D" w:rsidP="002B0C63">
                                  <w:pPr>
                                    <w:spacing w:after="0" w:line="240" w:lineRule="auto"/>
                                    <w:jc w:val="center"/>
                                  </w:pPr>
                                  <w:r>
                                    <w:t>Fondo veiklos sutartis</w:t>
                                  </w:r>
                                </w:p>
                              </w:txbxContent>
                            </wps:txbx>
                            <wps:bodyPr rot="0" vert="horz" wrap="square" lIns="91440" tIns="45720" rIns="91440" bIns="45720" anchor="t" anchorCtr="0">
                              <a:noAutofit/>
                            </wps:bodyPr>
                          </wps:wsp>
                          <wps:wsp>
                            <wps:cNvPr id="4186" name="2 teksto laukas"/>
                            <wps:cNvSpPr txBox="1">
                              <a:spLocks noChangeArrowheads="1"/>
                            </wps:cNvSpPr>
                            <wps:spPr bwMode="auto">
                              <a:xfrm>
                                <a:off x="152400" y="1066800"/>
                                <a:ext cx="5114925" cy="1609725"/>
                              </a:xfrm>
                              <a:prstGeom prst="rect">
                                <a:avLst/>
                              </a:prstGeom>
                              <a:solidFill>
                                <a:srgbClr val="FFFFFF"/>
                              </a:solidFill>
                              <a:ln w="9525">
                                <a:solidFill>
                                  <a:srgbClr val="000000"/>
                                </a:solidFill>
                                <a:prstDash val="dash"/>
                                <a:miter lim="800000"/>
                                <a:headEnd/>
                                <a:tailEnd/>
                              </a:ln>
                            </wps:spPr>
                            <wps:txbx>
                              <w:txbxContent>
                                <w:p w14:paraId="4F58653B" w14:textId="77777777" w:rsidR="00A65A8D" w:rsidRDefault="00A65A8D" w:rsidP="002B0C63">
                                  <w:pPr>
                                    <w:spacing w:after="0" w:line="240" w:lineRule="auto"/>
                                    <w:jc w:val="center"/>
                                  </w:pPr>
                                </w:p>
                              </w:txbxContent>
                            </wps:txbx>
                            <wps:bodyPr rot="0" vert="horz" wrap="square" lIns="91440" tIns="45720" rIns="91440" bIns="45720" anchor="t" anchorCtr="0">
                              <a:noAutofit/>
                            </wps:bodyPr>
                          </wps:wsp>
                          <wps:wsp>
                            <wps:cNvPr id="4187" name="2 teksto laukas"/>
                            <wps:cNvSpPr txBox="1">
                              <a:spLocks noChangeArrowheads="1"/>
                            </wps:cNvSpPr>
                            <wps:spPr bwMode="auto">
                              <a:xfrm>
                                <a:off x="361950" y="1342001"/>
                                <a:ext cx="1441490" cy="1143000"/>
                              </a:xfrm>
                              <a:prstGeom prst="rect">
                                <a:avLst/>
                              </a:prstGeom>
                              <a:solidFill>
                                <a:srgbClr val="FFFFFF"/>
                              </a:solidFill>
                              <a:ln w="9525">
                                <a:solidFill>
                                  <a:srgbClr val="000000"/>
                                </a:solidFill>
                                <a:miter lim="800000"/>
                                <a:headEnd/>
                                <a:tailEnd/>
                              </a:ln>
                            </wps:spPr>
                            <wps:txbx>
                              <w:txbxContent>
                                <w:p w14:paraId="15D7B65A" w14:textId="77777777" w:rsidR="00A65A8D" w:rsidRDefault="00A65A8D" w:rsidP="002B0C63">
                                  <w:pPr>
                                    <w:jc w:val="center"/>
                                  </w:pPr>
                                  <w:r>
                                    <w:t>Tikrasis narys – SPV (fondo valdytojas) kontroliuojamas nacionalinio subjekto</w:t>
                                  </w:r>
                                </w:p>
                              </w:txbxContent>
                            </wps:txbx>
                            <wps:bodyPr rot="0" vert="horz" wrap="square" lIns="91440" tIns="45720" rIns="91440" bIns="45720" anchor="t" anchorCtr="0">
                              <a:noAutofit/>
                            </wps:bodyPr>
                          </wps:wsp>
                          <wps:wsp>
                            <wps:cNvPr id="4191" name="2 teksto laukas"/>
                            <wps:cNvSpPr txBox="1">
                              <a:spLocks noChangeArrowheads="1"/>
                            </wps:cNvSpPr>
                            <wps:spPr bwMode="auto">
                              <a:xfrm>
                                <a:off x="2809874" y="1342769"/>
                                <a:ext cx="1104901" cy="1143000"/>
                              </a:xfrm>
                              <a:prstGeom prst="rect">
                                <a:avLst/>
                              </a:prstGeom>
                              <a:solidFill>
                                <a:srgbClr val="FFFFFF"/>
                              </a:solidFill>
                              <a:ln w="9525">
                                <a:solidFill>
                                  <a:srgbClr val="000000"/>
                                </a:solidFill>
                                <a:miter lim="800000"/>
                                <a:headEnd/>
                                <a:tailEnd/>
                              </a:ln>
                            </wps:spPr>
                            <wps:txbx>
                              <w:txbxContent>
                                <w:p w14:paraId="0AD1445F" w14:textId="77777777" w:rsidR="00A65A8D" w:rsidRDefault="00A65A8D" w:rsidP="002B0C63">
                                  <w:pPr>
                                    <w:jc w:val="center"/>
                                  </w:pPr>
                                  <w:r>
                                    <w:t>Komanditorius – nacionalinis subjektas</w:t>
                                  </w:r>
                                </w:p>
                              </w:txbxContent>
                            </wps:txbx>
                            <wps:bodyPr rot="0" vert="horz" wrap="square" lIns="91440" tIns="45720" rIns="91440" bIns="45720" anchor="t" anchorCtr="0">
                              <a:noAutofit/>
                            </wps:bodyPr>
                          </wps:wsp>
                          <wps:wsp>
                            <wps:cNvPr id="4193" name="2 teksto laukas"/>
                            <wps:cNvSpPr txBox="1">
                              <a:spLocks noChangeArrowheads="1"/>
                            </wps:cNvSpPr>
                            <wps:spPr bwMode="auto">
                              <a:xfrm>
                                <a:off x="4029075" y="1343025"/>
                                <a:ext cx="1038225" cy="1143000"/>
                              </a:xfrm>
                              <a:prstGeom prst="rect">
                                <a:avLst/>
                              </a:prstGeom>
                              <a:solidFill>
                                <a:srgbClr val="FFFFFF"/>
                              </a:solidFill>
                              <a:ln w="9525">
                                <a:solidFill>
                                  <a:srgbClr val="000000"/>
                                </a:solidFill>
                                <a:miter lim="800000"/>
                                <a:headEnd/>
                                <a:tailEnd/>
                              </a:ln>
                            </wps:spPr>
                            <wps:txbx>
                              <w:txbxContent>
                                <w:p w14:paraId="2ED23D3F" w14:textId="77777777" w:rsidR="00A65A8D" w:rsidRDefault="00A65A8D" w:rsidP="002B0C63">
                                  <w:pPr>
                                    <w:jc w:val="center"/>
                                  </w:pPr>
                                  <w:r>
                                    <w:t>Kiti komanditoriai (bankai ir kiti investuotojai, jei reikia)</w:t>
                                  </w:r>
                                </w:p>
                              </w:txbxContent>
                            </wps:txbx>
                            <wps:bodyPr rot="0" vert="horz" wrap="square" lIns="91440" tIns="45720" rIns="91440" bIns="45720" anchor="t" anchorCtr="0">
                              <a:noAutofit/>
                            </wps:bodyPr>
                          </wps:wsp>
                          <wps:wsp>
                            <wps:cNvPr id="4197" name="Rodyklė kairėn-dešinėn 4197"/>
                            <wps:cNvSpPr/>
                            <wps:spPr>
                              <a:xfrm>
                                <a:off x="1866900" y="1771650"/>
                                <a:ext cx="809625" cy="304800"/>
                              </a:xfrm>
                              <a:prstGeom prst="leftRightArrow">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9" name="Rodyklė aukštyn 4199"/>
                            <wps:cNvSpPr/>
                            <wps:spPr>
                              <a:xfrm>
                                <a:off x="647700" y="0"/>
                                <a:ext cx="685800" cy="1290955"/>
                              </a:xfrm>
                              <a:prstGeom prst="upArrow">
                                <a:avLst/>
                              </a:prstGeom>
                              <a:solidFill>
                                <a:schemeClr val="bg1"/>
                              </a:solid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0" name="Rodyklė žemyn 4200"/>
                            <wps:cNvSpPr/>
                            <wps:spPr>
                              <a:xfrm>
                                <a:off x="1990725" y="2486025"/>
                                <a:ext cx="400050" cy="600075"/>
                              </a:xfrm>
                              <a:prstGeom prst="downArrow">
                                <a:avLst/>
                              </a:prstGeom>
                              <a:solidFill>
                                <a:schemeClr val="bg1"/>
                              </a:solid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02" name="2 teksto laukas"/>
                          <wps:cNvSpPr txBox="1">
                            <a:spLocks noChangeArrowheads="1"/>
                          </wps:cNvSpPr>
                          <wps:spPr bwMode="auto">
                            <a:xfrm>
                              <a:off x="1476375" y="104663"/>
                              <a:ext cx="2200269" cy="445252"/>
                            </a:xfrm>
                            <a:prstGeom prst="rect">
                              <a:avLst/>
                            </a:prstGeom>
                            <a:solidFill>
                              <a:srgbClr val="FFFFFF"/>
                            </a:solidFill>
                            <a:ln w="9525">
                              <a:noFill/>
                              <a:miter lim="800000"/>
                              <a:headEnd/>
                              <a:tailEnd/>
                            </a:ln>
                          </wps:spPr>
                          <wps:txbx>
                            <w:txbxContent>
                              <w:p w14:paraId="3A1CC900" w14:textId="77777777" w:rsidR="00A65A8D" w:rsidRDefault="00A65A8D" w:rsidP="002B0C63">
                                <w:r>
                                  <w:t>Paslaugų sutartis (jei reikia</w:t>
                                </w:r>
                              </w:p>
                            </w:txbxContent>
                          </wps:txbx>
                          <wps:bodyPr rot="0" vert="horz" wrap="square" lIns="91440" tIns="45720" rIns="91440" bIns="45720" anchor="t" anchorCtr="0">
                            <a:spAutoFit/>
                          </wps:bodyPr>
                        </wps:wsp>
                      </wpg:grpSp>
                    </wpg:wgp>
                  </a:graphicData>
                </a:graphic>
              </wp:inline>
            </w:drawing>
          </mc:Choice>
          <mc:Fallback>
            <w:pict>
              <v:group id="Grupė 150" o:spid="_x0000_s1101" style="width:468pt;height:411.25pt;mso-position-horizontal-relative:char;mso-position-vertical-relative:line" coordorigin=",-1127" coordsize="62388,54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">
                <v:group id="Grupė 151" o:spid="_x0000_s1102" style="position:absolute;top:42096;width:59155;height:11598" coordorigin=",-3" coordsize="59155,11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type id="_x0000_t202" coordsize="21600,21600" o:spt="202" path="m,l,21600r21600,l21600,xe">
                    <v:stroke joinstyle="miter"/>
                    <v:path gradientshapeok="t" o:connecttype="rect"/>
                  </v:shapetype>
                  <v:shape id="2 teksto laukas" o:spid="_x0000_s1103" type="#_x0000_t202" style="position:absolute;top:-3;width:59155;height:4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0ZSMIA&#10;AADcAAAADwAAAGRycy9kb3ducmV2LnhtbERPS2sCMRC+F/ofwhS81WwFpWyNUiqCN58gvU2TcbO4&#10;maybuK7+eiMIvc3H95zxtHOVaKkJpWcFH/0MBLH2puRCwW47f/8EESKywcozKbhSgOnk9WWMufEX&#10;XlO7iYVIIRxyVGBjrHMpg7bkMPR9TZy4g28cxgSbQpoGLyncVXKQZSPpsOTUYLGmH0v6uDk7BWG2&#10;OtX6sPo7WnO9LWftUO/nv0r13rrvLxCRuvgvfroXJs0fDuDxTLpAT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RlIwgAAANwAAAAPAAAAAAAAAAAAAAAAAJgCAABkcnMvZG93&#10;bnJldi54bWxQSwUGAAAAAAQABAD1AAAAhwMAAAAA&#10;">
                    <v:textbox style="mso-fit-shape-to-text:t">
                      <w:txbxContent>
                        <w:p w14:paraId="6DAB1B44" w14:textId="77777777" w:rsidR="00A65A8D" w:rsidRDefault="00A65A8D" w:rsidP="002B0C63">
                          <w:pPr>
                            <w:spacing w:after="0" w:line="240" w:lineRule="auto"/>
                            <w:jc w:val="center"/>
                          </w:pPr>
                          <w:r>
                            <w:t>Fondas</w:t>
                          </w:r>
                        </w:p>
                        <w:p w14:paraId="5841E05C" w14:textId="77777777" w:rsidR="00A65A8D" w:rsidRDefault="00A65A8D" w:rsidP="002B0C63">
                          <w:pPr>
                            <w:spacing w:after="0" w:line="240" w:lineRule="auto"/>
                            <w:jc w:val="center"/>
                          </w:pPr>
                          <w:r>
                            <w:t>(juridinis asmuo)</w:t>
                          </w:r>
                        </w:p>
                      </w:txbxContent>
                    </v:textbox>
                  </v:shape>
                  <v:shape id="2 teksto laukas" o:spid="_x0000_s1104" type="#_x0000_t202" style="position:absolute;top:7139;width:13337;height:4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808MA&#10;AADcAAAADwAAAGRycy9kb3ducmV2LnhtbERPTWsCMRC9F/wPYYTeNGuLRVajiCJ4q7UF8TYm42Zx&#10;M9lu4rr21zcFobd5vM+ZLTpXiZaaUHpWMBpmIIi1NyUXCr4+N4MJiBCRDVaeScGdAizmvacZ5sbf&#10;+IPafSxECuGQowIbY51LGbQlh2Hoa+LEnX3jMCbYFNI0eEvhrpIvWfYmHZacGizWtLKkL/urUxDW&#10;u+9an3enizX3n/d1O9aHzVGp5363nIKI1MV/8cO9NWn++BX+nk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G808MAAADcAAAADwAAAAAAAAAAAAAAAACYAgAAZHJzL2Rv&#10;d25yZXYueG1sUEsFBgAAAAAEAAQA9QAAAIgDAAAAAA==&#10;">
                    <v:textbox style="mso-fit-shape-to-text:t">
                      <w:txbxContent>
                        <w:p w14:paraId="799B4A24" w14:textId="77777777" w:rsidR="00A65A8D" w:rsidRDefault="00A65A8D" w:rsidP="002B0C63">
                          <w:r>
                            <w:t>Paskola/investicija</w:t>
                          </w:r>
                        </w:p>
                      </w:txbxContent>
                    </v:textbox>
                  </v:shape>
                  <v:shape id="2 teksto laukas" o:spid="_x0000_s1105" type="#_x0000_t202" style="position:absolute;left:14859;top:7139;width:13330;height:4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gkp8MA&#10;AADcAAAADwAAAGRycy9kb3ducmV2LnhtbERPTWsCMRC9F/wPYYTeNGupRVajiCJ4q7UF8TYm42Zx&#10;M9lu4rr21zcFobd5vM+ZLTpXiZaaUHpWMBpmIIi1NyUXCr4+N4MJiBCRDVaeScGdAizmvacZ5sbf&#10;+IPafSxECuGQowIbY51LGbQlh2Hoa+LEnX3jMCbYFNI0eEvhrpIvWfYmHZacGizWtLKkL/urUxDW&#10;u+9an3enizX3n/d1O9aHzVGp5363nIKI1MV/8cO9NWn++BX+nk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gkp8MAAADcAAAADwAAAAAAAAAAAAAAAACYAgAAZHJzL2Rv&#10;d25yZXYueG1sUEsFBgAAAAAEAAQA9QAAAIgDAAAAAA==&#10;">
                    <v:textbox style="mso-fit-shape-to-text:t">
                      <w:txbxContent>
                        <w:p w14:paraId="029863CE" w14:textId="77777777" w:rsidR="00A65A8D" w:rsidRDefault="00A65A8D" w:rsidP="002B0C63">
                          <w:r>
                            <w:t>Paskola/investicija</w:t>
                          </w:r>
                        </w:p>
                      </w:txbxContent>
                    </v:textbox>
                  </v:shape>
                  <v:shape id="2 teksto laukas" o:spid="_x0000_s1106" type="#_x0000_t202" style="position:absolute;left:29527;top:7141;width:13338;height:4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LOcMA&#10;AADcAAAADwAAAGRycy9kb3ducmV2LnhtbERPS2sCMRC+C/6HMAVv3WwLFrsaRRShNx8tlN6mybhZ&#10;3Ey2m3Rd++uNUPA2H99zZove1aKjNlSeFTxlOQhi7U3FpYKP983jBESIyAZrz6TgQgEW8+FghoXx&#10;Z95Td4ilSCEcClRgY2wKKYO25DBkviFO3NG3DmOCbSlNi+cU7mr5nOcv0mHFqcFiQytL+nT4dQrC&#10;evfT6OPu+2TN5W+77sb6c/Ol1OihX05BROrjXfzvfjNp/vgVbs+kC+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mLOcMAAADcAAAADwAAAAAAAAAAAAAAAACYAgAAZHJzL2Rv&#10;d25yZXYueG1sUEsFBgAAAAAEAAQA9QAAAIgDAAAAAA==&#10;">
                    <v:textbox style="mso-fit-shape-to-text:t">
                      <w:txbxContent>
                        <w:p w14:paraId="56FCCEC4" w14:textId="77777777" w:rsidR="00A65A8D" w:rsidRDefault="00A65A8D" w:rsidP="002B0C63">
                          <w:r>
                            <w:t>Paskola/investicija</w:t>
                          </w:r>
                        </w:p>
                      </w:txbxContent>
                    </v:textbox>
                  </v:shape>
                  <v:shape id="2 teksto laukas" o:spid="_x0000_s1107" type="#_x0000_t202" style="position:absolute;left:45529;top:7139;width:13338;height:4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M0iMMA&#10;AADdAAAADwAAAGRycy9kb3ducmV2LnhtbERPTWsCMRC9F/ofwhS81axSRVajiCL0plVBepsm42Zx&#10;M1k3cV399c2h0OPjfc8WnatES00oPSsY9DMQxNqbkgsFx8PmfQIiRGSDlWdS8KAAi/nrywxz4+/8&#10;Re0+FiKFcMhRgY2xzqUM2pLD0Pc1ceLOvnEYE2wKaRq8p3BXyWGWjaXDklODxZpWlvRlf3MKwnp3&#10;rfV593Ox5vHcrtuRPm2+leq9dcspiEhd/Bf/uT+Ngo/BOO1Pb9IT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M0iMMAAADdAAAADwAAAAAAAAAAAAAAAACYAgAAZHJzL2Rv&#10;d25yZXYueG1sUEsFBgAAAAAEAAQA9QAAAIgDAAAAAA==&#10;">
                    <v:textbox style="mso-fit-shape-to-text:t">
                      <w:txbxContent>
                        <w:p w14:paraId="60A86814" w14:textId="77777777" w:rsidR="00A65A8D" w:rsidRDefault="00A65A8D" w:rsidP="002B0C63">
                          <w:r>
                            <w:t>Paskola/investicija</w:t>
                          </w:r>
                        </w:p>
                      </w:txbxContent>
                    </v:textbox>
                  </v:shape>
                  <v:shape id="Tiesioji rodyklės jungtis 4161" o:spid="_x0000_s1108" type="#_x0000_t32" style="position:absolute;left:6381;top:4381;width:0;height:2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umssMAAADdAAAADwAAAGRycy9kb3ducmV2LnhtbESPQWvCQBSE7wX/w/KE3uomRlSiq0hV&#10;KN6q4vmRfSYh2bdhdxvTf98VhB6HmfmGWW8H04qenK8tK0gnCQjiwuqaSwXXy/FjCcIHZI2tZVLw&#10;Sx62m9HbGnNtH/xN/TmUIkLY56igCqHLpfRFRQb9xHbE0btbZzBE6UqpHT4i3LRymiRzabDmuFBh&#10;R58VFc35xyioOQs83WdHOh0atyhvTW+zq1Lv42G3AhFoCP/hV/tLK5il8xSeb+IT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7prLDAAAA3QAAAA8AAAAAAAAAAAAA&#10;AAAAoQIAAGRycy9kb3ducmV2LnhtbFBLBQYAAAAABAAEAPkAAACRAwAAAAA=&#10;" strokecolor="black [3213]">
                    <v:stroke endarrow="open"/>
                  </v:shape>
                  <v:shape id="Tiesioji rodyklės jungtis 4162" o:spid="_x0000_s1109" type="#_x0000_t32" style="position:absolute;left:22002;top:4381;width:0;height:2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k4xcMAAADdAAAADwAAAGRycy9kb3ducmV2LnhtbESPQWvCQBSE7wX/w/KE3urGRFSiq0hV&#10;KN6q4vmRfSYh2bdhdxvTf98VhB6HmfmGWW8H04qenK8tK5hOEhDEhdU1lwqul+PHEoQPyBpby6Tg&#10;lzxsN6O3NebaPvib+nMoRYSwz1FBFUKXS+mLigz6ie2Io3e3zmCI0pVSO3xEuGllmiRzabDmuFBh&#10;R58VFc35xyioOQuc7rMjnQ6NW5S3prfZVan38bBbgQg0hP/wq/2lFcym8xSeb+IT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pOMXDAAAA3QAAAA8AAAAAAAAAAAAA&#10;AAAAoQIAAGRycy9kb3ducmV2LnhtbFBLBQYAAAAABAAEAPkAAACRAwAAAAA=&#10;" strokecolor="black [3213]">
                    <v:stroke endarrow="open"/>
                  </v:shape>
                  <v:shape id="Tiesioji rodyklės jungtis 4163" o:spid="_x0000_s1110" type="#_x0000_t32" style="position:absolute;left:53054;top:4381;width:0;height:2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WdXsMAAADdAAAADwAAAGRycy9kb3ducmV2LnhtbESPT4vCMBTE78J+h/AEb5pqxZVqlMVd&#10;YfHmH/b8aJ5tafNSkljrt98IgsdhZn7DrLe9aURHzleWFUwnCQji3OqKCwWX8368BOEDssbGMil4&#10;kIft5mOwxkzbOx+pO4VCRAj7DBWUIbSZlD4vyaCf2JY4elfrDIYoXSG1w3uEm0bOkmQhDVYcF0ps&#10;aVdSXp9uRkHFaeDZd7qnw0/tPou/urPpRanRsP9agQjUh3f41f7VCubTRQrPN/EJ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lnV7DAAAA3QAAAA8AAAAAAAAAAAAA&#10;AAAAoQIAAGRycy9kb3ducmV2LnhtbFBLBQYAAAAABAAEAPkAAACRAwAAAAA=&#10;" strokecolor="black [3213]">
                    <v:stroke endarrow="open"/>
                  </v:shape>
                  <v:shape id="Tiesioji rodyklės jungtis 4164" o:spid="_x0000_s1111" type="#_x0000_t32" style="position:absolute;left:37052;top:4381;width:0;height:2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wFKsQAAADdAAAADwAAAGRycy9kb3ducmV2LnhtbESPwWrDMBBE74X+g9hCbo2cOKTBjRJC&#10;GkPpra7JebG2trG1MpJqO38fFQo9DjPzhtkfZ9OLkZxvLStYLRMQxJXVLdcKyq/8eQfCB2SNvWVS&#10;cCMPx8Pjwx4zbSf+pLEItYgQ9hkqaEIYMil91ZBBv7QDcfS+rTMYonS11A6nCDe9XCfJVhpsOS40&#10;ONC5oaorfoyCltPA67c0p49L517qazfatFRq8TSfXkEEmsN/+K/9rhVsVtsN/L6JT0Ae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DAUqxAAAAN0AAAAPAAAAAAAAAAAA&#10;AAAAAKECAABkcnMvZG93bnJldi54bWxQSwUGAAAAAAQABAD5AAAAkgMAAAAA&#10;" strokecolor="black [3213]">
                    <v:stroke endarrow="open"/>
                  </v:shape>
                </v:group>
                <v:group id="Grupė 4165" o:spid="_x0000_s1112" style="position:absolute;left:1428;top:-1127;width:42556;height:12627" coordorigin=",-1127" coordsize="42555,12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2n9ccAAADdAAAADwAAAGRycy9kb3ducmV2LnhtbESPT2vCQBTE7wW/w/KE&#10;3uomWkWiq4jU0kMoNBFKb4/sMwlm34bsNn++fbdQ6HGYmd8w++NoGtFT52rLCuJFBIK4sLrmUsE1&#10;vzxtQTiPrLGxTAomcnA8zB72mGg78Af1mS9FgLBLUEHlfZtI6YqKDLqFbYmDd7OdQR9kV0rd4RDg&#10;ppHLKNpIgzWHhQpbOldU3LNvo+B1wOG0il/69H47T1/5+v0zjUmpx/l42oHwNPr/8F/7TSt4jjd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2n9ccAAADd&#10;AAAADwAAAAAAAAAAAAAAAACqAgAAZHJzL2Rvd25yZXYueG1sUEsFBgAAAAAEAAQA+gAAAJ4DAAAA&#10;AA==&#10;">
                  <v:shape id="2 teksto laukas" o:spid="_x0000_s1113" type="#_x0000_t202" style="position:absolute;left:18669;top:-1127;width:14190;height:6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xq8UA&#10;AADdAAAADwAAAGRycy9kb3ducmV2LnhtbESPy2rDMBBF94X8g5hAd7Xs0prgRjEhECgli7wWXQ7W&#10;1HJtjRxLTty/jwqFLi/3cbjLcrKduNLgG8cKsiQFQVw53XCt4HzaPi1A+ICssXNMCn7IQ7maPSyx&#10;0O7GB7oeQy3iCPsCFZgQ+kJKXxmy6BPXE0fvyw0WQ5RDLfWAtzhuO/mcprm02HAkGOxpY6hqj6ON&#10;kJ2vxoO7fGe7Vn6aNsfXvflQ6nE+rd9ABJrCf/iv/a4VvGR5Dr9v4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GrxQAAAN0AAAAPAAAAAAAAAAAAAAAAAJgCAABkcnMv&#10;ZG93bnJldi54bWxQSwUGAAAAAAQABAD1AAAAigMAAAAA&#10;" stroked="f">
                    <v:textbox style="mso-fit-shape-to-text:t">
                      <w:txbxContent>
                        <w:p w14:paraId="1FDE62DF" w14:textId="77777777" w:rsidR="00A65A8D" w:rsidRDefault="00A65A8D" w:rsidP="002B0C63">
                          <w:r>
                            <w:t>Finansavimo sutartis</w:t>
                          </w:r>
                        </w:p>
                      </w:txbxContent>
                    </v:textbox>
                  </v:shape>
                  <v:shape id="2 teksto laukas" o:spid="_x0000_s1114" type="#_x0000_t202" style="position:absolute;left:684;top:-261;width:15518;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s/MYA&#10;AADdAAAADwAAAGRycy9kb3ducmV2LnhtbESPQWsCMRSE7wX/Q3iCN81arJbVKFIReqtaofT2mjw3&#10;i5uXdRPXtb++KRR6HGbmG2ax6lwlWmpC6VnBeJSBINbelFwoOL5vh88gQkQ2WHkmBXcKsFr2HhaY&#10;G3/jPbWHWIgE4ZCjAhtjnUsZtCWHYeRr4uSdfOMwJtkU0jR4S3BXyccsm0qHJacFizW9WNLnw9Up&#10;CJvdpdan3dfZmvv326Z90h/bT6UG/W49BxGpi//hv/arUTAZT2f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qs/MYAAADdAAAADwAAAAAAAAAAAAAAAACYAgAAZHJz&#10;L2Rvd25yZXYueG1sUEsFBgAAAAAEAAQA9QAAAIsDAAAAAA==&#10;">
                    <v:textbox style="mso-fit-shape-to-text:t">
                      <w:txbxContent>
                        <w:p w14:paraId="29DE3052" w14:textId="77777777" w:rsidR="00A65A8D" w:rsidRDefault="00A65A8D" w:rsidP="002B0C63">
                          <w:r>
                            <w:t>Aplinkos ministerija</w:t>
                          </w:r>
                        </w:p>
                      </w:txbxContent>
                    </v:textbox>
                  </v:shape>
                  <v:shape id="2 teksto laukas" o:spid="_x0000_s1115" type="#_x0000_t202" style="position:absolute;left:29224;top:-261;width:13331;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4jsMA&#10;AADdAAAADwAAAGRycy9kb3ducmV2LnhtbERPTWsCMRC9F/ofwhS81axSRVajiCL0plVBepsm42Zx&#10;M1k3cV399c2h0OPjfc8WnatES00oPSsY9DMQxNqbkgsFx8PmfQIiRGSDlWdS8KAAi/nrywxz4+/8&#10;Re0+FiKFcMhRgY2xzqUM2pLD0Pc1ceLOvnEYE2wKaRq8p3BXyWGWjaXDklODxZpWlvRlf3MKwnp3&#10;rfV593Ox5vHcrtuRPm2+leq9dcspiEhd/Bf/uT+Ngo/BOM1Nb9IT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U4jsMAAADdAAAADwAAAAAAAAAAAAAAAACYAgAAZHJzL2Rv&#10;d25yZXYueG1sUEsFBgAAAAAEAAQA9QAAAIgDAAAAAA==&#10;">
                    <v:textbox style="mso-fit-shape-to-text:t">
                      <w:txbxContent>
                        <w:p w14:paraId="628850C5" w14:textId="77777777" w:rsidR="00A65A8D" w:rsidRDefault="00A65A8D" w:rsidP="002B0C63">
                          <w:r>
                            <w:t>Finansų ministerija</w:t>
                          </w:r>
                        </w:p>
                      </w:txbxContent>
                    </v:textbox>
                  </v:shape>
                  <v:shape id="2 teksto laukas" o:spid="_x0000_s1116" type="#_x0000_t202" style="position:absolute;top:7047;width:13330;height:4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dFcYA&#10;AADdAAAADwAAAGRycy9kb3ducmV2LnhtbESPQWsCMRSE7wX/Q3iCN81arNjVKFIReqtaofT2mjw3&#10;i5uXdRPXtb++KRR6HGbmG2ax6lwlWmpC6VnBeJSBINbelFwoOL5vhzMQISIbrDyTgjsFWC17DwvM&#10;jb/xntpDLESCcMhRgY2xzqUM2pLDMPI1cfJOvnEYk2wKaRq8Jbir5GOWTaXDktOCxZpeLOnz4eoU&#10;hM3uUuvT7utszf37bdM+6Y/tp1KDfreeg4jUxf/wX/vVKJiMp8/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mdFcYAAADdAAAADwAAAAAAAAAAAAAAAACYAgAAZHJz&#10;L2Rvd25yZXYueG1sUEsFBgAAAAAEAAQA9QAAAIsDAAAAAA==&#10;">
                    <v:textbox style="mso-fit-shape-to-text:t">
                      <w:txbxContent>
                        <w:p w14:paraId="74BA2E8D" w14:textId="77777777" w:rsidR="00A65A8D" w:rsidRDefault="00A65A8D" w:rsidP="002B0C63">
                          <w:r>
                            <w:t>Fondo valdytojas</w:t>
                          </w:r>
                        </w:p>
                      </w:txbxContent>
                    </v:textbox>
                  </v:shape>
                  <v:shape id="2 teksto laukas" o:spid="_x0000_s1117" type="#_x0000_t202" style="position:absolute;left:13335;top:7047;width:26961;height:4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VcMA&#10;AADdAAAADwAAAGRycy9kb3ducmV2LnhtbERPy2oCMRTdC/2HcAvuNGPRtkyNUiqCOx8tFHfX5DoZ&#10;nNyMkziOfr1ZFLo8nPd03rlKtNSE0rOC0TADQay9KblQ8PO9HLyDCBHZYOWZFNwowHz21JtibvyV&#10;t9TuYiFSCIccFdgY61zKoC05DENfEyfu6BuHMcGmkKbBawp3lXzJslfpsOTUYLGmL0v6tLs4BWGx&#10;Odf6uDmcrLnd14t2on+Xe6X6z93nB4hIXfwX/7lXRsF49Jb2pzfpCc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iVcMAAADdAAAADwAAAAAAAAAAAAAAAACYAgAAZHJzL2Rv&#10;d25yZXYueG1sUEsFBgAAAAAEAAQA9QAAAIgDAAAAAA==&#10;">
                    <v:textbox style="mso-fit-shape-to-text:t">
                      <w:txbxContent>
                        <w:p w14:paraId="74287B5C" w14:textId="77777777" w:rsidR="00A65A8D" w:rsidRDefault="00A65A8D" w:rsidP="002B0C63">
                          <w:r>
                            <w:t>Finansų blokas kontroliuojamame fonde</w:t>
                          </w:r>
                        </w:p>
                      </w:txbxContent>
                    </v:textbox>
                  </v:shape>
                  <v:group id="Grupė 4171" o:spid="_x0000_s1118" style="position:absolute;left:7524;top:4191;width:28766;height:2857" coordsize="28765,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83K8YAAADdAAAADwAAAGRycy9kb3ducmV2LnhtbESPQWvCQBSE7wX/w/KE&#10;3nSztrUluoqIlh5EUAvF2yP7TILZtyG7JvHfdwtCj8PMfMPMl72tREuNLx1rUOMEBHHmTMm5hu/T&#10;dvQBwgdkg5Vj0nAnD8vF4GmOqXEdH6g9hlxECPsUNRQh1KmUPivIoh+7mjh6F9dYDFE2uTQNdhFu&#10;KzlJkqm0WHJcKLCmdUHZ9XizGj477FYvatPurpf1/Xx62//sFGn9POxXMxCB+vAffrS/jIZX9a7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jzcrxgAAAN0A&#10;AAAPAAAAAAAAAAAAAAAAAKoCAABkcnMvZG93bnJldi54bWxQSwUGAAAAAAQABAD6AAAAnQMAAAAA&#10;">
                    <v:line id="Tiesioji jungtis 4172" o:spid="_x0000_s1119" style="position:absolute;visibility:visible;mso-wrap-style:square" from="0,1238" to="28765,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le2scAAADdAAAADwAAAGRycy9kb3ducmV2LnhtbESPQWvCQBSE74X+h+UVequbhNZIdJVQ&#10;ENp60ipeH9lnEpt9G3a3Me2v7wpCj8PMfMMsVqPpxEDOt5YVpJMEBHFldcu1gv3n+mkGwgdkjZ1l&#10;UvBDHlbL+7sFFtpeeEvDLtQiQtgXqKAJoS+k9FVDBv3E9sTRO1lnMETpaqkdXiLcdDJLkqk02HJc&#10;aLCn14aqr923UTCrPs6uzMv39OXQ579Dtpmuj7lSjw9jOQcRaAz/4Vv7TSt4TvMMrm/i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GV7axwAAAN0AAAAPAAAAAAAA&#10;AAAAAAAAAKECAABkcnMvZG93bnJldi54bWxQSwUGAAAAAAQABAD5AAAAlQMAAAAA&#10;" strokecolor="black [3213]"/>
                    <v:line id="Tiesioji jungtis 4173" o:spid="_x0000_s1120" style="position:absolute;visibility:visible;mso-wrap-style:square" from="0,0" to="0,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X7QccAAADdAAAADwAAAGRycy9kb3ducmV2LnhtbESPQWvCQBSE7wX/w/IKvdVNbGskukoQ&#10;hNaetIrXR/aZxGbfht1tTPvr3UKhx2FmvmEWq8G0oifnG8sK0nECgri0uuFKweFj8zgD4QOyxtYy&#10;KfgmD6vl6G6BubZX3lG/D5WIEPY5KqhD6HIpfVmTQT+2HXH0ztYZDFG6SmqH1wg3rZwkyVQabDgu&#10;1NjRuqbyc/9lFMzK7cUVWfGWvhy77KefvE83p0yph/uhmIMINIT/8F/7VSt4TrMn+H0Tn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VftBxwAAAN0AAAAPAAAAAAAA&#10;AAAAAAAAAKECAABkcnMvZG93bnJldi54bWxQSwUGAAAAAAQABAD5AAAAlQMAAAAA&#10;" strokecolor="black [3213]"/>
                    <v:line id="Tiesioji jungtis 4174" o:spid="_x0000_s1121" style="position:absolute;visibility:visible;mso-wrap-style:square" from="28765,95" to="28765,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xjNccAAADdAAAADwAAAGRycy9kb3ducmV2LnhtbESPT2vCQBTE70K/w/IK3nQTsUaiq4SC&#10;YNtT/YPXR/aZpM2+DbvbmPbTdwsFj8PM/IZZbwfTip6cbywrSKcJCOLS6oYrBafjbrIE4QOyxtYy&#10;KfgmD9vNw2iNubY3fqf+ECoRIexzVFCH0OVS+rImg35qO+LoXa0zGKJ0ldQObxFuWjlLkoU02HBc&#10;qLGj55rKz8OXUbAsXz9ckRUv6dO5y3762dtid8mUGj8OxQpEoCHcw//tvVYwT7M5/L2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vGM1xwAAAN0AAAAPAAAAAAAA&#10;AAAAAAAAAKECAABkcnMvZG93bnJldi54bWxQSwUGAAAAAAQABAD5AAAAlQMAAAAA&#10;" strokecolor="black [3213]"/>
                    <v:shape id="Tiesioji rodyklės jungtis 4175" o:spid="_x0000_s1122" type="#_x0000_t32" style="position:absolute;left:2667;top:1333;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k2bMQAAADdAAAADwAAAGRycy9kb3ducmV2LnhtbESPQWvCQBSE74X+h+UVequbmFYldSPF&#10;Vii9GcXzI/tMQrJvw+4a03/fLQgeh5n5hllvJtOLkZxvLStIZwkI4srqlmsFx8PuZQXCB2SNvWVS&#10;8EseNsXjwxpzba+8p7EMtYgQ9jkqaEIYcil91ZBBP7MDcfTO1hkMUbpaaofXCDe9nCfJQhpsOS40&#10;ONC2oaorL0ZBy1ng+We2o5+vzi3rUzfa7KjU89P08Q4i0BTu4Vv7Wyt4TZdv8P8mPgF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TZsxAAAAN0AAAAPAAAAAAAAAAAA&#10;AAAAAKECAABkcnMvZG93bnJldi54bWxQSwUGAAAAAAQABAD5AAAAkgMAAAAA&#10;" strokecolor="black [3213]">
                      <v:stroke endarrow="open"/>
                    </v:shape>
                    <v:shape id="Tiesioji rodyklės jungtis 4176" o:spid="_x0000_s1123" type="#_x0000_t32" style="position:absolute;left:17145;top:1333;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uoG8MAAADdAAAADwAAAGRycy9kb3ducmV2LnhtbESPT4vCMBTE78J+h/AEb5pqF5VqlMVd&#10;QfbmHzw/mmdb2ryUJNb67c3CgsdhZn7DrLe9aURHzleWFUwnCQji3OqKCwWX8368BOEDssbGMil4&#10;koft5mOwxkzbBx+pO4VCRAj7DBWUIbSZlD4vyaCf2JY4ejfrDIYoXSG1w0eEm0bOkmQuDVYcF0ps&#10;aVdSXp/uRkHFaeDZd7qn35/aLYpr3dn0otRo2H+tQATqwzv83z5oBZ/TxRz+3sQnI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LqBvDAAAA3QAAAA8AAAAAAAAAAAAA&#10;AAAAoQIAAGRycy9kb3ducmV2LnhtbFBLBQYAAAAABAAEAPkAAACRAwAAAAA=&#10;" strokecolor="black [3213]">
                      <v:stroke endarrow="open"/>
                    </v:shape>
                  </v:group>
                </v:group>
                <v:group id="Grupė 4177" o:spid="_x0000_s1124" style="position:absolute;left:41719;top:9144;width:20669;height:35052" coordsize="20669,35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oKxMcAAADdAAAADwAAAGRycy9kb3ducmV2LnhtbESPQWvCQBSE74L/YXlC&#10;b3UTa2uJWUVEpQcpVAvF2yP7TEKyb0N2TeK/7xYKHoeZ+YZJ14OpRUetKy0riKcRCOLM6pJzBd/n&#10;/fM7COeRNdaWScGdHKxX41GKibY9f1F38rkIEHYJKii8bxIpXVaQQTe1DXHwrrY16INsc6lb7APc&#10;1HIWRW/SYMlhocCGtgVl1elmFBx67Dcv8a47Vtft/XJ+/fw5xqTU02TYLEF4Gvwj/N/+0Arm8WI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SoKxMcAAADd&#10;AAAADwAAAAAAAAAAAAAAAACqAgAAZHJzL2Rvd25yZXYueG1sUEsFBgAAAAAEAAQA+gAAAJ4DAAAA&#10;AA==&#10;">
                  <v:line id="Tiesioji jungtis 4178" o:spid="_x0000_s1125" style="position:absolute;visibility:visible;mso-wrap-style:square" from="0,0" to="20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FpMMMAAADdAAAADwAAAGRycy9kb3ducmV2LnhtbERPz2vCMBS+D/wfwhO8zbSyWemMUgRh&#10;utPUseujeWurzUtJYq3765fDwOPH93u5HkwrenK+sawgnSYgiEurG64UnI7b5wUIH5A1tpZJwZ08&#10;rFejpyXm2t74k/pDqEQMYZ+jgjqELpfSlzUZ9FPbEUfuxzqDIUJXSe3wFsNNK2dJMpcGG44NNXa0&#10;qam8HK5GwaLcn12RFbv09avLfvvZx3z7nSk1GQ/FG4hAQ3iI/93vWsFLmsW5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xaTDDAAAA3QAAAA8AAAAAAAAAAAAA&#10;AAAAoQIAAGRycy9kb3ducmV2LnhtbFBLBQYAAAAABAAEAPkAAACRAwAAAAA=&#10;" strokecolor="black [3213]"/>
                  <v:line id="Tiesioji jungtis 4179" o:spid="_x0000_s1126" style="position:absolute;visibility:visible;mso-wrap-style:square" from="20669,0" to="20669,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3Mq8cAAADdAAAADwAAAGRycy9kb3ducmV2LnhtbESPT2vCQBTE74V+h+UVequbiDUaXSUI&#10;Qv+ctIrXR/aZRLNvw+42pv303UKhx2FmfsMs14NpRU/ON5YVpKMEBHFpdcOVgsPH9mkGwgdkja1l&#10;UvBFHtar+7sl5treeEf9PlQiQtjnqKAOocul9GVNBv3IdsTRO1tnMETpKqkd3iLctHKcJFNpsOG4&#10;UGNHm5rK6/7TKJiVbxdXZMVr+nzssu9+/D7dnjKlHh+GYgEi0BD+w3/tF61gkmZz+H0Tn4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vcyrxwAAAN0AAAAPAAAAAAAA&#10;AAAAAAAAAKECAABkcnMvZG93bnJldi54bWxQSwUGAAAAAAQABAD5AAAAlQMAAAAA&#10;" strokecolor="black [3213]"/>
                  <v:shape id="Tiesioji rodyklės jungtis 4180" o:spid="_x0000_s1127" type="#_x0000_t32" style="position:absolute;left:17430;top:35052;width:323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pH58AAAADdAAAADwAAAGRycy9kb3ducmV2LnhtbERPzU4CMRC+k/gOzZh4gy5GCVkphPiT&#10;eEMWH2DcDtvidrppK6xvzxxMPH75/lebMfTqTCn7yAbmswoUcRut587A5+FtugSVC7LFPjIZ+KUM&#10;m/XNZIW1jRfe07kpnZIQzjUacKUMtda5dRQwz+JALNwxpoBFYOq0TXiR8NDr+6pa6ICepcHhQM+O&#10;2u/mJ0jv1p8eX5Ll9vXr5D+Sw92xR2PubsftE6hCY/kX/7nfrYGH+VL2yxt5Anp9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46R+fAAAAA3QAAAA8AAAAAAAAAAAAAAAAA&#10;oQIAAGRycy9kb3ducmV2LnhtbFBLBQYAAAAABAAEAPkAAACOAwAAAAA=&#10;" strokecolor="black [3213]">
                    <v:stroke endarrow="open"/>
                  </v:shape>
                </v:group>
                <v:group id="Grupė 4181" o:spid="_x0000_s1128" style="position:absolute;left:1428;top:11239;width:54293;height:30861" coordsize="54292,3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pHDMYAAADdAAAADwAAAGRycy9kb3ducmV2LnhtbESPT2vCQBTE7wW/w/IK&#10;3upm1YqkriJSxYMI/oHS2yP7TILZtyG7TeK37xaEHoeZ+Q2zWPW2Ei01vnSsQY0SEMSZMyXnGq6X&#10;7dschA/IBivHpOFBHlbLwcsCU+M6PlF7DrmIEPYpaihCqFMpfVaQRT9yNXH0bq6xGKJscmka7CLc&#10;VnKcJDNpseS4UGBNm4Ky+/nHath12K0n6rM93G+bx/fl/fh1UKT18LVff4AI1If/8LO9Nxqmaq7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kcMxgAAAN0A&#10;AAAPAAAAAAAAAAAAAAAAAKoCAABkcnMvZG93bnJldi54bWxQSwUGAAAAAAQABAD6AAAAnQMAAAAA&#10;">
                  <v:group id="Grupė 4183" o:spid="_x0000_s1129" style="position:absolute;width:54292;height:30861" coordsize="54292,3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84McAAADdAAAADwAAAGRycy9kb3ducmV2LnhtbESPQWvCQBSE7wX/w/KE&#10;3uom2hZJ3YQgtvQgQlWQ3h7ZZxKSfRuy2yT++25B6HGYmW+YTTaZVgzUu9qygngRgSAurK65VHA+&#10;vT+tQTiPrLG1TApu5CBLZw8bTLQd+YuGoy9FgLBLUEHlfZdI6YqKDLqF7YiDd7W9QR9kX0rd4xjg&#10;ppXLKHqVBmsOCxV2tK2oaI4/RsHHiGO+infDvrlub9+nl8NlH5NSj/MpfwPhafL/4Xv7Uyt4jt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8R84McAAADd&#10;AAAADwAAAAAAAAAAAAAAAACqAgAAZHJzL2Rvd25yZXYueG1sUEsFBgAAAAAEAAQA+gAAAJ4DAAAA&#10;AA==&#10;">
                    <v:shape id="2 teksto laukas" o:spid="_x0000_s1130" type="#_x0000_t202" style="position:absolute;top:6191;width:54292;height:22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kUn8YA&#10;AADdAAAADwAAAGRycy9kb3ducmV2LnhtbESPS2vDMBCE74X+B7GF3Bo5IY2NGyWEvNpToG4OPW6t&#10;9YNaK2Mptvvvq0Igx2FmvmFWm9E0oqfO1ZYVzKYRCOLc6ppLBZfP43MCwnlkjY1lUvBLDjbrx4cV&#10;ptoO/EF95ksRIOxSVFB536ZSurwig25qW+LgFbYz6IPsSqk7HALcNHIeRUtpsOawUGFLu4ryn+xq&#10;FJzfXPIdH/qvU3ax+/MQF/gyL5SaPI3bVxCeRn8P39rvWsFilizg/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kUn8YAAADdAAAADwAAAAAAAAAAAAAAAACYAgAAZHJz&#10;L2Rvd25yZXYueG1sUEsFBgAAAAAEAAQA9QAAAIsDAAAAAA==&#10;">
                      <v:stroke dashstyle="dash"/>
                      <v:textbox>
                        <w:txbxContent>
                          <w:p w14:paraId="45ACED92" w14:textId="77777777" w:rsidR="00A65A8D" w:rsidRDefault="00A65A8D" w:rsidP="002B0C63">
                            <w:pPr>
                              <w:spacing w:after="0" w:line="240" w:lineRule="auto"/>
                              <w:jc w:val="center"/>
                            </w:pPr>
                            <w:r>
                              <w:t>Fondo veiklos sutartis</w:t>
                            </w:r>
                          </w:p>
                        </w:txbxContent>
                      </v:textbox>
                    </v:shape>
                    <v:shape id="2 teksto laukas" o:spid="_x0000_s1131" type="#_x0000_t202" style="position:absolute;left:1524;top:10668;width:51149;height:16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vc8YA&#10;AADdAAAADwAAAGRycy9kb3ducmV2LnhtbESPT2vCQBTE74V+h+UVvNWNoiakriK2VU9CUw89vmZf&#10;/tDs25DdJum37wqCx2FmfsOst6NpRE+dqy0rmE0jEMS51TWXCi6f788JCOeRNTaWScEfOdhuHh/W&#10;mGo78Af1mS9FgLBLUUHlfZtK6fKKDLqpbYmDV9jOoA+yK6XucAhw08h5FK2kwZrDQoUt7SvKf7Jf&#10;o+B8dMl3/NZ/HbKLfT0PcYHLeaHU5GncvYDwNPp7+NY+aQWLWbKC65vwBO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cvc8YAAADdAAAADwAAAAAAAAAAAAAAAACYAgAAZHJz&#10;L2Rvd25yZXYueG1sUEsFBgAAAAAEAAQA9QAAAIsDAAAAAA==&#10;">
                      <v:stroke dashstyle="dash"/>
                      <v:textbox>
                        <w:txbxContent>
                          <w:p w14:paraId="4F58653B" w14:textId="77777777" w:rsidR="00A65A8D" w:rsidRDefault="00A65A8D" w:rsidP="002B0C63">
                            <w:pPr>
                              <w:spacing w:after="0" w:line="240" w:lineRule="auto"/>
                              <w:jc w:val="center"/>
                            </w:pPr>
                          </w:p>
                        </w:txbxContent>
                      </v:textbox>
                    </v:shape>
                    <v:shape id="2 teksto laukas" o:spid="_x0000_s1132" type="#_x0000_t202" style="position:absolute;left:3619;top:13420;width:14415;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ErcYA&#10;AADdAAAADwAAAGRycy9kb3ducmV2LnhtbESPQWvCQBSE7wX/w/KEXkrd2Iqm0VWkoNibWrHXR/aZ&#10;BLNv4+42pv/eFQoeh5n5hpktOlOLlpyvLCsYDhIQxLnVFRcKDt+r1xSED8gaa8uk4I88LOa9pxlm&#10;2l55R+0+FCJC2GeooAyhyaT0eUkG/cA2xNE7WWcwROkKqR1eI9zU8i1JxtJgxXGhxIY+S8rP+1+j&#10;IB1t2h//9b495uNT/RFeJu364pR67nfLKYhAXXiE/9sbrWA0TC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oErcYAAADdAAAADwAAAAAAAAAAAAAAAACYAgAAZHJz&#10;L2Rvd25yZXYueG1sUEsFBgAAAAAEAAQA9QAAAIsDAAAAAA==&#10;">
                      <v:textbox>
                        <w:txbxContent>
                          <w:p w14:paraId="15D7B65A" w14:textId="77777777" w:rsidR="00A65A8D" w:rsidRDefault="00A65A8D" w:rsidP="002B0C63">
                            <w:pPr>
                              <w:jc w:val="center"/>
                            </w:pPr>
                            <w:r>
                              <w:t>Tikrasis narys – SPV (fondo valdytojas) kontroliuojamas nacionalinio subjekto</w:t>
                            </w:r>
                          </w:p>
                        </w:txbxContent>
                      </v:textbox>
                    </v:shape>
                    <v:shape id="2 teksto laukas" o:spid="_x0000_s1133" type="#_x0000_t202" style="position:absolute;left:28098;top:13427;width:11049;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vn8cA&#10;AADdAAAADwAAAGRycy9kb3ducmV2LnhtbESPW2vCQBSE3wv9D8sp+FJ0EyteoqsUocW+eUNfD9lj&#10;EsyeTXfXmP77bqHg4zAz3zCLVWdq0ZLzlWUF6SABQZxbXXGh4Hj46E9B+ICssbZMCn7Iw2r5/LTA&#10;TNs776jdh0JECPsMFZQhNJmUPi/JoB/Yhjh6F+sMhihdIbXDe4SbWg6TZCwNVhwXSmxoXVJ+3d+M&#10;gulo057919v2lI8v9Sy8TtrPb6dU76V7n4MI1IVH+L+90QpG6SyF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mr5/HAAAA3QAAAA8AAAAAAAAAAAAAAAAAmAIAAGRy&#10;cy9kb3ducmV2LnhtbFBLBQYAAAAABAAEAPUAAACMAwAAAAA=&#10;">
                      <v:textbox>
                        <w:txbxContent>
                          <w:p w14:paraId="0AD1445F" w14:textId="77777777" w:rsidR="00A65A8D" w:rsidRDefault="00A65A8D" w:rsidP="002B0C63">
                            <w:pPr>
                              <w:jc w:val="center"/>
                            </w:pPr>
                            <w:r>
                              <w:t>Komanditorius – nacionalinis subjektas</w:t>
                            </w:r>
                          </w:p>
                        </w:txbxContent>
                      </v:textbox>
                    </v:shape>
                    <v:shape id="2 teksto laukas" o:spid="_x0000_s1134" type="#_x0000_t202" style="position:absolute;left:40290;top:13430;width:10383;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Uc8YA&#10;AADdAAAADwAAAGRycy9kb3ducmV2LnhtbESPQWvCQBSE7wX/w/KEXkrd2IjV6CqlYIm3qqVeH9ln&#10;Esy+jbtrTP99tyD0OMzMN8xy3ZtGdOR8bVnBeJSAIC6srrlU8HXYPM9A+ICssbFMCn7Iw3o1eFhi&#10;pu2Nd9TtQykihH2GCqoQ2kxKX1Rk0I9sSxy9k3UGQ5SulNrhLcJNI1+SZCoN1hwXKmzpvaLivL8a&#10;BbNJ3h39Nv38LqanZh6eXruPi1Pqcdi/LUAE6sN/+N7OtYLJeJ7C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iUc8YAAADdAAAADwAAAAAAAAAAAAAAAACYAgAAZHJz&#10;L2Rvd25yZXYueG1sUEsFBgAAAAAEAAQA9QAAAIsDAAAAAA==&#10;">
                      <v:textbox>
                        <w:txbxContent>
                          <w:p w14:paraId="2ED23D3F" w14:textId="77777777" w:rsidR="00A65A8D" w:rsidRDefault="00A65A8D" w:rsidP="002B0C63">
                            <w:pPr>
                              <w:jc w:val="center"/>
                            </w:pPr>
                            <w:r>
                              <w:t>Kiti komanditoriai (bankai ir kiti investuotojai, jei reikia)</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Rodyklė kairėn-dešinėn 4197" o:spid="_x0000_s1135" type="#_x0000_t69" style="position:absolute;left:18669;top:17716;width:809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12l8UA&#10;AADdAAAADwAAAGRycy9kb3ducmV2LnhtbESPzWrDMBCE74W+g9hCbo2ckP65lkMpCQ3NqW7xebHW&#10;lqm1MpISu29fFQo5DjPzDVNsZzuIM/nQO1awWmYgiBune+4UfH3ubx9BhIiscXBMCn4owLa8viow&#10;127iDzpXsRMJwiFHBSbGMZcyNIYshqUbiZPXOm8xJuk7qT1OCW4Huc6ye2mx57RgcKRXQ813dbIK&#10;quNbO5tN3d6tp7oa3o3fHeqjUoub+eUZRKQ5XsL/7YNWsFk9PcDfm/QE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XaXxQAAAN0AAAAPAAAAAAAAAAAAAAAAAJgCAABkcnMv&#10;ZG93bnJldi54bWxQSwUGAAAAAAQABAD1AAAAigMAAAAA&#10;" adj="4066" filled="f" strokecolor="black [3213]">
                      <v:stroke dashstyle="dash"/>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4199" o:spid="_x0000_s1136" type="#_x0000_t68" style="position:absolute;left:6477;width:6858;height:12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NbMQA&#10;AADdAAAADwAAAGRycy9kb3ducmV2LnhtbESPQYvCMBSE78L+h/CEvYimLiK2a5RFWfDiQVvw+rZ5&#10;tsXmpSRRu//eCILHYWa+YZbr3rTiRs43lhVMJwkI4tLqhisFRf47XoDwAVlja5kU/JOH9epjsMRM&#10;2zsf6HYMlYgQ9hkqqEPoMil9WZNBP7EdcfTO1hkMUbpKaof3CDet/EqSuTTYcFyosaNNTeXleDUK&#10;8pJcus/70SYvFtu5Ce7vdHFKfQ77n28QgfrwDr/aO61gNk1TeL6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bjWzEAAAA3QAAAA8AAAAAAAAAAAAAAAAAmAIAAGRycy9k&#10;b3ducmV2LnhtbFBLBQYAAAAABAAEAPUAAACJAwAAAAA=&#10;" adj="5737" fillcolor="white [3212]" strokecolor="black [3213]">
                      <v:stroke dashstyle="dash"/>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4200" o:spid="_x0000_s1137" type="#_x0000_t67" style="position:absolute;left:19907;top:24860;width:4000;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bxysMA&#10;AADdAAAADwAAAGRycy9kb3ducmV2LnhtbESPW4vCMBSE3wX/QziCb5oqiyvVVEQUdvHJyw84NMde&#10;bE5KE3vx128WFvZxmJlvmO2uN5VoqXGFZQWLeQSCOLW64EzB/XaarUE4j6yxskwKBnKwS8ajLcba&#10;dnyh9uozESDsYlSQe1/HUro0J4Nubmvi4D1sY9AH2WRSN9gFuKnkMopW0mDBYSHHmg45pc/ryyi4&#10;fPtjsezOkRsO+/LUfpY00Fup6aTfb0B46v1/+K/9pRV8BCT8vglPQC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bxysMAAADdAAAADwAAAAAAAAAAAAAAAACYAgAAZHJzL2Rv&#10;d25yZXYueG1sUEsFBgAAAAAEAAQA9QAAAIgDAAAAAA==&#10;" adj="14400" fillcolor="white [3212]" strokecolor="black [3213]"/>
                  </v:group>
                  <v:shape id="2 teksto laukas" o:spid="_x0000_s1138" type="#_x0000_t202" style="position:absolute;left:14763;top:1046;width:22003;height:4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zdMUA&#10;AADdAAAADwAAAGRycy9kb3ducmV2LnhtbESPy2rDMBBF94H+g5hCd4ls04TiRgmhEAgli+ax6HKw&#10;ppZja+Ra8qN/XwUKXV7u43DX28k2YqDOV44VpIsEBHHhdMWlgutlP38B4QOyxsYxKfghD9vNw2yN&#10;uXYjn2g4h1LEEfY5KjAhtLmUvjBk0S9cSxy9L9dZDFF2pdQdjnHcNjJLkpW0WHEkGGzpzVBRn3sb&#10;IUdf9Cf3fUuPtfw09QqXH+ZdqafHafcKItAU/sN/7YNW8JwlGdzfx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nN0xQAAAN0AAAAPAAAAAAAAAAAAAAAAAJgCAABkcnMv&#10;ZG93bnJldi54bWxQSwUGAAAAAAQABAD1AAAAigMAAAAA&#10;" stroked="f">
                    <v:textbox style="mso-fit-shape-to-text:t">
                      <w:txbxContent>
                        <w:p w14:paraId="3A1CC900" w14:textId="77777777" w:rsidR="00A65A8D" w:rsidRDefault="00A65A8D" w:rsidP="002B0C63">
                          <w:r>
                            <w:t>Paslaugų sutartis (jei reikia</w:t>
                          </w:r>
                        </w:p>
                      </w:txbxContent>
                    </v:textbox>
                  </v:shape>
                </v:group>
                <w10:anchorlock/>
              </v:group>
            </w:pict>
          </mc:Fallback>
        </mc:AlternateContent>
      </w:r>
    </w:p>
    <w:p w14:paraId="65263C7C" w14:textId="7F70B2C4" w:rsidR="002B0C63" w:rsidRPr="00F40BD0" w:rsidRDefault="002B0C63" w:rsidP="002B0C63">
      <w:pPr>
        <w:pStyle w:val="Antrat"/>
        <w:rPr>
          <w:szCs w:val="20"/>
          <w:lang w:val="lt-LT"/>
        </w:rPr>
      </w:pPr>
      <w:bookmarkStart w:id="358" w:name="_Toc417378332"/>
      <w:r w:rsidRPr="00F40BD0">
        <w:rPr>
          <w:lang w:val="lt-LT"/>
        </w:rPr>
        <w:t xml:space="preserve">Paveikslas </w:t>
      </w:r>
      <w:r w:rsidRPr="00F40BD0">
        <w:rPr>
          <w:lang w:val="lt-LT"/>
        </w:rPr>
        <w:fldChar w:fldCharType="begin"/>
      </w:r>
      <w:r w:rsidRPr="00F40BD0">
        <w:rPr>
          <w:lang w:val="lt-LT"/>
        </w:rPr>
        <w:instrText xml:space="preserve"> SEQ Paveikslas \* ARABIC </w:instrText>
      </w:r>
      <w:r w:rsidRPr="00F40BD0">
        <w:rPr>
          <w:lang w:val="lt-LT"/>
        </w:rPr>
        <w:fldChar w:fldCharType="separate"/>
      </w:r>
      <w:r w:rsidR="00AA3082">
        <w:rPr>
          <w:noProof/>
          <w:lang w:val="lt-LT"/>
        </w:rPr>
        <w:t>55</w:t>
      </w:r>
      <w:r w:rsidRPr="00F40BD0">
        <w:rPr>
          <w:lang w:val="lt-LT"/>
        </w:rPr>
        <w:fldChar w:fldCharType="end"/>
      </w:r>
      <w:r w:rsidRPr="00F40BD0">
        <w:rPr>
          <w:lang w:val="lt-LT"/>
        </w:rPr>
        <w:t xml:space="preserve">. </w:t>
      </w:r>
      <w:r>
        <w:rPr>
          <w:szCs w:val="20"/>
          <w:lang w:val="lt-LT"/>
        </w:rPr>
        <w:t>Galima fondo kaip KŪ</w:t>
      </w:r>
      <w:r w:rsidRPr="00F40BD0">
        <w:rPr>
          <w:szCs w:val="20"/>
          <w:lang w:val="lt-LT"/>
        </w:rPr>
        <w:t>B struktūra.</w:t>
      </w:r>
      <w:bookmarkEnd w:id="358"/>
    </w:p>
    <w:p w14:paraId="06EB56C3" w14:textId="77777777" w:rsidR="002B0C63" w:rsidRPr="0079578D" w:rsidRDefault="002B0C63" w:rsidP="002B0C63">
      <w:pPr>
        <w:pStyle w:val="prastasis1"/>
        <w:spacing w:line="276" w:lineRule="auto"/>
        <w:jc w:val="both"/>
        <w:rPr>
          <w:rFonts w:ascii="Georgia" w:hAnsi="Georgia"/>
          <w:sz w:val="20"/>
          <w:szCs w:val="20"/>
        </w:rPr>
      </w:pPr>
      <w:r w:rsidRPr="0079578D">
        <w:rPr>
          <w:rFonts w:ascii="Georgia" w:hAnsi="Georgia"/>
          <w:sz w:val="20"/>
          <w:szCs w:val="20"/>
        </w:rPr>
        <w:t xml:space="preserve">Siekiant užtikrinti, kad strateginius investicinius sprendimus patvirtintų </w:t>
      </w:r>
      <w:r>
        <w:rPr>
          <w:rFonts w:ascii="Georgia" w:hAnsi="Georgia"/>
          <w:sz w:val="20"/>
          <w:szCs w:val="20"/>
        </w:rPr>
        <w:t>F</w:t>
      </w:r>
      <w:r w:rsidRPr="0079578D">
        <w:rPr>
          <w:rFonts w:ascii="Georgia" w:hAnsi="Georgia"/>
          <w:sz w:val="20"/>
          <w:szCs w:val="20"/>
        </w:rPr>
        <w:t xml:space="preserve">inansų ministerija ir </w:t>
      </w:r>
      <w:r>
        <w:rPr>
          <w:rFonts w:ascii="Georgia" w:hAnsi="Georgia"/>
          <w:sz w:val="20"/>
          <w:szCs w:val="20"/>
        </w:rPr>
        <w:t>A</w:t>
      </w:r>
      <w:r w:rsidRPr="0079578D">
        <w:rPr>
          <w:rFonts w:ascii="Georgia" w:hAnsi="Georgia"/>
          <w:sz w:val="20"/>
          <w:szCs w:val="20"/>
        </w:rPr>
        <w:t>plinkos ministerija, siūl</w:t>
      </w:r>
      <w:r>
        <w:rPr>
          <w:rFonts w:ascii="Georgia" w:hAnsi="Georgia"/>
          <w:sz w:val="20"/>
          <w:szCs w:val="20"/>
        </w:rPr>
        <w:t>oma</w:t>
      </w:r>
      <w:r w:rsidRPr="0079578D">
        <w:rPr>
          <w:rFonts w:ascii="Georgia" w:hAnsi="Georgia"/>
          <w:sz w:val="20"/>
          <w:szCs w:val="20"/>
        </w:rPr>
        <w:t>, kad būtų sukurta tokia Fondo valdymo struktūra:</w:t>
      </w:r>
    </w:p>
    <w:p w14:paraId="0D6C3808" w14:textId="77777777" w:rsidR="002B0C63" w:rsidRPr="0079578D" w:rsidRDefault="002B0C63" w:rsidP="002A576D">
      <w:pPr>
        <w:pStyle w:val="prastasis1"/>
        <w:numPr>
          <w:ilvl w:val="0"/>
          <w:numId w:val="62"/>
        </w:numPr>
        <w:spacing w:line="276" w:lineRule="auto"/>
        <w:ind w:left="567"/>
        <w:jc w:val="both"/>
        <w:rPr>
          <w:rFonts w:ascii="Georgia" w:hAnsi="Georgia"/>
          <w:sz w:val="20"/>
          <w:szCs w:val="20"/>
        </w:rPr>
      </w:pPr>
      <w:r w:rsidRPr="0079578D">
        <w:rPr>
          <w:rFonts w:ascii="Georgia" w:hAnsi="Georgia"/>
          <w:sz w:val="20"/>
          <w:szCs w:val="20"/>
        </w:rPr>
        <w:t xml:space="preserve">Fondo dalyvių susirinkimas – jo sudarymas ir kompetencija galėtų būti tokia, kaip nurodyta </w:t>
      </w:r>
      <w:r>
        <w:rPr>
          <w:rFonts w:ascii="Georgia" w:hAnsi="Georgia"/>
          <w:sz w:val="20"/>
          <w:szCs w:val="20"/>
        </w:rPr>
        <w:t>aukščiau</w:t>
      </w:r>
      <w:r w:rsidRPr="0079578D">
        <w:rPr>
          <w:rFonts w:ascii="Georgia" w:hAnsi="Georgia"/>
          <w:sz w:val="20"/>
          <w:szCs w:val="20"/>
        </w:rPr>
        <w:t>. Siekiant supaprastinti valdymo organų struktūrą, galima atsisakyti susirinkimo, bet užtikrinti, kad Investiciniame komitete būtų atstovaujami visi Fondo dalyviai, kurie dalyvautų atitinkamų sprendimų priėmime, kur reikalingi visų Fondo dalyvių balsai;</w:t>
      </w:r>
    </w:p>
    <w:p w14:paraId="0BAE3F6F" w14:textId="77777777" w:rsidR="002B0C63" w:rsidRPr="0079578D" w:rsidRDefault="002B0C63" w:rsidP="002A576D">
      <w:pPr>
        <w:pStyle w:val="prastasis1"/>
        <w:numPr>
          <w:ilvl w:val="0"/>
          <w:numId w:val="62"/>
        </w:numPr>
        <w:spacing w:line="276" w:lineRule="auto"/>
        <w:ind w:left="567"/>
        <w:jc w:val="both"/>
        <w:rPr>
          <w:rFonts w:ascii="Georgia" w:hAnsi="Georgia"/>
          <w:sz w:val="20"/>
          <w:szCs w:val="20"/>
        </w:rPr>
      </w:pPr>
      <w:r w:rsidRPr="0079578D">
        <w:rPr>
          <w:rFonts w:ascii="Georgia" w:hAnsi="Georgia"/>
          <w:sz w:val="20"/>
          <w:szCs w:val="20"/>
        </w:rPr>
        <w:t xml:space="preserve">Investicinis komitetas – atsižvelgiant į tai, kad šis organas paprastai yra atsakingas už strateginių investicinių sprendimų priėmimą, siūlytume, kad Veiklos sutartyje būtų įtvirtinta, jog dauguma komiteto narių (pvz., 4 nariai iš 7) turi būti paskirti iš kandidatų, pasiūlytų </w:t>
      </w:r>
      <w:r>
        <w:rPr>
          <w:rFonts w:ascii="Georgia" w:hAnsi="Georgia"/>
          <w:sz w:val="20"/>
          <w:szCs w:val="20"/>
        </w:rPr>
        <w:t>F</w:t>
      </w:r>
      <w:r w:rsidRPr="0079578D">
        <w:rPr>
          <w:rFonts w:ascii="Georgia" w:hAnsi="Georgia"/>
          <w:sz w:val="20"/>
          <w:szCs w:val="20"/>
        </w:rPr>
        <w:t xml:space="preserve">inansų ministerijos ir </w:t>
      </w:r>
      <w:r>
        <w:rPr>
          <w:rFonts w:ascii="Georgia" w:hAnsi="Georgia"/>
          <w:sz w:val="20"/>
          <w:szCs w:val="20"/>
        </w:rPr>
        <w:t>A</w:t>
      </w:r>
      <w:r w:rsidRPr="0079578D">
        <w:rPr>
          <w:rFonts w:ascii="Georgia" w:hAnsi="Georgia"/>
          <w:sz w:val="20"/>
          <w:szCs w:val="20"/>
        </w:rPr>
        <w:t xml:space="preserve">plinkos ministerijos, taip pat (jei reikia) kad komiteto sprendimai gali būti priimti tik tuo atveju, jeigu visi nariai, pasiūlyti ministerijų, jiems pritaria. Tokiu atveju būtų užtikrinta, kad strateginius su investavimu susijusius sprendimus patvirtina ministerijų atstovai. Kitos nuostatos, susijusios su šiuo komitetu, gali būti tokios pačios ar panašios, kaip nurodyta </w:t>
      </w:r>
      <w:r>
        <w:rPr>
          <w:rFonts w:ascii="Georgia" w:hAnsi="Georgia"/>
          <w:sz w:val="20"/>
          <w:szCs w:val="20"/>
        </w:rPr>
        <w:t>aukščiau</w:t>
      </w:r>
      <w:r w:rsidRPr="0079578D">
        <w:rPr>
          <w:rFonts w:ascii="Georgia" w:hAnsi="Georgia"/>
          <w:sz w:val="20"/>
          <w:szCs w:val="20"/>
        </w:rPr>
        <w:t>;</w:t>
      </w:r>
    </w:p>
    <w:p w14:paraId="36C44577" w14:textId="77777777" w:rsidR="002B0C63" w:rsidRDefault="002B0C63" w:rsidP="002A576D">
      <w:pPr>
        <w:pStyle w:val="prastasis1"/>
        <w:numPr>
          <w:ilvl w:val="0"/>
          <w:numId w:val="62"/>
        </w:numPr>
        <w:spacing w:line="276" w:lineRule="auto"/>
        <w:ind w:left="567"/>
        <w:jc w:val="both"/>
        <w:rPr>
          <w:rFonts w:ascii="Georgia" w:hAnsi="Georgia"/>
          <w:sz w:val="20"/>
          <w:szCs w:val="20"/>
        </w:rPr>
      </w:pPr>
      <w:r w:rsidRPr="0079578D">
        <w:rPr>
          <w:rFonts w:ascii="Georgia" w:hAnsi="Georgia"/>
          <w:sz w:val="20"/>
          <w:szCs w:val="20"/>
        </w:rPr>
        <w:lastRenderedPageBreak/>
        <w:t xml:space="preserve">Valdymo komitetas – Veiklos sutartyje gali būti numatyta, kad šį organą sudaro 5 nariai, paskirti tikrojo nario (Fondo valdytojo). Kitos nuostatos, susijusios su šiuo komitetu gali būti tokios pačios ar panašios, kaip </w:t>
      </w:r>
      <w:r>
        <w:rPr>
          <w:rFonts w:ascii="Georgia" w:hAnsi="Georgia"/>
          <w:sz w:val="20"/>
          <w:szCs w:val="20"/>
        </w:rPr>
        <w:t>aukščiau</w:t>
      </w:r>
      <w:r w:rsidRPr="0079578D">
        <w:rPr>
          <w:rFonts w:ascii="Georgia" w:hAnsi="Georgia"/>
          <w:sz w:val="20"/>
          <w:szCs w:val="20"/>
        </w:rPr>
        <w:t>.</w:t>
      </w:r>
    </w:p>
    <w:p w14:paraId="22A9AC4A" w14:textId="77777777" w:rsidR="002B0C63" w:rsidRDefault="002B0C63" w:rsidP="002B0C63">
      <w:pPr>
        <w:pStyle w:val="prastasis1"/>
        <w:spacing w:line="276" w:lineRule="auto"/>
        <w:jc w:val="both"/>
        <w:rPr>
          <w:rFonts w:ascii="Georgia" w:hAnsi="Georgia"/>
          <w:sz w:val="20"/>
          <w:szCs w:val="20"/>
        </w:rPr>
      </w:pPr>
      <w:r>
        <w:rPr>
          <w:rFonts w:ascii="Georgia" w:hAnsi="Georgia"/>
          <w:sz w:val="20"/>
          <w:szCs w:val="20"/>
        </w:rPr>
        <w:t>Steigiant siūlomą KŪB struktūrą, reikia atlikti šiuos veiksmus:</w:t>
      </w:r>
    </w:p>
    <w:p w14:paraId="6243665A" w14:textId="77777777" w:rsidR="002B0C63" w:rsidRDefault="002B0C63" w:rsidP="002A576D">
      <w:pPr>
        <w:pStyle w:val="prastasis1"/>
        <w:numPr>
          <w:ilvl w:val="0"/>
          <w:numId w:val="63"/>
        </w:numPr>
        <w:spacing w:line="276" w:lineRule="auto"/>
        <w:ind w:left="567"/>
        <w:jc w:val="both"/>
        <w:rPr>
          <w:rFonts w:ascii="Georgia" w:hAnsi="Georgia"/>
          <w:sz w:val="20"/>
          <w:szCs w:val="20"/>
        </w:rPr>
      </w:pPr>
      <w:r>
        <w:rPr>
          <w:rFonts w:ascii="Georgia" w:hAnsi="Georgia"/>
          <w:sz w:val="20"/>
          <w:szCs w:val="20"/>
        </w:rPr>
        <w:t>parengti, apsvarstyti ir patvirtinti galutinę fondo struktūrą;</w:t>
      </w:r>
    </w:p>
    <w:p w14:paraId="4EBA71DF" w14:textId="77777777" w:rsidR="002B0C63" w:rsidRDefault="002B0C63" w:rsidP="002A576D">
      <w:pPr>
        <w:pStyle w:val="prastasis1"/>
        <w:numPr>
          <w:ilvl w:val="0"/>
          <w:numId w:val="63"/>
        </w:numPr>
        <w:spacing w:line="276" w:lineRule="auto"/>
        <w:ind w:left="567"/>
        <w:jc w:val="both"/>
        <w:rPr>
          <w:rFonts w:ascii="Georgia" w:hAnsi="Georgia"/>
          <w:sz w:val="20"/>
          <w:szCs w:val="20"/>
        </w:rPr>
      </w:pPr>
      <w:r>
        <w:rPr>
          <w:rFonts w:ascii="Georgia" w:hAnsi="Georgia"/>
          <w:sz w:val="20"/>
          <w:szCs w:val="20"/>
        </w:rPr>
        <w:t>parengti fondo steigimui reikiamus dokumentus ir suderinti su fondo valdytoju;</w:t>
      </w:r>
    </w:p>
    <w:p w14:paraId="61AF566B" w14:textId="77777777" w:rsidR="002B0C63" w:rsidRDefault="002B0C63" w:rsidP="002A576D">
      <w:pPr>
        <w:pStyle w:val="prastasis1"/>
        <w:numPr>
          <w:ilvl w:val="0"/>
          <w:numId w:val="63"/>
        </w:numPr>
        <w:spacing w:line="276" w:lineRule="auto"/>
        <w:ind w:left="567"/>
        <w:jc w:val="both"/>
        <w:rPr>
          <w:rFonts w:ascii="Georgia" w:hAnsi="Georgia"/>
          <w:sz w:val="20"/>
          <w:szCs w:val="20"/>
        </w:rPr>
      </w:pPr>
      <w:r>
        <w:rPr>
          <w:rFonts w:ascii="Georgia" w:hAnsi="Georgia"/>
          <w:sz w:val="20"/>
          <w:szCs w:val="20"/>
        </w:rPr>
        <w:t>parinkti arba įsteigti tikrąjį narį;</w:t>
      </w:r>
    </w:p>
    <w:p w14:paraId="1E9341FB" w14:textId="77777777" w:rsidR="002B0C63" w:rsidRDefault="002B0C63" w:rsidP="002A576D">
      <w:pPr>
        <w:pStyle w:val="prastasis1"/>
        <w:numPr>
          <w:ilvl w:val="0"/>
          <w:numId w:val="63"/>
        </w:numPr>
        <w:spacing w:line="276" w:lineRule="auto"/>
        <w:ind w:left="567"/>
        <w:jc w:val="both"/>
        <w:rPr>
          <w:rFonts w:ascii="Georgia" w:hAnsi="Georgia"/>
          <w:sz w:val="20"/>
          <w:szCs w:val="20"/>
        </w:rPr>
      </w:pPr>
      <w:r>
        <w:rPr>
          <w:rFonts w:ascii="Georgia" w:hAnsi="Georgia"/>
          <w:sz w:val="20"/>
          <w:szCs w:val="20"/>
        </w:rPr>
        <w:t>pasirašyti KŪB sutartį.</w:t>
      </w:r>
    </w:p>
    <w:p w14:paraId="1256FE5F" w14:textId="77777777" w:rsidR="002B0C63" w:rsidRPr="00DD3EA1" w:rsidRDefault="002B0C63" w:rsidP="002B0C63">
      <w:pPr>
        <w:pStyle w:val="prastasis1"/>
        <w:spacing w:line="276" w:lineRule="auto"/>
        <w:jc w:val="both"/>
        <w:rPr>
          <w:rFonts w:ascii="Georgia" w:hAnsi="Georgia"/>
          <w:sz w:val="20"/>
          <w:szCs w:val="20"/>
        </w:rPr>
      </w:pPr>
      <w:r w:rsidRPr="00DD3EA1">
        <w:rPr>
          <w:rFonts w:ascii="Georgia" w:hAnsi="Georgia"/>
          <w:sz w:val="20"/>
          <w:szCs w:val="20"/>
        </w:rPr>
        <w:t>KŪB bus perkančiąja organizacija tol, kol:</w:t>
      </w:r>
    </w:p>
    <w:p w14:paraId="2E69413A" w14:textId="77777777" w:rsidR="002B0C63" w:rsidRPr="00DD3EA1" w:rsidRDefault="002B0C63" w:rsidP="002A576D">
      <w:pPr>
        <w:pStyle w:val="prastasis1"/>
        <w:numPr>
          <w:ilvl w:val="0"/>
          <w:numId w:val="67"/>
        </w:numPr>
        <w:spacing w:line="276" w:lineRule="auto"/>
        <w:ind w:left="567"/>
        <w:jc w:val="both"/>
        <w:rPr>
          <w:rFonts w:ascii="Georgia" w:hAnsi="Georgia"/>
          <w:sz w:val="20"/>
          <w:szCs w:val="20"/>
        </w:rPr>
      </w:pPr>
      <w:r w:rsidRPr="00DD3EA1">
        <w:rPr>
          <w:rFonts w:ascii="Georgia" w:hAnsi="Georgia"/>
          <w:sz w:val="20"/>
          <w:szCs w:val="20"/>
        </w:rPr>
        <w:t>Daugiau kaip 50 proc. finansuojama iš valstybės ar savivaldybių biudžetų arba kitų valstybės ar savivaldybių fondų lėšų (įskaitant ir ES</w:t>
      </w:r>
      <w:r>
        <w:rPr>
          <w:rFonts w:ascii="Georgia" w:hAnsi="Georgia"/>
          <w:sz w:val="20"/>
          <w:szCs w:val="20"/>
        </w:rPr>
        <w:t>I</w:t>
      </w:r>
      <w:r w:rsidRPr="00DD3EA1">
        <w:rPr>
          <w:rFonts w:ascii="Georgia" w:hAnsi="Georgia"/>
          <w:sz w:val="20"/>
          <w:szCs w:val="20"/>
        </w:rPr>
        <w:t xml:space="preserve"> fondų lėšas), arba kitų perkančiųjų organizacijų lėšų;</w:t>
      </w:r>
    </w:p>
    <w:p w14:paraId="16F82930" w14:textId="77777777" w:rsidR="002B0C63" w:rsidRPr="00DD3EA1" w:rsidRDefault="002B0C63" w:rsidP="002A576D">
      <w:pPr>
        <w:pStyle w:val="prastasis1"/>
        <w:numPr>
          <w:ilvl w:val="0"/>
          <w:numId w:val="67"/>
        </w:numPr>
        <w:spacing w:line="276" w:lineRule="auto"/>
        <w:ind w:left="567"/>
        <w:jc w:val="both"/>
        <w:rPr>
          <w:rFonts w:ascii="Georgia" w:hAnsi="Georgia"/>
          <w:sz w:val="20"/>
          <w:szCs w:val="20"/>
        </w:rPr>
      </w:pPr>
      <w:r w:rsidRPr="00DD3EA1">
        <w:rPr>
          <w:rFonts w:ascii="Georgia" w:hAnsi="Georgia"/>
          <w:sz w:val="20"/>
          <w:szCs w:val="20"/>
        </w:rPr>
        <w:t>Bus kontroliuojamas (valdomas) valstybės, savivaldybės institucijų arba kitų perkančiųjų organizacijų;</w:t>
      </w:r>
    </w:p>
    <w:p w14:paraId="4950C51E" w14:textId="77777777" w:rsidR="002B0C63" w:rsidRPr="00DD3EA1" w:rsidRDefault="002B0C63" w:rsidP="002A576D">
      <w:pPr>
        <w:pStyle w:val="prastasis1"/>
        <w:numPr>
          <w:ilvl w:val="0"/>
          <w:numId w:val="67"/>
        </w:numPr>
        <w:spacing w:line="276" w:lineRule="auto"/>
        <w:ind w:left="567"/>
        <w:jc w:val="both"/>
        <w:rPr>
          <w:rFonts w:ascii="Georgia" w:hAnsi="Georgia"/>
          <w:sz w:val="20"/>
          <w:szCs w:val="20"/>
        </w:rPr>
      </w:pPr>
      <w:r w:rsidRPr="00DD3EA1">
        <w:rPr>
          <w:rFonts w:ascii="Georgia" w:hAnsi="Georgia"/>
          <w:sz w:val="20"/>
          <w:szCs w:val="20"/>
        </w:rPr>
        <w:t>Daugiau kaip pusę jo administracijos, valdymo ar priežiūros organų skirs valstybės, savivaldybės institucijų arba kitos perkančiosios organizacijos.</w:t>
      </w:r>
    </w:p>
    <w:p w14:paraId="3AA6EFF5" w14:textId="77777777" w:rsidR="002B0C63" w:rsidRDefault="002B0C63" w:rsidP="002B0C63">
      <w:pPr>
        <w:pStyle w:val="prastasis1"/>
        <w:spacing w:line="276" w:lineRule="auto"/>
        <w:jc w:val="both"/>
        <w:rPr>
          <w:rFonts w:ascii="Georgia" w:hAnsi="Georgia"/>
          <w:sz w:val="20"/>
          <w:szCs w:val="20"/>
        </w:rPr>
      </w:pPr>
      <w:r>
        <w:rPr>
          <w:rFonts w:ascii="Georgia" w:hAnsi="Georgia"/>
          <w:sz w:val="20"/>
          <w:szCs w:val="20"/>
        </w:rPr>
        <w:t>VPĮ procedūrų taikymas:</w:t>
      </w:r>
    </w:p>
    <w:p w14:paraId="31505E99" w14:textId="77777777" w:rsidR="002B0C63" w:rsidRPr="008E5393" w:rsidRDefault="002B0C63" w:rsidP="002B0C63">
      <w:pPr>
        <w:pStyle w:val="prastasis1"/>
        <w:spacing w:line="276" w:lineRule="auto"/>
        <w:jc w:val="both"/>
        <w:rPr>
          <w:rFonts w:ascii="Georgia" w:hAnsi="Georgia"/>
          <w:sz w:val="20"/>
          <w:szCs w:val="20"/>
        </w:rPr>
      </w:pPr>
      <w:r w:rsidRPr="00051C41">
        <w:rPr>
          <w:rFonts w:ascii="Georgia" w:hAnsi="Georgia"/>
          <w:sz w:val="20"/>
          <w:szCs w:val="20"/>
        </w:rPr>
        <w:t>Investuotojų (naujų narių) pritraukimas.</w:t>
      </w:r>
      <w:r>
        <w:rPr>
          <w:rFonts w:ascii="Georgia" w:hAnsi="Georgia"/>
          <w:sz w:val="20"/>
          <w:szCs w:val="20"/>
        </w:rPr>
        <w:t xml:space="preserve"> </w:t>
      </w:r>
      <w:r w:rsidRPr="00051C41">
        <w:rPr>
          <w:rFonts w:ascii="Georgia" w:hAnsi="Georgia"/>
          <w:sz w:val="20"/>
          <w:szCs w:val="20"/>
        </w:rPr>
        <w:t>Jeigu nariai įnešdami kapitalą gauna tik standartines teises, kurias numato KŪB valdymo sutartis</w:t>
      </w:r>
      <w:r w:rsidRPr="008E5393">
        <w:rPr>
          <w:rFonts w:ascii="Georgia" w:hAnsi="Georgia"/>
          <w:sz w:val="20"/>
          <w:szCs w:val="20"/>
        </w:rPr>
        <w:t xml:space="preserve"> ir teisės aktai, VPĮ nėra taikomas. Jeigu gaudami kapitalą, jie gauna specialias teises dalyvauti sutartyse, kurias sudaro Fondas, ir kurios atitinka viešojo pirkimo-pardavimo sutarties požymius, tuomet jų pritraukimui (atrankai) turės būti taikomos VPĮ procedūros:</w:t>
      </w:r>
    </w:p>
    <w:p w14:paraId="7349F031" w14:textId="77777777" w:rsidR="002B0C63" w:rsidRDefault="002B0C63" w:rsidP="002A576D">
      <w:pPr>
        <w:pStyle w:val="prastasis1"/>
        <w:numPr>
          <w:ilvl w:val="0"/>
          <w:numId w:val="62"/>
        </w:numPr>
        <w:spacing w:line="276" w:lineRule="auto"/>
        <w:ind w:left="567"/>
        <w:jc w:val="both"/>
        <w:rPr>
          <w:rFonts w:ascii="Georgia" w:hAnsi="Georgia"/>
          <w:sz w:val="20"/>
          <w:szCs w:val="20"/>
        </w:rPr>
      </w:pPr>
      <w:r w:rsidRPr="00DD3EA1">
        <w:rPr>
          <w:rFonts w:ascii="Georgia" w:hAnsi="Georgia"/>
          <w:sz w:val="20"/>
          <w:szCs w:val="20"/>
        </w:rPr>
        <w:t>Kredito gavėjų pritraukimui. Visos perkančiosios organizacijos skolinasi pagal VPĮ, išskyrus, jei finansinių paslaugų įsigijimas yra vykdomas iš tarptautinių finansinių institucijų.</w:t>
      </w:r>
    </w:p>
    <w:p w14:paraId="7690751E" w14:textId="77777777" w:rsidR="002B0C63" w:rsidRDefault="002B0C63" w:rsidP="002A576D">
      <w:pPr>
        <w:pStyle w:val="prastasis1"/>
        <w:numPr>
          <w:ilvl w:val="0"/>
          <w:numId w:val="62"/>
        </w:numPr>
        <w:spacing w:line="276" w:lineRule="auto"/>
        <w:ind w:left="567"/>
        <w:jc w:val="both"/>
        <w:rPr>
          <w:rFonts w:ascii="Georgia" w:hAnsi="Georgia"/>
          <w:sz w:val="20"/>
          <w:szCs w:val="20"/>
        </w:rPr>
      </w:pPr>
      <w:r w:rsidRPr="00DD3EA1">
        <w:rPr>
          <w:rFonts w:ascii="Georgia" w:hAnsi="Georgia"/>
          <w:sz w:val="20"/>
          <w:szCs w:val="20"/>
        </w:rPr>
        <w:t>Finansinių tarpininkų atrankai - vykdoma pagal VPĮ nuostatas.</w:t>
      </w:r>
    </w:p>
    <w:p w14:paraId="1EEA00B4" w14:textId="77777777" w:rsidR="002B0C63" w:rsidRDefault="002B0C63" w:rsidP="002A576D">
      <w:pPr>
        <w:pStyle w:val="prastasis1"/>
        <w:numPr>
          <w:ilvl w:val="0"/>
          <w:numId w:val="62"/>
        </w:numPr>
        <w:spacing w:line="276" w:lineRule="auto"/>
        <w:ind w:left="567"/>
        <w:jc w:val="both"/>
        <w:rPr>
          <w:rFonts w:ascii="Georgia" w:hAnsi="Georgia"/>
          <w:sz w:val="20"/>
          <w:szCs w:val="20"/>
        </w:rPr>
      </w:pPr>
      <w:r w:rsidRPr="00DD3EA1">
        <w:rPr>
          <w:rFonts w:ascii="Georgia" w:hAnsi="Georgia"/>
          <w:sz w:val="20"/>
          <w:szCs w:val="20"/>
        </w:rPr>
        <w:t>Tarptautinių organizacijų procedūrų išimtis. VPĮ netaikomas pirkimams, kurie atliekami pagal tarptautinių organizacijų specialias pirkimo taisykles. Pareiga taikyti tokias taisykles tur</w:t>
      </w:r>
      <w:r w:rsidRPr="007A06B2">
        <w:rPr>
          <w:rFonts w:ascii="Georgia" w:hAnsi="Georgia"/>
          <w:sz w:val="20"/>
          <w:szCs w:val="20"/>
        </w:rPr>
        <w:t xml:space="preserve">i atsirasti pagal tų organizacijų steigimo dokumentus ar kitas nustatytas taisykles. EIB </w:t>
      </w:r>
      <w:r>
        <w:rPr>
          <w:rFonts w:ascii="Georgia" w:hAnsi="Georgia"/>
          <w:sz w:val="20"/>
          <w:szCs w:val="20"/>
        </w:rPr>
        <w:t>galėtų būti</w:t>
      </w:r>
      <w:r w:rsidRPr="00DD3EA1">
        <w:rPr>
          <w:rFonts w:ascii="Georgia" w:hAnsi="Georgia"/>
          <w:sz w:val="20"/>
          <w:szCs w:val="20"/>
        </w:rPr>
        <w:t xml:space="preserve"> viena iš tokių organizacijų, tačiau siekiant galutinai nustatyti, ar atskirais atvejais būtų taikomos EIB taisyklės, reikėtų žinoti, kokį vaidmenį EIB užimtų KŪB struktūroje.</w:t>
      </w:r>
    </w:p>
    <w:p w14:paraId="1229B629" w14:textId="77777777" w:rsidR="00144349" w:rsidRPr="00A17E1B" w:rsidRDefault="00462E8B">
      <w:pPr>
        <w:rPr>
          <w:rFonts w:ascii="Georgia" w:hAnsi="Georgia"/>
          <w:b/>
          <w:sz w:val="20"/>
          <w:szCs w:val="20"/>
          <w:lang w:val="lt-LT"/>
        </w:rPr>
      </w:pPr>
      <w:r w:rsidRPr="00A17E1B">
        <w:rPr>
          <w:rFonts w:ascii="Georgia" w:hAnsi="Georgia"/>
          <w:b/>
          <w:sz w:val="20"/>
          <w:szCs w:val="20"/>
          <w:lang w:val="lt-LT"/>
        </w:rPr>
        <w:t>Fondo valdytojo paskyrimo alternatyvos</w:t>
      </w:r>
    </w:p>
    <w:p w14:paraId="653E0248" w14:textId="77777777" w:rsidR="008E6DE4" w:rsidRDefault="008E6DE4" w:rsidP="008E6DE4">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Daugiabučių namų modernizavimo fondų fondo valdymo užduotys pagal rekomenduojamą alternatyvą gali būti pavestos įgyvendinti Bendrųjų nuostatų reglamento 38(4) punkte nurodytoms institucijoms.</w:t>
      </w:r>
    </w:p>
    <w:p w14:paraId="16EA77A0" w14:textId="77777777" w:rsidR="008E6DE4" w:rsidRDefault="008E6DE4" w:rsidP="008E6DE4">
      <w:pPr>
        <w:autoSpaceDE w:val="0"/>
        <w:autoSpaceDN w:val="0"/>
        <w:adjustRightInd w:val="0"/>
        <w:spacing w:after="0"/>
        <w:jc w:val="both"/>
        <w:rPr>
          <w:rFonts w:ascii="Georgia" w:hAnsi="Georgia" w:cs="Georgia"/>
          <w:sz w:val="20"/>
          <w:szCs w:val="20"/>
          <w:lang w:val="lt-LT"/>
        </w:rPr>
      </w:pPr>
    </w:p>
    <w:p w14:paraId="3BFBE514" w14:textId="77777777" w:rsidR="008E6DE4" w:rsidRDefault="00822D9C" w:rsidP="008E6DE4">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9-ame priede</w:t>
      </w:r>
      <w:r w:rsidR="008E6DE4">
        <w:rPr>
          <w:rFonts w:ascii="Georgia" w:hAnsi="Georgia" w:cs="Georgia"/>
          <w:sz w:val="20"/>
          <w:szCs w:val="20"/>
          <w:lang w:val="lt-LT"/>
        </w:rPr>
        <w:t xml:space="preserve"> analizuojamos septynios finansinės priemonės įgyvendinimo alternatyvos:</w:t>
      </w:r>
    </w:p>
    <w:p w14:paraId="499013B2" w14:textId="77777777" w:rsidR="008E6DE4" w:rsidRDefault="008E6DE4" w:rsidP="002A576D">
      <w:pPr>
        <w:pStyle w:val="Sraopastraipa"/>
        <w:numPr>
          <w:ilvl w:val="0"/>
          <w:numId w:val="105"/>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vadovaujančioji institucija investuoja į esamų ar naujai sukurtų juridinių vienetų, skirtų įgyvendinti finansines priemones, kapitalą (38(4)(a) straipsnis) (toliau – I alternatyva);</w:t>
      </w:r>
    </w:p>
    <w:p w14:paraId="37506EED" w14:textId="77777777" w:rsidR="008E6DE4" w:rsidRDefault="008E6DE4" w:rsidP="002A576D">
      <w:pPr>
        <w:pStyle w:val="Sraopastraipa"/>
        <w:numPr>
          <w:ilvl w:val="0"/>
          <w:numId w:val="105"/>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vadovaujančioji institucija paveda finansinių priemonių įgyvendinimą kitai institucijai. Ši alternatyva skiriama į tris galimybes (38(4)(b) straipsnis):</w:t>
      </w:r>
    </w:p>
    <w:p w14:paraId="23BC5D14" w14:textId="77777777" w:rsidR="008E6DE4" w:rsidRDefault="008E6DE4" w:rsidP="002A576D">
      <w:pPr>
        <w:pStyle w:val="Sraopastraipa"/>
        <w:numPr>
          <w:ilvl w:val="1"/>
          <w:numId w:val="105"/>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EIB grupė (38(4)(b)(i) straipsnis) (toliau – II alternatyva);</w:t>
      </w:r>
    </w:p>
    <w:p w14:paraId="0C4BA016" w14:textId="77777777" w:rsidR="008E6DE4" w:rsidRDefault="008E6DE4" w:rsidP="002A576D">
      <w:pPr>
        <w:pStyle w:val="Sraopastraipa"/>
        <w:numPr>
          <w:ilvl w:val="1"/>
          <w:numId w:val="105"/>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tarptautinės finansų įstaigos, kuriose valstybė yra akcininkė (III alternatyva) (vertinami NIB, EBRD, CEB), valstybėje narėje įsteigtos finansų įstaigos, kurių tikslas – siekti viešųjų interesų kontroliuojant valdžios institucijai (38(4)(b)(ii) straipsnis) (toliau – IV alternatyva); </w:t>
      </w:r>
    </w:p>
    <w:p w14:paraId="4C491AF9" w14:textId="77777777" w:rsidR="008E6DE4" w:rsidRDefault="008E6DE4" w:rsidP="002A576D">
      <w:pPr>
        <w:pStyle w:val="Sraopastraipa"/>
        <w:numPr>
          <w:ilvl w:val="1"/>
          <w:numId w:val="105"/>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lastRenderedPageBreak/>
        <w:t>viešosios ar privačiosios teisės subjektas (38(4)(b)(iii) straipsnis) (toliau – V alternatyva).</w:t>
      </w:r>
    </w:p>
    <w:p w14:paraId="2B9C9807" w14:textId="77777777" w:rsidR="008E6DE4" w:rsidRDefault="008E6DE4" w:rsidP="002A576D">
      <w:pPr>
        <w:pStyle w:val="Sraopastraipa"/>
        <w:numPr>
          <w:ilvl w:val="0"/>
          <w:numId w:val="105"/>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vadovaujančioji institucija įgyvendina finansines priemones tiesiogiai (38(4)(c)) (toliau – VI alternatyva).</w:t>
      </w:r>
    </w:p>
    <w:p w14:paraId="318108A7" w14:textId="77777777" w:rsidR="008E6DE4" w:rsidRDefault="008E6DE4" w:rsidP="002A576D">
      <w:pPr>
        <w:pStyle w:val="Sraopastraipa"/>
        <w:numPr>
          <w:ilvl w:val="0"/>
          <w:numId w:val="105"/>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vadovaujančioji institucija paveda finansinių priemonių įgyvendinimą dviem institucijoms: EIB ir nacionalinei finansų įstaigai kartu (VII alternatyva).</w:t>
      </w:r>
    </w:p>
    <w:p w14:paraId="3E35CCC7" w14:textId="77777777" w:rsidR="008E6DE4" w:rsidRDefault="008E6DE4" w:rsidP="00AE7E91">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Taip pat preliminariai buvo nagrinėtos ir kitos alternatyvos, pvz., finansinės priemonės įgyvendinimą pavesti EIB ir viešosios ir privačiosios teisės subjektui. Preliminari šių alternatyvų analizė parodė, jog nei viena iš kombinacijų nėra patraukli, todėl į tolimesnę išsamią analizę jos nebuvo įtrauktos.</w:t>
      </w:r>
    </w:p>
    <w:p w14:paraId="30FDCD87" w14:textId="77777777" w:rsidR="008E6DE4" w:rsidRDefault="008E6DE4" w:rsidP="008E6DE4">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Visos alternatyvos vertinamos pagal vienodus kriterijus. Žemiau nurodomi pasirinkti kriterijai ir pateikiamas jų paaiškinimas:</w:t>
      </w:r>
    </w:p>
    <w:p w14:paraId="13C288B7" w14:textId="77777777" w:rsidR="008E6DE4" w:rsidRDefault="008E6DE4" w:rsidP="002A576D">
      <w:pPr>
        <w:pStyle w:val="Sraopastraipa"/>
        <w:numPr>
          <w:ilvl w:val="0"/>
          <w:numId w:val="106"/>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operatyvumas: vertinama kaip operatyviai būtų galima pradėti įgyvendinti alternatyvas;</w:t>
      </w:r>
    </w:p>
    <w:p w14:paraId="290391B3" w14:textId="77777777" w:rsidR="008E6DE4" w:rsidRDefault="008E6DE4" w:rsidP="002A576D">
      <w:pPr>
        <w:pStyle w:val="Sraopastraipa"/>
        <w:numPr>
          <w:ilvl w:val="0"/>
          <w:numId w:val="106"/>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įgyvendinimo kaštai: vertinami alternatyvos įgyvendinimo kaštai, tame tarpe pasirengimo įgyvendinti kaštai (pvz., įgyvendinimui reikalingų sistemų ir procedūrų kūrimas);</w:t>
      </w:r>
    </w:p>
    <w:p w14:paraId="08F942DE" w14:textId="77777777" w:rsidR="008E6DE4" w:rsidRDefault="008E6DE4" w:rsidP="002A576D">
      <w:pPr>
        <w:pStyle w:val="Sraopastraipa"/>
        <w:numPr>
          <w:ilvl w:val="0"/>
          <w:numId w:val="106"/>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patirtis: vertinama institucijų/organizacijų patirtis įgyvendinant finansines priemones daugiabučių namų modernizavimo sektoriuje bei patirtis įgyvendinant finansines priemones;</w:t>
      </w:r>
    </w:p>
    <w:p w14:paraId="5D86F306" w14:textId="77777777" w:rsidR="008E6DE4" w:rsidRDefault="008E6DE4" w:rsidP="002A576D">
      <w:pPr>
        <w:pStyle w:val="Sraopastraipa"/>
        <w:numPr>
          <w:ilvl w:val="0"/>
          <w:numId w:val="106"/>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ištekliai: vertinami institucijų/organizacijų turimi žmogiškieji ištekliai;</w:t>
      </w:r>
    </w:p>
    <w:p w14:paraId="1D2605BF" w14:textId="77777777" w:rsidR="008E6DE4" w:rsidRDefault="008E6DE4" w:rsidP="002A576D">
      <w:pPr>
        <w:pStyle w:val="Sraopastraipa"/>
        <w:numPr>
          <w:ilvl w:val="0"/>
          <w:numId w:val="106"/>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lankstumas: vertinamos galimybės atsiradus poreikiui reaguoti į pasikeitusias išorės aplinkybes;</w:t>
      </w:r>
    </w:p>
    <w:p w14:paraId="56B73EB0" w14:textId="77777777" w:rsidR="008E6DE4" w:rsidRDefault="008E6DE4" w:rsidP="002A576D">
      <w:pPr>
        <w:pStyle w:val="Sraopastraipa"/>
        <w:numPr>
          <w:ilvl w:val="0"/>
          <w:numId w:val="106"/>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pasitraukimo rizika: vertinama fondo valdytojo pasitraukimo galimybė;</w:t>
      </w:r>
    </w:p>
    <w:p w14:paraId="4EECB8A8" w14:textId="77777777" w:rsidR="008E6DE4" w:rsidRDefault="008E6DE4" w:rsidP="002A576D">
      <w:pPr>
        <w:pStyle w:val="Sraopastraipa"/>
        <w:numPr>
          <w:ilvl w:val="0"/>
          <w:numId w:val="106"/>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kompetencijų nacionaliniu lygiu kūrimas: vertinama, alternatyvos įtaka kompetencijų nacionaliniu lygiu kūrimui. Ateityje didės finansinių priemonių svarba ESI lėšų panaudojimo kontekste, todėl svarbu sukurti nacionalinį kompetencijos centrą;</w:t>
      </w:r>
    </w:p>
    <w:p w14:paraId="6A74F340" w14:textId="77777777" w:rsidR="008E6DE4" w:rsidRDefault="008E6DE4" w:rsidP="002A576D">
      <w:pPr>
        <w:pStyle w:val="Sraopastraipa"/>
        <w:numPr>
          <w:ilvl w:val="0"/>
          <w:numId w:val="106"/>
        </w:numPr>
        <w:autoSpaceDE w:val="0"/>
        <w:autoSpaceDN w:val="0"/>
        <w:adjustRightInd w:val="0"/>
        <w:spacing w:after="120"/>
        <w:ind w:left="714" w:hanging="357"/>
        <w:jc w:val="both"/>
        <w:rPr>
          <w:rFonts w:ascii="Georgia" w:hAnsi="Georgia" w:cs="Georgia"/>
          <w:sz w:val="20"/>
          <w:szCs w:val="20"/>
          <w:lang w:val="lt-LT"/>
        </w:rPr>
      </w:pPr>
      <w:r>
        <w:rPr>
          <w:rFonts w:ascii="Georgia" w:hAnsi="Georgia" w:cs="Georgia"/>
          <w:sz w:val="20"/>
          <w:szCs w:val="20"/>
          <w:lang w:val="lt-LT"/>
        </w:rPr>
        <w:t>funkcionalumas: vertinamas funkcionalumas (operatyvumas, bendradarbiavimas su kitomis institucijomis / organizacijomis, suinteresuotomis grupėmis ir t.t.).</w:t>
      </w:r>
    </w:p>
    <w:p w14:paraId="23A4BF82" w14:textId="77777777" w:rsidR="008E6DE4" w:rsidRDefault="008E6DE4" w:rsidP="008E6DE4">
      <w:pPr>
        <w:autoSpaceDE w:val="0"/>
        <w:autoSpaceDN w:val="0"/>
        <w:adjustRightInd w:val="0"/>
        <w:spacing w:after="120"/>
        <w:jc w:val="both"/>
        <w:rPr>
          <w:rFonts w:ascii="Georgia" w:hAnsi="Georgia" w:cs="Georgia"/>
          <w:sz w:val="20"/>
          <w:szCs w:val="20"/>
          <w:lang w:val="lt-LT"/>
        </w:rPr>
      </w:pPr>
      <w:r>
        <w:rPr>
          <w:rFonts w:ascii="Georgia" w:hAnsi="Georgia" w:cs="Georgia"/>
          <w:sz w:val="20"/>
          <w:szCs w:val="20"/>
          <w:lang w:val="lt-LT"/>
        </w:rPr>
        <w:t xml:space="preserve">Pagal kiekvieną kriterijų visoms alternatyvoms suteikiamas įvertinimas nuo 1 iki 3, kur 1 yra žemiausias įvertinimas (pvz., didelių laiko sąnaudų reikalaujanti alternatyva), o 3 – didžiausias (pvz., greitai įgyvendinama alternatyva). Daugiausiai balų surinkusi alternatyva laikoma tinkamiausia. </w:t>
      </w:r>
    </w:p>
    <w:p w14:paraId="0253AF3A" w14:textId="77777777" w:rsidR="008E6DE4" w:rsidRDefault="008E6DE4" w:rsidP="008E6DE4">
      <w:pPr>
        <w:autoSpaceDE w:val="0"/>
        <w:autoSpaceDN w:val="0"/>
        <w:adjustRightInd w:val="0"/>
        <w:spacing w:after="120"/>
        <w:jc w:val="both"/>
        <w:rPr>
          <w:rFonts w:ascii="Georgia" w:hAnsi="Georgia" w:cs="Georgia"/>
          <w:sz w:val="20"/>
          <w:szCs w:val="20"/>
          <w:lang w:val="lt-LT"/>
        </w:rPr>
      </w:pPr>
      <w:r>
        <w:rPr>
          <w:rFonts w:ascii="Georgia" w:hAnsi="Georgia" w:cs="Georgia"/>
          <w:sz w:val="20"/>
          <w:szCs w:val="20"/>
          <w:lang w:val="lt-LT"/>
        </w:rPr>
        <w:t xml:space="preserve">Atlikus analizę, daugiausiai balų surinko VII alternatyva (20). </w:t>
      </w:r>
      <w:r>
        <w:rPr>
          <w:rFonts w:ascii="Georgia" w:hAnsi="Georgia"/>
          <w:color w:val="000000"/>
          <w:sz w:val="20"/>
          <w:szCs w:val="20"/>
          <w:lang w:val="lt-LT"/>
        </w:rPr>
        <w:t>Šios alternatyvos atveju būtų apjungiami dviejų alternatyvų (II alternatyvos ir IV alternatyvos) privalumai ir neutralizuojami trūkumai. Pagrindiniai tokios alternatyvos privalumai yra:</w:t>
      </w:r>
    </w:p>
    <w:p w14:paraId="5F76051B" w14:textId="77777777" w:rsidR="008E6DE4" w:rsidRDefault="008E6DE4" w:rsidP="002A576D">
      <w:pPr>
        <w:pStyle w:val="Sraopastraipa"/>
        <w:numPr>
          <w:ilvl w:val="0"/>
          <w:numId w:val="107"/>
        </w:numPr>
        <w:autoSpaceDE w:val="0"/>
        <w:autoSpaceDN w:val="0"/>
        <w:adjustRightInd w:val="0"/>
        <w:spacing w:after="0"/>
        <w:jc w:val="both"/>
        <w:rPr>
          <w:rFonts w:ascii="Georgia" w:hAnsi="Georgia"/>
          <w:color w:val="000000"/>
          <w:sz w:val="20"/>
          <w:szCs w:val="20"/>
          <w:lang w:val="lt-LT"/>
        </w:rPr>
      </w:pPr>
      <w:r>
        <w:rPr>
          <w:rFonts w:ascii="Georgia" w:hAnsi="Georgia"/>
          <w:color w:val="000000"/>
          <w:sz w:val="20"/>
          <w:szCs w:val="20"/>
          <w:lang w:val="lt-LT"/>
        </w:rPr>
        <w:t>greita įgyvendinimo pradžia;</w:t>
      </w:r>
    </w:p>
    <w:p w14:paraId="4DAED020" w14:textId="77777777" w:rsidR="008E6DE4" w:rsidRDefault="008E6DE4" w:rsidP="002A576D">
      <w:pPr>
        <w:pStyle w:val="Sraopastraipa"/>
        <w:numPr>
          <w:ilvl w:val="0"/>
          <w:numId w:val="107"/>
        </w:numPr>
        <w:autoSpaceDE w:val="0"/>
        <w:autoSpaceDN w:val="0"/>
        <w:adjustRightInd w:val="0"/>
        <w:spacing w:after="0"/>
        <w:jc w:val="both"/>
        <w:rPr>
          <w:rFonts w:ascii="Georgia" w:hAnsi="Georgia"/>
          <w:color w:val="000000"/>
          <w:sz w:val="20"/>
          <w:szCs w:val="20"/>
          <w:lang w:val="lt-LT"/>
        </w:rPr>
      </w:pPr>
      <w:r>
        <w:rPr>
          <w:rFonts w:ascii="Georgia" w:hAnsi="Georgia"/>
          <w:color w:val="000000"/>
          <w:sz w:val="20"/>
          <w:szCs w:val="20"/>
          <w:lang w:val="lt-LT"/>
        </w:rPr>
        <w:t>apjungiama dviejų institucijų patirtis ir žmogiškieji ištekliai;</w:t>
      </w:r>
    </w:p>
    <w:p w14:paraId="46733B02" w14:textId="77777777" w:rsidR="008E6DE4" w:rsidRDefault="008E6DE4" w:rsidP="002A576D">
      <w:pPr>
        <w:pStyle w:val="Sraopastraipa"/>
        <w:numPr>
          <w:ilvl w:val="0"/>
          <w:numId w:val="107"/>
        </w:numPr>
        <w:autoSpaceDE w:val="0"/>
        <w:autoSpaceDN w:val="0"/>
        <w:adjustRightInd w:val="0"/>
        <w:spacing w:after="0"/>
        <w:jc w:val="both"/>
        <w:rPr>
          <w:rFonts w:ascii="Georgia" w:hAnsi="Georgia"/>
          <w:color w:val="000000"/>
          <w:sz w:val="20"/>
          <w:szCs w:val="20"/>
          <w:lang w:val="lt-LT"/>
        </w:rPr>
      </w:pPr>
      <w:r>
        <w:rPr>
          <w:rFonts w:ascii="Georgia" w:hAnsi="Georgia"/>
          <w:color w:val="000000"/>
          <w:sz w:val="20"/>
          <w:szCs w:val="20"/>
          <w:lang w:val="lt-LT"/>
        </w:rPr>
        <w:t>patrauklūs įgyvendinimo kaštai;</w:t>
      </w:r>
    </w:p>
    <w:p w14:paraId="4DAB9E55" w14:textId="77777777" w:rsidR="008E6DE4" w:rsidRDefault="008E6DE4" w:rsidP="002A576D">
      <w:pPr>
        <w:pStyle w:val="Sraopastraipa"/>
        <w:numPr>
          <w:ilvl w:val="0"/>
          <w:numId w:val="107"/>
        </w:numPr>
        <w:autoSpaceDE w:val="0"/>
        <w:autoSpaceDN w:val="0"/>
        <w:adjustRightInd w:val="0"/>
        <w:spacing w:after="0"/>
        <w:jc w:val="both"/>
        <w:rPr>
          <w:rFonts w:ascii="Georgia" w:hAnsi="Georgia"/>
          <w:color w:val="000000"/>
          <w:sz w:val="20"/>
          <w:szCs w:val="20"/>
          <w:lang w:val="lt-LT"/>
        </w:rPr>
      </w:pPr>
      <w:r>
        <w:rPr>
          <w:rFonts w:ascii="Georgia" w:hAnsi="Georgia"/>
          <w:color w:val="000000"/>
          <w:sz w:val="20"/>
          <w:szCs w:val="20"/>
          <w:lang w:val="lt-LT"/>
        </w:rPr>
        <w:t>nacionalinio kompetencijų centro kūrimas;</w:t>
      </w:r>
    </w:p>
    <w:p w14:paraId="4BE5FE37" w14:textId="77777777" w:rsidR="008E6DE4" w:rsidRDefault="008E6DE4" w:rsidP="002A576D">
      <w:pPr>
        <w:pStyle w:val="Sraopastraipa"/>
        <w:numPr>
          <w:ilvl w:val="0"/>
          <w:numId w:val="107"/>
        </w:numPr>
        <w:autoSpaceDE w:val="0"/>
        <w:autoSpaceDN w:val="0"/>
        <w:adjustRightInd w:val="0"/>
        <w:spacing w:after="120"/>
        <w:ind w:left="714" w:hanging="357"/>
        <w:jc w:val="both"/>
        <w:rPr>
          <w:rFonts w:ascii="Georgia" w:hAnsi="Georgia"/>
          <w:color w:val="000000"/>
          <w:sz w:val="20"/>
          <w:szCs w:val="20"/>
          <w:lang w:val="lt-LT"/>
        </w:rPr>
      </w:pPr>
      <w:r>
        <w:rPr>
          <w:rFonts w:ascii="Georgia" w:hAnsi="Georgia"/>
          <w:color w:val="000000"/>
          <w:sz w:val="20"/>
          <w:szCs w:val="20"/>
          <w:lang w:val="lt-LT"/>
        </w:rPr>
        <w:t>pasitraukimo iš rinkos rizikos suvaldymas.</w:t>
      </w:r>
    </w:p>
    <w:p w14:paraId="51566DEE" w14:textId="77777777" w:rsidR="008E6DE4" w:rsidRDefault="008E6DE4" w:rsidP="008E6DE4">
      <w:pPr>
        <w:autoSpaceDE w:val="0"/>
        <w:autoSpaceDN w:val="0"/>
        <w:adjustRightInd w:val="0"/>
        <w:spacing w:after="120"/>
        <w:jc w:val="both"/>
        <w:rPr>
          <w:rFonts w:ascii="Georgia" w:hAnsi="Georgia"/>
          <w:color w:val="000000"/>
          <w:sz w:val="20"/>
          <w:szCs w:val="20"/>
          <w:lang w:val="lt-LT"/>
        </w:rPr>
      </w:pPr>
      <w:r>
        <w:rPr>
          <w:rFonts w:ascii="Georgia" w:hAnsi="Georgia"/>
          <w:color w:val="000000"/>
          <w:sz w:val="20"/>
          <w:szCs w:val="20"/>
          <w:lang w:val="lt-LT"/>
        </w:rPr>
        <w:t>Šios alternatyvos trūkumas – fondų fondo valdytojams ilgiau užtruktų tarpusavyje derintis fondo valdymo sąlygas, pasiskirstyti atsakomybes ir funkcijas.</w:t>
      </w:r>
    </w:p>
    <w:p w14:paraId="7BC41727" w14:textId="77777777" w:rsidR="008E6DE4" w:rsidRDefault="008E6DE4" w:rsidP="008E6DE4">
      <w:pPr>
        <w:pStyle w:val="prastasis1"/>
        <w:spacing w:before="0" w:beforeAutospacing="0" w:after="120" w:afterAutospacing="0" w:line="276" w:lineRule="auto"/>
        <w:jc w:val="both"/>
        <w:rPr>
          <w:rFonts w:ascii="Georgia" w:hAnsi="Georgia"/>
          <w:sz w:val="20"/>
          <w:szCs w:val="20"/>
        </w:rPr>
      </w:pPr>
      <w:r>
        <w:rPr>
          <w:rFonts w:ascii="Georgia" w:hAnsi="Georgia"/>
          <w:sz w:val="20"/>
          <w:szCs w:val="20"/>
        </w:rPr>
        <w:t>Esant poreikiui ir atitinkamiems sprendimams, EIB galėtų dalyvauti Fondo valdyme atskiros sutarties, sudarytos tarp SPV ir EIB, pagrindu.</w:t>
      </w:r>
    </w:p>
    <w:p w14:paraId="2CB92F40" w14:textId="77777777" w:rsidR="00462E8B" w:rsidRDefault="008E6DE4" w:rsidP="008E6DE4">
      <w:pPr>
        <w:rPr>
          <w:rFonts w:ascii="Georgia" w:eastAsia="Times New Roman" w:hAnsi="Georgia" w:cs="Times New Roman"/>
          <w:b/>
          <w:sz w:val="20"/>
          <w:szCs w:val="20"/>
          <w:lang w:val="lt-LT" w:eastAsia="lt-LT"/>
        </w:rPr>
      </w:pPr>
      <w:r>
        <w:rPr>
          <w:rFonts w:ascii="Georgia" w:hAnsi="Georgia"/>
          <w:color w:val="000000"/>
          <w:sz w:val="20"/>
          <w:szCs w:val="20"/>
          <w:lang w:val="lt-LT"/>
        </w:rPr>
        <w:t>Detali visų alternatyvų analizė pateikiama priede (žr. priedą Nr. 9).</w:t>
      </w:r>
    </w:p>
    <w:p w14:paraId="57567C4C" w14:textId="77777777" w:rsidR="00151543" w:rsidRPr="00AA32EA" w:rsidRDefault="00151543" w:rsidP="00151543">
      <w:pPr>
        <w:pStyle w:val="prastasis1"/>
        <w:jc w:val="both"/>
        <w:rPr>
          <w:rFonts w:ascii="Georgia" w:hAnsi="Georgia"/>
          <w:b/>
          <w:sz w:val="20"/>
          <w:szCs w:val="20"/>
        </w:rPr>
      </w:pPr>
      <w:r w:rsidRPr="00AA32EA">
        <w:rPr>
          <w:rFonts w:ascii="Georgia" w:hAnsi="Georgia"/>
          <w:b/>
          <w:sz w:val="20"/>
          <w:szCs w:val="20"/>
        </w:rPr>
        <w:t>Finansinių tarpininkų parinkimas</w:t>
      </w:r>
    </w:p>
    <w:p w14:paraId="2BEB457B" w14:textId="77777777" w:rsidR="00151543" w:rsidRPr="00A07762" w:rsidRDefault="00151543" w:rsidP="00151543">
      <w:pPr>
        <w:jc w:val="both"/>
        <w:rPr>
          <w:rFonts w:ascii="Georgia" w:hAnsi="Georgia"/>
          <w:sz w:val="20"/>
          <w:lang w:val="lt-LT"/>
        </w:rPr>
      </w:pPr>
      <w:r>
        <w:rPr>
          <w:rFonts w:ascii="Georgia" w:hAnsi="Georgia"/>
          <w:sz w:val="20"/>
          <w:lang w:val="lt-LT"/>
        </w:rPr>
        <w:t>Bendrųjų nuostatų reglamento</w:t>
      </w:r>
      <w:r w:rsidRPr="00A07762">
        <w:rPr>
          <w:rFonts w:ascii="Georgia" w:hAnsi="Georgia"/>
          <w:sz w:val="20"/>
          <w:lang w:val="lt-LT"/>
        </w:rPr>
        <w:t xml:space="preserve"> 38 str. 5 dalis numato, kad subjektai, kuriems patikėta įgyvendinti fondų fondą, užduotis gali įgyvendinti patys arba jas patikėti vykdyti finansiniams tarpininkams. Iš to seka išvada, kad Fondo valdytojas (priėmus atitinkamų Fondo organų sprendimus, kaip tai aptarta 4 memorandumo dalyje) galėtų tiesiogiai atrinkinėti finansuojamus projektus, atitinkančius Fondo veiklos tikslus ir investavimo strategiją. Nors </w:t>
      </w:r>
      <w:r>
        <w:rPr>
          <w:rFonts w:ascii="Georgia" w:hAnsi="Georgia"/>
          <w:sz w:val="20"/>
          <w:lang w:val="lt-LT"/>
        </w:rPr>
        <w:t>Bendrųjų nuostatų reglamentas</w:t>
      </w:r>
      <w:r w:rsidRPr="00A07762">
        <w:rPr>
          <w:rFonts w:ascii="Georgia" w:hAnsi="Georgia"/>
          <w:sz w:val="20"/>
          <w:lang w:val="lt-LT"/>
        </w:rPr>
        <w:t xml:space="preserve"> toliau nedetalizuoja, </w:t>
      </w:r>
      <w:r w:rsidRPr="00A07762">
        <w:rPr>
          <w:rFonts w:ascii="Georgia" w:hAnsi="Georgia"/>
          <w:sz w:val="20"/>
          <w:lang w:val="lt-LT"/>
        </w:rPr>
        <w:lastRenderedPageBreak/>
        <w:t xml:space="preserve">kaip ir kokius projektus Fondo valdytojas galėtų finansuoti, tačiau ES struktūrinių fondų valdymo reguliavime yra akcentuojamas skaidrumas, proporcingumas, nediskriminavimas bei interesų konflikto vengimas. Atsižvelgiant į šiuos principus, galima būtų daryti išvadą, kad tiesiogiai atrenkami projektai neturėtų tiesiogiai konkuruoti su projektais, kurių įgyvendinimui yra atrenkami finansiniai tarpininkai. Fondo valdytojas, kuris nustato projektų finansavimo sąlygas ir kontroliuoja atrinktus finansinius tarpininkus, neturėtų konkuruoti su tokiais finansiniais tarpininkais dėl tų pačių projektų. Jei tiesioginis finansavimas būtų taikomas kitoms finansavimo kryptims ar kitoms užduotims nei užduotys, kurių įgyvendinimui yra atrinkti finansiniai tarpininkai, interesų konfliktas nekiltų. </w:t>
      </w:r>
    </w:p>
    <w:p w14:paraId="7BD5394D" w14:textId="77777777" w:rsidR="00151543" w:rsidRDefault="00151543" w:rsidP="00151543">
      <w:pPr>
        <w:jc w:val="both"/>
        <w:rPr>
          <w:rFonts w:ascii="Georgia" w:eastAsia="Times New Roman" w:hAnsi="Georgia" w:cs="Times New Roman"/>
          <w:i/>
          <w:sz w:val="20"/>
          <w:szCs w:val="20"/>
          <w:lang w:val="lt-LT" w:eastAsia="lt-LT"/>
        </w:rPr>
      </w:pPr>
      <w:r w:rsidRPr="00A07762">
        <w:rPr>
          <w:rFonts w:ascii="Georgia" w:hAnsi="Georgia"/>
          <w:sz w:val="20"/>
          <w:lang w:val="lt-LT"/>
        </w:rPr>
        <w:t xml:space="preserve">Atsižvelgiant į tai, jog ankstesniame programavimo laikotarpyje ne visi finansiniai tarpininkai aktyviai dalyvavo vykdant prisiimtus įsipareigojimus numatoma, jog esant nepakankamam finansinių tarpininkų aktyvumui, fondo valdytojas gali pats dalyvauti finansinių </w:t>
      </w:r>
      <w:r w:rsidR="00CA3032">
        <w:rPr>
          <w:rFonts w:ascii="Georgia" w:hAnsi="Georgia"/>
          <w:sz w:val="20"/>
          <w:lang w:val="lt-LT"/>
        </w:rPr>
        <w:t>priemonių</w:t>
      </w:r>
      <w:r w:rsidR="00CA3032" w:rsidRPr="00A07762">
        <w:rPr>
          <w:rFonts w:ascii="Georgia" w:hAnsi="Georgia"/>
          <w:sz w:val="20"/>
          <w:lang w:val="lt-LT"/>
        </w:rPr>
        <w:t xml:space="preserve"> </w:t>
      </w:r>
      <w:r w:rsidRPr="00A07762">
        <w:rPr>
          <w:rFonts w:ascii="Georgia" w:hAnsi="Georgia"/>
          <w:sz w:val="20"/>
          <w:lang w:val="lt-LT"/>
        </w:rPr>
        <w:t>įgyvendinime tomis pačiomis sąlygomis, kuriomis dalyvauja atrinkti finansiniai tarpininkai.</w:t>
      </w:r>
    </w:p>
    <w:p w14:paraId="3E0432F6" w14:textId="77777777" w:rsidR="00151543" w:rsidRPr="00AA32EA" w:rsidRDefault="00151543" w:rsidP="00151543">
      <w:pPr>
        <w:pStyle w:val="prastasis1"/>
        <w:spacing w:line="276" w:lineRule="auto"/>
        <w:jc w:val="both"/>
        <w:rPr>
          <w:rFonts w:ascii="Georgia" w:hAnsi="Georgia"/>
          <w:b/>
          <w:sz w:val="20"/>
          <w:szCs w:val="20"/>
        </w:rPr>
      </w:pPr>
      <w:r w:rsidRPr="00AA32EA">
        <w:rPr>
          <w:rFonts w:ascii="Georgia" w:hAnsi="Georgia"/>
          <w:b/>
          <w:sz w:val="20"/>
          <w:szCs w:val="20"/>
        </w:rPr>
        <w:t>Techninės pagalbos daugiabučių namų modernizavimo projektams užtikrinimas</w:t>
      </w:r>
    </w:p>
    <w:p w14:paraId="4223E81A" w14:textId="77777777" w:rsidR="00151543" w:rsidRDefault="00151543" w:rsidP="00151543">
      <w:pPr>
        <w:pStyle w:val="prastasis1"/>
        <w:spacing w:line="276" w:lineRule="auto"/>
        <w:jc w:val="both"/>
        <w:rPr>
          <w:rFonts w:ascii="Georgia" w:hAnsi="Georgia"/>
          <w:sz w:val="20"/>
          <w:szCs w:val="20"/>
        </w:rPr>
      </w:pPr>
      <w:r>
        <w:rPr>
          <w:rFonts w:ascii="Georgia" w:hAnsi="Georgia"/>
          <w:sz w:val="20"/>
          <w:szCs w:val="20"/>
        </w:rPr>
        <w:t xml:space="preserve">JESSICA </w:t>
      </w:r>
      <w:r w:rsidR="00F40BD0">
        <w:rPr>
          <w:rFonts w:ascii="Georgia" w:hAnsi="Georgia"/>
          <w:sz w:val="20"/>
          <w:szCs w:val="20"/>
        </w:rPr>
        <w:t>KF</w:t>
      </w:r>
      <w:r>
        <w:rPr>
          <w:rFonts w:ascii="Georgia" w:hAnsi="Georgia"/>
          <w:sz w:val="20"/>
          <w:szCs w:val="20"/>
        </w:rPr>
        <w:t xml:space="preserve"> veiklos laikotarpiu techninę pagalbą daugiabučių  namų modernizavimo projektams teikė Būsto ir urbanistinės plėtros agentūra, kuri vėliau buvo reorganizuota į Būsto energijos taupymo agentūrą (toliau – BETA). BETA šiuo metu yra pagrindinė agentūra, teikianti metodinę pagalbą daugiabučių namų modernizavimo projektų vykdytojams, o jos funkcijos yra įtvirtintos Lietuvos Respublikos Valstybės paramos būstui įsigyti ar išsinuomoti ir daugiabučiams namams atnaujinti (modernizuoti) įstatyme ir Lietuvos Respublikos Vyriausybės 2014 m. birželio 4 d. nutarimu Nr. 528 patvirtintose Atsakomybės ir funkcijų paskirstymo tarp institucijų įgyvendinant 2014-2020 metų Europos Sąjungos struktūrinių fondų investicijų veiksmų programą taisyklėse.</w:t>
      </w:r>
    </w:p>
    <w:p w14:paraId="768BF406" w14:textId="77777777" w:rsidR="00151543" w:rsidRDefault="00151543" w:rsidP="00151543">
      <w:pPr>
        <w:pStyle w:val="prastasis1"/>
        <w:spacing w:line="276" w:lineRule="auto"/>
        <w:jc w:val="both"/>
        <w:rPr>
          <w:rFonts w:ascii="Georgia" w:hAnsi="Georgia"/>
          <w:sz w:val="20"/>
          <w:szCs w:val="20"/>
        </w:rPr>
      </w:pPr>
      <w:r>
        <w:rPr>
          <w:rFonts w:ascii="Georgia" w:hAnsi="Georgia"/>
          <w:sz w:val="20"/>
          <w:szCs w:val="20"/>
        </w:rPr>
        <w:t xml:space="preserve"> Valstybės paramos būstui įsigyti ar išsinuomoti ir daugiabučiams namams atnaujinti (modernizuoti) įstatymas numato, kad:</w:t>
      </w:r>
    </w:p>
    <w:p w14:paraId="721D8E6D" w14:textId="77777777" w:rsidR="00151543" w:rsidRPr="003351A4" w:rsidRDefault="00151543" w:rsidP="00151543">
      <w:pPr>
        <w:pStyle w:val="prastasis1"/>
        <w:spacing w:before="0" w:beforeAutospacing="0" w:after="0" w:afterAutospacing="0" w:line="276" w:lineRule="auto"/>
        <w:jc w:val="both"/>
        <w:rPr>
          <w:rFonts w:ascii="Georgia" w:hAnsi="Georgia"/>
          <w:i/>
          <w:sz w:val="20"/>
          <w:szCs w:val="20"/>
        </w:rPr>
      </w:pPr>
      <w:r>
        <w:rPr>
          <w:rFonts w:ascii="Georgia" w:hAnsi="Georgia"/>
          <w:sz w:val="20"/>
          <w:szCs w:val="20"/>
        </w:rPr>
        <w:t>„</w:t>
      </w:r>
      <w:r w:rsidRPr="003351A4">
        <w:rPr>
          <w:rFonts w:ascii="Georgia" w:hAnsi="Georgia"/>
          <w:i/>
          <w:sz w:val="20"/>
          <w:szCs w:val="20"/>
        </w:rPr>
        <w:t>8. Vyriausybės patvirtintos Daugiabučių namų atnaujinimo (modernizavimo) programos įgyvendinimą administruoja Vyriausybės įsteigta viešoji įstaiga Būsto energijos taupymo agentūra, kurios veikla finansuojama valstybės biudžeto lėšomis. Ši įstaiga atlieka šias funkcijas:</w:t>
      </w:r>
    </w:p>
    <w:p w14:paraId="72EDDC5D" w14:textId="77777777" w:rsidR="00151543" w:rsidRPr="003351A4" w:rsidRDefault="00151543" w:rsidP="00151543">
      <w:pPr>
        <w:pStyle w:val="prastasis1"/>
        <w:spacing w:before="0" w:beforeAutospacing="0" w:after="0" w:afterAutospacing="0" w:line="276" w:lineRule="auto"/>
        <w:jc w:val="both"/>
        <w:rPr>
          <w:rFonts w:ascii="Georgia" w:hAnsi="Georgia"/>
          <w:i/>
          <w:sz w:val="20"/>
          <w:szCs w:val="20"/>
        </w:rPr>
      </w:pPr>
      <w:r w:rsidRPr="003351A4">
        <w:rPr>
          <w:rFonts w:ascii="Georgia" w:hAnsi="Georgia"/>
          <w:i/>
          <w:sz w:val="20"/>
          <w:szCs w:val="20"/>
        </w:rPr>
        <w:t>1) vertina savivaldybių programų atitiktį Vyriausybės patvirtintai Daugiabučių namų atnaujinimo (modernizavimo) programai;</w:t>
      </w:r>
    </w:p>
    <w:p w14:paraId="2A2BC3DD" w14:textId="77777777" w:rsidR="00151543" w:rsidRPr="003351A4" w:rsidRDefault="00151543" w:rsidP="00151543">
      <w:pPr>
        <w:pStyle w:val="prastasis1"/>
        <w:spacing w:before="0" w:beforeAutospacing="0" w:after="0" w:afterAutospacing="0" w:line="276" w:lineRule="auto"/>
        <w:jc w:val="both"/>
        <w:rPr>
          <w:rFonts w:ascii="Georgia" w:hAnsi="Georgia"/>
          <w:i/>
          <w:sz w:val="20"/>
          <w:szCs w:val="20"/>
        </w:rPr>
      </w:pPr>
      <w:r w:rsidRPr="003351A4">
        <w:rPr>
          <w:rFonts w:ascii="Georgia" w:hAnsi="Georgia"/>
          <w:i/>
          <w:sz w:val="20"/>
          <w:szCs w:val="20"/>
        </w:rPr>
        <w:t>2) vykdo atnaujinimo (modernizavimo) projektų įgyvendinimo priežiūrą;</w:t>
      </w:r>
    </w:p>
    <w:p w14:paraId="6C05B44C" w14:textId="77777777" w:rsidR="00151543" w:rsidRPr="003351A4" w:rsidRDefault="00151543" w:rsidP="00151543">
      <w:pPr>
        <w:pStyle w:val="prastasis1"/>
        <w:spacing w:before="0" w:beforeAutospacing="0" w:after="0" w:afterAutospacing="0" w:line="276" w:lineRule="auto"/>
        <w:jc w:val="both"/>
        <w:rPr>
          <w:rFonts w:ascii="Georgia" w:hAnsi="Georgia"/>
          <w:i/>
          <w:sz w:val="20"/>
          <w:szCs w:val="20"/>
        </w:rPr>
      </w:pPr>
      <w:r w:rsidRPr="003351A4">
        <w:rPr>
          <w:rFonts w:ascii="Georgia" w:hAnsi="Georgia"/>
          <w:i/>
          <w:sz w:val="20"/>
          <w:szCs w:val="20"/>
        </w:rPr>
        <w:t>3) administruoja ir teikia šio straipsnio 1 dalyje nurodytą valstybės paramą (išskyrus lengvatinių kreditų teikimą ir kredito ir palūkanų apmokėjimą už nepasiturinčius gyventojus);</w:t>
      </w:r>
    </w:p>
    <w:p w14:paraId="31E2BE99" w14:textId="77777777" w:rsidR="00151543" w:rsidRPr="003351A4" w:rsidRDefault="00151543" w:rsidP="00151543">
      <w:pPr>
        <w:pStyle w:val="prastasis1"/>
        <w:spacing w:before="0" w:beforeAutospacing="0" w:after="0" w:afterAutospacing="0" w:line="276" w:lineRule="auto"/>
        <w:jc w:val="both"/>
        <w:rPr>
          <w:rFonts w:ascii="Georgia" w:hAnsi="Georgia"/>
          <w:i/>
          <w:sz w:val="20"/>
          <w:szCs w:val="20"/>
        </w:rPr>
      </w:pPr>
      <w:r w:rsidRPr="003351A4">
        <w:rPr>
          <w:rFonts w:ascii="Georgia" w:hAnsi="Georgia"/>
          <w:i/>
          <w:sz w:val="20"/>
          <w:szCs w:val="20"/>
        </w:rPr>
        <w:t>4) teikia nereikšmingą pagalbą;</w:t>
      </w:r>
    </w:p>
    <w:p w14:paraId="62B6B824" w14:textId="77777777" w:rsidR="00151543" w:rsidRPr="003351A4" w:rsidRDefault="00151543" w:rsidP="00151543">
      <w:pPr>
        <w:pStyle w:val="prastasis1"/>
        <w:spacing w:before="0" w:beforeAutospacing="0" w:after="0" w:afterAutospacing="0" w:line="276" w:lineRule="auto"/>
        <w:jc w:val="both"/>
        <w:rPr>
          <w:rFonts w:ascii="Georgia" w:hAnsi="Georgia"/>
          <w:i/>
          <w:sz w:val="20"/>
          <w:szCs w:val="20"/>
        </w:rPr>
      </w:pPr>
      <w:r w:rsidRPr="003351A4">
        <w:rPr>
          <w:rFonts w:ascii="Georgia" w:hAnsi="Georgia"/>
          <w:i/>
          <w:sz w:val="20"/>
          <w:szCs w:val="20"/>
        </w:rPr>
        <w:t>5) konsultuoja daugiabučio namo atnaujinimo (modernizavimo) proceso dalyvius (daugiabučio namo butų ir kitų patalpų savininkus, bendrojo naudojimo objektų valdytojus, savivaldybes ir savivaldybių programų įgyvendinimo administratorius) daugiabučių namų atnaujinimo (modernizavimo) ir valstybės paramos teikimo klausimais, organizuoja visuomenės informavimą, švietimą ir mokymą;</w:t>
      </w:r>
    </w:p>
    <w:p w14:paraId="16C31EA3" w14:textId="77777777" w:rsidR="00151543" w:rsidRDefault="00151543" w:rsidP="00151543">
      <w:pPr>
        <w:pStyle w:val="prastasis1"/>
        <w:spacing w:before="0" w:beforeAutospacing="0" w:after="0" w:afterAutospacing="0" w:line="276" w:lineRule="auto"/>
        <w:jc w:val="both"/>
        <w:rPr>
          <w:rFonts w:ascii="Georgia" w:hAnsi="Georgia"/>
          <w:i/>
          <w:sz w:val="20"/>
          <w:szCs w:val="20"/>
        </w:rPr>
      </w:pPr>
      <w:r w:rsidRPr="003351A4">
        <w:rPr>
          <w:rFonts w:ascii="Georgia" w:hAnsi="Georgia"/>
          <w:i/>
          <w:sz w:val="20"/>
          <w:szCs w:val="20"/>
        </w:rPr>
        <w:t>6) organizuoja Vyriausybės patvirtintos Daugiabučių namų atnaujinimo (modernizavimo) programos įgyvendinimo stebėseną</w:t>
      </w:r>
      <w:r>
        <w:rPr>
          <w:rFonts w:ascii="Georgia" w:hAnsi="Georgia"/>
          <w:i/>
          <w:sz w:val="20"/>
          <w:szCs w:val="20"/>
        </w:rPr>
        <w:t>“.</w:t>
      </w:r>
    </w:p>
    <w:p w14:paraId="567B19B9" w14:textId="77777777" w:rsidR="00151543" w:rsidRDefault="00151543" w:rsidP="00151543">
      <w:pPr>
        <w:pStyle w:val="prastasis1"/>
        <w:spacing w:before="0" w:beforeAutospacing="0" w:after="0" w:afterAutospacing="0" w:line="276" w:lineRule="auto"/>
        <w:jc w:val="both"/>
        <w:rPr>
          <w:rFonts w:ascii="Georgia" w:hAnsi="Georgia"/>
          <w:i/>
          <w:sz w:val="20"/>
          <w:szCs w:val="20"/>
        </w:rPr>
      </w:pPr>
    </w:p>
    <w:p w14:paraId="4B96A520" w14:textId="77777777" w:rsidR="00151543" w:rsidRDefault="00151543" w:rsidP="00151543">
      <w:pPr>
        <w:pStyle w:val="prastasis1"/>
        <w:spacing w:before="0" w:beforeAutospacing="0" w:after="0" w:afterAutospacing="0" w:line="276" w:lineRule="auto"/>
        <w:jc w:val="both"/>
        <w:rPr>
          <w:rFonts w:ascii="Georgia" w:hAnsi="Georgia"/>
          <w:sz w:val="20"/>
          <w:szCs w:val="20"/>
        </w:rPr>
      </w:pPr>
      <w:r>
        <w:rPr>
          <w:rFonts w:ascii="Georgia" w:hAnsi="Georgia"/>
          <w:sz w:val="20"/>
          <w:szCs w:val="20"/>
        </w:rPr>
        <w:t>Atsakomybės ir funkcijų paskirstymo tarp institucijų įgyvendinant 2014-2020 metų Europos Sąjungos struktūrinių fondų investicijų veiksmų programą taisyklės numato, kad:</w:t>
      </w:r>
    </w:p>
    <w:p w14:paraId="6D498B13" w14:textId="77777777" w:rsidR="00151543" w:rsidRDefault="00151543" w:rsidP="00151543">
      <w:pPr>
        <w:pStyle w:val="prastasis1"/>
        <w:spacing w:before="0" w:beforeAutospacing="0" w:after="0" w:afterAutospacing="0" w:line="276" w:lineRule="auto"/>
        <w:jc w:val="both"/>
        <w:rPr>
          <w:rFonts w:ascii="Georgia" w:hAnsi="Georgia"/>
          <w:sz w:val="20"/>
          <w:szCs w:val="20"/>
        </w:rPr>
      </w:pPr>
    </w:p>
    <w:p w14:paraId="39693890" w14:textId="77777777" w:rsidR="00151543" w:rsidRPr="003351A4" w:rsidRDefault="00151543" w:rsidP="00151543">
      <w:pPr>
        <w:pStyle w:val="prastasis1"/>
        <w:spacing w:before="0" w:beforeAutospacing="0" w:after="0" w:afterAutospacing="0" w:line="276" w:lineRule="auto"/>
        <w:jc w:val="both"/>
        <w:rPr>
          <w:rFonts w:ascii="Georgia" w:hAnsi="Georgia"/>
          <w:i/>
          <w:sz w:val="20"/>
          <w:szCs w:val="20"/>
        </w:rPr>
      </w:pPr>
      <w:r w:rsidRPr="003351A4">
        <w:rPr>
          <w:rFonts w:ascii="Georgia" w:hAnsi="Georgia"/>
          <w:i/>
          <w:sz w:val="20"/>
          <w:szCs w:val="20"/>
        </w:rPr>
        <w:t xml:space="preserve">„25.4. viešoji įstaiga Būsto energijos taupymo agentūra teikia metodinę pagalbą ir konsultacijas daugiabučių namų ir savivaldybėms nuosavybės teise priklausančių ar jų valdomų visuomeninės paskirties pastatų energinio efektyvumo finansinių priemonių galutiniams naudos gavėjams ir fondų fondo arba finansinių priemonių valdytojams, dalyvaujantiems įgyvendinant veiksmų programos investicinį prioritetą „Energijos vartojimo efektyvumo, pažangaus energijos valdymo ir </w:t>
      </w:r>
      <w:r w:rsidRPr="003351A4">
        <w:rPr>
          <w:rFonts w:ascii="Georgia" w:hAnsi="Georgia"/>
          <w:i/>
          <w:sz w:val="20"/>
          <w:szCs w:val="20"/>
        </w:rPr>
        <w:lastRenderedPageBreak/>
        <w:t>atsinaujinančių išteklių energijos vartojimo viešosiose infrastruktūrose, įskaitant viešuosius pastatus ir gyvenamųjų namų sektorių, rėmimas“.</w:t>
      </w:r>
    </w:p>
    <w:p w14:paraId="14ABAC14" w14:textId="77777777" w:rsidR="00151543" w:rsidRPr="00DD3EA1" w:rsidRDefault="00151543" w:rsidP="00151543">
      <w:pPr>
        <w:pStyle w:val="prastasis1"/>
        <w:spacing w:line="276" w:lineRule="auto"/>
        <w:jc w:val="both"/>
        <w:rPr>
          <w:rFonts w:ascii="Georgia" w:hAnsi="Georgia"/>
          <w:sz w:val="20"/>
          <w:szCs w:val="20"/>
        </w:rPr>
      </w:pPr>
      <w:r>
        <w:rPr>
          <w:rFonts w:ascii="Georgia" w:hAnsi="Georgia"/>
          <w:sz w:val="20"/>
          <w:szCs w:val="20"/>
        </w:rPr>
        <w:t>Atsižvelgiant į tai, kokios BETA funkcijos yra numatytos minėtuose teisės aktuose, siūlome kuriant naujas finansines priemones užtikrinti BETA dalyvavimo ir funkcijų vykdymo tęstinumą, kadangi BETA vykdomos funkcijos daro didelę įtaką daugiabučių namų programos įgyvendinimui bei renovacijos sėkmei.</w:t>
      </w:r>
    </w:p>
    <w:p w14:paraId="18F544D9" w14:textId="77777777" w:rsidR="00151543" w:rsidRPr="00DF3A8E" w:rsidRDefault="00151543" w:rsidP="00C03122">
      <w:pPr>
        <w:pStyle w:val="Antrat2"/>
        <w:numPr>
          <w:ilvl w:val="2"/>
          <w:numId w:val="36"/>
        </w:numPr>
        <w:spacing w:after="240"/>
        <w:rPr>
          <w:lang w:val="lt-LT"/>
        </w:rPr>
      </w:pPr>
      <w:bookmarkStart w:id="359" w:name="_Toc398567610"/>
      <w:bookmarkStart w:id="360" w:name="_Toc417378441"/>
      <w:r w:rsidRPr="00DF3A8E">
        <w:rPr>
          <w:lang w:val="lt-LT"/>
        </w:rPr>
        <w:t>Tikėtinų rezultatų nustatymas ir skaičiavimas</w:t>
      </w:r>
      <w:bookmarkEnd w:id="359"/>
      <w:bookmarkEnd w:id="360"/>
    </w:p>
    <w:p w14:paraId="145EFA8C" w14:textId="77777777" w:rsidR="00872767" w:rsidRDefault="00872767" w:rsidP="00872767">
      <w:pPr>
        <w:pStyle w:val="prastasis1"/>
        <w:spacing w:line="276" w:lineRule="auto"/>
        <w:jc w:val="both"/>
        <w:rPr>
          <w:rFonts w:ascii="Georgia" w:hAnsi="Georgia"/>
          <w:sz w:val="20"/>
          <w:szCs w:val="20"/>
        </w:rPr>
      </w:pPr>
      <w:r w:rsidRPr="001010F8">
        <w:rPr>
          <w:rFonts w:ascii="Georgia" w:hAnsi="Georgia"/>
          <w:sz w:val="20"/>
          <w:szCs w:val="20"/>
        </w:rPr>
        <w:t>Įgyvendinat siūlomą modelį (steigiant KŪB į kurį būtų investuojamos ESI fondų lėšos) vadovaujančiajai institucijai į jį įnešus 280,7 mln. eurų sumą iš ESI fondų lėšų ir 67,2 mln. eurų sumą iš grįžtančių lėšų į JESSICA KF, planuojama, kad iš investuojančių finansinių institucijų galima būtų pritraukti iki 700 mln. eurų.</w:t>
      </w:r>
    </w:p>
    <w:p w14:paraId="1ABE8BCD" w14:textId="77777777" w:rsidR="00872767" w:rsidRPr="001010F8" w:rsidRDefault="00872767" w:rsidP="00872767">
      <w:pPr>
        <w:pStyle w:val="prastasis1"/>
        <w:spacing w:line="276" w:lineRule="auto"/>
        <w:jc w:val="both"/>
        <w:rPr>
          <w:rFonts w:ascii="Georgia" w:hAnsi="Georgia"/>
          <w:sz w:val="20"/>
          <w:szCs w:val="20"/>
        </w:rPr>
      </w:pPr>
      <w:r w:rsidRPr="001010F8">
        <w:rPr>
          <w:rFonts w:ascii="Georgia" w:hAnsi="Georgia"/>
          <w:sz w:val="20"/>
          <w:szCs w:val="20"/>
        </w:rPr>
        <w:t>Pagal siūlomą modelį įgyvendinant finansinę priemonę gaunami šie rezultatai:</w:t>
      </w:r>
    </w:p>
    <w:p w14:paraId="1B060121" w14:textId="0113748B" w:rsidR="00872767" w:rsidRPr="001010F8" w:rsidRDefault="00872767" w:rsidP="00872767">
      <w:pPr>
        <w:pStyle w:val="Antrat"/>
        <w:jc w:val="both"/>
        <w:rPr>
          <w:sz w:val="22"/>
          <w:lang w:val="lt-LT"/>
        </w:rPr>
      </w:pPr>
      <w:bookmarkStart w:id="361" w:name="_Toc460321737"/>
      <w:r w:rsidRPr="001010F8">
        <w:rPr>
          <w:lang w:val="lt-LT"/>
        </w:rPr>
        <w:t xml:space="preserve">Lentelė </w:t>
      </w:r>
      <w:r w:rsidRPr="001010F8">
        <w:rPr>
          <w:lang w:val="lt-LT"/>
        </w:rPr>
        <w:fldChar w:fldCharType="begin"/>
      </w:r>
      <w:r w:rsidRPr="001010F8">
        <w:rPr>
          <w:lang w:val="lt-LT"/>
        </w:rPr>
        <w:instrText xml:space="preserve"> SEQ Lentelė \* ARABIC </w:instrText>
      </w:r>
      <w:r w:rsidRPr="001010F8">
        <w:rPr>
          <w:lang w:val="lt-LT"/>
        </w:rPr>
        <w:fldChar w:fldCharType="separate"/>
      </w:r>
      <w:r w:rsidR="00AA3082">
        <w:rPr>
          <w:noProof/>
          <w:lang w:val="lt-LT"/>
        </w:rPr>
        <w:t>156</w:t>
      </w:r>
      <w:r w:rsidRPr="001010F8">
        <w:rPr>
          <w:lang w:val="lt-LT"/>
        </w:rPr>
        <w:fldChar w:fldCharType="end"/>
      </w:r>
      <w:r w:rsidRPr="001010F8">
        <w:rPr>
          <w:lang w:val="lt-LT"/>
        </w:rPr>
        <w:t xml:space="preserve">. </w:t>
      </w:r>
      <w:r w:rsidRPr="001010F8">
        <w:rPr>
          <w:szCs w:val="20"/>
          <w:lang w:val="lt-LT"/>
        </w:rPr>
        <w:t>Tikėtini finansinės priemonės rezultatai.</w:t>
      </w:r>
      <w:bookmarkEnd w:id="361"/>
    </w:p>
    <w:tbl>
      <w:tblPr>
        <w:tblStyle w:val="viesussraas2parykinimas2"/>
        <w:tblW w:w="0" w:type="auto"/>
        <w:tblLook w:val="04A0" w:firstRow="1" w:lastRow="0" w:firstColumn="1" w:lastColumn="0" w:noHBand="0" w:noVBand="1"/>
      </w:tblPr>
      <w:tblGrid>
        <w:gridCol w:w="3127"/>
        <w:gridCol w:w="3058"/>
        <w:gridCol w:w="3058"/>
      </w:tblGrid>
      <w:tr w:rsidR="00872767" w:rsidRPr="001010F8" w14:paraId="5B89E94E" w14:textId="77777777" w:rsidTr="00AE7E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tcPr>
          <w:p w14:paraId="506617AB" w14:textId="77777777" w:rsidR="00872767" w:rsidRPr="001010F8" w:rsidRDefault="00872767" w:rsidP="00105B94">
            <w:pPr>
              <w:rPr>
                <w:rFonts w:ascii="Georgia" w:hAnsi="Georgia"/>
                <w:color w:val="auto"/>
              </w:rPr>
            </w:pPr>
            <w:r w:rsidRPr="001010F8">
              <w:rPr>
                <w:rFonts w:ascii="Georgia" w:hAnsi="Georgia"/>
              </w:rPr>
              <w:t>Rodiklis</w:t>
            </w:r>
          </w:p>
        </w:tc>
        <w:tc>
          <w:tcPr>
            <w:tcW w:w="3058" w:type="dxa"/>
          </w:tcPr>
          <w:p w14:paraId="77A6DC4D" w14:textId="77777777" w:rsidR="00872767" w:rsidRPr="001010F8" w:rsidRDefault="00872767" w:rsidP="00105B94">
            <w:pPr>
              <w:jc w:val="center"/>
              <w:cnfStyle w:val="100000000000" w:firstRow="1" w:lastRow="0" w:firstColumn="0" w:lastColumn="0" w:oddVBand="0" w:evenVBand="0" w:oddHBand="0" w:evenHBand="0" w:firstRowFirstColumn="0" w:firstRowLastColumn="0" w:lastRowFirstColumn="0" w:lastRowLastColumn="0"/>
              <w:rPr>
                <w:rFonts w:ascii="Georgia" w:hAnsi="Georgia"/>
              </w:rPr>
            </w:pPr>
            <w:r w:rsidRPr="001010F8">
              <w:rPr>
                <w:rFonts w:ascii="Georgia" w:hAnsi="Georgia"/>
              </w:rPr>
              <w:t>Apskaičiuoti rezultatai</w:t>
            </w:r>
          </w:p>
        </w:tc>
        <w:tc>
          <w:tcPr>
            <w:tcW w:w="3058" w:type="dxa"/>
          </w:tcPr>
          <w:p w14:paraId="575E665D" w14:textId="77777777" w:rsidR="00872767" w:rsidRPr="001010F8" w:rsidRDefault="00872767" w:rsidP="00105B94">
            <w:pPr>
              <w:jc w:val="center"/>
              <w:cnfStyle w:val="100000000000" w:firstRow="1" w:lastRow="0" w:firstColumn="0" w:lastColumn="0" w:oddVBand="0" w:evenVBand="0" w:oddHBand="0" w:evenHBand="0" w:firstRowFirstColumn="0" w:firstRowLastColumn="0" w:lastRowFirstColumn="0" w:lastRowLastColumn="0"/>
              <w:rPr>
                <w:rFonts w:ascii="Georgia" w:hAnsi="Georgia"/>
              </w:rPr>
            </w:pPr>
            <w:r w:rsidRPr="001010F8">
              <w:rPr>
                <w:rFonts w:ascii="Georgia" w:hAnsi="Georgia"/>
              </w:rPr>
              <w:t>Palyginimas su paklausos duomenimis</w:t>
            </w:r>
          </w:p>
        </w:tc>
      </w:tr>
      <w:tr w:rsidR="00872767" w:rsidRPr="001010F8" w14:paraId="31E54368" w14:textId="77777777" w:rsidTr="00AE7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hideMark/>
          </w:tcPr>
          <w:p w14:paraId="54C84846" w14:textId="77777777" w:rsidR="00872767" w:rsidRPr="001010F8" w:rsidRDefault="00872767" w:rsidP="00105B94">
            <w:pPr>
              <w:rPr>
                <w:rFonts w:ascii="Georgia" w:hAnsi="Georgia"/>
                <w:b w:val="0"/>
                <w:sz w:val="20"/>
                <w:szCs w:val="20"/>
              </w:rPr>
            </w:pPr>
            <w:r w:rsidRPr="001010F8">
              <w:rPr>
                <w:rFonts w:ascii="Georgia" w:hAnsi="Georgia"/>
                <w:sz w:val="20"/>
                <w:szCs w:val="20"/>
              </w:rPr>
              <w:t>Finansinė priemonė</w:t>
            </w:r>
          </w:p>
        </w:tc>
        <w:tc>
          <w:tcPr>
            <w:tcW w:w="3058" w:type="dxa"/>
            <w:hideMark/>
          </w:tcPr>
          <w:p w14:paraId="228997B3" w14:textId="77777777" w:rsidR="00872767" w:rsidRPr="001010F8" w:rsidRDefault="00872767" w:rsidP="00105B94">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1010F8">
              <w:rPr>
                <w:rFonts w:ascii="Georgia" w:hAnsi="Georgia"/>
                <w:sz w:val="20"/>
                <w:szCs w:val="20"/>
              </w:rPr>
              <w:t>Paskolos daugiabučių namų renovacijai, kuriant KŪB</w:t>
            </w:r>
          </w:p>
        </w:tc>
        <w:tc>
          <w:tcPr>
            <w:tcW w:w="3058" w:type="dxa"/>
          </w:tcPr>
          <w:p w14:paraId="138D6195" w14:textId="77777777" w:rsidR="00872767" w:rsidRPr="001010F8" w:rsidRDefault="00872767" w:rsidP="00105B94">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1010F8">
              <w:rPr>
                <w:rFonts w:ascii="Georgia" w:hAnsi="Georgia"/>
                <w:sz w:val="20"/>
                <w:szCs w:val="20"/>
              </w:rPr>
              <w:t>-</w:t>
            </w:r>
          </w:p>
        </w:tc>
      </w:tr>
      <w:tr w:rsidR="00872767" w:rsidRPr="001010F8" w14:paraId="19EE3857" w14:textId="77777777" w:rsidTr="00AE7E91">
        <w:tc>
          <w:tcPr>
            <w:cnfStyle w:val="001000000000" w:firstRow="0" w:lastRow="0" w:firstColumn="1" w:lastColumn="0" w:oddVBand="0" w:evenVBand="0" w:oddHBand="0" w:evenHBand="0" w:firstRowFirstColumn="0" w:firstRowLastColumn="0" w:lastRowFirstColumn="0" w:lastRowLastColumn="0"/>
            <w:tcW w:w="3127" w:type="dxa"/>
            <w:hideMark/>
          </w:tcPr>
          <w:p w14:paraId="4357C20D" w14:textId="77777777" w:rsidR="00872767" w:rsidRPr="001010F8" w:rsidRDefault="00872767" w:rsidP="00105B94">
            <w:pPr>
              <w:rPr>
                <w:rFonts w:ascii="Georgia" w:hAnsi="Georgia"/>
                <w:b w:val="0"/>
                <w:sz w:val="20"/>
                <w:szCs w:val="20"/>
              </w:rPr>
            </w:pPr>
            <w:r w:rsidRPr="001010F8">
              <w:rPr>
                <w:rFonts w:ascii="Georgia" w:hAnsi="Georgia"/>
                <w:sz w:val="20"/>
                <w:szCs w:val="20"/>
              </w:rPr>
              <w:t>Finansuojanti institucija</w:t>
            </w:r>
          </w:p>
        </w:tc>
        <w:tc>
          <w:tcPr>
            <w:tcW w:w="3058" w:type="dxa"/>
            <w:hideMark/>
          </w:tcPr>
          <w:p w14:paraId="18BC3B53" w14:textId="77777777" w:rsidR="00872767" w:rsidRPr="001010F8" w:rsidRDefault="00872767" w:rsidP="00105B94">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1010F8">
              <w:rPr>
                <w:rFonts w:ascii="Georgia" w:hAnsi="Georgia"/>
                <w:sz w:val="20"/>
                <w:szCs w:val="20"/>
              </w:rPr>
              <w:t>Aplinkos ministerija</w:t>
            </w:r>
          </w:p>
        </w:tc>
        <w:tc>
          <w:tcPr>
            <w:tcW w:w="3058" w:type="dxa"/>
          </w:tcPr>
          <w:p w14:paraId="083CA763" w14:textId="77777777" w:rsidR="00872767" w:rsidRPr="001010F8" w:rsidRDefault="00872767" w:rsidP="00105B94">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1010F8">
              <w:rPr>
                <w:rFonts w:ascii="Georgia" w:hAnsi="Georgia"/>
                <w:sz w:val="20"/>
                <w:szCs w:val="20"/>
              </w:rPr>
              <w:t>-</w:t>
            </w:r>
          </w:p>
        </w:tc>
      </w:tr>
      <w:tr w:rsidR="00872767" w:rsidRPr="001010F8" w14:paraId="5A325523" w14:textId="77777777" w:rsidTr="00AE7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hideMark/>
          </w:tcPr>
          <w:p w14:paraId="62F41DFF" w14:textId="77777777" w:rsidR="00872767" w:rsidRPr="001010F8" w:rsidRDefault="00872767" w:rsidP="00105B94">
            <w:pPr>
              <w:rPr>
                <w:rFonts w:ascii="Georgia" w:hAnsi="Georgia"/>
                <w:b w:val="0"/>
                <w:sz w:val="20"/>
                <w:szCs w:val="20"/>
              </w:rPr>
            </w:pPr>
            <w:r w:rsidRPr="001010F8">
              <w:rPr>
                <w:rFonts w:ascii="Georgia" w:hAnsi="Georgia"/>
                <w:sz w:val="20"/>
                <w:szCs w:val="20"/>
              </w:rPr>
              <w:t>Galutinius naudos gavėjus pasiekusios lėšos</w:t>
            </w:r>
          </w:p>
        </w:tc>
        <w:tc>
          <w:tcPr>
            <w:tcW w:w="3058" w:type="dxa"/>
            <w:hideMark/>
          </w:tcPr>
          <w:p w14:paraId="4A2FA8E9" w14:textId="77777777" w:rsidR="00872767" w:rsidRPr="001010F8" w:rsidRDefault="00872767" w:rsidP="00105B94">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832,0</w:t>
            </w:r>
            <w:r w:rsidRPr="001010F8">
              <w:rPr>
                <w:rFonts w:ascii="Georgia" w:hAnsi="Georgia"/>
                <w:sz w:val="20"/>
                <w:szCs w:val="20"/>
              </w:rPr>
              <w:t xml:space="preserve"> mln. eurų</w:t>
            </w:r>
          </w:p>
        </w:tc>
        <w:tc>
          <w:tcPr>
            <w:tcW w:w="3058" w:type="dxa"/>
          </w:tcPr>
          <w:p w14:paraId="216FD45A" w14:textId="77777777" w:rsidR="00872767" w:rsidRPr="001010F8" w:rsidRDefault="00872767" w:rsidP="00105B94">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1010F8">
              <w:rPr>
                <w:rFonts w:ascii="Georgia" w:hAnsi="Georgia"/>
                <w:sz w:val="20"/>
                <w:szCs w:val="20"/>
              </w:rPr>
              <w:t>1347,3 mln. eurų</w:t>
            </w:r>
          </w:p>
        </w:tc>
      </w:tr>
      <w:tr w:rsidR="00872767" w:rsidRPr="001010F8" w14:paraId="1640C4FB" w14:textId="77777777" w:rsidTr="00AE7E91">
        <w:tc>
          <w:tcPr>
            <w:cnfStyle w:val="001000000000" w:firstRow="0" w:lastRow="0" w:firstColumn="1" w:lastColumn="0" w:oddVBand="0" w:evenVBand="0" w:oddHBand="0" w:evenHBand="0" w:firstRowFirstColumn="0" w:firstRowLastColumn="0" w:lastRowFirstColumn="0" w:lastRowLastColumn="0"/>
            <w:tcW w:w="3127" w:type="dxa"/>
            <w:hideMark/>
          </w:tcPr>
          <w:p w14:paraId="57F914C0" w14:textId="77777777" w:rsidR="00872767" w:rsidRPr="001010F8" w:rsidRDefault="00872767" w:rsidP="00105B94">
            <w:pPr>
              <w:rPr>
                <w:rFonts w:ascii="Georgia" w:hAnsi="Georgia"/>
                <w:b w:val="0"/>
                <w:sz w:val="20"/>
                <w:szCs w:val="20"/>
              </w:rPr>
            </w:pPr>
            <w:r w:rsidRPr="001010F8">
              <w:rPr>
                <w:rFonts w:ascii="Georgia" w:hAnsi="Georgia"/>
                <w:sz w:val="20"/>
                <w:szCs w:val="20"/>
              </w:rPr>
              <w:t>Pritrauktos lėšos iš privačių šaltinių</w:t>
            </w:r>
          </w:p>
        </w:tc>
        <w:tc>
          <w:tcPr>
            <w:tcW w:w="3058" w:type="dxa"/>
            <w:hideMark/>
          </w:tcPr>
          <w:p w14:paraId="099DFF51" w14:textId="77777777" w:rsidR="00872767" w:rsidRPr="001010F8" w:rsidRDefault="00872767" w:rsidP="00105B94">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 65</w:t>
            </w:r>
            <w:r w:rsidRPr="001010F8">
              <w:rPr>
                <w:rFonts w:ascii="Georgia" w:hAnsi="Georgia"/>
                <w:sz w:val="20"/>
                <w:szCs w:val="20"/>
              </w:rPr>
              <w:t>5,</w:t>
            </w:r>
            <w:r>
              <w:rPr>
                <w:rFonts w:ascii="Georgia" w:hAnsi="Georgia"/>
                <w:sz w:val="20"/>
                <w:szCs w:val="20"/>
              </w:rPr>
              <w:t>4</w:t>
            </w:r>
            <w:r w:rsidRPr="001010F8">
              <w:rPr>
                <w:rFonts w:ascii="Georgia" w:hAnsi="Georgia"/>
                <w:sz w:val="20"/>
                <w:szCs w:val="20"/>
              </w:rPr>
              <w:t xml:space="preserve"> mln. eurų</w:t>
            </w:r>
          </w:p>
        </w:tc>
        <w:tc>
          <w:tcPr>
            <w:tcW w:w="3058" w:type="dxa"/>
          </w:tcPr>
          <w:p w14:paraId="0D5879AE" w14:textId="77777777" w:rsidR="00872767" w:rsidRPr="001010F8" w:rsidRDefault="00872767" w:rsidP="00105B94">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1010F8">
              <w:rPr>
                <w:rFonts w:ascii="Georgia" w:hAnsi="Georgia"/>
                <w:sz w:val="20"/>
                <w:szCs w:val="20"/>
              </w:rPr>
              <w:t>-</w:t>
            </w:r>
          </w:p>
        </w:tc>
      </w:tr>
      <w:tr w:rsidR="00872767" w:rsidRPr="001010F8" w14:paraId="5A99AB24" w14:textId="77777777" w:rsidTr="00AE7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hideMark/>
          </w:tcPr>
          <w:p w14:paraId="4DD19093" w14:textId="77777777" w:rsidR="00872767" w:rsidRPr="001010F8" w:rsidRDefault="00872767" w:rsidP="00105B94">
            <w:pPr>
              <w:rPr>
                <w:rFonts w:ascii="Georgia" w:hAnsi="Georgia"/>
                <w:b w:val="0"/>
                <w:sz w:val="20"/>
                <w:szCs w:val="20"/>
              </w:rPr>
            </w:pPr>
            <w:r w:rsidRPr="001010F8">
              <w:rPr>
                <w:rFonts w:ascii="Georgia" w:hAnsi="Georgia"/>
                <w:sz w:val="20"/>
                <w:szCs w:val="20"/>
              </w:rPr>
              <w:t>Sverto efektas</w:t>
            </w:r>
          </w:p>
        </w:tc>
        <w:tc>
          <w:tcPr>
            <w:tcW w:w="3058" w:type="dxa"/>
            <w:hideMark/>
          </w:tcPr>
          <w:p w14:paraId="7BA42480" w14:textId="77777777" w:rsidR="00872767" w:rsidRPr="001010F8" w:rsidRDefault="00872767" w:rsidP="00105B94">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bCs/>
                <w:color w:val="000000"/>
                <w:sz w:val="20"/>
                <w:szCs w:val="20"/>
              </w:rPr>
              <w:t>3,57</w:t>
            </w:r>
          </w:p>
        </w:tc>
        <w:tc>
          <w:tcPr>
            <w:tcW w:w="3058" w:type="dxa"/>
          </w:tcPr>
          <w:p w14:paraId="63193F2E" w14:textId="77777777" w:rsidR="00872767" w:rsidRPr="001010F8" w:rsidRDefault="00872767" w:rsidP="00105B94">
            <w:pPr>
              <w:jc w:val="center"/>
              <w:cnfStyle w:val="000000100000" w:firstRow="0" w:lastRow="0" w:firstColumn="0" w:lastColumn="0" w:oddVBand="0" w:evenVBand="0" w:oddHBand="1" w:evenHBand="0" w:firstRowFirstColumn="0" w:firstRowLastColumn="0" w:lastRowFirstColumn="0" w:lastRowLastColumn="0"/>
              <w:rPr>
                <w:rFonts w:ascii="Georgia" w:hAnsi="Georgia"/>
                <w:bCs/>
                <w:color w:val="000000"/>
                <w:sz w:val="20"/>
                <w:szCs w:val="20"/>
              </w:rPr>
            </w:pPr>
            <w:r w:rsidRPr="001010F8">
              <w:rPr>
                <w:rFonts w:ascii="Georgia" w:hAnsi="Georgia"/>
                <w:bCs/>
                <w:color w:val="000000"/>
                <w:sz w:val="20"/>
                <w:szCs w:val="20"/>
              </w:rPr>
              <w:t>-</w:t>
            </w:r>
          </w:p>
        </w:tc>
      </w:tr>
      <w:tr w:rsidR="00872767" w:rsidRPr="001010F8" w14:paraId="684C9D0A" w14:textId="77777777" w:rsidTr="00AE7E91">
        <w:tc>
          <w:tcPr>
            <w:cnfStyle w:val="001000000000" w:firstRow="0" w:lastRow="0" w:firstColumn="1" w:lastColumn="0" w:oddVBand="0" w:evenVBand="0" w:oddHBand="0" w:evenHBand="0" w:firstRowFirstColumn="0" w:firstRowLastColumn="0" w:lastRowFirstColumn="0" w:lastRowLastColumn="0"/>
            <w:tcW w:w="3127" w:type="dxa"/>
            <w:hideMark/>
          </w:tcPr>
          <w:p w14:paraId="54475F57" w14:textId="77777777" w:rsidR="00872767" w:rsidRPr="001010F8" w:rsidRDefault="00872767" w:rsidP="00105B94">
            <w:pPr>
              <w:rPr>
                <w:rFonts w:ascii="Georgia" w:hAnsi="Georgia"/>
                <w:b w:val="0"/>
                <w:sz w:val="20"/>
                <w:szCs w:val="20"/>
              </w:rPr>
            </w:pPr>
            <w:r w:rsidRPr="001010F8">
              <w:rPr>
                <w:rFonts w:ascii="Georgia" w:hAnsi="Georgia"/>
                <w:sz w:val="20"/>
                <w:szCs w:val="20"/>
              </w:rPr>
              <w:t>Renovuotų pastatų skaičius iki 2022 metų</w:t>
            </w:r>
          </w:p>
        </w:tc>
        <w:tc>
          <w:tcPr>
            <w:tcW w:w="3058" w:type="dxa"/>
            <w:hideMark/>
          </w:tcPr>
          <w:p w14:paraId="51216F96" w14:textId="77777777" w:rsidR="00872767" w:rsidRPr="001010F8" w:rsidRDefault="00872767" w:rsidP="00105B94">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1010F8">
              <w:rPr>
                <w:rFonts w:ascii="Georgia" w:hAnsi="Georgia"/>
                <w:bCs/>
                <w:color w:val="000000"/>
                <w:sz w:val="20"/>
                <w:szCs w:val="20"/>
              </w:rPr>
              <w:t>4</w:t>
            </w:r>
            <w:r>
              <w:rPr>
                <w:rFonts w:ascii="Georgia" w:hAnsi="Georgia"/>
                <w:bCs/>
                <w:color w:val="000000"/>
                <w:sz w:val="20"/>
                <w:szCs w:val="20"/>
              </w:rPr>
              <w:t>473</w:t>
            </w:r>
          </w:p>
        </w:tc>
        <w:tc>
          <w:tcPr>
            <w:tcW w:w="3058" w:type="dxa"/>
          </w:tcPr>
          <w:p w14:paraId="0AC2A550" w14:textId="77777777" w:rsidR="00872767" w:rsidRPr="001010F8" w:rsidRDefault="00872767" w:rsidP="00105B94">
            <w:pPr>
              <w:jc w:val="center"/>
              <w:cnfStyle w:val="000000000000" w:firstRow="0" w:lastRow="0" w:firstColumn="0" w:lastColumn="0" w:oddVBand="0" w:evenVBand="0" w:oddHBand="0" w:evenHBand="0" w:firstRowFirstColumn="0" w:firstRowLastColumn="0" w:lastRowFirstColumn="0" w:lastRowLastColumn="0"/>
              <w:rPr>
                <w:rFonts w:ascii="Georgia" w:hAnsi="Georgia"/>
                <w:bCs/>
                <w:color w:val="000000"/>
                <w:sz w:val="20"/>
                <w:szCs w:val="20"/>
              </w:rPr>
            </w:pPr>
            <w:r w:rsidRPr="001010F8">
              <w:rPr>
                <w:rFonts w:ascii="Georgia" w:hAnsi="Georgia"/>
                <w:bCs/>
                <w:color w:val="000000"/>
                <w:sz w:val="20"/>
                <w:szCs w:val="20"/>
              </w:rPr>
              <w:t>7229</w:t>
            </w:r>
          </w:p>
        </w:tc>
      </w:tr>
      <w:tr w:rsidR="00872767" w:rsidRPr="001010F8" w14:paraId="74703C38" w14:textId="77777777" w:rsidTr="00AE7E91">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3127" w:type="dxa"/>
            <w:hideMark/>
          </w:tcPr>
          <w:p w14:paraId="5E318490" w14:textId="77777777" w:rsidR="00872767" w:rsidRPr="001010F8" w:rsidRDefault="00872767" w:rsidP="00105B94">
            <w:pPr>
              <w:rPr>
                <w:rFonts w:ascii="Georgia" w:hAnsi="Georgia"/>
                <w:sz w:val="20"/>
                <w:szCs w:val="20"/>
              </w:rPr>
            </w:pPr>
            <w:r w:rsidRPr="001010F8">
              <w:rPr>
                <w:rFonts w:ascii="Georgia" w:hAnsi="Georgia"/>
                <w:sz w:val="20"/>
                <w:szCs w:val="20"/>
              </w:rPr>
              <w:t>Renovuotų pastatų plotas iki 2022 metų</w:t>
            </w:r>
          </w:p>
        </w:tc>
        <w:tc>
          <w:tcPr>
            <w:tcW w:w="3058" w:type="dxa"/>
            <w:hideMark/>
          </w:tcPr>
          <w:p w14:paraId="2CB772C9" w14:textId="77777777" w:rsidR="00872767" w:rsidRPr="001010F8" w:rsidRDefault="00872767" w:rsidP="00105B94">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1010F8">
              <w:rPr>
                <w:rFonts w:ascii="Georgia" w:hAnsi="Georgia"/>
                <w:sz w:val="20"/>
                <w:szCs w:val="20"/>
              </w:rPr>
              <w:t>5</w:t>
            </w:r>
            <w:r>
              <w:rPr>
                <w:rFonts w:ascii="Georgia" w:hAnsi="Georgia"/>
                <w:sz w:val="20"/>
                <w:szCs w:val="20"/>
              </w:rPr>
              <w:t>757</w:t>
            </w:r>
            <w:r w:rsidRPr="001010F8">
              <w:rPr>
                <w:rFonts w:ascii="Georgia" w:hAnsi="Georgia"/>
                <w:sz w:val="20"/>
                <w:szCs w:val="20"/>
              </w:rPr>
              <w:t xml:space="preserve"> tūkst. kv. m.</w:t>
            </w:r>
          </w:p>
        </w:tc>
        <w:tc>
          <w:tcPr>
            <w:tcW w:w="3058" w:type="dxa"/>
          </w:tcPr>
          <w:p w14:paraId="14BB6722" w14:textId="77777777" w:rsidR="00872767" w:rsidRPr="001010F8" w:rsidRDefault="00872767" w:rsidP="00105B94">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1010F8">
              <w:rPr>
                <w:rFonts w:ascii="Georgia" w:hAnsi="Georgia"/>
                <w:sz w:val="20"/>
                <w:szCs w:val="20"/>
              </w:rPr>
              <w:t>9304 tūkst. kv. m.</w:t>
            </w:r>
          </w:p>
        </w:tc>
      </w:tr>
      <w:tr w:rsidR="00872767" w:rsidRPr="001010F8" w14:paraId="3449C420" w14:textId="77777777" w:rsidTr="00AE7E91">
        <w:trPr>
          <w:trHeight w:val="531"/>
        </w:trPr>
        <w:tc>
          <w:tcPr>
            <w:cnfStyle w:val="001000000000" w:firstRow="0" w:lastRow="0" w:firstColumn="1" w:lastColumn="0" w:oddVBand="0" w:evenVBand="0" w:oddHBand="0" w:evenHBand="0" w:firstRowFirstColumn="0" w:firstRowLastColumn="0" w:lastRowFirstColumn="0" w:lastRowLastColumn="0"/>
            <w:tcW w:w="3127" w:type="dxa"/>
            <w:hideMark/>
          </w:tcPr>
          <w:p w14:paraId="10C32B61" w14:textId="77777777" w:rsidR="00872767" w:rsidRPr="001010F8" w:rsidRDefault="00872767" w:rsidP="00105B94">
            <w:pPr>
              <w:rPr>
                <w:rFonts w:ascii="Georgia" w:hAnsi="Georgia"/>
                <w:b w:val="0"/>
                <w:sz w:val="20"/>
                <w:szCs w:val="20"/>
              </w:rPr>
            </w:pPr>
            <w:r w:rsidRPr="001010F8">
              <w:rPr>
                <w:rFonts w:ascii="Georgia" w:hAnsi="Georgia"/>
                <w:sz w:val="20"/>
                <w:szCs w:val="20"/>
              </w:rPr>
              <w:t>Renovuotų namų energijos efektyvumo suvartojimo sumažėjimas, ne mažiau kaip</w:t>
            </w:r>
          </w:p>
        </w:tc>
        <w:tc>
          <w:tcPr>
            <w:tcW w:w="3058" w:type="dxa"/>
            <w:hideMark/>
          </w:tcPr>
          <w:p w14:paraId="2A63E59B" w14:textId="77777777" w:rsidR="00872767" w:rsidRPr="001010F8" w:rsidRDefault="00872767" w:rsidP="00105B94">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1010F8">
              <w:rPr>
                <w:rFonts w:ascii="Georgia" w:hAnsi="Georgia"/>
                <w:sz w:val="20"/>
                <w:szCs w:val="20"/>
              </w:rPr>
              <w:t>40 proc.</w:t>
            </w:r>
          </w:p>
        </w:tc>
        <w:tc>
          <w:tcPr>
            <w:tcW w:w="3058" w:type="dxa"/>
          </w:tcPr>
          <w:p w14:paraId="556C3C15" w14:textId="77777777" w:rsidR="00872767" w:rsidRPr="001010F8" w:rsidRDefault="00872767" w:rsidP="00105B94">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1010F8">
              <w:rPr>
                <w:rFonts w:ascii="Georgia" w:hAnsi="Georgia"/>
                <w:sz w:val="20"/>
                <w:szCs w:val="20"/>
              </w:rPr>
              <w:t>Kuo daugiau</w:t>
            </w:r>
          </w:p>
        </w:tc>
      </w:tr>
      <w:tr w:rsidR="00872767" w:rsidRPr="001010F8" w14:paraId="62DE4181" w14:textId="77777777" w:rsidTr="00AE7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hideMark/>
          </w:tcPr>
          <w:p w14:paraId="0CF5D8F1" w14:textId="77777777" w:rsidR="00872767" w:rsidRPr="001010F8" w:rsidRDefault="00872767" w:rsidP="00872767">
            <w:pPr>
              <w:rPr>
                <w:rFonts w:ascii="Georgia" w:hAnsi="Georgia"/>
                <w:b w:val="0"/>
                <w:sz w:val="20"/>
                <w:szCs w:val="20"/>
              </w:rPr>
            </w:pPr>
            <w:r w:rsidRPr="001010F8">
              <w:rPr>
                <w:rFonts w:ascii="Georgia" w:hAnsi="Georgia"/>
                <w:sz w:val="20"/>
                <w:szCs w:val="20"/>
              </w:rPr>
              <w:t xml:space="preserve">Pasiekta energetinio efektyvumo klasė ne mažesnė kaip </w:t>
            </w:r>
          </w:p>
        </w:tc>
        <w:tc>
          <w:tcPr>
            <w:tcW w:w="3058" w:type="dxa"/>
            <w:hideMark/>
          </w:tcPr>
          <w:p w14:paraId="4E905CCF" w14:textId="77777777" w:rsidR="00872767" w:rsidRPr="001010F8" w:rsidRDefault="00872767" w:rsidP="00105B94">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1010F8">
              <w:rPr>
                <w:rFonts w:ascii="Georgia" w:hAnsi="Georgia"/>
                <w:sz w:val="20"/>
                <w:szCs w:val="20"/>
              </w:rPr>
              <w:t>C</w:t>
            </w:r>
          </w:p>
        </w:tc>
        <w:tc>
          <w:tcPr>
            <w:tcW w:w="3058" w:type="dxa"/>
          </w:tcPr>
          <w:p w14:paraId="13454113" w14:textId="77777777" w:rsidR="00872767" w:rsidRPr="001010F8" w:rsidRDefault="00872767" w:rsidP="00105B94">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1010F8">
              <w:rPr>
                <w:rFonts w:ascii="Georgia" w:hAnsi="Georgia"/>
                <w:sz w:val="20"/>
                <w:szCs w:val="20"/>
              </w:rPr>
              <w:t>C</w:t>
            </w:r>
          </w:p>
        </w:tc>
      </w:tr>
    </w:tbl>
    <w:p w14:paraId="0383D645" w14:textId="77777777" w:rsidR="00843869" w:rsidRPr="00DF3A8E" w:rsidRDefault="00843869" w:rsidP="00151543">
      <w:pPr>
        <w:rPr>
          <w:rFonts w:ascii="Georgia" w:hAnsi="Georgia"/>
          <w:sz w:val="20"/>
          <w:lang w:val="lt-LT"/>
        </w:rPr>
      </w:pPr>
    </w:p>
    <w:p w14:paraId="73BFD7D3" w14:textId="77777777" w:rsidR="00151543" w:rsidRPr="00DF3A8E" w:rsidRDefault="00151543" w:rsidP="00C03122">
      <w:pPr>
        <w:pStyle w:val="Antrat2"/>
        <w:numPr>
          <w:ilvl w:val="2"/>
          <w:numId w:val="36"/>
        </w:numPr>
        <w:spacing w:after="240"/>
        <w:rPr>
          <w:lang w:val="lt-LT"/>
        </w:rPr>
      </w:pPr>
      <w:bookmarkStart w:id="362" w:name="_Toc398567611"/>
      <w:bookmarkStart w:id="363" w:name="_Toc417378442"/>
      <w:r w:rsidRPr="00DF3A8E">
        <w:rPr>
          <w:lang w:val="lt-LT"/>
        </w:rPr>
        <w:t>Finansinės priemonės rezultatų prisidėjimas prie strateginių tikslų</w:t>
      </w:r>
      <w:bookmarkEnd w:id="362"/>
      <w:bookmarkEnd w:id="363"/>
      <w:r w:rsidRPr="00DF3A8E">
        <w:rPr>
          <w:lang w:val="lt-LT"/>
        </w:rPr>
        <w:t xml:space="preserve"> </w:t>
      </w:r>
    </w:p>
    <w:p w14:paraId="21C7B3CA" w14:textId="77777777" w:rsidR="002838B1" w:rsidRPr="00837558" w:rsidRDefault="002838B1" w:rsidP="002838B1">
      <w:pPr>
        <w:pStyle w:val="prastasis1"/>
        <w:spacing w:line="276" w:lineRule="auto"/>
        <w:jc w:val="both"/>
        <w:rPr>
          <w:rFonts w:ascii="Georgia" w:hAnsi="Georgia"/>
          <w:sz w:val="20"/>
          <w:szCs w:val="20"/>
        </w:rPr>
      </w:pPr>
      <w:bookmarkStart w:id="364" w:name="_Toc398567612"/>
      <w:r w:rsidRPr="00837558">
        <w:rPr>
          <w:rFonts w:ascii="Georgia" w:hAnsi="Georgia"/>
          <w:sz w:val="20"/>
          <w:szCs w:val="20"/>
        </w:rPr>
        <w:t xml:space="preserve">Vertinant įvairius finansinius modelius daugiabučių renovacijos įgyvendinimui geriausia alternatyva buvo pasiūlyta remiantis siektinais finansinės priemonės rezultatais: multiplikatoriaus efektu, sverto efektu, renovuojamų namų skaičiumi ir kitais rodikliais. Atsižvelgiant į tai, buvo apskaičiuoti ir finansinės priemonės kokybiniai rezultatai, kurie prisidėti prie strateginių tikslų pasiekimo ir kurie yra pagrindinis finansinės priemonės kūrimo motyvas. </w:t>
      </w:r>
    </w:p>
    <w:p w14:paraId="054902DC" w14:textId="77777777" w:rsidR="002838B1" w:rsidRPr="00837558" w:rsidRDefault="002838B1" w:rsidP="002838B1">
      <w:pPr>
        <w:pStyle w:val="prastasis1"/>
        <w:spacing w:line="276" w:lineRule="auto"/>
        <w:jc w:val="both"/>
        <w:rPr>
          <w:rFonts w:ascii="Georgia" w:hAnsi="Georgia"/>
          <w:sz w:val="20"/>
          <w:szCs w:val="20"/>
        </w:rPr>
      </w:pPr>
      <w:r w:rsidRPr="00837558">
        <w:rPr>
          <w:rFonts w:ascii="Georgia" w:hAnsi="Georgia"/>
          <w:sz w:val="20"/>
          <w:szCs w:val="20"/>
        </w:rPr>
        <w:t xml:space="preserve">Vienas iš strateginių dokumentų, tiesiogiai apibrėžiančių daugiabučių modernizavimo tikslus, yra Lietuvos Respublikos Seimo 2012 m. birželio 26 d. nutarimu Nr. XI-2133 patvirtinta Nacionalinė </w:t>
      </w:r>
      <w:r w:rsidRPr="00837558">
        <w:rPr>
          <w:rFonts w:ascii="Georgia" w:hAnsi="Georgia"/>
          <w:sz w:val="20"/>
          <w:szCs w:val="20"/>
        </w:rPr>
        <w:lastRenderedPageBreak/>
        <w:t>energetinės nepriklausomybės strategija. Vadovaujantis Nacionalinės energetinės nepriklausomybės strategijos nuostatomis, strateginis energetinio efektyvumo tikslas gyvenamųjų ir visuomeninių pastatų sektoriuje iki 2020 m. – sutaupyti 220 ktne energijos modernizuojant ir renovuojant pastatus.</w:t>
      </w:r>
    </w:p>
    <w:p w14:paraId="5CFF676B" w14:textId="77777777" w:rsidR="002838B1" w:rsidRPr="00837558" w:rsidRDefault="002838B1" w:rsidP="002838B1">
      <w:pPr>
        <w:pStyle w:val="prastasis1"/>
        <w:spacing w:line="276" w:lineRule="auto"/>
        <w:jc w:val="both"/>
        <w:rPr>
          <w:rFonts w:ascii="Georgia" w:hAnsi="Georgia"/>
          <w:sz w:val="20"/>
          <w:szCs w:val="20"/>
        </w:rPr>
      </w:pPr>
      <w:r w:rsidRPr="00837558">
        <w:rPr>
          <w:rFonts w:ascii="Georgia" w:hAnsi="Georgia"/>
          <w:sz w:val="20"/>
          <w:szCs w:val="20"/>
        </w:rPr>
        <w:t>Daugiabučių renovavimo procese bus prisidedama prie šių Daugiabučių namų atnaujinimo (modernizavimo) programoje išdėstytų tikslų vykdymo:</w:t>
      </w:r>
    </w:p>
    <w:p w14:paraId="4D2F683C" w14:textId="77777777" w:rsidR="002838B1" w:rsidRPr="00837558" w:rsidRDefault="002838B1" w:rsidP="002A576D">
      <w:pPr>
        <w:pStyle w:val="prastasis1"/>
        <w:numPr>
          <w:ilvl w:val="0"/>
          <w:numId w:val="54"/>
        </w:numPr>
        <w:spacing w:line="276" w:lineRule="auto"/>
        <w:jc w:val="both"/>
        <w:rPr>
          <w:rFonts w:ascii="Georgia" w:hAnsi="Georgia"/>
          <w:sz w:val="20"/>
          <w:szCs w:val="20"/>
        </w:rPr>
      </w:pPr>
      <w:r w:rsidRPr="00837558">
        <w:rPr>
          <w:rFonts w:ascii="Georgia" w:hAnsi="Georgia"/>
          <w:sz w:val="20"/>
          <w:szCs w:val="20"/>
        </w:rPr>
        <w:t>skaičiuojamųjų šiluminės energijos sąnaudų santykinis mažėjimas daugiabučiuose namuose, pastatytuose pagal galiojusius iki 1993 metų statybos techninius normatyvus, palyginti su 2005 metais (GWh per metus), 2020 metais ne mažiau kaip 1000;</w:t>
      </w:r>
    </w:p>
    <w:p w14:paraId="2EBEA302" w14:textId="77777777" w:rsidR="002838B1" w:rsidRPr="00837558" w:rsidRDefault="002838B1" w:rsidP="002A576D">
      <w:pPr>
        <w:pStyle w:val="prastasis1"/>
        <w:numPr>
          <w:ilvl w:val="0"/>
          <w:numId w:val="54"/>
        </w:numPr>
        <w:spacing w:line="276" w:lineRule="auto"/>
        <w:jc w:val="both"/>
        <w:rPr>
          <w:rFonts w:ascii="Georgia" w:hAnsi="Georgia"/>
          <w:sz w:val="20"/>
          <w:szCs w:val="20"/>
        </w:rPr>
      </w:pPr>
      <w:r w:rsidRPr="00837558">
        <w:rPr>
          <w:rFonts w:ascii="Georgia" w:hAnsi="Georgia"/>
          <w:sz w:val="20"/>
          <w:szCs w:val="20"/>
        </w:rPr>
        <w:t>anglies dioksido išmetimo į atmosferą mažėjimas (nuo 2005 metų) (tūkst. tonų per metus) 2020 metais – 230;</w:t>
      </w:r>
    </w:p>
    <w:p w14:paraId="62805C11" w14:textId="77777777" w:rsidR="002838B1" w:rsidRPr="00837558" w:rsidRDefault="002838B1" w:rsidP="002A576D">
      <w:pPr>
        <w:pStyle w:val="prastasis1"/>
        <w:numPr>
          <w:ilvl w:val="0"/>
          <w:numId w:val="54"/>
        </w:numPr>
        <w:spacing w:line="276" w:lineRule="auto"/>
        <w:jc w:val="both"/>
        <w:rPr>
          <w:rFonts w:ascii="Georgia" w:hAnsi="Georgia"/>
          <w:sz w:val="20"/>
          <w:szCs w:val="20"/>
        </w:rPr>
      </w:pPr>
      <w:r w:rsidRPr="00837558">
        <w:rPr>
          <w:rFonts w:ascii="Georgia" w:hAnsi="Georgia"/>
          <w:sz w:val="20"/>
          <w:szCs w:val="20"/>
        </w:rPr>
        <w:t>įgyvendinta daugiabučių namų atnaujinimo (modernizavimo) projektų, finansuojamų pagal Programą ir kitas valstybės remiamas ar savivaldybių patvirtintas programas (nuo 2005 metų) (vienetais) 2020 metais – 4000;</w:t>
      </w:r>
    </w:p>
    <w:p w14:paraId="7158D7EE" w14:textId="77777777" w:rsidR="002838B1" w:rsidRPr="00837558" w:rsidRDefault="002838B1" w:rsidP="002A576D">
      <w:pPr>
        <w:pStyle w:val="prastasis1"/>
        <w:numPr>
          <w:ilvl w:val="0"/>
          <w:numId w:val="54"/>
        </w:numPr>
        <w:spacing w:line="276" w:lineRule="auto"/>
        <w:jc w:val="both"/>
        <w:rPr>
          <w:rFonts w:ascii="Georgia" w:hAnsi="Georgia"/>
          <w:sz w:val="20"/>
          <w:szCs w:val="20"/>
        </w:rPr>
      </w:pPr>
      <w:r w:rsidRPr="00837558">
        <w:rPr>
          <w:rFonts w:ascii="Georgia" w:hAnsi="Georgia"/>
          <w:sz w:val="20"/>
          <w:szCs w:val="20"/>
        </w:rPr>
        <w:t>įgyvendinta energiją taupančių priemonių daugiabučių namų bendrojo naudojimo objektų valdytojų ir gyventojų iniciatyva (vienetais) iki 2020 metų – 10000;</w:t>
      </w:r>
    </w:p>
    <w:p w14:paraId="7860CAE8" w14:textId="77777777" w:rsidR="002838B1" w:rsidRPr="00837558" w:rsidRDefault="002838B1" w:rsidP="002A576D">
      <w:pPr>
        <w:pStyle w:val="prastasis1"/>
        <w:numPr>
          <w:ilvl w:val="0"/>
          <w:numId w:val="54"/>
        </w:numPr>
        <w:spacing w:line="276" w:lineRule="auto"/>
        <w:jc w:val="both"/>
        <w:rPr>
          <w:rFonts w:ascii="Georgia" w:hAnsi="Georgia"/>
          <w:sz w:val="20"/>
          <w:szCs w:val="20"/>
        </w:rPr>
      </w:pPr>
      <w:r w:rsidRPr="00837558">
        <w:rPr>
          <w:rFonts w:ascii="Georgia" w:hAnsi="Georgia"/>
          <w:sz w:val="20"/>
          <w:szCs w:val="20"/>
        </w:rPr>
        <w:t>gyventojų informuotumo gerėjimas (procentais) iki 2020 metų – 90;</w:t>
      </w:r>
    </w:p>
    <w:p w14:paraId="34551374" w14:textId="77777777" w:rsidR="002838B1" w:rsidRPr="00837558" w:rsidRDefault="002838B1" w:rsidP="002A576D">
      <w:pPr>
        <w:pStyle w:val="prastasis1"/>
        <w:numPr>
          <w:ilvl w:val="0"/>
          <w:numId w:val="54"/>
        </w:numPr>
        <w:spacing w:line="276" w:lineRule="auto"/>
        <w:jc w:val="both"/>
        <w:rPr>
          <w:rFonts w:ascii="Georgia" w:hAnsi="Georgia"/>
          <w:sz w:val="20"/>
          <w:szCs w:val="20"/>
        </w:rPr>
      </w:pPr>
      <w:r w:rsidRPr="00837558">
        <w:rPr>
          <w:rFonts w:ascii="Georgia" w:hAnsi="Georgia"/>
          <w:sz w:val="20"/>
          <w:szCs w:val="20"/>
        </w:rPr>
        <w:t>ketinančiųjų dalyvauti įgyvendinant Programą arba savarankiškai diegti energijos taupymo priemones daugėjimas (procentais) iki 2020 metų - 60.</w:t>
      </w:r>
    </w:p>
    <w:p w14:paraId="3ED815A5" w14:textId="77777777" w:rsidR="002838B1" w:rsidRPr="00837558" w:rsidRDefault="002838B1" w:rsidP="002838B1">
      <w:pPr>
        <w:pStyle w:val="prastasis1"/>
        <w:spacing w:line="276" w:lineRule="auto"/>
        <w:jc w:val="both"/>
        <w:rPr>
          <w:rFonts w:ascii="Georgia" w:hAnsi="Georgia"/>
          <w:sz w:val="20"/>
          <w:szCs w:val="20"/>
        </w:rPr>
      </w:pPr>
      <w:r w:rsidRPr="00837558">
        <w:rPr>
          <w:rFonts w:ascii="Georgia" w:hAnsi="Georgia"/>
          <w:sz w:val="20"/>
          <w:szCs w:val="20"/>
        </w:rPr>
        <w:t>Daugiabučių renovavimo procese bus prisidedama prie šių VP (4.3. investicinio prioriteto) išdėstytų tikslų vykdymo:</w:t>
      </w:r>
    </w:p>
    <w:p w14:paraId="02C31FE1" w14:textId="77777777" w:rsidR="002838B1" w:rsidRPr="00837558" w:rsidRDefault="002838B1" w:rsidP="002A576D">
      <w:pPr>
        <w:pStyle w:val="prastasis1"/>
        <w:numPr>
          <w:ilvl w:val="0"/>
          <w:numId w:val="55"/>
        </w:numPr>
        <w:spacing w:line="276" w:lineRule="auto"/>
        <w:jc w:val="both"/>
        <w:rPr>
          <w:rFonts w:ascii="Georgia" w:hAnsi="Georgia"/>
          <w:sz w:val="20"/>
          <w:szCs w:val="20"/>
        </w:rPr>
      </w:pPr>
      <w:r w:rsidRPr="00837558">
        <w:rPr>
          <w:rFonts w:ascii="Georgia" w:hAnsi="Georgia"/>
          <w:sz w:val="20"/>
          <w:szCs w:val="20"/>
        </w:rPr>
        <w:t>Sunaudotas galutinės energijos kiekis paslaugų ir namų ūkių sektoriuose, tūkst. tne, nuo 2109,6 (2011) iki 1680 (2023)</w:t>
      </w:r>
    </w:p>
    <w:p w14:paraId="12AAB26A" w14:textId="77777777" w:rsidR="002838B1" w:rsidRPr="00837558" w:rsidRDefault="002838B1" w:rsidP="002A576D">
      <w:pPr>
        <w:pStyle w:val="prastasis1"/>
        <w:numPr>
          <w:ilvl w:val="0"/>
          <w:numId w:val="55"/>
        </w:numPr>
        <w:spacing w:line="276" w:lineRule="auto"/>
        <w:jc w:val="both"/>
        <w:rPr>
          <w:rFonts w:ascii="Georgia" w:hAnsi="Georgia"/>
          <w:sz w:val="20"/>
          <w:szCs w:val="20"/>
        </w:rPr>
      </w:pPr>
      <w:r w:rsidRPr="00837558">
        <w:rPr>
          <w:rFonts w:ascii="Georgia" w:hAnsi="Georgia"/>
          <w:sz w:val="20"/>
          <w:szCs w:val="20"/>
        </w:rPr>
        <w:t>Galutinės energijos vartojimo efektyvumas, proc, nuo 4,5 (2011) iki 17 (2023)</w:t>
      </w:r>
    </w:p>
    <w:p w14:paraId="398B3E6A" w14:textId="77777777" w:rsidR="002838B1" w:rsidRPr="00837558" w:rsidRDefault="002838B1" w:rsidP="002A576D">
      <w:pPr>
        <w:pStyle w:val="prastasis1"/>
        <w:numPr>
          <w:ilvl w:val="0"/>
          <w:numId w:val="55"/>
        </w:numPr>
        <w:spacing w:line="276" w:lineRule="auto"/>
        <w:jc w:val="both"/>
        <w:rPr>
          <w:rFonts w:ascii="Georgia" w:hAnsi="Georgia"/>
          <w:sz w:val="20"/>
          <w:szCs w:val="20"/>
        </w:rPr>
      </w:pPr>
      <w:r w:rsidRPr="00837558">
        <w:rPr>
          <w:rFonts w:ascii="Georgia" w:hAnsi="Georgia"/>
          <w:sz w:val="20"/>
          <w:szCs w:val="20"/>
        </w:rPr>
        <w:t>Namų ūkių, priskirtų geresnei energijos vartojimo klasei, skaičius, vnt. 30000 (2023)</w:t>
      </w:r>
    </w:p>
    <w:p w14:paraId="2DE631F0" w14:textId="77777777" w:rsidR="002838B1" w:rsidRPr="00837558" w:rsidRDefault="002838B1" w:rsidP="002A576D">
      <w:pPr>
        <w:pStyle w:val="prastasis1"/>
        <w:numPr>
          <w:ilvl w:val="0"/>
          <w:numId w:val="55"/>
        </w:numPr>
        <w:spacing w:line="276" w:lineRule="auto"/>
        <w:jc w:val="both"/>
        <w:rPr>
          <w:rFonts w:ascii="Georgia" w:hAnsi="Georgia"/>
          <w:sz w:val="20"/>
          <w:szCs w:val="20"/>
        </w:rPr>
      </w:pPr>
      <w:r w:rsidRPr="00837558">
        <w:rPr>
          <w:rFonts w:ascii="Georgia" w:hAnsi="Georgia"/>
          <w:sz w:val="20"/>
          <w:szCs w:val="20"/>
        </w:rPr>
        <w:t>Namų ūkių, kuriuose padidintas atsinaujinančių energijos išteklių naudojimo efektyvumas, skaičius, 3 000</w:t>
      </w:r>
    </w:p>
    <w:p w14:paraId="73169E53" w14:textId="77777777" w:rsidR="002838B1" w:rsidRPr="00837558" w:rsidRDefault="002838B1" w:rsidP="002A576D">
      <w:pPr>
        <w:pStyle w:val="prastasis1"/>
        <w:numPr>
          <w:ilvl w:val="0"/>
          <w:numId w:val="55"/>
        </w:numPr>
        <w:spacing w:line="276" w:lineRule="auto"/>
        <w:jc w:val="both"/>
        <w:rPr>
          <w:rFonts w:ascii="Georgia" w:hAnsi="Georgia"/>
          <w:sz w:val="20"/>
          <w:szCs w:val="20"/>
        </w:rPr>
      </w:pPr>
      <w:r w:rsidRPr="00837558">
        <w:rPr>
          <w:rFonts w:ascii="Georgia" w:hAnsi="Georgia"/>
          <w:sz w:val="20"/>
          <w:szCs w:val="20"/>
        </w:rPr>
        <w:t>Šilumos vartotojai, kuriems šiluma tiekiama patikimiau ir pagerėjo tiekimo kokybė, vnt</w:t>
      </w:r>
      <w:r w:rsidR="00AE7E91">
        <w:rPr>
          <w:rFonts w:ascii="Georgia" w:hAnsi="Georgia"/>
          <w:sz w:val="20"/>
          <w:szCs w:val="20"/>
        </w:rPr>
        <w:t>.</w:t>
      </w:r>
      <w:r w:rsidRPr="00837558">
        <w:rPr>
          <w:rFonts w:ascii="Georgia" w:hAnsi="Georgia"/>
          <w:sz w:val="20"/>
          <w:szCs w:val="20"/>
        </w:rPr>
        <w:t>, 660 000</w:t>
      </w:r>
    </w:p>
    <w:p w14:paraId="45C4C3B3" w14:textId="77777777" w:rsidR="002838B1" w:rsidRPr="00837558" w:rsidRDefault="002838B1" w:rsidP="002838B1">
      <w:pPr>
        <w:pStyle w:val="prastasis1"/>
        <w:spacing w:line="276" w:lineRule="auto"/>
        <w:jc w:val="both"/>
        <w:rPr>
          <w:rFonts w:ascii="Georgia" w:hAnsi="Georgia"/>
          <w:sz w:val="20"/>
          <w:szCs w:val="20"/>
        </w:rPr>
      </w:pPr>
      <w:r w:rsidRPr="00837558">
        <w:rPr>
          <w:rFonts w:ascii="Georgia" w:hAnsi="Georgia"/>
          <w:sz w:val="20"/>
          <w:szCs w:val="20"/>
        </w:rPr>
        <w:t>Daugiabučių renovavimo procese bus prisidedama prie šių Nacionalinėje pažangos programoje išdėstytų tikslų vykdymo:</w:t>
      </w:r>
    </w:p>
    <w:p w14:paraId="28947316" w14:textId="77777777" w:rsidR="002838B1" w:rsidRPr="00837558" w:rsidRDefault="002838B1" w:rsidP="002A576D">
      <w:pPr>
        <w:pStyle w:val="prastasis1"/>
        <w:numPr>
          <w:ilvl w:val="0"/>
          <w:numId w:val="55"/>
        </w:numPr>
        <w:spacing w:line="276" w:lineRule="auto"/>
        <w:jc w:val="both"/>
        <w:rPr>
          <w:rFonts w:ascii="Georgia" w:hAnsi="Georgia"/>
          <w:sz w:val="20"/>
          <w:szCs w:val="20"/>
        </w:rPr>
      </w:pPr>
      <w:r w:rsidRPr="00837558">
        <w:rPr>
          <w:rFonts w:ascii="Georgia" w:hAnsi="Georgia"/>
          <w:sz w:val="20"/>
          <w:szCs w:val="20"/>
        </w:rPr>
        <w:t>Išmetamų į atmosferą šiltnamio efektą sukeliančių dujų kiekis CO2 ekvivalentu, mln. Tonų, nuo 19,959 (2009) iki 26,886 (2020 metais)</w:t>
      </w:r>
    </w:p>
    <w:p w14:paraId="620FCA4A" w14:textId="77777777" w:rsidR="002838B1" w:rsidRPr="00837558" w:rsidRDefault="002838B1" w:rsidP="002A576D">
      <w:pPr>
        <w:pStyle w:val="prastasis1"/>
        <w:numPr>
          <w:ilvl w:val="0"/>
          <w:numId w:val="55"/>
        </w:numPr>
        <w:spacing w:line="276" w:lineRule="auto"/>
        <w:jc w:val="both"/>
        <w:rPr>
          <w:rFonts w:ascii="Georgia" w:hAnsi="Georgia"/>
          <w:sz w:val="20"/>
          <w:szCs w:val="20"/>
        </w:rPr>
      </w:pPr>
      <w:r w:rsidRPr="00837558">
        <w:rPr>
          <w:rFonts w:ascii="Georgia" w:hAnsi="Georgia"/>
          <w:sz w:val="20"/>
          <w:szCs w:val="20"/>
        </w:rPr>
        <w:t>Galutinės energijos vartojimo efektyvumo padidėjimas (palyginti su 2009 metų lygiu), procentais, nuo 3 (2010) iki 17 (2020 metais)</w:t>
      </w:r>
    </w:p>
    <w:p w14:paraId="12D054AC" w14:textId="77777777" w:rsidR="002838B1" w:rsidRPr="00837558" w:rsidRDefault="002838B1" w:rsidP="002A576D">
      <w:pPr>
        <w:pStyle w:val="prastasis1"/>
        <w:numPr>
          <w:ilvl w:val="0"/>
          <w:numId w:val="55"/>
        </w:numPr>
        <w:spacing w:line="276" w:lineRule="auto"/>
        <w:jc w:val="both"/>
        <w:rPr>
          <w:rFonts w:ascii="Georgia" w:hAnsi="Georgia"/>
          <w:sz w:val="20"/>
          <w:szCs w:val="20"/>
        </w:rPr>
      </w:pPr>
      <w:r w:rsidRPr="00837558">
        <w:rPr>
          <w:rFonts w:ascii="Georgia" w:hAnsi="Georgia"/>
          <w:sz w:val="20"/>
          <w:szCs w:val="20"/>
        </w:rPr>
        <w:t>Energijos suvartojimo intensyvumas, kg naftos ekvivalento vienam realiam BVP vienetui, nuo 311 (2011) iki 230 (2020 metais)</w:t>
      </w:r>
    </w:p>
    <w:p w14:paraId="5D4D1184" w14:textId="77777777" w:rsidR="002838B1" w:rsidRPr="00837558" w:rsidRDefault="002838B1" w:rsidP="002838B1">
      <w:pPr>
        <w:pStyle w:val="prastasis1"/>
        <w:spacing w:line="276" w:lineRule="auto"/>
        <w:jc w:val="both"/>
        <w:rPr>
          <w:rFonts w:ascii="Georgia" w:hAnsi="Georgia"/>
          <w:sz w:val="20"/>
          <w:szCs w:val="20"/>
        </w:rPr>
      </w:pPr>
      <w:r w:rsidRPr="00837558">
        <w:rPr>
          <w:rFonts w:ascii="Georgia" w:hAnsi="Georgia"/>
          <w:sz w:val="20"/>
          <w:szCs w:val="20"/>
        </w:rPr>
        <w:t>Pasirinkus rekomenduojamą daugiabučių renovacijos scenarijų planuojami energijos sutaupymai ir taršos mažinimo rodikliai pateikti žemiau esančioje lentelėje.</w:t>
      </w:r>
    </w:p>
    <w:p w14:paraId="70A5D648" w14:textId="7E45436B" w:rsidR="002838B1" w:rsidRPr="00837558" w:rsidRDefault="002838B1" w:rsidP="002838B1">
      <w:pPr>
        <w:pStyle w:val="Antrat"/>
        <w:jc w:val="both"/>
        <w:rPr>
          <w:szCs w:val="20"/>
          <w:lang w:val="lt-LT"/>
        </w:rPr>
      </w:pPr>
      <w:bookmarkStart w:id="365" w:name="_Toc460321738"/>
      <w:r w:rsidRPr="00837558">
        <w:rPr>
          <w:lang w:val="lt-LT"/>
        </w:rPr>
        <w:lastRenderedPageBreak/>
        <w:t xml:space="preserve">Lentelė </w:t>
      </w:r>
      <w:r w:rsidRPr="00837558">
        <w:rPr>
          <w:lang w:val="lt-LT"/>
        </w:rPr>
        <w:fldChar w:fldCharType="begin"/>
      </w:r>
      <w:r w:rsidRPr="00837558">
        <w:rPr>
          <w:lang w:val="lt-LT"/>
        </w:rPr>
        <w:instrText xml:space="preserve"> SEQ Lentelė \* ARABIC </w:instrText>
      </w:r>
      <w:r w:rsidRPr="00837558">
        <w:rPr>
          <w:lang w:val="lt-LT"/>
        </w:rPr>
        <w:fldChar w:fldCharType="separate"/>
      </w:r>
      <w:r w:rsidR="00AA3082">
        <w:rPr>
          <w:noProof/>
          <w:lang w:val="lt-LT"/>
        </w:rPr>
        <w:t>157</w:t>
      </w:r>
      <w:r w:rsidRPr="00837558">
        <w:rPr>
          <w:lang w:val="lt-LT"/>
        </w:rPr>
        <w:fldChar w:fldCharType="end"/>
      </w:r>
      <w:r w:rsidRPr="00837558">
        <w:rPr>
          <w:lang w:val="lt-LT"/>
        </w:rPr>
        <w:t xml:space="preserve">. </w:t>
      </w:r>
      <w:r w:rsidRPr="00837558">
        <w:rPr>
          <w:szCs w:val="20"/>
          <w:lang w:val="lt-LT"/>
        </w:rPr>
        <w:t>Tikėtini daugiabučių renovacijos</w:t>
      </w:r>
      <w:r w:rsidRPr="00837558">
        <w:rPr>
          <w:rFonts w:eastAsia="Times New Roman"/>
          <w:szCs w:val="20"/>
          <w:lang w:val="lt-LT" w:eastAsia="lt-LT"/>
        </w:rPr>
        <w:t xml:space="preserve"> </w:t>
      </w:r>
      <w:r w:rsidRPr="00837558">
        <w:rPr>
          <w:szCs w:val="20"/>
          <w:lang w:val="lt-LT"/>
        </w:rPr>
        <w:t>energijos sutaupymo ir taršos mažinimo rezultatai.</w:t>
      </w:r>
      <w:bookmarkEnd w:id="365"/>
    </w:p>
    <w:tbl>
      <w:tblPr>
        <w:tblStyle w:val="viesussraas2parykinimas"/>
        <w:tblW w:w="5000" w:type="pct"/>
        <w:tblLook w:val="04A0" w:firstRow="1" w:lastRow="0" w:firstColumn="1" w:lastColumn="0" w:noHBand="0" w:noVBand="1"/>
      </w:tblPr>
      <w:tblGrid>
        <w:gridCol w:w="5057"/>
        <w:gridCol w:w="2165"/>
        <w:gridCol w:w="2021"/>
      </w:tblGrid>
      <w:tr w:rsidR="00AE7E91" w:rsidRPr="00AE7E91" w14:paraId="0826C41D" w14:textId="77777777" w:rsidTr="00AE7E91">
        <w:trPr>
          <w:cnfStyle w:val="100000000000" w:firstRow="1" w:lastRow="0" w:firstColumn="0" w:lastColumn="0" w:oddVBand="0" w:evenVBand="0" w:oddHBand="0" w:evenHBand="0" w:firstRowFirstColumn="0" w:firstRowLastColumn="0" w:lastRowFirstColumn="0" w:lastRowLastColumn="0"/>
          <w:trHeight w:val="615"/>
          <w:tblHeader/>
        </w:trPr>
        <w:tc>
          <w:tcPr>
            <w:cnfStyle w:val="001000000000" w:firstRow="0" w:lastRow="0" w:firstColumn="1" w:lastColumn="0" w:oddVBand="0" w:evenVBand="0" w:oddHBand="0" w:evenHBand="0" w:firstRowFirstColumn="0" w:firstRowLastColumn="0" w:lastRowFirstColumn="0" w:lastRowLastColumn="0"/>
            <w:tcW w:w="2736" w:type="pct"/>
            <w:hideMark/>
          </w:tcPr>
          <w:p w14:paraId="251A867D" w14:textId="77777777" w:rsidR="002838B1" w:rsidRPr="00AE7E91" w:rsidRDefault="002838B1" w:rsidP="002838B1">
            <w:pPr>
              <w:jc w:val="center"/>
              <w:rPr>
                <w:rFonts w:ascii="Georgia" w:eastAsia="Times New Roman" w:hAnsi="Georgia" w:cs="Arial"/>
                <w:sz w:val="20"/>
                <w:lang w:eastAsia="lt-LT"/>
              </w:rPr>
            </w:pPr>
            <w:r w:rsidRPr="00AE7E91">
              <w:rPr>
                <w:rFonts w:ascii="Georgia" w:eastAsia="Times New Roman" w:hAnsi="Georgia" w:cs="Arial"/>
                <w:sz w:val="20"/>
                <w:lang w:eastAsia="lt-LT"/>
              </w:rPr>
              <w:t>Rodiklis</w:t>
            </w:r>
          </w:p>
        </w:tc>
        <w:tc>
          <w:tcPr>
            <w:tcW w:w="1171" w:type="pct"/>
            <w:hideMark/>
          </w:tcPr>
          <w:p w14:paraId="05A6267B" w14:textId="77777777" w:rsidR="002838B1" w:rsidRPr="00AE7E91" w:rsidRDefault="002838B1" w:rsidP="002838B1">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sz w:val="20"/>
                <w:lang w:eastAsia="lt-LT"/>
              </w:rPr>
            </w:pPr>
            <w:r w:rsidRPr="00AE7E91">
              <w:rPr>
                <w:rFonts w:ascii="Georgia" w:eastAsia="Times New Roman" w:hAnsi="Georgia" w:cs="Arial"/>
                <w:sz w:val="20"/>
                <w:lang w:eastAsia="lt-LT"/>
              </w:rPr>
              <w:t>Mato vnt.</w:t>
            </w:r>
          </w:p>
        </w:tc>
        <w:tc>
          <w:tcPr>
            <w:tcW w:w="1093" w:type="pct"/>
            <w:hideMark/>
          </w:tcPr>
          <w:p w14:paraId="521EF195" w14:textId="77777777" w:rsidR="002838B1" w:rsidRPr="00AE7E91" w:rsidRDefault="002838B1" w:rsidP="002838B1">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sz w:val="20"/>
                <w:lang w:eastAsia="lt-LT"/>
              </w:rPr>
            </w:pPr>
            <w:r w:rsidRPr="00AE7E91">
              <w:rPr>
                <w:rFonts w:ascii="Georgia" w:eastAsia="Times New Roman" w:hAnsi="Georgia" w:cs="Arial"/>
                <w:sz w:val="20"/>
                <w:lang w:eastAsia="lt-LT"/>
              </w:rPr>
              <w:t>Sutaupymas</w:t>
            </w:r>
            <w:r w:rsidRPr="00AE7E91">
              <w:rPr>
                <w:rStyle w:val="Puslapioinaosnuoroda"/>
                <w:rFonts w:ascii="Georgia" w:eastAsia="Times New Roman" w:hAnsi="Georgia" w:cs="Arial"/>
                <w:sz w:val="20"/>
                <w:lang w:eastAsia="lt-LT"/>
              </w:rPr>
              <w:footnoteReference w:id="164"/>
            </w:r>
          </w:p>
        </w:tc>
      </w:tr>
      <w:tr w:rsidR="002838B1" w:rsidRPr="007B3C20" w14:paraId="20D35E30" w14:textId="77777777" w:rsidTr="00AE7E91">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736" w:type="pct"/>
            <w:hideMark/>
          </w:tcPr>
          <w:p w14:paraId="523E3DFD" w14:textId="77777777" w:rsidR="002838B1" w:rsidRPr="007B3C20" w:rsidRDefault="002838B1" w:rsidP="002838B1">
            <w:pPr>
              <w:rPr>
                <w:rFonts w:ascii="Georgia" w:eastAsia="Times New Roman" w:hAnsi="Georgia" w:cs="Arial"/>
                <w:color w:val="000000"/>
                <w:sz w:val="20"/>
                <w:lang w:eastAsia="lt-LT"/>
              </w:rPr>
            </w:pPr>
            <w:r w:rsidRPr="007B3C20">
              <w:rPr>
                <w:rFonts w:ascii="Georgia" w:eastAsia="Times New Roman" w:hAnsi="Georgia" w:cs="Arial"/>
                <w:color w:val="000000"/>
                <w:sz w:val="20"/>
                <w:lang w:eastAsia="lt-LT"/>
              </w:rPr>
              <w:t>a) Sutaupytos energijos kiekis (neįskaitant 2020 m.)</w:t>
            </w:r>
          </w:p>
        </w:tc>
        <w:tc>
          <w:tcPr>
            <w:tcW w:w="1171" w:type="pct"/>
            <w:noWrap/>
            <w:hideMark/>
          </w:tcPr>
          <w:p w14:paraId="38DCE841" w14:textId="77777777" w:rsidR="002838B1" w:rsidRPr="007B3C20" w:rsidRDefault="002838B1" w:rsidP="002838B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MWh</w:t>
            </w:r>
          </w:p>
        </w:tc>
        <w:tc>
          <w:tcPr>
            <w:tcW w:w="1093" w:type="pct"/>
            <w:noWrap/>
            <w:hideMark/>
          </w:tcPr>
          <w:p w14:paraId="0DC6DB2F" w14:textId="77777777" w:rsidR="002838B1" w:rsidRPr="007B3C20" w:rsidRDefault="002838B1" w:rsidP="002838B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 xml:space="preserve">            431,789   </w:t>
            </w:r>
          </w:p>
        </w:tc>
      </w:tr>
      <w:tr w:rsidR="002838B1" w:rsidRPr="007B3C20" w14:paraId="60A51DBA" w14:textId="77777777" w:rsidTr="00AE7E91">
        <w:trPr>
          <w:trHeight w:val="615"/>
        </w:trPr>
        <w:tc>
          <w:tcPr>
            <w:cnfStyle w:val="001000000000" w:firstRow="0" w:lastRow="0" w:firstColumn="1" w:lastColumn="0" w:oddVBand="0" w:evenVBand="0" w:oddHBand="0" w:evenHBand="0" w:firstRowFirstColumn="0" w:firstRowLastColumn="0" w:lastRowFirstColumn="0" w:lastRowLastColumn="0"/>
            <w:tcW w:w="2736" w:type="pct"/>
            <w:hideMark/>
          </w:tcPr>
          <w:p w14:paraId="67D10F2F" w14:textId="77777777" w:rsidR="002838B1" w:rsidRPr="007B3C20" w:rsidRDefault="002838B1" w:rsidP="002838B1">
            <w:pPr>
              <w:rPr>
                <w:rFonts w:ascii="Georgia" w:eastAsia="Times New Roman" w:hAnsi="Georgia" w:cs="Arial"/>
                <w:color w:val="000000"/>
                <w:sz w:val="20"/>
                <w:lang w:eastAsia="lt-LT"/>
              </w:rPr>
            </w:pPr>
            <w:r w:rsidRPr="007B3C20">
              <w:rPr>
                <w:rFonts w:ascii="Georgia" w:eastAsia="Times New Roman" w:hAnsi="Georgia" w:cs="Arial"/>
                <w:color w:val="000000"/>
                <w:sz w:val="20"/>
                <w:lang w:eastAsia="lt-LT"/>
              </w:rPr>
              <w:t>b) Sutaupytos energijos kiekis (įskaitant 2020 m.)</w:t>
            </w:r>
          </w:p>
        </w:tc>
        <w:tc>
          <w:tcPr>
            <w:tcW w:w="1171" w:type="pct"/>
            <w:noWrap/>
            <w:hideMark/>
          </w:tcPr>
          <w:p w14:paraId="5A405D4F" w14:textId="77777777" w:rsidR="002838B1" w:rsidRPr="007B3C20" w:rsidRDefault="002838B1" w:rsidP="002838B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MWh</w:t>
            </w:r>
          </w:p>
        </w:tc>
        <w:tc>
          <w:tcPr>
            <w:tcW w:w="1093" w:type="pct"/>
            <w:noWrap/>
            <w:hideMark/>
          </w:tcPr>
          <w:p w14:paraId="7248745E" w14:textId="77777777" w:rsidR="002838B1" w:rsidRPr="007B3C20" w:rsidRDefault="002838B1" w:rsidP="002838B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 xml:space="preserve">            672,458    </w:t>
            </w:r>
          </w:p>
        </w:tc>
      </w:tr>
      <w:tr w:rsidR="002838B1" w:rsidRPr="007B3C20" w14:paraId="093E1980" w14:textId="77777777" w:rsidTr="00AE7E91">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736" w:type="pct"/>
            <w:hideMark/>
          </w:tcPr>
          <w:p w14:paraId="397251D8" w14:textId="77777777" w:rsidR="002838B1" w:rsidRPr="007B3C20" w:rsidRDefault="002838B1" w:rsidP="002838B1">
            <w:pPr>
              <w:rPr>
                <w:rFonts w:ascii="Georgia" w:eastAsia="Times New Roman" w:hAnsi="Georgia" w:cs="Arial"/>
                <w:color w:val="000000"/>
                <w:sz w:val="20"/>
                <w:lang w:eastAsia="lt-LT"/>
              </w:rPr>
            </w:pPr>
            <w:r w:rsidRPr="007B3C20">
              <w:rPr>
                <w:rFonts w:ascii="Georgia" w:eastAsia="Times New Roman" w:hAnsi="Georgia" w:cs="Arial"/>
                <w:color w:val="000000"/>
                <w:sz w:val="20"/>
                <w:lang w:eastAsia="lt-LT"/>
              </w:rPr>
              <w:t>a) Bendras išmetamųjų ŠESD kiekio sumažinimas (neįskaitant 2020 m.)</w:t>
            </w:r>
          </w:p>
        </w:tc>
        <w:tc>
          <w:tcPr>
            <w:tcW w:w="1171" w:type="pct"/>
            <w:noWrap/>
            <w:hideMark/>
          </w:tcPr>
          <w:p w14:paraId="71BAAD2C" w14:textId="77777777" w:rsidR="002838B1" w:rsidRPr="007B3C20" w:rsidRDefault="002838B1" w:rsidP="002838B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t CO2 ekv</w:t>
            </w:r>
          </w:p>
        </w:tc>
        <w:tc>
          <w:tcPr>
            <w:tcW w:w="1093" w:type="pct"/>
            <w:noWrap/>
            <w:hideMark/>
          </w:tcPr>
          <w:p w14:paraId="21926BCB" w14:textId="77777777" w:rsidR="002838B1" w:rsidRPr="007B3C20" w:rsidRDefault="002838B1" w:rsidP="002838B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 xml:space="preserve">               96,289    </w:t>
            </w:r>
          </w:p>
        </w:tc>
      </w:tr>
      <w:tr w:rsidR="002838B1" w:rsidRPr="007B3C20" w14:paraId="458C048C" w14:textId="77777777" w:rsidTr="00AE7E91">
        <w:trPr>
          <w:trHeight w:val="615"/>
        </w:trPr>
        <w:tc>
          <w:tcPr>
            <w:cnfStyle w:val="001000000000" w:firstRow="0" w:lastRow="0" w:firstColumn="1" w:lastColumn="0" w:oddVBand="0" w:evenVBand="0" w:oddHBand="0" w:evenHBand="0" w:firstRowFirstColumn="0" w:firstRowLastColumn="0" w:lastRowFirstColumn="0" w:lastRowLastColumn="0"/>
            <w:tcW w:w="2736" w:type="pct"/>
            <w:hideMark/>
          </w:tcPr>
          <w:p w14:paraId="2E64F34E" w14:textId="77777777" w:rsidR="002838B1" w:rsidRPr="007B3C20" w:rsidRDefault="002838B1" w:rsidP="002838B1">
            <w:pPr>
              <w:rPr>
                <w:rFonts w:ascii="Georgia" w:eastAsia="Times New Roman" w:hAnsi="Georgia" w:cs="Arial"/>
                <w:color w:val="000000"/>
                <w:sz w:val="20"/>
                <w:lang w:eastAsia="lt-LT"/>
              </w:rPr>
            </w:pPr>
            <w:r w:rsidRPr="007B3C20">
              <w:rPr>
                <w:rFonts w:ascii="Georgia" w:eastAsia="Times New Roman" w:hAnsi="Georgia" w:cs="Arial"/>
                <w:color w:val="000000"/>
                <w:sz w:val="20"/>
                <w:lang w:eastAsia="lt-LT"/>
              </w:rPr>
              <w:t>b) Bendras išmetamųjų ŠESD kiekio sumažinimas (įskaitant 2020 m.)</w:t>
            </w:r>
          </w:p>
        </w:tc>
        <w:tc>
          <w:tcPr>
            <w:tcW w:w="1171" w:type="pct"/>
            <w:noWrap/>
            <w:hideMark/>
          </w:tcPr>
          <w:p w14:paraId="71D6CCD4" w14:textId="77777777" w:rsidR="002838B1" w:rsidRPr="007B3C20" w:rsidRDefault="002838B1" w:rsidP="002838B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t CO2 ekv</w:t>
            </w:r>
          </w:p>
        </w:tc>
        <w:tc>
          <w:tcPr>
            <w:tcW w:w="1093" w:type="pct"/>
            <w:noWrap/>
            <w:hideMark/>
          </w:tcPr>
          <w:p w14:paraId="587CC485" w14:textId="77777777" w:rsidR="002838B1" w:rsidRPr="007B3C20" w:rsidRDefault="002838B1" w:rsidP="002838B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 xml:space="preserve">            149,958   </w:t>
            </w:r>
          </w:p>
        </w:tc>
      </w:tr>
    </w:tbl>
    <w:p w14:paraId="27974DB8" w14:textId="77777777" w:rsidR="002838B1" w:rsidRDefault="002838B1">
      <w:pPr>
        <w:rPr>
          <w:lang w:val="lt-LT"/>
        </w:rPr>
      </w:pPr>
    </w:p>
    <w:p w14:paraId="728D6408" w14:textId="77777777" w:rsidR="00151543" w:rsidRPr="00DF3A8E" w:rsidRDefault="00151543" w:rsidP="00C03122">
      <w:pPr>
        <w:pStyle w:val="Antrat2"/>
        <w:numPr>
          <w:ilvl w:val="2"/>
          <w:numId w:val="36"/>
        </w:numPr>
        <w:spacing w:after="240"/>
        <w:rPr>
          <w:lang w:val="lt-LT"/>
        </w:rPr>
      </w:pPr>
      <w:bookmarkStart w:id="366" w:name="_Toc417378443"/>
      <w:r w:rsidRPr="00DF3A8E">
        <w:rPr>
          <w:lang w:val="lt-LT"/>
        </w:rPr>
        <w:t>Stebėsenos sistemos apibrėžimas</w:t>
      </w:r>
      <w:bookmarkEnd w:id="364"/>
      <w:bookmarkEnd w:id="366"/>
    </w:p>
    <w:p w14:paraId="35437F18" w14:textId="77777777" w:rsidR="009A1904" w:rsidRDefault="009A1904" w:rsidP="009A1904">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Siekiant užtikrinti, kad visi energijos efektyvumo tikslai yra pasiekiami, o finansinė priemonė įgyvendinama efektyviai, be to, lėšos naudojamos pagal patikimus finansų principus, yra tinkamai reaguojama į rinkos pokyčius ar kitus didelę įtaką darančius veiksnius, lemiančius rezultatų pasiekimą, yra būtina apibrėžti tinkamą stebėsenos sistemą finansinės priemonės įgyvendinimui. </w:t>
      </w:r>
    </w:p>
    <w:p w14:paraId="796F7CAE" w14:textId="77777777" w:rsidR="009A1904" w:rsidRDefault="009A1904" w:rsidP="009A1904">
      <w:pPr>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Pagrindiniai stebėsenos sistemos elementai yra šie:</w:t>
      </w:r>
    </w:p>
    <w:p w14:paraId="450F0B8F" w14:textId="77777777" w:rsidR="009A1904" w:rsidRDefault="009A1904" w:rsidP="009A1904">
      <w:pPr>
        <w:rPr>
          <w:rFonts w:ascii="Georgia" w:eastAsia="Times New Roman" w:hAnsi="Georgia" w:cs="Times New Roman"/>
          <w:sz w:val="20"/>
          <w:szCs w:val="20"/>
          <w:lang w:val="lt-LT" w:eastAsia="lt-LT"/>
        </w:rPr>
      </w:pPr>
      <w:r w:rsidRPr="00CE1699">
        <w:rPr>
          <w:rFonts w:ascii="Georgia" w:eastAsia="Times New Roman" w:hAnsi="Georgia" w:cs="Times New Roman"/>
          <w:noProof/>
          <w:sz w:val="20"/>
          <w:szCs w:val="20"/>
          <w:lang w:val="lt-LT" w:eastAsia="lt-LT"/>
        </w:rPr>
        <mc:AlternateContent>
          <mc:Choice Requires="wpg">
            <w:drawing>
              <wp:inline distT="0" distB="0" distL="0" distR="0" wp14:anchorId="083C6D62" wp14:editId="113D00F3">
                <wp:extent cx="6129960" cy="914400"/>
                <wp:effectExtent l="0" t="0" r="23495" b="19050"/>
                <wp:docPr id="265" name="Group 265"/>
                <wp:cNvGraphicFramePr/>
                <a:graphic xmlns:a="http://schemas.openxmlformats.org/drawingml/2006/main">
                  <a:graphicData uri="http://schemas.microsoft.com/office/word/2010/wordprocessingGroup">
                    <wpg:wgp>
                      <wpg:cNvGrpSpPr/>
                      <wpg:grpSpPr>
                        <a:xfrm>
                          <a:off x="0" y="0"/>
                          <a:ext cx="6129960" cy="914400"/>
                          <a:chOff x="0" y="0"/>
                          <a:chExt cx="6129960" cy="914400"/>
                        </a:xfrm>
                      </wpg:grpSpPr>
                      <wps:wsp>
                        <wps:cNvPr id="266" name="Text Box 266"/>
                        <wps:cNvSpPr txBox="1"/>
                        <wps:spPr>
                          <a:xfrm>
                            <a:off x="4198925" y="102413"/>
                            <a:ext cx="1931035" cy="746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18B1CB" w14:textId="77777777" w:rsidR="00A65A8D" w:rsidRPr="00480762" w:rsidRDefault="00A65A8D" w:rsidP="002A576D">
                              <w:pPr>
                                <w:pStyle w:val="Sraopastraipa"/>
                                <w:numPr>
                                  <w:ilvl w:val="0"/>
                                  <w:numId w:val="70"/>
                                </w:numPr>
                                <w:rPr>
                                  <w:rFonts w:ascii="Georgia" w:hAnsi="Georgia"/>
                                  <w:sz w:val="20"/>
                                </w:rPr>
                              </w:pPr>
                              <w:r w:rsidRPr="00480762">
                                <w:rPr>
                                  <w:rFonts w:ascii="Georgia" w:hAnsi="Georgia"/>
                                  <w:sz w:val="20"/>
                                  <w:lang w:val="lt-LT"/>
                                </w:rPr>
                                <w:t>Ataskaitos</w:t>
                              </w:r>
                            </w:p>
                            <w:p w14:paraId="4A697583" w14:textId="77777777" w:rsidR="00A65A8D" w:rsidRPr="00480762" w:rsidRDefault="00A65A8D" w:rsidP="002A576D">
                              <w:pPr>
                                <w:pStyle w:val="Sraopastraipa"/>
                                <w:numPr>
                                  <w:ilvl w:val="0"/>
                                  <w:numId w:val="70"/>
                                </w:numPr>
                                <w:rPr>
                                  <w:rFonts w:ascii="Georgia" w:hAnsi="Georgia"/>
                                  <w:sz w:val="20"/>
                                </w:rPr>
                              </w:pPr>
                              <w:r w:rsidRPr="00480762">
                                <w:rPr>
                                  <w:rFonts w:ascii="Georgia" w:hAnsi="Georgia"/>
                                  <w:sz w:val="20"/>
                                  <w:lang w:val="lt-LT"/>
                                </w:rPr>
                                <w:t>Komunikacija</w:t>
                              </w:r>
                            </w:p>
                            <w:p w14:paraId="4ACE0858" w14:textId="77777777" w:rsidR="00A65A8D" w:rsidRPr="00480762" w:rsidRDefault="00A65A8D" w:rsidP="002A576D">
                              <w:pPr>
                                <w:pStyle w:val="Sraopastraipa"/>
                                <w:numPr>
                                  <w:ilvl w:val="0"/>
                                  <w:numId w:val="70"/>
                                </w:numPr>
                                <w:rPr>
                                  <w:rFonts w:ascii="Georgia" w:hAnsi="Georgia"/>
                                  <w:sz w:val="20"/>
                                </w:rPr>
                              </w:pPr>
                              <w:r w:rsidRPr="00480762">
                                <w:rPr>
                                  <w:rFonts w:ascii="Georgia" w:hAnsi="Georgia"/>
                                  <w:sz w:val="20"/>
                                  <w:lang w:val="lt-LT"/>
                                </w:rPr>
                                <w:t>Veiksmai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Text Box 267"/>
                        <wps:cNvSpPr txBox="1"/>
                        <wps:spPr>
                          <a:xfrm>
                            <a:off x="0" y="117043"/>
                            <a:ext cx="2332965" cy="680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BAB9DC" w14:textId="77777777" w:rsidR="00A65A8D" w:rsidRPr="00480762" w:rsidRDefault="00A65A8D" w:rsidP="002A576D">
                              <w:pPr>
                                <w:pStyle w:val="Sraopastraipa"/>
                                <w:numPr>
                                  <w:ilvl w:val="0"/>
                                  <w:numId w:val="70"/>
                                </w:numPr>
                                <w:rPr>
                                  <w:rFonts w:ascii="Georgia" w:hAnsi="Georgia"/>
                                  <w:sz w:val="20"/>
                                </w:rPr>
                              </w:pPr>
                              <w:r w:rsidRPr="00480762">
                                <w:rPr>
                                  <w:rFonts w:ascii="Georgia" w:hAnsi="Georgia"/>
                                  <w:sz w:val="20"/>
                                  <w:lang w:val="lt-LT"/>
                                </w:rPr>
                                <w:t>Rodiklių matavimas</w:t>
                              </w:r>
                            </w:p>
                            <w:p w14:paraId="7C78E9FC" w14:textId="77777777" w:rsidR="00A65A8D" w:rsidRPr="00480762" w:rsidRDefault="00A65A8D" w:rsidP="002A576D">
                              <w:pPr>
                                <w:pStyle w:val="Sraopastraipa"/>
                                <w:numPr>
                                  <w:ilvl w:val="0"/>
                                  <w:numId w:val="70"/>
                                </w:numPr>
                                <w:rPr>
                                  <w:rFonts w:ascii="Georgia" w:hAnsi="Georgia"/>
                                  <w:sz w:val="20"/>
                                </w:rPr>
                              </w:pPr>
                              <w:r w:rsidRPr="00480762">
                                <w:rPr>
                                  <w:rFonts w:ascii="Georgia" w:hAnsi="Georgia"/>
                                  <w:sz w:val="20"/>
                                  <w:lang w:val="lt-LT"/>
                                </w:rPr>
                                <w:t>Kita informacija ir duomenys</w:t>
                              </w:r>
                            </w:p>
                            <w:p w14:paraId="45B56A2C" w14:textId="77777777" w:rsidR="00A65A8D" w:rsidRPr="00480762" w:rsidRDefault="00A65A8D" w:rsidP="002A576D">
                              <w:pPr>
                                <w:pStyle w:val="Sraopastraipa"/>
                                <w:numPr>
                                  <w:ilvl w:val="0"/>
                                  <w:numId w:val="70"/>
                                </w:numPr>
                                <w:rPr>
                                  <w:rFonts w:ascii="Georgia" w:hAnsi="Georgia"/>
                                  <w:sz w:val="20"/>
                                </w:rPr>
                              </w:pPr>
                              <w:r w:rsidRPr="00480762">
                                <w:rPr>
                                  <w:rFonts w:ascii="Georgia" w:hAnsi="Georgia"/>
                                  <w:sz w:val="20"/>
                                  <w:lang w:val="lt-LT"/>
                                </w:rPr>
                                <w:t>Vertinimo ataskaitos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Right Arrow 268"/>
                        <wps:cNvSpPr/>
                        <wps:spPr>
                          <a:xfrm>
                            <a:off x="2282343" y="285293"/>
                            <a:ext cx="2025904" cy="416966"/>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Text Box 269"/>
                        <wps:cNvSpPr txBox="1"/>
                        <wps:spPr>
                          <a:xfrm>
                            <a:off x="2582266" y="0"/>
                            <a:ext cx="1353312" cy="914400"/>
                          </a:xfrm>
                          <a:prstGeom prst="rect">
                            <a:avLst/>
                          </a:prstGeom>
                          <a:solidFill>
                            <a:srgbClr val="FFD03B"/>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19274A" w14:textId="77777777" w:rsidR="00A65A8D" w:rsidRPr="00480762" w:rsidRDefault="00A65A8D" w:rsidP="009A1904">
                              <w:pPr>
                                <w:jc w:val="center"/>
                                <w:rPr>
                                  <w:rFonts w:ascii="Georgia" w:hAnsi="Georgia"/>
                                  <w:b/>
                                  <w:lang w:val="lt-LT"/>
                                </w:rPr>
                              </w:pPr>
                              <w:r w:rsidRPr="00480762">
                                <w:rPr>
                                  <w:rFonts w:ascii="Georgia" w:hAnsi="Georgia"/>
                                  <w:b/>
                                  <w:lang w:val="lt-LT"/>
                                </w:rPr>
                                <w:t>ANALIZĖ</w:t>
                              </w:r>
                            </w:p>
                            <w:p w14:paraId="5E050EFC" w14:textId="77777777" w:rsidR="00A65A8D" w:rsidRPr="00480762" w:rsidRDefault="00A65A8D" w:rsidP="009A1904">
                              <w:pPr>
                                <w:jc w:val="center"/>
                                <w:rPr>
                                  <w:rFonts w:ascii="Georgia" w:hAnsi="Georgia"/>
                                  <w:b/>
                                  <w:lang w:val="lt-LT"/>
                                </w:rPr>
                              </w:pPr>
                              <w:r w:rsidRPr="00480762">
                                <w:rPr>
                                  <w:rFonts w:ascii="Georgia" w:hAnsi="Georgia"/>
                                  <w:b/>
                                  <w:lang w:val="lt-LT"/>
                                </w:rPr>
                                <w:t>SPRENDIMŲ PRIĖMIMAS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65" o:spid="_x0000_s1139" style="width:482.65pt;height:1in;mso-position-horizontal-relative:char;mso-position-vertical-relative:line" coordsize="6129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">
                <v:shape id="Text Box 266" o:spid="_x0000_s1140" type="#_x0000_t202" style="position:absolute;left:41989;top:1024;width:19310;height:7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2YsIA&#10;AADcAAAADwAAAGRycy9kb3ducmV2LnhtbESPQUsDMRSE74L/ITzBm83aw7JdmxaVtgg9tYrnx+Y1&#10;CW5eliRu139vCoUeh5n5hlmuJ9+LkWJygRU8zyoQxF3Qjo2Cr8/tUwMiZWSNfWBS8EcJ1qv7uyW2&#10;Opz5QOMxG1EgnFpUYHMeWilTZ8ljmoWBuHinED3mIqOROuK5wH0v51VVS4+Oy4LFgd4tdT/HX69g&#10;82YWpmsw2k2jnRun79Pe7JR6fJheX0BkmvItfG1/aAXzuobLmXI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WDZiwgAAANwAAAAPAAAAAAAAAAAAAAAAAJgCAABkcnMvZG93&#10;bnJldi54bWxQSwUGAAAAAAQABAD1AAAAhwMAAAAA&#10;" fillcolor="white [3201]" strokeweight=".5pt">
                  <v:textbox>
                    <w:txbxContent>
                      <w:p w14:paraId="2C18B1CB" w14:textId="77777777" w:rsidR="00A65A8D" w:rsidRPr="00480762" w:rsidRDefault="00A65A8D" w:rsidP="002A576D">
                        <w:pPr>
                          <w:pStyle w:val="Sraopastraipa"/>
                          <w:numPr>
                            <w:ilvl w:val="0"/>
                            <w:numId w:val="70"/>
                          </w:numPr>
                          <w:rPr>
                            <w:rFonts w:ascii="Georgia" w:hAnsi="Georgia"/>
                            <w:sz w:val="20"/>
                          </w:rPr>
                        </w:pPr>
                        <w:r w:rsidRPr="00480762">
                          <w:rPr>
                            <w:rFonts w:ascii="Georgia" w:hAnsi="Georgia"/>
                            <w:sz w:val="20"/>
                            <w:lang w:val="lt-LT"/>
                          </w:rPr>
                          <w:t>Ataskaitos</w:t>
                        </w:r>
                      </w:p>
                      <w:p w14:paraId="4A697583" w14:textId="77777777" w:rsidR="00A65A8D" w:rsidRPr="00480762" w:rsidRDefault="00A65A8D" w:rsidP="002A576D">
                        <w:pPr>
                          <w:pStyle w:val="Sraopastraipa"/>
                          <w:numPr>
                            <w:ilvl w:val="0"/>
                            <w:numId w:val="70"/>
                          </w:numPr>
                          <w:rPr>
                            <w:rFonts w:ascii="Georgia" w:hAnsi="Georgia"/>
                            <w:sz w:val="20"/>
                          </w:rPr>
                        </w:pPr>
                        <w:r w:rsidRPr="00480762">
                          <w:rPr>
                            <w:rFonts w:ascii="Georgia" w:hAnsi="Georgia"/>
                            <w:sz w:val="20"/>
                            <w:lang w:val="lt-LT"/>
                          </w:rPr>
                          <w:t>Komunikacija</w:t>
                        </w:r>
                      </w:p>
                      <w:p w14:paraId="4ACE0858" w14:textId="77777777" w:rsidR="00A65A8D" w:rsidRPr="00480762" w:rsidRDefault="00A65A8D" w:rsidP="002A576D">
                        <w:pPr>
                          <w:pStyle w:val="Sraopastraipa"/>
                          <w:numPr>
                            <w:ilvl w:val="0"/>
                            <w:numId w:val="70"/>
                          </w:numPr>
                          <w:rPr>
                            <w:rFonts w:ascii="Georgia" w:hAnsi="Georgia"/>
                            <w:sz w:val="20"/>
                          </w:rPr>
                        </w:pPr>
                        <w:r w:rsidRPr="00480762">
                          <w:rPr>
                            <w:rFonts w:ascii="Georgia" w:hAnsi="Georgia"/>
                            <w:sz w:val="20"/>
                            <w:lang w:val="lt-LT"/>
                          </w:rPr>
                          <w:t>Veiksmai</w:t>
                        </w:r>
                      </w:p>
                    </w:txbxContent>
                  </v:textbox>
                </v:shape>
                <v:shape id="Text Box 267" o:spid="_x0000_s1141" type="#_x0000_t202" style="position:absolute;top:1170;width:23329;height:6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T+cMA&#10;AADcAAAADwAAAGRycy9kb3ducmV2LnhtbESPQWsCMRSE74X+h/AKvdVsPeh2NYotthQ8VYvnx+aZ&#10;BDcvS5Ku23/fCEKPw8x8wyzXo+/EQDG5wAqeJxUI4jZox0bB9+H9qQaRMrLGLjAp+KUE69X93RIb&#10;HS78RcM+G1EgnBpUYHPuGylTa8ljmoSeuHinED3mIqOROuKlwH0np1U1kx4dlwWLPb1Zas/7H69g&#10;+2peTFtjtNtaOzeMx9POfCj1+DBuFiAyjfk/fGt/agXT2RyuZ8o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ST+cMAAADcAAAADwAAAAAAAAAAAAAAAACYAgAAZHJzL2Rv&#10;d25yZXYueG1sUEsFBgAAAAAEAAQA9QAAAIgDAAAAAA==&#10;" fillcolor="white [3201]" strokeweight=".5pt">
                  <v:textbox>
                    <w:txbxContent>
                      <w:p w14:paraId="1EBAB9DC" w14:textId="77777777" w:rsidR="00A65A8D" w:rsidRPr="00480762" w:rsidRDefault="00A65A8D" w:rsidP="002A576D">
                        <w:pPr>
                          <w:pStyle w:val="Sraopastraipa"/>
                          <w:numPr>
                            <w:ilvl w:val="0"/>
                            <w:numId w:val="70"/>
                          </w:numPr>
                          <w:rPr>
                            <w:rFonts w:ascii="Georgia" w:hAnsi="Georgia"/>
                            <w:sz w:val="20"/>
                          </w:rPr>
                        </w:pPr>
                        <w:r w:rsidRPr="00480762">
                          <w:rPr>
                            <w:rFonts w:ascii="Georgia" w:hAnsi="Georgia"/>
                            <w:sz w:val="20"/>
                            <w:lang w:val="lt-LT"/>
                          </w:rPr>
                          <w:t>Rodiklių matavimas</w:t>
                        </w:r>
                      </w:p>
                      <w:p w14:paraId="7C78E9FC" w14:textId="77777777" w:rsidR="00A65A8D" w:rsidRPr="00480762" w:rsidRDefault="00A65A8D" w:rsidP="002A576D">
                        <w:pPr>
                          <w:pStyle w:val="Sraopastraipa"/>
                          <w:numPr>
                            <w:ilvl w:val="0"/>
                            <w:numId w:val="70"/>
                          </w:numPr>
                          <w:rPr>
                            <w:rFonts w:ascii="Georgia" w:hAnsi="Georgia"/>
                            <w:sz w:val="20"/>
                          </w:rPr>
                        </w:pPr>
                        <w:r w:rsidRPr="00480762">
                          <w:rPr>
                            <w:rFonts w:ascii="Georgia" w:hAnsi="Georgia"/>
                            <w:sz w:val="20"/>
                            <w:lang w:val="lt-LT"/>
                          </w:rPr>
                          <w:t>Kita informacija ir duomenys</w:t>
                        </w:r>
                      </w:p>
                      <w:p w14:paraId="45B56A2C" w14:textId="77777777" w:rsidR="00A65A8D" w:rsidRPr="00480762" w:rsidRDefault="00A65A8D" w:rsidP="002A576D">
                        <w:pPr>
                          <w:pStyle w:val="Sraopastraipa"/>
                          <w:numPr>
                            <w:ilvl w:val="0"/>
                            <w:numId w:val="70"/>
                          </w:numPr>
                          <w:rPr>
                            <w:rFonts w:ascii="Georgia" w:hAnsi="Georgia"/>
                            <w:sz w:val="20"/>
                          </w:rPr>
                        </w:pPr>
                        <w:r w:rsidRPr="00480762">
                          <w:rPr>
                            <w:rFonts w:ascii="Georgia" w:hAnsi="Georgia"/>
                            <w:sz w:val="20"/>
                            <w:lang w:val="lt-LT"/>
                          </w:rPr>
                          <w:t>Vertinimo ataskaitos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68" o:spid="_x0000_s1142" type="#_x0000_t13" style="position:absolute;left:22823;top:2852;width:20259;height:4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1C8MA&#10;AADcAAAADwAAAGRycy9kb3ducmV2LnhtbERPXWvCMBR9F/Yfwh34pumKE6mmxQ0ENxiyTsS9XZq7&#10;pq65KU2m9d8vD4KPh/O9KgbbijP1vnGs4GmagCCunG64VrD/2kwWIHxA1tg6JgVX8lDkD6MVZtpd&#10;+JPOZahFDGGfoQITQpdJ6StDFv3UdcSR+3G9xRBhX0vd4yWG21amSTKXFhuODQY7ejVU/ZZ/VgEe&#10;y+/ddfamXw7y4/lkU2/8+0Kp8eOwXoIINIS7+ObeagXpPK6NZ+IR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M1C8MAAADcAAAADwAAAAAAAAAAAAAAAACYAgAAZHJzL2Rv&#10;d25yZXYueG1sUEsFBgAAAAAEAAQA9QAAAIgDAAAAAA==&#10;" adj="19377" fillcolor="#c0504d [3205]" strokecolor="#622423 [1605]" strokeweight="2pt"/>
                <v:shape id="Text Box 269" o:spid="_x0000_s1143" type="#_x0000_t202" style="position:absolute;left:25822;width:1353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V9q8EA&#10;AADcAAAADwAAAGRycy9kb3ducmV2LnhtbESPQYvCMBSE74L/ITzBm6brQbQaRRaFetPqxdujeduG&#10;bV5KE2v990YQPA4z8w2z3va2Fh213jhW8DNNQBAXThsuFVwvh8kChA/IGmvHpOBJHrab4WCNqXYP&#10;PlOXh1JECPsUFVQhNKmUvqjIop+6hjh6f661GKJsS6lbfES4reUsSebSouG4UGFDvxUV//ndKjg8&#10;s33WL0/6tjvKBR2LLjdGKjUe9bsViEB9+IY/7UwrmM2X8D4Tj4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VfavBAAAA3AAAAA8AAAAAAAAAAAAAAAAAmAIAAGRycy9kb3du&#10;cmV2LnhtbFBLBQYAAAAABAAEAPUAAACGAwAAAAA=&#10;" fillcolor="#ffd03b" strokeweight=".5pt">
                  <v:textbox>
                    <w:txbxContent>
                      <w:p w14:paraId="1619274A" w14:textId="77777777" w:rsidR="00A65A8D" w:rsidRPr="00480762" w:rsidRDefault="00A65A8D" w:rsidP="009A1904">
                        <w:pPr>
                          <w:jc w:val="center"/>
                          <w:rPr>
                            <w:rFonts w:ascii="Georgia" w:hAnsi="Georgia"/>
                            <w:b/>
                            <w:lang w:val="lt-LT"/>
                          </w:rPr>
                        </w:pPr>
                        <w:r w:rsidRPr="00480762">
                          <w:rPr>
                            <w:rFonts w:ascii="Georgia" w:hAnsi="Georgia"/>
                            <w:b/>
                            <w:lang w:val="lt-LT"/>
                          </w:rPr>
                          <w:t>ANALIZĖ</w:t>
                        </w:r>
                      </w:p>
                      <w:p w14:paraId="5E050EFC" w14:textId="77777777" w:rsidR="00A65A8D" w:rsidRPr="00480762" w:rsidRDefault="00A65A8D" w:rsidP="009A1904">
                        <w:pPr>
                          <w:jc w:val="center"/>
                          <w:rPr>
                            <w:rFonts w:ascii="Georgia" w:hAnsi="Georgia"/>
                            <w:b/>
                            <w:lang w:val="lt-LT"/>
                          </w:rPr>
                        </w:pPr>
                        <w:r w:rsidRPr="00480762">
                          <w:rPr>
                            <w:rFonts w:ascii="Georgia" w:hAnsi="Georgia"/>
                            <w:b/>
                            <w:lang w:val="lt-LT"/>
                          </w:rPr>
                          <w:t>SPRENDIMŲ PRIĖMIMAS</w:t>
                        </w:r>
                      </w:p>
                    </w:txbxContent>
                  </v:textbox>
                </v:shape>
                <w10:anchorlock/>
              </v:group>
            </w:pict>
          </mc:Fallback>
        </mc:AlternateContent>
      </w:r>
    </w:p>
    <w:p w14:paraId="6D3B3999" w14:textId="5B6F1D01" w:rsidR="00B411E7" w:rsidRPr="00D4610F" w:rsidRDefault="00B411E7" w:rsidP="00B411E7">
      <w:pPr>
        <w:pStyle w:val="Antrat"/>
        <w:rPr>
          <w:szCs w:val="20"/>
          <w:lang w:val="lt-LT"/>
        </w:rPr>
      </w:pPr>
      <w:bookmarkStart w:id="367" w:name="_Toc417378333"/>
      <w:r w:rsidRPr="00D4610F">
        <w:rPr>
          <w:lang w:val="lt-LT"/>
        </w:rPr>
        <w:t xml:space="preserve">Paveikslas </w:t>
      </w:r>
      <w:r w:rsidRPr="00D4610F">
        <w:rPr>
          <w:lang w:val="lt-LT"/>
        </w:rPr>
        <w:fldChar w:fldCharType="begin"/>
      </w:r>
      <w:r w:rsidRPr="00D4610F">
        <w:rPr>
          <w:lang w:val="lt-LT"/>
        </w:rPr>
        <w:instrText xml:space="preserve"> SEQ Paveikslas \* ARABIC </w:instrText>
      </w:r>
      <w:r w:rsidRPr="00D4610F">
        <w:rPr>
          <w:lang w:val="lt-LT"/>
        </w:rPr>
        <w:fldChar w:fldCharType="separate"/>
      </w:r>
      <w:r w:rsidR="00AA3082">
        <w:rPr>
          <w:noProof/>
          <w:lang w:val="lt-LT"/>
        </w:rPr>
        <w:t>56</w:t>
      </w:r>
      <w:r w:rsidRPr="00D4610F">
        <w:rPr>
          <w:lang w:val="lt-LT"/>
        </w:rPr>
        <w:fldChar w:fldCharType="end"/>
      </w:r>
      <w:r w:rsidRPr="00D4610F">
        <w:rPr>
          <w:lang w:val="lt-LT"/>
        </w:rPr>
        <w:t xml:space="preserve">. </w:t>
      </w:r>
      <w:r>
        <w:rPr>
          <w:szCs w:val="20"/>
          <w:lang w:val="lt-LT"/>
        </w:rPr>
        <w:t>Pagrindiniai stebėsenos elementai</w:t>
      </w:r>
      <w:bookmarkEnd w:id="367"/>
    </w:p>
    <w:p w14:paraId="141D9BD2" w14:textId="77777777" w:rsidR="009A1904" w:rsidRDefault="009A1904" w:rsidP="009A1904">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Schemoje pademonstruota, jog išanalizavus įvairius duomenų šaltinius, tokius kaip rodiklių pasiekimas, ataskaitos, kita prieinama informacija ir duomenys, reikalinga atlikti analizę ir priimti sprendimus apie finansinės priemonės įgyvendinimo eigą, ko pasekoje yra imamasi įgyvendinti konkrečius veiksmus bei komunikuoti priimtų sprendimų įgyvendinimą. </w:t>
      </w:r>
    </w:p>
    <w:p w14:paraId="4EEF76DE" w14:textId="77777777" w:rsidR="009A1904" w:rsidRDefault="009A1904" w:rsidP="009A1904">
      <w:pPr>
        <w:jc w:val="both"/>
        <w:rPr>
          <w:rFonts w:ascii="Georgia" w:eastAsia="Times New Roman" w:hAnsi="Georgia" w:cs="Times New Roman"/>
          <w:sz w:val="20"/>
          <w:szCs w:val="20"/>
          <w:lang w:val="lt-LT" w:eastAsia="lt-LT"/>
        </w:rPr>
      </w:pPr>
      <w:r w:rsidRPr="00480762">
        <w:rPr>
          <w:rFonts w:ascii="Georgia" w:eastAsia="Times New Roman" w:hAnsi="Georgia" w:cs="Times New Roman"/>
          <w:sz w:val="20"/>
          <w:szCs w:val="20"/>
          <w:lang w:val="lt-LT" w:eastAsia="lt-LT"/>
        </w:rPr>
        <w:t>Vadovaujančioji institucija pirmiausia turi užtikrinti, jog finansavimo sutartyje su fondų fondo valdytoju yra aiškiai apibrėžti ataskaitų teikimo reikalavimai</w:t>
      </w:r>
      <w:r>
        <w:rPr>
          <w:rFonts w:ascii="Georgia" w:eastAsia="Times New Roman" w:hAnsi="Georgia" w:cs="Times New Roman"/>
          <w:sz w:val="20"/>
          <w:szCs w:val="20"/>
          <w:lang w:val="lt-LT" w:eastAsia="lt-LT"/>
        </w:rPr>
        <w:t xml:space="preserve">. Pagrindiniai ataskaitų teikimo reikalavimai fondų fondo valdytojui pirmiausia bus apibrėžti Europos Komisijos Įgyvendinimo reglamente, kuris šiuo metu yra rengiamas. Tačiau vadovaujančioji institucija gali neapsiriboti Įgyvendinimo reglamento reikalavimais ir siūlomas ataskaitų formas papildyti jai reikalinga informacija. Vadovaujančiosios institucijos ataskaitų teikimo formos bus tvirtinamos Finansinių priemonių taisyklėse. </w:t>
      </w:r>
    </w:p>
    <w:p w14:paraId="53B00999" w14:textId="77777777" w:rsidR="009A1904" w:rsidRDefault="009A1904" w:rsidP="009A1904">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Tuo atveju, kai fondų fondo valdytojas pasitelkia finansinius tarpininkus finansinės priemonės įgyvendinimui, fondų fondo valdytojas užtikrina, jog finansavimo sutartyse su finansiniais tarpininkais bus nustatyti visi ataskaitų teikimo reikalavimai ir kad duomenys ir finansinių tarpininkų </w:t>
      </w:r>
      <w:r>
        <w:rPr>
          <w:rFonts w:ascii="Georgia" w:eastAsia="Times New Roman" w:hAnsi="Georgia" w:cs="Times New Roman"/>
          <w:sz w:val="20"/>
          <w:szCs w:val="20"/>
          <w:lang w:val="lt-LT" w:eastAsia="lt-LT"/>
        </w:rPr>
        <w:lastRenderedPageBreak/>
        <w:t xml:space="preserve">fondų fondo valdytoją pasieks laiku, duomenys bus teisingi ir naudotini tolimesnėms ataskaitoms. Aktualių duomenų surinkimas iš finansinių tarpininkų yra pilnai fondų fondo valdytojo atsakomybė. </w:t>
      </w:r>
    </w:p>
    <w:p w14:paraId="236D2274" w14:textId="77777777" w:rsidR="009A1904" w:rsidRDefault="009A1904" w:rsidP="009A1904">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Vadovaujančioji institucija taip pat gali siekti, kad kuo daugiau informacijos apie finansinės priemonės įgyvendinimą būtų prieinama IT platformose, kur informacija gali būti atnaujinama ir naudojama pagal faktinę finansinės priemonės pažangą. </w:t>
      </w:r>
    </w:p>
    <w:p w14:paraId="2CCF76E3" w14:textId="77777777" w:rsidR="009A1904" w:rsidRDefault="009A1904" w:rsidP="00794E15">
      <w:pPr>
        <w:keepNext/>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Ataskaitų teikimas turėtų būti įgyvendinamas šiais etapais:</w:t>
      </w:r>
    </w:p>
    <w:p w14:paraId="2E10A587" w14:textId="77777777" w:rsidR="009A1904" w:rsidRDefault="009A1904" w:rsidP="002A576D">
      <w:pPr>
        <w:pStyle w:val="Sraopastraipa"/>
        <w:keepNext/>
        <w:numPr>
          <w:ilvl w:val="6"/>
          <w:numId w:val="57"/>
        </w:numPr>
        <w:ind w:left="709"/>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Duomenų rinkimas</w:t>
      </w:r>
    </w:p>
    <w:p w14:paraId="4FAAF552" w14:textId="77777777" w:rsidR="009A1904" w:rsidRDefault="009A1904" w:rsidP="002A576D">
      <w:pPr>
        <w:pStyle w:val="Sraopastraipa"/>
        <w:keepNext/>
        <w:numPr>
          <w:ilvl w:val="6"/>
          <w:numId w:val="57"/>
        </w:numPr>
        <w:ind w:left="709"/>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Įgyvendinimo ataskaitos</w:t>
      </w:r>
    </w:p>
    <w:p w14:paraId="6C923D5A" w14:textId="77777777" w:rsidR="009A1904" w:rsidRPr="00480762" w:rsidRDefault="009A1904" w:rsidP="002A576D">
      <w:pPr>
        <w:pStyle w:val="Sraopastraipa"/>
        <w:keepNext/>
        <w:numPr>
          <w:ilvl w:val="6"/>
          <w:numId w:val="57"/>
        </w:numPr>
        <w:ind w:left="709"/>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Finansinės ataskaitos</w:t>
      </w:r>
    </w:p>
    <w:p w14:paraId="41489B7C" w14:textId="77777777" w:rsidR="009A1904" w:rsidRPr="00DF3A8E" w:rsidRDefault="009A1904" w:rsidP="009A1904">
      <w:pPr>
        <w:jc w:val="both"/>
        <w:rPr>
          <w:rFonts w:asciiTheme="majorHAnsi" w:eastAsiaTheme="majorEastAsia" w:hAnsiTheme="majorHAnsi" w:cstheme="majorBidi"/>
          <w:b/>
          <w:bCs/>
          <w:color w:val="365F91" w:themeColor="accent1" w:themeShade="BF"/>
          <w:sz w:val="28"/>
          <w:szCs w:val="28"/>
          <w:lang w:val="lt-LT"/>
        </w:rPr>
      </w:pPr>
      <w:r w:rsidRPr="00480762">
        <w:rPr>
          <w:rFonts w:ascii="Georgia" w:hAnsi="Georgia"/>
          <w:sz w:val="20"/>
          <w:lang w:val="lt-LT"/>
        </w:rPr>
        <w:t xml:space="preserve">Toks ataskaitų teikimo </w:t>
      </w:r>
      <w:r w:rsidR="00AE7E91">
        <w:rPr>
          <w:rFonts w:ascii="Georgia" w:hAnsi="Georgia"/>
          <w:sz w:val="20"/>
          <w:lang w:val="lt-LT"/>
        </w:rPr>
        <w:t>ciklas</w:t>
      </w:r>
      <w:r w:rsidRPr="00480762">
        <w:rPr>
          <w:rFonts w:ascii="Georgia" w:hAnsi="Georgia"/>
          <w:sz w:val="20"/>
          <w:lang w:val="lt-LT"/>
        </w:rPr>
        <w:t xml:space="preserve"> leidžia užtikrinti, kad prieinami duomenys yra tikslūs ir atspindi realią situaciją, šių duomenų pagrindu rengiamos pažangos ataskaitos yra teisingos ir galiausiai leidžia užtikrinti finansinį lėšų naudojimo teisingumą. </w:t>
      </w:r>
    </w:p>
    <w:p w14:paraId="1981AC35" w14:textId="77777777" w:rsidR="00F20933" w:rsidRPr="00DA36ED" w:rsidRDefault="00F20933" w:rsidP="009D411B">
      <w:pPr>
        <w:rPr>
          <w:rFonts w:asciiTheme="majorHAnsi" w:eastAsiaTheme="majorEastAsia" w:hAnsiTheme="majorHAnsi" w:cstheme="majorBidi"/>
          <w:b/>
          <w:bCs/>
          <w:color w:val="4F81BD" w:themeColor="accent1"/>
          <w:sz w:val="26"/>
          <w:szCs w:val="26"/>
          <w:lang w:val="lt-LT"/>
        </w:rPr>
      </w:pPr>
      <w:bookmarkStart w:id="368" w:name="_Toc398043861"/>
      <w:bookmarkStart w:id="369" w:name="_Toc398567613"/>
      <w:r w:rsidRPr="00F20933">
        <w:rPr>
          <w:lang w:val="lt-LT"/>
        </w:rPr>
        <w:br w:type="page"/>
      </w:r>
    </w:p>
    <w:p w14:paraId="1EB81DA9" w14:textId="77777777" w:rsidR="00151543" w:rsidRPr="00DF3A8E" w:rsidRDefault="00151543" w:rsidP="00C03122">
      <w:pPr>
        <w:pStyle w:val="Antrat2"/>
        <w:numPr>
          <w:ilvl w:val="1"/>
          <w:numId w:val="36"/>
        </w:numPr>
        <w:spacing w:after="240"/>
        <w:ind w:left="1080"/>
        <w:rPr>
          <w:lang w:val="lt-LT"/>
        </w:rPr>
      </w:pPr>
      <w:bookmarkStart w:id="370" w:name="_Toc417378444"/>
      <w:r>
        <w:rPr>
          <w:lang w:val="lt-LT"/>
        </w:rPr>
        <w:lastRenderedPageBreak/>
        <w:t xml:space="preserve">Centrinės valdžios viešųjų pastatų ir gatvių apšvietimo modernizavimo </w:t>
      </w:r>
      <w:r w:rsidRPr="00DF3A8E">
        <w:rPr>
          <w:lang w:val="lt-LT"/>
        </w:rPr>
        <w:t>investavimo</w:t>
      </w:r>
      <w:r>
        <w:rPr>
          <w:lang w:val="lt-LT"/>
        </w:rPr>
        <w:t xml:space="preserve"> </w:t>
      </w:r>
      <w:r w:rsidRPr="00DF3A8E">
        <w:rPr>
          <w:lang w:val="lt-LT"/>
        </w:rPr>
        <w:t>strategija</w:t>
      </w:r>
      <w:bookmarkEnd w:id="368"/>
      <w:bookmarkEnd w:id="369"/>
      <w:bookmarkEnd w:id="370"/>
    </w:p>
    <w:p w14:paraId="18569CE9" w14:textId="77777777" w:rsidR="00151543" w:rsidRPr="00DF3A8E" w:rsidRDefault="00151543" w:rsidP="00151543">
      <w:pPr>
        <w:pStyle w:val="prastasis1"/>
        <w:spacing w:line="276" w:lineRule="auto"/>
        <w:jc w:val="both"/>
      </w:pPr>
      <w:r>
        <w:rPr>
          <w:rFonts w:ascii="Georgia" w:hAnsi="Georgia"/>
          <w:sz w:val="20"/>
          <w:szCs w:val="20"/>
        </w:rPr>
        <w:t xml:space="preserve">Energetikos ministerija turi tiesioginius įsipareigojimus dėl Energijos efektyvumo direktyvos iškeltų tikslų šalims narėms pasiekimo. Todėl viešųjų pastatų modernizavimo strategija turi būti sukurta ir išplėtota taip, kad būtų įgyvendinti visi privalomi pasiekti tikslai. Nors Energijos efektyvumo direktyva tiesioginių įpareigojimų dėl gatvių apšvietimo modernizavimo neiškelia, gatvių apšvietimo modernizavimas yra rekomenduojamas įgyvendinti pagal tuos pačius principus kaip ir viešųjų pastatų modernizavimas, t.y. įgyvendinant ESCO modelį, todėl siūloma investavimo strategiją viešųjų pastatų ir gatvių apšvietimo modernizavimui rengti bendrą. Taip bus </w:t>
      </w:r>
      <w:r w:rsidRPr="00AC3318">
        <w:rPr>
          <w:rFonts w:ascii="Georgia" w:hAnsi="Georgia"/>
          <w:sz w:val="20"/>
          <w:szCs w:val="20"/>
        </w:rPr>
        <w:t>siekia</w:t>
      </w:r>
      <w:r>
        <w:rPr>
          <w:rFonts w:ascii="Georgia" w:hAnsi="Georgia"/>
          <w:sz w:val="20"/>
          <w:szCs w:val="20"/>
        </w:rPr>
        <w:t>ma</w:t>
      </w:r>
      <w:r w:rsidRPr="00AC3318">
        <w:rPr>
          <w:rFonts w:ascii="Georgia" w:hAnsi="Georgia"/>
          <w:sz w:val="20"/>
          <w:szCs w:val="20"/>
        </w:rPr>
        <w:t xml:space="preserve"> optimizuoti šių veiklų įgyvendinimą</w:t>
      </w:r>
      <w:r>
        <w:rPr>
          <w:rFonts w:ascii="Georgia" w:hAnsi="Georgia"/>
          <w:sz w:val="20"/>
          <w:szCs w:val="20"/>
        </w:rPr>
        <w:t>, mažinti administracinę naštą</w:t>
      </w:r>
      <w:r w:rsidRPr="00AC3318">
        <w:rPr>
          <w:rFonts w:ascii="Georgia" w:hAnsi="Georgia"/>
          <w:sz w:val="20"/>
          <w:szCs w:val="20"/>
        </w:rPr>
        <w:t xml:space="preserve"> bei</w:t>
      </w:r>
      <w:r>
        <w:rPr>
          <w:rFonts w:ascii="Georgia" w:hAnsi="Georgia"/>
          <w:sz w:val="20"/>
          <w:szCs w:val="20"/>
        </w:rPr>
        <w:t xml:space="preserve"> dėl masto ekonomijos pasiekti didesnį efektyvumą. </w:t>
      </w:r>
      <w:r w:rsidRPr="00AC3318">
        <w:rPr>
          <w:rFonts w:ascii="Georgia" w:hAnsi="Georgia"/>
          <w:sz w:val="20"/>
          <w:szCs w:val="20"/>
        </w:rPr>
        <w:t xml:space="preserve">Žemiau yra pateikiama siūloma </w:t>
      </w:r>
      <w:r>
        <w:rPr>
          <w:rFonts w:ascii="Georgia" w:hAnsi="Georgia"/>
          <w:sz w:val="20"/>
          <w:szCs w:val="20"/>
        </w:rPr>
        <w:t>finansinių priemonių, kurios būtų įgyvendinamos per fondų fondą</w:t>
      </w:r>
      <w:r w:rsidRPr="00AC3318">
        <w:rPr>
          <w:rFonts w:ascii="Georgia" w:hAnsi="Georgia"/>
          <w:sz w:val="20"/>
          <w:szCs w:val="20"/>
        </w:rPr>
        <w:t xml:space="preserve"> investavimo strategija. </w:t>
      </w:r>
    </w:p>
    <w:p w14:paraId="4DCE592E" w14:textId="77777777" w:rsidR="00151543" w:rsidRPr="00DF3A8E" w:rsidRDefault="00151543" w:rsidP="00C03122">
      <w:pPr>
        <w:pStyle w:val="Antrat2"/>
        <w:numPr>
          <w:ilvl w:val="2"/>
          <w:numId w:val="36"/>
        </w:numPr>
        <w:spacing w:after="240"/>
        <w:rPr>
          <w:lang w:val="lt-LT"/>
        </w:rPr>
      </w:pPr>
      <w:bookmarkStart w:id="371" w:name="_Toc398043862"/>
      <w:bookmarkStart w:id="372" w:name="_Toc398567614"/>
      <w:bookmarkStart w:id="373" w:name="_Toc417378445"/>
      <w:r w:rsidRPr="00DF3A8E">
        <w:rPr>
          <w:lang w:val="lt-LT"/>
        </w:rPr>
        <w:t>Finansin</w:t>
      </w:r>
      <w:r>
        <w:rPr>
          <w:lang w:val="lt-LT"/>
        </w:rPr>
        <w:t>ių</w:t>
      </w:r>
      <w:r w:rsidRPr="00DF3A8E">
        <w:rPr>
          <w:lang w:val="lt-LT"/>
        </w:rPr>
        <w:t xml:space="preserve"> priemon</w:t>
      </w:r>
      <w:r>
        <w:rPr>
          <w:lang w:val="lt-LT"/>
        </w:rPr>
        <w:t>ių</w:t>
      </w:r>
      <w:r w:rsidRPr="00DF3A8E">
        <w:rPr>
          <w:lang w:val="lt-LT"/>
        </w:rPr>
        <w:t xml:space="preserve"> apimtis ir tiksliniai galutiniai naudos gavėjai</w:t>
      </w:r>
      <w:bookmarkEnd w:id="371"/>
      <w:bookmarkEnd w:id="372"/>
      <w:bookmarkEnd w:id="373"/>
      <w:r w:rsidRPr="00DF3A8E">
        <w:rPr>
          <w:lang w:val="lt-LT"/>
        </w:rPr>
        <w:t xml:space="preserve"> </w:t>
      </w:r>
    </w:p>
    <w:p w14:paraId="00401EF1" w14:textId="588C3D8F" w:rsidR="00C94D06" w:rsidRPr="00AE7E91" w:rsidRDefault="00C94D06" w:rsidP="004F374D">
      <w:pPr>
        <w:jc w:val="both"/>
        <w:rPr>
          <w:rFonts w:ascii="Georgia" w:hAnsi="Georgia"/>
          <w:sz w:val="20"/>
          <w:szCs w:val="20"/>
          <w:lang w:val="lt-LT"/>
        </w:rPr>
      </w:pPr>
      <w:r w:rsidRPr="00AE7E91">
        <w:rPr>
          <w:rFonts w:ascii="Georgia" w:hAnsi="Georgia"/>
          <w:sz w:val="20"/>
          <w:szCs w:val="20"/>
          <w:lang w:val="lt-LT"/>
        </w:rPr>
        <w:t xml:space="preserve">Kaip buvo nustatyta šioje analizėje, poreikis energijos efektyvumo projektų įgyvendinimui yra žymiai didesnis nei rinkoje prieinama finansavimo pasiūla. 2.3. </w:t>
      </w:r>
      <w:r w:rsidR="008B5027">
        <w:rPr>
          <w:rFonts w:ascii="Georgia" w:hAnsi="Georgia"/>
          <w:sz w:val="20"/>
          <w:szCs w:val="20"/>
          <w:lang w:val="lt-LT"/>
        </w:rPr>
        <w:t>skyriuje</w:t>
      </w:r>
      <w:r w:rsidR="008B5027" w:rsidRPr="00AE7E91">
        <w:rPr>
          <w:rFonts w:ascii="Georgia" w:hAnsi="Georgia"/>
          <w:sz w:val="20"/>
          <w:szCs w:val="20"/>
          <w:lang w:val="lt-LT"/>
        </w:rPr>
        <w:t xml:space="preserve"> </w:t>
      </w:r>
      <w:r w:rsidRPr="00AE7E91">
        <w:rPr>
          <w:rFonts w:ascii="Georgia" w:hAnsi="Georgia"/>
          <w:sz w:val="20"/>
          <w:szCs w:val="20"/>
          <w:lang w:val="lt-LT"/>
        </w:rPr>
        <w:t xml:space="preserve">identifikuotas rinkos finansavimo nepakankamumas, kuris viešųjų pastatų modernizavimui ir gatvių apšvietimo modernizavimui bendrai siekia </w:t>
      </w:r>
      <w:r w:rsidR="00B2141F" w:rsidRPr="00AE7E91">
        <w:rPr>
          <w:rFonts w:ascii="Georgia" w:hAnsi="Georgia"/>
          <w:sz w:val="20"/>
          <w:szCs w:val="20"/>
          <w:lang w:val="lt-LT"/>
        </w:rPr>
        <w:t>117,4</w:t>
      </w:r>
      <w:r w:rsidRPr="00AE7E91">
        <w:rPr>
          <w:rFonts w:ascii="Georgia" w:hAnsi="Georgia"/>
          <w:sz w:val="20"/>
          <w:szCs w:val="20"/>
          <w:lang w:val="lt-LT"/>
        </w:rPr>
        <w:t xml:space="preserve"> mln. eurų. Atsižvelgiant į tai, kad poreikis investicijoms yra dvigubai didesnis nei prieinamos lėšos, siekiant patenkinti kuo didesnį poreikį šioms investicijoms bei įgyvendinti daugiau projektų, būtina įgyvendinti ne subsidijų, bet grįžtančių lėšų finansines priemones ir modelius, pritraukiančius daugiau privačių lėšų.</w:t>
      </w:r>
    </w:p>
    <w:p w14:paraId="36EFC63D" w14:textId="77777777" w:rsidR="00C94D06" w:rsidRPr="00AE7E91" w:rsidRDefault="00C94D06" w:rsidP="004F374D">
      <w:pPr>
        <w:jc w:val="both"/>
        <w:rPr>
          <w:rFonts w:ascii="Georgia" w:hAnsi="Georgia"/>
          <w:sz w:val="20"/>
          <w:szCs w:val="20"/>
          <w:lang w:val="lt-LT"/>
        </w:rPr>
      </w:pPr>
      <w:r w:rsidRPr="00AE7E91">
        <w:rPr>
          <w:rFonts w:ascii="Georgia" w:hAnsi="Georgia"/>
          <w:sz w:val="20"/>
          <w:szCs w:val="20"/>
          <w:lang w:val="lt-LT"/>
        </w:rPr>
        <w:t xml:space="preserve">4.4.2 skyriuje taip pat buvo nustatyta, </w:t>
      </w:r>
      <w:r w:rsidR="004F374D" w:rsidRPr="00AE7E91">
        <w:rPr>
          <w:rFonts w:ascii="Georgia" w:hAnsi="Georgia"/>
          <w:sz w:val="20"/>
          <w:szCs w:val="20"/>
          <w:lang w:val="lt-LT"/>
        </w:rPr>
        <w:t xml:space="preserve">kad </w:t>
      </w:r>
      <w:r w:rsidRPr="00AE7E91">
        <w:rPr>
          <w:rFonts w:ascii="Georgia" w:hAnsi="Georgia"/>
          <w:sz w:val="20"/>
          <w:szCs w:val="20"/>
          <w:lang w:val="lt-LT"/>
        </w:rPr>
        <w:t xml:space="preserve">centrinės valdžios pastatų modernizavimui </w:t>
      </w:r>
      <w:r w:rsidR="004F374D" w:rsidRPr="00AE7E91">
        <w:rPr>
          <w:rFonts w:ascii="Georgia" w:hAnsi="Georgia"/>
          <w:sz w:val="20"/>
          <w:szCs w:val="20"/>
          <w:lang w:val="lt-LT"/>
        </w:rPr>
        <w:t xml:space="preserve">kiekybiškai naudingiausias finansinis produktas </w:t>
      </w:r>
      <w:r w:rsidRPr="00AE7E91">
        <w:rPr>
          <w:rFonts w:ascii="Georgia" w:hAnsi="Georgia"/>
          <w:sz w:val="20"/>
          <w:szCs w:val="20"/>
          <w:lang w:val="lt-LT"/>
        </w:rPr>
        <w:t xml:space="preserve">yra lengvatinės paskolos, o </w:t>
      </w:r>
      <w:r w:rsidR="004F374D" w:rsidRPr="00AE7E91">
        <w:rPr>
          <w:rFonts w:ascii="Georgia" w:hAnsi="Georgia"/>
          <w:sz w:val="20"/>
          <w:szCs w:val="20"/>
          <w:lang w:val="lt-LT"/>
        </w:rPr>
        <w:t>gatvių apšvietimo modernizavimo projektams</w:t>
      </w:r>
      <w:r w:rsidRPr="00AE7E91">
        <w:rPr>
          <w:rFonts w:ascii="Georgia" w:hAnsi="Georgia"/>
          <w:sz w:val="20"/>
          <w:szCs w:val="20"/>
          <w:lang w:val="lt-LT"/>
        </w:rPr>
        <w:t xml:space="preserve"> – garantijos. Atsižvelgiant į tai </w:t>
      </w:r>
      <w:r w:rsidR="004F374D" w:rsidRPr="00AE7E91">
        <w:rPr>
          <w:rFonts w:ascii="Georgia" w:hAnsi="Georgia"/>
          <w:sz w:val="20"/>
          <w:szCs w:val="20"/>
          <w:lang w:val="lt-LT"/>
        </w:rPr>
        <w:t xml:space="preserve">buvo </w:t>
      </w:r>
      <w:r w:rsidRPr="00AE7E91">
        <w:rPr>
          <w:rFonts w:ascii="Georgia" w:hAnsi="Georgia"/>
          <w:sz w:val="20"/>
          <w:szCs w:val="20"/>
          <w:lang w:val="lt-LT"/>
        </w:rPr>
        <w:t>apskaičiuot</w:t>
      </w:r>
      <w:r w:rsidR="004F374D" w:rsidRPr="00AE7E91">
        <w:rPr>
          <w:rFonts w:ascii="Georgia" w:hAnsi="Georgia"/>
          <w:sz w:val="20"/>
          <w:szCs w:val="20"/>
          <w:lang w:val="lt-LT"/>
        </w:rPr>
        <w:t xml:space="preserve">a, kiek ESI fondų ar kitų lėšų reikėtų skirti </w:t>
      </w:r>
      <w:r w:rsidRPr="00AE7E91">
        <w:rPr>
          <w:rFonts w:ascii="Georgia" w:hAnsi="Georgia"/>
          <w:sz w:val="20"/>
          <w:szCs w:val="20"/>
          <w:lang w:val="lt-LT"/>
        </w:rPr>
        <w:t>finansinėms</w:t>
      </w:r>
      <w:r w:rsidR="004F374D" w:rsidRPr="00AE7E91">
        <w:rPr>
          <w:rFonts w:ascii="Georgia" w:hAnsi="Georgia"/>
          <w:sz w:val="20"/>
          <w:szCs w:val="20"/>
          <w:lang w:val="lt-LT"/>
        </w:rPr>
        <w:t xml:space="preserve"> priemon</w:t>
      </w:r>
      <w:r w:rsidRPr="00AE7E91">
        <w:rPr>
          <w:rFonts w:ascii="Georgia" w:hAnsi="Georgia"/>
          <w:sz w:val="20"/>
          <w:szCs w:val="20"/>
          <w:lang w:val="lt-LT"/>
        </w:rPr>
        <w:t>ėms</w:t>
      </w:r>
      <w:r w:rsidR="004F374D" w:rsidRPr="00AE7E91">
        <w:rPr>
          <w:rFonts w:ascii="Georgia" w:hAnsi="Georgia"/>
          <w:sz w:val="20"/>
          <w:szCs w:val="20"/>
          <w:lang w:val="lt-LT"/>
        </w:rPr>
        <w:t xml:space="preserve"> siekiant padengti visą 2-ame skyriuje identifikuotą rinkos finansavimo trūkumą</w:t>
      </w:r>
      <w:r w:rsidRPr="00AE7E91">
        <w:rPr>
          <w:rFonts w:ascii="Georgia" w:hAnsi="Georgia"/>
          <w:sz w:val="20"/>
          <w:szCs w:val="20"/>
          <w:lang w:val="lt-LT"/>
        </w:rPr>
        <w:t xml:space="preserve"> abiems sritims</w:t>
      </w:r>
      <w:r w:rsidR="004F374D" w:rsidRPr="00AE7E91">
        <w:rPr>
          <w:rFonts w:ascii="Georgia" w:hAnsi="Georgia"/>
          <w:sz w:val="20"/>
          <w:szCs w:val="20"/>
          <w:lang w:val="lt-LT"/>
        </w:rPr>
        <w:t xml:space="preserve">. </w:t>
      </w:r>
    </w:p>
    <w:p w14:paraId="2794DEF7" w14:textId="17227390" w:rsidR="004F374D" w:rsidRPr="00105B94" w:rsidRDefault="004F374D" w:rsidP="004F374D">
      <w:pPr>
        <w:jc w:val="both"/>
        <w:rPr>
          <w:rFonts w:ascii="Georgia" w:hAnsi="Georgia"/>
          <w:sz w:val="20"/>
          <w:szCs w:val="20"/>
          <w:lang w:val="lt-LT"/>
        </w:rPr>
      </w:pPr>
      <w:r w:rsidRPr="00105B94">
        <w:rPr>
          <w:rFonts w:ascii="Georgia" w:hAnsi="Georgia"/>
          <w:sz w:val="20"/>
          <w:szCs w:val="20"/>
          <w:lang w:val="lt-LT"/>
        </w:rPr>
        <w:t>Apskaičiuota, jog siekiant padengti v</w:t>
      </w:r>
      <w:r w:rsidR="00C94D06" w:rsidRPr="00105B94">
        <w:rPr>
          <w:rFonts w:ascii="Georgia" w:hAnsi="Georgia"/>
          <w:sz w:val="20"/>
          <w:szCs w:val="20"/>
          <w:lang w:val="lt-LT"/>
        </w:rPr>
        <w:t xml:space="preserve">isą rinkos finansavimo trūkumą, centrinės valdžios viešųjų pastatų modernizavimui skirto finansavimo apimtis turėtų būti 111,3 mln. eurų, o gatvių apšvietimo modernizavimui skirtos </w:t>
      </w:r>
      <w:r w:rsidRPr="00105B94">
        <w:rPr>
          <w:rFonts w:ascii="Georgia" w:hAnsi="Georgia"/>
          <w:sz w:val="20"/>
          <w:szCs w:val="20"/>
          <w:lang w:val="lt-LT"/>
        </w:rPr>
        <w:t xml:space="preserve">garantijų priemonės apimtis turėtų būti 25,85 mln. eurų. </w:t>
      </w:r>
    </w:p>
    <w:p w14:paraId="153A7290" w14:textId="330C5B94" w:rsidR="00492A9B" w:rsidRDefault="00492A9B" w:rsidP="00492A9B">
      <w:pPr>
        <w:pStyle w:val="prastasis1"/>
        <w:spacing w:line="276" w:lineRule="auto"/>
        <w:jc w:val="both"/>
        <w:rPr>
          <w:rFonts w:ascii="Georgia" w:hAnsi="Georgia"/>
          <w:sz w:val="20"/>
          <w:szCs w:val="20"/>
        </w:rPr>
      </w:pPr>
      <w:r>
        <w:rPr>
          <w:rFonts w:ascii="Georgia" w:hAnsi="Georgia"/>
          <w:sz w:val="20"/>
          <w:szCs w:val="20"/>
        </w:rPr>
        <w:t>Vadovaujantis Bendrųjų nuostatų reglamento galutinio naudos gavėjo apibrėžimu</w:t>
      </w:r>
      <w:r w:rsidR="009647A2">
        <w:rPr>
          <w:rStyle w:val="Puslapioinaosnuoroda"/>
          <w:rFonts w:ascii="Georgia" w:hAnsi="Georgia"/>
          <w:sz w:val="20"/>
          <w:szCs w:val="20"/>
        </w:rPr>
        <w:footnoteReference w:id="165"/>
      </w:r>
      <w:r>
        <w:rPr>
          <w:rFonts w:ascii="Georgia" w:hAnsi="Georgia"/>
          <w:sz w:val="20"/>
          <w:szCs w:val="20"/>
        </w:rPr>
        <w:t xml:space="preserve">, </w:t>
      </w:r>
      <w:r w:rsidR="00586810">
        <w:rPr>
          <w:rFonts w:ascii="Georgia" w:hAnsi="Georgia"/>
          <w:sz w:val="20"/>
          <w:szCs w:val="20"/>
        </w:rPr>
        <w:t xml:space="preserve">numatoma, kad centrinės valdžios pastatų modernizavimo atveju </w:t>
      </w:r>
      <w:r>
        <w:rPr>
          <w:rFonts w:ascii="Georgia" w:hAnsi="Georgia"/>
          <w:sz w:val="20"/>
          <w:szCs w:val="20"/>
        </w:rPr>
        <w:t>galutiniai</w:t>
      </w:r>
      <w:r w:rsidR="00586810">
        <w:rPr>
          <w:rFonts w:ascii="Georgia" w:hAnsi="Georgia"/>
          <w:sz w:val="20"/>
          <w:szCs w:val="20"/>
        </w:rPr>
        <w:t>s</w:t>
      </w:r>
      <w:r>
        <w:rPr>
          <w:rFonts w:ascii="Georgia" w:hAnsi="Georgia"/>
          <w:sz w:val="20"/>
          <w:szCs w:val="20"/>
        </w:rPr>
        <w:t xml:space="preserve"> naudos gavėjai</w:t>
      </w:r>
      <w:r w:rsidR="00586810">
        <w:rPr>
          <w:rFonts w:ascii="Georgia" w:hAnsi="Georgia"/>
          <w:sz w:val="20"/>
          <w:szCs w:val="20"/>
        </w:rPr>
        <w:t>s</w:t>
      </w:r>
      <w:r>
        <w:rPr>
          <w:rFonts w:ascii="Georgia" w:hAnsi="Georgia"/>
          <w:sz w:val="20"/>
          <w:szCs w:val="20"/>
        </w:rPr>
        <w:t xml:space="preserve"> </w:t>
      </w:r>
      <w:r w:rsidR="00586810">
        <w:rPr>
          <w:rFonts w:ascii="Georgia" w:hAnsi="Georgia"/>
          <w:sz w:val="20"/>
          <w:szCs w:val="20"/>
        </w:rPr>
        <w:t>bus laikomi</w:t>
      </w:r>
      <w:r>
        <w:rPr>
          <w:rFonts w:ascii="Georgia" w:hAnsi="Georgia"/>
          <w:sz w:val="20"/>
          <w:szCs w:val="20"/>
        </w:rPr>
        <w:t xml:space="preserve"> subjektai, </w:t>
      </w:r>
      <w:r w:rsidR="009647A2">
        <w:rPr>
          <w:rFonts w:ascii="Georgia" w:hAnsi="Georgia"/>
          <w:sz w:val="20"/>
          <w:szCs w:val="20"/>
        </w:rPr>
        <w:t xml:space="preserve">kurių </w:t>
      </w:r>
      <w:r w:rsidR="003C3CFF" w:rsidRPr="00CD01C4">
        <w:rPr>
          <w:rFonts w:ascii="Georgia" w:hAnsi="Georgia"/>
          <w:sz w:val="20"/>
          <w:szCs w:val="20"/>
        </w:rPr>
        <w:t xml:space="preserve">nuosavybės, patikėjimo ar panaudos </w:t>
      </w:r>
      <w:r w:rsidR="009647A2">
        <w:rPr>
          <w:rFonts w:ascii="Georgia" w:hAnsi="Georgia"/>
          <w:sz w:val="20"/>
          <w:szCs w:val="20"/>
        </w:rPr>
        <w:t>teise valdomi pastatai yra renovuojami pasinaudojant finansinės priemonės lėšomis</w:t>
      </w:r>
      <w:r>
        <w:rPr>
          <w:rFonts w:ascii="Georgia" w:hAnsi="Georgia"/>
          <w:sz w:val="20"/>
          <w:szCs w:val="20"/>
        </w:rPr>
        <w:t xml:space="preserve">. </w:t>
      </w:r>
    </w:p>
    <w:p w14:paraId="4DC328BD" w14:textId="64AF9DE4" w:rsidR="00492A9B" w:rsidRDefault="00492A9B" w:rsidP="0089727D">
      <w:pPr>
        <w:pStyle w:val="prastasis1"/>
        <w:spacing w:line="276" w:lineRule="auto"/>
        <w:jc w:val="both"/>
        <w:rPr>
          <w:rFonts w:ascii="Georgia" w:hAnsi="Georgia"/>
          <w:sz w:val="20"/>
          <w:szCs w:val="20"/>
        </w:rPr>
      </w:pPr>
      <w:r>
        <w:rPr>
          <w:rFonts w:ascii="Georgia" w:hAnsi="Georgia"/>
          <w:sz w:val="20"/>
          <w:szCs w:val="20"/>
        </w:rPr>
        <w:t>Atsižvelgiant į tai, kad dauguma savivaldybių gatvių apšvietimo tinklų priežiūros funkciją ir visas su gatvių apšvietimo tinklo priežiūra susijusias veiklas (tame tarpe ir investicijas) yra perdavę savivaldybių įmonėms ar savivaldybių kontroliuojamoms įmonėms (tokioms kaip pvz. UAB Vilniaus gatvių apšvietimo elektros tinklai, UAB Jonavos paslaugos ir t.t.), savivaldybės gali pavesti gatvių apšvietimo modernizavimo projekto įgyvendinimą tokiai savivaldybės įmonei ar savivaldybės kontroliuojamai įmonei. Taip pat siekiant neapriboti savivaldybių pasirinkimo teisės savivaldybės (savivaldybių administracijos) galėtų pasirinkti įgyvendinti projektus pačios, arba viešųjų pirkimų būdu atrinkti ESCO įmonę. Atsižvelgiant į tai ga</w:t>
      </w:r>
      <w:r w:rsidR="0089727D">
        <w:rPr>
          <w:rFonts w:ascii="Georgia" w:hAnsi="Georgia"/>
          <w:sz w:val="20"/>
          <w:szCs w:val="20"/>
        </w:rPr>
        <w:t>l</w:t>
      </w:r>
      <w:r>
        <w:rPr>
          <w:rFonts w:ascii="Georgia" w:hAnsi="Georgia"/>
          <w:sz w:val="20"/>
          <w:szCs w:val="20"/>
        </w:rPr>
        <w:t xml:space="preserve">utiniais naudos gavėjais, gatvių apšvietimo </w:t>
      </w:r>
      <w:r>
        <w:rPr>
          <w:rFonts w:ascii="Georgia" w:hAnsi="Georgia"/>
          <w:sz w:val="20"/>
          <w:szCs w:val="20"/>
        </w:rPr>
        <w:lastRenderedPageBreak/>
        <w:t>modernizavimo atveju, bus laikom</w:t>
      </w:r>
      <w:r w:rsidR="0089727D">
        <w:rPr>
          <w:rFonts w:ascii="Georgia" w:hAnsi="Georgia"/>
          <w:sz w:val="20"/>
          <w:szCs w:val="20"/>
        </w:rPr>
        <w:t>os</w:t>
      </w:r>
      <w:r w:rsidR="00A734A4">
        <w:rPr>
          <w:rFonts w:ascii="Georgia" w:hAnsi="Georgia"/>
          <w:sz w:val="20"/>
          <w:szCs w:val="20"/>
        </w:rPr>
        <w:t xml:space="preserve"> </w:t>
      </w:r>
      <w:r w:rsidR="0089727D">
        <w:rPr>
          <w:rFonts w:ascii="Georgia" w:hAnsi="Georgia"/>
          <w:sz w:val="20"/>
          <w:szCs w:val="20"/>
        </w:rPr>
        <w:t>savivaldyb</w:t>
      </w:r>
      <w:r w:rsidR="00A734A4">
        <w:rPr>
          <w:rFonts w:ascii="Georgia" w:hAnsi="Georgia"/>
          <w:sz w:val="20"/>
          <w:szCs w:val="20"/>
        </w:rPr>
        <w:t>ės</w:t>
      </w:r>
      <w:r w:rsidR="0050613B">
        <w:rPr>
          <w:rFonts w:ascii="Georgia" w:hAnsi="Georgia"/>
          <w:sz w:val="20"/>
          <w:szCs w:val="20"/>
        </w:rPr>
        <w:t>, kurioms per tarpininkus (pvz. ESCO) teikiamos finansinės priemonės</w:t>
      </w:r>
      <w:r w:rsidR="0089727D">
        <w:rPr>
          <w:rFonts w:ascii="Georgia" w:hAnsi="Georgia"/>
          <w:sz w:val="20"/>
          <w:szCs w:val="20"/>
        </w:rPr>
        <w:t>.</w:t>
      </w:r>
      <w:r>
        <w:rPr>
          <w:rFonts w:ascii="Georgia" w:hAnsi="Georgia"/>
          <w:sz w:val="20"/>
          <w:szCs w:val="20"/>
        </w:rPr>
        <w:t xml:space="preserve"> </w:t>
      </w:r>
    </w:p>
    <w:p w14:paraId="52FEAFC7" w14:textId="404928F1" w:rsidR="00151543" w:rsidRPr="00105B94" w:rsidRDefault="0050613B" w:rsidP="00492A9B">
      <w:pPr>
        <w:pStyle w:val="prastasis1"/>
        <w:spacing w:line="276" w:lineRule="auto"/>
        <w:jc w:val="both"/>
        <w:rPr>
          <w:rFonts w:ascii="Georgia" w:hAnsi="Georgia"/>
          <w:sz w:val="20"/>
          <w:szCs w:val="20"/>
        </w:rPr>
      </w:pPr>
      <w:r>
        <w:rPr>
          <w:rFonts w:ascii="Georgia" w:hAnsi="Georgia"/>
          <w:sz w:val="20"/>
          <w:szCs w:val="20"/>
        </w:rPr>
        <w:t>A</w:t>
      </w:r>
      <w:r w:rsidR="00492A9B">
        <w:rPr>
          <w:rFonts w:ascii="Georgia" w:hAnsi="Georgia"/>
          <w:sz w:val="20"/>
          <w:szCs w:val="20"/>
        </w:rPr>
        <w:t>tkreiptinas dėmesys, kad galutinė projekto nauda ir rezultatai didžiąja dalimi atitenka viešiesiems centrinės valdžios pastatams bei savivaldybėms, kurioms priklauso gatvių apšvietimo tinklai. Pastarosios institucijos, įgyvendinus projektus, turės energetiškai efektyvius, komfortiškai modernizuotus pastatus, taip pat efektyvesnį, geriau valdomą ir prižiūrėtą gatvių apšvietimo tinklą, be to, pasibaigus sutarties su ESCO kompanija laikotarpiui, turės daug mažesnes energijos sąnaudas.</w:t>
      </w:r>
    </w:p>
    <w:p w14:paraId="0FAA4C53" w14:textId="77777777" w:rsidR="00C94D06" w:rsidRPr="00AC3318" w:rsidRDefault="00C94D06" w:rsidP="00151543">
      <w:pPr>
        <w:pStyle w:val="prastasis1"/>
        <w:spacing w:line="276" w:lineRule="auto"/>
        <w:jc w:val="both"/>
        <w:rPr>
          <w:rFonts w:ascii="Georgia" w:hAnsi="Georgia"/>
          <w:sz w:val="20"/>
          <w:szCs w:val="20"/>
        </w:rPr>
      </w:pPr>
      <w:r w:rsidRPr="00105B94">
        <w:rPr>
          <w:rFonts w:ascii="Georgia" w:hAnsi="Georgia"/>
          <w:sz w:val="20"/>
          <w:szCs w:val="20"/>
        </w:rPr>
        <w:t>Pažymėtina, kad siekiant užtikrinti gatvių apšvietimo modernizavimo finansinės priemonės darną su Veiksmų programos siektinais tikslais, prioritetas gatvių apšvietimo modernizavimo srityje turėtų būti teikiamas miestų gatvių apšvietimo tinklų modernizavimui (o ne rajonuose esančių gatvių apšvietimo tinklų modernizavimui).</w:t>
      </w:r>
      <w:r w:rsidR="00FC2E80">
        <w:rPr>
          <w:rFonts w:ascii="Georgia" w:hAnsi="Georgia"/>
          <w:sz w:val="20"/>
          <w:szCs w:val="20"/>
        </w:rPr>
        <w:t xml:space="preserve"> Detali informacija apie savivaldybių pateiktą poreikį investicijoms gatvių apšvietimo modernizavimo tinklams pateikta 8-ame priede.</w:t>
      </w:r>
    </w:p>
    <w:p w14:paraId="133EB644" w14:textId="77777777" w:rsidR="00151543" w:rsidRPr="004B2E74" w:rsidRDefault="00151543" w:rsidP="00151543">
      <w:pPr>
        <w:rPr>
          <w:rFonts w:ascii="Georgia" w:hAnsi="Georgia"/>
          <w:i/>
          <w:sz w:val="20"/>
          <w:lang w:val="lt-LT"/>
        </w:rPr>
      </w:pPr>
      <w:r w:rsidRPr="004B2E74">
        <w:rPr>
          <w:rFonts w:ascii="Georgia" w:hAnsi="Georgia"/>
          <w:i/>
          <w:sz w:val="20"/>
          <w:lang w:val="lt-LT"/>
        </w:rPr>
        <w:t xml:space="preserve">ESCO modelis </w:t>
      </w:r>
    </w:p>
    <w:p w14:paraId="67E30553" w14:textId="77777777" w:rsidR="00151543" w:rsidRDefault="00151543" w:rsidP="00151543">
      <w:pPr>
        <w:jc w:val="both"/>
        <w:rPr>
          <w:rFonts w:ascii="Georgia" w:hAnsi="Georgia"/>
          <w:sz w:val="20"/>
          <w:lang w:val="lt-LT"/>
        </w:rPr>
      </w:pPr>
      <w:r w:rsidRPr="00A07762">
        <w:rPr>
          <w:rFonts w:ascii="Georgia" w:hAnsi="Georgia"/>
          <w:sz w:val="20"/>
          <w:lang w:val="lt-LT"/>
        </w:rPr>
        <w:t>ESCO tai energetinių paslaugų bendrovė (angl. Energy Service Company</w:t>
      </w:r>
      <w:r w:rsidR="00AE7E91">
        <w:rPr>
          <w:rFonts w:ascii="Georgia" w:hAnsi="Georgia"/>
          <w:sz w:val="20"/>
          <w:lang w:val="lt-LT"/>
        </w:rPr>
        <w:t>)</w:t>
      </w:r>
      <w:r w:rsidRPr="00A07762">
        <w:rPr>
          <w:rFonts w:ascii="Georgia" w:hAnsi="Georgia"/>
          <w:sz w:val="20"/>
          <w:lang w:val="lt-LT"/>
        </w:rPr>
        <w:t>, kuri sudarydama Energetinių paslaugų sutartį (angl. Energy Performance Contract) su pastato valdytoju investuoja į pastato energinio efektyvumo priemones ir per sutarties galiojimo laikotarpį iš būsimų energijos sutaupymų padengia patirtas investicijas. Šio modelio esmė – didžiausias energijos sutaupymų efektas nepatiriant didelių pradinių investicijų naštos.</w:t>
      </w:r>
    </w:p>
    <w:p w14:paraId="0B502AF4" w14:textId="77777777" w:rsidR="00151543" w:rsidRDefault="00151543" w:rsidP="00151543">
      <w:pPr>
        <w:jc w:val="center"/>
        <w:rPr>
          <w:rFonts w:ascii="Georgia" w:hAnsi="Georgia"/>
          <w:sz w:val="20"/>
          <w:lang w:val="lt-LT"/>
        </w:rPr>
      </w:pPr>
      <w:r w:rsidRPr="00A07762">
        <w:rPr>
          <w:noProof/>
          <w:lang w:val="lt-LT" w:eastAsia="lt-LT"/>
        </w:rPr>
        <w:drawing>
          <wp:inline distT="0" distB="0" distL="0" distR="0" wp14:anchorId="6C5A3487" wp14:editId="5B9E1F78">
            <wp:extent cx="4079019" cy="3108960"/>
            <wp:effectExtent l="0" t="0" r="0" b="0"/>
            <wp:docPr id="7" name="Paveikslėlis 7" descr="C:\Users\rolandas.marcinkevicius.VIPA\Desktop\ESCO modelis 2 - Kopija.png"/>
            <wp:cNvGraphicFramePr/>
            <a:graphic xmlns:a="http://schemas.openxmlformats.org/drawingml/2006/main">
              <a:graphicData uri="http://schemas.openxmlformats.org/drawingml/2006/picture">
                <pic:pic xmlns:pic="http://schemas.openxmlformats.org/drawingml/2006/picture">
                  <pic:nvPicPr>
                    <pic:cNvPr id="2" name="Paveikslėlis 2" descr="C:\Users\rolandas.marcinkevicius.VIPA\Desktop\ESCO modelis 2 - Kopija.png"/>
                    <pic:cNvPicPr/>
                  </pic:nvPicPr>
                  <pic:blipFill>
                    <a:blip r:embed="rId113">
                      <a:extLst>
                        <a:ext uri="{28A0092B-C50C-407E-A947-70E740481C1C}">
                          <a14:useLocalDpi xmlns:a14="http://schemas.microsoft.com/office/drawing/2010/main"/>
                        </a:ext>
                      </a:extLst>
                    </a:blip>
                    <a:srcRect/>
                    <a:stretch>
                      <a:fillRect/>
                    </a:stretch>
                  </pic:blipFill>
                  <pic:spPr bwMode="auto">
                    <a:xfrm>
                      <a:off x="0" y="0"/>
                      <a:ext cx="4082155" cy="3111350"/>
                    </a:xfrm>
                    <a:prstGeom prst="rect">
                      <a:avLst/>
                    </a:prstGeom>
                    <a:noFill/>
                    <a:ln>
                      <a:noFill/>
                    </a:ln>
                  </pic:spPr>
                </pic:pic>
              </a:graphicData>
            </a:graphic>
          </wp:inline>
        </w:drawing>
      </w:r>
    </w:p>
    <w:p w14:paraId="1D8C9867" w14:textId="2FDCAE26" w:rsidR="004B2E74" w:rsidRPr="00AE7E91" w:rsidRDefault="004B2E74" w:rsidP="004B2E74">
      <w:pPr>
        <w:pStyle w:val="Antrat"/>
        <w:rPr>
          <w:lang w:val="lt-LT"/>
        </w:rPr>
      </w:pPr>
      <w:bookmarkStart w:id="374" w:name="_Toc417378334"/>
      <w:r w:rsidRPr="00AE7E91">
        <w:rPr>
          <w:lang w:val="lt-LT"/>
        </w:rPr>
        <w:t xml:space="preserve">Paveikslas </w:t>
      </w:r>
      <w:r w:rsidRPr="00AE7E91">
        <w:rPr>
          <w:lang w:val="lt-LT"/>
        </w:rPr>
        <w:fldChar w:fldCharType="begin"/>
      </w:r>
      <w:r w:rsidRPr="00AE7E91">
        <w:rPr>
          <w:lang w:val="lt-LT"/>
        </w:rPr>
        <w:instrText xml:space="preserve"> SEQ Paveikslas \* ARABIC </w:instrText>
      </w:r>
      <w:r w:rsidRPr="00AE7E91">
        <w:rPr>
          <w:lang w:val="lt-LT"/>
        </w:rPr>
        <w:fldChar w:fldCharType="separate"/>
      </w:r>
      <w:r w:rsidR="00AA3082">
        <w:rPr>
          <w:noProof/>
          <w:lang w:val="lt-LT"/>
        </w:rPr>
        <w:t>57</w:t>
      </w:r>
      <w:r w:rsidRPr="00AE7E91">
        <w:rPr>
          <w:lang w:val="lt-LT"/>
        </w:rPr>
        <w:fldChar w:fldCharType="end"/>
      </w:r>
      <w:r w:rsidRPr="00AE7E91">
        <w:rPr>
          <w:lang w:val="lt-LT"/>
        </w:rPr>
        <w:t xml:space="preserve">. </w:t>
      </w:r>
      <w:r w:rsidRPr="00AE7E91">
        <w:rPr>
          <w:rFonts w:eastAsia="Times New Roman"/>
          <w:szCs w:val="20"/>
          <w:lang w:val="lt-LT" w:eastAsia="lt-LT"/>
        </w:rPr>
        <w:t>ESCO modelio schema</w:t>
      </w:r>
      <w:bookmarkEnd w:id="374"/>
    </w:p>
    <w:p w14:paraId="35BF5F04" w14:textId="77777777" w:rsidR="00151543" w:rsidRPr="00A07762" w:rsidRDefault="00151543" w:rsidP="00151543">
      <w:pPr>
        <w:jc w:val="both"/>
        <w:rPr>
          <w:rFonts w:ascii="Georgia" w:hAnsi="Georgia"/>
          <w:sz w:val="20"/>
          <w:lang w:val="lt-LT"/>
        </w:rPr>
      </w:pPr>
    </w:p>
    <w:p w14:paraId="09ACEDC1" w14:textId="77777777" w:rsidR="00151543" w:rsidRPr="00AA32EA" w:rsidRDefault="00151543" w:rsidP="00151543">
      <w:pPr>
        <w:jc w:val="both"/>
        <w:rPr>
          <w:rFonts w:ascii="Georgia" w:hAnsi="Georgia"/>
          <w:b/>
          <w:sz w:val="20"/>
          <w:lang w:val="lt-LT"/>
        </w:rPr>
      </w:pPr>
      <w:r w:rsidRPr="00AA32EA">
        <w:rPr>
          <w:rFonts w:ascii="Georgia" w:hAnsi="Georgia"/>
          <w:b/>
          <w:sz w:val="20"/>
          <w:lang w:val="lt-LT"/>
        </w:rPr>
        <w:t>ESCO modelio taikymas centrinės valdžios</w:t>
      </w:r>
      <w:r>
        <w:rPr>
          <w:rFonts w:ascii="Georgia" w:hAnsi="Georgia"/>
          <w:b/>
          <w:sz w:val="20"/>
          <w:lang w:val="lt-LT"/>
        </w:rPr>
        <w:t xml:space="preserve"> viešiesiems</w:t>
      </w:r>
      <w:r w:rsidRPr="00AA32EA">
        <w:rPr>
          <w:rFonts w:ascii="Georgia" w:hAnsi="Georgia"/>
          <w:b/>
          <w:sz w:val="20"/>
          <w:lang w:val="lt-LT"/>
        </w:rPr>
        <w:t xml:space="preserve"> pastatams</w:t>
      </w:r>
    </w:p>
    <w:p w14:paraId="4A29BBA9" w14:textId="77777777" w:rsidR="00151543" w:rsidRPr="00A07762" w:rsidRDefault="00151543" w:rsidP="00151543">
      <w:pPr>
        <w:jc w:val="both"/>
        <w:rPr>
          <w:rFonts w:ascii="Georgia" w:hAnsi="Georgia"/>
          <w:sz w:val="20"/>
          <w:lang w:val="lt-LT"/>
        </w:rPr>
      </w:pPr>
      <w:r w:rsidRPr="00A07762">
        <w:rPr>
          <w:rFonts w:ascii="Georgia" w:hAnsi="Georgia"/>
          <w:sz w:val="20"/>
          <w:lang w:val="lt-LT"/>
        </w:rPr>
        <w:t>Centrinės valdžios viešiesiems pastatams šis modelis galėtų būti taikomas dėl to, kad teisiškai biudžetinėms įstaigoms tiesiogiai negali būti teikiamos paskolos. Šio m</w:t>
      </w:r>
      <w:r>
        <w:rPr>
          <w:rFonts w:ascii="Georgia" w:hAnsi="Georgia"/>
          <w:sz w:val="20"/>
          <w:lang w:val="lt-LT"/>
        </w:rPr>
        <w:t>o</w:t>
      </w:r>
      <w:r w:rsidRPr="00A07762">
        <w:rPr>
          <w:rFonts w:ascii="Georgia" w:hAnsi="Georgia"/>
          <w:sz w:val="20"/>
          <w:lang w:val="lt-LT"/>
        </w:rPr>
        <w:t xml:space="preserve">delio atveju pastato valdytojui taip pat nereikia rūpintis projekto įgyvendinimu ir finansavimu, viską savo rizika atlieka ESCO kompanija, kuri </w:t>
      </w:r>
      <w:r w:rsidR="00CB2994">
        <w:rPr>
          <w:rFonts w:ascii="Georgia" w:hAnsi="Georgia"/>
          <w:sz w:val="20"/>
          <w:lang w:val="lt-LT"/>
        </w:rPr>
        <w:t xml:space="preserve">projektą įgyvendina ieškodama </w:t>
      </w:r>
      <w:r w:rsidRPr="00A07762">
        <w:rPr>
          <w:rFonts w:ascii="Georgia" w:hAnsi="Georgia"/>
          <w:sz w:val="20"/>
          <w:lang w:val="lt-LT"/>
        </w:rPr>
        <w:t xml:space="preserve">geriausio </w:t>
      </w:r>
      <w:r w:rsidR="00CB2994">
        <w:rPr>
          <w:rFonts w:ascii="Georgia" w:hAnsi="Georgia"/>
          <w:sz w:val="20"/>
          <w:lang w:val="lt-LT"/>
        </w:rPr>
        <w:t xml:space="preserve">techninio </w:t>
      </w:r>
      <w:r w:rsidRPr="00A07762">
        <w:rPr>
          <w:rFonts w:ascii="Georgia" w:hAnsi="Georgia"/>
          <w:sz w:val="20"/>
          <w:lang w:val="lt-LT"/>
        </w:rPr>
        <w:t xml:space="preserve">sprendimo </w:t>
      </w:r>
      <w:r w:rsidR="00CB2994">
        <w:rPr>
          <w:rFonts w:ascii="Georgia" w:hAnsi="Georgia"/>
          <w:sz w:val="20"/>
          <w:lang w:val="lt-LT"/>
        </w:rPr>
        <w:t xml:space="preserve">bei </w:t>
      </w:r>
      <w:r w:rsidRPr="00A07762">
        <w:rPr>
          <w:rFonts w:ascii="Georgia" w:hAnsi="Georgia"/>
          <w:sz w:val="20"/>
          <w:lang w:val="lt-LT"/>
        </w:rPr>
        <w:t>panaudo</w:t>
      </w:r>
      <w:r>
        <w:rPr>
          <w:rFonts w:ascii="Georgia" w:hAnsi="Georgia"/>
          <w:sz w:val="20"/>
          <w:lang w:val="lt-LT"/>
        </w:rPr>
        <w:t>d</w:t>
      </w:r>
      <w:r w:rsidRPr="00A07762">
        <w:rPr>
          <w:rFonts w:ascii="Georgia" w:hAnsi="Georgia"/>
          <w:sz w:val="20"/>
          <w:lang w:val="lt-LT"/>
        </w:rPr>
        <w:t>a</w:t>
      </w:r>
      <w:r>
        <w:rPr>
          <w:rFonts w:ascii="Georgia" w:hAnsi="Georgia"/>
          <w:sz w:val="20"/>
          <w:lang w:val="lt-LT"/>
        </w:rPr>
        <w:t>ma</w:t>
      </w:r>
      <w:r w:rsidRPr="00A07762">
        <w:rPr>
          <w:rFonts w:ascii="Georgia" w:hAnsi="Georgia"/>
          <w:sz w:val="20"/>
          <w:lang w:val="lt-LT"/>
        </w:rPr>
        <w:t xml:space="preserve"> savo žinias, patirtį bei naujausias technologijas. </w:t>
      </w:r>
    </w:p>
    <w:p w14:paraId="3E11253A" w14:textId="77777777" w:rsidR="00151543" w:rsidRDefault="00151543" w:rsidP="00151543">
      <w:pPr>
        <w:jc w:val="both"/>
        <w:rPr>
          <w:rFonts w:ascii="Georgia" w:hAnsi="Georgia"/>
          <w:sz w:val="20"/>
          <w:lang w:val="lt-LT"/>
        </w:rPr>
      </w:pPr>
      <w:r w:rsidRPr="00A07762">
        <w:rPr>
          <w:rFonts w:ascii="Georgia" w:hAnsi="Georgia"/>
          <w:sz w:val="20"/>
          <w:lang w:val="lt-LT"/>
        </w:rPr>
        <w:lastRenderedPageBreak/>
        <w:t xml:space="preserve">Šio modelio įgyvendinimo atveju ESCO kompanija butų atrenkama įvykdžius viešąjį pirkimą, po kurio viešojo pastato valdytojas ir </w:t>
      </w:r>
      <w:r>
        <w:rPr>
          <w:rFonts w:ascii="Georgia" w:hAnsi="Georgia"/>
          <w:sz w:val="20"/>
          <w:lang w:val="lt-LT"/>
        </w:rPr>
        <w:t>ESCO kompanija</w:t>
      </w:r>
      <w:r w:rsidRPr="00A07762">
        <w:rPr>
          <w:rFonts w:ascii="Georgia" w:hAnsi="Georgia"/>
          <w:sz w:val="20"/>
          <w:lang w:val="lt-LT"/>
        </w:rPr>
        <w:t xml:space="preserve"> pasirašytų energetinių paslaugų sutartį. Šios sutarties pagrindinis </w:t>
      </w:r>
      <w:r w:rsidR="00CB2994">
        <w:rPr>
          <w:rFonts w:ascii="Georgia" w:hAnsi="Georgia"/>
          <w:sz w:val="20"/>
          <w:lang w:val="lt-LT"/>
        </w:rPr>
        <w:t>elementas</w:t>
      </w:r>
      <w:r w:rsidR="00CB2994" w:rsidRPr="00A07762">
        <w:rPr>
          <w:rFonts w:ascii="Georgia" w:hAnsi="Georgia"/>
          <w:sz w:val="20"/>
          <w:lang w:val="lt-LT"/>
        </w:rPr>
        <w:t xml:space="preserve"> </w:t>
      </w:r>
      <w:r w:rsidR="00CB2994">
        <w:rPr>
          <w:rFonts w:ascii="Georgia" w:hAnsi="Georgia"/>
          <w:sz w:val="20"/>
          <w:lang w:val="lt-LT"/>
        </w:rPr>
        <w:t>–</w:t>
      </w:r>
      <w:r w:rsidR="00CB2994" w:rsidRPr="00A07762">
        <w:rPr>
          <w:rFonts w:ascii="Georgia" w:hAnsi="Georgia"/>
          <w:sz w:val="20"/>
          <w:lang w:val="lt-LT"/>
        </w:rPr>
        <w:t xml:space="preserve"> </w:t>
      </w:r>
      <w:r w:rsidRPr="00A07762">
        <w:rPr>
          <w:rFonts w:ascii="Georgia" w:hAnsi="Georgia"/>
          <w:sz w:val="20"/>
          <w:lang w:val="lt-LT"/>
        </w:rPr>
        <w:t>garantuotas</w:t>
      </w:r>
      <w:r w:rsidR="00CB2994">
        <w:rPr>
          <w:rFonts w:ascii="Georgia" w:hAnsi="Georgia"/>
          <w:sz w:val="20"/>
          <w:lang w:val="lt-LT"/>
        </w:rPr>
        <w:t xml:space="preserve"> energijos</w:t>
      </w:r>
      <w:r w:rsidRPr="00A07762">
        <w:rPr>
          <w:rFonts w:ascii="Georgia" w:hAnsi="Georgia"/>
          <w:sz w:val="20"/>
          <w:lang w:val="lt-LT"/>
        </w:rPr>
        <w:t xml:space="preserve"> sutaupymas pastate įdiegus energiją taupančias priemones.</w:t>
      </w:r>
    </w:p>
    <w:p w14:paraId="32CDEBF3" w14:textId="77777777" w:rsidR="00151543" w:rsidRDefault="00151543" w:rsidP="00151543">
      <w:pPr>
        <w:jc w:val="center"/>
        <w:rPr>
          <w:rFonts w:ascii="Georgia" w:hAnsi="Georgia"/>
          <w:sz w:val="20"/>
          <w:lang w:val="lt-LT"/>
        </w:rPr>
      </w:pPr>
      <w:r w:rsidRPr="003351A4">
        <w:rPr>
          <w:rFonts w:ascii="Georgia" w:hAnsi="Georgia"/>
          <w:noProof/>
          <w:sz w:val="20"/>
          <w:lang w:val="lt-LT" w:eastAsia="lt-LT"/>
        </w:rPr>
        <w:drawing>
          <wp:inline distT="0" distB="0" distL="0" distR="0" wp14:anchorId="5C2A2552" wp14:editId="57E695C0">
            <wp:extent cx="3486150" cy="201930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114" cstate="screen">
                      <a:extLst>
                        <a:ext uri="{28A0092B-C50C-407E-A947-70E740481C1C}">
                          <a14:useLocalDpi xmlns:a14="http://schemas.microsoft.com/office/drawing/2010/main"/>
                        </a:ext>
                      </a:extLst>
                    </a:blip>
                    <a:srcRect/>
                    <a:stretch>
                      <a:fillRect/>
                    </a:stretch>
                  </pic:blipFill>
                  <pic:spPr bwMode="auto">
                    <a:xfrm>
                      <a:off x="0" y="0"/>
                      <a:ext cx="3486150" cy="2019300"/>
                    </a:xfrm>
                    <a:prstGeom prst="rect">
                      <a:avLst/>
                    </a:prstGeom>
                    <a:noFill/>
                    <a:ln>
                      <a:noFill/>
                    </a:ln>
                  </pic:spPr>
                </pic:pic>
              </a:graphicData>
            </a:graphic>
          </wp:inline>
        </w:drawing>
      </w:r>
    </w:p>
    <w:p w14:paraId="20E1A6DD" w14:textId="1F693A04" w:rsidR="004B2E74" w:rsidRPr="00AE7E91" w:rsidRDefault="004B2E74" w:rsidP="004B2E74">
      <w:pPr>
        <w:pStyle w:val="Antrat"/>
        <w:rPr>
          <w:lang w:val="lt-LT"/>
        </w:rPr>
      </w:pPr>
      <w:bookmarkStart w:id="375" w:name="_Toc417378335"/>
      <w:r w:rsidRPr="00AE7E91">
        <w:rPr>
          <w:lang w:val="lt-LT"/>
        </w:rPr>
        <w:t xml:space="preserve">Paveikslas </w:t>
      </w:r>
      <w:r w:rsidRPr="00AE7E91">
        <w:rPr>
          <w:lang w:val="lt-LT"/>
        </w:rPr>
        <w:fldChar w:fldCharType="begin"/>
      </w:r>
      <w:r w:rsidRPr="00AE7E91">
        <w:rPr>
          <w:lang w:val="lt-LT"/>
        </w:rPr>
        <w:instrText xml:space="preserve"> SEQ Paveikslas \* ARABIC </w:instrText>
      </w:r>
      <w:r w:rsidRPr="00AE7E91">
        <w:rPr>
          <w:lang w:val="lt-LT"/>
        </w:rPr>
        <w:fldChar w:fldCharType="separate"/>
      </w:r>
      <w:r w:rsidR="00AA3082">
        <w:rPr>
          <w:noProof/>
          <w:lang w:val="lt-LT"/>
        </w:rPr>
        <w:t>58</w:t>
      </w:r>
      <w:r w:rsidRPr="00AE7E91">
        <w:rPr>
          <w:lang w:val="lt-LT"/>
        </w:rPr>
        <w:fldChar w:fldCharType="end"/>
      </w:r>
      <w:r w:rsidRPr="00AE7E91">
        <w:rPr>
          <w:lang w:val="lt-LT"/>
        </w:rPr>
        <w:t xml:space="preserve">. </w:t>
      </w:r>
      <w:r w:rsidRPr="00AE7E91">
        <w:rPr>
          <w:rFonts w:eastAsia="Times New Roman"/>
          <w:szCs w:val="20"/>
          <w:lang w:val="lt-LT" w:eastAsia="lt-LT"/>
        </w:rPr>
        <w:t>ESCO modelio naudos pasiskirstymas</w:t>
      </w:r>
      <w:bookmarkEnd w:id="375"/>
    </w:p>
    <w:p w14:paraId="0BCB411C" w14:textId="77777777" w:rsidR="00151543" w:rsidRPr="00A07762" w:rsidRDefault="00151543" w:rsidP="00151543">
      <w:pPr>
        <w:jc w:val="both"/>
        <w:rPr>
          <w:rFonts w:ascii="Georgia" w:hAnsi="Georgia"/>
          <w:sz w:val="20"/>
          <w:lang w:val="lt-LT"/>
        </w:rPr>
      </w:pPr>
      <w:r>
        <w:rPr>
          <w:rFonts w:ascii="Georgia" w:hAnsi="Georgia"/>
          <w:sz w:val="20"/>
          <w:lang w:val="lt-LT"/>
        </w:rPr>
        <w:t>Pagrindinis šio modelio privalumas</w:t>
      </w:r>
      <w:r w:rsidRPr="00A07762">
        <w:rPr>
          <w:rFonts w:ascii="Georgia" w:hAnsi="Georgia"/>
          <w:sz w:val="20"/>
          <w:lang w:val="lt-LT"/>
        </w:rPr>
        <w:t xml:space="preserve"> yra tai, kad </w:t>
      </w:r>
      <w:r>
        <w:rPr>
          <w:rFonts w:ascii="Georgia" w:hAnsi="Georgia"/>
          <w:sz w:val="20"/>
          <w:lang w:val="lt-LT"/>
        </w:rPr>
        <w:t xml:space="preserve">ESCO kompanijos prisiima riziką, kad </w:t>
      </w:r>
      <w:r w:rsidRPr="00A07762">
        <w:rPr>
          <w:rFonts w:ascii="Georgia" w:hAnsi="Georgia"/>
          <w:sz w:val="20"/>
          <w:lang w:val="lt-LT"/>
        </w:rPr>
        <w:t xml:space="preserve">energijos sutaupymai </w:t>
      </w:r>
      <w:r>
        <w:rPr>
          <w:rFonts w:ascii="Georgia" w:hAnsi="Georgia"/>
          <w:sz w:val="20"/>
          <w:lang w:val="lt-LT"/>
        </w:rPr>
        <w:t xml:space="preserve">po renovacijos </w:t>
      </w:r>
      <w:r w:rsidRPr="00A07762">
        <w:rPr>
          <w:rFonts w:ascii="Georgia" w:hAnsi="Georgia"/>
          <w:sz w:val="20"/>
          <w:lang w:val="lt-LT"/>
        </w:rPr>
        <w:t>tikrai bus pasiekti.</w:t>
      </w:r>
    </w:p>
    <w:p w14:paraId="0F8D73F7" w14:textId="77777777" w:rsidR="00151543" w:rsidRPr="00DF3A8E" w:rsidRDefault="00151543" w:rsidP="00151543">
      <w:pPr>
        <w:jc w:val="both"/>
        <w:rPr>
          <w:rFonts w:ascii="Georgia" w:hAnsi="Georgia"/>
          <w:sz w:val="20"/>
          <w:lang w:val="lt-LT"/>
        </w:rPr>
      </w:pPr>
    </w:p>
    <w:p w14:paraId="40A68553" w14:textId="77777777" w:rsidR="00151543" w:rsidRPr="00DF3A8E" w:rsidRDefault="00151543" w:rsidP="00C03122">
      <w:pPr>
        <w:pStyle w:val="Antrat2"/>
        <w:numPr>
          <w:ilvl w:val="2"/>
          <w:numId w:val="36"/>
        </w:numPr>
        <w:spacing w:after="240"/>
        <w:rPr>
          <w:lang w:val="lt-LT"/>
        </w:rPr>
      </w:pPr>
      <w:bookmarkStart w:id="376" w:name="_Toc398043863"/>
      <w:bookmarkStart w:id="377" w:name="_Toc398567615"/>
      <w:bookmarkStart w:id="378" w:name="_Toc417378446"/>
      <w:r w:rsidRPr="00DF3A8E">
        <w:rPr>
          <w:lang w:val="lt-LT"/>
        </w:rPr>
        <w:t>Finansinio produkto parinkimas</w:t>
      </w:r>
      <w:bookmarkEnd w:id="376"/>
      <w:bookmarkEnd w:id="377"/>
      <w:bookmarkEnd w:id="378"/>
    </w:p>
    <w:p w14:paraId="4F559CA4" w14:textId="77777777" w:rsidR="00275B63" w:rsidRDefault="00151543" w:rsidP="0015154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4-iame skyriuje buvo analizuojami ir vertinami įvairūs finansiniai produktai, skaičiuojamas jų multiplikatoriaus efektas bei galimybės pritraukti papildomas privačias lėšas. Viešųjų pastatų ir gatvių apšvietimo modernizavimo įgyvendinimui siūlomi finansiniai produktai</w:t>
      </w:r>
      <w:r w:rsidR="005A206F">
        <w:rPr>
          <w:rFonts w:ascii="Georgia" w:eastAsia="Times New Roman" w:hAnsi="Georgia" w:cs="Times New Roman"/>
          <w:sz w:val="20"/>
          <w:szCs w:val="20"/>
          <w:lang w:val="lt-LT" w:eastAsia="lt-LT"/>
        </w:rPr>
        <w:t>, parinkti pagal geriausius kiekybinius rezultatus,</w:t>
      </w:r>
      <w:r>
        <w:rPr>
          <w:rFonts w:ascii="Georgia" w:eastAsia="Times New Roman" w:hAnsi="Georgia" w:cs="Times New Roman"/>
          <w:sz w:val="20"/>
          <w:szCs w:val="20"/>
          <w:lang w:val="lt-LT" w:eastAsia="lt-LT"/>
        </w:rPr>
        <w:t xml:space="preserve"> detalizuojami žemiau. </w:t>
      </w:r>
    </w:p>
    <w:p w14:paraId="2267111A" w14:textId="77777777" w:rsidR="00151543" w:rsidRPr="00AA32EA" w:rsidRDefault="00151543" w:rsidP="004B2E74">
      <w:pPr>
        <w:jc w:val="both"/>
        <w:rPr>
          <w:rFonts w:ascii="Georgia" w:eastAsia="Times New Roman" w:hAnsi="Georgia" w:cs="Times New Roman"/>
          <w:b/>
          <w:sz w:val="20"/>
          <w:szCs w:val="20"/>
          <w:lang w:val="lt-LT" w:eastAsia="lt-LT"/>
        </w:rPr>
      </w:pPr>
      <w:r w:rsidRPr="00AA32EA">
        <w:rPr>
          <w:rFonts w:ascii="Georgia" w:eastAsia="Times New Roman" w:hAnsi="Georgia" w:cs="Times New Roman"/>
          <w:b/>
          <w:sz w:val="20"/>
          <w:szCs w:val="20"/>
          <w:lang w:val="lt-LT" w:eastAsia="lt-LT"/>
        </w:rPr>
        <w:t xml:space="preserve">Centrinės valdžios </w:t>
      </w:r>
      <w:r>
        <w:rPr>
          <w:rFonts w:ascii="Georgia" w:eastAsia="Times New Roman" w:hAnsi="Georgia" w:cs="Times New Roman"/>
          <w:b/>
          <w:sz w:val="20"/>
          <w:szCs w:val="20"/>
          <w:lang w:val="lt-LT" w:eastAsia="lt-LT"/>
        </w:rPr>
        <w:t xml:space="preserve">viešųjų </w:t>
      </w:r>
      <w:r w:rsidRPr="00AA32EA">
        <w:rPr>
          <w:rFonts w:ascii="Georgia" w:eastAsia="Times New Roman" w:hAnsi="Georgia" w:cs="Times New Roman"/>
          <w:b/>
          <w:sz w:val="20"/>
          <w:szCs w:val="20"/>
          <w:lang w:val="lt-LT" w:eastAsia="lt-LT"/>
        </w:rPr>
        <w:t>pastatų modernizavimas</w:t>
      </w:r>
    </w:p>
    <w:p w14:paraId="6707DDE5" w14:textId="77777777" w:rsidR="00151543" w:rsidRPr="00AC3318" w:rsidRDefault="00694765" w:rsidP="004B2E74">
      <w:pPr>
        <w:pStyle w:val="prastasis1"/>
        <w:spacing w:line="276" w:lineRule="auto"/>
        <w:jc w:val="both"/>
        <w:rPr>
          <w:rFonts w:ascii="Georgia" w:hAnsi="Georgia"/>
          <w:sz w:val="20"/>
          <w:szCs w:val="20"/>
        </w:rPr>
      </w:pPr>
      <w:r>
        <w:rPr>
          <w:rFonts w:ascii="Georgia" w:hAnsi="Georgia"/>
          <w:sz w:val="20"/>
          <w:szCs w:val="20"/>
        </w:rPr>
        <w:t>Centrinės valdžios v</w:t>
      </w:r>
      <w:r w:rsidR="00151543" w:rsidRPr="00AC3318">
        <w:rPr>
          <w:rFonts w:ascii="Georgia" w:hAnsi="Georgia"/>
          <w:sz w:val="20"/>
          <w:szCs w:val="20"/>
        </w:rPr>
        <w:t xml:space="preserve">iešųjų pastatų </w:t>
      </w:r>
      <w:r>
        <w:rPr>
          <w:rFonts w:ascii="Georgia" w:hAnsi="Georgia"/>
          <w:sz w:val="20"/>
          <w:szCs w:val="20"/>
        </w:rPr>
        <w:t>modernizavimui</w:t>
      </w:r>
      <w:r w:rsidR="00151543" w:rsidRPr="00AC3318">
        <w:rPr>
          <w:rFonts w:ascii="Georgia" w:hAnsi="Georgia"/>
          <w:sz w:val="20"/>
          <w:szCs w:val="20"/>
        </w:rPr>
        <w:t xml:space="preserve"> buvo įvertinti (</w:t>
      </w:r>
      <w:r w:rsidR="00151543">
        <w:rPr>
          <w:rFonts w:ascii="Georgia" w:hAnsi="Georgia"/>
          <w:sz w:val="20"/>
          <w:szCs w:val="20"/>
        </w:rPr>
        <w:t>4</w:t>
      </w:r>
      <w:r w:rsidR="00151543" w:rsidRPr="00AC3318">
        <w:rPr>
          <w:rFonts w:ascii="Georgia" w:hAnsi="Georgia"/>
          <w:sz w:val="20"/>
          <w:szCs w:val="20"/>
        </w:rPr>
        <w:t xml:space="preserve">.1. </w:t>
      </w:r>
      <w:r w:rsidR="00151543">
        <w:rPr>
          <w:rFonts w:ascii="Georgia" w:hAnsi="Georgia"/>
          <w:sz w:val="20"/>
          <w:szCs w:val="20"/>
        </w:rPr>
        <w:t>skyrius</w:t>
      </w:r>
      <w:r w:rsidR="00151543" w:rsidRPr="00AC3318">
        <w:rPr>
          <w:rFonts w:ascii="Georgia" w:hAnsi="Georgia"/>
          <w:sz w:val="20"/>
          <w:szCs w:val="20"/>
        </w:rPr>
        <w:t xml:space="preserve">) </w:t>
      </w:r>
      <w:r>
        <w:rPr>
          <w:rFonts w:ascii="Georgia" w:hAnsi="Georgia"/>
          <w:sz w:val="20"/>
          <w:szCs w:val="20"/>
        </w:rPr>
        <w:t>septyni</w:t>
      </w:r>
      <w:r w:rsidR="00151543" w:rsidRPr="00AC3318">
        <w:rPr>
          <w:rFonts w:ascii="Georgia" w:hAnsi="Georgia"/>
          <w:sz w:val="20"/>
          <w:szCs w:val="20"/>
        </w:rPr>
        <w:t xml:space="preserve"> scenarijai su skirtingais </w:t>
      </w:r>
      <w:r w:rsidR="00151543">
        <w:rPr>
          <w:rFonts w:ascii="Georgia" w:hAnsi="Georgia"/>
          <w:sz w:val="20"/>
          <w:szCs w:val="20"/>
        </w:rPr>
        <w:t xml:space="preserve">administravimo </w:t>
      </w:r>
      <w:r w:rsidR="00151543" w:rsidRPr="00AC3318">
        <w:rPr>
          <w:rFonts w:ascii="Georgia" w:hAnsi="Georgia"/>
          <w:sz w:val="20"/>
          <w:szCs w:val="20"/>
        </w:rPr>
        <w:t xml:space="preserve">modeliais ir finansinėmis priemonėmis, o taip pat </w:t>
      </w:r>
      <w:r w:rsidR="00151543">
        <w:rPr>
          <w:rFonts w:ascii="Georgia" w:hAnsi="Georgia"/>
          <w:sz w:val="20"/>
          <w:szCs w:val="20"/>
        </w:rPr>
        <w:t>subsidijų teikimo alternatyva</w:t>
      </w:r>
      <w:r w:rsidR="00151543" w:rsidRPr="00AC3318">
        <w:rPr>
          <w:rFonts w:ascii="Georgia" w:hAnsi="Georgia"/>
          <w:sz w:val="20"/>
          <w:szCs w:val="20"/>
        </w:rPr>
        <w:t xml:space="preserve">. Nustatyta, kad didžiausią pridėtinė vertę turi </w:t>
      </w:r>
      <w:r w:rsidR="00151543">
        <w:rPr>
          <w:rFonts w:ascii="Georgia" w:hAnsi="Georgia"/>
          <w:sz w:val="20"/>
          <w:szCs w:val="20"/>
        </w:rPr>
        <w:t>alternatyva</w:t>
      </w:r>
      <w:r w:rsidR="00151543" w:rsidRPr="00AC3318">
        <w:rPr>
          <w:rFonts w:ascii="Georgia" w:hAnsi="Georgia"/>
          <w:sz w:val="20"/>
          <w:szCs w:val="20"/>
        </w:rPr>
        <w:t>, kurio</w:t>
      </w:r>
      <w:r w:rsidR="00151543">
        <w:rPr>
          <w:rFonts w:ascii="Georgia" w:hAnsi="Georgia"/>
          <w:sz w:val="20"/>
          <w:szCs w:val="20"/>
        </w:rPr>
        <w:t>s</w:t>
      </w:r>
      <w:r w:rsidR="00151543" w:rsidRPr="00AC3318">
        <w:rPr>
          <w:rFonts w:ascii="Georgia" w:hAnsi="Georgia"/>
          <w:sz w:val="20"/>
          <w:szCs w:val="20"/>
        </w:rPr>
        <w:t xml:space="preserve"> metu iš pradžių sukuriamas </w:t>
      </w:r>
      <w:r w:rsidR="00151543">
        <w:rPr>
          <w:rFonts w:ascii="Georgia" w:hAnsi="Georgia"/>
          <w:sz w:val="20"/>
          <w:szCs w:val="20"/>
        </w:rPr>
        <w:t>fondų</w:t>
      </w:r>
      <w:r w:rsidR="00151543" w:rsidRPr="00AC3318">
        <w:rPr>
          <w:rFonts w:ascii="Georgia" w:hAnsi="Georgia"/>
          <w:sz w:val="20"/>
          <w:szCs w:val="20"/>
        </w:rPr>
        <w:t xml:space="preserve"> fondas </w:t>
      </w:r>
      <w:r w:rsidR="003B242C">
        <w:rPr>
          <w:rFonts w:ascii="Georgia" w:hAnsi="Georgia"/>
          <w:sz w:val="20"/>
          <w:szCs w:val="20"/>
        </w:rPr>
        <w:t xml:space="preserve">su </w:t>
      </w:r>
      <w:r w:rsidR="00151543" w:rsidRPr="00AC3318">
        <w:rPr>
          <w:rFonts w:ascii="Georgia" w:hAnsi="Georgia"/>
          <w:sz w:val="20"/>
          <w:szCs w:val="20"/>
        </w:rPr>
        <w:t xml:space="preserve">paskolų </w:t>
      </w:r>
      <w:r w:rsidR="003B242C">
        <w:rPr>
          <w:rFonts w:ascii="Georgia" w:hAnsi="Georgia"/>
          <w:sz w:val="20"/>
          <w:szCs w:val="20"/>
        </w:rPr>
        <w:t>finansine</w:t>
      </w:r>
      <w:r w:rsidR="00151543" w:rsidRPr="00AC3318">
        <w:rPr>
          <w:rFonts w:ascii="Georgia" w:hAnsi="Georgia"/>
          <w:sz w:val="20"/>
          <w:szCs w:val="20"/>
        </w:rPr>
        <w:t xml:space="preserve"> priemon</w:t>
      </w:r>
      <w:r w:rsidR="003B242C">
        <w:rPr>
          <w:rFonts w:ascii="Georgia" w:hAnsi="Georgia"/>
          <w:sz w:val="20"/>
          <w:szCs w:val="20"/>
        </w:rPr>
        <w:t>e</w:t>
      </w:r>
      <w:r w:rsidR="00151543" w:rsidRPr="00AC3318">
        <w:rPr>
          <w:rFonts w:ascii="Georgia" w:hAnsi="Georgia"/>
          <w:sz w:val="20"/>
          <w:szCs w:val="20"/>
        </w:rPr>
        <w:t xml:space="preserve">, o </w:t>
      </w:r>
      <w:r w:rsidR="00151543">
        <w:rPr>
          <w:rFonts w:ascii="Georgia" w:hAnsi="Georgia"/>
          <w:sz w:val="20"/>
          <w:szCs w:val="20"/>
        </w:rPr>
        <w:t>vėlesniu etapu</w:t>
      </w:r>
      <w:r w:rsidR="00151543" w:rsidRPr="00AC3318">
        <w:rPr>
          <w:rFonts w:ascii="Georgia" w:hAnsi="Georgia"/>
          <w:sz w:val="20"/>
          <w:szCs w:val="20"/>
        </w:rPr>
        <w:t xml:space="preserve"> kuriamas</w:t>
      </w:r>
      <w:r w:rsidR="00151543">
        <w:rPr>
          <w:rFonts w:ascii="Georgia" w:hAnsi="Georgia"/>
          <w:sz w:val="20"/>
          <w:szCs w:val="20"/>
        </w:rPr>
        <w:t xml:space="preserve"> ilgalaikis</w:t>
      </w:r>
      <w:r w:rsidR="00151543" w:rsidRPr="00AC3318">
        <w:rPr>
          <w:rFonts w:ascii="Georgia" w:hAnsi="Georgia"/>
          <w:sz w:val="20"/>
          <w:szCs w:val="20"/>
        </w:rPr>
        <w:t xml:space="preserve"> investicinis </w:t>
      </w:r>
      <w:r w:rsidR="00612BE4">
        <w:rPr>
          <w:rFonts w:ascii="Georgia" w:hAnsi="Georgia"/>
          <w:sz w:val="20"/>
          <w:szCs w:val="20"/>
        </w:rPr>
        <w:t>fondas</w:t>
      </w:r>
      <w:r w:rsidR="0050613B">
        <w:rPr>
          <w:rFonts w:ascii="Georgia" w:hAnsi="Georgia"/>
          <w:sz w:val="20"/>
          <w:szCs w:val="20"/>
        </w:rPr>
        <w:t xml:space="preserve"> (ar kitu būdu pritraukiamos lėšos perduodant/parduodant piniginius srautus)</w:t>
      </w:r>
      <w:r w:rsidR="00151543" w:rsidRPr="00AC3318">
        <w:rPr>
          <w:rFonts w:ascii="Georgia" w:hAnsi="Georgia"/>
          <w:sz w:val="20"/>
          <w:szCs w:val="20"/>
        </w:rPr>
        <w:t xml:space="preserve">, kuris </w:t>
      </w:r>
      <w:r w:rsidR="00151543">
        <w:rPr>
          <w:rFonts w:ascii="Georgia" w:hAnsi="Georgia"/>
          <w:sz w:val="20"/>
          <w:szCs w:val="20"/>
        </w:rPr>
        <w:t>išperka  gerus rezultatus pasiekusių projektų ateities pinigų srautus, kitaip tariant, išperka sėkmingai įgyvendintų projektų</w:t>
      </w:r>
      <w:r w:rsidR="00151543" w:rsidRPr="00AC3318">
        <w:rPr>
          <w:rFonts w:ascii="Georgia" w:hAnsi="Georgia"/>
          <w:sz w:val="20"/>
          <w:szCs w:val="20"/>
        </w:rPr>
        <w:t xml:space="preserve"> paskolas</w:t>
      </w:r>
      <w:r w:rsidR="00151543">
        <w:rPr>
          <w:rFonts w:ascii="Georgia" w:hAnsi="Georgia"/>
          <w:sz w:val="20"/>
          <w:szCs w:val="20"/>
        </w:rPr>
        <w:t>,</w:t>
      </w:r>
      <w:r w:rsidR="00151543" w:rsidRPr="00AC3318">
        <w:rPr>
          <w:rFonts w:ascii="Georgia" w:hAnsi="Georgia"/>
          <w:sz w:val="20"/>
          <w:szCs w:val="20"/>
        </w:rPr>
        <w:t xml:space="preserve"> ir taip fond</w:t>
      </w:r>
      <w:r w:rsidR="00151543">
        <w:rPr>
          <w:rFonts w:ascii="Georgia" w:hAnsi="Georgia"/>
          <w:sz w:val="20"/>
          <w:szCs w:val="20"/>
        </w:rPr>
        <w:t>ui  anksčiau</w:t>
      </w:r>
      <w:r w:rsidR="00151543" w:rsidRPr="00AC3318">
        <w:rPr>
          <w:rFonts w:ascii="Georgia" w:hAnsi="Georgia"/>
          <w:sz w:val="20"/>
          <w:szCs w:val="20"/>
        </w:rPr>
        <w:t xml:space="preserve"> grįž</w:t>
      </w:r>
      <w:r w:rsidR="00151543">
        <w:rPr>
          <w:rFonts w:ascii="Georgia" w:hAnsi="Georgia"/>
          <w:sz w:val="20"/>
          <w:szCs w:val="20"/>
        </w:rPr>
        <w:t>ta</w:t>
      </w:r>
      <w:r w:rsidR="00151543" w:rsidRPr="00AC3318">
        <w:rPr>
          <w:rFonts w:ascii="Georgia" w:hAnsi="Georgia"/>
          <w:sz w:val="20"/>
          <w:szCs w:val="20"/>
        </w:rPr>
        <w:t xml:space="preserve"> </w:t>
      </w:r>
      <w:r w:rsidR="00151543">
        <w:rPr>
          <w:rFonts w:ascii="Georgia" w:hAnsi="Georgia"/>
          <w:sz w:val="20"/>
          <w:szCs w:val="20"/>
        </w:rPr>
        <w:t>dalis lėšų</w:t>
      </w:r>
      <w:r w:rsidR="00151543" w:rsidRPr="00AC3318">
        <w:rPr>
          <w:rFonts w:ascii="Georgia" w:hAnsi="Georgia"/>
          <w:sz w:val="20"/>
          <w:szCs w:val="20"/>
        </w:rPr>
        <w:t xml:space="preserve">, kuriomis galima toliau finansuoti </w:t>
      </w:r>
      <w:r w:rsidR="00151543">
        <w:rPr>
          <w:rFonts w:ascii="Georgia" w:hAnsi="Georgia"/>
          <w:sz w:val="20"/>
          <w:szCs w:val="20"/>
        </w:rPr>
        <w:t xml:space="preserve">kitus </w:t>
      </w:r>
      <w:r w:rsidR="00151543" w:rsidRPr="00AC3318">
        <w:rPr>
          <w:rFonts w:ascii="Georgia" w:hAnsi="Georgia"/>
          <w:sz w:val="20"/>
          <w:szCs w:val="20"/>
        </w:rPr>
        <w:t>projektus.</w:t>
      </w:r>
    </w:p>
    <w:p w14:paraId="33D89706" w14:textId="13FB1757" w:rsidR="00151543" w:rsidRDefault="00151543" w:rsidP="004B2E74">
      <w:pPr>
        <w:pStyle w:val="prastasis1"/>
        <w:spacing w:line="276" w:lineRule="auto"/>
        <w:jc w:val="both"/>
        <w:rPr>
          <w:rFonts w:ascii="Georgia" w:hAnsi="Georgia"/>
          <w:sz w:val="20"/>
          <w:szCs w:val="20"/>
        </w:rPr>
      </w:pPr>
      <w:r w:rsidRPr="00AC3318">
        <w:rPr>
          <w:rFonts w:ascii="Georgia" w:hAnsi="Georgia"/>
          <w:sz w:val="20"/>
          <w:szCs w:val="20"/>
        </w:rPr>
        <w:t xml:space="preserve">Atsižvelgiant į </w:t>
      </w:r>
      <w:r>
        <w:rPr>
          <w:rFonts w:ascii="Georgia" w:hAnsi="Georgia"/>
          <w:sz w:val="20"/>
          <w:szCs w:val="20"/>
        </w:rPr>
        <w:t>4.1 dalyje</w:t>
      </w:r>
      <w:r w:rsidRPr="00AC3318">
        <w:rPr>
          <w:rFonts w:ascii="Georgia" w:hAnsi="Georgia"/>
          <w:sz w:val="20"/>
          <w:szCs w:val="20"/>
        </w:rPr>
        <w:t xml:space="preserve"> išdėstytus kiekvienos alternatyvos privalumus ir trūkumus bei prognozuojamą lėšų poreikį tai priemonei įgyvendinti ir tikėtiną finansinio sverto rodiklį, siūloma vadovaujančiai institucijai kartu su Energetikos  ministerija pasirinkti </w:t>
      </w:r>
      <w:r w:rsidR="003B242C">
        <w:rPr>
          <w:rFonts w:ascii="Georgia" w:hAnsi="Georgia"/>
          <w:sz w:val="20"/>
          <w:szCs w:val="20"/>
        </w:rPr>
        <w:t>antrąjį</w:t>
      </w:r>
      <w:r w:rsidRPr="00AC3318">
        <w:rPr>
          <w:rFonts w:ascii="Georgia" w:hAnsi="Georgia"/>
          <w:sz w:val="20"/>
          <w:szCs w:val="20"/>
        </w:rPr>
        <w:t xml:space="preserve"> </w:t>
      </w:r>
      <w:r>
        <w:rPr>
          <w:rFonts w:ascii="Georgia" w:hAnsi="Georgia"/>
          <w:sz w:val="20"/>
          <w:szCs w:val="20"/>
        </w:rPr>
        <w:t>scenarijų</w:t>
      </w:r>
      <w:r w:rsidRPr="00AC3318">
        <w:rPr>
          <w:rFonts w:ascii="Georgia" w:hAnsi="Georgia"/>
          <w:sz w:val="20"/>
          <w:szCs w:val="20"/>
        </w:rPr>
        <w:t xml:space="preserve"> –</w:t>
      </w:r>
      <w:r w:rsidR="0050613B">
        <w:rPr>
          <w:rFonts w:ascii="Georgia" w:hAnsi="Georgia"/>
          <w:sz w:val="20"/>
          <w:szCs w:val="20"/>
        </w:rPr>
        <w:t xml:space="preserve"> </w:t>
      </w:r>
      <w:r w:rsidRPr="00AC3318">
        <w:rPr>
          <w:rFonts w:ascii="Georgia" w:hAnsi="Georgia"/>
          <w:sz w:val="20"/>
          <w:szCs w:val="20"/>
        </w:rPr>
        <w:t xml:space="preserve">paskolų </w:t>
      </w:r>
      <w:r>
        <w:rPr>
          <w:rFonts w:ascii="Georgia" w:hAnsi="Georgia"/>
          <w:sz w:val="20"/>
          <w:szCs w:val="20"/>
        </w:rPr>
        <w:t>teikimą sukuriant ir ilgalaikį investicinį fondą</w:t>
      </w:r>
      <w:r w:rsidRPr="00AC3318">
        <w:rPr>
          <w:rFonts w:ascii="Georgia" w:hAnsi="Georgia"/>
          <w:sz w:val="20"/>
          <w:szCs w:val="20"/>
        </w:rPr>
        <w:t xml:space="preserve">. </w:t>
      </w:r>
    </w:p>
    <w:p w14:paraId="17268C30" w14:textId="77777777" w:rsidR="00850371" w:rsidRPr="00AC3318" w:rsidRDefault="00850371" w:rsidP="004B2E74">
      <w:pPr>
        <w:pStyle w:val="prastasis1"/>
        <w:spacing w:line="276" w:lineRule="auto"/>
        <w:jc w:val="both"/>
        <w:rPr>
          <w:rFonts w:ascii="Georgia" w:hAnsi="Georgia"/>
          <w:sz w:val="20"/>
          <w:szCs w:val="20"/>
        </w:rPr>
      </w:pPr>
      <w:r>
        <w:rPr>
          <w:rFonts w:ascii="Georgia" w:hAnsi="Georgia"/>
          <w:sz w:val="20"/>
          <w:szCs w:val="20"/>
        </w:rPr>
        <w:t>Kaip buvo analizuota 4.1 skyriuje, pradiniame finansinės priemonės kūrimo etape garantijų priemonės kurti nerekomenduojame. Tačiau pažymėtina, kad garantijų priemonė turėtų būti vertinama, analizuojama ir kuriama tada, kada rinkoje susiklostys gera ESCO projektų viešųjų pastatų renovacijai kredito istorija</w:t>
      </w:r>
      <w:r w:rsidR="00694765">
        <w:rPr>
          <w:rFonts w:ascii="Georgia" w:hAnsi="Georgia"/>
          <w:sz w:val="20"/>
          <w:szCs w:val="20"/>
        </w:rPr>
        <w:t>, atsiras praktika ir šis projektų įgyvendinimo modelis taps pažįstamas ir patikimas</w:t>
      </w:r>
      <w:r>
        <w:rPr>
          <w:rFonts w:ascii="Georgia" w:hAnsi="Georgia"/>
          <w:sz w:val="20"/>
          <w:szCs w:val="20"/>
        </w:rPr>
        <w:t xml:space="preserve">. </w:t>
      </w:r>
    </w:p>
    <w:p w14:paraId="3CDCBA18" w14:textId="4DF0E4AB" w:rsidR="00151543" w:rsidRPr="00AC3318" w:rsidRDefault="00151543" w:rsidP="004B2E74">
      <w:pPr>
        <w:pStyle w:val="prastasis1"/>
        <w:spacing w:line="276" w:lineRule="auto"/>
        <w:jc w:val="both"/>
        <w:rPr>
          <w:rFonts w:ascii="Georgia" w:hAnsi="Georgia"/>
          <w:sz w:val="20"/>
          <w:szCs w:val="20"/>
        </w:rPr>
      </w:pPr>
      <w:r w:rsidRPr="00AC3318">
        <w:rPr>
          <w:rFonts w:ascii="Georgia" w:hAnsi="Georgia"/>
          <w:sz w:val="20"/>
          <w:szCs w:val="20"/>
        </w:rPr>
        <w:lastRenderedPageBreak/>
        <w:t xml:space="preserve">Siūlomas finansinis </w:t>
      </w:r>
      <w:r>
        <w:rPr>
          <w:rFonts w:ascii="Georgia" w:hAnsi="Georgia"/>
          <w:sz w:val="20"/>
          <w:szCs w:val="20"/>
        </w:rPr>
        <w:t>mechanizmas</w:t>
      </w:r>
      <w:r w:rsidRPr="00AC3318">
        <w:rPr>
          <w:rFonts w:ascii="Georgia" w:hAnsi="Georgia"/>
          <w:sz w:val="20"/>
          <w:szCs w:val="20"/>
        </w:rPr>
        <w:t xml:space="preserve"> –</w:t>
      </w:r>
      <w:r w:rsidR="003B242C">
        <w:rPr>
          <w:rFonts w:ascii="Georgia" w:hAnsi="Georgia"/>
          <w:sz w:val="20"/>
          <w:szCs w:val="20"/>
        </w:rPr>
        <w:t xml:space="preserve">paskolos </w:t>
      </w:r>
      <w:r w:rsidRPr="00AC3318">
        <w:rPr>
          <w:rFonts w:ascii="Georgia" w:hAnsi="Georgia"/>
          <w:sz w:val="20"/>
          <w:szCs w:val="20"/>
        </w:rPr>
        <w:t>+ investicinio fondo kūrimas</w:t>
      </w:r>
      <w:r w:rsidR="0050613B">
        <w:rPr>
          <w:rFonts w:ascii="Georgia" w:hAnsi="Georgia"/>
          <w:sz w:val="20"/>
          <w:szCs w:val="20"/>
        </w:rPr>
        <w:t xml:space="preserve"> (arba alternatyvus būdas pritraukti privačias lėšas)</w:t>
      </w:r>
      <w:r w:rsidRPr="00AC3318">
        <w:rPr>
          <w:rFonts w:ascii="Georgia" w:hAnsi="Georgia"/>
          <w:sz w:val="20"/>
          <w:szCs w:val="20"/>
        </w:rPr>
        <w:t xml:space="preserve">. </w:t>
      </w:r>
      <w:r>
        <w:rPr>
          <w:rFonts w:ascii="Georgia" w:hAnsi="Georgia"/>
          <w:sz w:val="20"/>
          <w:szCs w:val="20"/>
        </w:rPr>
        <w:t xml:space="preserve">Atsižvelgiant į tai, kad, </w:t>
      </w:r>
      <w:r w:rsidR="0050613B">
        <w:rPr>
          <w:rFonts w:ascii="Georgia" w:hAnsi="Georgia"/>
          <w:sz w:val="20"/>
          <w:szCs w:val="20"/>
        </w:rPr>
        <w:t xml:space="preserve">jautrumo analizėje nustatytas subsidijos poreikis, </w:t>
      </w:r>
      <w:r>
        <w:rPr>
          <w:rFonts w:ascii="Georgia" w:hAnsi="Georgia"/>
          <w:sz w:val="20"/>
          <w:szCs w:val="20"/>
        </w:rPr>
        <w:t>Energetikos ministerij</w:t>
      </w:r>
      <w:r w:rsidR="0050613B">
        <w:rPr>
          <w:rFonts w:ascii="Georgia" w:hAnsi="Georgia"/>
          <w:sz w:val="20"/>
          <w:szCs w:val="20"/>
        </w:rPr>
        <w:t xml:space="preserve">ai  rekomenduojama ieškoti </w:t>
      </w:r>
      <w:r>
        <w:rPr>
          <w:rFonts w:ascii="Georgia" w:hAnsi="Georgia"/>
          <w:sz w:val="20"/>
          <w:szCs w:val="20"/>
        </w:rPr>
        <w:t>papildomų lėšų šaltinių, iš kurių galimai būtų teikiama subsidija projektams</w:t>
      </w:r>
      <w:r w:rsidRPr="005B4195">
        <w:rPr>
          <w:rFonts w:ascii="Georgia" w:hAnsi="Georgia"/>
          <w:sz w:val="20"/>
          <w:szCs w:val="20"/>
        </w:rPr>
        <w:t>.</w:t>
      </w:r>
      <w:r w:rsidR="003B242C">
        <w:rPr>
          <w:rFonts w:ascii="Georgia" w:hAnsi="Georgia"/>
          <w:sz w:val="20"/>
          <w:szCs w:val="20"/>
        </w:rPr>
        <w:t xml:space="preserve"> </w:t>
      </w:r>
    </w:p>
    <w:p w14:paraId="7ADC0E72" w14:textId="77777777" w:rsidR="00151543" w:rsidRPr="00640DEC" w:rsidRDefault="00151543" w:rsidP="004B2E74">
      <w:pPr>
        <w:pStyle w:val="prastasis1"/>
        <w:spacing w:line="276" w:lineRule="auto"/>
        <w:jc w:val="both"/>
        <w:rPr>
          <w:rFonts w:ascii="Georgia" w:hAnsi="Georgia"/>
          <w:b/>
          <w:i/>
          <w:sz w:val="20"/>
          <w:szCs w:val="20"/>
        </w:rPr>
      </w:pPr>
      <w:r w:rsidRPr="00640DEC">
        <w:rPr>
          <w:rFonts w:ascii="Georgia" w:hAnsi="Georgia"/>
          <w:b/>
          <w:i/>
          <w:sz w:val="20"/>
          <w:szCs w:val="20"/>
        </w:rPr>
        <w:t>Siūlomo finansinio produkto – lengvatinės paskolos – sąlygos:</w:t>
      </w:r>
    </w:p>
    <w:p w14:paraId="6723228C" w14:textId="5E494F57" w:rsidR="00715E52" w:rsidRPr="00AE7E91" w:rsidRDefault="00715E52" w:rsidP="00715E52">
      <w:pPr>
        <w:pStyle w:val="prastasis1"/>
        <w:numPr>
          <w:ilvl w:val="0"/>
          <w:numId w:val="37"/>
        </w:numPr>
        <w:spacing w:line="276" w:lineRule="auto"/>
        <w:jc w:val="both"/>
        <w:rPr>
          <w:rFonts w:ascii="Georgia" w:hAnsi="Georgia"/>
          <w:sz w:val="20"/>
          <w:szCs w:val="20"/>
        </w:rPr>
      </w:pPr>
      <w:r>
        <w:rPr>
          <w:rFonts w:ascii="Georgia" w:hAnsi="Georgia"/>
          <w:sz w:val="20"/>
          <w:szCs w:val="20"/>
        </w:rPr>
        <w:t xml:space="preserve">palūkanų norma </w:t>
      </w:r>
      <w:r w:rsidR="0050613B">
        <w:rPr>
          <w:rFonts w:ascii="Georgia" w:hAnsi="Georgia"/>
          <w:sz w:val="20"/>
          <w:szCs w:val="20"/>
        </w:rPr>
        <w:t xml:space="preserve">iki </w:t>
      </w:r>
      <w:r w:rsidRPr="00206511">
        <w:rPr>
          <w:rFonts w:ascii="Georgia" w:hAnsi="Georgia"/>
          <w:sz w:val="20"/>
          <w:szCs w:val="20"/>
        </w:rPr>
        <w:t>2% + 6 mėn.</w:t>
      </w:r>
      <w:r>
        <w:rPr>
          <w:rFonts w:ascii="Georgia" w:hAnsi="Georgia"/>
          <w:sz w:val="20"/>
          <w:szCs w:val="20"/>
        </w:rPr>
        <w:t xml:space="preserve"> </w:t>
      </w:r>
      <w:r w:rsidRPr="00206511">
        <w:rPr>
          <w:rFonts w:ascii="Georgia" w:hAnsi="Georgia"/>
          <w:sz w:val="20"/>
          <w:szCs w:val="20"/>
        </w:rPr>
        <w:t>EURIBOR (</w:t>
      </w:r>
      <w:r w:rsidR="0050613B">
        <w:rPr>
          <w:rFonts w:ascii="Georgia" w:hAnsi="Georgia"/>
          <w:sz w:val="20"/>
          <w:szCs w:val="20"/>
        </w:rPr>
        <w:t xml:space="preserve">bet </w:t>
      </w:r>
      <w:r w:rsidRPr="00206511">
        <w:rPr>
          <w:rFonts w:ascii="Georgia" w:hAnsi="Georgia"/>
          <w:sz w:val="20"/>
          <w:szCs w:val="20"/>
        </w:rPr>
        <w:t>ne mažiau kaip 0%)</w:t>
      </w:r>
      <w:r>
        <w:rPr>
          <w:rFonts w:ascii="Georgia" w:hAnsi="Georgia"/>
          <w:sz w:val="20"/>
          <w:szCs w:val="20"/>
        </w:rPr>
        <w:t>. Finansinės priemonės (ar fondų fondo) valdytojas gali pasiūlyti užfiksuoti palūkanų normą (palūkanų fiksavimas būtų paremtas rinkos sąlygomis prieinamais instrumentais)</w:t>
      </w:r>
      <w:r w:rsidR="00C66B9D">
        <w:rPr>
          <w:rFonts w:ascii="Georgia" w:hAnsi="Georgia"/>
          <w:sz w:val="20"/>
          <w:szCs w:val="20"/>
        </w:rPr>
        <w:t xml:space="preserve">. </w:t>
      </w:r>
      <w:r w:rsidR="0050613B">
        <w:rPr>
          <w:rFonts w:ascii="Georgia" w:hAnsi="Georgia"/>
          <w:sz w:val="20"/>
          <w:szCs w:val="20"/>
        </w:rPr>
        <w:t>Išnaudojus E</w:t>
      </w:r>
      <w:r w:rsidR="001E639C">
        <w:rPr>
          <w:rFonts w:ascii="Georgia" w:hAnsi="Georgia"/>
          <w:sz w:val="20"/>
          <w:szCs w:val="20"/>
        </w:rPr>
        <w:t>SI</w:t>
      </w:r>
      <w:r w:rsidR="0050613B">
        <w:rPr>
          <w:rFonts w:ascii="Georgia" w:hAnsi="Georgia"/>
          <w:sz w:val="20"/>
          <w:szCs w:val="20"/>
        </w:rPr>
        <w:t xml:space="preserve"> lėšas papildomai g</w:t>
      </w:r>
      <w:r w:rsidR="00C66B9D">
        <w:rPr>
          <w:rFonts w:ascii="Georgia" w:hAnsi="Georgia"/>
          <w:sz w:val="20"/>
          <w:szCs w:val="20"/>
        </w:rPr>
        <w:t>ali būti taikomi papildomi finansavimo mokesčiai (susiję su papildomo finansavimo pritraukimu)</w:t>
      </w:r>
      <w:r w:rsidRPr="00AE7E91">
        <w:rPr>
          <w:rFonts w:ascii="Georgia" w:hAnsi="Georgia"/>
          <w:sz w:val="20"/>
          <w:szCs w:val="20"/>
        </w:rPr>
        <w:t>;</w:t>
      </w:r>
    </w:p>
    <w:p w14:paraId="49F14DDE" w14:textId="5EB99C9A" w:rsidR="00151543" w:rsidRPr="00AE7E91" w:rsidRDefault="00C94D06" w:rsidP="00C03122">
      <w:pPr>
        <w:pStyle w:val="prastasis1"/>
        <w:numPr>
          <w:ilvl w:val="0"/>
          <w:numId w:val="37"/>
        </w:numPr>
        <w:spacing w:line="276" w:lineRule="auto"/>
        <w:jc w:val="both"/>
        <w:rPr>
          <w:rFonts w:ascii="Georgia" w:hAnsi="Georgia"/>
          <w:sz w:val="20"/>
          <w:szCs w:val="20"/>
        </w:rPr>
      </w:pPr>
      <w:r w:rsidRPr="00AE7E91">
        <w:rPr>
          <w:rFonts w:ascii="Georgia" w:hAnsi="Georgia"/>
          <w:sz w:val="20"/>
          <w:szCs w:val="20"/>
        </w:rPr>
        <w:t>;</w:t>
      </w:r>
    </w:p>
    <w:p w14:paraId="494524E6" w14:textId="77777777" w:rsidR="00151543" w:rsidRPr="00AE7E91" w:rsidRDefault="00151543" w:rsidP="00C03122">
      <w:pPr>
        <w:pStyle w:val="prastasis1"/>
        <w:numPr>
          <w:ilvl w:val="0"/>
          <w:numId w:val="37"/>
        </w:numPr>
        <w:spacing w:line="276" w:lineRule="auto"/>
        <w:jc w:val="both"/>
        <w:rPr>
          <w:rFonts w:ascii="Georgia" w:hAnsi="Georgia"/>
          <w:sz w:val="20"/>
          <w:szCs w:val="20"/>
        </w:rPr>
      </w:pPr>
      <w:r w:rsidRPr="00AE7E91">
        <w:rPr>
          <w:rFonts w:ascii="Georgia" w:hAnsi="Georgia"/>
          <w:sz w:val="20"/>
          <w:szCs w:val="20"/>
        </w:rPr>
        <w:t>paskolos terminas – iki 20 metų;</w:t>
      </w:r>
    </w:p>
    <w:p w14:paraId="7CA570EE" w14:textId="11B9B476" w:rsidR="00151543" w:rsidRPr="00AE7E91" w:rsidRDefault="00151543" w:rsidP="00C03122">
      <w:pPr>
        <w:pStyle w:val="prastasis1"/>
        <w:numPr>
          <w:ilvl w:val="0"/>
          <w:numId w:val="37"/>
        </w:numPr>
        <w:spacing w:line="276" w:lineRule="auto"/>
        <w:jc w:val="both"/>
        <w:rPr>
          <w:rFonts w:ascii="Georgia" w:hAnsi="Georgia"/>
          <w:sz w:val="20"/>
          <w:szCs w:val="20"/>
        </w:rPr>
      </w:pPr>
      <w:r w:rsidRPr="00AE7E91">
        <w:rPr>
          <w:rFonts w:ascii="Georgia" w:hAnsi="Georgia"/>
          <w:sz w:val="20"/>
          <w:szCs w:val="20"/>
        </w:rPr>
        <w:t xml:space="preserve">paskola teikiama iki </w:t>
      </w:r>
      <w:r w:rsidR="00206511">
        <w:rPr>
          <w:rFonts w:ascii="Georgia" w:hAnsi="Georgia"/>
          <w:sz w:val="20"/>
          <w:szCs w:val="20"/>
        </w:rPr>
        <w:t>100</w:t>
      </w:r>
      <w:r w:rsidR="00206511" w:rsidRPr="00AE7E91">
        <w:rPr>
          <w:rFonts w:ascii="Georgia" w:hAnsi="Georgia"/>
          <w:sz w:val="20"/>
          <w:szCs w:val="20"/>
        </w:rPr>
        <w:t xml:space="preserve"> </w:t>
      </w:r>
      <w:r w:rsidRPr="00AE7E91">
        <w:rPr>
          <w:rFonts w:ascii="Georgia" w:hAnsi="Georgia"/>
          <w:sz w:val="20"/>
          <w:szCs w:val="20"/>
        </w:rPr>
        <w:t>% projekto vertės</w:t>
      </w:r>
      <w:r w:rsidR="0050613B">
        <w:rPr>
          <w:rFonts w:ascii="Georgia" w:hAnsi="Georgia"/>
          <w:sz w:val="20"/>
          <w:szCs w:val="20"/>
        </w:rPr>
        <w:t>, ESCO atveju iki 80</w:t>
      </w:r>
      <w:r w:rsidR="0050613B">
        <w:rPr>
          <w:rFonts w:ascii="Georgia" w:hAnsi="Georgia"/>
          <w:sz w:val="20"/>
          <w:szCs w:val="20"/>
          <w:lang w:val="en-US"/>
        </w:rPr>
        <w:t>%</w:t>
      </w:r>
      <w:r w:rsidR="0050613B">
        <w:rPr>
          <w:rFonts w:ascii="Georgia" w:hAnsi="Georgia"/>
          <w:sz w:val="20"/>
          <w:szCs w:val="20"/>
        </w:rPr>
        <w:t xml:space="preserve"> projekto vertės</w:t>
      </w:r>
      <w:r w:rsidRPr="00AE7E91">
        <w:rPr>
          <w:rFonts w:ascii="Georgia" w:hAnsi="Georgia"/>
          <w:sz w:val="20"/>
          <w:szCs w:val="20"/>
        </w:rPr>
        <w:t xml:space="preserve">; </w:t>
      </w:r>
    </w:p>
    <w:p w14:paraId="71EA5172" w14:textId="77777777" w:rsidR="00AD11DB" w:rsidRPr="001C63DB" w:rsidRDefault="00AD11DB" w:rsidP="00AD11DB">
      <w:pPr>
        <w:pStyle w:val="prastasis1"/>
        <w:numPr>
          <w:ilvl w:val="0"/>
          <w:numId w:val="37"/>
        </w:numPr>
        <w:spacing w:line="276" w:lineRule="auto"/>
        <w:jc w:val="both"/>
        <w:rPr>
          <w:rFonts w:ascii="Georgia" w:hAnsi="Georgia"/>
          <w:sz w:val="20"/>
          <w:szCs w:val="20"/>
        </w:rPr>
      </w:pPr>
      <w:r w:rsidRPr="001C63DB">
        <w:rPr>
          <w:rFonts w:ascii="Georgia" w:hAnsi="Georgia"/>
          <w:sz w:val="20"/>
          <w:szCs w:val="20"/>
        </w:rPr>
        <w:t xml:space="preserve">projektams gali būti teikiama </w:t>
      </w:r>
      <w:r w:rsidRPr="00DA65C2">
        <w:rPr>
          <w:rFonts w:ascii="Georgia" w:hAnsi="Georgia"/>
          <w:sz w:val="20"/>
          <w:szCs w:val="20"/>
        </w:rPr>
        <w:t>papildoma</w:t>
      </w:r>
      <w:r w:rsidRPr="001C63DB">
        <w:rPr>
          <w:rFonts w:ascii="Georgia" w:hAnsi="Georgia"/>
          <w:sz w:val="20"/>
          <w:szCs w:val="20"/>
        </w:rPr>
        <w:t xml:space="preserve"> subsidija iš nacionalinių lėšų šaltinių;</w:t>
      </w:r>
    </w:p>
    <w:p w14:paraId="46C65DE0" w14:textId="77777777" w:rsidR="00640DEC" w:rsidRPr="00AC3318" w:rsidRDefault="00640DEC" w:rsidP="00C03122">
      <w:pPr>
        <w:pStyle w:val="prastasis1"/>
        <w:numPr>
          <w:ilvl w:val="0"/>
          <w:numId w:val="37"/>
        </w:numPr>
        <w:spacing w:line="276" w:lineRule="auto"/>
        <w:jc w:val="both"/>
        <w:rPr>
          <w:rFonts w:ascii="Georgia" w:hAnsi="Georgia"/>
          <w:sz w:val="20"/>
          <w:szCs w:val="20"/>
        </w:rPr>
      </w:pPr>
      <w:r>
        <w:rPr>
          <w:rFonts w:ascii="Georgia" w:hAnsi="Georgia"/>
          <w:sz w:val="20"/>
          <w:szCs w:val="20"/>
        </w:rPr>
        <w:t>ESCO kompanijos, įgyvendinamos projektą, privalo prisidėti savomis lėšomis;</w:t>
      </w:r>
    </w:p>
    <w:p w14:paraId="430C27DA" w14:textId="77777777" w:rsidR="00151543" w:rsidRPr="00AC3318" w:rsidRDefault="00151543" w:rsidP="00C03122">
      <w:pPr>
        <w:pStyle w:val="prastasis1"/>
        <w:numPr>
          <w:ilvl w:val="0"/>
          <w:numId w:val="37"/>
        </w:numPr>
        <w:spacing w:line="276" w:lineRule="auto"/>
        <w:jc w:val="both"/>
        <w:rPr>
          <w:rFonts w:ascii="Georgia" w:hAnsi="Georgia"/>
          <w:sz w:val="20"/>
          <w:szCs w:val="20"/>
        </w:rPr>
      </w:pPr>
      <w:r w:rsidRPr="00AC3318">
        <w:rPr>
          <w:rFonts w:ascii="Georgia" w:hAnsi="Georgia"/>
          <w:sz w:val="20"/>
          <w:szCs w:val="20"/>
        </w:rPr>
        <w:t>grįžtančios lėšos iš paskolų reinvestuojamos</w:t>
      </w:r>
      <w:r>
        <w:rPr>
          <w:rFonts w:ascii="Georgia" w:hAnsi="Georgia"/>
          <w:sz w:val="20"/>
          <w:szCs w:val="20"/>
        </w:rPr>
        <w:t xml:space="preserve"> į naujus projektus</w:t>
      </w:r>
      <w:r w:rsidRPr="00AC3318">
        <w:rPr>
          <w:rFonts w:ascii="Georgia" w:hAnsi="Georgia"/>
          <w:sz w:val="20"/>
          <w:szCs w:val="20"/>
        </w:rPr>
        <w:t>;</w:t>
      </w:r>
    </w:p>
    <w:p w14:paraId="4461A8FE" w14:textId="77777777" w:rsidR="00151543" w:rsidRPr="00640DEC" w:rsidRDefault="00151543" w:rsidP="00C03122">
      <w:pPr>
        <w:pStyle w:val="prastasis1"/>
        <w:numPr>
          <w:ilvl w:val="0"/>
          <w:numId w:val="37"/>
        </w:numPr>
        <w:spacing w:line="276" w:lineRule="auto"/>
        <w:jc w:val="both"/>
        <w:rPr>
          <w:rFonts w:ascii="Georgia" w:hAnsi="Georgia"/>
          <w:sz w:val="20"/>
          <w:szCs w:val="20"/>
        </w:rPr>
      </w:pPr>
      <w:r w:rsidRPr="00AC3318">
        <w:rPr>
          <w:rFonts w:ascii="Georgia" w:hAnsi="Georgia"/>
          <w:sz w:val="20"/>
          <w:szCs w:val="20"/>
        </w:rPr>
        <w:t>lėšos už nupirktas paskolas reinvestuojamos</w:t>
      </w:r>
      <w:r>
        <w:rPr>
          <w:rFonts w:ascii="Georgia" w:hAnsi="Georgia"/>
          <w:sz w:val="20"/>
          <w:szCs w:val="20"/>
        </w:rPr>
        <w:t xml:space="preserve"> į naujus projektus</w:t>
      </w:r>
      <w:r w:rsidR="00640DEC">
        <w:rPr>
          <w:rFonts w:ascii="Georgia" w:hAnsi="Georgia"/>
          <w:sz w:val="20"/>
          <w:szCs w:val="20"/>
        </w:rPr>
        <w:t>.</w:t>
      </w:r>
    </w:p>
    <w:p w14:paraId="719CE718" w14:textId="6E3173CE" w:rsidR="009F55BB" w:rsidRDefault="0050613B" w:rsidP="004B2E74">
      <w:pPr>
        <w:pStyle w:val="Antrat"/>
        <w:rPr>
          <w:lang w:val="lt-LT"/>
        </w:rPr>
      </w:pPr>
      <w:r>
        <w:rPr>
          <w:noProof/>
          <w:szCs w:val="20"/>
          <w:lang w:val="lt-LT" w:eastAsia="lt-LT"/>
        </w:rPr>
        <w:drawing>
          <wp:inline distT="0" distB="0" distL="0" distR="0" wp14:anchorId="6FF79DC9" wp14:editId="096D0BAE">
            <wp:extent cx="5731510" cy="1401445"/>
            <wp:effectExtent l="0" t="0" r="2540" b="825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ESCO Nr. 2.jpg"/>
                    <pic:cNvPicPr/>
                  </pic:nvPicPr>
                  <pic:blipFill>
                    <a:blip r:embed="rId74" cstate="screen">
                      <a:extLst>
                        <a:ext uri="{28A0092B-C50C-407E-A947-70E740481C1C}">
                          <a14:useLocalDpi xmlns:a14="http://schemas.microsoft.com/office/drawing/2010/main"/>
                        </a:ext>
                      </a:extLst>
                    </a:blip>
                    <a:stretch>
                      <a:fillRect/>
                    </a:stretch>
                  </pic:blipFill>
                  <pic:spPr>
                    <a:xfrm>
                      <a:off x="0" y="0"/>
                      <a:ext cx="5731510" cy="1401445"/>
                    </a:xfrm>
                    <a:prstGeom prst="rect">
                      <a:avLst/>
                    </a:prstGeom>
                  </pic:spPr>
                </pic:pic>
              </a:graphicData>
            </a:graphic>
          </wp:inline>
        </w:drawing>
      </w:r>
    </w:p>
    <w:p w14:paraId="2B5A8738" w14:textId="6DED8FF9" w:rsidR="004B2E74" w:rsidRPr="005B4195" w:rsidRDefault="004B2E74" w:rsidP="004B2E74">
      <w:pPr>
        <w:pStyle w:val="Antrat"/>
        <w:rPr>
          <w:rFonts w:eastAsia="Times New Roman"/>
          <w:szCs w:val="20"/>
          <w:lang w:val="lt-LT" w:eastAsia="lt-LT"/>
        </w:rPr>
      </w:pPr>
      <w:bookmarkStart w:id="379" w:name="_Toc417378336"/>
      <w:r w:rsidRPr="005B4195">
        <w:rPr>
          <w:lang w:val="lt-LT"/>
        </w:rPr>
        <w:t xml:space="preserve">Paveikslas </w:t>
      </w:r>
      <w:r w:rsidRPr="005B4195">
        <w:rPr>
          <w:lang w:val="lt-LT"/>
        </w:rPr>
        <w:fldChar w:fldCharType="begin"/>
      </w:r>
      <w:r w:rsidRPr="005B4195">
        <w:rPr>
          <w:lang w:val="lt-LT"/>
        </w:rPr>
        <w:instrText xml:space="preserve"> SEQ Paveikslas \* ARABIC </w:instrText>
      </w:r>
      <w:r w:rsidRPr="005B4195">
        <w:rPr>
          <w:lang w:val="lt-LT"/>
        </w:rPr>
        <w:fldChar w:fldCharType="separate"/>
      </w:r>
      <w:r w:rsidR="00AA3082">
        <w:rPr>
          <w:noProof/>
          <w:lang w:val="lt-LT"/>
        </w:rPr>
        <w:t>59</w:t>
      </w:r>
      <w:r w:rsidRPr="005B4195">
        <w:rPr>
          <w:lang w:val="lt-LT"/>
        </w:rPr>
        <w:fldChar w:fldCharType="end"/>
      </w:r>
      <w:r w:rsidRPr="005B4195">
        <w:rPr>
          <w:lang w:val="lt-LT"/>
        </w:rPr>
        <w:t xml:space="preserve">. </w:t>
      </w:r>
      <w:r w:rsidRPr="005B4195">
        <w:rPr>
          <w:rFonts w:eastAsia="Times New Roman"/>
          <w:szCs w:val="20"/>
          <w:lang w:val="lt-LT" w:eastAsia="lt-LT"/>
        </w:rPr>
        <w:t>Siūloma centrinės valdžios pastatų renovacijos, naudojant finansines priemones, schema</w:t>
      </w:r>
      <w:bookmarkEnd w:id="379"/>
    </w:p>
    <w:p w14:paraId="4B0240CA" w14:textId="77777777" w:rsidR="00151543" w:rsidRPr="00AA32EA" w:rsidRDefault="00151543" w:rsidP="00151543">
      <w:pPr>
        <w:jc w:val="both"/>
        <w:rPr>
          <w:rFonts w:ascii="Georgia" w:eastAsia="Times New Roman" w:hAnsi="Georgia" w:cs="Times New Roman"/>
          <w:b/>
          <w:sz w:val="20"/>
          <w:szCs w:val="20"/>
          <w:lang w:val="lt-LT" w:eastAsia="lt-LT"/>
        </w:rPr>
      </w:pPr>
      <w:r w:rsidRPr="00AA32EA">
        <w:rPr>
          <w:rFonts w:ascii="Georgia" w:eastAsia="Times New Roman" w:hAnsi="Georgia" w:cs="Times New Roman"/>
          <w:b/>
          <w:sz w:val="20"/>
          <w:szCs w:val="20"/>
          <w:lang w:val="lt-LT" w:eastAsia="lt-LT"/>
        </w:rPr>
        <w:t>Gatvių apšvietimo projektai</w:t>
      </w:r>
    </w:p>
    <w:p w14:paraId="307C703B" w14:textId="77777777" w:rsidR="00151543" w:rsidRDefault="00151543" w:rsidP="003B242C">
      <w:pPr>
        <w:pStyle w:val="prastasis1"/>
        <w:spacing w:line="276" w:lineRule="auto"/>
        <w:jc w:val="both"/>
        <w:rPr>
          <w:rFonts w:ascii="Georgia" w:hAnsi="Georgia"/>
          <w:sz w:val="20"/>
          <w:szCs w:val="20"/>
        </w:rPr>
      </w:pPr>
      <w:r w:rsidRPr="00AC3318">
        <w:rPr>
          <w:rFonts w:ascii="Georgia" w:hAnsi="Georgia"/>
          <w:sz w:val="20"/>
          <w:szCs w:val="20"/>
        </w:rPr>
        <w:t xml:space="preserve">Atsižvelgiant į </w:t>
      </w:r>
      <w:r>
        <w:rPr>
          <w:rFonts w:ascii="Georgia" w:hAnsi="Georgia"/>
          <w:sz w:val="20"/>
          <w:szCs w:val="20"/>
        </w:rPr>
        <w:t>4</w:t>
      </w:r>
      <w:r w:rsidR="00640DEC">
        <w:rPr>
          <w:rFonts w:ascii="Georgia" w:hAnsi="Georgia"/>
          <w:sz w:val="20"/>
          <w:szCs w:val="20"/>
        </w:rPr>
        <w:t>.1</w:t>
      </w:r>
      <w:r w:rsidRPr="00AC3318">
        <w:rPr>
          <w:rFonts w:ascii="Georgia" w:hAnsi="Georgia"/>
          <w:sz w:val="20"/>
          <w:szCs w:val="20"/>
        </w:rPr>
        <w:t xml:space="preserve"> </w:t>
      </w:r>
      <w:r>
        <w:rPr>
          <w:rFonts w:ascii="Georgia" w:hAnsi="Georgia"/>
          <w:sz w:val="20"/>
          <w:szCs w:val="20"/>
        </w:rPr>
        <w:t>dalyje</w:t>
      </w:r>
      <w:r w:rsidRPr="00AC3318">
        <w:rPr>
          <w:rFonts w:ascii="Georgia" w:hAnsi="Georgia"/>
          <w:sz w:val="20"/>
          <w:szCs w:val="20"/>
        </w:rPr>
        <w:t xml:space="preserve"> išdėstytus kiekvienos alternatyvos skaičiavimus bei prognozuojamą lėšų poreikį tai priemonei įgyvendinti ir tikėtiną finansinio sverto rodiklį, siūloma vadovaujančiai institucijai kartu su Ener</w:t>
      </w:r>
      <w:r>
        <w:rPr>
          <w:rFonts w:ascii="Georgia" w:hAnsi="Georgia"/>
          <w:sz w:val="20"/>
          <w:szCs w:val="20"/>
        </w:rPr>
        <w:t>getikos  ministerija pasirinkti</w:t>
      </w:r>
      <w:r w:rsidRPr="00AC3318">
        <w:rPr>
          <w:rFonts w:ascii="Georgia" w:hAnsi="Georgia"/>
          <w:sz w:val="20"/>
          <w:szCs w:val="20"/>
        </w:rPr>
        <w:t xml:space="preserve"> </w:t>
      </w:r>
      <w:r w:rsidR="00640DEC">
        <w:rPr>
          <w:rFonts w:ascii="Georgia" w:hAnsi="Georgia"/>
          <w:sz w:val="20"/>
          <w:szCs w:val="20"/>
        </w:rPr>
        <w:t>penktąjį</w:t>
      </w:r>
      <w:r w:rsidRPr="00AC3318">
        <w:rPr>
          <w:rFonts w:ascii="Georgia" w:hAnsi="Georgia"/>
          <w:sz w:val="20"/>
          <w:szCs w:val="20"/>
        </w:rPr>
        <w:t xml:space="preserve"> </w:t>
      </w:r>
      <w:r>
        <w:rPr>
          <w:rFonts w:ascii="Georgia" w:hAnsi="Georgia"/>
          <w:sz w:val="20"/>
          <w:szCs w:val="20"/>
        </w:rPr>
        <w:t>scenarijų</w:t>
      </w:r>
      <w:r w:rsidRPr="00AC3318">
        <w:rPr>
          <w:rFonts w:ascii="Georgia" w:hAnsi="Georgia"/>
          <w:sz w:val="20"/>
          <w:szCs w:val="20"/>
        </w:rPr>
        <w:t xml:space="preserve"> – </w:t>
      </w:r>
      <w:r w:rsidR="00640DEC">
        <w:rPr>
          <w:rFonts w:ascii="Georgia" w:hAnsi="Georgia"/>
          <w:sz w:val="20"/>
          <w:szCs w:val="20"/>
        </w:rPr>
        <w:t>garantij</w:t>
      </w:r>
      <w:r w:rsidRPr="00AC3318">
        <w:rPr>
          <w:rFonts w:ascii="Georgia" w:hAnsi="Georgia"/>
          <w:sz w:val="20"/>
          <w:szCs w:val="20"/>
        </w:rPr>
        <w:t xml:space="preserve">ų </w:t>
      </w:r>
      <w:r>
        <w:rPr>
          <w:rFonts w:ascii="Georgia" w:hAnsi="Georgia"/>
          <w:sz w:val="20"/>
          <w:szCs w:val="20"/>
        </w:rPr>
        <w:t xml:space="preserve">teikimą sukuriant ir ilgalaikį investicinį fondą, kuris išperka  gerus rezultatus pasiekusių projektų ateities pinigų srautus, </w:t>
      </w:r>
      <w:r w:rsidR="00640DEC">
        <w:rPr>
          <w:rFonts w:ascii="Georgia" w:hAnsi="Georgia"/>
          <w:sz w:val="20"/>
          <w:szCs w:val="20"/>
        </w:rPr>
        <w:t>o už gautas lėšas yra grąžinamos trumpalaikės paskolos komerciniams bankams</w:t>
      </w:r>
      <w:r>
        <w:rPr>
          <w:rFonts w:ascii="Georgia" w:hAnsi="Georgia"/>
          <w:sz w:val="20"/>
          <w:szCs w:val="20"/>
        </w:rPr>
        <w:t>.</w:t>
      </w:r>
      <w:r w:rsidR="00640DEC">
        <w:rPr>
          <w:rFonts w:ascii="Georgia" w:hAnsi="Georgia"/>
          <w:sz w:val="20"/>
          <w:szCs w:val="20"/>
        </w:rPr>
        <w:t xml:space="preserve"> Komerciniai bankai, susigrąžinę išduotas trumpalaikes paskolas, gali toliau finansuoti naujus projektus.</w:t>
      </w:r>
      <w:r w:rsidRPr="00AC3318">
        <w:rPr>
          <w:rFonts w:ascii="Georgia" w:hAnsi="Georgia"/>
          <w:sz w:val="20"/>
          <w:szCs w:val="20"/>
        </w:rPr>
        <w:t xml:space="preserve"> </w:t>
      </w:r>
      <w:r>
        <w:rPr>
          <w:rFonts w:ascii="Georgia" w:hAnsi="Georgia"/>
          <w:sz w:val="20"/>
          <w:szCs w:val="20"/>
        </w:rPr>
        <w:t xml:space="preserve">Nustatyta, kad </w:t>
      </w:r>
      <w:r w:rsidR="00640DEC">
        <w:rPr>
          <w:rFonts w:ascii="Georgia" w:hAnsi="Georgia"/>
          <w:sz w:val="20"/>
          <w:szCs w:val="20"/>
        </w:rPr>
        <w:t>būtent toks</w:t>
      </w:r>
      <w:r>
        <w:rPr>
          <w:rFonts w:ascii="Georgia" w:hAnsi="Georgia"/>
          <w:sz w:val="20"/>
          <w:szCs w:val="20"/>
        </w:rPr>
        <w:t xml:space="preserve"> scenarijus turi didžiausią pridėtinę vertę. </w:t>
      </w:r>
    </w:p>
    <w:p w14:paraId="30EA6206" w14:textId="77777777" w:rsidR="00151543" w:rsidRPr="00AC3318" w:rsidRDefault="00151543" w:rsidP="003B242C">
      <w:pPr>
        <w:pStyle w:val="prastasis1"/>
        <w:spacing w:line="276" w:lineRule="auto"/>
        <w:jc w:val="both"/>
        <w:rPr>
          <w:rFonts w:ascii="Georgia" w:hAnsi="Georgia"/>
          <w:sz w:val="20"/>
          <w:szCs w:val="20"/>
        </w:rPr>
      </w:pPr>
      <w:r w:rsidRPr="00AC3318">
        <w:rPr>
          <w:rFonts w:ascii="Georgia" w:hAnsi="Georgia"/>
          <w:sz w:val="20"/>
          <w:szCs w:val="20"/>
        </w:rPr>
        <w:t xml:space="preserve">Siūlomas finansinis produktas – </w:t>
      </w:r>
      <w:r w:rsidR="00640DEC">
        <w:rPr>
          <w:rFonts w:ascii="Georgia" w:hAnsi="Georgia"/>
          <w:sz w:val="20"/>
          <w:szCs w:val="20"/>
        </w:rPr>
        <w:t>garantijos</w:t>
      </w:r>
      <w:r w:rsidRPr="00AC3318">
        <w:rPr>
          <w:rFonts w:ascii="Georgia" w:hAnsi="Georgia"/>
          <w:sz w:val="20"/>
          <w:szCs w:val="20"/>
        </w:rPr>
        <w:t xml:space="preserve"> + investicinio fondo kūrimas. Siūloma </w:t>
      </w:r>
      <w:r>
        <w:rPr>
          <w:rFonts w:ascii="Georgia" w:hAnsi="Georgia"/>
          <w:sz w:val="20"/>
          <w:szCs w:val="20"/>
        </w:rPr>
        <w:t>visas ESI fondų lėšas skirti finansinės priemonės sukūrimui, o investicines veiklas įgyvendinti kartu su centrinės valdžios viešųjų pastatų siūlomu kurti investiciniu fondu</w:t>
      </w:r>
      <w:r w:rsidRPr="00AC3318">
        <w:rPr>
          <w:rFonts w:ascii="Georgia" w:hAnsi="Georgia"/>
          <w:sz w:val="20"/>
          <w:szCs w:val="20"/>
        </w:rPr>
        <w:t>.</w:t>
      </w:r>
    </w:p>
    <w:p w14:paraId="2ABF4ACF" w14:textId="77777777" w:rsidR="00151543" w:rsidRPr="00640DEC" w:rsidRDefault="00151543" w:rsidP="003B242C">
      <w:pPr>
        <w:pStyle w:val="prastasis1"/>
        <w:spacing w:line="276" w:lineRule="auto"/>
        <w:jc w:val="both"/>
        <w:rPr>
          <w:rFonts w:ascii="Georgia" w:hAnsi="Georgia"/>
          <w:b/>
          <w:i/>
          <w:sz w:val="20"/>
          <w:szCs w:val="20"/>
        </w:rPr>
      </w:pPr>
      <w:r w:rsidRPr="00640DEC">
        <w:rPr>
          <w:rFonts w:ascii="Georgia" w:hAnsi="Georgia"/>
          <w:b/>
          <w:i/>
          <w:sz w:val="20"/>
          <w:szCs w:val="20"/>
        </w:rPr>
        <w:t xml:space="preserve">Siūlomo finansinio produkto - </w:t>
      </w:r>
      <w:r w:rsidR="005B4195">
        <w:rPr>
          <w:rFonts w:ascii="Georgia" w:hAnsi="Georgia"/>
          <w:b/>
          <w:i/>
          <w:sz w:val="20"/>
          <w:szCs w:val="20"/>
        </w:rPr>
        <w:t>garantijų</w:t>
      </w:r>
      <w:r w:rsidRPr="00640DEC">
        <w:rPr>
          <w:rFonts w:ascii="Georgia" w:hAnsi="Georgia"/>
          <w:b/>
          <w:i/>
          <w:sz w:val="20"/>
          <w:szCs w:val="20"/>
        </w:rPr>
        <w:t xml:space="preserve"> – sąlygos:</w:t>
      </w:r>
    </w:p>
    <w:p w14:paraId="07A5BDBF" w14:textId="77777777" w:rsidR="00151543" w:rsidRPr="00A7138A" w:rsidRDefault="00640DEC" w:rsidP="00C03122">
      <w:pPr>
        <w:pStyle w:val="prastasis1"/>
        <w:numPr>
          <w:ilvl w:val="0"/>
          <w:numId w:val="37"/>
        </w:numPr>
        <w:spacing w:line="276" w:lineRule="auto"/>
        <w:jc w:val="both"/>
        <w:rPr>
          <w:rFonts w:ascii="Georgia" w:hAnsi="Georgia"/>
          <w:sz w:val="20"/>
          <w:szCs w:val="20"/>
        </w:rPr>
      </w:pPr>
      <w:r w:rsidRPr="00A7138A">
        <w:rPr>
          <w:rFonts w:ascii="Georgia" w:hAnsi="Georgia"/>
          <w:sz w:val="20"/>
          <w:szCs w:val="20"/>
        </w:rPr>
        <w:t>garantuojama iki 80 % paskolos sumos</w:t>
      </w:r>
      <w:r w:rsidR="00151543" w:rsidRPr="00A7138A">
        <w:rPr>
          <w:rFonts w:ascii="Georgia" w:hAnsi="Georgia"/>
          <w:sz w:val="20"/>
          <w:szCs w:val="20"/>
        </w:rPr>
        <w:t>;</w:t>
      </w:r>
    </w:p>
    <w:p w14:paraId="7C6CF3FE" w14:textId="77777777" w:rsidR="00640DEC" w:rsidRPr="00A7138A" w:rsidRDefault="00640DEC" w:rsidP="00C03122">
      <w:pPr>
        <w:pStyle w:val="prastasis1"/>
        <w:numPr>
          <w:ilvl w:val="0"/>
          <w:numId w:val="37"/>
        </w:numPr>
        <w:spacing w:line="276" w:lineRule="auto"/>
        <w:jc w:val="both"/>
        <w:rPr>
          <w:rFonts w:ascii="Georgia" w:hAnsi="Georgia"/>
          <w:sz w:val="20"/>
          <w:szCs w:val="20"/>
        </w:rPr>
      </w:pPr>
      <w:r w:rsidRPr="00A7138A">
        <w:rPr>
          <w:rFonts w:ascii="Georgia" w:hAnsi="Georgia"/>
          <w:sz w:val="20"/>
          <w:szCs w:val="20"/>
        </w:rPr>
        <w:t>gali būti teikiamos portfelinės arba individualios garantijos;</w:t>
      </w:r>
    </w:p>
    <w:p w14:paraId="7AD94C88" w14:textId="77777777" w:rsidR="00151543" w:rsidRPr="00A7138A" w:rsidRDefault="00151543" w:rsidP="00C03122">
      <w:pPr>
        <w:pStyle w:val="prastasis1"/>
        <w:numPr>
          <w:ilvl w:val="0"/>
          <w:numId w:val="37"/>
        </w:numPr>
        <w:spacing w:line="276" w:lineRule="auto"/>
        <w:jc w:val="both"/>
        <w:rPr>
          <w:rFonts w:ascii="Georgia" w:hAnsi="Georgia"/>
          <w:sz w:val="20"/>
          <w:szCs w:val="20"/>
        </w:rPr>
      </w:pPr>
      <w:r w:rsidRPr="00A7138A">
        <w:rPr>
          <w:rFonts w:ascii="Georgia" w:hAnsi="Georgia"/>
          <w:sz w:val="20"/>
          <w:szCs w:val="20"/>
        </w:rPr>
        <w:t xml:space="preserve">paskolos terminas – iki </w:t>
      </w:r>
      <w:r w:rsidR="00B527B8" w:rsidRPr="00A7138A">
        <w:rPr>
          <w:rFonts w:ascii="Georgia" w:hAnsi="Georgia"/>
          <w:sz w:val="20"/>
          <w:szCs w:val="20"/>
        </w:rPr>
        <w:t>20 metų (tačiau tikėtina, kad esant pinigų srautų išpirkimo galimybei, komerciniai bankai suteiks tik trumpo – vidutinio laikotarpio paskolas);</w:t>
      </w:r>
    </w:p>
    <w:p w14:paraId="7D5A07F2" w14:textId="77777777" w:rsidR="004B2E74" w:rsidRPr="00634DF6" w:rsidRDefault="00151543" w:rsidP="00634DF6">
      <w:pPr>
        <w:pStyle w:val="prastasis1"/>
        <w:numPr>
          <w:ilvl w:val="0"/>
          <w:numId w:val="37"/>
        </w:numPr>
        <w:spacing w:line="276" w:lineRule="auto"/>
        <w:jc w:val="both"/>
        <w:rPr>
          <w:rFonts w:ascii="Georgia" w:hAnsi="Georgia"/>
          <w:sz w:val="20"/>
          <w:szCs w:val="20"/>
        </w:rPr>
      </w:pPr>
      <w:r w:rsidRPr="00634DF6">
        <w:rPr>
          <w:rFonts w:ascii="Georgia" w:hAnsi="Georgia"/>
          <w:sz w:val="20"/>
          <w:szCs w:val="20"/>
        </w:rPr>
        <w:lastRenderedPageBreak/>
        <w:t>lėšos už nupirktas paskolas reinvestuojamos į naujus projektus</w:t>
      </w:r>
      <w:r w:rsidR="003B242C" w:rsidRPr="00634DF6">
        <w:rPr>
          <w:rFonts w:ascii="Georgia" w:hAnsi="Georgia"/>
          <w:sz w:val="20"/>
          <w:szCs w:val="20"/>
        </w:rPr>
        <w:t>.</w:t>
      </w:r>
    </w:p>
    <w:p w14:paraId="01EFC993" w14:textId="77777777" w:rsidR="009F55BB" w:rsidRDefault="00A7138A" w:rsidP="00A7138A">
      <w:pPr>
        <w:pStyle w:val="Antrat"/>
        <w:jc w:val="both"/>
        <w:rPr>
          <w:lang w:val="lt-LT"/>
        </w:rPr>
      </w:pPr>
      <w:r>
        <w:rPr>
          <w:noProof/>
          <w:lang w:val="lt-LT" w:eastAsia="lt-LT"/>
        </w:rPr>
        <w:drawing>
          <wp:inline distT="0" distB="0" distL="0" distR="0" wp14:anchorId="3765B5CD" wp14:editId="53FC5E07">
            <wp:extent cx="5598795" cy="2173605"/>
            <wp:effectExtent l="0" t="0" r="1905" b="0"/>
            <wp:docPr id="12" name="Paveikslėlis 12" descr="\\vipa-server\ESCO_Rolandas\Schemos (Rolandas) (Taisytos 2014-09-29)\Gatviu apsvietimo\Gatviu apsvietimas Nr. 5 tik garanti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vipa-server\ESCO_Rolandas\Schemos (Rolandas) (Taisytos 2014-09-29)\Gatviu apsvietimo\Gatviu apsvietimas Nr. 5 tik garantijos.jpg"/>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5598795" cy="2173605"/>
                    </a:xfrm>
                    <a:prstGeom prst="rect">
                      <a:avLst/>
                    </a:prstGeom>
                    <a:noFill/>
                    <a:ln>
                      <a:noFill/>
                    </a:ln>
                  </pic:spPr>
                </pic:pic>
              </a:graphicData>
            </a:graphic>
          </wp:inline>
        </w:drawing>
      </w:r>
    </w:p>
    <w:p w14:paraId="6714CD37" w14:textId="781078D8" w:rsidR="004B2E74" w:rsidRPr="005B4195" w:rsidRDefault="004B2E74" w:rsidP="00A7138A">
      <w:pPr>
        <w:pStyle w:val="Antrat"/>
        <w:jc w:val="both"/>
        <w:rPr>
          <w:szCs w:val="20"/>
          <w:lang w:val="lt-LT"/>
        </w:rPr>
      </w:pPr>
      <w:bookmarkStart w:id="380" w:name="_Toc417378337"/>
      <w:r w:rsidRPr="005B4195">
        <w:rPr>
          <w:lang w:val="lt-LT"/>
        </w:rPr>
        <w:t xml:space="preserve">Paveikslas </w:t>
      </w:r>
      <w:r w:rsidRPr="005B4195">
        <w:rPr>
          <w:lang w:val="lt-LT"/>
        </w:rPr>
        <w:fldChar w:fldCharType="begin"/>
      </w:r>
      <w:r w:rsidRPr="005B4195">
        <w:rPr>
          <w:lang w:val="lt-LT"/>
        </w:rPr>
        <w:instrText xml:space="preserve"> SEQ Paveikslas \* ARABIC </w:instrText>
      </w:r>
      <w:r w:rsidRPr="005B4195">
        <w:rPr>
          <w:lang w:val="lt-LT"/>
        </w:rPr>
        <w:fldChar w:fldCharType="separate"/>
      </w:r>
      <w:r w:rsidR="00AA3082">
        <w:rPr>
          <w:noProof/>
          <w:lang w:val="lt-LT"/>
        </w:rPr>
        <w:t>60</w:t>
      </w:r>
      <w:r w:rsidRPr="005B4195">
        <w:rPr>
          <w:lang w:val="lt-LT"/>
        </w:rPr>
        <w:fldChar w:fldCharType="end"/>
      </w:r>
      <w:r w:rsidRPr="005B4195">
        <w:rPr>
          <w:lang w:val="lt-LT"/>
        </w:rPr>
        <w:t xml:space="preserve">. </w:t>
      </w:r>
      <w:r w:rsidRPr="005B4195">
        <w:rPr>
          <w:szCs w:val="20"/>
          <w:lang w:val="lt-LT"/>
        </w:rPr>
        <w:t>Siūloma gatvių apšvietimo atnaujinimo, naudojant finansines priemones,</w:t>
      </w:r>
      <w:r w:rsidR="00B527B8" w:rsidRPr="005B4195">
        <w:rPr>
          <w:szCs w:val="20"/>
          <w:lang w:val="lt-LT"/>
        </w:rPr>
        <w:t xml:space="preserve"> schema</w:t>
      </w:r>
      <w:bookmarkEnd w:id="380"/>
    </w:p>
    <w:p w14:paraId="24119565" w14:textId="77777777" w:rsidR="00151543" w:rsidRDefault="00151543" w:rsidP="004B2E74">
      <w:pPr>
        <w:pStyle w:val="prastasis1"/>
        <w:spacing w:line="276" w:lineRule="auto"/>
        <w:jc w:val="both"/>
        <w:rPr>
          <w:rFonts w:ascii="Georgia" w:hAnsi="Georgia"/>
          <w:sz w:val="20"/>
          <w:szCs w:val="20"/>
        </w:rPr>
      </w:pPr>
      <w:r>
        <w:rPr>
          <w:rFonts w:ascii="Georgia" w:hAnsi="Georgia"/>
          <w:sz w:val="20"/>
          <w:szCs w:val="20"/>
        </w:rPr>
        <w:t xml:space="preserve">Du faktoriai, mažinantys fondų fondo apimtį, yra blogos paskolos ir valdymo mokestis fondo valdytojui. Pažymėtina, kad finansinis produktas turėtų būti struktūrizuotas taip, kad fondo mažėjimas ilgainiui būtų kuo mažesnis. Tai taip pat yra reglamentuojama ir </w:t>
      </w:r>
      <w:r w:rsidR="00B527B8">
        <w:rPr>
          <w:rFonts w:ascii="Georgia" w:hAnsi="Georgia"/>
          <w:sz w:val="20"/>
          <w:szCs w:val="20"/>
        </w:rPr>
        <w:t>ES</w:t>
      </w:r>
      <w:r>
        <w:rPr>
          <w:rFonts w:ascii="Georgia" w:hAnsi="Georgia"/>
          <w:sz w:val="20"/>
          <w:szCs w:val="20"/>
        </w:rPr>
        <w:t xml:space="preserve"> teisės aktuose, kuriuose nustatoma, jog ESI fondų lėšos turi būti valdomos pagal patikimus finansų valdymo principus. </w:t>
      </w:r>
    </w:p>
    <w:p w14:paraId="519D0913" w14:textId="78C9D705" w:rsidR="00C63CC1" w:rsidRDefault="00C63CC1" w:rsidP="004B2E74">
      <w:pPr>
        <w:pStyle w:val="prastasis1"/>
        <w:spacing w:line="276" w:lineRule="auto"/>
        <w:jc w:val="both"/>
        <w:rPr>
          <w:rFonts w:ascii="Georgia" w:hAnsi="Georgia"/>
          <w:sz w:val="20"/>
          <w:szCs w:val="20"/>
        </w:rPr>
      </w:pPr>
      <w:r>
        <w:rPr>
          <w:rFonts w:ascii="Georgia" w:hAnsi="Georgia"/>
          <w:sz w:val="20"/>
          <w:szCs w:val="20"/>
        </w:rPr>
        <w:t xml:space="preserve">Europos Komisija yra parengusi finansinių priemonių ir subsidijų derinimo gaires. Tačiau šiose gairėse esantys suvaržymai nesuteikia praktinės galimybės derinti subsidiją ir paskolą finansinės priemonės apimtyje. Tuo atveju, </w:t>
      </w:r>
      <w:r w:rsidRPr="000E4BA5">
        <w:rPr>
          <w:rFonts w:ascii="Georgia" w:hAnsi="Georgia"/>
          <w:b/>
          <w:sz w:val="20"/>
          <w:szCs w:val="20"/>
        </w:rPr>
        <w:t xml:space="preserve">jei </w:t>
      </w:r>
      <w:r>
        <w:rPr>
          <w:rFonts w:ascii="Georgia" w:hAnsi="Georgia"/>
          <w:b/>
          <w:sz w:val="20"/>
          <w:szCs w:val="20"/>
        </w:rPr>
        <w:t>bus papildomi pakeitimai ar naujos gairės</w:t>
      </w:r>
      <w:r w:rsidR="006D46DC">
        <w:rPr>
          <w:rFonts w:ascii="Georgia" w:hAnsi="Georgia"/>
          <w:b/>
          <w:sz w:val="20"/>
          <w:szCs w:val="20"/>
        </w:rPr>
        <w:t>,</w:t>
      </w:r>
      <w:r>
        <w:rPr>
          <w:rFonts w:ascii="Georgia" w:hAnsi="Georgia"/>
          <w:b/>
          <w:sz w:val="20"/>
          <w:szCs w:val="20"/>
        </w:rPr>
        <w:t xml:space="preserve"> </w:t>
      </w:r>
      <w:r w:rsidRPr="000E4BA5">
        <w:rPr>
          <w:rFonts w:ascii="Georgia" w:hAnsi="Georgia"/>
          <w:b/>
          <w:sz w:val="20"/>
          <w:szCs w:val="20"/>
        </w:rPr>
        <w:t>reikalinga koreguoti finansinį produktą pagal gairėse nustatytas taisykles</w:t>
      </w:r>
      <w:r w:rsidR="006D46DC">
        <w:rPr>
          <w:rFonts w:ascii="Georgia" w:hAnsi="Georgia"/>
          <w:b/>
          <w:sz w:val="20"/>
          <w:szCs w:val="20"/>
        </w:rPr>
        <w:t>.T</w:t>
      </w:r>
      <w:r>
        <w:rPr>
          <w:rFonts w:ascii="Georgia" w:hAnsi="Georgia"/>
          <w:b/>
          <w:sz w:val="20"/>
          <w:szCs w:val="20"/>
        </w:rPr>
        <w:t xml:space="preserve">ačiau </w:t>
      </w:r>
      <w:r w:rsidRPr="000E4BA5">
        <w:rPr>
          <w:rFonts w:ascii="Georgia" w:hAnsi="Georgia"/>
          <w:b/>
          <w:sz w:val="20"/>
          <w:szCs w:val="20"/>
        </w:rPr>
        <w:t xml:space="preserve">laikoma, kad </w:t>
      </w:r>
      <w:r w:rsidR="006D46DC" w:rsidRPr="000E4BA5">
        <w:rPr>
          <w:rFonts w:ascii="Georgia" w:hAnsi="Georgia"/>
          <w:b/>
          <w:sz w:val="20"/>
          <w:szCs w:val="20"/>
        </w:rPr>
        <w:t xml:space="preserve">koreguoti </w:t>
      </w:r>
      <w:r w:rsidRPr="000E4BA5">
        <w:rPr>
          <w:rFonts w:ascii="Georgia" w:hAnsi="Georgia"/>
          <w:b/>
          <w:sz w:val="20"/>
          <w:szCs w:val="20"/>
        </w:rPr>
        <w:t>ex ante vertinimo nebūtų reikalinga</w:t>
      </w:r>
      <w:r>
        <w:rPr>
          <w:rFonts w:ascii="Georgia" w:hAnsi="Georgia"/>
          <w:sz w:val="20"/>
          <w:szCs w:val="20"/>
        </w:rPr>
        <w:t>. Tokios finansinio produkto korekcijos galėtų apimti, pavyzdžiui, 0 proc. palūkanų taikymą vietoje 2 proc., palūkanų kompensavimo mechanizmo taikymą, techninės paramos apmokėjimo tvarką ir kitus aktualius pasikeitimus.</w:t>
      </w:r>
    </w:p>
    <w:p w14:paraId="1071FF63" w14:textId="77777777" w:rsidR="00151543" w:rsidRPr="00AA32EA" w:rsidRDefault="00151543" w:rsidP="00C03122">
      <w:pPr>
        <w:pStyle w:val="Antrat2"/>
        <w:numPr>
          <w:ilvl w:val="2"/>
          <w:numId w:val="36"/>
        </w:numPr>
        <w:spacing w:after="240"/>
        <w:rPr>
          <w:lang w:val="lt-LT"/>
        </w:rPr>
      </w:pPr>
      <w:bookmarkStart w:id="381" w:name="_Toc398043864"/>
      <w:bookmarkStart w:id="382" w:name="_Toc398567616"/>
      <w:bookmarkStart w:id="383" w:name="_Toc417378447"/>
      <w:r w:rsidRPr="00AA32EA">
        <w:rPr>
          <w:lang w:val="lt-LT"/>
        </w:rPr>
        <w:t>Finansinės priemonės derinimas su parama</w:t>
      </w:r>
      <w:bookmarkEnd w:id="381"/>
      <w:bookmarkEnd w:id="382"/>
      <w:bookmarkEnd w:id="383"/>
    </w:p>
    <w:p w14:paraId="005F3882" w14:textId="77777777" w:rsidR="00A04C05" w:rsidRDefault="00A04C05" w:rsidP="00A04C05">
      <w:pPr>
        <w:rPr>
          <w:rFonts w:ascii="Georgia" w:eastAsia="Times New Roman" w:hAnsi="Georgia" w:cs="Times New Roman"/>
          <w:b/>
          <w:sz w:val="20"/>
          <w:szCs w:val="20"/>
          <w:lang w:val="lt-LT" w:eastAsia="lt-LT"/>
        </w:rPr>
      </w:pPr>
      <w:r>
        <w:rPr>
          <w:rFonts w:ascii="Georgia" w:eastAsia="Times New Roman" w:hAnsi="Georgia" w:cs="Times New Roman"/>
          <w:b/>
          <w:sz w:val="20"/>
          <w:szCs w:val="20"/>
          <w:lang w:val="lt-LT" w:eastAsia="lt-LT"/>
        </w:rPr>
        <w:t>Centrinės valdžios pastatai</w:t>
      </w:r>
    </w:p>
    <w:p w14:paraId="600787E6" w14:textId="3B0C3439" w:rsidR="00A04C05" w:rsidRPr="00AE7E91" w:rsidRDefault="00A04C05" w:rsidP="00A04C05">
      <w:pPr>
        <w:jc w:val="both"/>
        <w:rPr>
          <w:rFonts w:ascii="Georgia" w:eastAsia="Times New Roman" w:hAnsi="Georgia" w:cs="Times New Roman"/>
          <w:sz w:val="20"/>
          <w:szCs w:val="20"/>
          <w:lang w:val="lt-LT" w:eastAsia="lt-LT"/>
        </w:rPr>
      </w:pPr>
      <w:r w:rsidRPr="00AE7E91">
        <w:rPr>
          <w:rFonts w:ascii="Georgia" w:eastAsia="Times New Roman" w:hAnsi="Georgia" w:cs="Times New Roman"/>
          <w:sz w:val="20"/>
          <w:szCs w:val="20"/>
          <w:lang w:val="lt-LT" w:eastAsia="lt-LT"/>
        </w:rPr>
        <w:t xml:space="preserve">4.1 dalyje buvo atlikta viešųjų pastatų energijos efektyvumo projektų jautrumo analizė, kurioje buvo nustatyta, kad šių projektų atsipirkimo per 20 m. laikotarpį užtikrinimui yra reikalinga </w:t>
      </w:r>
      <w:r w:rsidR="0012248F" w:rsidRPr="00AE7E91">
        <w:rPr>
          <w:rFonts w:ascii="Georgia" w:eastAsia="Times New Roman" w:hAnsi="Georgia" w:cs="Times New Roman"/>
          <w:sz w:val="20"/>
          <w:szCs w:val="20"/>
          <w:lang w:val="lt-LT" w:eastAsia="lt-LT"/>
        </w:rPr>
        <w:t xml:space="preserve">iki </w:t>
      </w:r>
      <w:r w:rsidRPr="00AE7E91">
        <w:rPr>
          <w:rFonts w:ascii="Georgia" w:eastAsia="Times New Roman" w:hAnsi="Georgia" w:cs="Times New Roman"/>
          <w:sz w:val="20"/>
          <w:szCs w:val="20"/>
          <w:lang w:val="lt-LT" w:eastAsia="lt-LT"/>
        </w:rPr>
        <w:t xml:space="preserve">20 % subsidija. </w:t>
      </w:r>
      <w:r w:rsidR="0012248F" w:rsidRPr="00AE7E91">
        <w:rPr>
          <w:rFonts w:ascii="Georgia" w:eastAsia="Times New Roman" w:hAnsi="Georgia" w:cs="Times New Roman"/>
          <w:sz w:val="20"/>
          <w:szCs w:val="20"/>
          <w:lang w:val="lt-LT" w:eastAsia="lt-LT"/>
        </w:rPr>
        <w:t>Pažymėtina, kad 20 % subsidijos poreikis buvo apskaičiuotas vertinant vidutinius centrinės valdžios pastatų duomenis (t.y. vidutinis plotas, vidutinis sutaupymas ir pan.)</w:t>
      </w:r>
      <w:r w:rsidR="00384EE7" w:rsidRPr="00AE7E91">
        <w:rPr>
          <w:rFonts w:ascii="Georgia" w:eastAsia="Times New Roman" w:hAnsi="Georgia" w:cs="Times New Roman"/>
          <w:sz w:val="20"/>
          <w:szCs w:val="20"/>
          <w:lang w:val="lt-LT" w:eastAsia="lt-LT"/>
        </w:rPr>
        <w:t xml:space="preserve">, tačiau praktikoje tikėtina, kad visų centrinės valdžios pastatų atsiperkamumas ir poreikis subsidijai skirsis. Todėl rekomenduojama </w:t>
      </w:r>
      <w:r w:rsidR="0050613B">
        <w:rPr>
          <w:rFonts w:ascii="Georgia" w:eastAsia="Times New Roman" w:hAnsi="Georgia" w:cs="Times New Roman"/>
          <w:sz w:val="20"/>
          <w:szCs w:val="20"/>
          <w:lang w:val="lt-LT" w:eastAsia="lt-LT"/>
        </w:rPr>
        <w:t>ministerijoms ieškoti papildomų subsidijos šaltinių</w:t>
      </w:r>
      <w:r w:rsidR="00384EE7" w:rsidRPr="00AE7E91">
        <w:rPr>
          <w:rFonts w:ascii="Georgia" w:eastAsia="Times New Roman" w:hAnsi="Georgia" w:cs="Times New Roman"/>
          <w:sz w:val="20"/>
          <w:szCs w:val="20"/>
          <w:lang w:val="lt-LT" w:eastAsia="lt-LT"/>
        </w:rPr>
        <w:t xml:space="preserve">. </w:t>
      </w:r>
    </w:p>
    <w:p w14:paraId="1BF576FF" w14:textId="55570690" w:rsidR="00A04C05" w:rsidRDefault="00A04C05" w:rsidP="00A04C05">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w:t>
      </w:r>
    </w:p>
    <w:p w14:paraId="32E2E0D7" w14:textId="77777777" w:rsidR="00A04C05" w:rsidRDefault="00A04C05" w:rsidP="00A04C05">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Vadovaujantis Finansinių priemonių taisyklėmis, finansinės priemonės gali būti derinamos su parama laikantis šių nuostatų:</w:t>
      </w:r>
    </w:p>
    <w:p w14:paraId="44D86788" w14:textId="77777777" w:rsidR="00A04C05" w:rsidRDefault="00A04C05" w:rsidP="002A576D">
      <w:pPr>
        <w:pStyle w:val="Sraopastraipa"/>
        <w:numPr>
          <w:ilvl w:val="0"/>
          <w:numId w:val="87"/>
        </w:numPr>
        <w:jc w:val="both"/>
        <w:rPr>
          <w:rFonts w:ascii="Georgia" w:eastAsia="Times New Roman" w:hAnsi="Georgia" w:cs="Times New Roman"/>
          <w:i/>
          <w:sz w:val="20"/>
          <w:szCs w:val="20"/>
          <w:lang w:val="lt-LT" w:eastAsia="lt-LT"/>
        </w:rPr>
      </w:pPr>
      <w:r>
        <w:rPr>
          <w:rFonts w:ascii="Georgia" w:eastAsia="Times New Roman" w:hAnsi="Georgia" w:cs="Times New Roman"/>
          <w:i/>
          <w:sz w:val="20"/>
          <w:szCs w:val="20"/>
          <w:lang w:val="lt-LT" w:eastAsia="lt-LT"/>
        </w:rPr>
        <w:t xml:space="preserve">Finansinės priemonės gali būti derinamos su negrąžinamosiomis subsidijomis ir kitomis finansinėmis priemonėmis laikantis reikalavimų, nustatytų Reglamente (ES) Nr. 1303/2013. Vadovaujantis Reglamento (ES) Nr. 1303/2013 37 straipsnio 9 dalimi, </w:t>
      </w:r>
      <w:r>
        <w:rPr>
          <w:rFonts w:ascii="Georgia" w:eastAsia="Times New Roman" w:hAnsi="Georgia" w:cs="Times New Roman"/>
          <w:b/>
          <w:i/>
          <w:sz w:val="20"/>
          <w:szCs w:val="20"/>
          <w:lang w:val="lt-LT" w:eastAsia="lt-LT"/>
        </w:rPr>
        <w:t xml:space="preserve">kartu sudėjus visas finansavimo formas, konkrečioms išlaidoms finansuoti negali būti skirta </w:t>
      </w:r>
      <w:r>
        <w:rPr>
          <w:rFonts w:ascii="Georgia" w:eastAsia="Times New Roman" w:hAnsi="Georgia" w:cs="Times New Roman"/>
          <w:b/>
          <w:i/>
          <w:sz w:val="20"/>
          <w:szCs w:val="20"/>
          <w:lang w:val="lt-LT" w:eastAsia="lt-LT"/>
        </w:rPr>
        <w:lastRenderedPageBreak/>
        <w:t>daugiau nei 100 procentų šių išlaidų dydžio sumos,</w:t>
      </w:r>
      <w:r>
        <w:rPr>
          <w:rFonts w:ascii="Georgia" w:eastAsia="Times New Roman" w:hAnsi="Georgia" w:cs="Times New Roman"/>
          <w:i/>
          <w:sz w:val="20"/>
          <w:szCs w:val="20"/>
          <w:lang w:val="lt-LT" w:eastAsia="lt-LT"/>
        </w:rPr>
        <w:t xml:space="preserve"> taip pat turi būti nepažeidžiami valstybės pagalbos taisyklėse nustatyti reikalavimai.</w:t>
      </w:r>
    </w:p>
    <w:p w14:paraId="3D089490" w14:textId="77777777" w:rsidR="00A04C05" w:rsidRDefault="00A04C05" w:rsidP="002A576D">
      <w:pPr>
        <w:pStyle w:val="Sraopastraipa"/>
        <w:numPr>
          <w:ilvl w:val="0"/>
          <w:numId w:val="87"/>
        </w:numPr>
        <w:jc w:val="both"/>
        <w:rPr>
          <w:rFonts w:ascii="Georgia" w:eastAsia="Times New Roman" w:hAnsi="Georgia" w:cs="Times New Roman"/>
          <w:i/>
          <w:sz w:val="20"/>
          <w:szCs w:val="20"/>
          <w:lang w:val="lt-LT" w:eastAsia="lt-LT"/>
        </w:rPr>
      </w:pPr>
      <w:r>
        <w:rPr>
          <w:rFonts w:ascii="Georgia" w:eastAsia="Times New Roman" w:hAnsi="Georgia" w:cs="Times New Roman"/>
          <w:i/>
          <w:sz w:val="20"/>
          <w:szCs w:val="20"/>
          <w:lang w:val="lt-LT" w:eastAsia="lt-LT"/>
        </w:rPr>
        <w:t xml:space="preserve">Galutiniai naudos gavėjai gali gauti negrąžinamąsias subsidijas ar kitą finansavimą, kaip nurodyta Reglamento (ES) Nr. 1303/2013 37 straipsnio 8 dalyje, tačiau </w:t>
      </w:r>
      <w:r>
        <w:rPr>
          <w:rFonts w:ascii="Georgia" w:eastAsia="Times New Roman" w:hAnsi="Georgia" w:cs="Times New Roman"/>
          <w:b/>
          <w:i/>
          <w:sz w:val="20"/>
          <w:szCs w:val="20"/>
          <w:lang w:val="lt-LT" w:eastAsia="lt-LT"/>
        </w:rPr>
        <w:t>negrąžinamosios subsidijos negali būti naudojamos padengti įsipareigojimams, prisiimtiems gavus finansavimą pagal finansines priemones, o finansinių priemonių finansavimo lėšos negali būti naudojamos apmokėti išlaidoms, kurioms skiriama negrąžinamoji subsidija,</w:t>
      </w:r>
      <w:r>
        <w:rPr>
          <w:rFonts w:ascii="Georgia" w:eastAsia="Times New Roman" w:hAnsi="Georgia" w:cs="Times New Roman"/>
          <w:i/>
          <w:sz w:val="20"/>
          <w:szCs w:val="20"/>
          <w:lang w:val="lt-LT" w:eastAsia="lt-LT"/>
        </w:rPr>
        <w:t xml:space="preserve"> kaip nurodyta Reglamento (ES) Nr. 1303/2013 37 straipsnio 9 dalyje.</w:t>
      </w:r>
    </w:p>
    <w:p w14:paraId="0D382F15" w14:textId="77777777" w:rsidR="00A04C05" w:rsidRDefault="00A04C05" w:rsidP="002A576D">
      <w:pPr>
        <w:pStyle w:val="Sraopastraipa"/>
        <w:numPr>
          <w:ilvl w:val="0"/>
          <w:numId w:val="87"/>
        </w:numPr>
        <w:jc w:val="both"/>
        <w:rPr>
          <w:rFonts w:ascii="Georgia" w:eastAsia="Times New Roman" w:hAnsi="Georgia" w:cs="Times New Roman"/>
          <w:i/>
          <w:sz w:val="20"/>
          <w:szCs w:val="20"/>
          <w:lang w:val="lt-LT" w:eastAsia="lt-LT"/>
        </w:rPr>
      </w:pPr>
      <w:r>
        <w:rPr>
          <w:rFonts w:ascii="Georgia" w:eastAsia="Times New Roman" w:hAnsi="Georgia" w:cs="Times New Roman"/>
          <w:i/>
          <w:sz w:val="20"/>
          <w:szCs w:val="20"/>
          <w:lang w:val="lt-LT" w:eastAsia="lt-LT"/>
        </w:rPr>
        <w:t xml:space="preserve">Finansinės priemonės gali būti derinamos su negrąžinamąja subsidija: </w:t>
      </w:r>
    </w:p>
    <w:p w14:paraId="3F72F924" w14:textId="77777777" w:rsidR="00A04C05" w:rsidRDefault="00A04C05" w:rsidP="002A576D">
      <w:pPr>
        <w:pStyle w:val="Sraopastraipa"/>
        <w:numPr>
          <w:ilvl w:val="1"/>
          <w:numId w:val="87"/>
        </w:numPr>
        <w:jc w:val="both"/>
        <w:rPr>
          <w:rFonts w:ascii="Georgia" w:eastAsia="Times New Roman" w:hAnsi="Georgia" w:cs="Times New Roman"/>
          <w:i/>
          <w:sz w:val="20"/>
          <w:szCs w:val="20"/>
          <w:lang w:val="lt-LT" w:eastAsia="lt-LT"/>
        </w:rPr>
      </w:pPr>
      <w:r>
        <w:rPr>
          <w:rFonts w:ascii="Georgia" w:eastAsia="Times New Roman" w:hAnsi="Georgia" w:cs="Times New Roman"/>
          <w:i/>
          <w:sz w:val="20"/>
          <w:szCs w:val="20"/>
          <w:lang w:val="lt-LT" w:eastAsia="lt-LT"/>
        </w:rPr>
        <w:t>vadovaujantis Reglamento (ES) Nr. 1303/2013 37 straipsnio 7 dalimi ir Deleguotojo reglamento 5 straipsniu, kai negrąžinamosios subsidijos ir finansinės priemonės, skirtos tiems patiems galutiniams naudos gavėjams, yra tiesiogiai susijusios, finansinės priemonės gali būti įgyvendinamos vykdant vieną projektą kartu su palūkanų normos negrąžinamąja subsidija, garantijos mokesčio negrąžinamąja subsidija ir (ar) remtinų galutinių naudos gavėjų būsimoms investicijoms techniškai parengti skirta techninės paramos negrąžinamąja subsidija. Tokiu atveju, kai vienas projektas apima kelias finansavimo formas, visoms finansavimo formoms taikomos Finansinių priemonių įgyvendinimo taisyklės;</w:t>
      </w:r>
    </w:p>
    <w:p w14:paraId="38CCC2FA" w14:textId="77777777" w:rsidR="00A04C05" w:rsidRDefault="00A04C05" w:rsidP="002A576D">
      <w:pPr>
        <w:pStyle w:val="Sraopastraipa"/>
        <w:numPr>
          <w:ilvl w:val="1"/>
          <w:numId w:val="87"/>
        </w:numPr>
        <w:jc w:val="both"/>
        <w:rPr>
          <w:rFonts w:ascii="Georgia" w:eastAsia="Times New Roman" w:hAnsi="Georgia" w:cs="Times New Roman"/>
          <w:i/>
          <w:sz w:val="20"/>
          <w:szCs w:val="20"/>
          <w:lang w:val="lt-LT" w:eastAsia="lt-LT"/>
        </w:rPr>
      </w:pPr>
      <w:r>
        <w:rPr>
          <w:rFonts w:ascii="Georgia" w:eastAsia="Times New Roman" w:hAnsi="Georgia" w:cs="Times New Roman"/>
          <w:b/>
          <w:i/>
          <w:sz w:val="20"/>
          <w:szCs w:val="20"/>
          <w:lang w:val="lt-LT" w:eastAsia="lt-LT"/>
        </w:rPr>
        <w:t>finansinės priemonės ir negrąžinamosios subsidijos gali būti skirtos toms pačioms ar susijusioms galutinių naudos gavėjų veikloms bendrai finansuoti, įgyvendinant susijusias priemones. Gali būti taikomos abi finansavimo formos  arba kurios nors finansavimo formos taikymas gali būti išankstinė kitos finansavimo formos taikymo sąlyga,</w:t>
      </w:r>
      <w:r>
        <w:rPr>
          <w:rFonts w:ascii="Georgia" w:eastAsia="Times New Roman" w:hAnsi="Georgia" w:cs="Times New Roman"/>
          <w:i/>
          <w:sz w:val="20"/>
          <w:szCs w:val="20"/>
          <w:lang w:val="lt-LT" w:eastAsia="lt-LT"/>
        </w:rPr>
        <w:t xml:space="preserve"> nepažeidžiant Taisyklių 50 punkte nustatytų reikalavimų, kai ministerija nustato tam tikrus skirtingų finansavimo formų derinimo reikalavimus, susijusius su kompleksišku visų veiklų įgyvendinimu, konkretaus objekto sukūrimu ar atnaujinimu, siekdama didesnio skiriamų finansavimo lėšų poveikio ir efektyvaus lėšų panaudojimo.</w:t>
      </w:r>
    </w:p>
    <w:p w14:paraId="2260D60D" w14:textId="77777777" w:rsidR="00A04C05" w:rsidRDefault="00A04C05" w:rsidP="00A04C05">
      <w:pPr>
        <w:jc w:val="both"/>
        <w:rPr>
          <w:rFonts w:ascii="Georgia" w:eastAsia="Times New Roman" w:hAnsi="Georgia" w:cs="Times New Roman"/>
          <w:b/>
          <w:i/>
          <w:sz w:val="20"/>
          <w:szCs w:val="20"/>
          <w:lang w:val="lt-LT" w:eastAsia="lt-LT"/>
        </w:rPr>
      </w:pPr>
      <w:r>
        <w:rPr>
          <w:rFonts w:ascii="Georgia" w:eastAsia="Times New Roman" w:hAnsi="Georgia" w:cs="Times New Roman"/>
          <w:sz w:val="20"/>
          <w:szCs w:val="20"/>
          <w:lang w:val="lt-LT" w:eastAsia="lt-LT"/>
        </w:rPr>
        <w:t>Tai yra pagrindinės nuostatos, apribojančios finansinės priemonės ir subsidijų derinimą. Pažymėtina, kad vadovaujantis šiomis nuostatomis, subsidija negali būti teikiama po projekto įgyvendinimo kaip skatinamoji priemonė, kadangi būtų pažeistas reikalavimas, išdėstytas 2-ajame punkte: „</w:t>
      </w:r>
      <w:r>
        <w:rPr>
          <w:rFonts w:ascii="Georgia" w:eastAsia="Times New Roman" w:hAnsi="Georgia" w:cs="Times New Roman"/>
          <w:b/>
          <w:i/>
          <w:sz w:val="20"/>
          <w:szCs w:val="20"/>
          <w:lang w:val="lt-LT" w:eastAsia="lt-LT"/>
        </w:rPr>
        <w:t>negrąžinamosios subsidijos negali būti naudojamos padengti įsipareigojimams, prisiimtiems gavus finansavimą pagal finansines priemones“.</w:t>
      </w:r>
    </w:p>
    <w:p w14:paraId="78007368" w14:textId="06A3B661" w:rsidR="00A04C05" w:rsidRDefault="0050613B" w:rsidP="00A04C05">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Jeigu bus surasti papildomi subsidijos šaltiniai, a</w:t>
      </w:r>
      <w:r w:rsidR="00A04C05">
        <w:rPr>
          <w:rFonts w:ascii="Georgia" w:eastAsia="Times New Roman" w:hAnsi="Georgia" w:cs="Times New Roman"/>
          <w:sz w:val="20"/>
          <w:szCs w:val="20"/>
          <w:lang w:val="lt-LT" w:eastAsia="lt-LT"/>
        </w:rPr>
        <w:t xml:space="preserve">tsižvelgiant į tai, subsidija turėtų būti teikiama prieš projekto įgyvendinimą, projekto planuojamas investicijas padengiant iš dviejų finansavimo šaltinių: 20 proc. investicijų finansuojama iš subsidijos, 80 proc. investicijų – per finansinę priemonę ir ESCO kompanijos prisidėjimą savomis lėšomis. Be kita ko, subsidijų teikimui yra taikomi kiti teisės aktai nei finansinei priemonei, kadangi analizėje pagrįsta 20 proc. subsidija neatitinka aukščiau nurodytos 3.a nuostatos. Atitinkamai, didžiąja dalimi subsidiją administruojančios ir teikiančios institucijos yra ne tos pačios, kaip finansinių priemonių valdytojai. </w:t>
      </w:r>
    </w:p>
    <w:p w14:paraId="44584FF2" w14:textId="77777777" w:rsidR="00A04C05" w:rsidRDefault="00A04C05" w:rsidP="00A04C05">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Vadovaujantis šiuo metu patvirtinta 2014-2020 m. teisine baze ESI fondų lėšų administravimui, siekiant vienam projektui skirti 20 proc. subsidiją ir 80 proc. finansavimą per finansinę priemonę, sukuriama didžiulė administracinė našta administruoti šias dvi atskiras paramos formas, kadangi daugeliu atveju šias finansavimo formas administruojančios institucijos bus skirtingos. </w:t>
      </w:r>
    </w:p>
    <w:p w14:paraId="0AFFD7CD" w14:textId="77777777" w:rsidR="00A04C05" w:rsidRDefault="00A04C05" w:rsidP="00A04C05">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Pažymėtina, jog optimaliausias šių </w:t>
      </w:r>
      <w:r>
        <w:rPr>
          <w:rFonts w:ascii="Georgia" w:eastAsia="Times New Roman" w:hAnsi="Georgia" w:cs="Times New Roman"/>
          <w:b/>
          <w:sz w:val="20"/>
          <w:szCs w:val="20"/>
          <w:lang w:val="lt-LT" w:eastAsia="lt-LT"/>
        </w:rPr>
        <w:t>dviejų finansavimo formų suderinimas būtų įgyvendinamas per vieną instituciją,</w:t>
      </w:r>
      <w:r>
        <w:rPr>
          <w:rFonts w:ascii="Georgia" w:eastAsia="Times New Roman" w:hAnsi="Georgia" w:cs="Times New Roman"/>
          <w:sz w:val="20"/>
          <w:szCs w:val="20"/>
          <w:lang w:val="lt-LT" w:eastAsia="lt-LT"/>
        </w:rPr>
        <w:t xml:space="preserve"> kuri tuo pačiu atliktų įgyvendinančiosios institucijos </w:t>
      </w:r>
      <w:r>
        <w:rPr>
          <w:rFonts w:ascii="Georgia" w:eastAsia="Times New Roman" w:hAnsi="Georgia" w:cs="Times New Roman"/>
          <w:sz w:val="20"/>
          <w:szCs w:val="20"/>
          <w:lang w:val="lt-LT" w:eastAsia="lt-LT"/>
        </w:rPr>
        <w:lastRenderedPageBreak/>
        <w:t>funkcijas</w:t>
      </w:r>
      <w:r>
        <w:rPr>
          <w:rStyle w:val="Puslapioinaosnuoroda"/>
          <w:rFonts w:ascii="Georgia" w:eastAsia="Times New Roman" w:hAnsi="Georgia" w:cs="Times New Roman"/>
          <w:sz w:val="20"/>
          <w:szCs w:val="20"/>
          <w:lang w:val="lt-LT" w:eastAsia="lt-LT"/>
        </w:rPr>
        <w:footnoteReference w:id="166"/>
      </w:r>
      <w:r>
        <w:rPr>
          <w:rFonts w:ascii="Georgia" w:eastAsia="Times New Roman" w:hAnsi="Georgia" w:cs="Times New Roman"/>
          <w:sz w:val="20"/>
          <w:szCs w:val="20"/>
          <w:lang w:val="lt-LT" w:eastAsia="lt-LT"/>
        </w:rPr>
        <w:t xml:space="preserve"> ir finansinės priemonės valdytojo funkcijas. Tokiu būdu vieno projektų administravimas būtų valdomas vienose rankose ir taip sumažinama bereikalinga administracinė našta. Atsižvelgiant į tai, rekomenduojama įvertinti, ar nacionalinė institucija, galinti veikti kaip finansinės priemonės valdytojas, galėtų ir būti paskiriama viena iš įgyvendinančių institucijų. </w:t>
      </w:r>
    </w:p>
    <w:p w14:paraId="140681A2" w14:textId="77777777" w:rsidR="00A04C05" w:rsidRDefault="00A04C05" w:rsidP="00B05A30">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Pažymėtina, kad vadovaujantis ESI fondų teisine baze, 20 proc. parama projektams galėtų būti teikiama arba kaip subsidija, arba kaip visuotinė dotacija (angl. </w:t>
      </w:r>
      <w:r>
        <w:rPr>
          <w:rFonts w:ascii="Georgia" w:eastAsia="Times New Roman" w:hAnsi="Georgia" w:cs="Times New Roman"/>
          <w:i/>
          <w:sz w:val="20"/>
          <w:szCs w:val="20"/>
          <w:lang w:val="lt-LT" w:eastAsia="lt-LT"/>
        </w:rPr>
        <w:t>global grant)</w:t>
      </w:r>
      <w:r>
        <w:rPr>
          <w:rStyle w:val="Puslapioinaosnuoroda"/>
          <w:rFonts w:ascii="Georgia" w:eastAsia="Times New Roman" w:hAnsi="Georgia" w:cs="Times New Roman"/>
          <w:i/>
          <w:sz w:val="20"/>
          <w:szCs w:val="20"/>
          <w:lang w:val="lt-LT" w:eastAsia="lt-LT"/>
        </w:rPr>
        <w:footnoteReference w:id="167"/>
      </w:r>
      <w:r>
        <w:rPr>
          <w:rFonts w:ascii="Georgia" w:eastAsia="Times New Roman" w:hAnsi="Georgia" w:cs="Times New Roman"/>
          <w:sz w:val="20"/>
          <w:szCs w:val="20"/>
          <w:lang w:val="lt-LT" w:eastAsia="lt-LT"/>
        </w:rPr>
        <w:t xml:space="preserve">. </w:t>
      </w:r>
    </w:p>
    <w:p w14:paraId="58A7D321" w14:textId="77777777" w:rsidR="00A04C05" w:rsidRDefault="001E6EFD" w:rsidP="001E6EFD">
      <w:pPr>
        <w:jc w:val="both"/>
        <w:rPr>
          <w:rFonts w:ascii="Georgia" w:eastAsia="Times New Roman" w:hAnsi="Georgia" w:cs="Times New Roman"/>
          <w:b/>
          <w:sz w:val="20"/>
          <w:szCs w:val="20"/>
          <w:lang w:val="lt-LT" w:eastAsia="lt-LT"/>
        </w:rPr>
      </w:pPr>
      <w:r>
        <w:rPr>
          <w:rFonts w:ascii="Georgia" w:eastAsia="Times New Roman" w:hAnsi="Georgia" w:cs="Times New Roman"/>
          <w:sz w:val="20"/>
          <w:szCs w:val="20"/>
          <w:lang w:val="lt-LT" w:eastAsia="lt-LT"/>
        </w:rPr>
        <w:t xml:space="preserve">Atsiradus galimybei skirti papildomą subsidiją </w:t>
      </w:r>
      <w:r w:rsidR="003D2247">
        <w:rPr>
          <w:rFonts w:ascii="Georgia" w:eastAsia="Times New Roman" w:hAnsi="Georgia" w:cs="Times New Roman"/>
          <w:sz w:val="20"/>
          <w:szCs w:val="20"/>
          <w:lang w:val="lt-LT" w:eastAsia="lt-LT"/>
        </w:rPr>
        <w:t xml:space="preserve">viešųjų pastatų modernizavimui </w:t>
      </w:r>
      <w:r>
        <w:rPr>
          <w:rFonts w:ascii="Georgia" w:eastAsia="Times New Roman" w:hAnsi="Georgia" w:cs="Times New Roman"/>
          <w:sz w:val="20"/>
          <w:szCs w:val="20"/>
          <w:lang w:val="lt-LT" w:eastAsia="lt-LT"/>
        </w:rPr>
        <w:t>iš kitų šaltinių (pvz. Klimato kaitos programos lėšų), siūloma išnaudoti tokią galimybę siekiant sutrumpinti projektų atsipirkimo laikotarpį ir motyvuoti pastatų valdytojus aktyviau atnaujinti viešuosius pastatus, tokiu būdu prisidedant prie energijos taupymo strateginių tikslų.</w:t>
      </w:r>
    </w:p>
    <w:p w14:paraId="395B8A6E" w14:textId="77777777" w:rsidR="00A04C05" w:rsidRDefault="00A04C05" w:rsidP="00A04C05">
      <w:pPr>
        <w:rPr>
          <w:rFonts w:ascii="Georgia" w:eastAsia="Times New Roman" w:hAnsi="Georgia" w:cs="Times New Roman"/>
          <w:b/>
          <w:sz w:val="20"/>
          <w:szCs w:val="20"/>
          <w:lang w:val="lt-LT" w:eastAsia="lt-LT"/>
        </w:rPr>
      </w:pPr>
      <w:r>
        <w:rPr>
          <w:rFonts w:ascii="Georgia" w:eastAsia="Times New Roman" w:hAnsi="Georgia" w:cs="Times New Roman"/>
          <w:b/>
          <w:sz w:val="20"/>
          <w:szCs w:val="20"/>
          <w:lang w:val="lt-LT" w:eastAsia="lt-LT"/>
        </w:rPr>
        <w:t>Gatvių apšvietimas</w:t>
      </w:r>
    </w:p>
    <w:p w14:paraId="07DA77F4" w14:textId="77777777" w:rsidR="00A04C05" w:rsidRDefault="00A04C05" w:rsidP="00A04C05">
      <w:pPr>
        <w:jc w:val="both"/>
        <w:rPr>
          <w:rFonts w:ascii="Georgia" w:hAnsi="Georgia"/>
          <w:lang w:val="lt-LT"/>
        </w:rPr>
      </w:pPr>
      <w:r>
        <w:rPr>
          <w:rFonts w:ascii="Georgia" w:eastAsia="Times New Roman" w:hAnsi="Georgia" w:cs="Times New Roman"/>
          <w:sz w:val="20"/>
          <w:szCs w:val="20"/>
          <w:lang w:val="lt-LT" w:eastAsia="lt-LT"/>
        </w:rPr>
        <w:t>Atsižvelgiant į jautrumo analizės metu atliktus skaičiavimų rezultatus, buvo nustatyta, kad gatvių apšvietimo projektų finansinis gyvybingumas ir atsiperkamumas yra pakankami, todėl gatvių apšvietimo finansavimui siūloma subsidijos neteikti</w:t>
      </w:r>
      <w:r>
        <w:rPr>
          <w:rFonts w:ascii="Georgia" w:hAnsi="Georgia"/>
          <w:lang w:val="lt-LT"/>
        </w:rPr>
        <w:t>.</w:t>
      </w:r>
    </w:p>
    <w:p w14:paraId="633884E2" w14:textId="77777777" w:rsidR="00D84B1D" w:rsidRPr="00AC3318" w:rsidRDefault="00D84B1D" w:rsidP="00151543">
      <w:pPr>
        <w:jc w:val="both"/>
        <w:rPr>
          <w:rFonts w:ascii="Georgia" w:eastAsia="Times New Roman" w:hAnsi="Georgia" w:cs="Times New Roman"/>
          <w:sz w:val="20"/>
          <w:szCs w:val="20"/>
          <w:lang w:val="lt-LT" w:eastAsia="lt-LT"/>
        </w:rPr>
      </w:pPr>
    </w:p>
    <w:p w14:paraId="0A4EC99E" w14:textId="77777777" w:rsidR="00151543" w:rsidRPr="00DF3A8E" w:rsidRDefault="00151543" w:rsidP="00C03122">
      <w:pPr>
        <w:pStyle w:val="Antrat2"/>
        <w:numPr>
          <w:ilvl w:val="2"/>
          <w:numId w:val="36"/>
        </w:numPr>
        <w:spacing w:after="240"/>
        <w:rPr>
          <w:lang w:val="lt-LT"/>
        </w:rPr>
      </w:pPr>
      <w:bookmarkStart w:id="384" w:name="_Toc398043865"/>
      <w:bookmarkStart w:id="385" w:name="_Toc398567617"/>
      <w:bookmarkStart w:id="386" w:name="_Toc417378448"/>
      <w:r w:rsidRPr="00DF3A8E">
        <w:rPr>
          <w:lang w:val="lt-LT"/>
        </w:rPr>
        <w:t>Finansinės priemonės įgyvendinimo struktūra</w:t>
      </w:r>
      <w:bookmarkEnd w:id="384"/>
      <w:bookmarkEnd w:id="385"/>
      <w:bookmarkEnd w:id="386"/>
    </w:p>
    <w:p w14:paraId="0B995B03" w14:textId="77777777" w:rsidR="00280A4C" w:rsidRDefault="00151543" w:rsidP="00151543">
      <w:pPr>
        <w:jc w:val="both"/>
        <w:rPr>
          <w:rFonts w:ascii="Georgia" w:eastAsia="Times New Roman" w:hAnsi="Georgia" w:cs="Times New Roman"/>
          <w:sz w:val="20"/>
          <w:szCs w:val="20"/>
          <w:lang w:val="lt-LT" w:eastAsia="lt-LT"/>
        </w:rPr>
      </w:pPr>
      <w:r w:rsidRPr="00AC3318">
        <w:rPr>
          <w:rFonts w:ascii="Georgia" w:eastAsia="Times New Roman" w:hAnsi="Georgia" w:cs="Times New Roman"/>
          <w:sz w:val="20"/>
          <w:szCs w:val="20"/>
          <w:lang w:val="lt-LT" w:eastAsia="lt-LT"/>
        </w:rPr>
        <w:t xml:space="preserve">Visos įmanomos finansinių priemonių įgyvendinimo struktūros, reglamentuojamos Bendrųjų nuostatų reglamente, yra aptartos 1.3. skyriuje. </w:t>
      </w:r>
    </w:p>
    <w:p w14:paraId="154546CD" w14:textId="77777777" w:rsidR="00280A4C" w:rsidRDefault="00280A4C" w:rsidP="0015154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Siekiant identifikuoti efektyviausią finansinės priemonės įgyvendinimo struktūrą, reikėtų atsižvelgti į kelis aspektus. Pirmiausia, siūloma steigti vieną fondą viešųjų pastatų ir gatvių apšvietimo modernizavimui, </w:t>
      </w:r>
      <w:r w:rsidR="00495057">
        <w:rPr>
          <w:rFonts w:ascii="Georgia" w:eastAsia="Times New Roman" w:hAnsi="Georgia" w:cs="Times New Roman"/>
          <w:sz w:val="20"/>
          <w:szCs w:val="20"/>
          <w:lang w:val="lt-LT" w:eastAsia="lt-LT"/>
        </w:rPr>
        <w:t>taip</w:t>
      </w:r>
      <w:r>
        <w:rPr>
          <w:rFonts w:ascii="Georgia" w:eastAsia="Times New Roman" w:hAnsi="Georgia" w:cs="Times New Roman"/>
          <w:sz w:val="20"/>
          <w:szCs w:val="20"/>
          <w:lang w:val="lt-LT" w:eastAsia="lt-LT"/>
        </w:rPr>
        <w:t xml:space="preserve"> siekia</w:t>
      </w:r>
      <w:r w:rsidR="00495057">
        <w:rPr>
          <w:rFonts w:ascii="Georgia" w:eastAsia="Times New Roman" w:hAnsi="Georgia" w:cs="Times New Roman"/>
          <w:sz w:val="20"/>
          <w:szCs w:val="20"/>
          <w:lang w:val="lt-LT" w:eastAsia="lt-LT"/>
        </w:rPr>
        <w:t>nt</w:t>
      </w:r>
      <w:r>
        <w:rPr>
          <w:rFonts w:ascii="Georgia" w:eastAsia="Times New Roman" w:hAnsi="Georgia" w:cs="Times New Roman"/>
          <w:sz w:val="20"/>
          <w:szCs w:val="20"/>
          <w:lang w:val="lt-LT" w:eastAsia="lt-LT"/>
        </w:rPr>
        <w:t xml:space="preserve"> užtikrinti administracinės naštos mažinimą, mažesnį procedūrų kiekį, greitesnį lėšų skirstymą tarp sričių. Atsižvelgiant į tai, kad gatvių apšvietimo modernizavimas ir centrinės valdžios pastatų modernizavimas sudaro dvi atskiras finansines priemones, jų bendram įgyvendinimui ir valdymui reikia steigti fondų fondą (kadangi fondų fondo valdytojas valdo visas fondų fonde </w:t>
      </w:r>
      <w:r w:rsidR="00076A04">
        <w:rPr>
          <w:rFonts w:ascii="Georgia" w:eastAsia="Times New Roman" w:hAnsi="Georgia" w:cs="Times New Roman"/>
          <w:sz w:val="20"/>
          <w:szCs w:val="20"/>
          <w:lang w:val="lt-LT" w:eastAsia="lt-LT"/>
        </w:rPr>
        <w:t>esančias finansines priemones).</w:t>
      </w:r>
    </w:p>
    <w:p w14:paraId="1DB9EF9B" w14:textId="77777777" w:rsidR="00076A04" w:rsidRDefault="00076A04" w:rsidP="00076A04">
      <w:pPr>
        <w:jc w:val="both"/>
        <w:rPr>
          <w:rFonts w:ascii="Georgia" w:eastAsia="Times New Roman" w:hAnsi="Georgia" w:cs="Times New Roman"/>
          <w:i/>
          <w:sz w:val="20"/>
          <w:szCs w:val="20"/>
          <w:lang w:val="lt-LT" w:eastAsia="lt-LT"/>
        </w:rPr>
      </w:pPr>
      <w:r>
        <w:rPr>
          <w:rFonts w:ascii="Georgia" w:eastAsia="Times New Roman" w:hAnsi="Georgia" w:cs="Times New Roman"/>
          <w:sz w:val="20"/>
          <w:szCs w:val="20"/>
          <w:lang w:val="lt-LT" w:eastAsia="lt-LT"/>
        </w:rPr>
        <w:t xml:space="preserve">Kaip numatyta Bendrųjų nuostatų reglamento 38.5 punkte, </w:t>
      </w:r>
      <w:r w:rsidRPr="00A07762">
        <w:rPr>
          <w:rFonts w:ascii="Georgia" w:hAnsi="Georgia"/>
          <w:sz w:val="20"/>
          <w:lang w:val="lt-LT"/>
        </w:rPr>
        <w:t xml:space="preserve">subjektai, kuriems patikėta įgyvendinti fondų fondą, užduotis gali įgyvendinti patys arba jas patikėti vykdyti finansiniams tarpininkams. Iš to seka išvada, kad </w:t>
      </w:r>
      <w:r>
        <w:rPr>
          <w:rFonts w:ascii="Georgia" w:hAnsi="Georgia"/>
          <w:sz w:val="20"/>
          <w:lang w:val="lt-LT"/>
        </w:rPr>
        <w:t>fondų f</w:t>
      </w:r>
      <w:r w:rsidRPr="00A07762">
        <w:rPr>
          <w:rFonts w:ascii="Georgia" w:hAnsi="Georgia"/>
          <w:sz w:val="20"/>
          <w:lang w:val="lt-LT"/>
        </w:rPr>
        <w:t>ondo valdytojas galėtų tiesiogiai atrinkinėti finansuo</w:t>
      </w:r>
      <w:r>
        <w:rPr>
          <w:rFonts w:ascii="Georgia" w:hAnsi="Georgia"/>
          <w:sz w:val="20"/>
          <w:lang w:val="lt-LT"/>
        </w:rPr>
        <w:t>jamus projektus, atitinkančius fondų f</w:t>
      </w:r>
      <w:r w:rsidRPr="00A07762">
        <w:rPr>
          <w:rFonts w:ascii="Georgia" w:hAnsi="Georgia"/>
          <w:sz w:val="20"/>
          <w:lang w:val="lt-LT"/>
        </w:rPr>
        <w:t xml:space="preserve">ondo veiklos tikslus ir investavimo strategiją. Nors </w:t>
      </w:r>
      <w:r>
        <w:rPr>
          <w:rFonts w:ascii="Georgia" w:hAnsi="Georgia"/>
          <w:sz w:val="20"/>
          <w:lang w:val="lt-LT"/>
        </w:rPr>
        <w:t>Bendrųjų nuostatų reglamentas</w:t>
      </w:r>
      <w:r w:rsidRPr="00A07762">
        <w:rPr>
          <w:rFonts w:ascii="Georgia" w:hAnsi="Georgia"/>
          <w:sz w:val="20"/>
          <w:lang w:val="lt-LT"/>
        </w:rPr>
        <w:t xml:space="preserve"> toliau nedetalizuoja, kaip ir kokius pro</w:t>
      </w:r>
      <w:r>
        <w:rPr>
          <w:rFonts w:ascii="Georgia" w:hAnsi="Georgia"/>
          <w:sz w:val="20"/>
          <w:lang w:val="lt-LT"/>
        </w:rPr>
        <w:t>jektus fondų f</w:t>
      </w:r>
      <w:r w:rsidRPr="00A07762">
        <w:rPr>
          <w:rFonts w:ascii="Georgia" w:hAnsi="Georgia"/>
          <w:sz w:val="20"/>
          <w:lang w:val="lt-LT"/>
        </w:rPr>
        <w:t>ondo valdytojas galėtų finansuoti, tačiau ES</w:t>
      </w:r>
      <w:r>
        <w:rPr>
          <w:rFonts w:ascii="Georgia" w:hAnsi="Georgia"/>
          <w:sz w:val="20"/>
          <w:lang w:val="lt-LT"/>
        </w:rPr>
        <w:t>I</w:t>
      </w:r>
      <w:r w:rsidRPr="00A07762">
        <w:rPr>
          <w:rFonts w:ascii="Georgia" w:hAnsi="Georgia"/>
          <w:sz w:val="20"/>
          <w:lang w:val="lt-LT"/>
        </w:rPr>
        <w:t xml:space="preserve"> fondų valdymo reguliavime yra akcentuojamas skaidrumas, proporcingumas, nediskriminavimas bei interesų konflikto vengimas. </w:t>
      </w:r>
      <w:r>
        <w:rPr>
          <w:rFonts w:ascii="Georgia" w:hAnsi="Georgia"/>
          <w:sz w:val="20"/>
          <w:lang w:val="lt-LT"/>
        </w:rPr>
        <w:t>Be to, kyla rizika, jog finansiniai tarpininkai aktyviai nedalyvautų fondų fondo finansinių priemonių įgyvendinime (tai patvirtina ir 2007-2013 m. JESSICA KF patirtis)</w:t>
      </w:r>
      <w:r w:rsidRPr="00A07762">
        <w:rPr>
          <w:rFonts w:ascii="Georgia" w:hAnsi="Georgia"/>
          <w:sz w:val="20"/>
          <w:lang w:val="lt-LT"/>
        </w:rPr>
        <w:t xml:space="preserve"> numatoma, jog </w:t>
      </w:r>
      <w:r>
        <w:rPr>
          <w:rFonts w:ascii="Georgia" w:hAnsi="Georgia"/>
          <w:sz w:val="20"/>
          <w:lang w:val="lt-LT"/>
        </w:rPr>
        <w:t>fondų</w:t>
      </w:r>
      <w:r w:rsidRPr="00A07762">
        <w:rPr>
          <w:rFonts w:ascii="Georgia" w:hAnsi="Georgia"/>
          <w:sz w:val="20"/>
          <w:lang w:val="lt-LT"/>
        </w:rPr>
        <w:t xml:space="preserve"> fondo valdytojas gali pats </w:t>
      </w:r>
      <w:r>
        <w:rPr>
          <w:rFonts w:ascii="Georgia" w:hAnsi="Georgia"/>
          <w:sz w:val="20"/>
          <w:lang w:val="lt-LT"/>
        </w:rPr>
        <w:t>įgyvendinti</w:t>
      </w:r>
      <w:r w:rsidRPr="00A07762">
        <w:rPr>
          <w:rFonts w:ascii="Georgia" w:hAnsi="Georgia"/>
          <w:sz w:val="20"/>
          <w:lang w:val="lt-LT"/>
        </w:rPr>
        <w:t xml:space="preserve"> finansin</w:t>
      </w:r>
      <w:r>
        <w:rPr>
          <w:rFonts w:ascii="Georgia" w:hAnsi="Georgia"/>
          <w:sz w:val="20"/>
          <w:lang w:val="lt-LT"/>
        </w:rPr>
        <w:t>es</w:t>
      </w:r>
      <w:r w:rsidRPr="00A07762">
        <w:rPr>
          <w:rFonts w:ascii="Georgia" w:hAnsi="Georgia"/>
          <w:sz w:val="20"/>
          <w:lang w:val="lt-LT"/>
        </w:rPr>
        <w:t xml:space="preserve"> </w:t>
      </w:r>
      <w:r>
        <w:rPr>
          <w:rFonts w:ascii="Georgia" w:hAnsi="Georgia"/>
          <w:sz w:val="20"/>
          <w:lang w:val="lt-LT"/>
        </w:rPr>
        <w:t>priemones</w:t>
      </w:r>
      <w:r w:rsidRPr="00A07762">
        <w:rPr>
          <w:rFonts w:ascii="Georgia" w:hAnsi="Georgia"/>
          <w:sz w:val="20"/>
          <w:lang w:val="lt-LT"/>
        </w:rPr>
        <w:t>.</w:t>
      </w:r>
      <w:r>
        <w:rPr>
          <w:rFonts w:ascii="Georgia" w:hAnsi="Georgia"/>
          <w:sz w:val="20"/>
          <w:lang w:val="lt-LT"/>
        </w:rPr>
        <w:t xml:space="preserve"> Todėl siūlytina </w:t>
      </w:r>
      <w:r w:rsidR="00495057">
        <w:rPr>
          <w:rFonts w:ascii="Georgia" w:hAnsi="Georgia"/>
          <w:sz w:val="20"/>
          <w:lang w:val="lt-LT"/>
        </w:rPr>
        <w:t xml:space="preserve">paskolinių </w:t>
      </w:r>
      <w:r>
        <w:rPr>
          <w:rFonts w:ascii="Georgia" w:hAnsi="Georgia"/>
          <w:sz w:val="20"/>
          <w:lang w:val="lt-LT"/>
        </w:rPr>
        <w:t xml:space="preserve">finansinių priemonių įgyvendinimą patikėti fondų fondo valdytojui, o komerciniams bankams, kurie paprastai veikia kaip finansiniai tarpininkai tarp fondų fondo ir galutinių naudos gavėjų, sudaryti galimybę dalyvauti finansinėse priemonėse savo lėšomis, prisiimant dalį rizikų ir </w:t>
      </w:r>
      <w:r w:rsidR="00CE5C6E">
        <w:rPr>
          <w:rFonts w:ascii="Georgia" w:hAnsi="Georgia"/>
          <w:sz w:val="20"/>
          <w:lang w:val="lt-LT"/>
        </w:rPr>
        <w:t xml:space="preserve">dalyvaujant priimtina apimtimi. </w:t>
      </w:r>
      <w:r w:rsidR="003E691C">
        <w:rPr>
          <w:rFonts w:ascii="Georgia" w:hAnsi="Georgia"/>
          <w:sz w:val="20"/>
          <w:lang w:val="lt-LT"/>
        </w:rPr>
        <w:t xml:space="preserve">Tokia fondų fondo valdymo ir įgyvendinimo </w:t>
      </w:r>
      <w:r w:rsidR="003E691C">
        <w:rPr>
          <w:rFonts w:ascii="Georgia" w:hAnsi="Georgia"/>
          <w:sz w:val="20"/>
          <w:lang w:val="lt-LT"/>
        </w:rPr>
        <w:lastRenderedPageBreak/>
        <w:t xml:space="preserve">alternatyva yra </w:t>
      </w:r>
      <w:r w:rsidR="00F435CE">
        <w:rPr>
          <w:rFonts w:ascii="Georgia" w:hAnsi="Georgia"/>
          <w:sz w:val="20"/>
          <w:lang w:val="lt-LT"/>
        </w:rPr>
        <w:t>struktūra</w:t>
      </w:r>
      <w:r w:rsidR="003E691C">
        <w:rPr>
          <w:rFonts w:ascii="Georgia" w:hAnsi="Georgia"/>
          <w:sz w:val="20"/>
          <w:lang w:val="lt-LT"/>
        </w:rPr>
        <w:t xml:space="preserve"> 1.3 skyriuje aprašytos II ir III struktūros, kuri yra pavaizduota žemiau paveiksle. 47-ame paveiksle pavaizduotas struktūrų </w:t>
      </w:r>
      <w:r w:rsidR="00612BE4">
        <w:rPr>
          <w:rFonts w:ascii="Georgia" w:hAnsi="Georgia"/>
          <w:sz w:val="20"/>
          <w:lang w:val="lt-LT"/>
        </w:rPr>
        <w:t>derinys</w:t>
      </w:r>
      <w:r w:rsidR="003E691C">
        <w:rPr>
          <w:rFonts w:ascii="Georgia" w:hAnsi="Georgia"/>
          <w:sz w:val="20"/>
          <w:lang w:val="lt-LT"/>
        </w:rPr>
        <w:t xml:space="preserve">, kuris siūlomas fondų fondui. </w:t>
      </w:r>
    </w:p>
    <w:p w14:paraId="0129CB94" w14:textId="77777777" w:rsidR="00703C24" w:rsidRDefault="003E691C" w:rsidP="00151543">
      <w:pPr>
        <w:jc w:val="both"/>
        <w:rPr>
          <w:rFonts w:ascii="Georgia" w:eastAsia="Times New Roman" w:hAnsi="Georgia" w:cs="Times New Roman"/>
          <w:sz w:val="20"/>
          <w:szCs w:val="20"/>
          <w:lang w:val="lt-LT" w:eastAsia="lt-LT"/>
        </w:rPr>
      </w:pPr>
      <w:r>
        <w:rPr>
          <w:noProof/>
          <w:lang w:val="lt-LT" w:eastAsia="lt-LT"/>
        </w:rPr>
        <mc:AlternateContent>
          <mc:Choice Requires="wpc">
            <w:drawing>
              <wp:inline distT="0" distB="0" distL="0" distR="0" wp14:anchorId="13B0033E" wp14:editId="62792D0D">
                <wp:extent cx="5732145" cy="3651936"/>
                <wp:effectExtent l="0" t="0" r="0" b="0"/>
                <wp:docPr id="162" name="Drobė 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53" name="Rectangle 8"/>
                        <wps:cNvSpPr>
                          <a:spLocks noChangeArrowheads="1"/>
                        </wps:cNvSpPr>
                        <wps:spPr bwMode="auto">
                          <a:xfrm>
                            <a:off x="922307" y="554200"/>
                            <a:ext cx="1802711" cy="3005700"/>
                          </a:xfrm>
                          <a:prstGeom prst="rect">
                            <a:avLst/>
                          </a:prstGeom>
                          <a:solidFill>
                            <a:srgbClr val="FFFFFF"/>
                          </a:solidFill>
                          <a:ln w="19050">
                            <a:solidFill>
                              <a:srgbClr val="E36C0A"/>
                            </a:solidFill>
                            <a:miter lim="800000"/>
                            <a:headEnd/>
                            <a:tailEnd/>
                          </a:ln>
                        </wps:spPr>
                        <wps:bodyPr rot="0" vert="horz" wrap="square" lIns="91440" tIns="45720" rIns="91440" bIns="45720" anchor="t" anchorCtr="0" upright="1">
                          <a:noAutofit/>
                        </wps:bodyPr>
                      </wps:wsp>
                      <wps:wsp>
                        <wps:cNvPr id="4156" name="AutoShape 11"/>
                        <wps:cNvSpPr>
                          <a:spLocks noChangeArrowheads="1"/>
                        </wps:cNvSpPr>
                        <wps:spPr bwMode="auto">
                          <a:xfrm>
                            <a:off x="1164409" y="735700"/>
                            <a:ext cx="1423709" cy="241200"/>
                          </a:xfrm>
                          <a:prstGeom prst="roundRect">
                            <a:avLst>
                              <a:gd name="adj" fmla="val 16667"/>
                            </a:avLst>
                          </a:prstGeom>
                          <a:solidFill>
                            <a:srgbClr val="E36C0A"/>
                          </a:solidFill>
                          <a:ln w="9525">
                            <a:solidFill>
                              <a:srgbClr val="974706"/>
                            </a:solidFill>
                            <a:round/>
                            <a:headEnd/>
                            <a:tailEnd/>
                          </a:ln>
                        </wps:spPr>
                        <wps:txbx>
                          <w:txbxContent>
                            <w:p w14:paraId="7E9394B6" w14:textId="77777777" w:rsidR="00A65A8D" w:rsidRDefault="00A65A8D" w:rsidP="003E691C">
                              <w:pPr>
                                <w:spacing w:after="0" w:line="240" w:lineRule="auto"/>
                                <w:jc w:val="center"/>
                                <w:rPr>
                                  <w:b/>
                                  <w:color w:val="FFFFFF"/>
                                  <w:sz w:val="16"/>
                                  <w:szCs w:val="16"/>
                                </w:rPr>
                              </w:pPr>
                              <w:r>
                                <w:rPr>
                                  <w:b/>
                                  <w:color w:val="FFFFFF"/>
                                  <w:sz w:val="16"/>
                                  <w:szCs w:val="16"/>
                                </w:rPr>
                                <w:t>Vadovaujančioji institucija</w:t>
                              </w:r>
                            </w:p>
                          </w:txbxContent>
                        </wps:txbx>
                        <wps:bodyPr rot="0" vert="horz" wrap="square" lIns="91440" tIns="45720" rIns="91440" bIns="45720" anchor="t" anchorCtr="0" upright="1">
                          <a:noAutofit/>
                        </wps:bodyPr>
                      </wps:wsp>
                      <wps:wsp>
                        <wps:cNvPr id="4159" name="AutoShape 14"/>
                        <wps:cNvSpPr>
                          <a:spLocks noChangeArrowheads="1"/>
                        </wps:cNvSpPr>
                        <wps:spPr bwMode="auto">
                          <a:xfrm>
                            <a:off x="1139104" y="2978900"/>
                            <a:ext cx="1469109" cy="465500"/>
                          </a:xfrm>
                          <a:prstGeom prst="roundRect">
                            <a:avLst>
                              <a:gd name="adj" fmla="val 16667"/>
                            </a:avLst>
                          </a:prstGeom>
                          <a:solidFill>
                            <a:srgbClr val="E36C0A"/>
                          </a:solidFill>
                          <a:ln w="9525">
                            <a:solidFill>
                              <a:srgbClr val="974706"/>
                            </a:solidFill>
                            <a:round/>
                            <a:headEnd/>
                            <a:tailEnd/>
                          </a:ln>
                        </wps:spPr>
                        <wps:txbx>
                          <w:txbxContent>
                            <w:p w14:paraId="35787215" w14:textId="77777777" w:rsidR="00A65A8D" w:rsidRDefault="00A65A8D" w:rsidP="003E691C">
                              <w:pPr>
                                <w:spacing w:after="0" w:line="240" w:lineRule="auto"/>
                                <w:jc w:val="center"/>
                                <w:rPr>
                                  <w:b/>
                                  <w:color w:val="FFFFFF"/>
                                  <w:sz w:val="16"/>
                                  <w:szCs w:val="16"/>
                                </w:rPr>
                              </w:pPr>
                              <w:r>
                                <w:rPr>
                                  <w:b/>
                                  <w:color w:val="FFFFFF"/>
                                  <w:sz w:val="16"/>
                                  <w:szCs w:val="16"/>
                                </w:rPr>
                                <w:t>Galutiniai paramos</w:t>
                              </w:r>
                            </w:p>
                            <w:p w14:paraId="68BD656B" w14:textId="77777777" w:rsidR="00A65A8D" w:rsidRDefault="00A65A8D" w:rsidP="003E691C">
                              <w:pPr>
                                <w:spacing w:after="0" w:line="240" w:lineRule="auto"/>
                                <w:jc w:val="center"/>
                                <w:rPr>
                                  <w:b/>
                                  <w:color w:val="FFFFFF"/>
                                  <w:sz w:val="16"/>
                                  <w:szCs w:val="16"/>
                                </w:rPr>
                              </w:pPr>
                              <w:r>
                                <w:rPr>
                                  <w:b/>
                                  <w:color w:val="FFFFFF"/>
                                  <w:sz w:val="16"/>
                                  <w:szCs w:val="16"/>
                                </w:rPr>
                                <w:t xml:space="preserve"> gavėjai</w:t>
                              </w:r>
                            </w:p>
                            <w:p w14:paraId="44E8B940" w14:textId="77777777" w:rsidR="00A65A8D" w:rsidRDefault="00A65A8D" w:rsidP="003E691C">
                              <w:pPr>
                                <w:spacing w:after="0" w:line="240" w:lineRule="auto"/>
                                <w:jc w:val="center"/>
                                <w:rPr>
                                  <w:b/>
                                  <w:color w:val="FFFFFF"/>
                                  <w:sz w:val="16"/>
                                  <w:szCs w:val="16"/>
                                </w:rPr>
                              </w:pPr>
                            </w:p>
                          </w:txbxContent>
                        </wps:txbx>
                        <wps:bodyPr rot="0" vert="horz" wrap="square" lIns="91440" tIns="45720" rIns="91440" bIns="45720" anchor="t" anchorCtr="0" upright="1">
                          <a:noAutofit/>
                        </wps:bodyPr>
                      </wps:wsp>
                      <wps:wsp>
                        <wps:cNvPr id="129" name="AutoShape 16"/>
                        <wps:cNvSpPr>
                          <a:spLocks noChangeArrowheads="1"/>
                        </wps:cNvSpPr>
                        <wps:spPr bwMode="auto">
                          <a:xfrm>
                            <a:off x="1164409" y="2059804"/>
                            <a:ext cx="1423709" cy="421500"/>
                          </a:xfrm>
                          <a:prstGeom prst="roundRect">
                            <a:avLst>
                              <a:gd name="adj" fmla="val 16667"/>
                            </a:avLst>
                          </a:prstGeom>
                          <a:solidFill>
                            <a:srgbClr val="E36C0A"/>
                          </a:solidFill>
                          <a:ln w="9525">
                            <a:solidFill>
                              <a:srgbClr val="974706"/>
                            </a:solidFill>
                            <a:round/>
                            <a:headEnd/>
                            <a:tailEnd/>
                          </a:ln>
                        </wps:spPr>
                        <wps:txbx>
                          <w:txbxContent>
                            <w:p w14:paraId="38151FFF" w14:textId="77777777" w:rsidR="00A65A8D" w:rsidRDefault="00A65A8D" w:rsidP="003E691C">
                              <w:pPr>
                                <w:spacing w:after="0" w:line="240" w:lineRule="auto"/>
                                <w:jc w:val="center"/>
                                <w:rPr>
                                  <w:b/>
                                  <w:color w:val="FFFFFF"/>
                                  <w:sz w:val="16"/>
                                  <w:szCs w:val="16"/>
                                </w:rPr>
                              </w:pPr>
                              <w:r>
                                <w:rPr>
                                  <w:b/>
                                  <w:color w:val="FFFFFF"/>
                                  <w:sz w:val="16"/>
                                  <w:szCs w:val="16"/>
                                </w:rPr>
                                <w:t>Finansinės priemonės valdytojas</w:t>
                              </w:r>
                            </w:p>
                          </w:txbxContent>
                        </wps:txbx>
                        <wps:bodyPr rot="0" vert="horz" wrap="square" lIns="91440" tIns="45720" rIns="91440" bIns="45720" anchor="t" anchorCtr="0" upright="1">
                          <a:noAutofit/>
                        </wps:bodyPr>
                      </wps:wsp>
                      <wps:wsp>
                        <wps:cNvPr id="132" name="Oval 20"/>
                        <wps:cNvSpPr>
                          <a:spLocks noChangeArrowheads="1"/>
                        </wps:cNvSpPr>
                        <wps:spPr bwMode="auto">
                          <a:xfrm>
                            <a:off x="1305757" y="1203878"/>
                            <a:ext cx="1140207" cy="644400"/>
                          </a:xfrm>
                          <a:prstGeom prst="ellipse">
                            <a:avLst/>
                          </a:prstGeom>
                          <a:solidFill>
                            <a:srgbClr val="FFC000"/>
                          </a:solidFill>
                          <a:ln w="9525">
                            <a:solidFill>
                              <a:srgbClr val="974706"/>
                            </a:solidFill>
                            <a:round/>
                            <a:headEnd/>
                            <a:tailEnd/>
                          </a:ln>
                        </wps:spPr>
                        <wps:txbx>
                          <w:txbxContent>
                            <w:p w14:paraId="50289C26" w14:textId="77777777" w:rsidR="00A65A8D" w:rsidRPr="00873719" w:rsidRDefault="00A65A8D" w:rsidP="003E691C">
                              <w:pPr>
                                <w:jc w:val="center"/>
                                <w:rPr>
                                  <w:b/>
                                  <w:color w:val="FFFFFF"/>
                                  <w:lang w:val="lt-LT"/>
                                </w:rPr>
                              </w:pPr>
                              <w:r>
                                <w:rPr>
                                  <w:b/>
                                  <w:color w:val="FFFFFF"/>
                                  <w:sz w:val="18"/>
                                  <w:lang w:val="lt-LT"/>
                                </w:rPr>
                                <w:t>Finansinė priemonė</w:t>
                              </w:r>
                            </w:p>
                            <w:p w14:paraId="40FB4CA0" w14:textId="77777777" w:rsidR="00A65A8D" w:rsidRPr="00873719" w:rsidRDefault="00A65A8D" w:rsidP="003E691C">
                              <w:pPr>
                                <w:jc w:val="center"/>
                                <w:rPr>
                                  <w:b/>
                                  <w:color w:val="FFFFFF"/>
                                  <w:lang w:val="lt-LT"/>
                                </w:rPr>
                              </w:pPr>
                            </w:p>
                          </w:txbxContent>
                        </wps:txbx>
                        <wps:bodyPr rot="0" vert="horz" wrap="square" lIns="91440" tIns="45720" rIns="91440" bIns="45720" anchor="t" anchorCtr="0" upright="1">
                          <a:noAutofit/>
                        </wps:bodyPr>
                      </wps:wsp>
                      <wps:wsp>
                        <wps:cNvPr id="137" name="AutoShape 24"/>
                        <wps:cNvCnPr>
                          <a:cxnSpLocks noChangeShapeType="1"/>
                          <a:stCxn id="132" idx="4"/>
                          <a:endCxn id="129" idx="0"/>
                        </wps:cNvCnPr>
                        <wps:spPr bwMode="auto">
                          <a:xfrm>
                            <a:off x="1875861" y="1848278"/>
                            <a:ext cx="403" cy="2115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AutoShape 25"/>
                        <wps:cNvCnPr>
                          <a:cxnSpLocks noChangeShapeType="1"/>
                          <a:stCxn id="129" idx="2"/>
                          <a:endCxn id="4159" idx="0"/>
                        </wps:cNvCnPr>
                        <wps:spPr bwMode="auto">
                          <a:xfrm flipH="1">
                            <a:off x="1873659" y="2481304"/>
                            <a:ext cx="2605" cy="4975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AutoShape 26"/>
                        <wps:cNvCnPr>
                          <a:cxnSpLocks noChangeShapeType="1"/>
                          <a:stCxn id="4156" idx="2"/>
                          <a:endCxn id="132" idx="0"/>
                        </wps:cNvCnPr>
                        <wps:spPr bwMode="auto">
                          <a:xfrm flipH="1">
                            <a:off x="1875861" y="976900"/>
                            <a:ext cx="403" cy="2269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AutoShape 10"/>
                        <wps:cNvSpPr>
                          <a:spLocks noChangeArrowheads="1"/>
                        </wps:cNvSpPr>
                        <wps:spPr bwMode="auto">
                          <a:xfrm>
                            <a:off x="1118808" y="180000"/>
                            <a:ext cx="1423309" cy="240600"/>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14:paraId="2D46DFD0" w14:textId="77777777" w:rsidR="00A65A8D" w:rsidRDefault="00A65A8D" w:rsidP="003E691C">
                              <w:pPr>
                                <w:pStyle w:val="prastasistinklapis"/>
                                <w:jc w:val="center"/>
                              </w:pPr>
                              <w:r>
                                <w:rPr>
                                  <w:rFonts w:ascii="Calibri" w:eastAsia="Calibri" w:hAnsi="Calibri"/>
                                  <w:b/>
                                  <w:bCs/>
                                  <w:sz w:val="16"/>
                                  <w:szCs w:val="16"/>
                                </w:rPr>
                                <w:t>II STRUKTŪRA</w:t>
                              </w:r>
                            </w:p>
                          </w:txbxContent>
                        </wps:txbx>
                        <wps:bodyPr rot="0" vert="horz" wrap="square" lIns="91440" tIns="45720" rIns="91440" bIns="45720" anchor="t" anchorCtr="0" upright="1">
                          <a:noAutofit/>
                        </wps:bodyPr>
                      </wps:wsp>
                      <wps:wsp>
                        <wps:cNvPr id="148" name="AutoShape 10"/>
                        <wps:cNvSpPr>
                          <a:spLocks noChangeArrowheads="1"/>
                        </wps:cNvSpPr>
                        <wps:spPr bwMode="auto">
                          <a:xfrm>
                            <a:off x="3181420" y="180000"/>
                            <a:ext cx="1423309" cy="240600"/>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14:paraId="3FDBAEB9" w14:textId="77777777" w:rsidR="00A65A8D" w:rsidRDefault="00A65A8D" w:rsidP="003E691C">
                              <w:pPr>
                                <w:pStyle w:val="prastasistinklapis"/>
                                <w:jc w:val="center"/>
                              </w:pPr>
                              <w:r>
                                <w:rPr>
                                  <w:rFonts w:ascii="Calibri" w:eastAsia="Calibri" w:hAnsi="Calibri"/>
                                  <w:b/>
                                  <w:bCs/>
                                  <w:sz w:val="16"/>
                                  <w:szCs w:val="16"/>
                                </w:rPr>
                                <w:t>III STRUKTŪRA</w:t>
                              </w:r>
                            </w:p>
                          </w:txbxContent>
                        </wps:txbx>
                        <wps:bodyPr rot="0" vert="horz" wrap="square" lIns="91440" tIns="45720" rIns="91440" bIns="45720" anchor="t" anchorCtr="0" upright="1">
                          <a:noAutofit/>
                        </wps:bodyPr>
                      </wps:wsp>
                      <wps:wsp>
                        <wps:cNvPr id="227" name="Rectangle 9"/>
                        <wps:cNvSpPr>
                          <a:spLocks noChangeArrowheads="1"/>
                        </wps:cNvSpPr>
                        <wps:spPr bwMode="auto">
                          <a:xfrm>
                            <a:off x="3018450" y="554195"/>
                            <a:ext cx="1802130" cy="3004820"/>
                          </a:xfrm>
                          <a:prstGeom prst="rect">
                            <a:avLst/>
                          </a:prstGeom>
                          <a:solidFill>
                            <a:srgbClr val="FFFFFF"/>
                          </a:solidFill>
                          <a:ln w="19050">
                            <a:solidFill>
                              <a:srgbClr val="E36C0A"/>
                            </a:solidFill>
                            <a:miter lim="800000"/>
                            <a:headEnd/>
                            <a:tailEnd/>
                          </a:ln>
                        </wps:spPr>
                        <wps:txbx>
                          <w:txbxContent>
                            <w:p w14:paraId="24FCB29C" w14:textId="77777777" w:rsidR="00A65A8D" w:rsidRDefault="00A65A8D" w:rsidP="008B6689">
                              <w:pPr>
                                <w:rPr>
                                  <w:rFonts w:eastAsia="Times New Roman"/>
                                </w:rPr>
                              </w:pPr>
                            </w:p>
                          </w:txbxContent>
                        </wps:txbx>
                        <wps:bodyPr rot="0" vert="horz" wrap="square" lIns="91440" tIns="45720" rIns="91440" bIns="45720" anchor="t" anchorCtr="0" upright="1">
                          <a:noAutofit/>
                        </wps:bodyPr>
                      </wps:wsp>
                      <wps:wsp>
                        <wps:cNvPr id="228" name="AutoShape 12"/>
                        <wps:cNvSpPr>
                          <a:spLocks noChangeArrowheads="1"/>
                        </wps:cNvSpPr>
                        <wps:spPr bwMode="auto">
                          <a:xfrm>
                            <a:off x="3197520" y="734535"/>
                            <a:ext cx="1423670" cy="240665"/>
                          </a:xfrm>
                          <a:prstGeom prst="roundRect">
                            <a:avLst>
                              <a:gd name="adj" fmla="val 16667"/>
                            </a:avLst>
                          </a:prstGeom>
                          <a:solidFill>
                            <a:srgbClr val="E36C0A"/>
                          </a:solidFill>
                          <a:ln w="9525">
                            <a:solidFill>
                              <a:srgbClr val="974706"/>
                            </a:solidFill>
                            <a:round/>
                            <a:headEnd/>
                            <a:tailEnd/>
                          </a:ln>
                        </wps:spPr>
                        <wps:txbx>
                          <w:txbxContent>
                            <w:p w14:paraId="3BF45296" w14:textId="77777777" w:rsidR="00A65A8D" w:rsidRDefault="00A65A8D" w:rsidP="008B6689">
                              <w:pPr>
                                <w:pStyle w:val="prastasistinklapis"/>
                                <w:spacing w:before="0" w:beforeAutospacing="0" w:after="0" w:afterAutospacing="0" w:line="276" w:lineRule="auto"/>
                                <w:jc w:val="center"/>
                              </w:pPr>
                              <w:r>
                                <w:rPr>
                                  <w:rFonts w:ascii="Calibri" w:eastAsia="Calibri" w:hAnsi="Calibri"/>
                                  <w:b/>
                                  <w:bCs/>
                                  <w:color w:val="FFFFFF"/>
                                  <w:sz w:val="16"/>
                                  <w:szCs w:val="16"/>
                                  <w:lang w:val="en-US"/>
                                </w:rPr>
                                <w:t>Vadovaujančioji institucija</w:t>
                              </w:r>
                            </w:p>
                          </w:txbxContent>
                        </wps:txbx>
                        <wps:bodyPr rot="0" vert="horz" wrap="square" lIns="91440" tIns="45720" rIns="91440" bIns="45720" anchor="t" anchorCtr="0" upright="1">
                          <a:noAutofit/>
                        </wps:bodyPr>
                      </wps:wsp>
                      <wps:wsp>
                        <wps:cNvPr id="229" name="AutoShape 15"/>
                        <wps:cNvSpPr>
                          <a:spLocks noChangeArrowheads="1"/>
                        </wps:cNvSpPr>
                        <wps:spPr bwMode="auto">
                          <a:xfrm>
                            <a:off x="3197520" y="2977990"/>
                            <a:ext cx="1423670" cy="466090"/>
                          </a:xfrm>
                          <a:prstGeom prst="roundRect">
                            <a:avLst>
                              <a:gd name="adj" fmla="val 16667"/>
                            </a:avLst>
                          </a:prstGeom>
                          <a:solidFill>
                            <a:srgbClr val="E36C0A"/>
                          </a:solidFill>
                          <a:ln w="9525">
                            <a:solidFill>
                              <a:srgbClr val="974706"/>
                            </a:solidFill>
                            <a:round/>
                            <a:headEnd/>
                            <a:tailEnd/>
                          </a:ln>
                        </wps:spPr>
                        <wps:txbx>
                          <w:txbxContent>
                            <w:p w14:paraId="56A0163B" w14:textId="77777777" w:rsidR="00A65A8D" w:rsidRDefault="00A65A8D" w:rsidP="008B6689">
                              <w:pPr>
                                <w:pStyle w:val="prastasistinklapis"/>
                                <w:spacing w:before="0" w:beforeAutospacing="0" w:after="0" w:afterAutospacing="0" w:line="276" w:lineRule="auto"/>
                                <w:jc w:val="center"/>
                              </w:pPr>
                              <w:r>
                                <w:rPr>
                                  <w:rFonts w:ascii="Calibri" w:eastAsia="Calibri" w:hAnsi="Calibri"/>
                                  <w:b/>
                                  <w:bCs/>
                                  <w:color w:val="FFFFFF"/>
                                  <w:sz w:val="16"/>
                                  <w:szCs w:val="16"/>
                                  <w:lang w:val="en-US"/>
                                </w:rPr>
                                <w:t>Galutiniai paramos</w:t>
                              </w:r>
                            </w:p>
                            <w:p w14:paraId="5681BE08" w14:textId="77777777" w:rsidR="00A65A8D" w:rsidRDefault="00A65A8D" w:rsidP="008B6689">
                              <w:pPr>
                                <w:pStyle w:val="prastasistinklapis"/>
                                <w:spacing w:before="0" w:beforeAutospacing="0" w:after="0" w:afterAutospacing="0" w:line="276" w:lineRule="auto"/>
                                <w:jc w:val="center"/>
                              </w:pPr>
                              <w:r>
                                <w:rPr>
                                  <w:rFonts w:ascii="Calibri" w:eastAsia="Calibri" w:hAnsi="Calibri"/>
                                  <w:b/>
                                  <w:bCs/>
                                  <w:color w:val="FFFFFF"/>
                                  <w:sz w:val="16"/>
                                  <w:szCs w:val="16"/>
                                  <w:lang w:val="en-US"/>
                                </w:rPr>
                                <w:t xml:space="preserve"> gavėjai</w:t>
                              </w:r>
                            </w:p>
                            <w:p w14:paraId="4A6428A0" w14:textId="77777777" w:rsidR="00A65A8D" w:rsidRDefault="00A65A8D" w:rsidP="008B6689">
                              <w:pPr>
                                <w:pStyle w:val="prastasistinklapis"/>
                                <w:spacing w:before="0" w:beforeAutospacing="0" w:after="0" w:afterAutospacing="0" w:line="276" w:lineRule="auto"/>
                                <w:jc w:val="center"/>
                              </w:pPr>
                              <w:r>
                                <w:rPr>
                                  <w:rFonts w:ascii="Calibri" w:eastAsia="Calibri" w:hAnsi="Calibri"/>
                                  <w:b/>
                                  <w:bCs/>
                                  <w:color w:val="FFFFFF"/>
                                  <w:sz w:val="16"/>
                                  <w:szCs w:val="16"/>
                                  <w:lang w:val="en-US"/>
                                </w:rPr>
                                <w:t> </w:t>
                              </w:r>
                            </w:p>
                          </w:txbxContent>
                        </wps:txbx>
                        <wps:bodyPr rot="0" vert="horz" wrap="square" lIns="91440" tIns="45720" rIns="91440" bIns="45720" anchor="t" anchorCtr="0" upright="1">
                          <a:noAutofit/>
                        </wps:bodyPr>
                      </wps:wsp>
                      <wps:wsp>
                        <wps:cNvPr id="230" name="AutoShape 17"/>
                        <wps:cNvSpPr>
                          <a:spLocks noChangeArrowheads="1"/>
                        </wps:cNvSpPr>
                        <wps:spPr bwMode="auto">
                          <a:xfrm>
                            <a:off x="3193710" y="2496660"/>
                            <a:ext cx="1424305" cy="241935"/>
                          </a:xfrm>
                          <a:prstGeom prst="roundRect">
                            <a:avLst>
                              <a:gd name="adj" fmla="val 16667"/>
                            </a:avLst>
                          </a:prstGeom>
                          <a:solidFill>
                            <a:srgbClr val="E36C0A"/>
                          </a:solidFill>
                          <a:ln w="9525">
                            <a:solidFill>
                              <a:srgbClr val="974706"/>
                            </a:solidFill>
                            <a:prstDash val="dash"/>
                            <a:round/>
                            <a:headEnd/>
                            <a:tailEnd/>
                          </a:ln>
                        </wps:spPr>
                        <wps:txbx>
                          <w:txbxContent>
                            <w:p w14:paraId="20100FEA" w14:textId="77777777" w:rsidR="00A65A8D" w:rsidRDefault="00A65A8D" w:rsidP="008B6689">
                              <w:pPr>
                                <w:pStyle w:val="prastasistinklapis"/>
                                <w:spacing w:before="0" w:beforeAutospacing="0" w:after="0" w:afterAutospacing="0" w:line="276" w:lineRule="auto"/>
                                <w:jc w:val="center"/>
                              </w:pPr>
                              <w:r>
                                <w:rPr>
                                  <w:rFonts w:ascii="Calibri" w:eastAsia="Calibri" w:hAnsi="Calibri"/>
                                  <w:b/>
                                  <w:bCs/>
                                  <w:color w:val="FFFFFF"/>
                                  <w:sz w:val="16"/>
                                  <w:szCs w:val="16"/>
                                  <w:lang w:val="en-US"/>
                                </w:rPr>
                                <w:t>Finansinis tarpininkas</w:t>
                              </w:r>
                            </w:p>
                          </w:txbxContent>
                        </wps:txbx>
                        <wps:bodyPr rot="0" vert="horz" wrap="square" lIns="91440" tIns="45720" rIns="91440" bIns="45720" anchor="t" anchorCtr="0" upright="1">
                          <a:noAutofit/>
                        </wps:bodyPr>
                      </wps:wsp>
                      <wps:wsp>
                        <wps:cNvPr id="231" name="AutoShape 18"/>
                        <wps:cNvSpPr>
                          <a:spLocks noChangeArrowheads="1"/>
                        </wps:cNvSpPr>
                        <wps:spPr bwMode="auto">
                          <a:xfrm>
                            <a:off x="3198790" y="1265395"/>
                            <a:ext cx="1423670" cy="241935"/>
                          </a:xfrm>
                          <a:prstGeom prst="roundRect">
                            <a:avLst>
                              <a:gd name="adj" fmla="val 16667"/>
                            </a:avLst>
                          </a:prstGeom>
                          <a:solidFill>
                            <a:srgbClr val="E36C0A"/>
                          </a:solidFill>
                          <a:ln w="9525">
                            <a:solidFill>
                              <a:srgbClr val="974706"/>
                            </a:solidFill>
                            <a:round/>
                            <a:headEnd/>
                            <a:tailEnd/>
                          </a:ln>
                        </wps:spPr>
                        <wps:txbx>
                          <w:txbxContent>
                            <w:p w14:paraId="4E6AFD40" w14:textId="77777777" w:rsidR="00A65A8D" w:rsidRDefault="00A65A8D" w:rsidP="008B6689">
                              <w:pPr>
                                <w:pStyle w:val="prastasistinklapis"/>
                                <w:spacing w:before="0" w:beforeAutospacing="0" w:after="0" w:afterAutospacing="0" w:line="276" w:lineRule="auto"/>
                                <w:jc w:val="center"/>
                              </w:pPr>
                              <w:r>
                                <w:rPr>
                                  <w:rFonts w:ascii="Calibri" w:eastAsia="Calibri" w:hAnsi="Calibri"/>
                                  <w:b/>
                                  <w:bCs/>
                                  <w:color w:val="FFFFFF"/>
                                  <w:sz w:val="16"/>
                                  <w:szCs w:val="16"/>
                                  <w:lang w:val="en-US"/>
                                </w:rPr>
                                <w:t>Fondų fondas</w:t>
                              </w:r>
                            </w:p>
                          </w:txbxContent>
                        </wps:txbx>
                        <wps:bodyPr rot="0" vert="horz" wrap="square" lIns="91440" tIns="45720" rIns="91440" bIns="45720" anchor="t" anchorCtr="0" upright="1">
                          <a:noAutofit/>
                        </wps:bodyPr>
                      </wps:wsp>
                      <wps:wsp>
                        <wps:cNvPr id="232" name="AutoShape 27"/>
                        <wps:cNvCnPr>
                          <a:cxnSpLocks noChangeShapeType="1"/>
                        </wps:cNvCnPr>
                        <wps:spPr bwMode="auto">
                          <a:xfrm flipH="1">
                            <a:off x="3907450" y="1507330"/>
                            <a:ext cx="2540" cy="133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AutoShape 28"/>
                        <wps:cNvCnPr>
                          <a:cxnSpLocks noChangeShapeType="1"/>
                        </wps:cNvCnPr>
                        <wps:spPr bwMode="auto">
                          <a:xfrm flipH="1">
                            <a:off x="3905545" y="2285840"/>
                            <a:ext cx="1270" cy="210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AutoShape 29"/>
                        <wps:cNvCnPr>
                          <a:cxnSpLocks noChangeShapeType="1"/>
                        </wps:cNvCnPr>
                        <wps:spPr bwMode="auto">
                          <a:xfrm flipH="1">
                            <a:off x="3904275" y="2739230"/>
                            <a:ext cx="1270" cy="240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AutoShape 30"/>
                        <wps:cNvCnPr>
                          <a:cxnSpLocks noChangeShapeType="1"/>
                        </wps:cNvCnPr>
                        <wps:spPr bwMode="auto">
                          <a:xfrm>
                            <a:off x="3905545" y="2739230"/>
                            <a:ext cx="3175" cy="238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AutoShape 26"/>
                        <wps:cNvCnPr>
                          <a:cxnSpLocks noChangeShapeType="1"/>
                        </wps:cNvCnPr>
                        <wps:spPr bwMode="auto">
                          <a:xfrm>
                            <a:off x="3909355" y="975835"/>
                            <a:ext cx="635" cy="289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Oval 166"/>
                        <wps:cNvSpPr>
                          <a:spLocks noChangeArrowheads="1"/>
                        </wps:cNvSpPr>
                        <wps:spPr bwMode="auto">
                          <a:xfrm>
                            <a:off x="3337855" y="1641950"/>
                            <a:ext cx="1139825" cy="643890"/>
                          </a:xfrm>
                          <a:prstGeom prst="ellipse">
                            <a:avLst/>
                          </a:prstGeom>
                          <a:solidFill>
                            <a:srgbClr val="FFC000"/>
                          </a:solidFill>
                          <a:ln w="9525">
                            <a:solidFill>
                              <a:srgbClr val="974706"/>
                            </a:solidFill>
                            <a:round/>
                            <a:headEnd/>
                            <a:tailEnd/>
                          </a:ln>
                        </wps:spPr>
                        <wps:txbx>
                          <w:txbxContent>
                            <w:p w14:paraId="17068A34" w14:textId="77777777" w:rsidR="00A65A8D" w:rsidRDefault="00A65A8D" w:rsidP="008B6689">
                              <w:pPr>
                                <w:pStyle w:val="prastasistinklapis"/>
                                <w:spacing w:before="0" w:beforeAutospacing="0" w:after="200" w:afterAutospacing="0" w:line="276" w:lineRule="auto"/>
                                <w:jc w:val="center"/>
                              </w:pPr>
                              <w:r>
                                <w:rPr>
                                  <w:rFonts w:ascii="Calibri" w:eastAsia="Calibri" w:hAnsi="Calibri"/>
                                  <w:b/>
                                  <w:bCs/>
                                  <w:color w:val="FFFFFF"/>
                                  <w:sz w:val="18"/>
                                  <w:szCs w:val="18"/>
                                </w:rPr>
                                <w:t>Finansinė priemonė</w:t>
                              </w:r>
                            </w:p>
                            <w:p w14:paraId="70F0BD23" w14:textId="77777777" w:rsidR="00A65A8D" w:rsidRDefault="00A65A8D" w:rsidP="008B6689">
                              <w:pPr>
                                <w:pStyle w:val="prastasistinklapis"/>
                                <w:spacing w:before="0" w:beforeAutospacing="0" w:after="200" w:afterAutospacing="0" w:line="276" w:lineRule="auto"/>
                                <w:jc w:val="center"/>
                              </w:pPr>
                              <w:r>
                                <w:rPr>
                                  <w:rFonts w:ascii="Calibri" w:eastAsia="Calibri" w:hAnsi="Calibri"/>
                                  <w:b/>
                                  <w:bCs/>
                                  <w:color w:val="FFFFFF"/>
                                  <w:sz w:val="22"/>
                                  <w:szCs w:val="22"/>
                                </w:rPr>
                                <w:t> </w:t>
                              </w:r>
                            </w:p>
                          </w:txbxContent>
                        </wps:txbx>
                        <wps:bodyPr rot="0" vert="horz" wrap="square" lIns="91440" tIns="45720" rIns="91440" bIns="45720" anchor="t" anchorCtr="0" upright="1">
                          <a:noAutofit/>
                        </wps:bodyPr>
                      </wps:wsp>
                    </wpc:wpc>
                  </a:graphicData>
                </a:graphic>
              </wp:inline>
            </w:drawing>
          </mc:Choice>
          <mc:Fallback>
            <w:pict>
              <v:group id="_x0000_s1144" editas="canvas" style="width:451.35pt;height:287.55pt;mso-position-horizontal-relative:char;mso-position-vertical-relative:line" coordsize="57321,36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">
                <v:shape id="_x0000_s1145" type="#_x0000_t75" style="position:absolute;width:57321;height:36518;visibility:visible;mso-wrap-style:square">
                  <v:fill o:detectmouseclick="t"/>
                  <v:path o:connecttype="none"/>
                </v:shape>
                <v:rect id="Rectangle 8" o:spid="_x0000_s1146" style="position:absolute;left:9223;top:5542;width:18027;height:30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VmcQA&#10;AADdAAAADwAAAGRycy9kb3ducmV2LnhtbESPQYvCMBSE74L/ITzBm6bqrizVKCIIohdXF5a9PZtn&#10;W2xeShJt/fcbQfA4zMw3zHzZmkrcyfnSsoLRMAFBnFldcq7g57QZfIHwAVljZZkUPMjDctHtzDHV&#10;tuFvuh9DLiKEfYoKihDqVEqfFWTQD21NHL2LdQZDlC6X2mET4aaS4ySZSoMlx4UCa1oXlF2PN6Og&#10;/tuRboKWv+3Jnbduvzrs84NS/V67moEI1IZ3+NXeagUfo88JPN/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QlZnEAAAA3QAAAA8AAAAAAAAAAAAAAAAAmAIAAGRycy9k&#10;b3ducmV2LnhtbFBLBQYAAAAABAAEAPUAAACJAwAAAAA=&#10;" strokecolor="#e36c0a" strokeweight="1.5pt"/>
                <v:roundrect id="AutoShape 11" o:spid="_x0000_s1147" style="position:absolute;left:11644;top:7357;width:14237;height:24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uQsMA&#10;AADdAAAADwAAAGRycy9kb3ducmV2LnhtbESPQWsCMRSE7wX/Q3gFbzWr6CJbo4hU8GZXxfNj85os&#10;3bwsm9Rd/fWNUOhxmJlvmNVmcI24URdqzwqmkwwEceV1zUbB5bx/W4IIEVlj45kU3CnAZj16WWGh&#10;fc8l3U7RiAThUKACG2NbSBkqSw7DxLfEyfvyncOYZGek7rBPcNfIWZbl0mHNacFiSztL1ffpxykw&#10;2m7Lz6MpPzIzD5eYz/DRX5Uavw7bdxCRhvgf/msftIL5dJHD801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PuQsMAAADdAAAADwAAAAAAAAAAAAAAAACYAgAAZHJzL2Rv&#10;d25yZXYueG1sUEsFBgAAAAAEAAQA9QAAAIgDAAAAAA==&#10;" fillcolor="#e36c0a" strokecolor="#974706">
                  <v:textbox>
                    <w:txbxContent>
                      <w:p w14:paraId="7E9394B6" w14:textId="77777777" w:rsidR="00A65A8D" w:rsidRDefault="00A65A8D" w:rsidP="003E691C">
                        <w:pPr>
                          <w:spacing w:after="0" w:line="240" w:lineRule="auto"/>
                          <w:jc w:val="center"/>
                          <w:rPr>
                            <w:b/>
                            <w:color w:val="FFFFFF"/>
                            <w:sz w:val="16"/>
                            <w:szCs w:val="16"/>
                          </w:rPr>
                        </w:pPr>
                        <w:r>
                          <w:rPr>
                            <w:b/>
                            <w:color w:val="FFFFFF"/>
                            <w:sz w:val="16"/>
                            <w:szCs w:val="16"/>
                          </w:rPr>
                          <w:t>Vadovaujančioji institucija</w:t>
                        </w:r>
                      </w:p>
                    </w:txbxContent>
                  </v:textbox>
                </v:roundrect>
                <v:roundrect id="AutoShape 14" o:spid="_x0000_s1148" style="position:absolute;left:11391;top:29789;width:14691;height:46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x6MMMA&#10;AADdAAAADwAAAGRycy9kb3ducmV2LnhtbESPQWsCMRSE7wX/Q3gFbzWrWLGrUUQUvLWr0vNj80yW&#10;bl6WTXRXf70pFHocZuYbZrnuXS1u1IbKs4LxKANBXHpdsVFwPu3f5iBCRNZYeyYFdwqwXg1elphr&#10;33FBt2M0IkE45KjAxtjkUobSksMw8g1x8i6+dRiTbI3ULXYJ7mo5ybKZdFhxWrDY0NZS+XO8OgVG&#10;203x9WmKXWam4RxnE3x030oNX/vNAkSkPv6H/9oHrWA6fv+A3zfp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x6MMMAAADdAAAADwAAAAAAAAAAAAAAAACYAgAAZHJzL2Rv&#10;d25yZXYueG1sUEsFBgAAAAAEAAQA9QAAAIgDAAAAAA==&#10;" fillcolor="#e36c0a" strokecolor="#974706">
                  <v:textbox>
                    <w:txbxContent>
                      <w:p w14:paraId="35787215" w14:textId="77777777" w:rsidR="00A65A8D" w:rsidRDefault="00A65A8D" w:rsidP="003E691C">
                        <w:pPr>
                          <w:spacing w:after="0" w:line="240" w:lineRule="auto"/>
                          <w:jc w:val="center"/>
                          <w:rPr>
                            <w:b/>
                            <w:color w:val="FFFFFF"/>
                            <w:sz w:val="16"/>
                            <w:szCs w:val="16"/>
                          </w:rPr>
                        </w:pPr>
                        <w:r>
                          <w:rPr>
                            <w:b/>
                            <w:color w:val="FFFFFF"/>
                            <w:sz w:val="16"/>
                            <w:szCs w:val="16"/>
                          </w:rPr>
                          <w:t>Galutiniai paramos</w:t>
                        </w:r>
                      </w:p>
                      <w:p w14:paraId="68BD656B" w14:textId="77777777" w:rsidR="00A65A8D" w:rsidRDefault="00A65A8D" w:rsidP="003E691C">
                        <w:pPr>
                          <w:spacing w:after="0" w:line="240" w:lineRule="auto"/>
                          <w:jc w:val="center"/>
                          <w:rPr>
                            <w:b/>
                            <w:color w:val="FFFFFF"/>
                            <w:sz w:val="16"/>
                            <w:szCs w:val="16"/>
                          </w:rPr>
                        </w:pPr>
                        <w:r>
                          <w:rPr>
                            <w:b/>
                            <w:color w:val="FFFFFF"/>
                            <w:sz w:val="16"/>
                            <w:szCs w:val="16"/>
                          </w:rPr>
                          <w:t xml:space="preserve"> gavėjai</w:t>
                        </w:r>
                      </w:p>
                      <w:p w14:paraId="44E8B940" w14:textId="77777777" w:rsidR="00A65A8D" w:rsidRDefault="00A65A8D" w:rsidP="003E691C">
                        <w:pPr>
                          <w:spacing w:after="0" w:line="240" w:lineRule="auto"/>
                          <w:jc w:val="center"/>
                          <w:rPr>
                            <w:b/>
                            <w:color w:val="FFFFFF"/>
                            <w:sz w:val="16"/>
                            <w:szCs w:val="16"/>
                          </w:rPr>
                        </w:pPr>
                      </w:p>
                    </w:txbxContent>
                  </v:textbox>
                </v:roundrect>
                <v:roundrect id="AutoShape 16" o:spid="_x0000_s1149" style="position:absolute;left:11644;top:20598;width:14237;height:42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xu8AA&#10;AADcAAAADwAAAGRycy9kb3ducmV2LnhtbERP32vCMBB+H/g/hBN8m6lFZFajiDjwbauKz0dzJsXm&#10;UprM1v31y2Cwt/v4ft56O7hGPKgLtWcFs2kGgrjyumaj4HJ+f30DESKyxsYzKXhSgO1m9LLGQvue&#10;S3qcohEphEOBCmyMbSFlqCw5DFPfEifu5juHMcHOSN1hn8JdI/MsW0iHNacGiy3tLVX305dTYLTd&#10;lZ8fpjxkZh4ucZHjd39VajIedisQkYb4L/5zH3Wany/h95l0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jxu8AAAADcAAAADwAAAAAAAAAAAAAAAACYAgAAZHJzL2Rvd25y&#10;ZXYueG1sUEsFBgAAAAAEAAQA9QAAAIUDAAAAAA==&#10;" fillcolor="#e36c0a" strokecolor="#974706">
                  <v:textbox>
                    <w:txbxContent>
                      <w:p w14:paraId="38151FFF" w14:textId="77777777" w:rsidR="00A65A8D" w:rsidRDefault="00A65A8D" w:rsidP="003E691C">
                        <w:pPr>
                          <w:spacing w:after="0" w:line="240" w:lineRule="auto"/>
                          <w:jc w:val="center"/>
                          <w:rPr>
                            <w:b/>
                            <w:color w:val="FFFFFF"/>
                            <w:sz w:val="16"/>
                            <w:szCs w:val="16"/>
                          </w:rPr>
                        </w:pPr>
                        <w:r>
                          <w:rPr>
                            <w:b/>
                            <w:color w:val="FFFFFF"/>
                            <w:sz w:val="16"/>
                            <w:szCs w:val="16"/>
                          </w:rPr>
                          <w:t>Finansinės priemonės valdytojas</w:t>
                        </w:r>
                      </w:p>
                    </w:txbxContent>
                  </v:textbox>
                </v:roundrect>
                <v:oval id="Oval 20" o:spid="_x0000_s1150" style="position:absolute;left:13057;top:12038;width:11402;height:6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T7U8IA&#10;AADcAAAADwAAAGRycy9kb3ducmV2LnhtbERPTYvCMBC9C/6HMII3Ta0i0jWKLCsqHharB73NNrNt&#10;2WZSmqj135sFwds83ufMl62pxI0aV1pWMBpGIIgzq0vOFZyO68EMhPPIGivLpOBBDpaLbmeOibZ3&#10;PtAt9bkIIewSVFB4XydSuqwgg25oa+LA/drGoA+wyaVu8B7CTSXjKJpKgyWHhgJr+iwo+0uvRkF8&#10;+f7Z17vJ5uwnrtrsdxHOtl9K9Xvt6gOEp9a/xS/3Vof54xj+nwkX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PtTwgAAANwAAAAPAAAAAAAAAAAAAAAAAJgCAABkcnMvZG93&#10;bnJldi54bWxQSwUGAAAAAAQABAD1AAAAhwMAAAAA&#10;" fillcolor="#ffc000" strokecolor="#974706">
                  <v:textbox>
                    <w:txbxContent>
                      <w:p w14:paraId="50289C26" w14:textId="77777777" w:rsidR="00A65A8D" w:rsidRPr="00873719" w:rsidRDefault="00A65A8D" w:rsidP="003E691C">
                        <w:pPr>
                          <w:jc w:val="center"/>
                          <w:rPr>
                            <w:b/>
                            <w:color w:val="FFFFFF"/>
                            <w:lang w:val="lt-LT"/>
                          </w:rPr>
                        </w:pPr>
                        <w:r>
                          <w:rPr>
                            <w:b/>
                            <w:color w:val="FFFFFF"/>
                            <w:sz w:val="18"/>
                            <w:lang w:val="lt-LT"/>
                          </w:rPr>
                          <w:t>Finansinė priemonė</w:t>
                        </w:r>
                      </w:p>
                      <w:p w14:paraId="40FB4CA0" w14:textId="77777777" w:rsidR="00A65A8D" w:rsidRPr="00873719" w:rsidRDefault="00A65A8D" w:rsidP="003E691C">
                        <w:pPr>
                          <w:jc w:val="center"/>
                          <w:rPr>
                            <w:b/>
                            <w:color w:val="FFFFFF"/>
                            <w:lang w:val="lt-LT"/>
                          </w:rPr>
                        </w:pPr>
                      </w:p>
                    </w:txbxContent>
                  </v:textbox>
                </v:oval>
                <v:shape id="AutoShape 24" o:spid="_x0000_s1151" type="#_x0000_t32" style="position:absolute;left:18758;top:18482;width:4;height:2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p8XcMAAADcAAAADwAAAGRycy9kb3ducmV2LnhtbERPTWsCMRC9C/0PYQreNKuC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6fF3DAAAA3AAAAA8AAAAAAAAAAAAA&#10;AAAAoQIAAGRycy9kb3ducmV2LnhtbFBLBQYAAAAABAAEAPkAAACRAwAAAAA=&#10;">
                  <v:stroke endarrow="block"/>
                </v:shape>
                <v:shape id="AutoShape 25" o:spid="_x0000_s1152" type="#_x0000_t32" style="position:absolute;left:18736;top:24813;width:26;height:49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SjbMQAAADcAAAADwAAAGRycy9kb3ducmV2LnhtbESPQWsCMRCF74X+hzCF3mpWS0tZjaKC&#10;IL2U2kI9DptxN7iZLJu4Wf995yB4m+G9ee+bxWr0rRqojy6wgemkAEVcBeu4NvD7s3v5ABUTssU2&#10;MBm4UoTV8vFhgaUNmb9pOKRaSQjHEg00KXWl1rFqyGOchI5YtFPoPSZZ+1rbHrOE+1bPiuJde3Qs&#10;DQ12tG2oOh8u3oDLX27o9tu8+fw7RpvJXd+CM+b5aVzPQSUa0918u95bwX8VWn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tKNsxAAAANwAAAAPAAAAAAAAAAAA&#10;AAAAAKECAABkcnMvZG93bnJldi54bWxQSwUGAAAAAAQABAD5AAAAkgMAAAAA&#10;">
                  <v:stroke endarrow="block"/>
                </v:shape>
                <v:shape id="AutoShape 26" o:spid="_x0000_s1153" type="#_x0000_t32" style="position:absolute;left:18758;top:9769;width:4;height:22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gG98EAAADcAAAADwAAAGRycy9kb3ducmV2LnhtbERPTWsCMRC9C/6HMEJvmrVS0a1RVBCk&#10;F1EL9ThsprvBzWTZpJv13zdCobd5vM9ZbXpbi45abxwrmE4yEMSF04ZLBZ/Xw3gBwgdkjbVjUvAg&#10;D5v1cLDCXLvIZ+ouoRQphH2OCqoQmlxKX1Rk0U9cQ5y4b9daDAm2pdQtxhRua/maZXNp0XBqqLCh&#10;fUXF/fJjFZh4Ml1z3Mfdx9fN60jm8eaMUi+jfvsOIlAf/sV/7qNO82d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Ab3wQAAANwAAAAPAAAAAAAAAAAAAAAA&#10;AKECAABkcnMvZG93bnJldi54bWxQSwUGAAAAAAQABAD5AAAAjwMAAAAA&#10;">
                  <v:stroke endarrow="block"/>
                </v:shape>
                <v:roundrect id="AutoShape 10" o:spid="_x0000_s1154" style="position:absolute;left:11188;top:1800;width:14233;height:24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dNcIA&#10;AADcAAAADwAAAGRycy9kb3ducmV2LnhtbERPTWvCQBC9F/oflhG81Y1FUomuYkMD3tpGL96G7JgE&#10;s7Pp7jaJ/75bKPQ2j/c52/1kOjGQ861lBctFAoK4srrlWsH5VDytQfiArLGzTAru5GG/e3zYYqbt&#10;yJ80lKEWMYR9hgqaEPpMSl81ZNAvbE8cuat1BkOErpba4RjDTSefkySVBluODQ32lDdU3cpvo+Cr&#10;da9Fbt1Hlabl28m/XzrsL0rNZ9NhAyLQFP7Ff+6jjvNXL/D7TLx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Nt01wgAAANwAAAAPAAAAAAAAAAAAAAAAAJgCAABkcnMvZG93&#10;bnJldi54bWxQSwUGAAAAAAQABAD1AAAAhwMAAAAA&#10;" fillcolor="white [3201]" strokecolor="#f79646 [3209]" strokeweight="2pt">
                  <v:textbox>
                    <w:txbxContent>
                      <w:p w14:paraId="2D46DFD0" w14:textId="77777777" w:rsidR="00A65A8D" w:rsidRDefault="00A65A8D" w:rsidP="003E691C">
                        <w:pPr>
                          <w:pStyle w:val="prastasistinklapis"/>
                          <w:jc w:val="center"/>
                        </w:pPr>
                        <w:r>
                          <w:rPr>
                            <w:rFonts w:ascii="Calibri" w:eastAsia="Calibri" w:hAnsi="Calibri"/>
                            <w:b/>
                            <w:bCs/>
                            <w:sz w:val="16"/>
                            <w:szCs w:val="16"/>
                          </w:rPr>
                          <w:t>II STRUKTŪRA</w:t>
                        </w:r>
                      </w:p>
                    </w:txbxContent>
                  </v:textbox>
                </v:roundrect>
                <v:roundrect id="AutoShape 10" o:spid="_x0000_s1155" style="position:absolute;left:31814;top:1800;width:14233;height:24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JR8MA&#10;AADcAAAADwAAAGRycy9kb3ducmV2LnhtbESPQW/CMAyF75P4D5GRuI2UCVVTR0CAhsSNrezCzWpM&#10;W9E4JQlQ/v18mLSbrff83ufFanCdulOIrWcDs2kGirjytuXawM9x9/oOKiZki51nMvCkCKvl6GWB&#10;hfUP/qZ7mWolIRwLNNCk1Bdax6ohh3Hqe2LRzj44TLKGWtuADwl3nX7Lslw7bFkaGuxp21B1KW/O&#10;wLUNm93Wh68qz8vPYzycOuxPxkzGw/oDVKIh/Zv/rvdW8OdCK8/IB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lJR8MAAADcAAAADwAAAAAAAAAAAAAAAACYAgAAZHJzL2Rv&#10;d25yZXYueG1sUEsFBgAAAAAEAAQA9QAAAIgDAAAAAA==&#10;" fillcolor="white [3201]" strokecolor="#f79646 [3209]" strokeweight="2pt">
                  <v:textbox>
                    <w:txbxContent>
                      <w:p w14:paraId="3FDBAEB9" w14:textId="77777777" w:rsidR="00A65A8D" w:rsidRDefault="00A65A8D" w:rsidP="003E691C">
                        <w:pPr>
                          <w:pStyle w:val="prastasistinklapis"/>
                          <w:jc w:val="center"/>
                        </w:pPr>
                        <w:r>
                          <w:rPr>
                            <w:rFonts w:ascii="Calibri" w:eastAsia="Calibri" w:hAnsi="Calibri"/>
                            <w:b/>
                            <w:bCs/>
                            <w:sz w:val="16"/>
                            <w:szCs w:val="16"/>
                          </w:rPr>
                          <w:t>III STRUKTŪRA</w:t>
                        </w:r>
                      </w:p>
                    </w:txbxContent>
                  </v:textbox>
                </v:roundrect>
                <v:rect id="Rectangle 9" o:spid="_x0000_s1156" style="position:absolute;left:30184;top:5541;width:18021;height:30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q8n8MA&#10;AADcAAAADwAAAGRycy9kb3ducmV2LnhtbESPT4vCMBTE74LfITzBm03tQaUaRRYE0Yv/QLy9bd62&#10;ZZuXkkTb/fabhQWPw8z8hlltetOIFzlfW1YwTVIQxIXVNZcKbtfdZAHCB2SNjWVS8EMeNuvhYIW5&#10;th2f6XUJpYgQ9jkqqEJocyl9UZFBn9iWOHpf1hkMUbpSaoddhJtGZmk6kwZrjgsVtvRRUfF9eRoF&#10;7eNAugta3vur+9y74/Z0LE9KjUf9dgkiUB/e4f/2XivIsjn8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q8n8MAAADcAAAADwAAAAAAAAAAAAAAAACYAgAAZHJzL2Rv&#10;d25yZXYueG1sUEsFBgAAAAAEAAQA9QAAAIgDAAAAAA==&#10;" strokecolor="#e36c0a" strokeweight="1.5pt">
                  <v:textbox>
                    <w:txbxContent>
                      <w:p w14:paraId="24FCB29C" w14:textId="77777777" w:rsidR="00A65A8D" w:rsidRDefault="00A65A8D" w:rsidP="008B6689">
                        <w:pPr>
                          <w:rPr>
                            <w:rFonts w:eastAsia="Times New Roman"/>
                          </w:rPr>
                        </w:pPr>
                      </w:p>
                    </w:txbxContent>
                  </v:textbox>
                </v:rect>
                <v:roundrect id="AutoShape 12" o:spid="_x0000_s1157" style="position:absolute;left:31975;top:7345;width:14236;height:24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1XMAA&#10;AADcAAAADwAAAGRycy9kb3ducmV2LnhtbERPz0vDMBS+D/wfwhN2W1OLFKnLxhAH3lxn2fnRPJNi&#10;81KarK3765eD4PHj+73dL64XE42h86zgKctBELded2wUNF/HzQuIEJE19p5JwS8F2O8eVlustJ+5&#10;pukcjUghHCpUYGMcKilDa8lhyPxAnLhvPzqMCY5G6hHnFO56WeR5KR12nBosDvRmqf05X50Co+2h&#10;Pn2a+j03z6GJZYG3+aLU+nE5vIKItMR/8Z/7QysoirQ2nUlHQO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E1XMAAAADcAAAADwAAAAAAAAAAAAAAAACYAgAAZHJzL2Rvd25y&#10;ZXYueG1sUEsFBgAAAAAEAAQA9QAAAIUDAAAAAA==&#10;" fillcolor="#e36c0a" strokecolor="#974706">
                  <v:textbox>
                    <w:txbxContent>
                      <w:p w14:paraId="3BF45296" w14:textId="77777777" w:rsidR="00A65A8D" w:rsidRDefault="00A65A8D" w:rsidP="008B6689">
                        <w:pPr>
                          <w:pStyle w:val="prastasistinklapis"/>
                          <w:spacing w:before="0" w:beforeAutospacing="0" w:after="0" w:afterAutospacing="0" w:line="276" w:lineRule="auto"/>
                          <w:jc w:val="center"/>
                        </w:pPr>
                        <w:r>
                          <w:rPr>
                            <w:rFonts w:ascii="Calibri" w:eastAsia="Calibri" w:hAnsi="Calibri"/>
                            <w:b/>
                            <w:bCs/>
                            <w:color w:val="FFFFFF"/>
                            <w:sz w:val="16"/>
                            <w:szCs w:val="16"/>
                            <w:lang w:val="en-US"/>
                          </w:rPr>
                          <w:t>Vadovaujančioji institucija</w:t>
                        </w:r>
                      </w:p>
                    </w:txbxContent>
                  </v:textbox>
                </v:roundrect>
                <v:roundrect id="AutoShape 15" o:spid="_x0000_s1158" style="position:absolute;left:31975;top:29779;width:14236;height:46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2Qx8IA&#10;AADcAAAADwAAAGRycy9kb3ducmV2LnhtbESPQWsCMRSE74X+h/AKvdWsS5G6NYqIQm+6Kp4fm9dk&#10;cfOybKK79dcbQehxmJlvmNlicI24UhdqzwrGowwEceV1zUbB8bD5+AIRIrLGxjMp+KMAi/nrywwL&#10;7Xsu6bqPRiQIhwIV2BjbQspQWXIYRr4lTt6v7xzGJDsjdYd9grtG5lk2kQ5rTgsWW1pZqs77i1Ng&#10;tF2Wu60p15n5DMc4yfHWn5R6fxuW3yAiDfE//Gz/aAV5PoXHmXQE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ZDHwgAAANwAAAAPAAAAAAAAAAAAAAAAAJgCAABkcnMvZG93&#10;bnJldi54bWxQSwUGAAAAAAQABAD1AAAAhwMAAAAA&#10;" fillcolor="#e36c0a" strokecolor="#974706">
                  <v:textbox>
                    <w:txbxContent>
                      <w:p w14:paraId="56A0163B" w14:textId="77777777" w:rsidR="00A65A8D" w:rsidRDefault="00A65A8D" w:rsidP="008B6689">
                        <w:pPr>
                          <w:pStyle w:val="prastasistinklapis"/>
                          <w:spacing w:before="0" w:beforeAutospacing="0" w:after="0" w:afterAutospacing="0" w:line="276" w:lineRule="auto"/>
                          <w:jc w:val="center"/>
                        </w:pPr>
                        <w:r>
                          <w:rPr>
                            <w:rFonts w:ascii="Calibri" w:eastAsia="Calibri" w:hAnsi="Calibri"/>
                            <w:b/>
                            <w:bCs/>
                            <w:color w:val="FFFFFF"/>
                            <w:sz w:val="16"/>
                            <w:szCs w:val="16"/>
                            <w:lang w:val="en-US"/>
                          </w:rPr>
                          <w:t>Galutiniai paramos</w:t>
                        </w:r>
                      </w:p>
                      <w:p w14:paraId="5681BE08" w14:textId="77777777" w:rsidR="00A65A8D" w:rsidRDefault="00A65A8D" w:rsidP="008B6689">
                        <w:pPr>
                          <w:pStyle w:val="prastasistinklapis"/>
                          <w:spacing w:before="0" w:beforeAutospacing="0" w:after="0" w:afterAutospacing="0" w:line="276" w:lineRule="auto"/>
                          <w:jc w:val="center"/>
                        </w:pPr>
                        <w:r>
                          <w:rPr>
                            <w:rFonts w:ascii="Calibri" w:eastAsia="Calibri" w:hAnsi="Calibri"/>
                            <w:b/>
                            <w:bCs/>
                            <w:color w:val="FFFFFF"/>
                            <w:sz w:val="16"/>
                            <w:szCs w:val="16"/>
                            <w:lang w:val="en-US"/>
                          </w:rPr>
                          <w:t xml:space="preserve"> gavėjai</w:t>
                        </w:r>
                      </w:p>
                      <w:p w14:paraId="4A6428A0" w14:textId="77777777" w:rsidR="00A65A8D" w:rsidRDefault="00A65A8D" w:rsidP="008B6689">
                        <w:pPr>
                          <w:pStyle w:val="prastasistinklapis"/>
                          <w:spacing w:before="0" w:beforeAutospacing="0" w:after="0" w:afterAutospacing="0" w:line="276" w:lineRule="auto"/>
                          <w:jc w:val="center"/>
                        </w:pPr>
                        <w:r>
                          <w:rPr>
                            <w:rFonts w:ascii="Calibri" w:eastAsia="Calibri" w:hAnsi="Calibri"/>
                            <w:b/>
                            <w:bCs/>
                            <w:color w:val="FFFFFF"/>
                            <w:sz w:val="16"/>
                            <w:szCs w:val="16"/>
                            <w:lang w:val="en-US"/>
                          </w:rPr>
                          <w:t> </w:t>
                        </w:r>
                      </w:p>
                    </w:txbxContent>
                  </v:textbox>
                </v:roundrect>
                <v:roundrect id="AutoShape 17" o:spid="_x0000_s1159" style="position:absolute;left:31937;top:24966;width:14243;height:24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K/sIA&#10;AADcAAAADwAAAGRycy9kb3ducmV2LnhtbERPzYrCMBC+C75DGGEvi6arrEg1iqxb8aCC1QcYmtm2&#10;bDOpTaz17c1B8Pjx/S9WnalES40rLSv4GkUgiDOrS84VXM7JcAbCeWSNlWVS8CAHq2W/t8BY2zuf&#10;qE19LkIIuxgVFN7XsZQuK8igG9maOHB/tjHoA2xyqRu8h3BTyXEUTaXBkkNDgTX9FJT9pzejoP3e&#10;1L+P9U5ictm66z75NIf0qNTHoFvPQXjq/Fv8cu+0gvEkzA9nw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4r+wgAAANwAAAAPAAAAAAAAAAAAAAAAAJgCAABkcnMvZG93&#10;bnJldi54bWxQSwUGAAAAAAQABAD1AAAAhwMAAAAA&#10;" fillcolor="#e36c0a" strokecolor="#974706">
                  <v:stroke dashstyle="dash"/>
                  <v:textbox>
                    <w:txbxContent>
                      <w:p w14:paraId="20100FEA" w14:textId="77777777" w:rsidR="00A65A8D" w:rsidRDefault="00A65A8D" w:rsidP="008B6689">
                        <w:pPr>
                          <w:pStyle w:val="prastasistinklapis"/>
                          <w:spacing w:before="0" w:beforeAutospacing="0" w:after="0" w:afterAutospacing="0" w:line="276" w:lineRule="auto"/>
                          <w:jc w:val="center"/>
                        </w:pPr>
                        <w:r>
                          <w:rPr>
                            <w:rFonts w:ascii="Calibri" w:eastAsia="Calibri" w:hAnsi="Calibri"/>
                            <w:b/>
                            <w:bCs/>
                            <w:color w:val="FFFFFF"/>
                            <w:sz w:val="16"/>
                            <w:szCs w:val="16"/>
                            <w:lang w:val="en-US"/>
                          </w:rPr>
                          <w:t>Finansinis tarpininkas</w:t>
                        </w:r>
                      </w:p>
                    </w:txbxContent>
                  </v:textbox>
                </v:roundrect>
                <v:roundrect id="AutoShape 18" o:spid="_x0000_s1160" style="position:absolute;left:31987;top:12653;width:14237;height:2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KHMIA&#10;AADcAAAADwAAAGRycy9kb3ducmV2LnhtbESPQWsCMRSE7wX/Q3hCbzXrKlJWo4goeGvXiufH5pks&#10;bl6WTXS3/fWNUOhxmJlvmNVmcI14UBdqzwqmkwwEceV1zUbB+evw9g4iRGSNjWdS8E0BNuvRywoL&#10;7Xsu6XGKRiQIhwIV2BjbQspQWXIYJr4lTt7Vdw5jkp2RusM+wV0j8yxbSIc1pwWLLe0sVbfT3Skw&#10;2m7Lzw9T7jMzD+e4yPGnvyj1Oh62SxCRhvgf/msftYJ8NoXnmX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ocwgAAANwAAAAPAAAAAAAAAAAAAAAAAJgCAABkcnMvZG93&#10;bnJldi54bWxQSwUGAAAAAAQABAD1AAAAhwMAAAAA&#10;" fillcolor="#e36c0a" strokecolor="#974706">
                  <v:textbox>
                    <w:txbxContent>
                      <w:p w14:paraId="4E6AFD40" w14:textId="77777777" w:rsidR="00A65A8D" w:rsidRDefault="00A65A8D" w:rsidP="008B6689">
                        <w:pPr>
                          <w:pStyle w:val="prastasistinklapis"/>
                          <w:spacing w:before="0" w:beforeAutospacing="0" w:after="0" w:afterAutospacing="0" w:line="276" w:lineRule="auto"/>
                          <w:jc w:val="center"/>
                        </w:pPr>
                        <w:r>
                          <w:rPr>
                            <w:rFonts w:ascii="Calibri" w:eastAsia="Calibri" w:hAnsi="Calibri"/>
                            <w:b/>
                            <w:bCs/>
                            <w:color w:val="FFFFFF"/>
                            <w:sz w:val="16"/>
                            <w:szCs w:val="16"/>
                            <w:lang w:val="en-US"/>
                          </w:rPr>
                          <w:t>Fondų fondas</w:t>
                        </w:r>
                      </w:p>
                    </w:txbxContent>
                  </v:textbox>
                </v:roundrect>
                <v:shape id="AutoShape 27" o:spid="_x0000_s1161" type="#_x0000_t32" style="position:absolute;left:39074;top:15073;width:25;height:1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n1+sQAAADcAAAADwAAAGRycy9kb3ducmV2LnhtbESPwWrDMBBE74X8g9hAb40cl4bgRjZJ&#10;oBB6KU0C6XGxtraotTKWYjl/XxUKOQ4z84bZVJPtxEiDN44VLBcZCOLaacONgvPp7WkNwgdkjZ1j&#10;UnAjD1U5e9hgoV3kTxqPoREJwr5ABW0IfSGlr1uy6BeuJ07etxsshiSHRuoBY4LbTuZZtpIWDaeF&#10;Fnvat1T/HK9WgYkfZuwP+7h7v3x5HcncXpxR6nE+bV9BBJrCPfzfPmgF+XM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efX6xAAAANwAAAAPAAAAAAAAAAAA&#10;AAAAAKECAABkcnMvZG93bnJldi54bWxQSwUGAAAAAAQABAD5AAAAkgMAAAAA&#10;">
                  <v:stroke endarrow="block"/>
                </v:shape>
                <v:shape id="AutoShape 28" o:spid="_x0000_s1162" type="#_x0000_t32" style="position:absolute;left:39055;top:22858;width:13;height:21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VQYcMAAADcAAAADwAAAGRycy9kb3ducmV2LnhtbESPT2sCMRTE7wW/Q3iCt5pVscjWKFUo&#10;iBfxD+jxsXndDd28LJt0s357Iwg9DjPzG2a57m0tOmq9caxgMs5AEBdOGy4VXM7f7wsQPiBrrB2T&#10;gjt5WK8Gb0vMtYt8pO4USpEg7HNUUIXQ5FL6oiKLfuwa4uT9uNZiSLItpW4xJrit5TTLPqRFw2mh&#10;woa2FRW/pz+rwMSD6ZrdNm7215vXkcx97oxSo2H/9QkiUB/+w6/2TiuYzm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1UGHDAAAA3AAAAA8AAAAAAAAAAAAA&#10;AAAAoQIAAGRycy9kb3ducmV2LnhtbFBLBQYAAAAABAAEAPkAAACRAwAAAAA=&#10;">
                  <v:stroke endarrow="block"/>
                </v:shape>
                <v:shape id="AutoShape 29" o:spid="_x0000_s1163" type="#_x0000_t32" style="position:absolute;left:39042;top:27392;width:13;height:24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zIFcMAAADcAAAADwAAAGRycy9kb3ducmV2LnhtbESPQWsCMRSE7wX/Q3iCt5pVW5HVKFYQ&#10;pJdSFfT42Dx3g5uXZZNu1n9vCoUeh5n5hllteluLjlpvHCuYjDMQxIXThksF59P+dQHCB2SNtWNS&#10;8CAPm/XgZYW5dpG/qTuGUiQI+xwVVCE0uZS+qMiiH7uGOHk311oMSbal1C3GBLe1nGbZXFo0nBYq&#10;bGhXUXE//lgFJn6Zrjns4sfn5ep1JPN4d0ap0bDfLkEE6sN/+K990Aqmszf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cyBXDAAAA3AAAAA8AAAAAAAAAAAAA&#10;AAAAoQIAAGRycy9kb3ducmV2LnhtbFBLBQYAAAAABAAEAPkAAACRAwAAAAA=&#10;">
                  <v:stroke endarrow="block"/>
                </v:shape>
                <v:shape id="AutoShape 30" o:spid="_x0000_s1164" type="#_x0000_t32" style="position:absolute;left:39055;top:27392;width:32;height:23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EmzcUAAADcAAAADwAAAGRycy9kb3ducmV2LnhtbESPQWsCMRSE7wX/Q3iCt5rVYtHVKFJo&#10;EaWHqix6e2yeu4ublyWJuvrrTaHQ4zAz3zCzRWtqcSXnK8sKBv0EBHFudcWFgv3u83UMwgdkjbVl&#10;UnAnD4t552WGqbY3/qHrNhQiQtinqKAMoUml9HlJBn3fNsTRO1lnMETpCqkd3iLc1HKYJO/SYMVx&#10;ocSGPkrKz9uLUXDYTC7ZPfumdTaYrI/ojH/svpTqddvlFESgNvyH/9orrWD4No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EmzcUAAADcAAAADwAAAAAAAAAA&#10;AAAAAAChAgAAZHJzL2Rvd25yZXYueG1sUEsFBgAAAAAEAAQA+QAAAJMDAAAAAA==&#10;">
                  <v:stroke endarrow="block"/>
                </v:shape>
                <v:shape id="AutoShape 26" o:spid="_x0000_s1165" type="#_x0000_t32" style="position:absolute;left:39093;top:9758;width:6;height:28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O4usUAAADcAAAADwAAAGRycy9kb3ducmV2LnhtbESPQWsCMRSE70L/Q3gFb5pVQXQ1Sim0&#10;iOJBLUu9PTavu0s3L0sSdfXXG0HwOMzMN8x82ZpanMn5yrKCQT8BQZxbXXGh4Ofw1ZuA8AFZY22Z&#10;FFzJw3Lx1pljqu2Fd3Teh0JECPsUFZQhNKmUPi/JoO/bhjh6f9YZDFG6QmqHlwg3tRwmyVgarDgu&#10;lNjQZ0n5//5kFPxupqfsmm1pnQ2m6yM642+Hb6W67+3HDESgNrzCz/ZKKxiOx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O4usUAAADcAAAADwAAAAAAAAAA&#10;AAAAAAChAgAAZHJzL2Rvd25yZXYueG1sUEsFBgAAAAAEAAQA+QAAAJMDAAAAAA==&#10;">
                  <v:stroke endarrow="block"/>
                </v:shape>
                <v:oval id="Oval 166" o:spid="_x0000_s1166" style="position:absolute;left:33378;top:16419;width:11398;height:6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5t8YA&#10;AADcAAAADwAAAGRycy9kb3ducmV2LnhtbESPQWvCQBSE74X+h+UVvNVNY7CSukoRJYoHadqD3l6z&#10;r0lo9m3Irib+e1co9DjMfDPMfDmYRlyoc7VlBS/jCARxYXXNpYKvz83zDITzyBoby6TgSg6Wi8eH&#10;Oaba9vxBl9yXIpSwS1FB5X2bSumKigy6sW2Jg/djO4M+yK6UusM+lJtGxlE0lQZrDgsVtrSqqPjN&#10;z0ZBfDp879tdkh194ppsv4twtl0rNXoa3t9AeBr8f/iP3urATV7hfi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Y5t8YAAADcAAAADwAAAAAAAAAAAAAAAACYAgAAZHJz&#10;L2Rvd25yZXYueG1sUEsFBgAAAAAEAAQA9QAAAIsDAAAAAA==&#10;" fillcolor="#ffc000" strokecolor="#974706">
                  <v:textbox>
                    <w:txbxContent>
                      <w:p w14:paraId="17068A34" w14:textId="77777777" w:rsidR="00A65A8D" w:rsidRDefault="00A65A8D" w:rsidP="008B6689">
                        <w:pPr>
                          <w:pStyle w:val="prastasistinklapis"/>
                          <w:spacing w:before="0" w:beforeAutospacing="0" w:after="200" w:afterAutospacing="0" w:line="276" w:lineRule="auto"/>
                          <w:jc w:val="center"/>
                        </w:pPr>
                        <w:r>
                          <w:rPr>
                            <w:rFonts w:ascii="Calibri" w:eastAsia="Calibri" w:hAnsi="Calibri"/>
                            <w:b/>
                            <w:bCs/>
                            <w:color w:val="FFFFFF"/>
                            <w:sz w:val="18"/>
                            <w:szCs w:val="18"/>
                          </w:rPr>
                          <w:t>Finansinė priemonė</w:t>
                        </w:r>
                      </w:p>
                      <w:p w14:paraId="70F0BD23" w14:textId="77777777" w:rsidR="00A65A8D" w:rsidRDefault="00A65A8D" w:rsidP="008B6689">
                        <w:pPr>
                          <w:pStyle w:val="prastasistinklapis"/>
                          <w:spacing w:before="0" w:beforeAutospacing="0" w:after="200" w:afterAutospacing="0" w:line="276" w:lineRule="auto"/>
                          <w:jc w:val="center"/>
                        </w:pPr>
                        <w:r>
                          <w:rPr>
                            <w:rFonts w:ascii="Calibri" w:eastAsia="Calibri" w:hAnsi="Calibri"/>
                            <w:b/>
                            <w:bCs/>
                            <w:color w:val="FFFFFF"/>
                            <w:sz w:val="22"/>
                            <w:szCs w:val="22"/>
                          </w:rPr>
                          <w:t> </w:t>
                        </w:r>
                      </w:p>
                    </w:txbxContent>
                  </v:textbox>
                </v:oval>
                <w10:anchorlock/>
              </v:group>
            </w:pict>
          </mc:Fallback>
        </mc:AlternateContent>
      </w:r>
    </w:p>
    <w:p w14:paraId="3B739E12" w14:textId="77777777" w:rsidR="009F55BB" w:rsidRDefault="009F55BB" w:rsidP="001E4B4F">
      <w:pPr>
        <w:pStyle w:val="Antrat"/>
        <w:rPr>
          <w:lang w:val="lt-LT"/>
        </w:rPr>
      </w:pPr>
    </w:p>
    <w:p w14:paraId="5D83DFF2" w14:textId="02EB9A6D" w:rsidR="003E691C" w:rsidRPr="00F435CE" w:rsidRDefault="003E691C" w:rsidP="001E4B4F">
      <w:pPr>
        <w:pStyle w:val="Antrat"/>
        <w:rPr>
          <w:lang w:val="lt-LT"/>
        </w:rPr>
      </w:pPr>
      <w:bookmarkStart w:id="387" w:name="_Toc417378338"/>
      <w:r w:rsidRPr="00F435CE">
        <w:rPr>
          <w:lang w:val="lt-LT"/>
        </w:rPr>
        <w:t xml:space="preserve">Paveikslas </w:t>
      </w:r>
      <w:r w:rsidRPr="00F435CE">
        <w:rPr>
          <w:lang w:val="lt-LT"/>
        </w:rPr>
        <w:fldChar w:fldCharType="begin"/>
      </w:r>
      <w:r w:rsidRPr="00F435CE">
        <w:rPr>
          <w:lang w:val="lt-LT"/>
        </w:rPr>
        <w:instrText xml:space="preserve"> SEQ Paveikslas \* ARABIC </w:instrText>
      </w:r>
      <w:r w:rsidRPr="00F435CE">
        <w:rPr>
          <w:lang w:val="lt-LT"/>
        </w:rPr>
        <w:fldChar w:fldCharType="separate"/>
      </w:r>
      <w:r w:rsidR="00AA3082">
        <w:rPr>
          <w:noProof/>
          <w:lang w:val="lt-LT"/>
        </w:rPr>
        <w:t>61</w:t>
      </w:r>
      <w:r w:rsidRPr="00F435CE">
        <w:rPr>
          <w:lang w:val="lt-LT"/>
        </w:rPr>
        <w:fldChar w:fldCharType="end"/>
      </w:r>
      <w:r w:rsidRPr="00F435CE">
        <w:rPr>
          <w:lang w:val="lt-LT"/>
        </w:rPr>
        <w:t>. II ir III valdymo struktūros</w:t>
      </w:r>
      <w:bookmarkEnd w:id="387"/>
    </w:p>
    <w:p w14:paraId="27333031" w14:textId="77777777" w:rsidR="003E691C" w:rsidRPr="00F435CE" w:rsidRDefault="003E691C" w:rsidP="00F435CE">
      <w:pPr>
        <w:rPr>
          <w:lang w:val="lt-LT"/>
        </w:rPr>
      </w:pPr>
      <w:r w:rsidRPr="00F435CE">
        <w:rPr>
          <w:noProof/>
          <w:lang w:val="lt-LT" w:eastAsia="lt-LT"/>
        </w:rPr>
        <mc:AlternateContent>
          <mc:Choice Requires="wpc">
            <w:drawing>
              <wp:inline distT="0" distB="0" distL="0" distR="0" wp14:anchorId="5DC22928" wp14:editId="7CB1D0C6">
                <wp:extent cx="5732145" cy="3651885"/>
                <wp:effectExtent l="0" t="0" r="0" b="5715"/>
                <wp:docPr id="190" name="Drobė 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3" name="Rectangle 8"/>
                        <wps:cNvSpPr>
                          <a:spLocks noChangeArrowheads="1"/>
                        </wps:cNvSpPr>
                        <wps:spPr bwMode="auto">
                          <a:xfrm>
                            <a:off x="922307" y="590776"/>
                            <a:ext cx="3232727" cy="3005700"/>
                          </a:xfrm>
                          <a:prstGeom prst="rect">
                            <a:avLst/>
                          </a:prstGeom>
                          <a:solidFill>
                            <a:srgbClr val="FFFFFF"/>
                          </a:solidFill>
                          <a:ln w="19050">
                            <a:solidFill>
                              <a:srgbClr val="E36C0A"/>
                            </a:solidFill>
                            <a:miter lim="800000"/>
                            <a:headEnd/>
                            <a:tailEnd/>
                          </a:ln>
                        </wps:spPr>
                        <wps:bodyPr rot="0" vert="horz" wrap="square" lIns="91440" tIns="45720" rIns="91440" bIns="45720" anchor="t" anchorCtr="0" upright="1">
                          <a:noAutofit/>
                        </wps:bodyPr>
                      </wps:wsp>
                      <wps:wsp>
                        <wps:cNvPr id="170" name="AutoShape 11"/>
                        <wps:cNvSpPr>
                          <a:spLocks noChangeArrowheads="1"/>
                        </wps:cNvSpPr>
                        <wps:spPr bwMode="auto">
                          <a:xfrm>
                            <a:off x="1164409" y="735700"/>
                            <a:ext cx="2639495" cy="241200"/>
                          </a:xfrm>
                          <a:prstGeom prst="roundRect">
                            <a:avLst>
                              <a:gd name="adj" fmla="val 16667"/>
                            </a:avLst>
                          </a:prstGeom>
                          <a:solidFill>
                            <a:srgbClr val="E36C0A"/>
                          </a:solidFill>
                          <a:ln w="9525">
                            <a:solidFill>
                              <a:srgbClr val="974706"/>
                            </a:solidFill>
                            <a:round/>
                            <a:headEnd/>
                            <a:tailEnd/>
                          </a:ln>
                        </wps:spPr>
                        <wps:txbx>
                          <w:txbxContent>
                            <w:p w14:paraId="0EE8B2D9" w14:textId="77777777" w:rsidR="00A65A8D" w:rsidRDefault="00A65A8D" w:rsidP="003E691C">
                              <w:pPr>
                                <w:spacing w:after="0" w:line="240" w:lineRule="auto"/>
                                <w:jc w:val="center"/>
                                <w:rPr>
                                  <w:b/>
                                  <w:color w:val="FFFFFF"/>
                                  <w:sz w:val="16"/>
                                  <w:szCs w:val="16"/>
                                </w:rPr>
                              </w:pPr>
                              <w:r>
                                <w:rPr>
                                  <w:b/>
                                  <w:color w:val="FFFFFF"/>
                                  <w:sz w:val="16"/>
                                  <w:szCs w:val="16"/>
                                </w:rPr>
                                <w:t>Vadovaujančioji institucija</w:t>
                              </w:r>
                            </w:p>
                          </w:txbxContent>
                        </wps:txbx>
                        <wps:bodyPr rot="0" vert="horz" wrap="square" lIns="91440" tIns="45720" rIns="91440" bIns="45720" anchor="t" anchorCtr="0" upright="1">
                          <a:noAutofit/>
                        </wps:bodyPr>
                      </wps:wsp>
                      <wps:wsp>
                        <wps:cNvPr id="172" name="AutoShape 14"/>
                        <wps:cNvSpPr>
                          <a:spLocks noChangeArrowheads="1"/>
                        </wps:cNvSpPr>
                        <wps:spPr bwMode="auto">
                          <a:xfrm>
                            <a:off x="1139104" y="2978900"/>
                            <a:ext cx="2664800" cy="465500"/>
                          </a:xfrm>
                          <a:prstGeom prst="roundRect">
                            <a:avLst>
                              <a:gd name="adj" fmla="val 16667"/>
                            </a:avLst>
                          </a:prstGeom>
                          <a:solidFill>
                            <a:srgbClr val="E36C0A"/>
                          </a:solidFill>
                          <a:ln w="9525">
                            <a:solidFill>
                              <a:srgbClr val="974706"/>
                            </a:solidFill>
                            <a:round/>
                            <a:headEnd/>
                            <a:tailEnd/>
                          </a:ln>
                        </wps:spPr>
                        <wps:txbx>
                          <w:txbxContent>
                            <w:p w14:paraId="7DDCEEEA" w14:textId="77777777" w:rsidR="00A65A8D" w:rsidRDefault="00A65A8D" w:rsidP="003E691C">
                              <w:pPr>
                                <w:spacing w:after="0" w:line="240" w:lineRule="auto"/>
                                <w:jc w:val="center"/>
                                <w:rPr>
                                  <w:b/>
                                  <w:color w:val="FFFFFF"/>
                                  <w:sz w:val="16"/>
                                  <w:szCs w:val="16"/>
                                </w:rPr>
                              </w:pPr>
                              <w:r>
                                <w:rPr>
                                  <w:b/>
                                  <w:color w:val="FFFFFF"/>
                                  <w:sz w:val="16"/>
                                  <w:szCs w:val="16"/>
                                </w:rPr>
                                <w:t>Galutiniai paramos</w:t>
                              </w:r>
                            </w:p>
                            <w:p w14:paraId="1FC67082" w14:textId="77777777" w:rsidR="00A65A8D" w:rsidRDefault="00A65A8D" w:rsidP="003E691C">
                              <w:pPr>
                                <w:spacing w:after="0" w:line="240" w:lineRule="auto"/>
                                <w:jc w:val="center"/>
                                <w:rPr>
                                  <w:b/>
                                  <w:color w:val="FFFFFF"/>
                                  <w:sz w:val="16"/>
                                  <w:szCs w:val="16"/>
                                </w:rPr>
                              </w:pPr>
                              <w:r>
                                <w:rPr>
                                  <w:b/>
                                  <w:color w:val="FFFFFF"/>
                                  <w:sz w:val="16"/>
                                  <w:szCs w:val="16"/>
                                </w:rPr>
                                <w:t xml:space="preserve"> gavėjai</w:t>
                              </w:r>
                            </w:p>
                            <w:p w14:paraId="1AD6FB7A" w14:textId="77777777" w:rsidR="00A65A8D" w:rsidRDefault="00A65A8D" w:rsidP="003E691C">
                              <w:pPr>
                                <w:spacing w:after="0" w:line="240" w:lineRule="auto"/>
                                <w:jc w:val="center"/>
                                <w:rPr>
                                  <w:b/>
                                  <w:color w:val="FFFFFF"/>
                                  <w:sz w:val="16"/>
                                  <w:szCs w:val="16"/>
                                </w:rPr>
                              </w:pPr>
                            </w:p>
                          </w:txbxContent>
                        </wps:txbx>
                        <wps:bodyPr rot="0" vert="horz" wrap="square" lIns="91440" tIns="45720" rIns="91440" bIns="45720" anchor="t" anchorCtr="0" upright="1">
                          <a:noAutofit/>
                        </wps:bodyPr>
                      </wps:wsp>
                      <wps:wsp>
                        <wps:cNvPr id="176" name="AutoShape 18"/>
                        <wps:cNvSpPr>
                          <a:spLocks noChangeArrowheads="1"/>
                        </wps:cNvSpPr>
                        <wps:spPr bwMode="auto">
                          <a:xfrm>
                            <a:off x="1164409" y="1195340"/>
                            <a:ext cx="2639495" cy="242000"/>
                          </a:xfrm>
                          <a:prstGeom prst="roundRect">
                            <a:avLst>
                              <a:gd name="adj" fmla="val 16667"/>
                            </a:avLst>
                          </a:prstGeom>
                          <a:solidFill>
                            <a:srgbClr val="E36C0A"/>
                          </a:solidFill>
                          <a:ln w="9525">
                            <a:solidFill>
                              <a:srgbClr val="974706"/>
                            </a:solidFill>
                            <a:round/>
                            <a:headEnd/>
                            <a:tailEnd/>
                          </a:ln>
                        </wps:spPr>
                        <wps:txbx>
                          <w:txbxContent>
                            <w:p w14:paraId="20DF2238" w14:textId="77777777" w:rsidR="00A65A8D" w:rsidRDefault="00A65A8D" w:rsidP="003E691C">
                              <w:pPr>
                                <w:spacing w:after="0" w:line="240" w:lineRule="auto"/>
                                <w:jc w:val="center"/>
                                <w:rPr>
                                  <w:b/>
                                  <w:color w:val="FFFFFF"/>
                                  <w:sz w:val="16"/>
                                  <w:szCs w:val="16"/>
                                </w:rPr>
                              </w:pPr>
                              <w:r>
                                <w:rPr>
                                  <w:b/>
                                  <w:color w:val="FFFFFF"/>
                                  <w:sz w:val="16"/>
                                  <w:szCs w:val="16"/>
                                </w:rPr>
                                <w:t>Fondų fondas</w:t>
                              </w:r>
                            </w:p>
                          </w:txbxContent>
                        </wps:txbx>
                        <wps:bodyPr rot="0" vert="horz" wrap="square" lIns="91440" tIns="45720" rIns="91440" bIns="45720" anchor="t" anchorCtr="0" upright="1">
                          <a:noAutofit/>
                        </wps:bodyPr>
                      </wps:wsp>
                      <wps:wsp>
                        <wps:cNvPr id="177" name="Oval 20"/>
                        <wps:cNvSpPr>
                          <a:spLocks noChangeArrowheads="1"/>
                        </wps:cNvSpPr>
                        <wps:spPr bwMode="auto">
                          <a:xfrm>
                            <a:off x="1305757" y="1811040"/>
                            <a:ext cx="1140207" cy="644400"/>
                          </a:xfrm>
                          <a:prstGeom prst="ellipse">
                            <a:avLst/>
                          </a:prstGeom>
                          <a:solidFill>
                            <a:srgbClr val="FFC000"/>
                          </a:solidFill>
                          <a:ln w="9525">
                            <a:solidFill>
                              <a:srgbClr val="974706"/>
                            </a:solidFill>
                            <a:round/>
                            <a:headEnd/>
                            <a:tailEnd/>
                          </a:ln>
                        </wps:spPr>
                        <wps:txbx>
                          <w:txbxContent>
                            <w:p w14:paraId="7F1D9957" w14:textId="77777777" w:rsidR="00A65A8D" w:rsidRPr="00873719" w:rsidRDefault="00A65A8D" w:rsidP="003E691C">
                              <w:pPr>
                                <w:jc w:val="center"/>
                                <w:rPr>
                                  <w:b/>
                                  <w:color w:val="FFFFFF"/>
                                  <w:lang w:val="lt-LT"/>
                                </w:rPr>
                              </w:pPr>
                              <w:r>
                                <w:rPr>
                                  <w:b/>
                                  <w:color w:val="FFFFFF"/>
                                  <w:sz w:val="18"/>
                                  <w:lang w:val="lt-LT"/>
                                </w:rPr>
                                <w:t>Finansinė priemonė</w:t>
                              </w:r>
                            </w:p>
                            <w:p w14:paraId="2D90ADB8" w14:textId="77777777" w:rsidR="00A65A8D" w:rsidRPr="00873719" w:rsidRDefault="00A65A8D" w:rsidP="003E691C">
                              <w:pPr>
                                <w:jc w:val="center"/>
                                <w:rPr>
                                  <w:b/>
                                  <w:color w:val="FFFFFF"/>
                                  <w:lang w:val="lt-LT"/>
                                </w:rPr>
                              </w:pPr>
                            </w:p>
                          </w:txbxContent>
                        </wps:txbx>
                        <wps:bodyPr rot="0" vert="horz" wrap="square" lIns="91440" tIns="45720" rIns="91440" bIns="45720" anchor="t" anchorCtr="0" upright="1">
                          <a:noAutofit/>
                        </wps:bodyPr>
                      </wps:wsp>
                      <wps:wsp>
                        <wps:cNvPr id="180" name="AutoShape 26"/>
                        <wps:cNvCnPr>
                          <a:cxnSpLocks noChangeShapeType="1"/>
                          <a:stCxn id="170" idx="2"/>
                          <a:endCxn id="176" idx="0"/>
                        </wps:cNvCnPr>
                        <wps:spPr bwMode="auto">
                          <a:xfrm>
                            <a:off x="2484157" y="976900"/>
                            <a:ext cx="0" cy="218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AutoShape 10"/>
                        <wps:cNvSpPr>
                          <a:spLocks noChangeArrowheads="1"/>
                        </wps:cNvSpPr>
                        <wps:spPr bwMode="auto">
                          <a:xfrm>
                            <a:off x="1118808" y="180000"/>
                            <a:ext cx="2743618" cy="240600"/>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14:paraId="21D32063" w14:textId="77777777" w:rsidR="00A65A8D" w:rsidRPr="003E691C" w:rsidRDefault="00A65A8D" w:rsidP="003E691C">
                              <w:pPr>
                                <w:pStyle w:val="prastasistinklapis"/>
                                <w:jc w:val="center"/>
                                <w:rPr>
                                  <w:lang w:val="lt-LT"/>
                                </w:rPr>
                              </w:pPr>
                              <w:r>
                                <w:rPr>
                                  <w:rFonts w:ascii="Calibri" w:eastAsia="Calibri" w:hAnsi="Calibri"/>
                                  <w:b/>
                                  <w:bCs/>
                                  <w:sz w:val="16"/>
                                  <w:szCs w:val="16"/>
                                  <w:lang w:val="lt-LT"/>
                                </w:rPr>
                                <w:t>SIŪLOMA STRUKTŪRA</w:t>
                              </w:r>
                            </w:p>
                          </w:txbxContent>
                        </wps:txbx>
                        <wps:bodyPr rot="0" vert="horz" wrap="square" lIns="91440" tIns="45720" rIns="91440" bIns="45720" anchor="t" anchorCtr="0" upright="1">
                          <a:noAutofit/>
                        </wps:bodyPr>
                      </wps:wsp>
                      <wps:wsp>
                        <wps:cNvPr id="275" name="Oval 275"/>
                        <wps:cNvSpPr>
                          <a:spLocks noChangeArrowheads="1"/>
                        </wps:cNvSpPr>
                        <wps:spPr bwMode="auto">
                          <a:xfrm>
                            <a:off x="2608213" y="1811040"/>
                            <a:ext cx="1139825" cy="643890"/>
                          </a:xfrm>
                          <a:prstGeom prst="ellipse">
                            <a:avLst/>
                          </a:prstGeom>
                          <a:solidFill>
                            <a:srgbClr val="FFC000"/>
                          </a:solidFill>
                          <a:ln w="9525">
                            <a:solidFill>
                              <a:srgbClr val="974706"/>
                            </a:solidFill>
                            <a:round/>
                            <a:headEnd/>
                            <a:tailEnd/>
                          </a:ln>
                        </wps:spPr>
                        <wps:txbx>
                          <w:txbxContent>
                            <w:p w14:paraId="5A4B4987" w14:textId="77777777" w:rsidR="00A65A8D" w:rsidRDefault="00A65A8D" w:rsidP="003E691C">
                              <w:pPr>
                                <w:pStyle w:val="prastasistinklapis"/>
                                <w:spacing w:before="0" w:beforeAutospacing="0" w:after="200" w:afterAutospacing="0" w:line="276" w:lineRule="auto"/>
                                <w:jc w:val="center"/>
                              </w:pPr>
                              <w:r>
                                <w:rPr>
                                  <w:rFonts w:ascii="Calibri" w:eastAsia="Calibri" w:hAnsi="Calibri"/>
                                  <w:b/>
                                  <w:bCs/>
                                  <w:color w:val="FFFFFF"/>
                                  <w:sz w:val="18"/>
                                  <w:szCs w:val="18"/>
                                  <w:lang w:val="lt-LT"/>
                                </w:rPr>
                                <w:t>Finansinė priemonė</w:t>
                              </w:r>
                            </w:p>
                            <w:p w14:paraId="1550AFC4" w14:textId="77777777" w:rsidR="00A65A8D" w:rsidRDefault="00A65A8D" w:rsidP="003E691C">
                              <w:pPr>
                                <w:pStyle w:val="prastasistinklapis"/>
                                <w:spacing w:before="0" w:beforeAutospacing="0" w:after="200" w:afterAutospacing="0" w:line="276" w:lineRule="auto"/>
                                <w:jc w:val="center"/>
                              </w:pPr>
                              <w:r>
                                <w:rPr>
                                  <w:rFonts w:ascii="Calibri" w:eastAsia="Calibri" w:hAnsi="Calibri"/>
                                  <w:b/>
                                  <w:bCs/>
                                  <w:color w:val="FFFFFF"/>
                                  <w:sz w:val="22"/>
                                  <w:szCs w:val="22"/>
                                  <w:lang w:val="lt-LT"/>
                                </w:rPr>
                                <w:t> </w:t>
                              </w:r>
                            </w:p>
                          </w:txbxContent>
                        </wps:txbx>
                        <wps:bodyPr rot="0" vert="horz" wrap="square" lIns="91440" tIns="45720" rIns="91440" bIns="45720" anchor="t" anchorCtr="0" upright="1">
                          <a:noAutofit/>
                        </wps:bodyPr>
                      </wps:wsp>
                      <wps:wsp>
                        <wps:cNvPr id="276" name="AutoShape 26"/>
                        <wps:cNvCnPr>
                          <a:cxnSpLocks noChangeShapeType="1"/>
                          <a:stCxn id="176" idx="2"/>
                          <a:endCxn id="177" idx="0"/>
                        </wps:cNvCnPr>
                        <wps:spPr bwMode="auto">
                          <a:xfrm flipH="1">
                            <a:off x="1875861" y="1437340"/>
                            <a:ext cx="608296" cy="373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AutoShape 26"/>
                        <wps:cNvCnPr>
                          <a:cxnSpLocks noChangeShapeType="1"/>
                          <a:stCxn id="176" idx="2"/>
                          <a:endCxn id="275" idx="0"/>
                        </wps:cNvCnPr>
                        <wps:spPr bwMode="auto">
                          <a:xfrm>
                            <a:off x="2484157" y="1437340"/>
                            <a:ext cx="693969" cy="373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AutoShape 26"/>
                        <wps:cNvCnPr>
                          <a:cxnSpLocks noChangeShapeType="1"/>
                        </wps:cNvCnPr>
                        <wps:spPr bwMode="auto">
                          <a:xfrm>
                            <a:off x="1875861" y="2454930"/>
                            <a:ext cx="0" cy="523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AutoShape 26"/>
                        <wps:cNvCnPr>
                          <a:cxnSpLocks noChangeShapeType="1"/>
                        </wps:cNvCnPr>
                        <wps:spPr bwMode="auto">
                          <a:xfrm>
                            <a:off x="3178345" y="2455440"/>
                            <a:ext cx="0"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AutoShape 17"/>
                        <wps:cNvSpPr>
                          <a:spLocks noChangeArrowheads="1"/>
                        </wps:cNvSpPr>
                        <wps:spPr bwMode="auto">
                          <a:xfrm>
                            <a:off x="2469925" y="2557440"/>
                            <a:ext cx="1424305" cy="241300"/>
                          </a:xfrm>
                          <a:prstGeom prst="roundRect">
                            <a:avLst>
                              <a:gd name="adj" fmla="val 16667"/>
                            </a:avLst>
                          </a:prstGeom>
                          <a:solidFill>
                            <a:srgbClr val="E36C0A"/>
                          </a:solidFill>
                          <a:ln w="9525">
                            <a:solidFill>
                              <a:srgbClr val="974706"/>
                            </a:solidFill>
                            <a:prstDash val="dash"/>
                            <a:round/>
                            <a:headEnd/>
                            <a:tailEnd/>
                          </a:ln>
                        </wps:spPr>
                        <wps:txbx>
                          <w:txbxContent>
                            <w:p w14:paraId="15A80165" w14:textId="77777777" w:rsidR="00A65A8D" w:rsidRDefault="00A65A8D" w:rsidP="00F435CE">
                              <w:pPr>
                                <w:pStyle w:val="prastasistinklapis"/>
                                <w:spacing w:before="0" w:beforeAutospacing="0" w:after="0" w:afterAutospacing="0" w:line="276" w:lineRule="auto"/>
                                <w:jc w:val="center"/>
                              </w:pPr>
                              <w:r>
                                <w:rPr>
                                  <w:rFonts w:ascii="Calibri" w:eastAsia="Calibri" w:hAnsi="Calibri"/>
                                  <w:b/>
                                  <w:bCs/>
                                  <w:color w:val="FFFFFF"/>
                                  <w:sz w:val="16"/>
                                  <w:szCs w:val="16"/>
                                  <w:lang w:val="en-US"/>
                                </w:rPr>
                                <w:t>Finansinis tarpininkas</w:t>
                              </w:r>
                            </w:p>
                          </w:txbxContent>
                        </wps:txbx>
                        <wps:bodyPr rot="0" vert="horz" wrap="square" lIns="91440" tIns="45720" rIns="91440" bIns="45720" anchor="t" anchorCtr="0" upright="1">
                          <a:noAutofit/>
                        </wps:bodyPr>
                      </wps:wsp>
                      <wps:wsp>
                        <wps:cNvPr id="220" name="AutoShape 26"/>
                        <wps:cNvCnPr>
                          <a:cxnSpLocks noChangeShapeType="1"/>
                          <a:stCxn id="275" idx="4"/>
                          <a:endCxn id="217" idx="0"/>
                        </wps:cNvCnPr>
                        <wps:spPr bwMode="auto">
                          <a:xfrm>
                            <a:off x="3178126" y="2454930"/>
                            <a:ext cx="3952" cy="102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_x0000_s1167" editas="canvas" style="width:451.35pt;height:287.55pt;mso-position-horizontal-relative:char;mso-position-vertical-relative:line" coordsize="57321,36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">
                <v:shape id="_x0000_s1168" type="#_x0000_t75" style="position:absolute;width:57321;height:36518;visibility:visible;mso-wrap-style:square">
                  <v:fill o:detectmouseclick="t"/>
                  <v:path o:connecttype="none"/>
                </v:shape>
                <v:rect id="Rectangle 8" o:spid="_x0000_s1169" style="position:absolute;left:9223;top:5907;width:32327;height:30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iIL8A&#10;AADcAAAADwAAAGRycy9kb3ducmV2LnhtbERPy6rCMBDdX/AfwgjurqlXEKlGEUEQ3fgCcTc2Y1ts&#10;JiXJtfXvjSC4m8N5znTemko8yPnSsoJBPwFBnFldcq7gdFz9jkH4gKyxskwKnuRhPuv8TDHVtuE9&#10;PQ4hFzGEfYoKihDqVEqfFWTQ921NHLmbdQZDhC6X2mETw00l/5JkJA2WHBsKrGlZUHY//BsF9WVD&#10;uglantuju67ddrHb5julet12MQERqA1f8ce91nH+aAjvZ+IF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mIgvwAAANwAAAAPAAAAAAAAAAAAAAAAAJgCAABkcnMvZG93bnJl&#10;di54bWxQSwUGAAAAAAQABAD1AAAAhAMAAAAA&#10;" strokecolor="#e36c0a" strokeweight="1.5pt"/>
                <v:roundrect id="AutoShape 11" o:spid="_x0000_s1170" style="position:absolute;left:11644;top:7357;width:26395;height:24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3O8MA&#10;AADcAAAADwAAAGRycy9kb3ducmV2LnhtbESPQWsCMRCF74X+hzAFbzVbES1bo0ip4K2ulZ6HzZgs&#10;bibLJnW3/fWdg+BthvfmvW9WmzG06kp9aiIbeJkWoIjraBt2Bk5fu+dXUCkjW2wjk4FfSrBZPz6s&#10;sLRx4Iqux+yUhHAq0YDPuSu1TrWngGkaO2LRzrEPmGXtnbY9DhIeWj0rioUO2LA0eOzo3VN9Of4E&#10;A876bXX4dNVH4ebplBcz/Bu+jZk8jds3UJnGfDffrvdW8JeCL8/IBH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F3O8MAAADcAAAADwAAAAAAAAAAAAAAAACYAgAAZHJzL2Rv&#10;d25yZXYueG1sUEsFBgAAAAAEAAQA9QAAAIgDAAAAAA==&#10;" fillcolor="#e36c0a" strokecolor="#974706">
                  <v:textbox>
                    <w:txbxContent>
                      <w:p w14:paraId="0EE8B2D9" w14:textId="77777777" w:rsidR="00A65A8D" w:rsidRDefault="00A65A8D" w:rsidP="003E691C">
                        <w:pPr>
                          <w:spacing w:after="0" w:line="240" w:lineRule="auto"/>
                          <w:jc w:val="center"/>
                          <w:rPr>
                            <w:b/>
                            <w:color w:val="FFFFFF"/>
                            <w:sz w:val="16"/>
                            <w:szCs w:val="16"/>
                          </w:rPr>
                        </w:pPr>
                        <w:r>
                          <w:rPr>
                            <w:b/>
                            <w:color w:val="FFFFFF"/>
                            <w:sz w:val="16"/>
                            <w:szCs w:val="16"/>
                          </w:rPr>
                          <w:t>Vadovaujančioji institucija</w:t>
                        </w:r>
                      </w:p>
                    </w:txbxContent>
                  </v:textbox>
                </v:roundrect>
                <v:roundrect id="AutoShape 14" o:spid="_x0000_s1171" style="position:absolute;left:11391;top:29789;width:26648;height:46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9M18AA&#10;AADcAAAADwAAAGRycy9kb3ducmV2LnhtbERP32vCMBB+H/g/hBN8m6lFnFSjiDjwbauKz0dzJsXm&#10;UprM1v31y2Cwt/v4ft56O7hGPKgLtWcFs2kGgrjyumaj4HJ+f12CCBFZY+OZFDwpwHYzelljoX3P&#10;JT1O0YgUwqFABTbGtpAyVJYchqlviRN3853DmGBnpO6wT+GukXmWLaTDmlODxZb2lqr76cspMNru&#10;ys8PUx4yMw+XuMjxu78qNRkPuxWISEP8F/+5jzrNf8vh95l0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9M18AAAADcAAAADwAAAAAAAAAAAAAAAACYAgAAZHJzL2Rvd25y&#10;ZXYueG1sUEsFBgAAAAAEAAQA9QAAAIUDAAAAAA==&#10;" fillcolor="#e36c0a" strokecolor="#974706">
                  <v:textbox>
                    <w:txbxContent>
                      <w:p w14:paraId="7DDCEEEA" w14:textId="77777777" w:rsidR="00A65A8D" w:rsidRDefault="00A65A8D" w:rsidP="003E691C">
                        <w:pPr>
                          <w:spacing w:after="0" w:line="240" w:lineRule="auto"/>
                          <w:jc w:val="center"/>
                          <w:rPr>
                            <w:b/>
                            <w:color w:val="FFFFFF"/>
                            <w:sz w:val="16"/>
                            <w:szCs w:val="16"/>
                          </w:rPr>
                        </w:pPr>
                        <w:r>
                          <w:rPr>
                            <w:b/>
                            <w:color w:val="FFFFFF"/>
                            <w:sz w:val="16"/>
                            <w:szCs w:val="16"/>
                          </w:rPr>
                          <w:t>Galutiniai paramos</w:t>
                        </w:r>
                      </w:p>
                      <w:p w14:paraId="1FC67082" w14:textId="77777777" w:rsidR="00A65A8D" w:rsidRDefault="00A65A8D" w:rsidP="003E691C">
                        <w:pPr>
                          <w:spacing w:after="0" w:line="240" w:lineRule="auto"/>
                          <w:jc w:val="center"/>
                          <w:rPr>
                            <w:b/>
                            <w:color w:val="FFFFFF"/>
                            <w:sz w:val="16"/>
                            <w:szCs w:val="16"/>
                          </w:rPr>
                        </w:pPr>
                        <w:r>
                          <w:rPr>
                            <w:b/>
                            <w:color w:val="FFFFFF"/>
                            <w:sz w:val="16"/>
                            <w:szCs w:val="16"/>
                          </w:rPr>
                          <w:t xml:space="preserve"> gavėjai</w:t>
                        </w:r>
                      </w:p>
                      <w:p w14:paraId="1AD6FB7A" w14:textId="77777777" w:rsidR="00A65A8D" w:rsidRDefault="00A65A8D" w:rsidP="003E691C">
                        <w:pPr>
                          <w:spacing w:after="0" w:line="240" w:lineRule="auto"/>
                          <w:jc w:val="center"/>
                          <w:rPr>
                            <w:b/>
                            <w:color w:val="FFFFFF"/>
                            <w:sz w:val="16"/>
                            <w:szCs w:val="16"/>
                          </w:rPr>
                        </w:pPr>
                      </w:p>
                    </w:txbxContent>
                  </v:textbox>
                </v:roundrect>
                <v:roundrect id="AutoShape 18" o:spid="_x0000_s1172" style="position:absolute;left:11644;top:11953;width:26395;height:2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K1MAA&#10;AADcAAAADwAAAGRycy9kb3ducmV2LnhtbERP32vCMBB+H/g/hBN8m6kinVSjiDjwbauKz0dzJsXm&#10;UprM1v31y2Cwt/v4ft56O7hGPKgLtWcFs2kGgrjyumaj4HJ+f12CCBFZY+OZFDwpwHYzelljoX3P&#10;JT1O0YgUwqFABTbGtpAyVJYchqlviRN3853DmGBnpO6wT+GukfMsy6XDmlODxZb2lqr76cspMNru&#10;ys8PUx4yswiXmM/xu78qNRkPuxWISEP8F/+5jzrNf8vh95l0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RK1MAAAADcAAAADwAAAAAAAAAAAAAAAACYAgAAZHJzL2Rvd25y&#10;ZXYueG1sUEsFBgAAAAAEAAQA9QAAAIUDAAAAAA==&#10;" fillcolor="#e36c0a" strokecolor="#974706">
                  <v:textbox>
                    <w:txbxContent>
                      <w:p w14:paraId="20DF2238" w14:textId="77777777" w:rsidR="00A65A8D" w:rsidRDefault="00A65A8D" w:rsidP="003E691C">
                        <w:pPr>
                          <w:spacing w:after="0" w:line="240" w:lineRule="auto"/>
                          <w:jc w:val="center"/>
                          <w:rPr>
                            <w:b/>
                            <w:color w:val="FFFFFF"/>
                            <w:sz w:val="16"/>
                            <w:szCs w:val="16"/>
                          </w:rPr>
                        </w:pPr>
                        <w:r>
                          <w:rPr>
                            <w:b/>
                            <w:color w:val="FFFFFF"/>
                            <w:sz w:val="16"/>
                            <w:szCs w:val="16"/>
                          </w:rPr>
                          <w:t>Fondų fondas</w:t>
                        </w:r>
                      </w:p>
                    </w:txbxContent>
                  </v:textbox>
                </v:roundrect>
                <v:oval id="Oval 20" o:spid="_x0000_s1173" style="position:absolute;left:13057;top:18110;width:11402;height:6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hC8MA&#10;AADcAAAADwAAAGRycy9kb3ducmV2LnhtbERPTWvCQBC9C/6HZYTedGMIVWJWKdJixENRe6i3MTsm&#10;odnZkN1q+u9doeBtHu9zslVvGnGlztWWFUwnEQjiwuqaSwVfx4/xHITzyBoby6TgjxyslsNBhqm2&#10;N97T9eBLEULYpaig8r5NpXRFRQbdxLbEgbvYzqAPsCul7vAWwk0j4yh6lQZrDg0VtrSuqPg5/BoF&#10;8enzvGu3yebbJ67Z7LYRzvN3pV5G/dsChKfeP8X/7lyH+bMZPJ4JF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nhC8MAAADcAAAADwAAAAAAAAAAAAAAAACYAgAAZHJzL2Rv&#10;d25yZXYueG1sUEsFBgAAAAAEAAQA9QAAAIgDAAAAAA==&#10;" fillcolor="#ffc000" strokecolor="#974706">
                  <v:textbox>
                    <w:txbxContent>
                      <w:p w14:paraId="7F1D9957" w14:textId="77777777" w:rsidR="00A65A8D" w:rsidRPr="00873719" w:rsidRDefault="00A65A8D" w:rsidP="003E691C">
                        <w:pPr>
                          <w:jc w:val="center"/>
                          <w:rPr>
                            <w:b/>
                            <w:color w:val="FFFFFF"/>
                            <w:lang w:val="lt-LT"/>
                          </w:rPr>
                        </w:pPr>
                        <w:r>
                          <w:rPr>
                            <w:b/>
                            <w:color w:val="FFFFFF"/>
                            <w:sz w:val="18"/>
                            <w:lang w:val="lt-LT"/>
                          </w:rPr>
                          <w:t>Finansinė priemonė</w:t>
                        </w:r>
                      </w:p>
                      <w:p w14:paraId="2D90ADB8" w14:textId="77777777" w:rsidR="00A65A8D" w:rsidRPr="00873719" w:rsidRDefault="00A65A8D" w:rsidP="003E691C">
                        <w:pPr>
                          <w:jc w:val="center"/>
                          <w:rPr>
                            <w:b/>
                            <w:color w:val="FFFFFF"/>
                            <w:lang w:val="lt-LT"/>
                          </w:rPr>
                        </w:pPr>
                      </w:p>
                    </w:txbxContent>
                  </v:textbox>
                </v:oval>
                <v:shape id="AutoShape 26" o:spid="_x0000_s1174" type="#_x0000_t32" style="position:absolute;left:24841;top:9769;width:0;height:21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tzsYAAADcAAAADwAAAGRycy9kb3ducmV2LnhtbESPQWvCQBCF70L/wzKF3nRjD0Wjq0ih&#10;pVg8VCXobciOSTA7G3ZXjf76zqHQ2wzvzXvfzJe9a9WVQmw8GxiPMlDEpbcNVwb2u4/hBFRMyBZb&#10;z2TgThGWi6fBHHPrb/xD122qlIRwzNFAnVKXax3LmhzGke+IRTv54DDJGiptA94k3LX6NcvetMOG&#10;paHGjt5rKs/bizNw+J5einuxoXUxnq6PGFx87D6NeXnuVzNQifr0b/67/rKCPxF8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sLc7GAAAA3AAAAA8AAAAAAAAA&#10;AAAAAAAAoQIAAGRycy9kb3ducmV2LnhtbFBLBQYAAAAABAAEAPkAAACUAwAAAAA=&#10;">
                  <v:stroke endarrow="block"/>
                </v:shape>
                <v:roundrect id="AutoShape 10" o:spid="_x0000_s1175" style="position:absolute;left:11188;top:1800;width:27436;height:24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CNMEA&#10;AADcAAAADwAAAGRycy9kb3ducmV2LnhtbERPPWvDMBDdC/kP4gLdarkdjHGimNQ00K2pk8XbYV1s&#10;E+vkSmrs/vuoUOh2j/d523Ixo7iR84NlBc9JCoK4tXrgTsH5dHjKQfiArHG0TAp+yEO5Wz1ssdB2&#10;5k+61aETMYR9gQr6EKZCSt/2ZNAndiKO3MU6gyFC10ntcI7hZpQvaZpJgwPHhh4nqnpqr/W3UfA1&#10;uNdDZd2xzbL67eQ/mhGnRqnH9bLfgAi0hH/xn/tdx/l5Br/PxAvk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DwjTBAAAA3AAAAA8AAAAAAAAAAAAAAAAAmAIAAGRycy9kb3du&#10;cmV2LnhtbFBLBQYAAAAABAAEAPUAAACGAwAAAAA=&#10;" fillcolor="white [3201]" strokecolor="#f79646 [3209]" strokeweight="2pt">
                  <v:textbox>
                    <w:txbxContent>
                      <w:p w14:paraId="21D32063" w14:textId="77777777" w:rsidR="00A65A8D" w:rsidRPr="003E691C" w:rsidRDefault="00A65A8D" w:rsidP="003E691C">
                        <w:pPr>
                          <w:pStyle w:val="prastasistinklapis"/>
                          <w:jc w:val="center"/>
                          <w:rPr>
                            <w:lang w:val="lt-LT"/>
                          </w:rPr>
                        </w:pPr>
                        <w:r>
                          <w:rPr>
                            <w:rFonts w:ascii="Calibri" w:eastAsia="Calibri" w:hAnsi="Calibri"/>
                            <w:b/>
                            <w:bCs/>
                            <w:sz w:val="16"/>
                            <w:szCs w:val="16"/>
                            <w:lang w:val="lt-LT"/>
                          </w:rPr>
                          <w:t>SIŪLOMA STRUKTŪRA</w:t>
                        </w:r>
                      </w:p>
                    </w:txbxContent>
                  </v:textbox>
                </v:roundrect>
                <v:oval id="Oval 275" o:spid="_x0000_s1176" style="position:absolute;left:26082;top:18110;width:11398;height:6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7m8YA&#10;AADcAAAADwAAAGRycy9kb3ducmV2LnhtbESPQWvCQBSE70L/w/IK3nTTEK2krlJKJYoHadqD3l6z&#10;r0lo9m3Irib9911B8DjMfDPMcj2YRlyoc7VlBU/TCARxYXXNpYKvz81kAcJ5ZI2NZVLwRw7Wq4fR&#10;ElNte/6gS+5LEUrYpaig8r5NpXRFRQbd1LbEwfuxnUEfZFdK3WEfyk0j4yiaS4M1h4UKW3qrqPjN&#10;z0ZBfDp879tdkh194ppsv4twsX1Xavw4vL6A8DT4e/hGb3XgnmdwPROO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K7m8YAAADcAAAADwAAAAAAAAAAAAAAAACYAgAAZHJz&#10;L2Rvd25yZXYueG1sUEsFBgAAAAAEAAQA9QAAAIsDAAAAAA==&#10;" fillcolor="#ffc000" strokecolor="#974706">
                  <v:textbox>
                    <w:txbxContent>
                      <w:p w14:paraId="5A4B4987" w14:textId="77777777" w:rsidR="00A65A8D" w:rsidRDefault="00A65A8D" w:rsidP="003E691C">
                        <w:pPr>
                          <w:pStyle w:val="prastasistinklapis"/>
                          <w:spacing w:before="0" w:beforeAutospacing="0" w:after="200" w:afterAutospacing="0" w:line="276" w:lineRule="auto"/>
                          <w:jc w:val="center"/>
                        </w:pPr>
                        <w:r>
                          <w:rPr>
                            <w:rFonts w:ascii="Calibri" w:eastAsia="Calibri" w:hAnsi="Calibri"/>
                            <w:b/>
                            <w:bCs/>
                            <w:color w:val="FFFFFF"/>
                            <w:sz w:val="18"/>
                            <w:szCs w:val="18"/>
                            <w:lang w:val="lt-LT"/>
                          </w:rPr>
                          <w:t>Finansinė priemonė</w:t>
                        </w:r>
                      </w:p>
                      <w:p w14:paraId="1550AFC4" w14:textId="77777777" w:rsidR="00A65A8D" w:rsidRDefault="00A65A8D" w:rsidP="003E691C">
                        <w:pPr>
                          <w:pStyle w:val="prastasistinklapis"/>
                          <w:spacing w:before="0" w:beforeAutospacing="0" w:after="200" w:afterAutospacing="0" w:line="276" w:lineRule="auto"/>
                          <w:jc w:val="center"/>
                        </w:pPr>
                        <w:r>
                          <w:rPr>
                            <w:rFonts w:ascii="Calibri" w:eastAsia="Calibri" w:hAnsi="Calibri"/>
                            <w:b/>
                            <w:bCs/>
                            <w:color w:val="FFFFFF"/>
                            <w:sz w:val="22"/>
                            <w:szCs w:val="22"/>
                            <w:lang w:val="lt-LT"/>
                          </w:rPr>
                          <w:t> </w:t>
                        </w:r>
                      </w:p>
                    </w:txbxContent>
                  </v:textbox>
                </v:oval>
                <v:shape id="AutoShape 26" o:spid="_x0000_s1177" type="#_x0000_t32" style="position:absolute;left:18758;top:14373;width:6083;height:37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hKOcQAAADcAAAADwAAAGRycy9kb3ducmV2LnhtbESPwWrDMBBE74X+g9hCbrVcQ9LiRDFp&#10;oBByCU0K7XGxNraItTKWajl/HwUKPQ4z84ZZVZPtxEiDN44VvGQ5COLaacONgq/Tx/MbCB+QNXaO&#10;ScGVPFTrx4cVltpF/qTxGBqRIOxLVNCG0JdS+roliz5zPXHyzm6wGJIcGqkHjAluO1nk+UJaNJwW&#10;Wuxp21J9Of5aBSYezNjvtvF9//3jdSRznTuj1Oxp2ixBBJrCf/ivvdMKitc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KEo5xAAAANwAAAAPAAAAAAAAAAAA&#10;AAAAAKECAABkcnMvZG93bnJldi54bWxQSwUGAAAAAAQABAD5AAAAkgMAAAAA&#10;">
                  <v:stroke endarrow="block"/>
                </v:shape>
                <v:shape id="AutoShape 26" o:spid="_x0000_s1178" type="#_x0000_t32" style="position:absolute;left:24841;top:14373;width:6940;height:3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k4cYAAADcAAAADwAAAGRycy9kb3ducmV2LnhtbESPT2sCMRTE70K/Q3gFb5rVg39Wo5RC&#10;iyge1LLU22Pzurt087IkUVc/vREEj8PM/IaZL1tTizM5X1lWMOgnIIhzqysuFPwcvnoTED4ga6wt&#10;k4IreVgu3jpzTLW98I7O+1CICGGfooIyhCaV0uclGfR92xBH7886gyFKV0jt8BLhppbDJBlJgxXH&#10;hRIb+iwp/9+fjILfzfSUXbMtrbPBdH1EZ/zt8K1U9739mIEI1IZX+NleaQXD8Rge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1pOHGAAAA3AAAAA8AAAAAAAAA&#10;AAAAAAAAoQIAAGRycy9kb3ducmV2LnhtbFBLBQYAAAAABAAEAPkAAACUAwAAAAA=&#10;">
                  <v:stroke endarrow="block"/>
                </v:shape>
                <v:shape id="AutoShape 26" o:spid="_x0000_s1179" type="#_x0000_t32" style="position:absolute;left:18758;top:24549;width:0;height:5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wk8IAAADcAAAADwAAAGRycy9kb3ducmV2LnhtbERPTYvCMBC9L/gfwgje1lQPulajiKCI&#10;4mF1KXobmrEtNpOSRK376zcHYY+P9z1btKYWD3K+sqxg0E9AEOdWV1wo+DmtP79A+ICssbZMCl7k&#10;YTHvfMww1fbJ3/Q4hkLEEPYpKihDaFIpfV6SQd+3DXHkrtYZDBG6QmqHzxhuajlMkpE0WHFsKLGh&#10;VUn57Xg3Cs77yT17ZQfaZYPJ7oLO+N/TRqlet11OQQRqw7/47d5qBcNxXBvPxCM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owk8IAAADcAAAADwAAAAAAAAAAAAAA&#10;AAChAgAAZHJzL2Rvd25yZXYueG1sUEsFBgAAAAAEAAQA+QAAAJADAAAAAA==&#10;">
                  <v:stroke endarrow="block"/>
                </v:shape>
                <v:shape id="AutoShape 26" o:spid="_x0000_s1180" type="#_x0000_t32" style="position:absolute;left:31783;top:24554;width:0;height:5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aVCMYAAADcAAAADwAAAGRycy9kb3ducmV2LnhtbESPT2vCQBTE7wW/w/KE3upGD62JrlIK&#10;FbF48A+hvT2yzyQ0+zbsrhr99K4geBxm5jfMdN6ZRpzI+dqyguEgAUFcWF1zqWC/+34bg/ABWWNj&#10;mRRcyMN81nuZYqbtmTd02oZSRAj7DBVUIbSZlL6oyKAf2JY4egfrDIYoXSm1w3OEm0aOkuRdGqw5&#10;LlTY0ldFxf/2aBT8/qTH/JKvaZUP09UfOuOvu4VSr/3ucwIiUBee4Ud7qRWMPlK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mlQjGAAAA3AAAAA8AAAAAAAAA&#10;AAAAAAAAoQIAAGRycy9kb3ducmV2LnhtbFBLBQYAAAAABAAEAPkAAACUAwAAAAA=&#10;">
                  <v:stroke endarrow="block"/>
                </v:shape>
                <v:roundrect id="AutoShape 17" o:spid="_x0000_s1181" style="position:absolute;left:24699;top:25574;width:14243;height:24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9O6sYA&#10;AADcAAAADwAAAGRycy9kb3ducmV2LnhtbESP0WrCQBRE34X+w3ILvkjdKNSW6CZINcUHW2jMB1yy&#10;t0lo9m6aXWP8+25B8HGYmTPMJh1NKwbqXWNZwWIegSAurW64UlCcsqdXEM4ja2wtk4IrOUiTh8kG&#10;Y20v/EVD7isRIOxiVFB738VSurImg25uO+LgfdveoA+yr6Tu8RLgppXLKFpJgw2HhRo7equp/MnP&#10;RsHwvOv21+1BYla8u99jNjMf+adS08dxuwbhafT38K190AqWixf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9O6sYAAADcAAAADwAAAAAAAAAAAAAAAACYAgAAZHJz&#10;L2Rvd25yZXYueG1sUEsFBgAAAAAEAAQA9QAAAIsDAAAAAA==&#10;" fillcolor="#e36c0a" strokecolor="#974706">
                  <v:stroke dashstyle="dash"/>
                  <v:textbox>
                    <w:txbxContent>
                      <w:p w14:paraId="15A80165" w14:textId="77777777" w:rsidR="00A65A8D" w:rsidRDefault="00A65A8D" w:rsidP="00F435CE">
                        <w:pPr>
                          <w:pStyle w:val="prastasistinklapis"/>
                          <w:spacing w:before="0" w:beforeAutospacing="0" w:after="0" w:afterAutospacing="0" w:line="276" w:lineRule="auto"/>
                          <w:jc w:val="center"/>
                        </w:pPr>
                        <w:r>
                          <w:rPr>
                            <w:rFonts w:ascii="Calibri" w:eastAsia="Calibri" w:hAnsi="Calibri"/>
                            <w:b/>
                            <w:bCs/>
                            <w:color w:val="FFFFFF"/>
                            <w:sz w:val="16"/>
                            <w:szCs w:val="16"/>
                            <w:lang w:val="en-US"/>
                          </w:rPr>
                          <w:t>Finansinis tarpininkas</w:t>
                        </w:r>
                      </w:p>
                    </w:txbxContent>
                  </v:textbox>
                </v:roundrect>
                <v:shape id="AutoShape 26" o:spid="_x0000_s1182" type="#_x0000_t32" style="position:absolute;left:31781;top:24549;width:39;height:10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8TiMIAAADcAAAADwAAAGRycy9kb3ducmV2LnhtbERPy4rCMBTdD/gP4QruxtQuZKxGEcFh&#10;UGbhg6K7S3Nti81NSaJWv94sBmZ5OO/ZojONuJPztWUFo2ECgriwuuZSwfGw/vwC4QOyxsYyKXiS&#10;h8W89zHDTNsH7+i+D6WIIewzVFCF0GZS+qIig35oW+LIXawzGCJ0pdQOHzHcNDJNkrE0WHNsqLCl&#10;VUXFdX8zCk7byS1/5r+0yUeTzRmd8a/Dt1KDfrecggjUhX/xn/tHK0jTOD+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8TiMIAAADcAAAADwAAAAAAAAAAAAAA&#10;AAChAgAAZHJzL2Rvd25yZXYueG1sUEsFBgAAAAAEAAQA+QAAAJADAAAAAA==&#10;">
                  <v:stroke endarrow="block"/>
                </v:shape>
                <w10:anchorlock/>
              </v:group>
            </w:pict>
          </mc:Fallback>
        </mc:AlternateContent>
      </w:r>
    </w:p>
    <w:p w14:paraId="71CC8324" w14:textId="27BA45B1" w:rsidR="003E691C" w:rsidRPr="00F435CE" w:rsidRDefault="003E691C" w:rsidP="003E691C">
      <w:pPr>
        <w:pStyle w:val="Antrat"/>
        <w:rPr>
          <w:lang w:val="lt-LT"/>
        </w:rPr>
      </w:pPr>
      <w:bookmarkStart w:id="388" w:name="_Toc417378339"/>
      <w:r w:rsidRPr="00F435CE">
        <w:rPr>
          <w:lang w:val="lt-LT"/>
        </w:rPr>
        <w:lastRenderedPageBreak/>
        <w:t xml:space="preserve">Paveikslas </w:t>
      </w:r>
      <w:r w:rsidRPr="00F435CE">
        <w:rPr>
          <w:lang w:val="lt-LT"/>
        </w:rPr>
        <w:fldChar w:fldCharType="begin"/>
      </w:r>
      <w:r w:rsidRPr="00F435CE">
        <w:rPr>
          <w:lang w:val="lt-LT"/>
        </w:rPr>
        <w:instrText xml:space="preserve"> SEQ Paveikslas \* ARABIC </w:instrText>
      </w:r>
      <w:r w:rsidRPr="00F435CE">
        <w:rPr>
          <w:lang w:val="lt-LT"/>
        </w:rPr>
        <w:fldChar w:fldCharType="separate"/>
      </w:r>
      <w:r w:rsidR="00AA3082">
        <w:rPr>
          <w:noProof/>
          <w:lang w:val="lt-LT"/>
        </w:rPr>
        <w:t>62</w:t>
      </w:r>
      <w:r w:rsidRPr="00F435CE">
        <w:rPr>
          <w:lang w:val="lt-LT"/>
        </w:rPr>
        <w:fldChar w:fldCharType="end"/>
      </w:r>
      <w:r w:rsidRPr="00F435CE">
        <w:rPr>
          <w:lang w:val="lt-LT"/>
        </w:rPr>
        <w:t>. Siūloma valdymo struktūra fondų fondui.</w:t>
      </w:r>
      <w:bookmarkEnd w:id="388"/>
    </w:p>
    <w:p w14:paraId="4DCFF6E3" w14:textId="77777777" w:rsidR="003E691C" w:rsidRDefault="003E691C" w:rsidP="00151543">
      <w:pPr>
        <w:jc w:val="both"/>
        <w:rPr>
          <w:rFonts w:ascii="Georgia" w:eastAsia="Times New Roman" w:hAnsi="Georgia" w:cs="Times New Roman"/>
          <w:sz w:val="20"/>
          <w:szCs w:val="20"/>
          <w:lang w:val="lt-LT" w:eastAsia="lt-LT"/>
        </w:rPr>
      </w:pPr>
    </w:p>
    <w:p w14:paraId="3E3F3137" w14:textId="77777777" w:rsidR="00151543" w:rsidRPr="00F435CE" w:rsidRDefault="003E691C" w:rsidP="00151543">
      <w:pPr>
        <w:jc w:val="both"/>
        <w:rPr>
          <w:rFonts w:ascii="Georgia" w:hAnsi="Georgia"/>
          <w:sz w:val="20"/>
          <w:szCs w:val="20"/>
          <w:lang w:val="lt-LT"/>
        </w:rPr>
      </w:pPr>
      <w:r w:rsidRPr="00F435CE">
        <w:rPr>
          <w:rFonts w:ascii="Georgia" w:hAnsi="Georgia"/>
          <w:sz w:val="20"/>
          <w:szCs w:val="20"/>
          <w:lang w:val="lt-LT"/>
        </w:rPr>
        <w:t xml:space="preserve">Ankstesnėse analizės dalyse jau buvo konstatuota, kad 2014-2020 m. periodu yra labai svarbu pritraukti papildomų privačių lėšų siekiant didinti investicijas į energijos efektyvumo projektus. Trys principiniai modeliai tiek fondų fondo kūrimui, tiek ir privačių lėšų pritraukimo mechanizmo kūrimui buvo aprašyti 3 skyriuje. Žemiau yra aprašoma, kaip veiktų kiekviena iš šių principinių schemų </w:t>
      </w:r>
      <w:r w:rsidR="00F435CE" w:rsidRPr="00F435CE">
        <w:rPr>
          <w:rFonts w:ascii="Georgia" w:hAnsi="Georgia"/>
          <w:sz w:val="20"/>
          <w:szCs w:val="20"/>
          <w:lang w:val="lt-LT"/>
        </w:rPr>
        <w:t>centrinės</w:t>
      </w:r>
      <w:r w:rsidRPr="00F435CE">
        <w:rPr>
          <w:rFonts w:ascii="Georgia" w:hAnsi="Georgia"/>
          <w:sz w:val="20"/>
          <w:szCs w:val="20"/>
          <w:lang w:val="lt-LT"/>
        </w:rPr>
        <w:t xml:space="preserve"> valdžios pastatų ir gatvių apšvietimo modernizavimo projektų atveju. Įvertinus kiekvieną iš principinių modelių yra pasirenkama rekomenduotina optimaliausia alternatyva. Analizuojamos šios fondo veiklos alternatyvos</w:t>
      </w:r>
      <w:r w:rsidR="00151543" w:rsidRPr="00F435CE">
        <w:rPr>
          <w:rFonts w:ascii="Georgia" w:eastAsia="Times New Roman" w:hAnsi="Georgia" w:cs="Times New Roman"/>
          <w:sz w:val="20"/>
          <w:szCs w:val="20"/>
          <w:lang w:val="lt-LT" w:eastAsia="lt-LT"/>
        </w:rPr>
        <w:t>:</w:t>
      </w:r>
    </w:p>
    <w:p w14:paraId="194FE127" w14:textId="77777777" w:rsidR="00151543" w:rsidRPr="00F435CE" w:rsidRDefault="00931E47" w:rsidP="00C03122">
      <w:pPr>
        <w:pStyle w:val="Sraopastraipa"/>
        <w:numPr>
          <w:ilvl w:val="6"/>
          <w:numId w:val="33"/>
        </w:numPr>
        <w:ind w:left="426" w:hanging="426"/>
        <w:jc w:val="both"/>
        <w:rPr>
          <w:rFonts w:ascii="Georgia" w:hAnsi="Georgia"/>
          <w:sz w:val="20"/>
          <w:szCs w:val="20"/>
          <w:lang w:val="lt-LT"/>
        </w:rPr>
      </w:pPr>
      <w:r w:rsidRPr="00F435CE">
        <w:rPr>
          <w:rFonts w:ascii="Georgia" w:eastAsia="Times New Roman" w:hAnsi="Georgia" w:cs="Times New Roman"/>
          <w:sz w:val="20"/>
          <w:szCs w:val="20"/>
          <w:lang w:val="lt-LT" w:eastAsia="lt-LT"/>
        </w:rPr>
        <w:t>Fondų fondo sukūrimas</w:t>
      </w:r>
      <w:r w:rsidR="00151543" w:rsidRPr="00F435CE">
        <w:rPr>
          <w:rFonts w:ascii="Georgia" w:eastAsia="Times New Roman" w:hAnsi="Georgia" w:cs="Times New Roman"/>
          <w:sz w:val="20"/>
          <w:szCs w:val="20"/>
          <w:lang w:val="lt-LT" w:eastAsia="lt-LT"/>
        </w:rPr>
        <w:t xml:space="preserve">; </w:t>
      </w:r>
    </w:p>
    <w:p w14:paraId="287D444D" w14:textId="77777777" w:rsidR="00151543" w:rsidRPr="00F435CE" w:rsidRDefault="00151543" w:rsidP="00C03122">
      <w:pPr>
        <w:pStyle w:val="Sraopastraipa"/>
        <w:numPr>
          <w:ilvl w:val="6"/>
          <w:numId w:val="33"/>
        </w:numPr>
        <w:ind w:left="426" w:hanging="426"/>
        <w:jc w:val="both"/>
        <w:rPr>
          <w:rFonts w:ascii="Georgia" w:hAnsi="Georgia"/>
          <w:sz w:val="20"/>
          <w:szCs w:val="20"/>
          <w:lang w:val="lt-LT"/>
        </w:rPr>
      </w:pPr>
      <w:r w:rsidRPr="00F435CE">
        <w:rPr>
          <w:rFonts w:ascii="Georgia" w:eastAsia="Times New Roman" w:hAnsi="Georgia" w:cs="Times New Roman"/>
          <w:sz w:val="20"/>
          <w:szCs w:val="20"/>
          <w:lang w:val="lt-LT" w:eastAsia="lt-LT"/>
        </w:rPr>
        <w:t>Juridinio asmens statusą turinčio fondo steigimas</w:t>
      </w:r>
      <w:r w:rsidR="0050613B">
        <w:rPr>
          <w:rFonts w:ascii="Georgia" w:eastAsia="Times New Roman" w:hAnsi="Georgia" w:cs="Times New Roman"/>
          <w:sz w:val="20"/>
          <w:szCs w:val="20"/>
          <w:lang w:val="lt-LT" w:eastAsia="lt-LT"/>
        </w:rPr>
        <w:t xml:space="preserve"> (pvz. rizikos pasidalijimo fondo)</w:t>
      </w:r>
      <w:r w:rsidRPr="00F435CE">
        <w:rPr>
          <w:rFonts w:ascii="Georgia" w:eastAsia="Times New Roman" w:hAnsi="Georgia" w:cs="Times New Roman"/>
          <w:sz w:val="20"/>
          <w:szCs w:val="20"/>
          <w:lang w:val="lt-LT" w:eastAsia="lt-LT"/>
        </w:rPr>
        <w:t>;</w:t>
      </w:r>
    </w:p>
    <w:p w14:paraId="68B1FB1D" w14:textId="77777777" w:rsidR="00151543" w:rsidRPr="00F435CE" w:rsidRDefault="00931E47" w:rsidP="00C03122">
      <w:pPr>
        <w:pStyle w:val="Sraopastraipa"/>
        <w:numPr>
          <w:ilvl w:val="6"/>
          <w:numId w:val="33"/>
        </w:numPr>
        <w:ind w:left="426" w:hanging="426"/>
        <w:jc w:val="both"/>
        <w:rPr>
          <w:rFonts w:ascii="Georgia" w:hAnsi="Georgia"/>
          <w:sz w:val="20"/>
          <w:szCs w:val="20"/>
          <w:lang w:val="lt-LT"/>
        </w:rPr>
      </w:pPr>
      <w:r w:rsidRPr="00F435CE">
        <w:rPr>
          <w:rFonts w:ascii="Georgia" w:eastAsia="Times New Roman" w:hAnsi="Georgia" w:cs="Times New Roman"/>
          <w:sz w:val="20"/>
          <w:szCs w:val="20"/>
          <w:lang w:val="lt-LT" w:eastAsia="lt-LT"/>
        </w:rPr>
        <w:t>Fondų fondo ir investicinio fondo (turinčio juridinio asmens statusą) steigimas</w:t>
      </w:r>
      <w:r w:rsidR="00151543" w:rsidRPr="00F435CE">
        <w:rPr>
          <w:rFonts w:ascii="Georgia" w:eastAsia="Times New Roman" w:hAnsi="Georgia" w:cs="Times New Roman"/>
          <w:sz w:val="20"/>
          <w:szCs w:val="20"/>
          <w:lang w:val="lt-LT" w:eastAsia="lt-LT"/>
        </w:rPr>
        <w:t>.</w:t>
      </w:r>
    </w:p>
    <w:p w14:paraId="0EFB69C5" w14:textId="77777777" w:rsidR="00931E47" w:rsidRDefault="00151543" w:rsidP="00151543">
      <w:pPr>
        <w:jc w:val="both"/>
        <w:rPr>
          <w:rFonts w:ascii="Georgia" w:eastAsia="Times New Roman" w:hAnsi="Georgia" w:cs="Times New Roman"/>
          <w:sz w:val="20"/>
          <w:szCs w:val="20"/>
          <w:lang w:val="lt-LT" w:eastAsia="lt-LT"/>
        </w:rPr>
      </w:pPr>
      <w:r w:rsidRPr="00AC3318">
        <w:rPr>
          <w:rFonts w:ascii="Georgia" w:eastAsia="Times New Roman" w:hAnsi="Georgia" w:cs="Times New Roman"/>
          <w:sz w:val="20"/>
          <w:szCs w:val="20"/>
          <w:lang w:val="lt-LT" w:eastAsia="lt-LT"/>
        </w:rPr>
        <w:t xml:space="preserve">Žemiau pateikiamas kiekvienos iš šių alternatyvų aprašymas, identifikuojami privalumai ir trūkumai bei siūloma geriausioji iš šių alternatyvų. </w:t>
      </w:r>
    </w:p>
    <w:p w14:paraId="5E156310" w14:textId="77777777" w:rsidR="00634DF6" w:rsidRDefault="00634DF6" w:rsidP="00151543">
      <w:pPr>
        <w:jc w:val="both"/>
        <w:rPr>
          <w:rFonts w:ascii="Georgia" w:eastAsia="Times New Roman" w:hAnsi="Georgia" w:cs="Times New Roman"/>
          <w:sz w:val="20"/>
          <w:szCs w:val="20"/>
          <w:lang w:val="lt-LT" w:eastAsia="lt-LT"/>
        </w:rPr>
      </w:pPr>
    </w:p>
    <w:p w14:paraId="75863500" w14:textId="77777777" w:rsidR="00151543" w:rsidRPr="003351A4" w:rsidRDefault="00931E47" w:rsidP="00C03122">
      <w:pPr>
        <w:pStyle w:val="Antrat2"/>
        <w:numPr>
          <w:ilvl w:val="3"/>
          <w:numId w:val="36"/>
        </w:numPr>
        <w:spacing w:after="240"/>
        <w:rPr>
          <w:lang w:val="lt-LT"/>
        </w:rPr>
      </w:pPr>
      <w:bookmarkStart w:id="389" w:name="_Toc417378449"/>
      <w:r>
        <w:rPr>
          <w:lang w:val="lt-LT"/>
        </w:rPr>
        <w:t>Fondų fondo sukūrimas</w:t>
      </w:r>
      <w:bookmarkEnd w:id="389"/>
    </w:p>
    <w:p w14:paraId="38AC3930" w14:textId="77777777" w:rsidR="00151543" w:rsidRDefault="00151543" w:rsidP="00151543">
      <w:pPr>
        <w:jc w:val="both"/>
        <w:rPr>
          <w:rFonts w:ascii="Georgia" w:eastAsia="Times New Roman" w:hAnsi="Georgia" w:cs="Times New Roman"/>
          <w:sz w:val="20"/>
          <w:szCs w:val="20"/>
          <w:lang w:val="lt-LT" w:eastAsia="lt-LT"/>
        </w:rPr>
      </w:pPr>
      <w:r w:rsidRPr="00AC3318">
        <w:rPr>
          <w:rFonts w:ascii="Georgia" w:eastAsia="Times New Roman" w:hAnsi="Georgia" w:cs="Times New Roman"/>
          <w:sz w:val="20"/>
          <w:szCs w:val="20"/>
          <w:lang w:val="lt-LT" w:eastAsia="lt-LT"/>
        </w:rPr>
        <w:object w:dxaOrig="12420" w:dyaOrig="10425" w14:anchorId="4CA335B0">
          <v:shape id="_x0000_i1032" type="#_x0000_t75" style="width:441.55pt;height:369.55pt" o:ole="">
            <v:imagedata r:id="rId115" o:title=""/>
          </v:shape>
          <o:OLEObject Type="Embed" ProgID="Visio.Drawing.15" ShapeID="_x0000_i1032" DrawAspect="Content" ObjectID="_1572853846" r:id="rId116"/>
        </w:object>
      </w:r>
    </w:p>
    <w:p w14:paraId="421AA767" w14:textId="281B2FF9" w:rsidR="004B2E74" w:rsidRPr="00F435CE" w:rsidRDefault="004B2E74" w:rsidP="004B2E74">
      <w:pPr>
        <w:pStyle w:val="Antrat"/>
        <w:rPr>
          <w:szCs w:val="20"/>
          <w:lang w:val="lt-LT"/>
        </w:rPr>
      </w:pPr>
      <w:bookmarkStart w:id="390" w:name="_Toc417378340"/>
      <w:r w:rsidRPr="00F435CE">
        <w:rPr>
          <w:lang w:val="lt-LT"/>
        </w:rPr>
        <w:lastRenderedPageBreak/>
        <w:t xml:space="preserve">Paveikslas </w:t>
      </w:r>
      <w:r w:rsidRPr="00F435CE">
        <w:rPr>
          <w:lang w:val="lt-LT"/>
        </w:rPr>
        <w:fldChar w:fldCharType="begin"/>
      </w:r>
      <w:r w:rsidRPr="00F435CE">
        <w:rPr>
          <w:lang w:val="lt-LT"/>
        </w:rPr>
        <w:instrText xml:space="preserve"> SEQ Paveikslas \* ARABIC </w:instrText>
      </w:r>
      <w:r w:rsidRPr="00F435CE">
        <w:rPr>
          <w:lang w:val="lt-LT"/>
        </w:rPr>
        <w:fldChar w:fldCharType="separate"/>
      </w:r>
      <w:r w:rsidR="00AA3082">
        <w:rPr>
          <w:noProof/>
          <w:lang w:val="lt-LT"/>
        </w:rPr>
        <w:t>63</w:t>
      </w:r>
      <w:r w:rsidRPr="00F435CE">
        <w:rPr>
          <w:lang w:val="lt-LT"/>
        </w:rPr>
        <w:fldChar w:fldCharType="end"/>
      </w:r>
      <w:r w:rsidRPr="00F435CE">
        <w:rPr>
          <w:lang w:val="lt-LT"/>
        </w:rPr>
        <w:t xml:space="preserve">. </w:t>
      </w:r>
      <w:r w:rsidR="00931E47" w:rsidRPr="00F435CE">
        <w:rPr>
          <w:lang w:val="lt-LT"/>
        </w:rPr>
        <w:t xml:space="preserve">Fondų </w:t>
      </w:r>
      <w:r w:rsidR="00931E47" w:rsidRPr="00F435CE">
        <w:rPr>
          <w:rFonts w:eastAsia="Times New Roman"/>
          <w:szCs w:val="20"/>
          <w:lang w:val="lt-LT" w:eastAsia="lt-LT"/>
        </w:rPr>
        <w:t>f</w:t>
      </w:r>
      <w:r w:rsidRPr="00F435CE">
        <w:rPr>
          <w:rFonts w:eastAsia="Times New Roman"/>
          <w:szCs w:val="20"/>
          <w:lang w:val="lt-LT" w:eastAsia="lt-LT"/>
        </w:rPr>
        <w:t>ondo sukūrimas</w:t>
      </w:r>
      <w:bookmarkEnd w:id="390"/>
      <w:r w:rsidRPr="00F435CE">
        <w:rPr>
          <w:rFonts w:eastAsia="Times New Roman"/>
          <w:szCs w:val="20"/>
          <w:lang w:val="lt-LT" w:eastAsia="lt-LT"/>
        </w:rPr>
        <w:t xml:space="preserve"> </w:t>
      </w:r>
    </w:p>
    <w:p w14:paraId="1394E067" w14:textId="77777777" w:rsidR="00151543" w:rsidRPr="00AC3318" w:rsidRDefault="00F435CE" w:rsidP="00151543">
      <w:pPr>
        <w:jc w:val="both"/>
        <w:rPr>
          <w:rFonts w:ascii="Georgia" w:hAnsi="Georgia"/>
          <w:sz w:val="20"/>
          <w:szCs w:val="20"/>
        </w:rPr>
      </w:pPr>
      <w:r>
        <w:rPr>
          <w:rFonts w:ascii="Georgia" w:eastAsia="Times New Roman" w:hAnsi="Georgia" w:cs="Times New Roman"/>
          <w:sz w:val="20"/>
          <w:szCs w:val="20"/>
          <w:lang w:val="lt-LT" w:eastAsia="lt-LT"/>
        </w:rPr>
        <w:t>Aukščiau esančiame</w:t>
      </w:r>
      <w:r w:rsidR="004B2E74">
        <w:rPr>
          <w:rFonts w:ascii="Georgia" w:eastAsia="Times New Roman" w:hAnsi="Georgia" w:cs="Times New Roman"/>
          <w:sz w:val="20"/>
          <w:szCs w:val="20"/>
          <w:lang w:val="lt-LT" w:eastAsia="lt-LT"/>
        </w:rPr>
        <w:t xml:space="preserve"> paveiksle</w:t>
      </w:r>
      <w:r w:rsidR="00151543" w:rsidRPr="00AC3318">
        <w:rPr>
          <w:rFonts w:ascii="Georgia" w:eastAsia="Times New Roman" w:hAnsi="Georgia" w:cs="Times New Roman"/>
          <w:sz w:val="20"/>
          <w:szCs w:val="20"/>
          <w:lang w:val="lt-LT" w:eastAsia="lt-LT"/>
        </w:rPr>
        <w:t xml:space="preserve"> pavaizduotas principinis </w:t>
      </w:r>
      <w:r w:rsidR="00931E47">
        <w:rPr>
          <w:rFonts w:ascii="Georgia" w:eastAsia="Times New Roman" w:hAnsi="Georgia" w:cs="Times New Roman"/>
          <w:sz w:val="20"/>
          <w:szCs w:val="20"/>
          <w:lang w:val="lt-LT" w:eastAsia="lt-LT"/>
        </w:rPr>
        <w:t xml:space="preserve">fondų </w:t>
      </w:r>
      <w:r w:rsidR="00151543" w:rsidRPr="00AC3318">
        <w:rPr>
          <w:rFonts w:ascii="Georgia" w:eastAsia="Times New Roman" w:hAnsi="Georgia" w:cs="Times New Roman"/>
          <w:sz w:val="20"/>
          <w:szCs w:val="20"/>
          <w:lang w:val="lt-LT" w:eastAsia="lt-LT"/>
        </w:rPr>
        <w:t xml:space="preserve">fondo </w:t>
      </w:r>
      <w:r w:rsidR="00931E47">
        <w:rPr>
          <w:rFonts w:ascii="Georgia" w:eastAsia="Times New Roman" w:hAnsi="Georgia" w:cs="Times New Roman"/>
          <w:sz w:val="20"/>
          <w:szCs w:val="20"/>
          <w:lang w:val="lt-LT" w:eastAsia="lt-LT"/>
        </w:rPr>
        <w:t xml:space="preserve">kūrimas, kuris, vadovaujantis Bendrųjų nuostatų reglamento nuostatomis, galėtų būti kuriamas </w:t>
      </w:r>
      <w:r w:rsidR="00151543" w:rsidRPr="00AC3318">
        <w:rPr>
          <w:rFonts w:ascii="Georgia" w:eastAsia="Times New Roman" w:hAnsi="Georgia" w:cs="Times New Roman"/>
          <w:sz w:val="20"/>
          <w:szCs w:val="20"/>
          <w:lang w:val="lt-LT" w:eastAsia="lt-LT"/>
        </w:rPr>
        <w:t>kaip atskir</w:t>
      </w:r>
      <w:r w:rsidR="00931E47">
        <w:rPr>
          <w:rFonts w:ascii="Georgia" w:eastAsia="Times New Roman" w:hAnsi="Georgia" w:cs="Times New Roman"/>
          <w:sz w:val="20"/>
          <w:szCs w:val="20"/>
          <w:lang w:val="lt-LT" w:eastAsia="lt-LT"/>
        </w:rPr>
        <w:t>as</w:t>
      </w:r>
      <w:r w:rsidR="00151543" w:rsidRPr="00AC3318">
        <w:rPr>
          <w:rFonts w:ascii="Georgia" w:eastAsia="Times New Roman" w:hAnsi="Georgia" w:cs="Times New Roman"/>
          <w:sz w:val="20"/>
          <w:szCs w:val="20"/>
          <w:lang w:val="lt-LT" w:eastAsia="lt-LT"/>
        </w:rPr>
        <w:t xml:space="preserve"> finansini</w:t>
      </w:r>
      <w:r w:rsidR="00931E47">
        <w:rPr>
          <w:rFonts w:ascii="Georgia" w:eastAsia="Times New Roman" w:hAnsi="Georgia" w:cs="Times New Roman"/>
          <w:sz w:val="20"/>
          <w:szCs w:val="20"/>
          <w:lang w:val="lt-LT" w:eastAsia="lt-LT"/>
        </w:rPr>
        <w:t>s</w:t>
      </w:r>
      <w:r w:rsidR="00151543" w:rsidRPr="00AC3318">
        <w:rPr>
          <w:rFonts w:ascii="Georgia" w:eastAsia="Times New Roman" w:hAnsi="Georgia" w:cs="Times New Roman"/>
          <w:sz w:val="20"/>
          <w:szCs w:val="20"/>
          <w:lang w:val="lt-LT" w:eastAsia="lt-LT"/>
        </w:rPr>
        <w:t xml:space="preserve"> padalin</w:t>
      </w:r>
      <w:r w:rsidR="00931E47">
        <w:rPr>
          <w:rFonts w:ascii="Georgia" w:eastAsia="Times New Roman" w:hAnsi="Georgia" w:cs="Times New Roman"/>
          <w:sz w:val="20"/>
          <w:szCs w:val="20"/>
          <w:lang w:val="lt-LT" w:eastAsia="lt-LT"/>
        </w:rPr>
        <w:t>ys</w:t>
      </w:r>
      <w:r w:rsidR="00151543" w:rsidRPr="00AC3318">
        <w:rPr>
          <w:rFonts w:ascii="Georgia" w:eastAsia="Times New Roman" w:hAnsi="Georgia" w:cs="Times New Roman"/>
          <w:sz w:val="20"/>
          <w:szCs w:val="20"/>
          <w:lang w:val="lt-LT" w:eastAsia="lt-LT"/>
        </w:rPr>
        <w:t xml:space="preserve"> finansų įstaigoje</w:t>
      </w:r>
      <w:r w:rsidR="00931E47">
        <w:rPr>
          <w:rFonts w:ascii="Georgia" w:eastAsia="Times New Roman" w:hAnsi="Georgia" w:cs="Times New Roman"/>
          <w:sz w:val="20"/>
          <w:szCs w:val="20"/>
          <w:lang w:val="lt-LT" w:eastAsia="lt-LT"/>
        </w:rPr>
        <w:t xml:space="preserve">. </w:t>
      </w:r>
      <w:r w:rsidR="00151543" w:rsidRPr="00AC3318">
        <w:rPr>
          <w:rFonts w:ascii="Georgia" w:eastAsia="Times New Roman" w:hAnsi="Georgia" w:cs="Times New Roman"/>
          <w:sz w:val="20"/>
          <w:szCs w:val="20"/>
          <w:lang w:val="lt-LT" w:eastAsia="lt-LT"/>
        </w:rPr>
        <w:t xml:space="preserve"> </w:t>
      </w:r>
    </w:p>
    <w:p w14:paraId="51719BEB" w14:textId="77777777" w:rsidR="00931E47" w:rsidRDefault="00151543" w:rsidP="0015154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Viešųjų pastatų ir gatvių apšvietimo renovacijos finansinių priemonių įgyvendinimui</w:t>
      </w:r>
      <w:r w:rsidR="004B2E74">
        <w:rPr>
          <w:rFonts w:ascii="Georgia" w:eastAsia="Times New Roman" w:hAnsi="Georgia" w:cs="Times New Roman"/>
          <w:sz w:val="20"/>
          <w:szCs w:val="20"/>
          <w:lang w:val="lt-LT" w:eastAsia="lt-LT"/>
        </w:rPr>
        <w:t xml:space="preserve"> </w:t>
      </w:r>
      <w:r>
        <w:rPr>
          <w:rFonts w:ascii="Georgia" w:eastAsia="Times New Roman" w:hAnsi="Georgia" w:cs="Times New Roman"/>
          <w:sz w:val="20"/>
          <w:szCs w:val="20"/>
          <w:lang w:val="lt-LT" w:eastAsia="lt-LT"/>
        </w:rPr>
        <w:t>skirtas</w:t>
      </w:r>
      <w:r w:rsidRPr="00AC3318">
        <w:rPr>
          <w:rFonts w:ascii="Georgia" w:eastAsia="Times New Roman" w:hAnsi="Georgia" w:cs="Times New Roman"/>
          <w:sz w:val="20"/>
          <w:szCs w:val="20"/>
          <w:lang w:val="lt-LT" w:eastAsia="lt-LT"/>
        </w:rPr>
        <w:t xml:space="preserve"> fondas sukuriamas vadovaujantis ESI fondų lėšų panaudojimo reglamentavimo nuostatomis. Energetikos ir Finansų ministerijos vykdo </w:t>
      </w:r>
      <w:r w:rsidR="00931E47">
        <w:rPr>
          <w:rFonts w:ascii="Georgia" w:eastAsia="Times New Roman" w:hAnsi="Georgia" w:cs="Times New Roman"/>
          <w:sz w:val="20"/>
          <w:szCs w:val="20"/>
          <w:lang w:val="lt-LT" w:eastAsia="lt-LT"/>
        </w:rPr>
        <w:t>fondų</w:t>
      </w:r>
      <w:r w:rsidRPr="00AC3318">
        <w:rPr>
          <w:rFonts w:ascii="Georgia" w:eastAsia="Times New Roman" w:hAnsi="Georgia" w:cs="Times New Roman"/>
          <w:sz w:val="20"/>
          <w:szCs w:val="20"/>
          <w:lang w:val="lt-LT" w:eastAsia="lt-LT"/>
        </w:rPr>
        <w:t xml:space="preserve"> fondo valdytojo atranką, su kuriuo pasirašoma trišalė finansavimo sutartis. Fondų fondo apimtis – Energetikos ministerijos asignavimai, skirti viešųjų pastatų modernizavimo ir gatvių apšvietimo modernizavimo veiklų finansavimui. Energetikos ir Finansų ministerijos fondo valdymui sukuria </w:t>
      </w:r>
      <w:r w:rsidR="008C0A16">
        <w:rPr>
          <w:rFonts w:ascii="Georgia" w:eastAsia="Times New Roman" w:hAnsi="Georgia" w:cs="Times New Roman"/>
          <w:sz w:val="20"/>
          <w:szCs w:val="20"/>
          <w:lang w:val="lt-LT" w:eastAsia="lt-LT"/>
        </w:rPr>
        <w:t>Priežiūros</w:t>
      </w:r>
      <w:r w:rsidRPr="00AC3318">
        <w:rPr>
          <w:rFonts w:ascii="Georgia" w:eastAsia="Times New Roman" w:hAnsi="Georgia" w:cs="Times New Roman"/>
          <w:sz w:val="20"/>
          <w:szCs w:val="20"/>
          <w:lang w:val="lt-LT" w:eastAsia="lt-LT"/>
        </w:rPr>
        <w:t xml:space="preserve"> komitetą, kuris yra pagrindinis </w:t>
      </w:r>
      <w:r>
        <w:rPr>
          <w:rFonts w:ascii="Georgia" w:eastAsia="Times New Roman" w:hAnsi="Georgia" w:cs="Times New Roman"/>
          <w:sz w:val="20"/>
          <w:szCs w:val="20"/>
          <w:lang w:val="lt-LT" w:eastAsia="lt-LT"/>
        </w:rPr>
        <w:t xml:space="preserve">fondų </w:t>
      </w:r>
      <w:r w:rsidRPr="00AC3318">
        <w:rPr>
          <w:rFonts w:ascii="Georgia" w:eastAsia="Times New Roman" w:hAnsi="Georgia" w:cs="Times New Roman"/>
          <w:sz w:val="20"/>
          <w:szCs w:val="20"/>
          <w:lang w:val="lt-LT" w:eastAsia="lt-LT"/>
        </w:rPr>
        <w:t xml:space="preserve">fondo valdymo organas. </w:t>
      </w:r>
    </w:p>
    <w:p w14:paraId="0E7771AC" w14:textId="77777777" w:rsidR="00151543" w:rsidRPr="00AC3318" w:rsidRDefault="00151543" w:rsidP="00151543">
      <w:pPr>
        <w:jc w:val="both"/>
        <w:rPr>
          <w:rFonts w:ascii="Georgia" w:hAnsi="Georgia"/>
          <w:sz w:val="20"/>
          <w:szCs w:val="20"/>
        </w:rPr>
      </w:pPr>
      <w:r w:rsidRPr="00AC3318">
        <w:rPr>
          <w:rFonts w:ascii="Georgia" w:eastAsia="Times New Roman" w:hAnsi="Georgia" w:cs="Times New Roman"/>
          <w:sz w:val="20"/>
          <w:szCs w:val="20"/>
          <w:lang w:val="lt-LT" w:eastAsia="lt-LT"/>
        </w:rPr>
        <w:t>Fondų fondo valdytojas, siekdamas užtikrinti fondo įgyvendinimą, organizuoja finansinių tarpininkų atranką arba fondo veikl</w:t>
      </w:r>
      <w:r>
        <w:rPr>
          <w:rFonts w:ascii="Georgia" w:eastAsia="Times New Roman" w:hAnsi="Georgia" w:cs="Times New Roman"/>
          <w:sz w:val="20"/>
          <w:szCs w:val="20"/>
          <w:lang w:val="lt-LT" w:eastAsia="lt-LT"/>
        </w:rPr>
        <w:t>as</w:t>
      </w:r>
      <w:r w:rsidRPr="00AC3318">
        <w:rPr>
          <w:rFonts w:ascii="Georgia" w:eastAsia="Times New Roman" w:hAnsi="Georgia" w:cs="Times New Roman"/>
          <w:sz w:val="20"/>
          <w:szCs w:val="20"/>
          <w:lang w:val="lt-LT" w:eastAsia="lt-LT"/>
        </w:rPr>
        <w:t xml:space="preserve"> vykdo pats</w:t>
      </w:r>
      <w:r w:rsidR="00275B63">
        <w:rPr>
          <w:rFonts w:ascii="Georgia" w:eastAsia="Times New Roman" w:hAnsi="Georgia" w:cs="Times New Roman"/>
          <w:sz w:val="20"/>
          <w:szCs w:val="20"/>
          <w:lang w:val="lt-LT" w:eastAsia="lt-LT"/>
        </w:rPr>
        <w:t>, kaip tai buvo aprašyta aukščiau remiantis Bendrųjų nuostatų reglamento 38.5 punktu.</w:t>
      </w:r>
    </w:p>
    <w:p w14:paraId="17508B29" w14:textId="51986893" w:rsidR="00151543" w:rsidRPr="00AC3318" w:rsidRDefault="00151543" w:rsidP="00151543">
      <w:pPr>
        <w:jc w:val="both"/>
        <w:rPr>
          <w:rFonts w:ascii="Georgia" w:hAnsi="Georgia"/>
          <w:sz w:val="20"/>
          <w:szCs w:val="20"/>
        </w:rPr>
      </w:pPr>
      <w:r w:rsidRPr="00AC3318">
        <w:rPr>
          <w:rFonts w:ascii="Georgia" w:eastAsia="Times New Roman" w:hAnsi="Georgia" w:cs="Times New Roman"/>
          <w:sz w:val="20"/>
          <w:szCs w:val="20"/>
          <w:lang w:val="lt-LT" w:eastAsia="lt-LT"/>
        </w:rPr>
        <w:t xml:space="preserve">Šis modelis turi tiek privalumų, tiek trūkumų. Didelis modelio privalumas – jo paprastumas. Kuriamas vienas </w:t>
      </w:r>
      <w:r w:rsidR="00275B63">
        <w:rPr>
          <w:rFonts w:ascii="Georgia" w:eastAsia="Times New Roman" w:hAnsi="Georgia" w:cs="Times New Roman"/>
          <w:sz w:val="20"/>
          <w:szCs w:val="20"/>
          <w:lang w:val="lt-LT" w:eastAsia="lt-LT"/>
        </w:rPr>
        <w:t>fondų</w:t>
      </w:r>
      <w:r w:rsidRPr="00AC3318">
        <w:rPr>
          <w:rFonts w:ascii="Georgia" w:eastAsia="Times New Roman" w:hAnsi="Georgia" w:cs="Times New Roman"/>
          <w:sz w:val="20"/>
          <w:szCs w:val="20"/>
          <w:lang w:val="lt-LT" w:eastAsia="lt-LT"/>
        </w:rPr>
        <w:t xml:space="preserve"> fondas, kurio valdytojas atsakingas už veiklų įgyvendinimą. Kitas svarus privalumas – modelio </w:t>
      </w:r>
      <w:r w:rsidR="006D46DC">
        <w:rPr>
          <w:rFonts w:ascii="Georgia" w:eastAsia="Times New Roman" w:hAnsi="Georgia" w:cs="Times New Roman"/>
          <w:sz w:val="20"/>
          <w:szCs w:val="20"/>
          <w:lang w:val="lt-LT" w:eastAsia="lt-LT"/>
        </w:rPr>
        <w:t>žinomumas</w:t>
      </w:r>
      <w:r w:rsidRPr="00AC3318">
        <w:rPr>
          <w:rFonts w:ascii="Georgia" w:eastAsia="Times New Roman" w:hAnsi="Georgia" w:cs="Times New Roman"/>
          <w:sz w:val="20"/>
          <w:szCs w:val="20"/>
          <w:lang w:val="lt-LT" w:eastAsia="lt-LT"/>
        </w:rPr>
        <w:t xml:space="preserve">. Nors Energetikos ministerija praėjusiu 2007-2013 m. periodu ir neįgyvendino finansinių priemonių, didelę patirtį turi sukaupusi Finansų ministerija, kuri kartu su Aplinkos ministerija dalyvavo JESSICA </w:t>
      </w:r>
      <w:r w:rsidR="00B55B2F">
        <w:rPr>
          <w:rFonts w:ascii="Georgia" w:eastAsia="Times New Roman" w:hAnsi="Georgia" w:cs="Times New Roman"/>
          <w:sz w:val="20"/>
          <w:szCs w:val="20"/>
          <w:lang w:val="lt-LT" w:eastAsia="lt-LT"/>
        </w:rPr>
        <w:t>KF</w:t>
      </w:r>
      <w:r w:rsidRPr="00AC3318">
        <w:rPr>
          <w:rFonts w:ascii="Georgia" w:eastAsia="Times New Roman" w:hAnsi="Georgia" w:cs="Times New Roman"/>
          <w:sz w:val="20"/>
          <w:szCs w:val="20"/>
          <w:lang w:val="lt-LT" w:eastAsia="lt-LT"/>
        </w:rPr>
        <w:t xml:space="preserve"> valdyme. </w:t>
      </w:r>
    </w:p>
    <w:p w14:paraId="07F755CD" w14:textId="77777777" w:rsidR="00151543" w:rsidRDefault="00151543" w:rsidP="00151543">
      <w:pPr>
        <w:jc w:val="both"/>
        <w:rPr>
          <w:rFonts w:ascii="Georgia" w:eastAsia="Times New Roman" w:hAnsi="Georgia" w:cs="Times New Roman"/>
          <w:sz w:val="20"/>
          <w:szCs w:val="20"/>
          <w:lang w:val="lt-LT" w:eastAsia="lt-LT"/>
        </w:rPr>
      </w:pPr>
      <w:r w:rsidRPr="00AC3318">
        <w:rPr>
          <w:rFonts w:ascii="Georgia" w:eastAsia="Times New Roman" w:hAnsi="Georgia" w:cs="Times New Roman"/>
          <w:sz w:val="20"/>
          <w:szCs w:val="20"/>
          <w:lang w:val="lt-LT" w:eastAsia="lt-LT"/>
        </w:rPr>
        <w:t xml:space="preserve">Pagrindiniai modelio trūkumai yra susiję su privačių lėšų pritraukimo galimybėmis bei ilgu lėšų grąžinimo į fondą laikotarpiu. Kadangi fondas pagal šią alternatyvą būtų kuriamas kaip finansų įstaigos atskiras finansinis padalinys (t.y. sąskaitų rinkinys), įvairiems investuotojams </w:t>
      </w:r>
      <w:r w:rsidR="001251A5">
        <w:rPr>
          <w:rFonts w:ascii="Georgia" w:eastAsia="Times New Roman" w:hAnsi="Georgia" w:cs="Times New Roman"/>
          <w:sz w:val="20"/>
          <w:szCs w:val="20"/>
          <w:lang w:val="lt-LT" w:eastAsia="lt-LT"/>
        </w:rPr>
        <w:t>investavimo galimybės</w:t>
      </w:r>
      <w:r w:rsidRPr="00AC3318">
        <w:rPr>
          <w:rFonts w:ascii="Georgia" w:eastAsia="Times New Roman" w:hAnsi="Georgia" w:cs="Times New Roman"/>
          <w:sz w:val="20"/>
          <w:szCs w:val="20"/>
          <w:lang w:val="lt-LT" w:eastAsia="lt-LT"/>
        </w:rPr>
        <w:t xml:space="preserve"> į fondą būtų ribotos</w:t>
      </w:r>
      <w:r w:rsidR="001251A5">
        <w:rPr>
          <w:rFonts w:ascii="Georgia" w:eastAsia="Times New Roman" w:hAnsi="Georgia" w:cs="Times New Roman"/>
          <w:sz w:val="20"/>
          <w:szCs w:val="20"/>
          <w:lang w:val="lt-LT" w:eastAsia="lt-LT"/>
        </w:rPr>
        <w:t xml:space="preserve"> arba komplikuotos</w:t>
      </w:r>
      <w:r w:rsidRPr="00AC3318">
        <w:rPr>
          <w:rFonts w:ascii="Georgia" w:eastAsia="Times New Roman" w:hAnsi="Georgia" w:cs="Times New Roman"/>
          <w:sz w:val="20"/>
          <w:szCs w:val="20"/>
          <w:lang w:val="lt-LT" w:eastAsia="lt-LT"/>
        </w:rPr>
        <w:t xml:space="preserve">, kadangi </w:t>
      </w:r>
      <w:r w:rsidR="00B55B2F">
        <w:rPr>
          <w:rFonts w:ascii="Georgia" w:eastAsia="Times New Roman" w:hAnsi="Georgia" w:cs="Times New Roman"/>
          <w:sz w:val="20"/>
          <w:szCs w:val="20"/>
          <w:lang w:val="lt-LT" w:eastAsia="lt-LT"/>
        </w:rPr>
        <w:t>fondų fondas</w:t>
      </w:r>
      <w:r w:rsidRPr="00AC3318">
        <w:rPr>
          <w:rFonts w:ascii="Georgia" w:eastAsia="Times New Roman" w:hAnsi="Georgia" w:cs="Times New Roman"/>
          <w:sz w:val="20"/>
          <w:szCs w:val="20"/>
          <w:lang w:val="lt-LT" w:eastAsia="lt-LT"/>
        </w:rPr>
        <w:t xml:space="preserve"> nebūtų atskiras juridinis </w:t>
      </w:r>
      <w:r>
        <w:rPr>
          <w:rFonts w:ascii="Georgia" w:eastAsia="Times New Roman" w:hAnsi="Georgia" w:cs="Times New Roman"/>
          <w:sz w:val="20"/>
          <w:szCs w:val="20"/>
          <w:lang w:val="lt-LT" w:eastAsia="lt-LT"/>
        </w:rPr>
        <w:t>asmuo</w:t>
      </w:r>
      <w:r w:rsidRPr="00AC3318">
        <w:rPr>
          <w:rFonts w:ascii="Georgia" w:eastAsia="Times New Roman" w:hAnsi="Georgia" w:cs="Times New Roman"/>
          <w:sz w:val="20"/>
          <w:szCs w:val="20"/>
          <w:lang w:val="lt-LT" w:eastAsia="lt-LT"/>
        </w:rPr>
        <w:t xml:space="preserve">. Taigi šios alternatyvos atveju papildomų privačių lėšų pritraukimas ir didesnio sverto siekimas yra pagrindinis trūkumas. Antras, </w:t>
      </w:r>
      <w:r w:rsidR="00B55B2F">
        <w:rPr>
          <w:rFonts w:ascii="Georgia" w:eastAsia="Times New Roman" w:hAnsi="Georgia" w:cs="Times New Roman"/>
          <w:sz w:val="20"/>
          <w:szCs w:val="20"/>
          <w:lang w:val="lt-LT" w:eastAsia="lt-LT"/>
        </w:rPr>
        <w:t xml:space="preserve">šiam modeliui būdingas </w:t>
      </w:r>
      <w:r w:rsidRPr="00AC3318">
        <w:rPr>
          <w:rFonts w:ascii="Georgia" w:eastAsia="Times New Roman" w:hAnsi="Georgia" w:cs="Times New Roman"/>
          <w:sz w:val="20"/>
          <w:szCs w:val="20"/>
          <w:lang w:val="lt-LT" w:eastAsia="lt-LT"/>
        </w:rPr>
        <w:t xml:space="preserve">ilgas lėšų grąžinimo laikotarpis. Kaip buvo analizuota ankstesnėse </w:t>
      </w:r>
      <w:r w:rsidR="001251A5">
        <w:rPr>
          <w:rFonts w:ascii="Georgia" w:eastAsia="Times New Roman" w:hAnsi="Georgia" w:cs="Times New Roman"/>
          <w:sz w:val="20"/>
          <w:szCs w:val="20"/>
          <w:lang w:val="lt-LT" w:eastAsia="lt-LT"/>
        </w:rPr>
        <w:t xml:space="preserve">ex ante vertinimo </w:t>
      </w:r>
      <w:r w:rsidRPr="00AC3318">
        <w:rPr>
          <w:rFonts w:ascii="Georgia" w:eastAsia="Times New Roman" w:hAnsi="Georgia" w:cs="Times New Roman"/>
          <w:sz w:val="20"/>
          <w:szCs w:val="20"/>
          <w:lang w:val="lt-LT" w:eastAsia="lt-LT"/>
        </w:rPr>
        <w:t xml:space="preserve">dalyse, energijos efektyvumo projektų atsipirkimo laikas siekia iki 20 metų. Atsižvelgiant į tai, kad pirmaisiais fondo steigimo metais būtų kuriami fondo įgyvendinimo mechanizmai, vykdomos atrankos finansiniams tarpininkams, derinamos ir pasirašomos sutartys, pirmaisiais metais įgyvendinamų projektų skaičius būtų labai mažas. Todėl iki programavimo periodo pabaigos iš projektų sugrįžusios lėšos, kurios gali būti pakartotinai panaudojamos projektų finansavimui, sudarytų labai nedidelę fondo lėšų dalį. Šis trūkumas tiesiogiai daro įtaką įgyvendinamų projektų skaičiui ir rezultatų pasiekimui per programavimo periodo laikotarpį. </w:t>
      </w:r>
    </w:p>
    <w:p w14:paraId="36A34BE6" w14:textId="2D3399E9" w:rsidR="004B2E74" w:rsidRPr="001251A5" w:rsidRDefault="004B2E74" w:rsidP="004B2E74">
      <w:pPr>
        <w:pStyle w:val="Antrat"/>
        <w:spacing w:line="276" w:lineRule="auto"/>
        <w:jc w:val="both"/>
        <w:rPr>
          <w:szCs w:val="20"/>
          <w:lang w:val="lt-LT"/>
        </w:rPr>
      </w:pPr>
      <w:bookmarkStart w:id="391" w:name="_Toc460321739"/>
      <w:r w:rsidRPr="001251A5">
        <w:rPr>
          <w:lang w:val="lt-LT"/>
        </w:rPr>
        <w:t xml:space="preserve">Lentelė </w:t>
      </w:r>
      <w:r w:rsidRPr="001251A5">
        <w:rPr>
          <w:lang w:val="lt-LT"/>
        </w:rPr>
        <w:fldChar w:fldCharType="begin"/>
      </w:r>
      <w:r w:rsidRPr="001251A5">
        <w:rPr>
          <w:lang w:val="lt-LT"/>
        </w:rPr>
        <w:instrText xml:space="preserve"> SEQ Lentelė \* ARABIC </w:instrText>
      </w:r>
      <w:r w:rsidRPr="001251A5">
        <w:rPr>
          <w:lang w:val="lt-LT"/>
        </w:rPr>
        <w:fldChar w:fldCharType="separate"/>
      </w:r>
      <w:r w:rsidR="00AA3082">
        <w:rPr>
          <w:noProof/>
          <w:lang w:val="lt-LT"/>
        </w:rPr>
        <w:t>158</w:t>
      </w:r>
      <w:r w:rsidRPr="001251A5">
        <w:rPr>
          <w:lang w:val="lt-LT"/>
        </w:rPr>
        <w:fldChar w:fldCharType="end"/>
      </w:r>
      <w:r w:rsidRPr="001251A5">
        <w:rPr>
          <w:lang w:val="lt-LT"/>
        </w:rPr>
        <w:t>. Pirmosios fondo kūrimo alternatyvos viešiesiems pastatams ir gatvių apšvietimui privalumų ir trūkumų palyginimas.</w:t>
      </w:r>
      <w:bookmarkEnd w:id="391"/>
      <w:r w:rsidRPr="001251A5">
        <w:rPr>
          <w:lang w:val="lt-LT"/>
        </w:rPr>
        <w:t xml:space="preserve"> </w:t>
      </w:r>
    </w:p>
    <w:tbl>
      <w:tblPr>
        <w:tblStyle w:val="Spalvotassraas2parykinimas"/>
        <w:tblW w:w="0" w:type="auto"/>
        <w:tblLook w:val="04A0" w:firstRow="1" w:lastRow="0" w:firstColumn="1" w:lastColumn="0" w:noHBand="0" w:noVBand="1"/>
      </w:tblPr>
      <w:tblGrid>
        <w:gridCol w:w="4635"/>
        <w:gridCol w:w="4608"/>
      </w:tblGrid>
      <w:tr w:rsidR="00151543" w:rsidRPr="00E649A6" w14:paraId="1D983183" w14:textId="77777777" w:rsidTr="001515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hideMark/>
          </w:tcPr>
          <w:p w14:paraId="31A399C3" w14:textId="77777777" w:rsidR="00151543" w:rsidRPr="00AC3318" w:rsidRDefault="00151543" w:rsidP="00467B8E">
            <w:pPr>
              <w:spacing w:after="200" w:line="276" w:lineRule="auto"/>
              <w:jc w:val="center"/>
              <w:rPr>
                <w:rFonts w:ascii="Georgia" w:eastAsia="Times New Roman" w:hAnsi="Georgia" w:cs="Times New Roman"/>
                <w:b w:val="0"/>
                <w:sz w:val="20"/>
                <w:szCs w:val="20"/>
                <w:lang w:val="lt-LT" w:eastAsia="lt-LT"/>
              </w:rPr>
            </w:pPr>
            <w:r w:rsidRPr="00AC3318">
              <w:rPr>
                <w:rFonts w:ascii="Georgia" w:eastAsia="Times New Roman" w:hAnsi="Georgia" w:cs="Times New Roman"/>
                <w:sz w:val="20"/>
                <w:szCs w:val="20"/>
                <w:lang w:val="lt-LT" w:eastAsia="lt-LT"/>
              </w:rPr>
              <w:t>Privalumai</w:t>
            </w:r>
          </w:p>
        </w:tc>
        <w:tc>
          <w:tcPr>
            <w:tcW w:w="4788" w:type="dxa"/>
            <w:hideMark/>
          </w:tcPr>
          <w:p w14:paraId="6C4E9432" w14:textId="77777777" w:rsidR="00151543" w:rsidRPr="00AC3318" w:rsidRDefault="00151543" w:rsidP="00467B8E">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sz w:val="20"/>
                <w:szCs w:val="20"/>
                <w:lang w:val="lt-LT" w:eastAsia="lt-LT"/>
              </w:rPr>
            </w:pPr>
            <w:r w:rsidRPr="00AC3318">
              <w:rPr>
                <w:rFonts w:ascii="Georgia" w:eastAsia="Times New Roman" w:hAnsi="Georgia" w:cs="Times New Roman"/>
                <w:sz w:val="20"/>
                <w:szCs w:val="20"/>
                <w:lang w:val="lt-LT" w:eastAsia="lt-LT"/>
              </w:rPr>
              <w:t>Trūkumai</w:t>
            </w:r>
          </w:p>
        </w:tc>
      </w:tr>
      <w:tr w:rsidR="00151543" w:rsidRPr="00E649A6" w14:paraId="6FF44DBE" w14:textId="77777777" w:rsidTr="00151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72B01F11" w14:textId="77777777" w:rsidR="00151543" w:rsidRPr="00E044B9" w:rsidRDefault="00151543" w:rsidP="00151543">
            <w:pPr>
              <w:spacing w:after="200" w:line="276" w:lineRule="auto"/>
              <w:jc w:val="both"/>
              <w:rPr>
                <w:rFonts w:ascii="Georgia" w:eastAsia="Times New Roman" w:hAnsi="Georgia" w:cs="Times New Roman"/>
                <w:b w:val="0"/>
                <w:sz w:val="20"/>
                <w:szCs w:val="20"/>
                <w:lang w:val="lt-LT" w:eastAsia="lt-LT"/>
              </w:rPr>
            </w:pPr>
            <w:r w:rsidRPr="00E044B9">
              <w:rPr>
                <w:rFonts w:ascii="Georgia" w:eastAsia="Times New Roman" w:hAnsi="Georgia" w:cs="Times New Roman"/>
                <w:b w:val="0"/>
                <w:sz w:val="20"/>
                <w:szCs w:val="20"/>
                <w:lang w:val="lt-LT" w:eastAsia="lt-LT"/>
              </w:rPr>
              <w:t>Sukauptos JESSICA Kontroliuojančiojo fondo 2007-2013 patirties panaudojimas</w:t>
            </w:r>
          </w:p>
        </w:tc>
        <w:tc>
          <w:tcPr>
            <w:tcW w:w="4788" w:type="dxa"/>
          </w:tcPr>
          <w:p w14:paraId="69A4BD05" w14:textId="77777777" w:rsidR="00151543" w:rsidRPr="00AC3318" w:rsidRDefault="00151543" w:rsidP="00151543">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val="lt-LT" w:eastAsia="lt-LT"/>
              </w:rPr>
            </w:pPr>
            <w:r w:rsidRPr="00AC3318">
              <w:rPr>
                <w:rFonts w:ascii="Georgia" w:eastAsia="Times New Roman" w:hAnsi="Georgia" w:cs="Times New Roman"/>
                <w:sz w:val="20"/>
                <w:szCs w:val="20"/>
                <w:lang w:val="lt-LT" w:eastAsia="lt-LT"/>
              </w:rPr>
              <w:t>Sudėtingas arba negalimas papildomų privačių lėšų pritraukimas siekiant investuoti į fondą</w:t>
            </w:r>
          </w:p>
        </w:tc>
      </w:tr>
      <w:tr w:rsidR="00151543" w:rsidRPr="00E649A6" w14:paraId="12A1E6A3" w14:textId="77777777" w:rsidTr="00151543">
        <w:tc>
          <w:tcPr>
            <w:cnfStyle w:val="001000000000" w:firstRow="0" w:lastRow="0" w:firstColumn="1" w:lastColumn="0" w:oddVBand="0" w:evenVBand="0" w:oddHBand="0" w:evenHBand="0" w:firstRowFirstColumn="0" w:firstRowLastColumn="0" w:lastRowFirstColumn="0" w:lastRowLastColumn="0"/>
            <w:tcW w:w="4788" w:type="dxa"/>
          </w:tcPr>
          <w:p w14:paraId="0A576591" w14:textId="77777777" w:rsidR="00151543" w:rsidRPr="00E044B9" w:rsidRDefault="00151543" w:rsidP="00151543">
            <w:pPr>
              <w:spacing w:after="200" w:line="276" w:lineRule="auto"/>
              <w:jc w:val="both"/>
              <w:rPr>
                <w:rFonts w:ascii="Georgia" w:eastAsia="Times New Roman" w:hAnsi="Georgia" w:cs="Times New Roman"/>
                <w:b w:val="0"/>
                <w:sz w:val="20"/>
                <w:szCs w:val="20"/>
                <w:lang w:val="lt-LT" w:eastAsia="lt-LT"/>
              </w:rPr>
            </w:pPr>
            <w:r w:rsidRPr="00E044B9">
              <w:rPr>
                <w:rFonts w:ascii="Georgia" w:eastAsia="Times New Roman" w:hAnsi="Georgia" w:cs="Times New Roman"/>
                <w:b w:val="0"/>
                <w:sz w:val="20"/>
                <w:szCs w:val="20"/>
                <w:lang w:val="lt-LT" w:eastAsia="lt-LT"/>
              </w:rPr>
              <w:t>Modelio paprastumas</w:t>
            </w:r>
          </w:p>
        </w:tc>
        <w:tc>
          <w:tcPr>
            <w:tcW w:w="4788" w:type="dxa"/>
          </w:tcPr>
          <w:p w14:paraId="55E022BF" w14:textId="77777777" w:rsidR="00151543" w:rsidRPr="00AC3318" w:rsidRDefault="00151543" w:rsidP="00151543">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val="lt-LT" w:eastAsia="lt-LT"/>
              </w:rPr>
            </w:pPr>
            <w:r w:rsidRPr="00AC3318">
              <w:rPr>
                <w:rFonts w:ascii="Georgia" w:eastAsia="Times New Roman" w:hAnsi="Georgia" w:cs="Times New Roman"/>
                <w:sz w:val="20"/>
                <w:szCs w:val="20"/>
                <w:lang w:val="lt-LT" w:eastAsia="lt-LT"/>
              </w:rPr>
              <w:t xml:space="preserve">Ilgas lėšų grąžinimo laikotarpis </w:t>
            </w:r>
          </w:p>
        </w:tc>
      </w:tr>
    </w:tbl>
    <w:p w14:paraId="6819A83F" w14:textId="77777777" w:rsidR="00151543" w:rsidRPr="00AC3318" w:rsidRDefault="00151543" w:rsidP="00151543">
      <w:pPr>
        <w:jc w:val="both"/>
        <w:rPr>
          <w:rFonts w:ascii="Georgia" w:eastAsia="Times New Roman" w:hAnsi="Georgia" w:cs="Times New Roman"/>
          <w:sz w:val="20"/>
          <w:szCs w:val="20"/>
          <w:lang w:val="lt-LT" w:eastAsia="lt-LT"/>
        </w:rPr>
      </w:pPr>
    </w:p>
    <w:p w14:paraId="3B585918" w14:textId="77777777" w:rsidR="00151543" w:rsidRPr="003351A4" w:rsidRDefault="00151543" w:rsidP="00C03122">
      <w:pPr>
        <w:pStyle w:val="Antrat2"/>
        <w:numPr>
          <w:ilvl w:val="3"/>
          <w:numId w:val="36"/>
        </w:numPr>
        <w:spacing w:after="240"/>
        <w:rPr>
          <w:lang w:val="lt-LT"/>
        </w:rPr>
      </w:pPr>
      <w:bookmarkStart w:id="392" w:name="_Toc398567619"/>
      <w:bookmarkStart w:id="393" w:name="_Toc417378450"/>
      <w:r>
        <w:rPr>
          <w:lang w:val="lt-LT"/>
        </w:rPr>
        <w:lastRenderedPageBreak/>
        <w:t>J</w:t>
      </w:r>
      <w:r w:rsidRPr="003351A4">
        <w:rPr>
          <w:lang w:val="lt-LT"/>
        </w:rPr>
        <w:t>uridin</w:t>
      </w:r>
      <w:r>
        <w:rPr>
          <w:lang w:val="lt-LT"/>
        </w:rPr>
        <w:t>io</w:t>
      </w:r>
      <w:r w:rsidRPr="003351A4">
        <w:rPr>
          <w:lang w:val="lt-LT"/>
        </w:rPr>
        <w:t xml:space="preserve"> </w:t>
      </w:r>
      <w:r>
        <w:rPr>
          <w:lang w:val="lt-LT"/>
        </w:rPr>
        <w:t xml:space="preserve">asmens </w:t>
      </w:r>
      <w:r w:rsidRPr="003351A4">
        <w:rPr>
          <w:lang w:val="lt-LT"/>
        </w:rPr>
        <w:t>statusą turinčio fondo steigimas</w:t>
      </w:r>
      <w:bookmarkEnd w:id="392"/>
      <w:bookmarkEnd w:id="393"/>
    </w:p>
    <w:p w14:paraId="475ED040" w14:textId="77777777" w:rsidR="001251A5" w:rsidRDefault="00151543" w:rsidP="00151543">
      <w:pPr>
        <w:jc w:val="both"/>
        <w:rPr>
          <w:rFonts w:ascii="Georgia" w:eastAsia="Times New Roman" w:hAnsi="Georgia" w:cs="Times New Roman"/>
          <w:sz w:val="20"/>
          <w:szCs w:val="20"/>
          <w:lang w:val="lt-LT" w:eastAsia="lt-LT"/>
        </w:rPr>
      </w:pPr>
      <w:r w:rsidRPr="00313A41">
        <w:rPr>
          <w:rFonts w:ascii="Georgia" w:eastAsia="Times New Roman" w:hAnsi="Georgia" w:cs="Times New Roman"/>
          <w:sz w:val="20"/>
          <w:szCs w:val="20"/>
          <w:lang w:val="lt-LT" w:eastAsia="lt-LT"/>
        </w:rPr>
        <w:t xml:space="preserve">Antroji vertinama fondų fondo steigimo alternatyva pavaizduota </w:t>
      </w:r>
      <w:r w:rsidR="00B55B2F" w:rsidRPr="00313A41">
        <w:rPr>
          <w:rFonts w:ascii="Georgia" w:eastAsia="Times New Roman" w:hAnsi="Georgia" w:cs="Times New Roman"/>
          <w:sz w:val="20"/>
          <w:szCs w:val="20"/>
          <w:lang w:val="lt-LT" w:eastAsia="lt-LT"/>
        </w:rPr>
        <w:t>paveiksle</w:t>
      </w:r>
      <w:r w:rsidRPr="00EC5CFD">
        <w:rPr>
          <w:rFonts w:ascii="Georgia" w:eastAsia="Times New Roman" w:hAnsi="Georgia" w:cs="Times New Roman"/>
          <w:sz w:val="20"/>
          <w:szCs w:val="20"/>
          <w:lang w:val="lt-LT" w:eastAsia="lt-LT"/>
        </w:rPr>
        <w:t xml:space="preserve"> žemiau, </w:t>
      </w:r>
      <w:r w:rsidR="00B55B2F" w:rsidRPr="00EE477F">
        <w:rPr>
          <w:rFonts w:ascii="Georgia" w:eastAsia="Times New Roman" w:hAnsi="Georgia" w:cs="Times New Roman"/>
          <w:sz w:val="20"/>
          <w:szCs w:val="20"/>
          <w:lang w:val="lt-LT" w:eastAsia="lt-LT"/>
        </w:rPr>
        <w:t xml:space="preserve">kuriame </w:t>
      </w:r>
      <w:r w:rsidRPr="00EE477F">
        <w:rPr>
          <w:rFonts w:ascii="Georgia" w:eastAsia="Times New Roman" w:hAnsi="Georgia" w:cs="Times New Roman"/>
          <w:sz w:val="20"/>
          <w:szCs w:val="20"/>
          <w:lang w:val="lt-LT" w:eastAsia="lt-LT"/>
        </w:rPr>
        <w:t xml:space="preserve">matyti, jog projektų finansavimui bei papildomų lėšų pritraukimui fondas yra steigiamas kaip atskiras juridinis subjektas, </w:t>
      </w:r>
      <w:r w:rsidR="00B55B2F" w:rsidRPr="00765F40">
        <w:rPr>
          <w:rFonts w:ascii="Georgia" w:eastAsia="Times New Roman" w:hAnsi="Georgia" w:cs="Times New Roman"/>
          <w:sz w:val="20"/>
          <w:szCs w:val="20"/>
          <w:lang w:val="lt-LT" w:eastAsia="lt-LT"/>
        </w:rPr>
        <w:t xml:space="preserve">galimai </w:t>
      </w:r>
      <w:r w:rsidRPr="00765F40">
        <w:rPr>
          <w:rFonts w:ascii="Georgia" w:eastAsia="Times New Roman" w:hAnsi="Georgia" w:cs="Times New Roman"/>
          <w:sz w:val="20"/>
          <w:szCs w:val="20"/>
          <w:lang w:val="lt-LT" w:eastAsia="lt-LT"/>
        </w:rPr>
        <w:t xml:space="preserve">turintis komanditinės ūkinės bendrijos formą. </w:t>
      </w:r>
    </w:p>
    <w:p w14:paraId="1B67FB9F" w14:textId="77777777" w:rsidR="009F55BB" w:rsidRDefault="001251A5" w:rsidP="001251A5">
      <w:pPr>
        <w:pStyle w:val="Antrat"/>
        <w:rPr>
          <w:rFonts w:eastAsia="Times New Roman"/>
          <w:szCs w:val="20"/>
          <w:lang w:val="lt-LT" w:eastAsia="lt-LT"/>
        </w:rPr>
      </w:pPr>
      <w:r w:rsidRPr="001251A5">
        <w:rPr>
          <w:rFonts w:eastAsia="Times New Roman"/>
          <w:szCs w:val="20"/>
          <w:lang w:val="lt-LT" w:eastAsia="lt-LT"/>
        </w:rPr>
        <w:object w:dxaOrig="10035" w:dyaOrig="3825" w14:anchorId="2C4F8139">
          <v:shape id="_x0000_i1033" type="#_x0000_t75" style="width:454.6pt;height:174.05pt" o:ole="">
            <v:imagedata r:id="rId117" o:title=""/>
          </v:shape>
          <o:OLEObject Type="Embed" ProgID="Visio.Drawing.15" ShapeID="_x0000_i1033" DrawAspect="Content" ObjectID="_1572853847" r:id="rId118"/>
        </w:object>
      </w:r>
    </w:p>
    <w:p w14:paraId="7F2CCA77" w14:textId="18435ABE" w:rsidR="001251A5" w:rsidRPr="001251A5" w:rsidRDefault="001251A5" w:rsidP="001251A5">
      <w:pPr>
        <w:pStyle w:val="Antrat"/>
        <w:rPr>
          <w:rFonts w:eastAsia="Times New Roman"/>
          <w:szCs w:val="20"/>
          <w:lang w:val="lt-LT" w:eastAsia="lt-LT"/>
        </w:rPr>
      </w:pPr>
      <w:bookmarkStart w:id="394" w:name="_Toc417378341"/>
      <w:r w:rsidRPr="001251A5">
        <w:rPr>
          <w:lang w:val="lt-LT"/>
        </w:rPr>
        <w:t xml:space="preserve">Paveikslas </w:t>
      </w:r>
      <w:r w:rsidRPr="001251A5">
        <w:rPr>
          <w:lang w:val="lt-LT"/>
        </w:rPr>
        <w:fldChar w:fldCharType="begin"/>
      </w:r>
      <w:r w:rsidRPr="001251A5">
        <w:rPr>
          <w:lang w:val="lt-LT"/>
        </w:rPr>
        <w:instrText xml:space="preserve"> SEQ Paveikslas \* ARABIC </w:instrText>
      </w:r>
      <w:r w:rsidRPr="001251A5">
        <w:rPr>
          <w:lang w:val="lt-LT"/>
        </w:rPr>
        <w:fldChar w:fldCharType="separate"/>
      </w:r>
      <w:r w:rsidR="00AA3082">
        <w:rPr>
          <w:noProof/>
          <w:lang w:val="lt-LT"/>
        </w:rPr>
        <w:t>64</w:t>
      </w:r>
      <w:r w:rsidRPr="001251A5">
        <w:rPr>
          <w:lang w:val="lt-LT"/>
        </w:rPr>
        <w:fldChar w:fldCharType="end"/>
      </w:r>
      <w:r w:rsidRPr="001251A5">
        <w:rPr>
          <w:lang w:val="lt-LT"/>
        </w:rPr>
        <w:t>.</w:t>
      </w:r>
      <w:r w:rsidRPr="001251A5">
        <w:rPr>
          <w:rFonts w:eastAsia="Times New Roman"/>
          <w:szCs w:val="20"/>
          <w:lang w:val="lt-LT" w:eastAsia="lt-LT"/>
        </w:rPr>
        <w:t xml:space="preserve"> Juridinio asmens statusą turinčio fondo steigimas Lietuvoje</w:t>
      </w:r>
      <w:bookmarkEnd w:id="394"/>
    </w:p>
    <w:p w14:paraId="746030E9" w14:textId="77777777" w:rsidR="00151543" w:rsidRPr="00313A41" w:rsidRDefault="00151543" w:rsidP="00151543">
      <w:pPr>
        <w:jc w:val="both"/>
        <w:rPr>
          <w:rFonts w:ascii="Georgia" w:eastAsia="Times New Roman" w:hAnsi="Georgia" w:cs="Times New Roman"/>
          <w:sz w:val="20"/>
          <w:szCs w:val="20"/>
          <w:lang w:val="lt-LT" w:eastAsia="lt-LT"/>
        </w:rPr>
      </w:pPr>
      <w:r w:rsidRPr="00765F40">
        <w:rPr>
          <w:rFonts w:ascii="Georgia" w:eastAsia="Times New Roman" w:hAnsi="Georgia" w:cs="Times New Roman"/>
          <w:sz w:val="20"/>
          <w:szCs w:val="20"/>
          <w:lang w:val="lt-LT" w:eastAsia="lt-LT"/>
        </w:rPr>
        <w:t xml:space="preserve">Energetikos ir Finansų ministerijos vykdo fondo valdytojo atranką, su kuriuo yra pasirašoma trišalė finansavimo sutartis, o fondas valdomas per pagrindinį valdymo organą – Investicinį komitetą. </w:t>
      </w:r>
      <w:r w:rsidRPr="001251A5">
        <w:rPr>
          <w:rFonts w:ascii="Georgia" w:hAnsi="Georgia"/>
          <w:sz w:val="20"/>
          <w:szCs w:val="20"/>
          <w:lang w:val="lt-LT"/>
        </w:rPr>
        <w:t xml:space="preserve">Fondų fondas įsteigiamas kaip </w:t>
      </w:r>
      <w:r w:rsidR="00C93691" w:rsidRPr="001251A5">
        <w:rPr>
          <w:rFonts w:ascii="Georgia" w:hAnsi="Georgia"/>
          <w:sz w:val="20"/>
          <w:szCs w:val="20"/>
          <w:lang w:val="lt-LT"/>
        </w:rPr>
        <w:t>juridin</w:t>
      </w:r>
      <w:r w:rsidR="00313A41" w:rsidRPr="001251A5">
        <w:rPr>
          <w:rFonts w:ascii="Georgia" w:hAnsi="Georgia"/>
          <w:sz w:val="20"/>
          <w:szCs w:val="20"/>
          <w:lang w:val="lt-LT"/>
        </w:rPr>
        <w:t xml:space="preserve">io asmens </w:t>
      </w:r>
      <w:r w:rsidR="00C93691" w:rsidRPr="001251A5">
        <w:rPr>
          <w:rFonts w:ascii="Georgia" w:hAnsi="Georgia"/>
          <w:sz w:val="20"/>
          <w:szCs w:val="20"/>
          <w:lang w:val="lt-LT"/>
        </w:rPr>
        <w:t>status</w:t>
      </w:r>
      <w:r w:rsidR="00313A41" w:rsidRPr="001251A5">
        <w:rPr>
          <w:rFonts w:ascii="Georgia" w:hAnsi="Georgia"/>
          <w:sz w:val="20"/>
          <w:szCs w:val="20"/>
          <w:lang w:val="lt-LT"/>
        </w:rPr>
        <w:t>ą</w:t>
      </w:r>
      <w:r w:rsidR="00C93691" w:rsidRPr="001251A5">
        <w:rPr>
          <w:rFonts w:ascii="Georgia" w:hAnsi="Georgia"/>
          <w:sz w:val="20"/>
          <w:szCs w:val="20"/>
          <w:lang w:val="lt-LT"/>
        </w:rPr>
        <w:t xml:space="preserve"> turintis </w:t>
      </w:r>
      <w:r w:rsidR="00313A41" w:rsidRPr="001251A5">
        <w:rPr>
          <w:rFonts w:ascii="Georgia" w:hAnsi="Georgia"/>
          <w:sz w:val="20"/>
          <w:szCs w:val="20"/>
          <w:lang w:val="lt-LT"/>
        </w:rPr>
        <w:t>subjektas</w:t>
      </w:r>
      <w:r w:rsidRPr="001251A5">
        <w:rPr>
          <w:rFonts w:ascii="Georgia" w:hAnsi="Georgia"/>
          <w:sz w:val="20"/>
          <w:szCs w:val="20"/>
          <w:lang w:val="lt-LT"/>
        </w:rPr>
        <w:t xml:space="preserve">. Finansinę priemonę jis gali įgyvendinti tiesiogiai arba per finansinius tarpininkus. </w:t>
      </w:r>
      <w:r w:rsidR="00C93691" w:rsidRPr="001251A5">
        <w:rPr>
          <w:rFonts w:ascii="Georgia" w:hAnsi="Georgia"/>
          <w:sz w:val="20"/>
          <w:szCs w:val="20"/>
          <w:lang w:val="lt-LT"/>
        </w:rPr>
        <w:t>V</w:t>
      </w:r>
      <w:r w:rsidRPr="001251A5">
        <w:rPr>
          <w:rFonts w:ascii="Georgia" w:hAnsi="Georgia"/>
          <w:sz w:val="20"/>
          <w:szCs w:val="20"/>
          <w:lang w:val="lt-LT"/>
        </w:rPr>
        <w:t xml:space="preserve">adovaujančioji institucija gali investuoti </w:t>
      </w:r>
      <w:r w:rsidR="00C93691" w:rsidRPr="001251A5">
        <w:rPr>
          <w:rFonts w:ascii="Georgia" w:hAnsi="Georgia"/>
          <w:sz w:val="20"/>
          <w:szCs w:val="20"/>
          <w:lang w:val="lt-LT"/>
        </w:rPr>
        <w:t>į tokį juridinį asmenį arba užduotis pavesti vykdyti kitoms institucijoms, kaip apibrėžta Bendrųjų nuostatų reglamento 38.4 punkte.</w:t>
      </w:r>
      <w:r w:rsidRPr="001251A5">
        <w:rPr>
          <w:rFonts w:ascii="Georgia" w:hAnsi="Georgia"/>
          <w:sz w:val="20"/>
          <w:szCs w:val="20"/>
          <w:lang w:val="lt-LT"/>
        </w:rPr>
        <w:t xml:space="preserve"> </w:t>
      </w:r>
    </w:p>
    <w:p w14:paraId="29415A40" w14:textId="77777777" w:rsidR="006B0B34" w:rsidRPr="006C0CDA" w:rsidRDefault="001251A5" w:rsidP="0015154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Aukščiau esančiame </w:t>
      </w:r>
      <w:r w:rsidR="00C93691" w:rsidRPr="00313A41">
        <w:rPr>
          <w:rFonts w:ascii="Georgia" w:eastAsia="Times New Roman" w:hAnsi="Georgia" w:cs="Times New Roman"/>
          <w:sz w:val="20"/>
          <w:szCs w:val="20"/>
          <w:lang w:val="lt-LT" w:eastAsia="lt-LT"/>
        </w:rPr>
        <w:t xml:space="preserve"> paveiksle matyti, jog </w:t>
      </w:r>
      <w:r w:rsidR="00C93691" w:rsidRPr="00EE477F">
        <w:rPr>
          <w:rFonts w:ascii="Georgia" w:eastAsia="Times New Roman" w:hAnsi="Georgia" w:cs="Times New Roman"/>
          <w:sz w:val="20"/>
          <w:szCs w:val="20"/>
          <w:lang w:val="lt-LT" w:eastAsia="lt-LT"/>
        </w:rPr>
        <w:t xml:space="preserve">dalis fondo kapitalo būtų suformuojama kaip pirmojo praradimo lėšos, </w:t>
      </w:r>
      <w:r w:rsidR="00151543" w:rsidRPr="00EE477F">
        <w:rPr>
          <w:rFonts w:ascii="Georgia" w:eastAsia="Times New Roman" w:hAnsi="Georgia" w:cs="Times New Roman"/>
          <w:sz w:val="20"/>
          <w:szCs w:val="20"/>
          <w:lang w:val="lt-LT" w:eastAsia="lt-LT"/>
        </w:rPr>
        <w:t xml:space="preserve"> </w:t>
      </w:r>
      <w:r w:rsidR="00C93691" w:rsidRPr="00EE477F">
        <w:rPr>
          <w:rFonts w:ascii="Georgia" w:eastAsia="Times New Roman" w:hAnsi="Georgia" w:cs="Times New Roman"/>
          <w:sz w:val="20"/>
          <w:szCs w:val="20"/>
          <w:lang w:val="lt-LT" w:eastAsia="lt-LT"/>
        </w:rPr>
        <w:t>kurioms</w:t>
      </w:r>
      <w:r w:rsidR="00151543" w:rsidRPr="00765F40">
        <w:rPr>
          <w:rFonts w:ascii="Georgia" w:eastAsia="Times New Roman" w:hAnsi="Georgia" w:cs="Times New Roman"/>
          <w:sz w:val="20"/>
          <w:szCs w:val="20"/>
          <w:lang w:val="lt-LT" w:eastAsia="lt-LT"/>
        </w:rPr>
        <w:t xml:space="preserve"> būtų panaudojamos ESI fondų lėšos iš Energetikos ministerijos asignavimų viešųjų pastatų ir gatvių apšvietimo modernizavimui finansuoti. </w:t>
      </w:r>
    </w:p>
    <w:p w14:paraId="4B30099D" w14:textId="77777777" w:rsidR="00C93691" w:rsidRPr="001251A5" w:rsidRDefault="00C93691" w:rsidP="00151543">
      <w:pPr>
        <w:jc w:val="both"/>
        <w:rPr>
          <w:rFonts w:ascii="Georgia" w:eastAsia="Times New Roman" w:hAnsi="Georgia" w:cs="Times New Roman"/>
          <w:sz w:val="20"/>
          <w:szCs w:val="20"/>
          <w:lang w:val="lt-LT" w:eastAsia="lt-LT"/>
        </w:rPr>
      </w:pPr>
      <w:r w:rsidRPr="001251A5">
        <w:rPr>
          <w:rFonts w:ascii="Georgia" w:eastAsia="Times New Roman" w:hAnsi="Georgia" w:cs="Times New Roman"/>
          <w:sz w:val="20"/>
          <w:szCs w:val="20"/>
          <w:lang w:val="lt-LT" w:eastAsia="lt-LT"/>
        </w:rPr>
        <w:t xml:space="preserve">Kaip matyti, tarp ministerijų ir fondų fondo įsiterpia trečiasis asmuo – fondo valdytojas. </w:t>
      </w:r>
      <w:r w:rsidR="00151543" w:rsidRPr="001251A5">
        <w:rPr>
          <w:rFonts w:ascii="Georgia" w:eastAsia="Times New Roman" w:hAnsi="Georgia" w:cs="Times New Roman"/>
          <w:sz w:val="20"/>
          <w:szCs w:val="20"/>
          <w:lang w:val="lt-LT" w:eastAsia="lt-LT"/>
        </w:rPr>
        <w:t>Šis fondo valdytojo tarpininkavimas yra reikalingas dėl Lietuvos teisinės bazės apribojimų KŪB juridinei formai</w:t>
      </w:r>
      <w:r w:rsidR="006B0B34" w:rsidRPr="001251A5">
        <w:rPr>
          <w:rFonts w:ascii="Georgia" w:eastAsia="Times New Roman" w:hAnsi="Georgia" w:cs="Times New Roman"/>
          <w:sz w:val="20"/>
          <w:szCs w:val="20"/>
          <w:lang w:val="lt-LT" w:eastAsia="lt-LT"/>
        </w:rPr>
        <w:t>.</w:t>
      </w:r>
      <w:r w:rsidR="00151543" w:rsidRPr="001251A5">
        <w:rPr>
          <w:rFonts w:ascii="Georgia" w:eastAsia="Times New Roman" w:hAnsi="Georgia" w:cs="Times New Roman"/>
          <w:sz w:val="20"/>
          <w:szCs w:val="20"/>
          <w:lang w:val="lt-LT" w:eastAsia="lt-LT"/>
        </w:rPr>
        <w:t xml:space="preserve"> </w:t>
      </w:r>
      <w:r w:rsidR="006B0B34" w:rsidRPr="001251A5">
        <w:rPr>
          <w:rFonts w:ascii="Georgia" w:hAnsi="Georgia"/>
          <w:sz w:val="20"/>
          <w:szCs w:val="20"/>
          <w:lang w:val="lt-LT"/>
        </w:rPr>
        <w:t>Pagal LR Ūkinių bendrijų įstatymo pakeitimo įstatymo Nr. XI-2073 2 str. 5 dalį KŪB yra neribotos civilinės atsakomybės privatusis juridinis asmuo. Atsižvelgiant į tai, kad pagal LR Ūkinių bendrijų įstatymo pakeitimo įstatymo Nr. XI-2073 6 str. 4 ir 5 dalis vadovaujančioji institucija negali būti KŪB nei tikruoju nariu nei komanditoriumi, būtent per fondų fondo valdytoją vadovaujančioji institucija galėtų investuoti į KŪB. Pagal LR Ūkinių bendrijų įstatymo pakeitimo įstatymo Nr. XI-2073 8 str. 1 dalį komanditorius pagal komanditinės ūkinės bendrijos prievoles atsako tik tuo savo turtu, kurį įnešė ir (ar) įsipareigojo įnešti į komanditinę ūkinę bendriją. Pagal LR Ūkinių bendrijų įstatymo pakeitimo įstatymo Nr. XI-2073 8 str. 1 dalį bendrijos tikrieji nariai pagal bendrijos prievoles atsako solidariai visu savo turtu.</w:t>
      </w:r>
    </w:p>
    <w:p w14:paraId="0CEDA700" w14:textId="77777777" w:rsidR="00151543" w:rsidRPr="005B4195" w:rsidRDefault="00151543" w:rsidP="001251A5">
      <w:pPr>
        <w:jc w:val="both"/>
        <w:rPr>
          <w:rFonts w:ascii="Georgia" w:hAnsi="Georgia"/>
          <w:sz w:val="20"/>
          <w:szCs w:val="20"/>
          <w:lang w:val="lt-LT"/>
        </w:rPr>
      </w:pPr>
      <w:r w:rsidRPr="00DC6825">
        <w:rPr>
          <w:rFonts w:ascii="Georgia" w:eastAsia="Times New Roman" w:hAnsi="Georgia" w:cs="Times New Roman"/>
          <w:sz w:val="20"/>
          <w:szCs w:val="20"/>
          <w:lang w:val="lt-LT" w:eastAsia="lt-LT"/>
        </w:rPr>
        <w:t>Pagrindinis šio modelio privalumas – sukuriamas mechanizmas investuotojų įsitraukimui.</w:t>
      </w:r>
      <w:r w:rsidR="001251A5" w:rsidRPr="00DC6825">
        <w:rPr>
          <w:rFonts w:ascii="Georgia" w:eastAsia="Times New Roman" w:hAnsi="Georgia" w:cs="Times New Roman"/>
          <w:sz w:val="20"/>
          <w:szCs w:val="20"/>
          <w:lang w:val="lt-LT" w:eastAsia="lt-LT"/>
        </w:rPr>
        <w:t xml:space="preserve"> </w:t>
      </w:r>
      <w:r w:rsidRPr="00DC6825">
        <w:rPr>
          <w:rFonts w:ascii="Georgia" w:hAnsi="Georgia"/>
          <w:sz w:val="20"/>
          <w:szCs w:val="20"/>
          <w:lang w:val="lt-LT"/>
        </w:rPr>
        <w:t xml:space="preserve">Pažymėtina, jog būtina įvertinti riziką, kad pritraukus papildomų lėšų iš privačių investuotojų pastarieji gali siekti dalyvauti fondo valdyme, </w:t>
      </w:r>
      <w:r w:rsidR="001251A5" w:rsidRPr="00DC6825">
        <w:rPr>
          <w:rFonts w:ascii="Georgia" w:hAnsi="Georgia"/>
          <w:sz w:val="20"/>
          <w:szCs w:val="20"/>
          <w:lang w:val="lt-LT"/>
        </w:rPr>
        <w:t>norėti</w:t>
      </w:r>
      <w:r w:rsidRPr="00DC6825">
        <w:rPr>
          <w:rFonts w:ascii="Georgia" w:hAnsi="Georgia"/>
          <w:sz w:val="20"/>
          <w:szCs w:val="20"/>
          <w:lang w:val="lt-LT"/>
        </w:rPr>
        <w:t xml:space="preserve"> priiminėti sprendimus, kam ir kokiomis </w:t>
      </w:r>
      <w:r w:rsidRPr="005B4195">
        <w:rPr>
          <w:rFonts w:ascii="Georgia" w:hAnsi="Georgia"/>
          <w:sz w:val="20"/>
          <w:szCs w:val="20"/>
          <w:lang w:val="lt-LT"/>
        </w:rPr>
        <w:t xml:space="preserve">sąlygomis yra skolinamos jų investuotos lėšos bei kurie finansiniai tarpininkai gali tą daryti. Iškilus tokiems apribojimams ir siekiant suderinti šalių (vadovaujančios institucijos, Energetikos ministerijos, fondo valdytojo, investuotojų ir finansinių tarpininkų) interesus, fondo veiklos įgyvendinimas gali užsitęsti. </w:t>
      </w:r>
    </w:p>
    <w:p w14:paraId="142C721C" w14:textId="77777777" w:rsidR="00151543" w:rsidRDefault="00151543" w:rsidP="0015154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lastRenderedPageBreak/>
        <w:t>Pagrindinis šio modelio trūkumas lyginant su šio modelio taikymu daugiabučių finansavimo atveju, kad nėra ESCO projektų įgyvendinimo patirties. Net ir sukūrus pirmojo praradimo kapitalo fondą, didelė rizika, kad kol neatsiras sėkmingai įgyvendintų projektų pavyzdžių komerciniai bankai ir kiti potencialūs investuotojai neinvestuotų į tokį fondą. Lyginant su daugiabučių renovacijos modeliu, komerciniai bankai jau dalyvauja kaip finansiniai tarpininkai, kiti bankai analizuoja ir stebi šios rinkos pokyčius, todėl gali būti identifikuojamos aiškios galimybės investitorių pritraukimui.</w:t>
      </w:r>
    </w:p>
    <w:p w14:paraId="08225E1D" w14:textId="15820752" w:rsidR="004B2E74" w:rsidRPr="002878F6" w:rsidRDefault="004B2E74" w:rsidP="004B2E74">
      <w:pPr>
        <w:pStyle w:val="Antrat"/>
        <w:rPr>
          <w:rFonts w:eastAsia="Times New Roman"/>
          <w:szCs w:val="20"/>
          <w:lang w:val="lt-LT" w:eastAsia="lt-LT"/>
        </w:rPr>
      </w:pPr>
      <w:bookmarkStart w:id="395" w:name="_Toc460321740"/>
      <w:r w:rsidRPr="001251A5">
        <w:rPr>
          <w:lang w:val="lt-LT"/>
        </w:rPr>
        <w:t xml:space="preserve">Lentelė </w:t>
      </w:r>
      <w:r w:rsidRPr="001251A5">
        <w:rPr>
          <w:lang w:val="lt-LT"/>
        </w:rPr>
        <w:fldChar w:fldCharType="begin"/>
      </w:r>
      <w:r w:rsidRPr="001251A5">
        <w:rPr>
          <w:lang w:val="lt-LT"/>
        </w:rPr>
        <w:instrText xml:space="preserve"> SEQ Lentelė \* ARABIC </w:instrText>
      </w:r>
      <w:r w:rsidRPr="001251A5">
        <w:rPr>
          <w:lang w:val="lt-LT"/>
        </w:rPr>
        <w:fldChar w:fldCharType="separate"/>
      </w:r>
      <w:r w:rsidR="00AA3082">
        <w:rPr>
          <w:noProof/>
          <w:lang w:val="lt-LT"/>
        </w:rPr>
        <w:t>159</w:t>
      </w:r>
      <w:r w:rsidRPr="001251A5">
        <w:rPr>
          <w:lang w:val="lt-LT"/>
        </w:rPr>
        <w:fldChar w:fldCharType="end"/>
      </w:r>
      <w:r w:rsidRPr="001251A5">
        <w:rPr>
          <w:lang w:val="lt-LT"/>
        </w:rPr>
        <w:t>. Antrosios fondo kūrimo alternatyvos viešiesiems pastatams ir gatvių apšvietimui privalumų ir trūkumų palyginimas</w:t>
      </w:r>
      <w:bookmarkEnd w:id="395"/>
    </w:p>
    <w:tbl>
      <w:tblPr>
        <w:tblStyle w:val="Spalvotassraas2parykinimas"/>
        <w:tblW w:w="0" w:type="auto"/>
        <w:tblLook w:val="04A0" w:firstRow="1" w:lastRow="0" w:firstColumn="1" w:lastColumn="0" w:noHBand="0" w:noVBand="1"/>
      </w:tblPr>
      <w:tblGrid>
        <w:gridCol w:w="4615"/>
        <w:gridCol w:w="4628"/>
      </w:tblGrid>
      <w:tr w:rsidR="00151543" w:rsidRPr="002878F6" w14:paraId="376CF0FA" w14:textId="77777777" w:rsidTr="001515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5" w:type="dxa"/>
            <w:tcBorders>
              <w:top w:val="nil"/>
              <w:left w:val="nil"/>
              <w:right w:val="nil"/>
            </w:tcBorders>
            <w:hideMark/>
          </w:tcPr>
          <w:p w14:paraId="29812C05" w14:textId="77777777" w:rsidR="00151543" w:rsidRPr="002878F6" w:rsidRDefault="00151543" w:rsidP="00467B8E">
            <w:pPr>
              <w:spacing w:after="200" w:line="276" w:lineRule="auto"/>
              <w:jc w:val="center"/>
              <w:rPr>
                <w:rFonts w:ascii="Georgia" w:eastAsia="Times New Roman" w:hAnsi="Georgia" w:cs="Times New Roman"/>
                <w:b w:val="0"/>
                <w:sz w:val="20"/>
                <w:szCs w:val="20"/>
                <w:lang w:val="lt-LT" w:eastAsia="lt-LT"/>
              </w:rPr>
            </w:pPr>
            <w:r w:rsidRPr="002878F6">
              <w:rPr>
                <w:rFonts w:ascii="Georgia" w:eastAsia="Times New Roman" w:hAnsi="Georgia" w:cs="Times New Roman"/>
                <w:sz w:val="20"/>
                <w:szCs w:val="20"/>
                <w:lang w:val="lt-LT" w:eastAsia="lt-LT"/>
              </w:rPr>
              <w:t>Privalumai</w:t>
            </w:r>
          </w:p>
        </w:tc>
        <w:tc>
          <w:tcPr>
            <w:tcW w:w="4628" w:type="dxa"/>
            <w:tcBorders>
              <w:top w:val="nil"/>
              <w:left w:val="nil"/>
              <w:right w:val="nil"/>
            </w:tcBorders>
            <w:hideMark/>
          </w:tcPr>
          <w:p w14:paraId="5B82791B" w14:textId="77777777" w:rsidR="00151543" w:rsidRPr="002878F6" w:rsidRDefault="00151543" w:rsidP="00467B8E">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sz w:val="20"/>
                <w:szCs w:val="20"/>
                <w:lang w:val="lt-LT" w:eastAsia="lt-LT"/>
              </w:rPr>
            </w:pPr>
            <w:r w:rsidRPr="002878F6">
              <w:rPr>
                <w:rFonts w:ascii="Georgia" w:eastAsia="Times New Roman" w:hAnsi="Georgia" w:cs="Times New Roman"/>
                <w:sz w:val="20"/>
                <w:szCs w:val="20"/>
                <w:lang w:val="lt-LT" w:eastAsia="lt-LT"/>
              </w:rPr>
              <w:t>Trūkumai</w:t>
            </w:r>
          </w:p>
        </w:tc>
      </w:tr>
      <w:tr w:rsidR="00151543" w:rsidRPr="002878F6" w14:paraId="4BC68D44" w14:textId="77777777" w:rsidTr="00151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5" w:type="dxa"/>
            <w:hideMark/>
          </w:tcPr>
          <w:p w14:paraId="69657D6F" w14:textId="77777777" w:rsidR="00151543" w:rsidRPr="002878F6" w:rsidRDefault="00151543" w:rsidP="00151543">
            <w:pPr>
              <w:spacing w:after="200" w:line="276" w:lineRule="auto"/>
              <w:jc w:val="both"/>
              <w:rPr>
                <w:rFonts w:ascii="Georgia" w:eastAsia="Times New Roman" w:hAnsi="Georgia" w:cs="Times New Roman"/>
                <w:b w:val="0"/>
                <w:sz w:val="20"/>
                <w:szCs w:val="20"/>
                <w:lang w:val="lt-LT" w:eastAsia="lt-LT"/>
              </w:rPr>
            </w:pPr>
            <w:r w:rsidRPr="002878F6">
              <w:rPr>
                <w:rFonts w:ascii="Georgia" w:eastAsia="Times New Roman" w:hAnsi="Georgia" w:cs="Times New Roman"/>
                <w:b w:val="0"/>
                <w:sz w:val="20"/>
                <w:szCs w:val="20"/>
                <w:lang w:val="lt-LT" w:eastAsia="lt-LT"/>
              </w:rPr>
              <w:t>Sudaromos galimybės pritraukti papildomas investuotojų lėšas</w:t>
            </w:r>
          </w:p>
        </w:tc>
        <w:tc>
          <w:tcPr>
            <w:tcW w:w="4628" w:type="dxa"/>
          </w:tcPr>
          <w:p w14:paraId="758A0AA0" w14:textId="77777777" w:rsidR="00151543" w:rsidRPr="002878F6" w:rsidRDefault="00151543" w:rsidP="00151543">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val="lt-LT" w:eastAsia="lt-LT"/>
              </w:rPr>
            </w:pPr>
            <w:r w:rsidRPr="001251A5">
              <w:rPr>
                <w:rFonts w:ascii="Georgia" w:hAnsi="Georgia"/>
                <w:sz w:val="20"/>
                <w:szCs w:val="20"/>
                <w:lang w:val="lt-LT"/>
              </w:rPr>
              <w:t>1. Finansinių tarpininkų atrinkimui galios Viešųjų pirkimų įstatymo nuostatos, todėl tai apsunkins ir gali užtęsti jų atranką.</w:t>
            </w:r>
          </w:p>
        </w:tc>
      </w:tr>
      <w:tr w:rsidR="00151543" w:rsidRPr="002878F6" w14:paraId="0A0DC445" w14:textId="77777777" w:rsidTr="00151543">
        <w:tc>
          <w:tcPr>
            <w:cnfStyle w:val="001000000000" w:firstRow="0" w:lastRow="0" w:firstColumn="1" w:lastColumn="0" w:oddVBand="0" w:evenVBand="0" w:oddHBand="0" w:evenHBand="0" w:firstRowFirstColumn="0" w:firstRowLastColumn="0" w:lastRowFirstColumn="0" w:lastRowLastColumn="0"/>
            <w:tcW w:w="4615" w:type="dxa"/>
          </w:tcPr>
          <w:p w14:paraId="1B264E56" w14:textId="77777777" w:rsidR="00151543" w:rsidRPr="002878F6" w:rsidRDefault="00151543" w:rsidP="00151543">
            <w:pPr>
              <w:spacing w:after="200" w:line="276" w:lineRule="auto"/>
              <w:jc w:val="both"/>
              <w:rPr>
                <w:rFonts w:ascii="Georgia" w:eastAsia="Times New Roman" w:hAnsi="Georgia" w:cs="Times New Roman"/>
                <w:b w:val="0"/>
                <w:sz w:val="20"/>
                <w:szCs w:val="20"/>
                <w:lang w:val="lt-LT" w:eastAsia="lt-LT"/>
              </w:rPr>
            </w:pPr>
          </w:p>
        </w:tc>
        <w:tc>
          <w:tcPr>
            <w:tcW w:w="4628" w:type="dxa"/>
          </w:tcPr>
          <w:p w14:paraId="2797EA8C" w14:textId="77777777" w:rsidR="00151543" w:rsidRPr="002878F6" w:rsidRDefault="00151543" w:rsidP="00151543">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val="lt-LT" w:eastAsia="lt-LT"/>
              </w:rPr>
            </w:pPr>
            <w:r w:rsidRPr="001251A5">
              <w:rPr>
                <w:rFonts w:ascii="Georgia" w:hAnsi="Georgia"/>
                <w:sz w:val="20"/>
                <w:szCs w:val="20"/>
                <w:lang w:val="lt-LT"/>
              </w:rPr>
              <w:t>2. Neaišku, kas bus tikruoju nariu ir kokį jis vaidmenį atliks fondo įgyvendinime</w:t>
            </w:r>
          </w:p>
        </w:tc>
      </w:tr>
      <w:tr w:rsidR="00151543" w:rsidRPr="002878F6" w14:paraId="06623338" w14:textId="77777777" w:rsidTr="00151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5" w:type="dxa"/>
          </w:tcPr>
          <w:p w14:paraId="4D2F4283" w14:textId="77777777" w:rsidR="00151543" w:rsidRPr="002878F6" w:rsidRDefault="00151543" w:rsidP="00151543">
            <w:pPr>
              <w:spacing w:after="200" w:line="276" w:lineRule="auto"/>
              <w:jc w:val="both"/>
              <w:rPr>
                <w:rFonts w:ascii="Georgia" w:eastAsia="Times New Roman" w:hAnsi="Georgia" w:cs="Times New Roman"/>
                <w:b w:val="0"/>
                <w:sz w:val="20"/>
                <w:szCs w:val="20"/>
                <w:lang w:val="lt-LT" w:eastAsia="lt-LT"/>
              </w:rPr>
            </w:pPr>
          </w:p>
        </w:tc>
        <w:tc>
          <w:tcPr>
            <w:tcW w:w="4628" w:type="dxa"/>
          </w:tcPr>
          <w:p w14:paraId="29178551" w14:textId="77777777" w:rsidR="00151543" w:rsidRPr="002878F6" w:rsidRDefault="00151543" w:rsidP="00151543">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val="lt-LT" w:eastAsia="lt-LT"/>
              </w:rPr>
            </w:pPr>
            <w:r w:rsidRPr="001251A5">
              <w:rPr>
                <w:rFonts w:ascii="Georgia" w:hAnsi="Georgia"/>
                <w:sz w:val="20"/>
                <w:szCs w:val="20"/>
                <w:lang w:val="lt-LT"/>
              </w:rPr>
              <w:t>3. Komerciniai bankai nenoriai investuotų į fondą, jeigu paskolintas lėšas naudotų ne jie patys.</w:t>
            </w:r>
          </w:p>
        </w:tc>
      </w:tr>
    </w:tbl>
    <w:p w14:paraId="0053A711" w14:textId="77777777" w:rsidR="00151543" w:rsidRDefault="00151543" w:rsidP="00151543">
      <w:pPr>
        <w:jc w:val="both"/>
        <w:rPr>
          <w:rFonts w:ascii="Georgia" w:eastAsia="Times New Roman" w:hAnsi="Georgia" w:cs="Times New Roman"/>
          <w:sz w:val="20"/>
          <w:szCs w:val="20"/>
          <w:lang w:val="lt-LT" w:eastAsia="lt-LT"/>
        </w:rPr>
      </w:pPr>
    </w:p>
    <w:p w14:paraId="243CE1BD" w14:textId="77777777" w:rsidR="00151543" w:rsidRPr="003351A4" w:rsidRDefault="006B0B34" w:rsidP="00C03122">
      <w:pPr>
        <w:pStyle w:val="Antrat2"/>
        <w:numPr>
          <w:ilvl w:val="3"/>
          <w:numId w:val="36"/>
        </w:numPr>
        <w:spacing w:after="240"/>
        <w:rPr>
          <w:lang w:val="lt-LT"/>
        </w:rPr>
      </w:pPr>
      <w:bookmarkStart w:id="396" w:name="_Toc398567620"/>
      <w:bookmarkStart w:id="397" w:name="_Toc417378451"/>
      <w:r w:rsidRPr="006B0B34">
        <w:rPr>
          <w:lang w:val="lt-LT"/>
        </w:rPr>
        <w:t>Fondų fondo ir investicinio fondo (turinčio juridinio asmens statusą) steigimas</w:t>
      </w:r>
      <w:bookmarkEnd w:id="396"/>
      <w:bookmarkEnd w:id="397"/>
    </w:p>
    <w:p w14:paraId="4EACC9BB" w14:textId="77777777" w:rsidR="00151543" w:rsidRPr="00501DF9" w:rsidRDefault="00151543" w:rsidP="00151543">
      <w:pPr>
        <w:jc w:val="both"/>
        <w:rPr>
          <w:rFonts w:ascii="Georgia" w:eastAsia="Times New Roman" w:hAnsi="Georgia" w:cs="Times New Roman"/>
          <w:sz w:val="20"/>
          <w:szCs w:val="20"/>
          <w:lang w:val="lt-LT" w:eastAsia="lt-LT"/>
        </w:rPr>
      </w:pPr>
      <w:r w:rsidRPr="00501DF9">
        <w:rPr>
          <w:rFonts w:ascii="Georgia" w:eastAsia="Times New Roman" w:hAnsi="Georgia" w:cs="Times New Roman"/>
          <w:sz w:val="20"/>
          <w:szCs w:val="20"/>
          <w:lang w:val="lt-LT" w:eastAsia="lt-LT"/>
        </w:rPr>
        <w:t xml:space="preserve">Šios alternatyvos įgyvendinimo atveju Finansų ministerija kaip vadovaujančioji institucija kartu su Energetikos ministerija priimtų sprendimą įkurti  fondų fondą, kuris vykdytų numatytą veiklą 2014 - 2020 m. </w:t>
      </w:r>
      <w:r w:rsidR="003F6B20">
        <w:rPr>
          <w:rFonts w:ascii="Georgia" w:eastAsia="Times New Roman" w:hAnsi="Georgia" w:cs="Times New Roman"/>
          <w:sz w:val="20"/>
          <w:szCs w:val="20"/>
          <w:lang w:val="lt-LT" w:eastAsia="lt-LT"/>
        </w:rPr>
        <w:t>periodu</w:t>
      </w:r>
      <w:r w:rsidRPr="00501DF9">
        <w:rPr>
          <w:rFonts w:ascii="Georgia" w:eastAsia="Times New Roman" w:hAnsi="Georgia" w:cs="Times New Roman"/>
          <w:sz w:val="20"/>
          <w:szCs w:val="20"/>
          <w:lang w:val="lt-LT" w:eastAsia="lt-LT"/>
        </w:rPr>
        <w:t>. Fondų fondas veiktų kaip sąskaitų rinkinys finansų įstaigoje</w:t>
      </w:r>
      <w:r w:rsidR="003F6B20">
        <w:rPr>
          <w:rFonts w:ascii="Georgia" w:eastAsia="Times New Roman" w:hAnsi="Georgia" w:cs="Times New Roman"/>
          <w:sz w:val="20"/>
          <w:szCs w:val="20"/>
          <w:lang w:val="lt-LT" w:eastAsia="lt-LT"/>
        </w:rPr>
        <w:t xml:space="preserve">, o jo valdytojas būtų paskiriamas arba atrenkamas kaip tai numatyta Bendrųjų nuostatų reglamento 38.4 punkte. </w:t>
      </w:r>
    </w:p>
    <w:p w14:paraId="55C3EA64" w14:textId="77777777" w:rsidR="00151543" w:rsidRDefault="00151543" w:rsidP="0015154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Šio fondo valdytojas </w:t>
      </w:r>
      <w:r w:rsidR="001251A5">
        <w:rPr>
          <w:rFonts w:ascii="Georgia" w:eastAsia="Times New Roman" w:hAnsi="Georgia" w:cs="Times New Roman"/>
          <w:sz w:val="20"/>
          <w:szCs w:val="20"/>
          <w:lang w:val="lt-LT" w:eastAsia="lt-LT"/>
        </w:rPr>
        <w:t>galėtų</w:t>
      </w:r>
      <w:r>
        <w:rPr>
          <w:rFonts w:ascii="Georgia" w:eastAsia="Times New Roman" w:hAnsi="Georgia" w:cs="Times New Roman"/>
          <w:sz w:val="20"/>
          <w:szCs w:val="20"/>
          <w:lang w:val="lt-LT" w:eastAsia="lt-LT"/>
        </w:rPr>
        <w:t xml:space="preserve"> atrinkti finansinius tarpininkus, kurie teiktų </w:t>
      </w:r>
      <w:r w:rsidR="003F6B20">
        <w:rPr>
          <w:rFonts w:ascii="Georgia" w:eastAsia="Times New Roman" w:hAnsi="Georgia" w:cs="Times New Roman"/>
          <w:sz w:val="20"/>
          <w:szCs w:val="20"/>
          <w:lang w:val="lt-LT" w:eastAsia="lt-LT"/>
        </w:rPr>
        <w:t>finansavimą</w:t>
      </w:r>
      <w:r>
        <w:rPr>
          <w:rFonts w:ascii="Georgia" w:eastAsia="Times New Roman" w:hAnsi="Georgia" w:cs="Times New Roman"/>
          <w:sz w:val="20"/>
          <w:szCs w:val="20"/>
          <w:lang w:val="lt-LT" w:eastAsia="lt-LT"/>
        </w:rPr>
        <w:t xml:space="preserve"> centrinės valdžios viešųjų pastatų ir gatvių apšvietimo tinklo </w:t>
      </w:r>
      <w:r w:rsidR="003F6B20">
        <w:rPr>
          <w:rFonts w:ascii="Georgia" w:eastAsia="Times New Roman" w:hAnsi="Georgia" w:cs="Times New Roman"/>
          <w:sz w:val="20"/>
          <w:szCs w:val="20"/>
          <w:lang w:val="lt-LT" w:eastAsia="lt-LT"/>
        </w:rPr>
        <w:t>modernizavimo projektams, arba finansavimą galėtų teikti pats</w:t>
      </w:r>
      <w:r>
        <w:rPr>
          <w:rFonts w:ascii="Georgia" w:eastAsia="Times New Roman" w:hAnsi="Georgia" w:cs="Times New Roman"/>
          <w:sz w:val="20"/>
          <w:szCs w:val="20"/>
          <w:lang w:val="lt-LT" w:eastAsia="lt-LT"/>
        </w:rPr>
        <w:t xml:space="preserve">. Su atrinktais finansiniais tarpininkais fondo valdytojas pasirašytų sąlygines paskolos sutartis. Finansiniai tarpininkai taip pat gautų nustatytą atlygį už teikiamas finansinio tarpininko paslaugas. </w:t>
      </w:r>
    </w:p>
    <w:p w14:paraId="5803E7E7" w14:textId="77777777" w:rsidR="00151543" w:rsidRDefault="00151543" w:rsidP="0015154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Investicinis fondas, turintis juridinio asmens statusą, būtų steigiamas Lietuvoje, greta veikiančio ESI fondų lėšomis sukurto fondo. Jo veikloje dalyvautų privatūs ir instituciniai investuotojai. Siūloma jo forma – komanditinė ūkinė bendrovė (toliau – KŪB). Būtina pabrėžti, kad pagal LR Ūkinių bendrijų įstatymo pakeitimo įstatymo Nr. XI-2073 2 str. 5 dalį KŪB yra neribotos civilinės atsakomybės privatusis juridinis asmuo. Investicinio fondo steigėju galėtų būti ir tarptautinė finansų institucija, kuri tolimesniuose etapuose dalyvautų šio investicinio fondo veikloje/investavime. Planuojama, kad investicinis fondas galėtų perpirkti iš fondų fondo iki 70 procentų jos išduotų geriausių paskolų. Gautas lėšas fondo valdytojas galėtų panaudoti naujų projektų finansavimui, kas padidintų sverto efektą. </w:t>
      </w:r>
      <w:r w:rsidR="003F6B20">
        <w:rPr>
          <w:rFonts w:ascii="Georgia" w:eastAsia="Times New Roman" w:hAnsi="Georgia" w:cs="Times New Roman"/>
          <w:sz w:val="20"/>
          <w:szCs w:val="20"/>
          <w:lang w:val="lt-LT" w:eastAsia="lt-LT"/>
        </w:rPr>
        <w:t xml:space="preserve">Tokio modelio veikimo principas pavaizduotas paveiksle žemiau. </w:t>
      </w:r>
    </w:p>
    <w:p w14:paraId="28E46023" w14:textId="77777777" w:rsidR="00151543" w:rsidRDefault="00151543" w:rsidP="00151543">
      <w:pPr>
        <w:rPr>
          <w:rFonts w:ascii="Georgia" w:eastAsia="Times New Roman" w:hAnsi="Georgia" w:cs="Times New Roman"/>
          <w:sz w:val="20"/>
          <w:szCs w:val="20"/>
          <w:lang w:val="lt-LT" w:eastAsia="lt-LT"/>
        </w:rPr>
      </w:pPr>
    </w:p>
    <w:p w14:paraId="5C48E2AC" w14:textId="77777777" w:rsidR="009F55BB" w:rsidRDefault="00850371" w:rsidP="004B2E74">
      <w:pPr>
        <w:pStyle w:val="Antrat"/>
        <w:spacing w:line="276" w:lineRule="auto"/>
        <w:rPr>
          <w:rFonts w:eastAsia="Times New Roman"/>
          <w:szCs w:val="20"/>
          <w:lang w:val="lt-LT" w:eastAsia="lt-LT"/>
        </w:rPr>
      </w:pPr>
      <w:r w:rsidRPr="001251A5">
        <w:rPr>
          <w:rFonts w:eastAsia="Times New Roman"/>
          <w:szCs w:val="20"/>
          <w:lang w:val="lt-LT" w:eastAsia="lt-LT"/>
        </w:rPr>
        <w:object w:dxaOrig="15480" w:dyaOrig="11805" w14:anchorId="011D2AD9">
          <v:shape id="_x0000_i1034" type="#_x0000_t75" style="width:450.45pt;height:343.55pt" o:ole="">
            <v:imagedata r:id="rId119" o:title=""/>
          </v:shape>
          <o:OLEObject Type="Embed" ProgID="Visio.Drawing.15" ShapeID="_x0000_i1034" DrawAspect="Content" ObjectID="_1572853848" r:id="rId120"/>
        </w:object>
      </w:r>
    </w:p>
    <w:p w14:paraId="732CD705" w14:textId="3BA86486" w:rsidR="004B2E74" w:rsidRPr="001251A5" w:rsidRDefault="004B2E74" w:rsidP="004B2E74">
      <w:pPr>
        <w:pStyle w:val="Antrat"/>
        <w:spacing w:line="276" w:lineRule="auto"/>
        <w:rPr>
          <w:rFonts w:eastAsia="Times New Roman"/>
          <w:szCs w:val="20"/>
          <w:lang w:val="lt-LT" w:eastAsia="lt-LT"/>
        </w:rPr>
      </w:pPr>
      <w:bookmarkStart w:id="398" w:name="_Toc417378342"/>
      <w:r w:rsidRPr="001251A5">
        <w:rPr>
          <w:lang w:val="lt-LT"/>
        </w:rPr>
        <w:t xml:space="preserve">Paveikslas </w:t>
      </w:r>
      <w:r w:rsidRPr="001251A5">
        <w:rPr>
          <w:lang w:val="lt-LT"/>
        </w:rPr>
        <w:fldChar w:fldCharType="begin"/>
      </w:r>
      <w:r w:rsidRPr="001251A5">
        <w:rPr>
          <w:lang w:val="lt-LT"/>
        </w:rPr>
        <w:instrText xml:space="preserve"> SEQ Paveikslas \* ARABIC </w:instrText>
      </w:r>
      <w:r w:rsidRPr="001251A5">
        <w:rPr>
          <w:lang w:val="lt-LT"/>
        </w:rPr>
        <w:fldChar w:fldCharType="separate"/>
      </w:r>
      <w:r w:rsidR="00AA3082">
        <w:rPr>
          <w:noProof/>
          <w:lang w:val="lt-LT"/>
        </w:rPr>
        <w:t>65</w:t>
      </w:r>
      <w:r w:rsidRPr="001251A5">
        <w:rPr>
          <w:lang w:val="lt-LT"/>
        </w:rPr>
        <w:fldChar w:fldCharType="end"/>
      </w:r>
      <w:r w:rsidRPr="001251A5">
        <w:rPr>
          <w:lang w:val="lt-LT"/>
        </w:rPr>
        <w:t xml:space="preserve">. </w:t>
      </w:r>
      <w:r w:rsidRPr="001251A5">
        <w:rPr>
          <w:rFonts w:eastAsia="Times New Roman"/>
          <w:szCs w:val="20"/>
          <w:lang w:val="lt-LT" w:eastAsia="lt-LT"/>
        </w:rPr>
        <w:t>2014-2020 lėšų investavimas fondą (sąskaitų rinkinį finansų įstaigoje) ir investicinio fondo steigimas</w:t>
      </w:r>
      <w:bookmarkEnd w:id="398"/>
    </w:p>
    <w:p w14:paraId="1A41C24C" w14:textId="77777777" w:rsidR="00151543" w:rsidRDefault="00151543" w:rsidP="0015154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Šios alternatyvos atveju būtų įgyvendinama naudingiausios 4 skyriuje identifikuotos alternatyvos centrinės valdžios viešųjų pastatų ir gatvių apšvietimo </w:t>
      </w:r>
      <w:r w:rsidR="00D56235">
        <w:rPr>
          <w:rFonts w:ascii="Georgia" w:eastAsia="Times New Roman" w:hAnsi="Georgia" w:cs="Times New Roman"/>
          <w:sz w:val="20"/>
          <w:szCs w:val="20"/>
          <w:lang w:val="lt-LT" w:eastAsia="lt-LT"/>
        </w:rPr>
        <w:t>modernizacijos</w:t>
      </w:r>
      <w:r>
        <w:rPr>
          <w:rFonts w:ascii="Georgia" w:eastAsia="Times New Roman" w:hAnsi="Georgia" w:cs="Times New Roman"/>
          <w:sz w:val="20"/>
          <w:szCs w:val="20"/>
          <w:lang w:val="lt-LT" w:eastAsia="lt-LT"/>
        </w:rPr>
        <w:t>. Pagrindinis alternatyvos  privalumas</w:t>
      </w:r>
      <w:r w:rsidR="003F6B20">
        <w:rPr>
          <w:rFonts w:ascii="Georgia" w:eastAsia="Times New Roman" w:hAnsi="Georgia" w:cs="Times New Roman"/>
          <w:sz w:val="20"/>
          <w:szCs w:val="20"/>
          <w:lang w:val="lt-LT" w:eastAsia="lt-LT"/>
        </w:rPr>
        <w:t xml:space="preserve"> yra tai</w:t>
      </w:r>
      <w:r>
        <w:rPr>
          <w:rFonts w:ascii="Georgia" w:eastAsia="Times New Roman" w:hAnsi="Georgia" w:cs="Times New Roman"/>
          <w:sz w:val="20"/>
          <w:szCs w:val="20"/>
          <w:lang w:val="lt-LT" w:eastAsia="lt-LT"/>
        </w:rPr>
        <w:t xml:space="preserve">, kad </w:t>
      </w:r>
      <w:r w:rsidR="003F6B20">
        <w:rPr>
          <w:rFonts w:ascii="Georgia" w:eastAsia="Times New Roman" w:hAnsi="Georgia" w:cs="Times New Roman"/>
          <w:sz w:val="20"/>
          <w:szCs w:val="20"/>
          <w:lang w:val="lt-LT" w:eastAsia="lt-LT"/>
        </w:rPr>
        <w:t xml:space="preserve">fondų </w:t>
      </w:r>
      <w:r>
        <w:rPr>
          <w:rFonts w:ascii="Georgia" w:eastAsia="Times New Roman" w:hAnsi="Georgia" w:cs="Times New Roman"/>
          <w:sz w:val="20"/>
          <w:szCs w:val="20"/>
          <w:lang w:val="lt-LT" w:eastAsia="lt-LT"/>
        </w:rPr>
        <w:t xml:space="preserve">fondas gali būti įsteigiamas minimaliais terminais ir maksimaliai greitai gali pradėti veikti, </w:t>
      </w:r>
      <w:r w:rsidR="003F6B20">
        <w:rPr>
          <w:rFonts w:ascii="Georgia" w:eastAsia="Times New Roman" w:hAnsi="Georgia" w:cs="Times New Roman"/>
          <w:sz w:val="20"/>
          <w:szCs w:val="20"/>
          <w:lang w:val="lt-LT" w:eastAsia="lt-LT"/>
        </w:rPr>
        <w:t>o</w:t>
      </w:r>
      <w:r>
        <w:rPr>
          <w:rFonts w:ascii="Georgia" w:eastAsia="Times New Roman" w:hAnsi="Georgia" w:cs="Times New Roman"/>
          <w:sz w:val="20"/>
          <w:szCs w:val="20"/>
          <w:lang w:val="lt-LT" w:eastAsia="lt-LT"/>
        </w:rPr>
        <w:t xml:space="preserve"> lygiagrečiai </w:t>
      </w:r>
      <w:r w:rsidR="003F6B20">
        <w:rPr>
          <w:rFonts w:ascii="Georgia" w:eastAsia="Times New Roman" w:hAnsi="Georgia" w:cs="Times New Roman"/>
          <w:sz w:val="20"/>
          <w:szCs w:val="20"/>
          <w:lang w:val="lt-LT" w:eastAsia="lt-LT"/>
        </w:rPr>
        <w:t xml:space="preserve">būtų </w:t>
      </w:r>
      <w:r>
        <w:rPr>
          <w:rFonts w:ascii="Georgia" w:eastAsia="Times New Roman" w:hAnsi="Georgia" w:cs="Times New Roman"/>
          <w:sz w:val="20"/>
          <w:szCs w:val="20"/>
          <w:lang w:val="lt-LT" w:eastAsia="lt-LT"/>
        </w:rPr>
        <w:t>kuriamas investicinis fondas. Investicinis fondas būtų sukurtas poros metų bėgyje, tinkamai suderinant ir įvertinant potencialių investuotojų poreikius ir investavimo galimybes.</w:t>
      </w:r>
    </w:p>
    <w:p w14:paraId="67C78B3D" w14:textId="77777777" w:rsidR="00151543" w:rsidRDefault="00151543" w:rsidP="0015154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Būtent dėl įgyvendinimo etapiškumo šios alternatyvos atveju galima tikėtis didžiausio sverto efekto lyginant su kitomis alternatyvomis.</w:t>
      </w:r>
    </w:p>
    <w:p w14:paraId="6D3594C0" w14:textId="1B31337C" w:rsidR="004B2E74" w:rsidRPr="002878F6" w:rsidRDefault="004B2E74" w:rsidP="004B2E74">
      <w:pPr>
        <w:pStyle w:val="Antrat"/>
        <w:rPr>
          <w:rFonts w:eastAsia="Times New Roman"/>
          <w:szCs w:val="20"/>
          <w:lang w:val="lt-LT" w:eastAsia="lt-LT"/>
        </w:rPr>
      </w:pPr>
      <w:bookmarkStart w:id="399" w:name="_Toc460321741"/>
      <w:r w:rsidRPr="00D56235">
        <w:rPr>
          <w:lang w:val="lt-LT"/>
        </w:rPr>
        <w:t xml:space="preserve">Lentelė </w:t>
      </w:r>
      <w:r w:rsidRPr="00D56235">
        <w:rPr>
          <w:lang w:val="lt-LT"/>
        </w:rPr>
        <w:fldChar w:fldCharType="begin"/>
      </w:r>
      <w:r w:rsidRPr="00D56235">
        <w:rPr>
          <w:lang w:val="lt-LT"/>
        </w:rPr>
        <w:instrText xml:space="preserve"> SEQ Lentelė \* ARABIC </w:instrText>
      </w:r>
      <w:r w:rsidRPr="00D56235">
        <w:rPr>
          <w:lang w:val="lt-LT"/>
        </w:rPr>
        <w:fldChar w:fldCharType="separate"/>
      </w:r>
      <w:r w:rsidR="00AA3082">
        <w:rPr>
          <w:noProof/>
          <w:lang w:val="lt-LT"/>
        </w:rPr>
        <w:t>160</w:t>
      </w:r>
      <w:r w:rsidRPr="00D56235">
        <w:rPr>
          <w:lang w:val="lt-LT"/>
        </w:rPr>
        <w:fldChar w:fldCharType="end"/>
      </w:r>
      <w:r w:rsidRPr="00D56235">
        <w:rPr>
          <w:lang w:val="lt-LT"/>
        </w:rPr>
        <w:t>. Trečiosios fondo kūrimo alternatyvos viešiesiems pastatams ir gatvių apšvietimui privalumų ir trūkumų palyginimas</w:t>
      </w:r>
      <w:bookmarkEnd w:id="399"/>
    </w:p>
    <w:tbl>
      <w:tblPr>
        <w:tblStyle w:val="Spalvotassraas2parykinimas"/>
        <w:tblW w:w="0" w:type="auto"/>
        <w:tblLook w:val="04A0" w:firstRow="1" w:lastRow="0" w:firstColumn="1" w:lastColumn="0" w:noHBand="0" w:noVBand="1"/>
      </w:tblPr>
      <w:tblGrid>
        <w:gridCol w:w="4617"/>
        <w:gridCol w:w="4626"/>
      </w:tblGrid>
      <w:tr w:rsidR="00151543" w14:paraId="5E62DCBF" w14:textId="77777777" w:rsidTr="0015154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788" w:type="dxa"/>
            <w:tcBorders>
              <w:top w:val="nil"/>
              <w:left w:val="nil"/>
              <w:right w:val="nil"/>
            </w:tcBorders>
            <w:hideMark/>
          </w:tcPr>
          <w:p w14:paraId="3B9871AD" w14:textId="77777777" w:rsidR="00151543" w:rsidRDefault="00151543" w:rsidP="00151543">
            <w:pPr>
              <w:spacing w:after="200" w:line="276" w:lineRule="auto"/>
              <w:jc w:val="both"/>
              <w:rPr>
                <w:rFonts w:ascii="Georgia" w:eastAsia="Times New Roman" w:hAnsi="Georgia" w:cs="Times New Roman"/>
                <w:b w:val="0"/>
                <w:sz w:val="20"/>
                <w:szCs w:val="20"/>
                <w:lang w:val="lt-LT" w:eastAsia="lt-LT"/>
              </w:rPr>
            </w:pPr>
            <w:r>
              <w:rPr>
                <w:rFonts w:ascii="Georgia" w:eastAsia="Times New Roman" w:hAnsi="Georgia" w:cs="Times New Roman"/>
                <w:sz w:val="20"/>
                <w:szCs w:val="20"/>
                <w:lang w:val="lt-LT" w:eastAsia="lt-LT"/>
              </w:rPr>
              <w:t>Privalumai</w:t>
            </w:r>
          </w:p>
        </w:tc>
        <w:tc>
          <w:tcPr>
            <w:tcW w:w="4788" w:type="dxa"/>
            <w:tcBorders>
              <w:top w:val="nil"/>
              <w:left w:val="nil"/>
              <w:right w:val="nil"/>
            </w:tcBorders>
            <w:hideMark/>
          </w:tcPr>
          <w:p w14:paraId="624DD14A" w14:textId="77777777" w:rsidR="00151543" w:rsidRDefault="00151543" w:rsidP="00151543">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sz w:val="20"/>
                <w:szCs w:val="20"/>
                <w:lang w:val="lt-LT" w:eastAsia="lt-LT"/>
              </w:rPr>
            </w:pPr>
            <w:r>
              <w:rPr>
                <w:rFonts w:ascii="Georgia" w:eastAsia="Times New Roman" w:hAnsi="Georgia" w:cs="Times New Roman"/>
                <w:sz w:val="20"/>
                <w:szCs w:val="20"/>
                <w:lang w:val="lt-LT" w:eastAsia="lt-LT"/>
              </w:rPr>
              <w:t>Trūkumai</w:t>
            </w:r>
          </w:p>
        </w:tc>
      </w:tr>
      <w:tr w:rsidR="00151543" w14:paraId="2BEF0594" w14:textId="77777777" w:rsidTr="0015154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hideMark/>
          </w:tcPr>
          <w:p w14:paraId="11BB7590" w14:textId="77777777" w:rsidR="00151543" w:rsidRPr="008945A5" w:rsidRDefault="00151543" w:rsidP="00151543">
            <w:pPr>
              <w:spacing w:after="200" w:line="276" w:lineRule="auto"/>
              <w:jc w:val="both"/>
              <w:rPr>
                <w:rFonts w:ascii="Georgia" w:eastAsia="Times New Roman" w:hAnsi="Georgia" w:cs="Times New Roman"/>
                <w:b w:val="0"/>
                <w:sz w:val="20"/>
                <w:szCs w:val="20"/>
                <w:lang w:val="lt-LT" w:eastAsia="lt-LT"/>
              </w:rPr>
            </w:pPr>
            <w:r w:rsidRPr="003351A4">
              <w:rPr>
                <w:rFonts w:ascii="Georgia" w:eastAsia="Times New Roman" w:hAnsi="Georgia" w:cs="Times New Roman"/>
                <w:b w:val="0"/>
                <w:sz w:val="20"/>
                <w:szCs w:val="20"/>
                <w:lang w:val="lt-LT" w:eastAsia="lt-LT"/>
              </w:rPr>
              <w:t>1. Paprastas modelis ir pakankamai lanksti valdymo struktūra</w:t>
            </w:r>
          </w:p>
        </w:tc>
        <w:tc>
          <w:tcPr>
            <w:tcW w:w="4788" w:type="dxa"/>
            <w:hideMark/>
          </w:tcPr>
          <w:p w14:paraId="5F99D78C" w14:textId="77777777" w:rsidR="00151543" w:rsidRDefault="00151543" w:rsidP="003F6B20">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1. 2014 – 2020 m. periodo lėšų panaudojimui sudaroma nauja sutartis su fondo valdytoju.</w:t>
            </w:r>
          </w:p>
        </w:tc>
      </w:tr>
      <w:tr w:rsidR="00151543" w14:paraId="14B03D4F" w14:textId="77777777" w:rsidTr="00151543">
        <w:trPr>
          <w:cantSplit/>
        </w:trPr>
        <w:tc>
          <w:tcPr>
            <w:cnfStyle w:val="001000000000" w:firstRow="0" w:lastRow="0" w:firstColumn="1" w:lastColumn="0" w:oddVBand="0" w:evenVBand="0" w:oddHBand="0" w:evenHBand="0" w:firstRowFirstColumn="0" w:firstRowLastColumn="0" w:lastRowFirstColumn="0" w:lastRowLastColumn="0"/>
            <w:tcW w:w="4788" w:type="dxa"/>
            <w:hideMark/>
          </w:tcPr>
          <w:p w14:paraId="0BB5D1F1" w14:textId="77777777" w:rsidR="00151543" w:rsidRPr="008945A5" w:rsidRDefault="00151543" w:rsidP="00151543">
            <w:pPr>
              <w:spacing w:after="200" w:line="276" w:lineRule="auto"/>
              <w:jc w:val="both"/>
              <w:rPr>
                <w:rFonts w:ascii="Georgia" w:eastAsia="Times New Roman" w:hAnsi="Georgia" w:cs="Times New Roman"/>
                <w:b w:val="0"/>
                <w:sz w:val="20"/>
                <w:szCs w:val="20"/>
                <w:lang w:val="lt-LT" w:eastAsia="lt-LT"/>
              </w:rPr>
            </w:pPr>
            <w:r w:rsidRPr="003351A4">
              <w:rPr>
                <w:rFonts w:ascii="Georgia" w:eastAsia="Times New Roman" w:hAnsi="Georgia" w:cs="Times New Roman"/>
                <w:b w:val="0"/>
                <w:sz w:val="20"/>
                <w:szCs w:val="20"/>
                <w:lang w:val="lt-LT" w:eastAsia="lt-LT"/>
              </w:rPr>
              <w:t>2. Aiški ir paž</w:t>
            </w:r>
            <w:r w:rsidR="003F6B20">
              <w:rPr>
                <w:rFonts w:ascii="Georgia" w:eastAsia="Times New Roman" w:hAnsi="Georgia" w:cs="Times New Roman"/>
                <w:b w:val="0"/>
                <w:sz w:val="20"/>
                <w:szCs w:val="20"/>
                <w:lang w:val="lt-LT" w:eastAsia="lt-LT"/>
              </w:rPr>
              <w:t>į</w:t>
            </w:r>
            <w:r w:rsidRPr="003351A4">
              <w:rPr>
                <w:rFonts w:ascii="Georgia" w:eastAsia="Times New Roman" w:hAnsi="Georgia" w:cs="Times New Roman"/>
                <w:b w:val="0"/>
                <w:sz w:val="20"/>
                <w:szCs w:val="20"/>
                <w:lang w:val="lt-LT" w:eastAsia="lt-LT"/>
              </w:rPr>
              <w:t>stama finansinės priemonės veiklos struktūra (t.y., fondų fondo valdymas ir jo santykiai su finansiniais tarpininkais).</w:t>
            </w:r>
          </w:p>
        </w:tc>
        <w:tc>
          <w:tcPr>
            <w:tcW w:w="4788" w:type="dxa"/>
            <w:hideMark/>
          </w:tcPr>
          <w:p w14:paraId="5943AF7D" w14:textId="77777777" w:rsidR="00151543" w:rsidRDefault="00151543" w:rsidP="00151543">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2. Finansinių tarpininkų atrinkimui galioja Viešųjų pirkimų įstatymo nuostatos, todėl tai labai apsunkins ir gali užtęsti jų atranką.</w:t>
            </w:r>
          </w:p>
        </w:tc>
      </w:tr>
      <w:tr w:rsidR="00151543" w14:paraId="28940DD4" w14:textId="77777777" w:rsidTr="0015154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hideMark/>
          </w:tcPr>
          <w:p w14:paraId="482CAC95" w14:textId="77777777" w:rsidR="00151543" w:rsidRPr="008945A5" w:rsidRDefault="00151543" w:rsidP="00151543">
            <w:pPr>
              <w:spacing w:after="200" w:line="276" w:lineRule="auto"/>
              <w:jc w:val="both"/>
              <w:rPr>
                <w:rFonts w:ascii="Georgia" w:eastAsia="Times New Roman" w:hAnsi="Georgia" w:cs="Times New Roman"/>
                <w:b w:val="0"/>
                <w:sz w:val="20"/>
                <w:szCs w:val="20"/>
                <w:lang w:val="lt-LT" w:eastAsia="lt-LT"/>
              </w:rPr>
            </w:pPr>
            <w:r w:rsidRPr="003351A4">
              <w:rPr>
                <w:rFonts w:ascii="Georgia" w:eastAsia="Times New Roman" w:hAnsi="Georgia" w:cs="Times New Roman"/>
                <w:b w:val="0"/>
                <w:sz w:val="20"/>
                <w:szCs w:val="20"/>
                <w:lang w:val="lt-LT" w:eastAsia="lt-LT"/>
              </w:rPr>
              <w:lastRenderedPageBreak/>
              <w:t>3. Finansinę priemonę galima įgyvendinti tiesiogiai ir (arba) per finansinius tarpininkus</w:t>
            </w:r>
          </w:p>
        </w:tc>
        <w:tc>
          <w:tcPr>
            <w:tcW w:w="4788" w:type="dxa"/>
            <w:hideMark/>
          </w:tcPr>
          <w:p w14:paraId="74E5A266" w14:textId="77777777" w:rsidR="00151543" w:rsidRDefault="00151543" w:rsidP="00151543">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3. Infrastruktūros projektų ateities pinigų srautų išpirkimo patirties trūkumas</w:t>
            </w:r>
          </w:p>
        </w:tc>
      </w:tr>
      <w:tr w:rsidR="00151543" w14:paraId="43084BCA" w14:textId="77777777" w:rsidTr="00151543">
        <w:trPr>
          <w:cantSplit/>
        </w:trPr>
        <w:tc>
          <w:tcPr>
            <w:cnfStyle w:val="001000000000" w:firstRow="0" w:lastRow="0" w:firstColumn="1" w:lastColumn="0" w:oddVBand="0" w:evenVBand="0" w:oddHBand="0" w:evenHBand="0" w:firstRowFirstColumn="0" w:firstRowLastColumn="0" w:lastRowFirstColumn="0" w:lastRowLastColumn="0"/>
            <w:tcW w:w="4788" w:type="dxa"/>
            <w:hideMark/>
          </w:tcPr>
          <w:p w14:paraId="52E351B6" w14:textId="77777777" w:rsidR="00151543" w:rsidRPr="008945A5" w:rsidRDefault="00151543" w:rsidP="00151543">
            <w:pPr>
              <w:spacing w:after="200" w:line="276" w:lineRule="auto"/>
              <w:jc w:val="both"/>
              <w:rPr>
                <w:rFonts w:ascii="Georgia" w:eastAsia="Times New Roman" w:hAnsi="Georgia" w:cs="Times New Roman"/>
                <w:b w:val="0"/>
                <w:sz w:val="20"/>
                <w:szCs w:val="20"/>
                <w:lang w:val="lt-LT" w:eastAsia="lt-LT"/>
              </w:rPr>
            </w:pPr>
            <w:r w:rsidRPr="003351A4">
              <w:rPr>
                <w:rFonts w:ascii="Georgia" w:eastAsia="Times New Roman" w:hAnsi="Georgia" w:cs="Times New Roman"/>
                <w:b w:val="0"/>
                <w:sz w:val="20"/>
                <w:szCs w:val="20"/>
                <w:lang w:val="lt-LT" w:eastAsia="lt-LT"/>
              </w:rPr>
              <w:t>4. Leidžia sutaupyti laiko, nes projektai pradedami finansuoti ESI fondų lėšomis, o investicinis fondas, kuriam įsteigti riekia daugiau laiko, kuriamas lygiagrečiai.</w:t>
            </w:r>
          </w:p>
        </w:tc>
        <w:tc>
          <w:tcPr>
            <w:tcW w:w="4788" w:type="dxa"/>
          </w:tcPr>
          <w:p w14:paraId="75C288D5" w14:textId="77777777" w:rsidR="00151543" w:rsidRDefault="00151543" w:rsidP="00151543">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val="lt-LT" w:eastAsia="lt-LT"/>
              </w:rPr>
            </w:pPr>
          </w:p>
        </w:tc>
      </w:tr>
      <w:tr w:rsidR="00151543" w14:paraId="1DB81A51" w14:textId="77777777" w:rsidTr="0015154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8" w:type="dxa"/>
            <w:hideMark/>
          </w:tcPr>
          <w:p w14:paraId="30505A54" w14:textId="77777777" w:rsidR="00151543" w:rsidRPr="008945A5" w:rsidRDefault="00151543" w:rsidP="00151543">
            <w:pPr>
              <w:spacing w:after="200" w:line="276" w:lineRule="auto"/>
              <w:jc w:val="both"/>
              <w:rPr>
                <w:rFonts w:ascii="Georgia" w:eastAsia="Times New Roman" w:hAnsi="Georgia" w:cs="Times New Roman"/>
                <w:b w:val="0"/>
                <w:sz w:val="20"/>
                <w:szCs w:val="20"/>
                <w:lang w:val="lt-LT" w:eastAsia="lt-LT"/>
              </w:rPr>
            </w:pPr>
            <w:r w:rsidRPr="003351A4">
              <w:rPr>
                <w:rFonts w:ascii="Georgia" w:eastAsia="Times New Roman" w:hAnsi="Georgia" w:cs="Times New Roman"/>
                <w:b w:val="0"/>
                <w:sz w:val="20"/>
                <w:szCs w:val="20"/>
                <w:lang w:val="lt-LT" w:eastAsia="lt-LT"/>
              </w:rPr>
              <w:t>5. Suteikia galimybę pritraukti privataus sektoriaus lėšas.</w:t>
            </w:r>
          </w:p>
        </w:tc>
        <w:tc>
          <w:tcPr>
            <w:tcW w:w="4788" w:type="dxa"/>
          </w:tcPr>
          <w:p w14:paraId="15A6091B" w14:textId="77777777" w:rsidR="00151543" w:rsidRDefault="00151543" w:rsidP="00151543">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val="lt-LT" w:eastAsia="lt-LT"/>
              </w:rPr>
            </w:pPr>
          </w:p>
        </w:tc>
      </w:tr>
      <w:tr w:rsidR="00151543" w14:paraId="6BED74A3" w14:textId="77777777" w:rsidTr="00151543">
        <w:trPr>
          <w:cantSplit/>
        </w:trPr>
        <w:tc>
          <w:tcPr>
            <w:cnfStyle w:val="001000000000" w:firstRow="0" w:lastRow="0" w:firstColumn="1" w:lastColumn="0" w:oddVBand="0" w:evenVBand="0" w:oddHBand="0" w:evenHBand="0" w:firstRowFirstColumn="0" w:firstRowLastColumn="0" w:lastRowFirstColumn="0" w:lastRowLastColumn="0"/>
            <w:tcW w:w="4788" w:type="dxa"/>
            <w:hideMark/>
          </w:tcPr>
          <w:p w14:paraId="3AD6502C" w14:textId="77777777" w:rsidR="00151543" w:rsidRPr="008945A5" w:rsidRDefault="00151543" w:rsidP="00151543">
            <w:pPr>
              <w:spacing w:after="200" w:line="276" w:lineRule="auto"/>
              <w:jc w:val="both"/>
              <w:rPr>
                <w:rFonts w:ascii="Georgia" w:eastAsia="Times New Roman" w:hAnsi="Georgia" w:cs="Times New Roman"/>
                <w:b w:val="0"/>
                <w:sz w:val="20"/>
                <w:szCs w:val="20"/>
                <w:lang w:val="lt-LT" w:eastAsia="lt-LT"/>
              </w:rPr>
            </w:pPr>
            <w:r w:rsidRPr="003351A4">
              <w:rPr>
                <w:rFonts w:ascii="Georgia" w:eastAsia="Times New Roman" w:hAnsi="Georgia" w:cs="Times New Roman"/>
                <w:b w:val="0"/>
                <w:sz w:val="20"/>
                <w:szCs w:val="20"/>
                <w:lang w:val="lt-LT" w:eastAsia="lt-LT"/>
              </w:rPr>
              <w:t>6. Greitai grįžtančios lėšos į fondą po ateities pinigų srautų išpirkimo</w:t>
            </w:r>
          </w:p>
        </w:tc>
        <w:tc>
          <w:tcPr>
            <w:tcW w:w="4788" w:type="dxa"/>
          </w:tcPr>
          <w:p w14:paraId="4ACE6B0B" w14:textId="77777777" w:rsidR="00151543" w:rsidRDefault="00151543" w:rsidP="00151543">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val="lt-LT" w:eastAsia="lt-LT"/>
              </w:rPr>
            </w:pPr>
          </w:p>
        </w:tc>
      </w:tr>
    </w:tbl>
    <w:p w14:paraId="0FA083C9" w14:textId="77777777" w:rsidR="00151543" w:rsidRDefault="00151543" w:rsidP="00151543">
      <w:pPr>
        <w:jc w:val="both"/>
        <w:rPr>
          <w:rFonts w:ascii="Georgia" w:eastAsia="Times New Roman" w:hAnsi="Georgia" w:cs="Times New Roman"/>
          <w:sz w:val="20"/>
          <w:szCs w:val="20"/>
          <w:lang w:val="lt-LT" w:eastAsia="lt-LT"/>
        </w:rPr>
      </w:pPr>
    </w:p>
    <w:p w14:paraId="1BEC5F28" w14:textId="77777777" w:rsidR="00151543" w:rsidRPr="003351A4" w:rsidRDefault="00151543" w:rsidP="00C03122">
      <w:pPr>
        <w:pStyle w:val="Antrat2"/>
        <w:numPr>
          <w:ilvl w:val="3"/>
          <w:numId w:val="36"/>
        </w:numPr>
        <w:spacing w:after="240"/>
        <w:rPr>
          <w:lang w:val="lt-LT"/>
        </w:rPr>
      </w:pPr>
      <w:bookmarkStart w:id="400" w:name="_Toc398567621"/>
      <w:bookmarkStart w:id="401" w:name="_Toc417378452"/>
      <w:r w:rsidRPr="003351A4">
        <w:rPr>
          <w:lang w:val="lt-LT"/>
        </w:rPr>
        <w:t>Siūloma įgyvendinti alternatyva</w:t>
      </w:r>
      <w:bookmarkEnd w:id="400"/>
      <w:bookmarkEnd w:id="401"/>
    </w:p>
    <w:p w14:paraId="560B50A8" w14:textId="77777777" w:rsidR="00151543" w:rsidRDefault="00151543" w:rsidP="0015154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Siūloma įgyvendinti alternatyva viešųjų pastatų ir gatvių apšvietimo modernizavimui remiasi kiekvieno iš aukščiau paminėtų modelių privalumais ir trūkumais, sverto skaičiavimais bei kitomis prielaidomis. Atsižvelgiant į visus šiuos faktorius, siūloma įgyvendinti alternatyva - 2014-2020 m. lėšų investavimas į fondą (sąskaitų rinkinį finansų įstaigoje) ir investicinio fondo steigimas (3 alternatyva). Ši schema pateikiama žemiau. </w:t>
      </w:r>
    </w:p>
    <w:p w14:paraId="0B220FAE" w14:textId="77777777" w:rsidR="009F55BB" w:rsidRDefault="00850371" w:rsidP="00100B18">
      <w:pPr>
        <w:keepNext/>
        <w:jc w:val="both"/>
        <w:rPr>
          <w:rFonts w:ascii="Georgia" w:eastAsia="PMingLiU" w:hAnsi="Georgia" w:cs="Times New Roman"/>
          <w:b/>
          <w:bCs/>
          <w:color w:val="A32020"/>
          <w:sz w:val="20"/>
          <w:szCs w:val="18"/>
          <w:lang w:val="lt-LT"/>
        </w:rPr>
      </w:pPr>
      <w:r w:rsidRPr="00DC6825">
        <w:rPr>
          <w:rFonts w:ascii="Georgia" w:eastAsia="PMingLiU" w:hAnsi="Georgia" w:cs="Times New Roman"/>
          <w:b/>
          <w:bCs/>
          <w:color w:val="A32020"/>
          <w:sz w:val="20"/>
          <w:szCs w:val="18"/>
          <w:lang w:val="lt-LT"/>
        </w:rPr>
        <w:object w:dxaOrig="15480" w:dyaOrig="11805" w14:anchorId="570170B7">
          <v:shape id="_x0000_i1035" type="#_x0000_t75" style="width:454.35pt;height:344.1pt" o:ole="">
            <v:imagedata r:id="rId121" o:title=""/>
          </v:shape>
          <o:OLEObject Type="Embed" ProgID="Visio.Drawing.15" ShapeID="_x0000_i1035" DrawAspect="Content" ObjectID="_1572853849" r:id="rId122"/>
        </w:object>
      </w:r>
    </w:p>
    <w:p w14:paraId="34C0471A" w14:textId="59B3D540" w:rsidR="004B2E74" w:rsidRPr="00100B18" w:rsidRDefault="004B2E74" w:rsidP="00100B18">
      <w:pPr>
        <w:pStyle w:val="Antrat"/>
        <w:spacing w:line="276" w:lineRule="auto"/>
        <w:rPr>
          <w:lang w:val="lt-LT"/>
        </w:rPr>
      </w:pPr>
      <w:bookmarkStart w:id="402" w:name="_Toc417378343"/>
      <w:r w:rsidRPr="00DC6825">
        <w:rPr>
          <w:lang w:val="lt-LT"/>
        </w:rPr>
        <w:t xml:space="preserve">Paveikslas </w:t>
      </w:r>
      <w:r w:rsidRPr="00100B18">
        <w:rPr>
          <w:lang w:val="lt-LT"/>
        </w:rPr>
        <w:fldChar w:fldCharType="begin"/>
      </w:r>
      <w:r w:rsidRPr="00DC6825">
        <w:rPr>
          <w:lang w:val="lt-LT"/>
        </w:rPr>
        <w:instrText xml:space="preserve"> SEQ Paveikslas \* ARABIC </w:instrText>
      </w:r>
      <w:r w:rsidRPr="00100B18">
        <w:rPr>
          <w:lang w:val="lt-LT"/>
        </w:rPr>
        <w:fldChar w:fldCharType="separate"/>
      </w:r>
      <w:r w:rsidR="00AA3082">
        <w:rPr>
          <w:noProof/>
          <w:lang w:val="lt-LT"/>
        </w:rPr>
        <w:t>66</w:t>
      </w:r>
      <w:r w:rsidRPr="00100B18">
        <w:rPr>
          <w:lang w:val="lt-LT"/>
        </w:rPr>
        <w:fldChar w:fldCharType="end"/>
      </w:r>
      <w:r w:rsidRPr="00DC6825">
        <w:rPr>
          <w:lang w:val="lt-LT"/>
        </w:rPr>
        <w:t xml:space="preserve">. 2014-2020 lėšų investavimas į </w:t>
      </w:r>
      <w:r w:rsidR="003F6B20" w:rsidRPr="00DC6825">
        <w:rPr>
          <w:lang w:val="lt-LT"/>
        </w:rPr>
        <w:t>fondų</w:t>
      </w:r>
      <w:r w:rsidRPr="00DC6825">
        <w:rPr>
          <w:lang w:val="lt-LT"/>
        </w:rPr>
        <w:t xml:space="preserve"> fondą (sąskaitų rinkinį finansų įstaigoje) ir investicinio fondo steigimas Lietuvoje</w:t>
      </w:r>
      <w:bookmarkEnd w:id="402"/>
    </w:p>
    <w:p w14:paraId="4F746F76" w14:textId="77777777" w:rsidR="003F6B20" w:rsidRDefault="00151543" w:rsidP="00151543">
      <w:pPr>
        <w:jc w:val="both"/>
        <w:rPr>
          <w:rFonts w:ascii="Georgia" w:hAnsi="Georgia" w:cs="Arial"/>
          <w:color w:val="000000"/>
          <w:sz w:val="20"/>
          <w:szCs w:val="20"/>
          <w:lang w:val="lt-LT"/>
        </w:rPr>
      </w:pPr>
      <w:r>
        <w:rPr>
          <w:rFonts w:ascii="Georgia" w:eastAsia="Times New Roman" w:hAnsi="Georgia" w:cs="Times New Roman"/>
          <w:sz w:val="20"/>
          <w:szCs w:val="20"/>
          <w:lang w:val="lt-LT" w:eastAsia="lt-LT"/>
        </w:rPr>
        <w:t xml:space="preserve">Vertinant įvairias alternatyvas fondų fondo valdytojo paskyrimui, </w:t>
      </w:r>
      <w:r>
        <w:rPr>
          <w:rFonts w:ascii="Georgia" w:hAnsi="Georgia" w:cs="Arial"/>
          <w:color w:val="000000"/>
          <w:sz w:val="20"/>
          <w:szCs w:val="20"/>
          <w:lang w:val="lt-LT"/>
        </w:rPr>
        <w:t>kaip numatyta Bendrųjų nuostatų reglamento 38</w:t>
      </w:r>
      <w:r w:rsidR="003F6B20">
        <w:rPr>
          <w:rFonts w:ascii="Georgia" w:hAnsi="Georgia" w:cs="Arial"/>
          <w:color w:val="000000"/>
          <w:sz w:val="20"/>
          <w:szCs w:val="20"/>
          <w:lang w:val="lt-LT"/>
        </w:rPr>
        <w:t>.</w:t>
      </w:r>
      <w:r>
        <w:rPr>
          <w:rFonts w:ascii="Georgia" w:hAnsi="Georgia" w:cs="Arial"/>
          <w:color w:val="000000"/>
          <w:sz w:val="20"/>
          <w:szCs w:val="20"/>
          <w:lang w:val="lt-LT"/>
        </w:rPr>
        <w:t>4 (b) dalyje, vadovaujančiajai institucijai yra sudarytos kelios galimybės atrinkti fondų fondo valdytoją</w:t>
      </w:r>
      <w:r w:rsidR="003F6B20">
        <w:rPr>
          <w:rFonts w:ascii="Georgia" w:hAnsi="Georgia" w:cs="Arial"/>
          <w:color w:val="000000"/>
          <w:sz w:val="20"/>
          <w:szCs w:val="20"/>
          <w:lang w:val="lt-LT"/>
        </w:rPr>
        <w:t>. Pagal šias galimybes turėtų būti įvertinama, kokie potencialiai fondų fondo valdytojai, veikiantys rinkoje, galėtų būti paskirti fondo valdytoju.</w:t>
      </w:r>
    </w:p>
    <w:p w14:paraId="40E4D27E" w14:textId="77777777" w:rsidR="00687E0A" w:rsidRPr="00176533" w:rsidRDefault="00687E0A" w:rsidP="00151543">
      <w:pPr>
        <w:jc w:val="both"/>
        <w:rPr>
          <w:rFonts w:ascii="Georgia" w:hAnsi="Georgia" w:cs="Arial"/>
          <w:b/>
          <w:color w:val="000000"/>
          <w:sz w:val="20"/>
          <w:szCs w:val="20"/>
          <w:lang w:val="lt-LT"/>
        </w:rPr>
      </w:pPr>
      <w:r w:rsidRPr="00176533">
        <w:rPr>
          <w:rFonts w:ascii="Georgia" w:hAnsi="Georgia" w:cs="Arial"/>
          <w:b/>
          <w:color w:val="000000"/>
          <w:sz w:val="20"/>
          <w:szCs w:val="20"/>
          <w:lang w:val="lt-LT"/>
        </w:rPr>
        <w:t>Fondų fondo valdytojo paskyrimo alternatyvos</w:t>
      </w:r>
    </w:p>
    <w:p w14:paraId="256BF056" w14:textId="77777777" w:rsidR="008E6DE4" w:rsidRDefault="008E6DE4" w:rsidP="008E6DE4">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Centrinės valdžios viešųjų pastatų renovacijos ir gatvių apšvietimo infrastruktūros modernizavimo fondų fondo valdymo užduotys pagal rekomenduojamą alternatyvą gali būti pavestos įgyvendinti Bendrųjų nuostatų reglamento 38(4) punkte nurodytoms institucijoms.</w:t>
      </w:r>
    </w:p>
    <w:p w14:paraId="38EFCE70" w14:textId="77777777" w:rsidR="008E6DE4" w:rsidRDefault="008E6DE4" w:rsidP="008E6DE4">
      <w:pPr>
        <w:autoSpaceDE w:val="0"/>
        <w:autoSpaceDN w:val="0"/>
        <w:adjustRightInd w:val="0"/>
        <w:spacing w:after="0"/>
        <w:jc w:val="both"/>
        <w:rPr>
          <w:rFonts w:ascii="Georgia" w:hAnsi="Georgia" w:cs="Georgia"/>
          <w:sz w:val="20"/>
          <w:szCs w:val="20"/>
          <w:lang w:val="lt-LT"/>
        </w:rPr>
      </w:pPr>
    </w:p>
    <w:p w14:paraId="62CF6531" w14:textId="77777777" w:rsidR="008E6DE4" w:rsidRDefault="00822D9C" w:rsidP="008E6DE4">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10-ame priede</w:t>
      </w:r>
      <w:r w:rsidR="008E6DE4">
        <w:rPr>
          <w:rFonts w:ascii="Georgia" w:hAnsi="Georgia" w:cs="Georgia"/>
          <w:sz w:val="20"/>
          <w:szCs w:val="20"/>
          <w:lang w:val="lt-LT"/>
        </w:rPr>
        <w:t xml:space="preserve"> analizuojamos septynios finansinės priemonės įgyvendinimo alternatyvos:</w:t>
      </w:r>
    </w:p>
    <w:p w14:paraId="496A0615" w14:textId="77777777" w:rsidR="008E6DE4" w:rsidRDefault="008E6DE4" w:rsidP="002A576D">
      <w:pPr>
        <w:pStyle w:val="Sraopastraipa"/>
        <w:numPr>
          <w:ilvl w:val="0"/>
          <w:numId w:val="105"/>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vadovaujančioji institucija investuoja į esamų ar naujai sukurtų juridinių vienetų, skirtų įgyvendinti finansines priemones, kapitalą (38(4)(a) straipsnis) (toliau – I alternatyva);</w:t>
      </w:r>
    </w:p>
    <w:p w14:paraId="03782215" w14:textId="77777777" w:rsidR="008E6DE4" w:rsidRDefault="008E6DE4" w:rsidP="002A576D">
      <w:pPr>
        <w:pStyle w:val="Sraopastraipa"/>
        <w:numPr>
          <w:ilvl w:val="0"/>
          <w:numId w:val="105"/>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vadovaujančioji institucija paveda finansinių priemonių įgyvendinimą kitai institucijai. Ši alternatyva skiriama į tris galimybes (38(4)(b) straipsnis):</w:t>
      </w:r>
    </w:p>
    <w:p w14:paraId="32C039ED" w14:textId="77777777" w:rsidR="008E6DE4" w:rsidRDefault="008E6DE4" w:rsidP="002A576D">
      <w:pPr>
        <w:pStyle w:val="Sraopastraipa"/>
        <w:numPr>
          <w:ilvl w:val="1"/>
          <w:numId w:val="105"/>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EIB grupė (38(4)(b)(i) straipsnis) (toliau – II alternatyva);</w:t>
      </w:r>
    </w:p>
    <w:p w14:paraId="137AF8B7" w14:textId="77777777" w:rsidR="008E6DE4" w:rsidRDefault="008E6DE4" w:rsidP="002A576D">
      <w:pPr>
        <w:pStyle w:val="Sraopastraipa"/>
        <w:numPr>
          <w:ilvl w:val="1"/>
          <w:numId w:val="105"/>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tarptautinės finansų įstaigos, kuriose valstybė yra akcininkė (III alternatyva) (vertinami NIB, EBRD, CEB), valstybėje narėje įsteigtos finansų įstaigos, kurių tikslas – siekti viešųjų interesų kontroliuojant valdžios institucijai (38(4)(b)(ii) straipsnis) (toliau – IV alternatyva); </w:t>
      </w:r>
    </w:p>
    <w:p w14:paraId="6FA4401F" w14:textId="77777777" w:rsidR="008E6DE4" w:rsidRDefault="008E6DE4" w:rsidP="002A576D">
      <w:pPr>
        <w:pStyle w:val="Sraopastraipa"/>
        <w:numPr>
          <w:ilvl w:val="1"/>
          <w:numId w:val="105"/>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lastRenderedPageBreak/>
        <w:t>viešosios ar privačiosios teisės subjektas (38(4)(b)(iii) straipsnis) (toliau – V alternatyva);</w:t>
      </w:r>
    </w:p>
    <w:p w14:paraId="0B3CD595" w14:textId="77777777" w:rsidR="008E6DE4" w:rsidRDefault="008E6DE4" w:rsidP="002A576D">
      <w:pPr>
        <w:pStyle w:val="Sraopastraipa"/>
        <w:numPr>
          <w:ilvl w:val="0"/>
          <w:numId w:val="105"/>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vadovaujančioji institucija įgyvendina finansines priemones tiesiogiai (38(4)(c)) (toliau – VI alternatyva);</w:t>
      </w:r>
    </w:p>
    <w:p w14:paraId="37DA7365" w14:textId="77777777" w:rsidR="008E6DE4" w:rsidRDefault="008E6DE4" w:rsidP="002A576D">
      <w:pPr>
        <w:pStyle w:val="Sraopastraipa"/>
        <w:numPr>
          <w:ilvl w:val="0"/>
          <w:numId w:val="105"/>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vadovaujančioji institucija paveda finansinių priemonių įgyvendinimą dviem institucijoms: EIB ir nacionalinei finansų įstaigai kartu (VII alternatyva).</w:t>
      </w:r>
    </w:p>
    <w:p w14:paraId="5289C15B" w14:textId="77777777" w:rsidR="008E6DE4" w:rsidRDefault="008E6DE4" w:rsidP="008E6DE4">
      <w:pPr>
        <w:autoSpaceDE w:val="0"/>
        <w:autoSpaceDN w:val="0"/>
        <w:adjustRightInd w:val="0"/>
        <w:spacing w:after="120"/>
        <w:jc w:val="both"/>
        <w:rPr>
          <w:rFonts w:ascii="Georgia" w:hAnsi="Georgia" w:cs="Georgia"/>
          <w:sz w:val="20"/>
          <w:szCs w:val="20"/>
          <w:lang w:val="lt-LT"/>
        </w:rPr>
      </w:pPr>
      <w:r>
        <w:rPr>
          <w:rFonts w:ascii="Georgia" w:hAnsi="Georgia" w:cs="Georgia"/>
          <w:sz w:val="20"/>
          <w:szCs w:val="20"/>
          <w:lang w:val="lt-LT"/>
        </w:rPr>
        <w:t>Taip pat preliminariai buvo nagrinėtos ir kitos alternatyvos, pvz., finansinės priemonės įgyvendinimą pavesti EIB ir viešosios ir privačiosios teisės subjektui. Preliminari šių alternatyvų analizė parodė, jog nei viena iš kombinacijų nėra patraukli, todėl į tolimesnę išsamią analizę jos nebuvo įtrauktos.</w:t>
      </w:r>
    </w:p>
    <w:p w14:paraId="09CBADD5" w14:textId="77777777" w:rsidR="008E6DE4" w:rsidRDefault="008E6DE4" w:rsidP="008E6DE4">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Visos alternatyvos vertinamos pagal vienodus kriterijus. Žemiau nurodomi pasirinkti kriterijai ir pateikiamas jų paaiškinimas:</w:t>
      </w:r>
    </w:p>
    <w:p w14:paraId="65D87BD3" w14:textId="77777777" w:rsidR="008E6DE4" w:rsidRDefault="008E6DE4" w:rsidP="002A576D">
      <w:pPr>
        <w:pStyle w:val="Sraopastraipa"/>
        <w:numPr>
          <w:ilvl w:val="0"/>
          <w:numId w:val="106"/>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operatyvumas: vertinama kaip operatyviai būtų galima pradėti įgyvendinti alternatyvas;</w:t>
      </w:r>
    </w:p>
    <w:p w14:paraId="3D133760" w14:textId="77777777" w:rsidR="008E6DE4" w:rsidRDefault="008E6DE4" w:rsidP="002A576D">
      <w:pPr>
        <w:pStyle w:val="Sraopastraipa"/>
        <w:numPr>
          <w:ilvl w:val="0"/>
          <w:numId w:val="106"/>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įgyvendinimo kaštai: vertinami alternatyvos įgyvendinimo kaštai, tame tarpe pasirengimo įgyvendinti kaštai (pvz., įgyvendinimui reikalingų sistemų ir procedūrų kūrimas);</w:t>
      </w:r>
    </w:p>
    <w:p w14:paraId="25404308" w14:textId="77777777" w:rsidR="008E6DE4" w:rsidRDefault="008E6DE4" w:rsidP="002A576D">
      <w:pPr>
        <w:pStyle w:val="Sraopastraipa"/>
        <w:numPr>
          <w:ilvl w:val="0"/>
          <w:numId w:val="106"/>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patirtis: vertinama institucijų/organizacijų patirtis įgyvendinant finansines priemones centrinės valdžios viešųjų pastatų renovacijos ir gatvių apšvietimo infrastruktūros modernizavimo sektoriuose bei patirtis įgyvendinant finansines priemones;</w:t>
      </w:r>
    </w:p>
    <w:p w14:paraId="2D5845A0" w14:textId="77777777" w:rsidR="008E6DE4" w:rsidRDefault="008E6DE4" w:rsidP="002A576D">
      <w:pPr>
        <w:pStyle w:val="Sraopastraipa"/>
        <w:numPr>
          <w:ilvl w:val="0"/>
          <w:numId w:val="106"/>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ištekliai: vertinami institucijų/organizacijų turimi žmogiškieji ištekliai;</w:t>
      </w:r>
    </w:p>
    <w:p w14:paraId="2E73DC0D" w14:textId="77777777" w:rsidR="008E6DE4" w:rsidRDefault="008E6DE4" w:rsidP="002A576D">
      <w:pPr>
        <w:pStyle w:val="Sraopastraipa"/>
        <w:numPr>
          <w:ilvl w:val="0"/>
          <w:numId w:val="106"/>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lankstumas: vertinamos galimybės atsiradus poreikiui reaguoti į pasikeitusias išorės aplinkybes;</w:t>
      </w:r>
    </w:p>
    <w:p w14:paraId="2DCD98CB" w14:textId="77777777" w:rsidR="008E6DE4" w:rsidRDefault="008E6DE4" w:rsidP="002A576D">
      <w:pPr>
        <w:pStyle w:val="Sraopastraipa"/>
        <w:numPr>
          <w:ilvl w:val="0"/>
          <w:numId w:val="106"/>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pasitraukimo rizika: vertinama fondo valdytojo pasitraukimo galimybė;</w:t>
      </w:r>
    </w:p>
    <w:p w14:paraId="436B74D2" w14:textId="77777777" w:rsidR="008E6DE4" w:rsidRDefault="008E6DE4" w:rsidP="002A576D">
      <w:pPr>
        <w:pStyle w:val="Sraopastraipa"/>
        <w:numPr>
          <w:ilvl w:val="0"/>
          <w:numId w:val="106"/>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kompetencijų nacionaliniu lygiu kūrimas: vertinama, alternatyvos įtaka kompetencijų nacionaliniu lygiu kūrimui. Ateityje didės finansinių priemonių svarba ESI lėšų panaudojimo kontekste, todėl svarbu sukurti nacionalinį kompetencijos centrą;</w:t>
      </w:r>
    </w:p>
    <w:p w14:paraId="0C6D644C" w14:textId="77777777" w:rsidR="008E6DE4" w:rsidRDefault="008E6DE4" w:rsidP="002A576D">
      <w:pPr>
        <w:pStyle w:val="Sraopastraipa"/>
        <w:numPr>
          <w:ilvl w:val="0"/>
          <w:numId w:val="106"/>
        </w:numPr>
        <w:autoSpaceDE w:val="0"/>
        <w:autoSpaceDN w:val="0"/>
        <w:adjustRightInd w:val="0"/>
        <w:spacing w:after="120"/>
        <w:ind w:left="714" w:hanging="357"/>
        <w:jc w:val="both"/>
        <w:rPr>
          <w:rFonts w:ascii="Georgia" w:hAnsi="Georgia" w:cs="Georgia"/>
          <w:sz w:val="20"/>
          <w:szCs w:val="20"/>
          <w:lang w:val="lt-LT"/>
        </w:rPr>
      </w:pPr>
      <w:r>
        <w:rPr>
          <w:rFonts w:ascii="Georgia" w:hAnsi="Georgia" w:cs="Georgia"/>
          <w:sz w:val="20"/>
          <w:szCs w:val="20"/>
          <w:lang w:val="lt-LT"/>
        </w:rPr>
        <w:t>funkcionalumas: vertinamas funkcionalumas (operatyvumas, bendradarbiavimas su kitomis institucijomis / organizacijomis, suinteresuotomis grupėmis ir t.t.).</w:t>
      </w:r>
    </w:p>
    <w:p w14:paraId="5BAD8070" w14:textId="77777777" w:rsidR="008E6DE4" w:rsidRDefault="008E6DE4" w:rsidP="008E6DE4">
      <w:pPr>
        <w:autoSpaceDE w:val="0"/>
        <w:autoSpaceDN w:val="0"/>
        <w:adjustRightInd w:val="0"/>
        <w:spacing w:after="120"/>
        <w:jc w:val="both"/>
        <w:rPr>
          <w:rFonts w:ascii="Georgia" w:hAnsi="Georgia" w:cs="Georgia"/>
          <w:sz w:val="20"/>
          <w:szCs w:val="20"/>
          <w:lang w:val="lt-LT"/>
        </w:rPr>
      </w:pPr>
      <w:r>
        <w:rPr>
          <w:rFonts w:ascii="Georgia" w:hAnsi="Georgia" w:cs="Georgia"/>
          <w:sz w:val="20"/>
          <w:szCs w:val="20"/>
          <w:lang w:val="lt-LT"/>
        </w:rPr>
        <w:t xml:space="preserve">Pagal kiekvieną kriterijų visoms alternatyvoms suteikiamas įvertinimas nuo 1 iki 3, kur 1 yra žemiausias įvertinimas (pvz., didelių laiko sąnaudų reikalaujanti alternatyva), o 3 – didžiausias (pvz., greitai įgyvendinama alternatyva). Daugiausiai balų surinkusi alternatyva laikoma tinkamiausia. </w:t>
      </w:r>
    </w:p>
    <w:p w14:paraId="2A2537CF" w14:textId="77777777" w:rsidR="008E6DE4" w:rsidRDefault="008E6DE4" w:rsidP="008E6DE4">
      <w:pPr>
        <w:autoSpaceDE w:val="0"/>
        <w:autoSpaceDN w:val="0"/>
        <w:adjustRightInd w:val="0"/>
        <w:spacing w:after="120"/>
        <w:jc w:val="both"/>
        <w:rPr>
          <w:rFonts w:ascii="Georgia" w:hAnsi="Georgia"/>
          <w:color w:val="000000"/>
          <w:sz w:val="20"/>
          <w:szCs w:val="20"/>
          <w:lang w:val="lt-LT"/>
        </w:rPr>
      </w:pPr>
      <w:r>
        <w:rPr>
          <w:rFonts w:ascii="Georgia" w:hAnsi="Georgia" w:cs="Georgia"/>
          <w:sz w:val="20"/>
          <w:szCs w:val="20"/>
          <w:lang w:val="lt-LT"/>
        </w:rPr>
        <w:t xml:space="preserve">Atlikus analizę, daugiausiai balų surinko IV alternatyva (19). </w:t>
      </w:r>
      <w:r>
        <w:rPr>
          <w:rFonts w:ascii="Georgia" w:hAnsi="Georgia"/>
          <w:color w:val="000000"/>
          <w:sz w:val="20"/>
          <w:szCs w:val="20"/>
          <w:lang w:val="lt-LT"/>
        </w:rPr>
        <w:t xml:space="preserve">Ši alternatyva pasižymi didesniu lankstumu ir funkcionalumu nei kitos alternatyvos, taip pat greita įgyvendinimo pradžia (pagal šį kriterijų greitesnė įgyvendinimo pradžia galima tik VI alternatyvos atveju). </w:t>
      </w:r>
    </w:p>
    <w:p w14:paraId="70DAC1FC" w14:textId="77777777" w:rsidR="008E6DE4" w:rsidRDefault="008E6DE4" w:rsidP="008E6DE4">
      <w:pPr>
        <w:autoSpaceDE w:val="0"/>
        <w:autoSpaceDN w:val="0"/>
        <w:adjustRightInd w:val="0"/>
        <w:spacing w:after="120"/>
        <w:jc w:val="both"/>
        <w:rPr>
          <w:rFonts w:ascii="Georgia" w:hAnsi="Georgia"/>
          <w:color w:val="000000"/>
          <w:sz w:val="20"/>
          <w:szCs w:val="20"/>
          <w:lang w:val="lt-LT"/>
        </w:rPr>
      </w:pPr>
      <w:r>
        <w:rPr>
          <w:rFonts w:ascii="Georgia" w:hAnsi="Georgia"/>
          <w:color w:val="000000"/>
          <w:sz w:val="20"/>
          <w:szCs w:val="20"/>
          <w:lang w:val="lt-LT"/>
        </w:rPr>
        <w:t xml:space="preserve">Alternatyva gali pareikalauti šiek tiek didesnių </w:t>
      </w:r>
      <w:r>
        <w:rPr>
          <w:rFonts w:ascii="Georgia" w:hAnsi="Georgia" w:cs="Georgia"/>
          <w:sz w:val="20"/>
          <w:szCs w:val="20"/>
          <w:lang w:val="lt-LT"/>
        </w:rPr>
        <w:t>pasirengimo įgyvendinti kaštų nei alternatyva (VII alternatyva), kurioje dalyvauja EIB, turintis reikalingas sistemas ir procedūras. Taip pat būtų į</w:t>
      </w:r>
      <w:r>
        <w:rPr>
          <w:rFonts w:ascii="Georgia" w:hAnsi="Georgia"/>
          <w:color w:val="000000"/>
          <w:sz w:val="20"/>
          <w:szCs w:val="20"/>
          <w:lang w:val="lt-LT"/>
        </w:rPr>
        <w:t xml:space="preserve">gyvendinamas nacionalinio kompetencijų centro kūrimo siekis ir </w:t>
      </w:r>
      <w:r w:rsidR="00822D9C">
        <w:rPr>
          <w:rFonts w:ascii="Georgia" w:hAnsi="Georgia"/>
          <w:color w:val="000000"/>
          <w:sz w:val="20"/>
          <w:szCs w:val="20"/>
          <w:lang w:val="lt-LT"/>
        </w:rPr>
        <w:t>yra maža</w:t>
      </w:r>
      <w:r>
        <w:rPr>
          <w:rFonts w:ascii="Georgia" w:hAnsi="Georgia"/>
          <w:color w:val="000000"/>
          <w:sz w:val="20"/>
          <w:szCs w:val="20"/>
          <w:lang w:val="lt-LT"/>
        </w:rPr>
        <w:t xml:space="preserve"> pasitraukimo iš rinkos rizik</w:t>
      </w:r>
      <w:r w:rsidR="00822D9C">
        <w:rPr>
          <w:rFonts w:ascii="Georgia" w:hAnsi="Georgia"/>
          <w:color w:val="000000"/>
          <w:sz w:val="20"/>
          <w:szCs w:val="20"/>
          <w:lang w:val="lt-LT"/>
        </w:rPr>
        <w:t>a</w:t>
      </w:r>
      <w:r>
        <w:rPr>
          <w:rFonts w:ascii="Georgia" w:hAnsi="Georgia"/>
          <w:color w:val="000000"/>
          <w:sz w:val="20"/>
          <w:szCs w:val="20"/>
          <w:lang w:val="lt-LT"/>
        </w:rPr>
        <w:t>.</w:t>
      </w:r>
    </w:p>
    <w:p w14:paraId="1350CCD2" w14:textId="77777777" w:rsidR="00932EB1" w:rsidRDefault="008E6DE4" w:rsidP="008E6DE4">
      <w:pPr>
        <w:rPr>
          <w:rFonts w:ascii="Georgia" w:hAnsi="Georgia"/>
          <w:color w:val="000000"/>
          <w:sz w:val="20"/>
          <w:szCs w:val="20"/>
          <w:lang w:val="lt-LT"/>
        </w:rPr>
      </w:pPr>
      <w:r>
        <w:rPr>
          <w:rFonts w:ascii="Georgia" w:hAnsi="Georgia"/>
          <w:color w:val="000000"/>
          <w:sz w:val="20"/>
          <w:szCs w:val="20"/>
          <w:lang w:val="lt-LT"/>
        </w:rPr>
        <w:t>Detali visų alternatyvų analizė pateikiama priede (žr. priedą Nr. 10).</w:t>
      </w:r>
    </w:p>
    <w:p w14:paraId="1DCE59E6" w14:textId="77777777" w:rsidR="001361A4" w:rsidRPr="00CC475A" w:rsidRDefault="001361A4" w:rsidP="00151543">
      <w:pPr>
        <w:jc w:val="both"/>
        <w:rPr>
          <w:rFonts w:ascii="Georgia" w:hAnsi="Georgia" w:cs="Arial"/>
          <w:b/>
          <w:color w:val="000000"/>
          <w:sz w:val="20"/>
          <w:szCs w:val="20"/>
          <w:lang w:val="lt-LT"/>
        </w:rPr>
      </w:pPr>
      <w:r w:rsidRPr="00CC475A">
        <w:rPr>
          <w:rFonts w:ascii="Georgia" w:hAnsi="Georgia" w:cs="Arial"/>
          <w:b/>
          <w:color w:val="000000"/>
          <w:sz w:val="20"/>
          <w:szCs w:val="20"/>
          <w:lang w:val="lt-LT"/>
        </w:rPr>
        <w:t xml:space="preserve">Investuotojai </w:t>
      </w:r>
    </w:p>
    <w:p w14:paraId="105B9C95" w14:textId="77777777" w:rsidR="001361A4" w:rsidRDefault="001361A4" w:rsidP="00151543">
      <w:pPr>
        <w:jc w:val="both"/>
        <w:rPr>
          <w:rFonts w:ascii="Georgia" w:hAnsi="Georgia" w:cs="Arial"/>
          <w:color w:val="000000"/>
          <w:sz w:val="20"/>
          <w:szCs w:val="20"/>
          <w:lang w:val="lt-LT"/>
        </w:rPr>
      </w:pPr>
      <w:r>
        <w:rPr>
          <w:rFonts w:ascii="Georgia" w:hAnsi="Georgia" w:cs="Arial"/>
          <w:color w:val="000000"/>
          <w:sz w:val="20"/>
          <w:szCs w:val="20"/>
          <w:lang w:val="lt-LT"/>
        </w:rPr>
        <w:t xml:space="preserve">Pagrindinis investicinio fondo kūrimo tikslas – pritraukti kuo daugiau privačių, institucinių investuotojų. Šio </w:t>
      </w:r>
      <w:r w:rsidR="00CC475A">
        <w:rPr>
          <w:rFonts w:ascii="Georgia" w:hAnsi="Georgia" w:cs="Arial"/>
          <w:color w:val="000000"/>
          <w:sz w:val="20"/>
          <w:szCs w:val="20"/>
          <w:lang w:val="lt-LT"/>
        </w:rPr>
        <w:t xml:space="preserve">ex ante </w:t>
      </w:r>
      <w:r>
        <w:rPr>
          <w:rFonts w:ascii="Georgia" w:hAnsi="Georgia" w:cs="Arial"/>
          <w:color w:val="000000"/>
          <w:sz w:val="20"/>
          <w:szCs w:val="20"/>
          <w:lang w:val="lt-LT"/>
        </w:rPr>
        <w:t xml:space="preserve">vertinimo atlikimo metu buvo apklausiami įvairūs potencialūs investuotojai. Dauguma investuotojų buvo susidomėję šia alternatyva bei identifikavo, kad norėtų investuoti į tokį fondą. </w:t>
      </w:r>
    </w:p>
    <w:p w14:paraId="2592B34F" w14:textId="77777777" w:rsidR="001361A4" w:rsidRDefault="001361A4" w:rsidP="00151543">
      <w:pPr>
        <w:jc w:val="both"/>
        <w:rPr>
          <w:rFonts w:ascii="Georgia" w:hAnsi="Georgia" w:cs="Arial"/>
          <w:color w:val="000000"/>
          <w:sz w:val="20"/>
          <w:szCs w:val="20"/>
          <w:lang w:val="lt-LT"/>
        </w:rPr>
      </w:pPr>
      <w:r>
        <w:rPr>
          <w:rFonts w:ascii="Georgia" w:hAnsi="Georgia" w:cs="Arial"/>
          <w:color w:val="000000"/>
          <w:sz w:val="20"/>
          <w:szCs w:val="20"/>
          <w:lang w:val="lt-LT"/>
        </w:rPr>
        <w:t>Be to, dauguma potencialių investuotojų pažymėjo, jog investicinis fondas įgytų daug didesnį patrauklumą ir patikimumą, jeigu šio fondo veikloje dalyvautų tarptautinė finansų institucija</w:t>
      </w:r>
      <w:r w:rsidR="00CC475A">
        <w:rPr>
          <w:rFonts w:ascii="Georgia" w:hAnsi="Georgia" w:cs="Arial"/>
          <w:color w:val="000000"/>
          <w:sz w:val="20"/>
          <w:szCs w:val="20"/>
          <w:lang w:val="lt-LT"/>
        </w:rPr>
        <w:t xml:space="preserve">, nes </w:t>
      </w:r>
      <w:r>
        <w:rPr>
          <w:rFonts w:ascii="Georgia" w:hAnsi="Georgia" w:cs="Arial"/>
          <w:color w:val="000000"/>
          <w:sz w:val="20"/>
          <w:szCs w:val="20"/>
          <w:lang w:val="lt-LT"/>
        </w:rPr>
        <w:t xml:space="preserve">investuotojų </w:t>
      </w:r>
      <w:r w:rsidR="00CC475A">
        <w:rPr>
          <w:rFonts w:ascii="Georgia" w:hAnsi="Georgia" w:cs="Arial"/>
          <w:color w:val="000000"/>
          <w:sz w:val="20"/>
          <w:szCs w:val="20"/>
          <w:lang w:val="lt-LT"/>
        </w:rPr>
        <w:t>nuomone</w:t>
      </w:r>
      <w:r>
        <w:rPr>
          <w:rFonts w:ascii="Georgia" w:hAnsi="Georgia" w:cs="Arial"/>
          <w:color w:val="000000"/>
          <w:sz w:val="20"/>
          <w:szCs w:val="20"/>
          <w:lang w:val="lt-LT"/>
        </w:rPr>
        <w:t>, tokiu būdu būtų sumažinama politinė rizika, sutartys su investuotojais tikėtina būtų standartizuotos</w:t>
      </w:r>
      <w:r w:rsidR="00CC475A">
        <w:rPr>
          <w:rFonts w:ascii="Georgia" w:hAnsi="Georgia" w:cs="Arial"/>
          <w:color w:val="000000"/>
          <w:sz w:val="20"/>
          <w:szCs w:val="20"/>
          <w:lang w:val="lt-LT"/>
        </w:rPr>
        <w:t xml:space="preserve"> bei atitiktų tarptautinę praktiką</w:t>
      </w:r>
      <w:r>
        <w:rPr>
          <w:rFonts w:ascii="Georgia" w:hAnsi="Georgia" w:cs="Arial"/>
          <w:color w:val="000000"/>
          <w:sz w:val="20"/>
          <w:szCs w:val="20"/>
          <w:lang w:val="lt-LT"/>
        </w:rPr>
        <w:t xml:space="preserve"> ir tai būtų efektyvus būdas pritraukti didesnį kiekį investicijų greičiau. Be to, dauguma tarptautinių finansų institucijų išmano įvairių investicinių </w:t>
      </w:r>
      <w:r>
        <w:rPr>
          <w:rFonts w:ascii="Georgia" w:hAnsi="Georgia" w:cs="Arial"/>
          <w:color w:val="000000"/>
          <w:sz w:val="20"/>
          <w:szCs w:val="20"/>
          <w:lang w:val="lt-LT"/>
        </w:rPr>
        <w:lastRenderedPageBreak/>
        <w:t xml:space="preserve">fondų veiklos principus, todėl tai investiciniam fondui suteiktų stabilumo, gerintų veiklos efektyvumą, </w:t>
      </w:r>
      <w:r w:rsidR="00CC475A">
        <w:rPr>
          <w:rFonts w:ascii="Georgia" w:hAnsi="Georgia" w:cs="Arial"/>
          <w:color w:val="000000"/>
          <w:sz w:val="20"/>
          <w:szCs w:val="20"/>
          <w:lang w:val="lt-LT"/>
        </w:rPr>
        <w:t xml:space="preserve">didintų </w:t>
      </w:r>
      <w:r>
        <w:rPr>
          <w:rFonts w:ascii="Georgia" w:hAnsi="Georgia" w:cs="Arial"/>
          <w:color w:val="000000"/>
          <w:sz w:val="20"/>
          <w:szCs w:val="20"/>
          <w:lang w:val="lt-LT"/>
        </w:rPr>
        <w:t>investuotoj</w:t>
      </w:r>
      <w:r w:rsidR="00CC475A">
        <w:rPr>
          <w:rFonts w:ascii="Georgia" w:hAnsi="Georgia" w:cs="Arial"/>
          <w:color w:val="000000"/>
          <w:sz w:val="20"/>
          <w:szCs w:val="20"/>
          <w:lang w:val="lt-LT"/>
        </w:rPr>
        <w:t>ų</w:t>
      </w:r>
      <w:r>
        <w:rPr>
          <w:rFonts w:ascii="Georgia" w:hAnsi="Georgia" w:cs="Arial"/>
          <w:color w:val="000000"/>
          <w:sz w:val="20"/>
          <w:szCs w:val="20"/>
          <w:lang w:val="lt-LT"/>
        </w:rPr>
        <w:t xml:space="preserve"> pasitikėjimą. </w:t>
      </w:r>
    </w:p>
    <w:p w14:paraId="07F59380" w14:textId="77777777" w:rsidR="00CC475A" w:rsidRDefault="005F7073" w:rsidP="00151543">
      <w:pPr>
        <w:jc w:val="both"/>
        <w:rPr>
          <w:rFonts w:ascii="Georgia" w:hAnsi="Georgia" w:cs="Arial"/>
          <w:color w:val="000000"/>
          <w:sz w:val="20"/>
          <w:szCs w:val="20"/>
          <w:lang w:val="lt-LT"/>
        </w:rPr>
      </w:pPr>
      <w:r w:rsidRPr="00CC475A">
        <w:rPr>
          <w:rFonts w:ascii="Georgia" w:hAnsi="Georgia" w:cs="Arial"/>
          <w:color w:val="000000"/>
          <w:sz w:val="20"/>
          <w:szCs w:val="20"/>
          <w:lang w:val="lt-LT"/>
        </w:rPr>
        <w:t xml:space="preserve">Tarptautinės finansų institucijos, su kuriomis būtų galima pradėti derybas dėl dalyvavimo investicinio fondo veikloje, yra šios: Europos plėtros ir rekonstrukcijos bankas (ERPB), Šiaurės investicijų bankas, Europos investicijų bankas. ERPB yra pagrindinė institucija, kuri įvairiose šalyse skatina ESCO rinkos plėtrą ir intensyviai dalyvauja finansuojant tokius projektus. ERPB apklausų metu yra išsakiusi, jog į tokį investicinį fondą galėtų arba investuoti, arba suteikti paskolą. ERPB pažymėjo, jog paskolos tokiam fondui būtų teikiamos rinkos palūkanų normomis, o investicijos į kapitalą reikalautų 15 proc. metinės grąžos. Bet kokiu atveju, pradėjus dialogą su ERPB dėl dalyvavimo investicinio fondo veikloje būtų deramasi dėl konkretesnių investavimo sąlygų. </w:t>
      </w:r>
    </w:p>
    <w:p w14:paraId="73285902" w14:textId="77777777" w:rsidR="005F7073" w:rsidRPr="00CC475A" w:rsidRDefault="005F7073" w:rsidP="00151543">
      <w:pPr>
        <w:jc w:val="both"/>
        <w:rPr>
          <w:rFonts w:ascii="Georgia" w:eastAsia="Times New Roman" w:hAnsi="Georgia" w:cs="Times New Roman"/>
          <w:b/>
          <w:sz w:val="20"/>
          <w:szCs w:val="20"/>
          <w:lang w:val="lt-LT" w:eastAsia="lt-LT"/>
        </w:rPr>
      </w:pPr>
      <w:r w:rsidRPr="00CC475A">
        <w:rPr>
          <w:rFonts w:ascii="Georgia" w:eastAsia="Times New Roman" w:hAnsi="Georgia" w:cs="Times New Roman"/>
          <w:b/>
          <w:sz w:val="20"/>
          <w:szCs w:val="20"/>
          <w:lang w:val="lt-LT" w:eastAsia="lt-LT"/>
        </w:rPr>
        <w:t>Kūrimo eiga</w:t>
      </w:r>
    </w:p>
    <w:p w14:paraId="6DEB94D0" w14:textId="52CFA943" w:rsidR="00151543" w:rsidRDefault="00151543" w:rsidP="0015154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Siūloma šią alternatyvą įgyvendinti dviem etapais: pirmiausia panaudojant ESI fondų lėšas kurti finansinę priemonę – fondų fondą, kuris pradeda teikti paskolas </w:t>
      </w:r>
      <w:r w:rsidR="00CC475A">
        <w:rPr>
          <w:rFonts w:ascii="Georgia" w:eastAsia="Times New Roman" w:hAnsi="Georgia" w:cs="Times New Roman"/>
          <w:sz w:val="20"/>
          <w:szCs w:val="20"/>
          <w:lang w:val="lt-LT" w:eastAsia="lt-LT"/>
        </w:rPr>
        <w:t xml:space="preserve">viešųjų pastatų renovacijos </w:t>
      </w:r>
      <w:r>
        <w:rPr>
          <w:rFonts w:ascii="Georgia" w:eastAsia="Times New Roman" w:hAnsi="Georgia" w:cs="Times New Roman"/>
          <w:sz w:val="20"/>
          <w:szCs w:val="20"/>
          <w:lang w:val="lt-LT" w:eastAsia="lt-LT"/>
        </w:rPr>
        <w:t>projektams, tačiau lygiagrečiai siekti įgyvendinti antrąjį etapą – investicinio fondo kūrimą, kuris išpirktų gerųjų paskolų ateities pinigų srautus</w:t>
      </w:r>
      <w:r w:rsidR="00FE31F2">
        <w:rPr>
          <w:rFonts w:ascii="Georgia" w:eastAsia="Times New Roman" w:hAnsi="Georgia" w:cs="Times New Roman"/>
          <w:sz w:val="20"/>
          <w:szCs w:val="20"/>
          <w:lang w:val="lt-LT" w:eastAsia="lt-LT"/>
        </w:rPr>
        <w:t xml:space="preserve"> viešųjų pastatų renovacijos paskolų priemonės atveju. </w:t>
      </w:r>
      <w:r w:rsidR="007B36D8">
        <w:rPr>
          <w:rFonts w:ascii="Georgia" w:eastAsia="Times New Roman" w:hAnsi="Georgia" w:cs="Times New Roman"/>
          <w:sz w:val="20"/>
          <w:szCs w:val="20"/>
          <w:lang w:val="lt-LT" w:eastAsia="lt-LT"/>
        </w:rPr>
        <w:t xml:space="preserve">Ateityje būtų galima siekti per fondų fondą įgyvendinti ir garantijų priemones. </w:t>
      </w:r>
      <w:r w:rsidR="00FE31F2">
        <w:rPr>
          <w:rFonts w:ascii="Georgia" w:eastAsia="Times New Roman" w:hAnsi="Georgia" w:cs="Times New Roman"/>
          <w:sz w:val="20"/>
          <w:szCs w:val="20"/>
          <w:lang w:val="lt-LT" w:eastAsia="lt-LT"/>
        </w:rPr>
        <w:t>Garant</w:t>
      </w:r>
      <w:r w:rsidR="007B36D8">
        <w:rPr>
          <w:rFonts w:ascii="Georgia" w:eastAsia="Times New Roman" w:hAnsi="Georgia" w:cs="Times New Roman"/>
          <w:sz w:val="20"/>
          <w:szCs w:val="20"/>
          <w:lang w:val="lt-LT" w:eastAsia="lt-LT"/>
        </w:rPr>
        <w:t>ijų priemonės atveju šis fondas</w:t>
      </w:r>
      <w:r w:rsidR="00FE31F2">
        <w:rPr>
          <w:rFonts w:ascii="Georgia" w:eastAsia="Times New Roman" w:hAnsi="Georgia" w:cs="Times New Roman"/>
          <w:sz w:val="20"/>
          <w:szCs w:val="20"/>
          <w:lang w:val="lt-LT" w:eastAsia="lt-LT"/>
        </w:rPr>
        <w:t xml:space="preserve"> taip pat galėtų išpirkti projektų ateities pinigų srautus arba bankų suteiktas paskolas, tokiu atveju bankai galėtų skolinti projektams jie</w:t>
      </w:r>
      <w:r w:rsidR="007B36D8">
        <w:rPr>
          <w:rFonts w:ascii="Georgia" w:eastAsia="Times New Roman" w:hAnsi="Georgia" w:cs="Times New Roman"/>
          <w:sz w:val="20"/>
          <w:szCs w:val="20"/>
          <w:lang w:val="lt-LT" w:eastAsia="lt-LT"/>
        </w:rPr>
        <w:t>ms labiau priimtinais trumpesniais</w:t>
      </w:r>
      <w:r w:rsidR="00FE31F2">
        <w:rPr>
          <w:rFonts w:ascii="Georgia" w:eastAsia="Times New Roman" w:hAnsi="Georgia" w:cs="Times New Roman"/>
          <w:sz w:val="20"/>
          <w:szCs w:val="20"/>
          <w:lang w:val="lt-LT" w:eastAsia="lt-LT"/>
        </w:rPr>
        <w:t xml:space="preserve"> laikotarpiais</w:t>
      </w:r>
      <w:r>
        <w:rPr>
          <w:rFonts w:ascii="Georgia" w:eastAsia="Times New Roman" w:hAnsi="Georgia" w:cs="Times New Roman"/>
          <w:sz w:val="20"/>
          <w:szCs w:val="20"/>
          <w:lang w:val="lt-LT" w:eastAsia="lt-LT"/>
        </w:rPr>
        <w:t xml:space="preserve">. Fondų fondas būtų kuriamas panaudojant Energetikos ministerijos ESI fondų asignavimus. </w:t>
      </w:r>
    </w:p>
    <w:p w14:paraId="7332132A" w14:textId="77777777" w:rsidR="00151543" w:rsidRPr="00AA32EA" w:rsidRDefault="00151543" w:rsidP="00151543">
      <w:pPr>
        <w:jc w:val="both"/>
        <w:rPr>
          <w:rFonts w:ascii="Georgia" w:eastAsia="Times New Roman" w:hAnsi="Georgia" w:cs="Times New Roman"/>
          <w:sz w:val="20"/>
          <w:szCs w:val="20"/>
          <w:lang w:val="lt-LT" w:eastAsia="lt-LT"/>
        </w:rPr>
      </w:pPr>
      <w:bookmarkStart w:id="403" w:name="_Toc398567622"/>
    </w:p>
    <w:p w14:paraId="63161B3B" w14:textId="77777777" w:rsidR="00151543" w:rsidRPr="00890789" w:rsidRDefault="00151543" w:rsidP="008F5394">
      <w:pPr>
        <w:pStyle w:val="prastasis1"/>
        <w:keepNext/>
        <w:jc w:val="both"/>
        <w:rPr>
          <w:rFonts w:ascii="Georgia" w:hAnsi="Georgia"/>
          <w:b/>
          <w:sz w:val="20"/>
          <w:szCs w:val="20"/>
        </w:rPr>
      </w:pPr>
      <w:r w:rsidRPr="00890789">
        <w:rPr>
          <w:rFonts w:ascii="Georgia" w:hAnsi="Georgia"/>
          <w:b/>
          <w:sz w:val="20"/>
          <w:szCs w:val="20"/>
        </w:rPr>
        <w:t>Finansinių tarpininkų parinkimas</w:t>
      </w:r>
    </w:p>
    <w:p w14:paraId="621F9E3E" w14:textId="77777777" w:rsidR="001023CB" w:rsidRDefault="001023CB" w:rsidP="008F5394">
      <w:pPr>
        <w:keepNext/>
        <w:jc w:val="both"/>
        <w:rPr>
          <w:rFonts w:ascii="Georgia" w:hAnsi="Georgia"/>
          <w:sz w:val="20"/>
          <w:lang w:val="lt-LT"/>
        </w:rPr>
      </w:pPr>
      <w:r>
        <w:rPr>
          <w:rFonts w:ascii="Georgia" w:hAnsi="Georgia"/>
          <w:sz w:val="20"/>
          <w:lang w:val="lt-LT"/>
        </w:rPr>
        <w:t xml:space="preserve">Kaip aprašyta 7.2.4 skyriaus pradžioje, fondų fondo valdytojas galėtų pats įgyvendinti visas užduotis arba, esant poreikiui, pasitelkti finansinius tarpininkus. Pirminiame etape siūlytina siekti, kad fondų fondo valdytojas užduotis įgyvendintų pats, o finansinius tarpininkus, t.y. komercinius bankus siektų pritraukti kaip papildomus finansuotojus per įvairius finansinius produktus, pavyzdžiui, garantijų teikimą ar dalinį projektų finansavimą. </w:t>
      </w:r>
    </w:p>
    <w:p w14:paraId="72069B5E" w14:textId="77777777" w:rsidR="00151543" w:rsidRPr="00AA32EA" w:rsidRDefault="00151543" w:rsidP="00151543">
      <w:pPr>
        <w:jc w:val="both"/>
        <w:rPr>
          <w:rFonts w:ascii="Georgia" w:eastAsia="Times New Roman" w:hAnsi="Georgia" w:cs="Times New Roman"/>
          <w:sz w:val="20"/>
          <w:szCs w:val="20"/>
          <w:lang w:val="lt-LT" w:eastAsia="lt-LT"/>
        </w:rPr>
      </w:pPr>
    </w:p>
    <w:p w14:paraId="0283661B" w14:textId="77777777" w:rsidR="00151543" w:rsidRPr="00AA32EA" w:rsidRDefault="00151543" w:rsidP="00151543">
      <w:pPr>
        <w:jc w:val="both"/>
        <w:rPr>
          <w:rFonts w:ascii="Georgia" w:eastAsia="Times New Roman" w:hAnsi="Georgia" w:cs="Times New Roman"/>
          <w:sz w:val="20"/>
          <w:szCs w:val="20"/>
          <w:lang w:val="lt-LT" w:eastAsia="lt-LT"/>
        </w:rPr>
      </w:pPr>
    </w:p>
    <w:p w14:paraId="05F0BE27" w14:textId="77777777" w:rsidR="00932EB1" w:rsidRDefault="00932EB1">
      <w:pPr>
        <w:rPr>
          <w:rFonts w:asciiTheme="majorHAnsi" w:eastAsiaTheme="majorEastAsia" w:hAnsiTheme="majorHAnsi" w:cstheme="majorBidi"/>
          <w:b/>
          <w:bCs/>
          <w:color w:val="4F81BD" w:themeColor="accent1"/>
          <w:sz w:val="26"/>
          <w:szCs w:val="26"/>
          <w:lang w:val="lt-LT"/>
        </w:rPr>
      </w:pPr>
      <w:r>
        <w:rPr>
          <w:lang w:val="lt-LT"/>
        </w:rPr>
        <w:br w:type="page"/>
      </w:r>
    </w:p>
    <w:p w14:paraId="7FBB9550" w14:textId="77777777" w:rsidR="00151543" w:rsidRPr="003351A4" w:rsidRDefault="00151543" w:rsidP="00C03122">
      <w:pPr>
        <w:pStyle w:val="Antrat2"/>
        <w:numPr>
          <w:ilvl w:val="2"/>
          <w:numId w:val="36"/>
        </w:numPr>
        <w:spacing w:after="240"/>
        <w:rPr>
          <w:lang w:val="lt-LT"/>
        </w:rPr>
      </w:pPr>
      <w:bookmarkStart w:id="404" w:name="_Toc417378453"/>
      <w:r w:rsidRPr="003351A4">
        <w:rPr>
          <w:lang w:val="lt-LT"/>
        </w:rPr>
        <w:lastRenderedPageBreak/>
        <w:t>Tikėtinų rezultatų nustatymas ir skaičiavimas</w:t>
      </w:r>
      <w:bookmarkEnd w:id="403"/>
      <w:bookmarkEnd w:id="404"/>
    </w:p>
    <w:p w14:paraId="5A5C2945" w14:textId="77777777" w:rsidR="00151543" w:rsidRPr="00AA32EA" w:rsidRDefault="00151543" w:rsidP="00151543">
      <w:pPr>
        <w:jc w:val="both"/>
        <w:rPr>
          <w:rFonts w:ascii="Georgia" w:eastAsia="Times New Roman" w:hAnsi="Georgia" w:cs="Times New Roman"/>
          <w:b/>
          <w:sz w:val="20"/>
          <w:szCs w:val="20"/>
          <w:lang w:val="lt-LT" w:eastAsia="lt-LT"/>
        </w:rPr>
      </w:pPr>
      <w:r w:rsidRPr="00AA32EA">
        <w:rPr>
          <w:rFonts w:ascii="Georgia" w:eastAsia="Times New Roman" w:hAnsi="Georgia" w:cs="Times New Roman"/>
          <w:b/>
          <w:sz w:val="20"/>
          <w:szCs w:val="20"/>
          <w:lang w:val="lt-LT" w:eastAsia="lt-LT"/>
        </w:rPr>
        <w:t>Centrinės valdžios viešųjų pastatų renovacija</w:t>
      </w:r>
    </w:p>
    <w:p w14:paraId="1CA81981" w14:textId="77777777" w:rsidR="00151543" w:rsidRDefault="00151543" w:rsidP="00151543">
      <w:pPr>
        <w:jc w:val="both"/>
        <w:rPr>
          <w:rFonts w:ascii="Georgia" w:eastAsia="Times New Roman" w:hAnsi="Georgia" w:cs="Times New Roman"/>
          <w:sz w:val="20"/>
          <w:szCs w:val="20"/>
          <w:lang w:val="lt-LT" w:eastAsia="lt-LT"/>
        </w:rPr>
      </w:pPr>
      <w:r w:rsidRPr="00AC3318">
        <w:rPr>
          <w:rFonts w:ascii="Georgia" w:eastAsia="Times New Roman" w:hAnsi="Georgia" w:cs="Times New Roman"/>
          <w:sz w:val="20"/>
          <w:szCs w:val="20"/>
          <w:lang w:val="lt-LT" w:eastAsia="lt-LT"/>
        </w:rPr>
        <w:t>Įgyvendinat siūlomą modelį gaunami šie rezultatai:</w:t>
      </w:r>
    </w:p>
    <w:p w14:paraId="77E730BE" w14:textId="394978FC" w:rsidR="00A90CB3" w:rsidRPr="00467B8E" w:rsidRDefault="00A90CB3" w:rsidP="00A90CB3">
      <w:pPr>
        <w:pStyle w:val="Antrat"/>
        <w:rPr>
          <w:rFonts w:eastAsia="Times New Roman"/>
          <w:szCs w:val="20"/>
          <w:lang w:val="lt-LT" w:eastAsia="lt-LT"/>
        </w:rPr>
      </w:pPr>
      <w:bookmarkStart w:id="405" w:name="_Toc460321742"/>
      <w:r w:rsidRPr="00467B8E">
        <w:rPr>
          <w:lang w:val="lt-LT"/>
        </w:rPr>
        <w:t xml:space="preserve">Lentelė </w:t>
      </w:r>
      <w:r w:rsidRPr="00467B8E">
        <w:rPr>
          <w:lang w:val="lt-LT"/>
        </w:rPr>
        <w:fldChar w:fldCharType="begin"/>
      </w:r>
      <w:r w:rsidRPr="00467B8E">
        <w:rPr>
          <w:lang w:val="lt-LT"/>
        </w:rPr>
        <w:instrText xml:space="preserve"> SEQ Lentelė \* ARABIC </w:instrText>
      </w:r>
      <w:r w:rsidRPr="00467B8E">
        <w:rPr>
          <w:lang w:val="lt-LT"/>
        </w:rPr>
        <w:fldChar w:fldCharType="separate"/>
      </w:r>
      <w:r w:rsidR="00AA3082">
        <w:rPr>
          <w:noProof/>
          <w:lang w:val="lt-LT"/>
        </w:rPr>
        <w:t>161</w:t>
      </w:r>
      <w:r w:rsidRPr="00467B8E">
        <w:rPr>
          <w:lang w:val="lt-LT"/>
        </w:rPr>
        <w:fldChar w:fldCharType="end"/>
      </w:r>
      <w:r w:rsidRPr="00467B8E">
        <w:rPr>
          <w:lang w:val="lt-LT"/>
        </w:rPr>
        <w:t>. Tikėtini finansinės priemonės rezultatai centrinės valdžios pastatų renovacijai.</w:t>
      </w:r>
      <w:bookmarkEnd w:id="405"/>
      <w:r w:rsidRPr="00467B8E">
        <w:rPr>
          <w:lang w:val="lt-LT"/>
        </w:rPr>
        <w:t xml:space="preserve"> </w:t>
      </w:r>
    </w:p>
    <w:tbl>
      <w:tblPr>
        <w:tblStyle w:val="viesussraas2parykinimas2"/>
        <w:tblW w:w="5000" w:type="pct"/>
        <w:tblLook w:val="04A0" w:firstRow="1" w:lastRow="0" w:firstColumn="1" w:lastColumn="0" w:noHBand="0" w:noVBand="1"/>
      </w:tblPr>
      <w:tblGrid>
        <w:gridCol w:w="3128"/>
        <w:gridCol w:w="3305"/>
        <w:gridCol w:w="2810"/>
      </w:tblGrid>
      <w:tr w:rsidR="00BF68CC" w14:paraId="2234720F" w14:textId="77777777" w:rsidTr="00467B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pct"/>
          </w:tcPr>
          <w:p w14:paraId="7B45E2C7" w14:textId="77777777" w:rsidR="00BF68CC" w:rsidRDefault="00BF68CC" w:rsidP="00467B8E">
            <w:pPr>
              <w:jc w:val="center"/>
              <w:rPr>
                <w:rFonts w:ascii="Georgia" w:hAnsi="Georgia"/>
                <w:color w:val="auto"/>
              </w:rPr>
            </w:pPr>
            <w:r w:rsidRPr="00F40BD0">
              <w:rPr>
                <w:rFonts w:ascii="Georgia" w:hAnsi="Georgia"/>
              </w:rPr>
              <w:t>Rodiklis</w:t>
            </w:r>
          </w:p>
        </w:tc>
        <w:tc>
          <w:tcPr>
            <w:tcW w:w="1788" w:type="pct"/>
          </w:tcPr>
          <w:p w14:paraId="4319F2F0" w14:textId="77777777" w:rsidR="00BF68CC" w:rsidRDefault="00BF68CC" w:rsidP="00467B8E">
            <w:pPr>
              <w:jc w:val="center"/>
              <w:cnfStyle w:val="100000000000" w:firstRow="1" w:lastRow="0" w:firstColumn="0" w:lastColumn="0" w:oddVBand="0" w:evenVBand="0" w:oddHBand="0" w:evenHBand="0" w:firstRowFirstColumn="0" w:firstRowLastColumn="0" w:lastRowFirstColumn="0" w:lastRowLastColumn="0"/>
              <w:rPr>
                <w:rFonts w:ascii="Georgia" w:hAnsi="Georgia"/>
              </w:rPr>
            </w:pPr>
            <w:r>
              <w:rPr>
                <w:rFonts w:ascii="Georgia" w:hAnsi="Georgia"/>
              </w:rPr>
              <w:t>Apskaičiuoti rezultatai</w:t>
            </w:r>
          </w:p>
        </w:tc>
        <w:tc>
          <w:tcPr>
            <w:tcW w:w="1520" w:type="pct"/>
          </w:tcPr>
          <w:p w14:paraId="5589CAC3" w14:textId="77777777" w:rsidR="00BF68CC" w:rsidRDefault="00BF68CC" w:rsidP="00467B8E">
            <w:pPr>
              <w:jc w:val="center"/>
              <w:cnfStyle w:val="100000000000" w:firstRow="1" w:lastRow="0" w:firstColumn="0" w:lastColumn="0" w:oddVBand="0" w:evenVBand="0" w:oddHBand="0" w:evenHBand="0" w:firstRowFirstColumn="0" w:firstRowLastColumn="0" w:lastRowFirstColumn="0" w:lastRowLastColumn="0"/>
              <w:rPr>
                <w:rFonts w:ascii="Georgia" w:hAnsi="Georgia"/>
              </w:rPr>
            </w:pPr>
            <w:r>
              <w:rPr>
                <w:rFonts w:ascii="Georgia" w:hAnsi="Georgia"/>
              </w:rPr>
              <w:t>Palyginimas su paklausos duomenimis</w:t>
            </w:r>
          </w:p>
        </w:tc>
      </w:tr>
      <w:tr w:rsidR="00BF68CC" w14:paraId="7CDC20D6" w14:textId="77777777"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pct"/>
            <w:hideMark/>
          </w:tcPr>
          <w:p w14:paraId="51086D69" w14:textId="77777777" w:rsidR="00BF68CC" w:rsidRDefault="00BF68CC" w:rsidP="00BF68CC">
            <w:pPr>
              <w:rPr>
                <w:rFonts w:ascii="Georgia" w:hAnsi="Georgia"/>
                <w:b w:val="0"/>
                <w:sz w:val="20"/>
                <w:szCs w:val="20"/>
              </w:rPr>
            </w:pPr>
            <w:r>
              <w:rPr>
                <w:rFonts w:ascii="Georgia" w:hAnsi="Georgia"/>
                <w:sz w:val="20"/>
                <w:szCs w:val="20"/>
              </w:rPr>
              <w:t>Finansinė priemonė</w:t>
            </w:r>
          </w:p>
        </w:tc>
        <w:tc>
          <w:tcPr>
            <w:tcW w:w="1788" w:type="pct"/>
            <w:hideMark/>
          </w:tcPr>
          <w:p w14:paraId="4B5A2551" w14:textId="77777777" w:rsidR="00BF68CC" w:rsidRDefault="00BF68CC" w:rsidP="00BF68C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eastAsia="Times New Roman" w:hAnsi="Georgia" w:cs="Times New Roman"/>
                <w:sz w:val="20"/>
                <w:szCs w:val="20"/>
                <w:lang w:eastAsia="lt-LT"/>
              </w:rPr>
              <w:t>Paskolos centrinės valdžios pastatų renovacijai. Paskolos teikiamos ESCO įmonėms arba esant galimybei tiesiogiai.</w:t>
            </w:r>
          </w:p>
        </w:tc>
        <w:tc>
          <w:tcPr>
            <w:tcW w:w="1520" w:type="pct"/>
          </w:tcPr>
          <w:p w14:paraId="5C567BE6" w14:textId="77777777" w:rsidR="00BF68CC" w:rsidRPr="00BF68CC" w:rsidRDefault="00BF68CC" w:rsidP="00BF68C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F68CC">
              <w:rPr>
                <w:rFonts w:ascii="Georgia" w:hAnsi="Georgia"/>
                <w:sz w:val="20"/>
                <w:szCs w:val="20"/>
              </w:rPr>
              <w:t>-</w:t>
            </w:r>
          </w:p>
        </w:tc>
      </w:tr>
      <w:tr w:rsidR="00BF68CC" w14:paraId="6F8BF4D1" w14:textId="77777777" w:rsidTr="00467B8E">
        <w:tc>
          <w:tcPr>
            <w:cnfStyle w:val="001000000000" w:firstRow="0" w:lastRow="0" w:firstColumn="1" w:lastColumn="0" w:oddVBand="0" w:evenVBand="0" w:oddHBand="0" w:evenHBand="0" w:firstRowFirstColumn="0" w:firstRowLastColumn="0" w:lastRowFirstColumn="0" w:lastRowLastColumn="0"/>
            <w:tcW w:w="1692" w:type="pct"/>
            <w:hideMark/>
          </w:tcPr>
          <w:p w14:paraId="23E49C5E" w14:textId="77777777" w:rsidR="00BF68CC" w:rsidRDefault="00BF68CC" w:rsidP="00BF68CC">
            <w:pPr>
              <w:rPr>
                <w:rFonts w:ascii="Georgia" w:hAnsi="Georgia"/>
                <w:b w:val="0"/>
                <w:sz w:val="20"/>
                <w:szCs w:val="20"/>
              </w:rPr>
            </w:pPr>
            <w:r>
              <w:rPr>
                <w:rFonts w:ascii="Georgia" w:hAnsi="Georgia"/>
                <w:sz w:val="20"/>
                <w:szCs w:val="20"/>
              </w:rPr>
              <w:t>Finansuojanti institucija</w:t>
            </w:r>
          </w:p>
        </w:tc>
        <w:tc>
          <w:tcPr>
            <w:tcW w:w="1788" w:type="pct"/>
            <w:hideMark/>
          </w:tcPr>
          <w:p w14:paraId="144F87E9" w14:textId="77777777" w:rsidR="00BF68CC" w:rsidRDefault="00BF68CC" w:rsidP="00BF68C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eastAsia="Times New Roman" w:hAnsi="Georgia" w:cs="Times New Roman"/>
                <w:sz w:val="20"/>
                <w:szCs w:val="20"/>
                <w:lang w:eastAsia="lt-LT"/>
              </w:rPr>
              <w:t>Energetikos ministerija</w:t>
            </w:r>
            <w:r>
              <w:rPr>
                <w:rFonts w:ascii="Georgia" w:hAnsi="Georgia"/>
                <w:sz w:val="20"/>
                <w:szCs w:val="20"/>
              </w:rPr>
              <w:t xml:space="preserve"> </w:t>
            </w:r>
          </w:p>
        </w:tc>
        <w:tc>
          <w:tcPr>
            <w:tcW w:w="1520" w:type="pct"/>
          </w:tcPr>
          <w:p w14:paraId="4A1DAD3E" w14:textId="77777777" w:rsidR="00BF68CC" w:rsidRPr="00BF68CC" w:rsidRDefault="00BF68CC" w:rsidP="00BF68C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F68CC">
              <w:rPr>
                <w:rFonts w:ascii="Georgia" w:hAnsi="Georgia"/>
                <w:sz w:val="20"/>
                <w:szCs w:val="20"/>
              </w:rPr>
              <w:t>-</w:t>
            </w:r>
          </w:p>
        </w:tc>
      </w:tr>
      <w:tr w:rsidR="00BF68CC" w14:paraId="230EAA90" w14:textId="77777777"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pct"/>
            <w:hideMark/>
          </w:tcPr>
          <w:p w14:paraId="673BF933" w14:textId="77777777" w:rsidR="00BF68CC" w:rsidRDefault="00BF68CC" w:rsidP="00BF68CC">
            <w:pPr>
              <w:rPr>
                <w:rFonts w:ascii="Georgia" w:hAnsi="Georgia"/>
                <w:b w:val="0"/>
                <w:sz w:val="20"/>
                <w:szCs w:val="20"/>
              </w:rPr>
            </w:pPr>
            <w:r>
              <w:rPr>
                <w:rFonts w:ascii="Georgia" w:hAnsi="Georgia"/>
                <w:sz w:val="20"/>
                <w:szCs w:val="20"/>
              </w:rPr>
              <w:t>Galutinius naudos gavėjus pasiekusios lėšos</w:t>
            </w:r>
          </w:p>
        </w:tc>
        <w:tc>
          <w:tcPr>
            <w:tcW w:w="1788" w:type="pct"/>
            <w:hideMark/>
          </w:tcPr>
          <w:p w14:paraId="02D3FC5D" w14:textId="5AF8C7C2" w:rsidR="00BF68CC" w:rsidRDefault="005B40F0" w:rsidP="00BF68C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bCs/>
                <w:color w:val="000000"/>
                <w:sz w:val="20"/>
                <w:szCs w:val="20"/>
              </w:rPr>
              <w:t>104,6</w:t>
            </w:r>
            <w:r w:rsidR="00BF68CC">
              <w:rPr>
                <w:rFonts w:ascii="Georgia" w:hAnsi="Georgia"/>
                <w:bCs/>
                <w:color w:val="000000"/>
                <w:sz w:val="20"/>
                <w:szCs w:val="20"/>
              </w:rPr>
              <w:t xml:space="preserve"> </w:t>
            </w:r>
            <w:r w:rsidR="00BF68CC">
              <w:rPr>
                <w:rFonts w:ascii="Georgia" w:eastAsia="Times New Roman" w:hAnsi="Georgia" w:cs="Times New Roman"/>
                <w:sz w:val="20"/>
                <w:szCs w:val="20"/>
                <w:lang w:eastAsia="lt-LT"/>
              </w:rPr>
              <w:t>mln. eurų</w:t>
            </w:r>
            <w:r w:rsidR="00BF68CC">
              <w:rPr>
                <w:rFonts w:ascii="Georgia" w:hAnsi="Georgia"/>
                <w:sz w:val="20"/>
                <w:szCs w:val="20"/>
              </w:rPr>
              <w:t xml:space="preserve"> </w:t>
            </w:r>
          </w:p>
        </w:tc>
        <w:tc>
          <w:tcPr>
            <w:tcW w:w="1520" w:type="pct"/>
          </w:tcPr>
          <w:p w14:paraId="19851F4E" w14:textId="77777777" w:rsidR="00BF68CC" w:rsidRPr="00BF68CC" w:rsidRDefault="00BF68CC" w:rsidP="00BF68C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169,7</w:t>
            </w:r>
            <w:r w:rsidRPr="00BF68CC">
              <w:rPr>
                <w:rFonts w:ascii="Georgia" w:hAnsi="Georgia"/>
                <w:sz w:val="20"/>
                <w:szCs w:val="20"/>
              </w:rPr>
              <w:t xml:space="preserve"> mln. eurų</w:t>
            </w:r>
          </w:p>
        </w:tc>
      </w:tr>
      <w:tr w:rsidR="00BF68CC" w14:paraId="26566D36" w14:textId="77777777" w:rsidTr="00467B8E">
        <w:tc>
          <w:tcPr>
            <w:cnfStyle w:val="001000000000" w:firstRow="0" w:lastRow="0" w:firstColumn="1" w:lastColumn="0" w:oddVBand="0" w:evenVBand="0" w:oddHBand="0" w:evenHBand="0" w:firstRowFirstColumn="0" w:firstRowLastColumn="0" w:lastRowFirstColumn="0" w:lastRowLastColumn="0"/>
            <w:tcW w:w="1692" w:type="pct"/>
            <w:hideMark/>
          </w:tcPr>
          <w:p w14:paraId="04B21BC6" w14:textId="77777777" w:rsidR="00BF68CC" w:rsidRDefault="00BF68CC" w:rsidP="00BF68CC">
            <w:pPr>
              <w:rPr>
                <w:rFonts w:ascii="Georgia" w:hAnsi="Georgia"/>
                <w:b w:val="0"/>
                <w:sz w:val="20"/>
                <w:szCs w:val="20"/>
              </w:rPr>
            </w:pPr>
            <w:r>
              <w:rPr>
                <w:rFonts w:ascii="Georgia" w:hAnsi="Georgia"/>
                <w:sz w:val="20"/>
                <w:szCs w:val="20"/>
              </w:rPr>
              <w:t>Pritrauktos lėšos iš privačių šaltinių</w:t>
            </w:r>
          </w:p>
        </w:tc>
        <w:tc>
          <w:tcPr>
            <w:tcW w:w="1788" w:type="pct"/>
            <w:hideMark/>
          </w:tcPr>
          <w:p w14:paraId="3FE03D04" w14:textId="15144CF9" w:rsidR="00BF68CC" w:rsidRDefault="00BF68CC" w:rsidP="00632BFA">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 </w:t>
            </w:r>
            <w:r w:rsidR="00632BFA">
              <w:rPr>
                <w:rFonts w:ascii="Georgia" w:eastAsia="Times New Roman" w:hAnsi="Georgia" w:cs="Times New Roman"/>
                <w:sz w:val="20"/>
                <w:szCs w:val="20"/>
                <w:lang w:eastAsia="lt-LT"/>
              </w:rPr>
              <w:t>57,2</w:t>
            </w:r>
            <w:r>
              <w:rPr>
                <w:rFonts w:ascii="Georgia" w:eastAsia="Times New Roman" w:hAnsi="Georgia" w:cs="Times New Roman"/>
                <w:sz w:val="20"/>
                <w:szCs w:val="20"/>
                <w:lang w:eastAsia="lt-LT"/>
              </w:rPr>
              <w:t xml:space="preserve"> mln. eurų</w:t>
            </w:r>
          </w:p>
        </w:tc>
        <w:tc>
          <w:tcPr>
            <w:tcW w:w="1520" w:type="pct"/>
          </w:tcPr>
          <w:p w14:paraId="1891A43D" w14:textId="77777777" w:rsidR="00BF68CC" w:rsidRPr="00BF68CC" w:rsidRDefault="00BF68CC" w:rsidP="00BF68C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F68CC">
              <w:rPr>
                <w:rFonts w:ascii="Georgia" w:hAnsi="Georgia"/>
                <w:sz w:val="20"/>
                <w:szCs w:val="20"/>
              </w:rPr>
              <w:t>-</w:t>
            </w:r>
          </w:p>
        </w:tc>
      </w:tr>
      <w:tr w:rsidR="00BF68CC" w14:paraId="4B426E85" w14:textId="77777777"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pct"/>
            <w:hideMark/>
          </w:tcPr>
          <w:p w14:paraId="5CA87B2B" w14:textId="77777777" w:rsidR="00BF68CC" w:rsidRDefault="00BF68CC" w:rsidP="00BF68CC">
            <w:pPr>
              <w:rPr>
                <w:rFonts w:ascii="Georgia" w:hAnsi="Georgia"/>
                <w:b w:val="0"/>
                <w:sz w:val="20"/>
                <w:szCs w:val="20"/>
              </w:rPr>
            </w:pPr>
            <w:r>
              <w:rPr>
                <w:rFonts w:ascii="Georgia" w:hAnsi="Georgia"/>
                <w:sz w:val="20"/>
                <w:szCs w:val="20"/>
              </w:rPr>
              <w:t>Sverto efektas</w:t>
            </w:r>
          </w:p>
        </w:tc>
        <w:tc>
          <w:tcPr>
            <w:tcW w:w="1788" w:type="pct"/>
            <w:hideMark/>
          </w:tcPr>
          <w:p w14:paraId="468A168F" w14:textId="46D9AAB9" w:rsidR="00BF68CC" w:rsidRDefault="00BF68CC" w:rsidP="00BF68C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eastAsia="Times New Roman" w:hAnsi="Georgia" w:cs="Times New Roman"/>
                <w:sz w:val="20"/>
                <w:szCs w:val="20"/>
                <w:lang w:eastAsia="lt-LT"/>
              </w:rPr>
              <w:t>1,</w:t>
            </w:r>
            <w:r w:rsidR="005B40F0">
              <w:rPr>
                <w:rFonts w:ascii="Georgia" w:eastAsia="Times New Roman" w:hAnsi="Georgia" w:cs="Times New Roman"/>
                <w:sz w:val="20"/>
                <w:szCs w:val="20"/>
                <w:lang w:eastAsia="lt-LT"/>
              </w:rPr>
              <w:t>87</w:t>
            </w:r>
          </w:p>
        </w:tc>
        <w:tc>
          <w:tcPr>
            <w:tcW w:w="1520" w:type="pct"/>
          </w:tcPr>
          <w:p w14:paraId="3A90420B" w14:textId="77777777" w:rsidR="00BF68CC" w:rsidRPr="00BF68CC" w:rsidRDefault="00BF68CC" w:rsidP="00BF68CC">
            <w:pPr>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0"/>
              </w:rPr>
            </w:pPr>
            <w:r w:rsidRPr="00BF68CC">
              <w:rPr>
                <w:rFonts w:ascii="Georgia" w:hAnsi="Georgia"/>
                <w:bCs/>
                <w:sz w:val="20"/>
                <w:szCs w:val="20"/>
              </w:rPr>
              <w:t>-</w:t>
            </w:r>
          </w:p>
        </w:tc>
      </w:tr>
      <w:tr w:rsidR="00BF68CC" w14:paraId="1D7FD7B1" w14:textId="77777777" w:rsidTr="00467B8E">
        <w:tc>
          <w:tcPr>
            <w:cnfStyle w:val="001000000000" w:firstRow="0" w:lastRow="0" w:firstColumn="1" w:lastColumn="0" w:oddVBand="0" w:evenVBand="0" w:oddHBand="0" w:evenHBand="0" w:firstRowFirstColumn="0" w:firstRowLastColumn="0" w:lastRowFirstColumn="0" w:lastRowLastColumn="0"/>
            <w:tcW w:w="1692" w:type="pct"/>
            <w:hideMark/>
          </w:tcPr>
          <w:p w14:paraId="4E96CBF1" w14:textId="77777777" w:rsidR="00BF68CC" w:rsidRDefault="00BF68CC" w:rsidP="00BF68CC">
            <w:pPr>
              <w:rPr>
                <w:rFonts w:ascii="Georgia" w:hAnsi="Georgia"/>
                <w:b w:val="0"/>
                <w:sz w:val="20"/>
                <w:szCs w:val="20"/>
              </w:rPr>
            </w:pPr>
            <w:r>
              <w:rPr>
                <w:rFonts w:ascii="Georgia" w:hAnsi="Georgia"/>
                <w:sz w:val="20"/>
                <w:szCs w:val="20"/>
              </w:rPr>
              <w:t>Renovuotų pastatų skaičius iki 2022 metų</w:t>
            </w:r>
          </w:p>
        </w:tc>
        <w:tc>
          <w:tcPr>
            <w:tcW w:w="1788" w:type="pct"/>
            <w:hideMark/>
          </w:tcPr>
          <w:p w14:paraId="0A1ABE69" w14:textId="277752E0" w:rsidR="00BF68CC" w:rsidRDefault="005B40F0" w:rsidP="005B40F0">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459</w:t>
            </w:r>
          </w:p>
        </w:tc>
        <w:tc>
          <w:tcPr>
            <w:tcW w:w="1520" w:type="pct"/>
          </w:tcPr>
          <w:p w14:paraId="3F077E2A" w14:textId="77777777" w:rsidR="00BF68CC" w:rsidRPr="00BF68CC" w:rsidRDefault="00BF68CC" w:rsidP="00BF68CC">
            <w:pPr>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0"/>
              </w:rPr>
            </w:pPr>
            <w:r w:rsidRPr="00BF68CC">
              <w:rPr>
                <w:rFonts w:ascii="Georgia" w:hAnsi="Georgia"/>
                <w:bCs/>
                <w:sz w:val="20"/>
                <w:szCs w:val="20"/>
              </w:rPr>
              <w:t>837</w:t>
            </w:r>
          </w:p>
        </w:tc>
      </w:tr>
      <w:tr w:rsidR="00BF68CC" w14:paraId="4040688A" w14:textId="77777777" w:rsidTr="00467B8E">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692" w:type="pct"/>
            <w:hideMark/>
          </w:tcPr>
          <w:p w14:paraId="4C827140" w14:textId="77777777" w:rsidR="00BF68CC" w:rsidRDefault="00BF68CC" w:rsidP="00BF68CC">
            <w:pPr>
              <w:rPr>
                <w:rFonts w:ascii="Georgia" w:hAnsi="Georgia"/>
                <w:sz w:val="20"/>
                <w:szCs w:val="20"/>
              </w:rPr>
            </w:pPr>
            <w:r>
              <w:rPr>
                <w:rFonts w:ascii="Georgia" w:hAnsi="Georgia"/>
                <w:sz w:val="20"/>
                <w:szCs w:val="20"/>
              </w:rPr>
              <w:t>Renovuotų pastatų plotas iki 2022 metų</w:t>
            </w:r>
          </w:p>
        </w:tc>
        <w:tc>
          <w:tcPr>
            <w:tcW w:w="1788" w:type="pct"/>
            <w:hideMark/>
          </w:tcPr>
          <w:p w14:paraId="433F76D2" w14:textId="27B322C9" w:rsidR="00BF68CC" w:rsidRDefault="005B40F0" w:rsidP="00BF68C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517,0</w:t>
            </w:r>
            <w:r w:rsidR="00BF68CC" w:rsidRPr="00BC2CB8">
              <w:rPr>
                <w:rFonts w:ascii="Georgia" w:hAnsi="Georgia"/>
                <w:sz w:val="20"/>
                <w:szCs w:val="20"/>
              </w:rPr>
              <w:t xml:space="preserve"> tūkst. kv. m.</w:t>
            </w:r>
          </w:p>
        </w:tc>
        <w:tc>
          <w:tcPr>
            <w:tcW w:w="1520" w:type="pct"/>
          </w:tcPr>
          <w:p w14:paraId="74BE3692" w14:textId="77777777" w:rsidR="00BF68CC" w:rsidRPr="00BF68CC" w:rsidRDefault="00BF68CC" w:rsidP="00BF68C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F68CC">
              <w:rPr>
                <w:rFonts w:ascii="Georgia" w:hAnsi="Georgia"/>
                <w:sz w:val="20"/>
                <w:szCs w:val="20"/>
              </w:rPr>
              <w:t>837 tūkst. kv. m.</w:t>
            </w:r>
          </w:p>
        </w:tc>
      </w:tr>
      <w:tr w:rsidR="00BF68CC" w14:paraId="068F5082" w14:textId="77777777" w:rsidTr="00467B8E">
        <w:trPr>
          <w:trHeight w:val="531"/>
        </w:trPr>
        <w:tc>
          <w:tcPr>
            <w:cnfStyle w:val="001000000000" w:firstRow="0" w:lastRow="0" w:firstColumn="1" w:lastColumn="0" w:oddVBand="0" w:evenVBand="0" w:oddHBand="0" w:evenHBand="0" w:firstRowFirstColumn="0" w:firstRowLastColumn="0" w:lastRowFirstColumn="0" w:lastRowLastColumn="0"/>
            <w:tcW w:w="1692" w:type="pct"/>
          </w:tcPr>
          <w:p w14:paraId="01F74663" w14:textId="77777777" w:rsidR="00BF68CC" w:rsidRDefault="00BF68CC" w:rsidP="00BF68CC">
            <w:pPr>
              <w:rPr>
                <w:rFonts w:ascii="Georgia" w:hAnsi="Georgia"/>
                <w:sz w:val="20"/>
                <w:szCs w:val="20"/>
              </w:rPr>
            </w:pPr>
            <w:r w:rsidRPr="00BC2CB8">
              <w:rPr>
                <w:rFonts w:ascii="Georgia" w:hAnsi="Georgia"/>
                <w:sz w:val="20"/>
                <w:szCs w:val="20"/>
              </w:rPr>
              <w:t>Iki 2020 m. renovuotų pastatų plotas</w:t>
            </w:r>
          </w:p>
        </w:tc>
        <w:tc>
          <w:tcPr>
            <w:tcW w:w="1788" w:type="pct"/>
          </w:tcPr>
          <w:p w14:paraId="0653E5B0" w14:textId="1E4A3078" w:rsidR="00BF68CC" w:rsidRDefault="00632BFA" w:rsidP="00BF68C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338,1</w:t>
            </w:r>
            <w:r w:rsidR="00BF68CC" w:rsidRPr="00BC2CB8">
              <w:rPr>
                <w:rFonts w:ascii="Georgia" w:hAnsi="Georgia"/>
                <w:sz w:val="20"/>
                <w:szCs w:val="20"/>
              </w:rPr>
              <w:t xml:space="preserve"> tūkst. kv. m.</w:t>
            </w:r>
          </w:p>
        </w:tc>
        <w:tc>
          <w:tcPr>
            <w:tcW w:w="1520" w:type="pct"/>
          </w:tcPr>
          <w:p w14:paraId="5B9F3A60" w14:textId="77777777" w:rsidR="00BF68CC" w:rsidRPr="00BF68CC" w:rsidRDefault="00BF68CC" w:rsidP="00BF68C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F68CC">
              <w:rPr>
                <w:rFonts w:ascii="Georgia" w:hAnsi="Georgia"/>
                <w:sz w:val="20"/>
                <w:szCs w:val="20"/>
              </w:rPr>
              <w:t>515,9 tūkst. kv. m.</w:t>
            </w:r>
          </w:p>
        </w:tc>
      </w:tr>
      <w:tr w:rsidR="00BF68CC" w14:paraId="4B62AAF5" w14:textId="77777777" w:rsidTr="00467B8E">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692" w:type="pct"/>
            <w:hideMark/>
          </w:tcPr>
          <w:p w14:paraId="43103509" w14:textId="77777777" w:rsidR="00BF68CC" w:rsidRDefault="00BF68CC" w:rsidP="00BF68CC">
            <w:pPr>
              <w:rPr>
                <w:rFonts w:ascii="Georgia" w:hAnsi="Georgia"/>
                <w:b w:val="0"/>
                <w:sz w:val="20"/>
                <w:szCs w:val="20"/>
              </w:rPr>
            </w:pPr>
            <w:r>
              <w:rPr>
                <w:rFonts w:ascii="Georgia" w:hAnsi="Georgia"/>
                <w:sz w:val="20"/>
                <w:szCs w:val="20"/>
              </w:rPr>
              <w:t>Renovuotų namų energijos efektyvumo suvartojimo sumažėjimas, ne mažiau kaip</w:t>
            </w:r>
          </w:p>
        </w:tc>
        <w:tc>
          <w:tcPr>
            <w:tcW w:w="1788" w:type="pct"/>
            <w:hideMark/>
          </w:tcPr>
          <w:p w14:paraId="5FCF81BE" w14:textId="77777777" w:rsidR="00BF68CC" w:rsidRDefault="00BF68CC" w:rsidP="00BF68C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40 proc.</w:t>
            </w:r>
          </w:p>
        </w:tc>
        <w:tc>
          <w:tcPr>
            <w:tcW w:w="1520" w:type="pct"/>
          </w:tcPr>
          <w:p w14:paraId="36B1504F" w14:textId="77777777" w:rsidR="00BF68CC" w:rsidRPr="00BF68CC" w:rsidRDefault="00BF68CC" w:rsidP="00BF68C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F68CC">
              <w:rPr>
                <w:rFonts w:ascii="Georgia" w:hAnsi="Georgia"/>
                <w:sz w:val="20"/>
                <w:szCs w:val="20"/>
              </w:rPr>
              <w:t>Kuo daugiau</w:t>
            </w:r>
          </w:p>
        </w:tc>
      </w:tr>
      <w:tr w:rsidR="00BF68CC" w14:paraId="38B8BB18" w14:textId="77777777" w:rsidTr="00467B8E">
        <w:tc>
          <w:tcPr>
            <w:cnfStyle w:val="001000000000" w:firstRow="0" w:lastRow="0" w:firstColumn="1" w:lastColumn="0" w:oddVBand="0" w:evenVBand="0" w:oddHBand="0" w:evenHBand="0" w:firstRowFirstColumn="0" w:firstRowLastColumn="0" w:lastRowFirstColumn="0" w:lastRowLastColumn="0"/>
            <w:tcW w:w="1692" w:type="pct"/>
            <w:hideMark/>
          </w:tcPr>
          <w:p w14:paraId="2345650D" w14:textId="77777777" w:rsidR="00BF68CC" w:rsidRDefault="00BF68CC" w:rsidP="00BF68CC">
            <w:pPr>
              <w:rPr>
                <w:rFonts w:ascii="Georgia" w:hAnsi="Georgia"/>
                <w:b w:val="0"/>
                <w:sz w:val="20"/>
                <w:szCs w:val="20"/>
              </w:rPr>
            </w:pPr>
            <w:r>
              <w:rPr>
                <w:rFonts w:ascii="Georgia" w:hAnsi="Georgia"/>
                <w:sz w:val="20"/>
                <w:szCs w:val="20"/>
              </w:rPr>
              <w:t xml:space="preserve">Pasiekta energetinio efektyvumo klasė renovuotuose daugiabučiuose ne mažesnė kaip </w:t>
            </w:r>
          </w:p>
        </w:tc>
        <w:tc>
          <w:tcPr>
            <w:tcW w:w="1788" w:type="pct"/>
            <w:hideMark/>
          </w:tcPr>
          <w:p w14:paraId="38427AB7" w14:textId="77777777" w:rsidR="00BF68CC" w:rsidRDefault="00BF68CC" w:rsidP="00BF68C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C</w:t>
            </w:r>
          </w:p>
        </w:tc>
        <w:tc>
          <w:tcPr>
            <w:tcW w:w="1520" w:type="pct"/>
          </w:tcPr>
          <w:p w14:paraId="696A93E6" w14:textId="77777777" w:rsidR="00BF68CC" w:rsidRDefault="00BF68CC" w:rsidP="00BF68C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C</w:t>
            </w:r>
          </w:p>
        </w:tc>
      </w:tr>
    </w:tbl>
    <w:p w14:paraId="21EE47B6" w14:textId="77777777" w:rsidR="00BF68CC" w:rsidRPr="00AC3318" w:rsidRDefault="00BF68CC" w:rsidP="00151543">
      <w:pPr>
        <w:jc w:val="both"/>
        <w:rPr>
          <w:rFonts w:ascii="Georgia" w:eastAsia="Times New Roman" w:hAnsi="Georgia" w:cs="Times New Roman"/>
          <w:sz w:val="20"/>
          <w:szCs w:val="20"/>
          <w:lang w:val="lt-LT" w:eastAsia="lt-LT"/>
        </w:rPr>
      </w:pPr>
    </w:p>
    <w:p w14:paraId="4D41C93D" w14:textId="77777777" w:rsidR="00151543" w:rsidRPr="00AA32EA" w:rsidRDefault="00151543" w:rsidP="00151543">
      <w:pPr>
        <w:jc w:val="both"/>
        <w:rPr>
          <w:rFonts w:ascii="Georgia" w:eastAsia="Times New Roman" w:hAnsi="Georgia" w:cs="Times New Roman"/>
          <w:b/>
          <w:sz w:val="20"/>
          <w:szCs w:val="20"/>
          <w:lang w:val="lt-LT" w:eastAsia="lt-LT"/>
        </w:rPr>
      </w:pPr>
      <w:r w:rsidRPr="00AA32EA">
        <w:rPr>
          <w:rFonts w:ascii="Georgia" w:eastAsia="Times New Roman" w:hAnsi="Georgia" w:cs="Times New Roman"/>
          <w:b/>
          <w:sz w:val="20"/>
          <w:szCs w:val="20"/>
          <w:lang w:val="lt-LT" w:eastAsia="lt-LT"/>
        </w:rPr>
        <w:t>Gatvių apšvietimo modernizavimas</w:t>
      </w:r>
    </w:p>
    <w:p w14:paraId="6FD204DF" w14:textId="77777777" w:rsidR="00151543" w:rsidRDefault="00151543" w:rsidP="00151543">
      <w:pPr>
        <w:jc w:val="both"/>
        <w:rPr>
          <w:rFonts w:ascii="Georgia" w:eastAsia="Times New Roman" w:hAnsi="Georgia" w:cs="Times New Roman"/>
          <w:sz w:val="20"/>
          <w:szCs w:val="20"/>
          <w:lang w:val="lt-LT" w:eastAsia="lt-LT"/>
        </w:rPr>
      </w:pPr>
      <w:r w:rsidRPr="00AC3318">
        <w:rPr>
          <w:rFonts w:ascii="Georgia" w:eastAsia="Times New Roman" w:hAnsi="Georgia" w:cs="Times New Roman"/>
          <w:sz w:val="20"/>
          <w:szCs w:val="20"/>
          <w:lang w:val="lt-LT" w:eastAsia="lt-LT"/>
        </w:rPr>
        <w:t>Įgyvendinat siūlomą modelį gaunami šie rezultatai:</w:t>
      </w:r>
    </w:p>
    <w:p w14:paraId="6711C570" w14:textId="4E90EAB6" w:rsidR="004E3FB1" w:rsidRDefault="004E3FB1" w:rsidP="004E3FB1">
      <w:pPr>
        <w:pStyle w:val="Antrat"/>
        <w:rPr>
          <w:lang w:val="lt-LT"/>
        </w:rPr>
      </w:pPr>
      <w:bookmarkStart w:id="406" w:name="_Toc460321743"/>
      <w:r w:rsidRPr="005B4195">
        <w:rPr>
          <w:lang w:val="lt-LT"/>
        </w:rPr>
        <w:t xml:space="preserve">Lentelė </w:t>
      </w:r>
      <w:r w:rsidRPr="005B4195">
        <w:rPr>
          <w:lang w:val="lt-LT"/>
        </w:rPr>
        <w:fldChar w:fldCharType="begin"/>
      </w:r>
      <w:r w:rsidRPr="005B4195">
        <w:rPr>
          <w:lang w:val="lt-LT"/>
        </w:rPr>
        <w:instrText xml:space="preserve"> SEQ Lentelė \* ARABIC </w:instrText>
      </w:r>
      <w:r w:rsidRPr="005B4195">
        <w:rPr>
          <w:lang w:val="lt-LT"/>
        </w:rPr>
        <w:fldChar w:fldCharType="separate"/>
      </w:r>
      <w:r w:rsidR="00AA3082">
        <w:rPr>
          <w:noProof/>
          <w:lang w:val="lt-LT"/>
        </w:rPr>
        <w:t>162</w:t>
      </w:r>
      <w:r w:rsidRPr="005B4195">
        <w:rPr>
          <w:lang w:val="lt-LT"/>
        </w:rPr>
        <w:fldChar w:fldCharType="end"/>
      </w:r>
      <w:r w:rsidRPr="005B4195">
        <w:rPr>
          <w:lang w:val="lt-LT"/>
        </w:rPr>
        <w:t>. Tikėtini finansinės priemonės rezultatai gatvių apšvietimui.</w:t>
      </w:r>
      <w:bookmarkEnd w:id="406"/>
      <w:r w:rsidRPr="005B4195">
        <w:rPr>
          <w:lang w:val="lt-LT"/>
        </w:rPr>
        <w:t xml:space="preserve"> </w:t>
      </w:r>
    </w:p>
    <w:tbl>
      <w:tblPr>
        <w:tblStyle w:val="viesussraas2parykinimas2"/>
        <w:tblW w:w="5000" w:type="pct"/>
        <w:tblLook w:val="04A0" w:firstRow="1" w:lastRow="0" w:firstColumn="1" w:lastColumn="0" w:noHBand="0" w:noVBand="1"/>
      </w:tblPr>
      <w:tblGrid>
        <w:gridCol w:w="3128"/>
        <w:gridCol w:w="3305"/>
        <w:gridCol w:w="2810"/>
      </w:tblGrid>
      <w:tr w:rsidR="00BF68CC" w14:paraId="3C4594DE" w14:textId="77777777" w:rsidTr="00467B8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92" w:type="pct"/>
          </w:tcPr>
          <w:p w14:paraId="2FD03F37" w14:textId="77777777" w:rsidR="00BF68CC" w:rsidRDefault="00BF68CC" w:rsidP="00467B8E">
            <w:pPr>
              <w:jc w:val="center"/>
              <w:rPr>
                <w:rFonts w:ascii="Georgia" w:hAnsi="Georgia"/>
                <w:color w:val="auto"/>
              </w:rPr>
            </w:pPr>
            <w:r w:rsidRPr="00F40BD0">
              <w:rPr>
                <w:rFonts w:ascii="Georgia" w:hAnsi="Georgia"/>
              </w:rPr>
              <w:t>Rodiklis</w:t>
            </w:r>
          </w:p>
        </w:tc>
        <w:tc>
          <w:tcPr>
            <w:tcW w:w="1788" w:type="pct"/>
          </w:tcPr>
          <w:p w14:paraId="6315FF8A" w14:textId="77777777" w:rsidR="00BF68CC" w:rsidRDefault="00BF68CC" w:rsidP="00467B8E">
            <w:pPr>
              <w:jc w:val="center"/>
              <w:cnfStyle w:val="100000000000" w:firstRow="1" w:lastRow="0" w:firstColumn="0" w:lastColumn="0" w:oddVBand="0" w:evenVBand="0" w:oddHBand="0" w:evenHBand="0" w:firstRowFirstColumn="0" w:firstRowLastColumn="0" w:lastRowFirstColumn="0" w:lastRowLastColumn="0"/>
              <w:rPr>
                <w:rFonts w:ascii="Georgia" w:hAnsi="Georgia"/>
              </w:rPr>
            </w:pPr>
            <w:r>
              <w:rPr>
                <w:rFonts w:ascii="Georgia" w:hAnsi="Georgia"/>
              </w:rPr>
              <w:t>Apskaičiuoti rezultatai</w:t>
            </w:r>
          </w:p>
        </w:tc>
        <w:tc>
          <w:tcPr>
            <w:tcW w:w="1520" w:type="pct"/>
          </w:tcPr>
          <w:p w14:paraId="5DF933D0" w14:textId="77777777" w:rsidR="00BF68CC" w:rsidRDefault="00BF68CC" w:rsidP="00467B8E">
            <w:pPr>
              <w:jc w:val="center"/>
              <w:cnfStyle w:val="100000000000" w:firstRow="1" w:lastRow="0" w:firstColumn="0" w:lastColumn="0" w:oddVBand="0" w:evenVBand="0" w:oddHBand="0" w:evenHBand="0" w:firstRowFirstColumn="0" w:firstRowLastColumn="0" w:lastRowFirstColumn="0" w:lastRowLastColumn="0"/>
              <w:rPr>
                <w:rFonts w:ascii="Georgia" w:hAnsi="Georgia"/>
              </w:rPr>
            </w:pPr>
            <w:r>
              <w:rPr>
                <w:rFonts w:ascii="Georgia" w:hAnsi="Georgia"/>
              </w:rPr>
              <w:t>Palyginimas su paklausos duomenimis</w:t>
            </w:r>
          </w:p>
        </w:tc>
      </w:tr>
      <w:tr w:rsidR="00BF68CC" w14:paraId="25F87090" w14:textId="77777777" w:rsidTr="00467B8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92" w:type="pct"/>
            <w:hideMark/>
          </w:tcPr>
          <w:p w14:paraId="546CEE7A" w14:textId="77777777" w:rsidR="00BF68CC" w:rsidRDefault="00BF68CC" w:rsidP="00BF68CC">
            <w:pPr>
              <w:rPr>
                <w:rFonts w:ascii="Georgia" w:hAnsi="Georgia"/>
                <w:b w:val="0"/>
                <w:sz w:val="20"/>
                <w:szCs w:val="20"/>
              </w:rPr>
            </w:pPr>
            <w:r>
              <w:rPr>
                <w:rFonts w:ascii="Georgia" w:hAnsi="Georgia"/>
                <w:sz w:val="20"/>
                <w:szCs w:val="20"/>
              </w:rPr>
              <w:t>Finansinė priemonė</w:t>
            </w:r>
          </w:p>
        </w:tc>
        <w:tc>
          <w:tcPr>
            <w:tcW w:w="1788" w:type="pct"/>
            <w:hideMark/>
          </w:tcPr>
          <w:p w14:paraId="72059263" w14:textId="77777777" w:rsidR="00BF68CC" w:rsidRDefault="00BF68CC" w:rsidP="00BF68C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eastAsia="Times New Roman" w:hAnsi="Georgia" w:cs="Times New Roman"/>
                <w:sz w:val="20"/>
                <w:szCs w:val="20"/>
                <w:lang w:eastAsia="lt-LT"/>
              </w:rPr>
              <w:t>Garantijų priemonė. Bankai teiks paskolas ESCO įmonėms arba tiesiogiai projektus įgyvendinantiems subjektams.</w:t>
            </w:r>
          </w:p>
        </w:tc>
        <w:tc>
          <w:tcPr>
            <w:tcW w:w="1520" w:type="pct"/>
          </w:tcPr>
          <w:p w14:paraId="5ACDD886" w14:textId="77777777" w:rsidR="00BF68CC" w:rsidRPr="00BF68CC" w:rsidRDefault="00BF68CC" w:rsidP="00BF68C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F68CC">
              <w:rPr>
                <w:rFonts w:ascii="Georgia" w:hAnsi="Georgia"/>
                <w:sz w:val="20"/>
                <w:szCs w:val="20"/>
              </w:rPr>
              <w:t>-</w:t>
            </w:r>
          </w:p>
        </w:tc>
      </w:tr>
      <w:tr w:rsidR="00BF68CC" w14:paraId="14B03FBA" w14:textId="77777777" w:rsidTr="00467B8E">
        <w:trPr>
          <w:cantSplit/>
        </w:trPr>
        <w:tc>
          <w:tcPr>
            <w:cnfStyle w:val="001000000000" w:firstRow="0" w:lastRow="0" w:firstColumn="1" w:lastColumn="0" w:oddVBand="0" w:evenVBand="0" w:oddHBand="0" w:evenHBand="0" w:firstRowFirstColumn="0" w:firstRowLastColumn="0" w:lastRowFirstColumn="0" w:lastRowLastColumn="0"/>
            <w:tcW w:w="1692" w:type="pct"/>
            <w:hideMark/>
          </w:tcPr>
          <w:p w14:paraId="4702FCA9" w14:textId="77777777" w:rsidR="00BF68CC" w:rsidRDefault="00BF68CC" w:rsidP="00BF68CC">
            <w:pPr>
              <w:rPr>
                <w:rFonts w:ascii="Georgia" w:hAnsi="Georgia"/>
                <w:b w:val="0"/>
                <w:sz w:val="20"/>
                <w:szCs w:val="20"/>
              </w:rPr>
            </w:pPr>
            <w:r>
              <w:rPr>
                <w:rFonts w:ascii="Georgia" w:hAnsi="Georgia"/>
                <w:sz w:val="20"/>
                <w:szCs w:val="20"/>
              </w:rPr>
              <w:t>Finansuojanti institucija</w:t>
            </w:r>
          </w:p>
        </w:tc>
        <w:tc>
          <w:tcPr>
            <w:tcW w:w="1788" w:type="pct"/>
            <w:hideMark/>
          </w:tcPr>
          <w:p w14:paraId="58A3A9A6" w14:textId="77777777" w:rsidR="00BF68CC" w:rsidRDefault="00BF68CC" w:rsidP="00BF68C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eastAsia="Times New Roman" w:hAnsi="Georgia" w:cs="Times New Roman"/>
                <w:sz w:val="20"/>
                <w:szCs w:val="20"/>
                <w:lang w:eastAsia="lt-LT"/>
              </w:rPr>
              <w:t>Energetikos ministerija</w:t>
            </w:r>
            <w:r>
              <w:rPr>
                <w:rFonts w:ascii="Georgia" w:hAnsi="Georgia"/>
                <w:sz w:val="20"/>
                <w:szCs w:val="20"/>
              </w:rPr>
              <w:t xml:space="preserve"> </w:t>
            </w:r>
          </w:p>
        </w:tc>
        <w:tc>
          <w:tcPr>
            <w:tcW w:w="1520" w:type="pct"/>
          </w:tcPr>
          <w:p w14:paraId="19B01F5F" w14:textId="77777777" w:rsidR="00BF68CC" w:rsidRPr="00BF68CC" w:rsidRDefault="00BF68CC" w:rsidP="00BF68C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F68CC">
              <w:rPr>
                <w:rFonts w:ascii="Georgia" w:hAnsi="Georgia"/>
                <w:sz w:val="20"/>
                <w:szCs w:val="20"/>
              </w:rPr>
              <w:t>-</w:t>
            </w:r>
          </w:p>
        </w:tc>
      </w:tr>
      <w:tr w:rsidR="00BF68CC" w14:paraId="65A0BEFA" w14:textId="77777777" w:rsidTr="00467B8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92" w:type="pct"/>
            <w:hideMark/>
          </w:tcPr>
          <w:p w14:paraId="48898F99" w14:textId="77777777" w:rsidR="00BF68CC" w:rsidRDefault="00BF68CC" w:rsidP="00BF68CC">
            <w:pPr>
              <w:rPr>
                <w:rFonts w:ascii="Georgia" w:hAnsi="Georgia"/>
                <w:b w:val="0"/>
                <w:sz w:val="20"/>
                <w:szCs w:val="20"/>
              </w:rPr>
            </w:pPr>
            <w:r>
              <w:rPr>
                <w:rFonts w:ascii="Georgia" w:hAnsi="Georgia"/>
                <w:sz w:val="20"/>
                <w:szCs w:val="20"/>
              </w:rPr>
              <w:t>Galutinius naudos gavėjus pasiekusios lėšos</w:t>
            </w:r>
          </w:p>
        </w:tc>
        <w:tc>
          <w:tcPr>
            <w:tcW w:w="1788" w:type="pct"/>
            <w:hideMark/>
          </w:tcPr>
          <w:p w14:paraId="6056AFEE" w14:textId="77777777" w:rsidR="00BF68CC" w:rsidRDefault="005B4195" w:rsidP="00BF68C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bCs/>
                <w:color w:val="000000"/>
                <w:sz w:val="20"/>
                <w:szCs w:val="20"/>
              </w:rPr>
              <w:t>40,9</w:t>
            </w:r>
            <w:r w:rsidR="00BF68CC">
              <w:rPr>
                <w:rFonts w:ascii="Georgia" w:hAnsi="Georgia"/>
                <w:bCs/>
                <w:color w:val="000000"/>
                <w:sz w:val="20"/>
                <w:szCs w:val="20"/>
              </w:rPr>
              <w:t xml:space="preserve"> </w:t>
            </w:r>
            <w:r w:rsidR="00BF68CC">
              <w:rPr>
                <w:rFonts w:ascii="Georgia" w:eastAsia="Times New Roman" w:hAnsi="Georgia" w:cs="Times New Roman"/>
                <w:sz w:val="20"/>
                <w:szCs w:val="20"/>
                <w:lang w:eastAsia="lt-LT"/>
              </w:rPr>
              <w:t>mln. eurų</w:t>
            </w:r>
            <w:r w:rsidR="00BF68CC">
              <w:rPr>
                <w:rFonts w:ascii="Georgia" w:hAnsi="Georgia"/>
                <w:sz w:val="20"/>
                <w:szCs w:val="20"/>
              </w:rPr>
              <w:t xml:space="preserve"> </w:t>
            </w:r>
          </w:p>
        </w:tc>
        <w:tc>
          <w:tcPr>
            <w:tcW w:w="1520" w:type="pct"/>
          </w:tcPr>
          <w:p w14:paraId="78A82502" w14:textId="77777777" w:rsidR="00BF68CC" w:rsidRPr="00BF68CC" w:rsidRDefault="000203BA" w:rsidP="00BF68C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95,1</w:t>
            </w:r>
            <w:r w:rsidR="00BF68CC" w:rsidRPr="00BF68CC">
              <w:rPr>
                <w:rFonts w:ascii="Georgia" w:hAnsi="Georgia"/>
                <w:sz w:val="20"/>
                <w:szCs w:val="20"/>
              </w:rPr>
              <w:t xml:space="preserve"> mln. eurų</w:t>
            </w:r>
          </w:p>
        </w:tc>
      </w:tr>
      <w:tr w:rsidR="00BF68CC" w14:paraId="29D2375F" w14:textId="77777777" w:rsidTr="00467B8E">
        <w:trPr>
          <w:cantSplit/>
        </w:trPr>
        <w:tc>
          <w:tcPr>
            <w:cnfStyle w:val="001000000000" w:firstRow="0" w:lastRow="0" w:firstColumn="1" w:lastColumn="0" w:oddVBand="0" w:evenVBand="0" w:oddHBand="0" w:evenHBand="0" w:firstRowFirstColumn="0" w:firstRowLastColumn="0" w:lastRowFirstColumn="0" w:lastRowLastColumn="0"/>
            <w:tcW w:w="1692" w:type="pct"/>
            <w:hideMark/>
          </w:tcPr>
          <w:p w14:paraId="62CB6365" w14:textId="77777777" w:rsidR="00BF68CC" w:rsidRDefault="00BF68CC" w:rsidP="00BF68CC">
            <w:pPr>
              <w:rPr>
                <w:rFonts w:ascii="Georgia" w:hAnsi="Georgia"/>
                <w:b w:val="0"/>
                <w:sz w:val="20"/>
                <w:szCs w:val="20"/>
              </w:rPr>
            </w:pPr>
            <w:r>
              <w:rPr>
                <w:rFonts w:ascii="Georgia" w:hAnsi="Georgia"/>
                <w:sz w:val="20"/>
                <w:szCs w:val="20"/>
              </w:rPr>
              <w:t>Pritrauktos lėšos iš privačių šaltinių</w:t>
            </w:r>
          </w:p>
        </w:tc>
        <w:tc>
          <w:tcPr>
            <w:tcW w:w="1788" w:type="pct"/>
            <w:hideMark/>
          </w:tcPr>
          <w:p w14:paraId="2FB10D15" w14:textId="77777777" w:rsidR="00BF68CC" w:rsidRDefault="00BF68CC" w:rsidP="005B4195">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 </w:t>
            </w:r>
            <w:r w:rsidR="005B4195">
              <w:rPr>
                <w:rFonts w:ascii="Georgia" w:eastAsia="Times New Roman" w:hAnsi="Georgia" w:cs="Times New Roman"/>
                <w:sz w:val="20"/>
                <w:szCs w:val="20"/>
                <w:lang w:eastAsia="lt-LT"/>
              </w:rPr>
              <w:t>40,9</w:t>
            </w:r>
            <w:r>
              <w:rPr>
                <w:rFonts w:ascii="Georgia" w:eastAsia="Times New Roman" w:hAnsi="Georgia" w:cs="Times New Roman"/>
                <w:sz w:val="20"/>
                <w:szCs w:val="20"/>
                <w:lang w:eastAsia="lt-LT"/>
              </w:rPr>
              <w:t xml:space="preserve"> mln. eurų</w:t>
            </w:r>
          </w:p>
        </w:tc>
        <w:tc>
          <w:tcPr>
            <w:tcW w:w="1520" w:type="pct"/>
          </w:tcPr>
          <w:p w14:paraId="364FADFB" w14:textId="77777777" w:rsidR="00BF68CC" w:rsidRPr="00BF68CC" w:rsidRDefault="00BF68CC" w:rsidP="00BF68C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F68CC">
              <w:rPr>
                <w:rFonts w:ascii="Georgia" w:hAnsi="Georgia"/>
                <w:sz w:val="20"/>
                <w:szCs w:val="20"/>
              </w:rPr>
              <w:t>-</w:t>
            </w:r>
          </w:p>
        </w:tc>
      </w:tr>
      <w:tr w:rsidR="00BF68CC" w14:paraId="724550B2" w14:textId="77777777" w:rsidTr="00467B8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92" w:type="pct"/>
            <w:hideMark/>
          </w:tcPr>
          <w:p w14:paraId="00A31267" w14:textId="77777777" w:rsidR="00BF68CC" w:rsidRDefault="00BF68CC" w:rsidP="00BF68CC">
            <w:pPr>
              <w:rPr>
                <w:rFonts w:ascii="Georgia" w:hAnsi="Georgia"/>
                <w:b w:val="0"/>
                <w:sz w:val="20"/>
                <w:szCs w:val="20"/>
              </w:rPr>
            </w:pPr>
            <w:r>
              <w:rPr>
                <w:rFonts w:ascii="Georgia" w:hAnsi="Georgia"/>
                <w:sz w:val="20"/>
                <w:szCs w:val="20"/>
              </w:rPr>
              <w:lastRenderedPageBreak/>
              <w:t>Sverto efektas</w:t>
            </w:r>
          </w:p>
        </w:tc>
        <w:tc>
          <w:tcPr>
            <w:tcW w:w="1788" w:type="pct"/>
            <w:hideMark/>
          </w:tcPr>
          <w:p w14:paraId="0B05B98F" w14:textId="77777777" w:rsidR="00BF68CC" w:rsidRDefault="005B4195" w:rsidP="00BF68C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eastAsia="Times New Roman" w:hAnsi="Georgia" w:cs="Times New Roman"/>
                <w:sz w:val="20"/>
                <w:szCs w:val="20"/>
                <w:lang w:eastAsia="lt-LT"/>
              </w:rPr>
              <w:t>3,82</w:t>
            </w:r>
          </w:p>
        </w:tc>
        <w:tc>
          <w:tcPr>
            <w:tcW w:w="1520" w:type="pct"/>
          </w:tcPr>
          <w:p w14:paraId="75AC6901" w14:textId="77777777" w:rsidR="00BF68CC" w:rsidRPr="00BF68CC" w:rsidRDefault="00BF68CC" w:rsidP="00BF68CC">
            <w:pPr>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0"/>
              </w:rPr>
            </w:pPr>
            <w:r w:rsidRPr="00BF68CC">
              <w:rPr>
                <w:rFonts w:ascii="Georgia" w:hAnsi="Georgia"/>
                <w:bCs/>
                <w:sz w:val="20"/>
                <w:szCs w:val="20"/>
              </w:rPr>
              <w:t>-</w:t>
            </w:r>
          </w:p>
        </w:tc>
      </w:tr>
      <w:tr w:rsidR="00BF68CC" w14:paraId="14E489D9" w14:textId="77777777" w:rsidTr="00467B8E">
        <w:trPr>
          <w:cantSplit/>
        </w:trPr>
        <w:tc>
          <w:tcPr>
            <w:cnfStyle w:val="001000000000" w:firstRow="0" w:lastRow="0" w:firstColumn="1" w:lastColumn="0" w:oddVBand="0" w:evenVBand="0" w:oddHBand="0" w:evenHBand="0" w:firstRowFirstColumn="0" w:firstRowLastColumn="0" w:lastRowFirstColumn="0" w:lastRowLastColumn="0"/>
            <w:tcW w:w="1692" w:type="pct"/>
            <w:hideMark/>
          </w:tcPr>
          <w:p w14:paraId="6835B286" w14:textId="77777777" w:rsidR="00BF68CC" w:rsidRDefault="005B4195" w:rsidP="005B4195">
            <w:pPr>
              <w:rPr>
                <w:rFonts w:ascii="Georgia" w:hAnsi="Georgia"/>
                <w:b w:val="0"/>
                <w:sz w:val="20"/>
                <w:szCs w:val="20"/>
              </w:rPr>
            </w:pPr>
            <w:r>
              <w:rPr>
                <w:rFonts w:ascii="Georgia" w:hAnsi="Georgia"/>
                <w:sz w:val="20"/>
                <w:szCs w:val="20"/>
              </w:rPr>
              <w:t xml:space="preserve">Modernizuotų šviestuvų </w:t>
            </w:r>
            <w:r w:rsidR="00BF68CC">
              <w:rPr>
                <w:rFonts w:ascii="Georgia" w:hAnsi="Georgia"/>
                <w:sz w:val="20"/>
                <w:szCs w:val="20"/>
              </w:rPr>
              <w:t>skaičius iki 2022 metų</w:t>
            </w:r>
          </w:p>
        </w:tc>
        <w:tc>
          <w:tcPr>
            <w:tcW w:w="1788" w:type="pct"/>
            <w:hideMark/>
          </w:tcPr>
          <w:p w14:paraId="6F0EB43D" w14:textId="77777777" w:rsidR="00BF68CC" w:rsidRDefault="005B4195" w:rsidP="00BF68CC">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57600</w:t>
            </w:r>
          </w:p>
        </w:tc>
        <w:tc>
          <w:tcPr>
            <w:tcW w:w="1520" w:type="pct"/>
          </w:tcPr>
          <w:p w14:paraId="22258824" w14:textId="77777777" w:rsidR="00BF68CC" w:rsidRPr="00BF68CC" w:rsidRDefault="005B4195" w:rsidP="000203BA">
            <w:pPr>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0"/>
              </w:rPr>
            </w:pPr>
            <w:r>
              <w:rPr>
                <w:rFonts w:ascii="Georgia" w:hAnsi="Georgia"/>
                <w:bCs/>
                <w:sz w:val="20"/>
                <w:szCs w:val="20"/>
              </w:rPr>
              <w:t>1</w:t>
            </w:r>
            <w:r w:rsidR="000203BA">
              <w:rPr>
                <w:rFonts w:ascii="Georgia" w:hAnsi="Georgia"/>
                <w:bCs/>
                <w:sz w:val="20"/>
                <w:szCs w:val="20"/>
              </w:rPr>
              <w:t>33</w:t>
            </w:r>
            <w:r>
              <w:rPr>
                <w:rFonts w:ascii="Georgia" w:hAnsi="Georgia"/>
                <w:bCs/>
                <w:sz w:val="20"/>
                <w:szCs w:val="20"/>
              </w:rPr>
              <w:t xml:space="preserve"> 950</w:t>
            </w:r>
          </w:p>
        </w:tc>
      </w:tr>
    </w:tbl>
    <w:p w14:paraId="1E890939" w14:textId="77777777" w:rsidR="00151543" w:rsidRPr="00AC3318" w:rsidRDefault="00151543" w:rsidP="00151543">
      <w:pPr>
        <w:jc w:val="both"/>
        <w:rPr>
          <w:rFonts w:ascii="Georgia" w:eastAsia="Times New Roman" w:hAnsi="Georgia" w:cs="Times New Roman"/>
          <w:sz w:val="20"/>
          <w:szCs w:val="20"/>
          <w:lang w:val="lt-LT" w:eastAsia="lt-LT"/>
        </w:rPr>
      </w:pPr>
    </w:p>
    <w:p w14:paraId="0A339CD0" w14:textId="77777777" w:rsidR="00151543" w:rsidRPr="003351A4" w:rsidRDefault="00151543" w:rsidP="00C03122">
      <w:pPr>
        <w:pStyle w:val="Antrat2"/>
        <w:numPr>
          <w:ilvl w:val="2"/>
          <w:numId w:val="36"/>
        </w:numPr>
        <w:spacing w:after="240"/>
        <w:rPr>
          <w:lang w:val="lt-LT"/>
        </w:rPr>
      </w:pPr>
      <w:bookmarkStart w:id="407" w:name="_Toc398567623"/>
      <w:bookmarkStart w:id="408" w:name="_Toc417378454"/>
      <w:r w:rsidRPr="003351A4">
        <w:rPr>
          <w:lang w:val="lt-LT"/>
        </w:rPr>
        <w:t>Finansinės priemonės rezultatų prisidėjimas prie strateginių tikslų</w:t>
      </w:r>
      <w:bookmarkEnd w:id="407"/>
      <w:bookmarkEnd w:id="408"/>
      <w:r w:rsidRPr="003351A4">
        <w:rPr>
          <w:lang w:val="lt-LT"/>
        </w:rPr>
        <w:t xml:space="preserve"> </w:t>
      </w:r>
    </w:p>
    <w:p w14:paraId="79138783" w14:textId="77777777" w:rsidR="002838B1" w:rsidRPr="0023462D" w:rsidRDefault="002838B1" w:rsidP="002838B1">
      <w:pPr>
        <w:jc w:val="both"/>
        <w:rPr>
          <w:rFonts w:ascii="Georgia" w:eastAsia="Times New Roman" w:hAnsi="Georgia" w:cs="Times New Roman"/>
          <w:sz w:val="20"/>
          <w:szCs w:val="20"/>
          <w:lang w:val="lt-LT" w:eastAsia="lt-LT"/>
        </w:rPr>
      </w:pPr>
      <w:bookmarkStart w:id="409" w:name="_Toc398567624"/>
      <w:r w:rsidRPr="0023462D">
        <w:rPr>
          <w:rFonts w:ascii="Georgia" w:eastAsia="Times New Roman" w:hAnsi="Georgia" w:cs="Times New Roman"/>
          <w:sz w:val="20"/>
          <w:szCs w:val="20"/>
          <w:lang w:val="lt-LT" w:eastAsia="lt-LT"/>
        </w:rPr>
        <w:t xml:space="preserve">Siūlomos finansinės priemonės kūrimas prisidės prie ES ir nacionalinių strateginių tikslų įgyvendinimo. Pagrindiniai tokie strateginiai dokumentai yra Energijos efektyvumo direktyva ir Nacionalinė energetinės nepriklausomybės strategija. Žemiau yra pateikiamas detalesnis įvertinimas, kiek finansinės priemonės sukūrimas padės pasiekti strateginius tikslus. </w:t>
      </w:r>
    </w:p>
    <w:p w14:paraId="7D42B661" w14:textId="77777777" w:rsidR="002838B1" w:rsidRPr="0023462D" w:rsidRDefault="002838B1" w:rsidP="002838B1">
      <w:pPr>
        <w:jc w:val="both"/>
        <w:rPr>
          <w:rFonts w:ascii="Georgia" w:eastAsia="Times New Roman" w:hAnsi="Georgia" w:cs="Times New Roman"/>
          <w:b/>
          <w:i/>
          <w:sz w:val="20"/>
          <w:szCs w:val="20"/>
          <w:lang w:val="lt-LT" w:eastAsia="lt-LT"/>
        </w:rPr>
      </w:pPr>
      <w:r w:rsidRPr="0023462D">
        <w:rPr>
          <w:rFonts w:ascii="Georgia" w:eastAsia="Times New Roman" w:hAnsi="Georgia" w:cs="Times New Roman"/>
          <w:b/>
          <w:i/>
          <w:sz w:val="20"/>
          <w:szCs w:val="20"/>
          <w:lang w:val="lt-LT" w:eastAsia="lt-LT"/>
        </w:rPr>
        <w:t>Centrinės valdžios viešieji pastatai</w:t>
      </w:r>
    </w:p>
    <w:p w14:paraId="035BA8F1" w14:textId="77777777" w:rsidR="002838B1" w:rsidRPr="0023462D" w:rsidRDefault="002838B1" w:rsidP="002838B1">
      <w:pPr>
        <w:jc w:val="both"/>
        <w:rPr>
          <w:rFonts w:ascii="Georgia" w:eastAsia="Times New Roman" w:hAnsi="Georgia" w:cs="Times New Roman"/>
          <w:sz w:val="20"/>
          <w:szCs w:val="20"/>
          <w:lang w:val="lt-LT" w:eastAsia="lt-LT"/>
        </w:rPr>
      </w:pPr>
      <w:r w:rsidRPr="0023462D">
        <w:rPr>
          <w:rFonts w:ascii="Georgia" w:eastAsia="Times New Roman" w:hAnsi="Georgia" w:cs="Times New Roman"/>
          <w:sz w:val="20"/>
          <w:szCs w:val="20"/>
          <w:lang w:val="lt-LT" w:eastAsia="lt-LT"/>
        </w:rPr>
        <w:t>Centrinės valdžios pastatų renovacijos metu būtų prisidedama prie šių energinio efektyvumo tikslų vykdymo:</w:t>
      </w:r>
    </w:p>
    <w:p w14:paraId="6E6CE935" w14:textId="77777777" w:rsidR="002838B1" w:rsidRPr="0023462D" w:rsidRDefault="002838B1" w:rsidP="002A576D">
      <w:pPr>
        <w:pStyle w:val="prastasis1"/>
        <w:numPr>
          <w:ilvl w:val="0"/>
          <w:numId w:val="55"/>
        </w:numPr>
        <w:spacing w:line="276" w:lineRule="auto"/>
        <w:jc w:val="both"/>
        <w:rPr>
          <w:rFonts w:ascii="Georgia" w:hAnsi="Georgia"/>
          <w:sz w:val="20"/>
          <w:szCs w:val="20"/>
        </w:rPr>
      </w:pPr>
      <w:r w:rsidRPr="0023462D">
        <w:rPr>
          <w:rFonts w:ascii="Georgia" w:hAnsi="Georgia"/>
          <w:sz w:val="20"/>
          <w:szCs w:val="20"/>
        </w:rPr>
        <w:t>valstybei nuosavybės teise priklausančių šildomų ir (arba) vėsinamų valstybės institucijų ir įstaigų – valstybinio administravimo subjektų naudojamų pastatų ploto atnaujinimas (m2) iki 2020 metų – 470000</w:t>
      </w:r>
    </w:p>
    <w:p w14:paraId="633B9747" w14:textId="77777777" w:rsidR="002838B1" w:rsidRPr="0023462D" w:rsidRDefault="002838B1" w:rsidP="002A576D">
      <w:pPr>
        <w:pStyle w:val="prastasis1"/>
        <w:numPr>
          <w:ilvl w:val="0"/>
          <w:numId w:val="55"/>
        </w:numPr>
        <w:spacing w:line="276" w:lineRule="auto"/>
        <w:jc w:val="both"/>
        <w:rPr>
          <w:rFonts w:ascii="Georgia" w:hAnsi="Georgia"/>
          <w:sz w:val="20"/>
          <w:szCs w:val="20"/>
        </w:rPr>
      </w:pPr>
      <w:r w:rsidRPr="0023462D">
        <w:rPr>
          <w:rFonts w:ascii="Georgia" w:hAnsi="Georgia"/>
          <w:sz w:val="20"/>
          <w:szCs w:val="20"/>
        </w:rPr>
        <w:t>skaičiuojamųjų šiluminės energijos sąnaudų sumažėjimas atnaujintuose viešosios paskirties pastatuose (GWh) iki 2020 metų – 100</w:t>
      </w:r>
    </w:p>
    <w:p w14:paraId="002776E8" w14:textId="77777777" w:rsidR="002838B1" w:rsidRPr="0023462D" w:rsidRDefault="002838B1" w:rsidP="002A576D">
      <w:pPr>
        <w:pStyle w:val="prastasis1"/>
        <w:numPr>
          <w:ilvl w:val="0"/>
          <w:numId w:val="55"/>
        </w:numPr>
        <w:spacing w:line="276" w:lineRule="auto"/>
        <w:jc w:val="both"/>
        <w:rPr>
          <w:rFonts w:ascii="Georgia" w:hAnsi="Georgia"/>
          <w:sz w:val="20"/>
          <w:szCs w:val="20"/>
        </w:rPr>
      </w:pPr>
      <w:r w:rsidRPr="0023462D">
        <w:rPr>
          <w:rFonts w:ascii="Georgia" w:hAnsi="Georgia"/>
          <w:sz w:val="20"/>
          <w:szCs w:val="20"/>
        </w:rPr>
        <w:t>anglies dioksido išmetimo į atmosferą mažėjimas (tūkst. t.) iki 2020 metų – 20</w:t>
      </w:r>
    </w:p>
    <w:p w14:paraId="05095C48" w14:textId="77777777" w:rsidR="002838B1" w:rsidRPr="0023462D" w:rsidRDefault="002838B1" w:rsidP="002A576D">
      <w:pPr>
        <w:pStyle w:val="prastasis1"/>
        <w:numPr>
          <w:ilvl w:val="0"/>
          <w:numId w:val="55"/>
        </w:numPr>
        <w:spacing w:line="276" w:lineRule="auto"/>
        <w:jc w:val="both"/>
        <w:rPr>
          <w:rFonts w:ascii="Georgia" w:hAnsi="Georgia"/>
          <w:sz w:val="20"/>
          <w:szCs w:val="20"/>
        </w:rPr>
      </w:pPr>
      <w:r w:rsidRPr="0023462D">
        <w:rPr>
          <w:rFonts w:ascii="Georgia" w:hAnsi="Georgia"/>
          <w:sz w:val="20"/>
          <w:szCs w:val="20"/>
        </w:rPr>
        <w:t>viešosios paskirties pastatų energinio efektyvumo didinimo proceso dalyvių mokymas ir švietimas (procentais) iki 2020 metų – 90</w:t>
      </w:r>
    </w:p>
    <w:p w14:paraId="5325D9E6" w14:textId="77777777" w:rsidR="002838B1" w:rsidRPr="0023462D" w:rsidRDefault="002838B1" w:rsidP="002A576D">
      <w:pPr>
        <w:pStyle w:val="prastasis1"/>
        <w:numPr>
          <w:ilvl w:val="0"/>
          <w:numId w:val="55"/>
        </w:numPr>
        <w:spacing w:line="276" w:lineRule="auto"/>
        <w:jc w:val="both"/>
        <w:rPr>
          <w:rFonts w:ascii="Georgia" w:hAnsi="Georgia"/>
          <w:sz w:val="20"/>
          <w:szCs w:val="20"/>
        </w:rPr>
      </w:pPr>
      <w:r w:rsidRPr="0023462D">
        <w:rPr>
          <w:rFonts w:ascii="Georgia" w:hAnsi="Georgia"/>
          <w:sz w:val="20"/>
          <w:szCs w:val="20"/>
        </w:rPr>
        <w:t>Išmetamų į atmosferą šiltnamio efektą sukeliančių dujų kiekis CO2 ekvivalentu, mln. Tonų, nuo 19,959 (2009) iki 26,886 (2020 metais)</w:t>
      </w:r>
    </w:p>
    <w:p w14:paraId="6E25270D" w14:textId="77777777" w:rsidR="002838B1" w:rsidRPr="0023462D" w:rsidRDefault="002838B1" w:rsidP="002838B1">
      <w:pPr>
        <w:jc w:val="both"/>
        <w:rPr>
          <w:rFonts w:ascii="Georgia" w:eastAsia="Times New Roman" w:hAnsi="Georgia" w:cs="Times New Roman"/>
          <w:sz w:val="20"/>
          <w:szCs w:val="20"/>
          <w:lang w:val="lt-LT" w:eastAsia="lt-LT"/>
        </w:rPr>
      </w:pPr>
      <w:r w:rsidRPr="0023462D">
        <w:rPr>
          <w:rFonts w:ascii="Georgia" w:eastAsia="Times New Roman" w:hAnsi="Georgia" w:cs="Times New Roman"/>
          <w:sz w:val="20"/>
          <w:szCs w:val="20"/>
          <w:lang w:val="lt-LT" w:eastAsia="lt-LT"/>
        </w:rPr>
        <w:t>Centrinės valdžios pastatų renovacijos metu būtų prisidedama prie šių Veiksmų programos (4.3. investicinio prioriteto) išdėstytų tikslų vykdymo:</w:t>
      </w:r>
    </w:p>
    <w:p w14:paraId="22581742" w14:textId="77777777" w:rsidR="002838B1" w:rsidRPr="0023462D" w:rsidRDefault="002838B1" w:rsidP="002A576D">
      <w:pPr>
        <w:pStyle w:val="prastasis1"/>
        <w:numPr>
          <w:ilvl w:val="0"/>
          <w:numId w:val="55"/>
        </w:numPr>
        <w:spacing w:line="276" w:lineRule="auto"/>
        <w:jc w:val="both"/>
        <w:rPr>
          <w:rFonts w:ascii="Georgia" w:hAnsi="Georgia"/>
          <w:sz w:val="20"/>
          <w:szCs w:val="20"/>
        </w:rPr>
      </w:pPr>
      <w:r w:rsidRPr="0023462D">
        <w:rPr>
          <w:rFonts w:ascii="Georgia" w:hAnsi="Georgia"/>
          <w:sz w:val="20"/>
          <w:szCs w:val="20"/>
        </w:rPr>
        <w:t>Sunaudotas galutinės energijos kiekis paslaugų ir namų ūkių sektoriuose, tūkst. tne, nuo 2109,6 (2011) iki 1680 (2023)</w:t>
      </w:r>
    </w:p>
    <w:p w14:paraId="28810A6E" w14:textId="77777777" w:rsidR="002838B1" w:rsidRPr="0023462D" w:rsidRDefault="002838B1" w:rsidP="002A576D">
      <w:pPr>
        <w:pStyle w:val="prastasis1"/>
        <w:numPr>
          <w:ilvl w:val="0"/>
          <w:numId w:val="55"/>
        </w:numPr>
        <w:spacing w:line="276" w:lineRule="auto"/>
        <w:jc w:val="both"/>
        <w:rPr>
          <w:rFonts w:ascii="Georgia" w:hAnsi="Georgia"/>
          <w:sz w:val="20"/>
          <w:szCs w:val="20"/>
        </w:rPr>
      </w:pPr>
      <w:r w:rsidRPr="0023462D">
        <w:rPr>
          <w:rFonts w:ascii="Georgia" w:hAnsi="Georgia"/>
          <w:sz w:val="20"/>
          <w:szCs w:val="20"/>
        </w:rPr>
        <w:t>Galutinės energijos vartojimo efektyvumas, proc</w:t>
      </w:r>
      <w:r w:rsidR="0029321A">
        <w:rPr>
          <w:rFonts w:ascii="Georgia" w:hAnsi="Georgia"/>
          <w:sz w:val="20"/>
          <w:szCs w:val="20"/>
        </w:rPr>
        <w:t>.</w:t>
      </w:r>
      <w:r w:rsidRPr="0023462D">
        <w:rPr>
          <w:rFonts w:ascii="Georgia" w:hAnsi="Georgia"/>
          <w:sz w:val="20"/>
          <w:szCs w:val="20"/>
        </w:rPr>
        <w:t>, nuo 4,5 (2011) iki 17 (2023)</w:t>
      </w:r>
    </w:p>
    <w:p w14:paraId="7979F46D" w14:textId="77777777" w:rsidR="002838B1" w:rsidRPr="0023462D" w:rsidRDefault="002838B1" w:rsidP="002A576D">
      <w:pPr>
        <w:pStyle w:val="prastasis1"/>
        <w:numPr>
          <w:ilvl w:val="0"/>
          <w:numId w:val="55"/>
        </w:numPr>
        <w:spacing w:line="276" w:lineRule="auto"/>
        <w:jc w:val="both"/>
        <w:rPr>
          <w:rFonts w:ascii="Georgia" w:hAnsi="Georgia"/>
          <w:sz w:val="20"/>
          <w:szCs w:val="20"/>
        </w:rPr>
      </w:pPr>
      <w:r w:rsidRPr="0023462D">
        <w:rPr>
          <w:rFonts w:ascii="Georgia" w:hAnsi="Georgia"/>
          <w:sz w:val="20"/>
          <w:szCs w:val="20"/>
        </w:rPr>
        <w:t>Metinis pirminės energijos suvartojimo viešuosiuose pastatuose sumažėjimas, kWh/per metus, 60 000 000 (2023)</w:t>
      </w:r>
    </w:p>
    <w:p w14:paraId="56A2EAF7" w14:textId="77777777" w:rsidR="002838B1" w:rsidRPr="0023462D" w:rsidRDefault="002838B1" w:rsidP="002A576D">
      <w:pPr>
        <w:pStyle w:val="prastasis1"/>
        <w:numPr>
          <w:ilvl w:val="0"/>
          <w:numId w:val="55"/>
        </w:numPr>
        <w:spacing w:line="276" w:lineRule="auto"/>
        <w:jc w:val="both"/>
        <w:rPr>
          <w:rFonts w:ascii="Georgia" w:hAnsi="Georgia"/>
          <w:sz w:val="20"/>
          <w:szCs w:val="20"/>
        </w:rPr>
      </w:pPr>
      <w:r w:rsidRPr="0023462D">
        <w:rPr>
          <w:rFonts w:ascii="Georgia" w:hAnsi="Georgia"/>
          <w:sz w:val="20"/>
          <w:szCs w:val="20"/>
        </w:rPr>
        <w:t>Šilumos vartotojai, kuriems šiluma tiekiama patikimiau ir pagerėjo tiekimo kokybė, vnt, 660 000</w:t>
      </w:r>
    </w:p>
    <w:p w14:paraId="431CD8D3" w14:textId="77777777" w:rsidR="002838B1" w:rsidRPr="0023462D" w:rsidRDefault="002838B1" w:rsidP="002838B1">
      <w:pPr>
        <w:jc w:val="both"/>
        <w:rPr>
          <w:rFonts w:ascii="Georgia" w:eastAsia="Times New Roman" w:hAnsi="Georgia" w:cs="Times New Roman"/>
          <w:sz w:val="20"/>
          <w:szCs w:val="20"/>
          <w:lang w:val="lt-LT" w:eastAsia="lt-LT"/>
        </w:rPr>
      </w:pPr>
      <w:r w:rsidRPr="0023462D">
        <w:rPr>
          <w:rFonts w:ascii="Georgia" w:eastAsia="Times New Roman" w:hAnsi="Georgia" w:cs="Times New Roman"/>
          <w:sz w:val="20"/>
          <w:szCs w:val="20"/>
          <w:lang w:val="lt-LT" w:eastAsia="lt-LT"/>
        </w:rPr>
        <w:t>Centrinės valdžios pastatų renovacijos metu būtų prisidedama prie šių Nacionalinėje pažangos programoje išdėstytų tikslų vykdymo:</w:t>
      </w:r>
    </w:p>
    <w:p w14:paraId="44B7015A" w14:textId="77777777" w:rsidR="002838B1" w:rsidRPr="0023462D" w:rsidRDefault="002838B1" w:rsidP="002A576D">
      <w:pPr>
        <w:pStyle w:val="prastasis1"/>
        <w:numPr>
          <w:ilvl w:val="0"/>
          <w:numId w:val="55"/>
        </w:numPr>
        <w:spacing w:line="276" w:lineRule="auto"/>
        <w:jc w:val="both"/>
        <w:rPr>
          <w:rFonts w:ascii="Georgia" w:hAnsi="Georgia"/>
          <w:sz w:val="20"/>
          <w:szCs w:val="20"/>
        </w:rPr>
      </w:pPr>
      <w:r w:rsidRPr="0023462D">
        <w:rPr>
          <w:rFonts w:ascii="Georgia" w:hAnsi="Georgia"/>
          <w:sz w:val="20"/>
          <w:szCs w:val="20"/>
        </w:rPr>
        <w:t>Išmetamų į atmosferą šiltnamio efektą sukeliančių dujų kiekis CO2 ekvivalentu, mln. Tonų, nuo 19,959 (2009) iki 26,886 (2020 metais)</w:t>
      </w:r>
    </w:p>
    <w:p w14:paraId="3BBBA659" w14:textId="77777777" w:rsidR="002838B1" w:rsidRPr="0023462D" w:rsidRDefault="002838B1" w:rsidP="002A576D">
      <w:pPr>
        <w:pStyle w:val="prastasis1"/>
        <w:numPr>
          <w:ilvl w:val="0"/>
          <w:numId w:val="55"/>
        </w:numPr>
        <w:spacing w:line="276" w:lineRule="auto"/>
        <w:jc w:val="both"/>
        <w:rPr>
          <w:rFonts w:ascii="Georgia" w:hAnsi="Georgia"/>
          <w:sz w:val="20"/>
          <w:szCs w:val="20"/>
        </w:rPr>
      </w:pPr>
      <w:r w:rsidRPr="0023462D">
        <w:rPr>
          <w:rFonts w:ascii="Georgia" w:hAnsi="Georgia"/>
          <w:sz w:val="20"/>
          <w:szCs w:val="20"/>
        </w:rPr>
        <w:t>Galutinės energijos vartojimo efektyvumo padidėjimas (palyginti su 2009 metų lygiu), procentais, nuo 3 (2010) iki 17 (2020 metais)</w:t>
      </w:r>
    </w:p>
    <w:p w14:paraId="28E97734" w14:textId="77777777" w:rsidR="002838B1" w:rsidRPr="0023462D" w:rsidRDefault="002838B1" w:rsidP="002A576D">
      <w:pPr>
        <w:pStyle w:val="prastasis1"/>
        <w:numPr>
          <w:ilvl w:val="0"/>
          <w:numId w:val="55"/>
        </w:numPr>
        <w:spacing w:line="276" w:lineRule="auto"/>
        <w:jc w:val="both"/>
        <w:rPr>
          <w:rFonts w:ascii="Georgia" w:hAnsi="Georgia"/>
          <w:sz w:val="20"/>
          <w:szCs w:val="20"/>
        </w:rPr>
      </w:pPr>
      <w:r w:rsidRPr="0023462D">
        <w:rPr>
          <w:rFonts w:ascii="Georgia" w:hAnsi="Georgia"/>
          <w:sz w:val="20"/>
          <w:szCs w:val="20"/>
        </w:rPr>
        <w:t>Energijos suvartojimo intensyvumas, kg naftos ekvivalento vienam realiam BVP vienetui, nuo 311 (2011) iki 230 (2020 metais)</w:t>
      </w:r>
    </w:p>
    <w:p w14:paraId="1F8EDBB0" w14:textId="77777777" w:rsidR="002838B1" w:rsidRPr="0023462D" w:rsidRDefault="002838B1" w:rsidP="002838B1">
      <w:pPr>
        <w:jc w:val="both"/>
        <w:rPr>
          <w:rFonts w:ascii="Georgia" w:eastAsia="Times New Roman" w:hAnsi="Georgia" w:cs="Times New Roman"/>
          <w:sz w:val="20"/>
          <w:szCs w:val="20"/>
          <w:lang w:val="lt-LT" w:eastAsia="lt-LT"/>
        </w:rPr>
      </w:pPr>
      <w:r w:rsidRPr="0023462D">
        <w:rPr>
          <w:rFonts w:ascii="Georgia" w:eastAsia="Times New Roman" w:hAnsi="Georgia" w:cs="Times New Roman"/>
          <w:sz w:val="20"/>
          <w:szCs w:val="20"/>
          <w:lang w:val="lt-LT" w:eastAsia="lt-LT"/>
        </w:rPr>
        <w:lastRenderedPageBreak/>
        <w:t>Pasirinkus rekomenduojamą centrinės valdžios pastatų renovacijos scenarijų planuojami energijos sutaupymai ir taršos mažinimo rodikliai pateikti žemiau esančioje lentelėje.</w:t>
      </w:r>
    </w:p>
    <w:p w14:paraId="468EA197" w14:textId="761DAAE4" w:rsidR="002838B1" w:rsidRPr="0023462D" w:rsidRDefault="002838B1" w:rsidP="002838B1">
      <w:pPr>
        <w:pStyle w:val="Antrat"/>
        <w:jc w:val="both"/>
        <w:rPr>
          <w:sz w:val="22"/>
          <w:lang w:val="lt-LT"/>
        </w:rPr>
      </w:pPr>
      <w:bookmarkStart w:id="410" w:name="_Toc460321744"/>
      <w:r w:rsidRPr="0023462D">
        <w:rPr>
          <w:lang w:val="lt-LT"/>
        </w:rPr>
        <w:t xml:space="preserve">Lentelė </w:t>
      </w:r>
      <w:r w:rsidRPr="0023462D">
        <w:rPr>
          <w:lang w:val="lt-LT"/>
        </w:rPr>
        <w:fldChar w:fldCharType="begin"/>
      </w:r>
      <w:r w:rsidRPr="0023462D">
        <w:rPr>
          <w:lang w:val="lt-LT"/>
        </w:rPr>
        <w:instrText xml:space="preserve"> SEQ Lentelė \* ARABIC </w:instrText>
      </w:r>
      <w:r w:rsidRPr="0023462D">
        <w:rPr>
          <w:lang w:val="lt-LT"/>
        </w:rPr>
        <w:fldChar w:fldCharType="separate"/>
      </w:r>
      <w:r w:rsidR="00AA3082">
        <w:rPr>
          <w:noProof/>
          <w:lang w:val="lt-LT"/>
        </w:rPr>
        <w:t>163</w:t>
      </w:r>
      <w:r w:rsidRPr="0023462D">
        <w:rPr>
          <w:lang w:val="lt-LT"/>
        </w:rPr>
        <w:fldChar w:fldCharType="end"/>
      </w:r>
      <w:r w:rsidRPr="0023462D">
        <w:rPr>
          <w:lang w:val="lt-LT"/>
        </w:rPr>
        <w:t xml:space="preserve">. </w:t>
      </w:r>
      <w:r w:rsidRPr="0023462D">
        <w:rPr>
          <w:szCs w:val="20"/>
          <w:lang w:val="lt-LT"/>
        </w:rPr>
        <w:t>Tikėtini centrinės valdžios pastatų renovacijos</w:t>
      </w:r>
      <w:r>
        <w:rPr>
          <w:szCs w:val="20"/>
          <w:lang w:val="lt-LT"/>
        </w:rPr>
        <w:t xml:space="preserve"> </w:t>
      </w:r>
      <w:r w:rsidRPr="0023462D">
        <w:rPr>
          <w:szCs w:val="20"/>
          <w:lang w:val="lt-LT"/>
        </w:rPr>
        <w:t>energijos sutaupymo ir taršos mažinimo rezultatai.</w:t>
      </w:r>
      <w:bookmarkEnd w:id="410"/>
    </w:p>
    <w:tbl>
      <w:tblPr>
        <w:tblStyle w:val="viesussraas2parykinimas"/>
        <w:tblW w:w="5000" w:type="pct"/>
        <w:tblLook w:val="04A0" w:firstRow="1" w:lastRow="0" w:firstColumn="1" w:lastColumn="0" w:noHBand="0" w:noVBand="1"/>
      </w:tblPr>
      <w:tblGrid>
        <w:gridCol w:w="5105"/>
        <w:gridCol w:w="2069"/>
        <w:gridCol w:w="2069"/>
      </w:tblGrid>
      <w:tr w:rsidR="00467B8E" w:rsidRPr="00467B8E" w14:paraId="47764C2E" w14:textId="77777777" w:rsidTr="00467B8E">
        <w:trPr>
          <w:cnfStyle w:val="100000000000" w:firstRow="1" w:lastRow="0" w:firstColumn="0" w:lastColumn="0" w:oddVBand="0" w:evenVBand="0" w:oddHBand="0" w:evenHBand="0" w:firstRowFirstColumn="0" w:firstRowLastColumn="0" w:lastRowFirstColumn="0" w:lastRowLastColumn="0"/>
          <w:trHeight w:val="615"/>
          <w:tblHeader/>
        </w:trPr>
        <w:tc>
          <w:tcPr>
            <w:cnfStyle w:val="001000000000" w:firstRow="0" w:lastRow="0" w:firstColumn="1" w:lastColumn="0" w:oddVBand="0" w:evenVBand="0" w:oddHBand="0" w:evenHBand="0" w:firstRowFirstColumn="0" w:firstRowLastColumn="0" w:lastRowFirstColumn="0" w:lastRowLastColumn="0"/>
            <w:tcW w:w="2761" w:type="pct"/>
            <w:hideMark/>
          </w:tcPr>
          <w:p w14:paraId="68D9EF9A" w14:textId="77777777" w:rsidR="002838B1" w:rsidRPr="00467B8E" w:rsidRDefault="002838B1" w:rsidP="002838B1">
            <w:pPr>
              <w:keepNext/>
              <w:jc w:val="center"/>
              <w:rPr>
                <w:rFonts w:ascii="Georgia" w:eastAsia="Times New Roman" w:hAnsi="Georgia" w:cs="Arial"/>
                <w:sz w:val="20"/>
                <w:lang w:eastAsia="lt-LT"/>
              </w:rPr>
            </w:pPr>
            <w:r w:rsidRPr="00467B8E">
              <w:rPr>
                <w:rFonts w:ascii="Georgia" w:eastAsia="Times New Roman" w:hAnsi="Georgia" w:cs="Arial"/>
                <w:sz w:val="20"/>
                <w:lang w:eastAsia="lt-LT"/>
              </w:rPr>
              <w:t>Rodiklis</w:t>
            </w:r>
          </w:p>
        </w:tc>
        <w:tc>
          <w:tcPr>
            <w:tcW w:w="1119" w:type="pct"/>
            <w:hideMark/>
          </w:tcPr>
          <w:p w14:paraId="0BC9C74E" w14:textId="77777777" w:rsidR="002838B1" w:rsidRPr="00467B8E" w:rsidRDefault="002838B1" w:rsidP="002838B1">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sz w:val="20"/>
                <w:lang w:eastAsia="lt-LT"/>
              </w:rPr>
            </w:pPr>
            <w:r w:rsidRPr="00467B8E">
              <w:rPr>
                <w:rFonts w:ascii="Georgia" w:eastAsia="Times New Roman" w:hAnsi="Georgia" w:cs="Arial"/>
                <w:sz w:val="20"/>
                <w:lang w:eastAsia="lt-LT"/>
              </w:rPr>
              <w:t>Mato vnt.</w:t>
            </w:r>
          </w:p>
        </w:tc>
        <w:tc>
          <w:tcPr>
            <w:tcW w:w="1119" w:type="pct"/>
            <w:hideMark/>
          </w:tcPr>
          <w:p w14:paraId="56EFC570" w14:textId="77777777" w:rsidR="002838B1" w:rsidRPr="00467B8E" w:rsidRDefault="002838B1" w:rsidP="002838B1">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sz w:val="20"/>
                <w:lang w:eastAsia="lt-LT"/>
              </w:rPr>
            </w:pPr>
            <w:r w:rsidRPr="00467B8E">
              <w:rPr>
                <w:rFonts w:ascii="Georgia" w:eastAsia="Times New Roman" w:hAnsi="Georgia" w:cs="Arial"/>
                <w:sz w:val="20"/>
                <w:lang w:eastAsia="lt-LT"/>
              </w:rPr>
              <w:t>Sutaupymas</w:t>
            </w:r>
            <w:r w:rsidRPr="00467B8E">
              <w:rPr>
                <w:rStyle w:val="Puslapioinaosnuoroda"/>
                <w:rFonts w:ascii="Georgia" w:eastAsia="Times New Roman" w:hAnsi="Georgia" w:cs="Arial"/>
                <w:sz w:val="20"/>
                <w:lang w:eastAsia="lt-LT"/>
              </w:rPr>
              <w:footnoteReference w:id="168"/>
            </w:r>
          </w:p>
        </w:tc>
      </w:tr>
      <w:tr w:rsidR="002838B1" w:rsidRPr="00A90CB3" w14:paraId="67A47950" w14:textId="77777777" w:rsidTr="00467B8E">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761" w:type="pct"/>
            <w:hideMark/>
          </w:tcPr>
          <w:p w14:paraId="2055492B" w14:textId="77777777" w:rsidR="002838B1" w:rsidRPr="00A90CB3" w:rsidRDefault="002838B1" w:rsidP="002838B1">
            <w:pPr>
              <w:keepNext/>
              <w:rPr>
                <w:rFonts w:ascii="Georgia" w:eastAsia="Times New Roman" w:hAnsi="Georgia" w:cs="Arial"/>
                <w:color w:val="000000"/>
                <w:sz w:val="20"/>
                <w:lang w:eastAsia="lt-LT"/>
              </w:rPr>
            </w:pPr>
            <w:r w:rsidRPr="00A90CB3">
              <w:rPr>
                <w:rFonts w:ascii="Georgia" w:eastAsia="Times New Roman" w:hAnsi="Georgia" w:cs="Arial"/>
                <w:color w:val="000000"/>
                <w:sz w:val="20"/>
                <w:lang w:eastAsia="lt-LT"/>
              </w:rPr>
              <w:t>a) Sutaupytos energijos kiekis (neįskaitant 2020 m.)</w:t>
            </w:r>
          </w:p>
        </w:tc>
        <w:tc>
          <w:tcPr>
            <w:tcW w:w="1119" w:type="pct"/>
            <w:noWrap/>
            <w:hideMark/>
          </w:tcPr>
          <w:p w14:paraId="02E4C2E7" w14:textId="1F322EF5" w:rsidR="002838B1" w:rsidRPr="00A90CB3" w:rsidRDefault="00632BFA" w:rsidP="002838B1">
            <w:pPr>
              <w:keepNext/>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Pr>
                <w:rFonts w:ascii="Georgia" w:eastAsia="Times New Roman" w:hAnsi="Georgia" w:cs="Arial"/>
                <w:bCs/>
                <w:color w:val="000000"/>
                <w:sz w:val="20"/>
                <w:lang w:eastAsia="lt-LT"/>
              </w:rPr>
              <w:t>G</w:t>
            </w:r>
            <w:r w:rsidRPr="00A90CB3">
              <w:rPr>
                <w:rFonts w:ascii="Georgia" w:eastAsia="Times New Roman" w:hAnsi="Georgia" w:cs="Arial"/>
                <w:bCs/>
                <w:color w:val="000000"/>
                <w:sz w:val="20"/>
                <w:lang w:eastAsia="lt-LT"/>
              </w:rPr>
              <w:t>Wh</w:t>
            </w:r>
          </w:p>
        </w:tc>
        <w:tc>
          <w:tcPr>
            <w:tcW w:w="1119" w:type="pct"/>
            <w:noWrap/>
            <w:hideMark/>
          </w:tcPr>
          <w:p w14:paraId="1D15C7F3" w14:textId="63402BCB" w:rsidR="002838B1" w:rsidRPr="00A90CB3" w:rsidRDefault="00632BFA" w:rsidP="002838B1">
            <w:pPr>
              <w:keepNext/>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Pr>
                <w:rFonts w:ascii="Georgia" w:eastAsia="Times New Roman" w:hAnsi="Georgia" w:cs="Arial"/>
                <w:bCs/>
                <w:color w:val="000000"/>
                <w:sz w:val="20"/>
                <w:lang w:eastAsia="lt-LT"/>
              </w:rPr>
              <w:t>117,8</w:t>
            </w:r>
            <w:r w:rsidR="002838B1" w:rsidRPr="00A90CB3">
              <w:rPr>
                <w:rFonts w:ascii="Georgia" w:eastAsia="Times New Roman" w:hAnsi="Georgia" w:cs="Arial"/>
                <w:bCs/>
                <w:color w:val="000000"/>
                <w:sz w:val="20"/>
                <w:lang w:eastAsia="lt-LT"/>
              </w:rPr>
              <w:t xml:space="preserve"> </w:t>
            </w:r>
          </w:p>
        </w:tc>
      </w:tr>
      <w:tr w:rsidR="002838B1" w:rsidRPr="00A90CB3" w14:paraId="21B19610" w14:textId="77777777" w:rsidTr="00467B8E">
        <w:trPr>
          <w:trHeight w:val="615"/>
        </w:trPr>
        <w:tc>
          <w:tcPr>
            <w:cnfStyle w:val="001000000000" w:firstRow="0" w:lastRow="0" w:firstColumn="1" w:lastColumn="0" w:oddVBand="0" w:evenVBand="0" w:oddHBand="0" w:evenHBand="0" w:firstRowFirstColumn="0" w:firstRowLastColumn="0" w:lastRowFirstColumn="0" w:lastRowLastColumn="0"/>
            <w:tcW w:w="2761" w:type="pct"/>
            <w:hideMark/>
          </w:tcPr>
          <w:p w14:paraId="2BCEE035" w14:textId="77777777" w:rsidR="002838B1" w:rsidRPr="00A90CB3" w:rsidRDefault="002838B1" w:rsidP="002838B1">
            <w:pPr>
              <w:rPr>
                <w:rFonts w:ascii="Georgia" w:eastAsia="Times New Roman" w:hAnsi="Georgia" w:cs="Arial"/>
                <w:color w:val="000000"/>
                <w:sz w:val="20"/>
                <w:lang w:eastAsia="lt-LT"/>
              </w:rPr>
            </w:pPr>
            <w:r w:rsidRPr="00A90CB3">
              <w:rPr>
                <w:rFonts w:ascii="Georgia" w:eastAsia="Times New Roman" w:hAnsi="Georgia" w:cs="Arial"/>
                <w:color w:val="000000"/>
                <w:sz w:val="20"/>
                <w:lang w:eastAsia="lt-LT"/>
              </w:rPr>
              <w:t>b) Sutaupytos energijos kiekis (įskaitant 2020 m.)</w:t>
            </w:r>
          </w:p>
        </w:tc>
        <w:tc>
          <w:tcPr>
            <w:tcW w:w="1119" w:type="pct"/>
            <w:noWrap/>
            <w:hideMark/>
          </w:tcPr>
          <w:p w14:paraId="3A7C2B8B" w14:textId="2FDCECD4" w:rsidR="002838B1" w:rsidRPr="00A90CB3" w:rsidRDefault="00632BFA" w:rsidP="002838B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Pr>
                <w:rFonts w:ascii="Georgia" w:eastAsia="Times New Roman" w:hAnsi="Georgia" w:cs="Arial"/>
                <w:bCs/>
                <w:color w:val="000000"/>
                <w:sz w:val="20"/>
                <w:lang w:eastAsia="lt-LT"/>
              </w:rPr>
              <w:t>G</w:t>
            </w:r>
            <w:r w:rsidR="002838B1" w:rsidRPr="00A90CB3">
              <w:rPr>
                <w:rFonts w:ascii="Georgia" w:eastAsia="Times New Roman" w:hAnsi="Georgia" w:cs="Arial"/>
                <w:bCs/>
                <w:color w:val="000000"/>
                <w:sz w:val="20"/>
                <w:lang w:eastAsia="lt-LT"/>
              </w:rPr>
              <w:t>Wh</w:t>
            </w:r>
          </w:p>
        </w:tc>
        <w:tc>
          <w:tcPr>
            <w:tcW w:w="1119" w:type="pct"/>
            <w:noWrap/>
            <w:hideMark/>
          </w:tcPr>
          <w:p w14:paraId="489F489D" w14:textId="327F58D6" w:rsidR="002838B1" w:rsidRPr="00A90CB3" w:rsidRDefault="00632BFA" w:rsidP="00632BFA">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Pr>
                <w:rFonts w:ascii="Georgia" w:eastAsia="Times New Roman" w:hAnsi="Georgia" w:cs="Arial"/>
                <w:bCs/>
                <w:color w:val="000000"/>
                <w:sz w:val="20"/>
                <w:lang w:eastAsia="lt-LT"/>
              </w:rPr>
              <w:t>1766</w:t>
            </w:r>
            <w:r w:rsidR="002838B1" w:rsidRPr="00A90CB3">
              <w:rPr>
                <w:rFonts w:ascii="Georgia" w:eastAsia="Times New Roman" w:hAnsi="Georgia" w:cs="Arial"/>
                <w:bCs/>
                <w:color w:val="000000"/>
                <w:sz w:val="20"/>
                <w:lang w:eastAsia="lt-LT"/>
              </w:rPr>
              <w:t xml:space="preserve">    </w:t>
            </w:r>
          </w:p>
        </w:tc>
      </w:tr>
      <w:tr w:rsidR="002838B1" w:rsidRPr="00A90CB3" w14:paraId="2AEB3E85" w14:textId="77777777" w:rsidTr="00467B8E">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761" w:type="pct"/>
            <w:hideMark/>
          </w:tcPr>
          <w:p w14:paraId="34D6B449" w14:textId="77777777" w:rsidR="002838B1" w:rsidRPr="00A90CB3" w:rsidRDefault="002838B1" w:rsidP="002838B1">
            <w:pPr>
              <w:rPr>
                <w:rFonts w:ascii="Georgia" w:eastAsia="Times New Roman" w:hAnsi="Georgia" w:cs="Arial"/>
                <w:color w:val="000000"/>
                <w:sz w:val="20"/>
                <w:lang w:eastAsia="lt-LT"/>
              </w:rPr>
            </w:pPr>
            <w:r w:rsidRPr="00A90CB3">
              <w:rPr>
                <w:rFonts w:ascii="Georgia" w:eastAsia="Times New Roman" w:hAnsi="Georgia" w:cs="Arial"/>
                <w:color w:val="000000"/>
                <w:sz w:val="20"/>
                <w:lang w:eastAsia="lt-LT"/>
              </w:rPr>
              <w:t>a) Bendras išmetamųjų ŠESD kiekio sumažinimas (neįskaitant 2020 m.)</w:t>
            </w:r>
          </w:p>
        </w:tc>
        <w:tc>
          <w:tcPr>
            <w:tcW w:w="1119" w:type="pct"/>
            <w:noWrap/>
            <w:hideMark/>
          </w:tcPr>
          <w:p w14:paraId="2BCF3182" w14:textId="77777777" w:rsidR="002838B1" w:rsidRPr="00A90CB3" w:rsidRDefault="002838B1" w:rsidP="002838B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sidRPr="00A90CB3">
              <w:rPr>
                <w:rFonts w:ascii="Georgia" w:eastAsia="Times New Roman" w:hAnsi="Georgia" w:cs="Arial"/>
                <w:bCs/>
                <w:color w:val="000000"/>
                <w:sz w:val="20"/>
                <w:lang w:eastAsia="lt-LT"/>
              </w:rPr>
              <w:t>t CO2 ekv</w:t>
            </w:r>
          </w:p>
        </w:tc>
        <w:tc>
          <w:tcPr>
            <w:tcW w:w="1119" w:type="pct"/>
            <w:noWrap/>
            <w:hideMark/>
          </w:tcPr>
          <w:p w14:paraId="46AB0BA9" w14:textId="5A7FD1BF" w:rsidR="002838B1" w:rsidRPr="00A90CB3" w:rsidRDefault="00632BFA" w:rsidP="00632BF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Pr>
                <w:rFonts w:ascii="Georgia" w:eastAsia="Times New Roman" w:hAnsi="Georgia" w:cs="Arial"/>
                <w:bCs/>
                <w:color w:val="000000"/>
                <w:sz w:val="20"/>
                <w:lang w:eastAsia="lt-LT"/>
              </w:rPr>
              <w:t>27436</w:t>
            </w:r>
            <w:r w:rsidR="002838B1" w:rsidRPr="00A90CB3">
              <w:rPr>
                <w:rFonts w:ascii="Georgia" w:eastAsia="Times New Roman" w:hAnsi="Georgia" w:cs="Arial"/>
                <w:bCs/>
                <w:color w:val="000000"/>
                <w:sz w:val="20"/>
                <w:lang w:eastAsia="lt-LT"/>
              </w:rPr>
              <w:t xml:space="preserve"> </w:t>
            </w:r>
          </w:p>
        </w:tc>
      </w:tr>
      <w:tr w:rsidR="002838B1" w:rsidRPr="00A90CB3" w14:paraId="5FECD5B7" w14:textId="77777777" w:rsidTr="00467B8E">
        <w:trPr>
          <w:trHeight w:val="615"/>
        </w:trPr>
        <w:tc>
          <w:tcPr>
            <w:cnfStyle w:val="001000000000" w:firstRow="0" w:lastRow="0" w:firstColumn="1" w:lastColumn="0" w:oddVBand="0" w:evenVBand="0" w:oddHBand="0" w:evenHBand="0" w:firstRowFirstColumn="0" w:firstRowLastColumn="0" w:lastRowFirstColumn="0" w:lastRowLastColumn="0"/>
            <w:tcW w:w="2761" w:type="pct"/>
            <w:hideMark/>
          </w:tcPr>
          <w:p w14:paraId="1DCA2BEA" w14:textId="77777777" w:rsidR="002838B1" w:rsidRPr="00A90CB3" w:rsidRDefault="002838B1" w:rsidP="002838B1">
            <w:pPr>
              <w:rPr>
                <w:rFonts w:ascii="Georgia" w:eastAsia="Times New Roman" w:hAnsi="Georgia" w:cs="Arial"/>
                <w:color w:val="000000"/>
                <w:sz w:val="20"/>
                <w:lang w:eastAsia="lt-LT"/>
              </w:rPr>
            </w:pPr>
            <w:r w:rsidRPr="00A90CB3">
              <w:rPr>
                <w:rFonts w:ascii="Georgia" w:eastAsia="Times New Roman" w:hAnsi="Georgia" w:cs="Arial"/>
                <w:color w:val="000000"/>
                <w:sz w:val="20"/>
                <w:lang w:eastAsia="lt-LT"/>
              </w:rPr>
              <w:t>b) Bendras išmetamųjų ŠESD kiekio sumažinimas (įskaitant 2020 m.)</w:t>
            </w:r>
          </w:p>
        </w:tc>
        <w:tc>
          <w:tcPr>
            <w:tcW w:w="1119" w:type="pct"/>
            <w:noWrap/>
            <w:hideMark/>
          </w:tcPr>
          <w:p w14:paraId="7003814D" w14:textId="77777777" w:rsidR="002838B1" w:rsidRPr="00A90CB3" w:rsidRDefault="002838B1" w:rsidP="002838B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sidRPr="00A90CB3">
              <w:rPr>
                <w:rFonts w:ascii="Georgia" w:eastAsia="Times New Roman" w:hAnsi="Georgia" w:cs="Arial"/>
                <w:bCs/>
                <w:color w:val="000000"/>
                <w:sz w:val="20"/>
                <w:lang w:eastAsia="lt-LT"/>
              </w:rPr>
              <w:t>t CO2 ekv</w:t>
            </w:r>
          </w:p>
        </w:tc>
        <w:tc>
          <w:tcPr>
            <w:tcW w:w="1119" w:type="pct"/>
            <w:noWrap/>
            <w:hideMark/>
          </w:tcPr>
          <w:p w14:paraId="51846A3F" w14:textId="749E7B94" w:rsidR="002838B1" w:rsidRPr="00A90CB3" w:rsidRDefault="00632BFA" w:rsidP="002838B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Pr>
                <w:rFonts w:ascii="Georgia" w:eastAsia="Times New Roman" w:hAnsi="Georgia" w:cs="Arial"/>
                <w:bCs/>
                <w:color w:val="000000"/>
                <w:sz w:val="20"/>
                <w:lang w:eastAsia="lt-LT"/>
              </w:rPr>
              <w:t>41154</w:t>
            </w:r>
          </w:p>
        </w:tc>
      </w:tr>
    </w:tbl>
    <w:p w14:paraId="1BCFBDBA" w14:textId="77777777" w:rsidR="002838B1" w:rsidRPr="0023462D" w:rsidRDefault="002838B1" w:rsidP="002838B1">
      <w:pPr>
        <w:jc w:val="both"/>
        <w:rPr>
          <w:rFonts w:ascii="Georgia" w:eastAsia="Times New Roman" w:hAnsi="Georgia" w:cs="Times New Roman"/>
          <w:b/>
          <w:i/>
          <w:sz w:val="20"/>
          <w:szCs w:val="20"/>
          <w:lang w:val="lt-LT" w:eastAsia="lt-LT"/>
        </w:rPr>
      </w:pPr>
    </w:p>
    <w:p w14:paraId="0BAE3FCC" w14:textId="77777777" w:rsidR="002838B1" w:rsidRPr="0023462D" w:rsidRDefault="002838B1" w:rsidP="002838B1">
      <w:pPr>
        <w:jc w:val="both"/>
        <w:rPr>
          <w:rFonts w:ascii="Georgia" w:eastAsia="Times New Roman" w:hAnsi="Georgia" w:cs="Times New Roman"/>
          <w:b/>
          <w:i/>
          <w:sz w:val="20"/>
          <w:szCs w:val="20"/>
          <w:lang w:val="lt-LT" w:eastAsia="lt-LT"/>
        </w:rPr>
      </w:pPr>
      <w:r w:rsidRPr="0023462D">
        <w:rPr>
          <w:rFonts w:ascii="Georgia" w:eastAsia="Times New Roman" w:hAnsi="Georgia" w:cs="Times New Roman"/>
          <w:b/>
          <w:i/>
          <w:sz w:val="20"/>
          <w:szCs w:val="20"/>
          <w:lang w:val="lt-LT" w:eastAsia="lt-LT"/>
        </w:rPr>
        <w:t>Gatvių apšvietimo modernizavimas</w:t>
      </w:r>
    </w:p>
    <w:p w14:paraId="36D22391" w14:textId="77777777" w:rsidR="002838B1" w:rsidRPr="0023462D" w:rsidRDefault="002838B1" w:rsidP="002838B1">
      <w:pPr>
        <w:pStyle w:val="prastasis1"/>
        <w:spacing w:line="276" w:lineRule="auto"/>
        <w:jc w:val="both"/>
        <w:rPr>
          <w:rFonts w:ascii="Georgia" w:hAnsi="Georgia"/>
          <w:sz w:val="20"/>
          <w:szCs w:val="20"/>
        </w:rPr>
      </w:pPr>
      <w:r w:rsidRPr="0023462D">
        <w:rPr>
          <w:rFonts w:ascii="Georgia" w:hAnsi="Georgia"/>
          <w:sz w:val="20"/>
          <w:szCs w:val="20"/>
        </w:rPr>
        <w:t>Gatvių apšvietimo modernizavimo metu bus prisidedama prie šio Veiksmų programos (4.3. investicinio prioriteto) tikslų vykdymo:</w:t>
      </w:r>
    </w:p>
    <w:p w14:paraId="36AB3CD4" w14:textId="77777777" w:rsidR="002838B1" w:rsidRPr="0023462D" w:rsidRDefault="002838B1" w:rsidP="002A576D">
      <w:pPr>
        <w:pStyle w:val="prastasis1"/>
        <w:numPr>
          <w:ilvl w:val="0"/>
          <w:numId w:val="55"/>
        </w:numPr>
        <w:spacing w:line="276" w:lineRule="auto"/>
        <w:jc w:val="both"/>
        <w:rPr>
          <w:rFonts w:ascii="Georgia" w:hAnsi="Georgia"/>
          <w:sz w:val="20"/>
          <w:szCs w:val="20"/>
        </w:rPr>
      </w:pPr>
      <w:r w:rsidRPr="0023462D">
        <w:rPr>
          <w:rFonts w:ascii="Georgia" w:hAnsi="Georgia"/>
          <w:sz w:val="20"/>
          <w:szCs w:val="20"/>
        </w:rPr>
        <w:t>Miestų, kuriuose sumažintos miestų apšvietimo eksploatavimo ir energijos sąnaudos, skaičius, 3 (2023)</w:t>
      </w:r>
    </w:p>
    <w:p w14:paraId="624971F9" w14:textId="77777777" w:rsidR="002838B1" w:rsidRPr="0023462D" w:rsidRDefault="002838B1" w:rsidP="002838B1">
      <w:pPr>
        <w:jc w:val="both"/>
        <w:rPr>
          <w:rFonts w:ascii="Georgia" w:eastAsia="Times New Roman" w:hAnsi="Georgia" w:cs="Times New Roman"/>
          <w:sz w:val="20"/>
          <w:szCs w:val="20"/>
          <w:lang w:val="lt-LT" w:eastAsia="lt-LT"/>
        </w:rPr>
      </w:pPr>
      <w:r w:rsidRPr="0023462D">
        <w:rPr>
          <w:rFonts w:ascii="Georgia" w:eastAsia="Times New Roman" w:hAnsi="Georgia" w:cs="Times New Roman"/>
          <w:sz w:val="20"/>
          <w:szCs w:val="20"/>
          <w:lang w:val="lt-LT" w:eastAsia="lt-LT"/>
        </w:rPr>
        <w:t>Gatvių apšvietimo modernizavimo metu bus prisidedama prie šių Nacionalinėje pažangos programoje išdėstytų tikslų vykdymo:</w:t>
      </w:r>
    </w:p>
    <w:p w14:paraId="36A638F2" w14:textId="77777777" w:rsidR="002838B1" w:rsidRPr="0023462D" w:rsidRDefault="002838B1" w:rsidP="002A576D">
      <w:pPr>
        <w:pStyle w:val="prastasis1"/>
        <w:numPr>
          <w:ilvl w:val="0"/>
          <w:numId w:val="55"/>
        </w:numPr>
        <w:spacing w:line="276" w:lineRule="auto"/>
        <w:jc w:val="both"/>
        <w:rPr>
          <w:rFonts w:ascii="Georgia" w:hAnsi="Georgia"/>
          <w:sz w:val="20"/>
          <w:szCs w:val="20"/>
        </w:rPr>
      </w:pPr>
      <w:r w:rsidRPr="0023462D">
        <w:rPr>
          <w:rFonts w:ascii="Georgia" w:hAnsi="Georgia"/>
          <w:sz w:val="20"/>
          <w:szCs w:val="20"/>
        </w:rPr>
        <w:t>Išmetamų į atmosferą šiltnamio efektą sukeliančių dujų kiekis CO2 ekvivalentu, mln. Tonų, nuo 19,959 (2009) iki 26,886 (2020 metais)</w:t>
      </w:r>
    </w:p>
    <w:p w14:paraId="21E36D70" w14:textId="77777777" w:rsidR="002838B1" w:rsidRPr="0023462D" w:rsidRDefault="002838B1" w:rsidP="002A576D">
      <w:pPr>
        <w:pStyle w:val="prastasis1"/>
        <w:numPr>
          <w:ilvl w:val="0"/>
          <w:numId w:val="55"/>
        </w:numPr>
        <w:spacing w:line="276" w:lineRule="auto"/>
        <w:jc w:val="both"/>
        <w:rPr>
          <w:rFonts w:ascii="Georgia" w:hAnsi="Georgia"/>
          <w:sz w:val="20"/>
          <w:szCs w:val="20"/>
        </w:rPr>
      </w:pPr>
      <w:r w:rsidRPr="0023462D">
        <w:rPr>
          <w:rFonts w:ascii="Georgia" w:hAnsi="Georgia"/>
          <w:sz w:val="20"/>
          <w:szCs w:val="20"/>
        </w:rPr>
        <w:t>Galutinės energijos vartojimo efektyvumo padidėjimas (palyginti su 2009 metų lygiu), procentais, nuo 3 (2010) iki 17 (2020 metais)</w:t>
      </w:r>
    </w:p>
    <w:p w14:paraId="2CEA2D24" w14:textId="77777777" w:rsidR="002838B1" w:rsidRPr="0023462D" w:rsidRDefault="002838B1" w:rsidP="002A576D">
      <w:pPr>
        <w:pStyle w:val="prastasis1"/>
        <w:numPr>
          <w:ilvl w:val="0"/>
          <w:numId w:val="55"/>
        </w:numPr>
        <w:spacing w:line="276" w:lineRule="auto"/>
        <w:jc w:val="both"/>
        <w:rPr>
          <w:rFonts w:ascii="Georgia" w:hAnsi="Georgia"/>
          <w:sz w:val="20"/>
          <w:szCs w:val="20"/>
        </w:rPr>
      </w:pPr>
      <w:r w:rsidRPr="0023462D">
        <w:rPr>
          <w:rFonts w:ascii="Georgia" w:hAnsi="Georgia"/>
          <w:sz w:val="20"/>
          <w:szCs w:val="20"/>
        </w:rPr>
        <w:t>Energijos suvartojimo intensyvumas, kg naftos ekvivalento vienam realiam BVP vienetui, nuo 311 (2011) iki 230 (2020 metais)</w:t>
      </w:r>
    </w:p>
    <w:p w14:paraId="2ED2948C" w14:textId="77777777" w:rsidR="002838B1" w:rsidRPr="0023462D" w:rsidRDefault="002838B1" w:rsidP="002838B1">
      <w:pPr>
        <w:jc w:val="both"/>
        <w:rPr>
          <w:rFonts w:ascii="Georgia" w:eastAsia="Times New Roman" w:hAnsi="Georgia" w:cs="Times New Roman"/>
          <w:sz w:val="20"/>
          <w:szCs w:val="20"/>
          <w:lang w:val="lt-LT" w:eastAsia="lt-LT"/>
        </w:rPr>
      </w:pPr>
      <w:r w:rsidRPr="0023462D">
        <w:rPr>
          <w:rFonts w:ascii="Georgia" w:eastAsia="Times New Roman" w:hAnsi="Georgia" w:cs="Times New Roman"/>
          <w:sz w:val="20"/>
          <w:szCs w:val="20"/>
          <w:lang w:val="lt-LT" w:eastAsia="lt-LT"/>
        </w:rPr>
        <w:t>Pasirinkus rekomenduojamą gatvių apšvietimo modernizavimo scenarijų planuojami energijos sutaupymai ir taršos mažinimo rodikliai pateikti žemiau esančioje lentelėje.</w:t>
      </w:r>
    </w:p>
    <w:p w14:paraId="5F9989DC" w14:textId="286C1220" w:rsidR="002838B1" w:rsidRPr="0023462D" w:rsidRDefault="002838B1" w:rsidP="002838B1">
      <w:pPr>
        <w:pStyle w:val="Antrat"/>
        <w:jc w:val="both"/>
        <w:rPr>
          <w:sz w:val="22"/>
          <w:lang w:val="lt-LT"/>
        </w:rPr>
      </w:pPr>
      <w:bookmarkStart w:id="411" w:name="_Toc460321745"/>
      <w:r w:rsidRPr="0023462D">
        <w:rPr>
          <w:lang w:val="lt-LT"/>
        </w:rPr>
        <w:t xml:space="preserve">Lentelė </w:t>
      </w:r>
      <w:r w:rsidRPr="0023462D">
        <w:rPr>
          <w:lang w:val="lt-LT"/>
        </w:rPr>
        <w:fldChar w:fldCharType="begin"/>
      </w:r>
      <w:r w:rsidRPr="0023462D">
        <w:rPr>
          <w:lang w:val="lt-LT"/>
        </w:rPr>
        <w:instrText xml:space="preserve"> SEQ Lentelė \* ARABIC </w:instrText>
      </w:r>
      <w:r w:rsidRPr="0023462D">
        <w:rPr>
          <w:lang w:val="lt-LT"/>
        </w:rPr>
        <w:fldChar w:fldCharType="separate"/>
      </w:r>
      <w:r w:rsidR="00AA3082">
        <w:rPr>
          <w:noProof/>
          <w:lang w:val="lt-LT"/>
        </w:rPr>
        <w:t>164</w:t>
      </w:r>
      <w:r w:rsidRPr="0023462D">
        <w:rPr>
          <w:lang w:val="lt-LT"/>
        </w:rPr>
        <w:fldChar w:fldCharType="end"/>
      </w:r>
      <w:r w:rsidRPr="0023462D">
        <w:rPr>
          <w:lang w:val="lt-LT"/>
        </w:rPr>
        <w:t xml:space="preserve">. </w:t>
      </w:r>
      <w:r w:rsidRPr="0023462D">
        <w:rPr>
          <w:szCs w:val="20"/>
          <w:lang w:val="lt-LT"/>
        </w:rPr>
        <w:t xml:space="preserve">Tikėtini </w:t>
      </w:r>
      <w:r w:rsidRPr="0023462D">
        <w:rPr>
          <w:rFonts w:eastAsia="Times New Roman"/>
          <w:szCs w:val="20"/>
          <w:lang w:val="lt-LT" w:eastAsia="lt-LT"/>
        </w:rPr>
        <w:t xml:space="preserve">gatvių apšvietimo modernizavimo </w:t>
      </w:r>
      <w:r w:rsidRPr="0023462D">
        <w:rPr>
          <w:szCs w:val="20"/>
          <w:lang w:val="lt-LT"/>
        </w:rPr>
        <w:t>energijos sutaupymo ir taršos mažinimo rezultatai.</w:t>
      </w:r>
      <w:bookmarkEnd w:id="411"/>
    </w:p>
    <w:tbl>
      <w:tblPr>
        <w:tblStyle w:val="viesussraas2parykinimas"/>
        <w:tblW w:w="9077" w:type="dxa"/>
        <w:tblLook w:val="04A0" w:firstRow="1" w:lastRow="0" w:firstColumn="1" w:lastColumn="0" w:noHBand="0" w:noVBand="1"/>
      </w:tblPr>
      <w:tblGrid>
        <w:gridCol w:w="5108"/>
        <w:gridCol w:w="2127"/>
        <w:gridCol w:w="1842"/>
      </w:tblGrid>
      <w:tr w:rsidR="00467B8E" w:rsidRPr="00467B8E" w14:paraId="10A36AED" w14:textId="77777777" w:rsidTr="00467B8E">
        <w:trPr>
          <w:cnfStyle w:val="100000000000" w:firstRow="1" w:lastRow="0" w:firstColumn="0" w:lastColumn="0" w:oddVBand="0" w:evenVBand="0" w:oddHBand="0" w:evenHBand="0" w:firstRowFirstColumn="0" w:firstRowLastColumn="0" w:lastRowFirstColumn="0" w:lastRowLastColumn="0"/>
          <w:trHeight w:val="615"/>
          <w:tblHeader/>
        </w:trPr>
        <w:tc>
          <w:tcPr>
            <w:cnfStyle w:val="001000000000" w:firstRow="0" w:lastRow="0" w:firstColumn="1" w:lastColumn="0" w:oddVBand="0" w:evenVBand="0" w:oddHBand="0" w:evenHBand="0" w:firstRowFirstColumn="0" w:firstRowLastColumn="0" w:lastRowFirstColumn="0" w:lastRowLastColumn="0"/>
            <w:tcW w:w="5108" w:type="dxa"/>
            <w:hideMark/>
          </w:tcPr>
          <w:p w14:paraId="204AB64F" w14:textId="77777777" w:rsidR="002838B1" w:rsidRPr="00467B8E" w:rsidRDefault="002838B1" w:rsidP="002838B1">
            <w:pPr>
              <w:jc w:val="center"/>
              <w:rPr>
                <w:rFonts w:ascii="Georgia" w:eastAsia="Times New Roman" w:hAnsi="Georgia" w:cs="Arial"/>
                <w:sz w:val="20"/>
                <w:lang w:eastAsia="lt-LT"/>
              </w:rPr>
            </w:pPr>
            <w:r w:rsidRPr="00467B8E">
              <w:rPr>
                <w:rFonts w:ascii="Georgia" w:eastAsia="Times New Roman" w:hAnsi="Georgia" w:cs="Arial"/>
                <w:sz w:val="20"/>
                <w:lang w:eastAsia="lt-LT"/>
              </w:rPr>
              <w:t>Rodiklis</w:t>
            </w:r>
          </w:p>
        </w:tc>
        <w:tc>
          <w:tcPr>
            <w:tcW w:w="2127" w:type="dxa"/>
            <w:hideMark/>
          </w:tcPr>
          <w:p w14:paraId="6D40B210" w14:textId="77777777" w:rsidR="002838B1" w:rsidRPr="00467B8E" w:rsidRDefault="002838B1" w:rsidP="002838B1">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sz w:val="20"/>
                <w:lang w:eastAsia="lt-LT"/>
              </w:rPr>
            </w:pPr>
            <w:r w:rsidRPr="00467B8E">
              <w:rPr>
                <w:rFonts w:ascii="Georgia" w:eastAsia="Times New Roman" w:hAnsi="Georgia" w:cs="Arial"/>
                <w:sz w:val="20"/>
                <w:lang w:eastAsia="lt-LT"/>
              </w:rPr>
              <w:t>Mato vnt.</w:t>
            </w:r>
          </w:p>
        </w:tc>
        <w:tc>
          <w:tcPr>
            <w:tcW w:w="1842" w:type="dxa"/>
            <w:hideMark/>
          </w:tcPr>
          <w:p w14:paraId="65FC06F2" w14:textId="77777777" w:rsidR="002838B1" w:rsidRPr="00467B8E" w:rsidRDefault="002838B1" w:rsidP="002838B1">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sz w:val="20"/>
                <w:lang w:eastAsia="lt-LT"/>
              </w:rPr>
            </w:pPr>
            <w:r w:rsidRPr="00467B8E">
              <w:rPr>
                <w:rFonts w:ascii="Georgia" w:eastAsia="Times New Roman" w:hAnsi="Georgia" w:cs="Arial"/>
                <w:sz w:val="20"/>
                <w:lang w:eastAsia="lt-LT"/>
              </w:rPr>
              <w:t>Sutaupymas</w:t>
            </w:r>
          </w:p>
        </w:tc>
      </w:tr>
      <w:tr w:rsidR="002838B1" w:rsidRPr="007B3C20" w14:paraId="1F1DC7C5" w14:textId="77777777" w:rsidTr="002838B1">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108" w:type="dxa"/>
            <w:hideMark/>
          </w:tcPr>
          <w:p w14:paraId="6849C6FC" w14:textId="77777777" w:rsidR="002838B1" w:rsidRPr="007B3C20" w:rsidRDefault="002838B1" w:rsidP="002838B1">
            <w:pPr>
              <w:rPr>
                <w:rFonts w:ascii="Georgia" w:eastAsia="Times New Roman" w:hAnsi="Georgia" w:cs="Arial"/>
                <w:color w:val="000000"/>
                <w:sz w:val="20"/>
                <w:lang w:eastAsia="lt-LT"/>
              </w:rPr>
            </w:pPr>
            <w:r w:rsidRPr="007B3C20">
              <w:rPr>
                <w:rFonts w:ascii="Georgia" w:eastAsia="Times New Roman" w:hAnsi="Georgia" w:cs="Arial"/>
                <w:color w:val="000000"/>
                <w:sz w:val="20"/>
                <w:lang w:eastAsia="lt-LT"/>
              </w:rPr>
              <w:t>a) Sutaupytos energijos kiekis (neįskaitant 2020 m.)</w:t>
            </w:r>
          </w:p>
        </w:tc>
        <w:tc>
          <w:tcPr>
            <w:tcW w:w="2127" w:type="dxa"/>
            <w:noWrap/>
            <w:hideMark/>
          </w:tcPr>
          <w:p w14:paraId="716396EC" w14:textId="77777777" w:rsidR="002838B1" w:rsidRPr="007B3C20" w:rsidRDefault="002838B1" w:rsidP="002838B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MWh</w:t>
            </w:r>
          </w:p>
        </w:tc>
        <w:tc>
          <w:tcPr>
            <w:tcW w:w="1842" w:type="dxa"/>
            <w:noWrap/>
            <w:hideMark/>
          </w:tcPr>
          <w:p w14:paraId="14A1D2B9" w14:textId="77777777" w:rsidR="002838B1" w:rsidRPr="007B3C20" w:rsidRDefault="002838B1" w:rsidP="002838B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19,500</w:t>
            </w:r>
          </w:p>
        </w:tc>
      </w:tr>
      <w:tr w:rsidR="002838B1" w:rsidRPr="007B3C20" w14:paraId="78B6ACB2" w14:textId="77777777" w:rsidTr="002838B1">
        <w:trPr>
          <w:trHeight w:val="615"/>
        </w:trPr>
        <w:tc>
          <w:tcPr>
            <w:cnfStyle w:val="001000000000" w:firstRow="0" w:lastRow="0" w:firstColumn="1" w:lastColumn="0" w:oddVBand="0" w:evenVBand="0" w:oddHBand="0" w:evenHBand="0" w:firstRowFirstColumn="0" w:firstRowLastColumn="0" w:lastRowFirstColumn="0" w:lastRowLastColumn="0"/>
            <w:tcW w:w="5108" w:type="dxa"/>
            <w:hideMark/>
          </w:tcPr>
          <w:p w14:paraId="54858BC2" w14:textId="77777777" w:rsidR="002838B1" w:rsidRPr="007B3C20" w:rsidRDefault="002838B1" w:rsidP="002838B1">
            <w:pPr>
              <w:rPr>
                <w:rFonts w:ascii="Georgia" w:eastAsia="Times New Roman" w:hAnsi="Georgia" w:cs="Arial"/>
                <w:color w:val="000000"/>
                <w:sz w:val="20"/>
                <w:lang w:eastAsia="lt-LT"/>
              </w:rPr>
            </w:pPr>
            <w:r w:rsidRPr="007B3C20">
              <w:rPr>
                <w:rFonts w:ascii="Georgia" w:eastAsia="Times New Roman" w:hAnsi="Georgia" w:cs="Arial"/>
                <w:color w:val="000000"/>
                <w:sz w:val="20"/>
                <w:lang w:eastAsia="lt-LT"/>
              </w:rPr>
              <w:lastRenderedPageBreak/>
              <w:t>b) Sutaupytos energijos kiekis (įskaitant 2020 m.)</w:t>
            </w:r>
          </w:p>
        </w:tc>
        <w:tc>
          <w:tcPr>
            <w:tcW w:w="2127" w:type="dxa"/>
            <w:noWrap/>
            <w:hideMark/>
          </w:tcPr>
          <w:p w14:paraId="224F7E59" w14:textId="77777777" w:rsidR="002838B1" w:rsidRPr="007B3C20" w:rsidRDefault="002838B1" w:rsidP="002838B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MWh</w:t>
            </w:r>
          </w:p>
        </w:tc>
        <w:tc>
          <w:tcPr>
            <w:tcW w:w="1842" w:type="dxa"/>
            <w:noWrap/>
            <w:hideMark/>
          </w:tcPr>
          <w:p w14:paraId="5EAEF33F" w14:textId="77777777" w:rsidR="002838B1" w:rsidRPr="007B3C20" w:rsidRDefault="002838B1" w:rsidP="002838B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29,250</w:t>
            </w:r>
          </w:p>
        </w:tc>
      </w:tr>
      <w:tr w:rsidR="002838B1" w:rsidRPr="007B3C20" w14:paraId="54FECE2B" w14:textId="77777777" w:rsidTr="002838B1">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108" w:type="dxa"/>
            <w:hideMark/>
          </w:tcPr>
          <w:p w14:paraId="130C2FB0" w14:textId="77777777" w:rsidR="002838B1" w:rsidRPr="007B3C20" w:rsidRDefault="002838B1" w:rsidP="002838B1">
            <w:pPr>
              <w:rPr>
                <w:rFonts w:ascii="Georgia" w:eastAsia="Times New Roman" w:hAnsi="Georgia" w:cs="Arial"/>
                <w:color w:val="000000"/>
                <w:sz w:val="20"/>
                <w:lang w:eastAsia="lt-LT"/>
              </w:rPr>
            </w:pPr>
            <w:r w:rsidRPr="007B3C20">
              <w:rPr>
                <w:rFonts w:ascii="Georgia" w:eastAsia="Times New Roman" w:hAnsi="Georgia" w:cs="Arial"/>
                <w:color w:val="000000"/>
                <w:sz w:val="20"/>
                <w:lang w:eastAsia="lt-LT"/>
              </w:rPr>
              <w:t>a) Bendras išmetamųjų ŠESD kiekio sumažinimas (neįskaitant 2020 m.)</w:t>
            </w:r>
          </w:p>
        </w:tc>
        <w:tc>
          <w:tcPr>
            <w:tcW w:w="2127" w:type="dxa"/>
            <w:noWrap/>
            <w:hideMark/>
          </w:tcPr>
          <w:p w14:paraId="558E32B3" w14:textId="77777777" w:rsidR="002838B1" w:rsidRPr="007B3C20" w:rsidRDefault="002838B1" w:rsidP="002838B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t CO2 ekv</w:t>
            </w:r>
          </w:p>
        </w:tc>
        <w:tc>
          <w:tcPr>
            <w:tcW w:w="1842" w:type="dxa"/>
            <w:noWrap/>
            <w:hideMark/>
          </w:tcPr>
          <w:p w14:paraId="4B3BECF8" w14:textId="77777777" w:rsidR="002838B1" w:rsidRPr="007B3C20" w:rsidRDefault="002838B1" w:rsidP="002838B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13,786</w:t>
            </w:r>
          </w:p>
        </w:tc>
      </w:tr>
      <w:tr w:rsidR="002838B1" w:rsidRPr="007B3C20" w14:paraId="4C4801ED" w14:textId="77777777" w:rsidTr="002838B1">
        <w:trPr>
          <w:trHeight w:val="615"/>
        </w:trPr>
        <w:tc>
          <w:tcPr>
            <w:cnfStyle w:val="001000000000" w:firstRow="0" w:lastRow="0" w:firstColumn="1" w:lastColumn="0" w:oddVBand="0" w:evenVBand="0" w:oddHBand="0" w:evenHBand="0" w:firstRowFirstColumn="0" w:firstRowLastColumn="0" w:lastRowFirstColumn="0" w:lastRowLastColumn="0"/>
            <w:tcW w:w="5108" w:type="dxa"/>
            <w:hideMark/>
          </w:tcPr>
          <w:p w14:paraId="4E382CEC" w14:textId="77777777" w:rsidR="002838B1" w:rsidRPr="007B3C20" w:rsidRDefault="002838B1" w:rsidP="002838B1">
            <w:pPr>
              <w:rPr>
                <w:rFonts w:ascii="Georgia" w:eastAsia="Times New Roman" w:hAnsi="Georgia" w:cs="Arial"/>
                <w:color w:val="000000"/>
                <w:sz w:val="20"/>
                <w:lang w:eastAsia="lt-LT"/>
              </w:rPr>
            </w:pPr>
            <w:r w:rsidRPr="007B3C20">
              <w:rPr>
                <w:rFonts w:ascii="Georgia" w:eastAsia="Times New Roman" w:hAnsi="Georgia" w:cs="Arial"/>
                <w:color w:val="000000"/>
                <w:sz w:val="20"/>
                <w:lang w:eastAsia="lt-LT"/>
              </w:rPr>
              <w:t>b) Bendras išmetamųjų ŠESD kiekio sumažinimas (įskaitant 2020 m.)</w:t>
            </w:r>
          </w:p>
        </w:tc>
        <w:tc>
          <w:tcPr>
            <w:tcW w:w="2127" w:type="dxa"/>
            <w:noWrap/>
            <w:hideMark/>
          </w:tcPr>
          <w:p w14:paraId="5C2049C0" w14:textId="77777777" w:rsidR="002838B1" w:rsidRPr="007B3C20" w:rsidRDefault="002838B1" w:rsidP="002838B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t CO2 ekv</w:t>
            </w:r>
          </w:p>
        </w:tc>
        <w:tc>
          <w:tcPr>
            <w:tcW w:w="1842" w:type="dxa"/>
            <w:noWrap/>
            <w:hideMark/>
          </w:tcPr>
          <w:p w14:paraId="5DBA39CB" w14:textId="77777777" w:rsidR="002838B1" w:rsidRPr="007B3C20" w:rsidRDefault="002838B1" w:rsidP="002838B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sidRPr="007B3C20">
              <w:rPr>
                <w:rFonts w:ascii="Georgia" w:eastAsia="Times New Roman" w:hAnsi="Georgia" w:cs="Arial"/>
                <w:bCs/>
                <w:color w:val="000000"/>
                <w:sz w:val="20"/>
                <w:lang w:eastAsia="lt-LT"/>
              </w:rPr>
              <w:t>20,679</w:t>
            </w:r>
          </w:p>
        </w:tc>
      </w:tr>
    </w:tbl>
    <w:p w14:paraId="017ED17F" w14:textId="77777777" w:rsidR="002838B1" w:rsidRPr="0023462D" w:rsidRDefault="002838B1" w:rsidP="002838B1">
      <w:pPr>
        <w:rPr>
          <w:lang w:val="lt-LT"/>
        </w:rPr>
      </w:pPr>
    </w:p>
    <w:p w14:paraId="793793EE" w14:textId="77777777" w:rsidR="00151543" w:rsidRPr="00DF3A8E" w:rsidRDefault="00151543" w:rsidP="00C03122">
      <w:pPr>
        <w:pStyle w:val="Antrat2"/>
        <w:numPr>
          <w:ilvl w:val="2"/>
          <w:numId w:val="36"/>
        </w:numPr>
        <w:spacing w:after="240"/>
        <w:rPr>
          <w:lang w:val="lt-LT"/>
        </w:rPr>
      </w:pPr>
      <w:bookmarkStart w:id="412" w:name="_Toc417378455"/>
      <w:r w:rsidRPr="00DF3A8E">
        <w:rPr>
          <w:lang w:val="lt-LT"/>
        </w:rPr>
        <w:t>Stebėsenos sistemos apibrėžimas</w:t>
      </w:r>
      <w:bookmarkEnd w:id="409"/>
      <w:bookmarkEnd w:id="412"/>
    </w:p>
    <w:p w14:paraId="64330466" w14:textId="77777777" w:rsidR="0036438C" w:rsidRDefault="0036438C" w:rsidP="00151543">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Siekiant užtikrinti, kad visi energijos efektyvumo tikslai yra pasiek</w:t>
      </w:r>
      <w:r w:rsidR="003D3348">
        <w:rPr>
          <w:rFonts w:ascii="Georgia" w:eastAsia="Times New Roman" w:hAnsi="Georgia" w:cs="Times New Roman"/>
          <w:sz w:val="20"/>
          <w:szCs w:val="20"/>
          <w:lang w:val="lt-LT" w:eastAsia="lt-LT"/>
        </w:rPr>
        <w:t>t</w:t>
      </w:r>
      <w:r>
        <w:rPr>
          <w:rFonts w:ascii="Georgia" w:eastAsia="Times New Roman" w:hAnsi="Georgia" w:cs="Times New Roman"/>
          <w:sz w:val="20"/>
          <w:szCs w:val="20"/>
          <w:lang w:val="lt-LT" w:eastAsia="lt-LT"/>
        </w:rPr>
        <w:t>i, o finansinė priemonė įgyvendinama efektyviai</w:t>
      </w:r>
      <w:r w:rsidR="003D3348">
        <w:rPr>
          <w:rFonts w:ascii="Georgia" w:eastAsia="Times New Roman" w:hAnsi="Georgia" w:cs="Times New Roman"/>
          <w:sz w:val="20"/>
          <w:szCs w:val="20"/>
          <w:lang w:val="lt-LT" w:eastAsia="lt-LT"/>
        </w:rPr>
        <w:t xml:space="preserve"> įgyvendinta</w:t>
      </w:r>
      <w:r>
        <w:rPr>
          <w:rFonts w:ascii="Georgia" w:eastAsia="Times New Roman" w:hAnsi="Georgia" w:cs="Times New Roman"/>
          <w:sz w:val="20"/>
          <w:szCs w:val="20"/>
          <w:lang w:val="lt-LT" w:eastAsia="lt-LT"/>
        </w:rPr>
        <w:t xml:space="preserve">, lėšos naudojamos pagal patikimus finansų principus, </w:t>
      </w:r>
      <w:r w:rsidR="003D3348">
        <w:rPr>
          <w:rFonts w:ascii="Georgia" w:eastAsia="Times New Roman" w:hAnsi="Georgia" w:cs="Times New Roman"/>
          <w:sz w:val="20"/>
          <w:szCs w:val="20"/>
          <w:lang w:val="lt-LT" w:eastAsia="lt-LT"/>
        </w:rPr>
        <w:t>svarbu</w:t>
      </w:r>
      <w:r>
        <w:rPr>
          <w:rFonts w:ascii="Georgia" w:eastAsia="Times New Roman" w:hAnsi="Georgia" w:cs="Times New Roman"/>
          <w:sz w:val="20"/>
          <w:szCs w:val="20"/>
          <w:lang w:val="lt-LT" w:eastAsia="lt-LT"/>
        </w:rPr>
        <w:t xml:space="preserve"> tinkamai reaguojama į rinkos pokyčius ar kitus didelę įtaką darančius veiksnius, lemiančius rezultatų pasiekimą</w:t>
      </w:r>
      <w:r w:rsidR="003D3348">
        <w:rPr>
          <w:rFonts w:ascii="Georgia" w:eastAsia="Times New Roman" w:hAnsi="Georgia" w:cs="Times New Roman"/>
          <w:sz w:val="20"/>
          <w:szCs w:val="20"/>
          <w:lang w:val="lt-LT" w:eastAsia="lt-LT"/>
        </w:rPr>
        <w:t xml:space="preserve"> bei </w:t>
      </w:r>
      <w:r>
        <w:rPr>
          <w:rFonts w:ascii="Georgia" w:eastAsia="Times New Roman" w:hAnsi="Georgia" w:cs="Times New Roman"/>
          <w:sz w:val="20"/>
          <w:szCs w:val="20"/>
          <w:lang w:val="lt-LT" w:eastAsia="lt-LT"/>
        </w:rPr>
        <w:t xml:space="preserve">būtina apibrėžti tinkamą stebėsenos sistemą finansinės priemonės įgyvendinimui. </w:t>
      </w:r>
    </w:p>
    <w:p w14:paraId="143CBADD" w14:textId="77777777" w:rsidR="002418A3" w:rsidRDefault="002418A3">
      <w:pPr>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Pagrindiniai stebėsenos sistemos elementai yra šie:</w:t>
      </w:r>
    </w:p>
    <w:p w14:paraId="78D962C9" w14:textId="77777777" w:rsidR="00DD23F6" w:rsidRDefault="00DD23F6">
      <w:pPr>
        <w:rPr>
          <w:rFonts w:ascii="Georgia" w:eastAsia="Times New Roman" w:hAnsi="Georgia" w:cs="Times New Roman"/>
          <w:sz w:val="20"/>
          <w:szCs w:val="20"/>
          <w:lang w:val="lt-LT" w:eastAsia="lt-LT"/>
        </w:rPr>
      </w:pPr>
      <w:r w:rsidRPr="004A263A">
        <w:rPr>
          <w:rFonts w:ascii="Georgia" w:eastAsia="Times New Roman" w:hAnsi="Georgia" w:cs="Times New Roman"/>
          <w:noProof/>
          <w:sz w:val="20"/>
          <w:szCs w:val="20"/>
          <w:lang w:val="lt-LT" w:eastAsia="lt-LT"/>
        </w:rPr>
        <mc:AlternateContent>
          <mc:Choice Requires="wpg">
            <w:drawing>
              <wp:inline distT="0" distB="0" distL="0" distR="0" wp14:anchorId="6D4E0AEC" wp14:editId="6606015C">
                <wp:extent cx="5838825" cy="914400"/>
                <wp:effectExtent l="0" t="0" r="28575" b="19050"/>
                <wp:docPr id="260" name="Group 260"/>
                <wp:cNvGraphicFramePr/>
                <a:graphic xmlns:a="http://schemas.openxmlformats.org/drawingml/2006/main">
                  <a:graphicData uri="http://schemas.microsoft.com/office/word/2010/wordprocessingGroup">
                    <wpg:wgp>
                      <wpg:cNvGrpSpPr/>
                      <wpg:grpSpPr>
                        <a:xfrm>
                          <a:off x="0" y="0"/>
                          <a:ext cx="5838825" cy="914400"/>
                          <a:chOff x="0" y="0"/>
                          <a:chExt cx="5838825" cy="914400"/>
                        </a:xfrm>
                      </wpg:grpSpPr>
                      <wps:wsp>
                        <wps:cNvPr id="261" name="Text Box 261"/>
                        <wps:cNvSpPr txBox="1"/>
                        <wps:spPr>
                          <a:xfrm>
                            <a:off x="4198716" y="102413"/>
                            <a:ext cx="1640109" cy="746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C185F3" w14:textId="77777777" w:rsidR="00A65A8D" w:rsidRPr="003D3348" w:rsidRDefault="00A65A8D" w:rsidP="002A576D">
                              <w:pPr>
                                <w:pStyle w:val="Sraopastraipa"/>
                                <w:numPr>
                                  <w:ilvl w:val="0"/>
                                  <w:numId w:val="70"/>
                                </w:numPr>
                                <w:rPr>
                                  <w:rFonts w:ascii="Georgia" w:hAnsi="Georgia"/>
                                  <w:sz w:val="20"/>
                                </w:rPr>
                              </w:pPr>
                              <w:r w:rsidRPr="003D3348">
                                <w:rPr>
                                  <w:rFonts w:ascii="Georgia" w:hAnsi="Georgia"/>
                                  <w:sz w:val="20"/>
                                  <w:lang w:val="lt-LT"/>
                                </w:rPr>
                                <w:t>Ataskaitos</w:t>
                              </w:r>
                            </w:p>
                            <w:p w14:paraId="583CB3E9" w14:textId="77777777" w:rsidR="00A65A8D" w:rsidRPr="003D3348" w:rsidRDefault="00A65A8D" w:rsidP="002A576D">
                              <w:pPr>
                                <w:pStyle w:val="Sraopastraipa"/>
                                <w:numPr>
                                  <w:ilvl w:val="0"/>
                                  <w:numId w:val="70"/>
                                </w:numPr>
                                <w:rPr>
                                  <w:rFonts w:ascii="Georgia" w:hAnsi="Georgia"/>
                                  <w:sz w:val="20"/>
                                </w:rPr>
                              </w:pPr>
                              <w:r w:rsidRPr="003D3348">
                                <w:rPr>
                                  <w:rFonts w:ascii="Georgia" w:hAnsi="Georgia"/>
                                  <w:sz w:val="20"/>
                                  <w:lang w:val="lt-LT"/>
                                </w:rPr>
                                <w:t>Komunikacija</w:t>
                              </w:r>
                            </w:p>
                            <w:p w14:paraId="2BCEDC6B" w14:textId="77777777" w:rsidR="00A65A8D" w:rsidRPr="003D3348" w:rsidRDefault="00A65A8D" w:rsidP="002A576D">
                              <w:pPr>
                                <w:pStyle w:val="Sraopastraipa"/>
                                <w:numPr>
                                  <w:ilvl w:val="0"/>
                                  <w:numId w:val="70"/>
                                </w:numPr>
                                <w:rPr>
                                  <w:rFonts w:ascii="Georgia" w:hAnsi="Georgia"/>
                                  <w:sz w:val="20"/>
                                </w:rPr>
                              </w:pPr>
                              <w:r w:rsidRPr="003D3348">
                                <w:rPr>
                                  <w:rFonts w:ascii="Georgia" w:hAnsi="Georgia"/>
                                  <w:sz w:val="20"/>
                                  <w:lang w:val="lt-LT"/>
                                </w:rPr>
                                <w:t>Veiksmai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Text Box 262"/>
                        <wps:cNvSpPr txBox="1"/>
                        <wps:spPr>
                          <a:xfrm>
                            <a:off x="0" y="117043"/>
                            <a:ext cx="2332965" cy="680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1A5885" w14:textId="77777777" w:rsidR="00A65A8D" w:rsidRPr="003D3348" w:rsidRDefault="00A65A8D" w:rsidP="002A576D">
                              <w:pPr>
                                <w:pStyle w:val="Sraopastraipa"/>
                                <w:numPr>
                                  <w:ilvl w:val="0"/>
                                  <w:numId w:val="70"/>
                                </w:numPr>
                                <w:rPr>
                                  <w:rFonts w:ascii="Georgia" w:hAnsi="Georgia"/>
                                  <w:sz w:val="20"/>
                                </w:rPr>
                              </w:pPr>
                              <w:r w:rsidRPr="003D3348">
                                <w:rPr>
                                  <w:rFonts w:ascii="Georgia" w:hAnsi="Georgia"/>
                                  <w:sz w:val="20"/>
                                  <w:lang w:val="lt-LT"/>
                                </w:rPr>
                                <w:t>Rodiklių matavimas</w:t>
                              </w:r>
                            </w:p>
                            <w:p w14:paraId="30C2E2D9" w14:textId="77777777" w:rsidR="00A65A8D" w:rsidRPr="003D3348" w:rsidRDefault="00A65A8D" w:rsidP="002A576D">
                              <w:pPr>
                                <w:pStyle w:val="Sraopastraipa"/>
                                <w:numPr>
                                  <w:ilvl w:val="0"/>
                                  <w:numId w:val="70"/>
                                </w:numPr>
                                <w:rPr>
                                  <w:rFonts w:ascii="Georgia" w:hAnsi="Georgia"/>
                                  <w:sz w:val="20"/>
                                </w:rPr>
                              </w:pPr>
                              <w:r w:rsidRPr="003D3348">
                                <w:rPr>
                                  <w:rFonts w:ascii="Georgia" w:hAnsi="Georgia"/>
                                  <w:sz w:val="20"/>
                                  <w:lang w:val="lt-LT"/>
                                </w:rPr>
                                <w:t>Kita informacija ir duomenys</w:t>
                              </w:r>
                            </w:p>
                            <w:p w14:paraId="3F85747A" w14:textId="77777777" w:rsidR="00A65A8D" w:rsidRPr="003D3348" w:rsidRDefault="00A65A8D" w:rsidP="002A576D">
                              <w:pPr>
                                <w:pStyle w:val="Sraopastraipa"/>
                                <w:numPr>
                                  <w:ilvl w:val="0"/>
                                  <w:numId w:val="70"/>
                                </w:numPr>
                                <w:rPr>
                                  <w:rFonts w:ascii="Georgia" w:hAnsi="Georgia"/>
                                  <w:sz w:val="20"/>
                                </w:rPr>
                              </w:pPr>
                              <w:r w:rsidRPr="003D3348">
                                <w:rPr>
                                  <w:rFonts w:ascii="Georgia" w:hAnsi="Georgia"/>
                                  <w:sz w:val="20"/>
                                  <w:lang w:val="lt-LT"/>
                                </w:rPr>
                                <w:t>Vertinimo ataskaitos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Right Arrow 263"/>
                        <wps:cNvSpPr/>
                        <wps:spPr>
                          <a:xfrm>
                            <a:off x="2282343" y="285293"/>
                            <a:ext cx="2025904" cy="416966"/>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Text Box 264"/>
                        <wps:cNvSpPr txBox="1"/>
                        <wps:spPr>
                          <a:xfrm>
                            <a:off x="2582266" y="0"/>
                            <a:ext cx="1353312" cy="914400"/>
                          </a:xfrm>
                          <a:prstGeom prst="rect">
                            <a:avLst/>
                          </a:prstGeom>
                          <a:solidFill>
                            <a:srgbClr val="FFD03B"/>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A41E0C" w14:textId="77777777" w:rsidR="00A65A8D" w:rsidRPr="003D3348" w:rsidRDefault="00A65A8D" w:rsidP="003D3348">
                              <w:pPr>
                                <w:jc w:val="center"/>
                                <w:rPr>
                                  <w:rFonts w:ascii="Georgia" w:hAnsi="Georgia"/>
                                  <w:b/>
                                  <w:lang w:val="lt-LT"/>
                                </w:rPr>
                              </w:pPr>
                              <w:r w:rsidRPr="003D3348">
                                <w:rPr>
                                  <w:rFonts w:ascii="Georgia" w:hAnsi="Georgia"/>
                                  <w:b/>
                                  <w:lang w:val="lt-LT"/>
                                </w:rPr>
                                <w:t>ANALIZĖ</w:t>
                              </w:r>
                            </w:p>
                            <w:p w14:paraId="27216BAE" w14:textId="77777777" w:rsidR="00A65A8D" w:rsidRPr="003D3348" w:rsidRDefault="00A65A8D" w:rsidP="003D3348">
                              <w:pPr>
                                <w:jc w:val="center"/>
                                <w:rPr>
                                  <w:rFonts w:ascii="Georgia" w:hAnsi="Georgia"/>
                                  <w:b/>
                                  <w:lang w:val="lt-LT"/>
                                </w:rPr>
                              </w:pPr>
                              <w:r w:rsidRPr="003D3348">
                                <w:rPr>
                                  <w:rFonts w:ascii="Georgia" w:hAnsi="Georgia"/>
                                  <w:b/>
                                  <w:lang w:val="lt-LT"/>
                                </w:rPr>
                                <w:t>SPRENDIMŲ PRIĖMIMAS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60" o:spid="_x0000_s1183" style="width:459.75pt;height:1in;mso-position-horizontal-relative:char;mso-position-vertical-relative:line" coordsize="5838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">
                <v:shape id="Text Box 261" o:spid="_x0000_s1184" type="#_x0000_t202" style="position:absolute;left:41987;top:1024;width:16401;height:7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uFsIA&#10;AADcAAAADwAAAGRycy9kb3ducmV2LnhtbESPQWsCMRSE74X+h/AKvdWsHmRdjaLFloIntfT82DyT&#10;4OZlSdJ1++8bodDjMDPfMKvN6DsxUEwusILppAJB3Abt2Cj4PL+91CBSRtbYBSYFP5Rgs358WGGj&#10;w42PNJyyEQXCqUEFNue+kTK1ljymSeiJi3cJ0WMuMhqpI94K3HdyVlVz6dFxWbDY06ul9nr69gr2&#10;O7MwbY3R7mvt3DB+XQ7mXannp3G7BJFpzP/hv/aHVjCbT+F+phw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sa4WwgAAANwAAAAPAAAAAAAAAAAAAAAAAJgCAABkcnMvZG93&#10;bnJldi54bWxQSwUGAAAAAAQABAD1AAAAhwMAAAAA&#10;" fillcolor="white [3201]" strokeweight=".5pt">
                  <v:textbox>
                    <w:txbxContent>
                      <w:p w14:paraId="61C185F3" w14:textId="77777777" w:rsidR="00A65A8D" w:rsidRPr="003D3348" w:rsidRDefault="00A65A8D" w:rsidP="002A576D">
                        <w:pPr>
                          <w:pStyle w:val="Sraopastraipa"/>
                          <w:numPr>
                            <w:ilvl w:val="0"/>
                            <w:numId w:val="70"/>
                          </w:numPr>
                          <w:rPr>
                            <w:rFonts w:ascii="Georgia" w:hAnsi="Georgia"/>
                            <w:sz w:val="20"/>
                          </w:rPr>
                        </w:pPr>
                        <w:r w:rsidRPr="003D3348">
                          <w:rPr>
                            <w:rFonts w:ascii="Georgia" w:hAnsi="Georgia"/>
                            <w:sz w:val="20"/>
                            <w:lang w:val="lt-LT"/>
                          </w:rPr>
                          <w:t>Ataskaitos</w:t>
                        </w:r>
                      </w:p>
                      <w:p w14:paraId="583CB3E9" w14:textId="77777777" w:rsidR="00A65A8D" w:rsidRPr="003D3348" w:rsidRDefault="00A65A8D" w:rsidP="002A576D">
                        <w:pPr>
                          <w:pStyle w:val="Sraopastraipa"/>
                          <w:numPr>
                            <w:ilvl w:val="0"/>
                            <w:numId w:val="70"/>
                          </w:numPr>
                          <w:rPr>
                            <w:rFonts w:ascii="Georgia" w:hAnsi="Georgia"/>
                            <w:sz w:val="20"/>
                          </w:rPr>
                        </w:pPr>
                        <w:r w:rsidRPr="003D3348">
                          <w:rPr>
                            <w:rFonts w:ascii="Georgia" w:hAnsi="Georgia"/>
                            <w:sz w:val="20"/>
                            <w:lang w:val="lt-LT"/>
                          </w:rPr>
                          <w:t>Komunikacija</w:t>
                        </w:r>
                      </w:p>
                      <w:p w14:paraId="2BCEDC6B" w14:textId="77777777" w:rsidR="00A65A8D" w:rsidRPr="003D3348" w:rsidRDefault="00A65A8D" w:rsidP="002A576D">
                        <w:pPr>
                          <w:pStyle w:val="Sraopastraipa"/>
                          <w:numPr>
                            <w:ilvl w:val="0"/>
                            <w:numId w:val="70"/>
                          </w:numPr>
                          <w:rPr>
                            <w:rFonts w:ascii="Georgia" w:hAnsi="Georgia"/>
                            <w:sz w:val="20"/>
                          </w:rPr>
                        </w:pPr>
                        <w:r w:rsidRPr="003D3348">
                          <w:rPr>
                            <w:rFonts w:ascii="Georgia" w:hAnsi="Georgia"/>
                            <w:sz w:val="20"/>
                            <w:lang w:val="lt-LT"/>
                          </w:rPr>
                          <w:t>Veiksmai</w:t>
                        </w:r>
                      </w:p>
                    </w:txbxContent>
                  </v:textbox>
                </v:shape>
                <v:shape id="Text Box 262" o:spid="_x0000_s1185" type="#_x0000_t202" style="position:absolute;top:1170;width:23329;height:6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wYcIA&#10;AADcAAAADwAAAGRycy9kb3ducmV2LnhtbESPQUsDMRSE74L/ITzBm826h7LdNi1VqgieWqXnx+Y1&#10;Cd28LEncrv/eCIUeh5n5hlltJt+LkWJygRU8zyoQxF3Qjo2C76+3pwZEysga+8Ck4JcSbNb3dyts&#10;dbjwnsZDNqJAOLWowOY8tFKmzpLHNAsDcfFOIXrMRUYjdcRLgfte1lU1lx4dlwWLA71a6s6HH69g&#10;92IWpmsw2l2jnRun4+nTvCv1+DBtlyAyTfkWvrY/tIJ6XsP/mXI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zBhwgAAANwAAAAPAAAAAAAAAAAAAAAAAJgCAABkcnMvZG93&#10;bnJldi54bWxQSwUGAAAAAAQABAD1AAAAhwMAAAAA&#10;" fillcolor="white [3201]" strokeweight=".5pt">
                  <v:textbox>
                    <w:txbxContent>
                      <w:p w14:paraId="7F1A5885" w14:textId="77777777" w:rsidR="00A65A8D" w:rsidRPr="003D3348" w:rsidRDefault="00A65A8D" w:rsidP="002A576D">
                        <w:pPr>
                          <w:pStyle w:val="Sraopastraipa"/>
                          <w:numPr>
                            <w:ilvl w:val="0"/>
                            <w:numId w:val="70"/>
                          </w:numPr>
                          <w:rPr>
                            <w:rFonts w:ascii="Georgia" w:hAnsi="Georgia"/>
                            <w:sz w:val="20"/>
                          </w:rPr>
                        </w:pPr>
                        <w:r w:rsidRPr="003D3348">
                          <w:rPr>
                            <w:rFonts w:ascii="Georgia" w:hAnsi="Georgia"/>
                            <w:sz w:val="20"/>
                            <w:lang w:val="lt-LT"/>
                          </w:rPr>
                          <w:t>Rodiklių matavimas</w:t>
                        </w:r>
                      </w:p>
                      <w:p w14:paraId="30C2E2D9" w14:textId="77777777" w:rsidR="00A65A8D" w:rsidRPr="003D3348" w:rsidRDefault="00A65A8D" w:rsidP="002A576D">
                        <w:pPr>
                          <w:pStyle w:val="Sraopastraipa"/>
                          <w:numPr>
                            <w:ilvl w:val="0"/>
                            <w:numId w:val="70"/>
                          </w:numPr>
                          <w:rPr>
                            <w:rFonts w:ascii="Georgia" w:hAnsi="Georgia"/>
                            <w:sz w:val="20"/>
                          </w:rPr>
                        </w:pPr>
                        <w:r w:rsidRPr="003D3348">
                          <w:rPr>
                            <w:rFonts w:ascii="Georgia" w:hAnsi="Georgia"/>
                            <w:sz w:val="20"/>
                            <w:lang w:val="lt-LT"/>
                          </w:rPr>
                          <w:t>Kita informacija ir duomenys</w:t>
                        </w:r>
                      </w:p>
                      <w:p w14:paraId="3F85747A" w14:textId="77777777" w:rsidR="00A65A8D" w:rsidRPr="003D3348" w:rsidRDefault="00A65A8D" w:rsidP="002A576D">
                        <w:pPr>
                          <w:pStyle w:val="Sraopastraipa"/>
                          <w:numPr>
                            <w:ilvl w:val="0"/>
                            <w:numId w:val="70"/>
                          </w:numPr>
                          <w:rPr>
                            <w:rFonts w:ascii="Georgia" w:hAnsi="Georgia"/>
                            <w:sz w:val="20"/>
                          </w:rPr>
                        </w:pPr>
                        <w:r w:rsidRPr="003D3348">
                          <w:rPr>
                            <w:rFonts w:ascii="Georgia" w:hAnsi="Georgia"/>
                            <w:sz w:val="20"/>
                            <w:lang w:val="lt-LT"/>
                          </w:rPr>
                          <w:t>Vertinimo ataskaitos</w:t>
                        </w:r>
                      </w:p>
                    </w:txbxContent>
                  </v:textbox>
                </v:shape>
                <v:shape id="Right Arrow 263" o:spid="_x0000_s1186" type="#_x0000_t13" style="position:absolute;left:22823;top:2852;width:20259;height:4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nesUA&#10;AADcAAAADwAAAGRycy9kb3ducmV2LnhtbESPQWvCQBSE70L/w/IKvenGVEWiq7SFghZEmpZSb4/s&#10;MxvNvg3ZVeO/7wpCj8PMfMPMl52txZlaXzlWMBwkIIgLpysuFXx/vfenIHxA1lg7JgVX8rBcPPTm&#10;mGl34U8656EUEcI+QwUmhCaT0heGLPqBa4ijt3etxRBlW0rd4iXCbS3TJJlIixXHBYMNvRkqjvnJ&#10;KsDffLe9jtb69UduxgebeuM/pko9PXYvMxCBuvAfvrdXWkE6eYb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6d6xQAAANwAAAAPAAAAAAAAAAAAAAAAAJgCAABkcnMv&#10;ZG93bnJldi54bWxQSwUGAAAAAAQABAD1AAAAigMAAAAA&#10;" adj="19377" fillcolor="#c0504d [3205]" strokecolor="#622423 [1605]" strokeweight="2pt"/>
                <v:shape id="Text Box 264" o:spid="_x0000_s1187" type="#_x0000_t202" style="position:absolute;left:25822;width:1353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TSNcQA&#10;AADcAAAADwAAAGRycy9kb3ducmV2LnhtbESPzWrDMBCE74W+g9hCbrVcE0LqRgmh1ODcUqeX3hZr&#10;a4taK2Op/nn7KBDocZiZb5jdYbadGGnwxrGClyQFQVw7bbhR8HUpnrcgfEDW2DkmBQt5OOwfH3aY&#10;azfxJ41VaESEsM9RQRtCn0vp65Ys+sT1xNH7cYPFEOXQSD3gFOG2k1mabqRFw3GhxZ7eW6p/qz+r&#10;oFjKj3J+Pevv40lu6VSPlTFSqdXTfHwDEWgO/+F7u9QKss0abmfiEZD7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U0jXEAAAA3AAAAA8AAAAAAAAAAAAAAAAAmAIAAGRycy9k&#10;b3ducmV2LnhtbFBLBQYAAAAABAAEAPUAAACJAwAAAAA=&#10;" fillcolor="#ffd03b" strokeweight=".5pt">
                  <v:textbox>
                    <w:txbxContent>
                      <w:p w14:paraId="04A41E0C" w14:textId="77777777" w:rsidR="00A65A8D" w:rsidRPr="003D3348" w:rsidRDefault="00A65A8D" w:rsidP="003D3348">
                        <w:pPr>
                          <w:jc w:val="center"/>
                          <w:rPr>
                            <w:rFonts w:ascii="Georgia" w:hAnsi="Georgia"/>
                            <w:b/>
                            <w:lang w:val="lt-LT"/>
                          </w:rPr>
                        </w:pPr>
                        <w:r w:rsidRPr="003D3348">
                          <w:rPr>
                            <w:rFonts w:ascii="Georgia" w:hAnsi="Georgia"/>
                            <w:b/>
                            <w:lang w:val="lt-LT"/>
                          </w:rPr>
                          <w:t>ANALIZĖ</w:t>
                        </w:r>
                      </w:p>
                      <w:p w14:paraId="27216BAE" w14:textId="77777777" w:rsidR="00A65A8D" w:rsidRPr="003D3348" w:rsidRDefault="00A65A8D" w:rsidP="003D3348">
                        <w:pPr>
                          <w:jc w:val="center"/>
                          <w:rPr>
                            <w:rFonts w:ascii="Georgia" w:hAnsi="Georgia"/>
                            <w:b/>
                            <w:lang w:val="lt-LT"/>
                          </w:rPr>
                        </w:pPr>
                        <w:r w:rsidRPr="003D3348">
                          <w:rPr>
                            <w:rFonts w:ascii="Georgia" w:hAnsi="Georgia"/>
                            <w:b/>
                            <w:lang w:val="lt-LT"/>
                          </w:rPr>
                          <w:t>SPRENDIMŲ PRIĖMIMAS</w:t>
                        </w:r>
                      </w:p>
                    </w:txbxContent>
                  </v:textbox>
                </v:shape>
                <w10:anchorlock/>
              </v:group>
            </w:pict>
          </mc:Fallback>
        </mc:AlternateContent>
      </w:r>
    </w:p>
    <w:p w14:paraId="46AFA331" w14:textId="77777777" w:rsidR="009F55BB" w:rsidRDefault="009F55BB" w:rsidP="004A263A">
      <w:pPr>
        <w:pStyle w:val="Antrat"/>
        <w:rPr>
          <w:lang w:val="lt-LT"/>
        </w:rPr>
      </w:pPr>
    </w:p>
    <w:p w14:paraId="5B147779" w14:textId="33F52306" w:rsidR="004A263A" w:rsidRPr="00D4610F" w:rsidRDefault="004A263A" w:rsidP="004A263A">
      <w:pPr>
        <w:pStyle w:val="Antrat"/>
        <w:rPr>
          <w:szCs w:val="20"/>
          <w:lang w:val="lt-LT"/>
        </w:rPr>
      </w:pPr>
      <w:bookmarkStart w:id="413" w:name="_Toc417378344"/>
      <w:r w:rsidRPr="00D4610F">
        <w:rPr>
          <w:lang w:val="lt-LT"/>
        </w:rPr>
        <w:t xml:space="preserve">Paveikslas </w:t>
      </w:r>
      <w:r w:rsidRPr="00D4610F">
        <w:rPr>
          <w:lang w:val="lt-LT"/>
        </w:rPr>
        <w:fldChar w:fldCharType="begin"/>
      </w:r>
      <w:r w:rsidRPr="00D4610F">
        <w:rPr>
          <w:lang w:val="lt-LT"/>
        </w:rPr>
        <w:instrText xml:space="preserve"> SEQ Paveikslas \* ARABIC </w:instrText>
      </w:r>
      <w:r w:rsidRPr="00D4610F">
        <w:rPr>
          <w:lang w:val="lt-LT"/>
        </w:rPr>
        <w:fldChar w:fldCharType="separate"/>
      </w:r>
      <w:r w:rsidR="00AA3082">
        <w:rPr>
          <w:noProof/>
          <w:lang w:val="lt-LT"/>
        </w:rPr>
        <w:t>67</w:t>
      </w:r>
      <w:r w:rsidRPr="00D4610F">
        <w:rPr>
          <w:lang w:val="lt-LT"/>
        </w:rPr>
        <w:fldChar w:fldCharType="end"/>
      </w:r>
      <w:r w:rsidRPr="00D4610F">
        <w:rPr>
          <w:lang w:val="lt-LT"/>
        </w:rPr>
        <w:t xml:space="preserve">. </w:t>
      </w:r>
      <w:r>
        <w:rPr>
          <w:szCs w:val="20"/>
          <w:lang w:val="lt-LT"/>
        </w:rPr>
        <w:t>Pagrindiniai stebėsenos elementai</w:t>
      </w:r>
      <w:bookmarkEnd w:id="413"/>
    </w:p>
    <w:p w14:paraId="3B3853A5" w14:textId="77777777" w:rsidR="009A1904" w:rsidRPr="003D3348" w:rsidRDefault="009A1904" w:rsidP="004A263A">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Schemoje pademonstruota, jog išanalizavus įvairius duomenų šaltinius, tokius kaip rodiklių pasiekimas, ataskaitos, kita prieinama informacija ir duomenys, reikalinga atlikti analizę ir priimti sprendimus apie finansinės priemonės įgyvendinimo eigą, ko pasekoje yra imamasi įgyvendinti konkrečius veiksmus bei komunikuoti priimtų sprendimų įgyvendinimą. </w:t>
      </w:r>
      <w:r w:rsidR="003D3348">
        <w:rPr>
          <w:rFonts w:ascii="Georgia" w:eastAsia="Times New Roman" w:hAnsi="Georgia" w:cs="Times New Roman"/>
          <w:sz w:val="20"/>
          <w:szCs w:val="20"/>
          <w:lang w:val="lt-LT" w:eastAsia="lt-LT"/>
        </w:rPr>
        <w:t>Šie sprendimai gali būti susiję su tolimesniu finansinių priemonių vykdymu, jų koregavimu ar netgi ex ante vertinimo peržiūrėjimu.</w:t>
      </w:r>
    </w:p>
    <w:p w14:paraId="7AEDAFFD" w14:textId="77777777" w:rsidR="003D3348" w:rsidRDefault="00DD23F6" w:rsidP="003D3348">
      <w:pPr>
        <w:jc w:val="both"/>
        <w:rPr>
          <w:rFonts w:ascii="Georgia" w:eastAsia="Times New Roman" w:hAnsi="Georgia" w:cs="Times New Roman"/>
          <w:sz w:val="20"/>
          <w:szCs w:val="20"/>
          <w:lang w:val="lt-LT" w:eastAsia="lt-LT"/>
        </w:rPr>
      </w:pPr>
      <w:r w:rsidRPr="003D3348">
        <w:rPr>
          <w:rFonts w:ascii="Georgia" w:eastAsia="Times New Roman" w:hAnsi="Georgia" w:cs="Times New Roman"/>
          <w:sz w:val="20"/>
          <w:szCs w:val="20"/>
          <w:lang w:val="lt-LT" w:eastAsia="lt-LT"/>
        </w:rPr>
        <w:t>Vadovaujančioji institucija turi užtikrinti, jog finansavimo sutartyje su fondų fondo valdytoju yra aiškiai apibrėžt</w:t>
      </w:r>
      <w:r w:rsidR="003D3348">
        <w:rPr>
          <w:rFonts w:ascii="Georgia" w:eastAsia="Times New Roman" w:hAnsi="Georgia" w:cs="Times New Roman"/>
          <w:sz w:val="20"/>
          <w:szCs w:val="20"/>
          <w:lang w:val="lt-LT" w:eastAsia="lt-LT"/>
        </w:rPr>
        <w:t>a</w:t>
      </w:r>
      <w:r w:rsidRPr="003D3348">
        <w:rPr>
          <w:rFonts w:ascii="Georgia" w:eastAsia="Times New Roman" w:hAnsi="Georgia" w:cs="Times New Roman"/>
          <w:sz w:val="20"/>
          <w:szCs w:val="20"/>
          <w:lang w:val="lt-LT" w:eastAsia="lt-LT"/>
        </w:rPr>
        <w:t xml:space="preserve"> ataskaitų teikimo</w:t>
      </w:r>
      <w:r w:rsidR="003D3348">
        <w:rPr>
          <w:rFonts w:ascii="Georgia" w:eastAsia="Times New Roman" w:hAnsi="Georgia" w:cs="Times New Roman"/>
          <w:sz w:val="20"/>
          <w:szCs w:val="20"/>
          <w:lang w:val="lt-LT" w:eastAsia="lt-LT"/>
        </w:rPr>
        <w:t xml:space="preserve"> tvarka</w:t>
      </w:r>
      <w:r w:rsidR="00CD0DBE">
        <w:rPr>
          <w:rFonts w:ascii="Georgia" w:eastAsia="Times New Roman" w:hAnsi="Georgia" w:cs="Times New Roman"/>
          <w:sz w:val="20"/>
          <w:szCs w:val="20"/>
          <w:lang w:val="lt-LT" w:eastAsia="lt-LT"/>
        </w:rPr>
        <w:t>.</w:t>
      </w:r>
    </w:p>
    <w:p w14:paraId="0B856EF4" w14:textId="77777777" w:rsidR="009A1904" w:rsidRDefault="00DD23F6" w:rsidP="003D3348">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Pagrindiniai ataskaitų teikimo reikalavimai fondų fondo valdytojui bus apibrėžti Europos Komisijos Įgyvendinimo reglamente, kuris šiuo metu yra rengiamas. Tačiau vadovaujančioji institucija gali neapsiriboti Įgyvendinimo reglamento reikalavimais ir siūlomas ataskaitų formas papildyti jai reikalinga informacija</w:t>
      </w:r>
      <w:r w:rsidR="003D3348">
        <w:rPr>
          <w:rFonts w:ascii="Georgia" w:eastAsia="Times New Roman" w:hAnsi="Georgia" w:cs="Times New Roman"/>
          <w:sz w:val="20"/>
          <w:szCs w:val="20"/>
          <w:lang w:val="lt-LT" w:eastAsia="lt-LT"/>
        </w:rPr>
        <w:t>, tačiau turi užtikrinti, kad gaunama informacija būtų proporcinga ir neperteklinė</w:t>
      </w:r>
      <w:r>
        <w:rPr>
          <w:rFonts w:ascii="Georgia" w:eastAsia="Times New Roman" w:hAnsi="Georgia" w:cs="Times New Roman"/>
          <w:sz w:val="20"/>
          <w:szCs w:val="20"/>
          <w:lang w:val="lt-LT" w:eastAsia="lt-LT"/>
        </w:rPr>
        <w:t xml:space="preserve">. Vadovaujančiosios institucijos ataskaitų teikimo formos tvirtinamos Finansinių priemonių taisyklėse. </w:t>
      </w:r>
    </w:p>
    <w:p w14:paraId="18FE4BCD" w14:textId="77777777" w:rsidR="009A1904" w:rsidRDefault="009A1904" w:rsidP="003D3348">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Tuo atveju, kai fondų fondo valdytojas pasitelkia finansinius tarpininkus finansin</w:t>
      </w:r>
      <w:r w:rsidR="003D3348">
        <w:rPr>
          <w:rFonts w:ascii="Georgia" w:eastAsia="Times New Roman" w:hAnsi="Georgia" w:cs="Times New Roman"/>
          <w:sz w:val="20"/>
          <w:szCs w:val="20"/>
          <w:lang w:val="lt-LT" w:eastAsia="lt-LT"/>
        </w:rPr>
        <w:t>ių</w:t>
      </w:r>
      <w:r>
        <w:rPr>
          <w:rFonts w:ascii="Georgia" w:eastAsia="Times New Roman" w:hAnsi="Georgia" w:cs="Times New Roman"/>
          <w:sz w:val="20"/>
          <w:szCs w:val="20"/>
          <w:lang w:val="lt-LT" w:eastAsia="lt-LT"/>
        </w:rPr>
        <w:t xml:space="preserve"> priemon</w:t>
      </w:r>
      <w:r w:rsidR="003D3348">
        <w:rPr>
          <w:rFonts w:ascii="Georgia" w:eastAsia="Times New Roman" w:hAnsi="Georgia" w:cs="Times New Roman"/>
          <w:sz w:val="20"/>
          <w:szCs w:val="20"/>
          <w:lang w:val="lt-LT" w:eastAsia="lt-LT"/>
        </w:rPr>
        <w:t>ių</w:t>
      </w:r>
      <w:r>
        <w:rPr>
          <w:rFonts w:ascii="Georgia" w:eastAsia="Times New Roman" w:hAnsi="Georgia" w:cs="Times New Roman"/>
          <w:sz w:val="20"/>
          <w:szCs w:val="20"/>
          <w:lang w:val="lt-LT" w:eastAsia="lt-LT"/>
        </w:rPr>
        <w:t xml:space="preserve"> įgyvendinimui, fondų fondo valdytojas užtikrina, jog finansavimo sutartyse su finansiniais tarpininkais bus nustatyti visi ataskaitų teikimo reikalavimai ir kad duomenys ir finansinių tarpininkų fondų fondo valdytoją pasieks laiku, duomenys bus teisingi ir naudotini tolimesnėms ataskaitoms. Aktualių duomenų surinkimas iš finansinių tarpininkų yra fondų fondo valdytojo atsakomybė. </w:t>
      </w:r>
    </w:p>
    <w:p w14:paraId="6EAEC40C" w14:textId="77777777" w:rsidR="009A1904" w:rsidRDefault="009A1904" w:rsidP="003D3348">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lastRenderedPageBreak/>
        <w:t xml:space="preserve">Vadovaujančioji institucija taip pat gali siekti, kad kuo daugiau informacijos apie finansinės priemonės įgyvendinimą būtų prieinama IT platformose, kur informacija gali būti atnaujinama ir naudojama pagal faktinę finansinės priemonės pažangą. </w:t>
      </w:r>
    </w:p>
    <w:p w14:paraId="41A3F2A0" w14:textId="77777777" w:rsidR="009A1904" w:rsidRDefault="009A1904" w:rsidP="003D3348">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Ataskaitų teikimas turėtų būti įgyvendinamas šiais etapais:</w:t>
      </w:r>
    </w:p>
    <w:p w14:paraId="499FBE1D" w14:textId="77777777" w:rsidR="009A1904" w:rsidRDefault="009A1904" w:rsidP="002A576D">
      <w:pPr>
        <w:pStyle w:val="Sraopastraipa"/>
        <w:numPr>
          <w:ilvl w:val="6"/>
          <w:numId w:val="83"/>
        </w:numPr>
        <w:ind w:left="709"/>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Duomenų rinkimas</w:t>
      </w:r>
    </w:p>
    <w:p w14:paraId="104D3E26" w14:textId="77777777" w:rsidR="009A1904" w:rsidRDefault="009A1904" w:rsidP="002A576D">
      <w:pPr>
        <w:pStyle w:val="Sraopastraipa"/>
        <w:numPr>
          <w:ilvl w:val="6"/>
          <w:numId w:val="83"/>
        </w:numPr>
        <w:ind w:left="709"/>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Įgyven</w:t>
      </w:r>
      <w:r w:rsidR="003D3348">
        <w:rPr>
          <w:rFonts w:ascii="Georgia" w:eastAsia="Times New Roman" w:hAnsi="Georgia" w:cs="Times New Roman"/>
          <w:sz w:val="20"/>
          <w:szCs w:val="20"/>
          <w:lang w:val="lt-LT" w:eastAsia="lt-LT"/>
        </w:rPr>
        <w:t>dinimo ataskaitų formavimas</w:t>
      </w:r>
    </w:p>
    <w:p w14:paraId="7E55E296" w14:textId="77777777" w:rsidR="00EC6257" w:rsidRDefault="003D3348" w:rsidP="002A576D">
      <w:pPr>
        <w:pStyle w:val="Sraopastraipa"/>
        <w:numPr>
          <w:ilvl w:val="6"/>
          <w:numId w:val="83"/>
        </w:numPr>
        <w:ind w:left="709"/>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Finansinių ataskaitų formavimas</w:t>
      </w:r>
    </w:p>
    <w:p w14:paraId="3FE289D5" w14:textId="77777777" w:rsidR="00231758" w:rsidRDefault="009A1904" w:rsidP="003D3348">
      <w:pPr>
        <w:jc w:val="both"/>
        <w:rPr>
          <w:rFonts w:ascii="Georgia" w:eastAsia="Times New Roman" w:hAnsi="Georgia" w:cs="Times New Roman"/>
          <w:sz w:val="20"/>
          <w:szCs w:val="20"/>
          <w:lang w:val="lt-LT" w:eastAsia="lt-LT"/>
        </w:rPr>
      </w:pPr>
      <w:r w:rsidRPr="00EC6257">
        <w:rPr>
          <w:rFonts w:ascii="Georgia" w:eastAsia="Times New Roman" w:hAnsi="Georgia" w:cs="Times New Roman"/>
          <w:sz w:val="20"/>
          <w:szCs w:val="20"/>
          <w:lang w:val="lt-LT" w:eastAsia="lt-LT"/>
        </w:rPr>
        <w:t>Tok</w:t>
      </w:r>
      <w:r w:rsidR="006F40DD">
        <w:rPr>
          <w:rFonts w:ascii="Georgia" w:eastAsia="Times New Roman" w:hAnsi="Georgia" w:cs="Times New Roman"/>
          <w:sz w:val="20"/>
          <w:szCs w:val="20"/>
          <w:lang w:val="lt-LT" w:eastAsia="lt-LT"/>
        </w:rPr>
        <w:t>ia</w:t>
      </w:r>
      <w:r w:rsidRPr="00EC6257">
        <w:rPr>
          <w:rFonts w:ascii="Georgia" w:eastAsia="Times New Roman" w:hAnsi="Georgia" w:cs="Times New Roman"/>
          <w:sz w:val="20"/>
          <w:szCs w:val="20"/>
          <w:lang w:val="lt-LT" w:eastAsia="lt-LT"/>
        </w:rPr>
        <w:t xml:space="preserve"> ataskaitų teikimo </w:t>
      </w:r>
      <w:r w:rsidR="006F40DD">
        <w:rPr>
          <w:rFonts w:ascii="Georgia" w:eastAsia="Times New Roman" w:hAnsi="Georgia" w:cs="Times New Roman"/>
          <w:sz w:val="20"/>
          <w:szCs w:val="20"/>
          <w:lang w:val="lt-LT" w:eastAsia="lt-LT"/>
        </w:rPr>
        <w:t>tvarka</w:t>
      </w:r>
      <w:r w:rsidRPr="00EC6257">
        <w:rPr>
          <w:rFonts w:ascii="Georgia" w:eastAsia="Times New Roman" w:hAnsi="Georgia" w:cs="Times New Roman"/>
          <w:sz w:val="20"/>
          <w:szCs w:val="20"/>
          <w:lang w:val="lt-LT" w:eastAsia="lt-LT"/>
        </w:rPr>
        <w:t xml:space="preserve"> leidžia užtikrinti, kad prieinami duomenys yra tikslūs ir atspindi realią situaciją, </w:t>
      </w:r>
      <w:r w:rsidR="003D3348">
        <w:rPr>
          <w:rFonts w:ascii="Georgia" w:eastAsia="Times New Roman" w:hAnsi="Georgia" w:cs="Times New Roman"/>
          <w:sz w:val="20"/>
          <w:szCs w:val="20"/>
          <w:lang w:val="lt-LT" w:eastAsia="lt-LT"/>
        </w:rPr>
        <w:t xml:space="preserve">todėl </w:t>
      </w:r>
      <w:r w:rsidRPr="00EC6257">
        <w:rPr>
          <w:rFonts w:ascii="Georgia" w:eastAsia="Times New Roman" w:hAnsi="Georgia" w:cs="Times New Roman"/>
          <w:sz w:val="20"/>
          <w:szCs w:val="20"/>
          <w:lang w:val="lt-LT" w:eastAsia="lt-LT"/>
        </w:rPr>
        <w:t xml:space="preserve">šių duomenų pagrindu </w:t>
      </w:r>
      <w:r w:rsidR="003D3348">
        <w:rPr>
          <w:rFonts w:ascii="Georgia" w:eastAsia="Times New Roman" w:hAnsi="Georgia" w:cs="Times New Roman"/>
          <w:sz w:val="20"/>
          <w:szCs w:val="20"/>
          <w:lang w:val="lt-LT" w:eastAsia="lt-LT"/>
        </w:rPr>
        <w:t>parengtos</w:t>
      </w:r>
      <w:r w:rsidRPr="00EC6257">
        <w:rPr>
          <w:rFonts w:ascii="Georgia" w:eastAsia="Times New Roman" w:hAnsi="Georgia" w:cs="Times New Roman"/>
          <w:sz w:val="20"/>
          <w:szCs w:val="20"/>
          <w:lang w:val="lt-LT" w:eastAsia="lt-LT"/>
        </w:rPr>
        <w:t xml:space="preserve"> pažangos ataskaitos </w:t>
      </w:r>
      <w:r w:rsidR="003D3348">
        <w:rPr>
          <w:rFonts w:ascii="Georgia" w:eastAsia="Times New Roman" w:hAnsi="Georgia" w:cs="Times New Roman"/>
          <w:sz w:val="20"/>
          <w:szCs w:val="20"/>
          <w:lang w:val="lt-LT" w:eastAsia="lt-LT"/>
        </w:rPr>
        <w:t>bus</w:t>
      </w:r>
      <w:r w:rsidRPr="00EC6257">
        <w:rPr>
          <w:rFonts w:ascii="Georgia" w:eastAsia="Times New Roman" w:hAnsi="Georgia" w:cs="Times New Roman"/>
          <w:sz w:val="20"/>
          <w:szCs w:val="20"/>
          <w:lang w:val="lt-LT" w:eastAsia="lt-LT"/>
        </w:rPr>
        <w:t xml:space="preserve"> teisingos ir galiausiai lei</w:t>
      </w:r>
      <w:r w:rsidR="003D3348">
        <w:rPr>
          <w:rFonts w:ascii="Georgia" w:eastAsia="Times New Roman" w:hAnsi="Georgia" w:cs="Times New Roman"/>
          <w:sz w:val="20"/>
          <w:szCs w:val="20"/>
          <w:lang w:val="lt-LT" w:eastAsia="lt-LT"/>
        </w:rPr>
        <w:t>s</w:t>
      </w:r>
      <w:r w:rsidRPr="00EC6257">
        <w:rPr>
          <w:rFonts w:ascii="Georgia" w:eastAsia="Times New Roman" w:hAnsi="Georgia" w:cs="Times New Roman"/>
          <w:sz w:val="20"/>
          <w:szCs w:val="20"/>
          <w:lang w:val="lt-LT" w:eastAsia="lt-LT"/>
        </w:rPr>
        <w:t xml:space="preserve"> užtikrinti finansinį lėšų naudojimo teisingumą. </w:t>
      </w:r>
    </w:p>
    <w:p w14:paraId="70CE753C" w14:textId="77777777" w:rsidR="00231758" w:rsidRDefault="00231758" w:rsidP="003D3348">
      <w:pPr>
        <w:jc w:val="both"/>
        <w:rPr>
          <w:rFonts w:ascii="Georgia" w:eastAsia="Times New Roman" w:hAnsi="Georgia" w:cs="Times New Roman"/>
          <w:sz w:val="20"/>
          <w:szCs w:val="20"/>
          <w:lang w:val="lt-LT" w:eastAsia="lt-LT"/>
        </w:rPr>
      </w:pPr>
    </w:p>
    <w:p w14:paraId="3B747C3A" w14:textId="77777777" w:rsidR="00231758" w:rsidRDefault="00231758">
      <w:pPr>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br w:type="page"/>
      </w:r>
    </w:p>
    <w:p w14:paraId="7ECE999A" w14:textId="77777777" w:rsidR="002A576D" w:rsidRPr="00DF3A8E" w:rsidRDefault="002A576D" w:rsidP="002A576D">
      <w:pPr>
        <w:pStyle w:val="Antrat2"/>
        <w:numPr>
          <w:ilvl w:val="1"/>
          <w:numId w:val="2"/>
        </w:numPr>
        <w:spacing w:after="240"/>
        <w:ind w:left="1080"/>
        <w:rPr>
          <w:lang w:val="lt-LT"/>
        </w:rPr>
      </w:pPr>
      <w:bookmarkStart w:id="414" w:name="_Toc417378456"/>
      <w:r>
        <w:rPr>
          <w:lang w:val="lt-LT"/>
        </w:rPr>
        <w:lastRenderedPageBreak/>
        <w:t xml:space="preserve">Savivaldybių viešųjų pastatų modernizavimo </w:t>
      </w:r>
      <w:r w:rsidRPr="00DF3A8E">
        <w:rPr>
          <w:lang w:val="lt-LT"/>
        </w:rPr>
        <w:t>investavimo</w:t>
      </w:r>
      <w:r>
        <w:rPr>
          <w:lang w:val="lt-LT"/>
        </w:rPr>
        <w:t xml:space="preserve"> </w:t>
      </w:r>
      <w:r w:rsidRPr="00DF3A8E">
        <w:rPr>
          <w:lang w:val="lt-LT"/>
        </w:rPr>
        <w:t>strategija</w:t>
      </w:r>
      <w:bookmarkEnd w:id="414"/>
    </w:p>
    <w:p w14:paraId="56E7B5A9" w14:textId="77777777" w:rsidR="002A576D" w:rsidRDefault="002A576D" w:rsidP="002A576D">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Aplinkos</w:t>
      </w:r>
      <w:r w:rsidRPr="00760316">
        <w:rPr>
          <w:rFonts w:ascii="Georgia" w:eastAsia="Times New Roman" w:hAnsi="Georgia" w:cs="Times New Roman"/>
          <w:sz w:val="20"/>
          <w:szCs w:val="20"/>
          <w:lang w:val="lt-LT" w:eastAsia="lt-LT"/>
        </w:rPr>
        <w:t xml:space="preserve"> ministerija</w:t>
      </w:r>
      <w:r>
        <w:rPr>
          <w:rFonts w:ascii="Georgia" w:eastAsia="Times New Roman" w:hAnsi="Georgia" w:cs="Times New Roman"/>
          <w:sz w:val="20"/>
          <w:szCs w:val="20"/>
          <w:lang w:val="lt-LT" w:eastAsia="lt-LT"/>
        </w:rPr>
        <w:t>, siekdama skatinti energijos efektyvumo didinimą savivaldybių viešuosiuose pastatuose,</w:t>
      </w:r>
      <w:r w:rsidRPr="00760316">
        <w:rPr>
          <w:rFonts w:ascii="Georgia" w:eastAsia="Times New Roman" w:hAnsi="Georgia" w:cs="Times New Roman"/>
          <w:sz w:val="20"/>
          <w:szCs w:val="20"/>
          <w:lang w:val="lt-LT" w:eastAsia="lt-LT"/>
        </w:rPr>
        <w:t xml:space="preserve"> </w:t>
      </w:r>
      <w:r>
        <w:rPr>
          <w:rFonts w:ascii="Georgia" w:eastAsia="Times New Roman" w:hAnsi="Georgia" w:cs="Times New Roman"/>
          <w:sz w:val="20"/>
          <w:szCs w:val="20"/>
          <w:lang w:val="lt-LT" w:eastAsia="lt-LT"/>
        </w:rPr>
        <w:t xml:space="preserve">turi prisidėti prie </w:t>
      </w:r>
      <w:r w:rsidRPr="00231758">
        <w:rPr>
          <w:rFonts w:ascii="Georgia" w:eastAsia="Times New Roman" w:hAnsi="Georgia" w:cs="Times New Roman"/>
          <w:sz w:val="20"/>
          <w:szCs w:val="20"/>
          <w:lang w:val="lt-LT" w:eastAsia="lt-LT"/>
        </w:rPr>
        <w:t>2014-2020 m. veiksmų program</w:t>
      </w:r>
      <w:r>
        <w:rPr>
          <w:rFonts w:ascii="Georgia" w:eastAsia="Times New Roman" w:hAnsi="Georgia" w:cs="Times New Roman"/>
          <w:sz w:val="20"/>
          <w:szCs w:val="20"/>
          <w:lang w:val="lt-LT" w:eastAsia="lt-LT"/>
        </w:rPr>
        <w:t>os 4.3 investicinio prioriteto numatytų veiklų įgyvendinimo bei rodiklių pasiekimo</w:t>
      </w:r>
      <w:r w:rsidRPr="00760316">
        <w:rPr>
          <w:rFonts w:ascii="Georgia" w:eastAsia="Times New Roman" w:hAnsi="Georgia" w:cs="Times New Roman"/>
          <w:sz w:val="20"/>
          <w:szCs w:val="20"/>
          <w:lang w:val="lt-LT" w:eastAsia="lt-LT"/>
        </w:rPr>
        <w:t xml:space="preserve">. </w:t>
      </w:r>
      <w:r>
        <w:rPr>
          <w:rFonts w:ascii="Georgia" w:eastAsia="Times New Roman" w:hAnsi="Georgia" w:cs="Times New Roman"/>
          <w:sz w:val="20"/>
          <w:szCs w:val="20"/>
          <w:lang w:val="lt-LT" w:eastAsia="lt-LT"/>
        </w:rPr>
        <w:t xml:space="preserve">Savivaldybių </w:t>
      </w:r>
      <w:r w:rsidRPr="00760316">
        <w:rPr>
          <w:rFonts w:ascii="Georgia" w:eastAsia="Times New Roman" w:hAnsi="Georgia" w:cs="Times New Roman"/>
          <w:sz w:val="20"/>
          <w:szCs w:val="20"/>
          <w:lang w:val="lt-LT" w:eastAsia="lt-LT"/>
        </w:rPr>
        <w:t>viešųjų pastatų modernizavimo</w:t>
      </w:r>
      <w:r>
        <w:rPr>
          <w:rFonts w:ascii="Georgia" w:eastAsia="Times New Roman" w:hAnsi="Georgia" w:cs="Times New Roman"/>
          <w:sz w:val="20"/>
          <w:szCs w:val="20"/>
          <w:lang w:val="lt-LT" w:eastAsia="lt-LT"/>
        </w:rPr>
        <w:t xml:space="preserve"> investavimo</w:t>
      </w:r>
      <w:r w:rsidRPr="00760316">
        <w:rPr>
          <w:rFonts w:ascii="Georgia" w:eastAsia="Times New Roman" w:hAnsi="Georgia" w:cs="Times New Roman"/>
          <w:sz w:val="20"/>
          <w:szCs w:val="20"/>
          <w:lang w:val="lt-LT" w:eastAsia="lt-LT"/>
        </w:rPr>
        <w:t xml:space="preserve"> strategija plėt</w:t>
      </w:r>
      <w:r>
        <w:rPr>
          <w:rFonts w:ascii="Georgia" w:eastAsia="Times New Roman" w:hAnsi="Georgia" w:cs="Times New Roman"/>
          <w:sz w:val="20"/>
          <w:szCs w:val="20"/>
          <w:lang w:val="lt-LT" w:eastAsia="lt-LT"/>
        </w:rPr>
        <w:t>ojam</w:t>
      </w:r>
      <w:r w:rsidRPr="00760316">
        <w:rPr>
          <w:rFonts w:ascii="Georgia" w:eastAsia="Times New Roman" w:hAnsi="Georgia" w:cs="Times New Roman"/>
          <w:sz w:val="20"/>
          <w:szCs w:val="20"/>
          <w:lang w:val="lt-LT" w:eastAsia="lt-LT"/>
        </w:rPr>
        <w:t xml:space="preserve">a taip, kad </w:t>
      </w:r>
      <w:r>
        <w:rPr>
          <w:rFonts w:ascii="Georgia" w:eastAsia="Times New Roman" w:hAnsi="Georgia" w:cs="Times New Roman"/>
          <w:sz w:val="20"/>
          <w:szCs w:val="20"/>
          <w:lang w:val="lt-LT" w:eastAsia="lt-LT"/>
        </w:rPr>
        <w:t xml:space="preserve">optimaliai </w:t>
      </w:r>
      <w:r w:rsidRPr="00760316">
        <w:rPr>
          <w:rFonts w:ascii="Georgia" w:eastAsia="Times New Roman" w:hAnsi="Georgia" w:cs="Times New Roman"/>
          <w:sz w:val="20"/>
          <w:szCs w:val="20"/>
          <w:lang w:val="lt-LT" w:eastAsia="lt-LT"/>
        </w:rPr>
        <w:t>būtų įgyvendinti privalomi pasiekti tikslai</w:t>
      </w:r>
      <w:r>
        <w:rPr>
          <w:rFonts w:ascii="Georgia" w:eastAsia="Times New Roman" w:hAnsi="Georgia" w:cs="Times New Roman"/>
          <w:sz w:val="20"/>
          <w:szCs w:val="20"/>
          <w:lang w:val="lt-LT" w:eastAsia="lt-LT"/>
        </w:rPr>
        <w:t xml:space="preserve"> ir rodikliai atsižvelgiant į šiuo metu esančią pastatų būklę</w:t>
      </w:r>
      <w:r w:rsidRPr="00760316">
        <w:rPr>
          <w:rFonts w:ascii="Georgia" w:eastAsia="Times New Roman" w:hAnsi="Georgia" w:cs="Times New Roman"/>
          <w:sz w:val="20"/>
          <w:szCs w:val="20"/>
          <w:lang w:val="lt-LT" w:eastAsia="lt-LT"/>
        </w:rPr>
        <w:t xml:space="preserve">. </w:t>
      </w:r>
    </w:p>
    <w:p w14:paraId="1230F308" w14:textId="77777777" w:rsidR="002A576D" w:rsidRDefault="002A576D" w:rsidP="002A576D">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Įgyvendinant finansines priemones savivaldybių viešųjų pastatų modernizavimui t</w:t>
      </w:r>
      <w:r w:rsidRPr="00760316">
        <w:rPr>
          <w:rFonts w:ascii="Georgia" w:eastAsia="Times New Roman" w:hAnsi="Georgia" w:cs="Times New Roman"/>
          <w:sz w:val="20"/>
          <w:szCs w:val="20"/>
          <w:lang w:val="lt-LT" w:eastAsia="lt-LT"/>
        </w:rPr>
        <w:t xml:space="preserve">aip </w:t>
      </w:r>
      <w:r>
        <w:rPr>
          <w:rFonts w:ascii="Georgia" w:eastAsia="Times New Roman" w:hAnsi="Georgia" w:cs="Times New Roman"/>
          <w:sz w:val="20"/>
          <w:szCs w:val="20"/>
          <w:lang w:val="lt-LT" w:eastAsia="lt-LT"/>
        </w:rPr>
        <w:t xml:space="preserve">pat </w:t>
      </w:r>
      <w:r w:rsidRPr="00760316">
        <w:rPr>
          <w:rFonts w:ascii="Georgia" w:eastAsia="Times New Roman" w:hAnsi="Georgia" w:cs="Times New Roman"/>
          <w:sz w:val="20"/>
          <w:szCs w:val="20"/>
          <w:lang w:val="lt-LT" w:eastAsia="lt-LT"/>
        </w:rPr>
        <w:t>siekiama optimizuoti veiklų įgyvendinimą, mažinti administracinę naštą bei dėl masto ekonomijos pasiekti didesnį efektyvumą. Žemiau yra pateikiama siūloma finansinių priemonių investavimo strategija.</w:t>
      </w:r>
    </w:p>
    <w:p w14:paraId="7AE83D30" w14:textId="77777777" w:rsidR="002A576D" w:rsidRPr="00DF3A8E" w:rsidRDefault="002A576D" w:rsidP="002A576D">
      <w:pPr>
        <w:pStyle w:val="Antrat2"/>
        <w:numPr>
          <w:ilvl w:val="2"/>
          <w:numId w:val="2"/>
        </w:numPr>
        <w:spacing w:after="240"/>
        <w:rPr>
          <w:lang w:val="lt-LT"/>
        </w:rPr>
      </w:pPr>
      <w:bookmarkStart w:id="415" w:name="_Toc417378457"/>
      <w:r w:rsidRPr="00DF3A8E">
        <w:rPr>
          <w:lang w:val="lt-LT"/>
        </w:rPr>
        <w:t>Finansin</w:t>
      </w:r>
      <w:r>
        <w:rPr>
          <w:lang w:val="lt-LT"/>
        </w:rPr>
        <w:t>ių</w:t>
      </w:r>
      <w:r w:rsidRPr="00DF3A8E">
        <w:rPr>
          <w:lang w:val="lt-LT"/>
        </w:rPr>
        <w:t xml:space="preserve"> priemon</w:t>
      </w:r>
      <w:r>
        <w:rPr>
          <w:lang w:val="lt-LT"/>
        </w:rPr>
        <w:t>ių</w:t>
      </w:r>
      <w:r w:rsidRPr="00DF3A8E">
        <w:rPr>
          <w:lang w:val="lt-LT"/>
        </w:rPr>
        <w:t xml:space="preserve"> apimtis ir tiksliniai galutiniai naudos gavėjai</w:t>
      </w:r>
      <w:bookmarkEnd w:id="415"/>
      <w:r w:rsidRPr="00DF3A8E">
        <w:rPr>
          <w:lang w:val="lt-LT"/>
        </w:rPr>
        <w:t xml:space="preserve"> </w:t>
      </w:r>
    </w:p>
    <w:p w14:paraId="3A805EFC" w14:textId="77777777" w:rsidR="002A576D" w:rsidRPr="00AE7E91" w:rsidRDefault="002A576D" w:rsidP="002A576D">
      <w:pPr>
        <w:jc w:val="both"/>
        <w:rPr>
          <w:rFonts w:ascii="Georgia" w:hAnsi="Georgia"/>
          <w:sz w:val="20"/>
          <w:szCs w:val="20"/>
          <w:lang w:val="lt-LT"/>
        </w:rPr>
      </w:pPr>
      <w:r w:rsidRPr="00AE7E91">
        <w:rPr>
          <w:rFonts w:ascii="Georgia" w:hAnsi="Georgia"/>
          <w:sz w:val="20"/>
          <w:szCs w:val="20"/>
          <w:lang w:val="lt-LT"/>
        </w:rPr>
        <w:t xml:space="preserve">Kaip buvo nustatyta šioje analizėje, poreikis energijos efektyvumo projektų įgyvendinimui yra </w:t>
      </w:r>
      <w:r>
        <w:rPr>
          <w:rFonts w:ascii="Georgia" w:hAnsi="Georgia"/>
          <w:sz w:val="20"/>
          <w:szCs w:val="20"/>
          <w:lang w:val="lt-LT"/>
        </w:rPr>
        <w:t>daug</w:t>
      </w:r>
      <w:r w:rsidRPr="00AE7E91">
        <w:rPr>
          <w:rFonts w:ascii="Georgia" w:hAnsi="Georgia"/>
          <w:sz w:val="20"/>
          <w:szCs w:val="20"/>
          <w:lang w:val="lt-LT"/>
        </w:rPr>
        <w:t xml:space="preserve"> didesnis nei rinkoje prieinama finansavimo pasiūla. 2.3. </w:t>
      </w:r>
      <w:r>
        <w:rPr>
          <w:rFonts w:ascii="Georgia" w:hAnsi="Georgia"/>
          <w:sz w:val="20"/>
          <w:szCs w:val="20"/>
          <w:lang w:val="lt-LT"/>
        </w:rPr>
        <w:t>skyriuje</w:t>
      </w:r>
      <w:r w:rsidRPr="00AE7E91">
        <w:rPr>
          <w:rFonts w:ascii="Georgia" w:hAnsi="Georgia"/>
          <w:sz w:val="20"/>
          <w:szCs w:val="20"/>
          <w:lang w:val="lt-LT"/>
        </w:rPr>
        <w:t xml:space="preserve"> identifikuotas rinkos finansavimo nepakankamumas, kuris </w:t>
      </w:r>
      <w:r>
        <w:rPr>
          <w:rFonts w:ascii="Georgia" w:hAnsi="Georgia"/>
          <w:sz w:val="20"/>
          <w:szCs w:val="20"/>
          <w:lang w:val="lt-LT"/>
        </w:rPr>
        <w:t xml:space="preserve">savivaldybių </w:t>
      </w:r>
      <w:r w:rsidRPr="00AE7E91">
        <w:rPr>
          <w:rFonts w:ascii="Georgia" w:hAnsi="Georgia"/>
          <w:sz w:val="20"/>
          <w:szCs w:val="20"/>
          <w:lang w:val="lt-LT"/>
        </w:rPr>
        <w:t>viešųjų pastatų modernizavimui siekia</w:t>
      </w:r>
      <w:r>
        <w:rPr>
          <w:rFonts w:ascii="Georgia" w:hAnsi="Georgia"/>
          <w:sz w:val="20"/>
          <w:szCs w:val="20"/>
          <w:lang w:val="lt-LT"/>
        </w:rPr>
        <w:t xml:space="preserve"> 146,8</w:t>
      </w:r>
      <w:r w:rsidRPr="00AE7E91">
        <w:rPr>
          <w:rFonts w:ascii="Georgia" w:hAnsi="Georgia"/>
          <w:sz w:val="20"/>
          <w:szCs w:val="20"/>
          <w:lang w:val="lt-LT"/>
        </w:rPr>
        <w:t xml:space="preserve"> mln. eurų (</w:t>
      </w:r>
      <w:r w:rsidRPr="00310788">
        <w:rPr>
          <w:rFonts w:ascii="Georgia" w:hAnsi="Georgia"/>
          <w:sz w:val="20"/>
          <w:szCs w:val="20"/>
          <w:lang w:val="lt-LT"/>
        </w:rPr>
        <w:t>507,5</w:t>
      </w:r>
      <w:r>
        <w:rPr>
          <w:rFonts w:ascii="Georgia" w:hAnsi="Georgia"/>
          <w:sz w:val="20"/>
          <w:szCs w:val="20"/>
          <w:lang w:val="lt-LT"/>
        </w:rPr>
        <w:t xml:space="preserve"> </w:t>
      </w:r>
      <w:r w:rsidRPr="00AE7E91">
        <w:rPr>
          <w:rFonts w:ascii="Georgia" w:hAnsi="Georgia"/>
          <w:sz w:val="20"/>
          <w:szCs w:val="20"/>
          <w:lang w:val="lt-LT"/>
        </w:rPr>
        <w:t xml:space="preserve">mln. litų). Atsižvelgiant į tai, kad poreikis investicijoms yra </w:t>
      </w:r>
      <w:r>
        <w:rPr>
          <w:rFonts w:ascii="Georgia" w:hAnsi="Georgia"/>
          <w:sz w:val="20"/>
          <w:szCs w:val="20"/>
          <w:lang w:val="lt-LT"/>
        </w:rPr>
        <w:t xml:space="preserve">beveik tris kartus </w:t>
      </w:r>
      <w:r w:rsidRPr="00AE7E91">
        <w:rPr>
          <w:rFonts w:ascii="Georgia" w:hAnsi="Georgia"/>
          <w:sz w:val="20"/>
          <w:szCs w:val="20"/>
          <w:lang w:val="lt-LT"/>
        </w:rPr>
        <w:t>didesnis nei prieinamos lėšos, siekiant patenkinti kuo didesnį poreikį šioms investicijoms bei įgyvendinti daugiau projektų, būtina įgyvendinti ne subsidijų, bet grįžtančių lėšų finansines priemones ir modelius, pritraukiančius daugiau privačių lėšų.</w:t>
      </w:r>
    </w:p>
    <w:p w14:paraId="69C8CFD2" w14:textId="33BEE11D" w:rsidR="002A576D" w:rsidRPr="00AE7E91" w:rsidRDefault="002A576D" w:rsidP="002A576D">
      <w:pPr>
        <w:jc w:val="both"/>
        <w:rPr>
          <w:rFonts w:ascii="Georgia" w:hAnsi="Georgia"/>
          <w:sz w:val="20"/>
          <w:szCs w:val="20"/>
          <w:lang w:val="lt-LT"/>
        </w:rPr>
      </w:pPr>
      <w:r w:rsidRPr="00AE7E91">
        <w:rPr>
          <w:rFonts w:ascii="Georgia" w:hAnsi="Georgia"/>
          <w:sz w:val="20"/>
          <w:szCs w:val="20"/>
          <w:lang w:val="lt-LT"/>
        </w:rPr>
        <w:t>4.4.</w:t>
      </w:r>
      <w:r>
        <w:rPr>
          <w:rFonts w:ascii="Georgia" w:hAnsi="Georgia"/>
          <w:sz w:val="20"/>
          <w:szCs w:val="20"/>
          <w:lang w:val="lt-LT"/>
        </w:rPr>
        <w:t>4</w:t>
      </w:r>
      <w:r w:rsidRPr="00AE7E91">
        <w:rPr>
          <w:rFonts w:ascii="Georgia" w:hAnsi="Georgia"/>
          <w:sz w:val="20"/>
          <w:szCs w:val="20"/>
          <w:lang w:val="lt-LT"/>
        </w:rPr>
        <w:t xml:space="preserve"> skyriuje taip pat nustatyta, kad </w:t>
      </w:r>
      <w:r>
        <w:rPr>
          <w:rFonts w:ascii="Georgia" w:hAnsi="Georgia"/>
          <w:sz w:val="20"/>
          <w:szCs w:val="20"/>
          <w:lang w:val="lt-LT"/>
        </w:rPr>
        <w:t xml:space="preserve">savivaldybių </w:t>
      </w:r>
      <w:r w:rsidRPr="00AE7E91">
        <w:rPr>
          <w:rFonts w:ascii="Georgia" w:hAnsi="Georgia"/>
          <w:sz w:val="20"/>
          <w:szCs w:val="20"/>
          <w:lang w:val="lt-LT"/>
        </w:rPr>
        <w:t xml:space="preserve">pastatų modernizavimui </w:t>
      </w:r>
      <w:r>
        <w:rPr>
          <w:rFonts w:ascii="Georgia" w:hAnsi="Georgia"/>
          <w:sz w:val="20"/>
          <w:szCs w:val="20"/>
          <w:lang w:val="lt-LT"/>
        </w:rPr>
        <w:t>optimaliausias</w:t>
      </w:r>
      <w:r w:rsidRPr="00AE7E91">
        <w:rPr>
          <w:rFonts w:ascii="Georgia" w:hAnsi="Georgia"/>
          <w:sz w:val="20"/>
          <w:szCs w:val="20"/>
          <w:lang w:val="lt-LT"/>
        </w:rPr>
        <w:t xml:space="preserve"> finansinis produktas yra lengvatinės paskolos</w:t>
      </w:r>
      <w:r w:rsidR="00DE6DED">
        <w:rPr>
          <w:rFonts w:ascii="Georgia" w:hAnsi="Georgia"/>
          <w:sz w:val="20"/>
          <w:szCs w:val="20"/>
          <w:lang w:val="lt-LT"/>
        </w:rPr>
        <w:t>, teikiamos per finansų tarpininkus kartu su privačiomis lėšomis</w:t>
      </w:r>
      <w:r w:rsidRPr="00AE7E91">
        <w:rPr>
          <w:rFonts w:ascii="Georgia" w:hAnsi="Georgia"/>
          <w:sz w:val="20"/>
          <w:szCs w:val="20"/>
          <w:lang w:val="lt-LT"/>
        </w:rPr>
        <w:t xml:space="preserve">. </w:t>
      </w:r>
      <w:r w:rsidRPr="00D9133B">
        <w:rPr>
          <w:rFonts w:ascii="Georgia" w:hAnsi="Georgia"/>
          <w:sz w:val="20"/>
          <w:szCs w:val="20"/>
          <w:lang w:val="lt-LT"/>
        </w:rPr>
        <w:t xml:space="preserve">Atsižvelgiant į tai buvo apskaičiuota, kiek ESI fondų ar kitų lėšų reikėtų skirti finansinėms priemonėms siekiant padengti visą 2-ame skyriuje identifikuotą rinkos finansavimo trūkumą </w:t>
      </w:r>
      <w:r w:rsidRPr="00760316">
        <w:rPr>
          <w:rFonts w:ascii="Georgia" w:hAnsi="Georgia"/>
          <w:sz w:val="20"/>
          <w:szCs w:val="20"/>
          <w:lang w:val="lt-LT"/>
        </w:rPr>
        <w:t xml:space="preserve">savivaldybių pastatų modernizavimo </w:t>
      </w:r>
      <w:r w:rsidRPr="00D9133B">
        <w:rPr>
          <w:rFonts w:ascii="Georgia" w:hAnsi="Georgia"/>
          <w:sz w:val="20"/>
          <w:szCs w:val="20"/>
          <w:lang w:val="lt-LT"/>
        </w:rPr>
        <w:t>sri</w:t>
      </w:r>
      <w:r w:rsidRPr="00760316">
        <w:rPr>
          <w:rFonts w:ascii="Georgia" w:hAnsi="Georgia"/>
          <w:sz w:val="20"/>
          <w:szCs w:val="20"/>
          <w:lang w:val="lt-LT"/>
        </w:rPr>
        <w:t>čiai</w:t>
      </w:r>
      <w:r w:rsidRPr="00D9133B">
        <w:rPr>
          <w:rFonts w:ascii="Georgia" w:hAnsi="Georgia"/>
          <w:sz w:val="20"/>
          <w:szCs w:val="20"/>
          <w:lang w:val="lt-LT"/>
        </w:rPr>
        <w:t>.</w:t>
      </w:r>
      <w:r w:rsidRPr="00AE7E91">
        <w:rPr>
          <w:rFonts w:ascii="Georgia" w:hAnsi="Georgia"/>
          <w:sz w:val="20"/>
          <w:szCs w:val="20"/>
          <w:lang w:val="lt-LT"/>
        </w:rPr>
        <w:t xml:space="preserve"> </w:t>
      </w:r>
    </w:p>
    <w:p w14:paraId="57D9A92B" w14:textId="46E08CD0" w:rsidR="002A576D" w:rsidRDefault="0089727D" w:rsidP="00A11AA7">
      <w:pPr>
        <w:pStyle w:val="prastasis1"/>
        <w:spacing w:line="276" w:lineRule="auto"/>
        <w:jc w:val="both"/>
        <w:rPr>
          <w:rFonts w:ascii="Georgia" w:hAnsi="Georgia"/>
          <w:sz w:val="20"/>
          <w:szCs w:val="20"/>
        </w:rPr>
      </w:pPr>
      <w:r>
        <w:rPr>
          <w:rFonts w:ascii="Georgia" w:hAnsi="Georgia"/>
          <w:sz w:val="20"/>
          <w:szCs w:val="20"/>
        </w:rPr>
        <w:t>Vadovaujantis Bendrųjų nuostatų reglamento galutinio naudos gavėjo apibrėžimu</w:t>
      </w:r>
      <w:r>
        <w:rPr>
          <w:rStyle w:val="Puslapioinaosnuoroda"/>
          <w:rFonts w:ascii="Georgia" w:hAnsi="Georgia"/>
          <w:sz w:val="20"/>
          <w:szCs w:val="20"/>
        </w:rPr>
        <w:footnoteReference w:id="169"/>
      </w:r>
      <w:r>
        <w:rPr>
          <w:rFonts w:ascii="Georgia" w:hAnsi="Georgia"/>
          <w:sz w:val="20"/>
          <w:szCs w:val="20"/>
        </w:rPr>
        <w:t xml:space="preserve">, </w:t>
      </w:r>
      <w:r w:rsidR="006D46DC">
        <w:rPr>
          <w:rFonts w:ascii="Georgia" w:hAnsi="Georgia"/>
          <w:sz w:val="20"/>
          <w:szCs w:val="20"/>
        </w:rPr>
        <w:t xml:space="preserve">galutiniai naudos gavėjai, finansuojami </w:t>
      </w:r>
      <w:r>
        <w:rPr>
          <w:rFonts w:ascii="Georgia" w:hAnsi="Georgia"/>
          <w:sz w:val="20"/>
          <w:szCs w:val="20"/>
        </w:rPr>
        <w:t>finansinės priemonės lėšomis</w:t>
      </w:r>
      <w:r w:rsidR="006D46DC">
        <w:rPr>
          <w:rFonts w:ascii="Georgia" w:hAnsi="Georgia"/>
          <w:sz w:val="20"/>
          <w:szCs w:val="20"/>
        </w:rPr>
        <w:t>,</w:t>
      </w:r>
      <w:r>
        <w:rPr>
          <w:rFonts w:ascii="Georgia" w:hAnsi="Georgia"/>
          <w:sz w:val="20"/>
          <w:szCs w:val="20"/>
        </w:rPr>
        <w:t xml:space="preserve"> yra subjektai, kurių nuosavybės teise valdomi pastatai yra renovuojami pasinaudojant finansinės priemonės lėšomis. </w:t>
      </w:r>
      <w:r w:rsidR="002A576D" w:rsidRPr="00760316">
        <w:rPr>
          <w:rFonts w:ascii="Georgia" w:hAnsi="Georgia"/>
          <w:sz w:val="20"/>
          <w:szCs w:val="20"/>
        </w:rPr>
        <w:t xml:space="preserve">Atlikus detalią savivaldybių galimybių įgyvendinti energijos efektyvumo projektus analizę, buvo nustatyta, kad galutiniais naudos gavėjais </w:t>
      </w:r>
      <w:r>
        <w:rPr>
          <w:rFonts w:ascii="Georgia" w:hAnsi="Georgia"/>
          <w:sz w:val="20"/>
          <w:szCs w:val="20"/>
        </w:rPr>
        <w:t xml:space="preserve">yra </w:t>
      </w:r>
      <w:r w:rsidRPr="00760316">
        <w:rPr>
          <w:rFonts w:ascii="Georgia" w:hAnsi="Georgia"/>
          <w:sz w:val="20"/>
          <w:szCs w:val="20"/>
        </w:rPr>
        <w:t>savivaldybės (savivaldybių administracijos)</w:t>
      </w:r>
      <w:r w:rsidR="006D46DC">
        <w:rPr>
          <w:rFonts w:ascii="Georgia" w:hAnsi="Georgia"/>
          <w:sz w:val="20"/>
          <w:szCs w:val="20"/>
        </w:rPr>
        <w:t>.</w:t>
      </w:r>
    </w:p>
    <w:p w14:paraId="1E4EEE21" w14:textId="0ED8CB10" w:rsidR="002A576D" w:rsidRPr="00CA0B2F" w:rsidRDefault="002A576D" w:rsidP="002A576D">
      <w:pPr>
        <w:jc w:val="both"/>
        <w:rPr>
          <w:rFonts w:ascii="Georgia" w:hAnsi="Georgia"/>
          <w:sz w:val="20"/>
          <w:szCs w:val="20"/>
          <w:lang w:val="lt-LT"/>
        </w:rPr>
      </w:pPr>
      <w:r>
        <w:rPr>
          <w:rFonts w:ascii="Georgia" w:hAnsi="Georgia"/>
          <w:sz w:val="20"/>
          <w:szCs w:val="20"/>
          <w:lang w:val="lt-LT"/>
        </w:rPr>
        <w:t xml:space="preserve">Priklausomai nuo to, kas bus savivaldybės viešojo pastato modernizavimo projekto įgyvendintojas, šiek tiek skiriasi projekto įgyvendinimas. </w:t>
      </w:r>
      <w:r w:rsidRPr="00760316">
        <w:rPr>
          <w:rFonts w:ascii="Georgia" w:hAnsi="Georgia"/>
          <w:sz w:val="20"/>
          <w:szCs w:val="20"/>
          <w:lang w:val="lt-LT"/>
        </w:rPr>
        <w:t xml:space="preserve">Identifikuotų </w:t>
      </w:r>
      <w:r w:rsidRPr="00CA0B2F">
        <w:rPr>
          <w:rFonts w:ascii="Georgia" w:hAnsi="Georgia"/>
          <w:sz w:val="20"/>
          <w:szCs w:val="20"/>
          <w:lang w:val="lt-LT"/>
        </w:rPr>
        <w:t>galim</w:t>
      </w:r>
      <w:r w:rsidRPr="00760316">
        <w:rPr>
          <w:rFonts w:ascii="Georgia" w:hAnsi="Georgia"/>
          <w:sz w:val="20"/>
          <w:szCs w:val="20"/>
          <w:lang w:val="lt-LT"/>
        </w:rPr>
        <w:t>ų</w:t>
      </w:r>
      <w:r w:rsidRPr="00CA0B2F">
        <w:rPr>
          <w:rFonts w:ascii="Georgia" w:hAnsi="Georgia"/>
          <w:sz w:val="20"/>
          <w:szCs w:val="20"/>
          <w:lang w:val="lt-LT"/>
        </w:rPr>
        <w:t xml:space="preserve"> </w:t>
      </w:r>
      <w:r w:rsidR="00632BFA">
        <w:rPr>
          <w:rFonts w:ascii="Georgia" w:hAnsi="Georgia"/>
          <w:sz w:val="20"/>
          <w:szCs w:val="20"/>
          <w:lang w:val="lt-LT"/>
        </w:rPr>
        <w:t>projekto įgyvendintojų</w:t>
      </w:r>
      <w:r w:rsidRPr="00760316">
        <w:rPr>
          <w:rFonts w:ascii="Georgia" w:hAnsi="Georgia"/>
          <w:sz w:val="20"/>
          <w:szCs w:val="20"/>
          <w:lang w:val="lt-LT"/>
        </w:rPr>
        <w:t xml:space="preserve"> </w:t>
      </w:r>
      <w:r>
        <w:rPr>
          <w:rFonts w:ascii="Georgia" w:hAnsi="Georgia"/>
          <w:sz w:val="20"/>
          <w:szCs w:val="20"/>
          <w:lang w:val="lt-LT"/>
        </w:rPr>
        <w:t>įgyvendinamų projektų trumpi aprašymai pateikti žemiau</w:t>
      </w:r>
      <w:r w:rsidRPr="00CA0B2F">
        <w:rPr>
          <w:rFonts w:ascii="Georgia" w:hAnsi="Georgia"/>
          <w:sz w:val="20"/>
          <w:szCs w:val="20"/>
          <w:lang w:val="lt-LT"/>
        </w:rPr>
        <w:t xml:space="preserve">: </w:t>
      </w:r>
    </w:p>
    <w:p w14:paraId="5512268D" w14:textId="77777777" w:rsidR="002A576D" w:rsidRPr="00760316" w:rsidRDefault="002A576D" w:rsidP="002A576D">
      <w:pPr>
        <w:pStyle w:val="Sraopastraipa"/>
        <w:numPr>
          <w:ilvl w:val="0"/>
          <w:numId w:val="141"/>
        </w:numPr>
        <w:jc w:val="both"/>
        <w:rPr>
          <w:rFonts w:ascii="Georgia" w:hAnsi="Georgia"/>
          <w:sz w:val="20"/>
          <w:szCs w:val="20"/>
          <w:lang w:val="lt-LT"/>
        </w:rPr>
      </w:pPr>
      <w:r w:rsidRPr="00760316">
        <w:rPr>
          <w:rFonts w:ascii="Georgia" w:hAnsi="Georgia"/>
          <w:sz w:val="20"/>
          <w:szCs w:val="20"/>
          <w:lang w:val="lt-LT"/>
        </w:rPr>
        <w:t xml:space="preserve">Administratorius, t.y. įmonė, kuri vykdo savivaldybės paskirtojo administratoriaus funkciją (pvz. kaip šiuo metu tai daro daugiabučių modernizavimą įgyvendinantys administratoriai). Administratorius skolintųsi </w:t>
      </w:r>
      <w:r>
        <w:rPr>
          <w:rFonts w:ascii="Georgia" w:hAnsi="Georgia"/>
          <w:sz w:val="20"/>
          <w:szCs w:val="20"/>
          <w:lang w:val="lt-LT"/>
        </w:rPr>
        <w:t>s</w:t>
      </w:r>
      <w:r w:rsidRPr="00760316">
        <w:rPr>
          <w:rFonts w:ascii="Georgia" w:hAnsi="Georgia"/>
          <w:sz w:val="20"/>
          <w:szCs w:val="20"/>
          <w:lang w:val="lt-LT"/>
        </w:rPr>
        <w:t xml:space="preserve">avivaldybės vardu ir jos naudai (t. y. analogiškai kaip </w:t>
      </w:r>
      <w:r>
        <w:rPr>
          <w:rFonts w:ascii="Georgia" w:hAnsi="Georgia"/>
          <w:sz w:val="20"/>
          <w:szCs w:val="20"/>
          <w:lang w:val="lt-LT"/>
        </w:rPr>
        <w:t>a</w:t>
      </w:r>
      <w:r w:rsidRPr="00760316">
        <w:rPr>
          <w:rFonts w:ascii="Georgia" w:hAnsi="Georgia"/>
          <w:sz w:val="20"/>
          <w:szCs w:val="20"/>
          <w:lang w:val="lt-LT"/>
        </w:rPr>
        <w:t xml:space="preserve">dministratorius veikia daugiabučių namų renovacijos programoje veikdamas butų savininkų vardu). Paskola administratoriaus apskaitoje būtų apskaitoma už balanso, o savivaldybė skolą (finansinį įsipareigojimą) </w:t>
      </w:r>
      <w:r>
        <w:rPr>
          <w:rFonts w:ascii="Georgia" w:hAnsi="Georgia"/>
          <w:sz w:val="20"/>
          <w:szCs w:val="20"/>
          <w:lang w:val="lt-LT"/>
        </w:rPr>
        <w:t>apskaitytų</w:t>
      </w:r>
      <w:r w:rsidRPr="00760316">
        <w:rPr>
          <w:rFonts w:ascii="Georgia" w:hAnsi="Georgia"/>
          <w:sz w:val="20"/>
          <w:szCs w:val="20"/>
          <w:lang w:val="lt-LT"/>
        </w:rPr>
        <w:t xml:space="preserve"> savo balanse pagal paskolos sutartį.</w:t>
      </w:r>
    </w:p>
    <w:p w14:paraId="345DE2C3" w14:textId="77777777" w:rsidR="002A576D" w:rsidRPr="00760316" w:rsidRDefault="002A576D" w:rsidP="002A576D">
      <w:pPr>
        <w:pStyle w:val="Sraopastraipa"/>
        <w:numPr>
          <w:ilvl w:val="0"/>
          <w:numId w:val="141"/>
        </w:numPr>
        <w:jc w:val="both"/>
        <w:rPr>
          <w:rFonts w:ascii="Georgia" w:hAnsi="Georgia"/>
          <w:sz w:val="20"/>
          <w:szCs w:val="20"/>
          <w:lang w:val="lt-LT"/>
        </w:rPr>
      </w:pPr>
      <w:r w:rsidRPr="00760316">
        <w:rPr>
          <w:rFonts w:ascii="Georgia" w:hAnsi="Georgia"/>
          <w:sz w:val="20"/>
          <w:szCs w:val="20"/>
          <w:lang w:val="lt-LT"/>
        </w:rPr>
        <w:t xml:space="preserve">Semi-ESCO, t.y. paraiškas finansavimui teikia ir projektus įgyvendina savivaldybės paskirtas administratorius (pvz. įmonė ar įstaiga, kuri šiuo metu jau administruoja </w:t>
      </w:r>
      <w:r w:rsidRPr="00760316">
        <w:rPr>
          <w:rFonts w:ascii="Georgia" w:hAnsi="Georgia"/>
          <w:sz w:val="20"/>
          <w:szCs w:val="20"/>
          <w:lang w:val="lt-LT"/>
        </w:rPr>
        <w:lastRenderedPageBreak/>
        <w:t>daugiabučių renovacijos projektus ar kita savivaldybės ar kelių savivaldybių įsteigta įmonė ar viešoji įstaiga, kurios pagrindinė funkcija būtų administruoti tiek savivaldybių pastatų renovacijos tiek kitus energinio efektyvumo projektus, pavyzdžiui, kvartalinę renovaciją). Tokie subjektai prisiima ESCO įmonių prisiimamas rizikas bei įsipareigojimus, o skola apskaitoma jos sąskaitoje. Dažnu atveju būtų išnaudojama jau turima sukaupta patirtis ir kompetencijos.</w:t>
      </w:r>
    </w:p>
    <w:p w14:paraId="10D13021" w14:textId="77777777" w:rsidR="002A576D" w:rsidRPr="00760316" w:rsidRDefault="002A576D" w:rsidP="002A576D">
      <w:pPr>
        <w:pStyle w:val="Sraopastraipa"/>
        <w:numPr>
          <w:ilvl w:val="0"/>
          <w:numId w:val="141"/>
        </w:numPr>
        <w:jc w:val="both"/>
        <w:rPr>
          <w:rFonts w:ascii="Georgia" w:hAnsi="Georgia"/>
          <w:sz w:val="20"/>
          <w:szCs w:val="20"/>
          <w:lang w:val="lt-LT"/>
        </w:rPr>
      </w:pPr>
      <w:r w:rsidRPr="00760316">
        <w:rPr>
          <w:rFonts w:ascii="Georgia" w:hAnsi="Georgia"/>
          <w:sz w:val="20"/>
          <w:szCs w:val="20"/>
          <w:lang w:val="lt-LT"/>
        </w:rPr>
        <w:t xml:space="preserve">ESCO </w:t>
      </w:r>
      <w:r>
        <w:rPr>
          <w:rFonts w:ascii="Georgia" w:hAnsi="Georgia"/>
          <w:sz w:val="20"/>
          <w:szCs w:val="20"/>
          <w:lang w:val="lt-LT"/>
        </w:rPr>
        <w:t>įmonės</w:t>
      </w:r>
      <w:r w:rsidRPr="00760316">
        <w:rPr>
          <w:rFonts w:ascii="Georgia" w:hAnsi="Georgia"/>
          <w:sz w:val="20"/>
          <w:szCs w:val="20"/>
          <w:lang w:val="lt-LT"/>
        </w:rPr>
        <w:t xml:space="preserve">, t.y. paraiškas finansavimui teikia ir projektus įgyvendina viešųjų pirkimų būdu parinktos privačios ESCO įmonės, t. y. jos renovuoja pastatus bei teikia </w:t>
      </w:r>
      <w:r>
        <w:rPr>
          <w:rFonts w:ascii="Georgia" w:hAnsi="Georgia"/>
          <w:sz w:val="20"/>
          <w:szCs w:val="20"/>
          <w:lang w:val="lt-LT"/>
        </w:rPr>
        <w:t>energijos</w:t>
      </w:r>
      <w:r w:rsidRPr="00760316">
        <w:rPr>
          <w:rFonts w:ascii="Georgia" w:hAnsi="Georgia"/>
          <w:sz w:val="20"/>
          <w:szCs w:val="20"/>
          <w:lang w:val="lt-LT"/>
        </w:rPr>
        <w:t xml:space="preserve"> ūkio priežiūros, energijos </w:t>
      </w:r>
      <w:r>
        <w:rPr>
          <w:rFonts w:ascii="Georgia" w:hAnsi="Georgia"/>
          <w:sz w:val="20"/>
          <w:szCs w:val="20"/>
          <w:lang w:val="lt-LT"/>
        </w:rPr>
        <w:t>taupymo</w:t>
      </w:r>
      <w:r w:rsidRPr="00760316">
        <w:rPr>
          <w:rFonts w:ascii="Georgia" w:hAnsi="Georgia"/>
          <w:sz w:val="20"/>
          <w:szCs w:val="20"/>
          <w:lang w:val="lt-LT"/>
        </w:rPr>
        <w:t xml:space="preserve"> paslaugas. ESCO įmonė nėra kontroliuojama savivaldybės ar kaip nors kitaip susijusi su savivaldybe. </w:t>
      </w:r>
    </w:p>
    <w:p w14:paraId="44301AEF" w14:textId="77777777" w:rsidR="002A576D" w:rsidRPr="00D9133B" w:rsidRDefault="002A576D" w:rsidP="002A576D">
      <w:pPr>
        <w:pStyle w:val="prastasis1"/>
        <w:jc w:val="both"/>
        <w:rPr>
          <w:rFonts w:ascii="Georgia" w:hAnsi="Georgia"/>
          <w:sz w:val="20"/>
          <w:szCs w:val="20"/>
        </w:rPr>
      </w:pPr>
      <w:r>
        <w:rPr>
          <w:rFonts w:ascii="Georgia" w:hAnsi="Georgia"/>
          <w:sz w:val="20"/>
          <w:szCs w:val="20"/>
        </w:rPr>
        <w:t>A</w:t>
      </w:r>
      <w:r w:rsidRPr="00105B94">
        <w:rPr>
          <w:rFonts w:ascii="Georgia" w:hAnsi="Georgia"/>
          <w:sz w:val="20"/>
          <w:szCs w:val="20"/>
        </w:rPr>
        <w:t>tkreiptinas dėmesys,</w:t>
      </w:r>
      <w:r>
        <w:rPr>
          <w:rFonts w:ascii="Georgia" w:hAnsi="Georgia"/>
          <w:sz w:val="20"/>
          <w:szCs w:val="20"/>
        </w:rPr>
        <w:t xml:space="preserve"> kad nepriklausomai nuo to, kas bus projekto vykdytojas,</w:t>
      </w:r>
      <w:r w:rsidRPr="00105B94">
        <w:rPr>
          <w:rFonts w:ascii="Georgia" w:hAnsi="Georgia"/>
          <w:sz w:val="20"/>
          <w:szCs w:val="20"/>
        </w:rPr>
        <w:t xml:space="preserve"> galutinė projekto nauda ir rezultatai didžiąja dalimi atitenka savivaldybėms. </w:t>
      </w:r>
      <w:r>
        <w:rPr>
          <w:rFonts w:ascii="Georgia" w:hAnsi="Georgia"/>
          <w:sz w:val="20"/>
          <w:szCs w:val="20"/>
        </w:rPr>
        <w:t>Į</w:t>
      </w:r>
      <w:r w:rsidRPr="00105B94">
        <w:rPr>
          <w:rFonts w:ascii="Georgia" w:hAnsi="Georgia"/>
          <w:sz w:val="20"/>
          <w:szCs w:val="20"/>
        </w:rPr>
        <w:t>gyvendinus projektus,</w:t>
      </w:r>
      <w:r>
        <w:rPr>
          <w:rFonts w:ascii="Georgia" w:hAnsi="Georgia"/>
          <w:sz w:val="20"/>
          <w:szCs w:val="20"/>
        </w:rPr>
        <w:t xml:space="preserve"> savivaldybės</w:t>
      </w:r>
      <w:r w:rsidRPr="00105B94">
        <w:rPr>
          <w:rFonts w:ascii="Georgia" w:hAnsi="Georgia"/>
          <w:sz w:val="20"/>
          <w:szCs w:val="20"/>
        </w:rPr>
        <w:t xml:space="preserve"> turės energetiškai efektyvius, komfortiškai modernizuotus pastatus </w:t>
      </w:r>
      <w:r>
        <w:rPr>
          <w:rFonts w:ascii="Georgia" w:hAnsi="Georgia"/>
          <w:sz w:val="20"/>
          <w:szCs w:val="20"/>
        </w:rPr>
        <w:t>bei</w:t>
      </w:r>
      <w:r w:rsidRPr="00105B94">
        <w:rPr>
          <w:rFonts w:ascii="Georgia" w:hAnsi="Georgia"/>
          <w:sz w:val="20"/>
          <w:szCs w:val="20"/>
        </w:rPr>
        <w:t xml:space="preserve"> daug mažesnes energijos sąnaudas.</w:t>
      </w:r>
    </w:p>
    <w:p w14:paraId="04861E77" w14:textId="77777777" w:rsidR="002A576D" w:rsidRDefault="002A576D" w:rsidP="002A576D">
      <w:pPr>
        <w:pStyle w:val="prastasis1"/>
        <w:spacing w:line="276" w:lineRule="auto"/>
        <w:jc w:val="both"/>
        <w:rPr>
          <w:rFonts w:ascii="Georgia" w:hAnsi="Georgia"/>
          <w:sz w:val="20"/>
          <w:szCs w:val="20"/>
        </w:rPr>
      </w:pPr>
      <w:r w:rsidRPr="00105B94">
        <w:rPr>
          <w:rFonts w:ascii="Georgia" w:hAnsi="Georgia"/>
          <w:sz w:val="20"/>
          <w:szCs w:val="20"/>
        </w:rPr>
        <w:t xml:space="preserve">Pažymėtina, kad siekiant užtikrinti </w:t>
      </w:r>
      <w:r>
        <w:rPr>
          <w:rFonts w:ascii="Georgia" w:hAnsi="Georgia"/>
          <w:sz w:val="20"/>
          <w:szCs w:val="20"/>
        </w:rPr>
        <w:t xml:space="preserve">didžiausių bendrų energijos efektyvumo rodiklių pasiekimą bei </w:t>
      </w:r>
      <w:r w:rsidRPr="00105B94">
        <w:rPr>
          <w:rFonts w:ascii="Georgia" w:hAnsi="Georgia"/>
          <w:sz w:val="20"/>
          <w:szCs w:val="20"/>
        </w:rPr>
        <w:t>finansinės priemonės darną su Veiksmų programos siektinais tikslais, prioritetas turėtų būti</w:t>
      </w:r>
      <w:r>
        <w:rPr>
          <w:rFonts w:ascii="Georgia" w:hAnsi="Georgia"/>
          <w:sz w:val="20"/>
          <w:szCs w:val="20"/>
        </w:rPr>
        <w:t xml:space="preserve"> teikiamas</w:t>
      </w:r>
      <w:r w:rsidRPr="00105B94">
        <w:rPr>
          <w:rFonts w:ascii="Georgia" w:hAnsi="Georgia"/>
          <w:sz w:val="20"/>
          <w:szCs w:val="20"/>
        </w:rPr>
        <w:t xml:space="preserve"> </w:t>
      </w:r>
      <w:r>
        <w:rPr>
          <w:rFonts w:ascii="Georgia" w:hAnsi="Georgia"/>
          <w:sz w:val="20"/>
          <w:szCs w:val="20"/>
        </w:rPr>
        <w:t>mažiausiai efektyviems pastatams modernizuoti.</w:t>
      </w:r>
    </w:p>
    <w:p w14:paraId="284B7454" w14:textId="77777777" w:rsidR="00B80731" w:rsidRPr="00760316" w:rsidRDefault="00B80731" w:rsidP="00B80731">
      <w:pPr>
        <w:jc w:val="both"/>
        <w:rPr>
          <w:rFonts w:ascii="Georgia" w:eastAsia="Times New Roman" w:hAnsi="Georgia" w:cs="Times New Roman"/>
          <w:b/>
          <w:sz w:val="20"/>
          <w:szCs w:val="20"/>
          <w:lang w:val="lt-LT" w:eastAsia="lt-LT"/>
        </w:rPr>
      </w:pPr>
      <w:r w:rsidRPr="00760316">
        <w:rPr>
          <w:rFonts w:ascii="Georgia" w:eastAsia="Times New Roman" w:hAnsi="Georgia" w:cs="Times New Roman"/>
          <w:b/>
          <w:sz w:val="20"/>
          <w:szCs w:val="20"/>
          <w:lang w:val="lt-LT" w:eastAsia="lt-LT"/>
        </w:rPr>
        <w:t>Rekomenduojami teisės aktų pakeitimai</w:t>
      </w:r>
    </w:p>
    <w:p w14:paraId="71BA7DB9" w14:textId="77777777" w:rsidR="00B80731" w:rsidRPr="00760316" w:rsidRDefault="003E3A3B" w:rsidP="00B80731">
      <w:pPr>
        <w:jc w:val="both"/>
        <w:rPr>
          <w:rFonts w:ascii="Georgia" w:hAnsi="Georgia"/>
          <w:sz w:val="20"/>
          <w:lang w:val="lt-LT"/>
        </w:rPr>
      </w:pPr>
      <w:r>
        <w:rPr>
          <w:rFonts w:ascii="Georgia" w:hAnsi="Georgia"/>
          <w:sz w:val="20"/>
          <w:lang w:val="lt-LT"/>
        </w:rPr>
        <w:t>Siekiant tinkamai atlikti savivaldybių viešųjų pastatų modernizavimo analizę, buvo atlikta detali teisinė analizė, apimanti savivaldybių skolinimosi teisės aktų nuostatas, buvo identifikuotos galimybės tobulinti teisinę bazę efektyviam projektų įgyvendinimui. Teisinės analizės metu buvo parengtos rekomendacijos, reikalingos s</w:t>
      </w:r>
      <w:r w:rsidR="00B80731" w:rsidRPr="00760316">
        <w:rPr>
          <w:rFonts w:ascii="Georgia" w:hAnsi="Georgia"/>
          <w:sz w:val="20"/>
          <w:lang w:val="lt-LT"/>
        </w:rPr>
        <w:t>iekiant užtikrinti sklandų savivaldybių pastatų renovacijos procesą</w:t>
      </w:r>
      <w:r>
        <w:rPr>
          <w:rFonts w:ascii="Georgia" w:hAnsi="Georgia"/>
          <w:sz w:val="20"/>
          <w:lang w:val="lt-LT"/>
        </w:rPr>
        <w:t xml:space="preserve">. Rekomenduojamų teisės aktų pakeitimų sąrašas pateikiamas </w:t>
      </w:r>
      <w:r w:rsidR="00B80731" w:rsidRPr="00760316">
        <w:rPr>
          <w:rFonts w:ascii="Georgia" w:hAnsi="Georgia"/>
          <w:sz w:val="20"/>
          <w:lang w:val="lt-LT"/>
        </w:rPr>
        <w:t>žemiau esančioje lentelėje</w:t>
      </w:r>
      <w:r w:rsidR="00B80731">
        <w:rPr>
          <w:rFonts w:ascii="Georgia" w:hAnsi="Georgia"/>
          <w:sz w:val="20"/>
          <w:lang w:val="lt-LT"/>
        </w:rPr>
        <w:t>.</w:t>
      </w:r>
    </w:p>
    <w:p w14:paraId="1A761FCA" w14:textId="51F16B07" w:rsidR="00B80731" w:rsidRPr="00760316" w:rsidRDefault="003E3A3B" w:rsidP="00DA65C2">
      <w:pPr>
        <w:pStyle w:val="Antrat"/>
        <w:rPr>
          <w:lang w:val="lt-LT"/>
        </w:rPr>
      </w:pPr>
      <w:bookmarkStart w:id="416" w:name="_Toc460321746"/>
      <w:r>
        <w:t xml:space="preserve">Lentelė </w:t>
      </w:r>
      <w:r>
        <w:fldChar w:fldCharType="begin"/>
      </w:r>
      <w:r>
        <w:instrText xml:space="preserve"> SEQ Lentelė \* ARABIC </w:instrText>
      </w:r>
      <w:r>
        <w:fldChar w:fldCharType="separate"/>
      </w:r>
      <w:r w:rsidR="00AA3082">
        <w:rPr>
          <w:noProof/>
        </w:rPr>
        <w:t>165</w:t>
      </w:r>
      <w:r>
        <w:fldChar w:fldCharType="end"/>
      </w:r>
      <w:r>
        <w:t>. Rekomenduojamų teisės aktų pakeitimų sąrašas savivaldybių viešųjų pastatų modernizavimo finansinės priemonės įgyvendinimui.</w:t>
      </w:r>
      <w:bookmarkEnd w:id="416"/>
      <w:r>
        <w:t xml:space="preserve"> </w:t>
      </w:r>
    </w:p>
    <w:tbl>
      <w:tblPr>
        <w:tblStyle w:val="viesussraas2parykinimas"/>
        <w:tblW w:w="5000" w:type="pct"/>
        <w:tblLook w:val="04A0" w:firstRow="1" w:lastRow="0" w:firstColumn="1" w:lastColumn="0" w:noHBand="0" w:noVBand="1"/>
      </w:tblPr>
      <w:tblGrid>
        <w:gridCol w:w="529"/>
        <w:gridCol w:w="3706"/>
        <w:gridCol w:w="5008"/>
      </w:tblGrid>
      <w:tr w:rsidR="00B80731" w:rsidRPr="00CA0B2F" w14:paraId="34413395" w14:textId="77777777" w:rsidTr="002F60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Pr>
          <w:p w14:paraId="40AE4C58" w14:textId="77777777" w:rsidR="00B80731" w:rsidRPr="00CA0B2F" w:rsidRDefault="00B80731" w:rsidP="002F60CA">
            <w:pPr>
              <w:spacing w:before="60" w:after="60"/>
              <w:jc w:val="center"/>
              <w:rPr>
                <w:rFonts w:ascii="Georgia" w:hAnsi="Georgia"/>
                <w:b w:val="0"/>
                <w:sz w:val="18"/>
              </w:rPr>
            </w:pPr>
            <w:r w:rsidRPr="00CA0B2F">
              <w:rPr>
                <w:rFonts w:ascii="Georgia" w:hAnsi="Georgia"/>
                <w:sz w:val="18"/>
              </w:rPr>
              <w:t>Nr.</w:t>
            </w:r>
          </w:p>
        </w:tc>
        <w:tc>
          <w:tcPr>
            <w:tcW w:w="2005" w:type="pct"/>
          </w:tcPr>
          <w:p w14:paraId="79B39C24" w14:textId="77777777" w:rsidR="00B80731" w:rsidRPr="00CA0B2F" w:rsidRDefault="00B80731" w:rsidP="002F60CA">
            <w:pPr>
              <w:spacing w:before="60" w:after="60"/>
              <w:jc w:val="center"/>
              <w:cnfStyle w:val="100000000000" w:firstRow="1" w:lastRow="0" w:firstColumn="0" w:lastColumn="0" w:oddVBand="0" w:evenVBand="0" w:oddHBand="0" w:evenHBand="0" w:firstRowFirstColumn="0" w:firstRowLastColumn="0" w:lastRowFirstColumn="0" w:lastRowLastColumn="0"/>
              <w:rPr>
                <w:rFonts w:ascii="Georgia" w:hAnsi="Georgia"/>
                <w:b w:val="0"/>
                <w:sz w:val="18"/>
              </w:rPr>
            </w:pPr>
            <w:r w:rsidRPr="00CA0B2F">
              <w:rPr>
                <w:rFonts w:ascii="Georgia" w:hAnsi="Georgia"/>
                <w:sz w:val="18"/>
              </w:rPr>
              <w:t>Teisės aktas</w:t>
            </w:r>
          </w:p>
        </w:tc>
        <w:tc>
          <w:tcPr>
            <w:tcW w:w="2709" w:type="pct"/>
          </w:tcPr>
          <w:p w14:paraId="7A79F88D" w14:textId="77777777" w:rsidR="00B80731" w:rsidRPr="00CA0B2F" w:rsidRDefault="00B80731" w:rsidP="002F60CA">
            <w:pPr>
              <w:spacing w:before="60" w:after="60"/>
              <w:jc w:val="center"/>
              <w:cnfStyle w:val="100000000000" w:firstRow="1" w:lastRow="0" w:firstColumn="0" w:lastColumn="0" w:oddVBand="0" w:evenVBand="0" w:oddHBand="0" w:evenHBand="0" w:firstRowFirstColumn="0" w:firstRowLastColumn="0" w:lastRowFirstColumn="0" w:lastRowLastColumn="0"/>
              <w:rPr>
                <w:rFonts w:ascii="Georgia" w:hAnsi="Georgia"/>
                <w:b w:val="0"/>
                <w:sz w:val="18"/>
              </w:rPr>
            </w:pPr>
            <w:r w:rsidRPr="00CA0B2F">
              <w:rPr>
                <w:rFonts w:ascii="Georgia" w:hAnsi="Georgia"/>
                <w:sz w:val="18"/>
              </w:rPr>
              <w:t>Siūlomo pakeitimo turinys</w:t>
            </w:r>
          </w:p>
        </w:tc>
      </w:tr>
      <w:tr w:rsidR="00B80731" w:rsidRPr="00CA0B2F" w14:paraId="6451B8DA" w14:textId="77777777" w:rsidTr="002F6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F2F2F2" w:themeFill="background1" w:themeFillShade="F2"/>
          </w:tcPr>
          <w:p w14:paraId="4464A66F" w14:textId="77777777" w:rsidR="00B80731" w:rsidRPr="00CA0B2F" w:rsidRDefault="00B80731" w:rsidP="002F60CA">
            <w:pPr>
              <w:spacing w:before="60" w:after="60"/>
              <w:jc w:val="both"/>
              <w:rPr>
                <w:rFonts w:ascii="Georgia" w:hAnsi="Georgia"/>
                <w:b w:val="0"/>
                <w:i/>
                <w:sz w:val="18"/>
              </w:rPr>
            </w:pPr>
            <w:r w:rsidRPr="00CA0B2F">
              <w:rPr>
                <w:rFonts w:ascii="Georgia" w:hAnsi="Georgia"/>
                <w:i/>
                <w:sz w:val="18"/>
              </w:rPr>
              <w:t>Siūlomi keisti teisės aktai</w:t>
            </w:r>
          </w:p>
        </w:tc>
      </w:tr>
      <w:tr w:rsidR="00B80731" w:rsidRPr="00CA0B2F" w14:paraId="6AD4FD8A" w14:textId="77777777" w:rsidTr="002F60CA">
        <w:tc>
          <w:tcPr>
            <w:cnfStyle w:val="001000000000" w:firstRow="0" w:lastRow="0" w:firstColumn="1" w:lastColumn="0" w:oddVBand="0" w:evenVBand="0" w:oddHBand="0" w:evenHBand="0" w:firstRowFirstColumn="0" w:firstRowLastColumn="0" w:lastRowFirstColumn="0" w:lastRowLastColumn="0"/>
            <w:tcW w:w="286" w:type="pct"/>
          </w:tcPr>
          <w:p w14:paraId="2E2D7CCE" w14:textId="77777777" w:rsidR="00B80731" w:rsidRPr="00CA0B2F" w:rsidRDefault="00B80731" w:rsidP="002F60CA">
            <w:pPr>
              <w:pStyle w:val="Sraopastraipa"/>
              <w:numPr>
                <w:ilvl w:val="0"/>
                <w:numId w:val="137"/>
              </w:numPr>
              <w:spacing w:before="60" w:after="60"/>
              <w:ind w:left="284" w:hanging="218"/>
              <w:contextualSpacing w:val="0"/>
              <w:jc w:val="both"/>
              <w:rPr>
                <w:rFonts w:ascii="Georgia" w:hAnsi="Georgia"/>
                <w:sz w:val="18"/>
              </w:rPr>
            </w:pPr>
          </w:p>
        </w:tc>
        <w:tc>
          <w:tcPr>
            <w:tcW w:w="2005" w:type="pct"/>
          </w:tcPr>
          <w:p w14:paraId="2219BD1C" w14:textId="68B21B1D" w:rsidR="00B80731" w:rsidRPr="00CA0B2F" w:rsidRDefault="00B80731" w:rsidP="002F60CA">
            <w:pPr>
              <w:spacing w:before="60" w:after="60"/>
              <w:jc w:val="both"/>
              <w:cnfStyle w:val="000000000000" w:firstRow="0" w:lastRow="0" w:firstColumn="0" w:lastColumn="0" w:oddVBand="0" w:evenVBand="0" w:oddHBand="0" w:evenHBand="0" w:firstRowFirstColumn="0" w:firstRowLastColumn="0" w:lastRowFirstColumn="0" w:lastRowLastColumn="0"/>
              <w:rPr>
                <w:rFonts w:ascii="Georgia" w:hAnsi="Georgia"/>
                <w:sz w:val="18"/>
              </w:rPr>
            </w:pPr>
            <w:r w:rsidRPr="00CA0B2F">
              <w:rPr>
                <w:rFonts w:ascii="Georgia" w:hAnsi="Georgia"/>
                <w:i/>
                <w:sz w:val="18"/>
              </w:rPr>
              <w:t>Biudžeto sandaros įstatymas</w:t>
            </w:r>
            <w:r w:rsidRPr="00CA0B2F">
              <w:rPr>
                <w:rFonts w:ascii="Georgia" w:hAnsi="Georgia"/>
                <w:sz w:val="18"/>
              </w:rPr>
              <w:t xml:space="preserve"> (Valstybės žinios, 1990, Nr. 24-596; 2004, Nr. 4-47)</w:t>
            </w:r>
          </w:p>
          <w:p w14:paraId="50789F95" w14:textId="77777777" w:rsidR="00B80731" w:rsidRPr="00CA0B2F" w:rsidRDefault="00B80731" w:rsidP="002F60CA">
            <w:pPr>
              <w:spacing w:before="60" w:after="60"/>
              <w:jc w:val="both"/>
              <w:cnfStyle w:val="000000000000" w:firstRow="0" w:lastRow="0" w:firstColumn="0" w:lastColumn="0" w:oddVBand="0" w:evenVBand="0" w:oddHBand="0" w:evenHBand="0" w:firstRowFirstColumn="0" w:firstRowLastColumn="0" w:lastRowFirstColumn="0" w:lastRowLastColumn="0"/>
              <w:rPr>
                <w:rFonts w:ascii="Georgia" w:hAnsi="Georgia"/>
                <w:sz w:val="18"/>
              </w:rPr>
            </w:pPr>
          </w:p>
          <w:p w14:paraId="3E8EEAC0" w14:textId="77777777" w:rsidR="00B80731" w:rsidRPr="00CA0B2F" w:rsidRDefault="00B80731" w:rsidP="002F60CA">
            <w:pPr>
              <w:spacing w:before="60" w:after="60"/>
              <w:jc w:val="both"/>
              <w:cnfStyle w:val="000000000000" w:firstRow="0" w:lastRow="0" w:firstColumn="0" w:lastColumn="0" w:oddVBand="0" w:evenVBand="0" w:oddHBand="0" w:evenHBand="0" w:firstRowFirstColumn="0" w:firstRowLastColumn="0" w:lastRowFirstColumn="0" w:lastRowLastColumn="0"/>
              <w:rPr>
                <w:rFonts w:ascii="Georgia" w:hAnsi="Georgia"/>
                <w:i/>
                <w:sz w:val="18"/>
              </w:rPr>
            </w:pPr>
            <w:r w:rsidRPr="00CA0B2F">
              <w:rPr>
                <w:rFonts w:ascii="Georgia" w:hAnsi="Georgia"/>
                <w:b/>
                <w:sz w:val="18"/>
                <w:u w:val="single"/>
              </w:rPr>
              <w:t>Pastaba</w:t>
            </w:r>
            <w:r w:rsidRPr="00CA0B2F">
              <w:rPr>
                <w:rFonts w:ascii="Georgia" w:hAnsi="Georgia"/>
                <w:sz w:val="18"/>
              </w:rPr>
              <w:t xml:space="preserve">: Siūloma keisti Biudžeto sandaros įstatymą, o ne įtvirtinti išimtį Finansinių rodiklių patvirtinimo įstatyme (kaip tai numatyta įgyvendinant projektus su ES struktūrinių fondų pagalba), kuris priimamas kiekvienais metais, tam kad būtų užtikrintas ilgalaikis įsipareigojimas, neįtraukti į skolą energinio efektyvumo didinimui finansuoti imamų paskolų, kurios grąžinamos sutaupymų sąskaita. </w:t>
            </w:r>
          </w:p>
        </w:tc>
        <w:tc>
          <w:tcPr>
            <w:tcW w:w="2709" w:type="pct"/>
          </w:tcPr>
          <w:p w14:paraId="0BD09681" w14:textId="77777777" w:rsidR="00B80731" w:rsidRPr="00CA0B2F" w:rsidRDefault="00B80731" w:rsidP="002F60CA">
            <w:pPr>
              <w:spacing w:before="60" w:after="60"/>
              <w:jc w:val="both"/>
              <w:cnfStyle w:val="000000000000" w:firstRow="0" w:lastRow="0" w:firstColumn="0" w:lastColumn="0" w:oddVBand="0" w:evenVBand="0" w:oddHBand="0" w:evenHBand="0" w:firstRowFirstColumn="0" w:firstRowLastColumn="0" w:lastRowFirstColumn="0" w:lastRowLastColumn="0"/>
              <w:rPr>
                <w:rFonts w:ascii="Georgia" w:hAnsi="Georgia"/>
                <w:sz w:val="18"/>
              </w:rPr>
            </w:pPr>
            <w:r w:rsidRPr="00CA0B2F">
              <w:rPr>
                <w:rFonts w:ascii="Georgia" w:hAnsi="Georgia"/>
                <w:sz w:val="18"/>
              </w:rPr>
              <w:t>Pakeitimai turi numatyti galimybę įgyvendinus energinio efektyvumo projektus sutaupytų asignavimų negrąžinti į biudžetą bei juos toliau naudoti investicijų į energetinio efektyvumo projektus grąžai. Siūloma:</w:t>
            </w:r>
          </w:p>
          <w:p w14:paraId="5C2A82AB" w14:textId="77777777" w:rsidR="00B80731" w:rsidRPr="00CA0B2F" w:rsidRDefault="00B80731" w:rsidP="002F60CA">
            <w:pPr>
              <w:pStyle w:val="Sraopastraipa"/>
              <w:numPr>
                <w:ilvl w:val="0"/>
                <w:numId w:val="138"/>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rFonts w:ascii="Georgia" w:hAnsi="Georgia"/>
                <w:sz w:val="18"/>
              </w:rPr>
            </w:pPr>
            <w:r w:rsidRPr="00CA0B2F">
              <w:rPr>
                <w:rFonts w:ascii="Georgia" w:hAnsi="Georgia"/>
                <w:sz w:val="18"/>
              </w:rPr>
              <w:t>numatyti išimtį, kad skolinimasis energinio efektyvumo didinimui nebūtų įtraukiamas į savivaldybių bendruosius skolinimosi limitus, jeigu paskolos grąžinamos energijos sutaupymų sąskaita.</w:t>
            </w:r>
          </w:p>
          <w:p w14:paraId="65E3AF9D" w14:textId="77777777" w:rsidR="00B80731" w:rsidRPr="00CA0B2F" w:rsidRDefault="00B80731" w:rsidP="002F60CA">
            <w:pPr>
              <w:pStyle w:val="Sraopastraipa"/>
              <w:numPr>
                <w:ilvl w:val="0"/>
                <w:numId w:val="138"/>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rFonts w:ascii="Georgia" w:hAnsi="Georgia"/>
                <w:sz w:val="18"/>
              </w:rPr>
            </w:pPr>
            <w:r w:rsidRPr="00CA0B2F">
              <w:rPr>
                <w:rFonts w:ascii="Georgia" w:hAnsi="Georgia"/>
                <w:sz w:val="18"/>
              </w:rPr>
              <w:t>į biudžetą negražinamų lėšų sąrašą įtraukti ne tik pajamas bet ir numatomus sutaupymus, t. y. kad programa galėtų būti finansuojama iš sutaupymų – „konkrečios valstybės biudžeto arba savivaldybės biudžeto pajamų ar sutaupymų</w:t>
            </w:r>
            <w:r w:rsidRPr="00CA0B2F">
              <w:rPr>
                <w:rFonts w:ascii="Georgia" w:hAnsi="Georgia"/>
                <w:b/>
                <w:sz w:val="18"/>
              </w:rPr>
              <w:t xml:space="preserve"> </w:t>
            </w:r>
            <w:r w:rsidRPr="00CA0B2F">
              <w:rPr>
                <w:rFonts w:ascii="Georgia" w:hAnsi="Georgia"/>
                <w:sz w:val="18"/>
              </w:rPr>
              <w:t>dalies, kurios panaudojimo apimtis ir paskirtis nurodyta įstatyme, Vyriausybės nutarime ar savivaldybės tarybos sprendime“ (dėl formuluotės reikia papildomų diskusijų).</w:t>
            </w:r>
          </w:p>
        </w:tc>
      </w:tr>
      <w:tr w:rsidR="00B80731" w:rsidRPr="00CA0B2F" w14:paraId="48AE4297" w14:textId="77777777" w:rsidTr="002F6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Pr>
          <w:p w14:paraId="080F795E" w14:textId="77777777" w:rsidR="00B80731" w:rsidRPr="00CA0B2F" w:rsidRDefault="00B80731" w:rsidP="002F60CA">
            <w:pPr>
              <w:pStyle w:val="Sraopastraipa"/>
              <w:numPr>
                <w:ilvl w:val="0"/>
                <w:numId w:val="137"/>
              </w:numPr>
              <w:spacing w:before="60" w:after="60"/>
              <w:ind w:left="284" w:hanging="218"/>
              <w:contextualSpacing w:val="0"/>
              <w:jc w:val="both"/>
              <w:rPr>
                <w:rFonts w:ascii="Georgia" w:hAnsi="Georgia"/>
                <w:sz w:val="18"/>
              </w:rPr>
            </w:pPr>
          </w:p>
        </w:tc>
        <w:tc>
          <w:tcPr>
            <w:tcW w:w="2005" w:type="pct"/>
          </w:tcPr>
          <w:p w14:paraId="54AFC3B8" w14:textId="77777777" w:rsidR="00B80731" w:rsidRPr="00CA0B2F" w:rsidRDefault="00B80731" w:rsidP="002F60CA">
            <w:pPr>
              <w:spacing w:before="60" w:after="60"/>
              <w:jc w:val="both"/>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sidRPr="00CA0B2F">
              <w:rPr>
                <w:rFonts w:ascii="Georgia" w:hAnsi="Georgia"/>
                <w:i/>
                <w:sz w:val="18"/>
                <w:szCs w:val="18"/>
              </w:rPr>
              <w:t>Energijos efektyvumo įstatymo projektas</w:t>
            </w:r>
            <w:r w:rsidRPr="00CA0B2F">
              <w:rPr>
                <w:rFonts w:ascii="Georgia" w:hAnsi="Georgia"/>
                <w:sz w:val="18"/>
                <w:szCs w:val="18"/>
              </w:rPr>
              <w:t xml:space="preserve"> Nr. 14-3912</w:t>
            </w:r>
          </w:p>
          <w:p w14:paraId="75F44900" w14:textId="77777777" w:rsidR="00B80731" w:rsidRPr="00CA0B2F" w:rsidRDefault="00B80731" w:rsidP="002F60CA">
            <w:pPr>
              <w:spacing w:before="60" w:after="60"/>
              <w:jc w:val="both"/>
              <w:cnfStyle w:val="000000100000" w:firstRow="0" w:lastRow="0" w:firstColumn="0" w:lastColumn="0" w:oddVBand="0" w:evenVBand="0" w:oddHBand="1" w:evenHBand="0" w:firstRowFirstColumn="0" w:firstRowLastColumn="0" w:lastRowFirstColumn="0" w:lastRowLastColumn="0"/>
              <w:rPr>
                <w:rFonts w:ascii="Georgia" w:hAnsi="Georgia"/>
                <w:i/>
                <w:sz w:val="18"/>
              </w:rPr>
            </w:pPr>
          </w:p>
        </w:tc>
        <w:tc>
          <w:tcPr>
            <w:tcW w:w="2709" w:type="pct"/>
          </w:tcPr>
          <w:p w14:paraId="37A17911" w14:textId="77777777" w:rsidR="00B80731" w:rsidRPr="00CA0B2F" w:rsidRDefault="00B80731" w:rsidP="002F60CA">
            <w:pPr>
              <w:spacing w:before="60" w:after="60"/>
              <w:jc w:val="both"/>
              <w:cnfStyle w:val="000000100000" w:firstRow="0" w:lastRow="0" w:firstColumn="0" w:lastColumn="0" w:oddVBand="0" w:evenVBand="0" w:oddHBand="1" w:evenHBand="0" w:firstRowFirstColumn="0" w:firstRowLastColumn="0" w:lastRowFirstColumn="0" w:lastRowLastColumn="0"/>
              <w:rPr>
                <w:rFonts w:ascii="Georgia" w:hAnsi="Georgia"/>
                <w:sz w:val="18"/>
              </w:rPr>
            </w:pPr>
            <w:r w:rsidRPr="00CA0B2F">
              <w:rPr>
                <w:rFonts w:ascii="Georgia" w:hAnsi="Georgia"/>
                <w:sz w:val="18"/>
              </w:rPr>
              <w:t>Projektas papildomas įtraukiant savivaldybių viešuosius pastatus, bei numatant jiems energijos efektyvumo didinimo tikslus.</w:t>
            </w:r>
          </w:p>
        </w:tc>
      </w:tr>
      <w:tr w:rsidR="00B80731" w:rsidRPr="00CA0B2F" w14:paraId="6EF8F6AB" w14:textId="77777777" w:rsidTr="002F60CA">
        <w:tc>
          <w:tcPr>
            <w:cnfStyle w:val="001000000000" w:firstRow="0" w:lastRow="0" w:firstColumn="1" w:lastColumn="0" w:oddVBand="0" w:evenVBand="0" w:oddHBand="0" w:evenHBand="0" w:firstRowFirstColumn="0" w:firstRowLastColumn="0" w:lastRowFirstColumn="0" w:lastRowLastColumn="0"/>
            <w:tcW w:w="286" w:type="pct"/>
          </w:tcPr>
          <w:p w14:paraId="603D6449" w14:textId="77777777" w:rsidR="00B80731" w:rsidRPr="00CA0B2F" w:rsidRDefault="00B80731" w:rsidP="002F60CA">
            <w:pPr>
              <w:pStyle w:val="Sraopastraipa"/>
              <w:numPr>
                <w:ilvl w:val="0"/>
                <w:numId w:val="137"/>
              </w:numPr>
              <w:spacing w:before="60" w:after="60"/>
              <w:ind w:left="284" w:hanging="218"/>
              <w:contextualSpacing w:val="0"/>
              <w:jc w:val="both"/>
              <w:rPr>
                <w:rFonts w:ascii="Georgia" w:hAnsi="Georgia"/>
                <w:sz w:val="18"/>
              </w:rPr>
            </w:pPr>
          </w:p>
        </w:tc>
        <w:tc>
          <w:tcPr>
            <w:tcW w:w="2005" w:type="pct"/>
          </w:tcPr>
          <w:p w14:paraId="2E3D1EA9" w14:textId="13C71E73" w:rsidR="00B80731" w:rsidRPr="00CA0B2F" w:rsidRDefault="00B80731" w:rsidP="002F60CA">
            <w:pPr>
              <w:spacing w:before="60" w:after="60"/>
              <w:jc w:val="both"/>
              <w:cnfStyle w:val="000000000000" w:firstRow="0" w:lastRow="0" w:firstColumn="0" w:lastColumn="0" w:oddVBand="0" w:evenVBand="0" w:oddHBand="0" w:evenHBand="0" w:firstRowFirstColumn="0" w:firstRowLastColumn="0" w:lastRowFirstColumn="0" w:lastRowLastColumn="0"/>
              <w:rPr>
                <w:rFonts w:ascii="Georgia" w:hAnsi="Georgia"/>
                <w:i/>
                <w:sz w:val="18"/>
              </w:rPr>
            </w:pPr>
            <w:r w:rsidRPr="00CA0B2F">
              <w:rPr>
                <w:rFonts w:ascii="Georgia" w:hAnsi="Georgia"/>
                <w:i/>
                <w:sz w:val="18"/>
              </w:rPr>
              <w:t xml:space="preserve">Valstybės ir savivaldybių turto valdymo, naudojimo ir disponavimo juo įstatymas </w:t>
            </w:r>
            <w:r w:rsidRPr="00CA0B2F">
              <w:rPr>
                <w:rFonts w:ascii="Georgia" w:hAnsi="Georgia"/>
                <w:sz w:val="18"/>
              </w:rPr>
              <w:t>(Valstybės žinios, 1998, Nr. 54-1492; 2002, Nr. 60-2412)</w:t>
            </w:r>
          </w:p>
        </w:tc>
        <w:tc>
          <w:tcPr>
            <w:tcW w:w="2709" w:type="pct"/>
          </w:tcPr>
          <w:p w14:paraId="79CE0093" w14:textId="77777777" w:rsidR="00B80731" w:rsidRPr="00CA0B2F" w:rsidRDefault="00B80731" w:rsidP="002F60CA">
            <w:pPr>
              <w:spacing w:before="60" w:after="60"/>
              <w:jc w:val="both"/>
              <w:cnfStyle w:val="000000000000" w:firstRow="0" w:lastRow="0" w:firstColumn="0" w:lastColumn="0" w:oddVBand="0" w:evenVBand="0" w:oddHBand="0" w:evenHBand="0" w:firstRowFirstColumn="0" w:firstRowLastColumn="0" w:lastRowFirstColumn="0" w:lastRowLastColumn="0"/>
              <w:rPr>
                <w:rFonts w:ascii="Georgia" w:hAnsi="Georgia"/>
                <w:sz w:val="18"/>
              </w:rPr>
            </w:pPr>
            <w:r w:rsidRPr="00CA0B2F">
              <w:rPr>
                <w:rFonts w:ascii="Georgia" w:hAnsi="Georgia"/>
                <w:sz w:val="18"/>
              </w:rPr>
              <w:t xml:space="preserve">Išplėsti efektyvaus bei racionalaus valstybės ir savivaldybių nekilnojamojo turto valdymo apibrėžimą. Numatyti, savivaldybių nekilnojamojo turto atnaujinimo principus bei prievolę atnaujinti valstybei ar savivaldybėms priklausantį </w:t>
            </w:r>
            <w:r w:rsidRPr="00CA0B2F">
              <w:rPr>
                <w:rFonts w:ascii="Georgia" w:hAnsi="Georgia"/>
                <w:sz w:val="18"/>
              </w:rPr>
              <w:lastRenderedPageBreak/>
              <w:t>nekilnojamąjį turtą, kad būtų įgyvendinti bent minimalūs pastatų energinio naudingumo reikalavimai, nurodyti statybos įstatyme (bei apibrėžiant reikalavimus dėl įsipareigojimų, atnaujinimui finansuoti).</w:t>
            </w:r>
          </w:p>
        </w:tc>
      </w:tr>
      <w:tr w:rsidR="00B80731" w:rsidRPr="00CA0B2F" w14:paraId="768F2DBF" w14:textId="77777777" w:rsidTr="002F6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Pr>
          <w:p w14:paraId="601BF448" w14:textId="77777777" w:rsidR="00B80731" w:rsidRPr="00CA0B2F" w:rsidRDefault="00B80731" w:rsidP="002F60CA">
            <w:pPr>
              <w:pStyle w:val="Sraopastraipa"/>
              <w:numPr>
                <w:ilvl w:val="0"/>
                <w:numId w:val="137"/>
              </w:numPr>
              <w:spacing w:before="60" w:after="60"/>
              <w:ind w:left="284" w:hanging="218"/>
              <w:contextualSpacing w:val="0"/>
              <w:jc w:val="both"/>
              <w:rPr>
                <w:rFonts w:ascii="Georgia" w:hAnsi="Georgia"/>
                <w:sz w:val="18"/>
              </w:rPr>
            </w:pPr>
          </w:p>
        </w:tc>
        <w:tc>
          <w:tcPr>
            <w:tcW w:w="2005" w:type="pct"/>
          </w:tcPr>
          <w:p w14:paraId="2B77593B" w14:textId="77777777" w:rsidR="00B80731" w:rsidRPr="00CA0B2F" w:rsidRDefault="00B80731" w:rsidP="002F60CA">
            <w:pPr>
              <w:spacing w:before="60" w:after="60"/>
              <w:jc w:val="both"/>
              <w:cnfStyle w:val="000000100000" w:firstRow="0" w:lastRow="0" w:firstColumn="0" w:lastColumn="0" w:oddVBand="0" w:evenVBand="0" w:oddHBand="1" w:evenHBand="0" w:firstRowFirstColumn="0" w:firstRowLastColumn="0" w:lastRowFirstColumn="0" w:lastRowLastColumn="0"/>
              <w:rPr>
                <w:rFonts w:ascii="Georgia" w:hAnsi="Georgia"/>
                <w:i/>
                <w:sz w:val="18"/>
              </w:rPr>
            </w:pPr>
            <w:r w:rsidRPr="00CA0B2F">
              <w:rPr>
                <w:rFonts w:ascii="Georgia" w:hAnsi="Georgia"/>
                <w:i/>
                <w:sz w:val="18"/>
              </w:rPr>
              <w:t xml:space="preserve">Vietos savivaldos įstatymas </w:t>
            </w:r>
            <w:r w:rsidRPr="00CA0B2F">
              <w:rPr>
                <w:rFonts w:ascii="Georgia" w:hAnsi="Georgia"/>
                <w:sz w:val="18"/>
              </w:rPr>
              <w:t>(Valstybės žinios, 1994, Nr. 55-1049; 2008, Nr. 113-4290)</w:t>
            </w:r>
          </w:p>
        </w:tc>
        <w:tc>
          <w:tcPr>
            <w:tcW w:w="2709" w:type="pct"/>
          </w:tcPr>
          <w:p w14:paraId="1CA6F591" w14:textId="77777777" w:rsidR="00B80731" w:rsidRPr="00CA0B2F" w:rsidRDefault="00B80731" w:rsidP="002F60CA">
            <w:pPr>
              <w:spacing w:before="60" w:after="60"/>
              <w:jc w:val="both"/>
              <w:cnfStyle w:val="000000100000" w:firstRow="0" w:lastRow="0" w:firstColumn="0" w:lastColumn="0" w:oddVBand="0" w:evenVBand="0" w:oddHBand="1" w:evenHBand="0" w:firstRowFirstColumn="0" w:firstRowLastColumn="0" w:lastRowFirstColumn="0" w:lastRowLastColumn="0"/>
              <w:rPr>
                <w:rFonts w:ascii="Georgia" w:hAnsi="Georgia"/>
                <w:sz w:val="18"/>
              </w:rPr>
            </w:pPr>
            <w:r w:rsidRPr="00CA0B2F">
              <w:rPr>
                <w:rFonts w:ascii="Georgia" w:hAnsi="Georgia"/>
                <w:sz w:val="18"/>
              </w:rPr>
              <w:t>Pakeitimais siekiama sudaryti sąlygas savivaldybėms skolintis programų, generuojančių išlaidų sutaupymus (t. y. energinio efektyvumo programų), įgyvendinimui bei negrąžinti įgyvendinant energinio efektyvumo programas sutaupytų asignavimų į biudžetą. Siūloma:</w:t>
            </w:r>
          </w:p>
          <w:p w14:paraId="4C2779F1" w14:textId="77777777" w:rsidR="00B80731" w:rsidRPr="00CA0B2F" w:rsidRDefault="00B80731" w:rsidP="002F60CA">
            <w:pPr>
              <w:pStyle w:val="Sraopastraipa"/>
              <w:numPr>
                <w:ilvl w:val="0"/>
                <w:numId w:val="139"/>
              </w:numPr>
              <w:spacing w:before="60" w:after="60"/>
              <w:contextualSpacing w:val="0"/>
              <w:jc w:val="both"/>
              <w:cnfStyle w:val="000000100000" w:firstRow="0" w:lastRow="0" w:firstColumn="0" w:lastColumn="0" w:oddVBand="0" w:evenVBand="0" w:oddHBand="1" w:evenHBand="0" w:firstRowFirstColumn="0" w:firstRowLastColumn="0" w:lastRowFirstColumn="0" w:lastRowLastColumn="0"/>
              <w:rPr>
                <w:rFonts w:ascii="Georgia" w:hAnsi="Georgia"/>
                <w:sz w:val="18"/>
              </w:rPr>
            </w:pPr>
            <w:r w:rsidRPr="00CA0B2F">
              <w:rPr>
                <w:rFonts w:ascii="Georgia" w:hAnsi="Georgia"/>
                <w:sz w:val="18"/>
              </w:rPr>
              <w:t>numatyti savivaldybės tarybai teisę priimti sprendimus dėl paskolų ėmimo energijos efektyvumo didinimo projektams įgyvendinti, pagal energinio efektyvumo didinimo programas.</w:t>
            </w:r>
          </w:p>
          <w:p w14:paraId="217DEA38" w14:textId="77777777" w:rsidR="00B80731" w:rsidRPr="00CA0B2F" w:rsidRDefault="00B80731" w:rsidP="002F60CA">
            <w:pPr>
              <w:pStyle w:val="Sraopastraipa"/>
              <w:numPr>
                <w:ilvl w:val="0"/>
                <w:numId w:val="139"/>
              </w:numPr>
              <w:spacing w:before="60" w:after="60"/>
              <w:contextualSpacing w:val="0"/>
              <w:jc w:val="both"/>
              <w:cnfStyle w:val="000000100000" w:firstRow="0" w:lastRow="0" w:firstColumn="0" w:lastColumn="0" w:oddVBand="0" w:evenVBand="0" w:oddHBand="1" w:evenHBand="0" w:firstRowFirstColumn="0" w:firstRowLastColumn="0" w:lastRowFirstColumn="0" w:lastRowLastColumn="0"/>
              <w:rPr>
                <w:rFonts w:ascii="Georgia" w:hAnsi="Georgia"/>
                <w:sz w:val="18"/>
              </w:rPr>
            </w:pPr>
            <w:r w:rsidRPr="00CA0B2F">
              <w:rPr>
                <w:rFonts w:ascii="Georgia" w:hAnsi="Georgia"/>
                <w:sz w:val="18"/>
              </w:rPr>
              <w:t>Numatyti, kad papildomos ir planą viršijančios biudžeto pajamos, gautos vykdant biudžetą, taip pat sutaupytos lėšos (išlaidos) ir nepanaudotos savivaldybių asignavimų lėšos, skirtos įgyvendinti savivaldybių energinio naudingumo didinimo programas, lieka savivaldybėms, išskyrus kitus įstatymuose nustatytus atvejus“.</w:t>
            </w:r>
          </w:p>
        </w:tc>
      </w:tr>
      <w:tr w:rsidR="00B80731" w:rsidRPr="00CA0B2F" w14:paraId="2DBD328B" w14:textId="77777777" w:rsidTr="002F60CA">
        <w:tc>
          <w:tcPr>
            <w:cnfStyle w:val="001000000000" w:firstRow="0" w:lastRow="0" w:firstColumn="1" w:lastColumn="0" w:oddVBand="0" w:evenVBand="0" w:oddHBand="0" w:evenHBand="0" w:firstRowFirstColumn="0" w:firstRowLastColumn="0" w:lastRowFirstColumn="0" w:lastRowLastColumn="0"/>
            <w:tcW w:w="286" w:type="pct"/>
          </w:tcPr>
          <w:p w14:paraId="6DDAFC8F" w14:textId="77777777" w:rsidR="00B80731" w:rsidRPr="00CA0B2F" w:rsidRDefault="00B80731" w:rsidP="002F60CA">
            <w:pPr>
              <w:pStyle w:val="Sraopastraipa"/>
              <w:numPr>
                <w:ilvl w:val="0"/>
                <w:numId w:val="137"/>
              </w:numPr>
              <w:spacing w:before="60" w:after="60"/>
              <w:ind w:left="284" w:hanging="218"/>
              <w:contextualSpacing w:val="0"/>
              <w:jc w:val="both"/>
              <w:rPr>
                <w:rFonts w:ascii="Georgia" w:hAnsi="Georgia"/>
                <w:sz w:val="18"/>
              </w:rPr>
            </w:pPr>
          </w:p>
        </w:tc>
        <w:tc>
          <w:tcPr>
            <w:tcW w:w="2005" w:type="pct"/>
          </w:tcPr>
          <w:p w14:paraId="0517E3AD" w14:textId="77777777" w:rsidR="00B80731" w:rsidRPr="00CA0B2F" w:rsidRDefault="00B80731" w:rsidP="002F60CA">
            <w:pPr>
              <w:spacing w:before="60" w:after="60"/>
              <w:jc w:val="both"/>
              <w:cnfStyle w:val="000000000000" w:firstRow="0" w:lastRow="0" w:firstColumn="0" w:lastColumn="0" w:oddVBand="0" w:evenVBand="0" w:oddHBand="0" w:evenHBand="0" w:firstRowFirstColumn="0" w:firstRowLastColumn="0" w:lastRowFirstColumn="0" w:lastRowLastColumn="0"/>
              <w:rPr>
                <w:rFonts w:ascii="Georgia" w:hAnsi="Georgia"/>
                <w:i/>
                <w:sz w:val="18"/>
              </w:rPr>
            </w:pPr>
            <w:r w:rsidRPr="00CA0B2F">
              <w:rPr>
                <w:rFonts w:ascii="Georgia" w:hAnsi="Georgia"/>
                <w:i/>
                <w:sz w:val="18"/>
              </w:rPr>
              <w:t>Viešųjų pastatų energinio efektyvumo didinimo programa</w:t>
            </w:r>
            <w:r w:rsidRPr="00CA0B2F">
              <w:rPr>
                <w:rFonts w:ascii="Georgia" w:hAnsi="Georgia"/>
                <w:sz w:val="18"/>
              </w:rPr>
              <w:t xml:space="preserve">, patvirtinta 2014 m. lapkričio 26 d. Vyriausybės nutarimu Nr. 1328 (Teisės aktų registras, 2014, Nr. 2014-18293) </w:t>
            </w:r>
          </w:p>
        </w:tc>
        <w:tc>
          <w:tcPr>
            <w:tcW w:w="2709" w:type="pct"/>
          </w:tcPr>
          <w:p w14:paraId="008622B7" w14:textId="77777777" w:rsidR="00B80731" w:rsidRPr="00CA0B2F" w:rsidRDefault="00B80731" w:rsidP="002F60CA">
            <w:pPr>
              <w:spacing w:before="60" w:after="60"/>
              <w:jc w:val="both"/>
              <w:cnfStyle w:val="000000000000" w:firstRow="0" w:lastRow="0" w:firstColumn="0" w:lastColumn="0" w:oddVBand="0" w:evenVBand="0" w:oddHBand="0" w:evenHBand="0" w:firstRowFirstColumn="0" w:firstRowLastColumn="0" w:lastRowFirstColumn="0" w:lastRowLastColumn="0"/>
              <w:rPr>
                <w:rFonts w:ascii="Georgia" w:hAnsi="Georgia"/>
                <w:sz w:val="18"/>
              </w:rPr>
            </w:pPr>
            <w:r w:rsidRPr="00CA0B2F">
              <w:rPr>
                <w:rFonts w:ascii="Georgia" w:hAnsi="Georgia"/>
                <w:sz w:val="18"/>
              </w:rPr>
              <w:t xml:space="preserve">Parinkus galimą savivaldybių viešųjų pastatų atnaujinimo projektų įgyvendinimo alternatyvą, gali būti reikalinga numatyti taikytinų modelių principus, suteikti įgaliojimus ministerijai patvirtinti paramos teikimo taisykles ir pan. </w:t>
            </w:r>
          </w:p>
          <w:p w14:paraId="34EE892B" w14:textId="77777777" w:rsidR="00B80731" w:rsidRPr="00CA0B2F" w:rsidRDefault="00B80731" w:rsidP="002F60CA">
            <w:pPr>
              <w:spacing w:before="60" w:after="60"/>
              <w:jc w:val="both"/>
              <w:cnfStyle w:val="000000000000" w:firstRow="0" w:lastRow="0" w:firstColumn="0" w:lastColumn="0" w:oddVBand="0" w:evenVBand="0" w:oddHBand="0" w:evenHBand="0" w:firstRowFirstColumn="0" w:firstRowLastColumn="0" w:lastRowFirstColumn="0" w:lastRowLastColumn="0"/>
              <w:rPr>
                <w:rFonts w:ascii="Georgia" w:hAnsi="Georgia"/>
                <w:sz w:val="18"/>
              </w:rPr>
            </w:pPr>
            <w:r w:rsidRPr="00CA0B2F">
              <w:rPr>
                <w:rFonts w:ascii="Georgia" w:hAnsi="Georgia"/>
                <w:sz w:val="18"/>
              </w:rPr>
              <w:t xml:space="preserve">Parinkus galimą savivaldybių viešųjų pastatų atnaujinimo projektų įgyvendinimo alternatyvą, gali būti reikalinga numatyti taikytinų modelių principus, suteikti įgaliojimus ministerijai patvirtinti paramos teikimo taisykles ir pan. </w:t>
            </w:r>
          </w:p>
          <w:p w14:paraId="3E11036D" w14:textId="77777777" w:rsidR="00B80731" w:rsidRPr="00CA0B2F" w:rsidRDefault="00B80731" w:rsidP="002F60CA">
            <w:pPr>
              <w:spacing w:before="60" w:after="60"/>
              <w:jc w:val="both"/>
              <w:cnfStyle w:val="000000000000" w:firstRow="0" w:lastRow="0" w:firstColumn="0" w:lastColumn="0" w:oddVBand="0" w:evenVBand="0" w:oddHBand="0" w:evenHBand="0" w:firstRowFirstColumn="0" w:firstRowLastColumn="0" w:lastRowFirstColumn="0" w:lastRowLastColumn="0"/>
              <w:rPr>
                <w:rFonts w:ascii="Georgia" w:hAnsi="Georgia"/>
                <w:sz w:val="18"/>
              </w:rPr>
            </w:pPr>
            <w:r w:rsidRPr="00CA0B2F">
              <w:rPr>
                <w:rFonts w:ascii="Georgia" w:hAnsi="Georgia"/>
                <w:sz w:val="18"/>
              </w:rPr>
              <w:t>Numatyti jog ETPT (arba ESCO) modelis gali būti taikomas ne tik savivaldybių viešųjų pastatų bet ir savivaldybių viešųjų pastatų finansavimui.</w:t>
            </w:r>
          </w:p>
        </w:tc>
      </w:tr>
      <w:tr w:rsidR="00B80731" w:rsidRPr="00CA0B2F" w14:paraId="5BF948E7" w14:textId="77777777" w:rsidTr="002F6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F2F2F2" w:themeFill="background1" w:themeFillShade="F2"/>
          </w:tcPr>
          <w:p w14:paraId="4E48DAA8" w14:textId="77777777" w:rsidR="00B80731" w:rsidRPr="00CA0B2F" w:rsidRDefault="00B80731" w:rsidP="002F60CA">
            <w:pPr>
              <w:spacing w:before="60" w:after="60"/>
              <w:jc w:val="both"/>
              <w:rPr>
                <w:rFonts w:ascii="Georgia" w:hAnsi="Georgia"/>
                <w:b w:val="0"/>
                <w:i/>
                <w:sz w:val="18"/>
              </w:rPr>
            </w:pPr>
            <w:r w:rsidRPr="00CA0B2F">
              <w:rPr>
                <w:rFonts w:ascii="Georgia" w:hAnsi="Georgia"/>
                <w:i/>
                <w:sz w:val="18"/>
              </w:rPr>
              <w:t>Siūlomi priimti nauji teisės aktai</w:t>
            </w:r>
          </w:p>
        </w:tc>
      </w:tr>
      <w:tr w:rsidR="00B80731" w:rsidRPr="00CA0B2F" w14:paraId="54E74D82" w14:textId="77777777" w:rsidTr="002F60CA">
        <w:tc>
          <w:tcPr>
            <w:cnfStyle w:val="001000000000" w:firstRow="0" w:lastRow="0" w:firstColumn="1" w:lastColumn="0" w:oddVBand="0" w:evenVBand="0" w:oddHBand="0" w:evenHBand="0" w:firstRowFirstColumn="0" w:firstRowLastColumn="0" w:lastRowFirstColumn="0" w:lastRowLastColumn="0"/>
            <w:tcW w:w="286" w:type="pct"/>
          </w:tcPr>
          <w:p w14:paraId="056EB903" w14:textId="77777777" w:rsidR="00B80731" w:rsidRPr="00CA0B2F" w:rsidRDefault="00B80731" w:rsidP="002F60CA">
            <w:pPr>
              <w:pStyle w:val="Sraopastraipa"/>
              <w:numPr>
                <w:ilvl w:val="0"/>
                <w:numId w:val="137"/>
              </w:numPr>
              <w:spacing w:before="60" w:after="60"/>
              <w:ind w:left="284" w:hanging="218"/>
              <w:contextualSpacing w:val="0"/>
              <w:jc w:val="both"/>
              <w:rPr>
                <w:rFonts w:ascii="Georgia" w:hAnsi="Georgia"/>
                <w:sz w:val="18"/>
              </w:rPr>
            </w:pPr>
          </w:p>
        </w:tc>
        <w:tc>
          <w:tcPr>
            <w:tcW w:w="2005" w:type="pct"/>
          </w:tcPr>
          <w:p w14:paraId="03BC5B92" w14:textId="77777777" w:rsidR="00B80731" w:rsidRPr="00CA0B2F" w:rsidRDefault="00B80731" w:rsidP="002F60CA">
            <w:pPr>
              <w:spacing w:before="60" w:after="60"/>
              <w:jc w:val="both"/>
              <w:cnfStyle w:val="000000000000" w:firstRow="0" w:lastRow="0" w:firstColumn="0" w:lastColumn="0" w:oddVBand="0" w:evenVBand="0" w:oddHBand="0" w:evenHBand="0" w:firstRowFirstColumn="0" w:firstRowLastColumn="0" w:lastRowFirstColumn="0" w:lastRowLastColumn="0"/>
              <w:rPr>
                <w:rFonts w:ascii="Georgia" w:hAnsi="Georgia"/>
                <w:sz w:val="18"/>
              </w:rPr>
            </w:pPr>
            <w:r w:rsidRPr="00CA0B2F">
              <w:rPr>
                <w:rFonts w:ascii="Georgia" w:hAnsi="Georgia"/>
                <w:i/>
                <w:sz w:val="18"/>
              </w:rPr>
              <w:t>Valstybės paramos savivaldybių viešųjų pastatų atnaujinimo (modernizavimui) teikimo taisyklės</w:t>
            </w:r>
            <w:r w:rsidRPr="00CA0B2F">
              <w:rPr>
                <w:rFonts w:ascii="Georgia" w:hAnsi="Georgia"/>
                <w:sz w:val="18"/>
              </w:rPr>
              <w:t xml:space="preserve">. </w:t>
            </w:r>
          </w:p>
          <w:p w14:paraId="6C119B58" w14:textId="77777777" w:rsidR="00B80731" w:rsidRPr="00CA0B2F" w:rsidRDefault="00B80731" w:rsidP="002F60CA">
            <w:pPr>
              <w:spacing w:before="60" w:after="60"/>
              <w:jc w:val="both"/>
              <w:cnfStyle w:val="000000000000" w:firstRow="0" w:lastRow="0" w:firstColumn="0" w:lastColumn="0" w:oddVBand="0" w:evenVBand="0" w:oddHBand="0" w:evenHBand="0" w:firstRowFirstColumn="0" w:firstRowLastColumn="0" w:lastRowFirstColumn="0" w:lastRowLastColumn="0"/>
              <w:rPr>
                <w:rFonts w:ascii="Georgia" w:hAnsi="Georgia"/>
                <w:sz w:val="18"/>
              </w:rPr>
            </w:pPr>
            <w:r w:rsidRPr="00CA0B2F">
              <w:rPr>
                <w:rFonts w:ascii="Georgia" w:hAnsi="Georgia"/>
                <w:sz w:val="18"/>
              </w:rPr>
              <w:t>Siūloma, kad jos būtų tvirtinamos Vyriausybės nutarimu ar ministro įsakymu.</w:t>
            </w:r>
          </w:p>
        </w:tc>
        <w:tc>
          <w:tcPr>
            <w:tcW w:w="2709" w:type="pct"/>
          </w:tcPr>
          <w:p w14:paraId="7A817EB8" w14:textId="77777777" w:rsidR="00B80731" w:rsidRPr="00CA0B2F" w:rsidRDefault="00B80731" w:rsidP="002F60CA">
            <w:pPr>
              <w:spacing w:before="60" w:after="60"/>
              <w:jc w:val="both"/>
              <w:cnfStyle w:val="000000000000" w:firstRow="0" w:lastRow="0" w:firstColumn="0" w:lastColumn="0" w:oddVBand="0" w:evenVBand="0" w:oddHBand="0" w:evenHBand="0" w:firstRowFirstColumn="0" w:firstRowLastColumn="0" w:lastRowFirstColumn="0" w:lastRowLastColumn="0"/>
              <w:rPr>
                <w:rFonts w:ascii="Georgia" w:hAnsi="Georgia"/>
                <w:sz w:val="18"/>
              </w:rPr>
            </w:pPr>
            <w:r w:rsidRPr="00CA0B2F">
              <w:rPr>
                <w:rFonts w:ascii="Georgia" w:hAnsi="Georgia"/>
                <w:sz w:val="18"/>
              </w:rPr>
              <w:t>Taisyklėse turėtų būti nustatyta, kokie subjektai ir kokiomis sąlygomis gali gauti lengvatines paskolas bei subsidijas.</w:t>
            </w:r>
          </w:p>
        </w:tc>
      </w:tr>
      <w:tr w:rsidR="00B80731" w:rsidRPr="00CA0B2F" w14:paraId="541296DF" w14:textId="77777777" w:rsidTr="002F6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Pr>
          <w:p w14:paraId="48954706" w14:textId="77777777" w:rsidR="00B80731" w:rsidRPr="00CA0B2F" w:rsidRDefault="00B80731" w:rsidP="002F60CA">
            <w:pPr>
              <w:pStyle w:val="Sraopastraipa"/>
              <w:numPr>
                <w:ilvl w:val="0"/>
                <w:numId w:val="137"/>
              </w:numPr>
              <w:spacing w:before="60" w:after="60"/>
              <w:ind w:left="284" w:hanging="218"/>
              <w:contextualSpacing w:val="0"/>
              <w:jc w:val="both"/>
              <w:rPr>
                <w:rFonts w:ascii="Georgia" w:hAnsi="Georgia"/>
                <w:sz w:val="18"/>
              </w:rPr>
            </w:pPr>
          </w:p>
        </w:tc>
        <w:tc>
          <w:tcPr>
            <w:tcW w:w="2005" w:type="pct"/>
          </w:tcPr>
          <w:p w14:paraId="21D28002" w14:textId="77777777" w:rsidR="00B80731" w:rsidRPr="00CA0B2F" w:rsidRDefault="00B80731" w:rsidP="002F60CA">
            <w:pPr>
              <w:spacing w:before="60" w:after="60"/>
              <w:jc w:val="both"/>
              <w:cnfStyle w:val="000000100000" w:firstRow="0" w:lastRow="0" w:firstColumn="0" w:lastColumn="0" w:oddVBand="0" w:evenVBand="0" w:oddHBand="1" w:evenHBand="0" w:firstRowFirstColumn="0" w:firstRowLastColumn="0" w:lastRowFirstColumn="0" w:lastRowLastColumn="0"/>
              <w:rPr>
                <w:rFonts w:ascii="Georgia" w:hAnsi="Georgia"/>
                <w:sz w:val="18"/>
              </w:rPr>
            </w:pPr>
            <w:r w:rsidRPr="00CA0B2F">
              <w:rPr>
                <w:rFonts w:ascii="Georgia" w:hAnsi="Georgia"/>
                <w:sz w:val="18"/>
              </w:rPr>
              <w:t>ESCO įmonių veiklos reguliavimui reikalingų teisės aktų (gali būti reikalingi įstatymų, Vyriausybės nutarimų ir ministro įsakymų pakeitimai) pakeitimai.</w:t>
            </w:r>
          </w:p>
        </w:tc>
        <w:tc>
          <w:tcPr>
            <w:tcW w:w="2709" w:type="pct"/>
          </w:tcPr>
          <w:p w14:paraId="23858380" w14:textId="77777777" w:rsidR="00B80731" w:rsidRPr="00CA0B2F" w:rsidRDefault="00B80731" w:rsidP="002F60CA">
            <w:pPr>
              <w:spacing w:before="60" w:after="60"/>
              <w:jc w:val="both"/>
              <w:cnfStyle w:val="000000100000" w:firstRow="0" w:lastRow="0" w:firstColumn="0" w:lastColumn="0" w:oddVBand="0" w:evenVBand="0" w:oddHBand="1" w:evenHBand="0" w:firstRowFirstColumn="0" w:firstRowLastColumn="0" w:lastRowFirstColumn="0" w:lastRowLastColumn="0"/>
              <w:rPr>
                <w:rFonts w:ascii="Georgia" w:hAnsi="Georgia"/>
                <w:sz w:val="18"/>
              </w:rPr>
            </w:pPr>
            <w:r w:rsidRPr="00CA0B2F">
              <w:rPr>
                <w:rFonts w:ascii="Georgia" w:hAnsi="Georgia"/>
                <w:sz w:val="18"/>
              </w:rPr>
              <w:t xml:space="preserve">Bendradarbiaujant su kitomis ministerijomis, Aplinkos ministerija turi teikti pasiūlymus siekdama užtikrinti savivaldybių viešųjų pastatų energinio efektyvumo projektų įgyvendinimą. </w:t>
            </w:r>
          </w:p>
        </w:tc>
      </w:tr>
    </w:tbl>
    <w:p w14:paraId="6832CCE4" w14:textId="77777777" w:rsidR="00B80731" w:rsidRPr="00760316" w:rsidRDefault="00B80731" w:rsidP="00B80731">
      <w:pPr>
        <w:jc w:val="both"/>
        <w:rPr>
          <w:rFonts w:ascii="Georgia" w:hAnsi="Georgia"/>
          <w:sz w:val="20"/>
          <w:lang w:val="lt-LT"/>
        </w:rPr>
      </w:pPr>
    </w:p>
    <w:p w14:paraId="7FEB2589" w14:textId="77777777" w:rsidR="00B80731" w:rsidRPr="00760316" w:rsidRDefault="00B80731" w:rsidP="00B80731">
      <w:pPr>
        <w:jc w:val="both"/>
        <w:rPr>
          <w:rFonts w:ascii="Georgia" w:hAnsi="Georgia"/>
          <w:sz w:val="20"/>
          <w:lang w:val="lt-LT"/>
        </w:rPr>
      </w:pPr>
      <w:r>
        <w:rPr>
          <w:rFonts w:ascii="Georgia" w:hAnsi="Georgia"/>
          <w:sz w:val="20"/>
          <w:lang w:val="lt-LT"/>
        </w:rPr>
        <w:t xml:space="preserve">Vienas pagrindinių teisės aktų pakeitimų, leisiančių savivaldybėms pasinaudoti savivaldybių pastatų renovacijos finansine priemone yra LR </w:t>
      </w:r>
      <w:r w:rsidRPr="00F058A3">
        <w:rPr>
          <w:rFonts w:ascii="Georgia" w:hAnsi="Georgia"/>
          <w:sz w:val="20"/>
          <w:lang w:val="lt-LT"/>
        </w:rPr>
        <w:t>Biudžeto sandaros įstatymas</w:t>
      </w:r>
      <w:r>
        <w:rPr>
          <w:rFonts w:ascii="Georgia" w:hAnsi="Georgia"/>
          <w:sz w:val="20"/>
          <w:lang w:val="lt-LT"/>
        </w:rPr>
        <w:t>. Šis įstatymas leistų skolintis savivaldybėms, kurių skolinimosi limitas yra išnaudotas.</w:t>
      </w:r>
    </w:p>
    <w:p w14:paraId="7B0BE962" w14:textId="77777777" w:rsidR="00B80731" w:rsidRPr="00CA0B2F" w:rsidRDefault="00B80731" w:rsidP="00B80731">
      <w:pPr>
        <w:jc w:val="both"/>
        <w:rPr>
          <w:rFonts w:ascii="Georgia" w:hAnsi="Georgia"/>
          <w:sz w:val="20"/>
          <w:lang w:val="lt-LT"/>
        </w:rPr>
      </w:pPr>
      <w:r w:rsidRPr="00760316">
        <w:rPr>
          <w:rFonts w:ascii="Georgia" w:hAnsi="Georgia"/>
          <w:sz w:val="20"/>
          <w:lang w:val="lt-LT"/>
        </w:rPr>
        <w:t>Siūlomas teisės aktų pakeitimo / priėmimo sąrašas yra rekomendacinis, ir gali būti papildomas pagal poreikį. Ministerijos tur</w:t>
      </w:r>
      <w:r>
        <w:rPr>
          <w:rFonts w:ascii="Georgia" w:hAnsi="Georgia"/>
          <w:sz w:val="20"/>
          <w:lang w:val="lt-LT"/>
        </w:rPr>
        <w:t>ėtų</w:t>
      </w:r>
      <w:r w:rsidRPr="00760316">
        <w:rPr>
          <w:rFonts w:ascii="Georgia" w:hAnsi="Georgia"/>
          <w:sz w:val="20"/>
          <w:lang w:val="lt-LT"/>
        </w:rPr>
        <w:t xml:space="preserve"> atsižvelgti, kad įgyvendinant įstatymo pakeitimus </w:t>
      </w:r>
      <w:r>
        <w:rPr>
          <w:rFonts w:ascii="Georgia" w:hAnsi="Georgia"/>
          <w:sz w:val="20"/>
          <w:lang w:val="lt-LT"/>
        </w:rPr>
        <w:t xml:space="preserve">gali </w:t>
      </w:r>
      <w:r w:rsidRPr="00760316">
        <w:rPr>
          <w:rFonts w:ascii="Georgia" w:hAnsi="Georgia"/>
          <w:sz w:val="20"/>
          <w:lang w:val="lt-LT"/>
        </w:rPr>
        <w:t>atsiras</w:t>
      </w:r>
      <w:r>
        <w:rPr>
          <w:rFonts w:ascii="Georgia" w:hAnsi="Georgia"/>
          <w:sz w:val="20"/>
          <w:lang w:val="lt-LT"/>
        </w:rPr>
        <w:t>ti</w:t>
      </w:r>
      <w:r w:rsidRPr="00760316">
        <w:rPr>
          <w:rFonts w:ascii="Georgia" w:hAnsi="Georgia"/>
          <w:sz w:val="20"/>
          <w:lang w:val="lt-LT"/>
        </w:rPr>
        <w:t xml:space="preserve"> poreikis daryti pakeitimus ir kai kuriuose jų įgyvendinimą reglamentuojančiuose teisės aktuose: Valstybės biudžeto ir savivaldybių biudžetų sudarymo ir vykdymo tvarkoje, Savivaldybių skolinimosi taisyklėse ir pan.</w:t>
      </w:r>
    </w:p>
    <w:p w14:paraId="1305551B" w14:textId="77777777" w:rsidR="002A576D" w:rsidRDefault="00B80731" w:rsidP="00B80731">
      <w:pPr>
        <w:pStyle w:val="prastasis1"/>
        <w:spacing w:line="276" w:lineRule="auto"/>
        <w:jc w:val="both"/>
        <w:rPr>
          <w:rFonts w:ascii="Georgia" w:hAnsi="Georgia"/>
          <w:sz w:val="20"/>
          <w:szCs w:val="20"/>
        </w:rPr>
      </w:pPr>
      <w:r w:rsidRPr="00F058A3">
        <w:rPr>
          <w:rFonts w:ascii="Georgia" w:hAnsi="Georgia"/>
          <w:sz w:val="20"/>
          <w:szCs w:val="20"/>
        </w:rPr>
        <w:t xml:space="preserve">Nagrinėjant įvairių finansinių priemonių galimybes finansuoti savivaldybių įgyvendinamus projektus vienas iš esminių kylančių klausimų yra savivaldybių finansinė padėtis. Savivaldybių skolinimosi limitai bei faktinė savivaldybių įsiskolinimo padėtis 2013 m. yra aptarti 2.2.2.2. skyriuje. 2014 m. lapkričio 6 d. buvo patvirtintas Lietuvos Respublikos fiskalinės sutarties įgyvendinimo Konstitucinis įstatymas (Nr. XII-1289), kurio paskirtis užtikrinti valdžios sektoriaus finansų tvarumą, stabilią ūkio </w:t>
      </w:r>
      <w:r w:rsidRPr="00F058A3">
        <w:rPr>
          <w:rFonts w:ascii="Georgia" w:hAnsi="Georgia"/>
          <w:sz w:val="20"/>
          <w:szCs w:val="20"/>
        </w:rPr>
        <w:lastRenderedPageBreak/>
        <w:t xml:space="preserve">plėtrą ir įgyvendinti 2012 m. kovo 2 d. sutartį dėl stabilumo, koordinavimo ir valdysenos ekonominėje ir pinigų sąjungoje. </w:t>
      </w:r>
      <w:r>
        <w:rPr>
          <w:rFonts w:ascii="Georgia" w:hAnsi="Georgia"/>
          <w:sz w:val="20"/>
          <w:szCs w:val="20"/>
        </w:rPr>
        <w:t>Aukščiau pateikti teisės aktų pakeitimai neprieštarauja minėtam įstatymui, kadangi skolinimasis energetinio efektyvumo projektams neturi padidinti išlaidų (įskaitant paskolos aptarnavimą), o netgi atvirkščiai, išmokėjus paskolą išlaidos sumažėja (tam tikrais atvejais išlaidos sumažėja jau paskolos aptarnavimo laikotarpiu).</w:t>
      </w:r>
    </w:p>
    <w:p w14:paraId="4E9EB411" w14:textId="77777777" w:rsidR="00B80731" w:rsidRDefault="00B80731" w:rsidP="002A576D">
      <w:pPr>
        <w:pStyle w:val="prastasis1"/>
        <w:spacing w:line="276" w:lineRule="auto"/>
        <w:jc w:val="both"/>
        <w:rPr>
          <w:rFonts w:ascii="Georgia" w:hAnsi="Georgia"/>
          <w:sz w:val="20"/>
          <w:szCs w:val="20"/>
        </w:rPr>
      </w:pPr>
    </w:p>
    <w:p w14:paraId="396EC00D" w14:textId="77777777" w:rsidR="002A576D" w:rsidRPr="00DF3A8E" w:rsidRDefault="002A576D" w:rsidP="002A576D">
      <w:pPr>
        <w:pStyle w:val="Antrat2"/>
        <w:numPr>
          <w:ilvl w:val="2"/>
          <w:numId w:val="2"/>
        </w:numPr>
        <w:spacing w:after="240"/>
        <w:rPr>
          <w:lang w:val="lt-LT"/>
        </w:rPr>
      </w:pPr>
      <w:bookmarkStart w:id="417" w:name="_Toc417378458"/>
      <w:r w:rsidRPr="00DF3A8E">
        <w:rPr>
          <w:lang w:val="lt-LT"/>
        </w:rPr>
        <w:t>Finansinio produkto parinkimas</w:t>
      </w:r>
      <w:bookmarkEnd w:id="417"/>
    </w:p>
    <w:p w14:paraId="68CA7E53" w14:textId="77777777" w:rsidR="002A576D" w:rsidRDefault="002A576D" w:rsidP="002A576D">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4-iame skyriuje buvo analizuojami ir vertinami įvairūs finansiniai produktai, skaičiuojamas jų multiplikatoriaus efektas bei galimybės pritraukti papildomas privačias lėšas. Savivaldybių viešųjų pastatų modernizavimo įgyvendinimui siūlomi finansiniai produktai, parinkti pagal geriausius kiekybinius ir kokybinius rezultatus, detalizuojami žemiau. </w:t>
      </w:r>
    </w:p>
    <w:p w14:paraId="3B5D1A8F" w14:textId="77777777" w:rsidR="002A576D" w:rsidRPr="00AA32EA" w:rsidRDefault="002A576D" w:rsidP="002A576D">
      <w:pPr>
        <w:jc w:val="both"/>
        <w:rPr>
          <w:rFonts w:ascii="Georgia" w:eastAsia="Times New Roman" w:hAnsi="Georgia" w:cs="Times New Roman"/>
          <w:b/>
          <w:sz w:val="20"/>
          <w:szCs w:val="20"/>
          <w:lang w:val="lt-LT" w:eastAsia="lt-LT"/>
        </w:rPr>
      </w:pPr>
      <w:r>
        <w:rPr>
          <w:rFonts w:ascii="Georgia" w:eastAsia="Times New Roman" w:hAnsi="Georgia" w:cs="Times New Roman"/>
          <w:b/>
          <w:sz w:val="20"/>
          <w:szCs w:val="20"/>
          <w:lang w:val="lt-LT" w:eastAsia="lt-LT"/>
        </w:rPr>
        <w:t xml:space="preserve">Savivaldybių viešųjų </w:t>
      </w:r>
      <w:r w:rsidRPr="00AA32EA">
        <w:rPr>
          <w:rFonts w:ascii="Georgia" w:eastAsia="Times New Roman" w:hAnsi="Georgia" w:cs="Times New Roman"/>
          <w:b/>
          <w:sz w:val="20"/>
          <w:szCs w:val="20"/>
          <w:lang w:val="lt-LT" w:eastAsia="lt-LT"/>
        </w:rPr>
        <w:t>pastatų modernizavimas</w:t>
      </w:r>
    </w:p>
    <w:p w14:paraId="7DD0A2B5" w14:textId="188FBE70" w:rsidR="002A576D" w:rsidRPr="00390353" w:rsidRDefault="002A576D" w:rsidP="002A576D">
      <w:pPr>
        <w:pStyle w:val="prastasis1"/>
        <w:spacing w:line="276" w:lineRule="auto"/>
        <w:jc w:val="both"/>
        <w:rPr>
          <w:rFonts w:ascii="Georgia" w:hAnsi="Georgia"/>
          <w:b/>
          <w:i/>
          <w:sz w:val="20"/>
          <w:szCs w:val="20"/>
        </w:rPr>
      </w:pPr>
      <w:r>
        <w:rPr>
          <w:rFonts w:ascii="Georgia" w:hAnsi="Georgia"/>
          <w:sz w:val="20"/>
          <w:szCs w:val="20"/>
        </w:rPr>
        <w:t>Savivaldybių v</w:t>
      </w:r>
      <w:r w:rsidRPr="00AC3318">
        <w:rPr>
          <w:rFonts w:ascii="Georgia" w:hAnsi="Georgia"/>
          <w:sz w:val="20"/>
          <w:szCs w:val="20"/>
        </w:rPr>
        <w:t xml:space="preserve">iešųjų pastatų </w:t>
      </w:r>
      <w:r>
        <w:rPr>
          <w:rFonts w:ascii="Georgia" w:hAnsi="Georgia"/>
          <w:sz w:val="20"/>
          <w:szCs w:val="20"/>
        </w:rPr>
        <w:t>modernizavimui</w:t>
      </w:r>
      <w:r w:rsidRPr="00AC3318">
        <w:rPr>
          <w:rFonts w:ascii="Georgia" w:hAnsi="Georgia"/>
          <w:sz w:val="20"/>
          <w:szCs w:val="20"/>
        </w:rPr>
        <w:t xml:space="preserve"> buvo įvertinti (</w:t>
      </w:r>
      <w:r>
        <w:rPr>
          <w:rFonts w:ascii="Georgia" w:hAnsi="Georgia"/>
          <w:sz w:val="20"/>
          <w:szCs w:val="20"/>
        </w:rPr>
        <w:t>4</w:t>
      </w:r>
      <w:r w:rsidRPr="00AC3318">
        <w:rPr>
          <w:rFonts w:ascii="Georgia" w:hAnsi="Georgia"/>
          <w:sz w:val="20"/>
          <w:szCs w:val="20"/>
        </w:rPr>
        <w:t xml:space="preserve">.1. </w:t>
      </w:r>
      <w:r>
        <w:rPr>
          <w:rFonts w:ascii="Georgia" w:hAnsi="Georgia"/>
          <w:sz w:val="20"/>
          <w:szCs w:val="20"/>
        </w:rPr>
        <w:t>skyriuje</w:t>
      </w:r>
      <w:r w:rsidRPr="00AC3318">
        <w:rPr>
          <w:rFonts w:ascii="Georgia" w:hAnsi="Georgia"/>
          <w:sz w:val="20"/>
          <w:szCs w:val="20"/>
        </w:rPr>
        <w:t xml:space="preserve">) </w:t>
      </w:r>
      <w:r>
        <w:rPr>
          <w:rFonts w:ascii="Georgia" w:hAnsi="Georgia"/>
          <w:sz w:val="20"/>
          <w:szCs w:val="20"/>
        </w:rPr>
        <w:t>penki</w:t>
      </w:r>
      <w:r w:rsidRPr="00AC3318">
        <w:rPr>
          <w:rFonts w:ascii="Georgia" w:hAnsi="Georgia"/>
          <w:sz w:val="20"/>
          <w:szCs w:val="20"/>
        </w:rPr>
        <w:t xml:space="preserve"> scenarijai su skirtingais </w:t>
      </w:r>
      <w:r>
        <w:rPr>
          <w:rFonts w:ascii="Georgia" w:hAnsi="Georgia"/>
          <w:sz w:val="20"/>
          <w:szCs w:val="20"/>
        </w:rPr>
        <w:t xml:space="preserve">administravimo </w:t>
      </w:r>
      <w:r w:rsidRPr="00AC3318">
        <w:rPr>
          <w:rFonts w:ascii="Georgia" w:hAnsi="Georgia"/>
          <w:sz w:val="20"/>
          <w:szCs w:val="20"/>
        </w:rPr>
        <w:t xml:space="preserve">modeliais ir finansinėmis priemonėmis, o taip pat </w:t>
      </w:r>
      <w:r>
        <w:rPr>
          <w:rFonts w:ascii="Georgia" w:hAnsi="Georgia"/>
          <w:sz w:val="20"/>
          <w:szCs w:val="20"/>
        </w:rPr>
        <w:t>subsidijų teikimo alternatyva</w:t>
      </w:r>
      <w:r w:rsidRPr="00AC3318">
        <w:rPr>
          <w:rFonts w:ascii="Georgia" w:hAnsi="Georgia"/>
          <w:sz w:val="20"/>
          <w:szCs w:val="20"/>
        </w:rPr>
        <w:t xml:space="preserve">. Atsižvelgiant į </w:t>
      </w:r>
      <w:r>
        <w:rPr>
          <w:rFonts w:ascii="Georgia" w:hAnsi="Georgia"/>
          <w:sz w:val="20"/>
          <w:szCs w:val="20"/>
        </w:rPr>
        <w:t>4 skyriuje</w:t>
      </w:r>
      <w:r w:rsidRPr="00AC3318">
        <w:rPr>
          <w:rFonts w:ascii="Georgia" w:hAnsi="Georgia"/>
          <w:sz w:val="20"/>
          <w:szCs w:val="20"/>
        </w:rPr>
        <w:t xml:space="preserve"> išdėstytus kiekvienos alternatyvos</w:t>
      </w:r>
      <w:r>
        <w:rPr>
          <w:rFonts w:ascii="Georgia" w:hAnsi="Georgia"/>
          <w:sz w:val="20"/>
          <w:szCs w:val="20"/>
        </w:rPr>
        <w:t xml:space="preserve"> kiekybinius ir kokybinius rezultatus,</w:t>
      </w:r>
      <w:r w:rsidRPr="00AC3318">
        <w:rPr>
          <w:rFonts w:ascii="Georgia" w:hAnsi="Georgia"/>
          <w:sz w:val="20"/>
          <w:szCs w:val="20"/>
        </w:rPr>
        <w:t xml:space="preserve"> privalumus ir trūkumus bei prognozuojamą lėšų poreikį priemonei įgyvendinti ir tikėtiną finansi</w:t>
      </w:r>
      <w:r w:rsidRPr="00541A2C">
        <w:rPr>
          <w:rFonts w:ascii="Georgia" w:hAnsi="Georgia"/>
          <w:sz w:val="20"/>
          <w:szCs w:val="20"/>
        </w:rPr>
        <w:t xml:space="preserve">nio sverto rodiklį, rekomenduojama vadovaujančiai institucijai kartu su Aplinkos  ministerija pasirinkti </w:t>
      </w:r>
      <w:r w:rsidR="00DD4CCF" w:rsidRPr="00541A2C">
        <w:rPr>
          <w:rFonts w:ascii="Georgia" w:hAnsi="Georgia"/>
          <w:sz w:val="20"/>
          <w:szCs w:val="20"/>
        </w:rPr>
        <w:t>antrąjį (kai kuriama finansinė priemonė arba finansinė priemonė įgyvendinama fondų fondo apimtyje</w:t>
      </w:r>
      <w:r w:rsidR="00541A2C" w:rsidRPr="00541A2C">
        <w:rPr>
          <w:rFonts w:ascii="Georgia" w:hAnsi="Georgia"/>
          <w:sz w:val="20"/>
          <w:szCs w:val="20"/>
        </w:rPr>
        <w:t xml:space="preserve"> bei numatoma galimybė</w:t>
      </w:r>
      <w:r w:rsidR="00DD4CCF" w:rsidRPr="00541A2C">
        <w:rPr>
          <w:rFonts w:ascii="Georgia" w:hAnsi="Georgia"/>
          <w:sz w:val="20"/>
          <w:szCs w:val="20"/>
        </w:rPr>
        <w:t>,</w:t>
      </w:r>
      <w:r w:rsidR="00541A2C" w:rsidRPr="00541A2C">
        <w:rPr>
          <w:rFonts w:ascii="Georgia" w:hAnsi="Georgia"/>
          <w:sz w:val="20"/>
          <w:szCs w:val="20"/>
        </w:rPr>
        <w:t xml:space="preserve"> </w:t>
      </w:r>
      <w:r w:rsidR="00DD4CCF" w:rsidRPr="00541A2C">
        <w:rPr>
          <w:rFonts w:ascii="Georgia" w:hAnsi="Georgia"/>
          <w:sz w:val="20"/>
          <w:szCs w:val="20"/>
        </w:rPr>
        <w:t>įkurta</w:t>
      </w:r>
      <w:r w:rsidR="00541A2C" w:rsidRPr="00541A2C">
        <w:rPr>
          <w:rFonts w:ascii="Georgia" w:hAnsi="Georgia"/>
          <w:sz w:val="20"/>
          <w:szCs w:val="20"/>
        </w:rPr>
        <w:t>m</w:t>
      </w:r>
      <w:r w:rsidR="00DD4CCF" w:rsidRPr="00541A2C">
        <w:rPr>
          <w:rFonts w:ascii="Georgia" w:hAnsi="Georgia"/>
          <w:sz w:val="20"/>
          <w:szCs w:val="20"/>
        </w:rPr>
        <w:t xml:space="preserve"> priva</w:t>
      </w:r>
      <w:r w:rsidR="00541A2C" w:rsidRPr="00541A2C">
        <w:rPr>
          <w:rFonts w:ascii="Georgia" w:hAnsi="Georgia"/>
          <w:sz w:val="20"/>
          <w:szCs w:val="20"/>
        </w:rPr>
        <w:t xml:space="preserve">čiam </w:t>
      </w:r>
      <w:r w:rsidR="00DD4CCF" w:rsidRPr="00541A2C">
        <w:rPr>
          <w:rFonts w:ascii="Georgia" w:hAnsi="Georgia"/>
          <w:sz w:val="20"/>
          <w:szCs w:val="20"/>
        </w:rPr>
        <w:t>investicini</w:t>
      </w:r>
      <w:r w:rsidR="00541A2C" w:rsidRPr="00541A2C">
        <w:rPr>
          <w:rFonts w:ascii="Georgia" w:hAnsi="Georgia"/>
          <w:sz w:val="20"/>
          <w:szCs w:val="20"/>
        </w:rPr>
        <w:t>am</w:t>
      </w:r>
      <w:r w:rsidR="00DD4CCF" w:rsidRPr="00541A2C">
        <w:rPr>
          <w:rFonts w:ascii="Georgia" w:hAnsi="Georgia"/>
          <w:sz w:val="20"/>
          <w:szCs w:val="20"/>
        </w:rPr>
        <w:t xml:space="preserve"> fond</w:t>
      </w:r>
      <w:r w:rsidR="00541A2C" w:rsidRPr="00541A2C">
        <w:rPr>
          <w:rFonts w:ascii="Georgia" w:hAnsi="Georgia"/>
          <w:sz w:val="20"/>
          <w:szCs w:val="20"/>
        </w:rPr>
        <w:t>ui</w:t>
      </w:r>
      <w:r w:rsidR="00DD4CCF" w:rsidRPr="00541A2C">
        <w:rPr>
          <w:rFonts w:ascii="Georgia" w:hAnsi="Georgia"/>
          <w:sz w:val="20"/>
          <w:szCs w:val="20"/>
        </w:rPr>
        <w:t xml:space="preserve"> arba privat</w:t>
      </w:r>
      <w:r w:rsidR="00541A2C" w:rsidRPr="00541A2C">
        <w:rPr>
          <w:rFonts w:ascii="Georgia" w:hAnsi="Georgia"/>
          <w:sz w:val="20"/>
          <w:szCs w:val="20"/>
        </w:rPr>
        <w:t xml:space="preserve">iems </w:t>
      </w:r>
      <w:r w:rsidR="00DD4CCF" w:rsidRPr="00541A2C">
        <w:rPr>
          <w:rFonts w:ascii="Georgia" w:hAnsi="Georgia"/>
          <w:sz w:val="20"/>
          <w:szCs w:val="20"/>
        </w:rPr>
        <w:t>investuotoja</w:t>
      </w:r>
      <w:r w:rsidR="00541A2C" w:rsidRPr="00541A2C">
        <w:rPr>
          <w:rFonts w:ascii="Georgia" w:hAnsi="Georgia"/>
          <w:sz w:val="20"/>
          <w:szCs w:val="20"/>
        </w:rPr>
        <w:t>ms</w:t>
      </w:r>
      <w:r w:rsidR="00632BFA" w:rsidRPr="00541A2C">
        <w:rPr>
          <w:rFonts w:ascii="Georgia" w:hAnsi="Georgia"/>
          <w:sz w:val="20"/>
          <w:szCs w:val="20"/>
        </w:rPr>
        <w:t xml:space="preserve"> kitais būdais</w:t>
      </w:r>
      <w:r w:rsidR="00DD4CCF" w:rsidRPr="00541A2C">
        <w:rPr>
          <w:rFonts w:ascii="Georgia" w:hAnsi="Georgia"/>
          <w:sz w:val="20"/>
          <w:szCs w:val="20"/>
        </w:rPr>
        <w:t xml:space="preserve"> išp</w:t>
      </w:r>
      <w:r w:rsidR="00541A2C" w:rsidRPr="00541A2C">
        <w:rPr>
          <w:rFonts w:ascii="Georgia" w:hAnsi="Georgia"/>
          <w:sz w:val="20"/>
          <w:szCs w:val="20"/>
        </w:rPr>
        <w:t>i</w:t>
      </w:r>
      <w:r w:rsidR="00DD4CCF" w:rsidRPr="00541A2C">
        <w:rPr>
          <w:rFonts w:ascii="Georgia" w:hAnsi="Georgia"/>
          <w:sz w:val="20"/>
          <w:szCs w:val="20"/>
        </w:rPr>
        <w:t>rk</w:t>
      </w:r>
      <w:r w:rsidR="00541A2C" w:rsidRPr="00541A2C">
        <w:rPr>
          <w:rFonts w:ascii="Georgia" w:hAnsi="Georgia"/>
          <w:sz w:val="20"/>
          <w:szCs w:val="20"/>
        </w:rPr>
        <w:t>ti</w:t>
      </w:r>
      <w:r w:rsidR="00DD4CCF" w:rsidRPr="00541A2C">
        <w:rPr>
          <w:rFonts w:ascii="Georgia" w:hAnsi="Georgia"/>
          <w:sz w:val="20"/>
          <w:szCs w:val="20"/>
        </w:rPr>
        <w:t xml:space="preserve"> ateities pinigų srautus) arba </w:t>
      </w:r>
      <w:r w:rsidRPr="00541A2C">
        <w:rPr>
          <w:rFonts w:ascii="Georgia" w:hAnsi="Georgia"/>
          <w:sz w:val="20"/>
          <w:szCs w:val="20"/>
        </w:rPr>
        <w:t xml:space="preserve">penktą </w:t>
      </w:r>
      <w:r w:rsidR="00DD4CCF" w:rsidRPr="00541A2C">
        <w:rPr>
          <w:rFonts w:ascii="Georgia" w:hAnsi="Georgia"/>
          <w:sz w:val="20"/>
          <w:szCs w:val="20"/>
        </w:rPr>
        <w:t>(</w:t>
      </w:r>
      <w:r w:rsidRPr="00541A2C">
        <w:rPr>
          <w:rFonts w:ascii="Georgia" w:hAnsi="Georgia"/>
          <w:sz w:val="20"/>
          <w:szCs w:val="20"/>
        </w:rPr>
        <w:t>kai sukuriamas rizikos pasidalijimo fondas, o ESI fondų lėšos nukreipiamos fondo pirmojo praradimo kapitalui suformuoti,</w:t>
      </w:r>
      <w:r w:rsidRPr="00541A2C">
        <w:rPr>
          <w:rFonts w:ascii="Georgia" w:hAnsi="Georgia"/>
          <w:b/>
          <w:i/>
          <w:sz w:val="20"/>
          <w:szCs w:val="20"/>
        </w:rPr>
        <w:t xml:space="preserve"> </w:t>
      </w:r>
      <w:r w:rsidRPr="00541A2C">
        <w:rPr>
          <w:rFonts w:ascii="Georgia" w:hAnsi="Georgia"/>
          <w:sz w:val="20"/>
          <w:szCs w:val="20"/>
        </w:rPr>
        <w:t>tokiu būdu pritraukiant investuotojus, o rizikos pasidalijimo fondas teikia paskolas</w:t>
      </w:r>
      <w:r w:rsidR="00DD4CCF" w:rsidRPr="00541A2C">
        <w:rPr>
          <w:rFonts w:ascii="Georgia" w:hAnsi="Georgia"/>
          <w:sz w:val="20"/>
          <w:szCs w:val="20"/>
        </w:rPr>
        <w:t>) scenarijų</w:t>
      </w:r>
      <w:r w:rsidRPr="00541A2C">
        <w:rPr>
          <w:rFonts w:ascii="Georgia" w:hAnsi="Georgia"/>
          <w:sz w:val="20"/>
          <w:szCs w:val="20"/>
        </w:rPr>
        <w:t>.</w:t>
      </w:r>
      <w:r w:rsidRPr="00541A2C" w:rsidDel="000A5E02">
        <w:rPr>
          <w:rFonts w:ascii="Georgia" w:hAnsi="Georgia"/>
          <w:b/>
          <w:i/>
          <w:sz w:val="20"/>
          <w:szCs w:val="20"/>
        </w:rPr>
        <w:t xml:space="preserve"> </w:t>
      </w:r>
      <w:r w:rsidRPr="00541A2C">
        <w:rPr>
          <w:rFonts w:ascii="Georgia" w:hAnsi="Georgia"/>
          <w:sz w:val="20"/>
          <w:szCs w:val="20"/>
        </w:rPr>
        <w:t>Vis dėlto atkreiptinas d</w:t>
      </w:r>
      <w:r w:rsidRPr="00390353">
        <w:rPr>
          <w:rFonts w:ascii="Georgia" w:hAnsi="Georgia"/>
          <w:sz w:val="20"/>
          <w:szCs w:val="20"/>
        </w:rPr>
        <w:t>ėmesys, kad bet kuriuo atveju yra reikalinga savivaldybių viešųjų pastatų modernizavimo paskolų kreditingumo istorija, projektų įgyvendinimo praktika</w:t>
      </w:r>
      <w:r w:rsidR="003A0690" w:rsidRPr="00390353">
        <w:rPr>
          <w:rFonts w:ascii="Georgia" w:hAnsi="Georgia"/>
          <w:b/>
          <w:i/>
          <w:sz w:val="20"/>
          <w:szCs w:val="20"/>
        </w:rPr>
        <w:t xml:space="preserve">, todėl </w:t>
      </w:r>
      <w:r w:rsidRPr="00390353">
        <w:rPr>
          <w:rFonts w:ascii="Georgia" w:hAnsi="Georgia"/>
          <w:b/>
          <w:i/>
          <w:sz w:val="20"/>
          <w:szCs w:val="20"/>
        </w:rPr>
        <w:t xml:space="preserve">rekomenduojama lengvatines paskolas savivaldybių viešųjų pastatų modernizavimo projektams siekti pradėti teikti kuo greičiau. </w:t>
      </w:r>
    </w:p>
    <w:p w14:paraId="47FEF3E3" w14:textId="7D291CC3" w:rsidR="002A576D" w:rsidRPr="00AC3318" w:rsidRDefault="002A576D" w:rsidP="002A576D">
      <w:pPr>
        <w:pStyle w:val="prastasis1"/>
        <w:spacing w:line="276" w:lineRule="auto"/>
        <w:jc w:val="both"/>
        <w:rPr>
          <w:rFonts w:ascii="Georgia" w:hAnsi="Georgia"/>
          <w:sz w:val="20"/>
          <w:szCs w:val="20"/>
        </w:rPr>
      </w:pPr>
      <w:r w:rsidRPr="00541A2C">
        <w:rPr>
          <w:rFonts w:ascii="Georgia" w:hAnsi="Georgia"/>
          <w:sz w:val="20"/>
          <w:szCs w:val="20"/>
        </w:rPr>
        <w:t xml:space="preserve">Siūloma finansinė priemonė – lengvatinės paskolos + </w:t>
      </w:r>
      <w:r w:rsidR="00252A54" w:rsidRPr="00541A2C">
        <w:rPr>
          <w:rFonts w:ascii="Georgia" w:hAnsi="Georgia"/>
          <w:sz w:val="20"/>
          <w:szCs w:val="20"/>
        </w:rPr>
        <w:t>privačias lėšas pritraukiantis fondas</w:t>
      </w:r>
      <w:r w:rsidR="00541A2C" w:rsidRPr="00541A2C">
        <w:rPr>
          <w:rFonts w:ascii="Georgia" w:hAnsi="Georgia"/>
          <w:sz w:val="20"/>
          <w:szCs w:val="20"/>
        </w:rPr>
        <w:t xml:space="preserve"> (privačios lėšos galėtų būti pritrauktos tiek fondo, tiek galutinių naudos gavėjų lygmenyje)</w:t>
      </w:r>
      <w:r w:rsidRPr="00541A2C">
        <w:rPr>
          <w:rFonts w:ascii="Georgia" w:hAnsi="Georgia"/>
          <w:sz w:val="20"/>
          <w:szCs w:val="20"/>
        </w:rPr>
        <w:t>.</w:t>
      </w:r>
      <w:r w:rsidRPr="00D76309">
        <w:rPr>
          <w:rFonts w:ascii="Georgia" w:hAnsi="Georgia"/>
          <w:sz w:val="20"/>
          <w:szCs w:val="20"/>
        </w:rPr>
        <w:t xml:space="preserve"> </w:t>
      </w:r>
    </w:p>
    <w:p w14:paraId="1ADF284E" w14:textId="77777777" w:rsidR="002A576D" w:rsidRPr="00640DEC" w:rsidRDefault="002A576D" w:rsidP="00E67C77">
      <w:pPr>
        <w:pStyle w:val="prastasis1"/>
        <w:keepNext/>
        <w:spacing w:line="276" w:lineRule="auto"/>
        <w:jc w:val="both"/>
        <w:rPr>
          <w:rFonts w:ascii="Georgia" w:hAnsi="Georgia"/>
          <w:b/>
          <w:i/>
          <w:sz w:val="20"/>
          <w:szCs w:val="20"/>
        </w:rPr>
      </w:pPr>
      <w:r w:rsidRPr="00640DEC">
        <w:rPr>
          <w:rFonts w:ascii="Georgia" w:hAnsi="Georgia"/>
          <w:b/>
          <w:i/>
          <w:sz w:val="20"/>
          <w:szCs w:val="20"/>
        </w:rPr>
        <w:t>Siūlomo finansinio produkto – lengvatinės paskolos – sąlygos:</w:t>
      </w:r>
    </w:p>
    <w:p w14:paraId="7E19EDD5" w14:textId="2557569D" w:rsidR="00206511" w:rsidRPr="00AE7E91" w:rsidRDefault="00934757" w:rsidP="00E67C77">
      <w:pPr>
        <w:pStyle w:val="prastasis1"/>
        <w:keepNext/>
        <w:numPr>
          <w:ilvl w:val="0"/>
          <w:numId w:val="37"/>
        </w:numPr>
        <w:spacing w:line="276" w:lineRule="auto"/>
        <w:jc w:val="both"/>
        <w:rPr>
          <w:rFonts w:ascii="Georgia" w:hAnsi="Georgia"/>
          <w:sz w:val="20"/>
          <w:szCs w:val="20"/>
        </w:rPr>
      </w:pPr>
      <w:r>
        <w:rPr>
          <w:rFonts w:ascii="Georgia" w:hAnsi="Georgia"/>
          <w:sz w:val="20"/>
          <w:szCs w:val="20"/>
        </w:rPr>
        <w:t xml:space="preserve">palūkanų norma iki </w:t>
      </w:r>
      <w:r w:rsidRPr="00206511">
        <w:rPr>
          <w:rFonts w:ascii="Georgia" w:hAnsi="Georgia"/>
          <w:sz w:val="20"/>
          <w:szCs w:val="20"/>
        </w:rPr>
        <w:t>2% + 6 mėn.</w:t>
      </w:r>
      <w:r>
        <w:rPr>
          <w:rFonts w:ascii="Georgia" w:hAnsi="Georgia"/>
          <w:sz w:val="20"/>
          <w:szCs w:val="20"/>
        </w:rPr>
        <w:t xml:space="preserve"> </w:t>
      </w:r>
      <w:r w:rsidRPr="00206511">
        <w:rPr>
          <w:rFonts w:ascii="Georgia" w:hAnsi="Georgia"/>
          <w:sz w:val="20"/>
          <w:szCs w:val="20"/>
        </w:rPr>
        <w:t>EURIBOR (</w:t>
      </w:r>
      <w:r>
        <w:rPr>
          <w:rFonts w:ascii="Georgia" w:hAnsi="Georgia"/>
          <w:sz w:val="20"/>
          <w:szCs w:val="20"/>
        </w:rPr>
        <w:t xml:space="preserve">bet </w:t>
      </w:r>
      <w:r w:rsidRPr="00206511">
        <w:rPr>
          <w:rFonts w:ascii="Georgia" w:hAnsi="Georgia"/>
          <w:sz w:val="20"/>
          <w:szCs w:val="20"/>
        </w:rPr>
        <w:t>ne mažiau kaip 0%)</w:t>
      </w:r>
      <w:r>
        <w:rPr>
          <w:rFonts w:ascii="Georgia" w:hAnsi="Georgia"/>
          <w:sz w:val="20"/>
          <w:szCs w:val="20"/>
        </w:rPr>
        <w:t>. Finansinės priemonės (ar fondų fondo) valdytojas gali pasiūlyti užfiksuoti palūkanų normą (palūkanų fiksavimas būtų paremtas rinkos sąlygomis prieinamais instrumentais). Išnaudojus E</w:t>
      </w:r>
      <w:r w:rsidR="00FB1432">
        <w:rPr>
          <w:rFonts w:ascii="Georgia" w:hAnsi="Georgia"/>
          <w:sz w:val="20"/>
          <w:szCs w:val="20"/>
        </w:rPr>
        <w:t>SI</w:t>
      </w:r>
      <w:r>
        <w:rPr>
          <w:rFonts w:ascii="Georgia" w:hAnsi="Georgia"/>
          <w:sz w:val="20"/>
          <w:szCs w:val="20"/>
        </w:rPr>
        <w:t xml:space="preserve"> lėšas papildomai gali būti taikomi papildomi finansavimo mokesčiai (susiję su papildomo finansavimo pritraukimu)</w:t>
      </w:r>
      <w:r w:rsidR="00206511" w:rsidRPr="00AE7E91">
        <w:rPr>
          <w:rFonts w:ascii="Georgia" w:hAnsi="Georgia"/>
          <w:sz w:val="20"/>
          <w:szCs w:val="20"/>
        </w:rPr>
        <w:t>;</w:t>
      </w:r>
    </w:p>
    <w:p w14:paraId="1CE46E50" w14:textId="77777777" w:rsidR="002A576D" w:rsidRPr="00AE7E91" w:rsidRDefault="002A576D" w:rsidP="002A576D">
      <w:pPr>
        <w:pStyle w:val="prastasis1"/>
        <w:numPr>
          <w:ilvl w:val="0"/>
          <w:numId w:val="37"/>
        </w:numPr>
        <w:spacing w:line="276" w:lineRule="auto"/>
        <w:jc w:val="both"/>
        <w:rPr>
          <w:rFonts w:ascii="Georgia" w:hAnsi="Georgia"/>
          <w:sz w:val="20"/>
          <w:szCs w:val="20"/>
        </w:rPr>
      </w:pPr>
      <w:r w:rsidRPr="00AE7E91">
        <w:rPr>
          <w:rFonts w:ascii="Georgia" w:hAnsi="Georgia"/>
          <w:sz w:val="20"/>
          <w:szCs w:val="20"/>
        </w:rPr>
        <w:t>paskolos terminas – iki 20 metų;</w:t>
      </w:r>
    </w:p>
    <w:p w14:paraId="0268AC03" w14:textId="77777777" w:rsidR="002A576D" w:rsidRDefault="002A576D" w:rsidP="002A576D">
      <w:pPr>
        <w:pStyle w:val="prastasis1"/>
        <w:numPr>
          <w:ilvl w:val="0"/>
          <w:numId w:val="37"/>
        </w:numPr>
        <w:spacing w:line="276" w:lineRule="auto"/>
        <w:jc w:val="both"/>
        <w:rPr>
          <w:rFonts w:ascii="Georgia" w:hAnsi="Georgia"/>
          <w:sz w:val="20"/>
          <w:szCs w:val="20"/>
        </w:rPr>
      </w:pPr>
      <w:r w:rsidRPr="00760316">
        <w:rPr>
          <w:rFonts w:ascii="Georgia" w:hAnsi="Georgia"/>
          <w:sz w:val="20"/>
          <w:szCs w:val="20"/>
        </w:rPr>
        <w:t xml:space="preserve">paskola savivaldybėms arba jų paskirtiems subjektams teikiama iki 100 </w:t>
      </w:r>
      <w:r w:rsidRPr="000700E5">
        <w:rPr>
          <w:rFonts w:ascii="Georgia" w:hAnsi="Georgia"/>
          <w:sz w:val="20"/>
          <w:szCs w:val="20"/>
        </w:rPr>
        <w:t>%</w:t>
      </w:r>
      <w:r>
        <w:rPr>
          <w:rFonts w:ascii="Georgia" w:hAnsi="Georgia"/>
          <w:sz w:val="20"/>
          <w:szCs w:val="20"/>
        </w:rPr>
        <w:t xml:space="preserve"> projekto</w:t>
      </w:r>
      <w:r w:rsidRPr="00760316">
        <w:rPr>
          <w:rFonts w:ascii="Georgia" w:hAnsi="Georgia"/>
          <w:sz w:val="20"/>
          <w:szCs w:val="20"/>
        </w:rPr>
        <w:t xml:space="preserve"> vertės, </w:t>
      </w:r>
      <w:r w:rsidRPr="00681F7B">
        <w:rPr>
          <w:rFonts w:ascii="Georgia" w:hAnsi="Georgia"/>
          <w:sz w:val="20"/>
          <w:szCs w:val="20"/>
        </w:rPr>
        <w:t>paskola</w:t>
      </w:r>
      <w:r w:rsidRPr="00760316">
        <w:rPr>
          <w:rFonts w:ascii="Georgia" w:hAnsi="Georgia"/>
          <w:sz w:val="20"/>
          <w:szCs w:val="20"/>
        </w:rPr>
        <w:t xml:space="preserve"> ESCO įmonėms</w:t>
      </w:r>
      <w:r w:rsidRPr="00681F7B">
        <w:rPr>
          <w:rFonts w:ascii="Georgia" w:hAnsi="Georgia"/>
          <w:sz w:val="20"/>
          <w:szCs w:val="20"/>
        </w:rPr>
        <w:t xml:space="preserve"> teikiama iki 80 % projekto vertės; </w:t>
      </w:r>
    </w:p>
    <w:p w14:paraId="049BA45E" w14:textId="77777777" w:rsidR="002A576D" w:rsidRDefault="002A576D" w:rsidP="002A576D">
      <w:pPr>
        <w:pStyle w:val="prastasis1"/>
        <w:numPr>
          <w:ilvl w:val="0"/>
          <w:numId w:val="37"/>
        </w:numPr>
        <w:spacing w:line="276" w:lineRule="auto"/>
        <w:jc w:val="both"/>
        <w:rPr>
          <w:rFonts w:ascii="Georgia" w:hAnsi="Georgia"/>
          <w:sz w:val="20"/>
          <w:szCs w:val="20"/>
        </w:rPr>
      </w:pPr>
      <w:r>
        <w:rPr>
          <w:rFonts w:ascii="Georgia" w:hAnsi="Georgia"/>
          <w:sz w:val="20"/>
          <w:szCs w:val="20"/>
        </w:rPr>
        <w:t>iš savivaldybių gali būti prašomos papildomos užtikrinimo priemonės (pvz. sąskaitos įkeitimas);</w:t>
      </w:r>
    </w:p>
    <w:p w14:paraId="50D54217" w14:textId="77777777" w:rsidR="002A576D" w:rsidRPr="001C63DB" w:rsidRDefault="002A576D" w:rsidP="002A576D">
      <w:pPr>
        <w:pStyle w:val="prastasis1"/>
        <w:numPr>
          <w:ilvl w:val="0"/>
          <w:numId w:val="37"/>
        </w:numPr>
        <w:spacing w:line="276" w:lineRule="auto"/>
        <w:jc w:val="both"/>
        <w:rPr>
          <w:rFonts w:ascii="Georgia" w:hAnsi="Georgia"/>
          <w:sz w:val="20"/>
          <w:szCs w:val="20"/>
        </w:rPr>
      </w:pPr>
      <w:r w:rsidRPr="001C63DB">
        <w:rPr>
          <w:rFonts w:ascii="Georgia" w:hAnsi="Georgia"/>
          <w:sz w:val="20"/>
          <w:szCs w:val="20"/>
        </w:rPr>
        <w:t xml:space="preserve">projektams gali būti teikiama </w:t>
      </w:r>
      <w:r w:rsidR="003A0690" w:rsidRPr="00DA65C2">
        <w:rPr>
          <w:rFonts w:ascii="Georgia" w:hAnsi="Georgia"/>
          <w:sz w:val="20"/>
          <w:szCs w:val="20"/>
        </w:rPr>
        <w:t>papildoma</w:t>
      </w:r>
      <w:r w:rsidRPr="001C63DB">
        <w:rPr>
          <w:rFonts w:ascii="Georgia" w:hAnsi="Georgia"/>
          <w:sz w:val="20"/>
          <w:szCs w:val="20"/>
        </w:rPr>
        <w:t xml:space="preserve"> subsidija iš nacionalinių lėšų šaltinių;</w:t>
      </w:r>
    </w:p>
    <w:p w14:paraId="20555196" w14:textId="77777777" w:rsidR="002A576D" w:rsidRPr="009A01F7" w:rsidRDefault="002A576D" w:rsidP="002A576D">
      <w:pPr>
        <w:pStyle w:val="prastasis1"/>
        <w:numPr>
          <w:ilvl w:val="0"/>
          <w:numId w:val="37"/>
        </w:numPr>
        <w:spacing w:line="276" w:lineRule="auto"/>
        <w:jc w:val="both"/>
        <w:rPr>
          <w:rFonts w:ascii="Georgia" w:hAnsi="Georgia"/>
          <w:sz w:val="20"/>
          <w:szCs w:val="20"/>
        </w:rPr>
      </w:pPr>
      <w:r w:rsidRPr="009A01F7">
        <w:rPr>
          <w:rFonts w:ascii="Georgia" w:hAnsi="Georgia"/>
          <w:sz w:val="20"/>
          <w:szCs w:val="20"/>
        </w:rPr>
        <w:t>ESCO kompanijos, įgyvendin</w:t>
      </w:r>
      <w:r>
        <w:rPr>
          <w:rFonts w:ascii="Georgia" w:hAnsi="Georgia"/>
          <w:sz w:val="20"/>
          <w:szCs w:val="20"/>
        </w:rPr>
        <w:t>d</w:t>
      </w:r>
      <w:r w:rsidRPr="009A01F7">
        <w:rPr>
          <w:rFonts w:ascii="Georgia" w:hAnsi="Georgia"/>
          <w:sz w:val="20"/>
          <w:szCs w:val="20"/>
        </w:rPr>
        <w:t>amos projektą, privalo prisidėti savomis lėšomis;</w:t>
      </w:r>
    </w:p>
    <w:p w14:paraId="0427AA2F" w14:textId="5E3367DB" w:rsidR="002A576D" w:rsidRPr="00A02F36" w:rsidRDefault="002A576D" w:rsidP="002A576D">
      <w:pPr>
        <w:pStyle w:val="prastasis1"/>
        <w:numPr>
          <w:ilvl w:val="0"/>
          <w:numId w:val="37"/>
        </w:numPr>
        <w:spacing w:line="276" w:lineRule="auto"/>
        <w:jc w:val="both"/>
        <w:rPr>
          <w:rFonts w:ascii="Georgia" w:hAnsi="Georgia"/>
          <w:sz w:val="20"/>
          <w:szCs w:val="20"/>
        </w:rPr>
      </w:pPr>
      <w:r w:rsidRPr="00A02F36">
        <w:rPr>
          <w:rFonts w:ascii="Georgia" w:hAnsi="Georgia"/>
          <w:sz w:val="20"/>
          <w:szCs w:val="20"/>
        </w:rPr>
        <w:t>grįžtančios lėšos iš paskolų reinvestuojamos į naujus projektus</w:t>
      </w:r>
      <w:r w:rsidR="00541A2C">
        <w:rPr>
          <w:rFonts w:ascii="Georgia" w:hAnsi="Georgia"/>
          <w:sz w:val="20"/>
          <w:szCs w:val="20"/>
        </w:rPr>
        <w:t xml:space="preserve"> arba skiriamos privatiems investuotojams pirmumo tvarka atlyginti (</w:t>
      </w:r>
      <w:r w:rsidR="00390353">
        <w:rPr>
          <w:rFonts w:ascii="Georgia" w:hAnsi="Georgia"/>
          <w:sz w:val="20"/>
        </w:rPr>
        <w:t>Bendrųjų nuostatų reglamento 44 str. 1(b) punktas)</w:t>
      </w:r>
      <w:r>
        <w:rPr>
          <w:rFonts w:ascii="Georgia" w:hAnsi="Georgia"/>
          <w:sz w:val="20"/>
          <w:szCs w:val="20"/>
        </w:rPr>
        <w:t>.</w:t>
      </w:r>
    </w:p>
    <w:p w14:paraId="00B87384" w14:textId="77777777" w:rsidR="00943479" w:rsidRDefault="00943479" w:rsidP="002A576D">
      <w:pPr>
        <w:rPr>
          <w:lang w:val="lt-LT"/>
        </w:rPr>
      </w:pPr>
    </w:p>
    <w:p w14:paraId="3F344966" w14:textId="6B0BA87B" w:rsidR="002A576D" w:rsidRPr="0064135E" w:rsidRDefault="00AD11DB" w:rsidP="002A576D">
      <w:pPr>
        <w:rPr>
          <w:lang w:val="lt-LT"/>
        </w:rPr>
      </w:pPr>
      <w:r>
        <w:rPr>
          <w:rFonts w:ascii="Georgia" w:hAnsi="Georgia"/>
          <w:noProof/>
          <w:sz w:val="20"/>
          <w:szCs w:val="20"/>
          <w:lang w:val="lt-LT" w:eastAsia="lt-LT"/>
        </w:rPr>
        <w:drawing>
          <wp:inline distT="0" distB="0" distL="0" distR="0" wp14:anchorId="524582EC" wp14:editId="4FBC6E0D">
            <wp:extent cx="5731510" cy="1410970"/>
            <wp:effectExtent l="0" t="0" r="254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Savivaldybe Nr. 2.jpg"/>
                    <pic:cNvPicPr/>
                  </pic:nvPicPr>
                  <pic:blipFill>
                    <a:blip r:embed="rId63" cstate="screen">
                      <a:extLst>
                        <a:ext uri="{28A0092B-C50C-407E-A947-70E740481C1C}">
                          <a14:useLocalDpi xmlns:a14="http://schemas.microsoft.com/office/drawing/2010/main"/>
                        </a:ext>
                      </a:extLst>
                    </a:blip>
                    <a:stretch>
                      <a:fillRect/>
                    </a:stretch>
                  </pic:blipFill>
                  <pic:spPr>
                    <a:xfrm>
                      <a:off x="0" y="0"/>
                      <a:ext cx="5731510" cy="1410970"/>
                    </a:xfrm>
                    <a:prstGeom prst="rect">
                      <a:avLst/>
                    </a:prstGeom>
                  </pic:spPr>
                </pic:pic>
              </a:graphicData>
            </a:graphic>
          </wp:inline>
        </w:drawing>
      </w:r>
    </w:p>
    <w:p w14:paraId="53F09B9B" w14:textId="201DA6E1" w:rsidR="002A576D" w:rsidRPr="005B4195" w:rsidRDefault="002A576D" w:rsidP="002A576D">
      <w:pPr>
        <w:pStyle w:val="Antrat"/>
        <w:jc w:val="both"/>
        <w:rPr>
          <w:rFonts w:eastAsia="Times New Roman"/>
          <w:szCs w:val="20"/>
          <w:lang w:val="lt-LT" w:eastAsia="lt-LT"/>
        </w:rPr>
      </w:pPr>
      <w:bookmarkStart w:id="418" w:name="_Toc417378345"/>
      <w:r w:rsidRPr="005B4195">
        <w:rPr>
          <w:lang w:val="lt-LT"/>
        </w:rPr>
        <w:t xml:space="preserve">Paveikslas </w:t>
      </w:r>
      <w:r w:rsidRPr="005B4195">
        <w:rPr>
          <w:lang w:val="lt-LT"/>
        </w:rPr>
        <w:fldChar w:fldCharType="begin"/>
      </w:r>
      <w:r w:rsidRPr="005B4195">
        <w:rPr>
          <w:lang w:val="lt-LT"/>
        </w:rPr>
        <w:instrText xml:space="preserve"> SEQ Paveikslas \* ARABIC </w:instrText>
      </w:r>
      <w:r w:rsidRPr="005B4195">
        <w:rPr>
          <w:lang w:val="lt-LT"/>
        </w:rPr>
        <w:fldChar w:fldCharType="separate"/>
      </w:r>
      <w:r w:rsidR="00AA3082">
        <w:rPr>
          <w:noProof/>
          <w:lang w:val="lt-LT"/>
        </w:rPr>
        <w:t>68</w:t>
      </w:r>
      <w:r w:rsidRPr="005B4195">
        <w:rPr>
          <w:lang w:val="lt-LT"/>
        </w:rPr>
        <w:fldChar w:fldCharType="end"/>
      </w:r>
      <w:r w:rsidRPr="005B4195">
        <w:rPr>
          <w:lang w:val="lt-LT"/>
        </w:rPr>
        <w:t xml:space="preserve">. </w:t>
      </w:r>
      <w:r w:rsidRPr="005B4195">
        <w:rPr>
          <w:rFonts w:eastAsia="Times New Roman"/>
          <w:szCs w:val="20"/>
          <w:lang w:val="lt-LT" w:eastAsia="lt-LT"/>
        </w:rPr>
        <w:t xml:space="preserve">Siūloma </w:t>
      </w:r>
      <w:r>
        <w:rPr>
          <w:rFonts w:eastAsia="Times New Roman"/>
          <w:szCs w:val="20"/>
          <w:lang w:val="lt-LT" w:eastAsia="lt-LT"/>
        </w:rPr>
        <w:t xml:space="preserve">savivaldybių viešųjų </w:t>
      </w:r>
      <w:r w:rsidRPr="005B4195">
        <w:rPr>
          <w:rFonts w:eastAsia="Times New Roman"/>
          <w:szCs w:val="20"/>
          <w:lang w:val="lt-LT" w:eastAsia="lt-LT"/>
        </w:rPr>
        <w:t>pastatų renovacijos, naudojant finansines priemones, schema</w:t>
      </w:r>
      <w:bookmarkEnd w:id="418"/>
    </w:p>
    <w:p w14:paraId="033366D3" w14:textId="6912EB8E" w:rsidR="000E4BA5" w:rsidRDefault="000E4BA5" w:rsidP="002A576D">
      <w:pPr>
        <w:pStyle w:val="prastasis1"/>
        <w:spacing w:line="276" w:lineRule="auto"/>
        <w:jc w:val="both"/>
        <w:rPr>
          <w:rFonts w:ascii="Georgia" w:hAnsi="Georgia"/>
          <w:sz w:val="20"/>
          <w:szCs w:val="20"/>
        </w:rPr>
      </w:pPr>
      <w:r>
        <w:rPr>
          <w:rFonts w:ascii="Georgia" w:hAnsi="Georgia"/>
          <w:sz w:val="20"/>
          <w:szCs w:val="20"/>
        </w:rPr>
        <w:t xml:space="preserve">Europos Komisija </w:t>
      </w:r>
      <w:r w:rsidR="00AD11DB">
        <w:rPr>
          <w:rFonts w:ascii="Georgia" w:hAnsi="Georgia"/>
          <w:sz w:val="20"/>
          <w:szCs w:val="20"/>
        </w:rPr>
        <w:t>yra parengusi</w:t>
      </w:r>
      <w:r>
        <w:rPr>
          <w:rFonts w:ascii="Georgia" w:hAnsi="Georgia"/>
          <w:sz w:val="20"/>
          <w:szCs w:val="20"/>
        </w:rPr>
        <w:t xml:space="preserve"> finansinių priemonių ir subsidijų derinimo gaires</w:t>
      </w:r>
      <w:r w:rsidR="00254881">
        <w:rPr>
          <w:rFonts w:ascii="Georgia" w:hAnsi="Georgia"/>
          <w:sz w:val="20"/>
          <w:szCs w:val="20"/>
        </w:rPr>
        <w:t xml:space="preserve">. </w:t>
      </w:r>
      <w:r w:rsidR="00AD11DB">
        <w:rPr>
          <w:rFonts w:ascii="Georgia" w:hAnsi="Georgia"/>
          <w:sz w:val="20"/>
          <w:szCs w:val="20"/>
        </w:rPr>
        <w:t xml:space="preserve">Tačiau </w:t>
      </w:r>
      <w:r>
        <w:rPr>
          <w:rFonts w:ascii="Georgia" w:hAnsi="Georgia"/>
          <w:sz w:val="20"/>
          <w:szCs w:val="20"/>
        </w:rPr>
        <w:t>šios</w:t>
      </w:r>
      <w:r w:rsidR="00AD11DB">
        <w:rPr>
          <w:rFonts w:ascii="Georgia" w:hAnsi="Georgia"/>
          <w:sz w:val="20"/>
          <w:szCs w:val="20"/>
        </w:rPr>
        <w:t>e</w:t>
      </w:r>
      <w:r>
        <w:rPr>
          <w:rFonts w:ascii="Georgia" w:hAnsi="Georgia"/>
          <w:sz w:val="20"/>
          <w:szCs w:val="20"/>
        </w:rPr>
        <w:t xml:space="preserve"> gairės</w:t>
      </w:r>
      <w:r w:rsidR="00AD11DB">
        <w:rPr>
          <w:rFonts w:ascii="Georgia" w:hAnsi="Georgia"/>
          <w:sz w:val="20"/>
          <w:szCs w:val="20"/>
        </w:rPr>
        <w:t>e esantys suvaržymai nesuteikia praktinės galimybės derinti subsidiją ir paskolą finansinės priemonės apimtyje</w:t>
      </w:r>
      <w:r>
        <w:rPr>
          <w:rFonts w:ascii="Georgia" w:hAnsi="Georgia"/>
          <w:sz w:val="20"/>
          <w:szCs w:val="20"/>
        </w:rPr>
        <w:t>.</w:t>
      </w:r>
      <w:r w:rsidR="00AD11DB">
        <w:rPr>
          <w:rFonts w:ascii="Georgia" w:hAnsi="Georgia"/>
          <w:sz w:val="20"/>
          <w:szCs w:val="20"/>
        </w:rPr>
        <w:t xml:space="preserve"> </w:t>
      </w:r>
      <w:r>
        <w:rPr>
          <w:rFonts w:ascii="Georgia" w:hAnsi="Georgia"/>
          <w:sz w:val="20"/>
          <w:szCs w:val="20"/>
        </w:rPr>
        <w:t xml:space="preserve">Tuo atveju, </w:t>
      </w:r>
      <w:r w:rsidRPr="000E4BA5">
        <w:rPr>
          <w:rFonts w:ascii="Georgia" w:hAnsi="Georgia"/>
          <w:b/>
          <w:sz w:val="20"/>
          <w:szCs w:val="20"/>
        </w:rPr>
        <w:t xml:space="preserve">jei </w:t>
      </w:r>
      <w:r w:rsidR="00AD11DB">
        <w:rPr>
          <w:rFonts w:ascii="Georgia" w:hAnsi="Georgia"/>
          <w:b/>
          <w:sz w:val="20"/>
          <w:szCs w:val="20"/>
        </w:rPr>
        <w:t>bus papildomi pakeitimai ar naujos gairės</w:t>
      </w:r>
      <w:r w:rsidR="006D46DC">
        <w:rPr>
          <w:rFonts w:ascii="Georgia" w:hAnsi="Georgia"/>
          <w:b/>
          <w:sz w:val="20"/>
          <w:szCs w:val="20"/>
        </w:rPr>
        <w:t>,</w:t>
      </w:r>
      <w:r w:rsidR="00AD11DB">
        <w:rPr>
          <w:rFonts w:ascii="Georgia" w:hAnsi="Georgia"/>
          <w:b/>
          <w:sz w:val="20"/>
          <w:szCs w:val="20"/>
        </w:rPr>
        <w:t xml:space="preserve"> </w:t>
      </w:r>
      <w:r w:rsidRPr="000E4BA5">
        <w:rPr>
          <w:rFonts w:ascii="Georgia" w:hAnsi="Georgia"/>
          <w:b/>
          <w:sz w:val="20"/>
          <w:szCs w:val="20"/>
        </w:rPr>
        <w:t xml:space="preserve">reikalinga koreguoti finansinį produktą pagal gairėse nustatytas taisykles, </w:t>
      </w:r>
      <w:r w:rsidR="00AD11DB">
        <w:rPr>
          <w:rFonts w:ascii="Georgia" w:hAnsi="Georgia"/>
          <w:b/>
          <w:sz w:val="20"/>
          <w:szCs w:val="20"/>
        </w:rPr>
        <w:t xml:space="preserve">tačiau </w:t>
      </w:r>
      <w:r w:rsidRPr="000E4BA5">
        <w:rPr>
          <w:rFonts w:ascii="Georgia" w:hAnsi="Georgia"/>
          <w:b/>
          <w:sz w:val="20"/>
          <w:szCs w:val="20"/>
        </w:rPr>
        <w:t>laikoma, kad ex ante vertinimo koreguoti nebūtų reikalinga</w:t>
      </w:r>
      <w:r>
        <w:rPr>
          <w:rFonts w:ascii="Georgia" w:hAnsi="Georgia"/>
          <w:sz w:val="20"/>
          <w:szCs w:val="20"/>
        </w:rPr>
        <w:t xml:space="preserve">. </w:t>
      </w:r>
      <w:r w:rsidR="00254881">
        <w:rPr>
          <w:rFonts w:ascii="Georgia" w:hAnsi="Georgia"/>
          <w:sz w:val="20"/>
          <w:szCs w:val="20"/>
        </w:rPr>
        <w:t>Tokios finansinio produkto korekcijos galėtų apimti, pavyzdžiui, 0 proc. palūkanų taikymą vietoje 2 proc.</w:t>
      </w:r>
      <w:r w:rsidR="00C63CC1">
        <w:rPr>
          <w:rFonts w:ascii="Georgia" w:hAnsi="Georgia"/>
          <w:sz w:val="20"/>
          <w:szCs w:val="20"/>
        </w:rPr>
        <w:t>,</w:t>
      </w:r>
      <w:r w:rsidR="00254881">
        <w:rPr>
          <w:rFonts w:ascii="Georgia" w:hAnsi="Georgia"/>
          <w:sz w:val="20"/>
          <w:szCs w:val="20"/>
        </w:rPr>
        <w:t xml:space="preserve"> palūkanų kompensavim</w:t>
      </w:r>
      <w:r w:rsidR="00C63CC1">
        <w:rPr>
          <w:rFonts w:ascii="Georgia" w:hAnsi="Georgia"/>
          <w:sz w:val="20"/>
          <w:szCs w:val="20"/>
        </w:rPr>
        <w:t>o mechanizmo taikymą</w:t>
      </w:r>
      <w:r w:rsidR="00254881">
        <w:rPr>
          <w:rFonts w:ascii="Georgia" w:hAnsi="Georgia"/>
          <w:sz w:val="20"/>
          <w:szCs w:val="20"/>
        </w:rPr>
        <w:t xml:space="preserve">, techninės paramos apmokėjimo tvarką ir kitus aktualius pasikeitimus. </w:t>
      </w:r>
    </w:p>
    <w:p w14:paraId="65FC5317" w14:textId="77777777" w:rsidR="002A576D" w:rsidRPr="00AA32EA" w:rsidRDefault="002A576D" w:rsidP="002A576D">
      <w:pPr>
        <w:pStyle w:val="Antrat2"/>
        <w:numPr>
          <w:ilvl w:val="2"/>
          <w:numId w:val="2"/>
        </w:numPr>
        <w:spacing w:after="240"/>
        <w:rPr>
          <w:lang w:val="lt-LT"/>
        </w:rPr>
      </w:pPr>
      <w:bookmarkStart w:id="419" w:name="_Toc417378459"/>
      <w:r w:rsidRPr="00AA32EA">
        <w:rPr>
          <w:lang w:val="lt-LT"/>
        </w:rPr>
        <w:t>Finansinės priemonės derinimas su parama</w:t>
      </w:r>
      <w:bookmarkEnd w:id="419"/>
    </w:p>
    <w:p w14:paraId="1C0C7A2B" w14:textId="57FE5683" w:rsidR="002A576D" w:rsidRDefault="002A576D" w:rsidP="002A576D">
      <w:pPr>
        <w:jc w:val="both"/>
        <w:rPr>
          <w:rFonts w:ascii="Georgia" w:eastAsia="Times New Roman" w:hAnsi="Georgia" w:cs="Times New Roman"/>
          <w:sz w:val="20"/>
          <w:szCs w:val="20"/>
          <w:lang w:val="lt-LT" w:eastAsia="lt-LT"/>
        </w:rPr>
      </w:pPr>
      <w:r w:rsidRPr="00AE7E91">
        <w:rPr>
          <w:rFonts w:ascii="Georgia" w:eastAsia="Times New Roman" w:hAnsi="Georgia" w:cs="Times New Roman"/>
          <w:sz w:val="20"/>
          <w:szCs w:val="20"/>
          <w:lang w:val="lt-LT" w:eastAsia="lt-LT"/>
        </w:rPr>
        <w:t xml:space="preserve">4.1 dalyje buvo atlikta viešųjų pastatų energijos efektyvumo projektų jautrumo analizė, kurioje buvo nustatyta, kad </w:t>
      </w:r>
      <w:r w:rsidR="00B07DD8">
        <w:rPr>
          <w:rFonts w:ascii="Georgia" w:eastAsia="Times New Roman" w:hAnsi="Georgia" w:cs="Times New Roman"/>
          <w:sz w:val="20"/>
          <w:szCs w:val="20"/>
          <w:lang w:val="lt-LT" w:eastAsia="lt-LT"/>
        </w:rPr>
        <w:t>viešųjų pastatų</w:t>
      </w:r>
      <w:r w:rsidR="00B07DD8" w:rsidRPr="00AE7E91">
        <w:rPr>
          <w:rFonts w:ascii="Georgia" w:eastAsia="Times New Roman" w:hAnsi="Georgia" w:cs="Times New Roman"/>
          <w:sz w:val="20"/>
          <w:szCs w:val="20"/>
          <w:lang w:val="lt-LT" w:eastAsia="lt-LT"/>
        </w:rPr>
        <w:t xml:space="preserve"> </w:t>
      </w:r>
      <w:r w:rsidR="00392908">
        <w:rPr>
          <w:rFonts w:ascii="Georgia" w:eastAsia="Times New Roman" w:hAnsi="Georgia" w:cs="Times New Roman"/>
          <w:sz w:val="20"/>
          <w:szCs w:val="20"/>
          <w:lang w:val="lt-LT" w:eastAsia="lt-LT"/>
        </w:rPr>
        <w:t xml:space="preserve">renovacijos </w:t>
      </w:r>
      <w:r w:rsidRPr="00AE7E91">
        <w:rPr>
          <w:rFonts w:ascii="Georgia" w:eastAsia="Times New Roman" w:hAnsi="Georgia" w:cs="Times New Roman"/>
          <w:sz w:val="20"/>
          <w:szCs w:val="20"/>
          <w:lang w:val="lt-LT" w:eastAsia="lt-LT"/>
        </w:rPr>
        <w:t xml:space="preserve">projektų atsipirkimo per 20 m. laikotarpį užtikrinimui yra reikalinga 20 </w:t>
      </w:r>
      <w:r>
        <w:rPr>
          <w:rFonts w:ascii="Georgia" w:eastAsia="Times New Roman" w:hAnsi="Georgia" w:cs="Times New Roman"/>
          <w:sz w:val="20"/>
          <w:szCs w:val="20"/>
          <w:lang w:val="lt-LT" w:eastAsia="lt-LT"/>
        </w:rPr>
        <w:t>proc.</w:t>
      </w:r>
      <w:r w:rsidRPr="00AE7E91">
        <w:rPr>
          <w:rFonts w:ascii="Georgia" w:eastAsia="Times New Roman" w:hAnsi="Georgia" w:cs="Times New Roman"/>
          <w:sz w:val="20"/>
          <w:szCs w:val="20"/>
          <w:lang w:val="lt-LT" w:eastAsia="lt-LT"/>
        </w:rPr>
        <w:t xml:space="preserve"> subsidija. </w:t>
      </w:r>
      <w:r>
        <w:rPr>
          <w:rFonts w:ascii="Georgia" w:eastAsia="Times New Roman" w:hAnsi="Georgia" w:cs="Times New Roman"/>
          <w:sz w:val="20"/>
          <w:szCs w:val="20"/>
          <w:lang w:val="lt-LT" w:eastAsia="lt-LT"/>
        </w:rPr>
        <w:t>Pažymėtina, kad 20 proc.</w:t>
      </w:r>
      <w:r w:rsidRPr="00AE7E91">
        <w:rPr>
          <w:rFonts w:ascii="Georgia" w:eastAsia="Times New Roman" w:hAnsi="Georgia" w:cs="Times New Roman"/>
          <w:sz w:val="20"/>
          <w:szCs w:val="20"/>
          <w:lang w:val="lt-LT" w:eastAsia="lt-LT"/>
        </w:rPr>
        <w:t xml:space="preserve"> subsidijos poreikis buvo apskaičiuotas vertinant vidutinius </w:t>
      </w:r>
      <w:r>
        <w:rPr>
          <w:rFonts w:ascii="Georgia" w:eastAsia="Times New Roman" w:hAnsi="Georgia" w:cs="Times New Roman"/>
          <w:sz w:val="20"/>
          <w:szCs w:val="20"/>
          <w:lang w:val="lt-LT" w:eastAsia="lt-LT"/>
        </w:rPr>
        <w:t>viešųjų</w:t>
      </w:r>
      <w:r w:rsidRPr="00AE7E91">
        <w:rPr>
          <w:rFonts w:ascii="Georgia" w:eastAsia="Times New Roman" w:hAnsi="Georgia" w:cs="Times New Roman"/>
          <w:sz w:val="20"/>
          <w:szCs w:val="20"/>
          <w:lang w:val="lt-LT" w:eastAsia="lt-LT"/>
        </w:rPr>
        <w:t xml:space="preserve"> pastatų duomenis (t.y. vidutinis plotas, vidutinis sutaupymas ir pan.)</w:t>
      </w:r>
      <w:r>
        <w:rPr>
          <w:rFonts w:ascii="Georgia" w:eastAsia="Times New Roman" w:hAnsi="Georgia" w:cs="Times New Roman"/>
          <w:sz w:val="20"/>
          <w:szCs w:val="20"/>
          <w:lang w:val="lt-LT" w:eastAsia="lt-LT"/>
        </w:rPr>
        <w:t xml:space="preserve">. </w:t>
      </w:r>
      <w:r w:rsidR="00D97820" w:rsidRPr="00AE7E91">
        <w:rPr>
          <w:rFonts w:ascii="Georgia" w:eastAsia="Times New Roman" w:hAnsi="Georgia" w:cs="Times New Roman"/>
          <w:sz w:val="20"/>
          <w:szCs w:val="20"/>
          <w:lang w:val="lt-LT" w:eastAsia="lt-LT"/>
        </w:rPr>
        <w:t xml:space="preserve">Todėl rekomenduojama </w:t>
      </w:r>
      <w:r w:rsidR="00D97820">
        <w:rPr>
          <w:rFonts w:ascii="Georgia" w:eastAsia="Times New Roman" w:hAnsi="Georgia" w:cs="Times New Roman"/>
          <w:sz w:val="20"/>
          <w:szCs w:val="20"/>
          <w:lang w:val="lt-LT" w:eastAsia="lt-LT"/>
        </w:rPr>
        <w:t>ministerijoms ieškoti papildomų subsidijos šaltinių</w:t>
      </w:r>
      <w:r w:rsidR="003A0690">
        <w:rPr>
          <w:rFonts w:ascii="Georgia" w:eastAsia="Times New Roman" w:hAnsi="Georgia" w:cs="Times New Roman"/>
          <w:sz w:val="20"/>
          <w:szCs w:val="20"/>
          <w:lang w:val="lt-LT" w:eastAsia="lt-LT"/>
        </w:rPr>
        <w:t xml:space="preserve">. </w:t>
      </w:r>
    </w:p>
    <w:p w14:paraId="25B781D0" w14:textId="77777777" w:rsidR="002A576D" w:rsidRDefault="002A576D" w:rsidP="002A576D">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Vadovaujantis Finansinių priemonių taisyklėmis, finansinės priemonės gali būti derinamos su parama laikantis šių nuostatų:</w:t>
      </w:r>
    </w:p>
    <w:p w14:paraId="0BFBD944" w14:textId="77777777" w:rsidR="002A576D" w:rsidRDefault="002A576D" w:rsidP="002A576D">
      <w:pPr>
        <w:pStyle w:val="Sraopastraipa"/>
        <w:numPr>
          <w:ilvl w:val="0"/>
          <w:numId w:val="108"/>
        </w:numPr>
        <w:jc w:val="both"/>
        <w:rPr>
          <w:rFonts w:ascii="Georgia" w:eastAsia="Times New Roman" w:hAnsi="Georgia" w:cs="Times New Roman"/>
          <w:i/>
          <w:sz w:val="20"/>
          <w:szCs w:val="20"/>
          <w:lang w:val="lt-LT" w:eastAsia="lt-LT"/>
        </w:rPr>
      </w:pPr>
      <w:r>
        <w:rPr>
          <w:rFonts w:ascii="Georgia" w:eastAsia="Times New Roman" w:hAnsi="Georgia" w:cs="Times New Roman"/>
          <w:i/>
          <w:sz w:val="20"/>
          <w:szCs w:val="20"/>
          <w:lang w:val="lt-LT" w:eastAsia="lt-LT"/>
        </w:rPr>
        <w:t xml:space="preserve">Finansinės priemonės gali būti derinamos su negrąžinamosiomis subsidijomis ir kitomis finansinėmis priemonėmis laikantis reikalavimų, nustatytų Reglamente (ES) Nr. 1303/2013. Vadovaujantis Reglamento (ES) Nr. 1303/2013 37 straipsnio 9 </w:t>
      </w:r>
      <w:r w:rsidRPr="0076706E">
        <w:rPr>
          <w:rFonts w:ascii="Georgia" w:eastAsia="Times New Roman" w:hAnsi="Georgia" w:cs="Times New Roman"/>
          <w:i/>
          <w:sz w:val="20"/>
          <w:szCs w:val="20"/>
          <w:lang w:val="lt-LT" w:eastAsia="lt-LT"/>
        </w:rPr>
        <w:t xml:space="preserve">dalimi, kartu sudėjus visas finansavimo formas, konkrečioms išlaidoms finansuoti negali būti skirta </w:t>
      </w:r>
      <w:r w:rsidRPr="00760316">
        <w:rPr>
          <w:rFonts w:ascii="Georgia" w:eastAsia="Times New Roman" w:hAnsi="Georgia" w:cs="Times New Roman"/>
          <w:i/>
          <w:sz w:val="20"/>
          <w:szCs w:val="20"/>
          <w:lang w:val="lt-LT" w:eastAsia="lt-LT"/>
        </w:rPr>
        <w:t xml:space="preserve">daugiau nei 100 procentų šių išlaidų dydžio sumos, </w:t>
      </w:r>
      <w:r>
        <w:rPr>
          <w:rFonts w:ascii="Georgia" w:eastAsia="Times New Roman" w:hAnsi="Georgia" w:cs="Times New Roman"/>
          <w:i/>
          <w:sz w:val="20"/>
          <w:szCs w:val="20"/>
          <w:lang w:val="lt-LT" w:eastAsia="lt-LT"/>
        </w:rPr>
        <w:t>taip pat turi būti nepažeidžiami valstybės pagalbos taisyklėse nustatyti reikalavimai.</w:t>
      </w:r>
    </w:p>
    <w:p w14:paraId="57CAAADE" w14:textId="77777777" w:rsidR="002A576D" w:rsidRDefault="002A576D" w:rsidP="002A576D">
      <w:pPr>
        <w:pStyle w:val="Sraopastraipa"/>
        <w:numPr>
          <w:ilvl w:val="0"/>
          <w:numId w:val="108"/>
        </w:numPr>
        <w:jc w:val="both"/>
        <w:rPr>
          <w:rFonts w:ascii="Georgia" w:eastAsia="Times New Roman" w:hAnsi="Georgia" w:cs="Times New Roman"/>
          <w:i/>
          <w:sz w:val="20"/>
          <w:szCs w:val="20"/>
          <w:lang w:val="lt-LT" w:eastAsia="lt-LT"/>
        </w:rPr>
      </w:pPr>
      <w:r>
        <w:rPr>
          <w:rFonts w:ascii="Georgia" w:eastAsia="Times New Roman" w:hAnsi="Georgia" w:cs="Times New Roman"/>
          <w:i/>
          <w:sz w:val="20"/>
          <w:szCs w:val="20"/>
          <w:lang w:val="lt-LT" w:eastAsia="lt-LT"/>
        </w:rPr>
        <w:t xml:space="preserve">Galutiniai naudos gavėjai gali gauti negrąžinamąsias subsidijas ar kitą finansavimą, kaip nurodyta Reglamento (ES) Nr. 1303/2013 37 straipsnio 8 dalyje, tačiau </w:t>
      </w:r>
      <w:r w:rsidRPr="00760316">
        <w:rPr>
          <w:rFonts w:ascii="Georgia" w:eastAsia="Times New Roman" w:hAnsi="Georgia" w:cs="Times New Roman"/>
          <w:i/>
          <w:sz w:val="20"/>
          <w:szCs w:val="20"/>
          <w:lang w:val="lt-LT" w:eastAsia="lt-LT"/>
        </w:rPr>
        <w:t xml:space="preserve">negrąžinamosios subsidijos negali būti naudojamos padengti įsipareigojimams, prisiimtiems gavus finansavimą pagal finansines priemones, o finansinių priemonių finansavimo lėšos negali būti naudojamos apmokėti išlaidoms, kurioms skiriama negrąžinamoji subsidija, </w:t>
      </w:r>
      <w:r>
        <w:rPr>
          <w:rFonts w:ascii="Georgia" w:eastAsia="Times New Roman" w:hAnsi="Georgia" w:cs="Times New Roman"/>
          <w:i/>
          <w:sz w:val="20"/>
          <w:szCs w:val="20"/>
          <w:lang w:val="lt-LT" w:eastAsia="lt-LT"/>
        </w:rPr>
        <w:t>kaip nurodyta Reglamento (ES) Nr. 1303/2013 37 straipsnio 9 dalyje.</w:t>
      </w:r>
    </w:p>
    <w:p w14:paraId="1509E416" w14:textId="77777777" w:rsidR="002A576D" w:rsidRDefault="002A576D" w:rsidP="002A576D">
      <w:pPr>
        <w:pStyle w:val="Sraopastraipa"/>
        <w:numPr>
          <w:ilvl w:val="0"/>
          <w:numId w:val="108"/>
        </w:numPr>
        <w:jc w:val="both"/>
        <w:rPr>
          <w:rFonts w:ascii="Georgia" w:eastAsia="Times New Roman" w:hAnsi="Georgia" w:cs="Times New Roman"/>
          <w:i/>
          <w:sz w:val="20"/>
          <w:szCs w:val="20"/>
          <w:lang w:val="lt-LT" w:eastAsia="lt-LT"/>
        </w:rPr>
      </w:pPr>
      <w:r>
        <w:rPr>
          <w:rFonts w:ascii="Georgia" w:eastAsia="Times New Roman" w:hAnsi="Georgia" w:cs="Times New Roman"/>
          <w:i/>
          <w:sz w:val="20"/>
          <w:szCs w:val="20"/>
          <w:lang w:val="lt-LT" w:eastAsia="lt-LT"/>
        </w:rPr>
        <w:t xml:space="preserve">Finansinės priemonės gali būti derinamos su negrąžinamąja subsidija: </w:t>
      </w:r>
    </w:p>
    <w:p w14:paraId="377FE6E0" w14:textId="77777777" w:rsidR="002A576D" w:rsidRDefault="002A576D" w:rsidP="002A576D">
      <w:pPr>
        <w:pStyle w:val="Sraopastraipa"/>
        <w:numPr>
          <w:ilvl w:val="1"/>
          <w:numId w:val="108"/>
        </w:numPr>
        <w:jc w:val="both"/>
        <w:rPr>
          <w:rFonts w:ascii="Georgia" w:eastAsia="Times New Roman" w:hAnsi="Georgia" w:cs="Times New Roman"/>
          <w:i/>
          <w:sz w:val="20"/>
          <w:szCs w:val="20"/>
          <w:lang w:val="lt-LT" w:eastAsia="lt-LT"/>
        </w:rPr>
      </w:pPr>
      <w:r>
        <w:rPr>
          <w:rFonts w:ascii="Georgia" w:eastAsia="Times New Roman" w:hAnsi="Georgia" w:cs="Times New Roman"/>
          <w:i/>
          <w:sz w:val="20"/>
          <w:szCs w:val="20"/>
          <w:lang w:val="lt-LT" w:eastAsia="lt-LT"/>
        </w:rPr>
        <w:t xml:space="preserve">vadovaujantis Reglamento (ES) Nr. 1303/2013 37 straipsnio 7 dalimi ir Deleguotojo reglamento 5 straipsniu, kai negrąžinamosios subsidijos ir finansinės priemonės, skirtos tiems patiems galutiniams naudos gavėjams, yra tiesiogiai susijusios, finansinės priemonės gali būti įgyvendinamos vykdant vieną projektą kartu su palūkanų normos negrąžinamąja subsidija, garantijos mokesčio negrąžinamąja subsidija ir (ar) remtinų galutinių naudos gavėjų būsimoms investicijoms techniškai parengti skirta techninės paramos negrąžinamąja subsidija. Tokiu atveju, kai </w:t>
      </w:r>
      <w:r>
        <w:rPr>
          <w:rFonts w:ascii="Georgia" w:eastAsia="Times New Roman" w:hAnsi="Georgia" w:cs="Times New Roman"/>
          <w:i/>
          <w:sz w:val="20"/>
          <w:szCs w:val="20"/>
          <w:lang w:val="lt-LT" w:eastAsia="lt-LT"/>
        </w:rPr>
        <w:lastRenderedPageBreak/>
        <w:t>vienas projektas apima kelias finansavimo formas, visoms finansavimo formoms taikomos Finansinių priemonių įgyvendinimo taisyklės;</w:t>
      </w:r>
    </w:p>
    <w:p w14:paraId="40C8F2C5" w14:textId="77777777" w:rsidR="002A576D" w:rsidRDefault="002A576D" w:rsidP="002A576D">
      <w:pPr>
        <w:pStyle w:val="Sraopastraipa"/>
        <w:numPr>
          <w:ilvl w:val="1"/>
          <w:numId w:val="108"/>
        </w:numPr>
        <w:jc w:val="both"/>
        <w:rPr>
          <w:rFonts w:ascii="Georgia" w:eastAsia="Times New Roman" w:hAnsi="Georgia" w:cs="Times New Roman"/>
          <w:i/>
          <w:sz w:val="20"/>
          <w:szCs w:val="20"/>
          <w:lang w:val="lt-LT" w:eastAsia="lt-LT"/>
        </w:rPr>
      </w:pPr>
      <w:r w:rsidRPr="00760316">
        <w:rPr>
          <w:rFonts w:ascii="Georgia" w:eastAsia="Times New Roman" w:hAnsi="Georgia" w:cs="Times New Roman"/>
          <w:i/>
          <w:sz w:val="20"/>
          <w:szCs w:val="20"/>
          <w:lang w:val="lt-LT" w:eastAsia="lt-LT"/>
        </w:rPr>
        <w:t>finansinės priemonės ir negrąžinamosios subsidijos gali būti skirtos toms pačioms ar susijusioms galutinių naudos gavėjų veikloms bendrai finansuoti, įgyvendinant susijusias priemones. Gali būti taikomos abi finansavimo formos  arba kurios nors finansavimo formos taikymas gali būti išankstinė kitos finansavimo formos taikymo sąlyga,</w:t>
      </w:r>
      <w:r>
        <w:rPr>
          <w:rFonts w:ascii="Georgia" w:eastAsia="Times New Roman" w:hAnsi="Georgia" w:cs="Times New Roman"/>
          <w:i/>
          <w:sz w:val="20"/>
          <w:szCs w:val="20"/>
          <w:lang w:val="lt-LT" w:eastAsia="lt-LT"/>
        </w:rPr>
        <w:t xml:space="preserve"> nepažeidžiant Taisyklių 50 punkte nustatytų reikalavimų, kai ministerija nustato tam tikrus skirtingų finansavimo formų derinimo reikalavimus, susijusius su kompleksišku visų veiklų įgyvendinimu, konkretaus objekto sukūrimu ar atnaujinimu, siekdama didesnio skiriamų finansavimo lėšų poveikio ir efektyvaus lėšų panaudojimo.</w:t>
      </w:r>
    </w:p>
    <w:p w14:paraId="78164FC5" w14:textId="77777777" w:rsidR="008F73C3" w:rsidRDefault="002A576D" w:rsidP="002A576D">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Tai yra pagrindinės nuostatos, apribojančios finansinės priemonės ir subsidijų derinimą. </w:t>
      </w:r>
    </w:p>
    <w:p w14:paraId="0AFF4177" w14:textId="7D931D1E" w:rsidR="008F73C3" w:rsidRDefault="008F73C3" w:rsidP="002A576D">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Europos Komisija </w:t>
      </w:r>
      <w:r w:rsidR="00D97820">
        <w:rPr>
          <w:rFonts w:ascii="Georgia" w:eastAsia="Times New Roman" w:hAnsi="Georgia" w:cs="Times New Roman"/>
          <w:sz w:val="20"/>
          <w:szCs w:val="20"/>
          <w:lang w:val="lt-LT" w:eastAsia="lt-LT"/>
        </w:rPr>
        <w:t>yra parengusi</w:t>
      </w:r>
      <w:r>
        <w:rPr>
          <w:rFonts w:ascii="Georgia" w:eastAsia="Times New Roman" w:hAnsi="Georgia" w:cs="Times New Roman"/>
          <w:sz w:val="20"/>
          <w:szCs w:val="20"/>
          <w:lang w:val="lt-LT" w:eastAsia="lt-LT"/>
        </w:rPr>
        <w:t xml:space="preserve"> finansinių priemonių ir subsidijų derinimo gaires. Pažymėtina, kad turėtų būti vadovaujamasi gairėse išdėstytomis nuostatomis dėl finansinių priemonių ir subsidijų derinimo.</w:t>
      </w:r>
      <w:r w:rsidR="00D97820">
        <w:rPr>
          <w:rFonts w:ascii="Georgia" w:eastAsia="Times New Roman" w:hAnsi="Georgia" w:cs="Times New Roman"/>
          <w:sz w:val="20"/>
          <w:szCs w:val="20"/>
          <w:lang w:val="lt-LT" w:eastAsia="lt-LT"/>
        </w:rPr>
        <w:t xml:space="preserve"> Deja</w:t>
      </w:r>
      <w:r w:rsidR="00CD13E4">
        <w:rPr>
          <w:rFonts w:ascii="Georgia" w:eastAsia="Times New Roman" w:hAnsi="Georgia" w:cs="Times New Roman"/>
          <w:sz w:val="20"/>
          <w:szCs w:val="20"/>
          <w:lang w:val="lt-LT" w:eastAsia="lt-LT"/>
        </w:rPr>
        <w:t>,</w:t>
      </w:r>
      <w:r w:rsidR="00D97820">
        <w:rPr>
          <w:rFonts w:ascii="Georgia" w:eastAsia="Times New Roman" w:hAnsi="Georgia" w:cs="Times New Roman"/>
          <w:sz w:val="20"/>
          <w:szCs w:val="20"/>
          <w:lang w:val="lt-LT" w:eastAsia="lt-LT"/>
        </w:rPr>
        <w:t xml:space="preserve"> </w:t>
      </w:r>
      <w:r w:rsidR="00D97820" w:rsidRPr="00D97820">
        <w:rPr>
          <w:rFonts w:ascii="Georgia" w:eastAsia="Times New Roman" w:hAnsi="Georgia" w:cs="Times New Roman"/>
          <w:sz w:val="20"/>
          <w:szCs w:val="20"/>
          <w:lang w:val="lt-LT" w:eastAsia="lt-LT"/>
        </w:rPr>
        <w:t xml:space="preserve">šiose gairėse </w:t>
      </w:r>
      <w:r w:rsidR="00D97820">
        <w:rPr>
          <w:rFonts w:ascii="Georgia" w:eastAsia="Times New Roman" w:hAnsi="Georgia" w:cs="Times New Roman"/>
          <w:sz w:val="20"/>
          <w:szCs w:val="20"/>
          <w:lang w:val="lt-LT" w:eastAsia="lt-LT"/>
        </w:rPr>
        <w:t xml:space="preserve">išdėstytų sąlygų </w:t>
      </w:r>
      <w:r w:rsidR="00CD13E4">
        <w:rPr>
          <w:rFonts w:ascii="Georgia" w:eastAsia="Times New Roman" w:hAnsi="Georgia" w:cs="Times New Roman"/>
          <w:sz w:val="20"/>
          <w:szCs w:val="20"/>
          <w:lang w:val="lt-LT" w:eastAsia="lt-LT"/>
        </w:rPr>
        <w:t xml:space="preserve">praktinis </w:t>
      </w:r>
      <w:r w:rsidR="00D97820">
        <w:rPr>
          <w:rFonts w:ascii="Georgia" w:eastAsia="Times New Roman" w:hAnsi="Georgia" w:cs="Times New Roman"/>
          <w:sz w:val="20"/>
          <w:szCs w:val="20"/>
          <w:lang w:val="lt-LT" w:eastAsia="lt-LT"/>
        </w:rPr>
        <w:t>įgyvendinimas yra ypač sudėtingas, todėl rekomenduojama atsargiai vertinti tokio derinimo galimybę.</w:t>
      </w:r>
    </w:p>
    <w:p w14:paraId="7D7F204F" w14:textId="77777777" w:rsidR="002A576D" w:rsidRDefault="002A576D" w:rsidP="002A576D">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Pažymėtina, kad </w:t>
      </w:r>
      <w:r w:rsidR="003A0690">
        <w:rPr>
          <w:rFonts w:ascii="Georgia" w:eastAsia="Times New Roman" w:hAnsi="Georgia" w:cs="Times New Roman"/>
          <w:sz w:val="20"/>
          <w:szCs w:val="20"/>
          <w:lang w:val="lt-LT" w:eastAsia="lt-LT"/>
        </w:rPr>
        <w:t xml:space="preserve">jeigu </w:t>
      </w:r>
      <w:r>
        <w:rPr>
          <w:rFonts w:ascii="Georgia" w:eastAsia="Times New Roman" w:hAnsi="Georgia" w:cs="Times New Roman"/>
          <w:sz w:val="20"/>
          <w:szCs w:val="20"/>
          <w:lang w:val="lt-LT" w:eastAsia="lt-LT"/>
        </w:rPr>
        <w:t>subsidij</w:t>
      </w:r>
      <w:r w:rsidR="003A0690">
        <w:rPr>
          <w:rFonts w:ascii="Georgia" w:eastAsia="Times New Roman" w:hAnsi="Georgia" w:cs="Times New Roman"/>
          <w:sz w:val="20"/>
          <w:szCs w:val="20"/>
          <w:lang w:val="lt-LT" w:eastAsia="lt-LT"/>
        </w:rPr>
        <w:t>a teikiama</w:t>
      </w:r>
      <w:r>
        <w:rPr>
          <w:rFonts w:ascii="Georgia" w:eastAsia="Times New Roman" w:hAnsi="Georgia" w:cs="Times New Roman"/>
          <w:sz w:val="20"/>
          <w:szCs w:val="20"/>
          <w:lang w:val="lt-LT" w:eastAsia="lt-LT"/>
        </w:rPr>
        <w:t xml:space="preserve"> ne iš ESI fondų lėšų, o iš kitų nacionalinių lėšų šaltinių, šios nuostatos nėra taikytinos. </w:t>
      </w:r>
      <w:r w:rsidR="00B951B8">
        <w:rPr>
          <w:rFonts w:ascii="Georgia" w:eastAsia="Times New Roman" w:hAnsi="Georgia" w:cs="Times New Roman"/>
          <w:sz w:val="20"/>
          <w:szCs w:val="20"/>
          <w:lang w:val="lt-LT" w:eastAsia="lt-LT"/>
        </w:rPr>
        <w:t>Atsiradus galimybei skirti papildomą subsidiją iš kitų šaltinių (pvz. Klimato kaitos programos lėšų), siūloma išnaudoti tokią galimybę siekiant sutrumpinti projektų atsipirkimo laikotarpį ir motyvuoti savivaldybes aktyviau atnaujinti viešuosius pastatus, tokiu būdu prisidedant prie energijos taupymo strateginių tikslų.</w:t>
      </w:r>
    </w:p>
    <w:p w14:paraId="11076BBE" w14:textId="77777777" w:rsidR="002A576D" w:rsidRDefault="002A576D" w:rsidP="002A576D">
      <w:pPr>
        <w:jc w:val="both"/>
        <w:rPr>
          <w:rFonts w:ascii="Georgia" w:eastAsia="Times New Roman" w:hAnsi="Georgia" w:cs="Times New Roman"/>
          <w:sz w:val="20"/>
          <w:szCs w:val="20"/>
          <w:lang w:val="lt-LT" w:eastAsia="lt-LT"/>
        </w:rPr>
      </w:pPr>
    </w:p>
    <w:p w14:paraId="64BD0102" w14:textId="77777777" w:rsidR="002A576D" w:rsidRPr="00DF3A8E" w:rsidRDefault="002A576D" w:rsidP="002A576D">
      <w:pPr>
        <w:pStyle w:val="Antrat2"/>
        <w:numPr>
          <w:ilvl w:val="2"/>
          <w:numId w:val="2"/>
        </w:numPr>
        <w:spacing w:after="240"/>
        <w:rPr>
          <w:lang w:val="lt-LT"/>
        </w:rPr>
      </w:pPr>
      <w:bookmarkStart w:id="420" w:name="_Toc417378460"/>
      <w:r w:rsidRPr="00DF3A8E">
        <w:rPr>
          <w:lang w:val="lt-LT"/>
        </w:rPr>
        <w:t>Finansinės priemonės įgyvendinimo struktūra</w:t>
      </w:r>
      <w:bookmarkEnd w:id="420"/>
    </w:p>
    <w:p w14:paraId="41DC9147" w14:textId="77777777" w:rsidR="002A576D" w:rsidRDefault="002A576D" w:rsidP="002A576D">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F</w:t>
      </w:r>
      <w:r w:rsidRPr="00AC3318">
        <w:rPr>
          <w:rFonts w:ascii="Georgia" w:eastAsia="Times New Roman" w:hAnsi="Georgia" w:cs="Times New Roman"/>
          <w:sz w:val="20"/>
          <w:szCs w:val="20"/>
          <w:lang w:val="lt-LT" w:eastAsia="lt-LT"/>
        </w:rPr>
        <w:t xml:space="preserve">inansinių priemonių įgyvendinimo struktūros, reglamentuojamos Bendrųjų nuostatų reglamente, yra aptartos 1.3. skyriuje. </w:t>
      </w:r>
    </w:p>
    <w:p w14:paraId="45BE2BAE" w14:textId="77777777" w:rsidR="002A576D" w:rsidRPr="00DA65C2" w:rsidRDefault="002A576D" w:rsidP="002A576D">
      <w:pPr>
        <w:jc w:val="both"/>
        <w:rPr>
          <w:rFonts w:ascii="Georgia" w:hAnsi="Georgia"/>
          <w:sz w:val="20"/>
          <w:szCs w:val="20"/>
          <w:lang w:val="lt-LT"/>
        </w:rPr>
      </w:pPr>
      <w:r>
        <w:rPr>
          <w:rFonts w:ascii="Georgia" w:eastAsia="Times New Roman" w:hAnsi="Georgia" w:cs="Times New Roman"/>
          <w:sz w:val="20"/>
          <w:szCs w:val="20"/>
          <w:lang w:val="lt-LT" w:eastAsia="lt-LT"/>
        </w:rPr>
        <w:t>Analizuojant finansinių produktų kiekybinę pridėtinę vertę, buvo identifikuota, kad</w:t>
      </w:r>
      <w:r w:rsidR="00B07DD8">
        <w:rPr>
          <w:rFonts w:ascii="Georgia" w:eastAsia="Times New Roman" w:hAnsi="Georgia" w:cs="Times New Roman"/>
          <w:sz w:val="20"/>
          <w:szCs w:val="20"/>
          <w:lang w:val="lt-LT" w:eastAsia="lt-LT"/>
        </w:rPr>
        <w:t xml:space="preserve"> pritraukiant privačius investuotojus </w:t>
      </w:r>
      <w:r>
        <w:rPr>
          <w:rFonts w:ascii="Georgia" w:eastAsia="Times New Roman" w:hAnsi="Georgia" w:cs="Times New Roman"/>
          <w:sz w:val="20"/>
          <w:szCs w:val="20"/>
          <w:lang w:val="lt-LT" w:eastAsia="lt-LT"/>
        </w:rPr>
        <w:t xml:space="preserve">didžiausią pridėtinę vertę kuria </w:t>
      </w:r>
      <w:r w:rsidR="00B07DD8">
        <w:rPr>
          <w:rFonts w:ascii="Georgia" w:eastAsia="Times New Roman" w:hAnsi="Georgia" w:cs="Times New Roman"/>
          <w:sz w:val="20"/>
          <w:szCs w:val="20"/>
          <w:lang w:val="lt-LT" w:eastAsia="lt-LT"/>
        </w:rPr>
        <w:t xml:space="preserve">finansavimo modeliai kai paskolų finansinės priemonės ateities piniginius srautus išperka privatūs investuotojai arba </w:t>
      </w:r>
      <w:r>
        <w:rPr>
          <w:rFonts w:ascii="Georgia" w:eastAsia="Times New Roman" w:hAnsi="Georgia" w:cs="Times New Roman"/>
          <w:sz w:val="20"/>
          <w:szCs w:val="20"/>
          <w:lang w:val="lt-LT" w:eastAsia="lt-LT"/>
        </w:rPr>
        <w:t xml:space="preserve">rizikos pasidalijimo fondo kūrimas, kadangi tokioje struktūroje didele apimtimi dalyvauja privatūs investuotojai. Taip pat buvo </w:t>
      </w:r>
      <w:r w:rsidRPr="00B07DD8">
        <w:rPr>
          <w:rFonts w:ascii="Georgia" w:eastAsia="Times New Roman" w:hAnsi="Georgia" w:cs="Times New Roman"/>
          <w:sz w:val="20"/>
          <w:szCs w:val="20"/>
          <w:lang w:val="lt-LT" w:eastAsia="lt-LT"/>
        </w:rPr>
        <w:t>identifikuota</w:t>
      </w:r>
      <w:r w:rsidRPr="00DA65C2">
        <w:rPr>
          <w:rFonts w:ascii="Georgia" w:hAnsi="Georgia"/>
          <w:sz w:val="20"/>
          <w:szCs w:val="20"/>
          <w:lang w:val="lt-LT"/>
        </w:rPr>
        <w:t xml:space="preserve">, kad siekiant </w:t>
      </w:r>
      <w:r w:rsidR="00E0492D" w:rsidRPr="00DA65C2">
        <w:rPr>
          <w:rFonts w:ascii="Georgia" w:hAnsi="Georgia"/>
          <w:sz w:val="20"/>
          <w:szCs w:val="20"/>
          <w:lang w:val="lt-LT"/>
        </w:rPr>
        <w:t>sėkming</w:t>
      </w:r>
      <w:r w:rsidR="00E0492D">
        <w:rPr>
          <w:rFonts w:ascii="Georgia" w:hAnsi="Georgia"/>
          <w:sz w:val="20"/>
          <w:szCs w:val="20"/>
          <w:lang w:val="lt-LT"/>
        </w:rPr>
        <w:t>ai</w:t>
      </w:r>
      <w:r w:rsidR="00E0492D" w:rsidRPr="00DA65C2">
        <w:rPr>
          <w:rFonts w:ascii="Georgia" w:hAnsi="Georgia"/>
          <w:sz w:val="20"/>
          <w:szCs w:val="20"/>
          <w:lang w:val="lt-LT"/>
        </w:rPr>
        <w:t xml:space="preserve"> </w:t>
      </w:r>
      <w:r w:rsidR="00E0492D">
        <w:rPr>
          <w:rFonts w:ascii="Georgia" w:hAnsi="Georgia"/>
          <w:sz w:val="20"/>
          <w:szCs w:val="20"/>
          <w:lang w:val="lt-LT"/>
        </w:rPr>
        <w:t>pritraukti investuotojus</w:t>
      </w:r>
      <w:r w:rsidRPr="00DA65C2">
        <w:rPr>
          <w:rFonts w:ascii="Georgia" w:hAnsi="Georgia"/>
          <w:sz w:val="20"/>
          <w:szCs w:val="20"/>
          <w:lang w:val="lt-LT"/>
        </w:rPr>
        <w:t xml:space="preserve">, bet kuriuo atveju yra reikalinga savivaldybių viešųjų pastatų modernizavimo paskolų kreditingumo istorija, projektų įgyvendinimo praktika. Dėl to yra rekomenduojama lengvatines paskolas savivaldybių viešųjų pastatų modernizavimo projektams siekti pradėti teikti kuo greičiau. Tą galima įgyvendinti </w:t>
      </w:r>
      <w:r w:rsidRPr="00DA65C2">
        <w:rPr>
          <w:rFonts w:ascii="Georgia" w:hAnsi="Georgia"/>
          <w:b/>
          <w:i/>
          <w:sz w:val="20"/>
          <w:szCs w:val="20"/>
          <w:lang w:val="lt-LT"/>
        </w:rPr>
        <w:t xml:space="preserve">steigiant finansinę priemonę, </w:t>
      </w:r>
      <w:r w:rsidR="00392908">
        <w:rPr>
          <w:rFonts w:ascii="Georgia" w:hAnsi="Georgia"/>
          <w:b/>
          <w:i/>
          <w:sz w:val="20"/>
          <w:szCs w:val="20"/>
          <w:lang w:val="lt-LT"/>
        </w:rPr>
        <w:t xml:space="preserve">o </w:t>
      </w:r>
      <w:r w:rsidRPr="00DA65C2">
        <w:rPr>
          <w:rFonts w:ascii="Georgia" w:hAnsi="Georgia"/>
          <w:b/>
          <w:i/>
          <w:sz w:val="20"/>
          <w:szCs w:val="20"/>
          <w:lang w:val="lt-LT"/>
        </w:rPr>
        <w:t>ilguoju laikotarpiu</w:t>
      </w:r>
      <w:r w:rsidR="00392908">
        <w:rPr>
          <w:rFonts w:ascii="Georgia" w:hAnsi="Georgia"/>
          <w:b/>
          <w:i/>
          <w:sz w:val="20"/>
          <w:szCs w:val="20"/>
          <w:lang w:val="lt-LT"/>
        </w:rPr>
        <w:t xml:space="preserve"> skatinant sukurti investicinį fondą išperkantį ateities pinigų srautus</w:t>
      </w:r>
      <w:r w:rsidR="00D97820">
        <w:rPr>
          <w:rFonts w:ascii="Georgia" w:hAnsi="Georgia"/>
          <w:b/>
          <w:i/>
          <w:sz w:val="20"/>
          <w:szCs w:val="20"/>
          <w:lang w:val="lt-LT"/>
        </w:rPr>
        <w:t xml:space="preserve"> (ar sudarant sąlygas investuotojams kitais būdais išpirkti paskolas)</w:t>
      </w:r>
      <w:r w:rsidR="00392908">
        <w:rPr>
          <w:rFonts w:ascii="Georgia" w:hAnsi="Georgia"/>
          <w:b/>
          <w:i/>
          <w:sz w:val="20"/>
          <w:szCs w:val="20"/>
          <w:lang w:val="lt-LT"/>
        </w:rPr>
        <w:t xml:space="preserve"> arba</w:t>
      </w:r>
      <w:r w:rsidRPr="00DA65C2">
        <w:rPr>
          <w:rFonts w:ascii="Georgia" w:hAnsi="Georgia"/>
          <w:b/>
          <w:i/>
          <w:sz w:val="20"/>
          <w:szCs w:val="20"/>
          <w:lang w:val="lt-LT"/>
        </w:rPr>
        <w:t xml:space="preserve"> planuojant ir kuriant rizikos pasidalijimo fondo struktūrą. </w:t>
      </w:r>
    </w:p>
    <w:p w14:paraId="2B9E98B7" w14:textId="0BEC6516" w:rsidR="00B674D2" w:rsidRDefault="002A576D" w:rsidP="002A576D">
      <w:pPr>
        <w:jc w:val="both"/>
        <w:rPr>
          <w:rFonts w:ascii="Georgia" w:hAnsi="Georgia"/>
          <w:sz w:val="20"/>
          <w:highlight w:val="yellow"/>
          <w:lang w:val="lt-LT"/>
        </w:rPr>
      </w:pPr>
      <w:r w:rsidRPr="005C1F29">
        <w:rPr>
          <w:rFonts w:ascii="Georgia" w:eastAsia="Times New Roman" w:hAnsi="Georgia" w:cs="Times New Roman"/>
          <w:sz w:val="20"/>
          <w:szCs w:val="20"/>
          <w:lang w:val="lt-LT" w:eastAsia="lt-LT"/>
        </w:rPr>
        <w:t>Bendrųjų nuostatų reglamento 38.5 punkt</w:t>
      </w:r>
      <w:r w:rsidR="00B674D2">
        <w:rPr>
          <w:rFonts w:ascii="Georgia" w:eastAsia="Times New Roman" w:hAnsi="Georgia" w:cs="Times New Roman"/>
          <w:sz w:val="20"/>
          <w:szCs w:val="20"/>
          <w:lang w:val="lt-LT" w:eastAsia="lt-LT"/>
        </w:rPr>
        <w:t>as apibrėžia fondų fondo valdytojo funkcijų perleidimą. Šios nuostatos būtų aktualios tuo atveju, jeigu būtų nuspręsta steigti ne finansinę priemonę o fondų fondą.</w:t>
      </w:r>
      <w:r w:rsidRPr="005C1F29">
        <w:rPr>
          <w:rFonts w:ascii="Georgia" w:eastAsia="Times New Roman" w:hAnsi="Georgia" w:cs="Times New Roman"/>
          <w:sz w:val="20"/>
          <w:szCs w:val="20"/>
          <w:lang w:val="lt-LT" w:eastAsia="lt-LT"/>
        </w:rPr>
        <w:t xml:space="preserve"> </w:t>
      </w:r>
      <w:r w:rsidR="00B674D2">
        <w:rPr>
          <w:rFonts w:ascii="Georgia" w:eastAsia="Times New Roman" w:hAnsi="Georgia" w:cs="Times New Roman"/>
          <w:sz w:val="20"/>
          <w:szCs w:val="20"/>
          <w:lang w:val="lt-LT" w:eastAsia="lt-LT"/>
        </w:rPr>
        <w:t xml:space="preserve">Vadovaujantis minėtu Bendrųjų nuostatų reglamento straipsniu, </w:t>
      </w:r>
      <w:r w:rsidRPr="005C1F29">
        <w:rPr>
          <w:rFonts w:ascii="Georgia" w:hAnsi="Georgia"/>
          <w:sz w:val="20"/>
          <w:lang w:val="lt-LT"/>
        </w:rPr>
        <w:t xml:space="preserve">subjektai, kuriems patikėta įgyvendinti fondų fondą, užduotis gali įgyvendinti patys arba jas patikėti vykdyti finansiniams tarpininkams. Iš to seka išvada, kad fondų fondo valdytojas galėtų tiesiogiai atrinkinėti finansuojamus projektus, atitinkančius fondų fondo veiklos tikslus ir investavimo strategiją. Nors Bendrųjų nuostatų reglamentas toliau nedetalizuoja, kaip ir kokius projektus fondų fondo valdytojas galėtų finansuoti, tačiau ESI fondų valdymo reguliavime yra akcentuojamas skaidrumas, proporcingumas, nediskriminavimas bei interesų konflikto vengimas. Be to, kyla rizika, jog finansiniai tarpininkai aktyviai nedalyvautų fondų fondo savivaldybių pastatų renovacijos paskolų finansinės priemonės </w:t>
      </w:r>
      <w:r w:rsidRPr="005C1F29">
        <w:rPr>
          <w:rFonts w:ascii="Georgia" w:hAnsi="Georgia"/>
          <w:sz w:val="20"/>
          <w:lang w:val="lt-LT"/>
        </w:rPr>
        <w:lastRenderedPageBreak/>
        <w:t xml:space="preserve">įgyvendinime, todėl numatoma, jog fondų fondo valdytojas </w:t>
      </w:r>
      <w:r w:rsidR="00B674D2" w:rsidRPr="00DA65C2">
        <w:rPr>
          <w:rFonts w:ascii="Georgia" w:hAnsi="Georgia"/>
          <w:sz w:val="20"/>
          <w:lang w:val="lt-LT"/>
        </w:rPr>
        <w:t>galėtų</w:t>
      </w:r>
      <w:r w:rsidR="00B674D2" w:rsidRPr="005C1F29">
        <w:rPr>
          <w:rFonts w:ascii="Georgia" w:hAnsi="Georgia"/>
          <w:sz w:val="20"/>
          <w:lang w:val="lt-LT"/>
        </w:rPr>
        <w:t xml:space="preserve"> </w:t>
      </w:r>
      <w:r w:rsidRPr="005C1F29">
        <w:rPr>
          <w:rFonts w:ascii="Georgia" w:hAnsi="Georgia"/>
          <w:sz w:val="20"/>
          <w:lang w:val="lt-LT"/>
        </w:rPr>
        <w:t xml:space="preserve">pats įgyvendinti finansines priemones. </w:t>
      </w:r>
      <w:r w:rsidR="00B674D2" w:rsidRPr="00DA65C2">
        <w:rPr>
          <w:rFonts w:ascii="Georgia" w:hAnsi="Georgia"/>
          <w:sz w:val="20"/>
          <w:lang w:val="lt-LT"/>
        </w:rPr>
        <w:t>P</w:t>
      </w:r>
      <w:r w:rsidRPr="005C1F29">
        <w:rPr>
          <w:rFonts w:ascii="Georgia" w:hAnsi="Georgia"/>
          <w:sz w:val="20"/>
          <w:lang w:val="lt-LT"/>
        </w:rPr>
        <w:t xml:space="preserve">askolų finansinių priemonių įgyvendinimą </w:t>
      </w:r>
      <w:r w:rsidR="00B674D2" w:rsidRPr="00DA65C2">
        <w:rPr>
          <w:rFonts w:ascii="Georgia" w:hAnsi="Georgia"/>
          <w:sz w:val="20"/>
          <w:lang w:val="lt-LT"/>
        </w:rPr>
        <w:t xml:space="preserve">galima būtų </w:t>
      </w:r>
      <w:r w:rsidRPr="005C1F29">
        <w:rPr>
          <w:rFonts w:ascii="Georgia" w:hAnsi="Georgia"/>
          <w:sz w:val="20"/>
          <w:lang w:val="lt-LT"/>
        </w:rPr>
        <w:t xml:space="preserve">patikėti fondų fondo valdytojui arba </w:t>
      </w:r>
      <w:r w:rsidR="003A0690" w:rsidRPr="005C1F29">
        <w:rPr>
          <w:rFonts w:ascii="Georgia" w:hAnsi="Georgia"/>
          <w:sz w:val="20"/>
          <w:lang w:val="lt-LT"/>
        </w:rPr>
        <w:t xml:space="preserve">finansų </w:t>
      </w:r>
      <w:r w:rsidRPr="005C1F29">
        <w:rPr>
          <w:rFonts w:ascii="Georgia" w:hAnsi="Georgia"/>
          <w:sz w:val="20"/>
          <w:lang w:val="lt-LT"/>
        </w:rPr>
        <w:t>įstaigoms (jei pastarosios išreikštų susidomėjimą), kurios paprastai veikia kaip finansiniai tarpininkai tarp fondų fondo ir galutinių naudos gavėjų</w:t>
      </w:r>
      <w:r w:rsidR="003A0690" w:rsidRPr="005C1F29">
        <w:rPr>
          <w:rFonts w:ascii="Georgia" w:hAnsi="Georgia"/>
          <w:sz w:val="20"/>
          <w:lang w:val="lt-LT"/>
        </w:rPr>
        <w:t xml:space="preserve"> arba kaip finansinės priemonės valdytojai</w:t>
      </w:r>
      <w:r w:rsidRPr="005C1F29">
        <w:rPr>
          <w:rFonts w:ascii="Georgia" w:hAnsi="Georgia"/>
          <w:sz w:val="20"/>
          <w:lang w:val="lt-LT"/>
        </w:rPr>
        <w:t xml:space="preserve">, sudarant galimybę dalyvauti finansinėse priemonėse savo lėšomis, prisiimant dalį rizikų ir dalyvaujant priimtina apimtimi. </w:t>
      </w:r>
    </w:p>
    <w:p w14:paraId="7E556A89" w14:textId="77777777" w:rsidR="002A576D" w:rsidRDefault="00B674D2" w:rsidP="002A576D">
      <w:pPr>
        <w:jc w:val="both"/>
        <w:rPr>
          <w:rFonts w:ascii="Georgia" w:hAnsi="Georgia"/>
          <w:sz w:val="20"/>
          <w:lang w:val="lt-LT"/>
        </w:rPr>
      </w:pPr>
      <w:r w:rsidRPr="00DA65C2">
        <w:rPr>
          <w:rFonts w:ascii="Georgia" w:hAnsi="Georgia"/>
          <w:sz w:val="20"/>
          <w:lang w:val="lt-LT"/>
        </w:rPr>
        <w:t>Finansinės priemonės arba</w:t>
      </w:r>
      <w:r w:rsidRPr="005C1F29">
        <w:rPr>
          <w:rFonts w:ascii="Georgia" w:hAnsi="Georgia"/>
          <w:sz w:val="20"/>
          <w:lang w:val="lt-LT"/>
        </w:rPr>
        <w:t xml:space="preserve"> </w:t>
      </w:r>
      <w:r w:rsidR="002A576D" w:rsidRPr="005C1F29">
        <w:rPr>
          <w:rFonts w:ascii="Georgia" w:hAnsi="Georgia"/>
          <w:sz w:val="20"/>
          <w:lang w:val="lt-LT"/>
        </w:rPr>
        <w:t xml:space="preserve">fondų fondo valdymo ir įgyvendinimo </w:t>
      </w:r>
      <w:r w:rsidRPr="005C1F29">
        <w:rPr>
          <w:rFonts w:ascii="Georgia" w:hAnsi="Georgia"/>
          <w:sz w:val="20"/>
          <w:lang w:val="lt-LT"/>
        </w:rPr>
        <w:t>alternatyv</w:t>
      </w:r>
      <w:r w:rsidRPr="00DA65C2">
        <w:rPr>
          <w:rFonts w:ascii="Georgia" w:hAnsi="Georgia"/>
          <w:sz w:val="20"/>
          <w:lang w:val="lt-LT"/>
        </w:rPr>
        <w:t>os</w:t>
      </w:r>
      <w:r w:rsidRPr="005C1F29">
        <w:rPr>
          <w:rFonts w:ascii="Georgia" w:hAnsi="Georgia"/>
          <w:sz w:val="20"/>
          <w:lang w:val="lt-LT"/>
        </w:rPr>
        <w:t xml:space="preserve"> </w:t>
      </w:r>
      <w:r w:rsidR="002A576D" w:rsidRPr="005C1F29">
        <w:rPr>
          <w:rFonts w:ascii="Georgia" w:hAnsi="Georgia"/>
          <w:sz w:val="20"/>
          <w:lang w:val="lt-LT"/>
        </w:rPr>
        <w:t xml:space="preserve">yra </w:t>
      </w:r>
      <w:r w:rsidRPr="00DA65C2">
        <w:rPr>
          <w:rFonts w:ascii="Georgia" w:hAnsi="Georgia"/>
          <w:sz w:val="20"/>
          <w:lang w:val="lt-LT"/>
        </w:rPr>
        <w:t>aprašytos</w:t>
      </w:r>
      <w:r w:rsidRPr="005C1F29">
        <w:rPr>
          <w:rFonts w:ascii="Georgia" w:hAnsi="Georgia"/>
          <w:sz w:val="20"/>
          <w:lang w:val="lt-LT"/>
        </w:rPr>
        <w:t xml:space="preserve"> </w:t>
      </w:r>
      <w:r w:rsidR="002A576D" w:rsidRPr="005C1F29">
        <w:rPr>
          <w:rFonts w:ascii="Georgia" w:hAnsi="Georgia"/>
          <w:sz w:val="20"/>
          <w:lang w:val="lt-LT"/>
        </w:rPr>
        <w:t xml:space="preserve">1.3 skyriuje </w:t>
      </w:r>
      <w:r w:rsidRPr="00DA65C2">
        <w:rPr>
          <w:rFonts w:ascii="Georgia" w:hAnsi="Georgia"/>
          <w:sz w:val="20"/>
          <w:lang w:val="lt-LT"/>
        </w:rPr>
        <w:t>bei pavaizduotos</w:t>
      </w:r>
      <w:r w:rsidR="002A576D" w:rsidRPr="005C1F29">
        <w:rPr>
          <w:rFonts w:ascii="Georgia" w:hAnsi="Georgia"/>
          <w:sz w:val="20"/>
          <w:lang w:val="lt-LT"/>
        </w:rPr>
        <w:t xml:space="preserve"> žemiau paveiksle.</w:t>
      </w:r>
      <w:r w:rsidR="002A576D">
        <w:rPr>
          <w:rFonts w:ascii="Georgia" w:hAnsi="Georgia"/>
          <w:sz w:val="20"/>
          <w:lang w:val="lt-LT"/>
        </w:rPr>
        <w:t xml:space="preserve"> </w:t>
      </w:r>
    </w:p>
    <w:p w14:paraId="2DE5039B" w14:textId="77777777" w:rsidR="002A576D" w:rsidRDefault="002A576D" w:rsidP="002A576D">
      <w:pPr>
        <w:jc w:val="both"/>
        <w:rPr>
          <w:rFonts w:ascii="Georgia" w:hAnsi="Georgia"/>
          <w:sz w:val="20"/>
          <w:lang w:val="lt-LT"/>
        </w:rPr>
      </w:pPr>
    </w:p>
    <w:p w14:paraId="45C81245" w14:textId="77777777" w:rsidR="002A576D" w:rsidRDefault="002A576D" w:rsidP="002A576D">
      <w:pPr>
        <w:jc w:val="both"/>
        <w:rPr>
          <w:rFonts w:ascii="Georgia" w:eastAsia="Times New Roman" w:hAnsi="Georgia" w:cs="Times New Roman"/>
          <w:sz w:val="20"/>
          <w:szCs w:val="20"/>
          <w:lang w:val="lt-LT" w:eastAsia="lt-LT"/>
        </w:rPr>
      </w:pPr>
      <w:r>
        <w:rPr>
          <w:noProof/>
          <w:lang w:val="lt-LT" w:eastAsia="lt-LT"/>
        </w:rPr>
        <mc:AlternateContent>
          <mc:Choice Requires="wpc">
            <w:drawing>
              <wp:inline distT="0" distB="0" distL="0" distR="0" wp14:anchorId="0AD6CC28" wp14:editId="6D62CF6E">
                <wp:extent cx="5734050" cy="3225397"/>
                <wp:effectExtent l="0" t="0" r="0" b="13335"/>
                <wp:docPr id="50204" name="Drobė 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 name="Rectangle 8"/>
                        <wps:cNvSpPr>
                          <a:spLocks noChangeArrowheads="1"/>
                        </wps:cNvSpPr>
                        <wps:spPr bwMode="auto">
                          <a:xfrm>
                            <a:off x="922307" y="320272"/>
                            <a:ext cx="1802711" cy="2902675"/>
                          </a:xfrm>
                          <a:prstGeom prst="rect">
                            <a:avLst/>
                          </a:prstGeom>
                          <a:solidFill>
                            <a:srgbClr val="FFFFFF"/>
                          </a:solidFill>
                          <a:ln w="19050">
                            <a:solidFill>
                              <a:srgbClr val="E36C0A"/>
                            </a:solidFill>
                            <a:miter lim="800000"/>
                            <a:headEnd/>
                            <a:tailEnd/>
                          </a:ln>
                        </wps:spPr>
                        <wps:bodyPr rot="0" vert="horz" wrap="square" lIns="91440" tIns="45720" rIns="91440" bIns="45720" anchor="t" anchorCtr="0" upright="1">
                          <a:noAutofit/>
                        </wps:bodyPr>
                      </wps:wsp>
                      <wps:wsp>
                        <wps:cNvPr id="16" name="AutoShape 11"/>
                        <wps:cNvSpPr>
                          <a:spLocks noChangeArrowheads="1"/>
                        </wps:cNvSpPr>
                        <wps:spPr bwMode="auto">
                          <a:xfrm>
                            <a:off x="1164409" y="398748"/>
                            <a:ext cx="1423709" cy="241200"/>
                          </a:xfrm>
                          <a:prstGeom prst="roundRect">
                            <a:avLst>
                              <a:gd name="adj" fmla="val 16667"/>
                            </a:avLst>
                          </a:prstGeom>
                          <a:solidFill>
                            <a:srgbClr val="E36C0A"/>
                          </a:solidFill>
                          <a:ln w="9525">
                            <a:solidFill>
                              <a:srgbClr val="974706"/>
                            </a:solidFill>
                            <a:round/>
                            <a:headEnd/>
                            <a:tailEnd/>
                          </a:ln>
                        </wps:spPr>
                        <wps:txbx>
                          <w:txbxContent>
                            <w:p w14:paraId="795AC35E" w14:textId="77777777" w:rsidR="00A65A8D" w:rsidRDefault="00A65A8D" w:rsidP="002A576D">
                              <w:pPr>
                                <w:spacing w:after="0" w:line="240" w:lineRule="auto"/>
                                <w:jc w:val="center"/>
                                <w:rPr>
                                  <w:b/>
                                  <w:color w:val="FFFFFF"/>
                                  <w:sz w:val="16"/>
                                  <w:szCs w:val="16"/>
                                </w:rPr>
                              </w:pPr>
                              <w:r>
                                <w:rPr>
                                  <w:b/>
                                  <w:color w:val="FFFFFF"/>
                                  <w:sz w:val="16"/>
                                  <w:szCs w:val="16"/>
                                </w:rPr>
                                <w:t>Vadovaujančioji institucija</w:t>
                              </w:r>
                            </w:p>
                          </w:txbxContent>
                        </wps:txbx>
                        <wps:bodyPr rot="0" vert="horz" wrap="square" lIns="91440" tIns="45720" rIns="91440" bIns="45720" anchor="t" anchorCtr="0" upright="1">
                          <a:noAutofit/>
                        </wps:bodyPr>
                      </wps:wsp>
                      <wps:wsp>
                        <wps:cNvPr id="18" name="AutoShape 14"/>
                        <wps:cNvSpPr>
                          <a:spLocks noChangeArrowheads="1"/>
                        </wps:cNvSpPr>
                        <wps:spPr bwMode="auto">
                          <a:xfrm>
                            <a:off x="1139104" y="2641948"/>
                            <a:ext cx="1469109" cy="465500"/>
                          </a:xfrm>
                          <a:prstGeom prst="roundRect">
                            <a:avLst>
                              <a:gd name="adj" fmla="val 16667"/>
                            </a:avLst>
                          </a:prstGeom>
                          <a:solidFill>
                            <a:srgbClr val="E36C0A"/>
                          </a:solidFill>
                          <a:ln w="9525">
                            <a:solidFill>
                              <a:srgbClr val="974706"/>
                            </a:solidFill>
                            <a:round/>
                            <a:headEnd/>
                            <a:tailEnd/>
                          </a:ln>
                        </wps:spPr>
                        <wps:txbx>
                          <w:txbxContent>
                            <w:p w14:paraId="3D532B57" w14:textId="77777777" w:rsidR="00A65A8D" w:rsidRDefault="00A65A8D" w:rsidP="002A576D">
                              <w:pPr>
                                <w:spacing w:after="0" w:line="240" w:lineRule="auto"/>
                                <w:jc w:val="center"/>
                                <w:rPr>
                                  <w:b/>
                                  <w:color w:val="FFFFFF"/>
                                  <w:sz w:val="16"/>
                                  <w:szCs w:val="16"/>
                                </w:rPr>
                              </w:pPr>
                              <w:r>
                                <w:rPr>
                                  <w:b/>
                                  <w:color w:val="FFFFFF"/>
                                  <w:sz w:val="16"/>
                                  <w:szCs w:val="16"/>
                                </w:rPr>
                                <w:t>Galutiniai paramos</w:t>
                              </w:r>
                            </w:p>
                            <w:p w14:paraId="3AB28691" w14:textId="77777777" w:rsidR="00A65A8D" w:rsidRDefault="00A65A8D" w:rsidP="002A576D">
                              <w:pPr>
                                <w:spacing w:after="0" w:line="240" w:lineRule="auto"/>
                                <w:jc w:val="center"/>
                                <w:rPr>
                                  <w:b/>
                                  <w:color w:val="FFFFFF"/>
                                  <w:sz w:val="16"/>
                                  <w:szCs w:val="16"/>
                                </w:rPr>
                              </w:pPr>
                              <w:r>
                                <w:rPr>
                                  <w:b/>
                                  <w:color w:val="FFFFFF"/>
                                  <w:sz w:val="16"/>
                                  <w:szCs w:val="16"/>
                                </w:rPr>
                                <w:t xml:space="preserve"> gavėjai</w:t>
                              </w:r>
                            </w:p>
                            <w:p w14:paraId="6DE139F8" w14:textId="77777777" w:rsidR="00A65A8D" w:rsidRDefault="00A65A8D" w:rsidP="002A576D">
                              <w:pPr>
                                <w:spacing w:after="0" w:line="240" w:lineRule="auto"/>
                                <w:jc w:val="center"/>
                                <w:rPr>
                                  <w:b/>
                                  <w:color w:val="FFFFFF"/>
                                  <w:sz w:val="16"/>
                                  <w:szCs w:val="16"/>
                                </w:rPr>
                              </w:pPr>
                            </w:p>
                          </w:txbxContent>
                        </wps:txbx>
                        <wps:bodyPr rot="0" vert="horz" wrap="square" lIns="91440" tIns="45720" rIns="91440" bIns="45720" anchor="t" anchorCtr="0" upright="1">
                          <a:noAutofit/>
                        </wps:bodyPr>
                      </wps:wsp>
                      <wps:wsp>
                        <wps:cNvPr id="19" name="AutoShape 16"/>
                        <wps:cNvSpPr>
                          <a:spLocks noChangeArrowheads="1"/>
                        </wps:cNvSpPr>
                        <wps:spPr bwMode="auto">
                          <a:xfrm>
                            <a:off x="1164409" y="1722852"/>
                            <a:ext cx="1423709" cy="421500"/>
                          </a:xfrm>
                          <a:prstGeom prst="roundRect">
                            <a:avLst>
                              <a:gd name="adj" fmla="val 16667"/>
                            </a:avLst>
                          </a:prstGeom>
                          <a:solidFill>
                            <a:srgbClr val="E36C0A"/>
                          </a:solidFill>
                          <a:ln w="9525">
                            <a:solidFill>
                              <a:srgbClr val="974706"/>
                            </a:solidFill>
                            <a:round/>
                            <a:headEnd/>
                            <a:tailEnd/>
                          </a:ln>
                        </wps:spPr>
                        <wps:txbx>
                          <w:txbxContent>
                            <w:p w14:paraId="02EE12FC" w14:textId="77777777" w:rsidR="00A65A8D" w:rsidRDefault="00A65A8D" w:rsidP="002A576D">
                              <w:pPr>
                                <w:spacing w:after="0" w:line="240" w:lineRule="auto"/>
                                <w:jc w:val="center"/>
                                <w:rPr>
                                  <w:b/>
                                  <w:color w:val="FFFFFF"/>
                                  <w:sz w:val="16"/>
                                  <w:szCs w:val="16"/>
                                </w:rPr>
                              </w:pPr>
                              <w:r>
                                <w:rPr>
                                  <w:b/>
                                  <w:color w:val="FFFFFF"/>
                                  <w:sz w:val="16"/>
                                  <w:szCs w:val="16"/>
                                </w:rPr>
                                <w:t>Finansinės priemonės valdytojas</w:t>
                              </w:r>
                            </w:p>
                          </w:txbxContent>
                        </wps:txbx>
                        <wps:bodyPr rot="0" vert="horz" wrap="square" lIns="91440" tIns="45720" rIns="91440" bIns="45720" anchor="t" anchorCtr="0" upright="1">
                          <a:noAutofit/>
                        </wps:bodyPr>
                      </wps:wsp>
                      <wps:wsp>
                        <wps:cNvPr id="20" name="Oval 20"/>
                        <wps:cNvSpPr>
                          <a:spLocks noChangeArrowheads="1"/>
                        </wps:cNvSpPr>
                        <wps:spPr bwMode="auto">
                          <a:xfrm>
                            <a:off x="1305757" y="866926"/>
                            <a:ext cx="1140207" cy="644400"/>
                          </a:xfrm>
                          <a:prstGeom prst="ellipse">
                            <a:avLst/>
                          </a:prstGeom>
                          <a:solidFill>
                            <a:srgbClr val="FFC000"/>
                          </a:solidFill>
                          <a:ln w="9525">
                            <a:solidFill>
                              <a:srgbClr val="974706"/>
                            </a:solidFill>
                            <a:round/>
                            <a:headEnd/>
                            <a:tailEnd/>
                          </a:ln>
                        </wps:spPr>
                        <wps:txbx>
                          <w:txbxContent>
                            <w:p w14:paraId="75E1B045" w14:textId="77777777" w:rsidR="00A65A8D" w:rsidRPr="00873719" w:rsidRDefault="00A65A8D" w:rsidP="002A576D">
                              <w:pPr>
                                <w:jc w:val="center"/>
                                <w:rPr>
                                  <w:b/>
                                  <w:color w:val="FFFFFF"/>
                                  <w:lang w:val="lt-LT"/>
                                </w:rPr>
                              </w:pPr>
                              <w:r>
                                <w:rPr>
                                  <w:b/>
                                  <w:color w:val="FFFFFF"/>
                                  <w:sz w:val="18"/>
                                  <w:lang w:val="lt-LT"/>
                                </w:rPr>
                                <w:t>Finansinė priemonė</w:t>
                              </w:r>
                            </w:p>
                            <w:p w14:paraId="6E342EC3" w14:textId="77777777" w:rsidR="00A65A8D" w:rsidRPr="00873719" w:rsidRDefault="00A65A8D" w:rsidP="002A576D">
                              <w:pPr>
                                <w:jc w:val="center"/>
                                <w:rPr>
                                  <w:b/>
                                  <w:color w:val="FFFFFF"/>
                                  <w:lang w:val="lt-LT"/>
                                </w:rPr>
                              </w:pPr>
                            </w:p>
                          </w:txbxContent>
                        </wps:txbx>
                        <wps:bodyPr rot="0" vert="horz" wrap="square" lIns="91440" tIns="45720" rIns="91440" bIns="45720" anchor="t" anchorCtr="0" upright="1">
                          <a:noAutofit/>
                        </wps:bodyPr>
                      </wps:wsp>
                      <wps:wsp>
                        <wps:cNvPr id="28" name="AutoShape 24"/>
                        <wps:cNvCnPr>
                          <a:cxnSpLocks noChangeShapeType="1"/>
                          <a:stCxn id="20" idx="4"/>
                          <a:endCxn id="19" idx="0"/>
                        </wps:cNvCnPr>
                        <wps:spPr bwMode="auto">
                          <a:xfrm>
                            <a:off x="1875861" y="1511326"/>
                            <a:ext cx="403" cy="2115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25"/>
                        <wps:cNvCnPr>
                          <a:cxnSpLocks noChangeShapeType="1"/>
                          <a:stCxn id="19" idx="2"/>
                          <a:endCxn id="18" idx="0"/>
                        </wps:cNvCnPr>
                        <wps:spPr bwMode="auto">
                          <a:xfrm flipH="1">
                            <a:off x="1873659" y="2144352"/>
                            <a:ext cx="2605" cy="4975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26"/>
                        <wps:cNvCnPr>
                          <a:cxnSpLocks noChangeShapeType="1"/>
                          <a:stCxn id="16" idx="2"/>
                          <a:endCxn id="20" idx="0"/>
                        </wps:cNvCnPr>
                        <wps:spPr bwMode="auto">
                          <a:xfrm flipH="1">
                            <a:off x="1875861" y="639948"/>
                            <a:ext cx="403" cy="2269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76" name="AutoShape 10"/>
                        <wps:cNvSpPr>
                          <a:spLocks noChangeArrowheads="1"/>
                        </wps:cNvSpPr>
                        <wps:spPr bwMode="auto">
                          <a:xfrm>
                            <a:off x="1118808" y="33548"/>
                            <a:ext cx="1423309" cy="240600"/>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14:paraId="18290007" w14:textId="77777777" w:rsidR="00A65A8D" w:rsidRDefault="00A65A8D" w:rsidP="002A576D">
                              <w:pPr>
                                <w:pStyle w:val="prastasistinklapis"/>
                                <w:jc w:val="center"/>
                              </w:pPr>
                              <w:r>
                                <w:rPr>
                                  <w:rFonts w:ascii="Calibri" w:eastAsia="Calibri" w:hAnsi="Calibri"/>
                                  <w:b/>
                                  <w:bCs/>
                                  <w:sz w:val="16"/>
                                  <w:szCs w:val="16"/>
                                </w:rPr>
                                <w:t>II STRUKTŪRA</w:t>
                              </w:r>
                            </w:p>
                          </w:txbxContent>
                        </wps:txbx>
                        <wps:bodyPr rot="0" vert="horz" wrap="square" lIns="91440" tIns="45720" rIns="91440" bIns="45720" anchor="t" anchorCtr="0" upright="1">
                          <a:noAutofit/>
                        </wps:bodyPr>
                      </wps:wsp>
                      <wps:wsp>
                        <wps:cNvPr id="50177" name="AutoShape 10"/>
                        <wps:cNvSpPr>
                          <a:spLocks noChangeArrowheads="1"/>
                        </wps:cNvSpPr>
                        <wps:spPr bwMode="auto">
                          <a:xfrm>
                            <a:off x="3181420" y="33548"/>
                            <a:ext cx="1423309" cy="240600"/>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14:paraId="3932D52B" w14:textId="77777777" w:rsidR="00A65A8D" w:rsidRDefault="00A65A8D" w:rsidP="002A576D">
                              <w:pPr>
                                <w:pStyle w:val="prastasistinklapis"/>
                                <w:jc w:val="center"/>
                              </w:pPr>
                              <w:r>
                                <w:rPr>
                                  <w:rFonts w:ascii="Calibri" w:eastAsia="Calibri" w:hAnsi="Calibri"/>
                                  <w:b/>
                                  <w:bCs/>
                                  <w:sz w:val="16"/>
                                  <w:szCs w:val="16"/>
                                </w:rPr>
                                <w:t>III STRUKTŪRA</w:t>
                              </w:r>
                            </w:p>
                          </w:txbxContent>
                        </wps:txbx>
                        <wps:bodyPr rot="0" vert="horz" wrap="square" lIns="91440" tIns="45720" rIns="91440" bIns="45720" anchor="t" anchorCtr="0" upright="1">
                          <a:noAutofit/>
                        </wps:bodyPr>
                      </wps:wsp>
                      <wps:wsp>
                        <wps:cNvPr id="50178" name="Rectangle 9"/>
                        <wps:cNvSpPr>
                          <a:spLocks noChangeArrowheads="1"/>
                        </wps:cNvSpPr>
                        <wps:spPr bwMode="auto">
                          <a:xfrm>
                            <a:off x="3018450" y="320272"/>
                            <a:ext cx="1802130" cy="2901789"/>
                          </a:xfrm>
                          <a:prstGeom prst="rect">
                            <a:avLst/>
                          </a:prstGeom>
                          <a:solidFill>
                            <a:srgbClr val="FFFFFF"/>
                          </a:solidFill>
                          <a:ln w="19050">
                            <a:solidFill>
                              <a:srgbClr val="E36C0A"/>
                            </a:solidFill>
                            <a:miter lim="800000"/>
                            <a:headEnd/>
                            <a:tailEnd/>
                          </a:ln>
                        </wps:spPr>
                        <wps:txbx>
                          <w:txbxContent>
                            <w:p w14:paraId="26595FFA" w14:textId="77777777" w:rsidR="00A65A8D" w:rsidRDefault="00A65A8D" w:rsidP="002A576D">
                              <w:pPr>
                                <w:rPr>
                                  <w:rFonts w:eastAsia="Times New Roman"/>
                                </w:rPr>
                              </w:pPr>
                            </w:p>
                          </w:txbxContent>
                        </wps:txbx>
                        <wps:bodyPr rot="0" vert="horz" wrap="square" lIns="91440" tIns="45720" rIns="91440" bIns="45720" anchor="t" anchorCtr="0" upright="1">
                          <a:noAutofit/>
                        </wps:bodyPr>
                      </wps:wsp>
                      <wps:wsp>
                        <wps:cNvPr id="50179" name="AutoShape 12"/>
                        <wps:cNvSpPr>
                          <a:spLocks noChangeArrowheads="1"/>
                        </wps:cNvSpPr>
                        <wps:spPr bwMode="auto">
                          <a:xfrm>
                            <a:off x="3197520" y="397583"/>
                            <a:ext cx="1423670" cy="240665"/>
                          </a:xfrm>
                          <a:prstGeom prst="roundRect">
                            <a:avLst>
                              <a:gd name="adj" fmla="val 16667"/>
                            </a:avLst>
                          </a:prstGeom>
                          <a:solidFill>
                            <a:srgbClr val="E36C0A"/>
                          </a:solidFill>
                          <a:ln w="9525">
                            <a:solidFill>
                              <a:srgbClr val="974706"/>
                            </a:solidFill>
                            <a:round/>
                            <a:headEnd/>
                            <a:tailEnd/>
                          </a:ln>
                        </wps:spPr>
                        <wps:txbx>
                          <w:txbxContent>
                            <w:p w14:paraId="6948F258" w14:textId="77777777" w:rsidR="00A65A8D" w:rsidRDefault="00A65A8D" w:rsidP="002A576D">
                              <w:pPr>
                                <w:pStyle w:val="prastasistinklapis"/>
                                <w:spacing w:before="0" w:beforeAutospacing="0" w:after="0" w:afterAutospacing="0" w:line="276" w:lineRule="auto"/>
                                <w:jc w:val="center"/>
                              </w:pPr>
                              <w:r>
                                <w:rPr>
                                  <w:rFonts w:ascii="Calibri" w:eastAsia="Calibri" w:hAnsi="Calibri"/>
                                  <w:b/>
                                  <w:bCs/>
                                  <w:color w:val="FFFFFF"/>
                                  <w:sz w:val="16"/>
                                  <w:szCs w:val="16"/>
                                  <w:lang w:val="en-US"/>
                                </w:rPr>
                                <w:t>Vadovaujančioji institucija</w:t>
                              </w:r>
                            </w:p>
                          </w:txbxContent>
                        </wps:txbx>
                        <wps:bodyPr rot="0" vert="horz" wrap="square" lIns="91440" tIns="45720" rIns="91440" bIns="45720" anchor="t" anchorCtr="0" upright="1">
                          <a:noAutofit/>
                        </wps:bodyPr>
                      </wps:wsp>
                      <wps:wsp>
                        <wps:cNvPr id="50181" name="AutoShape 15"/>
                        <wps:cNvSpPr>
                          <a:spLocks noChangeArrowheads="1"/>
                        </wps:cNvSpPr>
                        <wps:spPr bwMode="auto">
                          <a:xfrm>
                            <a:off x="3197520" y="2641038"/>
                            <a:ext cx="1423670" cy="466090"/>
                          </a:xfrm>
                          <a:prstGeom prst="roundRect">
                            <a:avLst>
                              <a:gd name="adj" fmla="val 16667"/>
                            </a:avLst>
                          </a:prstGeom>
                          <a:solidFill>
                            <a:srgbClr val="E36C0A"/>
                          </a:solidFill>
                          <a:ln w="9525">
                            <a:solidFill>
                              <a:srgbClr val="974706"/>
                            </a:solidFill>
                            <a:round/>
                            <a:headEnd/>
                            <a:tailEnd/>
                          </a:ln>
                        </wps:spPr>
                        <wps:txbx>
                          <w:txbxContent>
                            <w:p w14:paraId="686AA9E1" w14:textId="77777777" w:rsidR="00A65A8D" w:rsidRDefault="00A65A8D" w:rsidP="002A576D">
                              <w:pPr>
                                <w:pStyle w:val="prastasistinklapis"/>
                                <w:spacing w:before="0" w:beforeAutospacing="0" w:after="0" w:afterAutospacing="0" w:line="276" w:lineRule="auto"/>
                                <w:jc w:val="center"/>
                              </w:pPr>
                              <w:r>
                                <w:rPr>
                                  <w:rFonts w:ascii="Calibri" w:eastAsia="Calibri" w:hAnsi="Calibri"/>
                                  <w:b/>
                                  <w:bCs/>
                                  <w:color w:val="FFFFFF"/>
                                  <w:sz w:val="16"/>
                                  <w:szCs w:val="16"/>
                                  <w:lang w:val="en-US"/>
                                </w:rPr>
                                <w:t>Galutiniai paramos</w:t>
                              </w:r>
                            </w:p>
                            <w:p w14:paraId="5F041572" w14:textId="77777777" w:rsidR="00A65A8D" w:rsidRDefault="00A65A8D" w:rsidP="002A576D">
                              <w:pPr>
                                <w:pStyle w:val="prastasistinklapis"/>
                                <w:spacing w:before="0" w:beforeAutospacing="0" w:after="0" w:afterAutospacing="0" w:line="276" w:lineRule="auto"/>
                                <w:jc w:val="center"/>
                              </w:pPr>
                              <w:r>
                                <w:rPr>
                                  <w:rFonts w:ascii="Calibri" w:eastAsia="Calibri" w:hAnsi="Calibri"/>
                                  <w:b/>
                                  <w:bCs/>
                                  <w:color w:val="FFFFFF"/>
                                  <w:sz w:val="16"/>
                                  <w:szCs w:val="16"/>
                                  <w:lang w:val="en-US"/>
                                </w:rPr>
                                <w:t xml:space="preserve"> gavėjai</w:t>
                              </w:r>
                            </w:p>
                            <w:p w14:paraId="3AB7A828" w14:textId="77777777" w:rsidR="00A65A8D" w:rsidRDefault="00A65A8D" w:rsidP="002A576D">
                              <w:pPr>
                                <w:pStyle w:val="prastasistinklapis"/>
                                <w:spacing w:before="0" w:beforeAutospacing="0" w:after="0" w:afterAutospacing="0" w:line="276" w:lineRule="auto"/>
                                <w:jc w:val="center"/>
                              </w:pPr>
                              <w:r>
                                <w:rPr>
                                  <w:rFonts w:ascii="Calibri" w:eastAsia="Calibri" w:hAnsi="Calibri"/>
                                  <w:b/>
                                  <w:bCs/>
                                  <w:color w:val="FFFFFF"/>
                                  <w:sz w:val="16"/>
                                  <w:szCs w:val="16"/>
                                  <w:lang w:val="en-US"/>
                                </w:rPr>
                                <w:t> </w:t>
                              </w:r>
                            </w:p>
                          </w:txbxContent>
                        </wps:txbx>
                        <wps:bodyPr rot="0" vert="horz" wrap="square" lIns="91440" tIns="45720" rIns="91440" bIns="45720" anchor="t" anchorCtr="0" upright="1">
                          <a:noAutofit/>
                        </wps:bodyPr>
                      </wps:wsp>
                      <wps:wsp>
                        <wps:cNvPr id="50182" name="AutoShape 17"/>
                        <wps:cNvSpPr>
                          <a:spLocks noChangeArrowheads="1"/>
                        </wps:cNvSpPr>
                        <wps:spPr bwMode="auto">
                          <a:xfrm>
                            <a:off x="3193710" y="2159708"/>
                            <a:ext cx="1424305" cy="241935"/>
                          </a:xfrm>
                          <a:prstGeom prst="roundRect">
                            <a:avLst>
                              <a:gd name="adj" fmla="val 16667"/>
                            </a:avLst>
                          </a:prstGeom>
                          <a:solidFill>
                            <a:srgbClr val="E36C0A"/>
                          </a:solidFill>
                          <a:ln w="9525">
                            <a:solidFill>
                              <a:srgbClr val="974706"/>
                            </a:solidFill>
                            <a:prstDash val="dash"/>
                            <a:round/>
                            <a:headEnd/>
                            <a:tailEnd/>
                          </a:ln>
                        </wps:spPr>
                        <wps:txbx>
                          <w:txbxContent>
                            <w:p w14:paraId="44B1C008" w14:textId="77777777" w:rsidR="00A65A8D" w:rsidRDefault="00A65A8D" w:rsidP="002A576D">
                              <w:pPr>
                                <w:pStyle w:val="prastasistinklapis"/>
                                <w:spacing w:before="0" w:beforeAutospacing="0" w:after="0" w:afterAutospacing="0" w:line="276" w:lineRule="auto"/>
                                <w:jc w:val="center"/>
                              </w:pPr>
                              <w:r>
                                <w:rPr>
                                  <w:rFonts w:ascii="Calibri" w:eastAsia="Calibri" w:hAnsi="Calibri"/>
                                  <w:b/>
                                  <w:bCs/>
                                  <w:color w:val="FFFFFF"/>
                                  <w:sz w:val="16"/>
                                  <w:szCs w:val="16"/>
                                  <w:lang w:val="en-US"/>
                                </w:rPr>
                                <w:t>Finansinis tarpininkas</w:t>
                              </w:r>
                            </w:p>
                          </w:txbxContent>
                        </wps:txbx>
                        <wps:bodyPr rot="0" vert="horz" wrap="square" lIns="91440" tIns="45720" rIns="91440" bIns="45720" anchor="t" anchorCtr="0" upright="1">
                          <a:noAutofit/>
                        </wps:bodyPr>
                      </wps:wsp>
                      <wps:wsp>
                        <wps:cNvPr id="50183" name="AutoShape 18"/>
                        <wps:cNvSpPr>
                          <a:spLocks noChangeArrowheads="1"/>
                        </wps:cNvSpPr>
                        <wps:spPr bwMode="auto">
                          <a:xfrm>
                            <a:off x="3198790" y="928443"/>
                            <a:ext cx="1423670" cy="241935"/>
                          </a:xfrm>
                          <a:prstGeom prst="roundRect">
                            <a:avLst>
                              <a:gd name="adj" fmla="val 16667"/>
                            </a:avLst>
                          </a:prstGeom>
                          <a:solidFill>
                            <a:srgbClr val="E36C0A"/>
                          </a:solidFill>
                          <a:ln w="9525">
                            <a:solidFill>
                              <a:srgbClr val="974706"/>
                            </a:solidFill>
                            <a:round/>
                            <a:headEnd/>
                            <a:tailEnd/>
                          </a:ln>
                        </wps:spPr>
                        <wps:txbx>
                          <w:txbxContent>
                            <w:p w14:paraId="6E479979" w14:textId="77777777" w:rsidR="00A65A8D" w:rsidRDefault="00A65A8D" w:rsidP="002A576D">
                              <w:pPr>
                                <w:pStyle w:val="prastasistinklapis"/>
                                <w:spacing w:before="0" w:beforeAutospacing="0" w:after="0" w:afterAutospacing="0" w:line="276" w:lineRule="auto"/>
                                <w:jc w:val="center"/>
                              </w:pPr>
                              <w:r>
                                <w:rPr>
                                  <w:rFonts w:ascii="Calibri" w:eastAsia="Calibri" w:hAnsi="Calibri"/>
                                  <w:b/>
                                  <w:bCs/>
                                  <w:color w:val="FFFFFF"/>
                                  <w:sz w:val="16"/>
                                  <w:szCs w:val="16"/>
                                  <w:lang w:val="en-US"/>
                                </w:rPr>
                                <w:t>Fondų fondas</w:t>
                              </w:r>
                            </w:p>
                          </w:txbxContent>
                        </wps:txbx>
                        <wps:bodyPr rot="0" vert="horz" wrap="square" lIns="91440" tIns="45720" rIns="91440" bIns="45720" anchor="t" anchorCtr="0" upright="1">
                          <a:noAutofit/>
                        </wps:bodyPr>
                      </wps:wsp>
                      <wps:wsp>
                        <wps:cNvPr id="50184" name="AutoShape 27"/>
                        <wps:cNvCnPr>
                          <a:cxnSpLocks noChangeShapeType="1"/>
                        </wps:cNvCnPr>
                        <wps:spPr bwMode="auto">
                          <a:xfrm flipH="1">
                            <a:off x="3907450" y="1170378"/>
                            <a:ext cx="2540" cy="133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85" name="AutoShape 28"/>
                        <wps:cNvCnPr>
                          <a:cxnSpLocks noChangeShapeType="1"/>
                        </wps:cNvCnPr>
                        <wps:spPr bwMode="auto">
                          <a:xfrm flipH="1">
                            <a:off x="3905545" y="1948888"/>
                            <a:ext cx="1270" cy="210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86" name="AutoShape 29"/>
                        <wps:cNvCnPr>
                          <a:cxnSpLocks noChangeShapeType="1"/>
                        </wps:cNvCnPr>
                        <wps:spPr bwMode="auto">
                          <a:xfrm flipH="1">
                            <a:off x="3904275" y="2402278"/>
                            <a:ext cx="1270" cy="240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87" name="AutoShape 30"/>
                        <wps:cNvCnPr>
                          <a:cxnSpLocks noChangeShapeType="1"/>
                        </wps:cNvCnPr>
                        <wps:spPr bwMode="auto">
                          <a:xfrm>
                            <a:off x="3905545" y="2402278"/>
                            <a:ext cx="3175" cy="238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88" name="AutoShape 26"/>
                        <wps:cNvCnPr>
                          <a:cxnSpLocks noChangeShapeType="1"/>
                        </wps:cNvCnPr>
                        <wps:spPr bwMode="auto">
                          <a:xfrm>
                            <a:off x="3909355" y="638883"/>
                            <a:ext cx="635" cy="289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89" name="Oval 166"/>
                        <wps:cNvSpPr>
                          <a:spLocks noChangeArrowheads="1"/>
                        </wps:cNvSpPr>
                        <wps:spPr bwMode="auto">
                          <a:xfrm>
                            <a:off x="3337855" y="1304998"/>
                            <a:ext cx="1139825" cy="643890"/>
                          </a:xfrm>
                          <a:prstGeom prst="ellipse">
                            <a:avLst/>
                          </a:prstGeom>
                          <a:solidFill>
                            <a:srgbClr val="FFC000"/>
                          </a:solidFill>
                          <a:ln w="9525">
                            <a:solidFill>
                              <a:srgbClr val="974706"/>
                            </a:solidFill>
                            <a:round/>
                            <a:headEnd/>
                            <a:tailEnd/>
                          </a:ln>
                        </wps:spPr>
                        <wps:txbx>
                          <w:txbxContent>
                            <w:p w14:paraId="299B1FAF" w14:textId="77777777" w:rsidR="00A65A8D" w:rsidRDefault="00A65A8D" w:rsidP="002A576D">
                              <w:pPr>
                                <w:pStyle w:val="prastasistinklapis"/>
                                <w:spacing w:before="0" w:beforeAutospacing="0" w:after="200" w:afterAutospacing="0" w:line="276" w:lineRule="auto"/>
                                <w:jc w:val="center"/>
                              </w:pPr>
                              <w:r>
                                <w:rPr>
                                  <w:rFonts w:ascii="Calibri" w:eastAsia="Calibri" w:hAnsi="Calibri"/>
                                  <w:b/>
                                  <w:bCs/>
                                  <w:color w:val="FFFFFF"/>
                                  <w:sz w:val="18"/>
                                  <w:szCs w:val="18"/>
                                </w:rPr>
                                <w:t>Finansinė priemonė</w:t>
                              </w:r>
                            </w:p>
                            <w:p w14:paraId="3F1B3FDC" w14:textId="77777777" w:rsidR="00A65A8D" w:rsidRDefault="00A65A8D" w:rsidP="002A576D">
                              <w:pPr>
                                <w:pStyle w:val="prastasistinklapis"/>
                                <w:spacing w:before="0" w:beforeAutospacing="0" w:after="200" w:afterAutospacing="0" w:line="276" w:lineRule="auto"/>
                                <w:jc w:val="center"/>
                              </w:pPr>
                              <w:r>
                                <w:rPr>
                                  <w:rFonts w:ascii="Calibri" w:eastAsia="Calibri" w:hAnsi="Calibri"/>
                                  <w:b/>
                                  <w:bCs/>
                                  <w:color w:val="FFFFFF"/>
                                  <w:sz w:val="22"/>
                                  <w:szCs w:val="22"/>
                                </w:rPr>
                                <w:t> </w:t>
                              </w:r>
                            </w:p>
                          </w:txbxContent>
                        </wps:txbx>
                        <wps:bodyPr rot="0" vert="horz" wrap="square" lIns="91440" tIns="45720" rIns="91440" bIns="45720" anchor="t" anchorCtr="0" upright="1">
                          <a:noAutofit/>
                        </wps:bodyPr>
                      </wps:wsp>
                    </wpc:wpc>
                  </a:graphicData>
                </a:graphic>
              </wp:inline>
            </w:drawing>
          </mc:Choice>
          <mc:Fallback>
            <w:pict>
              <v:group id="_x0000_s1188" editas="canvas" style="width:451.5pt;height:253.95pt;mso-position-horizontal-relative:char;mso-position-vertical-relative:line" coordsize="57340,3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">
                <v:shape id="_x0000_s1189" type="#_x0000_t75" style="position:absolute;width:57340;height:32251;visibility:visible;mso-wrap-style:square">
                  <v:fill o:detectmouseclick="t"/>
                  <v:path o:connecttype="none"/>
                </v:shape>
                <v:rect id="Rectangle 8" o:spid="_x0000_s1190" style="position:absolute;left:9223;top:3202;width:18027;height:29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OS8EA&#10;AADbAAAADwAAAGRycy9kb3ducmV2LnhtbERPTWvCQBC9F/wPywjemo0ipcSsIoIgzcWqIN7G7JgE&#10;s7Nhd5uk/75bKPQ2j/c5+WY0rejJ+caygnmSgiAurW64UnA571/fQfiArLG1TAq+ycNmPXnJMdN2&#10;4E/qT6ESMYR9hgrqELpMSl/WZNAntiOO3MM6gyFCV0ntcIjhppWLNH2TBhuODTV2tKupfJ6+jILu&#10;9kF6CFpex7O7H1yxPRbVUanZdNyuQAQaw7/4z33Qcf4Sfn+JB8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4zkvBAAAA2wAAAA8AAAAAAAAAAAAAAAAAmAIAAGRycy9kb3du&#10;cmV2LnhtbFBLBQYAAAAABAAEAPUAAACGAwAAAAA=&#10;" strokecolor="#e36c0a" strokeweight="1.5pt"/>
                <v:roundrect id="AutoShape 11" o:spid="_x0000_s1191" style="position:absolute;left:11644;top:3987;width:14237;height:24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4sb8A&#10;AADbAAAADwAAAGRycy9kb3ducmV2LnhtbERP32vCMBB+H+x/CDfwbaaKFOlMi8gE37aq7PlozqTY&#10;XEqT2c6/3gwGe7uP7+dtqsl14kZDaD0rWMwzEMSN1y0bBefT/nUNIkRkjZ1nUvBDAary+WmDhfYj&#10;13Q7RiNSCIcCFdgY+0LK0FhyGOa+J07cxQ8OY4KDkXrAMYW7Ti6zLJcOW04NFnvaWWqux2+nwGi7&#10;rT8/TP2emVU4x3yJ9/FLqdnLtH0DEWmK/+I/90Gn+Tn8/pIOk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anixvwAAANsAAAAPAAAAAAAAAAAAAAAAAJgCAABkcnMvZG93bnJl&#10;di54bWxQSwUGAAAAAAQABAD1AAAAhAMAAAAA&#10;" fillcolor="#e36c0a" strokecolor="#974706">
                  <v:textbox>
                    <w:txbxContent>
                      <w:p w14:paraId="795AC35E" w14:textId="77777777" w:rsidR="00A65A8D" w:rsidRDefault="00A65A8D" w:rsidP="002A576D">
                        <w:pPr>
                          <w:spacing w:after="0" w:line="240" w:lineRule="auto"/>
                          <w:jc w:val="center"/>
                          <w:rPr>
                            <w:b/>
                            <w:color w:val="FFFFFF"/>
                            <w:sz w:val="16"/>
                            <w:szCs w:val="16"/>
                          </w:rPr>
                        </w:pPr>
                        <w:r>
                          <w:rPr>
                            <w:b/>
                            <w:color w:val="FFFFFF"/>
                            <w:sz w:val="16"/>
                            <w:szCs w:val="16"/>
                          </w:rPr>
                          <w:t>Vadovaujančioji institucija</w:t>
                        </w:r>
                      </w:p>
                    </w:txbxContent>
                  </v:textbox>
                </v:roundrect>
                <v:roundrect id="AutoShape 14" o:spid="_x0000_s1192" style="position:absolute;left:11391;top:26419;width:14691;height:46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lJWMIA&#10;AADbAAAADwAAAGRycy9kb3ducmV2LnhtbESPQWsCMRCF74X+hzAFbzVbESmrUURa8GbXiudhMyaL&#10;m8mySd3VX985FHqb4b1575vVZgytulGfmsgG3qYFKOI62oadgdP35+s7qJSRLbaRycCdEmzWz08r&#10;LG0cuKLbMTslIZxKNOBz7kqtU+0pYJrGjli0S+wDZll7p22Pg4SHVs+KYqEDNiwNHjvaeaqvx59g&#10;wFm/rb4Orvoo3Dyd8mKGj+FszORl3C5BZRrzv/nvem8FX2DlFxl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UlYwgAAANsAAAAPAAAAAAAAAAAAAAAAAJgCAABkcnMvZG93&#10;bnJldi54bWxQSwUGAAAAAAQABAD1AAAAhwMAAAAA&#10;" fillcolor="#e36c0a" strokecolor="#974706">
                  <v:textbox>
                    <w:txbxContent>
                      <w:p w14:paraId="3D532B57" w14:textId="77777777" w:rsidR="00A65A8D" w:rsidRDefault="00A65A8D" w:rsidP="002A576D">
                        <w:pPr>
                          <w:spacing w:after="0" w:line="240" w:lineRule="auto"/>
                          <w:jc w:val="center"/>
                          <w:rPr>
                            <w:b/>
                            <w:color w:val="FFFFFF"/>
                            <w:sz w:val="16"/>
                            <w:szCs w:val="16"/>
                          </w:rPr>
                        </w:pPr>
                        <w:r>
                          <w:rPr>
                            <w:b/>
                            <w:color w:val="FFFFFF"/>
                            <w:sz w:val="16"/>
                            <w:szCs w:val="16"/>
                          </w:rPr>
                          <w:t>Galutiniai paramos</w:t>
                        </w:r>
                      </w:p>
                      <w:p w14:paraId="3AB28691" w14:textId="77777777" w:rsidR="00A65A8D" w:rsidRDefault="00A65A8D" w:rsidP="002A576D">
                        <w:pPr>
                          <w:spacing w:after="0" w:line="240" w:lineRule="auto"/>
                          <w:jc w:val="center"/>
                          <w:rPr>
                            <w:b/>
                            <w:color w:val="FFFFFF"/>
                            <w:sz w:val="16"/>
                            <w:szCs w:val="16"/>
                          </w:rPr>
                        </w:pPr>
                        <w:r>
                          <w:rPr>
                            <w:b/>
                            <w:color w:val="FFFFFF"/>
                            <w:sz w:val="16"/>
                            <w:szCs w:val="16"/>
                          </w:rPr>
                          <w:t xml:space="preserve"> gavėjai</w:t>
                        </w:r>
                      </w:p>
                      <w:p w14:paraId="6DE139F8" w14:textId="77777777" w:rsidR="00A65A8D" w:rsidRDefault="00A65A8D" w:rsidP="002A576D">
                        <w:pPr>
                          <w:spacing w:after="0" w:line="240" w:lineRule="auto"/>
                          <w:jc w:val="center"/>
                          <w:rPr>
                            <w:b/>
                            <w:color w:val="FFFFFF"/>
                            <w:sz w:val="16"/>
                            <w:szCs w:val="16"/>
                          </w:rPr>
                        </w:pPr>
                      </w:p>
                    </w:txbxContent>
                  </v:textbox>
                </v:roundrect>
                <v:roundrect id="AutoShape 16" o:spid="_x0000_s1193" style="position:absolute;left:11644;top:17228;width:14237;height:42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Xsw8AA&#10;AADbAAAADwAAAGRycy9kb3ducmV2LnhtbERP32vCMBB+H+x/CDfwbabKEFdNi4wN9uaqZc9HcybF&#10;5lKazFb/+mUw8O0+vp+3LSfXiQsNofWsYDHPQBA3XrdsFNTHj+c1iBCRNXaeScGVApTF48MWc+1H&#10;ruhyiEakEA45KrAx9rmUobHkMMx9T5y4kx8cxgQHI/WAYwp3nVxm2Uo6bDk1WOzpzVJzPvw4BUbb&#10;XfW1N9V7Zl5CHVdLvI3fSs2ept0GRKQp3sX/7k+d5r/C3y/pAFn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Xsw8AAAADbAAAADwAAAAAAAAAAAAAAAACYAgAAZHJzL2Rvd25y&#10;ZXYueG1sUEsFBgAAAAAEAAQA9QAAAIUDAAAAAA==&#10;" fillcolor="#e36c0a" strokecolor="#974706">
                  <v:textbox>
                    <w:txbxContent>
                      <w:p w14:paraId="02EE12FC" w14:textId="77777777" w:rsidR="00A65A8D" w:rsidRDefault="00A65A8D" w:rsidP="002A576D">
                        <w:pPr>
                          <w:spacing w:after="0" w:line="240" w:lineRule="auto"/>
                          <w:jc w:val="center"/>
                          <w:rPr>
                            <w:b/>
                            <w:color w:val="FFFFFF"/>
                            <w:sz w:val="16"/>
                            <w:szCs w:val="16"/>
                          </w:rPr>
                        </w:pPr>
                        <w:r>
                          <w:rPr>
                            <w:b/>
                            <w:color w:val="FFFFFF"/>
                            <w:sz w:val="16"/>
                            <w:szCs w:val="16"/>
                          </w:rPr>
                          <w:t>Finansinės priemonės valdytojas</w:t>
                        </w:r>
                      </w:p>
                    </w:txbxContent>
                  </v:textbox>
                </v:roundrect>
                <v:oval id="Oval 20" o:spid="_x0000_s1194" style="position:absolute;left:13057;top:8669;width:11402;height:6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Pz6cAA&#10;AADbAAAADwAAAGRycy9kb3ducmV2LnhtbERPS4vCMBC+C/sfwix403RFRLpGWWRFxYP4OKy3sZlt&#10;i82kNFHrv3cOgseP7z2Zta5SN2pC6dnAVz8BRZx5W3Ju4HhY9MagQkS2WHkmAw8KMJt+dCaYWn/n&#10;Hd32MVcSwiFFA0WMdap1yApyGPq+Jhbu3zcOo8Am17bBu4S7Sg+SZKQdliwNBdY0Lyi77K/OwOC0&#10;PW/q9XD5F4ehWm7WCY5Xv8Z0P9ufb1CR2vgWv9wrKz5ZL1/kB+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6Pz6cAAAADbAAAADwAAAAAAAAAAAAAAAACYAgAAZHJzL2Rvd25y&#10;ZXYueG1sUEsFBgAAAAAEAAQA9QAAAIUDAAAAAA==&#10;" fillcolor="#ffc000" strokecolor="#974706">
                  <v:textbox>
                    <w:txbxContent>
                      <w:p w14:paraId="75E1B045" w14:textId="77777777" w:rsidR="00A65A8D" w:rsidRPr="00873719" w:rsidRDefault="00A65A8D" w:rsidP="002A576D">
                        <w:pPr>
                          <w:jc w:val="center"/>
                          <w:rPr>
                            <w:b/>
                            <w:color w:val="FFFFFF"/>
                            <w:lang w:val="lt-LT"/>
                          </w:rPr>
                        </w:pPr>
                        <w:r>
                          <w:rPr>
                            <w:b/>
                            <w:color w:val="FFFFFF"/>
                            <w:sz w:val="18"/>
                            <w:lang w:val="lt-LT"/>
                          </w:rPr>
                          <w:t>Finansinė priemonė</w:t>
                        </w:r>
                      </w:p>
                      <w:p w14:paraId="6E342EC3" w14:textId="77777777" w:rsidR="00A65A8D" w:rsidRPr="00873719" w:rsidRDefault="00A65A8D" w:rsidP="002A576D">
                        <w:pPr>
                          <w:jc w:val="center"/>
                          <w:rPr>
                            <w:b/>
                            <w:color w:val="FFFFFF"/>
                            <w:lang w:val="lt-LT"/>
                          </w:rPr>
                        </w:pPr>
                      </w:p>
                    </w:txbxContent>
                  </v:textbox>
                </v:oval>
                <v:shape id="AutoShape 24" o:spid="_x0000_s1195" type="#_x0000_t32" style="position:absolute;left:18758;top:15113;width:4;height:2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AutoShape 25" o:spid="_x0000_s1196" type="#_x0000_t32" style="position:absolute;left:18736;top:21443;width:26;height:49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YysEAAADbAAAADwAAAGRycy9kb3ducmV2LnhtbESPT4vCMBTE78J+h/AW9qbpCitSjaLC&#10;gnhZ/AN6fDTPNti8lCY29dtvBMHjMDO/YebL3taio9Ybxwq+RxkI4sJpw6WC0/F3OAXhA7LG2jEp&#10;eJCH5eJjMMdcu8h76g6hFAnCPkcFVQhNLqUvKrLoR64hTt7VtRZDkm0pdYsxwW0tx1k2kRYNp4UK&#10;G9pUVNwOd6vAxD/TNdtNXO/OF68jmcePM0p9ffarGYhAfXiHX+2tVjAZw/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4ljKwQAAANsAAAAPAAAAAAAAAAAAAAAA&#10;AKECAABkcnMvZG93bnJldi54bWxQSwUGAAAAAAQABAD5AAAAjwMAAAAA&#10;">
                  <v:stroke endarrow="block"/>
                </v:shape>
                <v:shape id="AutoShape 26" o:spid="_x0000_s1197" type="#_x0000_t32" style="position:absolute;left:18758;top:6399;width:4;height:22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79UcMAAADbAAAADwAAAGRycy9kb3ducmV2LnhtbESPwWrDMBBE74X8g9hAb7Wcl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VHDAAAA2wAAAA8AAAAAAAAAAAAA&#10;AAAAoQIAAGRycy9kb3ducmV2LnhtbFBLBQYAAAAABAAEAPkAAACRAwAAAAA=&#10;">
                  <v:stroke endarrow="block"/>
                </v:shape>
                <v:roundrect id="AutoShape 10" o:spid="_x0000_s1198" style="position:absolute;left:11188;top:335;width:14233;height:24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pz48QA&#10;AADeAAAADwAAAGRycy9kb3ducmV2LnhtbESPQYvCMBSE78L+h/AWvGmqYJWuUXZlBW9q3Yu3R/Ns&#10;i81LTbJa/70RBI/DzHzDzJedacSVnK8tKxgNExDEhdU1lwr+DuvBDIQPyBoby6TgTh6Wi4/eHDNt&#10;b7ynax5KESHsM1RQhdBmUvqiIoN+aFvi6J2sMxiidKXUDm8Rbho5TpJUGqw5LlTY0qqi4pz/GwWX&#10;2v2sV9btijTNfw9+e2ywPSrV/+y+v0AE6sI7/GpvtIJJMpqm8LwTr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qc+PEAAAA3gAAAA8AAAAAAAAAAAAAAAAAmAIAAGRycy9k&#10;b3ducmV2LnhtbFBLBQYAAAAABAAEAPUAAACJAwAAAAA=&#10;" fillcolor="white [3201]" strokecolor="#f79646 [3209]" strokeweight="2pt">
                  <v:textbox>
                    <w:txbxContent>
                      <w:p w14:paraId="18290007" w14:textId="77777777" w:rsidR="00A65A8D" w:rsidRDefault="00A65A8D" w:rsidP="002A576D">
                        <w:pPr>
                          <w:pStyle w:val="prastasistinklapis"/>
                          <w:jc w:val="center"/>
                        </w:pPr>
                        <w:r>
                          <w:rPr>
                            <w:rFonts w:ascii="Calibri" w:eastAsia="Calibri" w:hAnsi="Calibri"/>
                            <w:b/>
                            <w:bCs/>
                            <w:sz w:val="16"/>
                            <w:szCs w:val="16"/>
                          </w:rPr>
                          <w:t>II STRUKTŪRA</w:t>
                        </w:r>
                      </w:p>
                    </w:txbxContent>
                  </v:textbox>
                </v:roundrect>
                <v:roundrect id="AutoShape 10" o:spid="_x0000_s1199" style="position:absolute;left:31814;top:335;width:14233;height:24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bWeMYA&#10;AADeAAAADwAAAGRycy9kb3ducmV2LnhtbESPQWvCQBSE74X+h+UVvNVNBJOSuooGBW9tYy/eHtnX&#10;JJh9G3dXk/77bqHQ4zAz3zCrzWR6cSfnO8sK0nkCgri2uuNGwefp8PwCwgdkjb1lUvBNHjbrx4cV&#10;FtqO/EH3KjQiQtgXqKANYSik9HVLBv3cDsTR+7LOYIjSNVI7HCPc9HKRJJk02HFcaHGgsqX6Ut2M&#10;gmvndofSuvc6y6r9yb+dexzOSs2epu0riEBT+A//tY9awTJJ8xx+78Qr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bWeMYAAADeAAAADwAAAAAAAAAAAAAAAACYAgAAZHJz&#10;L2Rvd25yZXYueG1sUEsFBgAAAAAEAAQA9QAAAIsDAAAAAA==&#10;" fillcolor="white [3201]" strokecolor="#f79646 [3209]" strokeweight="2pt">
                  <v:textbox>
                    <w:txbxContent>
                      <w:p w14:paraId="3932D52B" w14:textId="77777777" w:rsidR="00A65A8D" w:rsidRDefault="00A65A8D" w:rsidP="002A576D">
                        <w:pPr>
                          <w:pStyle w:val="prastasistinklapis"/>
                          <w:jc w:val="center"/>
                        </w:pPr>
                        <w:r>
                          <w:rPr>
                            <w:rFonts w:ascii="Calibri" w:eastAsia="Calibri" w:hAnsi="Calibri"/>
                            <w:b/>
                            <w:bCs/>
                            <w:sz w:val="16"/>
                            <w:szCs w:val="16"/>
                          </w:rPr>
                          <w:t>III STRUKTŪRA</w:t>
                        </w:r>
                      </w:p>
                    </w:txbxContent>
                  </v:textbox>
                </v:roundrect>
                <v:rect id="Rectangle 9" o:spid="_x0000_s1200" style="position:absolute;left:30184;top:3202;width:18021;height:29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WxMMA&#10;AADeAAAADwAAAGRycy9kb3ducmV2LnhtbERPz2vCMBS+D/wfwhN2W1MHulGNIoIg9uLsQLw9m2db&#10;bF5KkrXdf28Ogx0/vt+rzWha0ZPzjWUFsyQFQVxa3XCl4LvYv32C8AFZY2uZFPySh8168rLCTNuB&#10;v6g/h0rEEPYZKqhD6DIpfVmTQZ/Yjjhyd+sMhghdJbXDIYabVr6n6UIabDg21NjRrqbycf4xCrrr&#10;kfQQtLyMhbsdXL495dVJqdfpuF2CCDSGf/Gf+6AVzNPZR9wb78Qr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uWxMMAAADeAAAADwAAAAAAAAAAAAAAAACYAgAAZHJzL2Rv&#10;d25yZXYueG1sUEsFBgAAAAAEAAQA9QAAAIgDAAAAAA==&#10;" strokecolor="#e36c0a" strokeweight="1.5pt">
                  <v:textbox>
                    <w:txbxContent>
                      <w:p w14:paraId="26595FFA" w14:textId="77777777" w:rsidR="00A65A8D" w:rsidRDefault="00A65A8D" w:rsidP="002A576D">
                        <w:pPr>
                          <w:rPr>
                            <w:rFonts w:eastAsia="Times New Roman"/>
                          </w:rPr>
                        </w:pPr>
                      </w:p>
                    </w:txbxContent>
                  </v:textbox>
                </v:rect>
                <v:roundrect id="AutoShape 12" o:spid="_x0000_s1201" style="position:absolute;left:31975;top:3975;width:14236;height:24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IuMUA&#10;AADeAAAADwAAAGRycy9kb3ducmV2LnhtbESPT0sDMRTE74LfITyhN5u09I9dm5YiFrzp1tLzY/NM&#10;FjcvyyZ2t376RhB6HGbmN8x6O/hGnKmLdWANk7ECQVwFU7PVcPzcPz6BiAnZYBOYNFwownZzf7fG&#10;woSeSzofkhUZwrFADS6ltpAyVo48xnFoibP3FTqPKcvOStNhn+G+kVOlFtJjzXnBYUsvjqrvw4/X&#10;YI3blR/vtnxVdhaPaTHF3/6k9ehh2D2DSDSkW/i//WY0zNVkuYK/O/kK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si4xQAAAN4AAAAPAAAAAAAAAAAAAAAAAJgCAABkcnMv&#10;ZG93bnJldi54bWxQSwUGAAAAAAQABAD1AAAAigMAAAAA&#10;" fillcolor="#e36c0a" strokecolor="#974706">
                  <v:textbox>
                    <w:txbxContent>
                      <w:p w14:paraId="6948F258" w14:textId="77777777" w:rsidR="00A65A8D" w:rsidRDefault="00A65A8D" w:rsidP="002A576D">
                        <w:pPr>
                          <w:pStyle w:val="prastasistinklapis"/>
                          <w:spacing w:before="0" w:beforeAutospacing="0" w:after="0" w:afterAutospacing="0" w:line="276" w:lineRule="auto"/>
                          <w:jc w:val="center"/>
                        </w:pPr>
                        <w:r>
                          <w:rPr>
                            <w:rFonts w:ascii="Calibri" w:eastAsia="Calibri" w:hAnsi="Calibri"/>
                            <w:b/>
                            <w:bCs/>
                            <w:color w:val="FFFFFF"/>
                            <w:sz w:val="16"/>
                            <w:szCs w:val="16"/>
                            <w:lang w:val="en-US"/>
                          </w:rPr>
                          <w:t>Vadovaujančioji institucija</w:t>
                        </w:r>
                      </w:p>
                    </w:txbxContent>
                  </v:textbox>
                </v:roundrect>
                <v:roundrect id="AutoShape 15" o:spid="_x0000_s1202" style="position:absolute;left:31975;top:26410;width:14236;height:46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0mcQA&#10;AADeAAAADwAAAGRycy9kb3ducmV2LnhtbESPQWsCMRSE74X+h/AKvdVkpYpsjSKlQm92VXp+bF6T&#10;pZuXZRPdrb++EQSPw8x8wyzXo2/FmfrYBNZQTBQI4jqYhq2G42H7sgARE7LBNjBp+KMI69XjwxJL&#10;Ewau6LxPVmQIxxI1uJS6UspYO/IYJ6Ejzt5P6D2mLHsrTY9DhvtWTpWaS48N5wWHHb07qn/3J6/B&#10;Grepvna2+lD2NR7TfIqX4Vvr56dx8wYi0Zju4Vv702iYqWJRwPVOv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htJnEAAAA3gAAAA8AAAAAAAAAAAAAAAAAmAIAAGRycy9k&#10;b3ducmV2LnhtbFBLBQYAAAAABAAEAPUAAACJAwAAAAA=&#10;" fillcolor="#e36c0a" strokecolor="#974706">
                  <v:textbox>
                    <w:txbxContent>
                      <w:p w14:paraId="686AA9E1" w14:textId="77777777" w:rsidR="00A65A8D" w:rsidRDefault="00A65A8D" w:rsidP="002A576D">
                        <w:pPr>
                          <w:pStyle w:val="prastasistinklapis"/>
                          <w:spacing w:before="0" w:beforeAutospacing="0" w:after="0" w:afterAutospacing="0" w:line="276" w:lineRule="auto"/>
                          <w:jc w:val="center"/>
                        </w:pPr>
                        <w:r>
                          <w:rPr>
                            <w:rFonts w:ascii="Calibri" w:eastAsia="Calibri" w:hAnsi="Calibri"/>
                            <w:b/>
                            <w:bCs/>
                            <w:color w:val="FFFFFF"/>
                            <w:sz w:val="16"/>
                            <w:szCs w:val="16"/>
                            <w:lang w:val="en-US"/>
                          </w:rPr>
                          <w:t>Galutiniai paramos</w:t>
                        </w:r>
                      </w:p>
                      <w:p w14:paraId="5F041572" w14:textId="77777777" w:rsidR="00A65A8D" w:rsidRDefault="00A65A8D" w:rsidP="002A576D">
                        <w:pPr>
                          <w:pStyle w:val="prastasistinklapis"/>
                          <w:spacing w:before="0" w:beforeAutospacing="0" w:after="0" w:afterAutospacing="0" w:line="276" w:lineRule="auto"/>
                          <w:jc w:val="center"/>
                        </w:pPr>
                        <w:r>
                          <w:rPr>
                            <w:rFonts w:ascii="Calibri" w:eastAsia="Calibri" w:hAnsi="Calibri"/>
                            <w:b/>
                            <w:bCs/>
                            <w:color w:val="FFFFFF"/>
                            <w:sz w:val="16"/>
                            <w:szCs w:val="16"/>
                            <w:lang w:val="en-US"/>
                          </w:rPr>
                          <w:t xml:space="preserve"> gavėjai</w:t>
                        </w:r>
                      </w:p>
                      <w:p w14:paraId="3AB7A828" w14:textId="77777777" w:rsidR="00A65A8D" w:rsidRDefault="00A65A8D" w:rsidP="002A576D">
                        <w:pPr>
                          <w:pStyle w:val="prastasistinklapis"/>
                          <w:spacing w:before="0" w:beforeAutospacing="0" w:after="0" w:afterAutospacing="0" w:line="276" w:lineRule="auto"/>
                          <w:jc w:val="center"/>
                        </w:pPr>
                        <w:r>
                          <w:rPr>
                            <w:rFonts w:ascii="Calibri" w:eastAsia="Calibri" w:hAnsi="Calibri"/>
                            <w:b/>
                            <w:bCs/>
                            <w:color w:val="FFFFFF"/>
                            <w:sz w:val="16"/>
                            <w:szCs w:val="16"/>
                            <w:lang w:val="en-US"/>
                          </w:rPr>
                          <w:t> </w:t>
                        </w:r>
                      </w:p>
                    </w:txbxContent>
                  </v:textbox>
                </v:roundrect>
                <v:roundrect id="AutoShape 17" o:spid="_x0000_s1203" style="position:absolute;left:31937;top:21597;width:14243;height:24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28MYA&#10;AADeAAAADwAAAGRycy9kb3ducmV2LnhtbESP0YrCMBRE34X9h3AX9kU0VVCkGkVWKz6osF0/4NJc&#10;22Jz022ytf69EQQfh5k5wyxWnalES40rLSsYDSMQxJnVJecKzr/JYAbCeWSNlWVScCcHq+VHb4Gx&#10;tjf+oTb1uQgQdjEqKLyvYyldVpBBN7Q1cfAutjHog2xyqRu8Bbip5DiKptJgyWGhwJq+C8qu6b9R&#10;0E429fa+3ktMzjv3d0j65pielPr67NZzEJ46/w6/2nutYBKNZmN43g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q28MYAAADeAAAADwAAAAAAAAAAAAAAAACYAgAAZHJz&#10;L2Rvd25yZXYueG1sUEsFBgAAAAAEAAQA9QAAAIsDAAAAAA==&#10;" fillcolor="#e36c0a" strokecolor="#974706">
                  <v:stroke dashstyle="dash"/>
                  <v:textbox>
                    <w:txbxContent>
                      <w:p w14:paraId="44B1C008" w14:textId="77777777" w:rsidR="00A65A8D" w:rsidRDefault="00A65A8D" w:rsidP="002A576D">
                        <w:pPr>
                          <w:pStyle w:val="prastasistinklapis"/>
                          <w:spacing w:before="0" w:beforeAutospacing="0" w:after="0" w:afterAutospacing="0" w:line="276" w:lineRule="auto"/>
                          <w:jc w:val="center"/>
                        </w:pPr>
                        <w:r>
                          <w:rPr>
                            <w:rFonts w:ascii="Calibri" w:eastAsia="Calibri" w:hAnsi="Calibri"/>
                            <w:b/>
                            <w:bCs/>
                            <w:color w:val="FFFFFF"/>
                            <w:sz w:val="16"/>
                            <w:szCs w:val="16"/>
                            <w:lang w:val="en-US"/>
                          </w:rPr>
                          <w:t>Finansinis tarpininkas</w:t>
                        </w:r>
                      </w:p>
                    </w:txbxContent>
                  </v:textbox>
                </v:roundrect>
                <v:roundrect id="AutoShape 18" o:spid="_x0000_s1204" style="position:absolute;left:31987;top:9284;width:14237;height:24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PdcQA&#10;AADeAAAADwAAAGRycy9kb3ducmV2LnhtbESPQWsCMRSE74X+h/AEbzXRWpGtUaS04K1dFc+PzWuy&#10;uHlZNqm7+usbodDjMDPfMKvN4BtxoS7WgTVMJwoEcRVMzVbD8fDxtAQRE7LBJjBpuFKEzfrxYYWF&#10;CT2XdNknKzKEY4EaXEptIWWsHHmMk9ASZ+87dB5Tlp2VpsM+w30jZ0otpMea84LDlt4cVef9j9dg&#10;jduWX5+2fFd2Ho9pMcNbf9J6PBq2ryASDek//NfeGQ0varp8hvudf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j3XEAAAA3gAAAA8AAAAAAAAAAAAAAAAAmAIAAGRycy9k&#10;b3ducmV2LnhtbFBLBQYAAAAABAAEAPUAAACJAwAAAAA=&#10;" fillcolor="#e36c0a" strokecolor="#974706">
                  <v:textbox>
                    <w:txbxContent>
                      <w:p w14:paraId="6E479979" w14:textId="77777777" w:rsidR="00A65A8D" w:rsidRDefault="00A65A8D" w:rsidP="002A576D">
                        <w:pPr>
                          <w:pStyle w:val="prastasistinklapis"/>
                          <w:spacing w:before="0" w:beforeAutospacing="0" w:after="0" w:afterAutospacing="0" w:line="276" w:lineRule="auto"/>
                          <w:jc w:val="center"/>
                        </w:pPr>
                        <w:r>
                          <w:rPr>
                            <w:rFonts w:ascii="Calibri" w:eastAsia="Calibri" w:hAnsi="Calibri"/>
                            <w:b/>
                            <w:bCs/>
                            <w:color w:val="FFFFFF"/>
                            <w:sz w:val="16"/>
                            <w:szCs w:val="16"/>
                            <w:lang w:val="en-US"/>
                          </w:rPr>
                          <w:t>Fondų fondas</w:t>
                        </w:r>
                      </w:p>
                    </w:txbxContent>
                  </v:textbox>
                </v:roundrect>
                <v:shape id="AutoShape 27" o:spid="_x0000_s1205" type="#_x0000_t32" style="position:absolute;left:39074;top:11703;width:25;height:1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mg+cUAAADeAAAADwAAAGRycy9kb3ducmV2LnhtbESPT2sCMRTE70K/Q3iF3jRrqbJsjdIK&#10;gngR/0B7fGxed0M3L8smbtZvbwTB4zAzv2EWq8E2oqfOG8cKppMMBHHptOFKwfm0GecgfEDW2Dgm&#10;BVfysFq+jBZYaBf5QP0xVCJB2BeooA6hLaT0ZU0W/cS1xMn7c53FkGRXSd1hTHDbyPcsm0uLhtNC&#10;jS2tayr/jxerwMS96dvtOn7vfn69jmSuM2eUensdvj5BBBrCM/xob7WCWTbNP+B+J1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mg+cUAAADeAAAADwAAAAAAAAAA&#10;AAAAAAChAgAAZHJzL2Rvd25yZXYueG1sUEsFBgAAAAAEAAQA+QAAAJMDAAAAAA==&#10;">
                  <v:stroke endarrow="block"/>
                </v:shape>
                <v:shape id="AutoShape 28" o:spid="_x0000_s1206" type="#_x0000_t32" style="position:absolute;left:39055;top:19488;width:13;height:21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UFYsUAAADeAAAADwAAAGRycy9kb3ducmV2LnhtbESPQWvCQBSE74L/YXlCb7pJIUVS16CC&#10;IL0UrdAeH9nXZDH7NmS32fjvu0Khx2FmvmE21WQ7MdLgjWMF+SoDQVw7bbhRcP04LtcgfEDW2Dkm&#10;BXfyUG3nsw2W2kU+03gJjUgQ9iUqaEPoSyl93ZJFv3I9cfK+3WAxJDk0Ug8YE9x28jnLXqRFw2mh&#10;xZ4OLdW3y49VYOK7GfvTIe7fPr+8jmTuhTNKPS2m3SuIQFP4D/+1T1pBkeXrAh530hW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UFYsUAAADeAAAADwAAAAAAAAAA&#10;AAAAAAChAgAAZHJzL2Rvd25yZXYueG1sUEsFBgAAAAAEAAQA+QAAAJMDAAAAAA==&#10;">
                  <v:stroke endarrow="block"/>
                </v:shape>
                <v:shape id="AutoShape 29" o:spid="_x0000_s1207" type="#_x0000_t32" style="position:absolute;left:39042;top:24022;width:13;height:24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ebFcMAAADeAAAADwAAAGRycy9kb3ducmV2LnhtbESPQYvCMBSE7wv+h/AEb2uqoEg1igqC&#10;eJF1F9bjo3m2wealNLGp/94IC3scZuYbZrXpbS06ar1xrGAyzkAQF04bLhX8fB8+FyB8QNZYOyYF&#10;T/KwWQ8+VphrF/mLuksoRYKwz1FBFUKTS+mLiiz6sWuIk3dzrcWQZFtK3WJMcFvLaZbNpUXDaaHC&#10;hvYVFffLwyow8Wy65riPu9Pv1etI5jlzRqnRsN8uQQTqw3/4r33UCmbZZDGH9510Be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XmxXDAAAA3gAAAA8AAAAAAAAAAAAA&#10;AAAAoQIAAGRycy9kb3ducmV2LnhtbFBLBQYAAAAABAAEAPkAAACRAwAAAAA=&#10;">
                  <v:stroke endarrow="block"/>
                </v:shape>
                <v:shape id="AutoShape 30" o:spid="_x0000_s1208" type="#_x0000_t32" style="position:absolute;left:39055;top:24022;width:32;height:2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tXt8cAAADeAAAADwAAAGRycy9kb3ducmV2LnhtbESPQWvCQBSE7wX/w/IEb3UToVajq4hg&#10;EUsPagn19si+JqHZt2F31eiv7xYKHoeZ+YaZLzvTiAs5X1tWkA4TEMSF1TWXCj6Pm+cJCB+QNTaW&#10;ScGNPCwXvac5ZtpeeU+XQyhFhLDPUEEVQptJ6YuKDPqhbYmj922dwRClK6V2eI1w08hRkoylwZrj&#10;QoUtrSsqfg5no+DrfXrOb/kH7fJ0ujuhM/5+fFNq0O9WMxCBuvAI/7e3WsFLkk5e4e9Ov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m1e3xwAAAN4AAAAPAAAAAAAA&#10;AAAAAAAAAKECAABkcnMvZG93bnJldi54bWxQSwUGAAAAAAQABAD5AAAAlQMAAAAA&#10;">
                  <v:stroke endarrow="block"/>
                </v:shape>
                <v:shape id="AutoShape 26" o:spid="_x0000_s1209" type="#_x0000_t32" style="position:absolute;left:39093;top:6388;width:6;height:28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TDxcUAAADeAAAADwAAAGRycy9kb3ducmV2LnhtbERPz2vCMBS+D/wfwhN2m2kHE9sZyxAc&#10;w7HDVIreHs1bW9a8lCTW6l+/HAYeP77fy2I0nRjI+daygnSWgCCurG65VnDYb54WIHxA1thZJgVX&#10;8lCsJg9LzLW98DcNu1CLGMI+RwVNCH0upa8aMuhntieO3I91BkOErpba4SWGm04+J8lcGmw5NjTY&#10;07qh6nd3NgqOn9m5vJZftC3TbHtCZ/xt/67U43R8ewURaAx38b/7Qyt4SdJF3BvvxCs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TDxcUAAADeAAAADwAAAAAAAAAA&#10;AAAAAAChAgAAZHJzL2Rvd25yZXYueG1sUEsFBgAAAAAEAAQA+QAAAJMDAAAAAA==&#10;">
                  <v:stroke endarrow="block"/>
                </v:shape>
                <v:oval id="Oval 166" o:spid="_x0000_s1210" style="position:absolute;left:33378;top:13049;width:11398;height:6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jGh8cA&#10;AADeAAAADwAAAGRycy9kb3ducmV2LnhtbESPQWsCMRSE74L/IbxCb5ooKtvVKCItKh6ktof29ty8&#10;7i5uXpZNquu/N4LgcZiZb5jZorWVOFPjS8caBn0FgjhzpuRcw/fXRy8B4QOywcoxabiSh8W825lh&#10;atyFP+l8CLmIEPYpaihCqFMpfVaQRd93NXH0/lxjMUTZ5NI0eIlwW8mhUhNpseS4UGBNq4Ky0+Hf&#10;ahj+7o+7ejta/4SRr9a7rcJk867160u7nIII1IZn+NHeGA1jNUje4H4nX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YxofHAAAA3gAAAA8AAAAAAAAAAAAAAAAAmAIAAGRy&#10;cy9kb3ducmV2LnhtbFBLBQYAAAAABAAEAPUAAACMAwAAAAA=&#10;" fillcolor="#ffc000" strokecolor="#974706">
                  <v:textbox>
                    <w:txbxContent>
                      <w:p w14:paraId="299B1FAF" w14:textId="77777777" w:rsidR="00A65A8D" w:rsidRDefault="00A65A8D" w:rsidP="002A576D">
                        <w:pPr>
                          <w:pStyle w:val="prastasistinklapis"/>
                          <w:spacing w:before="0" w:beforeAutospacing="0" w:after="200" w:afterAutospacing="0" w:line="276" w:lineRule="auto"/>
                          <w:jc w:val="center"/>
                        </w:pPr>
                        <w:r>
                          <w:rPr>
                            <w:rFonts w:ascii="Calibri" w:eastAsia="Calibri" w:hAnsi="Calibri"/>
                            <w:b/>
                            <w:bCs/>
                            <w:color w:val="FFFFFF"/>
                            <w:sz w:val="18"/>
                            <w:szCs w:val="18"/>
                          </w:rPr>
                          <w:t>Finansinė priemonė</w:t>
                        </w:r>
                      </w:p>
                      <w:p w14:paraId="3F1B3FDC" w14:textId="77777777" w:rsidR="00A65A8D" w:rsidRDefault="00A65A8D" w:rsidP="002A576D">
                        <w:pPr>
                          <w:pStyle w:val="prastasistinklapis"/>
                          <w:spacing w:before="0" w:beforeAutospacing="0" w:after="200" w:afterAutospacing="0" w:line="276" w:lineRule="auto"/>
                          <w:jc w:val="center"/>
                        </w:pPr>
                        <w:r>
                          <w:rPr>
                            <w:rFonts w:ascii="Calibri" w:eastAsia="Calibri" w:hAnsi="Calibri"/>
                            <w:b/>
                            <w:bCs/>
                            <w:color w:val="FFFFFF"/>
                            <w:sz w:val="22"/>
                            <w:szCs w:val="22"/>
                          </w:rPr>
                          <w:t> </w:t>
                        </w:r>
                      </w:p>
                    </w:txbxContent>
                  </v:textbox>
                </v:oval>
                <w10:anchorlock/>
              </v:group>
            </w:pict>
          </mc:Fallback>
        </mc:AlternateContent>
      </w:r>
    </w:p>
    <w:p w14:paraId="2771CD6A" w14:textId="12AAEA43" w:rsidR="002A576D" w:rsidRPr="00F435CE" w:rsidRDefault="002A576D" w:rsidP="002A576D">
      <w:pPr>
        <w:pStyle w:val="Antrat"/>
        <w:keepNext w:val="0"/>
        <w:rPr>
          <w:lang w:val="lt-LT"/>
        </w:rPr>
      </w:pPr>
      <w:bookmarkStart w:id="421" w:name="_Toc417378346"/>
      <w:r w:rsidRPr="00F435CE">
        <w:rPr>
          <w:lang w:val="lt-LT"/>
        </w:rPr>
        <w:t xml:space="preserve">Paveikslas </w:t>
      </w:r>
      <w:r w:rsidRPr="00F435CE">
        <w:rPr>
          <w:lang w:val="lt-LT"/>
        </w:rPr>
        <w:fldChar w:fldCharType="begin"/>
      </w:r>
      <w:r w:rsidRPr="00F435CE">
        <w:rPr>
          <w:lang w:val="lt-LT"/>
        </w:rPr>
        <w:instrText xml:space="preserve"> SEQ Paveikslas \* ARABIC </w:instrText>
      </w:r>
      <w:r w:rsidRPr="00F435CE">
        <w:rPr>
          <w:lang w:val="lt-LT"/>
        </w:rPr>
        <w:fldChar w:fldCharType="separate"/>
      </w:r>
      <w:r w:rsidR="00AA3082">
        <w:rPr>
          <w:noProof/>
          <w:lang w:val="lt-LT"/>
        </w:rPr>
        <w:t>69</w:t>
      </w:r>
      <w:r w:rsidRPr="00F435CE">
        <w:rPr>
          <w:lang w:val="lt-LT"/>
        </w:rPr>
        <w:fldChar w:fldCharType="end"/>
      </w:r>
      <w:r w:rsidRPr="00F435CE">
        <w:rPr>
          <w:lang w:val="lt-LT"/>
        </w:rPr>
        <w:t xml:space="preserve">. </w:t>
      </w:r>
      <w:r w:rsidR="00B674D2">
        <w:rPr>
          <w:lang w:val="lt-LT"/>
        </w:rPr>
        <w:t>Finansinės priemonės arba fondų fondo</w:t>
      </w:r>
      <w:r w:rsidRPr="00F435CE">
        <w:rPr>
          <w:lang w:val="lt-LT"/>
        </w:rPr>
        <w:t xml:space="preserve"> valdymo struktūros</w:t>
      </w:r>
      <w:bookmarkEnd w:id="421"/>
    </w:p>
    <w:p w14:paraId="53E22802" w14:textId="77777777" w:rsidR="00512B6B" w:rsidRDefault="00512B6B" w:rsidP="002A576D">
      <w:pPr>
        <w:jc w:val="both"/>
        <w:rPr>
          <w:rFonts w:ascii="Georgia" w:hAnsi="Georgia"/>
          <w:sz w:val="20"/>
          <w:szCs w:val="20"/>
          <w:lang w:val="lt-LT"/>
        </w:rPr>
      </w:pPr>
    </w:p>
    <w:p w14:paraId="2625C007" w14:textId="77777777" w:rsidR="002A576D" w:rsidRPr="00F435CE" w:rsidRDefault="002A576D" w:rsidP="002A576D">
      <w:pPr>
        <w:jc w:val="both"/>
        <w:rPr>
          <w:rFonts w:ascii="Georgia" w:hAnsi="Georgia"/>
          <w:sz w:val="20"/>
          <w:szCs w:val="20"/>
          <w:lang w:val="lt-LT"/>
        </w:rPr>
      </w:pPr>
      <w:r w:rsidRPr="00F435CE">
        <w:rPr>
          <w:rFonts w:ascii="Georgia" w:hAnsi="Georgia"/>
          <w:sz w:val="20"/>
          <w:szCs w:val="20"/>
          <w:lang w:val="lt-LT"/>
        </w:rPr>
        <w:t xml:space="preserve">Ankstesnėse analizės dalyse jau buvo konstatuota, kad 2014-2020 m. periodu yra labai svarbu pritraukti papildomų privačių lėšų siekiant didinti investicijas į energijos efektyvumo projektus. Trys principiniai modeliai tiek fondų fondo kūrimui, tiek ir privačių lėšų pritraukimo mechanizmo kūrimui buvo aprašyti 3 skyriuje. Žemiau yra aprašoma, kaip veiktų kiekviena iš šių principinių schemų </w:t>
      </w:r>
      <w:r>
        <w:rPr>
          <w:rFonts w:ascii="Georgia" w:hAnsi="Georgia"/>
          <w:sz w:val="20"/>
          <w:szCs w:val="20"/>
          <w:lang w:val="lt-LT"/>
        </w:rPr>
        <w:t>savivaldybių viešųjų</w:t>
      </w:r>
      <w:r w:rsidRPr="00F435CE">
        <w:rPr>
          <w:rFonts w:ascii="Georgia" w:hAnsi="Georgia"/>
          <w:sz w:val="20"/>
          <w:szCs w:val="20"/>
          <w:lang w:val="lt-LT"/>
        </w:rPr>
        <w:t xml:space="preserve"> pastatų modernizavimo projektų atveju. Įvertinus kiekvieną iš principinių modelių yra pasirenkama rekomenduotina optimaliausia alternatyva. Analizuojamos šios fondo veiklos alternatyvos</w:t>
      </w:r>
      <w:r w:rsidRPr="00F435CE">
        <w:rPr>
          <w:rFonts w:ascii="Georgia" w:eastAsia="Times New Roman" w:hAnsi="Georgia" w:cs="Times New Roman"/>
          <w:sz w:val="20"/>
          <w:szCs w:val="20"/>
          <w:lang w:val="lt-LT" w:eastAsia="lt-LT"/>
        </w:rPr>
        <w:t>:</w:t>
      </w:r>
    </w:p>
    <w:p w14:paraId="11448438" w14:textId="77777777" w:rsidR="002A576D" w:rsidRPr="00760316" w:rsidRDefault="002A576D" w:rsidP="002A576D">
      <w:pPr>
        <w:pStyle w:val="Sraopastraipa"/>
        <w:numPr>
          <w:ilvl w:val="6"/>
          <w:numId w:val="109"/>
        </w:numPr>
        <w:ind w:left="426" w:hanging="426"/>
        <w:jc w:val="both"/>
        <w:rPr>
          <w:rFonts w:ascii="Georgia" w:eastAsia="Times New Roman" w:hAnsi="Georgia" w:cs="Times New Roman"/>
          <w:sz w:val="20"/>
          <w:szCs w:val="20"/>
          <w:lang w:val="lt-LT" w:eastAsia="lt-LT"/>
        </w:rPr>
      </w:pPr>
      <w:r w:rsidRPr="00DB79A6">
        <w:rPr>
          <w:rFonts w:ascii="Georgia" w:eastAsia="Times New Roman" w:hAnsi="Georgia" w:cs="Times New Roman"/>
          <w:sz w:val="20"/>
          <w:szCs w:val="20"/>
          <w:lang w:val="lt-LT" w:eastAsia="lt-LT"/>
        </w:rPr>
        <w:t>Finansinės priemonės</w:t>
      </w:r>
      <w:r w:rsidRPr="00760316">
        <w:rPr>
          <w:rFonts w:ascii="Georgia" w:eastAsia="Times New Roman" w:hAnsi="Georgia" w:cs="Times New Roman"/>
          <w:sz w:val="20"/>
          <w:szCs w:val="20"/>
          <w:lang w:val="lt-LT" w:eastAsia="lt-LT"/>
        </w:rPr>
        <w:t xml:space="preserve"> arba fondų fondo</w:t>
      </w:r>
      <w:r w:rsidRPr="00DB79A6">
        <w:rPr>
          <w:rFonts w:ascii="Georgia" w:eastAsia="Times New Roman" w:hAnsi="Georgia" w:cs="Times New Roman"/>
          <w:sz w:val="20"/>
          <w:szCs w:val="20"/>
          <w:lang w:val="lt-LT" w:eastAsia="lt-LT"/>
        </w:rPr>
        <w:t xml:space="preserve"> sukūrimas; </w:t>
      </w:r>
    </w:p>
    <w:p w14:paraId="0C910A40" w14:textId="77777777" w:rsidR="002A576D" w:rsidRPr="00DB79A6" w:rsidRDefault="002A576D" w:rsidP="002A576D">
      <w:pPr>
        <w:pStyle w:val="Sraopastraipa"/>
        <w:numPr>
          <w:ilvl w:val="6"/>
          <w:numId w:val="109"/>
        </w:numPr>
        <w:ind w:left="426" w:hanging="426"/>
        <w:jc w:val="both"/>
        <w:rPr>
          <w:rFonts w:ascii="Georgia" w:hAnsi="Georgia"/>
          <w:sz w:val="20"/>
          <w:szCs w:val="20"/>
          <w:lang w:val="lt-LT"/>
        </w:rPr>
      </w:pPr>
      <w:r w:rsidRPr="00DB79A6">
        <w:rPr>
          <w:rFonts w:ascii="Georgia" w:eastAsia="Times New Roman" w:hAnsi="Georgia" w:cs="Times New Roman"/>
          <w:sz w:val="20"/>
          <w:szCs w:val="20"/>
          <w:lang w:val="lt-LT" w:eastAsia="lt-LT"/>
        </w:rPr>
        <w:t>Finansinės priemonės sukūrimas ir juridinio asmens statusą turinčio fondo steigimas</w:t>
      </w:r>
      <w:r w:rsidR="00D97820">
        <w:rPr>
          <w:rFonts w:ascii="Georgia" w:eastAsia="Times New Roman" w:hAnsi="Georgia" w:cs="Times New Roman"/>
          <w:sz w:val="20"/>
          <w:szCs w:val="20"/>
          <w:lang w:val="lt-LT" w:eastAsia="lt-LT"/>
        </w:rPr>
        <w:t xml:space="preserve"> (pvz. rizikos pasidalijimo fondo)</w:t>
      </w:r>
      <w:r w:rsidRPr="00DB79A6">
        <w:rPr>
          <w:rFonts w:ascii="Georgia" w:eastAsia="Times New Roman" w:hAnsi="Georgia" w:cs="Times New Roman"/>
          <w:sz w:val="20"/>
          <w:szCs w:val="20"/>
          <w:lang w:val="lt-LT" w:eastAsia="lt-LT"/>
        </w:rPr>
        <w:t>;</w:t>
      </w:r>
    </w:p>
    <w:p w14:paraId="3342EBAE" w14:textId="77777777" w:rsidR="002A576D" w:rsidRPr="00DB79A6" w:rsidRDefault="002A576D" w:rsidP="002A576D">
      <w:pPr>
        <w:pStyle w:val="Sraopastraipa"/>
        <w:numPr>
          <w:ilvl w:val="6"/>
          <w:numId w:val="109"/>
        </w:numPr>
        <w:ind w:left="426" w:hanging="426"/>
        <w:jc w:val="both"/>
        <w:rPr>
          <w:rFonts w:ascii="Georgia" w:hAnsi="Georgia"/>
          <w:sz w:val="20"/>
          <w:szCs w:val="20"/>
          <w:lang w:val="lt-LT"/>
        </w:rPr>
      </w:pPr>
      <w:r w:rsidRPr="00DB79A6">
        <w:rPr>
          <w:rFonts w:ascii="Georgia" w:eastAsia="Times New Roman" w:hAnsi="Georgia" w:cs="Times New Roman"/>
          <w:sz w:val="20"/>
          <w:szCs w:val="20"/>
          <w:lang w:val="lt-LT" w:eastAsia="lt-LT"/>
        </w:rPr>
        <w:t>Finansinės priemonės ir investicinio fondo (turinčio juridinio asmens statusą) steigimas.</w:t>
      </w:r>
    </w:p>
    <w:p w14:paraId="29582F0E" w14:textId="77777777" w:rsidR="002A576D" w:rsidRDefault="002A576D" w:rsidP="002A576D">
      <w:pPr>
        <w:jc w:val="both"/>
        <w:rPr>
          <w:rFonts w:ascii="Georgia" w:eastAsia="Times New Roman" w:hAnsi="Georgia" w:cs="Times New Roman"/>
          <w:sz w:val="20"/>
          <w:szCs w:val="20"/>
          <w:lang w:val="lt-LT" w:eastAsia="lt-LT"/>
        </w:rPr>
      </w:pPr>
      <w:r w:rsidRPr="00AC3318">
        <w:rPr>
          <w:rFonts w:ascii="Georgia" w:eastAsia="Times New Roman" w:hAnsi="Georgia" w:cs="Times New Roman"/>
          <w:sz w:val="20"/>
          <w:szCs w:val="20"/>
          <w:lang w:val="lt-LT" w:eastAsia="lt-LT"/>
        </w:rPr>
        <w:t xml:space="preserve">Žemiau pateikiamas kiekvienos iš šių alternatyvų aprašymas, identifikuojami privalumai ir trūkumai bei siūloma geriausioji iš šių alternatyvų. </w:t>
      </w:r>
    </w:p>
    <w:p w14:paraId="3711F272" w14:textId="77777777" w:rsidR="002A576D" w:rsidRDefault="002A576D" w:rsidP="002A576D">
      <w:pPr>
        <w:jc w:val="both"/>
        <w:rPr>
          <w:rFonts w:ascii="Georgia" w:eastAsia="Times New Roman" w:hAnsi="Georgia" w:cs="Times New Roman"/>
          <w:sz w:val="20"/>
          <w:szCs w:val="20"/>
          <w:lang w:val="lt-LT" w:eastAsia="lt-LT"/>
        </w:rPr>
      </w:pPr>
    </w:p>
    <w:p w14:paraId="468EC865" w14:textId="77777777" w:rsidR="002A576D" w:rsidRDefault="002A576D" w:rsidP="002A576D">
      <w:pPr>
        <w:pStyle w:val="Antrat2"/>
        <w:numPr>
          <w:ilvl w:val="3"/>
          <w:numId w:val="2"/>
        </w:numPr>
        <w:spacing w:after="240"/>
        <w:rPr>
          <w:lang w:val="lt-LT"/>
        </w:rPr>
      </w:pPr>
      <w:bookmarkStart w:id="422" w:name="_Toc417378461"/>
      <w:r>
        <w:rPr>
          <w:lang w:val="lt-LT"/>
        </w:rPr>
        <w:lastRenderedPageBreak/>
        <w:t>Finansinės priemonės arba fondų fondo sukūrimas</w:t>
      </w:r>
      <w:bookmarkEnd w:id="422"/>
    </w:p>
    <w:p w14:paraId="6EAAA162" w14:textId="77777777" w:rsidR="002A576D" w:rsidRPr="00760316" w:rsidRDefault="002A576D" w:rsidP="002A576D">
      <w:pPr>
        <w:jc w:val="both"/>
        <w:rPr>
          <w:rFonts w:ascii="Georgia" w:hAnsi="Georgia"/>
          <w:sz w:val="20"/>
          <w:szCs w:val="20"/>
          <w:lang w:val="lt-LT"/>
        </w:rPr>
      </w:pPr>
      <w:r w:rsidRPr="00760316">
        <w:rPr>
          <w:rFonts w:ascii="Georgia" w:hAnsi="Georgia"/>
          <w:sz w:val="20"/>
          <w:szCs w:val="20"/>
          <w:lang w:val="lt-LT"/>
        </w:rPr>
        <w:t>Šioje</w:t>
      </w:r>
      <w:r>
        <w:rPr>
          <w:rFonts w:ascii="Georgia" w:hAnsi="Georgia"/>
          <w:sz w:val="20"/>
          <w:szCs w:val="20"/>
          <w:lang w:val="lt-LT"/>
        </w:rPr>
        <w:t xml:space="preserve"> alternatyvoje aprašytas finansinės priemonės arba fondų fondo sukūrimas, kuomet ESI fondų lėšos patikėjimo teise pavedamos finansinės priemonės arba fondo valdytojui. Finansinės priemonės valdytojas finansinę priemonę įgyvendina tiesiogiai, be finansinių tarpininkų, tuo tarpu fondų fondo valdytojas galėtų arba atrinkti finansinius tarpininkus, arba finansavimą teikti pats (jeigu fondų fondo valdytojui taikytini teisės aktai tai leidžia). Atsižvelgiant į tai, kad savivaldybių viešųjų pastatų modernizavimui skiriama ESI fondų lėšų suma yra sąlyginai nedidelė, tikėtina, kad fondų fondo struktūra masto ekonomijos ir efektyvumo administruojant fondų fondą pasiekti nepadės.</w:t>
      </w:r>
    </w:p>
    <w:p w14:paraId="22FE0C83" w14:textId="77777777" w:rsidR="002A576D" w:rsidRDefault="002A576D" w:rsidP="002A576D">
      <w:pPr>
        <w:keepNext/>
        <w:jc w:val="both"/>
        <w:rPr>
          <w:rFonts w:ascii="Georgia" w:eastAsia="Times New Roman" w:hAnsi="Georgia" w:cs="Times New Roman"/>
          <w:sz w:val="20"/>
          <w:szCs w:val="20"/>
          <w:lang w:val="lt-LT" w:eastAsia="lt-LT"/>
        </w:rPr>
      </w:pPr>
      <w:r w:rsidRPr="00AC3318">
        <w:rPr>
          <w:rFonts w:ascii="Georgia" w:eastAsia="Times New Roman" w:hAnsi="Georgia" w:cs="Times New Roman"/>
          <w:sz w:val="20"/>
          <w:szCs w:val="20"/>
          <w:lang w:val="lt-LT" w:eastAsia="lt-LT"/>
        </w:rPr>
        <w:object w:dxaOrig="12420" w:dyaOrig="10425" w14:anchorId="02BC91F2">
          <v:shape id="_x0000_i1036" type="#_x0000_t75" style="width:441.55pt;height:369.55pt" o:ole="">
            <v:imagedata r:id="rId123" o:title=""/>
          </v:shape>
          <o:OLEObject Type="Embed" ProgID="Visio.Drawing.15" ShapeID="_x0000_i1036" DrawAspect="Content" ObjectID="_1572853850" r:id="rId124"/>
        </w:object>
      </w:r>
    </w:p>
    <w:p w14:paraId="0732C440" w14:textId="7993434B" w:rsidR="002A576D" w:rsidRPr="00F435CE" w:rsidRDefault="002A576D" w:rsidP="002A576D">
      <w:pPr>
        <w:pStyle w:val="Antrat"/>
        <w:rPr>
          <w:szCs w:val="20"/>
          <w:lang w:val="lt-LT"/>
        </w:rPr>
      </w:pPr>
      <w:bookmarkStart w:id="423" w:name="_Toc417378347"/>
      <w:r w:rsidRPr="00F435CE">
        <w:rPr>
          <w:lang w:val="lt-LT"/>
        </w:rPr>
        <w:t xml:space="preserve">Paveikslas </w:t>
      </w:r>
      <w:r w:rsidRPr="00F435CE">
        <w:rPr>
          <w:lang w:val="lt-LT"/>
        </w:rPr>
        <w:fldChar w:fldCharType="begin"/>
      </w:r>
      <w:r w:rsidRPr="00F435CE">
        <w:rPr>
          <w:lang w:val="lt-LT"/>
        </w:rPr>
        <w:instrText xml:space="preserve"> SEQ Paveikslas \* ARABIC </w:instrText>
      </w:r>
      <w:r w:rsidRPr="00F435CE">
        <w:rPr>
          <w:lang w:val="lt-LT"/>
        </w:rPr>
        <w:fldChar w:fldCharType="separate"/>
      </w:r>
      <w:r w:rsidR="00AA3082">
        <w:rPr>
          <w:noProof/>
          <w:lang w:val="lt-LT"/>
        </w:rPr>
        <w:t>70</w:t>
      </w:r>
      <w:r w:rsidRPr="00F435CE">
        <w:rPr>
          <w:lang w:val="lt-LT"/>
        </w:rPr>
        <w:fldChar w:fldCharType="end"/>
      </w:r>
      <w:r w:rsidRPr="00F435CE">
        <w:rPr>
          <w:lang w:val="lt-LT"/>
        </w:rPr>
        <w:t xml:space="preserve">. </w:t>
      </w:r>
      <w:r>
        <w:rPr>
          <w:lang w:val="lt-LT"/>
        </w:rPr>
        <w:t>Finansinės priemonės arba f</w:t>
      </w:r>
      <w:r w:rsidRPr="00F435CE">
        <w:rPr>
          <w:lang w:val="lt-LT"/>
        </w:rPr>
        <w:t xml:space="preserve">ondų </w:t>
      </w:r>
      <w:r w:rsidRPr="00F435CE">
        <w:rPr>
          <w:rFonts w:eastAsia="Times New Roman"/>
          <w:szCs w:val="20"/>
          <w:lang w:val="lt-LT" w:eastAsia="lt-LT"/>
        </w:rPr>
        <w:t>fondo sukūrimas</w:t>
      </w:r>
      <w:bookmarkEnd w:id="423"/>
      <w:r w:rsidRPr="00F435CE">
        <w:rPr>
          <w:rFonts w:eastAsia="Times New Roman"/>
          <w:szCs w:val="20"/>
          <w:lang w:val="lt-LT" w:eastAsia="lt-LT"/>
        </w:rPr>
        <w:t xml:space="preserve"> </w:t>
      </w:r>
    </w:p>
    <w:p w14:paraId="419F89BE" w14:textId="77777777" w:rsidR="002A576D" w:rsidRPr="00DB79A6" w:rsidRDefault="002A576D" w:rsidP="002A576D">
      <w:pPr>
        <w:jc w:val="both"/>
        <w:rPr>
          <w:rFonts w:ascii="Georgia" w:hAnsi="Georgia"/>
          <w:sz w:val="20"/>
          <w:szCs w:val="20"/>
        </w:rPr>
      </w:pPr>
      <w:r w:rsidRPr="00DB79A6">
        <w:rPr>
          <w:rFonts w:ascii="Georgia" w:eastAsia="Times New Roman" w:hAnsi="Georgia" w:cs="Times New Roman"/>
          <w:sz w:val="20"/>
          <w:szCs w:val="20"/>
          <w:lang w:val="lt-LT" w:eastAsia="lt-LT"/>
        </w:rPr>
        <w:t>Aukščiau esančiame paveiksle pavaizduotas principinis</w:t>
      </w:r>
      <w:r w:rsidRPr="00760316">
        <w:rPr>
          <w:rFonts w:ascii="Georgia" w:eastAsia="Times New Roman" w:hAnsi="Georgia" w:cs="Times New Roman"/>
          <w:sz w:val="20"/>
          <w:szCs w:val="20"/>
          <w:lang w:val="lt-LT" w:eastAsia="lt-LT"/>
        </w:rPr>
        <w:t xml:space="preserve"> finansinės priemonės arba</w:t>
      </w:r>
      <w:r w:rsidRPr="00DB79A6">
        <w:rPr>
          <w:rFonts w:ascii="Georgia" w:eastAsia="Times New Roman" w:hAnsi="Georgia" w:cs="Times New Roman"/>
          <w:sz w:val="20"/>
          <w:szCs w:val="20"/>
          <w:lang w:val="lt-LT" w:eastAsia="lt-LT"/>
        </w:rPr>
        <w:t xml:space="preserve"> fondų fondo kūrimas, kuris, vadovaujantis Bendrųjų nuostatų reglamento nuostatomis, galėtų būti kuriamas kaip atskiras finansinis padalinys finansų įstaigoje.  </w:t>
      </w:r>
    </w:p>
    <w:p w14:paraId="2074043C" w14:textId="77777777" w:rsidR="002A576D" w:rsidRDefault="002A576D" w:rsidP="002A576D">
      <w:pPr>
        <w:jc w:val="both"/>
        <w:rPr>
          <w:rFonts w:ascii="Georgia" w:eastAsia="Times New Roman" w:hAnsi="Georgia" w:cs="Times New Roman"/>
          <w:sz w:val="20"/>
          <w:szCs w:val="20"/>
          <w:lang w:val="lt-LT" w:eastAsia="lt-LT"/>
        </w:rPr>
      </w:pPr>
      <w:r w:rsidRPr="00DB79A6">
        <w:rPr>
          <w:rFonts w:ascii="Georgia" w:eastAsia="Times New Roman" w:hAnsi="Georgia" w:cs="Times New Roman"/>
          <w:sz w:val="20"/>
          <w:szCs w:val="20"/>
          <w:lang w:val="lt-LT" w:eastAsia="lt-LT"/>
        </w:rPr>
        <w:t>Savivaldybių viešųjų</w:t>
      </w:r>
      <w:r>
        <w:rPr>
          <w:rFonts w:ascii="Georgia" w:eastAsia="Times New Roman" w:hAnsi="Georgia" w:cs="Times New Roman"/>
          <w:sz w:val="20"/>
          <w:szCs w:val="20"/>
          <w:lang w:val="lt-LT" w:eastAsia="lt-LT"/>
        </w:rPr>
        <w:t xml:space="preserve"> pastatų modernizacijos finansinės priemonės įgyvendinimui skirtas</w:t>
      </w:r>
      <w:r w:rsidRPr="00AC3318">
        <w:rPr>
          <w:rFonts w:ascii="Georgia" w:eastAsia="Times New Roman" w:hAnsi="Georgia" w:cs="Times New Roman"/>
          <w:sz w:val="20"/>
          <w:szCs w:val="20"/>
          <w:lang w:val="lt-LT" w:eastAsia="lt-LT"/>
        </w:rPr>
        <w:t xml:space="preserve"> fondas</w:t>
      </w:r>
      <w:r>
        <w:rPr>
          <w:rFonts w:ascii="Georgia" w:eastAsia="Times New Roman" w:hAnsi="Georgia" w:cs="Times New Roman"/>
          <w:sz w:val="20"/>
          <w:szCs w:val="20"/>
          <w:lang w:val="lt-LT" w:eastAsia="lt-LT"/>
        </w:rPr>
        <w:t xml:space="preserve"> ar finansinė priemonė</w:t>
      </w:r>
      <w:r w:rsidRPr="00AC3318">
        <w:rPr>
          <w:rFonts w:ascii="Georgia" w:eastAsia="Times New Roman" w:hAnsi="Georgia" w:cs="Times New Roman"/>
          <w:sz w:val="20"/>
          <w:szCs w:val="20"/>
          <w:lang w:val="lt-LT" w:eastAsia="lt-LT"/>
        </w:rPr>
        <w:t xml:space="preserve"> </w:t>
      </w:r>
      <w:r>
        <w:rPr>
          <w:rFonts w:ascii="Georgia" w:eastAsia="Times New Roman" w:hAnsi="Georgia" w:cs="Times New Roman"/>
          <w:sz w:val="20"/>
          <w:szCs w:val="20"/>
          <w:lang w:val="lt-LT" w:eastAsia="lt-LT"/>
        </w:rPr>
        <w:t>kuriama</w:t>
      </w:r>
      <w:r w:rsidRPr="00AC3318">
        <w:rPr>
          <w:rFonts w:ascii="Georgia" w:eastAsia="Times New Roman" w:hAnsi="Georgia" w:cs="Times New Roman"/>
          <w:sz w:val="20"/>
          <w:szCs w:val="20"/>
          <w:lang w:val="lt-LT" w:eastAsia="lt-LT"/>
        </w:rPr>
        <w:t xml:space="preserve"> vadovaujantis ESI fondų lėšų panaudojimo reglamentavimo nuostatomis. </w:t>
      </w:r>
      <w:r>
        <w:rPr>
          <w:rFonts w:ascii="Georgia" w:eastAsia="Times New Roman" w:hAnsi="Georgia" w:cs="Times New Roman"/>
          <w:sz w:val="20"/>
          <w:szCs w:val="20"/>
          <w:lang w:val="lt-LT" w:eastAsia="lt-LT"/>
        </w:rPr>
        <w:t>Aplinkos</w:t>
      </w:r>
      <w:r w:rsidRPr="00AC3318">
        <w:rPr>
          <w:rFonts w:ascii="Georgia" w:eastAsia="Times New Roman" w:hAnsi="Georgia" w:cs="Times New Roman"/>
          <w:sz w:val="20"/>
          <w:szCs w:val="20"/>
          <w:lang w:val="lt-LT" w:eastAsia="lt-LT"/>
        </w:rPr>
        <w:t xml:space="preserve"> ir Finansų ministerijos vykdo valdytojo atranką, su kuriuo pasirašoma trišalė</w:t>
      </w:r>
      <w:r>
        <w:rPr>
          <w:rFonts w:ascii="Georgia" w:eastAsia="Times New Roman" w:hAnsi="Georgia" w:cs="Times New Roman"/>
          <w:sz w:val="20"/>
          <w:szCs w:val="20"/>
          <w:lang w:val="lt-LT" w:eastAsia="lt-LT"/>
        </w:rPr>
        <w:t xml:space="preserve"> (jei fondas kuriamas kito fondo apimtyje - daugiašalė)</w:t>
      </w:r>
      <w:r w:rsidRPr="00AC3318">
        <w:rPr>
          <w:rFonts w:ascii="Georgia" w:eastAsia="Times New Roman" w:hAnsi="Georgia" w:cs="Times New Roman"/>
          <w:sz w:val="20"/>
          <w:szCs w:val="20"/>
          <w:lang w:val="lt-LT" w:eastAsia="lt-LT"/>
        </w:rPr>
        <w:t xml:space="preserve"> finansavimo sutartis. </w:t>
      </w:r>
      <w:r>
        <w:rPr>
          <w:rFonts w:ascii="Georgia" w:eastAsia="Times New Roman" w:hAnsi="Georgia" w:cs="Times New Roman"/>
          <w:sz w:val="20"/>
          <w:szCs w:val="20"/>
          <w:lang w:val="lt-LT" w:eastAsia="lt-LT"/>
        </w:rPr>
        <w:t>Finansinės priemonės ar f</w:t>
      </w:r>
      <w:r w:rsidRPr="00AC3318">
        <w:rPr>
          <w:rFonts w:ascii="Georgia" w:eastAsia="Times New Roman" w:hAnsi="Georgia" w:cs="Times New Roman"/>
          <w:sz w:val="20"/>
          <w:szCs w:val="20"/>
          <w:lang w:val="lt-LT" w:eastAsia="lt-LT"/>
        </w:rPr>
        <w:t xml:space="preserve">ondų fondo apimtis – </w:t>
      </w:r>
      <w:r>
        <w:rPr>
          <w:rFonts w:ascii="Georgia" w:eastAsia="Times New Roman" w:hAnsi="Georgia" w:cs="Times New Roman"/>
          <w:sz w:val="20"/>
          <w:szCs w:val="20"/>
          <w:lang w:val="lt-LT" w:eastAsia="lt-LT"/>
        </w:rPr>
        <w:t>Aplinkos</w:t>
      </w:r>
      <w:r w:rsidRPr="00AC3318">
        <w:rPr>
          <w:rFonts w:ascii="Georgia" w:eastAsia="Times New Roman" w:hAnsi="Georgia" w:cs="Times New Roman"/>
          <w:sz w:val="20"/>
          <w:szCs w:val="20"/>
          <w:lang w:val="lt-LT" w:eastAsia="lt-LT"/>
        </w:rPr>
        <w:t xml:space="preserve"> ministerijos </w:t>
      </w:r>
      <w:r>
        <w:rPr>
          <w:rFonts w:ascii="Georgia" w:eastAsia="Times New Roman" w:hAnsi="Georgia" w:cs="Times New Roman"/>
          <w:sz w:val="20"/>
          <w:szCs w:val="20"/>
          <w:lang w:val="lt-LT" w:eastAsia="lt-LT"/>
        </w:rPr>
        <w:t xml:space="preserve">ir kitų ministerijų dalyvaujančių fondo veiklos apimtyje </w:t>
      </w:r>
      <w:r w:rsidRPr="00AC3318">
        <w:rPr>
          <w:rFonts w:ascii="Georgia" w:eastAsia="Times New Roman" w:hAnsi="Georgia" w:cs="Times New Roman"/>
          <w:sz w:val="20"/>
          <w:szCs w:val="20"/>
          <w:lang w:val="lt-LT" w:eastAsia="lt-LT"/>
        </w:rPr>
        <w:t xml:space="preserve">asignavimai. </w:t>
      </w:r>
      <w:r>
        <w:rPr>
          <w:rFonts w:ascii="Georgia" w:eastAsia="Times New Roman" w:hAnsi="Georgia" w:cs="Times New Roman"/>
          <w:sz w:val="20"/>
          <w:szCs w:val="20"/>
          <w:lang w:val="lt-LT" w:eastAsia="lt-LT"/>
        </w:rPr>
        <w:t>Aplinkos</w:t>
      </w:r>
      <w:r w:rsidRPr="00AC3318">
        <w:rPr>
          <w:rFonts w:ascii="Georgia" w:eastAsia="Times New Roman" w:hAnsi="Georgia" w:cs="Times New Roman"/>
          <w:sz w:val="20"/>
          <w:szCs w:val="20"/>
          <w:lang w:val="lt-LT" w:eastAsia="lt-LT"/>
        </w:rPr>
        <w:t xml:space="preserve"> ir Finansų ministerijos </w:t>
      </w:r>
      <w:r>
        <w:rPr>
          <w:rFonts w:ascii="Georgia" w:eastAsia="Times New Roman" w:hAnsi="Georgia" w:cs="Times New Roman"/>
          <w:sz w:val="20"/>
          <w:szCs w:val="20"/>
          <w:lang w:val="lt-LT" w:eastAsia="lt-LT"/>
        </w:rPr>
        <w:t xml:space="preserve">finansinės priemonės </w:t>
      </w:r>
      <w:r w:rsidRPr="00AC3318">
        <w:rPr>
          <w:rFonts w:ascii="Georgia" w:eastAsia="Times New Roman" w:hAnsi="Georgia" w:cs="Times New Roman"/>
          <w:sz w:val="20"/>
          <w:szCs w:val="20"/>
          <w:lang w:val="lt-LT" w:eastAsia="lt-LT"/>
        </w:rPr>
        <w:t xml:space="preserve">valdymui sukuria </w:t>
      </w:r>
      <w:r>
        <w:rPr>
          <w:rFonts w:ascii="Georgia" w:eastAsia="Times New Roman" w:hAnsi="Georgia" w:cs="Times New Roman"/>
          <w:sz w:val="20"/>
          <w:szCs w:val="20"/>
          <w:lang w:val="lt-LT" w:eastAsia="lt-LT"/>
        </w:rPr>
        <w:t>Priežiūros</w:t>
      </w:r>
      <w:r w:rsidRPr="00AC3318">
        <w:rPr>
          <w:rFonts w:ascii="Georgia" w:eastAsia="Times New Roman" w:hAnsi="Georgia" w:cs="Times New Roman"/>
          <w:sz w:val="20"/>
          <w:szCs w:val="20"/>
          <w:lang w:val="lt-LT" w:eastAsia="lt-LT"/>
        </w:rPr>
        <w:t xml:space="preserve"> komitetą. </w:t>
      </w:r>
    </w:p>
    <w:p w14:paraId="1DD32CD8" w14:textId="77777777" w:rsidR="002A576D" w:rsidRPr="00AC3318" w:rsidRDefault="002A576D" w:rsidP="002A576D">
      <w:pPr>
        <w:jc w:val="both"/>
        <w:rPr>
          <w:rFonts w:ascii="Georgia" w:hAnsi="Georgia"/>
          <w:sz w:val="20"/>
          <w:szCs w:val="20"/>
        </w:rPr>
      </w:pPr>
      <w:r>
        <w:rPr>
          <w:rFonts w:ascii="Georgia" w:eastAsia="Times New Roman" w:hAnsi="Georgia" w:cs="Times New Roman"/>
          <w:sz w:val="20"/>
          <w:szCs w:val="20"/>
          <w:lang w:val="lt-LT" w:eastAsia="lt-LT"/>
        </w:rPr>
        <w:lastRenderedPageBreak/>
        <w:t>Jeigu steigiamas fondų fondas, f</w:t>
      </w:r>
      <w:r w:rsidRPr="00AC3318">
        <w:rPr>
          <w:rFonts w:ascii="Georgia" w:eastAsia="Times New Roman" w:hAnsi="Georgia" w:cs="Times New Roman"/>
          <w:sz w:val="20"/>
          <w:szCs w:val="20"/>
          <w:lang w:val="lt-LT" w:eastAsia="lt-LT"/>
        </w:rPr>
        <w:t>ondų fondo valdytojas, siekdamas užtikrinti fondo įgyvendinimą, organizuoja finansinių tarpininkų atranką arba fondo veikl</w:t>
      </w:r>
      <w:r>
        <w:rPr>
          <w:rFonts w:ascii="Georgia" w:eastAsia="Times New Roman" w:hAnsi="Georgia" w:cs="Times New Roman"/>
          <w:sz w:val="20"/>
          <w:szCs w:val="20"/>
          <w:lang w:val="lt-LT" w:eastAsia="lt-LT"/>
        </w:rPr>
        <w:t>as</w:t>
      </w:r>
      <w:r w:rsidRPr="00AC3318">
        <w:rPr>
          <w:rFonts w:ascii="Georgia" w:eastAsia="Times New Roman" w:hAnsi="Georgia" w:cs="Times New Roman"/>
          <w:sz w:val="20"/>
          <w:szCs w:val="20"/>
          <w:lang w:val="lt-LT" w:eastAsia="lt-LT"/>
        </w:rPr>
        <w:t xml:space="preserve"> vykdo pats</w:t>
      </w:r>
      <w:r>
        <w:rPr>
          <w:rFonts w:ascii="Georgia" w:eastAsia="Times New Roman" w:hAnsi="Georgia" w:cs="Times New Roman"/>
          <w:sz w:val="20"/>
          <w:szCs w:val="20"/>
          <w:lang w:val="lt-LT" w:eastAsia="lt-LT"/>
        </w:rPr>
        <w:t>, kaip tai buvo aprašyta aukščiau remiantis Bendrųjų nuostatų reglamento 38.5 punktu.</w:t>
      </w:r>
    </w:p>
    <w:p w14:paraId="496C130A" w14:textId="77777777" w:rsidR="002A576D" w:rsidRPr="00AC3318" w:rsidRDefault="002A576D" w:rsidP="002A576D">
      <w:pPr>
        <w:jc w:val="both"/>
        <w:rPr>
          <w:rFonts w:ascii="Georgia" w:hAnsi="Georgia"/>
          <w:sz w:val="20"/>
          <w:szCs w:val="20"/>
        </w:rPr>
      </w:pPr>
      <w:r w:rsidRPr="00AC3318">
        <w:rPr>
          <w:rFonts w:ascii="Georgia" w:eastAsia="Times New Roman" w:hAnsi="Georgia" w:cs="Times New Roman"/>
          <w:sz w:val="20"/>
          <w:szCs w:val="20"/>
          <w:lang w:val="lt-LT" w:eastAsia="lt-LT"/>
        </w:rPr>
        <w:t xml:space="preserve">Šis modelis turi tiek privalumų, tiek trūkumų. Didelis modelio privalumas – jo paprastumas. Kuriamas vienas </w:t>
      </w:r>
      <w:r>
        <w:rPr>
          <w:rFonts w:ascii="Georgia" w:eastAsia="Times New Roman" w:hAnsi="Georgia" w:cs="Times New Roman"/>
          <w:sz w:val="20"/>
          <w:szCs w:val="20"/>
          <w:lang w:val="lt-LT" w:eastAsia="lt-LT"/>
        </w:rPr>
        <w:t>fondų</w:t>
      </w:r>
      <w:r w:rsidRPr="00AC3318">
        <w:rPr>
          <w:rFonts w:ascii="Georgia" w:eastAsia="Times New Roman" w:hAnsi="Georgia" w:cs="Times New Roman"/>
          <w:sz w:val="20"/>
          <w:szCs w:val="20"/>
          <w:lang w:val="lt-LT" w:eastAsia="lt-LT"/>
        </w:rPr>
        <w:t xml:space="preserve"> fondas</w:t>
      </w:r>
      <w:r>
        <w:rPr>
          <w:rFonts w:ascii="Georgia" w:eastAsia="Times New Roman" w:hAnsi="Georgia" w:cs="Times New Roman"/>
          <w:sz w:val="20"/>
          <w:szCs w:val="20"/>
          <w:lang w:val="lt-LT" w:eastAsia="lt-LT"/>
        </w:rPr>
        <w:t xml:space="preserve"> arba finansinė priemonė</w:t>
      </w:r>
      <w:r w:rsidRPr="00AC3318">
        <w:rPr>
          <w:rFonts w:ascii="Georgia" w:eastAsia="Times New Roman" w:hAnsi="Georgia" w:cs="Times New Roman"/>
          <w:sz w:val="20"/>
          <w:szCs w:val="20"/>
          <w:lang w:val="lt-LT" w:eastAsia="lt-LT"/>
        </w:rPr>
        <w:t>, kurio valdytojas atsakingas už veiklų įgyvendinimą. Kitas svarus privalumas – modelio pažįstamumas</w:t>
      </w:r>
      <w:r>
        <w:rPr>
          <w:rFonts w:ascii="Georgia" w:eastAsia="Times New Roman" w:hAnsi="Georgia" w:cs="Times New Roman"/>
          <w:sz w:val="20"/>
          <w:szCs w:val="20"/>
          <w:lang w:val="lt-LT" w:eastAsia="lt-LT"/>
        </w:rPr>
        <w:t>, nes Aplinkos</w:t>
      </w:r>
      <w:r w:rsidRPr="00AC3318">
        <w:rPr>
          <w:rFonts w:ascii="Georgia" w:eastAsia="Times New Roman" w:hAnsi="Georgia" w:cs="Times New Roman"/>
          <w:sz w:val="20"/>
          <w:szCs w:val="20"/>
          <w:lang w:val="lt-LT" w:eastAsia="lt-LT"/>
        </w:rPr>
        <w:t xml:space="preserve"> ministerija </w:t>
      </w:r>
      <w:r>
        <w:rPr>
          <w:rFonts w:ascii="Georgia" w:eastAsia="Times New Roman" w:hAnsi="Georgia" w:cs="Times New Roman"/>
          <w:sz w:val="20"/>
          <w:szCs w:val="20"/>
          <w:lang w:val="lt-LT" w:eastAsia="lt-LT"/>
        </w:rPr>
        <w:t xml:space="preserve">kartu su Finansų ministerija </w:t>
      </w:r>
      <w:r w:rsidRPr="00AC3318">
        <w:rPr>
          <w:rFonts w:ascii="Georgia" w:eastAsia="Times New Roman" w:hAnsi="Georgia" w:cs="Times New Roman"/>
          <w:sz w:val="20"/>
          <w:szCs w:val="20"/>
          <w:lang w:val="lt-LT" w:eastAsia="lt-LT"/>
        </w:rPr>
        <w:t xml:space="preserve">praėjusiu 2007-2013 m. periodu įgyvendino JESSICA </w:t>
      </w:r>
      <w:r>
        <w:rPr>
          <w:rFonts w:ascii="Georgia" w:eastAsia="Times New Roman" w:hAnsi="Georgia" w:cs="Times New Roman"/>
          <w:sz w:val="20"/>
          <w:szCs w:val="20"/>
          <w:lang w:val="lt-LT" w:eastAsia="lt-LT"/>
        </w:rPr>
        <w:t>KF</w:t>
      </w:r>
      <w:r w:rsidRPr="00AC3318">
        <w:rPr>
          <w:rFonts w:ascii="Georgia" w:eastAsia="Times New Roman" w:hAnsi="Georgia" w:cs="Times New Roman"/>
          <w:sz w:val="20"/>
          <w:szCs w:val="20"/>
          <w:lang w:val="lt-LT" w:eastAsia="lt-LT"/>
        </w:rPr>
        <w:t xml:space="preserve"> finansin</w:t>
      </w:r>
      <w:r>
        <w:rPr>
          <w:rFonts w:ascii="Georgia" w:eastAsia="Times New Roman" w:hAnsi="Georgia" w:cs="Times New Roman"/>
          <w:sz w:val="20"/>
          <w:szCs w:val="20"/>
          <w:lang w:val="lt-LT" w:eastAsia="lt-LT"/>
        </w:rPr>
        <w:t>ę</w:t>
      </w:r>
      <w:r w:rsidRPr="00AC3318">
        <w:rPr>
          <w:rFonts w:ascii="Georgia" w:eastAsia="Times New Roman" w:hAnsi="Georgia" w:cs="Times New Roman"/>
          <w:sz w:val="20"/>
          <w:szCs w:val="20"/>
          <w:lang w:val="lt-LT" w:eastAsia="lt-LT"/>
        </w:rPr>
        <w:t xml:space="preserve"> priemon</w:t>
      </w:r>
      <w:r>
        <w:rPr>
          <w:rFonts w:ascii="Georgia" w:eastAsia="Times New Roman" w:hAnsi="Georgia" w:cs="Times New Roman"/>
          <w:sz w:val="20"/>
          <w:szCs w:val="20"/>
          <w:lang w:val="lt-LT" w:eastAsia="lt-LT"/>
        </w:rPr>
        <w:t>ę</w:t>
      </w:r>
      <w:r w:rsidRPr="00AC3318">
        <w:rPr>
          <w:rFonts w:ascii="Georgia" w:eastAsia="Times New Roman" w:hAnsi="Georgia" w:cs="Times New Roman"/>
          <w:sz w:val="20"/>
          <w:szCs w:val="20"/>
          <w:lang w:val="lt-LT" w:eastAsia="lt-LT"/>
        </w:rPr>
        <w:t>,</w:t>
      </w:r>
      <w:r>
        <w:rPr>
          <w:rFonts w:ascii="Georgia" w:eastAsia="Times New Roman" w:hAnsi="Georgia" w:cs="Times New Roman"/>
          <w:sz w:val="20"/>
          <w:szCs w:val="20"/>
          <w:lang w:val="lt-LT" w:eastAsia="lt-LT"/>
        </w:rPr>
        <w:t xml:space="preserve"> todėl sukaupė</w:t>
      </w:r>
      <w:r w:rsidRPr="00AC3318">
        <w:rPr>
          <w:rFonts w:ascii="Georgia" w:eastAsia="Times New Roman" w:hAnsi="Georgia" w:cs="Times New Roman"/>
          <w:sz w:val="20"/>
          <w:szCs w:val="20"/>
          <w:lang w:val="lt-LT" w:eastAsia="lt-LT"/>
        </w:rPr>
        <w:t xml:space="preserve"> patirtį. </w:t>
      </w:r>
      <w:r>
        <w:rPr>
          <w:rFonts w:ascii="Georgia" w:eastAsia="Times New Roman" w:hAnsi="Georgia" w:cs="Times New Roman"/>
          <w:sz w:val="20"/>
          <w:szCs w:val="20"/>
          <w:lang w:val="lt-LT" w:eastAsia="lt-LT"/>
        </w:rPr>
        <w:t xml:space="preserve">Modelis gali būti sukuriamas gan sparčiai, kadangi tokia finansinė priemonė formaliai yra finansų įstaigos sąskaitų rinkinys ar atskiras finansinis padalinys, todėl nėra reikalingas papildomų struktūrų kūrimas (pvz. naujo juridinio asmens). </w:t>
      </w:r>
    </w:p>
    <w:p w14:paraId="522345CA" w14:textId="77777777" w:rsidR="002A576D" w:rsidRDefault="002A576D" w:rsidP="002A576D">
      <w:pPr>
        <w:jc w:val="both"/>
        <w:rPr>
          <w:rFonts w:ascii="Georgia" w:eastAsia="Times New Roman" w:hAnsi="Georgia" w:cs="Times New Roman"/>
          <w:sz w:val="20"/>
          <w:szCs w:val="20"/>
          <w:lang w:val="lt-LT" w:eastAsia="lt-LT"/>
        </w:rPr>
      </w:pPr>
      <w:r w:rsidRPr="00AC3318">
        <w:rPr>
          <w:rFonts w:ascii="Georgia" w:eastAsia="Times New Roman" w:hAnsi="Georgia" w:cs="Times New Roman"/>
          <w:sz w:val="20"/>
          <w:szCs w:val="20"/>
          <w:lang w:val="lt-LT" w:eastAsia="lt-LT"/>
        </w:rPr>
        <w:t xml:space="preserve">Pagrindiniai modelio trūkumai yra susiję su privačių lėšų pritraukimo galimybėmis bei ilgu lėšų grąžinimo į fondą laikotarpiu. Kadangi fondas pagal šią alternatyvą būtų kuriamas kaip finansų įstaigos atskiras finansinis padalinys (t.y. sąskaitų rinkinys), įvairiems investuotojams </w:t>
      </w:r>
      <w:r>
        <w:rPr>
          <w:rFonts w:ascii="Georgia" w:eastAsia="Times New Roman" w:hAnsi="Georgia" w:cs="Times New Roman"/>
          <w:sz w:val="20"/>
          <w:szCs w:val="20"/>
          <w:lang w:val="lt-LT" w:eastAsia="lt-LT"/>
        </w:rPr>
        <w:t>investavimo galimybės</w:t>
      </w:r>
      <w:r w:rsidRPr="00AC3318">
        <w:rPr>
          <w:rFonts w:ascii="Georgia" w:eastAsia="Times New Roman" w:hAnsi="Georgia" w:cs="Times New Roman"/>
          <w:sz w:val="20"/>
          <w:szCs w:val="20"/>
          <w:lang w:val="lt-LT" w:eastAsia="lt-LT"/>
        </w:rPr>
        <w:t xml:space="preserve"> į fondą būtų ribotos</w:t>
      </w:r>
      <w:r>
        <w:rPr>
          <w:rFonts w:ascii="Georgia" w:eastAsia="Times New Roman" w:hAnsi="Georgia" w:cs="Times New Roman"/>
          <w:sz w:val="20"/>
          <w:szCs w:val="20"/>
          <w:lang w:val="lt-LT" w:eastAsia="lt-LT"/>
        </w:rPr>
        <w:t xml:space="preserve"> arba komplikuotos</w:t>
      </w:r>
      <w:r w:rsidRPr="00AC3318">
        <w:rPr>
          <w:rFonts w:ascii="Georgia" w:eastAsia="Times New Roman" w:hAnsi="Georgia" w:cs="Times New Roman"/>
          <w:sz w:val="20"/>
          <w:szCs w:val="20"/>
          <w:lang w:val="lt-LT" w:eastAsia="lt-LT"/>
        </w:rPr>
        <w:t xml:space="preserve">, kadangi </w:t>
      </w:r>
      <w:r>
        <w:rPr>
          <w:rFonts w:ascii="Georgia" w:eastAsia="Times New Roman" w:hAnsi="Georgia" w:cs="Times New Roman"/>
          <w:sz w:val="20"/>
          <w:szCs w:val="20"/>
          <w:lang w:val="lt-LT" w:eastAsia="lt-LT"/>
        </w:rPr>
        <w:t>finansinė priemonė ar fondų fondas</w:t>
      </w:r>
      <w:r w:rsidRPr="00AC3318">
        <w:rPr>
          <w:rFonts w:ascii="Georgia" w:eastAsia="Times New Roman" w:hAnsi="Georgia" w:cs="Times New Roman"/>
          <w:sz w:val="20"/>
          <w:szCs w:val="20"/>
          <w:lang w:val="lt-LT" w:eastAsia="lt-LT"/>
        </w:rPr>
        <w:t xml:space="preserve"> nebūtų atskiras juridinis </w:t>
      </w:r>
      <w:r>
        <w:rPr>
          <w:rFonts w:ascii="Georgia" w:eastAsia="Times New Roman" w:hAnsi="Georgia" w:cs="Times New Roman"/>
          <w:sz w:val="20"/>
          <w:szCs w:val="20"/>
          <w:lang w:val="lt-LT" w:eastAsia="lt-LT"/>
        </w:rPr>
        <w:t>asmuo</w:t>
      </w:r>
      <w:r w:rsidRPr="00AC3318">
        <w:rPr>
          <w:rFonts w:ascii="Georgia" w:eastAsia="Times New Roman" w:hAnsi="Georgia" w:cs="Times New Roman"/>
          <w:sz w:val="20"/>
          <w:szCs w:val="20"/>
          <w:lang w:val="lt-LT" w:eastAsia="lt-LT"/>
        </w:rPr>
        <w:t xml:space="preserve">. Taigi šios alternatyvos atveju papildomų privačių lėšų pritraukimas ir didesnio sverto siekimas yra pagrindinis trūkumas. Antras, </w:t>
      </w:r>
      <w:r>
        <w:rPr>
          <w:rFonts w:ascii="Georgia" w:eastAsia="Times New Roman" w:hAnsi="Georgia" w:cs="Times New Roman"/>
          <w:sz w:val="20"/>
          <w:szCs w:val="20"/>
          <w:lang w:val="lt-LT" w:eastAsia="lt-LT"/>
        </w:rPr>
        <w:t xml:space="preserve">šiam modeliui būdingas </w:t>
      </w:r>
      <w:r w:rsidRPr="00AC3318">
        <w:rPr>
          <w:rFonts w:ascii="Georgia" w:eastAsia="Times New Roman" w:hAnsi="Georgia" w:cs="Times New Roman"/>
          <w:sz w:val="20"/>
          <w:szCs w:val="20"/>
          <w:lang w:val="lt-LT" w:eastAsia="lt-LT"/>
        </w:rPr>
        <w:t xml:space="preserve">ilgas lėšų grąžinimo laikotarpis. Kaip buvo analizuota ankstesnėse </w:t>
      </w:r>
      <w:r>
        <w:rPr>
          <w:rFonts w:ascii="Georgia" w:eastAsia="Times New Roman" w:hAnsi="Georgia" w:cs="Times New Roman"/>
          <w:sz w:val="20"/>
          <w:szCs w:val="20"/>
          <w:lang w:val="lt-LT" w:eastAsia="lt-LT"/>
        </w:rPr>
        <w:t xml:space="preserve">išankstinio vertinimo </w:t>
      </w:r>
      <w:r w:rsidRPr="00AC3318">
        <w:rPr>
          <w:rFonts w:ascii="Georgia" w:eastAsia="Times New Roman" w:hAnsi="Georgia" w:cs="Times New Roman"/>
          <w:sz w:val="20"/>
          <w:szCs w:val="20"/>
          <w:lang w:val="lt-LT" w:eastAsia="lt-LT"/>
        </w:rPr>
        <w:t xml:space="preserve">dalyse, energijos efektyvumo projektų atsipirkimo laikas siekia iki 20 metų. Atsižvelgiant į tai, kad pirmaisiais </w:t>
      </w:r>
      <w:r>
        <w:rPr>
          <w:rFonts w:ascii="Georgia" w:eastAsia="Times New Roman" w:hAnsi="Georgia" w:cs="Times New Roman"/>
          <w:sz w:val="20"/>
          <w:szCs w:val="20"/>
          <w:lang w:val="lt-LT" w:eastAsia="lt-LT"/>
        </w:rPr>
        <w:t>modelio įgyvendinimo</w:t>
      </w:r>
      <w:r w:rsidRPr="00AC3318">
        <w:rPr>
          <w:rFonts w:ascii="Georgia" w:eastAsia="Times New Roman" w:hAnsi="Georgia" w:cs="Times New Roman"/>
          <w:sz w:val="20"/>
          <w:szCs w:val="20"/>
          <w:lang w:val="lt-LT" w:eastAsia="lt-LT"/>
        </w:rPr>
        <w:t xml:space="preserve"> metais būtų kuriami fondo įgyvendinimo mechanizmai, </w:t>
      </w:r>
      <w:r>
        <w:rPr>
          <w:rFonts w:ascii="Georgia" w:eastAsia="Times New Roman" w:hAnsi="Georgia" w:cs="Times New Roman"/>
          <w:sz w:val="20"/>
          <w:szCs w:val="20"/>
          <w:lang w:val="lt-LT" w:eastAsia="lt-LT"/>
        </w:rPr>
        <w:t xml:space="preserve">esant poreikiui </w:t>
      </w:r>
      <w:r w:rsidRPr="00AC3318">
        <w:rPr>
          <w:rFonts w:ascii="Georgia" w:eastAsia="Times New Roman" w:hAnsi="Georgia" w:cs="Times New Roman"/>
          <w:sz w:val="20"/>
          <w:szCs w:val="20"/>
          <w:lang w:val="lt-LT" w:eastAsia="lt-LT"/>
        </w:rPr>
        <w:t xml:space="preserve">vykdomos atrankos finansiniams tarpininkams, derinamos ir pasirašomos sutartys, pirmaisiais metais įgyvendinamų projektų skaičius būtų labai mažas. Todėl iki programavimo periodo pabaigos iš projektų sugrįžusios lėšos, kurios gali būti pakartotinai panaudojamos projektų finansavimui, sudarytų labai nedidelę fondo lėšų dalį. Šis trūkumas tiesiogiai daro įtaką įgyvendinamų projektų skaičiui ir rezultatų pasiekimui per programavimo periodo laikotarpį. </w:t>
      </w:r>
    </w:p>
    <w:p w14:paraId="2E394A73" w14:textId="4D2FE092" w:rsidR="002A576D" w:rsidRPr="001251A5" w:rsidRDefault="002A576D" w:rsidP="002A576D">
      <w:pPr>
        <w:pStyle w:val="Antrat"/>
        <w:spacing w:line="276" w:lineRule="auto"/>
        <w:jc w:val="both"/>
        <w:rPr>
          <w:szCs w:val="20"/>
          <w:lang w:val="lt-LT"/>
        </w:rPr>
      </w:pPr>
      <w:bookmarkStart w:id="424" w:name="_Toc460321747"/>
      <w:r w:rsidRPr="001251A5">
        <w:rPr>
          <w:lang w:val="lt-LT"/>
        </w:rPr>
        <w:t xml:space="preserve">Lentelė </w:t>
      </w:r>
      <w:r w:rsidRPr="001251A5">
        <w:rPr>
          <w:lang w:val="lt-LT"/>
        </w:rPr>
        <w:fldChar w:fldCharType="begin"/>
      </w:r>
      <w:r w:rsidRPr="001251A5">
        <w:rPr>
          <w:lang w:val="lt-LT"/>
        </w:rPr>
        <w:instrText xml:space="preserve"> SEQ Lentelė \* ARABIC </w:instrText>
      </w:r>
      <w:r w:rsidRPr="001251A5">
        <w:rPr>
          <w:lang w:val="lt-LT"/>
        </w:rPr>
        <w:fldChar w:fldCharType="separate"/>
      </w:r>
      <w:r w:rsidR="00AA3082">
        <w:rPr>
          <w:noProof/>
          <w:lang w:val="lt-LT"/>
        </w:rPr>
        <w:t>166</w:t>
      </w:r>
      <w:r w:rsidRPr="001251A5">
        <w:rPr>
          <w:lang w:val="lt-LT"/>
        </w:rPr>
        <w:fldChar w:fldCharType="end"/>
      </w:r>
      <w:r w:rsidRPr="001251A5">
        <w:rPr>
          <w:lang w:val="lt-LT"/>
        </w:rPr>
        <w:t xml:space="preserve">. Pirmosios </w:t>
      </w:r>
      <w:r w:rsidR="001C63DB">
        <w:rPr>
          <w:lang w:val="lt-LT"/>
        </w:rPr>
        <w:t>finansinės priemonės</w:t>
      </w:r>
      <w:r w:rsidR="001C63DB" w:rsidRPr="001251A5">
        <w:rPr>
          <w:lang w:val="lt-LT"/>
        </w:rPr>
        <w:t xml:space="preserve"> </w:t>
      </w:r>
      <w:r w:rsidRPr="001251A5">
        <w:rPr>
          <w:lang w:val="lt-LT"/>
        </w:rPr>
        <w:t>kūrimo</w:t>
      </w:r>
      <w:r w:rsidR="001C63DB">
        <w:rPr>
          <w:lang w:val="lt-LT"/>
        </w:rPr>
        <w:t xml:space="preserve"> ir valdymo</w:t>
      </w:r>
      <w:r w:rsidRPr="001251A5">
        <w:rPr>
          <w:lang w:val="lt-LT"/>
        </w:rPr>
        <w:t xml:space="preserve"> alternatyvos viešiesiems pastatams privalumų ir trūkumų palyginimas.</w:t>
      </w:r>
      <w:bookmarkEnd w:id="424"/>
      <w:r w:rsidRPr="001251A5">
        <w:rPr>
          <w:lang w:val="lt-LT"/>
        </w:rPr>
        <w:t xml:space="preserve"> </w:t>
      </w:r>
    </w:p>
    <w:tbl>
      <w:tblPr>
        <w:tblStyle w:val="Spalvotassraas2parykinimas"/>
        <w:tblW w:w="0" w:type="auto"/>
        <w:tblLook w:val="04A0" w:firstRow="1" w:lastRow="0" w:firstColumn="1" w:lastColumn="0" w:noHBand="0" w:noVBand="1"/>
      </w:tblPr>
      <w:tblGrid>
        <w:gridCol w:w="4635"/>
        <w:gridCol w:w="4608"/>
      </w:tblGrid>
      <w:tr w:rsidR="002A576D" w:rsidRPr="00E649A6" w14:paraId="58485BAE" w14:textId="77777777" w:rsidTr="009142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hideMark/>
          </w:tcPr>
          <w:p w14:paraId="66E9DF1D" w14:textId="77777777" w:rsidR="002A576D" w:rsidRPr="00AC3318" w:rsidRDefault="002A576D" w:rsidP="00914262">
            <w:pPr>
              <w:spacing w:after="200" w:line="276" w:lineRule="auto"/>
              <w:jc w:val="center"/>
              <w:rPr>
                <w:rFonts w:ascii="Georgia" w:eastAsia="Times New Roman" w:hAnsi="Georgia" w:cs="Times New Roman"/>
                <w:b w:val="0"/>
                <w:sz w:val="20"/>
                <w:szCs w:val="20"/>
                <w:lang w:val="lt-LT" w:eastAsia="lt-LT"/>
              </w:rPr>
            </w:pPr>
            <w:r w:rsidRPr="00AC3318">
              <w:rPr>
                <w:rFonts w:ascii="Georgia" w:eastAsia="Times New Roman" w:hAnsi="Georgia" w:cs="Times New Roman"/>
                <w:sz w:val="20"/>
                <w:szCs w:val="20"/>
                <w:lang w:val="lt-LT" w:eastAsia="lt-LT"/>
              </w:rPr>
              <w:t>Privalumai</w:t>
            </w:r>
          </w:p>
        </w:tc>
        <w:tc>
          <w:tcPr>
            <w:tcW w:w="4788" w:type="dxa"/>
            <w:hideMark/>
          </w:tcPr>
          <w:p w14:paraId="3521445C" w14:textId="77777777" w:rsidR="002A576D" w:rsidRPr="00AC3318" w:rsidRDefault="002A576D" w:rsidP="00914262">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sz w:val="20"/>
                <w:szCs w:val="20"/>
                <w:lang w:val="lt-LT" w:eastAsia="lt-LT"/>
              </w:rPr>
            </w:pPr>
            <w:r w:rsidRPr="00AC3318">
              <w:rPr>
                <w:rFonts w:ascii="Georgia" w:eastAsia="Times New Roman" w:hAnsi="Georgia" w:cs="Times New Roman"/>
                <w:sz w:val="20"/>
                <w:szCs w:val="20"/>
                <w:lang w:val="lt-LT" w:eastAsia="lt-LT"/>
              </w:rPr>
              <w:t>Trūkumai</w:t>
            </w:r>
          </w:p>
        </w:tc>
      </w:tr>
      <w:tr w:rsidR="002A576D" w:rsidRPr="00E649A6" w14:paraId="6692C3DF" w14:textId="77777777" w:rsidTr="00914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AF20F61" w14:textId="77777777" w:rsidR="002A576D" w:rsidRPr="00E044B9" w:rsidRDefault="002A576D" w:rsidP="00914262">
            <w:pPr>
              <w:spacing w:after="200" w:line="276" w:lineRule="auto"/>
              <w:jc w:val="both"/>
              <w:rPr>
                <w:rFonts w:ascii="Georgia" w:eastAsia="Times New Roman" w:hAnsi="Georgia" w:cs="Times New Roman"/>
                <w:b w:val="0"/>
                <w:sz w:val="20"/>
                <w:szCs w:val="20"/>
                <w:lang w:val="lt-LT" w:eastAsia="lt-LT"/>
              </w:rPr>
            </w:pPr>
            <w:r w:rsidRPr="00E044B9">
              <w:rPr>
                <w:rFonts w:ascii="Georgia" w:eastAsia="Times New Roman" w:hAnsi="Georgia" w:cs="Times New Roman"/>
                <w:b w:val="0"/>
                <w:sz w:val="20"/>
                <w:szCs w:val="20"/>
                <w:lang w:val="lt-LT" w:eastAsia="lt-LT"/>
              </w:rPr>
              <w:t>Sukauptos JESSICA Kontroliuojančiojo fondo 2007-2013 patirties panaudojimas</w:t>
            </w:r>
          </w:p>
        </w:tc>
        <w:tc>
          <w:tcPr>
            <w:tcW w:w="4788" w:type="dxa"/>
          </w:tcPr>
          <w:p w14:paraId="6344EF07" w14:textId="77777777" w:rsidR="002A576D" w:rsidRPr="00AC3318" w:rsidRDefault="002A576D" w:rsidP="00914262">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val="lt-LT" w:eastAsia="lt-LT"/>
              </w:rPr>
            </w:pPr>
            <w:r w:rsidRPr="00AC3318">
              <w:rPr>
                <w:rFonts w:ascii="Georgia" w:eastAsia="Times New Roman" w:hAnsi="Georgia" w:cs="Times New Roman"/>
                <w:sz w:val="20"/>
                <w:szCs w:val="20"/>
                <w:lang w:val="lt-LT" w:eastAsia="lt-LT"/>
              </w:rPr>
              <w:t>Sudėtingas arba negalimas papildomų privačių lėšų pritraukimas siekiant investuoti į fondą</w:t>
            </w:r>
          </w:p>
        </w:tc>
      </w:tr>
      <w:tr w:rsidR="002A576D" w:rsidRPr="00E649A6" w14:paraId="296146E7" w14:textId="77777777" w:rsidTr="00914262">
        <w:tc>
          <w:tcPr>
            <w:cnfStyle w:val="001000000000" w:firstRow="0" w:lastRow="0" w:firstColumn="1" w:lastColumn="0" w:oddVBand="0" w:evenVBand="0" w:oddHBand="0" w:evenHBand="0" w:firstRowFirstColumn="0" w:firstRowLastColumn="0" w:lastRowFirstColumn="0" w:lastRowLastColumn="0"/>
            <w:tcW w:w="4788" w:type="dxa"/>
          </w:tcPr>
          <w:p w14:paraId="2771242B" w14:textId="77777777" w:rsidR="002A576D" w:rsidRPr="00E044B9" w:rsidRDefault="002A576D" w:rsidP="00914262">
            <w:pPr>
              <w:spacing w:after="200" w:line="276" w:lineRule="auto"/>
              <w:jc w:val="both"/>
              <w:rPr>
                <w:rFonts w:ascii="Georgia" w:eastAsia="Times New Roman" w:hAnsi="Georgia" w:cs="Times New Roman"/>
                <w:b w:val="0"/>
                <w:sz w:val="20"/>
                <w:szCs w:val="20"/>
                <w:lang w:val="lt-LT" w:eastAsia="lt-LT"/>
              </w:rPr>
            </w:pPr>
            <w:r w:rsidRPr="00E044B9">
              <w:rPr>
                <w:rFonts w:ascii="Georgia" w:eastAsia="Times New Roman" w:hAnsi="Georgia" w:cs="Times New Roman"/>
                <w:b w:val="0"/>
                <w:sz w:val="20"/>
                <w:szCs w:val="20"/>
                <w:lang w:val="lt-LT" w:eastAsia="lt-LT"/>
              </w:rPr>
              <w:t>Modelio paprastumas</w:t>
            </w:r>
          </w:p>
        </w:tc>
        <w:tc>
          <w:tcPr>
            <w:tcW w:w="4788" w:type="dxa"/>
          </w:tcPr>
          <w:p w14:paraId="3A855D83" w14:textId="77777777" w:rsidR="002A576D" w:rsidRPr="00AC3318" w:rsidRDefault="002A576D" w:rsidP="0091426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val="lt-LT" w:eastAsia="lt-LT"/>
              </w:rPr>
            </w:pPr>
            <w:r w:rsidRPr="00AC3318">
              <w:rPr>
                <w:rFonts w:ascii="Georgia" w:eastAsia="Times New Roman" w:hAnsi="Georgia" w:cs="Times New Roman"/>
                <w:sz w:val="20"/>
                <w:szCs w:val="20"/>
                <w:lang w:val="lt-LT" w:eastAsia="lt-LT"/>
              </w:rPr>
              <w:t xml:space="preserve">Ilgas lėšų grąžinimo laikotarpis </w:t>
            </w:r>
          </w:p>
        </w:tc>
      </w:tr>
      <w:tr w:rsidR="002A576D" w:rsidRPr="00E649A6" w14:paraId="1E09D871" w14:textId="77777777" w:rsidTr="00914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13E9DD5E" w14:textId="77777777" w:rsidR="002A576D" w:rsidRPr="00E044B9" w:rsidRDefault="002A576D" w:rsidP="00914262">
            <w:pPr>
              <w:jc w:val="both"/>
              <w:rPr>
                <w:rFonts w:ascii="Georgia" w:eastAsia="Times New Roman" w:hAnsi="Georgia" w:cs="Times New Roman"/>
                <w:b w:val="0"/>
                <w:sz w:val="20"/>
                <w:szCs w:val="20"/>
                <w:lang w:val="lt-LT" w:eastAsia="lt-LT"/>
              </w:rPr>
            </w:pPr>
            <w:r>
              <w:rPr>
                <w:rFonts w:ascii="Georgia" w:eastAsia="Times New Roman" w:hAnsi="Georgia" w:cs="Times New Roman"/>
                <w:b w:val="0"/>
                <w:sz w:val="20"/>
                <w:szCs w:val="20"/>
                <w:lang w:val="lt-LT" w:eastAsia="lt-LT"/>
              </w:rPr>
              <w:t>Įgyvendinant finansinę priemonę jau sukurto fondų fondo apimtyje, galima pasinaudoti jau sukurtais dokumentais, bei pradėti įgyvendinti fondo veiklas greičiau.</w:t>
            </w:r>
          </w:p>
        </w:tc>
        <w:tc>
          <w:tcPr>
            <w:tcW w:w="4788" w:type="dxa"/>
          </w:tcPr>
          <w:p w14:paraId="0DDE23A3" w14:textId="77777777" w:rsidR="002A576D" w:rsidRPr="00AC3318" w:rsidRDefault="002A576D" w:rsidP="00914262">
            <w:pPr>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val="lt-LT" w:eastAsia="lt-LT"/>
              </w:rPr>
            </w:pPr>
          </w:p>
        </w:tc>
      </w:tr>
    </w:tbl>
    <w:p w14:paraId="7AC131AD" w14:textId="77777777" w:rsidR="002A576D" w:rsidRPr="00AC3318" w:rsidRDefault="002A576D" w:rsidP="002A576D">
      <w:pPr>
        <w:jc w:val="both"/>
        <w:rPr>
          <w:rFonts w:ascii="Georgia" w:eastAsia="Times New Roman" w:hAnsi="Georgia" w:cs="Times New Roman"/>
          <w:sz w:val="20"/>
          <w:szCs w:val="20"/>
          <w:lang w:val="lt-LT" w:eastAsia="lt-LT"/>
        </w:rPr>
      </w:pPr>
    </w:p>
    <w:p w14:paraId="609BB6C0" w14:textId="77777777" w:rsidR="002A576D" w:rsidRPr="003351A4" w:rsidRDefault="002A576D" w:rsidP="002A576D">
      <w:pPr>
        <w:pStyle w:val="Antrat2"/>
        <w:numPr>
          <w:ilvl w:val="3"/>
          <w:numId w:val="2"/>
        </w:numPr>
        <w:spacing w:after="240"/>
        <w:rPr>
          <w:lang w:val="lt-LT"/>
        </w:rPr>
      </w:pPr>
      <w:bookmarkStart w:id="425" w:name="_Toc417378462"/>
      <w:r>
        <w:rPr>
          <w:lang w:val="lt-LT"/>
        </w:rPr>
        <w:t>Finansinės priemonės sukūrimas ir j</w:t>
      </w:r>
      <w:r w:rsidRPr="003351A4">
        <w:rPr>
          <w:lang w:val="lt-LT"/>
        </w:rPr>
        <w:t>uridin</w:t>
      </w:r>
      <w:r>
        <w:rPr>
          <w:lang w:val="lt-LT"/>
        </w:rPr>
        <w:t>io</w:t>
      </w:r>
      <w:r w:rsidRPr="003351A4">
        <w:rPr>
          <w:lang w:val="lt-LT"/>
        </w:rPr>
        <w:t xml:space="preserve"> </w:t>
      </w:r>
      <w:r>
        <w:rPr>
          <w:lang w:val="lt-LT"/>
        </w:rPr>
        <w:t xml:space="preserve">asmens </w:t>
      </w:r>
      <w:r w:rsidRPr="003351A4">
        <w:rPr>
          <w:lang w:val="lt-LT"/>
        </w:rPr>
        <w:t>statusą turinčio fondo steigimas</w:t>
      </w:r>
      <w:bookmarkEnd w:id="425"/>
    </w:p>
    <w:p w14:paraId="50BEDC29" w14:textId="77777777" w:rsidR="002A576D" w:rsidRDefault="002A576D" w:rsidP="002A576D">
      <w:pPr>
        <w:jc w:val="both"/>
        <w:rPr>
          <w:rFonts w:ascii="Georgia" w:eastAsia="Times New Roman" w:hAnsi="Georgia" w:cs="Times New Roman"/>
          <w:sz w:val="20"/>
          <w:szCs w:val="20"/>
          <w:lang w:val="lt-LT" w:eastAsia="lt-LT"/>
        </w:rPr>
      </w:pPr>
      <w:r w:rsidRPr="00313A41">
        <w:rPr>
          <w:rFonts w:ascii="Georgia" w:eastAsia="Times New Roman" w:hAnsi="Georgia" w:cs="Times New Roman"/>
          <w:sz w:val="20"/>
          <w:szCs w:val="20"/>
          <w:lang w:val="lt-LT" w:eastAsia="lt-LT"/>
        </w:rPr>
        <w:t xml:space="preserve">Antroji vertinama </w:t>
      </w:r>
      <w:r>
        <w:rPr>
          <w:rFonts w:ascii="Georgia" w:eastAsia="Times New Roman" w:hAnsi="Georgia" w:cs="Times New Roman"/>
          <w:sz w:val="20"/>
          <w:szCs w:val="20"/>
          <w:lang w:val="lt-LT" w:eastAsia="lt-LT"/>
        </w:rPr>
        <w:t>finansinės priemonės</w:t>
      </w:r>
      <w:r w:rsidRPr="00313A41">
        <w:rPr>
          <w:rFonts w:ascii="Georgia" w:eastAsia="Times New Roman" w:hAnsi="Georgia" w:cs="Times New Roman"/>
          <w:sz w:val="20"/>
          <w:szCs w:val="20"/>
          <w:lang w:val="lt-LT" w:eastAsia="lt-LT"/>
        </w:rPr>
        <w:t xml:space="preserve"> steigimo alternatyva </w:t>
      </w:r>
      <w:r>
        <w:rPr>
          <w:rFonts w:ascii="Georgia" w:eastAsia="Times New Roman" w:hAnsi="Georgia" w:cs="Times New Roman"/>
          <w:sz w:val="20"/>
          <w:szCs w:val="20"/>
          <w:lang w:val="lt-LT" w:eastAsia="lt-LT"/>
        </w:rPr>
        <w:t xml:space="preserve">yra finansinės priemonės kūrimas, reikalingas spartesnei projektų įgyvendinimo pradžiai, kredito istorijos atsiradimui, bei juridinį statusą turinčio fondo – rizikos pasidalijimo fondo – steigimas. Finansinės priemonės steigimas toliau šiame skyriuje nedetalizuojamas, kadangi jis aprašytas 7.3.4.1. skyriuje. </w:t>
      </w:r>
    </w:p>
    <w:p w14:paraId="4510E6C3" w14:textId="77777777" w:rsidR="002A576D" w:rsidRDefault="002A576D" w:rsidP="002A576D">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Rizikos pasidalijimo fondo steigimo schema </w:t>
      </w:r>
      <w:r w:rsidRPr="00313A41">
        <w:rPr>
          <w:rFonts w:ascii="Georgia" w:eastAsia="Times New Roman" w:hAnsi="Georgia" w:cs="Times New Roman"/>
          <w:sz w:val="20"/>
          <w:szCs w:val="20"/>
          <w:lang w:val="lt-LT" w:eastAsia="lt-LT"/>
        </w:rPr>
        <w:t>pavaizduota paveiksle</w:t>
      </w:r>
      <w:r w:rsidRPr="00EC5CFD">
        <w:rPr>
          <w:rFonts w:ascii="Georgia" w:eastAsia="Times New Roman" w:hAnsi="Georgia" w:cs="Times New Roman"/>
          <w:sz w:val="20"/>
          <w:szCs w:val="20"/>
          <w:lang w:val="lt-LT" w:eastAsia="lt-LT"/>
        </w:rPr>
        <w:t xml:space="preserve"> žemiau, </w:t>
      </w:r>
      <w:r w:rsidRPr="00EE477F">
        <w:rPr>
          <w:rFonts w:ascii="Georgia" w:eastAsia="Times New Roman" w:hAnsi="Georgia" w:cs="Times New Roman"/>
          <w:sz w:val="20"/>
          <w:szCs w:val="20"/>
          <w:lang w:val="lt-LT" w:eastAsia="lt-LT"/>
        </w:rPr>
        <w:t xml:space="preserve">kuriame matyti, jog projektų finansavimui bei papildomų lėšų pritraukimui fondas yra steigiamas kaip atskiras juridinis subjektas, </w:t>
      </w:r>
      <w:r w:rsidRPr="00765F40">
        <w:rPr>
          <w:rFonts w:ascii="Georgia" w:eastAsia="Times New Roman" w:hAnsi="Georgia" w:cs="Times New Roman"/>
          <w:sz w:val="20"/>
          <w:szCs w:val="20"/>
          <w:lang w:val="lt-LT" w:eastAsia="lt-LT"/>
        </w:rPr>
        <w:t xml:space="preserve">galimai turintis komanditinės ūkinės bendrijos formą. </w:t>
      </w:r>
    </w:p>
    <w:p w14:paraId="3471A6D3" w14:textId="77777777" w:rsidR="00DC0038" w:rsidRPr="00DC0038" w:rsidRDefault="002A576D" w:rsidP="00DC0038">
      <w:pPr>
        <w:jc w:val="both"/>
        <w:rPr>
          <w:rFonts w:ascii="Georgia" w:eastAsia="Times New Roman" w:hAnsi="Georgia" w:cs="Times New Roman"/>
          <w:sz w:val="20"/>
          <w:szCs w:val="20"/>
          <w:lang w:val="lt-LT" w:eastAsia="lt-LT"/>
        </w:rPr>
      </w:pPr>
      <w:r w:rsidRPr="00DC0038">
        <w:rPr>
          <w:rFonts w:ascii="Georgia" w:eastAsia="Times New Roman" w:hAnsi="Georgia" w:cs="Times New Roman"/>
          <w:sz w:val="20"/>
          <w:szCs w:val="20"/>
          <w:lang w:val="lt-LT" w:eastAsia="lt-LT"/>
        </w:rPr>
        <w:object w:dxaOrig="23340" w:dyaOrig="8910" w14:anchorId="1737A272">
          <v:shape id="_x0000_i1037" type="#_x0000_t75" style="width:444.65pt;height:169.75pt" o:ole="">
            <v:imagedata r:id="rId125" o:title=""/>
          </v:shape>
          <o:OLEObject Type="Embed" ProgID="Visio.Drawing.15" ShapeID="_x0000_i1037" DrawAspect="Content" ObjectID="_1572853851" r:id="rId126"/>
        </w:object>
      </w:r>
    </w:p>
    <w:p w14:paraId="0719BA48" w14:textId="1DC865F7" w:rsidR="002A576D" w:rsidRPr="001251A5" w:rsidRDefault="002A576D" w:rsidP="002A576D">
      <w:pPr>
        <w:pStyle w:val="Antrat"/>
        <w:rPr>
          <w:rFonts w:eastAsia="Times New Roman"/>
          <w:szCs w:val="20"/>
          <w:lang w:val="lt-LT" w:eastAsia="lt-LT"/>
        </w:rPr>
      </w:pPr>
      <w:bookmarkStart w:id="426" w:name="_Toc417378348"/>
      <w:r w:rsidRPr="001251A5">
        <w:rPr>
          <w:lang w:val="lt-LT"/>
        </w:rPr>
        <w:t xml:space="preserve">Paveikslas </w:t>
      </w:r>
      <w:r w:rsidRPr="001251A5">
        <w:rPr>
          <w:lang w:val="lt-LT"/>
        </w:rPr>
        <w:fldChar w:fldCharType="begin"/>
      </w:r>
      <w:r w:rsidRPr="001251A5">
        <w:rPr>
          <w:lang w:val="lt-LT"/>
        </w:rPr>
        <w:instrText xml:space="preserve"> SEQ Paveikslas \* ARABIC </w:instrText>
      </w:r>
      <w:r w:rsidRPr="001251A5">
        <w:rPr>
          <w:lang w:val="lt-LT"/>
        </w:rPr>
        <w:fldChar w:fldCharType="separate"/>
      </w:r>
      <w:r w:rsidR="00AA3082">
        <w:rPr>
          <w:noProof/>
          <w:lang w:val="lt-LT"/>
        </w:rPr>
        <w:t>71</w:t>
      </w:r>
      <w:r w:rsidRPr="001251A5">
        <w:rPr>
          <w:lang w:val="lt-LT"/>
        </w:rPr>
        <w:fldChar w:fldCharType="end"/>
      </w:r>
      <w:r w:rsidRPr="001251A5">
        <w:rPr>
          <w:lang w:val="lt-LT"/>
        </w:rPr>
        <w:t>.</w:t>
      </w:r>
      <w:r w:rsidRPr="001251A5">
        <w:rPr>
          <w:rFonts w:eastAsia="Times New Roman"/>
          <w:szCs w:val="20"/>
          <w:lang w:val="lt-LT" w:eastAsia="lt-LT"/>
        </w:rPr>
        <w:t xml:space="preserve"> Juridinio asmens statusą turinčio fondo steigimas Lietuvoje</w:t>
      </w:r>
      <w:bookmarkEnd w:id="426"/>
    </w:p>
    <w:p w14:paraId="010C1688" w14:textId="77777777" w:rsidR="002A576D" w:rsidRPr="00313A41" w:rsidRDefault="002A576D" w:rsidP="002A576D">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Aplinkos</w:t>
      </w:r>
      <w:r w:rsidRPr="00765F40">
        <w:rPr>
          <w:rFonts w:ascii="Georgia" w:eastAsia="Times New Roman" w:hAnsi="Georgia" w:cs="Times New Roman"/>
          <w:sz w:val="20"/>
          <w:szCs w:val="20"/>
          <w:lang w:val="lt-LT" w:eastAsia="lt-LT"/>
        </w:rPr>
        <w:t xml:space="preserve"> ir Finansų ministerijos vykdo fondo valdytojo atranką, su kuriuo yra pasirašoma trišalė finansavimo sutartis, o fondas valdomas per pagrindinį valdymo organą – </w:t>
      </w:r>
      <w:r>
        <w:rPr>
          <w:rFonts w:ascii="Georgia" w:eastAsia="Times New Roman" w:hAnsi="Georgia" w:cs="Times New Roman"/>
          <w:sz w:val="20"/>
          <w:szCs w:val="20"/>
          <w:lang w:val="lt-LT" w:eastAsia="lt-LT"/>
        </w:rPr>
        <w:t>priežiūros</w:t>
      </w:r>
      <w:r w:rsidRPr="00765F40">
        <w:rPr>
          <w:rFonts w:ascii="Georgia" w:eastAsia="Times New Roman" w:hAnsi="Georgia" w:cs="Times New Roman"/>
          <w:sz w:val="20"/>
          <w:szCs w:val="20"/>
          <w:lang w:val="lt-LT" w:eastAsia="lt-LT"/>
        </w:rPr>
        <w:t xml:space="preserve"> komitetą. </w:t>
      </w:r>
      <w:r w:rsidRPr="001251A5">
        <w:rPr>
          <w:rFonts w:ascii="Georgia" w:hAnsi="Georgia"/>
          <w:sz w:val="20"/>
          <w:szCs w:val="20"/>
          <w:lang w:val="lt-LT"/>
        </w:rPr>
        <w:t xml:space="preserve">Fondų fondas įsteigiamas kaip juridinio asmens statusą turintis subjektas. </w:t>
      </w:r>
      <w:r>
        <w:rPr>
          <w:rFonts w:ascii="Georgia" w:hAnsi="Georgia"/>
          <w:sz w:val="20"/>
          <w:szCs w:val="20"/>
          <w:lang w:val="lt-LT"/>
        </w:rPr>
        <w:t>Fondo veiklas</w:t>
      </w:r>
      <w:r w:rsidRPr="001251A5">
        <w:rPr>
          <w:rFonts w:ascii="Georgia" w:hAnsi="Georgia"/>
          <w:sz w:val="20"/>
          <w:szCs w:val="20"/>
          <w:lang w:val="lt-LT"/>
        </w:rPr>
        <w:t xml:space="preserve"> jis gali įgyvendinti tiesiogiai arba per finansinius tarpininkus. Vadovaujančioji institucija gali investuoti į tokį juridinį asmenį arba užduotis pavesti vykdyti kitoms institucijoms, kaip apibrėžta Bendrųjų nuostatų reglamento 38.4 punkte. </w:t>
      </w:r>
    </w:p>
    <w:p w14:paraId="47C8FFA0" w14:textId="77777777" w:rsidR="002A576D" w:rsidRPr="006C0CDA" w:rsidRDefault="002A576D" w:rsidP="002A576D">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Aukščiau esančiame </w:t>
      </w:r>
      <w:r w:rsidRPr="00313A41">
        <w:rPr>
          <w:rFonts w:ascii="Georgia" w:eastAsia="Times New Roman" w:hAnsi="Georgia" w:cs="Times New Roman"/>
          <w:sz w:val="20"/>
          <w:szCs w:val="20"/>
          <w:lang w:val="lt-LT" w:eastAsia="lt-LT"/>
        </w:rPr>
        <w:t xml:space="preserve"> paveiksle matyti, jog </w:t>
      </w:r>
      <w:r w:rsidRPr="00EE477F">
        <w:rPr>
          <w:rFonts w:ascii="Georgia" w:eastAsia="Times New Roman" w:hAnsi="Georgia" w:cs="Times New Roman"/>
          <w:sz w:val="20"/>
          <w:szCs w:val="20"/>
          <w:lang w:val="lt-LT" w:eastAsia="lt-LT"/>
        </w:rPr>
        <w:t>dalis fondo kapitalo būtų suformuojama kaip pirmojo praradimo lėšos,  kurioms</w:t>
      </w:r>
      <w:r w:rsidRPr="00765F40">
        <w:rPr>
          <w:rFonts w:ascii="Georgia" w:eastAsia="Times New Roman" w:hAnsi="Georgia" w:cs="Times New Roman"/>
          <w:sz w:val="20"/>
          <w:szCs w:val="20"/>
          <w:lang w:val="lt-LT" w:eastAsia="lt-LT"/>
        </w:rPr>
        <w:t xml:space="preserve"> būtų panaudojamos ESI fondų lėšos iš </w:t>
      </w:r>
      <w:r>
        <w:rPr>
          <w:rFonts w:ascii="Georgia" w:eastAsia="Times New Roman" w:hAnsi="Georgia" w:cs="Times New Roman"/>
          <w:sz w:val="20"/>
          <w:szCs w:val="20"/>
          <w:lang w:val="lt-LT" w:eastAsia="lt-LT"/>
        </w:rPr>
        <w:t>Aplinkos</w:t>
      </w:r>
      <w:r w:rsidRPr="00765F40">
        <w:rPr>
          <w:rFonts w:ascii="Georgia" w:eastAsia="Times New Roman" w:hAnsi="Georgia" w:cs="Times New Roman"/>
          <w:sz w:val="20"/>
          <w:szCs w:val="20"/>
          <w:lang w:val="lt-LT" w:eastAsia="lt-LT"/>
        </w:rPr>
        <w:t xml:space="preserve"> ministerijos asignavimų </w:t>
      </w:r>
      <w:r>
        <w:rPr>
          <w:rFonts w:ascii="Georgia" w:eastAsia="Times New Roman" w:hAnsi="Georgia" w:cs="Times New Roman"/>
          <w:sz w:val="20"/>
          <w:szCs w:val="20"/>
          <w:lang w:val="lt-LT" w:eastAsia="lt-LT"/>
        </w:rPr>
        <w:t xml:space="preserve">savivaldybių </w:t>
      </w:r>
      <w:r w:rsidRPr="00765F40">
        <w:rPr>
          <w:rFonts w:ascii="Georgia" w:eastAsia="Times New Roman" w:hAnsi="Georgia" w:cs="Times New Roman"/>
          <w:sz w:val="20"/>
          <w:szCs w:val="20"/>
          <w:lang w:val="lt-LT" w:eastAsia="lt-LT"/>
        </w:rPr>
        <w:t xml:space="preserve">viešųjų pastatų modernizavimui finansuoti. </w:t>
      </w:r>
    </w:p>
    <w:p w14:paraId="05037B04" w14:textId="77777777" w:rsidR="002A576D" w:rsidRPr="001251A5" w:rsidRDefault="002A576D" w:rsidP="002A576D">
      <w:pPr>
        <w:jc w:val="both"/>
        <w:rPr>
          <w:rFonts w:ascii="Georgia" w:eastAsia="Times New Roman" w:hAnsi="Georgia" w:cs="Times New Roman"/>
          <w:sz w:val="20"/>
          <w:szCs w:val="20"/>
          <w:lang w:val="lt-LT" w:eastAsia="lt-LT"/>
        </w:rPr>
      </w:pPr>
      <w:r w:rsidRPr="001251A5">
        <w:rPr>
          <w:rFonts w:ascii="Georgia" w:eastAsia="Times New Roman" w:hAnsi="Georgia" w:cs="Times New Roman"/>
          <w:sz w:val="20"/>
          <w:szCs w:val="20"/>
          <w:lang w:val="lt-LT" w:eastAsia="lt-LT"/>
        </w:rPr>
        <w:t xml:space="preserve">Kaip matyti, tarp ministerijų ir fondų fondo įsiterpia trečiasis asmuo – fondo valdytojas. Šis fondo valdytojo tarpininkavimas yra reikalingas dėl Lietuvos teisinės bazės apribojimų KŪB juridinei formai. </w:t>
      </w:r>
      <w:r w:rsidRPr="001251A5">
        <w:rPr>
          <w:rFonts w:ascii="Georgia" w:hAnsi="Georgia"/>
          <w:sz w:val="20"/>
          <w:szCs w:val="20"/>
          <w:lang w:val="lt-LT"/>
        </w:rPr>
        <w:t>Pagal LR Ūkinių bendrijų įstatymo pakeitimo įstatymo Nr. XI-2073 2 str. 5 dalį KŪB yra neribotos civilinės atsakomybės privatusis juridinis asmuo. Atsižvelgiant į tai, kad pagal LR Ūkinių bendrijų įstatymo pakeitimo įstatymo Nr. XI-2073 6 str. 4 ir 5 dalis vadovaujančioji institucija negali būti KŪB nei tikruoju nariu nei komanditoriumi, būtent per fondų fondo valdytoją vadovaujančioji institucija galėtų investuoti į KŪB. Pagal LR Ūkinių bendrijų įstatymo pakeitimo įstatymo Nr. XI-2073 8 str. 1 dalį komanditorius pagal komanditinės ūkinės bendrijos prievoles atsako tik tuo savo turtu, kurį įnešė ir (ar) įsipareigojo įnešti į komanditinę ūkinę bendriją. Pagal LR Ūkinių bendrijų įstatymo pakeitimo įstatymo Nr. XI-2073 8 str. 1 dalį bendrijos tikrieji nariai pagal bendrijos prievoles atsako solidariai visu savo turtu.</w:t>
      </w:r>
    </w:p>
    <w:p w14:paraId="7192F7E1" w14:textId="77777777" w:rsidR="002A576D" w:rsidRPr="005B4195" w:rsidRDefault="002A576D" w:rsidP="002A576D">
      <w:pPr>
        <w:jc w:val="both"/>
        <w:rPr>
          <w:rFonts w:ascii="Georgia" w:hAnsi="Georgia"/>
          <w:sz w:val="20"/>
          <w:szCs w:val="20"/>
          <w:lang w:val="lt-LT"/>
        </w:rPr>
      </w:pPr>
      <w:r w:rsidRPr="00DC6825">
        <w:rPr>
          <w:rFonts w:ascii="Georgia" w:eastAsia="Times New Roman" w:hAnsi="Georgia" w:cs="Times New Roman"/>
          <w:sz w:val="20"/>
          <w:szCs w:val="20"/>
          <w:lang w:val="lt-LT" w:eastAsia="lt-LT"/>
        </w:rPr>
        <w:t xml:space="preserve">Pagrindinis šio modelio privalumas – sukuriamas mechanizmas investuotojų įsitraukimui. </w:t>
      </w:r>
      <w:r w:rsidRPr="00DC6825">
        <w:rPr>
          <w:rFonts w:ascii="Georgia" w:hAnsi="Georgia"/>
          <w:sz w:val="20"/>
          <w:szCs w:val="20"/>
          <w:lang w:val="lt-LT"/>
        </w:rPr>
        <w:t xml:space="preserve">Pažymėtina, jog būtina įvertinti riziką, kad pritraukus papildomų lėšų iš privačių investuotojų pastarieji gali siekti dalyvauti fondo valdyme, norėti priiminėti sprendimus, kam ir kokiomis </w:t>
      </w:r>
      <w:r w:rsidRPr="005B4195">
        <w:rPr>
          <w:rFonts w:ascii="Georgia" w:hAnsi="Georgia"/>
          <w:sz w:val="20"/>
          <w:szCs w:val="20"/>
          <w:lang w:val="lt-LT"/>
        </w:rPr>
        <w:t xml:space="preserve">sąlygomis yra skolinamos jų investuotos lėšos bei kurie finansiniai tarpininkai gali tą daryti. Iškilus tokiems apribojimams ir siekiant suderinti šalių (vadovaujančios institucijos, </w:t>
      </w:r>
      <w:r>
        <w:rPr>
          <w:rFonts w:ascii="Georgia" w:hAnsi="Georgia"/>
          <w:sz w:val="20"/>
          <w:szCs w:val="20"/>
          <w:lang w:val="lt-LT"/>
        </w:rPr>
        <w:t>Aplinkos</w:t>
      </w:r>
      <w:r w:rsidRPr="005B4195">
        <w:rPr>
          <w:rFonts w:ascii="Georgia" w:hAnsi="Georgia"/>
          <w:sz w:val="20"/>
          <w:szCs w:val="20"/>
          <w:lang w:val="lt-LT"/>
        </w:rPr>
        <w:t xml:space="preserve"> ministerijos, fondo valdytojo, investuotojų ir finansinių tarpininkų) interesus, fondo veiklos įgyvendinimas gali užsitęsti. </w:t>
      </w:r>
    </w:p>
    <w:p w14:paraId="2E3C721E" w14:textId="77777777" w:rsidR="002A576D" w:rsidRDefault="002A576D" w:rsidP="002A576D">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Pagrindinis šio modelio trūkumas lyginant su šio modelio taikymu daugiabučių namų finansavimo atveju, kad nėra energetinio efektyvumo savivaldybių valdomų pastatų projektų įgyvendinimo patirties, o privatūs investuotojai nėra linkę pasitikėti savivaldybėmis. Sukūrus pirmojo praradimo kapitalo fondą, didelė rizika, kad kol neatsiras sėkmingai įgyvendintų projektų pavyzdžių komerciniai bankai ir kiti potencialūs investuotojai neinvestuotų į tokį fondą. Lyginant su daugiabučių namų renovacijos modeliu, komerciniai bankai jau dalyvauja kaip finansiniai tarpininkai, kiti bankai </w:t>
      </w:r>
      <w:r>
        <w:rPr>
          <w:rFonts w:ascii="Georgia" w:eastAsia="Times New Roman" w:hAnsi="Georgia" w:cs="Times New Roman"/>
          <w:sz w:val="20"/>
          <w:szCs w:val="20"/>
          <w:lang w:val="lt-LT" w:eastAsia="lt-LT"/>
        </w:rPr>
        <w:lastRenderedPageBreak/>
        <w:t>analizuoja ir stebi šios rinkos pokyčius, todėl turi būti identifikuojamos aiškios galimybės investuotojų pritraukimui.</w:t>
      </w:r>
    </w:p>
    <w:p w14:paraId="5FF2BAA5" w14:textId="0C00E42B" w:rsidR="002A576D" w:rsidRPr="002878F6" w:rsidRDefault="002A576D" w:rsidP="002A576D">
      <w:pPr>
        <w:pStyle w:val="Antrat"/>
        <w:rPr>
          <w:rFonts w:eastAsia="Times New Roman"/>
          <w:szCs w:val="20"/>
          <w:lang w:val="lt-LT" w:eastAsia="lt-LT"/>
        </w:rPr>
      </w:pPr>
      <w:bookmarkStart w:id="427" w:name="_Toc460321748"/>
      <w:r w:rsidRPr="001251A5">
        <w:rPr>
          <w:lang w:val="lt-LT"/>
        </w:rPr>
        <w:t xml:space="preserve">Lentelė </w:t>
      </w:r>
      <w:r w:rsidRPr="001251A5">
        <w:rPr>
          <w:lang w:val="lt-LT"/>
        </w:rPr>
        <w:fldChar w:fldCharType="begin"/>
      </w:r>
      <w:r w:rsidRPr="001251A5">
        <w:rPr>
          <w:lang w:val="lt-LT"/>
        </w:rPr>
        <w:instrText xml:space="preserve"> SEQ Lentelė \* ARABIC </w:instrText>
      </w:r>
      <w:r w:rsidRPr="001251A5">
        <w:rPr>
          <w:lang w:val="lt-LT"/>
        </w:rPr>
        <w:fldChar w:fldCharType="separate"/>
      </w:r>
      <w:r w:rsidR="00AA3082">
        <w:rPr>
          <w:noProof/>
          <w:lang w:val="lt-LT"/>
        </w:rPr>
        <w:t>167</w:t>
      </w:r>
      <w:r w:rsidRPr="001251A5">
        <w:rPr>
          <w:lang w:val="lt-LT"/>
        </w:rPr>
        <w:fldChar w:fldCharType="end"/>
      </w:r>
      <w:r w:rsidRPr="001251A5">
        <w:rPr>
          <w:lang w:val="lt-LT"/>
        </w:rPr>
        <w:t xml:space="preserve">. Antrosios fondo kūrimo alternatyvos </w:t>
      </w:r>
      <w:r>
        <w:rPr>
          <w:lang w:val="lt-LT"/>
        </w:rPr>
        <w:t xml:space="preserve">savivaldybių </w:t>
      </w:r>
      <w:r w:rsidRPr="001251A5">
        <w:rPr>
          <w:lang w:val="lt-LT"/>
        </w:rPr>
        <w:t>viešiesiems pastatams</w:t>
      </w:r>
      <w:r>
        <w:rPr>
          <w:lang w:val="lt-LT"/>
        </w:rPr>
        <w:t xml:space="preserve"> modernizuoti</w:t>
      </w:r>
      <w:r w:rsidRPr="001251A5">
        <w:rPr>
          <w:lang w:val="lt-LT"/>
        </w:rPr>
        <w:t xml:space="preserve"> privalumų ir trūkumų palyginimas</w:t>
      </w:r>
      <w:bookmarkEnd w:id="427"/>
    </w:p>
    <w:tbl>
      <w:tblPr>
        <w:tblStyle w:val="Spalvotassraas2parykinimas"/>
        <w:tblW w:w="0" w:type="auto"/>
        <w:tblLook w:val="04A0" w:firstRow="1" w:lastRow="0" w:firstColumn="1" w:lastColumn="0" w:noHBand="0" w:noVBand="1"/>
      </w:tblPr>
      <w:tblGrid>
        <w:gridCol w:w="4615"/>
        <w:gridCol w:w="4628"/>
      </w:tblGrid>
      <w:tr w:rsidR="002A576D" w:rsidRPr="002878F6" w14:paraId="57A3DB77" w14:textId="77777777" w:rsidTr="009142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5" w:type="dxa"/>
            <w:tcBorders>
              <w:top w:val="nil"/>
              <w:left w:val="nil"/>
              <w:right w:val="nil"/>
            </w:tcBorders>
            <w:hideMark/>
          </w:tcPr>
          <w:p w14:paraId="7DEF2C4C" w14:textId="77777777" w:rsidR="002A576D" w:rsidRPr="002878F6" w:rsidRDefault="002A576D" w:rsidP="00914262">
            <w:pPr>
              <w:spacing w:after="200" w:line="276" w:lineRule="auto"/>
              <w:jc w:val="center"/>
              <w:rPr>
                <w:rFonts w:ascii="Georgia" w:eastAsia="Times New Roman" w:hAnsi="Georgia" w:cs="Times New Roman"/>
                <w:b w:val="0"/>
                <w:sz w:val="20"/>
                <w:szCs w:val="20"/>
                <w:lang w:val="lt-LT" w:eastAsia="lt-LT"/>
              </w:rPr>
            </w:pPr>
            <w:r w:rsidRPr="002878F6">
              <w:rPr>
                <w:rFonts w:ascii="Georgia" w:eastAsia="Times New Roman" w:hAnsi="Georgia" w:cs="Times New Roman"/>
                <w:sz w:val="20"/>
                <w:szCs w:val="20"/>
                <w:lang w:val="lt-LT" w:eastAsia="lt-LT"/>
              </w:rPr>
              <w:t>Privalumai</w:t>
            </w:r>
          </w:p>
        </w:tc>
        <w:tc>
          <w:tcPr>
            <w:tcW w:w="4628" w:type="dxa"/>
            <w:tcBorders>
              <w:top w:val="nil"/>
              <w:left w:val="nil"/>
              <w:right w:val="nil"/>
            </w:tcBorders>
            <w:hideMark/>
          </w:tcPr>
          <w:p w14:paraId="5B835013" w14:textId="77777777" w:rsidR="002A576D" w:rsidRPr="002878F6" w:rsidRDefault="002A576D" w:rsidP="00914262">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sz w:val="20"/>
                <w:szCs w:val="20"/>
                <w:lang w:val="lt-LT" w:eastAsia="lt-LT"/>
              </w:rPr>
            </w:pPr>
            <w:r w:rsidRPr="002878F6">
              <w:rPr>
                <w:rFonts w:ascii="Georgia" w:eastAsia="Times New Roman" w:hAnsi="Georgia" w:cs="Times New Roman"/>
                <w:sz w:val="20"/>
                <w:szCs w:val="20"/>
                <w:lang w:val="lt-LT" w:eastAsia="lt-LT"/>
              </w:rPr>
              <w:t>Trūkumai</w:t>
            </w:r>
          </w:p>
        </w:tc>
      </w:tr>
      <w:tr w:rsidR="002A576D" w:rsidRPr="002878F6" w14:paraId="22765D96" w14:textId="77777777" w:rsidTr="00914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5" w:type="dxa"/>
            <w:hideMark/>
          </w:tcPr>
          <w:p w14:paraId="44275A05" w14:textId="77777777" w:rsidR="002A576D" w:rsidRDefault="002A576D" w:rsidP="00914262">
            <w:pPr>
              <w:spacing w:after="200" w:line="276" w:lineRule="auto"/>
              <w:jc w:val="both"/>
              <w:rPr>
                <w:rFonts w:ascii="Georgia" w:eastAsia="Times New Roman" w:hAnsi="Georgia" w:cs="Times New Roman"/>
                <w:b w:val="0"/>
                <w:sz w:val="20"/>
                <w:szCs w:val="20"/>
                <w:lang w:val="lt-LT" w:eastAsia="lt-LT"/>
              </w:rPr>
            </w:pPr>
            <w:r>
              <w:rPr>
                <w:rFonts w:ascii="Georgia" w:eastAsia="Times New Roman" w:hAnsi="Georgia" w:cs="Times New Roman"/>
                <w:b w:val="0"/>
                <w:sz w:val="20"/>
                <w:szCs w:val="20"/>
                <w:lang w:val="lt-LT" w:eastAsia="lt-LT"/>
              </w:rPr>
              <w:t xml:space="preserve">1. </w:t>
            </w:r>
            <w:r w:rsidRPr="002878F6">
              <w:rPr>
                <w:rFonts w:ascii="Georgia" w:eastAsia="Times New Roman" w:hAnsi="Georgia" w:cs="Times New Roman"/>
                <w:b w:val="0"/>
                <w:sz w:val="20"/>
                <w:szCs w:val="20"/>
                <w:lang w:val="lt-LT" w:eastAsia="lt-LT"/>
              </w:rPr>
              <w:t>Sudaromos galimybės pritraukti papildomas investuotojų lėšas</w:t>
            </w:r>
          </w:p>
          <w:p w14:paraId="34B539F9" w14:textId="77777777" w:rsidR="002A576D" w:rsidRPr="002878F6" w:rsidRDefault="002A576D" w:rsidP="00914262">
            <w:pPr>
              <w:spacing w:after="200" w:line="276" w:lineRule="auto"/>
              <w:jc w:val="both"/>
              <w:rPr>
                <w:rFonts w:ascii="Georgia" w:eastAsia="Times New Roman" w:hAnsi="Georgia" w:cs="Times New Roman"/>
                <w:b w:val="0"/>
                <w:sz w:val="20"/>
                <w:szCs w:val="20"/>
                <w:lang w:val="lt-LT" w:eastAsia="lt-LT"/>
              </w:rPr>
            </w:pPr>
            <w:r>
              <w:rPr>
                <w:rFonts w:ascii="Georgia" w:eastAsia="Times New Roman" w:hAnsi="Georgia" w:cs="Times New Roman"/>
                <w:b w:val="0"/>
                <w:sz w:val="20"/>
                <w:szCs w:val="20"/>
                <w:lang w:val="lt-LT" w:eastAsia="lt-LT"/>
              </w:rPr>
              <w:t>2. Pasiekiamas vienas didžiausių projektų įgyvendinimo multiplikatorių.</w:t>
            </w:r>
          </w:p>
        </w:tc>
        <w:tc>
          <w:tcPr>
            <w:tcW w:w="4628" w:type="dxa"/>
          </w:tcPr>
          <w:p w14:paraId="277DDC3A" w14:textId="77777777" w:rsidR="002A576D" w:rsidRPr="002878F6" w:rsidRDefault="002A576D" w:rsidP="00914262">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val="lt-LT" w:eastAsia="lt-LT"/>
              </w:rPr>
            </w:pPr>
            <w:r w:rsidRPr="001251A5">
              <w:rPr>
                <w:rFonts w:ascii="Georgia" w:hAnsi="Georgia"/>
                <w:sz w:val="20"/>
                <w:szCs w:val="20"/>
                <w:lang w:val="lt-LT"/>
              </w:rPr>
              <w:t>1. Finansinių tarpininkų atrinkimui galios Viešųjų pirkimų įstatymo nuostatos, todėl tai apsunkins ir gali užtęsti jų atranką.</w:t>
            </w:r>
          </w:p>
        </w:tc>
      </w:tr>
      <w:tr w:rsidR="002A576D" w:rsidRPr="002878F6" w14:paraId="22ACB19E" w14:textId="77777777" w:rsidTr="00914262">
        <w:tc>
          <w:tcPr>
            <w:cnfStyle w:val="001000000000" w:firstRow="0" w:lastRow="0" w:firstColumn="1" w:lastColumn="0" w:oddVBand="0" w:evenVBand="0" w:oddHBand="0" w:evenHBand="0" w:firstRowFirstColumn="0" w:firstRowLastColumn="0" w:lastRowFirstColumn="0" w:lastRowLastColumn="0"/>
            <w:tcW w:w="4615" w:type="dxa"/>
          </w:tcPr>
          <w:p w14:paraId="31F10608" w14:textId="77777777" w:rsidR="002A576D" w:rsidRPr="002878F6" w:rsidRDefault="002A576D" w:rsidP="00914262">
            <w:pPr>
              <w:spacing w:after="200" w:line="276" w:lineRule="auto"/>
              <w:jc w:val="both"/>
              <w:rPr>
                <w:rFonts w:ascii="Georgia" w:eastAsia="Times New Roman" w:hAnsi="Georgia" w:cs="Times New Roman"/>
                <w:b w:val="0"/>
                <w:sz w:val="20"/>
                <w:szCs w:val="20"/>
                <w:lang w:val="lt-LT" w:eastAsia="lt-LT"/>
              </w:rPr>
            </w:pPr>
            <w:r>
              <w:rPr>
                <w:rFonts w:ascii="Georgia" w:eastAsia="Times New Roman" w:hAnsi="Georgia" w:cs="Times New Roman"/>
                <w:b w:val="0"/>
                <w:sz w:val="20"/>
                <w:szCs w:val="20"/>
                <w:lang w:val="lt-LT" w:eastAsia="lt-LT"/>
              </w:rPr>
              <w:t>3. Finansinės priemonės sukūrimas paspartina patirties, kredito istorijos atsiradimą</w:t>
            </w:r>
          </w:p>
        </w:tc>
        <w:tc>
          <w:tcPr>
            <w:tcW w:w="4628" w:type="dxa"/>
          </w:tcPr>
          <w:p w14:paraId="06811FC6" w14:textId="77777777" w:rsidR="002A576D" w:rsidRPr="002878F6" w:rsidRDefault="002A576D" w:rsidP="0091426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val="lt-LT" w:eastAsia="lt-LT"/>
              </w:rPr>
            </w:pPr>
            <w:r w:rsidRPr="001251A5">
              <w:rPr>
                <w:rFonts w:ascii="Georgia" w:hAnsi="Georgia"/>
                <w:sz w:val="20"/>
                <w:szCs w:val="20"/>
                <w:lang w:val="lt-LT"/>
              </w:rPr>
              <w:t>2. Neaišku, kas bus tikruoju nariu ir kokį jis vaidmenį atliks fondo įgyvendinime</w:t>
            </w:r>
          </w:p>
        </w:tc>
      </w:tr>
      <w:tr w:rsidR="002A576D" w:rsidRPr="002878F6" w14:paraId="3BA940CB" w14:textId="77777777" w:rsidTr="00914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5" w:type="dxa"/>
          </w:tcPr>
          <w:p w14:paraId="5626C733" w14:textId="77777777" w:rsidR="002A576D" w:rsidRPr="002878F6" w:rsidRDefault="002A576D" w:rsidP="00914262">
            <w:pPr>
              <w:spacing w:after="200" w:line="276" w:lineRule="auto"/>
              <w:jc w:val="both"/>
              <w:rPr>
                <w:rFonts w:ascii="Georgia" w:eastAsia="Times New Roman" w:hAnsi="Georgia" w:cs="Times New Roman"/>
                <w:b w:val="0"/>
                <w:sz w:val="20"/>
                <w:szCs w:val="20"/>
                <w:lang w:val="lt-LT" w:eastAsia="lt-LT"/>
              </w:rPr>
            </w:pPr>
          </w:p>
        </w:tc>
        <w:tc>
          <w:tcPr>
            <w:tcW w:w="4628" w:type="dxa"/>
          </w:tcPr>
          <w:p w14:paraId="28B4D056" w14:textId="77777777" w:rsidR="002A576D" w:rsidRPr="002878F6" w:rsidRDefault="002A576D" w:rsidP="00914262">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val="lt-LT" w:eastAsia="lt-LT"/>
              </w:rPr>
            </w:pPr>
            <w:r w:rsidRPr="001251A5">
              <w:rPr>
                <w:rFonts w:ascii="Georgia" w:hAnsi="Georgia"/>
                <w:sz w:val="20"/>
                <w:szCs w:val="20"/>
                <w:lang w:val="lt-LT"/>
              </w:rPr>
              <w:t>3. Komerciniai bankai nenoriai investuotų į fondą, jeigu paskolintas lėšas naudotų ne jie patys.</w:t>
            </w:r>
          </w:p>
        </w:tc>
      </w:tr>
    </w:tbl>
    <w:p w14:paraId="67278582" w14:textId="77777777" w:rsidR="002A576D" w:rsidRDefault="002A576D" w:rsidP="002A576D">
      <w:pPr>
        <w:jc w:val="both"/>
        <w:rPr>
          <w:rFonts w:ascii="Georgia" w:eastAsia="Times New Roman" w:hAnsi="Georgia" w:cs="Times New Roman"/>
          <w:sz w:val="20"/>
          <w:szCs w:val="20"/>
          <w:lang w:val="lt-LT" w:eastAsia="lt-LT"/>
        </w:rPr>
      </w:pPr>
    </w:p>
    <w:p w14:paraId="2C1FC3C2" w14:textId="77777777" w:rsidR="002A576D" w:rsidRPr="003351A4" w:rsidRDefault="002A576D" w:rsidP="002A576D">
      <w:pPr>
        <w:pStyle w:val="Antrat2"/>
        <w:numPr>
          <w:ilvl w:val="3"/>
          <w:numId w:val="2"/>
        </w:numPr>
        <w:spacing w:after="240"/>
        <w:rPr>
          <w:lang w:val="lt-LT"/>
        </w:rPr>
      </w:pPr>
      <w:bookmarkStart w:id="428" w:name="_Toc417378463"/>
      <w:r>
        <w:rPr>
          <w:lang w:val="lt-LT"/>
        </w:rPr>
        <w:t>Finansinės priemonės</w:t>
      </w:r>
      <w:r w:rsidRPr="006B0B34">
        <w:rPr>
          <w:lang w:val="lt-LT"/>
        </w:rPr>
        <w:t xml:space="preserve"> ir investicinio fondo (turinčio juridinio asmens statusą) steigimas</w:t>
      </w:r>
      <w:bookmarkEnd w:id="428"/>
    </w:p>
    <w:p w14:paraId="59A5B753" w14:textId="77777777" w:rsidR="002A576D" w:rsidRDefault="002A576D" w:rsidP="002A576D">
      <w:pPr>
        <w:jc w:val="both"/>
        <w:rPr>
          <w:rFonts w:ascii="Georgia" w:eastAsia="Times New Roman" w:hAnsi="Georgia" w:cs="Times New Roman"/>
          <w:sz w:val="20"/>
          <w:szCs w:val="20"/>
          <w:lang w:val="lt-LT" w:eastAsia="lt-LT"/>
        </w:rPr>
      </w:pPr>
      <w:r w:rsidRPr="00760316">
        <w:rPr>
          <w:rFonts w:ascii="Georgia" w:hAnsi="Georgia"/>
          <w:sz w:val="20"/>
          <w:szCs w:val="20"/>
          <w:lang w:val="lt-LT"/>
        </w:rPr>
        <w:t xml:space="preserve">Šioje </w:t>
      </w:r>
      <w:r>
        <w:rPr>
          <w:rFonts w:ascii="Georgia" w:hAnsi="Georgia"/>
          <w:sz w:val="20"/>
          <w:szCs w:val="20"/>
          <w:lang w:val="lt-LT"/>
        </w:rPr>
        <w:t xml:space="preserve"> alternatyvoje aprašytas finansinės priemonės (arba fondų fondo) sukūrimas. Finansinės priemonės sukūrimas gali būti traktuojamas ir kaip finansinės priemonės įgyvendinimas kito (jau sukurto) fondų fondo apimtyje.</w:t>
      </w:r>
    </w:p>
    <w:p w14:paraId="4576E0CA" w14:textId="77777777" w:rsidR="002A576D" w:rsidRPr="00501DF9" w:rsidRDefault="002A576D" w:rsidP="002A576D">
      <w:pPr>
        <w:jc w:val="both"/>
        <w:rPr>
          <w:rFonts w:ascii="Georgia" w:eastAsia="Times New Roman" w:hAnsi="Georgia" w:cs="Times New Roman"/>
          <w:sz w:val="20"/>
          <w:szCs w:val="20"/>
          <w:lang w:val="lt-LT" w:eastAsia="lt-LT"/>
        </w:rPr>
      </w:pPr>
      <w:r w:rsidRPr="00501DF9">
        <w:rPr>
          <w:rFonts w:ascii="Georgia" w:eastAsia="Times New Roman" w:hAnsi="Georgia" w:cs="Times New Roman"/>
          <w:sz w:val="20"/>
          <w:szCs w:val="20"/>
          <w:lang w:val="lt-LT" w:eastAsia="lt-LT"/>
        </w:rPr>
        <w:t xml:space="preserve">Šios alternatyvos įgyvendinimo atveju Finansų ministerija kaip vadovaujančioji institucija kartu su </w:t>
      </w:r>
      <w:r>
        <w:rPr>
          <w:rFonts w:ascii="Georgia" w:eastAsia="Times New Roman" w:hAnsi="Georgia" w:cs="Times New Roman"/>
          <w:sz w:val="20"/>
          <w:szCs w:val="20"/>
          <w:lang w:val="lt-LT" w:eastAsia="lt-LT"/>
        </w:rPr>
        <w:t>Aplinkos</w:t>
      </w:r>
      <w:r w:rsidRPr="00501DF9">
        <w:rPr>
          <w:rFonts w:ascii="Georgia" w:eastAsia="Times New Roman" w:hAnsi="Georgia" w:cs="Times New Roman"/>
          <w:sz w:val="20"/>
          <w:szCs w:val="20"/>
          <w:lang w:val="lt-LT" w:eastAsia="lt-LT"/>
        </w:rPr>
        <w:t xml:space="preserve"> ministerija priimtų sprendimą </w:t>
      </w:r>
      <w:r>
        <w:rPr>
          <w:rFonts w:ascii="Georgia" w:eastAsia="Times New Roman" w:hAnsi="Georgia" w:cs="Times New Roman"/>
          <w:sz w:val="20"/>
          <w:szCs w:val="20"/>
          <w:lang w:val="lt-LT" w:eastAsia="lt-LT"/>
        </w:rPr>
        <w:t xml:space="preserve">steigti finansinę priemonę arba </w:t>
      </w:r>
      <w:r w:rsidRPr="00501DF9">
        <w:rPr>
          <w:rFonts w:ascii="Georgia" w:eastAsia="Times New Roman" w:hAnsi="Georgia" w:cs="Times New Roman"/>
          <w:sz w:val="20"/>
          <w:szCs w:val="20"/>
          <w:lang w:val="lt-LT" w:eastAsia="lt-LT"/>
        </w:rPr>
        <w:t>fondų fondą</w:t>
      </w:r>
      <w:r>
        <w:rPr>
          <w:rFonts w:ascii="Georgia" w:eastAsia="Times New Roman" w:hAnsi="Georgia" w:cs="Times New Roman"/>
          <w:sz w:val="20"/>
          <w:szCs w:val="20"/>
          <w:lang w:val="lt-LT" w:eastAsia="lt-LT"/>
        </w:rPr>
        <w:t xml:space="preserve"> (arba įgyvendinti finansinę priemonę kito fondų fondo apimtyje)</w:t>
      </w:r>
      <w:r w:rsidRPr="00501DF9">
        <w:rPr>
          <w:rFonts w:ascii="Georgia" w:eastAsia="Times New Roman" w:hAnsi="Georgia" w:cs="Times New Roman"/>
          <w:sz w:val="20"/>
          <w:szCs w:val="20"/>
          <w:lang w:val="lt-LT" w:eastAsia="lt-LT"/>
        </w:rPr>
        <w:t>, kuris vykdytų numatytą veiklą 2014 - 20</w:t>
      </w:r>
      <w:r>
        <w:rPr>
          <w:rFonts w:ascii="Georgia" w:eastAsia="Times New Roman" w:hAnsi="Georgia" w:cs="Times New Roman"/>
          <w:sz w:val="20"/>
          <w:szCs w:val="20"/>
          <w:lang w:val="lt-LT" w:eastAsia="lt-LT"/>
        </w:rPr>
        <w:t>20</w:t>
      </w:r>
      <w:r w:rsidRPr="00501DF9">
        <w:rPr>
          <w:rFonts w:ascii="Georgia" w:eastAsia="Times New Roman" w:hAnsi="Georgia" w:cs="Times New Roman"/>
          <w:sz w:val="20"/>
          <w:szCs w:val="20"/>
          <w:lang w:val="lt-LT" w:eastAsia="lt-LT"/>
        </w:rPr>
        <w:t xml:space="preserve"> m. </w:t>
      </w:r>
      <w:r>
        <w:rPr>
          <w:rFonts w:ascii="Georgia" w:eastAsia="Times New Roman" w:hAnsi="Georgia" w:cs="Times New Roman"/>
          <w:sz w:val="20"/>
          <w:szCs w:val="20"/>
          <w:lang w:val="lt-LT" w:eastAsia="lt-LT"/>
        </w:rPr>
        <w:t>periodu</w:t>
      </w:r>
      <w:r w:rsidRPr="00501DF9">
        <w:rPr>
          <w:rFonts w:ascii="Georgia" w:eastAsia="Times New Roman" w:hAnsi="Georgia" w:cs="Times New Roman"/>
          <w:sz w:val="20"/>
          <w:szCs w:val="20"/>
          <w:lang w:val="lt-LT" w:eastAsia="lt-LT"/>
        </w:rPr>
        <w:t xml:space="preserve">. </w:t>
      </w:r>
      <w:r>
        <w:rPr>
          <w:rFonts w:ascii="Georgia" w:eastAsia="Times New Roman" w:hAnsi="Georgia" w:cs="Times New Roman"/>
          <w:sz w:val="20"/>
          <w:szCs w:val="20"/>
          <w:lang w:val="lt-LT" w:eastAsia="lt-LT"/>
        </w:rPr>
        <w:t>Finansinė priemonė</w:t>
      </w:r>
      <w:r w:rsidRPr="00501DF9">
        <w:rPr>
          <w:rFonts w:ascii="Georgia" w:eastAsia="Times New Roman" w:hAnsi="Georgia" w:cs="Times New Roman"/>
          <w:sz w:val="20"/>
          <w:szCs w:val="20"/>
          <w:lang w:val="lt-LT" w:eastAsia="lt-LT"/>
        </w:rPr>
        <w:t xml:space="preserve"> veiktų kaip sąskaitų rinkinys finansų įstaigoje</w:t>
      </w:r>
      <w:r>
        <w:rPr>
          <w:rFonts w:ascii="Georgia" w:eastAsia="Times New Roman" w:hAnsi="Georgia" w:cs="Times New Roman"/>
          <w:sz w:val="20"/>
          <w:szCs w:val="20"/>
          <w:lang w:val="lt-LT" w:eastAsia="lt-LT"/>
        </w:rPr>
        <w:t xml:space="preserve">, o jo valdytojas būtų paskiriamas arba atrenkamas kaip tai numatyta Bendrųjų nuostatų reglamento 38.4 punkte. </w:t>
      </w:r>
    </w:p>
    <w:p w14:paraId="7C9A85F6" w14:textId="77777777" w:rsidR="002A576D" w:rsidRDefault="002A576D" w:rsidP="002A576D">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Fondų fondo atveju, fondo valdytojas galėtų atrinkti finansinius tarpininkus, kurie teiktų finansavimą savivaldybių viešųjų pastatų modernizavimo projektams, o finansinės priemonės atveju valdytojas finansavimą galėtų teikti pats. Su atrinktais finansiniais tarpininkais fondo valdytojas pasirašytų sąlygines paskolos sutartis. Finansiniai tarpininkai taip pat gautų nustatytą atlygį už teikiamas finansinio tarpininko paslaugas. </w:t>
      </w:r>
    </w:p>
    <w:p w14:paraId="4F1233BD" w14:textId="77777777" w:rsidR="002A576D" w:rsidRDefault="002A576D" w:rsidP="002A576D">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Investicinis fondas, turintis juridinio asmens statusą, būtų steigiamas Lietuvoje (arba kitoje ES valstybėje), greta veikiančio ESI fondų lėšomis sukurto fondo. Jo veikloje dalyvautų privatūs ir instituciniai investuotojai. Investicinio fondo steigėju galėtų būti ir tarptautinė finansų institucija ar kitas investuotojas, kurie tolimesniuose etapuose dalyvautų šio investicinio fondo veikloje/investavime. Planuojama, kad investicinis fondas galėtų perpirkti iki 50 procentų projektų ateities pinigų srautų. Gautos lėšos galėtų būti panaudojamos grąžinti paskolas anksčiau, todėl finansinės priemonės/fondo valdytojas šias lėšas galėtų panaudoti naujų projektų finansavimui, kas padidintų multiplikatoriaus efektą. Tokio modelio veikimo principas pavaizduotas paveiksle žemiau. </w:t>
      </w:r>
    </w:p>
    <w:p w14:paraId="0857BFCB" w14:textId="77777777" w:rsidR="002A576D" w:rsidRDefault="002A576D" w:rsidP="002A576D">
      <w:pPr>
        <w:rPr>
          <w:rFonts w:ascii="Georgia" w:eastAsia="Times New Roman" w:hAnsi="Georgia" w:cs="Times New Roman"/>
          <w:sz w:val="20"/>
          <w:szCs w:val="20"/>
          <w:lang w:val="lt-LT" w:eastAsia="lt-LT"/>
        </w:rPr>
      </w:pPr>
    </w:p>
    <w:p w14:paraId="296571F7" w14:textId="77777777" w:rsidR="002A576D" w:rsidRDefault="00B674D2" w:rsidP="002A576D">
      <w:pPr>
        <w:pStyle w:val="Antrat"/>
        <w:spacing w:line="276" w:lineRule="auto"/>
        <w:rPr>
          <w:rFonts w:eastAsia="Times New Roman"/>
          <w:szCs w:val="20"/>
          <w:lang w:val="lt-LT" w:eastAsia="lt-LT"/>
        </w:rPr>
      </w:pPr>
      <w:r w:rsidRPr="001251A5">
        <w:rPr>
          <w:rFonts w:eastAsia="Times New Roman"/>
          <w:szCs w:val="20"/>
          <w:lang w:val="lt-LT" w:eastAsia="lt-LT"/>
        </w:rPr>
        <w:object w:dxaOrig="15480" w:dyaOrig="11805" w14:anchorId="4C5FA55D">
          <v:shape id="_x0000_i1038" type="#_x0000_t75" style="width:450.45pt;height:343.55pt" o:ole="">
            <v:imagedata r:id="rId127" o:title=""/>
          </v:shape>
          <o:OLEObject Type="Embed" ProgID="Visio.Drawing.15" ShapeID="_x0000_i1038" DrawAspect="Content" ObjectID="_1572853852" r:id="rId128"/>
        </w:object>
      </w:r>
    </w:p>
    <w:p w14:paraId="33D1D272" w14:textId="5AA209BF" w:rsidR="002A576D" w:rsidRPr="001251A5" w:rsidRDefault="002A576D" w:rsidP="002A576D">
      <w:pPr>
        <w:pStyle w:val="Antrat"/>
        <w:spacing w:line="276" w:lineRule="auto"/>
        <w:rPr>
          <w:rFonts w:eastAsia="Times New Roman"/>
          <w:szCs w:val="20"/>
          <w:lang w:val="lt-LT" w:eastAsia="lt-LT"/>
        </w:rPr>
      </w:pPr>
      <w:bookmarkStart w:id="429" w:name="_Toc417378349"/>
      <w:r w:rsidRPr="001251A5">
        <w:rPr>
          <w:lang w:val="lt-LT"/>
        </w:rPr>
        <w:t xml:space="preserve">Paveikslas </w:t>
      </w:r>
      <w:r w:rsidRPr="001251A5">
        <w:rPr>
          <w:lang w:val="lt-LT"/>
        </w:rPr>
        <w:fldChar w:fldCharType="begin"/>
      </w:r>
      <w:r w:rsidRPr="001251A5">
        <w:rPr>
          <w:lang w:val="lt-LT"/>
        </w:rPr>
        <w:instrText xml:space="preserve"> SEQ Paveikslas \* ARABIC </w:instrText>
      </w:r>
      <w:r w:rsidRPr="001251A5">
        <w:rPr>
          <w:lang w:val="lt-LT"/>
        </w:rPr>
        <w:fldChar w:fldCharType="separate"/>
      </w:r>
      <w:r w:rsidR="00AA3082">
        <w:rPr>
          <w:noProof/>
          <w:lang w:val="lt-LT"/>
        </w:rPr>
        <w:t>72</w:t>
      </w:r>
      <w:r w:rsidRPr="001251A5">
        <w:rPr>
          <w:lang w:val="lt-LT"/>
        </w:rPr>
        <w:fldChar w:fldCharType="end"/>
      </w:r>
      <w:r w:rsidRPr="001251A5">
        <w:rPr>
          <w:lang w:val="lt-LT"/>
        </w:rPr>
        <w:t xml:space="preserve">. </w:t>
      </w:r>
      <w:r w:rsidRPr="001251A5">
        <w:rPr>
          <w:rFonts w:eastAsia="Times New Roman"/>
          <w:szCs w:val="20"/>
          <w:lang w:val="lt-LT" w:eastAsia="lt-LT"/>
        </w:rPr>
        <w:t xml:space="preserve">2014-2020 lėšų investavimas </w:t>
      </w:r>
      <w:r w:rsidR="00B674D2">
        <w:rPr>
          <w:rFonts w:eastAsia="Times New Roman"/>
          <w:szCs w:val="20"/>
          <w:lang w:val="lt-LT" w:eastAsia="lt-LT"/>
        </w:rPr>
        <w:t xml:space="preserve"> finansinę priemonę</w:t>
      </w:r>
      <w:r w:rsidR="00B674D2" w:rsidRPr="001251A5">
        <w:rPr>
          <w:rFonts w:eastAsia="Times New Roman"/>
          <w:szCs w:val="20"/>
          <w:lang w:val="lt-LT" w:eastAsia="lt-LT"/>
        </w:rPr>
        <w:t xml:space="preserve"> </w:t>
      </w:r>
      <w:r w:rsidRPr="001251A5">
        <w:rPr>
          <w:rFonts w:eastAsia="Times New Roman"/>
          <w:szCs w:val="20"/>
          <w:lang w:val="lt-LT" w:eastAsia="lt-LT"/>
        </w:rPr>
        <w:t>(sąskaitų rinkinį finansų įstaigoje) ir investicinio fondo steigimas</w:t>
      </w:r>
      <w:bookmarkEnd w:id="429"/>
    </w:p>
    <w:p w14:paraId="13831E5B" w14:textId="77777777" w:rsidR="002A576D" w:rsidRDefault="002A576D" w:rsidP="002A576D">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Pagrindinis alternatyvos  privalumas yra tai, kad finansinė priemonė/fondų fondas gali būti sąlyginai greitai įsteigiamas, todėl gali greitai pradėti veikti, o lygiagrečiai būtų kuriamas investicinis fondas. Investicinis fondas būtų sukurtas poros metų bėgyje, tinkamai suderinant ir įvertinant potencialių investuotojų poreikius ir investavimo galimybes.</w:t>
      </w:r>
    </w:p>
    <w:p w14:paraId="283052B7" w14:textId="77777777" w:rsidR="002A576D" w:rsidRDefault="002A576D" w:rsidP="002A576D">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Pagrindinis šios alternatyvos trūkumas yra tai, kad investuotojai nėra linkę investuoti į savivaldybių projektus, todėl būtų sudėtinga juos pritraukti be energetinio efektyvumo projektų įgyvendinimo patirties Lietuvoje. Be to, savivaldybių viešieji pastatai turi sąlyginai ilgesnį projektų atsipirkimo laikotarpį, todėl yra mažiau patrauklūs investuotojams. </w:t>
      </w:r>
    </w:p>
    <w:p w14:paraId="60E1FF29" w14:textId="11F595BC" w:rsidR="002A576D" w:rsidRPr="002878F6" w:rsidRDefault="002A576D" w:rsidP="002A576D">
      <w:pPr>
        <w:pStyle w:val="Antrat"/>
        <w:rPr>
          <w:rFonts w:eastAsia="Times New Roman"/>
          <w:szCs w:val="20"/>
          <w:lang w:val="lt-LT" w:eastAsia="lt-LT"/>
        </w:rPr>
      </w:pPr>
      <w:bookmarkStart w:id="430" w:name="_Toc460321749"/>
      <w:r w:rsidRPr="00D56235">
        <w:rPr>
          <w:lang w:val="lt-LT"/>
        </w:rPr>
        <w:t xml:space="preserve">Lentelė </w:t>
      </w:r>
      <w:r w:rsidRPr="00D56235">
        <w:rPr>
          <w:lang w:val="lt-LT"/>
        </w:rPr>
        <w:fldChar w:fldCharType="begin"/>
      </w:r>
      <w:r w:rsidRPr="00D56235">
        <w:rPr>
          <w:lang w:val="lt-LT"/>
        </w:rPr>
        <w:instrText xml:space="preserve"> SEQ Lentelė \* ARABIC </w:instrText>
      </w:r>
      <w:r w:rsidRPr="00D56235">
        <w:rPr>
          <w:lang w:val="lt-LT"/>
        </w:rPr>
        <w:fldChar w:fldCharType="separate"/>
      </w:r>
      <w:r w:rsidR="00AA3082">
        <w:rPr>
          <w:noProof/>
          <w:lang w:val="lt-LT"/>
        </w:rPr>
        <w:t>168</w:t>
      </w:r>
      <w:r w:rsidRPr="00D56235">
        <w:rPr>
          <w:lang w:val="lt-LT"/>
        </w:rPr>
        <w:fldChar w:fldCharType="end"/>
      </w:r>
      <w:r w:rsidRPr="00D56235">
        <w:rPr>
          <w:lang w:val="lt-LT"/>
        </w:rPr>
        <w:t xml:space="preserve">. Trečiosios fondo kūrimo alternatyvos </w:t>
      </w:r>
      <w:r>
        <w:rPr>
          <w:lang w:val="lt-LT"/>
        </w:rPr>
        <w:t xml:space="preserve">savivaldybių </w:t>
      </w:r>
      <w:r w:rsidRPr="00D56235">
        <w:rPr>
          <w:lang w:val="lt-LT"/>
        </w:rPr>
        <w:t xml:space="preserve">viešiesiems pastatams </w:t>
      </w:r>
      <w:r>
        <w:rPr>
          <w:lang w:val="lt-LT"/>
        </w:rPr>
        <w:t xml:space="preserve">modernizuoti </w:t>
      </w:r>
      <w:r w:rsidRPr="00D56235">
        <w:rPr>
          <w:lang w:val="lt-LT"/>
        </w:rPr>
        <w:t>privalumų ir trūkumų palyginimas</w:t>
      </w:r>
      <w:bookmarkEnd w:id="430"/>
    </w:p>
    <w:tbl>
      <w:tblPr>
        <w:tblStyle w:val="Spalvotassraas2parykinimas"/>
        <w:tblW w:w="0" w:type="auto"/>
        <w:tblLook w:val="04A0" w:firstRow="1" w:lastRow="0" w:firstColumn="1" w:lastColumn="0" w:noHBand="0" w:noVBand="1"/>
      </w:tblPr>
      <w:tblGrid>
        <w:gridCol w:w="4630"/>
        <w:gridCol w:w="4613"/>
      </w:tblGrid>
      <w:tr w:rsidR="002A576D" w14:paraId="2FA9DEC5" w14:textId="77777777" w:rsidTr="0091426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630" w:type="dxa"/>
            <w:tcBorders>
              <w:top w:val="nil"/>
              <w:left w:val="nil"/>
              <w:right w:val="nil"/>
            </w:tcBorders>
            <w:hideMark/>
          </w:tcPr>
          <w:p w14:paraId="5906A913" w14:textId="77777777" w:rsidR="002A576D" w:rsidRDefault="002A576D" w:rsidP="00914262">
            <w:pPr>
              <w:spacing w:after="200" w:line="276" w:lineRule="auto"/>
              <w:jc w:val="both"/>
              <w:rPr>
                <w:rFonts w:ascii="Georgia" w:eastAsia="Times New Roman" w:hAnsi="Georgia" w:cs="Times New Roman"/>
                <w:b w:val="0"/>
                <w:sz w:val="20"/>
                <w:szCs w:val="20"/>
                <w:lang w:val="lt-LT" w:eastAsia="lt-LT"/>
              </w:rPr>
            </w:pPr>
            <w:r>
              <w:rPr>
                <w:rFonts w:ascii="Georgia" w:eastAsia="Times New Roman" w:hAnsi="Georgia" w:cs="Times New Roman"/>
                <w:sz w:val="20"/>
                <w:szCs w:val="20"/>
                <w:lang w:val="lt-LT" w:eastAsia="lt-LT"/>
              </w:rPr>
              <w:t>Privalumai</w:t>
            </w:r>
          </w:p>
        </w:tc>
        <w:tc>
          <w:tcPr>
            <w:tcW w:w="4613" w:type="dxa"/>
            <w:tcBorders>
              <w:top w:val="nil"/>
              <w:left w:val="nil"/>
              <w:right w:val="nil"/>
            </w:tcBorders>
            <w:hideMark/>
          </w:tcPr>
          <w:p w14:paraId="6F912E4B" w14:textId="77777777" w:rsidR="002A576D" w:rsidRDefault="002A576D" w:rsidP="00914262">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b w:val="0"/>
                <w:sz w:val="20"/>
                <w:szCs w:val="20"/>
                <w:lang w:val="lt-LT" w:eastAsia="lt-LT"/>
              </w:rPr>
            </w:pPr>
            <w:r>
              <w:rPr>
                <w:rFonts w:ascii="Georgia" w:eastAsia="Times New Roman" w:hAnsi="Georgia" w:cs="Times New Roman"/>
                <w:sz w:val="20"/>
                <w:szCs w:val="20"/>
                <w:lang w:val="lt-LT" w:eastAsia="lt-LT"/>
              </w:rPr>
              <w:t>Trūkumai</w:t>
            </w:r>
          </w:p>
        </w:tc>
      </w:tr>
      <w:tr w:rsidR="002A576D" w14:paraId="7679C6C5" w14:textId="77777777" w:rsidTr="009142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30" w:type="dxa"/>
            <w:hideMark/>
          </w:tcPr>
          <w:p w14:paraId="22D3F838" w14:textId="77777777" w:rsidR="002A576D" w:rsidRPr="008945A5" w:rsidRDefault="002A576D" w:rsidP="00914262">
            <w:pPr>
              <w:spacing w:after="200" w:line="276" w:lineRule="auto"/>
              <w:jc w:val="both"/>
              <w:rPr>
                <w:rFonts w:ascii="Georgia" w:eastAsia="Times New Roman" w:hAnsi="Georgia" w:cs="Times New Roman"/>
                <w:b w:val="0"/>
                <w:sz w:val="20"/>
                <w:szCs w:val="20"/>
                <w:lang w:val="lt-LT" w:eastAsia="lt-LT"/>
              </w:rPr>
            </w:pPr>
            <w:r w:rsidRPr="003351A4">
              <w:rPr>
                <w:rFonts w:ascii="Georgia" w:eastAsia="Times New Roman" w:hAnsi="Georgia" w:cs="Times New Roman"/>
                <w:b w:val="0"/>
                <w:sz w:val="20"/>
                <w:szCs w:val="20"/>
                <w:lang w:val="lt-LT" w:eastAsia="lt-LT"/>
              </w:rPr>
              <w:t>1. Paprastas modelis ir pakankamai lanksti valdymo struktūra</w:t>
            </w:r>
          </w:p>
        </w:tc>
        <w:tc>
          <w:tcPr>
            <w:tcW w:w="4613" w:type="dxa"/>
            <w:hideMark/>
          </w:tcPr>
          <w:p w14:paraId="38E64F37" w14:textId="77777777" w:rsidR="002A576D" w:rsidRDefault="002A576D" w:rsidP="00914262">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1. Finansinių tarpininkų atrinkimui galioja Viešųjų pirkimų įstatymo nuostatos, todėl tai labai apsunkins ir gali užtęsti jų atranką.</w:t>
            </w:r>
          </w:p>
        </w:tc>
      </w:tr>
      <w:tr w:rsidR="002A576D" w14:paraId="1DFF56C1" w14:textId="77777777" w:rsidTr="00914262">
        <w:trPr>
          <w:cantSplit/>
        </w:trPr>
        <w:tc>
          <w:tcPr>
            <w:cnfStyle w:val="001000000000" w:firstRow="0" w:lastRow="0" w:firstColumn="1" w:lastColumn="0" w:oddVBand="0" w:evenVBand="0" w:oddHBand="0" w:evenHBand="0" w:firstRowFirstColumn="0" w:firstRowLastColumn="0" w:lastRowFirstColumn="0" w:lastRowLastColumn="0"/>
            <w:tcW w:w="4630" w:type="dxa"/>
            <w:hideMark/>
          </w:tcPr>
          <w:p w14:paraId="38CB72F2" w14:textId="77777777" w:rsidR="002A576D" w:rsidRPr="008945A5" w:rsidRDefault="002A576D" w:rsidP="00914262">
            <w:pPr>
              <w:spacing w:after="200" w:line="276" w:lineRule="auto"/>
              <w:jc w:val="both"/>
              <w:rPr>
                <w:rFonts w:ascii="Georgia" w:eastAsia="Times New Roman" w:hAnsi="Georgia" w:cs="Times New Roman"/>
                <w:b w:val="0"/>
                <w:sz w:val="20"/>
                <w:szCs w:val="20"/>
                <w:lang w:val="lt-LT" w:eastAsia="lt-LT"/>
              </w:rPr>
            </w:pPr>
            <w:r w:rsidRPr="003351A4">
              <w:rPr>
                <w:rFonts w:ascii="Georgia" w:eastAsia="Times New Roman" w:hAnsi="Georgia" w:cs="Times New Roman"/>
                <w:b w:val="0"/>
                <w:sz w:val="20"/>
                <w:szCs w:val="20"/>
                <w:lang w:val="lt-LT" w:eastAsia="lt-LT"/>
              </w:rPr>
              <w:t xml:space="preserve">2. </w:t>
            </w:r>
            <w:r>
              <w:rPr>
                <w:rFonts w:ascii="Georgia" w:eastAsia="Times New Roman" w:hAnsi="Georgia" w:cs="Times New Roman"/>
                <w:b w:val="0"/>
                <w:sz w:val="20"/>
                <w:szCs w:val="20"/>
                <w:lang w:val="lt-LT" w:eastAsia="lt-LT"/>
              </w:rPr>
              <w:t>Greitas steigimas ir patirties kaupimas steigiant finansinę priemonę</w:t>
            </w:r>
          </w:p>
        </w:tc>
        <w:tc>
          <w:tcPr>
            <w:tcW w:w="4613" w:type="dxa"/>
            <w:hideMark/>
          </w:tcPr>
          <w:p w14:paraId="70057FA9" w14:textId="77777777" w:rsidR="002A576D" w:rsidRDefault="002A576D" w:rsidP="0091426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2. Finansinių tarpininkų atrinkimui galioja Viešųjų pirkimų įstatymo nuostatos, todėl tai labai apsunkins ir gali užtęsti jų atranką. </w:t>
            </w:r>
          </w:p>
        </w:tc>
      </w:tr>
      <w:tr w:rsidR="002A576D" w14:paraId="4FC8C232" w14:textId="77777777" w:rsidTr="009142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30" w:type="dxa"/>
            <w:hideMark/>
          </w:tcPr>
          <w:p w14:paraId="67AFF45D" w14:textId="77777777" w:rsidR="002A576D" w:rsidRPr="008945A5" w:rsidRDefault="002A576D" w:rsidP="00914262">
            <w:pPr>
              <w:spacing w:after="200" w:line="276" w:lineRule="auto"/>
              <w:jc w:val="both"/>
              <w:rPr>
                <w:rFonts w:ascii="Georgia" w:eastAsia="Times New Roman" w:hAnsi="Georgia" w:cs="Times New Roman"/>
                <w:b w:val="0"/>
                <w:sz w:val="20"/>
                <w:szCs w:val="20"/>
                <w:lang w:val="lt-LT" w:eastAsia="lt-LT"/>
              </w:rPr>
            </w:pPr>
            <w:r w:rsidRPr="003351A4">
              <w:rPr>
                <w:rFonts w:ascii="Georgia" w:eastAsia="Times New Roman" w:hAnsi="Georgia" w:cs="Times New Roman"/>
                <w:b w:val="0"/>
                <w:sz w:val="20"/>
                <w:szCs w:val="20"/>
                <w:lang w:val="lt-LT" w:eastAsia="lt-LT"/>
              </w:rPr>
              <w:lastRenderedPageBreak/>
              <w:t>3. Suteikia galimybę pritraukti privataus sektoriaus lėšas.</w:t>
            </w:r>
          </w:p>
        </w:tc>
        <w:tc>
          <w:tcPr>
            <w:tcW w:w="4613" w:type="dxa"/>
          </w:tcPr>
          <w:p w14:paraId="643E9436" w14:textId="77777777" w:rsidR="002A576D" w:rsidRDefault="002A576D" w:rsidP="00914262">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3. Infrastruktūros projektų ateities pinigų srautų išpirkimo patirties trūkumas</w:t>
            </w:r>
          </w:p>
        </w:tc>
      </w:tr>
      <w:tr w:rsidR="002A576D" w14:paraId="6EF8715A" w14:textId="77777777" w:rsidTr="00914262">
        <w:trPr>
          <w:cantSplit/>
        </w:trPr>
        <w:tc>
          <w:tcPr>
            <w:cnfStyle w:val="001000000000" w:firstRow="0" w:lastRow="0" w:firstColumn="1" w:lastColumn="0" w:oddVBand="0" w:evenVBand="0" w:oddHBand="0" w:evenHBand="0" w:firstRowFirstColumn="0" w:firstRowLastColumn="0" w:lastRowFirstColumn="0" w:lastRowLastColumn="0"/>
            <w:tcW w:w="4630" w:type="dxa"/>
            <w:hideMark/>
          </w:tcPr>
          <w:p w14:paraId="63CEC530" w14:textId="77777777" w:rsidR="002A576D" w:rsidRPr="008945A5" w:rsidRDefault="002A576D" w:rsidP="00914262">
            <w:pPr>
              <w:spacing w:after="200" w:line="276" w:lineRule="auto"/>
              <w:jc w:val="both"/>
              <w:rPr>
                <w:rFonts w:ascii="Georgia" w:eastAsia="Times New Roman" w:hAnsi="Georgia" w:cs="Times New Roman"/>
                <w:b w:val="0"/>
                <w:sz w:val="20"/>
                <w:szCs w:val="20"/>
                <w:lang w:val="lt-LT" w:eastAsia="lt-LT"/>
              </w:rPr>
            </w:pPr>
            <w:r w:rsidRPr="003351A4">
              <w:rPr>
                <w:rFonts w:ascii="Georgia" w:eastAsia="Times New Roman" w:hAnsi="Georgia" w:cs="Times New Roman"/>
                <w:b w:val="0"/>
                <w:sz w:val="20"/>
                <w:szCs w:val="20"/>
                <w:lang w:val="lt-LT" w:eastAsia="lt-LT"/>
              </w:rPr>
              <w:t>4. Greitai grįžtančios lėšos į fondą po ateities pinigų srautų išpirkimo</w:t>
            </w:r>
            <w:r w:rsidRPr="003351A4" w:rsidDel="00A64039">
              <w:rPr>
                <w:rFonts w:ascii="Georgia" w:eastAsia="Times New Roman" w:hAnsi="Georgia" w:cs="Times New Roman"/>
                <w:b w:val="0"/>
                <w:sz w:val="20"/>
                <w:szCs w:val="20"/>
                <w:lang w:val="lt-LT" w:eastAsia="lt-LT"/>
              </w:rPr>
              <w:t xml:space="preserve"> </w:t>
            </w:r>
          </w:p>
        </w:tc>
        <w:tc>
          <w:tcPr>
            <w:tcW w:w="4613" w:type="dxa"/>
          </w:tcPr>
          <w:p w14:paraId="0E6FB827" w14:textId="77777777" w:rsidR="002A576D" w:rsidRDefault="002A576D" w:rsidP="0091426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4. Nepasitikėjimas savivaldybių vykdomais projektais, stabdo investuotojų pritraukimą, o kartu ir sumažina galimybes pasiekti geresnius multiplikatoriaus ir sverto rodiklius.</w:t>
            </w:r>
          </w:p>
        </w:tc>
      </w:tr>
    </w:tbl>
    <w:p w14:paraId="4C218AF2" w14:textId="77777777" w:rsidR="002A576D" w:rsidRDefault="002A576D" w:rsidP="002A576D">
      <w:pPr>
        <w:jc w:val="both"/>
        <w:rPr>
          <w:rFonts w:ascii="Georgia" w:eastAsia="Times New Roman" w:hAnsi="Georgia" w:cs="Times New Roman"/>
          <w:sz w:val="20"/>
          <w:szCs w:val="20"/>
          <w:lang w:val="lt-LT" w:eastAsia="lt-LT"/>
        </w:rPr>
      </w:pPr>
    </w:p>
    <w:p w14:paraId="3DDC4C7E" w14:textId="77777777" w:rsidR="002A576D" w:rsidRPr="003351A4" w:rsidRDefault="002A576D" w:rsidP="002A576D">
      <w:pPr>
        <w:pStyle w:val="Antrat2"/>
        <w:numPr>
          <w:ilvl w:val="3"/>
          <w:numId w:val="2"/>
        </w:numPr>
        <w:spacing w:after="240"/>
        <w:rPr>
          <w:lang w:val="lt-LT"/>
        </w:rPr>
      </w:pPr>
      <w:bookmarkStart w:id="431" w:name="_Toc417378464"/>
      <w:r w:rsidRPr="003351A4">
        <w:rPr>
          <w:lang w:val="lt-LT"/>
        </w:rPr>
        <w:t>Siūloma įgyvendinti alternatyva</w:t>
      </w:r>
      <w:bookmarkEnd w:id="431"/>
    </w:p>
    <w:p w14:paraId="476F4ACD" w14:textId="77777777" w:rsidR="002A576D" w:rsidRPr="00100B18" w:rsidRDefault="002A576D" w:rsidP="002A576D">
      <w:pPr>
        <w:jc w:val="both"/>
        <w:rPr>
          <w:lang w:val="lt-LT"/>
        </w:rPr>
      </w:pPr>
      <w:r>
        <w:rPr>
          <w:rFonts w:ascii="Georgia" w:eastAsia="Times New Roman" w:hAnsi="Georgia" w:cs="Times New Roman"/>
          <w:sz w:val="20"/>
          <w:szCs w:val="20"/>
          <w:lang w:val="lt-LT" w:eastAsia="lt-LT"/>
        </w:rPr>
        <w:t>Siūloma įgyvendinti alternatyva savivaldybių viešųjų pastatų modernizavimui remiasi kiekvieno iš aukščiau paminėtų modelių privalumais ir trūkumais, sverto skaičiavimais bei kitomis prielaidomis. Atsižvelgiant į visus šiuos faktorius,</w:t>
      </w:r>
      <w:r w:rsidR="00B674D2">
        <w:rPr>
          <w:rFonts w:ascii="Georgia" w:eastAsia="Times New Roman" w:hAnsi="Georgia" w:cs="Times New Roman"/>
          <w:sz w:val="20"/>
          <w:szCs w:val="20"/>
          <w:lang w:val="lt-LT" w:eastAsia="lt-LT"/>
        </w:rPr>
        <w:t xml:space="preserve"> o taip pat atsižvelgiant į kiekybinės analizės rezultatus (4.4.4. skyrius), kurios metu buvo</w:t>
      </w:r>
      <w:r>
        <w:rPr>
          <w:rFonts w:ascii="Georgia" w:eastAsia="Times New Roman" w:hAnsi="Georgia" w:cs="Times New Roman"/>
          <w:sz w:val="20"/>
          <w:szCs w:val="20"/>
          <w:lang w:val="lt-LT" w:eastAsia="lt-LT"/>
        </w:rPr>
        <w:t xml:space="preserve"> siūloma </w:t>
      </w:r>
      <w:r w:rsidR="00193A90">
        <w:rPr>
          <w:rFonts w:ascii="Georgia" w:eastAsia="Times New Roman" w:hAnsi="Georgia" w:cs="Times New Roman"/>
          <w:sz w:val="20"/>
          <w:szCs w:val="20"/>
          <w:lang w:val="lt-LT" w:eastAsia="lt-LT"/>
        </w:rPr>
        <w:t>Aplinkos ministerijai ir Finansų ministerijai įgyvendinti 2-ąją arba 5-ąją alternatyvas</w:t>
      </w:r>
      <w:r>
        <w:rPr>
          <w:rFonts w:ascii="Georgia" w:eastAsia="Times New Roman" w:hAnsi="Georgia" w:cs="Times New Roman"/>
          <w:sz w:val="20"/>
          <w:szCs w:val="20"/>
          <w:lang w:val="lt-LT" w:eastAsia="lt-LT"/>
        </w:rPr>
        <w:t>, kuri</w:t>
      </w:r>
      <w:r w:rsidR="00193A90">
        <w:rPr>
          <w:rFonts w:ascii="Georgia" w:eastAsia="Times New Roman" w:hAnsi="Georgia" w:cs="Times New Roman"/>
          <w:sz w:val="20"/>
          <w:szCs w:val="20"/>
          <w:lang w:val="lt-LT" w:eastAsia="lt-LT"/>
        </w:rPr>
        <w:t>os</w:t>
      </w:r>
      <w:r>
        <w:rPr>
          <w:rFonts w:ascii="Georgia" w:eastAsia="Times New Roman" w:hAnsi="Georgia" w:cs="Times New Roman"/>
          <w:sz w:val="20"/>
          <w:szCs w:val="20"/>
          <w:lang w:val="lt-LT" w:eastAsia="lt-LT"/>
        </w:rPr>
        <w:t xml:space="preserve"> įgyvendintų paskolų finansinę priemonę</w:t>
      </w:r>
      <w:r w:rsidR="00B674D2">
        <w:rPr>
          <w:rFonts w:ascii="Georgia" w:eastAsia="Times New Roman" w:hAnsi="Georgia" w:cs="Times New Roman"/>
          <w:sz w:val="20"/>
          <w:szCs w:val="20"/>
          <w:lang w:val="lt-LT" w:eastAsia="lt-LT"/>
        </w:rPr>
        <w:t>,</w:t>
      </w:r>
      <w:r>
        <w:rPr>
          <w:rFonts w:ascii="Georgia" w:eastAsia="Times New Roman" w:hAnsi="Georgia" w:cs="Times New Roman"/>
          <w:sz w:val="20"/>
          <w:szCs w:val="20"/>
          <w:lang w:val="lt-LT" w:eastAsia="lt-LT"/>
        </w:rPr>
        <w:t xml:space="preserve"> </w:t>
      </w:r>
      <w:r w:rsidR="00193A90">
        <w:rPr>
          <w:rFonts w:ascii="Georgia" w:eastAsia="Times New Roman" w:hAnsi="Georgia" w:cs="Times New Roman"/>
          <w:sz w:val="20"/>
          <w:szCs w:val="20"/>
          <w:lang w:val="lt-LT" w:eastAsia="lt-LT"/>
        </w:rPr>
        <w:t xml:space="preserve">Ministerijoms </w:t>
      </w:r>
      <w:r w:rsidR="00193A90" w:rsidRPr="00DA65C2">
        <w:rPr>
          <w:rFonts w:ascii="Georgia" w:eastAsia="Times New Roman" w:hAnsi="Georgia" w:cs="Times New Roman"/>
          <w:b/>
          <w:i/>
          <w:sz w:val="20"/>
          <w:szCs w:val="20"/>
          <w:lang w:val="lt-LT" w:eastAsia="lt-LT"/>
        </w:rPr>
        <w:t>rekomenduojama pasirin</w:t>
      </w:r>
      <w:r w:rsidR="001C63DB" w:rsidRPr="00DA65C2">
        <w:rPr>
          <w:rFonts w:ascii="Georgia" w:eastAsia="Times New Roman" w:hAnsi="Georgia" w:cs="Times New Roman"/>
          <w:b/>
          <w:i/>
          <w:sz w:val="20"/>
          <w:szCs w:val="20"/>
          <w:lang w:val="lt-LT" w:eastAsia="lt-LT"/>
        </w:rPr>
        <w:t>k</w:t>
      </w:r>
      <w:r w:rsidR="00193A90" w:rsidRPr="00DA65C2">
        <w:rPr>
          <w:rFonts w:ascii="Georgia" w:eastAsia="Times New Roman" w:hAnsi="Georgia" w:cs="Times New Roman"/>
          <w:b/>
          <w:i/>
          <w:sz w:val="20"/>
          <w:szCs w:val="20"/>
          <w:lang w:val="lt-LT" w:eastAsia="lt-LT"/>
        </w:rPr>
        <w:t>ti alternatyvą pagal tai, kuris fondas bus sukurtas anksčiau</w:t>
      </w:r>
      <w:r w:rsidR="00193A90">
        <w:rPr>
          <w:rFonts w:ascii="Georgia" w:eastAsia="Times New Roman" w:hAnsi="Georgia" w:cs="Times New Roman"/>
          <w:sz w:val="20"/>
          <w:szCs w:val="20"/>
          <w:lang w:val="lt-LT" w:eastAsia="lt-LT"/>
        </w:rPr>
        <w:t>, t.y. rizikos pasidalijimo fondas ar investicinis fondas išpirksiantis ateities pinigų srautus.</w:t>
      </w:r>
    </w:p>
    <w:p w14:paraId="139569D3" w14:textId="77777777" w:rsidR="002A576D" w:rsidRPr="00AA32EA" w:rsidRDefault="002A576D" w:rsidP="002A576D">
      <w:pPr>
        <w:pStyle w:val="prastasis1"/>
        <w:keepNext/>
        <w:spacing w:line="276" w:lineRule="auto"/>
        <w:jc w:val="both"/>
        <w:rPr>
          <w:rFonts w:ascii="Georgia" w:hAnsi="Georgia"/>
          <w:b/>
          <w:sz w:val="20"/>
          <w:szCs w:val="20"/>
        </w:rPr>
      </w:pPr>
      <w:r>
        <w:rPr>
          <w:rFonts w:ascii="Georgia" w:hAnsi="Georgia"/>
          <w:b/>
          <w:sz w:val="20"/>
          <w:szCs w:val="20"/>
        </w:rPr>
        <w:t>Finansinės priemonės įgyvendinimas</w:t>
      </w:r>
    </w:p>
    <w:p w14:paraId="660984D7" w14:textId="77777777" w:rsidR="002A576D" w:rsidRDefault="002A576D" w:rsidP="002A576D">
      <w:pPr>
        <w:pStyle w:val="prastasis1"/>
        <w:spacing w:line="276" w:lineRule="auto"/>
        <w:jc w:val="both"/>
        <w:rPr>
          <w:rFonts w:ascii="Georgia" w:hAnsi="Georgia"/>
          <w:sz w:val="20"/>
          <w:szCs w:val="20"/>
        </w:rPr>
      </w:pPr>
      <w:r>
        <w:rPr>
          <w:rFonts w:ascii="Georgia" w:hAnsi="Georgia"/>
          <w:sz w:val="20"/>
          <w:szCs w:val="20"/>
        </w:rPr>
        <w:t xml:space="preserve">Pažymėtina, kad kadangi </w:t>
      </w:r>
      <w:r w:rsidR="00193A90">
        <w:rPr>
          <w:rFonts w:ascii="Georgia" w:hAnsi="Georgia"/>
          <w:sz w:val="20"/>
          <w:szCs w:val="20"/>
        </w:rPr>
        <w:t xml:space="preserve">investicinio fondo </w:t>
      </w:r>
      <w:r w:rsidR="00B674D2">
        <w:rPr>
          <w:rFonts w:ascii="Georgia" w:hAnsi="Georgia"/>
          <w:sz w:val="20"/>
          <w:szCs w:val="20"/>
        </w:rPr>
        <w:t>ar</w:t>
      </w:r>
      <w:r w:rsidR="00193A90">
        <w:rPr>
          <w:rFonts w:ascii="Georgia" w:hAnsi="Georgia"/>
          <w:sz w:val="20"/>
          <w:szCs w:val="20"/>
        </w:rPr>
        <w:t xml:space="preserve"> </w:t>
      </w:r>
      <w:r>
        <w:rPr>
          <w:rFonts w:ascii="Georgia" w:hAnsi="Georgia"/>
          <w:sz w:val="20"/>
          <w:szCs w:val="20"/>
        </w:rPr>
        <w:t xml:space="preserve">rizikos pasidalijimo fondo steigimas ir įgyvendinimas užims nemažai laiko, kol bus pradedami finansuoti savivaldybių pastatų modernizavimo projektai iš 2014-2020 m. periodo lėšų, bei atsižvelgiant į tai, jog šiuo metu yra didelis susidomėjimas iš potencialių projektų įgyvendintojų, </w:t>
      </w:r>
      <w:r w:rsidRPr="00DA65C2">
        <w:rPr>
          <w:rFonts w:ascii="Georgia" w:hAnsi="Georgia"/>
          <w:b/>
          <w:i/>
          <w:sz w:val="20"/>
          <w:szCs w:val="20"/>
        </w:rPr>
        <w:t>siūloma pirmiausia sukurti finansinę priemonę</w:t>
      </w:r>
      <w:r>
        <w:rPr>
          <w:rFonts w:ascii="Georgia" w:hAnsi="Georgia"/>
          <w:sz w:val="20"/>
          <w:szCs w:val="20"/>
        </w:rPr>
        <w:t xml:space="preserve">, kurios lėšomis galėtų būti pradedami finansuoti savivaldybių viešųjų pastatų modernizavimo projektai. Taip būtų užtikrinamas geresnis rezultatų pasiekimas (didesni energijos sutaupymai periodo pabaigoje), anksčiau pradedama kurti kredito istorija, savivaldybės anksčiau įgytų patirtį įgyvendinant tokio pobūdžio projektus. </w:t>
      </w:r>
    </w:p>
    <w:p w14:paraId="163A06FF" w14:textId="77777777" w:rsidR="00512B6B" w:rsidRDefault="00512B6B" w:rsidP="0049481D">
      <w:pPr>
        <w:jc w:val="both"/>
        <w:rPr>
          <w:rFonts w:ascii="Georgia" w:hAnsi="Georgia" w:cs="Arial"/>
          <w:b/>
          <w:color w:val="000000"/>
          <w:sz w:val="20"/>
          <w:szCs w:val="20"/>
          <w:lang w:val="lt-LT"/>
        </w:rPr>
      </w:pPr>
    </w:p>
    <w:p w14:paraId="4B2B24C6" w14:textId="77777777" w:rsidR="0049481D" w:rsidRPr="00176533" w:rsidRDefault="0049481D" w:rsidP="0049481D">
      <w:pPr>
        <w:jc w:val="both"/>
        <w:rPr>
          <w:rFonts w:ascii="Georgia" w:hAnsi="Georgia" w:cs="Arial"/>
          <w:b/>
          <w:color w:val="000000"/>
          <w:sz w:val="20"/>
          <w:szCs w:val="20"/>
          <w:lang w:val="lt-LT"/>
        </w:rPr>
      </w:pPr>
      <w:r>
        <w:rPr>
          <w:rFonts w:ascii="Georgia" w:hAnsi="Georgia" w:cs="Arial"/>
          <w:b/>
          <w:color w:val="000000"/>
          <w:sz w:val="20"/>
          <w:szCs w:val="20"/>
          <w:lang w:val="lt-LT"/>
        </w:rPr>
        <w:t xml:space="preserve">Finansinės priemonės </w:t>
      </w:r>
      <w:r w:rsidRPr="00176533">
        <w:rPr>
          <w:rFonts w:ascii="Georgia" w:hAnsi="Georgia" w:cs="Arial"/>
          <w:b/>
          <w:color w:val="000000"/>
          <w:sz w:val="20"/>
          <w:szCs w:val="20"/>
          <w:lang w:val="lt-LT"/>
        </w:rPr>
        <w:t>valdytojo paskyrimo alternatyvos</w:t>
      </w:r>
    </w:p>
    <w:p w14:paraId="512EAC5A" w14:textId="77777777" w:rsidR="0049481D" w:rsidRDefault="0049481D" w:rsidP="0049481D">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Savivaldybių viešųjų pastatų renovacijos finansinės priemonės valdymo užduotys pagal rekomenduojamą alternatyvą gali būti pavestos įgyvendinti Bendrųjų nuostatų reglamento 38(4) punkte nurodytoms institucijoms.</w:t>
      </w:r>
    </w:p>
    <w:p w14:paraId="0696CC2B" w14:textId="77777777" w:rsidR="0049481D" w:rsidRDefault="0049481D" w:rsidP="0049481D">
      <w:pPr>
        <w:autoSpaceDE w:val="0"/>
        <w:autoSpaceDN w:val="0"/>
        <w:adjustRightInd w:val="0"/>
        <w:spacing w:after="0"/>
        <w:jc w:val="both"/>
        <w:rPr>
          <w:rFonts w:ascii="Georgia" w:hAnsi="Georgia" w:cs="Georgia"/>
          <w:sz w:val="20"/>
          <w:szCs w:val="20"/>
          <w:lang w:val="lt-LT"/>
        </w:rPr>
      </w:pPr>
    </w:p>
    <w:p w14:paraId="62234E6F" w14:textId="77777777" w:rsidR="0049481D" w:rsidRDefault="0049481D" w:rsidP="0049481D">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11-ame priede analizuojamos septynios finansinės priemonės įgyvendinimo alternatyvos:</w:t>
      </w:r>
    </w:p>
    <w:p w14:paraId="7F84D6BB" w14:textId="77777777" w:rsidR="0049481D" w:rsidRDefault="0049481D" w:rsidP="0049481D">
      <w:pPr>
        <w:pStyle w:val="Sraopastraipa"/>
        <w:numPr>
          <w:ilvl w:val="0"/>
          <w:numId w:val="101"/>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vadovaujančioji institucija investuoja į esamų ar naujai sukurtų juridinių vienetų, skirtų įgyvendinti finansines priemones, kapitalą (38(4)(a) straipsnis) (toliau – I alternatyva);</w:t>
      </w:r>
    </w:p>
    <w:p w14:paraId="262EBF0B" w14:textId="77777777" w:rsidR="0049481D" w:rsidRDefault="0049481D" w:rsidP="0049481D">
      <w:pPr>
        <w:pStyle w:val="Sraopastraipa"/>
        <w:numPr>
          <w:ilvl w:val="0"/>
          <w:numId w:val="101"/>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vadovaujančioji institucija paveda finansinių priemonių įgyvendinimą kitai institucijai. Ši alternatyva skiriama į tris galimybes (38(4)(b) straipsnis):</w:t>
      </w:r>
    </w:p>
    <w:p w14:paraId="6A63CD41" w14:textId="77777777" w:rsidR="0049481D" w:rsidRDefault="0049481D" w:rsidP="0049481D">
      <w:pPr>
        <w:pStyle w:val="Sraopastraipa"/>
        <w:numPr>
          <w:ilvl w:val="1"/>
          <w:numId w:val="101"/>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EIB grupė (38(4)(b)(i) straipsnis) (toliau – II alternatyva);</w:t>
      </w:r>
    </w:p>
    <w:p w14:paraId="11C622AA" w14:textId="77777777" w:rsidR="0049481D" w:rsidRDefault="0049481D" w:rsidP="0049481D">
      <w:pPr>
        <w:pStyle w:val="Sraopastraipa"/>
        <w:numPr>
          <w:ilvl w:val="1"/>
          <w:numId w:val="101"/>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tarptautinės finansų įstaigos, kuriose valstybė yra akcininkė (III alternatyva) (vertinami NIB, EBRD, CEB), valstybėje narėje įsteigtos finansų įstaigos, kurių tikslas – siekti viešųjų interesų kontroliuojant valdžios institucijai (38(4)(b)(ii) straipsnis) (toliau – IV alternatyva); </w:t>
      </w:r>
    </w:p>
    <w:p w14:paraId="792C8462" w14:textId="77777777" w:rsidR="0049481D" w:rsidRDefault="0049481D" w:rsidP="0049481D">
      <w:pPr>
        <w:pStyle w:val="Sraopastraipa"/>
        <w:numPr>
          <w:ilvl w:val="1"/>
          <w:numId w:val="101"/>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viešosios ar privačiosios teisės subjektas (38(4)(b)(iii) straipsnis) (toliau – V alternatyva);</w:t>
      </w:r>
    </w:p>
    <w:p w14:paraId="3BDF9F62" w14:textId="77777777" w:rsidR="0049481D" w:rsidRDefault="0049481D" w:rsidP="0049481D">
      <w:pPr>
        <w:pStyle w:val="Sraopastraipa"/>
        <w:numPr>
          <w:ilvl w:val="0"/>
          <w:numId w:val="101"/>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lastRenderedPageBreak/>
        <w:t>vadovaujančioji institucija įgyvendina finansines priemones tiesiogiai (38(4)(c)) (toliau – VI alternatyva);</w:t>
      </w:r>
    </w:p>
    <w:p w14:paraId="0CF24F24" w14:textId="77777777" w:rsidR="0049481D" w:rsidRDefault="0049481D" w:rsidP="0049481D">
      <w:pPr>
        <w:pStyle w:val="Sraopastraipa"/>
        <w:numPr>
          <w:ilvl w:val="0"/>
          <w:numId w:val="101"/>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vadovaujančioji institucija paveda finansinių priemonių įgyvendinimą dviem institucijoms: EIB ir nacionalinei finansų įstaigai kartu (VII alternatyva).</w:t>
      </w:r>
    </w:p>
    <w:p w14:paraId="46D2D811" w14:textId="77777777" w:rsidR="00512B6B" w:rsidRDefault="00512B6B" w:rsidP="0049481D">
      <w:pPr>
        <w:autoSpaceDE w:val="0"/>
        <w:autoSpaceDN w:val="0"/>
        <w:adjustRightInd w:val="0"/>
        <w:spacing w:after="120"/>
        <w:jc w:val="both"/>
        <w:rPr>
          <w:rFonts w:ascii="Georgia" w:hAnsi="Georgia" w:cs="Georgia"/>
          <w:sz w:val="20"/>
          <w:szCs w:val="20"/>
          <w:lang w:val="lt-LT"/>
        </w:rPr>
      </w:pPr>
    </w:p>
    <w:p w14:paraId="21B7E2AA" w14:textId="77777777" w:rsidR="0049481D" w:rsidRDefault="0049481D" w:rsidP="0049481D">
      <w:pPr>
        <w:autoSpaceDE w:val="0"/>
        <w:autoSpaceDN w:val="0"/>
        <w:adjustRightInd w:val="0"/>
        <w:spacing w:after="120"/>
        <w:jc w:val="both"/>
        <w:rPr>
          <w:rFonts w:ascii="Georgia" w:hAnsi="Georgia" w:cs="Georgia"/>
          <w:sz w:val="20"/>
          <w:szCs w:val="20"/>
          <w:lang w:val="lt-LT"/>
        </w:rPr>
      </w:pPr>
      <w:r>
        <w:rPr>
          <w:rFonts w:ascii="Georgia" w:hAnsi="Georgia" w:cs="Georgia"/>
          <w:sz w:val="20"/>
          <w:szCs w:val="20"/>
          <w:lang w:val="lt-LT"/>
        </w:rPr>
        <w:t>Taip pat preliminariai buvo nagrinėtos ir kitos alternatyvos, pvz., finansinės priemonės įgyvendinimą pavesti EIB ir viešosios ir privačiosios teisės subjektui. Preliminari šių alternatyvų analizė parodė, jog nei viena iš kombinacijų nėra patraukli, todėl į tolimesnę išsamią analizę jos nebuvo įtrauktos.</w:t>
      </w:r>
    </w:p>
    <w:p w14:paraId="267F491C" w14:textId="77777777" w:rsidR="0049481D" w:rsidRDefault="0049481D" w:rsidP="0049481D">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Visos alternatyvos vertinamos pagal vienodus kriterijus. Žemiau nurodomi pasirinkti kriterijai ir pateikiamas jų paaiškinimas:</w:t>
      </w:r>
    </w:p>
    <w:p w14:paraId="7C24773B" w14:textId="77777777" w:rsidR="0049481D" w:rsidRDefault="0049481D" w:rsidP="0049481D">
      <w:pPr>
        <w:pStyle w:val="Sraopastraipa"/>
        <w:numPr>
          <w:ilvl w:val="0"/>
          <w:numId w:val="102"/>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operatyvumas: vertinama kaip operatyviai būtų galima pradėti įgyvendinti alternatyvas;</w:t>
      </w:r>
    </w:p>
    <w:p w14:paraId="1DFF1E41" w14:textId="77777777" w:rsidR="0049481D" w:rsidRDefault="0049481D" w:rsidP="0049481D">
      <w:pPr>
        <w:pStyle w:val="Sraopastraipa"/>
        <w:numPr>
          <w:ilvl w:val="0"/>
          <w:numId w:val="102"/>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įgyvendinimo kaštai: vertinami alternatyvos įgyvendinimo kaštai, tame tarpe pasirengimo įgyvendinti kaštai (pvz., įgyvendinimui reikalingų sistemų ir procedūrų kūrimas);</w:t>
      </w:r>
    </w:p>
    <w:p w14:paraId="5F3854FD" w14:textId="77777777" w:rsidR="0049481D" w:rsidRDefault="0049481D" w:rsidP="0049481D">
      <w:pPr>
        <w:pStyle w:val="Sraopastraipa"/>
        <w:numPr>
          <w:ilvl w:val="0"/>
          <w:numId w:val="102"/>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patirtis: vertinama institucijų/organizacijų patirtis įgyvendinant finansines priemones viešųjų pastatų renovacijos sektoriuose bei patirtis įgyvendinant finansines priemones;</w:t>
      </w:r>
    </w:p>
    <w:p w14:paraId="0F2162A7" w14:textId="77777777" w:rsidR="0049481D" w:rsidRDefault="0049481D" w:rsidP="0049481D">
      <w:pPr>
        <w:pStyle w:val="Sraopastraipa"/>
        <w:numPr>
          <w:ilvl w:val="0"/>
          <w:numId w:val="102"/>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ištekliai: vertinami institucijų/organizacijų turimi žmogiškieji ištekliai;</w:t>
      </w:r>
    </w:p>
    <w:p w14:paraId="0ED253FF" w14:textId="77777777" w:rsidR="0049481D" w:rsidRDefault="0049481D" w:rsidP="0049481D">
      <w:pPr>
        <w:pStyle w:val="Sraopastraipa"/>
        <w:numPr>
          <w:ilvl w:val="0"/>
          <w:numId w:val="102"/>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lankstumas: vertinamos galimybės atsiradus poreikiui reaguoti į pasikeitusias išorės aplinkybes;</w:t>
      </w:r>
    </w:p>
    <w:p w14:paraId="35ED215F" w14:textId="77777777" w:rsidR="0049481D" w:rsidRDefault="0049481D" w:rsidP="0049481D">
      <w:pPr>
        <w:pStyle w:val="Sraopastraipa"/>
        <w:numPr>
          <w:ilvl w:val="0"/>
          <w:numId w:val="102"/>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pasitraukimo rizika: vertinama finansinės priemonės valdytojo pasitraukimo galimybė;</w:t>
      </w:r>
    </w:p>
    <w:p w14:paraId="65261B24" w14:textId="77777777" w:rsidR="0049481D" w:rsidRDefault="0049481D" w:rsidP="0049481D">
      <w:pPr>
        <w:pStyle w:val="Sraopastraipa"/>
        <w:numPr>
          <w:ilvl w:val="0"/>
          <w:numId w:val="102"/>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kompetencijų nacionaliniu lygiu kūrimas: vertinama, alternatyvos įtaka kompetencijų nacionaliniu lygiu kūrimui. Ateityje didės finansinių priemonių svarba ESI lėšų panaudojimo kontekste, todėl svarbu sukurti nacionalinį kompetencijos centrą;</w:t>
      </w:r>
    </w:p>
    <w:p w14:paraId="01EC27EC" w14:textId="77777777" w:rsidR="0049481D" w:rsidRDefault="0049481D" w:rsidP="0049481D">
      <w:pPr>
        <w:pStyle w:val="Sraopastraipa"/>
        <w:numPr>
          <w:ilvl w:val="0"/>
          <w:numId w:val="102"/>
        </w:numPr>
        <w:autoSpaceDE w:val="0"/>
        <w:autoSpaceDN w:val="0"/>
        <w:adjustRightInd w:val="0"/>
        <w:spacing w:after="120"/>
        <w:ind w:left="714" w:hanging="357"/>
        <w:jc w:val="both"/>
        <w:rPr>
          <w:rFonts w:ascii="Georgia" w:hAnsi="Georgia" w:cs="Georgia"/>
          <w:sz w:val="20"/>
          <w:szCs w:val="20"/>
          <w:lang w:val="lt-LT"/>
        </w:rPr>
      </w:pPr>
      <w:r>
        <w:rPr>
          <w:rFonts w:ascii="Georgia" w:hAnsi="Georgia" w:cs="Georgia"/>
          <w:sz w:val="20"/>
          <w:szCs w:val="20"/>
          <w:lang w:val="lt-LT"/>
        </w:rPr>
        <w:t>funkcionalumas: vertinamas funkcionalumas (operatyvumas, bendradarbiavimas su kitomis institucijomis / organizacijomis, suinteresuotomis grupėmis ir t.t.).</w:t>
      </w:r>
    </w:p>
    <w:p w14:paraId="5BC4352A" w14:textId="77777777" w:rsidR="0049481D" w:rsidRDefault="0049481D" w:rsidP="0049481D">
      <w:pPr>
        <w:autoSpaceDE w:val="0"/>
        <w:autoSpaceDN w:val="0"/>
        <w:adjustRightInd w:val="0"/>
        <w:spacing w:after="120"/>
        <w:jc w:val="both"/>
        <w:rPr>
          <w:rFonts w:ascii="Georgia" w:hAnsi="Georgia" w:cs="Georgia"/>
          <w:sz w:val="20"/>
          <w:szCs w:val="20"/>
          <w:lang w:val="lt-LT"/>
        </w:rPr>
      </w:pPr>
      <w:r>
        <w:rPr>
          <w:rFonts w:ascii="Georgia" w:hAnsi="Georgia" w:cs="Georgia"/>
          <w:sz w:val="20"/>
          <w:szCs w:val="20"/>
          <w:lang w:val="lt-LT"/>
        </w:rPr>
        <w:t xml:space="preserve">Pagal kiekvieną kriterijų visoms alternatyvoms suteikiamas įvertinimas nuo 1 iki 3, kur 1 yra žemiausias įvertinimas (pvz., didelių laiko sąnaudų reikalaujanti alternatyva), o 3 – didžiausias (pvz., greitai įgyvendinama alternatyva). Daugiausiai balų surinkusi alternatyva laikoma tinkamiausia. </w:t>
      </w:r>
    </w:p>
    <w:p w14:paraId="11388174" w14:textId="77777777" w:rsidR="0049481D" w:rsidRDefault="0049481D" w:rsidP="0049481D">
      <w:pPr>
        <w:autoSpaceDE w:val="0"/>
        <w:autoSpaceDN w:val="0"/>
        <w:adjustRightInd w:val="0"/>
        <w:spacing w:after="120"/>
        <w:jc w:val="both"/>
        <w:rPr>
          <w:rFonts w:ascii="Georgia" w:hAnsi="Georgia"/>
          <w:color w:val="000000"/>
          <w:sz w:val="20"/>
          <w:szCs w:val="20"/>
          <w:lang w:val="lt-LT"/>
        </w:rPr>
      </w:pPr>
      <w:r>
        <w:rPr>
          <w:rFonts w:ascii="Georgia" w:hAnsi="Georgia" w:cs="Georgia"/>
          <w:sz w:val="20"/>
          <w:szCs w:val="20"/>
          <w:lang w:val="lt-LT"/>
        </w:rPr>
        <w:t xml:space="preserve">Atlikus analizę, daugiausiai balų surinko IV alternatyva (21). </w:t>
      </w:r>
      <w:r>
        <w:rPr>
          <w:rFonts w:ascii="Georgia" w:hAnsi="Georgia"/>
          <w:color w:val="000000"/>
          <w:sz w:val="20"/>
          <w:szCs w:val="20"/>
          <w:lang w:val="lt-LT"/>
        </w:rPr>
        <w:t xml:space="preserve">Ši alternatyva pasižymi didesniu lankstumu ir funkcionalumu nei kitos alternatyvos, taip pat greita įgyvendinimo pradžia (pagal šį kriterijų greitesnė įgyvendinimo pradžia galima tik VI alternatyvos atveju). </w:t>
      </w:r>
    </w:p>
    <w:p w14:paraId="3FCAE68E" w14:textId="77777777" w:rsidR="0049481D" w:rsidRDefault="0049481D" w:rsidP="0049481D">
      <w:pPr>
        <w:autoSpaceDE w:val="0"/>
        <w:autoSpaceDN w:val="0"/>
        <w:adjustRightInd w:val="0"/>
        <w:spacing w:after="120"/>
        <w:jc w:val="both"/>
        <w:rPr>
          <w:rFonts w:ascii="Georgia" w:hAnsi="Georgia"/>
          <w:color w:val="000000"/>
          <w:sz w:val="20"/>
          <w:szCs w:val="20"/>
          <w:lang w:val="lt-LT"/>
        </w:rPr>
      </w:pPr>
      <w:r>
        <w:rPr>
          <w:rFonts w:ascii="Georgia" w:hAnsi="Georgia"/>
          <w:color w:val="000000"/>
          <w:sz w:val="20"/>
          <w:szCs w:val="20"/>
          <w:lang w:val="lt-LT"/>
        </w:rPr>
        <w:t>Alternatyvų su EIB atveju būtų privaloma atrinkti finansinius tarpininkus, kurių atrinkimas užtrunka ilgesnį laiko tarpą. Taip pat nėra aiškus finansinių tarpininkų (bankų) susidomėjimas viešųjų pastatų modernizavimo finansinių priemonių įgyvendinimu, kadangi patirtis įgyvendinant bendrabučių atnaujinimo finansinę priemonę, pasirinkus privačius finansinius tarpininkus nebuvo sėkminga.</w:t>
      </w:r>
    </w:p>
    <w:p w14:paraId="65FB9DE4" w14:textId="77777777" w:rsidR="0049481D" w:rsidRDefault="0049481D" w:rsidP="0049481D">
      <w:pPr>
        <w:autoSpaceDE w:val="0"/>
        <w:autoSpaceDN w:val="0"/>
        <w:adjustRightInd w:val="0"/>
        <w:spacing w:after="120"/>
        <w:jc w:val="both"/>
        <w:rPr>
          <w:rFonts w:ascii="Georgia" w:hAnsi="Georgia"/>
          <w:color w:val="000000"/>
          <w:sz w:val="20"/>
          <w:szCs w:val="20"/>
          <w:lang w:val="lt-LT"/>
        </w:rPr>
      </w:pPr>
      <w:r>
        <w:rPr>
          <w:rFonts w:ascii="Georgia" w:hAnsi="Georgia" w:cs="Georgia"/>
          <w:sz w:val="20"/>
          <w:szCs w:val="20"/>
          <w:lang w:val="lt-LT"/>
        </w:rPr>
        <w:t>Šios alternatyvos atveju, taip pat būtų į</w:t>
      </w:r>
      <w:r>
        <w:rPr>
          <w:rFonts w:ascii="Georgia" w:hAnsi="Georgia"/>
          <w:color w:val="000000"/>
          <w:sz w:val="20"/>
          <w:szCs w:val="20"/>
          <w:lang w:val="lt-LT"/>
        </w:rPr>
        <w:t>gyvendinamas nacionalinio kompetencijų centro kūrimo siekis ir yra maža pasitraukimo iš rinkos rizika.</w:t>
      </w:r>
    </w:p>
    <w:p w14:paraId="00E51889" w14:textId="77777777" w:rsidR="0049481D" w:rsidRDefault="0049481D" w:rsidP="0049481D">
      <w:pPr>
        <w:rPr>
          <w:rFonts w:ascii="Georgia" w:hAnsi="Georgia"/>
          <w:color w:val="000000"/>
          <w:sz w:val="20"/>
          <w:szCs w:val="20"/>
          <w:lang w:val="lt-LT"/>
        </w:rPr>
      </w:pPr>
      <w:r>
        <w:rPr>
          <w:rFonts w:ascii="Georgia" w:hAnsi="Georgia"/>
          <w:color w:val="000000"/>
          <w:sz w:val="20"/>
          <w:szCs w:val="20"/>
          <w:lang w:val="lt-LT"/>
        </w:rPr>
        <w:t>Detali visų alternatyvų analizė pateikiama priede (žr. priedą Nr. 11).</w:t>
      </w:r>
    </w:p>
    <w:p w14:paraId="6FEAF80A" w14:textId="77777777" w:rsidR="00B80731" w:rsidRPr="00AA32EA" w:rsidRDefault="00B80731" w:rsidP="00B80731">
      <w:pPr>
        <w:pStyle w:val="prastasis1"/>
        <w:jc w:val="both"/>
        <w:rPr>
          <w:rFonts w:ascii="Georgia" w:hAnsi="Georgia"/>
          <w:b/>
          <w:sz w:val="20"/>
          <w:szCs w:val="20"/>
        </w:rPr>
      </w:pPr>
      <w:r w:rsidRPr="00AA32EA">
        <w:rPr>
          <w:rFonts w:ascii="Georgia" w:hAnsi="Georgia"/>
          <w:b/>
          <w:sz w:val="20"/>
          <w:szCs w:val="20"/>
        </w:rPr>
        <w:t>Finansinių tarpininkų parinkimas</w:t>
      </w:r>
    </w:p>
    <w:p w14:paraId="243A8149" w14:textId="77777777" w:rsidR="00B80731" w:rsidRPr="00A07762" w:rsidRDefault="00EA70E7" w:rsidP="00B80731">
      <w:pPr>
        <w:jc w:val="both"/>
        <w:rPr>
          <w:rFonts w:ascii="Georgia" w:hAnsi="Georgia"/>
          <w:sz w:val="20"/>
          <w:lang w:val="lt-LT"/>
        </w:rPr>
      </w:pPr>
      <w:r>
        <w:rPr>
          <w:rFonts w:ascii="Georgia" w:hAnsi="Georgia"/>
          <w:sz w:val="20"/>
          <w:lang w:val="lt-LT"/>
        </w:rPr>
        <w:t xml:space="preserve">Ši dalis taikytina, jeigu bus priimtas sprendimas steigti ne finansinę priemonę, o fondų fondą. </w:t>
      </w:r>
      <w:r w:rsidR="00B80731">
        <w:rPr>
          <w:rFonts w:ascii="Georgia" w:hAnsi="Georgia"/>
          <w:sz w:val="20"/>
          <w:lang w:val="lt-LT"/>
        </w:rPr>
        <w:t>Bendrųjų nuostatų reglamento</w:t>
      </w:r>
      <w:r w:rsidR="00B80731" w:rsidRPr="00A07762">
        <w:rPr>
          <w:rFonts w:ascii="Georgia" w:hAnsi="Georgia"/>
          <w:sz w:val="20"/>
          <w:lang w:val="lt-LT"/>
        </w:rPr>
        <w:t xml:space="preserve"> 38 str. 5 dalis numato, kad subjektai, kuriems patikėta įgyvendinti fondų fondą, užduotis gali įgyvendinti patys arba jas patikėti vykdyti finansiniams tarpininkams. Iš to seka išvada, kad Fondo valdytojas (priėmus atitinkamų Fondo organų sprendimus, kaip tai aptarta 4 memorandumo dalyje) galėtų tiesiogiai atrinkinėti finansuojamus projektus, atitinkančius Fondo veiklos tikslus ir investavimo strategiją. Nors </w:t>
      </w:r>
      <w:r w:rsidR="00B80731">
        <w:rPr>
          <w:rFonts w:ascii="Georgia" w:hAnsi="Georgia"/>
          <w:sz w:val="20"/>
          <w:lang w:val="lt-LT"/>
        </w:rPr>
        <w:t>Bendrųjų nuostatų reglamentas</w:t>
      </w:r>
      <w:r w:rsidR="00B80731" w:rsidRPr="00A07762">
        <w:rPr>
          <w:rFonts w:ascii="Georgia" w:hAnsi="Georgia"/>
          <w:sz w:val="20"/>
          <w:lang w:val="lt-LT"/>
        </w:rPr>
        <w:t xml:space="preserve"> toliau nedetalizuoja, kaip ir kokius projektus Fondo valdytojas galėtų finansuoti, tačiau ES struktūrinių fondų valdymo reguliavime yra akcentuojamas skaidrumas, proporcingumas, nediskriminavimas bei interesų konflikto vengimas. Atsižvelgiant į šiuos principus, galima būtų daryti išvadą, kad tiesiogiai atrenkami </w:t>
      </w:r>
      <w:r w:rsidR="00B80731" w:rsidRPr="00A07762">
        <w:rPr>
          <w:rFonts w:ascii="Georgia" w:hAnsi="Georgia"/>
          <w:sz w:val="20"/>
          <w:lang w:val="lt-LT"/>
        </w:rPr>
        <w:lastRenderedPageBreak/>
        <w:t xml:space="preserve">projektai neturėtų tiesiogiai konkuruoti su projektais, kurių įgyvendinimui yra atrenkami finansiniai tarpininkai. Fondo valdytojas, kuris nustato projektų finansavimo sąlygas ir kontroliuoja atrinktus finansinius tarpininkus, neturėtų konkuruoti su tokiais finansiniais tarpininkais dėl tų pačių projektų. Jei tiesioginis finansavimas būtų taikomas kitoms finansavimo kryptims ar kitoms užduotims nei užduotys, kurių įgyvendinimui yra atrinkti finansiniai tarpininkai, interesų konfliktas nekiltų. </w:t>
      </w:r>
    </w:p>
    <w:p w14:paraId="737E90E1" w14:textId="77777777" w:rsidR="00B80731" w:rsidRDefault="00B80731" w:rsidP="00B80731">
      <w:pPr>
        <w:jc w:val="both"/>
        <w:rPr>
          <w:rFonts w:ascii="Georgia" w:eastAsia="Times New Roman" w:hAnsi="Georgia" w:cs="Times New Roman"/>
          <w:i/>
          <w:sz w:val="20"/>
          <w:szCs w:val="20"/>
          <w:lang w:val="lt-LT" w:eastAsia="lt-LT"/>
        </w:rPr>
      </w:pPr>
      <w:r w:rsidRPr="00A07762">
        <w:rPr>
          <w:rFonts w:ascii="Georgia" w:hAnsi="Georgia"/>
          <w:sz w:val="20"/>
          <w:lang w:val="lt-LT"/>
        </w:rPr>
        <w:t xml:space="preserve">Atsižvelgiant į tai, jog ankstesniame programavimo laikotarpyje ne visi finansiniai tarpininkai aktyviai dalyvavo vykdant prisiimtus įsipareigojimus numatoma, jog esant nepakankamam finansinių tarpininkų aktyvumui, fondo valdytojas gali pats dalyvauti finansinių </w:t>
      </w:r>
      <w:r>
        <w:rPr>
          <w:rFonts w:ascii="Georgia" w:hAnsi="Georgia"/>
          <w:sz w:val="20"/>
          <w:lang w:val="lt-LT"/>
        </w:rPr>
        <w:t>priemonių</w:t>
      </w:r>
      <w:r w:rsidRPr="00A07762">
        <w:rPr>
          <w:rFonts w:ascii="Georgia" w:hAnsi="Georgia"/>
          <w:sz w:val="20"/>
          <w:lang w:val="lt-LT"/>
        </w:rPr>
        <w:t xml:space="preserve"> įgyvendinime tomis pačiomis sąlygomis, kuriomis dalyvauja atrinkti finansiniai tarpininkai.</w:t>
      </w:r>
    </w:p>
    <w:p w14:paraId="5988ECE4" w14:textId="77777777" w:rsidR="00B80731" w:rsidRDefault="00251301" w:rsidP="002A576D">
      <w:pPr>
        <w:pStyle w:val="prastasis1"/>
        <w:spacing w:line="276" w:lineRule="auto"/>
        <w:jc w:val="both"/>
        <w:rPr>
          <w:rFonts w:ascii="Georgia" w:hAnsi="Georgia"/>
          <w:sz w:val="20"/>
          <w:szCs w:val="20"/>
        </w:rPr>
      </w:pPr>
      <w:r>
        <w:rPr>
          <w:rFonts w:ascii="Georgia" w:hAnsi="Georgia"/>
          <w:sz w:val="20"/>
          <w:szCs w:val="20"/>
        </w:rPr>
        <w:t>Žemiau yra detaliau aprašytos Aplinkos ir Finansų ministerijai rekomenduotinos dvi įgyvendinimo alternatyvos, kur</w:t>
      </w:r>
      <w:r w:rsidR="009A4833">
        <w:rPr>
          <w:rFonts w:ascii="Georgia" w:hAnsi="Georgia"/>
          <w:sz w:val="20"/>
          <w:szCs w:val="20"/>
        </w:rPr>
        <w:t>ias rekomenduotina pasirinkti priklausomai nuo to kuris fondas – investicinis (kaip tai aprašyta 7.3.4.3. punkte) ar  rizikos pasidalijimo (kaip tai aprašyta 7.3</w:t>
      </w:r>
      <w:r w:rsidR="002B204F">
        <w:rPr>
          <w:rFonts w:ascii="Georgia" w:hAnsi="Georgia"/>
          <w:sz w:val="20"/>
          <w:szCs w:val="20"/>
        </w:rPr>
        <w:t>.4.2. punkte</w:t>
      </w:r>
      <w:r w:rsidR="009A4833">
        <w:rPr>
          <w:rFonts w:ascii="Georgia" w:hAnsi="Georgia"/>
          <w:sz w:val="20"/>
          <w:szCs w:val="20"/>
        </w:rPr>
        <w:t>) - bus įkurtas pirmas.</w:t>
      </w:r>
    </w:p>
    <w:p w14:paraId="74F4C90E" w14:textId="77777777" w:rsidR="002B204F" w:rsidRPr="00BF4FC1" w:rsidRDefault="008B59C8" w:rsidP="002B204F">
      <w:pPr>
        <w:pStyle w:val="Antrat2"/>
        <w:numPr>
          <w:ilvl w:val="4"/>
          <w:numId w:val="2"/>
        </w:numPr>
        <w:spacing w:after="240"/>
        <w:rPr>
          <w:lang w:val="lt-LT"/>
        </w:rPr>
      </w:pPr>
      <w:bookmarkStart w:id="432" w:name="_Toc417378465"/>
      <w:r>
        <w:rPr>
          <w:lang w:val="lt-LT"/>
        </w:rPr>
        <w:t>Investicinis fondas išperkantis ateities pinigų srautus</w:t>
      </w:r>
      <w:bookmarkEnd w:id="432"/>
      <w:r w:rsidR="002B204F" w:rsidRPr="00BF4FC1">
        <w:rPr>
          <w:lang w:val="lt-LT"/>
        </w:rPr>
        <w:t xml:space="preserve"> </w:t>
      </w:r>
    </w:p>
    <w:p w14:paraId="6DD2234E" w14:textId="77777777" w:rsidR="008B59C8" w:rsidRDefault="008B59C8" w:rsidP="008B59C8">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Pasirinkus šią alternatyvą rekomenduojama 2014-2020 m. lėšas investuoti į </w:t>
      </w:r>
      <w:r w:rsidR="00EA70E7">
        <w:rPr>
          <w:rFonts w:ascii="Georgia" w:eastAsia="Times New Roman" w:hAnsi="Georgia" w:cs="Times New Roman"/>
          <w:sz w:val="20"/>
          <w:szCs w:val="20"/>
          <w:lang w:val="lt-LT" w:eastAsia="lt-LT"/>
        </w:rPr>
        <w:t xml:space="preserve">finansinę priemonę arba </w:t>
      </w:r>
      <w:r>
        <w:rPr>
          <w:rFonts w:ascii="Georgia" w:eastAsia="Times New Roman" w:hAnsi="Georgia" w:cs="Times New Roman"/>
          <w:sz w:val="20"/>
          <w:szCs w:val="20"/>
          <w:lang w:val="lt-LT" w:eastAsia="lt-LT"/>
        </w:rPr>
        <w:t>fondą (sąskaitų rinkinį finansų įstaigoje) ir</w:t>
      </w:r>
      <w:r w:rsidR="005D7E32">
        <w:rPr>
          <w:rFonts w:ascii="Georgia" w:eastAsia="Times New Roman" w:hAnsi="Georgia" w:cs="Times New Roman"/>
          <w:sz w:val="20"/>
          <w:szCs w:val="20"/>
          <w:lang w:val="lt-LT" w:eastAsia="lt-LT"/>
        </w:rPr>
        <w:t xml:space="preserve"> steigti</w:t>
      </w:r>
      <w:r>
        <w:rPr>
          <w:rFonts w:ascii="Georgia" w:eastAsia="Times New Roman" w:hAnsi="Georgia" w:cs="Times New Roman"/>
          <w:sz w:val="20"/>
          <w:szCs w:val="20"/>
          <w:lang w:val="lt-LT" w:eastAsia="lt-LT"/>
        </w:rPr>
        <w:t xml:space="preserve"> investicin</w:t>
      </w:r>
      <w:r w:rsidR="005D7E32">
        <w:rPr>
          <w:rFonts w:ascii="Georgia" w:eastAsia="Times New Roman" w:hAnsi="Georgia" w:cs="Times New Roman"/>
          <w:sz w:val="20"/>
          <w:szCs w:val="20"/>
          <w:lang w:val="lt-LT" w:eastAsia="lt-LT"/>
        </w:rPr>
        <w:t xml:space="preserve">į </w:t>
      </w:r>
      <w:r>
        <w:rPr>
          <w:rFonts w:ascii="Georgia" w:eastAsia="Times New Roman" w:hAnsi="Georgia" w:cs="Times New Roman"/>
          <w:sz w:val="20"/>
          <w:szCs w:val="20"/>
          <w:lang w:val="lt-LT" w:eastAsia="lt-LT"/>
        </w:rPr>
        <w:t>fond</w:t>
      </w:r>
      <w:r w:rsidR="005D7E32">
        <w:rPr>
          <w:rFonts w:ascii="Georgia" w:eastAsia="Times New Roman" w:hAnsi="Georgia" w:cs="Times New Roman"/>
          <w:sz w:val="20"/>
          <w:szCs w:val="20"/>
          <w:lang w:val="lt-LT" w:eastAsia="lt-LT"/>
        </w:rPr>
        <w:t>ą</w:t>
      </w:r>
      <w:r>
        <w:rPr>
          <w:rFonts w:ascii="Georgia" w:eastAsia="Times New Roman" w:hAnsi="Georgia" w:cs="Times New Roman"/>
          <w:sz w:val="20"/>
          <w:szCs w:val="20"/>
          <w:lang w:val="lt-LT" w:eastAsia="lt-LT"/>
        </w:rPr>
        <w:t xml:space="preserve"> (7.3.4.3 alternatyva).</w:t>
      </w:r>
      <w:r w:rsidR="005D7E32">
        <w:rPr>
          <w:rFonts w:ascii="Georgia" w:eastAsia="Times New Roman" w:hAnsi="Georgia" w:cs="Times New Roman"/>
          <w:sz w:val="20"/>
          <w:szCs w:val="20"/>
          <w:lang w:val="lt-LT" w:eastAsia="lt-LT"/>
        </w:rPr>
        <w:t xml:space="preserve"> </w:t>
      </w:r>
      <w:r>
        <w:rPr>
          <w:rFonts w:ascii="Georgia" w:eastAsia="Times New Roman" w:hAnsi="Georgia" w:cs="Times New Roman"/>
          <w:sz w:val="20"/>
          <w:szCs w:val="20"/>
          <w:lang w:val="lt-LT" w:eastAsia="lt-LT"/>
        </w:rPr>
        <w:t xml:space="preserve">Ši schema pateikiama žemiau. </w:t>
      </w:r>
    </w:p>
    <w:p w14:paraId="31A1660A" w14:textId="77777777" w:rsidR="008B59C8" w:rsidRDefault="00EA70E7" w:rsidP="008B59C8">
      <w:pPr>
        <w:keepNext/>
        <w:jc w:val="both"/>
        <w:rPr>
          <w:rFonts w:ascii="Georgia" w:eastAsia="PMingLiU" w:hAnsi="Georgia" w:cs="Times New Roman"/>
          <w:b/>
          <w:bCs/>
          <w:color w:val="A32020"/>
          <w:sz w:val="20"/>
          <w:szCs w:val="18"/>
          <w:lang w:val="lt-LT"/>
        </w:rPr>
      </w:pPr>
      <w:r w:rsidRPr="00DC6825">
        <w:rPr>
          <w:rFonts w:ascii="Georgia" w:eastAsia="PMingLiU" w:hAnsi="Georgia" w:cs="Times New Roman"/>
          <w:b/>
          <w:bCs/>
          <w:color w:val="A32020"/>
          <w:sz w:val="20"/>
          <w:szCs w:val="18"/>
          <w:lang w:val="lt-LT"/>
        </w:rPr>
        <w:object w:dxaOrig="15480" w:dyaOrig="11805" w14:anchorId="0C57C93D">
          <v:shape id="_x0000_i1039" type="#_x0000_t75" style="width:454.35pt;height:344.1pt" o:ole="">
            <v:imagedata r:id="rId129" o:title=""/>
          </v:shape>
          <o:OLEObject Type="Embed" ProgID="Visio.Drawing.15" ShapeID="_x0000_i1039" DrawAspect="Content" ObjectID="_1572853853" r:id="rId130"/>
        </w:object>
      </w:r>
    </w:p>
    <w:p w14:paraId="17D46D78" w14:textId="6BA269AD" w:rsidR="008B59C8" w:rsidRPr="00100B18" w:rsidRDefault="008B59C8" w:rsidP="008B59C8">
      <w:pPr>
        <w:pStyle w:val="Antrat"/>
        <w:spacing w:line="276" w:lineRule="auto"/>
        <w:rPr>
          <w:lang w:val="lt-LT"/>
        </w:rPr>
      </w:pPr>
      <w:bookmarkStart w:id="433" w:name="_Toc417378350"/>
      <w:r w:rsidRPr="005C1F29">
        <w:rPr>
          <w:lang w:val="lt-LT"/>
        </w:rPr>
        <w:t xml:space="preserve">Paveikslas </w:t>
      </w:r>
      <w:r w:rsidRPr="00DA65C2">
        <w:rPr>
          <w:lang w:val="lt-LT"/>
        </w:rPr>
        <w:fldChar w:fldCharType="begin"/>
      </w:r>
      <w:r w:rsidRPr="005C1F29">
        <w:rPr>
          <w:lang w:val="lt-LT"/>
        </w:rPr>
        <w:instrText xml:space="preserve"> SEQ Paveikslas \* ARABIC </w:instrText>
      </w:r>
      <w:r w:rsidRPr="00DA65C2">
        <w:rPr>
          <w:lang w:val="lt-LT"/>
        </w:rPr>
        <w:fldChar w:fldCharType="separate"/>
      </w:r>
      <w:r w:rsidR="00AA3082">
        <w:rPr>
          <w:noProof/>
          <w:lang w:val="lt-LT"/>
        </w:rPr>
        <w:t>73</w:t>
      </w:r>
      <w:r w:rsidRPr="00DA65C2">
        <w:rPr>
          <w:lang w:val="lt-LT"/>
        </w:rPr>
        <w:fldChar w:fldCharType="end"/>
      </w:r>
      <w:r w:rsidRPr="005C1F29">
        <w:rPr>
          <w:lang w:val="lt-LT"/>
        </w:rPr>
        <w:t xml:space="preserve">. 2014-2020 lėšų investavimas į </w:t>
      </w:r>
      <w:r w:rsidR="00EA70E7">
        <w:rPr>
          <w:lang w:val="lt-LT"/>
        </w:rPr>
        <w:t xml:space="preserve">finansinę priemonę ar </w:t>
      </w:r>
      <w:r w:rsidRPr="005C1F29">
        <w:rPr>
          <w:lang w:val="lt-LT"/>
        </w:rPr>
        <w:t>fondų fondą (sąskaitų rinkinį finansų įstaigoje) ir investicinio fondo steigimas Lietuvoje</w:t>
      </w:r>
      <w:bookmarkEnd w:id="433"/>
    </w:p>
    <w:p w14:paraId="4B785448" w14:textId="77777777" w:rsidR="008B59C8" w:rsidRDefault="008B59C8" w:rsidP="008B59C8">
      <w:pPr>
        <w:jc w:val="both"/>
        <w:rPr>
          <w:rFonts w:ascii="Georgia" w:hAnsi="Georgia" w:cs="Arial"/>
          <w:color w:val="000000"/>
          <w:sz w:val="20"/>
          <w:szCs w:val="20"/>
          <w:lang w:val="lt-LT"/>
        </w:rPr>
      </w:pPr>
      <w:r>
        <w:rPr>
          <w:rFonts w:ascii="Georgia" w:eastAsia="Times New Roman" w:hAnsi="Georgia" w:cs="Times New Roman"/>
          <w:sz w:val="20"/>
          <w:szCs w:val="20"/>
          <w:lang w:val="lt-LT" w:eastAsia="lt-LT"/>
        </w:rPr>
        <w:t xml:space="preserve">Vertinant įvairias alternatyvas fondų fondo valdytojo paskyrimui, </w:t>
      </w:r>
      <w:r>
        <w:rPr>
          <w:rFonts w:ascii="Georgia" w:hAnsi="Georgia" w:cs="Arial"/>
          <w:color w:val="000000"/>
          <w:sz w:val="20"/>
          <w:szCs w:val="20"/>
          <w:lang w:val="lt-LT"/>
        </w:rPr>
        <w:t>kaip numatyta Bendrųjų nuostatų reglamento 38.4 (b) dalyje, vadovaujančiajai institucijai yra sudarytos kelios galimybės atrinkti fondų fondo valdytoją. Pagal šias galimybes turėtų būti įvertinama, kokie potencialiai fondų fondo valdytojai, veikiantys rinkoje, galėtų būti paskirti fondo valdytoju.</w:t>
      </w:r>
    </w:p>
    <w:p w14:paraId="62463721" w14:textId="77777777" w:rsidR="008B59C8" w:rsidRPr="00176533" w:rsidRDefault="008B59C8" w:rsidP="008B59C8">
      <w:pPr>
        <w:jc w:val="both"/>
        <w:rPr>
          <w:rFonts w:ascii="Georgia" w:hAnsi="Georgia" w:cs="Arial"/>
          <w:b/>
          <w:color w:val="000000"/>
          <w:sz w:val="20"/>
          <w:szCs w:val="20"/>
          <w:lang w:val="lt-LT"/>
        </w:rPr>
      </w:pPr>
      <w:r w:rsidRPr="00176533">
        <w:rPr>
          <w:rFonts w:ascii="Georgia" w:hAnsi="Georgia" w:cs="Arial"/>
          <w:b/>
          <w:color w:val="000000"/>
          <w:sz w:val="20"/>
          <w:szCs w:val="20"/>
          <w:lang w:val="lt-LT"/>
        </w:rPr>
        <w:t>Fondų fondo valdytojo paskyrimo alternatyvos</w:t>
      </w:r>
    </w:p>
    <w:p w14:paraId="3ABDD92F" w14:textId="77777777" w:rsidR="008B59C8" w:rsidRDefault="0049481D" w:rsidP="008B59C8">
      <w:pPr>
        <w:rPr>
          <w:rFonts w:ascii="Georgia" w:hAnsi="Georgia"/>
          <w:color w:val="000000"/>
          <w:sz w:val="20"/>
          <w:szCs w:val="20"/>
          <w:lang w:val="lt-LT"/>
        </w:rPr>
      </w:pPr>
      <w:r>
        <w:rPr>
          <w:rFonts w:ascii="Georgia" w:hAnsi="Georgia" w:cs="Georgia"/>
          <w:sz w:val="20"/>
          <w:szCs w:val="20"/>
          <w:lang w:val="lt-LT"/>
        </w:rPr>
        <w:t>Šios alternatyvos atveju finansinė priemonė galėtų būti prijungta jau prie egzistuojančio fondų fondo arba įsteigiamas naujas fondų fondas, kurio valdytojas galėtų būti atrinktas vadovaujantis 10 priede aprašyta analize ir 7.2.4.4. skyriuje aprašyta tvarka.</w:t>
      </w:r>
    </w:p>
    <w:p w14:paraId="2041C501" w14:textId="77777777" w:rsidR="008B59C8" w:rsidRPr="00CC475A" w:rsidRDefault="008B59C8" w:rsidP="008B59C8">
      <w:pPr>
        <w:jc w:val="both"/>
        <w:rPr>
          <w:rFonts w:ascii="Georgia" w:hAnsi="Georgia" w:cs="Arial"/>
          <w:b/>
          <w:color w:val="000000"/>
          <w:sz w:val="20"/>
          <w:szCs w:val="20"/>
          <w:lang w:val="lt-LT"/>
        </w:rPr>
      </w:pPr>
      <w:r w:rsidRPr="00CC475A">
        <w:rPr>
          <w:rFonts w:ascii="Georgia" w:hAnsi="Georgia" w:cs="Arial"/>
          <w:b/>
          <w:color w:val="000000"/>
          <w:sz w:val="20"/>
          <w:szCs w:val="20"/>
          <w:lang w:val="lt-LT"/>
        </w:rPr>
        <w:t xml:space="preserve">Investuotojai </w:t>
      </w:r>
    </w:p>
    <w:p w14:paraId="162F848B" w14:textId="77777777" w:rsidR="008B59C8" w:rsidRDefault="008B59C8" w:rsidP="008B59C8">
      <w:pPr>
        <w:jc w:val="both"/>
        <w:rPr>
          <w:rFonts w:ascii="Georgia" w:hAnsi="Georgia" w:cs="Arial"/>
          <w:color w:val="000000"/>
          <w:sz w:val="20"/>
          <w:szCs w:val="20"/>
          <w:lang w:val="lt-LT"/>
        </w:rPr>
      </w:pPr>
      <w:r>
        <w:rPr>
          <w:rFonts w:ascii="Georgia" w:hAnsi="Georgia" w:cs="Arial"/>
          <w:color w:val="000000"/>
          <w:sz w:val="20"/>
          <w:szCs w:val="20"/>
          <w:lang w:val="lt-LT"/>
        </w:rPr>
        <w:t xml:space="preserve">Pagrindinis investicinio fondo kūrimo tikslas – pritraukti kuo daugiau privačių, institucinių investuotojų. Šio ex ante vertinimo atlikimo metu buvo apklausiami įvairūs potencialūs investuotojai. Dauguma investuotojų buvo susidomėję alternatyva </w:t>
      </w:r>
      <w:r w:rsidR="00D81B68">
        <w:rPr>
          <w:rFonts w:ascii="Georgia" w:hAnsi="Georgia" w:cs="Arial"/>
          <w:color w:val="000000"/>
          <w:sz w:val="20"/>
          <w:szCs w:val="20"/>
          <w:lang w:val="lt-LT"/>
        </w:rPr>
        <w:t>investuoti į privatų investicinį fondą išperkantį ateities pinigų srautus arba patiems išpirkti ateities pinigų srautus</w:t>
      </w:r>
      <w:r>
        <w:rPr>
          <w:rFonts w:ascii="Georgia" w:hAnsi="Georgia" w:cs="Arial"/>
          <w:color w:val="000000"/>
          <w:sz w:val="20"/>
          <w:szCs w:val="20"/>
          <w:lang w:val="lt-LT"/>
        </w:rPr>
        <w:t xml:space="preserve">. </w:t>
      </w:r>
    </w:p>
    <w:p w14:paraId="37FC7F6B" w14:textId="77777777" w:rsidR="008B59C8" w:rsidRDefault="008B59C8" w:rsidP="008B59C8">
      <w:pPr>
        <w:jc w:val="both"/>
        <w:rPr>
          <w:rFonts w:ascii="Georgia" w:hAnsi="Georgia" w:cs="Arial"/>
          <w:color w:val="000000"/>
          <w:sz w:val="20"/>
          <w:szCs w:val="20"/>
          <w:lang w:val="lt-LT"/>
        </w:rPr>
      </w:pPr>
      <w:r>
        <w:rPr>
          <w:rFonts w:ascii="Georgia" w:hAnsi="Georgia" w:cs="Arial"/>
          <w:color w:val="000000"/>
          <w:sz w:val="20"/>
          <w:szCs w:val="20"/>
          <w:lang w:val="lt-LT"/>
        </w:rPr>
        <w:t xml:space="preserve">Be to, dauguma potencialių investuotojų pažymėjo, jog investicinis fondas įgytų daug didesnį patrauklumą ir patikimumą, jeigu šio fondo veikloje dalyvautų tarptautinė finansų institucija, nes investuotojų nuomone, tokiu būdu būtų sumažinama politinė rizika, sutartys su investuotojais tikėtina būtų standartizuotos bei atitiktų tarptautinę praktiką ir tai būtų efektyvus būdas pritraukti didesnį kiekį investicijų greičiau. </w:t>
      </w:r>
      <w:r w:rsidR="00D81B68">
        <w:rPr>
          <w:rFonts w:ascii="Georgia" w:hAnsi="Georgia" w:cs="Arial"/>
          <w:color w:val="000000"/>
          <w:sz w:val="20"/>
          <w:szCs w:val="20"/>
          <w:lang w:val="lt-LT"/>
        </w:rPr>
        <w:t>D</w:t>
      </w:r>
      <w:r>
        <w:rPr>
          <w:rFonts w:ascii="Georgia" w:hAnsi="Georgia" w:cs="Arial"/>
          <w:color w:val="000000"/>
          <w:sz w:val="20"/>
          <w:szCs w:val="20"/>
          <w:lang w:val="lt-LT"/>
        </w:rPr>
        <w:t xml:space="preserve">auguma tarptautinių finansų institucijų išmano įvairių investicinių fondų </w:t>
      </w:r>
      <w:r>
        <w:rPr>
          <w:rFonts w:ascii="Georgia" w:hAnsi="Georgia" w:cs="Arial"/>
          <w:color w:val="000000"/>
          <w:sz w:val="20"/>
          <w:szCs w:val="20"/>
          <w:lang w:val="lt-LT"/>
        </w:rPr>
        <w:lastRenderedPageBreak/>
        <w:t xml:space="preserve">veiklos principus, todėl tai investiciniam fondui suteiktų stabilumo, gerintų veiklos efektyvumą, didintų investuotojų pasitikėjimą. </w:t>
      </w:r>
    </w:p>
    <w:p w14:paraId="6CB10B2D" w14:textId="77777777" w:rsidR="008B59C8" w:rsidRDefault="008B59C8" w:rsidP="008B59C8">
      <w:pPr>
        <w:jc w:val="both"/>
        <w:rPr>
          <w:rFonts w:ascii="Georgia" w:hAnsi="Georgia" w:cs="Arial"/>
          <w:color w:val="000000"/>
          <w:sz w:val="20"/>
          <w:szCs w:val="20"/>
          <w:lang w:val="lt-LT"/>
        </w:rPr>
      </w:pPr>
      <w:r w:rsidRPr="00CC475A">
        <w:rPr>
          <w:rFonts w:ascii="Georgia" w:hAnsi="Georgia" w:cs="Arial"/>
          <w:color w:val="000000"/>
          <w:sz w:val="20"/>
          <w:szCs w:val="20"/>
          <w:lang w:val="lt-LT"/>
        </w:rPr>
        <w:t xml:space="preserve">Tarptautinės finansų institucijos, su kuriomis būtų galima pradėti derybas dėl dalyvavimo investicinio fondo veikloje, yra šios: Europos plėtros ir rekonstrukcijos bankas (ERPB), Šiaurės investicijų bankas, Europos investicijų bankas. ERPB yra pagrindinė institucija, kuri įvairiose šalyse skatina ESCO rinkos plėtrą ir intensyviai dalyvauja finansuojant tokius projektus. ERPB apklausų metu yra išsakiusi, jog į tokį investicinį fondą galėtų arba investuoti, arba suteikti paskolą. ERPB pažymėjo, jog paskolos tokiam fondui būtų teikiamos rinkos palūkanų normomis, o investicijos į kapitalą reikalautų 15 proc. metinės grąžos. Bet kokiu atveju, pradėjus dialogą su ERPB dėl dalyvavimo investicinio fondo veikloje būtų deramasi dėl konkretesnių investavimo sąlygų. </w:t>
      </w:r>
    </w:p>
    <w:p w14:paraId="5F06BF59" w14:textId="77777777" w:rsidR="008B59C8" w:rsidRPr="00CC475A" w:rsidRDefault="008B59C8" w:rsidP="008B59C8">
      <w:pPr>
        <w:jc w:val="both"/>
        <w:rPr>
          <w:rFonts w:ascii="Georgia" w:eastAsia="Times New Roman" w:hAnsi="Georgia" w:cs="Times New Roman"/>
          <w:b/>
          <w:sz w:val="20"/>
          <w:szCs w:val="20"/>
          <w:lang w:val="lt-LT" w:eastAsia="lt-LT"/>
        </w:rPr>
      </w:pPr>
      <w:r w:rsidRPr="00CC475A">
        <w:rPr>
          <w:rFonts w:ascii="Georgia" w:eastAsia="Times New Roman" w:hAnsi="Georgia" w:cs="Times New Roman"/>
          <w:b/>
          <w:sz w:val="20"/>
          <w:szCs w:val="20"/>
          <w:lang w:val="lt-LT" w:eastAsia="lt-LT"/>
        </w:rPr>
        <w:t>Kūrimo eiga</w:t>
      </w:r>
    </w:p>
    <w:p w14:paraId="20E798DE" w14:textId="70C7AFF7" w:rsidR="008B59C8" w:rsidRDefault="00D81B68" w:rsidP="008B59C8">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Ši alternatyva yra įgyvendinama</w:t>
      </w:r>
      <w:r w:rsidR="008B59C8">
        <w:rPr>
          <w:rFonts w:ascii="Georgia" w:eastAsia="Times New Roman" w:hAnsi="Georgia" w:cs="Times New Roman"/>
          <w:sz w:val="20"/>
          <w:szCs w:val="20"/>
          <w:lang w:val="lt-LT" w:eastAsia="lt-LT"/>
        </w:rPr>
        <w:t xml:space="preserve"> etapais: pirmiausia panaudojant ESI fondų lėšas kur</w:t>
      </w:r>
      <w:r w:rsidR="00604B71">
        <w:rPr>
          <w:rFonts w:ascii="Georgia" w:eastAsia="Times New Roman" w:hAnsi="Georgia" w:cs="Times New Roman"/>
          <w:sz w:val="20"/>
          <w:szCs w:val="20"/>
          <w:lang w:val="lt-LT" w:eastAsia="lt-LT"/>
        </w:rPr>
        <w:t>i</w:t>
      </w:r>
      <w:r>
        <w:rPr>
          <w:rFonts w:ascii="Georgia" w:eastAsia="Times New Roman" w:hAnsi="Georgia" w:cs="Times New Roman"/>
          <w:sz w:val="20"/>
          <w:szCs w:val="20"/>
          <w:lang w:val="lt-LT" w:eastAsia="lt-LT"/>
        </w:rPr>
        <w:t>ama</w:t>
      </w:r>
      <w:r w:rsidR="008B59C8">
        <w:rPr>
          <w:rFonts w:ascii="Georgia" w:eastAsia="Times New Roman" w:hAnsi="Georgia" w:cs="Times New Roman"/>
          <w:sz w:val="20"/>
          <w:szCs w:val="20"/>
          <w:lang w:val="lt-LT" w:eastAsia="lt-LT"/>
        </w:rPr>
        <w:t xml:space="preserve"> finansin</w:t>
      </w:r>
      <w:r>
        <w:rPr>
          <w:rFonts w:ascii="Georgia" w:eastAsia="Times New Roman" w:hAnsi="Georgia" w:cs="Times New Roman"/>
          <w:sz w:val="20"/>
          <w:szCs w:val="20"/>
          <w:lang w:val="lt-LT" w:eastAsia="lt-LT"/>
        </w:rPr>
        <w:t>ė</w:t>
      </w:r>
      <w:r w:rsidR="008B59C8">
        <w:rPr>
          <w:rFonts w:ascii="Georgia" w:eastAsia="Times New Roman" w:hAnsi="Georgia" w:cs="Times New Roman"/>
          <w:sz w:val="20"/>
          <w:szCs w:val="20"/>
          <w:lang w:val="lt-LT" w:eastAsia="lt-LT"/>
        </w:rPr>
        <w:t xml:space="preserve"> priemon</w:t>
      </w:r>
      <w:r>
        <w:rPr>
          <w:rFonts w:ascii="Georgia" w:eastAsia="Times New Roman" w:hAnsi="Georgia" w:cs="Times New Roman"/>
          <w:sz w:val="20"/>
          <w:szCs w:val="20"/>
          <w:lang w:val="lt-LT" w:eastAsia="lt-LT"/>
        </w:rPr>
        <w:t>ė</w:t>
      </w:r>
      <w:r w:rsidR="008B59C8">
        <w:rPr>
          <w:rFonts w:ascii="Georgia" w:eastAsia="Times New Roman" w:hAnsi="Georgia" w:cs="Times New Roman"/>
          <w:sz w:val="20"/>
          <w:szCs w:val="20"/>
          <w:lang w:val="lt-LT" w:eastAsia="lt-LT"/>
        </w:rPr>
        <w:t xml:space="preserve"> </w:t>
      </w:r>
      <w:r>
        <w:rPr>
          <w:rFonts w:ascii="Georgia" w:eastAsia="Times New Roman" w:hAnsi="Georgia" w:cs="Times New Roman"/>
          <w:sz w:val="20"/>
          <w:szCs w:val="20"/>
          <w:lang w:val="lt-LT" w:eastAsia="lt-LT"/>
        </w:rPr>
        <w:t>ir/ar</w:t>
      </w:r>
      <w:r w:rsidR="008B59C8">
        <w:rPr>
          <w:rFonts w:ascii="Georgia" w:eastAsia="Times New Roman" w:hAnsi="Georgia" w:cs="Times New Roman"/>
          <w:sz w:val="20"/>
          <w:szCs w:val="20"/>
          <w:lang w:val="lt-LT" w:eastAsia="lt-LT"/>
        </w:rPr>
        <w:t xml:space="preserve"> fondų fond</w:t>
      </w:r>
      <w:r>
        <w:rPr>
          <w:rFonts w:ascii="Georgia" w:eastAsia="Times New Roman" w:hAnsi="Georgia" w:cs="Times New Roman"/>
          <w:sz w:val="20"/>
          <w:szCs w:val="20"/>
          <w:lang w:val="lt-LT" w:eastAsia="lt-LT"/>
        </w:rPr>
        <w:t>as</w:t>
      </w:r>
      <w:r w:rsidR="008B59C8">
        <w:rPr>
          <w:rFonts w:ascii="Georgia" w:eastAsia="Times New Roman" w:hAnsi="Georgia" w:cs="Times New Roman"/>
          <w:sz w:val="20"/>
          <w:szCs w:val="20"/>
          <w:lang w:val="lt-LT" w:eastAsia="lt-LT"/>
        </w:rPr>
        <w:t>, kuris pradeda teikti paskolas</w:t>
      </w:r>
      <w:r>
        <w:rPr>
          <w:rFonts w:ascii="Georgia" w:eastAsia="Times New Roman" w:hAnsi="Georgia" w:cs="Times New Roman"/>
          <w:sz w:val="20"/>
          <w:szCs w:val="20"/>
          <w:lang w:val="lt-LT" w:eastAsia="lt-LT"/>
        </w:rPr>
        <w:t xml:space="preserve"> savivaldybių</w:t>
      </w:r>
      <w:r w:rsidR="008B59C8">
        <w:rPr>
          <w:rFonts w:ascii="Georgia" w:eastAsia="Times New Roman" w:hAnsi="Georgia" w:cs="Times New Roman"/>
          <w:sz w:val="20"/>
          <w:szCs w:val="20"/>
          <w:lang w:val="lt-LT" w:eastAsia="lt-LT"/>
        </w:rPr>
        <w:t xml:space="preserve"> viešųjų pastatų renovacijos projektams, tačiau lygiagrečiai sieki</w:t>
      </w:r>
      <w:r>
        <w:rPr>
          <w:rFonts w:ascii="Georgia" w:eastAsia="Times New Roman" w:hAnsi="Georgia" w:cs="Times New Roman"/>
          <w:sz w:val="20"/>
          <w:szCs w:val="20"/>
          <w:lang w:val="lt-LT" w:eastAsia="lt-LT"/>
        </w:rPr>
        <w:t>ama</w:t>
      </w:r>
      <w:r w:rsidR="008B59C8">
        <w:rPr>
          <w:rFonts w:ascii="Georgia" w:eastAsia="Times New Roman" w:hAnsi="Georgia" w:cs="Times New Roman"/>
          <w:sz w:val="20"/>
          <w:szCs w:val="20"/>
          <w:lang w:val="lt-LT" w:eastAsia="lt-LT"/>
        </w:rPr>
        <w:t xml:space="preserve"> įgyvendinti antrąjį etapą – </w:t>
      </w:r>
      <w:r w:rsidR="00604B71">
        <w:rPr>
          <w:rFonts w:ascii="Georgia" w:eastAsia="Times New Roman" w:hAnsi="Georgia" w:cs="Times New Roman"/>
          <w:sz w:val="20"/>
          <w:szCs w:val="20"/>
          <w:lang w:val="lt-LT" w:eastAsia="lt-LT"/>
        </w:rPr>
        <w:t xml:space="preserve">skatinti </w:t>
      </w:r>
      <w:r w:rsidR="008B59C8">
        <w:rPr>
          <w:rFonts w:ascii="Georgia" w:eastAsia="Times New Roman" w:hAnsi="Georgia" w:cs="Times New Roman"/>
          <w:sz w:val="20"/>
          <w:szCs w:val="20"/>
          <w:lang w:val="lt-LT" w:eastAsia="lt-LT"/>
        </w:rPr>
        <w:t>investicinio fondo kūrimą, kuris išpirktų gerųjų</w:t>
      </w:r>
      <w:r>
        <w:rPr>
          <w:rFonts w:ascii="Georgia" w:eastAsia="Times New Roman" w:hAnsi="Georgia" w:cs="Times New Roman"/>
          <w:sz w:val="20"/>
          <w:szCs w:val="20"/>
          <w:lang w:val="lt-LT" w:eastAsia="lt-LT"/>
        </w:rPr>
        <w:t xml:space="preserve"> (sėkmingai įgyvendintų)</w:t>
      </w:r>
      <w:r w:rsidR="008B59C8">
        <w:rPr>
          <w:rFonts w:ascii="Georgia" w:eastAsia="Times New Roman" w:hAnsi="Georgia" w:cs="Times New Roman"/>
          <w:sz w:val="20"/>
          <w:szCs w:val="20"/>
          <w:lang w:val="lt-LT" w:eastAsia="lt-LT"/>
        </w:rPr>
        <w:t xml:space="preserve"> paskolų ateities pinigų srautus. Ateityje būtų galima siekti per fondų fondą įgyvendinti ir garantijų priemones. Garantijų priemonės atveju šis fondas taip pat galėtų išpirkti projektų ateities pinigų srautus arba bankų suteiktas paskolas, tokiu atveju bankai galėtų skolinti projektams jiems labiau priimtinais trumpesniais laikotarpiais. </w:t>
      </w:r>
      <w:r w:rsidR="007C1F55">
        <w:rPr>
          <w:rFonts w:ascii="Georgia" w:eastAsia="Times New Roman" w:hAnsi="Georgia" w:cs="Times New Roman"/>
          <w:sz w:val="20"/>
          <w:szCs w:val="20"/>
          <w:lang w:val="lt-LT" w:eastAsia="lt-LT"/>
        </w:rPr>
        <w:t>Finansinė priemonė ir/ar fondų fondas</w:t>
      </w:r>
      <w:r w:rsidR="008B59C8">
        <w:rPr>
          <w:rFonts w:ascii="Georgia" w:eastAsia="Times New Roman" w:hAnsi="Georgia" w:cs="Times New Roman"/>
          <w:sz w:val="20"/>
          <w:szCs w:val="20"/>
          <w:lang w:val="lt-LT" w:eastAsia="lt-LT"/>
        </w:rPr>
        <w:t xml:space="preserve"> būtų kuriama panaudojant </w:t>
      </w:r>
      <w:r w:rsidR="00FD2D4A">
        <w:rPr>
          <w:rFonts w:ascii="Georgia" w:eastAsia="Times New Roman" w:hAnsi="Georgia" w:cs="Times New Roman"/>
          <w:sz w:val="20"/>
          <w:szCs w:val="20"/>
          <w:lang w:val="lt-LT" w:eastAsia="lt-LT"/>
        </w:rPr>
        <w:t>Aplinkos</w:t>
      </w:r>
      <w:r w:rsidR="008B59C8">
        <w:rPr>
          <w:rFonts w:ascii="Georgia" w:eastAsia="Times New Roman" w:hAnsi="Georgia" w:cs="Times New Roman"/>
          <w:sz w:val="20"/>
          <w:szCs w:val="20"/>
          <w:lang w:val="lt-LT" w:eastAsia="lt-LT"/>
        </w:rPr>
        <w:t xml:space="preserve"> ministerijos ESI fondų asignavimus. </w:t>
      </w:r>
    </w:p>
    <w:p w14:paraId="6FE046D3" w14:textId="77777777" w:rsidR="0049481D" w:rsidRPr="00AA32EA" w:rsidRDefault="0049481D" w:rsidP="008B59C8">
      <w:pPr>
        <w:jc w:val="both"/>
        <w:rPr>
          <w:rFonts w:ascii="Georgia" w:eastAsia="Times New Roman" w:hAnsi="Georgia" w:cs="Times New Roman"/>
          <w:sz w:val="20"/>
          <w:szCs w:val="20"/>
          <w:lang w:val="lt-LT" w:eastAsia="lt-LT"/>
        </w:rPr>
      </w:pPr>
    </w:p>
    <w:p w14:paraId="0A0A061D" w14:textId="77777777" w:rsidR="008B59C8" w:rsidRPr="00890789" w:rsidRDefault="008B59C8" w:rsidP="008B59C8">
      <w:pPr>
        <w:pStyle w:val="prastasis1"/>
        <w:keepNext/>
        <w:jc w:val="both"/>
        <w:rPr>
          <w:rFonts w:ascii="Georgia" w:hAnsi="Georgia"/>
          <w:b/>
          <w:sz w:val="20"/>
          <w:szCs w:val="20"/>
        </w:rPr>
      </w:pPr>
      <w:r w:rsidRPr="00890789">
        <w:rPr>
          <w:rFonts w:ascii="Georgia" w:hAnsi="Georgia"/>
          <w:b/>
          <w:sz w:val="20"/>
          <w:szCs w:val="20"/>
        </w:rPr>
        <w:t>Finansinių tarpininkų parinkimas</w:t>
      </w:r>
    </w:p>
    <w:p w14:paraId="3D994AF2" w14:textId="77777777" w:rsidR="008B59C8" w:rsidRDefault="008B59C8" w:rsidP="008B59C8">
      <w:pPr>
        <w:keepNext/>
        <w:jc w:val="both"/>
        <w:rPr>
          <w:rFonts w:ascii="Georgia" w:hAnsi="Georgia"/>
          <w:sz w:val="20"/>
          <w:lang w:val="lt-LT"/>
        </w:rPr>
      </w:pPr>
      <w:r>
        <w:rPr>
          <w:rFonts w:ascii="Georgia" w:hAnsi="Georgia"/>
          <w:sz w:val="20"/>
          <w:lang w:val="lt-LT"/>
        </w:rPr>
        <w:t xml:space="preserve">Kaip aprašyta 7.2.4 skyriaus pradžioje, fondų fondo valdytojas galėtų pats įgyvendinti visas užduotis arba, esant poreikiui, pasitelkti finansinius tarpininkus. Pirminiame etape siūlytina siekti, kad fondų fondo valdytojas užduotis įgyvendintų pats, o finansinius tarpininkus, t.y. komercinius bankus siektų pritraukti kaip papildomus finansuotojus per įvairius finansinius produktus, pavyzdžiui, garantijų teikimą ar dalinį projektų finansavimą. </w:t>
      </w:r>
    </w:p>
    <w:p w14:paraId="3CDCF989" w14:textId="77777777" w:rsidR="002B204F" w:rsidRDefault="002B204F" w:rsidP="002A576D">
      <w:pPr>
        <w:pStyle w:val="prastasis1"/>
        <w:spacing w:line="276" w:lineRule="auto"/>
        <w:jc w:val="both"/>
        <w:rPr>
          <w:rFonts w:ascii="Georgia" w:hAnsi="Georgia"/>
          <w:sz w:val="20"/>
          <w:szCs w:val="20"/>
        </w:rPr>
      </w:pPr>
    </w:p>
    <w:p w14:paraId="045DCB86" w14:textId="77777777" w:rsidR="002A576D" w:rsidRPr="00DA65C2" w:rsidRDefault="002A576D" w:rsidP="00DA65C2">
      <w:pPr>
        <w:pStyle w:val="Antrat2"/>
        <w:numPr>
          <w:ilvl w:val="4"/>
          <w:numId w:val="2"/>
        </w:numPr>
        <w:spacing w:after="240"/>
        <w:rPr>
          <w:b w:val="0"/>
        </w:rPr>
      </w:pPr>
      <w:bookmarkStart w:id="434" w:name="_Toc417378466"/>
      <w:r w:rsidRPr="00DA65C2">
        <w:rPr>
          <w:lang w:val="lt-LT"/>
        </w:rPr>
        <w:t>Rizikos pasidalijimo fondas</w:t>
      </w:r>
      <w:bookmarkEnd w:id="434"/>
      <w:r w:rsidRPr="00DA65C2">
        <w:rPr>
          <w:lang w:val="lt-LT"/>
        </w:rPr>
        <w:t xml:space="preserve"> </w:t>
      </w:r>
    </w:p>
    <w:p w14:paraId="1D55837D" w14:textId="77777777" w:rsidR="002A576D" w:rsidRDefault="002A576D" w:rsidP="002A576D">
      <w:pPr>
        <w:pStyle w:val="prastasis1"/>
        <w:spacing w:line="276" w:lineRule="auto"/>
        <w:jc w:val="both"/>
        <w:rPr>
          <w:rFonts w:ascii="Georgia" w:hAnsi="Georgia"/>
          <w:sz w:val="20"/>
          <w:szCs w:val="20"/>
        </w:rPr>
      </w:pPr>
      <w:r>
        <w:rPr>
          <w:rFonts w:ascii="Georgia" w:hAnsi="Georgia"/>
          <w:sz w:val="20"/>
          <w:szCs w:val="20"/>
        </w:rPr>
        <w:t>Pradėjus projektų finansavimą finansinės priemonės lėšomis, privačių išteklių pritraukimui siektina steigti rizikos pasidalijimo fondą. Rizikos pasidalijimo fondas galėtų perimti finansinės priemonės sukauptą paskolų portfelį, nepanaudotas lėšas bei grįžtančias lėšas. Visos šios lėšos galėtų būti panaudojamos rizikos pasidalijimo fondo pirmojo nuostolio padengimo kapitalui suformuoti.</w:t>
      </w:r>
    </w:p>
    <w:p w14:paraId="74A2018A" w14:textId="77777777" w:rsidR="002A576D" w:rsidRDefault="002A576D" w:rsidP="002A576D">
      <w:pPr>
        <w:pStyle w:val="prastasis1"/>
        <w:spacing w:line="276" w:lineRule="auto"/>
        <w:jc w:val="both"/>
        <w:rPr>
          <w:rFonts w:ascii="Georgia" w:hAnsi="Georgia"/>
          <w:sz w:val="20"/>
          <w:szCs w:val="20"/>
        </w:rPr>
      </w:pPr>
      <w:r>
        <w:rPr>
          <w:rFonts w:ascii="Georgia" w:hAnsi="Georgia"/>
          <w:sz w:val="20"/>
          <w:szCs w:val="20"/>
        </w:rPr>
        <w:t xml:space="preserve">Detalesnis rizikos pasidalijimo fondo veiklos principų aprašymas pateiktas 7.3.4.2. skyriuje. Žemiau pateikiama bendra schema, kurioje pavaizduota ir finansinė priemonė, ir rizikos pasidalijimo fondas. </w:t>
      </w:r>
    </w:p>
    <w:p w14:paraId="0621EEA4" w14:textId="77777777" w:rsidR="002A576D" w:rsidRDefault="002A576D" w:rsidP="002A576D">
      <w:pPr>
        <w:pStyle w:val="prastasis1"/>
        <w:keepNext/>
        <w:spacing w:line="276" w:lineRule="auto"/>
        <w:jc w:val="center"/>
      </w:pPr>
      <w:r>
        <w:object w:dxaOrig="9226" w:dyaOrig="9091" w14:anchorId="1ECFE495">
          <v:shape id="_x0000_i1040" type="#_x0000_t75" style="width:293.4pt;height:288.65pt" o:ole="">
            <v:imagedata r:id="rId131" o:title=""/>
          </v:shape>
          <o:OLEObject Type="Embed" ProgID="Visio.Drawing.15" ShapeID="_x0000_i1040" DrawAspect="Content" ObjectID="_1572853854" r:id="rId132"/>
        </w:object>
      </w:r>
    </w:p>
    <w:p w14:paraId="5ECCC572" w14:textId="5035D030" w:rsidR="002A576D" w:rsidRPr="00A84FBE" w:rsidRDefault="002A576D" w:rsidP="002A576D">
      <w:pPr>
        <w:pStyle w:val="Antrat"/>
        <w:jc w:val="both"/>
        <w:rPr>
          <w:szCs w:val="20"/>
          <w:lang w:val="lt-LT"/>
        </w:rPr>
      </w:pPr>
      <w:bookmarkStart w:id="435" w:name="_Toc417378351"/>
      <w:r w:rsidRPr="00A84FBE">
        <w:rPr>
          <w:lang w:val="lt-LT"/>
        </w:rPr>
        <w:t xml:space="preserve">Paveikslas </w:t>
      </w:r>
      <w:r w:rsidRPr="00A84FBE">
        <w:rPr>
          <w:lang w:val="lt-LT"/>
        </w:rPr>
        <w:fldChar w:fldCharType="begin"/>
      </w:r>
      <w:r w:rsidRPr="00A84FBE">
        <w:rPr>
          <w:lang w:val="lt-LT"/>
        </w:rPr>
        <w:instrText xml:space="preserve"> SEQ Paveikslas \* ARABIC </w:instrText>
      </w:r>
      <w:r w:rsidRPr="00A84FBE">
        <w:rPr>
          <w:lang w:val="lt-LT"/>
        </w:rPr>
        <w:fldChar w:fldCharType="separate"/>
      </w:r>
      <w:r w:rsidR="00AA3082">
        <w:rPr>
          <w:noProof/>
          <w:lang w:val="lt-LT"/>
        </w:rPr>
        <w:t>74</w:t>
      </w:r>
      <w:r w:rsidRPr="00A84FBE">
        <w:rPr>
          <w:lang w:val="lt-LT"/>
        </w:rPr>
        <w:fldChar w:fldCharType="end"/>
      </w:r>
      <w:r w:rsidRPr="00A84FBE">
        <w:rPr>
          <w:lang w:val="lt-LT"/>
        </w:rPr>
        <w:t xml:space="preserve">. </w:t>
      </w:r>
      <w:r w:rsidRPr="009A01F7">
        <w:rPr>
          <w:lang w:val="lt-LT"/>
        </w:rPr>
        <w:t>Pereinamojo laikotarpio finansinės priemonės įgyvendinimas</w:t>
      </w:r>
      <w:r w:rsidRPr="00A84FBE">
        <w:rPr>
          <w:lang w:val="lt-LT"/>
        </w:rPr>
        <w:t>.</w:t>
      </w:r>
      <w:bookmarkEnd w:id="435"/>
      <w:r w:rsidRPr="00A84FBE">
        <w:rPr>
          <w:lang w:val="lt-LT"/>
        </w:rPr>
        <w:t xml:space="preserve"> </w:t>
      </w:r>
    </w:p>
    <w:p w14:paraId="70BF8545" w14:textId="77777777" w:rsidR="002A576D" w:rsidRDefault="002A576D" w:rsidP="002A576D">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Pagrindinė finansinės priemonės</w:t>
      </w:r>
      <w:r w:rsidRPr="00760316">
        <w:rPr>
          <w:rFonts w:ascii="Georgia" w:eastAsia="Times New Roman" w:hAnsi="Georgia" w:cs="Times New Roman"/>
          <w:sz w:val="20"/>
          <w:szCs w:val="20"/>
          <w:lang w:val="lt-LT" w:eastAsia="lt-LT"/>
        </w:rPr>
        <w:t xml:space="preserve"> funkcija – užtikrinti </w:t>
      </w:r>
      <w:r>
        <w:rPr>
          <w:rFonts w:ascii="Georgia" w:eastAsia="Times New Roman" w:hAnsi="Georgia" w:cs="Times New Roman"/>
          <w:sz w:val="20"/>
          <w:szCs w:val="20"/>
          <w:lang w:val="lt-LT" w:eastAsia="lt-LT"/>
        </w:rPr>
        <w:t>kuo spartesnę projektų įgyvendinimo pradžią</w:t>
      </w:r>
      <w:r w:rsidRPr="00760316">
        <w:rPr>
          <w:rFonts w:ascii="Georgia" w:eastAsia="Times New Roman" w:hAnsi="Georgia" w:cs="Times New Roman"/>
          <w:sz w:val="20"/>
          <w:szCs w:val="20"/>
          <w:lang w:val="lt-LT" w:eastAsia="lt-LT"/>
        </w:rPr>
        <w:t xml:space="preserve">. Sukūrus </w:t>
      </w:r>
      <w:r>
        <w:rPr>
          <w:rFonts w:ascii="Georgia" w:eastAsia="Times New Roman" w:hAnsi="Georgia" w:cs="Times New Roman"/>
          <w:sz w:val="20"/>
          <w:szCs w:val="20"/>
          <w:lang w:val="lt-LT" w:eastAsia="lt-LT"/>
        </w:rPr>
        <w:t>rizikos pasidalijimo fondą</w:t>
      </w:r>
      <w:r w:rsidRPr="00760316">
        <w:rPr>
          <w:rFonts w:ascii="Georgia" w:eastAsia="Times New Roman" w:hAnsi="Georgia" w:cs="Times New Roman"/>
          <w:sz w:val="20"/>
          <w:szCs w:val="20"/>
          <w:lang w:val="lt-LT" w:eastAsia="lt-LT"/>
        </w:rPr>
        <w:t xml:space="preserve">, kuris greitai gali reaguoti ir finansuoti projektus, </w:t>
      </w:r>
      <w:r>
        <w:rPr>
          <w:rFonts w:ascii="Georgia" w:eastAsia="Times New Roman" w:hAnsi="Georgia" w:cs="Times New Roman"/>
          <w:sz w:val="20"/>
          <w:szCs w:val="20"/>
          <w:lang w:val="lt-LT" w:eastAsia="lt-LT"/>
        </w:rPr>
        <w:t>pastarasis</w:t>
      </w:r>
      <w:r w:rsidRPr="00760316">
        <w:rPr>
          <w:rFonts w:ascii="Georgia" w:eastAsia="Times New Roman" w:hAnsi="Georgia" w:cs="Times New Roman"/>
          <w:sz w:val="20"/>
          <w:szCs w:val="20"/>
          <w:lang w:val="lt-LT" w:eastAsia="lt-LT"/>
        </w:rPr>
        <w:t xml:space="preserve"> perim</w:t>
      </w:r>
      <w:r>
        <w:rPr>
          <w:rFonts w:ascii="Georgia" w:eastAsia="Times New Roman" w:hAnsi="Georgia" w:cs="Times New Roman"/>
          <w:sz w:val="20"/>
          <w:szCs w:val="20"/>
          <w:lang w:val="lt-LT" w:eastAsia="lt-LT"/>
        </w:rPr>
        <w:t>tų</w:t>
      </w:r>
      <w:r w:rsidRPr="00760316">
        <w:rPr>
          <w:rFonts w:ascii="Georgia" w:eastAsia="Times New Roman" w:hAnsi="Georgia" w:cs="Times New Roman"/>
          <w:sz w:val="20"/>
          <w:szCs w:val="20"/>
          <w:lang w:val="lt-LT" w:eastAsia="lt-LT"/>
        </w:rPr>
        <w:t xml:space="preserve"> projektų valdymą iš </w:t>
      </w:r>
      <w:r>
        <w:rPr>
          <w:rFonts w:ascii="Georgia" w:eastAsia="Times New Roman" w:hAnsi="Georgia" w:cs="Times New Roman"/>
          <w:sz w:val="20"/>
          <w:szCs w:val="20"/>
          <w:lang w:val="lt-LT" w:eastAsia="lt-LT"/>
        </w:rPr>
        <w:t>finansinės priemonės valdytojo, ir visi likučiai finansinės priemonės sąskaitoje, nepanaudotos lėšos, paskolų sutartys, gautini piniginiai srautai bei kitos susijusios pajamos bus nukreiptos į rizikos pasidalijimo fondą</w:t>
      </w:r>
      <w:r w:rsidRPr="00760316">
        <w:rPr>
          <w:rFonts w:ascii="Georgia" w:eastAsia="Times New Roman" w:hAnsi="Georgia" w:cs="Times New Roman"/>
          <w:sz w:val="20"/>
          <w:szCs w:val="20"/>
          <w:lang w:val="lt-LT" w:eastAsia="lt-LT"/>
        </w:rPr>
        <w:t>.</w:t>
      </w:r>
    </w:p>
    <w:p w14:paraId="7E68A69E" w14:textId="77777777" w:rsidR="002A576D" w:rsidRPr="000E6F4A" w:rsidRDefault="002A576D" w:rsidP="002A576D">
      <w:pPr>
        <w:jc w:val="both"/>
        <w:rPr>
          <w:rFonts w:ascii="Georgia" w:eastAsia="Times New Roman" w:hAnsi="Georgia" w:cs="Times New Roman"/>
          <w:b/>
          <w:sz w:val="20"/>
          <w:szCs w:val="20"/>
          <w:lang w:val="lt-LT" w:eastAsia="lt-LT"/>
        </w:rPr>
      </w:pPr>
      <w:r w:rsidRPr="000E6F4A">
        <w:rPr>
          <w:rFonts w:ascii="Georgia" w:eastAsia="Times New Roman" w:hAnsi="Georgia" w:cs="Times New Roman"/>
          <w:b/>
          <w:sz w:val="20"/>
          <w:szCs w:val="20"/>
          <w:lang w:val="lt-LT" w:eastAsia="lt-LT"/>
        </w:rPr>
        <w:t>Kūrimo eiga</w:t>
      </w:r>
    </w:p>
    <w:p w14:paraId="0FCCF3A9" w14:textId="310E5355" w:rsidR="002A576D" w:rsidRPr="000E6F4A" w:rsidRDefault="002A576D" w:rsidP="002A576D">
      <w:pPr>
        <w:jc w:val="both"/>
        <w:rPr>
          <w:rFonts w:ascii="Georgia" w:eastAsia="Times New Roman" w:hAnsi="Georgia" w:cs="Times New Roman"/>
          <w:sz w:val="20"/>
          <w:szCs w:val="20"/>
          <w:lang w:val="lt-LT" w:eastAsia="lt-LT"/>
        </w:rPr>
      </w:pPr>
      <w:r w:rsidRPr="00760316">
        <w:rPr>
          <w:rFonts w:ascii="Georgia" w:eastAsia="Times New Roman" w:hAnsi="Georgia" w:cs="Times New Roman"/>
          <w:sz w:val="20"/>
          <w:szCs w:val="20"/>
          <w:lang w:val="lt-LT" w:eastAsia="lt-LT"/>
        </w:rPr>
        <w:t xml:space="preserve">Siūloma šią alternatyvą įgyvendinti dviem etapais: pirmiausia ESI fondų lėšas nukreipti atskirai paskolų finansinei priemonei sukurti </w:t>
      </w:r>
      <w:r>
        <w:rPr>
          <w:rFonts w:ascii="Georgia" w:eastAsia="Times New Roman" w:hAnsi="Georgia" w:cs="Times New Roman"/>
          <w:sz w:val="20"/>
          <w:szCs w:val="20"/>
          <w:lang w:val="lt-LT" w:eastAsia="lt-LT"/>
        </w:rPr>
        <w:t>ir</w:t>
      </w:r>
      <w:r w:rsidRPr="000E6F4A">
        <w:rPr>
          <w:rFonts w:ascii="Georgia" w:eastAsia="Times New Roman" w:hAnsi="Georgia" w:cs="Times New Roman"/>
          <w:sz w:val="20"/>
          <w:szCs w:val="20"/>
          <w:lang w:val="lt-LT" w:eastAsia="lt-LT"/>
        </w:rPr>
        <w:t xml:space="preserve"> lygiagrečiai įgyvendinti antrąjį etapą – </w:t>
      </w:r>
      <w:r>
        <w:rPr>
          <w:rFonts w:ascii="Georgia" w:eastAsia="Times New Roman" w:hAnsi="Georgia" w:cs="Times New Roman"/>
          <w:sz w:val="20"/>
          <w:szCs w:val="20"/>
          <w:lang w:val="lt-LT" w:eastAsia="lt-LT"/>
        </w:rPr>
        <w:t xml:space="preserve">rizikos pasidalijimo </w:t>
      </w:r>
      <w:r w:rsidRPr="000E6F4A">
        <w:rPr>
          <w:rFonts w:ascii="Georgia" w:eastAsia="Times New Roman" w:hAnsi="Georgia" w:cs="Times New Roman"/>
          <w:sz w:val="20"/>
          <w:szCs w:val="20"/>
          <w:lang w:val="lt-LT" w:eastAsia="lt-LT"/>
        </w:rPr>
        <w:t>fondo kūrimą</w:t>
      </w:r>
      <w:r>
        <w:rPr>
          <w:rFonts w:ascii="Georgia" w:eastAsia="Times New Roman" w:hAnsi="Georgia" w:cs="Times New Roman"/>
          <w:sz w:val="20"/>
          <w:szCs w:val="20"/>
          <w:lang w:val="lt-LT" w:eastAsia="lt-LT"/>
        </w:rPr>
        <w:t xml:space="preserve"> (dėl kurios sukūrimo ir sąlygų derimasi su investuotojais)</w:t>
      </w:r>
      <w:r w:rsidRPr="000E6F4A">
        <w:rPr>
          <w:rFonts w:ascii="Georgia" w:eastAsia="Times New Roman" w:hAnsi="Georgia" w:cs="Times New Roman"/>
          <w:sz w:val="20"/>
          <w:szCs w:val="20"/>
          <w:lang w:val="lt-LT" w:eastAsia="lt-LT"/>
        </w:rPr>
        <w:t>,</w:t>
      </w:r>
      <w:r>
        <w:rPr>
          <w:rFonts w:ascii="Georgia" w:eastAsia="Times New Roman" w:hAnsi="Georgia" w:cs="Times New Roman"/>
          <w:sz w:val="20"/>
          <w:szCs w:val="20"/>
          <w:lang w:val="lt-LT" w:eastAsia="lt-LT"/>
        </w:rPr>
        <w:t xml:space="preserve"> į kurio pirmo praradimo kapitalą būtų investuojamos ESI lėšos, tokiu būdu pritraukiant papildomą finansavimą</w:t>
      </w:r>
      <w:r w:rsidRPr="000E6F4A">
        <w:rPr>
          <w:rFonts w:ascii="Georgia" w:eastAsia="Times New Roman" w:hAnsi="Georgia" w:cs="Times New Roman"/>
          <w:sz w:val="20"/>
          <w:szCs w:val="20"/>
          <w:lang w:val="lt-LT" w:eastAsia="lt-LT"/>
        </w:rPr>
        <w:t xml:space="preserve">. Ateityje būtų galima siekti per </w:t>
      </w:r>
      <w:r>
        <w:rPr>
          <w:rFonts w:ascii="Georgia" w:eastAsia="Times New Roman" w:hAnsi="Georgia" w:cs="Times New Roman"/>
          <w:sz w:val="20"/>
          <w:szCs w:val="20"/>
          <w:lang w:val="lt-LT" w:eastAsia="lt-LT"/>
        </w:rPr>
        <w:t xml:space="preserve">rizikos pasidalijimo fondą </w:t>
      </w:r>
      <w:r w:rsidRPr="000E6F4A">
        <w:rPr>
          <w:rFonts w:ascii="Georgia" w:eastAsia="Times New Roman" w:hAnsi="Georgia" w:cs="Times New Roman"/>
          <w:sz w:val="20"/>
          <w:szCs w:val="20"/>
          <w:lang w:val="lt-LT" w:eastAsia="lt-LT"/>
        </w:rPr>
        <w:t>įgyvendinti ir garantijų priemones</w:t>
      </w:r>
      <w:r>
        <w:rPr>
          <w:rFonts w:ascii="Georgia" w:eastAsia="Times New Roman" w:hAnsi="Georgia" w:cs="Times New Roman"/>
          <w:sz w:val="20"/>
          <w:szCs w:val="20"/>
          <w:lang w:val="lt-LT" w:eastAsia="lt-LT"/>
        </w:rPr>
        <w:t xml:space="preserve"> savivaldybių viešiesiems pastatams (jei rinkoje atsirastų toks poreikis)</w:t>
      </w:r>
      <w:r w:rsidRPr="000E6F4A">
        <w:rPr>
          <w:rFonts w:ascii="Georgia" w:eastAsia="Times New Roman" w:hAnsi="Georgia" w:cs="Times New Roman"/>
          <w:sz w:val="20"/>
          <w:szCs w:val="20"/>
          <w:lang w:val="lt-LT" w:eastAsia="lt-LT"/>
        </w:rPr>
        <w:t xml:space="preserve">. </w:t>
      </w:r>
      <w:r>
        <w:rPr>
          <w:rFonts w:ascii="Georgia" w:eastAsia="Times New Roman" w:hAnsi="Georgia" w:cs="Times New Roman"/>
          <w:sz w:val="20"/>
          <w:szCs w:val="20"/>
          <w:lang w:val="lt-LT" w:eastAsia="lt-LT"/>
        </w:rPr>
        <w:t>Rizikos pasidalijimo fondui būtų nukreipiami</w:t>
      </w:r>
      <w:r w:rsidRPr="000E6F4A">
        <w:rPr>
          <w:rFonts w:ascii="Georgia" w:eastAsia="Times New Roman" w:hAnsi="Georgia" w:cs="Times New Roman"/>
          <w:sz w:val="20"/>
          <w:szCs w:val="20"/>
          <w:lang w:val="lt-LT" w:eastAsia="lt-LT"/>
        </w:rPr>
        <w:t xml:space="preserve"> Aplinkos ministerijos ESI fondų asignavim</w:t>
      </w:r>
      <w:r>
        <w:rPr>
          <w:rFonts w:ascii="Georgia" w:eastAsia="Times New Roman" w:hAnsi="Georgia" w:cs="Times New Roman"/>
          <w:sz w:val="20"/>
          <w:szCs w:val="20"/>
          <w:lang w:val="lt-LT" w:eastAsia="lt-LT"/>
        </w:rPr>
        <w:t>ai</w:t>
      </w:r>
      <w:r w:rsidRPr="000E6F4A">
        <w:rPr>
          <w:rFonts w:ascii="Georgia" w:eastAsia="Times New Roman" w:hAnsi="Georgia" w:cs="Times New Roman"/>
          <w:sz w:val="20"/>
          <w:szCs w:val="20"/>
          <w:lang w:val="lt-LT" w:eastAsia="lt-LT"/>
        </w:rPr>
        <w:t xml:space="preserve">s. </w:t>
      </w:r>
    </w:p>
    <w:p w14:paraId="44AC6267" w14:textId="77777777" w:rsidR="002A576D" w:rsidRDefault="00EA70E7" w:rsidP="002A576D">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R</w:t>
      </w:r>
      <w:r w:rsidR="002A576D">
        <w:rPr>
          <w:rFonts w:ascii="Georgia" w:eastAsia="Times New Roman" w:hAnsi="Georgia" w:cs="Times New Roman"/>
          <w:sz w:val="20"/>
          <w:szCs w:val="20"/>
          <w:lang w:val="lt-LT" w:eastAsia="lt-LT"/>
        </w:rPr>
        <w:t xml:space="preserve">izikos pasidalijimo </w:t>
      </w:r>
      <w:r w:rsidR="002A576D" w:rsidRPr="000E6F4A">
        <w:rPr>
          <w:rFonts w:ascii="Georgia" w:eastAsia="Times New Roman" w:hAnsi="Georgia" w:cs="Times New Roman"/>
          <w:sz w:val="20"/>
          <w:szCs w:val="20"/>
          <w:lang w:val="lt-LT" w:eastAsia="lt-LT"/>
        </w:rPr>
        <w:t xml:space="preserve">fondo </w:t>
      </w:r>
      <w:r>
        <w:rPr>
          <w:rFonts w:ascii="Georgia" w:eastAsia="Times New Roman" w:hAnsi="Georgia" w:cs="Times New Roman"/>
          <w:sz w:val="20"/>
          <w:szCs w:val="20"/>
          <w:lang w:val="lt-LT" w:eastAsia="lt-LT"/>
        </w:rPr>
        <w:t xml:space="preserve">struktūra detaliai aprašyta 7.1.4.4. dalyje, todėl pasirinkus šią alternatyvą žr. </w:t>
      </w:r>
      <w:r w:rsidR="005C1F29">
        <w:rPr>
          <w:rFonts w:ascii="Georgia" w:eastAsia="Times New Roman" w:hAnsi="Georgia" w:cs="Times New Roman"/>
          <w:sz w:val="20"/>
          <w:szCs w:val="20"/>
          <w:lang w:val="lt-LT" w:eastAsia="lt-LT"/>
        </w:rPr>
        <w:t xml:space="preserve">7.1.4.4. skyrių. </w:t>
      </w:r>
      <w:r>
        <w:rPr>
          <w:rFonts w:ascii="Georgia" w:eastAsia="Times New Roman" w:hAnsi="Georgia" w:cs="Times New Roman"/>
          <w:sz w:val="20"/>
          <w:szCs w:val="20"/>
          <w:lang w:val="lt-LT" w:eastAsia="lt-LT"/>
        </w:rPr>
        <w:t xml:space="preserve"> </w:t>
      </w:r>
    </w:p>
    <w:p w14:paraId="2447D240" w14:textId="77777777" w:rsidR="002A576D" w:rsidRPr="00A17E1B" w:rsidRDefault="002A576D" w:rsidP="002A576D">
      <w:pPr>
        <w:rPr>
          <w:rFonts w:ascii="Georgia" w:hAnsi="Georgia"/>
          <w:b/>
          <w:sz w:val="20"/>
          <w:szCs w:val="20"/>
          <w:lang w:val="lt-LT"/>
        </w:rPr>
      </w:pPr>
      <w:r w:rsidRPr="00A17E1B">
        <w:rPr>
          <w:rFonts w:ascii="Georgia" w:hAnsi="Georgia"/>
          <w:b/>
          <w:sz w:val="20"/>
          <w:szCs w:val="20"/>
          <w:lang w:val="lt-LT"/>
        </w:rPr>
        <w:t>Fondo valdytojo paskyrimo alternatyvos</w:t>
      </w:r>
    </w:p>
    <w:p w14:paraId="7259AA01" w14:textId="77777777" w:rsidR="0049481D" w:rsidRDefault="0049481D" w:rsidP="002A576D">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Šios alternatyvos atveju pirmame etape sukurta finansinė priemonė būtų prijungiama prie rizikos pasidalijimo fondo, kurio valdytojas galėtų būti atrenkamas vadovaujantis 9 priede pateikta analize ir 7.1.4.4. aprašyta tvarka.</w:t>
      </w:r>
    </w:p>
    <w:p w14:paraId="74DBD083" w14:textId="77777777" w:rsidR="002A576D" w:rsidRDefault="002A576D" w:rsidP="002A576D">
      <w:pPr>
        <w:rPr>
          <w:rFonts w:ascii="Georgia" w:eastAsia="Times New Roman" w:hAnsi="Georgia" w:cs="Times New Roman"/>
          <w:b/>
          <w:sz w:val="20"/>
          <w:szCs w:val="20"/>
          <w:lang w:val="lt-LT" w:eastAsia="lt-LT"/>
        </w:rPr>
      </w:pPr>
    </w:p>
    <w:p w14:paraId="2FDB1E03" w14:textId="77777777" w:rsidR="002A576D" w:rsidRPr="00AA32EA" w:rsidRDefault="002A576D" w:rsidP="002A576D">
      <w:pPr>
        <w:jc w:val="both"/>
        <w:rPr>
          <w:rFonts w:ascii="Georgia" w:eastAsia="Times New Roman" w:hAnsi="Georgia" w:cs="Times New Roman"/>
          <w:sz w:val="20"/>
          <w:szCs w:val="20"/>
          <w:lang w:val="lt-LT" w:eastAsia="lt-LT"/>
        </w:rPr>
      </w:pPr>
    </w:p>
    <w:p w14:paraId="041B2CA4" w14:textId="77777777" w:rsidR="002A576D" w:rsidRPr="003351A4" w:rsidRDefault="002A576D" w:rsidP="002A576D">
      <w:pPr>
        <w:pStyle w:val="Antrat2"/>
        <w:numPr>
          <w:ilvl w:val="2"/>
          <w:numId w:val="2"/>
        </w:numPr>
        <w:spacing w:after="240"/>
        <w:rPr>
          <w:lang w:val="lt-LT"/>
        </w:rPr>
      </w:pPr>
      <w:bookmarkStart w:id="436" w:name="_Toc417378467"/>
      <w:r w:rsidRPr="003351A4">
        <w:rPr>
          <w:lang w:val="lt-LT"/>
        </w:rPr>
        <w:lastRenderedPageBreak/>
        <w:t>Tikėtinų rezultatų nustatymas ir skaičiavimas</w:t>
      </w:r>
      <w:bookmarkEnd w:id="436"/>
    </w:p>
    <w:p w14:paraId="218C3100" w14:textId="77777777" w:rsidR="002A576D" w:rsidRDefault="002A576D" w:rsidP="002A576D">
      <w:pPr>
        <w:keepNext/>
        <w:jc w:val="both"/>
        <w:rPr>
          <w:rFonts w:ascii="Georgia" w:eastAsia="Times New Roman" w:hAnsi="Georgia" w:cs="Times New Roman"/>
          <w:sz w:val="20"/>
          <w:szCs w:val="20"/>
          <w:lang w:val="lt-LT" w:eastAsia="lt-LT"/>
        </w:rPr>
      </w:pPr>
      <w:r w:rsidRPr="00AC3318">
        <w:rPr>
          <w:rFonts w:ascii="Georgia" w:eastAsia="Times New Roman" w:hAnsi="Georgia" w:cs="Times New Roman"/>
          <w:sz w:val="20"/>
          <w:szCs w:val="20"/>
          <w:lang w:val="lt-LT" w:eastAsia="lt-LT"/>
        </w:rPr>
        <w:t>Įgyvendinat siūlomą modelį gaunami šie rezultatai:</w:t>
      </w:r>
    </w:p>
    <w:p w14:paraId="1A4080EE" w14:textId="39ED0225" w:rsidR="002A576D" w:rsidRPr="00467B8E" w:rsidRDefault="002A576D" w:rsidP="002A576D">
      <w:pPr>
        <w:pStyle w:val="Antrat"/>
        <w:jc w:val="both"/>
        <w:rPr>
          <w:rFonts w:eastAsia="Times New Roman"/>
          <w:szCs w:val="20"/>
          <w:lang w:val="lt-LT" w:eastAsia="lt-LT"/>
        </w:rPr>
      </w:pPr>
      <w:bookmarkStart w:id="437" w:name="_Toc460321750"/>
      <w:r w:rsidRPr="00467B8E">
        <w:rPr>
          <w:lang w:val="lt-LT"/>
        </w:rPr>
        <w:t xml:space="preserve">Lentelė </w:t>
      </w:r>
      <w:r w:rsidRPr="00467B8E">
        <w:rPr>
          <w:lang w:val="lt-LT"/>
        </w:rPr>
        <w:fldChar w:fldCharType="begin"/>
      </w:r>
      <w:r w:rsidRPr="00467B8E">
        <w:rPr>
          <w:lang w:val="lt-LT"/>
        </w:rPr>
        <w:instrText xml:space="preserve"> SEQ Lentelė \* ARABIC </w:instrText>
      </w:r>
      <w:r w:rsidRPr="00467B8E">
        <w:rPr>
          <w:lang w:val="lt-LT"/>
        </w:rPr>
        <w:fldChar w:fldCharType="separate"/>
      </w:r>
      <w:r w:rsidR="00AA3082">
        <w:rPr>
          <w:noProof/>
          <w:lang w:val="lt-LT"/>
        </w:rPr>
        <w:t>169</w:t>
      </w:r>
      <w:r w:rsidRPr="00467B8E">
        <w:rPr>
          <w:lang w:val="lt-LT"/>
        </w:rPr>
        <w:fldChar w:fldCharType="end"/>
      </w:r>
      <w:r w:rsidRPr="00467B8E">
        <w:rPr>
          <w:lang w:val="lt-LT"/>
        </w:rPr>
        <w:t xml:space="preserve">. Tikėtini finansinės priemonės rezultatai </w:t>
      </w:r>
      <w:r>
        <w:rPr>
          <w:lang w:val="lt-LT"/>
        </w:rPr>
        <w:t>s</w:t>
      </w:r>
      <w:r w:rsidRPr="00C066BB">
        <w:rPr>
          <w:lang w:val="lt-LT"/>
        </w:rPr>
        <w:t xml:space="preserve">avivaldybių viešųjų pastatų </w:t>
      </w:r>
      <w:r>
        <w:rPr>
          <w:lang w:val="lt-LT"/>
        </w:rPr>
        <w:t>modernizavimui</w:t>
      </w:r>
      <w:bookmarkEnd w:id="437"/>
    </w:p>
    <w:tbl>
      <w:tblPr>
        <w:tblStyle w:val="viesussraas2parykinimas2"/>
        <w:tblW w:w="5000" w:type="pct"/>
        <w:tblLook w:val="04A0" w:firstRow="1" w:lastRow="0" w:firstColumn="1" w:lastColumn="0" w:noHBand="0" w:noVBand="1"/>
      </w:tblPr>
      <w:tblGrid>
        <w:gridCol w:w="2400"/>
        <w:gridCol w:w="2534"/>
        <w:gridCol w:w="2155"/>
        <w:gridCol w:w="2154"/>
      </w:tblGrid>
      <w:tr w:rsidR="00EA5FE8" w14:paraId="66B35483" w14:textId="77777777" w:rsidTr="00EA5F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pct"/>
          </w:tcPr>
          <w:p w14:paraId="379ED938" w14:textId="77777777" w:rsidR="00EA5FE8" w:rsidRDefault="00EA5FE8" w:rsidP="002A576D">
            <w:pPr>
              <w:keepNext/>
              <w:jc w:val="center"/>
              <w:rPr>
                <w:rFonts w:ascii="Georgia" w:hAnsi="Georgia"/>
                <w:color w:val="auto"/>
              </w:rPr>
            </w:pPr>
            <w:r w:rsidRPr="00F40BD0">
              <w:rPr>
                <w:rFonts w:ascii="Georgia" w:hAnsi="Georgia"/>
              </w:rPr>
              <w:t>Rodiklis</w:t>
            </w:r>
          </w:p>
        </w:tc>
        <w:tc>
          <w:tcPr>
            <w:tcW w:w="2537" w:type="pct"/>
            <w:gridSpan w:val="2"/>
          </w:tcPr>
          <w:p w14:paraId="63FFFA01" w14:textId="77777777" w:rsidR="00EA5FE8" w:rsidRDefault="00EA5FE8" w:rsidP="002A576D">
            <w:pPr>
              <w:keepNext/>
              <w:jc w:val="center"/>
              <w:cnfStyle w:val="100000000000" w:firstRow="1" w:lastRow="0" w:firstColumn="0" w:lastColumn="0" w:oddVBand="0" w:evenVBand="0" w:oddHBand="0" w:evenHBand="0" w:firstRowFirstColumn="0" w:firstRowLastColumn="0" w:lastRowFirstColumn="0" w:lastRowLastColumn="0"/>
              <w:rPr>
                <w:rFonts w:ascii="Georgia" w:hAnsi="Georgia"/>
              </w:rPr>
            </w:pPr>
            <w:r>
              <w:rPr>
                <w:rFonts w:ascii="Georgia" w:hAnsi="Georgia"/>
              </w:rPr>
              <w:t>Apskaičiuoti rezultatai</w:t>
            </w:r>
          </w:p>
        </w:tc>
        <w:tc>
          <w:tcPr>
            <w:tcW w:w="1165" w:type="pct"/>
          </w:tcPr>
          <w:p w14:paraId="6E26EF32" w14:textId="77777777" w:rsidR="00EA5FE8" w:rsidRDefault="00EA5FE8" w:rsidP="002A576D">
            <w:pPr>
              <w:keepNext/>
              <w:jc w:val="center"/>
              <w:cnfStyle w:val="100000000000" w:firstRow="1" w:lastRow="0" w:firstColumn="0" w:lastColumn="0" w:oddVBand="0" w:evenVBand="0" w:oddHBand="0" w:evenHBand="0" w:firstRowFirstColumn="0" w:firstRowLastColumn="0" w:lastRowFirstColumn="0" w:lastRowLastColumn="0"/>
              <w:rPr>
                <w:rFonts w:ascii="Georgia" w:hAnsi="Georgia"/>
              </w:rPr>
            </w:pPr>
            <w:r>
              <w:rPr>
                <w:rFonts w:ascii="Georgia" w:hAnsi="Georgia"/>
              </w:rPr>
              <w:t>Palyginimas su paklausos duomenimis</w:t>
            </w:r>
          </w:p>
        </w:tc>
      </w:tr>
      <w:tr w:rsidR="00BE141E" w14:paraId="346E0257" w14:textId="77777777" w:rsidTr="00DA6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pct"/>
            <w:hideMark/>
          </w:tcPr>
          <w:p w14:paraId="08BE0F78" w14:textId="77777777" w:rsidR="00BE141E" w:rsidRDefault="00BE141E" w:rsidP="002A576D">
            <w:pPr>
              <w:keepNext/>
              <w:rPr>
                <w:rFonts w:ascii="Georgia" w:hAnsi="Georgia"/>
                <w:b w:val="0"/>
                <w:sz w:val="20"/>
                <w:szCs w:val="20"/>
              </w:rPr>
            </w:pPr>
            <w:r>
              <w:rPr>
                <w:rFonts w:ascii="Georgia" w:hAnsi="Georgia"/>
                <w:sz w:val="20"/>
                <w:szCs w:val="20"/>
              </w:rPr>
              <w:t>Finansinė priemonė</w:t>
            </w:r>
          </w:p>
        </w:tc>
        <w:tc>
          <w:tcPr>
            <w:tcW w:w="1371" w:type="pct"/>
            <w:hideMark/>
          </w:tcPr>
          <w:p w14:paraId="7E6414F4" w14:textId="77777777" w:rsidR="00BE141E" w:rsidRDefault="00BE141E" w:rsidP="00EA5FE8">
            <w:pPr>
              <w:keepNext/>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eastAsia="Times New Roman" w:hAnsi="Georgia" w:cs="Times New Roman"/>
                <w:sz w:val="20"/>
                <w:szCs w:val="20"/>
                <w:lang w:eastAsia="lt-LT"/>
              </w:rPr>
              <w:t>Paskolos s</w:t>
            </w:r>
            <w:r w:rsidRPr="00C066BB">
              <w:rPr>
                <w:rFonts w:ascii="Georgia" w:eastAsia="Times New Roman" w:hAnsi="Georgia" w:cs="Times New Roman"/>
                <w:sz w:val="20"/>
                <w:szCs w:val="20"/>
                <w:lang w:eastAsia="lt-LT"/>
              </w:rPr>
              <w:t>avivaldybių viešųjų pastatų modernizacija</w:t>
            </w:r>
            <w:r>
              <w:rPr>
                <w:rFonts w:ascii="Georgia" w:eastAsia="Times New Roman" w:hAnsi="Georgia" w:cs="Times New Roman"/>
                <w:sz w:val="20"/>
                <w:szCs w:val="20"/>
                <w:lang w:eastAsia="lt-LT"/>
              </w:rPr>
              <w:t xml:space="preserve">i. </w:t>
            </w:r>
            <w:r w:rsidR="00EA5FE8">
              <w:rPr>
                <w:rFonts w:ascii="Georgia" w:eastAsia="Times New Roman" w:hAnsi="Georgia" w:cs="Times New Roman"/>
                <w:sz w:val="20"/>
                <w:szCs w:val="20"/>
                <w:lang w:eastAsia="lt-LT"/>
              </w:rPr>
              <w:t>Išperkami pinigų srautai</w:t>
            </w:r>
          </w:p>
        </w:tc>
        <w:tc>
          <w:tcPr>
            <w:tcW w:w="1166" w:type="pct"/>
          </w:tcPr>
          <w:p w14:paraId="6084D4D7" w14:textId="77777777" w:rsidR="00BE141E" w:rsidRPr="00BF68CC" w:rsidRDefault="00EA5FE8" w:rsidP="00EA5FE8">
            <w:pPr>
              <w:keepNext/>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eastAsia="Times New Roman" w:hAnsi="Georgia" w:cs="Times New Roman"/>
                <w:sz w:val="20"/>
                <w:szCs w:val="20"/>
                <w:lang w:eastAsia="lt-LT"/>
              </w:rPr>
              <w:t>Paskolos s</w:t>
            </w:r>
            <w:r w:rsidRPr="00C066BB">
              <w:rPr>
                <w:rFonts w:ascii="Georgia" w:eastAsia="Times New Roman" w:hAnsi="Georgia" w:cs="Times New Roman"/>
                <w:sz w:val="20"/>
                <w:szCs w:val="20"/>
                <w:lang w:eastAsia="lt-LT"/>
              </w:rPr>
              <w:t>avivaldybių viešųjų pastatų modernizacija</w:t>
            </w:r>
            <w:r>
              <w:rPr>
                <w:rFonts w:ascii="Georgia" w:eastAsia="Times New Roman" w:hAnsi="Georgia" w:cs="Times New Roman"/>
                <w:sz w:val="20"/>
                <w:szCs w:val="20"/>
                <w:lang w:eastAsia="lt-LT"/>
              </w:rPr>
              <w:t>i išduodamos rizikos pasidalijimo fondo apimtyje</w:t>
            </w:r>
          </w:p>
        </w:tc>
        <w:tc>
          <w:tcPr>
            <w:tcW w:w="1165" w:type="pct"/>
          </w:tcPr>
          <w:p w14:paraId="62E63437" w14:textId="77777777" w:rsidR="00BE141E" w:rsidRPr="00BF68CC" w:rsidRDefault="00BE141E" w:rsidP="002A576D">
            <w:pPr>
              <w:keepNext/>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BF68CC">
              <w:rPr>
                <w:rFonts w:ascii="Georgia" w:hAnsi="Georgia"/>
                <w:sz w:val="20"/>
                <w:szCs w:val="20"/>
              </w:rPr>
              <w:t>-</w:t>
            </w:r>
          </w:p>
        </w:tc>
      </w:tr>
      <w:tr w:rsidR="00BE141E" w14:paraId="41990B47" w14:textId="77777777" w:rsidTr="00DA65C2">
        <w:tc>
          <w:tcPr>
            <w:cnfStyle w:val="001000000000" w:firstRow="0" w:lastRow="0" w:firstColumn="1" w:lastColumn="0" w:oddVBand="0" w:evenVBand="0" w:oddHBand="0" w:evenHBand="0" w:firstRowFirstColumn="0" w:firstRowLastColumn="0" w:lastRowFirstColumn="0" w:lastRowLastColumn="0"/>
            <w:tcW w:w="1298" w:type="pct"/>
            <w:hideMark/>
          </w:tcPr>
          <w:p w14:paraId="7B5C8DB5" w14:textId="77777777" w:rsidR="00BE141E" w:rsidRDefault="00BE141E" w:rsidP="00914262">
            <w:pPr>
              <w:rPr>
                <w:rFonts w:ascii="Georgia" w:hAnsi="Georgia"/>
                <w:b w:val="0"/>
                <w:sz w:val="20"/>
                <w:szCs w:val="20"/>
              </w:rPr>
            </w:pPr>
            <w:r>
              <w:rPr>
                <w:rFonts w:ascii="Georgia" w:hAnsi="Georgia"/>
                <w:sz w:val="20"/>
                <w:szCs w:val="20"/>
              </w:rPr>
              <w:t>Finansuojanti institucija</w:t>
            </w:r>
          </w:p>
        </w:tc>
        <w:tc>
          <w:tcPr>
            <w:tcW w:w="1371" w:type="pct"/>
            <w:hideMark/>
          </w:tcPr>
          <w:p w14:paraId="28B54B3F" w14:textId="77777777" w:rsidR="00BE141E" w:rsidRDefault="00BE141E" w:rsidP="00914262">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eastAsia="Times New Roman" w:hAnsi="Georgia" w:cs="Times New Roman"/>
                <w:sz w:val="20"/>
                <w:szCs w:val="20"/>
                <w:lang w:eastAsia="lt-LT"/>
              </w:rPr>
              <w:t>Aplinkos ministerija</w:t>
            </w:r>
            <w:r>
              <w:rPr>
                <w:rFonts w:ascii="Georgia" w:hAnsi="Georgia"/>
                <w:sz w:val="20"/>
                <w:szCs w:val="20"/>
              </w:rPr>
              <w:t xml:space="preserve"> </w:t>
            </w:r>
          </w:p>
        </w:tc>
        <w:tc>
          <w:tcPr>
            <w:tcW w:w="1166" w:type="pct"/>
          </w:tcPr>
          <w:p w14:paraId="4E147858" w14:textId="77777777" w:rsidR="00BE141E" w:rsidRPr="00BF68CC" w:rsidRDefault="00EA5FE8" w:rsidP="00914262">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eastAsia="Times New Roman" w:hAnsi="Georgia" w:cs="Times New Roman"/>
                <w:sz w:val="20"/>
                <w:szCs w:val="20"/>
                <w:lang w:eastAsia="lt-LT"/>
              </w:rPr>
              <w:t>Aplinkos ministerija</w:t>
            </w:r>
          </w:p>
        </w:tc>
        <w:tc>
          <w:tcPr>
            <w:tcW w:w="1165" w:type="pct"/>
          </w:tcPr>
          <w:p w14:paraId="02599440" w14:textId="77777777" w:rsidR="00BE141E" w:rsidRPr="00BF68CC" w:rsidRDefault="00BE141E" w:rsidP="00914262">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F68CC">
              <w:rPr>
                <w:rFonts w:ascii="Georgia" w:hAnsi="Georgia"/>
                <w:sz w:val="20"/>
                <w:szCs w:val="20"/>
              </w:rPr>
              <w:t>-</w:t>
            </w:r>
          </w:p>
        </w:tc>
      </w:tr>
      <w:tr w:rsidR="00BE141E" w14:paraId="2D6F57C1" w14:textId="77777777" w:rsidTr="00DA6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pct"/>
            <w:hideMark/>
          </w:tcPr>
          <w:p w14:paraId="27528D32" w14:textId="77777777" w:rsidR="00BE141E" w:rsidRDefault="00BE141E" w:rsidP="00914262">
            <w:pPr>
              <w:rPr>
                <w:rFonts w:ascii="Georgia" w:hAnsi="Georgia"/>
                <w:b w:val="0"/>
                <w:sz w:val="20"/>
                <w:szCs w:val="20"/>
              </w:rPr>
            </w:pPr>
            <w:r>
              <w:rPr>
                <w:rFonts w:ascii="Georgia" w:hAnsi="Georgia"/>
                <w:sz w:val="20"/>
                <w:szCs w:val="20"/>
              </w:rPr>
              <w:t>Galutinius naudos gavėjus pasiekusios lėšos</w:t>
            </w:r>
          </w:p>
        </w:tc>
        <w:tc>
          <w:tcPr>
            <w:tcW w:w="1371" w:type="pct"/>
            <w:hideMark/>
          </w:tcPr>
          <w:p w14:paraId="24FF7EF3" w14:textId="0D9FB0AF" w:rsidR="00BE141E" w:rsidRPr="00227896" w:rsidRDefault="000D10FC" w:rsidP="00914262">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bCs/>
                <w:color w:val="000000"/>
                <w:sz w:val="20"/>
                <w:szCs w:val="20"/>
              </w:rPr>
              <w:t>53,6</w:t>
            </w:r>
            <w:r w:rsidR="00BE141E" w:rsidRPr="00CA0B2F">
              <w:rPr>
                <w:rFonts w:ascii="Georgia" w:hAnsi="Georgia"/>
                <w:bCs/>
                <w:color w:val="000000"/>
                <w:sz w:val="20"/>
                <w:szCs w:val="20"/>
              </w:rPr>
              <w:t xml:space="preserve"> </w:t>
            </w:r>
            <w:r w:rsidR="00BE141E" w:rsidRPr="00CA0B2F">
              <w:rPr>
                <w:rFonts w:ascii="Georgia" w:eastAsia="Times New Roman" w:hAnsi="Georgia" w:cs="Times New Roman"/>
                <w:sz w:val="20"/>
                <w:szCs w:val="20"/>
                <w:lang w:eastAsia="lt-LT"/>
              </w:rPr>
              <w:t>mln. eurų</w:t>
            </w:r>
            <w:r w:rsidR="00BE141E" w:rsidRPr="00227896">
              <w:rPr>
                <w:rFonts w:ascii="Georgia" w:hAnsi="Georgia"/>
                <w:sz w:val="20"/>
                <w:szCs w:val="20"/>
              </w:rPr>
              <w:t xml:space="preserve"> </w:t>
            </w:r>
          </w:p>
        </w:tc>
        <w:tc>
          <w:tcPr>
            <w:tcW w:w="1166" w:type="pct"/>
          </w:tcPr>
          <w:p w14:paraId="78B5E433" w14:textId="4249E405" w:rsidR="00BE141E" w:rsidRPr="00227896" w:rsidRDefault="00C331B4" w:rsidP="00EA5FE8">
            <w:pPr>
              <w:jc w:val="center"/>
              <w:cnfStyle w:val="000000100000" w:firstRow="0" w:lastRow="0" w:firstColumn="0" w:lastColumn="0" w:oddVBand="0" w:evenVBand="0" w:oddHBand="1" w:evenHBand="0" w:firstRowFirstColumn="0" w:firstRowLastColumn="0" w:lastRowFirstColumn="0" w:lastRowLastColumn="0"/>
              <w:rPr>
                <w:rFonts w:ascii="Georgia" w:hAnsi="Georgia" w:cs="Georgia"/>
                <w:sz w:val="20"/>
                <w:szCs w:val="20"/>
              </w:rPr>
            </w:pPr>
            <w:r>
              <w:rPr>
                <w:rFonts w:ascii="Georgia" w:hAnsi="Georgia"/>
                <w:bCs/>
                <w:color w:val="000000"/>
                <w:sz w:val="20"/>
                <w:szCs w:val="20"/>
              </w:rPr>
              <w:t>70,3</w:t>
            </w:r>
            <w:r w:rsidR="00EA5FE8" w:rsidRPr="00CA0B2F">
              <w:rPr>
                <w:rFonts w:ascii="Georgia" w:hAnsi="Georgia"/>
                <w:bCs/>
                <w:color w:val="000000"/>
                <w:sz w:val="20"/>
                <w:szCs w:val="20"/>
              </w:rPr>
              <w:t xml:space="preserve"> </w:t>
            </w:r>
            <w:r w:rsidR="00EA5FE8" w:rsidRPr="00CA0B2F">
              <w:rPr>
                <w:rFonts w:ascii="Georgia" w:eastAsia="Times New Roman" w:hAnsi="Georgia" w:cs="Times New Roman"/>
                <w:sz w:val="20"/>
                <w:szCs w:val="20"/>
                <w:lang w:eastAsia="lt-LT"/>
              </w:rPr>
              <w:t>mln. eurų</w:t>
            </w:r>
          </w:p>
        </w:tc>
        <w:tc>
          <w:tcPr>
            <w:tcW w:w="1165" w:type="pct"/>
          </w:tcPr>
          <w:p w14:paraId="75007402" w14:textId="77777777" w:rsidR="00BE141E" w:rsidRPr="00227896" w:rsidRDefault="00BE141E" w:rsidP="00914262">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227896">
              <w:rPr>
                <w:rFonts w:ascii="Georgia" w:hAnsi="Georgia" w:cs="Georgia"/>
                <w:sz w:val="20"/>
                <w:szCs w:val="20"/>
              </w:rPr>
              <w:t xml:space="preserve">234,6 </w:t>
            </w:r>
            <w:r w:rsidRPr="00227896">
              <w:rPr>
                <w:rFonts w:ascii="Georgia" w:hAnsi="Georgia"/>
                <w:sz w:val="20"/>
                <w:szCs w:val="20"/>
              </w:rPr>
              <w:t>mln. eurų</w:t>
            </w:r>
          </w:p>
        </w:tc>
      </w:tr>
      <w:tr w:rsidR="00BE141E" w14:paraId="74A63003" w14:textId="77777777" w:rsidTr="00DA65C2">
        <w:tc>
          <w:tcPr>
            <w:cnfStyle w:val="001000000000" w:firstRow="0" w:lastRow="0" w:firstColumn="1" w:lastColumn="0" w:oddVBand="0" w:evenVBand="0" w:oddHBand="0" w:evenHBand="0" w:firstRowFirstColumn="0" w:firstRowLastColumn="0" w:lastRowFirstColumn="0" w:lastRowLastColumn="0"/>
            <w:tcW w:w="1298" w:type="pct"/>
            <w:hideMark/>
          </w:tcPr>
          <w:p w14:paraId="238657AA" w14:textId="77777777" w:rsidR="00BE141E" w:rsidRDefault="00BE141E" w:rsidP="00914262">
            <w:pPr>
              <w:rPr>
                <w:rFonts w:ascii="Georgia" w:hAnsi="Georgia"/>
                <w:b w:val="0"/>
                <w:sz w:val="20"/>
                <w:szCs w:val="20"/>
              </w:rPr>
            </w:pPr>
            <w:r>
              <w:rPr>
                <w:rFonts w:ascii="Georgia" w:hAnsi="Georgia"/>
                <w:sz w:val="20"/>
                <w:szCs w:val="20"/>
              </w:rPr>
              <w:t>Pritrauktos lėšos iš privačių šaltinių</w:t>
            </w:r>
          </w:p>
        </w:tc>
        <w:tc>
          <w:tcPr>
            <w:tcW w:w="1371" w:type="pct"/>
            <w:hideMark/>
          </w:tcPr>
          <w:p w14:paraId="73DDD259" w14:textId="27BD615E" w:rsidR="00BE141E" w:rsidRPr="00CA0B2F" w:rsidRDefault="00BE141E" w:rsidP="00C331B4">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CA0B2F">
              <w:rPr>
                <w:rFonts w:ascii="Georgia" w:hAnsi="Georgia"/>
                <w:sz w:val="20"/>
                <w:szCs w:val="20"/>
              </w:rPr>
              <w:t> </w:t>
            </w:r>
            <w:r w:rsidR="00C331B4">
              <w:rPr>
                <w:rFonts w:ascii="Georgia" w:eastAsia="Times New Roman" w:hAnsi="Georgia" w:cs="Times New Roman"/>
                <w:sz w:val="20"/>
                <w:szCs w:val="20"/>
                <w:lang w:eastAsia="lt-LT"/>
              </w:rPr>
              <w:t>19,6</w:t>
            </w:r>
            <w:r w:rsidRPr="00CA0B2F">
              <w:rPr>
                <w:rFonts w:ascii="Georgia" w:eastAsia="Times New Roman" w:hAnsi="Georgia" w:cs="Times New Roman"/>
                <w:sz w:val="20"/>
                <w:szCs w:val="20"/>
                <w:lang w:eastAsia="lt-LT"/>
              </w:rPr>
              <w:t xml:space="preserve"> mln. eurų</w:t>
            </w:r>
          </w:p>
        </w:tc>
        <w:tc>
          <w:tcPr>
            <w:tcW w:w="1166" w:type="pct"/>
          </w:tcPr>
          <w:p w14:paraId="1FDB8603" w14:textId="274D2CEA" w:rsidR="00BE141E" w:rsidRPr="00227896" w:rsidRDefault="00EA5FE8" w:rsidP="00914262">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21,</w:t>
            </w:r>
            <w:r w:rsidR="00C331B4">
              <w:rPr>
                <w:rFonts w:ascii="Georgia" w:hAnsi="Georgia"/>
                <w:sz w:val="20"/>
                <w:szCs w:val="20"/>
              </w:rPr>
              <w:t>4</w:t>
            </w:r>
            <w:r>
              <w:rPr>
                <w:rFonts w:ascii="Georgia" w:hAnsi="Georgia"/>
                <w:sz w:val="20"/>
                <w:szCs w:val="20"/>
              </w:rPr>
              <w:t xml:space="preserve"> </w:t>
            </w:r>
            <w:r w:rsidRPr="00CA0B2F">
              <w:rPr>
                <w:rFonts w:ascii="Georgia" w:eastAsia="Times New Roman" w:hAnsi="Georgia" w:cs="Times New Roman"/>
                <w:sz w:val="20"/>
                <w:szCs w:val="20"/>
                <w:lang w:eastAsia="lt-LT"/>
              </w:rPr>
              <w:t>mln. eurų</w:t>
            </w:r>
          </w:p>
        </w:tc>
        <w:tc>
          <w:tcPr>
            <w:tcW w:w="1165" w:type="pct"/>
          </w:tcPr>
          <w:p w14:paraId="43B0E74C" w14:textId="77777777" w:rsidR="00BE141E" w:rsidRPr="00227896" w:rsidRDefault="00BE141E" w:rsidP="00914262">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227896">
              <w:rPr>
                <w:rFonts w:ascii="Georgia" w:hAnsi="Georgia"/>
                <w:sz w:val="20"/>
                <w:szCs w:val="20"/>
              </w:rPr>
              <w:t>-</w:t>
            </w:r>
          </w:p>
        </w:tc>
      </w:tr>
      <w:tr w:rsidR="00BE141E" w14:paraId="25B2914D" w14:textId="77777777" w:rsidTr="00DA6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pct"/>
            <w:hideMark/>
          </w:tcPr>
          <w:p w14:paraId="268CE864" w14:textId="77777777" w:rsidR="00BE141E" w:rsidRDefault="00BE141E" w:rsidP="00914262">
            <w:pPr>
              <w:rPr>
                <w:rFonts w:ascii="Georgia" w:hAnsi="Georgia"/>
                <w:b w:val="0"/>
                <w:sz w:val="20"/>
                <w:szCs w:val="20"/>
              </w:rPr>
            </w:pPr>
            <w:r>
              <w:rPr>
                <w:rFonts w:ascii="Georgia" w:hAnsi="Georgia"/>
                <w:sz w:val="20"/>
                <w:szCs w:val="20"/>
              </w:rPr>
              <w:t>Sverto efektas</w:t>
            </w:r>
          </w:p>
        </w:tc>
        <w:tc>
          <w:tcPr>
            <w:tcW w:w="1371" w:type="pct"/>
            <w:hideMark/>
          </w:tcPr>
          <w:p w14:paraId="06BBFD34" w14:textId="56C0D7B6" w:rsidR="00BE141E" w:rsidRPr="00CA0B2F" w:rsidRDefault="00EA5FE8" w:rsidP="000D10FC">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eastAsia="Times New Roman" w:hAnsi="Georgia" w:cs="Times New Roman"/>
                <w:sz w:val="20"/>
                <w:szCs w:val="20"/>
                <w:lang w:eastAsia="lt-LT"/>
              </w:rPr>
              <w:t>1,</w:t>
            </w:r>
            <w:r w:rsidR="000D10FC">
              <w:rPr>
                <w:rFonts w:ascii="Georgia" w:eastAsia="Times New Roman" w:hAnsi="Georgia" w:cs="Times New Roman"/>
                <w:sz w:val="20"/>
                <w:szCs w:val="20"/>
                <w:lang w:eastAsia="lt-LT"/>
              </w:rPr>
              <w:t>3</w:t>
            </w:r>
            <w:r>
              <w:rPr>
                <w:rFonts w:ascii="Georgia" w:eastAsia="Times New Roman" w:hAnsi="Georgia" w:cs="Times New Roman"/>
                <w:sz w:val="20"/>
                <w:szCs w:val="20"/>
                <w:lang w:eastAsia="lt-LT"/>
              </w:rPr>
              <w:t>9</w:t>
            </w:r>
          </w:p>
        </w:tc>
        <w:tc>
          <w:tcPr>
            <w:tcW w:w="1166" w:type="pct"/>
          </w:tcPr>
          <w:p w14:paraId="74ED6232" w14:textId="3F203EA1" w:rsidR="00BE141E" w:rsidRPr="00227896" w:rsidRDefault="00EA5FE8" w:rsidP="000D10FC">
            <w:pPr>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0"/>
              </w:rPr>
            </w:pPr>
            <w:r>
              <w:rPr>
                <w:rFonts w:ascii="Georgia" w:hAnsi="Georgia"/>
                <w:bCs/>
                <w:sz w:val="20"/>
                <w:szCs w:val="20"/>
              </w:rPr>
              <w:t>1,</w:t>
            </w:r>
            <w:r w:rsidR="000D10FC">
              <w:rPr>
                <w:rFonts w:ascii="Georgia" w:hAnsi="Georgia"/>
                <w:bCs/>
                <w:sz w:val="20"/>
                <w:szCs w:val="20"/>
              </w:rPr>
              <w:t>58</w:t>
            </w:r>
          </w:p>
        </w:tc>
        <w:tc>
          <w:tcPr>
            <w:tcW w:w="1165" w:type="pct"/>
          </w:tcPr>
          <w:p w14:paraId="51DCFBBE" w14:textId="77777777" w:rsidR="00BE141E" w:rsidRPr="00227896" w:rsidRDefault="00BE141E" w:rsidP="00914262">
            <w:pPr>
              <w:jc w:val="center"/>
              <w:cnfStyle w:val="000000100000" w:firstRow="0" w:lastRow="0" w:firstColumn="0" w:lastColumn="0" w:oddVBand="0" w:evenVBand="0" w:oddHBand="1" w:evenHBand="0" w:firstRowFirstColumn="0" w:firstRowLastColumn="0" w:lastRowFirstColumn="0" w:lastRowLastColumn="0"/>
              <w:rPr>
                <w:rFonts w:ascii="Georgia" w:hAnsi="Georgia"/>
                <w:bCs/>
                <w:sz w:val="20"/>
                <w:szCs w:val="20"/>
              </w:rPr>
            </w:pPr>
            <w:r w:rsidRPr="00227896">
              <w:rPr>
                <w:rFonts w:ascii="Georgia" w:hAnsi="Georgia"/>
                <w:bCs/>
                <w:sz w:val="20"/>
                <w:szCs w:val="20"/>
              </w:rPr>
              <w:t>-</w:t>
            </w:r>
          </w:p>
        </w:tc>
      </w:tr>
      <w:tr w:rsidR="00BE141E" w14:paraId="7E7C5153" w14:textId="77777777" w:rsidTr="00DA65C2">
        <w:tc>
          <w:tcPr>
            <w:cnfStyle w:val="001000000000" w:firstRow="0" w:lastRow="0" w:firstColumn="1" w:lastColumn="0" w:oddVBand="0" w:evenVBand="0" w:oddHBand="0" w:evenHBand="0" w:firstRowFirstColumn="0" w:firstRowLastColumn="0" w:lastRowFirstColumn="0" w:lastRowLastColumn="0"/>
            <w:tcW w:w="1298" w:type="pct"/>
            <w:hideMark/>
          </w:tcPr>
          <w:p w14:paraId="4E7CF251" w14:textId="77777777" w:rsidR="00BE141E" w:rsidRDefault="00BE141E" w:rsidP="00914262">
            <w:pPr>
              <w:rPr>
                <w:rFonts w:ascii="Georgia" w:hAnsi="Georgia"/>
                <w:b w:val="0"/>
                <w:sz w:val="20"/>
                <w:szCs w:val="20"/>
              </w:rPr>
            </w:pPr>
            <w:r>
              <w:rPr>
                <w:rFonts w:ascii="Georgia" w:hAnsi="Georgia"/>
                <w:sz w:val="20"/>
                <w:szCs w:val="20"/>
              </w:rPr>
              <w:t>Renovuotų pastatų skaičius iki 2022 metų</w:t>
            </w:r>
          </w:p>
        </w:tc>
        <w:tc>
          <w:tcPr>
            <w:tcW w:w="1371" w:type="pct"/>
            <w:hideMark/>
          </w:tcPr>
          <w:p w14:paraId="2A68E1DF" w14:textId="530F7457" w:rsidR="00BE141E" w:rsidRPr="00CA0B2F" w:rsidRDefault="000D10FC" w:rsidP="00914262">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235</w:t>
            </w:r>
          </w:p>
        </w:tc>
        <w:tc>
          <w:tcPr>
            <w:tcW w:w="1166" w:type="pct"/>
          </w:tcPr>
          <w:p w14:paraId="14ADF6B0" w14:textId="12EEFCE2" w:rsidR="00BE141E" w:rsidRPr="00760316" w:rsidRDefault="000D10FC" w:rsidP="00914262">
            <w:pPr>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0"/>
              </w:rPr>
            </w:pPr>
            <w:r>
              <w:rPr>
                <w:rFonts w:ascii="Georgia" w:hAnsi="Georgia"/>
                <w:bCs/>
                <w:sz w:val="20"/>
                <w:szCs w:val="20"/>
              </w:rPr>
              <w:t>365</w:t>
            </w:r>
          </w:p>
        </w:tc>
        <w:tc>
          <w:tcPr>
            <w:tcW w:w="1165" w:type="pct"/>
          </w:tcPr>
          <w:p w14:paraId="70DD8D22" w14:textId="77777777" w:rsidR="00BE141E" w:rsidRPr="00CA0B2F" w:rsidRDefault="00BE141E" w:rsidP="00914262">
            <w:pPr>
              <w:jc w:val="center"/>
              <w:cnfStyle w:val="000000000000" w:firstRow="0" w:lastRow="0" w:firstColumn="0" w:lastColumn="0" w:oddVBand="0" w:evenVBand="0" w:oddHBand="0" w:evenHBand="0" w:firstRowFirstColumn="0" w:firstRowLastColumn="0" w:lastRowFirstColumn="0" w:lastRowLastColumn="0"/>
              <w:rPr>
                <w:rFonts w:ascii="Georgia" w:hAnsi="Georgia"/>
                <w:bCs/>
                <w:sz w:val="20"/>
                <w:szCs w:val="20"/>
              </w:rPr>
            </w:pPr>
            <w:r w:rsidRPr="00760316">
              <w:rPr>
                <w:rFonts w:ascii="Georgia" w:hAnsi="Georgia"/>
                <w:bCs/>
                <w:sz w:val="20"/>
                <w:szCs w:val="20"/>
              </w:rPr>
              <w:t>1027</w:t>
            </w:r>
          </w:p>
        </w:tc>
      </w:tr>
      <w:tr w:rsidR="00BE141E" w14:paraId="6C67BD3E" w14:textId="77777777" w:rsidTr="00DA65C2">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298" w:type="pct"/>
            <w:hideMark/>
          </w:tcPr>
          <w:p w14:paraId="0248E6A6" w14:textId="77777777" w:rsidR="00BE141E" w:rsidRDefault="00BE141E" w:rsidP="00914262">
            <w:pPr>
              <w:rPr>
                <w:rFonts w:ascii="Georgia" w:hAnsi="Georgia"/>
                <w:sz w:val="20"/>
                <w:szCs w:val="20"/>
              </w:rPr>
            </w:pPr>
            <w:r>
              <w:rPr>
                <w:rFonts w:ascii="Georgia" w:hAnsi="Georgia"/>
                <w:sz w:val="20"/>
                <w:szCs w:val="20"/>
              </w:rPr>
              <w:t>Renovuotų pastatų plotas iki 2022 metų</w:t>
            </w:r>
          </w:p>
        </w:tc>
        <w:tc>
          <w:tcPr>
            <w:tcW w:w="1371" w:type="pct"/>
            <w:hideMark/>
          </w:tcPr>
          <w:p w14:paraId="41C52DC5" w14:textId="37463CCD" w:rsidR="00BE141E" w:rsidRPr="00CA0B2F" w:rsidRDefault="000D10FC" w:rsidP="00914262">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264,8</w:t>
            </w:r>
            <w:r w:rsidRPr="00CA0B2F">
              <w:rPr>
                <w:rFonts w:ascii="Georgia" w:hAnsi="Georgia"/>
                <w:sz w:val="20"/>
                <w:szCs w:val="20"/>
              </w:rPr>
              <w:t xml:space="preserve"> </w:t>
            </w:r>
            <w:r w:rsidR="00BE141E" w:rsidRPr="00CA0B2F">
              <w:rPr>
                <w:rFonts w:ascii="Georgia" w:hAnsi="Georgia"/>
                <w:sz w:val="20"/>
                <w:szCs w:val="20"/>
              </w:rPr>
              <w:t>tūkst. kv. m.</w:t>
            </w:r>
          </w:p>
        </w:tc>
        <w:tc>
          <w:tcPr>
            <w:tcW w:w="1166" w:type="pct"/>
          </w:tcPr>
          <w:p w14:paraId="4479B2A3" w14:textId="1C97443D" w:rsidR="00BE141E" w:rsidRPr="00760316" w:rsidRDefault="000D10FC" w:rsidP="00914262">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411,4</w:t>
            </w:r>
            <w:r w:rsidR="00EA5FE8">
              <w:rPr>
                <w:rFonts w:ascii="Georgia" w:hAnsi="Georgia"/>
                <w:sz w:val="20"/>
                <w:szCs w:val="20"/>
              </w:rPr>
              <w:t xml:space="preserve"> </w:t>
            </w:r>
            <w:r w:rsidR="00EA5FE8" w:rsidRPr="00CA0B2F">
              <w:rPr>
                <w:rFonts w:ascii="Georgia" w:hAnsi="Georgia"/>
                <w:sz w:val="20"/>
                <w:szCs w:val="20"/>
              </w:rPr>
              <w:t>tūkst. kv. m.</w:t>
            </w:r>
          </w:p>
        </w:tc>
        <w:tc>
          <w:tcPr>
            <w:tcW w:w="1165" w:type="pct"/>
          </w:tcPr>
          <w:p w14:paraId="0BC7006B" w14:textId="77777777" w:rsidR="00BE141E" w:rsidRPr="00CA0B2F" w:rsidRDefault="00BE141E" w:rsidP="00914262">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760316">
              <w:rPr>
                <w:rFonts w:ascii="Georgia" w:hAnsi="Georgia"/>
                <w:sz w:val="20"/>
                <w:szCs w:val="20"/>
              </w:rPr>
              <w:t>1157</w:t>
            </w:r>
            <w:r w:rsidRPr="00CA0B2F">
              <w:rPr>
                <w:rFonts w:ascii="Georgia" w:hAnsi="Georgia"/>
                <w:sz w:val="20"/>
                <w:szCs w:val="20"/>
              </w:rPr>
              <w:t xml:space="preserve"> tūkst. kv. m.</w:t>
            </w:r>
          </w:p>
        </w:tc>
      </w:tr>
      <w:tr w:rsidR="00BE141E" w14:paraId="709E326C" w14:textId="77777777" w:rsidTr="00DA65C2">
        <w:trPr>
          <w:trHeight w:val="531"/>
        </w:trPr>
        <w:tc>
          <w:tcPr>
            <w:cnfStyle w:val="001000000000" w:firstRow="0" w:lastRow="0" w:firstColumn="1" w:lastColumn="0" w:oddVBand="0" w:evenVBand="0" w:oddHBand="0" w:evenHBand="0" w:firstRowFirstColumn="0" w:firstRowLastColumn="0" w:lastRowFirstColumn="0" w:lastRowLastColumn="0"/>
            <w:tcW w:w="1298" w:type="pct"/>
            <w:hideMark/>
          </w:tcPr>
          <w:p w14:paraId="62D3F273" w14:textId="77777777" w:rsidR="00BE141E" w:rsidRDefault="00BE141E" w:rsidP="00914262">
            <w:pPr>
              <w:rPr>
                <w:rFonts w:ascii="Georgia" w:hAnsi="Georgia"/>
                <w:b w:val="0"/>
                <w:sz w:val="20"/>
                <w:szCs w:val="20"/>
              </w:rPr>
            </w:pPr>
            <w:r>
              <w:rPr>
                <w:rFonts w:ascii="Georgia" w:hAnsi="Georgia"/>
                <w:sz w:val="20"/>
                <w:szCs w:val="20"/>
              </w:rPr>
              <w:t>Renovuotų pastatų energijos efektyvumo suvartojimo sumažėjimas, ne mažiau kaip</w:t>
            </w:r>
          </w:p>
        </w:tc>
        <w:tc>
          <w:tcPr>
            <w:tcW w:w="1371" w:type="pct"/>
            <w:hideMark/>
          </w:tcPr>
          <w:p w14:paraId="78091A96" w14:textId="77777777" w:rsidR="00BE141E" w:rsidRDefault="00BE141E" w:rsidP="00914262">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40 proc.</w:t>
            </w:r>
          </w:p>
        </w:tc>
        <w:tc>
          <w:tcPr>
            <w:tcW w:w="1166" w:type="pct"/>
          </w:tcPr>
          <w:p w14:paraId="104DF384" w14:textId="77777777" w:rsidR="00BE141E" w:rsidRPr="00BF68CC" w:rsidRDefault="00BE141E" w:rsidP="00914262">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Pr>
                <w:rFonts w:ascii="Georgia" w:hAnsi="Georgia"/>
                <w:sz w:val="20"/>
                <w:szCs w:val="20"/>
              </w:rPr>
              <w:t>40 proc.</w:t>
            </w:r>
          </w:p>
        </w:tc>
        <w:tc>
          <w:tcPr>
            <w:tcW w:w="1165" w:type="pct"/>
          </w:tcPr>
          <w:p w14:paraId="1983CEB8" w14:textId="77777777" w:rsidR="00BE141E" w:rsidRPr="00BF68CC" w:rsidRDefault="00BE141E" w:rsidP="00914262">
            <w:pPr>
              <w:jc w:val="cente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BF68CC">
              <w:rPr>
                <w:rFonts w:ascii="Georgia" w:hAnsi="Georgia"/>
                <w:sz w:val="20"/>
                <w:szCs w:val="20"/>
              </w:rPr>
              <w:t>Kuo daugiau</w:t>
            </w:r>
          </w:p>
        </w:tc>
      </w:tr>
      <w:tr w:rsidR="00BE141E" w14:paraId="417B9699" w14:textId="77777777" w:rsidTr="00DA6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pct"/>
            <w:hideMark/>
          </w:tcPr>
          <w:p w14:paraId="00014150" w14:textId="77777777" w:rsidR="00BE141E" w:rsidRDefault="00BE141E" w:rsidP="00914262">
            <w:pPr>
              <w:rPr>
                <w:rFonts w:ascii="Georgia" w:hAnsi="Georgia"/>
                <w:b w:val="0"/>
                <w:sz w:val="20"/>
                <w:szCs w:val="20"/>
              </w:rPr>
            </w:pPr>
            <w:r>
              <w:rPr>
                <w:rFonts w:ascii="Georgia" w:hAnsi="Georgia"/>
                <w:sz w:val="20"/>
                <w:szCs w:val="20"/>
              </w:rPr>
              <w:t xml:space="preserve">Pasiekta energetinio efektyvumo klasė renovuotuose pastatuose ne mažesnė kaip </w:t>
            </w:r>
          </w:p>
        </w:tc>
        <w:tc>
          <w:tcPr>
            <w:tcW w:w="1371" w:type="pct"/>
            <w:hideMark/>
          </w:tcPr>
          <w:p w14:paraId="4B335914" w14:textId="77777777" w:rsidR="00BE141E" w:rsidRDefault="00BE141E" w:rsidP="00914262">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C</w:t>
            </w:r>
          </w:p>
        </w:tc>
        <w:tc>
          <w:tcPr>
            <w:tcW w:w="1166" w:type="pct"/>
          </w:tcPr>
          <w:p w14:paraId="0BED24E5" w14:textId="77777777" w:rsidR="00BE141E" w:rsidRDefault="00BE141E" w:rsidP="00914262">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C</w:t>
            </w:r>
          </w:p>
        </w:tc>
        <w:tc>
          <w:tcPr>
            <w:tcW w:w="1165" w:type="pct"/>
          </w:tcPr>
          <w:p w14:paraId="23AD1140" w14:textId="77777777" w:rsidR="00BE141E" w:rsidRDefault="00BE141E" w:rsidP="00914262">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Pr>
                <w:rFonts w:ascii="Georgia" w:hAnsi="Georgia"/>
                <w:sz w:val="20"/>
                <w:szCs w:val="20"/>
              </w:rPr>
              <w:t>C</w:t>
            </w:r>
          </w:p>
        </w:tc>
      </w:tr>
    </w:tbl>
    <w:p w14:paraId="3D4D36F6" w14:textId="77777777" w:rsidR="002A576D" w:rsidRPr="00AC3318" w:rsidRDefault="002A576D" w:rsidP="002A576D">
      <w:pPr>
        <w:jc w:val="both"/>
        <w:rPr>
          <w:rFonts w:ascii="Georgia" w:eastAsia="Times New Roman" w:hAnsi="Georgia" w:cs="Times New Roman"/>
          <w:sz w:val="20"/>
          <w:szCs w:val="20"/>
          <w:lang w:val="lt-LT" w:eastAsia="lt-LT"/>
        </w:rPr>
      </w:pPr>
    </w:p>
    <w:p w14:paraId="56424ADD" w14:textId="77777777" w:rsidR="002A576D" w:rsidRPr="003351A4" w:rsidRDefault="002A576D" w:rsidP="002A576D">
      <w:pPr>
        <w:pStyle w:val="Antrat2"/>
        <w:numPr>
          <w:ilvl w:val="2"/>
          <w:numId w:val="2"/>
        </w:numPr>
        <w:spacing w:after="240"/>
        <w:rPr>
          <w:lang w:val="lt-LT"/>
        </w:rPr>
      </w:pPr>
      <w:bookmarkStart w:id="438" w:name="_Toc417378468"/>
      <w:r w:rsidRPr="003351A4">
        <w:rPr>
          <w:lang w:val="lt-LT"/>
        </w:rPr>
        <w:t>Finansinės priemonės rezultatų prisidėjimas prie strateginių tikslų</w:t>
      </w:r>
      <w:bookmarkEnd w:id="438"/>
      <w:r w:rsidRPr="003351A4">
        <w:rPr>
          <w:lang w:val="lt-LT"/>
        </w:rPr>
        <w:t xml:space="preserve"> </w:t>
      </w:r>
    </w:p>
    <w:p w14:paraId="483EF5C6" w14:textId="77777777" w:rsidR="002A576D" w:rsidRPr="0023462D" w:rsidRDefault="002A576D" w:rsidP="002A576D">
      <w:pPr>
        <w:jc w:val="both"/>
        <w:rPr>
          <w:rFonts w:ascii="Georgia" w:eastAsia="Times New Roman" w:hAnsi="Georgia" w:cs="Times New Roman"/>
          <w:sz w:val="20"/>
          <w:szCs w:val="20"/>
          <w:lang w:val="lt-LT" w:eastAsia="lt-LT"/>
        </w:rPr>
      </w:pPr>
      <w:r w:rsidRPr="0023462D">
        <w:rPr>
          <w:rFonts w:ascii="Georgia" w:eastAsia="Times New Roman" w:hAnsi="Georgia" w:cs="Times New Roman"/>
          <w:sz w:val="20"/>
          <w:szCs w:val="20"/>
          <w:lang w:val="lt-LT" w:eastAsia="lt-LT"/>
        </w:rPr>
        <w:t>Siūlomos finansinės priemonės kūrimas prisidės prie ES ir nacionalinių strateginių tikslų įgyvendinimo. Pagrindiniai tokie strateginiai dokumentai yra Nacionalinė energetinės nepriklausomybės strategija</w:t>
      </w:r>
      <w:r>
        <w:rPr>
          <w:rFonts w:ascii="Georgia" w:eastAsia="Times New Roman" w:hAnsi="Georgia" w:cs="Times New Roman"/>
          <w:sz w:val="20"/>
          <w:szCs w:val="20"/>
          <w:lang w:val="lt-LT" w:eastAsia="lt-LT"/>
        </w:rPr>
        <w:t xml:space="preserve"> </w:t>
      </w:r>
      <w:r w:rsidRPr="00DB79A6">
        <w:rPr>
          <w:rFonts w:ascii="Georgia" w:eastAsia="Times New Roman" w:hAnsi="Georgia" w:cs="Times New Roman"/>
          <w:sz w:val="20"/>
          <w:szCs w:val="20"/>
          <w:lang w:val="lt-LT" w:eastAsia="lt-LT"/>
        </w:rPr>
        <w:t xml:space="preserve">ir </w:t>
      </w:r>
      <w:r w:rsidRPr="00760316">
        <w:rPr>
          <w:rFonts w:ascii="Georgia" w:eastAsia="Times New Roman" w:hAnsi="Georgia" w:cs="Times New Roman"/>
          <w:sz w:val="20"/>
          <w:szCs w:val="20"/>
          <w:lang w:val="lt-LT" w:eastAsia="lt-LT"/>
        </w:rPr>
        <w:t>V</w:t>
      </w:r>
      <w:r w:rsidRPr="00DB79A6">
        <w:rPr>
          <w:rFonts w:ascii="Georgia" w:eastAsia="Times New Roman" w:hAnsi="Georgia" w:cs="Times New Roman"/>
          <w:sz w:val="20"/>
          <w:szCs w:val="20"/>
          <w:lang w:val="lt-LT" w:eastAsia="lt-LT"/>
        </w:rPr>
        <w:t>iešųjų pastatų energijos efektyvumo didinimo programa. Žemiau yra</w:t>
      </w:r>
      <w:r w:rsidRPr="0023462D">
        <w:rPr>
          <w:rFonts w:ascii="Georgia" w:eastAsia="Times New Roman" w:hAnsi="Georgia" w:cs="Times New Roman"/>
          <w:sz w:val="20"/>
          <w:szCs w:val="20"/>
          <w:lang w:val="lt-LT" w:eastAsia="lt-LT"/>
        </w:rPr>
        <w:t xml:space="preserve"> pateikiamas detalesnis įvertinimas, kiek finansinės priemonės sukūrimas padės pasiekti strateginius tikslus. </w:t>
      </w:r>
    </w:p>
    <w:p w14:paraId="32677F94" w14:textId="77777777" w:rsidR="002A576D" w:rsidRPr="0023462D" w:rsidRDefault="002A576D" w:rsidP="002A576D">
      <w:pPr>
        <w:jc w:val="both"/>
        <w:rPr>
          <w:rFonts w:ascii="Georgia" w:eastAsia="Times New Roman" w:hAnsi="Georgia" w:cs="Times New Roman"/>
          <w:b/>
          <w:i/>
          <w:sz w:val="20"/>
          <w:szCs w:val="20"/>
          <w:lang w:val="lt-LT" w:eastAsia="lt-LT"/>
        </w:rPr>
      </w:pPr>
      <w:r>
        <w:rPr>
          <w:rFonts w:ascii="Georgia" w:eastAsia="Times New Roman" w:hAnsi="Georgia" w:cs="Times New Roman"/>
          <w:b/>
          <w:i/>
          <w:sz w:val="20"/>
          <w:szCs w:val="20"/>
          <w:lang w:val="lt-LT" w:eastAsia="lt-LT"/>
        </w:rPr>
        <w:t>Savivaldybių</w:t>
      </w:r>
      <w:r w:rsidRPr="0023462D">
        <w:rPr>
          <w:rFonts w:ascii="Georgia" w:eastAsia="Times New Roman" w:hAnsi="Georgia" w:cs="Times New Roman"/>
          <w:b/>
          <w:i/>
          <w:sz w:val="20"/>
          <w:szCs w:val="20"/>
          <w:lang w:val="lt-LT" w:eastAsia="lt-LT"/>
        </w:rPr>
        <w:t xml:space="preserve"> viešieji pastatai</w:t>
      </w:r>
    </w:p>
    <w:p w14:paraId="479611A7" w14:textId="77777777" w:rsidR="002A576D" w:rsidRPr="0023462D" w:rsidRDefault="002A576D" w:rsidP="002A576D">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Savivaldybių</w:t>
      </w:r>
      <w:r w:rsidRPr="0023462D">
        <w:rPr>
          <w:rFonts w:ascii="Georgia" w:eastAsia="Times New Roman" w:hAnsi="Georgia" w:cs="Times New Roman"/>
          <w:sz w:val="20"/>
          <w:szCs w:val="20"/>
          <w:lang w:val="lt-LT" w:eastAsia="lt-LT"/>
        </w:rPr>
        <w:t xml:space="preserve"> pastatų </w:t>
      </w:r>
      <w:r>
        <w:rPr>
          <w:rFonts w:ascii="Georgia" w:eastAsia="Times New Roman" w:hAnsi="Georgia" w:cs="Times New Roman"/>
          <w:sz w:val="20"/>
          <w:szCs w:val="20"/>
          <w:lang w:val="lt-LT" w:eastAsia="lt-LT"/>
        </w:rPr>
        <w:t xml:space="preserve">modernizavimo </w:t>
      </w:r>
      <w:r w:rsidRPr="0023462D">
        <w:rPr>
          <w:rFonts w:ascii="Georgia" w:eastAsia="Times New Roman" w:hAnsi="Georgia" w:cs="Times New Roman"/>
          <w:sz w:val="20"/>
          <w:szCs w:val="20"/>
          <w:lang w:val="lt-LT" w:eastAsia="lt-LT"/>
        </w:rPr>
        <w:t>metu būtų prisidedama prie šių energinio efektyvumo tikslų vykdymo:</w:t>
      </w:r>
    </w:p>
    <w:p w14:paraId="6330190B" w14:textId="77777777" w:rsidR="002A576D" w:rsidRPr="0023462D" w:rsidRDefault="002A576D" w:rsidP="002A576D">
      <w:pPr>
        <w:pStyle w:val="prastasis1"/>
        <w:numPr>
          <w:ilvl w:val="0"/>
          <w:numId w:val="55"/>
        </w:numPr>
        <w:spacing w:line="276" w:lineRule="auto"/>
        <w:jc w:val="both"/>
        <w:rPr>
          <w:rFonts w:ascii="Georgia" w:hAnsi="Georgia"/>
          <w:sz w:val="20"/>
          <w:szCs w:val="20"/>
        </w:rPr>
      </w:pPr>
      <w:r w:rsidRPr="0023462D">
        <w:rPr>
          <w:rFonts w:ascii="Georgia" w:hAnsi="Georgia"/>
          <w:sz w:val="20"/>
          <w:szCs w:val="20"/>
        </w:rPr>
        <w:lastRenderedPageBreak/>
        <w:t>valstybei nuosavybės teise priklausančių šildomų ir (arba) vėsinamų valstybės institucijų ir įstaigų – valstybinio administravimo subjektų naudojamų pastatų ploto atnaujinimas (m2) iki 2020 metų – 470000</w:t>
      </w:r>
    </w:p>
    <w:p w14:paraId="473DB1FB" w14:textId="77777777" w:rsidR="002A576D" w:rsidRPr="0023462D" w:rsidRDefault="002A576D" w:rsidP="002A576D">
      <w:pPr>
        <w:pStyle w:val="prastasis1"/>
        <w:numPr>
          <w:ilvl w:val="0"/>
          <w:numId w:val="55"/>
        </w:numPr>
        <w:spacing w:line="276" w:lineRule="auto"/>
        <w:jc w:val="both"/>
        <w:rPr>
          <w:rFonts w:ascii="Georgia" w:hAnsi="Georgia"/>
          <w:sz w:val="20"/>
          <w:szCs w:val="20"/>
        </w:rPr>
      </w:pPr>
      <w:r w:rsidRPr="0023462D">
        <w:rPr>
          <w:rFonts w:ascii="Georgia" w:hAnsi="Georgia"/>
          <w:sz w:val="20"/>
          <w:szCs w:val="20"/>
        </w:rPr>
        <w:t>skaičiuojamųjų šiluminės energijos sąnaudų sumažėjimas atnaujintuose viešosios paskirties pastatuose (GWh) iki 2020 metų – 100</w:t>
      </w:r>
    </w:p>
    <w:p w14:paraId="24E1D51C" w14:textId="77777777" w:rsidR="002A576D" w:rsidRPr="0023462D" w:rsidRDefault="002A576D" w:rsidP="002A576D">
      <w:pPr>
        <w:pStyle w:val="prastasis1"/>
        <w:numPr>
          <w:ilvl w:val="0"/>
          <w:numId w:val="55"/>
        </w:numPr>
        <w:spacing w:line="276" w:lineRule="auto"/>
        <w:jc w:val="both"/>
        <w:rPr>
          <w:rFonts w:ascii="Georgia" w:hAnsi="Georgia"/>
          <w:sz w:val="20"/>
          <w:szCs w:val="20"/>
        </w:rPr>
      </w:pPr>
      <w:r w:rsidRPr="0023462D">
        <w:rPr>
          <w:rFonts w:ascii="Georgia" w:hAnsi="Georgia"/>
          <w:sz w:val="20"/>
          <w:szCs w:val="20"/>
        </w:rPr>
        <w:t>anglies dioksido išmetimo į atmosferą mažėjimas (tūkst. t.) iki 2020 metų – 20</w:t>
      </w:r>
    </w:p>
    <w:p w14:paraId="06B94E5E" w14:textId="77777777" w:rsidR="002A576D" w:rsidRPr="0023462D" w:rsidRDefault="002A576D" w:rsidP="002A576D">
      <w:pPr>
        <w:pStyle w:val="prastasis1"/>
        <w:numPr>
          <w:ilvl w:val="0"/>
          <w:numId w:val="55"/>
        </w:numPr>
        <w:spacing w:line="276" w:lineRule="auto"/>
        <w:jc w:val="both"/>
        <w:rPr>
          <w:rFonts w:ascii="Georgia" w:hAnsi="Georgia"/>
          <w:sz w:val="20"/>
          <w:szCs w:val="20"/>
        </w:rPr>
      </w:pPr>
      <w:r w:rsidRPr="0023462D">
        <w:rPr>
          <w:rFonts w:ascii="Georgia" w:hAnsi="Georgia"/>
          <w:sz w:val="20"/>
          <w:szCs w:val="20"/>
        </w:rPr>
        <w:t>viešosios paskirties pastatų energinio efektyvumo didinimo proceso dalyvių mokymas ir švietimas (procentais) iki 2020 metų – 90</w:t>
      </w:r>
    </w:p>
    <w:p w14:paraId="0E0032A9" w14:textId="77777777" w:rsidR="002A576D" w:rsidRPr="0023462D" w:rsidRDefault="002A576D" w:rsidP="002A576D">
      <w:pPr>
        <w:pStyle w:val="prastasis1"/>
        <w:numPr>
          <w:ilvl w:val="0"/>
          <w:numId w:val="55"/>
        </w:numPr>
        <w:spacing w:line="276" w:lineRule="auto"/>
        <w:jc w:val="both"/>
        <w:rPr>
          <w:rFonts w:ascii="Georgia" w:hAnsi="Georgia"/>
          <w:sz w:val="20"/>
          <w:szCs w:val="20"/>
        </w:rPr>
      </w:pPr>
      <w:r w:rsidRPr="0023462D">
        <w:rPr>
          <w:rFonts w:ascii="Georgia" w:hAnsi="Georgia"/>
          <w:sz w:val="20"/>
          <w:szCs w:val="20"/>
        </w:rPr>
        <w:t>Išmetamų į atmosferą šiltnamio efektą sukeliančių dujų kiekis CO2 ekvivalentu, mln. Tonų, nuo 19,959 (2009) iki 26,886 (2020 metais)</w:t>
      </w:r>
    </w:p>
    <w:p w14:paraId="38A42DF3" w14:textId="77777777" w:rsidR="002A576D" w:rsidRPr="0023462D" w:rsidRDefault="002A576D" w:rsidP="002A576D">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Savivaldybių</w:t>
      </w:r>
      <w:r w:rsidRPr="0023462D">
        <w:rPr>
          <w:rFonts w:ascii="Georgia" w:eastAsia="Times New Roman" w:hAnsi="Georgia" w:cs="Times New Roman"/>
          <w:sz w:val="20"/>
          <w:szCs w:val="20"/>
          <w:lang w:val="lt-LT" w:eastAsia="lt-LT"/>
        </w:rPr>
        <w:t xml:space="preserve"> pastatų </w:t>
      </w:r>
      <w:r>
        <w:rPr>
          <w:rFonts w:ascii="Georgia" w:eastAsia="Times New Roman" w:hAnsi="Georgia" w:cs="Times New Roman"/>
          <w:sz w:val="20"/>
          <w:szCs w:val="20"/>
          <w:lang w:val="lt-LT" w:eastAsia="lt-LT"/>
        </w:rPr>
        <w:t xml:space="preserve">modernizacijos </w:t>
      </w:r>
      <w:r w:rsidRPr="0023462D">
        <w:rPr>
          <w:rFonts w:ascii="Georgia" w:eastAsia="Times New Roman" w:hAnsi="Georgia" w:cs="Times New Roman"/>
          <w:sz w:val="20"/>
          <w:szCs w:val="20"/>
          <w:lang w:val="lt-LT" w:eastAsia="lt-LT"/>
        </w:rPr>
        <w:t>metu būtų prisidedama prie šių Veiksmų programos (4.3. investicinio prioriteto) išdėstytų tikslų vykdymo:</w:t>
      </w:r>
    </w:p>
    <w:p w14:paraId="0D8391BB" w14:textId="77777777" w:rsidR="002A576D" w:rsidRPr="0023462D" w:rsidRDefault="002A576D" w:rsidP="002A576D">
      <w:pPr>
        <w:pStyle w:val="prastasis1"/>
        <w:numPr>
          <w:ilvl w:val="0"/>
          <w:numId w:val="55"/>
        </w:numPr>
        <w:spacing w:line="276" w:lineRule="auto"/>
        <w:jc w:val="both"/>
        <w:rPr>
          <w:rFonts w:ascii="Georgia" w:hAnsi="Georgia"/>
          <w:sz w:val="20"/>
          <w:szCs w:val="20"/>
        </w:rPr>
      </w:pPr>
      <w:r w:rsidRPr="0023462D">
        <w:rPr>
          <w:rFonts w:ascii="Georgia" w:hAnsi="Georgia"/>
          <w:sz w:val="20"/>
          <w:szCs w:val="20"/>
        </w:rPr>
        <w:t>Sunaudotas galutinės energijos kiekis paslaugų ir namų ūkių sektoriuose, tūkst. tne, nuo 2109,6 (2011) iki 1680 (2023)</w:t>
      </w:r>
    </w:p>
    <w:p w14:paraId="0B7A6D3B" w14:textId="77777777" w:rsidR="002A576D" w:rsidRPr="0023462D" w:rsidRDefault="002A576D" w:rsidP="002A576D">
      <w:pPr>
        <w:pStyle w:val="prastasis1"/>
        <w:numPr>
          <w:ilvl w:val="0"/>
          <w:numId w:val="55"/>
        </w:numPr>
        <w:spacing w:line="276" w:lineRule="auto"/>
        <w:jc w:val="both"/>
        <w:rPr>
          <w:rFonts w:ascii="Georgia" w:hAnsi="Georgia"/>
          <w:sz w:val="20"/>
          <w:szCs w:val="20"/>
        </w:rPr>
      </w:pPr>
      <w:r w:rsidRPr="0023462D">
        <w:rPr>
          <w:rFonts w:ascii="Georgia" w:hAnsi="Georgia"/>
          <w:sz w:val="20"/>
          <w:szCs w:val="20"/>
        </w:rPr>
        <w:t>Galutinės energijos vartojimo efektyvumas, proc</w:t>
      </w:r>
      <w:r>
        <w:rPr>
          <w:rFonts w:ascii="Georgia" w:hAnsi="Georgia"/>
          <w:sz w:val="20"/>
          <w:szCs w:val="20"/>
        </w:rPr>
        <w:t>.</w:t>
      </w:r>
      <w:r w:rsidRPr="0023462D">
        <w:rPr>
          <w:rFonts w:ascii="Georgia" w:hAnsi="Georgia"/>
          <w:sz w:val="20"/>
          <w:szCs w:val="20"/>
        </w:rPr>
        <w:t>, nuo 4,5 (2011) iki 17 (2023)</w:t>
      </w:r>
    </w:p>
    <w:p w14:paraId="72BD300C" w14:textId="77777777" w:rsidR="002A576D" w:rsidRPr="0023462D" w:rsidRDefault="002A576D" w:rsidP="002A576D">
      <w:pPr>
        <w:pStyle w:val="prastasis1"/>
        <w:numPr>
          <w:ilvl w:val="0"/>
          <w:numId w:val="55"/>
        </w:numPr>
        <w:spacing w:line="276" w:lineRule="auto"/>
        <w:jc w:val="both"/>
        <w:rPr>
          <w:rFonts w:ascii="Georgia" w:hAnsi="Georgia"/>
          <w:sz w:val="20"/>
          <w:szCs w:val="20"/>
        </w:rPr>
      </w:pPr>
      <w:r w:rsidRPr="0023462D">
        <w:rPr>
          <w:rFonts w:ascii="Georgia" w:hAnsi="Georgia"/>
          <w:sz w:val="20"/>
          <w:szCs w:val="20"/>
        </w:rPr>
        <w:t>Metinis pirminės energijos suvartojimo viešuosiuose pastatuose sumažėjimas, kWh/per metus, 60 000 000 (2023)</w:t>
      </w:r>
    </w:p>
    <w:p w14:paraId="5EE91E5D" w14:textId="77777777" w:rsidR="002A576D" w:rsidRPr="0023462D" w:rsidRDefault="002A576D" w:rsidP="002A576D">
      <w:pPr>
        <w:pStyle w:val="prastasis1"/>
        <w:numPr>
          <w:ilvl w:val="0"/>
          <w:numId w:val="55"/>
        </w:numPr>
        <w:spacing w:line="276" w:lineRule="auto"/>
        <w:jc w:val="both"/>
        <w:rPr>
          <w:rFonts w:ascii="Georgia" w:hAnsi="Georgia"/>
          <w:sz w:val="20"/>
          <w:szCs w:val="20"/>
        </w:rPr>
      </w:pPr>
      <w:r w:rsidRPr="0023462D">
        <w:rPr>
          <w:rFonts w:ascii="Georgia" w:hAnsi="Georgia"/>
          <w:sz w:val="20"/>
          <w:szCs w:val="20"/>
        </w:rPr>
        <w:t>Šilumos vartotojai, kuriems šiluma tiekiama patikimiau ir pagerėjo tiekimo kokybė, vnt, 660 000</w:t>
      </w:r>
    </w:p>
    <w:p w14:paraId="303EC61B" w14:textId="77777777" w:rsidR="002A576D" w:rsidRPr="0023462D" w:rsidRDefault="002A576D" w:rsidP="002A576D">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Savivaldybių</w:t>
      </w:r>
      <w:r w:rsidRPr="0023462D">
        <w:rPr>
          <w:rFonts w:ascii="Georgia" w:eastAsia="Times New Roman" w:hAnsi="Georgia" w:cs="Times New Roman"/>
          <w:sz w:val="20"/>
          <w:szCs w:val="20"/>
          <w:lang w:val="lt-LT" w:eastAsia="lt-LT"/>
        </w:rPr>
        <w:t xml:space="preserve"> pastatų </w:t>
      </w:r>
      <w:r>
        <w:rPr>
          <w:rFonts w:ascii="Georgia" w:eastAsia="Times New Roman" w:hAnsi="Georgia" w:cs="Times New Roman"/>
          <w:sz w:val="20"/>
          <w:szCs w:val="20"/>
          <w:lang w:val="lt-LT" w:eastAsia="lt-LT"/>
        </w:rPr>
        <w:t xml:space="preserve">modernizacijos </w:t>
      </w:r>
      <w:r w:rsidRPr="0023462D">
        <w:rPr>
          <w:rFonts w:ascii="Georgia" w:eastAsia="Times New Roman" w:hAnsi="Georgia" w:cs="Times New Roman"/>
          <w:sz w:val="20"/>
          <w:szCs w:val="20"/>
          <w:lang w:val="lt-LT" w:eastAsia="lt-LT"/>
        </w:rPr>
        <w:t>metu būtų prisidedama prie šių Nacionalinėje pažangos programoje išdėstytų tikslų vykdymo:</w:t>
      </w:r>
    </w:p>
    <w:p w14:paraId="7342B7FF" w14:textId="77777777" w:rsidR="002A576D" w:rsidRPr="0023462D" w:rsidRDefault="002A576D" w:rsidP="002A576D">
      <w:pPr>
        <w:pStyle w:val="prastasis1"/>
        <w:numPr>
          <w:ilvl w:val="0"/>
          <w:numId w:val="55"/>
        </w:numPr>
        <w:spacing w:line="276" w:lineRule="auto"/>
        <w:jc w:val="both"/>
        <w:rPr>
          <w:rFonts w:ascii="Georgia" w:hAnsi="Georgia"/>
          <w:sz w:val="20"/>
          <w:szCs w:val="20"/>
        </w:rPr>
      </w:pPr>
      <w:r w:rsidRPr="0023462D">
        <w:rPr>
          <w:rFonts w:ascii="Georgia" w:hAnsi="Georgia"/>
          <w:sz w:val="20"/>
          <w:szCs w:val="20"/>
        </w:rPr>
        <w:t>Išmetamų į atmosferą šiltnamio efektą sukeliančių dujų kiekis CO2 ekvivalentu, mln. Tonų, nuo 19,959 (2009) iki 26,886 (2020 metais)</w:t>
      </w:r>
    </w:p>
    <w:p w14:paraId="6199A8B2" w14:textId="77777777" w:rsidR="002A576D" w:rsidRPr="0023462D" w:rsidRDefault="002A576D" w:rsidP="002A576D">
      <w:pPr>
        <w:pStyle w:val="prastasis1"/>
        <w:numPr>
          <w:ilvl w:val="0"/>
          <w:numId w:val="55"/>
        </w:numPr>
        <w:spacing w:line="276" w:lineRule="auto"/>
        <w:jc w:val="both"/>
        <w:rPr>
          <w:rFonts w:ascii="Georgia" w:hAnsi="Georgia"/>
          <w:sz w:val="20"/>
          <w:szCs w:val="20"/>
        </w:rPr>
      </w:pPr>
      <w:r w:rsidRPr="0023462D">
        <w:rPr>
          <w:rFonts w:ascii="Georgia" w:hAnsi="Georgia"/>
          <w:sz w:val="20"/>
          <w:szCs w:val="20"/>
        </w:rPr>
        <w:t>Galutinės energijos vartojimo efektyvumo padidėjimas (palyginti su 2009 metų lygiu), procentais, nuo 3 (2010) iki 17 (2020 metais)</w:t>
      </w:r>
    </w:p>
    <w:p w14:paraId="5EE9A6A1" w14:textId="77777777" w:rsidR="002A576D" w:rsidRPr="0023462D" w:rsidRDefault="002A576D" w:rsidP="002A576D">
      <w:pPr>
        <w:pStyle w:val="prastasis1"/>
        <w:numPr>
          <w:ilvl w:val="0"/>
          <w:numId w:val="55"/>
        </w:numPr>
        <w:spacing w:line="276" w:lineRule="auto"/>
        <w:jc w:val="both"/>
        <w:rPr>
          <w:rFonts w:ascii="Georgia" w:hAnsi="Georgia"/>
          <w:sz w:val="20"/>
          <w:szCs w:val="20"/>
        </w:rPr>
      </w:pPr>
      <w:r w:rsidRPr="0023462D">
        <w:rPr>
          <w:rFonts w:ascii="Georgia" w:hAnsi="Georgia"/>
          <w:sz w:val="20"/>
          <w:szCs w:val="20"/>
        </w:rPr>
        <w:t>Energijos suvartojimo intensyvumas, kg naftos ekvivalento vienam realiam BVP vienetui, nuo 311 (2011) iki 230 (2020 metais)</w:t>
      </w:r>
    </w:p>
    <w:p w14:paraId="44AA52E4" w14:textId="77777777" w:rsidR="002A576D" w:rsidRPr="0023462D" w:rsidRDefault="002A576D" w:rsidP="002A576D">
      <w:pPr>
        <w:jc w:val="both"/>
        <w:rPr>
          <w:rFonts w:ascii="Georgia" w:eastAsia="Times New Roman" w:hAnsi="Georgia" w:cs="Times New Roman"/>
          <w:sz w:val="20"/>
          <w:szCs w:val="20"/>
          <w:lang w:val="lt-LT" w:eastAsia="lt-LT"/>
        </w:rPr>
      </w:pPr>
      <w:r w:rsidRPr="0023462D">
        <w:rPr>
          <w:rFonts w:ascii="Georgia" w:eastAsia="Times New Roman" w:hAnsi="Georgia" w:cs="Times New Roman"/>
          <w:sz w:val="20"/>
          <w:szCs w:val="20"/>
          <w:lang w:val="lt-LT" w:eastAsia="lt-LT"/>
        </w:rPr>
        <w:t xml:space="preserve">Pasirinkus rekomenduojamą </w:t>
      </w:r>
      <w:r>
        <w:rPr>
          <w:rFonts w:ascii="Georgia" w:eastAsia="Times New Roman" w:hAnsi="Georgia" w:cs="Times New Roman"/>
          <w:sz w:val="20"/>
          <w:szCs w:val="20"/>
          <w:lang w:val="lt-LT" w:eastAsia="lt-LT"/>
        </w:rPr>
        <w:t>s</w:t>
      </w:r>
      <w:r w:rsidR="00943479">
        <w:rPr>
          <w:rFonts w:ascii="Georgia" w:eastAsia="Times New Roman" w:hAnsi="Georgia" w:cs="Times New Roman"/>
          <w:sz w:val="20"/>
          <w:szCs w:val="20"/>
          <w:lang w:val="lt-LT" w:eastAsia="lt-LT"/>
        </w:rPr>
        <w:t>a</w:t>
      </w:r>
      <w:r>
        <w:rPr>
          <w:rFonts w:ascii="Georgia" w:eastAsia="Times New Roman" w:hAnsi="Georgia" w:cs="Times New Roman"/>
          <w:sz w:val="20"/>
          <w:szCs w:val="20"/>
          <w:lang w:val="lt-LT" w:eastAsia="lt-LT"/>
        </w:rPr>
        <w:t>vivaldybių</w:t>
      </w:r>
      <w:r w:rsidRPr="0023462D">
        <w:rPr>
          <w:rFonts w:ascii="Georgia" w:eastAsia="Times New Roman" w:hAnsi="Georgia" w:cs="Times New Roman"/>
          <w:sz w:val="20"/>
          <w:szCs w:val="20"/>
          <w:lang w:val="lt-LT" w:eastAsia="lt-LT"/>
        </w:rPr>
        <w:t xml:space="preserve"> pastatų </w:t>
      </w:r>
      <w:r>
        <w:rPr>
          <w:rFonts w:ascii="Georgia" w:eastAsia="Times New Roman" w:hAnsi="Georgia" w:cs="Times New Roman"/>
          <w:sz w:val="20"/>
          <w:szCs w:val="20"/>
          <w:lang w:val="lt-LT" w:eastAsia="lt-LT"/>
        </w:rPr>
        <w:t>modernizavimo</w:t>
      </w:r>
      <w:r w:rsidRPr="0023462D">
        <w:rPr>
          <w:rFonts w:ascii="Georgia" w:eastAsia="Times New Roman" w:hAnsi="Georgia" w:cs="Times New Roman"/>
          <w:sz w:val="20"/>
          <w:szCs w:val="20"/>
          <w:lang w:val="lt-LT" w:eastAsia="lt-LT"/>
        </w:rPr>
        <w:t xml:space="preserve"> scenarijų planuojami energijos sutaupymai ir taršos mažinimo rodikliai pateikti žemiau esančioje lentelėje.</w:t>
      </w:r>
    </w:p>
    <w:p w14:paraId="553ADDF4" w14:textId="72F10695" w:rsidR="002A576D" w:rsidRPr="0023462D" w:rsidRDefault="002A576D" w:rsidP="002A576D">
      <w:pPr>
        <w:pStyle w:val="Antrat"/>
        <w:jc w:val="both"/>
        <w:rPr>
          <w:sz w:val="22"/>
          <w:lang w:val="lt-LT"/>
        </w:rPr>
      </w:pPr>
      <w:bookmarkStart w:id="439" w:name="_Toc460321751"/>
      <w:r w:rsidRPr="0023462D">
        <w:rPr>
          <w:lang w:val="lt-LT"/>
        </w:rPr>
        <w:t xml:space="preserve">Lentelė </w:t>
      </w:r>
      <w:r w:rsidRPr="0023462D">
        <w:rPr>
          <w:lang w:val="lt-LT"/>
        </w:rPr>
        <w:fldChar w:fldCharType="begin"/>
      </w:r>
      <w:r w:rsidRPr="0023462D">
        <w:rPr>
          <w:lang w:val="lt-LT"/>
        </w:rPr>
        <w:instrText xml:space="preserve"> SEQ Lentelė \* ARABIC </w:instrText>
      </w:r>
      <w:r w:rsidRPr="0023462D">
        <w:rPr>
          <w:lang w:val="lt-LT"/>
        </w:rPr>
        <w:fldChar w:fldCharType="separate"/>
      </w:r>
      <w:r w:rsidR="00AA3082">
        <w:rPr>
          <w:noProof/>
          <w:lang w:val="lt-LT"/>
        </w:rPr>
        <w:t>170</w:t>
      </w:r>
      <w:r w:rsidRPr="0023462D">
        <w:rPr>
          <w:lang w:val="lt-LT"/>
        </w:rPr>
        <w:fldChar w:fldCharType="end"/>
      </w:r>
      <w:r w:rsidRPr="0023462D">
        <w:rPr>
          <w:lang w:val="lt-LT"/>
        </w:rPr>
        <w:t xml:space="preserve">. </w:t>
      </w:r>
      <w:r w:rsidRPr="0023462D">
        <w:rPr>
          <w:szCs w:val="20"/>
          <w:lang w:val="lt-LT"/>
        </w:rPr>
        <w:t xml:space="preserve">Tikėtini </w:t>
      </w:r>
      <w:r>
        <w:rPr>
          <w:rFonts w:eastAsia="Times New Roman"/>
          <w:szCs w:val="20"/>
          <w:lang w:val="lt-LT" w:eastAsia="lt-LT"/>
        </w:rPr>
        <w:t>savivaldybių</w:t>
      </w:r>
      <w:r w:rsidRPr="0023462D">
        <w:rPr>
          <w:rFonts w:eastAsia="Times New Roman"/>
          <w:szCs w:val="20"/>
          <w:lang w:val="lt-LT" w:eastAsia="lt-LT"/>
        </w:rPr>
        <w:t xml:space="preserve"> pastatų </w:t>
      </w:r>
      <w:r>
        <w:rPr>
          <w:rFonts w:eastAsia="Times New Roman"/>
          <w:szCs w:val="20"/>
          <w:lang w:val="lt-LT" w:eastAsia="lt-LT"/>
        </w:rPr>
        <w:t xml:space="preserve">modernizacijos </w:t>
      </w:r>
      <w:r w:rsidRPr="0023462D">
        <w:rPr>
          <w:szCs w:val="20"/>
          <w:lang w:val="lt-LT"/>
        </w:rPr>
        <w:t>energijos sutaupymo ir taršos mažinimo rezultatai.</w:t>
      </w:r>
      <w:bookmarkEnd w:id="439"/>
    </w:p>
    <w:tbl>
      <w:tblPr>
        <w:tblStyle w:val="viesussraas2parykinimas"/>
        <w:tblW w:w="5000" w:type="pct"/>
        <w:tblLook w:val="04A0" w:firstRow="1" w:lastRow="0" w:firstColumn="1" w:lastColumn="0" w:noHBand="0" w:noVBand="1"/>
      </w:tblPr>
      <w:tblGrid>
        <w:gridCol w:w="5105"/>
        <w:gridCol w:w="2069"/>
        <w:gridCol w:w="2069"/>
      </w:tblGrid>
      <w:tr w:rsidR="002A576D" w:rsidRPr="00467B8E" w14:paraId="59897494" w14:textId="77777777" w:rsidTr="00DA65C2">
        <w:trPr>
          <w:cnfStyle w:val="100000000000" w:firstRow="1" w:lastRow="0" w:firstColumn="0" w:lastColumn="0" w:oddVBand="0" w:evenVBand="0" w:oddHBand="0" w:evenHBand="0" w:firstRowFirstColumn="0" w:firstRowLastColumn="0" w:lastRowFirstColumn="0" w:lastRowLastColumn="0"/>
          <w:trHeight w:val="615"/>
          <w:tblHeader/>
        </w:trPr>
        <w:tc>
          <w:tcPr>
            <w:cnfStyle w:val="001000000000" w:firstRow="0" w:lastRow="0" w:firstColumn="1" w:lastColumn="0" w:oddVBand="0" w:evenVBand="0" w:oddHBand="0" w:evenHBand="0" w:firstRowFirstColumn="0" w:firstRowLastColumn="0" w:lastRowFirstColumn="0" w:lastRowLastColumn="0"/>
            <w:tcW w:w="2762" w:type="pct"/>
            <w:hideMark/>
          </w:tcPr>
          <w:p w14:paraId="4E61AD69" w14:textId="77777777" w:rsidR="002A576D" w:rsidRPr="00467B8E" w:rsidRDefault="002A576D" w:rsidP="00914262">
            <w:pPr>
              <w:keepNext/>
              <w:jc w:val="center"/>
              <w:rPr>
                <w:rFonts w:ascii="Georgia" w:eastAsia="Times New Roman" w:hAnsi="Georgia" w:cs="Arial"/>
                <w:sz w:val="20"/>
                <w:lang w:eastAsia="lt-LT"/>
              </w:rPr>
            </w:pPr>
            <w:r w:rsidRPr="00467B8E">
              <w:rPr>
                <w:rFonts w:ascii="Georgia" w:eastAsia="Times New Roman" w:hAnsi="Georgia" w:cs="Arial"/>
                <w:sz w:val="20"/>
                <w:lang w:eastAsia="lt-LT"/>
              </w:rPr>
              <w:t>Rodiklis</w:t>
            </w:r>
          </w:p>
        </w:tc>
        <w:tc>
          <w:tcPr>
            <w:tcW w:w="1119" w:type="pct"/>
            <w:hideMark/>
          </w:tcPr>
          <w:p w14:paraId="144671D5" w14:textId="77777777" w:rsidR="002A576D" w:rsidRPr="00467B8E" w:rsidRDefault="002A576D" w:rsidP="00914262">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sz w:val="20"/>
                <w:lang w:eastAsia="lt-LT"/>
              </w:rPr>
            </w:pPr>
            <w:r w:rsidRPr="00467B8E">
              <w:rPr>
                <w:rFonts w:ascii="Georgia" w:eastAsia="Times New Roman" w:hAnsi="Georgia" w:cs="Arial"/>
                <w:sz w:val="20"/>
                <w:lang w:eastAsia="lt-LT"/>
              </w:rPr>
              <w:t>Mato vnt.</w:t>
            </w:r>
          </w:p>
        </w:tc>
        <w:tc>
          <w:tcPr>
            <w:tcW w:w="1119" w:type="pct"/>
            <w:hideMark/>
          </w:tcPr>
          <w:p w14:paraId="6D89C64D" w14:textId="77777777" w:rsidR="002A576D" w:rsidRPr="00467B8E" w:rsidRDefault="002A576D" w:rsidP="00914262">
            <w:pPr>
              <w:keepNex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sz w:val="20"/>
                <w:lang w:eastAsia="lt-LT"/>
              </w:rPr>
            </w:pPr>
            <w:r w:rsidRPr="00467B8E">
              <w:rPr>
                <w:rFonts w:ascii="Georgia" w:eastAsia="Times New Roman" w:hAnsi="Georgia" w:cs="Arial"/>
                <w:sz w:val="20"/>
                <w:lang w:eastAsia="lt-LT"/>
              </w:rPr>
              <w:t>Sutaupymas</w:t>
            </w:r>
            <w:r w:rsidRPr="00467B8E">
              <w:rPr>
                <w:rStyle w:val="Puslapioinaosnuoroda"/>
                <w:rFonts w:ascii="Georgia" w:eastAsia="Times New Roman" w:hAnsi="Georgia" w:cs="Arial"/>
                <w:sz w:val="20"/>
                <w:lang w:eastAsia="lt-LT"/>
              </w:rPr>
              <w:footnoteReference w:id="170"/>
            </w:r>
          </w:p>
        </w:tc>
      </w:tr>
      <w:tr w:rsidR="002A576D" w:rsidRPr="00A90CB3" w14:paraId="222D7501" w14:textId="77777777" w:rsidTr="00DA65C2">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762" w:type="pct"/>
            <w:hideMark/>
          </w:tcPr>
          <w:p w14:paraId="094A2E4E" w14:textId="77777777" w:rsidR="002A576D" w:rsidRPr="00A90CB3" w:rsidRDefault="002A576D" w:rsidP="00914262">
            <w:pPr>
              <w:rPr>
                <w:rFonts w:ascii="Georgia" w:eastAsia="Times New Roman" w:hAnsi="Georgia" w:cs="Arial"/>
                <w:color w:val="000000"/>
                <w:sz w:val="20"/>
                <w:lang w:eastAsia="lt-LT"/>
              </w:rPr>
            </w:pPr>
            <w:r>
              <w:rPr>
                <w:rFonts w:ascii="Georgia" w:eastAsia="Times New Roman" w:hAnsi="Georgia" w:cs="Arial"/>
                <w:color w:val="000000"/>
                <w:sz w:val="20"/>
                <w:lang w:eastAsia="lt-LT"/>
              </w:rPr>
              <w:t>Metinis s</w:t>
            </w:r>
            <w:r w:rsidRPr="00A90CB3">
              <w:rPr>
                <w:rFonts w:ascii="Georgia" w:eastAsia="Times New Roman" w:hAnsi="Georgia" w:cs="Arial"/>
                <w:color w:val="000000"/>
                <w:sz w:val="20"/>
                <w:lang w:eastAsia="lt-LT"/>
              </w:rPr>
              <w:t>utaupytos energijos kiekis (</w:t>
            </w:r>
            <w:r>
              <w:rPr>
                <w:rFonts w:ascii="Georgia" w:eastAsia="Times New Roman" w:hAnsi="Georgia" w:cs="Arial"/>
                <w:color w:val="000000"/>
                <w:sz w:val="20"/>
                <w:lang w:eastAsia="lt-LT"/>
              </w:rPr>
              <w:t>iki</w:t>
            </w:r>
            <w:r w:rsidRPr="00A90CB3">
              <w:rPr>
                <w:rFonts w:ascii="Georgia" w:eastAsia="Times New Roman" w:hAnsi="Georgia" w:cs="Arial"/>
                <w:color w:val="000000"/>
                <w:sz w:val="20"/>
                <w:lang w:eastAsia="lt-LT"/>
              </w:rPr>
              <w:t xml:space="preserve"> 202</w:t>
            </w:r>
            <w:r>
              <w:rPr>
                <w:rFonts w:ascii="Georgia" w:eastAsia="Times New Roman" w:hAnsi="Georgia" w:cs="Arial"/>
                <w:color w:val="000000"/>
                <w:sz w:val="20"/>
                <w:lang w:eastAsia="lt-LT"/>
              </w:rPr>
              <w:t>2</w:t>
            </w:r>
            <w:r w:rsidRPr="00A90CB3">
              <w:rPr>
                <w:rFonts w:ascii="Georgia" w:eastAsia="Times New Roman" w:hAnsi="Georgia" w:cs="Arial"/>
                <w:color w:val="000000"/>
                <w:sz w:val="20"/>
                <w:lang w:eastAsia="lt-LT"/>
              </w:rPr>
              <w:t xml:space="preserve"> m.)</w:t>
            </w:r>
          </w:p>
        </w:tc>
        <w:tc>
          <w:tcPr>
            <w:tcW w:w="1119" w:type="pct"/>
            <w:noWrap/>
            <w:hideMark/>
          </w:tcPr>
          <w:p w14:paraId="7DDF2652" w14:textId="77777777" w:rsidR="002A576D" w:rsidRPr="00A90CB3" w:rsidRDefault="003128C5" w:rsidP="00914262">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Pr>
                <w:rFonts w:ascii="Georgia" w:eastAsia="Times New Roman" w:hAnsi="Georgia" w:cs="Arial"/>
                <w:bCs/>
                <w:color w:val="000000"/>
                <w:sz w:val="20"/>
                <w:lang w:eastAsia="lt-LT"/>
              </w:rPr>
              <w:t>G</w:t>
            </w:r>
            <w:r w:rsidRPr="00A90CB3">
              <w:rPr>
                <w:rFonts w:ascii="Georgia" w:eastAsia="Times New Roman" w:hAnsi="Georgia" w:cs="Arial"/>
                <w:bCs/>
                <w:color w:val="000000"/>
                <w:sz w:val="20"/>
                <w:lang w:eastAsia="lt-LT"/>
              </w:rPr>
              <w:t>Wh</w:t>
            </w:r>
          </w:p>
        </w:tc>
        <w:tc>
          <w:tcPr>
            <w:tcW w:w="1119" w:type="pct"/>
            <w:noWrap/>
            <w:hideMark/>
          </w:tcPr>
          <w:p w14:paraId="74CE1CA2" w14:textId="27038CAD" w:rsidR="002A576D" w:rsidRPr="00CA0B2F" w:rsidRDefault="00C331B4" w:rsidP="00C331B4">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bCs/>
                <w:color w:val="000000"/>
                <w:sz w:val="20"/>
                <w:lang w:eastAsia="lt-LT"/>
              </w:rPr>
            </w:pPr>
            <w:r>
              <w:rPr>
                <w:rFonts w:ascii="Georgia" w:eastAsia="Times New Roman" w:hAnsi="Georgia" w:cs="Arial"/>
                <w:bCs/>
                <w:color w:val="000000"/>
                <w:sz w:val="20"/>
                <w:lang w:eastAsia="lt-LT"/>
              </w:rPr>
              <w:t>29,1</w:t>
            </w:r>
            <w:r w:rsidR="003128C5">
              <w:rPr>
                <w:rFonts w:ascii="Georgia" w:eastAsia="Times New Roman" w:hAnsi="Georgia" w:cs="Arial"/>
                <w:bCs/>
                <w:color w:val="000000"/>
                <w:sz w:val="20"/>
                <w:lang w:eastAsia="lt-LT"/>
              </w:rPr>
              <w:t>-</w:t>
            </w:r>
            <w:r>
              <w:rPr>
                <w:rFonts w:ascii="Georgia" w:eastAsia="Times New Roman" w:hAnsi="Georgia" w:cs="Arial"/>
                <w:bCs/>
                <w:color w:val="000000"/>
                <w:sz w:val="20"/>
                <w:lang w:eastAsia="lt-LT"/>
              </w:rPr>
              <w:t>38</w:t>
            </w:r>
            <w:r w:rsidR="003128C5">
              <w:rPr>
                <w:rFonts w:ascii="Georgia" w:eastAsia="Times New Roman" w:hAnsi="Georgia" w:cs="Arial"/>
                <w:bCs/>
                <w:color w:val="000000"/>
                <w:sz w:val="20"/>
                <w:lang w:eastAsia="lt-LT"/>
              </w:rPr>
              <w:t>,</w:t>
            </w:r>
            <w:r>
              <w:rPr>
                <w:rFonts w:ascii="Georgia" w:eastAsia="Times New Roman" w:hAnsi="Georgia" w:cs="Arial"/>
                <w:bCs/>
                <w:color w:val="000000"/>
                <w:sz w:val="20"/>
                <w:lang w:eastAsia="lt-LT"/>
              </w:rPr>
              <w:t>2</w:t>
            </w:r>
            <w:r w:rsidR="002A576D" w:rsidRPr="00CA0B2F">
              <w:rPr>
                <w:rFonts w:ascii="Georgia" w:eastAsia="Times New Roman" w:hAnsi="Georgia" w:cs="Arial"/>
                <w:bCs/>
                <w:color w:val="000000"/>
                <w:sz w:val="20"/>
                <w:lang w:eastAsia="lt-LT"/>
              </w:rPr>
              <w:t xml:space="preserve">    </w:t>
            </w:r>
          </w:p>
        </w:tc>
      </w:tr>
      <w:tr w:rsidR="002A576D" w:rsidRPr="00A90CB3" w14:paraId="391C0EED" w14:textId="77777777" w:rsidTr="00DA65C2">
        <w:trPr>
          <w:trHeight w:val="615"/>
        </w:trPr>
        <w:tc>
          <w:tcPr>
            <w:cnfStyle w:val="001000000000" w:firstRow="0" w:lastRow="0" w:firstColumn="1" w:lastColumn="0" w:oddVBand="0" w:evenVBand="0" w:oddHBand="0" w:evenHBand="0" w:firstRowFirstColumn="0" w:firstRowLastColumn="0" w:lastRowFirstColumn="0" w:lastRowLastColumn="0"/>
            <w:tcW w:w="2762" w:type="pct"/>
            <w:hideMark/>
          </w:tcPr>
          <w:p w14:paraId="44EE6E78" w14:textId="77777777" w:rsidR="002A576D" w:rsidRPr="00A90CB3" w:rsidRDefault="002A576D" w:rsidP="00AD2639">
            <w:pPr>
              <w:rPr>
                <w:rFonts w:ascii="Georgia" w:eastAsia="Times New Roman" w:hAnsi="Georgia" w:cs="Arial"/>
                <w:color w:val="000000"/>
                <w:sz w:val="20"/>
                <w:lang w:eastAsia="lt-LT"/>
              </w:rPr>
            </w:pPr>
            <w:r>
              <w:rPr>
                <w:rFonts w:ascii="Georgia" w:eastAsia="Times New Roman" w:hAnsi="Georgia" w:cs="Arial"/>
                <w:color w:val="000000"/>
                <w:sz w:val="20"/>
                <w:lang w:eastAsia="lt-LT"/>
              </w:rPr>
              <w:t>Metinis</w:t>
            </w:r>
            <w:r w:rsidRPr="00A90CB3">
              <w:rPr>
                <w:rFonts w:ascii="Georgia" w:eastAsia="Times New Roman" w:hAnsi="Georgia" w:cs="Arial"/>
                <w:color w:val="000000"/>
                <w:sz w:val="20"/>
                <w:lang w:eastAsia="lt-LT"/>
              </w:rPr>
              <w:t xml:space="preserve"> išmetamųjų ŠESD kiekio sumažinimas (</w:t>
            </w:r>
            <w:r>
              <w:rPr>
                <w:rFonts w:ascii="Georgia" w:eastAsia="Times New Roman" w:hAnsi="Georgia" w:cs="Arial"/>
                <w:color w:val="000000"/>
                <w:sz w:val="20"/>
                <w:lang w:eastAsia="lt-LT"/>
              </w:rPr>
              <w:t>iki</w:t>
            </w:r>
            <w:r w:rsidRPr="00A90CB3">
              <w:rPr>
                <w:rFonts w:ascii="Georgia" w:eastAsia="Times New Roman" w:hAnsi="Georgia" w:cs="Arial"/>
                <w:color w:val="000000"/>
                <w:sz w:val="20"/>
                <w:lang w:eastAsia="lt-LT"/>
              </w:rPr>
              <w:t xml:space="preserve"> </w:t>
            </w:r>
            <w:r w:rsidR="00AD2639" w:rsidRPr="00A90CB3">
              <w:rPr>
                <w:rFonts w:ascii="Georgia" w:eastAsia="Times New Roman" w:hAnsi="Georgia" w:cs="Arial"/>
                <w:color w:val="000000"/>
                <w:sz w:val="20"/>
                <w:lang w:eastAsia="lt-LT"/>
              </w:rPr>
              <w:t>202</w:t>
            </w:r>
            <w:r w:rsidR="00AD2639">
              <w:rPr>
                <w:rFonts w:ascii="Georgia" w:eastAsia="Times New Roman" w:hAnsi="Georgia" w:cs="Arial"/>
                <w:color w:val="000000"/>
                <w:sz w:val="20"/>
                <w:lang w:eastAsia="lt-LT"/>
              </w:rPr>
              <w:t>2</w:t>
            </w:r>
            <w:r w:rsidR="00AD2639" w:rsidRPr="00A90CB3">
              <w:rPr>
                <w:rFonts w:ascii="Georgia" w:eastAsia="Times New Roman" w:hAnsi="Georgia" w:cs="Arial"/>
                <w:color w:val="000000"/>
                <w:sz w:val="20"/>
                <w:lang w:eastAsia="lt-LT"/>
              </w:rPr>
              <w:t xml:space="preserve"> </w:t>
            </w:r>
            <w:r w:rsidRPr="00A90CB3">
              <w:rPr>
                <w:rFonts w:ascii="Georgia" w:eastAsia="Times New Roman" w:hAnsi="Georgia" w:cs="Arial"/>
                <w:color w:val="000000"/>
                <w:sz w:val="20"/>
                <w:lang w:eastAsia="lt-LT"/>
              </w:rPr>
              <w:t>m.)</w:t>
            </w:r>
          </w:p>
        </w:tc>
        <w:tc>
          <w:tcPr>
            <w:tcW w:w="1119" w:type="pct"/>
            <w:noWrap/>
            <w:hideMark/>
          </w:tcPr>
          <w:p w14:paraId="0A10D9E6" w14:textId="77777777" w:rsidR="002A576D" w:rsidRPr="00A90CB3" w:rsidRDefault="003128C5" w:rsidP="00914262">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Pr>
                <w:rFonts w:ascii="Georgia" w:eastAsia="Times New Roman" w:hAnsi="Georgia" w:cs="Arial"/>
                <w:bCs/>
                <w:color w:val="000000"/>
                <w:sz w:val="20"/>
                <w:lang w:eastAsia="lt-LT"/>
              </w:rPr>
              <w:t xml:space="preserve">tūkst. </w:t>
            </w:r>
            <w:r w:rsidR="002A576D" w:rsidRPr="00A90CB3">
              <w:rPr>
                <w:rFonts w:ascii="Georgia" w:eastAsia="Times New Roman" w:hAnsi="Georgia" w:cs="Arial"/>
                <w:bCs/>
                <w:color w:val="000000"/>
                <w:sz w:val="20"/>
                <w:lang w:eastAsia="lt-LT"/>
              </w:rPr>
              <w:t>t CO2 ekv</w:t>
            </w:r>
          </w:p>
        </w:tc>
        <w:tc>
          <w:tcPr>
            <w:tcW w:w="1119" w:type="pct"/>
            <w:noWrap/>
            <w:hideMark/>
          </w:tcPr>
          <w:p w14:paraId="4383FA09" w14:textId="4E389978" w:rsidR="002A576D" w:rsidRPr="00CA0B2F" w:rsidRDefault="00C331B4" w:rsidP="003128C5">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bCs/>
                <w:color w:val="000000"/>
                <w:sz w:val="20"/>
                <w:lang w:eastAsia="lt-LT"/>
              </w:rPr>
            </w:pPr>
            <w:r>
              <w:rPr>
                <w:rFonts w:ascii="Georgia" w:eastAsia="Times New Roman" w:hAnsi="Georgia" w:cs="Arial"/>
                <w:bCs/>
                <w:color w:val="000000"/>
                <w:sz w:val="20"/>
                <w:lang w:eastAsia="lt-LT"/>
              </w:rPr>
              <w:t>6,8-</w:t>
            </w:r>
            <w:r w:rsidR="003128C5">
              <w:rPr>
                <w:rFonts w:ascii="Georgia" w:eastAsia="Times New Roman" w:hAnsi="Georgia" w:cs="Arial"/>
                <w:bCs/>
                <w:color w:val="000000"/>
                <w:sz w:val="20"/>
                <w:lang w:eastAsia="lt-LT"/>
              </w:rPr>
              <w:t>8,</w:t>
            </w:r>
            <w:r>
              <w:rPr>
                <w:rFonts w:ascii="Georgia" w:eastAsia="Times New Roman" w:hAnsi="Georgia" w:cs="Arial"/>
                <w:bCs/>
                <w:color w:val="000000"/>
                <w:sz w:val="20"/>
                <w:lang w:eastAsia="lt-LT"/>
              </w:rPr>
              <w:t>9</w:t>
            </w:r>
          </w:p>
        </w:tc>
      </w:tr>
    </w:tbl>
    <w:p w14:paraId="047563E8" w14:textId="77777777" w:rsidR="002A576D" w:rsidRPr="0023462D" w:rsidRDefault="002A576D" w:rsidP="002A576D">
      <w:pPr>
        <w:jc w:val="both"/>
        <w:rPr>
          <w:rFonts w:ascii="Georgia" w:eastAsia="Times New Roman" w:hAnsi="Georgia" w:cs="Times New Roman"/>
          <w:b/>
          <w:i/>
          <w:sz w:val="20"/>
          <w:szCs w:val="20"/>
          <w:lang w:val="lt-LT" w:eastAsia="lt-LT"/>
        </w:rPr>
      </w:pPr>
    </w:p>
    <w:p w14:paraId="26866B89" w14:textId="77777777" w:rsidR="002A576D" w:rsidRPr="0023462D" w:rsidRDefault="002A576D" w:rsidP="002A576D">
      <w:pPr>
        <w:rPr>
          <w:lang w:val="lt-LT"/>
        </w:rPr>
      </w:pPr>
    </w:p>
    <w:p w14:paraId="0DD83FB6" w14:textId="77777777" w:rsidR="002A576D" w:rsidRPr="00DF3A8E" w:rsidRDefault="002A576D" w:rsidP="002A576D">
      <w:pPr>
        <w:pStyle w:val="Antrat2"/>
        <w:numPr>
          <w:ilvl w:val="2"/>
          <w:numId w:val="2"/>
        </w:numPr>
        <w:spacing w:after="240"/>
        <w:rPr>
          <w:lang w:val="lt-LT"/>
        </w:rPr>
      </w:pPr>
      <w:bookmarkStart w:id="440" w:name="_Toc417378469"/>
      <w:r w:rsidRPr="00DF3A8E">
        <w:rPr>
          <w:lang w:val="lt-LT"/>
        </w:rPr>
        <w:lastRenderedPageBreak/>
        <w:t>Stebėsenos sistemos apibrėžimas</w:t>
      </w:r>
      <w:bookmarkEnd w:id="440"/>
    </w:p>
    <w:p w14:paraId="3C10F3E5" w14:textId="77777777" w:rsidR="002A576D" w:rsidRDefault="002A576D" w:rsidP="002A576D">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Siekiant užtikrinti, kad visi energijos efektyvumo tikslai yra pasiekti, o finansinė priemonė įgyvendinama efektyviai įgyvendinta, lėšos naudojamos pagal patikimus finansų principus, svarbu tinkamai reaguojama į rinkos pokyčius ar kitus didelę įtaką darančius veiksnius, lemiančius rezultatų pasiekimą bei būtina apibrėžti tinkamą stebėsenos sistemą finansinės priemonės įgyvendinimui. </w:t>
      </w:r>
    </w:p>
    <w:p w14:paraId="71697CAB" w14:textId="77777777" w:rsidR="002A576D" w:rsidRDefault="002A576D" w:rsidP="002A576D">
      <w:pPr>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Pagrindiniai stebėsenos sistemos elementai yra šie:</w:t>
      </w:r>
    </w:p>
    <w:p w14:paraId="76E09C36" w14:textId="77777777" w:rsidR="002A576D" w:rsidRDefault="002A576D" w:rsidP="002A576D">
      <w:pPr>
        <w:rPr>
          <w:rFonts w:ascii="Georgia" w:eastAsia="Times New Roman" w:hAnsi="Georgia" w:cs="Times New Roman"/>
          <w:sz w:val="20"/>
          <w:szCs w:val="20"/>
          <w:lang w:val="lt-LT" w:eastAsia="lt-LT"/>
        </w:rPr>
      </w:pPr>
      <w:r w:rsidRPr="004A263A">
        <w:rPr>
          <w:rFonts w:ascii="Georgia" w:eastAsia="Times New Roman" w:hAnsi="Georgia" w:cs="Times New Roman"/>
          <w:noProof/>
          <w:sz w:val="20"/>
          <w:szCs w:val="20"/>
          <w:lang w:val="lt-LT" w:eastAsia="lt-LT"/>
        </w:rPr>
        <mc:AlternateContent>
          <mc:Choice Requires="wpg">
            <w:drawing>
              <wp:inline distT="0" distB="0" distL="0" distR="0" wp14:anchorId="2880DD2E" wp14:editId="72B1F843">
                <wp:extent cx="5838825" cy="914400"/>
                <wp:effectExtent l="0" t="0" r="28575" b="19050"/>
                <wp:docPr id="50206" name="Group 260"/>
                <wp:cNvGraphicFramePr/>
                <a:graphic xmlns:a="http://schemas.openxmlformats.org/drawingml/2006/main">
                  <a:graphicData uri="http://schemas.microsoft.com/office/word/2010/wordprocessingGroup">
                    <wpg:wgp>
                      <wpg:cNvGrpSpPr/>
                      <wpg:grpSpPr>
                        <a:xfrm>
                          <a:off x="0" y="0"/>
                          <a:ext cx="5838825" cy="914400"/>
                          <a:chOff x="0" y="0"/>
                          <a:chExt cx="5838825" cy="914400"/>
                        </a:xfrm>
                      </wpg:grpSpPr>
                      <wps:wsp>
                        <wps:cNvPr id="50207" name="Text Box 261"/>
                        <wps:cNvSpPr txBox="1"/>
                        <wps:spPr>
                          <a:xfrm>
                            <a:off x="4198716" y="102413"/>
                            <a:ext cx="1640109" cy="746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632702" w14:textId="77777777" w:rsidR="00A65A8D" w:rsidRPr="003D3348" w:rsidRDefault="00A65A8D" w:rsidP="002A576D">
                              <w:pPr>
                                <w:pStyle w:val="Sraopastraipa"/>
                                <w:numPr>
                                  <w:ilvl w:val="0"/>
                                  <w:numId w:val="70"/>
                                </w:numPr>
                                <w:rPr>
                                  <w:rFonts w:ascii="Georgia" w:hAnsi="Georgia"/>
                                  <w:sz w:val="20"/>
                                </w:rPr>
                              </w:pPr>
                              <w:r w:rsidRPr="003D3348">
                                <w:rPr>
                                  <w:rFonts w:ascii="Georgia" w:hAnsi="Georgia"/>
                                  <w:sz w:val="20"/>
                                  <w:lang w:val="lt-LT"/>
                                </w:rPr>
                                <w:t>Ataskaitos</w:t>
                              </w:r>
                            </w:p>
                            <w:p w14:paraId="3DDC6EA3" w14:textId="77777777" w:rsidR="00A65A8D" w:rsidRPr="003D3348" w:rsidRDefault="00A65A8D" w:rsidP="002A576D">
                              <w:pPr>
                                <w:pStyle w:val="Sraopastraipa"/>
                                <w:numPr>
                                  <w:ilvl w:val="0"/>
                                  <w:numId w:val="70"/>
                                </w:numPr>
                                <w:rPr>
                                  <w:rFonts w:ascii="Georgia" w:hAnsi="Georgia"/>
                                  <w:sz w:val="20"/>
                                </w:rPr>
                              </w:pPr>
                              <w:r w:rsidRPr="003D3348">
                                <w:rPr>
                                  <w:rFonts w:ascii="Georgia" w:hAnsi="Georgia"/>
                                  <w:sz w:val="20"/>
                                  <w:lang w:val="lt-LT"/>
                                </w:rPr>
                                <w:t>Komunikacija</w:t>
                              </w:r>
                            </w:p>
                            <w:p w14:paraId="4C8D473E" w14:textId="77777777" w:rsidR="00A65A8D" w:rsidRPr="003D3348" w:rsidRDefault="00A65A8D" w:rsidP="002A576D">
                              <w:pPr>
                                <w:pStyle w:val="Sraopastraipa"/>
                                <w:numPr>
                                  <w:ilvl w:val="0"/>
                                  <w:numId w:val="70"/>
                                </w:numPr>
                                <w:rPr>
                                  <w:rFonts w:ascii="Georgia" w:hAnsi="Georgia"/>
                                  <w:sz w:val="20"/>
                                </w:rPr>
                              </w:pPr>
                              <w:r w:rsidRPr="003D3348">
                                <w:rPr>
                                  <w:rFonts w:ascii="Georgia" w:hAnsi="Georgia"/>
                                  <w:sz w:val="20"/>
                                  <w:lang w:val="lt-LT"/>
                                </w:rPr>
                                <w:t>Veiksmai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Text Box 262"/>
                        <wps:cNvSpPr txBox="1"/>
                        <wps:spPr>
                          <a:xfrm>
                            <a:off x="0" y="117043"/>
                            <a:ext cx="2332965" cy="680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A71400" w14:textId="77777777" w:rsidR="00A65A8D" w:rsidRPr="003D3348" w:rsidRDefault="00A65A8D" w:rsidP="002A576D">
                              <w:pPr>
                                <w:pStyle w:val="Sraopastraipa"/>
                                <w:numPr>
                                  <w:ilvl w:val="0"/>
                                  <w:numId w:val="70"/>
                                </w:numPr>
                                <w:rPr>
                                  <w:rFonts w:ascii="Georgia" w:hAnsi="Georgia"/>
                                  <w:sz w:val="20"/>
                                </w:rPr>
                              </w:pPr>
                              <w:r w:rsidRPr="003D3348">
                                <w:rPr>
                                  <w:rFonts w:ascii="Georgia" w:hAnsi="Georgia"/>
                                  <w:sz w:val="20"/>
                                  <w:lang w:val="lt-LT"/>
                                </w:rPr>
                                <w:t>Rodiklių matavimas</w:t>
                              </w:r>
                            </w:p>
                            <w:p w14:paraId="67B6F873" w14:textId="77777777" w:rsidR="00A65A8D" w:rsidRPr="003D3348" w:rsidRDefault="00A65A8D" w:rsidP="002A576D">
                              <w:pPr>
                                <w:pStyle w:val="Sraopastraipa"/>
                                <w:numPr>
                                  <w:ilvl w:val="0"/>
                                  <w:numId w:val="70"/>
                                </w:numPr>
                                <w:rPr>
                                  <w:rFonts w:ascii="Georgia" w:hAnsi="Georgia"/>
                                  <w:sz w:val="20"/>
                                </w:rPr>
                              </w:pPr>
                              <w:r w:rsidRPr="003D3348">
                                <w:rPr>
                                  <w:rFonts w:ascii="Georgia" w:hAnsi="Georgia"/>
                                  <w:sz w:val="20"/>
                                  <w:lang w:val="lt-LT"/>
                                </w:rPr>
                                <w:t>Kita informacija ir duomenys</w:t>
                              </w:r>
                            </w:p>
                            <w:p w14:paraId="7166334F" w14:textId="77777777" w:rsidR="00A65A8D" w:rsidRPr="003D3348" w:rsidRDefault="00A65A8D" w:rsidP="002A576D">
                              <w:pPr>
                                <w:pStyle w:val="Sraopastraipa"/>
                                <w:numPr>
                                  <w:ilvl w:val="0"/>
                                  <w:numId w:val="70"/>
                                </w:numPr>
                                <w:rPr>
                                  <w:rFonts w:ascii="Georgia" w:hAnsi="Georgia"/>
                                  <w:sz w:val="20"/>
                                </w:rPr>
                              </w:pPr>
                              <w:r w:rsidRPr="003D3348">
                                <w:rPr>
                                  <w:rFonts w:ascii="Georgia" w:hAnsi="Georgia"/>
                                  <w:sz w:val="20"/>
                                  <w:lang w:val="lt-LT"/>
                                </w:rPr>
                                <w:t>Vertinimo ataskaitos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Right Arrow 263"/>
                        <wps:cNvSpPr/>
                        <wps:spPr>
                          <a:xfrm>
                            <a:off x="2282343" y="285293"/>
                            <a:ext cx="2025904" cy="416966"/>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Text Box 264"/>
                        <wps:cNvSpPr txBox="1"/>
                        <wps:spPr>
                          <a:xfrm>
                            <a:off x="2582266" y="0"/>
                            <a:ext cx="1353312" cy="914400"/>
                          </a:xfrm>
                          <a:prstGeom prst="rect">
                            <a:avLst/>
                          </a:prstGeom>
                          <a:solidFill>
                            <a:srgbClr val="FFD03B"/>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8573C5" w14:textId="77777777" w:rsidR="00A65A8D" w:rsidRPr="003D3348" w:rsidRDefault="00A65A8D" w:rsidP="002A576D">
                              <w:pPr>
                                <w:jc w:val="center"/>
                                <w:rPr>
                                  <w:rFonts w:ascii="Georgia" w:hAnsi="Georgia"/>
                                  <w:b/>
                                  <w:lang w:val="lt-LT"/>
                                </w:rPr>
                              </w:pPr>
                              <w:r w:rsidRPr="003D3348">
                                <w:rPr>
                                  <w:rFonts w:ascii="Georgia" w:hAnsi="Georgia"/>
                                  <w:b/>
                                  <w:lang w:val="lt-LT"/>
                                </w:rPr>
                                <w:t>ANALIZĖ</w:t>
                              </w:r>
                            </w:p>
                            <w:p w14:paraId="5CB71EE9" w14:textId="77777777" w:rsidR="00A65A8D" w:rsidRPr="003D3348" w:rsidRDefault="00A65A8D" w:rsidP="002A576D">
                              <w:pPr>
                                <w:jc w:val="center"/>
                                <w:rPr>
                                  <w:rFonts w:ascii="Georgia" w:hAnsi="Georgia"/>
                                  <w:b/>
                                  <w:lang w:val="lt-LT"/>
                                </w:rPr>
                              </w:pPr>
                              <w:r w:rsidRPr="003D3348">
                                <w:rPr>
                                  <w:rFonts w:ascii="Georgia" w:hAnsi="Georgia"/>
                                  <w:b/>
                                  <w:lang w:val="lt-LT"/>
                                </w:rPr>
                                <w:t>SPRENDIMŲ PRIĖMIMAS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_x0000_s1211" style="width:459.75pt;height:1in;mso-position-horizontal-relative:char;mso-position-vertical-relative:line" coordsize="5838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">
                <v:shape id="Text Box 261" o:spid="_x0000_s1212" type="#_x0000_t202" style="position:absolute;left:41987;top:1024;width:16401;height:7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owsQA&#10;AADeAAAADwAAAGRycy9kb3ducmV2LnhtbESPT0sDMRTE74LfITzBm00sqOvatKhUETz1D54fm9ck&#10;uHlZkrhdv70RCj0OM/MbZrGaQi9GStlH1nA7UyCIu2g8Ww373dtNAyIXZIN9ZNLwSxlWy8uLBbYm&#10;HnlD47ZYUSGcW9TgShlaKXPnKGCexYG4eoeYApYqk5Um4bHCQy/nSt3LgJ7rgsOBXh1139ufoGH9&#10;Yh9t12By68Z4P05fh0/7rvX11fT8BKLQVM7hU/vDaLhTc/UA/3fqF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qKMLEAAAA3gAAAA8AAAAAAAAAAAAAAAAAmAIAAGRycy9k&#10;b3ducmV2LnhtbFBLBQYAAAAABAAEAPUAAACJAwAAAAA=&#10;" fillcolor="white [3201]" strokeweight=".5pt">
                  <v:textbox>
                    <w:txbxContent>
                      <w:p w14:paraId="73632702" w14:textId="77777777" w:rsidR="00A65A8D" w:rsidRPr="003D3348" w:rsidRDefault="00A65A8D" w:rsidP="002A576D">
                        <w:pPr>
                          <w:pStyle w:val="Sraopastraipa"/>
                          <w:numPr>
                            <w:ilvl w:val="0"/>
                            <w:numId w:val="70"/>
                          </w:numPr>
                          <w:rPr>
                            <w:rFonts w:ascii="Georgia" w:hAnsi="Georgia"/>
                            <w:sz w:val="20"/>
                          </w:rPr>
                        </w:pPr>
                        <w:r w:rsidRPr="003D3348">
                          <w:rPr>
                            <w:rFonts w:ascii="Georgia" w:hAnsi="Georgia"/>
                            <w:sz w:val="20"/>
                            <w:lang w:val="lt-LT"/>
                          </w:rPr>
                          <w:t>Ataskaitos</w:t>
                        </w:r>
                      </w:p>
                      <w:p w14:paraId="3DDC6EA3" w14:textId="77777777" w:rsidR="00A65A8D" w:rsidRPr="003D3348" w:rsidRDefault="00A65A8D" w:rsidP="002A576D">
                        <w:pPr>
                          <w:pStyle w:val="Sraopastraipa"/>
                          <w:numPr>
                            <w:ilvl w:val="0"/>
                            <w:numId w:val="70"/>
                          </w:numPr>
                          <w:rPr>
                            <w:rFonts w:ascii="Georgia" w:hAnsi="Georgia"/>
                            <w:sz w:val="20"/>
                          </w:rPr>
                        </w:pPr>
                        <w:r w:rsidRPr="003D3348">
                          <w:rPr>
                            <w:rFonts w:ascii="Georgia" w:hAnsi="Georgia"/>
                            <w:sz w:val="20"/>
                            <w:lang w:val="lt-LT"/>
                          </w:rPr>
                          <w:t>Komunikacija</w:t>
                        </w:r>
                      </w:p>
                      <w:p w14:paraId="4C8D473E" w14:textId="77777777" w:rsidR="00A65A8D" w:rsidRPr="003D3348" w:rsidRDefault="00A65A8D" w:rsidP="002A576D">
                        <w:pPr>
                          <w:pStyle w:val="Sraopastraipa"/>
                          <w:numPr>
                            <w:ilvl w:val="0"/>
                            <w:numId w:val="70"/>
                          </w:numPr>
                          <w:rPr>
                            <w:rFonts w:ascii="Georgia" w:hAnsi="Georgia"/>
                            <w:sz w:val="20"/>
                          </w:rPr>
                        </w:pPr>
                        <w:r w:rsidRPr="003D3348">
                          <w:rPr>
                            <w:rFonts w:ascii="Georgia" w:hAnsi="Georgia"/>
                            <w:sz w:val="20"/>
                            <w:lang w:val="lt-LT"/>
                          </w:rPr>
                          <w:t>Veiksmai</w:t>
                        </w:r>
                      </w:p>
                    </w:txbxContent>
                  </v:textbox>
                </v:shape>
                <v:shape id="Text Box 262" o:spid="_x0000_s1213" type="#_x0000_t202" style="position:absolute;top:1170;width:23329;height:6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fN8IA&#10;AADcAAAADwAAAGRycy9kb3ducmV2LnhtbESPQUsDMRCF74L/IYzgzWbbg6xr02JLFcGTVTwPm2kS&#10;3EyWJN2u/945CN5meG/e+2a9neOgJsolJDawXDSgiPtkAzsDnx/Pdy2oUpEtDonJwA8V2G6ur9bY&#10;2XThd5qO1SkJ4dKhAV/r2Gldek8RyyKNxKKdUo5YZc1O24wXCY+DXjXNvY4YWBo8jrT31H8fz9HA&#10;YeceXN9i9ofWhjDNX6c392LM7c389Aiq0lz/zX/Xr1bwV0Irz8gE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N83wgAAANwAAAAPAAAAAAAAAAAAAAAAAJgCAABkcnMvZG93&#10;bnJldi54bWxQSwUGAAAAAAQABAD1AAAAhwMAAAAA&#10;" fillcolor="white [3201]" strokeweight=".5pt">
                  <v:textbox>
                    <w:txbxContent>
                      <w:p w14:paraId="1FA71400" w14:textId="77777777" w:rsidR="00A65A8D" w:rsidRPr="003D3348" w:rsidRDefault="00A65A8D" w:rsidP="002A576D">
                        <w:pPr>
                          <w:pStyle w:val="Sraopastraipa"/>
                          <w:numPr>
                            <w:ilvl w:val="0"/>
                            <w:numId w:val="70"/>
                          </w:numPr>
                          <w:rPr>
                            <w:rFonts w:ascii="Georgia" w:hAnsi="Georgia"/>
                            <w:sz w:val="20"/>
                          </w:rPr>
                        </w:pPr>
                        <w:r w:rsidRPr="003D3348">
                          <w:rPr>
                            <w:rFonts w:ascii="Georgia" w:hAnsi="Georgia"/>
                            <w:sz w:val="20"/>
                            <w:lang w:val="lt-LT"/>
                          </w:rPr>
                          <w:t>Rodiklių matavimas</w:t>
                        </w:r>
                      </w:p>
                      <w:p w14:paraId="67B6F873" w14:textId="77777777" w:rsidR="00A65A8D" w:rsidRPr="003D3348" w:rsidRDefault="00A65A8D" w:rsidP="002A576D">
                        <w:pPr>
                          <w:pStyle w:val="Sraopastraipa"/>
                          <w:numPr>
                            <w:ilvl w:val="0"/>
                            <w:numId w:val="70"/>
                          </w:numPr>
                          <w:rPr>
                            <w:rFonts w:ascii="Georgia" w:hAnsi="Georgia"/>
                            <w:sz w:val="20"/>
                          </w:rPr>
                        </w:pPr>
                        <w:r w:rsidRPr="003D3348">
                          <w:rPr>
                            <w:rFonts w:ascii="Georgia" w:hAnsi="Georgia"/>
                            <w:sz w:val="20"/>
                            <w:lang w:val="lt-LT"/>
                          </w:rPr>
                          <w:t>Kita informacija ir duomenys</w:t>
                        </w:r>
                      </w:p>
                      <w:p w14:paraId="7166334F" w14:textId="77777777" w:rsidR="00A65A8D" w:rsidRPr="003D3348" w:rsidRDefault="00A65A8D" w:rsidP="002A576D">
                        <w:pPr>
                          <w:pStyle w:val="Sraopastraipa"/>
                          <w:numPr>
                            <w:ilvl w:val="0"/>
                            <w:numId w:val="70"/>
                          </w:numPr>
                          <w:rPr>
                            <w:rFonts w:ascii="Georgia" w:hAnsi="Georgia"/>
                            <w:sz w:val="20"/>
                          </w:rPr>
                        </w:pPr>
                        <w:r w:rsidRPr="003D3348">
                          <w:rPr>
                            <w:rFonts w:ascii="Georgia" w:hAnsi="Georgia"/>
                            <w:sz w:val="20"/>
                            <w:lang w:val="lt-LT"/>
                          </w:rPr>
                          <w:t>Vertinimo ataskaitos</w:t>
                        </w:r>
                      </w:p>
                    </w:txbxContent>
                  </v:textbox>
                </v:shape>
                <v:shape id="Right Arrow 263" o:spid="_x0000_s1214" type="#_x0000_t13" style="position:absolute;left:22823;top:2852;width:20259;height:4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3bMYA&#10;AADcAAAADwAAAGRycy9kb3ducmV2LnhtbESPQWvCQBCF7wX/wzKCN91UW5HUVVpBaAtFTEtpb0N2&#10;mo1mZ0N2q/Hfdw5CbzO8N+99s1z3vlEn6mId2MDtJANFXAZbc2Xg4307XoCKCdliE5gMXCjCejW4&#10;WWJuw5n3dCpSpSSEY44GXEptrnUsHXmMk9ASi/YTOo9J1q7StsOzhPtGT7Nsrj3WLA0OW9o4Ko/F&#10;rzeAX8X37nL3Yp8+9dv9wU+ji68LY0bD/vEBVKI+/Zuv189W8G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N3bMYAAADcAAAADwAAAAAAAAAAAAAAAACYAgAAZHJz&#10;L2Rvd25yZXYueG1sUEsFBgAAAAAEAAQA9QAAAIsDAAAAAA==&#10;" adj="19377" fillcolor="#c0504d [3205]" strokecolor="#622423 [1605]" strokeweight="2pt"/>
                <v:shape id="Text Box 264" o:spid="_x0000_s1215" type="#_x0000_t202" style="position:absolute;left:25822;width:1353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zMAA&#10;AADcAAAADwAAAGRycy9kb3ducmV2LnhtbERPTYvCMBC9C/sfwgjebKrC4naNIotCvWn1srehmW2D&#10;zaQ0sdZ/b4QFb/N4n7PaDLYRPXXeOFYwS1IQxKXThisFl/N+ugThA7LGxjEpeJCHzfpjtMJMuzuf&#10;qC9CJWII+wwV1CG0mZS+rMmiT1xLHLk/11kMEXaV1B3eY7ht5DxNP6VFw7GhxpZ+aiqvxc0q2D/y&#10;XT58HfXv9iCXdCj7whip1GQ8bL9BBBrCW/zvznWcv5jB65l4gV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U/zMAAAADcAAAADwAAAAAAAAAAAAAAAACYAgAAZHJzL2Rvd25y&#10;ZXYueG1sUEsFBgAAAAAEAAQA9QAAAIUDAAAAAA==&#10;" fillcolor="#ffd03b" strokeweight=".5pt">
                  <v:textbox>
                    <w:txbxContent>
                      <w:p w14:paraId="2A8573C5" w14:textId="77777777" w:rsidR="00A65A8D" w:rsidRPr="003D3348" w:rsidRDefault="00A65A8D" w:rsidP="002A576D">
                        <w:pPr>
                          <w:jc w:val="center"/>
                          <w:rPr>
                            <w:rFonts w:ascii="Georgia" w:hAnsi="Georgia"/>
                            <w:b/>
                            <w:lang w:val="lt-LT"/>
                          </w:rPr>
                        </w:pPr>
                        <w:r w:rsidRPr="003D3348">
                          <w:rPr>
                            <w:rFonts w:ascii="Georgia" w:hAnsi="Georgia"/>
                            <w:b/>
                            <w:lang w:val="lt-LT"/>
                          </w:rPr>
                          <w:t>ANALIZĖ</w:t>
                        </w:r>
                      </w:p>
                      <w:p w14:paraId="5CB71EE9" w14:textId="77777777" w:rsidR="00A65A8D" w:rsidRPr="003D3348" w:rsidRDefault="00A65A8D" w:rsidP="002A576D">
                        <w:pPr>
                          <w:jc w:val="center"/>
                          <w:rPr>
                            <w:rFonts w:ascii="Georgia" w:hAnsi="Georgia"/>
                            <w:b/>
                            <w:lang w:val="lt-LT"/>
                          </w:rPr>
                        </w:pPr>
                        <w:r w:rsidRPr="003D3348">
                          <w:rPr>
                            <w:rFonts w:ascii="Georgia" w:hAnsi="Georgia"/>
                            <w:b/>
                            <w:lang w:val="lt-LT"/>
                          </w:rPr>
                          <w:t>SPRENDIMŲ PRIĖMIMAS</w:t>
                        </w:r>
                      </w:p>
                    </w:txbxContent>
                  </v:textbox>
                </v:shape>
                <w10:anchorlock/>
              </v:group>
            </w:pict>
          </mc:Fallback>
        </mc:AlternateContent>
      </w:r>
    </w:p>
    <w:p w14:paraId="21D5B9A2" w14:textId="38E9FD4E" w:rsidR="002A576D" w:rsidRPr="00D4610F" w:rsidRDefault="002A576D" w:rsidP="002A576D">
      <w:pPr>
        <w:pStyle w:val="Antrat"/>
        <w:rPr>
          <w:szCs w:val="20"/>
          <w:lang w:val="lt-LT"/>
        </w:rPr>
      </w:pPr>
      <w:bookmarkStart w:id="441" w:name="_Toc417378352"/>
      <w:r w:rsidRPr="00D4610F">
        <w:rPr>
          <w:lang w:val="lt-LT"/>
        </w:rPr>
        <w:t xml:space="preserve">Paveikslas </w:t>
      </w:r>
      <w:r w:rsidRPr="00D4610F">
        <w:rPr>
          <w:lang w:val="lt-LT"/>
        </w:rPr>
        <w:fldChar w:fldCharType="begin"/>
      </w:r>
      <w:r w:rsidRPr="00D4610F">
        <w:rPr>
          <w:lang w:val="lt-LT"/>
        </w:rPr>
        <w:instrText xml:space="preserve"> SEQ Paveikslas \* ARABIC </w:instrText>
      </w:r>
      <w:r w:rsidRPr="00D4610F">
        <w:rPr>
          <w:lang w:val="lt-LT"/>
        </w:rPr>
        <w:fldChar w:fldCharType="separate"/>
      </w:r>
      <w:r w:rsidR="00AA3082">
        <w:rPr>
          <w:noProof/>
          <w:lang w:val="lt-LT"/>
        </w:rPr>
        <w:t>75</w:t>
      </w:r>
      <w:r w:rsidRPr="00D4610F">
        <w:rPr>
          <w:lang w:val="lt-LT"/>
        </w:rPr>
        <w:fldChar w:fldCharType="end"/>
      </w:r>
      <w:r w:rsidRPr="00D4610F">
        <w:rPr>
          <w:lang w:val="lt-LT"/>
        </w:rPr>
        <w:t xml:space="preserve">. </w:t>
      </w:r>
      <w:r>
        <w:rPr>
          <w:szCs w:val="20"/>
          <w:lang w:val="lt-LT"/>
        </w:rPr>
        <w:t>Pagrindiniai stebėsenos elementai</w:t>
      </w:r>
      <w:bookmarkEnd w:id="441"/>
    </w:p>
    <w:p w14:paraId="1F3F32A0" w14:textId="77777777" w:rsidR="002A576D" w:rsidRPr="003D3348" w:rsidRDefault="002A576D" w:rsidP="002A576D">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Schemoje pademonstruota, jog išanalizavus įvairius duomenų šaltinius, tokius kaip rodiklių pasiekimas, ataskaitos, kita prieinama informacija ir duomenys, reikalinga atlikti analizę ir priimti sprendimus apie finansinės priemonės įgyvendinimo eigą, ko pasekoje yra imamasi įgyvendinti konkrečius veiksmus bei komunikuoti priimtų sprendimų įgyvendinimą. Šie sprendimai gali būti susiję su tolimesniu finansinių priemonių vykdymu, jų koregavimu ar netgi ex ante vertinimo peržiūrėjimu.</w:t>
      </w:r>
    </w:p>
    <w:p w14:paraId="5685F57F" w14:textId="77777777" w:rsidR="002A576D" w:rsidRDefault="002A576D" w:rsidP="002A576D">
      <w:pPr>
        <w:jc w:val="both"/>
        <w:rPr>
          <w:rFonts w:ascii="Georgia" w:eastAsia="Times New Roman" w:hAnsi="Georgia" w:cs="Times New Roman"/>
          <w:sz w:val="20"/>
          <w:szCs w:val="20"/>
          <w:lang w:val="lt-LT" w:eastAsia="lt-LT"/>
        </w:rPr>
      </w:pPr>
      <w:r w:rsidRPr="003D3348">
        <w:rPr>
          <w:rFonts w:ascii="Georgia" w:eastAsia="Times New Roman" w:hAnsi="Georgia" w:cs="Times New Roman"/>
          <w:sz w:val="20"/>
          <w:szCs w:val="20"/>
          <w:lang w:val="lt-LT" w:eastAsia="lt-LT"/>
        </w:rPr>
        <w:t>Vadovaujančioji institucija turi užtikrinti, jog finansavimo sutartyje su fondų fondo valdytoju yra aiškiai apibrėžt</w:t>
      </w:r>
      <w:r>
        <w:rPr>
          <w:rFonts w:ascii="Georgia" w:eastAsia="Times New Roman" w:hAnsi="Georgia" w:cs="Times New Roman"/>
          <w:sz w:val="20"/>
          <w:szCs w:val="20"/>
          <w:lang w:val="lt-LT" w:eastAsia="lt-LT"/>
        </w:rPr>
        <w:t>a</w:t>
      </w:r>
      <w:r w:rsidRPr="003D3348">
        <w:rPr>
          <w:rFonts w:ascii="Georgia" w:eastAsia="Times New Roman" w:hAnsi="Georgia" w:cs="Times New Roman"/>
          <w:sz w:val="20"/>
          <w:szCs w:val="20"/>
          <w:lang w:val="lt-LT" w:eastAsia="lt-LT"/>
        </w:rPr>
        <w:t xml:space="preserve"> ataskaitų teikimo</w:t>
      </w:r>
      <w:r>
        <w:rPr>
          <w:rFonts w:ascii="Georgia" w:eastAsia="Times New Roman" w:hAnsi="Georgia" w:cs="Times New Roman"/>
          <w:sz w:val="20"/>
          <w:szCs w:val="20"/>
          <w:lang w:val="lt-LT" w:eastAsia="lt-LT"/>
        </w:rPr>
        <w:t xml:space="preserve"> tvarka.</w:t>
      </w:r>
    </w:p>
    <w:p w14:paraId="6C27ED04" w14:textId="77777777" w:rsidR="002A576D" w:rsidRDefault="002A576D" w:rsidP="002A576D">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Pagrindiniai ataskaitų teikimo reikalavimai fondų fondo valdytojui bus apibrėžti Europos Komisijos Įgyvendinimo reglamente, kuris šiuo metu yra rengiamas. Tačiau vadovaujančioji institucija gali neapsiriboti Įgyvendinimo reglamento reikalavimais ir siūlomas ataskaitų formas papildyti jai reikalinga informacija, tačiau turi užtikrinti, kad gaunama informacija būtų proporcinga ir neperteklinė. Vadovaujančiosios institucijos ataskaitų teikimo formos tvirtinamos Finansinių priemonių taisyklėse. </w:t>
      </w:r>
    </w:p>
    <w:p w14:paraId="52BC9129" w14:textId="77777777" w:rsidR="002A576D" w:rsidRDefault="002A576D" w:rsidP="002A576D">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Tuo atveju, kai fondų fondo valdytojas pasitelkia finansinius tarpininkus finansinių priemonių įgyvendinimui, fondų fondo valdytojas užtikrina, jog finansavimo sutartyse su finansiniais tarpininkais bus nustatyti visi ataskaitų teikimo reikalavimai ir kad duomenys ir finansinių tarpininkų fondų fondo valdytoją pasieks laiku, duomenys bus teisingi ir naudotini tolimesnėms ataskaitoms. Aktualių duomenų surinkimas iš finansinių tarpininkų yra fondų fondo valdytojo atsakomybė. </w:t>
      </w:r>
    </w:p>
    <w:p w14:paraId="2719C283" w14:textId="77777777" w:rsidR="002A576D" w:rsidRDefault="002A576D" w:rsidP="002A576D">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Vadovaujančioji institucija taip pat gali siekti, kad kuo daugiau informacijos apie finansinės priemonės įgyvendinimą būtų prieinama IT platformose, kur informacija gali būti atnaujinama ir naudojama pagal faktinę finansinės priemonės pažangą. </w:t>
      </w:r>
    </w:p>
    <w:p w14:paraId="2247F5A8" w14:textId="77777777" w:rsidR="002A576D" w:rsidRDefault="002A576D" w:rsidP="002A576D">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Ataskaitų teikimas turėtų būti įgyvendinamas šiais etapais:</w:t>
      </w:r>
    </w:p>
    <w:p w14:paraId="3DA7EE3F" w14:textId="77777777" w:rsidR="002A576D" w:rsidRDefault="002A576D" w:rsidP="002A576D">
      <w:pPr>
        <w:pStyle w:val="Sraopastraipa"/>
        <w:numPr>
          <w:ilvl w:val="6"/>
          <w:numId w:val="110"/>
        </w:numPr>
        <w:ind w:left="709"/>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Duomenų rinkimas</w:t>
      </w:r>
    </w:p>
    <w:p w14:paraId="6E6BB3E9" w14:textId="77777777" w:rsidR="002A576D" w:rsidRDefault="002A576D" w:rsidP="002A576D">
      <w:pPr>
        <w:pStyle w:val="Sraopastraipa"/>
        <w:numPr>
          <w:ilvl w:val="6"/>
          <w:numId w:val="110"/>
        </w:numPr>
        <w:ind w:left="709"/>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Įgyvendinimo ataskaitų formavimas</w:t>
      </w:r>
    </w:p>
    <w:p w14:paraId="34E1E75C" w14:textId="77777777" w:rsidR="002A576D" w:rsidRDefault="002A576D" w:rsidP="002A576D">
      <w:pPr>
        <w:pStyle w:val="Sraopastraipa"/>
        <w:numPr>
          <w:ilvl w:val="6"/>
          <w:numId w:val="110"/>
        </w:numPr>
        <w:ind w:left="709"/>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Finansinių ataskaitų formavimas</w:t>
      </w:r>
    </w:p>
    <w:p w14:paraId="597575AF" w14:textId="77777777" w:rsidR="00DD23F6" w:rsidRDefault="002A576D" w:rsidP="003D3348">
      <w:pPr>
        <w:jc w:val="both"/>
        <w:rPr>
          <w:rFonts w:asciiTheme="majorHAnsi" w:eastAsiaTheme="majorEastAsia" w:hAnsiTheme="majorHAnsi" w:cstheme="majorBidi"/>
          <w:b/>
          <w:bCs/>
          <w:color w:val="365F91" w:themeColor="accent1" w:themeShade="BF"/>
          <w:sz w:val="28"/>
          <w:szCs w:val="28"/>
          <w:lang w:val="lt-LT"/>
        </w:rPr>
      </w:pPr>
      <w:r w:rsidRPr="00EC6257">
        <w:rPr>
          <w:rFonts w:ascii="Georgia" w:eastAsia="Times New Roman" w:hAnsi="Georgia" w:cs="Times New Roman"/>
          <w:sz w:val="20"/>
          <w:szCs w:val="20"/>
          <w:lang w:val="lt-LT" w:eastAsia="lt-LT"/>
        </w:rPr>
        <w:t>Tok</w:t>
      </w:r>
      <w:r>
        <w:rPr>
          <w:rFonts w:ascii="Georgia" w:eastAsia="Times New Roman" w:hAnsi="Georgia" w:cs="Times New Roman"/>
          <w:sz w:val="20"/>
          <w:szCs w:val="20"/>
          <w:lang w:val="lt-LT" w:eastAsia="lt-LT"/>
        </w:rPr>
        <w:t>ia</w:t>
      </w:r>
      <w:r w:rsidRPr="00EC6257">
        <w:rPr>
          <w:rFonts w:ascii="Georgia" w:eastAsia="Times New Roman" w:hAnsi="Georgia" w:cs="Times New Roman"/>
          <w:sz w:val="20"/>
          <w:szCs w:val="20"/>
          <w:lang w:val="lt-LT" w:eastAsia="lt-LT"/>
        </w:rPr>
        <w:t xml:space="preserve"> ataskaitų teikimo </w:t>
      </w:r>
      <w:r>
        <w:rPr>
          <w:rFonts w:ascii="Georgia" w:eastAsia="Times New Roman" w:hAnsi="Georgia" w:cs="Times New Roman"/>
          <w:sz w:val="20"/>
          <w:szCs w:val="20"/>
          <w:lang w:val="lt-LT" w:eastAsia="lt-LT"/>
        </w:rPr>
        <w:t>tvarka</w:t>
      </w:r>
      <w:r w:rsidRPr="00EC6257">
        <w:rPr>
          <w:rFonts w:ascii="Georgia" w:eastAsia="Times New Roman" w:hAnsi="Georgia" w:cs="Times New Roman"/>
          <w:sz w:val="20"/>
          <w:szCs w:val="20"/>
          <w:lang w:val="lt-LT" w:eastAsia="lt-LT"/>
        </w:rPr>
        <w:t xml:space="preserve"> leidžia užtikrinti, kad prieinami duomenys yra tikslūs ir atspindi realią situaciją, </w:t>
      </w:r>
      <w:r>
        <w:rPr>
          <w:rFonts w:ascii="Georgia" w:eastAsia="Times New Roman" w:hAnsi="Georgia" w:cs="Times New Roman"/>
          <w:sz w:val="20"/>
          <w:szCs w:val="20"/>
          <w:lang w:val="lt-LT" w:eastAsia="lt-LT"/>
        </w:rPr>
        <w:t xml:space="preserve">todėl </w:t>
      </w:r>
      <w:r w:rsidRPr="00EC6257">
        <w:rPr>
          <w:rFonts w:ascii="Georgia" w:eastAsia="Times New Roman" w:hAnsi="Georgia" w:cs="Times New Roman"/>
          <w:sz w:val="20"/>
          <w:szCs w:val="20"/>
          <w:lang w:val="lt-LT" w:eastAsia="lt-LT"/>
        </w:rPr>
        <w:t xml:space="preserve">šių duomenų pagrindu </w:t>
      </w:r>
      <w:r>
        <w:rPr>
          <w:rFonts w:ascii="Georgia" w:eastAsia="Times New Roman" w:hAnsi="Georgia" w:cs="Times New Roman"/>
          <w:sz w:val="20"/>
          <w:szCs w:val="20"/>
          <w:lang w:val="lt-LT" w:eastAsia="lt-LT"/>
        </w:rPr>
        <w:t>parengtos</w:t>
      </w:r>
      <w:r w:rsidRPr="00EC6257">
        <w:rPr>
          <w:rFonts w:ascii="Georgia" w:eastAsia="Times New Roman" w:hAnsi="Georgia" w:cs="Times New Roman"/>
          <w:sz w:val="20"/>
          <w:szCs w:val="20"/>
          <w:lang w:val="lt-LT" w:eastAsia="lt-LT"/>
        </w:rPr>
        <w:t xml:space="preserve"> pažangos ataskaitos </w:t>
      </w:r>
      <w:r>
        <w:rPr>
          <w:rFonts w:ascii="Georgia" w:eastAsia="Times New Roman" w:hAnsi="Georgia" w:cs="Times New Roman"/>
          <w:sz w:val="20"/>
          <w:szCs w:val="20"/>
          <w:lang w:val="lt-LT" w:eastAsia="lt-LT"/>
        </w:rPr>
        <w:t>bus</w:t>
      </w:r>
      <w:r w:rsidRPr="00EC6257">
        <w:rPr>
          <w:rFonts w:ascii="Georgia" w:eastAsia="Times New Roman" w:hAnsi="Georgia" w:cs="Times New Roman"/>
          <w:sz w:val="20"/>
          <w:szCs w:val="20"/>
          <w:lang w:val="lt-LT" w:eastAsia="lt-LT"/>
        </w:rPr>
        <w:t xml:space="preserve"> teisingos ir galiausiai lei</w:t>
      </w:r>
      <w:r>
        <w:rPr>
          <w:rFonts w:ascii="Georgia" w:eastAsia="Times New Roman" w:hAnsi="Georgia" w:cs="Times New Roman"/>
          <w:sz w:val="20"/>
          <w:szCs w:val="20"/>
          <w:lang w:val="lt-LT" w:eastAsia="lt-LT"/>
        </w:rPr>
        <w:t>s</w:t>
      </w:r>
      <w:r w:rsidRPr="00EC6257">
        <w:rPr>
          <w:rFonts w:ascii="Georgia" w:eastAsia="Times New Roman" w:hAnsi="Georgia" w:cs="Times New Roman"/>
          <w:sz w:val="20"/>
          <w:szCs w:val="20"/>
          <w:lang w:val="lt-LT" w:eastAsia="lt-LT"/>
        </w:rPr>
        <w:t xml:space="preserve"> užtikrinti finansinį lėšų naudojimo teisingumą. </w:t>
      </w:r>
      <w:r w:rsidR="00DD23F6">
        <w:rPr>
          <w:lang w:val="lt-LT"/>
        </w:rPr>
        <w:br w:type="page"/>
      </w:r>
    </w:p>
    <w:p w14:paraId="0A309C6F" w14:textId="77777777" w:rsidR="00151543" w:rsidRPr="00DF3A8E" w:rsidRDefault="00151543" w:rsidP="005E3818">
      <w:pPr>
        <w:pStyle w:val="Antrat1"/>
        <w:numPr>
          <w:ilvl w:val="0"/>
          <w:numId w:val="36"/>
        </w:numPr>
        <w:rPr>
          <w:lang w:val="lt-LT"/>
        </w:rPr>
      </w:pPr>
      <w:bookmarkStart w:id="442" w:name="_Toc417378470"/>
      <w:r w:rsidRPr="00DF3A8E">
        <w:rPr>
          <w:lang w:val="lt-LT"/>
        </w:rPr>
        <w:lastRenderedPageBreak/>
        <w:t>Ataskaitos pabaiga</w:t>
      </w:r>
      <w:bookmarkEnd w:id="442"/>
    </w:p>
    <w:p w14:paraId="05EE0A58" w14:textId="77777777" w:rsidR="00151543" w:rsidRPr="00DF3A8E" w:rsidRDefault="00151543" w:rsidP="0062724A">
      <w:pPr>
        <w:pStyle w:val="Antrat2"/>
        <w:numPr>
          <w:ilvl w:val="1"/>
          <w:numId w:val="36"/>
        </w:numPr>
        <w:rPr>
          <w:lang w:val="lt-LT"/>
        </w:rPr>
      </w:pPr>
      <w:bookmarkStart w:id="443" w:name="_Toc417378471"/>
      <w:r w:rsidRPr="00DF3A8E">
        <w:rPr>
          <w:lang w:val="lt-LT"/>
        </w:rPr>
        <w:t>Nuostatos ex ante vertinimo peržiūrėjimui</w:t>
      </w:r>
      <w:bookmarkEnd w:id="443"/>
      <w:r w:rsidRPr="00DF3A8E">
        <w:rPr>
          <w:lang w:val="lt-LT"/>
        </w:rPr>
        <w:t xml:space="preserve"> </w:t>
      </w:r>
    </w:p>
    <w:p w14:paraId="180F9867" w14:textId="77777777" w:rsidR="00EA16CD" w:rsidRDefault="00EA16CD" w:rsidP="00A04C05">
      <w:pPr>
        <w:jc w:val="both"/>
        <w:rPr>
          <w:rFonts w:ascii="Georgia" w:eastAsia="Times New Roman" w:hAnsi="Georgia" w:cs="Times New Roman"/>
          <w:sz w:val="20"/>
          <w:szCs w:val="20"/>
          <w:lang w:val="lt-LT" w:eastAsia="lt-LT"/>
        </w:rPr>
      </w:pPr>
    </w:p>
    <w:p w14:paraId="2956775E" w14:textId="77777777" w:rsidR="00A04C05" w:rsidRDefault="00A04C05" w:rsidP="00A04C05">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Siekiant užtikrinti ex ante vertinimo tinkamą naudojimą finansinių priemonių įgyvendinimui, ir, svarbiausia – atitikimą esamai situacijai rinkoje, ex ante vertinimo pabaigoje turi būti numatytos nuostatos ir atvejai, skirti ex ante vertinimo peržiūrėjimui ir keitimui. Tai pažymi esminius faktorius, kurių pasikeitimą reikėtų įvertinti ir apsispręsti, ar veikianti finansinė priemonė vis dar atitinka rinkos situaciją ir yra tinkama. Jeigu nustatoma, kad finansinė priemonė nebeatitinka esamos rinkos situacijos, nedemonstruoja gerų rezultatų, ex ante vertinimas gali būti koreguojamas ir taip sukuriamas pagrindas modifikuoti finansinę priemonę. </w:t>
      </w:r>
    </w:p>
    <w:p w14:paraId="752E23B7" w14:textId="77777777" w:rsidR="00A04C05" w:rsidRDefault="00A04C05" w:rsidP="00A04C05">
      <w:pPr>
        <w:jc w:val="both"/>
        <w:rPr>
          <w:rFonts w:ascii="Georgia" w:hAnsi="Georgia"/>
          <w:sz w:val="20"/>
          <w:szCs w:val="20"/>
        </w:rPr>
      </w:pPr>
      <w:r>
        <w:rPr>
          <w:rFonts w:ascii="Georgia" w:eastAsia="Times New Roman" w:hAnsi="Georgia" w:cs="Times New Roman"/>
          <w:sz w:val="20"/>
          <w:szCs w:val="20"/>
          <w:lang w:val="lt-LT" w:eastAsia="lt-LT"/>
        </w:rPr>
        <w:t>Ex ante vertinimą rekomenduojama peržiūrėti pasikeitus šiems faktoriams:</w:t>
      </w:r>
    </w:p>
    <w:p w14:paraId="061D2A21" w14:textId="77777777" w:rsidR="00A04C05" w:rsidRDefault="00A04C05" w:rsidP="002A576D">
      <w:pPr>
        <w:pStyle w:val="Sraopastraipa"/>
        <w:numPr>
          <w:ilvl w:val="0"/>
          <w:numId w:val="88"/>
        </w:numPr>
        <w:jc w:val="both"/>
        <w:rPr>
          <w:rFonts w:ascii="Georgia" w:hAnsi="Georgia"/>
          <w:sz w:val="20"/>
          <w:szCs w:val="20"/>
        </w:rPr>
      </w:pPr>
      <w:r>
        <w:rPr>
          <w:rFonts w:ascii="Georgia" w:eastAsia="Times New Roman" w:hAnsi="Georgia" w:cs="Times New Roman"/>
          <w:sz w:val="20"/>
          <w:szCs w:val="20"/>
          <w:lang w:val="lt-LT" w:eastAsia="lt-LT"/>
        </w:rPr>
        <w:t xml:space="preserve">Reikšmingai pasikeitus prielaidoms, kuriomis remiantis buvo atliekami skaičiavimai šioje ex ante, kadangi dėl to gali būti nepasiekiami ex ante vertinime apskaičiuoti rezultatai: </w:t>
      </w:r>
    </w:p>
    <w:p w14:paraId="27E5F733" w14:textId="77777777" w:rsidR="00A04C05" w:rsidRDefault="00A04C05" w:rsidP="002A576D">
      <w:pPr>
        <w:pStyle w:val="Sraopastraipa"/>
        <w:numPr>
          <w:ilvl w:val="1"/>
          <w:numId w:val="88"/>
        </w:numPr>
        <w:jc w:val="both"/>
        <w:rPr>
          <w:rFonts w:ascii="Georgia" w:hAnsi="Georgia"/>
          <w:sz w:val="20"/>
          <w:szCs w:val="20"/>
        </w:rPr>
      </w:pPr>
      <w:r>
        <w:rPr>
          <w:rFonts w:ascii="Georgia" w:eastAsia="Times New Roman" w:hAnsi="Georgia" w:cs="Times New Roman"/>
          <w:sz w:val="20"/>
          <w:szCs w:val="20"/>
          <w:lang w:val="lt-LT" w:eastAsia="lt-LT"/>
        </w:rPr>
        <w:t>Reikšmingai pasikeitus šilumos energijos kainai. Žymus energijos kainos pasikeitimas daro įtaką projektų atsipirkimo laikui ir subsidijos poreikį. Šio elemento derinimas turi būti vertinamas kartu su įgyvendinamų projektų skaičiumi ir turimų laisvų lėšų suma;</w:t>
      </w:r>
    </w:p>
    <w:p w14:paraId="3C4936BF" w14:textId="77777777" w:rsidR="00A04C05" w:rsidRDefault="00A04C05" w:rsidP="002A576D">
      <w:pPr>
        <w:pStyle w:val="Sraopastraipa"/>
        <w:numPr>
          <w:ilvl w:val="1"/>
          <w:numId w:val="88"/>
        </w:numPr>
        <w:jc w:val="both"/>
        <w:rPr>
          <w:rFonts w:ascii="Georgia" w:hAnsi="Georgia"/>
          <w:sz w:val="20"/>
          <w:szCs w:val="20"/>
          <w:lang w:val="lt-LT"/>
        </w:rPr>
      </w:pPr>
      <w:r>
        <w:rPr>
          <w:rFonts w:ascii="Georgia" w:hAnsi="Georgia"/>
          <w:sz w:val="20"/>
          <w:szCs w:val="20"/>
          <w:lang w:val="lt-LT"/>
        </w:rPr>
        <w:t>reikšmingai pasikeitus renovacijos kainai (1 kv. m. renovacijos kaina);</w:t>
      </w:r>
    </w:p>
    <w:p w14:paraId="5FC60158" w14:textId="77777777" w:rsidR="00A04C05" w:rsidRDefault="00A04C05" w:rsidP="002A576D">
      <w:pPr>
        <w:pStyle w:val="Sraopastraipa"/>
        <w:numPr>
          <w:ilvl w:val="1"/>
          <w:numId w:val="88"/>
        </w:numPr>
        <w:jc w:val="both"/>
        <w:rPr>
          <w:rFonts w:ascii="Georgia" w:hAnsi="Georgia"/>
          <w:sz w:val="20"/>
          <w:szCs w:val="20"/>
          <w:lang w:val="lt-LT"/>
        </w:rPr>
      </w:pPr>
      <w:r>
        <w:rPr>
          <w:rFonts w:ascii="Georgia" w:hAnsi="Georgia"/>
          <w:sz w:val="20"/>
          <w:szCs w:val="20"/>
          <w:lang w:val="lt-LT"/>
        </w:rPr>
        <w:t>pasikeitus energetinio efektyvumo reikalavimams ir tikslams;</w:t>
      </w:r>
    </w:p>
    <w:p w14:paraId="4A2E8381" w14:textId="77777777" w:rsidR="00A04C05" w:rsidRDefault="00A04C05" w:rsidP="002A576D">
      <w:pPr>
        <w:pStyle w:val="Sraopastraipa"/>
        <w:numPr>
          <w:ilvl w:val="1"/>
          <w:numId w:val="88"/>
        </w:numPr>
        <w:jc w:val="both"/>
        <w:rPr>
          <w:rFonts w:ascii="Georgia" w:hAnsi="Georgia"/>
          <w:sz w:val="20"/>
          <w:szCs w:val="20"/>
          <w:lang w:val="lt-LT"/>
        </w:rPr>
      </w:pPr>
      <w:r>
        <w:rPr>
          <w:rFonts w:ascii="Georgia" w:hAnsi="Georgia"/>
          <w:sz w:val="20"/>
          <w:szCs w:val="20"/>
          <w:lang w:val="lt-LT"/>
        </w:rPr>
        <w:t>reikšmingai pasikeitus kitoms šioje ex ante numatytoms prielaidoms.</w:t>
      </w:r>
    </w:p>
    <w:p w14:paraId="10F38487" w14:textId="77777777" w:rsidR="00932EB1" w:rsidRDefault="00932EB1" w:rsidP="002A576D">
      <w:pPr>
        <w:pStyle w:val="Sraopastraipa"/>
        <w:numPr>
          <w:ilvl w:val="0"/>
          <w:numId w:val="88"/>
        </w:numPr>
        <w:jc w:val="both"/>
        <w:rPr>
          <w:rFonts w:ascii="Georgia" w:hAnsi="Georgia"/>
          <w:sz w:val="20"/>
          <w:szCs w:val="20"/>
          <w:lang w:val="lt-LT"/>
        </w:rPr>
      </w:pPr>
      <w:r>
        <w:rPr>
          <w:rFonts w:ascii="Georgia" w:hAnsi="Georgia"/>
          <w:sz w:val="20"/>
          <w:szCs w:val="20"/>
          <w:lang w:val="lt-LT"/>
        </w:rPr>
        <w:t xml:space="preserve">Pasikeitus prielaidoms dėl subsidijos projekto daliai finansuoti tikslingumo (kasmet). </w:t>
      </w:r>
    </w:p>
    <w:p w14:paraId="692FF34D" w14:textId="77777777" w:rsidR="00A04C05" w:rsidRPr="00807B2D" w:rsidRDefault="00A04C05" w:rsidP="002A576D">
      <w:pPr>
        <w:pStyle w:val="Sraopastraipa"/>
        <w:numPr>
          <w:ilvl w:val="0"/>
          <w:numId w:val="88"/>
        </w:numPr>
        <w:jc w:val="both"/>
        <w:rPr>
          <w:rFonts w:ascii="Georgia" w:hAnsi="Georgia"/>
          <w:sz w:val="20"/>
          <w:szCs w:val="20"/>
          <w:lang w:val="lt-LT"/>
        </w:rPr>
      </w:pPr>
      <w:r>
        <w:rPr>
          <w:rFonts w:ascii="Georgia" w:eastAsia="Times New Roman" w:hAnsi="Georgia" w:cs="Times New Roman"/>
          <w:sz w:val="20"/>
          <w:szCs w:val="20"/>
          <w:lang w:val="lt-LT" w:eastAsia="lt-LT"/>
        </w:rPr>
        <w:t>Įgyvendinant ex ante vertinime pasiūlytas finansines priemones susiduriama su reikšmingomis teisinėmis kliūtimis ar prieštaravimais, kurie iš esmės neleidžia įgyvendinti pasiūlytų alternatyvų.</w:t>
      </w:r>
    </w:p>
    <w:p w14:paraId="6F95BD04" w14:textId="77777777" w:rsidR="00807B2D" w:rsidRDefault="00807B2D" w:rsidP="002A576D">
      <w:pPr>
        <w:pStyle w:val="Sraopastraipa"/>
        <w:numPr>
          <w:ilvl w:val="0"/>
          <w:numId w:val="88"/>
        </w:numPr>
        <w:jc w:val="both"/>
        <w:rPr>
          <w:rFonts w:ascii="Georgia" w:hAnsi="Georgia"/>
          <w:sz w:val="20"/>
          <w:szCs w:val="20"/>
          <w:lang w:val="lt-LT"/>
        </w:rPr>
      </w:pPr>
      <w:r>
        <w:rPr>
          <w:rFonts w:ascii="Georgia" w:eastAsia="Times New Roman" w:hAnsi="Georgia" w:cs="Times New Roman"/>
          <w:sz w:val="20"/>
          <w:szCs w:val="20"/>
          <w:lang w:val="lt-LT" w:eastAsia="lt-LT"/>
        </w:rPr>
        <w:t>Pakeitus ar papildžius energetinio efektyvumo reikalavimų teisinę bazę.</w:t>
      </w:r>
    </w:p>
    <w:p w14:paraId="5E813FCE" w14:textId="77777777" w:rsidR="00A04C05" w:rsidRDefault="00A04C05" w:rsidP="002A576D">
      <w:pPr>
        <w:pStyle w:val="Sraopastraipa"/>
        <w:numPr>
          <w:ilvl w:val="0"/>
          <w:numId w:val="88"/>
        </w:numPr>
        <w:jc w:val="both"/>
        <w:rPr>
          <w:rFonts w:ascii="Georgia" w:hAnsi="Georgia"/>
          <w:sz w:val="20"/>
          <w:szCs w:val="20"/>
          <w:lang w:val="lt-LT"/>
        </w:rPr>
      </w:pPr>
      <w:r>
        <w:rPr>
          <w:rFonts w:ascii="Georgia" w:hAnsi="Georgia"/>
          <w:sz w:val="20"/>
          <w:szCs w:val="20"/>
          <w:lang w:val="lt-LT"/>
        </w:rPr>
        <w:t>Pasikeitus Lietuvos ar ES teisės aktams, kurie suvaržo siūlomų finansinių priemonių įgyvendinimą.</w:t>
      </w:r>
    </w:p>
    <w:p w14:paraId="1F79BDB2" w14:textId="77777777" w:rsidR="00A04C05" w:rsidRDefault="00A04C05" w:rsidP="002A576D">
      <w:pPr>
        <w:pStyle w:val="Sraopastraipa"/>
        <w:numPr>
          <w:ilvl w:val="0"/>
          <w:numId w:val="88"/>
        </w:numPr>
        <w:jc w:val="both"/>
        <w:rPr>
          <w:rFonts w:ascii="Georgia" w:hAnsi="Georgia"/>
          <w:sz w:val="20"/>
          <w:szCs w:val="20"/>
          <w:lang w:val="lt-LT"/>
        </w:rPr>
      </w:pPr>
      <w:r>
        <w:rPr>
          <w:rFonts w:ascii="Georgia" w:hAnsi="Georgia"/>
          <w:sz w:val="20"/>
          <w:szCs w:val="20"/>
          <w:lang w:val="lt-LT"/>
        </w:rPr>
        <w:t xml:space="preserve">Pasikeitus Lietuvos ar ES teisės aktams, kurie atveria galimybes įgyvendinti finansines priemones lengviau, paprasčiau, patiriant mažiau kaštų ir pan. (pavyzdžiui, EK patvirtina naujas standartizuotas finansines priemones (angl. </w:t>
      </w:r>
      <w:r>
        <w:rPr>
          <w:rFonts w:ascii="Georgia" w:hAnsi="Georgia"/>
          <w:i/>
          <w:sz w:val="20"/>
          <w:szCs w:val="20"/>
          <w:lang w:val="lt-LT"/>
        </w:rPr>
        <w:t>off-the-shelf instruments</w:t>
      </w:r>
      <w:r>
        <w:rPr>
          <w:rFonts w:ascii="Georgia" w:hAnsi="Georgia"/>
          <w:sz w:val="20"/>
          <w:szCs w:val="20"/>
          <w:lang w:val="lt-LT"/>
        </w:rPr>
        <w:t>).</w:t>
      </w:r>
    </w:p>
    <w:p w14:paraId="1C6F12CF" w14:textId="77777777" w:rsidR="00A04C05" w:rsidRDefault="00A04C05" w:rsidP="002A576D">
      <w:pPr>
        <w:pStyle w:val="Sraopastraipa"/>
        <w:numPr>
          <w:ilvl w:val="0"/>
          <w:numId w:val="88"/>
        </w:numPr>
        <w:jc w:val="both"/>
        <w:rPr>
          <w:rFonts w:ascii="Georgia" w:hAnsi="Georgia"/>
          <w:sz w:val="20"/>
          <w:szCs w:val="20"/>
          <w:lang w:val="lt-LT"/>
        </w:rPr>
      </w:pPr>
      <w:r>
        <w:rPr>
          <w:rFonts w:ascii="Georgia" w:hAnsi="Georgia"/>
          <w:sz w:val="20"/>
          <w:szCs w:val="20"/>
          <w:lang w:val="lt-LT"/>
        </w:rPr>
        <w:t>Pasikeitus strateginiams Lietuvos tikslams ir uždaviniams, siektiniems rezultatams ir pan.</w:t>
      </w:r>
    </w:p>
    <w:p w14:paraId="6C314B11" w14:textId="77777777" w:rsidR="00A04C05" w:rsidRDefault="00A04C05" w:rsidP="002A576D">
      <w:pPr>
        <w:pStyle w:val="Sraopastraipa"/>
        <w:numPr>
          <w:ilvl w:val="0"/>
          <w:numId w:val="88"/>
        </w:numPr>
        <w:jc w:val="both"/>
        <w:rPr>
          <w:rFonts w:ascii="Georgia" w:hAnsi="Georgia"/>
          <w:sz w:val="20"/>
          <w:szCs w:val="20"/>
          <w:lang w:val="lt-LT"/>
        </w:rPr>
      </w:pPr>
      <w:r>
        <w:rPr>
          <w:rFonts w:ascii="Georgia" w:hAnsi="Georgia"/>
          <w:sz w:val="20"/>
          <w:szCs w:val="20"/>
          <w:lang w:val="lt-LT"/>
        </w:rPr>
        <w:t xml:space="preserve">Vadovaujančiai institucijai nurodžius papildyti ex ante vertinimą tokiu atveju, kai ex ante pildoma dalimis, arba vadovaujančiai institucijai ir kitoms suinteresuotoms šalims argumentuotai pagrindus, kodėl yra reikalingas ex ante vertinimo pakeitimas. </w:t>
      </w:r>
    </w:p>
    <w:p w14:paraId="3A19AA09" w14:textId="77777777" w:rsidR="00A04C05" w:rsidRDefault="00A04C05" w:rsidP="002A576D">
      <w:pPr>
        <w:pStyle w:val="Sraopastraipa"/>
        <w:numPr>
          <w:ilvl w:val="0"/>
          <w:numId w:val="88"/>
        </w:numPr>
        <w:jc w:val="both"/>
        <w:rPr>
          <w:rFonts w:ascii="Georgia" w:hAnsi="Georgia"/>
          <w:sz w:val="20"/>
          <w:szCs w:val="20"/>
          <w:lang w:val="lt-LT"/>
        </w:rPr>
      </w:pPr>
      <w:r>
        <w:rPr>
          <w:rFonts w:ascii="Georgia" w:hAnsi="Georgia"/>
          <w:sz w:val="20"/>
          <w:szCs w:val="20"/>
          <w:lang w:val="lt-LT"/>
        </w:rPr>
        <w:t>Išnaudojus, arba išnaudojus didžiąją dalį (pvz. daugiau kaip 90 proc.) atskiroms sritims skirtų ESI fondų lėšų.</w:t>
      </w:r>
    </w:p>
    <w:p w14:paraId="059CF39D" w14:textId="77777777" w:rsidR="00A04C05" w:rsidRDefault="00A04C05" w:rsidP="002A576D">
      <w:pPr>
        <w:pStyle w:val="Sraopastraipa"/>
        <w:numPr>
          <w:ilvl w:val="0"/>
          <w:numId w:val="88"/>
        </w:numPr>
        <w:jc w:val="both"/>
        <w:rPr>
          <w:rFonts w:ascii="Georgia" w:hAnsi="Georgia"/>
          <w:sz w:val="20"/>
          <w:szCs w:val="20"/>
          <w:lang w:val="lt-LT"/>
        </w:rPr>
      </w:pPr>
      <w:r>
        <w:rPr>
          <w:rFonts w:ascii="Georgia" w:hAnsi="Georgia"/>
          <w:sz w:val="20"/>
          <w:szCs w:val="20"/>
          <w:lang w:val="lt-LT"/>
        </w:rPr>
        <w:t>Įtarus, jog ex ante nurodytomis sąlygomis nebus pasiekti numatyti rezultatai.</w:t>
      </w:r>
    </w:p>
    <w:p w14:paraId="713A876D" w14:textId="77777777" w:rsidR="00A04C05" w:rsidRDefault="00A04C05" w:rsidP="002A576D">
      <w:pPr>
        <w:pStyle w:val="Sraopastraipa"/>
        <w:numPr>
          <w:ilvl w:val="0"/>
          <w:numId w:val="88"/>
        </w:numPr>
        <w:jc w:val="both"/>
        <w:rPr>
          <w:rFonts w:ascii="Georgia" w:hAnsi="Georgia"/>
          <w:sz w:val="20"/>
          <w:szCs w:val="20"/>
          <w:lang w:val="lt-LT"/>
        </w:rPr>
      </w:pPr>
      <w:r>
        <w:rPr>
          <w:rFonts w:ascii="Georgia" w:hAnsi="Georgia"/>
          <w:sz w:val="20"/>
          <w:szCs w:val="20"/>
          <w:lang w:val="lt-LT"/>
        </w:rPr>
        <w:t>Pasikeitus kitoms sąlygoms kurios ženkliai galėtų įtakoti šios ex ante rezultatus.</w:t>
      </w:r>
    </w:p>
    <w:p w14:paraId="6D6A660B" w14:textId="77777777" w:rsidR="00A04C05" w:rsidRDefault="00E540A6" w:rsidP="00A04C05">
      <w:pPr>
        <w:jc w:val="both"/>
        <w:rPr>
          <w:rFonts w:ascii="Georgia" w:hAnsi="Georgia"/>
          <w:sz w:val="20"/>
          <w:szCs w:val="20"/>
          <w:lang w:val="lt-LT"/>
        </w:rPr>
      </w:pPr>
      <w:r>
        <w:rPr>
          <w:rFonts w:ascii="Georgia" w:hAnsi="Georgia"/>
          <w:sz w:val="20"/>
          <w:szCs w:val="20"/>
          <w:lang w:val="lt-LT"/>
        </w:rPr>
        <w:t xml:space="preserve">Pažymėtina, jog siekiant laiku įvertinti susiklosčiusius pokyčius, išvardintus 1-10 punktuose aukščiau, turėtų būti užtikrinama šios informacijos stebėsena per ataskaitų teikimą. Rekomenduojame fondo valdytojui kasmet teikiant metines ataskaitas peržiūrėti 1-10 punktuose išvardintus aspektus bei pateikti savo rekomendacijas dėl jų esminių ar neesminių pasikeitimų bei savo nuomonę, ar ex ante vertinimas teisingai atspindi esamą situaciją ir ar nėra reikalingas ex ante vertinimo pakeitimas. </w:t>
      </w:r>
    </w:p>
    <w:p w14:paraId="25D9A12B" w14:textId="77777777" w:rsidR="00F6079F" w:rsidRDefault="00F6079F">
      <w:pPr>
        <w:rPr>
          <w:rFonts w:asciiTheme="majorHAnsi" w:eastAsiaTheme="majorEastAsia" w:hAnsiTheme="majorHAnsi" w:cstheme="majorBidi"/>
          <w:b/>
          <w:bCs/>
          <w:color w:val="4F81BD" w:themeColor="accent1"/>
          <w:sz w:val="26"/>
          <w:szCs w:val="26"/>
          <w:lang w:val="lt-LT"/>
        </w:rPr>
      </w:pPr>
    </w:p>
    <w:p w14:paraId="02025806" w14:textId="77777777" w:rsidR="00F6547C" w:rsidRDefault="00F6547C">
      <w:pPr>
        <w:rPr>
          <w:rFonts w:asciiTheme="majorHAnsi" w:eastAsiaTheme="majorEastAsia" w:hAnsiTheme="majorHAnsi" w:cstheme="majorBidi"/>
          <w:b/>
          <w:bCs/>
          <w:color w:val="4F81BD" w:themeColor="accent1"/>
          <w:sz w:val="26"/>
          <w:szCs w:val="26"/>
          <w:lang w:val="lt-LT"/>
        </w:rPr>
      </w:pPr>
    </w:p>
    <w:p w14:paraId="2908BB20" w14:textId="77777777" w:rsidR="00151543" w:rsidRPr="00DF3A8E" w:rsidRDefault="00151543" w:rsidP="0062724A">
      <w:pPr>
        <w:pStyle w:val="Antrat2"/>
        <w:numPr>
          <w:ilvl w:val="1"/>
          <w:numId w:val="36"/>
        </w:numPr>
        <w:rPr>
          <w:lang w:val="lt-LT"/>
        </w:rPr>
      </w:pPr>
      <w:bookmarkStart w:id="444" w:name="_Toc417378472"/>
      <w:r w:rsidRPr="00DF3A8E">
        <w:rPr>
          <w:lang w:val="lt-LT"/>
        </w:rPr>
        <w:lastRenderedPageBreak/>
        <w:t>Ex ante santrauka</w:t>
      </w:r>
      <w:r w:rsidR="00B527B8">
        <w:rPr>
          <w:lang w:val="lt-LT"/>
        </w:rPr>
        <w:t xml:space="preserve"> ir išvados</w:t>
      </w:r>
      <w:bookmarkEnd w:id="444"/>
    </w:p>
    <w:p w14:paraId="4EFF7F8F" w14:textId="77777777" w:rsidR="00F31090" w:rsidRDefault="00F31090" w:rsidP="00FB328C">
      <w:pPr>
        <w:jc w:val="both"/>
        <w:rPr>
          <w:rFonts w:ascii="Georgia" w:eastAsia="Times New Roman" w:hAnsi="Georgia" w:cs="Times New Roman"/>
          <w:sz w:val="20"/>
          <w:szCs w:val="20"/>
          <w:lang w:val="lt-LT" w:eastAsia="lt-LT"/>
        </w:rPr>
      </w:pPr>
    </w:p>
    <w:p w14:paraId="3ACD6EFC" w14:textId="77777777" w:rsidR="00FB328C" w:rsidRPr="001E0D9E" w:rsidRDefault="00FB328C" w:rsidP="00FB328C">
      <w:pPr>
        <w:jc w:val="both"/>
        <w:rPr>
          <w:rFonts w:ascii="Georgia" w:eastAsia="Times New Roman" w:hAnsi="Georgia" w:cs="Times New Roman"/>
          <w:sz w:val="20"/>
          <w:szCs w:val="20"/>
          <w:lang w:val="lt-LT" w:eastAsia="lt-LT"/>
        </w:rPr>
      </w:pPr>
      <w:r w:rsidRPr="001E0D9E">
        <w:rPr>
          <w:rFonts w:ascii="Georgia" w:eastAsia="Times New Roman" w:hAnsi="Georgia" w:cs="Times New Roman"/>
          <w:sz w:val="20"/>
          <w:szCs w:val="20"/>
          <w:lang w:val="lt-LT" w:eastAsia="lt-LT"/>
        </w:rPr>
        <w:t>Finansinės priemonės yra tvarus finansavimo būdas ilguoju laikotarpiu ir finansinės priemonės tampa vis svarbesn</w:t>
      </w:r>
      <w:r>
        <w:rPr>
          <w:rFonts w:ascii="Georgia" w:eastAsia="Times New Roman" w:hAnsi="Georgia" w:cs="Times New Roman"/>
          <w:sz w:val="20"/>
          <w:szCs w:val="20"/>
          <w:lang w:val="lt-LT" w:eastAsia="lt-LT"/>
        </w:rPr>
        <w:t>i</w:t>
      </w:r>
      <w:r w:rsidRPr="001E0D9E">
        <w:rPr>
          <w:rFonts w:ascii="Georgia" w:eastAsia="Times New Roman" w:hAnsi="Georgia" w:cs="Times New Roman"/>
          <w:sz w:val="20"/>
          <w:szCs w:val="20"/>
          <w:lang w:val="lt-LT" w:eastAsia="lt-LT"/>
        </w:rPr>
        <w:t>s</w:t>
      </w:r>
      <w:r>
        <w:rPr>
          <w:rFonts w:ascii="Georgia" w:eastAsia="Times New Roman" w:hAnsi="Georgia" w:cs="Times New Roman"/>
          <w:sz w:val="20"/>
          <w:szCs w:val="20"/>
          <w:lang w:val="lt-LT" w:eastAsia="lt-LT"/>
        </w:rPr>
        <w:t xml:space="preserve"> įrankis (</w:t>
      </w:r>
      <w:r w:rsidRPr="001E0D9E">
        <w:rPr>
          <w:rFonts w:ascii="Georgia" w:eastAsia="Times New Roman" w:hAnsi="Georgia" w:cs="Times New Roman"/>
          <w:sz w:val="20"/>
          <w:szCs w:val="20"/>
          <w:lang w:val="lt-LT" w:eastAsia="lt-LT"/>
        </w:rPr>
        <w:t>tai pažymėta</w:t>
      </w:r>
      <w:r>
        <w:rPr>
          <w:rFonts w:ascii="Georgia" w:eastAsia="Times New Roman" w:hAnsi="Georgia" w:cs="Times New Roman"/>
          <w:sz w:val="20"/>
          <w:szCs w:val="20"/>
          <w:lang w:val="lt-LT" w:eastAsia="lt-LT"/>
        </w:rPr>
        <w:t xml:space="preserve"> ir</w:t>
      </w:r>
      <w:r w:rsidRPr="001E0D9E">
        <w:rPr>
          <w:rFonts w:ascii="Georgia" w:eastAsia="Times New Roman" w:hAnsi="Georgia" w:cs="Times New Roman"/>
          <w:sz w:val="20"/>
          <w:szCs w:val="20"/>
          <w:lang w:val="lt-LT" w:eastAsia="lt-LT"/>
        </w:rPr>
        <w:t xml:space="preserve"> Bendrųjų nuostatų reglamento preambulės (34)-(35) punktuose</w:t>
      </w:r>
      <w:r>
        <w:rPr>
          <w:rFonts w:ascii="Georgia" w:eastAsia="Times New Roman" w:hAnsi="Georgia" w:cs="Times New Roman"/>
          <w:sz w:val="20"/>
          <w:szCs w:val="20"/>
          <w:lang w:val="lt-LT" w:eastAsia="lt-LT"/>
        </w:rPr>
        <w:t>) pasiekti strateginius rezultatus</w:t>
      </w:r>
      <w:r w:rsidRPr="001E0D9E">
        <w:rPr>
          <w:rFonts w:ascii="Georgia" w:eastAsia="Times New Roman" w:hAnsi="Georgia" w:cs="Times New Roman"/>
          <w:sz w:val="20"/>
          <w:szCs w:val="20"/>
          <w:lang w:val="lt-LT" w:eastAsia="lt-LT"/>
        </w:rPr>
        <w:t xml:space="preserve">. Vadovaujantis Bendrųjų nuostatų reglamento 37.2 punktu, finansinių priemonių </w:t>
      </w:r>
      <w:r>
        <w:rPr>
          <w:rFonts w:ascii="Georgia" w:eastAsia="Times New Roman" w:hAnsi="Georgia" w:cs="Times New Roman"/>
          <w:sz w:val="20"/>
          <w:szCs w:val="20"/>
          <w:lang w:val="lt-LT" w:eastAsia="lt-LT"/>
        </w:rPr>
        <w:t>įgyvendinimas turi būti pagrįstas</w:t>
      </w:r>
      <w:r w:rsidRPr="001E0D9E">
        <w:rPr>
          <w:rFonts w:ascii="Georgia" w:eastAsia="Times New Roman" w:hAnsi="Georgia" w:cs="Times New Roman"/>
          <w:sz w:val="20"/>
          <w:szCs w:val="20"/>
          <w:lang w:val="lt-LT" w:eastAsia="lt-LT"/>
        </w:rPr>
        <w:t xml:space="preserve"> ex ante vertinimu, kurį atliekant turi būti nustatyti rinkos trūkumai arba beveik optimalios investavimo situacijos, apskaičiuotas viešųjų investicijų poreikių mastas ir apimtis</w:t>
      </w:r>
      <w:r>
        <w:rPr>
          <w:rFonts w:ascii="Georgia" w:eastAsia="Times New Roman" w:hAnsi="Georgia" w:cs="Times New Roman"/>
          <w:sz w:val="20"/>
          <w:szCs w:val="20"/>
          <w:lang w:val="lt-LT" w:eastAsia="lt-LT"/>
        </w:rPr>
        <w:t>, rinkos trūkumo susidarymo priežastys, įvairių finansinių produktų kiekybinė ir kokybinė analizė,</w:t>
      </w:r>
      <w:r w:rsidRPr="001E0D9E">
        <w:rPr>
          <w:rFonts w:ascii="Georgia" w:eastAsia="Times New Roman" w:hAnsi="Georgia" w:cs="Times New Roman"/>
          <w:sz w:val="20"/>
          <w:szCs w:val="20"/>
          <w:lang w:val="lt-LT" w:eastAsia="lt-LT"/>
        </w:rPr>
        <w:t xml:space="preserve"> įvertintas poreikis </w:t>
      </w:r>
      <w:r>
        <w:rPr>
          <w:rFonts w:ascii="Georgia" w:eastAsia="Times New Roman" w:hAnsi="Georgia" w:cs="Times New Roman"/>
          <w:sz w:val="20"/>
          <w:szCs w:val="20"/>
          <w:lang w:val="lt-LT" w:eastAsia="lt-LT"/>
        </w:rPr>
        <w:t>derinti finansines priemones su subsidijomis, finansinės priemonės valdymo alternatyvos ir stebėsena</w:t>
      </w:r>
      <w:r w:rsidRPr="001E0D9E">
        <w:rPr>
          <w:rFonts w:ascii="Georgia" w:eastAsia="Times New Roman" w:hAnsi="Georgia" w:cs="Times New Roman"/>
          <w:sz w:val="20"/>
          <w:szCs w:val="20"/>
          <w:lang w:val="lt-LT" w:eastAsia="lt-LT"/>
        </w:rPr>
        <w:t xml:space="preserve">. </w:t>
      </w:r>
      <w:r>
        <w:rPr>
          <w:rFonts w:ascii="Georgia" w:eastAsia="Times New Roman" w:hAnsi="Georgia" w:cs="Times New Roman"/>
          <w:sz w:val="20"/>
          <w:szCs w:val="20"/>
          <w:lang w:val="lt-LT" w:eastAsia="lt-LT"/>
        </w:rPr>
        <w:t>Įvertinus</w:t>
      </w:r>
      <w:r w:rsidRPr="001E0D9E">
        <w:rPr>
          <w:rFonts w:ascii="Georgia" w:eastAsia="Times New Roman" w:hAnsi="Georgia" w:cs="Times New Roman"/>
          <w:sz w:val="20"/>
          <w:szCs w:val="20"/>
          <w:lang w:val="lt-LT" w:eastAsia="lt-LT"/>
        </w:rPr>
        <w:t xml:space="preserve"> poreikį </w:t>
      </w:r>
      <w:r>
        <w:rPr>
          <w:rFonts w:ascii="Georgia" w:eastAsia="Times New Roman" w:hAnsi="Georgia" w:cs="Times New Roman"/>
          <w:sz w:val="20"/>
          <w:szCs w:val="20"/>
          <w:lang w:val="lt-LT" w:eastAsia="lt-LT"/>
        </w:rPr>
        <w:t>kurti</w:t>
      </w:r>
      <w:r w:rsidRPr="001E0D9E">
        <w:rPr>
          <w:rFonts w:ascii="Georgia" w:eastAsia="Times New Roman" w:hAnsi="Georgia" w:cs="Times New Roman"/>
          <w:sz w:val="20"/>
          <w:szCs w:val="20"/>
          <w:lang w:val="lt-LT" w:eastAsia="lt-LT"/>
        </w:rPr>
        <w:t xml:space="preserve"> finansines priemones</w:t>
      </w:r>
      <w:r>
        <w:rPr>
          <w:rFonts w:ascii="Georgia" w:eastAsia="Times New Roman" w:hAnsi="Georgia" w:cs="Times New Roman"/>
          <w:sz w:val="20"/>
          <w:szCs w:val="20"/>
          <w:lang w:val="lt-LT" w:eastAsia="lt-LT"/>
        </w:rPr>
        <w:t xml:space="preserve"> siekiant padengti susidariusius rinkos trūkumus (finansavimo trūkumus)</w:t>
      </w:r>
      <w:r w:rsidRPr="001E0D9E">
        <w:rPr>
          <w:rFonts w:ascii="Georgia" w:eastAsia="Times New Roman" w:hAnsi="Georgia" w:cs="Times New Roman"/>
          <w:sz w:val="20"/>
          <w:szCs w:val="20"/>
          <w:lang w:val="lt-LT" w:eastAsia="lt-LT"/>
        </w:rPr>
        <w:t>, turi būti pasiūlyti finansinių priemonių tipai, jų valdymo struktūra, investavimo strategija. Ex ante vertinimas turi būti baigtas iki vadovaujančiajai institucijai priimant sprendimą dėl įnašų pagal programą skyrimo finansinei priemonei.</w:t>
      </w:r>
    </w:p>
    <w:p w14:paraId="762791CF" w14:textId="77777777" w:rsidR="00FB328C" w:rsidRPr="001E0D9E" w:rsidRDefault="00FB328C" w:rsidP="00FB328C">
      <w:pPr>
        <w:jc w:val="both"/>
        <w:rPr>
          <w:rFonts w:ascii="Georgia" w:eastAsia="Times New Roman" w:hAnsi="Georgia" w:cs="Times New Roman"/>
          <w:sz w:val="20"/>
          <w:szCs w:val="20"/>
          <w:lang w:val="lt-LT" w:eastAsia="lt-LT"/>
        </w:rPr>
      </w:pPr>
      <w:r w:rsidRPr="001E0D9E">
        <w:rPr>
          <w:rFonts w:ascii="Georgia" w:eastAsia="Times New Roman" w:hAnsi="Georgia" w:cs="Times New Roman"/>
          <w:sz w:val="20"/>
          <w:szCs w:val="20"/>
          <w:lang w:val="lt-LT" w:eastAsia="lt-LT"/>
        </w:rPr>
        <w:t xml:space="preserve">Finansų ministerijos užsakymu 2013-2014 m. buvo atliekama PwC studija, kuria buvo siekiama įvertinti JESSICA KF tęstinumą 2014-2020 m. periodu, išanalizuoti potencialius ūkio sektorius finansinių priemonių taikymui bei atlikti pilotinį ex ante vertinimą daugiabučių, viešųjų pastatų ir gatvių apšvietimo modernizavimo sritims. Atsižvelgiant į tai, kad PwC studija buvo atlikta iki Bendrųjų nuostatų reglamento patvirtinimo, kuris apibrėžia ex ante vertinimo turinį, PwC studijoje atliktas pilotinis ex ante vertinimas turi būti papildytas pagal patvirtintas nuostatas ex ante vertinimo atlikimui. </w:t>
      </w:r>
    </w:p>
    <w:p w14:paraId="6711B15A" w14:textId="77777777" w:rsidR="00FB328C" w:rsidRDefault="00FB328C" w:rsidP="00FB328C">
      <w:pPr>
        <w:jc w:val="both"/>
        <w:rPr>
          <w:rFonts w:ascii="Georgia" w:eastAsia="Times New Roman" w:hAnsi="Georgia" w:cs="Times New Roman"/>
          <w:sz w:val="20"/>
          <w:szCs w:val="20"/>
          <w:lang w:val="lt-LT" w:eastAsia="lt-LT"/>
        </w:rPr>
      </w:pPr>
      <w:r w:rsidRPr="001E0D9E">
        <w:rPr>
          <w:rFonts w:ascii="Georgia" w:eastAsia="Times New Roman" w:hAnsi="Georgia" w:cs="Times New Roman"/>
          <w:sz w:val="20"/>
          <w:szCs w:val="20"/>
          <w:lang w:val="lt-LT" w:eastAsia="lt-LT"/>
        </w:rPr>
        <w:t>Atsižvelgdama į teisinį reglamentavimą bei poreikį papildyti PwC studijoje atliktą pilotinį ex ante vertinimą, taip pat vykdydama ESI fondų vadovaujančiosios institucijos funkcijas bei siekdama užtikrinti efektyvų ESI fondų panaudojimą, Finansų ministerija inicijavo Viešosios infrastruktūros ir Energijos efektyvumo ex ante vertinimus. Viešosios infrastruktūros ex ante vertinimas apima įvairius viešosios infrastruktūros sektorius, tokius kaip aplinkosaugos, vandentvarkos, energetikos, transporto, švietimo, kultūros bei socialinius sektorius. Nors Viešosios infrastruktūros ex ante vertinimas turi sąsajų su Energijos efektyvumo ex ante vertinimu energetikos srityje, pažymėtina, kad šiuose vertinimuose analizuojamos sritys yra skirtingos. Viešosios infrastruktūros ex ante vertinime energetikos srityje nagrinėjamos šilumos tinklų, elektros tinklų, dujų tinklų ir atsinaujinančių energijos išteklių sritys, o Energijos efektyvumo ex ante vertinimas apima pastatų (daugiabučių ir viešųjų) energetinį efektyvumą ir gatvių apšvietimo energetinį efektyvumą.</w:t>
      </w:r>
    </w:p>
    <w:p w14:paraId="2CCDACFA" w14:textId="77777777" w:rsidR="00FB328C" w:rsidRDefault="00FB328C" w:rsidP="00FB328C">
      <w:pPr>
        <w:jc w:val="both"/>
        <w:rPr>
          <w:rFonts w:ascii="Georgia" w:hAnsi="Georgia" w:cs="Times New Roman"/>
          <w:sz w:val="20"/>
          <w:lang w:val="lt-LT"/>
        </w:rPr>
      </w:pPr>
      <w:r>
        <w:rPr>
          <w:rFonts w:ascii="Georgia" w:hAnsi="Georgia" w:cs="Times New Roman"/>
          <w:sz w:val="20"/>
          <w:lang w:val="lt-LT"/>
        </w:rPr>
        <w:t xml:space="preserve">Ši energijos vartojimo efektyvumo ex ante analizė apima daugiabučių namų modernizavimą, </w:t>
      </w:r>
      <w:r w:rsidR="007C52FA">
        <w:rPr>
          <w:rFonts w:ascii="Georgia" w:hAnsi="Georgia" w:cs="Times New Roman"/>
          <w:sz w:val="20"/>
          <w:lang w:val="lt-LT"/>
        </w:rPr>
        <w:t>centrinės valdžios</w:t>
      </w:r>
      <w:r>
        <w:rPr>
          <w:rFonts w:ascii="Georgia" w:hAnsi="Georgia" w:cs="Times New Roman"/>
          <w:sz w:val="20"/>
          <w:lang w:val="lt-LT"/>
        </w:rPr>
        <w:t xml:space="preserve"> viešųjų pastatų modernizavimą, gatvių apšvietimo modernizavimą ir </w:t>
      </w:r>
      <w:r w:rsidR="007C52FA">
        <w:rPr>
          <w:rFonts w:ascii="Georgia" w:hAnsi="Georgia" w:cs="Times New Roman"/>
          <w:sz w:val="20"/>
          <w:lang w:val="lt-LT"/>
        </w:rPr>
        <w:t>savivaldybių</w:t>
      </w:r>
      <w:r>
        <w:rPr>
          <w:rFonts w:ascii="Georgia" w:hAnsi="Georgia" w:cs="Times New Roman"/>
          <w:sz w:val="20"/>
          <w:lang w:val="lt-LT"/>
        </w:rPr>
        <w:t xml:space="preserve"> viešųjų pastatų modernizavimą. </w:t>
      </w:r>
    </w:p>
    <w:p w14:paraId="6971C025" w14:textId="77777777" w:rsidR="00FB328C" w:rsidRDefault="00FB328C" w:rsidP="00FB328C">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Šis ex ante vertinimas buvo atliktas pilnai vadovaujantis Europos Komisijos užsakymu atliktos 2014-2020 metų programavimo laikotarpio finansinių priemonių ex ante vertinimo metodologijos  bendrąja ir 4-ąja dalimis ("P</w:t>
      </w:r>
      <w:r w:rsidRPr="00445E51">
        <w:rPr>
          <w:rFonts w:ascii="Georgia" w:eastAsia="Times New Roman" w:hAnsi="Georgia" w:cs="Times New Roman"/>
          <w:sz w:val="20"/>
          <w:szCs w:val="20"/>
          <w:lang w:val="lt-LT" w:eastAsia="lt-LT"/>
        </w:rPr>
        <w:t>erėjimas prie mažai anglies dioksido į aplinką išskiriančių technologijų ekonomiko</w:t>
      </w:r>
      <w:r>
        <w:rPr>
          <w:rFonts w:ascii="Georgia" w:eastAsia="Times New Roman" w:hAnsi="Georgia" w:cs="Times New Roman"/>
          <w:sz w:val="20"/>
          <w:szCs w:val="20"/>
          <w:lang w:val="lt-LT" w:eastAsia="lt-LT"/>
        </w:rPr>
        <w:t xml:space="preserve">s“). </w:t>
      </w:r>
      <w:r w:rsidR="007C52FA">
        <w:rPr>
          <w:rFonts w:ascii="Georgia" w:eastAsia="Times New Roman" w:hAnsi="Georgia" w:cs="Times New Roman"/>
          <w:sz w:val="20"/>
          <w:szCs w:val="20"/>
          <w:lang w:val="lt-LT" w:eastAsia="lt-LT"/>
        </w:rPr>
        <w:t>Taip pat</w:t>
      </w:r>
      <w:r>
        <w:rPr>
          <w:rFonts w:ascii="Georgia" w:eastAsia="Times New Roman" w:hAnsi="Georgia" w:cs="Times New Roman"/>
          <w:sz w:val="20"/>
          <w:szCs w:val="20"/>
          <w:lang w:val="lt-LT" w:eastAsia="lt-LT"/>
        </w:rPr>
        <w:t xml:space="preserve"> buvo vadovaujamasi šiuo metu galiojančiais teisės aktais</w:t>
      </w:r>
      <w:r w:rsidR="007C52FA">
        <w:rPr>
          <w:rFonts w:ascii="Georgia" w:eastAsia="Times New Roman" w:hAnsi="Georgia" w:cs="Times New Roman"/>
          <w:sz w:val="20"/>
          <w:szCs w:val="20"/>
          <w:lang w:val="lt-LT" w:eastAsia="lt-LT"/>
        </w:rPr>
        <w:t xml:space="preserve"> ir strateginiais dokumentais</w:t>
      </w:r>
      <w:r>
        <w:rPr>
          <w:rFonts w:ascii="Georgia" w:eastAsia="Times New Roman" w:hAnsi="Georgia" w:cs="Times New Roman"/>
          <w:sz w:val="20"/>
          <w:szCs w:val="20"/>
          <w:lang w:val="lt-LT" w:eastAsia="lt-LT"/>
        </w:rPr>
        <w:t>, kurie daro įtaką finansinių priemonių įgyvendinimui</w:t>
      </w:r>
      <w:r w:rsidR="007C52FA">
        <w:rPr>
          <w:rFonts w:ascii="Georgia" w:eastAsia="Times New Roman" w:hAnsi="Georgia" w:cs="Times New Roman"/>
          <w:sz w:val="20"/>
          <w:szCs w:val="20"/>
          <w:lang w:val="lt-LT" w:eastAsia="lt-LT"/>
        </w:rPr>
        <w:t xml:space="preserve"> ar konkrečių rezultatų siekimui</w:t>
      </w:r>
      <w:r>
        <w:rPr>
          <w:rFonts w:ascii="Georgia" w:eastAsia="Times New Roman" w:hAnsi="Georgia" w:cs="Times New Roman"/>
          <w:sz w:val="20"/>
          <w:szCs w:val="20"/>
          <w:lang w:val="lt-LT" w:eastAsia="lt-LT"/>
        </w:rPr>
        <w:t xml:space="preserve">. </w:t>
      </w:r>
    </w:p>
    <w:p w14:paraId="4BE536AA" w14:textId="77777777" w:rsidR="00FB328C" w:rsidRDefault="00FB328C" w:rsidP="00FB328C">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Vadovaujantis ex ante vertinimo rengimo rekomendacijomis, įvertinus įsipareigojimus pagal ES direktyvas ir kitus dokumentus bei nacionalinių strateginių dokumentų apibrėžtus tikslus buvo apskaičiuota </w:t>
      </w:r>
      <w:r w:rsidRPr="00876410">
        <w:rPr>
          <w:rFonts w:ascii="Georgia" w:eastAsia="Times New Roman" w:hAnsi="Georgia" w:cs="Times New Roman"/>
          <w:sz w:val="20"/>
          <w:szCs w:val="20"/>
          <w:u w:val="single"/>
          <w:lang w:val="lt-LT" w:eastAsia="lt-LT"/>
        </w:rPr>
        <w:t>investicijų paklausa</w:t>
      </w:r>
      <w:r>
        <w:rPr>
          <w:rFonts w:ascii="Georgia" w:eastAsia="Times New Roman" w:hAnsi="Georgia" w:cs="Times New Roman"/>
          <w:sz w:val="20"/>
          <w:szCs w:val="20"/>
          <w:lang w:val="lt-LT" w:eastAsia="lt-LT"/>
        </w:rPr>
        <w:t xml:space="preserve"> kiekvienai iš keturių nagrinėjamų sričių. Buvo nustatyta, kad daugiabučių namų modernizavimo investicijų poreikis siekia 1347,3 mln. eurų ir yra pats didžiausias iš visų nagrinėtų sričių, savivaldybių viešųjų pastatų modernizavimo investicijų poreikis siekia 234,6 mln. eurų, centrinės valdžios viešųjų pastatų modernizavimo investicijų poreikis siekia 169,7 mln. eurų ir gatvių apšvietimo modernizavimo investicijų poreikis siekia 100,8 mln. eurų. </w:t>
      </w:r>
    </w:p>
    <w:p w14:paraId="336EEED3" w14:textId="77777777" w:rsidR="00FB328C" w:rsidRDefault="00FB328C" w:rsidP="00FB328C">
      <w:pPr>
        <w:jc w:val="both"/>
        <w:rPr>
          <w:rFonts w:ascii="Georgia" w:hAnsi="Georgia" w:cs="Georgia"/>
          <w:sz w:val="20"/>
          <w:szCs w:val="20"/>
          <w:lang w:val="lt-LT"/>
        </w:rPr>
      </w:pPr>
      <w:r>
        <w:rPr>
          <w:rFonts w:ascii="Georgia" w:eastAsia="Times New Roman" w:hAnsi="Georgia" w:cs="Times New Roman"/>
          <w:sz w:val="20"/>
          <w:szCs w:val="20"/>
          <w:lang w:val="lt-LT" w:eastAsia="lt-LT"/>
        </w:rPr>
        <w:lastRenderedPageBreak/>
        <w:t xml:space="preserve">Siekiant įvertinti, koks rinkos trūkumas susidaro kiekvienoje iš analizuojamų sričių, reikalinga įvertinti </w:t>
      </w:r>
      <w:r w:rsidRPr="00876410">
        <w:rPr>
          <w:rFonts w:ascii="Georgia" w:eastAsia="Times New Roman" w:hAnsi="Georgia" w:cs="Times New Roman"/>
          <w:sz w:val="20"/>
          <w:szCs w:val="20"/>
          <w:u w:val="single"/>
          <w:lang w:val="lt-LT" w:eastAsia="lt-LT"/>
        </w:rPr>
        <w:t>finansavimo pasiūlą</w:t>
      </w:r>
      <w:r>
        <w:rPr>
          <w:rFonts w:ascii="Georgia" w:eastAsia="Times New Roman" w:hAnsi="Georgia" w:cs="Times New Roman"/>
          <w:sz w:val="20"/>
          <w:szCs w:val="20"/>
          <w:lang w:val="lt-LT" w:eastAsia="lt-LT"/>
        </w:rPr>
        <w:t xml:space="preserve">. Atlikus pasiūlos analizę buvo įvertintas </w:t>
      </w:r>
      <w:r>
        <w:rPr>
          <w:rFonts w:ascii="Georgia" w:hAnsi="Georgia" w:cs="Georgia"/>
          <w:sz w:val="20"/>
          <w:szCs w:val="20"/>
          <w:lang w:val="lt-LT"/>
        </w:rPr>
        <w:t xml:space="preserve">egzistuojantis finansavimas energijos efektyvumo projektams bei potencialus 2014-2020 m. finansavimas. Analizuojant egzistuojantį finansavimą buvo remiamasi pirminiais ir antriniais informacijos šaltiniais, tuo tarpu vertinant potencialų finansavimą papildomai buvo atlikta komercinių bankų, kredito unijų, tarptautinių finansinių institucijų, pensijų fondų ir valstybės institucijų apklausa (klausimynų ir interviu pagalba). Tarp potencialių energijos efektyvumą didinančių priemonių finansavimo šaltinių išskirti – ESI fondai, Klimato kaitos programos lėšos, grįžusios JESSICA programos lėšos (daugiabučiams), bankų lėšos ir nuosavos lėšos. Taip pat buvo analizuojami kiti lėšų pritraukimo šaltiniai (kitos ES finansuojamos programos), tačiau jų finansavimo apimties nustatyti nepavyko. Įvertinus visus finansavimo šaltinius, kiekvienai iš sričių buvo identifikuota pasiūla: daugiabučių modernizavimui – 395 mln. eurų, savivaldybių </w:t>
      </w:r>
      <w:r>
        <w:rPr>
          <w:rFonts w:ascii="Georgia" w:eastAsia="Times New Roman" w:hAnsi="Georgia" w:cs="Times New Roman"/>
          <w:sz w:val="20"/>
          <w:szCs w:val="20"/>
          <w:lang w:val="lt-LT" w:eastAsia="lt-LT"/>
        </w:rPr>
        <w:t xml:space="preserve">viešųjų pastatų modernizavimui – 88 mln. eurų, centrinės valdžios viešųjų pastatų modernizavimui – 103 mln. eurų ir gatvių apšvietimo modernizavimui - 44 mln. eurų. </w:t>
      </w:r>
    </w:p>
    <w:p w14:paraId="41CCF10A" w14:textId="77777777" w:rsidR="00FB328C" w:rsidRDefault="00FB328C" w:rsidP="00FB328C">
      <w:pPr>
        <w:jc w:val="both"/>
        <w:rPr>
          <w:rFonts w:ascii="Georgia" w:hAnsi="Georgia" w:cs="Georgia"/>
          <w:sz w:val="20"/>
          <w:szCs w:val="20"/>
          <w:lang w:val="lt-LT"/>
        </w:rPr>
      </w:pPr>
      <w:r>
        <w:rPr>
          <w:rFonts w:ascii="Georgia" w:hAnsi="Georgia" w:cs="Georgia"/>
          <w:sz w:val="20"/>
          <w:szCs w:val="20"/>
          <w:lang w:val="lt-LT"/>
        </w:rPr>
        <w:t xml:space="preserve">Atlikus investicijų paklausos ir finansavimo pasiūlos analizę buvo įvertintas rinkų </w:t>
      </w:r>
      <w:r w:rsidRPr="003652F3">
        <w:rPr>
          <w:rFonts w:ascii="Georgia" w:hAnsi="Georgia" w:cs="Georgia"/>
          <w:sz w:val="20"/>
          <w:szCs w:val="20"/>
          <w:u w:val="single"/>
          <w:lang w:val="lt-LT"/>
        </w:rPr>
        <w:t>finansavimo trūkumas</w:t>
      </w:r>
      <w:r>
        <w:rPr>
          <w:rFonts w:ascii="Georgia" w:hAnsi="Georgia" w:cs="Georgia"/>
          <w:sz w:val="20"/>
          <w:szCs w:val="20"/>
          <w:lang w:val="lt-LT"/>
        </w:rPr>
        <w:t xml:space="preserve"> (rinkos finansavimo trūkumas yra investicijų paklausos ir finansavimo pasiūlos skirtumas), šio </w:t>
      </w:r>
      <w:r w:rsidRPr="003652F3">
        <w:rPr>
          <w:rFonts w:ascii="Georgia" w:hAnsi="Georgia" w:cs="Georgia"/>
          <w:sz w:val="20"/>
          <w:szCs w:val="20"/>
          <w:u w:val="single"/>
          <w:lang w:val="lt-LT"/>
        </w:rPr>
        <w:t>trūkumo susidarymo priežastys</w:t>
      </w:r>
      <w:r>
        <w:rPr>
          <w:rFonts w:ascii="Georgia" w:hAnsi="Georgia" w:cs="Georgia"/>
          <w:sz w:val="20"/>
          <w:szCs w:val="20"/>
          <w:lang w:val="lt-LT"/>
        </w:rPr>
        <w:t xml:space="preserve"> bei n</w:t>
      </w:r>
      <w:r w:rsidRPr="00CC415A">
        <w:rPr>
          <w:rFonts w:ascii="Georgia" w:eastAsia="Times New Roman" w:hAnsi="Georgia" w:cs="Times New Roman"/>
          <w:sz w:val="20"/>
          <w:szCs w:val="20"/>
          <w:lang w:val="lt-LT" w:eastAsia="lt-LT"/>
        </w:rPr>
        <w:t>ustat</w:t>
      </w:r>
      <w:r>
        <w:rPr>
          <w:rFonts w:ascii="Georgia" w:eastAsia="Times New Roman" w:hAnsi="Georgia" w:cs="Times New Roman"/>
          <w:sz w:val="20"/>
          <w:szCs w:val="20"/>
          <w:lang w:val="lt-LT" w:eastAsia="lt-LT"/>
        </w:rPr>
        <w:t>ytos didžiausios finansinių priemonių</w:t>
      </w:r>
      <w:r w:rsidRPr="00CC415A">
        <w:rPr>
          <w:rFonts w:ascii="Georgia" w:eastAsia="Times New Roman" w:hAnsi="Georgia" w:cs="Times New Roman"/>
          <w:sz w:val="20"/>
          <w:szCs w:val="20"/>
          <w:lang w:val="lt-LT" w:eastAsia="lt-LT"/>
        </w:rPr>
        <w:t xml:space="preserve"> plėtros kliūt</w:t>
      </w:r>
      <w:r>
        <w:rPr>
          <w:rFonts w:ascii="Georgia" w:eastAsia="Times New Roman" w:hAnsi="Georgia" w:cs="Times New Roman"/>
          <w:sz w:val="20"/>
          <w:szCs w:val="20"/>
          <w:lang w:val="lt-LT" w:eastAsia="lt-LT"/>
        </w:rPr>
        <w:t>y</w:t>
      </w:r>
      <w:r w:rsidRPr="00CC415A">
        <w:rPr>
          <w:rFonts w:ascii="Georgia" w:eastAsia="Times New Roman" w:hAnsi="Georgia" w:cs="Times New Roman"/>
          <w:sz w:val="20"/>
          <w:szCs w:val="20"/>
          <w:lang w:val="lt-LT" w:eastAsia="lt-LT"/>
        </w:rPr>
        <w:t>s.</w:t>
      </w:r>
      <w:r>
        <w:rPr>
          <w:rFonts w:ascii="Georgia" w:eastAsia="Times New Roman" w:hAnsi="Georgia" w:cs="Times New Roman"/>
          <w:sz w:val="20"/>
          <w:szCs w:val="20"/>
          <w:lang w:val="lt-LT" w:eastAsia="lt-LT"/>
        </w:rPr>
        <w:t xml:space="preserve"> Identifikuota, jog didžiausias finansavimo trūkumas susidaro daugiabučių namų modernizavimo srityje, tačiau didžiausios rinkos kliūtys buvo nustatytos centrinės valdžios viešųjų pastatų modernizavimo srityje, kurioje siekiama pritaikyti ESCO modelį. </w:t>
      </w:r>
    </w:p>
    <w:p w14:paraId="6E47E50C" w14:textId="77777777" w:rsidR="00FB328C" w:rsidRDefault="00FB328C" w:rsidP="00FB328C">
      <w:pPr>
        <w:jc w:val="both"/>
        <w:rPr>
          <w:rFonts w:ascii="Georgia" w:eastAsia="Times New Roman" w:hAnsi="Georgia" w:cs="Times New Roman"/>
          <w:sz w:val="20"/>
          <w:szCs w:val="20"/>
          <w:lang w:val="lt-LT" w:eastAsia="lt-LT"/>
        </w:rPr>
      </w:pPr>
      <w:r w:rsidRPr="003652F3">
        <w:rPr>
          <w:rFonts w:ascii="Georgia" w:eastAsia="Times New Roman" w:hAnsi="Georgia" w:cs="Times New Roman"/>
          <w:sz w:val="20"/>
          <w:szCs w:val="20"/>
          <w:u w:val="single"/>
          <w:lang w:val="lt-LT" w:eastAsia="lt-LT"/>
        </w:rPr>
        <w:t>Papildomų privačių lėšų pritraukimo</w:t>
      </w:r>
      <w:r>
        <w:rPr>
          <w:rFonts w:ascii="Georgia" w:eastAsia="Times New Roman" w:hAnsi="Georgia" w:cs="Times New Roman"/>
          <w:sz w:val="20"/>
          <w:szCs w:val="20"/>
          <w:lang w:val="lt-LT" w:eastAsia="lt-LT"/>
        </w:rPr>
        <w:t xml:space="preserve"> dalyje buvo išanalizuotos tarptautinių finansinių institucijų investavimo energijos efektyvumo didinimo srityje ir Lietuvoje apimtys, tokių kaip: </w:t>
      </w:r>
      <w:r>
        <w:rPr>
          <w:rFonts w:ascii="Georgia" w:hAnsi="Georgia" w:cs="Arial"/>
          <w:sz w:val="20"/>
          <w:szCs w:val="20"/>
          <w:lang w:val="lt-LT"/>
        </w:rPr>
        <w:t>Europos rekonstrukcijos ir plėtros bankas (</w:t>
      </w:r>
      <w:r>
        <w:rPr>
          <w:rFonts w:ascii="Georgia" w:hAnsi="Georgia" w:cs="Arial"/>
          <w:i/>
          <w:sz w:val="20"/>
          <w:szCs w:val="20"/>
          <w:lang w:val="lt-LT"/>
        </w:rPr>
        <w:t>angl. European Bank for Restructuring and Development</w:t>
      </w:r>
      <w:r>
        <w:rPr>
          <w:rFonts w:ascii="Georgia" w:hAnsi="Georgia" w:cs="Arial"/>
          <w:sz w:val="20"/>
          <w:szCs w:val="20"/>
          <w:lang w:val="lt-LT"/>
        </w:rPr>
        <w:t xml:space="preserve">); </w:t>
      </w:r>
      <w:r w:rsidRPr="00A93E24">
        <w:rPr>
          <w:rFonts w:ascii="Georgia" w:hAnsi="Georgia" w:cs="Arial"/>
          <w:sz w:val="20"/>
          <w:szCs w:val="20"/>
          <w:lang w:val="lt-LT"/>
        </w:rPr>
        <w:t>Šiaurės investicijų bankas (angl. Nordic Investment Bank)</w:t>
      </w:r>
      <w:r>
        <w:rPr>
          <w:rFonts w:ascii="Georgia" w:hAnsi="Georgia" w:cs="Arial"/>
          <w:sz w:val="20"/>
          <w:szCs w:val="20"/>
          <w:lang w:val="lt-LT"/>
        </w:rPr>
        <w:t>; Europos investicijų bankas (</w:t>
      </w:r>
      <w:r>
        <w:rPr>
          <w:rFonts w:ascii="Georgia" w:hAnsi="Georgia" w:cs="Arial"/>
          <w:i/>
          <w:sz w:val="20"/>
          <w:szCs w:val="20"/>
          <w:lang w:val="lt-LT"/>
        </w:rPr>
        <w:t>angl. European Investment Bank</w:t>
      </w:r>
      <w:r>
        <w:rPr>
          <w:rFonts w:ascii="Georgia" w:hAnsi="Georgia" w:cs="Arial"/>
          <w:sz w:val="20"/>
          <w:szCs w:val="20"/>
          <w:lang w:val="lt-LT"/>
        </w:rPr>
        <w:t>); Europos Tarybos vystymo banko (</w:t>
      </w:r>
      <w:r>
        <w:rPr>
          <w:rFonts w:ascii="Georgia" w:hAnsi="Georgia" w:cs="Arial"/>
          <w:i/>
          <w:sz w:val="20"/>
          <w:szCs w:val="20"/>
          <w:lang w:val="lt-LT"/>
        </w:rPr>
        <w:t>angl. Council of Europe Development Bank</w:t>
      </w:r>
      <w:r>
        <w:rPr>
          <w:rFonts w:ascii="Georgia" w:hAnsi="Georgia" w:cs="Arial"/>
          <w:sz w:val="20"/>
          <w:szCs w:val="20"/>
          <w:lang w:val="lt-LT"/>
        </w:rPr>
        <w:t>). Taip pat kiti finansavimo šaltiniai: Connecti</w:t>
      </w:r>
      <w:r w:rsidRPr="000D5B6D">
        <w:rPr>
          <w:rFonts w:ascii="Georgia" w:hAnsi="Georgia" w:cs="Arial"/>
          <w:sz w:val="20"/>
          <w:szCs w:val="20"/>
          <w:lang w:val="lt-LT"/>
        </w:rPr>
        <w:t>ng Europe facility (Europos infrastruktūros tinklų priemonė)</w:t>
      </w:r>
      <w:r>
        <w:rPr>
          <w:rFonts w:ascii="Georgia" w:hAnsi="Georgia" w:cs="Arial"/>
          <w:sz w:val="20"/>
          <w:szCs w:val="20"/>
          <w:lang w:val="lt-LT"/>
        </w:rPr>
        <w:t xml:space="preserve">; </w:t>
      </w:r>
      <w:r w:rsidRPr="000D5B6D">
        <w:rPr>
          <w:rFonts w:ascii="Georgia" w:hAnsi="Georgia" w:cs="Arial"/>
          <w:sz w:val="20"/>
          <w:szCs w:val="20"/>
          <w:lang w:val="lt-LT"/>
        </w:rPr>
        <w:t>Intelligent Energy</w:t>
      </w:r>
      <w:r>
        <w:rPr>
          <w:rFonts w:ascii="Georgia" w:hAnsi="Georgia" w:cs="Arial"/>
          <w:sz w:val="20"/>
          <w:szCs w:val="20"/>
          <w:lang w:val="lt-LT"/>
        </w:rPr>
        <w:t xml:space="preserve"> </w:t>
      </w:r>
      <w:r w:rsidRPr="000D5B6D">
        <w:rPr>
          <w:rFonts w:ascii="Georgia" w:hAnsi="Georgia" w:cs="Arial"/>
          <w:sz w:val="20"/>
          <w:szCs w:val="20"/>
          <w:lang w:val="lt-LT"/>
        </w:rPr>
        <w:t>Europe (“Pažangi energetika Europai”)</w:t>
      </w:r>
      <w:r>
        <w:rPr>
          <w:rFonts w:ascii="Georgia" w:hAnsi="Georgia" w:cs="Arial"/>
          <w:sz w:val="20"/>
          <w:szCs w:val="20"/>
          <w:lang w:val="lt-LT"/>
        </w:rPr>
        <w:t xml:space="preserve">; </w:t>
      </w:r>
      <w:r w:rsidRPr="000D5B6D">
        <w:rPr>
          <w:rFonts w:ascii="Georgia" w:hAnsi="Georgia" w:cs="Arial"/>
          <w:sz w:val="20"/>
          <w:szCs w:val="20"/>
          <w:lang w:val="lt-LT"/>
        </w:rPr>
        <w:t>Horizon 2020</w:t>
      </w:r>
      <w:r>
        <w:rPr>
          <w:rFonts w:ascii="Georgia" w:hAnsi="Georgia" w:cs="Arial"/>
          <w:sz w:val="20"/>
          <w:szCs w:val="20"/>
          <w:lang w:val="lt-LT"/>
        </w:rPr>
        <w:t xml:space="preserve">; ELENA; </w:t>
      </w:r>
      <w:r w:rsidRPr="000D5B6D">
        <w:rPr>
          <w:rFonts w:ascii="Georgia" w:hAnsi="Georgia" w:cs="Arial"/>
          <w:sz w:val="20"/>
          <w:szCs w:val="20"/>
          <w:lang w:val="lt-LT"/>
        </w:rPr>
        <w:t>LIFE+Programme (2014-2020)</w:t>
      </w:r>
      <w:r>
        <w:rPr>
          <w:rFonts w:ascii="Georgia" w:hAnsi="Georgia" w:cs="Arial"/>
          <w:sz w:val="20"/>
          <w:szCs w:val="20"/>
          <w:lang w:val="lt-LT"/>
        </w:rPr>
        <w:t xml:space="preserve">; </w:t>
      </w:r>
      <w:r w:rsidRPr="000D5B6D">
        <w:rPr>
          <w:rFonts w:ascii="Georgia" w:hAnsi="Georgia" w:cs="Arial"/>
          <w:sz w:val="20"/>
          <w:szCs w:val="20"/>
          <w:lang w:val="lt-LT"/>
        </w:rPr>
        <w:t>2020 European Fund for Energy, Climate Change and Infrastructure (the Marguerite Fund)</w:t>
      </w:r>
      <w:r>
        <w:rPr>
          <w:rFonts w:ascii="Georgia" w:hAnsi="Georgia" w:cs="Arial"/>
          <w:sz w:val="20"/>
          <w:szCs w:val="20"/>
          <w:lang w:val="lt-LT"/>
        </w:rPr>
        <w:t xml:space="preserve"> ir kitos. Buvo identifikuoti privačių investicijų pritraukimo l</w:t>
      </w:r>
      <w:r w:rsidRPr="000D5B6D">
        <w:rPr>
          <w:rFonts w:ascii="Georgia" w:hAnsi="Georgia" w:cs="Arial"/>
          <w:sz w:val="20"/>
          <w:szCs w:val="20"/>
          <w:lang w:val="lt-LT"/>
        </w:rPr>
        <w:t>ygi</w:t>
      </w:r>
      <w:r>
        <w:rPr>
          <w:rFonts w:ascii="Georgia" w:hAnsi="Georgia" w:cs="Arial"/>
          <w:sz w:val="20"/>
          <w:szCs w:val="20"/>
          <w:lang w:val="lt-LT"/>
        </w:rPr>
        <w:t>ai</w:t>
      </w:r>
      <w:r w:rsidRPr="000D5B6D">
        <w:rPr>
          <w:rFonts w:ascii="Georgia" w:hAnsi="Georgia" w:cs="Arial"/>
          <w:sz w:val="20"/>
          <w:szCs w:val="20"/>
          <w:lang w:val="lt-LT"/>
        </w:rPr>
        <w:t xml:space="preserve"> ir </w:t>
      </w:r>
      <w:r>
        <w:rPr>
          <w:rFonts w:ascii="Georgia" w:hAnsi="Georgia" w:cs="Arial"/>
          <w:sz w:val="20"/>
          <w:szCs w:val="20"/>
          <w:lang w:val="lt-LT"/>
        </w:rPr>
        <w:t>būdai, bei privačių investicijų pritraukimo skatinimo elementai.</w:t>
      </w:r>
    </w:p>
    <w:p w14:paraId="572AE416" w14:textId="77777777" w:rsidR="00FB328C" w:rsidRDefault="00FB328C" w:rsidP="00FB328C">
      <w:pPr>
        <w:jc w:val="both"/>
        <w:rPr>
          <w:rFonts w:ascii="Georgia" w:hAnsi="Georgia" w:cs="Times New Roman"/>
          <w:sz w:val="20"/>
          <w:lang w:val="lt-LT"/>
        </w:rPr>
      </w:pPr>
      <w:r>
        <w:rPr>
          <w:rFonts w:ascii="Georgia" w:hAnsi="Georgia" w:cs="Times New Roman"/>
          <w:sz w:val="20"/>
          <w:lang w:val="lt-LT"/>
        </w:rPr>
        <w:t xml:space="preserve">Siekiant išsiaiškinti tipinių projektų kiekvienoje iš analizuojamų sričių gyvybingumą, buvo atlikta </w:t>
      </w:r>
      <w:r w:rsidRPr="003652F3">
        <w:rPr>
          <w:rFonts w:ascii="Georgia" w:hAnsi="Georgia" w:cs="Times New Roman"/>
          <w:sz w:val="20"/>
          <w:u w:val="single"/>
          <w:lang w:val="lt-LT"/>
        </w:rPr>
        <w:t>jautrumo analizė</w:t>
      </w:r>
      <w:r>
        <w:rPr>
          <w:rFonts w:ascii="Georgia" w:hAnsi="Georgia" w:cs="Times New Roman"/>
          <w:sz w:val="20"/>
          <w:lang w:val="lt-LT"/>
        </w:rPr>
        <w:t xml:space="preserve">. Jautrumo analizės tikslas – įvertinti, kaip keičiasi subsidijos poreikis projektui besikeičiant kitiems veiksniams, pavyzdžiui, projekto atsipirkimo laikotarpiui, energijos kainai ir kt. Jautrumo analizė buvo atlikta įvairiais pjūviais ir nustatyta, jog daugiabučių namų modernizavimo projektams reikalinga papildoma 30 proc. projekto apimties subsidija siekiant, kad projektas atsipirktų per 20 metų. Ši 30 proc. subsidija galėtų būti teikiama šiuo metu galiojančią tvarką, t.y. 15 proc. palūkanų kompensavimo priemonė finansuojama iš fondo lėšų, bei 15 proc. papildoma valstybės paramos dalis, šiuo metu teikiama iš Klimato kaitos programos. </w:t>
      </w:r>
    </w:p>
    <w:p w14:paraId="237CFB08" w14:textId="43836F0A" w:rsidR="00FB328C" w:rsidRDefault="00914262" w:rsidP="00FB328C">
      <w:pPr>
        <w:jc w:val="both"/>
        <w:rPr>
          <w:rFonts w:ascii="Georgia" w:hAnsi="Georgia" w:cs="Times New Roman"/>
          <w:sz w:val="20"/>
          <w:lang w:val="lt-LT"/>
        </w:rPr>
      </w:pPr>
      <w:r>
        <w:rPr>
          <w:rFonts w:ascii="Georgia" w:hAnsi="Georgia" w:cs="Times New Roman"/>
          <w:sz w:val="20"/>
          <w:lang w:val="lt-LT"/>
        </w:rPr>
        <w:t>Savivaldybių ir c</w:t>
      </w:r>
      <w:r w:rsidR="00FB328C">
        <w:rPr>
          <w:rFonts w:ascii="Georgia" w:hAnsi="Georgia" w:cs="Times New Roman"/>
          <w:sz w:val="20"/>
          <w:lang w:val="lt-LT"/>
        </w:rPr>
        <w:t xml:space="preserve">entrinės valdžios viešųjų pastatų modernizavimo projektams jautrumo analizės metu buvo nustatyta reikalinga 20 proc. subsidija, kad energijos efektyvumo didinimo projektai atsipirktų per 20 m. laikotarpį. </w:t>
      </w:r>
      <w:r w:rsidR="00C331B4">
        <w:rPr>
          <w:rFonts w:ascii="Georgia" w:hAnsi="Georgia" w:cs="Times New Roman"/>
          <w:sz w:val="20"/>
          <w:lang w:val="lt-LT"/>
        </w:rPr>
        <w:t>Europos Komisijos išleistos gairės dėl subsidijos teikimo finansinės priemonės apimtyje</w:t>
      </w:r>
      <w:r w:rsidR="00CD13E4">
        <w:rPr>
          <w:rFonts w:ascii="Georgia" w:hAnsi="Georgia" w:cs="Times New Roman"/>
          <w:sz w:val="20"/>
          <w:lang w:val="lt-LT"/>
        </w:rPr>
        <w:t xml:space="preserve"> yra</w:t>
      </w:r>
      <w:r w:rsidR="00C331B4">
        <w:rPr>
          <w:rFonts w:ascii="Georgia" w:hAnsi="Georgia" w:cs="Times New Roman"/>
          <w:sz w:val="20"/>
          <w:lang w:val="lt-LT"/>
        </w:rPr>
        <w:t xml:space="preserve"> ypač varžančios, kas tokį subsidijos teikimo procesą</w:t>
      </w:r>
      <w:r w:rsidR="00FB1432" w:rsidRPr="00FB1432">
        <w:rPr>
          <w:rFonts w:ascii="Georgia" w:hAnsi="Georgia" w:cs="Times New Roman"/>
          <w:sz w:val="20"/>
          <w:lang w:val="lt-LT"/>
        </w:rPr>
        <w:t xml:space="preserve"> </w:t>
      </w:r>
      <w:r w:rsidR="00FB1432">
        <w:rPr>
          <w:rFonts w:ascii="Georgia" w:hAnsi="Georgia" w:cs="Times New Roman"/>
          <w:sz w:val="20"/>
          <w:lang w:val="lt-LT"/>
        </w:rPr>
        <w:t>padaro</w:t>
      </w:r>
      <w:r w:rsidR="00C331B4">
        <w:rPr>
          <w:rFonts w:ascii="Georgia" w:hAnsi="Georgia" w:cs="Times New Roman"/>
          <w:sz w:val="20"/>
          <w:lang w:val="lt-LT"/>
        </w:rPr>
        <w:t xml:space="preserve"> per daug sudėtingą</w:t>
      </w:r>
      <w:r w:rsidR="00FB328C">
        <w:rPr>
          <w:rFonts w:ascii="Georgia" w:hAnsi="Georgia" w:cs="Times New Roman"/>
          <w:sz w:val="20"/>
          <w:lang w:val="lt-LT"/>
        </w:rPr>
        <w:t>.</w:t>
      </w:r>
      <w:r w:rsidR="00814A80">
        <w:rPr>
          <w:rFonts w:ascii="Georgia" w:hAnsi="Georgia" w:cs="Times New Roman"/>
          <w:sz w:val="20"/>
          <w:lang w:val="lt-LT"/>
        </w:rPr>
        <w:t xml:space="preserve"> </w:t>
      </w:r>
      <w:r w:rsidR="001E6EFD">
        <w:rPr>
          <w:rFonts w:ascii="Georgia" w:eastAsia="Times New Roman" w:hAnsi="Georgia" w:cs="Times New Roman"/>
          <w:sz w:val="20"/>
          <w:szCs w:val="20"/>
          <w:lang w:val="lt-LT" w:eastAsia="lt-LT"/>
        </w:rPr>
        <w:t>Atsiradus galimybei skirti papildomą subsidiją iš kitų šaltinių (pvz. Klimato kaitos programos lėšų), siūloma išnaudoti tokią galimybę siekiant sutrumpinti projektų atsipirkimo laikotarpį ir motyvuoti pastatų savininkus aktyviau atnaujinti viešuosius pastatus, tokiu būdu prisidedant prie energijos taupymo strateginių tikslų, taip pat</w:t>
      </w:r>
      <w:r w:rsidR="00814A80" w:rsidRPr="00814A80">
        <w:rPr>
          <w:rFonts w:ascii="Georgia" w:hAnsi="Georgia" w:cs="Times New Roman"/>
          <w:sz w:val="20"/>
          <w:lang w:val="lt-LT"/>
        </w:rPr>
        <w:t xml:space="preserve"> tokiu būdu</w:t>
      </w:r>
      <w:r w:rsidR="001E6EFD">
        <w:rPr>
          <w:rFonts w:ascii="Georgia" w:hAnsi="Georgia" w:cs="Times New Roman"/>
          <w:sz w:val="20"/>
          <w:lang w:val="lt-LT"/>
        </w:rPr>
        <w:t xml:space="preserve"> būtų užtikrinamas</w:t>
      </w:r>
      <w:r w:rsidR="00814A80" w:rsidRPr="00814A80">
        <w:rPr>
          <w:rFonts w:ascii="Georgia" w:hAnsi="Georgia" w:cs="Times New Roman"/>
          <w:sz w:val="20"/>
          <w:lang w:val="lt-LT"/>
        </w:rPr>
        <w:t xml:space="preserve"> lengvesn</w:t>
      </w:r>
      <w:r w:rsidR="001E6EFD">
        <w:rPr>
          <w:rFonts w:ascii="Georgia" w:hAnsi="Georgia" w:cs="Times New Roman"/>
          <w:sz w:val="20"/>
          <w:lang w:val="lt-LT"/>
        </w:rPr>
        <w:t xml:space="preserve">is </w:t>
      </w:r>
      <w:r w:rsidR="00814A80" w:rsidRPr="00814A80">
        <w:rPr>
          <w:rFonts w:ascii="Georgia" w:hAnsi="Georgia" w:cs="Times New Roman"/>
          <w:sz w:val="20"/>
          <w:lang w:val="lt-LT"/>
        </w:rPr>
        <w:t>perėjimą nuo paramos subsidijos forma prie gražintinos formos priemonių.</w:t>
      </w:r>
      <w:r w:rsidR="00FB328C">
        <w:rPr>
          <w:rFonts w:ascii="Georgia" w:hAnsi="Georgia" w:cs="Times New Roman"/>
          <w:sz w:val="20"/>
          <w:lang w:val="lt-LT"/>
        </w:rPr>
        <w:t xml:space="preserve"> Jautrumo analizės metu buvo nustatyta, kad gatvių apšvietimo projektams subsidija nėra reikalinga siekiant, kad projektas atsipirktų per 20 m. laikotarpį, todėl rekomenduojama gatvių apšvietimo projektams papildomos paramos neskirti. </w:t>
      </w:r>
    </w:p>
    <w:p w14:paraId="0CB72FFC" w14:textId="77777777" w:rsidR="00FB328C" w:rsidRDefault="00FB328C" w:rsidP="00FB328C">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lastRenderedPageBreak/>
        <w:t>Centrinės valdžios viešųjų pastatų modernizavimui</w:t>
      </w:r>
      <w:r w:rsidRPr="00CC415A">
        <w:rPr>
          <w:rFonts w:ascii="Georgia" w:eastAsia="Times New Roman" w:hAnsi="Georgia" w:cs="Times New Roman"/>
          <w:sz w:val="20"/>
          <w:szCs w:val="20"/>
          <w:lang w:val="lt-LT" w:eastAsia="lt-LT"/>
        </w:rPr>
        <w:t xml:space="preserve"> </w:t>
      </w:r>
      <w:r>
        <w:rPr>
          <w:rFonts w:ascii="Georgia" w:eastAsia="Times New Roman" w:hAnsi="Georgia" w:cs="Times New Roman"/>
          <w:sz w:val="20"/>
          <w:szCs w:val="20"/>
          <w:lang w:val="lt-LT" w:eastAsia="lt-LT"/>
        </w:rPr>
        <w:t xml:space="preserve">yra reikalingas ne tik didelis kiekis lėšų, bet ir egzistuoja teisiniai apribojimai, kurie draudžia biudžetinių įstaigų tiesioginį skolinimąsi, o taip pat šioje srityje privalo būti pasiekti Energijos efektyvumo direktyvos keliami reikalavimai ir tikslai. Šiame kontekste centrinės valdžios viešųjų pastatų modernizavimui </w:t>
      </w:r>
      <w:r w:rsidRPr="00CC415A">
        <w:rPr>
          <w:rFonts w:ascii="Georgia" w:eastAsia="Times New Roman" w:hAnsi="Georgia" w:cs="Times New Roman"/>
          <w:sz w:val="20"/>
          <w:szCs w:val="20"/>
          <w:lang w:val="lt-LT" w:eastAsia="lt-LT"/>
        </w:rPr>
        <w:t>svarbų vaidmenį galėtų</w:t>
      </w:r>
      <w:r>
        <w:rPr>
          <w:rFonts w:ascii="Georgia" w:eastAsia="Times New Roman" w:hAnsi="Georgia" w:cs="Times New Roman"/>
          <w:sz w:val="20"/>
          <w:szCs w:val="20"/>
          <w:lang w:val="lt-LT" w:eastAsia="lt-LT"/>
        </w:rPr>
        <w:t xml:space="preserve"> </w:t>
      </w:r>
      <w:r w:rsidRPr="00CC415A">
        <w:rPr>
          <w:rFonts w:ascii="Georgia" w:eastAsia="Times New Roman" w:hAnsi="Georgia" w:cs="Times New Roman"/>
          <w:sz w:val="20"/>
          <w:szCs w:val="20"/>
          <w:lang w:val="lt-LT" w:eastAsia="lt-LT"/>
        </w:rPr>
        <w:t>atlikti energetinių paslaugų bendrovės (</w:t>
      </w:r>
      <w:r>
        <w:rPr>
          <w:rFonts w:ascii="Georgia" w:eastAsia="Times New Roman" w:hAnsi="Georgia" w:cs="Times New Roman"/>
          <w:sz w:val="20"/>
          <w:szCs w:val="20"/>
          <w:lang w:val="lt-LT" w:eastAsia="lt-LT"/>
        </w:rPr>
        <w:t>ESCO</w:t>
      </w:r>
      <w:r w:rsidRPr="00CC415A">
        <w:rPr>
          <w:rFonts w:ascii="Georgia" w:eastAsia="Times New Roman" w:hAnsi="Georgia" w:cs="Times New Roman"/>
          <w:sz w:val="20"/>
          <w:szCs w:val="20"/>
          <w:lang w:val="lt-LT" w:eastAsia="lt-LT"/>
        </w:rPr>
        <w:t>)</w:t>
      </w:r>
      <w:r>
        <w:rPr>
          <w:rFonts w:ascii="Georgia" w:eastAsia="Times New Roman" w:hAnsi="Georgia" w:cs="Times New Roman"/>
          <w:sz w:val="20"/>
          <w:szCs w:val="20"/>
          <w:lang w:val="lt-LT" w:eastAsia="lt-LT"/>
        </w:rPr>
        <w:t>, kurios</w:t>
      </w:r>
      <w:r w:rsidRPr="00CC415A">
        <w:rPr>
          <w:rFonts w:ascii="Georgia" w:eastAsia="Times New Roman" w:hAnsi="Georgia" w:cs="Times New Roman"/>
          <w:sz w:val="20"/>
          <w:szCs w:val="20"/>
          <w:lang w:val="lt-LT" w:eastAsia="lt-LT"/>
        </w:rPr>
        <w:t xml:space="preserve"> sudarytų galimybę</w:t>
      </w:r>
      <w:r>
        <w:rPr>
          <w:rFonts w:ascii="Georgia" w:eastAsia="Times New Roman" w:hAnsi="Georgia" w:cs="Times New Roman"/>
          <w:sz w:val="20"/>
          <w:szCs w:val="20"/>
          <w:lang w:val="lt-LT" w:eastAsia="lt-LT"/>
        </w:rPr>
        <w:t xml:space="preserve"> projektus įgyvendinti efektyviai tiek technologine ir finansine prasme. Be to, rekomenduojama ESCO įmonėms įgyvendinant projektus reikalauti jų prisidėjimo savomis lėšomis, kas padėtų užtikrinti kokybišką jų darbą, tinkamą pastato priežiūrą po projekto įgyvendinimo bei efektyvesnį viešųjų finansų naudojimą. ESCO modelio įgyvendinimas taip pat leistų </w:t>
      </w:r>
      <w:r w:rsidRPr="00CC415A">
        <w:rPr>
          <w:rFonts w:ascii="Georgia" w:eastAsia="Times New Roman" w:hAnsi="Georgia" w:cs="Times New Roman"/>
          <w:sz w:val="20"/>
          <w:szCs w:val="20"/>
          <w:lang w:val="lt-LT" w:eastAsia="lt-LT"/>
        </w:rPr>
        <w:t>vieša</w:t>
      </w:r>
      <w:r>
        <w:rPr>
          <w:rFonts w:ascii="Georgia" w:eastAsia="Times New Roman" w:hAnsi="Georgia" w:cs="Times New Roman"/>
          <w:sz w:val="20"/>
          <w:szCs w:val="20"/>
          <w:lang w:val="lt-LT" w:eastAsia="lt-LT"/>
        </w:rPr>
        <w:t>jam</w:t>
      </w:r>
      <w:r w:rsidRPr="00CC415A">
        <w:rPr>
          <w:rFonts w:ascii="Georgia" w:eastAsia="Times New Roman" w:hAnsi="Georgia" w:cs="Times New Roman"/>
          <w:sz w:val="20"/>
          <w:szCs w:val="20"/>
          <w:lang w:val="lt-LT" w:eastAsia="lt-LT"/>
        </w:rPr>
        <w:t xml:space="preserve"> sektoriu</w:t>
      </w:r>
      <w:r>
        <w:rPr>
          <w:rFonts w:ascii="Georgia" w:eastAsia="Times New Roman" w:hAnsi="Georgia" w:cs="Times New Roman"/>
          <w:sz w:val="20"/>
          <w:szCs w:val="20"/>
          <w:lang w:val="lt-LT" w:eastAsia="lt-LT"/>
        </w:rPr>
        <w:t>i</w:t>
      </w:r>
      <w:r w:rsidRPr="00CC415A">
        <w:rPr>
          <w:rFonts w:ascii="Georgia" w:eastAsia="Times New Roman" w:hAnsi="Georgia" w:cs="Times New Roman"/>
          <w:sz w:val="20"/>
          <w:szCs w:val="20"/>
          <w:lang w:val="lt-LT" w:eastAsia="lt-LT"/>
        </w:rPr>
        <w:t xml:space="preserve"> patirt</w:t>
      </w:r>
      <w:r>
        <w:rPr>
          <w:rFonts w:ascii="Georgia" w:eastAsia="Times New Roman" w:hAnsi="Georgia" w:cs="Times New Roman"/>
          <w:sz w:val="20"/>
          <w:szCs w:val="20"/>
          <w:lang w:val="lt-LT" w:eastAsia="lt-LT"/>
        </w:rPr>
        <w:t>i</w:t>
      </w:r>
      <w:r w:rsidRPr="00CC415A">
        <w:rPr>
          <w:rFonts w:ascii="Georgia" w:eastAsia="Times New Roman" w:hAnsi="Georgia" w:cs="Times New Roman"/>
          <w:sz w:val="20"/>
          <w:szCs w:val="20"/>
          <w:lang w:val="lt-LT" w:eastAsia="lt-LT"/>
        </w:rPr>
        <w:t xml:space="preserve"> mažesnę techn</w:t>
      </w:r>
      <w:r>
        <w:rPr>
          <w:rFonts w:ascii="Georgia" w:eastAsia="Times New Roman" w:hAnsi="Georgia" w:cs="Times New Roman"/>
          <w:sz w:val="20"/>
          <w:szCs w:val="20"/>
          <w:lang w:val="lt-LT" w:eastAsia="lt-LT"/>
        </w:rPr>
        <w:t>ologin</w:t>
      </w:r>
      <w:r w:rsidRPr="00CC415A">
        <w:rPr>
          <w:rFonts w:ascii="Georgia" w:eastAsia="Times New Roman" w:hAnsi="Georgia" w:cs="Times New Roman"/>
          <w:sz w:val="20"/>
          <w:szCs w:val="20"/>
          <w:lang w:val="lt-LT" w:eastAsia="lt-LT"/>
        </w:rPr>
        <w:t>ę, ekonominę ir</w:t>
      </w:r>
      <w:r>
        <w:rPr>
          <w:rFonts w:ascii="Georgia" w:eastAsia="Times New Roman" w:hAnsi="Georgia" w:cs="Times New Roman"/>
          <w:sz w:val="20"/>
          <w:szCs w:val="20"/>
          <w:lang w:val="lt-LT" w:eastAsia="lt-LT"/>
        </w:rPr>
        <w:t xml:space="preserve"> finansinę rizikas</w:t>
      </w:r>
      <w:r w:rsidRPr="00CC415A">
        <w:rPr>
          <w:rFonts w:ascii="Georgia" w:eastAsia="Times New Roman" w:hAnsi="Georgia" w:cs="Times New Roman"/>
          <w:sz w:val="20"/>
          <w:szCs w:val="20"/>
          <w:lang w:val="lt-LT" w:eastAsia="lt-LT"/>
        </w:rPr>
        <w:t>.</w:t>
      </w:r>
      <w:r w:rsidR="00814A80">
        <w:rPr>
          <w:rFonts w:ascii="Georgia" w:eastAsia="Times New Roman" w:hAnsi="Georgia" w:cs="Times New Roman"/>
          <w:sz w:val="20"/>
          <w:szCs w:val="20"/>
          <w:lang w:val="lt-LT" w:eastAsia="lt-LT"/>
        </w:rPr>
        <w:t xml:space="preserve"> </w:t>
      </w:r>
    </w:p>
    <w:p w14:paraId="6AB8945C" w14:textId="77777777" w:rsidR="00FB328C" w:rsidRDefault="00FB328C" w:rsidP="00FB328C">
      <w:pPr>
        <w:jc w:val="both"/>
        <w:rPr>
          <w:rFonts w:ascii="Georgia" w:hAnsi="Georgia" w:cs="Times New Roman"/>
          <w:sz w:val="20"/>
          <w:lang w:val="lt-LT"/>
        </w:rPr>
      </w:pPr>
      <w:r>
        <w:rPr>
          <w:rFonts w:ascii="Georgia" w:eastAsia="Times New Roman" w:hAnsi="Georgia" w:cs="Times New Roman"/>
          <w:sz w:val="20"/>
          <w:szCs w:val="20"/>
          <w:lang w:val="lt-LT" w:eastAsia="lt-LT"/>
        </w:rPr>
        <w:t xml:space="preserve">Atliekant </w:t>
      </w:r>
      <w:r w:rsidRPr="003652F3">
        <w:rPr>
          <w:rFonts w:ascii="Georgia" w:eastAsia="Times New Roman" w:hAnsi="Georgia" w:cs="Times New Roman"/>
          <w:sz w:val="20"/>
          <w:szCs w:val="20"/>
          <w:u w:val="single"/>
          <w:lang w:val="lt-LT" w:eastAsia="lt-LT"/>
        </w:rPr>
        <w:t>kiekybinę analizę</w:t>
      </w:r>
      <w:r>
        <w:rPr>
          <w:rFonts w:ascii="Georgia" w:eastAsia="Times New Roman" w:hAnsi="Georgia" w:cs="Times New Roman"/>
          <w:sz w:val="20"/>
          <w:szCs w:val="20"/>
          <w:lang w:val="lt-LT" w:eastAsia="lt-LT"/>
        </w:rPr>
        <w:t xml:space="preserve"> kiekvienai iš analizuojamų sričių buvo įvertinti </w:t>
      </w:r>
      <w:r w:rsidR="00245D4D">
        <w:rPr>
          <w:rFonts w:ascii="Georgia" w:eastAsia="Times New Roman" w:hAnsi="Georgia" w:cs="Times New Roman"/>
          <w:sz w:val="20"/>
          <w:szCs w:val="20"/>
          <w:lang w:val="lt-LT" w:eastAsia="lt-LT"/>
        </w:rPr>
        <w:t xml:space="preserve">įvairūs </w:t>
      </w:r>
      <w:r>
        <w:rPr>
          <w:rFonts w:ascii="Georgia" w:eastAsia="Times New Roman" w:hAnsi="Georgia" w:cs="Times New Roman"/>
          <w:sz w:val="20"/>
          <w:szCs w:val="20"/>
          <w:lang w:val="lt-LT" w:eastAsia="lt-LT"/>
        </w:rPr>
        <w:t xml:space="preserve">finansinių produktų scenarijai ir, įvertinus apskaičiuotus kiekybinius rodiklius, pasiūlytas finansinis produktas kiekvienai iš analizuojamų sričių. Be to, buvo atlikta </w:t>
      </w:r>
      <w:r w:rsidRPr="005A099B">
        <w:rPr>
          <w:rFonts w:ascii="Georgia" w:eastAsia="Times New Roman" w:hAnsi="Georgia" w:cs="Times New Roman"/>
          <w:sz w:val="20"/>
          <w:szCs w:val="20"/>
          <w:u w:val="single"/>
          <w:lang w:val="lt-LT" w:eastAsia="lt-LT"/>
        </w:rPr>
        <w:t>kokybinė analizė</w:t>
      </w:r>
      <w:r>
        <w:rPr>
          <w:rFonts w:ascii="Georgia" w:eastAsia="Times New Roman" w:hAnsi="Georgia" w:cs="Times New Roman"/>
          <w:sz w:val="20"/>
          <w:szCs w:val="20"/>
          <w:lang w:val="lt-LT" w:eastAsia="lt-LT"/>
        </w:rPr>
        <w:t xml:space="preserve">, kuri apėmė Stiprybių-Silpnybių-Grėsmių-Galimybių analizę. </w:t>
      </w:r>
      <w:r>
        <w:rPr>
          <w:rFonts w:ascii="Georgia" w:hAnsi="Georgia" w:cs="Times New Roman"/>
          <w:sz w:val="20"/>
          <w:lang w:val="lt-LT"/>
        </w:rPr>
        <w:t xml:space="preserve">Atsižvelgiant į visus šiuos aspektus yra rekomenduojamos optimaliausios ESI fondų investicijų formos finansinių priemonių įgyvendinimui. Visoms analizuojamoms sritims taip pat buvo </w:t>
      </w:r>
      <w:r w:rsidRPr="005A099B">
        <w:rPr>
          <w:rFonts w:ascii="Georgia" w:eastAsia="Times New Roman" w:hAnsi="Georgia" w:cs="Times New Roman"/>
          <w:sz w:val="20"/>
          <w:szCs w:val="20"/>
          <w:u w:val="single"/>
          <w:lang w:val="lt-LT" w:eastAsia="lt-LT"/>
        </w:rPr>
        <w:t>įvertintos trys pagrindinės galimos valdymo ir įgyvendinimo alternatyvos</w:t>
      </w:r>
      <w:r>
        <w:rPr>
          <w:rFonts w:ascii="Georgia" w:eastAsia="Times New Roman" w:hAnsi="Georgia" w:cs="Times New Roman"/>
          <w:sz w:val="20"/>
          <w:szCs w:val="20"/>
          <w:lang w:val="lt-LT" w:eastAsia="lt-LT"/>
        </w:rPr>
        <w:t xml:space="preserve">: fondų fondo kūrimas, juridinio asmens statusą turinčio fondo kūrimas, fondų fondo ir investicinio fondo steigimas. </w:t>
      </w:r>
    </w:p>
    <w:p w14:paraId="46208801" w14:textId="77777777" w:rsidR="00FB328C" w:rsidRDefault="00FB328C" w:rsidP="00FB328C">
      <w:pPr>
        <w:jc w:val="both"/>
        <w:rPr>
          <w:rFonts w:ascii="Georgia" w:eastAsia="Times New Roman" w:hAnsi="Georgia" w:cs="Times New Roman"/>
          <w:sz w:val="20"/>
          <w:szCs w:val="20"/>
          <w:lang w:val="lt-LT" w:eastAsia="lt-LT"/>
        </w:rPr>
      </w:pPr>
      <w:r w:rsidRPr="005A099B">
        <w:rPr>
          <w:rFonts w:ascii="Georgia" w:eastAsia="Times New Roman" w:hAnsi="Georgia" w:cs="Times New Roman"/>
          <w:sz w:val="20"/>
          <w:szCs w:val="20"/>
          <w:u w:val="single"/>
          <w:lang w:val="lt-LT" w:eastAsia="lt-LT"/>
        </w:rPr>
        <w:t>Daugiabučių namų modernizavimo kiekybinės analizės</w:t>
      </w:r>
      <w:r>
        <w:rPr>
          <w:rFonts w:ascii="Georgia" w:eastAsia="Times New Roman" w:hAnsi="Georgia" w:cs="Times New Roman"/>
          <w:sz w:val="20"/>
          <w:szCs w:val="20"/>
          <w:lang w:val="lt-LT" w:eastAsia="lt-LT"/>
        </w:rPr>
        <w:t xml:space="preserve"> metu buvo nustatyta, jog didžiausią pridėtinę vertę sukurtų lengvatinių paskolų teikimo tęstinumas. Vertinant įvarius finansinius produktus buvo nustatyta, jog nors ir yra kitokių finansinių produktų, kurie demonstruotų geresnius kiekybinius rezultatus, jų įvedimas ir pritaikymas projektų finansavimui užimtų daug laiko. Iš patirties žinoma, jog net ir menki teisinės bazės, finansinio produkto pakeitimai reikalauja didelių pastangų užtikrinti galutinių naudos gavėjų informuotumą, tinkamą viešinimą. Modifikavus finansinį produktą kyla didelė rizika, kad šiuo metu susiformavęs projektų srautas staigiai sumažės ir dalis projektų nebus įgyvendinti dėl neužtikrintumo. Todėl </w:t>
      </w:r>
      <w:r w:rsidRPr="000D1885">
        <w:rPr>
          <w:rFonts w:ascii="Georgia" w:eastAsia="Times New Roman" w:hAnsi="Georgia" w:cs="Times New Roman"/>
          <w:sz w:val="20"/>
          <w:szCs w:val="20"/>
          <w:u w:val="single"/>
          <w:lang w:val="lt-LT" w:eastAsia="lt-LT"/>
        </w:rPr>
        <w:t>daugiabučių namų modernizavimui siūloma palikti tą patį šiuo metu galiojantį JESSICA KF finansinį produktą – lengvatinę paskolą su fiksuotomis 3 proc. palūkanomis</w:t>
      </w:r>
      <w:r w:rsidR="008530F6">
        <w:rPr>
          <w:rFonts w:ascii="Georgia" w:eastAsia="Times New Roman" w:hAnsi="Georgia" w:cs="Times New Roman"/>
          <w:sz w:val="20"/>
          <w:szCs w:val="20"/>
          <w:u w:val="single"/>
          <w:lang w:val="lt-LT" w:eastAsia="lt-LT"/>
        </w:rPr>
        <w:t>,</w:t>
      </w:r>
      <w:r w:rsidRPr="000D1885">
        <w:rPr>
          <w:rFonts w:ascii="Georgia" w:eastAsia="Times New Roman" w:hAnsi="Georgia" w:cs="Times New Roman"/>
          <w:sz w:val="20"/>
          <w:szCs w:val="20"/>
          <w:u w:val="single"/>
          <w:lang w:val="lt-LT" w:eastAsia="lt-LT"/>
        </w:rPr>
        <w:t xml:space="preserve"> 15 proc. projekto vertės palūkanų kompensavimu</w:t>
      </w:r>
      <w:r w:rsidR="008530F6">
        <w:rPr>
          <w:rFonts w:ascii="Georgia" w:eastAsia="Times New Roman" w:hAnsi="Georgia" w:cs="Times New Roman"/>
          <w:sz w:val="20"/>
          <w:szCs w:val="20"/>
          <w:u w:val="single"/>
          <w:lang w:val="lt-LT" w:eastAsia="lt-LT"/>
        </w:rPr>
        <w:t xml:space="preserve"> ir papildoma 15 proc. subsidija iš kitų šaltinių</w:t>
      </w:r>
      <w:r>
        <w:rPr>
          <w:rFonts w:ascii="Georgia" w:eastAsia="Times New Roman" w:hAnsi="Georgia" w:cs="Times New Roman"/>
          <w:sz w:val="20"/>
          <w:szCs w:val="20"/>
          <w:lang w:val="lt-LT" w:eastAsia="lt-LT"/>
        </w:rPr>
        <w:t xml:space="preserve">. </w:t>
      </w:r>
    </w:p>
    <w:p w14:paraId="690E6E7E" w14:textId="77777777" w:rsidR="00FB328C" w:rsidRDefault="00FB328C" w:rsidP="00FB328C">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Daugiabučių namų modernizavimui taip pat buvo įvertintos trys galimos </w:t>
      </w:r>
      <w:r w:rsidRPr="00D4754F">
        <w:rPr>
          <w:rFonts w:ascii="Georgia" w:eastAsia="Times New Roman" w:hAnsi="Georgia" w:cs="Times New Roman"/>
          <w:sz w:val="20"/>
          <w:szCs w:val="20"/>
          <w:u w:val="single"/>
          <w:lang w:val="lt-LT" w:eastAsia="lt-LT"/>
        </w:rPr>
        <w:t>valdymo ir įgyvendinimo alternatyvos</w:t>
      </w:r>
      <w:r>
        <w:rPr>
          <w:rFonts w:ascii="Georgia" w:eastAsia="Times New Roman" w:hAnsi="Georgia" w:cs="Times New Roman"/>
          <w:sz w:val="20"/>
          <w:szCs w:val="20"/>
          <w:u w:val="single"/>
          <w:lang w:val="lt-LT" w:eastAsia="lt-LT"/>
        </w:rPr>
        <w:t xml:space="preserve"> ir parengta Investavimo strategija</w:t>
      </w:r>
      <w:r>
        <w:rPr>
          <w:rFonts w:ascii="Georgia" w:eastAsia="Times New Roman" w:hAnsi="Georgia" w:cs="Times New Roman"/>
          <w:sz w:val="20"/>
          <w:szCs w:val="20"/>
          <w:lang w:val="lt-LT" w:eastAsia="lt-LT"/>
        </w:rPr>
        <w:t xml:space="preserve">. Įvertinus JESSICA KF patirtį, pagrindinius trūkumus bei privalumus, buvo identifikuota, jog optimaliausia valdymo ir įgyvendinimo alternatyva daugiabučių namų modernizavimo įgyvendinimui yra juridinio asmens statusą turinčio fondo kūrimas, kurio forma galėtų būti komanditinė ūkinė bendrija (KŪB). Daugiabučių namų modernizavimo Investavimo strategijoje yra detaliai aprašytas tokios formos fondo steigimas, valdymas ir veikla. Pagrindinis šio modelio privalumas yra galimybė pritraukti privačias lėšas projektų finansavimui, kadangi toks fondas veiktų kaip atskiras juridinis subjektas ir būtų atskirtas nuo fondo valdytojo. Fondui veikiant kaip atskiram juridiniam subjektui investuotojai galėtų fondo veikloje dalyvauti kaip komanditoriai arba teikti paskolas. Pažymėtina, jog naujo juridinio subjekto kūrimas užima daug laiko, o šiuo metu yra susiformavęs didelis daugiabučių namų modernizavimo projektų srautas, kuriam finansuoti 2007-2013 m. JESSICA KF finansavimo nepakaks. Atsižvelgiant į tai, </w:t>
      </w:r>
      <w:r w:rsidR="008530F6">
        <w:rPr>
          <w:rFonts w:ascii="Georgia" w:eastAsia="Times New Roman" w:hAnsi="Georgia" w:cs="Times New Roman"/>
          <w:sz w:val="20"/>
          <w:szCs w:val="20"/>
          <w:lang w:val="lt-LT" w:eastAsia="lt-LT"/>
        </w:rPr>
        <w:t xml:space="preserve">buvo pasiūlytas pereinamojo laikotarpio modelis ir </w:t>
      </w:r>
      <w:r w:rsidR="008530F6">
        <w:rPr>
          <w:rFonts w:ascii="Georgia" w:eastAsia="Times New Roman" w:hAnsi="Georgia" w:cs="Times New Roman"/>
          <w:sz w:val="20"/>
          <w:szCs w:val="20"/>
          <w:u w:val="single"/>
          <w:lang w:val="lt-LT" w:eastAsia="lt-LT"/>
        </w:rPr>
        <w:t>gerai įvertinus esamą situaciją fondo valdytojas turėtų</w:t>
      </w:r>
      <w:r w:rsidRPr="00D4754F">
        <w:rPr>
          <w:rFonts w:ascii="Georgia" w:eastAsia="Times New Roman" w:hAnsi="Georgia" w:cs="Times New Roman"/>
          <w:sz w:val="20"/>
          <w:szCs w:val="20"/>
          <w:u w:val="single"/>
          <w:lang w:val="lt-LT" w:eastAsia="lt-LT"/>
        </w:rPr>
        <w:t xml:space="preserve"> pateikti siūlomą veiksmų planą, kaip galima sklandžiai pereiti nuo vieno periodo prie kito ir užtikrinti projektų srauto kontrolę</w:t>
      </w:r>
      <w:r>
        <w:rPr>
          <w:rFonts w:ascii="Georgia" w:eastAsia="Times New Roman" w:hAnsi="Georgia" w:cs="Times New Roman"/>
          <w:sz w:val="20"/>
          <w:szCs w:val="20"/>
          <w:lang w:val="lt-LT" w:eastAsia="lt-LT"/>
        </w:rPr>
        <w:t xml:space="preserve">. </w:t>
      </w:r>
    </w:p>
    <w:p w14:paraId="69B1D9B2" w14:textId="77777777" w:rsidR="00FB328C" w:rsidRDefault="00FB328C" w:rsidP="00FB328C">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Daugiabučių namų modernizavimo </w:t>
      </w:r>
      <w:r w:rsidRPr="0029580C">
        <w:rPr>
          <w:rFonts w:ascii="Georgia" w:eastAsia="Times New Roman" w:hAnsi="Georgia" w:cs="Times New Roman"/>
          <w:sz w:val="20"/>
          <w:szCs w:val="20"/>
          <w:lang w:val="lt-LT" w:eastAsia="lt-LT"/>
        </w:rPr>
        <w:t>Investavimo strategijoje</w:t>
      </w:r>
      <w:r>
        <w:rPr>
          <w:rFonts w:ascii="Georgia" w:eastAsia="Times New Roman" w:hAnsi="Georgia" w:cs="Times New Roman"/>
          <w:sz w:val="20"/>
          <w:szCs w:val="20"/>
          <w:lang w:val="lt-LT" w:eastAsia="lt-LT"/>
        </w:rPr>
        <w:t xml:space="preserve"> taip pat buvo apibrėžti galutiniai naudos gavėjai, detaliai paaiškinti siūlomi finansiniai produktai, finansinės priemonės derinimas su parama, apskaičiuoti prognozuojami finansinės priemonės rezultatai bei prisidėjimas prie strateginių tikslų, </w:t>
      </w:r>
      <w:r w:rsidRPr="00105B94">
        <w:rPr>
          <w:rFonts w:ascii="Georgia" w:eastAsia="Times New Roman" w:hAnsi="Georgia" w:cs="Times New Roman"/>
          <w:sz w:val="20"/>
          <w:szCs w:val="20"/>
          <w:lang w:val="lt-LT" w:eastAsia="lt-LT"/>
        </w:rPr>
        <w:t>detaliai apibrėžta ir aprašyta valdymo ir įgyvendinimo struktūra bei stebėsen</w:t>
      </w:r>
      <w:r w:rsidR="008530F6" w:rsidRPr="00105B94">
        <w:rPr>
          <w:rFonts w:ascii="Georgia" w:eastAsia="Times New Roman" w:hAnsi="Georgia" w:cs="Times New Roman"/>
          <w:sz w:val="20"/>
          <w:szCs w:val="20"/>
          <w:lang w:val="lt-LT" w:eastAsia="lt-LT"/>
        </w:rPr>
        <w:t>os sistema</w:t>
      </w:r>
      <w:r w:rsidRPr="00105B94">
        <w:rPr>
          <w:rFonts w:ascii="Georgia" w:eastAsia="Times New Roman" w:hAnsi="Georgia" w:cs="Times New Roman"/>
          <w:sz w:val="20"/>
          <w:szCs w:val="20"/>
          <w:lang w:val="lt-LT" w:eastAsia="lt-LT"/>
        </w:rPr>
        <w:t>.</w:t>
      </w:r>
    </w:p>
    <w:p w14:paraId="66F98084" w14:textId="77777777" w:rsidR="003D2247" w:rsidRDefault="003D2247" w:rsidP="003D2247">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Savivaldybių viešųjų pastatų modernizavimo </w:t>
      </w:r>
      <w:r w:rsidRPr="0029580C">
        <w:rPr>
          <w:rFonts w:ascii="Georgia" w:eastAsia="Times New Roman" w:hAnsi="Georgia" w:cs="Times New Roman"/>
          <w:sz w:val="20"/>
          <w:szCs w:val="20"/>
          <w:lang w:val="lt-LT" w:eastAsia="lt-LT"/>
        </w:rPr>
        <w:t>Investavimo strategijoje</w:t>
      </w:r>
      <w:r>
        <w:rPr>
          <w:rFonts w:ascii="Georgia" w:eastAsia="Times New Roman" w:hAnsi="Georgia" w:cs="Times New Roman"/>
          <w:sz w:val="20"/>
          <w:szCs w:val="20"/>
          <w:lang w:val="lt-LT" w:eastAsia="lt-LT"/>
        </w:rPr>
        <w:t xml:space="preserve"> buvo apibrėžti galutiniai naudos gavėjai, detaliai paaiškinti siūlomi finansiniai produktai, finansinės priemonės derinimas su parama, </w:t>
      </w:r>
      <w:r>
        <w:rPr>
          <w:rFonts w:ascii="Georgia" w:eastAsia="Times New Roman" w:hAnsi="Georgia" w:cs="Times New Roman"/>
          <w:sz w:val="20"/>
          <w:szCs w:val="20"/>
          <w:lang w:val="lt-LT" w:eastAsia="lt-LT"/>
        </w:rPr>
        <w:lastRenderedPageBreak/>
        <w:t xml:space="preserve">apskaičiuoti prognozuojami finansinės priemonės rezultatai bei prisidėjimas prie strateginių tikslų, detaliai apibrėžta ir aprašyta valdymo ir įgyvendinimo struktūra bei stebėsena.  </w:t>
      </w:r>
    </w:p>
    <w:p w14:paraId="0CC435A7" w14:textId="39287473" w:rsidR="001E6EFD" w:rsidRPr="004D45B4" w:rsidRDefault="00211526" w:rsidP="001E6EFD">
      <w:pPr>
        <w:jc w:val="both"/>
        <w:rPr>
          <w:rFonts w:ascii="Georgia" w:eastAsia="Times New Roman" w:hAnsi="Georgia" w:cs="Times New Roman"/>
          <w:sz w:val="20"/>
          <w:szCs w:val="20"/>
          <w:highlight w:val="yellow"/>
          <w:lang w:val="lt-LT" w:eastAsia="lt-LT"/>
        </w:rPr>
      </w:pPr>
      <w:r>
        <w:rPr>
          <w:rFonts w:ascii="Georgia" w:hAnsi="Georgia"/>
          <w:sz w:val="20"/>
          <w:szCs w:val="20"/>
          <w:u w:val="single"/>
          <w:lang w:val="lt-LT" w:eastAsia="lt-LT"/>
        </w:rPr>
        <w:t>Savivaldybių</w:t>
      </w:r>
      <w:r w:rsidRPr="00105B94">
        <w:rPr>
          <w:rFonts w:ascii="Georgia" w:hAnsi="Georgia"/>
          <w:sz w:val="20"/>
          <w:szCs w:val="20"/>
          <w:u w:val="single"/>
          <w:lang w:val="lt-LT" w:eastAsia="lt-LT"/>
        </w:rPr>
        <w:t xml:space="preserve"> viešųjų pastatų modernizavimo kiekybinės analizės</w:t>
      </w:r>
      <w:r w:rsidRPr="00105B94">
        <w:rPr>
          <w:rFonts w:ascii="Georgia" w:hAnsi="Georgia"/>
          <w:sz w:val="20"/>
          <w:szCs w:val="20"/>
          <w:lang w:val="lt-LT" w:eastAsia="lt-LT"/>
        </w:rPr>
        <w:t xml:space="preserve"> metu buvo nustatyta, jog didžiausią pridėtinę vertę sukurtų lengvatinių paskolų teikimas taikant </w:t>
      </w:r>
      <w:r w:rsidR="00C331B4" w:rsidRPr="00C331B4">
        <w:rPr>
          <w:rFonts w:ascii="Georgia" w:hAnsi="Georgia"/>
          <w:sz w:val="20"/>
          <w:szCs w:val="20"/>
          <w:lang w:val="lt-LT" w:eastAsia="lt-LT"/>
        </w:rPr>
        <w:t>iki 2% + 6 mėn. EURIBOR (bet ne mažiau kaip 0%). Finansinės priemonės (ar fondų fondo) valdytojas gali pasiūlyti užfiksuoti palūkanų normą (palūkanų fiksavimas būtų paremtas rinkos sąlygomis prieinamais instrumentais). Išnaudojus E</w:t>
      </w:r>
      <w:r w:rsidR="00CD13E4">
        <w:rPr>
          <w:rFonts w:ascii="Georgia" w:hAnsi="Georgia"/>
          <w:sz w:val="20"/>
          <w:szCs w:val="20"/>
          <w:lang w:val="lt-LT" w:eastAsia="lt-LT"/>
        </w:rPr>
        <w:t>SI</w:t>
      </w:r>
      <w:r w:rsidR="00C331B4" w:rsidRPr="00C331B4">
        <w:rPr>
          <w:rFonts w:ascii="Georgia" w:hAnsi="Georgia"/>
          <w:sz w:val="20"/>
          <w:szCs w:val="20"/>
          <w:lang w:val="lt-LT" w:eastAsia="lt-LT"/>
        </w:rPr>
        <w:t xml:space="preserve"> lėšas papildomai gali būti taikomi papildomi finansavimo mokesčiai (susiję su papildomo finansavimo pritraukimu)</w:t>
      </w:r>
      <w:r w:rsidR="007C52FA" w:rsidRPr="009E6096">
        <w:rPr>
          <w:rFonts w:ascii="Georgia" w:hAnsi="Georgia"/>
          <w:sz w:val="20"/>
          <w:szCs w:val="20"/>
          <w:lang w:val="lt-LT" w:eastAsia="lt-LT"/>
        </w:rPr>
        <w:t>.</w:t>
      </w:r>
      <w:r w:rsidRPr="009E6096">
        <w:rPr>
          <w:rFonts w:ascii="Georgia" w:eastAsia="Times New Roman" w:hAnsi="Georgia" w:cs="Times New Roman"/>
          <w:sz w:val="20"/>
          <w:szCs w:val="20"/>
          <w:lang w:val="lt-LT" w:eastAsia="lt-LT"/>
        </w:rPr>
        <w:t xml:space="preserve"> </w:t>
      </w:r>
      <w:r w:rsidR="007C52FA" w:rsidRPr="009E6096">
        <w:rPr>
          <w:rFonts w:ascii="Georgia" w:eastAsia="Times New Roman" w:hAnsi="Georgia" w:cs="Times New Roman"/>
          <w:sz w:val="20"/>
          <w:szCs w:val="20"/>
          <w:lang w:val="lt-LT" w:eastAsia="lt-LT"/>
        </w:rPr>
        <w:t>Į</w:t>
      </w:r>
      <w:r w:rsidRPr="009E6096">
        <w:rPr>
          <w:rFonts w:ascii="Georgia" w:eastAsia="Times New Roman" w:hAnsi="Georgia" w:cs="Times New Roman"/>
          <w:sz w:val="20"/>
          <w:szCs w:val="20"/>
          <w:lang w:val="lt-LT" w:eastAsia="lt-LT"/>
        </w:rPr>
        <w:t>vertinus įvairius aspektus buvo identifikuota, jog</w:t>
      </w:r>
      <w:r w:rsidR="004D45B4" w:rsidRPr="009E6096">
        <w:rPr>
          <w:rFonts w:ascii="Georgia" w:eastAsia="Times New Roman" w:hAnsi="Georgia" w:cs="Times New Roman"/>
          <w:sz w:val="20"/>
          <w:szCs w:val="20"/>
          <w:lang w:val="lt-LT" w:eastAsia="lt-LT"/>
        </w:rPr>
        <w:t xml:space="preserve"> vadovaujanti institucija kartu su Aplinkos ministerija gali pasirinkti </w:t>
      </w:r>
      <w:r w:rsidR="009E6096" w:rsidRPr="009E6096">
        <w:rPr>
          <w:rFonts w:ascii="Georgia" w:eastAsia="Times New Roman" w:hAnsi="Georgia" w:cs="Times New Roman"/>
          <w:sz w:val="20"/>
          <w:szCs w:val="20"/>
          <w:lang w:val="lt-LT" w:eastAsia="lt-LT"/>
        </w:rPr>
        <w:t>tarp</w:t>
      </w:r>
      <w:r w:rsidR="004D45B4" w:rsidRPr="009E6096">
        <w:rPr>
          <w:rFonts w:ascii="Georgia" w:eastAsia="Times New Roman" w:hAnsi="Georgia" w:cs="Times New Roman"/>
          <w:sz w:val="20"/>
          <w:szCs w:val="20"/>
          <w:lang w:val="lt-LT" w:eastAsia="lt-LT"/>
        </w:rPr>
        <w:t xml:space="preserve"> dviejų </w:t>
      </w:r>
      <w:r w:rsidRPr="009E6096">
        <w:rPr>
          <w:rFonts w:ascii="Georgia" w:eastAsia="Times New Roman" w:hAnsi="Georgia" w:cs="Times New Roman"/>
          <w:sz w:val="20"/>
          <w:szCs w:val="20"/>
          <w:lang w:val="lt-LT" w:eastAsia="lt-LT"/>
        </w:rPr>
        <w:t xml:space="preserve"> valdymo ir įgyvendinimo alternatyv</w:t>
      </w:r>
      <w:r w:rsidR="009E6096" w:rsidRPr="009E6096">
        <w:rPr>
          <w:rFonts w:ascii="Georgia" w:eastAsia="Times New Roman" w:hAnsi="Georgia" w:cs="Times New Roman"/>
          <w:sz w:val="20"/>
          <w:szCs w:val="20"/>
          <w:lang w:val="lt-LT" w:eastAsia="lt-LT"/>
        </w:rPr>
        <w:t>ų</w:t>
      </w:r>
      <w:r w:rsidRPr="009E6096">
        <w:rPr>
          <w:rFonts w:ascii="Georgia" w:eastAsia="Times New Roman" w:hAnsi="Georgia" w:cs="Times New Roman"/>
          <w:sz w:val="20"/>
          <w:szCs w:val="20"/>
          <w:lang w:val="lt-LT" w:eastAsia="lt-LT"/>
        </w:rPr>
        <w:t xml:space="preserve"> savivaldybių pastatų modernizavimo įgyvendinimui</w:t>
      </w:r>
      <w:r w:rsidR="004D45B4" w:rsidRPr="009E6096">
        <w:rPr>
          <w:rFonts w:ascii="Georgia" w:eastAsia="Times New Roman" w:hAnsi="Georgia" w:cs="Times New Roman"/>
          <w:sz w:val="20"/>
          <w:szCs w:val="20"/>
          <w:lang w:val="lt-LT" w:eastAsia="lt-LT"/>
        </w:rPr>
        <w:t xml:space="preserve">: </w:t>
      </w:r>
      <w:r w:rsidRPr="009E6096">
        <w:rPr>
          <w:rFonts w:ascii="Georgia" w:eastAsia="Times New Roman" w:hAnsi="Georgia" w:cs="Times New Roman"/>
          <w:sz w:val="20"/>
          <w:szCs w:val="20"/>
          <w:lang w:val="lt-LT" w:eastAsia="lt-LT"/>
        </w:rPr>
        <w:t xml:space="preserve"> </w:t>
      </w:r>
      <w:r w:rsidR="004D45B4" w:rsidRPr="009E6096">
        <w:rPr>
          <w:rFonts w:ascii="Georgia" w:eastAsia="Times New Roman" w:hAnsi="Georgia" w:cs="Times New Roman"/>
          <w:sz w:val="20"/>
          <w:szCs w:val="20"/>
          <w:lang w:val="lt-LT" w:eastAsia="lt-LT"/>
        </w:rPr>
        <w:t>i) kai kuriama finansinė priemonė ir jos ateities pinigų srautus išperka įkurtas privatus investicinis fondas arba privatūs investuotojai, arba ii) kai pradžioje kuriama</w:t>
      </w:r>
      <w:r w:rsidR="004D45B4">
        <w:rPr>
          <w:rFonts w:ascii="Georgia" w:eastAsia="Times New Roman" w:hAnsi="Georgia" w:cs="Times New Roman"/>
          <w:sz w:val="20"/>
          <w:szCs w:val="20"/>
          <w:lang w:val="lt-LT" w:eastAsia="lt-LT"/>
        </w:rPr>
        <w:t xml:space="preserve"> finansinė priemonė ir vėliau </w:t>
      </w:r>
      <w:r w:rsidR="004D45B4" w:rsidRPr="004D45B4">
        <w:rPr>
          <w:rFonts w:ascii="Georgia" w:eastAsia="Times New Roman" w:hAnsi="Georgia" w:cs="Times New Roman"/>
          <w:sz w:val="20"/>
          <w:szCs w:val="20"/>
          <w:lang w:val="lt-LT" w:eastAsia="lt-LT"/>
        </w:rPr>
        <w:t>sukuriamas rizikos pasidalijimo fondas, o ESI fondų lėšos nukreipiamos fondo pirmojo praradimo kapitalui suformuoti, tokiu būdu pritraukiant investuotojus, o rizikos pasidalijimo fondas teikia paskolas galutiniams naudos gavėjams</w:t>
      </w:r>
      <w:r w:rsidR="0089727D">
        <w:rPr>
          <w:rFonts w:ascii="Georgia" w:eastAsia="Times New Roman" w:hAnsi="Georgia" w:cs="Times New Roman"/>
          <w:sz w:val="20"/>
          <w:szCs w:val="20"/>
          <w:lang w:val="lt-LT" w:eastAsia="lt-LT"/>
        </w:rPr>
        <w:t xml:space="preserve"> arba jų naudai</w:t>
      </w:r>
      <w:r w:rsidR="004D45B4">
        <w:rPr>
          <w:rFonts w:ascii="Georgia" w:eastAsia="Times New Roman" w:hAnsi="Georgia" w:cs="Times New Roman"/>
          <w:sz w:val="20"/>
          <w:szCs w:val="20"/>
          <w:lang w:val="lt-LT" w:eastAsia="lt-LT"/>
        </w:rPr>
        <w:t>.</w:t>
      </w:r>
      <w:r w:rsidR="009E6096">
        <w:rPr>
          <w:rFonts w:ascii="Georgia" w:eastAsia="Times New Roman" w:hAnsi="Georgia" w:cs="Times New Roman"/>
          <w:sz w:val="20"/>
          <w:szCs w:val="20"/>
          <w:lang w:val="lt-LT" w:eastAsia="lt-LT"/>
        </w:rPr>
        <w:t xml:space="preserve"> </w:t>
      </w:r>
      <w:r w:rsidR="009E6096" w:rsidRPr="009E6096">
        <w:rPr>
          <w:rFonts w:ascii="Georgia" w:eastAsia="Times New Roman" w:hAnsi="Georgia" w:cs="Times New Roman"/>
          <w:sz w:val="20"/>
          <w:szCs w:val="20"/>
          <w:lang w:val="lt-LT" w:eastAsia="lt-LT"/>
        </w:rPr>
        <w:t xml:space="preserve">Vertinant kiekybinius rodiklius, šie scenarijais turi geriausius, beveik vienodus multiplikatoriaus efekto ir sverto rodiklius. </w:t>
      </w:r>
      <w:r w:rsidR="004D45B4">
        <w:rPr>
          <w:rFonts w:ascii="Georgia" w:eastAsia="Times New Roman" w:hAnsi="Georgia" w:cs="Times New Roman"/>
          <w:sz w:val="20"/>
          <w:szCs w:val="20"/>
          <w:lang w:val="lt-LT" w:eastAsia="lt-LT"/>
        </w:rPr>
        <w:t xml:space="preserve"> </w:t>
      </w:r>
      <w:r w:rsidRPr="00105B94">
        <w:rPr>
          <w:rFonts w:ascii="Georgia" w:eastAsia="Times New Roman" w:hAnsi="Georgia" w:cs="Times New Roman"/>
          <w:sz w:val="20"/>
          <w:szCs w:val="20"/>
          <w:u w:val="single"/>
          <w:lang w:val="lt-LT" w:eastAsia="lt-LT"/>
        </w:rPr>
        <w:t xml:space="preserve">Lengvatinės paskolos turėtų būti derinamos su </w:t>
      </w:r>
      <w:r w:rsidR="00313F07">
        <w:rPr>
          <w:rFonts w:ascii="Georgia" w:eastAsia="Times New Roman" w:hAnsi="Georgia" w:cs="Times New Roman"/>
          <w:sz w:val="20"/>
          <w:szCs w:val="20"/>
          <w:u w:val="single"/>
          <w:lang w:val="lt-LT" w:eastAsia="lt-LT"/>
        </w:rPr>
        <w:t>2</w:t>
      </w:r>
      <w:r w:rsidRPr="00105B94">
        <w:rPr>
          <w:rFonts w:ascii="Georgia" w:eastAsia="Times New Roman" w:hAnsi="Georgia" w:cs="Times New Roman"/>
          <w:sz w:val="20"/>
          <w:szCs w:val="20"/>
          <w:u w:val="single"/>
          <w:lang w:val="lt-LT" w:eastAsia="lt-LT"/>
        </w:rPr>
        <w:t>0 proc. paramos teikimu</w:t>
      </w:r>
      <w:r w:rsidR="00313F07">
        <w:rPr>
          <w:rFonts w:ascii="Georgia" w:eastAsia="Times New Roman" w:hAnsi="Georgia" w:cs="Times New Roman"/>
          <w:sz w:val="20"/>
          <w:szCs w:val="20"/>
          <w:u w:val="single"/>
          <w:lang w:val="lt-LT" w:eastAsia="lt-LT"/>
        </w:rPr>
        <w:t>, o atsiradus galimybei galėtų būti sudaromos sąlygos skirti papildomą subsidiją iš kitų šaltinių</w:t>
      </w:r>
      <w:r w:rsidRPr="00105B94">
        <w:rPr>
          <w:rFonts w:ascii="Georgia" w:eastAsia="Times New Roman" w:hAnsi="Georgia" w:cs="Times New Roman"/>
          <w:sz w:val="20"/>
          <w:szCs w:val="20"/>
          <w:lang w:val="lt-LT" w:eastAsia="lt-LT"/>
        </w:rPr>
        <w:t xml:space="preserve">. </w:t>
      </w:r>
    </w:p>
    <w:p w14:paraId="5E4AF825" w14:textId="77777777" w:rsidR="001E6EFD" w:rsidRDefault="001E6EFD" w:rsidP="001E6EFD">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Savivaldybių viešųjų pastatų modernizavimui buvo įvertintos </w:t>
      </w:r>
      <w:r w:rsidRPr="00D4754F">
        <w:rPr>
          <w:rFonts w:ascii="Georgia" w:eastAsia="Times New Roman" w:hAnsi="Georgia" w:cs="Times New Roman"/>
          <w:sz w:val="20"/>
          <w:szCs w:val="20"/>
          <w:u w:val="single"/>
          <w:lang w:val="lt-LT" w:eastAsia="lt-LT"/>
        </w:rPr>
        <w:t>trys galimos valdymo ir įgyvendinimo alternatyvos</w:t>
      </w:r>
      <w:r>
        <w:rPr>
          <w:rFonts w:ascii="Georgia" w:eastAsia="Times New Roman" w:hAnsi="Georgia" w:cs="Times New Roman"/>
          <w:sz w:val="20"/>
          <w:szCs w:val="20"/>
          <w:u w:val="single"/>
          <w:lang w:val="lt-LT" w:eastAsia="lt-LT"/>
        </w:rPr>
        <w:t xml:space="preserve"> ir parengta Investavimo strategija</w:t>
      </w:r>
      <w:r>
        <w:rPr>
          <w:rFonts w:ascii="Georgia" w:eastAsia="Times New Roman" w:hAnsi="Georgia" w:cs="Times New Roman"/>
          <w:sz w:val="20"/>
          <w:szCs w:val="20"/>
          <w:lang w:val="lt-LT" w:eastAsia="lt-LT"/>
        </w:rPr>
        <w:t xml:space="preserve">. Vertinant tai, jog šioje srityje finansinės priemonės iki šiol nebuvo taikomos, be to, Aplinkos ministerija ir kitos valstybinės institucijos yra suinteresuotos modelio įgyvendinimo sparta, buvo siekiama identifikuoti modelį, kuris būtų ir efektyvus, ir greitas. Todėl rekomenduojama savivaldybių modernizavo finansinių priemonių valdymą įgyvendinti dviem etapais, t.y. pirmame etape sukuriant atskirą finansinę priemonę, kuri galėtų pradėti veikti sąlyginai greitai, </w:t>
      </w:r>
      <w:r w:rsidR="004D45B4">
        <w:rPr>
          <w:rFonts w:ascii="Georgia" w:eastAsia="Times New Roman" w:hAnsi="Georgia" w:cs="Times New Roman"/>
          <w:sz w:val="20"/>
          <w:szCs w:val="20"/>
          <w:lang w:val="lt-LT" w:eastAsia="lt-LT"/>
        </w:rPr>
        <w:t>o vėliau pasirikti alternatyvą, kuri būtų greičiau įgyvendinama, t.y. parduodami pinigų srautai investuotojams arba sukuriamas rizikos pasidalijimo fondas</w:t>
      </w:r>
      <w:r w:rsidR="00AC237A">
        <w:rPr>
          <w:rFonts w:ascii="Georgia" w:eastAsia="Times New Roman" w:hAnsi="Georgia" w:cs="Times New Roman"/>
          <w:sz w:val="20"/>
          <w:szCs w:val="20"/>
          <w:lang w:val="lt-LT" w:eastAsia="lt-LT"/>
        </w:rPr>
        <w:t>,</w:t>
      </w:r>
      <w:r w:rsidR="004D45B4">
        <w:rPr>
          <w:rFonts w:ascii="Georgia" w:eastAsia="Times New Roman" w:hAnsi="Georgia" w:cs="Times New Roman"/>
          <w:sz w:val="20"/>
          <w:szCs w:val="20"/>
          <w:lang w:val="lt-LT" w:eastAsia="lt-LT"/>
        </w:rPr>
        <w:t xml:space="preserve"> į kurį </w:t>
      </w:r>
      <w:r w:rsidRPr="004D45B4">
        <w:rPr>
          <w:rFonts w:ascii="Georgia" w:eastAsia="Times New Roman" w:hAnsi="Georgia" w:cs="Times New Roman"/>
          <w:sz w:val="20"/>
          <w:szCs w:val="20"/>
          <w:lang w:val="lt-LT" w:eastAsia="lt-LT"/>
        </w:rPr>
        <w:t>perkeliama sukurta finansinė priemonė. Savivaldybių modernizavimo Investavimo str</w:t>
      </w:r>
      <w:r w:rsidR="004D45B4" w:rsidRPr="004D45B4">
        <w:rPr>
          <w:rFonts w:ascii="Georgia" w:eastAsia="Times New Roman" w:hAnsi="Georgia" w:cs="Times New Roman"/>
          <w:sz w:val="20"/>
          <w:szCs w:val="20"/>
          <w:lang w:val="lt-LT" w:eastAsia="lt-LT"/>
        </w:rPr>
        <w:t>ategijoje yra detaliai aprašyti abu šie modeliai</w:t>
      </w:r>
      <w:r w:rsidRPr="004D45B4">
        <w:rPr>
          <w:rFonts w:ascii="Georgia" w:eastAsia="Times New Roman" w:hAnsi="Georgia" w:cs="Times New Roman"/>
          <w:sz w:val="20"/>
          <w:szCs w:val="20"/>
          <w:lang w:val="lt-LT" w:eastAsia="lt-LT"/>
        </w:rPr>
        <w:t>. Pagrindini</w:t>
      </w:r>
      <w:r w:rsidR="004D45B4" w:rsidRPr="004D45B4">
        <w:rPr>
          <w:rFonts w:ascii="Georgia" w:eastAsia="Times New Roman" w:hAnsi="Georgia" w:cs="Times New Roman"/>
          <w:sz w:val="20"/>
          <w:szCs w:val="20"/>
          <w:lang w:val="lt-LT" w:eastAsia="lt-LT"/>
        </w:rPr>
        <w:t>s</w:t>
      </w:r>
      <w:r w:rsidRPr="004D45B4">
        <w:rPr>
          <w:rFonts w:ascii="Georgia" w:eastAsia="Times New Roman" w:hAnsi="Georgia" w:cs="Times New Roman"/>
          <w:sz w:val="20"/>
          <w:szCs w:val="20"/>
          <w:lang w:val="lt-LT" w:eastAsia="lt-LT"/>
        </w:rPr>
        <w:t xml:space="preserve"> ši</w:t>
      </w:r>
      <w:r w:rsidR="004D45B4" w:rsidRPr="004D45B4">
        <w:rPr>
          <w:rFonts w:ascii="Georgia" w:eastAsia="Times New Roman" w:hAnsi="Georgia" w:cs="Times New Roman"/>
          <w:sz w:val="20"/>
          <w:szCs w:val="20"/>
          <w:lang w:val="lt-LT" w:eastAsia="lt-LT"/>
        </w:rPr>
        <w:t>ų</w:t>
      </w:r>
      <w:r w:rsidRPr="004D45B4">
        <w:rPr>
          <w:rFonts w:ascii="Georgia" w:eastAsia="Times New Roman" w:hAnsi="Georgia" w:cs="Times New Roman"/>
          <w:sz w:val="20"/>
          <w:szCs w:val="20"/>
          <w:lang w:val="lt-LT" w:eastAsia="lt-LT"/>
        </w:rPr>
        <w:t xml:space="preserve"> modeli</w:t>
      </w:r>
      <w:r w:rsidR="004D45B4" w:rsidRPr="004D45B4">
        <w:rPr>
          <w:rFonts w:ascii="Georgia" w:eastAsia="Times New Roman" w:hAnsi="Georgia" w:cs="Times New Roman"/>
          <w:sz w:val="20"/>
          <w:szCs w:val="20"/>
          <w:lang w:val="lt-LT" w:eastAsia="lt-LT"/>
        </w:rPr>
        <w:t>ų</w:t>
      </w:r>
      <w:r w:rsidRPr="004D45B4">
        <w:rPr>
          <w:rFonts w:ascii="Georgia" w:eastAsia="Times New Roman" w:hAnsi="Georgia" w:cs="Times New Roman"/>
          <w:sz w:val="20"/>
          <w:szCs w:val="20"/>
          <w:lang w:val="lt-LT" w:eastAsia="lt-LT"/>
        </w:rPr>
        <w:t xml:space="preserve"> privalumas yra galimybė pritraukti privač</w:t>
      </w:r>
      <w:r w:rsidR="004D45B4" w:rsidRPr="004D45B4">
        <w:rPr>
          <w:rFonts w:ascii="Georgia" w:eastAsia="Times New Roman" w:hAnsi="Georgia" w:cs="Times New Roman"/>
          <w:sz w:val="20"/>
          <w:szCs w:val="20"/>
          <w:lang w:val="lt-LT" w:eastAsia="lt-LT"/>
        </w:rPr>
        <w:t>ias lėšas projektų finansavimui</w:t>
      </w:r>
      <w:r w:rsidRPr="004D45B4">
        <w:rPr>
          <w:rFonts w:ascii="Georgia" w:eastAsia="Times New Roman" w:hAnsi="Georgia" w:cs="Times New Roman"/>
          <w:sz w:val="20"/>
          <w:szCs w:val="20"/>
          <w:lang w:val="lt-LT" w:eastAsia="lt-LT"/>
        </w:rPr>
        <w:t>.</w:t>
      </w:r>
    </w:p>
    <w:p w14:paraId="7D1E9148" w14:textId="6008363E" w:rsidR="00211526" w:rsidRDefault="00211526" w:rsidP="00211526">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Parenkant optimaliausią finansinį produktą savivaldybių pastatų modernizavimui, nustatyti trys </w:t>
      </w:r>
      <w:r w:rsidR="0089727D">
        <w:rPr>
          <w:rFonts w:ascii="Georgia" w:eastAsia="Times New Roman" w:hAnsi="Georgia" w:cs="Times New Roman"/>
          <w:sz w:val="20"/>
          <w:szCs w:val="20"/>
          <w:lang w:val="lt-LT" w:eastAsia="lt-LT"/>
        </w:rPr>
        <w:t xml:space="preserve"> projektų įgyvendinimo</w:t>
      </w:r>
      <w:r>
        <w:rPr>
          <w:rFonts w:ascii="Georgia" w:eastAsia="Times New Roman" w:hAnsi="Georgia" w:cs="Times New Roman"/>
          <w:sz w:val="20"/>
          <w:szCs w:val="20"/>
          <w:lang w:val="lt-LT" w:eastAsia="lt-LT"/>
        </w:rPr>
        <w:t xml:space="preserve"> tipai</w:t>
      </w:r>
      <w:r w:rsidR="00973FD2">
        <w:rPr>
          <w:rFonts w:ascii="Georgia" w:eastAsia="Times New Roman" w:hAnsi="Georgia" w:cs="Times New Roman"/>
          <w:sz w:val="20"/>
          <w:szCs w:val="20"/>
          <w:lang w:val="lt-LT" w:eastAsia="lt-LT"/>
        </w:rPr>
        <w:t>. Vienas šių tipų yra ESCO modelis:</w:t>
      </w:r>
      <w:r>
        <w:rPr>
          <w:rFonts w:ascii="Georgia" w:eastAsia="Times New Roman" w:hAnsi="Georgia" w:cs="Times New Roman"/>
          <w:sz w:val="20"/>
          <w:szCs w:val="20"/>
          <w:lang w:val="lt-LT" w:eastAsia="lt-LT"/>
        </w:rPr>
        <w:t xml:space="preserve"> </w:t>
      </w:r>
      <w:r w:rsidR="00973FD2">
        <w:rPr>
          <w:rFonts w:ascii="Georgia" w:eastAsia="Times New Roman" w:hAnsi="Georgia" w:cs="Times New Roman"/>
          <w:sz w:val="20"/>
          <w:szCs w:val="20"/>
          <w:lang w:val="lt-LT" w:eastAsia="lt-LT"/>
        </w:rPr>
        <w:t>esant</w:t>
      </w:r>
      <w:r>
        <w:rPr>
          <w:rFonts w:ascii="Georgia" w:eastAsia="Times New Roman" w:hAnsi="Georgia" w:cs="Times New Roman"/>
          <w:sz w:val="20"/>
          <w:szCs w:val="20"/>
          <w:lang w:val="lt-LT" w:eastAsia="lt-LT"/>
        </w:rPr>
        <w:t xml:space="preserve"> galimybei rekomenduojama pasinaudoti ESCO įmonių paslaugomis, tokiu būdu galimai neįtakojant savivaldybių skolos limitų rodiklių.</w:t>
      </w:r>
      <w:r w:rsidR="001A44B3">
        <w:rPr>
          <w:rFonts w:ascii="Georgia" w:eastAsia="Times New Roman" w:hAnsi="Georgia" w:cs="Times New Roman"/>
          <w:sz w:val="20"/>
          <w:szCs w:val="20"/>
          <w:lang w:val="lt-LT" w:eastAsia="lt-LT"/>
        </w:rPr>
        <w:t xml:space="preserve"> </w:t>
      </w:r>
      <w:r>
        <w:rPr>
          <w:rFonts w:ascii="Georgia" w:eastAsia="Times New Roman" w:hAnsi="Georgia" w:cs="Times New Roman"/>
          <w:sz w:val="20"/>
          <w:szCs w:val="20"/>
          <w:lang w:val="lt-LT" w:eastAsia="lt-LT"/>
        </w:rPr>
        <w:t xml:space="preserve">Įvertinus finansinius produktus ESCO kompanijoms siūloma siekti, kad ESCO kompanijos projektų finansavimui prisidėtų ir savomis lėšomis, taip užtikrinant atsakingą ESCO kompanijų požiūrį į įgyvendinamą projektą ir tinkamą pastato priežiūrą po projekto įgyvendinimo. </w:t>
      </w:r>
      <w:r w:rsidR="00332DBD" w:rsidRPr="00760316">
        <w:rPr>
          <w:rFonts w:ascii="Georgia" w:hAnsi="Georgia"/>
          <w:sz w:val="20"/>
          <w:lang w:val="lt-LT"/>
        </w:rPr>
        <w:t xml:space="preserve">Siekiant užtikrinti sklandų savivaldybių pastatų renovacijos procesą </w:t>
      </w:r>
      <w:r w:rsidR="00332DBD">
        <w:rPr>
          <w:rFonts w:ascii="Georgia" w:hAnsi="Georgia"/>
          <w:sz w:val="20"/>
          <w:lang w:val="lt-LT"/>
        </w:rPr>
        <w:t xml:space="preserve">išanalizuota teisinė aplinka ir pateiktas </w:t>
      </w:r>
      <w:r w:rsidR="00332DBD" w:rsidRPr="00760316">
        <w:rPr>
          <w:rFonts w:ascii="Georgia" w:hAnsi="Georgia"/>
          <w:sz w:val="20"/>
          <w:lang w:val="lt-LT"/>
        </w:rPr>
        <w:t>rekomenduo</w:t>
      </w:r>
      <w:r w:rsidR="00332DBD">
        <w:rPr>
          <w:rFonts w:ascii="Georgia" w:hAnsi="Georgia"/>
          <w:sz w:val="20"/>
          <w:lang w:val="lt-LT"/>
        </w:rPr>
        <w:t>tinas teisės aktų pakeitimo (priėmimo)</w:t>
      </w:r>
      <w:r w:rsidR="00332DBD" w:rsidRPr="00760316">
        <w:rPr>
          <w:rFonts w:ascii="Georgia" w:hAnsi="Georgia"/>
          <w:sz w:val="20"/>
          <w:lang w:val="lt-LT"/>
        </w:rPr>
        <w:t xml:space="preserve"> </w:t>
      </w:r>
      <w:r w:rsidR="00332DBD">
        <w:rPr>
          <w:rFonts w:ascii="Georgia" w:hAnsi="Georgia"/>
          <w:sz w:val="20"/>
          <w:lang w:val="lt-LT"/>
        </w:rPr>
        <w:t xml:space="preserve">sąrašas. </w:t>
      </w:r>
    </w:p>
    <w:p w14:paraId="18B8824D" w14:textId="7F54D2D8" w:rsidR="00FB328C" w:rsidRDefault="000203BA" w:rsidP="00FB328C">
      <w:pPr>
        <w:jc w:val="both"/>
        <w:rPr>
          <w:rFonts w:ascii="Georgia" w:eastAsia="Times New Roman" w:hAnsi="Georgia" w:cs="Times New Roman"/>
          <w:sz w:val="20"/>
          <w:szCs w:val="20"/>
          <w:lang w:val="lt-LT" w:eastAsia="lt-LT"/>
        </w:rPr>
      </w:pPr>
      <w:r w:rsidRPr="00105B94">
        <w:rPr>
          <w:rFonts w:ascii="Georgia" w:hAnsi="Georgia"/>
          <w:sz w:val="20"/>
          <w:szCs w:val="20"/>
          <w:u w:val="single"/>
          <w:lang w:val="lt-LT" w:eastAsia="lt-LT"/>
        </w:rPr>
        <w:t>Centrinės valdžios viešųjų pastatų modernizavimo kiekybinės analizės</w:t>
      </w:r>
      <w:r w:rsidRPr="00105B94">
        <w:rPr>
          <w:rFonts w:ascii="Georgia" w:hAnsi="Georgia"/>
          <w:sz w:val="20"/>
          <w:szCs w:val="20"/>
          <w:lang w:val="lt-LT" w:eastAsia="lt-LT"/>
        </w:rPr>
        <w:t xml:space="preserve"> metu buvo nustatyta, jog didžiausią pridėtinę vertę sukurtų lengvatinių paskolų teikimas taikant </w:t>
      </w:r>
      <w:r w:rsidR="00715E52">
        <w:rPr>
          <w:rFonts w:ascii="Georgia" w:hAnsi="Georgia"/>
          <w:sz w:val="20"/>
          <w:szCs w:val="20"/>
          <w:lang w:val="lt-LT" w:eastAsia="lt-LT"/>
        </w:rPr>
        <w:t>iki 2</w:t>
      </w:r>
      <w:r w:rsidR="00715E52" w:rsidRPr="00715E52">
        <w:rPr>
          <w:rFonts w:ascii="Georgia" w:hAnsi="Georgia"/>
          <w:sz w:val="20"/>
          <w:szCs w:val="20"/>
          <w:lang w:val="lt-LT" w:eastAsia="lt-LT"/>
        </w:rPr>
        <w:t xml:space="preserve">% + 6 mėn. arba 12 mėn. EURIBOR (ne mažiau kaip 0%) </w:t>
      </w:r>
      <w:r w:rsidR="00715E52">
        <w:rPr>
          <w:rFonts w:ascii="Georgia" w:hAnsi="Georgia"/>
          <w:sz w:val="20"/>
          <w:szCs w:val="20"/>
          <w:lang w:val="lt-LT" w:eastAsia="lt-LT"/>
        </w:rPr>
        <w:t>palūkanų normą.</w:t>
      </w:r>
      <w:r w:rsidR="00715E52" w:rsidRPr="00715E52">
        <w:rPr>
          <w:rFonts w:ascii="Georgia" w:hAnsi="Georgia"/>
          <w:sz w:val="20"/>
          <w:szCs w:val="20"/>
          <w:lang w:val="lt-LT" w:eastAsia="lt-LT"/>
        </w:rPr>
        <w:t xml:space="preserve"> Finansinės priemonės (ar fondų fondo) valdytojas gali pasiūlyti užfiksuoti palūkanų normą (palūkanų fiksavimas būtų paremtas rinkos sąlygomis prieinamais instrumentais)</w:t>
      </w:r>
      <w:r w:rsidRPr="00105B94">
        <w:rPr>
          <w:rFonts w:ascii="Georgia" w:hAnsi="Georgia"/>
          <w:sz w:val="20"/>
          <w:szCs w:val="20"/>
          <w:lang w:val="lt-LT" w:eastAsia="lt-LT"/>
        </w:rPr>
        <w:t>, su galimybe išpirkti šias paskolas</w:t>
      </w:r>
      <w:r w:rsidR="008530F6" w:rsidRPr="00105B94">
        <w:rPr>
          <w:rFonts w:ascii="Georgia" w:eastAsia="Times New Roman" w:hAnsi="Georgia" w:cs="Times New Roman"/>
          <w:sz w:val="20"/>
          <w:szCs w:val="20"/>
          <w:lang w:val="lt-LT" w:eastAsia="lt-LT"/>
        </w:rPr>
        <w:t xml:space="preserve">. </w:t>
      </w:r>
      <w:r w:rsidR="008530F6" w:rsidRPr="00105B94">
        <w:rPr>
          <w:rFonts w:ascii="Georgia" w:eastAsia="Times New Roman" w:hAnsi="Georgia" w:cs="Times New Roman"/>
          <w:sz w:val="20"/>
          <w:szCs w:val="20"/>
          <w:u w:val="single"/>
          <w:lang w:val="lt-LT" w:eastAsia="lt-LT"/>
        </w:rPr>
        <w:t xml:space="preserve">Lengvatinės paskolos turėtų būti derinamos su </w:t>
      </w:r>
      <w:r w:rsidR="00FB328C" w:rsidRPr="00105B94">
        <w:rPr>
          <w:rFonts w:ascii="Georgia" w:eastAsia="Times New Roman" w:hAnsi="Georgia" w:cs="Times New Roman"/>
          <w:sz w:val="20"/>
          <w:szCs w:val="20"/>
          <w:u w:val="single"/>
          <w:lang w:val="lt-LT" w:eastAsia="lt-LT"/>
        </w:rPr>
        <w:t>20 proc. paramos teikimu</w:t>
      </w:r>
      <w:r w:rsidR="008530F6" w:rsidRPr="00105B94">
        <w:rPr>
          <w:rFonts w:ascii="Georgia" w:eastAsia="Times New Roman" w:hAnsi="Georgia" w:cs="Times New Roman"/>
          <w:sz w:val="20"/>
          <w:szCs w:val="20"/>
          <w:u w:val="single"/>
          <w:lang w:val="lt-LT" w:eastAsia="lt-LT"/>
        </w:rPr>
        <w:t xml:space="preserve"> bei ESCO kompanijų nuosavu įnašu</w:t>
      </w:r>
      <w:r w:rsidR="00FB328C" w:rsidRPr="00105B94">
        <w:rPr>
          <w:rFonts w:ascii="Georgia" w:eastAsia="Times New Roman" w:hAnsi="Georgia" w:cs="Times New Roman"/>
          <w:sz w:val="20"/>
          <w:szCs w:val="20"/>
          <w:lang w:val="lt-LT" w:eastAsia="lt-LT"/>
        </w:rPr>
        <w:t>. Vertinant kiekybinius rodiklius, šis scenarijus turi vieną</w:t>
      </w:r>
      <w:r w:rsidR="00FB328C">
        <w:rPr>
          <w:rFonts w:ascii="Georgia" w:eastAsia="Times New Roman" w:hAnsi="Georgia" w:cs="Times New Roman"/>
          <w:sz w:val="20"/>
          <w:szCs w:val="20"/>
          <w:lang w:val="lt-LT" w:eastAsia="lt-LT"/>
        </w:rPr>
        <w:t xml:space="preserve"> geriausių multiplikatoriaus efektų bei sverto rodiklių. Be to, parenkant optimaliausią finansinį produktą šių projektų finansavimui buvo atsižvelgta ir į tai, jog ESCO modelis Lietuvoje iki šiol viešajam sektoriui nebuvo įgyvendintas, potencialūs finansuotojai (t.y. komerciniai bankai) įžvelgia daug rizikų, kredito istorijos trūkumą pažymi kaip vieną iš esminių faktorių, darančių įtaką ESCO modelio finansavimui rinkos sąlygomis. Būtent dėl šių priežasčių garantijų finansinė priemonė, kuri kiekybinės analizės metu pademonstravo dar geresnius kiekybinius rezultatus, pradiniame etape negali būti įgyvendinama. Vis dėlto pažymėtina, jog garantijų priemonės taikymas būtų labai rekomend</w:t>
      </w:r>
      <w:r w:rsidR="008A0F26">
        <w:rPr>
          <w:rFonts w:ascii="Georgia" w:eastAsia="Times New Roman" w:hAnsi="Georgia" w:cs="Times New Roman"/>
          <w:sz w:val="20"/>
          <w:szCs w:val="20"/>
          <w:lang w:val="lt-LT" w:eastAsia="lt-LT"/>
        </w:rPr>
        <w:t>uotinas tuomet, kuomet atsiras</w:t>
      </w:r>
      <w:r w:rsidR="00FB328C">
        <w:rPr>
          <w:rFonts w:ascii="Georgia" w:eastAsia="Times New Roman" w:hAnsi="Georgia" w:cs="Times New Roman"/>
          <w:sz w:val="20"/>
          <w:szCs w:val="20"/>
          <w:lang w:val="lt-LT" w:eastAsia="lt-LT"/>
        </w:rPr>
        <w:t xml:space="preserve"> komercinių bankų dalyvavimo </w:t>
      </w:r>
      <w:r w:rsidR="00FB328C">
        <w:rPr>
          <w:rFonts w:ascii="Georgia" w:eastAsia="Times New Roman" w:hAnsi="Georgia" w:cs="Times New Roman"/>
          <w:sz w:val="20"/>
          <w:szCs w:val="20"/>
          <w:lang w:val="lt-LT" w:eastAsia="lt-LT"/>
        </w:rPr>
        <w:lastRenderedPageBreak/>
        <w:t xml:space="preserve">suinteresuotumas bei tinkama kredito istorija kartu su modelio įgyvendinimo patirtimi. Įvertinus finansinius produktus ESCO kompanijoms siūloma siekti, kad ESCO kompanijos projektų finansavimui prisidėtų ir savomis lėšomis, taip užtikrinant atsakingą ESCO kompanijų požiūrį į įgyvendinamą projektą ir tinkamą pastato priežiūrą po projekto įgyvendinimo. </w:t>
      </w:r>
    </w:p>
    <w:p w14:paraId="796B8349" w14:textId="77777777" w:rsidR="00FB328C" w:rsidRDefault="00FB328C" w:rsidP="00FB328C">
      <w:pPr>
        <w:jc w:val="both"/>
        <w:rPr>
          <w:rFonts w:ascii="Georgia" w:eastAsia="Times New Roman" w:hAnsi="Georgia" w:cs="Times New Roman"/>
          <w:sz w:val="20"/>
          <w:szCs w:val="20"/>
          <w:lang w:val="lt-LT" w:eastAsia="lt-LT"/>
        </w:rPr>
      </w:pPr>
      <w:r w:rsidRPr="00F7796A">
        <w:rPr>
          <w:rFonts w:ascii="Georgia" w:eastAsia="Times New Roman" w:hAnsi="Georgia" w:cs="Times New Roman"/>
          <w:sz w:val="20"/>
          <w:szCs w:val="20"/>
          <w:u w:val="single"/>
          <w:lang w:val="lt-LT" w:eastAsia="lt-LT"/>
        </w:rPr>
        <w:t xml:space="preserve">Gatvių apšvietimo modernizavimo kiekybinės analizės </w:t>
      </w:r>
      <w:r>
        <w:rPr>
          <w:rFonts w:ascii="Georgia" w:eastAsia="Times New Roman" w:hAnsi="Georgia" w:cs="Times New Roman"/>
          <w:sz w:val="20"/>
          <w:szCs w:val="20"/>
          <w:lang w:val="lt-LT" w:eastAsia="lt-LT"/>
        </w:rPr>
        <w:t xml:space="preserve">metu buvo nustatyta, jog geriausius kiekybinius rezultatus pademonstruotų garantijų finansinė priemonė garantuojant ne daugiau kaip 80 proc. paskolos su galimybe išpirkti ateities piniginius srautus. Garantijų priemonė gatvių apšvietimo modernizavimui rekomenduojama dar ir dėl to, jog gatvių apšvietimo modernizavimo projektų finansavimui yra numatyta labai maža ESI fondų lėšų suma, todėl turėtų būti siekiama pritraukti kuo daugiau privačių lėšų, kad būtų pasiekti adekvatūs energijos efektyvumo rezultatai. Taip pat dėl to, kad gatvių apšvietimo projektai yra technologiškai gerokai paprastesni nei centrinės valdžios pastatų, turi geresnį projektų atsipirkimo laikotarpį, sutaupymų efektas pajaučiamas labai greitai. Visos šios projekto savybės lemia mažesnį tokių projektų rizikingumą, </w:t>
      </w:r>
      <w:r w:rsidR="008A0F26">
        <w:rPr>
          <w:rFonts w:ascii="Georgia" w:eastAsia="Times New Roman" w:hAnsi="Georgia" w:cs="Times New Roman"/>
          <w:sz w:val="20"/>
          <w:szCs w:val="20"/>
          <w:lang w:val="lt-LT" w:eastAsia="lt-LT"/>
        </w:rPr>
        <w:t>tuo pačiu</w:t>
      </w:r>
      <w:r>
        <w:rPr>
          <w:rFonts w:ascii="Georgia" w:eastAsia="Times New Roman" w:hAnsi="Georgia" w:cs="Times New Roman"/>
          <w:sz w:val="20"/>
          <w:szCs w:val="20"/>
          <w:lang w:val="lt-LT" w:eastAsia="lt-LT"/>
        </w:rPr>
        <w:t xml:space="preserve"> ir komercinių bankų didesnį suinteresuotumą finansuoti tokius projektus. </w:t>
      </w:r>
    </w:p>
    <w:p w14:paraId="2C987404" w14:textId="77777777" w:rsidR="00FB328C" w:rsidRDefault="00FB328C" w:rsidP="00FB328C">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Atsižvelgiant į tai, kad centrinės valdžios viešųjų pastatų ir gatvių apšvietimo modernizavimą kuruoja Energetikos ministerija, be to, gatvių apšvietimo modernizavimui numatyta nedidelė lėšų suma, valdymo ir įgyvendinimo alternatyvos šioms dviem sritims buvo analizuojamos kartu. </w:t>
      </w:r>
    </w:p>
    <w:p w14:paraId="6FA797E4" w14:textId="77777777" w:rsidR="00FB328C" w:rsidRDefault="00FB328C" w:rsidP="00FB328C">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Centrinės valdžios viešųjų pastatų modernizavimui ir gatvių apšvietimo modernizavimui buvo įvertintos </w:t>
      </w:r>
      <w:r w:rsidRPr="00D4754F">
        <w:rPr>
          <w:rFonts w:ascii="Georgia" w:eastAsia="Times New Roman" w:hAnsi="Georgia" w:cs="Times New Roman"/>
          <w:sz w:val="20"/>
          <w:szCs w:val="20"/>
          <w:u w:val="single"/>
          <w:lang w:val="lt-LT" w:eastAsia="lt-LT"/>
        </w:rPr>
        <w:t>trys galimos valdymo ir įgyvendinimo alternatyvos</w:t>
      </w:r>
      <w:r>
        <w:rPr>
          <w:rFonts w:ascii="Georgia" w:eastAsia="Times New Roman" w:hAnsi="Georgia" w:cs="Times New Roman"/>
          <w:sz w:val="20"/>
          <w:szCs w:val="20"/>
          <w:u w:val="single"/>
          <w:lang w:val="lt-LT" w:eastAsia="lt-LT"/>
        </w:rPr>
        <w:t xml:space="preserve"> ir parengta Investavimo strategija</w:t>
      </w:r>
      <w:r>
        <w:rPr>
          <w:rFonts w:ascii="Georgia" w:eastAsia="Times New Roman" w:hAnsi="Georgia" w:cs="Times New Roman"/>
          <w:sz w:val="20"/>
          <w:szCs w:val="20"/>
          <w:lang w:val="lt-LT" w:eastAsia="lt-LT"/>
        </w:rPr>
        <w:t xml:space="preserve">. Vertinant tai, jog šioje srityje finansinės priemonės iki šiol nebuvo taikomos, be to, Energetikos ministerija ir kitos valstybinės institucijos yra suinteresuotos modelio įgyvendinimo sparta dėl taikomų Energijos efektyvumo direktyvos reikalavimų, buvo siekiama identifikuoti modelį, kuris būtų ir efektyvus, ir greitas. Todėl rekomenduojama šioms dviem sritims kurti fondų fondą bei investicinį fondą. Fondų fondas būtų sudarytas iš dviejų skirtingų finansinių priemonių atitinkamai pagal dvi sritis. Fondų fondas būtų sukuriamas kaip finansinis padalinys (atskiras sąskaitų rinkinys) finansų įstaigoje, kadangi tai yra greičiausias ir paprasčiausias būdas kuo greičiau pradėti projektų finansavimą. Lygiagrečiai būtų pradedamas kurti investicinis fondas, kuris būtų sukurtas ir veikiantis rinkos sąlygomis, o jo valdytojai būtų investuotojai, tarptautinės finansų institucijos, pensijų fondai. </w:t>
      </w:r>
    </w:p>
    <w:p w14:paraId="0B7AE8E3" w14:textId="77777777" w:rsidR="00FB328C" w:rsidRDefault="00FB328C" w:rsidP="00FB328C">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Centrinės valdžios viešųjų pastatų modernizavimo ir gatvių apšvietimo </w:t>
      </w:r>
      <w:r w:rsidRPr="0029580C">
        <w:rPr>
          <w:rFonts w:ascii="Georgia" w:eastAsia="Times New Roman" w:hAnsi="Georgia" w:cs="Times New Roman"/>
          <w:sz w:val="20"/>
          <w:szCs w:val="20"/>
          <w:lang w:val="lt-LT" w:eastAsia="lt-LT"/>
        </w:rPr>
        <w:t>Investavimo strategijoje</w:t>
      </w:r>
      <w:r>
        <w:rPr>
          <w:rFonts w:ascii="Georgia" w:eastAsia="Times New Roman" w:hAnsi="Georgia" w:cs="Times New Roman"/>
          <w:sz w:val="20"/>
          <w:szCs w:val="20"/>
          <w:lang w:val="lt-LT" w:eastAsia="lt-LT"/>
        </w:rPr>
        <w:t xml:space="preserve"> taip pat buvo apibrėžti galutiniai naudos gavėjai, detaliai paaiškinti siūlomi finansiniai produktai, finansinės priemonės derinimas su parama, apskaičiuoti prognozuojami finansinės priemonės rezultatai bei prisidėjimas prie strateginių tikslų, detaliai apibrėžta ir aprašyta valdymo ir įgyvendinimo struktūra bei stebėsena.  </w:t>
      </w:r>
    </w:p>
    <w:p w14:paraId="0545050A" w14:textId="77777777" w:rsidR="00FB328C" w:rsidRPr="003652F3" w:rsidRDefault="00FB328C" w:rsidP="00FB328C">
      <w:p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 xml:space="preserve">Siekiant pasinaudoti kitų šalių patirtimi, ex ante vertinime taip pat buvo išnagrinėtos dviejų šalių </w:t>
      </w:r>
      <w:r w:rsidRPr="0029580C">
        <w:rPr>
          <w:rFonts w:ascii="Georgia" w:eastAsia="Times New Roman" w:hAnsi="Georgia" w:cs="Times New Roman"/>
          <w:sz w:val="20"/>
          <w:szCs w:val="20"/>
          <w:u w:val="single"/>
          <w:lang w:val="lt-LT" w:eastAsia="lt-LT"/>
        </w:rPr>
        <w:t>finansinių priemonių patirtys</w:t>
      </w:r>
      <w:r>
        <w:rPr>
          <w:rFonts w:ascii="Georgia" w:eastAsia="Times New Roman" w:hAnsi="Georgia" w:cs="Times New Roman"/>
          <w:sz w:val="20"/>
          <w:szCs w:val="20"/>
          <w:lang w:val="lt-LT" w:eastAsia="lt-LT"/>
        </w:rPr>
        <w:t xml:space="preserve"> - </w:t>
      </w:r>
      <w:r w:rsidRPr="00E649A6">
        <w:rPr>
          <w:rFonts w:ascii="Georgia" w:hAnsi="Georgia"/>
          <w:bCs/>
          <w:sz w:val="20"/>
          <w:szCs w:val="20"/>
          <w:lang w:val="lt-LT"/>
        </w:rPr>
        <w:t xml:space="preserve">Energijos efektyvumo ir atsinaujinančių išteklių fondas </w:t>
      </w:r>
      <w:r w:rsidRPr="00673081">
        <w:rPr>
          <w:rFonts w:ascii="Georgia" w:hAnsi="Georgia"/>
          <w:bCs/>
          <w:sz w:val="20"/>
          <w:szCs w:val="20"/>
          <w:lang w:val="lt-LT"/>
        </w:rPr>
        <w:t>Bulgarijoje ir Londono energetinio efektyvumo</w:t>
      </w:r>
      <w:r>
        <w:rPr>
          <w:rFonts w:ascii="Georgia" w:hAnsi="Georgia"/>
          <w:bCs/>
          <w:sz w:val="20"/>
          <w:szCs w:val="20"/>
          <w:lang w:val="lt-LT"/>
        </w:rPr>
        <w:t xml:space="preserve"> fondas Jungtinėje Karalystėje -</w:t>
      </w:r>
      <w:r>
        <w:rPr>
          <w:rFonts w:ascii="Georgia" w:eastAsia="Times New Roman" w:hAnsi="Georgia" w:cs="Times New Roman"/>
          <w:sz w:val="20"/>
          <w:szCs w:val="20"/>
          <w:lang w:val="lt-LT" w:eastAsia="lt-LT"/>
        </w:rPr>
        <w:t xml:space="preserve"> bei JESSICA KF Lietuvoje patirtis. Šių trijų atvejo studijų pagrindu buvo parengta rizikų analizė ir identifikuotos rizikų valdymo priemonės. </w:t>
      </w:r>
    </w:p>
    <w:p w14:paraId="43DF096E" w14:textId="77777777" w:rsidR="00A20FF9" w:rsidRPr="00FB328C" w:rsidRDefault="00FB328C" w:rsidP="00FB328C">
      <w:pPr>
        <w:jc w:val="both"/>
        <w:rPr>
          <w:rFonts w:ascii="Georgia" w:hAnsi="Georgia" w:cs="Times New Roman"/>
          <w:sz w:val="20"/>
          <w:lang w:val="lt-LT"/>
        </w:rPr>
      </w:pPr>
      <w:r>
        <w:rPr>
          <w:rFonts w:ascii="Georgia" w:hAnsi="Georgia" w:cs="Times New Roman"/>
          <w:sz w:val="20"/>
          <w:lang w:val="lt-LT"/>
        </w:rPr>
        <w:t xml:space="preserve">Pažymėtina, jog ex ante vertinimas buvo atliktas pagal Europos Komisijos parengtos ex ante vertinimo atlikimo metodologijos nuostatas, atliekant ex ante vertinimą buvo konsultuojamasi su visomis suinteresuotomis institucijomis, buvo atsižvelgta į visas pateiktas pastabas ir vertinimas atliktas objektyviai ir nešališkai. Ex ante vertinimas gali būti keičiamas ar pildomas nepažeidžiant ir vadovaujantis Bendrųjų nuostatų reglamento nuostatomis. </w:t>
      </w:r>
    </w:p>
    <w:p w14:paraId="5E798EA9" w14:textId="77777777" w:rsidR="00814A80" w:rsidRDefault="00814A80">
      <w:pPr>
        <w:rPr>
          <w:rFonts w:asciiTheme="majorHAnsi" w:eastAsiaTheme="majorEastAsia" w:hAnsiTheme="majorHAnsi" w:cstheme="majorBidi"/>
          <w:b/>
          <w:bCs/>
          <w:color w:val="365F91" w:themeColor="accent1" w:themeShade="BF"/>
          <w:sz w:val="28"/>
          <w:szCs w:val="28"/>
          <w:lang w:val="lt-LT"/>
        </w:rPr>
      </w:pPr>
      <w:r>
        <w:rPr>
          <w:lang w:val="lt-LT"/>
        </w:rPr>
        <w:br w:type="page"/>
      </w:r>
    </w:p>
    <w:p w14:paraId="7862D118" w14:textId="77777777" w:rsidR="00BB54BF" w:rsidRPr="00DF3A8E" w:rsidRDefault="00BB54BF" w:rsidP="005E3818">
      <w:pPr>
        <w:pStyle w:val="Antrat1"/>
        <w:numPr>
          <w:ilvl w:val="0"/>
          <w:numId w:val="36"/>
        </w:numPr>
        <w:rPr>
          <w:lang w:val="lt-LT"/>
        </w:rPr>
      </w:pPr>
      <w:bookmarkStart w:id="445" w:name="_Toc417378473"/>
      <w:r w:rsidRPr="00DF3A8E">
        <w:rPr>
          <w:lang w:val="lt-LT"/>
        </w:rPr>
        <w:lastRenderedPageBreak/>
        <w:t>Priedai</w:t>
      </w:r>
      <w:bookmarkEnd w:id="445"/>
    </w:p>
    <w:p w14:paraId="01FC6E8C" w14:textId="77777777" w:rsidR="00E80DDE" w:rsidRPr="00DF3A8E" w:rsidRDefault="00E80DDE">
      <w:pPr>
        <w:rPr>
          <w:rFonts w:asciiTheme="majorHAnsi" w:eastAsiaTheme="majorEastAsia" w:hAnsiTheme="majorHAnsi" w:cstheme="majorBidi"/>
          <w:b/>
          <w:bCs/>
          <w:color w:val="4F81BD" w:themeColor="accent1"/>
          <w:sz w:val="26"/>
          <w:szCs w:val="26"/>
          <w:lang w:val="lt-LT"/>
        </w:rPr>
      </w:pPr>
    </w:p>
    <w:p w14:paraId="4C29A8D5" w14:textId="77777777" w:rsidR="00E044B9" w:rsidRDefault="00E044B9" w:rsidP="00E044B9">
      <w:pPr>
        <w:pStyle w:val="Antrat2"/>
        <w:rPr>
          <w:lang w:val="lt-LT"/>
        </w:rPr>
      </w:pPr>
      <w:bookmarkStart w:id="446" w:name="_Toc417378474"/>
      <w:r>
        <w:rPr>
          <w:lang w:val="lt-LT"/>
        </w:rPr>
        <w:t xml:space="preserve">Priedas </w:t>
      </w:r>
      <w:r w:rsidR="009F55BB">
        <w:rPr>
          <w:lang w:val="lt-LT"/>
        </w:rPr>
        <w:t xml:space="preserve">Nr. </w:t>
      </w:r>
      <w:r w:rsidR="005E23FC">
        <w:rPr>
          <w:lang w:val="lt-LT"/>
        </w:rPr>
        <w:t>1</w:t>
      </w:r>
      <w:r>
        <w:rPr>
          <w:lang w:val="lt-LT"/>
        </w:rPr>
        <w:t>. JESSICA programos kvietimų palyginimas</w:t>
      </w:r>
      <w:bookmarkEnd w:id="446"/>
    </w:p>
    <w:p w14:paraId="753EC127" w14:textId="77777777" w:rsidR="00DB5CF8" w:rsidRPr="00DB5CF8" w:rsidRDefault="00DB5CF8" w:rsidP="00DB5CF8">
      <w:pPr>
        <w:rPr>
          <w:lang w:val="lt-LT"/>
        </w:rPr>
      </w:pPr>
    </w:p>
    <w:tbl>
      <w:tblPr>
        <w:tblW w:w="0" w:type="auto"/>
        <w:tblBorders>
          <w:top w:val="single" w:sz="4" w:space="0" w:color="C00000"/>
          <w:bottom w:val="single" w:sz="4" w:space="0" w:color="C00000"/>
          <w:insideH w:val="dotted" w:sz="4" w:space="0" w:color="auto"/>
        </w:tblBorders>
        <w:tblLook w:val="04A0" w:firstRow="1" w:lastRow="0" w:firstColumn="1" w:lastColumn="0" w:noHBand="0" w:noVBand="1"/>
      </w:tblPr>
      <w:tblGrid>
        <w:gridCol w:w="1819"/>
        <w:gridCol w:w="2601"/>
        <w:gridCol w:w="2351"/>
        <w:gridCol w:w="2472"/>
      </w:tblGrid>
      <w:tr w:rsidR="00E044B9" w:rsidRPr="007B3C20" w14:paraId="25D74432" w14:textId="77777777" w:rsidTr="00DB5CF8">
        <w:trPr>
          <w:cantSplit/>
          <w:tblHeader/>
        </w:trPr>
        <w:tc>
          <w:tcPr>
            <w:tcW w:w="2151" w:type="dxa"/>
            <w:tcBorders>
              <w:top w:val="single" w:sz="4" w:space="0" w:color="C00000"/>
              <w:bottom w:val="single" w:sz="4" w:space="0" w:color="C00000"/>
            </w:tcBorders>
            <w:shd w:val="clear" w:color="auto" w:fill="auto"/>
            <w:vAlign w:val="center"/>
          </w:tcPr>
          <w:p w14:paraId="0384FAD8" w14:textId="77777777" w:rsidR="00E044B9" w:rsidRPr="007B3C20" w:rsidRDefault="00E044B9" w:rsidP="00F70C37">
            <w:pPr>
              <w:autoSpaceDE w:val="0"/>
              <w:autoSpaceDN w:val="0"/>
              <w:adjustRightInd w:val="0"/>
              <w:spacing w:before="60" w:after="60"/>
              <w:jc w:val="center"/>
              <w:rPr>
                <w:rFonts w:ascii="Georgia" w:hAnsi="Georgia" w:cs="Georgia"/>
                <w:b/>
                <w:color w:val="000000"/>
                <w:lang w:val="lt-LT"/>
              </w:rPr>
            </w:pPr>
            <w:r w:rsidRPr="007B3C20">
              <w:rPr>
                <w:rFonts w:ascii="Georgia" w:hAnsi="Georgia" w:cs="Georgia"/>
                <w:b/>
                <w:color w:val="000000"/>
                <w:lang w:val="lt-LT"/>
              </w:rPr>
              <w:t>Parametrai</w:t>
            </w:r>
          </w:p>
        </w:tc>
        <w:tc>
          <w:tcPr>
            <w:tcW w:w="3692" w:type="dxa"/>
            <w:tcBorders>
              <w:top w:val="single" w:sz="4" w:space="0" w:color="C00000"/>
              <w:bottom w:val="single" w:sz="4" w:space="0" w:color="C00000"/>
            </w:tcBorders>
            <w:shd w:val="clear" w:color="auto" w:fill="auto"/>
            <w:vAlign w:val="center"/>
          </w:tcPr>
          <w:p w14:paraId="1F97E5BF" w14:textId="77777777" w:rsidR="00E044B9" w:rsidRPr="007B3C20" w:rsidRDefault="00E044B9" w:rsidP="00F70C37">
            <w:pPr>
              <w:autoSpaceDE w:val="0"/>
              <w:autoSpaceDN w:val="0"/>
              <w:adjustRightInd w:val="0"/>
              <w:spacing w:before="60" w:after="60"/>
              <w:jc w:val="center"/>
              <w:rPr>
                <w:rFonts w:ascii="Georgia" w:hAnsi="Georgia" w:cs="Georgia"/>
                <w:b/>
                <w:color w:val="000000"/>
                <w:lang w:val="lt-LT"/>
              </w:rPr>
            </w:pPr>
            <w:r w:rsidRPr="007B3C20">
              <w:rPr>
                <w:rFonts w:ascii="Georgia" w:hAnsi="Georgia" w:cs="Georgia"/>
                <w:b/>
                <w:color w:val="000000"/>
                <w:lang w:val="lt-LT"/>
              </w:rPr>
              <w:t>1-asis ir 4-asis kvietimai</w:t>
            </w:r>
          </w:p>
        </w:tc>
        <w:tc>
          <w:tcPr>
            <w:tcW w:w="3641" w:type="dxa"/>
            <w:tcBorders>
              <w:top w:val="single" w:sz="4" w:space="0" w:color="C00000"/>
              <w:bottom w:val="single" w:sz="4" w:space="0" w:color="C00000"/>
            </w:tcBorders>
            <w:shd w:val="clear" w:color="auto" w:fill="auto"/>
            <w:vAlign w:val="center"/>
          </w:tcPr>
          <w:p w14:paraId="2155897C" w14:textId="77777777" w:rsidR="00E044B9" w:rsidRPr="007B3C20" w:rsidRDefault="00E044B9" w:rsidP="00F70C37">
            <w:pPr>
              <w:autoSpaceDE w:val="0"/>
              <w:autoSpaceDN w:val="0"/>
              <w:adjustRightInd w:val="0"/>
              <w:spacing w:before="60" w:after="60"/>
              <w:jc w:val="center"/>
              <w:rPr>
                <w:rFonts w:ascii="Georgia" w:hAnsi="Georgia" w:cs="Georgia"/>
                <w:b/>
                <w:color w:val="000000"/>
                <w:lang w:val="lt-LT"/>
              </w:rPr>
            </w:pPr>
            <w:r w:rsidRPr="007B3C20">
              <w:rPr>
                <w:rFonts w:ascii="Georgia" w:hAnsi="Georgia" w:cs="Georgia"/>
                <w:b/>
                <w:color w:val="000000"/>
                <w:lang w:val="lt-LT"/>
              </w:rPr>
              <w:t>2-asis kvietimas</w:t>
            </w:r>
          </w:p>
        </w:tc>
        <w:tc>
          <w:tcPr>
            <w:tcW w:w="3692" w:type="dxa"/>
            <w:tcBorders>
              <w:top w:val="single" w:sz="4" w:space="0" w:color="C00000"/>
              <w:bottom w:val="single" w:sz="4" w:space="0" w:color="C00000"/>
            </w:tcBorders>
            <w:shd w:val="clear" w:color="auto" w:fill="auto"/>
            <w:vAlign w:val="center"/>
          </w:tcPr>
          <w:p w14:paraId="69881D41" w14:textId="77777777" w:rsidR="00E044B9" w:rsidRPr="007B3C20" w:rsidRDefault="00E044B9" w:rsidP="00F70C37">
            <w:pPr>
              <w:autoSpaceDE w:val="0"/>
              <w:autoSpaceDN w:val="0"/>
              <w:adjustRightInd w:val="0"/>
              <w:spacing w:before="60" w:after="60"/>
              <w:jc w:val="center"/>
              <w:rPr>
                <w:rFonts w:ascii="Georgia" w:hAnsi="Georgia" w:cs="Georgia"/>
                <w:b/>
                <w:color w:val="000000"/>
                <w:lang w:val="lt-LT"/>
              </w:rPr>
            </w:pPr>
            <w:r w:rsidRPr="007B3C20">
              <w:rPr>
                <w:rFonts w:ascii="Georgia" w:hAnsi="Georgia" w:cs="Georgia"/>
                <w:b/>
                <w:color w:val="000000"/>
                <w:lang w:val="lt-LT"/>
              </w:rPr>
              <w:t>3-iasis kvietimas</w:t>
            </w:r>
          </w:p>
        </w:tc>
      </w:tr>
      <w:tr w:rsidR="00E044B9" w:rsidRPr="007B3C20" w14:paraId="43F60C17" w14:textId="77777777" w:rsidTr="00DB5CF8">
        <w:trPr>
          <w:cantSplit/>
        </w:trPr>
        <w:tc>
          <w:tcPr>
            <w:tcW w:w="2151" w:type="dxa"/>
            <w:tcBorders>
              <w:top w:val="single" w:sz="4" w:space="0" w:color="C00000"/>
            </w:tcBorders>
            <w:shd w:val="clear" w:color="auto" w:fill="auto"/>
          </w:tcPr>
          <w:p w14:paraId="4E5FF620" w14:textId="77777777" w:rsidR="00E044B9" w:rsidRPr="007B3C20" w:rsidRDefault="00E044B9" w:rsidP="00F70C37">
            <w:pPr>
              <w:autoSpaceDE w:val="0"/>
              <w:autoSpaceDN w:val="0"/>
              <w:adjustRightInd w:val="0"/>
              <w:spacing w:before="60" w:after="60"/>
              <w:rPr>
                <w:rFonts w:ascii="Georgia" w:hAnsi="Georgia" w:cs="Georgia"/>
                <w:i/>
                <w:color w:val="000000"/>
                <w:sz w:val="18"/>
                <w:szCs w:val="18"/>
                <w:lang w:val="lt-LT"/>
              </w:rPr>
            </w:pPr>
            <w:r w:rsidRPr="007B3C20">
              <w:rPr>
                <w:rFonts w:ascii="Georgia" w:hAnsi="Georgia" w:cs="Georgia"/>
                <w:i/>
                <w:color w:val="000000"/>
                <w:sz w:val="18"/>
                <w:szCs w:val="18"/>
                <w:lang w:val="lt-LT"/>
              </w:rPr>
              <w:t>Paskolos gavėjas</w:t>
            </w:r>
          </w:p>
        </w:tc>
        <w:tc>
          <w:tcPr>
            <w:tcW w:w="3692" w:type="dxa"/>
            <w:tcBorders>
              <w:top w:val="single" w:sz="4" w:space="0" w:color="C00000"/>
            </w:tcBorders>
            <w:shd w:val="clear" w:color="auto" w:fill="auto"/>
          </w:tcPr>
          <w:p w14:paraId="5271F9CC" w14:textId="77777777" w:rsidR="00E044B9" w:rsidRPr="007B3C20" w:rsidRDefault="00E044B9" w:rsidP="002A576D">
            <w:pPr>
              <w:pStyle w:val="Sraopastraipa"/>
              <w:numPr>
                <w:ilvl w:val="0"/>
                <w:numId w:val="66"/>
              </w:numPr>
              <w:autoSpaceDE w:val="0"/>
              <w:autoSpaceDN w:val="0"/>
              <w:adjustRightInd w:val="0"/>
              <w:spacing w:before="60" w:after="60" w:line="240" w:lineRule="auto"/>
              <w:ind w:left="317" w:hanging="284"/>
              <w:contextualSpacing w:val="0"/>
              <w:rPr>
                <w:rFonts w:ascii="Georgia" w:hAnsi="Georgia" w:cs="Georgia"/>
                <w:color w:val="000000"/>
                <w:sz w:val="18"/>
                <w:szCs w:val="18"/>
                <w:lang w:val="lt-LT"/>
              </w:rPr>
            </w:pPr>
            <w:r w:rsidRPr="007B3C20">
              <w:rPr>
                <w:rFonts w:ascii="Georgia" w:hAnsi="Georgia" w:cs="Georgia"/>
                <w:color w:val="000000"/>
                <w:sz w:val="18"/>
                <w:szCs w:val="18"/>
                <w:lang w:val="lt-LT"/>
              </w:rPr>
              <w:t>Daugiabučių namų savininkai, atstovaujami daugiabučių namų administratorių</w:t>
            </w:r>
          </w:p>
          <w:p w14:paraId="7988EE95" w14:textId="77777777" w:rsidR="00E044B9" w:rsidRPr="007B3C20" w:rsidRDefault="00E044B9" w:rsidP="002A576D">
            <w:pPr>
              <w:pStyle w:val="Sraopastraipa"/>
              <w:numPr>
                <w:ilvl w:val="0"/>
                <w:numId w:val="66"/>
              </w:numPr>
              <w:autoSpaceDE w:val="0"/>
              <w:autoSpaceDN w:val="0"/>
              <w:adjustRightInd w:val="0"/>
              <w:spacing w:before="60" w:after="60" w:line="240" w:lineRule="auto"/>
              <w:ind w:left="317" w:hanging="284"/>
              <w:contextualSpacing w:val="0"/>
              <w:rPr>
                <w:rFonts w:ascii="Georgia" w:hAnsi="Georgia" w:cs="Georgia"/>
                <w:color w:val="000000"/>
                <w:sz w:val="18"/>
                <w:szCs w:val="18"/>
                <w:lang w:val="lt-LT"/>
              </w:rPr>
            </w:pPr>
            <w:r w:rsidRPr="007B3C20">
              <w:rPr>
                <w:rFonts w:ascii="Georgia" w:hAnsi="Georgia" w:cs="Georgia"/>
                <w:color w:val="000000"/>
                <w:sz w:val="18"/>
                <w:szCs w:val="18"/>
                <w:lang w:val="lt-LT"/>
              </w:rPr>
              <w:t>Administratoriai, veikiantys savo vardu gyventojų naudai (ši alternatyva įgalinta 2012 m. patvirtintoje teisinėje bazėje)</w:t>
            </w:r>
          </w:p>
          <w:p w14:paraId="1535C46A" w14:textId="77777777" w:rsidR="00E044B9" w:rsidRPr="007B3C20" w:rsidRDefault="00E044B9" w:rsidP="002A576D">
            <w:pPr>
              <w:pStyle w:val="Sraopastraipa"/>
              <w:numPr>
                <w:ilvl w:val="0"/>
                <w:numId w:val="66"/>
              </w:numPr>
              <w:autoSpaceDE w:val="0"/>
              <w:autoSpaceDN w:val="0"/>
              <w:adjustRightInd w:val="0"/>
              <w:spacing w:before="60" w:after="60" w:line="240" w:lineRule="auto"/>
              <w:ind w:left="317" w:hanging="284"/>
              <w:contextualSpacing w:val="0"/>
              <w:rPr>
                <w:rFonts w:ascii="Georgia" w:hAnsi="Georgia" w:cs="Georgia"/>
                <w:color w:val="000000"/>
                <w:sz w:val="18"/>
                <w:szCs w:val="18"/>
                <w:lang w:val="lt-LT"/>
              </w:rPr>
            </w:pPr>
            <w:r w:rsidRPr="007B3C20">
              <w:rPr>
                <w:rFonts w:ascii="Georgia" w:hAnsi="Georgia" w:cs="Georgia"/>
                <w:color w:val="000000"/>
                <w:sz w:val="18"/>
                <w:szCs w:val="18"/>
                <w:lang w:val="lt-LT"/>
              </w:rPr>
              <w:t>Savivaldybės įmonė (ši alternatyva įgalinta 2013 m. patvirtintoje teisinėje bazėje)</w:t>
            </w:r>
          </w:p>
        </w:tc>
        <w:tc>
          <w:tcPr>
            <w:tcW w:w="3641" w:type="dxa"/>
            <w:tcBorders>
              <w:top w:val="single" w:sz="4" w:space="0" w:color="C00000"/>
            </w:tcBorders>
            <w:shd w:val="clear" w:color="auto" w:fill="auto"/>
          </w:tcPr>
          <w:p w14:paraId="4ABCDAC4" w14:textId="77777777" w:rsidR="00E044B9" w:rsidRPr="007B3C20" w:rsidRDefault="00E044B9" w:rsidP="002A576D">
            <w:pPr>
              <w:pStyle w:val="Sraopastraipa"/>
              <w:numPr>
                <w:ilvl w:val="0"/>
                <w:numId w:val="66"/>
              </w:numPr>
              <w:autoSpaceDE w:val="0"/>
              <w:autoSpaceDN w:val="0"/>
              <w:adjustRightInd w:val="0"/>
              <w:spacing w:before="60" w:after="60" w:line="240" w:lineRule="auto"/>
              <w:ind w:left="317" w:hanging="284"/>
              <w:contextualSpacing w:val="0"/>
              <w:rPr>
                <w:rFonts w:ascii="Georgia" w:hAnsi="Georgia" w:cs="Georgia"/>
                <w:color w:val="000000"/>
                <w:sz w:val="18"/>
                <w:szCs w:val="18"/>
                <w:lang w:val="lt-LT"/>
              </w:rPr>
            </w:pPr>
            <w:r w:rsidRPr="007B3C20">
              <w:rPr>
                <w:rFonts w:ascii="Georgia" w:hAnsi="Georgia" w:cs="Georgia"/>
                <w:color w:val="000000"/>
                <w:sz w:val="18"/>
                <w:szCs w:val="18"/>
                <w:lang w:val="lt-LT"/>
              </w:rPr>
              <w:t>Daugiabučių namų gyventojų bendrijos</w:t>
            </w:r>
          </w:p>
        </w:tc>
        <w:tc>
          <w:tcPr>
            <w:tcW w:w="3692" w:type="dxa"/>
            <w:tcBorders>
              <w:top w:val="single" w:sz="4" w:space="0" w:color="C00000"/>
            </w:tcBorders>
            <w:shd w:val="clear" w:color="auto" w:fill="auto"/>
          </w:tcPr>
          <w:p w14:paraId="4A217D40" w14:textId="77777777" w:rsidR="00E044B9" w:rsidRPr="007B3C20" w:rsidRDefault="00E044B9" w:rsidP="002A576D">
            <w:pPr>
              <w:pStyle w:val="Sraopastraipa"/>
              <w:numPr>
                <w:ilvl w:val="0"/>
                <w:numId w:val="66"/>
              </w:numPr>
              <w:autoSpaceDE w:val="0"/>
              <w:autoSpaceDN w:val="0"/>
              <w:adjustRightInd w:val="0"/>
              <w:spacing w:before="60" w:after="60" w:line="240" w:lineRule="auto"/>
              <w:ind w:left="317" w:hanging="284"/>
              <w:contextualSpacing w:val="0"/>
              <w:rPr>
                <w:rFonts w:ascii="Georgia" w:hAnsi="Georgia" w:cs="Georgia"/>
                <w:color w:val="000000"/>
                <w:sz w:val="18"/>
                <w:szCs w:val="18"/>
                <w:lang w:val="lt-LT"/>
              </w:rPr>
            </w:pPr>
            <w:r w:rsidRPr="007B3C20">
              <w:rPr>
                <w:rFonts w:ascii="Georgia" w:hAnsi="Georgia" w:cs="Georgia"/>
                <w:color w:val="000000"/>
                <w:sz w:val="18"/>
                <w:szCs w:val="18"/>
                <w:lang w:val="lt-LT"/>
              </w:rPr>
              <w:t>Aukštosios mokyklos ir profesinio mokymo įstaigos</w:t>
            </w:r>
          </w:p>
          <w:p w14:paraId="01CED73F" w14:textId="77777777" w:rsidR="00E044B9" w:rsidRPr="007B3C20" w:rsidRDefault="00E044B9" w:rsidP="002A576D">
            <w:pPr>
              <w:pStyle w:val="Sraopastraipa"/>
              <w:numPr>
                <w:ilvl w:val="0"/>
                <w:numId w:val="66"/>
              </w:numPr>
              <w:autoSpaceDE w:val="0"/>
              <w:autoSpaceDN w:val="0"/>
              <w:adjustRightInd w:val="0"/>
              <w:spacing w:before="60" w:after="60" w:line="240" w:lineRule="auto"/>
              <w:ind w:left="317" w:hanging="284"/>
              <w:contextualSpacing w:val="0"/>
              <w:rPr>
                <w:rFonts w:ascii="Georgia" w:hAnsi="Georgia" w:cs="Georgia"/>
                <w:color w:val="000000"/>
                <w:sz w:val="18"/>
                <w:szCs w:val="18"/>
                <w:lang w:val="lt-LT"/>
              </w:rPr>
            </w:pPr>
            <w:r w:rsidRPr="007B3C20">
              <w:rPr>
                <w:rFonts w:ascii="Georgia" w:hAnsi="Georgia" w:cs="Georgia"/>
                <w:color w:val="000000"/>
                <w:sz w:val="18"/>
                <w:szCs w:val="18"/>
                <w:lang w:val="lt-LT"/>
              </w:rPr>
              <w:t>Įstaiga, veikianti aukštųjų mokyklų ir profesinio mokymo įstaigų vardu, ir šioms įstaigoms teikianti paslaugas, susijusias su energijos efektyvumu</w:t>
            </w:r>
          </w:p>
          <w:p w14:paraId="77243AF0" w14:textId="77777777" w:rsidR="00E044B9" w:rsidRPr="007B3C20" w:rsidRDefault="00E044B9" w:rsidP="00F70C37">
            <w:pPr>
              <w:pStyle w:val="Sraopastraipa"/>
              <w:autoSpaceDE w:val="0"/>
              <w:autoSpaceDN w:val="0"/>
              <w:adjustRightInd w:val="0"/>
              <w:spacing w:before="60" w:after="60" w:line="240" w:lineRule="auto"/>
              <w:ind w:left="0"/>
              <w:rPr>
                <w:rFonts w:ascii="Georgia" w:hAnsi="Georgia" w:cs="Georgia"/>
                <w:color w:val="000000"/>
                <w:sz w:val="18"/>
                <w:szCs w:val="18"/>
                <w:lang w:val="lt-LT"/>
              </w:rPr>
            </w:pPr>
          </w:p>
        </w:tc>
      </w:tr>
      <w:tr w:rsidR="00E044B9" w:rsidRPr="007B3C20" w14:paraId="5E43C57F" w14:textId="77777777" w:rsidTr="00DB5CF8">
        <w:trPr>
          <w:cantSplit/>
        </w:trPr>
        <w:tc>
          <w:tcPr>
            <w:tcW w:w="2151" w:type="dxa"/>
            <w:shd w:val="clear" w:color="auto" w:fill="auto"/>
          </w:tcPr>
          <w:p w14:paraId="513AA559" w14:textId="77777777" w:rsidR="00E044B9" w:rsidRPr="007B3C20" w:rsidRDefault="00E044B9" w:rsidP="00F70C37">
            <w:pPr>
              <w:autoSpaceDE w:val="0"/>
              <w:autoSpaceDN w:val="0"/>
              <w:adjustRightInd w:val="0"/>
              <w:spacing w:before="60" w:after="60"/>
              <w:rPr>
                <w:rFonts w:ascii="Georgia" w:hAnsi="Georgia" w:cs="Georgia"/>
                <w:i/>
                <w:color w:val="000000"/>
                <w:sz w:val="18"/>
                <w:szCs w:val="18"/>
                <w:lang w:val="lt-LT"/>
              </w:rPr>
            </w:pPr>
            <w:r w:rsidRPr="007B3C20">
              <w:rPr>
                <w:rFonts w:ascii="Georgia" w:hAnsi="Georgia" w:cs="Georgia"/>
                <w:i/>
                <w:color w:val="000000"/>
                <w:sz w:val="18"/>
                <w:szCs w:val="18"/>
                <w:lang w:val="lt-LT"/>
              </w:rPr>
              <w:t>Finansinis produktas</w:t>
            </w:r>
          </w:p>
        </w:tc>
        <w:tc>
          <w:tcPr>
            <w:tcW w:w="3692" w:type="dxa"/>
            <w:shd w:val="clear" w:color="auto" w:fill="auto"/>
          </w:tcPr>
          <w:p w14:paraId="51E61CC0"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Fiksuotų palūkanų normų paskolos</w:t>
            </w:r>
          </w:p>
        </w:tc>
        <w:tc>
          <w:tcPr>
            <w:tcW w:w="3641" w:type="dxa"/>
            <w:shd w:val="clear" w:color="auto" w:fill="auto"/>
          </w:tcPr>
          <w:p w14:paraId="03E9CE4A"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Apribotų palūkanų normų paskolos</w:t>
            </w:r>
          </w:p>
        </w:tc>
        <w:tc>
          <w:tcPr>
            <w:tcW w:w="3692" w:type="dxa"/>
            <w:shd w:val="clear" w:color="auto" w:fill="auto"/>
          </w:tcPr>
          <w:p w14:paraId="3B9BACDF"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Fiksuotų palūkanų normų paskolos</w:t>
            </w:r>
          </w:p>
        </w:tc>
      </w:tr>
      <w:tr w:rsidR="00E044B9" w:rsidRPr="007B3C20" w14:paraId="5AA5CB06" w14:textId="77777777" w:rsidTr="00DB5CF8">
        <w:trPr>
          <w:cantSplit/>
        </w:trPr>
        <w:tc>
          <w:tcPr>
            <w:tcW w:w="2151" w:type="dxa"/>
            <w:shd w:val="clear" w:color="auto" w:fill="auto"/>
          </w:tcPr>
          <w:p w14:paraId="68FC74D9" w14:textId="77777777" w:rsidR="00E044B9" w:rsidRPr="007B3C20" w:rsidRDefault="00E044B9" w:rsidP="00F70C37">
            <w:pPr>
              <w:autoSpaceDE w:val="0"/>
              <w:autoSpaceDN w:val="0"/>
              <w:adjustRightInd w:val="0"/>
              <w:spacing w:before="60" w:after="60"/>
              <w:rPr>
                <w:rFonts w:ascii="Georgia" w:hAnsi="Georgia" w:cs="Georgia"/>
                <w:i/>
                <w:color w:val="000000"/>
                <w:sz w:val="18"/>
                <w:szCs w:val="18"/>
                <w:lang w:val="lt-LT"/>
              </w:rPr>
            </w:pPr>
            <w:r w:rsidRPr="007B3C20">
              <w:rPr>
                <w:rFonts w:ascii="Georgia" w:hAnsi="Georgia" w:cs="Georgia"/>
                <w:i/>
                <w:color w:val="000000"/>
                <w:sz w:val="18"/>
                <w:szCs w:val="18"/>
                <w:lang w:val="lt-LT"/>
              </w:rPr>
              <w:t>Minimali paskolos suma</w:t>
            </w:r>
          </w:p>
        </w:tc>
        <w:tc>
          <w:tcPr>
            <w:tcW w:w="3692" w:type="dxa"/>
            <w:shd w:val="clear" w:color="auto" w:fill="auto"/>
          </w:tcPr>
          <w:p w14:paraId="381B8F43"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w:t>
            </w:r>
          </w:p>
        </w:tc>
        <w:tc>
          <w:tcPr>
            <w:tcW w:w="3641" w:type="dxa"/>
            <w:shd w:val="clear" w:color="auto" w:fill="auto"/>
          </w:tcPr>
          <w:p w14:paraId="1453BC6F"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w:t>
            </w:r>
          </w:p>
        </w:tc>
        <w:tc>
          <w:tcPr>
            <w:tcW w:w="3692" w:type="dxa"/>
            <w:shd w:val="clear" w:color="auto" w:fill="auto"/>
          </w:tcPr>
          <w:p w14:paraId="6B709F8D"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w:t>
            </w:r>
          </w:p>
        </w:tc>
      </w:tr>
      <w:tr w:rsidR="00E044B9" w:rsidRPr="007B3C20" w14:paraId="2C5BF7A3" w14:textId="77777777" w:rsidTr="00DB5CF8">
        <w:trPr>
          <w:cantSplit/>
        </w:trPr>
        <w:tc>
          <w:tcPr>
            <w:tcW w:w="2151" w:type="dxa"/>
            <w:shd w:val="clear" w:color="auto" w:fill="auto"/>
          </w:tcPr>
          <w:p w14:paraId="256A871D" w14:textId="77777777" w:rsidR="00E044B9" w:rsidRPr="007B3C20" w:rsidRDefault="00E044B9" w:rsidP="00F70C37">
            <w:pPr>
              <w:autoSpaceDE w:val="0"/>
              <w:autoSpaceDN w:val="0"/>
              <w:adjustRightInd w:val="0"/>
              <w:spacing w:before="60" w:after="60"/>
              <w:rPr>
                <w:rFonts w:ascii="Georgia" w:hAnsi="Georgia" w:cs="Georgia"/>
                <w:i/>
                <w:color w:val="000000"/>
                <w:sz w:val="18"/>
                <w:szCs w:val="18"/>
                <w:lang w:val="lt-LT"/>
              </w:rPr>
            </w:pPr>
            <w:r w:rsidRPr="007B3C20">
              <w:rPr>
                <w:rFonts w:ascii="Georgia" w:hAnsi="Georgia" w:cs="Georgia"/>
                <w:i/>
                <w:color w:val="000000"/>
                <w:sz w:val="18"/>
                <w:szCs w:val="18"/>
                <w:lang w:val="lt-LT"/>
              </w:rPr>
              <w:t>Palūkanos/grąža</w:t>
            </w:r>
          </w:p>
        </w:tc>
        <w:tc>
          <w:tcPr>
            <w:tcW w:w="3692" w:type="dxa"/>
            <w:shd w:val="clear" w:color="auto" w:fill="auto"/>
          </w:tcPr>
          <w:p w14:paraId="02CE2686"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Fiksuotos palūkanos -  3%</w:t>
            </w:r>
          </w:p>
        </w:tc>
        <w:tc>
          <w:tcPr>
            <w:tcW w:w="3641" w:type="dxa"/>
            <w:shd w:val="clear" w:color="auto" w:fill="auto"/>
          </w:tcPr>
          <w:p w14:paraId="39A8A4FE"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Kintamos palūkanų normos, lygios nuo 1 iki 12 mėn. EURIBOR (apsisprendžia paskolos gavėjas) + 3.0% marža. Palūkanų norma apribota ir negali būti didesnė nei 9%</w:t>
            </w:r>
          </w:p>
        </w:tc>
        <w:tc>
          <w:tcPr>
            <w:tcW w:w="3692" w:type="dxa"/>
            <w:shd w:val="clear" w:color="auto" w:fill="auto"/>
          </w:tcPr>
          <w:p w14:paraId="15CE749A"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Fiksuotos palūkanos -  3%</w:t>
            </w:r>
          </w:p>
        </w:tc>
      </w:tr>
      <w:tr w:rsidR="00E044B9" w:rsidRPr="007B3C20" w14:paraId="77DFB19B" w14:textId="77777777" w:rsidTr="00DB5CF8">
        <w:trPr>
          <w:cantSplit/>
        </w:trPr>
        <w:tc>
          <w:tcPr>
            <w:tcW w:w="2151" w:type="dxa"/>
            <w:shd w:val="clear" w:color="auto" w:fill="auto"/>
          </w:tcPr>
          <w:p w14:paraId="5F37EAD3" w14:textId="77777777" w:rsidR="00E044B9" w:rsidRPr="007B3C20" w:rsidRDefault="00E044B9" w:rsidP="00F70C37">
            <w:pPr>
              <w:autoSpaceDE w:val="0"/>
              <w:autoSpaceDN w:val="0"/>
              <w:adjustRightInd w:val="0"/>
              <w:spacing w:before="60" w:after="60"/>
              <w:rPr>
                <w:rFonts w:ascii="Georgia" w:hAnsi="Georgia" w:cs="Georgia"/>
                <w:i/>
                <w:color w:val="000000"/>
                <w:sz w:val="18"/>
                <w:szCs w:val="18"/>
                <w:lang w:val="lt-LT"/>
              </w:rPr>
            </w:pPr>
            <w:r w:rsidRPr="007B3C20">
              <w:rPr>
                <w:rFonts w:ascii="Georgia" w:hAnsi="Georgia" w:cs="Georgia"/>
                <w:i/>
                <w:color w:val="000000"/>
                <w:sz w:val="18"/>
                <w:szCs w:val="18"/>
                <w:lang w:val="lt-LT"/>
              </w:rPr>
              <w:t>Paskolos terminas</w:t>
            </w:r>
          </w:p>
        </w:tc>
        <w:tc>
          <w:tcPr>
            <w:tcW w:w="3692" w:type="dxa"/>
            <w:shd w:val="clear" w:color="auto" w:fill="auto"/>
          </w:tcPr>
          <w:p w14:paraId="7F388CD8"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Iki 20 metų</w:t>
            </w:r>
          </w:p>
        </w:tc>
        <w:tc>
          <w:tcPr>
            <w:tcW w:w="3641" w:type="dxa"/>
            <w:shd w:val="clear" w:color="auto" w:fill="auto"/>
          </w:tcPr>
          <w:p w14:paraId="378045C3"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Iki 20 metų</w:t>
            </w:r>
          </w:p>
        </w:tc>
        <w:tc>
          <w:tcPr>
            <w:tcW w:w="3692" w:type="dxa"/>
            <w:shd w:val="clear" w:color="auto" w:fill="auto"/>
          </w:tcPr>
          <w:p w14:paraId="4F011717"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Iki 20 metų</w:t>
            </w:r>
          </w:p>
        </w:tc>
      </w:tr>
      <w:tr w:rsidR="00E044B9" w:rsidRPr="007B3C20" w14:paraId="3F011A7E" w14:textId="77777777" w:rsidTr="00DB5CF8">
        <w:trPr>
          <w:cantSplit/>
        </w:trPr>
        <w:tc>
          <w:tcPr>
            <w:tcW w:w="2151" w:type="dxa"/>
            <w:shd w:val="clear" w:color="auto" w:fill="auto"/>
          </w:tcPr>
          <w:p w14:paraId="5BAD88DC" w14:textId="77777777" w:rsidR="00E044B9" w:rsidRPr="007B3C20" w:rsidRDefault="00E044B9" w:rsidP="00F70C37">
            <w:pPr>
              <w:autoSpaceDE w:val="0"/>
              <w:autoSpaceDN w:val="0"/>
              <w:adjustRightInd w:val="0"/>
              <w:spacing w:before="60" w:after="60"/>
              <w:rPr>
                <w:rFonts w:ascii="Georgia" w:hAnsi="Georgia" w:cs="Georgia"/>
                <w:i/>
                <w:color w:val="000000"/>
                <w:sz w:val="18"/>
                <w:szCs w:val="18"/>
                <w:lang w:val="lt-LT"/>
              </w:rPr>
            </w:pPr>
            <w:r w:rsidRPr="007B3C20">
              <w:rPr>
                <w:rFonts w:ascii="Georgia" w:hAnsi="Georgia" w:cs="Georgia"/>
                <w:i/>
                <w:color w:val="000000"/>
                <w:sz w:val="18"/>
                <w:szCs w:val="18"/>
                <w:lang w:val="lt-LT"/>
              </w:rPr>
              <w:t>Valiuta</w:t>
            </w:r>
          </w:p>
        </w:tc>
        <w:tc>
          <w:tcPr>
            <w:tcW w:w="3692" w:type="dxa"/>
            <w:shd w:val="clear" w:color="auto" w:fill="auto"/>
          </w:tcPr>
          <w:p w14:paraId="2B683C03"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Euras</w:t>
            </w:r>
          </w:p>
        </w:tc>
        <w:tc>
          <w:tcPr>
            <w:tcW w:w="3641" w:type="dxa"/>
            <w:shd w:val="clear" w:color="auto" w:fill="auto"/>
          </w:tcPr>
          <w:p w14:paraId="58D2FBA1"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Euras</w:t>
            </w:r>
          </w:p>
        </w:tc>
        <w:tc>
          <w:tcPr>
            <w:tcW w:w="3692" w:type="dxa"/>
            <w:shd w:val="clear" w:color="auto" w:fill="auto"/>
          </w:tcPr>
          <w:p w14:paraId="310C46B3"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Euras</w:t>
            </w:r>
          </w:p>
        </w:tc>
      </w:tr>
      <w:tr w:rsidR="00E044B9" w:rsidRPr="007B3C20" w14:paraId="38018DFF" w14:textId="77777777" w:rsidTr="00DB5CF8">
        <w:trPr>
          <w:cantSplit/>
        </w:trPr>
        <w:tc>
          <w:tcPr>
            <w:tcW w:w="2151" w:type="dxa"/>
            <w:shd w:val="clear" w:color="auto" w:fill="auto"/>
          </w:tcPr>
          <w:p w14:paraId="286228F8" w14:textId="77777777" w:rsidR="00E044B9" w:rsidRPr="007B3C20" w:rsidRDefault="00E044B9" w:rsidP="00F70C37">
            <w:pPr>
              <w:autoSpaceDE w:val="0"/>
              <w:autoSpaceDN w:val="0"/>
              <w:adjustRightInd w:val="0"/>
              <w:spacing w:before="60" w:after="60"/>
              <w:rPr>
                <w:rFonts w:ascii="Georgia" w:hAnsi="Georgia" w:cs="Georgia"/>
                <w:i/>
                <w:color w:val="000000"/>
                <w:sz w:val="18"/>
                <w:szCs w:val="18"/>
                <w:lang w:val="lt-LT"/>
              </w:rPr>
            </w:pPr>
            <w:r w:rsidRPr="007B3C20">
              <w:rPr>
                <w:rFonts w:ascii="Georgia" w:hAnsi="Georgia" w:cs="Georgia"/>
                <w:i/>
                <w:color w:val="000000"/>
                <w:sz w:val="18"/>
                <w:szCs w:val="18"/>
                <w:lang w:val="lt-LT"/>
              </w:rPr>
              <w:t>Įmokų dažnumas</w:t>
            </w:r>
          </w:p>
        </w:tc>
        <w:tc>
          <w:tcPr>
            <w:tcW w:w="3692" w:type="dxa"/>
            <w:shd w:val="clear" w:color="auto" w:fill="auto"/>
          </w:tcPr>
          <w:p w14:paraId="58CA79B9"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Mėnesinis</w:t>
            </w:r>
          </w:p>
        </w:tc>
        <w:tc>
          <w:tcPr>
            <w:tcW w:w="3641" w:type="dxa"/>
            <w:shd w:val="clear" w:color="auto" w:fill="auto"/>
          </w:tcPr>
          <w:p w14:paraId="6AACA0EC"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Mėnesinis</w:t>
            </w:r>
          </w:p>
        </w:tc>
        <w:tc>
          <w:tcPr>
            <w:tcW w:w="3692" w:type="dxa"/>
            <w:shd w:val="clear" w:color="auto" w:fill="auto"/>
          </w:tcPr>
          <w:p w14:paraId="7BA65B17"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Finansinis tarpininkas gali reikalauti tinkamos pradinės įmokos reprezentuojančios galutinių naudos gavėjų įnašą, vertinant pagal kredito rizikos kriterijus</w:t>
            </w:r>
          </w:p>
        </w:tc>
      </w:tr>
      <w:tr w:rsidR="00E044B9" w:rsidRPr="007B3C20" w14:paraId="2908243B" w14:textId="77777777" w:rsidTr="00DB5CF8">
        <w:trPr>
          <w:cantSplit/>
        </w:trPr>
        <w:tc>
          <w:tcPr>
            <w:tcW w:w="2151" w:type="dxa"/>
            <w:shd w:val="clear" w:color="auto" w:fill="auto"/>
          </w:tcPr>
          <w:p w14:paraId="2EB1473B" w14:textId="77777777" w:rsidR="00E044B9" w:rsidRPr="007B3C20" w:rsidRDefault="00E044B9" w:rsidP="00F70C37">
            <w:pPr>
              <w:autoSpaceDE w:val="0"/>
              <w:autoSpaceDN w:val="0"/>
              <w:adjustRightInd w:val="0"/>
              <w:spacing w:before="60" w:after="60"/>
              <w:rPr>
                <w:rFonts w:ascii="Georgia" w:hAnsi="Georgia" w:cs="Georgia"/>
                <w:i/>
                <w:color w:val="000000"/>
                <w:sz w:val="18"/>
                <w:szCs w:val="18"/>
                <w:lang w:val="lt-LT"/>
              </w:rPr>
            </w:pPr>
            <w:r w:rsidRPr="007B3C20">
              <w:rPr>
                <w:rFonts w:ascii="Georgia" w:hAnsi="Georgia" w:cs="Georgia"/>
                <w:i/>
                <w:color w:val="000000"/>
                <w:sz w:val="18"/>
                <w:szCs w:val="18"/>
                <w:lang w:val="lt-LT"/>
              </w:rPr>
              <w:t>Nuosavas įnašas</w:t>
            </w:r>
          </w:p>
        </w:tc>
        <w:tc>
          <w:tcPr>
            <w:tcW w:w="3692" w:type="dxa"/>
            <w:shd w:val="clear" w:color="auto" w:fill="auto"/>
          </w:tcPr>
          <w:p w14:paraId="620662DF"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Finansiniai tarpininkai gali reikalauti pradinio įnašo, sudarančio ne daugiau kaip 5% projekto vertės</w:t>
            </w:r>
          </w:p>
        </w:tc>
        <w:tc>
          <w:tcPr>
            <w:tcW w:w="3641" w:type="dxa"/>
            <w:shd w:val="clear" w:color="auto" w:fill="auto"/>
          </w:tcPr>
          <w:p w14:paraId="2A0BE6F2"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 xml:space="preserve">Finansiniai tarpininkai privalo reikalauti pradinio įnašo, sudarančio ne daugiau kaip 5% projekto vertės </w:t>
            </w:r>
          </w:p>
        </w:tc>
        <w:tc>
          <w:tcPr>
            <w:tcW w:w="3692" w:type="dxa"/>
            <w:shd w:val="clear" w:color="auto" w:fill="auto"/>
          </w:tcPr>
          <w:p w14:paraId="25A794E7" w14:textId="77777777" w:rsidR="00E044B9" w:rsidRPr="007B3C20" w:rsidRDefault="00E044B9" w:rsidP="00F70C37">
            <w:pPr>
              <w:autoSpaceDE w:val="0"/>
              <w:autoSpaceDN w:val="0"/>
              <w:adjustRightInd w:val="0"/>
              <w:spacing w:before="60" w:after="60"/>
              <w:rPr>
                <w:rFonts w:ascii="Georgia" w:hAnsi="Georgia"/>
                <w:color w:val="000000"/>
                <w:sz w:val="18"/>
                <w:lang w:val="lt-LT"/>
              </w:rPr>
            </w:pPr>
            <w:r w:rsidRPr="007B3C20">
              <w:rPr>
                <w:rFonts w:ascii="Georgia" w:hAnsi="Georgia"/>
                <w:color w:val="000000"/>
                <w:sz w:val="18"/>
                <w:lang w:val="lt-LT"/>
              </w:rPr>
              <w:t>Nedraudžiamas ir detaliau neapibrėžtas</w:t>
            </w:r>
          </w:p>
        </w:tc>
      </w:tr>
      <w:tr w:rsidR="00E044B9" w:rsidRPr="007B3C20" w14:paraId="784BAEFB" w14:textId="77777777" w:rsidTr="00DB5CF8">
        <w:trPr>
          <w:cantSplit/>
        </w:trPr>
        <w:tc>
          <w:tcPr>
            <w:tcW w:w="2151" w:type="dxa"/>
            <w:shd w:val="clear" w:color="auto" w:fill="auto"/>
          </w:tcPr>
          <w:p w14:paraId="3862BBC2" w14:textId="77777777" w:rsidR="00E044B9" w:rsidRPr="007B3C20" w:rsidRDefault="00E044B9" w:rsidP="00F70C37">
            <w:pPr>
              <w:autoSpaceDE w:val="0"/>
              <w:autoSpaceDN w:val="0"/>
              <w:adjustRightInd w:val="0"/>
              <w:spacing w:before="60" w:after="60"/>
              <w:rPr>
                <w:rFonts w:ascii="Georgia" w:hAnsi="Georgia" w:cs="Georgia"/>
                <w:i/>
                <w:color w:val="000000"/>
                <w:sz w:val="18"/>
                <w:szCs w:val="18"/>
                <w:lang w:val="lt-LT"/>
              </w:rPr>
            </w:pPr>
            <w:r w:rsidRPr="007B3C20">
              <w:rPr>
                <w:rFonts w:ascii="Georgia" w:hAnsi="Georgia" w:cs="Georgia"/>
                <w:i/>
                <w:color w:val="000000"/>
                <w:sz w:val="18"/>
                <w:szCs w:val="18"/>
                <w:lang w:val="lt-LT"/>
              </w:rPr>
              <w:t>Išankstinis paskolos grąžinimas</w:t>
            </w:r>
          </w:p>
        </w:tc>
        <w:tc>
          <w:tcPr>
            <w:tcW w:w="3692" w:type="dxa"/>
            <w:shd w:val="clear" w:color="auto" w:fill="auto"/>
          </w:tcPr>
          <w:p w14:paraId="3EC9D087"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Nėra apribojimų ar papildomų mokesčių</w:t>
            </w:r>
          </w:p>
        </w:tc>
        <w:tc>
          <w:tcPr>
            <w:tcW w:w="3641" w:type="dxa"/>
            <w:shd w:val="clear" w:color="auto" w:fill="auto"/>
          </w:tcPr>
          <w:p w14:paraId="5F5196B8"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Nėra apribojimų ar papildomų mokesčių</w:t>
            </w:r>
          </w:p>
        </w:tc>
        <w:tc>
          <w:tcPr>
            <w:tcW w:w="3692" w:type="dxa"/>
            <w:shd w:val="clear" w:color="auto" w:fill="auto"/>
          </w:tcPr>
          <w:p w14:paraId="580FFC37"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w:t>
            </w:r>
          </w:p>
        </w:tc>
      </w:tr>
      <w:tr w:rsidR="00E044B9" w:rsidRPr="007B3C20" w14:paraId="193E17AF" w14:textId="77777777" w:rsidTr="00DB5CF8">
        <w:trPr>
          <w:cantSplit/>
        </w:trPr>
        <w:tc>
          <w:tcPr>
            <w:tcW w:w="2151" w:type="dxa"/>
            <w:shd w:val="clear" w:color="auto" w:fill="auto"/>
          </w:tcPr>
          <w:p w14:paraId="0A84CDB2" w14:textId="77777777" w:rsidR="00E044B9" w:rsidRPr="007B3C20" w:rsidRDefault="00E044B9" w:rsidP="00F70C37">
            <w:pPr>
              <w:autoSpaceDE w:val="0"/>
              <w:autoSpaceDN w:val="0"/>
              <w:adjustRightInd w:val="0"/>
              <w:spacing w:before="60" w:after="60"/>
              <w:rPr>
                <w:rFonts w:ascii="Georgia" w:hAnsi="Georgia" w:cs="Georgia"/>
                <w:i/>
                <w:color w:val="000000"/>
                <w:sz w:val="18"/>
                <w:szCs w:val="18"/>
                <w:lang w:val="lt-LT"/>
              </w:rPr>
            </w:pPr>
            <w:r w:rsidRPr="007B3C20">
              <w:rPr>
                <w:rFonts w:ascii="Georgia" w:hAnsi="Georgia" w:cs="Georgia"/>
                <w:i/>
                <w:color w:val="000000"/>
                <w:sz w:val="18"/>
                <w:szCs w:val="18"/>
                <w:lang w:val="lt-LT"/>
              </w:rPr>
              <w:lastRenderedPageBreak/>
              <w:t>Refinansavimas</w:t>
            </w:r>
          </w:p>
        </w:tc>
        <w:tc>
          <w:tcPr>
            <w:tcW w:w="3692" w:type="dxa"/>
            <w:shd w:val="clear" w:color="auto" w:fill="auto"/>
          </w:tcPr>
          <w:p w14:paraId="23D3D88B"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Nedraudžiamas</w:t>
            </w:r>
          </w:p>
        </w:tc>
        <w:tc>
          <w:tcPr>
            <w:tcW w:w="3641" w:type="dxa"/>
            <w:shd w:val="clear" w:color="auto" w:fill="auto"/>
          </w:tcPr>
          <w:p w14:paraId="11270CCA"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Nedraudžiamas</w:t>
            </w:r>
          </w:p>
        </w:tc>
        <w:tc>
          <w:tcPr>
            <w:tcW w:w="3692" w:type="dxa"/>
            <w:shd w:val="clear" w:color="auto" w:fill="auto"/>
          </w:tcPr>
          <w:p w14:paraId="22224F04"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Finansinis tarpininkas gali reikalauti užstato priklausomai nuo paskolos gavėjo rizikos</w:t>
            </w:r>
          </w:p>
        </w:tc>
      </w:tr>
      <w:tr w:rsidR="00E044B9" w:rsidRPr="007B3C20" w14:paraId="28A6599D" w14:textId="77777777" w:rsidTr="00DB5CF8">
        <w:trPr>
          <w:cantSplit/>
        </w:trPr>
        <w:tc>
          <w:tcPr>
            <w:tcW w:w="2151" w:type="dxa"/>
            <w:shd w:val="clear" w:color="auto" w:fill="auto"/>
          </w:tcPr>
          <w:p w14:paraId="7E1F5622" w14:textId="77777777" w:rsidR="00E044B9" w:rsidRPr="007B3C20" w:rsidRDefault="00E044B9" w:rsidP="00F70C37">
            <w:pPr>
              <w:autoSpaceDE w:val="0"/>
              <w:autoSpaceDN w:val="0"/>
              <w:adjustRightInd w:val="0"/>
              <w:spacing w:before="60" w:after="60"/>
              <w:rPr>
                <w:rFonts w:ascii="Georgia" w:hAnsi="Georgia" w:cs="Georgia"/>
                <w:i/>
                <w:color w:val="000000"/>
                <w:sz w:val="18"/>
                <w:szCs w:val="18"/>
                <w:lang w:val="lt-LT"/>
              </w:rPr>
            </w:pPr>
            <w:r w:rsidRPr="007B3C20">
              <w:rPr>
                <w:rFonts w:ascii="Georgia" w:hAnsi="Georgia" w:cs="Georgia"/>
                <w:i/>
                <w:color w:val="000000"/>
                <w:sz w:val="18"/>
                <w:szCs w:val="18"/>
                <w:lang w:val="lt-LT"/>
              </w:rPr>
              <w:t xml:space="preserve">Didžiausia mėnesinė įmoka </w:t>
            </w:r>
          </w:p>
        </w:tc>
        <w:tc>
          <w:tcPr>
            <w:tcW w:w="3692" w:type="dxa"/>
            <w:shd w:val="clear" w:color="auto" w:fill="auto"/>
          </w:tcPr>
          <w:p w14:paraId="13385416"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 xml:space="preserve">Didžiausia paskolos mėnesinė įmoka yra apibrėžiama investicijų plane kiekvienam savininkui atskirai </w:t>
            </w:r>
          </w:p>
        </w:tc>
        <w:tc>
          <w:tcPr>
            <w:tcW w:w="3641" w:type="dxa"/>
            <w:shd w:val="clear" w:color="auto" w:fill="auto"/>
          </w:tcPr>
          <w:p w14:paraId="72FE7BAC"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w:t>
            </w:r>
          </w:p>
        </w:tc>
        <w:tc>
          <w:tcPr>
            <w:tcW w:w="3692" w:type="dxa"/>
            <w:shd w:val="clear" w:color="auto" w:fill="auto"/>
          </w:tcPr>
          <w:p w14:paraId="27DB71B8"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 xml:space="preserve">15% investicijų į energijos efektyvumo priemones </w:t>
            </w:r>
          </w:p>
        </w:tc>
      </w:tr>
      <w:tr w:rsidR="00E044B9" w:rsidRPr="007B3C20" w14:paraId="59D1440F" w14:textId="77777777" w:rsidTr="00DB5CF8">
        <w:trPr>
          <w:cantSplit/>
        </w:trPr>
        <w:tc>
          <w:tcPr>
            <w:tcW w:w="2151" w:type="dxa"/>
            <w:shd w:val="clear" w:color="auto" w:fill="auto"/>
          </w:tcPr>
          <w:p w14:paraId="10C8B79A" w14:textId="77777777" w:rsidR="00E044B9" w:rsidRPr="007B3C20" w:rsidRDefault="00E044B9" w:rsidP="00F70C37">
            <w:pPr>
              <w:autoSpaceDE w:val="0"/>
              <w:autoSpaceDN w:val="0"/>
              <w:adjustRightInd w:val="0"/>
              <w:spacing w:before="60" w:after="60"/>
              <w:rPr>
                <w:rFonts w:ascii="Georgia" w:hAnsi="Georgia" w:cs="Georgia"/>
                <w:i/>
                <w:color w:val="000000"/>
                <w:sz w:val="18"/>
                <w:szCs w:val="18"/>
                <w:lang w:val="lt-LT"/>
              </w:rPr>
            </w:pPr>
            <w:r w:rsidRPr="007B3C20">
              <w:rPr>
                <w:rFonts w:ascii="Georgia" w:hAnsi="Georgia" w:cs="Georgia"/>
                <w:i/>
                <w:color w:val="000000"/>
                <w:sz w:val="18"/>
                <w:szCs w:val="18"/>
                <w:lang w:val="lt-LT"/>
              </w:rPr>
              <w:t>Užstatas</w:t>
            </w:r>
          </w:p>
        </w:tc>
        <w:tc>
          <w:tcPr>
            <w:tcW w:w="3692" w:type="dxa"/>
            <w:shd w:val="clear" w:color="auto" w:fill="auto"/>
          </w:tcPr>
          <w:p w14:paraId="7F384112"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Paskola pririšta prie būsto, ne prie savininko</w:t>
            </w:r>
          </w:p>
        </w:tc>
        <w:tc>
          <w:tcPr>
            <w:tcW w:w="3641" w:type="dxa"/>
            <w:shd w:val="clear" w:color="auto" w:fill="auto"/>
          </w:tcPr>
          <w:p w14:paraId="2C253D3C"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Paskola pririšta prie būsto, ne prie savininko</w:t>
            </w:r>
          </w:p>
        </w:tc>
        <w:tc>
          <w:tcPr>
            <w:tcW w:w="3692" w:type="dxa"/>
            <w:shd w:val="clear" w:color="auto" w:fill="auto"/>
          </w:tcPr>
          <w:p w14:paraId="2BAAFDA4"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w:t>
            </w:r>
          </w:p>
        </w:tc>
      </w:tr>
      <w:tr w:rsidR="00E044B9" w:rsidRPr="007B3C20" w14:paraId="5D7E61DB" w14:textId="77777777" w:rsidTr="00DB5CF8">
        <w:trPr>
          <w:cantSplit/>
        </w:trPr>
        <w:tc>
          <w:tcPr>
            <w:tcW w:w="2151" w:type="dxa"/>
            <w:shd w:val="clear" w:color="auto" w:fill="auto"/>
          </w:tcPr>
          <w:p w14:paraId="4C2CD83A" w14:textId="77777777" w:rsidR="00E044B9" w:rsidRPr="007B3C20" w:rsidRDefault="00E044B9" w:rsidP="00F70C37">
            <w:pPr>
              <w:autoSpaceDE w:val="0"/>
              <w:autoSpaceDN w:val="0"/>
              <w:adjustRightInd w:val="0"/>
              <w:spacing w:before="60" w:after="60"/>
              <w:rPr>
                <w:rFonts w:ascii="Georgia" w:hAnsi="Georgia" w:cs="Georgia"/>
                <w:i/>
                <w:color w:val="000000"/>
                <w:sz w:val="18"/>
                <w:szCs w:val="18"/>
                <w:lang w:val="lt-LT"/>
              </w:rPr>
            </w:pPr>
            <w:r w:rsidRPr="007B3C20">
              <w:rPr>
                <w:rFonts w:ascii="Georgia" w:hAnsi="Georgia" w:cs="Georgia"/>
                <w:i/>
                <w:color w:val="000000"/>
                <w:sz w:val="18"/>
                <w:szCs w:val="18"/>
                <w:lang w:val="lt-LT"/>
              </w:rPr>
              <w:t>Subsidija</w:t>
            </w:r>
          </w:p>
        </w:tc>
        <w:tc>
          <w:tcPr>
            <w:tcW w:w="3692" w:type="dxa"/>
            <w:shd w:val="clear" w:color="auto" w:fill="auto"/>
          </w:tcPr>
          <w:p w14:paraId="6F700EAC"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15% investicijų į energijos efektyvumo priemones</w:t>
            </w:r>
          </w:p>
        </w:tc>
        <w:tc>
          <w:tcPr>
            <w:tcW w:w="3641" w:type="dxa"/>
            <w:shd w:val="clear" w:color="auto" w:fill="auto"/>
          </w:tcPr>
          <w:p w14:paraId="38EFC203"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w:t>
            </w:r>
          </w:p>
        </w:tc>
        <w:tc>
          <w:tcPr>
            <w:tcW w:w="3692" w:type="dxa"/>
            <w:shd w:val="clear" w:color="auto" w:fill="auto"/>
          </w:tcPr>
          <w:p w14:paraId="60F2CBB9"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sukauptos paskolos palūkanos per 5 metų laikotarpį nuo pirmojo paskolos išmokėjimo arba 15% pagrindinės paskolos sumos priklausomai nuo to, kuri suma mažesnė</w:t>
            </w:r>
          </w:p>
        </w:tc>
      </w:tr>
      <w:tr w:rsidR="00E044B9" w:rsidRPr="007B3C20" w14:paraId="2BFFDF60" w14:textId="77777777" w:rsidTr="00DB5CF8">
        <w:trPr>
          <w:cantSplit/>
        </w:trPr>
        <w:tc>
          <w:tcPr>
            <w:tcW w:w="2151" w:type="dxa"/>
            <w:shd w:val="clear" w:color="auto" w:fill="auto"/>
          </w:tcPr>
          <w:p w14:paraId="547CECBE" w14:textId="77777777" w:rsidR="00E044B9" w:rsidRPr="007B3C20" w:rsidRDefault="00E044B9" w:rsidP="00F70C37">
            <w:pPr>
              <w:autoSpaceDE w:val="0"/>
              <w:autoSpaceDN w:val="0"/>
              <w:adjustRightInd w:val="0"/>
              <w:spacing w:before="60" w:after="60"/>
              <w:rPr>
                <w:rFonts w:ascii="Georgia" w:hAnsi="Georgia" w:cs="Georgia"/>
                <w:i/>
                <w:color w:val="000000"/>
                <w:sz w:val="18"/>
                <w:szCs w:val="18"/>
                <w:lang w:val="lt-LT"/>
              </w:rPr>
            </w:pPr>
            <w:r w:rsidRPr="007B3C20">
              <w:rPr>
                <w:rFonts w:ascii="Georgia" w:hAnsi="Georgia" w:cs="Georgia"/>
                <w:i/>
                <w:color w:val="000000"/>
                <w:sz w:val="18"/>
                <w:szCs w:val="18"/>
                <w:lang w:val="lt-LT"/>
              </w:rPr>
              <w:t>Paskolos draudimas ar garantija</w:t>
            </w:r>
          </w:p>
        </w:tc>
        <w:tc>
          <w:tcPr>
            <w:tcW w:w="3692" w:type="dxa"/>
            <w:shd w:val="clear" w:color="auto" w:fill="auto"/>
          </w:tcPr>
          <w:p w14:paraId="57931B39"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w:t>
            </w:r>
          </w:p>
        </w:tc>
        <w:tc>
          <w:tcPr>
            <w:tcW w:w="3641" w:type="dxa"/>
            <w:shd w:val="clear" w:color="auto" w:fill="auto"/>
          </w:tcPr>
          <w:p w14:paraId="4188509E"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w:t>
            </w:r>
          </w:p>
        </w:tc>
        <w:tc>
          <w:tcPr>
            <w:tcW w:w="3692" w:type="dxa"/>
            <w:shd w:val="clear" w:color="auto" w:fill="auto"/>
          </w:tcPr>
          <w:p w14:paraId="2589A15B" w14:textId="77777777" w:rsidR="00E044B9" w:rsidRPr="007B3C20" w:rsidRDefault="00E044B9" w:rsidP="00F70C37">
            <w:pPr>
              <w:autoSpaceDE w:val="0"/>
              <w:autoSpaceDN w:val="0"/>
              <w:adjustRightInd w:val="0"/>
              <w:spacing w:before="60" w:after="60"/>
              <w:rPr>
                <w:rFonts w:ascii="Georgia" w:hAnsi="Georgia" w:cs="Georgia"/>
                <w:color w:val="000000"/>
                <w:sz w:val="18"/>
                <w:szCs w:val="18"/>
                <w:lang w:val="lt-LT"/>
              </w:rPr>
            </w:pPr>
            <w:r w:rsidRPr="007B3C20">
              <w:rPr>
                <w:rFonts w:ascii="Georgia" w:hAnsi="Georgia" w:cs="Georgia"/>
                <w:color w:val="000000"/>
                <w:sz w:val="18"/>
                <w:szCs w:val="18"/>
                <w:lang w:val="lt-LT"/>
              </w:rPr>
              <w:t>–</w:t>
            </w:r>
          </w:p>
        </w:tc>
      </w:tr>
    </w:tbl>
    <w:p w14:paraId="12292C03" w14:textId="77777777" w:rsidR="00E044B9" w:rsidRDefault="00E044B9" w:rsidP="00E044B9">
      <w:pPr>
        <w:rPr>
          <w:rFonts w:asciiTheme="majorHAnsi" w:eastAsiaTheme="majorEastAsia" w:hAnsiTheme="majorHAnsi" w:cstheme="majorBidi"/>
          <w:b/>
          <w:bCs/>
          <w:color w:val="4F81BD" w:themeColor="accent1"/>
          <w:sz w:val="26"/>
          <w:szCs w:val="26"/>
          <w:lang w:val="lt-LT"/>
        </w:rPr>
      </w:pPr>
    </w:p>
    <w:p w14:paraId="508A232A" w14:textId="77777777" w:rsidR="00E044B9" w:rsidRDefault="00E044B9">
      <w:pPr>
        <w:rPr>
          <w:rFonts w:asciiTheme="majorHAnsi" w:eastAsiaTheme="majorEastAsia" w:hAnsiTheme="majorHAnsi" w:cstheme="majorBidi"/>
          <w:b/>
          <w:bCs/>
          <w:color w:val="4F81BD" w:themeColor="accent1"/>
          <w:sz w:val="26"/>
          <w:szCs w:val="26"/>
          <w:lang w:val="lt-LT"/>
        </w:rPr>
      </w:pPr>
    </w:p>
    <w:p w14:paraId="5E73E550" w14:textId="77777777" w:rsidR="00651031" w:rsidRPr="00541073" w:rsidRDefault="00DB5CF8">
      <w:r>
        <w:rPr>
          <w:lang w:val="lt-LT"/>
        </w:rPr>
        <w:br w:type="page"/>
      </w:r>
    </w:p>
    <w:p w14:paraId="1F310CD9" w14:textId="77777777" w:rsidR="00DB5CF8" w:rsidRPr="00D96817" w:rsidRDefault="00651031" w:rsidP="00FB328C">
      <w:pPr>
        <w:pStyle w:val="Antrat2"/>
        <w:rPr>
          <w:lang w:val="lt-LT"/>
        </w:rPr>
      </w:pPr>
      <w:bookmarkStart w:id="447" w:name="_Toc417378475"/>
      <w:r w:rsidRPr="000F206B">
        <w:rPr>
          <w:lang w:val="lt-LT"/>
        </w:rPr>
        <w:lastRenderedPageBreak/>
        <w:t>Priedas</w:t>
      </w:r>
      <w:r w:rsidR="009F55BB">
        <w:rPr>
          <w:lang w:val="lt-LT"/>
        </w:rPr>
        <w:t xml:space="preserve"> Nr.</w:t>
      </w:r>
      <w:r w:rsidRPr="000F206B">
        <w:rPr>
          <w:lang w:val="lt-LT"/>
        </w:rPr>
        <w:t xml:space="preserve"> </w:t>
      </w:r>
      <w:r w:rsidR="000F206B" w:rsidRPr="000F206B">
        <w:rPr>
          <w:lang w:val="lt-LT"/>
        </w:rPr>
        <w:t>2</w:t>
      </w:r>
      <w:r w:rsidRPr="00EC6257">
        <w:rPr>
          <w:lang w:val="lt-LT"/>
        </w:rPr>
        <w:t>. Valdymo mokesčio apžvalga</w:t>
      </w:r>
      <w:r w:rsidR="00FB328C">
        <w:rPr>
          <w:lang w:val="lt-LT"/>
        </w:rPr>
        <w:t xml:space="preserve"> pagal Deleguoto reglamento nuostatas</w:t>
      </w:r>
      <w:bookmarkEnd w:id="447"/>
    </w:p>
    <w:p w14:paraId="37C6B20E" w14:textId="77777777" w:rsidR="00FB328C" w:rsidRDefault="00FB328C" w:rsidP="00651031">
      <w:pPr>
        <w:autoSpaceDE w:val="0"/>
        <w:autoSpaceDN w:val="0"/>
        <w:adjustRightInd w:val="0"/>
        <w:spacing w:after="0"/>
        <w:jc w:val="both"/>
        <w:rPr>
          <w:rFonts w:ascii="Georgia" w:hAnsi="Georgia" w:cs="Georgia"/>
          <w:sz w:val="20"/>
          <w:szCs w:val="20"/>
          <w:lang w:val="lt-LT"/>
        </w:rPr>
      </w:pPr>
    </w:p>
    <w:p w14:paraId="5CA99907" w14:textId="77777777" w:rsidR="00651031" w:rsidRDefault="00651031" w:rsidP="00651031">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Fondų fondo paramą įgyvendinančio subjekto valdymo išlaidos ir mokesčiai, kurie gali būti deklaruoti kaip tinkamos finansuoti išlaidos pagal Bendrųjų nuostatų reglamento 42 straipsnio 1 dalies d punktą, negali viršyti sekančių sumų ribų: </w:t>
      </w:r>
    </w:p>
    <w:p w14:paraId="7160887E" w14:textId="77777777" w:rsidR="00651031" w:rsidRDefault="00651031" w:rsidP="002A576D">
      <w:pPr>
        <w:pStyle w:val="Sraopastraipa"/>
        <w:numPr>
          <w:ilvl w:val="0"/>
          <w:numId w:val="56"/>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3 proc. fondų fondui sumokėtų programos įnašų pirmuosius 12 mėnesių po finansavimo sutarties pasirašymo, 1 proc. – kitus 12 mėnesių ir po to 0,5 proc. per metus, skaičiuojant pro rata temporis nuo faktinio mokėjimo fondų fondui dienos iki tinkamumo finansuoti laikotarpio pabaigos, išmokėjimo vadovaujančiajai institucijai dienos arba užbaigimo dienos (priklausomai nuo to, kuri data ankstesnė); ir </w:t>
      </w:r>
    </w:p>
    <w:p w14:paraId="1F6139A5" w14:textId="77777777" w:rsidR="00651031" w:rsidRDefault="00651031" w:rsidP="002A576D">
      <w:pPr>
        <w:pStyle w:val="Sraopastraipa"/>
        <w:numPr>
          <w:ilvl w:val="0"/>
          <w:numId w:val="56"/>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0,5 % fondų fondo finansų tarpininkams sumokėtų programos įnašų per metus, skaičiuojant pro rata temporis nuo fondų fondo atlikto faktinio mokėjimo dienos iki išmokėjimo fondų fondui dienos, tinkamumo finansuoti laikotarpio pabaigos arba užbaigimo dienos (priklausomai nuo to, kuri data ankstesnė).</w:t>
      </w:r>
    </w:p>
    <w:p w14:paraId="6FED29C2" w14:textId="77777777" w:rsidR="00651031" w:rsidRDefault="00651031" w:rsidP="00651031">
      <w:pPr>
        <w:autoSpaceDE w:val="0"/>
        <w:autoSpaceDN w:val="0"/>
        <w:adjustRightInd w:val="0"/>
        <w:spacing w:after="0"/>
        <w:rPr>
          <w:rFonts w:ascii="Georgia" w:hAnsi="Georgia" w:cs="Georgia"/>
          <w:sz w:val="20"/>
          <w:szCs w:val="20"/>
          <w:lang w:val="lt-LT"/>
        </w:rPr>
      </w:pPr>
    </w:p>
    <w:p w14:paraId="7867E7DE" w14:textId="77777777" w:rsidR="00651031" w:rsidRDefault="00651031" w:rsidP="00651031">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Finansines priemones įgyvendinančių subjektų, teikiančių nuosavą kapitalą, paskolas ir garantijas, įskaitant atvejus, kai jie derinami su subsidijomis, palūkanų normos subsidijomis arba garantijos mokesčio subsidijomis pagal Bendrųjų nuostatų reglamento 37 straipsnio 7 dalį, valdymo išlaidos ir mokesčiai, kurie gali būti deklaruoti kaip tinkamos finansuoti išlaidos pagal to reglamento 42 straipsnio 1 dalies d punktą, neviršija sumos, kuri yra: </w:t>
      </w:r>
    </w:p>
    <w:p w14:paraId="45371B2C" w14:textId="77777777" w:rsidR="00651031" w:rsidRDefault="00651031" w:rsidP="00651031">
      <w:pPr>
        <w:autoSpaceDE w:val="0"/>
        <w:autoSpaceDN w:val="0"/>
        <w:adjustRightInd w:val="0"/>
        <w:spacing w:after="0"/>
        <w:jc w:val="both"/>
        <w:rPr>
          <w:rFonts w:ascii="Georgia" w:hAnsi="Georgia" w:cs="Georgia"/>
          <w:sz w:val="20"/>
          <w:szCs w:val="20"/>
          <w:lang w:val="lt-LT"/>
        </w:rPr>
      </w:pPr>
    </w:p>
    <w:p w14:paraId="6E1A33A2" w14:textId="77777777" w:rsidR="00651031" w:rsidRDefault="00651031" w:rsidP="002A576D">
      <w:pPr>
        <w:pStyle w:val="Sraopastraipa"/>
        <w:numPr>
          <w:ilvl w:val="0"/>
          <w:numId w:val="71"/>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 bazinis atlygis, kuris apskaičiuojamas taip: </w:t>
      </w:r>
    </w:p>
    <w:p w14:paraId="7E3BC715" w14:textId="77777777" w:rsidR="00651031" w:rsidRDefault="00651031" w:rsidP="002A576D">
      <w:pPr>
        <w:pStyle w:val="Sraopastraipa"/>
        <w:numPr>
          <w:ilvl w:val="1"/>
          <w:numId w:val="71"/>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finansinės priemonės, kuria teikiamas nuosavas kapitalas, atveju: 2,5 proc. finansinei priemonei pagal atitinkamą finansavimo sutartį įsipareigotų skirti programos įnašų per metus pirmuosius dvidešimt keturis mėnesius po finansavimo sutarties pasirašymo, po to 1 proc. per metus, skaičiuojant pro rata temporis nuo susijusios finansavimo sutarties pasirašymo dienos iki tinkamumo finansuoti laikotarpio pabaigos, įnašų išmokėjimo vadovaujančiajai institucijai ar fondų fondui dienos arba užbaigimo dienos (priklausomai nuo to, kuri data ankstesnė); </w:t>
      </w:r>
    </w:p>
    <w:p w14:paraId="56516CEF" w14:textId="77777777" w:rsidR="00651031" w:rsidRDefault="00651031" w:rsidP="002A576D">
      <w:pPr>
        <w:pStyle w:val="Sraopastraipa"/>
        <w:numPr>
          <w:ilvl w:val="1"/>
          <w:numId w:val="71"/>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visų kitų rūšių finansinės priemonės atveju: 0,5 % finansinei priemonei sumokėtų programos įnašų per metus, skaičiuojant pro rata temporis nuo faktinio mokėjimo finansinei priemonei dienos iki tinkamumo finansuoti laikotarpio pabaigos, išmokėjimo vadovaujančiajai institucijai arba fondų fondui dienos arba užbaigimo dienos (priklausomai nuo to, kuri data ankstesnė); ir</w:t>
      </w:r>
    </w:p>
    <w:p w14:paraId="0CCCF3DB" w14:textId="77777777" w:rsidR="00651031" w:rsidRDefault="00651031" w:rsidP="002A576D">
      <w:pPr>
        <w:pStyle w:val="Sraopastraipa"/>
        <w:numPr>
          <w:ilvl w:val="0"/>
          <w:numId w:val="71"/>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veiklos rezultatais grindžiamas atlygis, kuris apskaičiuojamas taip: </w:t>
      </w:r>
    </w:p>
    <w:p w14:paraId="2DB3C2AB" w14:textId="77777777" w:rsidR="00651031" w:rsidRDefault="00651031" w:rsidP="002A576D">
      <w:pPr>
        <w:pStyle w:val="Sraopastraipa"/>
        <w:numPr>
          <w:ilvl w:val="1"/>
          <w:numId w:val="71"/>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finansinės priemonės, kuria teikiamas nuosavas kapitalas, atveju: 2,5 % programos įnašų, pagal Bendrųjų nuostatų reglamento 42 straipsnio 1 dalies a punktą sumokėtų galutiniams naudos gavėjams nuosavo kapitalo forma, taip pat reinvestuotų lėšų, kurios priskiriamos programos įnašams ir dar negrąžintos finansinei priemonei, per metus, skaičiuojant pro rata temporis nuo išmokėjimo galutiniam naudos gavėjui dienos iki investicijų grąžinimo dienos, susigrąžinimo procedūros pabaigos (nurašymo atveju) arba tinkamumo finansuoti laikotarpio pabaigos (priklausomai nuo to, kuri data ankstesnė); </w:t>
      </w:r>
    </w:p>
    <w:p w14:paraId="643FF71B" w14:textId="77777777" w:rsidR="00651031" w:rsidRDefault="00651031" w:rsidP="002A576D">
      <w:pPr>
        <w:pStyle w:val="Sraopastraipa"/>
        <w:numPr>
          <w:ilvl w:val="1"/>
          <w:numId w:val="71"/>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finansinės priemonės, kuria teikiamos paskolos, atveju: 1 % programos įnašų, pagal Bendrųjų nuostatų reglamento 42 straipsnio 1 dalies a punktą sumokėtų galutiniams naudos gavėjams paskolų forma, taip pat reinvestuotų lėšų, kurios priskiriamos programos įnašams ir dar negrąžintos finansinei priemonei, per metus, skaičiuojant pro rata temporis nuo išmokėjimo galutiniam naudos gavėjui dienos iki investicijų grąžinimo dienos, susigrąžinimo procedūros pabaigos (įsipareigojimų nevykdymo atveju) arba tinkamumo finansuoti laikotarpio pabaigos (priklausomai nuo to, kuri data ankstesnė); </w:t>
      </w:r>
    </w:p>
    <w:p w14:paraId="04F7B09C" w14:textId="77777777" w:rsidR="00651031" w:rsidRDefault="00651031" w:rsidP="002A576D">
      <w:pPr>
        <w:pStyle w:val="Sraopastraipa"/>
        <w:numPr>
          <w:ilvl w:val="1"/>
          <w:numId w:val="71"/>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finansinės priemonės, kuria teikiamos garantijos, atveju: 1,5 % programos įnašų, pagal Bendrųjų nuostatų reglamento 42 straipsnio 1 dalies b punktą skirtų galiojančioms garantijų sutartims, taip pat pakartotinai panaudotų lėšų, kurios priskiriamos programos įnašams, per </w:t>
      </w:r>
      <w:r>
        <w:rPr>
          <w:rFonts w:ascii="Georgia" w:hAnsi="Georgia" w:cs="Georgia"/>
          <w:sz w:val="20"/>
          <w:szCs w:val="20"/>
          <w:lang w:val="lt-LT"/>
        </w:rPr>
        <w:lastRenderedPageBreak/>
        <w:t xml:space="preserve">metus, skaičiuojant pro rata temporis nuo įsipareigojimų dienos iki garantijų sutarties galiojimo pabaigos, susigrąžinimo procedūros pabaigos (įsipareigojimų nevykdymo atveju) arba tinkamumo finansuoti laikotarpio pabaigos (priklausomai nuo to, kuri data ankstesnė); </w:t>
      </w:r>
    </w:p>
    <w:p w14:paraId="2D3F166E" w14:textId="77777777" w:rsidR="00651031" w:rsidRDefault="00651031" w:rsidP="002A576D">
      <w:pPr>
        <w:pStyle w:val="Sraopastraipa"/>
        <w:numPr>
          <w:ilvl w:val="1"/>
          <w:numId w:val="71"/>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finansinės priemonės, kuria teikiamos subsidijos, palūkanų normos subsidijos ar garantijos mokesčio subsidijos pagal Bendrųjų nuostatų reglamento 37 straipsnio 7 dalį, atveju: 0,5 proc. subsidijų, pagal to reglamento 42 straipsnio 1 dalies a punktą išmokėtų galutiniams naudos gavėjams. </w:t>
      </w:r>
    </w:p>
    <w:p w14:paraId="684C57EB" w14:textId="77777777" w:rsidR="00651031" w:rsidRDefault="00651031" w:rsidP="00651031">
      <w:pPr>
        <w:autoSpaceDE w:val="0"/>
        <w:autoSpaceDN w:val="0"/>
        <w:adjustRightInd w:val="0"/>
        <w:spacing w:after="0"/>
        <w:jc w:val="both"/>
        <w:rPr>
          <w:rFonts w:ascii="Georgia" w:hAnsi="Georgia" w:cs="Georgia"/>
          <w:sz w:val="20"/>
          <w:szCs w:val="20"/>
          <w:lang w:val="lt-LT"/>
        </w:rPr>
      </w:pPr>
    </w:p>
    <w:p w14:paraId="53D5CA08" w14:textId="77777777" w:rsidR="00651031" w:rsidRDefault="00651031" w:rsidP="00651031">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Šios nuostatos taikomos finansinę priemonę įgyvendinančiam ir garantijas teikiančiam subjektui, nepriklausomai nuo to, ar tas pats subjektas įgyvendina fondų fondo paramą, su sąlyga, kad laikomasi 4 dalies nuostatų.</w:t>
      </w:r>
    </w:p>
    <w:p w14:paraId="4BB471D1" w14:textId="77777777" w:rsidR="00651031" w:rsidRDefault="00651031" w:rsidP="00651031">
      <w:pPr>
        <w:autoSpaceDE w:val="0"/>
        <w:autoSpaceDN w:val="0"/>
        <w:adjustRightInd w:val="0"/>
        <w:spacing w:after="0"/>
        <w:jc w:val="both"/>
        <w:rPr>
          <w:rFonts w:ascii="Georgia" w:hAnsi="Georgia" w:cs="Georgia"/>
          <w:sz w:val="20"/>
          <w:szCs w:val="20"/>
          <w:lang w:val="lt-LT"/>
        </w:rPr>
      </w:pPr>
    </w:p>
    <w:p w14:paraId="647F41C1" w14:textId="77777777" w:rsidR="00651031" w:rsidRDefault="00651031" w:rsidP="00651031">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Valdymo išlaidų ir mokesčių bendra suma per Bendrųjų nuostatų reglamento 65 straipsnio 2 dalyje nustatytą tinkamumo finansuoti laikotarpį negali viršyti toliau nurodytų ribų: </w:t>
      </w:r>
    </w:p>
    <w:p w14:paraId="010A795C" w14:textId="77777777" w:rsidR="00651031" w:rsidRDefault="00651031" w:rsidP="002A576D">
      <w:pPr>
        <w:pStyle w:val="Sraopastraipa"/>
        <w:numPr>
          <w:ilvl w:val="1"/>
          <w:numId w:val="5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fondų fondo atveju – 7 % fondų fondui sumokėtų programos įnašų bendros sumos; </w:t>
      </w:r>
    </w:p>
    <w:p w14:paraId="09DE75A6" w14:textId="77777777" w:rsidR="00651031" w:rsidRDefault="00651031" w:rsidP="002A576D">
      <w:pPr>
        <w:pStyle w:val="Sraopastraipa"/>
        <w:numPr>
          <w:ilvl w:val="1"/>
          <w:numId w:val="5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finansinės priemonės, kuria teikiamas nuosavas kapitalas, atveju – 20 % finansinei priemonei sumokėtų programos įnašų bendros sumos; </w:t>
      </w:r>
    </w:p>
    <w:p w14:paraId="36540FC3" w14:textId="77777777" w:rsidR="00651031" w:rsidRDefault="00651031" w:rsidP="002A576D">
      <w:pPr>
        <w:pStyle w:val="Sraopastraipa"/>
        <w:numPr>
          <w:ilvl w:val="1"/>
          <w:numId w:val="5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finansinės priemonės, kuria teikiamos paskolos, atveju – 8 % finansinei priemonei sumokėtų programos įnašų bendros sumos; </w:t>
      </w:r>
    </w:p>
    <w:p w14:paraId="51ED827E" w14:textId="77777777" w:rsidR="00651031" w:rsidRDefault="00651031" w:rsidP="002A576D">
      <w:pPr>
        <w:pStyle w:val="Sraopastraipa"/>
        <w:numPr>
          <w:ilvl w:val="1"/>
          <w:numId w:val="5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finansinės priemonės, kuria teikiamos garantijos, atveju – 10 % finansinei priemonei sumokėtų programos įnašų bendros sumos; </w:t>
      </w:r>
    </w:p>
    <w:p w14:paraId="1FB40B6B" w14:textId="77777777" w:rsidR="00651031" w:rsidRDefault="00651031" w:rsidP="002A576D">
      <w:pPr>
        <w:pStyle w:val="Sraopastraipa"/>
        <w:numPr>
          <w:ilvl w:val="1"/>
          <w:numId w:val="58"/>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finansinės priemonės, kuria teikiamos dotacijos, palūkanų normos subsidijos ir garantijos mokesčio subsidijos pagal Bendrųjų nuostatų reglamento 37 straipsnio 7 dalį, atveju – 6 % finansinei priemonei sumokėtų programos įnašų bendros sumos.</w:t>
      </w:r>
    </w:p>
    <w:p w14:paraId="5926D412" w14:textId="77777777" w:rsidR="00651031" w:rsidRDefault="00651031" w:rsidP="00651031">
      <w:pPr>
        <w:autoSpaceDE w:val="0"/>
        <w:autoSpaceDN w:val="0"/>
        <w:adjustRightInd w:val="0"/>
        <w:spacing w:after="0"/>
        <w:rPr>
          <w:rFonts w:ascii="Georgia" w:hAnsi="Georgia" w:cs="Georgia"/>
          <w:sz w:val="20"/>
          <w:szCs w:val="20"/>
          <w:lang w:val="lt-LT"/>
        </w:rPr>
      </w:pPr>
    </w:p>
    <w:p w14:paraId="41A2AC54" w14:textId="77777777" w:rsidR="00651031" w:rsidRDefault="00651031" w:rsidP="00FB328C">
      <w:pPr>
        <w:autoSpaceDE w:val="0"/>
        <w:autoSpaceDN w:val="0"/>
        <w:adjustRightInd w:val="0"/>
        <w:spacing w:after="0"/>
        <w:jc w:val="both"/>
        <w:rPr>
          <w:rFonts w:asciiTheme="majorHAnsi" w:eastAsiaTheme="majorEastAsia" w:hAnsiTheme="majorHAnsi" w:cstheme="majorBidi"/>
          <w:b/>
          <w:bCs/>
          <w:color w:val="4F81BD" w:themeColor="accent1"/>
          <w:sz w:val="26"/>
          <w:szCs w:val="26"/>
          <w:lang w:val="lt-LT"/>
        </w:rPr>
      </w:pPr>
      <w:r>
        <w:rPr>
          <w:rFonts w:ascii="Georgia" w:hAnsi="Georgia" w:cs="Georgia"/>
          <w:sz w:val="20"/>
          <w:szCs w:val="20"/>
          <w:lang w:val="lt-LT"/>
        </w:rPr>
        <w:t xml:space="preserve">Kai tas pats subjektas įgyvendina fondų fondo ir finansinės priemonės paramą, nei tinkamų finansuoti valdymo išlaidų ir mokesčių pagal 1 ir 2 dalis sumos, nei 3 dalyje nustatytos ribos nesudedamos tiems patiems programos įnašams arba reinvestuotoms toms pačioms lėšoms, kurios priskiriamos programos įnašams. </w:t>
      </w:r>
    </w:p>
    <w:p w14:paraId="18B9DAAD" w14:textId="77777777" w:rsidR="00651031" w:rsidRDefault="00651031">
      <w:pPr>
        <w:rPr>
          <w:rFonts w:asciiTheme="majorHAnsi" w:eastAsiaTheme="majorEastAsia" w:hAnsiTheme="majorHAnsi" w:cstheme="majorBidi"/>
          <w:b/>
          <w:bCs/>
          <w:color w:val="4F81BD" w:themeColor="accent1"/>
          <w:sz w:val="26"/>
          <w:szCs w:val="26"/>
          <w:lang w:val="lt-LT"/>
        </w:rPr>
      </w:pPr>
      <w:r>
        <w:rPr>
          <w:lang w:val="lt-LT"/>
        </w:rPr>
        <w:br w:type="page"/>
      </w:r>
    </w:p>
    <w:p w14:paraId="2D06CF41" w14:textId="77777777" w:rsidR="00FD5FAE" w:rsidRPr="00DF3A8E" w:rsidRDefault="00FD5FAE" w:rsidP="00467B8E">
      <w:pPr>
        <w:pStyle w:val="Antrat2"/>
        <w:rPr>
          <w:lang w:val="lt-LT"/>
        </w:rPr>
      </w:pPr>
      <w:bookmarkStart w:id="448" w:name="_Toc417378476"/>
      <w:r w:rsidRPr="00DF3A8E">
        <w:rPr>
          <w:lang w:val="lt-LT"/>
        </w:rPr>
        <w:lastRenderedPageBreak/>
        <w:t xml:space="preserve">Priedas Nr. </w:t>
      </w:r>
      <w:r>
        <w:rPr>
          <w:lang w:val="lt-LT"/>
        </w:rPr>
        <w:t>3</w:t>
      </w:r>
      <w:r w:rsidRPr="00DF3A8E">
        <w:rPr>
          <w:lang w:val="lt-LT"/>
        </w:rPr>
        <w:t>. Lietuvos apžvalga</w:t>
      </w:r>
      <w:bookmarkEnd w:id="448"/>
    </w:p>
    <w:tbl>
      <w:tblPr>
        <w:tblStyle w:val="3vidutinistinklelis2parykinimas"/>
        <w:tblW w:w="5000" w:type="pct"/>
        <w:tblLook w:val="04A0" w:firstRow="1" w:lastRow="0" w:firstColumn="1" w:lastColumn="0" w:noHBand="0" w:noVBand="1"/>
      </w:tblPr>
      <w:tblGrid>
        <w:gridCol w:w="603"/>
        <w:gridCol w:w="2197"/>
        <w:gridCol w:w="6443"/>
      </w:tblGrid>
      <w:tr w:rsidR="00FD5FAE" w:rsidRPr="002C025E" w14:paraId="4DA2EB55" w14:textId="77777777" w:rsidTr="00467B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 w:type="pct"/>
          </w:tcPr>
          <w:p w14:paraId="7949B120" w14:textId="77777777" w:rsidR="00FD5FAE" w:rsidRPr="00AC3318" w:rsidRDefault="00FD5FAE" w:rsidP="00467B8E">
            <w:pPr>
              <w:spacing w:after="160" w:line="259" w:lineRule="auto"/>
              <w:jc w:val="center"/>
              <w:rPr>
                <w:rFonts w:ascii="Georgia" w:hAnsi="Georgia"/>
                <w:b w:val="0"/>
                <w:sz w:val="20"/>
                <w:szCs w:val="20"/>
                <w:lang w:val="lt-LT"/>
              </w:rPr>
            </w:pPr>
          </w:p>
        </w:tc>
        <w:tc>
          <w:tcPr>
            <w:tcW w:w="1188" w:type="pct"/>
          </w:tcPr>
          <w:p w14:paraId="1B1D0187" w14:textId="77777777" w:rsidR="00FD5FAE" w:rsidRPr="00467B8E" w:rsidRDefault="00467B8E" w:rsidP="00467B8E">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lang w:val="lt-LT"/>
              </w:rPr>
            </w:pPr>
            <w:r>
              <w:rPr>
                <w:rFonts w:ascii="Georgia" w:hAnsi="Georgia"/>
                <w:sz w:val="20"/>
                <w:szCs w:val="20"/>
                <w:lang w:val="lt-LT"/>
              </w:rPr>
              <w:t>Nagrinėjamas aspektas</w:t>
            </w:r>
          </w:p>
        </w:tc>
        <w:tc>
          <w:tcPr>
            <w:tcW w:w="3485" w:type="pct"/>
          </w:tcPr>
          <w:p w14:paraId="42D056E8" w14:textId="77777777" w:rsidR="00FD5FAE" w:rsidRPr="00AC3318" w:rsidRDefault="00467B8E" w:rsidP="00467B8E">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lang w:val="lt-LT"/>
              </w:rPr>
            </w:pPr>
            <w:r>
              <w:rPr>
                <w:rFonts w:ascii="Georgia" w:hAnsi="Georgia"/>
                <w:sz w:val="20"/>
                <w:szCs w:val="20"/>
                <w:lang w:val="lt-LT"/>
              </w:rPr>
              <w:t>Apžvalga</w:t>
            </w:r>
          </w:p>
        </w:tc>
      </w:tr>
      <w:tr w:rsidR="00467B8E" w:rsidRPr="002C025E" w14:paraId="45C544EA" w14:textId="77777777" w:rsidTr="00765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14:paraId="7E2AE8AD" w14:textId="77777777" w:rsidR="00467B8E" w:rsidRPr="00AC3318" w:rsidRDefault="00467B8E" w:rsidP="00467B8E">
            <w:pPr>
              <w:spacing w:after="160" w:line="259" w:lineRule="auto"/>
              <w:jc w:val="center"/>
              <w:rPr>
                <w:rFonts w:ascii="Georgia" w:hAnsi="Georgia"/>
                <w:b w:val="0"/>
                <w:sz w:val="20"/>
                <w:szCs w:val="20"/>
                <w:lang w:val="lt-LT"/>
              </w:rPr>
            </w:pPr>
            <w:r w:rsidRPr="00AC3318">
              <w:rPr>
                <w:rFonts w:ascii="Georgia" w:hAnsi="Georgia"/>
                <w:sz w:val="20"/>
                <w:szCs w:val="20"/>
                <w:lang w:val="lt-LT"/>
              </w:rPr>
              <w:t>1.</w:t>
            </w:r>
          </w:p>
        </w:tc>
        <w:tc>
          <w:tcPr>
            <w:tcW w:w="1188" w:type="pct"/>
          </w:tcPr>
          <w:p w14:paraId="4F2D3C05" w14:textId="77777777" w:rsidR="00467B8E" w:rsidRPr="00AC3318" w:rsidRDefault="00467B8E" w:rsidP="00467B8E">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467B8E">
              <w:rPr>
                <w:rFonts w:ascii="Georgia" w:hAnsi="Georgia"/>
                <w:b/>
                <w:sz w:val="20"/>
                <w:szCs w:val="20"/>
                <w:lang w:val="lt-LT"/>
              </w:rPr>
              <w:t>Valstybės/regiono, kur numatoma įgyvendinti finansines priemones, ekonominis ir politinis kontekstas</w:t>
            </w:r>
          </w:p>
        </w:tc>
        <w:tc>
          <w:tcPr>
            <w:tcW w:w="3485" w:type="pct"/>
          </w:tcPr>
          <w:p w14:paraId="1564595F" w14:textId="77777777" w:rsidR="00467B8E" w:rsidRDefault="00467B8E" w:rsidP="00467B8E">
            <w:pPr>
              <w:jc w:val="center"/>
              <w:cnfStyle w:val="000000100000" w:firstRow="0" w:lastRow="0" w:firstColumn="0" w:lastColumn="0" w:oddVBand="0" w:evenVBand="0" w:oddHBand="1" w:evenHBand="0" w:firstRowFirstColumn="0" w:firstRowLastColumn="0" w:lastRowFirstColumn="0" w:lastRowLastColumn="0"/>
              <w:rPr>
                <w:rFonts w:ascii="Georgia" w:hAnsi="Georgia"/>
                <w:sz w:val="20"/>
                <w:szCs w:val="20"/>
                <w:lang w:val="lt-LT"/>
              </w:rPr>
            </w:pPr>
          </w:p>
        </w:tc>
      </w:tr>
      <w:tr w:rsidR="00467B8E" w:rsidRPr="002C025E" w14:paraId="76152B17" w14:textId="77777777" w:rsidTr="00765A39">
        <w:tc>
          <w:tcPr>
            <w:cnfStyle w:val="001000000000" w:firstRow="0" w:lastRow="0" w:firstColumn="1" w:lastColumn="0" w:oddVBand="0" w:evenVBand="0" w:oddHBand="0" w:evenHBand="0" w:firstRowFirstColumn="0" w:firstRowLastColumn="0" w:lastRowFirstColumn="0" w:lastRowLastColumn="0"/>
            <w:tcW w:w="326" w:type="pct"/>
          </w:tcPr>
          <w:p w14:paraId="3BF18FB6" w14:textId="77777777" w:rsidR="00467B8E" w:rsidRPr="00AC3318" w:rsidRDefault="00467B8E" w:rsidP="00765A39">
            <w:pPr>
              <w:rPr>
                <w:rFonts w:ascii="Georgia" w:hAnsi="Georgia"/>
                <w:b w:val="0"/>
                <w:sz w:val="20"/>
                <w:szCs w:val="20"/>
                <w:lang w:val="lt-LT"/>
              </w:rPr>
            </w:pPr>
            <w:r w:rsidRPr="00AC3318">
              <w:rPr>
                <w:rFonts w:ascii="Georgia" w:hAnsi="Georgia"/>
                <w:sz w:val="20"/>
                <w:szCs w:val="20"/>
                <w:lang w:val="lt-LT"/>
              </w:rPr>
              <w:t>1.1.</w:t>
            </w:r>
          </w:p>
        </w:tc>
        <w:tc>
          <w:tcPr>
            <w:tcW w:w="1188" w:type="pct"/>
          </w:tcPr>
          <w:p w14:paraId="3D2316A1" w14:textId="77777777" w:rsidR="00467B8E" w:rsidRPr="00AC3318" w:rsidRDefault="00467B8E" w:rsidP="00765A39">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Pagrindiniai ekonominiai ir socialiniai rodikliai</w:t>
            </w:r>
            <w:r w:rsidRPr="00AC3318">
              <w:rPr>
                <w:rFonts w:ascii="Georgia" w:hAnsi="Georgia"/>
                <w:sz w:val="20"/>
                <w:szCs w:val="20"/>
                <w:lang w:val="lt-LT"/>
              </w:rPr>
              <w:t>:</w:t>
            </w:r>
          </w:p>
        </w:tc>
        <w:tc>
          <w:tcPr>
            <w:tcW w:w="3485" w:type="pct"/>
          </w:tcPr>
          <w:p w14:paraId="0627EC58"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BVP</w:t>
            </w:r>
            <w:r w:rsidRPr="00AC3318">
              <w:rPr>
                <w:rFonts w:ascii="Georgia" w:hAnsi="Georgia" w:cs="Arial"/>
                <w:sz w:val="20"/>
                <w:szCs w:val="20"/>
                <w:lang w:val="lt-LT"/>
              </w:rPr>
              <w:t xml:space="preserve"> – 119.305 mln. litų (2013 m. kainomis), 3,4 proc. augimas;</w:t>
            </w:r>
          </w:p>
          <w:p w14:paraId="44A294E1"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Vidutinė metinė infliacija</w:t>
            </w:r>
            <w:r w:rsidRPr="00AC3318">
              <w:rPr>
                <w:rFonts w:ascii="Georgia" w:hAnsi="Georgia" w:cs="Arial"/>
                <w:sz w:val="20"/>
                <w:szCs w:val="20"/>
                <w:lang w:val="lt-LT"/>
              </w:rPr>
              <w:t xml:space="preserve"> – 1,2 procento, 2 procentiniais punktais mažesnė nei 2012 m.;</w:t>
            </w:r>
          </w:p>
          <w:p w14:paraId="2C365C53"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Prekių eksportas</w:t>
            </w:r>
            <w:r w:rsidRPr="00AC3318">
              <w:rPr>
                <w:rFonts w:ascii="Georgia" w:hAnsi="Georgia" w:cs="Arial"/>
                <w:sz w:val="20"/>
                <w:szCs w:val="20"/>
                <w:lang w:val="lt-LT"/>
              </w:rPr>
              <w:t xml:space="preserve"> – 84,8 mlrd. litų, 6,5 proc. augimas;</w:t>
            </w:r>
          </w:p>
          <w:p w14:paraId="3C8094CC"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 xml:space="preserve">Prekių importas </w:t>
            </w:r>
            <w:r w:rsidRPr="00AC3318">
              <w:rPr>
                <w:rFonts w:ascii="Georgia" w:hAnsi="Georgia" w:cs="Arial"/>
                <w:sz w:val="20"/>
                <w:szCs w:val="20"/>
                <w:lang w:val="lt-LT"/>
              </w:rPr>
              <w:t>– 91,7 mlrd. litų, 6,8 proc. augimas;</w:t>
            </w:r>
          </w:p>
          <w:p w14:paraId="2BD93C3D"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Svarbiausi prekybos partneriai</w:t>
            </w:r>
            <w:r w:rsidRPr="00AC3318">
              <w:rPr>
                <w:rFonts w:ascii="Georgia" w:hAnsi="Georgia" w:cs="Arial"/>
                <w:sz w:val="20"/>
                <w:szCs w:val="20"/>
                <w:lang w:val="lt-LT"/>
              </w:rPr>
              <w:t>: 2013 m. buvo Rusija, Vokietija, Lenkija, Latvija, Estija, Nyderlandai, Baltarusija ir Jungtinė Karalystė;</w:t>
            </w:r>
          </w:p>
          <w:p w14:paraId="47E8B9BD"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Statybų darbų apimtis</w:t>
            </w:r>
            <w:r w:rsidRPr="00AC3318">
              <w:rPr>
                <w:rFonts w:ascii="Georgia" w:hAnsi="Georgia" w:cs="Arial"/>
                <w:sz w:val="20"/>
                <w:szCs w:val="20"/>
                <w:lang w:val="lt-LT"/>
              </w:rPr>
              <w:t xml:space="preserve"> – 7,2 mlrd. litų, 10,2 procento daugiau nei 2012 m.;</w:t>
            </w:r>
          </w:p>
          <w:p w14:paraId="462A6FBC"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 xml:space="preserve">Visų transporto rūšių krovinių apyvarta </w:t>
            </w:r>
            <w:r w:rsidRPr="00AC3318">
              <w:rPr>
                <w:rFonts w:ascii="Georgia" w:hAnsi="Georgia" w:cs="Arial"/>
                <w:sz w:val="20"/>
                <w:szCs w:val="20"/>
                <w:lang w:val="lt-LT"/>
              </w:rPr>
              <w:t>2013 m., palyginti su 2012 m., išaugo 4,6 proc. Krovinių vežimas padidėjo 2,5 proc.;</w:t>
            </w:r>
          </w:p>
          <w:p w14:paraId="650D6499"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Ikimokestinis įmonių pelnas</w:t>
            </w:r>
            <w:r w:rsidRPr="00AC3318">
              <w:rPr>
                <w:rFonts w:ascii="Georgia" w:hAnsi="Georgia" w:cs="Arial"/>
                <w:sz w:val="20"/>
                <w:szCs w:val="20"/>
                <w:lang w:val="lt-LT"/>
              </w:rPr>
              <w:t xml:space="preserve"> – 2013 m. sausio-rugsėjo mėn. įmonės uždirbo 7,8 mlrd. litų ikimokestinio pelno – 4 proc. daugiau negu per atitinkamą 2012 m. laikotarpį;</w:t>
            </w:r>
          </w:p>
          <w:p w14:paraId="4DD93199"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Vidutinis įmonių pelningumas</w:t>
            </w:r>
            <w:r w:rsidRPr="00AC3318">
              <w:rPr>
                <w:rFonts w:ascii="Georgia" w:hAnsi="Georgia" w:cs="Arial"/>
                <w:sz w:val="20"/>
                <w:szCs w:val="20"/>
                <w:lang w:val="lt-LT"/>
              </w:rPr>
              <w:t xml:space="preserve"> – vidutinis įmonių pelningumas siekė 4,1 proc. ir, lyginant su 2012 m. atitinkamu laikotarpiu, išliko nepakitęs;</w:t>
            </w:r>
          </w:p>
          <w:p w14:paraId="2050A9A1"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Vidutinis mėnesinis bruto (iki mokesčių) darbo užmokestis</w:t>
            </w:r>
            <w:r w:rsidRPr="00AC3318">
              <w:rPr>
                <w:rFonts w:ascii="Georgia" w:hAnsi="Georgia" w:cs="Arial"/>
                <w:sz w:val="20"/>
                <w:szCs w:val="20"/>
                <w:lang w:val="lt-LT"/>
              </w:rPr>
              <w:t xml:space="preserve"> – 2.230 litų, palyginti su 2012 m., padidėjo 5 proc.; </w:t>
            </w:r>
          </w:p>
          <w:p w14:paraId="5188404E"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Realusis darbo užmokestis (neto darbo užmokestis atsižvelgus į vartotojų kainų pokyčius)</w:t>
            </w:r>
            <w:r w:rsidRPr="00AC3318">
              <w:rPr>
                <w:rFonts w:ascii="Georgia" w:hAnsi="Georgia" w:cs="Arial"/>
                <w:sz w:val="20"/>
                <w:szCs w:val="20"/>
                <w:lang w:val="lt-LT"/>
              </w:rPr>
              <w:t xml:space="preserve"> 2013 m. padidėjo 3,7 proc.;</w:t>
            </w:r>
          </w:p>
          <w:p w14:paraId="7317E0BA"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lang w:val="lt-LT"/>
              </w:rPr>
            </w:pPr>
            <w:r w:rsidRPr="00AC3318">
              <w:rPr>
                <w:rFonts w:ascii="Georgia" w:hAnsi="Georgia" w:cs="Arial"/>
                <w:i/>
                <w:sz w:val="20"/>
                <w:szCs w:val="20"/>
                <w:lang w:val="lt-LT"/>
              </w:rPr>
              <w:t>Nedarbo lygis</w:t>
            </w:r>
            <w:r w:rsidRPr="00AC3318">
              <w:rPr>
                <w:rFonts w:ascii="Georgia" w:hAnsi="Georgia" w:cs="Arial"/>
                <w:sz w:val="20"/>
                <w:szCs w:val="20"/>
                <w:lang w:val="lt-LT"/>
              </w:rPr>
              <w:t xml:space="preserve"> – 11,8 proc., 1,6 procentinio punkto mažesnis nei 2012 m.</w:t>
            </w:r>
          </w:p>
        </w:tc>
      </w:tr>
      <w:tr w:rsidR="00467B8E" w:rsidRPr="002C025E" w14:paraId="6D6BD79A" w14:textId="77777777" w:rsidTr="00765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14:paraId="2523045F" w14:textId="77777777" w:rsidR="00467B8E" w:rsidRPr="00AC3318" w:rsidRDefault="00467B8E" w:rsidP="00765A39">
            <w:pPr>
              <w:rPr>
                <w:rFonts w:ascii="Georgia" w:hAnsi="Georgia"/>
                <w:b w:val="0"/>
                <w:sz w:val="20"/>
                <w:szCs w:val="20"/>
                <w:lang w:val="lt-LT"/>
              </w:rPr>
            </w:pPr>
            <w:r w:rsidRPr="00AC3318">
              <w:rPr>
                <w:rFonts w:ascii="Georgia" w:hAnsi="Georgia"/>
                <w:sz w:val="20"/>
                <w:szCs w:val="20"/>
                <w:lang w:val="lt-LT"/>
              </w:rPr>
              <w:t>1.2.</w:t>
            </w:r>
          </w:p>
        </w:tc>
        <w:tc>
          <w:tcPr>
            <w:tcW w:w="1188" w:type="pct"/>
          </w:tcPr>
          <w:p w14:paraId="4B6B8375" w14:textId="77777777" w:rsidR="00467B8E" w:rsidRPr="00AC3318" w:rsidRDefault="00467B8E" w:rsidP="00765A39">
            <w:pPr>
              <w:cnfStyle w:val="000000100000" w:firstRow="0" w:lastRow="0" w:firstColumn="0" w:lastColumn="0" w:oddVBand="0" w:evenVBand="0" w:oddHBand="1" w:evenHBand="0" w:firstRowFirstColumn="0" w:firstRowLastColumn="0" w:lastRowFirstColumn="0" w:lastRowLastColumn="0"/>
              <w:rPr>
                <w:rFonts w:ascii="Georgia" w:hAnsi="Georgia"/>
                <w:b/>
                <w:color w:val="F79646" w:themeColor="accent6"/>
                <w:sz w:val="20"/>
                <w:szCs w:val="20"/>
                <w:lang w:val="lt-LT"/>
              </w:rPr>
            </w:pPr>
            <w:r w:rsidRPr="00AC3318">
              <w:rPr>
                <w:rFonts w:ascii="Georgia" w:hAnsi="Georgia"/>
                <w:b/>
                <w:sz w:val="20"/>
                <w:szCs w:val="20"/>
                <w:lang w:val="lt-LT"/>
              </w:rPr>
              <w:t>Makroekonominės tendencijos:</w:t>
            </w:r>
          </w:p>
        </w:tc>
        <w:tc>
          <w:tcPr>
            <w:tcW w:w="3485" w:type="pct"/>
          </w:tcPr>
          <w:p w14:paraId="769EFC43"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Svarbiausiais veiksniais išlieka laipsniškas euro zonos atsigavimas, mažų palūkanų normų aplinka, didėjančios realiosios gyventojų pajamos ir perkamoji galia vidaus rinkoje, aktyvėjančios investicijos.</w:t>
            </w:r>
          </w:p>
          <w:p w14:paraId="4C409199"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Lietuvos BVP toliau didėja – atsigauna nekilnojamojo turto rinka, ekonomiką pozityviai veikia būsimas euro įvedimas. Ateinančiais metais turėtų didėti vidaus vartojimas, kuris tampa pagrindiniu Lietuvos ekonomikos varikliu.</w:t>
            </w:r>
          </w:p>
          <w:p w14:paraId="641E6CC7"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Esminis rizikos faktorius – tolimesnė Ukrainos vidaus konflikto eiga, kuri labiausiai įtakoja Lietuvos eksportuotojų situaciją, pvz., vežėjų asociacijos Linava duomenimis, Rytų kryptimi juda apie 70 proc. visų kelių transportu gabenamų Lietuvos bendrovių krovinių. Įmonės, kurių eksporto struktūroje ženklią dalį užėmė Rusijos Federacijos rinka, turės persiorientuoti į alternatyvias rinkas. Kitas svarbus veiksnys – kvalifikuotos darbo jėgos trūkumas, kuris gali neigiamai įtakoti verslo plėtrą.</w:t>
            </w:r>
          </w:p>
          <w:p w14:paraId="7E3FF218"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Vidutiniu ir ilguoju laikotarpiu Lietuvos ekonomikai teks susidurti su rimtais išmėginimais, kuriuos nulems procikliška fiskalinė politika, visuomenės senėjimas ir su tuo susijusi socialinio draudimo sistemos našta, darbo rinkos nelankstumas ir struktūrinio nedarbo reiškinys, turtingiausių ir skurdžiausių visuomenės narių gerovės atotrūkis, didelės energijos sąnaudos BVP vienetui pagaminti ir pan.</w:t>
            </w:r>
          </w:p>
          <w:p w14:paraId="763780D2"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Pagrindinių makroekonominių rodiklių prognozės remiantis SEB 2014 m. birželio mėn. Lietuvos makroekonomikos apžvalga Nr. 56:</w:t>
            </w:r>
          </w:p>
          <w:p w14:paraId="4A55ED1A"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BVP augimas</w:t>
            </w:r>
            <w:r w:rsidRPr="00AC3318">
              <w:rPr>
                <w:rFonts w:ascii="Georgia" w:hAnsi="Georgia" w:cs="Arial"/>
                <w:sz w:val="20"/>
                <w:szCs w:val="20"/>
                <w:lang w:val="lt-LT"/>
              </w:rPr>
              <w:t>: 2014 m. – 2,7 proc., 2015 m. – 3,8 proc.;</w:t>
            </w:r>
          </w:p>
          <w:p w14:paraId="5D75DF2D"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Fiskalinis deficitas</w:t>
            </w:r>
            <w:r w:rsidRPr="00AC3318">
              <w:rPr>
                <w:rFonts w:ascii="Georgia" w:hAnsi="Georgia" w:cs="Arial"/>
                <w:sz w:val="20"/>
                <w:szCs w:val="20"/>
                <w:lang w:val="lt-LT"/>
              </w:rPr>
              <w:t>: 2014 m. – 2,0 proc. BVP, 2015 m. – 1,5 proc. BVP;</w:t>
            </w:r>
          </w:p>
          <w:p w14:paraId="0DFFAE4C"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lastRenderedPageBreak/>
              <w:t>Vidutinė metinė infliacija</w:t>
            </w:r>
            <w:r w:rsidRPr="00AC3318">
              <w:rPr>
                <w:rFonts w:ascii="Georgia" w:hAnsi="Georgia" w:cs="Arial"/>
                <w:sz w:val="20"/>
                <w:szCs w:val="20"/>
                <w:lang w:val="lt-LT"/>
              </w:rPr>
              <w:t>: 2014 m. – 0,1 proc., 2015 m. – 0,7 proc.;</w:t>
            </w:r>
          </w:p>
          <w:p w14:paraId="24CE5122"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Einamosios sąskaitos deficitas</w:t>
            </w:r>
            <w:r w:rsidRPr="00AC3318">
              <w:rPr>
                <w:rFonts w:ascii="Georgia" w:hAnsi="Georgia" w:cs="Arial"/>
                <w:sz w:val="20"/>
                <w:szCs w:val="20"/>
                <w:lang w:val="lt-LT"/>
              </w:rPr>
              <w:t>: 2014 m. – 2 proc. BVP, 2015 m. – 4 proc. BVP;</w:t>
            </w:r>
          </w:p>
          <w:p w14:paraId="1A0B4FAF"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Vidutinis metinis nedarbo lygis</w:t>
            </w:r>
            <w:r w:rsidRPr="00AC3318">
              <w:rPr>
                <w:rFonts w:ascii="Georgia" w:hAnsi="Georgia" w:cs="Arial"/>
                <w:sz w:val="20"/>
                <w:szCs w:val="20"/>
                <w:lang w:val="lt-LT"/>
              </w:rPr>
              <w:t>: 2014 m. – 11,5 proc., 2015 m. – 10,5 proc.;</w:t>
            </w:r>
          </w:p>
          <w:p w14:paraId="3EFCA73E"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Vidutinio darbo užmokesčio augimas</w:t>
            </w:r>
            <w:r w:rsidRPr="00AC3318">
              <w:rPr>
                <w:rFonts w:ascii="Georgia" w:hAnsi="Georgia" w:cs="Arial"/>
                <w:sz w:val="20"/>
                <w:szCs w:val="20"/>
                <w:lang w:val="lt-LT"/>
              </w:rPr>
              <w:t>: 2014 m. – 4,5 proc., 2015 m. – 6,5 proc.;</w:t>
            </w:r>
          </w:p>
          <w:p w14:paraId="7DA8D7FA"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Paskolų portfelio augimas</w:t>
            </w:r>
            <w:r w:rsidRPr="00AC3318">
              <w:rPr>
                <w:rFonts w:ascii="Georgia" w:hAnsi="Georgia" w:cs="Arial"/>
                <w:sz w:val="20"/>
                <w:szCs w:val="20"/>
                <w:lang w:val="lt-LT"/>
              </w:rPr>
              <w:t>: 2014 m. – 2,5 proc., 2015 m. – 3 proc.;</w:t>
            </w:r>
          </w:p>
          <w:p w14:paraId="51728595"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Indėlių apimties didėjimas</w:t>
            </w:r>
            <w:r w:rsidRPr="00AC3318">
              <w:rPr>
                <w:rFonts w:ascii="Georgia" w:hAnsi="Georgia" w:cs="Arial"/>
                <w:sz w:val="20"/>
                <w:szCs w:val="20"/>
                <w:lang w:val="lt-LT"/>
              </w:rPr>
              <w:t>: 2014 m. – 8 proc., 2015 m. – 8 proc.;</w:t>
            </w:r>
          </w:p>
          <w:p w14:paraId="317B9765"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Paskolų litais palūkanų norma</w:t>
            </w:r>
            <w:r w:rsidRPr="00AC3318">
              <w:rPr>
                <w:rFonts w:ascii="Georgia" w:hAnsi="Georgia" w:cs="Arial"/>
                <w:sz w:val="20"/>
                <w:szCs w:val="20"/>
                <w:lang w:val="lt-LT"/>
              </w:rPr>
              <w:t>: 2014 m. – 5,5 proc., 2015 m.</w:t>
            </w:r>
            <w:r w:rsidRPr="00AC3318">
              <w:rPr>
                <w:rStyle w:val="Puslapioinaosnuoroda"/>
                <w:rFonts w:ascii="Georgia" w:hAnsi="Georgia" w:cs="Arial"/>
                <w:sz w:val="20"/>
                <w:szCs w:val="20"/>
                <w:lang w:val="lt-LT"/>
              </w:rPr>
              <w:footnoteReference w:id="171"/>
            </w:r>
            <w:r w:rsidRPr="00AC3318">
              <w:rPr>
                <w:rFonts w:ascii="Georgia" w:hAnsi="Georgia" w:cs="Arial"/>
                <w:sz w:val="20"/>
                <w:szCs w:val="20"/>
                <w:lang w:val="lt-LT"/>
              </w:rPr>
              <w:t xml:space="preserve"> – 4 proc.</w:t>
            </w:r>
          </w:p>
        </w:tc>
      </w:tr>
      <w:tr w:rsidR="00467B8E" w:rsidRPr="002C025E" w14:paraId="3AC1C364" w14:textId="77777777" w:rsidTr="00765A39">
        <w:tc>
          <w:tcPr>
            <w:cnfStyle w:val="001000000000" w:firstRow="0" w:lastRow="0" w:firstColumn="1" w:lastColumn="0" w:oddVBand="0" w:evenVBand="0" w:oddHBand="0" w:evenHBand="0" w:firstRowFirstColumn="0" w:firstRowLastColumn="0" w:lastRowFirstColumn="0" w:lastRowLastColumn="0"/>
            <w:tcW w:w="326" w:type="pct"/>
          </w:tcPr>
          <w:p w14:paraId="5D3B2DF3" w14:textId="77777777" w:rsidR="00467B8E" w:rsidRPr="00AC3318" w:rsidRDefault="00467B8E" w:rsidP="00765A39">
            <w:pPr>
              <w:rPr>
                <w:rFonts w:ascii="Georgia" w:hAnsi="Georgia"/>
                <w:b w:val="0"/>
                <w:sz w:val="20"/>
                <w:szCs w:val="20"/>
                <w:lang w:val="lt-LT"/>
              </w:rPr>
            </w:pPr>
            <w:r w:rsidRPr="00AC3318">
              <w:rPr>
                <w:rFonts w:ascii="Georgia" w:hAnsi="Georgia"/>
                <w:sz w:val="20"/>
                <w:szCs w:val="20"/>
                <w:lang w:val="lt-LT"/>
              </w:rPr>
              <w:lastRenderedPageBreak/>
              <w:t>1.3</w:t>
            </w:r>
          </w:p>
        </w:tc>
        <w:tc>
          <w:tcPr>
            <w:tcW w:w="1188" w:type="pct"/>
          </w:tcPr>
          <w:p w14:paraId="425E989F" w14:textId="77777777" w:rsidR="00467B8E" w:rsidRPr="00AC3318" w:rsidRDefault="00467B8E" w:rsidP="00765A39">
            <w:pPr>
              <w:cnfStyle w:val="000000000000" w:firstRow="0" w:lastRow="0" w:firstColumn="0" w:lastColumn="0" w:oddVBand="0" w:evenVBand="0" w:oddHBand="0" w:evenHBand="0" w:firstRowFirstColumn="0" w:firstRowLastColumn="0" w:lastRowFirstColumn="0" w:lastRowLastColumn="0"/>
              <w:rPr>
                <w:rFonts w:ascii="Georgia" w:hAnsi="Georgia"/>
                <w:b/>
                <w:color w:val="F79646" w:themeColor="accent6"/>
                <w:sz w:val="20"/>
                <w:szCs w:val="20"/>
                <w:lang w:val="lt-LT"/>
              </w:rPr>
            </w:pPr>
            <w:r w:rsidRPr="00AC3318">
              <w:rPr>
                <w:rFonts w:ascii="Georgia" w:hAnsi="Georgia"/>
                <w:b/>
                <w:sz w:val="20"/>
                <w:szCs w:val="20"/>
                <w:lang w:val="lt-LT"/>
              </w:rPr>
              <w:t>Finansų institucijų sektoriaus apžvalga</w:t>
            </w:r>
          </w:p>
        </w:tc>
        <w:tc>
          <w:tcPr>
            <w:tcW w:w="3485" w:type="pct"/>
          </w:tcPr>
          <w:p w14:paraId="4211E154"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Per metus nuo 2013 m. balandžio mėn. bankų turtas nesikeitė ir 2014 m. balandžio 1 d. sudarė 77,9 mlrd. Lt. Paskolų portfelis grynąja verte sumenko beveik 1.630,6 mln. Lt arba 3,1 proc. ir 2014 m. balandžio 1 d. sudarė 50,4 mlrd. Lt. Būsto paskolų portfelis grynąja verte augo ketvirtą ketvirtį iš eilės, nors plėtros tempas ir buvo itin kuklus – 1,1 proc. per metus. Šiuo metu stebimą būsto rinkos atsigavimą lemia sukauptos nuosavos gyventojų lėšos, o ne bankų paskolos.</w:t>
            </w:r>
          </w:p>
          <w:p w14:paraId="42FE3DFD"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Didėja paskolų paklausa, o bankai švelnina skolinimosi sąlygas (įmonėms paskolos suteiktos ilgesniais terminais, padidintos paskolų ar kredito linijų sumos, dalis bankų sumažino vidutines paskolų palūkanų maržas). Kita vertus, paskolų portfelis privačioms įmonėms grynąja verte per metus sumenko 5,8 proc.</w:t>
            </w:r>
          </w:p>
          <w:p w14:paraId="2E9CF105"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Bankai tikisi, kad paskolų ir indėlių portfeliai šiais metais augs panašiu tempu – vidutiniškai apie 3 proc. 2015 m. turėtų išsilaikyti artimos šiems metams tendencijos, tačiau paskolų portfelis didės šiek tiek lėčiau.</w:t>
            </w:r>
          </w:p>
          <w:p w14:paraId="55D72C0D"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2014 m. pradžioje gerėjo paskolų kokybės rodikliai: specialiųjų atidėjinių ir paskolų portfelio santykis per ketvirtį smuktelėjo 0,1 proc. punkto iki 4,1 proc., nuvertėjusių paskolų lyginamasis svoris bendrame paskolų portfelyje – 0,2 proc. punkto iki 8,2 proc., tuo tarpu neveiksnių paskolų rodiklis – 0,5 proc. punkto iki 10,5 proc.</w:t>
            </w:r>
          </w:p>
        </w:tc>
      </w:tr>
      <w:tr w:rsidR="00467B8E" w:rsidRPr="002C025E" w14:paraId="705C59C5" w14:textId="77777777" w:rsidTr="00765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14:paraId="3671B6E9" w14:textId="77777777" w:rsidR="00467B8E" w:rsidRPr="00AC3318" w:rsidRDefault="00467B8E" w:rsidP="00765A39">
            <w:pPr>
              <w:rPr>
                <w:rFonts w:ascii="Georgia" w:hAnsi="Georgia"/>
                <w:b w:val="0"/>
                <w:sz w:val="20"/>
                <w:szCs w:val="20"/>
                <w:lang w:val="lt-LT"/>
              </w:rPr>
            </w:pPr>
            <w:r w:rsidRPr="00AC3318">
              <w:rPr>
                <w:rFonts w:ascii="Georgia" w:hAnsi="Georgia"/>
                <w:sz w:val="20"/>
                <w:szCs w:val="20"/>
                <w:lang w:val="lt-LT"/>
              </w:rPr>
              <w:t>2.</w:t>
            </w:r>
          </w:p>
        </w:tc>
        <w:tc>
          <w:tcPr>
            <w:tcW w:w="1188" w:type="pct"/>
          </w:tcPr>
          <w:p w14:paraId="4382CB7B" w14:textId="77777777" w:rsidR="00467B8E" w:rsidRPr="00AC3318" w:rsidRDefault="00467B8E" w:rsidP="00765A39">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Finans</w:t>
            </w:r>
            <w:r>
              <w:rPr>
                <w:rFonts w:ascii="Georgia" w:hAnsi="Georgia"/>
                <w:b/>
                <w:sz w:val="20"/>
                <w:szCs w:val="20"/>
                <w:lang w:val="lt-LT"/>
              </w:rPr>
              <w:t>inės</w:t>
            </w:r>
            <w:r w:rsidRPr="00AC3318">
              <w:rPr>
                <w:rFonts w:ascii="Georgia" w:hAnsi="Georgia"/>
                <w:b/>
                <w:sz w:val="20"/>
                <w:szCs w:val="20"/>
                <w:lang w:val="lt-LT"/>
              </w:rPr>
              <w:t xml:space="preserve"> </w:t>
            </w:r>
            <w:r>
              <w:rPr>
                <w:rFonts w:ascii="Georgia" w:hAnsi="Georgia"/>
                <w:b/>
                <w:sz w:val="20"/>
                <w:szCs w:val="20"/>
                <w:lang w:val="lt-LT"/>
              </w:rPr>
              <w:t>priemonės</w:t>
            </w:r>
            <w:r w:rsidRPr="00AC3318">
              <w:rPr>
                <w:rFonts w:ascii="Georgia" w:hAnsi="Georgia"/>
                <w:b/>
                <w:sz w:val="20"/>
                <w:szCs w:val="20"/>
                <w:lang w:val="lt-LT"/>
              </w:rPr>
              <w:t xml:space="preserve"> tikslai</w:t>
            </w:r>
          </w:p>
        </w:tc>
        <w:tc>
          <w:tcPr>
            <w:tcW w:w="3485" w:type="pct"/>
          </w:tcPr>
          <w:p w14:paraId="0BC5086D" w14:textId="77777777" w:rsidR="00467B8E" w:rsidRPr="00AC3318" w:rsidRDefault="00467B8E" w:rsidP="00FD5FAE">
            <w:pPr>
              <w:pStyle w:val="Sraopastraipa"/>
              <w:numPr>
                <w:ilvl w:val="0"/>
                <w:numId w:val="10"/>
              </w:numPr>
              <w:tabs>
                <w:tab w:val="left" w:pos="746"/>
                <w:tab w:val="left" w:pos="2306"/>
              </w:tabs>
              <w:spacing w:before="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skatinti daugiabučių namų, pastatytų pagal galiojusius iki 1993 metų statybos techninius normatyvus, savininkus atnaujinti (modernizuoti) daugiabučius namus, kad didėtų energinis jų naudingumas, ir sudaryti sąlygas tai atlikti;</w:t>
            </w:r>
          </w:p>
          <w:p w14:paraId="20E0EFCD" w14:textId="77777777" w:rsidR="00467B8E" w:rsidRPr="00AC3318" w:rsidRDefault="00467B8E" w:rsidP="00FD5FAE">
            <w:pPr>
              <w:pStyle w:val="Sraopastraipa"/>
              <w:numPr>
                <w:ilvl w:val="0"/>
                <w:numId w:val="10"/>
              </w:numPr>
              <w:tabs>
                <w:tab w:val="left" w:pos="746"/>
                <w:tab w:val="left" w:pos="2306"/>
              </w:tabs>
              <w:spacing w:before="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modernizuoti bendrabučius, pastatytus pagal iki 1993 metų galiojusius statybos techninius normatyvus, pagerinti studentų bei mokinių gyvenimo sąlygas, taupyti energiją.</w:t>
            </w:r>
          </w:p>
        </w:tc>
      </w:tr>
      <w:tr w:rsidR="00467B8E" w:rsidRPr="002C025E" w14:paraId="1D17979D" w14:textId="77777777" w:rsidTr="00765A39">
        <w:tc>
          <w:tcPr>
            <w:cnfStyle w:val="001000000000" w:firstRow="0" w:lastRow="0" w:firstColumn="1" w:lastColumn="0" w:oddVBand="0" w:evenVBand="0" w:oddHBand="0" w:evenHBand="0" w:firstRowFirstColumn="0" w:firstRowLastColumn="0" w:lastRowFirstColumn="0" w:lastRowLastColumn="0"/>
            <w:tcW w:w="326" w:type="pct"/>
          </w:tcPr>
          <w:p w14:paraId="21ECD3A7" w14:textId="77777777" w:rsidR="00467B8E" w:rsidRPr="00AC3318" w:rsidRDefault="00467B8E" w:rsidP="00765A39">
            <w:pPr>
              <w:rPr>
                <w:rFonts w:ascii="Georgia" w:hAnsi="Georgia"/>
                <w:b w:val="0"/>
                <w:sz w:val="20"/>
                <w:szCs w:val="20"/>
                <w:lang w:val="lt-LT"/>
              </w:rPr>
            </w:pPr>
            <w:r w:rsidRPr="00AC3318">
              <w:rPr>
                <w:rFonts w:ascii="Georgia" w:hAnsi="Georgia"/>
                <w:sz w:val="20"/>
                <w:szCs w:val="20"/>
                <w:lang w:val="lt-LT"/>
              </w:rPr>
              <w:t>3.</w:t>
            </w:r>
          </w:p>
        </w:tc>
        <w:tc>
          <w:tcPr>
            <w:tcW w:w="1188" w:type="pct"/>
          </w:tcPr>
          <w:p w14:paraId="15807587" w14:textId="77777777" w:rsidR="00467B8E" w:rsidRPr="00AC3318" w:rsidRDefault="00467B8E" w:rsidP="00765A39">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Tikslinė rinka</w:t>
            </w:r>
          </w:p>
        </w:tc>
        <w:tc>
          <w:tcPr>
            <w:tcW w:w="3485" w:type="pct"/>
          </w:tcPr>
          <w:p w14:paraId="7C2976EF" w14:textId="77777777" w:rsidR="00467B8E" w:rsidRPr="00AC3318" w:rsidRDefault="00467B8E" w:rsidP="00FD5FAE">
            <w:pPr>
              <w:pStyle w:val="Sraopastraipa"/>
              <w:numPr>
                <w:ilvl w:val="0"/>
                <w:numId w:val="11"/>
              </w:numPr>
              <w:spacing w:before="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pastatyti arba gavę statybos leidimus iki 1993 m. daugiabučiai namai Lietuvoje</w:t>
            </w:r>
            <w:r w:rsidRPr="00AC3318">
              <w:rPr>
                <w:rFonts w:ascii="Georgia" w:hAnsi="Georgia" w:cs="Arial"/>
                <w:sz w:val="20"/>
                <w:szCs w:val="20"/>
                <w:lang w:val="lt-LT"/>
              </w:rPr>
              <w:t xml:space="preserve"> (daugiau kaip 34 tūkst.). Iki 2015 m. (nuo 2005 m.) planuojama įgyvendinti 1.500 daugiabučių namų atnaujinimo (modernizavimo) projektų, aukštųjų mokyklų). Ketvirto kvietimo metu pradėti finansuoti daugiabučių namų atnaujinimo projektai gyvenamųjų rajonų (kvartalų) arba miestų lygiu – </w:t>
            </w:r>
            <w:r w:rsidRPr="00AC3318">
              <w:rPr>
                <w:rFonts w:ascii="Georgia" w:hAnsi="Georgia" w:cs="Arial"/>
                <w:i/>
                <w:sz w:val="20"/>
                <w:szCs w:val="20"/>
                <w:lang w:val="lt-LT"/>
              </w:rPr>
              <w:t>savivaldybės</w:t>
            </w:r>
            <w:r w:rsidRPr="00AC3318">
              <w:rPr>
                <w:rFonts w:ascii="Georgia" w:hAnsi="Georgia" w:cs="Arial"/>
                <w:sz w:val="20"/>
                <w:szCs w:val="20"/>
                <w:lang w:val="lt-LT"/>
              </w:rPr>
              <w:t xml:space="preserve"> pagal nustatytus kriterijus sudaro daugiabučių namų, kurie turėtų būti atnaujinti, sąrašus. Lietuvos savivaldybės yra pagrindinis administracinis-teritorinis vienetas Lietuvoje.</w:t>
            </w:r>
            <w:r w:rsidRPr="00AC3318">
              <w:rPr>
                <w:rFonts w:ascii="Georgia" w:hAnsi="Georgia"/>
                <w:sz w:val="20"/>
                <w:szCs w:val="20"/>
                <w:lang w:val="lt-LT"/>
              </w:rPr>
              <w:t xml:space="preserve"> </w:t>
            </w:r>
            <w:r w:rsidRPr="00AC3318">
              <w:rPr>
                <w:rFonts w:ascii="Georgia" w:hAnsi="Georgia" w:cs="Arial"/>
                <w:sz w:val="20"/>
                <w:szCs w:val="20"/>
                <w:lang w:val="lt-LT"/>
              </w:rPr>
              <w:t>Šiuo metu yra 60 savivaldybių;</w:t>
            </w:r>
          </w:p>
          <w:p w14:paraId="5DC4A62F" w14:textId="77777777" w:rsidR="00467B8E" w:rsidRPr="00AC3318" w:rsidRDefault="00467B8E" w:rsidP="00FD5FAE">
            <w:pPr>
              <w:pStyle w:val="Sraopastraipa"/>
              <w:numPr>
                <w:ilvl w:val="0"/>
                <w:numId w:val="11"/>
              </w:numPr>
              <w:spacing w:before="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 xml:space="preserve">profesinio mokymo įstaigų </w:t>
            </w:r>
            <w:r w:rsidRPr="00AC3318">
              <w:rPr>
                <w:rFonts w:ascii="Georgia" w:hAnsi="Georgia" w:cs="Arial"/>
                <w:sz w:val="20"/>
                <w:szCs w:val="20"/>
                <w:lang w:val="lt-LT"/>
              </w:rPr>
              <w:t xml:space="preserve">bendrabučiai (2012-2015 m. planuota atnaujinti 35 bendrabučius) ir </w:t>
            </w:r>
            <w:r w:rsidRPr="00AC3318">
              <w:rPr>
                <w:rFonts w:ascii="Georgia" w:hAnsi="Georgia" w:cs="Arial"/>
                <w:i/>
                <w:sz w:val="20"/>
                <w:szCs w:val="20"/>
                <w:lang w:val="lt-LT"/>
              </w:rPr>
              <w:t>energetinių paslaugų bendrovės</w:t>
            </w:r>
            <w:r w:rsidRPr="00AC3318">
              <w:rPr>
                <w:rFonts w:ascii="Georgia" w:hAnsi="Georgia" w:cs="Arial"/>
                <w:sz w:val="20"/>
                <w:szCs w:val="20"/>
                <w:lang w:val="lt-LT"/>
              </w:rPr>
              <w:t xml:space="preserve"> (toliau – ESCO).</w:t>
            </w:r>
          </w:p>
          <w:p w14:paraId="5C28408C" w14:textId="77777777" w:rsidR="00467B8E" w:rsidRPr="00AC3318" w:rsidRDefault="00467B8E" w:rsidP="00765A39">
            <w:pPr>
              <w:pStyle w:val="Sraopastraipa"/>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lastRenderedPageBreak/>
              <w:t>Lietuvoje aktyviai veikia maždaug 3-5 ESCO įmonės. Iki šiol visi projektai buvo įgyvendinami šilumos gamybos sektoriuje ir daugiausiai susiję su katilų modernizavimu, juos pritaikant biokuro ir kitų vietinių išteklių naudojimui.</w:t>
            </w:r>
          </w:p>
          <w:p w14:paraId="0F413525" w14:textId="77777777" w:rsidR="00467B8E" w:rsidRPr="00AC3318" w:rsidRDefault="00467B8E" w:rsidP="00765A39">
            <w:pPr>
              <w:pStyle w:val="Sraopastraipa"/>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Pagrindiniai ESCO rinkos Lietuvoje barjerai yra šie:</w:t>
            </w:r>
          </w:p>
          <w:p w14:paraId="53A090B3" w14:textId="77777777" w:rsidR="00467B8E" w:rsidRPr="00AC3318" w:rsidRDefault="00467B8E" w:rsidP="00765A39">
            <w:pPr>
              <w:pStyle w:val="Sraopastraipa"/>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Lietuvos teisinė bazė nėra palanki ESCO. Apskaitos ir atsiskaitymo už paslaugas sistema yra nelanksti, institucijoms taikomi apribojimai dėl biudžetinių lėšų naudojimo, šilumos tiekėjams taikomi apribojimai dėl veiklų. ESCO modelį sudėtinga taikyti ir dėl viešųjų pirkimų taisyklių ir procedūrų sudėtingumo. </w:t>
            </w:r>
          </w:p>
          <w:p w14:paraId="51DC0F13" w14:textId="77777777" w:rsidR="00467B8E" w:rsidRPr="00AC3318" w:rsidRDefault="00467B8E" w:rsidP="00765A39">
            <w:pPr>
              <w:pStyle w:val="Sraopastraipa"/>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ESCO projektai yra sąlyginai sudėtingi administruoti ir kompleksiški. Taip pat sudėtinga institucinė sistema. Centralizuotos duomenų bazės nebuvimas, viešųjų pastatų energijos apskaitos sistemos trūkumai.</w:t>
            </w:r>
          </w:p>
          <w:p w14:paraId="023B22E6" w14:textId="77777777" w:rsidR="00467B8E" w:rsidRPr="00AC3318" w:rsidRDefault="00467B8E" w:rsidP="00765A39">
            <w:pPr>
              <w:pStyle w:val="Sraopastraipa"/>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Patikimos informacijos apie rinką ir jos galimybes stoka, ypač savivaldos ir finansų institucijų tarpe. Taip pat įgūdžių ir žinių stoka potencialių ESCO įmonių tarpe.</w:t>
            </w:r>
          </w:p>
          <w:p w14:paraId="31B6809C" w14:textId="77777777" w:rsidR="00467B8E" w:rsidRPr="00AC3318" w:rsidRDefault="00467B8E" w:rsidP="00765A39">
            <w:pPr>
              <w:pStyle w:val="Sraopastraipa"/>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Finansų sektorius po ekonominės krizės tapo mažiau lankstus ir reikalauja daugiau garantijų, todėl banko paskolos nėra patrauklios ESCO projektams.</w:t>
            </w:r>
          </w:p>
          <w:p w14:paraId="4170BD36" w14:textId="77777777" w:rsidR="00467B8E" w:rsidRPr="00AC3318" w:rsidRDefault="00467B8E" w:rsidP="00765A39">
            <w:pPr>
              <w:pStyle w:val="Sraopastraipa"/>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Subsidijos daugiabučių namų atnaujinimui taip pat ženkliai prisideda prie to, jog ESCO rinka nesivysto</w:t>
            </w:r>
            <w:r w:rsidRPr="00AC3318">
              <w:rPr>
                <w:rStyle w:val="Puslapioinaosnuoroda"/>
                <w:rFonts w:ascii="Georgia" w:hAnsi="Georgia" w:cs="Arial"/>
                <w:sz w:val="20"/>
                <w:szCs w:val="20"/>
                <w:lang w:val="lt-LT"/>
              </w:rPr>
              <w:footnoteReference w:id="172"/>
            </w:r>
            <w:r w:rsidRPr="00AC3318">
              <w:rPr>
                <w:rFonts w:ascii="Georgia" w:hAnsi="Georgia" w:cs="Arial"/>
                <w:sz w:val="20"/>
                <w:szCs w:val="20"/>
                <w:lang w:val="lt-LT"/>
              </w:rPr>
              <w:t>.</w:t>
            </w:r>
          </w:p>
        </w:tc>
      </w:tr>
      <w:tr w:rsidR="00467B8E" w:rsidRPr="002C025E" w14:paraId="64FE8332" w14:textId="77777777" w:rsidTr="00765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14:paraId="2D201117" w14:textId="77777777" w:rsidR="00467B8E" w:rsidRPr="00AC3318" w:rsidRDefault="00467B8E" w:rsidP="00765A39">
            <w:pPr>
              <w:rPr>
                <w:rFonts w:ascii="Georgia" w:hAnsi="Georgia"/>
                <w:b w:val="0"/>
                <w:sz w:val="20"/>
                <w:szCs w:val="20"/>
                <w:lang w:val="lt-LT"/>
              </w:rPr>
            </w:pPr>
            <w:r w:rsidRPr="00AC3318">
              <w:rPr>
                <w:rFonts w:ascii="Georgia" w:hAnsi="Georgia"/>
                <w:sz w:val="20"/>
                <w:szCs w:val="20"/>
                <w:lang w:val="lt-LT"/>
              </w:rPr>
              <w:lastRenderedPageBreak/>
              <w:t>4.</w:t>
            </w:r>
          </w:p>
        </w:tc>
        <w:tc>
          <w:tcPr>
            <w:tcW w:w="1188" w:type="pct"/>
          </w:tcPr>
          <w:p w14:paraId="423C7BE4" w14:textId="77777777" w:rsidR="00467B8E" w:rsidRPr="00AC3318" w:rsidRDefault="00467B8E" w:rsidP="00765A39">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Finansinio produkto aprašymas</w:t>
            </w:r>
          </w:p>
        </w:tc>
        <w:tc>
          <w:tcPr>
            <w:tcW w:w="3485" w:type="pct"/>
          </w:tcPr>
          <w:p w14:paraId="2569C02F"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2009 m. birželio 11 d. įsteigtas Kontroliuojantysis fondas. Finansinį susitarimą dėl fondo steigimo pasirašė LR finansų ministerija, LR aplinkos ministerija ir Europos investicijų bankas. 2</w:t>
            </w:r>
            <w:r>
              <w:rPr>
                <w:rFonts w:ascii="Georgia" w:hAnsi="Georgia" w:cs="Arial"/>
                <w:sz w:val="20"/>
                <w:szCs w:val="20"/>
                <w:lang w:val="lt-LT"/>
              </w:rPr>
              <w:t>009 m. fonde buvo 227 mln. eurų</w:t>
            </w:r>
            <w:r w:rsidRPr="00AC3318">
              <w:rPr>
                <w:rFonts w:ascii="Georgia" w:hAnsi="Georgia" w:cs="Arial"/>
                <w:sz w:val="20"/>
                <w:szCs w:val="20"/>
                <w:lang w:val="lt-LT"/>
              </w:rPr>
              <w:t>.</w:t>
            </w:r>
          </w:p>
        </w:tc>
      </w:tr>
      <w:tr w:rsidR="00467B8E" w:rsidRPr="002C025E" w14:paraId="641883B0" w14:textId="77777777" w:rsidTr="00765A39">
        <w:tc>
          <w:tcPr>
            <w:cnfStyle w:val="001000000000" w:firstRow="0" w:lastRow="0" w:firstColumn="1" w:lastColumn="0" w:oddVBand="0" w:evenVBand="0" w:oddHBand="0" w:evenHBand="0" w:firstRowFirstColumn="0" w:firstRowLastColumn="0" w:lastRowFirstColumn="0" w:lastRowLastColumn="0"/>
            <w:tcW w:w="326" w:type="pct"/>
          </w:tcPr>
          <w:p w14:paraId="12FBF0E1" w14:textId="77777777" w:rsidR="00467B8E" w:rsidRPr="00AC3318" w:rsidRDefault="00467B8E" w:rsidP="00765A39">
            <w:pPr>
              <w:rPr>
                <w:rFonts w:ascii="Georgia" w:hAnsi="Georgia"/>
                <w:b w:val="0"/>
                <w:sz w:val="20"/>
                <w:szCs w:val="20"/>
                <w:lang w:val="lt-LT"/>
              </w:rPr>
            </w:pPr>
            <w:r w:rsidRPr="00AC3318">
              <w:rPr>
                <w:rFonts w:ascii="Georgia" w:hAnsi="Georgia"/>
                <w:sz w:val="20"/>
                <w:szCs w:val="20"/>
                <w:lang w:val="lt-LT"/>
              </w:rPr>
              <w:t>4.1.</w:t>
            </w:r>
          </w:p>
        </w:tc>
        <w:tc>
          <w:tcPr>
            <w:tcW w:w="1188" w:type="pct"/>
          </w:tcPr>
          <w:p w14:paraId="6654A7CD" w14:textId="77777777" w:rsidR="00467B8E" w:rsidRPr="00AC3318" w:rsidRDefault="00467B8E" w:rsidP="00765A39">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Finansinio produkto tipas</w:t>
            </w:r>
          </w:p>
        </w:tc>
        <w:tc>
          <w:tcPr>
            <w:tcW w:w="3485" w:type="pct"/>
          </w:tcPr>
          <w:p w14:paraId="58B648ED"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Lengvatinės paskolos teikiamos kartu su kita valstybės parama.</w:t>
            </w:r>
          </w:p>
        </w:tc>
      </w:tr>
      <w:tr w:rsidR="00467B8E" w:rsidRPr="007A7740" w14:paraId="31A48900" w14:textId="77777777" w:rsidTr="00467B8E">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326" w:type="pct"/>
            <w:vMerge w:val="restart"/>
          </w:tcPr>
          <w:p w14:paraId="1B80DDBE" w14:textId="77777777" w:rsidR="00467B8E" w:rsidRPr="00AC3318" w:rsidRDefault="00467B8E" w:rsidP="00765A39">
            <w:pPr>
              <w:rPr>
                <w:rFonts w:ascii="Georgia" w:hAnsi="Georgia"/>
                <w:b w:val="0"/>
                <w:sz w:val="20"/>
                <w:szCs w:val="20"/>
                <w:lang w:val="lt-LT"/>
              </w:rPr>
            </w:pPr>
            <w:r w:rsidRPr="00AC3318">
              <w:rPr>
                <w:rFonts w:ascii="Georgia" w:hAnsi="Georgia"/>
                <w:sz w:val="20"/>
                <w:szCs w:val="20"/>
                <w:lang w:val="lt-LT"/>
              </w:rPr>
              <w:t>4.2.</w:t>
            </w:r>
          </w:p>
        </w:tc>
        <w:tc>
          <w:tcPr>
            <w:tcW w:w="1188" w:type="pct"/>
            <w:vMerge w:val="restart"/>
          </w:tcPr>
          <w:p w14:paraId="39C77D98" w14:textId="77777777" w:rsidR="00467B8E" w:rsidRPr="00AC3318" w:rsidRDefault="00467B8E" w:rsidP="00765A39">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Finansinio produkto sąlygos</w:t>
            </w:r>
          </w:p>
        </w:tc>
        <w:tc>
          <w:tcPr>
            <w:tcW w:w="3485" w:type="pct"/>
          </w:tcPr>
          <w:p w14:paraId="3529F335"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2008-2013 m. laikotarpiu įvyko keturi kvietimai finansinių tarpininkų atrankai:</w:t>
            </w:r>
          </w:p>
          <w:p w14:paraId="2563FA91" w14:textId="77777777" w:rsidR="00467B8E" w:rsidRPr="003550D5"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Pirmas kvietimas</w:t>
            </w:r>
            <w:r w:rsidRPr="00AC3318">
              <w:rPr>
                <w:rFonts w:ascii="Georgia" w:hAnsi="Georgia" w:cs="Arial"/>
                <w:sz w:val="20"/>
                <w:szCs w:val="20"/>
                <w:lang w:val="lt-LT"/>
              </w:rPr>
              <w:t xml:space="preserve"> finansinių tarpininkų atrankai – 2009 m. lapkričio 13 d., finansuojama sritis – daugiabučių namų atnaujinimas, numatyta 54 mln. eurų JESSICA kontroliuojančiojo fondo lėšų, pasirašyta sutarčių su </w:t>
            </w:r>
            <w:r w:rsidRPr="003550D5">
              <w:rPr>
                <w:rFonts w:ascii="Georgia" w:hAnsi="Georgia" w:cs="Arial"/>
                <w:sz w:val="20"/>
                <w:szCs w:val="20"/>
                <w:lang w:val="lt-LT"/>
              </w:rPr>
              <w:t>finansiniais tarpininkais – už 42 mln. eurų;</w:t>
            </w:r>
          </w:p>
          <w:p w14:paraId="07905D01"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3550D5">
              <w:rPr>
                <w:rFonts w:ascii="Georgia" w:hAnsi="Georgia" w:cs="Arial"/>
                <w:sz w:val="20"/>
                <w:szCs w:val="20"/>
                <w:lang w:val="lt-LT"/>
              </w:rPr>
              <w:t xml:space="preserve">Atrinkti finansiniai tarpininkai: AB Šiaulių bankas (susitarimo vertė – 18 mln. eurų, išmokėta lėšų – 12 mln. eurų), Swedbank AB (susitarimo vertė – 18 mln. eurų, išmokėta lėšų – 12 mln. eurų), AB SEB bankas (susitarimo vertė – 6 mln. eurų, išmokėta lėšų – 6 </w:t>
            </w:r>
            <w:r w:rsidRPr="00AC3318">
              <w:rPr>
                <w:rFonts w:ascii="Georgia" w:hAnsi="Georgia" w:cs="Arial"/>
                <w:sz w:val="20"/>
                <w:szCs w:val="20"/>
                <w:lang w:val="lt-LT"/>
              </w:rPr>
              <w:t>mln. eurų).</w:t>
            </w:r>
          </w:p>
          <w:p w14:paraId="484C980D"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Produkto sąlygos:</w:t>
            </w:r>
          </w:p>
          <w:p w14:paraId="3D71F667"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Paskola iki 20 metų laikotarpiui eurais su 3 proc. fiksuota kredito metine palūkanų norma, nereikalaujant užstato. Finansiniai tarpininkai gali reikalauti iki 5 proc. projekto vertės pradinio įnašo. Įmokos – kas mėnesį. Refinansavimas nėra draudžiamas. Paskola susiejama su konkrečiu butu, o ne savininku. Išankstiniam paskolos apmokėjimui netaikomi jokie apribojimai ir mokesčiai.</w:t>
            </w:r>
          </w:p>
          <w:p w14:paraId="5806926D"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Greta lengvatinės paskolos teikiama ir kita valstybės parama:</w:t>
            </w:r>
          </w:p>
          <w:p w14:paraId="0F2C449B"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subsidija projekto parengiamiesiems darbams ir administravimui – iki 100 proc.;</w:t>
            </w:r>
          </w:p>
          <w:p w14:paraId="30509C17"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 subsidija įgyvendintoms energetinio efektyvumo priemonėms: daugiabučio namo skaičiuojamąsias šiluminės energijos sąnaudas lyginant su prieš tai buvusiomis energijos sąnaudomis, sumažinus ne mažiau kaip 20 proc., bus kompensuojama 15 proc. rangos darbų </w:t>
            </w:r>
            <w:r w:rsidRPr="00AC3318">
              <w:rPr>
                <w:rFonts w:ascii="Georgia" w:hAnsi="Georgia" w:cs="Arial"/>
                <w:sz w:val="20"/>
                <w:szCs w:val="20"/>
                <w:lang w:val="lt-LT"/>
              </w:rPr>
              <w:lastRenderedPageBreak/>
              <w:t>kainos. 40 proc. rangos darbų kainos kompensuojama, jei šiluminės energijos sąnaudos sumažintos ne mažiau 40 proc. Zarasų, Visagino ir Ignalinos rajonuose subsidija gali siekti iki 55 proc.;</w:t>
            </w:r>
          </w:p>
          <w:p w14:paraId="1F80F786"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socialiai remtiniems gyventojams, kurie gauna kompensacijas už šildymą – iki 100 proc.</w:t>
            </w:r>
          </w:p>
        </w:tc>
      </w:tr>
      <w:tr w:rsidR="00467B8E" w:rsidRPr="007A7740" w14:paraId="1024E927" w14:textId="77777777" w:rsidTr="00765A39">
        <w:tc>
          <w:tcPr>
            <w:cnfStyle w:val="001000000000" w:firstRow="0" w:lastRow="0" w:firstColumn="1" w:lastColumn="0" w:oddVBand="0" w:evenVBand="0" w:oddHBand="0" w:evenHBand="0" w:firstRowFirstColumn="0" w:firstRowLastColumn="0" w:lastRowFirstColumn="0" w:lastRowLastColumn="0"/>
            <w:tcW w:w="326" w:type="pct"/>
            <w:vMerge/>
          </w:tcPr>
          <w:p w14:paraId="10289D1E" w14:textId="77777777" w:rsidR="00467B8E" w:rsidRPr="00AC3318" w:rsidRDefault="00467B8E" w:rsidP="00765A39">
            <w:pPr>
              <w:rPr>
                <w:rFonts w:ascii="Georgia" w:hAnsi="Georgia"/>
                <w:b w:val="0"/>
                <w:sz w:val="20"/>
                <w:szCs w:val="20"/>
                <w:lang w:val="lt-LT"/>
              </w:rPr>
            </w:pPr>
          </w:p>
        </w:tc>
        <w:tc>
          <w:tcPr>
            <w:tcW w:w="1188" w:type="pct"/>
            <w:vMerge/>
          </w:tcPr>
          <w:p w14:paraId="012052C2" w14:textId="77777777" w:rsidR="00467B8E" w:rsidRPr="00AC3318" w:rsidRDefault="00467B8E" w:rsidP="00765A39">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p>
        </w:tc>
        <w:tc>
          <w:tcPr>
            <w:tcW w:w="3485" w:type="pct"/>
          </w:tcPr>
          <w:p w14:paraId="50137B32" w14:textId="77777777" w:rsidR="00467B8E" w:rsidRPr="003550D5"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Antras kvietimas</w:t>
            </w:r>
            <w:r w:rsidRPr="00AC3318">
              <w:rPr>
                <w:rFonts w:ascii="Georgia" w:hAnsi="Georgia" w:cs="Arial"/>
                <w:sz w:val="20"/>
                <w:szCs w:val="20"/>
                <w:lang w:val="lt-LT"/>
              </w:rPr>
              <w:t xml:space="preserve"> finansinių tarpininkų atrankai – 2010 m. birželio 17 d., finansuojama sritis – daugiabučių namų projektai, pradėti pagal LR Vyriausybės 2004 m. rugsėjo 23 d. patvirtintas Daugiabučių namų atnaujinimo (modernizavimo) programos sąlygas. Numatyta 20 mln. eurų JESSICA kontroliuojančiojo fondo lėšų, pasirašyta sutarčių su finansiniais </w:t>
            </w:r>
            <w:r w:rsidRPr="003550D5">
              <w:rPr>
                <w:rFonts w:ascii="Georgia" w:hAnsi="Georgia" w:cs="Arial"/>
                <w:sz w:val="20"/>
                <w:szCs w:val="20"/>
                <w:lang w:val="lt-LT"/>
              </w:rPr>
              <w:t>tarpininkais – 15 mln. eurų;</w:t>
            </w:r>
          </w:p>
          <w:p w14:paraId="166A1924" w14:textId="77777777" w:rsidR="00467B8E" w:rsidRPr="003550D5"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3550D5">
              <w:rPr>
                <w:rFonts w:ascii="Georgia" w:hAnsi="Georgia" w:cs="Arial"/>
                <w:sz w:val="20"/>
                <w:szCs w:val="20"/>
                <w:lang w:val="lt-LT"/>
              </w:rPr>
              <w:t>Atrinkti finansiniai tarpininkai: AB Šiaulių bankas (susitarimo vertė – 15 mln. eurų, išmokėta lėšų – 10 mln. eurų).</w:t>
            </w:r>
          </w:p>
          <w:p w14:paraId="7F532F33" w14:textId="77777777" w:rsidR="00467B8E" w:rsidRPr="003550D5"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3550D5">
              <w:rPr>
                <w:rFonts w:ascii="Georgia" w:hAnsi="Georgia" w:cs="Arial"/>
                <w:sz w:val="20"/>
                <w:szCs w:val="20"/>
                <w:lang w:val="lt-LT"/>
              </w:rPr>
              <w:t>Produkto sąlygos:</w:t>
            </w:r>
          </w:p>
          <w:p w14:paraId="3546AF6A"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Paskola iki 20 metų laikotarpiui eurais su kintančia palūkanų norma, lygia 1-12 mėnesių EURIBOR + 3 proc. marža. Palūkanų norma negali būti didesnė nei 9 proc. Finansiniai tarpininkai privalo reikalauti ne didesnio nei 5 proc. projekto vertės pradinio įnašo. Įmokos – kas mėnesį. Refinansavimas nėra draudžiamas. Paskola susiejama su konkrečiu butu, o ne savininku. Išankstiniam paskolos apmokėjimui netaikomi jokie apribojimai ir mokesčiai.</w:t>
            </w:r>
          </w:p>
          <w:p w14:paraId="73C440F5"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Greta lengvatinės paskolos buvo teikiama ir kita valstybės parama:</w:t>
            </w:r>
          </w:p>
          <w:p w14:paraId="4AFCF3D6"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subsidija atnaujinimo darbams – iki 50 proc.;</w:t>
            </w:r>
          </w:p>
          <w:p w14:paraId="652323E5"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lang w:val="lt-LT"/>
              </w:rPr>
            </w:pPr>
            <w:r w:rsidRPr="00AC3318">
              <w:rPr>
                <w:rFonts w:ascii="Georgia" w:hAnsi="Georgia" w:cs="Arial"/>
                <w:sz w:val="20"/>
                <w:szCs w:val="20"/>
                <w:lang w:val="lt-LT"/>
              </w:rPr>
              <w:t>- socialiai remtiniems gyventojams, kurie gauna kompensacijas už šildymą – iki 100 proc.</w:t>
            </w:r>
          </w:p>
        </w:tc>
      </w:tr>
      <w:tr w:rsidR="00467B8E" w:rsidRPr="007A7740" w14:paraId="41162FB3" w14:textId="77777777" w:rsidTr="00765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vMerge/>
          </w:tcPr>
          <w:p w14:paraId="7311324A" w14:textId="77777777" w:rsidR="00467B8E" w:rsidRPr="00AC3318" w:rsidRDefault="00467B8E" w:rsidP="00765A39">
            <w:pPr>
              <w:rPr>
                <w:rFonts w:ascii="Georgia" w:hAnsi="Georgia"/>
                <w:b w:val="0"/>
                <w:sz w:val="20"/>
                <w:szCs w:val="20"/>
                <w:lang w:val="lt-LT"/>
              </w:rPr>
            </w:pPr>
          </w:p>
        </w:tc>
        <w:tc>
          <w:tcPr>
            <w:tcW w:w="1188" w:type="pct"/>
            <w:vMerge/>
          </w:tcPr>
          <w:p w14:paraId="75C338C4" w14:textId="77777777" w:rsidR="00467B8E" w:rsidRPr="00AC3318" w:rsidRDefault="00467B8E" w:rsidP="00765A39">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p>
        </w:tc>
        <w:tc>
          <w:tcPr>
            <w:tcW w:w="3485" w:type="pct"/>
          </w:tcPr>
          <w:p w14:paraId="5D65A905" w14:textId="77777777" w:rsidR="00467B8E" w:rsidRPr="003550D5"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Trečias kvietimas</w:t>
            </w:r>
            <w:r w:rsidRPr="00AC3318">
              <w:rPr>
                <w:rFonts w:ascii="Georgia" w:hAnsi="Georgia" w:cs="Arial"/>
                <w:sz w:val="20"/>
                <w:szCs w:val="20"/>
                <w:lang w:val="lt-LT"/>
              </w:rPr>
              <w:t xml:space="preserve"> finansinių tarpininkų atrankai – 2012 m. sausio 12 d., </w:t>
            </w:r>
            <w:r w:rsidRPr="003550D5">
              <w:rPr>
                <w:rFonts w:ascii="Georgia" w:hAnsi="Georgia" w:cs="Arial"/>
                <w:sz w:val="20"/>
                <w:szCs w:val="20"/>
                <w:lang w:val="lt-LT"/>
              </w:rPr>
              <w:t>finansuojama sritis – aukštųjų mokyklų ir profesinio mokymo įstaigų bendrabučių atnaujinimas, numatyta 20 mln. eurų JESSICA kontroliuojančiojo fondo lėšų, pasirašyta sutarčių su finansiniais tarpininkais – 20 mln. eurų;</w:t>
            </w:r>
          </w:p>
          <w:p w14:paraId="2011FB5C" w14:textId="77777777" w:rsidR="00467B8E" w:rsidRPr="003550D5"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3550D5">
              <w:rPr>
                <w:rFonts w:ascii="Georgia" w:hAnsi="Georgia" w:cs="Arial"/>
                <w:sz w:val="20"/>
                <w:szCs w:val="20"/>
                <w:lang w:val="lt-LT"/>
              </w:rPr>
              <w:t>Atrinkti finansiniai tarpininkai: VIPA ir CPVA (susitarimo vertė – 20 mln. eurų).</w:t>
            </w:r>
          </w:p>
          <w:p w14:paraId="6CE4CA64"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color w:val="000000"/>
                <w:sz w:val="20"/>
                <w:szCs w:val="20"/>
                <w:lang w:val="lt-LT"/>
              </w:rPr>
              <w:t>Dėl ypatingai prastos bendrabučių būklės bendrabučių atnaujinimo projektams reikėjo kompleksiškesnių nei vien tik energijos efektyvumo priemonių diegimo sprendimų (pvz., visos nuotekų, geriamojo vandens, elektros, apšvietimo, priešgaisrinės signalizacijos sistemų keitimo). Kadangi pagal nacionalinius teisės aktus bendrabučiai priskiriami gyvenamiesiems pastatams, tai jiems taikomi 1080/2006 reglamento 7 str. apribojimai, atitinkamai ir visos bendrabučių atnaujinimo priemonės turėjo būti suskirstytos į dvi grupes – energijos efektyvumo ir kitas priemones.</w:t>
            </w:r>
          </w:p>
          <w:p w14:paraId="20355398"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Produkto sąlygos:</w:t>
            </w:r>
          </w:p>
          <w:p w14:paraId="38D4AC09"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Paskola iki 20 metų laikotarpiui eurais su 3 proc. fiksuota kredito metine palūkanų norma. Įkeitimas gali būti reikalaujamas priklausomai nuo galutinio naudos gavėjo rizikingumo vertinimo rezultatų. Finansiniai tarpininkai gali reikalauti pradinio įnašo, atsižvelgdami į konkretaus projekto rizikų vertinimo rezultatus. Išankstinis paskolos apmokėjimas nėra draudžiamas.</w:t>
            </w:r>
          </w:p>
          <w:p w14:paraId="51D8A97D"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Greta lengvatinės paskolos buvo teikiama ir kita valstybės parama:</w:t>
            </w:r>
          </w:p>
          <w:p w14:paraId="7FEB008A"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paskolos ne energijos efektyvumo priemonėms;</w:t>
            </w:r>
          </w:p>
          <w:p w14:paraId="7580B00E"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subsidijos energijos efektyvumo priemonėms – iki 15 proc.;</w:t>
            </w:r>
          </w:p>
          <w:p w14:paraId="64EF0816"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subsidijos ne energijos efektyvumo priemonėms – iki 15 proc.</w:t>
            </w:r>
          </w:p>
        </w:tc>
      </w:tr>
      <w:tr w:rsidR="00467B8E" w:rsidRPr="007A7740" w14:paraId="2E83B803" w14:textId="77777777" w:rsidTr="00765A39">
        <w:tc>
          <w:tcPr>
            <w:cnfStyle w:val="001000000000" w:firstRow="0" w:lastRow="0" w:firstColumn="1" w:lastColumn="0" w:oddVBand="0" w:evenVBand="0" w:oddHBand="0" w:evenHBand="0" w:firstRowFirstColumn="0" w:firstRowLastColumn="0" w:lastRowFirstColumn="0" w:lastRowLastColumn="0"/>
            <w:tcW w:w="326" w:type="pct"/>
            <w:vMerge/>
          </w:tcPr>
          <w:p w14:paraId="0B30BB99" w14:textId="77777777" w:rsidR="00467B8E" w:rsidRPr="00AC3318" w:rsidRDefault="00467B8E" w:rsidP="00765A39">
            <w:pPr>
              <w:rPr>
                <w:rFonts w:ascii="Georgia" w:hAnsi="Georgia"/>
                <w:b w:val="0"/>
                <w:sz w:val="20"/>
                <w:szCs w:val="20"/>
                <w:lang w:val="lt-LT"/>
              </w:rPr>
            </w:pPr>
          </w:p>
        </w:tc>
        <w:tc>
          <w:tcPr>
            <w:tcW w:w="1188" w:type="pct"/>
            <w:vMerge/>
          </w:tcPr>
          <w:p w14:paraId="6799A0B1" w14:textId="77777777" w:rsidR="00467B8E" w:rsidRPr="00AC3318" w:rsidRDefault="00467B8E" w:rsidP="00765A39">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p>
        </w:tc>
        <w:tc>
          <w:tcPr>
            <w:tcW w:w="3485" w:type="pct"/>
          </w:tcPr>
          <w:p w14:paraId="0BB6846A"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Ketvirtas kvietimas</w:t>
            </w:r>
            <w:r w:rsidRPr="00AC3318">
              <w:rPr>
                <w:rFonts w:ascii="Georgia" w:hAnsi="Georgia" w:cs="Arial"/>
                <w:sz w:val="20"/>
                <w:szCs w:val="20"/>
                <w:lang w:val="lt-LT"/>
              </w:rPr>
              <w:t xml:space="preserve"> finansinių tarpininkų atrankai – 2013 m. balandžio 30 d., finansuojama sritis – daugiabučių namų atnaujinimas. Numatyta 100 mln. eurų JESSICA kontroliuojančiojo fondo lėšų.</w:t>
            </w:r>
          </w:p>
          <w:p w14:paraId="74028F60" w14:textId="77777777" w:rsidR="00467B8E" w:rsidRPr="00B9604E"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Atrinkti finansiniai tarpininkai: AB Šiaulių bankas (</w:t>
            </w:r>
            <w:r>
              <w:rPr>
                <w:rFonts w:ascii="Georgia" w:hAnsi="Georgia" w:cs="Arial"/>
                <w:sz w:val="20"/>
                <w:szCs w:val="20"/>
                <w:lang w:val="lt-LT"/>
              </w:rPr>
              <w:t>susitarimo vertė – 40 mln. eurų</w:t>
            </w:r>
            <w:r w:rsidRPr="00AC3318">
              <w:rPr>
                <w:rFonts w:ascii="Georgia" w:hAnsi="Georgia" w:cs="Arial"/>
                <w:sz w:val="20"/>
                <w:szCs w:val="20"/>
                <w:lang w:val="lt-LT"/>
              </w:rPr>
              <w:t>), VIPA ir CPVA (</w:t>
            </w:r>
            <w:r>
              <w:rPr>
                <w:rFonts w:ascii="Georgia" w:hAnsi="Georgia" w:cs="Arial"/>
                <w:sz w:val="20"/>
                <w:szCs w:val="20"/>
                <w:lang w:val="lt-LT"/>
              </w:rPr>
              <w:t>susitarimo vertė – 10 mln. eurų</w:t>
            </w:r>
            <w:r w:rsidRPr="00AC3318">
              <w:rPr>
                <w:rFonts w:ascii="Georgia" w:hAnsi="Georgia" w:cs="Arial"/>
                <w:sz w:val="20"/>
                <w:szCs w:val="20"/>
                <w:lang w:val="lt-LT"/>
              </w:rPr>
              <w:t xml:space="preserve">), AB </w:t>
            </w:r>
            <w:r w:rsidRPr="00AC3318">
              <w:rPr>
                <w:rFonts w:ascii="Georgia" w:hAnsi="Georgia" w:cs="Arial"/>
                <w:sz w:val="20"/>
                <w:szCs w:val="20"/>
                <w:lang w:val="lt-LT"/>
              </w:rPr>
              <w:lastRenderedPageBreak/>
              <w:t xml:space="preserve">SEB bankas (susitarimo </w:t>
            </w:r>
            <w:r w:rsidRPr="00B9604E">
              <w:rPr>
                <w:rFonts w:ascii="Georgia" w:hAnsi="Georgia" w:cs="Arial"/>
                <w:sz w:val="20"/>
                <w:szCs w:val="20"/>
                <w:lang w:val="lt-LT"/>
              </w:rPr>
              <w:t>vertė – 10 mln. eurų).</w:t>
            </w:r>
          </w:p>
          <w:p w14:paraId="214350E9"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B9604E">
              <w:rPr>
                <w:rFonts w:ascii="Georgia" w:hAnsi="Georgia" w:cs="Arial"/>
                <w:sz w:val="20"/>
                <w:szCs w:val="20"/>
                <w:lang w:val="lt-LT"/>
              </w:rPr>
              <w:t xml:space="preserve">Produkto sąlygos: jos yra identiškos </w:t>
            </w:r>
            <w:r w:rsidRPr="00AC3318">
              <w:rPr>
                <w:rFonts w:ascii="Georgia" w:hAnsi="Georgia" w:cs="Arial"/>
                <w:sz w:val="20"/>
                <w:szCs w:val="20"/>
                <w:lang w:val="lt-LT"/>
              </w:rPr>
              <w:t xml:space="preserve">pirmo kvietimo sąlygoms. Esminis skirtumas – daugiabučių namų atnaujinimo projektai gyvenamųjų rajonų (kvartalų) arba miestų lygiu – savivaldybės pagal nustatytus kriterijus sudaro daugiabučių namų, kurie turėtų būti atnaujinti, sąrašus. </w:t>
            </w:r>
          </w:p>
        </w:tc>
      </w:tr>
      <w:tr w:rsidR="00467B8E" w:rsidRPr="007A7740" w14:paraId="2372EB3C" w14:textId="77777777" w:rsidTr="00765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14:paraId="0E371BDE" w14:textId="77777777" w:rsidR="00467B8E" w:rsidRPr="00AC3318" w:rsidRDefault="00467B8E" w:rsidP="00765A39">
            <w:pPr>
              <w:rPr>
                <w:rFonts w:ascii="Georgia" w:hAnsi="Georgia"/>
                <w:b w:val="0"/>
                <w:sz w:val="20"/>
                <w:szCs w:val="20"/>
                <w:lang w:val="lt-LT"/>
              </w:rPr>
            </w:pPr>
            <w:r w:rsidRPr="00AC3318">
              <w:rPr>
                <w:rFonts w:ascii="Georgia" w:hAnsi="Georgia"/>
                <w:sz w:val="20"/>
                <w:szCs w:val="20"/>
                <w:lang w:val="lt-LT"/>
              </w:rPr>
              <w:lastRenderedPageBreak/>
              <w:t>5.</w:t>
            </w:r>
          </w:p>
        </w:tc>
        <w:tc>
          <w:tcPr>
            <w:tcW w:w="1188" w:type="pct"/>
          </w:tcPr>
          <w:p w14:paraId="7334BFC7" w14:textId="77777777" w:rsidR="00467B8E" w:rsidRPr="00AC3318" w:rsidRDefault="00467B8E" w:rsidP="00765A39">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Tinkami galutiniai naudos gavėjai</w:t>
            </w:r>
          </w:p>
        </w:tc>
        <w:tc>
          <w:tcPr>
            <w:tcW w:w="3485" w:type="pct"/>
          </w:tcPr>
          <w:p w14:paraId="49AE34F8"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Pirmas kvietimas</w:t>
            </w:r>
            <w:r w:rsidRPr="00AC3318">
              <w:rPr>
                <w:rFonts w:ascii="Georgia" w:hAnsi="Georgia" w:cs="Arial"/>
                <w:sz w:val="20"/>
                <w:szCs w:val="20"/>
                <w:lang w:val="lt-LT"/>
              </w:rPr>
              <w:t>: butų ir patalpų savininkai atstovaujami daugiabučio namo bendrojo naudojimo objektų valdytojo, daugiabučio namo bendrojo naudojimo objektų valdytojai</w:t>
            </w:r>
            <w:r w:rsidRPr="00AC3318">
              <w:rPr>
                <w:rStyle w:val="Puslapioinaosnuoroda"/>
                <w:rFonts w:ascii="Georgia" w:hAnsi="Georgia" w:cs="Arial"/>
                <w:sz w:val="20"/>
                <w:szCs w:val="20"/>
                <w:lang w:val="lt-LT"/>
              </w:rPr>
              <w:footnoteReference w:id="173"/>
            </w:r>
            <w:r w:rsidRPr="00AC3318">
              <w:rPr>
                <w:rFonts w:ascii="Georgia" w:hAnsi="Georgia" w:cs="Arial"/>
                <w:sz w:val="20"/>
                <w:szCs w:val="20"/>
                <w:lang w:val="lt-LT"/>
              </w:rPr>
              <w:t>;</w:t>
            </w:r>
          </w:p>
          <w:p w14:paraId="3B32FBB7"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Antras kvietimas</w:t>
            </w:r>
            <w:r w:rsidRPr="00AC3318">
              <w:rPr>
                <w:rFonts w:ascii="Georgia" w:hAnsi="Georgia" w:cs="Arial"/>
                <w:sz w:val="20"/>
                <w:szCs w:val="20"/>
                <w:lang w:val="lt-LT"/>
              </w:rPr>
              <w:t>: daugiabučių namų savininkų bendrijos;</w:t>
            </w:r>
          </w:p>
          <w:p w14:paraId="2DEF6B5B"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Trečias kvietimas</w:t>
            </w:r>
            <w:r w:rsidRPr="00AC3318">
              <w:rPr>
                <w:rFonts w:ascii="Georgia" w:hAnsi="Georgia" w:cs="Arial"/>
                <w:sz w:val="20"/>
                <w:szCs w:val="20"/>
                <w:lang w:val="lt-LT"/>
              </w:rPr>
              <w:t>: aukštosios mokyklos ir profesinio mokymo įstaigos, energetinių paslaugų bendrovės;</w:t>
            </w:r>
          </w:p>
          <w:p w14:paraId="54F64DA9"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Ketvirtas kvietimas</w:t>
            </w:r>
            <w:r w:rsidRPr="00AC3318">
              <w:rPr>
                <w:rFonts w:ascii="Georgia" w:hAnsi="Georgia" w:cs="Arial"/>
                <w:sz w:val="20"/>
                <w:szCs w:val="20"/>
                <w:lang w:val="lt-LT"/>
              </w:rPr>
              <w:t>: butų ir patalpų savininkai atstovaujami daugiabučio namo valdytojo, daugiabučio namo bendrojo naudojimo objektų valdytojai, savivaldybių administracijos</w:t>
            </w:r>
            <w:r w:rsidRPr="00AC3318">
              <w:rPr>
                <w:rStyle w:val="Puslapioinaosnuoroda"/>
                <w:rFonts w:ascii="Georgia" w:hAnsi="Georgia" w:cs="Arial"/>
                <w:sz w:val="20"/>
                <w:szCs w:val="20"/>
                <w:lang w:val="lt-LT"/>
              </w:rPr>
              <w:footnoteReference w:id="174"/>
            </w:r>
            <w:r w:rsidRPr="00AC3318">
              <w:rPr>
                <w:rFonts w:ascii="Georgia" w:hAnsi="Georgia" w:cs="Arial"/>
                <w:sz w:val="20"/>
                <w:szCs w:val="20"/>
                <w:lang w:val="lt-LT"/>
              </w:rPr>
              <w:t>.</w:t>
            </w:r>
          </w:p>
          <w:p w14:paraId="080E30CD"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lang w:val="lt-LT"/>
              </w:rPr>
            </w:pPr>
            <w:r w:rsidRPr="00AC3318">
              <w:rPr>
                <w:rFonts w:ascii="Georgia" w:hAnsi="Georgia" w:cs="Arial"/>
                <w:sz w:val="20"/>
                <w:szCs w:val="20"/>
                <w:lang w:val="lt-LT"/>
              </w:rPr>
              <w:t>Savivaldybės sudaro daugiabučių, kurių energijos efektyvumas yra žemiausias, sąrašą. Savivaldybė parengia energinio efektyvumo didinimo atrinktuose daugiabučiuose pastatuose programą. Daugiabučių namų atnaujinimo projektų gyvenamųjų rajonų (kvartalų) arba miestų lygiu įgyvendinimui savivaldybė paskiria programos administratorių. Programos įgyvendinimo administratoriumi gali būti paskirtas daugiabučių namų bendrojo naudojimo objektų valdytojas, specialiai šiam tikslui savivaldybės įsteigta ne pelno siekianti viešoji įstaiga ar kitas, konkurso tvarka atrinktas reikiamas kompetencijas turintis administratorius.</w:t>
            </w:r>
          </w:p>
        </w:tc>
      </w:tr>
      <w:tr w:rsidR="00467B8E" w:rsidRPr="007A7740" w14:paraId="71611EF3" w14:textId="77777777" w:rsidTr="00765A39">
        <w:tc>
          <w:tcPr>
            <w:cnfStyle w:val="001000000000" w:firstRow="0" w:lastRow="0" w:firstColumn="1" w:lastColumn="0" w:oddVBand="0" w:evenVBand="0" w:oddHBand="0" w:evenHBand="0" w:firstRowFirstColumn="0" w:firstRowLastColumn="0" w:lastRowFirstColumn="0" w:lastRowLastColumn="0"/>
            <w:tcW w:w="326" w:type="pct"/>
          </w:tcPr>
          <w:p w14:paraId="0AB73092" w14:textId="77777777" w:rsidR="00467B8E" w:rsidRPr="00AC3318" w:rsidRDefault="00467B8E" w:rsidP="00765A39">
            <w:pPr>
              <w:rPr>
                <w:rFonts w:ascii="Georgia" w:hAnsi="Georgia"/>
                <w:b w:val="0"/>
                <w:sz w:val="20"/>
                <w:szCs w:val="20"/>
                <w:lang w:val="lt-LT"/>
              </w:rPr>
            </w:pPr>
            <w:r w:rsidRPr="00AC3318">
              <w:rPr>
                <w:rFonts w:ascii="Georgia" w:hAnsi="Georgia"/>
                <w:sz w:val="20"/>
                <w:szCs w:val="20"/>
                <w:lang w:val="lt-LT"/>
              </w:rPr>
              <w:t>6.</w:t>
            </w:r>
          </w:p>
        </w:tc>
        <w:tc>
          <w:tcPr>
            <w:tcW w:w="1188" w:type="pct"/>
          </w:tcPr>
          <w:p w14:paraId="30CF075D" w14:textId="77777777" w:rsidR="00467B8E" w:rsidRPr="00AC3318" w:rsidRDefault="00467B8E" w:rsidP="00765A39">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Įgyvendinančios institucijos</w:t>
            </w:r>
          </w:p>
        </w:tc>
        <w:tc>
          <w:tcPr>
            <w:tcW w:w="3485" w:type="pct"/>
          </w:tcPr>
          <w:p w14:paraId="115A48B7"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LR finansų ministerija, LR aplinkos ministerija – JESSICA kontroliuojančiojo fondo steigėjai. Tuo pačiu LR Finansų ministerija yra ES struktūrinių fondų pirmo tikslo veiksmų programų vadovaujančioji institucija, o LR aplinkos ministerija – atsakinga už daugiabučių atnaujinimo finansavimo modelio įgyvendinimą bei veikia kaip Sanglaudos skatinimo veiksmų programos tarpinė institucija;</w:t>
            </w:r>
          </w:p>
          <w:p w14:paraId="4FA4445C"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Europos investicijų bankas – kontroliuojančiojo fondo valdytojas;</w:t>
            </w:r>
          </w:p>
          <w:p w14:paraId="6BDF59E2"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Būsto ir urbanistinės plėtros agentūra (toliau – BUPA) teikia konsultacijas būsto savininkams, vertina ir derina pateiktus investicijų planus, pirkimų dokumentus, bendradarbiauja su savivaldos institucijomis, inžinerinėmis konsultacinėmis įmonėmis, mokymo įstaigomis, nevyriausybinėmis organizacijomis ir kt. Nuo 2013 m. vidurio šios funkcijos yra perduotos Būsto energijos taupymo agentūrai (toliau – BETA).</w:t>
            </w:r>
          </w:p>
          <w:p w14:paraId="7288127C"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Komerciniai bankai administruoja programos lėšas ir suteikia paskolas programoje dalyvaujantiems daugiabučių namų gyventojams.</w:t>
            </w:r>
          </w:p>
          <w:p w14:paraId="693A01BA"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Trečiame ir ketvirtame kvietimuose kaip finansinis tarpininkas dalyvauja VIPA kartu su CPVA.</w:t>
            </w:r>
          </w:p>
        </w:tc>
      </w:tr>
      <w:tr w:rsidR="00467B8E" w:rsidRPr="007A7740" w14:paraId="429A9B8C" w14:textId="77777777" w:rsidTr="00765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14:paraId="35ED3D13" w14:textId="77777777" w:rsidR="00467B8E" w:rsidRPr="00AC3318" w:rsidRDefault="00467B8E" w:rsidP="00765A39">
            <w:pPr>
              <w:rPr>
                <w:rFonts w:ascii="Georgia" w:hAnsi="Georgia"/>
                <w:b w:val="0"/>
                <w:sz w:val="20"/>
                <w:szCs w:val="20"/>
                <w:lang w:val="lt-LT"/>
              </w:rPr>
            </w:pPr>
            <w:r w:rsidRPr="00AC3318">
              <w:rPr>
                <w:rFonts w:ascii="Georgia" w:hAnsi="Georgia"/>
                <w:sz w:val="20"/>
                <w:szCs w:val="20"/>
                <w:lang w:val="lt-LT"/>
              </w:rPr>
              <w:t>7.</w:t>
            </w:r>
          </w:p>
        </w:tc>
        <w:tc>
          <w:tcPr>
            <w:tcW w:w="1188" w:type="pct"/>
          </w:tcPr>
          <w:p w14:paraId="694CD1D9" w14:textId="77777777" w:rsidR="00467B8E" w:rsidRPr="00AC3318" w:rsidRDefault="00467B8E" w:rsidP="00765A39">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 xml:space="preserve">Organizacinė </w:t>
            </w:r>
            <w:r>
              <w:rPr>
                <w:rFonts w:ascii="Georgia" w:hAnsi="Georgia"/>
                <w:b/>
                <w:sz w:val="20"/>
                <w:szCs w:val="20"/>
                <w:lang w:val="lt-LT"/>
              </w:rPr>
              <w:t>finansinės priemonės</w:t>
            </w:r>
            <w:r w:rsidRPr="00AC3318">
              <w:rPr>
                <w:rFonts w:ascii="Georgia" w:hAnsi="Georgia"/>
                <w:b/>
                <w:sz w:val="20"/>
                <w:szCs w:val="20"/>
                <w:lang w:val="lt-LT"/>
              </w:rPr>
              <w:t xml:space="preserve"> struktūra</w:t>
            </w:r>
          </w:p>
        </w:tc>
        <w:tc>
          <w:tcPr>
            <w:tcW w:w="3485" w:type="pct"/>
          </w:tcPr>
          <w:p w14:paraId="431B6AC4"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lang w:val="lt-LT"/>
              </w:rPr>
            </w:pPr>
            <w:r w:rsidRPr="00AC3318">
              <w:rPr>
                <w:rFonts w:ascii="Georgia" w:hAnsi="Georgia" w:cs="Arial"/>
                <w:sz w:val="20"/>
                <w:szCs w:val="20"/>
                <w:lang w:val="lt-LT"/>
              </w:rPr>
              <w:t>2009 m. birželio 11 d. įsteigtas JESSICA kontroliuojantysis fondas, kurio valdytoju paskirtas Europos investicijų bankas. Miestų plėtros fondų valdytojais viešo konkurso būdu atrinkti komerciniai bankai ir VIPA su CPVA.</w:t>
            </w:r>
          </w:p>
          <w:p w14:paraId="0DDBC17D"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Investicijų komitetas – komitetas stebi, kaip EIB vykdo iniciatyvos JESSICA veiklą, kaip įgyvendinami kiti finansinių priemonių projektai. Investicijų komitetas taip pat dalyvavo rengiant konkursą, atrenkant bankus, skiriančius kontroliuojančiojo fondo lėšas atnaujinimo projektams.</w:t>
            </w:r>
          </w:p>
        </w:tc>
      </w:tr>
      <w:tr w:rsidR="00467B8E" w:rsidRPr="007A7740" w14:paraId="4DF8AC24" w14:textId="77777777" w:rsidTr="00765A39">
        <w:tc>
          <w:tcPr>
            <w:cnfStyle w:val="001000000000" w:firstRow="0" w:lastRow="0" w:firstColumn="1" w:lastColumn="0" w:oddVBand="0" w:evenVBand="0" w:oddHBand="0" w:evenHBand="0" w:firstRowFirstColumn="0" w:firstRowLastColumn="0" w:lastRowFirstColumn="0" w:lastRowLastColumn="0"/>
            <w:tcW w:w="326" w:type="pct"/>
          </w:tcPr>
          <w:p w14:paraId="404E1A1C" w14:textId="77777777" w:rsidR="00467B8E" w:rsidRPr="00AC3318" w:rsidRDefault="00467B8E" w:rsidP="00765A39">
            <w:pPr>
              <w:rPr>
                <w:rFonts w:ascii="Georgia" w:hAnsi="Georgia"/>
                <w:b w:val="0"/>
                <w:sz w:val="20"/>
                <w:szCs w:val="20"/>
                <w:lang w:val="lt-LT"/>
              </w:rPr>
            </w:pPr>
            <w:r w:rsidRPr="00AC3318">
              <w:rPr>
                <w:rFonts w:ascii="Georgia" w:hAnsi="Georgia"/>
                <w:sz w:val="20"/>
                <w:szCs w:val="20"/>
                <w:lang w:val="lt-LT"/>
              </w:rPr>
              <w:lastRenderedPageBreak/>
              <w:t>8.</w:t>
            </w:r>
          </w:p>
        </w:tc>
        <w:tc>
          <w:tcPr>
            <w:tcW w:w="1188" w:type="pct"/>
          </w:tcPr>
          <w:p w14:paraId="0F4C6C42" w14:textId="77777777" w:rsidR="00467B8E" w:rsidRPr="00AC3318" w:rsidRDefault="00467B8E" w:rsidP="00765A39">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Privatiems investuotojams taikomos lengvatos/paskatos</w:t>
            </w:r>
          </w:p>
        </w:tc>
        <w:tc>
          <w:tcPr>
            <w:tcW w:w="3485" w:type="pct"/>
          </w:tcPr>
          <w:p w14:paraId="01E1C96B" w14:textId="77777777" w:rsidR="00467B8E" w:rsidRPr="00AC3318" w:rsidRDefault="00467B8E" w:rsidP="00765A39">
            <w:pPr>
              <w:cnfStyle w:val="000000000000" w:firstRow="0" w:lastRow="0" w:firstColumn="0" w:lastColumn="0" w:oddVBand="0" w:evenVBand="0" w:oddHBand="0" w:evenHBand="0" w:firstRowFirstColumn="0" w:firstRowLastColumn="0" w:lastRowFirstColumn="0" w:lastRowLastColumn="0"/>
              <w:rPr>
                <w:rFonts w:ascii="Georgia" w:hAnsi="Georgia"/>
                <w:sz w:val="20"/>
                <w:szCs w:val="20"/>
                <w:lang w:val="lt-LT"/>
              </w:rPr>
            </w:pPr>
            <w:r w:rsidRPr="00AC3318">
              <w:rPr>
                <w:rFonts w:ascii="Georgia" w:hAnsi="Georgia" w:cs="Arial"/>
                <w:sz w:val="20"/>
                <w:szCs w:val="20"/>
                <w:lang w:val="lt-LT"/>
              </w:rPr>
              <w:t>Privatiems investuotojams lengvatos nėra taikomos. Pagrindinė paskata – administravimo mokestis.</w:t>
            </w:r>
          </w:p>
        </w:tc>
      </w:tr>
      <w:tr w:rsidR="00467B8E" w:rsidRPr="007A7740" w14:paraId="48D6537D" w14:textId="77777777" w:rsidTr="00765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14:paraId="57F0C99B" w14:textId="77777777" w:rsidR="00467B8E" w:rsidRPr="005B168D" w:rsidRDefault="00467B8E" w:rsidP="00765A39">
            <w:pPr>
              <w:rPr>
                <w:rFonts w:ascii="Georgia" w:hAnsi="Georgia"/>
                <w:sz w:val="20"/>
                <w:szCs w:val="20"/>
                <w:lang w:val="lt-LT"/>
              </w:rPr>
            </w:pPr>
            <w:r>
              <w:rPr>
                <w:rFonts w:ascii="Georgia" w:hAnsi="Georgia"/>
                <w:sz w:val="20"/>
                <w:szCs w:val="20"/>
                <w:lang w:val="lt-LT"/>
              </w:rPr>
              <w:t>9</w:t>
            </w:r>
            <w:r w:rsidRPr="005B168D">
              <w:rPr>
                <w:rFonts w:ascii="Georgia" w:hAnsi="Georgia"/>
                <w:sz w:val="20"/>
                <w:szCs w:val="20"/>
                <w:lang w:val="lt-LT"/>
              </w:rPr>
              <w:t>.</w:t>
            </w:r>
          </w:p>
        </w:tc>
        <w:tc>
          <w:tcPr>
            <w:tcW w:w="1188" w:type="pct"/>
          </w:tcPr>
          <w:p w14:paraId="4B7318B3" w14:textId="77777777" w:rsidR="00467B8E" w:rsidRPr="00AC3318" w:rsidRDefault="00467B8E" w:rsidP="00765A39">
            <w:pPr>
              <w:cnfStyle w:val="000000100000" w:firstRow="0" w:lastRow="0" w:firstColumn="0" w:lastColumn="0" w:oddVBand="0" w:evenVBand="0" w:oddHBand="1" w:evenHBand="0" w:firstRowFirstColumn="0" w:firstRowLastColumn="0" w:lastRowFirstColumn="0" w:lastRowLastColumn="0"/>
              <w:rPr>
                <w:rFonts w:ascii="Georgia" w:hAnsi="Georgia"/>
                <w:b/>
                <w:color w:val="F79646" w:themeColor="accent6"/>
                <w:sz w:val="20"/>
                <w:szCs w:val="20"/>
                <w:lang w:val="lt-LT"/>
              </w:rPr>
            </w:pPr>
            <w:r>
              <w:rPr>
                <w:rFonts w:ascii="Georgia" w:hAnsi="Georgia"/>
                <w:b/>
                <w:sz w:val="20"/>
                <w:szCs w:val="20"/>
                <w:lang w:val="lt-LT"/>
              </w:rPr>
              <w:t>Finansinės priemonės</w:t>
            </w:r>
            <w:r w:rsidRPr="00AC3318">
              <w:rPr>
                <w:rFonts w:ascii="Georgia" w:hAnsi="Georgia"/>
                <w:b/>
                <w:sz w:val="20"/>
                <w:szCs w:val="20"/>
                <w:lang w:val="lt-LT"/>
              </w:rPr>
              <w:t xml:space="preserve"> indėlis į veiksmų programos tikslų pasiekimą</w:t>
            </w:r>
          </w:p>
        </w:tc>
        <w:tc>
          <w:tcPr>
            <w:tcW w:w="3485" w:type="pct"/>
          </w:tcPr>
          <w:p w14:paraId="19875941"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JESSICA kontroliuojantysis fondas finansuojamas 2007-2013 m. Sanglaudos skatinimo veiksmų programos lėšomis. Kontroliuojantysis fondas savo veikla prisideda prie pirmojo veiksmų programos tikslo „Sudaryti visas reikalingas prielaidas vietos plėtros potencialui stiprėti ir atsiskleisti“, kuris įgyvendinamas per pirmąjį prioritetą „Vietinė ir urbanistinė plėtra, kultūros paveldo ir gamtos išsaugojimas bei pritaikymas turizmo plėtrai“. Viena iš prioriteto priemonių yra „JESSICA kontroliuojantysis fondas“, kuri prisideda prie pirmojo prioriteto uždavinio – mažinti pagrindinių ir kitų šalies miestų gyvenimo aplinkos ir kokybės skirtumus, ypač daug dėmesio skirti būsto sąlygų pagerinimui – įgyvendinimo. Priemonės tikslas – pagerinti būsto sektoriaus energijos vartojimo efektyvumo didinimo projektų finansavimo sąlygas.</w:t>
            </w:r>
          </w:p>
          <w:p w14:paraId="7877DE5D"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Priemonės rezultato rodikliai: renovuotų daugiabučių namų energijos vartojimo efektyvumo padidėjimas (proc.), atnaujintų valstybinių aukštųjų mokyklų ir profesinio mokymo įstaigų bendrabučių energijos vartojimo efektyvumo padidėjimas (proc.).</w:t>
            </w:r>
          </w:p>
          <w:p w14:paraId="299A8821"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Priemonės produkto rodikliai: atnaujinti daugiabučiai namai (vnt.), atnaujinti valstybinių aukštųjų mokyklų bendrabučiai (vnt.), atnaujinti profesinio mokymo įstaigų bendrabučiai (vnt.).</w:t>
            </w:r>
          </w:p>
          <w:p w14:paraId="286514A9" w14:textId="77777777" w:rsidR="00467B8E" w:rsidRPr="00AC3318" w:rsidRDefault="00467B8E" w:rsidP="00765A39">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lang w:val="lt-LT"/>
              </w:rPr>
            </w:pPr>
            <w:r w:rsidRPr="00AC3318">
              <w:rPr>
                <w:rFonts w:ascii="Georgia" w:hAnsi="Georgia" w:cs="Arial"/>
                <w:sz w:val="20"/>
                <w:szCs w:val="20"/>
                <w:lang w:val="lt-LT"/>
              </w:rPr>
              <w:t>Kiekvienas JESSICA kontroliuojančiojo fondo finansuojamas projektas prisideda prie bent vieno rezultato ir produkto rodiklio.</w:t>
            </w:r>
          </w:p>
        </w:tc>
      </w:tr>
      <w:tr w:rsidR="00467B8E" w:rsidRPr="007A7740" w14:paraId="325C6B19" w14:textId="77777777" w:rsidTr="00765A39">
        <w:tc>
          <w:tcPr>
            <w:cnfStyle w:val="001000000000" w:firstRow="0" w:lastRow="0" w:firstColumn="1" w:lastColumn="0" w:oddVBand="0" w:evenVBand="0" w:oddHBand="0" w:evenHBand="0" w:firstRowFirstColumn="0" w:firstRowLastColumn="0" w:lastRowFirstColumn="0" w:lastRowLastColumn="0"/>
            <w:tcW w:w="326" w:type="pct"/>
          </w:tcPr>
          <w:p w14:paraId="614DAFCF" w14:textId="77777777" w:rsidR="00467B8E" w:rsidRPr="00AC3318" w:rsidRDefault="00467B8E" w:rsidP="00765A39">
            <w:pPr>
              <w:rPr>
                <w:rFonts w:ascii="Georgia" w:hAnsi="Georgia"/>
                <w:b w:val="0"/>
                <w:sz w:val="20"/>
                <w:szCs w:val="20"/>
                <w:lang w:val="lt-LT"/>
              </w:rPr>
            </w:pPr>
            <w:r w:rsidRPr="00AC3318">
              <w:rPr>
                <w:rFonts w:ascii="Georgia" w:hAnsi="Georgia"/>
                <w:sz w:val="20"/>
                <w:szCs w:val="20"/>
                <w:lang w:val="lt-LT"/>
              </w:rPr>
              <w:t>1</w:t>
            </w:r>
            <w:r>
              <w:rPr>
                <w:rFonts w:ascii="Georgia" w:hAnsi="Georgia"/>
                <w:sz w:val="20"/>
                <w:szCs w:val="20"/>
                <w:lang w:val="lt-LT"/>
              </w:rPr>
              <w:t>0</w:t>
            </w:r>
            <w:r w:rsidRPr="00AC3318">
              <w:rPr>
                <w:rFonts w:ascii="Georgia" w:hAnsi="Georgia"/>
                <w:sz w:val="20"/>
                <w:szCs w:val="20"/>
                <w:lang w:val="lt-LT"/>
              </w:rPr>
              <w:t>.</w:t>
            </w:r>
          </w:p>
        </w:tc>
        <w:tc>
          <w:tcPr>
            <w:tcW w:w="1188" w:type="pct"/>
          </w:tcPr>
          <w:p w14:paraId="7C5E8A63" w14:textId="77777777" w:rsidR="00467B8E" w:rsidRPr="00AC3318" w:rsidRDefault="00467B8E" w:rsidP="00765A39">
            <w:pPr>
              <w:spacing w:after="120" w:line="259" w:lineRule="auto"/>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Sėkmės faktoriai, pasiteisinusios idėjos/elementai</w:t>
            </w:r>
          </w:p>
          <w:p w14:paraId="51EFF146" w14:textId="77777777" w:rsidR="00467B8E" w:rsidRPr="00AC3318" w:rsidRDefault="00467B8E" w:rsidP="00765A39">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Problemos su kuriomis susidurta, didesnio rizikingumo aspektai</w:t>
            </w:r>
          </w:p>
        </w:tc>
        <w:tc>
          <w:tcPr>
            <w:tcW w:w="3485" w:type="pct"/>
          </w:tcPr>
          <w:p w14:paraId="7D07E743"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Žema statybos darbų kokybė</w:t>
            </w:r>
            <w:r w:rsidRPr="00AC3318">
              <w:rPr>
                <w:rFonts w:ascii="Georgia" w:hAnsi="Georgia" w:cs="Arial"/>
                <w:sz w:val="20"/>
                <w:szCs w:val="20"/>
                <w:lang w:val="lt-LT"/>
              </w:rPr>
              <w:t>: žemą kokybę gali lemti nepakankama statybininkų kvalifikacija, silpna techninė projekto priežiūra ir statybos proceso kontrolė, dėl ko gali būti naudojamos visiškai kitos medžiagos arba darbai atliekami nekokybiškai (įgyvendinus projektą sutrinka ventiliacija, prastai šyla radiatoriai, netinkamai sumontuoti langai ar įstiklinti balkonai ir pan.). Darbų klaidos ar brokas gali pasireikšti nebūtinai iškart po darbų priėmimo akto pasirašymo.</w:t>
            </w:r>
          </w:p>
          <w:p w14:paraId="333FF791"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Renovacijos darbų priežiūrą pagal teisės aktuose nustatytus reikalavimus vykdo Valstybinė teritorijų planavimo ir statybos inspekcija bei BETA (iki 2013 m. vidurio šią funkciją vykdė BUPA). Tačiau pasitaikydavo atvejų, kai kontrolė buvo nepakankama arba vykdoma fragmentiškai, minėtoms institucijoms trūko specialistų tinkamai aprėpti visus projektus. Taip pat aukštos kvalifikacijos statybos priežiūros specialistų samdymas butų savininkams buvo nepriimtinas dėl didelės kainos.</w:t>
            </w:r>
          </w:p>
          <w:p w14:paraId="380943D4"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2013 m. Valstybinė teritorijų planavimo ir statybos inspekcija paskelbė, jog stiprins daugiabučių namų atnaujinimo projektų kontrolę – vykdys netikėtas patikras, skirs didesnį dėmesį statybos techninių prižiūrėtojų darbo kokybei</w:t>
            </w:r>
            <w:r w:rsidRPr="00AC3318">
              <w:rPr>
                <w:rStyle w:val="Puslapioinaosnuoroda"/>
                <w:rFonts w:ascii="Georgia" w:hAnsi="Georgia" w:cs="Arial"/>
                <w:sz w:val="20"/>
                <w:szCs w:val="20"/>
                <w:lang w:val="lt-LT"/>
              </w:rPr>
              <w:footnoteReference w:id="175"/>
            </w:r>
            <w:r w:rsidRPr="00AC3318">
              <w:rPr>
                <w:rFonts w:ascii="Georgia" w:hAnsi="Georgia" w:cs="Arial"/>
                <w:sz w:val="20"/>
                <w:szCs w:val="20"/>
                <w:lang w:val="lt-LT"/>
              </w:rPr>
              <w:t>.</w:t>
            </w:r>
          </w:p>
          <w:p w14:paraId="567BE0CC"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2013 m. lapkričio 14 d. Valstybinės teritorijų planavimo ir statybos inspekcijos duomenimis patikrinus 110 iš 132 projektų daugiausiai nustatyta tik nereikšmingų, renovacijos darbų kokybei tiesioginės įtakos neturinčių teisės aktų reikalavimų pažeidimų, pavyzdžiui, netinkamai įrengtas informacinis stendas, netvarkingai aptverta statybvietė ir pan.</w:t>
            </w:r>
            <w:r w:rsidRPr="00AC3318">
              <w:rPr>
                <w:rStyle w:val="Puslapioinaosnuoroda"/>
                <w:rFonts w:ascii="Georgia" w:hAnsi="Georgia" w:cs="Arial"/>
                <w:sz w:val="20"/>
                <w:szCs w:val="20"/>
                <w:lang w:val="lt-LT"/>
              </w:rPr>
              <w:footnoteReference w:id="176"/>
            </w:r>
          </w:p>
          <w:p w14:paraId="696BE892"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Reikšmingesnių pažeidimų atveju taikomos administracinio poveikio priemonės – rangovui už statybą pažeidžiant statinio projekto sprendinius numatyta bauda nuo 200 iki 500 litų, techniniam </w:t>
            </w:r>
            <w:r w:rsidRPr="00AC3318">
              <w:rPr>
                <w:rFonts w:ascii="Georgia" w:hAnsi="Georgia" w:cs="Arial"/>
                <w:sz w:val="20"/>
                <w:szCs w:val="20"/>
                <w:lang w:val="lt-LT"/>
              </w:rPr>
              <w:lastRenderedPageBreak/>
              <w:t>prižiūrėtojui už statinio statybos techninės priežiūros tvarkos nesilaikymą – iki 5.000 litų bauda. Taip pat informacija apie statybos rangovo ir statinio statybos techninio prižiūrėtojo darbo trūkumus pateikiama Statybos produkcijos sertifikavimo centrui, kuris įvertina, ar statybos dalyviai atitinka kvalifikacinius reikalavimus.</w:t>
            </w:r>
          </w:p>
          <w:p w14:paraId="6BC6098B"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Kita vertus, tokie atvejai, nors ir nėra dažni, tačiau turi stiprų neigiamą poveikį visam renovacijos procesui, kadangi yra plačiai nušviečiami spaudoje</w:t>
            </w:r>
            <w:r w:rsidRPr="00AC3318">
              <w:rPr>
                <w:rStyle w:val="Puslapioinaosnuoroda"/>
                <w:rFonts w:ascii="Georgia" w:hAnsi="Georgia" w:cs="Arial"/>
                <w:sz w:val="20"/>
                <w:szCs w:val="20"/>
                <w:lang w:val="lt-LT"/>
              </w:rPr>
              <w:footnoteReference w:id="177"/>
            </w:r>
            <w:r w:rsidRPr="00AC3318">
              <w:rPr>
                <w:rFonts w:ascii="Georgia" w:hAnsi="Georgia" w:cs="Arial"/>
                <w:sz w:val="20"/>
                <w:szCs w:val="20"/>
                <w:lang w:val="lt-LT"/>
              </w:rPr>
              <w:t xml:space="preserve"> ir taip atbaido naujus potencialius dalyvius, griauna pasitikėjimo visu daugiabučių atnaujinimo procesu.</w:t>
            </w:r>
          </w:p>
          <w:p w14:paraId="276917E7" w14:textId="77777777" w:rsidR="00467B8E" w:rsidRPr="00AC3318" w:rsidRDefault="00467B8E" w:rsidP="00765A39">
            <w:p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stiprinti kontrolės sistemą, ypač per BETA veiklą (regioniniuose padaliniuose), skirti daugiau dėmesio tiksliniam atsakingų darbuotojų kvalifikacijos kėlimui, skatinti platesnį CPO naudojimą.</w:t>
            </w:r>
          </w:p>
          <w:p w14:paraId="05C6BCE2"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Takoskyra tarp rezultatų ir lūkesčių</w:t>
            </w:r>
            <w:r w:rsidRPr="00AC3318">
              <w:rPr>
                <w:rFonts w:ascii="Georgia" w:hAnsi="Georgia" w:cs="Arial"/>
                <w:sz w:val="20"/>
                <w:szCs w:val="20"/>
                <w:lang w:val="lt-LT"/>
              </w:rPr>
              <w:t>: įgyvendinant projektus, dažniausiai siekiama sutaupyti, todėl projektai yra skaičiuojami pagal minimalius reikalavimus, kurie yra užduoti rinkoje. Didžioji namo gyventojų dalis, kuri dažniausiai niekaip nebūna susijusi su statyba, siekdama sutaupyti, dažnai nubalsuoja už pigiausius investicinio plano sprendinius ir neįsiklauso į specialistų nuomonę. Dėl to investicinio plano rengėjai iš plano išbraukia kai kuriuos sprendinius, kurie konkrečiam namui būna reikalingi.</w:t>
            </w:r>
          </w:p>
          <w:p w14:paraId="3448D3EA"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Tuo taip pat suinteresuoti ir statybos darbų rangovai, kurie konkursuose laimi pagal mažiausios kainos kriterijų – pateikia itin mažas darbų ir medžiagų kainas ir, norėdami gauti kuo didesnį pelną, perka pačias pigiausias medžiagas, kurios dažniausiai būna prastos kokybės ir savaime užprogramuoja prastą galutinį rezultatą.</w:t>
            </w:r>
          </w:p>
          <w:p w14:paraId="68F6791E"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Klaidos gali būti padaromos ir projektavimo metu. Čia viskas priklauso nuo projektuotojų įdirbio ir patirties. Kuo labiau patyrusi projektuotojų įmonė bus parinkta, tuo mažesnė bus projektavimo klaidų tikimybė.</w:t>
            </w:r>
          </w:p>
          <w:p w14:paraId="52916E2E"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Galiausiai būtent dėl taupumo sukuriami projektai su klaidomis, samdomi nepatikimi rangovai, kartais neužbaigiantys darbų arba neužtikrinantys garantinių įsipareigojimų, perkamos prastos kokybės medžiagos bei neišlaikomos statybos ir montavimo darbų technologijos.</w:t>
            </w:r>
          </w:p>
          <w:p w14:paraId="303CC556"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Kita vertus, ir energetinio efektyvumo vertinimas, kuris gali būti atliekamas pagal skirtingas metodikas, iš tiesų gali būti labai nutolęs nuo realios situacijos po projekto įgyvendinimo.</w:t>
            </w:r>
          </w:p>
          <w:p w14:paraId="266B39ED"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Vėlgi, tokie atvejai nėra dažni, tačiau pateikiami daugiabučių atnaujinimo proceso kritikų turi stiprų neigiamą poveikį visam renovacijos procesui ir dažnai užgožia skaitlingesnius gerus pavyzdžius.</w:t>
            </w:r>
          </w:p>
          <w:p w14:paraId="7A9A1016" w14:textId="77777777" w:rsidR="00467B8E" w:rsidRPr="00AC3318" w:rsidRDefault="00467B8E" w:rsidP="00765A39">
            <w:p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Pasiūlymas</w:t>
            </w:r>
            <w:r w:rsidRPr="00AC3318">
              <w:rPr>
                <w:rFonts w:ascii="Georgia" w:hAnsi="Georgia" w:cs="Arial"/>
                <w:sz w:val="20"/>
                <w:szCs w:val="20"/>
                <w:lang w:val="lt-LT"/>
              </w:rPr>
              <w:t>: tolimesnis proceso standartizavimas visais lygiais, aktyvi viešinimo kampanija. Be to, Aplinkos ministerija svarsto keletos apsaugos priemonių, kurios galėtų užtikrinti geresnę renovacijos darbų kokybę, galimybes, pvz., konkrečios nuostatos, privalomos visų projektų statybos sutartyse, pagal kurias 10-15 proc. sutarties sumos būtų neišmokama vienerius metus ir, esant poreikiui, panaudojama siekiant ištaisyti statybos trūkumus. Taip pat svarstoma galimybė nustatyti reikalavimą drausti renovacijos darbų kokybę arba reikalavimą, jog rangovai pateiktų užstatą, kuris būtų grąžintas tuo atveju, kai pasiekiami planuoti rezultatai</w:t>
            </w:r>
            <w:r w:rsidRPr="00AC3318">
              <w:rPr>
                <w:rStyle w:val="Puslapioinaosnuoroda"/>
                <w:rFonts w:ascii="Georgia" w:hAnsi="Georgia" w:cs="Arial"/>
                <w:sz w:val="20"/>
                <w:szCs w:val="20"/>
                <w:lang w:val="lt-LT"/>
              </w:rPr>
              <w:footnoteReference w:id="178"/>
            </w:r>
            <w:r w:rsidRPr="00AC3318">
              <w:rPr>
                <w:rFonts w:ascii="Georgia" w:hAnsi="Georgia" w:cs="Arial"/>
                <w:sz w:val="20"/>
                <w:szCs w:val="20"/>
                <w:lang w:val="lt-LT"/>
              </w:rPr>
              <w:t>.</w:t>
            </w:r>
          </w:p>
          <w:p w14:paraId="036817C7"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lastRenderedPageBreak/>
              <w:t>Visuomenės pozicija daugiabučių namų atnaujinimo proceso atžvilgiu</w:t>
            </w:r>
            <w:r w:rsidRPr="00AC3318">
              <w:rPr>
                <w:rFonts w:ascii="Georgia" w:hAnsi="Georgia" w:cs="Arial"/>
                <w:sz w:val="20"/>
                <w:szCs w:val="20"/>
                <w:lang w:val="lt-LT"/>
              </w:rPr>
              <w:t>: Šiaulių banko užsakytos didžiųjų miestų ir miestelių gyventojų apklausos duomenimis tik pusė iš jų (49 proc.) pritaria renovacijai (apklausa atlikta 2014 m. gegužės mėn.)</w:t>
            </w:r>
            <w:r w:rsidRPr="00AC3318">
              <w:rPr>
                <w:rStyle w:val="Puslapioinaosnuoroda"/>
                <w:rFonts w:ascii="Georgia" w:hAnsi="Georgia" w:cs="Arial"/>
                <w:sz w:val="20"/>
                <w:szCs w:val="20"/>
                <w:lang w:val="lt-LT"/>
              </w:rPr>
              <w:footnoteReference w:id="179"/>
            </w:r>
            <w:r w:rsidRPr="00AC3318">
              <w:rPr>
                <w:rFonts w:ascii="Georgia" w:hAnsi="Georgia" w:cs="Arial"/>
                <w:sz w:val="20"/>
                <w:szCs w:val="20"/>
                <w:lang w:val="lt-LT"/>
              </w:rPr>
              <w:t>. Stebima pritariančiųjų renovacijai augimo tendencija – “prieš kelerius metus savo būstą atnaujinti norėjo vos apie trečdalis lietuvių, o pastaruosius kelis metus šis skaičius sparčiai auga”</w:t>
            </w:r>
            <w:r w:rsidRPr="00AC3318">
              <w:rPr>
                <w:rStyle w:val="Puslapioinaosnuoroda"/>
                <w:rFonts w:ascii="Georgia" w:hAnsi="Georgia" w:cs="Arial"/>
                <w:sz w:val="20"/>
                <w:szCs w:val="20"/>
                <w:lang w:val="lt-LT"/>
              </w:rPr>
              <w:footnoteReference w:id="180"/>
            </w:r>
            <w:r w:rsidRPr="00AC3318">
              <w:rPr>
                <w:rFonts w:ascii="Georgia" w:hAnsi="Georgia" w:cs="Arial"/>
                <w:sz w:val="20"/>
                <w:szCs w:val="20"/>
                <w:lang w:val="lt-LT"/>
              </w:rPr>
              <w:t>. 2013 m. liepos mėn. apklausa parodė, jog net 33,8 proc. apklaustųjų nusiteikę visai pesimistiškai ir mano, jog niekas nebegali pagreitinti renovacijos, nes ši idėja Lietuvoje jau sukompromituota</w:t>
            </w:r>
            <w:r w:rsidRPr="00AC3318">
              <w:rPr>
                <w:rStyle w:val="Puslapioinaosnuoroda"/>
                <w:rFonts w:ascii="Georgia" w:hAnsi="Georgia" w:cs="Arial"/>
                <w:sz w:val="20"/>
                <w:szCs w:val="20"/>
                <w:lang w:val="lt-LT"/>
              </w:rPr>
              <w:footnoteReference w:id="181"/>
            </w:r>
            <w:r w:rsidRPr="00AC3318">
              <w:rPr>
                <w:rFonts w:ascii="Georgia" w:hAnsi="Georgia" w:cs="Arial"/>
                <w:sz w:val="20"/>
                <w:szCs w:val="20"/>
                <w:lang w:val="lt-LT"/>
              </w:rPr>
              <w:t>.</w:t>
            </w:r>
          </w:p>
          <w:p w14:paraId="4B64E377"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Visuomenės nuomonė yra tik vienas iš faktorių, tačiau pagal svarbą tikrai ne paskutinis, kuris įtakoja daugiabučių namų atnaujinimo procesą.</w:t>
            </w:r>
          </w:p>
          <w:p w14:paraId="78773294"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Gana nuosaikią lietuvių poziciją daugiabučių namų atnaujinimo atžvilgiu daugiausiai lemia neaiški ekonominė situacija ir pinigų stygius, t. y. žmonės nenori investuoti, kai nėra tikri dėl savo finansinės ateities. Pastato atnaujinimas butui kainuoja vidutiniškai apie 25 tūkst. litų. Didžioji dauguma šalies gyventojų tokių pinigų neturi, o jei ir turi, tai neketina išleisti savo daugiabučiui namui atnaujinti. Ką tik pasibaigusi/tebesitęsianti ekonominė krizė susijusi su bankų sektoriumi nesuteikia papildomos paskatos dalyvauti daugiabučių atnaujinime.</w:t>
            </w:r>
          </w:p>
          <w:p w14:paraId="0FDC5C9E"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Kita priežastis, kuri labiau pasireiškė JESSICA kontroliuojančiojo fondo veiklos pradžioje, tačiau vis dar nepraranda aktualumo – perėjimas nuo 50 proc. subsidijų pagal ankstesnę daugiabučių atnaujinimo programą prie paskolų. 2013 m. liepos mėn. apklausos duomenimis atsakydami į klausimą, kas galėtų paspartinti renovacijos procesą, respondentai dažniausiai įvardijo didesnę valstybės paramą (49,2 proc.). Taigi, bent kažkoks subsidijos elementas kol kas turėtų išlikti.</w:t>
            </w:r>
          </w:p>
          <w:p w14:paraId="13D9CED3"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Prie nuosaikios butų savininkų pozicijos prisidėjo ir retkarčiais pernelyg tendencingas daugiabučių namų atnaujinimo iniciatyvos nušvietimas viešose informavimo priemonėse, kadangi JESSICA kontroliuojančiojo fondo steigimo metu ši iniciatyva buvo siejama su konkrečia politine jėga ir būtinais, tačiau nepopuliariais sprendimais ekonominio sunkmečio metu.</w:t>
            </w:r>
          </w:p>
          <w:p w14:paraId="25E03BB0"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Svarbus aspektas, į kurį būtina atsižvelgti, yra skirtingų visuomenės grupių požiūris į daugiabučių namų atnaujinimą. Senyvo amžiaus žmonės yra mažiau linkę pasinaudoti programos teikiamomis galimybėmis, tuo tarpu labiau pasiturintys ir jaunesni gyventojai linkę išsikelti į naujos statybos būstus, nors atnaujintas senesnės statybos daugiabutis nei pagal techninius rodiklius, nei estetine prasme nenusileidžia naujos statybos namams, o kartais juos ir lenkia. Net 95 proc. gyventojų, kurie dalyvavo daugiabučių atnaujinimo projektuose, pareiškė, kad patartų ir kitoms bendrijoms dalyvauti atnaujinimo programoje</w:t>
            </w:r>
            <w:r w:rsidRPr="00AC3318">
              <w:rPr>
                <w:rStyle w:val="Puslapioinaosnuoroda"/>
                <w:rFonts w:ascii="Georgia" w:hAnsi="Georgia" w:cs="Arial"/>
                <w:sz w:val="20"/>
                <w:szCs w:val="20"/>
                <w:lang w:val="lt-LT"/>
              </w:rPr>
              <w:footnoteReference w:id="182"/>
            </w:r>
            <w:r w:rsidRPr="00AC3318">
              <w:rPr>
                <w:rFonts w:ascii="Georgia" w:hAnsi="Georgia" w:cs="Arial"/>
                <w:sz w:val="20"/>
                <w:szCs w:val="20"/>
                <w:lang w:val="lt-LT"/>
              </w:rPr>
              <w:t>.</w:t>
            </w:r>
          </w:p>
          <w:p w14:paraId="265E89E8"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Pažymėtina, jog jau minėtos 2013 m. liepos mėn. apklausos duomenimis tik 1,8 proc. apklaustųjų mano, jog teigiamą postūmį renovacijai galėtų turėti prievartinės priemonės. Atsižvelgiant į tai, Lenkijos patirtis, kai buvo panaikintos kompensacijos už šildymą ir taip skatinta gyventojus ryžtis investuoti į šilumos taupymą, arba </w:t>
            </w:r>
            <w:r w:rsidRPr="00AC3318">
              <w:rPr>
                <w:rFonts w:ascii="Georgia" w:hAnsi="Georgia" w:cs="Arial"/>
                <w:sz w:val="20"/>
                <w:szCs w:val="20"/>
                <w:lang w:val="lt-LT"/>
              </w:rPr>
              <w:lastRenderedPageBreak/>
              <w:t>Slovakijos patirtis, kur yra įvestas privalomas lėšų kaupimas namams renovuoti, turėtų būti svarstomos labai atsargiai ir bet kokie sprendimai priimami tik labai gerai pasvėrus galimas neigiamas pasekmes.</w:t>
            </w:r>
          </w:p>
          <w:p w14:paraId="13DD6140" w14:textId="77777777" w:rsidR="00467B8E" w:rsidRPr="00AC3318" w:rsidRDefault="00467B8E" w:rsidP="00765A39">
            <w:pPr>
              <w:pStyle w:val="text-15-str"/>
              <w:spacing w:before="0" w:beforeAutospacing="0" w:after="120" w:afterAutospacing="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turėtų būti skiriama pakankamai lėšų ir dėmesio tinkamos viešinimo strategijos parengimui ir įgyvendinimui. Viešinimo veiklos turėtų būti vykdomos atsižvelgiant į kitų modelio elementų pažangą.</w:t>
            </w:r>
          </w:p>
          <w:p w14:paraId="2EE8912B"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Ilgai trunkantis finans</w:t>
            </w:r>
            <w:r>
              <w:rPr>
                <w:rFonts w:ascii="Georgia" w:hAnsi="Georgia" w:cs="Arial"/>
                <w:i/>
                <w:sz w:val="20"/>
                <w:szCs w:val="20"/>
                <w:lang w:val="lt-LT"/>
              </w:rPr>
              <w:t>inių</w:t>
            </w:r>
            <w:r w:rsidRPr="00AC3318">
              <w:rPr>
                <w:rFonts w:ascii="Georgia" w:hAnsi="Georgia" w:cs="Arial"/>
                <w:i/>
                <w:sz w:val="20"/>
                <w:szCs w:val="20"/>
                <w:lang w:val="lt-LT"/>
              </w:rPr>
              <w:t xml:space="preserve"> </w:t>
            </w:r>
            <w:r>
              <w:rPr>
                <w:rFonts w:ascii="Georgia" w:hAnsi="Georgia" w:cs="Arial"/>
                <w:i/>
                <w:sz w:val="20"/>
                <w:szCs w:val="20"/>
                <w:lang w:val="lt-LT"/>
              </w:rPr>
              <w:t xml:space="preserve">priemonių </w:t>
            </w:r>
            <w:r w:rsidRPr="00AC3318">
              <w:rPr>
                <w:rFonts w:ascii="Georgia" w:hAnsi="Georgia" w:cs="Arial"/>
                <w:i/>
                <w:sz w:val="20"/>
                <w:szCs w:val="20"/>
                <w:lang w:val="lt-LT"/>
              </w:rPr>
              <w:t>kūrimo ir diegimo procesas</w:t>
            </w:r>
            <w:r w:rsidRPr="00AC3318">
              <w:rPr>
                <w:rFonts w:ascii="Georgia" w:hAnsi="Georgia" w:cs="Arial"/>
                <w:sz w:val="20"/>
                <w:szCs w:val="20"/>
                <w:lang w:val="lt-LT"/>
              </w:rPr>
              <w:t>: JESSICA kontroliuojančiojo fondo atveju po finansinio susitarimo dėl kontroliuojančiojo fondo steigimo pasirašymo prireikė 6 mėnesių, kol buvo paskelbtas konkursas finansiniams tarpininkams atrinkti, metų kol buvo pasirašyta pirmoji sutartis su finansiniu tarpininku, ir pusantrų metų – pasirašyti pirmąją paskolos sutartį su galutiniu naudos gavėju. Kita vertus, kiti kvietimai vyko jau sklandžiau ir laikotarpis trumpėjo.</w:t>
            </w:r>
          </w:p>
          <w:p w14:paraId="2B15EBF3"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Taip pat reiktų atsižvelgti ir į derybas dėl kontroliuojančiojo fondo sutarties – jos truko apie 6 mėnesius. Lygiagrečiai buvo keičiami ir nacionaliniai teisės aktai.</w:t>
            </w:r>
          </w:p>
          <w:p w14:paraId="03098E24"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Procesas truko gana ilgai dėl keleto priežasčių. Pirma, nei viešasis sektorius, nei finansų institucijos praktiškai neturėjo analogiško bendradarbiavimo patirties. Šiek tiek anksčiau buvo pradėta įgyvendinti JEREMIE iniciatyva, tačiau įtakos turėjo sektoriaus bei JESSICA specifika. Antra, gyventojai gana skeptiškai žiūrėjo į siūlomą naują daugiabučių namų atnaujinimo finansavimo mechanizmą, t. y. turėjo būti įveiktas tam tikras psichologinis barjeras pereiti nuo subsidijų prie paskolų, kad procesas būtų išjudintas. Trečia, turėjo būti keičiami nacionaliniai teisės aktai, kad atitiktų naujus reikalavimus.</w:t>
            </w:r>
          </w:p>
          <w:p w14:paraId="209EABC9"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Šiuo metu už daugiabučių namų atnaujinimo procesą atsakingos institucijos jau yra įgijusios patirties, sukurta teisės aktų sistema, kuri yra nuolat tobulinama lanksčiai reaguojant į paklausos pokyčius, todėl procesas turėtų užimti mažiau laiko. Taip pat daugėja gerosios praktikos pavyzdžių ir jie yra aktyviai viešinami.</w:t>
            </w:r>
          </w:p>
          <w:p w14:paraId="0230F40D" w14:textId="77777777" w:rsidR="00467B8E" w:rsidRPr="00AC3318" w:rsidRDefault="00467B8E" w:rsidP="00765A39">
            <w:p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planuojant būsimas finansines priemones, būtina realiai įsivertinti etapų trukmę ir atitinkamai planuoti tiek finansinių priemonių kūrimą, tiek ir lygiagrečius procesus, pvz., viešinimo kampaniją.</w:t>
            </w:r>
          </w:p>
          <w:p w14:paraId="2B0F396B"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Sąlyginai ilgos dokumentų tvirtinimo procedūros</w:t>
            </w:r>
            <w:r w:rsidRPr="00AC3318">
              <w:rPr>
                <w:rFonts w:ascii="Georgia" w:hAnsi="Georgia" w:cs="Arial"/>
                <w:sz w:val="20"/>
                <w:szCs w:val="20"/>
                <w:lang w:val="lt-LT"/>
              </w:rPr>
              <w:t>: šio tipo problemos buvo labiau būdingos ankstesnei daugiabučių atnaujinimo programai – ilgai trunkantis dokumentų tvirtinimas, sprendimų priėmimas, delsimas pervesti valstybės paramą, ilgai trunkantys viešieji pirkimai ir pan.</w:t>
            </w:r>
          </w:p>
          <w:p w14:paraId="021A752D"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Nors šiuo metu situacija yra geresnė, tačiau ir toliau turėtų būti siekiama proceso tobulinimo, pvz., diegiami įvairūs e-sprendimai – galimybė teikti paraiškos ir/ar ataskaitas ir kitus dokumentus internetu, skatinamas CPO naudojimas ir pan. </w:t>
            </w:r>
          </w:p>
          <w:p w14:paraId="4C0DE569" w14:textId="77777777" w:rsidR="00467B8E" w:rsidRPr="00AC3318" w:rsidRDefault="00467B8E" w:rsidP="00765A39">
            <w:p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skatinti e-sprendimų diegimą daugiabučių namų atnaujinimo procese.</w:t>
            </w:r>
          </w:p>
          <w:p w14:paraId="4C26D17A"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Teisinis reglamentavimas</w:t>
            </w:r>
            <w:r w:rsidRPr="00AC3318">
              <w:rPr>
                <w:rFonts w:ascii="Georgia" w:hAnsi="Georgia" w:cs="Arial"/>
                <w:sz w:val="20"/>
                <w:szCs w:val="20"/>
                <w:lang w:val="lt-LT"/>
              </w:rPr>
              <w:t xml:space="preserve">: 2007-2013 m. buvo pirmasis ES finansinis laikotarpis, kurio metu buvo taip plačiai įgyvendinamos finansinės priemonės, nors ES struktūrinių fondų teisinė bazė buvo labiau pritaikyta subsidijoms. ES lygio teisės aktai nepateikė aiškių atsakymų, susijusių su finansinių priemonių įgyvendinimu, dėl ko steigiant JESSICA kontroliuojantįjį fondą ir vėliau, projektų įgyvendinimo metu, buvo gaištamas laikas ieškant tinkamų sprendimų, aktyviai konsultuojantis su Europos Komisija, sprendimai </w:t>
            </w:r>
            <w:r w:rsidRPr="00AC3318">
              <w:rPr>
                <w:rFonts w:ascii="Georgia" w:hAnsi="Georgia" w:cs="Arial"/>
                <w:sz w:val="20"/>
                <w:szCs w:val="20"/>
                <w:lang w:val="lt-LT"/>
              </w:rPr>
              <w:lastRenderedPageBreak/>
              <w:t>buvo priimami rizikuojant, jog gali būti sulaukta neigiamo auditorių vertinimo. Tiesa, vėliau buvo parengti COCOF išaiškinimai, kurie ženkliai prisidėjo prie finansinių priemonių įgyvendinimo aiškumo. Tikėtina, jog Europos Komisija, rengdama 2014-2020 m. finansinio laikotarpio teisinę bazę, atsižvelgs į sukauptą patirtį ir sistema bus tobulesnė., Todėl ši problema turėtų būti mažiau aktuali.</w:t>
            </w:r>
          </w:p>
          <w:p w14:paraId="083F081F"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Lygiagrečiai turėjo būti keičiami ir Lietuvos teisės aktai. Teisės aktų nuostatų keitimas ir tobulinimas nekėlė pasitikėjimo tarp potencialių projektų vykdytojų, todėl ateityje turėtų būti siekiama sukurti kaip įmanoma stabilesnį finansinį produktą.</w:t>
            </w:r>
          </w:p>
          <w:p w14:paraId="752735B8" w14:textId="77777777" w:rsidR="00467B8E" w:rsidRPr="00AC3318" w:rsidRDefault="00467B8E" w:rsidP="00765A39">
            <w:p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turėtų būti siekiama kaip įmanoma daugiau pasinaudoti jau turima patirtimi, paruoštais sprendimais bei sukurta teisine baze įgyvendinant JESSICA iniciatyvą Lietuvoje 2007-2013 m.</w:t>
            </w:r>
          </w:p>
          <w:p w14:paraId="7C44D757"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Standartinės formos ir pavyzdiniai dokumentai</w:t>
            </w:r>
            <w:r w:rsidRPr="00AC3318">
              <w:rPr>
                <w:rFonts w:ascii="Georgia" w:hAnsi="Georgia" w:cs="Arial"/>
                <w:sz w:val="20"/>
                <w:szCs w:val="20"/>
                <w:lang w:val="lt-LT"/>
              </w:rPr>
              <w:t>: įgyvendinant daugiabučių namų atnaujinimo programą, buvo parengta visa eilė standartinių formų ir pavyzdinių dokumentų:</w:t>
            </w:r>
          </w:p>
          <w:p w14:paraId="78061C6A" w14:textId="77777777" w:rsidR="00467B8E" w:rsidRPr="00AC3318" w:rsidRDefault="00467B8E" w:rsidP="00FD5FAE">
            <w:pPr>
              <w:pStyle w:val="Sraopastraipa"/>
              <w:numPr>
                <w:ilvl w:val="0"/>
                <w:numId w:val="9"/>
              </w:numPr>
              <w:spacing w:before="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pavyzdiniai dokumentai, skirti daugiabučių namų butų ir kitų patalpų savininkų susirinkimų ir balsavimų raštu organizavimui, kai yra priimami sprendimai, susiję su daugiabučio namo atnaujinimo (modernizavimo) projektų įgyvendinimu ir lengvatinio kredito;</w:t>
            </w:r>
          </w:p>
          <w:p w14:paraId="1D7CF96F" w14:textId="77777777" w:rsidR="00467B8E" w:rsidRPr="00AC3318" w:rsidRDefault="00467B8E" w:rsidP="00FD5FAE">
            <w:pPr>
              <w:pStyle w:val="Sraopastraipa"/>
              <w:numPr>
                <w:ilvl w:val="0"/>
                <w:numId w:val="9"/>
              </w:numPr>
              <w:spacing w:before="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daugumos standartinių daugiabučių namų atnaujinimo (modernizavimo) tipiniai darbo projektai;</w:t>
            </w:r>
          </w:p>
          <w:p w14:paraId="5E79D297" w14:textId="77777777" w:rsidR="00467B8E" w:rsidRPr="00AC3318" w:rsidRDefault="00467B8E" w:rsidP="00FD5FAE">
            <w:pPr>
              <w:pStyle w:val="Sraopastraipa"/>
              <w:numPr>
                <w:ilvl w:val="0"/>
                <w:numId w:val="9"/>
              </w:numPr>
              <w:spacing w:after="120"/>
              <w:ind w:left="714" w:hanging="357"/>
              <w:contextualSpacing w:val="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įvairios sutarčių, prašymų, aktų ir pan. formos.</w:t>
            </w:r>
          </w:p>
          <w:p w14:paraId="0290DEB3"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Visi šie dokumentai ženkliai prisidėjo prie daugiabučių namų atnaujinimo projektų įgyvendinimo proceso supaprastinimo, patrauklumo ir skaidrumo didinimo. Taip pat labai svarbus yra taikomų taisyklių pastovumas, kuris didina pasitikėjimą visa daugiabučių atnaujinimo programa.</w:t>
            </w:r>
          </w:p>
          <w:p w14:paraId="0ABC2577" w14:textId="77777777" w:rsidR="00467B8E" w:rsidRPr="00AC3318" w:rsidRDefault="00467B8E" w:rsidP="00765A39">
            <w:p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šios formos turėtų būti taikomos ir įgyvendinant būsimus projektus (tuo atveju, jei bus įgyvendinami analogiški daugiabučių namų atnaujinimo projektai), jas esant poreikiui pakoregavus pagal 2014-2020 m. finansinio laikotarpio keliamus reikalavimus.</w:t>
            </w:r>
          </w:p>
          <w:p w14:paraId="6EF5EEB1"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Kaštų ir naudos vertinimo principų taikymas rengiant projektų investicijų planus</w:t>
            </w:r>
            <w:r w:rsidRPr="00AC3318">
              <w:rPr>
                <w:rFonts w:ascii="Georgia" w:hAnsi="Georgia" w:cs="Arial"/>
                <w:sz w:val="20"/>
                <w:szCs w:val="20"/>
                <w:lang w:val="lt-LT"/>
              </w:rPr>
              <w:t xml:space="preserve">: kiekvienas projektas, prieš gaudamas finansavimą, privalo pasirengti investicijų planą, kuriame pateikiama informacija apie namo būklę, </w:t>
            </w:r>
            <w:r w:rsidRPr="00AC3318">
              <w:rPr>
                <w:rFonts w:ascii="Georgia" w:eastAsia="Times New Roman" w:hAnsi="Georgia" w:cs="Arial"/>
                <w:sz w:val="20"/>
                <w:szCs w:val="20"/>
                <w:lang w:val="lt-LT" w:eastAsia="en-GB"/>
              </w:rPr>
              <w:t>įvertinti namo techniniai rodikliai, namo energinis naudingumas, atliekamas įgyvendinti atnaujinimo (modernizavimo) priemonių parinkimas, jų energinio naudingumo nustatymas</w:t>
            </w:r>
            <w:r w:rsidRPr="00AC3318">
              <w:rPr>
                <w:rFonts w:ascii="Georgia" w:hAnsi="Georgia" w:cs="Arial"/>
                <w:sz w:val="20"/>
                <w:szCs w:val="20"/>
                <w:lang w:val="lt-LT"/>
              </w:rPr>
              <w:t xml:space="preserve">, preliminari jų kaina, </w:t>
            </w:r>
            <w:r w:rsidRPr="00AC3318">
              <w:rPr>
                <w:rFonts w:ascii="Georgia" w:eastAsia="Times New Roman" w:hAnsi="Georgia" w:cs="Arial"/>
                <w:sz w:val="20"/>
                <w:szCs w:val="20"/>
                <w:lang w:val="lt-LT" w:eastAsia="en-GB"/>
              </w:rPr>
              <w:t>darbų kiekiai</w:t>
            </w:r>
            <w:r w:rsidRPr="00AC3318">
              <w:rPr>
                <w:rFonts w:ascii="Georgia" w:hAnsi="Georgia" w:cs="Arial"/>
                <w:sz w:val="20"/>
                <w:szCs w:val="20"/>
                <w:lang w:val="lt-LT"/>
              </w:rPr>
              <w:t xml:space="preserve"> ir kiti susiję klausimai. Įvertinami projekto kaštai ir nauda, nustatoma, ar projektą verta įgyvendinti. Su sąlyga, jog investicijų planai parengiami kokybiškai, galima tikėtis, kad, įgyvendinant projektą, darbai nepabrangs, o įgyvendinus – bus pasiekti suplanuoti rezultatai.</w:t>
            </w:r>
          </w:p>
          <w:p w14:paraId="6BD2F06E" w14:textId="77777777" w:rsidR="00467B8E" w:rsidRPr="00AC3318" w:rsidRDefault="00467B8E" w:rsidP="00765A39">
            <w:pPr>
              <w:spacing w:after="120"/>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tokia praktika turėtų būti taikoma ir ateityje.</w:t>
            </w:r>
          </w:p>
          <w:p w14:paraId="165E8B7F"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Poveikis centrinei šildymo sistemai</w:t>
            </w:r>
            <w:r w:rsidRPr="00AC3318">
              <w:rPr>
                <w:rFonts w:ascii="Georgia" w:hAnsi="Georgia" w:cs="Arial"/>
                <w:sz w:val="20"/>
                <w:szCs w:val="20"/>
                <w:lang w:val="lt-LT"/>
              </w:rPr>
              <w:t xml:space="preserve">: plačios apimties daugiabučių namų atnaujinimas konkrečiuose miestuose turėtų būti planuojamas įvertinant esamą centrinio šildymo sistemos situaciją, būsimas investicijas ir poveikį. Miesto mastu būtina suderinti renovacijos programas su šilumos tiekimo įmonėmis, kad jos galėtų planuoti reikiamas investicijas į infrastruktūrą, kadangi, renovavus didžiąją dalį gyvenamųjų namų, energijos poreikiai gali sumažėti iki tokio lygio, jog naujai sukurtos infrastruktūros pajėgumai nebus pilnai išnaudojami. Taip pat dėl mažėjančios paklausos šilumos tiekimo įmonės gali pradėti didinti šilumos kainas, dėl ko ekonominis </w:t>
            </w:r>
            <w:r w:rsidRPr="00AC3318">
              <w:rPr>
                <w:rFonts w:ascii="Georgia" w:hAnsi="Georgia" w:cs="Arial"/>
                <w:sz w:val="20"/>
                <w:szCs w:val="20"/>
                <w:lang w:val="lt-LT"/>
              </w:rPr>
              <w:lastRenderedPageBreak/>
              <w:t>renovacijos efektas bus mažesnis arba jo išvis nebus.</w:t>
            </w:r>
          </w:p>
          <w:p w14:paraId="441A5164" w14:textId="77777777" w:rsidR="00467B8E" w:rsidRPr="00AC3318" w:rsidRDefault="00467B8E" w:rsidP="00765A39">
            <w:pPr>
              <w:spacing w:after="120"/>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prieš tvirtinant konkrečius projektus, vertinti galimą poveikį centrinei šildymo sistemai.</w:t>
            </w:r>
          </w:p>
          <w:p w14:paraId="40B14364"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Parengiamųjų projekto darbų finansavimas</w:t>
            </w:r>
            <w:r w:rsidRPr="00AC3318">
              <w:rPr>
                <w:rFonts w:ascii="Georgia" w:hAnsi="Georgia" w:cs="Arial"/>
                <w:sz w:val="20"/>
                <w:szCs w:val="20"/>
                <w:lang w:val="lt-LT"/>
              </w:rPr>
              <w:t>: anksčiau parengiamųjų projekto darbų išlaidos buvo apmokamos kompensavimo būdu, t. y. daugiabučio namo gyventojai turėjo surinkti lėšas, apmokėti už suteiktas paslaugas ir, tik pateikus dokumentus BUPA, šios išlaidos būdavo kompensuojamos. Dabar yra galimybė pateikti faktūras BUPA (BETA) - ir jos bus apmokėtos iš biudžeto. Taip pat paskolos lėšos gali būti naudojamos ne tik statybos darbams, bet ir parengiamiesiems projekto darbams.</w:t>
            </w:r>
          </w:p>
          <w:p w14:paraId="6B7339E7" w14:textId="77777777" w:rsidR="00467B8E" w:rsidRPr="00AC3318" w:rsidRDefault="00467B8E" w:rsidP="00765A39">
            <w:pPr>
              <w:spacing w:after="120"/>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tokia praktika turėtų būti taikoma ir ateityje.</w:t>
            </w:r>
          </w:p>
          <w:p w14:paraId="3E81464F"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Paskolų sąlygos</w:t>
            </w:r>
            <w:r w:rsidRPr="00AC3318">
              <w:rPr>
                <w:rFonts w:ascii="Georgia" w:hAnsi="Georgia" w:cs="Arial"/>
                <w:sz w:val="20"/>
                <w:szCs w:val="20"/>
                <w:lang w:val="lt-LT"/>
              </w:rPr>
              <w:t>: daugiabučių namų atnaujinimo projektuose nebuvo taikomas reikalavimas užstatyti turtą. Paskola susiejama su konkrečiu butu, o ne savininku. Pakeitus šias sąlygas, projektų patrauklumas, tikėtina, ženkliai sumažėtų, kadangi žmonės, vis dar nespėję atsigauti po ekonominio sunkmečio ir netikri dėl savo ateities, bijotų rizikuoti savo turtu ar prisiimti ilgalaikius įsipareigojimus.</w:t>
            </w:r>
          </w:p>
          <w:p w14:paraId="0073140D" w14:textId="77777777" w:rsidR="00467B8E" w:rsidRPr="00AC3318" w:rsidRDefault="00467B8E" w:rsidP="00765A39">
            <w:pPr>
              <w:spacing w:after="120"/>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tokia praktika turėtų būti taikoma ir ateityje.</w:t>
            </w:r>
          </w:p>
          <w:p w14:paraId="59D4F7E9"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Tiesioginis butų savininkų skolinimasis</w:t>
            </w:r>
            <w:r w:rsidRPr="00AC3318">
              <w:rPr>
                <w:rFonts w:ascii="Georgia" w:hAnsi="Georgia" w:cs="Arial"/>
                <w:sz w:val="20"/>
                <w:szCs w:val="20"/>
                <w:lang w:val="lt-LT"/>
              </w:rPr>
              <w:t>: finansiniai tarpininkai pabrėžė, kad tiesioginis skolinimasis butų savininkams sukūrė papildomą administracinę naštą, finansiniai tarpininkai turėjo įvertinti visų butų savininkų kreditingumą, buvo reikalaujama gauti specialų leidimą iš teismo tuo atveju, jei buto savininkas buvo nepilnametis ir t.t. Finansiniai tarpininkai susidūrė su probleminėmis situacijomis, kai buto savininkas buvo miręs ir niekas nepareiškė teisių į jo palikimą. Tokiais atvejais nebuvo įmanoma suteikti paskolą tokiam butui, nes jis neturėjo savininko</w:t>
            </w:r>
            <w:r w:rsidRPr="00AC3318">
              <w:rPr>
                <w:rStyle w:val="Puslapioinaosnuoroda"/>
                <w:rFonts w:ascii="Georgia" w:hAnsi="Georgia" w:cs="Arial"/>
                <w:sz w:val="20"/>
                <w:szCs w:val="20"/>
                <w:lang w:val="lt-LT"/>
              </w:rPr>
              <w:footnoteReference w:id="183"/>
            </w:r>
            <w:r w:rsidRPr="00AC3318">
              <w:rPr>
                <w:rFonts w:ascii="Georgia" w:hAnsi="Georgia" w:cs="Arial"/>
                <w:sz w:val="20"/>
                <w:szCs w:val="20"/>
                <w:lang w:val="lt-LT"/>
              </w:rPr>
              <w:t>.</w:t>
            </w:r>
          </w:p>
          <w:p w14:paraId="5A378088" w14:textId="77777777" w:rsidR="00467B8E" w:rsidRPr="00AC3318" w:rsidRDefault="00467B8E" w:rsidP="00765A39">
            <w:p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atrenkant miestų plėtros fondų valdytojus, turėtų būti įvertinama papildoma našta ir kaštai.</w:t>
            </w:r>
          </w:p>
          <w:p w14:paraId="1E4AD360"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lang w:val="lt-LT"/>
              </w:rPr>
            </w:pPr>
            <w:r w:rsidRPr="00AC3318">
              <w:rPr>
                <w:rFonts w:ascii="Georgia" w:hAnsi="Georgia" w:cs="Arial"/>
                <w:i/>
                <w:sz w:val="20"/>
                <w:szCs w:val="20"/>
                <w:lang w:val="lt-LT"/>
              </w:rPr>
              <w:t>Skolinimosi limitai</w:t>
            </w:r>
            <w:r w:rsidRPr="00AC3318">
              <w:rPr>
                <w:rFonts w:ascii="Georgia" w:hAnsi="Georgia" w:cs="Arial"/>
                <w:sz w:val="20"/>
                <w:szCs w:val="20"/>
                <w:lang w:val="lt-LT"/>
              </w:rPr>
              <w:t xml:space="preserve"> (bendrabučių atveju): bendrabučių atnaujinimo programos įgyvendinimas gali strigti dėl to, jog aukštosios mokyklos ir profesinio mokymo įstaigos turi skolinimosi limitus. Bendras skolinimosi limitas visoms aukštosioms mokykloms nustatomas sudarant metinį biudžetą ir tvirtinamas LR Seimo. Jei aukštosios mokyklos viršija skolinimosi limitus, jų galimybės imti renovacijos paskolas yra apribotos</w:t>
            </w:r>
            <w:r w:rsidRPr="00AC3318">
              <w:rPr>
                <w:rStyle w:val="Puslapioinaosnuoroda"/>
                <w:rFonts w:ascii="Georgia" w:hAnsi="Georgia" w:cs="Arial"/>
                <w:sz w:val="20"/>
                <w:szCs w:val="20"/>
                <w:lang w:val="lt-LT"/>
              </w:rPr>
              <w:footnoteReference w:id="184"/>
            </w:r>
            <w:r w:rsidRPr="00AC3318">
              <w:rPr>
                <w:rFonts w:ascii="Georgia" w:hAnsi="Georgia" w:cs="Arial"/>
                <w:sz w:val="20"/>
                <w:szCs w:val="20"/>
                <w:lang w:val="lt-LT"/>
              </w:rPr>
              <w:t>.</w:t>
            </w:r>
          </w:p>
          <w:p w14:paraId="379BC7EB" w14:textId="77777777" w:rsidR="00467B8E" w:rsidRPr="00AC3318" w:rsidRDefault="00467B8E" w:rsidP="00765A39">
            <w:p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jei bus nuspręsta ateityje finansuoti aukštosios mokyklos ir profesinio mokymo įstaigas, svarstyti išimčių teisinėje bazėje nustatymo galimybes.</w:t>
            </w:r>
          </w:p>
          <w:p w14:paraId="6E514521"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eastAsia="Calibri" w:hAnsi="Georgia" w:cs="Arial"/>
                <w:sz w:val="20"/>
                <w:szCs w:val="20"/>
                <w:lang w:val="lt-LT"/>
              </w:rPr>
            </w:pPr>
            <w:r w:rsidRPr="00AC3318">
              <w:rPr>
                <w:rFonts w:ascii="Georgia" w:eastAsia="Calibri" w:hAnsi="Georgia" w:cs="Arial"/>
                <w:i/>
                <w:sz w:val="20"/>
                <w:szCs w:val="20"/>
                <w:lang w:val="lt-LT"/>
              </w:rPr>
              <w:t>Avanso poreikis</w:t>
            </w:r>
            <w:r w:rsidRPr="00AC3318">
              <w:rPr>
                <w:rFonts w:ascii="Georgia" w:eastAsia="Calibri" w:hAnsi="Georgia" w:cs="Arial"/>
                <w:sz w:val="20"/>
                <w:szCs w:val="20"/>
                <w:lang w:val="lt-LT"/>
              </w:rPr>
              <w:t>: nors teisinėje bazėje ir numatyta galimybė statybinėms įmonėms sumokėti iki 30 proc. avansą, perkant per CPO tokios galimybės nėra. Dėl šios priežasties visos statybų sutartys buvo nupirktos be avanso, dėl ko statybininkams trūko apyvartinių lėšų.</w:t>
            </w:r>
          </w:p>
          <w:p w14:paraId="3ED5FD1F" w14:textId="77777777" w:rsidR="00467B8E" w:rsidRPr="00AC3318" w:rsidRDefault="00467B8E" w:rsidP="00765A39">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eastAsia="Calibri" w:hAnsi="Georgia" w:cs="Arial"/>
                <w:i/>
                <w:sz w:val="20"/>
                <w:szCs w:val="20"/>
                <w:lang w:val="lt-LT"/>
              </w:rPr>
              <w:t>Pasiūlymai</w:t>
            </w:r>
            <w:r w:rsidRPr="00AC3318">
              <w:rPr>
                <w:rFonts w:ascii="Georgia" w:eastAsia="Calibri" w:hAnsi="Georgia" w:cs="Arial"/>
                <w:sz w:val="20"/>
                <w:szCs w:val="20"/>
                <w:lang w:val="lt-LT"/>
              </w:rPr>
              <w:t>:</w:t>
            </w:r>
            <w:r w:rsidRPr="00AC3318">
              <w:rPr>
                <w:rFonts w:ascii="Georgia" w:eastAsia="Calibri" w:hAnsi="Georgia" w:cs="Arial"/>
                <w:i/>
                <w:sz w:val="20"/>
                <w:szCs w:val="20"/>
                <w:lang w:val="lt-LT"/>
              </w:rPr>
              <w:t xml:space="preserve"> </w:t>
            </w:r>
            <w:r w:rsidRPr="00AC3318">
              <w:rPr>
                <w:rFonts w:ascii="Georgia" w:eastAsia="Calibri" w:hAnsi="Georgia" w:cs="Arial"/>
                <w:sz w:val="20"/>
                <w:szCs w:val="20"/>
                <w:lang w:val="lt-LT"/>
              </w:rPr>
              <w:t>sudaryti galimybę perkant per CPO numatyti avansą statybininkams.</w:t>
            </w:r>
          </w:p>
        </w:tc>
      </w:tr>
    </w:tbl>
    <w:p w14:paraId="1E8579F2" w14:textId="77777777" w:rsidR="00FD5FAE" w:rsidRPr="00AC3318" w:rsidRDefault="00FD5FAE" w:rsidP="00FD5FAE">
      <w:pPr>
        <w:rPr>
          <w:rFonts w:ascii="Georgia" w:hAnsi="Georgia"/>
          <w:sz w:val="20"/>
          <w:szCs w:val="20"/>
          <w:lang w:val="lt-LT"/>
        </w:rPr>
      </w:pPr>
    </w:p>
    <w:p w14:paraId="01A406EB" w14:textId="77777777" w:rsidR="00DF0329" w:rsidRPr="00AC3318" w:rsidRDefault="00DF0329">
      <w:pPr>
        <w:rPr>
          <w:rFonts w:ascii="Georgia" w:hAnsi="Georgia"/>
          <w:sz w:val="20"/>
          <w:szCs w:val="20"/>
          <w:lang w:val="lt-LT"/>
        </w:rPr>
      </w:pPr>
      <w:r w:rsidRPr="00AC3318">
        <w:rPr>
          <w:rFonts w:ascii="Georgia" w:hAnsi="Georgia"/>
          <w:sz w:val="20"/>
          <w:szCs w:val="20"/>
          <w:lang w:val="lt-LT"/>
        </w:rPr>
        <w:br w:type="page"/>
      </w:r>
    </w:p>
    <w:p w14:paraId="0CAA1C39" w14:textId="77777777" w:rsidR="00DF0329" w:rsidRPr="00DF3A8E" w:rsidRDefault="00DF0329" w:rsidP="00467B8E">
      <w:pPr>
        <w:pStyle w:val="Antrat2"/>
        <w:rPr>
          <w:lang w:val="lt-LT"/>
        </w:rPr>
      </w:pPr>
      <w:bookmarkStart w:id="449" w:name="_Toc417378477"/>
      <w:r w:rsidRPr="00DF3A8E">
        <w:rPr>
          <w:lang w:val="lt-LT"/>
        </w:rPr>
        <w:lastRenderedPageBreak/>
        <w:t xml:space="preserve">Priedas Nr. </w:t>
      </w:r>
      <w:r w:rsidR="000F206B">
        <w:rPr>
          <w:lang w:val="lt-LT"/>
        </w:rPr>
        <w:t>4</w:t>
      </w:r>
      <w:r w:rsidRPr="00DF3A8E">
        <w:rPr>
          <w:lang w:val="lt-LT"/>
        </w:rPr>
        <w:t>. Bulgarijos apžvalga</w:t>
      </w:r>
      <w:bookmarkEnd w:id="449"/>
    </w:p>
    <w:tbl>
      <w:tblPr>
        <w:tblStyle w:val="3vidutinistinklelis2parykinimas"/>
        <w:tblW w:w="5000" w:type="pct"/>
        <w:tblLook w:val="04A0" w:firstRow="1" w:lastRow="0" w:firstColumn="1" w:lastColumn="0" w:noHBand="0" w:noVBand="1"/>
      </w:tblPr>
      <w:tblGrid>
        <w:gridCol w:w="520"/>
        <w:gridCol w:w="1772"/>
        <w:gridCol w:w="6951"/>
      </w:tblGrid>
      <w:tr w:rsidR="00DF0329" w:rsidRPr="00467B8E" w14:paraId="1051B09E" w14:textId="77777777" w:rsidTr="00467B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1" w:type="pct"/>
          </w:tcPr>
          <w:p w14:paraId="750968AF" w14:textId="77777777" w:rsidR="00DF0329" w:rsidRPr="00467B8E" w:rsidRDefault="00DF0329" w:rsidP="00467B8E">
            <w:pPr>
              <w:jc w:val="center"/>
              <w:rPr>
                <w:rFonts w:ascii="Georgia" w:hAnsi="Georgia"/>
                <w:sz w:val="20"/>
                <w:szCs w:val="20"/>
                <w:lang w:val="lt-LT"/>
              </w:rPr>
            </w:pPr>
          </w:p>
        </w:tc>
        <w:tc>
          <w:tcPr>
            <w:tcW w:w="959" w:type="pct"/>
          </w:tcPr>
          <w:p w14:paraId="0501ECD7" w14:textId="77777777" w:rsidR="00DF0329" w:rsidRPr="00467B8E" w:rsidRDefault="00467B8E" w:rsidP="00467B8E">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lang w:val="lt-LT"/>
              </w:rPr>
            </w:pPr>
            <w:r w:rsidRPr="00467B8E">
              <w:rPr>
                <w:rFonts w:ascii="Georgia" w:hAnsi="Georgia"/>
                <w:sz w:val="20"/>
                <w:szCs w:val="20"/>
                <w:lang w:val="lt-LT"/>
              </w:rPr>
              <w:t>Nagrinėjamas aspektas</w:t>
            </w:r>
          </w:p>
        </w:tc>
        <w:tc>
          <w:tcPr>
            <w:tcW w:w="3760" w:type="pct"/>
          </w:tcPr>
          <w:p w14:paraId="35E79526" w14:textId="77777777" w:rsidR="00DF0329" w:rsidRPr="00467B8E" w:rsidRDefault="00467B8E" w:rsidP="00467B8E">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lang w:val="lt-LT"/>
              </w:rPr>
            </w:pPr>
            <w:r w:rsidRPr="00467B8E">
              <w:rPr>
                <w:rFonts w:ascii="Georgia" w:hAnsi="Georgia"/>
                <w:sz w:val="20"/>
                <w:szCs w:val="20"/>
                <w:lang w:val="lt-LT"/>
              </w:rPr>
              <w:t>Apžvalga</w:t>
            </w:r>
          </w:p>
        </w:tc>
      </w:tr>
      <w:tr w:rsidR="00467B8E" w:rsidRPr="002C025E" w14:paraId="0DE53AF7" w14:textId="77777777"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 w:type="pct"/>
          </w:tcPr>
          <w:p w14:paraId="28F160C3" w14:textId="77777777" w:rsidR="00467B8E" w:rsidRPr="00AC3318" w:rsidRDefault="00467B8E" w:rsidP="00467B8E">
            <w:pPr>
              <w:rPr>
                <w:rFonts w:ascii="Georgia" w:hAnsi="Georgia"/>
                <w:b w:val="0"/>
                <w:sz w:val="20"/>
                <w:szCs w:val="20"/>
                <w:lang w:val="lt-LT"/>
              </w:rPr>
            </w:pPr>
            <w:r w:rsidRPr="00AC3318">
              <w:rPr>
                <w:rFonts w:ascii="Georgia" w:hAnsi="Georgia"/>
                <w:sz w:val="20"/>
                <w:szCs w:val="20"/>
                <w:lang w:val="lt-LT"/>
              </w:rPr>
              <w:t>1.</w:t>
            </w:r>
          </w:p>
        </w:tc>
        <w:tc>
          <w:tcPr>
            <w:tcW w:w="959" w:type="pct"/>
          </w:tcPr>
          <w:p w14:paraId="4F19D7A1" w14:textId="77777777" w:rsidR="00467B8E" w:rsidRPr="00AC3318" w:rsidRDefault="00467B8E" w:rsidP="00467B8E">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sz w:val="20"/>
                <w:szCs w:val="20"/>
                <w:lang w:val="lt-LT"/>
              </w:rPr>
              <w:t>Valstybės/regiono, kur numatoma įgyvendinti finansines priemones, ekonominis ir politinis kontekstas</w:t>
            </w:r>
          </w:p>
        </w:tc>
        <w:tc>
          <w:tcPr>
            <w:tcW w:w="3760" w:type="pct"/>
          </w:tcPr>
          <w:p w14:paraId="2D721D92" w14:textId="77777777" w:rsidR="00467B8E" w:rsidRPr="00AC3318" w:rsidRDefault="00467B8E" w:rsidP="00E649A6">
            <w:pPr>
              <w:cnfStyle w:val="000000100000" w:firstRow="0" w:lastRow="0" w:firstColumn="0" w:lastColumn="0" w:oddVBand="0" w:evenVBand="0" w:oddHBand="1" w:evenHBand="0" w:firstRowFirstColumn="0" w:firstRowLastColumn="0" w:lastRowFirstColumn="0" w:lastRowLastColumn="0"/>
              <w:rPr>
                <w:rFonts w:ascii="Georgia" w:hAnsi="Georgia"/>
                <w:sz w:val="20"/>
                <w:szCs w:val="20"/>
                <w:lang w:val="lt-LT"/>
              </w:rPr>
            </w:pPr>
          </w:p>
        </w:tc>
      </w:tr>
      <w:tr w:rsidR="00467B8E" w:rsidRPr="002C025E" w14:paraId="7796DDCA" w14:textId="77777777" w:rsidTr="00467B8E">
        <w:tc>
          <w:tcPr>
            <w:cnfStyle w:val="001000000000" w:firstRow="0" w:lastRow="0" w:firstColumn="1" w:lastColumn="0" w:oddVBand="0" w:evenVBand="0" w:oddHBand="0" w:evenHBand="0" w:firstRowFirstColumn="0" w:firstRowLastColumn="0" w:lastRowFirstColumn="0" w:lastRowLastColumn="0"/>
            <w:tcW w:w="281" w:type="pct"/>
          </w:tcPr>
          <w:p w14:paraId="2E13CFCD" w14:textId="77777777" w:rsidR="00467B8E" w:rsidRPr="00AC3318" w:rsidRDefault="00467B8E" w:rsidP="00E649A6">
            <w:pPr>
              <w:rPr>
                <w:rFonts w:ascii="Georgia" w:hAnsi="Georgia"/>
                <w:b w:val="0"/>
                <w:sz w:val="20"/>
                <w:szCs w:val="20"/>
                <w:lang w:val="lt-LT"/>
              </w:rPr>
            </w:pPr>
            <w:r w:rsidRPr="00AC3318">
              <w:rPr>
                <w:rFonts w:ascii="Georgia" w:hAnsi="Georgia"/>
                <w:sz w:val="20"/>
                <w:szCs w:val="20"/>
                <w:lang w:val="lt-LT"/>
              </w:rPr>
              <w:t>1.1.</w:t>
            </w:r>
          </w:p>
        </w:tc>
        <w:tc>
          <w:tcPr>
            <w:tcW w:w="959" w:type="pct"/>
          </w:tcPr>
          <w:p w14:paraId="4917BC8B" w14:textId="77777777"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Pagrindiniai ekonominiai ir socialiniai rodikliai</w:t>
            </w:r>
            <w:r w:rsidRPr="00AC3318">
              <w:rPr>
                <w:rFonts w:ascii="Georgia" w:hAnsi="Georgia"/>
                <w:sz w:val="20"/>
                <w:szCs w:val="20"/>
                <w:lang w:val="lt-LT"/>
              </w:rPr>
              <w:t>:</w:t>
            </w:r>
          </w:p>
        </w:tc>
        <w:tc>
          <w:tcPr>
            <w:tcW w:w="3760" w:type="pct"/>
          </w:tcPr>
          <w:p w14:paraId="2EA90EDE" w14:textId="77777777"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BVP</w:t>
            </w:r>
            <w:r w:rsidRPr="00AC3318">
              <w:rPr>
                <w:rFonts w:ascii="Georgia" w:hAnsi="Georgia" w:cs="Arial"/>
                <w:sz w:val="20"/>
                <w:szCs w:val="20"/>
                <w:lang w:val="lt-LT"/>
              </w:rPr>
              <w:t xml:space="preserve"> – 40.168,62 mln. € (2012 m. kainomis), 0,9 proc. augimas;</w:t>
            </w:r>
          </w:p>
          <w:p w14:paraId="26AC237B" w14:textId="77777777"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Vidutinė metinė infliacija (2013 m.)</w:t>
            </w:r>
            <w:r w:rsidRPr="00AC3318">
              <w:rPr>
                <w:rFonts w:ascii="Georgia" w:hAnsi="Georgia" w:cs="Arial"/>
                <w:sz w:val="20"/>
                <w:szCs w:val="20"/>
                <w:lang w:val="lt-LT"/>
              </w:rPr>
              <w:t xml:space="preserve"> – -2 procento, 6 procentiniais punktais mažesnė nei 2012 m.;</w:t>
            </w:r>
          </w:p>
          <w:p w14:paraId="34D9EE71" w14:textId="77777777"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Prekių eksportas</w:t>
            </w:r>
            <w:r w:rsidRPr="00AC3318">
              <w:rPr>
                <w:rFonts w:ascii="Georgia" w:hAnsi="Georgia" w:cs="Arial"/>
                <w:sz w:val="20"/>
                <w:szCs w:val="20"/>
                <w:lang w:val="lt-LT"/>
              </w:rPr>
              <w:t xml:space="preserve"> – 20.717,68 mln. € (2012 m.), 2,49 proc. augimas;</w:t>
            </w:r>
          </w:p>
          <w:p w14:paraId="279D26D7" w14:textId="77777777"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 xml:space="preserve">Prekių importas </w:t>
            </w:r>
            <w:r w:rsidRPr="00AC3318">
              <w:rPr>
                <w:rFonts w:ascii="Georgia" w:hAnsi="Georgia" w:cs="Arial"/>
                <w:sz w:val="20"/>
                <w:szCs w:val="20"/>
                <w:lang w:val="lt-LT"/>
              </w:rPr>
              <w:t>– 25.394,79 mln. € (2012 m.), 8,7 proc. augimas;</w:t>
            </w:r>
          </w:p>
          <w:p w14:paraId="52E7CC03" w14:textId="77777777"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Svarbiausi prekybos partneriai: </w:t>
            </w:r>
          </w:p>
          <w:p w14:paraId="218A7AFD" w14:textId="77777777"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2012 m. – Rusijos Federacija, Vokietija, Italija, Graikija, Rumunija, Turkija;</w:t>
            </w:r>
          </w:p>
          <w:p w14:paraId="589D04F7" w14:textId="77777777"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Statybos darbų apimtis –</w:t>
            </w:r>
            <w:r w:rsidRPr="00AC3318">
              <w:rPr>
                <w:rFonts w:ascii="Georgia" w:hAnsi="Georgia" w:cs="Arial"/>
                <w:sz w:val="20"/>
                <w:szCs w:val="20"/>
                <w:lang w:val="lt-LT"/>
              </w:rPr>
              <w:t xml:space="preserve"> 2013 m., lyginant su 2012 m., statybų apimtis sumažėjo 5,2 proc.;</w:t>
            </w:r>
          </w:p>
          <w:p w14:paraId="1AD45565" w14:textId="77777777"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Krovinių apyvartos ir BVP santykis</w:t>
            </w:r>
            <w:r w:rsidRPr="00AC3318">
              <w:rPr>
                <w:rFonts w:ascii="Georgia" w:hAnsi="Georgia" w:cs="Arial"/>
                <w:sz w:val="20"/>
                <w:szCs w:val="20"/>
                <w:lang w:val="lt-LT"/>
              </w:rPr>
              <w:t xml:space="preserve"> 2012 m. padidėjo 19,4 procentiniais punktais lyginant su 2011 m. (2000 m. = 100)</w:t>
            </w:r>
          </w:p>
          <w:p w14:paraId="5EDCB91D" w14:textId="77777777"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Vidutinis mėnesinis darbo užmokestis – 414 €</w:t>
            </w:r>
            <w:r w:rsidRPr="00AC3318">
              <w:rPr>
                <w:rStyle w:val="Puslapioinaosnuoroda"/>
                <w:rFonts w:ascii="Georgia" w:hAnsi="Georgia" w:cs="Arial"/>
                <w:i/>
                <w:sz w:val="20"/>
                <w:szCs w:val="20"/>
                <w:lang w:val="lt-LT"/>
              </w:rPr>
              <w:footnoteReference w:id="185"/>
            </w:r>
            <w:r w:rsidRPr="00AC3318">
              <w:rPr>
                <w:rFonts w:ascii="Georgia" w:hAnsi="Georgia" w:cs="Arial"/>
                <w:i/>
                <w:sz w:val="20"/>
                <w:szCs w:val="20"/>
                <w:lang w:val="lt-LT"/>
              </w:rPr>
              <w:t>, 2,1 proc. didesnis nei 2013 m. kovo mėn.;</w:t>
            </w:r>
          </w:p>
          <w:p w14:paraId="54B67AEE" w14:textId="77777777" w:rsidR="00467B8E" w:rsidRPr="00AC3318" w:rsidRDefault="00467B8E" w:rsidP="00E649A6">
            <w:pPr>
              <w:spacing w:after="120"/>
              <w:cnfStyle w:val="000000000000" w:firstRow="0" w:lastRow="0" w:firstColumn="0" w:lastColumn="0" w:oddVBand="0" w:evenVBand="0" w:oddHBand="0" w:evenHBand="0" w:firstRowFirstColumn="0" w:firstRowLastColumn="0" w:lastRowFirstColumn="0" w:lastRowLastColumn="0"/>
              <w:rPr>
                <w:rFonts w:ascii="Georgia" w:hAnsi="Georgia"/>
                <w:sz w:val="20"/>
                <w:szCs w:val="20"/>
                <w:lang w:val="lt-LT"/>
              </w:rPr>
            </w:pPr>
            <w:r w:rsidRPr="00AC3318">
              <w:rPr>
                <w:rFonts w:ascii="Georgia" w:hAnsi="Georgia" w:cs="Arial"/>
                <w:i/>
                <w:sz w:val="20"/>
                <w:szCs w:val="20"/>
                <w:lang w:val="lt-LT"/>
              </w:rPr>
              <w:t>Nedarbo lygis</w:t>
            </w:r>
            <w:r w:rsidRPr="00AC3318">
              <w:rPr>
                <w:rFonts w:ascii="Georgia" w:hAnsi="Georgia" w:cs="Arial"/>
                <w:sz w:val="20"/>
                <w:szCs w:val="20"/>
                <w:lang w:val="lt-LT"/>
              </w:rPr>
              <w:t xml:space="preserve"> – 13,0 proc., 0,7 procentinio punkto didesnis nei 2012 m.</w:t>
            </w:r>
            <w:r w:rsidRPr="00AC3318">
              <w:rPr>
                <w:rStyle w:val="Puslapioinaosnuoroda"/>
                <w:rFonts w:ascii="Georgia" w:hAnsi="Georgia" w:cs="Arial"/>
                <w:sz w:val="20"/>
                <w:szCs w:val="20"/>
                <w:lang w:val="lt-LT"/>
              </w:rPr>
              <w:footnoteReference w:id="186"/>
            </w:r>
          </w:p>
        </w:tc>
      </w:tr>
      <w:tr w:rsidR="00467B8E" w:rsidRPr="002C025E" w14:paraId="0BFD2B0A" w14:textId="77777777"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 w:type="pct"/>
          </w:tcPr>
          <w:p w14:paraId="71C78CB6" w14:textId="77777777" w:rsidR="00467B8E" w:rsidRPr="00AC3318" w:rsidRDefault="00467B8E" w:rsidP="00E649A6">
            <w:pPr>
              <w:rPr>
                <w:rFonts w:ascii="Georgia" w:hAnsi="Georgia"/>
                <w:b w:val="0"/>
                <w:sz w:val="20"/>
                <w:szCs w:val="20"/>
                <w:lang w:val="lt-LT"/>
              </w:rPr>
            </w:pPr>
            <w:r w:rsidRPr="00AC3318">
              <w:rPr>
                <w:rFonts w:ascii="Georgia" w:hAnsi="Georgia"/>
                <w:sz w:val="20"/>
                <w:szCs w:val="20"/>
                <w:lang w:val="lt-LT"/>
              </w:rPr>
              <w:t>1.2.</w:t>
            </w:r>
          </w:p>
        </w:tc>
        <w:tc>
          <w:tcPr>
            <w:tcW w:w="959" w:type="pct"/>
          </w:tcPr>
          <w:p w14:paraId="0F6E058D" w14:textId="77777777" w:rsidR="00467B8E" w:rsidRPr="00AC3318" w:rsidRDefault="00467B8E" w:rsidP="00E649A6">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Makroekonominės tendencijos:</w:t>
            </w:r>
          </w:p>
        </w:tc>
        <w:tc>
          <w:tcPr>
            <w:tcW w:w="3760" w:type="pct"/>
          </w:tcPr>
          <w:p w14:paraId="0AD7A733" w14:textId="77777777"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i/>
                <w:sz w:val="20"/>
                <w:szCs w:val="20"/>
                <w:lang w:val="lt-LT"/>
              </w:rPr>
            </w:pPr>
            <w:r w:rsidRPr="00AC3318">
              <w:rPr>
                <w:rFonts w:ascii="Georgia" w:hAnsi="Georgia" w:cs="Arial"/>
                <w:i/>
                <w:sz w:val="20"/>
                <w:szCs w:val="20"/>
                <w:lang w:val="lt-LT"/>
              </w:rPr>
              <w:t>Prognozuojama, jog 2014 m. ir 2015 m. dėl augsiančios vidaus paklausos turėtų stiprėti Bulgarijos ekonomikos atsigavimas. Po defliacijos 2014 m., 2015 m. prognozuojama infliacija. 2014 m. fiskalinė politika turėtų išlikti ekspansine (skatinančiąja).</w:t>
            </w:r>
          </w:p>
          <w:p w14:paraId="0E36131E" w14:textId="77777777"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2013 m. Bulgarijos ekonomika augo 0,9 proc., tuo tarpu 2012 m. BVP augimo rodiklis buvo nežymiai pakoreguotas (sumažintas) iki 0,6 proc. </w:t>
            </w:r>
          </w:p>
          <w:p w14:paraId="4B88133B" w14:textId="77777777"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Prognozuojama, jog turėtų atsigauti vidaus paklausa ir didėti eksporto apimtys – du esminiai elementai, kurie iki šiol buvo pagrindinė ekonomikos augimo varomoji jėga. Tiesa, augantis vartotojų pasitikėjimas vis dar nesąlygoja aukštesnio namų ūkių vartojimo.</w:t>
            </w:r>
            <w:r w:rsidRPr="00AC3318">
              <w:rPr>
                <w:rFonts w:ascii="Georgia" w:hAnsi="Georgia"/>
                <w:sz w:val="20"/>
                <w:szCs w:val="20"/>
                <w:lang w:val="lt-LT"/>
              </w:rPr>
              <w:t xml:space="preserve"> </w:t>
            </w:r>
            <w:r w:rsidRPr="00AC3318">
              <w:rPr>
                <w:rFonts w:ascii="Georgia" w:hAnsi="Georgia" w:cs="Arial"/>
                <w:sz w:val="20"/>
                <w:szCs w:val="20"/>
                <w:lang w:val="lt-LT"/>
              </w:rPr>
              <w:t>Teigiamai vertinamas 2013 m. vykęs pagrindinių Bulgarijos prekybos partnerių ekonomikų atsigavimas.</w:t>
            </w:r>
          </w:p>
          <w:p w14:paraId="3E569427" w14:textId="77777777"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Tikimasi, jog šiais ir kitais metais bus stebimas bendras investicijų apimčių didėjimas tiek viešajame, tiek privačiame sektoriuose, kuris iš dalies bus sąlygotas ES lėšų įsisavinimo. Investicijų augimą turėtų lydėti sąlyginis finansinio sektoriaus pajėgumų stiprėjimas, nulemtas indėlių apimčių augimo pastaraisiais metais. Naujų paskolų ir indėlių palūkanų norma mažėja, kas leidžia daryti išvadą apie gerėjančias skolinimosi sąlygas ir didėjantį lėšų prieinamumą.</w:t>
            </w:r>
          </w:p>
          <w:p w14:paraId="1A7E6E38" w14:textId="77777777"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Style w:val="hps"/>
                <w:rFonts w:ascii="Georgia" w:hAnsi="Georgia" w:cs="Arial"/>
                <w:color w:val="222222"/>
                <w:sz w:val="20"/>
                <w:szCs w:val="20"/>
                <w:lang w:val="lt-LT"/>
              </w:rPr>
              <w:t>Po ketverių metų</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nepalankių</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darbo</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rinkos tendencijų</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nedarbo lygis 2013 m.</w:t>
            </w:r>
            <w:r w:rsidRPr="00AC3318">
              <w:rPr>
                <w:rFonts w:ascii="Georgia" w:hAnsi="Georgia" w:cs="Arial"/>
                <w:color w:val="222222"/>
                <w:sz w:val="20"/>
                <w:szCs w:val="20"/>
                <w:lang w:val="lt-LT"/>
              </w:rPr>
              <w:t xml:space="preserve">, atrodo, </w:t>
            </w:r>
            <w:r w:rsidRPr="00AC3318">
              <w:rPr>
                <w:rStyle w:val="hps"/>
                <w:rFonts w:ascii="Georgia" w:hAnsi="Georgia" w:cs="Arial"/>
                <w:color w:val="222222"/>
                <w:sz w:val="20"/>
                <w:szCs w:val="20"/>
                <w:lang w:val="lt-LT"/>
              </w:rPr>
              <w:t>pasiekė</w:t>
            </w:r>
            <w:r w:rsidRPr="00AC3318">
              <w:rPr>
                <w:rFonts w:ascii="Georgia" w:hAnsi="Georgia" w:cs="Arial"/>
                <w:color w:val="222222"/>
                <w:sz w:val="20"/>
                <w:szCs w:val="20"/>
                <w:lang w:val="lt-LT"/>
              </w:rPr>
              <w:t xml:space="preserve"> aukščiausią tašką</w:t>
            </w:r>
            <w:r w:rsidRPr="00AC3318">
              <w:rPr>
                <w:rStyle w:val="hps"/>
                <w:rFonts w:ascii="Georgia" w:hAnsi="Georgia" w:cs="Arial"/>
                <w:color w:val="222222"/>
                <w:sz w:val="20"/>
                <w:szCs w:val="20"/>
                <w:lang w:val="lt-LT"/>
              </w:rPr>
              <w:t>.</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Nors</w:t>
            </w:r>
            <w:r w:rsidRPr="00AC3318">
              <w:rPr>
                <w:rFonts w:ascii="Georgia" w:hAnsi="Georgia" w:cs="Arial"/>
                <w:color w:val="222222"/>
                <w:sz w:val="20"/>
                <w:szCs w:val="20"/>
                <w:lang w:val="lt-LT"/>
              </w:rPr>
              <w:t xml:space="preserve"> </w:t>
            </w:r>
            <w:r w:rsidRPr="00AC3318">
              <w:rPr>
                <w:rStyle w:val="hps"/>
                <w:rFonts w:ascii="Georgia" w:hAnsi="Georgia" w:cs="Arial"/>
                <w:sz w:val="20"/>
                <w:szCs w:val="20"/>
                <w:lang w:val="lt-LT"/>
              </w:rPr>
              <w:t>gamybos</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ir</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statybų sektoriai</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ir toliau</w:t>
            </w:r>
            <w:r w:rsidRPr="00AC3318">
              <w:rPr>
                <w:rFonts w:ascii="Georgia" w:hAnsi="Georgia" w:cs="Arial"/>
                <w:color w:val="222222"/>
                <w:sz w:val="20"/>
                <w:szCs w:val="20"/>
                <w:lang w:val="lt-LT"/>
              </w:rPr>
              <w:t xml:space="preserve"> </w:t>
            </w:r>
            <w:r w:rsidRPr="00AC3318">
              <w:rPr>
                <w:rStyle w:val="hps"/>
                <w:rFonts w:ascii="Georgia" w:hAnsi="Georgia" w:cs="Arial"/>
                <w:sz w:val="20"/>
                <w:szCs w:val="20"/>
                <w:lang w:val="lt-LT"/>
              </w:rPr>
              <w:t>atleidinėjo darbuotojus</w:t>
            </w:r>
            <w:r w:rsidRPr="00AC3318">
              <w:rPr>
                <w:rStyle w:val="hps"/>
                <w:rFonts w:ascii="Georgia" w:hAnsi="Georgia" w:cs="Arial"/>
                <w:color w:val="222222"/>
                <w:sz w:val="20"/>
                <w:szCs w:val="20"/>
                <w:lang w:val="lt-LT"/>
              </w:rPr>
              <w:t>,</w:t>
            </w:r>
            <w:r w:rsidRPr="00AC3318">
              <w:rPr>
                <w:rFonts w:ascii="Georgia" w:hAnsi="Georgia" w:cs="Arial"/>
                <w:color w:val="222222"/>
                <w:sz w:val="20"/>
                <w:szCs w:val="20"/>
                <w:lang w:val="lt-LT"/>
              </w:rPr>
              <w:t xml:space="preserve"> tačiau </w:t>
            </w:r>
            <w:r w:rsidRPr="00AC3318">
              <w:rPr>
                <w:rStyle w:val="hps"/>
                <w:rFonts w:ascii="Georgia" w:hAnsi="Georgia" w:cs="Arial"/>
                <w:color w:val="222222"/>
                <w:sz w:val="20"/>
                <w:szCs w:val="20"/>
                <w:lang w:val="lt-LT"/>
              </w:rPr>
              <w:t>darbo rinkos rodikliai</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2013 metais</w:t>
            </w:r>
            <w:r w:rsidRPr="00AC3318">
              <w:rPr>
                <w:rFonts w:ascii="Georgia" w:hAnsi="Georgia" w:cs="Arial"/>
                <w:color w:val="222222"/>
                <w:sz w:val="20"/>
                <w:szCs w:val="20"/>
                <w:lang w:val="lt-LT"/>
              </w:rPr>
              <w:t xml:space="preserve"> rodė ir pozityvias tendencijas, daugiausiai nulemtas </w:t>
            </w:r>
            <w:r w:rsidRPr="00AC3318">
              <w:rPr>
                <w:rStyle w:val="hps"/>
                <w:rFonts w:ascii="Georgia" w:hAnsi="Georgia" w:cs="Arial"/>
                <w:color w:val="222222"/>
                <w:sz w:val="20"/>
                <w:szCs w:val="20"/>
                <w:lang w:val="lt-LT"/>
              </w:rPr>
              <w:t>užimtumo</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žemės ūkio sektoriuje didėjimo.</w:t>
            </w:r>
          </w:p>
          <w:p w14:paraId="7F5709D8" w14:textId="77777777"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Nuo 2013 m. vasaros buvo stebima defliacija, kuri atspindėjo specifinius vidinius ir tarptautinius faktorius (pvz., elektros kaina paskutinį kartą buvo sumažinta 2014 m. pr. ir suderintam vartotojų kainų indeksui turėjo maždaug 0,3 procentinių vienetų poveikį) ir atsargią vartotojų elgseną, nepaisant didėjančios realios perkamosios galios.</w:t>
            </w:r>
          </w:p>
          <w:p w14:paraId="4921A9D1" w14:textId="77777777"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Valdžios sektoriaus deficitas padidėjo nuo 0,8 proc. BVP (2012 m) iki 1,5 </w:t>
            </w:r>
            <w:r w:rsidRPr="00AC3318">
              <w:rPr>
                <w:rFonts w:ascii="Georgia" w:hAnsi="Georgia" w:cs="Arial"/>
                <w:sz w:val="20"/>
                <w:szCs w:val="20"/>
                <w:lang w:val="lt-LT"/>
              </w:rPr>
              <w:lastRenderedPageBreak/>
              <w:t>proc. (2013 m.) ir prognozuojama, kad dar labiau – iki 1,9 proc. – padidės 2014 m. Tai buvo sąlygota lėtesnio ekonomikos atsigavimo 2013 m. ir papildomų viešųjų išlaidų socialinėms reikmėms 2013 m. ir 2014 m. (įskaitant pensijų padidinimą), įvairių einamųjų išlaidų ir viešųjų investicijų.</w:t>
            </w:r>
          </w:p>
          <w:p w14:paraId="2B7C84A1" w14:textId="77777777"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Svarbiausios rizikos sietinos su šalies energetine priklausomybe nuo Rusijos Federacijos gamtinių dujų importo, kurio sutrikimai gali neigiamai įtakoti augimą. Gyventojų vartojimo augimo prognozės gali pasirodyti ne tokios optimistinės, kadangi Bulgarijos darbo rinka vis dar yra nestabili</w:t>
            </w:r>
            <w:r w:rsidRPr="00AC3318">
              <w:rPr>
                <w:rStyle w:val="Puslapioinaosnuoroda"/>
                <w:rFonts w:ascii="Georgia" w:hAnsi="Georgia" w:cs="Arial"/>
                <w:sz w:val="20"/>
                <w:szCs w:val="20"/>
                <w:lang w:val="lt-LT"/>
              </w:rPr>
              <w:footnoteReference w:id="187"/>
            </w:r>
            <w:r w:rsidRPr="00AC3318">
              <w:rPr>
                <w:rFonts w:ascii="Georgia" w:hAnsi="Georgia" w:cs="Arial"/>
                <w:sz w:val="20"/>
                <w:szCs w:val="20"/>
                <w:lang w:val="lt-LT"/>
              </w:rPr>
              <w:t>. Taip pat situaciją apsunkina neaiškumas dėl Ukrainoje vykstančio vidaus konflikto bei Kinijos ekonomikos augimo sulėtėjimo</w:t>
            </w:r>
            <w:r w:rsidRPr="00AC3318">
              <w:rPr>
                <w:rStyle w:val="Puslapioinaosnuoroda"/>
                <w:rFonts w:ascii="Georgia" w:hAnsi="Georgia" w:cs="Arial"/>
                <w:sz w:val="20"/>
                <w:szCs w:val="20"/>
                <w:lang w:val="lt-LT"/>
              </w:rPr>
              <w:footnoteReference w:id="188"/>
            </w:r>
            <w:r w:rsidRPr="00AC3318">
              <w:rPr>
                <w:rFonts w:ascii="Georgia" w:hAnsi="Georgia" w:cs="Arial"/>
                <w:sz w:val="20"/>
                <w:szCs w:val="20"/>
                <w:lang w:val="lt-LT"/>
              </w:rPr>
              <w:t>.</w:t>
            </w:r>
          </w:p>
          <w:p w14:paraId="62F8D5D3" w14:textId="77777777"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Pagrindinių makroekonominių rodiklių prognozės pateikiamos lentelėje.</w:t>
            </w:r>
          </w:p>
          <w:tbl>
            <w:tblPr>
              <w:tblW w:w="5000" w:type="pct"/>
              <w:tblLook w:val="04A0" w:firstRow="1" w:lastRow="0" w:firstColumn="1" w:lastColumn="0" w:noHBand="0" w:noVBand="1"/>
            </w:tblPr>
            <w:tblGrid>
              <w:gridCol w:w="2210"/>
              <w:gridCol w:w="1132"/>
              <w:gridCol w:w="1131"/>
              <w:gridCol w:w="1131"/>
              <w:gridCol w:w="1131"/>
            </w:tblGrid>
            <w:tr w:rsidR="00467B8E" w:rsidRPr="00E649A6" w14:paraId="16C82664" w14:textId="77777777" w:rsidTr="00C307BC">
              <w:tc>
                <w:tcPr>
                  <w:tcW w:w="1640" w:type="pct"/>
                  <w:shd w:val="clear" w:color="auto" w:fill="B8CCE4" w:themeFill="accent1" w:themeFillTint="66"/>
                </w:tcPr>
                <w:p w14:paraId="7F2FE879" w14:textId="77777777" w:rsidR="00467B8E" w:rsidRPr="00AC3318" w:rsidRDefault="00467B8E" w:rsidP="00AC3318">
                  <w:pPr>
                    <w:spacing w:line="240" w:lineRule="auto"/>
                    <w:jc w:val="center"/>
                    <w:rPr>
                      <w:rFonts w:ascii="Georgia" w:hAnsi="Georgia" w:cs="Arial"/>
                      <w:b/>
                      <w:sz w:val="20"/>
                      <w:szCs w:val="20"/>
                      <w:lang w:val="lt-LT"/>
                    </w:rPr>
                  </w:pPr>
                </w:p>
              </w:tc>
              <w:tc>
                <w:tcPr>
                  <w:tcW w:w="840" w:type="pct"/>
                  <w:shd w:val="clear" w:color="auto" w:fill="B8CCE4" w:themeFill="accent1" w:themeFillTint="66"/>
                </w:tcPr>
                <w:p w14:paraId="6BF66E94" w14:textId="77777777"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2012</w:t>
                  </w:r>
                </w:p>
              </w:tc>
              <w:tc>
                <w:tcPr>
                  <w:tcW w:w="840" w:type="pct"/>
                  <w:shd w:val="clear" w:color="auto" w:fill="B8CCE4" w:themeFill="accent1" w:themeFillTint="66"/>
                </w:tcPr>
                <w:p w14:paraId="67FD1115" w14:textId="77777777"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2013</w:t>
                  </w:r>
                </w:p>
              </w:tc>
              <w:tc>
                <w:tcPr>
                  <w:tcW w:w="840" w:type="pct"/>
                  <w:shd w:val="clear" w:color="auto" w:fill="B8CCE4" w:themeFill="accent1" w:themeFillTint="66"/>
                </w:tcPr>
                <w:p w14:paraId="7285536E" w14:textId="77777777"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2014</w:t>
                  </w:r>
                </w:p>
              </w:tc>
              <w:tc>
                <w:tcPr>
                  <w:tcW w:w="840" w:type="pct"/>
                  <w:shd w:val="clear" w:color="auto" w:fill="B8CCE4" w:themeFill="accent1" w:themeFillTint="66"/>
                </w:tcPr>
                <w:p w14:paraId="7FDE8603" w14:textId="77777777"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2015</w:t>
                  </w:r>
                </w:p>
              </w:tc>
            </w:tr>
            <w:tr w:rsidR="00467B8E" w:rsidRPr="00E649A6" w14:paraId="0A4B85FC" w14:textId="77777777" w:rsidTr="00C307BC">
              <w:tc>
                <w:tcPr>
                  <w:tcW w:w="1640" w:type="pct"/>
                  <w:shd w:val="clear" w:color="auto" w:fill="B8CCE4" w:themeFill="accent1" w:themeFillTint="66"/>
                </w:tcPr>
                <w:p w14:paraId="17758334" w14:textId="77777777" w:rsidR="00467B8E" w:rsidRPr="00AC3318" w:rsidRDefault="00467B8E" w:rsidP="00AC3318">
                  <w:pPr>
                    <w:spacing w:line="240" w:lineRule="auto"/>
                    <w:rPr>
                      <w:rFonts w:ascii="Georgia" w:hAnsi="Georgia" w:cs="Arial"/>
                      <w:b/>
                      <w:sz w:val="20"/>
                      <w:szCs w:val="20"/>
                      <w:lang w:val="lt-LT"/>
                    </w:rPr>
                  </w:pPr>
                  <w:r w:rsidRPr="00AC3318">
                    <w:rPr>
                      <w:rFonts w:ascii="Georgia" w:hAnsi="Georgia" w:cs="Arial"/>
                      <w:b/>
                      <w:sz w:val="20"/>
                      <w:szCs w:val="20"/>
                      <w:lang w:val="lt-LT"/>
                    </w:rPr>
                    <w:t>BVP augimas (proc.)</w:t>
                  </w:r>
                </w:p>
              </w:tc>
              <w:tc>
                <w:tcPr>
                  <w:tcW w:w="840" w:type="pct"/>
                </w:tcPr>
                <w:p w14:paraId="12371033"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0,6</w:t>
                  </w:r>
                </w:p>
              </w:tc>
              <w:tc>
                <w:tcPr>
                  <w:tcW w:w="840" w:type="pct"/>
                </w:tcPr>
                <w:p w14:paraId="657531BE"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0,9</w:t>
                  </w:r>
                </w:p>
              </w:tc>
              <w:tc>
                <w:tcPr>
                  <w:tcW w:w="840" w:type="pct"/>
                </w:tcPr>
                <w:p w14:paraId="5C022F39"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1,7</w:t>
                  </w:r>
                </w:p>
              </w:tc>
              <w:tc>
                <w:tcPr>
                  <w:tcW w:w="840" w:type="pct"/>
                </w:tcPr>
                <w:p w14:paraId="5ADA7872"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2,0</w:t>
                  </w:r>
                </w:p>
              </w:tc>
            </w:tr>
            <w:tr w:rsidR="00467B8E" w:rsidRPr="00E649A6" w14:paraId="6F7C4AF7" w14:textId="77777777" w:rsidTr="00C307BC">
              <w:tc>
                <w:tcPr>
                  <w:tcW w:w="1640" w:type="pct"/>
                  <w:shd w:val="clear" w:color="auto" w:fill="B8CCE4" w:themeFill="accent1" w:themeFillTint="66"/>
                </w:tcPr>
                <w:p w14:paraId="0E5FBC7D" w14:textId="77777777" w:rsidR="00467B8E" w:rsidRPr="00AC3318" w:rsidRDefault="00467B8E" w:rsidP="00AC3318">
                  <w:pPr>
                    <w:spacing w:line="240" w:lineRule="auto"/>
                    <w:rPr>
                      <w:rFonts w:ascii="Georgia" w:hAnsi="Georgia" w:cs="Arial"/>
                      <w:b/>
                      <w:sz w:val="20"/>
                      <w:szCs w:val="20"/>
                      <w:lang w:val="lt-LT"/>
                    </w:rPr>
                  </w:pPr>
                  <w:r w:rsidRPr="00AC3318">
                    <w:rPr>
                      <w:rFonts w:ascii="Georgia" w:hAnsi="Georgia" w:cs="Arial"/>
                      <w:b/>
                      <w:sz w:val="20"/>
                      <w:szCs w:val="20"/>
                      <w:lang w:val="lt-LT"/>
                    </w:rPr>
                    <w:t>Infliacija (proc.)</w:t>
                  </w:r>
                </w:p>
              </w:tc>
              <w:tc>
                <w:tcPr>
                  <w:tcW w:w="840" w:type="pct"/>
                </w:tcPr>
                <w:p w14:paraId="09CEB3C5"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2,4</w:t>
                  </w:r>
                </w:p>
              </w:tc>
              <w:tc>
                <w:tcPr>
                  <w:tcW w:w="840" w:type="pct"/>
                </w:tcPr>
                <w:p w14:paraId="59D3546C"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0,4</w:t>
                  </w:r>
                </w:p>
              </w:tc>
              <w:tc>
                <w:tcPr>
                  <w:tcW w:w="840" w:type="pct"/>
                </w:tcPr>
                <w:p w14:paraId="1B5A947E"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-0,8</w:t>
                  </w:r>
                </w:p>
              </w:tc>
              <w:tc>
                <w:tcPr>
                  <w:tcW w:w="840" w:type="pct"/>
                </w:tcPr>
                <w:p w14:paraId="7CFF76C4"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1,2</w:t>
                  </w:r>
                </w:p>
              </w:tc>
            </w:tr>
            <w:tr w:rsidR="00467B8E" w:rsidRPr="00E649A6" w14:paraId="542E3ABA" w14:textId="77777777" w:rsidTr="00C307BC">
              <w:tc>
                <w:tcPr>
                  <w:tcW w:w="1640" w:type="pct"/>
                  <w:shd w:val="clear" w:color="auto" w:fill="B8CCE4" w:themeFill="accent1" w:themeFillTint="66"/>
                </w:tcPr>
                <w:p w14:paraId="0E54D90C" w14:textId="77777777" w:rsidR="00467B8E" w:rsidRPr="00AC3318" w:rsidRDefault="00467B8E" w:rsidP="00AC3318">
                  <w:pPr>
                    <w:spacing w:line="240" w:lineRule="auto"/>
                    <w:rPr>
                      <w:rFonts w:ascii="Georgia" w:hAnsi="Georgia" w:cs="Arial"/>
                      <w:b/>
                      <w:sz w:val="20"/>
                      <w:szCs w:val="20"/>
                      <w:lang w:val="lt-LT"/>
                    </w:rPr>
                  </w:pPr>
                  <w:r w:rsidRPr="00AC3318">
                    <w:rPr>
                      <w:rFonts w:ascii="Georgia" w:hAnsi="Georgia" w:cs="Arial"/>
                      <w:b/>
                      <w:sz w:val="20"/>
                      <w:szCs w:val="20"/>
                      <w:lang w:val="lt-LT"/>
                    </w:rPr>
                    <w:t>Nedarbo lygis (proc.)</w:t>
                  </w:r>
                </w:p>
              </w:tc>
              <w:tc>
                <w:tcPr>
                  <w:tcW w:w="840" w:type="pct"/>
                </w:tcPr>
                <w:p w14:paraId="681769D0"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12,3</w:t>
                  </w:r>
                </w:p>
              </w:tc>
              <w:tc>
                <w:tcPr>
                  <w:tcW w:w="840" w:type="pct"/>
                </w:tcPr>
                <w:p w14:paraId="65434333"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13,0</w:t>
                  </w:r>
                </w:p>
              </w:tc>
              <w:tc>
                <w:tcPr>
                  <w:tcW w:w="840" w:type="pct"/>
                </w:tcPr>
                <w:p w14:paraId="6075F848"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12,8</w:t>
                  </w:r>
                </w:p>
              </w:tc>
              <w:tc>
                <w:tcPr>
                  <w:tcW w:w="840" w:type="pct"/>
                </w:tcPr>
                <w:p w14:paraId="28C2CC8E"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12,5</w:t>
                  </w:r>
                </w:p>
              </w:tc>
            </w:tr>
            <w:tr w:rsidR="00467B8E" w:rsidRPr="00E649A6" w14:paraId="6CF59254" w14:textId="77777777" w:rsidTr="00C307BC">
              <w:tc>
                <w:tcPr>
                  <w:tcW w:w="1640" w:type="pct"/>
                  <w:shd w:val="clear" w:color="auto" w:fill="B8CCE4" w:themeFill="accent1" w:themeFillTint="66"/>
                </w:tcPr>
                <w:p w14:paraId="0C8FD4EE" w14:textId="77777777" w:rsidR="00467B8E" w:rsidRPr="00AC3318" w:rsidRDefault="00467B8E" w:rsidP="00AC3318">
                  <w:pPr>
                    <w:spacing w:line="240" w:lineRule="auto"/>
                    <w:rPr>
                      <w:rFonts w:ascii="Georgia" w:hAnsi="Georgia" w:cs="Arial"/>
                      <w:b/>
                      <w:sz w:val="20"/>
                      <w:szCs w:val="20"/>
                      <w:lang w:val="lt-LT"/>
                    </w:rPr>
                  </w:pPr>
                  <w:r w:rsidRPr="00AC3318">
                    <w:rPr>
                      <w:rFonts w:ascii="Georgia" w:hAnsi="Georgia" w:cs="Arial"/>
                      <w:b/>
                      <w:sz w:val="20"/>
                      <w:szCs w:val="20"/>
                      <w:lang w:val="lt-LT"/>
                    </w:rPr>
                    <w:t>Valdžios sektoriaus deficitas (proc. nuo BVP)</w:t>
                  </w:r>
                </w:p>
              </w:tc>
              <w:tc>
                <w:tcPr>
                  <w:tcW w:w="840" w:type="pct"/>
                </w:tcPr>
                <w:p w14:paraId="04E85C65"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-0,8</w:t>
                  </w:r>
                </w:p>
              </w:tc>
              <w:tc>
                <w:tcPr>
                  <w:tcW w:w="840" w:type="pct"/>
                </w:tcPr>
                <w:p w14:paraId="612D4F6E"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-1,5</w:t>
                  </w:r>
                </w:p>
              </w:tc>
              <w:tc>
                <w:tcPr>
                  <w:tcW w:w="840" w:type="pct"/>
                </w:tcPr>
                <w:p w14:paraId="224D0668"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-1,9</w:t>
                  </w:r>
                </w:p>
              </w:tc>
              <w:tc>
                <w:tcPr>
                  <w:tcW w:w="840" w:type="pct"/>
                </w:tcPr>
                <w:p w14:paraId="7FFB7648"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-1,8</w:t>
                  </w:r>
                </w:p>
              </w:tc>
            </w:tr>
            <w:tr w:rsidR="00467B8E" w:rsidRPr="00E649A6" w14:paraId="2599A619" w14:textId="77777777" w:rsidTr="00C307BC">
              <w:tc>
                <w:tcPr>
                  <w:tcW w:w="1640" w:type="pct"/>
                  <w:shd w:val="clear" w:color="auto" w:fill="B8CCE4" w:themeFill="accent1" w:themeFillTint="66"/>
                </w:tcPr>
                <w:p w14:paraId="23FB8931" w14:textId="77777777" w:rsidR="00467B8E" w:rsidRPr="00AC3318" w:rsidRDefault="00467B8E" w:rsidP="00AC3318">
                  <w:pPr>
                    <w:spacing w:line="240" w:lineRule="auto"/>
                    <w:rPr>
                      <w:rFonts w:ascii="Georgia" w:hAnsi="Georgia" w:cs="Arial"/>
                      <w:b/>
                      <w:sz w:val="20"/>
                      <w:szCs w:val="20"/>
                      <w:lang w:val="lt-LT"/>
                    </w:rPr>
                  </w:pPr>
                  <w:r w:rsidRPr="00AC3318">
                    <w:rPr>
                      <w:rFonts w:ascii="Georgia" w:hAnsi="Georgia" w:cs="Arial"/>
                      <w:b/>
                      <w:sz w:val="20"/>
                      <w:szCs w:val="20"/>
                      <w:lang w:val="lt-LT"/>
                    </w:rPr>
                    <w:t>Bendroji valstybės skola (proc. nuo BVP)</w:t>
                  </w:r>
                </w:p>
              </w:tc>
              <w:tc>
                <w:tcPr>
                  <w:tcW w:w="840" w:type="pct"/>
                </w:tcPr>
                <w:p w14:paraId="03CAED34"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18,4</w:t>
                  </w:r>
                </w:p>
              </w:tc>
              <w:tc>
                <w:tcPr>
                  <w:tcW w:w="840" w:type="pct"/>
                </w:tcPr>
                <w:p w14:paraId="1AFA938C"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18,9</w:t>
                  </w:r>
                </w:p>
              </w:tc>
              <w:tc>
                <w:tcPr>
                  <w:tcW w:w="840" w:type="pct"/>
                </w:tcPr>
                <w:p w14:paraId="19FB296B"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23,1</w:t>
                  </w:r>
                </w:p>
              </w:tc>
              <w:tc>
                <w:tcPr>
                  <w:tcW w:w="840" w:type="pct"/>
                </w:tcPr>
                <w:p w14:paraId="5370B341"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22,7</w:t>
                  </w:r>
                </w:p>
              </w:tc>
            </w:tr>
            <w:tr w:rsidR="00467B8E" w:rsidRPr="00E649A6" w14:paraId="751D3132" w14:textId="77777777" w:rsidTr="00C307BC">
              <w:tc>
                <w:tcPr>
                  <w:tcW w:w="1640" w:type="pct"/>
                  <w:shd w:val="clear" w:color="auto" w:fill="B8CCE4" w:themeFill="accent1" w:themeFillTint="66"/>
                </w:tcPr>
                <w:p w14:paraId="1285CCA0" w14:textId="77777777" w:rsidR="00467B8E" w:rsidRPr="00AC3318" w:rsidRDefault="00467B8E" w:rsidP="00AC3318">
                  <w:pPr>
                    <w:spacing w:line="240" w:lineRule="auto"/>
                    <w:rPr>
                      <w:rFonts w:ascii="Georgia" w:hAnsi="Georgia" w:cs="Arial"/>
                      <w:b/>
                      <w:sz w:val="20"/>
                      <w:szCs w:val="20"/>
                      <w:lang w:val="lt-LT"/>
                    </w:rPr>
                  </w:pPr>
                  <w:r w:rsidRPr="00AC3318">
                    <w:rPr>
                      <w:rFonts w:ascii="Georgia" w:hAnsi="Georgia" w:cs="Arial"/>
                      <w:b/>
                      <w:sz w:val="20"/>
                      <w:szCs w:val="20"/>
                      <w:lang w:val="lt-LT"/>
                    </w:rPr>
                    <w:t>Einamosios sąskaitos balansas (proc. nuo BVP)</w:t>
                  </w:r>
                </w:p>
              </w:tc>
              <w:tc>
                <w:tcPr>
                  <w:tcW w:w="840" w:type="pct"/>
                </w:tcPr>
                <w:p w14:paraId="3207CACD"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-0,9</w:t>
                  </w:r>
                </w:p>
              </w:tc>
              <w:tc>
                <w:tcPr>
                  <w:tcW w:w="840" w:type="pct"/>
                </w:tcPr>
                <w:p w14:paraId="6FFBE88C"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1,9</w:t>
                  </w:r>
                </w:p>
              </w:tc>
              <w:tc>
                <w:tcPr>
                  <w:tcW w:w="840" w:type="pct"/>
                </w:tcPr>
                <w:p w14:paraId="2E15270A"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1,0</w:t>
                  </w:r>
                </w:p>
              </w:tc>
              <w:tc>
                <w:tcPr>
                  <w:tcW w:w="840" w:type="pct"/>
                </w:tcPr>
                <w:p w14:paraId="7C877EEC"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0,2</w:t>
                  </w:r>
                </w:p>
              </w:tc>
            </w:tr>
          </w:tbl>
          <w:p w14:paraId="7BF548F7" w14:textId="77777777" w:rsidR="00467B8E" w:rsidRPr="00AC3318" w:rsidRDefault="00467B8E" w:rsidP="00E649A6">
            <w:pPr>
              <w:spacing w:after="120"/>
              <w:cnfStyle w:val="000000100000" w:firstRow="0" w:lastRow="0" w:firstColumn="0" w:lastColumn="0" w:oddVBand="0" w:evenVBand="0" w:oddHBand="1" w:evenHBand="0" w:firstRowFirstColumn="0" w:firstRowLastColumn="0" w:lastRowFirstColumn="0" w:lastRowLastColumn="0"/>
              <w:rPr>
                <w:rFonts w:ascii="Georgia" w:hAnsi="Georgia" w:cs="Arial"/>
                <w:i/>
                <w:sz w:val="20"/>
                <w:szCs w:val="20"/>
                <w:lang w:val="lt-LT"/>
              </w:rPr>
            </w:pPr>
            <w:r w:rsidRPr="00AC3318">
              <w:rPr>
                <w:rFonts w:ascii="Georgia" w:hAnsi="Georgia" w:cs="Arial"/>
                <w:i/>
                <w:sz w:val="20"/>
                <w:szCs w:val="20"/>
                <w:lang w:val="lt-LT"/>
              </w:rPr>
              <w:t xml:space="preserve">Šaltinis: </w:t>
            </w:r>
            <w:hyperlink r:id="rId133" w:history="1">
              <w:r w:rsidRPr="00AC3318">
                <w:rPr>
                  <w:rStyle w:val="Hipersaitas"/>
                  <w:rFonts w:ascii="Georgia" w:hAnsi="Georgia" w:cs="Arial"/>
                  <w:i/>
                  <w:sz w:val="20"/>
                  <w:szCs w:val="20"/>
                  <w:lang w:val="lt-LT"/>
                </w:rPr>
                <w:t>http://ec.europa.eu/economy_finance/eu/countries/bulgaria_en.htm</w:t>
              </w:r>
            </w:hyperlink>
            <w:r w:rsidRPr="00AC3318">
              <w:rPr>
                <w:rFonts w:ascii="Georgia" w:hAnsi="Georgia" w:cs="Arial"/>
                <w:i/>
                <w:sz w:val="20"/>
                <w:szCs w:val="20"/>
                <w:lang w:val="lt-LT"/>
              </w:rPr>
              <w:t xml:space="preserve"> </w:t>
            </w:r>
          </w:p>
        </w:tc>
      </w:tr>
      <w:tr w:rsidR="00467B8E" w:rsidRPr="002C025E" w14:paraId="1ACD4361" w14:textId="77777777" w:rsidTr="00467B8E">
        <w:tc>
          <w:tcPr>
            <w:cnfStyle w:val="001000000000" w:firstRow="0" w:lastRow="0" w:firstColumn="1" w:lastColumn="0" w:oddVBand="0" w:evenVBand="0" w:oddHBand="0" w:evenHBand="0" w:firstRowFirstColumn="0" w:firstRowLastColumn="0" w:lastRowFirstColumn="0" w:lastRowLastColumn="0"/>
            <w:tcW w:w="281" w:type="pct"/>
          </w:tcPr>
          <w:p w14:paraId="0A68C320" w14:textId="77777777" w:rsidR="00467B8E" w:rsidRPr="00AC3318" w:rsidRDefault="00467B8E" w:rsidP="00E649A6">
            <w:pPr>
              <w:rPr>
                <w:rFonts w:ascii="Georgia" w:hAnsi="Georgia"/>
                <w:b w:val="0"/>
                <w:sz w:val="20"/>
                <w:szCs w:val="20"/>
                <w:lang w:val="lt-LT"/>
              </w:rPr>
            </w:pPr>
            <w:r w:rsidRPr="00AC3318">
              <w:rPr>
                <w:rFonts w:ascii="Georgia" w:hAnsi="Georgia"/>
                <w:sz w:val="20"/>
                <w:szCs w:val="20"/>
                <w:lang w:val="lt-LT"/>
              </w:rPr>
              <w:lastRenderedPageBreak/>
              <w:t>1.3</w:t>
            </w:r>
          </w:p>
        </w:tc>
        <w:tc>
          <w:tcPr>
            <w:tcW w:w="959" w:type="pct"/>
          </w:tcPr>
          <w:p w14:paraId="701267B5" w14:textId="77777777"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Finansų institucijų sektoriaus apžvalga</w:t>
            </w:r>
          </w:p>
        </w:tc>
        <w:tc>
          <w:tcPr>
            <w:tcW w:w="3760" w:type="pct"/>
          </w:tcPr>
          <w:p w14:paraId="0D2176BB" w14:textId="77777777"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Style w:val="hps"/>
                <w:rFonts w:ascii="Georgia" w:hAnsi="Georgia" w:cs="Arial"/>
                <w:color w:val="222222"/>
                <w:sz w:val="20"/>
                <w:szCs w:val="20"/>
                <w:lang w:val="lt-LT"/>
              </w:rPr>
              <w:t>Ekonominio sunkmečio pradžioje</w:t>
            </w:r>
            <w:r w:rsidRPr="00AC3318">
              <w:rPr>
                <w:rFonts w:ascii="Georgia" w:hAnsi="Georgia" w:cs="Arial"/>
                <w:color w:val="222222"/>
                <w:sz w:val="20"/>
                <w:szCs w:val="20"/>
                <w:lang w:val="lt-LT"/>
              </w:rPr>
              <w:t xml:space="preserve"> </w:t>
            </w:r>
            <w:r w:rsidRPr="00AC3318">
              <w:rPr>
                <w:rStyle w:val="hps"/>
                <w:rFonts w:ascii="Georgia" w:hAnsi="Georgia" w:cs="Arial"/>
                <w:sz w:val="20"/>
                <w:szCs w:val="20"/>
                <w:lang w:val="lt-LT"/>
              </w:rPr>
              <w:t>Bulgarijos</w:t>
            </w:r>
            <w:r w:rsidRPr="00AC3318">
              <w:rPr>
                <w:rStyle w:val="hps"/>
                <w:rFonts w:ascii="Georgia" w:hAnsi="Georgia" w:cs="Arial"/>
                <w:color w:val="222222"/>
                <w:sz w:val="20"/>
                <w:szCs w:val="20"/>
                <w:lang w:val="lt-LT"/>
              </w:rPr>
              <w:t xml:space="preserve"> bankų</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politika buvo</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konservatyvi</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o tai dar labiau</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prisidėjo prie</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ekonomikos</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nuosmukio</w:t>
            </w:r>
            <w:r w:rsidRPr="00AC3318">
              <w:rPr>
                <w:rFonts w:ascii="Georgia" w:hAnsi="Georgia" w:cs="Arial"/>
                <w:color w:val="222222"/>
                <w:sz w:val="20"/>
                <w:szCs w:val="20"/>
                <w:lang w:val="lt-LT"/>
              </w:rPr>
              <w:t xml:space="preserve">, tačiau tuo pačiu </w:t>
            </w:r>
            <w:r w:rsidRPr="00AC3318">
              <w:rPr>
                <w:rStyle w:val="hps"/>
                <w:rFonts w:ascii="Georgia" w:hAnsi="Georgia" w:cs="Arial"/>
                <w:color w:val="222222"/>
                <w:sz w:val="20"/>
                <w:szCs w:val="20"/>
                <w:lang w:val="lt-LT"/>
              </w:rPr>
              <w:t>sumažino</w:t>
            </w:r>
            <w:r w:rsidRPr="00AC3318">
              <w:rPr>
                <w:rFonts w:ascii="Georgia" w:hAnsi="Georgia" w:cs="Arial"/>
                <w:color w:val="222222"/>
                <w:sz w:val="20"/>
                <w:szCs w:val="20"/>
                <w:lang w:val="lt-LT"/>
              </w:rPr>
              <w:t xml:space="preserve"> </w:t>
            </w:r>
            <w:r w:rsidRPr="00AC3318">
              <w:rPr>
                <w:rStyle w:val="hps"/>
                <w:rFonts w:ascii="Georgia" w:hAnsi="Georgia" w:cs="Arial"/>
                <w:sz w:val="20"/>
                <w:szCs w:val="20"/>
                <w:lang w:val="lt-LT"/>
              </w:rPr>
              <w:t>nelikvidžių aktyvų</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riziką. B</w:t>
            </w:r>
            <w:r w:rsidRPr="00AC3318">
              <w:rPr>
                <w:rFonts w:ascii="Georgia" w:hAnsi="Georgia" w:cs="Arial"/>
                <w:sz w:val="20"/>
                <w:szCs w:val="20"/>
                <w:lang w:val="lt-LT"/>
              </w:rPr>
              <w:t>ankų veiklą reguliuojantys teisės aktai buvo sąlyginai griežti per ekonomikos pakilimą, tačiau vėliau buvo šiek tiek sušvelninti. Remiantis Bulgarijos nacionalinio banko (BNB) ekonomine apžvalga, Bulgarijos bankų, kurie savo veikloje orientuojasi į tradicinį skolinimą ekonomikai ir investicijas į mažos rizikos vertybinius popierius, verslo modelis ekonominės krizės metu pasiteisino kaip stabilus ir patikimas</w:t>
            </w:r>
            <w:r w:rsidRPr="00AC3318">
              <w:rPr>
                <w:rStyle w:val="Puslapioinaosnuoroda"/>
                <w:rFonts w:ascii="Georgia" w:hAnsi="Georgia" w:cs="Arial"/>
                <w:sz w:val="20"/>
                <w:szCs w:val="20"/>
                <w:lang w:val="lt-LT"/>
              </w:rPr>
              <w:footnoteReference w:id="189"/>
            </w:r>
            <w:r w:rsidRPr="00AC3318">
              <w:rPr>
                <w:rFonts w:ascii="Georgia" w:hAnsi="Georgia" w:cs="Arial"/>
                <w:sz w:val="20"/>
                <w:szCs w:val="20"/>
                <w:lang w:val="lt-LT"/>
              </w:rPr>
              <w:t>.</w:t>
            </w:r>
          </w:p>
          <w:p w14:paraId="57D48DAB" w14:textId="77777777"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2014 m. į Bulgarijos bankų sistemą pritrauktos lėšos toliau smarkiai viršyja paklausą paskoloms. 2014 m. vasario mėn. užfiksuotas 8,7 proc. nevyriausybinio sektoriaus indėlių vertės metinis augimas. Tuo tarpu nevyriausybinio sektoriaus skolinimosi augimas išliko žemas – 0,8 proc. Ypatingai prie to prisidėjo energetikos</w:t>
            </w:r>
            <w:r w:rsidRPr="00AC3318">
              <w:rPr>
                <w:rStyle w:val="Puslapioinaosnuoroda"/>
                <w:rFonts w:ascii="Georgia" w:hAnsi="Georgia" w:cs="Arial"/>
                <w:sz w:val="20"/>
                <w:szCs w:val="20"/>
                <w:lang w:val="lt-LT"/>
              </w:rPr>
              <w:footnoteReference w:id="190"/>
            </w:r>
            <w:r w:rsidRPr="00AC3318">
              <w:rPr>
                <w:rFonts w:ascii="Georgia" w:hAnsi="Georgia" w:cs="Arial"/>
                <w:sz w:val="20"/>
                <w:szCs w:val="20"/>
                <w:lang w:val="lt-LT"/>
              </w:rPr>
              <w:t xml:space="preserve"> ir kitų paslaugų sektoriai. Tuo </w:t>
            </w:r>
            <w:r w:rsidRPr="00AC3318">
              <w:rPr>
                <w:rFonts w:ascii="Georgia" w:hAnsi="Georgia" w:cs="Arial"/>
                <w:sz w:val="20"/>
                <w:szCs w:val="20"/>
                <w:lang w:val="lt-LT"/>
              </w:rPr>
              <w:lastRenderedPageBreak/>
              <w:t>tarpu svarbiausiu augimą lėmusiu faktoriumi buvo nekilnojamojo turto sektoriaus paskolų apimčių didėjimas. Paskolų paklausos augimas išliko mažas pirmiausiai dėl žemo ilgalaikio ekonomikos aktyvumo ir atsargios bankų skolinimo politikos. Kita vertus, skolinimosi apimtys 2014 m. išliko didelės.</w:t>
            </w:r>
          </w:p>
          <w:p w14:paraId="104BB9A2" w14:textId="77777777"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Siekdami optimizuoti valdomo turto grąžą, bankai didžiąją dalį pritrauktų lėšų investavo į užsienio kapitalą, mokėjo savo užsienio įsipareigojimus ir investavo į Bulgarijos vyriausybės išleistus vertybinius popierius.</w:t>
            </w:r>
          </w:p>
          <w:p w14:paraId="441D2D87" w14:textId="77777777"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Palyginti sparti iš gyventojų pritraukiamų lėšų augimo tendencija turėtų išlikti nepakitusi ir 2014 m. II ir III ketv.</w:t>
            </w:r>
            <w:r>
              <w:rPr>
                <w:rFonts w:ascii="Georgia" w:hAnsi="Georgia" w:cs="Arial"/>
                <w:sz w:val="20"/>
                <w:szCs w:val="20"/>
                <w:lang w:val="lt-LT"/>
              </w:rPr>
              <w:t xml:space="preserve"> </w:t>
            </w:r>
            <w:r w:rsidRPr="00AC3318">
              <w:rPr>
                <w:rFonts w:ascii="Georgia" w:hAnsi="Georgia" w:cs="Arial"/>
                <w:sz w:val="20"/>
                <w:szCs w:val="20"/>
                <w:lang w:val="lt-LT"/>
              </w:rPr>
              <w:t>, kas padės užtikrinti aukštą bankų sistemos likvidumą ir bankų užsienio grynojo turto didėjimą. Taip pat tikimasi, kad suaktyvės bankų skolinimas nevyriausybiniam sektoriui, atsižvelgiant į palaipsniui augantį ekonominės veiklos aktyvumą.</w:t>
            </w:r>
          </w:p>
          <w:p w14:paraId="2E687E4B" w14:textId="77777777"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2014 m. I ketv. išnyko tarpbankinių pinigų rinkos palūkanų normos mažėjimo tendencija. Prekybos apimtys Bulgarijos pinigų rinkoje išliko santykinai mažos, kadangi rinka turi tik pagalbinį vaidmenį bankų likvidumo valdymo procesuose.</w:t>
            </w:r>
          </w:p>
          <w:p w14:paraId="79C1CC73" w14:textId="77777777"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Namų ūkių ir įmonių indėlių palūkanų norma toliau mažėjo. Tai buvo nulemta ženklaus gyventojų indėlių apimčių didėjimo ir santykinai mažos paskolų paklausos. 2014 m. vasario mėn. naujų terminuotųjų indėlių vidutinė svertinė palūkanų norma buvo 3,06 proc. (3,80 proc. 2013 m. vasarį). 2014 m. vasario mėn. naujų paskolų nefinansinėms korporacijoms palūkanų norma buvo 7,8 proc. (paskoloms Bulgarijos levais) ir 8,1 proc. (paskoloms eurais). Bendros kredito kainos metinė procentinė norma (APRC) namų ūkių vartojimo paskoloms šiek tiek padidėjo per pirmuosius du 2014 m. mėnesius. Tokia tendencija stebima nuo 2013 m. vidurio. Naujų būsto paskolų (Bulgarijos levais) metinė palūkanų norma stabilizavosi 2013 m. IV ketv. lygyje. 2014 m. vasario mėn. metinė vartojimo ir būsto paskolų palūkanų norma sudarė atitinkamai 12,6 proc. ir 7,9 proc.</w:t>
            </w:r>
            <w:r w:rsidRPr="00AC3318">
              <w:rPr>
                <w:rStyle w:val="Puslapioinaosnuoroda"/>
                <w:rFonts w:ascii="Georgia" w:hAnsi="Georgia" w:cs="Arial"/>
                <w:sz w:val="20"/>
                <w:szCs w:val="20"/>
                <w:lang w:val="lt-LT"/>
              </w:rPr>
              <w:footnoteReference w:id="191"/>
            </w:r>
          </w:p>
        </w:tc>
      </w:tr>
      <w:tr w:rsidR="00467B8E" w:rsidRPr="002C025E" w14:paraId="0677C525" w14:textId="77777777"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 w:type="pct"/>
          </w:tcPr>
          <w:p w14:paraId="4F9E8D6B" w14:textId="77777777" w:rsidR="00467B8E" w:rsidRPr="00AC3318" w:rsidRDefault="00467B8E" w:rsidP="00E649A6">
            <w:pPr>
              <w:rPr>
                <w:rFonts w:ascii="Georgia" w:hAnsi="Georgia"/>
                <w:b w:val="0"/>
                <w:sz w:val="20"/>
                <w:szCs w:val="20"/>
                <w:lang w:val="lt-LT"/>
              </w:rPr>
            </w:pPr>
            <w:r w:rsidRPr="00AC3318">
              <w:rPr>
                <w:rFonts w:ascii="Georgia" w:hAnsi="Georgia"/>
                <w:sz w:val="20"/>
                <w:szCs w:val="20"/>
                <w:lang w:val="lt-LT"/>
              </w:rPr>
              <w:lastRenderedPageBreak/>
              <w:t>2.</w:t>
            </w:r>
          </w:p>
        </w:tc>
        <w:tc>
          <w:tcPr>
            <w:tcW w:w="959" w:type="pct"/>
          </w:tcPr>
          <w:p w14:paraId="10A43005" w14:textId="77777777" w:rsidR="00467B8E" w:rsidRPr="00AC3318" w:rsidRDefault="00467B8E" w:rsidP="00E649A6">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Pr>
                <w:rFonts w:ascii="Georgia" w:hAnsi="Georgia"/>
                <w:b/>
                <w:sz w:val="20"/>
                <w:szCs w:val="20"/>
                <w:lang w:val="lt-LT"/>
              </w:rPr>
              <w:t>Finansinės priemonės</w:t>
            </w:r>
            <w:r w:rsidRPr="00AC3318" w:rsidDel="00445E51">
              <w:rPr>
                <w:rFonts w:ascii="Georgia" w:hAnsi="Georgia"/>
                <w:b/>
                <w:sz w:val="20"/>
                <w:szCs w:val="20"/>
                <w:lang w:val="lt-LT"/>
              </w:rPr>
              <w:t xml:space="preserve"> </w:t>
            </w:r>
            <w:r w:rsidRPr="00AC3318">
              <w:rPr>
                <w:rFonts w:ascii="Georgia" w:hAnsi="Georgia"/>
                <w:b/>
                <w:sz w:val="20"/>
                <w:szCs w:val="20"/>
                <w:lang w:val="lt-LT"/>
              </w:rPr>
              <w:t>tikslai</w:t>
            </w:r>
          </w:p>
        </w:tc>
        <w:tc>
          <w:tcPr>
            <w:tcW w:w="3760" w:type="pct"/>
          </w:tcPr>
          <w:p w14:paraId="05D2E3BF" w14:textId="77777777"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Palengvinti energijos efektyvumo investicijas bei paskatinti energijos efektyvumo sektoriaus rinkos plėtrą ir atsinaujinančių energijos išteklių projektus tarp galutinių energijos naudotojų: savivaldybių, pramonės įmonių ir ESCO.</w:t>
            </w:r>
          </w:p>
        </w:tc>
      </w:tr>
      <w:tr w:rsidR="00467B8E" w:rsidRPr="002C025E" w14:paraId="4D1FC87B" w14:textId="77777777" w:rsidTr="00467B8E">
        <w:tc>
          <w:tcPr>
            <w:cnfStyle w:val="001000000000" w:firstRow="0" w:lastRow="0" w:firstColumn="1" w:lastColumn="0" w:oddVBand="0" w:evenVBand="0" w:oddHBand="0" w:evenHBand="0" w:firstRowFirstColumn="0" w:firstRowLastColumn="0" w:lastRowFirstColumn="0" w:lastRowLastColumn="0"/>
            <w:tcW w:w="281" w:type="pct"/>
          </w:tcPr>
          <w:p w14:paraId="3BD2DD1B" w14:textId="77777777" w:rsidR="00467B8E" w:rsidRPr="00AC3318" w:rsidRDefault="00467B8E" w:rsidP="00E649A6">
            <w:pPr>
              <w:rPr>
                <w:rFonts w:ascii="Georgia" w:hAnsi="Georgia"/>
                <w:b w:val="0"/>
                <w:sz w:val="20"/>
                <w:szCs w:val="20"/>
                <w:lang w:val="lt-LT"/>
              </w:rPr>
            </w:pPr>
            <w:r w:rsidRPr="00AC3318">
              <w:rPr>
                <w:rFonts w:ascii="Georgia" w:hAnsi="Georgia"/>
                <w:sz w:val="20"/>
                <w:szCs w:val="20"/>
                <w:lang w:val="lt-LT"/>
              </w:rPr>
              <w:t>3.</w:t>
            </w:r>
          </w:p>
        </w:tc>
        <w:tc>
          <w:tcPr>
            <w:tcW w:w="959" w:type="pct"/>
          </w:tcPr>
          <w:p w14:paraId="23792549" w14:textId="77777777"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Tikslinė rinka</w:t>
            </w:r>
          </w:p>
        </w:tc>
        <w:tc>
          <w:tcPr>
            <w:tcW w:w="3760" w:type="pct"/>
          </w:tcPr>
          <w:p w14:paraId="79981824" w14:textId="77777777" w:rsidR="00467B8E" w:rsidRPr="00AC3318" w:rsidRDefault="00467B8E" w:rsidP="00E649A6">
            <w:p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2010 m. duomenimis bendras pastatų plotas Bulgarijoje buvo apie 262 mln. m², iš kurių 212 mln. m² buvo gyvenamosios paskirties pastatai ir 50 mln. m² – ne gyvenamosios paskirties pastatai. Naujesni duomenys nėra prieinami, tačiau, įvertinus naujų statybų apimtis, paklaida neturėtų būti didelė. Lentelėje pateikiama informacija apie konkrečius Energijos efektyvumo ir atsinaujinančių išteklių fondo (toliau – EERSF) veikloje aktualius segmentus.</w:t>
            </w:r>
          </w:p>
          <w:tbl>
            <w:tblPr>
              <w:tblW w:w="0" w:type="auto"/>
              <w:tblLook w:val="04A0" w:firstRow="1" w:lastRow="0" w:firstColumn="1" w:lastColumn="0" w:noHBand="0" w:noVBand="1"/>
            </w:tblPr>
            <w:tblGrid>
              <w:gridCol w:w="1832"/>
              <w:gridCol w:w="1692"/>
              <w:gridCol w:w="1574"/>
              <w:gridCol w:w="1637"/>
            </w:tblGrid>
            <w:tr w:rsidR="00467B8E" w:rsidRPr="00E649A6" w14:paraId="03ABA327" w14:textId="77777777" w:rsidTr="00C307BC">
              <w:tc>
                <w:tcPr>
                  <w:tcW w:w="2653" w:type="dxa"/>
                  <w:shd w:val="clear" w:color="auto" w:fill="B8CCE4" w:themeFill="accent1" w:themeFillTint="66"/>
                </w:tcPr>
                <w:p w14:paraId="5AE306E0" w14:textId="77777777"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Pastatų tipas</w:t>
                  </w:r>
                </w:p>
              </w:tc>
              <w:tc>
                <w:tcPr>
                  <w:tcW w:w="2653" w:type="dxa"/>
                  <w:shd w:val="clear" w:color="auto" w:fill="B8CCE4" w:themeFill="accent1" w:themeFillTint="66"/>
                </w:tcPr>
                <w:p w14:paraId="528BAB7F" w14:textId="77777777"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Pastatų skaičius (vnt.)</w:t>
                  </w:r>
                </w:p>
              </w:tc>
              <w:tc>
                <w:tcPr>
                  <w:tcW w:w="2653" w:type="dxa"/>
                  <w:shd w:val="clear" w:color="auto" w:fill="B8CCE4" w:themeFill="accent1" w:themeFillTint="66"/>
                </w:tcPr>
                <w:p w14:paraId="533F0519" w14:textId="77777777"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Plotas (mln. m</w:t>
                  </w:r>
                  <w:r w:rsidRPr="00AC3318">
                    <w:rPr>
                      <w:rFonts w:ascii="Georgia" w:hAnsi="Georgia" w:cs="Arial"/>
                      <w:b/>
                      <w:sz w:val="20"/>
                      <w:szCs w:val="20"/>
                      <w:vertAlign w:val="superscript"/>
                      <w:lang w:val="lt-LT"/>
                    </w:rPr>
                    <w:t>2</w:t>
                  </w:r>
                  <w:r w:rsidRPr="00AC3318">
                    <w:rPr>
                      <w:rFonts w:ascii="Georgia" w:hAnsi="Georgia" w:cs="Arial"/>
                      <w:b/>
                      <w:sz w:val="20"/>
                      <w:szCs w:val="20"/>
                      <w:lang w:val="lt-LT"/>
                    </w:rPr>
                    <w:t>)</w:t>
                  </w:r>
                </w:p>
              </w:tc>
              <w:tc>
                <w:tcPr>
                  <w:tcW w:w="2653" w:type="dxa"/>
                  <w:shd w:val="clear" w:color="auto" w:fill="B8CCE4" w:themeFill="accent1" w:themeFillTint="66"/>
                </w:tcPr>
                <w:p w14:paraId="33B36161" w14:textId="77777777"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Nauja statyba (proc.)</w:t>
                  </w:r>
                </w:p>
              </w:tc>
            </w:tr>
            <w:tr w:rsidR="00467B8E" w:rsidRPr="00E649A6" w14:paraId="46C68EAF" w14:textId="77777777" w:rsidTr="00C307BC">
              <w:tc>
                <w:tcPr>
                  <w:tcW w:w="2653" w:type="dxa"/>
                </w:tcPr>
                <w:p w14:paraId="6A9ECBA2" w14:textId="77777777" w:rsidR="00467B8E" w:rsidRPr="00AC3318" w:rsidRDefault="00467B8E" w:rsidP="00AC3318">
                  <w:pPr>
                    <w:spacing w:line="240" w:lineRule="auto"/>
                    <w:rPr>
                      <w:rFonts w:ascii="Georgia" w:hAnsi="Georgia" w:cs="Arial"/>
                      <w:sz w:val="20"/>
                      <w:szCs w:val="20"/>
                      <w:lang w:val="lt-LT"/>
                    </w:rPr>
                  </w:pPr>
                  <w:r w:rsidRPr="00AC3318">
                    <w:rPr>
                      <w:rFonts w:ascii="Georgia" w:hAnsi="Georgia" w:cs="Arial"/>
                      <w:sz w:val="20"/>
                      <w:szCs w:val="20"/>
                      <w:lang w:val="lt-LT"/>
                    </w:rPr>
                    <w:t>Privataus ir viešojo sektoriaus biurai</w:t>
                  </w:r>
                </w:p>
              </w:tc>
              <w:tc>
                <w:tcPr>
                  <w:tcW w:w="2653" w:type="dxa"/>
                </w:tcPr>
                <w:p w14:paraId="68F6F618"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N/D</w:t>
                  </w:r>
                </w:p>
              </w:tc>
              <w:tc>
                <w:tcPr>
                  <w:tcW w:w="2653" w:type="dxa"/>
                </w:tcPr>
                <w:p w14:paraId="654BD44D"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20,4</w:t>
                  </w:r>
                </w:p>
              </w:tc>
              <w:tc>
                <w:tcPr>
                  <w:tcW w:w="2653" w:type="dxa"/>
                </w:tcPr>
                <w:p w14:paraId="291C8928"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0,8</w:t>
                  </w:r>
                </w:p>
              </w:tc>
            </w:tr>
            <w:tr w:rsidR="00467B8E" w:rsidRPr="00E649A6" w14:paraId="6614304A" w14:textId="77777777" w:rsidTr="00C307BC">
              <w:tc>
                <w:tcPr>
                  <w:tcW w:w="2653" w:type="dxa"/>
                </w:tcPr>
                <w:p w14:paraId="4A5CB088" w14:textId="77777777" w:rsidR="00467B8E" w:rsidRPr="00AC3318" w:rsidRDefault="00467B8E" w:rsidP="00AC3318">
                  <w:pPr>
                    <w:spacing w:line="240" w:lineRule="auto"/>
                    <w:rPr>
                      <w:rFonts w:ascii="Georgia" w:hAnsi="Georgia" w:cs="Arial"/>
                      <w:sz w:val="20"/>
                      <w:szCs w:val="20"/>
                      <w:lang w:val="lt-LT"/>
                    </w:rPr>
                  </w:pPr>
                  <w:r w:rsidRPr="00AC3318">
                    <w:rPr>
                      <w:rFonts w:ascii="Georgia" w:hAnsi="Georgia" w:cs="Arial"/>
                      <w:sz w:val="20"/>
                      <w:szCs w:val="20"/>
                      <w:lang w:val="lt-LT"/>
                    </w:rPr>
                    <w:t>Sveikatos apsaugos pastatai</w:t>
                  </w:r>
                </w:p>
              </w:tc>
              <w:tc>
                <w:tcPr>
                  <w:tcW w:w="2653" w:type="dxa"/>
                </w:tcPr>
                <w:p w14:paraId="60ED2CE4"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2.300</w:t>
                  </w:r>
                </w:p>
              </w:tc>
              <w:tc>
                <w:tcPr>
                  <w:tcW w:w="2653" w:type="dxa"/>
                </w:tcPr>
                <w:p w14:paraId="05E01EB8"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2.1</w:t>
                  </w:r>
                </w:p>
              </w:tc>
              <w:tc>
                <w:tcPr>
                  <w:tcW w:w="2653" w:type="dxa"/>
                </w:tcPr>
                <w:p w14:paraId="02071DF0"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0</w:t>
                  </w:r>
                </w:p>
              </w:tc>
            </w:tr>
            <w:tr w:rsidR="00467B8E" w:rsidRPr="00E649A6" w14:paraId="36170CD9" w14:textId="77777777" w:rsidTr="00C307BC">
              <w:tc>
                <w:tcPr>
                  <w:tcW w:w="2653" w:type="dxa"/>
                </w:tcPr>
                <w:p w14:paraId="2F8D7841" w14:textId="77777777" w:rsidR="00467B8E" w:rsidRPr="00AC3318" w:rsidRDefault="00467B8E" w:rsidP="00AC3318">
                  <w:pPr>
                    <w:spacing w:line="240" w:lineRule="auto"/>
                    <w:rPr>
                      <w:rFonts w:ascii="Georgia" w:hAnsi="Georgia" w:cs="Arial"/>
                      <w:sz w:val="20"/>
                      <w:szCs w:val="20"/>
                      <w:lang w:val="lt-LT"/>
                    </w:rPr>
                  </w:pPr>
                  <w:r w:rsidRPr="00AC3318">
                    <w:rPr>
                      <w:rFonts w:ascii="Georgia" w:hAnsi="Georgia" w:cs="Arial"/>
                      <w:sz w:val="20"/>
                      <w:szCs w:val="20"/>
                      <w:lang w:val="lt-LT"/>
                    </w:rPr>
                    <w:t>Švietimo įstaigų pastatai</w:t>
                  </w:r>
                </w:p>
              </w:tc>
              <w:tc>
                <w:tcPr>
                  <w:tcW w:w="2653" w:type="dxa"/>
                </w:tcPr>
                <w:p w14:paraId="614B1946"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7.700</w:t>
                  </w:r>
                </w:p>
              </w:tc>
              <w:tc>
                <w:tcPr>
                  <w:tcW w:w="2653" w:type="dxa"/>
                </w:tcPr>
                <w:p w14:paraId="19156D18"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12,1</w:t>
                  </w:r>
                </w:p>
              </w:tc>
              <w:tc>
                <w:tcPr>
                  <w:tcW w:w="2653" w:type="dxa"/>
                </w:tcPr>
                <w:p w14:paraId="66070350"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0</w:t>
                  </w:r>
                </w:p>
              </w:tc>
            </w:tr>
            <w:tr w:rsidR="00467B8E" w:rsidRPr="00E649A6" w14:paraId="6E47C838" w14:textId="77777777" w:rsidTr="00C307BC">
              <w:tc>
                <w:tcPr>
                  <w:tcW w:w="2653" w:type="dxa"/>
                </w:tcPr>
                <w:p w14:paraId="2D54B32E" w14:textId="77777777" w:rsidR="00467B8E" w:rsidRPr="00AC3318" w:rsidRDefault="00467B8E" w:rsidP="00AC3318">
                  <w:pPr>
                    <w:spacing w:line="240" w:lineRule="auto"/>
                    <w:rPr>
                      <w:rFonts w:ascii="Georgia" w:hAnsi="Georgia" w:cs="Arial"/>
                      <w:sz w:val="20"/>
                      <w:szCs w:val="20"/>
                      <w:lang w:val="lt-LT"/>
                    </w:rPr>
                  </w:pPr>
                  <w:r w:rsidRPr="00AC3318">
                    <w:rPr>
                      <w:rFonts w:ascii="Georgia" w:hAnsi="Georgia" w:cs="Arial"/>
                      <w:sz w:val="20"/>
                      <w:szCs w:val="20"/>
                      <w:lang w:val="lt-LT"/>
                    </w:rPr>
                    <w:lastRenderedPageBreak/>
                    <w:t>Pramoninės paskirties pastatai</w:t>
                  </w:r>
                </w:p>
              </w:tc>
              <w:tc>
                <w:tcPr>
                  <w:tcW w:w="2653" w:type="dxa"/>
                </w:tcPr>
                <w:p w14:paraId="256AB717"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N/D</w:t>
                  </w:r>
                </w:p>
              </w:tc>
              <w:tc>
                <w:tcPr>
                  <w:tcW w:w="2653" w:type="dxa"/>
                </w:tcPr>
                <w:p w14:paraId="09FEBCDC"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2,07</w:t>
                  </w:r>
                </w:p>
              </w:tc>
              <w:tc>
                <w:tcPr>
                  <w:tcW w:w="2653" w:type="dxa"/>
                </w:tcPr>
                <w:p w14:paraId="0C9FECB0"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0</w:t>
                  </w:r>
                </w:p>
              </w:tc>
            </w:tr>
          </w:tbl>
          <w:p w14:paraId="52D8F398" w14:textId="77777777" w:rsidR="00467B8E" w:rsidRPr="00AC3318" w:rsidRDefault="00467B8E" w:rsidP="00E649A6">
            <w:pPr>
              <w:spacing w:after="120"/>
              <w:cnfStyle w:val="000000000000" w:firstRow="0" w:lastRow="0" w:firstColumn="0" w:lastColumn="0" w:oddVBand="0" w:evenVBand="0" w:oddHBand="0" w:evenHBand="0" w:firstRowFirstColumn="0" w:firstRowLastColumn="0" w:lastRowFirstColumn="0" w:lastRowLastColumn="0"/>
              <w:rPr>
                <w:rFonts w:ascii="Georgia" w:hAnsi="Georgia" w:cs="Arial"/>
                <w:i/>
                <w:sz w:val="20"/>
                <w:szCs w:val="20"/>
                <w:lang w:val="lt-LT"/>
              </w:rPr>
            </w:pPr>
            <w:r w:rsidRPr="00AC3318">
              <w:rPr>
                <w:rFonts w:ascii="Georgia" w:hAnsi="Georgia" w:cs="Arial"/>
                <w:i/>
                <w:sz w:val="20"/>
                <w:szCs w:val="20"/>
                <w:lang w:val="lt-LT"/>
              </w:rPr>
              <w:t xml:space="preserve">Šaltinis: </w:t>
            </w:r>
            <w:hyperlink r:id="rId134" w:history="1">
              <w:r w:rsidRPr="00AC3318">
                <w:rPr>
                  <w:rStyle w:val="Hipersaitas"/>
                  <w:rFonts w:ascii="Georgia" w:hAnsi="Georgia" w:cs="Arial"/>
                  <w:i/>
                  <w:sz w:val="20"/>
                  <w:szCs w:val="20"/>
                  <w:lang w:val="lt-LT"/>
                </w:rPr>
                <w:t>http://www.ecofys.com/files/files/bpie_ecofys_2012_implementing_nzeb_in_bulgaria.pdf</w:t>
              </w:r>
            </w:hyperlink>
            <w:r w:rsidRPr="00AC3318">
              <w:rPr>
                <w:rFonts w:ascii="Georgia" w:hAnsi="Georgia" w:cs="Arial"/>
                <w:i/>
                <w:sz w:val="20"/>
                <w:szCs w:val="20"/>
                <w:lang w:val="lt-LT"/>
              </w:rPr>
              <w:t xml:space="preserve"> </w:t>
            </w:r>
          </w:p>
          <w:p w14:paraId="6805F3BF" w14:textId="77777777"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Pastatuose suvartojama energija sudaro maždaug 40 proc. viso Bulgarijos energijos suvartojimo. Viešieji pastatai, tokie kaip mokyklos, universitetai, savivaldybių pastatai, sunaudoja ženklią pastatų suvartojamos energijos dalį. Gatvių apšvietimas taip pat yra svarbus kalbant apie sunaudojamą energiją ir pasižymi aukštu energijos taupymo potencialu</w:t>
            </w:r>
            <w:r w:rsidRPr="00AC3318">
              <w:rPr>
                <w:rStyle w:val="Puslapioinaosnuoroda"/>
                <w:rFonts w:ascii="Georgia" w:hAnsi="Georgia" w:cs="Arial"/>
                <w:sz w:val="20"/>
                <w:szCs w:val="20"/>
                <w:lang w:val="lt-LT"/>
              </w:rPr>
              <w:footnoteReference w:id="192"/>
            </w:r>
            <w:r w:rsidRPr="00AC3318">
              <w:rPr>
                <w:rFonts w:ascii="Georgia" w:hAnsi="Georgia" w:cs="Arial"/>
                <w:sz w:val="20"/>
                <w:szCs w:val="20"/>
                <w:lang w:val="lt-LT"/>
              </w:rPr>
              <w:t>.</w:t>
            </w:r>
          </w:p>
          <w:p w14:paraId="4764C4F2" w14:textId="77777777"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2004-2012 m. laikotarpiu į energijos efektyvumo didinimą Bulgarijoje buvo investuota 1,5 mlrd. €. Tai buvo daroma tiek per nacionalines programas, tiek per tarptautinių finansinių institucijų suteiktas kredito linijas</w:t>
            </w:r>
            <w:r w:rsidRPr="00AC3318">
              <w:rPr>
                <w:rStyle w:val="Puslapioinaosnuoroda"/>
                <w:rFonts w:ascii="Georgia" w:hAnsi="Georgia" w:cs="Arial"/>
                <w:sz w:val="20"/>
                <w:szCs w:val="20"/>
                <w:lang w:val="lt-LT"/>
              </w:rPr>
              <w:footnoteReference w:id="193"/>
            </w:r>
            <w:r w:rsidRPr="00AC3318">
              <w:rPr>
                <w:rFonts w:ascii="Georgia" w:hAnsi="Georgia" w:cs="Arial"/>
                <w:sz w:val="20"/>
                <w:szCs w:val="20"/>
                <w:lang w:val="lt-LT"/>
              </w:rPr>
              <w:t>.</w:t>
            </w:r>
          </w:p>
          <w:p w14:paraId="7FE45A97" w14:textId="77777777"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Nepaisant to, pastatų ir pramoninių vietovių Bulgarijoje būklė kelia nerimą, reikalinga skubi renovacija. Komforto lygis ir gyvenimo sąlygos yra žemesnės nei vidutinės, gatvės neapšviestos, pastatai neatitinka šiuolaikinių energetinio efektyvumo reikalavimų. </w:t>
            </w:r>
          </w:p>
          <w:p w14:paraId="76745B86" w14:textId="77777777"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Aukštos pastatų šildymo sąnaudos pirmiausiai nulemtos prastos pastatų izoliacijos, dėl ko daug žmonių neišgali sumokėti už šildymą. Įprasta, jog žiemą šildomas tik vienas kambarys, kuriame žmonės praleidžia didžiąją savo laiko dalį, kad išgalėtų sumokėti už šildymą</w:t>
            </w:r>
            <w:r w:rsidRPr="00AC3318">
              <w:rPr>
                <w:rStyle w:val="Puslapioinaosnuoroda"/>
                <w:rFonts w:ascii="Georgia" w:hAnsi="Georgia" w:cs="Arial"/>
                <w:sz w:val="20"/>
                <w:szCs w:val="20"/>
                <w:lang w:val="lt-LT"/>
              </w:rPr>
              <w:footnoteReference w:id="194"/>
            </w:r>
            <w:r w:rsidRPr="00AC3318">
              <w:rPr>
                <w:rFonts w:ascii="Georgia" w:hAnsi="Georgia" w:cs="Arial"/>
                <w:sz w:val="20"/>
                <w:szCs w:val="20"/>
                <w:lang w:val="lt-LT"/>
              </w:rPr>
              <w:t>.</w:t>
            </w:r>
          </w:p>
          <w:p w14:paraId="68E80981" w14:textId="77777777"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Gatvių apšvietimas beveik visose Bulgarijos savivaldybėse neatitinka tiek kokybinių, tiek kiekybinių reikalavimų. Atskirais atvejais funkcionuoja mažiau nei 1/3 sistemos, apšvietimo lygis mažesnis nei nustatyta reikalavimuose, infrastruktūra yra neefektyvi energijos naudojimo požiūriu. Tai nulemta pasenusios infrastruktūros ir investicijų trūkumo</w:t>
            </w:r>
            <w:r w:rsidRPr="00AC3318">
              <w:rPr>
                <w:rStyle w:val="Puslapioinaosnuoroda"/>
                <w:rFonts w:ascii="Georgia" w:hAnsi="Georgia" w:cs="Arial"/>
                <w:sz w:val="20"/>
                <w:szCs w:val="20"/>
                <w:lang w:val="lt-LT"/>
              </w:rPr>
              <w:footnoteReference w:id="195"/>
            </w:r>
            <w:r w:rsidRPr="00AC3318">
              <w:rPr>
                <w:rFonts w:ascii="Georgia" w:hAnsi="Georgia" w:cs="Arial"/>
                <w:sz w:val="20"/>
                <w:szCs w:val="20"/>
                <w:lang w:val="lt-LT"/>
              </w:rPr>
              <w:t>.</w:t>
            </w:r>
          </w:p>
          <w:p w14:paraId="28C1945F" w14:textId="77777777"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Viešosioms institucijoms trūksta techninių žinių ir finansinių galimybių sėkmingai įgyvendinti energijos efektyvumo projektus. Taip pat viešajam sektoriui iš dalies trūksta suinteresuotumo ir motyvacijos. Tuo tarpu privataus sektoriaus įmonės dažnai turi žinių ir motyvacijos, tačiau neturi priėjimo prie klientų</w:t>
            </w:r>
            <w:r w:rsidRPr="00AC3318">
              <w:rPr>
                <w:rStyle w:val="Puslapioinaosnuoroda"/>
                <w:rFonts w:ascii="Georgia" w:hAnsi="Georgia" w:cs="Arial"/>
                <w:sz w:val="20"/>
                <w:szCs w:val="20"/>
                <w:lang w:val="lt-LT"/>
              </w:rPr>
              <w:footnoteReference w:id="196"/>
            </w:r>
            <w:r w:rsidRPr="00AC3318">
              <w:rPr>
                <w:rFonts w:ascii="Georgia" w:hAnsi="Georgia" w:cs="Arial"/>
                <w:sz w:val="20"/>
                <w:szCs w:val="20"/>
                <w:vertAlign w:val="superscript"/>
                <w:lang w:val="lt-LT"/>
              </w:rPr>
              <w:t>,</w:t>
            </w:r>
            <w:r w:rsidRPr="00AC3318">
              <w:rPr>
                <w:rStyle w:val="Puslapioinaosnuoroda"/>
                <w:rFonts w:ascii="Georgia" w:hAnsi="Georgia" w:cs="Arial"/>
                <w:sz w:val="20"/>
                <w:szCs w:val="20"/>
                <w:lang w:val="lt-LT"/>
              </w:rPr>
              <w:footnoteReference w:id="197"/>
            </w:r>
            <w:r w:rsidRPr="00AC3318">
              <w:rPr>
                <w:rFonts w:ascii="Georgia" w:hAnsi="Georgia" w:cs="Arial"/>
                <w:sz w:val="20"/>
                <w:szCs w:val="20"/>
                <w:lang w:val="lt-LT"/>
              </w:rPr>
              <w:t>.</w:t>
            </w:r>
          </w:p>
          <w:p w14:paraId="2565D9AE" w14:textId="77777777"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Svarbiausia EERSF klientų grupė yra savivaldybės. Bulgarija yra suskirstyta į 28 rajonus (NUTS 3), kuriuose yra 264 savivaldybės (LAU 1). Savivaldybės yra pagrindinės vietos savivaldos institucijos, atsakingos už vietos/miestų plėtros projektų planavimą, programavimą ir finansavimą.</w:t>
            </w:r>
          </w:p>
          <w:p w14:paraId="4F5CA188" w14:textId="77777777"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Kitas svarbus EERSF veiklos segmentas – ESCO rinka.</w:t>
            </w:r>
            <w:r w:rsidRPr="00AC3318">
              <w:rPr>
                <w:rFonts w:ascii="Georgia" w:hAnsi="Georgia"/>
                <w:sz w:val="20"/>
                <w:szCs w:val="20"/>
                <w:lang w:val="lt-LT"/>
              </w:rPr>
              <w:t xml:space="preserve"> </w:t>
            </w:r>
            <w:r w:rsidRPr="00AC3318">
              <w:rPr>
                <w:rFonts w:ascii="Georgia" w:hAnsi="Georgia" w:cs="Arial"/>
                <w:sz w:val="20"/>
                <w:szCs w:val="20"/>
                <w:lang w:val="lt-LT"/>
              </w:rPr>
              <w:t xml:space="preserve">Nedidelė ESCO rinka Bulgarijoje gyvuoja nuo 2000 m., tačiau tik dėka subsidijų, techninės pagalbos ir kredito linijų, teikiamų tarptautinių finansinių institucijų, tokių kaip Pasaulio bankas, ERPB, Jungtinių Tautų plėtros programos, USAID ir t. t. </w:t>
            </w:r>
          </w:p>
          <w:p w14:paraId="2FADB686" w14:textId="77777777"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Tikslus ESCO skaičius Bulgarijoje nėra žinomas, kadangi nėra oficialaus registro. Maždaug 50 įmonių galėtų pasiūlyti energijos efektyvumo paslaugas, tačiau, ekspertų nuomone, rinkoje veikia 7-12 aktyvių EPC įmonių. EERSF duomenimis, tokių įmonių yra apie 20. Per pastarąjį dešimtmetį keturios aktyviausios ESCO pasirašė maždaug 15-20 EPC sutarčių, kurių apimtyje buvo atnaujinta apie 30 viešųjų pastatų ir dvejose </w:t>
            </w:r>
            <w:r w:rsidRPr="00AC3318">
              <w:rPr>
                <w:rFonts w:ascii="Georgia" w:hAnsi="Georgia" w:cs="Arial"/>
                <w:sz w:val="20"/>
                <w:szCs w:val="20"/>
                <w:lang w:val="lt-LT"/>
              </w:rPr>
              <w:lastRenderedPageBreak/>
              <w:t>savivaldybėse modernizuotas apšvietimas. Didžioji dalis aktyvių įmonių yra vietinio kapitalo. Pagrindinis verslo suinteresuotumas atsiranda dėl statybos darbų, pastatų ūkio valdymo, įrangos tiekimo, konsultacijų ir energijos tiekimo. Energijos efektyvumo paslaugos yra tik kaip papildomos paslaugos greta pagrindinės veiklos. Potencialus rinkos dydis: 500-900 mln. €.</w:t>
            </w:r>
          </w:p>
          <w:p w14:paraId="363FFD89" w14:textId="77777777"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ESCO įmonių veikla daugiausiai nukreipta į viešojo sektoriaus projektus. Tik keli projektai tokiu būdu finansuojami privačiame sektoriuje ir pramonėje. Kita vertus, atsižvelgiant į 2-ąjį Bulgarijos nacionalinį energijos vartojimo veiksmų planą (NEEAP), vyriausybė tikisi, jog ESCO veikla išsiplės į gyvenamuosius namus ir pramonę.</w:t>
            </w:r>
          </w:p>
          <w:p w14:paraId="4FEE35DA" w14:textId="77777777"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Taikomi sutarčių tipai: energijos tiekimo sutartys, keletas EPC. Tiesa, investicijos yra daugiausiai naudojamos gerinti bazines gyvenimo sąlygas. Tai kenkia ESCO projektų pelningumui/atsipirkimo laikui. Pradiniai sutaupymai naudojami normalizuoti padėtį, t. y. investuojama tam, kad pasiekti minimalius galiojančių teisės aktų reikalavimus. Tokiomis sąlygomis sutaupymus garantuojantis susitarimas tarp ESCO ir kliento negali būti pasirašytas, kadangi, įgyvendinus projektą, sutaupymų gali ir nebūti. Tai sąlygoja mažą EPC sutarčių skaičių.</w:t>
            </w:r>
          </w:p>
          <w:p w14:paraId="0094D82C" w14:textId="77777777"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Remiant EPC Bulgarijoje aktyviai dalyvauja ERPB, kuris teikia paskolas finansiniams tarpininkams, tokiems kaip EERSF arba tiesiogiai ESCO įmonėms. Šios paskolos naudojamos siekiant pritraukti daugiau investicijų į pramonę ir viešąjį sektorių, pvz., vaikų darželius, mokyklas, ligonines ir kitus savivaldybių pastatus. </w:t>
            </w:r>
          </w:p>
          <w:p w14:paraId="6935B9A4" w14:textId="77777777" w:rsidR="00467B8E" w:rsidRPr="00AC3318" w:rsidRDefault="00467B8E" w:rsidP="00E649A6">
            <w:p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Vertas paminėti viešojo sektoriaus EPC rinkos paramos modelis. Valstybės biudžetas iš ESCO projekte dalyvaujančių viešųjų subjektų perima mokėjimų įsipareigojimus. Jei savivaldybė dalyvauja šioje programoje, Finansų ministerija (po Darnios energetikos plėtros agentūros patvirtinimo) patvirtina dabartines energijos vartojimo išlaidas visam projekto vykdymo laikotarpiui</w:t>
            </w:r>
            <w:r w:rsidRPr="00AC3318">
              <w:rPr>
                <w:rStyle w:val="Puslapioinaosnuoroda"/>
                <w:rFonts w:ascii="Georgia" w:hAnsi="Georgia" w:cs="Arial"/>
                <w:sz w:val="20"/>
                <w:szCs w:val="20"/>
                <w:lang w:val="lt-LT"/>
              </w:rPr>
              <w:footnoteReference w:id="198"/>
            </w:r>
            <w:r w:rsidRPr="00AC3318">
              <w:rPr>
                <w:rFonts w:ascii="Georgia" w:hAnsi="Georgia" w:cs="Arial"/>
                <w:sz w:val="20"/>
                <w:szCs w:val="20"/>
                <w:lang w:val="lt-LT"/>
              </w:rPr>
              <w:t>.</w:t>
            </w:r>
          </w:p>
        </w:tc>
      </w:tr>
      <w:tr w:rsidR="00467B8E" w:rsidRPr="002C025E" w14:paraId="7C284386" w14:textId="77777777"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 w:type="pct"/>
          </w:tcPr>
          <w:p w14:paraId="575AFE4F" w14:textId="77777777" w:rsidR="00467B8E" w:rsidRPr="00AC3318" w:rsidRDefault="00467B8E" w:rsidP="00E649A6">
            <w:pPr>
              <w:rPr>
                <w:rFonts w:ascii="Georgia" w:hAnsi="Georgia"/>
                <w:b w:val="0"/>
                <w:sz w:val="20"/>
                <w:szCs w:val="20"/>
                <w:lang w:val="lt-LT"/>
              </w:rPr>
            </w:pPr>
            <w:r w:rsidRPr="00AC3318">
              <w:rPr>
                <w:rFonts w:ascii="Georgia" w:hAnsi="Georgia"/>
                <w:sz w:val="20"/>
                <w:szCs w:val="20"/>
                <w:lang w:val="lt-LT"/>
              </w:rPr>
              <w:lastRenderedPageBreak/>
              <w:t>4.</w:t>
            </w:r>
          </w:p>
        </w:tc>
        <w:tc>
          <w:tcPr>
            <w:tcW w:w="959" w:type="pct"/>
          </w:tcPr>
          <w:p w14:paraId="58DAFE8E" w14:textId="77777777" w:rsidR="00467B8E" w:rsidRPr="00AC3318" w:rsidRDefault="00467B8E" w:rsidP="00E649A6">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Finansinio produkto aprašymas</w:t>
            </w:r>
          </w:p>
        </w:tc>
        <w:tc>
          <w:tcPr>
            <w:tcW w:w="3760" w:type="pct"/>
          </w:tcPr>
          <w:p w14:paraId="64646FF7" w14:textId="77777777" w:rsidR="00467B8E" w:rsidRPr="00AC3318" w:rsidRDefault="00467B8E" w:rsidP="00E649A6">
            <w:pP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p>
        </w:tc>
      </w:tr>
      <w:tr w:rsidR="00467B8E" w:rsidRPr="002C025E" w14:paraId="313324F4" w14:textId="77777777" w:rsidTr="00467B8E">
        <w:tc>
          <w:tcPr>
            <w:cnfStyle w:val="001000000000" w:firstRow="0" w:lastRow="0" w:firstColumn="1" w:lastColumn="0" w:oddVBand="0" w:evenVBand="0" w:oddHBand="0" w:evenHBand="0" w:firstRowFirstColumn="0" w:firstRowLastColumn="0" w:lastRowFirstColumn="0" w:lastRowLastColumn="0"/>
            <w:tcW w:w="281" w:type="pct"/>
          </w:tcPr>
          <w:p w14:paraId="2FB361FE" w14:textId="77777777" w:rsidR="00467B8E" w:rsidRPr="00AC3318" w:rsidRDefault="00467B8E" w:rsidP="00E649A6">
            <w:pPr>
              <w:rPr>
                <w:rFonts w:ascii="Georgia" w:hAnsi="Georgia"/>
                <w:b w:val="0"/>
                <w:sz w:val="20"/>
                <w:szCs w:val="20"/>
                <w:lang w:val="lt-LT"/>
              </w:rPr>
            </w:pPr>
            <w:r w:rsidRPr="00AC3318">
              <w:rPr>
                <w:rFonts w:ascii="Georgia" w:hAnsi="Georgia"/>
                <w:sz w:val="20"/>
                <w:szCs w:val="20"/>
                <w:lang w:val="lt-LT"/>
              </w:rPr>
              <w:t>4.1.</w:t>
            </w:r>
          </w:p>
        </w:tc>
        <w:tc>
          <w:tcPr>
            <w:tcW w:w="959" w:type="pct"/>
          </w:tcPr>
          <w:p w14:paraId="0FC31FEC" w14:textId="77777777"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Finansinio produkto tipas</w:t>
            </w:r>
          </w:p>
        </w:tc>
        <w:tc>
          <w:tcPr>
            <w:tcW w:w="3760" w:type="pct"/>
          </w:tcPr>
          <w:p w14:paraId="4BAC619F" w14:textId="77777777" w:rsidR="00467B8E" w:rsidRPr="00AC3318" w:rsidRDefault="00467B8E" w:rsidP="00C03122">
            <w:pPr>
              <w:pStyle w:val="Sraopastraipa"/>
              <w:numPr>
                <w:ilvl w:val="0"/>
                <w:numId w:val="12"/>
              </w:numPr>
              <w:cnfStyle w:val="000000000000" w:firstRow="0" w:lastRow="0" w:firstColumn="0" w:lastColumn="0" w:oddVBand="0" w:evenVBand="0" w:oddHBand="0" w:evenHBand="0" w:firstRowFirstColumn="0" w:firstRowLastColumn="0" w:lastRowFirstColumn="0" w:lastRowLastColumn="0"/>
              <w:rPr>
                <w:rFonts w:ascii="Georgia" w:hAnsi="Georgia" w:cs="Arial"/>
                <w:color w:val="000000" w:themeColor="text1"/>
                <w:sz w:val="20"/>
                <w:szCs w:val="20"/>
                <w:lang w:val="lt-LT"/>
              </w:rPr>
            </w:pPr>
            <w:r w:rsidRPr="00AC3318">
              <w:rPr>
                <w:rFonts w:ascii="Georgia" w:hAnsi="Georgia" w:cs="Arial"/>
                <w:color w:val="000000" w:themeColor="text1"/>
                <w:sz w:val="20"/>
                <w:szCs w:val="20"/>
                <w:lang w:val="lt-LT"/>
              </w:rPr>
              <w:t>paskolos;</w:t>
            </w:r>
          </w:p>
          <w:p w14:paraId="2F29F624" w14:textId="77777777" w:rsidR="00467B8E" w:rsidRPr="00AC3318" w:rsidRDefault="00467B8E" w:rsidP="00C03122">
            <w:pPr>
              <w:pStyle w:val="Sraopastraipa"/>
              <w:numPr>
                <w:ilvl w:val="0"/>
                <w:numId w:val="12"/>
              </w:numPr>
              <w:cnfStyle w:val="000000000000" w:firstRow="0" w:lastRow="0" w:firstColumn="0" w:lastColumn="0" w:oddVBand="0" w:evenVBand="0" w:oddHBand="0" w:evenHBand="0" w:firstRowFirstColumn="0" w:firstRowLastColumn="0" w:lastRowFirstColumn="0" w:lastRowLastColumn="0"/>
              <w:rPr>
                <w:rFonts w:ascii="Georgia" w:hAnsi="Georgia" w:cs="Arial"/>
                <w:color w:val="000000" w:themeColor="text1"/>
                <w:sz w:val="20"/>
                <w:szCs w:val="20"/>
                <w:lang w:val="lt-LT"/>
              </w:rPr>
            </w:pPr>
            <w:r w:rsidRPr="00AC3318">
              <w:rPr>
                <w:rFonts w:ascii="Georgia" w:hAnsi="Georgia" w:cs="Arial"/>
                <w:color w:val="000000" w:themeColor="text1"/>
                <w:sz w:val="20"/>
                <w:szCs w:val="20"/>
                <w:lang w:val="lt-LT"/>
              </w:rPr>
              <w:t>dalinės garantijos;</w:t>
            </w:r>
          </w:p>
          <w:p w14:paraId="77D493B3" w14:textId="77777777" w:rsidR="00467B8E" w:rsidRPr="00AC3318" w:rsidRDefault="00467B8E" w:rsidP="00C03122">
            <w:pPr>
              <w:pStyle w:val="Sraopastraipa"/>
              <w:numPr>
                <w:ilvl w:val="0"/>
                <w:numId w:val="12"/>
              </w:numPr>
              <w:spacing w:after="120"/>
              <w:ind w:left="714" w:hanging="357"/>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color w:val="000000" w:themeColor="text1"/>
                <w:sz w:val="20"/>
                <w:szCs w:val="20"/>
                <w:lang w:val="lt-LT"/>
              </w:rPr>
              <w:t>portfelinės garantijos.</w:t>
            </w:r>
          </w:p>
        </w:tc>
      </w:tr>
      <w:tr w:rsidR="00467B8E" w:rsidRPr="002C025E" w14:paraId="7EC9C1DC" w14:textId="77777777" w:rsidTr="00467B8E">
        <w:trPr>
          <w:cnfStyle w:val="000000100000" w:firstRow="0" w:lastRow="0" w:firstColumn="0" w:lastColumn="0" w:oddVBand="0" w:evenVBand="0" w:oddHBand="1" w:evenHBand="0" w:firstRowFirstColumn="0" w:firstRowLastColumn="0" w:lastRowFirstColumn="0" w:lastRowLastColumn="0"/>
          <w:trHeight w:val="3920"/>
        </w:trPr>
        <w:tc>
          <w:tcPr>
            <w:cnfStyle w:val="001000000000" w:firstRow="0" w:lastRow="0" w:firstColumn="1" w:lastColumn="0" w:oddVBand="0" w:evenVBand="0" w:oddHBand="0" w:evenHBand="0" w:firstRowFirstColumn="0" w:firstRowLastColumn="0" w:lastRowFirstColumn="0" w:lastRowLastColumn="0"/>
            <w:tcW w:w="281" w:type="pct"/>
          </w:tcPr>
          <w:p w14:paraId="121D5FE9" w14:textId="77777777" w:rsidR="00467B8E" w:rsidRPr="00AC3318" w:rsidRDefault="00467B8E" w:rsidP="00E649A6">
            <w:pPr>
              <w:rPr>
                <w:rFonts w:ascii="Georgia" w:hAnsi="Georgia"/>
                <w:b w:val="0"/>
                <w:sz w:val="20"/>
                <w:szCs w:val="20"/>
                <w:lang w:val="lt-LT"/>
              </w:rPr>
            </w:pPr>
            <w:r w:rsidRPr="00AC3318">
              <w:rPr>
                <w:rFonts w:ascii="Georgia" w:hAnsi="Georgia"/>
                <w:sz w:val="20"/>
                <w:szCs w:val="20"/>
                <w:lang w:val="lt-LT"/>
              </w:rPr>
              <w:t>4.2.</w:t>
            </w:r>
          </w:p>
        </w:tc>
        <w:tc>
          <w:tcPr>
            <w:tcW w:w="959" w:type="pct"/>
          </w:tcPr>
          <w:p w14:paraId="0BF53B20" w14:textId="77777777" w:rsidR="00467B8E" w:rsidRPr="00AC3318" w:rsidRDefault="00467B8E" w:rsidP="00E649A6">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Finansinio produkto sąlygos</w:t>
            </w:r>
          </w:p>
        </w:tc>
        <w:tc>
          <w:tcPr>
            <w:tcW w:w="3760" w:type="pct"/>
          </w:tcPr>
          <w:p w14:paraId="59E9E70E" w14:textId="77777777"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EERSF siūlo trijų tipų finansinius produktus: </w:t>
            </w:r>
          </w:p>
          <w:p w14:paraId="7D51F945" w14:textId="77777777" w:rsidR="00467B8E" w:rsidRPr="00AC3318" w:rsidRDefault="00467B8E" w:rsidP="00C03122">
            <w:pPr>
              <w:numPr>
                <w:ilvl w:val="0"/>
                <w:numId w:val="14"/>
              </w:numPr>
              <w:ind w:left="714" w:hanging="357"/>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paskolas: </w:t>
            </w:r>
          </w:p>
          <w:p w14:paraId="4CD4CF91" w14:textId="77777777" w:rsidR="00467B8E" w:rsidRPr="00AC3318" w:rsidRDefault="00467B8E" w:rsidP="00C03122">
            <w:pPr>
              <w:numPr>
                <w:ilvl w:val="0"/>
                <w:numId w:val="15"/>
              </w:num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savivaldybėms: metinė palūkanų norma 4,5-8 proc., maksimali trukmė – 7 metai, minimali nuosavo kapitalo dalis – 10-25 proc.;</w:t>
            </w:r>
          </w:p>
          <w:p w14:paraId="1B2BBF20" w14:textId="77777777" w:rsidR="00467B8E" w:rsidRPr="00AC3318" w:rsidRDefault="00467B8E" w:rsidP="00C03122">
            <w:pPr>
              <w:numPr>
                <w:ilvl w:val="0"/>
                <w:numId w:val="15"/>
              </w:numPr>
              <w:spacing w:after="120"/>
              <w:ind w:left="714" w:hanging="357"/>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verslo klientams ir privatiems asmenims: metinė palūkanų norma 5-9 proc., maksimali trukmė – 7 metai, minimali nuosavo kapitalo dalis – 10-25 proc.</w:t>
            </w:r>
          </w:p>
          <w:p w14:paraId="784FF31B" w14:textId="77777777"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Abiem atvejais taikomos vienodos sąlygos (palūkanų norma, paskolos terminas) nepriklausomai nuo to, ar projektas finansuojamas tik EERSF, ar EERSF ir komercinio banko lėšomis. Tačiau, jei projektas finansuojamas kartu su komerciniu banku, reikalaujama ne mažiau kaip 10 proc. projekto vertės padengimo nuosavu kapitalu, o jei projektas finansuojamas tik EERSF – ne mažiau kaip 25 proc. Papildomos kreditavimo sąlygos (mokesčiai) nėra taikomos. Grąžinimo grafikas yra parengtas atsižvelgiant į projekto užsakovo poreikius.</w:t>
            </w:r>
          </w:p>
          <w:p w14:paraId="2E2E53C3" w14:textId="77777777"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Finansuojami projektai arba projektų paketai, kurių vertė nuo 15.337 € iki </w:t>
            </w:r>
            <w:r w:rsidRPr="00AC3318">
              <w:rPr>
                <w:rFonts w:ascii="Georgia" w:hAnsi="Georgia" w:cs="Arial"/>
                <w:sz w:val="20"/>
                <w:szCs w:val="20"/>
                <w:lang w:val="lt-LT"/>
              </w:rPr>
              <w:lastRenderedPageBreak/>
              <w:t>15.337.007 €.</w:t>
            </w:r>
            <w:r w:rsidRPr="00AC3318">
              <w:rPr>
                <w:rFonts w:ascii="Georgia" w:hAnsi="Georgia"/>
                <w:sz w:val="20"/>
                <w:szCs w:val="20"/>
                <w:lang w:val="lt-LT"/>
              </w:rPr>
              <w:t xml:space="preserve"> </w:t>
            </w:r>
            <w:r w:rsidRPr="00AC3318">
              <w:rPr>
                <w:rFonts w:ascii="Georgia" w:hAnsi="Georgia" w:cs="Arial"/>
                <w:sz w:val="20"/>
                <w:szCs w:val="20"/>
                <w:lang w:val="lt-LT"/>
              </w:rPr>
              <w:t>Paskoloms taikoma palūkanų norma priklauso nuo situacijos rinkoje. EESRF stengiasi pasiūlyti palūkanų normą, kuri artima žemiausiai tuo metu esančiai rinkoje. Produktų patrauklumą didina tai, jog nėra jokių paskolos mokesčių, tame tarpe išankstinio grąžinimo mokesčio. EESRF taiko konservatyvų rizikų vertinimą.</w:t>
            </w:r>
          </w:p>
          <w:p w14:paraId="42502A8B" w14:textId="77777777"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Techniniai-ekonominiai reikalavimai: projektai turi pasiekti ženklius energijos sutaupymus. Daugiau nei pusė projekto naudos turi būti iš objektyviai išmatuojamų energijos sutaupymų. Taip pat projektai privalo taikyti energijos taupymo technologijas, kurių nauda jau yra tinkamai įrodyta. </w:t>
            </w:r>
          </w:p>
          <w:p w14:paraId="187CF402" w14:textId="77777777" w:rsidR="00467B8E" w:rsidRPr="00AC3318" w:rsidRDefault="00467B8E" w:rsidP="00C03122">
            <w:pPr>
              <w:numPr>
                <w:ilvl w:val="0"/>
                <w:numId w:val="14"/>
              </w:num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dalines kreditų garantijas:</w:t>
            </w:r>
          </w:p>
          <w:p w14:paraId="0CA9BE95" w14:textId="77777777" w:rsidR="00467B8E" w:rsidRPr="00AC3318" w:rsidRDefault="00467B8E" w:rsidP="00C03122">
            <w:pPr>
              <w:numPr>
                <w:ilvl w:val="0"/>
                <w:numId w:val="15"/>
              </w:num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80 proc. „</w:t>
            </w:r>
            <w:r w:rsidRPr="00AC3318">
              <w:rPr>
                <w:rFonts w:ascii="Georgia" w:hAnsi="Georgia" w:cs="Arial"/>
                <w:i/>
                <w:sz w:val="20"/>
                <w:szCs w:val="20"/>
                <w:lang w:val="lt-LT"/>
              </w:rPr>
              <w:t>pari passu</w:t>
            </w:r>
            <w:r w:rsidRPr="00AC3318">
              <w:rPr>
                <w:rFonts w:ascii="Georgia" w:hAnsi="Georgia" w:cs="Arial"/>
                <w:sz w:val="20"/>
                <w:szCs w:val="20"/>
                <w:lang w:val="lt-LT"/>
              </w:rPr>
              <w:t>“ pagrindu: metinis mokestis: 0,5-2 proc., maksimali trukmė – iki 7 metų;</w:t>
            </w:r>
          </w:p>
          <w:p w14:paraId="6701030A" w14:textId="77777777" w:rsidR="00467B8E" w:rsidRPr="00AC3318" w:rsidRDefault="00467B8E" w:rsidP="00C03122">
            <w:pPr>
              <w:numPr>
                <w:ilvl w:val="0"/>
                <w:numId w:val="15"/>
              </w:numPr>
              <w:spacing w:after="120"/>
              <w:ind w:left="714" w:hanging="357"/>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50 proc. pirmųjų nuostolių pagrindu po banko-kreditoriaus: 0,5-2 proc., maksimali trukmė – iki 7 metų.</w:t>
            </w:r>
          </w:p>
          <w:p w14:paraId="2CDE7738" w14:textId="77777777"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Garantijos įsipareigojimai vienam projektui negali viršyti 409.310,61 € (800.000 BGN).</w:t>
            </w:r>
          </w:p>
          <w:p w14:paraId="6D9057FD" w14:textId="77777777" w:rsidR="00467B8E" w:rsidRPr="00AC3318" w:rsidRDefault="00467B8E" w:rsidP="00C03122">
            <w:pPr>
              <w:numPr>
                <w:ilvl w:val="0"/>
                <w:numId w:val="16"/>
              </w:num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portfelines garantijas:</w:t>
            </w:r>
          </w:p>
          <w:p w14:paraId="558C6B09" w14:textId="77777777" w:rsidR="00467B8E" w:rsidRPr="00AC3318" w:rsidRDefault="00467B8E" w:rsidP="00C03122">
            <w:pPr>
              <w:numPr>
                <w:ilvl w:val="0"/>
                <w:numId w:val="15"/>
              </w:numPr>
              <w:spacing w:after="120"/>
              <w:ind w:left="714" w:hanging="357"/>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ESCO portfelinės garantijos – garantijomis siekiama į rinką pritraukti daugiau ESCO bendrovių suteikiant garantijas dėl kitos sandorio pusės – projektų naudos gavėjų – rizikos.</w:t>
            </w:r>
          </w:p>
          <w:p w14:paraId="06F3284B" w14:textId="77777777"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Paprastai ESCO siūlo projekto kainą ir tik tada kreipiasi į banką siekdama užsitikrinti finansavimą arba turi paruošusi finansavimo liniją ir užpildo ją projektais. Šio modelio trūkumas yra tai, kad ESCO priklauso nuo galimybių gauti paskolas, kurių lėšomis finansuoja naujus projektus, t. y. pinigų srautai privalo būti labai tiksliai apskaičiuoti ir įvertinti. Atidėti klientų mokėjimai ar įsipareigojimų nevykdantys klientai gali ženkliai sutrikdyti ESCO skolų aptarnavimą ir neigiamai paveikti galimybes gauti naujas paskolas. EERSF portfelinėmis garantijomis prisiima dalį rizikų ir garantuoja, jog padengs ESCO įsipareigojimus įplaukų sutrikimų atvejais.</w:t>
            </w:r>
          </w:p>
          <w:p w14:paraId="395D6790" w14:textId="77777777"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ESCO portfelinėms garantijoms EERSF pasirašo susitarimą su ESCO išduoti portfelinę garantiją projektų grupei. Tuo atveju, jei ESCO laimi konkursą dėl energijos efektyvumo didinimo projekto įgyvendinimo, EERSF analizuoja projektą ir, jei jis atitinka keliamus reikalavimus, patvirtina bei įtraukia jį į patvirtintų projektų grupę. EERSF garantuoja, kad bus padengti iki 5 proc. (dėl procentų kiekvienu atveju yra deramasi) portfelio įsipareigojimų nevykdymo, susijusio su pavėluotais mokėjimais. Garantijų trukmė – 5 metai. Turto įkeitimo nėra reikalaujama.</w:t>
            </w:r>
          </w:p>
          <w:p w14:paraId="4F5AE07E" w14:textId="77777777"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Su šia garantija ESCO gauna geresnę palūkanų normą derantis dėl paskolų su komerciniais bankais. Be to, turi 5 proc. rezervą, kurio dėka užkertamas kelias pinigų srautų sutrikimų pasekmėms ir sumažinama klientų nepatikimumo rizika.</w:t>
            </w:r>
          </w:p>
          <w:p w14:paraId="6C63322A" w14:textId="77777777"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Statistiškai, ESCO klientų įsipareigojimų neįvykdymo norma yra nereikšminga, todėl 5 proc. padengimą užtikrinanti garantija yra daugiau nei pakankama. Vėluojantys mokėjimai yra labiau tikėtini. Tokiais atvejais EERSF veikia kaip finansinė apsauga, padedanti atlaikyti tokius sukrėtimus.</w:t>
            </w:r>
          </w:p>
          <w:p w14:paraId="348860C8" w14:textId="77777777"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Kita vertus, toks produktas EERSF nuosavoms lėšoms suteikia ženklų finansinio sverto efektą – vieno euro garantija palengvina 20 eurų investicijas.</w:t>
            </w:r>
          </w:p>
          <w:p w14:paraId="6EF5A54E" w14:textId="77777777"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ESCO portfelinių garantijų taikymo schema pateikiama paveiksle.</w:t>
            </w:r>
          </w:p>
          <w:p w14:paraId="60D39A91" w14:textId="77777777"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noProof/>
                <w:sz w:val="20"/>
                <w:szCs w:val="20"/>
                <w:lang w:val="lt-LT" w:eastAsia="lt-LT"/>
              </w:rPr>
              <w:lastRenderedPageBreak/>
              <w:drawing>
                <wp:inline distT="0" distB="0" distL="0" distR="0" wp14:anchorId="308E1847" wp14:editId="56463209">
                  <wp:extent cx="4763135" cy="2446655"/>
                  <wp:effectExtent l="0" t="0" r="0" b="0"/>
                  <wp:docPr id="133" name="Picture 1" descr="http://www.bgeef.com/_private/Portfolio_ESCO_EN_500px.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geef.com/_private/Portfolio_ESCO_EN_500px.jpg">
                            <a:hlinkClick r:id="rId135"/>
                          </pic:cNvPr>
                          <pic:cNvPicPr>
                            <a:picLocks noChangeAspect="1" noChangeArrowheads="1"/>
                          </pic:cNvPicPr>
                        </pic:nvPicPr>
                        <pic:blipFill>
                          <a:blip r:embed="rId136">
                            <a:extLst>
                              <a:ext uri="{28A0092B-C50C-407E-A947-70E740481C1C}">
                                <a14:useLocalDpi xmlns:a14="http://schemas.microsoft.com/office/drawing/2010/main"/>
                              </a:ext>
                            </a:extLst>
                          </a:blip>
                          <a:srcRect/>
                          <a:stretch>
                            <a:fillRect/>
                          </a:stretch>
                        </pic:blipFill>
                        <pic:spPr bwMode="auto">
                          <a:xfrm>
                            <a:off x="0" y="0"/>
                            <a:ext cx="4763135" cy="2446655"/>
                          </a:xfrm>
                          <a:prstGeom prst="rect">
                            <a:avLst/>
                          </a:prstGeom>
                          <a:noFill/>
                          <a:ln>
                            <a:noFill/>
                          </a:ln>
                        </pic:spPr>
                      </pic:pic>
                    </a:graphicData>
                  </a:graphic>
                </wp:inline>
              </w:drawing>
            </w:r>
          </w:p>
          <w:p w14:paraId="30DDA8FC" w14:textId="77777777"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 xml:space="preserve">Šaltinis: </w:t>
            </w:r>
            <w:hyperlink r:id="rId137" w:history="1">
              <w:r w:rsidRPr="00AC3318">
                <w:rPr>
                  <w:rStyle w:val="Hipersaitas"/>
                  <w:rFonts w:ascii="Georgia" w:hAnsi="Georgia" w:cs="Arial"/>
                  <w:i/>
                  <w:sz w:val="20"/>
                  <w:szCs w:val="20"/>
                  <w:lang w:val="lt-LT"/>
                </w:rPr>
                <w:t>http://www.bgeef.com/display.aspx?page=products</w:t>
              </w:r>
            </w:hyperlink>
          </w:p>
          <w:p w14:paraId="42A88C23" w14:textId="77777777" w:rsidR="00467B8E" w:rsidRPr="00AC3318" w:rsidRDefault="00467B8E" w:rsidP="00C03122">
            <w:pPr>
              <w:numPr>
                <w:ilvl w:val="0"/>
                <w:numId w:val="15"/>
              </w:numPr>
              <w:spacing w:after="120"/>
              <w:ind w:left="714" w:hanging="357"/>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gyvenamųjų namų (</w:t>
            </w:r>
            <w:r w:rsidRPr="00AC3318">
              <w:rPr>
                <w:rFonts w:ascii="Georgia" w:hAnsi="Georgia" w:cs="Arial"/>
                <w:i/>
                <w:sz w:val="20"/>
                <w:szCs w:val="20"/>
                <w:lang w:val="lt-LT"/>
              </w:rPr>
              <w:t>angl. residential</w:t>
            </w:r>
            <w:r w:rsidRPr="00AC3318">
              <w:rPr>
                <w:rFonts w:ascii="Georgia" w:hAnsi="Georgia" w:cs="Arial"/>
                <w:sz w:val="20"/>
                <w:szCs w:val="20"/>
                <w:lang w:val="lt-LT"/>
              </w:rPr>
              <w:t>) portfelinės garantijos – garantijomis siekiama paskatinti energijos efektyvumą didinančias investicijas gyvenamųjų namų sektoriuje.</w:t>
            </w:r>
          </w:p>
          <w:p w14:paraId="5714E438" w14:textId="77777777"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Gyvenamųjų namų portfelinių garantijų atveju EERSF padeda namų ūkiams tinkamai parengti projektą. Tada atrenkama įmonė, kuri vykdo investicijas – bankas suteikia lėšas įmonei. Lėšų grąžinimas vėliau vykdomas per atskirus namų ūkius (kiekvienas namų ūkis moka proporcingai pagal plotą). EERSF garantuoja, kad padengs pirmuosius 5 proc. nevykdomų įsipareigojimų projekte. Statistiškai klientų įsipareigojimų nevykdymas svyruoja nuo mažiau nei 1 iki 3 proc., todėl 5 proc. garantija visiškai apima komercinio banko riziką.</w:t>
            </w:r>
          </w:p>
          <w:p w14:paraId="57841973" w14:textId="77777777"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Produktas sukurtas bendradarbiaujant su komerciniais bankais. Bulgarijoje nėra patalpų savininkų asociacijų tradicijų ir trūksta pasitikėjimo tarp viename pastate gyvenančių šeimų. EERSF produktas veikia kaip jungtis tarp komercinių bankų ir energijos efektyvumo didinimo projektų gyvenamųjų namų sektoriuje.</w:t>
            </w:r>
          </w:p>
          <w:p w14:paraId="01D13A35" w14:textId="77777777"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Gyvenamųjų namų portfelinių garantijų taikymo schema pateikiama paveiksle.</w:t>
            </w:r>
          </w:p>
          <w:p w14:paraId="52B2A62B" w14:textId="77777777"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noProof/>
                <w:sz w:val="20"/>
                <w:szCs w:val="20"/>
                <w:lang w:val="lt-LT" w:eastAsia="lt-LT"/>
              </w:rPr>
              <w:drawing>
                <wp:inline distT="0" distB="0" distL="0" distR="0" wp14:anchorId="5DFA5FBB" wp14:editId="69376851">
                  <wp:extent cx="3797845" cy="2780158"/>
                  <wp:effectExtent l="0" t="0" r="0" b="1270"/>
                  <wp:docPr id="134" name="Picture 2" descr="http://www.bgeef.com/_private/Portfolio_Banks_EN_500px.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geef.com/_private/Portfolio_Banks_EN_500px.jpg">
                            <a:hlinkClick r:id="rId138"/>
                          </pic:cNvPr>
                          <pic:cNvPicPr>
                            <a:picLocks noChangeAspect="1" noChangeArrowheads="1"/>
                          </pic:cNvPicPr>
                        </pic:nvPicPr>
                        <pic:blipFill>
                          <a:blip r:embed="rId139">
                            <a:extLst>
                              <a:ext uri="{28A0092B-C50C-407E-A947-70E740481C1C}">
                                <a14:useLocalDpi xmlns:a14="http://schemas.microsoft.com/office/drawing/2010/main"/>
                              </a:ext>
                            </a:extLst>
                          </a:blip>
                          <a:srcRect/>
                          <a:stretch>
                            <a:fillRect/>
                          </a:stretch>
                        </pic:blipFill>
                        <pic:spPr bwMode="auto">
                          <a:xfrm>
                            <a:off x="0" y="0"/>
                            <a:ext cx="3813518" cy="2791631"/>
                          </a:xfrm>
                          <a:prstGeom prst="rect">
                            <a:avLst/>
                          </a:prstGeom>
                          <a:noFill/>
                          <a:ln>
                            <a:noFill/>
                          </a:ln>
                        </pic:spPr>
                      </pic:pic>
                    </a:graphicData>
                  </a:graphic>
                </wp:inline>
              </w:drawing>
            </w:r>
          </w:p>
          <w:p w14:paraId="2A9DB231" w14:textId="77777777" w:rsidR="00467B8E" w:rsidRPr="00AC3318" w:rsidRDefault="00467B8E" w:rsidP="00E649A6">
            <w:pPr>
              <w:spacing w:after="120"/>
              <w:cnfStyle w:val="000000100000" w:firstRow="0" w:lastRow="0" w:firstColumn="0" w:lastColumn="0" w:oddVBand="0" w:evenVBand="0" w:oddHBand="1" w:evenHBand="0" w:firstRowFirstColumn="0" w:firstRowLastColumn="0" w:lastRowFirstColumn="0" w:lastRowLastColumn="0"/>
              <w:rPr>
                <w:rFonts w:ascii="Georgia" w:hAnsi="Georgia" w:cs="Arial"/>
                <w:i/>
                <w:sz w:val="20"/>
                <w:szCs w:val="20"/>
                <w:lang w:val="lt-LT"/>
              </w:rPr>
            </w:pPr>
            <w:r w:rsidRPr="00AC3318">
              <w:rPr>
                <w:rFonts w:ascii="Georgia" w:hAnsi="Georgia" w:cs="Arial"/>
                <w:i/>
                <w:sz w:val="20"/>
                <w:szCs w:val="20"/>
                <w:lang w:val="lt-LT"/>
              </w:rPr>
              <w:t xml:space="preserve">Šaltinis: </w:t>
            </w:r>
            <w:hyperlink r:id="rId140" w:history="1">
              <w:r w:rsidRPr="00AC3318">
                <w:rPr>
                  <w:rStyle w:val="Hipersaitas"/>
                  <w:rFonts w:ascii="Georgia" w:hAnsi="Georgia" w:cs="Arial"/>
                  <w:i/>
                  <w:sz w:val="20"/>
                  <w:szCs w:val="20"/>
                  <w:lang w:val="lt-LT"/>
                </w:rPr>
                <w:t>http://www.bgeef.com/display.aspx?page=products</w:t>
              </w:r>
            </w:hyperlink>
            <w:r w:rsidRPr="00AC3318">
              <w:rPr>
                <w:rFonts w:ascii="Georgia" w:hAnsi="Georgia" w:cs="Arial"/>
                <w:i/>
                <w:sz w:val="20"/>
                <w:szCs w:val="20"/>
                <w:lang w:val="lt-LT"/>
              </w:rPr>
              <w:t xml:space="preserve"> </w:t>
            </w:r>
          </w:p>
        </w:tc>
      </w:tr>
      <w:tr w:rsidR="00467B8E" w:rsidRPr="002C025E" w14:paraId="4B06A3F1" w14:textId="77777777" w:rsidTr="00467B8E">
        <w:tc>
          <w:tcPr>
            <w:cnfStyle w:val="001000000000" w:firstRow="0" w:lastRow="0" w:firstColumn="1" w:lastColumn="0" w:oddVBand="0" w:evenVBand="0" w:oddHBand="0" w:evenHBand="0" w:firstRowFirstColumn="0" w:firstRowLastColumn="0" w:lastRowFirstColumn="0" w:lastRowLastColumn="0"/>
            <w:tcW w:w="281" w:type="pct"/>
          </w:tcPr>
          <w:p w14:paraId="1D1F20BE" w14:textId="77777777" w:rsidR="00467B8E" w:rsidRPr="00AC3318" w:rsidRDefault="00467B8E" w:rsidP="00E649A6">
            <w:pPr>
              <w:rPr>
                <w:rFonts w:ascii="Georgia" w:hAnsi="Georgia"/>
                <w:b w:val="0"/>
                <w:sz w:val="20"/>
                <w:szCs w:val="20"/>
                <w:lang w:val="lt-LT"/>
              </w:rPr>
            </w:pPr>
            <w:r w:rsidRPr="00AC3318">
              <w:rPr>
                <w:rFonts w:ascii="Georgia" w:hAnsi="Georgia"/>
                <w:sz w:val="20"/>
                <w:szCs w:val="20"/>
                <w:lang w:val="lt-LT"/>
              </w:rPr>
              <w:lastRenderedPageBreak/>
              <w:t>5.</w:t>
            </w:r>
          </w:p>
        </w:tc>
        <w:tc>
          <w:tcPr>
            <w:tcW w:w="959" w:type="pct"/>
          </w:tcPr>
          <w:p w14:paraId="4E37CA67" w14:textId="77777777"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Galutiniai naudos gavėjai</w:t>
            </w:r>
          </w:p>
        </w:tc>
        <w:tc>
          <w:tcPr>
            <w:tcW w:w="3760" w:type="pct"/>
          </w:tcPr>
          <w:p w14:paraId="4D5C9FCB" w14:textId="77777777" w:rsidR="00467B8E" w:rsidRPr="00AC3318" w:rsidRDefault="00467B8E" w:rsidP="00E649A6">
            <w:pPr>
              <w:spacing w:after="120"/>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Tinkami galutiniai naudos gavėjai yra:</w:t>
            </w:r>
          </w:p>
          <w:p w14:paraId="756B086F" w14:textId="77777777" w:rsidR="00467B8E" w:rsidRPr="00AC3318" w:rsidRDefault="00467B8E" w:rsidP="00C03122">
            <w:pPr>
              <w:pStyle w:val="Sraopastraipa"/>
              <w:numPr>
                <w:ilvl w:val="0"/>
                <w:numId w:val="13"/>
              </w:numP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savivaldybės;</w:t>
            </w:r>
          </w:p>
          <w:p w14:paraId="262F746D" w14:textId="77777777" w:rsidR="00467B8E" w:rsidRPr="00AC3318" w:rsidRDefault="00467B8E" w:rsidP="00C03122">
            <w:pPr>
              <w:pStyle w:val="Sraopastraipa"/>
              <w:numPr>
                <w:ilvl w:val="0"/>
                <w:numId w:val="13"/>
              </w:numPr>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verslo įmonės;</w:t>
            </w:r>
          </w:p>
          <w:p w14:paraId="059234DF" w14:textId="77777777" w:rsidR="00467B8E" w:rsidRPr="00AC3318" w:rsidRDefault="00467B8E" w:rsidP="00C03122">
            <w:pPr>
              <w:pStyle w:val="Sraopastraipa"/>
              <w:numPr>
                <w:ilvl w:val="0"/>
                <w:numId w:val="13"/>
              </w:numPr>
              <w:spacing w:after="120"/>
              <w:ind w:left="714" w:hanging="357"/>
              <w:contextualSpacing w:val="0"/>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universitetai, ligoninės ir pan.</w:t>
            </w:r>
          </w:p>
          <w:p w14:paraId="5502F620" w14:textId="77777777"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Svarbiausia EERSF tikslinė grupė yra savivaldybės. Paskolos savivaldybėms sudaro apie 54 proc. viso EERSF paskolų portfelio. Tiesa, 2012 m. ir 2013 m. suprastėjo savivaldybių finansinė situacija (dėl sumažėjusios nuosavų pajamų dalies ir mažesnio finansavimo iš centrinio biudžeto), kas sąlygojo mažesnį susidomėjimą EERSF produktais.</w:t>
            </w:r>
          </w:p>
          <w:p w14:paraId="6DA8FC6B" w14:textId="77777777"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Pastebima verslo klientų mažėjimo tendencija. Tai vyksta visų pirma dėl užsitęsusio ekonominio sunkmečio. Taip pat dėl „Bulgarijos ekonomikos konkurencingumo didinimo“ veiksmų programos priemonės, pagal kurią suteikiamos iki 50 proc. subsidijos įmonių energijos efektyvumo projektams. 2013 m. EERSF finansavo tris didelius ESCO projektus skirtus savivaldybių pastatams ir universitetams. EERSF ateityje tikisi pritraukti daugiau ligoninių ir universitetų projektų.</w:t>
            </w:r>
          </w:p>
          <w:p w14:paraId="06E88A10" w14:textId="77777777"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2010 m. EERSF pirmą kartą finansavo daugiabučio gyvenamojo namo projektą. Sutartis pasirašyta ir lėšos išmokėtos 2011 m. Nedidelis tokių projektų populiarumas visų pirma sąlygotas to, jog Regioninės plėtros ministerija finansuoja Daugiabučių gyvenamųjų namų modernizavimo programą per „Regioninės plėtros“ veiksmų programą, kur suteikia iki 75 proc. subsidiją.</w:t>
            </w:r>
          </w:p>
          <w:p w14:paraId="22053E96" w14:textId="77777777" w:rsidR="00467B8E" w:rsidRPr="00AC3318" w:rsidRDefault="00467B8E" w:rsidP="00E649A6">
            <w:p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EERSF projektų pasiskirstymas pagal naudos gavėjų tipą 2013 m. gruodžio 1 d. pateikiamas lentelėje.</w:t>
            </w:r>
          </w:p>
          <w:tbl>
            <w:tblPr>
              <w:tblpPr w:leftFromText="180" w:rightFromText="180" w:vertAnchor="text" w:horzAnchor="margin" w:tblpY="44"/>
              <w:tblOverlap w:val="never"/>
              <w:tblW w:w="5000" w:type="pct"/>
              <w:tblLook w:val="04A0" w:firstRow="1" w:lastRow="0" w:firstColumn="1" w:lastColumn="0" w:noHBand="0" w:noVBand="1"/>
            </w:tblPr>
            <w:tblGrid>
              <w:gridCol w:w="1684"/>
              <w:gridCol w:w="1184"/>
              <w:gridCol w:w="1185"/>
              <w:gridCol w:w="1185"/>
              <w:gridCol w:w="1497"/>
            </w:tblGrid>
            <w:tr w:rsidR="00467B8E" w:rsidRPr="00E649A6" w14:paraId="2B87D924" w14:textId="77777777" w:rsidTr="00C307BC">
              <w:tc>
                <w:tcPr>
                  <w:tcW w:w="1000" w:type="pct"/>
                  <w:shd w:val="clear" w:color="auto" w:fill="B8CCE4" w:themeFill="accent1" w:themeFillTint="66"/>
                </w:tcPr>
                <w:p w14:paraId="3E3ED1DD" w14:textId="77777777" w:rsidR="00467B8E" w:rsidRPr="00AC3318" w:rsidRDefault="00467B8E" w:rsidP="00AC3318">
                  <w:pPr>
                    <w:spacing w:line="240" w:lineRule="auto"/>
                    <w:jc w:val="center"/>
                    <w:rPr>
                      <w:rFonts w:ascii="Georgia" w:hAnsi="Georgia" w:cs="Arial"/>
                      <w:b/>
                      <w:sz w:val="20"/>
                      <w:szCs w:val="20"/>
                      <w:lang w:val="lt-LT"/>
                    </w:rPr>
                  </w:pPr>
                </w:p>
              </w:tc>
              <w:tc>
                <w:tcPr>
                  <w:tcW w:w="1000" w:type="pct"/>
                  <w:shd w:val="clear" w:color="auto" w:fill="B8CCE4" w:themeFill="accent1" w:themeFillTint="66"/>
                </w:tcPr>
                <w:p w14:paraId="0B05EF2B" w14:textId="77777777"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Projektų skaičius (vnt.)</w:t>
                  </w:r>
                </w:p>
              </w:tc>
              <w:tc>
                <w:tcPr>
                  <w:tcW w:w="1000" w:type="pct"/>
                  <w:shd w:val="clear" w:color="auto" w:fill="B8CCE4" w:themeFill="accent1" w:themeFillTint="66"/>
                </w:tcPr>
                <w:p w14:paraId="7DB4FCF7" w14:textId="77777777"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Dalis (proc.)</w:t>
                  </w:r>
                </w:p>
              </w:tc>
              <w:tc>
                <w:tcPr>
                  <w:tcW w:w="1000" w:type="pct"/>
                  <w:shd w:val="clear" w:color="auto" w:fill="B8CCE4" w:themeFill="accent1" w:themeFillTint="66"/>
                </w:tcPr>
                <w:p w14:paraId="2359805A" w14:textId="77777777"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Projektų apimtys (proc.)</w:t>
                  </w:r>
                </w:p>
              </w:tc>
              <w:tc>
                <w:tcPr>
                  <w:tcW w:w="1000" w:type="pct"/>
                  <w:shd w:val="clear" w:color="auto" w:fill="B8CCE4" w:themeFill="accent1" w:themeFillTint="66"/>
                </w:tcPr>
                <w:p w14:paraId="3B9DB079" w14:textId="77777777"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BEEF finansavimo apimtys (proc.)</w:t>
                  </w:r>
                </w:p>
              </w:tc>
            </w:tr>
            <w:tr w:rsidR="00467B8E" w:rsidRPr="00E649A6" w14:paraId="357BE8B5" w14:textId="77777777" w:rsidTr="00C307BC">
              <w:tc>
                <w:tcPr>
                  <w:tcW w:w="1000" w:type="pct"/>
                  <w:shd w:val="clear" w:color="auto" w:fill="B8CCE4" w:themeFill="accent1" w:themeFillTint="66"/>
                </w:tcPr>
                <w:p w14:paraId="15A202FC" w14:textId="77777777" w:rsidR="00467B8E" w:rsidRPr="00AC3318" w:rsidRDefault="00467B8E" w:rsidP="00AC3318">
                  <w:pPr>
                    <w:spacing w:line="240" w:lineRule="auto"/>
                    <w:rPr>
                      <w:rFonts w:ascii="Georgia" w:hAnsi="Georgia" w:cs="Arial"/>
                      <w:b/>
                      <w:sz w:val="20"/>
                      <w:szCs w:val="20"/>
                      <w:lang w:val="lt-LT"/>
                    </w:rPr>
                  </w:pPr>
                  <w:r w:rsidRPr="00AC3318">
                    <w:rPr>
                      <w:rFonts w:ascii="Georgia" w:hAnsi="Georgia" w:cs="Arial"/>
                      <w:b/>
                      <w:sz w:val="20"/>
                      <w:szCs w:val="20"/>
                      <w:lang w:val="lt-LT"/>
                    </w:rPr>
                    <w:t>Savivaldybės</w:t>
                  </w:r>
                </w:p>
              </w:tc>
              <w:tc>
                <w:tcPr>
                  <w:tcW w:w="1000" w:type="pct"/>
                </w:tcPr>
                <w:p w14:paraId="03594D46"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91</w:t>
                  </w:r>
                </w:p>
              </w:tc>
              <w:tc>
                <w:tcPr>
                  <w:tcW w:w="1000" w:type="pct"/>
                </w:tcPr>
                <w:p w14:paraId="13F63419"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57</w:t>
                  </w:r>
                </w:p>
              </w:tc>
              <w:tc>
                <w:tcPr>
                  <w:tcW w:w="1000" w:type="pct"/>
                </w:tcPr>
                <w:p w14:paraId="6739695D"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54</w:t>
                  </w:r>
                </w:p>
              </w:tc>
              <w:tc>
                <w:tcPr>
                  <w:tcW w:w="1000" w:type="pct"/>
                </w:tcPr>
                <w:p w14:paraId="208BFD2A"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52</w:t>
                  </w:r>
                </w:p>
              </w:tc>
            </w:tr>
            <w:tr w:rsidR="00467B8E" w:rsidRPr="00E649A6" w14:paraId="7ACE360E" w14:textId="77777777" w:rsidTr="00C307BC">
              <w:tc>
                <w:tcPr>
                  <w:tcW w:w="1000" w:type="pct"/>
                  <w:shd w:val="clear" w:color="auto" w:fill="B8CCE4" w:themeFill="accent1" w:themeFillTint="66"/>
                </w:tcPr>
                <w:p w14:paraId="6D9B4749" w14:textId="77777777" w:rsidR="00467B8E" w:rsidRPr="00AC3318" w:rsidRDefault="00467B8E" w:rsidP="00AC3318">
                  <w:pPr>
                    <w:spacing w:line="240" w:lineRule="auto"/>
                    <w:rPr>
                      <w:rFonts w:ascii="Georgia" w:hAnsi="Georgia" w:cs="Arial"/>
                      <w:b/>
                      <w:sz w:val="20"/>
                      <w:szCs w:val="20"/>
                      <w:lang w:val="lt-LT"/>
                    </w:rPr>
                  </w:pPr>
                  <w:r w:rsidRPr="00AC3318">
                    <w:rPr>
                      <w:rFonts w:ascii="Georgia" w:hAnsi="Georgia" w:cs="Arial"/>
                      <w:b/>
                      <w:sz w:val="20"/>
                      <w:szCs w:val="20"/>
                      <w:lang w:val="lt-LT"/>
                    </w:rPr>
                    <w:t>Verslas</w:t>
                  </w:r>
                </w:p>
              </w:tc>
              <w:tc>
                <w:tcPr>
                  <w:tcW w:w="1000" w:type="pct"/>
                </w:tcPr>
                <w:p w14:paraId="790AAC0F"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50</w:t>
                  </w:r>
                </w:p>
              </w:tc>
              <w:tc>
                <w:tcPr>
                  <w:tcW w:w="1000" w:type="pct"/>
                </w:tcPr>
                <w:p w14:paraId="2977B50F"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31</w:t>
                  </w:r>
                </w:p>
              </w:tc>
              <w:tc>
                <w:tcPr>
                  <w:tcW w:w="1000" w:type="pct"/>
                </w:tcPr>
                <w:p w14:paraId="7069D2CB"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27</w:t>
                  </w:r>
                </w:p>
              </w:tc>
              <w:tc>
                <w:tcPr>
                  <w:tcW w:w="1000" w:type="pct"/>
                </w:tcPr>
                <w:p w14:paraId="26C8A77D"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28</w:t>
                  </w:r>
                </w:p>
              </w:tc>
            </w:tr>
            <w:tr w:rsidR="00467B8E" w:rsidRPr="00E649A6" w14:paraId="49A6E83A" w14:textId="77777777" w:rsidTr="00C307BC">
              <w:tc>
                <w:tcPr>
                  <w:tcW w:w="1000" w:type="pct"/>
                  <w:shd w:val="clear" w:color="auto" w:fill="B8CCE4" w:themeFill="accent1" w:themeFillTint="66"/>
                </w:tcPr>
                <w:p w14:paraId="53FCBA82" w14:textId="77777777" w:rsidR="00467B8E" w:rsidRPr="00AC3318" w:rsidRDefault="00467B8E" w:rsidP="00AC3318">
                  <w:pPr>
                    <w:spacing w:line="240" w:lineRule="auto"/>
                    <w:rPr>
                      <w:rFonts w:ascii="Georgia" w:hAnsi="Georgia" w:cs="Arial"/>
                      <w:b/>
                      <w:sz w:val="20"/>
                      <w:szCs w:val="20"/>
                      <w:lang w:val="lt-LT"/>
                    </w:rPr>
                  </w:pPr>
                  <w:r w:rsidRPr="00AC3318">
                    <w:rPr>
                      <w:rFonts w:ascii="Georgia" w:hAnsi="Georgia" w:cs="Arial"/>
                      <w:b/>
                      <w:sz w:val="20"/>
                      <w:szCs w:val="20"/>
                      <w:lang w:val="lt-LT"/>
                    </w:rPr>
                    <w:t>Kita (universitetai, ligoninės ir pan.)</w:t>
                  </w:r>
                </w:p>
              </w:tc>
              <w:tc>
                <w:tcPr>
                  <w:tcW w:w="1000" w:type="pct"/>
                </w:tcPr>
                <w:p w14:paraId="218BFE25"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19</w:t>
                  </w:r>
                </w:p>
              </w:tc>
              <w:tc>
                <w:tcPr>
                  <w:tcW w:w="1000" w:type="pct"/>
                </w:tcPr>
                <w:p w14:paraId="12A1A105"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12</w:t>
                  </w:r>
                </w:p>
              </w:tc>
              <w:tc>
                <w:tcPr>
                  <w:tcW w:w="1000" w:type="pct"/>
                </w:tcPr>
                <w:p w14:paraId="5DAAEC8B"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19</w:t>
                  </w:r>
                </w:p>
              </w:tc>
              <w:tc>
                <w:tcPr>
                  <w:tcW w:w="1000" w:type="pct"/>
                </w:tcPr>
                <w:p w14:paraId="01418563"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20</w:t>
                  </w:r>
                </w:p>
              </w:tc>
            </w:tr>
          </w:tbl>
          <w:p w14:paraId="2327DAEE" w14:textId="77777777" w:rsidR="00467B8E" w:rsidRPr="00AC3318" w:rsidRDefault="00467B8E" w:rsidP="00E649A6">
            <w:pPr>
              <w:spacing w:after="120"/>
              <w:cnfStyle w:val="000000000000" w:firstRow="0" w:lastRow="0" w:firstColumn="0" w:lastColumn="0" w:oddVBand="0" w:evenVBand="0" w:oddHBand="0" w:evenHBand="0" w:firstRowFirstColumn="0" w:firstRowLastColumn="0" w:lastRowFirstColumn="0" w:lastRowLastColumn="0"/>
              <w:rPr>
                <w:rFonts w:ascii="Georgia" w:hAnsi="Georgia" w:cs="Arial"/>
                <w:i/>
                <w:sz w:val="20"/>
                <w:szCs w:val="20"/>
                <w:lang w:val="lt-LT"/>
              </w:rPr>
            </w:pPr>
            <w:r w:rsidRPr="00AC3318">
              <w:rPr>
                <w:rFonts w:ascii="Georgia" w:hAnsi="Georgia" w:cs="Arial"/>
                <w:i/>
                <w:sz w:val="20"/>
                <w:szCs w:val="20"/>
                <w:lang w:val="lt-LT"/>
              </w:rPr>
              <w:t>Šaltinis: EERSF 31 December 2013 Financial Statement</w:t>
            </w:r>
          </w:p>
        </w:tc>
      </w:tr>
      <w:tr w:rsidR="00467B8E" w:rsidRPr="002C025E" w14:paraId="6BEB3E36" w14:textId="77777777"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 w:type="pct"/>
          </w:tcPr>
          <w:p w14:paraId="58CC3954" w14:textId="77777777" w:rsidR="00467B8E" w:rsidRPr="00AC3318" w:rsidRDefault="00467B8E" w:rsidP="00E649A6">
            <w:pPr>
              <w:rPr>
                <w:rFonts w:ascii="Georgia" w:hAnsi="Georgia"/>
                <w:b w:val="0"/>
                <w:sz w:val="20"/>
                <w:szCs w:val="20"/>
                <w:lang w:val="lt-LT"/>
              </w:rPr>
            </w:pPr>
            <w:r w:rsidRPr="00AC3318">
              <w:rPr>
                <w:rFonts w:ascii="Georgia" w:hAnsi="Georgia"/>
                <w:sz w:val="20"/>
                <w:szCs w:val="20"/>
                <w:lang w:val="lt-LT"/>
              </w:rPr>
              <w:t>6.</w:t>
            </w:r>
          </w:p>
        </w:tc>
        <w:tc>
          <w:tcPr>
            <w:tcW w:w="959" w:type="pct"/>
          </w:tcPr>
          <w:p w14:paraId="2DC0311F" w14:textId="77777777" w:rsidR="00467B8E" w:rsidRPr="00AC3318" w:rsidRDefault="00467B8E" w:rsidP="00E649A6">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Įgyvendinančios institucijos</w:t>
            </w:r>
          </w:p>
        </w:tc>
        <w:tc>
          <w:tcPr>
            <w:tcW w:w="3760" w:type="pct"/>
          </w:tcPr>
          <w:p w14:paraId="4129316D" w14:textId="77777777" w:rsidR="00467B8E" w:rsidRPr="00AC3318" w:rsidRDefault="00467B8E" w:rsidP="00E649A6">
            <w:pP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EERSF įsteigtas 2004 m. vasario mėn., Bulgarijos parlamentui patvirtinus Energijos Efektyvumo aktą.</w:t>
            </w:r>
          </w:p>
          <w:p w14:paraId="645A0128" w14:textId="77777777"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Fondo valdytojas yra „</w:t>
            </w:r>
            <w:r w:rsidRPr="00AC3318">
              <w:rPr>
                <w:rFonts w:ascii="Georgia" w:hAnsi="Georgia" w:cs="Arial"/>
                <w:i/>
                <w:sz w:val="20"/>
                <w:szCs w:val="20"/>
                <w:lang w:val="lt-LT"/>
              </w:rPr>
              <w:t>Econoler-EnEffect-Elana</w:t>
            </w:r>
            <w:r w:rsidRPr="00AC3318">
              <w:rPr>
                <w:rFonts w:ascii="Georgia" w:hAnsi="Georgia" w:cs="Arial"/>
                <w:sz w:val="20"/>
                <w:szCs w:val="20"/>
                <w:lang w:val="lt-LT"/>
              </w:rPr>
              <w:t>“(EEE) konsorciumas, sudarytas iš Kanados energijos efektyvumo srities konsultacinės įmonės „</w:t>
            </w:r>
            <w:r w:rsidRPr="00AC3318">
              <w:rPr>
                <w:rFonts w:ascii="Georgia" w:hAnsi="Georgia" w:cs="Arial"/>
                <w:i/>
                <w:sz w:val="20"/>
                <w:szCs w:val="20"/>
                <w:lang w:val="lt-LT"/>
              </w:rPr>
              <w:t>Econoler International</w:t>
            </w:r>
            <w:r w:rsidRPr="00AC3318">
              <w:rPr>
                <w:rFonts w:ascii="Georgia" w:hAnsi="Georgia" w:cs="Arial"/>
                <w:sz w:val="20"/>
                <w:szCs w:val="20"/>
                <w:lang w:val="lt-LT"/>
              </w:rPr>
              <w:t>“, „</w:t>
            </w:r>
            <w:r w:rsidRPr="00AC3318">
              <w:rPr>
                <w:rFonts w:ascii="Georgia" w:hAnsi="Georgia" w:cs="Arial"/>
                <w:i/>
                <w:sz w:val="20"/>
                <w:szCs w:val="20"/>
                <w:lang w:val="lt-LT"/>
              </w:rPr>
              <w:t>Center for Energy Efficiency EnEffect</w:t>
            </w:r>
            <w:r w:rsidRPr="00AC3318">
              <w:rPr>
                <w:rFonts w:ascii="Georgia" w:hAnsi="Georgia" w:cs="Arial"/>
                <w:sz w:val="20"/>
                <w:szCs w:val="20"/>
                <w:lang w:val="lt-LT"/>
              </w:rPr>
              <w:t>“ fondo ir nebankinės finansų įstaigos „</w:t>
            </w:r>
            <w:r w:rsidRPr="00AC3318">
              <w:rPr>
                <w:rFonts w:ascii="Georgia" w:hAnsi="Georgia" w:cs="Arial"/>
                <w:i/>
                <w:sz w:val="20"/>
                <w:szCs w:val="20"/>
                <w:lang w:val="lt-LT"/>
              </w:rPr>
              <w:t>Elana Holding</w:t>
            </w:r>
            <w:r w:rsidRPr="00AC3318">
              <w:rPr>
                <w:rFonts w:ascii="Georgia" w:hAnsi="Georgia" w:cs="Arial"/>
                <w:sz w:val="20"/>
                <w:szCs w:val="20"/>
                <w:lang w:val="lt-LT"/>
              </w:rPr>
              <w:t>“ AB.</w:t>
            </w:r>
          </w:p>
        </w:tc>
      </w:tr>
      <w:tr w:rsidR="00467B8E" w:rsidRPr="002C025E" w14:paraId="0852CBE8" w14:textId="77777777" w:rsidTr="00467B8E">
        <w:tc>
          <w:tcPr>
            <w:cnfStyle w:val="001000000000" w:firstRow="0" w:lastRow="0" w:firstColumn="1" w:lastColumn="0" w:oddVBand="0" w:evenVBand="0" w:oddHBand="0" w:evenHBand="0" w:firstRowFirstColumn="0" w:firstRowLastColumn="0" w:lastRowFirstColumn="0" w:lastRowLastColumn="0"/>
            <w:tcW w:w="281" w:type="pct"/>
          </w:tcPr>
          <w:p w14:paraId="3ABE7FEC" w14:textId="77777777" w:rsidR="00467B8E" w:rsidRPr="00AC3318" w:rsidRDefault="00467B8E" w:rsidP="00E649A6">
            <w:pPr>
              <w:rPr>
                <w:rFonts w:ascii="Georgia" w:hAnsi="Georgia"/>
                <w:b w:val="0"/>
                <w:sz w:val="20"/>
                <w:szCs w:val="20"/>
                <w:lang w:val="lt-LT"/>
              </w:rPr>
            </w:pPr>
            <w:r w:rsidRPr="00AC3318">
              <w:rPr>
                <w:rFonts w:ascii="Georgia" w:hAnsi="Georgia"/>
                <w:sz w:val="20"/>
                <w:szCs w:val="20"/>
                <w:lang w:val="lt-LT"/>
              </w:rPr>
              <w:t>7.</w:t>
            </w:r>
          </w:p>
        </w:tc>
        <w:tc>
          <w:tcPr>
            <w:tcW w:w="959" w:type="pct"/>
          </w:tcPr>
          <w:p w14:paraId="393E6690" w14:textId="77777777"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 xml:space="preserve">Organizacinė </w:t>
            </w:r>
            <w:r>
              <w:rPr>
                <w:rFonts w:ascii="Georgia" w:hAnsi="Georgia"/>
                <w:b/>
                <w:sz w:val="20"/>
                <w:szCs w:val="20"/>
                <w:lang w:val="lt-LT"/>
              </w:rPr>
              <w:t>finansinės priemonės</w:t>
            </w:r>
            <w:r w:rsidRPr="00AC3318" w:rsidDel="00445E51">
              <w:rPr>
                <w:rFonts w:ascii="Georgia" w:hAnsi="Georgia"/>
                <w:b/>
                <w:sz w:val="20"/>
                <w:szCs w:val="20"/>
                <w:lang w:val="lt-LT"/>
              </w:rPr>
              <w:t xml:space="preserve"> </w:t>
            </w:r>
            <w:r w:rsidRPr="00AC3318">
              <w:rPr>
                <w:rFonts w:ascii="Georgia" w:hAnsi="Georgia"/>
                <w:b/>
                <w:sz w:val="20"/>
                <w:szCs w:val="20"/>
                <w:lang w:val="lt-LT"/>
              </w:rPr>
              <w:t>o struktūra</w:t>
            </w:r>
          </w:p>
        </w:tc>
        <w:tc>
          <w:tcPr>
            <w:tcW w:w="3760" w:type="pct"/>
          </w:tcPr>
          <w:p w14:paraId="29F17662" w14:textId="77777777"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EERSF valdymo struktūra susideda iš trijų elementų: Donorų asamblėjos, Valdymo tarybos ir fondo valdytojo.</w:t>
            </w:r>
          </w:p>
          <w:p w14:paraId="2F575FCD" w14:textId="77777777"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Donorų asamblėją</w:t>
            </w:r>
            <w:r w:rsidRPr="00AC3318">
              <w:rPr>
                <w:rFonts w:ascii="Georgia" w:hAnsi="Georgia" w:cs="Arial"/>
                <w:sz w:val="20"/>
                <w:szCs w:val="20"/>
                <w:lang w:val="lt-LT"/>
              </w:rPr>
              <w:t xml:space="preserve"> sudaro pagrindinių fondo finansuotojų atstovai: Pasaulio banko globalios aplinkos priemonės (</w:t>
            </w:r>
            <w:r w:rsidRPr="00AC3318">
              <w:rPr>
                <w:rFonts w:ascii="Georgia" w:hAnsi="Georgia" w:cs="Arial"/>
                <w:i/>
                <w:sz w:val="20"/>
                <w:szCs w:val="20"/>
                <w:lang w:val="lt-LT"/>
              </w:rPr>
              <w:t xml:space="preserve">angl. The Global Environment Facility </w:t>
            </w:r>
            <w:r w:rsidRPr="00AC3318">
              <w:rPr>
                <w:rFonts w:ascii="Georgia" w:hAnsi="Georgia" w:cs="Arial"/>
                <w:sz w:val="20"/>
                <w:szCs w:val="20"/>
                <w:lang w:val="lt-LT"/>
              </w:rPr>
              <w:t>(GEF)), Bulgarijos vyriausybės, Austrijos vyriausybės ir privačių finansuotojų.</w:t>
            </w:r>
          </w:p>
          <w:p w14:paraId="4602F8EA" w14:textId="77777777"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Donorų asamblėja renkasi kas dvejus metus ir yra atsakinga už bendrą fondo veiklos priežiūrą.</w:t>
            </w:r>
          </w:p>
          <w:p w14:paraId="7B1400BF" w14:textId="77777777"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Valdymo taryba</w:t>
            </w:r>
            <w:r w:rsidRPr="00AC3318">
              <w:rPr>
                <w:rFonts w:ascii="Georgia" w:hAnsi="Georgia" w:cs="Arial"/>
                <w:sz w:val="20"/>
                <w:szCs w:val="20"/>
                <w:lang w:val="lt-LT"/>
              </w:rPr>
              <w:t xml:space="preserve"> yra atsakinga už fondo valdymą atsižvelgiant į nubrėžtus fondo tikslus ir veiklos principus. Tarybą sudaro devyni nariai: Ekonomikos ir energetikos ministerijos atstovas, Regioninės plėtros ministerijos </w:t>
            </w:r>
            <w:r w:rsidRPr="00AC3318">
              <w:rPr>
                <w:rFonts w:ascii="Georgia" w:hAnsi="Georgia" w:cs="Arial"/>
                <w:sz w:val="20"/>
                <w:szCs w:val="20"/>
                <w:lang w:val="lt-LT"/>
              </w:rPr>
              <w:lastRenderedPageBreak/>
              <w:t>atstovas, Aplinkos ir vandens išteklių ministerijos atstovas, Tvarios energetikos plėtros agentūros direktorius bei penki Donorų asamblėjos išrinkti atstovai (nevyriausybinės organizacijos, veikiančios klimato kaitos srityje, atstovas, du ekspertai, turintys ekonominį išsilavinimą ir patirties energijos gamybos projektų srityje, energijos efektyvumo srities ekspertas, turintis inžinerinį išsilavinimą, atsinaujinančių energijos išteklių srities ekspertas, turintis inžinerinį išsilavinimą). Valdymo taryba renkasi kartą per mėnesį.</w:t>
            </w:r>
          </w:p>
          <w:p w14:paraId="496D9420" w14:textId="77777777"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 xml:space="preserve">Fondo valdytojas </w:t>
            </w:r>
            <w:r w:rsidRPr="00AC3318">
              <w:rPr>
                <w:rFonts w:ascii="Georgia" w:hAnsi="Georgia" w:cs="Arial"/>
                <w:sz w:val="20"/>
                <w:szCs w:val="20"/>
                <w:lang w:val="lt-LT"/>
              </w:rPr>
              <w:t>yra „</w:t>
            </w:r>
            <w:r w:rsidRPr="00AC3318">
              <w:rPr>
                <w:rFonts w:ascii="Georgia" w:hAnsi="Georgia" w:cs="Arial"/>
                <w:i/>
                <w:sz w:val="20"/>
                <w:szCs w:val="20"/>
                <w:lang w:val="lt-LT"/>
              </w:rPr>
              <w:t xml:space="preserve">Econoler-EnEffect-Elana“ </w:t>
            </w:r>
            <w:r w:rsidRPr="00AC3318">
              <w:rPr>
                <w:rFonts w:ascii="Georgia" w:hAnsi="Georgia" w:cs="Arial"/>
                <w:sz w:val="20"/>
                <w:szCs w:val="20"/>
                <w:lang w:val="lt-LT"/>
              </w:rPr>
              <w:t>(EEE) konsorciumas, sudarytas iš Kanados energijos efektyvumo srities konsultacinės įmonės „</w:t>
            </w:r>
            <w:r w:rsidRPr="00AC3318">
              <w:rPr>
                <w:rFonts w:ascii="Georgia" w:hAnsi="Georgia" w:cs="Arial"/>
                <w:i/>
                <w:sz w:val="20"/>
                <w:szCs w:val="20"/>
                <w:lang w:val="lt-LT"/>
              </w:rPr>
              <w:t>Econoler International“</w:t>
            </w:r>
            <w:r w:rsidRPr="00AC3318">
              <w:rPr>
                <w:rFonts w:ascii="Georgia" w:hAnsi="Georgia" w:cs="Arial"/>
                <w:sz w:val="20"/>
                <w:szCs w:val="20"/>
                <w:lang w:val="lt-LT"/>
              </w:rPr>
              <w:t>, „Center for Energy Efficiency EnEffect“ fondo ir nebankinės finansų įstaigos „Elana Holding“ AB.</w:t>
            </w:r>
          </w:p>
          <w:p w14:paraId="0BD86978" w14:textId="77777777" w:rsidR="00467B8E" w:rsidRPr="00AC3318" w:rsidRDefault="00467B8E" w:rsidP="00445E51">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Valdytojas yra atsakingas už kasdienę fondo veiklą ir projekto įgyvendinimo ciklą. Pagrindinis valdytojo tikslas yra valdyti fondą kaip pelno siekiantį verslo subjektą ir skatinti energijos efektyvumo didinimo investicijas bei plėtoti tvarią energijos efektyvumo rinką Bulgarijoje. Valdytojas atsakingas už tinkamų finansinių </w:t>
            </w:r>
            <w:r>
              <w:rPr>
                <w:rFonts w:ascii="Georgia" w:hAnsi="Georgia" w:cs="Arial"/>
                <w:sz w:val="20"/>
                <w:szCs w:val="20"/>
                <w:lang w:val="lt-LT"/>
              </w:rPr>
              <w:t>priemonių</w:t>
            </w:r>
            <w:r w:rsidRPr="00AC3318">
              <w:rPr>
                <w:rFonts w:ascii="Georgia" w:hAnsi="Georgia" w:cs="Arial"/>
                <w:sz w:val="20"/>
                <w:szCs w:val="20"/>
                <w:lang w:val="lt-LT"/>
              </w:rPr>
              <w:t xml:space="preserve"> parinkimą ir taikymą atsižvelgiant į specifinę kiekvieno projekto situaciją ir bendrą projektų portfelio situaciją.</w:t>
            </w:r>
          </w:p>
        </w:tc>
      </w:tr>
      <w:tr w:rsidR="00467B8E" w:rsidRPr="002C025E" w14:paraId="280AFC2D" w14:textId="77777777"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 w:type="pct"/>
          </w:tcPr>
          <w:p w14:paraId="6B65364E" w14:textId="77777777" w:rsidR="00467B8E" w:rsidRPr="00AC3318" w:rsidRDefault="00467B8E" w:rsidP="00E649A6">
            <w:pPr>
              <w:rPr>
                <w:rFonts w:ascii="Georgia" w:hAnsi="Georgia"/>
                <w:b w:val="0"/>
                <w:sz w:val="20"/>
                <w:szCs w:val="20"/>
                <w:lang w:val="lt-LT"/>
              </w:rPr>
            </w:pPr>
            <w:r w:rsidRPr="00AC3318">
              <w:rPr>
                <w:rFonts w:ascii="Georgia" w:hAnsi="Georgia"/>
                <w:sz w:val="20"/>
                <w:szCs w:val="20"/>
                <w:lang w:val="lt-LT"/>
              </w:rPr>
              <w:lastRenderedPageBreak/>
              <w:t>8.</w:t>
            </w:r>
          </w:p>
        </w:tc>
        <w:tc>
          <w:tcPr>
            <w:tcW w:w="959" w:type="pct"/>
          </w:tcPr>
          <w:p w14:paraId="24E142ED" w14:textId="77777777" w:rsidR="00467B8E" w:rsidRPr="00AC3318" w:rsidRDefault="00467B8E" w:rsidP="00E649A6">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Privatiems investuotojams taikomos lengvatos/paskatos</w:t>
            </w:r>
          </w:p>
        </w:tc>
        <w:tc>
          <w:tcPr>
            <w:tcW w:w="3760" w:type="pct"/>
          </w:tcPr>
          <w:p w14:paraId="70D149D9" w14:textId="77777777"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Į fondą norintiems investuoti privatiems investuotojams pagrindinė paskata yra ta, jog fondas veikia kaip pelno siekianti verslo organizacija, t. y. pagrindinė motyvacija yra pelnas.</w:t>
            </w:r>
          </w:p>
        </w:tc>
      </w:tr>
      <w:tr w:rsidR="00467B8E" w:rsidRPr="002C025E" w14:paraId="1C5E1C30" w14:textId="77777777" w:rsidTr="00467B8E">
        <w:tc>
          <w:tcPr>
            <w:cnfStyle w:val="001000000000" w:firstRow="0" w:lastRow="0" w:firstColumn="1" w:lastColumn="0" w:oddVBand="0" w:evenVBand="0" w:oddHBand="0" w:evenHBand="0" w:firstRowFirstColumn="0" w:firstRowLastColumn="0" w:lastRowFirstColumn="0" w:lastRowLastColumn="0"/>
            <w:tcW w:w="281" w:type="pct"/>
          </w:tcPr>
          <w:p w14:paraId="48790504" w14:textId="77777777" w:rsidR="00467B8E" w:rsidRPr="00AC3318" w:rsidRDefault="00467B8E" w:rsidP="00E649A6">
            <w:pPr>
              <w:rPr>
                <w:rFonts w:ascii="Georgia" w:hAnsi="Georgia"/>
                <w:b w:val="0"/>
                <w:sz w:val="20"/>
                <w:szCs w:val="20"/>
                <w:lang w:val="lt-LT"/>
              </w:rPr>
            </w:pPr>
            <w:r w:rsidRPr="00AC3318">
              <w:rPr>
                <w:rFonts w:ascii="Georgia" w:hAnsi="Georgia"/>
                <w:sz w:val="20"/>
                <w:szCs w:val="20"/>
                <w:lang w:val="lt-LT"/>
              </w:rPr>
              <w:t>9.</w:t>
            </w:r>
          </w:p>
        </w:tc>
        <w:tc>
          <w:tcPr>
            <w:tcW w:w="959" w:type="pct"/>
          </w:tcPr>
          <w:p w14:paraId="65C24CE8" w14:textId="77777777"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Rezultatai:</w:t>
            </w:r>
          </w:p>
        </w:tc>
        <w:tc>
          <w:tcPr>
            <w:tcW w:w="3760" w:type="pct"/>
          </w:tcPr>
          <w:p w14:paraId="6A0D540B" w14:textId="77777777"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sz w:val="20"/>
                <w:szCs w:val="20"/>
                <w:lang w:val="lt-LT"/>
              </w:rPr>
            </w:pPr>
          </w:p>
        </w:tc>
      </w:tr>
      <w:tr w:rsidR="00467B8E" w:rsidRPr="002C025E" w14:paraId="3F40A349" w14:textId="77777777"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 w:type="pct"/>
          </w:tcPr>
          <w:p w14:paraId="616C3062" w14:textId="77777777" w:rsidR="00467B8E" w:rsidRPr="00AC3318" w:rsidRDefault="00467B8E" w:rsidP="00E649A6">
            <w:pPr>
              <w:rPr>
                <w:rFonts w:ascii="Georgia" w:hAnsi="Georgia"/>
                <w:b w:val="0"/>
                <w:sz w:val="20"/>
                <w:szCs w:val="20"/>
                <w:lang w:val="lt-LT"/>
              </w:rPr>
            </w:pPr>
            <w:r w:rsidRPr="00AC3318">
              <w:rPr>
                <w:rFonts w:ascii="Georgia" w:hAnsi="Georgia"/>
                <w:sz w:val="20"/>
                <w:szCs w:val="20"/>
                <w:lang w:val="lt-LT"/>
              </w:rPr>
              <w:t>9.1.</w:t>
            </w:r>
          </w:p>
        </w:tc>
        <w:tc>
          <w:tcPr>
            <w:tcW w:w="959" w:type="pct"/>
          </w:tcPr>
          <w:p w14:paraId="0E88FC5E" w14:textId="77777777" w:rsidR="00467B8E" w:rsidRPr="00AC3318" w:rsidRDefault="00467B8E" w:rsidP="00E649A6">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Suteiktos paskolos ir garantijos</w:t>
            </w:r>
          </w:p>
        </w:tc>
        <w:tc>
          <w:tcPr>
            <w:tcW w:w="3760" w:type="pct"/>
          </w:tcPr>
          <w:p w14:paraId="384650AE" w14:textId="77777777" w:rsidR="00467B8E" w:rsidRPr="00AC3318" w:rsidRDefault="00467B8E" w:rsidP="00E649A6">
            <w:pPr>
              <w:spacing w:after="120"/>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Pateikiami 2013 m. gruodžio 31 d. duomenys apie išduotas paskolas 2006-2013 m. laikotarpiu:</w:t>
            </w:r>
          </w:p>
          <w:tbl>
            <w:tblPr>
              <w:tblW w:w="0" w:type="auto"/>
              <w:jc w:val="center"/>
              <w:tblLook w:val="04A0" w:firstRow="1" w:lastRow="0" w:firstColumn="1" w:lastColumn="0" w:noHBand="0" w:noVBand="1"/>
            </w:tblPr>
            <w:tblGrid>
              <w:gridCol w:w="2154"/>
              <w:gridCol w:w="2154"/>
              <w:gridCol w:w="2427"/>
            </w:tblGrid>
            <w:tr w:rsidR="00467B8E" w:rsidRPr="00E649A6" w14:paraId="2CBEEFD7" w14:textId="77777777" w:rsidTr="00C307BC">
              <w:trPr>
                <w:jc w:val="center"/>
              </w:trPr>
              <w:tc>
                <w:tcPr>
                  <w:tcW w:w="3537" w:type="dxa"/>
                  <w:shd w:val="clear" w:color="auto" w:fill="B8CCE4" w:themeFill="accent1" w:themeFillTint="66"/>
                </w:tcPr>
                <w:p w14:paraId="7C91F554" w14:textId="77777777"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Projektų skaičius (vnt.)</w:t>
                  </w:r>
                </w:p>
              </w:tc>
              <w:tc>
                <w:tcPr>
                  <w:tcW w:w="3537" w:type="dxa"/>
                  <w:shd w:val="clear" w:color="auto" w:fill="B8CCE4" w:themeFill="accent1" w:themeFillTint="66"/>
                </w:tcPr>
                <w:p w14:paraId="067D9AB8" w14:textId="77777777"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Projektų vertė (mln. €)</w:t>
                  </w:r>
                </w:p>
              </w:tc>
              <w:tc>
                <w:tcPr>
                  <w:tcW w:w="3538" w:type="dxa"/>
                  <w:shd w:val="clear" w:color="auto" w:fill="B8CCE4" w:themeFill="accent1" w:themeFillTint="66"/>
                </w:tcPr>
                <w:p w14:paraId="1BA53A6C" w14:textId="77777777"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 xml:space="preserve">EERSF suteiktas finansavimas (mln. €) </w:t>
                  </w:r>
                </w:p>
              </w:tc>
            </w:tr>
            <w:tr w:rsidR="00467B8E" w:rsidRPr="00E649A6" w14:paraId="4F98A24C" w14:textId="77777777" w:rsidTr="00C307BC">
              <w:trPr>
                <w:jc w:val="center"/>
              </w:trPr>
              <w:tc>
                <w:tcPr>
                  <w:tcW w:w="3537" w:type="dxa"/>
                </w:tcPr>
                <w:p w14:paraId="3403E432"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160</w:t>
                  </w:r>
                </w:p>
              </w:tc>
              <w:tc>
                <w:tcPr>
                  <w:tcW w:w="3537" w:type="dxa"/>
                </w:tcPr>
                <w:p w14:paraId="14562AE2"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33,13</w:t>
                  </w:r>
                </w:p>
              </w:tc>
              <w:tc>
                <w:tcPr>
                  <w:tcW w:w="3538" w:type="dxa"/>
                </w:tcPr>
                <w:p w14:paraId="48B7D5FA"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22,43</w:t>
                  </w:r>
                </w:p>
              </w:tc>
            </w:tr>
          </w:tbl>
          <w:p w14:paraId="2D972C94" w14:textId="77777777" w:rsidR="00467B8E" w:rsidRPr="00AC3318" w:rsidRDefault="00467B8E" w:rsidP="00E649A6">
            <w:pPr>
              <w:spacing w:after="120"/>
              <w:cnfStyle w:val="000000100000" w:firstRow="0" w:lastRow="0" w:firstColumn="0" w:lastColumn="0" w:oddVBand="0" w:evenVBand="0" w:oddHBand="1" w:evenHBand="0" w:firstRowFirstColumn="0" w:firstRowLastColumn="0" w:lastRowFirstColumn="0" w:lastRowLastColumn="0"/>
              <w:rPr>
                <w:rFonts w:ascii="Georgia" w:hAnsi="Georgia" w:cs="Arial"/>
                <w:i/>
                <w:sz w:val="20"/>
                <w:szCs w:val="20"/>
                <w:lang w:val="lt-LT"/>
              </w:rPr>
            </w:pPr>
            <w:r w:rsidRPr="00AC3318">
              <w:rPr>
                <w:rFonts w:ascii="Georgia" w:hAnsi="Georgia" w:cs="Arial"/>
                <w:i/>
                <w:sz w:val="20"/>
                <w:szCs w:val="20"/>
                <w:lang w:val="lt-LT"/>
              </w:rPr>
              <w:t xml:space="preserve">Šaltinis: </w:t>
            </w:r>
            <w:hyperlink r:id="rId141" w:history="1">
              <w:r w:rsidRPr="00AC3318">
                <w:rPr>
                  <w:rStyle w:val="Hipersaitas"/>
                  <w:rFonts w:ascii="Georgia" w:hAnsi="Georgia" w:cs="Arial"/>
                  <w:i/>
                  <w:sz w:val="20"/>
                  <w:szCs w:val="20"/>
                  <w:lang w:val="lt-LT"/>
                </w:rPr>
                <w:t>http://www.bgeef.com/display.aspx?page=case_stud</w:t>
              </w:r>
            </w:hyperlink>
            <w:r w:rsidRPr="00AC3318">
              <w:rPr>
                <w:rFonts w:ascii="Georgia" w:hAnsi="Georgia" w:cs="Arial"/>
                <w:i/>
                <w:sz w:val="20"/>
                <w:szCs w:val="20"/>
                <w:lang w:val="lt-LT"/>
              </w:rPr>
              <w:t xml:space="preserve"> </w:t>
            </w:r>
          </w:p>
          <w:p w14:paraId="1B9603FB" w14:textId="77777777" w:rsidR="00467B8E" w:rsidRPr="00AC3318" w:rsidRDefault="00467B8E" w:rsidP="00E649A6">
            <w:pPr>
              <w:spacing w:after="120"/>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Pateikiami 2013 m. gruodžio 31 d. duomenys apie išduotas garantijas 2006-2013 m. laikotarpiu:</w:t>
            </w:r>
          </w:p>
          <w:tbl>
            <w:tblPr>
              <w:tblW w:w="0" w:type="auto"/>
              <w:jc w:val="center"/>
              <w:tblLook w:val="04A0" w:firstRow="1" w:lastRow="0" w:firstColumn="1" w:lastColumn="0" w:noHBand="0" w:noVBand="1"/>
            </w:tblPr>
            <w:tblGrid>
              <w:gridCol w:w="1631"/>
              <w:gridCol w:w="1573"/>
              <w:gridCol w:w="1573"/>
              <w:gridCol w:w="1958"/>
            </w:tblGrid>
            <w:tr w:rsidR="00467B8E" w:rsidRPr="00E649A6" w14:paraId="4A3C6E08" w14:textId="77777777" w:rsidTr="00C307BC">
              <w:trPr>
                <w:jc w:val="center"/>
              </w:trPr>
              <w:tc>
                <w:tcPr>
                  <w:tcW w:w="2410" w:type="dxa"/>
                  <w:shd w:val="clear" w:color="auto" w:fill="B8CCE4" w:themeFill="accent1" w:themeFillTint="66"/>
                </w:tcPr>
                <w:p w14:paraId="65238255" w14:textId="77777777"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Garantijos tipas</w:t>
                  </w:r>
                </w:p>
              </w:tc>
              <w:tc>
                <w:tcPr>
                  <w:tcW w:w="2681" w:type="dxa"/>
                  <w:shd w:val="clear" w:color="auto" w:fill="B8CCE4" w:themeFill="accent1" w:themeFillTint="66"/>
                </w:tcPr>
                <w:p w14:paraId="1E4BE207" w14:textId="77777777"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Projektų skaičius (vnt.)</w:t>
                  </w:r>
                </w:p>
              </w:tc>
              <w:tc>
                <w:tcPr>
                  <w:tcW w:w="2681" w:type="dxa"/>
                  <w:shd w:val="clear" w:color="auto" w:fill="B8CCE4" w:themeFill="accent1" w:themeFillTint="66"/>
                </w:tcPr>
                <w:p w14:paraId="602AF6A4" w14:textId="77777777"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Projektų vertė (mln. €)</w:t>
                  </w:r>
                </w:p>
              </w:tc>
              <w:tc>
                <w:tcPr>
                  <w:tcW w:w="2840" w:type="dxa"/>
                  <w:shd w:val="clear" w:color="auto" w:fill="B8CCE4" w:themeFill="accent1" w:themeFillTint="66"/>
                </w:tcPr>
                <w:p w14:paraId="6B44D215" w14:textId="77777777" w:rsidR="00467B8E" w:rsidRPr="00AC3318" w:rsidRDefault="00467B8E" w:rsidP="00AC3318">
                  <w:pPr>
                    <w:spacing w:line="240" w:lineRule="auto"/>
                    <w:jc w:val="center"/>
                    <w:rPr>
                      <w:rFonts w:ascii="Georgia" w:hAnsi="Georgia" w:cs="Arial"/>
                      <w:b/>
                      <w:sz w:val="20"/>
                      <w:szCs w:val="20"/>
                      <w:lang w:val="lt-LT"/>
                    </w:rPr>
                  </w:pPr>
                  <w:r w:rsidRPr="00AC3318">
                    <w:rPr>
                      <w:rFonts w:ascii="Georgia" w:hAnsi="Georgia" w:cs="Arial"/>
                      <w:b/>
                      <w:sz w:val="20"/>
                      <w:szCs w:val="20"/>
                      <w:lang w:val="lt-LT"/>
                    </w:rPr>
                    <w:t xml:space="preserve">EERSF suteiktas finansavimas (mln. €) </w:t>
                  </w:r>
                </w:p>
              </w:tc>
            </w:tr>
            <w:tr w:rsidR="00467B8E" w:rsidRPr="00E649A6" w14:paraId="4E408932" w14:textId="77777777" w:rsidTr="00C307BC">
              <w:trPr>
                <w:jc w:val="center"/>
              </w:trPr>
              <w:tc>
                <w:tcPr>
                  <w:tcW w:w="2410" w:type="dxa"/>
                </w:tcPr>
                <w:p w14:paraId="0B56133C" w14:textId="77777777" w:rsidR="00467B8E" w:rsidRPr="00AC3318" w:rsidRDefault="00467B8E" w:rsidP="00AC3318">
                  <w:pPr>
                    <w:spacing w:line="240" w:lineRule="auto"/>
                    <w:rPr>
                      <w:rFonts w:ascii="Georgia" w:hAnsi="Georgia" w:cs="Arial"/>
                      <w:sz w:val="20"/>
                      <w:szCs w:val="20"/>
                      <w:lang w:val="lt-LT"/>
                    </w:rPr>
                  </w:pPr>
                  <w:r w:rsidRPr="00AC3318">
                    <w:rPr>
                      <w:rFonts w:ascii="Georgia" w:hAnsi="Georgia" w:cs="Arial"/>
                      <w:sz w:val="20"/>
                      <w:szCs w:val="20"/>
                      <w:lang w:val="lt-LT"/>
                    </w:rPr>
                    <w:t>Paskolų garantijos</w:t>
                  </w:r>
                </w:p>
              </w:tc>
              <w:tc>
                <w:tcPr>
                  <w:tcW w:w="2681" w:type="dxa"/>
                </w:tcPr>
                <w:p w14:paraId="002C8E9C"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29</w:t>
                  </w:r>
                </w:p>
              </w:tc>
              <w:tc>
                <w:tcPr>
                  <w:tcW w:w="2681" w:type="dxa"/>
                </w:tcPr>
                <w:p w14:paraId="4867B7C9"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8,64</w:t>
                  </w:r>
                </w:p>
              </w:tc>
              <w:tc>
                <w:tcPr>
                  <w:tcW w:w="2840" w:type="dxa"/>
                </w:tcPr>
                <w:p w14:paraId="4E026DF1"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0,31</w:t>
                  </w:r>
                </w:p>
              </w:tc>
            </w:tr>
            <w:tr w:rsidR="00467B8E" w:rsidRPr="00E649A6" w14:paraId="1AC9FA91" w14:textId="77777777" w:rsidTr="00C307BC">
              <w:trPr>
                <w:jc w:val="center"/>
              </w:trPr>
              <w:tc>
                <w:tcPr>
                  <w:tcW w:w="2410" w:type="dxa"/>
                </w:tcPr>
                <w:p w14:paraId="1CDC2A6B" w14:textId="77777777" w:rsidR="00467B8E" w:rsidRPr="00AC3318" w:rsidRDefault="00467B8E" w:rsidP="00AC3318">
                  <w:pPr>
                    <w:spacing w:line="240" w:lineRule="auto"/>
                    <w:rPr>
                      <w:rFonts w:ascii="Georgia" w:hAnsi="Georgia" w:cs="Arial"/>
                      <w:sz w:val="20"/>
                      <w:szCs w:val="20"/>
                      <w:lang w:val="lt-LT"/>
                    </w:rPr>
                  </w:pPr>
                  <w:r w:rsidRPr="00AC3318">
                    <w:rPr>
                      <w:rFonts w:ascii="Georgia" w:hAnsi="Georgia" w:cs="Arial"/>
                      <w:sz w:val="20"/>
                      <w:szCs w:val="20"/>
                      <w:lang w:val="lt-LT"/>
                    </w:rPr>
                    <w:t>ESCO portfelinės garantijos</w:t>
                  </w:r>
                </w:p>
              </w:tc>
              <w:tc>
                <w:tcPr>
                  <w:tcW w:w="2681" w:type="dxa"/>
                </w:tcPr>
                <w:p w14:paraId="455409E3"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32</w:t>
                  </w:r>
                </w:p>
              </w:tc>
              <w:tc>
                <w:tcPr>
                  <w:tcW w:w="2681" w:type="dxa"/>
                </w:tcPr>
                <w:p w14:paraId="440C1A16"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11,71</w:t>
                  </w:r>
                </w:p>
              </w:tc>
              <w:tc>
                <w:tcPr>
                  <w:tcW w:w="2840" w:type="dxa"/>
                </w:tcPr>
                <w:p w14:paraId="1F51A8EB"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1,94</w:t>
                  </w:r>
                </w:p>
              </w:tc>
            </w:tr>
            <w:tr w:rsidR="00467B8E" w:rsidRPr="00E649A6" w14:paraId="424C0F43" w14:textId="77777777" w:rsidTr="00C307BC">
              <w:trPr>
                <w:jc w:val="center"/>
              </w:trPr>
              <w:tc>
                <w:tcPr>
                  <w:tcW w:w="2410" w:type="dxa"/>
                </w:tcPr>
                <w:p w14:paraId="519E532F" w14:textId="77777777" w:rsidR="00467B8E" w:rsidRPr="00AC3318" w:rsidRDefault="00467B8E" w:rsidP="00AC3318">
                  <w:pPr>
                    <w:spacing w:line="240" w:lineRule="auto"/>
                    <w:rPr>
                      <w:rFonts w:ascii="Georgia" w:hAnsi="Georgia" w:cs="Arial"/>
                      <w:sz w:val="20"/>
                      <w:szCs w:val="20"/>
                      <w:lang w:val="lt-LT"/>
                    </w:rPr>
                  </w:pPr>
                  <w:r w:rsidRPr="00AC3318">
                    <w:rPr>
                      <w:rFonts w:ascii="Georgia" w:hAnsi="Georgia" w:cs="Arial"/>
                      <w:sz w:val="20"/>
                      <w:szCs w:val="20"/>
                      <w:lang w:val="lt-LT"/>
                    </w:rPr>
                    <w:t>Dalinės paskolų garantijos (paskolų sutartims)</w:t>
                  </w:r>
                </w:p>
              </w:tc>
              <w:tc>
                <w:tcPr>
                  <w:tcW w:w="2681" w:type="dxa"/>
                </w:tcPr>
                <w:p w14:paraId="41EA08FE"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3</w:t>
                  </w:r>
                </w:p>
              </w:tc>
              <w:tc>
                <w:tcPr>
                  <w:tcW w:w="2681" w:type="dxa"/>
                </w:tcPr>
                <w:p w14:paraId="4A67C6B9"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3,02</w:t>
                  </w:r>
                </w:p>
              </w:tc>
              <w:tc>
                <w:tcPr>
                  <w:tcW w:w="2840" w:type="dxa"/>
                </w:tcPr>
                <w:p w14:paraId="0A3F87DE" w14:textId="77777777" w:rsidR="00467B8E" w:rsidRPr="00AC3318" w:rsidRDefault="00467B8E" w:rsidP="00AC3318">
                  <w:pPr>
                    <w:spacing w:line="240" w:lineRule="auto"/>
                    <w:jc w:val="center"/>
                    <w:rPr>
                      <w:rFonts w:ascii="Georgia" w:hAnsi="Georgia" w:cs="Arial"/>
                      <w:sz w:val="20"/>
                      <w:szCs w:val="20"/>
                      <w:lang w:val="lt-LT"/>
                    </w:rPr>
                  </w:pPr>
                  <w:r w:rsidRPr="00AC3318">
                    <w:rPr>
                      <w:rFonts w:ascii="Georgia" w:hAnsi="Georgia" w:cs="Arial"/>
                      <w:sz w:val="20"/>
                      <w:szCs w:val="20"/>
                      <w:lang w:val="lt-LT"/>
                    </w:rPr>
                    <w:t>1,64</w:t>
                  </w:r>
                </w:p>
              </w:tc>
            </w:tr>
          </w:tbl>
          <w:p w14:paraId="7AF25F58" w14:textId="77777777" w:rsidR="00467B8E" w:rsidRPr="00AC3318" w:rsidRDefault="00467B8E" w:rsidP="00E649A6">
            <w:pPr>
              <w:spacing w:after="120"/>
              <w:cnfStyle w:val="000000100000" w:firstRow="0" w:lastRow="0" w:firstColumn="0" w:lastColumn="0" w:oddVBand="0" w:evenVBand="0" w:oddHBand="1" w:evenHBand="0" w:firstRowFirstColumn="0" w:firstRowLastColumn="0" w:lastRowFirstColumn="0" w:lastRowLastColumn="0"/>
              <w:rPr>
                <w:rFonts w:ascii="Georgia" w:hAnsi="Georgia" w:cs="Arial"/>
                <w:i/>
                <w:sz w:val="20"/>
                <w:szCs w:val="20"/>
                <w:lang w:val="lt-LT"/>
              </w:rPr>
            </w:pPr>
            <w:r w:rsidRPr="00AC3318">
              <w:rPr>
                <w:rFonts w:ascii="Georgia" w:hAnsi="Georgia" w:cs="Arial"/>
                <w:i/>
                <w:sz w:val="20"/>
                <w:szCs w:val="20"/>
                <w:lang w:val="lt-LT"/>
              </w:rPr>
              <w:t xml:space="preserve">Šaltinis: </w:t>
            </w:r>
            <w:hyperlink r:id="rId142" w:history="1">
              <w:r w:rsidRPr="00AC3318">
                <w:rPr>
                  <w:rStyle w:val="Hipersaitas"/>
                  <w:rFonts w:ascii="Georgia" w:hAnsi="Georgia" w:cs="Arial"/>
                  <w:i/>
                  <w:sz w:val="20"/>
                  <w:szCs w:val="20"/>
                  <w:lang w:val="lt-LT"/>
                </w:rPr>
                <w:t>http://www.bgeef.com/display.aspx?page=case_stud</w:t>
              </w:r>
            </w:hyperlink>
            <w:r w:rsidRPr="00AC3318">
              <w:rPr>
                <w:rFonts w:ascii="Georgia" w:hAnsi="Georgia" w:cs="Arial"/>
                <w:i/>
                <w:sz w:val="20"/>
                <w:szCs w:val="20"/>
                <w:lang w:val="lt-LT"/>
              </w:rPr>
              <w:t xml:space="preserve"> </w:t>
            </w:r>
          </w:p>
        </w:tc>
      </w:tr>
      <w:tr w:rsidR="00467B8E" w:rsidRPr="002C025E" w14:paraId="5A11D398" w14:textId="77777777" w:rsidTr="00467B8E">
        <w:tc>
          <w:tcPr>
            <w:cnfStyle w:val="001000000000" w:firstRow="0" w:lastRow="0" w:firstColumn="1" w:lastColumn="0" w:oddVBand="0" w:evenVBand="0" w:oddHBand="0" w:evenHBand="0" w:firstRowFirstColumn="0" w:firstRowLastColumn="0" w:lastRowFirstColumn="0" w:lastRowLastColumn="0"/>
            <w:tcW w:w="281" w:type="pct"/>
          </w:tcPr>
          <w:p w14:paraId="2DC50C26" w14:textId="77777777" w:rsidR="00467B8E" w:rsidRPr="00AC3318" w:rsidRDefault="00467B8E" w:rsidP="00E649A6">
            <w:pPr>
              <w:rPr>
                <w:rFonts w:ascii="Georgia" w:hAnsi="Georgia"/>
                <w:b w:val="0"/>
                <w:sz w:val="20"/>
                <w:szCs w:val="20"/>
                <w:lang w:val="lt-LT"/>
              </w:rPr>
            </w:pPr>
            <w:r w:rsidRPr="00AC3318">
              <w:rPr>
                <w:rFonts w:ascii="Georgia" w:hAnsi="Georgia"/>
                <w:sz w:val="20"/>
                <w:szCs w:val="20"/>
                <w:lang w:val="lt-LT"/>
              </w:rPr>
              <w:t>10.</w:t>
            </w:r>
          </w:p>
        </w:tc>
        <w:tc>
          <w:tcPr>
            <w:tcW w:w="959" w:type="pct"/>
          </w:tcPr>
          <w:p w14:paraId="7B6FE578" w14:textId="77777777" w:rsidR="00467B8E" w:rsidRPr="00AC3318" w:rsidRDefault="00467B8E" w:rsidP="00E649A6">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Pr>
                <w:rFonts w:ascii="Georgia" w:hAnsi="Georgia"/>
                <w:b/>
                <w:sz w:val="20"/>
                <w:szCs w:val="20"/>
                <w:lang w:val="lt-LT"/>
              </w:rPr>
              <w:t>Finansinės priemonės</w:t>
            </w:r>
            <w:r w:rsidRPr="00AC3318" w:rsidDel="00445E51">
              <w:rPr>
                <w:rFonts w:ascii="Georgia" w:hAnsi="Georgia"/>
                <w:b/>
                <w:sz w:val="20"/>
                <w:szCs w:val="20"/>
                <w:lang w:val="lt-LT"/>
              </w:rPr>
              <w:t xml:space="preserve"> </w:t>
            </w:r>
            <w:r w:rsidRPr="00AC3318">
              <w:rPr>
                <w:rFonts w:ascii="Georgia" w:hAnsi="Georgia"/>
                <w:b/>
                <w:sz w:val="20"/>
                <w:szCs w:val="20"/>
                <w:lang w:val="lt-LT"/>
              </w:rPr>
              <w:t xml:space="preserve">indėlis į veiksmų </w:t>
            </w:r>
            <w:r w:rsidRPr="00AC3318">
              <w:rPr>
                <w:rFonts w:ascii="Georgia" w:hAnsi="Georgia"/>
                <w:b/>
                <w:sz w:val="20"/>
                <w:szCs w:val="20"/>
                <w:lang w:val="lt-LT"/>
              </w:rPr>
              <w:lastRenderedPageBreak/>
              <w:t>programos tikslų pasiekimą</w:t>
            </w:r>
          </w:p>
        </w:tc>
        <w:tc>
          <w:tcPr>
            <w:tcW w:w="3760" w:type="pct"/>
          </w:tcPr>
          <w:p w14:paraId="0EC31A5E" w14:textId="77777777"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lastRenderedPageBreak/>
              <w:t>Fondas nėra finansuojamas ES struktūrinių fondų programos lėšomis.</w:t>
            </w:r>
          </w:p>
          <w:p w14:paraId="6DD73FAB" w14:textId="77777777"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Pradiniai indėliai į fondą: Pasaulio banko globali aplinkos priemonė – 10 mln. $, Bulgarijos vyriausybė – 1,5 mln. €, Austrijos vyriausybė – 1,5 mln. € ir privačios Bulgarijos įmonės.</w:t>
            </w:r>
          </w:p>
          <w:p w14:paraId="75B273CF" w14:textId="77777777" w:rsidR="00467B8E" w:rsidRPr="00AC3318" w:rsidRDefault="00467B8E" w:rsidP="00E649A6">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lastRenderedPageBreak/>
              <w:t xml:space="preserve">Artimiausiu metu fondas tikisi gauti 5 mln. € subsidiją iš </w:t>
            </w:r>
            <w:r w:rsidRPr="00AC3318">
              <w:rPr>
                <w:rFonts w:ascii="Georgia" w:hAnsi="Georgia" w:cs="Arial"/>
                <w:i/>
                <w:sz w:val="20"/>
                <w:szCs w:val="20"/>
                <w:lang w:val="lt-LT"/>
              </w:rPr>
              <w:t>Kozloduy International Decommissioning Support Fund</w:t>
            </w:r>
            <w:r w:rsidRPr="00AC3318">
              <w:rPr>
                <w:rFonts w:ascii="Georgia" w:hAnsi="Georgia" w:cs="Arial"/>
                <w:sz w:val="20"/>
                <w:szCs w:val="20"/>
                <w:lang w:val="lt-LT"/>
              </w:rPr>
              <w:t>, kad toliau plėtotų paramą ESCO. Taip pat didinti kapitalizaciją pritraukdamas išteklius iš vietinių bankų ir tarptautinių finansinių institucijų.</w:t>
            </w:r>
          </w:p>
        </w:tc>
      </w:tr>
      <w:tr w:rsidR="00467B8E" w:rsidRPr="002C025E" w14:paraId="6224B6A8" w14:textId="77777777"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 w:type="pct"/>
          </w:tcPr>
          <w:p w14:paraId="78EF50BF" w14:textId="77777777" w:rsidR="00467B8E" w:rsidRPr="00AC3318" w:rsidRDefault="00467B8E" w:rsidP="00E649A6">
            <w:pPr>
              <w:jc w:val="both"/>
              <w:rPr>
                <w:rFonts w:ascii="Georgia" w:hAnsi="Georgia"/>
                <w:b w:val="0"/>
                <w:sz w:val="20"/>
                <w:szCs w:val="20"/>
                <w:lang w:val="lt-LT"/>
              </w:rPr>
            </w:pPr>
            <w:r w:rsidRPr="00AC3318">
              <w:rPr>
                <w:rFonts w:ascii="Georgia" w:hAnsi="Georgia"/>
                <w:sz w:val="20"/>
                <w:szCs w:val="20"/>
                <w:lang w:val="lt-LT"/>
              </w:rPr>
              <w:lastRenderedPageBreak/>
              <w:t>11.</w:t>
            </w:r>
          </w:p>
        </w:tc>
        <w:tc>
          <w:tcPr>
            <w:tcW w:w="959" w:type="pct"/>
          </w:tcPr>
          <w:p w14:paraId="0FF9AA1F" w14:textId="77777777" w:rsidR="00467B8E" w:rsidRPr="00AC3318" w:rsidRDefault="00467B8E" w:rsidP="00E649A6">
            <w:pPr>
              <w:spacing w:after="120"/>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Sėkmės faktoriai, pasiteisinusios idėjos/elementai</w:t>
            </w:r>
          </w:p>
          <w:p w14:paraId="78002F1D" w14:textId="77777777" w:rsidR="00467B8E" w:rsidRPr="00AC3318" w:rsidRDefault="00467B8E" w:rsidP="00E649A6">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Problemos su kuriomis susidurta, didesnio rizikingumo aspektai</w:t>
            </w:r>
          </w:p>
        </w:tc>
        <w:tc>
          <w:tcPr>
            <w:tcW w:w="3760" w:type="pct"/>
          </w:tcPr>
          <w:p w14:paraId="3A1C7328" w14:textId="77777777"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Informacijos sklaida, bendradarbiavimas su tikslinėmis grupėmis</w:t>
            </w:r>
            <w:r w:rsidRPr="00AC3318">
              <w:rPr>
                <w:rFonts w:ascii="Georgia" w:hAnsi="Georgia" w:cs="Arial"/>
                <w:sz w:val="20"/>
                <w:szCs w:val="20"/>
                <w:lang w:val="lt-LT"/>
              </w:rPr>
              <w:t>: geri ryšiai su savivaldybėmis ir jų asociacijomis ženkliai prisideda prie išliekančio didelio susidomėjimo fondo siūlomais produktais. EERSF organizuoja apskritus stalus ir seminarus regionuose, taip pat savo veiklą nušviečia spaudoje, leidžia specializuotus leidinius, organizuoja renginius.</w:t>
            </w:r>
          </w:p>
          <w:p w14:paraId="707A96AD" w14:textId="77777777"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Tam tikruose segmentuose egzistuoja informacijos trūkumas, kuris yra įvardijamas kaip viena iš didžiausių kliūčių tolimesnei sėkmingai plėtrai, pvz., informacijos ir gerosios patirties stoka apie ESCO veiklą ir EPC. Tokia situacija nekuria reikiamo pasitikėjimo tarp potencialaus kliento ir fondo bei projekto vykdytojo.</w:t>
            </w:r>
          </w:p>
          <w:p w14:paraId="29F36030" w14:textId="77777777"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skirti tinkamą dėmesį ir finansavimą viešinimo veikloms, darbui su tikslinėmis grupėmis (parengti viešinimo veiksmų planą).</w:t>
            </w:r>
          </w:p>
          <w:p w14:paraId="78BDD64B" w14:textId="77777777"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 xml:space="preserve">Neigiamas tame pačiame sektoriuje vykdomų viešųjų intervencijų / kitų finansinių </w:t>
            </w:r>
            <w:r>
              <w:rPr>
                <w:rFonts w:ascii="Georgia" w:hAnsi="Georgia" w:cs="Arial"/>
                <w:i/>
                <w:sz w:val="20"/>
                <w:szCs w:val="20"/>
                <w:lang w:val="lt-LT"/>
              </w:rPr>
              <w:t>priemonių</w:t>
            </w:r>
            <w:r w:rsidRPr="00AC3318">
              <w:rPr>
                <w:rFonts w:ascii="Georgia" w:hAnsi="Georgia" w:cs="Arial"/>
                <w:i/>
                <w:sz w:val="20"/>
                <w:szCs w:val="20"/>
                <w:lang w:val="lt-LT"/>
              </w:rPr>
              <w:t xml:space="preserve"> poveikis paklausai</w:t>
            </w:r>
            <w:r w:rsidRPr="00AC3318">
              <w:rPr>
                <w:rFonts w:ascii="Georgia" w:hAnsi="Georgia" w:cs="Arial"/>
                <w:sz w:val="20"/>
                <w:szCs w:val="20"/>
                <w:lang w:val="lt-LT"/>
              </w:rPr>
              <w:t xml:space="preserve">. EERSF atveju tai subsidijos įmonėms, teikiamos pagal „Bulgarijos ekonomikos konkurencingumo didinimo“ veiksmų programą ir daugiabučių atnaujinimui pagal „Regioninės plėtros“ veiksmų programą. Šios subsidijos neigiamai įtakoja EERSF siūlomų finansinių produktų paklausą. Tokios situacijos galimybę Lietuvoje sumažina ši </w:t>
            </w:r>
            <w:r w:rsidRPr="00AC3318">
              <w:rPr>
                <w:rFonts w:ascii="Georgia" w:hAnsi="Georgia" w:cs="Arial"/>
                <w:i/>
                <w:sz w:val="20"/>
                <w:szCs w:val="20"/>
                <w:lang w:val="lt-LT"/>
              </w:rPr>
              <w:t>ex-ante</w:t>
            </w:r>
            <w:r w:rsidRPr="00AC3318">
              <w:rPr>
                <w:rFonts w:ascii="Georgia" w:hAnsi="Georgia" w:cs="Arial"/>
                <w:sz w:val="20"/>
                <w:szCs w:val="20"/>
                <w:lang w:val="lt-LT"/>
              </w:rPr>
              <w:t xml:space="preserve"> studija, tačiau nauji produktai gali rinkoje atsirasti jau po studijos atlikimo. Atitinkamai būtina vykdyti nuolatinę situacijos stebėseną.</w:t>
            </w:r>
          </w:p>
          <w:p w14:paraId="25D2F8AE" w14:textId="77777777"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stebėti įgyvendinimo metu padėtį rinkoje ir esant poreikiui pagal galimybes koreguoti teikiamų produktų sąlygas.</w:t>
            </w:r>
          </w:p>
          <w:p w14:paraId="299AE163" w14:textId="77777777"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Platus įvairių organizacijų ir ekspertų įtraukimas į fondo Valdymo tarybą</w:t>
            </w:r>
            <w:r w:rsidRPr="00AC3318">
              <w:rPr>
                <w:rFonts w:ascii="Georgia" w:hAnsi="Georgia" w:cs="Arial"/>
                <w:sz w:val="20"/>
                <w:szCs w:val="20"/>
                <w:lang w:val="lt-LT"/>
              </w:rPr>
              <w:t>. EERSF Valdymo tarybą sudaro tiek ministerijų, tiek už energijos efektyvumą atsakingų viešojo sektoriaus institucijų, tiek nevyriausybinių organizacijų atstovai, taip pat įvairių sričių ekspertai. Platus įvairių organizacijų ir ekspertų įtraukimas į fondo veiklą padeda suformuoti įvairiapusišką poziciją, įvertinti poveikį skirtingoms interesų grupėms.</w:t>
            </w:r>
          </w:p>
          <w:p w14:paraId="35C552F4" w14:textId="77777777"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xml:space="preserve">: kuriamų finansinių </w:t>
            </w:r>
            <w:r>
              <w:rPr>
                <w:rFonts w:ascii="Georgia" w:hAnsi="Georgia" w:cs="Arial"/>
                <w:sz w:val="20"/>
                <w:szCs w:val="20"/>
                <w:lang w:val="lt-LT"/>
              </w:rPr>
              <w:t>priemonių</w:t>
            </w:r>
            <w:r w:rsidRPr="00AC3318">
              <w:rPr>
                <w:rFonts w:ascii="Georgia" w:hAnsi="Georgia" w:cs="Arial"/>
                <w:sz w:val="20"/>
                <w:szCs w:val="20"/>
                <w:lang w:val="lt-LT"/>
              </w:rPr>
              <w:t xml:space="preserve"> valdyme turėtų būti įvertinama kaip įmanoma didesnė nuomonių įvairovė, stengiamasi atsižvelgti į skirtingų interesų grupių poreikius.</w:t>
            </w:r>
          </w:p>
          <w:p w14:paraId="6E0C391F" w14:textId="77777777"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Tinkamas rinkos situacijos įvertinimas</w:t>
            </w:r>
            <w:r w:rsidRPr="00AC3318">
              <w:rPr>
                <w:rFonts w:ascii="Georgia" w:hAnsi="Georgia" w:cs="Arial"/>
                <w:sz w:val="20"/>
                <w:szCs w:val="20"/>
                <w:lang w:val="lt-LT"/>
              </w:rPr>
              <w:t>: konteksto analizė (valstybės ir regiono situacijos analizė, tikslinių grupių poreikiai, situacija rinkoje (analogiški produktai) ir t. t.) yra vienas svarbiausių veiksmų prieš pasirenkant finansinio produkto rūšį ir sąlygas.</w:t>
            </w:r>
          </w:p>
          <w:p w14:paraId="65F85C56" w14:textId="77777777"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xml:space="preserve">: Lietuvos atveju rinkos situacija įvertinama atliekant </w:t>
            </w:r>
            <w:r w:rsidRPr="00AC3318">
              <w:rPr>
                <w:rFonts w:ascii="Georgia" w:hAnsi="Georgia" w:cs="Arial"/>
                <w:i/>
                <w:sz w:val="20"/>
                <w:szCs w:val="20"/>
                <w:lang w:val="lt-LT"/>
              </w:rPr>
              <w:t>ex-ante</w:t>
            </w:r>
            <w:r w:rsidRPr="00AC3318">
              <w:rPr>
                <w:rFonts w:ascii="Georgia" w:hAnsi="Georgia" w:cs="Arial"/>
                <w:sz w:val="20"/>
                <w:szCs w:val="20"/>
                <w:lang w:val="lt-LT"/>
              </w:rPr>
              <w:t xml:space="preserve"> studiją.</w:t>
            </w:r>
          </w:p>
          <w:p w14:paraId="03FB35AC" w14:textId="77777777"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Programos lankstumas</w:t>
            </w:r>
            <w:r w:rsidRPr="00AC3318">
              <w:rPr>
                <w:rFonts w:ascii="Georgia" w:hAnsi="Georgia" w:cs="Arial"/>
                <w:sz w:val="20"/>
                <w:szCs w:val="20"/>
                <w:lang w:val="lt-LT"/>
              </w:rPr>
              <w:t>: EERSF veiksmuose lankstumas buvo labai svarbus veiksnys. EERSF turėjo ir turi galimybę operatyviai reaguoti į reikšmingus rinkos ir konkurencinės aplinkos pokyčius nuo projekto pradžios iki įgyvendinimo etapo pabaigos.</w:t>
            </w:r>
          </w:p>
          <w:p w14:paraId="5746C693" w14:textId="77777777"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vengti veiksmų laisvę ribojančių nuostatų įtvirtinimo, pvz., konkrečių finansinio produkto sąlygų apibrėžimo įstatymuose ar kituose sunkiai keičiamuose teisės aktuose ir pan.</w:t>
            </w:r>
          </w:p>
          <w:p w14:paraId="513CCCFE" w14:textId="77777777"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Maži projektai nebuvo patrauklūs bankams</w:t>
            </w:r>
            <w:r w:rsidRPr="00AC3318">
              <w:rPr>
                <w:rFonts w:ascii="Georgia" w:hAnsi="Georgia" w:cs="Arial"/>
                <w:sz w:val="20"/>
                <w:szCs w:val="20"/>
                <w:lang w:val="lt-LT"/>
              </w:rPr>
              <w:t xml:space="preserve">: energijos efektyvumo projektai nebuvo patrauklūs vietiniams bankams, todėl tik maždaug 0,32 € privataus finansavimo (daugiausiai galutinių vartotojų kapitalas) buvo pritraukta kiekvienam EERSF skirtam eurui. Rizikos pasidalijimo programa taip pat nesulaukė didelio susidomėjimo iš komercinių bankų dėl to, kad bankai skolinimą visų pirma grindžia kliento reputacija ir darbo su juo </w:t>
            </w:r>
            <w:r w:rsidRPr="00AC3318">
              <w:rPr>
                <w:rFonts w:ascii="Georgia" w:hAnsi="Georgia" w:cs="Arial"/>
                <w:sz w:val="20"/>
                <w:szCs w:val="20"/>
                <w:lang w:val="lt-LT"/>
              </w:rPr>
              <w:lastRenderedPageBreak/>
              <w:t>patirtimi. Tiesa, šiuo atveju dalinių garantijų sverto efektas buvo didesnis – 3,7 € privataus kapitalo kiekvienam EERSF dalinės paskolos garantijos eurui.</w:t>
            </w:r>
          </w:p>
          <w:p w14:paraId="24911314" w14:textId="77777777"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xml:space="preserve">: prieš nustatant konkrečias rinkai siūlomų finansinių produktų sąlygas turėtų būti atliekamas detalus rinkos įvertinimas ir pvz. taikomos papildomos skatinamosios priemonės. Lietuvos atveju rinkos situacija įvertinama atliekant </w:t>
            </w:r>
            <w:r w:rsidRPr="00AC3318">
              <w:rPr>
                <w:rFonts w:ascii="Georgia" w:hAnsi="Georgia" w:cs="Arial"/>
                <w:i/>
                <w:sz w:val="20"/>
                <w:szCs w:val="20"/>
                <w:lang w:val="lt-LT"/>
              </w:rPr>
              <w:t>ex-ante</w:t>
            </w:r>
            <w:r w:rsidRPr="00AC3318">
              <w:rPr>
                <w:rFonts w:ascii="Georgia" w:hAnsi="Georgia" w:cs="Arial"/>
                <w:sz w:val="20"/>
                <w:szCs w:val="20"/>
                <w:lang w:val="lt-LT"/>
              </w:rPr>
              <w:t xml:space="preserve"> studiją.</w:t>
            </w:r>
          </w:p>
          <w:p w14:paraId="6C95A1D5" w14:textId="77777777"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Vyriausybės vaidmuo</w:t>
            </w:r>
            <w:r w:rsidRPr="00AC3318">
              <w:rPr>
                <w:rFonts w:ascii="Georgia" w:hAnsi="Georgia" w:cs="Arial"/>
                <w:sz w:val="20"/>
                <w:szCs w:val="20"/>
                <w:lang w:val="lt-LT"/>
              </w:rPr>
              <w:t>: EERSF pradedant savo veiklą labai svarbus buvo vyriausybės palaikymas, kol programa įsitvirtino pastatų sektoriuje.</w:t>
            </w:r>
          </w:p>
          <w:p w14:paraId="436E51BA" w14:textId="77777777"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i/>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Lietuvoje vyriausybė skiria pakankamą dėmesį daugiabučių namų ir viešojo sektoriaus atnaujinimui. Papildoma parama VIPA gali praversti įgyvendinant energijos efektyvumo projektus kitose srityse, pvz. gatvių apšvietimo. Taip pat kontaktuojant su tarptautinėmis institucijomis ir organizacijomis.</w:t>
            </w:r>
          </w:p>
          <w:p w14:paraId="7A423564" w14:textId="77777777"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Teisinė bazė</w:t>
            </w:r>
            <w:r w:rsidRPr="00AC3318">
              <w:rPr>
                <w:rFonts w:ascii="Georgia" w:hAnsi="Georgia" w:cs="Arial"/>
                <w:sz w:val="20"/>
                <w:szCs w:val="20"/>
                <w:lang w:val="lt-LT"/>
              </w:rPr>
              <w:t>: Bulgarijoje yra santykinai gerai išplėtota ir moderni energijos efektyvumo sektorių reglamentuojanti teisinė bazė. Paprastai Europos valstybėse teisinės bazės trūkumai arba jos nebuvimas yra kliūtis ESCO veiklai. Bulgarijoje ESCO rinkai svarbiausias teisės aktas yra 2004 m. energijos efektyvumo aktas, kuriame nustatyti privalomi didelių pastatų ir daugelio pramonės sektoriaus įmonių energetiniai auditai. Taip pat nustatytos taisyklės energetinius auditus atliekantiems auditoriams, kurie taip pat turi teisę teikti ESCO paslaugas. Prieš tai Nacionalinės energetikos strategijoje (2002 m, bet vėliau peržiūrėta) buvo nustatytos rinkos mechanizmų sąlygos. Energijos taupymo įpareigojimai tiesiogiai taikomi MVĮ, kurios viršija tam tikrą energijos vartojimo ribą. Tai gali turėti teigiamą poveikį ESCO paslaugų plėtrai, tačiau šis ryšis kol kas nėra pagrįstas praktika.</w:t>
            </w:r>
          </w:p>
          <w:p w14:paraId="590741F3" w14:textId="77777777"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Tinkama teisinė bazė yra labai svarbus faktorius, lemiantis ESCO rinkos plėtrą. Pažymėtina, jog ESCO reglamentuojančių teisės aktų trūkumai yra nurodomi kaip viena iš svarbiausių kliūčių ESCO plėtrai Lietuvoje net keliose studijose</w:t>
            </w:r>
            <w:r w:rsidRPr="00AC3318">
              <w:rPr>
                <w:rStyle w:val="Puslapioinaosnuoroda"/>
                <w:rFonts w:ascii="Georgia" w:hAnsi="Georgia" w:cs="Arial"/>
                <w:sz w:val="20"/>
                <w:szCs w:val="20"/>
                <w:lang w:val="lt-LT"/>
              </w:rPr>
              <w:footnoteReference w:id="199"/>
            </w:r>
            <w:r w:rsidRPr="00AC3318">
              <w:rPr>
                <w:rFonts w:ascii="Georgia" w:hAnsi="Georgia" w:cs="Arial"/>
                <w:sz w:val="20"/>
                <w:szCs w:val="20"/>
                <w:lang w:val="lt-LT"/>
              </w:rPr>
              <w:t>.</w:t>
            </w:r>
          </w:p>
          <w:p w14:paraId="0679F49A" w14:textId="77777777"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institucijoms (LR aplinkos ministerija) rekomenduojama lygiagrečiai tobulinti su ESCO susijusią teisinę bazę.</w:t>
            </w:r>
          </w:p>
          <w:p w14:paraId="0FA96BF3" w14:textId="77777777"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Sisteminis požiūris į ESCO rinkos plėtrą</w:t>
            </w:r>
            <w:r w:rsidRPr="00AC3318">
              <w:rPr>
                <w:rFonts w:ascii="Georgia" w:hAnsi="Georgia" w:cs="Arial"/>
                <w:sz w:val="20"/>
                <w:szCs w:val="20"/>
                <w:lang w:val="lt-LT"/>
              </w:rPr>
              <w:t>: Bulgarijos ESCO rinka kol kas priklauso nuo subsidijų. ESCO projektai paprastai yra subsidijuojami arba remiami kitomis priemonėmis. 2013 m. pab. ERPB inicijavo programą, kuri turėtų padėti rinkai labiau orientuotis į EPC investicijas. Programa intensyviai skatins informacijos apie EPC sklaidą, analizuos teisinę bazę, ypatingai viešųjų pirkimų taisykles ir praktiką, taip pat bendrąją teisinę aplinką ir antrinius teisės aktus. Daug dėmesio bus skiriama diskusijoms su svarbiausių suinteresuotųjų organizacijų atstovais, mokymų organizavimui, pavyzdinių sutarčių šablonų rengimui ir pavyzdinių pirkimų konkursų identifikavimui. Trijų metų programos tikslai yra:</w:t>
            </w:r>
          </w:p>
          <w:p w14:paraId="719EFF00" w14:textId="77777777" w:rsidR="00467B8E" w:rsidRPr="00AC3318" w:rsidRDefault="00467B8E" w:rsidP="00C03122">
            <w:pPr>
              <w:pStyle w:val="Sraopastraipa"/>
              <w:numPr>
                <w:ilvl w:val="0"/>
                <w:numId w:val="13"/>
              </w:num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keturiose savivaldybėse parengti ir įgyvendinti iki 10 ESCO/EPC pilotinių programų su realiais projektais, įgyvendintais kaip gerosios praktikos pavyzdžiai ir lengvai pritaikomais/perkeliamais į kitus Bulgarijos miestus;</w:t>
            </w:r>
          </w:p>
          <w:p w14:paraId="7BA985E7" w14:textId="77777777" w:rsidR="00467B8E" w:rsidRPr="00AC3318" w:rsidRDefault="00467B8E" w:rsidP="00C03122">
            <w:pPr>
              <w:pStyle w:val="Sraopastraipa"/>
              <w:numPr>
                <w:ilvl w:val="0"/>
                <w:numId w:val="13"/>
              </w:num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teikti techninę paramą ir organizuoti mokymus bent 20 savivaldybių ir pagrindinėms suinteresuotosioms šalims ESCO/EPC konkursų rengimo ir įgyvendinimo, sutarčių sudarymo, stebėsenos, projekto vykdymo ir įgyvendinimo srityse;</w:t>
            </w:r>
          </w:p>
          <w:p w14:paraId="3182E621" w14:textId="77777777" w:rsidR="00467B8E" w:rsidRPr="00AC3318" w:rsidRDefault="00467B8E" w:rsidP="00C03122">
            <w:pPr>
              <w:pStyle w:val="Sraopastraipa"/>
              <w:numPr>
                <w:ilvl w:val="0"/>
                <w:numId w:val="13"/>
              </w:numPr>
              <w:spacing w:after="120"/>
              <w:ind w:left="714" w:hanging="357"/>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remti tolesnę teisinės bazės reformą, leisiančią lankstesnį </w:t>
            </w:r>
            <w:r w:rsidRPr="00AC3318">
              <w:rPr>
                <w:rFonts w:ascii="Georgia" w:hAnsi="Georgia" w:cs="Arial"/>
                <w:sz w:val="20"/>
                <w:szCs w:val="20"/>
                <w:lang w:val="lt-LT"/>
              </w:rPr>
              <w:lastRenderedPageBreak/>
              <w:t>ESCO/EPC sutarčių taikymą Bulgarijoje.</w:t>
            </w:r>
          </w:p>
          <w:p w14:paraId="05C35988" w14:textId="77777777"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xml:space="preserve">: pasiūlius vieną ar keletą į ESCO orientuotus finansinius produktus, to gali neužtekti, kad paskatinti ESCO rinkos plėtrą Lietuvoje, kas gali neigiamai atsiliepti minėtų produktų paklausai. Reikalingas sisteminis požiūris, t. y. tiek teisinės bazės tobulinimas, tiek žinomumo didinimas, informacijos sklaida, mokymai ir t. t. </w:t>
            </w:r>
          </w:p>
          <w:p w14:paraId="324E6C35" w14:textId="77777777" w:rsidR="00467B8E" w:rsidRPr="00AC3318" w:rsidRDefault="00467B8E" w:rsidP="00E649A6">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Stebėsena ir vertinimas</w:t>
            </w:r>
            <w:r w:rsidRPr="00AC3318">
              <w:rPr>
                <w:rFonts w:ascii="Georgia" w:hAnsi="Georgia" w:cs="Arial"/>
                <w:sz w:val="20"/>
                <w:szCs w:val="20"/>
                <w:lang w:val="lt-LT"/>
              </w:rPr>
              <w:t>: Bulgarijos EPC rinką remiančios finansinės programos nebuvo sistemiškai vertinamos efektyvumo ir poveikio aspektais. Iniciatyvos dažnai nebuvo tarpusavyje koordinuojamos ir optimaliai suprojektuotos, dėl ko atsirasdavo persidengimas bei būdavo nepakankamai išnaudojamas potencialas.</w:t>
            </w:r>
          </w:p>
          <w:p w14:paraId="0599F0C5" w14:textId="77777777" w:rsidR="00467B8E" w:rsidRPr="00AC3318" w:rsidRDefault="00467B8E" w:rsidP="00E649A6">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institucijos turėtų nuolat komunikuoti tarpusavyje ir koordinuoti skirtingas iniciatyvas, nukreiptas į ESCO rinkos plėtros skatinimą.</w:t>
            </w:r>
          </w:p>
          <w:p w14:paraId="7DB65BED" w14:textId="77777777" w:rsidR="00467B8E" w:rsidRPr="00AC3318" w:rsidRDefault="00467B8E" w:rsidP="00E649A6">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Ilgas energetinio efektyvumo projektų atsipirkimo laikas</w:t>
            </w:r>
            <w:r w:rsidRPr="00AC3318">
              <w:rPr>
                <w:rFonts w:ascii="Georgia" w:hAnsi="Georgia"/>
                <w:sz w:val="20"/>
                <w:szCs w:val="20"/>
              </w:rPr>
              <w:t>: EERSF siūlomų produktų trukmė yra 5-7 metai. Tai apriboja tiek ESCO modelio taikymą, tiek kitų projektų patrauklumą potencialiems klientams, kadangi reikalauja pakankamai greito atsipirkimo. Dar labiau patrauklumą mažina sandorių išlaidos bei išlaidos, susijusios su papildomais paaiškinimais dėl ESCO modelio finansavimo.</w:t>
            </w:r>
          </w:p>
          <w:p w14:paraId="57F1934D" w14:textId="77777777" w:rsidR="00467B8E" w:rsidRPr="00AC3318" w:rsidRDefault="00467B8E" w:rsidP="00E649A6">
            <w:pPr>
              <w:pStyle w:val="Default"/>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Pasiūlymai</w:t>
            </w:r>
            <w:r w:rsidRPr="00AC3318">
              <w:rPr>
                <w:rFonts w:ascii="Georgia" w:hAnsi="Georgia"/>
                <w:sz w:val="20"/>
                <w:szCs w:val="20"/>
              </w:rPr>
              <w:t>: projektų atsipirkimo laikas turėtų būti įvertintas projektuojant finansinių produktų sąlygas.</w:t>
            </w:r>
          </w:p>
          <w:p w14:paraId="69ACC2B8" w14:textId="77777777" w:rsidR="00467B8E" w:rsidRPr="00AC3318" w:rsidRDefault="00467B8E" w:rsidP="00E649A6">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Finansuojamų projektų efektyvumas</w:t>
            </w:r>
            <w:r w:rsidRPr="00AC3318">
              <w:rPr>
                <w:rFonts w:ascii="Georgia" w:hAnsi="Georgia"/>
                <w:sz w:val="20"/>
                <w:szCs w:val="20"/>
              </w:rPr>
              <w:t>: papildomos finansinės priemonės ir lėšos gali būti naudingos palengvinant kreditavimą ir padidinant projektų pelningumą. Kita vertus, dotacijos ar kredito linijos, kurios dalinamos pernelyg dosniai, be rezultatų stebėsenos ir griežtų reikalavimų gali būti panaudojamos neefektyviems projektams finansuoti, kas gali diskredituoti visą modelį.</w:t>
            </w:r>
          </w:p>
          <w:p w14:paraId="23B6ED34" w14:textId="77777777" w:rsidR="00467B8E" w:rsidRPr="00AC3318" w:rsidRDefault="00467B8E" w:rsidP="00E649A6">
            <w:pPr>
              <w:pStyle w:val="Default"/>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Pasiūlymai</w:t>
            </w:r>
            <w:r w:rsidRPr="00AC3318">
              <w:rPr>
                <w:rFonts w:ascii="Georgia" w:hAnsi="Georgia"/>
                <w:sz w:val="20"/>
                <w:szCs w:val="20"/>
              </w:rPr>
              <w:t>: Lietuvos atveju produktai bus suprojektuoti atlikus detalų rinkos situacijos vertinimą (</w:t>
            </w:r>
            <w:r w:rsidRPr="00AC3318">
              <w:rPr>
                <w:rFonts w:ascii="Georgia" w:hAnsi="Georgia"/>
                <w:i/>
                <w:sz w:val="20"/>
                <w:szCs w:val="20"/>
              </w:rPr>
              <w:t>ex-ante</w:t>
            </w:r>
            <w:r w:rsidRPr="00AC3318">
              <w:rPr>
                <w:rFonts w:ascii="Georgia" w:hAnsi="Georgia"/>
                <w:sz w:val="20"/>
                <w:szCs w:val="20"/>
              </w:rPr>
              <w:t xml:space="preserve"> studiją) ir jo pagrindu parinktos optimaliausios sąlygos.</w:t>
            </w:r>
          </w:p>
          <w:p w14:paraId="3BB6ADFF" w14:textId="77777777" w:rsidR="00467B8E" w:rsidRPr="00AC3318" w:rsidRDefault="00467B8E" w:rsidP="00E649A6">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Geroji praktika, pasitikėjimo stoka</w:t>
            </w:r>
            <w:r w:rsidRPr="00AC3318">
              <w:rPr>
                <w:rFonts w:ascii="Georgia" w:hAnsi="Georgia"/>
                <w:sz w:val="20"/>
                <w:szCs w:val="20"/>
              </w:rPr>
              <w:t>: žinomumo didinimas, naudos komunikavimas ir įvairūs finansavimo būdai yra svarbūs. Tačiau vien tai negali užtikrinti sėkmės. Sklandžiam modelio veikimui yra būtina kritinė sėkmingų projektų pavyzdžių masė, kuri būtų pavyzdys ir iššūkis potencialiems klientams.</w:t>
            </w:r>
          </w:p>
          <w:p w14:paraId="6A3DDBC3" w14:textId="77777777" w:rsidR="00467B8E" w:rsidRPr="00AC3318" w:rsidRDefault="00467B8E" w:rsidP="00E649A6">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Pasiūlymai</w:t>
            </w:r>
            <w:r w:rsidRPr="00AC3318">
              <w:rPr>
                <w:rFonts w:ascii="Georgia" w:hAnsi="Georgia"/>
                <w:sz w:val="20"/>
                <w:szCs w:val="20"/>
              </w:rPr>
              <w:t>: atsiradus gerosios praktikos pavyzdžiams užtikrinti tinkamą informacijos apie juos komunikavimą tikslinėms grupėms.</w:t>
            </w:r>
          </w:p>
        </w:tc>
      </w:tr>
    </w:tbl>
    <w:p w14:paraId="35803DAC" w14:textId="77777777" w:rsidR="00DF0329" w:rsidRPr="00DF3A8E" w:rsidRDefault="00DF0329" w:rsidP="00DF0329">
      <w:pPr>
        <w:jc w:val="both"/>
        <w:rPr>
          <w:lang w:val="lt-LT"/>
        </w:rPr>
      </w:pPr>
    </w:p>
    <w:p w14:paraId="13CAC5E1" w14:textId="77777777" w:rsidR="00DF0329" w:rsidRPr="00DF3A8E" w:rsidRDefault="00DF0329" w:rsidP="00DF0329">
      <w:pPr>
        <w:rPr>
          <w:lang w:val="lt-LT"/>
        </w:rPr>
      </w:pPr>
    </w:p>
    <w:p w14:paraId="65160CC5" w14:textId="77777777" w:rsidR="00DF0329" w:rsidRPr="00DF3A8E" w:rsidRDefault="00DF0329">
      <w:pPr>
        <w:rPr>
          <w:lang w:val="lt-LT"/>
        </w:rPr>
      </w:pPr>
      <w:r w:rsidRPr="00DF3A8E">
        <w:rPr>
          <w:lang w:val="lt-LT"/>
        </w:rPr>
        <w:br w:type="page"/>
      </w:r>
    </w:p>
    <w:p w14:paraId="19F4DF13" w14:textId="77777777" w:rsidR="00DF0329" w:rsidRPr="00DF3A8E" w:rsidRDefault="00DF0329" w:rsidP="00DF0329">
      <w:pPr>
        <w:rPr>
          <w:lang w:val="lt-LT"/>
        </w:rPr>
      </w:pPr>
    </w:p>
    <w:p w14:paraId="621E98E4" w14:textId="77777777" w:rsidR="00DF0329" w:rsidRPr="00DF3A8E" w:rsidRDefault="00DF0329" w:rsidP="00DF0329">
      <w:pPr>
        <w:pStyle w:val="Antrat2"/>
        <w:rPr>
          <w:lang w:val="lt-LT"/>
        </w:rPr>
      </w:pPr>
      <w:bookmarkStart w:id="450" w:name="_Toc417378478"/>
      <w:r w:rsidRPr="00DF3A8E">
        <w:rPr>
          <w:lang w:val="lt-LT"/>
        </w:rPr>
        <w:t xml:space="preserve">Priedas Nr. </w:t>
      </w:r>
      <w:r w:rsidR="000F206B">
        <w:rPr>
          <w:lang w:val="lt-LT"/>
        </w:rPr>
        <w:t>5</w:t>
      </w:r>
      <w:r w:rsidRPr="00DF3A8E">
        <w:rPr>
          <w:lang w:val="lt-LT"/>
        </w:rPr>
        <w:t>. Jungtinės karalystės (UK) apžvalga</w:t>
      </w:r>
      <w:bookmarkEnd w:id="450"/>
    </w:p>
    <w:tbl>
      <w:tblPr>
        <w:tblStyle w:val="3vidutinistinklelis2parykinimas"/>
        <w:tblW w:w="5000" w:type="pct"/>
        <w:tblLook w:val="04A0" w:firstRow="1" w:lastRow="0" w:firstColumn="1" w:lastColumn="0" w:noHBand="0" w:noVBand="1"/>
      </w:tblPr>
      <w:tblGrid>
        <w:gridCol w:w="603"/>
        <w:gridCol w:w="2197"/>
        <w:gridCol w:w="6443"/>
      </w:tblGrid>
      <w:tr w:rsidR="00DF0329" w:rsidRPr="00467B8E" w14:paraId="05623BC2" w14:textId="77777777" w:rsidTr="00467B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 w:type="pct"/>
          </w:tcPr>
          <w:p w14:paraId="4ADC5D7C" w14:textId="77777777" w:rsidR="00DF0329" w:rsidRPr="00467B8E" w:rsidRDefault="00DF0329" w:rsidP="00467B8E">
            <w:pPr>
              <w:jc w:val="center"/>
              <w:rPr>
                <w:rFonts w:ascii="Georgia" w:hAnsi="Georgia"/>
                <w:sz w:val="20"/>
                <w:szCs w:val="20"/>
                <w:lang w:val="lt-LT"/>
              </w:rPr>
            </w:pPr>
          </w:p>
        </w:tc>
        <w:tc>
          <w:tcPr>
            <w:tcW w:w="1188" w:type="pct"/>
          </w:tcPr>
          <w:p w14:paraId="02FB4527" w14:textId="77777777" w:rsidR="00DF0329" w:rsidRPr="00467B8E" w:rsidRDefault="00467B8E" w:rsidP="00467B8E">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lang w:val="lt-LT"/>
              </w:rPr>
            </w:pPr>
            <w:r w:rsidRPr="00467B8E">
              <w:rPr>
                <w:rFonts w:ascii="Georgia" w:hAnsi="Georgia"/>
                <w:sz w:val="20"/>
                <w:szCs w:val="20"/>
                <w:lang w:val="lt-LT"/>
              </w:rPr>
              <w:t>Nagrinėjamas aspektas</w:t>
            </w:r>
          </w:p>
        </w:tc>
        <w:tc>
          <w:tcPr>
            <w:tcW w:w="3485" w:type="pct"/>
          </w:tcPr>
          <w:p w14:paraId="7C989A3E" w14:textId="77777777" w:rsidR="00DF0329" w:rsidRPr="00467B8E" w:rsidRDefault="00467B8E" w:rsidP="00467B8E">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lang w:val="lt-LT"/>
              </w:rPr>
            </w:pPr>
            <w:r w:rsidRPr="00467B8E">
              <w:rPr>
                <w:rFonts w:ascii="Georgia" w:hAnsi="Georgia"/>
                <w:sz w:val="20"/>
                <w:szCs w:val="20"/>
                <w:lang w:val="lt-LT"/>
              </w:rPr>
              <w:t>Apžvalga</w:t>
            </w:r>
          </w:p>
        </w:tc>
      </w:tr>
      <w:tr w:rsidR="00467B8E" w:rsidRPr="003736DD" w14:paraId="11DC4748" w14:textId="77777777"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14:paraId="249B3601" w14:textId="77777777" w:rsidR="00467B8E" w:rsidRPr="00AC3318" w:rsidRDefault="00467B8E" w:rsidP="00467B8E">
            <w:pPr>
              <w:rPr>
                <w:rFonts w:ascii="Georgia" w:hAnsi="Georgia"/>
                <w:b w:val="0"/>
                <w:sz w:val="20"/>
                <w:szCs w:val="20"/>
                <w:lang w:val="lt-LT"/>
              </w:rPr>
            </w:pPr>
            <w:r w:rsidRPr="00AC3318">
              <w:rPr>
                <w:rFonts w:ascii="Georgia" w:hAnsi="Georgia"/>
                <w:sz w:val="20"/>
                <w:szCs w:val="20"/>
                <w:lang w:val="lt-LT"/>
              </w:rPr>
              <w:t>1.</w:t>
            </w:r>
          </w:p>
        </w:tc>
        <w:tc>
          <w:tcPr>
            <w:tcW w:w="1188" w:type="pct"/>
          </w:tcPr>
          <w:p w14:paraId="71738480" w14:textId="77777777" w:rsidR="00467B8E" w:rsidRPr="00AC3318" w:rsidRDefault="00467B8E" w:rsidP="00467B8E">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467B8E">
              <w:rPr>
                <w:rFonts w:ascii="Georgia" w:hAnsi="Georgia"/>
                <w:b/>
                <w:sz w:val="20"/>
                <w:szCs w:val="20"/>
                <w:lang w:val="lt-LT"/>
              </w:rPr>
              <w:t>Valstybės/regiono, kur numatoma įgyvendinti finansines priemones, ekonominis ir politinis kontekstas</w:t>
            </w:r>
          </w:p>
        </w:tc>
        <w:tc>
          <w:tcPr>
            <w:tcW w:w="3485" w:type="pct"/>
          </w:tcPr>
          <w:p w14:paraId="77AF0EEB" w14:textId="77777777" w:rsidR="00467B8E" w:rsidRPr="00AC3318" w:rsidRDefault="00467B8E" w:rsidP="00C307BC">
            <w:pPr>
              <w:cnfStyle w:val="000000100000" w:firstRow="0" w:lastRow="0" w:firstColumn="0" w:lastColumn="0" w:oddVBand="0" w:evenVBand="0" w:oddHBand="1" w:evenHBand="0" w:firstRowFirstColumn="0" w:firstRowLastColumn="0" w:lastRowFirstColumn="0" w:lastRowLastColumn="0"/>
              <w:rPr>
                <w:rFonts w:ascii="Georgia" w:hAnsi="Georgia"/>
                <w:sz w:val="20"/>
                <w:szCs w:val="20"/>
                <w:lang w:val="lt-LT"/>
              </w:rPr>
            </w:pPr>
          </w:p>
        </w:tc>
      </w:tr>
      <w:tr w:rsidR="00467B8E" w:rsidRPr="003736DD" w14:paraId="316A6297" w14:textId="77777777" w:rsidTr="00467B8E">
        <w:tc>
          <w:tcPr>
            <w:cnfStyle w:val="001000000000" w:firstRow="0" w:lastRow="0" w:firstColumn="1" w:lastColumn="0" w:oddVBand="0" w:evenVBand="0" w:oddHBand="0" w:evenHBand="0" w:firstRowFirstColumn="0" w:firstRowLastColumn="0" w:lastRowFirstColumn="0" w:lastRowLastColumn="0"/>
            <w:tcW w:w="326" w:type="pct"/>
          </w:tcPr>
          <w:p w14:paraId="4AA75D03" w14:textId="77777777" w:rsidR="00467B8E" w:rsidRPr="00AC3318" w:rsidRDefault="00467B8E" w:rsidP="00C307BC">
            <w:pPr>
              <w:rPr>
                <w:rFonts w:ascii="Georgia" w:hAnsi="Georgia"/>
                <w:b w:val="0"/>
                <w:sz w:val="20"/>
                <w:szCs w:val="20"/>
                <w:lang w:val="lt-LT"/>
              </w:rPr>
            </w:pPr>
            <w:r w:rsidRPr="00AC3318">
              <w:rPr>
                <w:rFonts w:ascii="Georgia" w:hAnsi="Georgia"/>
                <w:sz w:val="20"/>
                <w:szCs w:val="20"/>
                <w:lang w:val="lt-LT"/>
              </w:rPr>
              <w:t>1.1.</w:t>
            </w:r>
          </w:p>
        </w:tc>
        <w:tc>
          <w:tcPr>
            <w:tcW w:w="1188" w:type="pct"/>
          </w:tcPr>
          <w:p w14:paraId="11A81D5A" w14:textId="77777777" w:rsidR="00467B8E" w:rsidRPr="00AC3318" w:rsidRDefault="00467B8E" w:rsidP="00C307BC">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Pagrindiniai ekonominiai ir socialiniai rodikliai</w:t>
            </w:r>
            <w:r w:rsidRPr="00AC3318">
              <w:rPr>
                <w:rFonts w:ascii="Georgia" w:hAnsi="Georgia"/>
                <w:sz w:val="20"/>
                <w:szCs w:val="20"/>
                <w:lang w:val="lt-LT"/>
              </w:rPr>
              <w:t>:</w:t>
            </w:r>
          </w:p>
        </w:tc>
        <w:tc>
          <w:tcPr>
            <w:tcW w:w="3485" w:type="pct"/>
          </w:tcPr>
          <w:p w14:paraId="797AB054"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Pagrindiniai ekonominiai ir socialiniai rodikliai pateikiami NUTS1 lygio Londono regionui (jei nenurodoma kitaip), kuris sutampa su Londono energetinio efektyvumo fondo (toliau – LEEF) įgyvendinimo teritorija.</w:t>
            </w:r>
          </w:p>
          <w:p w14:paraId="72CB6DEA"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 xml:space="preserve">Nominali bendroji pridėtinė vertė </w:t>
            </w:r>
            <w:r w:rsidRPr="00AC3318">
              <w:rPr>
                <w:rFonts w:ascii="Georgia" w:hAnsi="Georgia" w:cs="Arial"/>
                <w:sz w:val="20"/>
                <w:szCs w:val="20"/>
                <w:lang w:val="lt-LT"/>
              </w:rPr>
              <w:t>(BPV) (mlrd. £) – 309,3 mlrd. £ (2012 m.), kuri, lyginant su 2011 m., padidėjo 2 proc. Visos Jungtinės Karalystės – 1.383,1 mlrd. £ (2012 m.). Londono dalis sudarė 22,8 proc. (19,8 proc. 2011 m.);</w:t>
            </w:r>
          </w:p>
          <w:p w14:paraId="01449D54"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Londono regionas </w:t>
            </w:r>
            <w:r w:rsidRPr="00AC3318">
              <w:rPr>
                <w:rFonts w:ascii="Georgia" w:hAnsi="Georgia" w:cs="Arial"/>
                <w:i/>
                <w:sz w:val="20"/>
                <w:szCs w:val="20"/>
                <w:lang w:val="lt-LT"/>
              </w:rPr>
              <w:t>pagal sukuriamą BPV pirmauja šiuose ekonomikos sektoriuose</w:t>
            </w:r>
            <w:r w:rsidRPr="00AC3318">
              <w:rPr>
                <w:rFonts w:ascii="Georgia" w:hAnsi="Georgia" w:cs="Arial"/>
                <w:sz w:val="20"/>
                <w:szCs w:val="20"/>
                <w:lang w:val="lt-LT"/>
              </w:rPr>
              <w:t xml:space="preserve"> (2011 m.): informacijos ir komunikacijos (11,6 proc. visos Jungtinės Karalystės sukuriamos BPV), finansinės ir draudimo veiklos (19,8 proc.), p</w:t>
            </w:r>
            <w:r w:rsidRPr="00AC3318">
              <w:rPr>
                <w:rStyle w:val="hps"/>
                <w:rFonts w:ascii="Georgia" w:hAnsi="Georgia" w:cs="Arial"/>
                <w:color w:val="222222"/>
                <w:sz w:val="20"/>
                <w:szCs w:val="20"/>
                <w:lang w:val="lt-LT"/>
              </w:rPr>
              <w:t>rofesinės, mokslinės ir</w:t>
            </w:r>
            <w:r w:rsidRPr="00AC3318">
              <w:rPr>
                <w:rStyle w:val="shorttext"/>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techninės veiklos (11,7 proc.), administracinės ir aptarnavimo veiklos (5,4 proc.);</w:t>
            </w:r>
          </w:p>
          <w:p w14:paraId="4054419C"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Nedarbo lygis –</w:t>
            </w:r>
            <w:r w:rsidRPr="00AC3318">
              <w:rPr>
                <w:rFonts w:ascii="Georgia" w:hAnsi="Georgia" w:cs="Arial"/>
                <w:sz w:val="20"/>
                <w:szCs w:val="20"/>
                <w:lang w:val="lt-LT"/>
              </w:rPr>
              <w:t xml:space="preserve"> 2014 m. vasario-balandžio mėn. buvo 7,5 proc., 1 proc. mažesnis negu 2013 m. tuo pačiu laikotarpiu;</w:t>
            </w:r>
          </w:p>
          <w:p w14:paraId="7B65C9F2"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 xml:space="preserve">Per valandą darbuotojo sukuriama BPV </w:t>
            </w:r>
            <w:r w:rsidRPr="00AC3318">
              <w:rPr>
                <w:rFonts w:ascii="Georgia" w:hAnsi="Georgia" w:cs="Arial"/>
                <w:sz w:val="20"/>
                <w:szCs w:val="20"/>
                <w:lang w:val="lt-LT"/>
              </w:rPr>
              <w:t>– 131,2 proc. lyginant su Jungtinės Karalystės vidurkiu (2012 m.) arba 21.446 £;</w:t>
            </w:r>
          </w:p>
          <w:p w14:paraId="0B015123"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 xml:space="preserve">Vienam asmeniui tenkančios namų ūkio pajamos </w:t>
            </w:r>
            <w:r w:rsidRPr="00AC3318">
              <w:rPr>
                <w:rFonts w:ascii="Georgia" w:hAnsi="Georgia" w:cs="Arial"/>
                <w:sz w:val="20"/>
                <w:szCs w:val="20"/>
                <w:lang w:val="lt-LT"/>
              </w:rPr>
              <w:t>– 127,7 proc. lyginant su Jungtinės Karalystės vidurkiu (2012 m.);</w:t>
            </w:r>
          </w:p>
          <w:p w14:paraId="4C9267E2"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 xml:space="preserve">Vidutinės savaitinės pilną dieną dirbančių asmenų pajamos pagal darbo vietą </w:t>
            </w:r>
            <w:r w:rsidRPr="00AC3318">
              <w:rPr>
                <w:rFonts w:ascii="Georgia" w:hAnsi="Georgia" w:cs="Arial"/>
                <w:sz w:val="20"/>
                <w:szCs w:val="20"/>
                <w:lang w:val="lt-LT"/>
              </w:rPr>
              <w:t>– 657,7 £ (2013 m.) (didžiausias rodiklis visoje Jungtinėje Karalystėje).</w:t>
            </w:r>
          </w:p>
          <w:p w14:paraId="27A81D79"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Pagrindinės eksporto valstybės</w:t>
            </w:r>
            <w:r w:rsidRPr="00AC3318">
              <w:rPr>
                <w:rFonts w:ascii="Georgia" w:hAnsi="Georgia" w:cs="Arial"/>
                <w:sz w:val="20"/>
                <w:szCs w:val="20"/>
                <w:lang w:val="lt-LT"/>
              </w:rPr>
              <w:t xml:space="preserve"> – JAV, Vokietija, Indija, Šveicarija, Airijos Respublika (2014 m. kovo mėn. duomenys);</w:t>
            </w:r>
          </w:p>
          <w:p w14:paraId="777F72A9"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Pagrindinės importo valstybės</w:t>
            </w:r>
            <w:r w:rsidRPr="00AC3318">
              <w:rPr>
                <w:rFonts w:ascii="Georgia" w:hAnsi="Georgia" w:cs="Arial"/>
                <w:sz w:val="20"/>
                <w:szCs w:val="20"/>
                <w:lang w:val="lt-LT"/>
              </w:rPr>
              <w:t xml:space="preserve"> – Kinija, JAV, Prancūzija, Vokietija, Nyderlandai (2014 m. kovo mėn. duomenys);</w:t>
            </w:r>
          </w:p>
          <w:p w14:paraId="6F5EB713"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Vidutinė metinė infliacija</w:t>
            </w:r>
            <w:r w:rsidRPr="00AC3318">
              <w:rPr>
                <w:rStyle w:val="Puslapioinaosnuoroda"/>
                <w:rFonts w:ascii="Georgia" w:hAnsi="Georgia" w:cs="Arial"/>
                <w:sz w:val="20"/>
                <w:szCs w:val="20"/>
                <w:lang w:val="lt-LT"/>
              </w:rPr>
              <w:footnoteReference w:id="200"/>
            </w:r>
            <w:r w:rsidRPr="00AC3318">
              <w:rPr>
                <w:rFonts w:ascii="Georgia" w:hAnsi="Georgia" w:cs="Arial"/>
                <w:sz w:val="20"/>
                <w:szCs w:val="20"/>
                <w:lang w:val="lt-LT"/>
              </w:rPr>
              <w:t xml:space="preserve"> (2013 m. gruodžio mėn.) – 2 procentai, 0,7 procentiniais punktais mažesnė nei 2012 m. gruodį;</w:t>
            </w:r>
          </w:p>
          <w:p w14:paraId="1FA25382"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i/>
                <w:sz w:val="20"/>
                <w:szCs w:val="20"/>
                <w:lang w:val="lt-LT"/>
              </w:rPr>
            </w:pPr>
            <w:r w:rsidRPr="00AC3318">
              <w:rPr>
                <w:rFonts w:ascii="Georgia" w:hAnsi="Georgia" w:cs="Arial"/>
                <w:i/>
                <w:sz w:val="20"/>
                <w:szCs w:val="20"/>
                <w:lang w:val="lt-LT"/>
              </w:rPr>
              <w:t>Duomenų šaltiniai: Regional Economic Indicators, July 2014, Office for National Statistics, Regional Trade Statistics First Quarter 2014, HM Revenue and Customs, 5 June, 2014.</w:t>
            </w:r>
          </w:p>
        </w:tc>
      </w:tr>
      <w:tr w:rsidR="00467B8E" w:rsidRPr="003736DD" w14:paraId="03600908" w14:textId="77777777"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14:paraId="595515D1" w14:textId="77777777" w:rsidR="00467B8E" w:rsidRPr="00AC3318" w:rsidRDefault="00467B8E" w:rsidP="00C307BC">
            <w:pPr>
              <w:rPr>
                <w:rFonts w:ascii="Georgia" w:hAnsi="Georgia"/>
                <w:b w:val="0"/>
                <w:sz w:val="20"/>
                <w:szCs w:val="20"/>
                <w:lang w:val="lt-LT"/>
              </w:rPr>
            </w:pPr>
            <w:r w:rsidRPr="00AC3318">
              <w:rPr>
                <w:rFonts w:ascii="Georgia" w:hAnsi="Georgia"/>
                <w:sz w:val="20"/>
                <w:szCs w:val="20"/>
                <w:lang w:val="lt-LT"/>
              </w:rPr>
              <w:t>1.2.</w:t>
            </w:r>
          </w:p>
        </w:tc>
        <w:tc>
          <w:tcPr>
            <w:tcW w:w="1188" w:type="pct"/>
          </w:tcPr>
          <w:p w14:paraId="3032E066" w14:textId="77777777" w:rsidR="00467B8E" w:rsidRPr="00AC3318" w:rsidRDefault="00467B8E" w:rsidP="00C307BC">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Makroekonominės tendencijos:</w:t>
            </w:r>
          </w:p>
        </w:tc>
        <w:tc>
          <w:tcPr>
            <w:tcW w:w="3485" w:type="pct"/>
          </w:tcPr>
          <w:p w14:paraId="2AD76AFE" w14:textId="77777777"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2013 m. Jungtinės Karalystės ekonomika rodė akivaizdžius atsigavimo požymius. Atsigavimas tęsėsi ir pirmąjį 2014 m. pusmetį. </w:t>
            </w:r>
            <w:r w:rsidRPr="00AC3318">
              <w:rPr>
                <w:rFonts w:ascii="Georgia" w:hAnsi="Georgia" w:cs="Arial"/>
                <w:color w:val="000000" w:themeColor="text1"/>
                <w:sz w:val="20"/>
                <w:szCs w:val="20"/>
                <w:lang w:val="lt-LT"/>
              </w:rPr>
              <w:t xml:space="preserve">2013 m. fiksuotas 1,7 proc. BVP augimas 2014 m. turėtų padidėti iki beveik 3 proc. Tiesa, prognozuojama, jog 2015 m., </w:t>
            </w:r>
            <w:r w:rsidRPr="00AC3318">
              <w:rPr>
                <w:rFonts w:ascii="Georgia" w:hAnsi="Georgia" w:cs="Arial"/>
                <w:sz w:val="20"/>
                <w:szCs w:val="20"/>
                <w:lang w:val="lt-LT"/>
              </w:rPr>
              <w:t>kai nusistovės vartojimo išlaidų augimas, šio</w:t>
            </w:r>
            <w:r w:rsidRPr="00AC3318">
              <w:rPr>
                <w:rFonts w:ascii="Georgia" w:hAnsi="Georgia" w:cs="Arial"/>
                <w:color w:val="000000" w:themeColor="text1"/>
                <w:sz w:val="20"/>
                <w:szCs w:val="20"/>
                <w:lang w:val="lt-LT"/>
              </w:rPr>
              <w:t xml:space="preserve"> rodiklio reikšmė sumažės ir p</w:t>
            </w:r>
            <w:r w:rsidRPr="00AC3318">
              <w:rPr>
                <w:rFonts w:ascii="Georgia" w:hAnsi="Georgia" w:cs="Arial"/>
                <w:sz w:val="20"/>
                <w:szCs w:val="20"/>
                <w:lang w:val="lt-LT"/>
              </w:rPr>
              <w:t>anašus augimo tempas turėtų išlikti iki 2018 m.</w:t>
            </w:r>
          </w:p>
          <w:p w14:paraId="2530661F" w14:textId="77777777"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Vartotojų išlaidos didžiąja dalimi augo dėl to, jog mažėjo namų ūkių taupymo lygis. Įvertinant tai, jog mažėja realus darbo užmokestis, kyla abejonių dėl vartotojų išlaidų atsigavimo tvarumo. Tačiau augančio užimtumo, nedidelės infliacijos ir kai kurių kitų požymių, rodančių darbo užmokesčio augimo tendenciją, derinys rodo, jog artimiausiu metu turėtų augti ir pajamos.</w:t>
            </w:r>
          </w:p>
          <w:p w14:paraId="4CCA708D" w14:textId="77777777"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0"/>
                <w:szCs w:val="20"/>
                <w:lang w:val="lt-LT"/>
              </w:rPr>
            </w:pPr>
            <w:r w:rsidRPr="00AC3318">
              <w:rPr>
                <w:rFonts w:ascii="Georgia" w:hAnsi="Georgia" w:cs="Arial"/>
                <w:sz w:val="20"/>
                <w:szCs w:val="20"/>
                <w:lang w:val="lt-LT"/>
              </w:rPr>
              <w:lastRenderedPageBreak/>
              <w:t xml:space="preserve">Paslaugų sektorius išliks pagrindiniu Jungtinės Karalystės ekonomikos augimo varikliu tiek produkcijos, tiek užimtumo prasme. Taip pat augs ir gamybos bei statybos sektoriai. Londonas ir Pietryčių regionas turėtų toliau </w:t>
            </w:r>
            <w:r w:rsidRPr="00AC3318">
              <w:rPr>
                <w:rFonts w:ascii="Georgia" w:hAnsi="Georgia" w:cs="Arial"/>
                <w:color w:val="000000" w:themeColor="text1"/>
                <w:sz w:val="20"/>
                <w:szCs w:val="20"/>
                <w:lang w:val="lt-LT"/>
              </w:rPr>
              <w:t>pirmauti ir skatinti ekonomikos atsigavimą. Kituose regionuose 2014 m. taip pat prognozuojamas santykinai stabilus augimas.</w:t>
            </w:r>
          </w:p>
          <w:p w14:paraId="0D4CC165" w14:textId="77777777"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color w:val="000000" w:themeColor="text1"/>
                <w:sz w:val="20"/>
                <w:szCs w:val="20"/>
                <w:lang w:val="lt-LT"/>
              </w:rPr>
              <w:t xml:space="preserve">Nedarbo lygis turėtų </w:t>
            </w:r>
            <w:r w:rsidRPr="00AC3318">
              <w:rPr>
                <w:rFonts w:ascii="Georgia" w:hAnsi="Georgia" w:cs="Arial"/>
                <w:sz w:val="20"/>
                <w:szCs w:val="20"/>
                <w:lang w:val="lt-LT"/>
              </w:rPr>
              <w:t xml:space="preserve">toliau mažėti ir 2015 </w:t>
            </w:r>
            <w:r w:rsidRPr="00AC3318">
              <w:rPr>
                <w:rFonts w:ascii="Georgia" w:hAnsi="Georgia" w:cs="Arial"/>
                <w:color w:val="000000" w:themeColor="text1"/>
                <w:sz w:val="20"/>
                <w:szCs w:val="20"/>
                <w:lang w:val="lt-LT"/>
              </w:rPr>
              <w:t xml:space="preserve">m. siekti 6,2 proc. bei toliau išlaikyti tokią pačią </w:t>
            </w:r>
            <w:r w:rsidRPr="00AC3318">
              <w:rPr>
                <w:rFonts w:ascii="Georgia" w:hAnsi="Georgia" w:cs="Arial"/>
                <w:sz w:val="20"/>
                <w:szCs w:val="20"/>
                <w:lang w:val="lt-LT"/>
              </w:rPr>
              <w:t xml:space="preserve">tendenciją. Vartotojų </w:t>
            </w:r>
            <w:r w:rsidRPr="00AC3318">
              <w:rPr>
                <w:rFonts w:ascii="Georgia" w:hAnsi="Georgia" w:cs="Arial"/>
                <w:color w:val="000000" w:themeColor="text1"/>
                <w:sz w:val="20"/>
                <w:szCs w:val="20"/>
                <w:lang w:val="lt-LT"/>
              </w:rPr>
              <w:t>kainų infliacija 2</w:t>
            </w:r>
            <w:r w:rsidRPr="00AC3318">
              <w:rPr>
                <w:rFonts w:ascii="Georgia" w:hAnsi="Georgia" w:cs="Arial"/>
                <w:sz w:val="20"/>
                <w:szCs w:val="20"/>
                <w:lang w:val="lt-LT"/>
              </w:rPr>
              <w:t xml:space="preserve">015-2018 m. </w:t>
            </w:r>
            <w:r w:rsidRPr="00AC3318">
              <w:rPr>
                <w:rFonts w:ascii="Georgia" w:hAnsi="Georgia" w:cs="Arial"/>
                <w:color w:val="000000" w:themeColor="text1"/>
                <w:sz w:val="20"/>
                <w:szCs w:val="20"/>
                <w:lang w:val="lt-LT"/>
              </w:rPr>
              <w:t xml:space="preserve">greičiausiai išliks apie 2 proc. </w:t>
            </w:r>
          </w:p>
          <w:p w14:paraId="54A3EFF2" w14:textId="77777777"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Prognozuojama, jog verslo investicijos 2014 m. augs 9,1 proc., o 2015 m. – 9,5 proc.</w:t>
            </w:r>
          </w:p>
          <w:p w14:paraId="3038EFDB" w14:textId="77777777" w:rsidR="00467B8E" w:rsidRPr="00AC3318" w:rsidRDefault="00467B8E" w:rsidP="00C307BC">
            <w:pPr>
              <w:spacing w:after="120"/>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Pagrindinių makroekonominių rodiklių 2014-2015 m. prognozės pateikiamos lentelėje.</w:t>
            </w:r>
          </w:p>
          <w:tbl>
            <w:tblPr>
              <w:tblW w:w="5000" w:type="pct"/>
              <w:tblLook w:val="04A0" w:firstRow="1" w:lastRow="0" w:firstColumn="1" w:lastColumn="0" w:noHBand="0" w:noVBand="1"/>
            </w:tblPr>
            <w:tblGrid>
              <w:gridCol w:w="1519"/>
              <w:gridCol w:w="785"/>
              <w:gridCol w:w="784"/>
              <w:gridCol w:w="785"/>
              <w:gridCol w:w="785"/>
              <w:gridCol w:w="785"/>
              <w:gridCol w:w="784"/>
            </w:tblGrid>
            <w:tr w:rsidR="00467B8E" w:rsidRPr="003736DD" w14:paraId="3ABB403B" w14:textId="77777777" w:rsidTr="00C307BC">
              <w:tc>
                <w:tcPr>
                  <w:tcW w:w="716" w:type="pct"/>
                  <w:shd w:val="clear" w:color="auto" w:fill="B8CCE4" w:themeFill="accent1" w:themeFillTint="66"/>
                </w:tcPr>
                <w:p w14:paraId="13566F57" w14:textId="77777777" w:rsidR="00467B8E" w:rsidRPr="00AC3318" w:rsidRDefault="00467B8E" w:rsidP="00C307BC">
                  <w:pPr>
                    <w:tabs>
                      <w:tab w:val="left" w:pos="325"/>
                      <w:tab w:val="center" w:pos="652"/>
                    </w:tabs>
                    <w:rPr>
                      <w:rFonts w:ascii="Georgia" w:hAnsi="Georgia" w:cs="Arial"/>
                      <w:b/>
                      <w:sz w:val="20"/>
                      <w:szCs w:val="20"/>
                      <w:lang w:val="lt-LT"/>
                    </w:rPr>
                  </w:pPr>
                </w:p>
              </w:tc>
              <w:tc>
                <w:tcPr>
                  <w:tcW w:w="715" w:type="pct"/>
                  <w:shd w:val="clear" w:color="auto" w:fill="B8CCE4" w:themeFill="accent1" w:themeFillTint="66"/>
                </w:tcPr>
                <w:p w14:paraId="75FA1AB8" w14:textId="77777777" w:rsidR="00467B8E" w:rsidRPr="00AC3318" w:rsidRDefault="00467B8E" w:rsidP="00C307BC">
                  <w:pPr>
                    <w:jc w:val="center"/>
                    <w:rPr>
                      <w:rFonts w:ascii="Georgia" w:hAnsi="Georgia" w:cs="Arial"/>
                      <w:b/>
                      <w:sz w:val="20"/>
                      <w:szCs w:val="20"/>
                      <w:lang w:val="lt-LT"/>
                    </w:rPr>
                  </w:pPr>
                  <w:r w:rsidRPr="00AC3318">
                    <w:rPr>
                      <w:rFonts w:ascii="Georgia" w:hAnsi="Georgia" w:cs="Arial"/>
                      <w:b/>
                      <w:sz w:val="20"/>
                      <w:szCs w:val="20"/>
                      <w:lang w:val="lt-LT"/>
                    </w:rPr>
                    <w:t>2013</w:t>
                  </w:r>
                </w:p>
              </w:tc>
              <w:tc>
                <w:tcPr>
                  <w:tcW w:w="714" w:type="pct"/>
                  <w:shd w:val="clear" w:color="auto" w:fill="B8CCE4" w:themeFill="accent1" w:themeFillTint="66"/>
                </w:tcPr>
                <w:p w14:paraId="16DFF4F0" w14:textId="77777777" w:rsidR="00467B8E" w:rsidRPr="00AC3318" w:rsidRDefault="00467B8E" w:rsidP="00C307BC">
                  <w:pPr>
                    <w:jc w:val="center"/>
                    <w:rPr>
                      <w:rFonts w:ascii="Georgia" w:hAnsi="Georgia" w:cs="Arial"/>
                      <w:b/>
                      <w:sz w:val="20"/>
                      <w:szCs w:val="20"/>
                      <w:lang w:val="lt-LT"/>
                    </w:rPr>
                  </w:pPr>
                  <w:r w:rsidRPr="00AC3318">
                    <w:rPr>
                      <w:rFonts w:ascii="Georgia" w:hAnsi="Georgia" w:cs="Arial"/>
                      <w:b/>
                      <w:sz w:val="20"/>
                      <w:szCs w:val="20"/>
                      <w:lang w:val="lt-LT"/>
                    </w:rPr>
                    <w:t>2014</w:t>
                  </w:r>
                </w:p>
              </w:tc>
              <w:tc>
                <w:tcPr>
                  <w:tcW w:w="714" w:type="pct"/>
                  <w:shd w:val="clear" w:color="auto" w:fill="B8CCE4" w:themeFill="accent1" w:themeFillTint="66"/>
                </w:tcPr>
                <w:p w14:paraId="28C46AD7" w14:textId="77777777" w:rsidR="00467B8E" w:rsidRPr="00AC3318" w:rsidRDefault="00467B8E" w:rsidP="00C307BC">
                  <w:pPr>
                    <w:jc w:val="center"/>
                    <w:rPr>
                      <w:rFonts w:ascii="Georgia" w:hAnsi="Georgia" w:cs="Arial"/>
                      <w:b/>
                      <w:sz w:val="20"/>
                      <w:szCs w:val="20"/>
                      <w:lang w:val="lt-LT"/>
                    </w:rPr>
                  </w:pPr>
                  <w:r w:rsidRPr="00AC3318">
                    <w:rPr>
                      <w:rFonts w:ascii="Georgia" w:hAnsi="Georgia" w:cs="Arial"/>
                      <w:b/>
                      <w:sz w:val="20"/>
                      <w:szCs w:val="20"/>
                      <w:lang w:val="lt-LT"/>
                    </w:rPr>
                    <w:t>2015</w:t>
                  </w:r>
                </w:p>
              </w:tc>
              <w:tc>
                <w:tcPr>
                  <w:tcW w:w="714" w:type="pct"/>
                  <w:shd w:val="clear" w:color="auto" w:fill="B8CCE4" w:themeFill="accent1" w:themeFillTint="66"/>
                </w:tcPr>
                <w:p w14:paraId="124370CE" w14:textId="77777777" w:rsidR="00467B8E" w:rsidRPr="00AC3318" w:rsidRDefault="00467B8E" w:rsidP="00C307BC">
                  <w:pPr>
                    <w:jc w:val="center"/>
                    <w:rPr>
                      <w:rFonts w:ascii="Georgia" w:hAnsi="Georgia" w:cs="Arial"/>
                      <w:b/>
                      <w:sz w:val="20"/>
                      <w:szCs w:val="20"/>
                      <w:lang w:val="lt-LT"/>
                    </w:rPr>
                  </w:pPr>
                  <w:r w:rsidRPr="00AC3318">
                    <w:rPr>
                      <w:rFonts w:ascii="Georgia" w:hAnsi="Georgia" w:cs="Arial"/>
                      <w:b/>
                      <w:sz w:val="20"/>
                      <w:szCs w:val="20"/>
                      <w:lang w:val="lt-LT"/>
                    </w:rPr>
                    <w:t>2016</w:t>
                  </w:r>
                </w:p>
              </w:tc>
              <w:tc>
                <w:tcPr>
                  <w:tcW w:w="714" w:type="pct"/>
                  <w:shd w:val="clear" w:color="auto" w:fill="B8CCE4" w:themeFill="accent1" w:themeFillTint="66"/>
                </w:tcPr>
                <w:p w14:paraId="404B593D" w14:textId="77777777" w:rsidR="00467B8E" w:rsidRPr="00AC3318" w:rsidRDefault="00467B8E" w:rsidP="00C307BC">
                  <w:pPr>
                    <w:jc w:val="center"/>
                    <w:rPr>
                      <w:rFonts w:ascii="Georgia" w:hAnsi="Georgia" w:cs="Arial"/>
                      <w:b/>
                      <w:sz w:val="20"/>
                      <w:szCs w:val="20"/>
                      <w:lang w:val="lt-LT"/>
                    </w:rPr>
                  </w:pPr>
                  <w:r w:rsidRPr="00AC3318">
                    <w:rPr>
                      <w:rFonts w:ascii="Georgia" w:hAnsi="Georgia" w:cs="Arial"/>
                      <w:b/>
                      <w:sz w:val="20"/>
                      <w:szCs w:val="20"/>
                      <w:lang w:val="lt-LT"/>
                    </w:rPr>
                    <w:t>2017</w:t>
                  </w:r>
                </w:p>
              </w:tc>
              <w:tc>
                <w:tcPr>
                  <w:tcW w:w="714" w:type="pct"/>
                  <w:shd w:val="clear" w:color="auto" w:fill="B8CCE4" w:themeFill="accent1" w:themeFillTint="66"/>
                </w:tcPr>
                <w:p w14:paraId="25AB612A" w14:textId="77777777" w:rsidR="00467B8E" w:rsidRPr="00AC3318" w:rsidRDefault="00467B8E" w:rsidP="00C307BC">
                  <w:pPr>
                    <w:jc w:val="center"/>
                    <w:rPr>
                      <w:rFonts w:ascii="Georgia" w:hAnsi="Georgia" w:cs="Arial"/>
                      <w:b/>
                      <w:sz w:val="20"/>
                      <w:szCs w:val="20"/>
                      <w:lang w:val="lt-LT"/>
                    </w:rPr>
                  </w:pPr>
                  <w:r w:rsidRPr="00AC3318">
                    <w:rPr>
                      <w:rFonts w:ascii="Georgia" w:hAnsi="Georgia" w:cs="Arial"/>
                      <w:b/>
                      <w:sz w:val="20"/>
                      <w:szCs w:val="20"/>
                      <w:lang w:val="lt-LT"/>
                    </w:rPr>
                    <w:t>2018</w:t>
                  </w:r>
                </w:p>
              </w:tc>
            </w:tr>
            <w:tr w:rsidR="00467B8E" w:rsidRPr="003736DD" w14:paraId="72E0A54F" w14:textId="77777777" w:rsidTr="00C307BC">
              <w:tc>
                <w:tcPr>
                  <w:tcW w:w="716" w:type="pct"/>
                  <w:shd w:val="clear" w:color="auto" w:fill="B8CCE4" w:themeFill="accent1" w:themeFillTint="66"/>
                </w:tcPr>
                <w:p w14:paraId="3C9BE536" w14:textId="77777777" w:rsidR="00467B8E" w:rsidRPr="00AC3318" w:rsidRDefault="00467B8E" w:rsidP="00C307BC">
                  <w:pPr>
                    <w:rPr>
                      <w:rFonts w:ascii="Georgia" w:hAnsi="Georgia" w:cs="Arial"/>
                      <w:b/>
                      <w:sz w:val="20"/>
                      <w:szCs w:val="20"/>
                      <w:lang w:val="lt-LT"/>
                    </w:rPr>
                  </w:pPr>
                  <w:r w:rsidRPr="00AC3318">
                    <w:rPr>
                      <w:rFonts w:ascii="Georgia" w:hAnsi="Georgia" w:cs="Arial"/>
                      <w:b/>
                      <w:sz w:val="20"/>
                      <w:szCs w:val="20"/>
                      <w:lang w:val="lt-LT"/>
                    </w:rPr>
                    <w:t>BVP augimas (pokytis proc.)</w:t>
                  </w:r>
                </w:p>
              </w:tc>
              <w:tc>
                <w:tcPr>
                  <w:tcW w:w="715" w:type="pct"/>
                </w:tcPr>
                <w:p w14:paraId="43B510EC"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1,7</w:t>
                  </w:r>
                </w:p>
              </w:tc>
              <w:tc>
                <w:tcPr>
                  <w:tcW w:w="714" w:type="pct"/>
                  <w:shd w:val="clear" w:color="auto" w:fill="DBE5F1" w:themeFill="accent1" w:themeFillTint="33"/>
                </w:tcPr>
                <w:p w14:paraId="14571271"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2,9</w:t>
                  </w:r>
                </w:p>
              </w:tc>
              <w:tc>
                <w:tcPr>
                  <w:tcW w:w="714" w:type="pct"/>
                </w:tcPr>
                <w:p w14:paraId="6B6B3152"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2,3</w:t>
                  </w:r>
                </w:p>
              </w:tc>
              <w:tc>
                <w:tcPr>
                  <w:tcW w:w="714" w:type="pct"/>
                </w:tcPr>
                <w:p w14:paraId="0A500071"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2,3</w:t>
                  </w:r>
                </w:p>
              </w:tc>
              <w:tc>
                <w:tcPr>
                  <w:tcW w:w="714" w:type="pct"/>
                </w:tcPr>
                <w:p w14:paraId="3A2DA706"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2,5</w:t>
                  </w:r>
                </w:p>
              </w:tc>
              <w:tc>
                <w:tcPr>
                  <w:tcW w:w="714" w:type="pct"/>
                </w:tcPr>
                <w:p w14:paraId="046D5EF6"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2,5</w:t>
                  </w:r>
                </w:p>
              </w:tc>
            </w:tr>
            <w:tr w:rsidR="00467B8E" w:rsidRPr="003736DD" w14:paraId="3F1E45C7" w14:textId="77777777" w:rsidTr="00C307BC">
              <w:tc>
                <w:tcPr>
                  <w:tcW w:w="716" w:type="pct"/>
                  <w:shd w:val="clear" w:color="auto" w:fill="B8CCE4" w:themeFill="accent1" w:themeFillTint="66"/>
                </w:tcPr>
                <w:p w14:paraId="2F32AC67" w14:textId="77777777" w:rsidR="00467B8E" w:rsidRPr="00AC3318" w:rsidRDefault="00467B8E" w:rsidP="00C307BC">
                  <w:pPr>
                    <w:rPr>
                      <w:rFonts w:ascii="Georgia" w:hAnsi="Georgia" w:cs="Arial"/>
                      <w:b/>
                      <w:sz w:val="20"/>
                      <w:szCs w:val="20"/>
                      <w:lang w:val="lt-LT"/>
                    </w:rPr>
                  </w:pPr>
                  <w:r w:rsidRPr="00AC3318">
                    <w:rPr>
                      <w:rFonts w:ascii="Georgia" w:hAnsi="Georgia" w:cs="Arial"/>
                      <w:b/>
                      <w:sz w:val="20"/>
                      <w:szCs w:val="20"/>
                      <w:lang w:val="lt-LT"/>
                    </w:rPr>
                    <w:t>Vartotojų kainos (pokytis proc.)</w:t>
                  </w:r>
                </w:p>
              </w:tc>
              <w:tc>
                <w:tcPr>
                  <w:tcW w:w="715" w:type="pct"/>
                </w:tcPr>
                <w:p w14:paraId="460CCA0D"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2,6</w:t>
                  </w:r>
                </w:p>
              </w:tc>
              <w:tc>
                <w:tcPr>
                  <w:tcW w:w="714" w:type="pct"/>
                  <w:shd w:val="clear" w:color="auto" w:fill="DBE5F1" w:themeFill="accent1" w:themeFillTint="33"/>
                </w:tcPr>
                <w:p w14:paraId="73B03E5E"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1,6</w:t>
                  </w:r>
                </w:p>
              </w:tc>
              <w:tc>
                <w:tcPr>
                  <w:tcW w:w="714" w:type="pct"/>
                </w:tcPr>
                <w:p w14:paraId="4B55A0B2"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1,7</w:t>
                  </w:r>
                </w:p>
              </w:tc>
              <w:tc>
                <w:tcPr>
                  <w:tcW w:w="714" w:type="pct"/>
                </w:tcPr>
                <w:p w14:paraId="2F02B2F1"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1,8</w:t>
                  </w:r>
                </w:p>
              </w:tc>
              <w:tc>
                <w:tcPr>
                  <w:tcW w:w="714" w:type="pct"/>
                </w:tcPr>
                <w:p w14:paraId="15979F12"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2,2</w:t>
                  </w:r>
                </w:p>
              </w:tc>
              <w:tc>
                <w:tcPr>
                  <w:tcW w:w="714" w:type="pct"/>
                </w:tcPr>
                <w:p w14:paraId="74BE2F02"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2,3</w:t>
                  </w:r>
                </w:p>
              </w:tc>
            </w:tr>
            <w:tr w:rsidR="00467B8E" w:rsidRPr="003736DD" w14:paraId="4C4DFB82" w14:textId="77777777" w:rsidTr="00C307BC">
              <w:tc>
                <w:tcPr>
                  <w:tcW w:w="716" w:type="pct"/>
                  <w:shd w:val="clear" w:color="auto" w:fill="B8CCE4" w:themeFill="accent1" w:themeFillTint="66"/>
                </w:tcPr>
                <w:p w14:paraId="0767CC6C" w14:textId="77777777" w:rsidR="00467B8E" w:rsidRPr="00AC3318" w:rsidRDefault="00467B8E" w:rsidP="00C307BC">
                  <w:pPr>
                    <w:rPr>
                      <w:rFonts w:ascii="Georgia" w:hAnsi="Georgia" w:cs="Arial"/>
                      <w:b/>
                      <w:sz w:val="20"/>
                      <w:szCs w:val="20"/>
                      <w:lang w:val="lt-LT"/>
                    </w:rPr>
                  </w:pPr>
                  <w:r w:rsidRPr="00AC3318">
                    <w:rPr>
                      <w:rFonts w:ascii="Georgia" w:hAnsi="Georgia" w:cs="Arial"/>
                      <w:b/>
                      <w:sz w:val="20"/>
                      <w:szCs w:val="20"/>
                      <w:lang w:val="lt-LT"/>
                    </w:rPr>
                    <w:t>Vidutinis darbo užmokestis (pokytis proc.)</w:t>
                  </w:r>
                </w:p>
              </w:tc>
              <w:tc>
                <w:tcPr>
                  <w:tcW w:w="715" w:type="pct"/>
                </w:tcPr>
                <w:p w14:paraId="3419F8A4"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1,4</w:t>
                  </w:r>
                </w:p>
              </w:tc>
              <w:tc>
                <w:tcPr>
                  <w:tcW w:w="714" w:type="pct"/>
                  <w:shd w:val="clear" w:color="auto" w:fill="DBE5F1" w:themeFill="accent1" w:themeFillTint="33"/>
                </w:tcPr>
                <w:p w14:paraId="63648843"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1,9</w:t>
                  </w:r>
                </w:p>
              </w:tc>
              <w:tc>
                <w:tcPr>
                  <w:tcW w:w="714" w:type="pct"/>
                </w:tcPr>
                <w:p w14:paraId="22CC66A1"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2,6</w:t>
                  </w:r>
                </w:p>
              </w:tc>
              <w:tc>
                <w:tcPr>
                  <w:tcW w:w="714" w:type="pct"/>
                </w:tcPr>
                <w:p w14:paraId="168A04BC"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3,0</w:t>
                  </w:r>
                </w:p>
              </w:tc>
              <w:tc>
                <w:tcPr>
                  <w:tcW w:w="714" w:type="pct"/>
                </w:tcPr>
                <w:p w14:paraId="47E45665"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3,5</w:t>
                  </w:r>
                </w:p>
              </w:tc>
              <w:tc>
                <w:tcPr>
                  <w:tcW w:w="714" w:type="pct"/>
                </w:tcPr>
                <w:p w14:paraId="1DD34014"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3,9</w:t>
                  </w:r>
                </w:p>
              </w:tc>
            </w:tr>
            <w:tr w:rsidR="00467B8E" w:rsidRPr="003736DD" w14:paraId="2CE7F283" w14:textId="77777777" w:rsidTr="00C307BC">
              <w:tc>
                <w:tcPr>
                  <w:tcW w:w="716" w:type="pct"/>
                  <w:shd w:val="clear" w:color="auto" w:fill="B8CCE4" w:themeFill="accent1" w:themeFillTint="66"/>
                </w:tcPr>
                <w:p w14:paraId="66B68590" w14:textId="77777777" w:rsidR="00467B8E" w:rsidRPr="00AC3318" w:rsidRDefault="00467B8E" w:rsidP="00C307BC">
                  <w:pPr>
                    <w:rPr>
                      <w:rFonts w:ascii="Georgia" w:hAnsi="Georgia" w:cs="Arial"/>
                      <w:b/>
                      <w:sz w:val="20"/>
                      <w:szCs w:val="20"/>
                      <w:lang w:val="lt-LT"/>
                    </w:rPr>
                  </w:pPr>
                  <w:r w:rsidRPr="00AC3318">
                    <w:rPr>
                      <w:rFonts w:ascii="Georgia" w:hAnsi="Georgia" w:cs="Arial"/>
                      <w:b/>
                      <w:sz w:val="20"/>
                      <w:szCs w:val="20"/>
                      <w:lang w:val="lt-LT"/>
                    </w:rPr>
                    <w:t>Nedarbo lygis (proc.)</w:t>
                  </w:r>
                </w:p>
              </w:tc>
              <w:tc>
                <w:tcPr>
                  <w:tcW w:w="715" w:type="pct"/>
                </w:tcPr>
                <w:p w14:paraId="032ECF44"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7,6</w:t>
                  </w:r>
                </w:p>
              </w:tc>
              <w:tc>
                <w:tcPr>
                  <w:tcW w:w="714" w:type="pct"/>
                  <w:shd w:val="clear" w:color="auto" w:fill="DBE5F1" w:themeFill="accent1" w:themeFillTint="33"/>
                </w:tcPr>
                <w:p w14:paraId="35D21109"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6,8</w:t>
                  </w:r>
                </w:p>
              </w:tc>
              <w:tc>
                <w:tcPr>
                  <w:tcW w:w="714" w:type="pct"/>
                </w:tcPr>
                <w:p w14:paraId="56E45BFD"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6,2</w:t>
                  </w:r>
                </w:p>
              </w:tc>
              <w:tc>
                <w:tcPr>
                  <w:tcW w:w="714" w:type="pct"/>
                </w:tcPr>
                <w:p w14:paraId="11A9E1F6"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6,0</w:t>
                  </w:r>
                </w:p>
              </w:tc>
              <w:tc>
                <w:tcPr>
                  <w:tcW w:w="714" w:type="pct"/>
                </w:tcPr>
                <w:p w14:paraId="3D4E672B"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5,9</w:t>
                  </w:r>
                </w:p>
              </w:tc>
              <w:tc>
                <w:tcPr>
                  <w:tcW w:w="714" w:type="pct"/>
                </w:tcPr>
                <w:p w14:paraId="03D8BD6F"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5,8</w:t>
                  </w:r>
                </w:p>
              </w:tc>
            </w:tr>
            <w:tr w:rsidR="00467B8E" w:rsidRPr="003736DD" w14:paraId="3AFD14C9" w14:textId="77777777" w:rsidTr="00C307BC">
              <w:tc>
                <w:tcPr>
                  <w:tcW w:w="716" w:type="pct"/>
                  <w:shd w:val="clear" w:color="auto" w:fill="B8CCE4" w:themeFill="accent1" w:themeFillTint="66"/>
                </w:tcPr>
                <w:p w14:paraId="594F655A" w14:textId="77777777" w:rsidR="00467B8E" w:rsidRPr="00AC3318" w:rsidRDefault="00467B8E" w:rsidP="00C307BC">
                  <w:pPr>
                    <w:rPr>
                      <w:rFonts w:ascii="Georgia" w:hAnsi="Georgia" w:cs="Arial"/>
                      <w:b/>
                      <w:sz w:val="20"/>
                      <w:szCs w:val="20"/>
                      <w:lang w:val="lt-LT"/>
                    </w:rPr>
                  </w:pPr>
                  <w:r w:rsidRPr="00AC3318">
                    <w:rPr>
                      <w:rFonts w:ascii="Georgia" w:hAnsi="Georgia" w:cs="Arial"/>
                      <w:b/>
                      <w:sz w:val="20"/>
                      <w:szCs w:val="20"/>
                      <w:lang w:val="lt-LT"/>
                    </w:rPr>
                    <w:t>Grynasis vyriausybės sektoriaus skolinimasis (proc. nuo BVP)</w:t>
                  </w:r>
                </w:p>
              </w:tc>
              <w:tc>
                <w:tcPr>
                  <w:tcW w:w="715" w:type="pct"/>
                </w:tcPr>
                <w:p w14:paraId="55F01EC3"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5,7</w:t>
                  </w:r>
                </w:p>
              </w:tc>
              <w:tc>
                <w:tcPr>
                  <w:tcW w:w="714" w:type="pct"/>
                  <w:shd w:val="clear" w:color="auto" w:fill="DBE5F1" w:themeFill="accent1" w:themeFillTint="33"/>
                </w:tcPr>
                <w:p w14:paraId="77D8FC59"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4,9</w:t>
                  </w:r>
                </w:p>
              </w:tc>
              <w:tc>
                <w:tcPr>
                  <w:tcW w:w="714" w:type="pct"/>
                </w:tcPr>
                <w:p w14:paraId="5A55D68B"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4,1</w:t>
                  </w:r>
                </w:p>
              </w:tc>
              <w:tc>
                <w:tcPr>
                  <w:tcW w:w="714" w:type="pct"/>
                </w:tcPr>
                <w:p w14:paraId="2A148836"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2,8</w:t>
                  </w:r>
                </w:p>
              </w:tc>
              <w:tc>
                <w:tcPr>
                  <w:tcW w:w="714" w:type="pct"/>
                </w:tcPr>
                <w:p w14:paraId="70BA40CD"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1,4</w:t>
                  </w:r>
                </w:p>
              </w:tc>
              <w:tc>
                <w:tcPr>
                  <w:tcW w:w="714" w:type="pct"/>
                </w:tcPr>
                <w:p w14:paraId="3454F9BA"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0,2</w:t>
                  </w:r>
                </w:p>
              </w:tc>
            </w:tr>
            <w:tr w:rsidR="00467B8E" w:rsidRPr="003736DD" w14:paraId="01153C58" w14:textId="77777777" w:rsidTr="00C307BC">
              <w:tc>
                <w:tcPr>
                  <w:tcW w:w="716" w:type="pct"/>
                  <w:shd w:val="clear" w:color="auto" w:fill="B8CCE4" w:themeFill="accent1" w:themeFillTint="66"/>
                </w:tcPr>
                <w:p w14:paraId="1A13300C" w14:textId="77777777" w:rsidR="00467B8E" w:rsidRPr="00AC3318" w:rsidRDefault="00467B8E" w:rsidP="00C307BC">
                  <w:pPr>
                    <w:rPr>
                      <w:rFonts w:ascii="Georgia" w:hAnsi="Georgia" w:cs="Arial"/>
                      <w:b/>
                      <w:sz w:val="20"/>
                      <w:szCs w:val="20"/>
                      <w:lang w:val="lt-LT"/>
                    </w:rPr>
                  </w:pPr>
                  <w:r w:rsidRPr="00AC3318">
                    <w:rPr>
                      <w:rFonts w:ascii="Georgia" w:hAnsi="Georgia" w:cs="Arial"/>
                      <w:b/>
                      <w:sz w:val="20"/>
                      <w:szCs w:val="20"/>
                      <w:lang w:val="lt-LT"/>
                    </w:rPr>
                    <w:t>3 mėnesių tarpbankinė palūkanų norma (proc.)</w:t>
                  </w:r>
                </w:p>
              </w:tc>
              <w:tc>
                <w:tcPr>
                  <w:tcW w:w="715" w:type="pct"/>
                </w:tcPr>
                <w:p w14:paraId="6D270BB5"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0,5</w:t>
                  </w:r>
                </w:p>
              </w:tc>
              <w:tc>
                <w:tcPr>
                  <w:tcW w:w="714" w:type="pct"/>
                  <w:shd w:val="clear" w:color="auto" w:fill="DBE5F1" w:themeFill="accent1" w:themeFillTint="33"/>
                </w:tcPr>
                <w:p w14:paraId="0DF9064F"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0,5</w:t>
                  </w:r>
                </w:p>
              </w:tc>
              <w:tc>
                <w:tcPr>
                  <w:tcW w:w="714" w:type="pct"/>
                </w:tcPr>
                <w:p w14:paraId="2573B960"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0,7</w:t>
                  </w:r>
                </w:p>
              </w:tc>
              <w:tc>
                <w:tcPr>
                  <w:tcW w:w="714" w:type="pct"/>
                </w:tcPr>
                <w:p w14:paraId="639B65F3"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1,7</w:t>
                  </w:r>
                </w:p>
              </w:tc>
              <w:tc>
                <w:tcPr>
                  <w:tcW w:w="714" w:type="pct"/>
                </w:tcPr>
                <w:p w14:paraId="5BA2FF75"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2,7</w:t>
                  </w:r>
                </w:p>
              </w:tc>
              <w:tc>
                <w:tcPr>
                  <w:tcW w:w="714" w:type="pct"/>
                </w:tcPr>
                <w:p w14:paraId="172EFFBA"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3,7</w:t>
                  </w:r>
                </w:p>
              </w:tc>
            </w:tr>
            <w:tr w:rsidR="00467B8E" w:rsidRPr="003736DD" w14:paraId="27F46717" w14:textId="77777777" w:rsidTr="00C307BC">
              <w:tc>
                <w:tcPr>
                  <w:tcW w:w="716" w:type="pct"/>
                  <w:shd w:val="clear" w:color="auto" w:fill="B8CCE4" w:themeFill="accent1" w:themeFillTint="66"/>
                </w:tcPr>
                <w:p w14:paraId="26B8B12B" w14:textId="77777777" w:rsidR="00467B8E" w:rsidRPr="00AC3318" w:rsidRDefault="00467B8E" w:rsidP="00C307BC">
                  <w:pPr>
                    <w:rPr>
                      <w:rFonts w:ascii="Georgia" w:hAnsi="Georgia" w:cs="Arial"/>
                      <w:b/>
                      <w:sz w:val="20"/>
                      <w:szCs w:val="20"/>
                      <w:lang w:val="lt-LT"/>
                    </w:rPr>
                  </w:pPr>
                  <w:r w:rsidRPr="00AC3318">
                    <w:rPr>
                      <w:rFonts w:ascii="Georgia" w:hAnsi="Georgia" w:cs="Arial"/>
                      <w:b/>
                      <w:sz w:val="20"/>
                      <w:szCs w:val="20"/>
                      <w:lang w:val="lt-LT"/>
                    </w:rPr>
                    <w:t>Efektyvusis valiutos kursas</w:t>
                  </w:r>
                </w:p>
              </w:tc>
              <w:tc>
                <w:tcPr>
                  <w:tcW w:w="715" w:type="pct"/>
                </w:tcPr>
                <w:p w14:paraId="1671971E"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81,4</w:t>
                  </w:r>
                </w:p>
              </w:tc>
              <w:tc>
                <w:tcPr>
                  <w:tcW w:w="714" w:type="pct"/>
                  <w:shd w:val="clear" w:color="auto" w:fill="DBE5F1" w:themeFill="accent1" w:themeFillTint="33"/>
                </w:tcPr>
                <w:p w14:paraId="1EBF065F"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84,4</w:t>
                  </w:r>
                </w:p>
              </w:tc>
              <w:tc>
                <w:tcPr>
                  <w:tcW w:w="714" w:type="pct"/>
                </w:tcPr>
                <w:p w14:paraId="216429A4"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82,0</w:t>
                  </w:r>
                </w:p>
              </w:tc>
              <w:tc>
                <w:tcPr>
                  <w:tcW w:w="714" w:type="pct"/>
                </w:tcPr>
                <w:p w14:paraId="1A9E4079"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81,0</w:t>
                  </w:r>
                </w:p>
              </w:tc>
              <w:tc>
                <w:tcPr>
                  <w:tcW w:w="714" w:type="pct"/>
                </w:tcPr>
                <w:p w14:paraId="441C3384"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80,2</w:t>
                  </w:r>
                </w:p>
              </w:tc>
              <w:tc>
                <w:tcPr>
                  <w:tcW w:w="714" w:type="pct"/>
                </w:tcPr>
                <w:p w14:paraId="08F13113" w14:textId="77777777" w:rsidR="00467B8E" w:rsidRPr="00AC3318" w:rsidRDefault="00467B8E" w:rsidP="00C307BC">
                  <w:pPr>
                    <w:jc w:val="center"/>
                    <w:rPr>
                      <w:rFonts w:ascii="Georgia" w:hAnsi="Georgia" w:cs="Arial"/>
                      <w:sz w:val="20"/>
                      <w:szCs w:val="20"/>
                      <w:lang w:val="lt-LT"/>
                    </w:rPr>
                  </w:pPr>
                  <w:r w:rsidRPr="00AC3318">
                    <w:rPr>
                      <w:rFonts w:ascii="Georgia" w:hAnsi="Georgia" w:cs="Arial"/>
                      <w:sz w:val="20"/>
                      <w:szCs w:val="20"/>
                      <w:lang w:val="lt-LT"/>
                    </w:rPr>
                    <w:t>79,4</w:t>
                  </w:r>
                </w:p>
              </w:tc>
            </w:tr>
          </w:tbl>
          <w:p w14:paraId="6623B83E" w14:textId="77777777" w:rsidR="00467B8E" w:rsidRPr="00AC3318" w:rsidRDefault="00467B8E" w:rsidP="00C307BC">
            <w:pPr>
              <w:spacing w:after="120"/>
              <w:cnfStyle w:val="000000100000" w:firstRow="0" w:lastRow="0" w:firstColumn="0" w:lastColumn="0" w:oddVBand="0" w:evenVBand="0" w:oddHBand="1" w:evenHBand="0" w:firstRowFirstColumn="0" w:firstRowLastColumn="0" w:lastRowFirstColumn="0" w:lastRowLastColumn="0"/>
              <w:rPr>
                <w:rFonts w:ascii="Georgia" w:hAnsi="Georgia" w:cs="Arial"/>
                <w:i/>
                <w:sz w:val="20"/>
                <w:szCs w:val="20"/>
                <w:lang w:val="lt-LT"/>
              </w:rPr>
            </w:pPr>
            <w:r w:rsidRPr="00AC3318">
              <w:rPr>
                <w:rFonts w:ascii="Georgia" w:hAnsi="Georgia" w:cs="Arial"/>
                <w:i/>
                <w:sz w:val="20"/>
                <w:szCs w:val="20"/>
                <w:lang w:val="lt-LT"/>
              </w:rPr>
              <w:t>Šaltinis: EY ITEM Club, Issue 12 – Spring edition 2014, Outlook for financial services</w:t>
            </w:r>
          </w:p>
        </w:tc>
      </w:tr>
      <w:tr w:rsidR="00467B8E" w:rsidRPr="003736DD" w14:paraId="16017629" w14:textId="77777777" w:rsidTr="00467B8E">
        <w:tc>
          <w:tcPr>
            <w:cnfStyle w:val="001000000000" w:firstRow="0" w:lastRow="0" w:firstColumn="1" w:lastColumn="0" w:oddVBand="0" w:evenVBand="0" w:oddHBand="0" w:evenHBand="0" w:firstRowFirstColumn="0" w:firstRowLastColumn="0" w:lastRowFirstColumn="0" w:lastRowLastColumn="0"/>
            <w:tcW w:w="326" w:type="pct"/>
          </w:tcPr>
          <w:p w14:paraId="1647179B" w14:textId="77777777" w:rsidR="00467B8E" w:rsidRPr="00AC3318" w:rsidRDefault="00467B8E" w:rsidP="00C307BC">
            <w:pPr>
              <w:rPr>
                <w:rFonts w:ascii="Georgia" w:hAnsi="Georgia"/>
                <w:b w:val="0"/>
                <w:sz w:val="20"/>
                <w:szCs w:val="20"/>
                <w:lang w:val="lt-LT"/>
              </w:rPr>
            </w:pPr>
            <w:r w:rsidRPr="00AC3318">
              <w:rPr>
                <w:rFonts w:ascii="Georgia" w:hAnsi="Georgia"/>
                <w:sz w:val="20"/>
                <w:szCs w:val="20"/>
                <w:lang w:val="lt-LT"/>
              </w:rPr>
              <w:lastRenderedPageBreak/>
              <w:t>1.3</w:t>
            </w:r>
          </w:p>
        </w:tc>
        <w:tc>
          <w:tcPr>
            <w:tcW w:w="1188" w:type="pct"/>
          </w:tcPr>
          <w:p w14:paraId="4061426A" w14:textId="77777777" w:rsidR="00467B8E" w:rsidRPr="00AC3318" w:rsidRDefault="00467B8E" w:rsidP="00C307BC">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Finansų sektoriaus apžvalga</w:t>
            </w:r>
          </w:p>
        </w:tc>
        <w:tc>
          <w:tcPr>
            <w:tcW w:w="3485" w:type="pct"/>
          </w:tcPr>
          <w:p w14:paraId="6E3DC3AE"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2013 m. bankų veiklos duomenys rodo, jog sektorius po truputį atsigauna, tačiau dar liko nemažas kelias iki visiško atsigavimo. Pagrindinis iššūkis artimiausiu metu turėtų būti kapitalo grąžos atstatymas iki patrauklaus dydžio. Sektorius vis dar gali padaryti daugiau, kad sumažintų sąnaudas, bet vien didesnio efektyvumo neužtenka.</w:t>
            </w:r>
          </w:p>
          <w:p w14:paraId="5288EEFC"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Prognozuojamas laipsniškas bankų skolinimo apimčių didėjimas. Bendra paskolų apimtis 2014 m. padidės 2,4 proc. ir viršys 5 mlrd. £. Prognozuojama, kad per ketverius metus nuo 2015 m. paskolų apimtis kasmet augs vidutiniškai 4,2 proc. ir 2018 m. pasieks 5,9 mlrd. £.</w:t>
            </w:r>
          </w:p>
          <w:p w14:paraId="6A450E4A"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Dabartinis būsto kainų atsigavimas turėtų tęstis. Prognozuojama, jog kainos kils 7,4 proc. 2014 m. ir vidutiniškai šiek tiek daugiau nei 5 proc. 2015-2018 m. laikotarpiu. Būsto paskolų bendra apimtis iki 2014 m. pabaigos turėtų padidėti nežymiai ir pasiekti 1,1 mlrd. £ arba 2,8 proc. daugiau nei 2013 m.</w:t>
            </w:r>
          </w:p>
          <w:p w14:paraId="7642176E"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Vartotojų skolinimasis 2014 m. didės 2,6 proc., o 2015-2018 m. laikotarpiu vidutiniškai augs beveik 4 proc. kasmet. Dėl didėjančio užimtumo ir darbo užmokesčio augimo kreditų rizika, su kuria susiduria bankai, turėtų mažėti. Prognozuojama, jog vartojimo kreditų nurašymas 2015 m. turėtų sumažėti iki 2,1 proc. (didžiausia reikšmė buvo pasiekta 2010 m. – 5,5 proc.).</w:t>
            </w:r>
          </w:p>
          <w:p w14:paraId="6089BC0A"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Skolinimas verslui 2014 m. turėtų didėti tik maždaug 1,5 proc. Prognozė sumažinta nuo 2,5 proc. Verslo paskolų apimtis bus 411 mlrd. £ arba 28 proc. mažesnė nei 2008 m., kai buvo pasiektas aukščiausias taškas, o 2018 m. – 520 mlrd. £ (10 proc. mažiau nei 2008 m.).</w:t>
            </w:r>
          </w:p>
          <w:p w14:paraId="1EFFA6D3"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Style w:val="hps"/>
                <w:rFonts w:ascii="Georgia" w:hAnsi="Georgia" w:cs="Arial"/>
                <w:color w:val="222222"/>
                <w:sz w:val="20"/>
                <w:szCs w:val="20"/>
                <w:lang w:val="lt-LT"/>
              </w:rPr>
            </w:pPr>
            <w:r w:rsidRPr="00AC3318">
              <w:rPr>
                <w:rFonts w:ascii="Georgia" w:hAnsi="Georgia" w:cs="Arial"/>
                <w:sz w:val="20"/>
                <w:szCs w:val="20"/>
                <w:lang w:val="lt-LT"/>
              </w:rPr>
              <w:t>Jungtinėje Karalystėje trumpo laikotarpio palūkanų norma per pirmus penkis 2014 m. mėnesius padidėjo nežymiai.</w:t>
            </w:r>
            <w:r w:rsidRPr="00AC3318">
              <w:rPr>
                <w:rStyle w:val="hps"/>
                <w:rFonts w:ascii="Georgia" w:hAnsi="Georgia" w:cs="Arial"/>
                <w:color w:val="222222"/>
                <w:sz w:val="20"/>
                <w:szCs w:val="20"/>
                <w:lang w:val="lt-LT"/>
              </w:rPr>
              <w:t xml:space="preserve"> Prognozuojama, jog panašiame lygyje ji išliks ir artimiausiu metu.</w:t>
            </w:r>
          </w:p>
          <w:p w14:paraId="50AFA24D"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Vidutinio laikotarpio išankstinių sandorių palūkanų norma mažėjo (tokia tendencija buvo nuo pat metų pradžios). </w:t>
            </w:r>
            <w:r w:rsidRPr="00AC3318">
              <w:rPr>
                <w:rStyle w:val="hps"/>
                <w:rFonts w:ascii="Georgia" w:hAnsi="Georgia" w:cs="Arial"/>
                <w:color w:val="222222"/>
                <w:sz w:val="20"/>
                <w:szCs w:val="20"/>
                <w:lang w:val="lt-LT"/>
              </w:rPr>
              <w:t>Dešimties</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metų vyriausybės</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obligacijų pajamingumas</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per</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ataskaitinį laikotarpį iš esmės nepakito</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kadangi</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trumpo laikotarpio palūkanų norma</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buvo</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atsverta</w:t>
            </w:r>
            <w:r w:rsidRPr="00AC3318">
              <w:rPr>
                <w:rFonts w:ascii="Georgia" w:hAnsi="Georgia" w:cs="Arial"/>
                <w:color w:val="222222"/>
                <w:sz w:val="20"/>
                <w:szCs w:val="20"/>
                <w:lang w:val="lt-LT"/>
              </w:rPr>
              <w:t xml:space="preserve"> žemesnės </w:t>
            </w:r>
            <w:r w:rsidRPr="00AC3318">
              <w:rPr>
                <w:rStyle w:val="hps"/>
                <w:rFonts w:ascii="Georgia" w:hAnsi="Georgia" w:cs="Arial"/>
                <w:color w:val="222222"/>
                <w:sz w:val="20"/>
                <w:szCs w:val="20"/>
                <w:lang w:val="lt-LT"/>
              </w:rPr>
              <w:t>išankstinių sandorių palūkanų normos</w:t>
            </w:r>
            <w:r w:rsidRPr="00AC3318">
              <w:rPr>
                <w:rFonts w:ascii="Georgia" w:hAnsi="Georgia" w:cs="Arial"/>
                <w:color w:val="222222"/>
                <w:sz w:val="20"/>
                <w:szCs w:val="20"/>
                <w:lang w:val="lt-LT"/>
              </w:rPr>
              <w:t>.</w:t>
            </w:r>
          </w:p>
          <w:p w14:paraId="7CF23FE8"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Po 2012 m. ir 2013 m. stebėto mažėjimo, 2014 m. turėtų būti fiksuojamas nedidelis bankų turto vertės augimas – nuo 6,5 mlrd. £ iki 6.7 mlrd. £. Trejus metus mažėjusios bendros pajamos 2014 m. turėtų didėti 1,4 proc.</w:t>
            </w:r>
          </w:p>
          <w:p w14:paraId="748AA29C"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Didžioji dalis rizikingo turto kainų per pirmus penkis 2014 m. mėnesius padidėjo ir iš principo buvo neįtakotos Ukrainos vidaus konflikto ar kitų pasaulinių įvykių.</w:t>
            </w:r>
          </w:p>
          <w:p w14:paraId="058D3A47"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Šaltiniai: </w:t>
            </w:r>
            <w:r w:rsidRPr="00AC3318">
              <w:rPr>
                <w:rFonts w:ascii="Georgia" w:hAnsi="Georgia" w:cs="Arial"/>
                <w:i/>
                <w:sz w:val="20"/>
                <w:szCs w:val="20"/>
                <w:lang w:val="lt-LT"/>
              </w:rPr>
              <w:t>EY ITEM Club, Issue 12 – Spring edition 2014, Outlook for financial services; Quarterly Bulletin, 2014 Q2 | Volume 54 No. 2, Bank of England.</w:t>
            </w:r>
          </w:p>
        </w:tc>
      </w:tr>
      <w:tr w:rsidR="00467B8E" w:rsidRPr="003736DD" w14:paraId="2C261106" w14:textId="77777777"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14:paraId="511EB77E" w14:textId="77777777" w:rsidR="00467B8E" w:rsidRPr="00AC3318" w:rsidRDefault="00467B8E" w:rsidP="00C307BC">
            <w:pPr>
              <w:rPr>
                <w:rFonts w:ascii="Georgia" w:hAnsi="Georgia"/>
                <w:b w:val="0"/>
                <w:sz w:val="20"/>
                <w:szCs w:val="20"/>
                <w:lang w:val="lt-LT"/>
              </w:rPr>
            </w:pPr>
            <w:r w:rsidRPr="00AC3318">
              <w:rPr>
                <w:rFonts w:ascii="Georgia" w:hAnsi="Georgia"/>
                <w:sz w:val="20"/>
                <w:szCs w:val="20"/>
                <w:lang w:val="lt-LT"/>
              </w:rPr>
              <w:t>2.</w:t>
            </w:r>
          </w:p>
        </w:tc>
        <w:tc>
          <w:tcPr>
            <w:tcW w:w="1188" w:type="pct"/>
          </w:tcPr>
          <w:p w14:paraId="22724A3F" w14:textId="77777777" w:rsidR="00467B8E" w:rsidRPr="00AC3318" w:rsidRDefault="00467B8E" w:rsidP="00C307BC">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Finansų instrumento tikslai</w:t>
            </w:r>
          </w:p>
        </w:tc>
        <w:tc>
          <w:tcPr>
            <w:tcW w:w="3485" w:type="pct"/>
          </w:tcPr>
          <w:p w14:paraId="159714D4" w14:textId="77777777"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Londono žaliasis fondas (toliau – LGF) sukurtas tam, kad skatintų nedidelį anglies dvideginio kiekį išmetančios ekonomikos plėtrą, atsižvelgiant į Londono mero ekonominius ir aplinkosaugos prioritetus.</w:t>
            </w:r>
          </w:p>
          <w:p w14:paraId="6006B67F" w14:textId="77777777"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LGF yra 100 mln. £ fondas, įsteigtas investuoti į schemas, kurios padėtų sumažinti Londono miesto anglies dvideginio emisiją. Fondas pradėjo veikti 2009 metų spalio mėnesį ir buvo pirmasis JESSICA kontroliuojantysis fondas Jungtinėje Karalystėje (aktyvios fondo veiklos etapas – 2009 m. spalio mėn. – 2015 m. gruodžio mėn. (63 mėnesiai)).</w:t>
            </w:r>
          </w:p>
          <w:p w14:paraId="7C9409CA" w14:textId="77777777"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LGF 50 mln. £ skyrė 2007-2013 m. Londono ERPF veiksmų programa, 32 mln. £ – Didžiojo Londono administracija (GLA) ir 18 mln. £ –Londono atliekų ir perdirbimo valdyba (LWARB). Europos investicijų bankas valdo fondą GLA ir LWARB vardu.</w:t>
            </w:r>
          </w:p>
          <w:p w14:paraId="56487A8D" w14:textId="77777777"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lastRenderedPageBreak/>
              <w:t>Rezultatai, kuriuos planuoja pasiekti LGF ir kurie yra aktualūs LEEF: 28.000 t mažesnė metinė CO</w:t>
            </w:r>
            <w:r w:rsidRPr="00AC3318">
              <w:rPr>
                <w:rFonts w:ascii="Georgia" w:hAnsi="Georgia" w:cs="Arial"/>
                <w:sz w:val="20"/>
                <w:szCs w:val="20"/>
                <w:vertAlign w:val="subscript"/>
                <w:lang w:val="lt-LT"/>
              </w:rPr>
              <w:t>2</w:t>
            </w:r>
            <w:r w:rsidRPr="00AC3318">
              <w:rPr>
                <w:rFonts w:ascii="Georgia" w:hAnsi="Georgia" w:cs="Arial"/>
                <w:sz w:val="20"/>
                <w:szCs w:val="20"/>
                <w:lang w:val="lt-LT"/>
              </w:rPr>
              <w:t xml:space="preserve"> tarša.</w:t>
            </w:r>
          </w:p>
          <w:p w14:paraId="359249EA" w14:textId="77777777"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LGF skiria finansavimą trims miesto plėtros fondams, kurie investuoja tiesiogiai į atliekų tvarkymo, energijos efektyvumo, energetikos decentralizavimo ir socialinio būsto projektus.</w:t>
            </w:r>
          </w:p>
          <w:p w14:paraId="482A75EA" w14:textId="77777777" w:rsidR="00467B8E" w:rsidRPr="00AC3318" w:rsidRDefault="00467B8E" w:rsidP="00C307BC">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LEEF (energijos efektyvumo miesto plėtros fondas) buvo įkurtas 2011 m. rugpjūtį. Fondui iš LGF skirta 50 mln. £. LEEF finansuoja investicijas į energijos vartojimo efektyvumo didinimo priemones privataus ir viešojo sektoriaus pastatuose, įskaitant:</w:t>
            </w:r>
          </w:p>
          <w:p w14:paraId="1FFA7F08" w14:textId="77777777" w:rsidR="00467B8E" w:rsidRPr="00AC3318" w:rsidRDefault="00467B8E" w:rsidP="00C03122">
            <w:pPr>
              <w:pStyle w:val="Sraopastraipa"/>
              <w:numPr>
                <w:ilvl w:val="0"/>
                <w:numId w:val="17"/>
              </w:num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privačių, viešųjų ar nevyriausybinio sektoriaus pastatų (pvz., vietos valdžios institucijų, biurų, gamybinių patalpų, universitetų, ligoninių, mokyklų pastatų) pritaikymas ir/ar atnaujinimas siekiant juos padaryti labiau energiją taupančius, tvarius ir draugiškus aplinkai;</w:t>
            </w:r>
          </w:p>
          <w:p w14:paraId="67E81465" w14:textId="77777777" w:rsidR="00467B8E" w:rsidRPr="00AC3318" w:rsidRDefault="00467B8E" w:rsidP="00C03122">
            <w:pPr>
              <w:pStyle w:val="Sraopastraipa"/>
              <w:numPr>
                <w:ilvl w:val="0"/>
                <w:numId w:val="17"/>
              </w:num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esamo socialinio būsto energijos efektyvumo didinimas;</w:t>
            </w:r>
          </w:p>
          <w:p w14:paraId="4D635343" w14:textId="77777777" w:rsidR="00467B8E" w:rsidRPr="00AC3318" w:rsidRDefault="00467B8E" w:rsidP="00C03122">
            <w:pPr>
              <w:pStyle w:val="Sraopastraipa"/>
              <w:numPr>
                <w:ilvl w:val="0"/>
                <w:numId w:val="17"/>
              </w:numPr>
              <w:spacing w:after="120"/>
              <w:ind w:left="714" w:hanging="357"/>
              <w:contextualSpacing w:val="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energijos sistemų decentralizavimas.</w:t>
            </w:r>
          </w:p>
          <w:p w14:paraId="767E12BE" w14:textId="77777777"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LEEF savo veikloje atsižvelgia tiek į socialinę ir ekonominę grąžą, tiek ir į finansinę investicijų grąžą.</w:t>
            </w:r>
          </w:p>
          <w:p w14:paraId="5DA20852" w14:textId="77777777" w:rsidR="00467B8E" w:rsidRPr="00AC3318" w:rsidRDefault="00467B8E" w:rsidP="00C307BC">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LEEF iki 2015 m. gruodžio siekia investuoti ne mažiau kaip 70 mln. £ daugiausia kaip pirmaeiles (privilegijuotąsias) paskolas bei tarpinio pobūdžio paskolas</w:t>
            </w:r>
            <w:r w:rsidRPr="00AC3318">
              <w:rPr>
                <w:rStyle w:val="Puslapioinaosnuoroda"/>
                <w:rFonts w:ascii="Georgia" w:hAnsi="Georgia" w:cs="Arial"/>
                <w:sz w:val="20"/>
                <w:szCs w:val="20"/>
                <w:lang w:val="lt-LT"/>
              </w:rPr>
              <w:footnoteReference w:id="201"/>
            </w:r>
            <w:r w:rsidRPr="00AC3318">
              <w:rPr>
                <w:rFonts w:ascii="Georgia" w:hAnsi="Georgia" w:cs="Arial"/>
                <w:sz w:val="20"/>
                <w:szCs w:val="20"/>
                <w:lang w:val="lt-LT"/>
              </w:rPr>
              <w:t xml:space="preserve"> (laikantis ERPF programos reikalavimų). Šiuo metu LEEF turi daugiau nei 100 mln. £ (50 mln. £ iš LGF ir daugiau nei 50 mln. £ papildomo privataus finansavimo).</w:t>
            </w:r>
          </w:p>
        </w:tc>
      </w:tr>
      <w:tr w:rsidR="00467B8E" w:rsidRPr="003736DD" w14:paraId="0AC0957F" w14:textId="77777777" w:rsidTr="00467B8E">
        <w:tc>
          <w:tcPr>
            <w:cnfStyle w:val="001000000000" w:firstRow="0" w:lastRow="0" w:firstColumn="1" w:lastColumn="0" w:oddVBand="0" w:evenVBand="0" w:oddHBand="0" w:evenHBand="0" w:firstRowFirstColumn="0" w:firstRowLastColumn="0" w:lastRowFirstColumn="0" w:lastRowLastColumn="0"/>
            <w:tcW w:w="326" w:type="pct"/>
          </w:tcPr>
          <w:p w14:paraId="4B67E7D9" w14:textId="77777777" w:rsidR="00467B8E" w:rsidRPr="00AC3318" w:rsidRDefault="00467B8E" w:rsidP="00C307BC">
            <w:pPr>
              <w:rPr>
                <w:rFonts w:ascii="Georgia" w:hAnsi="Georgia"/>
                <w:b w:val="0"/>
                <w:sz w:val="20"/>
                <w:szCs w:val="20"/>
                <w:lang w:val="lt-LT"/>
              </w:rPr>
            </w:pPr>
            <w:r w:rsidRPr="00AC3318">
              <w:rPr>
                <w:rFonts w:ascii="Georgia" w:hAnsi="Georgia"/>
                <w:sz w:val="20"/>
                <w:szCs w:val="20"/>
                <w:lang w:val="lt-LT"/>
              </w:rPr>
              <w:lastRenderedPageBreak/>
              <w:t>3.</w:t>
            </w:r>
          </w:p>
        </w:tc>
        <w:tc>
          <w:tcPr>
            <w:tcW w:w="1188" w:type="pct"/>
          </w:tcPr>
          <w:p w14:paraId="6C365369" w14:textId="77777777" w:rsidR="00467B8E" w:rsidRPr="00AC3318" w:rsidRDefault="00467B8E" w:rsidP="00C307BC">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Tikslinė rinka</w:t>
            </w:r>
          </w:p>
        </w:tc>
        <w:tc>
          <w:tcPr>
            <w:tcW w:w="3485" w:type="pct"/>
          </w:tcPr>
          <w:p w14:paraId="7B2ACC57" w14:textId="77777777" w:rsidR="00467B8E" w:rsidRPr="00AC3318" w:rsidRDefault="00467B8E" w:rsidP="00C307BC">
            <w:p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Galima identifikuoti keletą faktorių, formuojančių tikslinę rinką:</w:t>
            </w:r>
          </w:p>
          <w:p w14:paraId="33EE26B5" w14:textId="77777777" w:rsidR="00467B8E" w:rsidRPr="00AC3318" w:rsidRDefault="00467B8E" w:rsidP="00C03122">
            <w:pPr>
              <w:pStyle w:val="Sraopastraipa"/>
              <w:numPr>
                <w:ilvl w:val="0"/>
                <w:numId w:val="21"/>
              </w:num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ekonominiai: augančios energijos kainos, veiklos efektyvumo didinimo ir veiklos kaštų mažinimo poreikis;</w:t>
            </w:r>
          </w:p>
          <w:p w14:paraId="524FC665" w14:textId="77777777" w:rsidR="00467B8E" w:rsidRPr="00AC3318" w:rsidRDefault="00467B8E" w:rsidP="00C03122">
            <w:pPr>
              <w:pStyle w:val="Sraopastraipa"/>
              <w:numPr>
                <w:ilvl w:val="0"/>
                <w:numId w:val="21"/>
              </w:num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teisiniai: reikalavimai atitikti taršos/vartojimo efektyvumo strateginius tikslus;</w:t>
            </w:r>
          </w:p>
          <w:p w14:paraId="597AE5F5" w14:textId="77777777" w:rsidR="00467B8E" w:rsidRPr="00AC3318" w:rsidRDefault="00467B8E" w:rsidP="00C03122">
            <w:pPr>
              <w:pStyle w:val="Sraopastraipa"/>
              <w:numPr>
                <w:ilvl w:val="0"/>
                <w:numId w:val="21"/>
              </w:num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socialiniai: mažinti anglies dvideginio pėdsaką, skatinti lyderystę rinkoje, didinti prekės ženklo reputaciją.</w:t>
            </w:r>
          </w:p>
          <w:p w14:paraId="5AD4DCF7"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Vidutinis namų Londone amžius labai skiriasi, vakarinėje miesto centro dalyje yra daugiau iki 1900 m. pastatytų pastatų, tuo tarpu </w:t>
            </w:r>
            <w:r w:rsidRPr="00AC3318">
              <w:rPr>
                <w:rFonts w:ascii="Georgia" w:hAnsi="Georgia" w:cs="Arial"/>
                <w:i/>
                <w:sz w:val="20"/>
                <w:szCs w:val="20"/>
                <w:lang w:val="lt-LT"/>
              </w:rPr>
              <w:t>Canary Wharf</w:t>
            </w:r>
            <w:r w:rsidRPr="00AC3318">
              <w:rPr>
                <w:rFonts w:ascii="Georgia" w:hAnsi="Georgia" w:cs="Arial"/>
                <w:sz w:val="20"/>
                <w:szCs w:val="20"/>
                <w:lang w:val="lt-LT"/>
              </w:rPr>
              <w:t xml:space="preserve">, </w:t>
            </w:r>
            <w:r w:rsidRPr="00AC3318">
              <w:rPr>
                <w:rFonts w:ascii="Georgia" w:hAnsi="Georgia" w:cs="Arial"/>
                <w:i/>
                <w:sz w:val="20"/>
                <w:szCs w:val="20"/>
                <w:lang w:val="lt-LT"/>
              </w:rPr>
              <w:t>Wembley</w:t>
            </w:r>
            <w:r w:rsidRPr="00AC3318">
              <w:rPr>
                <w:rFonts w:ascii="Georgia" w:hAnsi="Georgia" w:cs="Arial"/>
                <w:sz w:val="20"/>
                <w:szCs w:val="20"/>
                <w:lang w:val="lt-LT"/>
              </w:rPr>
              <w:t xml:space="preserve"> – nemažai XXI amžiaus statybos namų. Iš viso apie 23 proc. namų Londone yra pastatyti iki 1900 m. 50 proc. dabartinių negyvenamosios paskirties pastatų ir 75 proc. gyvenamosios paskirties pastatų bus naudojami 2050 m.</w:t>
            </w:r>
          </w:p>
          <w:p w14:paraId="332DDE53"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Privatus sektorius</w:t>
            </w:r>
            <w:r w:rsidRPr="00AC3318">
              <w:rPr>
                <w:rFonts w:ascii="Georgia" w:hAnsi="Georgia" w:cs="Arial"/>
                <w:sz w:val="20"/>
                <w:szCs w:val="20"/>
                <w:lang w:val="lt-LT"/>
              </w:rPr>
              <w:t>: 2012 m. verslo patalpų plotas Londone iš viso buvo 69.476.000 m</w:t>
            </w:r>
            <w:r w:rsidRPr="00AC3318">
              <w:rPr>
                <w:rFonts w:ascii="Georgia" w:hAnsi="Georgia" w:cs="Arial"/>
                <w:sz w:val="20"/>
                <w:szCs w:val="20"/>
                <w:vertAlign w:val="superscript"/>
                <w:lang w:val="lt-LT"/>
              </w:rPr>
              <w:t>2</w:t>
            </w:r>
            <w:r w:rsidRPr="00AC3318">
              <w:rPr>
                <w:rFonts w:ascii="Georgia" w:hAnsi="Georgia" w:cs="Arial"/>
                <w:sz w:val="20"/>
                <w:szCs w:val="20"/>
                <w:lang w:val="lt-LT"/>
              </w:rPr>
              <w:t>, iš kurių 16.957.000 m</w:t>
            </w:r>
            <w:r w:rsidRPr="00AC3318">
              <w:rPr>
                <w:rFonts w:ascii="Georgia" w:hAnsi="Georgia" w:cs="Arial"/>
                <w:sz w:val="20"/>
                <w:szCs w:val="20"/>
                <w:vertAlign w:val="superscript"/>
                <w:lang w:val="lt-LT"/>
              </w:rPr>
              <w:t xml:space="preserve">2 </w:t>
            </w:r>
            <w:r w:rsidRPr="00AC3318">
              <w:rPr>
                <w:rFonts w:ascii="Georgia" w:hAnsi="Georgia" w:cs="Arial"/>
                <w:sz w:val="20"/>
                <w:szCs w:val="20"/>
                <w:lang w:val="lt-LT"/>
              </w:rPr>
              <w:t>naudojami mažmeninei prekybai, 26.655.000 m</w:t>
            </w:r>
            <w:r w:rsidRPr="00AC3318">
              <w:rPr>
                <w:rFonts w:ascii="Georgia" w:hAnsi="Georgia" w:cs="Arial"/>
                <w:sz w:val="20"/>
                <w:szCs w:val="20"/>
                <w:vertAlign w:val="superscript"/>
                <w:lang w:val="lt-LT"/>
              </w:rPr>
              <w:t xml:space="preserve">2 </w:t>
            </w:r>
            <w:r w:rsidRPr="00AC3318">
              <w:rPr>
                <w:rFonts w:ascii="Georgia" w:hAnsi="Georgia" w:cs="Arial"/>
                <w:sz w:val="20"/>
                <w:szCs w:val="20"/>
                <w:lang w:val="lt-LT"/>
              </w:rPr>
              <w:t>– biurams, 21.115.000 m</w:t>
            </w:r>
            <w:r w:rsidRPr="00AC3318">
              <w:rPr>
                <w:rFonts w:ascii="Georgia" w:hAnsi="Georgia" w:cs="Arial"/>
                <w:sz w:val="20"/>
                <w:szCs w:val="20"/>
                <w:vertAlign w:val="superscript"/>
                <w:lang w:val="lt-LT"/>
              </w:rPr>
              <w:t xml:space="preserve">2 </w:t>
            </w:r>
            <w:r w:rsidRPr="00AC3318">
              <w:rPr>
                <w:rFonts w:ascii="Georgia" w:hAnsi="Georgia" w:cs="Arial"/>
                <w:sz w:val="20"/>
                <w:szCs w:val="20"/>
                <w:lang w:val="lt-LT"/>
              </w:rPr>
              <w:t>– pramoninei paskirčiai, kitoms reikmėms – 4.749</w:t>
            </w:r>
            <w:r w:rsidRPr="00AC3318">
              <w:rPr>
                <w:rStyle w:val="Puslapioinaosnuoroda"/>
                <w:rFonts w:ascii="Georgia" w:hAnsi="Georgia" w:cs="Arial"/>
                <w:sz w:val="20"/>
                <w:szCs w:val="20"/>
                <w:lang w:val="lt-LT"/>
              </w:rPr>
              <w:t xml:space="preserve">.000 </w:t>
            </w:r>
            <w:r w:rsidRPr="00AC3318">
              <w:rPr>
                <w:rFonts w:ascii="Georgia" w:hAnsi="Georgia" w:cs="Arial"/>
                <w:sz w:val="20"/>
                <w:szCs w:val="20"/>
                <w:lang w:val="lt-LT"/>
              </w:rPr>
              <w:t>m</w:t>
            </w:r>
            <w:r w:rsidRPr="00AC3318">
              <w:rPr>
                <w:rFonts w:ascii="Georgia" w:hAnsi="Georgia" w:cs="Arial"/>
                <w:sz w:val="20"/>
                <w:szCs w:val="20"/>
                <w:vertAlign w:val="superscript"/>
                <w:lang w:val="lt-LT"/>
              </w:rPr>
              <w:t xml:space="preserve">2 </w:t>
            </w:r>
            <w:r w:rsidRPr="00AC3318">
              <w:rPr>
                <w:rStyle w:val="Puslapioinaosnuoroda"/>
                <w:rFonts w:ascii="Georgia" w:hAnsi="Georgia" w:cs="Arial"/>
                <w:sz w:val="20"/>
                <w:szCs w:val="20"/>
                <w:lang w:val="lt-LT"/>
              </w:rPr>
              <w:footnoteReference w:id="202"/>
            </w:r>
            <w:r w:rsidRPr="00AC3318">
              <w:rPr>
                <w:rFonts w:ascii="Georgia" w:hAnsi="Georgia" w:cs="Arial"/>
                <w:sz w:val="20"/>
                <w:szCs w:val="20"/>
                <w:lang w:val="lt-LT"/>
              </w:rPr>
              <w:t>.</w:t>
            </w:r>
          </w:p>
          <w:p w14:paraId="01B6F3E4"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Viešasis sektorius</w:t>
            </w:r>
            <w:r w:rsidRPr="00AC3318">
              <w:rPr>
                <w:rFonts w:ascii="Georgia" w:hAnsi="Georgia" w:cs="Arial"/>
                <w:sz w:val="20"/>
                <w:szCs w:val="20"/>
                <w:lang w:val="lt-LT"/>
              </w:rPr>
              <w:t>: viešojo sektoriaus pastatų, t. y. ligoninių, mokyklų, policijos nuovadų, bibliotekų ir t. t. plotas Didžiajame Londone siekia maždaug 27.500.000 m</w:t>
            </w:r>
            <w:r w:rsidRPr="00AC3318">
              <w:rPr>
                <w:rFonts w:ascii="Georgia" w:hAnsi="Georgia" w:cs="Arial"/>
                <w:sz w:val="20"/>
                <w:szCs w:val="20"/>
                <w:vertAlign w:val="superscript"/>
                <w:lang w:val="lt-LT"/>
              </w:rPr>
              <w:t>2</w:t>
            </w:r>
            <w:r w:rsidRPr="00AC3318">
              <w:rPr>
                <w:rFonts w:ascii="Georgia" w:hAnsi="Georgia" w:cs="Arial"/>
                <w:sz w:val="20"/>
                <w:szCs w:val="20"/>
                <w:lang w:val="lt-LT"/>
              </w:rPr>
              <w:t>. Kasmet Londono viešasis sektorius išleidžia 750 mln. £ energijai.</w:t>
            </w:r>
          </w:p>
          <w:p w14:paraId="62B72E38"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Energijos efektyvumo priemonių taikymo rinka viešojo sektoriaus pastatuose Londone vertinama 5,6 mlrd. £. Pastatai turi galimybę sutaupyti vidutiniškai 20 proc. savo energijos suvartojimo ir sumažinti anglies dvideginio taršą. Įgyvendinus energijos efektyvumo priemones iki 2020 m., galima pasiekti 4,5 mlrd. £ finansinę naudą.</w:t>
            </w:r>
          </w:p>
          <w:p w14:paraId="2875039F"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Vien tik mokyklų (tiek privačių, tiek finansuojamų valdžios sektoriaus) Didžiajame Londone yra beveik trys tūkstančiai (713 vidurinių </w:t>
            </w:r>
            <w:r w:rsidRPr="00AC3318">
              <w:rPr>
                <w:rFonts w:ascii="Georgia" w:hAnsi="Georgia" w:cs="Arial"/>
                <w:sz w:val="20"/>
                <w:szCs w:val="20"/>
                <w:lang w:val="lt-LT"/>
              </w:rPr>
              <w:lastRenderedPageBreak/>
              <w:t>mokyklų ir 2.062 pradinių mokyklų). Dalis jų įsikūrusios energetiškai neefektyviuose pastatuose.</w:t>
            </w:r>
          </w:p>
          <w:p w14:paraId="2C18BD1C"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Būstas</w:t>
            </w:r>
            <w:r w:rsidRPr="00AC3318">
              <w:rPr>
                <w:rFonts w:ascii="Georgia" w:hAnsi="Georgia" w:cs="Arial"/>
                <w:sz w:val="20"/>
                <w:szCs w:val="20"/>
                <w:lang w:val="lt-LT"/>
              </w:rPr>
              <w:t>: 749.000 (21,8 proc.) namų ūkių turi savo nuosavą būstą be įsipareigojimų bankui ar kitai finansinei įstaigai, 960.000 (28,0 proc.) – įsigijusių būstą su paskola iš banko, 798.000 (23,2 proc.) – nuomoja iš vietos savivaldos institucijos ar būsto asociacijos, 64.000 (1,9 proc.) – nuomoja iš darbdavio, kitos organizacijos ar draugo, 830.000 (24,2 proc.) – nuomoja iš privataus asmens.</w:t>
            </w:r>
          </w:p>
          <w:p w14:paraId="4C1BA68D"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Butai sudaro šiek tiek daugiau nei pusę Londono būsto sektoriaus (iš kurių 38 proc. Londono būsto sektoriaus – butai (</w:t>
            </w:r>
            <w:r w:rsidRPr="00AC3318">
              <w:rPr>
                <w:rFonts w:ascii="Georgia" w:hAnsi="Georgia" w:cs="Arial"/>
                <w:i/>
                <w:sz w:val="20"/>
                <w:szCs w:val="20"/>
                <w:lang w:val="lt-LT"/>
              </w:rPr>
              <w:t>angl. purpose-built flats</w:t>
            </w:r>
            <w:r w:rsidRPr="00AC3318">
              <w:rPr>
                <w:rFonts w:ascii="Georgia" w:hAnsi="Georgia" w:cs="Arial"/>
                <w:sz w:val="20"/>
                <w:szCs w:val="20"/>
                <w:lang w:val="lt-LT"/>
              </w:rPr>
              <w:t>), patalpos, paverstos butais, ar bendri butai – 13 proc., butai komercinės paskirties pastatuose – 2 proc.), sublokuoti namai – 23 proc., namai – 24 proc.</w:t>
            </w:r>
          </w:p>
          <w:p w14:paraId="5BD13EB8"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Pastarąjį dešimtmetį Londono būsto fondas didėjo po 0,8 proc. kasmet. Naujų namų statyba atsigauna po ekonominio sunkmečio – 2012-2013 m. baigti statyti 21.900 namų, tačiau vis dar išlieka gerokai mažesnė nei 2008-2009 m. Prognozuojama, jog būsto pasiūla didės ir artimiausioje ateityje.</w:t>
            </w:r>
          </w:p>
          <w:p w14:paraId="05600E56"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Style w:val="hps"/>
                <w:rFonts w:ascii="Georgia" w:hAnsi="Georgia" w:cs="Arial"/>
                <w:color w:val="222222"/>
                <w:sz w:val="20"/>
                <w:szCs w:val="20"/>
                <w:lang w:val="lt-LT"/>
              </w:rPr>
              <w:t>Maždaug</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49.000</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naujų namų</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kiekvienais metais</w:t>
            </w:r>
            <w:r w:rsidRPr="00AC3318">
              <w:rPr>
                <w:rFonts w:ascii="Georgia" w:hAnsi="Georgia" w:cs="Arial"/>
                <w:color w:val="222222"/>
                <w:sz w:val="20"/>
                <w:szCs w:val="20"/>
                <w:lang w:val="lt-LT"/>
              </w:rPr>
              <w:t xml:space="preserve"> per </w:t>
            </w:r>
            <w:r w:rsidRPr="00AC3318">
              <w:rPr>
                <w:rStyle w:val="hps"/>
                <w:rFonts w:ascii="Georgia" w:hAnsi="Georgia" w:cs="Arial"/>
                <w:color w:val="222222"/>
                <w:sz w:val="20"/>
                <w:szCs w:val="20"/>
                <w:lang w:val="lt-LT"/>
              </w:rPr>
              <w:t>ateinančius</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du dešimtmečius turėtų</w:t>
            </w:r>
            <w:r w:rsidRPr="00AC3318">
              <w:rPr>
                <w:rFonts w:ascii="Georgia" w:hAnsi="Georgia" w:cs="Arial"/>
                <w:color w:val="222222"/>
                <w:sz w:val="20"/>
                <w:szCs w:val="20"/>
                <w:lang w:val="lt-LT"/>
              </w:rPr>
              <w:t xml:space="preserve"> būti pastatoma </w:t>
            </w:r>
            <w:r w:rsidRPr="00AC3318">
              <w:rPr>
                <w:rStyle w:val="hps"/>
                <w:rFonts w:ascii="Georgia" w:hAnsi="Georgia" w:cs="Arial"/>
                <w:color w:val="222222"/>
                <w:sz w:val="20"/>
                <w:szCs w:val="20"/>
                <w:lang w:val="lt-LT"/>
              </w:rPr>
              <w:t>Londone, kad patenkinti būsto paklausą. Tai sąlygota</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spartaus</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gyventojų skaičiaus didėjimo</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ir</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esamo</w:t>
            </w:r>
            <w:r w:rsidRPr="00AC3318">
              <w:rPr>
                <w:rFonts w:ascii="Georgia" w:hAnsi="Georgia" w:cs="Arial"/>
                <w:color w:val="222222"/>
                <w:sz w:val="20"/>
                <w:szCs w:val="20"/>
                <w:lang w:val="lt-LT"/>
              </w:rPr>
              <w:t xml:space="preserve"> </w:t>
            </w:r>
            <w:r w:rsidRPr="00AC3318">
              <w:rPr>
                <w:rStyle w:val="hps"/>
                <w:rFonts w:ascii="Georgia" w:hAnsi="Georgia" w:cs="Arial"/>
                <w:sz w:val="20"/>
                <w:szCs w:val="20"/>
                <w:lang w:val="lt-LT"/>
              </w:rPr>
              <w:t>būstų trūkumo.</w:t>
            </w:r>
          </w:p>
          <w:p w14:paraId="5112A586"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Vieši duomenys apie Londono gyvenamuosiuose pastatuose sunaudojamos energijos pasiskirstymą nėra prieinami. Pateikiama Jungtinės Karalystės statistika: iš viso 2013 m. išduoti 2,113,571 pastato energinio naudingumo sertifikatai (</w:t>
            </w:r>
            <w:r w:rsidRPr="00AC3318">
              <w:rPr>
                <w:rFonts w:ascii="Georgia" w:hAnsi="Georgia" w:cs="Arial"/>
                <w:i/>
                <w:sz w:val="20"/>
                <w:szCs w:val="20"/>
                <w:lang w:val="lt-LT"/>
              </w:rPr>
              <w:t>angl. Energy Performance Certificate</w:t>
            </w:r>
            <w:r w:rsidRPr="00AC3318">
              <w:rPr>
                <w:rFonts w:ascii="Georgia" w:hAnsi="Georgia" w:cs="Arial"/>
                <w:sz w:val="20"/>
                <w:szCs w:val="20"/>
                <w:lang w:val="lt-LT"/>
              </w:rPr>
              <w:t>), iš kurių 2.034.232 gyvenamiesiems namams, 7 proc. kurių buvo priskirti A ar B energetinei klasei, 70 proc. – C ar D, 23 proc. – E, F ar G pagal kuro sąnaudas. Pagal CO</w:t>
            </w:r>
            <w:r w:rsidRPr="00AC3318">
              <w:rPr>
                <w:rFonts w:ascii="Georgia" w:hAnsi="Georgia" w:cs="Arial"/>
                <w:sz w:val="20"/>
                <w:szCs w:val="20"/>
                <w:vertAlign w:val="subscript"/>
                <w:lang w:val="lt-LT"/>
              </w:rPr>
              <w:t>2</w:t>
            </w:r>
            <w:r w:rsidRPr="00AC3318">
              <w:rPr>
                <w:rFonts w:ascii="Georgia" w:hAnsi="Georgia" w:cs="Arial"/>
                <w:sz w:val="20"/>
                <w:szCs w:val="20"/>
                <w:lang w:val="lt-LT"/>
              </w:rPr>
              <w:t xml:space="preserve"> emisiją 9 proc. buvo priskirti A ar B energetinei klasei, 57 proc. – C ar D, 34 proc. – E, F ar G.</w:t>
            </w:r>
          </w:p>
          <w:p w14:paraId="5364ECEE"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ESCO rinka</w:t>
            </w:r>
            <w:r w:rsidRPr="00AC3318">
              <w:rPr>
                <w:rFonts w:ascii="Georgia" w:hAnsi="Georgia" w:cs="Arial"/>
                <w:sz w:val="20"/>
                <w:szCs w:val="20"/>
                <w:lang w:val="lt-LT"/>
              </w:rPr>
              <w:t>: energijos paslaugų rinka Jungtinėje Karalystėje yra viena brandžiausių, turinti santykinai ilgą istoriją. 2013 m. Jungtinėje Karalystėje veikė 30-50 ESCO įmonių. Didelis įmonių skaičiaus augimas stebimas nuo 2009 m. Šiuo laikotarpiu atsirado maždaug 20 naujų įmonių. Tai sąlygota didėjančio vartotojų energijos naudojimo sąmoningumo, taip pat spaudimo mažinti išlaidas bei teisinių pokyčių, kurie reikalauja energijos paklausos mažinimo visuose sektoriuose, ir skatinamųjų priemonių.</w:t>
            </w:r>
          </w:p>
          <w:p w14:paraId="61E24BD6"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Pagrindiniai rinkos žaidėjai vis dar yra dideli tarptautiniai pastatų automatizavimo ir kontrolės sistemų gamintojai, energijos paslaugų ir tiekimo įmonės. Infrastruktūros valdymo įmonės užima svarbią rinkos dalį, pastaraisiais metais daugėja statybos ir nekilnojamojo turto įmonių bei mažesnių konsultacinių ir specializuotų ESCO įmonių </w:t>
            </w:r>
          </w:p>
          <w:p w14:paraId="418447BB"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Šaltiniai: Housing in London, The evidence base for the Mayor’s Housing Strategy, Mayor of London; Department for communities and Local Governments, Energy Performance of Buildings Certificates: Statistics Release Q1 2008 to Q4 2013 England and Wales, Energy Efficiency Experimental Official Statistics Release 30 April 2014; The London Energy Efficiency Fund, The LBEG, 12December 2013.</w:t>
            </w:r>
          </w:p>
        </w:tc>
      </w:tr>
      <w:tr w:rsidR="00467B8E" w:rsidRPr="003736DD" w14:paraId="5DA6778D" w14:textId="77777777"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14:paraId="1933E455" w14:textId="77777777" w:rsidR="00467B8E" w:rsidRPr="00AC3318" w:rsidRDefault="00467B8E" w:rsidP="00C307BC">
            <w:pPr>
              <w:rPr>
                <w:rFonts w:ascii="Georgia" w:hAnsi="Georgia"/>
                <w:b w:val="0"/>
                <w:sz w:val="20"/>
                <w:szCs w:val="20"/>
                <w:lang w:val="lt-LT"/>
              </w:rPr>
            </w:pPr>
            <w:r w:rsidRPr="00AC3318">
              <w:rPr>
                <w:rFonts w:ascii="Georgia" w:hAnsi="Georgia"/>
                <w:sz w:val="20"/>
                <w:szCs w:val="20"/>
                <w:lang w:val="lt-LT"/>
              </w:rPr>
              <w:lastRenderedPageBreak/>
              <w:t>4.</w:t>
            </w:r>
          </w:p>
        </w:tc>
        <w:tc>
          <w:tcPr>
            <w:tcW w:w="1188" w:type="pct"/>
          </w:tcPr>
          <w:p w14:paraId="76CB5762" w14:textId="77777777" w:rsidR="00467B8E" w:rsidRPr="00AC3318" w:rsidRDefault="00467B8E" w:rsidP="00C307BC">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Finansinio produkto aprašymas</w:t>
            </w:r>
          </w:p>
        </w:tc>
        <w:tc>
          <w:tcPr>
            <w:tcW w:w="3485" w:type="pct"/>
          </w:tcPr>
          <w:p w14:paraId="71E447E1" w14:textId="77777777" w:rsidR="00467B8E" w:rsidRPr="00AC3318" w:rsidRDefault="00467B8E" w:rsidP="00C307BC">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p>
        </w:tc>
      </w:tr>
      <w:tr w:rsidR="00467B8E" w:rsidRPr="003736DD" w14:paraId="16609C92" w14:textId="77777777" w:rsidTr="00467B8E">
        <w:tc>
          <w:tcPr>
            <w:cnfStyle w:val="001000000000" w:firstRow="0" w:lastRow="0" w:firstColumn="1" w:lastColumn="0" w:oddVBand="0" w:evenVBand="0" w:oddHBand="0" w:evenHBand="0" w:firstRowFirstColumn="0" w:firstRowLastColumn="0" w:lastRowFirstColumn="0" w:lastRowLastColumn="0"/>
            <w:tcW w:w="326" w:type="pct"/>
          </w:tcPr>
          <w:p w14:paraId="56453CF4" w14:textId="77777777" w:rsidR="00467B8E" w:rsidRPr="00AC3318" w:rsidRDefault="00467B8E" w:rsidP="00C307BC">
            <w:pPr>
              <w:rPr>
                <w:rFonts w:ascii="Georgia" w:hAnsi="Georgia"/>
                <w:b w:val="0"/>
                <w:sz w:val="20"/>
                <w:szCs w:val="20"/>
                <w:lang w:val="lt-LT"/>
              </w:rPr>
            </w:pPr>
            <w:r w:rsidRPr="00AC3318">
              <w:rPr>
                <w:rFonts w:ascii="Georgia" w:hAnsi="Georgia"/>
                <w:sz w:val="20"/>
                <w:szCs w:val="20"/>
                <w:lang w:val="lt-LT"/>
              </w:rPr>
              <w:t>4.1.</w:t>
            </w:r>
          </w:p>
        </w:tc>
        <w:tc>
          <w:tcPr>
            <w:tcW w:w="1188" w:type="pct"/>
          </w:tcPr>
          <w:p w14:paraId="39404996" w14:textId="77777777" w:rsidR="00467B8E" w:rsidRPr="00AC3318" w:rsidRDefault="00467B8E" w:rsidP="00C307BC">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Finansinio produkto tipas</w:t>
            </w:r>
          </w:p>
        </w:tc>
        <w:tc>
          <w:tcPr>
            <w:tcW w:w="3485" w:type="pct"/>
          </w:tcPr>
          <w:p w14:paraId="7253DD60" w14:textId="77777777" w:rsidR="00467B8E" w:rsidRPr="00AC3318" w:rsidRDefault="00467B8E" w:rsidP="00C307BC">
            <w:pPr>
              <w:pStyle w:val="Sraopastraipa"/>
              <w:ind w:hanging="720"/>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Paskolos (išskirtiniais atvejais gali būti investuojamas ir kapitalas)</w:t>
            </w:r>
          </w:p>
        </w:tc>
      </w:tr>
      <w:tr w:rsidR="00467B8E" w:rsidRPr="003736DD" w14:paraId="4D32584D" w14:textId="77777777" w:rsidTr="00467B8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26" w:type="pct"/>
          </w:tcPr>
          <w:p w14:paraId="136347B6" w14:textId="77777777" w:rsidR="00467B8E" w:rsidRPr="00AC3318" w:rsidRDefault="00467B8E" w:rsidP="00C307BC">
            <w:pPr>
              <w:rPr>
                <w:rFonts w:ascii="Georgia" w:hAnsi="Georgia"/>
                <w:b w:val="0"/>
                <w:sz w:val="20"/>
                <w:szCs w:val="20"/>
                <w:lang w:val="lt-LT"/>
              </w:rPr>
            </w:pPr>
            <w:r w:rsidRPr="00AC3318">
              <w:rPr>
                <w:rFonts w:ascii="Georgia" w:hAnsi="Georgia"/>
                <w:sz w:val="20"/>
                <w:szCs w:val="20"/>
                <w:lang w:val="lt-LT"/>
              </w:rPr>
              <w:t>4.2.</w:t>
            </w:r>
          </w:p>
        </w:tc>
        <w:tc>
          <w:tcPr>
            <w:tcW w:w="1188" w:type="pct"/>
          </w:tcPr>
          <w:p w14:paraId="62C2CD35" w14:textId="77777777" w:rsidR="00467B8E" w:rsidRPr="00AC3318" w:rsidRDefault="00467B8E" w:rsidP="00C307BC">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Finansinio produkto sąlygos</w:t>
            </w:r>
          </w:p>
        </w:tc>
        <w:tc>
          <w:tcPr>
            <w:tcW w:w="3485" w:type="pct"/>
          </w:tcPr>
          <w:p w14:paraId="66475E04" w14:textId="77777777" w:rsidR="00467B8E" w:rsidRPr="00AC3318" w:rsidRDefault="00467B8E" w:rsidP="00C307BC">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Reikalavimai turiniui</w:t>
            </w:r>
            <w:r w:rsidRPr="00AC3318">
              <w:rPr>
                <w:rFonts w:ascii="Georgia" w:hAnsi="Georgia" w:cs="Arial"/>
                <w:sz w:val="20"/>
                <w:szCs w:val="20"/>
                <w:lang w:val="lt-LT"/>
              </w:rPr>
              <w:t xml:space="preserve">: projektai, kuriems LEEF suteikia finansavimą, turi prisidėti prie bendro fondo tikslo mažinti anglies dvideginio </w:t>
            </w:r>
            <w:r w:rsidRPr="00AC3318">
              <w:rPr>
                <w:rFonts w:ascii="Georgia" w:hAnsi="Georgia" w:cs="Arial"/>
                <w:sz w:val="20"/>
                <w:szCs w:val="20"/>
                <w:lang w:val="lt-LT"/>
              </w:rPr>
              <w:lastRenderedPageBreak/>
              <w:t xml:space="preserve">emisiją. Be to, kiekvienas projektas privalo: </w:t>
            </w:r>
          </w:p>
          <w:p w14:paraId="5AEEB1A4" w14:textId="77777777" w:rsidR="00467B8E" w:rsidRPr="00AC3318" w:rsidRDefault="00467B8E" w:rsidP="00C03122">
            <w:pPr>
              <w:pStyle w:val="Sraopastraipa"/>
              <w:numPr>
                <w:ilvl w:val="0"/>
                <w:numId w:val="18"/>
              </w:num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sutaupyti mažiausiai 20 proc. energijos lyginant su situacija iki projekto įgyvendinimo;</w:t>
            </w:r>
          </w:p>
          <w:p w14:paraId="1221D9E4" w14:textId="77777777" w:rsidR="00467B8E" w:rsidRPr="00AC3318" w:rsidRDefault="00467B8E" w:rsidP="00C03122">
            <w:pPr>
              <w:pStyle w:val="Sraopastraipa"/>
              <w:numPr>
                <w:ilvl w:val="0"/>
                <w:numId w:val="18"/>
              </w:num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sumažinti metinį anglies dvideginio kiekį bent viena CO</w:t>
            </w:r>
            <w:r w:rsidRPr="00AC3318">
              <w:rPr>
                <w:rFonts w:ascii="Georgia" w:hAnsi="Georgia" w:cs="Arial"/>
                <w:sz w:val="20"/>
                <w:szCs w:val="20"/>
                <w:vertAlign w:val="subscript"/>
                <w:lang w:val="lt-LT"/>
              </w:rPr>
              <w:t>2</w:t>
            </w:r>
            <w:r w:rsidRPr="00AC3318">
              <w:rPr>
                <w:rFonts w:ascii="Georgia" w:hAnsi="Georgia" w:cs="Arial"/>
                <w:sz w:val="20"/>
                <w:szCs w:val="20"/>
                <w:lang w:val="lt-LT"/>
              </w:rPr>
              <w:t xml:space="preserve"> tona už 5.000 £ investicijų.</w:t>
            </w:r>
          </w:p>
          <w:p w14:paraId="37B0B63A" w14:textId="77777777"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LEEF finansuoja pastatų energijos efektyvumo didinimo priemones (pvz., liftų atnaujinimą, sienų ir/ar stogo apšiltinimą, vandentiekio atnaujinimą ir pan.). LEEF taip pat remia universitetų miestelių šildymo sistemas ir energetikos decentralizavimo projektus.</w:t>
            </w:r>
          </w:p>
          <w:p w14:paraId="114BA3F8" w14:textId="77777777"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Taip pat projektai turi atitikti Londono mero planą ir Londono kovos su klimato kaita bei energetikos strategiją.</w:t>
            </w:r>
          </w:p>
          <w:p w14:paraId="1DDE0CDB" w14:textId="77777777"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Finansinės sąlygos</w:t>
            </w:r>
            <w:r w:rsidRPr="00AC3318">
              <w:rPr>
                <w:rFonts w:ascii="Georgia" w:hAnsi="Georgia" w:cs="Arial"/>
                <w:sz w:val="20"/>
                <w:szCs w:val="20"/>
                <w:lang w:val="lt-LT"/>
              </w:rPr>
              <w:t xml:space="preserve">: 2014 balandžio mėn. LEEF siūlė paskolas iki 10 metų laikotarpiui už 1,65 proc. metines palūkanas. Fondo </w:t>
            </w:r>
            <w:r w:rsidRPr="00AC3318">
              <w:rPr>
                <w:rStyle w:val="hps"/>
                <w:rFonts w:ascii="Georgia" w:hAnsi="Georgia" w:cs="Arial"/>
                <w:sz w:val="20"/>
                <w:szCs w:val="20"/>
                <w:lang w:val="lt-LT"/>
              </w:rPr>
              <w:t>paskolų</w:t>
            </w:r>
            <w:r w:rsidRPr="00AC3318">
              <w:rPr>
                <w:rFonts w:ascii="Georgia" w:hAnsi="Georgia" w:cs="Arial"/>
                <w:sz w:val="20"/>
                <w:szCs w:val="20"/>
                <w:lang w:val="lt-LT"/>
              </w:rPr>
              <w:t xml:space="preserve"> </w:t>
            </w:r>
            <w:r w:rsidRPr="00AC3318">
              <w:rPr>
                <w:rStyle w:val="hps"/>
                <w:rFonts w:ascii="Georgia" w:hAnsi="Georgia" w:cs="Arial"/>
                <w:sz w:val="20"/>
                <w:szCs w:val="20"/>
                <w:lang w:val="lt-LT"/>
              </w:rPr>
              <w:t>kaina</w:t>
            </w:r>
            <w:r w:rsidRPr="00AC3318">
              <w:rPr>
                <w:rFonts w:ascii="Georgia" w:hAnsi="Georgia" w:cs="Arial"/>
                <w:sz w:val="20"/>
                <w:szCs w:val="20"/>
                <w:lang w:val="lt-LT"/>
              </w:rPr>
              <w:t xml:space="preserve"> </w:t>
            </w:r>
            <w:r w:rsidRPr="00AC3318">
              <w:rPr>
                <w:rStyle w:val="hps"/>
                <w:rFonts w:ascii="Georgia" w:hAnsi="Georgia" w:cs="Arial"/>
                <w:sz w:val="20"/>
                <w:szCs w:val="20"/>
                <w:lang w:val="lt-LT"/>
              </w:rPr>
              <w:t>priklauso nuo potencialaus skolininko kredito</w:t>
            </w:r>
            <w:r w:rsidRPr="00AC3318">
              <w:rPr>
                <w:rFonts w:ascii="Georgia" w:hAnsi="Georgia" w:cs="Arial"/>
                <w:sz w:val="20"/>
                <w:szCs w:val="20"/>
                <w:lang w:val="lt-LT"/>
              </w:rPr>
              <w:t xml:space="preserve"> </w:t>
            </w:r>
            <w:r w:rsidRPr="00AC3318">
              <w:rPr>
                <w:rStyle w:val="hps"/>
                <w:rFonts w:ascii="Georgia" w:hAnsi="Georgia" w:cs="Arial"/>
                <w:sz w:val="20"/>
                <w:szCs w:val="20"/>
                <w:lang w:val="lt-LT"/>
              </w:rPr>
              <w:t>reitingo</w:t>
            </w:r>
            <w:r w:rsidRPr="00AC3318">
              <w:rPr>
                <w:rFonts w:ascii="Georgia" w:hAnsi="Georgia" w:cs="Arial"/>
                <w:sz w:val="20"/>
                <w:szCs w:val="20"/>
                <w:lang w:val="lt-LT"/>
              </w:rPr>
              <w:t xml:space="preserve"> bei garantijos sumos ir saugumo lygio. Fondas siekia </w:t>
            </w:r>
            <w:r w:rsidRPr="00AC3318">
              <w:rPr>
                <w:rStyle w:val="hps"/>
                <w:rFonts w:ascii="Georgia" w:hAnsi="Georgia" w:cs="Arial"/>
                <w:sz w:val="20"/>
                <w:szCs w:val="20"/>
                <w:lang w:val="lt-LT"/>
              </w:rPr>
              <w:t>sandorį</w:t>
            </w:r>
            <w:r w:rsidRPr="00AC3318">
              <w:rPr>
                <w:rFonts w:ascii="Georgia" w:hAnsi="Georgia" w:cs="Arial"/>
                <w:sz w:val="20"/>
                <w:szCs w:val="20"/>
                <w:lang w:val="lt-LT"/>
              </w:rPr>
              <w:t xml:space="preserve"> </w:t>
            </w:r>
            <w:r w:rsidRPr="00AC3318">
              <w:rPr>
                <w:rStyle w:val="hps"/>
                <w:rFonts w:ascii="Georgia" w:hAnsi="Georgia" w:cs="Arial"/>
                <w:sz w:val="20"/>
                <w:szCs w:val="20"/>
                <w:lang w:val="lt-LT"/>
              </w:rPr>
              <w:t>struktūrizuoti</w:t>
            </w:r>
            <w:r w:rsidRPr="00AC3318">
              <w:rPr>
                <w:rFonts w:ascii="Georgia" w:hAnsi="Georgia" w:cs="Arial"/>
                <w:sz w:val="20"/>
                <w:szCs w:val="20"/>
                <w:lang w:val="lt-LT"/>
              </w:rPr>
              <w:t xml:space="preserve"> </w:t>
            </w:r>
            <w:r w:rsidRPr="00AC3318">
              <w:rPr>
                <w:rStyle w:val="hps"/>
                <w:rFonts w:ascii="Georgia" w:hAnsi="Georgia" w:cs="Arial"/>
                <w:sz w:val="20"/>
                <w:szCs w:val="20"/>
                <w:lang w:val="lt-LT"/>
              </w:rPr>
              <w:t>taip, kad</w:t>
            </w:r>
            <w:r w:rsidRPr="00AC3318">
              <w:rPr>
                <w:rFonts w:ascii="Georgia" w:hAnsi="Georgia" w:cs="Arial"/>
                <w:sz w:val="20"/>
                <w:szCs w:val="20"/>
                <w:lang w:val="lt-LT"/>
              </w:rPr>
              <w:t xml:space="preserve"> </w:t>
            </w:r>
            <w:r w:rsidRPr="00AC3318">
              <w:rPr>
                <w:rStyle w:val="hps"/>
                <w:rFonts w:ascii="Georgia" w:hAnsi="Georgia" w:cs="Arial"/>
                <w:sz w:val="20"/>
                <w:szCs w:val="20"/>
                <w:lang w:val="lt-LT"/>
              </w:rPr>
              <w:t>galėtų pasiūlyti konkurencingą palūkanų</w:t>
            </w:r>
            <w:r w:rsidRPr="00AC3318">
              <w:rPr>
                <w:rFonts w:ascii="Georgia" w:hAnsi="Georgia" w:cs="Arial"/>
                <w:sz w:val="20"/>
                <w:szCs w:val="20"/>
                <w:lang w:val="lt-LT"/>
              </w:rPr>
              <w:t xml:space="preserve"> </w:t>
            </w:r>
            <w:r w:rsidRPr="00AC3318">
              <w:rPr>
                <w:rStyle w:val="hps"/>
                <w:rFonts w:ascii="Georgia" w:hAnsi="Georgia" w:cs="Arial"/>
                <w:sz w:val="20"/>
                <w:szCs w:val="20"/>
                <w:lang w:val="lt-LT"/>
              </w:rPr>
              <w:t>normą</w:t>
            </w:r>
            <w:r w:rsidRPr="00AC3318">
              <w:rPr>
                <w:rFonts w:ascii="Georgia" w:hAnsi="Georgia" w:cs="Arial"/>
                <w:sz w:val="20"/>
                <w:szCs w:val="20"/>
                <w:lang w:val="lt-LT"/>
              </w:rPr>
              <w:t>.</w:t>
            </w:r>
          </w:p>
          <w:p w14:paraId="6A9FE407" w14:textId="77777777"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Paprastai fondas orientuojasi į 3-10 mln. £ dydžio investicijas (minimalus finansavimo dydis 1 mln. £, o maksimalus - 20 mln. £ vienam projektui). Taip pat fondas skatina projektų plėtotojus apsvarstyti, kaip geriausia pasiekti masto ekonomiją, pavyzdžiui, apjungiant į vieną projektą keletą pastatų ar grupuojant projektus. Kiekvienas projektas vertinamas individualiai.</w:t>
            </w:r>
          </w:p>
          <w:p w14:paraId="12FBE2C5" w14:textId="77777777"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LEEF siūlo lanksčius lėšų išmokėjimo ir grąžinimo grafikus, kurie leidžia skolininkui suderinti mokėjimus su išlaidų ir pajamų srautais: todėl projektai įplaukų požiūriu skolininkui gali būti neutralūs arba generuoti teigiamą grynųjų pinigų srautą. Išankstinio kredito grąžinimo nuobaudos gali būti netaikomos.</w:t>
            </w:r>
          </w:p>
          <w:p w14:paraId="64376D91" w14:textId="77777777"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Fondas gali suteikti iki 100 proc. pirmaeilės (privilegijuotosios) paskolos finansavimą projektui, jei yra pateikiamos reikalaujamos ir tinkamos garantijos. Fondas teikia grąžintiną investicijų finansavimą, todėl paskola turi būti grąžinta visa kartu su palūkanomis. Fondas negali teikti subsidijų.</w:t>
            </w:r>
          </w:p>
          <w:p w14:paraId="3D7330E3" w14:textId="77777777"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Nėra nustatytas reikalavimas projekto atsipirkimo laikotarpio trukmei, tačiau fondas daugiausia dėmesio skiria trumpalaikės plėtros ir vidutinės trukmės (5-10 metų) paskoloms, atitinkančioms numatomą atsipirkimo laiką. Ilgesnės trukmės paskolų galimybės vertinamos kiekvienu konkrečiu atveju.</w:t>
            </w:r>
          </w:p>
          <w:p w14:paraId="07274CCF" w14:textId="77777777"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Tinkama teritorija</w:t>
            </w:r>
            <w:r w:rsidRPr="00AC3318">
              <w:rPr>
                <w:rFonts w:ascii="Georgia" w:hAnsi="Georgia" w:cs="Arial"/>
                <w:sz w:val="20"/>
                <w:szCs w:val="20"/>
                <w:lang w:val="lt-LT"/>
              </w:rPr>
              <w:t xml:space="preserve">: LEEF finansuoja projektus 33 Didžiojo Londono rajonuose (angl. </w:t>
            </w:r>
            <w:r w:rsidRPr="00AC3318">
              <w:rPr>
                <w:rFonts w:ascii="Georgia" w:hAnsi="Georgia" w:cs="Arial"/>
                <w:i/>
                <w:sz w:val="20"/>
                <w:szCs w:val="20"/>
                <w:lang w:val="lt-LT"/>
              </w:rPr>
              <w:t>London Boroughs</w:t>
            </w:r>
            <w:r w:rsidRPr="00AC3318">
              <w:rPr>
                <w:rFonts w:ascii="Georgia" w:hAnsi="Georgia" w:cs="Arial"/>
                <w:sz w:val="20"/>
                <w:szCs w:val="20"/>
                <w:lang w:val="lt-LT"/>
              </w:rPr>
              <w:t>) (maždaug 8 mln. gyventojų).</w:t>
            </w:r>
          </w:p>
          <w:p w14:paraId="09BA5A99" w14:textId="77777777" w:rsidR="00467B8E" w:rsidRPr="00AC3318" w:rsidRDefault="00467B8E" w:rsidP="00C307BC">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Kiti reikalavimai, nuostatos</w:t>
            </w:r>
            <w:r w:rsidRPr="00AC3318">
              <w:rPr>
                <w:rFonts w:ascii="Georgia" w:hAnsi="Georgia" w:cs="Arial"/>
                <w:sz w:val="20"/>
                <w:szCs w:val="20"/>
                <w:lang w:val="lt-LT"/>
              </w:rPr>
              <w:t xml:space="preserve">: Projektai turi laikytis ERPF lėšoms taikomų reikalavimų. Projektų paraiškos priimamos ir vertinamos tęstinio kvietimo teikti paraiškas būdu. </w:t>
            </w:r>
          </w:p>
        </w:tc>
      </w:tr>
      <w:tr w:rsidR="00467B8E" w:rsidRPr="003736DD" w14:paraId="5BB0DF85" w14:textId="77777777" w:rsidTr="00467B8E">
        <w:tc>
          <w:tcPr>
            <w:cnfStyle w:val="001000000000" w:firstRow="0" w:lastRow="0" w:firstColumn="1" w:lastColumn="0" w:oddVBand="0" w:evenVBand="0" w:oddHBand="0" w:evenHBand="0" w:firstRowFirstColumn="0" w:firstRowLastColumn="0" w:lastRowFirstColumn="0" w:lastRowLastColumn="0"/>
            <w:tcW w:w="326" w:type="pct"/>
          </w:tcPr>
          <w:p w14:paraId="1F726F12" w14:textId="77777777" w:rsidR="00467B8E" w:rsidRPr="00AC3318" w:rsidRDefault="00467B8E" w:rsidP="00C307BC">
            <w:pPr>
              <w:rPr>
                <w:rFonts w:ascii="Georgia" w:hAnsi="Georgia"/>
                <w:b w:val="0"/>
                <w:sz w:val="20"/>
                <w:szCs w:val="20"/>
                <w:lang w:val="lt-LT"/>
              </w:rPr>
            </w:pPr>
            <w:r w:rsidRPr="00AC3318">
              <w:rPr>
                <w:rFonts w:ascii="Georgia" w:hAnsi="Georgia"/>
                <w:sz w:val="20"/>
                <w:szCs w:val="20"/>
                <w:lang w:val="lt-LT"/>
              </w:rPr>
              <w:lastRenderedPageBreak/>
              <w:t>5.</w:t>
            </w:r>
          </w:p>
        </w:tc>
        <w:tc>
          <w:tcPr>
            <w:tcW w:w="1188" w:type="pct"/>
          </w:tcPr>
          <w:p w14:paraId="041BCB00" w14:textId="77777777" w:rsidR="00467B8E" w:rsidRPr="00AC3318" w:rsidRDefault="00467B8E" w:rsidP="00C307BC">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Galutiniai naudos gavėjai</w:t>
            </w:r>
          </w:p>
        </w:tc>
        <w:tc>
          <w:tcPr>
            <w:tcW w:w="3485" w:type="pct"/>
          </w:tcPr>
          <w:p w14:paraId="39478116" w14:textId="77777777" w:rsidR="00467B8E" w:rsidRPr="00AC3318" w:rsidRDefault="00467B8E" w:rsidP="00C03122">
            <w:pPr>
              <w:pStyle w:val="Sraopastraipa"/>
              <w:numPr>
                <w:ilvl w:val="0"/>
                <w:numId w:val="20"/>
              </w:numPr>
              <w:spacing w:after="120"/>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viešojo sektoriaus organizacijos, pvz., vietos savivaldos institucijos, universitetai;</w:t>
            </w:r>
          </w:p>
          <w:p w14:paraId="07300AC7" w14:textId="77777777" w:rsidR="00467B8E" w:rsidRPr="00AC3318" w:rsidRDefault="00467B8E" w:rsidP="00C03122">
            <w:pPr>
              <w:pStyle w:val="Sraopastraipa"/>
              <w:numPr>
                <w:ilvl w:val="0"/>
                <w:numId w:val="20"/>
              </w:numPr>
              <w:spacing w:after="120"/>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privatus sektorius, pvz., ESCO, statybų rangovai, patalpų savininkai;</w:t>
            </w:r>
          </w:p>
          <w:p w14:paraId="591A2957" w14:textId="77777777" w:rsidR="00467B8E" w:rsidRPr="00AC3318" w:rsidRDefault="00467B8E" w:rsidP="00C307BC">
            <w:p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Taip pat LEEF gali investuoti į bendrų įmonių (</w:t>
            </w:r>
            <w:r w:rsidRPr="00AC3318">
              <w:rPr>
                <w:rFonts w:ascii="Georgia" w:hAnsi="Georgia" w:cs="Arial"/>
                <w:i/>
                <w:sz w:val="20"/>
                <w:szCs w:val="20"/>
                <w:lang w:val="lt-LT"/>
              </w:rPr>
              <w:t>angl. Joint Venture</w:t>
            </w:r>
            <w:r w:rsidRPr="00AC3318">
              <w:rPr>
                <w:rFonts w:ascii="Georgia" w:hAnsi="Georgia" w:cs="Arial"/>
                <w:sz w:val="20"/>
                <w:szCs w:val="20"/>
                <w:lang w:val="lt-LT"/>
              </w:rPr>
              <w:t>), specialios paskirties įmonių valdomus projektus, įgyvendinamus valdžios ir privataus sektorių partnerystės būdu.</w:t>
            </w:r>
          </w:p>
        </w:tc>
      </w:tr>
      <w:tr w:rsidR="00467B8E" w:rsidRPr="003736DD" w14:paraId="53246AF3" w14:textId="77777777"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14:paraId="2B7BE741" w14:textId="77777777" w:rsidR="00467B8E" w:rsidRPr="00AC3318" w:rsidRDefault="00467B8E" w:rsidP="00C307BC">
            <w:pPr>
              <w:rPr>
                <w:rFonts w:ascii="Georgia" w:hAnsi="Georgia"/>
                <w:b w:val="0"/>
                <w:sz w:val="20"/>
                <w:szCs w:val="20"/>
                <w:lang w:val="lt-LT"/>
              </w:rPr>
            </w:pPr>
            <w:r w:rsidRPr="00AC3318">
              <w:rPr>
                <w:rFonts w:ascii="Georgia" w:hAnsi="Georgia"/>
                <w:sz w:val="20"/>
                <w:szCs w:val="20"/>
                <w:lang w:val="lt-LT"/>
              </w:rPr>
              <w:t>6.</w:t>
            </w:r>
          </w:p>
        </w:tc>
        <w:tc>
          <w:tcPr>
            <w:tcW w:w="1188" w:type="pct"/>
          </w:tcPr>
          <w:p w14:paraId="4B637EB5" w14:textId="77777777" w:rsidR="00467B8E" w:rsidRPr="00AC3318" w:rsidRDefault="00467B8E" w:rsidP="00C307BC">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Įgyvendinančios institucijos</w:t>
            </w:r>
          </w:p>
        </w:tc>
        <w:tc>
          <w:tcPr>
            <w:tcW w:w="3485" w:type="pct"/>
          </w:tcPr>
          <w:p w14:paraId="4300B447" w14:textId="77777777"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w:t>
            </w:r>
            <w:r w:rsidRPr="00AC3318">
              <w:rPr>
                <w:rFonts w:ascii="Georgia" w:hAnsi="Georgia" w:cs="Arial"/>
                <w:i/>
                <w:sz w:val="20"/>
                <w:szCs w:val="20"/>
                <w:lang w:val="lt-LT"/>
              </w:rPr>
              <w:t>Royal Bank of Scotland</w:t>
            </w:r>
            <w:r w:rsidRPr="00AC3318">
              <w:rPr>
                <w:rFonts w:ascii="Georgia" w:hAnsi="Georgia" w:cs="Arial"/>
                <w:sz w:val="20"/>
                <w:szCs w:val="20"/>
                <w:lang w:val="lt-LT"/>
              </w:rPr>
              <w:t>“ (RBS) yra vienas iš „</w:t>
            </w:r>
            <w:r w:rsidRPr="00AC3318">
              <w:rPr>
                <w:rFonts w:ascii="Georgia" w:hAnsi="Georgia" w:cs="Arial"/>
                <w:i/>
                <w:sz w:val="20"/>
                <w:szCs w:val="20"/>
                <w:lang w:val="lt-LT"/>
              </w:rPr>
              <w:t>Royal Bank of Scotland Group</w:t>
            </w:r>
            <w:r w:rsidRPr="00AC3318">
              <w:rPr>
                <w:rFonts w:ascii="Georgia" w:hAnsi="Georgia" w:cs="Arial"/>
                <w:sz w:val="20"/>
                <w:szCs w:val="20"/>
                <w:lang w:val="lt-LT"/>
              </w:rPr>
              <w:t xml:space="preserve">“ mažmeninės bankininkystės dukterinių bankų kartu su </w:t>
            </w:r>
            <w:r w:rsidRPr="00AC3318">
              <w:rPr>
                <w:rFonts w:ascii="Georgia" w:hAnsi="Georgia" w:cs="Arial"/>
                <w:i/>
                <w:sz w:val="20"/>
                <w:szCs w:val="20"/>
                <w:lang w:val="lt-LT"/>
              </w:rPr>
              <w:t>NatWest</w:t>
            </w:r>
            <w:r w:rsidRPr="00AC3318">
              <w:rPr>
                <w:rFonts w:ascii="Georgia" w:hAnsi="Georgia" w:cs="Arial"/>
                <w:sz w:val="20"/>
                <w:szCs w:val="20"/>
                <w:lang w:val="lt-LT"/>
              </w:rPr>
              <w:t xml:space="preserve"> ir </w:t>
            </w:r>
            <w:r w:rsidRPr="00AC3318">
              <w:rPr>
                <w:rFonts w:ascii="Georgia" w:hAnsi="Georgia" w:cs="Arial"/>
                <w:i/>
                <w:sz w:val="20"/>
                <w:szCs w:val="20"/>
                <w:lang w:val="lt-LT"/>
              </w:rPr>
              <w:t>Ulster</w:t>
            </w:r>
            <w:r w:rsidRPr="00AC3318">
              <w:rPr>
                <w:rFonts w:ascii="Georgia" w:hAnsi="Georgia" w:cs="Arial"/>
                <w:sz w:val="20"/>
                <w:szCs w:val="20"/>
                <w:lang w:val="lt-LT"/>
              </w:rPr>
              <w:t xml:space="preserve"> bankais. RBS teikia bankininkystės paslaugas visoje Jungtinėje Karalystėje ir Airijoje. RBS turi apie 700 filialų, daugiausia Škotijoje.</w:t>
            </w:r>
          </w:p>
          <w:p w14:paraId="0D10EF6C" w14:textId="77777777"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lastRenderedPageBreak/>
              <w:t>Amber Infrastructure</w:t>
            </w:r>
            <w:r w:rsidRPr="00AC3318">
              <w:rPr>
                <w:rFonts w:ascii="Georgia" w:hAnsi="Georgia" w:cs="Arial"/>
                <w:sz w:val="20"/>
                <w:szCs w:val="20"/>
                <w:lang w:val="lt-LT"/>
              </w:rPr>
              <w:t xml:space="preserve"> </w:t>
            </w:r>
            <w:r w:rsidRPr="00AC3318">
              <w:rPr>
                <w:rFonts w:ascii="Georgia" w:hAnsi="Georgia" w:cs="Arial"/>
                <w:i/>
                <w:sz w:val="20"/>
                <w:szCs w:val="20"/>
                <w:lang w:val="lt-LT"/>
              </w:rPr>
              <w:t xml:space="preserve">Ltd </w:t>
            </w:r>
            <w:r w:rsidRPr="00AC3318">
              <w:rPr>
                <w:rFonts w:ascii="Georgia" w:hAnsi="Georgia" w:cs="Arial"/>
                <w:sz w:val="20"/>
                <w:szCs w:val="20"/>
                <w:lang w:val="lt-LT"/>
              </w:rPr>
              <w:t>grupė („</w:t>
            </w:r>
            <w:r w:rsidRPr="00AC3318">
              <w:rPr>
                <w:rFonts w:ascii="Georgia" w:hAnsi="Georgia" w:cs="Arial"/>
                <w:i/>
                <w:sz w:val="20"/>
                <w:szCs w:val="20"/>
                <w:lang w:val="lt-LT"/>
              </w:rPr>
              <w:t>Amber</w:t>
            </w:r>
            <w:r w:rsidRPr="00AC3318">
              <w:rPr>
                <w:rFonts w:ascii="Georgia" w:hAnsi="Georgia" w:cs="Arial"/>
                <w:sz w:val="20"/>
                <w:szCs w:val="20"/>
                <w:lang w:val="lt-LT"/>
              </w:rPr>
              <w:t xml:space="preserve">“) yra turto valdymo ir investicijų konsultavimo paslaugose besispecializuojanti tarptautinė įmonė (paslaugas teikia dėl daugiau nei 4 mlrd. £ turto Europoje, Š. Amerikoje ir Australijoje). </w:t>
            </w:r>
            <w:r w:rsidRPr="00AC3318">
              <w:rPr>
                <w:rFonts w:ascii="Georgia" w:hAnsi="Georgia" w:cs="Arial"/>
                <w:i/>
                <w:sz w:val="20"/>
                <w:szCs w:val="20"/>
                <w:lang w:val="lt-LT"/>
              </w:rPr>
              <w:t xml:space="preserve">Amber Infrastructure </w:t>
            </w:r>
            <w:r w:rsidRPr="00AC3318">
              <w:rPr>
                <w:rFonts w:ascii="Georgia" w:hAnsi="Georgia" w:cs="Arial"/>
                <w:sz w:val="20"/>
                <w:szCs w:val="20"/>
                <w:lang w:val="lt-LT"/>
              </w:rPr>
              <w:t xml:space="preserve">konsultuoja dėl turto paieškos, plėtros, investicijų į turtą ir turto valdymo komunalinių paslaugų, transporto, atsinaujinančios energijos ir miestų atnaujinimo sektoriuose. Taip pat </w:t>
            </w:r>
            <w:r w:rsidRPr="00AC3318">
              <w:rPr>
                <w:rFonts w:ascii="Georgia" w:hAnsi="Georgia" w:cs="Arial"/>
                <w:i/>
                <w:sz w:val="20"/>
                <w:szCs w:val="20"/>
                <w:lang w:val="lt-LT"/>
              </w:rPr>
              <w:t>Amber Infrastructure</w:t>
            </w:r>
            <w:r w:rsidRPr="00AC3318">
              <w:rPr>
                <w:rFonts w:ascii="Georgia" w:hAnsi="Georgia" w:cs="Arial"/>
                <w:sz w:val="20"/>
                <w:szCs w:val="20"/>
                <w:lang w:val="lt-LT"/>
              </w:rPr>
              <w:t xml:space="preserve"> dirba su VPSP.</w:t>
            </w:r>
          </w:p>
          <w:p w14:paraId="5DBDBDBA" w14:textId="77777777"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Arup</w:t>
            </w:r>
            <w:r w:rsidRPr="00AC3318">
              <w:rPr>
                <w:rFonts w:ascii="Georgia" w:hAnsi="Georgia" w:cs="Arial"/>
                <w:sz w:val="20"/>
                <w:szCs w:val="20"/>
                <w:lang w:val="lt-LT"/>
              </w:rPr>
              <w:t xml:space="preserve"> (oficialiai „</w:t>
            </w:r>
            <w:r w:rsidRPr="00AC3318">
              <w:rPr>
                <w:rFonts w:ascii="Georgia" w:hAnsi="Georgia" w:cs="Arial"/>
                <w:i/>
                <w:sz w:val="20"/>
                <w:szCs w:val="20"/>
                <w:lang w:val="lt-LT"/>
              </w:rPr>
              <w:t>Arup Group Limited</w:t>
            </w:r>
            <w:r w:rsidRPr="00AC3318">
              <w:rPr>
                <w:rFonts w:ascii="Georgia" w:hAnsi="Georgia" w:cs="Arial"/>
                <w:sz w:val="20"/>
                <w:szCs w:val="20"/>
                <w:lang w:val="lt-LT"/>
              </w:rPr>
              <w:t xml:space="preserve">“) yra tarptautinė įmonė, įsikūrusi Londone, Didžiojoje Britanijoje, kuri teikia inžinerines, projektavimo, planavimo, projektų valdymo ir konsultavimo paslaugas visais urbanistinės aplinkos aspektais. Įmonė turi 92 padalinius 42 šalyse Afrikoje, Š. ir P. Amerikoje, Australijoje, Pietryčių Azijoje, Europoje ir Artimuosiuose Rytuose, kuriuose dirba daugiau nei 11.000 darbuotojų. </w:t>
            </w:r>
            <w:r w:rsidRPr="00AC3318">
              <w:rPr>
                <w:rFonts w:ascii="Georgia" w:hAnsi="Georgia" w:cs="Arial"/>
                <w:i/>
                <w:sz w:val="20"/>
                <w:szCs w:val="20"/>
                <w:lang w:val="lt-LT"/>
              </w:rPr>
              <w:t>Arup</w:t>
            </w:r>
            <w:r w:rsidRPr="00AC3318">
              <w:rPr>
                <w:rFonts w:ascii="Georgia" w:hAnsi="Georgia" w:cs="Arial"/>
                <w:sz w:val="20"/>
                <w:szCs w:val="20"/>
                <w:lang w:val="lt-LT"/>
              </w:rPr>
              <w:t xml:space="preserve"> dalyvavo projektuose daugiau nei 160 šalių.</w:t>
            </w:r>
          </w:p>
        </w:tc>
      </w:tr>
      <w:tr w:rsidR="00467B8E" w:rsidRPr="003736DD" w14:paraId="1BB5C656" w14:textId="77777777" w:rsidTr="00467B8E">
        <w:tc>
          <w:tcPr>
            <w:cnfStyle w:val="001000000000" w:firstRow="0" w:lastRow="0" w:firstColumn="1" w:lastColumn="0" w:oddVBand="0" w:evenVBand="0" w:oddHBand="0" w:evenHBand="0" w:firstRowFirstColumn="0" w:firstRowLastColumn="0" w:lastRowFirstColumn="0" w:lastRowLastColumn="0"/>
            <w:tcW w:w="326" w:type="pct"/>
          </w:tcPr>
          <w:p w14:paraId="3727D913" w14:textId="77777777" w:rsidR="00467B8E" w:rsidRPr="00AC3318" w:rsidRDefault="00467B8E" w:rsidP="00C307BC">
            <w:pPr>
              <w:rPr>
                <w:rFonts w:ascii="Georgia" w:hAnsi="Georgia"/>
                <w:b w:val="0"/>
                <w:sz w:val="20"/>
                <w:szCs w:val="20"/>
                <w:lang w:val="lt-LT"/>
              </w:rPr>
            </w:pPr>
            <w:r w:rsidRPr="00AC3318">
              <w:rPr>
                <w:rFonts w:ascii="Georgia" w:hAnsi="Georgia"/>
                <w:sz w:val="20"/>
                <w:szCs w:val="20"/>
                <w:lang w:val="lt-LT"/>
              </w:rPr>
              <w:lastRenderedPageBreak/>
              <w:t>7.</w:t>
            </w:r>
          </w:p>
        </w:tc>
        <w:tc>
          <w:tcPr>
            <w:tcW w:w="1188" w:type="pct"/>
          </w:tcPr>
          <w:p w14:paraId="0EBF7DDB" w14:textId="77777777" w:rsidR="00467B8E" w:rsidRPr="00AC3318" w:rsidRDefault="00467B8E" w:rsidP="00C307BC">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Organizacinė finansų instrumento struktūra</w:t>
            </w:r>
          </w:p>
        </w:tc>
        <w:tc>
          <w:tcPr>
            <w:tcW w:w="3485" w:type="pct"/>
          </w:tcPr>
          <w:p w14:paraId="634BE6C4"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Style w:val="hps"/>
                <w:rFonts w:ascii="Georgia" w:hAnsi="Georgia" w:cs="Arial"/>
                <w:i/>
                <w:color w:val="222222"/>
                <w:sz w:val="20"/>
                <w:szCs w:val="20"/>
                <w:lang w:val="lt-LT"/>
              </w:rPr>
              <w:t>London Green Fund</w:t>
            </w:r>
            <w:r w:rsidRPr="00AC3318">
              <w:rPr>
                <w:rStyle w:val="hps"/>
                <w:rFonts w:ascii="Georgia" w:hAnsi="Georgia" w:cs="Arial"/>
                <w:color w:val="222222"/>
                <w:sz w:val="20"/>
                <w:szCs w:val="20"/>
                <w:lang w:val="lt-LT"/>
              </w:rPr>
              <w:t xml:space="preserve">: </w:t>
            </w:r>
            <w:r w:rsidRPr="00AC3318">
              <w:rPr>
                <w:rFonts w:ascii="Georgia" w:hAnsi="Georgia" w:cs="Arial"/>
                <w:color w:val="222222"/>
                <w:sz w:val="20"/>
                <w:szCs w:val="20"/>
                <w:lang w:val="lt-LT"/>
              </w:rPr>
              <w:t xml:space="preserve">kontroliuojančiojo fondo valdytojas yra EIB, kuris </w:t>
            </w:r>
            <w:r w:rsidRPr="00AC3318">
              <w:rPr>
                <w:rFonts w:ascii="Georgia" w:hAnsi="Georgia" w:cs="Arial"/>
                <w:sz w:val="20"/>
                <w:szCs w:val="20"/>
                <w:lang w:val="lt-LT"/>
              </w:rPr>
              <w:t>daugiausiai atsakingas už (i) pradinio LGF skirto kapitalo valdymą, pajamas iš investicijų ir palūkanas už nepanaudotas lėšas; (ii) miesto plėtros fondų valdytojų atranką, o jai įvykus - lėšų į fondus pervedimą; (iii) pagalbą vykdant miestų plėtros rezultatų stebėseną ir priežiūrą, siekiant užtikrinti teisingą lėšų panaudojimą ir konsoliduotą finansinę atskaitomybę ir t. t. EIB teikia ataskaitas Investicijų tarybai, Didžiojo Londono administracijai ir LWARB. Pagrindinis EIB miestų plėtros fondų stebėsenos instrumentas yra ketvirtinės miestų plėtros fondų ataskaitos, teikiamos patariamųjų komitetų susitikimų metu.</w:t>
            </w:r>
          </w:p>
          <w:p w14:paraId="71E0CD7C"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color w:val="222222"/>
                <w:sz w:val="20"/>
                <w:szCs w:val="20"/>
                <w:lang w:val="lt-LT"/>
              </w:rPr>
            </w:pPr>
            <w:r w:rsidRPr="00AC3318">
              <w:rPr>
                <w:rFonts w:ascii="Georgia" w:hAnsi="Georgia" w:cs="Arial"/>
                <w:sz w:val="20"/>
                <w:szCs w:val="20"/>
                <w:lang w:val="lt-LT"/>
              </w:rPr>
              <w:t>Taigi, f</w:t>
            </w:r>
            <w:r w:rsidRPr="00AC3318">
              <w:rPr>
                <w:rFonts w:ascii="Georgia" w:hAnsi="Georgia" w:cs="Arial"/>
                <w:color w:val="222222"/>
                <w:sz w:val="20"/>
                <w:szCs w:val="20"/>
                <w:lang w:val="lt-LT"/>
              </w:rPr>
              <w:t xml:space="preserve">ondas tiesiogiai neinvestuoja į projektus, o lėšas perveda miestų plėtros fondams. Miestų plėtros fondai yra savarankiški ir valdomi profesionalių fondų valdytojų, kurie vykdo grąžintinas investicijas į projektus. </w:t>
            </w:r>
          </w:p>
          <w:p w14:paraId="5837F78B"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Visi 100 mln. € buvo pervesti EIB. Palūkanos, gaunamos nuo šių lėšų, naudojamos apmokėti fondo administravimo išlaidas.</w:t>
            </w:r>
          </w:p>
          <w:p w14:paraId="7620861B"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color w:val="222222"/>
                <w:sz w:val="20"/>
                <w:szCs w:val="20"/>
                <w:lang w:val="lt-LT"/>
              </w:rPr>
            </w:pPr>
            <w:r w:rsidRPr="00AC3318">
              <w:rPr>
                <w:rFonts w:ascii="Georgia" w:hAnsi="Georgia" w:cs="Arial"/>
                <w:color w:val="222222"/>
                <w:sz w:val="20"/>
                <w:szCs w:val="20"/>
                <w:lang w:val="lt-LT"/>
              </w:rPr>
              <w:t>Didžiojo Londono administracija vykdo kontroliuojančiojo fondo stebėseną ir užtikrina jo suderinamumą su strateginėmis politikos kryptimis ir planavimu visame regione. Administracija taip pat padeda užmegzti ryšius ir bendradarbiauti su pagrindiniais infrastruktūros projektais ir viešosiomis agentūromis, kur galėtų atsirasti potencialios investavimo galimybės.</w:t>
            </w:r>
          </w:p>
          <w:p w14:paraId="58C5A840"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LGF Investicijų taryba sudaryta iš septynių asmenų, kurie susitinka kas ketvirtį. Tarybą sprendimus priimti yra įgaliojusios Londono plėtros agentūra ir LWARB. Abi šios institucijos į tarybą skiria po du atstovus. Po vieną atstovą skiria Didžiojo Londono administracija, Būsto ir bendruomenių agentūra ir Aplinkosaugos agentūra.</w:t>
            </w:r>
          </w:p>
          <w:p w14:paraId="31D49590" w14:textId="77777777" w:rsidR="00467B8E" w:rsidRPr="00AC3318" w:rsidRDefault="00467B8E" w:rsidP="00C307B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Style w:val="hps"/>
                <w:rFonts w:ascii="Georgia" w:hAnsi="Georgia" w:cs="Arial"/>
                <w:i/>
                <w:color w:val="222222"/>
                <w:sz w:val="20"/>
                <w:szCs w:val="20"/>
                <w:lang w:val="lt-LT"/>
              </w:rPr>
              <w:t>LEEF</w:t>
            </w:r>
            <w:r w:rsidRPr="00AC3318">
              <w:rPr>
                <w:rStyle w:val="hps"/>
                <w:rFonts w:ascii="Georgia" w:hAnsi="Georgia" w:cs="Arial"/>
                <w:color w:val="222222"/>
                <w:sz w:val="20"/>
                <w:szCs w:val="20"/>
                <w:lang w:val="lt-LT"/>
              </w:rPr>
              <w:t>: m</w:t>
            </w:r>
            <w:r w:rsidRPr="00AC3318">
              <w:rPr>
                <w:rFonts w:ascii="Georgia" w:hAnsi="Georgia" w:cs="Arial"/>
                <w:sz w:val="20"/>
                <w:szCs w:val="20"/>
                <w:lang w:val="lt-LT"/>
              </w:rPr>
              <w:t>iestų plėtros fondų valdytojai atrenkami įvertinus jų kompetenciją ir patirtį. Miesto plėtros fondų valdytojai, vadovaudamiesi Investicijų tarybos patvirtinta investavimo strategija, priima sprendimus dėl konkrečių projektų finansavimo. Taip pat jie yra atsakingi už administravimo funkcijas, pavyzdžiui, apskaitą, finansines operacijas, lėšų saugojimą ir išmokėjimą iš EIB, taip pat už vidaus kontrolę. Fondai dirba tiesiogiai su klientais: identifikuoja tinkamus projektus, derasi dėl sąlygų ir atlieka investicijas.</w:t>
            </w:r>
          </w:p>
          <w:p w14:paraId="437A87E2"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color w:val="222222"/>
                <w:sz w:val="20"/>
                <w:szCs w:val="20"/>
                <w:lang w:val="lt-LT"/>
              </w:rPr>
            </w:pPr>
            <w:r w:rsidRPr="00AC3318">
              <w:rPr>
                <w:rStyle w:val="hps"/>
                <w:rFonts w:ascii="Georgia" w:hAnsi="Georgia" w:cs="Arial"/>
                <w:color w:val="222222"/>
                <w:sz w:val="20"/>
                <w:szCs w:val="20"/>
                <w:lang w:val="lt-LT"/>
              </w:rPr>
              <w:t xml:space="preserve">2011 m. Didžiojo Londono administracijos vardu EIB </w:t>
            </w:r>
            <w:r w:rsidRPr="00AC3318">
              <w:rPr>
                <w:rFonts w:ascii="Georgia" w:hAnsi="Georgia" w:cs="Arial"/>
                <w:color w:val="222222"/>
                <w:sz w:val="20"/>
                <w:szCs w:val="20"/>
                <w:lang w:val="lt-LT"/>
              </w:rPr>
              <w:t xml:space="preserve">energijos efektyvumo miesto plėtros fondą </w:t>
            </w:r>
            <w:r w:rsidRPr="00AC3318">
              <w:rPr>
                <w:rStyle w:val="hps"/>
                <w:rFonts w:ascii="Georgia" w:hAnsi="Georgia" w:cs="Arial"/>
                <w:color w:val="222222"/>
                <w:sz w:val="20"/>
                <w:szCs w:val="20"/>
                <w:lang w:val="lt-LT"/>
              </w:rPr>
              <w:t>valdyti</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paskyrė</w:t>
            </w:r>
            <w:r w:rsidRPr="00AC3318">
              <w:rPr>
                <w:rFonts w:ascii="Georgia" w:hAnsi="Georgia" w:cs="Arial"/>
                <w:color w:val="222222"/>
                <w:sz w:val="20"/>
                <w:szCs w:val="20"/>
                <w:lang w:val="lt-LT"/>
              </w:rPr>
              <w:t xml:space="preserve"> „</w:t>
            </w:r>
            <w:r w:rsidRPr="00AC3318">
              <w:rPr>
                <w:rFonts w:ascii="Georgia" w:hAnsi="Georgia" w:cs="Arial"/>
                <w:i/>
                <w:color w:val="222222"/>
                <w:sz w:val="20"/>
                <w:szCs w:val="20"/>
                <w:lang w:val="lt-LT"/>
              </w:rPr>
              <w:t>Amber Green</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konsorciumui,</w:t>
            </w:r>
            <w:r w:rsidRPr="00AC3318">
              <w:rPr>
                <w:rFonts w:ascii="Georgia" w:hAnsi="Georgia" w:cs="Arial"/>
                <w:color w:val="222222"/>
                <w:sz w:val="20"/>
                <w:szCs w:val="20"/>
                <w:lang w:val="lt-LT"/>
              </w:rPr>
              <w:t xml:space="preserve"> kuriame </w:t>
            </w:r>
            <w:r w:rsidRPr="00AC3318">
              <w:rPr>
                <w:rStyle w:val="hps"/>
                <w:rFonts w:ascii="Georgia" w:hAnsi="Georgia" w:cs="Arial"/>
                <w:color w:val="222222"/>
                <w:sz w:val="20"/>
                <w:szCs w:val="20"/>
                <w:lang w:val="lt-LT"/>
              </w:rPr>
              <w:t>vadovaujantį vaidmenį atlieka</w:t>
            </w:r>
            <w:r w:rsidRPr="00AC3318">
              <w:rPr>
                <w:rFonts w:ascii="Georgia" w:hAnsi="Georgia" w:cs="Arial"/>
                <w:color w:val="222222"/>
                <w:sz w:val="20"/>
                <w:szCs w:val="20"/>
                <w:lang w:val="lt-LT"/>
              </w:rPr>
              <w:t xml:space="preserve"> </w:t>
            </w:r>
            <w:r w:rsidRPr="00AC3318">
              <w:rPr>
                <w:rFonts w:ascii="Georgia" w:hAnsi="Georgia" w:cs="Arial"/>
                <w:sz w:val="20"/>
                <w:szCs w:val="20"/>
                <w:lang w:val="lt-LT"/>
              </w:rPr>
              <w:t xml:space="preserve">„Amber Infrastructure </w:t>
            </w:r>
            <w:r w:rsidRPr="00AC3318">
              <w:rPr>
                <w:rFonts w:ascii="Georgia" w:hAnsi="Georgia" w:cs="Arial"/>
                <w:i/>
                <w:sz w:val="20"/>
                <w:szCs w:val="20"/>
                <w:lang w:val="lt-LT"/>
              </w:rPr>
              <w:t>Ltd</w:t>
            </w:r>
            <w:r w:rsidRPr="00AC3318">
              <w:rPr>
                <w:rFonts w:ascii="Georgia" w:hAnsi="Georgia" w:cs="Arial"/>
                <w:sz w:val="20"/>
                <w:szCs w:val="20"/>
                <w:lang w:val="lt-LT"/>
              </w:rPr>
              <w:t>“ (atsakinga už papildomo finansavimo pritraukimą ir sprendimus dėl konkrečių projektų finansavimo)</w:t>
            </w:r>
            <w:r w:rsidRPr="00AC3318">
              <w:rPr>
                <w:rStyle w:val="hps"/>
                <w:rFonts w:ascii="Georgia" w:hAnsi="Georgia" w:cs="Arial"/>
                <w:sz w:val="20"/>
                <w:szCs w:val="20"/>
                <w:lang w:val="lt-LT"/>
              </w:rPr>
              <w:t xml:space="preserve">, taip pat dalyvauja </w:t>
            </w:r>
            <w:r w:rsidRPr="00AC3318">
              <w:rPr>
                <w:rFonts w:ascii="Georgia" w:hAnsi="Georgia" w:cs="Arial"/>
                <w:color w:val="222222"/>
                <w:sz w:val="20"/>
                <w:szCs w:val="20"/>
                <w:lang w:val="lt-LT"/>
              </w:rPr>
              <w:t>„</w:t>
            </w:r>
            <w:r w:rsidRPr="00AC3318">
              <w:rPr>
                <w:rStyle w:val="hps"/>
                <w:rFonts w:ascii="Georgia" w:hAnsi="Georgia" w:cs="Arial"/>
                <w:i/>
                <w:color w:val="222222"/>
                <w:sz w:val="20"/>
                <w:szCs w:val="20"/>
                <w:lang w:val="lt-LT"/>
              </w:rPr>
              <w:t>Royal Bank of Scotland</w:t>
            </w:r>
            <w:r w:rsidRPr="00AC3318">
              <w:rPr>
                <w:rStyle w:val="hps"/>
                <w:rFonts w:ascii="Georgia" w:hAnsi="Georgia" w:cs="Arial"/>
                <w:color w:val="222222"/>
                <w:sz w:val="20"/>
                <w:szCs w:val="20"/>
                <w:lang w:val="lt-LT"/>
              </w:rPr>
              <w:t>“ (</w:t>
            </w:r>
            <w:r w:rsidRPr="00AC3318">
              <w:rPr>
                <w:rFonts w:ascii="Georgia" w:hAnsi="Georgia" w:cs="Arial"/>
                <w:color w:val="222222"/>
                <w:sz w:val="20"/>
                <w:szCs w:val="20"/>
                <w:lang w:val="lt-LT"/>
              </w:rPr>
              <w:t>RBS) (užtikrina finansavimą (50 mln. £)) ir „</w:t>
            </w:r>
            <w:r w:rsidRPr="00AC3318">
              <w:rPr>
                <w:rStyle w:val="hps"/>
                <w:rFonts w:ascii="Georgia" w:hAnsi="Georgia" w:cs="Arial"/>
                <w:i/>
                <w:color w:val="222222"/>
                <w:sz w:val="20"/>
                <w:szCs w:val="20"/>
                <w:lang w:val="lt-LT"/>
              </w:rPr>
              <w:t>Arup</w:t>
            </w:r>
            <w:r w:rsidRPr="00AC3318">
              <w:rPr>
                <w:rStyle w:val="hps"/>
                <w:rFonts w:ascii="Georgia" w:hAnsi="Georgia" w:cs="Arial"/>
                <w:color w:val="222222"/>
                <w:sz w:val="20"/>
                <w:szCs w:val="20"/>
                <w:lang w:val="lt-LT"/>
              </w:rPr>
              <w:t>“</w:t>
            </w:r>
            <w:r w:rsidRPr="00AC3318">
              <w:rPr>
                <w:rFonts w:ascii="Georgia" w:hAnsi="Georgia" w:cs="Arial"/>
                <w:color w:val="222222"/>
                <w:sz w:val="20"/>
                <w:szCs w:val="20"/>
                <w:lang w:val="lt-LT"/>
              </w:rPr>
              <w:t xml:space="preserve"> (veikia </w:t>
            </w:r>
            <w:r w:rsidRPr="00AC3318">
              <w:rPr>
                <w:rStyle w:val="hps"/>
                <w:rFonts w:ascii="Georgia" w:hAnsi="Georgia" w:cs="Arial"/>
                <w:color w:val="222222"/>
                <w:sz w:val="20"/>
                <w:szCs w:val="20"/>
                <w:lang w:val="lt-LT"/>
              </w:rPr>
              <w:t>kaip</w:t>
            </w:r>
            <w:r w:rsidRPr="00AC3318">
              <w:rPr>
                <w:rFonts w:ascii="Georgia" w:hAnsi="Georgia" w:cs="Arial"/>
                <w:color w:val="222222"/>
                <w:sz w:val="20"/>
                <w:szCs w:val="20"/>
                <w:lang w:val="lt-LT"/>
              </w:rPr>
              <w:t xml:space="preserve"> </w:t>
            </w:r>
            <w:r w:rsidRPr="00AC3318">
              <w:rPr>
                <w:rStyle w:val="hps"/>
                <w:rFonts w:ascii="Georgia" w:hAnsi="Georgia" w:cs="Arial"/>
                <w:color w:val="222222"/>
                <w:sz w:val="20"/>
                <w:szCs w:val="20"/>
                <w:lang w:val="lt-LT"/>
              </w:rPr>
              <w:t>techniniai patarėjai)</w:t>
            </w:r>
            <w:r w:rsidRPr="00AC3318">
              <w:rPr>
                <w:rFonts w:ascii="Georgia" w:hAnsi="Georgia" w:cs="Arial"/>
                <w:color w:val="222222"/>
                <w:sz w:val="20"/>
                <w:szCs w:val="20"/>
                <w:lang w:val="lt-LT"/>
              </w:rPr>
              <w:t>. 2015 m. pasibaigus aktyviajam fondo veiklos laikotarpiui, konsorciumas fondą valdys dar 10 metų, t. y. iki 2025 m.</w:t>
            </w:r>
          </w:p>
          <w:p w14:paraId="4EBBC962"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lastRenderedPageBreak/>
              <w:t>Kiekvienas miesto plėtros fondas turi patariamąjį komitetą, kuris susitinka kas ketvirtį apžvelgti patvirtintus projektus, tinkamas projektų paraiškas ir dalintis informacija. EIB, Didžiojo Londono administracijos ir LWARB atstovai dalyvauja komitetų susitikimuose. Investiciniai sprendimai priimami fondų valdytojų.</w:t>
            </w:r>
          </w:p>
          <w:p w14:paraId="15299E1B" w14:textId="77777777" w:rsidR="00467B8E" w:rsidRPr="00AC3318" w:rsidRDefault="00467B8E" w:rsidP="00C307B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eorgia" w:hAnsi="Georgia" w:cs="Arial"/>
                <w:color w:val="222222"/>
                <w:sz w:val="20"/>
                <w:szCs w:val="20"/>
                <w:lang w:val="lt-LT"/>
              </w:rPr>
            </w:pPr>
            <w:r w:rsidRPr="00AC3318">
              <w:rPr>
                <w:rFonts w:ascii="Georgia" w:hAnsi="Georgia" w:cs="Arial"/>
                <w:sz w:val="20"/>
                <w:szCs w:val="20"/>
                <w:lang w:val="lt-LT"/>
              </w:rPr>
              <w:t>EIB ir miesto plėtros fondų valdytojai organizuoja reguliarius susitikimus, kurių metu diskutuoja apie investavimo strategijos įgyvendinimą ir santykį su konkrečiais projektais. K</w:t>
            </w:r>
            <w:r w:rsidRPr="00AC3318">
              <w:rPr>
                <w:rFonts w:ascii="Georgia" w:hAnsi="Georgia" w:cs="Arial"/>
                <w:color w:val="222222"/>
                <w:sz w:val="20"/>
                <w:szCs w:val="20"/>
                <w:lang w:val="lt-LT"/>
              </w:rPr>
              <w:t>iekvienas miesto plėtros fondas kas ketvirtį teikia ataskaitas EIB, kuris vėliau atsiskaito Investicijų valdybai, Didžiojo Londono administracijai ir LWARB. Ataskaitose pateikiami duomenys apie finansinius rezultatus, potencialius projektus, CO</w:t>
            </w:r>
            <w:r w:rsidRPr="00AC3318">
              <w:rPr>
                <w:rFonts w:ascii="Georgia" w:hAnsi="Georgia" w:cs="Arial"/>
                <w:color w:val="222222"/>
                <w:sz w:val="20"/>
                <w:szCs w:val="20"/>
                <w:vertAlign w:val="subscript"/>
                <w:lang w:val="lt-LT"/>
              </w:rPr>
              <w:t>2</w:t>
            </w:r>
            <w:r w:rsidRPr="00AC3318">
              <w:rPr>
                <w:rFonts w:ascii="Georgia" w:hAnsi="Georgia" w:cs="Arial"/>
                <w:color w:val="222222"/>
                <w:sz w:val="20"/>
                <w:szCs w:val="20"/>
                <w:lang w:val="lt-LT"/>
              </w:rPr>
              <w:t>, darbo vietų kūrimo ir energijos vartojimo efektyvumo rodiklių pasiekimo pažangą.</w:t>
            </w:r>
          </w:p>
          <w:p w14:paraId="78A31BB1"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color w:val="222222"/>
                <w:sz w:val="20"/>
                <w:szCs w:val="20"/>
                <w:lang w:val="lt-LT"/>
              </w:rPr>
            </w:pPr>
            <w:r w:rsidRPr="00AC3318">
              <w:rPr>
                <w:rFonts w:ascii="Georgia" w:hAnsi="Georgia" w:cs="Arial"/>
                <w:color w:val="222222"/>
                <w:sz w:val="20"/>
                <w:szCs w:val="20"/>
                <w:lang w:val="lt-LT"/>
              </w:rPr>
              <w:t>LEEF projektų CO</w:t>
            </w:r>
            <w:r w:rsidRPr="00AC3318">
              <w:rPr>
                <w:rFonts w:ascii="Georgia" w:hAnsi="Georgia" w:cs="Arial"/>
                <w:color w:val="222222"/>
                <w:sz w:val="20"/>
                <w:szCs w:val="20"/>
                <w:vertAlign w:val="subscript"/>
                <w:lang w:val="lt-LT"/>
              </w:rPr>
              <w:t>2</w:t>
            </w:r>
            <w:r w:rsidRPr="00AC3318">
              <w:rPr>
                <w:rFonts w:ascii="Georgia" w:hAnsi="Georgia" w:cs="Arial"/>
                <w:color w:val="222222"/>
                <w:sz w:val="20"/>
                <w:szCs w:val="20"/>
                <w:lang w:val="lt-LT"/>
              </w:rPr>
              <w:t xml:space="preserve"> ir energijos vartojimo efektyvumo rodiklių stebėsenai „</w:t>
            </w:r>
            <w:r w:rsidRPr="00AC3318">
              <w:rPr>
                <w:rFonts w:ascii="Georgia" w:hAnsi="Georgia" w:cs="Arial"/>
                <w:i/>
                <w:color w:val="222222"/>
                <w:sz w:val="20"/>
                <w:szCs w:val="20"/>
                <w:lang w:val="lt-LT"/>
              </w:rPr>
              <w:t>Arup“</w:t>
            </w:r>
            <w:r w:rsidRPr="00AC3318">
              <w:rPr>
                <w:rFonts w:ascii="Georgia" w:hAnsi="Georgia" w:cs="Arial"/>
                <w:color w:val="222222"/>
                <w:sz w:val="20"/>
                <w:szCs w:val="20"/>
                <w:lang w:val="lt-LT"/>
              </w:rPr>
              <w:t xml:space="preserve"> buvo paskirtas techniniu patarėju. „</w:t>
            </w:r>
            <w:r w:rsidRPr="00AC3318">
              <w:rPr>
                <w:rFonts w:ascii="Georgia" w:hAnsi="Georgia" w:cs="Arial"/>
                <w:i/>
                <w:color w:val="222222"/>
                <w:sz w:val="20"/>
                <w:szCs w:val="20"/>
                <w:lang w:val="lt-LT"/>
              </w:rPr>
              <w:t>Arup</w:t>
            </w:r>
            <w:r w:rsidRPr="00AC3318">
              <w:rPr>
                <w:rFonts w:ascii="Georgia" w:hAnsi="Georgia" w:cs="Arial"/>
                <w:color w:val="222222"/>
                <w:sz w:val="20"/>
                <w:szCs w:val="20"/>
                <w:lang w:val="lt-LT"/>
              </w:rPr>
              <w:t>“ atlieka vertinimą (</w:t>
            </w:r>
            <w:r w:rsidRPr="00AC3318">
              <w:rPr>
                <w:rFonts w:ascii="Georgia" w:hAnsi="Georgia" w:cs="Arial"/>
                <w:i/>
                <w:color w:val="222222"/>
                <w:sz w:val="20"/>
                <w:szCs w:val="20"/>
                <w:lang w:val="lt-LT"/>
              </w:rPr>
              <w:t>due diligence</w:t>
            </w:r>
            <w:r w:rsidRPr="00AC3318">
              <w:rPr>
                <w:rFonts w:ascii="Georgia" w:hAnsi="Georgia" w:cs="Arial"/>
                <w:color w:val="222222"/>
                <w:sz w:val="20"/>
                <w:szCs w:val="20"/>
                <w:lang w:val="lt-LT"/>
              </w:rPr>
              <w:t>) projektų rengimo etape ir jo rezultatai yra įrašomi į sutartį su projektu kartu su reikalavimu kas ketvirtį teikti duomenis. Kai projektas baigiamas, „</w:t>
            </w:r>
            <w:r w:rsidRPr="00AC3318">
              <w:rPr>
                <w:rFonts w:ascii="Georgia" w:hAnsi="Georgia" w:cs="Arial"/>
                <w:i/>
                <w:color w:val="222222"/>
                <w:sz w:val="20"/>
                <w:szCs w:val="20"/>
                <w:lang w:val="lt-LT"/>
              </w:rPr>
              <w:t>Arup“</w:t>
            </w:r>
            <w:r w:rsidRPr="00AC3318">
              <w:rPr>
                <w:rFonts w:ascii="Georgia" w:hAnsi="Georgia" w:cs="Arial"/>
                <w:color w:val="222222"/>
                <w:sz w:val="20"/>
                <w:szCs w:val="20"/>
                <w:lang w:val="lt-LT"/>
              </w:rPr>
              <w:t xml:space="preserve"> patikrina duomenis. „</w:t>
            </w:r>
            <w:r w:rsidRPr="00AC3318">
              <w:rPr>
                <w:rFonts w:ascii="Georgia" w:hAnsi="Georgia" w:cs="Arial"/>
                <w:i/>
                <w:color w:val="222222"/>
                <w:sz w:val="20"/>
                <w:szCs w:val="20"/>
                <w:lang w:val="lt-LT"/>
              </w:rPr>
              <w:t>Amber Green</w:t>
            </w:r>
            <w:r w:rsidRPr="00AC3318">
              <w:rPr>
                <w:rFonts w:ascii="Georgia" w:hAnsi="Georgia" w:cs="Arial"/>
                <w:color w:val="222222"/>
                <w:sz w:val="20"/>
                <w:szCs w:val="20"/>
                <w:lang w:val="lt-LT"/>
              </w:rPr>
              <w:t>“ konsorciumui mokamas sėkmės mokestis po to, kai „</w:t>
            </w:r>
            <w:r w:rsidRPr="00AC3318">
              <w:rPr>
                <w:rFonts w:ascii="Georgia" w:hAnsi="Georgia" w:cs="Arial"/>
                <w:i/>
                <w:color w:val="222222"/>
                <w:sz w:val="20"/>
                <w:szCs w:val="20"/>
                <w:lang w:val="lt-LT"/>
              </w:rPr>
              <w:t>Arup“</w:t>
            </w:r>
            <w:r w:rsidRPr="00AC3318">
              <w:rPr>
                <w:rFonts w:ascii="Georgia" w:hAnsi="Georgia" w:cs="Arial"/>
                <w:color w:val="222222"/>
                <w:sz w:val="20"/>
                <w:szCs w:val="20"/>
                <w:lang w:val="lt-LT"/>
              </w:rPr>
              <w:t xml:space="preserve"> ataskaita sėkmingai audituojama.</w:t>
            </w:r>
          </w:p>
          <w:p w14:paraId="246A43BF"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color w:val="222222"/>
                <w:sz w:val="20"/>
                <w:szCs w:val="20"/>
                <w:lang w:val="lt-LT"/>
              </w:rPr>
            </w:pPr>
            <w:r w:rsidRPr="00AC3318">
              <w:rPr>
                <w:rFonts w:ascii="Georgia" w:hAnsi="Georgia" w:cs="Arial"/>
                <w:color w:val="222222"/>
                <w:sz w:val="20"/>
                <w:szCs w:val="20"/>
                <w:lang w:val="lt-LT"/>
              </w:rPr>
              <w:t xml:space="preserve">Ši procedūra padeda surinkti geresnės kokybės duomenis apie energijos vartojimo efektyvumo priemonių kaštus ir teikiamą naudą. Konsorciumas turi pasirašęs memorandumą su </w:t>
            </w:r>
            <w:r w:rsidRPr="00AC3318">
              <w:rPr>
                <w:rFonts w:ascii="Georgia" w:hAnsi="Georgia" w:cs="Arial"/>
                <w:i/>
                <w:color w:val="222222"/>
                <w:sz w:val="20"/>
                <w:szCs w:val="20"/>
                <w:lang w:val="lt-LT"/>
              </w:rPr>
              <w:t>Carbon Trust</w:t>
            </w:r>
            <w:r w:rsidRPr="00AC3318">
              <w:rPr>
                <w:rStyle w:val="Puslapioinaosnuoroda"/>
                <w:rFonts w:ascii="Georgia" w:hAnsi="Georgia" w:cs="Arial"/>
                <w:color w:val="222222"/>
                <w:sz w:val="20"/>
                <w:szCs w:val="20"/>
                <w:lang w:val="lt-LT"/>
              </w:rPr>
              <w:footnoteReference w:id="203"/>
            </w:r>
            <w:r w:rsidRPr="00AC3318">
              <w:rPr>
                <w:rFonts w:ascii="Georgia" w:hAnsi="Georgia" w:cs="Arial"/>
                <w:color w:val="222222"/>
                <w:sz w:val="20"/>
                <w:szCs w:val="20"/>
                <w:lang w:val="lt-LT"/>
              </w:rPr>
              <w:t xml:space="preserve"> dėl dalinimosi informacija ir duomenų bazės apie anglies dvideginio taršos mažinimo intervencijas tobulinimą.</w:t>
            </w:r>
          </w:p>
        </w:tc>
      </w:tr>
      <w:tr w:rsidR="00467B8E" w:rsidRPr="003736DD" w14:paraId="0FDB9758" w14:textId="77777777"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14:paraId="2786A3D1" w14:textId="77777777" w:rsidR="00467B8E" w:rsidRPr="00AC3318" w:rsidRDefault="00467B8E" w:rsidP="00C307BC">
            <w:pPr>
              <w:rPr>
                <w:rFonts w:ascii="Georgia" w:hAnsi="Georgia"/>
                <w:b w:val="0"/>
                <w:sz w:val="20"/>
                <w:szCs w:val="20"/>
                <w:lang w:val="lt-LT"/>
              </w:rPr>
            </w:pPr>
            <w:r w:rsidRPr="00AC3318">
              <w:rPr>
                <w:rFonts w:ascii="Georgia" w:hAnsi="Georgia"/>
                <w:sz w:val="20"/>
                <w:szCs w:val="20"/>
                <w:lang w:val="lt-LT"/>
              </w:rPr>
              <w:lastRenderedPageBreak/>
              <w:t>8.</w:t>
            </w:r>
          </w:p>
        </w:tc>
        <w:tc>
          <w:tcPr>
            <w:tcW w:w="1188" w:type="pct"/>
          </w:tcPr>
          <w:p w14:paraId="734742D8" w14:textId="77777777" w:rsidR="00467B8E" w:rsidRPr="00AC3318" w:rsidRDefault="00467B8E" w:rsidP="00C307BC">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Privatiems investuotojams taikomos lengvatos/paskatos</w:t>
            </w:r>
          </w:p>
        </w:tc>
        <w:tc>
          <w:tcPr>
            <w:tcW w:w="3485" w:type="pct"/>
          </w:tcPr>
          <w:p w14:paraId="0FDC41F9" w14:textId="77777777" w:rsidR="00467B8E" w:rsidRPr="00AC3318" w:rsidRDefault="00467B8E" w:rsidP="00C307BC">
            <w:pP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Administravimo mokestis bei sėkmės mokestis susietas su rezultatais.</w:t>
            </w:r>
          </w:p>
        </w:tc>
      </w:tr>
      <w:tr w:rsidR="00467B8E" w:rsidRPr="003736DD" w14:paraId="1D5A0B76" w14:textId="77777777" w:rsidTr="00467B8E">
        <w:tc>
          <w:tcPr>
            <w:cnfStyle w:val="001000000000" w:firstRow="0" w:lastRow="0" w:firstColumn="1" w:lastColumn="0" w:oddVBand="0" w:evenVBand="0" w:oddHBand="0" w:evenHBand="0" w:firstRowFirstColumn="0" w:firstRowLastColumn="0" w:lastRowFirstColumn="0" w:lastRowLastColumn="0"/>
            <w:tcW w:w="326" w:type="pct"/>
          </w:tcPr>
          <w:p w14:paraId="7649D30C" w14:textId="77777777" w:rsidR="00467B8E" w:rsidRPr="00AC3318" w:rsidRDefault="00467B8E" w:rsidP="00C307BC">
            <w:pPr>
              <w:rPr>
                <w:rFonts w:ascii="Georgia" w:hAnsi="Georgia"/>
                <w:b w:val="0"/>
                <w:sz w:val="20"/>
                <w:szCs w:val="20"/>
                <w:lang w:val="lt-LT"/>
              </w:rPr>
            </w:pPr>
            <w:r w:rsidRPr="00AC3318">
              <w:rPr>
                <w:rFonts w:ascii="Georgia" w:hAnsi="Georgia"/>
                <w:sz w:val="20"/>
                <w:szCs w:val="20"/>
                <w:lang w:val="lt-LT"/>
              </w:rPr>
              <w:t>9.</w:t>
            </w:r>
          </w:p>
        </w:tc>
        <w:tc>
          <w:tcPr>
            <w:tcW w:w="1188" w:type="pct"/>
          </w:tcPr>
          <w:p w14:paraId="09326986" w14:textId="77777777" w:rsidR="00467B8E" w:rsidRPr="00AC3318" w:rsidRDefault="00467B8E" w:rsidP="00C307BC">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Rezultatai:</w:t>
            </w:r>
          </w:p>
        </w:tc>
        <w:tc>
          <w:tcPr>
            <w:tcW w:w="3485" w:type="pct"/>
          </w:tcPr>
          <w:p w14:paraId="6E06FE63" w14:textId="77777777" w:rsidR="00467B8E" w:rsidRPr="00AC3318" w:rsidRDefault="00467B8E" w:rsidP="00C307BC">
            <w:pPr>
              <w:cnfStyle w:val="000000000000" w:firstRow="0" w:lastRow="0" w:firstColumn="0" w:lastColumn="0" w:oddVBand="0" w:evenVBand="0" w:oddHBand="0" w:evenHBand="0" w:firstRowFirstColumn="0" w:firstRowLastColumn="0" w:lastRowFirstColumn="0" w:lastRowLastColumn="0"/>
              <w:rPr>
                <w:rFonts w:ascii="Georgia" w:hAnsi="Georgia"/>
                <w:sz w:val="20"/>
                <w:szCs w:val="20"/>
                <w:lang w:val="lt-LT"/>
              </w:rPr>
            </w:pPr>
          </w:p>
        </w:tc>
      </w:tr>
      <w:tr w:rsidR="00467B8E" w:rsidRPr="003736DD" w14:paraId="41E0CB83" w14:textId="77777777"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14:paraId="22766C22" w14:textId="77777777" w:rsidR="00467B8E" w:rsidRPr="00AC3318" w:rsidRDefault="00467B8E" w:rsidP="00C307BC">
            <w:pPr>
              <w:rPr>
                <w:rFonts w:ascii="Georgia" w:hAnsi="Georgia"/>
                <w:b w:val="0"/>
                <w:sz w:val="20"/>
                <w:szCs w:val="20"/>
                <w:lang w:val="lt-LT"/>
              </w:rPr>
            </w:pPr>
            <w:r w:rsidRPr="00AC3318">
              <w:rPr>
                <w:rFonts w:ascii="Georgia" w:hAnsi="Georgia"/>
                <w:sz w:val="20"/>
                <w:szCs w:val="20"/>
                <w:lang w:val="lt-LT"/>
              </w:rPr>
              <w:t>9.1.</w:t>
            </w:r>
          </w:p>
        </w:tc>
        <w:tc>
          <w:tcPr>
            <w:tcW w:w="1188" w:type="pct"/>
          </w:tcPr>
          <w:p w14:paraId="341F2C05" w14:textId="77777777" w:rsidR="00467B8E" w:rsidRPr="00AC3318" w:rsidRDefault="00467B8E" w:rsidP="00C307BC">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Suteiktos paskolos</w:t>
            </w:r>
          </w:p>
        </w:tc>
        <w:tc>
          <w:tcPr>
            <w:tcW w:w="3485" w:type="pct"/>
          </w:tcPr>
          <w:p w14:paraId="2AE8833A" w14:textId="77777777" w:rsidR="00467B8E" w:rsidRPr="00BB18F6" w:rsidRDefault="00467B8E" w:rsidP="00BB18F6">
            <w:pPr>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BB18F6">
              <w:rPr>
                <w:rFonts w:ascii="Georgia" w:hAnsi="Georgia" w:cs="Arial"/>
                <w:sz w:val="20"/>
                <w:szCs w:val="20"/>
                <w:lang w:val="lt-LT"/>
              </w:rPr>
              <w:t>2014 m. II ketvirčio duomenimis fondas buvo investavęs 80 proc. lėšų septyniuose projektuose. Duomenys apie projektus pateikiami lentelėje.</w:t>
            </w:r>
          </w:p>
          <w:tbl>
            <w:tblPr>
              <w:tblW w:w="61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0" w:type="dxa"/>
                <w:right w:w="0" w:type="dxa"/>
              </w:tblCellMar>
              <w:tblLook w:val="04A0" w:firstRow="1" w:lastRow="0" w:firstColumn="1" w:lastColumn="0" w:noHBand="0" w:noVBand="1"/>
            </w:tblPr>
            <w:tblGrid>
              <w:gridCol w:w="1234"/>
              <w:gridCol w:w="990"/>
              <w:gridCol w:w="1008"/>
              <w:gridCol w:w="937"/>
              <w:gridCol w:w="2009"/>
            </w:tblGrid>
            <w:tr w:rsidR="00467B8E" w:rsidRPr="002C3FA0" w14:paraId="307C5F87" w14:textId="77777777" w:rsidTr="00BB18F6">
              <w:trPr>
                <w:trHeight w:val="915"/>
                <w:tblHeader/>
              </w:trPr>
              <w:tc>
                <w:tcPr>
                  <w:tcW w:w="999"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14:paraId="34FEFF85" w14:textId="77777777"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b/>
                      <w:bCs/>
                      <w:color w:val="000000"/>
                      <w:sz w:val="18"/>
                      <w:szCs w:val="18"/>
                      <w:lang w:val="lt-LT" w:eastAsia="lt-LT"/>
                    </w:rPr>
                    <w:t>Projekto pavadi-nimas</w:t>
                  </w:r>
                </w:p>
              </w:tc>
              <w:tc>
                <w:tcPr>
                  <w:tcW w:w="801"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14:paraId="359D54AE" w14:textId="77777777"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b/>
                      <w:bCs/>
                      <w:color w:val="000000"/>
                      <w:sz w:val="18"/>
                      <w:szCs w:val="18"/>
                      <w:lang w:val="lt-LT" w:eastAsia="lt-LT"/>
                    </w:rPr>
                    <w:t>FEF įsiparei-gojimai</w:t>
                  </w:r>
                  <w:r w:rsidRPr="002C3FA0">
                    <w:rPr>
                      <w:rFonts w:ascii="Georgia" w:eastAsia="Times New Roman" w:hAnsi="Georgia" w:cs="Arial"/>
                      <w:b/>
                      <w:bCs/>
                      <w:color w:val="000000"/>
                      <w:sz w:val="18"/>
                      <w:szCs w:val="18"/>
                      <w:lang w:val="lt-LT" w:eastAsia="lt-LT"/>
                    </w:rPr>
                    <w:br/>
                    <w:t>(mln. £)</w:t>
                  </w:r>
                </w:p>
              </w:tc>
              <w:tc>
                <w:tcPr>
                  <w:tcW w:w="816"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14:paraId="6FC65600" w14:textId="77777777"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b/>
                      <w:bCs/>
                      <w:color w:val="000000"/>
                      <w:sz w:val="18"/>
                      <w:szCs w:val="18"/>
                      <w:lang w:val="lt-LT" w:eastAsia="lt-LT"/>
                    </w:rPr>
                    <w:t>Bendra projekto vertė</w:t>
                  </w:r>
                  <w:r w:rsidRPr="002C3FA0">
                    <w:rPr>
                      <w:rFonts w:ascii="Georgia" w:eastAsia="Times New Roman" w:hAnsi="Georgia" w:cs="Arial"/>
                      <w:b/>
                      <w:bCs/>
                      <w:color w:val="000000"/>
                      <w:sz w:val="18"/>
                      <w:szCs w:val="18"/>
                      <w:lang w:val="lt-LT" w:eastAsia="lt-LT"/>
                    </w:rPr>
                    <w:br/>
                    <w:t>(mln. £)</w:t>
                  </w:r>
                </w:p>
              </w:tc>
              <w:tc>
                <w:tcPr>
                  <w:tcW w:w="758"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14:paraId="26DE2015" w14:textId="77777777"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b/>
                      <w:bCs/>
                      <w:color w:val="000000"/>
                      <w:sz w:val="18"/>
                      <w:szCs w:val="18"/>
                      <w:lang w:val="lt-LT" w:eastAsia="lt-LT"/>
                    </w:rPr>
                    <w:t>Pirmos inves-ticijos data</w:t>
                  </w:r>
                </w:p>
              </w:tc>
              <w:tc>
                <w:tcPr>
                  <w:tcW w:w="1626"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14:paraId="328196A1" w14:textId="77777777"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b/>
                      <w:bCs/>
                      <w:color w:val="000000"/>
                      <w:sz w:val="18"/>
                      <w:szCs w:val="18"/>
                      <w:lang w:val="lt-LT" w:eastAsia="lt-LT"/>
                    </w:rPr>
                    <w:t>Projekto aprašymas</w:t>
                  </w:r>
                </w:p>
              </w:tc>
            </w:tr>
            <w:tr w:rsidR="00467B8E" w:rsidRPr="002C3FA0" w14:paraId="598E9552" w14:textId="77777777" w:rsidTr="00BB18F6">
              <w:trPr>
                <w:trHeight w:val="1650"/>
                <w:tblHeader/>
              </w:trPr>
              <w:tc>
                <w:tcPr>
                  <w:tcW w:w="999"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E698AFF" w14:textId="77777777" w:rsidR="00467B8E" w:rsidRPr="002C3FA0" w:rsidRDefault="00467B8E" w:rsidP="00BB18F6">
                  <w:pPr>
                    <w:spacing w:after="0" w:line="240" w:lineRule="auto"/>
                    <w:rPr>
                      <w:rFonts w:ascii="Georgia" w:eastAsia="Times New Roman" w:hAnsi="Georgia" w:cs="Arial"/>
                      <w:color w:val="222222"/>
                      <w:sz w:val="18"/>
                      <w:szCs w:val="18"/>
                      <w:lang w:val="lt-LT" w:eastAsia="lt-LT"/>
                    </w:rPr>
                  </w:pPr>
                  <w:r w:rsidRPr="002C3FA0">
                    <w:rPr>
                      <w:rFonts w:ascii="Georgia" w:eastAsia="Times New Roman" w:hAnsi="Georgia" w:cs="Arial"/>
                      <w:b/>
                      <w:bCs/>
                      <w:color w:val="000000"/>
                      <w:sz w:val="18"/>
                      <w:szCs w:val="18"/>
                      <w:lang w:val="lt-LT" w:eastAsia="lt-LT"/>
                    </w:rPr>
                    <w:t>Plas Recycle</w:t>
                  </w:r>
                </w:p>
              </w:tc>
              <w:tc>
                <w:tcPr>
                  <w:tcW w:w="801"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062105" w14:textId="77777777"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5,6</w:t>
                  </w:r>
                </w:p>
              </w:tc>
              <w:tc>
                <w:tcPr>
                  <w:tcW w:w="816"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2D8220" w14:textId="77777777"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10,7</w:t>
                  </w:r>
                </w:p>
              </w:tc>
              <w:tc>
                <w:tcPr>
                  <w:tcW w:w="758"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E5E023" w14:textId="77777777"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2012 m. kovas</w:t>
                  </w:r>
                </w:p>
              </w:tc>
              <w:tc>
                <w:tcPr>
                  <w:tcW w:w="1626"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9D488BD" w14:textId="77777777" w:rsidR="00467B8E" w:rsidRPr="002C3FA0" w:rsidRDefault="00467B8E" w:rsidP="00BB18F6">
                  <w:pPr>
                    <w:spacing w:after="0" w:line="240" w:lineRule="auto"/>
                    <w:rPr>
                      <w:rFonts w:ascii="Georgia" w:eastAsia="Times New Roman" w:hAnsi="Georgia" w:cs="Arial"/>
                      <w:color w:val="222222"/>
                      <w:sz w:val="18"/>
                      <w:szCs w:val="18"/>
                      <w:lang w:val="lt-LT" w:eastAsia="lt-LT"/>
                    </w:rPr>
                  </w:pPr>
                  <w:r w:rsidRPr="002C3FA0">
                    <w:rPr>
                      <w:rFonts w:ascii="Georgia" w:eastAsia="Times New Roman" w:hAnsi="Georgia" w:cs="Arial"/>
                      <w:i/>
                      <w:color w:val="222222"/>
                      <w:sz w:val="18"/>
                      <w:szCs w:val="18"/>
                      <w:lang w:val="lt-LT" w:eastAsia="lt-LT"/>
                    </w:rPr>
                    <w:t>PlasRecycle</w:t>
                  </w:r>
                  <w:r w:rsidRPr="002C3FA0">
                    <w:rPr>
                      <w:rFonts w:ascii="Georgia" w:eastAsia="Times New Roman" w:hAnsi="Georgia" w:cs="Arial"/>
                      <w:color w:val="222222"/>
                      <w:sz w:val="18"/>
                      <w:szCs w:val="18"/>
                      <w:lang w:val="lt-LT" w:eastAsia="lt-LT"/>
                    </w:rPr>
                    <w:t xml:space="preserve"> projektas plėtoja pirmuosius Jungtinėje Karalystėje specializuotus plastikinių maišelių ir plėvelės perdirbimo įrenginius. Baigus įgyvendinti projektą šie įrenginiai bus pajėgūs kasmet perdirbti iki 20.000 t. plastikinių paketų ir plėvelės į švarią plastiko žaliavą, kuri vėliau bus naudojama naujų šiukšlių maišelių gamybai.</w:t>
                  </w:r>
                </w:p>
              </w:tc>
            </w:tr>
            <w:tr w:rsidR="00467B8E" w:rsidRPr="002C3FA0" w14:paraId="22123456" w14:textId="77777777" w:rsidTr="00BB18F6">
              <w:trPr>
                <w:trHeight w:val="690"/>
                <w:tblHeader/>
              </w:trPr>
              <w:tc>
                <w:tcPr>
                  <w:tcW w:w="999"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E0362C0" w14:textId="77777777" w:rsidR="00467B8E" w:rsidRPr="002C3FA0" w:rsidRDefault="00467B8E" w:rsidP="00BB18F6">
                  <w:pPr>
                    <w:spacing w:after="0" w:line="240" w:lineRule="auto"/>
                    <w:rPr>
                      <w:rFonts w:ascii="Georgia" w:eastAsia="Times New Roman" w:hAnsi="Georgia" w:cs="Arial"/>
                      <w:color w:val="222222"/>
                      <w:sz w:val="18"/>
                      <w:szCs w:val="18"/>
                      <w:lang w:val="lt-LT" w:eastAsia="lt-LT"/>
                    </w:rPr>
                  </w:pPr>
                  <w:r w:rsidRPr="002C3FA0">
                    <w:rPr>
                      <w:rFonts w:ascii="Georgia" w:eastAsia="Times New Roman" w:hAnsi="Georgia" w:cs="Arial"/>
                      <w:b/>
                      <w:bCs/>
                      <w:color w:val="000000"/>
                      <w:sz w:val="18"/>
                      <w:szCs w:val="18"/>
                      <w:lang w:val="lt-LT" w:eastAsia="lt-LT"/>
                    </w:rPr>
                    <w:lastRenderedPageBreak/>
                    <w:t>TEG Biogas</w:t>
                  </w:r>
                </w:p>
              </w:tc>
              <w:tc>
                <w:tcPr>
                  <w:tcW w:w="801"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2F0322B" w14:textId="77777777"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9,0</w:t>
                  </w:r>
                </w:p>
              </w:tc>
              <w:tc>
                <w:tcPr>
                  <w:tcW w:w="816"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C19456" w14:textId="77777777"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22,9</w:t>
                  </w:r>
                </w:p>
              </w:tc>
              <w:tc>
                <w:tcPr>
                  <w:tcW w:w="758"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4644C55" w14:textId="77777777"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2012 m. rugpjūtis</w:t>
                  </w:r>
                </w:p>
              </w:tc>
              <w:tc>
                <w:tcPr>
                  <w:tcW w:w="1626"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6D12F5A" w14:textId="77777777" w:rsidR="00467B8E" w:rsidRPr="002C3FA0" w:rsidRDefault="00467B8E" w:rsidP="00BB18F6">
                  <w:pPr>
                    <w:spacing w:after="0" w:line="240" w:lineRule="auto"/>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 xml:space="preserve">Projekto pajėgumai: 30.000 tonų per metus 1,4 MW anaerobinio pūdymo jėgainės ir 19,000 tonų per metus kompostavimo tunelyje (angl. </w:t>
                  </w:r>
                  <w:r w:rsidRPr="002C3FA0">
                    <w:rPr>
                      <w:rFonts w:ascii="Georgia" w:eastAsia="Times New Roman" w:hAnsi="Georgia" w:cs="Arial"/>
                      <w:i/>
                      <w:color w:val="000000"/>
                      <w:sz w:val="18"/>
                      <w:szCs w:val="18"/>
                      <w:lang w:val="lt-LT" w:eastAsia="lt-LT"/>
                    </w:rPr>
                    <w:t>in-vessel composting</w:t>
                  </w:r>
                  <w:r w:rsidRPr="002C3FA0">
                    <w:rPr>
                      <w:rFonts w:ascii="Georgia" w:eastAsia="Times New Roman" w:hAnsi="Georgia" w:cs="Arial"/>
                      <w:color w:val="000000"/>
                      <w:sz w:val="18"/>
                      <w:szCs w:val="18"/>
                      <w:lang w:val="lt-LT" w:eastAsia="lt-LT"/>
                    </w:rPr>
                    <w:t>) jėgainės statyba.</w:t>
                  </w:r>
                </w:p>
              </w:tc>
            </w:tr>
            <w:tr w:rsidR="00467B8E" w:rsidRPr="002C3FA0" w14:paraId="19FEB8F6" w14:textId="77777777" w:rsidTr="00BB18F6">
              <w:trPr>
                <w:trHeight w:val="1575"/>
                <w:tblHeader/>
              </w:trPr>
              <w:tc>
                <w:tcPr>
                  <w:tcW w:w="999"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6E9A44" w14:textId="77777777" w:rsidR="00467B8E" w:rsidRPr="002C3FA0" w:rsidRDefault="00467B8E" w:rsidP="00BB18F6">
                  <w:pPr>
                    <w:spacing w:after="0" w:line="240" w:lineRule="auto"/>
                    <w:rPr>
                      <w:rFonts w:ascii="Georgia" w:eastAsia="Times New Roman" w:hAnsi="Georgia" w:cs="Arial"/>
                      <w:color w:val="222222"/>
                      <w:sz w:val="18"/>
                      <w:szCs w:val="18"/>
                      <w:lang w:val="lt-LT" w:eastAsia="lt-LT"/>
                    </w:rPr>
                  </w:pPr>
                  <w:r w:rsidRPr="002C3FA0">
                    <w:rPr>
                      <w:rFonts w:ascii="Georgia" w:eastAsia="Times New Roman" w:hAnsi="Georgia" w:cs="Arial"/>
                      <w:b/>
                      <w:bCs/>
                      <w:color w:val="000000"/>
                      <w:sz w:val="18"/>
                      <w:szCs w:val="18"/>
                      <w:lang w:val="lt-LT" w:eastAsia="lt-LT"/>
                    </w:rPr>
                    <w:t>Closed Loop Recycling</w:t>
                  </w:r>
                </w:p>
              </w:tc>
              <w:tc>
                <w:tcPr>
                  <w:tcW w:w="801"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20E012" w14:textId="77777777"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7,9</w:t>
                  </w:r>
                </w:p>
              </w:tc>
              <w:tc>
                <w:tcPr>
                  <w:tcW w:w="816"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40E350" w14:textId="77777777"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53,8</w:t>
                  </w:r>
                </w:p>
              </w:tc>
              <w:tc>
                <w:tcPr>
                  <w:tcW w:w="758"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55D468F" w14:textId="77777777"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2013 m. sausis</w:t>
                  </w:r>
                </w:p>
              </w:tc>
              <w:tc>
                <w:tcPr>
                  <w:tcW w:w="1626"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668B544" w14:textId="77777777" w:rsidR="00467B8E" w:rsidRPr="002C3FA0" w:rsidRDefault="00467B8E" w:rsidP="00BB18F6">
                  <w:pPr>
                    <w:spacing w:after="0" w:line="240" w:lineRule="auto"/>
                    <w:rPr>
                      <w:rFonts w:ascii="Georgia" w:eastAsia="Times New Roman" w:hAnsi="Georgia" w:cs="Arial"/>
                      <w:color w:val="000000"/>
                      <w:sz w:val="18"/>
                      <w:szCs w:val="18"/>
                      <w:lang w:val="lt-LT" w:eastAsia="lt-LT"/>
                    </w:rPr>
                  </w:pPr>
                  <w:r w:rsidRPr="002C3FA0">
                    <w:rPr>
                      <w:rFonts w:ascii="Georgia" w:eastAsia="Times New Roman" w:hAnsi="Georgia" w:cs="Arial"/>
                      <w:i/>
                      <w:color w:val="000000"/>
                      <w:sz w:val="18"/>
                      <w:szCs w:val="18"/>
                      <w:lang w:val="lt-LT" w:eastAsia="lt-LT"/>
                    </w:rPr>
                    <w:t>Closed Loop Recycling</w:t>
                  </w:r>
                  <w:r w:rsidRPr="002C3FA0">
                    <w:rPr>
                      <w:rFonts w:ascii="Georgia" w:eastAsia="Times New Roman" w:hAnsi="Georgia" w:cs="Arial"/>
                      <w:color w:val="000000"/>
                      <w:sz w:val="18"/>
                      <w:szCs w:val="18"/>
                      <w:lang w:val="lt-LT" w:eastAsia="lt-LT"/>
                    </w:rPr>
                    <w:t xml:space="preserve"> yra pirmoji pasaulyje plastikinių butelių, naudojamų maisto pramonėje, perdirbimo gamykla. Naudojama perdirbimo technologija leidžia rūšiuoti, smulkinti, nuplauti ir išvalyti iki 35.000 tonų plastikinių butelių bei paversti juos į žaliavą, kuri naudojama gaminant naujas maisto produktų ir gėrimų pakuotes.</w:t>
                  </w:r>
                </w:p>
              </w:tc>
            </w:tr>
            <w:tr w:rsidR="00467B8E" w:rsidRPr="002C3FA0" w14:paraId="02359264" w14:textId="77777777" w:rsidTr="00BB18F6">
              <w:trPr>
                <w:trHeight w:val="660"/>
                <w:tblHeader/>
              </w:trPr>
              <w:tc>
                <w:tcPr>
                  <w:tcW w:w="999"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C0A853D" w14:textId="77777777" w:rsidR="00467B8E" w:rsidRPr="002C3FA0" w:rsidRDefault="00467B8E" w:rsidP="00BB18F6">
                  <w:pPr>
                    <w:spacing w:after="0" w:line="240" w:lineRule="auto"/>
                    <w:rPr>
                      <w:rFonts w:ascii="Georgia" w:eastAsia="Times New Roman" w:hAnsi="Georgia" w:cs="Arial"/>
                      <w:color w:val="222222"/>
                      <w:sz w:val="18"/>
                      <w:szCs w:val="18"/>
                      <w:lang w:val="lt-LT" w:eastAsia="lt-LT"/>
                    </w:rPr>
                  </w:pPr>
                  <w:r w:rsidRPr="002C3FA0">
                    <w:rPr>
                      <w:rFonts w:ascii="Georgia" w:eastAsia="Times New Roman" w:hAnsi="Georgia" w:cs="Arial"/>
                      <w:b/>
                      <w:bCs/>
                      <w:color w:val="000000"/>
                      <w:sz w:val="18"/>
                      <w:szCs w:val="18"/>
                      <w:lang w:val="lt-LT" w:eastAsia="lt-LT"/>
                    </w:rPr>
                    <w:t>London Recycling &amp; Renewable Energy</w:t>
                  </w:r>
                </w:p>
              </w:tc>
              <w:tc>
                <w:tcPr>
                  <w:tcW w:w="801"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A66721" w14:textId="77777777"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9,0</w:t>
                  </w:r>
                </w:p>
              </w:tc>
              <w:tc>
                <w:tcPr>
                  <w:tcW w:w="816"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CF1B07" w14:textId="77777777"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9,0</w:t>
                  </w:r>
                </w:p>
              </w:tc>
              <w:tc>
                <w:tcPr>
                  <w:tcW w:w="758"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04CC4AB" w14:textId="77777777"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2013 m. rugsėjis</w:t>
                  </w:r>
                </w:p>
              </w:tc>
              <w:tc>
                <w:tcPr>
                  <w:tcW w:w="1626"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C21A7F8" w14:textId="77777777" w:rsidR="00467B8E" w:rsidRPr="002C3FA0" w:rsidRDefault="00467B8E" w:rsidP="00BB18F6">
                  <w:pPr>
                    <w:spacing w:after="0" w:line="240" w:lineRule="auto"/>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9,0 MW energiją iš atliekų gaminančios jėgainės ir atliekų perdirbimo įrenginių statyba.</w:t>
                  </w:r>
                </w:p>
              </w:tc>
            </w:tr>
            <w:tr w:rsidR="00467B8E" w:rsidRPr="002C3FA0" w14:paraId="1E0080FD" w14:textId="77777777" w:rsidTr="00BB18F6">
              <w:trPr>
                <w:trHeight w:val="660"/>
                <w:tblHeader/>
              </w:trPr>
              <w:tc>
                <w:tcPr>
                  <w:tcW w:w="999"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C3DA9C5" w14:textId="77777777" w:rsidR="00467B8E" w:rsidRPr="002C3FA0" w:rsidRDefault="00467B8E" w:rsidP="00BB18F6">
                  <w:pPr>
                    <w:spacing w:after="0" w:line="240" w:lineRule="auto"/>
                    <w:rPr>
                      <w:rFonts w:ascii="Georgia" w:eastAsia="Times New Roman" w:hAnsi="Georgia" w:cs="Arial"/>
                      <w:color w:val="222222"/>
                      <w:sz w:val="18"/>
                      <w:szCs w:val="18"/>
                      <w:lang w:val="lt-LT" w:eastAsia="lt-LT"/>
                    </w:rPr>
                  </w:pPr>
                  <w:r w:rsidRPr="002C3FA0">
                    <w:rPr>
                      <w:rFonts w:ascii="Georgia" w:eastAsia="Times New Roman" w:hAnsi="Georgia" w:cs="Arial"/>
                      <w:b/>
                      <w:bCs/>
                      <w:color w:val="000000"/>
                      <w:sz w:val="18"/>
                      <w:szCs w:val="18"/>
                      <w:lang w:val="lt-LT" w:eastAsia="lt-LT"/>
                    </w:rPr>
                    <w:t>React Energy</w:t>
                  </w:r>
                </w:p>
              </w:tc>
              <w:tc>
                <w:tcPr>
                  <w:tcW w:w="801"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A6C130" w14:textId="77777777"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8,7</w:t>
                  </w:r>
                </w:p>
              </w:tc>
              <w:tc>
                <w:tcPr>
                  <w:tcW w:w="816"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4E1804" w14:textId="77777777"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8,7</w:t>
                  </w:r>
                </w:p>
              </w:tc>
              <w:tc>
                <w:tcPr>
                  <w:tcW w:w="758"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AFC3987" w14:textId="77777777"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2013 m. gruodis</w:t>
                  </w:r>
                </w:p>
              </w:tc>
              <w:tc>
                <w:tcPr>
                  <w:tcW w:w="1626"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937D558" w14:textId="77777777" w:rsidR="00467B8E" w:rsidRPr="002C3FA0" w:rsidRDefault="00467B8E" w:rsidP="00BB18F6">
                  <w:pPr>
                    <w:spacing w:after="0" w:line="240" w:lineRule="auto"/>
                    <w:rPr>
                      <w:rFonts w:ascii="Georgia" w:eastAsia="Times New Roman" w:hAnsi="Georgia" w:cs="Arial"/>
                      <w:color w:val="000000"/>
                      <w:sz w:val="18"/>
                      <w:szCs w:val="18"/>
                      <w:lang w:val="lt-LT" w:eastAsia="lt-LT"/>
                    </w:rPr>
                  </w:pPr>
                  <w:r w:rsidRPr="002C3FA0">
                    <w:rPr>
                      <w:rFonts w:ascii="Georgia" w:eastAsia="Times New Roman" w:hAnsi="Georgia" w:cs="Arial"/>
                      <w:color w:val="000000"/>
                      <w:sz w:val="18"/>
                      <w:szCs w:val="18"/>
                      <w:lang w:val="lt-LT" w:eastAsia="lt-LT"/>
                    </w:rPr>
                    <w:t>10,3 MW kogeneracinės biomasės jėgainės statyba.</w:t>
                  </w:r>
                </w:p>
              </w:tc>
            </w:tr>
            <w:tr w:rsidR="00467B8E" w:rsidRPr="002C3FA0" w14:paraId="322ED42E" w14:textId="77777777" w:rsidTr="00BB18F6">
              <w:trPr>
                <w:trHeight w:val="1005"/>
                <w:tblHeader/>
              </w:trPr>
              <w:tc>
                <w:tcPr>
                  <w:tcW w:w="999"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613298" w14:textId="77777777" w:rsidR="00467B8E" w:rsidRPr="002C3FA0" w:rsidRDefault="00467B8E" w:rsidP="00BB18F6">
                  <w:pPr>
                    <w:spacing w:after="0" w:line="240" w:lineRule="auto"/>
                    <w:rPr>
                      <w:rFonts w:ascii="Georgia" w:eastAsia="Times New Roman" w:hAnsi="Georgia" w:cs="Arial"/>
                      <w:color w:val="222222"/>
                      <w:sz w:val="18"/>
                      <w:szCs w:val="18"/>
                      <w:lang w:val="lt-LT" w:eastAsia="lt-LT"/>
                    </w:rPr>
                  </w:pPr>
                  <w:r w:rsidRPr="002C3FA0">
                    <w:rPr>
                      <w:rFonts w:ascii="Georgia" w:eastAsia="Times New Roman" w:hAnsi="Georgia" w:cs="Arial"/>
                      <w:b/>
                      <w:bCs/>
                      <w:color w:val="000000"/>
                      <w:sz w:val="18"/>
                      <w:szCs w:val="18"/>
                      <w:lang w:val="lt-LT" w:eastAsia="lt-LT"/>
                    </w:rPr>
                    <w:t>Orion Support Services</w:t>
                  </w:r>
                </w:p>
              </w:tc>
              <w:tc>
                <w:tcPr>
                  <w:tcW w:w="801"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DEAC09" w14:textId="77777777"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1,0</w:t>
                  </w:r>
                </w:p>
              </w:tc>
              <w:tc>
                <w:tcPr>
                  <w:tcW w:w="816"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7AC5A9" w14:textId="77777777"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1,0</w:t>
                  </w:r>
                </w:p>
              </w:tc>
              <w:tc>
                <w:tcPr>
                  <w:tcW w:w="758"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CFDCFEB" w14:textId="77777777"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2014 m. balandis</w:t>
                  </w:r>
                </w:p>
              </w:tc>
              <w:tc>
                <w:tcPr>
                  <w:tcW w:w="1626"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1E36F2" w14:textId="77777777" w:rsidR="00467B8E" w:rsidRPr="002C3FA0" w:rsidRDefault="00467B8E" w:rsidP="00BB18F6">
                  <w:pPr>
                    <w:spacing w:after="0" w:line="240" w:lineRule="auto"/>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 xml:space="preserve">Pradinės investicijos skirtos </w:t>
                  </w:r>
                  <w:r w:rsidRPr="002C3FA0">
                    <w:rPr>
                      <w:rFonts w:ascii="Georgia" w:eastAsia="Times New Roman" w:hAnsi="Georgia" w:cs="Arial"/>
                      <w:i/>
                      <w:color w:val="000000"/>
                      <w:sz w:val="18"/>
                      <w:szCs w:val="18"/>
                      <w:lang w:val="lt-LT" w:eastAsia="lt-LT"/>
                    </w:rPr>
                    <w:t>Orion</w:t>
                  </w:r>
                  <w:r w:rsidRPr="002C3FA0">
                    <w:rPr>
                      <w:rFonts w:ascii="Georgia" w:eastAsia="Times New Roman" w:hAnsi="Georgia" w:cs="Arial"/>
                      <w:color w:val="000000"/>
                      <w:sz w:val="18"/>
                      <w:szCs w:val="18"/>
                      <w:lang w:val="lt-LT" w:eastAsia="lt-LT"/>
                    </w:rPr>
                    <w:t xml:space="preserve"> plėtrai. </w:t>
                  </w:r>
                  <w:r w:rsidRPr="002C3FA0">
                    <w:rPr>
                      <w:rFonts w:ascii="Georgia" w:eastAsia="Times New Roman" w:hAnsi="Georgia" w:cs="Arial"/>
                      <w:i/>
                      <w:color w:val="000000"/>
                      <w:sz w:val="18"/>
                      <w:szCs w:val="18"/>
                      <w:lang w:val="lt-LT" w:eastAsia="lt-LT"/>
                    </w:rPr>
                    <w:t>Orion</w:t>
                  </w:r>
                  <w:r w:rsidRPr="002C3FA0">
                    <w:rPr>
                      <w:rFonts w:ascii="Georgia" w:eastAsia="Times New Roman" w:hAnsi="Georgia" w:cs="Arial"/>
                      <w:color w:val="000000"/>
                      <w:sz w:val="18"/>
                      <w:szCs w:val="18"/>
                      <w:lang w:val="lt-LT" w:eastAsia="lt-LT"/>
                    </w:rPr>
                    <w:t xml:space="preserve"> yra bendrovė teikianti komercinių, pramoninių, statybos ir griovimo atliekų surinkimo ir perdirbimo paslaugas.</w:t>
                  </w:r>
                </w:p>
              </w:tc>
            </w:tr>
            <w:tr w:rsidR="00467B8E" w:rsidRPr="002C3FA0" w14:paraId="1EA1E073" w14:textId="77777777" w:rsidTr="00BB18F6">
              <w:trPr>
                <w:trHeight w:val="870"/>
                <w:tblHeader/>
              </w:trPr>
              <w:tc>
                <w:tcPr>
                  <w:tcW w:w="999"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8EC2A0" w14:textId="77777777" w:rsidR="00467B8E" w:rsidRPr="002C3FA0" w:rsidRDefault="00467B8E" w:rsidP="00BB18F6">
                  <w:pPr>
                    <w:spacing w:after="0" w:line="240" w:lineRule="auto"/>
                    <w:rPr>
                      <w:rFonts w:ascii="Georgia" w:eastAsia="Times New Roman" w:hAnsi="Georgia" w:cs="Arial"/>
                      <w:color w:val="222222"/>
                      <w:sz w:val="18"/>
                      <w:szCs w:val="18"/>
                      <w:lang w:val="lt-LT" w:eastAsia="lt-LT"/>
                    </w:rPr>
                  </w:pPr>
                  <w:r w:rsidRPr="002C3FA0">
                    <w:rPr>
                      <w:rFonts w:ascii="Georgia" w:eastAsia="Times New Roman" w:hAnsi="Georgia" w:cs="Arial"/>
                      <w:b/>
                      <w:bCs/>
                      <w:color w:val="000000"/>
                      <w:sz w:val="18"/>
                      <w:szCs w:val="18"/>
                      <w:lang w:val="lt-LT" w:eastAsia="lt-LT"/>
                    </w:rPr>
                    <w:t>Willen Biogas</w:t>
                  </w:r>
                </w:p>
              </w:tc>
              <w:tc>
                <w:tcPr>
                  <w:tcW w:w="801"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4CD4CC5" w14:textId="77777777"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7,5</w:t>
                  </w:r>
                </w:p>
              </w:tc>
              <w:tc>
                <w:tcPr>
                  <w:tcW w:w="816"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306D078" w14:textId="77777777"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14,9</w:t>
                  </w:r>
                </w:p>
              </w:tc>
              <w:tc>
                <w:tcPr>
                  <w:tcW w:w="758"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778808F" w14:textId="77777777" w:rsidR="00467B8E" w:rsidRPr="002C3FA0" w:rsidRDefault="00467B8E" w:rsidP="00BB18F6">
                  <w:pPr>
                    <w:spacing w:after="0" w:line="240" w:lineRule="auto"/>
                    <w:jc w:val="center"/>
                    <w:rPr>
                      <w:rFonts w:ascii="Georgia" w:eastAsia="Times New Roman" w:hAnsi="Georgia" w:cs="Arial"/>
                      <w:color w:val="222222"/>
                      <w:sz w:val="18"/>
                      <w:szCs w:val="18"/>
                      <w:lang w:val="lt-LT" w:eastAsia="lt-LT"/>
                    </w:rPr>
                  </w:pPr>
                  <w:r w:rsidRPr="002C3FA0">
                    <w:rPr>
                      <w:rFonts w:ascii="Georgia" w:eastAsia="Times New Roman" w:hAnsi="Georgia" w:cs="Arial"/>
                      <w:color w:val="000000"/>
                      <w:sz w:val="18"/>
                      <w:szCs w:val="18"/>
                      <w:lang w:val="lt-LT" w:eastAsia="lt-LT"/>
                    </w:rPr>
                    <w:t>2014 m. gegužė</w:t>
                  </w:r>
                </w:p>
              </w:tc>
              <w:tc>
                <w:tcPr>
                  <w:tcW w:w="1626"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4E8B62D" w14:textId="77777777" w:rsidR="00467B8E" w:rsidRPr="002C3FA0" w:rsidRDefault="00467B8E" w:rsidP="00BB18F6">
                  <w:pPr>
                    <w:spacing w:after="0" w:line="240" w:lineRule="auto"/>
                    <w:rPr>
                      <w:rFonts w:ascii="Georgia" w:eastAsia="Times New Roman" w:hAnsi="Georgia" w:cs="Arial"/>
                      <w:color w:val="000000"/>
                      <w:sz w:val="18"/>
                      <w:szCs w:val="18"/>
                      <w:lang w:val="lt-LT" w:eastAsia="lt-LT"/>
                    </w:rPr>
                  </w:pPr>
                  <w:r w:rsidRPr="002C3FA0">
                    <w:rPr>
                      <w:rFonts w:ascii="Georgia" w:eastAsia="Times New Roman" w:hAnsi="Georgia" w:cs="Arial"/>
                      <w:color w:val="000000"/>
                      <w:sz w:val="18"/>
                      <w:szCs w:val="18"/>
                      <w:lang w:val="lt-LT" w:eastAsia="lt-LT"/>
                    </w:rPr>
                    <w:t xml:space="preserve">32.400 tonų per metus aerobinio pūdymo jėgainės ir 25.000 tonų per metus žaliųjų atliekų kompostavimo kaupuose (angl. </w:t>
                  </w:r>
                  <w:r w:rsidRPr="002C3FA0">
                    <w:rPr>
                      <w:rFonts w:ascii="Georgia" w:eastAsia="Times New Roman" w:hAnsi="Georgia" w:cs="Arial"/>
                      <w:i/>
                      <w:color w:val="000000"/>
                      <w:sz w:val="18"/>
                      <w:szCs w:val="18"/>
                      <w:lang w:val="lt-LT" w:eastAsia="lt-LT"/>
                    </w:rPr>
                    <w:t>Green Waste Open Windrow Composting</w:t>
                  </w:r>
                  <w:r w:rsidRPr="002C3FA0">
                    <w:rPr>
                      <w:rFonts w:ascii="Georgia" w:eastAsia="Times New Roman" w:hAnsi="Georgia" w:cs="Arial"/>
                      <w:color w:val="000000"/>
                      <w:sz w:val="18"/>
                      <w:szCs w:val="18"/>
                      <w:lang w:val="lt-LT" w:eastAsia="lt-LT"/>
                    </w:rPr>
                    <w:t>) jėgainės statyba.</w:t>
                  </w:r>
                </w:p>
              </w:tc>
            </w:tr>
            <w:tr w:rsidR="00467B8E" w:rsidRPr="002C3FA0" w14:paraId="66B26CF4" w14:textId="77777777" w:rsidTr="00BB18F6">
              <w:trPr>
                <w:trHeight w:val="525"/>
                <w:tblHeader/>
              </w:trPr>
              <w:tc>
                <w:tcPr>
                  <w:tcW w:w="999" w:type="pc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32C583F" w14:textId="77777777" w:rsidR="00467B8E" w:rsidRPr="002C3FA0" w:rsidRDefault="00467B8E" w:rsidP="00BB18F6">
                  <w:pPr>
                    <w:spacing w:after="0" w:line="240" w:lineRule="auto"/>
                    <w:rPr>
                      <w:rFonts w:ascii="Georgia" w:eastAsia="Times New Roman" w:hAnsi="Georgia" w:cs="Arial"/>
                      <w:b/>
                      <w:color w:val="222222"/>
                      <w:sz w:val="18"/>
                      <w:szCs w:val="18"/>
                      <w:lang w:val="lt-LT" w:eastAsia="lt-LT"/>
                    </w:rPr>
                  </w:pPr>
                  <w:r w:rsidRPr="002C3FA0">
                    <w:rPr>
                      <w:rFonts w:ascii="Georgia" w:eastAsia="Times New Roman" w:hAnsi="Georgia" w:cs="Arial"/>
                      <w:b/>
                      <w:bCs/>
                      <w:color w:val="000000"/>
                      <w:sz w:val="18"/>
                      <w:szCs w:val="18"/>
                      <w:lang w:val="lt-LT" w:eastAsia="lt-LT"/>
                    </w:rPr>
                    <w:t>Iš viso:</w:t>
                  </w:r>
                </w:p>
              </w:tc>
              <w:tc>
                <w:tcPr>
                  <w:tcW w:w="801" w:type="pc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74232C5" w14:textId="77777777" w:rsidR="00467B8E" w:rsidRPr="002C3FA0" w:rsidRDefault="00467B8E" w:rsidP="00BB18F6">
                  <w:pPr>
                    <w:spacing w:after="0" w:line="240" w:lineRule="auto"/>
                    <w:jc w:val="center"/>
                    <w:rPr>
                      <w:rFonts w:ascii="Georgia" w:eastAsia="Times New Roman" w:hAnsi="Georgia" w:cs="Arial"/>
                      <w:b/>
                      <w:color w:val="222222"/>
                      <w:sz w:val="18"/>
                      <w:szCs w:val="18"/>
                      <w:lang w:val="lt-LT" w:eastAsia="lt-LT"/>
                    </w:rPr>
                  </w:pPr>
                  <w:r w:rsidRPr="002C3FA0">
                    <w:rPr>
                      <w:rFonts w:ascii="Georgia" w:eastAsia="Times New Roman" w:hAnsi="Georgia" w:cs="Arial"/>
                      <w:b/>
                      <w:bCs/>
                      <w:color w:val="000000"/>
                      <w:sz w:val="18"/>
                      <w:szCs w:val="18"/>
                      <w:lang w:val="lt-LT" w:eastAsia="lt-LT"/>
                    </w:rPr>
                    <w:t>48,7</w:t>
                  </w:r>
                </w:p>
              </w:tc>
              <w:tc>
                <w:tcPr>
                  <w:tcW w:w="816" w:type="pc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1A266C9" w14:textId="77777777" w:rsidR="00467B8E" w:rsidRPr="002C3FA0" w:rsidRDefault="00467B8E" w:rsidP="00BB18F6">
                  <w:pPr>
                    <w:spacing w:after="0" w:line="240" w:lineRule="auto"/>
                    <w:jc w:val="center"/>
                    <w:rPr>
                      <w:rFonts w:ascii="Georgia" w:eastAsia="Times New Roman" w:hAnsi="Georgia" w:cs="Arial"/>
                      <w:b/>
                      <w:color w:val="222222"/>
                      <w:sz w:val="18"/>
                      <w:szCs w:val="18"/>
                      <w:lang w:val="lt-LT" w:eastAsia="lt-LT"/>
                    </w:rPr>
                  </w:pPr>
                  <w:r w:rsidRPr="002C3FA0">
                    <w:rPr>
                      <w:rFonts w:ascii="Georgia" w:eastAsia="Times New Roman" w:hAnsi="Georgia" w:cs="Arial"/>
                      <w:b/>
                      <w:bCs/>
                      <w:color w:val="000000"/>
                      <w:sz w:val="18"/>
                      <w:szCs w:val="18"/>
                      <w:lang w:val="lt-LT" w:eastAsia="lt-LT"/>
                    </w:rPr>
                    <w:t>121,0</w:t>
                  </w:r>
                </w:p>
              </w:tc>
              <w:tc>
                <w:tcPr>
                  <w:tcW w:w="758" w:type="pc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E4E2834" w14:textId="77777777" w:rsidR="00467B8E" w:rsidRPr="002C3FA0" w:rsidRDefault="00467B8E" w:rsidP="00BB18F6">
                  <w:pPr>
                    <w:spacing w:after="0"/>
                    <w:rPr>
                      <w:rFonts w:ascii="Georgia" w:hAnsi="Georgia" w:cs="Times New Roman"/>
                      <w:sz w:val="18"/>
                      <w:szCs w:val="18"/>
                      <w:lang w:val="lt-LT"/>
                    </w:rPr>
                  </w:pPr>
                </w:p>
              </w:tc>
              <w:tc>
                <w:tcPr>
                  <w:tcW w:w="1626" w:type="pc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bottom"/>
                  <w:hideMark/>
                </w:tcPr>
                <w:p w14:paraId="07691E0C" w14:textId="77777777" w:rsidR="00467B8E" w:rsidRPr="002C3FA0" w:rsidRDefault="00467B8E" w:rsidP="00BB18F6">
                  <w:pPr>
                    <w:spacing w:after="0" w:line="240" w:lineRule="auto"/>
                    <w:jc w:val="center"/>
                    <w:rPr>
                      <w:rFonts w:ascii="Georgia" w:eastAsia="Times New Roman" w:hAnsi="Georgia" w:cs="Arial"/>
                      <w:b/>
                      <w:color w:val="222222"/>
                      <w:sz w:val="18"/>
                      <w:szCs w:val="18"/>
                      <w:lang w:val="lt-LT" w:eastAsia="lt-LT"/>
                    </w:rPr>
                  </w:pPr>
                  <w:r w:rsidRPr="002C3FA0">
                    <w:rPr>
                      <w:rFonts w:ascii="Georgia" w:eastAsia="Times New Roman" w:hAnsi="Georgia" w:cs="Arial"/>
                      <w:b/>
                      <w:color w:val="000000"/>
                      <w:sz w:val="18"/>
                      <w:szCs w:val="18"/>
                      <w:lang w:val="lt-LT" w:eastAsia="lt-LT"/>
                    </w:rPr>
                    <w:t> </w:t>
                  </w:r>
                </w:p>
              </w:tc>
            </w:tr>
          </w:tbl>
          <w:p w14:paraId="660AA820" w14:textId="77777777" w:rsidR="00467B8E" w:rsidRPr="00AC3318" w:rsidRDefault="00467B8E" w:rsidP="00C307BC">
            <w:pPr>
              <w:spacing w:after="120"/>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p>
        </w:tc>
      </w:tr>
      <w:tr w:rsidR="00467B8E" w:rsidRPr="003736DD" w14:paraId="24CAEAED" w14:textId="77777777" w:rsidTr="00467B8E">
        <w:tc>
          <w:tcPr>
            <w:cnfStyle w:val="001000000000" w:firstRow="0" w:lastRow="0" w:firstColumn="1" w:lastColumn="0" w:oddVBand="0" w:evenVBand="0" w:oddHBand="0" w:evenHBand="0" w:firstRowFirstColumn="0" w:firstRowLastColumn="0" w:lastRowFirstColumn="0" w:lastRowLastColumn="0"/>
            <w:tcW w:w="326" w:type="pct"/>
          </w:tcPr>
          <w:p w14:paraId="67EC2C0A" w14:textId="77777777" w:rsidR="00467B8E" w:rsidRPr="00AC3318" w:rsidRDefault="00467B8E" w:rsidP="00C307BC">
            <w:pPr>
              <w:rPr>
                <w:rFonts w:ascii="Georgia" w:hAnsi="Georgia"/>
                <w:b w:val="0"/>
                <w:sz w:val="20"/>
                <w:szCs w:val="20"/>
                <w:lang w:val="lt-LT"/>
              </w:rPr>
            </w:pPr>
            <w:r w:rsidRPr="00AC3318">
              <w:rPr>
                <w:rFonts w:ascii="Georgia" w:hAnsi="Georgia"/>
                <w:sz w:val="20"/>
                <w:szCs w:val="20"/>
                <w:lang w:val="lt-LT"/>
              </w:rPr>
              <w:lastRenderedPageBreak/>
              <w:t>10.</w:t>
            </w:r>
          </w:p>
        </w:tc>
        <w:tc>
          <w:tcPr>
            <w:tcW w:w="1188" w:type="pct"/>
          </w:tcPr>
          <w:p w14:paraId="6A627876" w14:textId="77777777" w:rsidR="00467B8E" w:rsidRPr="00AC3318" w:rsidRDefault="00467B8E" w:rsidP="00C307BC">
            <w:pPr>
              <w:cnfStyle w:val="000000000000" w:firstRow="0" w:lastRow="0" w:firstColumn="0" w:lastColumn="0" w:oddVBand="0" w:evenVBand="0" w:oddHBand="0"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Finansų instrumento indėlis į veiksmų programos tikslų pasiekimą</w:t>
            </w:r>
          </w:p>
        </w:tc>
        <w:tc>
          <w:tcPr>
            <w:tcW w:w="3485" w:type="pct"/>
          </w:tcPr>
          <w:p w14:paraId="5EB4383B" w14:textId="77777777" w:rsidR="00467B8E" w:rsidRPr="00AC3318" w:rsidRDefault="00467B8E" w:rsidP="00C307BC">
            <w:p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LGF finansuojamas 2007-2013 m. Londono ERPF programos lėšomis. Veiksmų programa siekia prisidėti prie dviejų Londono mero ekonominės plėtros strategijos investavimo sričių:</w:t>
            </w:r>
          </w:p>
          <w:p w14:paraId="42DE28D1" w14:textId="77777777" w:rsidR="00467B8E" w:rsidRPr="00AC3318" w:rsidRDefault="00467B8E" w:rsidP="00C03122">
            <w:pPr>
              <w:pStyle w:val="Sraopastraipa"/>
              <w:numPr>
                <w:ilvl w:val="0"/>
                <w:numId w:val="19"/>
              </w:num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investicijos į teritorijas ir infrastruktūrą, skirtos skatinti ekonomikos augimą ir užtikrinti tvarią Londono </w:t>
            </w:r>
            <w:r w:rsidRPr="00AC3318">
              <w:rPr>
                <w:rFonts w:ascii="Georgia" w:hAnsi="Georgia" w:cs="Arial"/>
                <w:sz w:val="20"/>
                <w:szCs w:val="20"/>
                <w:lang w:val="lt-LT"/>
              </w:rPr>
              <w:lastRenderedPageBreak/>
              <w:t>bendruomenių ir įmonių plėtrą;</w:t>
            </w:r>
          </w:p>
          <w:p w14:paraId="5FD0BDA7" w14:textId="77777777" w:rsidR="00467B8E" w:rsidRPr="00AC3318" w:rsidRDefault="00467B8E" w:rsidP="00C03122">
            <w:pPr>
              <w:pStyle w:val="Sraopastraipa"/>
              <w:numPr>
                <w:ilvl w:val="0"/>
                <w:numId w:val="19"/>
              </w:numPr>
              <w:spacing w:after="120"/>
              <w:ind w:left="714" w:hanging="357"/>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investicijos į įmones, skirtos skatinti augimą ir konkurencingumą.</w:t>
            </w:r>
          </w:p>
          <w:p w14:paraId="6608A6CD"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Veiksmų programos vizija – skatinti tvarų, aplinkosauginiu požiūriu veiksmingą augimą Londone, išnaudojant sukauptą inovacijų ir žinių potencialą, daugiausia dėmesio skiriant socialinės įtraukties skatinimui išplečiant ekonomines galimybes bendruomenėse tose teritorijose, kuriose tai labiausiai reikalinga.</w:t>
            </w:r>
          </w:p>
          <w:p w14:paraId="74F3FF54"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 xml:space="preserve">LGF labiausiai prisideda prie trečio veiksmų programos prioriteto – darnios teritorijos verslui (angl. </w:t>
            </w:r>
            <w:r w:rsidRPr="00AC3318">
              <w:rPr>
                <w:rFonts w:ascii="Georgia" w:hAnsi="Georgia" w:cs="Arial"/>
                <w:i/>
                <w:sz w:val="20"/>
                <w:szCs w:val="20"/>
                <w:lang w:val="lt-LT"/>
              </w:rPr>
              <w:t>Sustainable Places for Businesses</w:t>
            </w:r>
            <w:r w:rsidRPr="00AC3318">
              <w:rPr>
                <w:rFonts w:ascii="Georgia" w:hAnsi="Georgia" w:cs="Arial"/>
                <w:sz w:val="20"/>
                <w:szCs w:val="20"/>
                <w:lang w:val="lt-LT"/>
              </w:rPr>
              <w:t>). Pagal šį prioritetą finansuojamas darbo ir aplinkinių erdvių tobulinimas aplinkosauginiu aspektu.</w:t>
            </w:r>
          </w:p>
          <w:p w14:paraId="4F973931"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Programa skatina tvaraus projektavimo ir statybos metodus. Be to, statybų projektai projektavimo etape turi įvertinti maža anglies dvideginio tarša pasižyminčias alternatyvas, atsinaujinančių energijos šaltinių panaudojimą, efektyvų nuotekų tvarkymą ir energijos bei vandens išteklių efektyvų panaudojimą.</w:t>
            </w:r>
          </w:p>
          <w:p w14:paraId="7779FA6B" w14:textId="77777777" w:rsidR="00467B8E" w:rsidRPr="00AC3318" w:rsidRDefault="00467B8E" w:rsidP="00C307BC">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Be to, klimato kaitos poveikio problema Londone yra horizontaliai integruota į kiekvieną ERPF programos finansavimo sritį.</w:t>
            </w:r>
          </w:p>
          <w:p w14:paraId="1D88D11C" w14:textId="77777777" w:rsidR="00467B8E" w:rsidRPr="00AC3318" w:rsidRDefault="00467B8E" w:rsidP="00C307BC">
            <w:pPr>
              <w:spacing w:after="120"/>
              <w:jc w:val="both"/>
              <w:cnfStyle w:val="000000000000" w:firstRow="0" w:lastRow="0" w:firstColumn="0" w:lastColumn="0" w:oddVBand="0" w:evenVBand="0" w:oddHBand="0" w:evenHBand="0" w:firstRowFirstColumn="0" w:firstRowLastColumn="0" w:lastRowFirstColumn="0" w:lastRowLastColumn="0"/>
              <w:rPr>
                <w:rFonts w:ascii="Georgia" w:hAnsi="Georgia" w:cs="Arial"/>
                <w:sz w:val="20"/>
                <w:szCs w:val="20"/>
                <w:lang w:val="lt-LT"/>
              </w:rPr>
            </w:pPr>
            <w:r w:rsidRPr="00AC3318">
              <w:rPr>
                <w:rFonts w:ascii="Georgia" w:hAnsi="Georgia" w:cs="Arial"/>
                <w:sz w:val="20"/>
                <w:szCs w:val="20"/>
                <w:lang w:val="lt-LT"/>
              </w:rPr>
              <w:t>LGF, o tuo pačiu ir LEEF, prisideda prie aplinkosauginių veiksmų programos rodiklių pasiekimo, pvz., aplinkosauginius reikalavimus atitinkantys nauji ar atnaujinti pastatai (m</w:t>
            </w:r>
            <w:r w:rsidRPr="00AC3318">
              <w:rPr>
                <w:rFonts w:ascii="Georgia" w:hAnsi="Georgia" w:cs="Arial"/>
                <w:sz w:val="20"/>
                <w:szCs w:val="20"/>
                <w:vertAlign w:val="superscript"/>
                <w:lang w:val="lt-LT"/>
              </w:rPr>
              <w:t>2</w:t>
            </w:r>
            <w:r w:rsidRPr="00AC3318">
              <w:rPr>
                <w:rFonts w:ascii="Georgia" w:hAnsi="Georgia" w:cs="Arial"/>
                <w:sz w:val="20"/>
                <w:szCs w:val="20"/>
                <w:lang w:val="lt-LT"/>
              </w:rPr>
              <w:t>) ir t.t.</w:t>
            </w:r>
          </w:p>
        </w:tc>
      </w:tr>
      <w:tr w:rsidR="00467B8E" w:rsidRPr="003736DD" w14:paraId="210927A3" w14:textId="77777777" w:rsidTr="004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14:paraId="17A35214" w14:textId="77777777" w:rsidR="00467B8E" w:rsidRPr="00AC3318" w:rsidRDefault="00467B8E" w:rsidP="00C307BC">
            <w:pPr>
              <w:rPr>
                <w:rFonts w:ascii="Georgia" w:hAnsi="Georgia"/>
                <w:b w:val="0"/>
                <w:sz w:val="20"/>
                <w:szCs w:val="20"/>
                <w:lang w:val="lt-LT"/>
              </w:rPr>
            </w:pPr>
            <w:r w:rsidRPr="00AC3318">
              <w:rPr>
                <w:rFonts w:ascii="Georgia" w:hAnsi="Georgia"/>
                <w:sz w:val="20"/>
                <w:szCs w:val="20"/>
                <w:lang w:val="lt-LT"/>
              </w:rPr>
              <w:lastRenderedPageBreak/>
              <w:t>11.</w:t>
            </w:r>
          </w:p>
        </w:tc>
        <w:tc>
          <w:tcPr>
            <w:tcW w:w="1188" w:type="pct"/>
          </w:tcPr>
          <w:p w14:paraId="6F9083C8" w14:textId="77777777" w:rsidR="00467B8E" w:rsidRPr="00AC3318" w:rsidRDefault="00467B8E" w:rsidP="00C307BC">
            <w:pPr>
              <w:spacing w:after="120"/>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Sėkmės faktoriai, pasiteisinusios idėjos/elementai</w:t>
            </w:r>
          </w:p>
          <w:p w14:paraId="161C8A8B" w14:textId="77777777" w:rsidR="00467B8E" w:rsidRPr="00AC3318" w:rsidRDefault="00467B8E" w:rsidP="00C307BC">
            <w:pPr>
              <w:cnfStyle w:val="000000100000" w:firstRow="0" w:lastRow="0" w:firstColumn="0" w:lastColumn="0" w:oddVBand="0" w:evenVBand="0" w:oddHBand="1" w:evenHBand="0" w:firstRowFirstColumn="0" w:firstRowLastColumn="0" w:lastRowFirstColumn="0" w:lastRowLastColumn="0"/>
              <w:rPr>
                <w:rFonts w:ascii="Georgia" w:hAnsi="Georgia"/>
                <w:b/>
                <w:sz w:val="20"/>
                <w:szCs w:val="20"/>
                <w:lang w:val="lt-LT"/>
              </w:rPr>
            </w:pPr>
            <w:r w:rsidRPr="00AC3318">
              <w:rPr>
                <w:rFonts w:ascii="Georgia" w:hAnsi="Georgia"/>
                <w:b/>
                <w:sz w:val="20"/>
                <w:szCs w:val="20"/>
                <w:lang w:val="lt-LT"/>
              </w:rPr>
              <w:t>Problemos su kuriomis susidurta, didesnio rizikingumo aspektai</w:t>
            </w:r>
          </w:p>
        </w:tc>
        <w:tc>
          <w:tcPr>
            <w:tcW w:w="3485" w:type="pct"/>
          </w:tcPr>
          <w:p w14:paraId="5FFBA5C6" w14:textId="77777777" w:rsidR="00467B8E" w:rsidRPr="00AC3318" w:rsidRDefault="00467B8E" w:rsidP="00C307BC">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Tikslus produkto rinkos ir paklausos įvertinimas</w:t>
            </w:r>
            <w:r w:rsidRPr="00AC3318">
              <w:rPr>
                <w:rFonts w:ascii="Georgia" w:hAnsi="Georgia" w:cs="Arial"/>
                <w:sz w:val="20"/>
                <w:szCs w:val="20"/>
                <w:lang w:val="lt-LT"/>
              </w:rPr>
              <w:t>: svarbu teisingai įvertinti tokias produkto savybes kaip kaina (LEEF siūlomas finansavimas yra pigesnis už kitų šaltinių siūlomą finansavimą), trukmę (paprastai LEEF teikia paskolas 10 metų ar trumpalaikį finansavimą plėtrai, kas šiuo metu yra aktualu LEEF tikslinei grupei), tikslinę grupę (atskirų tikslinių grupių poreikius, galimybes gauti specifinį produktą rinkoje), papildomas skatinamąsias priemones (pvz., išankstinio kredito grąžinimo nuobaudų nebuvimą, lanksčius lėšų išmokėjimo ir grąžinimo grafikus, kurie leidžia skolininkui suderinti mokėjimus su išlaidų ir pajamų srautais, kad projektai įplaukų požiūriu skolininkui galėtų būti neutralūs arba generuoti teigiamą grynųjų pinigų srautą, ir pan.).</w:t>
            </w:r>
          </w:p>
          <w:p w14:paraId="54138E5F" w14:textId="77777777" w:rsidR="00467B8E" w:rsidRPr="00AC3318" w:rsidRDefault="00467B8E" w:rsidP="00C307BC">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xml:space="preserve">: Lietuvos atveju rinkos situacija įvertinama atliekant </w:t>
            </w:r>
            <w:r w:rsidRPr="00AC3318">
              <w:rPr>
                <w:rFonts w:ascii="Georgia" w:hAnsi="Georgia" w:cs="Arial"/>
                <w:i/>
                <w:sz w:val="20"/>
                <w:szCs w:val="20"/>
                <w:lang w:val="lt-LT"/>
              </w:rPr>
              <w:t>ex-ante</w:t>
            </w:r>
            <w:r w:rsidRPr="00AC3318">
              <w:rPr>
                <w:rFonts w:ascii="Georgia" w:hAnsi="Georgia" w:cs="Arial"/>
                <w:sz w:val="20"/>
                <w:szCs w:val="20"/>
                <w:lang w:val="lt-LT"/>
              </w:rPr>
              <w:t xml:space="preserve"> studiją.</w:t>
            </w:r>
          </w:p>
          <w:p w14:paraId="0D49AC81" w14:textId="77777777" w:rsidR="00467B8E" w:rsidRPr="00AC3318" w:rsidRDefault="00467B8E" w:rsidP="00C307BC">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Efektyvus instrumentų valdymas</w:t>
            </w:r>
            <w:r w:rsidRPr="00AC3318">
              <w:rPr>
                <w:rFonts w:ascii="Georgia" w:hAnsi="Georgia"/>
                <w:sz w:val="20"/>
                <w:szCs w:val="20"/>
              </w:rPr>
              <w:t>: labai svarbus yra nepriklausomas, kompetentingas ir patikimas sprendimų priėmimas valdant fondą. LGF atveju svarbų vaidmenį atlieka Investicijų taryba, kuri vadovauja svarbiausiems procesams, koreguoja investavimo strategiją ir įsitikina, jog priimami tinkami sprendimai. Svarbu, kad analogiškas funkcijas atliekančioje valdymo institucijoje būtų kompetentingi asmenys, atstovaujantys skirtingas interesų grupes ir požiūrius. Taip pat organizuojami nuolatiniai susitikimai tarp kontroliuojančiojo fondo valdytojo ir miestų plėtros fondų valdytojų.</w:t>
            </w:r>
          </w:p>
          <w:p w14:paraId="5E6B8A1B" w14:textId="77777777" w:rsidR="00467B8E" w:rsidRPr="00AC3318" w:rsidRDefault="00467B8E" w:rsidP="00C307BC">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įgyvendinant finansines priemones Lietuvoje suformuoti kompetentingą valdymo instituciją, užtikrinti efektyvią komunikaciją ir bendradarbiavimą tarp skirtingų modelio lygių ir veikėjų.</w:t>
            </w:r>
          </w:p>
          <w:p w14:paraId="5E9E2551" w14:textId="77777777" w:rsidR="00467B8E" w:rsidRPr="00AC3318" w:rsidRDefault="00467B8E" w:rsidP="00C307BC">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Nefinansinių tikslų nustatymas</w:t>
            </w:r>
            <w:r w:rsidRPr="00AC3318">
              <w:rPr>
                <w:rFonts w:ascii="Georgia" w:hAnsi="Georgia"/>
                <w:sz w:val="20"/>
                <w:szCs w:val="20"/>
              </w:rPr>
              <w:t>: nefinansinių projektų tikslų nustatymas, tokių kaip CO</w:t>
            </w:r>
            <w:r w:rsidRPr="00AC3318">
              <w:rPr>
                <w:rFonts w:ascii="Georgia" w:hAnsi="Georgia"/>
                <w:sz w:val="20"/>
                <w:szCs w:val="20"/>
                <w:vertAlign w:val="subscript"/>
              </w:rPr>
              <w:t>2</w:t>
            </w:r>
            <w:r w:rsidRPr="00AC3318">
              <w:rPr>
                <w:rFonts w:ascii="Georgia" w:hAnsi="Georgia"/>
                <w:sz w:val="20"/>
                <w:szCs w:val="20"/>
              </w:rPr>
              <w:t xml:space="preserve"> taršos mažinimas, buvo inovacija Jungtinėje Karalystėje (kai kalbama apie finansinius produktus), kuri padėjo pasiekti didesnę socialinę-ekonominę naudą. Tokie reikalavimai padėjo investuoti lėšas pagal užsibrėžtus viešosios politikos tikslus ir efektyviau. Pažymėtina, kad miesto plėtros fondams nuo CO</w:t>
            </w:r>
            <w:r w:rsidRPr="00AC3318">
              <w:rPr>
                <w:rFonts w:ascii="Georgia" w:hAnsi="Georgia"/>
                <w:sz w:val="20"/>
                <w:szCs w:val="20"/>
                <w:vertAlign w:val="subscript"/>
              </w:rPr>
              <w:t>2</w:t>
            </w:r>
            <w:r w:rsidRPr="00AC3318">
              <w:rPr>
                <w:rFonts w:ascii="Georgia" w:hAnsi="Georgia"/>
                <w:sz w:val="20"/>
                <w:szCs w:val="20"/>
              </w:rPr>
              <w:t xml:space="preserve"> taršos sumažėjimo priklauso ir jiems mokamas atlyginimas, kas yra nebūdinga privačiam sektoriui.</w:t>
            </w:r>
          </w:p>
          <w:p w14:paraId="740A89C3" w14:textId="77777777" w:rsidR="00467B8E" w:rsidRPr="00AC3318" w:rsidRDefault="00467B8E" w:rsidP="00C307BC">
            <w:pPr>
              <w:pStyle w:val="Default"/>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lastRenderedPageBreak/>
              <w:t>Pasiūlymai</w:t>
            </w:r>
            <w:r w:rsidRPr="00AC3318">
              <w:rPr>
                <w:rFonts w:ascii="Georgia" w:hAnsi="Georgia"/>
                <w:sz w:val="20"/>
                <w:szCs w:val="20"/>
              </w:rPr>
              <w:t>: projektams turėtų būti nustatomi ne vien tik finansiniai, tačiau ir socialiniai-ekonominiai tikslai, kurie būtų susieti su aktualiais strateginiais dokumentais ir prisidėtų prie jų įgyvendinimo.</w:t>
            </w:r>
          </w:p>
          <w:p w14:paraId="5353E8E9" w14:textId="77777777" w:rsidR="00467B8E" w:rsidRPr="00AC3318" w:rsidRDefault="00467B8E" w:rsidP="00C307BC">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Aktyvus bendradarbiavimas su Europos Komisija</w:t>
            </w:r>
            <w:r w:rsidRPr="00AC3318">
              <w:rPr>
                <w:rFonts w:ascii="Georgia" w:hAnsi="Georgia"/>
                <w:sz w:val="20"/>
                <w:szCs w:val="20"/>
              </w:rPr>
              <w:t>: nemažai klausimų, ypač susijusių su finansų inžinerijos taisyklių taikymu, buvo išspręsti tiesioginio dialogo su Europos Komisija pagalba. Daugiausiai kylančios problemos buvo sietinos su Lietuvos atvejo studijoje aptartais teisinės bazės trūkumais. 2007-2013 m. buvo pirmasis ES finansinis laikotarpis, kurio metu buvo taip plačiai įgyvendinamos finansinės priemonės, nors ES struktūrinių fondų teisinė bazė buvo labiau pritaikyta subsidijoms.</w:t>
            </w:r>
          </w:p>
          <w:p w14:paraId="551B2236" w14:textId="77777777" w:rsidR="00467B8E" w:rsidRPr="00AC3318" w:rsidRDefault="00467B8E" w:rsidP="00C307BC">
            <w:pPr>
              <w:pStyle w:val="Default"/>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Pasiūlymai</w:t>
            </w:r>
            <w:r w:rsidRPr="00AC3318">
              <w:rPr>
                <w:rFonts w:ascii="Georgia" w:hAnsi="Georgia"/>
                <w:sz w:val="20"/>
                <w:szCs w:val="20"/>
              </w:rPr>
              <w:t>: bendradarbiauti su Europos Komisija ir, kiek tai yra įmanoma, stengtis iš anksto sužinoti poziciją dėl mažiau aiškių reglamentavimo nuostatų.</w:t>
            </w:r>
          </w:p>
          <w:p w14:paraId="0CFC5D38" w14:textId="77777777" w:rsidR="00467B8E" w:rsidRPr="00AC3318" w:rsidRDefault="00467B8E" w:rsidP="00C307BC">
            <w:pPr>
              <w:pStyle w:val="Default"/>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Efektyvesnės investicijos</w:t>
            </w:r>
            <w:r w:rsidRPr="00AC3318">
              <w:rPr>
                <w:rFonts w:ascii="Georgia" w:hAnsi="Georgia"/>
                <w:sz w:val="20"/>
                <w:szCs w:val="20"/>
              </w:rPr>
              <w:t>: LGF investicijos yra efektyvesnės lyginant su subsidijomis. Tai, kad yra investuojama, o ne suteikiama negrąžintina subsidija, įpareigoja ir todėl daugiau dėmesio skiriama investicijų tvarumui ir ne tik finansiniam, bet ir socialiniam-ekonominiam poveikiui. Tai užtikrina didesnį poveikį nei dotacijos. Taip pat iš projektų pusės lėšos yra panaudojamos efektyviau, nes paramos gavėjai stengiasi optimizuoti projektuose taikomus sprendimus.</w:t>
            </w:r>
          </w:p>
          <w:p w14:paraId="4890DA86" w14:textId="77777777" w:rsidR="00467B8E" w:rsidRPr="00AC3318" w:rsidRDefault="00467B8E" w:rsidP="00C307BC">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Privataus finansavimo pritraukimas</w:t>
            </w:r>
            <w:r w:rsidRPr="00AC3318">
              <w:rPr>
                <w:rFonts w:ascii="Georgia" w:hAnsi="Georgia"/>
                <w:sz w:val="20"/>
                <w:szCs w:val="20"/>
              </w:rPr>
              <w:t>: deramas dėmesys turėtų būti skiriamas papildomo privataus finansavimo pritraukimui tiek fondo, tiek ir konkrečių projektų lygiu, kadangi tai iškart didina viešųjų lėšų finansinio sverto efektą. Tiesa, tai taip pat yra ir nemenkas iššūkis dėl vis dar besitęsiančio ekonominio sunkmečio. Fondų valdytojai turėtų tam numatyti pakankamai finansinių ir žmogiškųjų išteklių ir tai galėtų būti viena iš fondo valdytojo atrankos sąlygų.</w:t>
            </w:r>
          </w:p>
          <w:p w14:paraId="781C34D2" w14:textId="77777777" w:rsidR="00467B8E" w:rsidRPr="00AC3318" w:rsidRDefault="00467B8E" w:rsidP="00C307BC">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sz w:val="20"/>
                <w:szCs w:val="20"/>
              </w:rPr>
              <w:t>Kita vertus, dėl privačių lėšų kainos augimo mažėjo LEEF paskolų patrauklumas. LEEF lėšos yra pigios, bet kai yra suliejamos su privačiomis lėšomis – pabrangsta. Tai turėjo neigiamą poveikį LEEF produktų konkurencingumui. Privačių bankų dalyvavimo privalumai yra jų turimi keliai į rinką ir esami klientai.</w:t>
            </w:r>
          </w:p>
          <w:p w14:paraId="6D235CF0" w14:textId="77777777" w:rsidR="00467B8E" w:rsidRPr="00AC3318" w:rsidRDefault="00467B8E" w:rsidP="00C307BC">
            <w:pPr>
              <w:pStyle w:val="Default"/>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Pasiūlymai</w:t>
            </w:r>
            <w:r w:rsidRPr="00AC3318">
              <w:rPr>
                <w:rFonts w:ascii="Georgia" w:hAnsi="Georgia"/>
                <w:sz w:val="20"/>
                <w:szCs w:val="20"/>
              </w:rPr>
              <w:t>: modelyje turėtų būti užsibrėžta pritraukti tam tikrą kiekį privačių lėšų, tačiau taip pat turėtų būti atsižvelgiama ir į galimus privačių lėšų naudojimo minusus. Sutartyse su privačiais investuotojais turėtų būti numatytos nuostatos dėl jų dalies kainos.</w:t>
            </w:r>
          </w:p>
          <w:p w14:paraId="00B15EC0" w14:textId="77777777" w:rsidR="00467B8E" w:rsidRPr="00AC3318" w:rsidRDefault="00467B8E" w:rsidP="00C307BC">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Ilgalaikės vizijos svarba</w:t>
            </w:r>
            <w:r w:rsidRPr="00AC3318">
              <w:rPr>
                <w:rFonts w:ascii="Georgia" w:hAnsi="Georgia"/>
                <w:sz w:val="20"/>
                <w:szCs w:val="20"/>
              </w:rPr>
              <w:t>: LEEF atveju labai svarbi buvo ilgalaikė vizija ir įsipareigojimas siekiant įveikti fondo gyvavimo pradžioje kilusias problemas. Subsidijos teikia trumpalaikę naudą ir jas yra lengviau suteikti, todėl ilgalaikis požiūris bei būsimos naudos matymas yra labai svarbūs. Tai ilgalaikės investicijos, kurių bankai paprastai nevykdo.</w:t>
            </w:r>
          </w:p>
          <w:p w14:paraId="2F8C8D18" w14:textId="77777777" w:rsidR="00467B8E" w:rsidRPr="00AC3318" w:rsidRDefault="00467B8E" w:rsidP="00C307BC">
            <w:pPr>
              <w:pStyle w:val="Default"/>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Pasiūlymai</w:t>
            </w:r>
            <w:r w:rsidRPr="00AC3318">
              <w:rPr>
                <w:rFonts w:ascii="Georgia" w:hAnsi="Georgia"/>
                <w:sz w:val="20"/>
                <w:szCs w:val="20"/>
              </w:rPr>
              <w:t xml:space="preserve">: Lietuvos atveju ši problema neturėtų kilti, kadangi tai išnagrinėta </w:t>
            </w:r>
            <w:r w:rsidRPr="00AC3318">
              <w:rPr>
                <w:rFonts w:ascii="Georgia" w:hAnsi="Georgia"/>
                <w:i/>
                <w:sz w:val="20"/>
                <w:szCs w:val="20"/>
              </w:rPr>
              <w:t>ex-ante</w:t>
            </w:r>
            <w:r w:rsidRPr="00AC3318">
              <w:rPr>
                <w:rFonts w:ascii="Georgia" w:hAnsi="Georgia"/>
                <w:sz w:val="20"/>
                <w:szCs w:val="20"/>
              </w:rPr>
              <w:t xml:space="preserve"> studijoje.</w:t>
            </w:r>
          </w:p>
          <w:p w14:paraId="3E0DA50A" w14:textId="77777777" w:rsidR="00467B8E" w:rsidRPr="00AC3318" w:rsidRDefault="00467B8E" w:rsidP="00C307BC">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Taisyklių pastovumas</w:t>
            </w:r>
            <w:r w:rsidRPr="00AC3318">
              <w:rPr>
                <w:rFonts w:ascii="Georgia" w:hAnsi="Georgia"/>
                <w:sz w:val="20"/>
                <w:szCs w:val="20"/>
              </w:rPr>
              <w:t>: reikia stengtis išlaikyti tas nuostatas, kurios veikia praktikoje, ir tobulinti tik tuos elementus, kurie neveikia, o ne visą modelį kurti iš naujo.</w:t>
            </w:r>
          </w:p>
          <w:p w14:paraId="2C815560" w14:textId="77777777" w:rsidR="00467B8E" w:rsidRPr="00AC3318" w:rsidRDefault="00467B8E" w:rsidP="00C307BC">
            <w:pPr>
              <w:pStyle w:val="Default"/>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Pasiūlymas</w:t>
            </w:r>
            <w:r w:rsidRPr="00AC3318">
              <w:rPr>
                <w:rFonts w:ascii="Georgia" w:hAnsi="Georgia"/>
                <w:sz w:val="20"/>
                <w:szCs w:val="20"/>
              </w:rPr>
              <w:t>: kaip įmanoma daugiau pasinaudoti jau turima patirtimi ir teisine baze, sukurta įgyvendinant JESSICA iniciatyvą Lietuvoje 2007-2013 m.</w:t>
            </w:r>
          </w:p>
          <w:p w14:paraId="78B512D9" w14:textId="77777777" w:rsidR="00467B8E" w:rsidRPr="00AC3318" w:rsidRDefault="00467B8E" w:rsidP="00C307BC">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Techninės pagalbos poreikis</w:t>
            </w:r>
            <w:r w:rsidRPr="00AC3318">
              <w:rPr>
                <w:rFonts w:ascii="Georgia" w:hAnsi="Georgia"/>
                <w:sz w:val="20"/>
                <w:szCs w:val="20"/>
              </w:rPr>
              <w:t>: LEEF identifikavo techninės pagalbos poreikį. CO</w:t>
            </w:r>
            <w:r w:rsidRPr="00AC3318">
              <w:rPr>
                <w:rFonts w:ascii="Georgia" w:hAnsi="Georgia"/>
                <w:sz w:val="20"/>
                <w:szCs w:val="20"/>
                <w:vertAlign w:val="subscript"/>
              </w:rPr>
              <w:t>2</w:t>
            </w:r>
            <w:r w:rsidRPr="00AC3318">
              <w:rPr>
                <w:rFonts w:ascii="Georgia" w:hAnsi="Georgia"/>
                <w:sz w:val="20"/>
                <w:szCs w:val="20"/>
              </w:rPr>
              <w:t xml:space="preserve"> mažinimo ir energijos efektyvumo priemonės yra nustatomos kiekvienam pastatui individualiai. Taip pat individualūs </w:t>
            </w:r>
            <w:r w:rsidRPr="00AC3318">
              <w:rPr>
                <w:rFonts w:ascii="Georgia" w:hAnsi="Georgia"/>
                <w:sz w:val="20"/>
                <w:szCs w:val="20"/>
              </w:rPr>
              <w:lastRenderedPageBreak/>
              <w:t>yra ir energijos sutaupymai bei CO</w:t>
            </w:r>
            <w:r w:rsidRPr="00AC3318">
              <w:rPr>
                <w:rFonts w:ascii="Georgia" w:hAnsi="Georgia"/>
                <w:sz w:val="20"/>
                <w:szCs w:val="20"/>
                <w:vertAlign w:val="subscript"/>
              </w:rPr>
              <w:t>2</w:t>
            </w:r>
            <w:r w:rsidRPr="00AC3318">
              <w:rPr>
                <w:rFonts w:ascii="Georgia" w:hAnsi="Georgia"/>
                <w:sz w:val="20"/>
                <w:szCs w:val="20"/>
              </w:rPr>
              <w:t xml:space="preserve"> taršos sumažėjimas įgyvendinus projektą. Siekiant tiksliai išmatuoti šiuos duomenis, būtina tinkama kvalifikacija. </w:t>
            </w:r>
          </w:p>
          <w:p w14:paraId="55A0F9E7" w14:textId="77777777" w:rsidR="00467B8E" w:rsidRPr="00AC3318" w:rsidRDefault="00467B8E" w:rsidP="00C307BC">
            <w:pPr>
              <w:pStyle w:val="Default"/>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Pasiūlymas</w:t>
            </w:r>
            <w:r w:rsidRPr="00AC3318">
              <w:rPr>
                <w:rFonts w:ascii="Georgia" w:hAnsi="Georgia"/>
                <w:sz w:val="20"/>
                <w:szCs w:val="20"/>
              </w:rPr>
              <w:t>: projektų plėtotojams turėtų būti pasiūlytos techninės pagalbos paslaugos arba kompensacija už tokias išlaidas. Taip pat nustatyti aiškūs kokybiniai reikalavimai.</w:t>
            </w:r>
          </w:p>
          <w:p w14:paraId="1BA0027D" w14:textId="77777777" w:rsidR="00467B8E" w:rsidRPr="00AC3318" w:rsidRDefault="00467B8E" w:rsidP="00C307BC">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Mažesnė nei prognozuota LEEF rinka</w:t>
            </w:r>
            <w:r w:rsidRPr="00AC3318">
              <w:rPr>
                <w:rFonts w:ascii="Georgia" w:hAnsi="Georgia"/>
                <w:sz w:val="20"/>
                <w:szCs w:val="20"/>
              </w:rPr>
              <w:t>: projektai, kurie ieško investicijų, ne visada atitinka fondo reikalavimus. Kai kurie projektai skirti modernizuoti pastatus, kiti investuoja į naujas statybas. Daugiau gali būti padaroma užtikrinant projektų srautą iki fondo veiklos pradžios. Buvo identifikuotas mechanizmo, kuris paskatintų ir paremtų projektus ankstyvojoje jų rengimo stadijoje, poreikis.</w:t>
            </w:r>
          </w:p>
          <w:p w14:paraId="648C3AA4" w14:textId="77777777" w:rsidR="00467B8E" w:rsidRPr="00AC3318" w:rsidRDefault="00467B8E" w:rsidP="00C307BC">
            <w:pPr>
              <w:pStyle w:val="Default"/>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Pasiūlymas</w:t>
            </w:r>
            <w:r w:rsidRPr="00AC3318">
              <w:rPr>
                <w:rFonts w:ascii="Georgia" w:hAnsi="Georgia"/>
                <w:sz w:val="20"/>
                <w:szCs w:val="20"/>
              </w:rPr>
              <w:t>: intensyvus darbas su tikslinėmis grupėmis dar iki fondo veiklos pradžios, t. y. tiesioginiai kontaktai su savivaldybėmis, asociacijomis ir pan.</w:t>
            </w:r>
          </w:p>
          <w:p w14:paraId="72B29F7C" w14:textId="77777777" w:rsidR="00467B8E" w:rsidRPr="00AC3318" w:rsidRDefault="00467B8E" w:rsidP="00C307BC">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Finansinių priemonių principų suvokimo stoka</w:t>
            </w:r>
            <w:r w:rsidRPr="00AC3318">
              <w:rPr>
                <w:rFonts w:ascii="Georgia" w:hAnsi="Georgia"/>
                <w:sz w:val="20"/>
                <w:szCs w:val="20"/>
              </w:rPr>
              <w:t>: tikslinių grupių tarpe trūksta suvokimo apie finansinių priemonių ir JESSICA iniciatyvos veikimo principus. Taip pat dalies politikų susidomėjimo, kadangi fondas yra ilgalaikis projektas, kurio nauda matoma ne iš karto.</w:t>
            </w:r>
          </w:p>
          <w:p w14:paraId="499D4631" w14:textId="77777777" w:rsidR="00467B8E" w:rsidRPr="00AC3318" w:rsidRDefault="00467B8E" w:rsidP="00C307BC">
            <w:pPr>
              <w:pStyle w:val="Default"/>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Pasiūlymas</w:t>
            </w:r>
            <w:r w:rsidRPr="00AC3318">
              <w:rPr>
                <w:rFonts w:ascii="Georgia" w:hAnsi="Georgia"/>
                <w:sz w:val="20"/>
                <w:szCs w:val="20"/>
              </w:rPr>
              <w:t>: intensyvus darbas su tikslinėmis grupėmis aiškinant būsimų produktų esmę ir naudą.</w:t>
            </w:r>
          </w:p>
          <w:p w14:paraId="319AA03E" w14:textId="77777777" w:rsidR="00467B8E" w:rsidRPr="00AC3318" w:rsidRDefault="00467B8E" w:rsidP="00C307BC">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Darbuotojų kvalifikacija</w:t>
            </w:r>
            <w:r w:rsidRPr="00AC3318">
              <w:rPr>
                <w:rFonts w:ascii="Georgia" w:hAnsi="Georgia"/>
                <w:sz w:val="20"/>
                <w:szCs w:val="20"/>
              </w:rPr>
              <w:t>: LGF ir LEEF buvo identifikuotas visų modelio lygių darbuotojų kvalifikacijos kėlimo poreikis. Geresnis suvokimas tiek apie tai kokias galimybes suteikia finansinės priemonės, tiek kaip jos veikia, kaip investuoti ir kaip joms suteikti pakankamai lankstumo.</w:t>
            </w:r>
          </w:p>
          <w:p w14:paraId="14022738" w14:textId="77777777" w:rsidR="00467B8E" w:rsidRPr="00AC3318" w:rsidRDefault="00467B8E" w:rsidP="00C307BC">
            <w:pPr>
              <w:pStyle w:val="Default"/>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i/>
                <w:sz w:val="20"/>
                <w:szCs w:val="20"/>
              </w:rPr>
            </w:pPr>
            <w:r w:rsidRPr="00AC3318">
              <w:rPr>
                <w:rFonts w:ascii="Georgia" w:hAnsi="Georgia"/>
                <w:i/>
                <w:sz w:val="20"/>
                <w:szCs w:val="20"/>
              </w:rPr>
              <w:t xml:space="preserve">Pasiūlymai: </w:t>
            </w:r>
            <w:r w:rsidRPr="00AC3318">
              <w:rPr>
                <w:rFonts w:ascii="Georgia" w:hAnsi="Georgia"/>
                <w:sz w:val="20"/>
                <w:szCs w:val="20"/>
              </w:rPr>
              <w:t>deramą dėmesį skirti už finansinių instrumentų įgyvendinimą atsakingų darbuotojų kvalifikacijos tobulinimui.</w:t>
            </w:r>
          </w:p>
          <w:p w14:paraId="31A747C4" w14:textId="77777777" w:rsidR="00467B8E" w:rsidRPr="00AC3318" w:rsidRDefault="00467B8E" w:rsidP="00C307BC">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Visi fondai yra unikalūs</w:t>
            </w:r>
            <w:r w:rsidRPr="00AC3318">
              <w:rPr>
                <w:rFonts w:ascii="Georgia" w:hAnsi="Georgia"/>
                <w:sz w:val="20"/>
                <w:szCs w:val="20"/>
              </w:rPr>
              <w:t>: buvo tikimasi, kad pirmojo miesto plėtros fondo valdytojo atrankos metu įgyta patirtis bus pritaikyta kituose pirkimuose ir dėl to jie vyks greičiau ir paprasčiau. Tačiau praktika parodė, jog tai neveikia taip, kaip tikėtasi, nes visi miesto plėtros fondai turi unikalią struktūrą ir kiekvienu atveju buvo būtina adaptacija siekiant atspindėti skirtumus.</w:t>
            </w:r>
          </w:p>
          <w:p w14:paraId="7978FB6C" w14:textId="77777777" w:rsidR="00467B8E" w:rsidRPr="00AC3318" w:rsidRDefault="00467B8E" w:rsidP="00C307BC">
            <w:pPr>
              <w:pStyle w:val="Default"/>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Pasiūlymai</w:t>
            </w:r>
            <w:r w:rsidRPr="00AC3318">
              <w:rPr>
                <w:rFonts w:ascii="Georgia" w:hAnsi="Georgia"/>
                <w:sz w:val="20"/>
                <w:szCs w:val="20"/>
              </w:rPr>
              <w:t>: planuojant būsimas finansines priemones būt</w:t>
            </w:r>
            <w:r w:rsidRPr="00AC3318">
              <w:rPr>
                <w:rFonts w:ascii="Georgia" w:hAnsi="Georgia"/>
                <w:color w:val="auto"/>
                <w:sz w:val="20"/>
                <w:szCs w:val="20"/>
              </w:rPr>
              <w:t>ina realiai įsivertinti etapų trukmę ir atitinkamai planuoti tiek finansinių priemonių kūrimą, tiek ir lygiagrečius procesus, pvz., viešinimo kampaniją</w:t>
            </w:r>
            <w:r w:rsidRPr="00AC3318">
              <w:rPr>
                <w:rFonts w:ascii="Georgia" w:hAnsi="Georgia"/>
                <w:sz w:val="20"/>
                <w:szCs w:val="20"/>
              </w:rPr>
              <w:t>.</w:t>
            </w:r>
          </w:p>
          <w:p w14:paraId="31525A8B" w14:textId="77777777" w:rsidR="00467B8E" w:rsidRPr="00AC3318" w:rsidRDefault="00467B8E" w:rsidP="00C307BC">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Sinergija su kitais instrumentais</w:t>
            </w:r>
            <w:r w:rsidRPr="00AC3318">
              <w:rPr>
                <w:rFonts w:ascii="Georgia" w:hAnsi="Georgia"/>
                <w:sz w:val="20"/>
                <w:szCs w:val="20"/>
              </w:rPr>
              <w:t>: LGF RE:FIT programa siūlo techninę paramą viešojo sektoriaus institucijoms įgyvendinant energijos taupymo projektus pagal ESCO modelį (pvz., supaprastintą sutarčių sudarymo procesą, susietą su EPC garantijomis). Projektai, besinaudojantys RE:FIT programa, yra potenciali LEEF investicijų sritis, kuri turi bendrų sąlyčio taškų su LEEF tikslais. Fondas glaudžiai dirba su RE:FIT komanda siekiant užtikrinti sinergiją. Tačiau projektams naudoti RE:FIT nėra privaloma, todėl projektai taiko įvairius viešųjų pirkimų proceso sprendimus.</w:t>
            </w:r>
          </w:p>
          <w:p w14:paraId="3F684729" w14:textId="77777777" w:rsidR="00467B8E" w:rsidRPr="00AC3318" w:rsidRDefault="00467B8E" w:rsidP="00C307BC">
            <w:pPr>
              <w:pStyle w:val="Default"/>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Pasiūlymai</w:t>
            </w:r>
            <w:r w:rsidRPr="00AC3318">
              <w:rPr>
                <w:rFonts w:ascii="Georgia" w:hAnsi="Georgia"/>
                <w:sz w:val="20"/>
                <w:szCs w:val="20"/>
              </w:rPr>
              <w:t xml:space="preserve">: Lietuvos atveju situacija ir galimybės bendradarbiauti su kitais mechanizmais ir instrumentais įvertintos atliekant </w:t>
            </w:r>
            <w:r w:rsidRPr="00AC3318">
              <w:rPr>
                <w:rFonts w:ascii="Georgia" w:hAnsi="Georgia"/>
                <w:i/>
                <w:sz w:val="20"/>
                <w:szCs w:val="20"/>
              </w:rPr>
              <w:t>ex-ante</w:t>
            </w:r>
            <w:r w:rsidRPr="00AC3318">
              <w:rPr>
                <w:rFonts w:ascii="Georgia" w:hAnsi="Georgia"/>
                <w:sz w:val="20"/>
                <w:szCs w:val="20"/>
              </w:rPr>
              <w:t xml:space="preserve"> studiją.</w:t>
            </w:r>
          </w:p>
          <w:p w14:paraId="1E7EC05F" w14:textId="77777777" w:rsidR="00467B8E" w:rsidRPr="00AC3318" w:rsidRDefault="00467B8E" w:rsidP="00C307BC">
            <w:pPr>
              <w:pStyle w:val="Default"/>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Ilgas modelio kūrimo procesas</w:t>
            </w:r>
            <w:r w:rsidRPr="00AC3318">
              <w:rPr>
                <w:rFonts w:ascii="Georgia" w:hAnsi="Georgia"/>
                <w:sz w:val="20"/>
                <w:szCs w:val="20"/>
              </w:rPr>
              <w:t xml:space="preserve">: modelio kūrimo procesas užtruko ilgiau nei planuota. 2007-2013 m. Londono ERPF programa buvo patvirtinta 2007 m. gruodį. Nuo šios datos iki pirmos investicijos praėjo 4 metai. Miestų plėtros fondai pradėjo veikti praėjus 30 mėnesių po kontroliuojančiojo fondo įsteigimo. Tai lėmė įvairios </w:t>
            </w:r>
            <w:r w:rsidRPr="00AC3318">
              <w:rPr>
                <w:rFonts w:ascii="Georgia" w:hAnsi="Georgia"/>
                <w:sz w:val="20"/>
                <w:szCs w:val="20"/>
              </w:rPr>
              <w:lastRenderedPageBreak/>
              <w:t>priežastys, pvz., neaiškumai dėl struktūrinių fondų taisyklių bei kitų teisės aktų nuostatų taikymo, ilgas dialogas tarp institucijų, pvz. dėl valstybės pagalbos.</w:t>
            </w:r>
          </w:p>
          <w:p w14:paraId="7FA6B322" w14:textId="77777777" w:rsidR="00467B8E" w:rsidRPr="00AC3318" w:rsidRDefault="00467B8E" w:rsidP="00C307BC">
            <w:pPr>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planuojant būsimas finansines priemones, būtina realiai įvertinti etapų trukmę ir atitinkamai planuoti tiek finansinių priemonių kūrimą, tiek ir lygiagrečius procesus, pvz., viešinimo kampaniją.</w:t>
            </w:r>
          </w:p>
          <w:p w14:paraId="39330927" w14:textId="77777777" w:rsidR="00467B8E" w:rsidRPr="00AC3318" w:rsidRDefault="00467B8E" w:rsidP="00C307B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Viešinimo svarba</w:t>
            </w:r>
            <w:r w:rsidRPr="00AC3318">
              <w:rPr>
                <w:rFonts w:ascii="Georgia" w:hAnsi="Georgia" w:cs="Arial"/>
                <w:sz w:val="20"/>
                <w:szCs w:val="20"/>
                <w:lang w:val="lt-LT"/>
              </w:rPr>
              <w:t>: „</w:t>
            </w:r>
            <w:r w:rsidRPr="00AC3318">
              <w:rPr>
                <w:rFonts w:ascii="Georgia" w:hAnsi="Georgia" w:cs="Arial"/>
                <w:i/>
                <w:sz w:val="20"/>
                <w:szCs w:val="20"/>
                <w:lang w:val="lt-LT"/>
              </w:rPr>
              <w:t>Amber Green</w:t>
            </w:r>
            <w:r w:rsidRPr="00AC3318">
              <w:rPr>
                <w:rFonts w:ascii="Georgia" w:hAnsi="Georgia" w:cs="Arial"/>
                <w:sz w:val="20"/>
                <w:szCs w:val="20"/>
                <w:lang w:val="lt-LT"/>
              </w:rPr>
              <w:t>“ konsorciumas organizavo LEEF atidarymo renginį, fondo valdytojas bent kartą per savaitę aktyviai dalyvauja renginiuose, kuriuose viešina LEEF ir „</w:t>
            </w:r>
            <w:r w:rsidRPr="00AC3318">
              <w:rPr>
                <w:rFonts w:ascii="Georgia" w:hAnsi="Georgia" w:cs="Arial"/>
                <w:i/>
                <w:sz w:val="20"/>
                <w:szCs w:val="20"/>
                <w:lang w:val="lt-LT"/>
              </w:rPr>
              <w:t>Amber Green</w:t>
            </w:r>
            <w:r w:rsidRPr="00AC3318">
              <w:rPr>
                <w:rFonts w:ascii="Georgia" w:hAnsi="Georgia" w:cs="Arial"/>
                <w:sz w:val="20"/>
                <w:szCs w:val="20"/>
                <w:lang w:val="lt-LT"/>
              </w:rPr>
              <w:t>“. LEEF turi savo atskirą internetinę svetainę. Palyginus su privačiais pensijų fondais, LEEF vykdoma viešinimo veikla yra žymiai aktyvesnė. Kartu su RE:FIT programa kiekvieną ketvirtį organizuojami bendri renginiai, kurių metu viešinama finansinė ir techninio pobūdžio informacija. Taip pat kviečiamos įvairios institucijos ir organizacijos, kurios dalinasi gerąja patirtimi apie savo jau įgyvendintus energijos efektyvumo projektus. Šiuose renginiuose dalyvauja 20-30 žmonių. Taip pat daromi pristatymai tarptautinėse konferencijose.</w:t>
            </w:r>
          </w:p>
          <w:p w14:paraId="75F2E2EC" w14:textId="77777777" w:rsidR="00467B8E" w:rsidRPr="00AC3318" w:rsidRDefault="00467B8E" w:rsidP="00C307BC">
            <w:pPr>
              <w:autoSpaceDE w:val="0"/>
              <w:autoSpaceDN w:val="0"/>
              <w:adjustRightInd w:val="0"/>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skirti pakankamus žmogiškuosius ir finansinius išteklius viešinimo veikloms, parengti viešinimo planą, numatyti viešinimo specialisto pareigybę fondo lygiu, sukurti atskirą internetinę fondo svetainę, organizuoti bendrus viešinimo renginius su kitus finansinius instrumentus, kurie galėtų papildyti siūlomus finansinius instrumentus, valdančiomis institucijomis.</w:t>
            </w:r>
          </w:p>
          <w:p w14:paraId="01F87C10" w14:textId="77777777" w:rsidR="00467B8E" w:rsidRPr="00AC3318" w:rsidRDefault="00467B8E" w:rsidP="00C307B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Struktūrinių fondų taisyklės</w:t>
            </w:r>
            <w:r w:rsidRPr="00AC3318">
              <w:rPr>
                <w:rFonts w:ascii="Georgia" w:hAnsi="Georgia" w:cs="Arial"/>
                <w:sz w:val="20"/>
                <w:szCs w:val="20"/>
                <w:lang w:val="lt-LT"/>
              </w:rPr>
              <w:t>: vienas didžiausių iššūkių buvo ERPF taisykles pritaikyti komercinei aplinkai, kadangi jos iš principo buvo skirtos subsidijoms. JESSICA yra tinkama ir vertinga iniciatyva, tačiau pati struktūra nesudarė galimybių investicijas į rinką pateikti greitai ir efektyviai. ES struktūriniams fondams taikomos nuostatos pasižymi nelankstumu ir papildomomis sąlygomis, t. y. buvo siūloma komercinė paskola, kuri apipinta papildomais reikalavimais. Iš principo ir nacionalinės taisyklės ne visais atvejais buvo pritaikytos finansinėms priemonėms, tačiau šiuo atveju buvo paprasčiau įtakoti galimas korekcijas. Pvz. pačioje fondo kūrimo pradžioje, kai reikėjo kapitalizuoti LGF, Londono plėtros agentūra turėjo žemės, tačiau neturėjo piniginių lėšų, todėl pasiūlė žemę kaip turtą. Tačiau nebuvo aišku, ar toks požiūris yra tinkamas ir turėjo būti suderintas su Europos Komisija, kuri galiausiai jam pritarė.</w:t>
            </w:r>
          </w:p>
          <w:p w14:paraId="34BC1CE6" w14:textId="77777777" w:rsidR="00467B8E" w:rsidRPr="00AC3318" w:rsidRDefault="00467B8E" w:rsidP="00C307BC">
            <w:pPr>
              <w:pStyle w:val="Default"/>
              <w:spacing w:after="120"/>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AC3318">
              <w:rPr>
                <w:rFonts w:ascii="Georgia" w:hAnsi="Georgia"/>
                <w:i/>
                <w:sz w:val="20"/>
                <w:szCs w:val="20"/>
              </w:rPr>
              <w:t>Pasiūlymai</w:t>
            </w:r>
            <w:r w:rsidRPr="00AC3318">
              <w:rPr>
                <w:rFonts w:ascii="Georgia" w:hAnsi="Georgia"/>
                <w:sz w:val="20"/>
                <w:szCs w:val="20"/>
              </w:rPr>
              <w:t>: Lietuvoje turėtų būti siekiama kaip įmanoma daugiau pasinaudoti jau turima patirtimi, paruoštais sprendimais bei sukurta teisine baze įgyvendinant JESSICA iniciatyvą Lietuvoje 2007-2013 m. Kita vertus 2014-2020 m. finansinio laikotarpio teisinė bazė bus tobulesnė, todėl ši problema turėtų būti mažiau aktuali.</w:t>
            </w:r>
          </w:p>
          <w:p w14:paraId="2FAD680B" w14:textId="77777777" w:rsidR="00467B8E" w:rsidRPr="00AC3318" w:rsidRDefault="00467B8E" w:rsidP="00C307B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Lankstumas</w:t>
            </w:r>
            <w:r w:rsidRPr="00AC3318">
              <w:rPr>
                <w:rFonts w:ascii="Georgia" w:hAnsi="Georgia" w:cs="Arial"/>
                <w:sz w:val="20"/>
                <w:szCs w:val="20"/>
                <w:lang w:val="lt-LT"/>
              </w:rPr>
              <w:t>: tuo metu, kai kūrėsi LEEF, pagrindinė tikslinė grupė buvo savivaldos ir nacionalinės sveikatos apsaugos sistemos institucijos. Šiuo metu šios institucijos turi priėjimą prie kitų viešųjų finansinių išteklių, kurie yra pigesni. Universitetai ir kultūros institucijos negali gauti tokio finansavimo ir iš principo šioms institucijoms sunku rasti šaltinį, iš kurio galėtų pasiskolinti vidutinės trukmės laikotarpiui priimtinomis sąlygomis, todėl šiuo metu jie yra pagrindinė LEEF tikslinė grupė.</w:t>
            </w:r>
          </w:p>
          <w:p w14:paraId="2A7D393A" w14:textId="77777777" w:rsidR="00467B8E" w:rsidRPr="00AC3318" w:rsidRDefault="00467B8E" w:rsidP="00C307B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Georgia" w:hAnsi="Georgia" w:cs="Arial"/>
                <w:sz w:val="20"/>
                <w:szCs w:val="20"/>
                <w:lang w:val="lt-LT"/>
              </w:rPr>
            </w:pPr>
            <w:r w:rsidRPr="00AC3318">
              <w:rPr>
                <w:rFonts w:ascii="Georgia" w:hAnsi="Georgia" w:cs="Arial"/>
                <w:i/>
                <w:sz w:val="20"/>
                <w:szCs w:val="20"/>
                <w:lang w:val="lt-LT"/>
              </w:rPr>
              <w:t>Pasiūlymai</w:t>
            </w:r>
            <w:r w:rsidRPr="00AC3318">
              <w:rPr>
                <w:rFonts w:ascii="Georgia" w:hAnsi="Georgia" w:cs="Arial"/>
                <w:sz w:val="20"/>
                <w:szCs w:val="20"/>
                <w:lang w:val="lt-LT"/>
              </w:rPr>
              <w:t>: vengti veiksmų laisvę ribojančių nuostatų įtvirtinimo, pvz., konkrečių finansinio produkto sąlygų apibrėžimo įstatymuose ar kituose sunkiai keičiamuose teisės aktuose ir pan. Taip pat būtina koordinuoti viešųjų šaltinių finansavimą, kad jie nekonkuruotų tarpusavyje.</w:t>
            </w:r>
          </w:p>
        </w:tc>
      </w:tr>
    </w:tbl>
    <w:p w14:paraId="77424937" w14:textId="77777777" w:rsidR="003C0F55" w:rsidRPr="00AC3318" w:rsidRDefault="003C0F55">
      <w:pPr>
        <w:rPr>
          <w:rFonts w:ascii="Georgia" w:hAnsi="Georgia"/>
          <w:sz w:val="20"/>
          <w:szCs w:val="20"/>
          <w:lang w:val="lt-LT"/>
        </w:rPr>
      </w:pPr>
      <w:r w:rsidRPr="00AC3318">
        <w:rPr>
          <w:rFonts w:ascii="Georgia" w:hAnsi="Georgia"/>
          <w:sz w:val="20"/>
          <w:szCs w:val="20"/>
          <w:lang w:val="lt-LT"/>
        </w:rPr>
        <w:lastRenderedPageBreak/>
        <w:br w:type="page"/>
      </w:r>
    </w:p>
    <w:p w14:paraId="44FFBB3E" w14:textId="77777777" w:rsidR="003C0F55" w:rsidRPr="00DF3A8E" w:rsidRDefault="003C0F55" w:rsidP="003C0F55">
      <w:pPr>
        <w:jc w:val="both"/>
        <w:rPr>
          <w:rFonts w:ascii="Georgia" w:hAnsi="Georgia"/>
          <w:b/>
          <w:iCs/>
          <w:sz w:val="20"/>
          <w:szCs w:val="20"/>
          <w:lang w:val="lt-LT"/>
        </w:rPr>
        <w:sectPr w:rsidR="003C0F55" w:rsidRPr="00DF3A8E" w:rsidSect="004B2E74">
          <w:headerReference w:type="even" r:id="rId143"/>
          <w:headerReference w:type="default" r:id="rId144"/>
          <w:headerReference w:type="first" r:id="rId145"/>
          <w:pgSz w:w="11907" w:h="16839" w:code="9"/>
          <w:pgMar w:top="1276" w:right="1440" w:bottom="1440" w:left="1440" w:header="708" w:footer="708" w:gutter="0"/>
          <w:cols w:space="708"/>
          <w:docGrid w:linePitch="360"/>
        </w:sectPr>
      </w:pPr>
    </w:p>
    <w:p w14:paraId="21BF0188" w14:textId="77777777" w:rsidR="003C0F55" w:rsidRPr="00DF3A8E" w:rsidRDefault="003C0F55" w:rsidP="00A42808">
      <w:pPr>
        <w:pStyle w:val="Antrat2"/>
        <w:rPr>
          <w:lang w:val="lt-LT"/>
        </w:rPr>
      </w:pPr>
      <w:bookmarkStart w:id="451" w:name="_Toc417378479"/>
      <w:r w:rsidRPr="00DF3A8E">
        <w:rPr>
          <w:lang w:val="lt-LT"/>
        </w:rPr>
        <w:lastRenderedPageBreak/>
        <w:t>Priedas Nr</w:t>
      </w:r>
      <w:r w:rsidR="005E23FC">
        <w:rPr>
          <w:lang w:val="lt-LT"/>
        </w:rPr>
        <w:t>.</w:t>
      </w:r>
      <w:r w:rsidRPr="00DF3A8E">
        <w:rPr>
          <w:lang w:val="lt-LT"/>
        </w:rPr>
        <w:t xml:space="preserve"> </w:t>
      </w:r>
      <w:r w:rsidR="000F206B">
        <w:rPr>
          <w:lang w:val="lt-LT"/>
        </w:rPr>
        <w:t>6</w:t>
      </w:r>
      <w:r w:rsidRPr="00DF3A8E">
        <w:rPr>
          <w:lang w:val="lt-LT"/>
        </w:rPr>
        <w:t>. Rizikos faktoriai ir jų valdymo planas.</w:t>
      </w:r>
      <w:bookmarkEnd w:id="451"/>
    </w:p>
    <w:p w14:paraId="37AA873D" w14:textId="77777777" w:rsidR="00A42808" w:rsidRPr="00DF3A8E" w:rsidRDefault="00A42808" w:rsidP="00A42808">
      <w:pPr>
        <w:rPr>
          <w:lang w:val="lt-LT"/>
        </w:rPr>
      </w:pPr>
    </w:p>
    <w:tbl>
      <w:tblPr>
        <w:tblStyle w:val="viesussraas2parykinimas"/>
        <w:tblW w:w="5000" w:type="pct"/>
        <w:tblLook w:val="04A0" w:firstRow="1" w:lastRow="0" w:firstColumn="1" w:lastColumn="0" w:noHBand="0" w:noVBand="1"/>
      </w:tblPr>
      <w:tblGrid>
        <w:gridCol w:w="566"/>
        <w:gridCol w:w="2290"/>
        <w:gridCol w:w="3489"/>
        <w:gridCol w:w="1969"/>
        <w:gridCol w:w="3463"/>
        <w:gridCol w:w="1563"/>
      </w:tblGrid>
      <w:tr w:rsidR="003736DD" w:rsidRPr="00467B8E" w14:paraId="3783C62E" w14:textId="77777777" w:rsidTr="000E66DF">
        <w:trPr>
          <w:cnfStyle w:val="100000000000" w:firstRow="1" w:lastRow="0" w:firstColumn="0" w:lastColumn="0" w:oddVBand="0" w:evenVBand="0" w:oddHBand="0" w:evenHBand="0" w:firstRowFirstColumn="0" w:firstRowLastColumn="0" w:lastRowFirstColumn="0" w:lastRowLastColumn="0"/>
          <w:trHeight w:val="1116"/>
          <w:tblHeader/>
        </w:trPr>
        <w:tc>
          <w:tcPr>
            <w:cnfStyle w:val="001000000000" w:firstRow="0" w:lastRow="0" w:firstColumn="1" w:lastColumn="0" w:oddVBand="0" w:evenVBand="0" w:oddHBand="0" w:evenHBand="0" w:firstRowFirstColumn="0" w:firstRowLastColumn="0" w:lastRowFirstColumn="0" w:lastRowLastColumn="0"/>
            <w:tcW w:w="212" w:type="pct"/>
          </w:tcPr>
          <w:p w14:paraId="2412F7EB" w14:textId="77777777" w:rsidR="003C0F55" w:rsidRPr="00467B8E" w:rsidRDefault="003C0F55" w:rsidP="00467B8E">
            <w:pPr>
              <w:jc w:val="center"/>
              <w:rPr>
                <w:rFonts w:ascii="Georgia" w:hAnsi="Georgia"/>
                <w:sz w:val="20"/>
                <w:szCs w:val="20"/>
              </w:rPr>
            </w:pPr>
            <w:r w:rsidRPr="00467B8E">
              <w:rPr>
                <w:rFonts w:ascii="Georgia" w:hAnsi="Georgia"/>
                <w:sz w:val="20"/>
                <w:szCs w:val="20"/>
              </w:rPr>
              <w:t>Eil. Nr.</w:t>
            </w:r>
          </w:p>
        </w:tc>
        <w:tc>
          <w:tcPr>
            <w:tcW w:w="858" w:type="pct"/>
          </w:tcPr>
          <w:p w14:paraId="06BDB429" w14:textId="77777777" w:rsidR="003C0F55" w:rsidRPr="00467B8E" w:rsidRDefault="003C0F55" w:rsidP="00467B8E">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467B8E">
              <w:rPr>
                <w:rFonts w:ascii="Georgia" w:hAnsi="Georgia"/>
                <w:sz w:val="20"/>
                <w:szCs w:val="20"/>
              </w:rPr>
              <w:t>Rizikos veiksnys</w:t>
            </w:r>
          </w:p>
        </w:tc>
        <w:tc>
          <w:tcPr>
            <w:tcW w:w="1308" w:type="pct"/>
          </w:tcPr>
          <w:p w14:paraId="36B54ECE" w14:textId="77777777" w:rsidR="003C0F55" w:rsidRPr="00467B8E" w:rsidRDefault="003C0F55" w:rsidP="00467B8E">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467B8E">
              <w:rPr>
                <w:rFonts w:ascii="Georgia" w:hAnsi="Georgia"/>
                <w:sz w:val="20"/>
                <w:szCs w:val="20"/>
              </w:rPr>
              <w:t>Rizikos veiksnio aprašymas ir pagrindimas</w:t>
            </w:r>
          </w:p>
        </w:tc>
        <w:tc>
          <w:tcPr>
            <w:tcW w:w="738" w:type="pct"/>
          </w:tcPr>
          <w:p w14:paraId="649CFA5E" w14:textId="77777777" w:rsidR="003C0F55" w:rsidRPr="00467B8E" w:rsidRDefault="003C0F55" w:rsidP="00467B8E">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467B8E">
              <w:rPr>
                <w:rFonts w:ascii="Georgia" w:hAnsi="Georgia"/>
                <w:sz w:val="20"/>
                <w:szCs w:val="20"/>
              </w:rPr>
              <w:t>Poveikio stiprumas pasireiškus rizikos veiksniui</w:t>
            </w:r>
          </w:p>
        </w:tc>
        <w:tc>
          <w:tcPr>
            <w:tcW w:w="1298" w:type="pct"/>
          </w:tcPr>
          <w:p w14:paraId="753DD790" w14:textId="77777777" w:rsidR="003C0F55" w:rsidRPr="00467B8E" w:rsidRDefault="003C0F55" w:rsidP="00467B8E">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467B8E">
              <w:rPr>
                <w:rFonts w:ascii="Georgia" w:hAnsi="Georgia"/>
                <w:sz w:val="20"/>
                <w:szCs w:val="20"/>
              </w:rPr>
              <w:t>Valdymo priemonės</w:t>
            </w:r>
          </w:p>
        </w:tc>
        <w:tc>
          <w:tcPr>
            <w:tcW w:w="586" w:type="pct"/>
          </w:tcPr>
          <w:p w14:paraId="6083B356" w14:textId="77777777" w:rsidR="003C0F55" w:rsidRPr="00467B8E" w:rsidRDefault="003C0F55" w:rsidP="00467B8E">
            <w:pPr>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467B8E">
              <w:rPr>
                <w:rFonts w:ascii="Georgia" w:hAnsi="Georgia"/>
                <w:sz w:val="20"/>
                <w:szCs w:val="20"/>
              </w:rPr>
              <w:t>Rizikos veiksnio pasireiškimo tikimybė</w:t>
            </w:r>
          </w:p>
        </w:tc>
      </w:tr>
      <w:tr w:rsidR="003C0F55" w:rsidRPr="002C025E" w14:paraId="786B974C" w14:textId="77777777" w:rsidTr="000E66D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000" w:type="pct"/>
            <w:gridSpan w:val="6"/>
          </w:tcPr>
          <w:p w14:paraId="5556A7AE" w14:textId="77777777" w:rsidR="003C0F55" w:rsidRPr="00DF3A8E" w:rsidRDefault="003C0F55" w:rsidP="002C025E">
            <w:pPr>
              <w:jc w:val="both"/>
              <w:rPr>
                <w:rFonts w:ascii="Georgia" w:hAnsi="Georgia"/>
                <w:b w:val="0"/>
                <w:sz w:val="20"/>
                <w:szCs w:val="20"/>
              </w:rPr>
            </w:pPr>
            <w:r w:rsidRPr="00DF3A8E">
              <w:rPr>
                <w:rFonts w:ascii="Georgia" w:hAnsi="Georgia"/>
                <w:b w:val="0"/>
                <w:sz w:val="20"/>
                <w:szCs w:val="20"/>
              </w:rPr>
              <w:t>Planavimas</w:t>
            </w:r>
          </w:p>
        </w:tc>
      </w:tr>
      <w:tr w:rsidR="003736DD" w:rsidRPr="002C025E" w14:paraId="47F9E31A" w14:textId="77777777" w:rsidTr="000E66DF">
        <w:trPr>
          <w:trHeight w:val="4395"/>
        </w:trPr>
        <w:tc>
          <w:tcPr>
            <w:cnfStyle w:val="001000000000" w:firstRow="0" w:lastRow="0" w:firstColumn="1" w:lastColumn="0" w:oddVBand="0" w:evenVBand="0" w:oddHBand="0" w:evenHBand="0" w:firstRowFirstColumn="0" w:firstRowLastColumn="0" w:lastRowFirstColumn="0" w:lastRowLastColumn="0"/>
            <w:tcW w:w="212" w:type="pct"/>
          </w:tcPr>
          <w:p w14:paraId="52983DB0" w14:textId="77777777" w:rsidR="003C0F55" w:rsidRPr="00DF3A8E" w:rsidRDefault="003C0F55" w:rsidP="002C025E">
            <w:pPr>
              <w:jc w:val="both"/>
              <w:rPr>
                <w:rFonts w:ascii="Georgia" w:hAnsi="Georgia"/>
                <w:sz w:val="20"/>
                <w:szCs w:val="20"/>
              </w:rPr>
            </w:pPr>
            <w:r w:rsidRPr="00DF3A8E">
              <w:rPr>
                <w:rFonts w:ascii="Georgia" w:hAnsi="Georgia"/>
                <w:sz w:val="20"/>
                <w:szCs w:val="20"/>
              </w:rPr>
              <w:t>1.</w:t>
            </w:r>
          </w:p>
        </w:tc>
        <w:tc>
          <w:tcPr>
            <w:tcW w:w="858" w:type="pct"/>
          </w:tcPr>
          <w:p w14:paraId="3583652D"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Vizijos ir strateginių tikslų nustatymas</w:t>
            </w:r>
          </w:p>
        </w:tc>
        <w:tc>
          <w:tcPr>
            <w:tcW w:w="1308" w:type="pct"/>
          </w:tcPr>
          <w:p w14:paraId="0CCD39D4"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 xml:space="preserve">Kuriant finansines priemones svarbu užtikrinti, jog priemonės vizija ir tikslai atitiktų regiono/tikslinės teritorijos strateginiuose dokumentuose apibrėžtus tikslus ir prisidėtų prie jų įgyvendinimo. </w:t>
            </w:r>
          </w:p>
          <w:p w14:paraId="3830429F"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Jei finansinės priemonės tikslai neatitinka regiono vizijos, kuriamos priemonės gali nesulaukti politinio lygio dėmesio ir paramos arba prieštarauti kitų vykdomų politikų nuostatoms, kas gali turėti neigiamą poveikį užsibrėžtiems rezultatams.</w:t>
            </w:r>
          </w:p>
        </w:tc>
        <w:tc>
          <w:tcPr>
            <w:tcW w:w="738" w:type="pct"/>
          </w:tcPr>
          <w:p w14:paraId="2E78A7FA"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rezultatams – vidutinis;</w:t>
            </w:r>
          </w:p>
          <w:p w14:paraId="65D0EFF8"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finansams – nežymus;</w:t>
            </w:r>
          </w:p>
          <w:p w14:paraId="1B92E83E"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nežymus;</w:t>
            </w:r>
          </w:p>
          <w:p w14:paraId="6DE4629F"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reputacijai – vidutinis.</w:t>
            </w:r>
          </w:p>
        </w:tc>
        <w:tc>
          <w:tcPr>
            <w:tcW w:w="1298" w:type="pct"/>
          </w:tcPr>
          <w:p w14:paraId="6DA84E44"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 xml:space="preserve">Santykis su strateginiais dokumentais įvertintas </w:t>
            </w:r>
            <w:r w:rsidRPr="00DF3A8E">
              <w:rPr>
                <w:rFonts w:ascii="Georgia" w:hAnsi="Georgia"/>
                <w:i/>
                <w:sz w:val="20"/>
                <w:szCs w:val="20"/>
              </w:rPr>
              <w:t>ex-ante</w:t>
            </w:r>
            <w:r w:rsidRPr="00DF3A8E">
              <w:rPr>
                <w:rFonts w:ascii="Georgia" w:hAnsi="Georgia"/>
                <w:sz w:val="20"/>
                <w:szCs w:val="20"/>
              </w:rPr>
              <w:t xml:space="preserve"> studijoje.</w:t>
            </w:r>
          </w:p>
          <w:p w14:paraId="6CCF851B"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Nustatyti finansinių</w:t>
            </w:r>
            <w:r w:rsidR="003736DD">
              <w:rPr>
                <w:rFonts w:ascii="Georgia" w:hAnsi="Georgia"/>
                <w:sz w:val="20"/>
                <w:szCs w:val="20"/>
              </w:rPr>
              <w:t xml:space="preserve"> </w:t>
            </w:r>
            <w:r w:rsidRPr="00DF3A8E">
              <w:rPr>
                <w:rFonts w:ascii="Georgia" w:hAnsi="Georgia"/>
                <w:sz w:val="20"/>
                <w:szCs w:val="20"/>
              </w:rPr>
              <w:t>priemonių tikslai bus savalaikiai, konkretūs ir pasiekiami.</w:t>
            </w:r>
          </w:p>
          <w:p w14:paraId="70324721"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Nuolatinė strateginių dokumentų pasikeitimų stebėsena, aktyvus dalyvavimas rengimo procese (pasiūlymų dėl dokumentų projektų teikimas, dalyvavimas viešuosiuose aptarimuose ir pan.).</w:t>
            </w:r>
          </w:p>
        </w:tc>
        <w:tc>
          <w:tcPr>
            <w:tcW w:w="586" w:type="pct"/>
          </w:tcPr>
          <w:p w14:paraId="53DFB399"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Labai maža</w:t>
            </w:r>
          </w:p>
        </w:tc>
      </w:tr>
      <w:tr w:rsidR="003736DD" w:rsidRPr="002C025E" w14:paraId="7274ACD0" w14:textId="77777777" w:rsidTr="000E66DF">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12" w:type="pct"/>
          </w:tcPr>
          <w:p w14:paraId="588A3336" w14:textId="77777777" w:rsidR="003C0F55" w:rsidRPr="00DF3A8E" w:rsidRDefault="003C0F55" w:rsidP="002C025E">
            <w:pPr>
              <w:jc w:val="both"/>
              <w:rPr>
                <w:rFonts w:ascii="Georgia" w:hAnsi="Georgia"/>
                <w:sz w:val="20"/>
                <w:szCs w:val="20"/>
              </w:rPr>
            </w:pPr>
            <w:r w:rsidRPr="00DF3A8E">
              <w:rPr>
                <w:rFonts w:ascii="Georgia" w:hAnsi="Georgia"/>
                <w:sz w:val="20"/>
                <w:szCs w:val="20"/>
              </w:rPr>
              <w:t>2.</w:t>
            </w:r>
          </w:p>
        </w:tc>
        <w:tc>
          <w:tcPr>
            <w:tcW w:w="858" w:type="pct"/>
          </w:tcPr>
          <w:p w14:paraId="48DB857E"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Modelio struktūra</w:t>
            </w:r>
          </w:p>
        </w:tc>
        <w:tc>
          <w:tcPr>
            <w:tcW w:w="1308" w:type="pct"/>
          </w:tcPr>
          <w:p w14:paraId="289D1BAD"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 xml:space="preserve">2007-2013 m. finansiniu laikotarpiu miestų plėtros fondai, kurie finansavo gyvenamųjų namų sektorių, buvo daugiausiai įsteigti kaip esamos finansų įstaigos ar banko atskiras finansinis padalinys (angl. </w:t>
            </w:r>
            <w:r w:rsidRPr="00DF3A8E">
              <w:rPr>
                <w:rFonts w:ascii="Georgia" w:hAnsi="Georgia"/>
                <w:i/>
                <w:sz w:val="20"/>
                <w:szCs w:val="20"/>
              </w:rPr>
              <w:t>separate block of finance</w:t>
            </w:r>
            <w:r w:rsidRPr="00DF3A8E">
              <w:rPr>
                <w:rFonts w:ascii="Georgia" w:hAnsi="Georgia"/>
                <w:sz w:val="20"/>
                <w:szCs w:val="20"/>
              </w:rPr>
              <w:t>).</w:t>
            </w:r>
          </w:p>
          <w:p w14:paraId="2E3B7AB7"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 xml:space="preserve">Kita alternatyva yra savarankiško juridinio asmens steigimas, kuris investuotų, pritrauktų ir koordinuotu finansavimą iš įvairių </w:t>
            </w:r>
            <w:r w:rsidRPr="00DF3A8E">
              <w:rPr>
                <w:rFonts w:ascii="Georgia" w:hAnsi="Georgia"/>
                <w:sz w:val="20"/>
                <w:szCs w:val="20"/>
              </w:rPr>
              <w:lastRenderedPageBreak/>
              <w:t>šaltinių, veiktų kaip tarpininkas tarp suinteresuotų šalių ir galėtų greitai pasitelkti būtinas technines žinias įgyvendinant didelės apimties projektus.</w:t>
            </w:r>
          </w:p>
          <w:p w14:paraId="3ADF812B"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Modelio struktūros pasirinkimas priklauso nuo galutinių naudos gavėjų, projektų rizikos lygio, investicijų grąžos ir pan.</w:t>
            </w:r>
          </w:p>
          <w:p w14:paraId="2B6B1B6D"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Neteisingai pasirinkus modelio įgyvendinimo struktūrą finansinė priemonė gali būti įgyvendinama ne taip sklandžiai ir efektyviai.</w:t>
            </w:r>
          </w:p>
        </w:tc>
        <w:tc>
          <w:tcPr>
            <w:tcW w:w="738" w:type="pct"/>
          </w:tcPr>
          <w:p w14:paraId="4707DF0B"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lastRenderedPageBreak/>
              <w:t>Poveikis rezultatams – vidutinis;</w:t>
            </w:r>
          </w:p>
          <w:p w14:paraId="1404768D"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finansams – vidutinis;</w:t>
            </w:r>
          </w:p>
          <w:p w14:paraId="0A44B2A1"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nežymus;</w:t>
            </w:r>
          </w:p>
          <w:p w14:paraId="08856ED5"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reputacijai – nežymus.</w:t>
            </w:r>
          </w:p>
        </w:tc>
        <w:tc>
          <w:tcPr>
            <w:tcW w:w="1298" w:type="pct"/>
          </w:tcPr>
          <w:p w14:paraId="01F99888"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 xml:space="preserve">Viena iš šios rizikos valdymo priemonių yra ši </w:t>
            </w:r>
            <w:r w:rsidRPr="00DF3A8E">
              <w:rPr>
                <w:rFonts w:ascii="Georgia" w:hAnsi="Georgia"/>
                <w:i/>
                <w:sz w:val="20"/>
                <w:szCs w:val="20"/>
              </w:rPr>
              <w:t>ex-ante</w:t>
            </w:r>
            <w:r w:rsidRPr="00DF3A8E">
              <w:rPr>
                <w:rFonts w:ascii="Georgia" w:hAnsi="Georgia"/>
                <w:sz w:val="20"/>
                <w:szCs w:val="20"/>
              </w:rPr>
              <w:t xml:space="preserve"> studija, kurioje išanalizuoti galimi finansiniai produktai ir pateikiami siūlymai dėl bendros modelio struktūros.</w:t>
            </w:r>
          </w:p>
          <w:p w14:paraId="5F5D40E4"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 xml:space="preserve">Nuolatinė stebėsena ir, esant poreikiui, korekcijos, pvz., steigiant naują miesto plėtros fondą pasirenkama kitokia struktūra. </w:t>
            </w:r>
          </w:p>
        </w:tc>
        <w:tc>
          <w:tcPr>
            <w:tcW w:w="586" w:type="pct"/>
          </w:tcPr>
          <w:p w14:paraId="178F6078"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Labai maža</w:t>
            </w:r>
          </w:p>
        </w:tc>
      </w:tr>
      <w:tr w:rsidR="003736DD" w:rsidRPr="002C025E" w14:paraId="57184A77" w14:textId="77777777" w:rsidTr="000E66DF">
        <w:trPr>
          <w:trHeight w:val="173"/>
        </w:trPr>
        <w:tc>
          <w:tcPr>
            <w:cnfStyle w:val="001000000000" w:firstRow="0" w:lastRow="0" w:firstColumn="1" w:lastColumn="0" w:oddVBand="0" w:evenVBand="0" w:oddHBand="0" w:evenHBand="0" w:firstRowFirstColumn="0" w:firstRowLastColumn="0" w:lastRowFirstColumn="0" w:lastRowLastColumn="0"/>
            <w:tcW w:w="212" w:type="pct"/>
          </w:tcPr>
          <w:p w14:paraId="0116A3DF" w14:textId="77777777" w:rsidR="003C0F55" w:rsidRPr="00DF3A8E" w:rsidRDefault="003C0F55" w:rsidP="002C025E">
            <w:pPr>
              <w:jc w:val="both"/>
              <w:rPr>
                <w:rFonts w:ascii="Georgia" w:hAnsi="Georgia"/>
                <w:sz w:val="20"/>
                <w:szCs w:val="20"/>
              </w:rPr>
            </w:pPr>
            <w:r w:rsidRPr="00DF3A8E">
              <w:rPr>
                <w:rFonts w:ascii="Georgia" w:hAnsi="Georgia"/>
                <w:sz w:val="20"/>
                <w:szCs w:val="20"/>
              </w:rPr>
              <w:lastRenderedPageBreak/>
              <w:t>3.</w:t>
            </w:r>
          </w:p>
        </w:tc>
        <w:tc>
          <w:tcPr>
            <w:tcW w:w="858" w:type="pct"/>
          </w:tcPr>
          <w:p w14:paraId="5C9962AC"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Ilgai trunkantis steigimo procesas</w:t>
            </w:r>
          </w:p>
        </w:tc>
        <w:tc>
          <w:tcPr>
            <w:tcW w:w="1308" w:type="pct"/>
          </w:tcPr>
          <w:p w14:paraId="036B5753"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Finansinės priemonės reikalauja didesnių laiko sąnaudų jas sukurti ir yra kompleksiškesnės lyginant su subsidijų mechanizmais arba privačiais investiciniais fondais, kuriuose nėra naudojamos viešojo sektoriaus lėšos.</w:t>
            </w:r>
          </w:p>
          <w:p w14:paraId="4801CD3D"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Procesas nuo kontroliuojančiojo fondo įsteigimo iki miestų plėtros fondo veiklos pradžios gali trukti net iki trejų metų.</w:t>
            </w:r>
          </w:p>
          <w:p w14:paraId="082B7EF2"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Ilgas finansinių priemonių kūrimo procesas didina lėšų grąžinimo į Europos Bendrijos biudžetą tikimybę.</w:t>
            </w:r>
          </w:p>
          <w:p w14:paraId="07B1BEF8"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Per laikotarpį nuo finansų priemonės inicijavimo iki projektų įgyvendinimo rinkos sąlygos gali pasikeisti ir suplanuotos intervencijos tapti mažiau aktualios.</w:t>
            </w:r>
          </w:p>
          <w:p w14:paraId="48F7D449"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 xml:space="preserve">Ilgas procesas taip pat reikalauja papildomo koordinavimo su kitomis </w:t>
            </w:r>
            <w:r w:rsidRPr="00DF3A8E">
              <w:rPr>
                <w:rFonts w:ascii="Georgia" w:hAnsi="Georgia"/>
                <w:sz w:val="20"/>
                <w:szCs w:val="20"/>
              </w:rPr>
              <w:lastRenderedPageBreak/>
              <w:t>veiklomis, kurios priklauso nuo pagrindinių veiklų įgyvendinimo pažangos.</w:t>
            </w:r>
          </w:p>
        </w:tc>
        <w:tc>
          <w:tcPr>
            <w:tcW w:w="738" w:type="pct"/>
          </w:tcPr>
          <w:p w14:paraId="6697C417"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lastRenderedPageBreak/>
              <w:t>Poveikis rezultatams – vidutinis;</w:t>
            </w:r>
          </w:p>
          <w:p w14:paraId="674AA2CF"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finansams – vidutinis;</w:t>
            </w:r>
          </w:p>
          <w:p w14:paraId="3554D417"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ženklus;</w:t>
            </w:r>
          </w:p>
          <w:p w14:paraId="1259379F"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reputacijai – vidutinis.</w:t>
            </w:r>
          </w:p>
        </w:tc>
        <w:tc>
          <w:tcPr>
            <w:tcW w:w="1298" w:type="pct"/>
          </w:tcPr>
          <w:p w14:paraId="03B78A42"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Skiriami pakankami ištekliai finansinių priemonių steigimo etapui.</w:t>
            </w:r>
          </w:p>
          <w:p w14:paraId="333FC1FF"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Pasitelkti kvalifikuoti darbuotojai, turintys patirties steigiant ir įgyvendinant finansines priemones 2007-2013 m. finansiniu laikotarpiu.</w:t>
            </w:r>
          </w:p>
          <w:p w14:paraId="30021A12"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Stengiamasi maksimaliai pasinaudoti pasiteisinusia praktika ir pritaikomais elementais iš praeito finansinio laikotarpio.</w:t>
            </w:r>
          </w:p>
          <w:p w14:paraId="5BAEF47C"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Visos veiklos, pvz., viešinimo kampanija, koordinuojamos įvertinant bendrą finansinių priemonių kūrimo pažangą.</w:t>
            </w:r>
          </w:p>
        </w:tc>
        <w:tc>
          <w:tcPr>
            <w:tcW w:w="586" w:type="pct"/>
          </w:tcPr>
          <w:p w14:paraId="61E631FB"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Maža</w:t>
            </w:r>
          </w:p>
        </w:tc>
      </w:tr>
      <w:tr w:rsidR="003736DD" w:rsidRPr="002C025E" w14:paraId="32DB39DE" w14:textId="77777777" w:rsidTr="000E66DF">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12" w:type="pct"/>
          </w:tcPr>
          <w:p w14:paraId="59EDA0BA" w14:textId="77777777" w:rsidR="003C0F55" w:rsidRPr="00DF3A8E" w:rsidRDefault="003C0F55" w:rsidP="002C025E">
            <w:pPr>
              <w:jc w:val="both"/>
              <w:rPr>
                <w:rFonts w:ascii="Georgia" w:hAnsi="Georgia"/>
                <w:sz w:val="20"/>
                <w:szCs w:val="20"/>
              </w:rPr>
            </w:pPr>
            <w:r w:rsidRPr="00DF3A8E">
              <w:rPr>
                <w:rFonts w:ascii="Georgia" w:hAnsi="Georgia"/>
                <w:sz w:val="20"/>
                <w:szCs w:val="20"/>
              </w:rPr>
              <w:lastRenderedPageBreak/>
              <w:t>4.</w:t>
            </w:r>
          </w:p>
        </w:tc>
        <w:tc>
          <w:tcPr>
            <w:tcW w:w="858" w:type="pct"/>
          </w:tcPr>
          <w:p w14:paraId="0C3BF62F"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Rinkos rizika</w:t>
            </w:r>
          </w:p>
        </w:tc>
        <w:tc>
          <w:tcPr>
            <w:tcW w:w="1308" w:type="pct"/>
          </w:tcPr>
          <w:p w14:paraId="73603127"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Klaidingai prognozuota energijos efektyvumo projektų paklausa įtakotų finansinės priemonės gyvybingumą, t.y. nebūtų pasiekti užsibrėžti rezultatai, neužtikrintas pakankamas projektų srautas, socialinis-ekonominis poveikis ir t.t.</w:t>
            </w:r>
          </w:p>
          <w:p w14:paraId="4C4A9B54"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Ši rizika gali pasireikšti netinkamai atlikus rinkos analizę ir:</w:t>
            </w:r>
          </w:p>
          <w:p w14:paraId="6535D096" w14:textId="77777777" w:rsidR="003C0F55" w:rsidRPr="00DF3A8E" w:rsidRDefault="003C0F55" w:rsidP="00C03122">
            <w:pPr>
              <w:numPr>
                <w:ilvl w:val="0"/>
                <w:numId w:val="6"/>
              </w:num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netinkamai pasirinkus produkto tipą (pagal planuojamų finansuoti projektų atsipirkimo laiką, kapitalo sąnaudas, rizikos lygį ir tikėtiną grąžą);</w:t>
            </w:r>
          </w:p>
          <w:p w14:paraId="5C8FF9FC" w14:textId="77777777" w:rsidR="003C0F55" w:rsidRPr="00DF3A8E" w:rsidRDefault="003C0F55" w:rsidP="00C03122">
            <w:pPr>
              <w:numPr>
                <w:ilvl w:val="0"/>
                <w:numId w:val="6"/>
              </w:num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neteisingai įvertinus tame pačiame sektoriuje vykdomų viešųjų intervencijų/kitų finansinių instrumentų poveikį;</w:t>
            </w:r>
          </w:p>
          <w:p w14:paraId="1A761D2E" w14:textId="77777777" w:rsidR="003C0F55" w:rsidRPr="00DF3A8E" w:rsidRDefault="003C0F55" w:rsidP="00C03122">
            <w:pPr>
              <w:numPr>
                <w:ilvl w:val="0"/>
                <w:numId w:val="6"/>
              </w:num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 xml:space="preserve">neteisingai įvertinus ir parinkus tokias produkto savybes kaip kainą, trukmę, tikslinę grupę/-es, tikslinę teritoriją (pvz., fondai veikiantys regioniniu lygiu gali būti nepajėgūs pritraukti reikiamą kritinę projektų masę, dėl ko intervencijos poveikis bus išsklaidytas ir/arba patiriamos didesnės </w:t>
            </w:r>
            <w:r w:rsidRPr="00DF3A8E">
              <w:rPr>
                <w:rFonts w:ascii="Georgia" w:hAnsi="Georgia"/>
                <w:sz w:val="20"/>
                <w:szCs w:val="20"/>
              </w:rPr>
              <w:lastRenderedPageBreak/>
              <w:t>administravimo išlaidos), papildomas skatinamąsias priemones ir t.t.;</w:t>
            </w:r>
          </w:p>
          <w:p w14:paraId="404A1F04" w14:textId="77777777" w:rsidR="003C0F55" w:rsidRPr="00100EF9" w:rsidRDefault="003C0F55" w:rsidP="002C025E">
            <w:pPr>
              <w:numPr>
                <w:ilvl w:val="0"/>
                <w:numId w:val="6"/>
              </w:num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100EF9">
              <w:rPr>
                <w:rFonts w:ascii="Georgia" w:hAnsi="Georgia"/>
                <w:sz w:val="20"/>
                <w:szCs w:val="20"/>
              </w:rPr>
              <w:t>tinkamai nepasinaudojus gerąja 2007-2013 m. patirtimi ir nepritaikius elementų, kurie pasiteisino, pvz., netaikyti reikalavimo užstatyti turto daugiabučių namų atnaujinimo projektuose ir pan.</w:t>
            </w:r>
          </w:p>
          <w:p w14:paraId="7694A3DB"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p>
        </w:tc>
        <w:tc>
          <w:tcPr>
            <w:tcW w:w="738" w:type="pct"/>
          </w:tcPr>
          <w:p w14:paraId="3F5F0CBC"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lastRenderedPageBreak/>
              <w:t>Poveikis rezultatams – ženklus;</w:t>
            </w:r>
          </w:p>
          <w:p w14:paraId="3C784BA8"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finansams – ženklus</w:t>
            </w:r>
          </w:p>
          <w:p w14:paraId="6DFB512F"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vidutinis;</w:t>
            </w:r>
          </w:p>
          <w:p w14:paraId="5D665A27"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reputacijai – vidutinis.</w:t>
            </w:r>
          </w:p>
        </w:tc>
        <w:tc>
          <w:tcPr>
            <w:tcW w:w="1298" w:type="pct"/>
          </w:tcPr>
          <w:p w14:paraId="3A9D8188"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 xml:space="preserve">Viena iš šios rizikos valdymo priemonių yra ši </w:t>
            </w:r>
            <w:r w:rsidRPr="00DF3A8E">
              <w:rPr>
                <w:rFonts w:ascii="Georgia" w:hAnsi="Georgia"/>
                <w:i/>
                <w:sz w:val="20"/>
                <w:szCs w:val="20"/>
              </w:rPr>
              <w:t>ex-ante</w:t>
            </w:r>
            <w:r w:rsidRPr="00DF3A8E">
              <w:rPr>
                <w:rFonts w:ascii="Georgia" w:hAnsi="Georgia"/>
                <w:sz w:val="20"/>
                <w:szCs w:val="20"/>
              </w:rPr>
              <w:t xml:space="preserve"> studija, kurioje detaliai išanalizuota rinkos situacija, dėl ko mažėja klaidingo poreikių nustatymo tikimybė.</w:t>
            </w:r>
          </w:p>
          <w:p w14:paraId="477EFF72"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Įgyvendinimo metu numatoma stebėti padėtį rinkoje ir, esant poreikiui (pasikeitus rinkos situacijai), pagal galimybes koreguoti teikiamų produktų sąlygas.</w:t>
            </w:r>
          </w:p>
          <w:p w14:paraId="6E1A855D"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Taip pat planuojamas intensyvus darbas su tikslinėmis grupėmis iki fondo veiklos pradžios, t. y. tiesioginiai kontaktai su savivaldybėmis, asociacijomis ir pan.</w:t>
            </w:r>
          </w:p>
        </w:tc>
        <w:tc>
          <w:tcPr>
            <w:tcW w:w="586" w:type="pct"/>
          </w:tcPr>
          <w:p w14:paraId="0A7B2F88"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Maža</w:t>
            </w:r>
          </w:p>
        </w:tc>
      </w:tr>
      <w:tr w:rsidR="003C0F55" w:rsidRPr="002C025E" w14:paraId="1DF9FD15" w14:textId="77777777" w:rsidTr="000E66DF">
        <w:trPr>
          <w:trHeight w:val="173"/>
        </w:trPr>
        <w:tc>
          <w:tcPr>
            <w:cnfStyle w:val="001000000000" w:firstRow="0" w:lastRow="0" w:firstColumn="1" w:lastColumn="0" w:oddVBand="0" w:evenVBand="0" w:oddHBand="0" w:evenHBand="0" w:firstRowFirstColumn="0" w:firstRowLastColumn="0" w:lastRowFirstColumn="0" w:lastRowLastColumn="0"/>
            <w:tcW w:w="5000" w:type="pct"/>
            <w:gridSpan w:val="6"/>
          </w:tcPr>
          <w:p w14:paraId="1F47BBBD" w14:textId="77777777" w:rsidR="003C0F55" w:rsidRPr="00DF3A8E" w:rsidRDefault="003C0F55" w:rsidP="002C025E">
            <w:pPr>
              <w:jc w:val="both"/>
              <w:rPr>
                <w:rFonts w:ascii="Georgia" w:hAnsi="Georgia"/>
                <w:sz w:val="20"/>
                <w:szCs w:val="20"/>
              </w:rPr>
            </w:pPr>
            <w:r w:rsidRPr="00DF3A8E">
              <w:rPr>
                <w:rFonts w:ascii="Georgia" w:hAnsi="Georgia"/>
                <w:b w:val="0"/>
                <w:sz w:val="20"/>
                <w:szCs w:val="20"/>
              </w:rPr>
              <w:lastRenderedPageBreak/>
              <w:t>Mišrūs</w:t>
            </w:r>
          </w:p>
        </w:tc>
      </w:tr>
      <w:tr w:rsidR="003736DD" w:rsidRPr="002C025E" w14:paraId="74B61DEA" w14:textId="77777777" w:rsidTr="000E66DF">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12" w:type="pct"/>
          </w:tcPr>
          <w:p w14:paraId="1A6EC3AE" w14:textId="77777777" w:rsidR="003C0F55" w:rsidRPr="00DF3A8E" w:rsidRDefault="003C0F55" w:rsidP="002C025E">
            <w:pPr>
              <w:jc w:val="both"/>
              <w:rPr>
                <w:rFonts w:ascii="Georgia" w:hAnsi="Georgia"/>
                <w:sz w:val="20"/>
                <w:szCs w:val="20"/>
              </w:rPr>
            </w:pPr>
            <w:r w:rsidRPr="00DF3A8E">
              <w:rPr>
                <w:rFonts w:ascii="Georgia" w:hAnsi="Georgia"/>
                <w:sz w:val="20"/>
                <w:szCs w:val="20"/>
              </w:rPr>
              <w:t>5.</w:t>
            </w:r>
          </w:p>
        </w:tc>
        <w:tc>
          <w:tcPr>
            <w:tcW w:w="858" w:type="pct"/>
          </w:tcPr>
          <w:p w14:paraId="2655B4C4"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Politinė rizika</w:t>
            </w:r>
          </w:p>
        </w:tc>
        <w:tc>
          <w:tcPr>
            <w:tcW w:w="1308" w:type="pct"/>
          </w:tcPr>
          <w:p w14:paraId="410492C7"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Vyriausybės ir politikų parama svarbi, ypač jei organizacija ar instrumentas yra naujas, t.y. kol susikuriama reputacija ir įsitvirtinama savo rinkos segmente. Be politinio lygio paramos tai gali nepavykti ir planuoti rezultatai būti nepasiekti arba žlugti visas modelis.</w:t>
            </w:r>
          </w:p>
          <w:p w14:paraId="677FB262"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Kitas politinės rizikos veiksnio aspektas yra nacionalinės politikos energijos efektyvumo sektoriuje prioritetų pasikeitimas. Nacionalinių strategijų energetikos sektoriuje prioritetų pakeitimas (finansavimo dabartiniams prioritetams sumažinimas) galėtų neigiamai įtakoti finansines priemones (pvz., lėšų perskirstymas, dėl kurio nebūtų įmanoma pasiekti kritinės projektų masės/pasikeistų administravimo kaštai ir pan.).</w:t>
            </w:r>
          </w:p>
        </w:tc>
        <w:tc>
          <w:tcPr>
            <w:tcW w:w="738" w:type="pct"/>
          </w:tcPr>
          <w:p w14:paraId="28EB4E7E"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rezultatams – ženklus;</w:t>
            </w:r>
          </w:p>
          <w:p w14:paraId="662EF909"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finansams – vidutinis;</w:t>
            </w:r>
          </w:p>
          <w:p w14:paraId="3314B021"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vidutinis;</w:t>
            </w:r>
          </w:p>
          <w:p w14:paraId="3BB59E02"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reputacijai – vidutinis.</w:t>
            </w:r>
          </w:p>
        </w:tc>
        <w:tc>
          <w:tcPr>
            <w:tcW w:w="1298" w:type="pct"/>
          </w:tcPr>
          <w:p w14:paraId="417B7929"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Nuolatinė teisės aktų pasikeitimų stebėsena, aktyvus dalyvavimas teisės aktų rengimo procese (pasiūlymų dėl teisės aktų projektų teikimas, dalyvavimas viešuosiuose aptarimuose ir pan.).</w:t>
            </w:r>
          </w:p>
          <w:p w14:paraId="38E3E9D8"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Organizuojami susitikimai su politikais ir politinio pasitikėjimo pareigūnais skirti informuoti apie modelį (iki įgyvendinimo pradžios) ir apie jo įgyvendinimo pažangą. Nuolatinis informacijos teikimas LR finansų, LR aplinkos ir LR energetikos ministerijoms aiškiai pabrėžiant modelio naudą.</w:t>
            </w:r>
          </w:p>
        </w:tc>
        <w:tc>
          <w:tcPr>
            <w:tcW w:w="586" w:type="pct"/>
          </w:tcPr>
          <w:p w14:paraId="1A8ED60B"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Maža</w:t>
            </w:r>
          </w:p>
        </w:tc>
      </w:tr>
      <w:tr w:rsidR="003736DD" w:rsidRPr="002C025E" w14:paraId="532A4D8F" w14:textId="77777777" w:rsidTr="000E66DF">
        <w:trPr>
          <w:trHeight w:val="173"/>
        </w:trPr>
        <w:tc>
          <w:tcPr>
            <w:cnfStyle w:val="001000000000" w:firstRow="0" w:lastRow="0" w:firstColumn="1" w:lastColumn="0" w:oddVBand="0" w:evenVBand="0" w:oddHBand="0" w:evenHBand="0" w:firstRowFirstColumn="0" w:firstRowLastColumn="0" w:lastRowFirstColumn="0" w:lastRowLastColumn="0"/>
            <w:tcW w:w="212" w:type="pct"/>
          </w:tcPr>
          <w:p w14:paraId="09A68383" w14:textId="77777777" w:rsidR="003C0F55" w:rsidRPr="00DF3A8E" w:rsidRDefault="003C0F55" w:rsidP="002C025E">
            <w:pPr>
              <w:jc w:val="both"/>
              <w:rPr>
                <w:rFonts w:ascii="Georgia" w:hAnsi="Georgia"/>
                <w:sz w:val="20"/>
                <w:szCs w:val="20"/>
              </w:rPr>
            </w:pPr>
            <w:r w:rsidRPr="00DF3A8E">
              <w:rPr>
                <w:rFonts w:ascii="Georgia" w:hAnsi="Georgia"/>
                <w:sz w:val="20"/>
                <w:szCs w:val="20"/>
              </w:rPr>
              <w:t>6.</w:t>
            </w:r>
          </w:p>
        </w:tc>
        <w:tc>
          <w:tcPr>
            <w:tcW w:w="858" w:type="pct"/>
          </w:tcPr>
          <w:p w14:paraId="540FE279"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Teisinė aplinka</w:t>
            </w:r>
          </w:p>
        </w:tc>
        <w:tc>
          <w:tcPr>
            <w:tcW w:w="1308" w:type="pct"/>
          </w:tcPr>
          <w:p w14:paraId="00702A68"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 xml:space="preserve">Gerai išplėtota ir moderni teisinė </w:t>
            </w:r>
            <w:r w:rsidRPr="00DF3A8E">
              <w:rPr>
                <w:rFonts w:ascii="Georgia" w:hAnsi="Georgia"/>
                <w:sz w:val="20"/>
                <w:szCs w:val="20"/>
              </w:rPr>
              <w:lastRenderedPageBreak/>
              <w:t>aplinka yra vienas svarbiausių finansinių priemonių sėkmingo įgyvendinimo faktorių. Žemiau pateikiamos kelios sritys, kuriose galima įžvelgti potencialią riziką:</w:t>
            </w:r>
          </w:p>
          <w:p w14:paraId="6A178137" w14:textId="77777777" w:rsidR="003C0F55" w:rsidRPr="00DF3A8E" w:rsidRDefault="003C0F55" w:rsidP="00C03122">
            <w:pPr>
              <w:numPr>
                <w:ilvl w:val="0"/>
                <w:numId w:val="7"/>
              </w:num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2007-2013 m. vienas esminių iššūkių buvo ERPF taisyklių, kurios buvo labiau pritaikytos subsidijoms, taikymas komercinei aplinkai. JESSICA yra tinkama ir vertinga iniciatyva, tačiau pati struktūra nesudarė galimybių lėšas į rinką pateikti greitai ir efektyviai;</w:t>
            </w:r>
          </w:p>
          <w:p w14:paraId="22C505FB" w14:textId="77777777" w:rsidR="003C0F55" w:rsidRPr="00DF3A8E" w:rsidRDefault="003C0F55" w:rsidP="00C03122">
            <w:pPr>
              <w:numPr>
                <w:ilvl w:val="0"/>
                <w:numId w:val="7"/>
              </w:num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tinkama teisinė bazė yra labai svarbus faktorius, lemiantis ESCO rinkos plėtrą. Pažymėtina, jog ESCO reglamentuojančių teisės aktų trūkumai yra nurodomi kaip viena iš svarbiausių kliūčių ESCO plėtrai Lietuvoje net keliose studijose;</w:t>
            </w:r>
          </w:p>
          <w:p w14:paraId="7B833BCE" w14:textId="77777777" w:rsidR="003C0F55" w:rsidRPr="00DF3A8E" w:rsidRDefault="003C0F55" w:rsidP="00C03122">
            <w:pPr>
              <w:numPr>
                <w:ilvl w:val="0"/>
                <w:numId w:val="7"/>
              </w:num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bendrabučių atnaujinimo programos (ir analogiškų iniciatyvų) įgyvendinimas Lietuvoje gali strigti dėl aukštosioms mokyklos ir profesinio mokymo įstaigoms taikomų skolinimosi limitų.</w:t>
            </w:r>
          </w:p>
        </w:tc>
        <w:tc>
          <w:tcPr>
            <w:tcW w:w="738" w:type="pct"/>
          </w:tcPr>
          <w:p w14:paraId="749A54EE"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lastRenderedPageBreak/>
              <w:t xml:space="preserve">Poveikis </w:t>
            </w:r>
            <w:r w:rsidRPr="00DF3A8E">
              <w:rPr>
                <w:rFonts w:ascii="Georgia" w:hAnsi="Georgia"/>
                <w:sz w:val="20"/>
                <w:szCs w:val="20"/>
              </w:rPr>
              <w:lastRenderedPageBreak/>
              <w:t>rezultatams – ženklus;</w:t>
            </w:r>
          </w:p>
          <w:p w14:paraId="5FB91B7B"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finansams – vidutinis;</w:t>
            </w:r>
          </w:p>
          <w:p w14:paraId="5B60229C"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ženklus;</w:t>
            </w:r>
          </w:p>
          <w:p w14:paraId="121CAE37"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reputacijai – nežymus.</w:t>
            </w:r>
          </w:p>
        </w:tc>
        <w:tc>
          <w:tcPr>
            <w:tcW w:w="1298" w:type="pct"/>
          </w:tcPr>
          <w:p w14:paraId="71542AE6"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lastRenderedPageBreak/>
              <w:t xml:space="preserve">Didesnės rizikos aspektai, kurie gali </w:t>
            </w:r>
            <w:r w:rsidRPr="00DF3A8E">
              <w:rPr>
                <w:rFonts w:ascii="Georgia" w:hAnsi="Georgia"/>
                <w:sz w:val="20"/>
                <w:szCs w:val="20"/>
              </w:rPr>
              <w:lastRenderedPageBreak/>
              <w:t xml:space="preserve">kelti problemų ateityje, identifikuoti </w:t>
            </w:r>
            <w:r w:rsidRPr="00DF3A8E">
              <w:rPr>
                <w:rFonts w:ascii="Georgia" w:hAnsi="Georgia"/>
                <w:i/>
                <w:sz w:val="20"/>
                <w:szCs w:val="20"/>
              </w:rPr>
              <w:t>ex-ante</w:t>
            </w:r>
            <w:r w:rsidRPr="00DF3A8E">
              <w:rPr>
                <w:rFonts w:ascii="Georgia" w:hAnsi="Georgia"/>
                <w:sz w:val="20"/>
                <w:szCs w:val="20"/>
              </w:rPr>
              <w:t xml:space="preserve"> studijoje.</w:t>
            </w:r>
          </w:p>
          <w:p w14:paraId="44FEBF3A"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Pasitelkti kvalifikuoti darbuotojai, turintys patirties steigiant ir įgyvendinant finansines priemones 2007-2013 m. finansiniu laikotarpiu.</w:t>
            </w:r>
          </w:p>
          <w:p w14:paraId="7BFAEFB4"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Siekiama kaip įmanoma daugiau pasinaudoti jau turima patirtimi, paruoštais sprendimais bei sukurta teisine baze įgyvendinant JESSICA iniciatyvą Lietuvoje 2007-2013 m.</w:t>
            </w:r>
          </w:p>
          <w:p w14:paraId="64CAD236"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Numatoma aktyviai bendradarbiauti su Europos Komisija ir, kiek tai yra įmanoma, stengtis iš anksto sužinoti poziciją dėl mažiau aiškių nuostatų.</w:t>
            </w:r>
          </w:p>
          <w:p w14:paraId="53EF4B57"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Aktyviai bendradarbiauti su politikais, politinio pasitikėjimo pareigūnais, atsakingais valstybės tarnautojais, organizuoti susitikimus, siūlyti konkrečius sprendimus, kurie padėtų spartinti finansinių priemonių įgyvendinimą ir spręsti kylančias problemas.</w:t>
            </w:r>
          </w:p>
        </w:tc>
        <w:tc>
          <w:tcPr>
            <w:tcW w:w="586" w:type="pct"/>
          </w:tcPr>
          <w:p w14:paraId="1E2A2DC3"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lastRenderedPageBreak/>
              <w:t>Maža</w:t>
            </w:r>
          </w:p>
        </w:tc>
      </w:tr>
      <w:tr w:rsidR="003736DD" w:rsidRPr="002C025E" w14:paraId="0C18C080" w14:textId="77777777" w:rsidTr="000E66DF">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12" w:type="pct"/>
          </w:tcPr>
          <w:p w14:paraId="18EE37E0" w14:textId="77777777" w:rsidR="003C0F55" w:rsidRPr="00DF3A8E" w:rsidRDefault="003C0F55" w:rsidP="002C025E">
            <w:pPr>
              <w:jc w:val="both"/>
              <w:rPr>
                <w:rFonts w:ascii="Georgia" w:hAnsi="Georgia"/>
                <w:sz w:val="20"/>
                <w:szCs w:val="20"/>
              </w:rPr>
            </w:pPr>
            <w:r w:rsidRPr="00DF3A8E">
              <w:rPr>
                <w:rFonts w:ascii="Georgia" w:hAnsi="Georgia"/>
                <w:sz w:val="20"/>
                <w:szCs w:val="20"/>
              </w:rPr>
              <w:lastRenderedPageBreak/>
              <w:t>7.</w:t>
            </w:r>
          </w:p>
        </w:tc>
        <w:tc>
          <w:tcPr>
            <w:tcW w:w="858" w:type="pct"/>
          </w:tcPr>
          <w:p w14:paraId="05E24673"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 xml:space="preserve">Techninės pagalbos </w:t>
            </w:r>
            <w:r w:rsidRPr="00DF3A8E">
              <w:rPr>
                <w:rFonts w:ascii="Georgia" w:hAnsi="Georgia"/>
                <w:sz w:val="20"/>
                <w:szCs w:val="20"/>
              </w:rPr>
              <w:lastRenderedPageBreak/>
              <w:t>užtikrinimas</w:t>
            </w:r>
          </w:p>
        </w:tc>
        <w:tc>
          <w:tcPr>
            <w:tcW w:w="1308" w:type="pct"/>
          </w:tcPr>
          <w:p w14:paraId="54B5547C"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lastRenderedPageBreak/>
              <w:t xml:space="preserve">Efektyvi techninė pagalba nurodoma </w:t>
            </w:r>
            <w:r w:rsidRPr="00DF3A8E">
              <w:rPr>
                <w:rFonts w:ascii="Georgia" w:hAnsi="Georgia"/>
                <w:sz w:val="20"/>
                <w:szCs w:val="20"/>
              </w:rPr>
              <w:lastRenderedPageBreak/>
              <w:t>kaip vienas svarbiausių energijos efektyvumo ir atsinaujinančių energijos išteklių projektų sėkmės elementų įgyvendinant JESSICA iniciatyvos lėšomis finansuojamus projektus.</w:t>
            </w:r>
          </w:p>
          <w:p w14:paraId="4B77076A"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2007-2013 m. finansiniu laikotarpiu techninės pagalbos poreikis buvo aktualus visuose etapuose (tiek finansinių priemonių, tiek konkrečių projektų lygiu), nuo inicijavimo iki užbaigimo ir tolimesnės stebėsenos.</w:t>
            </w:r>
          </w:p>
          <w:p w14:paraId="30645CB4"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Negalima identifikuoti geriausio techninės pagalbos teikimo modelio. Tai gali būti išorės organizacija, konsorciumo dalyvė ar techninė pagalba, kuri teikiama tiesiogiai fondo valdytojo. Taip pat negalima identifikuoti rekomenduojamo dalyvaujančių institucijų skaičiaus. Taigi, modelis turi būti parenkamas įvertinus konkrečias finansinės priemonės aplinkybes.</w:t>
            </w:r>
          </w:p>
          <w:p w14:paraId="15452E26"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Nepakankamai efektyvi techninė pagalba gali turėti neigiamą poveikį visuose įgyvendinimo lygiuose, pvz., CO</w:t>
            </w:r>
            <w:r w:rsidRPr="00DF3A8E">
              <w:rPr>
                <w:rFonts w:ascii="Georgia" w:hAnsi="Georgia"/>
                <w:sz w:val="20"/>
                <w:szCs w:val="20"/>
                <w:vertAlign w:val="subscript"/>
              </w:rPr>
              <w:t>2</w:t>
            </w:r>
            <w:r w:rsidRPr="00DF3A8E">
              <w:rPr>
                <w:rFonts w:ascii="Georgia" w:hAnsi="Georgia"/>
                <w:sz w:val="20"/>
                <w:szCs w:val="20"/>
              </w:rPr>
              <w:t xml:space="preserve"> mažinimo ir energijos efektyvumo priemonės yra nustatomos kiekvienam pastatui individualiai. Taip pat individualūs yra ir energijos sutaupymai bei CO</w:t>
            </w:r>
            <w:r w:rsidRPr="00DF3A8E">
              <w:rPr>
                <w:rFonts w:ascii="Georgia" w:hAnsi="Georgia"/>
                <w:sz w:val="20"/>
                <w:szCs w:val="20"/>
                <w:vertAlign w:val="subscript"/>
              </w:rPr>
              <w:t>2</w:t>
            </w:r>
            <w:r w:rsidRPr="00DF3A8E">
              <w:rPr>
                <w:rFonts w:ascii="Georgia" w:hAnsi="Georgia"/>
                <w:sz w:val="20"/>
                <w:szCs w:val="20"/>
              </w:rPr>
              <w:t xml:space="preserve"> taršos sumažėjimas įgyvendinus projektą. Neturint reikiamos kvalifikacijos, šių rodiklių tinkamai išmatuoti negalima, dėl ko gali būti </w:t>
            </w:r>
            <w:r w:rsidRPr="00DF3A8E">
              <w:rPr>
                <w:rFonts w:ascii="Georgia" w:hAnsi="Georgia"/>
                <w:sz w:val="20"/>
                <w:szCs w:val="20"/>
              </w:rPr>
              <w:lastRenderedPageBreak/>
              <w:t>nepasiekti ar iškraipyti užsibrėžti rezultatai.</w:t>
            </w:r>
          </w:p>
        </w:tc>
        <w:tc>
          <w:tcPr>
            <w:tcW w:w="738" w:type="pct"/>
          </w:tcPr>
          <w:p w14:paraId="1A082998"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lastRenderedPageBreak/>
              <w:t xml:space="preserve">Poveikis </w:t>
            </w:r>
            <w:r w:rsidRPr="00DF3A8E">
              <w:rPr>
                <w:rFonts w:ascii="Georgia" w:hAnsi="Georgia"/>
                <w:sz w:val="20"/>
                <w:szCs w:val="20"/>
              </w:rPr>
              <w:lastRenderedPageBreak/>
              <w:t>rezultatams – ženklus;</w:t>
            </w:r>
          </w:p>
          <w:p w14:paraId="46307220"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finansams – vidutinis;</w:t>
            </w:r>
          </w:p>
          <w:p w14:paraId="4B972185"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ženklus;</w:t>
            </w:r>
          </w:p>
          <w:p w14:paraId="7FEDDABB"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reputacijai – nežymus.</w:t>
            </w:r>
          </w:p>
        </w:tc>
        <w:tc>
          <w:tcPr>
            <w:tcW w:w="1298" w:type="pct"/>
          </w:tcPr>
          <w:p w14:paraId="62ED3BF5"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lastRenderedPageBreak/>
              <w:t xml:space="preserve">Bus įvertintas techninės pagalbos </w:t>
            </w:r>
            <w:r w:rsidRPr="00DF3A8E">
              <w:rPr>
                <w:rFonts w:ascii="Georgia" w:hAnsi="Georgia"/>
                <w:sz w:val="20"/>
                <w:szCs w:val="20"/>
              </w:rPr>
              <w:lastRenderedPageBreak/>
              <w:t>poreikis, numatyti reikiami finansiniai ir žmogiškieji ištekliai, pasiūlytos techninės pagalbos paslaugos arba kompensacija už tokias išlaidas.</w:t>
            </w:r>
          </w:p>
          <w:p w14:paraId="422201F1"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Įvertinta 2007-2013 m. laikotarpiu sukaupta patirtis ir taikyta institucinė struktūra.</w:t>
            </w:r>
          </w:p>
          <w:p w14:paraId="2DB14F85"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Nustatyti aiškūs kokybiniai reikalavimai.</w:t>
            </w:r>
          </w:p>
        </w:tc>
        <w:tc>
          <w:tcPr>
            <w:tcW w:w="586" w:type="pct"/>
          </w:tcPr>
          <w:p w14:paraId="06447A69"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lastRenderedPageBreak/>
              <w:t>Maža</w:t>
            </w:r>
          </w:p>
        </w:tc>
      </w:tr>
      <w:tr w:rsidR="003736DD" w:rsidRPr="002C025E" w14:paraId="61F022B7" w14:textId="77777777" w:rsidTr="000E66DF">
        <w:trPr>
          <w:trHeight w:val="173"/>
        </w:trPr>
        <w:tc>
          <w:tcPr>
            <w:cnfStyle w:val="001000000000" w:firstRow="0" w:lastRow="0" w:firstColumn="1" w:lastColumn="0" w:oddVBand="0" w:evenVBand="0" w:oddHBand="0" w:evenHBand="0" w:firstRowFirstColumn="0" w:firstRowLastColumn="0" w:lastRowFirstColumn="0" w:lastRowLastColumn="0"/>
            <w:tcW w:w="212" w:type="pct"/>
          </w:tcPr>
          <w:p w14:paraId="2C9DA460" w14:textId="77777777" w:rsidR="003C0F55" w:rsidRPr="00DF3A8E" w:rsidRDefault="003C0F55" w:rsidP="002C025E">
            <w:pPr>
              <w:jc w:val="both"/>
              <w:rPr>
                <w:rFonts w:ascii="Georgia" w:hAnsi="Georgia"/>
                <w:sz w:val="20"/>
                <w:szCs w:val="20"/>
              </w:rPr>
            </w:pPr>
            <w:r w:rsidRPr="00DF3A8E">
              <w:rPr>
                <w:rFonts w:ascii="Georgia" w:hAnsi="Georgia"/>
                <w:sz w:val="20"/>
                <w:szCs w:val="20"/>
              </w:rPr>
              <w:lastRenderedPageBreak/>
              <w:t>8.</w:t>
            </w:r>
          </w:p>
        </w:tc>
        <w:tc>
          <w:tcPr>
            <w:tcW w:w="858" w:type="pct"/>
          </w:tcPr>
          <w:p w14:paraId="36B7C15B"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Gerosios patirties pritaikymas</w:t>
            </w:r>
          </w:p>
        </w:tc>
        <w:tc>
          <w:tcPr>
            <w:tcW w:w="1308" w:type="pct"/>
          </w:tcPr>
          <w:p w14:paraId="428188AA"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Reikėtų išlaikyti tas nuostatas, kurios veikia praktikoje (pvz., standartinės formos ir pavyzdiniai dokumentai, paskolų susiejimas su butu, o ne savininku, nereikalauti užstatyti turto, parengiamųjų projekto darbų finansavimas sąskaitų apmokėjimo būdu deklaruojant patirtas, bet dar neapmokėtas išlaidas ir t.t.), ir tobulinti tik tuos elementus, kurie neveikia (pvz., avanso numatymas statybų įmonėms vykdant viešąjį pirkimą per CPO), o ne visą modelį kurti iš naujo.</w:t>
            </w:r>
          </w:p>
          <w:p w14:paraId="7E64BBF8"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Tinkamai nepasinaudojus sukaupta patirtimi, naujų elementų kūrimas ir taikymas gali įtakoti finansinių priemonių įgyvendinimo sėkmę ir pareikalauti nemažų sąnaudų.</w:t>
            </w:r>
          </w:p>
        </w:tc>
        <w:tc>
          <w:tcPr>
            <w:tcW w:w="738" w:type="pct"/>
          </w:tcPr>
          <w:p w14:paraId="798C0D9B"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rezultatams – ženklus;</w:t>
            </w:r>
          </w:p>
          <w:p w14:paraId="0CF2DE89"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finansams – vidutinis;</w:t>
            </w:r>
          </w:p>
          <w:p w14:paraId="5C4FDE8C"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ženklus;</w:t>
            </w:r>
          </w:p>
          <w:p w14:paraId="7F198436"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reputacijai – nežymus.</w:t>
            </w:r>
          </w:p>
        </w:tc>
        <w:tc>
          <w:tcPr>
            <w:tcW w:w="1298" w:type="pct"/>
          </w:tcPr>
          <w:p w14:paraId="10F20647"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Įvertinta turima patirtis, o pasiteisinusi praktika ir pritaikomi elementai naudojami 2014-2020 m. finansiniu laikotarpiu.</w:t>
            </w:r>
          </w:p>
        </w:tc>
        <w:tc>
          <w:tcPr>
            <w:tcW w:w="586" w:type="pct"/>
          </w:tcPr>
          <w:p w14:paraId="2FE7929B"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Maža</w:t>
            </w:r>
          </w:p>
        </w:tc>
      </w:tr>
      <w:tr w:rsidR="003736DD" w:rsidRPr="002C025E" w14:paraId="2A4D2FB6" w14:textId="77777777" w:rsidTr="000E66DF">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12" w:type="pct"/>
          </w:tcPr>
          <w:p w14:paraId="5470C196" w14:textId="77777777" w:rsidR="003C0F55" w:rsidRPr="00DF3A8E" w:rsidRDefault="003C0F55" w:rsidP="002C025E">
            <w:pPr>
              <w:jc w:val="both"/>
              <w:rPr>
                <w:rFonts w:ascii="Georgia" w:hAnsi="Georgia"/>
                <w:sz w:val="20"/>
                <w:szCs w:val="20"/>
              </w:rPr>
            </w:pPr>
            <w:r w:rsidRPr="00DF3A8E">
              <w:rPr>
                <w:rFonts w:ascii="Georgia" w:hAnsi="Georgia"/>
                <w:sz w:val="20"/>
                <w:szCs w:val="20"/>
              </w:rPr>
              <w:t>9.</w:t>
            </w:r>
          </w:p>
        </w:tc>
        <w:tc>
          <w:tcPr>
            <w:tcW w:w="858" w:type="pct"/>
          </w:tcPr>
          <w:p w14:paraId="04BF820B"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ESCO rinka</w:t>
            </w:r>
          </w:p>
        </w:tc>
        <w:tc>
          <w:tcPr>
            <w:tcW w:w="1308" w:type="pct"/>
          </w:tcPr>
          <w:p w14:paraId="41EC9EB6"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Šiuo metu ESCO rinka Lietuvoje yra kūrimosi stadijoje. Aktyviai veikia maždaug 3-5 ESCO įmonės. Iki šiol visi projektai buvo įgyvendinami šilumos gamybos sektoriuje ir daugiausiai susiję su katilų modernizavimu, juos pritaikant biokuro ir kitų vietinių išteklių naudojimui.</w:t>
            </w:r>
          </w:p>
          <w:p w14:paraId="2D91873B"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 xml:space="preserve">Norint pasinaudoti ESCO modeliu įgyvendinant finansines priemones turėtų būti siekiama skatinti ESCO rinką. Pasiūlius vieną ar keletą į </w:t>
            </w:r>
            <w:r w:rsidRPr="00DF3A8E">
              <w:rPr>
                <w:rFonts w:ascii="Georgia" w:hAnsi="Georgia"/>
                <w:sz w:val="20"/>
                <w:szCs w:val="20"/>
              </w:rPr>
              <w:lastRenderedPageBreak/>
              <w:t>ESCO orientuotus finansinius produktus, to gali neužtekti, kad paskatinti ESCO rinkos plėtrą Lietuvoje, kas neigiamai atsilieps minėtų produktų paklausai.</w:t>
            </w:r>
          </w:p>
          <w:p w14:paraId="42FDB77A"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Institucijos, norėdamos skatinti EPC taikymą, turėtų visų pirma pasirūpinti parama šiai koncepcijai aukščiausiu politiniu lygiu, taip pat stabilios teisinės bazės sukūrimu, nustatyti patikimų ESCO įmonių sąrašą, išanalizuoti pastatų/projektų grupavimo galimybes, leisti ESCO būti miestų plėtros fondų finansavimo galutiniais naudos gavėjais, užtikrinti tinkamą techninę pagalbą ir pasiūlyti standartizuotas dokumentų formas.</w:t>
            </w:r>
          </w:p>
        </w:tc>
        <w:tc>
          <w:tcPr>
            <w:tcW w:w="738" w:type="pct"/>
          </w:tcPr>
          <w:p w14:paraId="1A74A362"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lastRenderedPageBreak/>
              <w:t>Poveikis rezultatams – ženklus;</w:t>
            </w:r>
          </w:p>
          <w:p w14:paraId="07AC94D6"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finansams – ženklus;</w:t>
            </w:r>
          </w:p>
          <w:p w14:paraId="02D68BFF"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vidutinis;</w:t>
            </w:r>
          </w:p>
          <w:p w14:paraId="7BC5563A"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reputacijai – vidutinis.</w:t>
            </w:r>
          </w:p>
        </w:tc>
        <w:tc>
          <w:tcPr>
            <w:tcW w:w="1298" w:type="pct"/>
          </w:tcPr>
          <w:p w14:paraId="5C89EFCC"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Vykdoma nuolatinė ESCO rinkos stebėsena ir analizė.</w:t>
            </w:r>
          </w:p>
          <w:p w14:paraId="32C15846"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Numatoma aktyviai bendradarbiauti su politikais, politinio pasitikėjimo pareigūnais, atsakingais valstybės tarnautojais, organizuoti susitikimus. Susitikimų metu siūlyti konkrečius sprendimus, kurie paskatintų ESCO rinkos plėtrą Lietuvoje.</w:t>
            </w:r>
          </w:p>
        </w:tc>
        <w:tc>
          <w:tcPr>
            <w:tcW w:w="586" w:type="pct"/>
          </w:tcPr>
          <w:p w14:paraId="3E64563D"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Maža</w:t>
            </w:r>
          </w:p>
        </w:tc>
      </w:tr>
      <w:tr w:rsidR="003736DD" w:rsidRPr="002C025E" w14:paraId="354C8504" w14:textId="77777777" w:rsidTr="000E66DF">
        <w:trPr>
          <w:trHeight w:val="173"/>
        </w:trPr>
        <w:tc>
          <w:tcPr>
            <w:cnfStyle w:val="001000000000" w:firstRow="0" w:lastRow="0" w:firstColumn="1" w:lastColumn="0" w:oddVBand="0" w:evenVBand="0" w:oddHBand="0" w:evenHBand="0" w:firstRowFirstColumn="0" w:firstRowLastColumn="0" w:lastRowFirstColumn="0" w:lastRowLastColumn="0"/>
            <w:tcW w:w="212" w:type="pct"/>
          </w:tcPr>
          <w:p w14:paraId="6E2C32E1" w14:textId="77777777" w:rsidR="003C0F55" w:rsidRPr="00DF3A8E" w:rsidRDefault="003C0F55" w:rsidP="002C025E">
            <w:pPr>
              <w:jc w:val="both"/>
              <w:rPr>
                <w:rFonts w:ascii="Georgia" w:hAnsi="Georgia"/>
                <w:sz w:val="20"/>
                <w:szCs w:val="20"/>
              </w:rPr>
            </w:pPr>
            <w:r w:rsidRPr="00DF3A8E">
              <w:rPr>
                <w:rFonts w:ascii="Georgia" w:hAnsi="Georgia"/>
                <w:sz w:val="20"/>
                <w:szCs w:val="20"/>
              </w:rPr>
              <w:lastRenderedPageBreak/>
              <w:t>10.</w:t>
            </w:r>
          </w:p>
        </w:tc>
        <w:tc>
          <w:tcPr>
            <w:tcW w:w="858" w:type="pct"/>
          </w:tcPr>
          <w:p w14:paraId="30A8D2CE"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Tinkamas valstybės pagalbos taisyklių taikymas</w:t>
            </w:r>
          </w:p>
        </w:tc>
        <w:tc>
          <w:tcPr>
            <w:tcW w:w="1308" w:type="pct"/>
          </w:tcPr>
          <w:p w14:paraId="57AC066C"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 xml:space="preserve">Išskirtinės sąlygos yra svarbus veiksnys siekiant pritraukti privačius investuotojus investuoti kartu su viešosiomis lėšomis didelės rizikos/mažos grąžos srityse siekiant viešosios politikos tikslų. </w:t>
            </w:r>
          </w:p>
          <w:p w14:paraId="7D7F320D"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Svarbu, jog privatiems investuotojams nebūtų sudarytos išskirtinės sąlygos, kurios pažeistų valstybės pagalbos taisyklių nuostatas.</w:t>
            </w:r>
          </w:p>
          <w:p w14:paraId="13B00E3E"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Valstybės pagalbos nuostatų taikymas aktualus ir kituose modelio lygiuose.</w:t>
            </w:r>
          </w:p>
          <w:p w14:paraId="641F1B31"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lastRenderedPageBreak/>
              <w:t>Valstybės pagalbos taisyklės yra sudėtinga ir kompleksiška sritis, kuri gali pareikalauti papildomų laiko sąnaudų. Jas pažeidus, gali tekti grąžinti lėšas į Bendrijos biudžetą.</w:t>
            </w:r>
          </w:p>
        </w:tc>
        <w:tc>
          <w:tcPr>
            <w:tcW w:w="738" w:type="pct"/>
          </w:tcPr>
          <w:p w14:paraId="18630942"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lastRenderedPageBreak/>
              <w:t>Poveikis rezultatams – neutralus;</w:t>
            </w:r>
          </w:p>
          <w:p w14:paraId="2A66F661"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finansams – ženklus</w:t>
            </w:r>
            <w:r w:rsidRPr="00DF3A8E">
              <w:rPr>
                <w:rFonts w:ascii="Georgia" w:hAnsi="Georgia"/>
                <w:sz w:val="20"/>
                <w:szCs w:val="20"/>
                <w:vertAlign w:val="superscript"/>
              </w:rPr>
              <w:footnoteReference w:id="204"/>
            </w:r>
            <w:r w:rsidRPr="00DF3A8E">
              <w:rPr>
                <w:rFonts w:ascii="Georgia" w:hAnsi="Georgia"/>
                <w:sz w:val="20"/>
                <w:szCs w:val="20"/>
              </w:rPr>
              <w:t>;</w:t>
            </w:r>
          </w:p>
          <w:p w14:paraId="4B06B311"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vidutinis;</w:t>
            </w:r>
          </w:p>
          <w:p w14:paraId="5B10661F"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reputacijai – vidutinis.</w:t>
            </w:r>
          </w:p>
        </w:tc>
        <w:tc>
          <w:tcPr>
            <w:tcW w:w="1298" w:type="pct"/>
          </w:tcPr>
          <w:p w14:paraId="1F2A9006"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 xml:space="preserve">Valstybės pagalbos taisyklių taikymas išanalizuotas </w:t>
            </w:r>
            <w:r w:rsidRPr="00DF3A8E">
              <w:rPr>
                <w:rFonts w:ascii="Georgia" w:hAnsi="Georgia"/>
                <w:i/>
                <w:sz w:val="20"/>
                <w:szCs w:val="20"/>
              </w:rPr>
              <w:t>ex-ante</w:t>
            </w:r>
            <w:r w:rsidRPr="00DF3A8E">
              <w:rPr>
                <w:rFonts w:ascii="Georgia" w:hAnsi="Georgia"/>
                <w:sz w:val="20"/>
                <w:szCs w:val="20"/>
              </w:rPr>
              <w:t xml:space="preserve"> studijoje.</w:t>
            </w:r>
          </w:p>
          <w:p w14:paraId="3EE40B13"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Vykdoma nuolatinė stebėsena. Nauji finansiniai produktai vertinami valstybės pagalbos taisyklių taikymo požiūriu.</w:t>
            </w:r>
          </w:p>
        </w:tc>
        <w:tc>
          <w:tcPr>
            <w:tcW w:w="586" w:type="pct"/>
          </w:tcPr>
          <w:p w14:paraId="4D89AA06" w14:textId="77777777" w:rsidR="003C0F55" w:rsidRPr="00DF3A8E" w:rsidRDefault="003C0F55"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Maža</w:t>
            </w:r>
          </w:p>
        </w:tc>
      </w:tr>
      <w:tr w:rsidR="003736DD" w:rsidRPr="002C025E" w14:paraId="2EFC2D3C" w14:textId="77777777" w:rsidTr="000E66DF">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12" w:type="pct"/>
          </w:tcPr>
          <w:p w14:paraId="5397C650" w14:textId="77777777" w:rsidR="003C0F55" w:rsidRPr="00DF3A8E" w:rsidRDefault="003C0F55" w:rsidP="002C025E">
            <w:pPr>
              <w:jc w:val="both"/>
              <w:rPr>
                <w:rFonts w:ascii="Georgia" w:hAnsi="Georgia"/>
                <w:sz w:val="20"/>
                <w:szCs w:val="20"/>
              </w:rPr>
            </w:pPr>
            <w:r w:rsidRPr="00DF3A8E">
              <w:rPr>
                <w:rFonts w:ascii="Georgia" w:hAnsi="Georgia"/>
                <w:sz w:val="20"/>
                <w:szCs w:val="20"/>
              </w:rPr>
              <w:lastRenderedPageBreak/>
              <w:t>11.</w:t>
            </w:r>
          </w:p>
        </w:tc>
        <w:tc>
          <w:tcPr>
            <w:tcW w:w="858" w:type="pct"/>
          </w:tcPr>
          <w:p w14:paraId="009FDF6E"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Nepakankama modelyje dalyvaujančių institucijų/organizacijų žmogiškųjų išteklių kvalifikacija</w:t>
            </w:r>
          </w:p>
        </w:tc>
        <w:tc>
          <w:tcPr>
            <w:tcW w:w="1308" w:type="pct"/>
          </w:tcPr>
          <w:p w14:paraId="104B35D0"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2007-2013 m. finansiniu laikotarpiu viešasis sektorius neturėjo darbo su atnaujinančiomis finansinėmis priemonėmis patirties, todėl reikėjo skubiai mokytis ir prisitaikyti prie kultūrinių pokyčių. Žinių apie grąžintinus finansavimo instrumentus viešajame sektoriuje trūkumas ir tokių instrumentų traktavimas kaip konkuruojančių su subsidijomis, kurios yra mažiau kompleksiškos, produktų, slopino paklausą, net jei projektai buvo tinkami finansuoti per finansines priemones.</w:t>
            </w:r>
          </w:p>
          <w:p w14:paraId="305C1E8B"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Žmogiškųjų išteklių gebėjimų stiprinimas buvo aktualus visoms finansinių priemonių įgyvendinime dalyvaujančioms šalims, įskaitant nacionalines valdžios institucijas, vadovaujančias institucijas, projektų rengėjus ir t.t.</w:t>
            </w:r>
          </w:p>
          <w:p w14:paraId="590C7F64" w14:textId="77777777" w:rsidR="003C0F55" w:rsidRPr="00DF3A8E" w:rsidRDefault="003C0F55" w:rsidP="000E66DF">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 xml:space="preserve">Šiuo metu jau yra sukaupta patirtis įgyvendinant finansines priemones, tačiau 2014-2020 m. finansiniu laikotarpiu reikalavimai keisis. Be to, ne visos institucijos 2007-2013 m. įgijo vienodą patirtį, kai kuriuose lygiuose ši problema gali būti aktuali ir sulėtinti bendrą proceso </w:t>
            </w:r>
            <w:r w:rsidRPr="00DF3A8E">
              <w:rPr>
                <w:rFonts w:ascii="Georgia" w:hAnsi="Georgia"/>
                <w:sz w:val="20"/>
                <w:szCs w:val="20"/>
              </w:rPr>
              <w:lastRenderedPageBreak/>
              <w:t>įgyvendinimo spartą.</w:t>
            </w:r>
          </w:p>
        </w:tc>
        <w:tc>
          <w:tcPr>
            <w:tcW w:w="738" w:type="pct"/>
          </w:tcPr>
          <w:p w14:paraId="4F800D0F"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lastRenderedPageBreak/>
              <w:t>Poveikis rezultatams – ženklus;</w:t>
            </w:r>
          </w:p>
          <w:p w14:paraId="7E81E5FE"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finansams – ženklus;</w:t>
            </w:r>
          </w:p>
          <w:p w14:paraId="5861308A"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ženklus;</w:t>
            </w:r>
          </w:p>
          <w:p w14:paraId="2390144C"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reputacijai – vidutinis.</w:t>
            </w:r>
          </w:p>
        </w:tc>
        <w:tc>
          <w:tcPr>
            <w:tcW w:w="1298" w:type="pct"/>
          </w:tcPr>
          <w:p w14:paraId="69676C3E"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Bus įvertintas poreikis ir numatyti finansiniai ištekliai reikalingi už finansinių instrumentų įgyvendinimą atsakingų darbuotojų kvalifikacijos tobulinimui, organizuojami mokymai tikslinėms grupėms.</w:t>
            </w:r>
          </w:p>
          <w:p w14:paraId="3FB06F0C"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Atrenkant miestų plėtros fondų valdytojus, nustatomi objektyvūs ir įvertinami kvalifikaciniai reikalavimai.</w:t>
            </w:r>
          </w:p>
          <w:p w14:paraId="6EA1081B"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VIPA lygiu: detaliai apibrėžti pareigybėms taikomi kvalifikaciniai reikalavimai, vykdomi metiniai vertinimai, institucijų darbuotojams sudaromos galimybės tobulėti.</w:t>
            </w:r>
          </w:p>
        </w:tc>
        <w:tc>
          <w:tcPr>
            <w:tcW w:w="586" w:type="pct"/>
          </w:tcPr>
          <w:p w14:paraId="32C0F177" w14:textId="77777777" w:rsidR="003C0F55" w:rsidRPr="00DF3A8E" w:rsidRDefault="003C0F55"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Labai maža</w:t>
            </w:r>
          </w:p>
        </w:tc>
      </w:tr>
      <w:tr w:rsidR="000E66DF" w:rsidRPr="000E66DF" w14:paraId="37B2B1F3" w14:textId="77777777" w:rsidTr="000E66DF">
        <w:trPr>
          <w:trHeight w:val="173"/>
        </w:trPr>
        <w:tc>
          <w:tcPr>
            <w:cnfStyle w:val="001000000000" w:firstRow="0" w:lastRow="0" w:firstColumn="1" w:lastColumn="0" w:oddVBand="0" w:evenVBand="0" w:oddHBand="0" w:evenHBand="0" w:firstRowFirstColumn="0" w:firstRowLastColumn="0" w:lastRowFirstColumn="0" w:lastRowLastColumn="0"/>
            <w:tcW w:w="212" w:type="pct"/>
          </w:tcPr>
          <w:p w14:paraId="1B6029D2" w14:textId="77777777" w:rsidR="000E66DF" w:rsidRPr="00DF3A8E" w:rsidRDefault="000E66DF" w:rsidP="000E66DF">
            <w:pPr>
              <w:jc w:val="both"/>
              <w:rPr>
                <w:rFonts w:ascii="Georgia" w:hAnsi="Georgia"/>
                <w:sz w:val="20"/>
                <w:szCs w:val="20"/>
              </w:rPr>
            </w:pPr>
            <w:r w:rsidRPr="00DF3A8E">
              <w:rPr>
                <w:rFonts w:ascii="Georgia" w:hAnsi="Georgia"/>
                <w:sz w:val="20"/>
                <w:szCs w:val="20"/>
              </w:rPr>
              <w:lastRenderedPageBreak/>
              <w:t>12.</w:t>
            </w:r>
          </w:p>
        </w:tc>
        <w:tc>
          <w:tcPr>
            <w:tcW w:w="858" w:type="pct"/>
          </w:tcPr>
          <w:p w14:paraId="53311AA8" w14:textId="77777777" w:rsidR="000E66DF" w:rsidRPr="00DF3A8E" w:rsidRDefault="000E66DF" w:rsidP="000E66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Privataus sektoriaus lėšų pritraukimas</w:t>
            </w:r>
          </w:p>
        </w:tc>
        <w:tc>
          <w:tcPr>
            <w:tcW w:w="1308" w:type="pct"/>
          </w:tcPr>
          <w:p w14:paraId="1DD86FCE" w14:textId="77777777" w:rsidR="000E66DF" w:rsidRPr="00DF3A8E" w:rsidRDefault="000E66DF" w:rsidP="000E66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Vienas didžiausių iššūkių 2007-2013 m. finansiniu laikotarpiu buvo privačių investuotojų pritraukimas dalyvauti finansinėse priemonėse. Finansinio sverto efektas tarp paskolas ir kapitalo investicijas vykdžiusių finansinių priemonių nebuvo didelis.</w:t>
            </w:r>
          </w:p>
          <w:p w14:paraId="13460456" w14:textId="77777777" w:rsidR="000E66DF" w:rsidRPr="00DF3A8E" w:rsidRDefault="000E66DF" w:rsidP="000E66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Energijos efektyvumo projektus privatus sektorius vis dar traktuoja kaip nepelningus, kompleksiškus ir sudėtingus įgyvendinti. Daug pastangų reikia siekiant įtikinti privataus sektoriaus investuotojus, jog fondo lėšos bus investuojamos pagal privataus sektoriaus principus, ypač kalbant apie greitį ir investavimo sprendimų pobūdį. Kita vertus, išlieka potencialus konfliktas tarp komercinio požiūrio, neatskiriamo nuo daugelio finansinių priemonių, ir platesnių sanglaudos politikos tikslų, kurie siekia labiau socialinio-ekonominio poveikio.</w:t>
            </w:r>
          </w:p>
          <w:p w14:paraId="00210A33" w14:textId="77777777" w:rsidR="000E66DF" w:rsidRPr="00DF3A8E" w:rsidRDefault="000E66DF" w:rsidP="000E66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Dėl šių priežasčių, tikėtina, jog gali atsirasti kliūčių pritraukiant pakankamą kiekį privataus sektoriaus lėšų, o tai turėtų poveikį užsibrėžtų pasiekti rezultatų apimtims.</w:t>
            </w:r>
          </w:p>
          <w:p w14:paraId="0E90E76D" w14:textId="77777777" w:rsidR="000E66DF" w:rsidRPr="00DF3A8E" w:rsidRDefault="000E66DF" w:rsidP="000E66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lastRenderedPageBreak/>
              <w:t>Kita vertus, galima ir neigiama privačių lėšų įtaka finansinių produktų patrauklumui dėl santykinai didesnės privataus sektoriaus išteklių kainos.</w:t>
            </w:r>
          </w:p>
          <w:p w14:paraId="680AEA1B" w14:textId="77777777" w:rsidR="000E66DF" w:rsidRPr="00DF3A8E" w:rsidRDefault="000E66DF" w:rsidP="000E66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Papildomų išteklių gali pareikalauti ir projektų grupavimas siekiant juos padaryti patrauklius privačiam investuotojui.</w:t>
            </w:r>
          </w:p>
        </w:tc>
        <w:tc>
          <w:tcPr>
            <w:tcW w:w="738" w:type="pct"/>
          </w:tcPr>
          <w:p w14:paraId="05C40E25" w14:textId="77777777" w:rsidR="000E66DF" w:rsidRPr="00DF3A8E" w:rsidRDefault="000E66DF" w:rsidP="000E66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lastRenderedPageBreak/>
              <w:t>Poveikis rezultatams – ženklus;</w:t>
            </w:r>
          </w:p>
          <w:p w14:paraId="4D5F628E" w14:textId="77777777" w:rsidR="000E66DF" w:rsidRPr="00DF3A8E" w:rsidRDefault="000E66DF" w:rsidP="000E66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finansams – ženklus</w:t>
            </w:r>
            <w:r w:rsidRPr="000E66DF">
              <w:rPr>
                <w:rFonts w:ascii="Georgia" w:hAnsi="Georgia"/>
                <w:sz w:val="20"/>
                <w:szCs w:val="20"/>
              </w:rPr>
              <w:footnoteReference w:id="205"/>
            </w:r>
            <w:r w:rsidRPr="00DF3A8E">
              <w:rPr>
                <w:rFonts w:ascii="Georgia" w:hAnsi="Georgia"/>
                <w:sz w:val="20"/>
                <w:szCs w:val="20"/>
              </w:rPr>
              <w:t>;</w:t>
            </w:r>
          </w:p>
          <w:p w14:paraId="5F54B581" w14:textId="77777777" w:rsidR="000E66DF" w:rsidRPr="00DF3A8E" w:rsidRDefault="000E66DF" w:rsidP="000E66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neutralus;</w:t>
            </w:r>
          </w:p>
          <w:p w14:paraId="4FC4007C" w14:textId="77777777" w:rsidR="000E66DF" w:rsidRPr="00DF3A8E" w:rsidRDefault="000E66DF" w:rsidP="000E66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reputacijai – neženklus.</w:t>
            </w:r>
          </w:p>
        </w:tc>
        <w:tc>
          <w:tcPr>
            <w:tcW w:w="1298" w:type="pct"/>
          </w:tcPr>
          <w:p w14:paraId="2D538118" w14:textId="77777777" w:rsidR="000E66DF" w:rsidRPr="00DF3A8E" w:rsidRDefault="000E66DF" w:rsidP="000E66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 xml:space="preserve">Privataus sektoriaus lėšų pritraukimo mechanizmai išanalizuoti </w:t>
            </w:r>
            <w:r w:rsidRPr="000E66DF">
              <w:rPr>
                <w:rFonts w:ascii="Georgia" w:hAnsi="Georgia"/>
                <w:sz w:val="20"/>
                <w:szCs w:val="20"/>
              </w:rPr>
              <w:t>ex-ante</w:t>
            </w:r>
            <w:r w:rsidRPr="00DF3A8E">
              <w:rPr>
                <w:rFonts w:ascii="Georgia" w:hAnsi="Georgia"/>
                <w:sz w:val="20"/>
                <w:szCs w:val="20"/>
              </w:rPr>
              <w:t xml:space="preserve"> studijoje.</w:t>
            </w:r>
          </w:p>
          <w:p w14:paraId="778C4CB5" w14:textId="77777777" w:rsidR="000E66DF" w:rsidRPr="00DF3A8E" w:rsidRDefault="000E66DF" w:rsidP="000E66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Privataus sektoriaus lėšas bus siekiama pritraukti per patrauklų rizikų tarp privataus ir viešo sektorių pasidalinimo modelį.</w:t>
            </w:r>
          </w:p>
          <w:p w14:paraId="5C67B789" w14:textId="77777777" w:rsidR="000E66DF" w:rsidRPr="00DF3A8E" w:rsidRDefault="000E66DF" w:rsidP="000E66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Dalies rizikų perdavimas viešajam sektoriui galėtų paskatinti privačius investuotojus aktyviau investuoti į projektus, kurie nėra patrauklūs be viešojo sektoriaus įsikišimo. Viešasis sektorius gali valdyti rizikas pervesdamas lėšas į finansinę priemonę atskiromis dalimis, susiedamas su lėšų įsisavinimo pažanga.</w:t>
            </w:r>
          </w:p>
          <w:p w14:paraId="11F8DF4F" w14:textId="77777777" w:rsidR="000E66DF" w:rsidRPr="00DF3A8E" w:rsidRDefault="000E66DF" w:rsidP="000E66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Atrankos principai, privataus sektoriaus skatinimo mechanizmas/atsakomybė nepasiekus užsibrėžtų rezultatų (pvz., nefinansinių rezultatų inkorporavimas į atlygio skaičiavimo formulę) nustatomi skaidriai, nešališkai ir remiantis lygybės principu.</w:t>
            </w:r>
          </w:p>
          <w:p w14:paraId="139B99B1" w14:textId="77777777" w:rsidR="000E66DF" w:rsidRPr="00DF3A8E" w:rsidRDefault="000E66DF" w:rsidP="000E66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Atsižvelgiama į galimą neigiamą privačių lėšų naudojimo poveikį finansinių produktų patrauklumui (pvz., kai bus žinoma pinigų kaina rinkoje konkrečiu momentu).</w:t>
            </w:r>
          </w:p>
        </w:tc>
        <w:tc>
          <w:tcPr>
            <w:tcW w:w="586" w:type="pct"/>
          </w:tcPr>
          <w:p w14:paraId="5363D36C" w14:textId="77777777" w:rsidR="000E66DF" w:rsidRPr="00DF3A8E" w:rsidRDefault="000E66DF" w:rsidP="000E66DF">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Maža</w:t>
            </w:r>
          </w:p>
        </w:tc>
      </w:tr>
      <w:tr w:rsidR="000E66DF" w:rsidRPr="002C025E" w14:paraId="611E2FFF" w14:textId="77777777" w:rsidTr="000E66DF">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12" w:type="pct"/>
          </w:tcPr>
          <w:p w14:paraId="5D617757" w14:textId="77777777" w:rsidR="000E66DF" w:rsidRPr="00DF3A8E" w:rsidRDefault="000E66DF" w:rsidP="002C025E">
            <w:pPr>
              <w:jc w:val="both"/>
              <w:rPr>
                <w:rFonts w:ascii="Georgia" w:hAnsi="Georgia"/>
                <w:sz w:val="20"/>
                <w:szCs w:val="20"/>
              </w:rPr>
            </w:pPr>
            <w:r w:rsidRPr="00DF3A8E">
              <w:rPr>
                <w:rFonts w:ascii="Georgia" w:hAnsi="Georgia"/>
                <w:sz w:val="20"/>
                <w:szCs w:val="20"/>
              </w:rPr>
              <w:lastRenderedPageBreak/>
              <w:t>13.</w:t>
            </w:r>
          </w:p>
        </w:tc>
        <w:tc>
          <w:tcPr>
            <w:tcW w:w="858" w:type="pct"/>
          </w:tcPr>
          <w:p w14:paraId="7F2C2A0E"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Kintančios rinkos sąlygos</w:t>
            </w:r>
          </w:p>
        </w:tc>
        <w:tc>
          <w:tcPr>
            <w:tcW w:w="1308" w:type="pct"/>
          </w:tcPr>
          <w:p w14:paraId="5C56590A"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Finansinių priemonių įgyvendinimo metu gali stipriai pasikeisti ekonominės sąlygos ir siūlomi produktai pasidaryti nebepatrauklūs tikslinėms grupėms. Taip pat gali pasikeisti tikslinių grupių situacija (pvz., atsirasti priėjimas prie kitų viešųjų finansinių išteklių, kurie yra pigesni) ir pan.</w:t>
            </w:r>
          </w:p>
          <w:p w14:paraId="77A2BB82"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Todėl labai svarbi yra galimybė operatyviai reaguoti į reikšmingus rinkos ir konkurencinės aplinkos pokyčius nuo projekto pradžios iki įgyvendinimo etapo pabaigos. Instrumento negebėjimas reaguoti gali turėti neigiamą poveikį paklausai.</w:t>
            </w:r>
          </w:p>
        </w:tc>
        <w:tc>
          <w:tcPr>
            <w:tcW w:w="738" w:type="pct"/>
          </w:tcPr>
          <w:p w14:paraId="39005320"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rezultatams – ženklus;</w:t>
            </w:r>
          </w:p>
          <w:p w14:paraId="5C81D7DA"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finansams – ženklus;</w:t>
            </w:r>
          </w:p>
          <w:p w14:paraId="7C42AF3E"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vidutinis;</w:t>
            </w:r>
          </w:p>
          <w:p w14:paraId="2549D0B1"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reputacijai – vidutinis.</w:t>
            </w:r>
          </w:p>
        </w:tc>
        <w:tc>
          <w:tcPr>
            <w:tcW w:w="1298" w:type="pct"/>
          </w:tcPr>
          <w:p w14:paraId="1BD7D0D3"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Bus stengiamasi vengti veiksmų laisvę ribojančių nuostatų įtvirtinimo, pvz., konkrečių finansinio produkto sąlygų apibrėžimo įstatymuose ar kituose sunkiai keičiamuose teisės aktuose ir pan.</w:t>
            </w:r>
          </w:p>
          <w:p w14:paraId="4172DCCF"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Vykdoma nuolatinė finansinių priemonių įgyvendinimo pažangos stebėsena ir atliekamas rezultatų vertinimas.</w:t>
            </w:r>
          </w:p>
          <w:p w14:paraId="6E8DC6D7"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Miestų plėtros fondų lygiu numatytos nuostatos, kurios, esant poreikiui, leis įtakoti teikiamų finansinių produktų sąlygas.</w:t>
            </w:r>
          </w:p>
        </w:tc>
        <w:tc>
          <w:tcPr>
            <w:tcW w:w="586" w:type="pct"/>
          </w:tcPr>
          <w:p w14:paraId="5012178C"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Maža</w:t>
            </w:r>
          </w:p>
        </w:tc>
      </w:tr>
      <w:tr w:rsidR="000E66DF" w:rsidRPr="002C025E" w14:paraId="40DB1263" w14:textId="77777777" w:rsidTr="000E66DF">
        <w:trPr>
          <w:trHeight w:val="173"/>
        </w:trPr>
        <w:tc>
          <w:tcPr>
            <w:cnfStyle w:val="001000000000" w:firstRow="0" w:lastRow="0" w:firstColumn="1" w:lastColumn="0" w:oddVBand="0" w:evenVBand="0" w:oddHBand="0" w:evenHBand="0" w:firstRowFirstColumn="0" w:firstRowLastColumn="0" w:lastRowFirstColumn="0" w:lastRowLastColumn="0"/>
            <w:tcW w:w="212" w:type="pct"/>
          </w:tcPr>
          <w:p w14:paraId="5E24372E" w14:textId="77777777" w:rsidR="000E66DF" w:rsidRPr="00DF3A8E" w:rsidRDefault="000E66DF" w:rsidP="002C025E">
            <w:pPr>
              <w:jc w:val="both"/>
              <w:rPr>
                <w:rFonts w:ascii="Georgia" w:hAnsi="Georgia"/>
                <w:sz w:val="20"/>
                <w:szCs w:val="20"/>
              </w:rPr>
            </w:pPr>
            <w:r w:rsidRPr="00DF3A8E">
              <w:rPr>
                <w:rFonts w:ascii="Georgia" w:hAnsi="Georgia"/>
                <w:sz w:val="20"/>
                <w:szCs w:val="20"/>
              </w:rPr>
              <w:t>14.</w:t>
            </w:r>
          </w:p>
        </w:tc>
        <w:tc>
          <w:tcPr>
            <w:tcW w:w="858" w:type="pct"/>
          </w:tcPr>
          <w:p w14:paraId="2E65CEFB" w14:textId="77777777"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Nepakankamos, nekokybiškos arba netinkamu metu vykdomos viešinimo veiklos</w:t>
            </w:r>
          </w:p>
        </w:tc>
        <w:tc>
          <w:tcPr>
            <w:tcW w:w="1308" w:type="pct"/>
          </w:tcPr>
          <w:p w14:paraId="12C242E9" w14:textId="77777777"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 xml:space="preserve">Informacijos stoka/klaidinanti informacija neigiamai įtakoja pasitikėjimą tarp potencialaus kliento ir fondo bei projekto vykdytojo. Informacijos trūkumas tam tikruose segmentuose gali tapti viena iš didžiausių kliūčių sėkmingam finansinių priemonių įgyvendinimui, pvz., informacijos ir </w:t>
            </w:r>
            <w:r w:rsidRPr="00DF3A8E">
              <w:rPr>
                <w:rFonts w:ascii="Georgia" w:hAnsi="Georgia"/>
                <w:sz w:val="20"/>
                <w:szCs w:val="20"/>
              </w:rPr>
              <w:lastRenderedPageBreak/>
              <w:t xml:space="preserve">gerosios patirties stoka apie siūlomus produktus, ESCO veiklą, EPC ir t.t. gali neigiamai įtakoti produktų paklausą. Tai ypač aktualu tokiuose kompleksiškuose projektuose kaip daugiabučių namų atnaujinimas, kur reikia gauti didžiosios dalies gyventojų pritarimą. </w:t>
            </w:r>
          </w:p>
          <w:p w14:paraId="418DA250" w14:textId="77777777"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Ne mažiau svarbi yra ir informacijos sklaida ir bendro suvokimo apie finansines priemones ir JESSICA iniciatyvą didinimas.</w:t>
            </w:r>
          </w:p>
          <w:p w14:paraId="71989D58" w14:textId="77777777"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Taip pat viešinimo veiklos turėtų padėti spręsti ne tik žinomumo problemas, tačiau ir kurti teigiamą produktų įvaizdį, pvz., šiuo metu Lietuvoje visuomenės pozicija daugiabučių namų atnaujinimo proceso atžvilgiu yra gana nuosaiki. Neigiama tikslinių grupių pozicija siūlomų produktų atžvilgiu gali lemti modelio nesėkmę.</w:t>
            </w:r>
          </w:p>
          <w:p w14:paraId="06D92159" w14:textId="77777777"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Viešinimo kampanija privalo būti įgyvendinama laiku, atsižvelgti į skirtingų tikslinių grupių segmentų poreikius tam, kad pasiektų didžiausią efektą.</w:t>
            </w:r>
          </w:p>
        </w:tc>
        <w:tc>
          <w:tcPr>
            <w:tcW w:w="738" w:type="pct"/>
          </w:tcPr>
          <w:p w14:paraId="52E107DB" w14:textId="77777777"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lastRenderedPageBreak/>
              <w:t>Poveikis rezultatams – vidutinis;</w:t>
            </w:r>
          </w:p>
          <w:p w14:paraId="1DF74310" w14:textId="77777777"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finansams – vidutinis;</w:t>
            </w:r>
          </w:p>
          <w:p w14:paraId="31D482DF" w14:textId="77777777"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vidutinis;</w:t>
            </w:r>
          </w:p>
          <w:p w14:paraId="40AD787B" w14:textId="77777777"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reputacijai – ženklus.</w:t>
            </w:r>
          </w:p>
        </w:tc>
        <w:tc>
          <w:tcPr>
            <w:tcW w:w="1298" w:type="pct"/>
          </w:tcPr>
          <w:p w14:paraId="59F3EDDC" w14:textId="77777777"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Bus parengtas viešinimo veiklų planas, jam įgyvendinti skirti pakankamai žmogiškieji ir finansiniai ištekliai.</w:t>
            </w:r>
          </w:p>
          <w:p w14:paraId="7DF8EF54" w14:textId="77777777"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 xml:space="preserve">Viešinimo priemonių pavyzdžiai: viešinimo specialisto pareigybė fondo lygiu, atskira internetinė svetainė, bendri viešinimo renginiai su kitus finansinius instrumentus, </w:t>
            </w:r>
            <w:r w:rsidRPr="00DF3A8E">
              <w:rPr>
                <w:rFonts w:ascii="Georgia" w:hAnsi="Georgia"/>
                <w:sz w:val="20"/>
                <w:szCs w:val="20"/>
              </w:rPr>
              <w:lastRenderedPageBreak/>
              <w:t>kurie galėtų papildyti finansines priemones, valdančiomis institucijomis, dalyvavimas tarptautiniuose renginiuose, tiesioginis darbas su tikslinėmis grupėmis ir t.t.</w:t>
            </w:r>
          </w:p>
        </w:tc>
        <w:tc>
          <w:tcPr>
            <w:tcW w:w="586" w:type="pct"/>
          </w:tcPr>
          <w:p w14:paraId="5202649F" w14:textId="77777777"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lastRenderedPageBreak/>
              <w:t>Labai maža</w:t>
            </w:r>
          </w:p>
        </w:tc>
      </w:tr>
      <w:tr w:rsidR="000E66DF" w:rsidRPr="002C025E" w14:paraId="0A6B70E7" w14:textId="77777777" w:rsidTr="000E66DF">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12" w:type="pct"/>
          </w:tcPr>
          <w:p w14:paraId="2F5D25A6" w14:textId="77777777" w:rsidR="000E66DF" w:rsidRPr="00DF3A8E" w:rsidRDefault="000E66DF" w:rsidP="002C025E">
            <w:pPr>
              <w:jc w:val="both"/>
              <w:rPr>
                <w:rFonts w:ascii="Georgia" w:hAnsi="Georgia"/>
                <w:sz w:val="20"/>
                <w:szCs w:val="20"/>
              </w:rPr>
            </w:pPr>
            <w:r w:rsidRPr="00DF3A8E">
              <w:rPr>
                <w:rFonts w:ascii="Georgia" w:hAnsi="Georgia"/>
                <w:sz w:val="20"/>
                <w:szCs w:val="20"/>
              </w:rPr>
              <w:lastRenderedPageBreak/>
              <w:t>15.</w:t>
            </w:r>
          </w:p>
        </w:tc>
        <w:tc>
          <w:tcPr>
            <w:tcW w:w="858" w:type="pct"/>
          </w:tcPr>
          <w:p w14:paraId="237A284C"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Valdymo rizika</w:t>
            </w:r>
          </w:p>
        </w:tc>
        <w:tc>
          <w:tcPr>
            <w:tcW w:w="1308" w:type="pct"/>
          </w:tcPr>
          <w:p w14:paraId="2068C108"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Sėkmingam finansinės priemonės įgyvendinimui labai svarbus yra nepriklausomas, kompetentingas ir patikimas sprendimų priėmimas valdant fondą.</w:t>
            </w:r>
          </w:p>
          <w:p w14:paraId="6DC20614"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 xml:space="preserve">Platus įvairių organizacijų ir ekspertų įtraukimas į fondo veiklą </w:t>
            </w:r>
            <w:r w:rsidRPr="00DF3A8E">
              <w:rPr>
                <w:rFonts w:ascii="Georgia" w:hAnsi="Georgia"/>
                <w:sz w:val="20"/>
                <w:szCs w:val="20"/>
              </w:rPr>
              <w:lastRenderedPageBreak/>
              <w:t>padeda suformuoti įvairiapusišką poziciją, įvertinti poveikį skirtingoms interesų grupėms bei teisingai apibrėžti tame pačiame sektoriuje vykdomų viešųjų intervencijų/kitų finansinių instrumentų poveikį.</w:t>
            </w:r>
          </w:p>
          <w:p w14:paraId="4770139E"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Neužtikrinus kompetentingų valdymo struktūrų ir plataus įvairių organizacijų ir ekspertų įtraukimo gali kilti pavojus sėkmingam finansinių priemonių įgyvendinimui.</w:t>
            </w:r>
          </w:p>
          <w:p w14:paraId="31AD7309"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Taip pat svarbi efektyvi struktūra, kadangi platus suinteresuotųjų šalių įtraukimas gali turėti ir neigiamą poveikį, pvz., ilgai trunkančios derybos tarp suinteresuotų šalių dėl didelio dalyvių skaičiaus ir struktūros kompleksiškumo, valdymo funkcijų ir atsakomybių pasiskirstymo klausimai tarp nacionalinio ir regioninio lygių, nacionalinių institucijų ir tarptautinių finansinių institucijų ir pan.</w:t>
            </w:r>
          </w:p>
        </w:tc>
        <w:tc>
          <w:tcPr>
            <w:tcW w:w="738" w:type="pct"/>
          </w:tcPr>
          <w:p w14:paraId="6622E38E"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lastRenderedPageBreak/>
              <w:t>Poveikis rezultatams – vidutinis;</w:t>
            </w:r>
          </w:p>
          <w:p w14:paraId="63809CC5"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finansams – vidutinis;</w:t>
            </w:r>
          </w:p>
          <w:p w14:paraId="580B17C4"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vidutinis;</w:t>
            </w:r>
          </w:p>
          <w:p w14:paraId="3C9BB11D"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lastRenderedPageBreak/>
              <w:t>Poveikis reputacijai – vidutinis.</w:t>
            </w:r>
          </w:p>
        </w:tc>
        <w:tc>
          <w:tcPr>
            <w:tcW w:w="1298" w:type="pct"/>
          </w:tcPr>
          <w:p w14:paraId="3BE6897D"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lastRenderedPageBreak/>
              <w:t>Suformuota kompetentinga valdymo struktūra, užtikrinsianti efektyvią komunikaciją ir bendradarbiavimą tarp skirtingų modelio lygių ir suinteresuotų šalių.</w:t>
            </w:r>
          </w:p>
          <w:p w14:paraId="16356617"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 xml:space="preserve">Į valdymo procesą bus įtraukti įvairių institucijų ir/arba </w:t>
            </w:r>
            <w:r w:rsidRPr="00DF3A8E">
              <w:rPr>
                <w:rFonts w:ascii="Georgia" w:hAnsi="Georgia"/>
                <w:sz w:val="20"/>
                <w:szCs w:val="20"/>
              </w:rPr>
              <w:lastRenderedPageBreak/>
              <w:t>organizacijų atstovai ir ekspertai.</w:t>
            </w:r>
          </w:p>
          <w:p w14:paraId="199A467E"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Aiškiai apibrėžtos atsakomybės pasiskirstymo sritys.</w:t>
            </w:r>
          </w:p>
          <w:p w14:paraId="4E8F03D9"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Bus stengiamasi įvertinti kaip įmanoma didesnę nuomonių įvairovę bei atsižvelgti į skirtingų interesų grupių poreikius.</w:t>
            </w:r>
          </w:p>
          <w:p w14:paraId="5F937EE3"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Taip pat bus stengiamasi įtraukti įvairias suinteresuotas šalis kompleksinių ir sudėtingų projektų atveju (projektų lygiu).</w:t>
            </w:r>
          </w:p>
          <w:p w14:paraId="3877A940"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Visuose etapuose užtikrinamas skaidrumo principo laikymasis.</w:t>
            </w:r>
          </w:p>
        </w:tc>
        <w:tc>
          <w:tcPr>
            <w:tcW w:w="586" w:type="pct"/>
          </w:tcPr>
          <w:p w14:paraId="61A4CD78"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lastRenderedPageBreak/>
              <w:t>Labai maža</w:t>
            </w:r>
          </w:p>
        </w:tc>
      </w:tr>
      <w:tr w:rsidR="000E66DF" w:rsidRPr="002C025E" w14:paraId="5945C231" w14:textId="77777777" w:rsidTr="000E66DF">
        <w:trPr>
          <w:trHeight w:val="173"/>
        </w:trPr>
        <w:tc>
          <w:tcPr>
            <w:cnfStyle w:val="001000000000" w:firstRow="0" w:lastRow="0" w:firstColumn="1" w:lastColumn="0" w:oddVBand="0" w:evenVBand="0" w:oddHBand="0" w:evenHBand="0" w:firstRowFirstColumn="0" w:firstRowLastColumn="0" w:lastRowFirstColumn="0" w:lastRowLastColumn="0"/>
            <w:tcW w:w="212" w:type="pct"/>
          </w:tcPr>
          <w:p w14:paraId="56D70E81" w14:textId="77777777" w:rsidR="000E66DF" w:rsidRPr="00DF3A8E" w:rsidRDefault="000E66DF" w:rsidP="002C025E">
            <w:pPr>
              <w:jc w:val="both"/>
              <w:rPr>
                <w:rFonts w:ascii="Georgia" w:hAnsi="Georgia"/>
                <w:sz w:val="20"/>
                <w:szCs w:val="20"/>
              </w:rPr>
            </w:pPr>
            <w:r w:rsidRPr="00DF3A8E">
              <w:rPr>
                <w:rFonts w:ascii="Georgia" w:hAnsi="Georgia"/>
                <w:sz w:val="20"/>
                <w:szCs w:val="20"/>
              </w:rPr>
              <w:lastRenderedPageBreak/>
              <w:t>16.</w:t>
            </w:r>
          </w:p>
        </w:tc>
        <w:tc>
          <w:tcPr>
            <w:tcW w:w="858" w:type="pct"/>
          </w:tcPr>
          <w:p w14:paraId="13545ABC" w14:textId="77777777"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Pastovumas</w:t>
            </w:r>
          </w:p>
        </w:tc>
        <w:tc>
          <w:tcPr>
            <w:tcW w:w="1308" w:type="pct"/>
          </w:tcPr>
          <w:p w14:paraId="2629990B" w14:textId="77777777"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Nuolatinis taisyklių keitimas gali neigiamai įtakoti pasitikėjimą tarp potencialaus kliento ir fondo bei projekto vykdytojo. Taip pat administracines procedūras ir procesus gali padaryti ženkliai sudėtingesnius.</w:t>
            </w:r>
          </w:p>
        </w:tc>
        <w:tc>
          <w:tcPr>
            <w:tcW w:w="738" w:type="pct"/>
          </w:tcPr>
          <w:p w14:paraId="24E0FE0F" w14:textId="77777777"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rezultatams – vidutinis;</w:t>
            </w:r>
          </w:p>
          <w:p w14:paraId="667F4EBA" w14:textId="77777777"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finansams – vidutinis;</w:t>
            </w:r>
          </w:p>
          <w:p w14:paraId="3CFC2823" w14:textId="77777777"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vidutinis;</w:t>
            </w:r>
          </w:p>
          <w:p w14:paraId="309C9624" w14:textId="77777777"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reputacijai – ženklus.</w:t>
            </w:r>
          </w:p>
        </w:tc>
        <w:tc>
          <w:tcPr>
            <w:tcW w:w="1298" w:type="pct"/>
          </w:tcPr>
          <w:p w14:paraId="0238AB3D" w14:textId="77777777"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Numatoma kaip įmanoma daugiau panaudoti turimą patirtį ir teisinę bazę, sukurtą įgyvendinant JESSICA iniciatyvą Lietuvoje 2007-2013 m.</w:t>
            </w:r>
          </w:p>
        </w:tc>
        <w:tc>
          <w:tcPr>
            <w:tcW w:w="586" w:type="pct"/>
          </w:tcPr>
          <w:p w14:paraId="530DF390" w14:textId="77777777"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Labai maža</w:t>
            </w:r>
          </w:p>
        </w:tc>
      </w:tr>
      <w:tr w:rsidR="000E66DF" w:rsidRPr="002C025E" w14:paraId="34C41CAA" w14:textId="77777777" w:rsidTr="000E66DF">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12" w:type="pct"/>
          </w:tcPr>
          <w:p w14:paraId="6437AB57" w14:textId="77777777" w:rsidR="000E66DF" w:rsidRPr="00DF3A8E" w:rsidRDefault="000E66DF" w:rsidP="002C025E">
            <w:pPr>
              <w:jc w:val="both"/>
              <w:rPr>
                <w:rFonts w:ascii="Georgia" w:hAnsi="Georgia"/>
                <w:sz w:val="20"/>
                <w:szCs w:val="20"/>
              </w:rPr>
            </w:pPr>
            <w:r w:rsidRPr="00DF3A8E">
              <w:rPr>
                <w:rFonts w:ascii="Georgia" w:hAnsi="Georgia"/>
                <w:sz w:val="20"/>
                <w:szCs w:val="20"/>
              </w:rPr>
              <w:t>17.</w:t>
            </w:r>
          </w:p>
        </w:tc>
        <w:tc>
          <w:tcPr>
            <w:tcW w:w="858" w:type="pct"/>
          </w:tcPr>
          <w:p w14:paraId="46B504C4"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 xml:space="preserve">Takoskyra tarp realių </w:t>
            </w:r>
            <w:r w:rsidRPr="00DF3A8E">
              <w:rPr>
                <w:rFonts w:ascii="Georgia" w:hAnsi="Georgia"/>
                <w:sz w:val="20"/>
                <w:szCs w:val="20"/>
              </w:rPr>
              <w:lastRenderedPageBreak/>
              <w:t>rezultatų įgyvendinus projektą ir lūkesčių</w:t>
            </w:r>
          </w:p>
        </w:tc>
        <w:tc>
          <w:tcPr>
            <w:tcW w:w="1308" w:type="pct"/>
          </w:tcPr>
          <w:p w14:paraId="2984BD14"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lastRenderedPageBreak/>
              <w:t xml:space="preserve">Takoskyra tarp realių rezultatų </w:t>
            </w:r>
            <w:r w:rsidRPr="00DF3A8E">
              <w:rPr>
                <w:rFonts w:ascii="Georgia" w:hAnsi="Georgia"/>
                <w:sz w:val="20"/>
                <w:szCs w:val="20"/>
              </w:rPr>
              <w:lastRenderedPageBreak/>
              <w:t>įgyvendinus projektą ir lūkesčių gali atsirasti dėl žemos statybos darbų kokybės – naudojamos kitos medžiagos nei numatyta arba darbai atliekami nekokybiškai. Darbų klaidos ar brokas gali pasireikšti nebūtinai iškart po darbų priėmimo akto pasirašymo. Be to, dažnai, įgyvendinant projektus, siekiama sutaupyti, todėl projektai yra skaičiuojami pagal minimalius reikalavimus, kurie yra užduoti rinkoje. Taip pat samdomi nepatikimi rangovai, kartais neužbaigiantys darbų arba neužtikrinantys garantinių įsipareigojimų, perkamos prastos kokybės medžiagos bei neišlaikomos statybos ir montavimo darbų technologijos, samdomi nekvalifikuoti priežiūros specialistai. Klaidos gali būti padaromos ir projektavimo metu.</w:t>
            </w:r>
          </w:p>
          <w:p w14:paraId="645674FE"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Energetinio efektyvumo vertinimas atliekamas pagal skirtingas metodikas, gali būti labai nutolęs nuo realios situacijos po projekto įgyvendinimo.</w:t>
            </w:r>
          </w:p>
          <w:p w14:paraId="63D30E1C"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Pasireiškus paminėtoms rizikoms gali ženkliai skirtis finansiniai įsipareigojimai ir reali nauda, atsirasti nepasitikėjimas modeliu.</w:t>
            </w:r>
          </w:p>
        </w:tc>
        <w:tc>
          <w:tcPr>
            <w:tcW w:w="738" w:type="pct"/>
          </w:tcPr>
          <w:p w14:paraId="32D14035"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lastRenderedPageBreak/>
              <w:t xml:space="preserve">Poveikis </w:t>
            </w:r>
            <w:r w:rsidRPr="00DF3A8E">
              <w:rPr>
                <w:rFonts w:ascii="Georgia" w:hAnsi="Georgia"/>
                <w:sz w:val="20"/>
                <w:szCs w:val="20"/>
              </w:rPr>
              <w:lastRenderedPageBreak/>
              <w:t>rezultatams – vidutinis;</w:t>
            </w:r>
          </w:p>
          <w:p w14:paraId="20990AA5"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finansams – vidutinis;</w:t>
            </w:r>
          </w:p>
          <w:p w14:paraId="2A3A2A2B"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nežymus;</w:t>
            </w:r>
          </w:p>
          <w:p w14:paraId="14707F60"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Poveikis reputacijai – ženklus.</w:t>
            </w:r>
          </w:p>
        </w:tc>
        <w:tc>
          <w:tcPr>
            <w:tcW w:w="1298" w:type="pct"/>
          </w:tcPr>
          <w:p w14:paraId="3AD351DA"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lastRenderedPageBreak/>
              <w:t xml:space="preserve">Tolimesnis proceso </w:t>
            </w:r>
            <w:r w:rsidRPr="00DF3A8E">
              <w:rPr>
                <w:rFonts w:ascii="Georgia" w:hAnsi="Georgia"/>
                <w:sz w:val="20"/>
                <w:szCs w:val="20"/>
              </w:rPr>
              <w:lastRenderedPageBreak/>
              <w:t>standartizavimas visais lygiais, aktyvi viešinimo kampanija. Papildomų mechanizmų, padedančių užtikrinti geresnę renovacijos darbų kokybę, taikymo galimybių analizė ir pasiūlymų formulavimas, pvz., reikalavimas, pagal kurį 10-15 proc. sutarties sumos neišmokama vienerius metus ir, esant poreikiui, panaudojama siekiant ištaisyti statybos darbų trūkumus ir pan.</w:t>
            </w:r>
          </w:p>
          <w:p w14:paraId="57F7F914"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t>Energijos efektyvumo projektų įgyvendinimo kokybės kontrolės stiprinimas.</w:t>
            </w:r>
          </w:p>
        </w:tc>
        <w:tc>
          <w:tcPr>
            <w:tcW w:w="586" w:type="pct"/>
          </w:tcPr>
          <w:p w14:paraId="5F1B48C8" w14:textId="77777777" w:rsidR="000E66DF" w:rsidRPr="00DF3A8E" w:rsidRDefault="000E66DF" w:rsidP="002C025E">
            <w:pPr>
              <w:jc w:val="both"/>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DF3A8E">
              <w:rPr>
                <w:rFonts w:ascii="Georgia" w:hAnsi="Georgia"/>
                <w:sz w:val="20"/>
                <w:szCs w:val="20"/>
              </w:rPr>
              <w:lastRenderedPageBreak/>
              <w:t>Maža</w:t>
            </w:r>
          </w:p>
        </w:tc>
      </w:tr>
      <w:tr w:rsidR="000E66DF" w:rsidRPr="002C025E" w14:paraId="7054E04D" w14:textId="77777777" w:rsidTr="000E66DF">
        <w:trPr>
          <w:trHeight w:val="173"/>
        </w:trPr>
        <w:tc>
          <w:tcPr>
            <w:cnfStyle w:val="001000000000" w:firstRow="0" w:lastRow="0" w:firstColumn="1" w:lastColumn="0" w:oddVBand="0" w:evenVBand="0" w:oddHBand="0" w:evenHBand="0" w:firstRowFirstColumn="0" w:firstRowLastColumn="0" w:lastRowFirstColumn="0" w:lastRowLastColumn="0"/>
            <w:tcW w:w="212" w:type="pct"/>
          </w:tcPr>
          <w:p w14:paraId="628C70D6" w14:textId="77777777" w:rsidR="000E66DF" w:rsidRPr="00DF3A8E" w:rsidRDefault="000E66DF" w:rsidP="002C025E">
            <w:pPr>
              <w:jc w:val="both"/>
              <w:rPr>
                <w:rFonts w:ascii="Georgia" w:hAnsi="Georgia"/>
                <w:sz w:val="20"/>
                <w:szCs w:val="20"/>
              </w:rPr>
            </w:pPr>
            <w:r w:rsidRPr="00DF3A8E">
              <w:rPr>
                <w:rFonts w:ascii="Georgia" w:hAnsi="Georgia"/>
                <w:sz w:val="20"/>
                <w:szCs w:val="20"/>
              </w:rPr>
              <w:lastRenderedPageBreak/>
              <w:t>18.</w:t>
            </w:r>
          </w:p>
        </w:tc>
        <w:tc>
          <w:tcPr>
            <w:tcW w:w="858" w:type="pct"/>
          </w:tcPr>
          <w:p w14:paraId="40D19BBB" w14:textId="77777777"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Stebėsena</w:t>
            </w:r>
          </w:p>
        </w:tc>
        <w:tc>
          <w:tcPr>
            <w:tcW w:w="1308" w:type="pct"/>
          </w:tcPr>
          <w:p w14:paraId="4450348B" w14:textId="77777777"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 xml:space="preserve">Finansinių priemonių įgyvendinimo stebėsena yra sudėtingas procesas, reikalaujantis apgalvoto rodiklių, </w:t>
            </w:r>
            <w:r w:rsidRPr="00DF3A8E">
              <w:rPr>
                <w:rFonts w:ascii="Georgia" w:hAnsi="Georgia"/>
                <w:sz w:val="20"/>
                <w:szCs w:val="20"/>
              </w:rPr>
              <w:lastRenderedPageBreak/>
              <w:t>kurie geriausiai iliustruotų fondo teikiamą naudą, pasirinkimo.</w:t>
            </w:r>
          </w:p>
          <w:p w14:paraId="53FC89A4" w14:textId="77777777"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2007-2013 m. finansiniu laikotarpiu struktūrinių fondų programose trūko rodiklių, kurie būtų tinkami finansinių priemonių stebėsenai, nebuvo takoskyros tarp finansinių priemonių ir subsidijų rodiklių.</w:t>
            </w:r>
          </w:p>
          <w:p w14:paraId="1A394DEB" w14:textId="77777777"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Nekokybiški rodikliai nesudaro sąlygų tinkamai stebėti finansinių priemonių pažangos bei operatyviai reaguoti į pavojaus signalus, susijusius su įgyvendinimo procesais.</w:t>
            </w:r>
          </w:p>
        </w:tc>
        <w:tc>
          <w:tcPr>
            <w:tcW w:w="738" w:type="pct"/>
          </w:tcPr>
          <w:p w14:paraId="236EF515" w14:textId="77777777"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lastRenderedPageBreak/>
              <w:t>Poveikis rezultatams – vidutinis;</w:t>
            </w:r>
          </w:p>
          <w:p w14:paraId="72BCEFC2" w14:textId="77777777"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lastRenderedPageBreak/>
              <w:t>Poveikis finansams – nežymus;</w:t>
            </w:r>
          </w:p>
          <w:p w14:paraId="5546CA1B" w14:textId="77777777"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spartai – neutralus;</w:t>
            </w:r>
          </w:p>
          <w:p w14:paraId="17C4458D" w14:textId="77777777"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Poveikis reputacijai – ženklus.</w:t>
            </w:r>
          </w:p>
        </w:tc>
        <w:tc>
          <w:tcPr>
            <w:tcW w:w="1298" w:type="pct"/>
          </w:tcPr>
          <w:p w14:paraId="5FAD0099" w14:textId="77777777"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lastRenderedPageBreak/>
              <w:t xml:space="preserve">Sukurta efektyvi stebėsenos sistema, padėsianti laiku identifikuoti ir reaguoti į atsirandančias </w:t>
            </w:r>
            <w:r w:rsidRPr="00DF3A8E">
              <w:rPr>
                <w:rFonts w:ascii="Georgia" w:hAnsi="Georgia"/>
                <w:sz w:val="20"/>
                <w:szCs w:val="20"/>
              </w:rPr>
              <w:lastRenderedPageBreak/>
              <w:t>įgyvendinimo problemas.</w:t>
            </w:r>
          </w:p>
          <w:p w14:paraId="0AFCC746" w14:textId="77777777"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Rodikliai nustatyti įvertinus finansinių priemonių specifiką. Jie leis įvertinti projektų techninę pažangą, energijos sutaupymus (ir kitus rezultatus, pvz., CO</w:t>
            </w:r>
            <w:r w:rsidRPr="00DF3A8E">
              <w:rPr>
                <w:rFonts w:ascii="Georgia" w:hAnsi="Georgia"/>
                <w:sz w:val="20"/>
                <w:szCs w:val="20"/>
                <w:vertAlign w:val="subscript"/>
              </w:rPr>
              <w:t>2</w:t>
            </w:r>
            <w:r w:rsidRPr="00DF3A8E">
              <w:rPr>
                <w:rFonts w:ascii="Georgia" w:hAnsi="Georgia"/>
                <w:sz w:val="20"/>
                <w:szCs w:val="20"/>
              </w:rPr>
              <w:t xml:space="preserve"> taršos sumažėjimą, jei bus nuspręsta tokius duomenis sekti) po projekto įgyvendinimo bei finansinę finansinės priemonės veiklos pažangą. </w:t>
            </w:r>
          </w:p>
          <w:p w14:paraId="1E758C2B" w14:textId="77777777"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t>Nustatytos pradinės identifikuotų rodiklių reikšmės bei įvertinti stebėsenos kaštai.</w:t>
            </w:r>
          </w:p>
        </w:tc>
        <w:tc>
          <w:tcPr>
            <w:tcW w:w="586" w:type="pct"/>
          </w:tcPr>
          <w:p w14:paraId="1E8F08E4" w14:textId="77777777" w:rsidR="000E66DF" w:rsidRPr="00DF3A8E" w:rsidRDefault="000E66DF" w:rsidP="002C025E">
            <w:pPr>
              <w:jc w:val="both"/>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DF3A8E">
              <w:rPr>
                <w:rFonts w:ascii="Georgia" w:hAnsi="Georgia"/>
                <w:sz w:val="20"/>
                <w:szCs w:val="20"/>
              </w:rPr>
              <w:lastRenderedPageBreak/>
              <w:t>Labai maža</w:t>
            </w:r>
          </w:p>
        </w:tc>
      </w:tr>
    </w:tbl>
    <w:p w14:paraId="032DE323" w14:textId="77777777" w:rsidR="000E66DF" w:rsidRDefault="000E66DF">
      <w:pPr>
        <w:rPr>
          <w:lang w:val="lt-LT"/>
        </w:rPr>
        <w:sectPr w:rsidR="000E66DF" w:rsidSect="00AC3318">
          <w:pgSz w:w="15840" w:h="12240" w:orient="landscape" w:code="1"/>
          <w:pgMar w:top="1440" w:right="1276" w:bottom="1440" w:left="1440" w:header="709" w:footer="709" w:gutter="0"/>
          <w:cols w:space="708"/>
          <w:docGrid w:linePitch="360"/>
        </w:sectPr>
      </w:pPr>
    </w:p>
    <w:p w14:paraId="126F5E41" w14:textId="77777777" w:rsidR="00DF0329" w:rsidRDefault="000203BA" w:rsidP="00FC2E80">
      <w:pPr>
        <w:pStyle w:val="Antrat2"/>
        <w:rPr>
          <w:lang w:val="lt-LT"/>
        </w:rPr>
      </w:pPr>
      <w:bookmarkStart w:id="452" w:name="_Toc417378480"/>
      <w:r>
        <w:rPr>
          <w:lang w:val="lt-LT"/>
        </w:rPr>
        <w:lastRenderedPageBreak/>
        <w:t>Priedas Nr. 7. Komercinių bankų apklausos metu gautos informacijos santrauka</w:t>
      </w:r>
      <w:bookmarkEnd w:id="452"/>
    </w:p>
    <w:p w14:paraId="557FA15B" w14:textId="77777777" w:rsidR="000203BA" w:rsidRDefault="000203BA" w:rsidP="000203BA">
      <w:pPr>
        <w:rPr>
          <w:lang w:val="lt-LT"/>
        </w:rPr>
      </w:pPr>
    </w:p>
    <w:p w14:paraId="1C5E0451" w14:textId="77777777" w:rsidR="000203BA" w:rsidRPr="00100EF9" w:rsidRDefault="007B3C20"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Atlikus įvairių finansi</w:t>
      </w:r>
      <w:r w:rsidR="00100EF9">
        <w:rPr>
          <w:rFonts w:ascii="Georgia" w:eastAsia="Times New Roman" w:hAnsi="Georgia" w:cs="Times New Roman"/>
          <w:sz w:val="20"/>
          <w:szCs w:val="20"/>
          <w:lang w:val="lt-LT" w:eastAsia="lt-LT"/>
        </w:rPr>
        <w:t>nių produktų ir finansinių mode</w:t>
      </w:r>
      <w:r w:rsidRPr="00100EF9">
        <w:rPr>
          <w:rFonts w:ascii="Georgia" w:eastAsia="Times New Roman" w:hAnsi="Georgia" w:cs="Times New Roman"/>
          <w:sz w:val="20"/>
          <w:szCs w:val="20"/>
          <w:lang w:val="lt-LT" w:eastAsia="lt-LT"/>
        </w:rPr>
        <w:t>lių analizę buvo nuspręsta ex ante vertinimo rezultatus pristatyti komerciniams bankams. Šis pristatymas komerciniams bankams įvyko</w:t>
      </w:r>
      <w:r w:rsidR="000203BA" w:rsidRPr="00100EF9">
        <w:rPr>
          <w:rFonts w:ascii="Georgia" w:eastAsia="Times New Roman" w:hAnsi="Georgia" w:cs="Times New Roman"/>
          <w:sz w:val="20"/>
          <w:szCs w:val="20"/>
          <w:lang w:val="lt-LT" w:eastAsia="lt-LT"/>
        </w:rPr>
        <w:t xml:space="preserve"> 201</w:t>
      </w:r>
      <w:r w:rsidRPr="00100EF9">
        <w:rPr>
          <w:rFonts w:ascii="Georgia" w:eastAsia="Times New Roman" w:hAnsi="Georgia" w:cs="Times New Roman"/>
          <w:sz w:val="20"/>
          <w:szCs w:val="20"/>
          <w:lang w:val="lt-LT" w:eastAsia="lt-LT"/>
        </w:rPr>
        <w:t>4 m. spalio mėn. 2</w:t>
      </w:r>
      <w:r w:rsidR="000203BA" w:rsidRPr="00100EF9">
        <w:rPr>
          <w:rFonts w:ascii="Georgia" w:eastAsia="Times New Roman" w:hAnsi="Georgia" w:cs="Times New Roman"/>
          <w:sz w:val="20"/>
          <w:szCs w:val="20"/>
          <w:lang w:val="lt-LT" w:eastAsia="lt-LT"/>
        </w:rPr>
        <w:t xml:space="preserve"> d.</w:t>
      </w:r>
      <w:r w:rsidRPr="00100EF9">
        <w:rPr>
          <w:rFonts w:ascii="Georgia" w:eastAsia="Times New Roman" w:hAnsi="Georgia" w:cs="Times New Roman"/>
          <w:sz w:val="20"/>
          <w:szCs w:val="20"/>
          <w:lang w:val="lt-LT" w:eastAsia="lt-LT"/>
        </w:rPr>
        <w:t>, po kurio komerciniams bankams papildomai buvo pateiktas klausimynas apie ex ante vertinime naudotas</w:t>
      </w:r>
      <w:r w:rsidR="000203BA" w:rsidRPr="00100EF9">
        <w:rPr>
          <w:rFonts w:ascii="Georgia" w:eastAsia="Times New Roman" w:hAnsi="Georgia" w:cs="Times New Roman"/>
          <w:sz w:val="20"/>
          <w:szCs w:val="20"/>
          <w:lang w:val="lt-LT" w:eastAsia="lt-LT"/>
        </w:rPr>
        <w:t xml:space="preserve"> prielaid</w:t>
      </w:r>
      <w:r w:rsidRPr="00100EF9">
        <w:rPr>
          <w:rFonts w:ascii="Georgia" w:eastAsia="Times New Roman" w:hAnsi="Georgia" w:cs="Times New Roman"/>
          <w:sz w:val="20"/>
          <w:szCs w:val="20"/>
          <w:lang w:val="lt-LT" w:eastAsia="lt-LT"/>
        </w:rPr>
        <w:t>as ir rekomenduojamas finansines</w:t>
      </w:r>
      <w:r w:rsidR="000203BA" w:rsidRPr="00100EF9">
        <w:rPr>
          <w:rFonts w:ascii="Georgia" w:eastAsia="Times New Roman" w:hAnsi="Georgia" w:cs="Times New Roman"/>
          <w:sz w:val="20"/>
          <w:szCs w:val="20"/>
          <w:lang w:val="lt-LT" w:eastAsia="lt-LT"/>
        </w:rPr>
        <w:t xml:space="preserve"> </w:t>
      </w:r>
      <w:r w:rsidRPr="00100EF9">
        <w:rPr>
          <w:rFonts w:ascii="Georgia" w:eastAsia="Times New Roman" w:hAnsi="Georgia" w:cs="Times New Roman"/>
          <w:sz w:val="20"/>
          <w:szCs w:val="20"/>
          <w:lang w:val="lt-LT" w:eastAsia="lt-LT"/>
        </w:rPr>
        <w:t>priemones</w:t>
      </w:r>
      <w:r w:rsidR="000203BA" w:rsidRPr="00100EF9">
        <w:rPr>
          <w:rFonts w:ascii="Georgia" w:eastAsia="Times New Roman" w:hAnsi="Georgia" w:cs="Times New Roman"/>
          <w:sz w:val="20"/>
          <w:szCs w:val="20"/>
          <w:lang w:val="lt-LT" w:eastAsia="lt-LT"/>
        </w:rPr>
        <w:t xml:space="preserve"> bei </w:t>
      </w:r>
      <w:r w:rsidRPr="00100EF9">
        <w:rPr>
          <w:rFonts w:ascii="Georgia" w:eastAsia="Times New Roman" w:hAnsi="Georgia" w:cs="Times New Roman"/>
          <w:sz w:val="20"/>
          <w:szCs w:val="20"/>
          <w:lang w:val="lt-LT" w:eastAsia="lt-LT"/>
        </w:rPr>
        <w:t xml:space="preserve">jų valdymo </w:t>
      </w:r>
      <w:r w:rsidR="000203BA" w:rsidRPr="00100EF9">
        <w:rPr>
          <w:rFonts w:ascii="Georgia" w:eastAsia="Times New Roman" w:hAnsi="Georgia" w:cs="Times New Roman"/>
          <w:sz w:val="20"/>
          <w:szCs w:val="20"/>
          <w:lang w:val="lt-LT" w:eastAsia="lt-LT"/>
        </w:rPr>
        <w:t xml:space="preserve">modelius. Atsakymai buvo gauti iš didžiausių ir aktyviausiai </w:t>
      </w:r>
      <w:r w:rsidRPr="00100EF9">
        <w:rPr>
          <w:rFonts w:ascii="Georgia" w:eastAsia="Times New Roman" w:hAnsi="Georgia" w:cs="Times New Roman"/>
          <w:sz w:val="20"/>
          <w:szCs w:val="20"/>
          <w:lang w:val="lt-LT" w:eastAsia="lt-LT"/>
        </w:rPr>
        <w:t>prisidedančių įgyvendinant JESSICA KF</w:t>
      </w:r>
      <w:r w:rsidR="000203BA" w:rsidRPr="00100EF9">
        <w:rPr>
          <w:rFonts w:ascii="Georgia" w:eastAsia="Times New Roman" w:hAnsi="Georgia" w:cs="Times New Roman"/>
          <w:sz w:val="20"/>
          <w:szCs w:val="20"/>
          <w:lang w:val="lt-LT" w:eastAsia="lt-LT"/>
        </w:rPr>
        <w:t xml:space="preserve"> finansin</w:t>
      </w:r>
      <w:r w:rsidRPr="00100EF9">
        <w:rPr>
          <w:rFonts w:ascii="Georgia" w:eastAsia="Times New Roman" w:hAnsi="Georgia" w:cs="Times New Roman"/>
          <w:sz w:val="20"/>
          <w:szCs w:val="20"/>
          <w:lang w:val="lt-LT" w:eastAsia="lt-LT"/>
        </w:rPr>
        <w:t>ę</w:t>
      </w:r>
      <w:r w:rsidR="000203BA" w:rsidRPr="00100EF9">
        <w:rPr>
          <w:rFonts w:ascii="Georgia" w:eastAsia="Times New Roman" w:hAnsi="Georgia" w:cs="Times New Roman"/>
          <w:sz w:val="20"/>
          <w:szCs w:val="20"/>
          <w:lang w:val="lt-LT" w:eastAsia="lt-LT"/>
        </w:rPr>
        <w:t xml:space="preserve"> priemon</w:t>
      </w:r>
      <w:r w:rsidRPr="00100EF9">
        <w:rPr>
          <w:rFonts w:ascii="Georgia" w:eastAsia="Times New Roman" w:hAnsi="Georgia" w:cs="Times New Roman"/>
          <w:sz w:val="20"/>
          <w:szCs w:val="20"/>
          <w:lang w:val="lt-LT" w:eastAsia="lt-LT"/>
        </w:rPr>
        <w:t>ę</w:t>
      </w:r>
      <w:r w:rsidR="000203BA" w:rsidRPr="00100EF9">
        <w:rPr>
          <w:rFonts w:ascii="Georgia" w:eastAsia="Times New Roman" w:hAnsi="Georgia" w:cs="Times New Roman"/>
          <w:sz w:val="20"/>
          <w:szCs w:val="20"/>
          <w:lang w:val="lt-LT" w:eastAsia="lt-LT"/>
        </w:rPr>
        <w:t xml:space="preserve"> Lietuvos bankų. Šiame priede pateikiami apibendrinti bankų apklausos rezultatai. </w:t>
      </w:r>
    </w:p>
    <w:p w14:paraId="5DD84C40" w14:textId="77777777" w:rsidR="000203BA" w:rsidRPr="00100EF9" w:rsidRDefault="000203BA" w:rsidP="000203BA">
      <w:pPr>
        <w:jc w:val="both"/>
        <w:rPr>
          <w:rFonts w:ascii="Georgia" w:hAnsi="Georgia"/>
          <w:b/>
          <w:sz w:val="20"/>
          <w:szCs w:val="20"/>
          <w:lang w:val="lt-LT"/>
        </w:rPr>
      </w:pPr>
      <w:r w:rsidRPr="00100EF9">
        <w:rPr>
          <w:rFonts w:ascii="Georgia" w:hAnsi="Georgia"/>
          <w:b/>
          <w:sz w:val="20"/>
          <w:szCs w:val="20"/>
          <w:lang w:val="lt-LT"/>
        </w:rPr>
        <w:t>LĖŠŲ PRITRAUKIMAS FONDŲ FONDO LYGMENYJE</w:t>
      </w:r>
    </w:p>
    <w:p w14:paraId="4DF20F43" w14:textId="77777777" w:rsidR="000203BA" w:rsidRPr="00100EF9" w:rsidRDefault="000203BA" w:rsidP="000203BA">
      <w:pPr>
        <w:spacing w:after="0" w:line="240" w:lineRule="auto"/>
        <w:jc w:val="both"/>
        <w:rPr>
          <w:rFonts w:ascii="Georgia" w:hAnsi="Georgia"/>
          <w:b/>
          <w:sz w:val="20"/>
          <w:szCs w:val="20"/>
          <w:lang w:val="lt-LT"/>
        </w:rPr>
      </w:pPr>
      <w:r w:rsidRPr="00100EF9">
        <w:rPr>
          <w:rFonts w:ascii="Georgia" w:hAnsi="Georgia"/>
          <w:b/>
          <w:sz w:val="20"/>
          <w:szCs w:val="20"/>
          <w:lang w:val="lt-LT"/>
        </w:rPr>
        <w:t xml:space="preserve">Rekomenduojamas daugiabučių renovacijos finansavimo modelis – fondų fondas kuriamas kaip atskiras juridinis asmuo (komanditinė ūkinė bendrija) </w:t>
      </w:r>
    </w:p>
    <w:p w14:paraId="5A405947" w14:textId="77777777" w:rsidR="007B3C20" w:rsidRPr="00100EF9" w:rsidRDefault="007B3C20" w:rsidP="000203BA">
      <w:pPr>
        <w:jc w:val="both"/>
        <w:rPr>
          <w:rFonts w:ascii="Georgia" w:eastAsia="Times New Roman" w:hAnsi="Georgia" w:cs="Times New Roman"/>
          <w:sz w:val="20"/>
          <w:szCs w:val="20"/>
          <w:lang w:val="lt-LT" w:eastAsia="lt-LT"/>
        </w:rPr>
      </w:pPr>
    </w:p>
    <w:p w14:paraId="71ADCDC2" w14:textId="77777777"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 xml:space="preserve">Visi bankai </w:t>
      </w:r>
      <w:r w:rsidR="007B3C20" w:rsidRPr="00100EF9">
        <w:rPr>
          <w:rFonts w:ascii="Georgia" w:eastAsia="Times New Roman" w:hAnsi="Georgia" w:cs="Times New Roman"/>
          <w:sz w:val="20"/>
          <w:szCs w:val="20"/>
          <w:lang w:val="lt-LT" w:eastAsia="lt-LT"/>
        </w:rPr>
        <w:t>išreiškė suinteresuotumą</w:t>
      </w:r>
      <w:r w:rsidRPr="00100EF9">
        <w:rPr>
          <w:rFonts w:ascii="Georgia" w:eastAsia="Times New Roman" w:hAnsi="Georgia" w:cs="Times New Roman"/>
          <w:sz w:val="20"/>
          <w:szCs w:val="20"/>
          <w:lang w:val="lt-LT" w:eastAsia="lt-LT"/>
        </w:rPr>
        <w:t xml:space="preserve"> dalyvauti investuojant </w:t>
      </w:r>
      <w:r w:rsidR="007B3C20" w:rsidRPr="00100EF9">
        <w:rPr>
          <w:rFonts w:ascii="Georgia" w:eastAsia="Times New Roman" w:hAnsi="Georgia" w:cs="Times New Roman"/>
          <w:sz w:val="20"/>
          <w:szCs w:val="20"/>
          <w:lang w:val="lt-LT" w:eastAsia="lt-LT"/>
        </w:rPr>
        <w:t>į</w:t>
      </w:r>
      <w:r w:rsidRPr="00100EF9">
        <w:rPr>
          <w:rFonts w:ascii="Georgia" w:eastAsia="Times New Roman" w:hAnsi="Georgia" w:cs="Times New Roman"/>
          <w:sz w:val="20"/>
          <w:szCs w:val="20"/>
          <w:lang w:val="lt-LT" w:eastAsia="lt-LT"/>
        </w:rPr>
        <w:t xml:space="preserve"> daugiabučių renovacijos </w:t>
      </w:r>
      <w:r w:rsidR="007B3C20" w:rsidRPr="00100EF9">
        <w:rPr>
          <w:rFonts w:ascii="Georgia" w:eastAsia="Times New Roman" w:hAnsi="Georgia" w:cs="Times New Roman"/>
          <w:sz w:val="20"/>
          <w:szCs w:val="20"/>
          <w:lang w:val="lt-LT" w:eastAsia="lt-LT"/>
        </w:rPr>
        <w:t>fondą</w:t>
      </w:r>
      <w:r w:rsidRPr="00100EF9">
        <w:rPr>
          <w:rFonts w:ascii="Georgia" w:eastAsia="Times New Roman" w:hAnsi="Georgia" w:cs="Times New Roman"/>
          <w:sz w:val="20"/>
          <w:szCs w:val="20"/>
          <w:lang w:val="lt-LT" w:eastAsia="lt-LT"/>
        </w:rPr>
        <w:t xml:space="preserve">, </w:t>
      </w:r>
      <w:r w:rsidR="007B3C20" w:rsidRPr="00100EF9">
        <w:rPr>
          <w:rFonts w:ascii="Georgia" w:eastAsia="Times New Roman" w:hAnsi="Georgia" w:cs="Times New Roman"/>
          <w:sz w:val="20"/>
          <w:szCs w:val="20"/>
          <w:lang w:val="lt-LT" w:eastAsia="lt-LT"/>
        </w:rPr>
        <w:t>kuriame</w:t>
      </w:r>
      <w:r w:rsidRPr="00100EF9">
        <w:rPr>
          <w:rFonts w:ascii="Georgia" w:eastAsia="Times New Roman" w:hAnsi="Georgia" w:cs="Times New Roman"/>
          <w:sz w:val="20"/>
          <w:szCs w:val="20"/>
          <w:lang w:val="lt-LT" w:eastAsia="lt-LT"/>
        </w:rPr>
        <w:t xml:space="preserve"> ESI fondų lėšos būtų naudojamos užtikrinti investuotojų lėšų saugumą (asimetrinis rizikos pasidalijimas), tačiau nurodė, jog galutiniam sprendimui priimti bankams būtų reikalinga gilesnė ir detalesnė informacija, apie:</w:t>
      </w:r>
    </w:p>
    <w:p w14:paraId="33BB8AEE" w14:textId="77777777" w:rsidR="000203BA" w:rsidRPr="00100EF9" w:rsidRDefault="000203BA" w:rsidP="002A576D">
      <w:pPr>
        <w:pStyle w:val="prastasis1"/>
        <w:numPr>
          <w:ilvl w:val="0"/>
          <w:numId w:val="98"/>
        </w:numPr>
        <w:spacing w:line="276" w:lineRule="auto"/>
        <w:jc w:val="both"/>
        <w:rPr>
          <w:rFonts w:ascii="Georgia" w:hAnsi="Georgia"/>
          <w:sz w:val="20"/>
          <w:szCs w:val="20"/>
        </w:rPr>
      </w:pPr>
      <w:r w:rsidRPr="00100EF9">
        <w:rPr>
          <w:rFonts w:ascii="Georgia" w:hAnsi="Georgia"/>
          <w:sz w:val="20"/>
          <w:szCs w:val="20"/>
        </w:rPr>
        <w:t>valdymo modelį;</w:t>
      </w:r>
    </w:p>
    <w:p w14:paraId="3CCDA540" w14:textId="77777777" w:rsidR="000203BA" w:rsidRPr="00100EF9" w:rsidRDefault="000203BA" w:rsidP="002A576D">
      <w:pPr>
        <w:pStyle w:val="prastasis1"/>
        <w:numPr>
          <w:ilvl w:val="0"/>
          <w:numId w:val="98"/>
        </w:numPr>
        <w:spacing w:line="276" w:lineRule="auto"/>
        <w:jc w:val="both"/>
        <w:rPr>
          <w:rFonts w:ascii="Georgia" w:hAnsi="Georgia"/>
          <w:sz w:val="20"/>
          <w:szCs w:val="20"/>
        </w:rPr>
      </w:pPr>
      <w:r w:rsidRPr="00100EF9">
        <w:rPr>
          <w:rFonts w:ascii="Georgia" w:hAnsi="Georgia"/>
          <w:sz w:val="20"/>
          <w:szCs w:val="20"/>
        </w:rPr>
        <w:t>fondo valdytoją;</w:t>
      </w:r>
    </w:p>
    <w:p w14:paraId="38496B75" w14:textId="77777777" w:rsidR="000203BA" w:rsidRPr="00100EF9" w:rsidRDefault="000203BA" w:rsidP="002A576D">
      <w:pPr>
        <w:pStyle w:val="prastasis1"/>
        <w:numPr>
          <w:ilvl w:val="0"/>
          <w:numId w:val="98"/>
        </w:numPr>
        <w:spacing w:line="276" w:lineRule="auto"/>
        <w:jc w:val="both"/>
        <w:rPr>
          <w:rFonts w:ascii="Georgia" w:hAnsi="Georgia"/>
          <w:sz w:val="20"/>
          <w:szCs w:val="20"/>
        </w:rPr>
      </w:pPr>
      <w:r w:rsidRPr="00100EF9">
        <w:rPr>
          <w:rFonts w:ascii="Georgia" w:hAnsi="Georgia"/>
          <w:sz w:val="20"/>
          <w:szCs w:val="20"/>
        </w:rPr>
        <w:t xml:space="preserve">pasitraukimo iš fondo galimybes; </w:t>
      </w:r>
    </w:p>
    <w:p w14:paraId="73AC2DDC" w14:textId="77777777" w:rsidR="000203BA" w:rsidRPr="00100EF9" w:rsidRDefault="007B3C20" w:rsidP="002A576D">
      <w:pPr>
        <w:pStyle w:val="prastasis1"/>
        <w:numPr>
          <w:ilvl w:val="0"/>
          <w:numId w:val="98"/>
        </w:numPr>
        <w:spacing w:line="276" w:lineRule="auto"/>
        <w:jc w:val="both"/>
        <w:rPr>
          <w:rFonts w:ascii="Georgia" w:hAnsi="Georgia"/>
          <w:sz w:val="20"/>
          <w:szCs w:val="20"/>
        </w:rPr>
      </w:pPr>
      <w:r w:rsidRPr="00100EF9">
        <w:rPr>
          <w:rFonts w:ascii="Georgia" w:hAnsi="Georgia"/>
          <w:sz w:val="20"/>
          <w:szCs w:val="20"/>
        </w:rPr>
        <w:t>finansavimo struktūrą</w:t>
      </w:r>
      <w:r w:rsidR="000203BA" w:rsidRPr="00100EF9">
        <w:rPr>
          <w:rFonts w:ascii="Georgia" w:hAnsi="Georgia"/>
          <w:sz w:val="20"/>
          <w:szCs w:val="20"/>
        </w:rPr>
        <w:t xml:space="preserve"> ir pan.</w:t>
      </w:r>
    </w:p>
    <w:p w14:paraId="2F684044" w14:textId="77777777"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 xml:space="preserve">Bankai nurodė, jog prielaida, kad ESI fondo lėšos galėtų sudaryti 30 proc. bendro fondų fondo lėšų portfelio galėtų būti teisinga (nors vienas iš bankų nurodė, jog komfortiškiau jaustųsi jei ESI fondų lėšos sudarytų didesnę šio fondo dalį)  esant dabartinėms JESSICA </w:t>
      </w:r>
      <w:r w:rsidR="007B3C20" w:rsidRPr="00100EF9">
        <w:rPr>
          <w:rFonts w:ascii="Georgia" w:eastAsia="Times New Roman" w:hAnsi="Georgia" w:cs="Times New Roman"/>
          <w:sz w:val="20"/>
          <w:szCs w:val="20"/>
          <w:lang w:val="lt-LT" w:eastAsia="lt-LT"/>
        </w:rPr>
        <w:t>KF</w:t>
      </w:r>
      <w:r w:rsidRPr="00100EF9">
        <w:rPr>
          <w:rFonts w:ascii="Georgia" w:eastAsia="Times New Roman" w:hAnsi="Georgia" w:cs="Times New Roman"/>
          <w:sz w:val="20"/>
          <w:szCs w:val="20"/>
          <w:lang w:val="lt-LT" w:eastAsia="lt-LT"/>
        </w:rPr>
        <w:t xml:space="preserve"> sąlygoms (pasikeitus sąlygoms, bankai iš naujo svarstytų </w:t>
      </w:r>
      <w:r w:rsidR="007B3C20" w:rsidRPr="00100EF9">
        <w:rPr>
          <w:rFonts w:ascii="Georgia" w:eastAsia="Times New Roman" w:hAnsi="Georgia" w:cs="Times New Roman"/>
          <w:sz w:val="20"/>
          <w:szCs w:val="20"/>
          <w:lang w:val="lt-LT" w:eastAsia="lt-LT"/>
        </w:rPr>
        <w:t>galimybes</w:t>
      </w:r>
      <w:r w:rsidRPr="00100EF9">
        <w:rPr>
          <w:rFonts w:ascii="Georgia" w:eastAsia="Times New Roman" w:hAnsi="Georgia" w:cs="Times New Roman"/>
          <w:sz w:val="20"/>
          <w:szCs w:val="20"/>
          <w:lang w:val="lt-LT" w:eastAsia="lt-LT"/>
        </w:rPr>
        <w:t xml:space="preserve"> investuoti </w:t>
      </w:r>
      <w:r w:rsidR="007B3C20" w:rsidRPr="00100EF9">
        <w:rPr>
          <w:rFonts w:ascii="Georgia" w:eastAsia="Times New Roman" w:hAnsi="Georgia" w:cs="Times New Roman"/>
          <w:sz w:val="20"/>
          <w:szCs w:val="20"/>
          <w:lang w:val="lt-LT" w:eastAsia="lt-LT"/>
        </w:rPr>
        <w:t>į tokį</w:t>
      </w:r>
      <w:r w:rsidRPr="00100EF9">
        <w:rPr>
          <w:rFonts w:ascii="Georgia" w:eastAsia="Times New Roman" w:hAnsi="Georgia" w:cs="Times New Roman"/>
          <w:sz w:val="20"/>
          <w:szCs w:val="20"/>
          <w:lang w:val="lt-LT" w:eastAsia="lt-LT"/>
        </w:rPr>
        <w:t xml:space="preserve"> fond</w:t>
      </w:r>
      <w:r w:rsidR="007B3C20" w:rsidRPr="00100EF9">
        <w:rPr>
          <w:rFonts w:ascii="Georgia" w:eastAsia="Times New Roman" w:hAnsi="Georgia" w:cs="Times New Roman"/>
          <w:sz w:val="20"/>
          <w:szCs w:val="20"/>
          <w:lang w:val="lt-LT" w:eastAsia="lt-LT"/>
        </w:rPr>
        <w:t>ą)</w:t>
      </w:r>
      <w:r w:rsidRPr="00100EF9">
        <w:rPr>
          <w:rFonts w:ascii="Georgia" w:eastAsia="Times New Roman" w:hAnsi="Georgia" w:cs="Times New Roman"/>
          <w:sz w:val="20"/>
          <w:szCs w:val="20"/>
          <w:lang w:val="lt-LT" w:eastAsia="lt-LT"/>
        </w:rPr>
        <w:t>. Susikūrus ilgesnei tokio fondo istorijai, bei pasitvirtinus prielaidoms (pvz. jog daugiabučių renovacijos projektų mokėjimai yra sąlyginai kokybiški) bankai svarstytų ir mažesnės garantijos galimybę. Taip pat buvo nurodyta, jog reikėtų papildomos informacijos apie garantijos schemą, tokios kaip:</w:t>
      </w:r>
    </w:p>
    <w:p w14:paraId="4D76478B" w14:textId="77777777" w:rsidR="000203BA" w:rsidRPr="00100EF9" w:rsidRDefault="000203BA" w:rsidP="002A576D">
      <w:pPr>
        <w:pStyle w:val="prastasis1"/>
        <w:numPr>
          <w:ilvl w:val="0"/>
          <w:numId w:val="98"/>
        </w:numPr>
        <w:spacing w:line="276" w:lineRule="auto"/>
        <w:jc w:val="both"/>
        <w:rPr>
          <w:rFonts w:ascii="Georgia" w:hAnsi="Georgia"/>
          <w:sz w:val="20"/>
          <w:szCs w:val="20"/>
        </w:rPr>
      </w:pPr>
      <w:r w:rsidRPr="00100EF9">
        <w:rPr>
          <w:rFonts w:ascii="Georgia" w:hAnsi="Georgia"/>
          <w:sz w:val="20"/>
          <w:szCs w:val="20"/>
        </w:rPr>
        <w:t>Ar ESI fondų lėšos bus naudojamos ir kitoms išlaidoms (administravimo, fondo valdymo, palūkanų kompensavimo ir pan.) finansuoti, ar tik nuostolių padengimui;</w:t>
      </w:r>
    </w:p>
    <w:p w14:paraId="4DA38D57" w14:textId="77777777" w:rsidR="000203BA" w:rsidRPr="00100EF9" w:rsidRDefault="000203BA" w:rsidP="002A576D">
      <w:pPr>
        <w:pStyle w:val="prastasis1"/>
        <w:numPr>
          <w:ilvl w:val="0"/>
          <w:numId w:val="98"/>
        </w:numPr>
        <w:spacing w:line="276" w:lineRule="auto"/>
        <w:jc w:val="both"/>
        <w:rPr>
          <w:rFonts w:ascii="Georgia" w:hAnsi="Georgia"/>
          <w:sz w:val="20"/>
          <w:szCs w:val="20"/>
        </w:rPr>
      </w:pPr>
      <w:r w:rsidRPr="00100EF9">
        <w:rPr>
          <w:rFonts w:ascii="Georgia" w:hAnsi="Georgia"/>
          <w:sz w:val="20"/>
          <w:szCs w:val="20"/>
        </w:rPr>
        <w:t>Detalesnė</w:t>
      </w:r>
      <w:r w:rsidR="007B3C20" w:rsidRPr="00100EF9">
        <w:rPr>
          <w:rFonts w:ascii="Georgia" w:hAnsi="Georgia"/>
          <w:sz w:val="20"/>
          <w:szCs w:val="20"/>
        </w:rPr>
        <w:t>s</w:t>
      </w:r>
      <w:r w:rsidRPr="00100EF9">
        <w:rPr>
          <w:rFonts w:ascii="Georgia" w:hAnsi="Georgia"/>
          <w:sz w:val="20"/>
          <w:szCs w:val="20"/>
        </w:rPr>
        <w:t xml:space="preserve"> g</w:t>
      </w:r>
      <w:r w:rsidR="007B3C20" w:rsidRPr="00100EF9">
        <w:rPr>
          <w:rFonts w:ascii="Georgia" w:hAnsi="Georgia"/>
          <w:sz w:val="20"/>
          <w:szCs w:val="20"/>
        </w:rPr>
        <w:t>arantijos schemos ir jos sąlygų.</w:t>
      </w:r>
    </w:p>
    <w:p w14:paraId="16722763" w14:textId="77777777"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Vienas iš bankų nurodė, jog svarstytų galimybę tapti komanditoriumi, kiti bankai verčiau skolintų savo lėšas tokiam fondui. Bankai nurodė tam tikras sąlygas, kurios leistų bankams lengviau priimti tokio finansavimo sprendimą:</w:t>
      </w:r>
    </w:p>
    <w:p w14:paraId="345DC035" w14:textId="77777777" w:rsidR="000203BA" w:rsidRPr="00100EF9" w:rsidRDefault="000203BA" w:rsidP="002A576D">
      <w:pPr>
        <w:pStyle w:val="prastasis1"/>
        <w:numPr>
          <w:ilvl w:val="0"/>
          <w:numId w:val="98"/>
        </w:numPr>
        <w:spacing w:line="276" w:lineRule="auto"/>
        <w:jc w:val="both"/>
        <w:rPr>
          <w:rFonts w:ascii="Georgia" w:hAnsi="Georgia"/>
          <w:sz w:val="20"/>
          <w:szCs w:val="20"/>
        </w:rPr>
      </w:pPr>
      <w:r w:rsidRPr="00100EF9">
        <w:rPr>
          <w:rFonts w:ascii="Georgia" w:hAnsi="Georgia"/>
          <w:sz w:val="20"/>
          <w:szCs w:val="20"/>
        </w:rPr>
        <w:t>bankams būtų suteikta teisė fondui paskolintą lėšų sumą išskolinti galutiniams naudos gavėjams kaip finansinis tarpininkas;</w:t>
      </w:r>
    </w:p>
    <w:p w14:paraId="0BA3706C" w14:textId="77777777" w:rsidR="000203BA" w:rsidRPr="00100EF9" w:rsidRDefault="000203BA" w:rsidP="002A576D">
      <w:pPr>
        <w:pStyle w:val="prastasis1"/>
        <w:numPr>
          <w:ilvl w:val="0"/>
          <w:numId w:val="98"/>
        </w:numPr>
        <w:spacing w:line="276" w:lineRule="auto"/>
        <w:jc w:val="both"/>
        <w:rPr>
          <w:rFonts w:ascii="Georgia" w:hAnsi="Georgia"/>
          <w:sz w:val="20"/>
          <w:szCs w:val="20"/>
        </w:rPr>
      </w:pPr>
      <w:r w:rsidRPr="00100EF9">
        <w:rPr>
          <w:rFonts w:ascii="Georgia" w:hAnsi="Georgia"/>
          <w:sz w:val="20"/>
          <w:szCs w:val="20"/>
        </w:rPr>
        <w:t>pirmieji galutinių naudos gavėjų mokėjimai būtų nukreipiami bankų finansavimu padengti;</w:t>
      </w:r>
    </w:p>
    <w:p w14:paraId="181C976F" w14:textId="77777777" w:rsidR="000203BA" w:rsidRPr="00100EF9" w:rsidRDefault="000203BA" w:rsidP="002A576D">
      <w:pPr>
        <w:pStyle w:val="prastasis1"/>
        <w:numPr>
          <w:ilvl w:val="0"/>
          <w:numId w:val="98"/>
        </w:numPr>
        <w:spacing w:line="276" w:lineRule="auto"/>
        <w:jc w:val="both"/>
        <w:rPr>
          <w:rFonts w:ascii="Georgia" w:hAnsi="Georgia"/>
          <w:sz w:val="20"/>
          <w:szCs w:val="20"/>
        </w:rPr>
      </w:pPr>
      <w:r w:rsidRPr="00100EF9">
        <w:rPr>
          <w:rFonts w:ascii="Georgia" w:hAnsi="Georgia"/>
          <w:sz w:val="20"/>
          <w:szCs w:val="20"/>
        </w:rPr>
        <w:t>numatyti, bankams priimtinus, papildomus kontrolės mechanizmus nuostolių reguliavimui, ir pan.</w:t>
      </w:r>
    </w:p>
    <w:p w14:paraId="1BEA39A5" w14:textId="77777777"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lastRenderedPageBreak/>
        <w:t>Bankai nenurodė konkretaus investicijų / finansavimo grąžos rodiklio (buvo nurodyta, kad finansavimas bus teikiamas komercinėmis sąlygomis), kadangi šie rodikliai priklausys nuo detalesnės informacijos ir su tuo susijusiomis rizikomis, kurią su bankais turėtų suderinti paskirtas fondo valdytojas.</w:t>
      </w:r>
    </w:p>
    <w:p w14:paraId="03B22AE3" w14:textId="77777777"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Komerciniai bankai nurodė, kad tokiam fondui galėtų skolinti periodui iki 20 metų.</w:t>
      </w:r>
    </w:p>
    <w:p w14:paraId="652405ED" w14:textId="77777777" w:rsidR="000203BA" w:rsidRPr="00100EF9" w:rsidRDefault="000203BA" w:rsidP="000203BA">
      <w:pPr>
        <w:keepNext/>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Bankai taip pat negalėjo nurodyti kokį kiekį lėšų jie galėtų investuoti, nes tai priklausytų nuo įvairių sąlygų, pvz</w:t>
      </w:r>
      <w:r w:rsidR="00100EF9">
        <w:rPr>
          <w:rFonts w:ascii="Georgia" w:eastAsia="Times New Roman" w:hAnsi="Georgia" w:cs="Times New Roman"/>
          <w:sz w:val="20"/>
          <w:szCs w:val="20"/>
          <w:lang w:val="lt-LT" w:eastAsia="lt-LT"/>
        </w:rPr>
        <w:t>.</w:t>
      </w:r>
      <w:r w:rsidRPr="00100EF9">
        <w:rPr>
          <w:rFonts w:ascii="Georgia" w:eastAsia="Times New Roman" w:hAnsi="Georgia" w:cs="Times New Roman"/>
          <w:sz w:val="20"/>
          <w:szCs w:val="20"/>
          <w:lang w:val="lt-LT" w:eastAsia="lt-LT"/>
        </w:rPr>
        <w:t>:</w:t>
      </w:r>
    </w:p>
    <w:p w14:paraId="32044F88" w14:textId="77777777" w:rsidR="000203BA" w:rsidRPr="00100EF9" w:rsidRDefault="000203BA" w:rsidP="002A576D">
      <w:pPr>
        <w:pStyle w:val="prastasis1"/>
        <w:keepNext/>
        <w:numPr>
          <w:ilvl w:val="0"/>
          <w:numId w:val="98"/>
        </w:numPr>
        <w:spacing w:line="276" w:lineRule="auto"/>
        <w:jc w:val="both"/>
        <w:rPr>
          <w:rFonts w:ascii="Georgia" w:hAnsi="Georgia"/>
          <w:sz w:val="20"/>
          <w:szCs w:val="20"/>
        </w:rPr>
      </w:pPr>
      <w:r w:rsidRPr="00100EF9">
        <w:rPr>
          <w:rFonts w:ascii="Georgia" w:hAnsi="Georgia"/>
          <w:sz w:val="20"/>
          <w:szCs w:val="20"/>
        </w:rPr>
        <w:t>fondo investicijų kokybės;</w:t>
      </w:r>
    </w:p>
    <w:p w14:paraId="6A6BE69A" w14:textId="77777777" w:rsidR="000203BA" w:rsidRPr="00100EF9" w:rsidRDefault="000203BA" w:rsidP="002A576D">
      <w:pPr>
        <w:pStyle w:val="prastasis1"/>
        <w:numPr>
          <w:ilvl w:val="0"/>
          <w:numId w:val="98"/>
        </w:numPr>
        <w:spacing w:line="276" w:lineRule="auto"/>
        <w:jc w:val="both"/>
        <w:rPr>
          <w:rFonts w:ascii="Georgia" w:hAnsi="Georgia"/>
          <w:sz w:val="20"/>
          <w:szCs w:val="20"/>
        </w:rPr>
      </w:pPr>
      <w:r w:rsidRPr="00100EF9">
        <w:rPr>
          <w:rFonts w:ascii="Georgia" w:hAnsi="Georgia"/>
          <w:sz w:val="20"/>
          <w:szCs w:val="20"/>
        </w:rPr>
        <w:t>rinkos poreikių;</w:t>
      </w:r>
    </w:p>
    <w:p w14:paraId="487A85C0" w14:textId="77777777" w:rsidR="000203BA" w:rsidRPr="00100EF9" w:rsidRDefault="00100EF9" w:rsidP="002A576D">
      <w:pPr>
        <w:pStyle w:val="prastasis1"/>
        <w:numPr>
          <w:ilvl w:val="0"/>
          <w:numId w:val="98"/>
        </w:numPr>
        <w:spacing w:line="276" w:lineRule="auto"/>
        <w:jc w:val="both"/>
        <w:rPr>
          <w:rFonts w:ascii="Georgia" w:hAnsi="Georgia"/>
          <w:sz w:val="20"/>
          <w:szCs w:val="20"/>
        </w:rPr>
      </w:pPr>
      <w:r w:rsidRPr="00100EF9">
        <w:rPr>
          <w:rFonts w:ascii="Georgia" w:hAnsi="Georgia"/>
          <w:sz w:val="20"/>
          <w:szCs w:val="20"/>
        </w:rPr>
        <w:t>Lietuvos</w:t>
      </w:r>
      <w:r w:rsidR="000203BA" w:rsidRPr="00100EF9">
        <w:rPr>
          <w:rFonts w:ascii="Georgia" w:hAnsi="Georgia"/>
          <w:sz w:val="20"/>
          <w:szCs w:val="20"/>
        </w:rPr>
        <w:t xml:space="preserve"> banko reikalavimų (pvz. maksimalios paskolos sumos vienam skolininkui);</w:t>
      </w:r>
    </w:p>
    <w:p w14:paraId="1F69EE7E" w14:textId="77777777" w:rsidR="000203BA" w:rsidRPr="00100EF9" w:rsidRDefault="000203BA" w:rsidP="002A576D">
      <w:pPr>
        <w:pStyle w:val="prastasis1"/>
        <w:numPr>
          <w:ilvl w:val="0"/>
          <w:numId w:val="98"/>
        </w:numPr>
        <w:spacing w:line="276" w:lineRule="auto"/>
        <w:jc w:val="both"/>
        <w:rPr>
          <w:rFonts w:ascii="Georgia" w:hAnsi="Georgia"/>
          <w:sz w:val="20"/>
          <w:szCs w:val="20"/>
        </w:rPr>
      </w:pPr>
      <w:r w:rsidRPr="00100EF9">
        <w:rPr>
          <w:rFonts w:ascii="Georgia" w:hAnsi="Georgia"/>
          <w:sz w:val="20"/>
          <w:szCs w:val="20"/>
        </w:rPr>
        <w:t>poveikio kapitalo pakankamumo rodikliams ir pan.</w:t>
      </w:r>
    </w:p>
    <w:p w14:paraId="3DEF2626" w14:textId="77777777"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Bankai taip pat nurodė, kitus kriterijus, k</w:t>
      </w:r>
      <w:r w:rsidR="007B3C20" w:rsidRPr="00100EF9">
        <w:rPr>
          <w:rFonts w:ascii="Georgia" w:eastAsia="Times New Roman" w:hAnsi="Georgia" w:cs="Times New Roman"/>
          <w:sz w:val="20"/>
          <w:szCs w:val="20"/>
          <w:lang w:val="lt-LT" w:eastAsia="lt-LT"/>
        </w:rPr>
        <w:t>urie būtų svarbūs investuojant į</w:t>
      </w:r>
      <w:r w:rsidRPr="00100EF9">
        <w:rPr>
          <w:rFonts w:ascii="Georgia" w:eastAsia="Times New Roman" w:hAnsi="Georgia" w:cs="Times New Roman"/>
          <w:sz w:val="20"/>
          <w:szCs w:val="20"/>
          <w:lang w:val="lt-LT" w:eastAsia="lt-LT"/>
        </w:rPr>
        <w:t xml:space="preserve"> tokį fondą:</w:t>
      </w:r>
    </w:p>
    <w:p w14:paraId="1A97597F" w14:textId="77777777" w:rsidR="000203BA" w:rsidRPr="00100EF9" w:rsidRDefault="000203BA" w:rsidP="002A576D">
      <w:pPr>
        <w:pStyle w:val="prastasis1"/>
        <w:numPr>
          <w:ilvl w:val="0"/>
          <w:numId w:val="98"/>
        </w:numPr>
        <w:spacing w:line="276" w:lineRule="auto"/>
        <w:jc w:val="both"/>
        <w:rPr>
          <w:rFonts w:ascii="Georgia" w:hAnsi="Georgia"/>
          <w:sz w:val="20"/>
          <w:szCs w:val="20"/>
        </w:rPr>
      </w:pPr>
      <w:r w:rsidRPr="00100EF9">
        <w:rPr>
          <w:rFonts w:ascii="Georgia" w:hAnsi="Georgia"/>
          <w:sz w:val="20"/>
          <w:szCs w:val="20"/>
        </w:rPr>
        <w:t>finansavimo schema turėtų atitikti bankų reikalavimus, kad bankams nereikėtų vertinti kiekvieno galutinio naudos gavėjo rizikos;</w:t>
      </w:r>
    </w:p>
    <w:p w14:paraId="3B5120DF" w14:textId="77777777" w:rsidR="000203BA" w:rsidRPr="00100EF9" w:rsidRDefault="000203BA" w:rsidP="002A576D">
      <w:pPr>
        <w:pStyle w:val="prastasis1"/>
        <w:numPr>
          <w:ilvl w:val="0"/>
          <w:numId w:val="98"/>
        </w:numPr>
        <w:spacing w:line="276" w:lineRule="auto"/>
        <w:jc w:val="both"/>
        <w:rPr>
          <w:rFonts w:ascii="Georgia" w:hAnsi="Georgia"/>
          <w:sz w:val="20"/>
          <w:szCs w:val="20"/>
        </w:rPr>
      </w:pPr>
      <w:r w:rsidRPr="00100EF9">
        <w:rPr>
          <w:rFonts w:ascii="Georgia" w:hAnsi="Georgia"/>
          <w:sz w:val="20"/>
          <w:szCs w:val="20"/>
        </w:rPr>
        <w:t>fondo valdytojas turėtų turėti  tinkamas kompetencijas, arba valdymo struktūra leistų neabejoti tinkamu lėšų panaudojimu bei efektyviu lėšų valdymu;</w:t>
      </w:r>
    </w:p>
    <w:p w14:paraId="3266ECA5" w14:textId="77777777" w:rsidR="000203BA" w:rsidRPr="00100EF9" w:rsidRDefault="000203BA" w:rsidP="002A576D">
      <w:pPr>
        <w:pStyle w:val="prastasis1"/>
        <w:numPr>
          <w:ilvl w:val="0"/>
          <w:numId w:val="98"/>
        </w:numPr>
        <w:spacing w:line="276" w:lineRule="auto"/>
        <w:jc w:val="both"/>
        <w:rPr>
          <w:rFonts w:ascii="Georgia" w:hAnsi="Georgia"/>
          <w:sz w:val="20"/>
          <w:szCs w:val="20"/>
        </w:rPr>
      </w:pPr>
      <w:r w:rsidRPr="00100EF9">
        <w:rPr>
          <w:rFonts w:ascii="Georgia" w:hAnsi="Georgia"/>
          <w:sz w:val="20"/>
          <w:szCs w:val="20"/>
        </w:rPr>
        <w:t>investavimo sąlygos aiškios ir atitinkančios tarptautinius standartus;</w:t>
      </w:r>
    </w:p>
    <w:p w14:paraId="3191436B" w14:textId="77777777" w:rsidR="000203BA" w:rsidRPr="00100EF9" w:rsidRDefault="000203BA" w:rsidP="002A576D">
      <w:pPr>
        <w:pStyle w:val="prastasis1"/>
        <w:numPr>
          <w:ilvl w:val="0"/>
          <w:numId w:val="98"/>
        </w:numPr>
        <w:spacing w:line="276" w:lineRule="auto"/>
        <w:jc w:val="both"/>
        <w:rPr>
          <w:rFonts w:ascii="Georgia" w:hAnsi="Georgia"/>
          <w:sz w:val="20"/>
          <w:szCs w:val="20"/>
        </w:rPr>
      </w:pPr>
      <w:r w:rsidRPr="00100EF9">
        <w:rPr>
          <w:rFonts w:ascii="Georgia" w:hAnsi="Georgia"/>
          <w:sz w:val="20"/>
          <w:szCs w:val="20"/>
        </w:rPr>
        <w:t xml:space="preserve">turi būti užtikrintas tolimesnis politinis palaikymas, bei </w:t>
      </w:r>
      <w:r w:rsidR="007B3C20" w:rsidRPr="00100EF9">
        <w:rPr>
          <w:rFonts w:ascii="Georgia" w:hAnsi="Georgia"/>
          <w:sz w:val="20"/>
          <w:szCs w:val="20"/>
        </w:rPr>
        <w:t>aiškus</w:t>
      </w:r>
      <w:r w:rsidRPr="00100EF9">
        <w:rPr>
          <w:rFonts w:ascii="Georgia" w:hAnsi="Georgia"/>
          <w:sz w:val="20"/>
          <w:szCs w:val="20"/>
        </w:rPr>
        <w:t xml:space="preserve"> teisinis reguliavimas.</w:t>
      </w:r>
    </w:p>
    <w:p w14:paraId="2CD432AB" w14:textId="77777777" w:rsidR="000203BA" w:rsidRPr="00100EF9" w:rsidRDefault="000203BA" w:rsidP="000203BA">
      <w:pPr>
        <w:jc w:val="both"/>
        <w:rPr>
          <w:rFonts w:ascii="Georgia" w:hAnsi="Georgia"/>
          <w:b/>
          <w:sz w:val="20"/>
          <w:szCs w:val="20"/>
          <w:lang w:val="lt-LT"/>
        </w:rPr>
      </w:pPr>
    </w:p>
    <w:p w14:paraId="63A898F2" w14:textId="77777777" w:rsidR="000203BA" w:rsidRPr="00100EF9" w:rsidRDefault="000203BA" w:rsidP="000203BA">
      <w:pPr>
        <w:spacing w:after="0" w:line="240" w:lineRule="auto"/>
        <w:jc w:val="both"/>
        <w:rPr>
          <w:rFonts w:ascii="Georgia" w:hAnsi="Georgia"/>
          <w:b/>
          <w:sz w:val="20"/>
          <w:szCs w:val="20"/>
          <w:lang w:val="lt-LT"/>
        </w:rPr>
      </w:pPr>
      <w:r w:rsidRPr="00100EF9">
        <w:rPr>
          <w:rFonts w:ascii="Georgia" w:hAnsi="Georgia"/>
          <w:b/>
          <w:sz w:val="20"/>
          <w:szCs w:val="20"/>
          <w:lang w:val="lt-LT"/>
        </w:rPr>
        <w:t>Rekomenduojamas centrinės valdžios pastatų finansavimo modelis – kai fondų fondas kuriamas kaip sąskaitų rinkinys finansinėje institucijoje, o šalia kuriamas investicinis fondas, kuris nuperka ateities pinigų srautus / paskolas</w:t>
      </w:r>
    </w:p>
    <w:p w14:paraId="5600590D" w14:textId="77777777" w:rsidR="000203BA" w:rsidRPr="00100EF9" w:rsidRDefault="000203BA" w:rsidP="000203BA">
      <w:pPr>
        <w:jc w:val="both"/>
        <w:rPr>
          <w:rFonts w:ascii="Georgia" w:eastAsia="Times New Roman" w:hAnsi="Georgia" w:cs="Times New Roman"/>
          <w:sz w:val="20"/>
          <w:szCs w:val="20"/>
          <w:lang w:val="lt-LT" w:eastAsia="lt-LT"/>
        </w:rPr>
      </w:pPr>
    </w:p>
    <w:p w14:paraId="66651918" w14:textId="77777777"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Visi bankai pareiškė, jog norėtų investuot</w:t>
      </w:r>
      <w:r w:rsidR="007B3C20" w:rsidRPr="00100EF9">
        <w:rPr>
          <w:rFonts w:ascii="Georgia" w:eastAsia="Times New Roman" w:hAnsi="Georgia" w:cs="Times New Roman"/>
          <w:sz w:val="20"/>
          <w:szCs w:val="20"/>
          <w:lang w:val="lt-LT" w:eastAsia="lt-LT"/>
        </w:rPr>
        <w:t>i</w:t>
      </w:r>
      <w:r w:rsidRPr="00100EF9">
        <w:rPr>
          <w:rFonts w:ascii="Georgia" w:eastAsia="Times New Roman" w:hAnsi="Georgia" w:cs="Times New Roman"/>
          <w:sz w:val="20"/>
          <w:szCs w:val="20"/>
          <w:lang w:val="lt-LT" w:eastAsia="lt-LT"/>
        </w:rPr>
        <w:t xml:space="preserve"> </w:t>
      </w:r>
      <w:r w:rsidR="007B3C20" w:rsidRPr="00100EF9">
        <w:rPr>
          <w:rFonts w:ascii="Georgia" w:eastAsia="Times New Roman" w:hAnsi="Georgia" w:cs="Times New Roman"/>
          <w:sz w:val="20"/>
          <w:szCs w:val="20"/>
          <w:lang w:val="lt-LT" w:eastAsia="lt-LT"/>
        </w:rPr>
        <w:t>tokiame</w:t>
      </w:r>
      <w:r w:rsidRPr="00100EF9">
        <w:rPr>
          <w:rFonts w:ascii="Georgia" w:eastAsia="Times New Roman" w:hAnsi="Georgia" w:cs="Times New Roman"/>
          <w:sz w:val="20"/>
          <w:szCs w:val="20"/>
          <w:lang w:val="lt-LT" w:eastAsia="lt-LT"/>
        </w:rPr>
        <w:t xml:space="preserve"> finansavimo </w:t>
      </w:r>
      <w:r w:rsidR="007B3C20" w:rsidRPr="00100EF9">
        <w:rPr>
          <w:rFonts w:ascii="Georgia" w:eastAsia="Times New Roman" w:hAnsi="Georgia" w:cs="Times New Roman"/>
          <w:sz w:val="20"/>
          <w:szCs w:val="20"/>
          <w:lang w:val="lt-LT" w:eastAsia="lt-LT"/>
        </w:rPr>
        <w:t>modelyje</w:t>
      </w:r>
      <w:r w:rsidRPr="00100EF9">
        <w:rPr>
          <w:rFonts w:ascii="Georgia" w:eastAsia="Times New Roman" w:hAnsi="Georgia" w:cs="Times New Roman"/>
          <w:sz w:val="20"/>
          <w:szCs w:val="20"/>
          <w:lang w:val="lt-LT" w:eastAsia="lt-LT"/>
        </w:rPr>
        <w:t>. Komerciniai bankai taip pat nurodė, jog norėtų, jog būtų sudarytos sąlygos bei svarstytų tiesiogiai iš fondų fondo pirkti paskolas ar ateities pinigų srautus. Papildomai komerciniai bankai nurodė, jog galutiniam sprendimui priimti bankams būtų reikalinga gilesnė ir detalesnė informacija, apie:</w:t>
      </w:r>
    </w:p>
    <w:p w14:paraId="4F809199" w14:textId="77777777" w:rsidR="000203BA" w:rsidRPr="00100EF9" w:rsidRDefault="000203BA" w:rsidP="002A576D">
      <w:pPr>
        <w:pStyle w:val="prastasis1"/>
        <w:numPr>
          <w:ilvl w:val="0"/>
          <w:numId w:val="98"/>
        </w:numPr>
        <w:spacing w:line="276" w:lineRule="auto"/>
        <w:jc w:val="both"/>
        <w:rPr>
          <w:rFonts w:ascii="Georgia" w:hAnsi="Georgia"/>
          <w:sz w:val="20"/>
          <w:szCs w:val="20"/>
        </w:rPr>
      </w:pPr>
      <w:r w:rsidRPr="00100EF9">
        <w:rPr>
          <w:rFonts w:ascii="Georgia" w:hAnsi="Georgia"/>
          <w:sz w:val="20"/>
          <w:szCs w:val="20"/>
        </w:rPr>
        <w:t>galimybę įgyti teises į fondo perkamus pinigų srautus;</w:t>
      </w:r>
    </w:p>
    <w:p w14:paraId="125E794B" w14:textId="77777777" w:rsidR="000203BA" w:rsidRPr="00100EF9" w:rsidRDefault="000203BA" w:rsidP="002A576D">
      <w:pPr>
        <w:pStyle w:val="prastasis1"/>
        <w:numPr>
          <w:ilvl w:val="0"/>
          <w:numId w:val="98"/>
        </w:numPr>
        <w:spacing w:line="276" w:lineRule="auto"/>
        <w:jc w:val="both"/>
        <w:rPr>
          <w:rFonts w:ascii="Georgia" w:hAnsi="Georgia"/>
          <w:sz w:val="20"/>
          <w:szCs w:val="20"/>
        </w:rPr>
      </w:pPr>
      <w:r w:rsidRPr="00100EF9">
        <w:rPr>
          <w:rFonts w:ascii="Georgia" w:hAnsi="Georgia"/>
          <w:sz w:val="20"/>
          <w:szCs w:val="20"/>
        </w:rPr>
        <w:t>sąlyga, kad fondas ateities gautinus piniginius srautus pirktų, tik po to kai būtų įgyvendintas projektas ir pademonstruoti energijos sutaupymai;</w:t>
      </w:r>
    </w:p>
    <w:p w14:paraId="4D5FFC80" w14:textId="77777777" w:rsidR="000203BA" w:rsidRPr="00100EF9" w:rsidRDefault="000203BA" w:rsidP="002A576D">
      <w:pPr>
        <w:pStyle w:val="prastasis1"/>
        <w:numPr>
          <w:ilvl w:val="0"/>
          <w:numId w:val="98"/>
        </w:numPr>
        <w:spacing w:line="276" w:lineRule="auto"/>
        <w:jc w:val="both"/>
        <w:rPr>
          <w:rFonts w:ascii="Georgia" w:hAnsi="Georgia"/>
          <w:sz w:val="20"/>
          <w:szCs w:val="20"/>
        </w:rPr>
      </w:pPr>
      <w:r w:rsidRPr="00100EF9">
        <w:rPr>
          <w:rFonts w:ascii="Georgia" w:hAnsi="Georgia"/>
          <w:sz w:val="20"/>
          <w:szCs w:val="20"/>
        </w:rPr>
        <w:t xml:space="preserve">kaip bus užtikrintas asignavimų energijos išlaidoms pastovumas ir jų pervedimas finansuotojui; </w:t>
      </w:r>
    </w:p>
    <w:p w14:paraId="76669490" w14:textId="77777777" w:rsidR="000203BA" w:rsidRPr="00100EF9" w:rsidRDefault="000203BA" w:rsidP="002A576D">
      <w:pPr>
        <w:pStyle w:val="prastasis1"/>
        <w:numPr>
          <w:ilvl w:val="0"/>
          <w:numId w:val="98"/>
        </w:numPr>
        <w:spacing w:line="276" w:lineRule="auto"/>
        <w:jc w:val="both"/>
        <w:rPr>
          <w:rFonts w:ascii="Georgia" w:hAnsi="Georgia"/>
          <w:sz w:val="20"/>
          <w:szCs w:val="20"/>
        </w:rPr>
      </w:pPr>
      <w:r w:rsidRPr="00100EF9">
        <w:rPr>
          <w:rFonts w:ascii="Georgia" w:hAnsi="Georgia"/>
          <w:sz w:val="20"/>
          <w:szCs w:val="20"/>
        </w:rPr>
        <w:t>kaip bus užtikrinti mokėjimai fondui ESCO kompanijoms susidūrus su finansiniais sunkumais;</w:t>
      </w:r>
    </w:p>
    <w:p w14:paraId="585E3EE3" w14:textId="77777777" w:rsidR="000203BA" w:rsidRPr="00100EF9" w:rsidRDefault="000203BA" w:rsidP="002A576D">
      <w:pPr>
        <w:pStyle w:val="prastasis1"/>
        <w:numPr>
          <w:ilvl w:val="0"/>
          <w:numId w:val="98"/>
        </w:numPr>
        <w:spacing w:line="276" w:lineRule="auto"/>
        <w:jc w:val="both"/>
        <w:rPr>
          <w:rFonts w:ascii="Georgia" w:hAnsi="Georgia"/>
          <w:sz w:val="20"/>
          <w:szCs w:val="20"/>
        </w:rPr>
      </w:pPr>
      <w:r w:rsidRPr="00100EF9">
        <w:rPr>
          <w:rFonts w:ascii="Georgia" w:hAnsi="Georgia"/>
          <w:sz w:val="20"/>
          <w:szCs w:val="20"/>
        </w:rPr>
        <w:t>gatvių apšvietimo atveju, fondo gautini pinigų srautai galėtų būti perkami tik iš finansiškai stiprių savivaldybių (jei projektą įgyvendintų savivaldybės ar jų įmonės), ypač tuo atveju jei projektas</w:t>
      </w:r>
      <w:r w:rsidR="007B3C20" w:rsidRPr="00100EF9">
        <w:rPr>
          <w:rFonts w:ascii="Georgia" w:hAnsi="Georgia"/>
          <w:sz w:val="20"/>
          <w:szCs w:val="20"/>
        </w:rPr>
        <w:t xml:space="preserve"> įtakoja jų skolinimosi limitus.</w:t>
      </w:r>
    </w:p>
    <w:p w14:paraId="329F7DEE" w14:textId="77777777"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Visi komerciniai bankai n</w:t>
      </w:r>
      <w:r w:rsidR="007B3C20" w:rsidRPr="00100EF9">
        <w:rPr>
          <w:rFonts w:ascii="Georgia" w:eastAsia="Times New Roman" w:hAnsi="Georgia" w:cs="Times New Roman"/>
          <w:sz w:val="20"/>
          <w:szCs w:val="20"/>
          <w:lang w:val="lt-LT" w:eastAsia="lt-LT"/>
        </w:rPr>
        <w:t>urodė, jog tarptautinių finans</w:t>
      </w:r>
      <w:r w:rsidRPr="00100EF9">
        <w:rPr>
          <w:rFonts w:ascii="Georgia" w:eastAsia="Times New Roman" w:hAnsi="Georgia" w:cs="Times New Roman"/>
          <w:sz w:val="20"/>
          <w:szCs w:val="20"/>
          <w:lang w:val="lt-LT" w:eastAsia="lt-LT"/>
        </w:rPr>
        <w:t>ų institucijų dalyvavimas tokiame fonde būtų įvertintas teigiamai, nes:</w:t>
      </w:r>
    </w:p>
    <w:p w14:paraId="2BAEE9C8" w14:textId="77777777" w:rsidR="000203BA" w:rsidRPr="00100EF9" w:rsidRDefault="000203BA" w:rsidP="002A576D">
      <w:pPr>
        <w:pStyle w:val="prastasis1"/>
        <w:numPr>
          <w:ilvl w:val="0"/>
          <w:numId w:val="98"/>
        </w:numPr>
        <w:spacing w:line="276" w:lineRule="auto"/>
        <w:jc w:val="both"/>
        <w:rPr>
          <w:rFonts w:ascii="Georgia" w:hAnsi="Georgia"/>
          <w:sz w:val="20"/>
          <w:szCs w:val="20"/>
        </w:rPr>
      </w:pPr>
      <w:r w:rsidRPr="00100EF9">
        <w:rPr>
          <w:rFonts w:ascii="Georgia" w:hAnsi="Georgia"/>
          <w:sz w:val="20"/>
          <w:szCs w:val="20"/>
        </w:rPr>
        <w:t>Sumažintų politinę riziką;</w:t>
      </w:r>
    </w:p>
    <w:p w14:paraId="704B5AB8" w14:textId="77777777" w:rsidR="000203BA" w:rsidRPr="00100EF9" w:rsidRDefault="000203BA" w:rsidP="002A576D">
      <w:pPr>
        <w:pStyle w:val="prastasis1"/>
        <w:numPr>
          <w:ilvl w:val="0"/>
          <w:numId w:val="98"/>
        </w:numPr>
        <w:spacing w:line="276" w:lineRule="auto"/>
        <w:jc w:val="both"/>
        <w:rPr>
          <w:rFonts w:ascii="Georgia" w:hAnsi="Georgia"/>
          <w:sz w:val="20"/>
          <w:szCs w:val="20"/>
        </w:rPr>
      </w:pPr>
      <w:r w:rsidRPr="00100EF9">
        <w:rPr>
          <w:rFonts w:ascii="Georgia" w:hAnsi="Georgia"/>
          <w:sz w:val="20"/>
          <w:szCs w:val="20"/>
        </w:rPr>
        <w:t>Sudarytų galimybes fondą valdyti pagal tarptautiniu</w:t>
      </w:r>
      <w:r w:rsidR="007B3C20" w:rsidRPr="00100EF9">
        <w:rPr>
          <w:rFonts w:ascii="Georgia" w:hAnsi="Georgia"/>
          <w:sz w:val="20"/>
          <w:szCs w:val="20"/>
        </w:rPr>
        <w:t>s standartus ir gerąją praktiką.</w:t>
      </w:r>
    </w:p>
    <w:p w14:paraId="15E44679" w14:textId="77777777"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lastRenderedPageBreak/>
        <w:t>Komerciniai bankai nurodė, jog tokiam fondui galėtų skolinti iki 20 metų laikotarpiui (iki 10 metų laikotarpiui laisviau, o ilgesnio laikotarpio investicija būtų svarstoma giliau ir detaliau išanalizavus visas sąlygas).</w:t>
      </w:r>
    </w:p>
    <w:p w14:paraId="71704CB9" w14:textId="77777777"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Bankai nenurodė konkretaus investicijų / finansavimo grąžos rodiklio (buvo nurodyta, kad finansavimas bus teikiamas komercinėmis sąlygomis), kadangi šie rodikliai priklausys nuo detalesnės informacijos ir su tuo susijusiomis rizikomis, kurią su bankais turėtų suderinti paskirtas fondo valdytojas.</w:t>
      </w:r>
    </w:p>
    <w:p w14:paraId="7C3C3AF5" w14:textId="77777777"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Atsakydami į klausimą dėl optimalios vienos fondo išperkamos emisijos apimties bankai nurodė, jog nėra taip svarbu, kokio dydžio apimtis, svarbiau išperkamos emisijos finansinių srautų kokybė.</w:t>
      </w:r>
    </w:p>
    <w:p w14:paraId="2DAEBC9F" w14:textId="77777777" w:rsidR="000203BA" w:rsidRPr="00100EF9" w:rsidRDefault="000203BA" w:rsidP="000203BA">
      <w:pPr>
        <w:keepNext/>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Išperkami pinigų srautai turėtų pasižymėti šiomis savybėmis:</w:t>
      </w:r>
    </w:p>
    <w:p w14:paraId="2386DDBB" w14:textId="77777777" w:rsidR="000203BA" w:rsidRPr="00100EF9" w:rsidRDefault="000203BA" w:rsidP="002A576D">
      <w:pPr>
        <w:pStyle w:val="Sraopastraipa"/>
        <w:keepNext/>
        <w:numPr>
          <w:ilvl w:val="0"/>
          <w:numId w:val="98"/>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kuo labiau sumažintas gaunamų srautų svyravimas priklausantis nuo išorinių veiksnių (pvz. energijos kainų);</w:t>
      </w:r>
    </w:p>
    <w:p w14:paraId="07F50ABB" w14:textId="77777777" w:rsidR="000203BA" w:rsidRPr="00100EF9" w:rsidRDefault="000203BA" w:rsidP="002A576D">
      <w:pPr>
        <w:pStyle w:val="Sraopastraipa"/>
        <w:numPr>
          <w:ilvl w:val="0"/>
          <w:numId w:val="98"/>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priimtina įmokų vėlavimų istorija;</w:t>
      </w:r>
    </w:p>
    <w:p w14:paraId="5EA95976" w14:textId="77777777" w:rsidR="000203BA" w:rsidRPr="00100EF9" w:rsidRDefault="000203BA" w:rsidP="002A576D">
      <w:pPr>
        <w:pStyle w:val="Sraopastraipa"/>
        <w:numPr>
          <w:ilvl w:val="0"/>
          <w:numId w:val="98"/>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eliminuota rizika, dėl pastato poreikio ilguoju periodu;</w:t>
      </w:r>
    </w:p>
    <w:p w14:paraId="21D9E02E" w14:textId="77777777" w:rsidR="000203BA" w:rsidRPr="00100EF9" w:rsidRDefault="000203BA" w:rsidP="002A576D">
      <w:pPr>
        <w:pStyle w:val="Sraopastraipa"/>
        <w:numPr>
          <w:ilvl w:val="0"/>
          <w:numId w:val="98"/>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centrinės valdžios pastatų renovavimo atveju, turėtų būti apsvarstyta galimybė prilyginti gautinus piniginius srautus valstybės rizikai aptarnauti prisiimtus finansinius įsipareigojimus;</w:t>
      </w:r>
    </w:p>
    <w:p w14:paraId="3E7A1629" w14:textId="77777777" w:rsidR="000203BA" w:rsidRPr="00100EF9" w:rsidRDefault="000203BA" w:rsidP="002A576D">
      <w:pPr>
        <w:pStyle w:val="Sraopastraipa"/>
        <w:numPr>
          <w:ilvl w:val="0"/>
          <w:numId w:val="98"/>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kitos pinigų srautų negavimo rizikas minimizuojančios savybės.</w:t>
      </w:r>
    </w:p>
    <w:p w14:paraId="6CB0E760" w14:textId="77777777"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Komerciniai bankai negalėjo pateikti informacijos kokią dalį visų paskolų galėtų išpirkti toks fondas, kadangi nėra sukurta ESCO kompanijų veiklos istorija.</w:t>
      </w:r>
    </w:p>
    <w:p w14:paraId="59A94ED3" w14:textId="77777777" w:rsidR="000203BA" w:rsidRPr="00100EF9" w:rsidRDefault="000203BA" w:rsidP="000203BA">
      <w:pPr>
        <w:jc w:val="both"/>
        <w:rPr>
          <w:rFonts w:ascii="Georgia" w:eastAsia="Times New Roman" w:hAnsi="Georgia" w:cs="Times New Roman"/>
          <w:b/>
          <w:sz w:val="20"/>
          <w:szCs w:val="20"/>
          <w:lang w:val="lt-LT" w:eastAsia="lt-LT"/>
        </w:rPr>
      </w:pPr>
    </w:p>
    <w:p w14:paraId="4F41E5B8" w14:textId="77777777" w:rsidR="000203BA" w:rsidRPr="00100EF9" w:rsidRDefault="000203BA" w:rsidP="000203BA">
      <w:pPr>
        <w:jc w:val="both"/>
        <w:rPr>
          <w:rFonts w:ascii="Georgia" w:eastAsia="Times New Roman" w:hAnsi="Georgia" w:cs="Times New Roman"/>
          <w:b/>
          <w:sz w:val="20"/>
          <w:szCs w:val="20"/>
          <w:lang w:val="lt-LT" w:eastAsia="lt-LT"/>
        </w:rPr>
      </w:pPr>
      <w:r w:rsidRPr="00100EF9">
        <w:rPr>
          <w:rFonts w:ascii="Georgia" w:eastAsia="Times New Roman" w:hAnsi="Georgia" w:cs="Times New Roman"/>
          <w:b/>
          <w:sz w:val="20"/>
          <w:szCs w:val="20"/>
          <w:lang w:val="lt-LT" w:eastAsia="lt-LT"/>
        </w:rPr>
        <w:t>LĖŠŲ PRITRAUKIMAS FINANSINIŲ TARPININKŲ LYGMENYJE</w:t>
      </w:r>
    </w:p>
    <w:p w14:paraId="2E16A15B" w14:textId="77777777" w:rsidR="000203BA" w:rsidRPr="00100EF9" w:rsidRDefault="000203BA" w:rsidP="000203BA">
      <w:pPr>
        <w:jc w:val="both"/>
        <w:rPr>
          <w:rFonts w:ascii="Georgia" w:eastAsia="Times New Roman" w:hAnsi="Georgia" w:cs="Times New Roman"/>
          <w:b/>
          <w:sz w:val="20"/>
          <w:szCs w:val="20"/>
          <w:lang w:val="lt-LT" w:eastAsia="lt-LT"/>
        </w:rPr>
      </w:pPr>
      <w:r w:rsidRPr="00100EF9">
        <w:rPr>
          <w:rFonts w:ascii="Georgia" w:eastAsia="Times New Roman" w:hAnsi="Georgia" w:cs="Times New Roman"/>
          <w:b/>
          <w:sz w:val="20"/>
          <w:szCs w:val="20"/>
          <w:lang w:val="lt-LT" w:eastAsia="lt-LT"/>
        </w:rPr>
        <w:t>Garantijų finansinės priemonės įgyvendinimo galimybės daugiabučių renovacijos metu</w:t>
      </w:r>
    </w:p>
    <w:p w14:paraId="3538EDE9" w14:textId="77777777"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Bankai nurodė, kad jie svarstytų daugiabučių renovacijos garantijos finansinę priemonę ateityje, tačiau ši priemonė būtų labai sudėtinga įgyvendinti. Šiuo metu, pagal JESSICA priemonę, bankas yra tarpininkas, o ne kredito davėjas, o renovuoto būsto savininkas nėra kredito gavėjas. Teikiant kreditą iš banko lėšų, bankas privalėtų informuoti bankų priežiūros institucijas apie suteiktas paskolas, būsto savininkai taptų  kredito gavėjais, ir  reiktų laikytis bankų priežiūros institucijų reikalavimo, kad ne daugiau kaip 40 proc. pajamų gali būti skirta finansinių įsipareigojimų aptarnavimui. Bankai, teikdami paskolas nuosavomis lėšomis, privalėtų įvertinti kiekvieno kredito gavėjo mokumą, o mokumo vertinimui yra būtinas kiekvieno buto/patalpos savininko sutikimas dėl asmens duomenų patikros. Dėl minėtų reikalavimų toks finansavimas taptų ypač sudėtingas, o tam tikrais atvejais ir neįmanomas.</w:t>
      </w:r>
    </w:p>
    <w:p w14:paraId="640BD2EB" w14:textId="77777777"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 xml:space="preserve">Bankai taip pat nurodė teisinio reglamentavimo pakeitimus bei kitas sąlygas, kurie galėtų sumažinti banko rizikas (kas leistų ateityje svartyti garantijų priemonės įgyvendinimą): </w:t>
      </w:r>
    </w:p>
    <w:p w14:paraId="34A761F4" w14:textId="77777777" w:rsidR="000203BA" w:rsidRPr="00100EF9" w:rsidRDefault="000203BA" w:rsidP="002A576D">
      <w:pPr>
        <w:pStyle w:val="Sraopastraipa"/>
        <w:numPr>
          <w:ilvl w:val="0"/>
          <w:numId w:val="98"/>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įteisinti privalomą daugiabučio namo rezervo fondo (12 mėn. įmokų dydžio) sukaupimą iki projekto įgyvendinimo pradžios;</w:t>
      </w:r>
    </w:p>
    <w:p w14:paraId="1465ACA7" w14:textId="77777777" w:rsidR="000203BA" w:rsidRPr="00100EF9" w:rsidRDefault="000203BA" w:rsidP="002A576D">
      <w:pPr>
        <w:pStyle w:val="Sraopastraipa"/>
        <w:numPr>
          <w:ilvl w:val="0"/>
          <w:numId w:val="98"/>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naikinti Valstybės paramos būstui įsigyti ar išsinuomoti ir daugiabučiams namams atnaujinti (modernizuoti) įstatymo 16 str.  2 d. įtvirtiną apribojimą, pagal kurį draudžiama nukreipti išieškojimą pagal  buto  savininko neįvykdytas prievoles dėl atnaujinimo (modernizavimo) projekto jo dalies  apmokėjimo  į jo butą atnaujintame (modernizuotame) name, jeigu  tai  yra  vienintelis  šeimos  (vieno  gyvenančio  asmens) būstas;</w:t>
      </w:r>
    </w:p>
    <w:p w14:paraId="1B9D426F" w14:textId="77777777" w:rsidR="000203BA" w:rsidRPr="00100EF9" w:rsidRDefault="000203BA" w:rsidP="002A576D">
      <w:pPr>
        <w:pStyle w:val="Sraopastraipa"/>
        <w:numPr>
          <w:ilvl w:val="0"/>
          <w:numId w:val="98"/>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 xml:space="preserve">naikinti LR CPK 663  str. 3 ir 4 dalyse nustatytus apribojimus išieškoti skolą  iš  skolininkui  priklausančio  būsto,  kuriame  jis gyvena,   jeigu  išieškoma suma yra mažesnė  nei 7 000 Lt bei </w:t>
      </w:r>
      <w:r w:rsidRPr="00100EF9">
        <w:rPr>
          <w:rFonts w:ascii="Georgia" w:eastAsia="Times New Roman" w:hAnsi="Georgia" w:cs="Times New Roman"/>
          <w:sz w:val="20"/>
          <w:szCs w:val="20"/>
          <w:lang w:val="lt-LT" w:eastAsia="lt-LT"/>
        </w:rPr>
        <w:lastRenderedPageBreak/>
        <w:t>panaikinti  leidimą teismui uždrausti išieškoti nesumokėtas už sunaudotus energijos  išteklius,  komunalines  ir  kitokias  paslaugas iš paskutinio buto,  gyvenamojo  namo  ar  jų  dalies,  būtinų  šiems  asmenims gyventi;</w:t>
      </w:r>
    </w:p>
    <w:p w14:paraId="7B0A65E7" w14:textId="77777777" w:rsidR="000203BA" w:rsidRPr="00100EF9" w:rsidRDefault="000203BA" w:rsidP="002A576D">
      <w:pPr>
        <w:pStyle w:val="Sraopastraipa"/>
        <w:numPr>
          <w:ilvl w:val="0"/>
          <w:numId w:val="98"/>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siekiant apriboti banko atsakomybę  už paskolos apskaitą, ataskaitų teikimą, tinkamą paskaičiavimą, bei išvengti situacijų, kai keičiasi administratoriai (dėl bankroto, dėl savivaldybės sprendimų ar gyventojų sprendimų ir pan.) ir neperduoda dokumentacijos bei reikiamos informacijos naujajam administratoriui, sukurti centralizuotą IT sprendimą, kur būtų vienodai apskaitoma ir kaupiama informacija apie suteiktas paskolas (priskaičiuotas ir sumokėtas paskolos gavėjų iki gyventojų lygio paskolos ir palūkanų įmokas ir t.t.);</w:t>
      </w:r>
    </w:p>
    <w:p w14:paraId="58F436FE" w14:textId="77777777" w:rsidR="000203BA" w:rsidRPr="00100EF9" w:rsidRDefault="000203BA" w:rsidP="002A576D">
      <w:pPr>
        <w:pStyle w:val="Sraopastraipa"/>
        <w:numPr>
          <w:ilvl w:val="0"/>
          <w:numId w:val="98"/>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įstatymu įteisinti nuostatą, neleidžiančią keisti daugiabučio (projekto) administratoriaus, kurio vardu, bet gyventojų naudai bankas yra suteikęs paskolą (išskyrus bankroto atvejus);</w:t>
      </w:r>
    </w:p>
    <w:p w14:paraId="2BEE93A7" w14:textId="77777777" w:rsidR="000203BA" w:rsidRPr="00100EF9" w:rsidRDefault="000203BA" w:rsidP="002A576D">
      <w:pPr>
        <w:pStyle w:val="Sraopastraipa"/>
        <w:numPr>
          <w:ilvl w:val="0"/>
          <w:numId w:val="98"/>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palengvinti skolos pagal atnaujinimo (modernizavimo) paskolas priteisimą, leidžiant notaram išduoti vykdomąjį raštą;</w:t>
      </w:r>
    </w:p>
    <w:p w14:paraId="7AA33E4A" w14:textId="77777777" w:rsidR="000203BA" w:rsidRPr="00100EF9" w:rsidRDefault="000203BA" w:rsidP="002A576D">
      <w:pPr>
        <w:pStyle w:val="Sraopastraipa"/>
        <w:numPr>
          <w:ilvl w:val="0"/>
          <w:numId w:val="98"/>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įstatyme numatyti administratoriaus teisę nusirašyti neginčo tvarka visas paskolos įmokas nuo bet kurios savininko sąskaitos, t.y. įtvirtinti privalomą tiesioginį debetą;</w:t>
      </w:r>
    </w:p>
    <w:p w14:paraId="639987CE" w14:textId="77777777" w:rsidR="000203BA" w:rsidRPr="00100EF9" w:rsidRDefault="000203BA" w:rsidP="002A576D">
      <w:pPr>
        <w:pStyle w:val="Sraopastraipa"/>
        <w:numPr>
          <w:ilvl w:val="0"/>
          <w:numId w:val="98"/>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įtvirtinti banko teisę nustatyti priverstinį įkeitimą į reikalavimo teises į butų/patalpų savininkus, kurių naudai administratorius yra paėmęs paskolą;</w:t>
      </w:r>
    </w:p>
    <w:p w14:paraId="13FBCB78" w14:textId="77777777" w:rsidR="000203BA" w:rsidRPr="00100EF9" w:rsidRDefault="000203BA" w:rsidP="002A576D">
      <w:pPr>
        <w:pStyle w:val="Sraopastraipa"/>
        <w:numPr>
          <w:ilvl w:val="0"/>
          <w:numId w:val="98"/>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įtvirtinti aukštesnį eiliškumą išieškant modernizavimo paskolų įmokas iš skolininko, lyginant su kitais kreditoriais (išskyrus hipotekinius kreditorius);</w:t>
      </w:r>
    </w:p>
    <w:p w14:paraId="3DB98812" w14:textId="77777777" w:rsidR="000203BA" w:rsidRPr="00100EF9" w:rsidRDefault="000203BA" w:rsidP="002A576D">
      <w:pPr>
        <w:pStyle w:val="Sraopastraipa"/>
        <w:numPr>
          <w:ilvl w:val="0"/>
          <w:numId w:val="98"/>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nustatyti, kad modernizavimo paskola būtų laikoma daiktine, o ne asmenine prievole, t.y. ji „sektų paskui turtą“ ir net savininko bankroto atveju išvaržius turtą, modernizavimo paskolos negrąžinimo atveju, ją privalėtų grąžinti šį turtą įgijęs asmuo;</w:t>
      </w:r>
    </w:p>
    <w:p w14:paraId="11A5ED57" w14:textId="77777777" w:rsidR="000203BA" w:rsidRPr="00100EF9" w:rsidRDefault="000203BA" w:rsidP="002A576D">
      <w:pPr>
        <w:pStyle w:val="Sraopastraipa"/>
        <w:numPr>
          <w:ilvl w:val="0"/>
          <w:numId w:val="98"/>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suteikus paskolą, bankas turi sudaryti sąlyginio reikalavimo perleidimo sutartį. Šiuo atveju esant įsipareigojimų nevykdymams, bankas įgytų reikalavimo teises į galutinius paskolos gavėjus, t.y. butų patalpų savininkus;</w:t>
      </w:r>
    </w:p>
    <w:p w14:paraId="258ECB12" w14:textId="77777777" w:rsidR="000203BA" w:rsidRPr="00100EF9" w:rsidRDefault="000203BA" w:rsidP="002A576D">
      <w:pPr>
        <w:pStyle w:val="Sraopastraipa"/>
        <w:numPr>
          <w:ilvl w:val="0"/>
          <w:numId w:val="98"/>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nustatyti, kad bendrijai ar administratoriui sudarius kredito sutartį, laikoma, kad pasiskolina visi butų patalpų savininkai, net, jei jie ir nėra pvz.: bendrijos nariai.</w:t>
      </w:r>
    </w:p>
    <w:p w14:paraId="7211284F" w14:textId="77777777"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 xml:space="preserve">Daugiabučių renovacijos atveju bankus labiau domintų portfelinės garantijos, tačiau bankai pažymėjo, jog garantijų priemonė galėtų būti diferencijuojama pagal jos įgyvendinimo regioną (mažuose miestuose kur renovacijos investicijų ir buto rinkos vertės santykis yra didelis ir demografinė tendencija yra neigiama labiau pageidautinos individualios garantijos modelis). </w:t>
      </w:r>
    </w:p>
    <w:p w14:paraId="17445670" w14:textId="77777777"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Bankai taip pat įvardino tam tikras sąlygas, kurios paskatintų juos dalyvauti garantijų priemonėje:</w:t>
      </w:r>
    </w:p>
    <w:p w14:paraId="33B4C45B" w14:textId="77777777" w:rsidR="000203BA" w:rsidRPr="00100EF9" w:rsidRDefault="00100EF9" w:rsidP="002A576D">
      <w:pPr>
        <w:pStyle w:val="Sraopastraipa"/>
        <w:numPr>
          <w:ilvl w:val="0"/>
          <w:numId w:val="98"/>
        </w:numPr>
        <w:jc w:val="both"/>
        <w:rPr>
          <w:rFonts w:ascii="Georgia" w:eastAsia="Times New Roman" w:hAnsi="Georgia" w:cs="Times New Roman"/>
          <w:sz w:val="20"/>
          <w:szCs w:val="20"/>
          <w:lang w:val="lt-LT" w:eastAsia="lt-LT"/>
        </w:rPr>
      </w:pPr>
      <w:r>
        <w:rPr>
          <w:rFonts w:ascii="Georgia" w:eastAsia="Times New Roman" w:hAnsi="Georgia" w:cs="Times New Roman"/>
          <w:sz w:val="20"/>
          <w:szCs w:val="20"/>
          <w:lang w:val="lt-LT" w:eastAsia="lt-LT"/>
        </w:rPr>
        <w:t>nuostoliai būtų dengiami asime</w:t>
      </w:r>
      <w:r w:rsidR="000203BA" w:rsidRPr="00100EF9">
        <w:rPr>
          <w:rFonts w:ascii="Georgia" w:eastAsia="Times New Roman" w:hAnsi="Georgia" w:cs="Times New Roman"/>
          <w:sz w:val="20"/>
          <w:szCs w:val="20"/>
          <w:lang w:val="lt-LT" w:eastAsia="lt-LT"/>
        </w:rPr>
        <w:t>trinės rizikos pasidalijimo būdu;</w:t>
      </w:r>
    </w:p>
    <w:p w14:paraId="38DD9D58" w14:textId="77777777" w:rsidR="000203BA" w:rsidRPr="00100EF9" w:rsidRDefault="000203BA" w:rsidP="002A576D">
      <w:pPr>
        <w:pStyle w:val="Sraopastraipa"/>
        <w:numPr>
          <w:ilvl w:val="0"/>
          <w:numId w:val="98"/>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fondo teikiama garantija būtų prilyginama valstybės garantijai;</w:t>
      </w:r>
    </w:p>
    <w:p w14:paraId="28E9FAFB" w14:textId="77777777" w:rsidR="000203BA" w:rsidRPr="00100EF9" w:rsidRDefault="000203BA" w:rsidP="002A576D">
      <w:pPr>
        <w:pStyle w:val="Sraopastraipa"/>
        <w:numPr>
          <w:ilvl w:val="0"/>
          <w:numId w:val="98"/>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garantijos suma išliktų proporcinga mažėjant paskolos sumai;</w:t>
      </w:r>
    </w:p>
    <w:p w14:paraId="334E49FF" w14:textId="77777777" w:rsidR="000203BA" w:rsidRPr="00100EF9" w:rsidRDefault="000203BA" w:rsidP="002A576D">
      <w:pPr>
        <w:pStyle w:val="Sraopastraipa"/>
        <w:numPr>
          <w:ilvl w:val="0"/>
          <w:numId w:val="98"/>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sukurtos aiškios garantijos sąlygos.</w:t>
      </w:r>
    </w:p>
    <w:p w14:paraId="5D799B2B" w14:textId="77777777"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Bankai nenurodė konkrečios fiksuotos palūkanų normos paskoloms iki 20 metų, kuriomis suteiktų paskolas, garantuotas fondų fondo lėšomis (buvo nurodyta, kad finansavimas bus teikiamas komercinėmis sąlygomis), kadangi šie rodikliai priklausys nuo detalesnės informacijos ir su tuo susijusiomis rizikomis, kurias su bankais turėtų suderinti paskirtas fondo valdytojas.</w:t>
      </w:r>
    </w:p>
    <w:p w14:paraId="1D42B12A" w14:textId="77777777"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Analizuojant garantijų fondo atidėjimus, bankai šią dalį vertino konservatyviai ir nurodė, jog jie jaustųsi komfortiškiau jei fondas rezerve laikytų nuo 20 iki 35 proc. rezervinę sumą, t.y. didelį rezervą virš prognozuojamo blogų paskolų portfelio.</w:t>
      </w:r>
    </w:p>
    <w:p w14:paraId="22936B5B" w14:textId="77777777" w:rsidR="00096C5A" w:rsidRPr="00100EF9" w:rsidRDefault="00096C5A" w:rsidP="000203BA">
      <w:pPr>
        <w:jc w:val="both"/>
        <w:rPr>
          <w:rFonts w:ascii="Georgia" w:eastAsia="Times New Roman" w:hAnsi="Georgia" w:cs="Times New Roman"/>
          <w:b/>
          <w:sz w:val="20"/>
          <w:szCs w:val="20"/>
          <w:lang w:val="lt-LT" w:eastAsia="lt-LT"/>
        </w:rPr>
      </w:pPr>
    </w:p>
    <w:p w14:paraId="0C8A4666" w14:textId="77777777" w:rsidR="000203BA" w:rsidRPr="00100EF9" w:rsidRDefault="000203BA" w:rsidP="000203BA">
      <w:pPr>
        <w:jc w:val="both"/>
        <w:rPr>
          <w:rFonts w:ascii="Georgia" w:eastAsia="Times New Roman" w:hAnsi="Georgia" w:cs="Times New Roman"/>
          <w:b/>
          <w:sz w:val="20"/>
          <w:szCs w:val="20"/>
          <w:lang w:val="lt-LT" w:eastAsia="lt-LT"/>
        </w:rPr>
      </w:pPr>
      <w:r w:rsidRPr="00100EF9">
        <w:rPr>
          <w:rFonts w:ascii="Georgia" w:eastAsia="Times New Roman" w:hAnsi="Georgia" w:cs="Times New Roman"/>
          <w:b/>
          <w:sz w:val="20"/>
          <w:szCs w:val="20"/>
          <w:lang w:val="lt-LT" w:eastAsia="lt-LT"/>
        </w:rPr>
        <w:lastRenderedPageBreak/>
        <w:t>Centrinės valdžios pastatų renovacijos paskolų finansinės priemonės įgyvendinimo galimybės</w:t>
      </w:r>
    </w:p>
    <w:p w14:paraId="2FBB5D58" w14:textId="77777777"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Visiems bankams būtų įdomi dalyvavimo tokioje finansinėje priemonė galimybė ir bankai turi keletą siūlymų, kurie paskatintų prisidėjimą prie tokio modelio įgyvendinimo savo lėšomis:</w:t>
      </w:r>
    </w:p>
    <w:p w14:paraId="41F8CBD7" w14:textId="77777777" w:rsidR="000203BA" w:rsidRPr="00100EF9" w:rsidRDefault="000203BA" w:rsidP="002A576D">
      <w:pPr>
        <w:pStyle w:val="Sraopastraipa"/>
        <w:numPr>
          <w:ilvl w:val="0"/>
          <w:numId w:val="98"/>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galimybė užtikrinti reikalavimo teisę  iš pirminio lėšų šaltinio (ne ESCO kompanijos, o savivaldybės ar valstybės biudžeto, tuo atveju, jei ESCO bankrutuotų);</w:t>
      </w:r>
    </w:p>
    <w:p w14:paraId="00B0CCE7" w14:textId="77777777" w:rsidR="000203BA" w:rsidRPr="00100EF9" w:rsidRDefault="000203BA" w:rsidP="002A576D">
      <w:pPr>
        <w:pStyle w:val="Sraopastraipa"/>
        <w:numPr>
          <w:ilvl w:val="0"/>
          <w:numId w:val="98"/>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paskolos grąžinimo srautai užtikrinimo galimybės pirminiame šaltinyje (valstybės ar savivaldybės biudžete) po projekto įgyvendinimo bei jų pokyčio minimizavimo aspektų įvedimas visu paskolos grąžinimo laikotarpiu;</w:t>
      </w:r>
    </w:p>
    <w:p w14:paraId="19B16C92" w14:textId="77777777" w:rsidR="000203BA" w:rsidRPr="00100EF9" w:rsidRDefault="000203BA" w:rsidP="002A576D">
      <w:pPr>
        <w:pStyle w:val="Sraopastraipa"/>
        <w:numPr>
          <w:ilvl w:val="0"/>
          <w:numId w:val="98"/>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galimybė sutaupomų lėšų srautą nukreipti ne asignavimų valdytojams/įstaigoms įgyvendinančioms projektus, bet tiesiogiai finansuotojams;</w:t>
      </w:r>
    </w:p>
    <w:p w14:paraId="469EEEC9" w14:textId="77777777" w:rsidR="000203BA" w:rsidRPr="00100EF9" w:rsidRDefault="000203BA" w:rsidP="002A576D">
      <w:pPr>
        <w:pStyle w:val="Sraopastraipa"/>
        <w:numPr>
          <w:ilvl w:val="0"/>
          <w:numId w:val="98"/>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 xml:space="preserve">paskolos grąžinimo šaltinio mokėjimai nepriklausytų nuo ESCO kompanijos pakeičiamumo, ESCO paskesnės darbų kokybės, pasikeitusių energijos kainų ir pan. </w:t>
      </w:r>
    </w:p>
    <w:p w14:paraId="5A3B80E1" w14:textId="77777777" w:rsidR="000203BA" w:rsidRPr="00100EF9" w:rsidRDefault="000203BA" w:rsidP="002A576D">
      <w:pPr>
        <w:pStyle w:val="Sraopastraipa"/>
        <w:numPr>
          <w:ilvl w:val="0"/>
          <w:numId w:val="98"/>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užtikrinti pastato paskirties tęstinumą ir reikalingumą visu paskolos laikotarpiu.</w:t>
      </w:r>
    </w:p>
    <w:p w14:paraId="37CC1074" w14:textId="77777777"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Bankai nenurodė konkrečios fiksuotos palūkanų normos paskoloms iki 20 metų, kuriomis suteiktų paskolas, dalyvaudami savo lėšomis (buvo nurodyta, kad finansavimas bus teikiamas komercinėmis sąlygomis), kadangi šie rodikliai priklausys nuo detalesnės informacijos ir su tuo susijusiomis rizikomis, kurias su bankais turėtų suderinti paskirtas fondo valdytojas</w:t>
      </w:r>
    </w:p>
    <w:p w14:paraId="2AA00E61" w14:textId="77777777"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Pagrindinė centrinės valdžios modelio rizika yra ta, kad bankai neturi darbo su ESCO kompanijomis patirties. Todėl bankai pageidautų, kad ESCO kompanijos prie projektų prisidėtų savo lėšomis 20-30 proc.</w:t>
      </w:r>
    </w:p>
    <w:p w14:paraId="595469B7" w14:textId="77777777" w:rsidR="000203BA" w:rsidRPr="00100EF9" w:rsidRDefault="000203BA" w:rsidP="000203BA">
      <w:pPr>
        <w:jc w:val="both"/>
        <w:rPr>
          <w:rFonts w:ascii="Georgia" w:eastAsia="Times New Roman" w:hAnsi="Georgia" w:cs="Times New Roman"/>
          <w:b/>
          <w:sz w:val="20"/>
          <w:szCs w:val="20"/>
          <w:lang w:val="lt-LT" w:eastAsia="lt-LT"/>
        </w:rPr>
      </w:pPr>
      <w:r w:rsidRPr="00100EF9">
        <w:rPr>
          <w:rFonts w:ascii="Georgia" w:eastAsia="Times New Roman" w:hAnsi="Georgia" w:cs="Times New Roman"/>
          <w:b/>
          <w:sz w:val="20"/>
          <w:szCs w:val="20"/>
          <w:lang w:val="lt-LT" w:eastAsia="lt-LT"/>
        </w:rPr>
        <w:t>Gatvių apšvietimo modernizavimo garantijų finansinės priemonės įgyvendinimo galimybės</w:t>
      </w:r>
    </w:p>
    <w:p w14:paraId="16688074" w14:textId="77777777"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Bankams pageidautų dalyvauti tokio garantijų modelio įgyvendinime atliekant gatvių apšvietimo modernizavimo darbus. Bankai taip pat identifikavo tam tikra sąlygas, kurios paskatintų juos dalyvauti tokioje priemonėje:</w:t>
      </w:r>
    </w:p>
    <w:p w14:paraId="421495FE" w14:textId="77777777" w:rsidR="000203BA" w:rsidRPr="00100EF9" w:rsidRDefault="000203BA" w:rsidP="002A576D">
      <w:pPr>
        <w:pStyle w:val="Sraopastraipa"/>
        <w:numPr>
          <w:ilvl w:val="0"/>
          <w:numId w:val="98"/>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galimybė fondo garantiją prilyginti valstybės garantijai arba galimybė pergarantuoti (EIB arba ERPB);</w:t>
      </w:r>
    </w:p>
    <w:p w14:paraId="2ACAFF6D" w14:textId="77777777" w:rsidR="000203BA" w:rsidRPr="00100EF9" w:rsidRDefault="000203BA" w:rsidP="002A576D">
      <w:pPr>
        <w:pStyle w:val="Sraopastraipa"/>
        <w:numPr>
          <w:ilvl w:val="0"/>
          <w:numId w:val="98"/>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projektus įgyvendinti finansiškai stabiliose savivaldybėse. Kai kurios savivaldybės finansavimas būtų problematiškas (o tam tikrais atvejai ir neįmanomas), net ir esant 100 % garantijai;</w:t>
      </w:r>
    </w:p>
    <w:p w14:paraId="48B5BD62" w14:textId="77777777" w:rsidR="000203BA" w:rsidRPr="00100EF9" w:rsidRDefault="000203BA" w:rsidP="002A576D">
      <w:pPr>
        <w:pStyle w:val="Sraopastraipa"/>
        <w:numPr>
          <w:ilvl w:val="0"/>
          <w:numId w:val="98"/>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prioritetas, būtų teikiamas ESCO kompanijoms atlikusioms projektus savo lėšomis pademonstruojant sutaupymus, teikiant joms sekančias paskolas;</w:t>
      </w:r>
    </w:p>
    <w:p w14:paraId="7F2F28B2" w14:textId="77777777" w:rsidR="000203BA" w:rsidRPr="00100EF9" w:rsidRDefault="000203BA" w:rsidP="002A576D">
      <w:pPr>
        <w:pStyle w:val="Sraopastraipa"/>
        <w:numPr>
          <w:ilvl w:val="0"/>
          <w:numId w:val="98"/>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paskolos grąžinimo srautai užtikrinimo galimybės pirminiame šaltinyje (valstybės ar savivaldybės biudžete) po projekto įgyvendinimo bei jų pokyčio minimizavimo aspektų įvedimas visu paskolos grąžinimo laikotarpiu;</w:t>
      </w:r>
    </w:p>
    <w:p w14:paraId="4F393B89" w14:textId="77777777" w:rsidR="000203BA" w:rsidRPr="00100EF9" w:rsidRDefault="000203BA" w:rsidP="002A576D">
      <w:pPr>
        <w:pStyle w:val="Sraopastraipa"/>
        <w:numPr>
          <w:ilvl w:val="0"/>
          <w:numId w:val="98"/>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galimybė sutaupomų lėšų srautą nukreipti ne asignavimų valdytojams/įstaigoms įgyvendinančioms projektus, bet tiesiogiai finansuotojams;</w:t>
      </w:r>
    </w:p>
    <w:p w14:paraId="61ADCECF" w14:textId="77777777" w:rsidR="000203BA" w:rsidRPr="00100EF9" w:rsidRDefault="000203BA" w:rsidP="002A576D">
      <w:pPr>
        <w:pStyle w:val="Sraopastraipa"/>
        <w:numPr>
          <w:ilvl w:val="0"/>
          <w:numId w:val="98"/>
        </w:num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 xml:space="preserve">paskolos grąžinimo šaltinio mokėjimai nepriklausytų nuo ESCO kompanijos pakeičiamumo, ESCO paskesnės darbų kokybės, pasikeitusių energijos kainų ir pan. </w:t>
      </w:r>
    </w:p>
    <w:p w14:paraId="63E3C572" w14:textId="77777777"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Priklausomai nuo garantijų sąlygų, bakams tiktų tiek individualios tiek portfelinės garantijos. Esant didesniems projektams (modernizuojat kelių miestų ar rajonų gatvių apšvietimą), bankai prioritetą teiktų individualioms garantijoms.</w:t>
      </w:r>
    </w:p>
    <w:p w14:paraId="341A95FC" w14:textId="77777777"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lastRenderedPageBreak/>
        <w:t>Komerciniai bankai nurodė, jog tokiam fondui galėtų skolinti iki 20 metų laikotarpiui (iki 10 metų laikotarpiui laisviau, o ilgesnio laikotarpio investicija būtų svarstoma giliau išanalizavus visas sąlygas).</w:t>
      </w:r>
    </w:p>
    <w:p w14:paraId="7AF8A9C7" w14:textId="77777777"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Bankai nenurodė konkrečios palūkanų normos paskoloms, kuriomis suteiktų, dalyvaudami garantijų finansinėje priemonėje (buvo nurodyta, kad finansavimas bus teikiamas komercinėmis sąlygomis), kadangi šie rodikliai priklausys nuo detalesnės informacijos ir su tuo susijusiomis rizikomis, kurias su bankais turėtų suderinti paskirtas fondo valdytojas.</w:t>
      </w:r>
    </w:p>
    <w:p w14:paraId="30963134" w14:textId="77777777"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Bankai taip pat nurodė, jog blogoms paskoloms padengti fondas turėtų sukaupti rezervą nuo 10 iki 20 proc. paskolų vertės.</w:t>
      </w:r>
    </w:p>
    <w:p w14:paraId="0CEA5FC0" w14:textId="77777777"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Pagrindinė centrinės valdžios modelio rizika yra ta, kad bankai neturi darbo su ESCO kompanijomis patirties. Todėl bankai pageidautų, kad ESCO kompanijos prie projektų prisidėtų savo lėšomis 20-30 proc.</w:t>
      </w:r>
    </w:p>
    <w:p w14:paraId="166803A6" w14:textId="77777777" w:rsidR="000203BA" w:rsidRPr="00100EF9" w:rsidRDefault="000203BA" w:rsidP="000203BA">
      <w:pPr>
        <w:jc w:val="both"/>
        <w:rPr>
          <w:rFonts w:ascii="Georgia" w:eastAsia="Times New Roman" w:hAnsi="Georgia" w:cs="Times New Roman"/>
          <w:sz w:val="20"/>
          <w:szCs w:val="20"/>
          <w:lang w:val="lt-LT" w:eastAsia="lt-LT"/>
        </w:rPr>
      </w:pPr>
    </w:p>
    <w:p w14:paraId="2F60A1F1" w14:textId="77777777" w:rsidR="000203BA" w:rsidRPr="00100EF9" w:rsidRDefault="000203BA" w:rsidP="000203BA">
      <w:pPr>
        <w:jc w:val="both"/>
        <w:rPr>
          <w:rFonts w:ascii="Georgia" w:eastAsia="Times New Roman" w:hAnsi="Georgia" w:cs="Times New Roman"/>
          <w:sz w:val="20"/>
          <w:szCs w:val="20"/>
          <w:lang w:val="lt-LT" w:eastAsia="lt-LT"/>
        </w:rPr>
      </w:pPr>
      <w:r w:rsidRPr="00100EF9">
        <w:rPr>
          <w:rFonts w:ascii="Georgia" w:eastAsia="Times New Roman" w:hAnsi="Georgia" w:cs="Times New Roman"/>
          <w:sz w:val="20"/>
          <w:szCs w:val="20"/>
          <w:lang w:val="lt-LT" w:eastAsia="lt-LT"/>
        </w:rPr>
        <w:t xml:space="preserve">Apibendrinant galima teigti, kad bankams norėtų dalyvauti šioje ex ante rekomenduojamuose fondų fondo finansavimo modelyje bei finansinių priemonių įgyvendinime. Todėl paskirtas fondo valdytojas turės labai glaudžiai bendradarbiauti su komerciniais bankais siekdamas pateikti patrauklias komerciniams bankams, investavimo / finansavimo bei įgyvendinimo sąlygas. </w:t>
      </w:r>
    </w:p>
    <w:p w14:paraId="29315B97" w14:textId="77777777" w:rsidR="00FC2E80" w:rsidRPr="00100EF9" w:rsidRDefault="00FC2E80">
      <w:pPr>
        <w:rPr>
          <w:rFonts w:ascii="Georgia" w:hAnsi="Georgia"/>
          <w:sz w:val="20"/>
          <w:szCs w:val="20"/>
          <w:lang w:val="lt-LT"/>
        </w:rPr>
      </w:pPr>
      <w:r w:rsidRPr="00100EF9">
        <w:rPr>
          <w:rFonts w:ascii="Georgia" w:hAnsi="Georgia"/>
          <w:sz w:val="20"/>
          <w:szCs w:val="20"/>
          <w:lang w:val="lt-LT"/>
        </w:rPr>
        <w:br w:type="page"/>
      </w:r>
    </w:p>
    <w:p w14:paraId="65937CCE" w14:textId="77777777" w:rsidR="000203BA" w:rsidRDefault="00FC2E80" w:rsidP="00FC2E80">
      <w:pPr>
        <w:pStyle w:val="Antrat2"/>
        <w:rPr>
          <w:lang w:val="lt-LT"/>
        </w:rPr>
      </w:pPr>
      <w:bookmarkStart w:id="453" w:name="_Toc417378481"/>
      <w:r>
        <w:rPr>
          <w:lang w:val="lt-LT"/>
        </w:rPr>
        <w:lastRenderedPageBreak/>
        <w:t>Priedas Nr. 8. Gatvių apšvietimo modernizavimo poreikis pagal savivaldybes</w:t>
      </w:r>
      <w:bookmarkEnd w:id="453"/>
    </w:p>
    <w:p w14:paraId="6627D994" w14:textId="77777777" w:rsidR="00FC2E80" w:rsidRPr="00FC2E80" w:rsidRDefault="00FC2E80" w:rsidP="00FC2E80">
      <w:pPr>
        <w:rPr>
          <w:lang w:val="lt-LT"/>
        </w:rPr>
      </w:pPr>
    </w:p>
    <w:tbl>
      <w:tblPr>
        <w:tblStyle w:val="viesussraas2parykinimas1"/>
        <w:tblW w:w="0" w:type="auto"/>
        <w:tblLook w:val="04A0" w:firstRow="1" w:lastRow="0" w:firstColumn="1" w:lastColumn="0" w:noHBand="0" w:noVBand="1"/>
      </w:tblPr>
      <w:tblGrid>
        <w:gridCol w:w="1092"/>
        <w:gridCol w:w="1557"/>
        <w:gridCol w:w="1423"/>
        <w:gridCol w:w="1343"/>
        <w:gridCol w:w="2513"/>
        <w:gridCol w:w="1648"/>
      </w:tblGrid>
      <w:tr w:rsidR="00FC2E80" w:rsidRPr="000E66DF" w14:paraId="5A7A2824" w14:textId="77777777" w:rsidTr="000E66DF">
        <w:trPr>
          <w:cnfStyle w:val="100000000000" w:firstRow="1" w:lastRow="0" w:firstColumn="0" w:lastColumn="0" w:oddVBand="0" w:evenVBand="0" w:oddHBand="0" w:evenHBand="0" w:firstRowFirstColumn="0" w:firstRowLastColumn="0" w:lastRowFirstColumn="0" w:lastRowLastColumn="0"/>
          <w:trHeight w:val="915"/>
          <w:tblHeader/>
        </w:trPr>
        <w:tc>
          <w:tcPr>
            <w:cnfStyle w:val="001000000000" w:firstRow="0" w:lastRow="0" w:firstColumn="1" w:lastColumn="0" w:oddVBand="0" w:evenVBand="0" w:oddHBand="0" w:evenHBand="0" w:firstRowFirstColumn="0" w:firstRowLastColumn="0" w:lastRowFirstColumn="0" w:lastRowLastColumn="0"/>
            <w:tcW w:w="1093" w:type="dxa"/>
            <w:noWrap/>
            <w:hideMark/>
          </w:tcPr>
          <w:p w14:paraId="21D2EE71" w14:textId="77777777" w:rsidR="00FC2E80" w:rsidRPr="000E66DF" w:rsidRDefault="00FC2E80" w:rsidP="000E66DF">
            <w:pPr>
              <w:jc w:val="center"/>
              <w:rPr>
                <w:rFonts w:ascii="Georgia" w:hAnsi="Georgia"/>
                <w:bCs w:val="0"/>
                <w:sz w:val="20"/>
                <w:szCs w:val="20"/>
              </w:rPr>
            </w:pPr>
            <w:r w:rsidRPr="000E66DF">
              <w:rPr>
                <w:rFonts w:ascii="Georgia" w:hAnsi="Georgia"/>
                <w:bCs w:val="0"/>
                <w:sz w:val="20"/>
                <w:szCs w:val="20"/>
              </w:rPr>
              <w:t>Eil. nr.</w:t>
            </w:r>
          </w:p>
        </w:tc>
        <w:tc>
          <w:tcPr>
            <w:tcW w:w="1559" w:type="dxa"/>
            <w:noWrap/>
            <w:hideMark/>
          </w:tcPr>
          <w:p w14:paraId="34121934" w14:textId="77777777" w:rsidR="00FC2E80" w:rsidRPr="000E66DF" w:rsidRDefault="00FC2E80" w:rsidP="000E66DF">
            <w:pPr>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0"/>
              </w:rPr>
            </w:pPr>
            <w:r w:rsidRPr="000E66DF">
              <w:rPr>
                <w:rFonts w:ascii="Georgia" w:hAnsi="Georgia"/>
                <w:bCs w:val="0"/>
                <w:sz w:val="20"/>
                <w:szCs w:val="20"/>
              </w:rPr>
              <w:t>Savivaldybė</w:t>
            </w:r>
          </w:p>
        </w:tc>
        <w:tc>
          <w:tcPr>
            <w:tcW w:w="1425" w:type="dxa"/>
            <w:noWrap/>
            <w:hideMark/>
          </w:tcPr>
          <w:p w14:paraId="355DA38D" w14:textId="77777777" w:rsidR="00FC2E80" w:rsidRPr="000E66DF" w:rsidRDefault="00FC2E80" w:rsidP="000E66DF">
            <w:pPr>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0"/>
              </w:rPr>
            </w:pPr>
            <w:r w:rsidRPr="000E66DF">
              <w:rPr>
                <w:rFonts w:ascii="Georgia" w:hAnsi="Georgia"/>
                <w:bCs w:val="0"/>
                <w:sz w:val="20"/>
                <w:szCs w:val="20"/>
              </w:rPr>
              <w:t>Išreikštas poreikis (Lt)</w:t>
            </w:r>
          </w:p>
        </w:tc>
        <w:tc>
          <w:tcPr>
            <w:tcW w:w="1345" w:type="dxa"/>
            <w:noWrap/>
            <w:hideMark/>
          </w:tcPr>
          <w:p w14:paraId="645832E2" w14:textId="77777777" w:rsidR="00FC2E80" w:rsidRPr="000E66DF" w:rsidRDefault="00FC2E80" w:rsidP="000E66DF">
            <w:pPr>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0"/>
              </w:rPr>
            </w:pPr>
            <w:r w:rsidRPr="000E66DF">
              <w:rPr>
                <w:rFonts w:ascii="Georgia" w:hAnsi="Georgia"/>
                <w:bCs w:val="0"/>
                <w:sz w:val="20"/>
                <w:szCs w:val="20"/>
              </w:rPr>
              <w:t>Keičiamų šviestuvų skaičius</w:t>
            </w:r>
          </w:p>
        </w:tc>
        <w:tc>
          <w:tcPr>
            <w:tcW w:w="2509" w:type="dxa"/>
            <w:hideMark/>
          </w:tcPr>
          <w:p w14:paraId="26A50010" w14:textId="77777777" w:rsidR="00FC2E80" w:rsidRPr="000E66DF" w:rsidRDefault="00FC2E80" w:rsidP="000E66DF">
            <w:pPr>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0"/>
              </w:rPr>
            </w:pPr>
            <w:r w:rsidRPr="000E66DF">
              <w:rPr>
                <w:rFonts w:ascii="Georgia" w:hAnsi="Georgia"/>
                <w:bCs w:val="0"/>
                <w:sz w:val="20"/>
                <w:szCs w:val="20"/>
              </w:rPr>
              <w:t>Parengtumo lygis</w:t>
            </w:r>
          </w:p>
        </w:tc>
        <w:tc>
          <w:tcPr>
            <w:tcW w:w="1645" w:type="dxa"/>
            <w:hideMark/>
          </w:tcPr>
          <w:p w14:paraId="2300383C" w14:textId="77777777" w:rsidR="00FC2E80" w:rsidRPr="000E66DF" w:rsidRDefault="00FC2E80" w:rsidP="000E66DF">
            <w:pPr>
              <w:jc w:val="center"/>
              <w:cnfStyle w:val="100000000000" w:firstRow="1" w:lastRow="0" w:firstColumn="0" w:lastColumn="0" w:oddVBand="0" w:evenVBand="0" w:oddHBand="0" w:evenHBand="0" w:firstRowFirstColumn="0" w:firstRowLastColumn="0" w:lastRowFirstColumn="0" w:lastRowLastColumn="0"/>
              <w:rPr>
                <w:rFonts w:ascii="Georgia" w:hAnsi="Georgia"/>
                <w:bCs w:val="0"/>
                <w:sz w:val="20"/>
                <w:szCs w:val="20"/>
              </w:rPr>
            </w:pPr>
            <w:r w:rsidRPr="000E66DF">
              <w:rPr>
                <w:rFonts w:ascii="Georgia" w:hAnsi="Georgia"/>
                <w:bCs w:val="0"/>
                <w:sz w:val="20"/>
                <w:szCs w:val="20"/>
              </w:rPr>
              <w:t>Poreikis investicijoms, įvertinus Vilniaus gatvių apšvietimo CAPEX</w:t>
            </w:r>
          </w:p>
        </w:tc>
      </w:tr>
      <w:tr w:rsidR="00FC2E80" w:rsidRPr="00FC2E80" w14:paraId="1509D678" w14:textId="77777777" w:rsidTr="000E6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gridSpan w:val="2"/>
            <w:noWrap/>
            <w:hideMark/>
          </w:tcPr>
          <w:p w14:paraId="1B62DED2" w14:textId="77777777" w:rsidR="00FC2E80" w:rsidRPr="00FC2E80" w:rsidRDefault="00FC2E80">
            <w:pPr>
              <w:rPr>
                <w:rFonts w:ascii="Georgia" w:hAnsi="Georgia"/>
                <w:b w:val="0"/>
                <w:bCs w:val="0"/>
                <w:sz w:val="20"/>
                <w:szCs w:val="20"/>
              </w:rPr>
            </w:pPr>
            <w:r w:rsidRPr="00FC2E80">
              <w:rPr>
                <w:rFonts w:ascii="Georgia" w:hAnsi="Georgia"/>
                <w:b w:val="0"/>
                <w:bCs w:val="0"/>
                <w:sz w:val="20"/>
                <w:szCs w:val="20"/>
              </w:rPr>
              <w:t>MIESTO</w:t>
            </w:r>
          </w:p>
          <w:p w14:paraId="3B0AEDCA" w14:textId="77777777" w:rsidR="00FC2E80" w:rsidRPr="00FC2E80" w:rsidRDefault="00FC2E80">
            <w:pPr>
              <w:rPr>
                <w:rFonts w:ascii="Georgia" w:hAnsi="Georgia"/>
                <w:sz w:val="20"/>
                <w:szCs w:val="20"/>
              </w:rPr>
            </w:pPr>
            <w:r w:rsidRPr="00FC2E80">
              <w:rPr>
                <w:rFonts w:ascii="Georgia" w:hAnsi="Georgia"/>
                <w:sz w:val="20"/>
                <w:szCs w:val="20"/>
              </w:rPr>
              <w:t> </w:t>
            </w:r>
          </w:p>
        </w:tc>
        <w:tc>
          <w:tcPr>
            <w:tcW w:w="1425" w:type="dxa"/>
            <w:noWrap/>
            <w:hideMark/>
          </w:tcPr>
          <w:p w14:paraId="2D512D82"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1345" w:type="dxa"/>
            <w:noWrap/>
            <w:hideMark/>
          </w:tcPr>
          <w:p w14:paraId="1E4BA6E0"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2509" w:type="dxa"/>
            <w:hideMark/>
          </w:tcPr>
          <w:p w14:paraId="574DA043"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1645" w:type="dxa"/>
            <w:noWrap/>
            <w:hideMark/>
          </w:tcPr>
          <w:p w14:paraId="580A0FB7"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14:paraId="5F512C50" w14:textId="77777777" w:rsidTr="000E66DF">
        <w:trPr>
          <w:trHeight w:val="15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35757E27" w14:textId="77777777" w:rsidR="00FC2E80" w:rsidRPr="00FC2E80" w:rsidRDefault="00FC2E80" w:rsidP="00FC2E80">
            <w:pPr>
              <w:rPr>
                <w:rFonts w:ascii="Georgia" w:hAnsi="Georgia"/>
                <w:sz w:val="20"/>
                <w:szCs w:val="20"/>
              </w:rPr>
            </w:pPr>
            <w:r w:rsidRPr="00FC2E80">
              <w:rPr>
                <w:rFonts w:ascii="Georgia" w:hAnsi="Georgia"/>
                <w:sz w:val="20"/>
                <w:szCs w:val="20"/>
              </w:rPr>
              <w:t>1</w:t>
            </w:r>
          </w:p>
        </w:tc>
        <w:tc>
          <w:tcPr>
            <w:tcW w:w="1559" w:type="dxa"/>
            <w:hideMark/>
          </w:tcPr>
          <w:p w14:paraId="77757FB9"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Klaipėdos miesto</w:t>
            </w:r>
          </w:p>
        </w:tc>
        <w:tc>
          <w:tcPr>
            <w:tcW w:w="1425" w:type="dxa"/>
            <w:noWrap/>
            <w:hideMark/>
          </w:tcPr>
          <w:p w14:paraId="71B1C913"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60 000 000,00 </w:t>
            </w:r>
          </w:p>
        </w:tc>
        <w:tc>
          <w:tcPr>
            <w:tcW w:w="1345" w:type="dxa"/>
            <w:noWrap/>
            <w:hideMark/>
          </w:tcPr>
          <w:p w14:paraId="4C7BDB42"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14:paraId="46974878"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2013-2014 m. parengtos dvi galimybių studijos. 60 mln. Lt. poreikis nurodytas ne tik gatvių apšvietimo infrastruktūrai, bet ir kitoms priemonėms, pvz. "žaliajai šviesoforų bangai".</w:t>
            </w:r>
          </w:p>
        </w:tc>
        <w:tc>
          <w:tcPr>
            <w:tcW w:w="1645" w:type="dxa"/>
            <w:noWrap/>
            <w:hideMark/>
          </w:tcPr>
          <w:p w14:paraId="34C40719"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14:paraId="4E899B27" w14:textId="77777777" w:rsidTr="000E66DF">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481DD7EC" w14:textId="77777777" w:rsidR="00FC2E80" w:rsidRPr="00FC2E80" w:rsidRDefault="00FC2E80" w:rsidP="00FC2E80">
            <w:pPr>
              <w:rPr>
                <w:rFonts w:ascii="Georgia" w:hAnsi="Georgia"/>
                <w:sz w:val="20"/>
                <w:szCs w:val="20"/>
              </w:rPr>
            </w:pPr>
            <w:r w:rsidRPr="00FC2E80">
              <w:rPr>
                <w:rFonts w:ascii="Georgia" w:hAnsi="Georgia"/>
                <w:sz w:val="20"/>
                <w:szCs w:val="20"/>
              </w:rPr>
              <w:t>2</w:t>
            </w:r>
          </w:p>
        </w:tc>
        <w:tc>
          <w:tcPr>
            <w:tcW w:w="1559" w:type="dxa"/>
            <w:hideMark/>
          </w:tcPr>
          <w:p w14:paraId="3BF150ED"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Kauno miesto</w:t>
            </w:r>
          </w:p>
        </w:tc>
        <w:tc>
          <w:tcPr>
            <w:tcW w:w="1425" w:type="dxa"/>
            <w:noWrap/>
            <w:hideMark/>
          </w:tcPr>
          <w:p w14:paraId="33BA65EC"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56 000 000,00 </w:t>
            </w:r>
          </w:p>
        </w:tc>
        <w:tc>
          <w:tcPr>
            <w:tcW w:w="1345" w:type="dxa"/>
            <w:noWrap/>
            <w:hideMark/>
          </w:tcPr>
          <w:p w14:paraId="10E4CFB3"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14:paraId="3500CC03"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Apšvietimo infrastruktūrą ketinama modernizuoti įdiegiant elektros suvartojimą mažinančias technologijas. Numatoma modernizuoti 239 gatvių apšvietimo valdymo punktų.</w:t>
            </w:r>
          </w:p>
        </w:tc>
        <w:tc>
          <w:tcPr>
            <w:tcW w:w="1645" w:type="dxa"/>
            <w:noWrap/>
            <w:hideMark/>
          </w:tcPr>
          <w:p w14:paraId="7A9F5B97"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14:paraId="68FACA17" w14:textId="77777777" w:rsidTr="000E66DF">
        <w:trPr>
          <w:trHeight w:val="15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10120535" w14:textId="77777777" w:rsidR="00FC2E80" w:rsidRPr="00FC2E80" w:rsidRDefault="00FC2E80" w:rsidP="00FC2E80">
            <w:pPr>
              <w:rPr>
                <w:rFonts w:ascii="Georgia" w:hAnsi="Georgia"/>
                <w:sz w:val="20"/>
                <w:szCs w:val="20"/>
              </w:rPr>
            </w:pPr>
            <w:r w:rsidRPr="00FC2E80">
              <w:rPr>
                <w:rFonts w:ascii="Georgia" w:hAnsi="Georgia"/>
                <w:sz w:val="20"/>
                <w:szCs w:val="20"/>
              </w:rPr>
              <w:t>3</w:t>
            </w:r>
          </w:p>
        </w:tc>
        <w:tc>
          <w:tcPr>
            <w:tcW w:w="1559" w:type="dxa"/>
            <w:hideMark/>
          </w:tcPr>
          <w:p w14:paraId="1E5E7429"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Šiaulių miesto</w:t>
            </w:r>
          </w:p>
        </w:tc>
        <w:tc>
          <w:tcPr>
            <w:tcW w:w="1425" w:type="dxa"/>
            <w:noWrap/>
            <w:hideMark/>
          </w:tcPr>
          <w:p w14:paraId="289AFB53"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35 000 000,00 </w:t>
            </w:r>
          </w:p>
        </w:tc>
        <w:tc>
          <w:tcPr>
            <w:tcW w:w="1345" w:type="dxa"/>
            <w:noWrap/>
            <w:hideMark/>
          </w:tcPr>
          <w:p w14:paraId="5CA85BFE"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11 605,00    </w:t>
            </w:r>
          </w:p>
        </w:tc>
        <w:tc>
          <w:tcPr>
            <w:tcW w:w="2509" w:type="dxa"/>
            <w:hideMark/>
          </w:tcPr>
          <w:p w14:paraId="41DE0BFF"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Kartu su </w:t>
            </w:r>
            <w:r w:rsidR="00100EF9" w:rsidRPr="00FC2E80">
              <w:rPr>
                <w:rFonts w:ascii="Georgia" w:hAnsi="Georgia"/>
                <w:sz w:val="20"/>
                <w:szCs w:val="20"/>
              </w:rPr>
              <w:t>šviestuvais</w:t>
            </w:r>
            <w:r w:rsidRPr="00FC2E80">
              <w:rPr>
                <w:rFonts w:ascii="Georgia" w:hAnsi="Georgia"/>
                <w:sz w:val="20"/>
                <w:szCs w:val="20"/>
              </w:rPr>
              <w:t xml:space="preserve"> būtų keičiami/modernizuojami 144 prožektoriai, 4057 gelžbetonio atramos, 93 km aliuminio laidų, 47 km oro kabelių ir 125 valdymo punktai.</w:t>
            </w:r>
          </w:p>
        </w:tc>
        <w:tc>
          <w:tcPr>
            <w:tcW w:w="1645" w:type="dxa"/>
            <w:noWrap/>
            <w:hideMark/>
          </w:tcPr>
          <w:p w14:paraId="7E7EFE9D"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31 333 500,00</w:t>
            </w:r>
          </w:p>
        </w:tc>
      </w:tr>
      <w:tr w:rsidR="00FC2E80" w:rsidRPr="00FC2E80" w14:paraId="69DB37CB" w14:textId="77777777" w:rsidTr="000E66DF">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7827B456" w14:textId="77777777" w:rsidR="00FC2E80" w:rsidRPr="00FC2E80" w:rsidRDefault="00FC2E80" w:rsidP="00FC2E80">
            <w:pPr>
              <w:rPr>
                <w:rFonts w:ascii="Georgia" w:hAnsi="Georgia"/>
                <w:sz w:val="20"/>
                <w:szCs w:val="20"/>
              </w:rPr>
            </w:pPr>
            <w:r w:rsidRPr="00FC2E80">
              <w:rPr>
                <w:rFonts w:ascii="Georgia" w:hAnsi="Georgia"/>
                <w:sz w:val="20"/>
                <w:szCs w:val="20"/>
              </w:rPr>
              <w:t>4</w:t>
            </w:r>
          </w:p>
        </w:tc>
        <w:tc>
          <w:tcPr>
            <w:tcW w:w="1559" w:type="dxa"/>
            <w:hideMark/>
          </w:tcPr>
          <w:p w14:paraId="263E3B3C"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Panevėžio miesto</w:t>
            </w:r>
          </w:p>
        </w:tc>
        <w:tc>
          <w:tcPr>
            <w:tcW w:w="1425" w:type="dxa"/>
            <w:noWrap/>
            <w:hideMark/>
          </w:tcPr>
          <w:p w14:paraId="3C73272B"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15 000 000,00 </w:t>
            </w:r>
          </w:p>
        </w:tc>
        <w:tc>
          <w:tcPr>
            <w:tcW w:w="1345" w:type="dxa"/>
            <w:noWrap/>
            <w:hideMark/>
          </w:tcPr>
          <w:p w14:paraId="28B26335"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14:paraId="5E949FC6"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Panevėžio miesto integruotos teritorijos vystymo 2014–2020 m. programoje numatyta priemonė: "Panevėžio miesto gatvių apšvietimo rekonstrukcija"</w:t>
            </w:r>
          </w:p>
        </w:tc>
        <w:tc>
          <w:tcPr>
            <w:tcW w:w="1645" w:type="dxa"/>
            <w:noWrap/>
            <w:hideMark/>
          </w:tcPr>
          <w:p w14:paraId="06C25FA0"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14:paraId="49CB88A8" w14:textId="77777777" w:rsidTr="000E66DF">
        <w:trPr>
          <w:trHeight w:val="6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19F84934" w14:textId="77777777" w:rsidR="00FC2E80" w:rsidRPr="00FC2E80" w:rsidRDefault="00FC2E80" w:rsidP="00FC2E80">
            <w:pPr>
              <w:rPr>
                <w:rFonts w:ascii="Georgia" w:hAnsi="Georgia"/>
                <w:sz w:val="20"/>
                <w:szCs w:val="20"/>
              </w:rPr>
            </w:pPr>
            <w:r w:rsidRPr="00FC2E80">
              <w:rPr>
                <w:rFonts w:ascii="Georgia" w:hAnsi="Georgia"/>
                <w:sz w:val="20"/>
                <w:szCs w:val="20"/>
              </w:rPr>
              <w:t>5</w:t>
            </w:r>
          </w:p>
        </w:tc>
        <w:tc>
          <w:tcPr>
            <w:tcW w:w="1559" w:type="dxa"/>
            <w:hideMark/>
          </w:tcPr>
          <w:p w14:paraId="651D1D4A"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Palangos miesto</w:t>
            </w:r>
          </w:p>
        </w:tc>
        <w:tc>
          <w:tcPr>
            <w:tcW w:w="1425" w:type="dxa"/>
            <w:noWrap/>
            <w:hideMark/>
          </w:tcPr>
          <w:p w14:paraId="28F99213"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9 000 000,00 </w:t>
            </w:r>
          </w:p>
        </w:tc>
        <w:tc>
          <w:tcPr>
            <w:tcW w:w="1345" w:type="dxa"/>
            <w:noWrap/>
            <w:hideMark/>
          </w:tcPr>
          <w:p w14:paraId="0965B5DA"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3 110,00    </w:t>
            </w:r>
          </w:p>
        </w:tc>
        <w:tc>
          <w:tcPr>
            <w:tcW w:w="2509" w:type="dxa"/>
            <w:hideMark/>
          </w:tcPr>
          <w:p w14:paraId="1DFE2298"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Šiuo metu atliekama apšvietimo sistemos inventorizacija</w:t>
            </w:r>
          </w:p>
        </w:tc>
        <w:tc>
          <w:tcPr>
            <w:tcW w:w="1645" w:type="dxa"/>
            <w:noWrap/>
            <w:hideMark/>
          </w:tcPr>
          <w:p w14:paraId="3981F61D"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8 397 000,00</w:t>
            </w:r>
          </w:p>
        </w:tc>
      </w:tr>
      <w:tr w:rsidR="00FC2E80" w:rsidRPr="00FC2E80" w14:paraId="15E21234" w14:textId="77777777" w:rsidTr="000E66D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204671DF" w14:textId="77777777" w:rsidR="00FC2E80" w:rsidRPr="00FC2E80" w:rsidRDefault="00FC2E80" w:rsidP="00FC2E80">
            <w:pPr>
              <w:rPr>
                <w:rFonts w:ascii="Georgia" w:hAnsi="Georgia"/>
                <w:sz w:val="20"/>
                <w:szCs w:val="20"/>
              </w:rPr>
            </w:pPr>
            <w:r w:rsidRPr="00FC2E80">
              <w:rPr>
                <w:rFonts w:ascii="Georgia" w:hAnsi="Georgia"/>
                <w:sz w:val="20"/>
                <w:szCs w:val="20"/>
              </w:rPr>
              <w:t>6</w:t>
            </w:r>
          </w:p>
        </w:tc>
        <w:tc>
          <w:tcPr>
            <w:tcW w:w="1559" w:type="dxa"/>
            <w:hideMark/>
          </w:tcPr>
          <w:p w14:paraId="498B2D83"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Rietavo savivaldybė</w:t>
            </w:r>
          </w:p>
        </w:tc>
        <w:tc>
          <w:tcPr>
            <w:tcW w:w="1425" w:type="dxa"/>
            <w:noWrap/>
            <w:hideMark/>
          </w:tcPr>
          <w:p w14:paraId="7B5DC896"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3 000 000,00 </w:t>
            </w:r>
          </w:p>
        </w:tc>
        <w:tc>
          <w:tcPr>
            <w:tcW w:w="1345" w:type="dxa"/>
            <w:noWrap/>
            <w:hideMark/>
          </w:tcPr>
          <w:p w14:paraId="57E52611"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14:paraId="0CF23285"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Parengti 8 gatvių rekonstrukcijos techniniai projektai su gatvių apšvietimo modernizavimo sprendimais</w:t>
            </w:r>
          </w:p>
        </w:tc>
        <w:tc>
          <w:tcPr>
            <w:tcW w:w="1645" w:type="dxa"/>
            <w:noWrap/>
            <w:hideMark/>
          </w:tcPr>
          <w:p w14:paraId="4288D1B6"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14:paraId="63B51DB4" w14:textId="77777777" w:rsidTr="000E66DF">
        <w:trPr>
          <w:trHeight w:val="15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1CE11BA0" w14:textId="77777777" w:rsidR="00FC2E80" w:rsidRPr="00FC2E80" w:rsidRDefault="00FC2E80" w:rsidP="00FC2E80">
            <w:pPr>
              <w:rPr>
                <w:rFonts w:ascii="Georgia" w:hAnsi="Georgia"/>
                <w:sz w:val="20"/>
                <w:szCs w:val="20"/>
              </w:rPr>
            </w:pPr>
            <w:r w:rsidRPr="00FC2E80">
              <w:rPr>
                <w:rFonts w:ascii="Georgia" w:hAnsi="Georgia"/>
                <w:sz w:val="20"/>
                <w:szCs w:val="20"/>
              </w:rPr>
              <w:lastRenderedPageBreak/>
              <w:t>7</w:t>
            </w:r>
          </w:p>
        </w:tc>
        <w:tc>
          <w:tcPr>
            <w:tcW w:w="1559" w:type="dxa"/>
            <w:hideMark/>
          </w:tcPr>
          <w:p w14:paraId="02ED8E96"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Kazlų Rūdos savivaldybė</w:t>
            </w:r>
          </w:p>
        </w:tc>
        <w:tc>
          <w:tcPr>
            <w:tcW w:w="1425" w:type="dxa"/>
            <w:noWrap/>
            <w:hideMark/>
          </w:tcPr>
          <w:p w14:paraId="6E83D294"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926 000,00 </w:t>
            </w:r>
          </w:p>
        </w:tc>
        <w:tc>
          <w:tcPr>
            <w:tcW w:w="1345" w:type="dxa"/>
            <w:noWrap/>
            <w:hideMark/>
          </w:tcPr>
          <w:p w14:paraId="5232598C"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14:paraId="70A24246"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Parengtas keleto miesto gatvių apšvietimo sistemos rekonstrukcijos techninis projektas, galimybių studija (galimybių studija apima ne tik apšvietimo infrastruktūrą)</w:t>
            </w:r>
          </w:p>
        </w:tc>
        <w:tc>
          <w:tcPr>
            <w:tcW w:w="1645" w:type="dxa"/>
            <w:noWrap/>
            <w:hideMark/>
          </w:tcPr>
          <w:p w14:paraId="1BD55F48"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14:paraId="69C30E99" w14:textId="77777777" w:rsidTr="000E6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gridSpan w:val="2"/>
            <w:noWrap/>
            <w:hideMark/>
          </w:tcPr>
          <w:p w14:paraId="36416659" w14:textId="77777777" w:rsidR="00FC2E80" w:rsidRPr="00FC2E80" w:rsidRDefault="00FC2E80">
            <w:pPr>
              <w:rPr>
                <w:rFonts w:ascii="Georgia" w:hAnsi="Georgia"/>
                <w:sz w:val="20"/>
                <w:szCs w:val="20"/>
              </w:rPr>
            </w:pPr>
            <w:r w:rsidRPr="00FC2E80">
              <w:rPr>
                <w:rFonts w:ascii="Georgia" w:hAnsi="Georgia"/>
                <w:sz w:val="20"/>
                <w:szCs w:val="20"/>
              </w:rPr>
              <w:t>VISO</w:t>
            </w:r>
          </w:p>
          <w:p w14:paraId="060023A6" w14:textId="77777777" w:rsidR="00FC2E80" w:rsidRPr="00FC2E80" w:rsidRDefault="00FC2E80">
            <w:pPr>
              <w:rPr>
                <w:rFonts w:ascii="Georgia" w:hAnsi="Georgia"/>
                <w:sz w:val="20"/>
                <w:szCs w:val="20"/>
              </w:rPr>
            </w:pPr>
            <w:r w:rsidRPr="00FC2E80">
              <w:rPr>
                <w:rFonts w:ascii="Georgia" w:hAnsi="Georgia"/>
                <w:sz w:val="20"/>
                <w:szCs w:val="20"/>
              </w:rPr>
              <w:t> </w:t>
            </w:r>
          </w:p>
        </w:tc>
        <w:tc>
          <w:tcPr>
            <w:tcW w:w="1425" w:type="dxa"/>
            <w:noWrap/>
            <w:hideMark/>
          </w:tcPr>
          <w:p w14:paraId="4E645D70"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b/>
                <w:bCs/>
                <w:sz w:val="20"/>
                <w:szCs w:val="20"/>
              </w:rPr>
            </w:pPr>
            <w:r w:rsidRPr="00FC2E80">
              <w:rPr>
                <w:rFonts w:ascii="Georgia" w:hAnsi="Georgia"/>
                <w:b/>
                <w:bCs/>
                <w:sz w:val="20"/>
                <w:szCs w:val="20"/>
              </w:rPr>
              <w:t xml:space="preserve">178 926 000,00 </w:t>
            </w:r>
          </w:p>
        </w:tc>
        <w:tc>
          <w:tcPr>
            <w:tcW w:w="1345" w:type="dxa"/>
            <w:noWrap/>
            <w:hideMark/>
          </w:tcPr>
          <w:p w14:paraId="7B616C1F"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2509" w:type="dxa"/>
            <w:hideMark/>
          </w:tcPr>
          <w:p w14:paraId="637DEAAE"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1645" w:type="dxa"/>
            <w:noWrap/>
            <w:hideMark/>
          </w:tcPr>
          <w:p w14:paraId="70A0F424"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b/>
                <w:bCs/>
                <w:sz w:val="20"/>
                <w:szCs w:val="20"/>
              </w:rPr>
            </w:pPr>
            <w:r w:rsidRPr="00FC2E80">
              <w:rPr>
                <w:rFonts w:ascii="Georgia" w:hAnsi="Georgia"/>
                <w:b/>
                <w:bCs/>
                <w:sz w:val="20"/>
                <w:szCs w:val="20"/>
              </w:rPr>
              <w:t>39 730 500,00</w:t>
            </w:r>
          </w:p>
        </w:tc>
      </w:tr>
      <w:tr w:rsidR="00FC2E80" w:rsidRPr="00FC2E80" w14:paraId="37914CE6" w14:textId="77777777" w:rsidTr="000E66DF">
        <w:trPr>
          <w:trHeight w:val="300"/>
        </w:trPr>
        <w:tc>
          <w:tcPr>
            <w:cnfStyle w:val="001000000000" w:firstRow="0" w:lastRow="0" w:firstColumn="1" w:lastColumn="0" w:oddVBand="0" w:evenVBand="0" w:oddHBand="0" w:evenHBand="0" w:firstRowFirstColumn="0" w:firstRowLastColumn="0" w:lastRowFirstColumn="0" w:lastRowLastColumn="0"/>
            <w:tcW w:w="2652" w:type="dxa"/>
            <w:gridSpan w:val="2"/>
            <w:noWrap/>
            <w:hideMark/>
          </w:tcPr>
          <w:p w14:paraId="7B13F7CB" w14:textId="77777777" w:rsidR="00FC2E80" w:rsidRPr="00FC2E80" w:rsidRDefault="00FC2E80">
            <w:pPr>
              <w:rPr>
                <w:rFonts w:ascii="Georgia" w:hAnsi="Georgia"/>
                <w:b w:val="0"/>
                <w:bCs w:val="0"/>
                <w:sz w:val="20"/>
                <w:szCs w:val="20"/>
              </w:rPr>
            </w:pPr>
            <w:r w:rsidRPr="00FC2E80">
              <w:rPr>
                <w:rFonts w:ascii="Georgia" w:hAnsi="Georgia"/>
                <w:b w:val="0"/>
                <w:bCs w:val="0"/>
                <w:sz w:val="20"/>
                <w:szCs w:val="20"/>
              </w:rPr>
              <w:t>RAJONO</w:t>
            </w:r>
          </w:p>
          <w:p w14:paraId="48161C62" w14:textId="77777777" w:rsidR="00FC2E80" w:rsidRPr="00FC2E80" w:rsidRDefault="00FC2E80">
            <w:pPr>
              <w:rPr>
                <w:rFonts w:ascii="Georgia" w:hAnsi="Georgia"/>
                <w:sz w:val="20"/>
                <w:szCs w:val="20"/>
              </w:rPr>
            </w:pPr>
            <w:r w:rsidRPr="00FC2E80">
              <w:rPr>
                <w:rFonts w:ascii="Georgia" w:hAnsi="Georgia"/>
                <w:sz w:val="20"/>
                <w:szCs w:val="20"/>
              </w:rPr>
              <w:t> </w:t>
            </w:r>
          </w:p>
        </w:tc>
        <w:tc>
          <w:tcPr>
            <w:tcW w:w="1425" w:type="dxa"/>
            <w:noWrap/>
            <w:hideMark/>
          </w:tcPr>
          <w:p w14:paraId="134BBC56"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1345" w:type="dxa"/>
            <w:noWrap/>
            <w:hideMark/>
          </w:tcPr>
          <w:p w14:paraId="5B84F5D3"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2509" w:type="dxa"/>
            <w:hideMark/>
          </w:tcPr>
          <w:p w14:paraId="16D77D8A"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1645" w:type="dxa"/>
            <w:noWrap/>
            <w:hideMark/>
          </w:tcPr>
          <w:p w14:paraId="63F7E176"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14:paraId="3AC458B0" w14:textId="77777777" w:rsidTr="000E66D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5C3FF602" w14:textId="77777777" w:rsidR="00FC2E80" w:rsidRPr="00FC2E80" w:rsidRDefault="00FC2E80" w:rsidP="00FC2E80">
            <w:pPr>
              <w:rPr>
                <w:rFonts w:ascii="Georgia" w:hAnsi="Georgia"/>
                <w:sz w:val="20"/>
                <w:szCs w:val="20"/>
              </w:rPr>
            </w:pPr>
            <w:r w:rsidRPr="00FC2E80">
              <w:rPr>
                <w:rFonts w:ascii="Georgia" w:hAnsi="Georgia"/>
                <w:sz w:val="20"/>
                <w:szCs w:val="20"/>
              </w:rPr>
              <w:t>8</w:t>
            </w:r>
          </w:p>
        </w:tc>
        <w:tc>
          <w:tcPr>
            <w:tcW w:w="1559" w:type="dxa"/>
            <w:hideMark/>
          </w:tcPr>
          <w:p w14:paraId="1CCD9E7E"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Ukmergės rajono</w:t>
            </w:r>
          </w:p>
        </w:tc>
        <w:tc>
          <w:tcPr>
            <w:tcW w:w="1425" w:type="dxa"/>
            <w:noWrap/>
            <w:hideMark/>
          </w:tcPr>
          <w:p w14:paraId="1746139B"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17 500 000,00 </w:t>
            </w:r>
          </w:p>
        </w:tc>
        <w:tc>
          <w:tcPr>
            <w:tcW w:w="1345" w:type="dxa"/>
            <w:noWrap/>
            <w:hideMark/>
          </w:tcPr>
          <w:p w14:paraId="766ACDE3"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1 649,00    </w:t>
            </w:r>
          </w:p>
        </w:tc>
        <w:tc>
          <w:tcPr>
            <w:tcW w:w="2509" w:type="dxa"/>
            <w:hideMark/>
          </w:tcPr>
          <w:p w14:paraId="7A698096"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Nurodytas bendras šviestuvų skaičius, t.y. planuojamų keisti. Taip pat identifikuotas poreikis keisti 143 km apšvietimo linijų</w:t>
            </w:r>
          </w:p>
        </w:tc>
        <w:tc>
          <w:tcPr>
            <w:tcW w:w="1645" w:type="dxa"/>
            <w:noWrap/>
            <w:hideMark/>
          </w:tcPr>
          <w:p w14:paraId="3C76F5E6"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4 452 300,00</w:t>
            </w:r>
          </w:p>
        </w:tc>
      </w:tr>
      <w:tr w:rsidR="00FC2E80" w:rsidRPr="00FC2E80" w14:paraId="421CD83B" w14:textId="77777777" w:rsidTr="000E66DF">
        <w:trPr>
          <w:trHeight w:val="3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198B3381" w14:textId="77777777" w:rsidR="00FC2E80" w:rsidRPr="00FC2E80" w:rsidRDefault="00FC2E80" w:rsidP="00FC2E80">
            <w:pPr>
              <w:rPr>
                <w:rFonts w:ascii="Georgia" w:hAnsi="Georgia"/>
                <w:sz w:val="20"/>
                <w:szCs w:val="20"/>
              </w:rPr>
            </w:pPr>
            <w:r w:rsidRPr="00FC2E80">
              <w:rPr>
                <w:rFonts w:ascii="Georgia" w:hAnsi="Georgia"/>
                <w:sz w:val="20"/>
                <w:szCs w:val="20"/>
              </w:rPr>
              <w:t>9</w:t>
            </w:r>
          </w:p>
        </w:tc>
        <w:tc>
          <w:tcPr>
            <w:tcW w:w="1559" w:type="dxa"/>
            <w:hideMark/>
          </w:tcPr>
          <w:p w14:paraId="0C438DFE"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Akmenės rajono</w:t>
            </w:r>
          </w:p>
        </w:tc>
        <w:tc>
          <w:tcPr>
            <w:tcW w:w="1425" w:type="dxa"/>
            <w:noWrap/>
            <w:hideMark/>
          </w:tcPr>
          <w:p w14:paraId="16AB109C"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15 000 000,00 </w:t>
            </w:r>
          </w:p>
        </w:tc>
        <w:tc>
          <w:tcPr>
            <w:tcW w:w="1345" w:type="dxa"/>
            <w:noWrap/>
            <w:hideMark/>
          </w:tcPr>
          <w:p w14:paraId="3BA8E127"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3 050,00    </w:t>
            </w:r>
          </w:p>
        </w:tc>
        <w:tc>
          <w:tcPr>
            <w:tcW w:w="2509" w:type="dxa"/>
            <w:hideMark/>
          </w:tcPr>
          <w:p w14:paraId="58D25CA6"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Rengiamas techninis projektas.</w:t>
            </w:r>
          </w:p>
        </w:tc>
        <w:tc>
          <w:tcPr>
            <w:tcW w:w="1645" w:type="dxa"/>
            <w:noWrap/>
            <w:hideMark/>
          </w:tcPr>
          <w:p w14:paraId="19393116"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8 235 000,00</w:t>
            </w:r>
          </w:p>
        </w:tc>
      </w:tr>
      <w:tr w:rsidR="00FC2E80" w:rsidRPr="00FC2E80" w14:paraId="2603082E" w14:textId="77777777" w:rsidTr="000E66DF">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093" w:type="dxa"/>
            <w:noWrap/>
            <w:hideMark/>
          </w:tcPr>
          <w:p w14:paraId="67A034F6" w14:textId="77777777" w:rsidR="00FC2E80" w:rsidRPr="00FC2E80" w:rsidRDefault="00FC2E80" w:rsidP="00FC2E80">
            <w:pPr>
              <w:rPr>
                <w:rFonts w:ascii="Georgia" w:hAnsi="Georgia"/>
                <w:sz w:val="20"/>
                <w:szCs w:val="20"/>
              </w:rPr>
            </w:pPr>
            <w:r w:rsidRPr="00FC2E80">
              <w:rPr>
                <w:rFonts w:ascii="Georgia" w:hAnsi="Georgia"/>
                <w:sz w:val="20"/>
                <w:szCs w:val="20"/>
              </w:rPr>
              <w:t>10</w:t>
            </w:r>
          </w:p>
        </w:tc>
        <w:tc>
          <w:tcPr>
            <w:tcW w:w="1559" w:type="dxa"/>
            <w:hideMark/>
          </w:tcPr>
          <w:p w14:paraId="081C9FEE"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Vilniaus rajono</w:t>
            </w:r>
          </w:p>
        </w:tc>
        <w:tc>
          <w:tcPr>
            <w:tcW w:w="1425" w:type="dxa"/>
            <w:noWrap/>
            <w:hideMark/>
          </w:tcPr>
          <w:p w14:paraId="4D3029C7"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11 212 000,00 </w:t>
            </w:r>
          </w:p>
        </w:tc>
        <w:tc>
          <w:tcPr>
            <w:tcW w:w="1345" w:type="dxa"/>
            <w:noWrap/>
            <w:hideMark/>
          </w:tcPr>
          <w:p w14:paraId="4BBF9999"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14:paraId="1074686A"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2014 m. parengta galimybių studija.</w:t>
            </w:r>
          </w:p>
        </w:tc>
        <w:tc>
          <w:tcPr>
            <w:tcW w:w="1645" w:type="dxa"/>
            <w:noWrap/>
            <w:hideMark/>
          </w:tcPr>
          <w:p w14:paraId="5CD65836"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14:paraId="0CD3617B" w14:textId="77777777" w:rsidTr="000E66DF">
        <w:trPr>
          <w:trHeight w:val="915"/>
        </w:trPr>
        <w:tc>
          <w:tcPr>
            <w:cnfStyle w:val="001000000000" w:firstRow="0" w:lastRow="0" w:firstColumn="1" w:lastColumn="0" w:oddVBand="0" w:evenVBand="0" w:oddHBand="0" w:evenHBand="0" w:firstRowFirstColumn="0" w:firstRowLastColumn="0" w:lastRowFirstColumn="0" w:lastRowLastColumn="0"/>
            <w:tcW w:w="1093" w:type="dxa"/>
            <w:noWrap/>
            <w:hideMark/>
          </w:tcPr>
          <w:p w14:paraId="5D5D8A27" w14:textId="77777777" w:rsidR="00FC2E80" w:rsidRPr="00FC2E80" w:rsidRDefault="00FC2E80" w:rsidP="00FC2E80">
            <w:pPr>
              <w:rPr>
                <w:rFonts w:ascii="Georgia" w:hAnsi="Georgia"/>
                <w:sz w:val="20"/>
                <w:szCs w:val="20"/>
              </w:rPr>
            </w:pPr>
            <w:r w:rsidRPr="00FC2E80">
              <w:rPr>
                <w:rFonts w:ascii="Georgia" w:hAnsi="Georgia"/>
                <w:sz w:val="20"/>
                <w:szCs w:val="20"/>
              </w:rPr>
              <w:t>11</w:t>
            </w:r>
          </w:p>
        </w:tc>
        <w:tc>
          <w:tcPr>
            <w:tcW w:w="1559" w:type="dxa"/>
            <w:hideMark/>
          </w:tcPr>
          <w:p w14:paraId="6889D1E8"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Šakių rajono</w:t>
            </w:r>
          </w:p>
        </w:tc>
        <w:tc>
          <w:tcPr>
            <w:tcW w:w="1425" w:type="dxa"/>
            <w:noWrap/>
            <w:hideMark/>
          </w:tcPr>
          <w:p w14:paraId="0A46A606"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10 190 000,00 </w:t>
            </w:r>
          </w:p>
        </w:tc>
        <w:tc>
          <w:tcPr>
            <w:tcW w:w="1345" w:type="dxa"/>
            <w:noWrap/>
            <w:hideMark/>
          </w:tcPr>
          <w:p w14:paraId="535BE781"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14:paraId="07CD29F7"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Pradėtas infrastruktūros inventorizavimas ir techninių projektų parengiamieji darbai. Planuojama įgyvendinti 14 projektų.</w:t>
            </w:r>
          </w:p>
        </w:tc>
        <w:tc>
          <w:tcPr>
            <w:tcW w:w="1645" w:type="dxa"/>
            <w:noWrap/>
            <w:hideMark/>
          </w:tcPr>
          <w:p w14:paraId="64CFA3FF"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14:paraId="1F9314BC" w14:textId="77777777" w:rsidTr="000E66DF">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244F581E" w14:textId="77777777" w:rsidR="00FC2E80" w:rsidRPr="00FC2E80" w:rsidRDefault="00FC2E80" w:rsidP="00FC2E80">
            <w:pPr>
              <w:rPr>
                <w:rFonts w:ascii="Georgia" w:hAnsi="Georgia"/>
                <w:sz w:val="20"/>
                <w:szCs w:val="20"/>
              </w:rPr>
            </w:pPr>
            <w:r w:rsidRPr="00FC2E80">
              <w:rPr>
                <w:rFonts w:ascii="Georgia" w:hAnsi="Georgia"/>
                <w:sz w:val="20"/>
                <w:szCs w:val="20"/>
              </w:rPr>
              <w:t>12</w:t>
            </w:r>
          </w:p>
        </w:tc>
        <w:tc>
          <w:tcPr>
            <w:tcW w:w="1559" w:type="dxa"/>
            <w:hideMark/>
          </w:tcPr>
          <w:p w14:paraId="12F445BA"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Kretingos rajono</w:t>
            </w:r>
          </w:p>
        </w:tc>
        <w:tc>
          <w:tcPr>
            <w:tcW w:w="1425" w:type="dxa"/>
            <w:noWrap/>
            <w:hideMark/>
          </w:tcPr>
          <w:p w14:paraId="4023A758"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8 850 000,00 </w:t>
            </w:r>
          </w:p>
        </w:tc>
        <w:tc>
          <w:tcPr>
            <w:tcW w:w="1345" w:type="dxa"/>
            <w:noWrap/>
            <w:hideMark/>
          </w:tcPr>
          <w:p w14:paraId="32D7AC58"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14:paraId="16FB697D"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Ketinama įgyvendinti 40 projektų. Iš jų parengti 8 projektai, 2 techniniai projektai ir vykdoma viena statybos leidimo gavimo procedūra.</w:t>
            </w:r>
          </w:p>
        </w:tc>
        <w:tc>
          <w:tcPr>
            <w:tcW w:w="1645" w:type="dxa"/>
            <w:noWrap/>
            <w:hideMark/>
          </w:tcPr>
          <w:p w14:paraId="460A98C2"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14:paraId="6C4127F0" w14:textId="77777777" w:rsidTr="000E66DF">
        <w:trPr>
          <w:trHeight w:val="9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688F23FF" w14:textId="77777777" w:rsidR="00FC2E80" w:rsidRPr="00FC2E80" w:rsidRDefault="00FC2E80" w:rsidP="00FC2E80">
            <w:pPr>
              <w:rPr>
                <w:rFonts w:ascii="Georgia" w:hAnsi="Georgia"/>
                <w:sz w:val="20"/>
                <w:szCs w:val="20"/>
              </w:rPr>
            </w:pPr>
            <w:r w:rsidRPr="00FC2E80">
              <w:rPr>
                <w:rFonts w:ascii="Georgia" w:hAnsi="Georgia"/>
                <w:sz w:val="20"/>
                <w:szCs w:val="20"/>
              </w:rPr>
              <w:t>13</w:t>
            </w:r>
          </w:p>
        </w:tc>
        <w:tc>
          <w:tcPr>
            <w:tcW w:w="1559" w:type="dxa"/>
            <w:hideMark/>
          </w:tcPr>
          <w:p w14:paraId="5664D436"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Joniškio rajono</w:t>
            </w:r>
          </w:p>
        </w:tc>
        <w:tc>
          <w:tcPr>
            <w:tcW w:w="1425" w:type="dxa"/>
            <w:noWrap/>
            <w:hideMark/>
          </w:tcPr>
          <w:p w14:paraId="752E0F01"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8 500 000,00 </w:t>
            </w:r>
          </w:p>
        </w:tc>
        <w:tc>
          <w:tcPr>
            <w:tcW w:w="1345" w:type="dxa"/>
            <w:noWrap/>
            <w:hideMark/>
          </w:tcPr>
          <w:p w14:paraId="03028F14"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900,00    </w:t>
            </w:r>
          </w:p>
        </w:tc>
        <w:tc>
          <w:tcPr>
            <w:tcW w:w="2509" w:type="dxa"/>
            <w:hideMark/>
          </w:tcPr>
          <w:p w14:paraId="1437B388"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Taip pat numatytas naujų kabelių (apie 50 km), naujų stulpų ir nuotolinės valdymo sistemos įrengimas</w:t>
            </w:r>
          </w:p>
        </w:tc>
        <w:tc>
          <w:tcPr>
            <w:tcW w:w="1645" w:type="dxa"/>
            <w:noWrap/>
            <w:hideMark/>
          </w:tcPr>
          <w:p w14:paraId="37EF23E7"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2 430 000,00</w:t>
            </w:r>
          </w:p>
        </w:tc>
      </w:tr>
      <w:tr w:rsidR="00FC2E80" w:rsidRPr="00FC2E80" w14:paraId="6C234CA1" w14:textId="77777777" w:rsidTr="000E66DF">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1AA605EB" w14:textId="77777777" w:rsidR="00FC2E80" w:rsidRPr="00FC2E80" w:rsidRDefault="00FC2E80" w:rsidP="00FC2E80">
            <w:pPr>
              <w:rPr>
                <w:rFonts w:ascii="Georgia" w:hAnsi="Georgia"/>
                <w:sz w:val="20"/>
                <w:szCs w:val="20"/>
              </w:rPr>
            </w:pPr>
            <w:r w:rsidRPr="00FC2E80">
              <w:rPr>
                <w:rFonts w:ascii="Georgia" w:hAnsi="Georgia"/>
                <w:sz w:val="20"/>
                <w:szCs w:val="20"/>
              </w:rPr>
              <w:t>14</w:t>
            </w:r>
          </w:p>
        </w:tc>
        <w:tc>
          <w:tcPr>
            <w:tcW w:w="1559" w:type="dxa"/>
            <w:hideMark/>
          </w:tcPr>
          <w:p w14:paraId="6E3DD937"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Šilutės rajono</w:t>
            </w:r>
          </w:p>
        </w:tc>
        <w:tc>
          <w:tcPr>
            <w:tcW w:w="1425" w:type="dxa"/>
            <w:noWrap/>
            <w:hideMark/>
          </w:tcPr>
          <w:p w14:paraId="55C312CF"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6 397 985,30 </w:t>
            </w:r>
          </w:p>
        </w:tc>
        <w:tc>
          <w:tcPr>
            <w:tcW w:w="1345" w:type="dxa"/>
            <w:noWrap/>
            <w:hideMark/>
          </w:tcPr>
          <w:p w14:paraId="37B5648B"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1 649,00    </w:t>
            </w:r>
          </w:p>
        </w:tc>
        <w:tc>
          <w:tcPr>
            <w:tcW w:w="2509" w:type="dxa"/>
            <w:hideMark/>
          </w:tcPr>
          <w:p w14:paraId="44DEFE10"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Nurodytas šviestuvų skaičius yra bendras, t.y. nebūtinai planuojamų keisti. Parengti 23 gatvių rekonstrukcijų projektai, kurie apima ir gatvių apšvietimą, šiuo metu rengiami dar 2 projektai. Reikia dar įrengti 22,14 </w:t>
            </w:r>
            <w:r w:rsidRPr="00FC2E80">
              <w:rPr>
                <w:rFonts w:ascii="Georgia" w:hAnsi="Georgia"/>
                <w:sz w:val="20"/>
                <w:szCs w:val="20"/>
              </w:rPr>
              <w:lastRenderedPageBreak/>
              <w:t>km naujų gatvių apšvietimo linijų.</w:t>
            </w:r>
          </w:p>
        </w:tc>
        <w:tc>
          <w:tcPr>
            <w:tcW w:w="1645" w:type="dxa"/>
            <w:noWrap/>
            <w:hideMark/>
          </w:tcPr>
          <w:p w14:paraId="39C59649"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lastRenderedPageBreak/>
              <w:t>4 452 300,00</w:t>
            </w:r>
          </w:p>
        </w:tc>
      </w:tr>
      <w:tr w:rsidR="00FC2E80" w:rsidRPr="00FC2E80" w14:paraId="050D447B" w14:textId="77777777" w:rsidTr="000E66DF">
        <w:trPr>
          <w:trHeight w:val="9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213F9BB9" w14:textId="77777777" w:rsidR="00FC2E80" w:rsidRPr="00FC2E80" w:rsidRDefault="00FC2E80" w:rsidP="00FC2E80">
            <w:pPr>
              <w:rPr>
                <w:rFonts w:ascii="Georgia" w:hAnsi="Georgia"/>
                <w:sz w:val="20"/>
                <w:szCs w:val="20"/>
              </w:rPr>
            </w:pPr>
            <w:r w:rsidRPr="00FC2E80">
              <w:rPr>
                <w:rFonts w:ascii="Georgia" w:hAnsi="Georgia"/>
                <w:sz w:val="20"/>
                <w:szCs w:val="20"/>
              </w:rPr>
              <w:lastRenderedPageBreak/>
              <w:t>15</w:t>
            </w:r>
          </w:p>
        </w:tc>
        <w:tc>
          <w:tcPr>
            <w:tcW w:w="1559" w:type="dxa"/>
            <w:hideMark/>
          </w:tcPr>
          <w:p w14:paraId="2045DCF4"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Pakruojo rajono</w:t>
            </w:r>
          </w:p>
        </w:tc>
        <w:tc>
          <w:tcPr>
            <w:tcW w:w="1425" w:type="dxa"/>
            <w:noWrap/>
            <w:hideMark/>
          </w:tcPr>
          <w:p w14:paraId="333A40D4"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5 000 000,00 </w:t>
            </w:r>
          </w:p>
        </w:tc>
        <w:tc>
          <w:tcPr>
            <w:tcW w:w="1345" w:type="dxa"/>
            <w:noWrap/>
            <w:hideMark/>
          </w:tcPr>
          <w:p w14:paraId="5CD5C3BB"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14:paraId="0FC2B80D"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2014-2020 m. savivaldybės strateginiame plane numatytos dvi apšvietimo atnaujinimo ir plėtros priemonės </w:t>
            </w:r>
          </w:p>
        </w:tc>
        <w:tc>
          <w:tcPr>
            <w:tcW w:w="1645" w:type="dxa"/>
            <w:noWrap/>
            <w:hideMark/>
          </w:tcPr>
          <w:p w14:paraId="3C1B7967"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14:paraId="6351B770" w14:textId="77777777" w:rsidTr="000E66D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6908D0EA" w14:textId="77777777" w:rsidR="00FC2E80" w:rsidRPr="00FC2E80" w:rsidRDefault="00FC2E80" w:rsidP="00FC2E80">
            <w:pPr>
              <w:rPr>
                <w:rFonts w:ascii="Georgia" w:hAnsi="Georgia"/>
                <w:sz w:val="20"/>
                <w:szCs w:val="20"/>
              </w:rPr>
            </w:pPr>
            <w:r w:rsidRPr="00FC2E80">
              <w:rPr>
                <w:rFonts w:ascii="Georgia" w:hAnsi="Georgia"/>
                <w:sz w:val="20"/>
                <w:szCs w:val="20"/>
              </w:rPr>
              <w:t>16</w:t>
            </w:r>
          </w:p>
        </w:tc>
        <w:tc>
          <w:tcPr>
            <w:tcW w:w="1559" w:type="dxa"/>
            <w:hideMark/>
          </w:tcPr>
          <w:p w14:paraId="12437D9F"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Radviliškio rajono</w:t>
            </w:r>
          </w:p>
        </w:tc>
        <w:tc>
          <w:tcPr>
            <w:tcW w:w="1425" w:type="dxa"/>
            <w:noWrap/>
            <w:hideMark/>
          </w:tcPr>
          <w:p w14:paraId="423703B8"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3 400 000,00 </w:t>
            </w:r>
          </w:p>
        </w:tc>
        <w:tc>
          <w:tcPr>
            <w:tcW w:w="1345" w:type="dxa"/>
            <w:noWrap/>
            <w:hideMark/>
          </w:tcPr>
          <w:p w14:paraId="53968435"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14:paraId="505AC157"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Rengiama galimybių studija ir techninis projektas. Inventorizuoti trijų miesto gatvių inžineriniai tinklai.</w:t>
            </w:r>
          </w:p>
        </w:tc>
        <w:tc>
          <w:tcPr>
            <w:tcW w:w="1645" w:type="dxa"/>
            <w:noWrap/>
            <w:hideMark/>
          </w:tcPr>
          <w:p w14:paraId="44B80983"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14:paraId="5FADD9A8" w14:textId="77777777" w:rsidTr="000E66DF">
        <w:trPr>
          <w:trHeight w:val="3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50F71D27" w14:textId="77777777" w:rsidR="00FC2E80" w:rsidRPr="00FC2E80" w:rsidRDefault="00FC2E80" w:rsidP="00FC2E80">
            <w:pPr>
              <w:rPr>
                <w:rFonts w:ascii="Georgia" w:hAnsi="Georgia"/>
                <w:sz w:val="20"/>
                <w:szCs w:val="20"/>
              </w:rPr>
            </w:pPr>
            <w:r w:rsidRPr="00FC2E80">
              <w:rPr>
                <w:rFonts w:ascii="Georgia" w:hAnsi="Georgia"/>
                <w:sz w:val="20"/>
                <w:szCs w:val="20"/>
              </w:rPr>
              <w:t>17</w:t>
            </w:r>
          </w:p>
        </w:tc>
        <w:tc>
          <w:tcPr>
            <w:tcW w:w="1559" w:type="dxa"/>
            <w:hideMark/>
          </w:tcPr>
          <w:p w14:paraId="3326365D"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Panevėžio rajono</w:t>
            </w:r>
          </w:p>
        </w:tc>
        <w:tc>
          <w:tcPr>
            <w:tcW w:w="1425" w:type="dxa"/>
            <w:noWrap/>
            <w:hideMark/>
          </w:tcPr>
          <w:p w14:paraId="5C00556A"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3 345 000,00 </w:t>
            </w:r>
          </w:p>
        </w:tc>
        <w:tc>
          <w:tcPr>
            <w:tcW w:w="1345" w:type="dxa"/>
            <w:noWrap/>
            <w:hideMark/>
          </w:tcPr>
          <w:p w14:paraId="13D9B63A"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3 345,00    </w:t>
            </w:r>
          </w:p>
        </w:tc>
        <w:tc>
          <w:tcPr>
            <w:tcW w:w="2509" w:type="dxa"/>
            <w:hideMark/>
          </w:tcPr>
          <w:p w14:paraId="22308612"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1645" w:type="dxa"/>
            <w:noWrap/>
            <w:hideMark/>
          </w:tcPr>
          <w:p w14:paraId="3A942074"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9 031 500,00</w:t>
            </w:r>
          </w:p>
        </w:tc>
      </w:tr>
      <w:tr w:rsidR="00FC2E80" w:rsidRPr="00FC2E80" w14:paraId="76FC0D94" w14:textId="77777777" w:rsidTr="000E66D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2B83E1DE" w14:textId="77777777" w:rsidR="00FC2E80" w:rsidRPr="00FC2E80" w:rsidRDefault="00FC2E80" w:rsidP="00FC2E80">
            <w:pPr>
              <w:rPr>
                <w:rFonts w:ascii="Georgia" w:hAnsi="Georgia"/>
                <w:sz w:val="20"/>
                <w:szCs w:val="20"/>
              </w:rPr>
            </w:pPr>
            <w:r w:rsidRPr="00FC2E80">
              <w:rPr>
                <w:rFonts w:ascii="Georgia" w:hAnsi="Georgia"/>
                <w:sz w:val="20"/>
                <w:szCs w:val="20"/>
              </w:rPr>
              <w:t>18</w:t>
            </w:r>
          </w:p>
        </w:tc>
        <w:tc>
          <w:tcPr>
            <w:tcW w:w="1559" w:type="dxa"/>
            <w:hideMark/>
          </w:tcPr>
          <w:p w14:paraId="7D7CC156"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Jonavos rajono</w:t>
            </w:r>
          </w:p>
        </w:tc>
        <w:tc>
          <w:tcPr>
            <w:tcW w:w="1425" w:type="dxa"/>
            <w:noWrap/>
            <w:hideMark/>
          </w:tcPr>
          <w:p w14:paraId="3611E938"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3 050 000,00 </w:t>
            </w:r>
          </w:p>
        </w:tc>
        <w:tc>
          <w:tcPr>
            <w:tcW w:w="1345" w:type="dxa"/>
            <w:noWrap/>
            <w:hideMark/>
          </w:tcPr>
          <w:p w14:paraId="682CCF40"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1 430,00    </w:t>
            </w:r>
          </w:p>
        </w:tc>
        <w:tc>
          <w:tcPr>
            <w:tcW w:w="2509" w:type="dxa"/>
            <w:hideMark/>
          </w:tcPr>
          <w:p w14:paraId="1A17B626"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Rengiama studija, parengti 3 techniniai projektai.</w:t>
            </w:r>
          </w:p>
        </w:tc>
        <w:tc>
          <w:tcPr>
            <w:tcW w:w="1645" w:type="dxa"/>
            <w:noWrap/>
            <w:hideMark/>
          </w:tcPr>
          <w:p w14:paraId="1AB398DD"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3 861 000,00</w:t>
            </w:r>
          </w:p>
        </w:tc>
      </w:tr>
      <w:tr w:rsidR="00FC2E80" w:rsidRPr="00FC2E80" w14:paraId="3CA5DD63" w14:textId="77777777" w:rsidTr="000E66DF">
        <w:trPr>
          <w:trHeight w:val="9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3EA1E8EB" w14:textId="77777777" w:rsidR="00FC2E80" w:rsidRPr="00FC2E80" w:rsidRDefault="00FC2E80" w:rsidP="00FC2E80">
            <w:pPr>
              <w:rPr>
                <w:rFonts w:ascii="Georgia" w:hAnsi="Georgia"/>
                <w:sz w:val="20"/>
                <w:szCs w:val="20"/>
              </w:rPr>
            </w:pPr>
            <w:r w:rsidRPr="00FC2E80">
              <w:rPr>
                <w:rFonts w:ascii="Georgia" w:hAnsi="Georgia"/>
                <w:sz w:val="20"/>
                <w:szCs w:val="20"/>
              </w:rPr>
              <w:t>19</w:t>
            </w:r>
          </w:p>
        </w:tc>
        <w:tc>
          <w:tcPr>
            <w:tcW w:w="1559" w:type="dxa"/>
            <w:hideMark/>
          </w:tcPr>
          <w:p w14:paraId="6471467A"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Utenos rajono</w:t>
            </w:r>
          </w:p>
        </w:tc>
        <w:tc>
          <w:tcPr>
            <w:tcW w:w="1425" w:type="dxa"/>
            <w:noWrap/>
            <w:hideMark/>
          </w:tcPr>
          <w:p w14:paraId="68A99E9E"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2 700 000,00 </w:t>
            </w:r>
          </w:p>
        </w:tc>
        <w:tc>
          <w:tcPr>
            <w:tcW w:w="1345" w:type="dxa"/>
            <w:noWrap/>
            <w:hideMark/>
          </w:tcPr>
          <w:p w14:paraId="4E370D9B"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230,00    </w:t>
            </w:r>
          </w:p>
        </w:tc>
        <w:tc>
          <w:tcPr>
            <w:tcW w:w="2509" w:type="dxa"/>
            <w:hideMark/>
          </w:tcPr>
          <w:p w14:paraId="3111D6F7"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Bendras šviestuvų skaičius - 2760. Šiuo metu rengiama galimybių studija. Parengti 4 gatvių rekonstrukcijos techniniai projektai.  </w:t>
            </w:r>
          </w:p>
        </w:tc>
        <w:tc>
          <w:tcPr>
            <w:tcW w:w="1645" w:type="dxa"/>
            <w:noWrap/>
            <w:hideMark/>
          </w:tcPr>
          <w:p w14:paraId="14708B8A"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621 000,00</w:t>
            </w:r>
          </w:p>
        </w:tc>
      </w:tr>
      <w:tr w:rsidR="00FC2E80" w:rsidRPr="00FC2E80" w14:paraId="3239B2A9" w14:textId="77777777" w:rsidTr="000E66DF">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422AF7E8" w14:textId="77777777" w:rsidR="00FC2E80" w:rsidRPr="00FC2E80" w:rsidRDefault="00FC2E80" w:rsidP="00FC2E80">
            <w:pPr>
              <w:rPr>
                <w:rFonts w:ascii="Georgia" w:hAnsi="Georgia"/>
                <w:sz w:val="20"/>
                <w:szCs w:val="20"/>
              </w:rPr>
            </w:pPr>
            <w:r w:rsidRPr="00FC2E80">
              <w:rPr>
                <w:rFonts w:ascii="Georgia" w:hAnsi="Georgia"/>
                <w:sz w:val="20"/>
                <w:szCs w:val="20"/>
              </w:rPr>
              <w:t>20</w:t>
            </w:r>
          </w:p>
        </w:tc>
        <w:tc>
          <w:tcPr>
            <w:tcW w:w="1559" w:type="dxa"/>
            <w:hideMark/>
          </w:tcPr>
          <w:p w14:paraId="05754A10"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Anykščių rajono</w:t>
            </w:r>
          </w:p>
        </w:tc>
        <w:tc>
          <w:tcPr>
            <w:tcW w:w="1425" w:type="dxa"/>
            <w:noWrap/>
            <w:hideMark/>
          </w:tcPr>
          <w:p w14:paraId="7FA705ED"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2 500 000,00 </w:t>
            </w:r>
          </w:p>
        </w:tc>
        <w:tc>
          <w:tcPr>
            <w:tcW w:w="1345" w:type="dxa"/>
            <w:noWrap/>
            <w:hideMark/>
          </w:tcPr>
          <w:p w14:paraId="459B4531"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14:paraId="70BA3872"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Savivaldybė gatvių apšvietimo modernizavimą nurodo kaip prioritetinę sritį, tačiau kaip pagrindinė kliūtis veiksmų šioje srityje įgyvendinimui nurodomas lėšų trūkumas.</w:t>
            </w:r>
          </w:p>
        </w:tc>
        <w:tc>
          <w:tcPr>
            <w:tcW w:w="1645" w:type="dxa"/>
            <w:noWrap/>
            <w:hideMark/>
          </w:tcPr>
          <w:p w14:paraId="331470D7"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14:paraId="397E501D" w14:textId="77777777" w:rsidTr="000E66DF">
        <w:trPr>
          <w:trHeight w:val="6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6A87CCF7" w14:textId="77777777" w:rsidR="00FC2E80" w:rsidRPr="00FC2E80" w:rsidRDefault="00FC2E80" w:rsidP="00FC2E80">
            <w:pPr>
              <w:rPr>
                <w:rFonts w:ascii="Georgia" w:hAnsi="Georgia"/>
                <w:sz w:val="20"/>
                <w:szCs w:val="20"/>
              </w:rPr>
            </w:pPr>
            <w:r w:rsidRPr="00FC2E80">
              <w:rPr>
                <w:rFonts w:ascii="Georgia" w:hAnsi="Georgia"/>
                <w:sz w:val="20"/>
                <w:szCs w:val="20"/>
              </w:rPr>
              <w:t>21</w:t>
            </w:r>
          </w:p>
        </w:tc>
        <w:tc>
          <w:tcPr>
            <w:tcW w:w="1559" w:type="dxa"/>
            <w:hideMark/>
          </w:tcPr>
          <w:p w14:paraId="76CF1C2F"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Pasvalio rajono</w:t>
            </w:r>
          </w:p>
        </w:tc>
        <w:tc>
          <w:tcPr>
            <w:tcW w:w="1425" w:type="dxa"/>
            <w:noWrap/>
            <w:hideMark/>
          </w:tcPr>
          <w:p w14:paraId="02792BF7"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2 500 000,00 </w:t>
            </w:r>
          </w:p>
        </w:tc>
        <w:tc>
          <w:tcPr>
            <w:tcW w:w="1345" w:type="dxa"/>
            <w:noWrap/>
            <w:hideMark/>
          </w:tcPr>
          <w:p w14:paraId="7D9863FD"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14:paraId="5A40E921"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Jei būtų skirtos ES lėšos, galėtų įgyvendinti 11 projektų.</w:t>
            </w:r>
          </w:p>
        </w:tc>
        <w:tc>
          <w:tcPr>
            <w:tcW w:w="1645" w:type="dxa"/>
            <w:noWrap/>
            <w:hideMark/>
          </w:tcPr>
          <w:p w14:paraId="073C9073"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14:paraId="09176897" w14:textId="77777777" w:rsidTr="000E66D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3DD43530" w14:textId="77777777" w:rsidR="00FC2E80" w:rsidRPr="00FC2E80" w:rsidRDefault="00FC2E80" w:rsidP="00FC2E80">
            <w:pPr>
              <w:rPr>
                <w:rFonts w:ascii="Georgia" w:hAnsi="Georgia"/>
                <w:sz w:val="20"/>
                <w:szCs w:val="20"/>
              </w:rPr>
            </w:pPr>
            <w:r w:rsidRPr="00FC2E80">
              <w:rPr>
                <w:rFonts w:ascii="Georgia" w:hAnsi="Georgia"/>
                <w:sz w:val="20"/>
                <w:szCs w:val="20"/>
              </w:rPr>
              <w:t>22</w:t>
            </w:r>
          </w:p>
        </w:tc>
        <w:tc>
          <w:tcPr>
            <w:tcW w:w="1559" w:type="dxa"/>
            <w:hideMark/>
          </w:tcPr>
          <w:p w14:paraId="11094550"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Mažeikių rajono</w:t>
            </w:r>
          </w:p>
        </w:tc>
        <w:tc>
          <w:tcPr>
            <w:tcW w:w="1425" w:type="dxa"/>
            <w:noWrap/>
            <w:hideMark/>
          </w:tcPr>
          <w:p w14:paraId="2BB4BD7E"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2 132 000,00 </w:t>
            </w:r>
          </w:p>
        </w:tc>
        <w:tc>
          <w:tcPr>
            <w:tcW w:w="1345" w:type="dxa"/>
            <w:noWrap/>
            <w:hideMark/>
          </w:tcPr>
          <w:p w14:paraId="4FD663CA"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600,00    </w:t>
            </w:r>
          </w:p>
        </w:tc>
        <w:tc>
          <w:tcPr>
            <w:tcW w:w="2509" w:type="dxa"/>
            <w:hideMark/>
          </w:tcPr>
          <w:p w14:paraId="6EBF0E21"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Numatoma įgyvendinti 4 gatvių apšvietimo projektus.</w:t>
            </w:r>
          </w:p>
        </w:tc>
        <w:tc>
          <w:tcPr>
            <w:tcW w:w="1645" w:type="dxa"/>
            <w:noWrap/>
            <w:hideMark/>
          </w:tcPr>
          <w:p w14:paraId="328DE859"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1 620 000,00</w:t>
            </w:r>
          </w:p>
        </w:tc>
      </w:tr>
      <w:tr w:rsidR="00FC2E80" w:rsidRPr="00FC2E80" w14:paraId="7C361D02" w14:textId="77777777" w:rsidTr="000E66DF">
        <w:trPr>
          <w:trHeight w:val="6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62141C8E" w14:textId="77777777" w:rsidR="00FC2E80" w:rsidRPr="00FC2E80" w:rsidRDefault="00FC2E80" w:rsidP="00FC2E80">
            <w:pPr>
              <w:rPr>
                <w:rFonts w:ascii="Georgia" w:hAnsi="Georgia"/>
                <w:sz w:val="20"/>
                <w:szCs w:val="20"/>
              </w:rPr>
            </w:pPr>
            <w:r w:rsidRPr="00FC2E80">
              <w:rPr>
                <w:rFonts w:ascii="Georgia" w:hAnsi="Georgia"/>
                <w:sz w:val="20"/>
                <w:szCs w:val="20"/>
              </w:rPr>
              <w:t>23</w:t>
            </w:r>
          </w:p>
        </w:tc>
        <w:tc>
          <w:tcPr>
            <w:tcW w:w="1559" w:type="dxa"/>
            <w:hideMark/>
          </w:tcPr>
          <w:p w14:paraId="38985A2A"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Kėdainių rajono</w:t>
            </w:r>
          </w:p>
        </w:tc>
        <w:tc>
          <w:tcPr>
            <w:tcW w:w="1425" w:type="dxa"/>
            <w:noWrap/>
            <w:hideMark/>
          </w:tcPr>
          <w:p w14:paraId="47C7CA49"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2 000 000,00 </w:t>
            </w:r>
          </w:p>
        </w:tc>
        <w:tc>
          <w:tcPr>
            <w:tcW w:w="1345" w:type="dxa"/>
            <w:noWrap/>
            <w:hideMark/>
          </w:tcPr>
          <w:p w14:paraId="56A821DE"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1 660,00    </w:t>
            </w:r>
          </w:p>
        </w:tc>
        <w:tc>
          <w:tcPr>
            <w:tcW w:w="2509" w:type="dxa"/>
            <w:hideMark/>
          </w:tcPr>
          <w:p w14:paraId="0B282934"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2005 m. parengtas Basanavičiaus g. techninis projektas.</w:t>
            </w:r>
          </w:p>
        </w:tc>
        <w:tc>
          <w:tcPr>
            <w:tcW w:w="1645" w:type="dxa"/>
            <w:noWrap/>
            <w:hideMark/>
          </w:tcPr>
          <w:p w14:paraId="1EC1646B"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4 482 000,00</w:t>
            </w:r>
          </w:p>
        </w:tc>
      </w:tr>
      <w:tr w:rsidR="00FC2E80" w:rsidRPr="00FC2E80" w14:paraId="3B1B630D" w14:textId="77777777" w:rsidTr="000E66DF">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4303C226" w14:textId="77777777" w:rsidR="00FC2E80" w:rsidRPr="00FC2E80" w:rsidRDefault="00FC2E80" w:rsidP="00FC2E80">
            <w:pPr>
              <w:rPr>
                <w:rFonts w:ascii="Georgia" w:hAnsi="Georgia"/>
                <w:sz w:val="20"/>
                <w:szCs w:val="20"/>
              </w:rPr>
            </w:pPr>
            <w:r w:rsidRPr="00FC2E80">
              <w:rPr>
                <w:rFonts w:ascii="Georgia" w:hAnsi="Georgia"/>
                <w:sz w:val="20"/>
                <w:szCs w:val="20"/>
              </w:rPr>
              <w:lastRenderedPageBreak/>
              <w:t>24</w:t>
            </w:r>
          </w:p>
        </w:tc>
        <w:tc>
          <w:tcPr>
            <w:tcW w:w="1559" w:type="dxa"/>
            <w:hideMark/>
          </w:tcPr>
          <w:p w14:paraId="023BFF5B"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Telšių rajono</w:t>
            </w:r>
          </w:p>
        </w:tc>
        <w:tc>
          <w:tcPr>
            <w:tcW w:w="1425" w:type="dxa"/>
            <w:noWrap/>
            <w:hideMark/>
          </w:tcPr>
          <w:p w14:paraId="52BFE77A"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1 843 500,00 </w:t>
            </w:r>
          </w:p>
        </w:tc>
        <w:tc>
          <w:tcPr>
            <w:tcW w:w="1345" w:type="dxa"/>
            <w:noWrap/>
            <w:hideMark/>
          </w:tcPr>
          <w:p w14:paraId="27200D9D"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14:paraId="13B705CC"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Parengta atsinaujinančių energijos išteklių panaudojimo galimybių studija. Numatoma įgyvendinti 16 apšvietimo projektų, iš jų keturiems jau parengti techniniai projektai.</w:t>
            </w:r>
          </w:p>
        </w:tc>
        <w:tc>
          <w:tcPr>
            <w:tcW w:w="1645" w:type="dxa"/>
            <w:noWrap/>
            <w:hideMark/>
          </w:tcPr>
          <w:p w14:paraId="6F661AB4"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14:paraId="5B8087AA" w14:textId="77777777" w:rsidTr="000E66DF">
        <w:trPr>
          <w:trHeight w:val="9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24B3C6B6" w14:textId="77777777" w:rsidR="00FC2E80" w:rsidRPr="00FC2E80" w:rsidRDefault="00FC2E80" w:rsidP="00FC2E80">
            <w:pPr>
              <w:rPr>
                <w:rFonts w:ascii="Georgia" w:hAnsi="Georgia"/>
                <w:sz w:val="20"/>
                <w:szCs w:val="20"/>
              </w:rPr>
            </w:pPr>
            <w:r w:rsidRPr="00FC2E80">
              <w:rPr>
                <w:rFonts w:ascii="Georgia" w:hAnsi="Georgia"/>
                <w:sz w:val="20"/>
                <w:szCs w:val="20"/>
              </w:rPr>
              <w:t>25</w:t>
            </w:r>
          </w:p>
        </w:tc>
        <w:tc>
          <w:tcPr>
            <w:tcW w:w="1559" w:type="dxa"/>
            <w:hideMark/>
          </w:tcPr>
          <w:p w14:paraId="1FDAF78E"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Kauno rajono</w:t>
            </w:r>
          </w:p>
        </w:tc>
        <w:tc>
          <w:tcPr>
            <w:tcW w:w="1425" w:type="dxa"/>
            <w:noWrap/>
            <w:hideMark/>
          </w:tcPr>
          <w:p w14:paraId="2E57C858"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1 428 000,00 </w:t>
            </w:r>
          </w:p>
        </w:tc>
        <w:tc>
          <w:tcPr>
            <w:tcW w:w="1345" w:type="dxa"/>
            <w:noWrap/>
            <w:hideMark/>
          </w:tcPr>
          <w:p w14:paraId="78ADB5ED"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760,00    </w:t>
            </w:r>
          </w:p>
        </w:tc>
        <w:tc>
          <w:tcPr>
            <w:tcW w:w="2509" w:type="dxa"/>
            <w:hideMark/>
          </w:tcPr>
          <w:p w14:paraId="3B293CC2"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Projektai būtų įgyvendinami 7 seniūnijose. Projektų dokumentacija šiuo metu nėra parengta.</w:t>
            </w:r>
          </w:p>
        </w:tc>
        <w:tc>
          <w:tcPr>
            <w:tcW w:w="1645" w:type="dxa"/>
            <w:noWrap/>
            <w:hideMark/>
          </w:tcPr>
          <w:p w14:paraId="380CBB77"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2 052 000,00</w:t>
            </w:r>
          </w:p>
        </w:tc>
      </w:tr>
      <w:tr w:rsidR="00FC2E80" w:rsidRPr="00FC2E80" w14:paraId="5937699C" w14:textId="77777777" w:rsidTr="000E66D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6CE170E0" w14:textId="77777777" w:rsidR="00FC2E80" w:rsidRPr="00FC2E80" w:rsidRDefault="00FC2E80" w:rsidP="00FC2E80">
            <w:pPr>
              <w:rPr>
                <w:rFonts w:ascii="Georgia" w:hAnsi="Georgia"/>
                <w:sz w:val="20"/>
                <w:szCs w:val="20"/>
              </w:rPr>
            </w:pPr>
            <w:r w:rsidRPr="00FC2E80">
              <w:rPr>
                <w:rFonts w:ascii="Georgia" w:hAnsi="Georgia"/>
                <w:sz w:val="20"/>
                <w:szCs w:val="20"/>
              </w:rPr>
              <w:t>26</w:t>
            </w:r>
          </w:p>
        </w:tc>
        <w:tc>
          <w:tcPr>
            <w:tcW w:w="1559" w:type="dxa"/>
            <w:hideMark/>
          </w:tcPr>
          <w:p w14:paraId="1FB445B3"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Zarasų rajono</w:t>
            </w:r>
          </w:p>
        </w:tc>
        <w:tc>
          <w:tcPr>
            <w:tcW w:w="1425" w:type="dxa"/>
            <w:noWrap/>
            <w:hideMark/>
          </w:tcPr>
          <w:p w14:paraId="61E2B579"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1 000 000,00 </w:t>
            </w:r>
          </w:p>
        </w:tc>
        <w:tc>
          <w:tcPr>
            <w:tcW w:w="1345" w:type="dxa"/>
            <w:noWrap/>
            <w:hideMark/>
          </w:tcPr>
          <w:p w14:paraId="5158CDCE"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14:paraId="56DC326C"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Rengiami viešųjų pirkimų dokumentai apšvietimo valdymo priemonių ir energiją taupančių lempų pirkimui.</w:t>
            </w:r>
          </w:p>
        </w:tc>
        <w:tc>
          <w:tcPr>
            <w:tcW w:w="1645" w:type="dxa"/>
            <w:noWrap/>
            <w:hideMark/>
          </w:tcPr>
          <w:p w14:paraId="58874A3A"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14:paraId="270DD610" w14:textId="77777777" w:rsidTr="000E66DF">
        <w:trPr>
          <w:trHeight w:val="3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3DDB7E02" w14:textId="77777777" w:rsidR="00FC2E80" w:rsidRPr="00FC2E80" w:rsidRDefault="00FC2E80" w:rsidP="00FC2E80">
            <w:pPr>
              <w:rPr>
                <w:rFonts w:ascii="Georgia" w:hAnsi="Georgia"/>
                <w:sz w:val="20"/>
                <w:szCs w:val="20"/>
              </w:rPr>
            </w:pPr>
            <w:r w:rsidRPr="00FC2E80">
              <w:rPr>
                <w:rFonts w:ascii="Georgia" w:hAnsi="Georgia"/>
                <w:sz w:val="20"/>
                <w:szCs w:val="20"/>
              </w:rPr>
              <w:t>27</w:t>
            </w:r>
          </w:p>
        </w:tc>
        <w:tc>
          <w:tcPr>
            <w:tcW w:w="1559" w:type="dxa"/>
            <w:hideMark/>
          </w:tcPr>
          <w:p w14:paraId="287DE1A1"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Biržų rajono</w:t>
            </w:r>
          </w:p>
        </w:tc>
        <w:tc>
          <w:tcPr>
            <w:tcW w:w="1425" w:type="dxa"/>
            <w:noWrap/>
            <w:hideMark/>
          </w:tcPr>
          <w:p w14:paraId="00459B3C"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950 000,00 </w:t>
            </w:r>
          </w:p>
        </w:tc>
        <w:tc>
          <w:tcPr>
            <w:tcW w:w="1345" w:type="dxa"/>
            <w:noWrap/>
            <w:hideMark/>
          </w:tcPr>
          <w:p w14:paraId="0960F3B0"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1 319,00    </w:t>
            </w:r>
          </w:p>
        </w:tc>
        <w:tc>
          <w:tcPr>
            <w:tcW w:w="2509" w:type="dxa"/>
            <w:hideMark/>
          </w:tcPr>
          <w:p w14:paraId="677164D4"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Rengiama projekto dokumentacija.</w:t>
            </w:r>
          </w:p>
        </w:tc>
        <w:tc>
          <w:tcPr>
            <w:tcW w:w="1645" w:type="dxa"/>
            <w:noWrap/>
            <w:hideMark/>
          </w:tcPr>
          <w:p w14:paraId="04360296"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3 561 300,00</w:t>
            </w:r>
          </w:p>
        </w:tc>
      </w:tr>
      <w:tr w:rsidR="00FC2E80" w:rsidRPr="00FC2E80" w14:paraId="79074C20" w14:textId="77777777" w:rsidTr="000E66DF">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58D9E5AC" w14:textId="77777777" w:rsidR="00FC2E80" w:rsidRPr="00FC2E80" w:rsidRDefault="00FC2E80" w:rsidP="00FC2E80">
            <w:pPr>
              <w:rPr>
                <w:rFonts w:ascii="Georgia" w:hAnsi="Georgia"/>
                <w:sz w:val="20"/>
                <w:szCs w:val="20"/>
              </w:rPr>
            </w:pPr>
            <w:r w:rsidRPr="00FC2E80">
              <w:rPr>
                <w:rFonts w:ascii="Georgia" w:hAnsi="Georgia"/>
                <w:sz w:val="20"/>
                <w:szCs w:val="20"/>
              </w:rPr>
              <w:t>28</w:t>
            </w:r>
          </w:p>
        </w:tc>
        <w:tc>
          <w:tcPr>
            <w:tcW w:w="1559" w:type="dxa"/>
            <w:hideMark/>
          </w:tcPr>
          <w:p w14:paraId="3A4CEABA"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Varėnos rajono</w:t>
            </w:r>
          </w:p>
        </w:tc>
        <w:tc>
          <w:tcPr>
            <w:tcW w:w="1425" w:type="dxa"/>
            <w:noWrap/>
            <w:hideMark/>
          </w:tcPr>
          <w:p w14:paraId="33D5A2FC"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920 000,00 </w:t>
            </w:r>
          </w:p>
        </w:tc>
        <w:tc>
          <w:tcPr>
            <w:tcW w:w="1345" w:type="dxa"/>
            <w:noWrap/>
            <w:hideMark/>
          </w:tcPr>
          <w:p w14:paraId="25DA66FB"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14:paraId="46AD5EF5"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Planuojama įgyven</w:t>
            </w:r>
            <w:r w:rsidR="00100EF9">
              <w:rPr>
                <w:rFonts w:ascii="Georgia" w:hAnsi="Georgia"/>
                <w:sz w:val="20"/>
                <w:szCs w:val="20"/>
              </w:rPr>
              <w:t>d</w:t>
            </w:r>
            <w:r w:rsidRPr="00FC2E80">
              <w:rPr>
                <w:rFonts w:ascii="Georgia" w:hAnsi="Georgia"/>
                <w:sz w:val="20"/>
                <w:szCs w:val="20"/>
              </w:rPr>
              <w:t>inti 5 apšvietimo modernizavimo projektus: 2 - rengiama techninė projektavimo užduotis, 3 - nustatytas preliminarus lėšų poreikis</w:t>
            </w:r>
          </w:p>
        </w:tc>
        <w:tc>
          <w:tcPr>
            <w:tcW w:w="1645" w:type="dxa"/>
            <w:noWrap/>
            <w:hideMark/>
          </w:tcPr>
          <w:p w14:paraId="0420CA8E"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14:paraId="4FB280FD" w14:textId="77777777" w:rsidTr="000E66DF">
        <w:trPr>
          <w:trHeight w:val="6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28005DB7" w14:textId="77777777" w:rsidR="00FC2E80" w:rsidRPr="00FC2E80" w:rsidRDefault="00FC2E80" w:rsidP="00FC2E80">
            <w:pPr>
              <w:rPr>
                <w:rFonts w:ascii="Georgia" w:hAnsi="Georgia"/>
                <w:sz w:val="20"/>
                <w:szCs w:val="20"/>
              </w:rPr>
            </w:pPr>
            <w:r w:rsidRPr="00FC2E80">
              <w:rPr>
                <w:rFonts w:ascii="Georgia" w:hAnsi="Georgia"/>
                <w:sz w:val="20"/>
                <w:szCs w:val="20"/>
              </w:rPr>
              <w:t>29</w:t>
            </w:r>
          </w:p>
        </w:tc>
        <w:tc>
          <w:tcPr>
            <w:tcW w:w="1559" w:type="dxa"/>
            <w:hideMark/>
          </w:tcPr>
          <w:p w14:paraId="3117F326"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Vilkaviškio rajono</w:t>
            </w:r>
          </w:p>
        </w:tc>
        <w:tc>
          <w:tcPr>
            <w:tcW w:w="1425" w:type="dxa"/>
            <w:noWrap/>
            <w:hideMark/>
          </w:tcPr>
          <w:p w14:paraId="7ED7BF15"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877 500,00 </w:t>
            </w:r>
          </w:p>
        </w:tc>
        <w:tc>
          <w:tcPr>
            <w:tcW w:w="1345" w:type="dxa"/>
            <w:noWrap/>
            <w:hideMark/>
          </w:tcPr>
          <w:p w14:paraId="35CA975E"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14:paraId="381DCC0A"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2013 m. parengtas 12 gatvių atnaujinimo investicinis projektas. </w:t>
            </w:r>
          </w:p>
        </w:tc>
        <w:tc>
          <w:tcPr>
            <w:tcW w:w="1645" w:type="dxa"/>
            <w:noWrap/>
            <w:hideMark/>
          </w:tcPr>
          <w:p w14:paraId="6A295BC5"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14:paraId="06D4D8DF" w14:textId="77777777" w:rsidTr="000E6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0E0B3D62" w14:textId="77777777" w:rsidR="00FC2E80" w:rsidRPr="00FC2E80" w:rsidRDefault="00FC2E80" w:rsidP="00FC2E80">
            <w:pPr>
              <w:rPr>
                <w:rFonts w:ascii="Georgia" w:hAnsi="Georgia"/>
                <w:sz w:val="20"/>
                <w:szCs w:val="20"/>
              </w:rPr>
            </w:pPr>
            <w:r w:rsidRPr="00FC2E80">
              <w:rPr>
                <w:rFonts w:ascii="Georgia" w:hAnsi="Georgia"/>
                <w:sz w:val="20"/>
                <w:szCs w:val="20"/>
              </w:rPr>
              <w:t>30</w:t>
            </w:r>
          </w:p>
        </w:tc>
        <w:tc>
          <w:tcPr>
            <w:tcW w:w="1559" w:type="dxa"/>
            <w:hideMark/>
          </w:tcPr>
          <w:p w14:paraId="603E996A"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Jurbarko rajono</w:t>
            </w:r>
          </w:p>
        </w:tc>
        <w:tc>
          <w:tcPr>
            <w:tcW w:w="1425" w:type="dxa"/>
            <w:noWrap/>
            <w:hideMark/>
          </w:tcPr>
          <w:p w14:paraId="5C9055EB"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850 000,00 </w:t>
            </w:r>
          </w:p>
        </w:tc>
        <w:tc>
          <w:tcPr>
            <w:tcW w:w="1345" w:type="dxa"/>
            <w:noWrap/>
            <w:hideMark/>
          </w:tcPr>
          <w:p w14:paraId="283CED1E"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14:paraId="44615C15"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Rengiama galimybių studija</w:t>
            </w:r>
          </w:p>
        </w:tc>
        <w:tc>
          <w:tcPr>
            <w:tcW w:w="1645" w:type="dxa"/>
            <w:noWrap/>
            <w:hideMark/>
          </w:tcPr>
          <w:p w14:paraId="661676B5"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14:paraId="3B4490D8" w14:textId="77777777" w:rsidTr="000E66DF">
        <w:trPr>
          <w:trHeight w:val="9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2E9091B2" w14:textId="77777777" w:rsidR="00FC2E80" w:rsidRPr="00FC2E80" w:rsidRDefault="00FC2E80" w:rsidP="00FC2E80">
            <w:pPr>
              <w:rPr>
                <w:rFonts w:ascii="Georgia" w:hAnsi="Georgia"/>
                <w:sz w:val="20"/>
                <w:szCs w:val="20"/>
              </w:rPr>
            </w:pPr>
            <w:r w:rsidRPr="00FC2E80">
              <w:rPr>
                <w:rFonts w:ascii="Georgia" w:hAnsi="Georgia"/>
                <w:sz w:val="20"/>
                <w:szCs w:val="20"/>
              </w:rPr>
              <w:t>31</w:t>
            </w:r>
          </w:p>
        </w:tc>
        <w:tc>
          <w:tcPr>
            <w:tcW w:w="1559" w:type="dxa"/>
            <w:hideMark/>
          </w:tcPr>
          <w:p w14:paraId="7B32135B"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Kalvarijos savivaldybė</w:t>
            </w:r>
          </w:p>
        </w:tc>
        <w:tc>
          <w:tcPr>
            <w:tcW w:w="1425" w:type="dxa"/>
            <w:noWrap/>
            <w:hideMark/>
          </w:tcPr>
          <w:p w14:paraId="4B1D8504"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840 000,00 </w:t>
            </w:r>
          </w:p>
        </w:tc>
        <w:tc>
          <w:tcPr>
            <w:tcW w:w="1345" w:type="dxa"/>
            <w:noWrap/>
            <w:hideMark/>
          </w:tcPr>
          <w:p w14:paraId="4684C724"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1 050,00    </w:t>
            </w:r>
          </w:p>
        </w:tc>
        <w:tc>
          <w:tcPr>
            <w:tcW w:w="2509" w:type="dxa"/>
            <w:hideMark/>
          </w:tcPr>
          <w:p w14:paraId="6ED87E00"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Planuojama įrengti 40 automatizuotų apšvietimo valdymo linijų. Papildomai reiktų įre</w:t>
            </w:r>
            <w:r w:rsidR="00100EF9">
              <w:rPr>
                <w:rFonts w:ascii="Georgia" w:hAnsi="Georgia"/>
                <w:sz w:val="20"/>
                <w:szCs w:val="20"/>
              </w:rPr>
              <w:t>n</w:t>
            </w:r>
            <w:r w:rsidRPr="00FC2E80">
              <w:rPr>
                <w:rFonts w:ascii="Georgia" w:hAnsi="Georgia"/>
                <w:sz w:val="20"/>
                <w:szCs w:val="20"/>
              </w:rPr>
              <w:t>gti dar 500 šviestuvų.</w:t>
            </w:r>
          </w:p>
        </w:tc>
        <w:tc>
          <w:tcPr>
            <w:tcW w:w="1645" w:type="dxa"/>
            <w:noWrap/>
            <w:hideMark/>
          </w:tcPr>
          <w:p w14:paraId="0266C29C"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2 835 000,00</w:t>
            </w:r>
          </w:p>
        </w:tc>
      </w:tr>
      <w:tr w:rsidR="00FC2E80" w:rsidRPr="00FC2E80" w14:paraId="44D0F1F7" w14:textId="77777777" w:rsidTr="000E66DF">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507594D3" w14:textId="77777777" w:rsidR="00FC2E80" w:rsidRPr="00FC2E80" w:rsidRDefault="00FC2E80" w:rsidP="00FC2E80">
            <w:pPr>
              <w:rPr>
                <w:rFonts w:ascii="Georgia" w:hAnsi="Georgia"/>
                <w:sz w:val="20"/>
                <w:szCs w:val="20"/>
              </w:rPr>
            </w:pPr>
            <w:r w:rsidRPr="00FC2E80">
              <w:rPr>
                <w:rFonts w:ascii="Georgia" w:hAnsi="Georgia"/>
                <w:sz w:val="20"/>
                <w:szCs w:val="20"/>
              </w:rPr>
              <w:t>32</w:t>
            </w:r>
          </w:p>
        </w:tc>
        <w:tc>
          <w:tcPr>
            <w:tcW w:w="1559" w:type="dxa"/>
            <w:hideMark/>
          </w:tcPr>
          <w:p w14:paraId="49DB31C7"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Raseinių rajono</w:t>
            </w:r>
          </w:p>
        </w:tc>
        <w:tc>
          <w:tcPr>
            <w:tcW w:w="1425" w:type="dxa"/>
            <w:noWrap/>
            <w:hideMark/>
          </w:tcPr>
          <w:p w14:paraId="791171F0"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800 000,00 </w:t>
            </w:r>
          </w:p>
        </w:tc>
        <w:tc>
          <w:tcPr>
            <w:tcW w:w="1345" w:type="dxa"/>
            <w:noWrap/>
            <w:hideMark/>
          </w:tcPr>
          <w:p w14:paraId="2D4CEB71"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350,00    </w:t>
            </w:r>
          </w:p>
        </w:tc>
        <w:tc>
          <w:tcPr>
            <w:tcW w:w="2509" w:type="dxa"/>
            <w:hideMark/>
          </w:tcPr>
          <w:p w14:paraId="7AF10D36"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Pirmo etapo metu numatoma modernizuoti 350 vnt. šviestuvų. Viso yra apie 2850 vnt. 2009 m. patvirtintas apšvietimo tinklų inventorizacijos, modernizavimo ir plėtros planas 2010-2020 m.</w:t>
            </w:r>
          </w:p>
        </w:tc>
        <w:tc>
          <w:tcPr>
            <w:tcW w:w="1645" w:type="dxa"/>
            <w:noWrap/>
            <w:hideMark/>
          </w:tcPr>
          <w:p w14:paraId="0C94D58B"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945 000,00</w:t>
            </w:r>
          </w:p>
        </w:tc>
      </w:tr>
      <w:tr w:rsidR="00FC2E80" w:rsidRPr="00FC2E80" w14:paraId="03D6EF5A" w14:textId="77777777" w:rsidTr="000E66DF">
        <w:trPr>
          <w:trHeight w:val="18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1EDF5A9D" w14:textId="77777777" w:rsidR="00FC2E80" w:rsidRPr="00FC2E80" w:rsidRDefault="00FC2E80" w:rsidP="00FC2E80">
            <w:pPr>
              <w:rPr>
                <w:rFonts w:ascii="Georgia" w:hAnsi="Georgia"/>
                <w:sz w:val="20"/>
                <w:szCs w:val="20"/>
              </w:rPr>
            </w:pPr>
            <w:r w:rsidRPr="00FC2E80">
              <w:rPr>
                <w:rFonts w:ascii="Georgia" w:hAnsi="Georgia"/>
                <w:sz w:val="20"/>
                <w:szCs w:val="20"/>
              </w:rPr>
              <w:lastRenderedPageBreak/>
              <w:t>33</w:t>
            </w:r>
          </w:p>
        </w:tc>
        <w:tc>
          <w:tcPr>
            <w:tcW w:w="1559" w:type="dxa"/>
            <w:hideMark/>
          </w:tcPr>
          <w:p w14:paraId="79A3F041"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Lazdijų rajono</w:t>
            </w:r>
          </w:p>
        </w:tc>
        <w:tc>
          <w:tcPr>
            <w:tcW w:w="1425" w:type="dxa"/>
            <w:noWrap/>
            <w:hideMark/>
          </w:tcPr>
          <w:p w14:paraId="2144E8CC"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412 500,00 </w:t>
            </w:r>
          </w:p>
        </w:tc>
        <w:tc>
          <w:tcPr>
            <w:tcW w:w="1345" w:type="dxa"/>
            <w:noWrap/>
            <w:hideMark/>
          </w:tcPr>
          <w:p w14:paraId="6BA3A543"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144,00    </w:t>
            </w:r>
          </w:p>
        </w:tc>
        <w:tc>
          <w:tcPr>
            <w:tcW w:w="2509" w:type="dxa"/>
            <w:hideMark/>
          </w:tcPr>
          <w:p w14:paraId="0007DC4D"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Baigiamas rengti Kauno g. apšvietimo techninis projektas. Patvirtintas 2014-2020 m. apšvietimo modernizavimo planas, kuriame yra numatyti dar 4 objektų gatvių apšvietimo modernizavimo darbai, kuriems nėra reikalingas techninis projektas.</w:t>
            </w:r>
          </w:p>
        </w:tc>
        <w:tc>
          <w:tcPr>
            <w:tcW w:w="1645" w:type="dxa"/>
            <w:noWrap/>
            <w:hideMark/>
          </w:tcPr>
          <w:p w14:paraId="489B2B3F"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388 800,00</w:t>
            </w:r>
          </w:p>
        </w:tc>
      </w:tr>
      <w:tr w:rsidR="00FC2E80" w:rsidRPr="00FC2E80" w14:paraId="220A0502" w14:textId="77777777" w:rsidTr="000E66DF">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67A8FA2D" w14:textId="77777777" w:rsidR="00FC2E80" w:rsidRPr="00FC2E80" w:rsidRDefault="00FC2E80" w:rsidP="00FC2E80">
            <w:pPr>
              <w:rPr>
                <w:rFonts w:ascii="Georgia" w:hAnsi="Georgia"/>
                <w:sz w:val="20"/>
                <w:szCs w:val="20"/>
              </w:rPr>
            </w:pPr>
            <w:r w:rsidRPr="00FC2E80">
              <w:rPr>
                <w:rFonts w:ascii="Georgia" w:hAnsi="Georgia"/>
                <w:sz w:val="20"/>
                <w:szCs w:val="20"/>
              </w:rPr>
              <w:t>34</w:t>
            </w:r>
          </w:p>
        </w:tc>
        <w:tc>
          <w:tcPr>
            <w:tcW w:w="1559" w:type="dxa"/>
            <w:hideMark/>
          </w:tcPr>
          <w:p w14:paraId="5892902D"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Marijampolės savivaldybė</w:t>
            </w:r>
          </w:p>
        </w:tc>
        <w:tc>
          <w:tcPr>
            <w:tcW w:w="1425" w:type="dxa"/>
            <w:noWrap/>
            <w:hideMark/>
          </w:tcPr>
          <w:p w14:paraId="09B1E38B"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18 694 500,00 </w:t>
            </w:r>
          </w:p>
        </w:tc>
        <w:tc>
          <w:tcPr>
            <w:tcW w:w="1345" w:type="dxa"/>
            <w:noWrap/>
            <w:hideMark/>
          </w:tcPr>
          <w:p w14:paraId="08731322"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14:paraId="41B1A557"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Atlikta apšvietimo tinklų dalinė inventorizacija ir būklės analizė. Nurodomas lėšų poreikis reikalingas užbaigti inventorizaciją.</w:t>
            </w:r>
          </w:p>
        </w:tc>
        <w:tc>
          <w:tcPr>
            <w:tcW w:w="1645" w:type="dxa"/>
            <w:noWrap/>
            <w:hideMark/>
          </w:tcPr>
          <w:p w14:paraId="5720D7F7"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14:paraId="164197FD" w14:textId="77777777" w:rsidTr="000E66DF">
        <w:trPr>
          <w:trHeight w:val="12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756EF53D" w14:textId="77777777" w:rsidR="00FC2E80" w:rsidRPr="00FC2E80" w:rsidRDefault="00FC2E80" w:rsidP="00FC2E80">
            <w:pPr>
              <w:rPr>
                <w:rFonts w:ascii="Georgia" w:hAnsi="Georgia"/>
                <w:sz w:val="20"/>
                <w:szCs w:val="20"/>
              </w:rPr>
            </w:pPr>
            <w:r w:rsidRPr="00FC2E80">
              <w:rPr>
                <w:rFonts w:ascii="Georgia" w:hAnsi="Georgia"/>
                <w:sz w:val="20"/>
                <w:szCs w:val="20"/>
              </w:rPr>
              <w:t>35</w:t>
            </w:r>
          </w:p>
        </w:tc>
        <w:tc>
          <w:tcPr>
            <w:tcW w:w="1559" w:type="dxa"/>
            <w:hideMark/>
          </w:tcPr>
          <w:p w14:paraId="3CC32B5B"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Visagino savivaldybė</w:t>
            </w:r>
          </w:p>
        </w:tc>
        <w:tc>
          <w:tcPr>
            <w:tcW w:w="1425" w:type="dxa"/>
            <w:noWrap/>
            <w:hideMark/>
          </w:tcPr>
          <w:p w14:paraId="26632830"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8 700 000,00 </w:t>
            </w:r>
          </w:p>
        </w:tc>
        <w:tc>
          <w:tcPr>
            <w:tcW w:w="1345" w:type="dxa"/>
            <w:noWrap/>
            <w:hideMark/>
          </w:tcPr>
          <w:p w14:paraId="45098304"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14:paraId="18F41888"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Būtina modernizuoti elektros valdymo spintas (39 vnt.) ir požemines elektros komunikacijas (apie 80 km), įrengti kryptinį apšvietimą 35 </w:t>
            </w:r>
            <w:r w:rsidR="00100EF9" w:rsidRPr="00FC2E80">
              <w:rPr>
                <w:rFonts w:ascii="Georgia" w:hAnsi="Georgia"/>
                <w:sz w:val="20"/>
                <w:szCs w:val="20"/>
              </w:rPr>
              <w:t>pėsčiųjų</w:t>
            </w:r>
            <w:r w:rsidRPr="00FC2E80">
              <w:rPr>
                <w:rFonts w:ascii="Georgia" w:hAnsi="Georgia"/>
                <w:sz w:val="20"/>
                <w:szCs w:val="20"/>
              </w:rPr>
              <w:t xml:space="preserve"> perėjose.</w:t>
            </w:r>
          </w:p>
        </w:tc>
        <w:tc>
          <w:tcPr>
            <w:tcW w:w="1645" w:type="dxa"/>
            <w:noWrap/>
            <w:hideMark/>
          </w:tcPr>
          <w:p w14:paraId="675DD858"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14:paraId="439F7CFF" w14:textId="77777777" w:rsidTr="000E66D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6D708D97" w14:textId="77777777" w:rsidR="00FC2E80" w:rsidRPr="00FC2E80" w:rsidRDefault="00FC2E80" w:rsidP="00FC2E80">
            <w:pPr>
              <w:rPr>
                <w:rFonts w:ascii="Georgia" w:hAnsi="Georgia"/>
                <w:sz w:val="20"/>
                <w:szCs w:val="20"/>
              </w:rPr>
            </w:pPr>
            <w:r w:rsidRPr="00FC2E80">
              <w:rPr>
                <w:rFonts w:ascii="Georgia" w:hAnsi="Georgia"/>
                <w:sz w:val="20"/>
                <w:szCs w:val="20"/>
              </w:rPr>
              <w:t>36</w:t>
            </w:r>
          </w:p>
        </w:tc>
        <w:tc>
          <w:tcPr>
            <w:tcW w:w="1559" w:type="dxa"/>
            <w:hideMark/>
          </w:tcPr>
          <w:p w14:paraId="11F4BB0A"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Druskininkų savivaldybė</w:t>
            </w:r>
          </w:p>
        </w:tc>
        <w:tc>
          <w:tcPr>
            <w:tcW w:w="1425" w:type="dxa"/>
            <w:noWrap/>
            <w:hideMark/>
          </w:tcPr>
          <w:p w14:paraId="74B838BC"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5 200 000,00 </w:t>
            </w:r>
          </w:p>
        </w:tc>
        <w:tc>
          <w:tcPr>
            <w:tcW w:w="1345" w:type="dxa"/>
            <w:noWrap/>
            <w:hideMark/>
          </w:tcPr>
          <w:p w14:paraId="5A6576C9"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2 900,00    </w:t>
            </w:r>
          </w:p>
        </w:tc>
        <w:tc>
          <w:tcPr>
            <w:tcW w:w="2509" w:type="dxa"/>
            <w:hideMark/>
          </w:tcPr>
          <w:p w14:paraId="018AEBD8"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Numatyta pakeisti 2900 vnt. šviestuvų</w:t>
            </w:r>
          </w:p>
        </w:tc>
        <w:tc>
          <w:tcPr>
            <w:tcW w:w="1645" w:type="dxa"/>
            <w:noWrap/>
            <w:hideMark/>
          </w:tcPr>
          <w:p w14:paraId="49866362"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7 830 000,00</w:t>
            </w:r>
          </w:p>
        </w:tc>
      </w:tr>
      <w:tr w:rsidR="00FC2E80" w:rsidRPr="00FC2E80" w14:paraId="02BE5AD9" w14:textId="77777777" w:rsidTr="000E66DF">
        <w:trPr>
          <w:trHeight w:val="9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588B1222" w14:textId="77777777" w:rsidR="00FC2E80" w:rsidRPr="00FC2E80" w:rsidRDefault="00FC2E80" w:rsidP="00FC2E80">
            <w:pPr>
              <w:rPr>
                <w:rFonts w:ascii="Georgia" w:hAnsi="Georgia"/>
                <w:sz w:val="20"/>
                <w:szCs w:val="20"/>
              </w:rPr>
            </w:pPr>
            <w:r w:rsidRPr="00FC2E80">
              <w:rPr>
                <w:rFonts w:ascii="Georgia" w:hAnsi="Georgia"/>
                <w:sz w:val="20"/>
                <w:szCs w:val="20"/>
              </w:rPr>
              <w:t>37</w:t>
            </w:r>
          </w:p>
        </w:tc>
        <w:tc>
          <w:tcPr>
            <w:tcW w:w="1559" w:type="dxa"/>
            <w:hideMark/>
          </w:tcPr>
          <w:p w14:paraId="6A4397D6"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Rietavo savivaldybė</w:t>
            </w:r>
          </w:p>
        </w:tc>
        <w:tc>
          <w:tcPr>
            <w:tcW w:w="1425" w:type="dxa"/>
            <w:noWrap/>
            <w:hideMark/>
          </w:tcPr>
          <w:p w14:paraId="3E24E5C0"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3 000 000,00 </w:t>
            </w:r>
          </w:p>
        </w:tc>
        <w:tc>
          <w:tcPr>
            <w:tcW w:w="1345" w:type="dxa"/>
            <w:noWrap/>
            <w:hideMark/>
          </w:tcPr>
          <w:p w14:paraId="288EDE01"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14:paraId="0BE78B62"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Parengti 8 gatvių rekonstrukcijos techniniai projektai su gatvių apšvietimo modernizavimo sprendimais</w:t>
            </w:r>
          </w:p>
        </w:tc>
        <w:tc>
          <w:tcPr>
            <w:tcW w:w="1645" w:type="dxa"/>
            <w:noWrap/>
            <w:hideMark/>
          </w:tcPr>
          <w:p w14:paraId="4CDAD8DC"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14:paraId="123483F0" w14:textId="77777777" w:rsidTr="000E66DF">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5BAFF206" w14:textId="77777777" w:rsidR="00FC2E80" w:rsidRPr="00FC2E80" w:rsidRDefault="00FC2E80" w:rsidP="00FC2E80">
            <w:pPr>
              <w:rPr>
                <w:rFonts w:ascii="Georgia" w:hAnsi="Georgia"/>
                <w:sz w:val="20"/>
                <w:szCs w:val="20"/>
              </w:rPr>
            </w:pPr>
            <w:r w:rsidRPr="00FC2E80">
              <w:rPr>
                <w:rFonts w:ascii="Georgia" w:hAnsi="Georgia"/>
                <w:sz w:val="20"/>
                <w:szCs w:val="20"/>
              </w:rPr>
              <w:t>38</w:t>
            </w:r>
          </w:p>
        </w:tc>
        <w:tc>
          <w:tcPr>
            <w:tcW w:w="1559" w:type="dxa"/>
            <w:hideMark/>
          </w:tcPr>
          <w:p w14:paraId="07E4BD0E"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Kazlų Rūdos savivaldybė</w:t>
            </w:r>
          </w:p>
        </w:tc>
        <w:tc>
          <w:tcPr>
            <w:tcW w:w="1425" w:type="dxa"/>
            <w:noWrap/>
            <w:hideMark/>
          </w:tcPr>
          <w:p w14:paraId="6D3589A4"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926 000,00 </w:t>
            </w:r>
          </w:p>
        </w:tc>
        <w:tc>
          <w:tcPr>
            <w:tcW w:w="1345" w:type="dxa"/>
            <w:noWrap/>
            <w:hideMark/>
          </w:tcPr>
          <w:p w14:paraId="39EE4453"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14:paraId="04C005CA"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Parengtas keleto miesto gatvių apšvietimo sistemos rekonstrukcijos techninis projektas, galimybių studija (galimybių studija apima ne tik apšvietimo infrastruktūrą)</w:t>
            </w:r>
          </w:p>
        </w:tc>
        <w:tc>
          <w:tcPr>
            <w:tcW w:w="1645" w:type="dxa"/>
            <w:noWrap/>
            <w:hideMark/>
          </w:tcPr>
          <w:p w14:paraId="55AABD7F"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14:paraId="3B30A626" w14:textId="77777777" w:rsidTr="000E66DF">
        <w:trPr>
          <w:trHeight w:val="3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03B636A7" w14:textId="77777777" w:rsidR="00FC2E80" w:rsidRPr="00FC2E80" w:rsidRDefault="00FC2E80" w:rsidP="00FC2E80">
            <w:pPr>
              <w:rPr>
                <w:rFonts w:ascii="Georgia" w:hAnsi="Georgia"/>
                <w:sz w:val="20"/>
                <w:szCs w:val="20"/>
              </w:rPr>
            </w:pPr>
            <w:r w:rsidRPr="00FC2E80">
              <w:rPr>
                <w:rFonts w:ascii="Georgia" w:hAnsi="Georgia"/>
                <w:sz w:val="20"/>
                <w:szCs w:val="20"/>
              </w:rPr>
              <w:t> </w:t>
            </w:r>
          </w:p>
        </w:tc>
        <w:tc>
          <w:tcPr>
            <w:tcW w:w="1559" w:type="dxa"/>
            <w:hideMark/>
          </w:tcPr>
          <w:p w14:paraId="005B5B72"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1425" w:type="dxa"/>
            <w:noWrap/>
            <w:hideMark/>
          </w:tcPr>
          <w:p w14:paraId="4BCFCF6C"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b/>
                <w:bCs/>
                <w:sz w:val="20"/>
                <w:szCs w:val="20"/>
              </w:rPr>
            </w:pPr>
            <w:r w:rsidRPr="00FC2E80">
              <w:rPr>
                <w:rFonts w:ascii="Georgia" w:hAnsi="Georgia"/>
                <w:b/>
                <w:bCs/>
                <w:sz w:val="20"/>
                <w:szCs w:val="20"/>
              </w:rPr>
              <w:t xml:space="preserve">150 718 985,30 </w:t>
            </w:r>
          </w:p>
        </w:tc>
        <w:tc>
          <w:tcPr>
            <w:tcW w:w="1345" w:type="dxa"/>
            <w:noWrap/>
            <w:hideMark/>
          </w:tcPr>
          <w:p w14:paraId="7E55461D"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2509" w:type="dxa"/>
            <w:hideMark/>
          </w:tcPr>
          <w:p w14:paraId="286FB3A2"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1645" w:type="dxa"/>
            <w:noWrap/>
            <w:hideMark/>
          </w:tcPr>
          <w:p w14:paraId="604B134F"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b/>
                <w:bCs/>
                <w:sz w:val="20"/>
                <w:szCs w:val="20"/>
              </w:rPr>
            </w:pPr>
            <w:r w:rsidRPr="00FC2E80">
              <w:rPr>
                <w:rFonts w:ascii="Georgia" w:hAnsi="Georgia"/>
                <w:b/>
                <w:bCs/>
                <w:sz w:val="20"/>
                <w:szCs w:val="20"/>
              </w:rPr>
              <w:t>56 797 200,00</w:t>
            </w:r>
          </w:p>
        </w:tc>
      </w:tr>
      <w:tr w:rsidR="00FC2E80" w:rsidRPr="00FC2E80" w14:paraId="42ED39EF" w14:textId="77777777" w:rsidTr="000E6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gridSpan w:val="2"/>
            <w:noWrap/>
            <w:hideMark/>
          </w:tcPr>
          <w:p w14:paraId="5462E196" w14:textId="77777777" w:rsidR="00FC2E80" w:rsidRPr="00FC2E80" w:rsidRDefault="00FC2E80">
            <w:pPr>
              <w:rPr>
                <w:rFonts w:ascii="Georgia" w:hAnsi="Georgia"/>
                <w:b w:val="0"/>
                <w:bCs w:val="0"/>
                <w:sz w:val="20"/>
                <w:szCs w:val="20"/>
              </w:rPr>
            </w:pPr>
            <w:r w:rsidRPr="00FC2E80">
              <w:rPr>
                <w:rFonts w:ascii="Georgia" w:hAnsi="Georgia"/>
                <w:b w:val="0"/>
                <w:bCs w:val="0"/>
                <w:sz w:val="20"/>
                <w:szCs w:val="20"/>
              </w:rPr>
              <w:t>NĖRA DUOMENŲ</w:t>
            </w:r>
          </w:p>
          <w:p w14:paraId="707512E7" w14:textId="77777777" w:rsidR="00FC2E80" w:rsidRPr="00FC2E80" w:rsidRDefault="00FC2E80">
            <w:pPr>
              <w:rPr>
                <w:rFonts w:ascii="Georgia" w:hAnsi="Georgia"/>
                <w:sz w:val="20"/>
                <w:szCs w:val="20"/>
              </w:rPr>
            </w:pPr>
            <w:r w:rsidRPr="00FC2E80">
              <w:rPr>
                <w:rFonts w:ascii="Georgia" w:hAnsi="Georgia"/>
                <w:sz w:val="20"/>
                <w:szCs w:val="20"/>
              </w:rPr>
              <w:t> </w:t>
            </w:r>
          </w:p>
        </w:tc>
        <w:tc>
          <w:tcPr>
            <w:tcW w:w="1425" w:type="dxa"/>
            <w:noWrap/>
            <w:hideMark/>
          </w:tcPr>
          <w:p w14:paraId="566318D5"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1345" w:type="dxa"/>
            <w:noWrap/>
            <w:hideMark/>
          </w:tcPr>
          <w:p w14:paraId="32BC9964"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2509" w:type="dxa"/>
            <w:hideMark/>
          </w:tcPr>
          <w:p w14:paraId="08556E65"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1645" w:type="dxa"/>
            <w:noWrap/>
            <w:hideMark/>
          </w:tcPr>
          <w:p w14:paraId="5078BCBB"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14:paraId="0EC5E4EF" w14:textId="77777777" w:rsidTr="000E66DF">
        <w:trPr>
          <w:trHeight w:val="3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21D46429" w14:textId="77777777" w:rsidR="00FC2E80" w:rsidRPr="00FC2E80" w:rsidRDefault="00FC2E80" w:rsidP="00FC2E80">
            <w:pPr>
              <w:rPr>
                <w:rFonts w:ascii="Georgia" w:hAnsi="Georgia"/>
                <w:sz w:val="20"/>
                <w:szCs w:val="20"/>
              </w:rPr>
            </w:pPr>
            <w:r w:rsidRPr="00FC2E80">
              <w:rPr>
                <w:rFonts w:ascii="Georgia" w:hAnsi="Georgia"/>
                <w:sz w:val="20"/>
                <w:szCs w:val="20"/>
              </w:rPr>
              <w:t>39</w:t>
            </w:r>
          </w:p>
        </w:tc>
        <w:tc>
          <w:tcPr>
            <w:tcW w:w="1559" w:type="dxa"/>
            <w:noWrap/>
            <w:hideMark/>
          </w:tcPr>
          <w:p w14:paraId="6C1346AB"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Trakų rajono</w:t>
            </w:r>
          </w:p>
        </w:tc>
        <w:tc>
          <w:tcPr>
            <w:tcW w:w="1425" w:type="dxa"/>
            <w:noWrap/>
            <w:hideMark/>
          </w:tcPr>
          <w:p w14:paraId="3A8AFCCA"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Paaiškės lapkritį </w:t>
            </w:r>
          </w:p>
        </w:tc>
        <w:tc>
          <w:tcPr>
            <w:tcW w:w="1345" w:type="dxa"/>
            <w:noWrap/>
            <w:hideMark/>
          </w:tcPr>
          <w:p w14:paraId="0110B62A"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n/d </w:t>
            </w:r>
          </w:p>
        </w:tc>
        <w:tc>
          <w:tcPr>
            <w:tcW w:w="2509" w:type="dxa"/>
            <w:hideMark/>
          </w:tcPr>
          <w:p w14:paraId="7929287E"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Šiuo metu atliekama inventorizacija.</w:t>
            </w:r>
          </w:p>
        </w:tc>
        <w:tc>
          <w:tcPr>
            <w:tcW w:w="1645" w:type="dxa"/>
            <w:noWrap/>
            <w:hideMark/>
          </w:tcPr>
          <w:p w14:paraId="3B0375AB"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14:paraId="0A6E8134" w14:textId="77777777" w:rsidTr="000E6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58EC670F" w14:textId="77777777" w:rsidR="00FC2E80" w:rsidRPr="00FC2E80" w:rsidRDefault="00FC2E80" w:rsidP="00FC2E80">
            <w:pPr>
              <w:rPr>
                <w:rFonts w:ascii="Georgia" w:hAnsi="Georgia"/>
                <w:sz w:val="20"/>
                <w:szCs w:val="20"/>
              </w:rPr>
            </w:pPr>
            <w:r w:rsidRPr="00FC2E80">
              <w:rPr>
                <w:rFonts w:ascii="Georgia" w:hAnsi="Georgia"/>
                <w:sz w:val="20"/>
                <w:szCs w:val="20"/>
              </w:rPr>
              <w:t>40</w:t>
            </w:r>
          </w:p>
        </w:tc>
        <w:tc>
          <w:tcPr>
            <w:tcW w:w="1559" w:type="dxa"/>
            <w:noWrap/>
            <w:hideMark/>
          </w:tcPr>
          <w:p w14:paraId="003A9A2C"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Kaišiadorių rajono</w:t>
            </w:r>
          </w:p>
        </w:tc>
        <w:tc>
          <w:tcPr>
            <w:tcW w:w="1425" w:type="dxa"/>
            <w:noWrap/>
            <w:hideMark/>
          </w:tcPr>
          <w:p w14:paraId="633936CA"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Atliekama galimybių </w:t>
            </w:r>
            <w:r w:rsidRPr="00FC2E80">
              <w:rPr>
                <w:rFonts w:ascii="Georgia" w:hAnsi="Georgia"/>
                <w:sz w:val="20"/>
                <w:szCs w:val="20"/>
              </w:rPr>
              <w:lastRenderedPageBreak/>
              <w:t xml:space="preserve">studija </w:t>
            </w:r>
          </w:p>
        </w:tc>
        <w:tc>
          <w:tcPr>
            <w:tcW w:w="1345" w:type="dxa"/>
            <w:noWrap/>
            <w:hideMark/>
          </w:tcPr>
          <w:p w14:paraId="24F7D50D"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lastRenderedPageBreak/>
              <w:t xml:space="preserve"> n/d </w:t>
            </w:r>
          </w:p>
        </w:tc>
        <w:tc>
          <w:tcPr>
            <w:tcW w:w="2509" w:type="dxa"/>
            <w:hideMark/>
          </w:tcPr>
          <w:p w14:paraId="52B52AA3"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Rengiama galimybių studija</w:t>
            </w:r>
          </w:p>
        </w:tc>
        <w:tc>
          <w:tcPr>
            <w:tcW w:w="1645" w:type="dxa"/>
            <w:noWrap/>
            <w:hideMark/>
          </w:tcPr>
          <w:p w14:paraId="0B31A408"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r>
      <w:tr w:rsidR="00FC2E80" w:rsidRPr="00FC2E80" w14:paraId="0B0E53C6" w14:textId="77777777" w:rsidTr="000E66DF">
        <w:trPr>
          <w:trHeight w:val="3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4C5F6781" w14:textId="77777777" w:rsidR="00FC2E80" w:rsidRPr="00FC2E80" w:rsidRDefault="00FC2E80" w:rsidP="00FC2E80">
            <w:pPr>
              <w:rPr>
                <w:rFonts w:ascii="Georgia" w:hAnsi="Georgia"/>
                <w:sz w:val="20"/>
                <w:szCs w:val="20"/>
              </w:rPr>
            </w:pPr>
            <w:r w:rsidRPr="00FC2E80">
              <w:rPr>
                <w:rFonts w:ascii="Georgia" w:hAnsi="Georgia"/>
                <w:sz w:val="20"/>
                <w:szCs w:val="20"/>
              </w:rPr>
              <w:lastRenderedPageBreak/>
              <w:t>41</w:t>
            </w:r>
          </w:p>
        </w:tc>
        <w:tc>
          <w:tcPr>
            <w:tcW w:w="1559" w:type="dxa"/>
            <w:noWrap/>
            <w:hideMark/>
          </w:tcPr>
          <w:p w14:paraId="0312A1E0"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Kelmės rajono</w:t>
            </w:r>
          </w:p>
        </w:tc>
        <w:tc>
          <w:tcPr>
            <w:tcW w:w="1425" w:type="dxa"/>
            <w:noWrap/>
            <w:hideMark/>
          </w:tcPr>
          <w:p w14:paraId="7CD8B1F6"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Atliekama galimybių studija </w:t>
            </w:r>
          </w:p>
        </w:tc>
        <w:tc>
          <w:tcPr>
            <w:tcW w:w="1345" w:type="dxa"/>
            <w:noWrap/>
            <w:hideMark/>
          </w:tcPr>
          <w:p w14:paraId="2030354A"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xml:space="preserve">                                         1 785,00    </w:t>
            </w:r>
          </w:p>
        </w:tc>
        <w:tc>
          <w:tcPr>
            <w:tcW w:w="2509" w:type="dxa"/>
            <w:hideMark/>
          </w:tcPr>
          <w:p w14:paraId="7479194B"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Rengiama galimybių studija</w:t>
            </w:r>
          </w:p>
        </w:tc>
        <w:tc>
          <w:tcPr>
            <w:tcW w:w="1645" w:type="dxa"/>
            <w:noWrap/>
            <w:hideMark/>
          </w:tcPr>
          <w:p w14:paraId="64CC420A"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4 819 500,00</w:t>
            </w:r>
          </w:p>
        </w:tc>
      </w:tr>
      <w:tr w:rsidR="00FC2E80" w:rsidRPr="00FC2E80" w14:paraId="779E1105" w14:textId="77777777" w:rsidTr="000E66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3FB09A1D" w14:textId="77777777" w:rsidR="00FC2E80" w:rsidRPr="00FC2E80" w:rsidRDefault="00FC2E80">
            <w:pPr>
              <w:rPr>
                <w:rFonts w:ascii="Georgia" w:hAnsi="Georgia"/>
                <w:sz w:val="20"/>
                <w:szCs w:val="20"/>
              </w:rPr>
            </w:pPr>
            <w:r w:rsidRPr="00FC2E80">
              <w:rPr>
                <w:rFonts w:ascii="Georgia" w:hAnsi="Georgia"/>
                <w:sz w:val="20"/>
                <w:szCs w:val="20"/>
              </w:rPr>
              <w:t> </w:t>
            </w:r>
          </w:p>
        </w:tc>
        <w:tc>
          <w:tcPr>
            <w:tcW w:w="1559" w:type="dxa"/>
            <w:noWrap/>
            <w:hideMark/>
          </w:tcPr>
          <w:p w14:paraId="75151370"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1425" w:type="dxa"/>
            <w:noWrap/>
            <w:hideMark/>
          </w:tcPr>
          <w:p w14:paraId="4497A5C6"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1345" w:type="dxa"/>
            <w:noWrap/>
            <w:hideMark/>
          </w:tcPr>
          <w:p w14:paraId="08BF80F6"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2509" w:type="dxa"/>
            <w:hideMark/>
          </w:tcPr>
          <w:p w14:paraId="35C323A7" w14:textId="77777777" w:rsidR="00FC2E80" w:rsidRPr="00FC2E80" w:rsidRDefault="00FC2E80">
            <w:pPr>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1645" w:type="dxa"/>
            <w:noWrap/>
            <w:hideMark/>
          </w:tcPr>
          <w:p w14:paraId="1A3B7FAF" w14:textId="77777777" w:rsidR="00FC2E80" w:rsidRPr="00FC2E80" w:rsidRDefault="00FC2E80" w:rsidP="00FC2E80">
            <w:pPr>
              <w:cnfStyle w:val="000000100000" w:firstRow="0" w:lastRow="0" w:firstColumn="0" w:lastColumn="0" w:oddVBand="0" w:evenVBand="0" w:oddHBand="1" w:evenHBand="0" w:firstRowFirstColumn="0" w:firstRowLastColumn="0" w:lastRowFirstColumn="0" w:lastRowLastColumn="0"/>
              <w:rPr>
                <w:rFonts w:ascii="Georgia" w:hAnsi="Georgia"/>
                <w:b/>
                <w:bCs/>
                <w:sz w:val="20"/>
                <w:szCs w:val="20"/>
              </w:rPr>
            </w:pPr>
            <w:r w:rsidRPr="00FC2E80">
              <w:rPr>
                <w:rFonts w:ascii="Georgia" w:hAnsi="Georgia"/>
                <w:b/>
                <w:bCs/>
                <w:sz w:val="20"/>
                <w:szCs w:val="20"/>
              </w:rPr>
              <w:t>4 819 500,00</w:t>
            </w:r>
          </w:p>
        </w:tc>
      </w:tr>
      <w:tr w:rsidR="00FC2E80" w:rsidRPr="00FC2E80" w14:paraId="248D8C62" w14:textId="77777777" w:rsidTr="000E66DF">
        <w:trPr>
          <w:trHeight w:val="30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05FFF2B8" w14:textId="77777777" w:rsidR="00FC2E80" w:rsidRPr="00FC2E80" w:rsidRDefault="00FC2E80">
            <w:pPr>
              <w:rPr>
                <w:rFonts w:ascii="Georgia" w:hAnsi="Georgia"/>
                <w:sz w:val="20"/>
                <w:szCs w:val="20"/>
              </w:rPr>
            </w:pPr>
            <w:r w:rsidRPr="00FC2E80">
              <w:rPr>
                <w:rFonts w:ascii="Georgia" w:hAnsi="Georgia"/>
                <w:sz w:val="20"/>
                <w:szCs w:val="20"/>
              </w:rPr>
              <w:t> </w:t>
            </w:r>
          </w:p>
        </w:tc>
        <w:tc>
          <w:tcPr>
            <w:tcW w:w="1559" w:type="dxa"/>
            <w:noWrap/>
            <w:hideMark/>
          </w:tcPr>
          <w:p w14:paraId="470F20BC"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b/>
                <w:bCs/>
                <w:sz w:val="20"/>
                <w:szCs w:val="20"/>
              </w:rPr>
            </w:pPr>
            <w:r w:rsidRPr="00FC2E80">
              <w:rPr>
                <w:rFonts w:ascii="Georgia" w:hAnsi="Georgia"/>
                <w:b/>
                <w:bCs/>
                <w:sz w:val="20"/>
                <w:szCs w:val="20"/>
              </w:rPr>
              <w:t>VISO</w:t>
            </w:r>
          </w:p>
        </w:tc>
        <w:tc>
          <w:tcPr>
            <w:tcW w:w="1425" w:type="dxa"/>
            <w:noWrap/>
            <w:hideMark/>
          </w:tcPr>
          <w:p w14:paraId="2A67A65D"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b/>
                <w:bCs/>
                <w:sz w:val="20"/>
                <w:szCs w:val="20"/>
              </w:rPr>
            </w:pPr>
            <w:r w:rsidRPr="00FC2E80">
              <w:rPr>
                <w:rFonts w:ascii="Georgia" w:hAnsi="Georgia"/>
                <w:b/>
                <w:bCs/>
                <w:sz w:val="20"/>
                <w:szCs w:val="20"/>
              </w:rPr>
              <w:t xml:space="preserve">329 644 985,30    </w:t>
            </w:r>
          </w:p>
        </w:tc>
        <w:tc>
          <w:tcPr>
            <w:tcW w:w="1345" w:type="dxa"/>
            <w:noWrap/>
            <w:hideMark/>
          </w:tcPr>
          <w:p w14:paraId="6565FDFF"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2509" w:type="dxa"/>
            <w:hideMark/>
          </w:tcPr>
          <w:p w14:paraId="14CE1307" w14:textId="77777777" w:rsidR="00FC2E80" w:rsidRPr="00FC2E80" w:rsidRDefault="00FC2E80">
            <w:pPr>
              <w:cnfStyle w:val="000000000000" w:firstRow="0" w:lastRow="0" w:firstColumn="0" w:lastColumn="0" w:oddVBand="0" w:evenVBand="0" w:oddHBand="0" w:evenHBand="0" w:firstRowFirstColumn="0" w:firstRowLastColumn="0" w:lastRowFirstColumn="0" w:lastRowLastColumn="0"/>
              <w:rPr>
                <w:rFonts w:ascii="Georgia" w:hAnsi="Georgia"/>
                <w:sz w:val="20"/>
                <w:szCs w:val="20"/>
              </w:rPr>
            </w:pPr>
            <w:r w:rsidRPr="00FC2E80">
              <w:rPr>
                <w:rFonts w:ascii="Georgia" w:hAnsi="Georgia"/>
                <w:sz w:val="20"/>
                <w:szCs w:val="20"/>
              </w:rPr>
              <w:t> </w:t>
            </w:r>
          </w:p>
        </w:tc>
        <w:tc>
          <w:tcPr>
            <w:tcW w:w="1645" w:type="dxa"/>
            <w:noWrap/>
            <w:hideMark/>
          </w:tcPr>
          <w:p w14:paraId="40BCC2E4" w14:textId="77777777" w:rsidR="00FC2E80" w:rsidRPr="00FC2E80" w:rsidRDefault="00FC2E80" w:rsidP="00FC2E80">
            <w:pPr>
              <w:cnfStyle w:val="000000000000" w:firstRow="0" w:lastRow="0" w:firstColumn="0" w:lastColumn="0" w:oddVBand="0" w:evenVBand="0" w:oddHBand="0" w:evenHBand="0" w:firstRowFirstColumn="0" w:firstRowLastColumn="0" w:lastRowFirstColumn="0" w:lastRowLastColumn="0"/>
              <w:rPr>
                <w:rFonts w:ascii="Georgia" w:hAnsi="Georgia"/>
                <w:b/>
                <w:bCs/>
                <w:sz w:val="20"/>
                <w:szCs w:val="20"/>
              </w:rPr>
            </w:pPr>
            <w:r w:rsidRPr="00FC2E80">
              <w:rPr>
                <w:rFonts w:ascii="Georgia" w:hAnsi="Georgia"/>
                <w:b/>
                <w:bCs/>
                <w:sz w:val="20"/>
                <w:szCs w:val="20"/>
              </w:rPr>
              <w:t>101 347 200,00</w:t>
            </w:r>
          </w:p>
        </w:tc>
      </w:tr>
    </w:tbl>
    <w:p w14:paraId="654F4020" w14:textId="77777777" w:rsidR="008E6DE4" w:rsidRDefault="008E6DE4" w:rsidP="000203BA">
      <w:pPr>
        <w:rPr>
          <w:rFonts w:ascii="Georgia" w:hAnsi="Georgia"/>
          <w:sz w:val="20"/>
          <w:szCs w:val="20"/>
          <w:lang w:val="lt-LT"/>
        </w:rPr>
      </w:pPr>
    </w:p>
    <w:p w14:paraId="2C5BF221" w14:textId="77777777" w:rsidR="008E6DE4" w:rsidRDefault="008E6DE4">
      <w:pPr>
        <w:rPr>
          <w:rFonts w:ascii="Georgia" w:hAnsi="Georgia"/>
          <w:sz w:val="20"/>
          <w:szCs w:val="20"/>
          <w:lang w:val="lt-LT"/>
        </w:rPr>
      </w:pPr>
      <w:r>
        <w:rPr>
          <w:rFonts w:ascii="Georgia" w:hAnsi="Georgia"/>
          <w:sz w:val="20"/>
          <w:szCs w:val="20"/>
          <w:lang w:val="lt-LT"/>
        </w:rPr>
        <w:br w:type="page"/>
      </w:r>
    </w:p>
    <w:p w14:paraId="5E64A20B" w14:textId="77777777" w:rsidR="008E6DE4" w:rsidRDefault="008E6DE4" w:rsidP="00607C98">
      <w:pPr>
        <w:pStyle w:val="Antrat2"/>
        <w:rPr>
          <w:lang w:val="lt-LT"/>
        </w:rPr>
      </w:pPr>
      <w:bookmarkStart w:id="454" w:name="_Toc417378482"/>
      <w:r>
        <w:rPr>
          <w:lang w:val="lt-LT"/>
        </w:rPr>
        <w:lastRenderedPageBreak/>
        <w:t>Priedas Nr. 9. Daugiabučių modernizavimo fondo valdytojo paskyrimo alternatyvų analizė.</w:t>
      </w:r>
      <w:bookmarkEnd w:id="454"/>
    </w:p>
    <w:p w14:paraId="55A979D4" w14:textId="77777777" w:rsidR="000E66DF" w:rsidRDefault="000E66DF" w:rsidP="000E66DF">
      <w:pPr>
        <w:rPr>
          <w:lang w:val="lt-LT"/>
        </w:rPr>
      </w:pPr>
    </w:p>
    <w:p w14:paraId="61B3A131" w14:textId="77777777" w:rsidR="000E66DF" w:rsidRDefault="000E66DF" w:rsidP="000E66DF">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Analizuojamos septynios finansinės priemonės įgyvendinimo </w:t>
      </w:r>
      <w:r w:rsidR="004521B7">
        <w:rPr>
          <w:rFonts w:ascii="Georgia" w:hAnsi="Georgia" w:cs="Georgia"/>
          <w:sz w:val="20"/>
          <w:szCs w:val="20"/>
          <w:lang w:val="lt-LT"/>
        </w:rPr>
        <w:t xml:space="preserve">(administravimo ir valdymo) </w:t>
      </w:r>
      <w:r>
        <w:rPr>
          <w:rFonts w:ascii="Georgia" w:hAnsi="Georgia" w:cs="Georgia"/>
          <w:sz w:val="20"/>
          <w:szCs w:val="20"/>
          <w:lang w:val="lt-LT"/>
        </w:rPr>
        <w:t>alternatyvos:</w:t>
      </w:r>
    </w:p>
    <w:p w14:paraId="433BB336" w14:textId="77777777" w:rsidR="000E66DF" w:rsidRDefault="000E66DF" w:rsidP="002A576D">
      <w:pPr>
        <w:pStyle w:val="Sraopastraipa"/>
        <w:numPr>
          <w:ilvl w:val="0"/>
          <w:numId w:val="105"/>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vadovaujančioji institucija investuoja į esamų ar naujai sukurtų juridinių vienetų, skirtų įgyvendinti finansines priemones, kapitalą (38(4)(a) straipsnis) (toliau – I alternatyva);</w:t>
      </w:r>
    </w:p>
    <w:p w14:paraId="6456F35C" w14:textId="77777777" w:rsidR="000E66DF" w:rsidRDefault="000E66DF" w:rsidP="002A576D">
      <w:pPr>
        <w:pStyle w:val="Sraopastraipa"/>
        <w:numPr>
          <w:ilvl w:val="0"/>
          <w:numId w:val="105"/>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vadovaujančioji institucija paveda finansinių priemonių įgyvendinimą kitai institucijai. Ši alternatyva skiriama į tris galimybes (38(4)(b) straipsnis):</w:t>
      </w:r>
    </w:p>
    <w:p w14:paraId="76C2FAF8" w14:textId="77777777" w:rsidR="000E66DF" w:rsidRDefault="000E66DF" w:rsidP="002A576D">
      <w:pPr>
        <w:pStyle w:val="Sraopastraipa"/>
        <w:numPr>
          <w:ilvl w:val="1"/>
          <w:numId w:val="105"/>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EIB grupė (38(4)(b)(i) straipsnis) (toliau – II alternatyva);</w:t>
      </w:r>
    </w:p>
    <w:p w14:paraId="3122E12C" w14:textId="77777777" w:rsidR="000E66DF" w:rsidRDefault="000E66DF" w:rsidP="002A576D">
      <w:pPr>
        <w:pStyle w:val="Sraopastraipa"/>
        <w:numPr>
          <w:ilvl w:val="1"/>
          <w:numId w:val="105"/>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tarptautinės finansų įstaigos, kuriose valstybė yra akcininkė (III alternatyva) (vertinami NIB, EBRD, CEB), valstybėje narėje įsteigtos finansų įstaigos, kurių tikslas – siekti viešųjų interesų kontroliuojant valdžios institucijai (38(4)(b)(ii) straipsnis) (toliau – IV alternatyva)</w:t>
      </w:r>
      <w:r w:rsidR="00783E04">
        <w:rPr>
          <w:rFonts w:ascii="Georgia" w:hAnsi="Georgia" w:cs="Georgia"/>
          <w:sz w:val="20"/>
          <w:szCs w:val="20"/>
          <w:lang w:val="lt-LT"/>
        </w:rPr>
        <w:t xml:space="preserve"> (vertinama VIPA, kaip LRV įsteigta </w:t>
      </w:r>
      <w:r w:rsidR="007609E7">
        <w:rPr>
          <w:rFonts w:ascii="Georgia" w:hAnsi="Georgia" w:cs="Georgia"/>
          <w:sz w:val="20"/>
          <w:szCs w:val="20"/>
          <w:lang w:val="lt-LT"/>
        </w:rPr>
        <w:t xml:space="preserve">finansų įstaiga </w:t>
      </w:r>
      <w:r w:rsidR="00783E04">
        <w:rPr>
          <w:rFonts w:ascii="Georgia" w:hAnsi="Georgia" w:cs="Georgia"/>
          <w:sz w:val="20"/>
          <w:szCs w:val="20"/>
          <w:lang w:val="lt-LT"/>
        </w:rPr>
        <w:t>finansinių priemonių plėtrai analizuojamoje srityje)</w:t>
      </w:r>
      <w:r>
        <w:rPr>
          <w:rFonts w:ascii="Georgia" w:hAnsi="Georgia" w:cs="Georgia"/>
          <w:sz w:val="20"/>
          <w:szCs w:val="20"/>
          <w:lang w:val="lt-LT"/>
        </w:rPr>
        <w:t xml:space="preserve">; </w:t>
      </w:r>
    </w:p>
    <w:p w14:paraId="2225302D" w14:textId="77777777" w:rsidR="000E66DF" w:rsidRDefault="000E66DF" w:rsidP="002A576D">
      <w:pPr>
        <w:pStyle w:val="Sraopastraipa"/>
        <w:numPr>
          <w:ilvl w:val="1"/>
          <w:numId w:val="105"/>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viešosios ar privačiosios teisės subjektas (38(4)(b)(iii) straipsnis) (toliau – V alternatyva).</w:t>
      </w:r>
    </w:p>
    <w:p w14:paraId="07B5E400" w14:textId="77777777" w:rsidR="000E66DF" w:rsidRDefault="000E66DF" w:rsidP="002A576D">
      <w:pPr>
        <w:pStyle w:val="Sraopastraipa"/>
        <w:numPr>
          <w:ilvl w:val="0"/>
          <w:numId w:val="105"/>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vadovaujančioji institucija įgyvendina finansines priemones tiesiogiai (38(4)(c)) (toliau – VI alternatyva);</w:t>
      </w:r>
    </w:p>
    <w:p w14:paraId="67F88992" w14:textId="77777777" w:rsidR="000E66DF" w:rsidRPr="000E66DF" w:rsidRDefault="000E66DF" w:rsidP="002A576D">
      <w:pPr>
        <w:pStyle w:val="Sraopastraipa"/>
        <w:numPr>
          <w:ilvl w:val="0"/>
          <w:numId w:val="105"/>
        </w:numPr>
        <w:autoSpaceDE w:val="0"/>
        <w:autoSpaceDN w:val="0"/>
        <w:adjustRightInd w:val="0"/>
        <w:spacing w:after="0"/>
        <w:jc w:val="both"/>
        <w:rPr>
          <w:rFonts w:ascii="Georgia" w:hAnsi="Georgia" w:cs="Georgia"/>
          <w:sz w:val="20"/>
          <w:szCs w:val="20"/>
          <w:lang w:val="lt-LT"/>
        </w:rPr>
      </w:pPr>
      <w:r w:rsidRPr="000E66DF">
        <w:rPr>
          <w:rFonts w:ascii="Georgia" w:hAnsi="Georgia" w:cs="Georgia"/>
          <w:sz w:val="20"/>
          <w:szCs w:val="20"/>
          <w:lang w:val="lt-LT"/>
        </w:rPr>
        <w:t>vadovaujančioji institucija paveda finansinių priemonių įgyvendinimą dviem institucijoms: EIB ir nacionalinei finansų įstaigai kartu (VII alternatyva).</w:t>
      </w:r>
    </w:p>
    <w:p w14:paraId="44C2A15F" w14:textId="77777777" w:rsidR="000E66DF" w:rsidRDefault="000E66DF" w:rsidP="000E66DF">
      <w:pPr>
        <w:rPr>
          <w:lang w:val="lt-LT"/>
        </w:rPr>
        <w:sectPr w:rsidR="000E66DF" w:rsidSect="000E66DF">
          <w:pgSz w:w="12240" w:h="15840" w:code="1"/>
          <w:pgMar w:top="1440" w:right="1440" w:bottom="1276" w:left="1440" w:header="709" w:footer="709" w:gutter="0"/>
          <w:cols w:space="1296"/>
        </w:sectPr>
      </w:pPr>
    </w:p>
    <w:p w14:paraId="79B59299" w14:textId="77777777" w:rsidR="000E66DF" w:rsidRPr="000E66DF" w:rsidRDefault="000E66DF" w:rsidP="000E66DF">
      <w:pPr>
        <w:rPr>
          <w:lang w:val="lt-LT"/>
        </w:rPr>
      </w:pPr>
    </w:p>
    <w:tbl>
      <w:tblPr>
        <w:tblStyle w:val="viesussraas2parykinimas3"/>
        <w:tblW w:w="5000" w:type="pct"/>
        <w:tblCellMar>
          <w:left w:w="57" w:type="dxa"/>
          <w:right w:w="57" w:type="dxa"/>
        </w:tblCellMar>
        <w:tblLook w:val="04A0" w:firstRow="1" w:lastRow="0" w:firstColumn="1" w:lastColumn="0" w:noHBand="0" w:noVBand="1"/>
      </w:tblPr>
      <w:tblGrid>
        <w:gridCol w:w="1667"/>
        <w:gridCol w:w="1627"/>
        <w:gridCol w:w="1620"/>
        <w:gridCol w:w="1626"/>
        <w:gridCol w:w="1626"/>
        <w:gridCol w:w="1620"/>
        <w:gridCol w:w="1689"/>
        <w:gridCol w:w="1763"/>
      </w:tblGrid>
      <w:tr w:rsidR="00454050" w14:paraId="670CBADD" w14:textId="77777777" w:rsidTr="004521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9" w:type="pct"/>
            <w:tcBorders>
              <w:top w:val="single" w:sz="8" w:space="0" w:color="C0504D" w:themeColor="accent2"/>
              <w:left w:val="single" w:sz="8" w:space="0" w:color="C0504D" w:themeColor="accent2"/>
              <w:bottom w:val="nil"/>
              <w:right w:val="nil"/>
            </w:tcBorders>
            <w:hideMark/>
          </w:tcPr>
          <w:p w14:paraId="45C5F6A9" w14:textId="77777777" w:rsidR="008E6DE4" w:rsidRDefault="008E6DE4">
            <w:pPr>
              <w:jc w:val="center"/>
              <w:rPr>
                <w:rFonts w:ascii="Georgia" w:hAnsi="Georgia" w:cs="Arial"/>
                <w:b w:val="0"/>
                <w:sz w:val="20"/>
                <w:szCs w:val="20"/>
              </w:rPr>
            </w:pPr>
            <w:r>
              <w:rPr>
                <w:rFonts w:ascii="Georgia" w:hAnsi="Georgia" w:cs="Arial"/>
                <w:sz w:val="20"/>
                <w:szCs w:val="20"/>
              </w:rPr>
              <w:t>Vertinimo kriterijus</w:t>
            </w:r>
          </w:p>
        </w:tc>
        <w:tc>
          <w:tcPr>
            <w:tcW w:w="614" w:type="pct"/>
            <w:tcBorders>
              <w:top w:val="single" w:sz="8" w:space="0" w:color="C0504D" w:themeColor="accent2"/>
              <w:left w:val="nil"/>
              <w:bottom w:val="nil"/>
              <w:right w:val="nil"/>
            </w:tcBorders>
            <w:hideMark/>
          </w:tcPr>
          <w:p w14:paraId="56948DA1" w14:textId="77777777" w:rsidR="008E6DE4" w:rsidRDefault="008E6DE4">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20"/>
                <w:szCs w:val="20"/>
              </w:rPr>
            </w:pPr>
            <w:r>
              <w:rPr>
                <w:rFonts w:ascii="Georgia" w:hAnsi="Georgia" w:cs="Arial"/>
                <w:sz w:val="20"/>
                <w:szCs w:val="20"/>
              </w:rPr>
              <w:t>I alternatyva</w:t>
            </w:r>
          </w:p>
        </w:tc>
        <w:tc>
          <w:tcPr>
            <w:tcW w:w="612" w:type="pct"/>
            <w:tcBorders>
              <w:top w:val="single" w:sz="8" w:space="0" w:color="C0504D" w:themeColor="accent2"/>
              <w:left w:val="nil"/>
              <w:bottom w:val="nil"/>
              <w:right w:val="nil"/>
            </w:tcBorders>
            <w:hideMark/>
          </w:tcPr>
          <w:p w14:paraId="1C0A4A55" w14:textId="77777777" w:rsidR="008E6DE4" w:rsidRDefault="008E6DE4">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20"/>
                <w:szCs w:val="20"/>
              </w:rPr>
            </w:pPr>
            <w:r>
              <w:rPr>
                <w:rFonts w:ascii="Georgia" w:hAnsi="Georgia" w:cs="Arial"/>
                <w:sz w:val="20"/>
                <w:szCs w:val="20"/>
              </w:rPr>
              <w:t>II alternatyva</w:t>
            </w:r>
          </w:p>
        </w:tc>
        <w:tc>
          <w:tcPr>
            <w:tcW w:w="614" w:type="pct"/>
            <w:tcBorders>
              <w:top w:val="single" w:sz="8" w:space="0" w:color="C0504D" w:themeColor="accent2"/>
              <w:left w:val="nil"/>
              <w:bottom w:val="nil"/>
              <w:right w:val="nil"/>
            </w:tcBorders>
            <w:hideMark/>
          </w:tcPr>
          <w:p w14:paraId="51D2677C" w14:textId="77777777" w:rsidR="008E6DE4" w:rsidRDefault="008E6DE4">
            <w:pPr>
              <w:jc w:val="cente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III alternatyva</w:t>
            </w:r>
          </w:p>
        </w:tc>
        <w:tc>
          <w:tcPr>
            <w:tcW w:w="614" w:type="pct"/>
            <w:tcBorders>
              <w:top w:val="single" w:sz="8" w:space="0" w:color="C0504D" w:themeColor="accent2"/>
              <w:left w:val="nil"/>
              <w:bottom w:val="nil"/>
              <w:right w:val="nil"/>
            </w:tcBorders>
            <w:hideMark/>
          </w:tcPr>
          <w:p w14:paraId="0FD8DA44" w14:textId="77777777" w:rsidR="008E6DE4" w:rsidRDefault="008E6DE4">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20"/>
                <w:szCs w:val="20"/>
              </w:rPr>
            </w:pPr>
            <w:r>
              <w:rPr>
                <w:rFonts w:ascii="Georgia" w:hAnsi="Georgia" w:cs="Arial"/>
                <w:sz w:val="20"/>
                <w:szCs w:val="20"/>
              </w:rPr>
              <w:t>IV alternatyva</w:t>
            </w:r>
          </w:p>
        </w:tc>
        <w:tc>
          <w:tcPr>
            <w:tcW w:w="612" w:type="pct"/>
            <w:tcBorders>
              <w:top w:val="single" w:sz="8" w:space="0" w:color="C0504D" w:themeColor="accent2"/>
              <w:left w:val="nil"/>
              <w:bottom w:val="nil"/>
              <w:right w:val="nil"/>
            </w:tcBorders>
            <w:hideMark/>
          </w:tcPr>
          <w:p w14:paraId="0D3A0A7E" w14:textId="77777777" w:rsidR="008E6DE4" w:rsidRDefault="008E6DE4">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20"/>
                <w:szCs w:val="20"/>
              </w:rPr>
            </w:pPr>
            <w:r>
              <w:rPr>
                <w:rFonts w:ascii="Georgia" w:hAnsi="Georgia" w:cs="Arial"/>
                <w:sz w:val="20"/>
                <w:szCs w:val="20"/>
              </w:rPr>
              <w:t>V alternatyva</w:t>
            </w:r>
          </w:p>
        </w:tc>
        <w:tc>
          <w:tcPr>
            <w:tcW w:w="638" w:type="pct"/>
            <w:tcBorders>
              <w:top w:val="single" w:sz="8" w:space="0" w:color="C0504D" w:themeColor="accent2"/>
              <w:left w:val="nil"/>
              <w:bottom w:val="nil"/>
              <w:right w:val="nil"/>
            </w:tcBorders>
            <w:hideMark/>
          </w:tcPr>
          <w:p w14:paraId="06B14890" w14:textId="77777777" w:rsidR="008E6DE4" w:rsidRDefault="008E6DE4">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20"/>
                <w:szCs w:val="20"/>
              </w:rPr>
            </w:pPr>
            <w:r>
              <w:rPr>
                <w:rFonts w:ascii="Georgia" w:hAnsi="Georgia" w:cs="Arial"/>
                <w:sz w:val="20"/>
                <w:szCs w:val="20"/>
              </w:rPr>
              <w:t>VI alternatyva</w:t>
            </w:r>
          </w:p>
        </w:tc>
        <w:tc>
          <w:tcPr>
            <w:tcW w:w="666" w:type="pct"/>
            <w:tcBorders>
              <w:top w:val="single" w:sz="8" w:space="0" w:color="C0504D" w:themeColor="accent2"/>
              <w:left w:val="nil"/>
              <w:bottom w:val="nil"/>
              <w:right w:val="single" w:sz="8" w:space="0" w:color="C0504D" w:themeColor="accent2"/>
            </w:tcBorders>
            <w:hideMark/>
          </w:tcPr>
          <w:p w14:paraId="5A39660C" w14:textId="77777777" w:rsidR="008E6DE4" w:rsidRDefault="008E6DE4">
            <w:pPr>
              <w:jc w:val="cente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VII alternatyva</w:t>
            </w:r>
          </w:p>
        </w:tc>
      </w:tr>
      <w:tr w:rsidR="00454050" w14:paraId="37553033" w14:textId="77777777" w:rsidTr="00452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val="restart"/>
            <w:tcBorders>
              <w:bottom w:val="nil"/>
              <w:right w:val="nil"/>
            </w:tcBorders>
            <w:hideMark/>
          </w:tcPr>
          <w:p w14:paraId="6E69AEB0" w14:textId="77777777" w:rsidR="008E6DE4" w:rsidRDefault="008E6DE4">
            <w:pPr>
              <w:jc w:val="both"/>
              <w:rPr>
                <w:rFonts w:ascii="Georgia" w:hAnsi="Georgia" w:cs="Arial"/>
                <w:sz w:val="18"/>
                <w:szCs w:val="18"/>
              </w:rPr>
            </w:pPr>
            <w:r>
              <w:rPr>
                <w:rFonts w:ascii="Georgia" w:hAnsi="Georgia" w:cs="Arial"/>
                <w:sz w:val="18"/>
                <w:szCs w:val="18"/>
              </w:rPr>
              <w:t>Operatyvumas</w:t>
            </w:r>
          </w:p>
        </w:tc>
        <w:tc>
          <w:tcPr>
            <w:tcW w:w="614" w:type="pct"/>
            <w:tcBorders>
              <w:left w:val="nil"/>
              <w:right w:val="nil"/>
            </w:tcBorders>
            <w:hideMark/>
          </w:tcPr>
          <w:p w14:paraId="675F802F"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2" w:type="pct"/>
            <w:tcBorders>
              <w:left w:val="nil"/>
              <w:right w:val="nil"/>
            </w:tcBorders>
            <w:hideMark/>
          </w:tcPr>
          <w:p w14:paraId="55C57ACB"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4" w:type="pct"/>
            <w:tcBorders>
              <w:left w:val="nil"/>
              <w:right w:val="nil"/>
            </w:tcBorders>
            <w:hideMark/>
          </w:tcPr>
          <w:p w14:paraId="140490EB"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4" w:type="pct"/>
            <w:tcBorders>
              <w:left w:val="nil"/>
              <w:right w:val="nil"/>
            </w:tcBorders>
            <w:hideMark/>
          </w:tcPr>
          <w:p w14:paraId="0E3852AD"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2" w:type="pct"/>
            <w:tcBorders>
              <w:left w:val="nil"/>
              <w:right w:val="nil"/>
            </w:tcBorders>
            <w:hideMark/>
          </w:tcPr>
          <w:p w14:paraId="21C87F61"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38" w:type="pct"/>
            <w:tcBorders>
              <w:left w:val="nil"/>
              <w:right w:val="nil"/>
            </w:tcBorders>
            <w:hideMark/>
          </w:tcPr>
          <w:p w14:paraId="23CB7F7C"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66" w:type="pct"/>
            <w:tcBorders>
              <w:left w:val="nil"/>
            </w:tcBorders>
            <w:hideMark/>
          </w:tcPr>
          <w:p w14:paraId="50E68A51"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r>
      <w:tr w:rsidR="00454050" w14:paraId="54357C65" w14:textId="77777777" w:rsidTr="004521B7">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14:paraId="5A26E825" w14:textId="77777777" w:rsidR="008E6DE4" w:rsidRDefault="008E6DE4">
            <w:pPr>
              <w:rPr>
                <w:rFonts w:ascii="Georgia" w:hAnsi="Georgia" w:cs="Arial"/>
                <w:sz w:val="18"/>
                <w:szCs w:val="18"/>
              </w:rPr>
            </w:pPr>
          </w:p>
        </w:tc>
        <w:tc>
          <w:tcPr>
            <w:tcW w:w="614" w:type="pct"/>
            <w:tcBorders>
              <w:top w:val="nil"/>
              <w:left w:val="nil"/>
              <w:bottom w:val="nil"/>
              <w:right w:val="nil"/>
            </w:tcBorders>
            <w:hideMark/>
          </w:tcPr>
          <w:p w14:paraId="21A4C88E" w14:textId="77777777"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Taikomos LR Valstybės ir savivaldybių turto valdymo, naudojimo ir disponavimo juo įstatyme numatytos procedūros. Finansiniai tarpininkai privalo būti atrinkti per skaidrų, objektyvų ir pagrįstą atrankos procesą. Preliminariai fondo valdytojo paskyrimas truktų apie 6 mėnesius.</w:t>
            </w:r>
          </w:p>
        </w:tc>
        <w:tc>
          <w:tcPr>
            <w:tcW w:w="612" w:type="pct"/>
            <w:tcBorders>
              <w:top w:val="nil"/>
              <w:left w:val="nil"/>
              <w:bottom w:val="nil"/>
              <w:right w:val="nil"/>
            </w:tcBorders>
            <w:hideMark/>
          </w:tcPr>
          <w:p w14:paraId="49AEC5C1" w14:textId="77777777" w:rsidR="008E6DE4" w:rsidRDefault="008E6DE4" w:rsidP="00DC1A38">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Reikalingas vadovaujančiosios institucijos sprendimas. Taip pat reiktų parengti ir suderinti sutartį su EIB (tikėtina, pagal Liuksemburgo teisės reikalavimus). Kita vertus, dėl turimos patirties finansuojant daugiabučius procedūra gali būti pakankamai sklandi. Finansiniai tarpininkai privalo būti atrinkti per skaidrų, objektyvų ir pagrįstą atrankos procesą. Preliminariai fondo valdytojo paskyrimas ir sutarties suderinimas truks apie 3 mėn.</w:t>
            </w:r>
            <w:r w:rsidR="00DC1A38">
              <w:rPr>
                <w:rFonts w:ascii="Georgia" w:hAnsi="Georgia" w:cs="Arial"/>
                <w:sz w:val="18"/>
                <w:szCs w:val="18"/>
              </w:rPr>
              <w:t xml:space="preserve"> (greitesnis sutarties parengimas ir susiderinimas galimas dėl to, kad EIB tiesiogiai dalyvauja JESSICA fondo veikloje </w:t>
            </w:r>
            <w:r w:rsidR="00DC1A38">
              <w:rPr>
                <w:rFonts w:ascii="Georgia" w:hAnsi="Georgia" w:cs="Arial"/>
                <w:sz w:val="18"/>
                <w:szCs w:val="18"/>
              </w:rPr>
              <w:lastRenderedPageBreak/>
              <w:t>Lietuvoje)</w:t>
            </w:r>
            <w:r>
              <w:rPr>
                <w:rFonts w:ascii="Georgia" w:hAnsi="Georgia" w:cs="Arial"/>
                <w:sz w:val="18"/>
                <w:szCs w:val="18"/>
              </w:rPr>
              <w:t>, o finansinių tarpininkų atrankos (sutarčių keitimo procedūros) – apie 3 mėn. (galėtų būti pasinaudojama galimybe netaikyti LR viešųjų pirkimų įstatymo nuostatų ir pirkimas vykdomas pagal tarptautinių organizacijų specialiąsias pirkimo procedūras).</w:t>
            </w:r>
          </w:p>
        </w:tc>
        <w:tc>
          <w:tcPr>
            <w:tcW w:w="614" w:type="pct"/>
            <w:tcBorders>
              <w:top w:val="nil"/>
              <w:left w:val="nil"/>
              <w:bottom w:val="nil"/>
              <w:right w:val="nil"/>
            </w:tcBorders>
            <w:hideMark/>
          </w:tcPr>
          <w:p w14:paraId="50E5529B" w14:textId="77777777"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lastRenderedPageBreak/>
              <w:t>Reikalingas vadovaujančiosios institucijos sprendimas. Taip pat reiktų parengti ir suderinti sutartį su tarptautine finansų institucija. Įvertinant tai, jog šiuo metu derybos nevyksta nei su viena tarptautine finansų institucija, fondo valdytojo paskyrimas ir sutarties suderinimas preliminariai truktų apie 6 mėn., o finansinių tarpininkų atrankos (sutarčių keitimo procedūros) – apie 4 mėn. (galėtų būti pasinaudojama galimybe netaikyti LR viešųjų pirkimų įstatymo nuostatų ir pirkimas vykdomas pagal tarptautinių organizacijų specialiąsias pirkimo procedūras).</w:t>
            </w:r>
          </w:p>
        </w:tc>
        <w:tc>
          <w:tcPr>
            <w:tcW w:w="614" w:type="pct"/>
            <w:tcBorders>
              <w:top w:val="nil"/>
              <w:left w:val="nil"/>
              <w:bottom w:val="nil"/>
              <w:right w:val="nil"/>
            </w:tcBorders>
            <w:hideMark/>
          </w:tcPr>
          <w:p w14:paraId="089EE7D1" w14:textId="77777777" w:rsidR="008E6DE4" w:rsidRDefault="008E6DE4" w:rsidP="00383C2C">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Reikalingas vadovaujančiosios institucijos sprendimas. Galimybė taikyti LR Viešųjų pirkimų įstatymo 10 str. 5 d. vidaus sandorio išimtį, kuri ženkliai sutrumpintų atrankos procedūrą. Valdytojas privalo atitikti taikytinus reikalavimus ir nustatytus atrankos kriterijus. Taip pat pagal nacionalinius teisės aktus reiktų parengti ir suderinti sutartį. Finansinių tarpininkų atranka ne</w:t>
            </w:r>
            <w:r w:rsidR="00383C2C">
              <w:rPr>
                <w:rFonts w:ascii="Georgia" w:hAnsi="Georgia" w:cs="Arial"/>
                <w:sz w:val="18"/>
                <w:szCs w:val="18"/>
              </w:rPr>
              <w:t>privaloma, tačiau galima atsižvelgiant į pridėtinę vertę</w:t>
            </w:r>
            <w:r>
              <w:rPr>
                <w:rFonts w:ascii="Georgia" w:hAnsi="Georgia" w:cs="Arial"/>
                <w:sz w:val="18"/>
                <w:szCs w:val="18"/>
              </w:rPr>
              <w:t xml:space="preserve">. Preliminariai fondo valdytojo paskyrimo procedūros ir sutarties suderinimas gali trukti apie 2 mėn. Esant poreikiui finansinių </w:t>
            </w:r>
            <w:r>
              <w:rPr>
                <w:rFonts w:ascii="Georgia" w:hAnsi="Georgia" w:cs="Arial"/>
                <w:sz w:val="18"/>
                <w:szCs w:val="18"/>
              </w:rPr>
              <w:lastRenderedPageBreak/>
              <w:t>tarpininkų atrankos (sutarčių keitimo) procedūros apie 3 mėn.</w:t>
            </w:r>
          </w:p>
        </w:tc>
        <w:tc>
          <w:tcPr>
            <w:tcW w:w="612" w:type="pct"/>
            <w:tcBorders>
              <w:top w:val="nil"/>
              <w:left w:val="nil"/>
              <w:bottom w:val="nil"/>
              <w:right w:val="nil"/>
            </w:tcBorders>
            <w:hideMark/>
          </w:tcPr>
          <w:p w14:paraId="532FF8CB" w14:textId="77777777"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lastRenderedPageBreak/>
              <w:t>Subjektas, įgyvendinantis finansinę priemonę, privalo būti atrinktas konkurso būdu, laikantis Bendrųjų nuostatų reglamento nuostatų, pagal taikytinus reikalavimus ir nustatytus atrankos kriterijus. Preliminariai fondo valdytojo konkurso organizavimo procedūros ir sutarties suderinimas gali trukti apie 6 mėn.</w:t>
            </w:r>
          </w:p>
        </w:tc>
        <w:tc>
          <w:tcPr>
            <w:tcW w:w="638" w:type="pct"/>
            <w:tcBorders>
              <w:top w:val="nil"/>
              <w:left w:val="nil"/>
              <w:bottom w:val="nil"/>
              <w:right w:val="nil"/>
            </w:tcBorders>
            <w:hideMark/>
          </w:tcPr>
          <w:p w14:paraId="7268629A" w14:textId="77777777"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Nėra būtina organizuoti atrankos procedūrą, nes nėra steigiamas fondas. Taip pat nereikia derinti bei pasirašyti sutarties.</w:t>
            </w:r>
          </w:p>
        </w:tc>
        <w:tc>
          <w:tcPr>
            <w:tcW w:w="666" w:type="pct"/>
            <w:tcBorders>
              <w:top w:val="nil"/>
              <w:left w:val="nil"/>
              <w:bottom w:val="nil"/>
              <w:right w:val="single" w:sz="8" w:space="0" w:color="C0504D" w:themeColor="accent2"/>
            </w:tcBorders>
            <w:hideMark/>
          </w:tcPr>
          <w:p w14:paraId="299BAC80" w14:textId="77777777"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Reikalingas vadovaujančiosios institucijos sprendimas. Nacionalinė finansų įstaiga privalo atitikti taikytinus reikalavimus ir nustatytus atrankos kriterijus. Taip pat pagal nacionalinius teisės aktus reiktų parengti ir suderinti sutartį su visomis sutarties šalimis. Finansinių tarpininkų atranka nebūtina, tačiau, jeigu apsisprendžiama atrinkti finansinius tarpininkus, atranka privalo būti atlikta per skaidrų, objektyvų ir pagrįstą atrankos procesą. Preliminariai fondo valdytojo paskyrimo procedūros ir sutarties suderinimas gali trukti – apie 3 mėn.</w:t>
            </w:r>
            <w:r w:rsidR="004255D8">
              <w:rPr>
                <w:rFonts w:ascii="Georgia" w:hAnsi="Georgia" w:cs="Arial"/>
                <w:sz w:val="18"/>
                <w:szCs w:val="18"/>
              </w:rPr>
              <w:t xml:space="preserve"> (greitesnis sutarties parengimas ir susiderinimas galimas dėl to, kad EIB ir VIPA tiesiogiai dalyvauja JESSICA fondo </w:t>
            </w:r>
            <w:r w:rsidR="004255D8">
              <w:rPr>
                <w:rFonts w:ascii="Georgia" w:hAnsi="Georgia" w:cs="Arial"/>
                <w:sz w:val="18"/>
                <w:szCs w:val="18"/>
              </w:rPr>
              <w:lastRenderedPageBreak/>
              <w:t>veikloje Lietuvoje)</w:t>
            </w:r>
            <w:r>
              <w:rPr>
                <w:rFonts w:ascii="Georgia" w:hAnsi="Georgia" w:cs="Arial"/>
                <w:sz w:val="18"/>
                <w:szCs w:val="18"/>
              </w:rPr>
              <w:t xml:space="preserve"> Esant poreikiui finansinių tarpininkų atrankos procedūros – apie 3 mėn. (galėtų būti pasinaudojama galimybe netaikyti LR viešųjų pirkimų įstatymo nuostatų).</w:t>
            </w:r>
          </w:p>
        </w:tc>
      </w:tr>
      <w:tr w:rsidR="00454050" w14:paraId="09D3B082" w14:textId="77777777" w:rsidTr="00452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val="restart"/>
            <w:tcBorders>
              <w:bottom w:val="nil"/>
              <w:right w:val="nil"/>
            </w:tcBorders>
            <w:hideMark/>
          </w:tcPr>
          <w:p w14:paraId="22F21CFD" w14:textId="77777777" w:rsidR="008E6DE4" w:rsidRDefault="008E6DE4">
            <w:pPr>
              <w:rPr>
                <w:rFonts w:ascii="Georgia" w:hAnsi="Georgia" w:cs="Arial"/>
                <w:sz w:val="18"/>
                <w:szCs w:val="18"/>
              </w:rPr>
            </w:pPr>
            <w:r>
              <w:rPr>
                <w:rFonts w:ascii="Georgia" w:hAnsi="Georgia" w:cs="Arial"/>
                <w:sz w:val="18"/>
                <w:szCs w:val="18"/>
              </w:rPr>
              <w:lastRenderedPageBreak/>
              <w:t>Įgyvendinimo kaštai</w:t>
            </w:r>
          </w:p>
        </w:tc>
        <w:tc>
          <w:tcPr>
            <w:tcW w:w="614" w:type="pct"/>
            <w:tcBorders>
              <w:left w:val="nil"/>
              <w:right w:val="nil"/>
            </w:tcBorders>
            <w:hideMark/>
          </w:tcPr>
          <w:p w14:paraId="3D4ED7C6"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r w:rsidR="003D2A3C">
              <w:rPr>
                <w:rFonts w:ascii="Georgia" w:hAnsi="Georgia" w:cs="Arial"/>
                <w:sz w:val="18"/>
                <w:szCs w:val="18"/>
              </w:rPr>
              <w:t xml:space="preserve"> arba 2</w:t>
            </w:r>
          </w:p>
        </w:tc>
        <w:tc>
          <w:tcPr>
            <w:tcW w:w="612" w:type="pct"/>
            <w:tcBorders>
              <w:left w:val="nil"/>
              <w:right w:val="nil"/>
            </w:tcBorders>
            <w:hideMark/>
          </w:tcPr>
          <w:p w14:paraId="14B893CF"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4" w:type="pct"/>
            <w:tcBorders>
              <w:left w:val="nil"/>
              <w:right w:val="nil"/>
            </w:tcBorders>
            <w:hideMark/>
          </w:tcPr>
          <w:p w14:paraId="080B2D9E"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4" w:type="pct"/>
            <w:tcBorders>
              <w:left w:val="nil"/>
              <w:right w:val="nil"/>
            </w:tcBorders>
            <w:hideMark/>
          </w:tcPr>
          <w:p w14:paraId="2FE1A977" w14:textId="77777777" w:rsidR="008E6DE4" w:rsidRDefault="003D2A3C">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2" w:type="pct"/>
            <w:tcBorders>
              <w:left w:val="nil"/>
              <w:right w:val="nil"/>
            </w:tcBorders>
            <w:hideMark/>
          </w:tcPr>
          <w:p w14:paraId="7F2F145E" w14:textId="77777777" w:rsidR="008E6DE4" w:rsidRDefault="003D2A3C">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38" w:type="pct"/>
            <w:tcBorders>
              <w:left w:val="nil"/>
              <w:right w:val="nil"/>
            </w:tcBorders>
            <w:hideMark/>
          </w:tcPr>
          <w:p w14:paraId="4C2D47B1" w14:textId="77777777" w:rsidR="008E6DE4" w:rsidRDefault="003D2A3C">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66" w:type="pct"/>
            <w:tcBorders>
              <w:left w:val="nil"/>
            </w:tcBorders>
            <w:hideMark/>
          </w:tcPr>
          <w:p w14:paraId="002440B9" w14:textId="77777777" w:rsidR="008E6DE4" w:rsidRDefault="003D2A3C">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r>
      <w:tr w:rsidR="00454050" w14:paraId="0C75D2F6" w14:textId="77777777" w:rsidTr="004521B7">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14:paraId="192720A8" w14:textId="77777777" w:rsidR="008E6DE4" w:rsidRDefault="008E6DE4">
            <w:pPr>
              <w:rPr>
                <w:rFonts w:ascii="Georgia" w:hAnsi="Georgia" w:cs="Arial"/>
                <w:sz w:val="18"/>
                <w:szCs w:val="18"/>
              </w:rPr>
            </w:pPr>
          </w:p>
        </w:tc>
        <w:tc>
          <w:tcPr>
            <w:tcW w:w="614" w:type="pct"/>
            <w:tcBorders>
              <w:top w:val="nil"/>
              <w:left w:val="nil"/>
              <w:bottom w:val="nil"/>
              <w:right w:val="nil"/>
            </w:tcBorders>
            <w:hideMark/>
          </w:tcPr>
          <w:p w14:paraId="0D1C7C15" w14:textId="77777777"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Iki teisės aktuose nustatytos didžiausios administravimo mokesčio ribos. Kai pasitelkiami finansiniai tarpininkai, konkurso būdu nustatomi mokesčiai finansiniams tarpininkams. Jei būtų pasirinktas jau veikiantis juridinis asmuo, tai pasirengimo įgyvendinti kaštai vertinami taip pat, kaip ir IV alternatyvos. Jei būtų pasirinktas </w:t>
            </w:r>
            <w:r>
              <w:rPr>
                <w:rFonts w:ascii="Georgia" w:hAnsi="Georgia" w:cs="Arial"/>
                <w:sz w:val="18"/>
                <w:szCs w:val="18"/>
              </w:rPr>
              <w:lastRenderedPageBreak/>
              <w:t>naujas juridinis asmuo, tai vertinama 1.</w:t>
            </w:r>
          </w:p>
        </w:tc>
        <w:tc>
          <w:tcPr>
            <w:tcW w:w="612" w:type="pct"/>
            <w:tcBorders>
              <w:top w:val="nil"/>
              <w:left w:val="nil"/>
              <w:bottom w:val="nil"/>
              <w:right w:val="nil"/>
            </w:tcBorders>
            <w:hideMark/>
          </w:tcPr>
          <w:p w14:paraId="18D0D88F" w14:textId="77777777"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lastRenderedPageBreak/>
              <w:t xml:space="preserve">Iki teisės aktuose nustatytos didžiausios administravimo mokesčio ribos. Taip pat konkurso būdu nustatomi mokesčiai finansiniams tarpininkams. EIB įgyvendinimo kaštus neigiamai įtakoja, tai, jog EIB pagrindinė būstinė yra Liuksemburge, kur taikomi aukštesni įkainiai, taip pat tai lemia papildomas išlaidas susijusias su logistika. EIB </w:t>
            </w:r>
            <w:r>
              <w:rPr>
                <w:rFonts w:ascii="Georgia" w:hAnsi="Georgia" w:cs="Arial"/>
                <w:sz w:val="18"/>
                <w:szCs w:val="18"/>
              </w:rPr>
              <w:lastRenderedPageBreak/>
              <w:t>turi įgyvendinimui reikalingas sistemas ir procedūras, kurias reiktų pritaikyti 2014-2020 m. ES finansinio laikotarpio reikalavimams.</w:t>
            </w:r>
          </w:p>
        </w:tc>
        <w:tc>
          <w:tcPr>
            <w:tcW w:w="614" w:type="pct"/>
            <w:tcBorders>
              <w:top w:val="nil"/>
              <w:left w:val="nil"/>
              <w:bottom w:val="nil"/>
              <w:right w:val="nil"/>
            </w:tcBorders>
            <w:hideMark/>
          </w:tcPr>
          <w:p w14:paraId="1F109425" w14:textId="77777777" w:rsidR="008E6DE4" w:rsidRDefault="008E6DE4" w:rsidP="00E9190E">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lastRenderedPageBreak/>
              <w:t xml:space="preserve">Iki teisės aktuose nustatytos didžiausios administravimo mokesčio ribos. Tikėtina, kad būtų pasitelkiami finansiniai tarpininkai. Tarptautinių finansinių institucijų įgyvendinimo kaštus neigiamai įtakoja, tai, jog jų pagrindinės būstinės yra ne Lietuvoje, o valstybėse kur paprastai taikomi aukštesni įkainiai, taip pat tai lemia </w:t>
            </w:r>
            <w:r>
              <w:rPr>
                <w:rFonts w:ascii="Georgia" w:hAnsi="Georgia" w:cs="Arial"/>
                <w:sz w:val="18"/>
                <w:szCs w:val="18"/>
              </w:rPr>
              <w:lastRenderedPageBreak/>
              <w:t xml:space="preserve">papildomas išlaidas susijusias su logistika. </w:t>
            </w:r>
          </w:p>
        </w:tc>
        <w:tc>
          <w:tcPr>
            <w:tcW w:w="614" w:type="pct"/>
            <w:tcBorders>
              <w:top w:val="nil"/>
              <w:left w:val="nil"/>
              <w:bottom w:val="nil"/>
              <w:right w:val="nil"/>
            </w:tcBorders>
            <w:hideMark/>
          </w:tcPr>
          <w:p w14:paraId="5A101563" w14:textId="77777777" w:rsidR="008E6DE4" w:rsidRDefault="008E6DE4" w:rsidP="003B5D8E">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lastRenderedPageBreak/>
              <w:t xml:space="preserve">Iki teisės aktuose nustatytos didžiausios administravimo mokesčio ribos. Jei pasitelkiami finansiniai tarpininkai, konkurso būdu nustatomi mokesčiai finansiniams tarpininkams. </w:t>
            </w:r>
            <w:r w:rsidR="003D2A3C">
              <w:rPr>
                <w:rFonts w:ascii="Georgia" w:hAnsi="Georgia" w:cs="Arial"/>
                <w:sz w:val="18"/>
                <w:szCs w:val="18"/>
              </w:rPr>
              <w:t>Nacionalinės institucijos įkainiai tikėtina būtų mažesni nei komercinių institucijų ar tarptautinių finansų įstaigų.</w:t>
            </w:r>
            <w:r w:rsidR="003B5D8E">
              <w:rPr>
                <w:rFonts w:ascii="Georgia" w:hAnsi="Georgia" w:cs="Arial"/>
                <w:sz w:val="18"/>
                <w:szCs w:val="18"/>
              </w:rPr>
              <w:t xml:space="preserve"> Įgyvendinimui </w:t>
            </w:r>
            <w:r w:rsidR="003B5D8E">
              <w:rPr>
                <w:rFonts w:ascii="Georgia" w:hAnsi="Georgia" w:cs="Arial"/>
                <w:sz w:val="18"/>
                <w:szCs w:val="18"/>
              </w:rPr>
              <w:lastRenderedPageBreak/>
              <w:t>reikalingos sistemos ir procedūros turi būti adaptuojamos 2014-2020 m. periodui ir naujoms funkcijoms.</w:t>
            </w:r>
          </w:p>
        </w:tc>
        <w:tc>
          <w:tcPr>
            <w:tcW w:w="612" w:type="pct"/>
            <w:tcBorders>
              <w:top w:val="nil"/>
              <w:left w:val="nil"/>
              <w:bottom w:val="nil"/>
              <w:right w:val="nil"/>
            </w:tcBorders>
            <w:hideMark/>
          </w:tcPr>
          <w:p w14:paraId="3611532A" w14:textId="77777777" w:rsidR="008E6DE4" w:rsidRDefault="008E6DE4" w:rsidP="00E9190E">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lastRenderedPageBreak/>
              <w:t xml:space="preserve">Iki teisės aktuose nustatytos didžiausios administravimo mokesčio ribos. Jei pasitelkiami finansiniai tarpininkai, konkurso būdu nustatomi mokesčiai finansiniams tarpininkams. </w:t>
            </w:r>
            <w:r w:rsidR="003D2A3C">
              <w:rPr>
                <w:rFonts w:ascii="Georgia" w:hAnsi="Georgia" w:cs="Arial"/>
                <w:sz w:val="18"/>
                <w:szCs w:val="18"/>
              </w:rPr>
              <w:t>Konkurso būdu gali būti gautas finansiškai naudingiausias pasiūlymas.</w:t>
            </w:r>
          </w:p>
        </w:tc>
        <w:tc>
          <w:tcPr>
            <w:tcW w:w="638" w:type="pct"/>
            <w:tcBorders>
              <w:top w:val="nil"/>
              <w:left w:val="nil"/>
              <w:bottom w:val="nil"/>
              <w:right w:val="nil"/>
            </w:tcBorders>
            <w:hideMark/>
          </w:tcPr>
          <w:p w14:paraId="51B04C79" w14:textId="77777777" w:rsidR="008E6DE4" w:rsidRDefault="008E6DE4" w:rsidP="00E9190E">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Valdymo mokestis nėra tinkamas finansuoti, tačiau valdymo išlaidos padengiamos techninės paramos lėšomis. Funkcijos vykdymui turėtų būti įdarbinami papildomi reikalingi žmogiškieji ištekliai vadovaujančioje institucijoje. </w:t>
            </w:r>
          </w:p>
        </w:tc>
        <w:tc>
          <w:tcPr>
            <w:tcW w:w="666" w:type="pct"/>
            <w:tcBorders>
              <w:top w:val="nil"/>
              <w:left w:val="nil"/>
              <w:bottom w:val="nil"/>
              <w:right w:val="single" w:sz="8" w:space="0" w:color="C0504D" w:themeColor="accent2"/>
            </w:tcBorders>
            <w:hideMark/>
          </w:tcPr>
          <w:p w14:paraId="73728C1B" w14:textId="77777777" w:rsidR="008E6DE4" w:rsidRDefault="008E6DE4" w:rsidP="00E9190E">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Iki teisės aktuose nustatytos didžiausios administravimo mokesčio ribos. Jei pasitelkiami finansiniai tarpininkai, konkurso būdu nustatomi mokesčiai finansiniams tarpininkams. EIB turi įgyvendinimui reikalingas sistemas ir procedūras, kurias reiktų pritaikyti 2014-2020 m. ES finansinio laikotarpio reikalavimams ir naujai struktūrai. </w:t>
            </w:r>
            <w:r w:rsidR="00E9190E">
              <w:rPr>
                <w:rFonts w:ascii="Georgia" w:hAnsi="Georgia" w:cs="Arial"/>
                <w:sz w:val="18"/>
                <w:szCs w:val="18"/>
              </w:rPr>
              <w:lastRenderedPageBreak/>
              <w:t>B</w:t>
            </w:r>
            <w:r w:rsidR="003B5D8E">
              <w:rPr>
                <w:rFonts w:ascii="Georgia" w:hAnsi="Georgia" w:cs="Arial"/>
                <w:sz w:val="18"/>
                <w:szCs w:val="18"/>
              </w:rPr>
              <w:t>endri kaštai gali būti pakankamai aukšti dėl didesnio tarpinstitucinio bendradarbiavimo poreikio.</w:t>
            </w:r>
          </w:p>
        </w:tc>
      </w:tr>
      <w:tr w:rsidR="00454050" w14:paraId="3F49C025" w14:textId="77777777" w:rsidTr="00452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val="restart"/>
            <w:tcBorders>
              <w:bottom w:val="nil"/>
              <w:right w:val="nil"/>
            </w:tcBorders>
            <w:hideMark/>
          </w:tcPr>
          <w:p w14:paraId="1F2AD141" w14:textId="77777777" w:rsidR="008E6DE4" w:rsidRDefault="008E6DE4">
            <w:pPr>
              <w:jc w:val="both"/>
              <w:rPr>
                <w:rFonts w:ascii="Georgia" w:hAnsi="Georgia" w:cs="Arial"/>
                <w:sz w:val="18"/>
                <w:szCs w:val="18"/>
              </w:rPr>
            </w:pPr>
            <w:r>
              <w:rPr>
                <w:rFonts w:ascii="Georgia" w:hAnsi="Georgia" w:cs="Arial"/>
                <w:sz w:val="18"/>
                <w:szCs w:val="18"/>
              </w:rPr>
              <w:lastRenderedPageBreak/>
              <w:t>Patirtis</w:t>
            </w:r>
          </w:p>
        </w:tc>
        <w:tc>
          <w:tcPr>
            <w:tcW w:w="614" w:type="pct"/>
            <w:tcBorders>
              <w:left w:val="nil"/>
              <w:right w:val="nil"/>
            </w:tcBorders>
            <w:hideMark/>
          </w:tcPr>
          <w:p w14:paraId="48AA72B2"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r w:rsidR="006D51E6">
              <w:rPr>
                <w:rFonts w:ascii="Georgia" w:hAnsi="Georgia" w:cs="Arial"/>
                <w:sz w:val="18"/>
                <w:szCs w:val="18"/>
              </w:rPr>
              <w:t xml:space="preserve"> arba 2</w:t>
            </w:r>
          </w:p>
        </w:tc>
        <w:tc>
          <w:tcPr>
            <w:tcW w:w="612" w:type="pct"/>
            <w:tcBorders>
              <w:left w:val="nil"/>
              <w:right w:val="nil"/>
            </w:tcBorders>
            <w:hideMark/>
          </w:tcPr>
          <w:p w14:paraId="4DFEE676"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14" w:type="pct"/>
            <w:tcBorders>
              <w:left w:val="nil"/>
              <w:right w:val="nil"/>
            </w:tcBorders>
            <w:hideMark/>
          </w:tcPr>
          <w:p w14:paraId="46DC27DD"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4" w:type="pct"/>
            <w:tcBorders>
              <w:left w:val="nil"/>
              <w:right w:val="nil"/>
            </w:tcBorders>
            <w:hideMark/>
          </w:tcPr>
          <w:p w14:paraId="06F231D0"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2" w:type="pct"/>
            <w:tcBorders>
              <w:left w:val="nil"/>
              <w:right w:val="nil"/>
            </w:tcBorders>
            <w:hideMark/>
          </w:tcPr>
          <w:p w14:paraId="146DBAF4"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38" w:type="pct"/>
            <w:tcBorders>
              <w:left w:val="nil"/>
              <w:right w:val="nil"/>
            </w:tcBorders>
            <w:hideMark/>
          </w:tcPr>
          <w:p w14:paraId="50A9D391"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66" w:type="pct"/>
            <w:tcBorders>
              <w:left w:val="nil"/>
            </w:tcBorders>
            <w:hideMark/>
          </w:tcPr>
          <w:p w14:paraId="1E2652F8"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r>
      <w:tr w:rsidR="00454050" w14:paraId="24F7D2E7" w14:textId="77777777" w:rsidTr="004521B7">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14:paraId="0B5D334C" w14:textId="77777777" w:rsidR="008E6DE4" w:rsidRDefault="008E6DE4">
            <w:pPr>
              <w:rPr>
                <w:rFonts w:ascii="Georgia" w:hAnsi="Georgia" w:cs="Arial"/>
                <w:sz w:val="18"/>
                <w:szCs w:val="18"/>
              </w:rPr>
            </w:pPr>
          </w:p>
        </w:tc>
        <w:tc>
          <w:tcPr>
            <w:tcW w:w="614" w:type="pct"/>
            <w:tcBorders>
              <w:top w:val="nil"/>
              <w:left w:val="nil"/>
              <w:bottom w:val="nil"/>
              <w:right w:val="nil"/>
            </w:tcBorders>
            <w:hideMark/>
          </w:tcPr>
          <w:p w14:paraId="118594A6" w14:textId="77777777"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Tuo atveju, jei būtų pasirinktas jau veikiantis juridinis asmuo, tai šiai alternatyvai suteiktas tam juridiniam asmeniui skirtas vertinimo balas (žr. IV alternatyvos įvertinimą). Jei būtų pasirinktas naujas juridinis asmuo, tai jo patirtis vertinama 1.</w:t>
            </w:r>
          </w:p>
        </w:tc>
        <w:tc>
          <w:tcPr>
            <w:tcW w:w="612" w:type="pct"/>
            <w:tcBorders>
              <w:top w:val="nil"/>
              <w:left w:val="nil"/>
              <w:bottom w:val="nil"/>
              <w:right w:val="nil"/>
            </w:tcBorders>
            <w:hideMark/>
          </w:tcPr>
          <w:p w14:paraId="4CA453F5" w14:textId="77777777" w:rsidR="008E6DE4" w:rsidRDefault="008E6DE4" w:rsidP="003B5D8E">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EIB turi did</w:t>
            </w:r>
            <w:r w:rsidR="003B5D8E">
              <w:rPr>
                <w:rFonts w:ascii="Georgia" w:hAnsi="Georgia" w:cs="Arial"/>
                <w:sz w:val="18"/>
                <w:szCs w:val="18"/>
              </w:rPr>
              <w:t>žiausią ES</w:t>
            </w:r>
            <w:r>
              <w:rPr>
                <w:rFonts w:ascii="Georgia" w:hAnsi="Georgia" w:cs="Arial"/>
                <w:sz w:val="18"/>
                <w:szCs w:val="18"/>
              </w:rPr>
              <w:t xml:space="preserve"> fondo valdytojo patirtį įgyvendinant finansines priemones Lietuvoje (JESSICA KF) ir kitose ES valstybėse.</w:t>
            </w:r>
          </w:p>
        </w:tc>
        <w:tc>
          <w:tcPr>
            <w:tcW w:w="614" w:type="pct"/>
            <w:tcBorders>
              <w:top w:val="nil"/>
              <w:left w:val="nil"/>
              <w:bottom w:val="nil"/>
              <w:right w:val="nil"/>
            </w:tcBorders>
            <w:hideMark/>
          </w:tcPr>
          <w:p w14:paraId="5735CBEC" w14:textId="77777777" w:rsidR="008E6DE4" w:rsidRDefault="00CE0337">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Visos nagrinėjamos institucijos turi patirties įgyvendinant finansų priemones. Kita vertus, šios institucijos neturi finansinių priemonių valdytojo patirties įgyvendinant ES fondų lėšomis finansuojamas finansines priemones Lietuvoje.</w:t>
            </w:r>
          </w:p>
        </w:tc>
        <w:tc>
          <w:tcPr>
            <w:tcW w:w="614" w:type="pct"/>
            <w:tcBorders>
              <w:top w:val="nil"/>
              <w:left w:val="nil"/>
              <w:bottom w:val="nil"/>
              <w:right w:val="nil"/>
            </w:tcBorders>
            <w:hideMark/>
          </w:tcPr>
          <w:p w14:paraId="45DD087B" w14:textId="77777777"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VIPA turi finansinio tarpininko patirties įgyvendinant daugiabučių namų ir bendrabučių modernizavimo projektus finansuojamus ES fondų lėšomis per finansines priemones. Nuo VIPA įsteigimo, kompetencijos ir patirtis kaupiama specializuojantis tik į viešajai infrastruktūrai skirtų finansinių priemonių įgyvendinimą, kadangi VIPA buvo tam tikslui įsteigta finansų įstaiga ir šios veiklos yra apibrėžtos VIPA įstatuose.</w:t>
            </w:r>
          </w:p>
        </w:tc>
        <w:tc>
          <w:tcPr>
            <w:tcW w:w="612" w:type="pct"/>
            <w:tcBorders>
              <w:top w:val="nil"/>
              <w:left w:val="nil"/>
              <w:bottom w:val="nil"/>
              <w:right w:val="nil"/>
            </w:tcBorders>
            <w:hideMark/>
          </w:tcPr>
          <w:p w14:paraId="4B9B382A" w14:textId="77777777" w:rsidR="008E6DE4" w:rsidRDefault="00CE0337">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Kai kurie komerciniai bankai turi finansinio tarpininko patirties įgyvendinant ES fondų lėšomis finansuojamas finansines priemones skirtas daugiabučių renovacijai. Taip pat komerciniai bankai, investicijų valdymo bendrovės ir t.t. turi įvairių fondų valdymo patirties. CPVA turi finansinio tarpininko patirties įgyvendinant daugiabučių namų ir bendrabučių modernizavimo projektus finansuojamus ES fondų lėšomis, taip pat turi Pasaulio banko </w:t>
            </w:r>
            <w:r>
              <w:rPr>
                <w:rFonts w:ascii="Georgia" w:hAnsi="Georgia" w:cs="Arial"/>
                <w:sz w:val="18"/>
                <w:szCs w:val="18"/>
              </w:rPr>
              <w:lastRenderedPageBreak/>
              <w:t>lėšomis finansuotos daugiabučių namų renovacijos įgyvendinimo patirties bei didelę įvairių subsidinių viešojo sektoriaus programų įgyvendinimo patirtį. Minimalūs kvalifikaciniai reikalavimai būtų nustatyti konkurso sąlygose, tačiau pagal VPĮ patirtis negali būti ekonominio naudingumo vertinimo kriterijus.</w:t>
            </w:r>
          </w:p>
        </w:tc>
        <w:tc>
          <w:tcPr>
            <w:tcW w:w="638" w:type="pct"/>
            <w:tcBorders>
              <w:top w:val="nil"/>
              <w:left w:val="nil"/>
              <w:bottom w:val="nil"/>
              <w:right w:val="nil"/>
            </w:tcBorders>
            <w:hideMark/>
          </w:tcPr>
          <w:p w14:paraId="1CC6892A" w14:textId="77777777"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lastRenderedPageBreak/>
              <w:t xml:space="preserve">Vadovaujančioji institucija rengia finansinių priemonių įgyvendinimo taisykles, kitus ES fondų lėšų panaudojimą reglamentuojančius teisės aktus. Nors vadovaujanti institucija didžiosios dalies ESI fondų lėšų investavimą organizuoja per tarpines institucijas, tačiau Finansų ministerija taip pat turi didelę patirtį tiesiogiai teikiant paskolas (pvz., trumpalaikės ir ilgalaikės paskolos savivaldybėms, valstybės ir savivaldybių įstaigoms, EIB paskolas projektų bendrajam finansavimui </w:t>
            </w:r>
            <w:r>
              <w:rPr>
                <w:rFonts w:ascii="Georgia" w:hAnsi="Georgia" w:cs="Arial"/>
                <w:sz w:val="18"/>
                <w:szCs w:val="18"/>
              </w:rPr>
              <w:lastRenderedPageBreak/>
              <w:t xml:space="preserve">transporto, energetikos, aplinkosaugos, inovacijų ir kitose srityse pagal 2007-2013 m. laikotarpio Žmogiškųjų išteklių plėtros, Ekonomikos augimo ir Sanglaudos skatinimo veiksmų programas). </w:t>
            </w:r>
          </w:p>
        </w:tc>
        <w:tc>
          <w:tcPr>
            <w:tcW w:w="666" w:type="pct"/>
            <w:tcBorders>
              <w:top w:val="nil"/>
              <w:left w:val="nil"/>
              <w:bottom w:val="nil"/>
              <w:right w:val="single" w:sz="8" w:space="0" w:color="C0504D" w:themeColor="accent2"/>
            </w:tcBorders>
            <w:hideMark/>
          </w:tcPr>
          <w:p w14:paraId="0788C4F0" w14:textId="77777777" w:rsidR="008E6DE4" w:rsidRDefault="008E6DE4" w:rsidP="003B5D8E">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lastRenderedPageBreak/>
              <w:t>EIB turi didelę fondo valdytojo patirtį įgyvendinant JESSICA finansines priemones Lietuvoje (JESSICA KF) ir kitose ES valstybėse. VIPA turi finansinio tarpininko patirties įgyvendinant daugiabučių namų ir bendrabučių modernizavimo projektus finansuojamus ES fondų lėšomis. Nuo VIPA įsteigimo, kompetencijos ir patirtis kaupiama specializuojantis tik į viešajai infrastruktūrai skirtų finansinių priemonių įgyvendinimą, kadangi VIPA buvo tam tikslui įsteigta finansų įstaiga.</w:t>
            </w:r>
            <w:r w:rsidR="003B5D8E">
              <w:rPr>
                <w:rFonts w:ascii="Georgia" w:hAnsi="Georgia" w:cs="Arial"/>
                <w:sz w:val="18"/>
                <w:szCs w:val="18"/>
              </w:rPr>
              <w:t xml:space="preserve"> Konsorciumo metu EIB patirtis būtų perd</w:t>
            </w:r>
            <w:r w:rsidR="00885951">
              <w:rPr>
                <w:rFonts w:ascii="Georgia" w:hAnsi="Georgia" w:cs="Arial"/>
                <w:sz w:val="18"/>
                <w:szCs w:val="18"/>
              </w:rPr>
              <w:t xml:space="preserve">uodama nacionaliniam </w:t>
            </w:r>
            <w:r w:rsidR="00885951">
              <w:rPr>
                <w:rFonts w:ascii="Georgia" w:hAnsi="Georgia" w:cs="Arial"/>
                <w:sz w:val="18"/>
                <w:szCs w:val="18"/>
              </w:rPr>
              <w:lastRenderedPageBreak/>
              <w:t xml:space="preserve">partneriui, taip pat apjungiama fondo valdymo ir </w:t>
            </w:r>
            <w:r w:rsidR="00100EF9">
              <w:rPr>
                <w:rFonts w:ascii="Georgia" w:hAnsi="Georgia" w:cs="Arial"/>
                <w:sz w:val="18"/>
                <w:szCs w:val="18"/>
              </w:rPr>
              <w:t>finansinio</w:t>
            </w:r>
            <w:r w:rsidR="00885951">
              <w:rPr>
                <w:rFonts w:ascii="Georgia" w:hAnsi="Georgia" w:cs="Arial"/>
                <w:sz w:val="18"/>
                <w:szCs w:val="18"/>
              </w:rPr>
              <w:t xml:space="preserve"> tarpininko praktinio darbo patirtis.</w:t>
            </w:r>
          </w:p>
        </w:tc>
      </w:tr>
      <w:tr w:rsidR="00454050" w14:paraId="545C970B" w14:textId="77777777" w:rsidTr="00452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val="restart"/>
            <w:tcBorders>
              <w:bottom w:val="nil"/>
              <w:right w:val="nil"/>
            </w:tcBorders>
            <w:hideMark/>
          </w:tcPr>
          <w:p w14:paraId="5262A5BC" w14:textId="77777777" w:rsidR="008E6DE4" w:rsidRDefault="008E6DE4">
            <w:pPr>
              <w:jc w:val="both"/>
              <w:rPr>
                <w:rFonts w:ascii="Georgia" w:hAnsi="Georgia" w:cs="Arial"/>
                <w:sz w:val="18"/>
                <w:szCs w:val="18"/>
              </w:rPr>
            </w:pPr>
            <w:r>
              <w:rPr>
                <w:rFonts w:ascii="Georgia" w:hAnsi="Georgia" w:cs="Arial"/>
                <w:sz w:val="18"/>
                <w:szCs w:val="18"/>
              </w:rPr>
              <w:lastRenderedPageBreak/>
              <w:t>Ištekliai</w:t>
            </w:r>
          </w:p>
        </w:tc>
        <w:tc>
          <w:tcPr>
            <w:tcW w:w="614" w:type="pct"/>
            <w:tcBorders>
              <w:left w:val="nil"/>
              <w:right w:val="nil"/>
            </w:tcBorders>
            <w:hideMark/>
          </w:tcPr>
          <w:p w14:paraId="2D7CF185"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r w:rsidR="00885951">
              <w:rPr>
                <w:rFonts w:ascii="Georgia" w:hAnsi="Georgia" w:cs="Arial"/>
                <w:sz w:val="18"/>
                <w:szCs w:val="18"/>
              </w:rPr>
              <w:t xml:space="preserve"> arba 2</w:t>
            </w:r>
          </w:p>
        </w:tc>
        <w:tc>
          <w:tcPr>
            <w:tcW w:w="612" w:type="pct"/>
            <w:tcBorders>
              <w:left w:val="nil"/>
              <w:right w:val="nil"/>
            </w:tcBorders>
            <w:hideMark/>
          </w:tcPr>
          <w:p w14:paraId="2D4A3516" w14:textId="77777777" w:rsidR="008E6DE4" w:rsidRDefault="0039247F">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14" w:type="pct"/>
            <w:tcBorders>
              <w:left w:val="nil"/>
              <w:right w:val="nil"/>
            </w:tcBorders>
            <w:hideMark/>
          </w:tcPr>
          <w:p w14:paraId="12E3688F"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4" w:type="pct"/>
            <w:tcBorders>
              <w:left w:val="nil"/>
              <w:right w:val="nil"/>
            </w:tcBorders>
            <w:hideMark/>
          </w:tcPr>
          <w:p w14:paraId="392EE814"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2" w:type="pct"/>
            <w:tcBorders>
              <w:left w:val="nil"/>
              <w:right w:val="nil"/>
            </w:tcBorders>
            <w:hideMark/>
          </w:tcPr>
          <w:p w14:paraId="578A0E99" w14:textId="77777777" w:rsidR="008E6DE4" w:rsidRDefault="0045405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38" w:type="pct"/>
            <w:tcBorders>
              <w:left w:val="nil"/>
              <w:right w:val="nil"/>
            </w:tcBorders>
            <w:hideMark/>
          </w:tcPr>
          <w:p w14:paraId="665EDA6C" w14:textId="77777777" w:rsidR="008E6DE4" w:rsidRDefault="0045405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66" w:type="pct"/>
            <w:tcBorders>
              <w:left w:val="nil"/>
            </w:tcBorders>
            <w:hideMark/>
          </w:tcPr>
          <w:p w14:paraId="5FEE4F14"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r>
      <w:tr w:rsidR="00454050" w14:paraId="5D57236C" w14:textId="77777777" w:rsidTr="004521B7">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14:paraId="7F1B6698" w14:textId="77777777" w:rsidR="008E6DE4" w:rsidRDefault="008E6DE4">
            <w:pPr>
              <w:rPr>
                <w:rFonts w:ascii="Georgia" w:hAnsi="Georgia" w:cs="Arial"/>
                <w:sz w:val="18"/>
                <w:szCs w:val="18"/>
              </w:rPr>
            </w:pPr>
          </w:p>
        </w:tc>
        <w:tc>
          <w:tcPr>
            <w:tcW w:w="614" w:type="pct"/>
            <w:tcBorders>
              <w:top w:val="nil"/>
              <w:left w:val="nil"/>
              <w:bottom w:val="nil"/>
              <w:right w:val="nil"/>
            </w:tcBorders>
            <w:hideMark/>
          </w:tcPr>
          <w:p w14:paraId="593BE11C" w14:textId="77777777"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Tuo atveju, jei būtų pasirinktas jau veikiantis juridinis asmuo, tuomet šiai alternatyvai suteikiamas tam juridiniam asmeniui skirtas vertinimo balas (žr. IV alternatyvos įvertinimą). Jei būtų pasirinktas naujas juridinis asmuo, tai jo ištekliai vertinami 1.</w:t>
            </w:r>
          </w:p>
        </w:tc>
        <w:tc>
          <w:tcPr>
            <w:tcW w:w="612" w:type="pct"/>
            <w:tcBorders>
              <w:top w:val="nil"/>
              <w:left w:val="nil"/>
              <w:bottom w:val="nil"/>
              <w:right w:val="nil"/>
            </w:tcBorders>
            <w:hideMark/>
          </w:tcPr>
          <w:p w14:paraId="6937CDCE" w14:textId="77777777"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EIB turi kompetentingus žmogiškuosius išteklius, tačiau EIB pagrindinė būstinė ir pagrindinis personalas yra Liuksemburge. Kartais tai sudaro nepatogumus dirbant su suinteresuotomis šalimis (pvz., apribotos tiesioginio bendravimo galimybės, reti investicinių komitetų </w:t>
            </w:r>
            <w:r>
              <w:rPr>
                <w:rFonts w:ascii="Georgia" w:hAnsi="Georgia" w:cs="Arial"/>
                <w:sz w:val="18"/>
                <w:szCs w:val="18"/>
              </w:rPr>
              <w:lastRenderedPageBreak/>
              <w:t xml:space="preserve">posėdžiai, ilgos derybos su finansiniais tarpininkais). Taip pat tai lemia aukštus žmogiškųjų išteklių įkainius (ribotus galimus skirti išteklius atsižvelgiant į galimą maksimalų valdymo mokestį) ir papildomas išlaidas (vertimai, logistika). </w:t>
            </w:r>
          </w:p>
        </w:tc>
        <w:tc>
          <w:tcPr>
            <w:tcW w:w="614" w:type="pct"/>
            <w:tcBorders>
              <w:top w:val="nil"/>
              <w:left w:val="nil"/>
              <w:bottom w:val="nil"/>
              <w:right w:val="nil"/>
            </w:tcBorders>
            <w:hideMark/>
          </w:tcPr>
          <w:p w14:paraId="1CDF417D" w14:textId="77777777" w:rsidR="008E6DE4" w:rsidRDefault="008E6DE4" w:rsidP="00975FC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lastRenderedPageBreak/>
              <w:t xml:space="preserve">Tarptautinės finansų institucijos turi kompetentingus žmogiškuosius išteklius, tačiau jų pagrindinės būstinės ir pagrindinis personalas yra ne Lietuvoje. </w:t>
            </w:r>
            <w:r w:rsidR="00975FC4">
              <w:rPr>
                <w:rFonts w:ascii="Georgia" w:hAnsi="Georgia" w:cs="Arial"/>
                <w:sz w:val="18"/>
                <w:szCs w:val="18"/>
              </w:rPr>
              <w:t>T</w:t>
            </w:r>
            <w:r>
              <w:rPr>
                <w:rFonts w:ascii="Georgia" w:hAnsi="Georgia" w:cs="Arial"/>
                <w:sz w:val="18"/>
                <w:szCs w:val="18"/>
              </w:rPr>
              <w:t xml:space="preserve">ai gali sudaryti nepatogumų dirbant su suinteresuotomis šalimis (pvz., apribotos tiesioginio bendravimo galimybės, reti </w:t>
            </w:r>
            <w:r>
              <w:rPr>
                <w:rFonts w:ascii="Georgia" w:hAnsi="Georgia" w:cs="Arial"/>
                <w:sz w:val="18"/>
                <w:szCs w:val="18"/>
              </w:rPr>
              <w:lastRenderedPageBreak/>
              <w:t xml:space="preserve">investicinių komitetų posėdžiai, ilgos derybos su finansiniais tarpininkais). Taip pat tai lemia aukštus žmogiškųjų išteklių įkainius (ribotus galimus skirti išteklius atsižvelgiant į galimą maksimalų valdymo mokestį) ir papildomas išlaidas (vertimai, logistika). </w:t>
            </w:r>
          </w:p>
        </w:tc>
        <w:tc>
          <w:tcPr>
            <w:tcW w:w="614" w:type="pct"/>
            <w:tcBorders>
              <w:top w:val="nil"/>
              <w:left w:val="nil"/>
              <w:bottom w:val="nil"/>
              <w:right w:val="nil"/>
            </w:tcBorders>
            <w:hideMark/>
          </w:tcPr>
          <w:p w14:paraId="3BE0103B" w14:textId="77777777" w:rsidR="008E6DE4" w:rsidRDefault="008E6DE4" w:rsidP="00885951">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lastRenderedPageBreak/>
              <w:t xml:space="preserve">VIPA turi žmogiškuosius išteklius turinčius kompetencijų tiek finansinių priemonių įgyvendinime, </w:t>
            </w:r>
            <w:r w:rsidR="00885951">
              <w:rPr>
                <w:rFonts w:ascii="Georgia" w:hAnsi="Georgia" w:cs="Arial"/>
                <w:sz w:val="18"/>
                <w:szCs w:val="18"/>
              </w:rPr>
              <w:t xml:space="preserve">ESI fondų administravime, </w:t>
            </w:r>
            <w:r>
              <w:rPr>
                <w:rFonts w:ascii="Georgia" w:hAnsi="Georgia" w:cs="Arial"/>
                <w:sz w:val="18"/>
                <w:szCs w:val="18"/>
              </w:rPr>
              <w:t>tiek ir tiksliniuose sektoriuose. Nuo VIPA įsteigimo, kompetencijos ir patirtis kaupiama specializuojantis tik į viešajai infrastruktūrai skirtų finansinių priemonių įgyvendinimą.</w:t>
            </w:r>
            <w:r w:rsidR="00885951">
              <w:rPr>
                <w:rFonts w:ascii="Georgia" w:hAnsi="Georgia" w:cs="Arial"/>
                <w:sz w:val="18"/>
                <w:szCs w:val="18"/>
              </w:rPr>
              <w:t xml:space="preserve"> </w:t>
            </w:r>
            <w:r w:rsidR="00885951">
              <w:rPr>
                <w:rFonts w:ascii="Georgia" w:hAnsi="Georgia" w:cs="Arial"/>
                <w:sz w:val="18"/>
                <w:szCs w:val="18"/>
              </w:rPr>
              <w:lastRenderedPageBreak/>
              <w:t>VIPA ištekliai sąlyginai nesunkiai gali būti planuojamai pagal programų įgyvendinimui reikalingą poreikį ir administravimo mokesčio dydį, tačiau išteklių apimtis riboja kompetentingų specialistų pasiūla darbo rinkoje.</w:t>
            </w:r>
          </w:p>
        </w:tc>
        <w:tc>
          <w:tcPr>
            <w:tcW w:w="612" w:type="pct"/>
            <w:tcBorders>
              <w:top w:val="nil"/>
              <w:left w:val="nil"/>
              <w:bottom w:val="nil"/>
              <w:right w:val="nil"/>
            </w:tcBorders>
            <w:hideMark/>
          </w:tcPr>
          <w:p w14:paraId="1DDB8DA3" w14:textId="77777777" w:rsidR="008E6DE4" w:rsidRDefault="008E6DE4" w:rsidP="0045405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lastRenderedPageBreak/>
              <w:t>Nėra aišku, kurios institucijos / organizacijos dalyvautų fondo valdytojo atrankos konkurse organizuojamame pagal LR viešųjų pirkimų įstatymo nuostatas. Siūlomos komandos kompetencijos įvertinimas turėtų būti įt</w:t>
            </w:r>
            <w:r w:rsidR="00885951">
              <w:rPr>
                <w:rFonts w:ascii="Georgia" w:hAnsi="Georgia" w:cs="Arial"/>
                <w:sz w:val="18"/>
                <w:szCs w:val="18"/>
              </w:rPr>
              <w:t>rauktas kaip vienas iš kvalifikacinių, bet ne ekonominio naudingumo kriterij</w:t>
            </w:r>
            <w:r>
              <w:rPr>
                <w:rFonts w:ascii="Georgia" w:hAnsi="Georgia" w:cs="Arial"/>
                <w:sz w:val="18"/>
                <w:szCs w:val="18"/>
              </w:rPr>
              <w:t xml:space="preserve">ų. </w:t>
            </w:r>
          </w:p>
        </w:tc>
        <w:tc>
          <w:tcPr>
            <w:tcW w:w="638" w:type="pct"/>
            <w:tcBorders>
              <w:top w:val="nil"/>
              <w:left w:val="nil"/>
              <w:bottom w:val="nil"/>
              <w:right w:val="nil"/>
            </w:tcBorders>
            <w:hideMark/>
          </w:tcPr>
          <w:p w14:paraId="0AD576C4" w14:textId="77777777"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Papildomi apribojimai dėl valstybės tarnybai taikomų reikalavimų ir bendros pozicijos dėl viešojo sektoriaus darbuotojų skaičiaus didinimo. </w:t>
            </w:r>
          </w:p>
        </w:tc>
        <w:tc>
          <w:tcPr>
            <w:tcW w:w="666" w:type="pct"/>
            <w:tcBorders>
              <w:top w:val="nil"/>
              <w:left w:val="nil"/>
              <w:bottom w:val="nil"/>
              <w:right w:val="single" w:sz="8" w:space="0" w:color="C0504D" w:themeColor="accent2"/>
            </w:tcBorders>
            <w:hideMark/>
          </w:tcPr>
          <w:p w14:paraId="3A39FACB" w14:textId="77777777"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EIB turi kompetentingus žmogiškuosius išteklius, tačiau EIB pagrindinė būstinė ir pagrindinis personalas yra Liuksemburge. VIPA turi žmogiškuosius išteklius turinčius kompetencijų tiek finansinių priemonių įgyvendinime, tiek ir tiksliniuose sektoriuose.</w:t>
            </w:r>
          </w:p>
        </w:tc>
      </w:tr>
      <w:tr w:rsidR="00454050" w14:paraId="0F7D8C5D" w14:textId="77777777" w:rsidTr="00452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val="restart"/>
            <w:tcBorders>
              <w:bottom w:val="nil"/>
              <w:right w:val="nil"/>
            </w:tcBorders>
            <w:hideMark/>
          </w:tcPr>
          <w:p w14:paraId="72F6D2BA" w14:textId="77777777" w:rsidR="008E6DE4" w:rsidRDefault="008E6DE4">
            <w:pPr>
              <w:rPr>
                <w:rFonts w:ascii="Georgia" w:hAnsi="Georgia" w:cs="Arial"/>
                <w:sz w:val="18"/>
                <w:szCs w:val="18"/>
              </w:rPr>
            </w:pPr>
            <w:r>
              <w:rPr>
                <w:rFonts w:ascii="Georgia" w:hAnsi="Georgia" w:cs="Arial"/>
                <w:sz w:val="18"/>
                <w:szCs w:val="18"/>
              </w:rPr>
              <w:lastRenderedPageBreak/>
              <w:t>Lankstumas</w:t>
            </w:r>
          </w:p>
        </w:tc>
        <w:tc>
          <w:tcPr>
            <w:tcW w:w="614" w:type="pct"/>
            <w:tcBorders>
              <w:left w:val="nil"/>
              <w:right w:val="nil"/>
            </w:tcBorders>
            <w:hideMark/>
          </w:tcPr>
          <w:p w14:paraId="01FF2A60"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2" w:type="pct"/>
            <w:tcBorders>
              <w:left w:val="nil"/>
              <w:right w:val="nil"/>
            </w:tcBorders>
            <w:hideMark/>
          </w:tcPr>
          <w:p w14:paraId="350961A5"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4" w:type="pct"/>
            <w:tcBorders>
              <w:left w:val="nil"/>
              <w:right w:val="nil"/>
            </w:tcBorders>
            <w:hideMark/>
          </w:tcPr>
          <w:p w14:paraId="43F3B655"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4" w:type="pct"/>
            <w:tcBorders>
              <w:left w:val="nil"/>
              <w:right w:val="nil"/>
            </w:tcBorders>
            <w:hideMark/>
          </w:tcPr>
          <w:p w14:paraId="77A6BEFB" w14:textId="77777777" w:rsidR="008E6DE4" w:rsidRDefault="0039247F">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2" w:type="pct"/>
            <w:tcBorders>
              <w:left w:val="nil"/>
              <w:right w:val="nil"/>
            </w:tcBorders>
            <w:hideMark/>
          </w:tcPr>
          <w:p w14:paraId="52F996CC"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38" w:type="pct"/>
            <w:tcBorders>
              <w:left w:val="nil"/>
              <w:right w:val="nil"/>
            </w:tcBorders>
            <w:hideMark/>
          </w:tcPr>
          <w:p w14:paraId="4C1AF470" w14:textId="77777777" w:rsidR="008E6DE4" w:rsidRDefault="006D51E6">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66" w:type="pct"/>
            <w:tcBorders>
              <w:left w:val="nil"/>
            </w:tcBorders>
            <w:hideMark/>
          </w:tcPr>
          <w:p w14:paraId="41204ED8" w14:textId="77777777" w:rsidR="008E6DE4" w:rsidRDefault="0045405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r>
      <w:tr w:rsidR="00454050" w14:paraId="33B88F85" w14:textId="77777777" w:rsidTr="004521B7">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14:paraId="5E7E81BB" w14:textId="77777777" w:rsidR="008E6DE4" w:rsidRDefault="008E6DE4">
            <w:pPr>
              <w:rPr>
                <w:rFonts w:ascii="Georgia" w:hAnsi="Georgia" w:cs="Arial"/>
                <w:sz w:val="18"/>
                <w:szCs w:val="18"/>
              </w:rPr>
            </w:pPr>
          </w:p>
        </w:tc>
        <w:tc>
          <w:tcPr>
            <w:tcW w:w="614" w:type="pct"/>
            <w:tcBorders>
              <w:top w:val="nil"/>
              <w:left w:val="nil"/>
              <w:bottom w:val="nil"/>
              <w:right w:val="nil"/>
            </w:tcBorders>
            <w:hideMark/>
          </w:tcPr>
          <w:p w14:paraId="3643DABF" w14:textId="77777777"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ESI fondų lėšas investuojant į veikiančių ar naujų juridinių asmenų kapitalą, fondo veiklos rezultatai tampa neatsiejami nuo juridinio asmens veiklos rezultatų ir atvirkščiai. Atitinkamai visos vykdomos veiklos yra vertinamos pirmiausia pelningumo ir rizikos prarasti lėšas mažinimo požiūriu, antroje vietoje paliekant multiplikatoriaus ir kitus fondo kūrimo </w:t>
            </w:r>
            <w:r>
              <w:rPr>
                <w:rFonts w:ascii="Georgia" w:hAnsi="Georgia" w:cs="Arial"/>
                <w:sz w:val="18"/>
                <w:szCs w:val="18"/>
              </w:rPr>
              <w:lastRenderedPageBreak/>
              <w:t xml:space="preserve">uždavinius. </w:t>
            </w:r>
          </w:p>
        </w:tc>
        <w:tc>
          <w:tcPr>
            <w:tcW w:w="612" w:type="pct"/>
            <w:tcBorders>
              <w:top w:val="nil"/>
              <w:left w:val="nil"/>
              <w:bottom w:val="nil"/>
              <w:right w:val="nil"/>
            </w:tcBorders>
            <w:hideMark/>
          </w:tcPr>
          <w:p w14:paraId="642B95DF" w14:textId="77777777"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lastRenderedPageBreak/>
              <w:t xml:space="preserve">Vadovaujančiajai institucijai ir sektorinėms ministerijoms nėra žinomos vidinės EIB procedūros, nežinomi (neaiškūs) teisiniai apribojimai ir galimybės dėl EIB taikytinos teisės. Lankstumas taip pat mažinamas dėl išteklių dalyje aprašytų apribojimų, EIB siekio </w:t>
            </w:r>
            <w:r w:rsidR="00454050">
              <w:rPr>
                <w:rFonts w:ascii="Georgia" w:hAnsi="Georgia" w:cs="Arial"/>
                <w:sz w:val="18"/>
                <w:szCs w:val="18"/>
              </w:rPr>
              <w:t xml:space="preserve">standartizuoti sutartis, </w:t>
            </w:r>
            <w:r>
              <w:rPr>
                <w:rFonts w:ascii="Georgia" w:hAnsi="Georgia" w:cs="Arial"/>
                <w:sz w:val="18"/>
                <w:szCs w:val="18"/>
              </w:rPr>
              <w:t xml:space="preserve">suvienodinti ataskaitas ir procedūras </w:t>
            </w:r>
            <w:r>
              <w:rPr>
                <w:rFonts w:ascii="Georgia" w:hAnsi="Georgia" w:cs="Arial"/>
                <w:sz w:val="18"/>
                <w:szCs w:val="18"/>
              </w:rPr>
              <w:lastRenderedPageBreak/>
              <w:t>dirbant skirtingose šalyse (dėl to mažėja galimybės prisitaikyti prie nacionalinių poreikių).</w:t>
            </w:r>
          </w:p>
          <w:p w14:paraId="77216699" w14:textId="77777777" w:rsidR="008E6DE4" w:rsidRDefault="00454050" w:rsidP="0045405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Tačiau t</w:t>
            </w:r>
            <w:r w:rsidR="008E6DE4">
              <w:rPr>
                <w:rFonts w:ascii="Georgia" w:hAnsi="Georgia" w:cs="Arial"/>
                <w:sz w:val="18"/>
                <w:szCs w:val="18"/>
              </w:rPr>
              <w:t>am tikrais atvejais EIB turi palankesnes galimybes organizuoti finansinių tarpininkų atranką ir sutarčių keitimą, todėl, kad EIB nėra taikomas LR Viešųjų pirkimų įstatymas.</w:t>
            </w:r>
          </w:p>
        </w:tc>
        <w:tc>
          <w:tcPr>
            <w:tcW w:w="614" w:type="pct"/>
            <w:tcBorders>
              <w:top w:val="nil"/>
              <w:left w:val="nil"/>
              <w:bottom w:val="nil"/>
              <w:right w:val="nil"/>
            </w:tcBorders>
            <w:hideMark/>
          </w:tcPr>
          <w:p w14:paraId="5769EC93" w14:textId="77777777"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lastRenderedPageBreak/>
              <w:t>Vadovaujančiajai institucijai ir sektorinėms ministerijoms nėra žinomos vidinės tarptautinių finansinių institucijų procedūros, nežinomi (neaiškūs) teisiniai apribojimai ir galimybės dėl taikytinos teisės. Lankstumas taip pat mažinamas dėl išteklių dalyje aprašytų apribojimų.</w:t>
            </w:r>
          </w:p>
          <w:p w14:paraId="15A599F3" w14:textId="77777777"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Tam tikrais atvejais tarptautinės finansinės </w:t>
            </w:r>
            <w:r>
              <w:rPr>
                <w:rFonts w:ascii="Georgia" w:hAnsi="Georgia" w:cs="Arial"/>
                <w:sz w:val="18"/>
                <w:szCs w:val="18"/>
              </w:rPr>
              <w:lastRenderedPageBreak/>
              <w:t>institucijos gali turėti palankesnes galimybes organizuoti finansinių tarpininkų atranką ir sutarčių keitimą, todėl, kad joms gali būti netaikomas LR Viešųjų pirkimų įstatymas.</w:t>
            </w:r>
          </w:p>
        </w:tc>
        <w:tc>
          <w:tcPr>
            <w:tcW w:w="614" w:type="pct"/>
            <w:tcBorders>
              <w:top w:val="nil"/>
              <w:left w:val="nil"/>
              <w:bottom w:val="nil"/>
              <w:right w:val="nil"/>
            </w:tcBorders>
            <w:hideMark/>
          </w:tcPr>
          <w:p w14:paraId="0D0FAAE4" w14:textId="77777777" w:rsidR="008E6DE4" w:rsidRDefault="008E6DE4" w:rsidP="00D40FF2">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lastRenderedPageBreak/>
              <w:t>Potencialiai greit</w:t>
            </w:r>
            <w:r w:rsidR="00D40FF2">
              <w:rPr>
                <w:rFonts w:ascii="Georgia" w:hAnsi="Georgia" w:cs="Arial"/>
                <w:sz w:val="18"/>
                <w:szCs w:val="18"/>
              </w:rPr>
              <w:t>a</w:t>
            </w:r>
            <w:r>
              <w:rPr>
                <w:rFonts w:ascii="Georgia" w:hAnsi="Georgia" w:cs="Arial"/>
                <w:sz w:val="18"/>
                <w:szCs w:val="18"/>
              </w:rPr>
              <w:t xml:space="preserve">s reagavimas į rinkos poreikius ir problemas įgyvendinant finansines priemones. Atsižvelgiant į aplinkos poreikius vykdomos funkcijos gali būti keičiamos visuotinio akcininkų susirinkimo sprendimu. Įmonės žmogiškieji ištekliai, administracinė struktūra valdoma ir gali būti operatyviai </w:t>
            </w:r>
            <w:r>
              <w:rPr>
                <w:rFonts w:ascii="Georgia" w:hAnsi="Georgia" w:cs="Arial"/>
                <w:sz w:val="18"/>
                <w:szCs w:val="18"/>
              </w:rPr>
              <w:lastRenderedPageBreak/>
              <w:t>keičiama atsižvelgiant į rinkos poreikius ir vykdomas veiklas.</w:t>
            </w:r>
          </w:p>
        </w:tc>
        <w:tc>
          <w:tcPr>
            <w:tcW w:w="612" w:type="pct"/>
            <w:tcBorders>
              <w:top w:val="nil"/>
              <w:left w:val="nil"/>
              <w:bottom w:val="nil"/>
              <w:right w:val="nil"/>
            </w:tcBorders>
            <w:hideMark/>
          </w:tcPr>
          <w:p w14:paraId="2D1B955E" w14:textId="77777777"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lastRenderedPageBreak/>
              <w:t xml:space="preserve">Teikiamų fondo valdymo paslaugų apimtis ir siektini rezultatai nustatomi viešojo pirkimo būdu parinkto tiekėjo sutartyje. Fondo veiklos organizavimo pakeitimai ir galimybės perorientuoti veiklą gali būti apriboti viešųjų pirkimų įstatymo nuostatų. </w:t>
            </w:r>
          </w:p>
        </w:tc>
        <w:tc>
          <w:tcPr>
            <w:tcW w:w="638" w:type="pct"/>
            <w:tcBorders>
              <w:top w:val="nil"/>
              <w:left w:val="nil"/>
              <w:bottom w:val="nil"/>
              <w:right w:val="nil"/>
            </w:tcBorders>
            <w:hideMark/>
          </w:tcPr>
          <w:p w14:paraId="163DF4E4" w14:textId="77777777"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Alternatyva gali būti taikoma tik įgyvendinant paskolų ir garantijų finansines priemones. Šios alternatyvos atveju, negali būti deleguojamos funkcijos, nėra galimybių pasitelkti finansinius tarpininkus, dėl ko galutinių naudos gavėjų pasiekiamumas gali būti ribotas. Reagavimas į pasikeitusias sąlygas gali būti ribotas dėl sudėtingų derinimo procedūrų.</w:t>
            </w:r>
          </w:p>
        </w:tc>
        <w:tc>
          <w:tcPr>
            <w:tcW w:w="666" w:type="pct"/>
            <w:tcBorders>
              <w:top w:val="nil"/>
              <w:left w:val="nil"/>
              <w:bottom w:val="nil"/>
              <w:right w:val="single" w:sz="8" w:space="0" w:color="C0504D" w:themeColor="accent2"/>
            </w:tcBorders>
            <w:hideMark/>
          </w:tcPr>
          <w:p w14:paraId="61E89C14" w14:textId="77777777" w:rsidR="008E6DE4" w:rsidRDefault="008E6DE4" w:rsidP="006D51E6">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Būtų pasiektas sinergijos efektas, nes nacionalinės institucijos dalyvavimas iš dalies kompensuotų identifikuot</w:t>
            </w:r>
            <w:r w:rsidR="006D51E6">
              <w:rPr>
                <w:rFonts w:ascii="Georgia" w:hAnsi="Georgia" w:cs="Arial"/>
                <w:sz w:val="18"/>
                <w:szCs w:val="18"/>
              </w:rPr>
              <w:t>u</w:t>
            </w:r>
            <w:r>
              <w:rPr>
                <w:rFonts w:ascii="Georgia" w:hAnsi="Georgia" w:cs="Arial"/>
                <w:sz w:val="18"/>
                <w:szCs w:val="18"/>
              </w:rPr>
              <w:t xml:space="preserve">s EIB </w:t>
            </w:r>
            <w:r w:rsidR="006D51E6">
              <w:rPr>
                <w:rFonts w:ascii="Georgia" w:hAnsi="Georgia" w:cs="Arial"/>
                <w:sz w:val="18"/>
                <w:szCs w:val="18"/>
              </w:rPr>
              <w:t>apribojimus</w:t>
            </w:r>
            <w:r>
              <w:rPr>
                <w:rFonts w:ascii="Georgia" w:hAnsi="Georgia" w:cs="Arial"/>
                <w:sz w:val="18"/>
                <w:szCs w:val="18"/>
              </w:rPr>
              <w:t>.</w:t>
            </w:r>
          </w:p>
        </w:tc>
      </w:tr>
      <w:tr w:rsidR="00454050" w14:paraId="060060F2" w14:textId="77777777" w:rsidTr="00452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val="restart"/>
            <w:tcBorders>
              <w:bottom w:val="nil"/>
              <w:right w:val="nil"/>
            </w:tcBorders>
            <w:hideMark/>
          </w:tcPr>
          <w:p w14:paraId="4A66BC81" w14:textId="77777777" w:rsidR="008E6DE4" w:rsidRDefault="008E6DE4">
            <w:pPr>
              <w:jc w:val="both"/>
              <w:rPr>
                <w:rFonts w:ascii="Georgia" w:hAnsi="Georgia" w:cs="Arial"/>
                <w:sz w:val="18"/>
                <w:szCs w:val="18"/>
              </w:rPr>
            </w:pPr>
            <w:r>
              <w:rPr>
                <w:rFonts w:ascii="Georgia" w:hAnsi="Georgia" w:cs="Arial"/>
                <w:sz w:val="18"/>
                <w:szCs w:val="18"/>
              </w:rPr>
              <w:lastRenderedPageBreak/>
              <w:t>Pasitraukimo rizika</w:t>
            </w:r>
          </w:p>
        </w:tc>
        <w:tc>
          <w:tcPr>
            <w:tcW w:w="614" w:type="pct"/>
            <w:tcBorders>
              <w:left w:val="nil"/>
              <w:right w:val="nil"/>
            </w:tcBorders>
            <w:hideMark/>
          </w:tcPr>
          <w:p w14:paraId="625A7CE0" w14:textId="77777777" w:rsidR="008E6DE4" w:rsidRDefault="00353242">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2" w:type="pct"/>
            <w:tcBorders>
              <w:left w:val="nil"/>
              <w:right w:val="nil"/>
            </w:tcBorders>
            <w:hideMark/>
          </w:tcPr>
          <w:p w14:paraId="44757950" w14:textId="77777777" w:rsidR="008E6DE4" w:rsidRDefault="0039247F">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4" w:type="pct"/>
            <w:tcBorders>
              <w:left w:val="nil"/>
              <w:right w:val="nil"/>
            </w:tcBorders>
            <w:hideMark/>
          </w:tcPr>
          <w:p w14:paraId="69BBC707"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4" w:type="pct"/>
            <w:tcBorders>
              <w:left w:val="nil"/>
              <w:right w:val="nil"/>
            </w:tcBorders>
            <w:hideMark/>
          </w:tcPr>
          <w:p w14:paraId="63CF56FE" w14:textId="77777777" w:rsidR="008E6DE4" w:rsidRDefault="00353242">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2" w:type="pct"/>
            <w:tcBorders>
              <w:left w:val="nil"/>
              <w:right w:val="nil"/>
            </w:tcBorders>
            <w:hideMark/>
          </w:tcPr>
          <w:p w14:paraId="24494D5B"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38" w:type="pct"/>
            <w:tcBorders>
              <w:left w:val="nil"/>
              <w:right w:val="nil"/>
            </w:tcBorders>
            <w:hideMark/>
          </w:tcPr>
          <w:p w14:paraId="2B2951EF"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66" w:type="pct"/>
            <w:tcBorders>
              <w:left w:val="nil"/>
            </w:tcBorders>
            <w:hideMark/>
          </w:tcPr>
          <w:p w14:paraId="6B39084D"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r>
      <w:tr w:rsidR="00454050" w14:paraId="5CF78BB6" w14:textId="77777777" w:rsidTr="004521B7">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14:paraId="5793D7D7" w14:textId="77777777" w:rsidR="008E6DE4" w:rsidRDefault="008E6DE4">
            <w:pPr>
              <w:rPr>
                <w:rFonts w:ascii="Georgia" w:hAnsi="Georgia" w:cs="Arial"/>
                <w:sz w:val="18"/>
                <w:szCs w:val="18"/>
              </w:rPr>
            </w:pPr>
          </w:p>
        </w:tc>
        <w:tc>
          <w:tcPr>
            <w:tcW w:w="614" w:type="pct"/>
            <w:tcBorders>
              <w:top w:val="nil"/>
              <w:left w:val="nil"/>
              <w:bottom w:val="nil"/>
              <w:right w:val="nil"/>
            </w:tcBorders>
            <w:hideMark/>
          </w:tcPr>
          <w:p w14:paraId="5DCC2839" w14:textId="77777777" w:rsidR="008E6DE4" w:rsidRDefault="00454050" w:rsidP="0045405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Pasitraukimo rizika</w:t>
            </w:r>
            <w:r w:rsidR="008E6DE4">
              <w:rPr>
                <w:rFonts w:ascii="Georgia" w:hAnsi="Georgia" w:cs="Arial"/>
                <w:sz w:val="18"/>
                <w:szCs w:val="18"/>
              </w:rPr>
              <w:t xml:space="preserve"> </w:t>
            </w:r>
            <w:r>
              <w:rPr>
                <w:rFonts w:ascii="Georgia" w:hAnsi="Georgia" w:cs="Arial"/>
                <w:sz w:val="18"/>
                <w:szCs w:val="18"/>
              </w:rPr>
              <w:t>neidentifikuota</w:t>
            </w:r>
            <w:r w:rsidR="008E6DE4">
              <w:rPr>
                <w:rFonts w:ascii="Georgia" w:hAnsi="Georgia" w:cs="Arial"/>
                <w:sz w:val="18"/>
                <w:szCs w:val="18"/>
              </w:rPr>
              <w:t>.</w:t>
            </w:r>
          </w:p>
        </w:tc>
        <w:tc>
          <w:tcPr>
            <w:tcW w:w="612" w:type="pct"/>
            <w:tcBorders>
              <w:top w:val="nil"/>
              <w:left w:val="nil"/>
              <w:bottom w:val="nil"/>
              <w:right w:val="nil"/>
            </w:tcBorders>
            <w:hideMark/>
          </w:tcPr>
          <w:p w14:paraId="7C2FF9BB" w14:textId="77777777" w:rsidR="008E6DE4" w:rsidRDefault="00454050" w:rsidP="0045405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Neplanuoto pasitraukimo rizika gali pasireikšti</w:t>
            </w:r>
            <w:r w:rsidR="008E6DE4">
              <w:rPr>
                <w:rFonts w:ascii="Georgia" w:hAnsi="Georgia" w:cs="Arial"/>
                <w:sz w:val="18"/>
                <w:szCs w:val="18"/>
              </w:rPr>
              <w:t>, tačiau išreikštas suinteresuotumas ir toliau prisidėti įgyvendinant daugiabučių namų atnaujinimo programą Lietuvoje.</w:t>
            </w:r>
            <w:r>
              <w:rPr>
                <w:rFonts w:ascii="Georgia" w:hAnsi="Georgia" w:cs="Arial"/>
                <w:sz w:val="18"/>
                <w:szCs w:val="18"/>
              </w:rPr>
              <w:t xml:space="preserve"> Rizika valdoma sutartimi.</w:t>
            </w:r>
          </w:p>
        </w:tc>
        <w:tc>
          <w:tcPr>
            <w:tcW w:w="614" w:type="pct"/>
            <w:tcBorders>
              <w:top w:val="nil"/>
              <w:left w:val="nil"/>
              <w:bottom w:val="nil"/>
              <w:right w:val="nil"/>
            </w:tcBorders>
            <w:hideMark/>
          </w:tcPr>
          <w:p w14:paraId="578C71C5" w14:textId="77777777" w:rsidR="008E6DE4" w:rsidRDefault="008E6DE4" w:rsidP="0045405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Pasitraukimo rizika</w:t>
            </w:r>
            <w:r w:rsidR="00454050">
              <w:rPr>
                <w:rFonts w:ascii="Georgia" w:hAnsi="Georgia" w:cs="Arial"/>
                <w:sz w:val="18"/>
                <w:szCs w:val="18"/>
              </w:rPr>
              <w:t xml:space="preserve"> gali pasireikšti</w:t>
            </w:r>
            <w:r>
              <w:rPr>
                <w:rFonts w:ascii="Georgia" w:hAnsi="Georgia" w:cs="Arial"/>
                <w:sz w:val="18"/>
                <w:szCs w:val="18"/>
              </w:rPr>
              <w:t>.</w:t>
            </w:r>
          </w:p>
        </w:tc>
        <w:tc>
          <w:tcPr>
            <w:tcW w:w="614" w:type="pct"/>
            <w:tcBorders>
              <w:top w:val="nil"/>
              <w:left w:val="nil"/>
              <w:bottom w:val="nil"/>
              <w:right w:val="nil"/>
            </w:tcBorders>
            <w:hideMark/>
          </w:tcPr>
          <w:p w14:paraId="41F56FB4" w14:textId="77777777" w:rsidR="008E6DE4" w:rsidRDefault="00454050" w:rsidP="0045405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Pasitraukimo rizika</w:t>
            </w:r>
            <w:r w:rsidR="008E6DE4">
              <w:rPr>
                <w:rFonts w:ascii="Georgia" w:hAnsi="Georgia" w:cs="Arial"/>
                <w:sz w:val="18"/>
                <w:szCs w:val="18"/>
              </w:rPr>
              <w:t xml:space="preserve"> n</w:t>
            </w:r>
            <w:r>
              <w:rPr>
                <w:rFonts w:ascii="Georgia" w:hAnsi="Georgia" w:cs="Arial"/>
                <w:sz w:val="18"/>
                <w:szCs w:val="18"/>
              </w:rPr>
              <w:t>eidentifikuota</w:t>
            </w:r>
            <w:r w:rsidR="008E6DE4">
              <w:rPr>
                <w:rFonts w:ascii="Georgia" w:hAnsi="Georgia" w:cs="Arial"/>
                <w:sz w:val="18"/>
                <w:szCs w:val="18"/>
              </w:rPr>
              <w:t>.</w:t>
            </w:r>
            <w:r w:rsidR="0051166B">
              <w:rPr>
                <w:rFonts w:ascii="Georgia" w:hAnsi="Georgia" w:cs="Arial"/>
                <w:sz w:val="18"/>
                <w:szCs w:val="18"/>
              </w:rPr>
              <w:t xml:space="preserve"> </w:t>
            </w:r>
          </w:p>
        </w:tc>
        <w:tc>
          <w:tcPr>
            <w:tcW w:w="612" w:type="pct"/>
            <w:tcBorders>
              <w:top w:val="nil"/>
              <w:left w:val="nil"/>
              <w:bottom w:val="nil"/>
              <w:right w:val="nil"/>
            </w:tcBorders>
            <w:hideMark/>
          </w:tcPr>
          <w:p w14:paraId="7FCB1DC2" w14:textId="77777777" w:rsidR="008E6DE4" w:rsidRDefault="008E6DE4" w:rsidP="0045405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Pasitraukimo rizika</w:t>
            </w:r>
            <w:r w:rsidR="00454050">
              <w:rPr>
                <w:rFonts w:ascii="Georgia" w:hAnsi="Georgia" w:cs="Arial"/>
                <w:sz w:val="18"/>
                <w:szCs w:val="18"/>
              </w:rPr>
              <w:t xml:space="preserve"> </w:t>
            </w:r>
            <w:r w:rsidR="00353242">
              <w:rPr>
                <w:rFonts w:ascii="Georgia" w:hAnsi="Georgia" w:cs="Arial"/>
                <w:sz w:val="18"/>
                <w:szCs w:val="18"/>
              </w:rPr>
              <w:t>gali pasireikšti</w:t>
            </w:r>
            <w:r>
              <w:rPr>
                <w:rFonts w:ascii="Georgia" w:hAnsi="Georgia" w:cs="Arial"/>
                <w:sz w:val="18"/>
                <w:szCs w:val="18"/>
              </w:rPr>
              <w:t>.</w:t>
            </w:r>
          </w:p>
        </w:tc>
        <w:tc>
          <w:tcPr>
            <w:tcW w:w="638" w:type="pct"/>
            <w:tcBorders>
              <w:top w:val="nil"/>
              <w:left w:val="nil"/>
              <w:bottom w:val="nil"/>
              <w:right w:val="nil"/>
            </w:tcBorders>
            <w:hideMark/>
          </w:tcPr>
          <w:p w14:paraId="2E41A5B8" w14:textId="77777777" w:rsidR="008E6DE4" w:rsidRDefault="008E6DE4" w:rsidP="0045405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Pasitraukimo rizikos </w:t>
            </w:r>
            <w:r w:rsidR="00454050">
              <w:rPr>
                <w:rFonts w:ascii="Georgia" w:hAnsi="Georgia" w:cs="Arial"/>
                <w:sz w:val="18"/>
                <w:szCs w:val="18"/>
              </w:rPr>
              <w:t>neidentifikuota</w:t>
            </w:r>
            <w:r>
              <w:rPr>
                <w:rFonts w:ascii="Georgia" w:hAnsi="Georgia" w:cs="Arial"/>
                <w:sz w:val="18"/>
                <w:szCs w:val="18"/>
              </w:rPr>
              <w:t>.</w:t>
            </w:r>
          </w:p>
        </w:tc>
        <w:tc>
          <w:tcPr>
            <w:tcW w:w="666" w:type="pct"/>
            <w:tcBorders>
              <w:top w:val="nil"/>
              <w:left w:val="nil"/>
              <w:bottom w:val="nil"/>
              <w:right w:val="single" w:sz="8" w:space="0" w:color="C0504D" w:themeColor="accent2"/>
            </w:tcBorders>
            <w:hideMark/>
          </w:tcPr>
          <w:p w14:paraId="277F62A1" w14:textId="77777777" w:rsidR="008E6DE4" w:rsidRDefault="00353242" w:rsidP="00100EF9">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P</w:t>
            </w:r>
            <w:r w:rsidR="00100EF9">
              <w:rPr>
                <w:rFonts w:ascii="Georgia" w:hAnsi="Georgia" w:cs="Arial"/>
                <w:sz w:val="18"/>
                <w:szCs w:val="18"/>
              </w:rPr>
              <w:t>asi</w:t>
            </w:r>
            <w:r>
              <w:rPr>
                <w:rFonts w:ascii="Georgia" w:hAnsi="Georgia" w:cs="Arial"/>
                <w:sz w:val="18"/>
                <w:szCs w:val="18"/>
              </w:rPr>
              <w:t>rei</w:t>
            </w:r>
            <w:r w:rsidR="00100EF9">
              <w:rPr>
                <w:rFonts w:ascii="Georgia" w:hAnsi="Georgia" w:cs="Arial"/>
                <w:sz w:val="18"/>
                <w:szCs w:val="18"/>
              </w:rPr>
              <w:t>š</w:t>
            </w:r>
            <w:r>
              <w:rPr>
                <w:rFonts w:ascii="Georgia" w:hAnsi="Georgia" w:cs="Arial"/>
                <w:sz w:val="18"/>
                <w:szCs w:val="18"/>
              </w:rPr>
              <w:t xml:space="preserve">kus vieno iš partnerių pasitraukimo rizikai kitas partneris galėtų kompensuoti </w:t>
            </w:r>
            <w:r w:rsidR="008E6DE4">
              <w:rPr>
                <w:rFonts w:ascii="Georgia" w:hAnsi="Georgia" w:cs="Arial"/>
                <w:sz w:val="18"/>
                <w:szCs w:val="18"/>
              </w:rPr>
              <w:t>galimas neigiamas pasekmes.</w:t>
            </w:r>
          </w:p>
        </w:tc>
      </w:tr>
      <w:tr w:rsidR="00454050" w14:paraId="49F2C705" w14:textId="77777777" w:rsidTr="00452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val="restart"/>
            <w:tcBorders>
              <w:bottom w:val="nil"/>
              <w:right w:val="nil"/>
            </w:tcBorders>
            <w:hideMark/>
          </w:tcPr>
          <w:p w14:paraId="1FB79B10" w14:textId="77777777" w:rsidR="008E6DE4" w:rsidRDefault="008E6DE4">
            <w:pPr>
              <w:jc w:val="both"/>
              <w:rPr>
                <w:rFonts w:ascii="Georgia" w:hAnsi="Georgia" w:cs="Arial"/>
                <w:sz w:val="18"/>
                <w:szCs w:val="18"/>
              </w:rPr>
            </w:pPr>
            <w:r>
              <w:rPr>
                <w:rFonts w:ascii="Georgia" w:hAnsi="Georgia" w:cs="Arial"/>
                <w:sz w:val="18"/>
                <w:szCs w:val="18"/>
              </w:rPr>
              <w:t>Kompetencijų nacionalinių lygiu kūrimas</w:t>
            </w:r>
          </w:p>
        </w:tc>
        <w:tc>
          <w:tcPr>
            <w:tcW w:w="614" w:type="pct"/>
            <w:tcBorders>
              <w:left w:val="nil"/>
              <w:right w:val="nil"/>
            </w:tcBorders>
            <w:hideMark/>
          </w:tcPr>
          <w:p w14:paraId="61C47566" w14:textId="77777777" w:rsidR="008E6DE4" w:rsidRDefault="004521B7">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2" w:type="pct"/>
            <w:tcBorders>
              <w:left w:val="nil"/>
              <w:right w:val="nil"/>
            </w:tcBorders>
            <w:hideMark/>
          </w:tcPr>
          <w:p w14:paraId="48D8B9EC"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4" w:type="pct"/>
            <w:tcBorders>
              <w:left w:val="nil"/>
              <w:right w:val="nil"/>
            </w:tcBorders>
            <w:hideMark/>
          </w:tcPr>
          <w:p w14:paraId="3D6173D8"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4" w:type="pct"/>
            <w:tcBorders>
              <w:left w:val="nil"/>
              <w:right w:val="nil"/>
            </w:tcBorders>
            <w:hideMark/>
          </w:tcPr>
          <w:p w14:paraId="5EA5E887" w14:textId="77777777" w:rsidR="008E6DE4" w:rsidRDefault="004521B7">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2" w:type="pct"/>
            <w:tcBorders>
              <w:left w:val="nil"/>
              <w:right w:val="nil"/>
            </w:tcBorders>
            <w:hideMark/>
          </w:tcPr>
          <w:p w14:paraId="1DD672B0"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38" w:type="pct"/>
            <w:tcBorders>
              <w:left w:val="nil"/>
              <w:right w:val="nil"/>
            </w:tcBorders>
            <w:hideMark/>
          </w:tcPr>
          <w:p w14:paraId="46FA9624"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66" w:type="pct"/>
            <w:tcBorders>
              <w:left w:val="nil"/>
            </w:tcBorders>
            <w:hideMark/>
          </w:tcPr>
          <w:p w14:paraId="165EB281"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r>
      <w:tr w:rsidR="00454050" w14:paraId="0BE56441" w14:textId="77777777" w:rsidTr="004521B7">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14:paraId="01C9E196" w14:textId="77777777" w:rsidR="008E6DE4" w:rsidRDefault="008E6DE4">
            <w:pPr>
              <w:rPr>
                <w:rFonts w:ascii="Georgia" w:hAnsi="Georgia" w:cs="Arial"/>
                <w:sz w:val="18"/>
                <w:szCs w:val="18"/>
              </w:rPr>
            </w:pPr>
          </w:p>
        </w:tc>
        <w:tc>
          <w:tcPr>
            <w:tcW w:w="614" w:type="pct"/>
            <w:tcBorders>
              <w:top w:val="nil"/>
              <w:left w:val="nil"/>
              <w:bottom w:val="nil"/>
              <w:right w:val="nil"/>
            </w:tcBorders>
            <w:hideMark/>
          </w:tcPr>
          <w:p w14:paraId="38DFF802" w14:textId="77777777" w:rsidR="008E6DE4" w:rsidRDefault="008E6DE4" w:rsidP="004521B7">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Kompetencijos ir žinios kuriamos nacionaliniu lygiu</w:t>
            </w:r>
            <w:r w:rsidR="004521B7">
              <w:rPr>
                <w:rFonts w:ascii="Georgia" w:hAnsi="Georgia" w:cs="Arial"/>
                <w:sz w:val="18"/>
                <w:szCs w:val="18"/>
              </w:rPr>
              <w:t xml:space="preserve"> tačiau tiesiogiai neišnaudojama tarptautinių institucijų </w:t>
            </w:r>
            <w:r w:rsidR="004521B7">
              <w:rPr>
                <w:rFonts w:ascii="Georgia" w:hAnsi="Georgia" w:cs="Arial"/>
                <w:sz w:val="18"/>
                <w:szCs w:val="18"/>
              </w:rPr>
              <w:lastRenderedPageBreak/>
              <w:t>patirtis.</w:t>
            </w:r>
            <w:r>
              <w:rPr>
                <w:rFonts w:ascii="Georgia" w:hAnsi="Georgia" w:cs="Arial"/>
                <w:sz w:val="18"/>
                <w:szCs w:val="18"/>
              </w:rPr>
              <w:t>.</w:t>
            </w:r>
          </w:p>
        </w:tc>
        <w:tc>
          <w:tcPr>
            <w:tcW w:w="612" w:type="pct"/>
            <w:tcBorders>
              <w:top w:val="nil"/>
              <w:left w:val="nil"/>
              <w:bottom w:val="nil"/>
              <w:right w:val="nil"/>
            </w:tcBorders>
            <w:hideMark/>
          </w:tcPr>
          <w:p w14:paraId="033A2745" w14:textId="77777777"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lastRenderedPageBreak/>
              <w:t>Kompetencijos</w:t>
            </w:r>
            <w:r w:rsidR="004521B7">
              <w:rPr>
                <w:rFonts w:ascii="Georgia" w:hAnsi="Georgia" w:cs="Arial"/>
                <w:sz w:val="18"/>
                <w:szCs w:val="18"/>
              </w:rPr>
              <w:t>, patirtis</w:t>
            </w:r>
            <w:r>
              <w:rPr>
                <w:rFonts w:ascii="Georgia" w:hAnsi="Georgia" w:cs="Arial"/>
                <w:sz w:val="18"/>
                <w:szCs w:val="18"/>
              </w:rPr>
              <w:t xml:space="preserve"> ir žinios koncentruojamos ne Lietuvoje.</w:t>
            </w:r>
          </w:p>
        </w:tc>
        <w:tc>
          <w:tcPr>
            <w:tcW w:w="614" w:type="pct"/>
            <w:tcBorders>
              <w:top w:val="nil"/>
              <w:left w:val="nil"/>
              <w:bottom w:val="nil"/>
              <w:right w:val="nil"/>
            </w:tcBorders>
            <w:hideMark/>
          </w:tcPr>
          <w:p w14:paraId="69013192" w14:textId="77777777"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Kompetencijos</w:t>
            </w:r>
            <w:r w:rsidR="004521B7">
              <w:rPr>
                <w:rFonts w:ascii="Georgia" w:hAnsi="Georgia" w:cs="Arial"/>
                <w:sz w:val="18"/>
                <w:szCs w:val="18"/>
              </w:rPr>
              <w:t>, patirtis</w:t>
            </w:r>
            <w:r>
              <w:rPr>
                <w:rFonts w:ascii="Georgia" w:hAnsi="Georgia" w:cs="Arial"/>
                <w:sz w:val="18"/>
                <w:szCs w:val="18"/>
              </w:rPr>
              <w:t xml:space="preserve"> ir žinios koncentruojamos ne Lietuvoje.</w:t>
            </w:r>
          </w:p>
        </w:tc>
        <w:tc>
          <w:tcPr>
            <w:tcW w:w="614" w:type="pct"/>
            <w:tcBorders>
              <w:top w:val="nil"/>
              <w:left w:val="nil"/>
              <w:bottom w:val="nil"/>
              <w:right w:val="nil"/>
            </w:tcBorders>
            <w:hideMark/>
          </w:tcPr>
          <w:p w14:paraId="6DD78E06" w14:textId="77777777" w:rsidR="008E6DE4" w:rsidRDefault="008E6DE4" w:rsidP="004521B7">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Kompetencijos ir žinios kuriamos nacionaliniu lygiu</w:t>
            </w:r>
            <w:r w:rsidR="004521B7">
              <w:rPr>
                <w:rFonts w:ascii="Georgia" w:hAnsi="Georgia" w:cs="Arial"/>
                <w:sz w:val="18"/>
                <w:szCs w:val="18"/>
              </w:rPr>
              <w:t>, tačiau tiesiogiai neišnaudojama tarptautinių institucijų patirtis</w:t>
            </w:r>
            <w:r>
              <w:rPr>
                <w:rFonts w:ascii="Georgia" w:hAnsi="Georgia" w:cs="Arial"/>
                <w:sz w:val="18"/>
                <w:szCs w:val="18"/>
              </w:rPr>
              <w:t>.</w:t>
            </w:r>
          </w:p>
        </w:tc>
        <w:tc>
          <w:tcPr>
            <w:tcW w:w="612" w:type="pct"/>
            <w:tcBorders>
              <w:top w:val="nil"/>
              <w:left w:val="nil"/>
              <w:bottom w:val="nil"/>
              <w:right w:val="nil"/>
            </w:tcBorders>
            <w:hideMark/>
          </w:tcPr>
          <w:p w14:paraId="017060D0" w14:textId="77777777" w:rsidR="008E6DE4" w:rsidRDefault="008E6DE4" w:rsidP="00353242">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Nėra galimybių įvertinti, kadangi konkurse gali dalyvauti tiek užsienio</w:t>
            </w:r>
            <w:r w:rsidR="00353242">
              <w:rPr>
                <w:rFonts w:ascii="Georgia" w:hAnsi="Georgia" w:cs="Arial"/>
                <w:sz w:val="18"/>
                <w:szCs w:val="18"/>
              </w:rPr>
              <w:t>, tiek nacionalinė organizacija</w:t>
            </w:r>
            <w:r>
              <w:rPr>
                <w:rFonts w:ascii="Georgia" w:hAnsi="Georgia" w:cs="Arial"/>
                <w:sz w:val="18"/>
                <w:szCs w:val="18"/>
              </w:rPr>
              <w:t>.</w:t>
            </w:r>
          </w:p>
        </w:tc>
        <w:tc>
          <w:tcPr>
            <w:tcW w:w="638" w:type="pct"/>
            <w:tcBorders>
              <w:top w:val="nil"/>
              <w:left w:val="nil"/>
              <w:bottom w:val="nil"/>
              <w:right w:val="nil"/>
            </w:tcBorders>
            <w:hideMark/>
          </w:tcPr>
          <w:p w14:paraId="4F3EBCF1" w14:textId="77777777" w:rsidR="008E6DE4" w:rsidRDefault="008E6DE4" w:rsidP="004521B7">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Kompetencijos ir žinios kuriamos nacionaliniu lygiu.</w:t>
            </w:r>
          </w:p>
        </w:tc>
        <w:tc>
          <w:tcPr>
            <w:tcW w:w="666" w:type="pct"/>
            <w:tcBorders>
              <w:top w:val="nil"/>
              <w:left w:val="nil"/>
              <w:bottom w:val="nil"/>
              <w:right w:val="single" w:sz="8" w:space="0" w:color="C0504D" w:themeColor="accent2"/>
            </w:tcBorders>
            <w:hideMark/>
          </w:tcPr>
          <w:p w14:paraId="34E337EE" w14:textId="77777777" w:rsidR="008E6DE4" w:rsidRDefault="008E6DE4" w:rsidP="00353242">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Įgyvendinamas siekis </w:t>
            </w:r>
            <w:r w:rsidR="00353242">
              <w:rPr>
                <w:rFonts w:ascii="Georgia" w:hAnsi="Georgia" w:cs="Arial"/>
                <w:sz w:val="18"/>
                <w:szCs w:val="18"/>
              </w:rPr>
              <w:t>ugdyti</w:t>
            </w:r>
            <w:r>
              <w:rPr>
                <w:rFonts w:ascii="Georgia" w:hAnsi="Georgia" w:cs="Arial"/>
                <w:sz w:val="18"/>
                <w:szCs w:val="18"/>
              </w:rPr>
              <w:t xml:space="preserve"> kompetencijas ir žinias </w:t>
            </w:r>
            <w:r w:rsidR="00353242">
              <w:rPr>
                <w:rFonts w:ascii="Georgia" w:hAnsi="Georgia" w:cs="Arial"/>
                <w:sz w:val="18"/>
                <w:szCs w:val="18"/>
              </w:rPr>
              <w:t xml:space="preserve">ir </w:t>
            </w:r>
            <w:r>
              <w:rPr>
                <w:rFonts w:ascii="Georgia" w:hAnsi="Georgia" w:cs="Arial"/>
                <w:sz w:val="18"/>
                <w:szCs w:val="18"/>
              </w:rPr>
              <w:t>nacionalini</w:t>
            </w:r>
            <w:r w:rsidR="00353242">
              <w:rPr>
                <w:rFonts w:ascii="Georgia" w:hAnsi="Georgia" w:cs="Arial"/>
                <w:sz w:val="18"/>
                <w:szCs w:val="18"/>
              </w:rPr>
              <w:t xml:space="preserve">o </w:t>
            </w:r>
            <w:r>
              <w:rPr>
                <w:rFonts w:ascii="Georgia" w:hAnsi="Georgia" w:cs="Arial"/>
                <w:sz w:val="18"/>
                <w:szCs w:val="18"/>
              </w:rPr>
              <w:t>lygi</w:t>
            </w:r>
            <w:r w:rsidR="00353242">
              <w:rPr>
                <w:rFonts w:ascii="Georgia" w:hAnsi="Georgia" w:cs="Arial"/>
                <w:sz w:val="18"/>
                <w:szCs w:val="18"/>
              </w:rPr>
              <w:t xml:space="preserve">o </w:t>
            </w:r>
            <w:r w:rsidR="00100EF9">
              <w:rPr>
                <w:rFonts w:ascii="Georgia" w:hAnsi="Georgia" w:cs="Arial"/>
                <w:sz w:val="18"/>
                <w:szCs w:val="18"/>
              </w:rPr>
              <w:t>institucijose</w:t>
            </w:r>
            <w:r>
              <w:rPr>
                <w:rFonts w:ascii="Georgia" w:hAnsi="Georgia" w:cs="Arial"/>
                <w:sz w:val="18"/>
                <w:szCs w:val="18"/>
              </w:rPr>
              <w:t xml:space="preserve">. EIB kompetencijos ir </w:t>
            </w:r>
            <w:r>
              <w:rPr>
                <w:rFonts w:ascii="Georgia" w:hAnsi="Georgia" w:cs="Arial"/>
                <w:sz w:val="18"/>
                <w:szCs w:val="18"/>
              </w:rPr>
              <w:lastRenderedPageBreak/>
              <w:t>žinios</w:t>
            </w:r>
            <w:r w:rsidR="00353242">
              <w:rPr>
                <w:rFonts w:ascii="Georgia" w:hAnsi="Georgia" w:cs="Arial"/>
                <w:sz w:val="18"/>
                <w:szCs w:val="18"/>
              </w:rPr>
              <w:t>, padeda ugdyti kompetencijas Lietuvoje</w:t>
            </w:r>
            <w:r>
              <w:rPr>
                <w:rFonts w:ascii="Georgia" w:hAnsi="Georgia" w:cs="Arial"/>
                <w:sz w:val="18"/>
                <w:szCs w:val="18"/>
              </w:rPr>
              <w:t>.</w:t>
            </w:r>
          </w:p>
        </w:tc>
      </w:tr>
      <w:tr w:rsidR="00454050" w14:paraId="46DEDDA6" w14:textId="77777777" w:rsidTr="00452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val="restart"/>
            <w:tcBorders>
              <w:bottom w:val="nil"/>
              <w:right w:val="nil"/>
            </w:tcBorders>
            <w:hideMark/>
          </w:tcPr>
          <w:p w14:paraId="7A43CD54" w14:textId="77777777" w:rsidR="008E6DE4" w:rsidRDefault="008E6DE4">
            <w:pPr>
              <w:jc w:val="both"/>
              <w:rPr>
                <w:rFonts w:ascii="Georgia" w:hAnsi="Georgia" w:cs="Arial"/>
                <w:sz w:val="18"/>
                <w:szCs w:val="18"/>
              </w:rPr>
            </w:pPr>
            <w:r>
              <w:rPr>
                <w:rFonts w:ascii="Georgia" w:hAnsi="Georgia" w:cs="Arial"/>
                <w:sz w:val="18"/>
                <w:szCs w:val="18"/>
              </w:rPr>
              <w:lastRenderedPageBreak/>
              <w:t>Funkcionalumas</w:t>
            </w:r>
          </w:p>
        </w:tc>
        <w:tc>
          <w:tcPr>
            <w:tcW w:w="614" w:type="pct"/>
            <w:tcBorders>
              <w:left w:val="nil"/>
              <w:right w:val="nil"/>
            </w:tcBorders>
            <w:hideMark/>
          </w:tcPr>
          <w:p w14:paraId="162906CE"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r w:rsidR="00353242">
              <w:rPr>
                <w:rFonts w:ascii="Georgia" w:hAnsi="Georgia" w:cs="Arial"/>
                <w:sz w:val="18"/>
                <w:szCs w:val="18"/>
              </w:rPr>
              <w:t xml:space="preserve"> arba 3</w:t>
            </w:r>
          </w:p>
        </w:tc>
        <w:tc>
          <w:tcPr>
            <w:tcW w:w="612" w:type="pct"/>
            <w:tcBorders>
              <w:left w:val="nil"/>
              <w:right w:val="nil"/>
            </w:tcBorders>
            <w:hideMark/>
          </w:tcPr>
          <w:p w14:paraId="3EF6C6E8" w14:textId="77777777" w:rsidR="008E6DE4" w:rsidRDefault="00B05955">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14" w:type="pct"/>
            <w:tcBorders>
              <w:left w:val="nil"/>
              <w:right w:val="nil"/>
            </w:tcBorders>
            <w:hideMark/>
          </w:tcPr>
          <w:p w14:paraId="1C39835B"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4" w:type="pct"/>
            <w:tcBorders>
              <w:left w:val="nil"/>
              <w:right w:val="nil"/>
            </w:tcBorders>
            <w:hideMark/>
          </w:tcPr>
          <w:p w14:paraId="65710210"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12" w:type="pct"/>
            <w:tcBorders>
              <w:left w:val="nil"/>
              <w:right w:val="nil"/>
            </w:tcBorders>
            <w:hideMark/>
          </w:tcPr>
          <w:p w14:paraId="3B690F02"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38" w:type="pct"/>
            <w:tcBorders>
              <w:left w:val="nil"/>
              <w:right w:val="nil"/>
            </w:tcBorders>
            <w:hideMark/>
          </w:tcPr>
          <w:p w14:paraId="4871887B"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66" w:type="pct"/>
            <w:tcBorders>
              <w:left w:val="nil"/>
            </w:tcBorders>
            <w:hideMark/>
          </w:tcPr>
          <w:p w14:paraId="468DBED5" w14:textId="77777777" w:rsidR="008E6DE4" w:rsidRDefault="00B05955">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r>
      <w:tr w:rsidR="00454050" w14:paraId="1F440C21" w14:textId="77777777" w:rsidTr="004521B7">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14:paraId="6EEA1533" w14:textId="77777777" w:rsidR="008E6DE4" w:rsidRDefault="008E6DE4">
            <w:pPr>
              <w:rPr>
                <w:rFonts w:ascii="Georgia" w:hAnsi="Georgia" w:cs="Arial"/>
                <w:sz w:val="18"/>
                <w:szCs w:val="18"/>
              </w:rPr>
            </w:pPr>
          </w:p>
        </w:tc>
        <w:tc>
          <w:tcPr>
            <w:tcW w:w="614" w:type="pct"/>
            <w:tcBorders>
              <w:top w:val="nil"/>
              <w:left w:val="nil"/>
              <w:bottom w:val="nil"/>
              <w:right w:val="nil"/>
            </w:tcBorders>
            <w:hideMark/>
          </w:tcPr>
          <w:p w14:paraId="253C34F3" w14:textId="77777777"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Tuo atveju, jei būtų pasirinktas jau veikiantis juridinis asmuo, tai šiai alternatyvai suteiktas tam juridiniam asmeniui skirtas vertinimo balas (žr. IV alternatyvos įvertinimą). Jei būtų pasirinktas naujas juridinis asmuo, tai jo funkcionalumas vertinamas 1.</w:t>
            </w:r>
          </w:p>
        </w:tc>
        <w:tc>
          <w:tcPr>
            <w:tcW w:w="612" w:type="pct"/>
            <w:tcBorders>
              <w:top w:val="nil"/>
              <w:left w:val="nil"/>
              <w:bottom w:val="nil"/>
              <w:right w:val="nil"/>
            </w:tcBorders>
            <w:hideMark/>
          </w:tcPr>
          <w:p w14:paraId="11C805A7" w14:textId="77777777" w:rsidR="008E6DE4" w:rsidRDefault="008E6DE4" w:rsidP="00B05955">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Pagrindiniai žmogiškieji ištekliai įsikūrę Liuksemburge. Mažesnės galimybės tiesiogiai bendrauti su rinkos dalyviais. Ilgai trunkančios ir sudėtingos vidinės procedūros.</w:t>
            </w:r>
            <w:r w:rsidR="00B05955">
              <w:rPr>
                <w:rFonts w:ascii="Georgia" w:hAnsi="Georgia" w:cs="Arial"/>
                <w:sz w:val="18"/>
                <w:szCs w:val="18"/>
              </w:rPr>
              <w:t xml:space="preserve"> Tačiau šie apribojimai gali būti kompensuojami turimais resursais ir turima patirtimi valdant JESSICA fondą Lietuvoje.</w:t>
            </w:r>
          </w:p>
        </w:tc>
        <w:tc>
          <w:tcPr>
            <w:tcW w:w="614" w:type="pct"/>
            <w:tcBorders>
              <w:top w:val="nil"/>
              <w:left w:val="nil"/>
              <w:bottom w:val="nil"/>
              <w:right w:val="nil"/>
            </w:tcBorders>
            <w:hideMark/>
          </w:tcPr>
          <w:p w14:paraId="418D940F" w14:textId="77777777"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Pagrindiniai žmogiškieji ištekliai įsikūrę ne Lietuvoje. Mažesnės galimybės tiesiogiai bendrauti su rinkos dalyviais. Ilgai trunkančios ir sudėtingos vidinės procedūros.</w:t>
            </w:r>
          </w:p>
        </w:tc>
        <w:tc>
          <w:tcPr>
            <w:tcW w:w="614" w:type="pct"/>
            <w:tcBorders>
              <w:top w:val="nil"/>
              <w:left w:val="nil"/>
              <w:bottom w:val="nil"/>
              <w:right w:val="nil"/>
            </w:tcBorders>
            <w:hideMark/>
          </w:tcPr>
          <w:p w14:paraId="6F75ECB9" w14:textId="77777777" w:rsidR="008E6DE4" w:rsidRDefault="00D40FF2" w:rsidP="00347D22">
            <w:pPr>
              <w:pStyle w:val="Komentarotekstas"/>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Valdžios institucijų kontroliuojamai finansų įstaigai y</w:t>
            </w:r>
            <w:r w:rsidR="00347D22">
              <w:rPr>
                <w:rFonts w:ascii="Georgia" w:hAnsi="Georgia" w:cs="Arial"/>
                <w:sz w:val="18"/>
                <w:szCs w:val="18"/>
              </w:rPr>
              <w:t>ra tiesioginės galimybės betarpiškam darbui su valdžios insti</w:t>
            </w:r>
            <w:r w:rsidR="00163947">
              <w:rPr>
                <w:rFonts w:ascii="Georgia" w:hAnsi="Georgia" w:cs="Arial"/>
                <w:sz w:val="18"/>
                <w:szCs w:val="18"/>
              </w:rPr>
              <w:t>tucijomis ir kitomis suinteresuotomis šalimis</w:t>
            </w:r>
            <w:r>
              <w:rPr>
                <w:rFonts w:ascii="Georgia" w:hAnsi="Georgia" w:cs="Arial"/>
                <w:sz w:val="18"/>
                <w:szCs w:val="18"/>
              </w:rPr>
              <w:t>.</w:t>
            </w:r>
          </w:p>
        </w:tc>
        <w:tc>
          <w:tcPr>
            <w:tcW w:w="612" w:type="pct"/>
            <w:tcBorders>
              <w:top w:val="nil"/>
              <w:left w:val="nil"/>
              <w:bottom w:val="nil"/>
              <w:right w:val="nil"/>
            </w:tcBorders>
            <w:hideMark/>
          </w:tcPr>
          <w:p w14:paraId="1A0756EB" w14:textId="77777777"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Nėra aišku, kurios institucijos / organizacijos dalyvautų fondo valdytojo atrankos konkurse. Siūlomo modelio funkcionalumo įvertinimas turėtų būti įtrauktas kaip vienas iš atrankos kriterijų.</w:t>
            </w:r>
          </w:p>
        </w:tc>
        <w:tc>
          <w:tcPr>
            <w:tcW w:w="638" w:type="pct"/>
            <w:tcBorders>
              <w:top w:val="nil"/>
              <w:left w:val="nil"/>
              <w:bottom w:val="nil"/>
              <w:right w:val="nil"/>
            </w:tcBorders>
            <w:hideMark/>
          </w:tcPr>
          <w:p w14:paraId="269E2374" w14:textId="77777777"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Ši alternatyva rekomenduojama tais atvejais, kuomet finansinės priemonės apimtis nėra didelė, taip pat nedidelis ir projektų skaičius. Daugiabučių renovacijos atveju tiek planuojama apimtis, tiek projektų skaičius neigiamai įtakotų šios alternatyvos įgyvendinimo efektyvumą.</w:t>
            </w:r>
          </w:p>
        </w:tc>
        <w:tc>
          <w:tcPr>
            <w:tcW w:w="666" w:type="pct"/>
            <w:tcBorders>
              <w:top w:val="nil"/>
              <w:left w:val="nil"/>
              <w:bottom w:val="nil"/>
              <w:right w:val="single" w:sz="8" w:space="0" w:color="C0504D" w:themeColor="accent2"/>
            </w:tcBorders>
            <w:hideMark/>
          </w:tcPr>
          <w:p w14:paraId="1BC2E7D1" w14:textId="77777777"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Ši alternatyva įgalintų sinergijos tarp EIB ir nacionalinės finansų įstaigos atsiradimą. Būtų užtikrinamas fondo valdytojų ir rinkos dalyvių bendravimas ir komunikacija, aukštas bendradarbiavimo su nacionalinėmis institucijomis lygis. Efektyvumą gali apriboti tai, jog visi veiksmai turės būti suderinti tarp dviejų fondo valdytojų.</w:t>
            </w:r>
          </w:p>
        </w:tc>
      </w:tr>
      <w:tr w:rsidR="004521B7" w14:paraId="2D6266DF" w14:textId="77777777" w:rsidTr="00452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tcBorders>
              <w:right w:val="nil"/>
            </w:tcBorders>
            <w:hideMark/>
          </w:tcPr>
          <w:p w14:paraId="1092013E" w14:textId="77777777" w:rsidR="004521B7" w:rsidRDefault="004521B7">
            <w:pPr>
              <w:jc w:val="both"/>
              <w:rPr>
                <w:rFonts w:ascii="Georgia" w:hAnsi="Georgia" w:cs="Arial"/>
                <w:b w:val="0"/>
                <w:sz w:val="18"/>
                <w:szCs w:val="18"/>
              </w:rPr>
            </w:pPr>
            <w:r>
              <w:rPr>
                <w:rFonts w:ascii="Georgia" w:hAnsi="Georgia" w:cs="Arial"/>
                <w:sz w:val="18"/>
                <w:szCs w:val="18"/>
              </w:rPr>
              <w:t>Rezultatai:</w:t>
            </w:r>
          </w:p>
        </w:tc>
        <w:tc>
          <w:tcPr>
            <w:tcW w:w="614" w:type="pct"/>
            <w:tcBorders>
              <w:left w:val="nil"/>
              <w:right w:val="nil"/>
            </w:tcBorders>
            <w:hideMark/>
          </w:tcPr>
          <w:p w14:paraId="4C46644A" w14:textId="77777777" w:rsidR="004521B7" w:rsidRDefault="004521B7" w:rsidP="009111B9">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sz w:val="18"/>
                <w:szCs w:val="18"/>
              </w:rPr>
            </w:pPr>
            <w:r>
              <w:rPr>
                <w:rFonts w:ascii="Georgia" w:hAnsi="Georgia" w:cs="Arial"/>
                <w:b/>
                <w:sz w:val="18"/>
                <w:szCs w:val="18"/>
              </w:rPr>
              <w:t>11 arba 15</w:t>
            </w:r>
          </w:p>
        </w:tc>
        <w:tc>
          <w:tcPr>
            <w:tcW w:w="612" w:type="pct"/>
            <w:tcBorders>
              <w:left w:val="nil"/>
              <w:right w:val="nil"/>
            </w:tcBorders>
            <w:hideMark/>
          </w:tcPr>
          <w:p w14:paraId="438250A3" w14:textId="77777777" w:rsidR="004521B7" w:rsidRDefault="004521B7" w:rsidP="00B05955">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sz w:val="18"/>
                <w:szCs w:val="18"/>
              </w:rPr>
            </w:pPr>
            <w:r>
              <w:rPr>
                <w:rFonts w:ascii="Georgia" w:hAnsi="Georgia" w:cs="Arial"/>
                <w:b/>
                <w:sz w:val="18"/>
                <w:szCs w:val="18"/>
              </w:rPr>
              <w:t>1</w:t>
            </w:r>
            <w:r w:rsidR="00B05955">
              <w:rPr>
                <w:rFonts w:ascii="Georgia" w:hAnsi="Georgia" w:cs="Arial"/>
                <w:b/>
                <w:sz w:val="18"/>
                <w:szCs w:val="18"/>
              </w:rPr>
              <w:t>7</w:t>
            </w:r>
          </w:p>
        </w:tc>
        <w:tc>
          <w:tcPr>
            <w:tcW w:w="614" w:type="pct"/>
            <w:tcBorders>
              <w:left w:val="nil"/>
              <w:right w:val="nil"/>
            </w:tcBorders>
            <w:hideMark/>
          </w:tcPr>
          <w:p w14:paraId="795C4A50" w14:textId="77777777" w:rsidR="004521B7" w:rsidRDefault="004521B7" w:rsidP="009111B9">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sz w:val="18"/>
                <w:szCs w:val="18"/>
              </w:rPr>
            </w:pPr>
            <w:r>
              <w:rPr>
                <w:rFonts w:ascii="Georgia" w:hAnsi="Georgia" w:cs="Arial"/>
                <w:b/>
                <w:sz w:val="18"/>
                <w:szCs w:val="18"/>
              </w:rPr>
              <w:t>12</w:t>
            </w:r>
          </w:p>
        </w:tc>
        <w:tc>
          <w:tcPr>
            <w:tcW w:w="614" w:type="pct"/>
            <w:tcBorders>
              <w:left w:val="nil"/>
              <w:right w:val="nil"/>
            </w:tcBorders>
            <w:hideMark/>
          </w:tcPr>
          <w:p w14:paraId="649BDBBE" w14:textId="77777777" w:rsidR="004521B7" w:rsidRDefault="004521B7" w:rsidP="009111B9">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sz w:val="18"/>
                <w:szCs w:val="18"/>
              </w:rPr>
            </w:pPr>
            <w:r>
              <w:rPr>
                <w:rFonts w:ascii="Georgia" w:hAnsi="Georgia" w:cs="Arial"/>
                <w:b/>
                <w:sz w:val="18"/>
                <w:szCs w:val="18"/>
              </w:rPr>
              <w:t>17</w:t>
            </w:r>
          </w:p>
        </w:tc>
        <w:tc>
          <w:tcPr>
            <w:tcW w:w="612" w:type="pct"/>
            <w:tcBorders>
              <w:left w:val="nil"/>
              <w:right w:val="nil"/>
            </w:tcBorders>
            <w:hideMark/>
          </w:tcPr>
          <w:p w14:paraId="4A49EB74" w14:textId="77777777" w:rsidR="004521B7" w:rsidRDefault="004521B7" w:rsidP="009111B9">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sz w:val="18"/>
                <w:szCs w:val="18"/>
              </w:rPr>
            </w:pPr>
            <w:r>
              <w:rPr>
                <w:rFonts w:ascii="Georgia" w:hAnsi="Georgia" w:cs="Arial"/>
                <w:b/>
                <w:sz w:val="18"/>
                <w:szCs w:val="18"/>
              </w:rPr>
              <w:t>15</w:t>
            </w:r>
          </w:p>
        </w:tc>
        <w:tc>
          <w:tcPr>
            <w:tcW w:w="638" w:type="pct"/>
            <w:tcBorders>
              <w:left w:val="nil"/>
              <w:right w:val="nil"/>
            </w:tcBorders>
            <w:hideMark/>
          </w:tcPr>
          <w:p w14:paraId="10DA9C68" w14:textId="77777777" w:rsidR="004521B7" w:rsidRDefault="004521B7" w:rsidP="009111B9">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sz w:val="18"/>
                <w:szCs w:val="18"/>
              </w:rPr>
            </w:pPr>
            <w:r>
              <w:rPr>
                <w:rFonts w:ascii="Georgia" w:hAnsi="Georgia" w:cs="Arial"/>
                <w:b/>
                <w:sz w:val="18"/>
                <w:szCs w:val="18"/>
              </w:rPr>
              <w:t>17</w:t>
            </w:r>
          </w:p>
        </w:tc>
        <w:tc>
          <w:tcPr>
            <w:tcW w:w="666" w:type="pct"/>
            <w:tcBorders>
              <w:left w:val="nil"/>
            </w:tcBorders>
            <w:hideMark/>
          </w:tcPr>
          <w:p w14:paraId="2DAEFE66" w14:textId="77777777" w:rsidR="004521B7" w:rsidRDefault="004521B7" w:rsidP="00B05955">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sz w:val="18"/>
                <w:szCs w:val="18"/>
              </w:rPr>
            </w:pPr>
            <w:r>
              <w:rPr>
                <w:rFonts w:ascii="Georgia" w:hAnsi="Georgia" w:cs="Arial"/>
                <w:b/>
                <w:sz w:val="18"/>
                <w:szCs w:val="18"/>
              </w:rPr>
              <w:t>2</w:t>
            </w:r>
            <w:r w:rsidR="00B05955">
              <w:rPr>
                <w:rFonts w:ascii="Georgia" w:hAnsi="Georgia" w:cs="Arial"/>
                <w:b/>
                <w:sz w:val="18"/>
                <w:szCs w:val="18"/>
              </w:rPr>
              <w:t>1</w:t>
            </w:r>
          </w:p>
        </w:tc>
      </w:tr>
    </w:tbl>
    <w:p w14:paraId="33114E5B" w14:textId="77777777" w:rsidR="00FE6564" w:rsidRDefault="00FE6564" w:rsidP="00FE6564">
      <w:pPr>
        <w:rPr>
          <w:lang w:val="lt-LT"/>
        </w:rPr>
      </w:pPr>
    </w:p>
    <w:p w14:paraId="39F7CEA1" w14:textId="77777777" w:rsidR="00FE6564" w:rsidRDefault="00FE6564" w:rsidP="00FE6564">
      <w:pPr>
        <w:rPr>
          <w:lang w:val="lt-LT"/>
        </w:rPr>
      </w:pPr>
    </w:p>
    <w:p w14:paraId="72BEBA98" w14:textId="77777777" w:rsidR="00FE6564" w:rsidRPr="00FE6564" w:rsidRDefault="00FE6564" w:rsidP="00FE6564">
      <w:pPr>
        <w:rPr>
          <w:lang w:val="lt-LT"/>
        </w:rPr>
        <w:sectPr w:rsidR="00FE6564" w:rsidRPr="00FE6564" w:rsidSect="000E66DF">
          <w:pgSz w:w="15840" w:h="12240" w:orient="landscape" w:code="1"/>
          <w:pgMar w:top="1440" w:right="1276" w:bottom="1440" w:left="1440" w:header="709" w:footer="709" w:gutter="0"/>
          <w:cols w:space="1296"/>
        </w:sectPr>
      </w:pPr>
    </w:p>
    <w:p w14:paraId="1A095DB2" w14:textId="77777777" w:rsidR="008E6DE4" w:rsidRDefault="008E6DE4" w:rsidP="00607C98">
      <w:pPr>
        <w:pStyle w:val="Antrat2"/>
        <w:rPr>
          <w:lang w:val="lt-LT"/>
        </w:rPr>
      </w:pPr>
      <w:bookmarkStart w:id="455" w:name="_Toc417378483"/>
      <w:r>
        <w:rPr>
          <w:lang w:val="lt-LT"/>
        </w:rPr>
        <w:lastRenderedPageBreak/>
        <w:t>Priedas Nr. 10. Centrinės valdžios pasatų ir gatvių apšvietimo modernizavimo fondo valdytoj</w:t>
      </w:r>
      <w:r w:rsidR="00607C98">
        <w:rPr>
          <w:lang w:val="lt-LT"/>
        </w:rPr>
        <w:t>o paskyrimo alternatyvų analizė</w:t>
      </w:r>
      <w:bookmarkEnd w:id="455"/>
    </w:p>
    <w:p w14:paraId="745C2E88" w14:textId="77777777" w:rsidR="000E66DF" w:rsidRDefault="000E66DF" w:rsidP="000E66DF">
      <w:pPr>
        <w:rPr>
          <w:lang w:val="lt-LT"/>
        </w:rPr>
      </w:pPr>
    </w:p>
    <w:p w14:paraId="0F721271" w14:textId="77777777" w:rsidR="000E66DF" w:rsidRDefault="000E66DF" w:rsidP="000E66DF">
      <w:p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Analizuojamos septynios finansinės priemonės įgyvendinimo </w:t>
      </w:r>
      <w:r w:rsidR="00502597">
        <w:rPr>
          <w:rFonts w:ascii="Georgia" w:hAnsi="Georgia" w:cs="Georgia"/>
          <w:sz w:val="20"/>
          <w:szCs w:val="20"/>
          <w:lang w:val="lt-LT"/>
        </w:rPr>
        <w:t xml:space="preserve">(administravimo ir valdymo) </w:t>
      </w:r>
      <w:r>
        <w:rPr>
          <w:rFonts w:ascii="Georgia" w:hAnsi="Georgia" w:cs="Georgia"/>
          <w:sz w:val="20"/>
          <w:szCs w:val="20"/>
          <w:lang w:val="lt-LT"/>
        </w:rPr>
        <w:t>alternatyvos:</w:t>
      </w:r>
    </w:p>
    <w:p w14:paraId="263A366B" w14:textId="77777777" w:rsidR="000E66DF" w:rsidRDefault="000E66DF" w:rsidP="002A576D">
      <w:pPr>
        <w:pStyle w:val="Sraopastraipa"/>
        <w:numPr>
          <w:ilvl w:val="0"/>
          <w:numId w:val="105"/>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vadovaujančioji institucija investuoja į esamų ar naujai sukurtų juridinių vienetų, skirtų įgyvendinti finansines priemones, kapitalą (38(4)(a) straipsnis) (toliau – I alternatyva);</w:t>
      </w:r>
    </w:p>
    <w:p w14:paraId="224677A5" w14:textId="77777777" w:rsidR="000E66DF" w:rsidRDefault="000E66DF" w:rsidP="002A576D">
      <w:pPr>
        <w:pStyle w:val="Sraopastraipa"/>
        <w:numPr>
          <w:ilvl w:val="0"/>
          <w:numId w:val="105"/>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vadovaujančioji institucija paveda finansinių priemonių įgyvendinimą kitai institucijai. Ši alternatyva skiriama į tris galimybes (38(4)(b) straipsnis):</w:t>
      </w:r>
    </w:p>
    <w:p w14:paraId="0468C771" w14:textId="77777777" w:rsidR="000E66DF" w:rsidRDefault="000E66DF" w:rsidP="002A576D">
      <w:pPr>
        <w:pStyle w:val="Sraopastraipa"/>
        <w:numPr>
          <w:ilvl w:val="1"/>
          <w:numId w:val="105"/>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EIB grupė (38(4)(b)(i) straipsnis) (toliau – II alternatyva);</w:t>
      </w:r>
    </w:p>
    <w:p w14:paraId="42B7ED01" w14:textId="77777777" w:rsidR="000E66DF" w:rsidRDefault="000E66DF" w:rsidP="002A576D">
      <w:pPr>
        <w:pStyle w:val="Sraopastraipa"/>
        <w:numPr>
          <w:ilvl w:val="1"/>
          <w:numId w:val="105"/>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 xml:space="preserve">tarptautinės finansų įstaigos, kuriose valstybė yra akcininkė (III alternatyva) (vertinami NIB, EBRD, CEB), valstybėje narėje įsteigtos finansų įstaigos, kurių tikslas – siekti viešųjų interesų kontroliuojant valdžios institucijai </w:t>
      </w:r>
      <w:r w:rsidR="00B05955">
        <w:rPr>
          <w:rFonts w:ascii="Georgia" w:hAnsi="Georgia" w:cs="Georgia"/>
          <w:sz w:val="20"/>
          <w:szCs w:val="20"/>
          <w:lang w:val="lt-LT"/>
        </w:rPr>
        <w:t xml:space="preserve"> </w:t>
      </w:r>
      <w:r>
        <w:rPr>
          <w:rFonts w:ascii="Georgia" w:hAnsi="Georgia" w:cs="Georgia"/>
          <w:sz w:val="20"/>
          <w:szCs w:val="20"/>
          <w:lang w:val="lt-LT"/>
        </w:rPr>
        <w:t>(38(4)(b)(ii) straipsnis) (toliau – IV alternatyva)</w:t>
      </w:r>
      <w:r w:rsidR="00B05955" w:rsidRPr="00B05955">
        <w:rPr>
          <w:rFonts w:ascii="Georgia" w:hAnsi="Georgia" w:cs="Georgia"/>
          <w:sz w:val="20"/>
          <w:szCs w:val="20"/>
          <w:lang w:val="lt-LT"/>
        </w:rPr>
        <w:t xml:space="preserve"> </w:t>
      </w:r>
      <w:r w:rsidR="00B05955">
        <w:rPr>
          <w:rFonts w:ascii="Georgia" w:hAnsi="Georgia" w:cs="Georgia"/>
          <w:sz w:val="20"/>
          <w:szCs w:val="20"/>
          <w:lang w:val="lt-LT"/>
        </w:rPr>
        <w:t>(</w:t>
      </w:r>
      <w:r w:rsidR="007609E7">
        <w:rPr>
          <w:rFonts w:ascii="Georgia" w:hAnsi="Georgia" w:cs="Georgia"/>
          <w:sz w:val="20"/>
          <w:szCs w:val="20"/>
          <w:lang w:val="lt-LT"/>
        </w:rPr>
        <w:t>vertinama VIPA, kaip LRV įsteigta finansų įstaiga finansinių priemonių plėtrai analizuojamose srityse)</w:t>
      </w:r>
      <w:r w:rsidR="00B05955">
        <w:rPr>
          <w:rFonts w:ascii="Georgia" w:hAnsi="Georgia" w:cs="Georgia"/>
          <w:sz w:val="20"/>
          <w:szCs w:val="20"/>
          <w:lang w:val="lt-LT"/>
        </w:rPr>
        <w:t>;</w:t>
      </w:r>
    </w:p>
    <w:p w14:paraId="250C069F" w14:textId="77777777" w:rsidR="000E66DF" w:rsidRDefault="000E66DF" w:rsidP="002A576D">
      <w:pPr>
        <w:pStyle w:val="Sraopastraipa"/>
        <w:numPr>
          <w:ilvl w:val="1"/>
          <w:numId w:val="105"/>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viešosios ar privačiosios teisės subjektas (38(4)(b)(iii) straipsnis) (toliau – V alternatyva).</w:t>
      </w:r>
    </w:p>
    <w:p w14:paraId="5966D1A2" w14:textId="77777777" w:rsidR="000E66DF" w:rsidRDefault="000E66DF" w:rsidP="002A576D">
      <w:pPr>
        <w:pStyle w:val="Sraopastraipa"/>
        <w:numPr>
          <w:ilvl w:val="0"/>
          <w:numId w:val="105"/>
        </w:numPr>
        <w:autoSpaceDE w:val="0"/>
        <w:autoSpaceDN w:val="0"/>
        <w:adjustRightInd w:val="0"/>
        <w:spacing w:after="0"/>
        <w:jc w:val="both"/>
        <w:rPr>
          <w:rFonts w:ascii="Georgia" w:hAnsi="Georgia" w:cs="Georgia"/>
          <w:sz w:val="20"/>
          <w:szCs w:val="20"/>
          <w:lang w:val="lt-LT"/>
        </w:rPr>
      </w:pPr>
      <w:r>
        <w:rPr>
          <w:rFonts w:ascii="Georgia" w:hAnsi="Georgia" w:cs="Georgia"/>
          <w:sz w:val="20"/>
          <w:szCs w:val="20"/>
          <w:lang w:val="lt-LT"/>
        </w:rPr>
        <w:t>vadovaujančioji institucija įgyvendina finansines priemones tiesiogiai (38(4)(c)) (toliau – VI alternatyva);</w:t>
      </w:r>
    </w:p>
    <w:p w14:paraId="588525D1" w14:textId="77777777" w:rsidR="000E66DF" w:rsidRPr="000E66DF" w:rsidRDefault="000E66DF" w:rsidP="002A576D">
      <w:pPr>
        <w:pStyle w:val="Sraopastraipa"/>
        <w:numPr>
          <w:ilvl w:val="0"/>
          <w:numId w:val="105"/>
        </w:numPr>
        <w:autoSpaceDE w:val="0"/>
        <w:autoSpaceDN w:val="0"/>
        <w:adjustRightInd w:val="0"/>
        <w:spacing w:after="0"/>
        <w:jc w:val="both"/>
        <w:rPr>
          <w:rFonts w:ascii="Georgia" w:hAnsi="Georgia" w:cs="Georgia"/>
          <w:sz w:val="20"/>
          <w:szCs w:val="20"/>
          <w:lang w:val="lt-LT"/>
        </w:rPr>
      </w:pPr>
      <w:r w:rsidRPr="000E66DF">
        <w:rPr>
          <w:rFonts w:ascii="Georgia" w:hAnsi="Georgia" w:cs="Georgia"/>
          <w:sz w:val="20"/>
          <w:szCs w:val="20"/>
          <w:lang w:val="lt-LT"/>
        </w:rPr>
        <w:t>vadovaujančioji institucija paveda finansinių priemonių įgyvendinimą dviem institucijoms: EIB ir nacionalinei finansų įstaigai kartu (VII alternatyva).</w:t>
      </w:r>
    </w:p>
    <w:p w14:paraId="0708A755" w14:textId="77777777" w:rsidR="000E66DF" w:rsidRDefault="000E66DF" w:rsidP="000E66DF">
      <w:pPr>
        <w:rPr>
          <w:lang w:val="lt-LT"/>
        </w:rPr>
        <w:sectPr w:rsidR="000E66DF" w:rsidSect="000E66DF">
          <w:pgSz w:w="12240" w:h="15840" w:code="1"/>
          <w:pgMar w:top="1440" w:right="1440" w:bottom="1276" w:left="1440" w:header="709" w:footer="709" w:gutter="0"/>
          <w:cols w:space="1296"/>
        </w:sectPr>
      </w:pPr>
    </w:p>
    <w:p w14:paraId="72082AA3" w14:textId="77777777" w:rsidR="000E66DF" w:rsidRPr="000E66DF" w:rsidRDefault="000E66DF" w:rsidP="000E66DF">
      <w:pPr>
        <w:rPr>
          <w:lang w:val="lt-LT"/>
        </w:rPr>
      </w:pPr>
    </w:p>
    <w:tbl>
      <w:tblPr>
        <w:tblStyle w:val="viesussraas2parykinimas3"/>
        <w:tblW w:w="5000" w:type="pct"/>
        <w:tblCellMar>
          <w:left w:w="57" w:type="dxa"/>
          <w:right w:w="57" w:type="dxa"/>
        </w:tblCellMar>
        <w:tblLook w:val="04A0" w:firstRow="1" w:lastRow="0" w:firstColumn="1" w:lastColumn="0" w:noHBand="0" w:noVBand="1"/>
      </w:tblPr>
      <w:tblGrid>
        <w:gridCol w:w="1668"/>
        <w:gridCol w:w="1628"/>
        <w:gridCol w:w="1620"/>
        <w:gridCol w:w="1626"/>
        <w:gridCol w:w="1626"/>
        <w:gridCol w:w="1620"/>
        <w:gridCol w:w="1689"/>
        <w:gridCol w:w="1761"/>
      </w:tblGrid>
      <w:tr w:rsidR="008E6DE4" w14:paraId="49C102F0" w14:textId="77777777" w:rsidTr="004A014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0" w:type="pct"/>
            <w:tcBorders>
              <w:top w:val="single" w:sz="8" w:space="0" w:color="C0504D" w:themeColor="accent2"/>
              <w:left w:val="single" w:sz="8" w:space="0" w:color="C0504D" w:themeColor="accent2"/>
              <w:bottom w:val="nil"/>
              <w:right w:val="nil"/>
            </w:tcBorders>
            <w:hideMark/>
          </w:tcPr>
          <w:p w14:paraId="3E58A959" w14:textId="77777777" w:rsidR="008E6DE4" w:rsidRDefault="008E6DE4">
            <w:pPr>
              <w:jc w:val="center"/>
              <w:rPr>
                <w:rFonts w:ascii="Georgia" w:hAnsi="Georgia" w:cs="Arial"/>
                <w:b w:val="0"/>
                <w:sz w:val="20"/>
                <w:szCs w:val="20"/>
              </w:rPr>
            </w:pPr>
            <w:r>
              <w:rPr>
                <w:rFonts w:ascii="Georgia" w:hAnsi="Georgia" w:cs="Arial"/>
                <w:sz w:val="20"/>
                <w:szCs w:val="20"/>
              </w:rPr>
              <w:t>Vertinimo kriterijus</w:t>
            </w:r>
          </w:p>
        </w:tc>
        <w:tc>
          <w:tcPr>
            <w:tcW w:w="615" w:type="pct"/>
            <w:tcBorders>
              <w:top w:val="single" w:sz="8" w:space="0" w:color="C0504D" w:themeColor="accent2"/>
              <w:left w:val="nil"/>
              <w:bottom w:val="nil"/>
              <w:right w:val="nil"/>
            </w:tcBorders>
            <w:hideMark/>
          </w:tcPr>
          <w:p w14:paraId="6A65982A" w14:textId="77777777" w:rsidR="008E6DE4" w:rsidRDefault="008E6DE4">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20"/>
                <w:szCs w:val="20"/>
              </w:rPr>
            </w:pPr>
            <w:r>
              <w:rPr>
                <w:rFonts w:ascii="Georgia" w:hAnsi="Georgia" w:cs="Arial"/>
                <w:sz w:val="20"/>
                <w:szCs w:val="20"/>
              </w:rPr>
              <w:t>I alternatyva</w:t>
            </w:r>
          </w:p>
        </w:tc>
        <w:tc>
          <w:tcPr>
            <w:tcW w:w="612" w:type="pct"/>
            <w:tcBorders>
              <w:top w:val="single" w:sz="8" w:space="0" w:color="C0504D" w:themeColor="accent2"/>
              <w:left w:val="nil"/>
              <w:bottom w:val="nil"/>
              <w:right w:val="nil"/>
            </w:tcBorders>
            <w:hideMark/>
          </w:tcPr>
          <w:p w14:paraId="568B857B" w14:textId="77777777" w:rsidR="008E6DE4" w:rsidRDefault="008E6DE4">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20"/>
                <w:szCs w:val="20"/>
              </w:rPr>
            </w:pPr>
            <w:r>
              <w:rPr>
                <w:rFonts w:ascii="Georgia" w:hAnsi="Georgia" w:cs="Arial"/>
                <w:sz w:val="20"/>
                <w:szCs w:val="20"/>
              </w:rPr>
              <w:t>II alternatyva</w:t>
            </w:r>
          </w:p>
        </w:tc>
        <w:tc>
          <w:tcPr>
            <w:tcW w:w="614" w:type="pct"/>
            <w:tcBorders>
              <w:top w:val="single" w:sz="8" w:space="0" w:color="C0504D" w:themeColor="accent2"/>
              <w:left w:val="nil"/>
              <w:bottom w:val="nil"/>
              <w:right w:val="nil"/>
            </w:tcBorders>
            <w:hideMark/>
          </w:tcPr>
          <w:p w14:paraId="418CB40C" w14:textId="77777777" w:rsidR="008E6DE4" w:rsidRDefault="008E6DE4">
            <w:pPr>
              <w:jc w:val="cente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III alternatyva</w:t>
            </w:r>
          </w:p>
        </w:tc>
        <w:tc>
          <w:tcPr>
            <w:tcW w:w="614" w:type="pct"/>
            <w:tcBorders>
              <w:top w:val="single" w:sz="8" w:space="0" w:color="C0504D" w:themeColor="accent2"/>
              <w:left w:val="nil"/>
              <w:bottom w:val="nil"/>
              <w:right w:val="nil"/>
            </w:tcBorders>
            <w:hideMark/>
          </w:tcPr>
          <w:p w14:paraId="4DE40D92" w14:textId="77777777" w:rsidR="008E6DE4" w:rsidRDefault="008E6DE4">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20"/>
                <w:szCs w:val="20"/>
              </w:rPr>
            </w:pPr>
            <w:r>
              <w:rPr>
                <w:rFonts w:ascii="Georgia" w:hAnsi="Georgia" w:cs="Arial"/>
                <w:sz w:val="20"/>
                <w:szCs w:val="20"/>
              </w:rPr>
              <w:t>IV alternatyva</w:t>
            </w:r>
          </w:p>
        </w:tc>
        <w:tc>
          <w:tcPr>
            <w:tcW w:w="612" w:type="pct"/>
            <w:tcBorders>
              <w:top w:val="single" w:sz="8" w:space="0" w:color="C0504D" w:themeColor="accent2"/>
              <w:left w:val="nil"/>
              <w:bottom w:val="nil"/>
              <w:right w:val="nil"/>
            </w:tcBorders>
            <w:hideMark/>
          </w:tcPr>
          <w:p w14:paraId="40E97261" w14:textId="77777777" w:rsidR="008E6DE4" w:rsidRDefault="008E6DE4">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20"/>
                <w:szCs w:val="20"/>
              </w:rPr>
            </w:pPr>
            <w:r>
              <w:rPr>
                <w:rFonts w:ascii="Georgia" w:hAnsi="Georgia" w:cs="Arial"/>
                <w:sz w:val="20"/>
                <w:szCs w:val="20"/>
              </w:rPr>
              <w:t>V alternatyva</w:t>
            </w:r>
          </w:p>
        </w:tc>
        <w:tc>
          <w:tcPr>
            <w:tcW w:w="638" w:type="pct"/>
            <w:tcBorders>
              <w:top w:val="single" w:sz="8" w:space="0" w:color="C0504D" w:themeColor="accent2"/>
              <w:left w:val="nil"/>
              <w:bottom w:val="nil"/>
              <w:right w:val="nil"/>
            </w:tcBorders>
            <w:hideMark/>
          </w:tcPr>
          <w:p w14:paraId="56D5D2FF" w14:textId="77777777" w:rsidR="008E6DE4" w:rsidRDefault="008E6DE4">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20"/>
                <w:szCs w:val="20"/>
              </w:rPr>
            </w:pPr>
            <w:r>
              <w:rPr>
                <w:rFonts w:ascii="Georgia" w:hAnsi="Georgia" w:cs="Arial"/>
                <w:sz w:val="20"/>
                <w:szCs w:val="20"/>
              </w:rPr>
              <w:t>VI alternatyva</w:t>
            </w:r>
          </w:p>
        </w:tc>
        <w:tc>
          <w:tcPr>
            <w:tcW w:w="665" w:type="pct"/>
            <w:tcBorders>
              <w:top w:val="single" w:sz="8" w:space="0" w:color="C0504D" w:themeColor="accent2"/>
              <w:left w:val="nil"/>
              <w:bottom w:val="nil"/>
              <w:right w:val="single" w:sz="8" w:space="0" w:color="C0504D" w:themeColor="accent2"/>
            </w:tcBorders>
            <w:hideMark/>
          </w:tcPr>
          <w:p w14:paraId="640C5FB8" w14:textId="77777777" w:rsidR="008E6DE4" w:rsidRDefault="008E6DE4">
            <w:pPr>
              <w:jc w:val="cente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rPr>
            </w:pPr>
            <w:r>
              <w:rPr>
                <w:rFonts w:ascii="Georgia" w:hAnsi="Georgia" w:cs="Arial"/>
                <w:sz w:val="20"/>
                <w:szCs w:val="20"/>
              </w:rPr>
              <w:t>VII alternatyva</w:t>
            </w:r>
          </w:p>
        </w:tc>
      </w:tr>
      <w:tr w:rsidR="008E6DE4" w14:paraId="46108B4E" w14:textId="77777777" w:rsidTr="004A0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vMerge w:val="restart"/>
            <w:tcBorders>
              <w:bottom w:val="nil"/>
              <w:right w:val="nil"/>
            </w:tcBorders>
            <w:hideMark/>
          </w:tcPr>
          <w:p w14:paraId="0C9A9D03" w14:textId="77777777" w:rsidR="008E6DE4" w:rsidRDefault="008E6DE4">
            <w:pPr>
              <w:jc w:val="both"/>
              <w:rPr>
                <w:rFonts w:ascii="Georgia" w:hAnsi="Georgia" w:cs="Arial"/>
                <w:sz w:val="18"/>
                <w:szCs w:val="18"/>
              </w:rPr>
            </w:pPr>
            <w:r>
              <w:rPr>
                <w:rFonts w:ascii="Georgia" w:hAnsi="Georgia" w:cs="Arial"/>
                <w:sz w:val="18"/>
                <w:szCs w:val="18"/>
              </w:rPr>
              <w:t>Operatyvumas</w:t>
            </w:r>
          </w:p>
        </w:tc>
        <w:tc>
          <w:tcPr>
            <w:tcW w:w="615" w:type="pct"/>
            <w:tcBorders>
              <w:left w:val="nil"/>
              <w:right w:val="nil"/>
            </w:tcBorders>
            <w:hideMark/>
          </w:tcPr>
          <w:p w14:paraId="22863E2E"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2" w:type="pct"/>
            <w:tcBorders>
              <w:left w:val="nil"/>
              <w:right w:val="nil"/>
            </w:tcBorders>
            <w:hideMark/>
          </w:tcPr>
          <w:p w14:paraId="130C2622"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4" w:type="pct"/>
            <w:tcBorders>
              <w:left w:val="nil"/>
              <w:right w:val="nil"/>
            </w:tcBorders>
            <w:hideMark/>
          </w:tcPr>
          <w:p w14:paraId="541F9B66"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4" w:type="pct"/>
            <w:tcBorders>
              <w:left w:val="nil"/>
              <w:right w:val="nil"/>
            </w:tcBorders>
            <w:hideMark/>
          </w:tcPr>
          <w:p w14:paraId="5B9988F8" w14:textId="77777777" w:rsidR="008E6DE4" w:rsidRDefault="00E626D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2" w:type="pct"/>
            <w:tcBorders>
              <w:left w:val="nil"/>
              <w:right w:val="nil"/>
            </w:tcBorders>
            <w:hideMark/>
          </w:tcPr>
          <w:p w14:paraId="2C288808"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38" w:type="pct"/>
            <w:tcBorders>
              <w:left w:val="nil"/>
              <w:right w:val="nil"/>
            </w:tcBorders>
            <w:hideMark/>
          </w:tcPr>
          <w:p w14:paraId="29F77100"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65" w:type="pct"/>
            <w:tcBorders>
              <w:left w:val="nil"/>
            </w:tcBorders>
            <w:hideMark/>
          </w:tcPr>
          <w:p w14:paraId="14B6DB87" w14:textId="77777777" w:rsidR="008E6DE4" w:rsidRDefault="008E6DE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r>
      <w:tr w:rsidR="008E6DE4" w14:paraId="086AF7FD" w14:textId="77777777" w:rsidTr="004A014B">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14:paraId="03BD1132" w14:textId="77777777" w:rsidR="008E6DE4" w:rsidRDefault="008E6DE4">
            <w:pPr>
              <w:rPr>
                <w:rFonts w:ascii="Georgia" w:hAnsi="Georgia" w:cs="Arial"/>
                <w:sz w:val="18"/>
                <w:szCs w:val="18"/>
              </w:rPr>
            </w:pPr>
          </w:p>
        </w:tc>
        <w:tc>
          <w:tcPr>
            <w:tcW w:w="615" w:type="pct"/>
            <w:tcBorders>
              <w:top w:val="nil"/>
              <w:left w:val="nil"/>
              <w:bottom w:val="nil"/>
              <w:right w:val="nil"/>
            </w:tcBorders>
            <w:hideMark/>
          </w:tcPr>
          <w:p w14:paraId="0749672F" w14:textId="77777777"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Taikomos LR Valstybės ir savivaldybių turto valdymo, naudojimo ir disponavimo juo įstatyme numatytos procedūros. Finansiniai tarpininkai privalo būti atrinkti per skaidrų, objektyvų ir pagrįstą atrankos procesą. Preliminariai fondo valdytojo paskyrimas truktų apie 6 mėnesius.</w:t>
            </w:r>
          </w:p>
        </w:tc>
        <w:tc>
          <w:tcPr>
            <w:tcW w:w="612" w:type="pct"/>
            <w:tcBorders>
              <w:top w:val="nil"/>
              <w:left w:val="nil"/>
              <w:bottom w:val="nil"/>
              <w:right w:val="nil"/>
            </w:tcBorders>
            <w:hideMark/>
          </w:tcPr>
          <w:p w14:paraId="26083C82" w14:textId="77777777" w:rsidR="008E6DE4" w:rsidRDefault="008E6DE4" w:rsidP="00E626D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Reikalingas vadovaujančiosios institucijos sprendimas. Taip pat reiktų parengti ir suderinti sutartį su EIB (tikėtina, pagal Liuksemburgo teisės reikalavimus). Finansiniai tarpininkai privalo būti atrinkti per skaidrų, objektyvų ir pagrįstą atrankos procesą. Preliminariai fondo valdytojo paskyrimas ir sutarties suderinimas truks apie </w:t>
            </w:r>
            <w:r w:rsidR="00E626D0">
              <w:rPr>
                <w:rFonts w:ascii="Georgia" w:hAnsi="Georgia" w:cs="Arial"/>
                <w:sz w:val="18"/>
                <w:szCs w:val="18"/>
              </w:rPr>
              <w:t>6</w:t>
            </w:r>
            <w:r>
              <w:rPr>
                <w:rFonts w:ascii="Georgia" w:hAnsi="Georgia" w:cs="Arial"/>
                <w:sz w:val="18"/>
                <w:szCs w:val="18"/>
              </w:rPr>
              <w:t xml:space="preserve"> mėn., o finansinių tarpininkų atrankos – apie </w:t>
            </w:r>
            <w:r w:rsidR="00E626D0">
              <w:rPr>
                <w:rFonts w:ascii="Georgia" w:hAnsi="Georgia" w:cs="Arial"/>
                <w:sz w:val="18"/>
                <w:szCs w:val="18"/>
              </w:rPr>
              <w:t>4</w:t>
            </w:r>
            <w:r>
              <w:rPr>
                <w:rFonts w:ascii="Georgia" w:hAnsi="Georgia" w:cs="Arial"/>
                <w:sz w:val="18"/>
                <w:szCs w:val="18"/>
              </w:rPr>
              <w:t xml:space="preserve"> mėn. (galėtų būti pasinaudojama galimybe netaikyti LR viešųjų pirkimų įstatymo nuostatų ir pirkimas vykdomas pagal tarptautinių organizacijų specialiąsias pirkimo procedūras).</w:t>
            </w:r>
          </w:p>
        </w:tc>
        <w:tc>
          <w:tcPr>
            <w:tcW w:w="614" w:type="pct"/>
            <w:tcBorders>
              <w:top w:val="nil"/>
              <w:left w:val="nil"/>
              <w:bottom w:val="nil"/>
              <w:right w:val="nil"/>
            </w:tcBorders>
            <w:hideMark/>
          </w:tcPr>
          <w:p w14:paraId="2506172D" w14:textId="77777777"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Reikalingas vadovaujančiosios institucijos sprendimas. Taip pat reiktų parengti ir suderinti sutartį su tarptautine finansų institucija. Įvertinant tai, jog šiuo metu derybos nevyksta nei su viena tarptautine finansų institucija, fondo valdytojo paskyrimas ir sutarties suderinimas preliminariai truktų apie 6 mėn., o finansinių tarpininkų atrankos – apie 4 mėn. (galėtų būti pasinaudojama galimybe netaikyti LR viešųjų pirkimų įstatymo nuostatų ir pirkimas vykdomas pagal tarptautinių organizacijų specialiąsias pirkimo procedūras).</w:t>
            </w:r>
          </w:p>
        </w:tc>
        <w:tc>
          <w:tcPr>
            <w:tcW w:w="614" w:type="pct"/>
            <w:tcBorders>
              <w:top w:val="nil"/>
              <w:left w:val="nil"/>
              <w:bottom w:val="nil"/>
              <w:right w:val="nil"/>
            </w:tcBorders>
            <w:hideMark/>
          </w:tcPr>
          <w:p w14:paraId="75B3EBEA" w14:textId="77777777" w:rsidR="008E6DE4" w:rsidRDefault="00E626D0" w:rsidP="00E626D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4A014B">
              <w:rPr>
                <w:rFonts w:ascii="Georgia" w:hAnsi="Georgia" w:cs="Arial"/>
                <w:sz w:val="18"/>
                <w:szCs w:val="18"/>
              </w:rPr>
              <w:t xml:space="preserve">Reikalingas vadovaujančiosios institucijos sprendimas. Galimybė taikyti LR Viešųjų pirkimų įstatymo 10 str. 5 d. vidaus sandorio išimtį, kuri ženkliai sutrumpintų atrankos procedūrą. Valdytojas privalo atitikti taikytinus reikalavimus ir nustatytus atrankos kriterijus. Taip pat pagal nacionalinius teisės aktus reiktų parengti ir suderinti sutartį. Finansinių tarpininkų atranka neprivaloma, tačiau galima atsižvelgiant į pridėtinę vertę. Preliminariai fondo valdytojo paskyrimo procedūros ir sutarties suderinimas gali trukti apie 2 mėn. Esant poreikiui finansinių </w:t>
            </w:r>
            <w:r w:rsidRPr="004A014B">
              <w:rPr>
                <w:rFonts w:ascii="Georgia" w:hAnsi="Georgia" w:cs="Arial"/>
                <w:sz w:val="18"/>
                <w:szCs w:val="18"/>
              </w:rPr>
              <w:lastRenderedPageBreak/>
              <w:t>tarpininkų</w:t>
            </w:r>
          </w:p>
        </w:tc>
        <w:tc>
          <w:tcPr>
            <w:tcW w:w="612" w:type="pct"/>
            <w:tcBorders>
              <w:top w:val="nil"/>
              <w:left w:val="nil"/>
              <w:bottom w:val="nil"/>
              <w:right w:val="nil"/>
            </w:tcBorders>
            <w:hideMark/>
          </w:tcPr>
          <w:p w14:paraId="126E76A8" w14:textId="77777777"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lastRenderedPageBreak/>
              <w:t>Subjektas, įgyvendinantis finansinę priemonę, privalo būti atrinktas konkurso būdu, laikantis Bendrųjų nuostatų reglamento nuostatų, pagal taikytinus reikalavimus ir nustatytus atrankos kriterijus. Preliminariai fondo valdytojo konkurso organizavimo procedūros ir sutarties suderinimas gali trukti apie 6 mėn.</w:t>
            </w:r>
          </w:p>
        </w:tc>
        <w:tc>
          <w:tcPr>
            <w:tcW w:w="638" w:type="pct"/>
            <w:tcBorders>
              <w:top w:val="nil"/>
              <w:left w:val="nil"/>
              <w:bottom w:val="nil"/>
              <w:right w:val="nil"/>
            </w:tcBorders>
            <w:hideMark/>
          </w:tcPr>
          <w:p w14:paraId="32CACE3E" w14:textId="77777777" w:rsidR="008E6DE4" w:rsidRDefault="008E6DE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Nėra būtina organizuoti atrankos procedūrą, nes nėra steigiamas fondas. Taip pat nereikia derinti bei pasirašyti sutarties.</w:t>
            </w:r>
          </w:p>
        </w:tc>
        <w:tc>
          <w:tcPr>
            <w:tcW w:w="665" w:type="pct"/>
            <w:tcBorders>
              <w:top w:val="nil"/>
              <w:left w:val="nil"/>
              <w:bottom w:val="nil"/>
              <w:right w:val="single" w:sz="8" w:space="0" w:color="C0504D" w:themeColor="accent2"/>
            </w:tcBorders>
            <w:hideMark/>
          </w:tcPr>
          <w:p w14:paraId="2956F7BE" w14:textId="77777777" w:rsidR="008E6DE4" w:rsidRDefault="008E6DE4" w:rsidP="00E626D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Reikalingas vadovaujančiosios institucijos sprendimas. Nacionalinė finansų įstaiga privalo atitikti taikytinus reikalavimus ir nustatytus atrankos kriterijus. Taip pat pagal nacionalinius teisės aktus reiktų parengti ir suderinti sutartį su visomis sutarties šalimis. Finansinių tarpininkų atranka nebūtina, tačiau, jeigu apsisprendžiama atrinkti finansinius tarpininkus, atranka privalo būti atlikta per skaidrų, objektyvų ir pagrįstą atrankos procesą. Preliminariai fondo valdytojo paskyrimo procedūros ir sutarties suderinimas gali trukti – apie </w:t>
            </w:r>
            <w:r w:rsidR="00E626D0">
              <w:rPr>
                <w:rFonts w:ascii="Georgia" w:hAnsi="Georgia" w:cs="Arial"/>
                <w:sz w:val="18"/>
                <w:szCs w:val="18"/>
              </w:rPr>
              <w:t>6</w:t>
            </w:r>
            <w:r>
              <w:rPr>
                <w:rFonts w:ascii="Georgia" w:hAnsi="Georgia" w:cs="Arial"/>
                <w:sz w:val="18"/>
                <w:szCs w:val="18"/>
              </w:rPr>
              <w:t xml:space="preserve"> mėn. Esant poreikiui finansinių tarpininkų atrankos procedūros – apie 4 mėn. (galėtų būti pasinaudojama galimybe netaikyti </w:t>
            </w:r>
            <w:r>
              <w:rPr>
                <w:rFonts w:ascii="Georgia" w:hAnsi="Georgia" w:cs="Arial"/>
                <w:sz w:val="18"/>
                <w:szCs w:val="18"/>
              </w:rPr>
              <w:lastRenderedPageBreak/>
              <w:t>LR viešųjų pirkimų įstatymo nuostatų).</w:t>
            </w:r>
          </w:p>
        </w:tc>
      </w:tr>
      <w:tr w:rsidR="00E626D0" w14:paraId="272916C5" w14:textId="77777777" w:rsidTr="004A0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vMerge w:val="restart"/>
            <w:tcBorders>
              <w:bottom w:val="nil"/>
              <w:right w:val="nil"/>
            </w:tcBorders>
            <w:hideMark/>
          </w:tcPr>
          <w:p w14:paraId="0AB84EB9" w14:textId="77777777" w:rsidR="00E626D0" w:rsidRDefault="00E626D0">
            <w:pPr>
              <w:rPr>
                <w:rFonts w:ascii="Georgia" w:hAnsi="Georgia" w:cs="Arial"/>
                <w:sz w:val="18"/>
                <w:szCs w:val="18"/>
              </w:rPr>
            </w:pPr>
            <w:r>
              <w:rPr>
                <w:rFonts w:ascii="Georgia" w:hAnsi="Georgia" w:cs="Arial"/>
                <w:sz w:val="18"/>
                <w:szCs w:val="18"/>
              </w:rPr>
              <w:lastRenderedPageBreak/>
              <w:t>Įgyvendinimo kaštai</w:t>
            </w:r>
          </w:p>
        </w:tc>
        <w:tc>
          <w:tcPr>
            <w:tcW w:w="615" w:type="pct"/>
            <w:tcBorders>
              <w:left w:val="nil"/>
              <w:right w:val="nil"/>
            </w:tcBorders>
            <w:hideMark/>
          </w:tcPr>
          <w:p w14:paraId="5BB0D051" w14:textId="77777777" w:rsidR="00E626D0" w:rsidRDefault="00E626D0" w:rsidP="00A72B3E">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r w:rsidR="004A014B">
              <w:rPr>
                <w:rFonts w:ascii="Georgia" w:hAnsi="Georgia" w:cs="Arial"/>
                <w:sz w:val="18"/>
                <w:szCs w:val="18"/>
              </w:rPr>
              <w:t xml:space="preserve"> arba </w:t>
            </w:r>
            <w:r w:rsidR="00A72B3E">
              <w:rPr>
                <w:rFonts w:ascii="Georgia" w:hAnsi="Georgia" w:cs="Arial"/>
                <w:sz w:val="18"/>
                <w:szCs w:val="18"/>
              </w:rPr>
              <w:t>3</w:t>
            </w:r>
          </w:p>
        </w:tc>
        <w:tc>
          <w:tcPr>
            <w:tcW w:w="612" w:type="pct"/>
            <w:tcBorders>
              <w:left w:val="nil"/>
              <w:right w:val="nil"/>
            </w:tcBorders>
            <w:hideMark/>
          </w:tcPr>
          <w:p w14:paraId="2934ADB6" w14:textId="77777777" w:rsidR="00E626D0" w:rsidRDefault="00E626D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4" w:type="pct"/>
            <w:tcBorders>
              <w:left w:val="nil"/>
              <w:right w:val="nil"/>
            </w:tcBorders>
            <w:hideMark/>
          </w:tcPr>
          <w:p w14:paraId="64F8E360" w14:textId="77777777" w:rsidR="00E626D0" w:rsidRDefault="00E626D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4" w:type="pct"/>
            <w:tcBorders>
              <w:left w:val="nil"/>
              <w:right w:val="nil"/>
            </w:tcBorders>
            <w:hideMark/>
          </w:tcPr>
          <w:p w14:paraId="3B37C5EC" w14:textId="77777777" w:rsidR="00E626D0" w:rsidRDefault="00047C41">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12" w:type="pct"/>
            <w:tcBorders>
              <w:left w:val="nil"/>
              <w:right w:val="nil"/>
            </w:tcBorders>
            <w:hideMark/>
          </w:tcPr>
          <w:p w14:paraId="65B0C5B9" w14:textId="77777777" w:rsidR="00E626D0" w:rsidRDefault="00DC1B27">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38" w:type="pct"/>
            <w:tcBorders>
              <w:left w:val="nil"/>
              <w:right w:val="nil"/>
            </w:tcBorders>
            <w:hideMark/>
          </w:tcPr>
          <w:p w14:paraId="499E45FD" w14:textId="77777777" w:rsidR="00E626D0" w:rsidRDefault="00A72B3E">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65" w:type="pct"/>
            <w:tcBorders>
              <w:left w:val="nil"/>
            </w:tcBorders>
            <w:hideMark/>
          </w:tcPr>
          <w:p w14:paraId="57EFD772" w14:textId="77777777" w:rsidR="00E626D0" w:rsidRDefault="008A4729">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r>
      <w:tr w:rsidR="00E626D0" w:rsidRPr="00A72B3E" w14:paraId="0B386A2C" w14:textId="77777777" w:rsidTr="004A014B">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14:paraId="6E5B3BAF" w14:textId="77777777" w:rsidR="00E626D0" w:rsidRDefault="00E626D0">
            <w:pPr>
              <w:rPr>
                <w:rFonts w:ascii="Georgia" w:hAnsi="Georgia" w:cs="Arial"/>
                <w:sz w:val="18"/>
                <w:szCs w:val="18"/>
              </w:rPr>
            </w:pPr>
          </w:p>
        </w:tc>
        <w:tc>
          <w:tcPr>
            <w:tcW w:w="615" w:type="pct"/>
            <w:tcBorders>
              <w:top w:val="nil"/>
              <w:left w:val="nil"/>
              <w:bottom w:val="nil"/>
              <w:right w:val="nil"/>
            </w:tcBorders>
            <w:hideMark/>
          </w:tcPr>
          <w:p w14:paraId="3D0DAAA6" w14:textId="77777777" w:rsidR="00E626D0" w:rsidRDefault="00E626D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Iki teisės aktuose nustatytos didžiausios administravimo mokesčio ribos. Kai pasitelkiami finansiniai tarpininkai, konkurso būdu nustatomi mokesčiai finansiniams tarpininkams. Jei būtų pasirinktas jau veikiantis juridinis asmuo, tai pasirengimo įgyvendinti kaštai vertinami taip pat, kaip ir IV alternatyvos. Jei būtų pasirinktas naujas juridinis asmuo, tai vertinama 1.</w:t>
            </w:r>
          </w:p>
        </w:tc>
        <w:tc>
          <w:tcPr>
            <w:tcW w:w="612" w:type="pct"/>
            <w:tcBorders>
              <w:top w:val="nil"/>
              <w:left w:val="nil"/>
              <w:bottom w:val="nil"/>
              <w:right w:val="nil"/>
            </w:tcBorders>
            <w:hideMark/>
          </w:tcPr>
          <w:p w14:paraId="505888BB" w14:textId="77777777" w:rsidR="00E626D0" w:rsidRPr="00A72B3E" w:rsidRDefault="00E626D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A72B3E">
              <w:rPr>
                <w:rFonts w:ascii="Georgia" w:hAnsi="Georgia" w:cs="Arial"/>
                <w:sz w:val="18"/>
                <w:szCs w:val="18"/>
              </w:rPr>
              <w:t>Iki teisės aktuose nustatytos didžiausios administravimo mokesčio ribos. Taip pat konkurso būdu nustatomi mokesčiai finansiniams tarpininkams. EIB įgyvendinimo kaštus neigiamai įtakoja, tai, jog EIB pagrindinė būstinė yra Liuksemburge, kur taikomi aukštesni įkainiai, taip pat tai lemia papildomas išlaidas susijusias su logistika. EIB turi įgyvendinimui reikalingas sistemas ir procedūras, tačiau jas reiktų inventorizuoti atsižvelgiant į kitokį sektorių pobūdį ir pritaikyti 2014-2020 m. ES finansinio laikotarpio reikalavimams.</w:t>
            </w:r>
          </w:p>
        </w:tc>
        <w:tc>
          <w:tcPr>
            <w:tcW w:w="614" w:type="pct"/>
            <w:tcBorders>
              <w:top w:val="nil"/>
              <w:left w:val="nil"/>
              <w:bottom w:val="nil"/>
              <w:right w:val="nil"/>
            </w:tcBorders>
            <w:hideMark/>
          </w:tcPr>
          <w:p w14:paraId="6F825362" w14:textId="77777777" w:rsidR="00E626D0" w:rsidRPr="00A72B3E" w:rsidRDefault="00E626D0" w:rsidP="00434ED1">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A72B3E">
              <w:rPr>
                <w:rFonts w:ascii="Georgia" w:hAnsi="Georgia" w:cs="Arial"/>
                <w:sz w:val="18"/>
                <w:szCs w:val="18"/>
              </w:rPr>
              <w:t xml:space="preserve">Iki teisės aktuose nustatytos didžiausios administravimo mokesčio ribos. Tikėtina, kad būtų pasitelkiami finansiniai tarpininkai. Tarptautinių finansinių institucijų įgyvendinimo kaštus neigiamai įtakoja, tai, jog jų pagrindinės būstinės yra ne Lietuvoje, o valstybėse kur paprastai taikomi aukštesni įkainiai, taip pat tai lemia papildomas išlaidas susijusias su logistika. </w:t>
            </w:r>
          </w:p>
        </w:tc>
        <w:tc>
          <w:tcPr>
            <w:tcW w:w="614" w:type="pct"/>
            <w:tcBorders>
              <w:top w:val="nil"/>
              <w:left w:val="nil"/>
              <w:bottom w:val="nil"/>
              <w:right w:val="nil"/>
            </w:tcBorders>
            <w:hideMark/>
          </w:tcPr>
          <w:p w14:paraId="75C5D48E" w14:textId="77777777" w:rsidR="00E626D0" w:rsidRPr="00A72B3E" w:rsidRDefault="005340FB" w:rsidP="00DC1B27">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A72B3E">
              <w:rPr>
                <w:rFonts w:ascii="Georgia" w:hAnsi="Georgia" w:cs="Arial"/>
                <w:sz w:val="18"/>
                <w:szCs w:val="18"/>
              </w:rPr>
              <w:t>Iki teisės aktuose nustatytos didžiausios administravimo mokesčio ribos. Įgyvendinimui reikalingos sistemos ir procedūros turi būti adaptuojamos 2014-2020 m. periodui ir naujoms funkcijoms.</w:t>
            </w:r>
          </w:p>
          <w:p w14:paraId="41783276" w14:textId="77777777" w:rsidR="00DC1B27" w:rsidRPr="00A72B3E" w:rsidRDefault="00DC1B27" w:rsidP="00DC1B27">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A72B3E">
              <w:rPr>
                <w:rFonts w:ascii="Georgia" w:hAnsi="Georgia" w:cs="Arial"/>
                <w:sz w:val="18"/>
                <w:szCs w:val="18"/>
              </w:rPr>
              <w:t>Pagal priemonių tipą ir apimtis priemonės gali būti įgyvendinamos be finansinių tarpininkų</w:t>
            </w:r>
            <w:r w:rsidR="00047C41" w:rsidRPr="00A72B3E">
              <w:rPr>
                <w:rFonts w:ascii="Georgia" w:hAnsi="Georgia" w:cs="Arial"/>
                <w:sz w:val="18"/>
                <w:szCs w:val="18"/>
              </w:rPr>
              <w:t>.</w:t>
            </w:r>
          </w:p>
        </w:tc>
        <w:tc>
          <w:tcPr>
            <w:tcW w:w="612" w:type="pct"/>
            <w:tcBorders>
              <w:top w:val="nil"/>
              <w:left w:val="nil"/>
              <w:bottom w:val="nil"/>
              <w:right w:val="nil"/>
            </w:tcBorders>
            <w:hideMark/>
          </w:tcPr>
          <w:p w14:paraId="3B34C1D8" w14:textId="77777777" w:rsidR="00E626D0" w:rsidRPr="00A72B3E" w:rsidRDefault="00DC1B27" w:rsidP="00434ED1">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A72B3E">
              <w:rPr>
                <w:rFonts w:ascii="Georgia" w:hAnsi="Georgia" w:cs="Arial"/>
                <w:sz w:val="18"/>
                <w:szCs w:val="18"/>
              </w:rPr>
              <w:t>Iki teisės aktuose nustatytos didžiausios administravimo mokesčio ribos. Jei pasitelkiami finansiniai tarpininkai, konkurso būdu nustatomi mokesčiai finansiniams tarpininkams. Konkurso būdu gali būti gautas finansiškai naudingiausias pasiūlymas</w:t>
            </w:r>
            <w:r w:rsidR="00E626D0" w:rsidRPr="00A72B3E">
              <w:rPr>
                <w:rFonts w:ascii="Georgia" w:hAnsi="Georgia" w:cs="Arial"/>
                <w:sz w:val="18"/>
                <w:szCs w:val="18"/>
              </w:rPr>
              <w:t>.</w:t>
            </w:r>
          </w:p>
        </w:tc>
        <w:tc>
          <w:tcPr>
            <w:tcW w:w="638" w:type="pct"/>
            <w:tcBorders>
              <w:top w:val="nil"/>
              <w:left w:val="nil"/>
              <w:bottom w:val="nil"/>
              <w:right w:val="nil"/>
            </w:tcBorders>
            <w:hideMark/>
          </w:tcPr>
          <w:p w14:paraId="71FD414D" w14:textId="77777777" w:rsidR="00E626D0" w:rsidRPr="00A72B3E" w:rsidRDefault="00E626D0" w:rsidP="00434ED1">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A72B3E">
              <w:rPr>
                <w:rFonts w:ascii="Georgia" w:hAnsi="Georgia" w:cs="Arial"/>
                <w:sz w:val="18"/>
                <w:szCs w:val="18"/>
              </w:rPr>
              <w:t>Valdymo mokestis nėra tinkamas finansuoti, tačiau valdymo išlaidos padengiamos techninės paramos lėšomis. Funkcijos vykdymui turėtų būti įdarbinami papildomi žmogiškieji ištekliai vadovaujančioje institu</w:t>
            </w:r>
            <w:r w:rsidR="00434ED1" w:rsidRPr="00A72B3E">
              <w:rPr>
                <w:rFonts w:ascii="Georgia" w:hAnsi="Georgia" w:cs="Arial"/>
                <w:sz w:val="18"/>
                <w:szCs w:val="18"/>
              </w:rPr>
              <w:t>cijoje.</w:t>
            </w:r>
          </w:p>
        </w:tc>
        <w:tc>
          <w:tcPr>
            <w:tcW w:w="665" w:type="pct"/>
            <w:tcBorders>
              <w:top w:val="nil"/>
              <w:left w:val="nil"/>
              <w:bottom w:val="nil"/>
              <w:right w:val="single" w:sz="8" w:space="0" w:color="C0504D" w:themeColor="accent2"/>
            </w:tcBorders>
            <w:hideMark/>
          </w:tcPr>
          <w:p w14:paraId="1BBF0BE7" w14:textId="77777777" w:rsidR="00E626D0" w:rsidRPr="00A72B3E" w:rsidRDefault="00E626D0" w:rsidP="00A72B3E">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A72B3E">
              <w:rPr>
                <w:rFonts w:ascii="Georgia" w:hAnsi="Georgia" w:cs="Arial"/>
                <w:sz w:val="18"/>
                <w:szCs w:val="18"/>
              </w:rPr>
              <w:t>Iki teisės aktuose nustatytos didžiausios administravimo mokesčio ribos. Jei pasitelkiami finansiniai tarpininkai, konkurso būdu nustatomi mokesčiai finansiniams tarpininkams</w:t>
            </w:r>
            <w:r w:rsidR="008A4729">
              <w:rPr>
                <w:rFonts w:ascii="Georgia" w:hAnsi="Georgia" w:cs="Arial"/>
                <w:sz w:val="18"/>
                <w:szCs w:val="18"/>
              </w:rPr>
              <w:t xml:space="preserve"> (dalis funkcijų gali būti vykdoma be FT)</w:t>
            </w:r>
            <w:r w:rsidRPr="00A72B3E">
              <w:rPr>
                <w:rFonts w:ascii="Georgia" w:hAnsi="Georgia" w:cs="Arial"/>
                <w:sz w:val="18"/>
                <w:szCs w:val="18"/>
              </w:rPr>
              <w:t xml:space="preserve">. EIB turi įgyvendinimui reikalingas sistemas ir procedūras, tačiau jas reiktų inventorizuoti atsižvelgiant į kitokį sektorių pobūdį ir pritaikyti 2014-2020 m. ES finansinio laikotarpio reikalavimams. </w:t>
            </w:r>
            <w:r w:rsidR="00A72B3E" w:rsidRPr="00A72B3E">
              <w:rPr>
                <w:rFonts w:ascii="Georgia" w:hAnsi="Georgia" w:cs="Arial"/>
                <w:sz w:val="18"/>
                <w:szCs w:val="18"/>
              </w:rPr>
              <w:t>B</w:t>
            </w:r>
            <w:r w:rsidR="00047C41" w:rsidRPr="00A72B3E">
              <w:rPr>
                <w:rFonts w:ascii="Georgia" w:hAnsi="Georgia" w:cs="Arial"/>
                <w:sz w:val="18"/>
                <w:szCs w:val="18"/>
              </w:rPr>
              <w:t>endri kaštai gali būti pakankamai aukšti dėl didesnio tarpinstitucinio bendradarbiavimo poreikio.</w:t>
            </w:r>
          </w:p>
        </w:tc>
      </w:tr>
      <w:tr w:rsidR="004A014B" w14:paraId="0B6C28E8" w14:textId="77777777" w:rsidTr="004A0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vMerge w:val="restart"/>
            <w:tcBorders>
              <w:bottom w:val="nil"/>
              <w:right w:val="nil"/>
            </w:tcBorders>
            <w:hideMark/>
          </w:tcPr>
          <w:p w14:paraId="0E4DD7E1" w14:textId="77777777" w:rsidR="004A014B" w:rsidRDefault="004A014B">
            <w:pPr>
              <w:jc w:val="both"/>
              <w:rPr>
                <w:rFonts w:ascii="Georgia" w:hAnsi="Georgia" w:cs="Arial"/>
                <w:sz w:val="18"/>
                <w:szCs w:val="18"/>
              </w:rPr>
            </w:pPr>
            <w:r>
              <w:rPr>
                <w:rFonts w:ascii="Georgia" w:hAnsi="Georgia" w:cs="Arial"/>
                <w:sz w:val="18"/>
                <w:szCs w:val="18"/>
              </w:rPr>
              <w:t>Patirtis</w:t>
            </w:r>
          </w:p>
        </w:tc>
        <w:tc>
          <w:tcPr>
            <w:tcW w:w="615" w:type="pct"/>
            <w:tcBorders>
              <w:left w:val="nil"/>
              <w:right w:val="nil"/>
            </w:tcBorders>
            <w:hideMark/>
          </w:tcPr>
          <w:p w14:paraId="5B5F8790" w14:textId="77777777" w:rsidR="004A014B" w:rsidRDefault="004A014B">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2" w:type="pct"/>
            <w:tcBorders>
              <w:left w:val="nil"/>
              <w:right w:val="nil"/>
            </w:tcBorders>
            <w:hideMark/>
          </w:tcPr>
          <w:p w14:paraId="7AE07B52" w14:textId="77777777" w:rsidR="004A014B" w:rsidRDefault="00CE0337">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14" w:type="pct"/>
            <w:tcBorders>
              <w:left w:val="nil"/>
              <w:right w:val="nil"/>
            </w:tcBorders>
            <w:hideMark/>
          </w:tcPr>
          <w:p w14:paraId="10E7FB18" w14:textId="77777777" w:rsidR="004A014B" w:rsidRDefault="004A014B">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4" w:type="pct"/>
            <w:tcBorders>
              <w:left w:val="nil"/>
              <w:right w:val="nil"/>
            </w:tcBorders>
            <w:hideMark/>
          </w:tcPr>
          <w:p w14:paraId="2E987667" w14:textId="77777777" w:rsidR="004A014B" w:rsidRDefault="004A014B">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2" w:type="pct"/>
            <w:tcBorders>
              <w:left w:val="nil"/>
              <w:right w:val="nil"/>
            </w:tcBorders>
            <w:hideMark/>
          </w:tcPr>
          <w:p w14:paraId="2A03071D" w14:textId="77777777" w:rsidR="004A014B" w:rsidRDefault="004A014B">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38" w:type="pct"/>
            <w:tcBorders>
              <w:left w:val="nil"/>
              <w:right w:val="nil"/>
            </w:tcBorders>
            <w:hideMark/>
          </w:tcPr>
          <w:p w14:paraId="5134B821" w14:textId="77777777" w:rsidR="004A014B" w:rsidRDefault="004A014B">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65" w:type="pct"/>
            <w:tcBorders>
              <w:left w:val="nil"/>
            </w:tcBorders>
            <w:hideMark/>
          </w:tcPr>
          <w:p w14:paraId="6E88A699" w14:textId="77777777" w:rsidR="004A014B" w:rsidRDefault="007B7CD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r>
      <w:tr w:rsidR="004A014B" w14:paraId="7AD97BD0" w14:textId="77777777" w:rsidTr="004A014B">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14:paraId="4F6A005B" w14:textId="77777777" w:rsidR="004A014B" w:rsidRDefault="004A014B">
            <w:pPr>
              <w:rPr>
                <w:rFonts w:ascii="Georgia" w:hAnsi="Georgia" w:cs="Arial"/>
                <w:sz w:val="18"/>
                <w:szCs w:val="18"/>
              </w:rPr>
            </w:pPr>
          </w:p>
        </w:tc>
        <w:tc>
          <w:tcPr>
            <w:tcW w:w="615" w:type="pct"/>
            <w:tcBorders>
              <w:top w:val="nil"/>
              <w:left w:val="nil"/>
              <w:bottom w:val="nil"/>
              <w:right w:val="nil"/>
            </w:tcBorders>
            <w:hideMark/>
          </w:tcPr>
          <w:p w14:paraId="309C861D" w14:textId="77777777" w:rsidR="004A014B" w:rsidRDefault="004A014B">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Tuo atveju, jei būtų pasirinktas </w:t>
            </w:r>
            <w:r>
              <w:rPr>
                <w:rFonts w:ascii="Georgia" w:hAnsi="Georgia" w:cs="Arial"/>
                <w:sz w:val="18"/>
                <w:szCs w:val="18"/>
              </w:rPr>
              <w:lastRenderedPageBreak/>
              <w:t>jau veikiantis juridinis asmuo, tai šiai alternatyvai suteiktas tam juridiniam asmeniui skirtas vertinimo balas (žr. IV alternatyvos įvertinimą). Jei būtų pasirinktas naujas juridinis asmuo, tai jo patirtis vertinama 1.</w:t>
            </w:r>
          </w:p>
        </w:tc>
        <w:tc>
          <w:tcPr>
            <w:tcW w:w="612" w:type="pct"/>
            <w:tcBorders>
              <w:top w:val="nil"/>
              <w:left w:val="nil"/>
              <w:bottom w:val="nil"/>
              <w:right w:val="nil"/>
            </w:tcBorders>
            <w:hideMark/>
          </w:tcPr>
          <w:p w14:paraId="7FD1E551" w14:textId="77777777" w:rsidR="004A014B" w:rsidRDefault="00CE0337">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lastRenderedPageBreak/>
              <w:t xml:space="preserve">EIB turi didžiausią ES fondo valdytojo </w:t>
            </w:r>
            <w:r>
              <w:rPr>
                <w:rFonts w:ascii="Georgia" w:hAnsi="Georgia" w:cs="Arial"/>
                <w:sz w:val="18"/>
                <w:szCs w:val="18"/>
              </w:rPr>
              <w:lastRenderedPageBreak/>
              <w:t>patirtį įgyvendinant finansines priemones Lietuvoje (JESSICA KF) ir kitose ES valstybėse.</w:t>
            </w:r>
          </w:p>
        </w:tc>
        <w:tc>
          <w:tcPr>
            <w:tcW w:w="614" w:type="pct"/>
            <w:tcBorders>
              <w:top w:val="nil"/>
              <w:left w:val="nil"/>
              <w:bottom w:val="nil"/>
              <w:right w:val="nil"/>
            </w:tcBorders>
            <w:hideMark/>
          </w:tcPr>
          <w:p w14:paraId="32574C03" w14:textId="77777777" w:rsidR="004A014B" w:rsidRDefault="00CE0337">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lastRenderedPageBreak/>
              <w:t xml:space="preserve">Visos nagrinėjamos </w:t>
            </w:r>
            <w:r>
              <w:rPr>
                <w:rFonts w:ascii="Georgia" w:hAnsi="Georgia" w:cs="Arial"/>
                <w:sz w:val="18"/>
                <w:szCs w:val="18"/>
              </w:rPr>
              <w:lastRenderedPageBreak/>
              <w:t>institucijos turi patirties įgyvendinant finansų priemones. Kita vertus, šios institucijos neturi finansinių priemonių valdytojo patirties įgyvendinant ES fondų lėšomis finansuojamas finansines priemones Lietuvoje.</w:t>
            </w:r>
          </w:p>
        </w:tc>
        <w:tc>
          <w:tcPr>
            <w:tcW w:w="614" w:type="pct"/>
            <w:tcBorders>
              <w:top w:val="nil"/>
              <w:left w:val="nil"/>
              <w:bottom w:val="nil"/>
              <w:right w:val="nil"/>
            </w:tcBorders>
            <w:hideMark/>
          </w:tcPr>
          <w:p w14:paraId="5A0BE508" w14:textId="77777777" w:rsidR="004A014B" w:rsidRDefault="004A014B">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lastRenderedPageBreak/>
              <w:t xml:space="preserve">VIPA turi finansinio </w:t>
            </w:r>
            <w:r>
              <w:rPr>
                <w:rFonts w:ascii="Georgia" w:hAnsi="Georgia" w:cs="Arial"/>
                <w:sz w:val="18"/>
                <w:szCs w:val="18"/>
              </w:rPr>
              <w:lastRenderedPageBreak/>
              <w:t>tarpininko patirties įgyvendinant projektus finansuojamus ES fondų lėšomis per finansines priemones. Nuo VIPA įsteigimo, kompetencijos ir patirtis kaupiama specializuojantis tik į viešajai infrastruktūrai skirtų finansinių priemonių įgyvendinimą, kadangi VIPA buvo tam tikslui įsteigta finansų įstaiga ir šios veiklos yra apibrėžtos VIPA įstatuose.</w:t>
            </w:r>
          </w:p>
        </w:tc>
        <w:tc>
          <w:tcPr>
            <w:tcW w:w="612" w:type="pct"/>
            <w:tcBorders>
              <w:top w:val="nil"/>
              <w:left w:val="nil"/>
              <w:bottom w:val="nil"/>
              <w:right w:val="nil"/>
            </w:tcBorders>
            <w:hideMark/>
          </w:tcPr>
          <w:p w14:paraId="155E4ADC" w14:textId="77777777" w:rsidR="004A014B" w:rsidRDefault="00CE0337">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lastRenderedPageBreak/>
              <w:t xml:space="preserve">Kai kurie komerciniai </w:t>
            </w:r>
            <w:r>
              <w:rPr>
                <w:rFonts w:ascii="Georgia" w:hAnsi="Georgia" w:cs="Arial"/>
                <w:sz w:val="18"/>
                <w:szCs w:val="18"/>
              </w:rPr>
              <w:lastRenderedPageBreak/>
              <w:t xml:space="preserve">bankai turi finansinio tarpininko patirties įgyvendinant ES fondų lėšomis finansuojamas finansines priemones skirtas daugiabučių renovacijai. Taip pat komerciniai bankai, investicijų valdymo bendrovės ir t.t. turi įvairių fondų valdymo patirties. CPVA turi finansinio tarpininko patirties įgyvendinant daugiabučių namų ir bendrabučių modernizavimo projektus finansuojamus ES fondų lėšomis, taip pat turi Pasaulio banko lėšomis finansuotos daugiabučių namų renovacijos įgyvendinimo patirties bei didelę įvairių subsidinių viešojo sektoriaus programų įgyvendinimo patirtį. Minimalūs kvalifikaciniai </w:t>
            </w:r>
            <w:r>
              <w:rPr>
                <w:rFonts w:ascii="Georgia" w:hAnsi="Georgia" w:cs="Arial"/>
                <w:sz w:val="18"/>
                <w:szCs w:val="18"/>
              </w:rPr>
              <w:lastRenderedPageBreak/>
              <w:t>reikalavimai būtų nustatyti konkurso sąlygose, tačiau pagal VPĮ patirtis negali būti ekonominio naudingumo vertinimo kriterijus.</w:t>
            </w:r>
          </w:p>
        </w:tc>
        <w:tc>
          <w:tcPr>
            <w:tcW w:w="638" w:type="pct"/>
            <w:tcBorders>
              <w:top w:val="nil"/>
              <w:left w:val="nil"/>
              <w:bottom w:val="nil"/>
              <w:right w:val="nil"/>
            </w:tcBorders>
            <w:hideMark/>
          </w:tcPr>
          <w:p w14:paraId="5D6AA36D" w14:textId="77777777" w:rsidR="004A014B" w:rsidRDefault="004A014B">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lastRenderedPageBreak/>
              <w:t xml:space="preserve">Vadovaujančioji institucija rengia </w:t>
            </w:r>
            <w:r>
              <w:rPr>
                <w:rFonts w:ascii="Georgia" w:hAnsi="Georgia" w:cs="Arial"/>
                <w:sz w:val="18"/>
                <w:szCs w:val="18"/>
              </w:rPr>
              <w:lastRenderedPageBreak/>
              <w:t xml:space="preserve">finansinių priemonių įgyvendinimo taisykles, kitus ES fondų lėšų panaudojimą reglamentuojančius teisės aktus. Nors vadovaujanti institucija didžiosios dalies ESI fondų lėšų investavimą organizuoja per tarpines institucijas, tačiau Finansų ministerija taip pat turi didelę patirtį tiesiogiai teikiant paskolas (pvz., trumpalaikės ir ilgalaikės paskolos savivaldybėms, valstybės ir savivaldybių įstaigoms, EIB paskolas projektų bendrajam finansavimui transporto, energetikos, aplinkosaugos, inovacijų ir kitose srityse pagal 2007-2013 m. laikotarpio Žmogiškųjų išteklių plėtros, Ekonomikos augimo ir Sanglaudos skatinimo veiksmų </w:t>
            </w:r>
            <w:r>
              <w:rPr>
                <w:rFonts w:ascii="Georgia" w:hAnsi="Georgia" w:cs="Arial"/>
                <w:sz w:val="18"/>
                <w:szCs w:val="18"/>
              </w:rPr>
              <w:lastRenderedPageBreak/>
              <w:t>programas).</w:t>
            </w:r>
          </w:p>
        </w:tc>
        <w:tc>
          <w:tcPr>
            <w:tcW w:w="665" w:type="pct"/>
            <w:tcBorders>
              <w:top w:val="nil"/>
              <w:left w:val="nil"/>
              <w:bottom w:val="nil"/>
              <w:right w:val="single" w:sz="8" w:space="0" w:color="C0504D" w:themeColor="accent2"/>
            </w:tcBorders>
            <w:hideMark/>
          </w:tcPr>
          <w:p w14:paraId="5F0C6DB4" w14:textId="77777777" w:rsidR="004A014B" w:rsidRDefault="004A014B">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lastRenderedPageBreak/>
              <w:t xml:space="preserve">EIB turi didelę fondo valdytojo </w:t>
            </w:r>
            <w:r>
              <w:rPr>
                <w:rFonts w:ascii="Georgia" w:hAnsi="Georgia" w:cs="Arial"/>
                <w:sz w:val="18"/>
                <w:szCs w:val="18"/>
              </w:rPr>
              <w:lastRenderedPageBreak/>
              <w:t>patirtį įgyvendinant JESSICA finansines priemones Lietuvoje (JESSICA KF) ir kitose ES valstybėse. VIPA turi finansinio tarpininko patirties įgyvendinant projektus finansuojamus ES fondų lėšomis per finansines priemones. Nuo VIPA įsteigimo, kompetencijos ir patirtis kaupiama specializuojantis tik į viešajai infrastruktūrai skirtų finansinių priemonių įgyvendinimą, kadangi VIPA buvo tam tikslui įsteigta finansų įstaiga ir šios veiklos yra apibrėžtos VIPA įstatuose.</w:t>
            </w:r>
          </w:p>
        </w:tc>
      </w:tr>
      <w:tr w:rsidR="00CE0337" w14:paraId="7109B237" w14:textId="77777777" w:rsidTr="004A0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vMerge w:val="restart"/>
            <w:tcBorders>
              <w:bottom w:val="nil"/>
              <w:right w:val="nil"/>
            </w:tcBorders>
            <w:hideMark/>
          </w:tcPr>
          <w:p w14:paraId="046FCA36" w14:textId="77777777" w:rsidR="00CE0337" w:rsidRDefault="00CE0337">
            <w:pPr>
              <w:jc w:val="both"/>
              <w:rPr>
                <w:rFonts w:ascii="Georgia" w:hAnsi="Georgia" w:cs="Arial"/>
                <w:sz w:val="18"/>
                <w:szCs w:val="18"/>
              </w:rPr>
            </w:pPr>
            <w:r>
              <w:rPr>
                <w:rFonts w:ascii="Georgia" w:hAnsi="Georgia" w:cs="Arial"/>
                <w:sz w:val="18"/>
                <w:szCs w:val="18"/>
              </w:rPr>
              <w:lastRenderedPageBreak/>
              <w:t>Ištekliai</w:t>
            </w:r>
          </w:p>
        </w:tc>
        <w:tc>
          <w:tcPr>
            <w:tcW w:w="615" w:type="pct"/>
            <w:tcBorders>
              <w:left w:val="nil"/>
              <w:right w:val="nil"/>
            </w:tcBorders>
            <w:hideMark/>
          </w:tcPr>
          <w:p w14:paraId="4FAD1F9B" w14:textId="77777777" w:rsidR="00CE0337" w:rsidRDefault="00CE0337">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r w:rsidR="008C091B">
              <w:rPr>
                <w:rFonts w:ascii="Georgia" w:hAnsi="Georgia" w:cs="Arial"/>
                <w:sz w:val="18"/>
                <w:szCs w:val="18"/>
              </w:rPr>
              <w:t xml:space="preserve"> arba 2</w:t>
            </w:r>
          </w:p>
        </w:tc>
        <w:tc>
          <w:tcPr>
            <w:tcW w:w="612" w:type="pct"/>
            <w:tcBorders>
              <w:left w:val="nil"/>
              <w:right w:val="nil"/>
            </w:tcBorders>
            <w:hideMark/>
          </w:tcPr>
          <w:p w14:paraId="3FA25AAB" w14:textId="77777777" w:rsidR="00CE0337" w:rsidRDefault="008A4729">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14" w:type="pct"/>
            <w:tcBorders>
              <w:left w:val="nil"/>
              <w:right w:val="nil"/>
            </w:tcBorders>
            <w:hideMark/>
          </w:tcPr>
          <w:p w14:paraId="527D3866" w14:textId="77777777" w:rsidR="00CE0337" w:rsidRDefault="00CE0337">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4" w:type="pct"/>
            <w:tcBorders>
              <w:left w:val="nil"/>
              <w:right w:val="nil"/>
            </w:tcBorders>
            <w:hideMark/>
          </w:tcPr>
          <w:p w14:paraId="28E97893" w14:textId="77777777" w:rsidR="00CE0337" w:rsidRDefault="008A4729">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2" w:type="pct"/>
            <w:tcBorders>
              <w:left w:val="nil"/>
              <w:right w:val="nil"/>
            </w:tcBorders>
            <w:hideMark/>
          </w:tcPr>
          <w:p w14:paraId="1FC358E0" w14:textId="77777777" w:rsidR="00CE0337" w:rsidRDefault="009F202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38" w:type="pct"/>
            <w:tcBorders>
              <w:left w:val="nil"/>
              <w:right w:val="nil"/>
            </w:tcBorders>
            <w:hideMark/>
          </w:tcPr>
          <w:p w14:paraId="24354911" w14:textId="77777777" w:rsidR="00CE0337" w:rsidRDefault="009F2024">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65" w:type="pct"/>
            <w:tcBorders>
              <w:left w:val="nil"/>
            </w:tcBorders>
            <w:hideMark/>
          </w:tcPr>
          <w:p w14:paraId="2B40D3CA" w14:textId="77777777" w:rsidR="00CE0337" w:rsidRDefault="008A4729">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r>
      <w:tr w:rsidR="00CE0337" w14:paraId="729A607E" w14:textId="77777777" w:rsidTr="004A014B">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14:paraId="1C06CCE9" w14:textId="77777777" w:rsidR="00CE0337" w:rsidRDefault="00CE0337">
            <w:pPr>
              <w:rPr>
                <w:rFonts w:ascii="Georgia" w:hAnsi="Georgia" w:cs="Arial"/>
                <w:sz w:val="18"/>
                <w:szCs w:val="18"/>
              </w:rPr>
            </w:pPr>
          </w:p>
        </w:tc>
        <w:tc>
          <w:tcPr>
            <w:tcW w:w="615" w:type="pct"/>
            <w:tcBorders>
              <w:top w:val="nil"/>
              <w:left w:val="nil"/>
              <w:bottom w:val="nil"/>
              <w:right w:val="nil"/>
            </w:tcBorders>
            <w:hideMark/>
          </w:tcPr>
          <w:p w14:paraId="4BEFD3E5" w14:textId="77777777" w:rsidR="00CE0337" w:rsidRDefault="00CE0337">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Tuo atveju, jei būtų pasirinktas jau veikiantis juridinis asmuo, tuomet šiai alternatyvai suteikiamas tam juridiniam asmeniui skirtas vertinimo balas (žr. IV alternatyvos įvertinimą). Jei būtų pasirinktas naujas juridinis asmuo, tai jo ištekliai vertinami 1.</w:t>
            </w:r>
          </w:p>
        </w:tc>
        <w:tc>
          <w:tcPr>
            <w:tcW w:w="612" w:type="pct"/>
            <w:tcBorders>
              <w:top w:val="nil"/>
              <w:left w:val="nil"/>
              <w:bottom w:val="nil"/>
              <w:right w:val="nil"/>
            </w:tcBorders>
            <w:hideMark/>
          </w:tcPr>
          <w:p w14:paraId="4AA0DC72" w14:textId="77777777" w:rsidR="00CE0337" w:rsidRDefault="00CE0337">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EIB turi kompetentingus žmogiškuosius išteklius, tačiau EIB pagrindinė būstinė ir pagrindinis personalas yra Liuksemburge. Kartais tai sudaro nepatogumus dirbant su suinteresuotomis šalimis (pvz., apribotos tiesioginio bendravimo galimybės, reti investicinių komitetų posėdžiai, ilgos derybos su finansiniais tarpininkais). Taip pat tai lemia aukštus žmogiškųjų išteklių įkainius (ribotus galimus skirti išteklius atsižvelgiant į galimą maksimalų </w:t>
            </w:r>
            <w:r>
              <w:rPr>
                <w:rFonts w:ascii="Georgia" w:hAnsi="Georgia" w:cs="Arial"/>
                <w:sz w:val="18"/>
                <w:szCs w:val="18"/>
              </w:rPr>
              <w:lastRenderedPageBreak/>
              <w:t xml:space="preserve">valdymo mokestį) ir papildomas išlaidas (vertimai, logistika). </w:t>
            </w:r>
            <w:r w:rsidR="00494D1D">
              <w:rPr>
                <w:rFonts w:ascii="Georgia" w:hAnsi="Georgia" w:cs="Arial"/>
                <w:sz w:val="18"/>
                <w:szCs w:val="18"/>
              </w:rPr>
              <w:t>Išteklių naudojimą gali riboti valdymo mokesčio ribos.</w:t>
            </w:r>
          </w:p>
        </w:tc>
        <w:tc>
          <w:tcPr>
            <w:tcW w:w="614" w:type="pct"/>
            <w:tcBorders>
              <w:top w:val="nil"/>
              <w:left w:val="nil"/>
              <w:bottom w:val="nil"/>
              <w:right w:val="nil"/>
            </w:tcBorders>
            <w:hideMark/>
          </w:tcPr>
          <w:p w14:paraId="1835DC9B" w14:textId="77777777" w:rsidR="00CE0337" w:rsidRDefault="00CE0337" w:rsidP="008C091B">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lastRenderedPageBreak/>
              <w:t xml:space="preserve">Tarptautinės finansų institucijos turi kompetentingus žmogiškuosius išteklius, tačiau jų pagrindinės būstinės ir pagrindinis personalas yra ne Lietuvoje. </w:t>
            </w:r>
            <w:r w:rsidR="008C091B">
              <w:rPr>
                <w:rFonts w:ascii="Georgia" w:hAnsi="Georgia" w:cs="Arial"/>
                <w:sz w:val="18"/>
                <w:szCs w:val="18"/>
              </w:rPr>
              <w:t>T</w:t>
            </w:r>
            <w:r>
              <w:rPr>
                <w:rFonts w:ascii="Georgia" w:hAnsi="Georgia" w:cs="Arial"/>
                <w:sz w:val="18"/>
                <w:szCs w:val="18"/>
              </w:rPr>
              <w:t xml:space="preserve">ai gali sudaryti nepatogumų dirbant su suinteresuotomis šalimis (pvz., apribotos tiesioginio bendravimo galimybės, reti investicinių komitetų posėdžiai, ilgos derybos su finansiniais tarpininkais). Taip pat tai lemia aukštus žmogiškųjų išteklių įkainius (ribotus galimus skirti išteklius </w:t>
            </w:r>
            <w:r>
              <w:rPr>
                <w:rFonts w:ascii="Georgia" w:hAnsi="Georgia" w:cs="Arial"/>
                <w:sz w:val="18"/>
                <w:szCs w:val="18"/>
              </w:rPr>
              <w:lastRenderedPageBreak/>
              <w:t xml:space="preserve">atsižvelgiant į galimą maksimalų valdymo mokestį) ir papildomas išlaidas (vertimai, logistika). </w:t>
            </w:r>
          </w:p>
        </w:tc>
        <w:tc>
          <w:tcPr>
            <w:tcW w:w="614" w:type="pct"/>
            <w:tcBorders>
              <w:top w:val="nil"/>
              <w:left w:val="nil"/>
              <w:bottom w:val="nil"/>
              <w:right w:val="nil"/>
            </w:tcBorders>
            <w:hideMark/>
          </w:tcPr>
          <w:p w14:paraId="655CDBF5" w14:textId="77777777" w:rsidR="00CE0337" w:rsidRPr="00494D1D" w:rsidRDefault="009F202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494D1D">
              <w:rPr>
                <w:rFonts w:ascii="Georgia" w:hAnsi="Georgia" w:cs="Arial"/>
                <w:sz w:val="18"/>
                <w:szCs w:val="18"/>
              </w:rPr>
              <w:lastRenderedPageBreak/>
              <w:t xml:space="preserve">VIPA turi žmogiškuosius išteklius turinčius kompetencijų tiek finansinių priemonių įgyvendinime, ESI fondų administravime, tiek ir tiksliniuose sektoriuose. Nuo VIPA įsteigimo, kompetencijos ir patirtis kaupiama specializuojantis tik į viešajai infrastruktūrai skirtų finansinių priemonių įgyvendinimą. VIPA ištekliai sąlyginai nesunkiai gali būti planuojamai pagal programų įgyvendinimui reikalingą poreikį ir administravimo mokesčio dydį, tačiau išteklių apimtis riboja kompetentingų </w:t>
            </w:r>
            <w:r w:rsidRPr="00494D1D">
              <w:rPr>
                <w:rFonts w:ascii="Georgia" w:hAnsi="Georgia" w:cs="Arial"/>
                <w:sz w:val="18"/>
                <w:szCs w:val="18"/>
              </w:rPr>
              <w:lastRenderedPageBreak/>
              <w:t>specialistų pasiūla darbo rinkoje.</w:t>
            </w:r>
          </w:p>
        </w:tc>
        <w:tc>
          <w:tcPr>
            <w:tcW w:w="612" w:type="pct"/>
            <w:tcBorders>
              <w:top w:val="nil"/>
              <w:left w:val="nil"/>
              <w:bottom w:val="nil"/>
              <w:right w:val="nil"/>
            </w:tcBorders>
            <w:hideMark/>
          </w:tcPr>
          <w:p w14:paraId="366F21F1" w14:textId="77777777" w:rsidR="00CE0337" w:rsidRPr="00494D1D" w:rsidRDefault="009F202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494D1D">
              <w:rPr>
                <w:rFonts w:ascii="Georgia" w:hAnsi="Georgia" w:cs="Arial"/>
                <w:sz w:val="18"/>
                <w:szCs w:val="18"/>
              </w:rPr>
              <w:lastRenderedPageBreak/>
              <w:t>Nėra aišku, kurios institucijos / organizacijos dalyvautų fondo valdytojo atrankos konkurse organizuojamame pagal LR viešųjų pirkimų įstatymo nuostatas. Siūlomos komandos kompetencijos įvertinimas turėtų būti įtrauktas kaip vienas iš kvalifikacinių, bet ne ekonominio naudingumo kriterijų</w:t>
            </w:r>
          </w:p>
        </w:tc>
        <w:tc>
          <w:tcPr>
            <w:tcW w:w="638" w:type="pct"/>
            <w:tcBorders>
              <w:top w:val="nil"/>
              <w:left w:val="nil"/>
              <w:bottom w:val="nil"/>
              <w:right w:val="nil"/>
            </w:tcBorders>
            <w:hideMark/>
          </w:tcPr>
          <w:p w14:paraId="6075EF85" w14:textId="77777777" w:rsidR="00CE0337" w:rsidRDefault="00CE0337">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Papildomi apribojimai dėl valstybės tarnybai taikomų reikalavimų ir bendros pozicijos dėl viešojo sektoriaus darbuotojų skaičiaus didinimo. </w:t>
            </w:r>
          </w:p>
        </w:tc>
        <w:tc>
          <w:tcPr>
            <w:tcW w:w="665" w:type="pct"/>
            <w:tcBorders>
              <w:top w:val="nil"/>
              <w:left w:val="nil"/>
              <w:bottom w:val="nil"/>
              <w:right w:val="single" w:sz="8" w:space="0" w:color="C0504D" w:themeColor="accent2"/>
            </w:tcBorders>
            <w:hideMark/>
          </w:tcPr>
          <w:p w14:paraId="27729A68" w14:textId="77777777" w:rsidR="00CE0337" w:rsidRDefault="00CE0337" w:rsidP="00494D1D">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EIB turi kompetentingus žmogiškuosius išteklius, tačiau EIB pagrindinė būstinė ir pagrindinis personalas yra Liuksemburge. VIPA turi žmogiškuosius išteklius turinčius kompetencijų tiek finansinių priemonių įgyvendinime, tiek ir tiksliniuose sektoriuose.</w:t>
            </w:r>
            <w:r w:rsidR="009F2024">
              <w:rPr>
                <w:rFonts w:ascii="Georgia" w:hAnsi="Georgia" w:cs="Arial"/>
                <w:sz w:val="18"/>
                <w:szCs w:val="18"/>
              </w:rPr>
              <w:t xml:space="preserve"> Bendradarbiaujant </w:t>
            </w:r>
            <w:r w:rsidR="00100EF9">
              <w:rPr>
                <w:rFonts w:ascii="Georgia" w:hAnsi="Georgia" w:cs="Arial"/>
                <w:sz w:val="18"/>
                <w:szCs w:val="18"/>
              </w:rPr>
              <w:t>dviem</w:t>
            </w:r>
            <w:r w:rsidR="009F2024">
              <w:rPr>
                <w:rFonts w:ascii="Georgia" w:hAnsi="Georgia" w:cs="Arial"/>
                <w:sz w:val="18"/>
                <w:szCs w:val="18"/>
              </w:rPr>
              <w:t xml:space="preserve"> institucijoms naudotinus išteklius ribotų valdymo mokesčio ribos, kurios yra </w:t>
            </w:r>
            <w:r w:rsidR="00100EF9">
              <w:rPr>
                <w:rFonts w:ascii="Georgia" w:hAnsi="Georgia" w:cs="Arial"/>
                <w:sz w:val="18"/>
                <w:szCs w:val="18"/>
              </w:rPr>
              <w:t>ypač</w:t>
            </w:r>
            <w:r w:rsidR="009F2024">
              <w:rPr>
                <w:rFonts w:ascii="Georgia" w:hAnsi="Georgia" w:cs="Arial"/>
                <w:sz w:val="18"/>
                <w:szCs w:val="18"/>
              </w:rPr>
              <w:t xml:space="preserve"> aktualios </w:t>
            </w:r>
            <w:r w:rsidR="00494D1D">
              <w:rPr>
                <w:rFonts w:ascii="Georgia" w:hAnsi="Georgia" w:cs="Arial"/>
                <w:sz w:val="18"/>
                <w:szCs w:val="18"/>
              </w:rPr>
              <w:t>administruojant mažesnes priemones</w:t>
            </w:r>
            <w:r w:rsidR="009F2024">
              <w:rPr>
                <w:rFonts w:ascii="Georgia" w:hAnsi="Georgia" w:cs="Arial"/>
                <w:sz w:val="18"/>
                <w:szCs w:val="18"/>
              </w:rPr>
              <w:t>.</w:t>
            </w:r>
          </w:p>
        </w:tc>
      </w:tr>
      <w:tr w:rsidR="008C091B" w14:paraId="4EBA191B" w14:textId="77777777" w:rsidTr="004A0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vMerge w:val="restart"/>
            <w:tcBorders>
              <w:bottom w:val="nil"/>
              <w:right w:val="nil"/>
            </w:tcBorders>
            <w:hideMark/>
          </w:tcPr>
          <w:p w14:paraId="2774C460" w14:textId="77777777" w:rsidR="008C091B" w:rsidRDefault="008C091B">
            <w:pPr>
              <w:rPr>
                <w:rFonts w:ascii="Georgia" w:hAnsi="Georgia" w:cs="Arial"/>
                <w:sz w:val="18"/>
                <w:szCs w:val="18"/>
              </w:rPr>
            </w:pPr>
            <w:r>
              <w:rPr>
                <w:rFonts w:ascii="Georgia" w:hAnsi="Georgia" w:cs="Arial"/>
                <w:sz w:val="18"/>
                <w:szCs w:val="18"/>
              </w:rPr>
              <w:lastRenderedPageBreak/>
              <w:t>Lankstumas</w:t>
            </w:r>
          </w:p>
        </w:tc>
        <w:tc>
          <w:tcPr>
            <w:tcW w:w="615" w:type="pct"/>
            <w:tcBorders>
              <w:left w:val="nil"/>
              <w:right w:val="nil"/>
            </w:tcBorders>
            <w:hideMark/>
          </w:tcPr>
          <w:p w14:paraId="459E616E" w14:textId="77777777" w:rsidR="008C091B" w:rsidRDefault="008C091B">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2" w:type="pct"/>
            <w:tcBorders>
              <w:left w:val="nil"/>
              <w:right w:val="nil"/>
            </w:tcBorders>
            <w:hideMark/>
          </w:tcPr>
          <w:p w14:paraId="680C8888" w14:textId="77777777" w:rsidR="008C091B" w:rsidRDefault="008C091B">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4" w:type="pct"/>
            <w:tcBorders>
              <w:left w:val="nil"/>
              <w:right w:val="nil"/>
            </w:tcBorders>
            <w:hideMark/>
          </w:tcPr>
          <w:p w14:paraId="43DEC5DD" w14:textId="77777777" w:rsidR="008C091B" w:rsidRDefault="008C091B">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4" w:type="pct"/>
            <w:tcBorders>
              <w:left w:val="nil"/>
              <w:right w:val="nil"/>
            </w:tcBorders>
            <w:hideMark/>
          </w:tcPr>
          <w:p w14:paraId="54597DCF" w14:textId="77777777" w:rsidR="008C091B" w:rsidRDefault="008C091B">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12" w:type="pct"/>
            <w:tcBorders>
              <w:left w:val="nil"/>
              <w:right w:val="nil"/>
            </w:tcBorders>
            <w:hideMark/>
          </w:tcPr>
          <w:p w14:paraId="083C55D4" w14:textId="77777777" w:rsidR="008C091B" w:rsidRDefault="008C091B">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38" w:type="pct"/>
            <w:tcBorders>
              <w:left w:val="nil"/>
              <w:right w:val="nil"/>
            </w:tcBorders>
            <w:hideMark/>
          </w:tcPr>
          <w:p w14:paraId="0DB56183" w14:textId="77777777" w:rsidR="008C091B" w:rsidRDefault="00205ACC">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65" w:type="pct"/>
            <w:tcBorders>
              <w:left w:val="nil"/>
            </w:tcBorders>
            <w:hideMark/>
          </w:tcPr>
          <w:p w14:paraId="026A9A9D" w14:textId="77777777" w:rsidR="008C091B" w:rsidRDefault="00205ACC">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8A4729">
              <w:rPr>
                <w:rFonts w:ascii="Georgia" w:hAnsi="Georgia" w:cs="Arial"/>
                <w:sz w:val="18"/>
                <w:szCs w:val="18"/>
              </w:rPr>
              <w:t>3</w:t>
            </w:r>
          </w:p>
        </w:tc>
      </w:tr>
      <w:tr w:rsidR="008C091B" w14:paraId="513781E0" w14:textId="77777777" w:rsidTr="004A014B">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14:paraId="5461F0C2" w14:textId="77777777" w:rsidR="008C091B" w:rsidRDefault="008C091B">
            <w:pPr>
              <w:rPr>
                <w:rFonts w:ascii="Georgia" w:hAnsi="Georgia" w:cs="Arial"/>
                <w:sz w:val="18"/>
                <w:szCs w:val="18"/>
              </w:rPr>
            </w:pPr>
          </w:p>
        </w:tc>
        <w:tc>
          <w:tcPr>
            <w:tcW w:w="615" w:type="pct"/>
            <w:tcBorders>
              <w:top w:val="nil"/>
              <w:left w:val="nil"/>
              <w:bottom w:val="nil"/>
              <w:right w:val="nil"/>
            </w:tcBorders>
            <w:hideMark/>
          </w:tcPr>
          <w:p w14:paraId="4C5E2C0D" w14:textId="77777777" w:rsidR="008C091B" w:rsidRDefault="008C091B">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ESI fondų lėšas investuojant į veikiančių ar naujų juridinių asmenų kapitalą, fondo veiklos rezultatai tampa neatsiejami nuo juridinio asmens veiklos rezultatų ir atvirkščiai. Atitinkamai visos vykdomos veiklos yra vertinamos pirmiausia pelningumo ir rizikos prarasti lėšas mažinimo požiūriu, antroje vietoje paliekant multiplikatoriaus ir kitus fondo kūrimo uždavinius. </w:t>
            </w:r>
          </w:p>
        </w:tc>
        <w:tc>
          <w:tcPr>
            <w:tcW w:w="612" w:type="pct"/>
            <w:tcBorders>
              <w:top w:val="nil"/>
              <w:left w:val="nil"/>
              <w:bottom w:val="nil"/>
              <w:right w:val="nil"/>
            </w:tcBorders>
            <w:hideMark/>
          </w:tcPr>
          <w:p w14:paraId="53CCC5F0" w14:textId="77777777" w:rsidR="008C091B" w:rsidRDefault="008C091B">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Vadovaujančiajai institucijai ir sektorinėms ministerijoms nėra žinomos vidinės EIB procedūros, nežinomi (neaiškūs) teisiniai apribojimai ir galimybės dėl EIB taikytinos teisės. Lankstumas taip pat mažinamas dėl išteklių dalyje aprašytų apribojimų, EIB siekio suvienodinti ataskaitas ir procedūras dirbant skirtingose šalyse (dėl to mažėja galimybės prisitaikyti prie nacionalinių poreikių).</w:t>
            </w:r>
          </w:p>
          <w:p w14:paraId="71D27282" w14:textId="77777777" w:rsidR="008C091B" w:rsidRDefault="008C091B">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Tam tikrais atvejais EIB turi palankesnes galimybes organizuoti finansinių tarpininkų atranką </w:t>
            </w:r>
            <w:r>
              <w:rPr>
                <w:rFonts w:ascii="Georgia" w:hAnsi="Georgia" w:cs="Arial"/>
                <w:sz w:val="18"/>
                <w:szCs w:val="18"/>
              </w:rPr>
              <w:lastRenderedPageBreak/>
              <w:t>ir sutarčių keitimą, todėl, kad EIB nėra taikomas LR Viešųjų pirkimų įstatymas.</w:t>
            </w:r>
          </w:p>
        </w:tc>
        <w:tc>
          <w:tcPr>
            <w:tcW w:w="614" w:type="pct"/>
            <w:tcBorders>
              <w:top w:val="nil"/>
              <w:left w:val="nil"/>
              <w:bottom w:val="nil"/>
              <w:right w:val="nil"/>
            </w:tcBorders>
            <w:hideMark/>
          </w:tcPr>
          <w:p w14:paraId="317FDBC4" w14:textId="77777777" w:rsidR="008C091B" w:rsidRDefault="008C091B">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lastRenderedPageBreak/>
              <w:t>Vadovaujančiajai institucijai ir sektorinėms ministerijoms nėra žinomos vidinės tarptautinių finansinių institucijų procedūros, nežinomi (neaiškūs) teisiniai apribojimai ir galimybės dėl taikytinos teisės. Lankstumas taip pat mažinamas dėl išteklių dalyje aprašytų apribojimų.</w:t>
            </w:r>
          </w:p>
          <w:p w14:paraId="111EAF78" w14:textId="77777777" w:rsidR="008C091B" w:rsidRDefault="008C091B">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Tam tikrais atvejais tarptautinės finansinės institucijos gali turėti palankesnes galimybes organizuoti finansinių tarpininkų atranką ir sutarčių keitimą, todėl, kad joms gali būti netaikomas LR Viešųjų pirkimų </w:t>
            </w:r>
            <w:r>
              <w:rPr>
                <w:rFonts w:ascii="Georgia" w:hAnsi="Georgia" w:cs="Arial"/>
                <w:sz w:val="18"/>
                <w:szCs w:val="18"/>
              </w:rPr>
              <w:lastRenderedPageBreak/>
              <w:t>įstatymas.</w:t>
            </w:r>
          </w:p>
        </w:tc>
        <w:tc>
          <w:tcPr>
            <w:tcW w:w="614" w:type="pct"/>
            <w:tcBorders>
              <w:top w:val="nil"/>
              <w:left w:val="nil"/>
              <w:bottom w:val="nil"/>
              <w:right w:val="nil"/>
            </w:tcBorders>
            <w:hideMark/>
          </w:tcPr>
          <w:p w14:paraId="613E4A16" w14:textId="77777777" w:rsidR="008C091B" w:rsidRDefault="009111B9">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9111B9">
              <w:rPr>
                <w:rFonts w:ascii="Georgia" w:hAnsi="Georgia" w:cs="Arial"/>
                <w:sz w:val="18"/>
                <w:szCs w:val="18"/>
              </w:rPr>
              <w:lastRenderedPageBreak/>
              <w:t>Potencialiai greitas reagavimas į rinkos poreikius ir problemas įgyvendinant finansines priemones. Atsižvelgiant į aplinkos poreikius vykdomos funkcijos gali būti keičiamos visuotinio akcininkų susirinkimo sprendimu. Įmonės žmogiškieji ištekliai, administracinė struktūra valdoma ir gali būti operatyviai keičiama atsižvelgiant į rinkos poreikius ir vykdomas veiklas.</w:t>
            </w:r>
            <w:r>
              <w:rPr>
                <w:rFonts w:ascii="Georgia" w:hAnsi="Georgia" w:cs="Arial"/>
                <w:sz w:val="18"/>
                <w:szCs w:val="18"/>
              </w:rPr>
              <w:t xml:space="preserve"> Veikla gali būti organizuojama per papildomus finansinius tarpininkus, arba be jų, tiesiogiai teikiant paskolas ir </w:t>
            </w:r>
            <w:r>
              <w:rPr>
                <w:rFonts w:ascii="Georgia" w:hAnsi="Georgia" w:cs="Arial"/>
                <w:sz w:val="18"/>
                <w:szCs w:val="18"/>
              </w:rPr>
              <w:lastRenderedPageBreak/>
              <w:t>garantijas.</w:t>
            </w:r>
          </w:p>
        </w:tc>
        <w:tc>
          <w:tcPr>
            <w:tcW w:w="612" w:type="pct"/>
            <w:tcBorders>
              <w:top w:val="nil"/>
              <w:left w:val="nil"/>
              <w:bottom w:val="nil"/>
              <w:right w:val="nil"/>
            </w:tcBorders>
            <w:hideMark/>
          </w:tcPr>
          <w:p w14:paraId="2DAD1060" w14:textId="77777777" w:rsidR="008C091B" w:rsidRDefault="008C091B">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lastRenderedPageBreak/>
              <w:t xml:space="preserve">Teikiamų fondo valdymo paslaugų apimtis ir siektini rezultatai nustatomi viešojo pirkimo būdu parinkto tiekėjo sutartyje. Fondo veiklos organizavimo pakeitimai ir galimybės perorientuoti veiklą gali būti apriboti viešųjų pirkimų įstatymo nuostatų. </w:t>
            </w:r>
          </w:p>
        </w:tc>
        <w:tc>
          <w:tcPr>
            <w:tcW w:w="638" w:type="pct"/>
            <w:tcBorders>
              <w:top w:val="nil"/>
              <w:left w:val="nil"/>
              <w:bottom w:val="nil"/>
              <w:right w:val="nil"/>
            </w:tcBorders>
            <w:hideMark/>
          </w:tcPr>
          <w:p w14:paraId="6359F94E" w14:textId="77777777" w:rsidR="008C091B" w:rsidRDefault="008C091B">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Alternatyva gali būti taikoma tik įgyvendinant paskolų ir garantijų finansines priemones. Šios alternatyvos atveju, negali būti deleguojamos funkcijos, nėra galimybių pasitelkti finansinius tarpininkus, dėl ko galutinių naudos gavėjų pasiekiamumas gali būti ribotas. Reagavimas į pasikeitusias sąlygas gali būti ribotas dėl sudėtingų derinimo procedūrų.</w:t>
            </w:r>
          </w:p>
        </w:tc>
        <w:tc>
          <w:tcPr>
            <w:tcW w:w="665" w:type="pct"/>
            <w:tcBorders>
              <w:top w:val="nil"/>
              <w:left w:val="nil"/>
              <w:bottom w:val="nil"/>
              <w:right w:val="single" w:sz="8" w:space="0" w:color="C0504D" w:themeColor="accent2"/>
            </w:tcBorders>
            <w:hideMark/>
          </w:tcPr>
          <w:p w14:paraId="0DBE1BA7" w14:textId="77777777" w:rsidR="008C091B" w:rsidRDefault="008C091B" w:rsidP="00205ACC">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Būtų pasiektas sinergijos efektas, nes nacionalinės institucijos dalyvavimas iš dalies kompensuotų identifikuotas EIB </w:t>
            </w:r>
            <w:r w:rsidR="00205ACC">
              <w:rPr>
                <w:rFonts w:ascii="Georgia" w:hAnsi="Georgia" w:cs="Arial"/>
                <w:sz w:val="18"/>
                <w:szCs w:val="18"/>
              </w:rPr>
              <w:t>apribojimus</w:t>
            </w:r>
            <w:r>
              <w:rPr>
                <w:rFonts w:ascii="Georgia" w:hAnsi="Georgia" w:cs="Arial"/>
                <w:sz w:val="18"/>
                <w:szCs w:val="18"/>
              </w:rPr>
              <w:t>.</w:t>
            </w:r>
          </w:p>
        </w:tc>
      </w:tr>
      <w:tr w:rsidR="009111B9" w14:paraId="3A0519D5" w14:textId="77777777" w:rsidTr="004A0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vMerge w:val="restart"/>
            <w:tcBorders>
              <w:bottom w:val="nil"/>
              <w:right w:val="nil"/>
            </w:tcBorders>
            <w:hideMark/>
          </w:tcPr>
          <w:p w14:paraId="597E4EA8" w14:textId="77777777" w:rsidR="009111B9" w:rsidRDefault="009111B9">
            <w:pPr>
              <w:jc w:val="both"/>
              <w:rPr>
                <w:rFonts w:ascii="Georgia" w:hAnsi="Georgia" w:cs="Arial"/>
                <w:sz w:val="18"/>
                <w:szCs w:val="18"/>
              </w:rPr>
            </w:pPr>
            <w:r>
              <w:rPr>
                <w:rFonts w:ascii="Georgia" w:hAnsi="Georgia" w:cs="Arial"/>
                <w:sz w:val="18"/>
                <w:szCs w:val="18"/>
              </w:rPr>
              <w:lastRenderedPageBreak/>
              <w:t>Pasitraukimo rizika</w:t>
            </w:r>
          </w:p>
        </w:tc>
        <w:tc>
          <w:tcPr>
            <w:tcW w:w="615" w:type="pct"/>
            <w:tcBorders>
              <w:left w:val="nil"/>
              <w:right w:val="nil"/>
            </w:tcBorders>
            <w:hideMark/>
          </w:tcPr>
          <w:p w14:paraId="5D9C6C87" w14:textId="77777777" w:rsidR="009111B9" w:rsidRDefault="0051166B">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2" w:type="pct"/>
            <w:tcBorders>
              <w:left w:val="nil"/>
              <w:right w:val="nil"/>
            </w:tcBorders>
            <w:hideMark/>
          </w:tcPr>
          <w:p w14:paraId="54FC6DA7" w14:textId="77777777" w:rsidR="009111B9" w:rsidRDefault="0037420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4" w:type="pct"/>
            <w:tcBorders>
              <w:left w:val="nil"/>
              <w:right w:val="nil"/>
            </w:tcBorders>
            <w:hideMark/>
          </w:tcPr>
          <w:p w14:paraId="73078E1C" w14:textId="77777777" w:rsidR="009111B9" w:rsidRDefault="009111B9">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4" w:type="pct"/>
            <w:tcBorders>
              <w:left w:val="nil"/>
              <w:right w:val="nil"/>
            </w:tcBorders>
            <w:hideMark/>
          </w:tcPr>
          <w:p w14:paraId="03E3BE56" w14:textId="77777777" w:rsidR="009111B9" w:rsidRDefault="009111B9">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12" w:type="pct"/>
            <w:tcBorders>
              <w:left w:val="nil"/>
              <w:right w:val="nil"/>
            </w:tcBorders>
            <w:hideMark/>
          </w:tcPr>
          <w:p w14:paraId="5309ADF3" w14:textId="77777777" w:rsidR="009111B9" w:rsidRDefault="009111B9">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38" w:type="pct"/>
            <w:tcBorders>
              <w:left w:val="nil"/>
              <w:right w:val="nil"/>
            </w:tcBorders>
            <w:hideMark/>
          </w:tcPr>
          <w:p w14:paraId="356332C6" w14:textId="77777777" w:rsidR="009111B9" w:rsidRDefault="009111B9">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65" w:type="pct"/>
            <w:tcBorders>
              <w:left w:val="nil"/>
            </w:tcBorders>
            <w:hideMark/>
          </w:tcPr>
          <w:p w14:paraId="399F9432" w14:textId="77777777" w:rsidR="009111B9" w:rsidRDefault="0051166B">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r>
      <w:tr w:rsidR="009111B9" w14:paraId="69226F60" w14:textId="77777777" w:rsidTr="004A014B">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14:paraId="70BCC7C8" w14:textId="77777777" w:rsidR="009111B9" w:rsidRDefault="009111B9">
            <w:pPr>
              <w:rPr>
                <w:rFonts w:ascii="Georgia" w:hAnsi="Georgia" w:cs="Arial"/>
                <w:sz w:val="18"/>
                <w:szCs w:val="18"/>
              </w:rPr>
            </w:pPr>
          </w:p>
        </w:tc>
        <w:tc>
          <w:tcPr>
            <w:tcW w:w="615" w:type="pct"/>
            <w:tcBorders>
              <w:top w:val="nil"/>
              <w:left w:val="nil"/>
              <w:bottom w:val="nil"/>
              <w:right w:val="nil"/>
            </w:tcBorders>
            <w:hideMark/>
          </w:tcPr>
          <w:p w14:paraId="154947D5" w14:textId="77777777" w:rsidR="009111B9" w:rsidRDefault="0051166B" w:rsidP="0051166B">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Pasitraukimo rizika neidentifikuota</w:t>
            </w:r>
            <w:r w:rsidR="009111B9">
              <w:rPr>
                <w:rFonts w:ascii="Georgia" w:hAnsi="Georgia" w:cs="Arial"/>
                <w:sz w:val="18"/>
                <w:szCs w:val="18"/>
              </w:rPr>
              <w:t>.</w:t>
            </w:r>
          </w:p>
        </w:tc>
        <w:tc>
          <w:tcPr>
            <w:tcW w:w="612" w:type="pct"/>
            <w:tcBorders>
              <w:top w:val="nil"/>
              <w:left w:val="nil"/>
              <w:bottom w:val="nil"/>
              <w:right w:val="nil"/>
            </w:tcBorders>
            <w:hideMark/>
          </w:tcPr>
          <w:p w14:paraId="375579BE" w14:textId="77777777" w:rsidR="009111B9" w:rsidRDefault="009111B9">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Pasitraukimo rizika</w:t>
            </w:r>
            <w:r w:rsidR="0051166B">
              <w:rPr>
                <w:rFonts w:ascii="Georgia" w:hAnsi="Georgia" w:cs="Arial"/>
                <w:sz w:val="18"/>
                <w:szCs w:val="18"/>
              </w:rPr>
              <w:t xml:space="preserve"> gali pasireikšti</w:t>
            </w:r>
            <w:r>
              <w:rPr>
                <w:rFonts w:ascii="Georgia" w:hAnsi="Georgia" w:cs="Arial"/>
                <w:sz w:val="18"/>
                <w:szCs w:val="18"/>
              </w:rPr>
              <w:t>.</w:t>
            </w:r>
          </w:p>
        </w:tc>
        <w:tc>
          <w:tcPr>
            <w:tcW w:w="614" w:type="pct"/>
            <w:tcBorders>
              <w:top w:val="nil"/>
              <w:left w:val="nil"/>
              <w:bottom w:val="nil"/>
              <w:right w:val="nil"/>
            </w:tcBorders>
            <w:hideMark/>
          </w:tcPr>
          <w:p w14:paraId="652C2CD0" w14:textId="77777777" w:rsidR="009111B9" w:rsidRDefault="009111B9">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Pasitraukimo rizika</w:t>
            </w:r>
            <w:r w:rsidR="0051166B">
              <w:rPr>
                <w:rFonts w:ascii="Georgia" w:hAnsi="Georgia" w:cs="Arial"/>
                <w:sz w:val="18"/>
                <w:szCs w:val="18"/>
              </w:rPr>
              <w:t xml:space="preserve"> gali pasireikšti</w:t>
            </w:r>
            <w:r>
              <w:rPr>
                <w:rFonts w:ascii="Georgia" w:hAnsi="Georgia" w:cs="Arial"/>
                <w:sz w:val="18"/>
                <w:szCs w:val="18"/>
              </w:rPr>
              <w:t>.</w:t>
            </w:r>
          </w:p>
        </w:tc>
        <w:tc>
          <w:tcPr>
            <w:tcW w:w="614" w:type="pct"/>
            <w:tcBorders>
              <w:top w:val="nil"/>
              <w:left w:val="nil"/>
              <w:bottom w:val="nil"/>
              <w:right w:val="nil"/>
            </w:tcBorders>
            <w:hideMark/>
          </w:tcPr>
          <w:p w14:paraId="6AC009A4" w14:textId="77777777" w:rsidR="009111B9" w:rsidRDefault="0051166B" w:rsidP="0051166B">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Pasitraukimo rizika neidentifikuota</w:t>
            </w:r>
            <w:r w:rsidR="009111B9">
              <w:rPr>
                <w:rFonts w:ascii="Georgia" w:hAnsi="Georgia" w:cs="Arial"/>
                <w:sz w:val="18"/>
                <w:szCs w:val="18"/>
              </w:rPr>
              <w:t>.</w:t>
            </w:r>
            <w:r>
              <w:rPr>
                <w:rFonts w:ascii="Georgia" w:hAnsi="Georgia" w:cs="Arial"/>
                <w:sz w:val="18"/>
                <w:szCs w:val="18"/>
              </w:rPr>
              <w:t xml:space="preserve"> Finansinių priemonių </w:t>
            </w:r>
            <w:r w:rsidR="00100EF9">
              <w:rPr>
                <w:rFonts w:ascii="Georgia" w:hAnsi="Georgia" w:cs="Arial"/>
                <w:sz w:val="18"/>
                <w:szCs w:val="18"/>
              </w:rPr>
              <w:t>viešajam</w:t>
            </w:r>
            <w:r>
              <w:rPr>
                <w:rFonts w:ascii="Georgia" w:hAnsi="Georgia" w:cs="Arial"/>
                <w:sz w:val="18"/>
                <w:szCs w:val="18"/>
              </w:rPr>
              <w:t xml:space="preserve"> sektoriui vystymas pagrindinis valdžios institucijų kontroliuojamos finansų įstaigos (VIPA) tikslas.</w:t>
            </w:r>
          </w:p>
        </w:tc>
        <w:tc>
          <w:tcPr>
            <w:tcW w:w="612" w:type="pct"/>
            <w:tcBorders>
              <w:top w:val="nil"/>
              <w:left w:val="nil"/>
              <w:bottom w:val="nil"/>
              <w:right w:val="nil"/>
            </w:tcBorders>
            <w:hideMark/>
          </w:tcPr>
          <w:p w14:paraId="643ECFDD" w14:textId="77777777" w:rsidR="009111B9" w:rsidRDefault="009111B9">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Pasitraukimo rizika</w:t>
            </w:r>
            <w:r w:rsidR="0051166B">
              <w:rPr>
                <w:rFonts w:ascii="Georgia" w:hAnsi="Georgia" w:cs="Arial"/>
                <w:sz w:val="18"/>
                <w:szCs w:val="18"/>
              </w:rPr>
              <w:t xml:space="preserve"> gali pasireikšti</w:t>
            </w:r>
            <w:r>
              <w:rPr>
                <w:rFonts w:ascii="Georgia" w:hAnsi="Georgia" w:cs="Arial"/>
                <w:sz w:val="18"/>
                <w:szCs w:val="18"/>
              </w:rPr>
              <w:t>.</w:t>
            </w:r>
          </w:p>
        </w:tc>
        <w:tc>
          <w:tcPr>
            <w:tcW w:w="638" w:type="pct"/>
            <w:tcBorders>
              <w:top w:val="nil"/>
              <w:left w:val="nil"/>
              <w:bottom w:val="nil"/>
              <w:right w:val="nil"/>
            </w:tcBorders>
            <w:hideMark/>
          </w:tcPr>
          <w:p w14:paraId="58B931B7" w14:textId="77777777" w:rsidR="009111B9" w:rsidRDefault="0051166B">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Pasitraukimo rizikos neidentifikuota</w:t>
            </w:r>
            <w:r w:rsidR="009111B9">
              <w:rPr>
                <w:rFonts w:ascii="Georgia" w:hAnsi="Georgia" w:cs="Arial"/>
                <w:sz w:val="18"/>
                <w:szCs w:val="18"/>
              </w:rPr>
              <w:t>.</w:t>
            </w:r>
          </w:p>
        </w:tc>
        <w:tc>
          <w:tcPr>
            <w:tcW w:w="665" w:type="pct"/>
            <w:tcBorders>
              <w:top w:val="nil"/>
              <w:left w:val="nil"/>
              <w:bottom w:val="nil"/>
              <w:right w:val="single" w:sz="8" w:space="0" w:color="C0504D" w:themeColor="accent2"/>
            </w:tcBorders>
            <w:hideMark/>
          </w:tcPr>
          <w:p w14:paraId="53B530EA" w14:textId="77777777" w:rsidR="009111B9" w:rsidRDefault="009111B9" w:rsidP="0051166B">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Pasitraukimo rizika </w:t>
            </w:r>
            <w:r w:rsidR="0051166B">
              <w:rPr>
                <w:rFonts w:ascii="Georgia" w:hAnsi="Georgia" w:cs="Arial"/>
                <w:sz w:val="18"/>
                <w:szCs w:val="18"/>
              </w:rPr>
              <w:t>gali pasireikšti</w:t>
            </w:r>
            <w:r>
              <w:rPr>
                <w:rFonts w:ascii="Georgia" w:hAnsi="Georgia" w:cs="Arial"/>
                <w:sz w:val="18"/>
                <w:szCs w:val="18"/>
              </w:rPr>
              <w:t>, tačiau nacionalinė institucija turėtų kompensuoti galimas neigiamas pasekmes.</w:t>
            </w:r>
          </w:p>
        </w:tc>
      </w:tr>
      <w:tr w:rsidR="0051166B" w14:paraId="262962E6" w14:textId="77777777" w:rsidTr="004A0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vMerge w:val="restart"/>
            <w:tcBorders>
              <w:bottom w:val="nil"/>
              <w:right w:val="nil"/>
            </w:tcBorders>
            <w:hideMark/>
          </w:tcPr>
          <w:p w14:paraId="6917A511" w14:textId="77777777" w:rsidR="0051166B" w:rsidRDefault="0051166B">
            <w:pPr>
              <w:jc w:val="both"/>
              <w:rPr>
                <w:rFonts w:ascii="Georgia" w:hAnsi="Georgia" w:cs="Arial"/>
                <w:sz w:val="18"/>
                <w:szCs w:val="18"/>
              </w:rPr>
            </w:pPr>
            <w:r>
              <w:rPr>
                <w:rFonts w:ascii="Georgia" w:hAnsi="Georgia" w:cs="Arial"/>
                <w:sz w:val="18"/>
                <w:szCs w:val="18"/>
              </w:rPr>
              <w:t>Kompetencijų nacionalinių lygiu kūrimas</w:t>
            </w:r>
          </w:p>
        </w:tc>
        <w:tc>
          <w:tcPr>
            <w:tcW w:w="615" w:type="pct"/>
            <w:tcBorders>
              <w:left w:val="nil"/>
              <w:right w:val="nil"/>
            </w:tcBorders>
            <w:hideMark/>
          </w:tcPr>
          <w:p w14:paraId="4B246C4B" w14:textId="77777777" w:rsidR="0051166B" w:rsidRDefault="00C220FF">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2" w:type="pct"/>
            <w:tcBorders>
              <w:left w:val="nil"/>
              <w:right w:val="nil"/>
            </w:tcBorders>
            <w:hideMark/>
          </w:tcPr>
          <w:p w14:paraId="4F5B6165" w14:textId="77777777" w:rsidR="0051166B" w:rsidRDefault="0051166B">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4" w:type="pct"/>
            <w:tcBorders>
              <w:left w:val="nil"/>
              <w:right w:val="nil"/>
            </w:tcBorders>
            <w:hideMark/>
          </w:tcPr>
          <w:p w14:paraId="7FB44BF6" w14:textId="77777777" w:rsidR="0051166B" w:rsidRDefault="0051166B">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14" w:type="pct"/>
            <w:tcBorders>
              <w:left w:val="nil"/>
              <w:right w:val="nil"/>
            </w:tcBorders>
            <w:hideMark/>
          </w:tcPr>
          <w:p w14:paraId="42D30844" w14:textId="77777777" w:rsidR="0051166B" w:rsidRDefault="0051166B">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12" w:type="pct"/>
            <w:tcBorders>
              <w:left w:val="nil"/>
              <w:right w:val="nil"/>
            </w:tcBorders>
            <w:hideMark/>
          </w:tcPr>
          <w:p w14:paraId="34F0E1C2" w14:textId="77777777" w:rsidR="0051166B" w:rsidRDefault="0051166B">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38" w:type="pct"/>
            <w:tcBorders>
              <w:left w:val="nil"/>
              <w:right w:val="nil"/>
            </w:tcBorders>
            <w:hideMark/>
          </w:tcPr>
          <w:p w14:paraId="1811AD24" w14:textId="77777777" w:rsidR="0051166B" w:rsidRDefault="0051166B">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65" w:type="pct"/>
            <w:tcBorders>
              <w:left w:val="nil"/>
            </w:tcBorders>
            <w:hideMark/>
          </w:tcPr>
          <w:p w14:paraId="792BF380" w14:textId="77777777" w:rsidR="0051166B" w:rsidRDefault="008A4729">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r>
      <w:tr w:rsidR="0076713A" w14:paraId="2F7D121C" w14:textId="77777777" w:rsidTr="004A014B">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14:paraId="1CC3CC87" w14:textId="77777777" w:rsidR="0076713A" w:rsidRDefault="0076713A">
            <w:pPr>
              <w:rPr>
                <w:rFonts w:ascii="Georgia" w:hAnsi="Georgia" w:cs="Arial"/>
                <w:sz w:val="18"/>
                <w:szCs w:val="18"/>
              </w:rPr>
            </w:pPr>
          </w:p>
        </w:tc>
        <w:tc>
          <w:tcPr>
            <w:tcW w:w="615" w:type="pct"/>
            <w:tcBorders>
              <w:top w:val="nil"/>
              <w:left w:val="nil"/>
              <w:bottom w:val="nil"/>
              <w:right w:val="nil"/>
            </w:tcBorders>
            <w:hideMark/>
          </w:tcPr>
          <w:p w14:paraId="1E8A08A6" w14:textId="77777777" w:rsidR="0076713A" w:rsidRDefault="0076713A" w:rsidP="00C220FF">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Kompetencijos ir žinios kuriamos nacionaliniu lygiu.</w:t>
            </w:r>
          </w:p>
        </w:tc>
        <w:tc>
          <w:tcPr>
            <w:tcW w:w="612" w:type="pct"/>
            <w:tcBorders>
              <w:top w:val="nil"/>
              <w:left w:val="nil"/>
              <w:bottom w:val="nil"/>
              <w:right w:val="nil"/>
            </w:tcBorders>
            <w:hideMark/>
          </w:tcPr>
          <w:p w14:paraId="307A8539" w14:textId="77777777" w:rsidR="0076713A" w:rsidRDefault="0076713A" w:rsidP="00C625C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Kompetencijos, patirtis ir žinios koncentruojamos ne Lietuvoje.</w:t>
            </w:r>
          </w:p>
        </w:tc>
        <w:tc>
          <w:tcPr>
            <w:tcW w:w="614" w:type="pct"/>
            <w:tcBorders>
              <w:top w:val="nil"/>
              <w:left w:val="nil"/>
              <w:bottom w:val="nil"/>
              <w:right w:val="nil"/>
            </w:tcBorders>
            <w:hideMark/>
          </w:tcPr>
          <w:p w14:paraId="6755A908" w14:textId="77777777" w:rsidR="0076713A" w:rsidRDefault="0076713A" w:rsidP="00C625C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Kompetencijos, patirtis ir žinios koncentruojamos ne Lietuvoje.</w:t>
            </w:r>
          </w:p>
        </w:tc>
        <w:tc>
          <w:tcPr>
            <w:tcW w:w="614" w:type="pct"/>
            <w:tcBorders>
              <w:top w:val="nil"/>
              <w:left w:val="nil"/>
              <w:bottom w:val="nil"/>
              <w:right w:val="nil"/>
            </w:tcBorders>
            <w:hideMark/>
          </w:tcPr>
          <w:p w14:paraId="5C428321" w14:textId="77777777" w:rsidR="0076713A" w:rsidRDefault="0076713A" w:rsidP="0076713A">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Kompetencijos ir žinios kuriamos nacionaliniu lygiu. Tarptautinių institucijų patirtis plėtojant ESCO modelį, valdant fondus gali būti pasiekiama naudojant ELENA, JASPERS ir kitas EK programas.</w:t>
            </w:r>
          </w:p>
        </w:tc>
        <w:tc>
          <w:tcPr>
            <w:tcW w:w="612" w:type="pct"/>
            <w:tcBorders>
              <w:top w:val="nil"/>
              <w:left w:val="nil"/>
              <w:bottom w:val="nil"/>
              <w:right w:val="nil"/>
            </w:tcBorders>
            <w:hideMark/>
          </w:tcPr>
          <w:p w14:paraId="7EAD600D" w14:textId="77777777" w:rsidR="0076713A" w:rsidRDefault="0076713A" w:rsidP="00C625C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Nėra galimybių įvertinti, kadangi konkurse gali dalyvauti tiek užsienio, tiek nacionalinė organizacija.</w:t>
            </w:r>
          </w:p>
        </w:tc>
        <w:tc>
          <w:tcPr>
            <w:tcW w:w="638" w:type="pct"/>
            <w:tcBorders>
              <w:top w:val="nil"/>
              <w:left w:val="nil"/>
              <w:bottom w:val="nil"/>
              <w:right w:val="nil"/>
            </w:tcBorders>
            <w:hideMark/>
          </w:tcPr>
          <w:p w14:paraId="5C4AD579" w14:textId="77777777" w:rsidR="0076713A" w:rsidRDefault="0076713A" w:rsidP="00C625C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Kompetencijos ir žinios kuriamos nacionaliniu lygiu.</w:t>
            </w:r>
          </w:p>
        </w:tc>
        <w:tc>
          <w:tcPr>
            <w:tcW w:w="665" w:type="pct"/>
            <w:tcBorders>
              <w:top w:val="nil"/>
              <w:left w:val="nil"/>
              <w:bottom w:val="nil"/>
              <w:right w:val="single" w:sz="8" w:space="0" w:color="C0504D" w:themeColor="accent2"/>
            </w:tcBorders>
            <w:hideMark/>
          </w:tcPr>
          <w:p w14:paraId="3DEC5B73" w14:textId="77777777" w:rsidR="0076713A" w:rsidRDefault="0076713A" w:rsidP="00C625C4">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Įgyvendinamas siekis ugdyti kompetencijas ir žinias ir nacionalinio lygio </w:t>
            </w:r>
            <w:r w:rsidR="00100EF9">
              <w:rPr>
                <w:rFonts w:ascii="Georgia" w:hAnsi="Georgia" w:cs="Arial"/>
                <w:sz w:val="18"/>
                <w:szCs w:val="18"/>
              </w:rPr>
              <w:t>institucijose</w:t>
            </w:r>
            <w:r>
              <w:rPr>
                <w:rFonts w:ascii="Georgia" w:hAnsi="Georgia" w:cs="Arial"/>
                <w:sz w:val="18"/>
                <w:szCs w:val="18"/>
              </w:rPr>
              <w:t>. EIB kompetencijos ir žinios, padeda ugdyti kompetencijas Lietuvoje, tačiau kompetencijas plėtojant ESCO modelį turi kitos tarptautinės institucijos.</w:t>
            </w:r>
          </w:p>
        </w:tc>
      </w:tr>
      <w:tr w:rsidR="0076713A" w14:paraId="4D99EB72" w14:textId="77777777" w:rsidTr="004A0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vMerge w:val="restart"/>
            <w:tcBorders>
              <w:bottom w:val="nil"/>
              <w:right w:val="nil"/>
            </w:tcBorders>
            <w:hideMark/>
          </w:tcPr>
          <w:p w14:paraId="6C2C9303" w14:textId="77777777" w:rsidR="0076713A" w:rsidRDefault="0076713A">
            <w:pPr>
              <w:jc w:val="both"/>
              <w:rPr>
                <w:rFonts w:ascii="Georgia" w:hAnsi="Georgia" w:cs="Arial"/>
                <w:sz w:val="18"/>
                <w:szCs w:val="18"/>
              </w:rPr>
            </w:pPr>
            <w:r>
              <w:rPr>
                <w:rFonts w:ascii="Georgia" w:hAnsi="Georgia" w:cs="Arial"/>
                <w:sz w:val="18"/>
                <w:szCs w:val="18"/>
              </w:rPr>
              <w:t>Funkcionalumas</w:t>
            </w:r>
          </w:p>
        </w:tc>
        <w:tc>
          <w:tcPr>
            <w:tcW w:w="615" w:type="pct"/>
            <w:tcBorders>
              <w:left w:val="nil"/>
              <w:right w:val="nil"/>
            </w:tcBorders>
            <w:hideMark/>
          </w:tcPr>
          <w:p w14:paraId="0510C7F0" w14:textId="77777777" w:rsidR="0076713A" w:rsidRDefault="0076713A">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r w:rsidR="00C220FF">
              <w:rPr>
                <w:rFonts w:ascii="Georgia" w:hAnsi="Georgia" w:cs="Arial"/>
                <w:sz w:val="18"/>
                <w:szCs w:val="18"/>
              </w:rPr>
              <w:t xml:space="preserve"> arba 3</w:t>
            </w:r>
          </w:p>
        </w:tc>
        <w:tc>
          <w:tcPr>
            <w:tcW w:w="612" w:type="pct"/>
            <w:tcBorders>
              <w:left w:val="nil"/>
              <w:right w:val="nil"/>
            </w:tcBorders>
            <w:hideMark/>
          </w:tcPr>
          <w:p w14:paraId="6FD300C0" w14:textId="77777777" w:rsidR="0076713A" w:rsidRDefault="0076713A">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4" w:type="pct"/>
            <w:tcBorders>
              <w:left w:val="nil"/>
              <w:right w:val="nil"/>
            </w:tcBorders>
            <w:hideMark/>
          </w:tcPr>
          <w:p w14:paraId="0CD0B94B" w14:textId="77777777" w:rsidR="0076713A" w:rsidRDefault="0076713A">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4" w:type="pct"/>
            <w:tcBorders>
              <w:left w:val="nil"/>
              <w:right w:val="nil"/>
            </w:tcBorders>
            <w:hideMark/>
          </w:tcPr>
          <w:p w14:paraId="3E612952" w14:textId="77777777" w:rsidR="0076713A" w:rsidRDefault="0076713A">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12" w:type="pct"/>
            <w:tcBorders>
              <w:left w:val="nil"/>
              <w:right w:val="nil"/>
            </w:tcBorders>
            <w:hideMark/>
          </w:tcPr>
          <w:p w14:paraId="307AF5AC" w14:textId="77777777" w:rsidR="0076713A" w:rsidRDefault="0076713A">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38" w:type="pct"/>
            <w:tcBorders>
              <w:left w:val="nil"/>
              <w:right w:val="nil"/>
            </w:tcBorders>
            <w:hideMark/>
          </w:tcPr>
          <w:p w14:paraId="782F9AE0" w14:textId="77777777" w:rsidR="0076713A" w:rsidRDefault="0076713A">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c>
          <w:tcPr>
            <w:tcW w:w="665" w:type="pct"/>
            <w:tcBorders>
              <w:left w:val="nil"/>
            </w:tcBorders>
            <w:hideMark/>
          </w:tcPr>
          <w:p w14:paraId="555589F2" w14:textId="77777777" w:rsidR="0076713A" w:rsidRDefault="008A4729">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r>
      <w:tr w:rsidR="0076713A" w14:paraId="6D0C7A4F" w14:textId="77777777" w:rsidTr="004A014B">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14:paraId="24EA48C9" w14:textId="77777777" w:rsidR="0076713A" w:rsidRDefault="0076713A">
            <w:pPr>
              <w:rPr>
                <w:rFonts w:ascii="Georgia" w:hAnsi="Georgia" w:cs="Arial"/>
                <w:sz w:val="18"/>
                <w:szCs w:val="18"/>
              </w:rPr>
            </w:pPr>
          </w:p>
        </w:tc>
        <w:tc>
          <w:tcPr>
            <w:tcW w:w="615" w:type="pct"/>
            <w:tcBorders>
              <w:top w:val="nil"/>
              <w:left w:val="nil"/>
              <w:bottom w:val="nil"/>
              <w:right w:val="nil"/>
            </w:tcBorders>
            <w:hideMark/>
          </w:tcPr>
          <w:p w14:paraId="4AF70EBA" w14:textId="77777777" w:rsidR="0076713A" w:rsidRDefault="0076713A">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t xml:space="preserve">Tuo atveju, jei būtų pasirinktas jau veikiantis juridinis asmuo, tai šiai alternatyvai suteiktas tam </w:t>
            </w:r>
            <w:r>
              <w:rPr>
                <w:rFonts w:ascii="Georgia" w:hAnsi="Georgia" w:cs="Arial"/>
                <w:sz w:val="18"/>
                <w:szCs w:val="18"/>
              </w:rPr>
              <w:lastRenderedPageBreak/>
              <w:t>juridiniam asmeniui skirtas vertinimo balas (žr. IV alternatyvos įvertinimą). Jei būtų pasirinktas naujas juridinis asmuo, tai jo funkcionalumas vertinamas 1.</w:t>
            </w:r>
          </w:p>
        </w:tc>
        <w:tc>
          <w:tcPr>
            <w:tcW w:w="612" w:type="pct"/>
            <w:tcBorders>
              <w:top w:val="nil"/>
              <w:left w:val="nil"/>
              <w:bottom w:val="nil"/>
              <w:right w:val="nil"/>
            </w:tcBorders>
            <w:hideMark/>
          </w:tcPr>
          <w:p w14:paraId="02FCC8E5" w14:textId="77777777" w:rsidR="0076713A" w:rsidRDefault="0076713A">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lastRenderedPageBreak/>
              <w:t xml:space="preserve">Pagrindiniai žmogiškieji ištekliai įsikūrę Liuksemburge. Mažesnės galimybės </w:t>
            </w:r>
            <w:r>
              <w:rPr>
                <w:rFonts w:ascii="Georgia" w:hAnsi="Georgia" w:cs="Arial"/>
                <w:sz w:val="18"/>
                <w:szCs w:val="18"/>
              </w:rPr>
              <w:lastRenderedPageBreak/>
              <w:t>tiesiogiai bendrauti su rinkos dalyviais. Ilgai trunkančios ir sudėtingos vidinės procedūros.</w:t>
            </w:r>
          </w:p>
        </w:tc>
        <w:tc>
          <w:tcPr>
            <w:tcW w:w="614" w:type="pct"/>
            <w:tcBorders>
              <w:top w:val="nil"/>
              <w:left w:val="nil"/>
              <w:bottom w:val="nil"/>
              <w:right w:val="nil"/>
            </w:tcBorders>
            <w:hideMark/>
          </w:tcPr>
          <w:p w14:paraId="36B3AC12" w14:textId="77777777" w:rsidR="0076713A" w:rsidRDefault="0076713A">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lastRenderedPageBreak/>
              <w:t xml:space="preserve">Pagrindiniai žmogiškieji ištekliai įsikūrę ne Lietuvoje. Mažesnės galimybės </w:t>
            </w:r>
            <w:r>
              <w:rPr>
                <w:rFonts w:ascii="Georgia" w:hAnsi="Georgia" w:cs="Arial"/>
                <w:sz w:val="18"/>
                <w:szCs w:val="18"/>
              </w:rPr>
              <w:lastRenderedPageBreak/>
              <w:t>tiesiogiai bendrauti su rinkos dalyviais. Ilgai trunkančios ir sudėtingos vidinės procedūros.</w:t>
            </w:r>
          </w:p>
        </w:tc>
        <w:tc>
          <w:tcPr>
            <w:tcW w:w="614" w:type="pct"/>
            <w:tcBorders>
              <w:top w:val="nil"/>
              <w:left w:val="nil"/>
              <w:bottom w:val="nil"/>
              <w:right w:val="nil"/>
            </w:tcBorders>
            <w:hideMark/>
          </w:tcPr>
          <w:p w14:paraId="25DCEED5" w14:textId="77777777" w:rsidR="0076713A" w:rsidRPr="00B62D23" w:rsidRDefault="00B62D23">
            <w:pPr>
              <w:pStyle w:val="Komentarotekstas"/>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B62D23">
              <w:rPr>
                <w:rFonts w:ascii="Georgia" w:hAnsi="Georgia" w:cs="Arial"/>
                <w:sz w:val="18"/>
                <w:szCs w:val="18"/>
              </w:rPr>
              <w:lastRenderedPageBreak/>
              <w:t xml:space="preserve">Valdžios institucijų kontroliuojamai finansų įstaigai yra tiesioginės galimybės </w:t>
            </w:r>
            <w:r w:rsidRPr="00B62D23">
              <w:rPr>
                <w:rFonts w:ascii="Georgia" w:hAnsi="Georgia" w:cs="Arial"/>
                <w:sz w:val="18"/>
                <w:szCs w:val="18"/>
              </w:rPr>
              <w:lastRenderedPageBreak/>
              <w:t>betarpiškam darbui su valdžios institucijomis ir kitomis suinteresuotomis šalimis.</w:t>
            </w:r>
          </w:p>
        </w:tc>
        <w:tc>
          <w:tcPr>
            <w:tcW w:w="612" w:type="pct"/>
            <w:tcBorders>
              <w:top w:val="nil"/>
              <w:left w:val="nil"/>
              <w:bottom w:val="nil"/>
              <w:right w:val="nil"/>
            </w:tcBorders>
            <w:hideMark/>
          </w:tcPr>
          <w:p w14:paraId="27C32604" w14:textId="77777777" w:rsidR="0076713A" w:rsidRPr="00B62D23" w:rsidRDefault="00B62D23">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B62D23">
              <w:rPr>
                <w:rFonts w:ascii="Georgia" w:hAnsi="Georgia" w:cs="Arial"/>
                <w:sz w:val="18"/>
                <w:szCs w:val="18"/>
              </w:rPr>
              <w:lastRenderedPageBreak/>
              <w:t xml:space="preserve">Nėra aišku, kurios institucijos / organizacijos dalyvautų fondo valdytojo atrankos konkurse. Siūlomo </w:t>
            </w:r>
            <w:r w:rsidRPr="00B62D23">
              <w:rPr>
                <w:rFonts w:ascii="Georgia" w:hAnsi="Georgia" w:cs="Arial"/>
                <w:sz w:val="18"/>
                <w:szCs w:val="18"/>
              </w:rPr>
              <w:lastRenderedPageBreak/>
              <w:t>modelio funkcionalumo įvertinimas turėtų būti įtrauktas kaip vienas iš atrankos kriterijų.</w:t>
            </w:r>
          </w:p>
        </w:tc>
        <w:tc>
          <w:tcPr>
            <w:tcW w:w="638" w:type="pct"/>
            <w:tcBorders>
              <w:top w:val="nil"/>
              <w:left w:val="nil"/>
              <w:bottom w:val="nil"/>
              <w:right w:val="nil"/>
            </w:tcBorders>
            <w:hideMark/>
          </w:tcPr>
          <w:p w14:paraId="0496299E" w14:textId="77777777" w:rsidR="0076713A" w:rsidRDefault="0076713A">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lastRenderedPageBreak/>
              <w:t xml:space="preserve">Ši alternatyva rekomenduojama tais atvejais, kuomet finansinės priemonės apimtis nėra didelė, taip </w:t>
            </w:r>
            <w:r>
              <w:rPr>
                <w:rFonts w:ascii="Georgia" w:hAnsi="Georgia" w:cs="Arial"/>
                <w:sz w:val="18"/>
                <w:szCs w:val="18"/>
              </w:rPr>
              <w:lastRenderedPageBreak/>
              <w:t>pat nedidelis ir projektų skaičius. Centrinės valdžios viešųjų pastatų renovacijos ir gatvių apšvietimo infrastruktūros modernizavimo atveju tiek planuojama apimtis, tiek projektų skaičius neigiamai įtakotų šios alternatyvos įgyvendinimo efektyvumą.</w:t>
            </w:r>
          </w:p>
        </w:tc>
        <w:tc>
          <w:tcPr>
            <w:tcW w:w="665" w:type="pct"/>
            <w:tcBorders>
              <w:top w:val="nil"/>
              <w:left w:val="nil"/>
              <w:bottom w:val="nil"/>
              <w:right w:val="single" w:sz="8" w:space="0" w:color="C0504D" w:themeColor="accent2"/>
            </w:tcBorders>
            <w:hideMark/>
          </w:tcPr>
          <w:p w14:paraId="0FC754CA" w14:textId="77777777" w:rsidR="0076713A" w:rsidRDefault="0076713A">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Pr>
                <w:rFonts w:ascii="Georgia" w:hAnsi="Georgia" w:cs="Arial"/>
                <w:sz w:val="18"/>
                <w:szCs w:val="18"/>
              </w:rPr>
              <w:lastRenderedPageBreak/>
              <w:t xml:space="preserve">Ši alternatyva įgalintų sinergijos tarp EIB ir nacionalinės finansų įstaigos atsiradimą. Būtų užtikrinamas </w:t>
            </w:r>
            <w:r>
              <w:rPr>
                <w:rFonts w:ascii="Georgia" w:hAnsi="Georgia" w:cs="Arial"/>
                <w:sz w:val="18"/>
                <w:szCs w:val="18"/>
              </w:rPr>
              <w:lastRenderedPageBreak/>
              <w:t>fondo valdytojų ir rinkos dalyvių bendravimas ir komunikacija, aukštas bendradarbiavimo su nacionalinėmis institucijomis lygis. Efektyvumą gali apriboti tai, jog visi veiksmai turės būti suderinti tarp dviejų fondo valdytojų.</w:t>
            </w:r>
          </w:p>
        </w:tc>
      </w:tr>
      <w:tr w:rsidR="00374200" w14:paraId="1B39C834" w14:textId="77777777" w:rsidTr="004A0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tcBorders>
              <w:right w:val="nil"/>
            </w:tcBorders>
            <w:hideMark/>
          </w:tcPr>
          <w:p w14:paraId="12BD19FE" w14:textId="77777777" w:rsidR="00374200" w:rsidRDefault="00374200">
            <w:pPr>
              <w:jc w:val="both"/>
              <w:rPr>
                <w:rFonts w:ascii="Georgia" w:hAnsi="Georgia" w:cs="Arial"/>
                <w:b w:val="0"/>
                <w:sz w:val="18"/>
                <w:szCs w:val="18"/>
              </w:rPr>
            </w:pPr>
            <w:r>
              <w:rPr>
                <w:rFonts w:ascii="Georgia" w:hAnsi="Georgia" w:cs="Arial"/>
                <w:sz w:val="18"/>
                <w:szCs w:val="18"/>
              </w:rPr>
              <w:lastRenderedPageBreak/>
              <w:t>Rezultatai:</w:t>
            </w:r>
          </w:p>
        </w:tc>
        <w:tc>
          <w:tcPr>
            <w:tcW w:w="615" w:type="pct"/>
            <w:tcBorders>
              <w:left w:val="nil"/>
              <w:right w:val="nil"/>
            </w:tcBorders>
            <w:hideMark/>
          </w:tcPr>
          <w:p w14:paraId="7B9AF153" w14:textId="77777777" w:rsidR="00374200" w:rsidRDefault="00374200" w:rsidP="00C625C4">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sz w:val="18"/>
                <w:szCs w:val="18"/>
              </w:rPr>
            </w:pPr>
            <w:r>
              <w:rPr>
                <w:rFonts w:ascii="Georgia" w:hAnsi="Georgia" w:cs="Arial"/>
                <w:b/>
                <w:sz w:val="18"/>
                <w:szCs w:val="18"/>
              </w:rPr>
              <w:t>10 - 15</w:t>
            </w:r>
          </w:p>
        </w:tc>
        <w:tc>
          <w:tcPr>
            <w:tcW w:w="612" w:type="pct"/>
            <w:tcBorders>
              <w:left w:val="nil"/>
              <w:right w:val="nil"/>
            </w:tcBorders>
            <w:hideMark/>
          </w:tcPr>
          <w:p w14:paraId="0228E502" w14:textId="77777777" w:rsidR="00374200" w:rsidRDefault="00374200" w:rsidP="00C625C4">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sz w:val="18"/>
                <w:szCs w:val="18"/>
              </w:rPr>
            </w:pPr>
            <w:r>
              <w:rPr>
                <w:rFonts w:ascii="Georgia" w:hAnsi="Georgia" w:cs="Arial"/>
                <w:b/>
                <w:sz w:val="18"/>
                <w:szCs w:val="18"/>
              </w:rPr>
              <w:t>15</w:t>
            </w:r>
          </w:p>
        </w:tc>
        <w:tc>
          <w:tcPr>
            <w:tcW w:w="614" w:type="pct"/>
            <w:tcBorders>
              <w:left w:val="nil"/>
              <w:right w:val="nil"/>
            </w:tcBorders>
            <w:hideMark/>
          </w:tcPr>
          <w:p w14:paraId="75E627E9" w14:textId="77777777" w:rsidR="00374200" w:rsidRDefault="00374200" w:rsidP="00C625C4">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sz w:val="18"/>
                <w:szCs w:val="18"/>
              </w:rPr>
            </w:pPr>
            <w:r>
              <w:rPr>
                <w:rFonts w:ascii="Georgia" w:hAnsi="Georgia" w:cs="Arial"/>
                <w:b/>
                <w:sz w:val="18"/>
                <w:szCs w:val="18"/>
              </w:rPr>
              <w:t>12</w:t>
            </w:r>
          </w:p>
        </w:tc>
        <w:tc>
          <w:tcPr>
            <w:tcW w:w="614" w:type="pct"/>
            <w:tcBorders>
              <w:left w:val="nil"/>
              <w:right w:val="nil"/>
            </w:tcBorders>
            <w:hideMark/>
          </w:tcPr>
          <w:p w14:paraId="1995F99B" w14:textId="77777777" w:rsidR="00374200" w:rsidRDefault="00374200" w:rsidP="00C625C4">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sz w:val="18"/>
                <w:szCs w:val="18"/>
              </w:rPr>
            </w:pPr>
            <w:r>
              <w:rPr>
                <w:rFonts w:ascii="Georgia" w:hAnsi="Georgia" w:cs="Arial"/>
                <w:b/>
                <w:sz w:val="18"/>
                <w:szCs w:val="18"/>
              </w:rPr>
              <w:t>21</w:t>
            </w:r>
          </w:p>
        </w:tc>
        <w:tc>
          <w:tcPr>
            <w:tcW w:w="612" w:type="pct"/>
            <w:tcBorders>
              <w:left w:val="nil"/>
              <w:right w:val="nil"/>
            </w:tcBorders>
            <w:hideMark/>
          </w:tcPr>
          <w:p w14:paraId="29955F57" w14:textId="77777777" w:rsidR="00374200" w:rsidRDefault="00374200" w:rsidP="00C625C4">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sz w:val="18"/>
                <w:szCs w:val="18"/>
              </w:rPr>
            </w:pPr>
            <w:r>
              <w:rPr>
                <w:rFonts w:ascii="Georgia" w:hAnsi="Georgia" w:cs="Arial"/>
                <w:b/>
                <w:sz w:val="18"/>
                <w:szCs w:val="18"/>
              </w:rPr>
              <w:t>15</w:t>
            </w:r>
          </w:p>
        </w:tc>
        <w:tc>
          <w:tcPr>
            <w:tcW w:w="638" w:type="pct"/>
            <w:tcBorders>
              <w:left w:val="nil"/>
              <w:right w:val="nil"/>
            </w:tcBorders>
            <w:hideMark/>
          </w:tcPr>
          <w:p w14:paraId="627750A3" w14:textId="77777777" w:rsidR="00374200" w:rsidRDefault="00374200" w:rsidP="00C625C4">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sz w:val="18"/>
                <w:szCs w:val="18"/>
              </w:rPr>
            </w:pPr>
            <w:r>
              <w:rPr>
                <w:rFonts w:ascii="Georgia" w:hAnsi="Georgia" w:cs="Arial"/>
                <w:b/>
                <w:sz w:val="18"/>
                <w:szCs w:val="18"/>
              </w:rPr>
              <w:t>17</w:t>
            </w:r>
          </w:p>
        </w:tc>
        <w:tc>
          <w:tcPr>
            <w:tcW w:w="665" w:type="pct"/>
            <w:tcBorders>
              <w:left w:val="nil"/>
            </w:tcBorders>
            <w:hideMark/>
          </w:tcPr>
          <w:p w14:paraId="165D7AB9" w14:textId="77777777" w:rsidR="00374200" w:rsidRDefault="00374200" w:rsidP="00C625C4">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sz w:val="18"/>
                <w:szCs w:val="18"/>
              </w:rPr>
            </w:pPr>
            <w:r>
              <w:rPr>
                <w:rFonts w:ascii="Georgia" w:hAnsi="Georgia" w:cs="Arial"/>
                <w:b/>
                <w:sz w:val="18"/>
                <w:szCs w:val="18"/>
              </w:rPr>
              <w:t>20</w:t>
            </w:r>
          </w:p>
        </w:tc>
      </w:tr>
    </w:tbl>
    <w:p w14:paraId="12C220D3" w14:textId="77777777" w:rsidR="008E6DE4" w:rsidRDefault="008E6DE4" w:rsidP="008E6DE4">
      <w:pPr>
        <w:spacing w:after="0"/>
      </w:pPr>
    </w:p>
    <w:p w14:paraId="3C71FF64" w14:textId="77777777" w:rsidR="00E233C4" w:rsidRDefault="00E233C4" w:rsidP="008E6DE4">
      <w:pPr>
        <w:spacing w:after="0"/>
      </w:pPr>
    </w:p>
    <w:p w14:paraId="7C5F76C4" w14:textId="77777777" w:rsidR="00E233C4" w:rsidRDefault="00E233C4" w:rsidP="008E6DE4">
      <w:pPr>
        <w:spacing w:after="0"/>
        <w:sectPr w:rsidR="00E233C4" w:rsidSect="00E233C4">
          <w:pgSz w:w="15840" w:h="12240" w:orient="landscape" w:code="1"/>
          <w:pgMar w:top="1440" w:right="1440" w:bottom="1440" w:left="1276" w:header="709" w:footer="709" w:gutter="0"/>
          <w:cols w:space="1296"/>
        </w:sectPr>
      </w:pPr>
    </w:p>
    <w:p w14:paraId="755C3C6E" w14:textId="77777777" w:rsidR="00242F76" w:rsidRPr="00B96F2B" w:rsidRDefault="00242F76" w:rsidP="00242F76">
      <w:pPr>
        <w:pStyle w:val="Antrat2"/>
        <w:rPr>
          <w:lang w:val="lt-LT"/>
        </w:rPr>
      </w:pPr>
      <w:bookmarkStart w:id="456" w:name="_Toc417378484"/>
      <w:r w:rsidRPr="00B96F2B">
        <w:rPr>
          <w:lang w:val="lt-LT"/>
        </w:rPr>
        <w:lastRenderedPageBreak/>
        <w:t>Priedas Nr. 11. Savivaldybių pastatų modernizavimo fondo valdytojo paskyrimo alternatyvų analizė.</w:t>
      </w:r>
      <w:bookmarkEnd w:id="456"/>
    </w:p>
    <w:p w14:paraId="6E873248" w14:textId="77777777" w:rsidR="00242F76" w:rsidRPr="00B96F2B" w:rsidRDefault="00242F76" w:rsidP="00242F76">
      <w:pPr>
        <w:rPr>
          <w:lang w:val="lt-LT"/>
        </w:rPr>
      </w:pPr>
    </w:p>
    <w:p w14:paraId="53A0EAC4" w14:textId="77777777" w:rsidR="00242F76" w:rsidRPr="00B96F2B" w:rsidRDefault="00242F76" w:rsidP="00242F76">
      <w:pPr>
        <w:autoSpaceDE w:val="0"/>
        <w:autoSpaceDN w:val="0"/>
        <w:adjustRightInd w:val="0"/>
        <w:spacing w:after="0"/>
        <w:jc w:val="both"/>
        <w:rPr>
          <w:rFonts w:ascii="Georgia" w:hAnsi="Georgia" w:cs="Georgia"/>
          <w:sz w:val="20"/>
          <w:szCs w:val="20"/>
          <w:lang w:val="lt-LT"/>
        </w:rPr>
      </w:pPr>
      <w:r w:rsidRPr="00B96F2B">
        <w:rPr>
          <w:rFonts w:ascii="Georgia" w:hAnsi="Georgia" w:cs="Georgia"/>
          <w:sz w:val="20"/>
          <w:szCs w:val="20"/>
          <w:lang w:val="lt-LT"/>
        </w:rPr>
        <w:t>Analizuojamos septynios finansinės priemonės įgyvendinimo (administravimo ir valdymo) alternatyvos:</w:t>
      </w:r>
    </w:p>
    <w:p w14:paraId="5F5B4FB9" w14:textId="77777777" w:rsidR="00242F76" w:rsidRPr="00B96F2B" w:rsidRDefault="00242F76" w:rsidP="002A576D">
      <w:pPr>
        <w:pStyle w:val="Sraopastraipa"/>
        <w:numPr>
          <w:ilvl w:val="0"/>
          <w:numId w:val="101"/>
        </w:numPr>
        <w:autoSpaceDE w:val="0"/>
        <w:autoSpaceDN w:val="0"/>
        <w:adjustRightInd w:val="0"/>
        <w:spacing w:after="0"/>
        <w:jc w:val="both"/>
        <w:rPr>
          <w:rFonts w:ascii="Georgia" w:hAnsi="Georgia" w:cs="Georgia"/>
          <w:sz w:val="20"/>
          <w:szCs w:val="20"/>
          <w:lang w:val="lt-LT"/>
        </w:rPr>
      </w:pPr>
      <w:r w:rsidRPr="00B96F2B">
        <w:rPr>
          <w:rFonts w:ascii="Georgia" w:hAnsi="Georgia" w:cs="Georgia"/>
          <w:sz w:val="20"/>
          <w:szCs w:val="20"/>
          <w:lang w:val="lt-LT"/>
        </w:rPr>
        <w:t>vadovaujančioji institucija investuoja į esamų ar naujai sukurtų juridinių vienetų, skirtų įgyvendinti finansines priemones, kapitalą (38(4)(a) straipsnis) (toliau – I alternatyva);</w:t>
      </w:r>
    </w:p>
    <w:p w14:paraId="4D0E42F9" w14:textId="77777777" w:rsidR="00242F76" w:rsidRPr="00B96F2B" w:rsidRDefault="00242F76" w:rsidP="002A576D">
      <w:pPr>
        <w:pStyle w:val="Sraopastraipa"/>
        <w:numPr>
          <w:ilvl w:val="0"/>
          <w:numId w:val="101"/>
        </w:numPr>
        <w:autoSpaceDE w:val="0"/>
        <w:autoSpaceDN w:val="0"/>
        <w:adjustRightInd w:val="0"/>
        <w:spacing w:after="0"/>
        <w:jc w:val="both"/>
        <w:rPr>
          <w:rFonts w:ascii="Georgia" w:hAnsi="Georgia" w:cs="Georgia"/>
          <w:sz w:val="20"/>
          <w:szCs w:val="20"/>
          <w:lang w:val="lt-LT"/>
        </w:rPr>
      </w:pPr>
      <w:r w:rsidRPr="00B96F2B">
        <w:rPr>
          <w:rFonts w:ascii="Georgia" w:hAnsi="Georgia" w:cs="Georgia"/>
          <w:sz w:val="20"/>
          <w:szCs w:val="20"/>
          <w:lang w:val="lt-LT"/>
        </w:rPr>
        <w:t>vadovaujančioji institucija paveda finansinių priemonių įgyvendinimą kitai institucijai. Ši alternatyva skiriama į tris galimybes (38(4)(b) straipsnis):</w:t>
      </w:r>
    </w:p>
    <w:p w14:paraId="372C3156" w14:textId="77777777" w:rsidR="00242F76" w:rsidRPr="00B96F2B" w:rsidRDefault="00242F76" w:rsidP="002A576D">
      <w:pPr>
        <w:pStyle w:val="Sraopastraipa"/>
        <w:numPr>
          <w:ilvl w:val="1"/>
          <w:numId w:val="101"/>
        </w:numPr>
        <w:autoSpaceDE w:val="0"/>
        <w:autoSpaceDN w:val="0"/>
        <w:adjustRightInd w:val="0"/>
        <w:spacing w:after="0"/>
        <w:jc w:val="both"/>
        <w:rPr>
          <w:rFonts w:ascii="Georgia" w:hAnsi="Georgia" w:cs="Georgia"/>
          <w:sz w:val="20"/>
          <w:szCs w:val="20"/>
          <w:lang w:val="lt-LT"/>
        </w:rPr>
      </w:pPr>
      <w:r w:rsidRPr="00B96F2B">
        <w:rPr>
          <w:rFonts w:ascii="Georgia" w:hAnsi="Georgia" w:cs="Georgia"/>
          <w:sz w:val="20"/>
          <w:szCs w:val="20"/>
          <w:lang w:val="lt-LT"/>
        </w:rPr>
        <w:t>EIB grupė (38(4)(b)(i) straipsnis) (toliau – II alternatyva);</w:t>
      </w:r>
    </w:p>
    <w:p w14:paraId="356D72C8" w14:textId="77777777" w:rsidR="00242F76" w:rsidRPr="00B96F2B" w:rsidRDefault="00242F76" w:rsidP="002A576D">
      <w:pPr>
        <w:pStyle w:val="Sraopastraipa"/>
        <w:numPr>
          <w:ilvl w:val="1"/>
          <w:numId w:val="101"/>
        </w:numPr>
        <w:autoSpaceDE w:val="0"/>
        <w:autoSpaceDN w:val="0"/>
        <w:adjustRightInd w:val="0"/>
        <w:spacing w:after="0"/>
        <w:jc w:val="both"/>
        <w:rPr>
          <w:rFonts w:ascii="Georgia" w:hAnsi="Georgia" w:cs="Georgia"/>
          <w:sz w:val="20"/>
          <w:szCs w:val="20"/>
          <w:lang w:val="lt-LT"/>
        </w:rPr>
      </w:pPr>
      <w:r w:rsidRPr="00B96F2B">
        <w:rPr>
          <w:rFonts w:ascii="Georgia" w:hAnsi="Georgia" w:cs="Georgia"/>
          <w:sz w:val="20"/>
          <w:szCs w:val="20"/>
          <w:lang w:val="lt-LT"/>
        </w:rPr>
        <w:t xml:space="preserve">tarptautinės finansų įstaigos, kuriose valstybė yra akcininkė (III alternatyva) (vertinami NIB, EBRD, CEB), valstybėje narėje įsteigtos finansų įstaigos, kurių tikslas – siekti viešųjų interesų kontroliuojant valdžios institucijai (38(4)(b)(ii) straipsnis) (toliau – IV alternatyva) (vertinama VIPA, kaip LRV įsteigta finansų įstaiga finansinių priemonių plėtrai analizuojamoje srityje); </w:t>
      </w:r>
    </w:p>
    <w:p w14:paraId="42D92185" w14:textId="77777777" w:rsidR="00242F76" w:rsidRPr="00B96F2B" w:rsidRDefault="00242F76" w:rsidP="002A576D">
      <w:pPr>
        <w:pStyle w:val="Sraopastraipa"/>
        <w:numPr>
          <w:ilvl w:val="1"/>
          <w:numId w:val="101"/>
        </w:numPr>
        <w:autoSpaceDE w:val="0"/>
        <w:autoSpaceDN w:val="0"/>
        <w:adjustRightInd w:val="0"/>
        <w:spacing w:after="0"/>
        <w:jc w:val="both"/>
        <w:rPr>
          <w:rFonts w:ascii="Georgia" w:hAnsi="Georgia" w:cs="Georgia"/>
          <w:sz w:val="20"/>
          <w:szCs w:val="20"/>
          <w:lang w:val="lt-LT"/>
        </w:rPr>
      </w:pPr>
      <w:r w:rsidRPr="00B96F2B">
        <w:rPr>
          <w:rFonts w:ascii="Georgia" w:hAnsi="Georgia" w:cs="Georgia"/>
          <w:sz w:val="20"/>
          <w:szCs w:val="20"/>
          <w:lang w:val="lt-LT"/>
        </w:rPr>
        <w:t>viešosios ar privačiosios teisės subjektas (38(4)(b)(iii) straipsnis) (toliau – V alternatyva).</w:t>
      </w:r>
    </w:p>
    <w:p w14:paraId="1EE7D45E" w14:textId="77777777" w:rsidR="00242F76" w:rsidRPr="00B96F2B" w:rsidRDefault="00242F76" w:rsidP="002A576D">
      <w:pPr>
        <w:pStyle w:val="Sraopastraipa"/>
        <w:numPr>
          <w:ilvl w:val="0"/>
          <w:numId w:val="101"/>
        </w:numPr>
        <w:autoSpaceDE w:val="0"/>
        <w:autoSpaceDN w:val="0"/>
        <w:adjustRightInd w:val="0"/>
        <w:spacing w:after="0"/>
        <w:jc w:val="both"/>
        <w:rPr>
          <w:rFonts w:ascii="Georgia" w:hAnsi="Georgia" w:cs="Georgia"/>
          <w:sz w:val="20"/>
          <w:szCs w:val="20"/>
          <w:lang w:val="lt-LT"/>
        </w:rPr>
      </w:pPr>
      <w:r w:rsidRPr="00B96F2B">
        <w:rPr>
          <w:rFonts w:ascii="Georgia" w:hAnsi="Georgia" w:cs="Georgia"/>
          <w:sz w:val="20"/>
          <w:szCs w:val="20"/>
          <w:lang w:val="lt-LT"/>
        </w:rPr>
        <w:t>vadovaujančioji institucija įgyvendina finansines priemones tiesiogiai (38(4)(c)) (toliau – VI alternatyva);</w:t>
      </w:r>
    </w:p>
    <w:p w14:paraId="3ECAE6F3" w14:textId="77777777" w:rsidR="00242F76" w:rsidRPr="00B96F2B" w:rsidRDefault="00242F76" w:rsidP="002A576D">
      <w:pPr>
        <w:pStyle w:val="Sraopastraipa"/>
        <w:numPr>
          <w:ilvl w:val="0"/>
          <w:numId w:val="101"/>
        </w:numPr>
        <w:autoSpaceDE w:val="0"/>
        <w:autoSpaceDN w:val="0"/>
        <w:adjustRightInd w:val="0"/>
        <w:spacing w:after="0"/>
        <w:jc w:val="both"/>
        <w:rPr>
          <w:rFonts w:ascii="Georgia" w:hAnsi="Georgia" w:cs="Georgia"/>
          <w:sz w:val="20"/>
          <w:szCs w:val="20"/>
          <w:lang w:val="lt-LT"/>
        </w:rPr>
      </w:pPr>
      <w:r w:rsidRPr="00B96F2B">
        <w:rPr>
          <w:rFonts w:ascii="Georgia" w:hAnsi="Georgia" w:cs="Georgia"/>
          <w:sz w:val="20"/>
          <w:szCs w:val="20"/>
          <w:lang w:val="lt-LT"/>
        </w:rPr>
        <w:t>vadovaujančioji institucija paveda finansinių priemonių įgyvendinimą dviem institucijoms: EIB ir nacionalinei finansų įstaigai kartu (VII alternatyva).</w:t>
      </w:r>
    </w:p>
    <w:p w14:paraId="090AD917" w14:textId="77777777" w:rsidR="00242F76" w:rsidRPr="00B96F2B" w:rsidRDefault="00242F76" w:rsidP="00242F76">
      <w:pPr>
        <w:rPr>
          <w:lang w:val="lt-LT"/>
        </w:rPr>
        <w:sectPr w:rsidR="00242F76" w:rsidRPr="00B96F2B" w:rsidSect="000E66DF">
          <w:pgSz w:w="12240" w:h="15840" w:code="1"/>
          <w:pgMar w:top="1440" w:right="1440" w:bottom="1276" w:left="1440" w:header="709" w:footer="709" w:gutter="0"/>
          <w:cols w:space="1296"/>
        </w:sectPr>
      </w:pPr>
    </w:p>
    <w:p w14:paraId="0036EE8C" w14:textId="77777777" w:rsidR="00242F76" w:rsidRDefault="00242F76" w:rsidP="00242F76">
      <w:pPr>
        <w:rPr>
          <w:lang w:val="lt-LT"/>
        </w:rPr>
      </w:pPr>
    </w:p>
    <w:tbl>
      <w:tblPr>
        <w:tblStyle w:val="viesussraas2parykinimas3"/>
        <w:tblW w:w="5000" w:type="pct"/>
        <w:tblCellMar>
          <w:left w:w="57" w:type="dxa"/>
          <w:right w:w="57" w:type="dxa"/>
        </w:tblCellMar>
        <w:tblLook w:val="04A0" w:firstRow="1" w:lastRow="0" w:firstColumn="1" w:lastColumn="0" w:noHBand="0" w:noVBand="1"/>
      </w:tblPr>
      <w:tblGrid>
        <w:gridCol w:w="1667"/>
        <w:gridCol w:w="1627"/>
        <w:gridCol w:w="1620"/>
        <w:gridCol w:w="1626"/>
        <w:gridCol w:w="1626"/>
        <w:gridCol w:w="1620"/>
        <w:gridCol w:w="1689"/>
        <w:gridCol w:w="1763"/>
      </w:tblGrid>
      <w:tr w:rsidR="0049481D" w:rsidRPr="00067CC2" w14:paraId="1F2606C7" w14:textId="77777777" w:rsidTr="003A06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9" w:type="pct"/>
            <w:tcBorders>
              <w:top w:val="single" w:sz="8" w:space="0" w:color="C0504D" w:themeColor="accent2"/>
              <w:left w:val="single" w:sz="8" w:space="0" w:color="C0504D" w:themeColor="accent2"/>
              <w:bottom w:val="nil"/>
              <w:right w:val="nil"/>
            </w:tcBorders>
            <w:hideMark/>
          </w:tcPr>
          <w:p w14:paraId="566A2442" w14:textId="77777777" w:rsidR="0049481D" w:rsidRPr="00067CC2" w:rsidRDefault="0049481D" w:rsidP="003A0690">
            <w:pPr>
              <w:jc w:val="center"/>
              <w:rPr>
                <w:rFonts w:ascii="Georgia" w:hAnsi="Georgia" w:cs="Arial"/>
                <w:b w:val="0"/>
                <w:sz w:val="20"/>
                <w:szCs w:val="20"/>
              </w:rPr>
            </w:pPr>
            <w:r w:rsidRPr="00067CC2">
              <w:rPr>
                <w:rFonts w:ascii="Georgia" w:hAnsi="Georgia" w:cs="Arial"/>
                <w:sz w:val="20"/>
                <w:szCs w:val="20"/>
              </w:rPr>
              <w:t>Vertinimo kriterijus</w:t>
            </w:r>
          </w:p>
        </w:tc>
        <w:tc>
          <w:tcPr>
            <w:tcW w:w="614" w:type="pct"/>
            <w:tcBorders>
              <w:top w:val="single" w:sz="8" w:space="0" w:color="C0504D" w:themeColor="accent2"/>
              <w:left w:val="nil"/>
              <w:bottom w:val="nil"/>
              <w:right w:val="nil"/>
            </w:tcBorders>
            <w:hideMark/>
          </w:tcPr>
          <w:p w14:paraId="40FDE90C" w14:textId="77777777" w:rsidR="0049481D" w:rsidRPr="00067CC2" w:rsidRDefault="0049481D" w:rsidP="003A0690">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20"/>
                <w:szCs w:val="20"/>
              </w:rPr>
            </w:pPr>
            <w:r w:rsidRPr="00067CC2">
              <w:rPr>
                <w:rFonts w:ascii="Georgia" w:hAnsi="Georgia" w:cs="Arial"/>
                <w:sz w:val="20"/>
                <w:szCs w:val="20"/>
              </w:rPr>
              <w:t>I alternatyva</w:t>
            </w:r>
          </w:p>
        </w:tc>
        <w:tc>
          <w:tcPr>
            <w:tcW w:w="612" w:type="pct"/>
            <w:tcBorders>
              <w:top w:val="single" w:sz="8" w:space="0" w:color="C0504D" w:themeColor="accent2"/>
              <w:left w:val="nil"/>
              <w:bottom w:val="nil"/>
              <w:right w:val="nil"/>
            </w:tcBorders>
            <w:hideMark/>
          </w:tcPr>
          <w:p w14:paraId="67E236E4" w14:textId="77777777" w:rsidR="0049481D" w:rsidRPr="00067CC2" w:rsidRDefault="0049481D" w:rsidP="003A0690">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20"/>
                <w:szCs w:val="20"/>
              </w:rPr>
            </w:pPr>
            <w:r w:rsidRPr="00067CC2">
              <w:rPr>
                <w:rFonts w:ascii="Georgia" w:hAnsi="Georgia" w:cs="Arial"/>
                <w:sz w:val="20"/>
                <w:szCs w:val="20"/>
              </w:rPr>
              <w:t>II alternatyva</w:t>
            </w:r>
          </w:p>
        </w:tc>
        <w:tc>
          <w:tcPr>
            <w:tcW w:w="614" w:type="pct"/>
            <w:tcBorders>
              <w:top w:val="single" w:sz="8" w:space="0" w:color="C0504D" w:themeColor="accent2"/>
              <w:left w:val="nil"/>
              <w:bottom w:val="nil"/>
              <w:right w:val="nil"/>
            </w:tcBorders>
            <w:hideMark/>
          </w:tcPr>
          <w:p w14:paraId="6C60B83E" w14:textId="77777777" w:rsidR="0049481D" w:rsidRPr="00067CC2" w:rsidRDefault="0049481D" w:rsidP="003A0690">
            <w:pPr>
              <w:jc w:val="cente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rPr>
            </w:pPr>
            <w:r w:rsidRPr="00067CC2">
              <w:rPr>
                <w:rFonts w:ascii="Georgia" w:hAnsi="Georgia" w:cs="Arial"/>
                <w:sz w:val="20"/>
                <w:szCs w:val="20"/>
              </w:rPr>
              <w:t>III alternatyva</w:t>
            </w:r>
          </w:p>
        </w:tc>
        <w:tc>
          <w:tcPr>
            <w:tcW w:w="614" w:type="pct"/>
            <w:tcBorders>
              <w:top w:val="single" w:sz="8" w:space="0" w:color="C0504D" w:themeColor="accent2"/>
              <w:left w:val="nil"/>
              <w:bottom w:val="nil"/>
              <w:right w:val="nil"/>
            </w:tcBorders>
            <w:hideMark/>
          </w:tcPr>
          <w:p w14:paraId="5589268C" w14:textId="77777777" w:rsidR="0049481D" w:rsidRPr="00067CC2" w:rsidRDefault="0049481D" w:rsidP="003A0690">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20"/>
                <w:szCs w:val="20"/>
              </w:rPr>
            </w:pPr>
            <w:r w:rsidRPr="00067CC2">
              <w:rPr>
                <w:rFonts w:ascii="Georgia" w:hAnsi="Georgia" w:cs="Arial"/>
                <w:sz w:val="20"/>
                <w:szCs w:val="20"/>
              </w:rPr>
              <w:t>IV alternatyva</w:t>
            </w:r>
          </w:p>
        </w:tc>
        <w:tc>
          <w:tcPr>
            <w:tcW w:w="612" w:type="pct"/>
            <w:tcBorders>
              <w:top w:val="single" w:sz="8" w:space="0" w:color="C0504D" w:themeColor="accent2"/>
              <w:left w:val="nil"/>
              <w:bottom w:val="nil"/>
              <w:right w:val="nil"/>
            </w:tcBorders>
            <w:hideMark/>
          </w:tcPr>
          <w:p w14:paraId="0998A4CD" w14:textId="77777777" w:rsidR="0049481D" w:rsidRPr="00067CC2" w:rsidRDefault="0049481D" w:rsidP="003A0690">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20"/>
                <w:szCs w:val="20"/>
              </w:rPr>
            </w:pPr>
            <w:r w:rsidRPr="00067CC2">
              <w:rPr>
                <w:rFonts w:ascii="Georgia" w:hAnsi="Georgia" w:cs="Arial"/>
                <w:sz w:val="20"/>
                <w:szCs w:val="20"/>
              </w:rPr>
              <w:t>V alternatyva</w:t>
            </w:r>
          </w:p>
        </w:tc>
        <w:tc>
          <w:tcPr>
            <w:tcW w:w="638" w:type="pct"/>
            <w:tcBorders>
              <w:top w:val="single" w:sz="8" w:space="0" w:color="C0504D" w:themeColor="accent2"/>
              <w:left w:val="nil"/>
              <w:bottom w:val="nil"/>
              <w:right w:val="nil"/>
            </w:tcBorders>
            <w:hideMark/>
          </w:tcPr>
          <w:p w14:paraId="3FF6FB14" w14:textId="77777777" w:rsidR="0049481D" w:rsidRPr="00067CC2" w:rsidRDefault="0049481D" w:rsidP="003A0690">
            <w:pPr>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sz w:val="20"/>
                <w:szCs w:val="20"/>
              </w:rPr>
            </w:pPr>
            <w:r w:rsidRPr="00067CC2">
              <w:rPr>
                <w:rFonts w:ascii="Georgia" w:hAnsi="Georgia" w:cs="Arial"/>
                <w:sz w:val="20"/>
                <w:szCs w:val="20"/>
              </w:rPr>
              <w:t>VI alternatyva</w:t>
            </w:r>
          </w:p>
        </w:tc>
        <w:tc>
          <w:tcPr>
            <w:tcW w:w="666" w:type="pct"/>
            <w:tcBorders>
              <w:top w:val="single" w:sz="8" w:space="0" w:color="C0504D" w:themeColor="accent2"/>
              <w:left w:val="nil"/>
              <w:bottom w:val="nil"/>
              <w:right w:val="single" w:sz="8" w:space="0" w:color="C0504D" w:themeColor="accent2"/>
            </w:tcBorders>
            <w:hideMark/>
          </w:tcPr>
          <w:p w14:paraId="010B075C" w14:textId="77777777" w:rsidR="0049481D" w:rsidRPr="00067CC2" w:rsidRDefault="0049481D" w:rsidP="003A0690">
            <w:pPr>
              <w:jc w:val="cente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rPr>
            </w:pPr>
            <w:r w:rsidRPr="00067CC2">
              <w:rPr>
                <w:rFonts w:ascii="Georgia" w:hAnsi="Georgia" w:cs="Arial"/>
                <w:sz w:val="20"/>
                <w:szCs w:val="20"/>
              </w:rPr>
              <w:t>VII alternatyva</w:t>
            </w:r>
          </w:p>
        </w:tc>
      </w:tr>
      <w:tr w:rsidR="0049481D" w:rsidRPr="00067CC2" w14:paraId="3DFDF5DF" w14:textId="77777777" w:rsidTr="003A0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val="restart"/>
            <w:tcBorders>
              <w:bottom w:val="nil"/>
              <w:right w:val="nil"/>
            </w:tcBorders>
            <w:hideMark/>
          </w:tcPr>
          <w:p w14:paraId="10DEB62C" w14:textId="77777777" w:rsidR="0049481D" w:rsidRPr="00067CC2" w:rsidRDefault="0049481D" w:rsidP="003A0690">
            <w:pPr>
              <w:jc w:val="both"/>
              <w:rPr>
                <w:rFonts w:ascii="Georgia" w:hAnsi="Georgia" w:cs="Arial"/>
                <w:sz w:val="18"/>
                <w:szCs w:val="18"/>
              </w:rPr>
            </w:pPr>
            <w:r w:rsidRPr="00067CC2">
              <w:rPr>
                <w:rFonts w:ascii="Georgia" w:hAnsi="Georgia" w:cs="Arial"/>
                <w:sz w:val="18"/>
                <w:szCs w:val="18"/>
              </w:rPr>
              <w:t>Operatyvumas</w:t>
            </w:r>
          </w:p>
        </w:tc>
        <w:tc>
          <w:tcPr>
            <w:tcW w:w="614" w:type="pct"/>
            <w:tcBorders>
              <w:left w:val="nil"/>
              <w:right w:val="nil"/>
            </w:tcBorders>
            <w:hideMark/>
          </w:tcPr>
          <w:p w14:paraId="4AFF659A"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1</w:t>
            </w:r>
          </w:p>
        </w:tc>
        <w:tc>
          <w:tcPr>
            <w:tcW w:w="612" w:type="pct"/>
            <w:tcBorders>
              <w:left w:val="nil"/>
              <w:right w:val="nil"/>
            </w:tcBorders>
            <w:hideMark/>
          </w:tcPr>
          <w:p w14:paraId="42E99C33"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2</w:t>
            </w:r>
          </w:p>
        </w:tc>
        <w:tc>
          <w:tcPr>
            <w:tcW w:w="614" w:type="pct"/>
            <w:tcBorders>
              <w:left w:val="nil"/>
              <w:right w:val="nil"/>
            </w:tcBorders>
            <w:hideMark/>
          </w:tcPr>
          <w:p w14:paraId="171A2B32"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1</w:t>
            </w:r>
          </w:p>
        </w:tc>
        <w:tc>
          <w:tcPr>
            <w:tcW w:w="614" w:type="pct"/>
            <w:tcBorders>
              <w:left w:val="nil"/>
              <w:right w:val="nil"/>
            </w:tcBorders>
            <w:hideMark/>
          </w:tcPr>
          <w:p w14:paraId="61F7C865"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12" w:type="pct"/>
            <w:tcBorders>
              <w:left w:val="nil"/>
              <w:right w:val="nil"/>
            </w:tcBorders>
            <w:hideMark/>
          </w:tcPr>
          <w:p w14:paraId="79CFC379"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1</w:t>
            </w:r>
          </w:p>
        </w:tc>
        <w:tc>
          <w:tcPr>
            <w:tcW w:w="638" w:type="pct"/>
            <w:tcBorders>
              <w:left w:val="nil"/>
              <w:right w:val="nil"/>
            </w:tcBorders>
            <w:hideMark/>
          </w:tcPr>
          <w:p w14:paraId="328AF1AB"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3</w:t>
            </w:r>
          </w:p>
        </w:tc>
        <w:tc>
          <w:tcPr>
            <w:tcW w:w="666" w:type="pct"/>
            <w:tcBorders>
              <w:left w:val="nil"/>
            </w:tcBorders>
            <w:hideMark/>
          </w:tcPr>
          <w:p w14:paraId="1765F894"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1</w:t>
            </w:r>
          </w:p>
        </w:tc>
      </w:tr>
      <w:tr w:rsidR="0049481D" w:rsidRPr="00067CC2" w14:paraId="63A4E68E" w14:textId="77777777" w:rsidTr="003A0690">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14:paraId="52CE3704" w14:textId="77777777" w:rsidR="0049481D" w:rsidRPr="00067CC2" w:rsidRDefault="0049481D" w:rsidP="003A0690">
            <w:pPr>
              <w:rPr>
                <w:rFonts w:ascii="Georgia" w:hAnsi="Georgia" w:cs="Arial"/>
                <w:sz w:val="18"/>
                <w:szCs w:val="18"/>
              </w:rPr>
            </w:pPr>
          </w:p>
        </w:tc>
        <w:tc>
          <w:tcPr>
            <w:tcW w:w="614" w:type="pct"/>
            <w:tcBorders>
              <w:top w:val="nil"/>
              <w:left w:val="nil"/>
              <w:bottom w:val="nil"/>
              <w:right w:val="nil"/>
            </w:tcBorders>
            <w:hideMark/>
          </w:tcPr>
          <w:p w14:paraId="4C216779" w14:textId="77777777" w:rsidR="0049481D" w:rsidRPr="00067CC2" w:rsidRDefault="0049481D" w:rsidP="0049481D">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 xml:space="preserve">Taikomos LR Valstybės ir savivaldybių turto valdymo, naudojimo ir disponavimo juo įstatyme numatytos procedūros. Finansiniai tarpininkai privalo būti atrinkti per skaidrų, objektyvų ir pagrįstą atrankos procesą. Preliminariai </w:t>
            </w:r>
            <w:r>
              <w:rPr>
                <w:rFonts w:ascii="Georgia" w:hAnsi="Georgia" w:cs="Arial"/>
                <w:sz w:val="18"/>
                <w:szCs w:val="18"/>
              </w:rPr>
              <w:t>finansinės priemonės</w:t>
            </w:r>
            <w:r w:rsidRPr="00067CC2">
              <w:rPr>
                <w:rFonts w:ascii="Georgia" w:hAnsi="Georgia" w:cs="Arial"/>
                <w:sz w:val="18"/>
                <w:szCs w:val="18"/>
              </w:rPr>
              <w:t xml:space="preserve"> valdytojo paskyrimas truktų apie 6 mėnesius.</w:t>
            </w:r>
          </w:p>
        </w:tc>
        <w:tc>
          <w:tcPr>
            <w:tcW w:w="612" w:type="pct"/>
            <w:tcBorders>
              <w:top w:val="nil"/>
              <w:left w:val="nil"/>
              <w:bottom w:val="nil"/>
              <w:right w:val="nil"/>
            </w:tcBorders>
            <w:hideMark/>
          </w:tcPr>
          <w:p w14:paraId="388B70B0"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Reikalingas vadovaujančiosios institucijos sprendimas. Taip pat reiktų parengti ir suderinti sutartį su EIB. Kita vertus, dėl turimos patirties finansuojant daugiabučius procedūra gali būti pakankamai sklandi.</w:t>
            </w:r>
            <w:r>
              <w:rPr>
                <w:rFonts w:ascii="Georgia" w:hAnsi="Georgia" w:cs="Arial"/>
                <w:sz w:val="18"/>
                <w:szCs w:val="18"/>
              </w:rPr>
              <w:t xml:space="preserve"> EIB tiesiogiai finansinių priemonių neįgyvendina daroma prielaida jog bus atrinkti finansiniai tarpininkai. </w:t>
            </w:r>
            <w:r w:rsidRPr="00067CC2">
              <w:rPr>
                <w:rFonts w:ascii="Georgia" w:hAnsi="Georgia" w:cs="Arial"/>
                <w:sz w:val="18"/>
                <w:szCs w:val="18"/>
              </w:rPr>
              <w:t xml:space="preserve"> Finansiniai tarpininkai privalo būti atrinkti per skaidrų, objektyvų ir pagrįstą atrankos procesą. Preliminariai </w:t>
            </w:r>
            <w:r>
              <w:rPr>
                <w:rFonts w:ascii="Georgia" w:hAnsi="Georgia" w:cs="Arial"/>
                <w:sz w:val="18"/>
                <w:szCs w:val="18"/>
              </w:rPr>
              <w:t>finansinės priemonės</w:t>
            </w:r>
            <w:r w:rsidRPr="00067CC2">
              <w:rPr>
                <w:rFonts w:ascii="Georgia" w:hAnsi="Georgia" w:cs="Arial"/>
                <w:sz w:val="18"/>
                <w:szCs w:val="18"/>
              </w:rPr>
              <w:t xml:space="preserve"> valdytojo paskyrimas ir sutarties suderinimas truks apie 3 mėn. (greitesnis sutarties parengimas ir </w:t>
            </w:r>
            <w:r w:rsidRPr="00067CC2">
              <w:rPr>
                <w:rFonts w:ascii="Georgia" w:hAnsi="Georgia" w:cs="Arial"/>
                <w:sz w:val="18"/>
                <w:szCs w:val="18"/>
              </w:rPr>
              <w:lastRenderedPageBreak/>
              <w:t>susiderinimas galimas dėl to, kad EIB tiesiogiai finansinių priemonių veikloje Lietuvoje), o finansinių tarpininkų atrankos – apie 3 mėn. (galėtų būti pasinaudojama galimybe netaikyti LR viešųjų pirkimų įstatymo nuostatų ir pirkimas vykdomas pagal tarptautinių organizacijų specialiąsias pirkimo procedūras).</w:t>
            </w:r>
          </w:p>
        </w:tc>
        <w:tc>
          <w:tcPr>
            <w:tcW w:w="614" w:type="pct"/>
            <w:tcBorders>
              <w:top w:val="nil"/>
              <w:left w:val="nil"/>
              <w:bottom w:val="nil"/>
              <w:right w:val="nil"/>
            </w:tcBorders>
            <w:hideMark/>
          </w:tcPr>
          <w:p w14:paraId="586EE0B6"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lastRenderedPageBreak/>
              <w:t xml:space="preserve">Reikalingas vadovaujančiosios institucijos sprendimas. Taip pat reiktų parengti ir suderinti sutartį su tarptautine finansų institucija. Įvertinant tai, jog šiuo metu derybos nevyksta nei su viena tarptautine finansų institucija, </w:t>
            </w:r>
            <w:r>
              <w:rPr>
                <w:rFonts w:ascii="Georgia" w:hAnsi="Georgia" w:cs="Arial"/>
                <w:sz w:val="18"/>
                <w:szCs w:val="18"/>
              </w:rPr>
              <w:t>finansinės priemonės</w:t>
            </w:r>
            <w:r w:rsidRPr="00067CC2">
              <w:rPr>
                <w:rFonts w:ascii="Georgia" w:hAnsi="Georgia" w:cs="Arial"/>
                <w:sz w:val="18"/>
                <w:szCs w:val="18"/>
              </w:rPr>
              <w:t xml:space="preserve"> valdytojo paskyrimas ir sutarties suderinimas preliminariai truktų apie 6 mėn., o finansinių tarpininkų atrankos – apie 4 mėn. (galėtų būti pasinaudojama galimybe netaikyti LR viešųjų pirkimų įstatymo nuostatų ir pirkimas vykdomas pagal tarptautinių organizacijų specialiąsias pirkimo procedūras).</w:t>
            </w:r>
          </w:p>
        </w:tc>
        <w:tc>
          <w:tcPr>
            <w:tcW w:w="614" w:type="pct"/>
            <w:tcBorders>
              <w:top w:val="nil"/>
              <w:left w:val="nil"/>
              <w:bottom w:val="nil"/>
              <w:right w:val="nil"/>
            </w:tcBorders>
            <w:hideMark/>
          </w:tcPr>
          <w:p w14:paraId="30AF789D"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 xml:space="preserve">Reikalingas vadovaujančiosios institucijos sprendimas. Galimybė taikyti LR Viešųjų pirkimų įstatymo 10 str. 5 d. vidaus sandorio išimtį, kuri ženkliai sutrumpintų atrankos procedūrą. Valdytojas privalo atitikti taikytinus reikalavimus ir nustatytus atrankos kriterijus. Taip pat pagal nacionalinius teisės aktus reiktų parengti ir suderinti sutartį. Finansinių tarpininkų atranka neprivaloma, tačiau galima atsižvelgiant į pridėtinę vertę. Preliminariai </w:t>
            </w:r>
            <w:r>
              <w:rPr>
                <w:rFonts w:ascii="Georgia" w:hAnsi="Georgia" w:cs="Arial"/>
                <w:sz w:val="18"/>
                <w:szCs w:val="18"/>
              </w:rPr>
              <w:t>finansinės priemonės</w:t>
            </w:r>
            <w:r w:rsidRPr="00067CC2">
              <w:rPr>
                <w:rFonts w:ascii="Georgia" w:hAnsi="Georgia" w:cs="Arial"/>
                <w:sz w:val="18"/>
                <w:szCs w:val="18"/>
              </w:rPr>
              <w:t xml:space="preserve"> valdytojo paskyrimo procedūros ir sutarties suderinimas gali trukti apie </w:t>
            </w:r>
            <w:r>
              <w:rPr>
                <w:rFonts w:ascii="Georgia" w:hAnsi="Georgia" w:cs="Arial"/>
                <w:sz w:val="18"/>
                <w:szCs w:val="18"/>
              </w:rPr>
              <w:t>1</w:t>
            </w:r>
            <w:r w:rsidRPr="00067CC2">
              <w:rPr>
                <w:rFonts w:ascii="Georgia" w:hAnsi="Georgia" w:cs="Arial"/>
                <w:sz w:val="18"/>
                <w:szCs w:val="18"/>
              </w:rPr>
              <w:t xml:space="preserve"> mėn. </w:t>
            </w:r>
            <w:r w:rsidRPr="00067CC2">
              <w:rPr>
                <w:rFonts w:ascii="Georgia" w:hAnsi="Georgia" w:cs="Arial"/>
                <w:sz w:val="18"/>
                <w:szCs w:val="18"/>
              </w:rPr>
              <w:lastRenderedPageBreak/>
              <w:t>Esant poreikiui finansinių tarpininkų atrankos (sutarčių keitimo) procedūros apie 3 mėn.</w:t>
            </w:r>
          </w:p>
        </w:tc>
        <w:tc>
          <w:tcPr>
            <w:tcW w:w="612" w:type="pct"/>
            <w:tcBorders>
              <w:top w:val="nil"/>
              <w:left w:val="nil"/>
              <w:bottom w:val="nil"/>
              <w:right w:val="nil"/>
            </w:tcBorders>
            <w:hideMark/>
          </w:tcPr>
          <w:p w14:paraId="56B2F859"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lastRenderedPageBreak/>
              <w:t xml:space="preserve">Subjektas, įgyvendinantis finansinę priemonę, privalo būti atrinktas konkurso būdu, laikantis Bendrųjų nuostatų reglamento nuostatų, pagal taikytinus reikalavimus ir nustatytus atrankos kriterijus. Preliminariai </w:t>
            </w:r>
            <w:r>
              <w:rPr>
                <w:rFonts w:ascii="Georgia" w:hAnsi="Georgia" w:cs="Arial"/>
                <w:sz w:val="18"/>
                <w:szCs w:val="18"/>
              </w:rPr>
              <w:t>finansinės priemonės</w:t>
            </w:r>
            <w:r w:rsidRPr="00067CC2">
              <w:rPr>
                <w:rFonts w:ascii="Georgia" w:hAnsi="Georgia" w:cs="Arial"/>
                <w:sz w:val="18"/>
                <w:szCs w:val="18"/>
              </w:rPr>
              <w:t xml:space="preserve"> valdytojo konkurso organizavimo procedūros ir sutarties suderinimas gali trukti apie 6 mėn.</w:t>
            </w:r>
          </w:p>
        </w:tc>
        <w:tc>
          <w:tcPr>
            <w:tcW w:w="638" w:type="pct"/>
            <w:tcBorders>
              <w:top w:val="nil"/>
              <w:left w:val="nil"/>
              <w:bottom w:val="nil"/>
              <w:right w:val="nil"/>
            </w:tcBorders>
            <w:hideMark/>
          </w:tcPr>
          <w:p w14:paraId="2AEE5BF4"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Nėra būtina organizuoti atrankos procedūrą, nes nėra steigiamas fondas. Taip pat nereikia derinti bei pasirašyti sutarties.</w:t>
            </w:r>
          </w:p>
        </w:tc>
        <w:tc>
          <w:tcPr>
            <w:tcW w:w="666" w:type="pct"/>
            <w:tcBorders>
              <w:top w:val="nil"/>
              <w:left w:val="nil"/>
              <w:bottom w:val="nil"/>
              <w:right w:val="single" w:sz="8" w:space="0" w:color="C0504D" w:themeColor="accent2"/>
            </w:tcBorders>
            <w:hideMark/>
          </w:tcPr>
          <w:p w14:paraId="154A6F84"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 xml:space="preserve">Reikalingas vadovaujančiosios institucijos sprendimas. Nacionalinė finansų įstaiga privalo atitikti taikytinus reikalavimus ir nustatytus atrankos kriterijus. Taip pat pagal nacionalinius teisės aktus reiktų parengti ir suderinti sutartį su visomis sutarties šalimis. Finansinių tarpininkų atranka nebūtina, tačiau, jeigu apsisprendžiama atrinkti finansinius tarpininkus, atranka privalo būti atlikta per skaidrų, objektyvų ir pagrįstą atrankos procesą. Preliminariai </w:t>
            </w:r>
            <w:r>
              <w:rPr>
                <w:rFonts w:ascii="Georgia" w:hAnsi="Georgia" w:cs="Arial"/>
                <w:sz w:val="18"/>
                <w:szCs w:val="18"/>
              </w:rPr>
              <w:t>finansinės priemonės</w:t>
            </w:r>
            <w:r w:rsidRPr="00067CC2">
              <w:rPr>
                <w:rFonts w:ascii="Georgia" w:hAnsi="Georgia" w:cs="Arial"/>
                <w:sz w:val="18"/>
                <w:szCs w:val="18"/>
              </w:rPr>
              <w:t xml:space="preserve"> valdytojo paskyrimo procedūros ir sutarties suderinimas gali trukti – apie 3 mėn. (greitesnis sutarties parengimas ir susiderinimas galimas dėl to, kad EIB ir VIPA </w:t>
            </w:r>
            <w:r w:rsidRPr="00067CC2">
              <w:rPr>
                <w:rFonts w:ascii="Georgia" w:hAnsi="Georgia" w:cs="Arial"/>
                <w:sz w:val="18"/>
                <w:szCs w:val="18"/>
              </w:rPr>
              <w:lastRenderedPageBreak/>
              <w:t>tiesiogiai dalyvauja JESSICA fondo veikloje Lietuvoje) Esant poreikiui finansinių tarpininkų atrankos procedūros – apie 3 mėn. (galėtų būti pasinaudojama galimybe netaikyti LR viešųjų pirkimų įstatymo nuostatų).</w:t>
            </w:r>
          </w:p>
        </w:tc>
      </w:tr>
      <w:tr w:rsidR="0049481D" w:rsidRPr="00067CC2" w14:paraId="720D32EE" w14:textId="77777777" w:rsidTr="003A0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val="restart"/>
            <w:tcBorders>
              <w:bottom w:val="nil"/>
              <w:right w:val="nil"/>
            </w:tcBorders>
            <w:hideMark/>
          </w:tcPr>
          <w:p w14:paraId="482DB9FD" w14:textId="77777777" w:rsidR="0049481D" w:rsidRPr="00067CC2" w:rsidRDefault="0049481D" w:rsidP="003A0690">
            <w:pPr>
              <w:rPr>
                <w:rFonts w:ascii="Georgia" w:hAnsi="Georgia" w:cs="Arial"/>
                <w:sz w:val="18"/>
                <w:szCs w:val="18"/>
              </w:rPr>
            </w:pPr>
            <w:r w:rsidRPr="00067CC2">
              <w:rPr>
                <w:rFonts w:ascii="Georgia" w:hAnsi="Georgia" w:cs="Arial"/>
                <w:sz w:val="18"/>
                <w:szCs w:val="18"/>
              </w:rPr>
              <w:lastRenderedPageBreak/>
              <w:t>Įgyvendinimo kaštai</w:t>
            </w:r>
          </w:p>
        </w:tc>
        <w:tc>
          <w:tcPr>
            <w:tcW w:w="614" w:type="pct"/>
            <w:tcBorders>
              <w:left w:val="nil"/>
              <w:right w:val="nil"/>
            </w:tcBorders>
            <w:hideMark/>
          </w:tcPr>
          <w:p w14:paraId="1D450809"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1 arba 2</w:t>
            </w:r>
          </w:p>
        </w:tc>
        <w:tc>
          <w:tcPr>
            <w:tcW w:w="612" w:type="pct"/>
            <w:tcBorders>
              <w:left w:val="nil"/>
              <w:right w:val="nil"/>
            </w:tcBorders>
            <w:hideMark/>
          </w:tcPr>
          <w:p w14:paraId="7C521509"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1</w:t>
            </w:r>
          </w:p>
        </w:tc>
        <w:tc>
          <w:tcPr>
            <w:tcW w:w="614" w:type="pct"/>
            <w:tcBorders>
              <w:left w:val="nil"/>
              <w:right w:val="nil"/>
            </w:tcBorders>
            <w:hideMark/>
          </w:tcPr>
          <w:p w14:paraId="73FDFD51"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1</w:t>
            </w:r>
          </w:p>
        </w:tc>
        <w:tc>
          <w:tcPr>
            <w:tcW w:w="614" w:type="pct"/>
            <w:tcBorders>
              <w:left w:val="nil"/>
              <w:right w:val="nil"/>
            </w:tcBorders>
            <w:hideMark/>
          </w:tcPr>
          <w:p w14:paraId="71EC00C9"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2</w:t>
            </w:r>
          </w:p>
        </w:tc>
        <w:tc>
          <w:tcPr>
            <w:tcW w:w="612" w:type="pct"/>
            <w:tcBorders>
              <w:left w:val="nil"/>
              <w:right w:val="nil"/>
            </w:tcBorders>
            <w:hideMark/>
          </w:tcPr>
          <w:p w14:paraId="05E722AC"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2</w:t>
            </w:r>
          </w:p>
        </w:tc>
        <w:tc>
          <w:tcPr>
            <w:tcW w:w="638" w:type="pct"/>
            <w:tcBorders>
              <w:left w:val="nil"/>
              <w:right w:val="nil"/>
            </w:tcBorders>
            <w:hideMark/>
          </w:tcPr>
          <w:p w14:paraId="0F29D982"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2</w:t>
            </w:r>
          </w:p>
        </w:tc>
        <w:tc>
          <w:tcPr>
            <w:tcW w:w="666" w:type="pct"/>
            <w:tcBorders>
              <w:left w:val="nil"/>
            </w:tcBorders>
            <w:hideMark/>
          </w:tcPr>
          <w:p w14:paraId="538A0C78"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1</w:t>
            </w:r>
          </w:p>
        </w:tc>
      </w:tr>
      <w:tr w:rsidR="0049481D" w:rsidRPr="00067CC2" w14:paraId="7C4E7361" w14:textId="77777777" w:rsidTr="003A0690">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14:paraId="7F67BE68" w14:textId="77777777" w:rsidR="0049481D" w:rsidRPr="00067CC2" w:rsidRDefault="0049481D" w:rsidP="003A0690">
            <w:pPr>
              <w:rPr>
                <w:rFonts w:ascii="Georgia" w:hAnsi="Georgia" w:cs="Arial"/>
                <w:sz w:val="18"/>
                <w:szCs w:val="18"/>
              </w:rPr>
            </w:pPr>
          </w:p>
        </w:tc>
        <w:tc>
          <w:tcPr>
            <w:tcW w:w="614" w:type="pct"/>
            <w:tcBorders>
              <w:top w:val="nil"/>
              <w:left w:val="nil"/>
              <w:bottom w:val="nil"/>
              <w:right w:val="nil"/>
            </w:tcBorders>
            <w:hideMark/>
          </w:tcPr>
          <w:p w14:paraId="4A0095FD"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 xml:space="preserve">Iki teisės aktuose nustatytos didžiausios administravimo mokesčio ribos. Kai pasitelkiami finansiniai tarpininkai, konkurso būdu nustatomi mokesčiai finansiniams tarpininkams. Jei būtų pasirinktas jau veikiantis juridinis asmuo, tai pasirengimo įgyvendinti kaštai vertinami taip pat, </w:t>
            </w:r>
            <w:r w:rsidRPr="00067CC2">
              <w:rPr>
                <w:rFonts w:ascii="Georgia" w:hAnsi="Georgia" w:cs="Arial"/>
                <w:sz w:val="18"/>
                <w:szCs w:val="18"/>
              </w:rPr>
              <w:lastRenderedPageBreak/>
              <w:t>kaip ir IV alternatyvos. Jei būtų pasirinktas naujas juridinis asmuo, tai vertinama 1.</w:t>
            </w:r>
          </w:p>
        </w:tc>
        <w:tc>
          <w:tcPr>
            <w:tcW w:w="612" w:type="pct"/>
            <w:tcBorders>
              <w:top w:val="nil"/>
              <w:left w:val="nil"/>
              <w:bottom w:val="nil"/>
              <w:right w:val="nil"/>
            </w:tcBorders>
            <w:hideMark/>
          </w:tcPr>
          <w:p w14:paraId="1386EEA5"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lastRenderedPageBreak/>
              <w:t xml:space="preserve">Iki teisės aktuose nustatytos didžiausios administravimo mokesčio ribos. Taip pat konkurso būdu nustatomi mokesčiai finansiniams tarpininkams. EIB įgyvendinimo kaštus neigiamai įtakoja, tai, jog EIB pagrindinė būstinė yra Liuksemburge, kur taikomi aukštesni įkainiai, taip pat tai lemia </w:t>
            </w:r>
            <w:r w:rsidRPr="00067CC2">
              <w:rPr>
                <w:rFonts w:ascii="Georgia" w:hAnsi="Georgia" w:cs="Arial"/>
                <w:sz w:val="18"/>
                <w:szCs w:val="18"/>
              </w:rPr>
              <w:lastRenderedPageBreak/>
              <w:t>papildomas išlaidas susijusias su logistika. EIB turi įgyvendinimui reikalingas sistemas ir procedūras, kurias reiktų pritaikyti 2014-2020 m. ES finansinio laikotarpio reikalavimams.</w:t>
            </w:r>
          </w:p>
        </w:tc>
        <w:tc>
          <w:tcPr>
            <w:tcW w:w="614" w:type="pct"/>
            <w:tcBorders>
              <w:top w:val="nil"/>
              <w:left w:val="nil"/>
              <w:bottom w:val="nil"/>
              <w:right w:val="nil"/>
            </w:tcBorders>
            <w:hideMark/>
          </w:tcPr>
          <w:p w14:paraId="3A7DDA5A"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lastRenderedPageBreak/>
              <w:t xml:space="preserve">Iki teisės aktuose nustatytos didžiausios administravimo mokesčio ribos. Tikėtina, kad būtų pasitelkiami finansiniai tarpininkai. Tarptautinių finansinių institucijų įgyvendinimo kaštus neigiamai įtakoja, tai, jog jų pagrindinės būstinės yra ne Lietuvoje, o valstybėse kur </w:t>
            </w:r>
            <w:r w:rsidRPr="00067CC2">
              <w:rPr>
                <w:rFonts w:ascii="Georgia" w:hAnsi="Georgia" w:cs="Arial"/>
                <w:sz w:val="18"/>
                <w:szCs w:val="18"/>
              </w:rPr>
              <w:lastRenderedPageBreak/>
              <w:t xml:space="preserve">paprastai taikomi aukštesni įkainiai, taip pat tai lemia papildomas išlaidas susijusias su logistika. </w:t>
            </w:r>
          </w:p>
        </w:tc>
        <w:tc>
          <w:tcPr>
            <w:tcW w:w="614" w:type="pct"/>
            <w:tcBorders>
              <w:top w:val="nil"/>
              <w:left w:val="nil"/>
              <w:bottom w:val="nil"/>
              <w:right w:val="nil"/>
            </w:tcBorders>
            <w:hideMark/>
          </w:tcPr>
          <w:p w14:paraId="092E8132"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lastRenderedPageBreak/>
              <w:t xml:space="preserve">Iki teisės aktuose nustatytos didžiausios administravimo mokesčio ribos. Jei pasitelkiami finansiniai tarpininkai, konkurso būdu nustatomi mokesčiai finansiniams tarpininkams. Nacionalinės institucijos įkainiai tikėtina būtų mažesni nei komercinių institucijų ar </w:t>
            </w:r>
            <w:r w:rsidRPr="00067CC2">
              <w:rPr>
                <w:rFonts w:ascii="Georgia" w:hAnsi="Georgia" w:cs="Arial"/>
                <w:sz w:val="18"/>
                <w:szCs w:val="18"/>
              </w:rPr>
              <w:lastRenderedPageBreak/>
              <w:t>tarptautinių finansų įstaigų. Įgyvendinimui reikalingos sistemos ir procedūros turi būti adaptuojamos 2014-2020 m. periodui ir naujoms funkcijoms.</w:t>
            </w:r>
          </w:p>
        </w:tc>
        <w:tc>
          <w:tcPr>
            <w:tcW w:w="612" w:type="pct"/>
            <w:tcBorders>
              <w:top w:val="nil"/>
              <w:left w:val="nil"/>
              <w:bottom w:val="nil"/>
              <w:right w:val="nil"/>
            </w:tcBorders>
            <w:hideMark/>
          </w:tcPr>
          <w:p w14:paraId="581F0E1D"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lastRenderedPageBreak/>
              <w:t>Iki teisės aktuose nustatytos didžiausios administravimo mokesčio ribos. Jei pasitelkiami finansiniai tarpininkai, konkurso būdu nustatomi mokesčiai finansiniams tarpininkams. Konkurso būdu gali būti gautas finansiškai naudingiausias pasiūlymas.</w:t>
            </w:r>
          </w:p>
        </w:tc>
        <w:tc>
          <w:tcPr>
            <w:tcW w:w="638" w:type="pct"/>
            <w:tcBorders>
              <w:top w:val="nil"/>
              <w:left w:val="nil"/>
              <w:bottom w:val="nil"/>
              <w:right w:val="nil"/>
            </w:tcBorders>
            <w:hideMark/>
          </w:tcPr>
          <w:p w14:paraId="3A6D5C28"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 xml:space="preserve">Valdymo mokestis nėra tinkamas finansuoti, tačiau valdymo išlaidos padengiamos techninės paramos lėšomis. Funkcijos vykdymui turėtų būti įdarbinami papildomi reikalingi žmogiškieji ištekliai vadovaujančioje institucijoje. </w:t>
            </w:r>
          </w:p>
        </w:tc>
        <w:tc>
          <w:tcPr>
            <w:tcW w:w="666" w:type="pct"/>
            <w:tcBorders>
              <w:top w:val="nil"/>
              <w:left w:val="nil"/>
              <w:bottom w:val="nil"/>
              <w:right w:val="single" w:sz="8" w:space="0" w:color="C0504D" w:themeColor="accent2"/>
            </w:tcBorders>
            <w:hideMark/>
          </w:tcPr>
          <w:p w14:paraId="10753A68"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 xml:space="preserve">Iki teisės aktuose nustatytos didžiausios administravimo mokesčio ribos. Jei pasitelkiami finansiniai tarpininkai, konkurso būdu nustatomi mokesčiai finansiniams tarpininkams. EIB turi įgyvendinimui reikalingas sistemas ir procedūras, kurias reiktų pritaikyti 2014-2020 m. ES finansinio </w:t>
            </w:r>
            <w:r w:rsidRPr="00067CC2">
              <w:rPr>
                <w:rFonts w:ascii="Georgia" w:hAnsi="Georgia" w:cs="Arial"/>
                <w:sz w:val="18"/>
                <w:szCs w:val="18"/>
              </w:rPr>
              <w:lastRenderedPageBreak/>
              <w:t>laikotarpio reikalavimams ir naujai struktūrai. Bendri kaštai gali būti pakankamai aukšti dėl didesnio tarpinstitucinio bendradarbiavimo poreikio.</w:t>
            </w:r>
          </w:p>
        </w:tc>
      </w:tr>
      <w:tr w:rsidR="0049481D" w:rsidRPr="00067CC2" w14:paraId="16FE1C5B" w14:textId="77777777" w:rsidTr="003A0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val="restart"/>
            <w:tcBorders>
              <w:bottom w:val="nil"/>
              <w:right w:val="nil"/>
            </w:tcBorders>
            <w:hideMark/>
          </w:tcPr>
          <w:p w14:paraId="68AD5B01" w14:textId="77777777" w:rsidR="0049481D" w:rsidRPr="00067CC2" w:rsidRDefault="0049481D" w:rsidP="003A0690">
            <w:pPr>
              <w:jc w:val="both"/>
              <w:rPr>
                <w:rFonts w:ascii="Georgia" w:hAnsi="Georgia" w:cs="Arial"/>
                <w:sz w:val="18"/>
                <w:szCs w:val="18"/>
              </w:rPr>
            </w:pPr>
            <w:r w:rsidRPr="00067CC2">
              <w:rPr>
                <w:rFonts w:ascii="Georgia" w:hAnsi="Georgia" w:cs="Arial"/>
                <w:sz w:val="18"/>
                <w:szCs w:val="18"/>
              </w:rPr>
              <w:lastRenderedPageBreak/>
              <w:t>Patirtis</w:t>
            </w:r>
          </w:p>
        </w:tc>
        <w:tc>
          <w:tcPr>
            <w:tcW w:w="614" w:type="pct"/>
            <w:tcBorders>
              <w:left w:val="nil"/>
              <w:right w:val="nil"/>
            </w:tcBorders>
            <w:hideMark/>
          </w:tcPr>
          <w:p w14:paraId="5D891E7C"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1 arba 2</w:t>
            </w:r>
          </w:p>
        </w:tc>
        <w:tc>
          <w:tcPr>
            <w:tcW w:w="612" w:type="pct"/>
            <w:tcBorders>
              <w:left w:val="nil"/>
              <w:right w:val="nil"/>
            </w:tcBorders>
            <w:hideMark/>
          </w:tcPr>
          <w:p w14:paraId="7063752D"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2</w:t>
            </w:r>
          </w:p>
        </w:tc>
        <w:tc>
          <w:tcPr>
            <w:tcW w:w="614" w:type="pct"/>
            <w:tcBorders>
              <w:left w:val="nil"/>
              <w:right w:val="nil"/>
            </w:tcBorders>
            <w:hideMark/>
          </w:tcPr>
          <w:p w14:paraId="32934266"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2</w:t>
            </w:r>
          </w:p>
        </w:tc>
        <w:tc>
          <w:tcPr>
            <w:tcW w:w="614" w:type="pct"/>
            <w:tcBorders>
              <w:left w:val="nil"/>
              <w:right w:val="nil"/>
            </w:tcBorders>
            <w:hideMark/>
          </w:tcPr>
          <w:p w14:paraId="5667110E"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12" w:type="pct"/>
            <w:tcBorders>
              <w:left w:val="nil"/>
              <w:right w:val="nil"/>
            </w:tcBorders>
            <w:hideMark/>
          </w:tcPr>
          <w:p w14:paraId="4B06234C"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2</w:t>
            </w:r>
          </w:p>
        </w:tc>
        <w:tc>
          <w:tcPr>
            <w:tcW w:w="638" w:type="pct"/>
            <w:tcBorders>
              <w:left w:val="nil"/>
              <w:right w:val="nil"/>
            </w:tcBorders>
            <w:hideMark/>
          </w:tcPr>
          <w:p w14:paraId="4584F2F3"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3</w:t>
            </w:r>
          </w:p>
        </w:tc>
        <w:tc>
          <w:tcPr>
            <w:tcW w:w="666" w:type="pct"/>
            <w:tcBorders>
              <w:left w:val="nil"/>
            </w:tcBorders>
            <w:hideMark/>
          </w:tcPr>
          <w:p w14:paraId="1869340A"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3</w:t>
            </w:r>
          </w:p>
        </w:tc>
      </w:tr>
      <w:tr w:rsidR="0049481D" w:rsidRPr="00067CC2" w14:paraId="7273A8DF" w14:textId="77777777" w:rsidTr="003A0690">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14:paraId="2D9295CB" w14:textId="77777777" w:rsidR="0049481D" w:rsidRPr="00067CC2" w:rsidRDefault="0049481D" w:rsidP="003A0690">
            <w:pPr>
              <w:rPr>
                <w:rFonts w:ascii="Georgia" w:hAnsi="Georgia" w:cs="Arial"/>
                <w:sz w:val="18"/>
                <w:szCs w:val="18"/>
              </w:rPr>
            </w:pPr>
          </w:p>
        </w:tc>
        <w:tc>
          <w:tcPr>
            <w:tcW w:w="614" w:type="pct"/>
            <w:tcBorders>
              <w:top w:val="nil"/>
              <w:left w:val="nil"/>
              <w:bottom w:val="nil"/>
              <w:right w:val="nil"/>
            </w:tcBorders>
            <w:hideMark/>
          </w:tcPr>
          <w:p w14:paraId="6B895234"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Tuo atveju, jei būtų pasirinktas jau veikiantis juridinis asmuo, tai šiai alternatyvai suteiktas tam juridiniam asmeniui skirtas vertinimo balas (žr. IV alternatyvos įvertinimą). Jei būtų pasirinktas naujas juridinis asmuo, tai jo patirtis vertinama 1.</w:t>
            </w:r>
          </w:p>
        </w:tc>
        <w:tc>
          <w:tcPr>
            <w:tcW w:w="612" w:type="pct"/>
            <w:tcBorders>
              <w:top w:val="nil"/>
              <w:left w:val="nil"/>
              <w:bottom w:val="nil"/>
              <w:right w:val="nil"/>
            </w:tcBorders>
            <w:hideMark/>
          </w:tcPr>
          <w:p w14:paraId="0E237D58" w14:textId="77777777" w:rsidR="0049481D" w:rsidRPr="00067CC2" w:rsidRDefault="0049481D" w:rsidP="0049481D">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EIB turi didžiausią ES fond</w:t>
            </w:r>
            <w:r>
              <w:rPr>
                <w:rFonts w:ascii="Georgia" w:hAnsi="Georgia" w:cs="Arial"/>
                <w:sz w:val="18"/>
                <w:szCs w:val="18"/>
              </w:rPr>
              <w:t>ų</w:t>
            </w:r>
            <w:r w:rsidRPr="00067CC2">
              <w:rPr>
                <w:rFonts w:ascii="Georgia" w:hAnsi="Georgia" w:cs="Arial"/>
                <w:sz w:val="18"/>
                <w:szCs w:val="18"/>
              </w:rPr>
              <w:t xml:space="preserve"> valdytojo patirtį įgyvendinant finansines priemones Lietuvoje (JESSICA KF) ir kitose ES valstyb</w:t>
            </w:r>
            <w:r>
              <w:rPr>
                <w:rFonts w:ascii="Georgia" w:hAnsi="Georgia" w:cs="Arial"/>
                <w:sz w:val="18"/>
                <w:szCs w:val="18"/>
              </w:rPr>
              <w:t>ėse, tačiau neturi patirties tiesiogiai įgyvendinant finansines priemones.</w:t>
            </w:r>
          </w:p>
        </w:tc>
        <w:tc>
          <w:tcPr>
            <w:tcW w:w="614" w:type="pct"/>
            <w:tcBorders>
              <w:top w:val="nil"/>
              <w:left w:val="nil"/>
              <w:bottom w:val="nil"/>
              <w:right w:val="nil"/>
            </w:tcBorders>
            <w:hideMark/>
          </w:tcPr>
          <w:p w14:paraId="028C548A"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Visos nagrinėjamos institucijos turi patirties įgyvendinant finansų priemones. Kita vertus, šios institucijos neturi finansinių priemonių valdytojo patirties įgyvendinant ES fondų lėšomis finansuojamas finansines priemones Lietuvoje.</w:t>
            </w:r>
          </w:p>
        </w:tc>
        <w:tc>
          <w:tcPr>
            <w:tcW w:w="614" w:type="pct"/>
            <w:tcBorders>
              <w:top w:val="nil"/>
              <w:left w:val="nil"/>
              <w:bottom w:val="nil"/>
              <w:right w:val="nil"/>
            </w:tcBorders>
            <w:hideMark/>
          </w:tcPr>
          <w:p w14:paraId="5C93F51E"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 xml:space="preserve">VIPA turi finansinio tarpininko patirties įgyvendinant daugiabučių namų ir bendrabučių modernizavimo projektus finansuojamus ES fondų lėšomis per finansines priemones. </w:t>
            </w:r>
            <w:r>
              <w:rPr>
                <w:rFonts w:ascii="Georgia" w:hAnsi="Georgia" w:cs="Arial"/>
                <w:sz w:val="18"/>
                <w:szCs w:val="18"/>
              </w:rPr>
              <w:t xml:space="preserve">VIPA administruoja ENEF fondą, kurio veikla apima centrinės valdžios viešųjų pastatų modernizavimo veiklas. </w:t>
            </w:r>
            <w:r w:rsidRPr="00067CC2">
              <w:rPr>
                <w:rFonts w:ascii="Georgia" w:hAnsi="Georgia" w:cs="Arial"/>
                <w:sz w:val="18"/>
                <w:szCs w:val="18"/>
              </w:rPr>
              <w:t xml:space="preserve">Nuo VIPA įsteigimo, kompetencijos ir patirtis kaupiama specializuojantis tik į viešajai infrastruktūrai skirtų finansinių priemonių įgyvendinimą, </w:t>
            </w:r>
            <w:r w:rsidRPr="00067CC2">
              <w:rPr>
                <w:rFonts w:ascii="Georgia" w:hAnsi="Georgia" w:cs="Arial"/>
                <w:sz w:val="18"/>
                <w:szCs w:val="18"/>
              </w:rPr>
              <w:lastRenderedPageBreak/>
              <w:t>kadangi VIPA buvo tam tikslui įsteigta finansų įstaiga ir šios veiklos yra apibrėžtos VIPA įstatuose.</w:t>
            </w:r>
          </w:p>
        </w:tc>
        <w:tc>
          <w:tcPr>
            <w:tcW w:w="612" w:type="pct"/>
            <w:tcBorders>
              <w:top w:val="nil"/>
              <w:left w:val="nil"/>
              <w:bottom w:val="nil"/>
              <w:right w:val="nil"/>
            </w:tcBorders>
            <w:hideMark/>
          </w:tcPr>
          <w:p w14:paraId="332F6894"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lastRenderedPageBreak/>
              <w:t xml:space="preserve">Kai kurie komerciniai bankai turi finansinio tarpininko patirties įgyvendinant ES fondų lėšomis finansuojamas finansines priemones skirtas daugiabučių renovacijai. Taip pat komerciniai bankai, investicijų valdymo bendrovės ir t.t. turi įvairių fondų valdymo patirties. CPVA turi finansinio tarpininko patirties įgyvendinant daugiabučių namų ir bendrabučių modernizavimo projektus finansuojamus ES </w:t>
            </w:r>
            <w:r w:rsidRPr="00067CC2">
              <w:rPr>
                <w:rFonts w:ascii="Georgia" w:hAnsi="Georgia" w:cs="Arial"/>
                <w:sz w:val="18"/>
                <w:szCs w:val="18"/>
              </w:rPr>
              <w:lastRenderedPageBreak/>
              <w:t>fondų lėšomis, taip pat turi Pasaulio banko lėšomis finansuotos daugiabučių namų renovacijos įgyvendinimo patirties bei didelę įvairių subsidinių viešojo sektoriaus programų įgyvendinimo patirtį. Minimalūs kvalifikaciniai reikalavimai būtų nustatyti konkurso sąlygose, tačiau pagal VPĮ patirtis negali būti ekonominio naudingumo vertinimo kriterijus.</w:t>
            </w:r>
          </w:p>
        </w:tc>
        <w:tc>
          <w:tcPr>
            <w:tcW w:w="638" w:type="pct"/>
            <w:tcBorders>
              <w:top w:val="nil"/>
              <w:left w:val="nil"/>
              <w:bottom w:val="nil"/>
              <w:right w:val="nil"/>
            </w:tcBorders>
            <w:hideMark/>
          </w:tcPr>
          <w:p w14:paraId="3CCBB6BB"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lastRenderedPageBreak/>
              <w:t xml:space="preserve">Vadovaujančioji institucija rengia finansinių priemonių įgyvendinimo taisykles, kitus ES fondų lėšų panaudojimą reglamentuojančius teisės aktus. Nors vadovaujanti institucija didžiosios dalies ESI fondų lėšų investavimą organizuoja per tarpines institucijas, tačiau Finansų ministerija taip pat turi didelę patirtį tiesiogiai teikiant paskolas (pvz., trumpalaikės ir ilgalaikės paskolos savivaldybėms, valstybės ir savivaldybių įstaigoms, EIB </w:t>
            </w:r>
            <w:r w:rsidRPr="00067CC2">
              <w:rPr>
                <w:rFonts w:ascii="Georgia" w:hAnsi="Georgia" w:cs="Arial"/>
                <w:sz w:val="18"/>
                <w:szCs w:val="18"/>
              </w:rPr>
              <w:lastRenderedPageBreak/>
              <w:t xml:space="preserve">paskolas projektų bendrajam finansavimui transporto, energetikos, aplinkosaugos, inovacijų ir kitose srityse pagal 2007-2013 m. laikotarpio Žmogiškųjų išteklių plėtros, Ekonomikos augimo ir Sanglaudos skatinimo veiksmų programas). </w:t>
            </w:r>
          </w:p>
        </w:tc>
        <w:tc>
          <w:tcPr>
            <w:tcW w:w="666" w:type="pct"/>
            <w:tcBorders>
              <w:top w:val="nil"/>
              <w:left w:val="nil"/>
              <w:bottom w:val="nil"/>
              <w:right w:val="single" w:sz="8" w:space="0" w:color="C0504D" w:themeColor="accent2"/>
            </w:tcBorders>
            <w:hideMark/>
          </w:tcPr>
          <w:p w14:paraId="6E2DE9EA"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lastRenderedPageBreak/>
              <w:t xml:space="preserve">EIB turi didelę fondo valdytojo patirtį įgyvendinant JESSICA finansines priemones Lietuvoje (JESSICA KF) ir kitose ES valstybėse. VIPA turi finansinio tarpininko patirties įgyvendinant daugiabučių namų ir bendrabučių modernizavimo projektus finansuojamus ES fondų lėšomis. Nuo VIPA įsteigimo, kompetencijos ir patirtis kaupiama specializuojantis tik į viešajai infrastruktūrai skirtų finansinių priemonių įgyvendinimą, kadangi VIPA buvo tam tikslui įsteigta finansų įstaiga. Konsorciumo metu </w:t>
            </w:r>
            <w:r w:rsidRPr="00067CC2">
              <w:rPr>
                <w:rFonts w:ascii="Georgia" w:hAnsi="Georgia" w:cs="Arial"/>
                <w:sz w:val="18"/>
                <w:szCs w:val="18"/>
              </w:rPr>
              <w:lastRenderedPageBreak/>
              <w:t>EIB patirtis būtų perduodama nacionaliniam partneriui, taip pat apjungiama fondo valdymo ir finansinio tarpininko praktinio darbo patirtis.</w:t>
            </w:r>
          </w:p>
        </w:tc>
      </w:tr>
      <w:tr w:rsidR="0049481D" w:rsidRPr="00067CC2" w14:paraId="3C38C324" w14:textId="77777777" w:rsidTr="003A0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val="restart"/>
            <w:tcBorders>
              <w:bottom w:val="nil"/>
              <w:right w:val="nil"/>
            </w:tcBorders>
            <w:hideMark/>
          </w:tcPr>
          <w:p w14:paraId="5A225E62" w14:textId="77777777" w:rsidR="0049481D" w:rsidRPr="00067CC2" w:rsidRDefault="0049481D" w:rsidP="003A0690">
            <w:pPr>
              <w:jc w:val="both"/>
              <w:rPr>
                <w:rFonts w:ascii="Georgia" w:hAnsi="Georgia" w:cs="Arial"/>
                <w:sz w:val="18"/>
                <w:szCs w:val="18"/>
              </w:rPr>
            </w:pPr>
            <w:r w:rsidRPr="00067CC2">
              <w:rPr>
                <w:rFonts w:ascii="Georgia" w:hAnsi="Georgia" w:cs="Arial"/>
                <w:sz w:val="18"/>
                <w:szCs w:val="18"/>
              </w:rPr>
              <w:lastRenderedPageBreak/>
              <w:t>Ištekliai</w:t>
            </w:r>
          </w:p>
        </w:tc>
        <w:tc>
          <w:tcPr>
            <w:tcW w:w="614" w:type="pct"/>
            <w:tcBorders>
              <w:left w:val="nil"/>
              <w:right w:val="nil"/>
            </w:tcBorders>
            <w:hideMark/>
          </w:tcPr>
          <w:p w14:paraId="738BBAAD"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1 arba 2</w:t>
            </w:r>
          </w:p>
        </w:tc>
        <w:tc>
          <w:tcPr>
            <w:tcW w:w="612" w:type="pct"/>
            <w:tcBorders>
              <w:left w:val="nil"/>
              <w:right w:val="nil"/>
            </w:tcBorders>
            <w:hideMark/>
          </w:tcPr>
          <w:p w14:paraId="52858053"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3</w:t>
            </w:r>
          </w:p>
        </w:tc>
        <w:tc>
          <w:tcPr>
            <w:tcW w:w="614" w:type="pct"/>
            <w:tcBorders>
              <w:left w:val="nil"/>
              <w:right w:val="nil"/>
            </w:tcBorders>
            <w:hideMark/>
          </w:tcPr>
          <w:p w14:paraId="6698C532"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2</w:t>
            </w:r>
          </w:p>
        </w:tc>
        <w:tc>
          <w:tcPr>
            <w:tcW w:w="614" w:type="pct"/>
            <w:tcBorders>
              <w:left w:val="nil"/>
              <w:right w:val="nil"/>
            </w:tcBorders>
            <w:hideMark/>
          </w:tcPr>
          <w:p w14:paraId="0DD1EF3A"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12" w:type="pct"/>
            <w:tcBorders>
              <w:left w:val="nil"/>
              <w:right w:val="nil"/>
            </w:tcBorders>
            <w:hideMark/>
          </w:tcPr>
          <w:p w14:paraId="49D3324D"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2</w:t>
            </w:r>
          </w:p>
        </w:tc>
        <w:tc>
          <w:tcPr>
            <w:tcW w:w="638" w:type="pct"/>
            <w:tcBorders>
              <w:left w:val="nil"/>
              <w:right w:val="nil"/>
            </w:tcBorders>
            <w:hideMark/>
          </w:tcPr>
          <w:p w14:paraId="463D9095"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1</w:t>
            </w:r>
          </w:p>
        </w:tc>
        <w:tc>
          <w:tcPr>
            <w:tcW w:w="666" w:type="pct"/>
            <w:tcBorders>
              <w:left w:val="nil"/>
            </w:tcBorders>
            <w:hideMark/>
          </w:tcPr>
          <w:p w14:paraId="42E09173"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3</w:t>
            </w:r>
          </w:p>
        </w:tc>
      </w:tr>
      <w:tr w:rsidR="0049481D" w:rsidRPr="00067CC2" w14:paraId="45AFC34D" w14:textId="77777777" w:rsidTr="003A0690">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14:paraId="68A3182A" w14:textId="77777777" w:rsidR="0049481D" w:rsidRPr="00067CC2" w:rsidRDefault="0049481D" w:rsidP="003A0690">
            <w:pPr>
              <w:rPr>
                <w:rFonts w:ascii="Georgia" w:hAnsi="Georgia" w:cs="Arial"/>
                <w:sz w:val="18"/>
                <w:szCs w:val="18"/>
              </w:rPr>
            </w:pPr>
          </w:p>
        </w:tc>
        <w:tc>
          <w:tcPr>
            <w:tcW w:w="614" w:type="pct"/>
            <w:tcBorders>
              <w:top w:val="nil"/>
              <w:left w:val="nil"/>
              <w:bottom w:val="nil"/>
              <w:right w:val="nil"/>
            </w:tcBorders>
            <w:hideMark/>
          </w:tcPr>
          <w:p w14:paraId="53E2E62A"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 xml:space="preserve">Tuo atveju, jei būtų pasirinktas jau veikiantis juridinis asmuo, tuomet šiai alternatyvai suteikiamas tam juridiniam asmeniui skirtas vertinimo balas (žr. IV alternatyvos įvertinimą). Jei būtų pasirinktas naujas juridinis asmuo, tai jo ištekliai vertinami </w:t>
            </w:r>
            <w:r w:rsidRPr="00067CC2">
              <w:rPr>
                <w:rFonts w:ascii="Georgia" w:hAnsi="Georgia" w:cs="Arial"/>
                <w:sz w:val="18"/>
                <w:szCs w:val="18"/>
              </w:rPr>
              <w:lastRenderedPageBreak/>
              <w:t>1.</w:t>
            </w:r>
          </w:p>
        </w:tc>
        <w:tc>
          <w:tcPr>
            <w:tcW w:w="612" w:type="pct"/>
            <w:tcBorders>
              <w:top w:val="nil"/>
              <w:left w:val="nil"/>
              <w:bottom w:val="nil"/>
              <w:right w:val="nil"/>
            </w:tcBorders>
            <w:hideMark/>
          </w:tcPr>
          <w:p w14:paraId="42A4AA1B"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lastRenderedPageBreak/>
              <w:t xml:space="preserve">EIB turi kompetentingus žmogiškuosius išteklius, tačiau EIB pagrindinė būstinė ir pagrindinis personalas yra Liuksemburge. Kartais tai sudaro nepatogumus dirbant su suinteresuotomis šalimis (pvz., apribotos tiesioginio bendravimo </w:t>
            </w:r>
            <w:r w:rsidRPr="00067CC2">
              <w:rPr>
                <w:rFonts w:ascii="Georgia" w:hAnsi="Georgia" w:cs="Arial"/>
                <w:sz w:val="18"/>
                <w:szCs w:val="18"/>
              </w:rPr>
              <w:lastRenderedPageBreak/>
              <w:t xml:space="preserve">galimybės, reti investicinių komitetų posėdžiai, ilgos derybos su finansiniais tarpininkais). Taip pat tai lemia aukštus žmogiškųjų išteklių įkainius (ribotus galimus skirti išteklius atsižvelgiant į galimą maksimalų valdymo mokestį) ir papildomas išlaidas (vertimai, logistika). </w:t>
            </w:r>
          </w:p>
        </w:tc>
        <w:tc>
          <w:tcPr>
            <w:tcW w:w="614" w:type="pct"/>
            <w:tcBorders>
              <w:top w:val="nil"/>
              <w:left w:val="nil"/>
              <w:bottom w:val="nil"/>
              <w:right w:val="nil"/>
            </w:tcBorders>
            <w:hideMark/>
          </w:tcPr>
          <w:p w14:paraId="421EA746"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lastRenderedPageBreak/>
              <w:t xml:space="preserve">Tarptautinės finansų institucijos turi kompetentingus žmogiškuosius išteklius, tačiau jų pagrindinės būstinės ir pagrindinis personalas yra ne Lietuvoje. Tai gali sudaryti nepatogumų dirbant su suinteresuotomis šalimis (pvz., apribotos </w:t>
            </w:r>
            <w:r w:rsidRPr="00067CC2">
              <w:rPr>
                <w:rFonts w:ascii="Georgia" w:hAnsi="Georgia" w:cs="Arial"/>
                <w:sz w:val="18"/>
                <w:szCs w:val="18"/>
              </w:rPr>
              <w:lastRenderedPageBreak/>
              <w:t xml:space="preserve">tiesioginio bendravimo galimybės, reti investicinių komitetų posėdžiai, ilgos derybos su finansiniais tarpininkais). Taip pat tai lemia aukštus žmogiškųjų išteklių įkainius (ribotus galimus skirti išteklius atsižvelgiant į galimą maksimalų valdymo mokestį) ir papildomas išlaidas (vertimai, logistika). </w:t>
            </w:r>
          </w:p>
        </w:tc>
        <w:tc>
          <w:tcPr>
            <w:tcW w:w="614" w:type="pct"/>
            <w:tcBorders>
              <w:top w:val="nil"/>
              <w:left w:val="nil"/>
              <w:bottom w:val="nil"/>
              <w:right w:val="nil"/>
            </w:tcBorders>
            <w:hideMark/>
          </w:tcPr>
          <w:p w14:paraId="2D03FDA0"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lastRenderedPageBreak/>
              <w:t xml:space="preserve">VIPA turi žmogiškuosius išteklius turinčius kompetencijų tiek finansinių priemonių įgyvendinime, ESI fondų administravime, tiek ir tiksliniuose sektoriuose. </w:t>
            </w:r>
            <w:r>
              <w:rPr>
                <w:rFonts w:ascii="Georgia" w:hAnsi="Georgia" w:cs="Arial"/>
                <w:sz w:val="18"/>
                <w:szCs w:val="18"/>
              </w:rPr>
              <w:t xml:space="preserve">VIPA yra sukūrusi arba beveik sukūrusi dokumentaciją reikalingą viešųjų pastatų modernizacijai </w:t>
            </w:r>
            <w:r>
              <w:rPr>
                <w:rFonts w:ascii="Georgia" w:hAnsi="Georgia" w:cs="Arial"/>
                <w:sz w:val="18"/>
                <w:szCs w:val="18"/>
              </w:rPr>
              <w:lastRenderedPageBreak/>
              <w:t xml:space="preserve">vykdyti. </w:t>
            </w:r>
            <w:r w:rsidRPr="00067CC2">
              <w:rPr>
                <w:rFonts w:ascii="Georgia" w:hAnsi="Georgia" w:cs="Arial"/>
                <w:sz w:val="18"/>
                <w:szCs w:val="18"/>
              </w:rPr>
              <w:t>Nuo VIPA įsteigimo, kompetencijos ir patirtis kaupiama specializuojantis tik į viešajai infrastruktūrai skirtų finansinių priemonių įgyvendinimą. VIPA ištekliai sąlyginai nesunkiai gali būti planuojamai pagal programų įgyvendinimui reikalingą poreikį ir administravimo mokesčio dydį, tačiau išteklių apimtis riboja kompetentingų specialistų pasiūla darbo rinkoje.</w:t>
            </w:r>
          </w:p>
        </w:tc>
        <w:tc>
          <w:tcPr>
            <w:tcW w:w="612" w:type="pct"/>
            <w:tcBorders>
              <w:top w:val="nil"/>
              <w:left w:val="nil"/>
              <w:bottom w:val="nil"/>
              <w:right w:val="nil"/>
            </w:tcBorders>
            <w:hideMark/>
          </w:tcPr>
          <w:p w14:paraId="0D25AAC3"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lastRenderedPageBreak/>
              <w:t xml:space="preserve">Nėra aišku, kurios institucijos / organizacijos dalyvautų </w:t>
            </w:r>
            <w:r>
              <w:rPr>
                <w:rFonts w:ascii="Georgia" w:hAnsi="Georgia" w:cs="Arial"/>
                <w:sz w:val="18"/>
                <w:szCs w:val="18"/>
              </w:rPr>
              <w:t>finansinės priemonės</w:t>
            </w:r>
            <w:r w:rsidRPr="00067CC2">
              <w:rPr>
                <w:rFonts w:ascii="Georgia" w:hAnsi="Georgia" w:cs="Arial"/>
                <w:sz w:val="18"/>
                <w:szCs w:val="18"/>
              </w:rPr>
              <w:t xml:space="preserve"> valdytojo atrankos konkurse organizuojamame pagal LR viešųjų pirkimų įstatymo nuostatas. Siūlomos komandos kompetencijos įvertinimas turėtų būti įtrauktas kaip </w:t>
            </w:r>
            <w:r w:rsidRPr="00067CC2">
              <w:rPr>
                <w:rFonts w:ascii="Georgia" w:hAnsi="Georgia" w:cs="Arial"/>
                <w:sz w:val="18"/>
                <w:szCs w:val="18"/>
              </w:rPr>
              <w:lastRenderedPageBreak/>
              <w:t xml:space="preserve">vienas iš kvalifikacinių, bet ne ekonominio naudingumo kriterijų. </w:t>
            </w:r>
          </w:p>
        </w:tc>
        <w:tc>
          <w:tcPr>
            <w:tcW w:w="638" w:type="pct"/>
            <w:tcBorders>
              <w:top w:val="nil"/>
              <w:left w:val="nil"/>
              <w:bottom w:val="nil"/>
              <w:right w:val="nil"/>
            </w:tcBorders>
            <w:hideMark/>
          </w:tcPr>
          <w:p w14:paraId="7914A0D3"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lastRenderedPageBreak/>
              <w:t xml:space="preserve">Papildomi apribojimai dėl valstybės tarnybai taikomų reikalavimų ir bendros pozicijos dėl viešojo sektoriaus darbuotojų skaičiaus didinimo. </w:t>
            </w:r>
          </w:p>
        </w:tc>
        <w:tc>
          <w:tcPr>
            <w:tcW w:w="666" w:type="pct"/>
            <w:tcBorders>
              <w:top w:val="nil"/>
              <w:left w:val="nil"/>
              <w:bottom w:val="nil"/>
              <w:right w:val="single" w:sz="8" w:space="0" w:color="C0504D" w:themeColor="accent2"/>
            </w:tcBorders>
            <w:hideMark/>
          </w:tcPr>
          <w:p w14:paraId="276AC261"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EIB turi kompetentingus žmogiškuosius išteklius, tačiau EIB pagrindinė būstinė ir pagrindinis personalas yra Liuksemburge. VIPA Lietuvoje turi žmogiškuosius išteklius turinčius kompetencijų tiek finansinių priemonių įgyvendinime, tiek ir tiksliniuose sektoriuose.</w:t>
            </w:r>
          </w:p>
        </w:tc>
      </w:tr>
      <w:tr w:rsidR="0049481D" w:rsidRPr="00067CC2" w14:paraId="3E27D741" w14:textId="77777777" w:rsidTr="003A0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val="restart"/>
            <w:tcBorders>
              <w:bottom w:val="nil"/>
              <w:right w:val="nil"/>
            </w:tcBorders>
            <w:hideMark/>
          </w:tcPr>
          <w:p w14:paraId="02E4466E" w14:textId="77777777" w:rsidR="0049481D" w:rsidRPr="00067CC2" w:rsidRDefault="0049481D" w:rsidP="003A0690">
            <w:pPr>
              <w:rPr>
                <w:rFonts w:ascii="Georgia" w:hAnsi="Georgia" w:cs="Arial"/>
                <w:sz w:val="18"/>
                <w:szCs w:val="18"/>
              </w:rPr>
            </w:pPr>
            <w:r w:rsidRPr="00067CC2">
              <w:rPr>
                <w:rFonts w:ascii="Georgia" w:hAnsi="Georgia" w:cs="Arial"/>
                <w:sz w:val="18"/>
                <w:szCs w:val="18"/>
              </w:rPr>
              <w:lastRenderedPageBreak/>
              <w:t>Lankstumas</w:t>
            </w:r>
          </w:p>
        </w:tc>
        <w:tc>
          <w:tcPr>
            <w:tcW w:w="614" w:type="pct"/>
            <w:tcBorders>
              <w:left w:val="nil"/>
              <w:right w:val="nil"/>
            </w:tcBorders>
            <w:hideMark/>
          </w:tcPr>
          <w:p w14:paraId="0A6E9B31"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1</w:t>
            </w:r>
          </w:p>
        </w:tc>
        <w:tc>
          <w:tcPr>
            <w:tcW w:w="612" w:type="pct"/>
            <w:tcBorders>
              <w:left w:val="nil"/>
              <w:right w:val="nil"/>
            </w:tcBorders>
            <w:hideMark/>
          </w:tcPr>
          <w:p w14:paraId="5044673E"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2</w:t>
            </w:r>
          </w:p>
        </w:tc>
        <w:tc>
          <w:tcPr>
            <w:tcW w:w="614" w:type="pct"/>
            <w:tcBorders>
              <w:left w:val="nil"/>
              <w:right w:val="nil"/>
            </w:tcBorders>
            <w:hideMark/>
          </w:tcPr>
          <w:p w14:paraId="6B398815"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2</w:t>
            </w:r>
          </w:p>
        </w:tc>
        <w:tc>
          <w:tcPr>
            <w:tcW w:w="614" w:type="pct"/>
            <w:tcBorders>
              <w:left w:val="nil"/>
              <w:right w:val="nil"/>
            </w:tcBorders>
            <w:hideMark/>
          </w:tcPr>
          <w:p w14:paraId="192684FE"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12" w:type="pct"/>
            <w:tcBorders>
              <w:left w:val="nil"/>
              <w:right w:val="nil"/>
            </w:tcBorders>
            <w:hideMark/>
          </w:tcPr>
          <w:p w14:paraId="75C8C562"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2</w:t>
            </w:r>
          </w:p>
        </w:tc>
        <w:tc>
          <w:tcPr>
            <w:tcW w:w="638" w:type="pct"/>
            <w:tcBorders>
              <w:left w:val="nil"/>
              <w:right w:val="nil"/>
            </w:tcBorders>
            <w:hideMark/>
          </w:tcPr>
          <w:p w14:paraId="32493AE3"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1</w:t>
            </w:r>
          </w:p>
        </w:tc>
        <w:tc>
          <w:tcPr>
            <w:tcW w:w="666" w:type="pct"/>
            <w:tcBorders>
              <w:left w:val="nil"/>
            </w:tcBorders>
            <w:hideMark/>
          </w:tcPr>
          <w:p w14:paraId="3E64DABA"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3</w:t>
            </w:r>
          </w:p>
        </w:tc>
      </w:tr>
      <w:tr w:rsidR="0049481D" w:rsidRPr="00067CC2" w14:paraId="2D54FECF" w14:textId="77777777" w:rsidTr="003A0690">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14:paraId="1979AF9C" w14:textId="77777777" w:rsidR="0049481D" w:rsidRPr="00067CC2" w:rsidRDefault="0049481D" w:rsidP="003A0690">
            <w:pPr>
              <w:rPr>
                <w:rFonts w:ascii="Georgia" w:hAnsi="Georgia" w:cs="Arial"/>
                <w:sz w:val="18"/>
                <w:szCs w:val="18"/>
              </w:rPr>
            </w:pPr>
          </w:p>
        </w:tc>
        <w:tc>
          <w:tcPr>
            <w:tcW w:w="614" w:type="pct"/>
            <w:tcBorders>
              <w:top w:val="nil"/>
              <w:left w:val="nil"/>
              <w:bottom w:val="nil"/>
              <w:right w:val="nil"/>
            </w:tcBorders>
            <w:hideMark/>
          </w:tcPr>
          <w:p w14:paraId="6C52A2B9"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 xml:space="preserve">ESI fondų lėšas investuojant į veikiančių ar naujų juridinių asmenų kapitalą, </w:t>
            </w:r>
            <w:r>
              <w:rPr>
                <w:rFonts w:ascii="Georgia" w:hAnsi="Georgia" w:cs="Arial"/>
                <w:sz w:val="18"/>
                <w:szCs w:val="18"/>
              </w:rPr>
              <w:t>finansinės priemonės</w:t>
            </w:r>
            <w:r w:rsidRPr="00067CC2">
              <w:rPr>
                <w:rFonts w:ascii="Georgia" w:hAnsi="Georgia" w:cs="Arial"/>
                <w:sz w:val="18"/>
                <w:szCs w:val="18"/>
              </w:rPr>
              <w:t xml:space="preserve"> veiklos rezultatai tampa neatsiejami nuo juridinio asmens veiklos rezultatų ir atvirkščiai. Atitinkamai visos vykdomos veiklos yra vertinamos pirmiausia pelningumo ir </w:t>
            </w:r>
            <w:r w:rsidRPr="00067CC2">
              <w:rPr>
                <w:rFonts w:ascii="Georgia" w:hAnsi="Georgia" w:cs="Arial"/>
                <w:sz w:val="18"/>
                <w:szCs w:val="18"/>
              </w:rPr>
              <w:lastRenderedPageBreak/>
              <w:t xml:space="preserve">rizikos prarasti lėšas mažinimo požiūriu, antroje vietoje paliekant multiplikatoriaus ir kitus </w:t>
            </w:r>
            <w:r>
              <w:rPr>
                <w:rFonts w:ascii="Georgia" w:hAnsi="Georgia" w:cs="Arial"/>
                <w:sz w:val="18"/>
                <w:szCs w:val="18"/>
              </w:rPr>
              <w:t>finansinės priemonės</w:t>
            </w:r>
            <w:r w:rsidRPr="00067CC2">
              <w:rPr>
                <w:rFonts w:ascii="Georgia" w:hAnsi="Georgia" w:cs="Arial"/>
                <w:sz w:val="18"/>
                <w:szCs w:val="18"/>
              </w:rPr>
              <w:t xml:space="preserve"> kūrimo uždavinius. </w:t>
            </w:r>
          </w:p>
        </w:tc>
        <w:tc>
          <w:tcPr>
            <w:tcW w:w="612" w:type="pct"/>
            <w:tcBorders>
              <w:top w:val="nil"/>
              <w:left w:val="nil"/>
              <w:bottom w:val="nil"/>
              <w:right w:val="nil"/>
            </w:tcBorders>
            <w:hideMark/>
          </w:tcPr>
          <w:p w14:paraId="3939961C"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lastRenderedPageBreak/>
              <w:t xml:space="preserve">Vadovaujančiajai institucijai ir sektorinėms ministerijoms nėra žinomos vidinės EIB procedūros, nežinomi (neaiškūs) teisiniai apribojimai ir galimybės dėl EIB taikytinos teisės. Lankstumas taip pat mažinamas dėl išteklių dalyje aprašytų apribojimų, EIB </w:t>
            </w:r>
            <w:r w:rsidRPr="00067CC2">
              <w:rPr>
                <w:rFonts w:ascii="Georgia" w:hAnsi="Georgia" w:cs="Arial"/>
                <w:sz w:val="18"/>
                <w:szCs w:val="18"/>
              </w:rPr>
              <w:lastRenderedPageBreak/>
              <w:t>siekio standartizuoti sutartis, suvienodinti ataskaitas ir procedūras dirbant skirtingose šalyse (dėl to mažėja galimybės prisitaikyti prie nacionalinių poreikių).</w:t>
            </w:r>
          </w:p>
          <w:p w14:paraId="7140703C"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Tačiau tam tikrais atvejais EIB turi palankesnes galimybes organizuoti finansinių tarpininkų atranką ir sutarčių keitimą, todėl, kad EIB nėra taikomas LR Viešųjų pirkimų įstatymas.</w:t>
            </w:r>
          </w:p>
        </w:tc>
        <w:tc>
          <w:tcPr>
            <w:tcW w:w="614" w:type="pct"/>
            <w:tcBorders>
              <w:top w:val="nil"/>
              <w:left w:val="nil"/>
              <w:bottom w:val="nil"/>
              <w:right w:val="nil"/>
            </w:tcBorders>
            <w:hideMark/>
          </w:tcPr>
          <w:p w14:paraId="501E9340"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lastRenderedPageBreak/>
              <w:t xml:space="preserve">Vadovaujančiajai institucijai ir sektorinėms ministerijoms nėra žinomos vidinės tarptautinių finansinių institucijų procedūros, nežinomi (neaiškūs) teisiniai apribojimai ir galimybės dėl taikytinos teisės. Lankstumas taip pat mažinamas dėl išteklių dalyje </w:t>
            </w:r>
            <w:r w:rsidRPr="00067CC2">
              <w:rPr>
                <w:rFonts w:ascii="Georgia" w:hAnsi="Georgia" w:cs="Arial"/>
                <w:sz w:val="18"/>
                <w:szCs w:val="18"/>
              </w:rPr>
              <w:lastRenderedPageBreak/>
              <w:t>aprašytų apribojimų.</w:t>
            </w:r>
          </w:p>
          <w:p w14:paraId="4003D5FE"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Tam tikrais atvejais tarptautinės finansinės institucijos gali turėti palankesnes galimybes organizuoti finansinių tarpininkų atranką ir sutarčių keitimą, todėl, kad joms gali būti netaikomas LR Viešųjų pirkimų įstatymas.</w:t>
            </w:r>
          </w:p>
        </w:tc>
        <w:tc>
          <w:tcPr>
            <w:tcW w:w="614" w:type="pct"/>
            <w:tcBorders>
              <w:top w:val="nil"/>
              <w:left w:val="nil"/>
              <w:bottom w:val="nil"/>
              <w:right w:val="nil"/>
            </w:tcBorders>
            <w:hideMark/>
          </w:tcPr>
          <w:p w14:paraId="6E353FA5"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lastRenderedPageBreak/>
              <w:t xml:space="preserve">Potencialiai greitas reagavimas į rinkos poreikius ir problemas įgyvendinant finansines priemones. Atsižvelgiant į aplinkos poreikius vykdomos funkcijos gali būti keičiamos visuotinio akcininkų susirinkimo sprendimu. Įmonės </w:t>
            </w:r>
            <w:r w:rsidRPr="00067CC2">
              <w:rPr>
                <w:rFonts w:ascii="Georgia" w:hAnsi="Georgia" w:cs="Arial"/>
                <w:sz w:val="18"/>
                <w:szCs w:val="18"/>
              </w:rPr>
              <w:lastRenderedPageBreak/>
              <w:t>žmogiškieji ištekliai, administracinė struktūra valdoma ir gali būti operatyviai keičiama atsižvelgiant į rinkos poreikius ir vykdomas veiklas.</w:t>
            </w:r>
          </w:p>
        </w:tc>
        <w:tc>
          <w:tcPr>
            <w:tcW w:w="612" w:type="pct"/>
            <w:tcBorders>
              <w:top w:val="nil"/>
              <w:left w:val="nil"/>
              <w:bottom w:val="nil"/>
              <w:right w:val="nil"/>
            </w:tcBorders>
            <w:hideMark/>
          </w:tcPr>
          <w:p w14:paraId="0BD79CFF"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lastRenderedPageBreak/>
              <w:t xml:space="preserve">Teikiamų </w:t>
            </w:r>
            <w:r>
              <w:rPr>
                <w:rFonts w:ascii="Georgia" w:hAnsi="Georgia" w:cs="Arial"/>
                <w:sz w:val="18"/>
                <w:szCs w:val="18"/>
              </w:rPr>
              <w:t>finansinės priemonės</w:t>
            </w:r>
            <w:r w:rsidRPr="00067CC2">
              <w:rPr>
                <w:rFonts w:ascii="Georgia" w:hAnsi="Georgia" w:cs="Arial"/>
                <w:sz w:val="18"/>
                <w:szCs w:val="18"/>
              </w:rPr>
              <w:t xml:space="preserve"> valdymo paslaugų apimtis ir siektini rezultatai nustatomi viešojo pirkimo būdu parinkto tiekėjo sutartyje. </w:t>
            </w:r>
            <w:r>
              <w:rPr>
                <w:rFonts w:ascii="Georgia" w:hAnsi="Georgia" w:cs="Arial"/>
                <w:sz w:val="18"/>
                <w:szCs w:val="18"/>
              </w:rPr>
              <w:t>finansinės priemonės</w:t>
            </w:r>
            <w:r w:rsidRPr="00067CC2">
              <w:rPr>
                <w:rFonts w:ascii="Georgia" w:hAnsi="Georgia" w:cs="Arial"/>
                <w:sz w:val="18"/>
                <w:szCs w:val="18"/>
              </w:rPr>
              <w:t xml:space="preserve"> veiklos organizavimo pakeitimai ir galimybės perorientuoti veiklą gali būti </w:t>
            </w:r>
            <w:r w:rsidRPr="00067CC2">
              <w:rPr>
                <w:rFonts w:ascii="Georgia" w:hAnsi="Georgia" w:cs="Arial"/>
                <w:sz w:val="18"/>
                <w:szCs w:val="18"/>
              </w:rPr>
              <w:lastRenderedPageBreak/>
              <w:t xml:space="preserve">apriboti viešųjų pirkimų įstatymo nuostatų. </w:t>
            </w:r>
          </w:p>
        </w:tc>
        <w:tc>
          <w:tcPr>
            <w:tcW w:w="638" w:type="pct"/>
            <w:tcBorders>
              <w:top w:val="nil"/>
              <w:left w:val="nil"/>
              <w:bottom w:val="nil"/>
              <w:right w:val="nil"/>
            </w:tcBorders>
            <w:hideMark/>
          </w:tcPr>
          <w:p w14:paraId="69AEA672"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lastRenderedPageBreak/>
              <w:t xml:space="preserve">Alternatyva gali būti taikoma tik įgyvendinant paskolų ir garantijų finansines priemones. Šios alternatyvos atveju, negali būti deleguojamos funkcijos, nėra galimybių pasitelkti finansinius tarpininkus, dėl ko galutinių naudos gavėjų pasiekiamumas gali būti ribotas. </w:t>
            </w:r>
            <w:r w:rsidRPr="00067CC2">
              <w:rPr>
                <w:rFonts w:ascii="Georgia" w:hAnsi="Georgia" w:cs="Arial"/>
                <w:sz w:val="18"/>
                <w:szCs w:val="18"/>
              </w:rPr>
              <w:lastRenderedPageBreak/>
              <w:t>Reagavimas į pasikeitusias sąlygas gali būti ribotas dėl sudėtingų derinimo procedūrų.</w:t>
            </w:r>
          </w:p>
        </w:tc>
        <w:tc>
          <w:tcPr>
            <w:tcW w:w="666" w:type="pct"/>
            <w:tcBorders>
              <w:top w:val="nil"/>
              <w:left w:val="nil"/>
              <w:bottom w:val="nil"/>
              <w:right w:val="single" w:sz="8" w:space="0" w:color="C0504D" w:themeColor="accent2"/>
            </w:tcBorders>
            <w:hideMark/>
          </w:tcPr>
          <w:p w14:paraId="6C344C03"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lastRenderedPageBreak/>
              <w:t>Būtų pasiektas sinergijos efektas, nes nacionalinės institucijos dalyvavimas iš dalies kompensuotų identifikuotus EIB apribojimus.</w:t>
            </w:r>
          </w:p>
        </w:tc>
      </w:tr>
      <w:tr w:rsidR="0049481D" w:rsidRPr="00067CC2" w14:paraId="6CB06173" w14:textId="77777777" w:rsidTr="003A0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val="restart"/>
            <w:tcBorders>
              <w:bottom w:val="nil"/>
              <w:right w:val="nil"/>
            </w:tcBorders>
            <w:hideMark/>
          </w:tcPr>
          <w:p w14:paraId="30C01E72" w14:textId="77777777" w:rsidR="0049481D" w:rsidRPr="00067CC2" w:rsidRDefault="0049481D" w:rsidP="003A0690">
            <w:pPr>
              <w:jc w:val="both"/>
              <w:rPr>
                <w:rFonts w:ascii="Georgia" w:hAnsi="Georgia" w:cs="Arial"/>
                <w:sz w:val="18"/>
                <w:szCs w:val="18"/>
              </w:rPr>
            </w:pPr>
            <w:r w:rsidRPr="00067CC2">
              <w:rPr>
                <w:rFonts w:ascii="Georgia" w:hAnsi="Georgia" w:cs="Arial"/>
                <w:sz w:val="18"/>
                <w:szCs w:val="18"/>
              </w:rPr>
              <w:lastRenderedPageBreak/>
              <w:t>Pasitraukimo rizika</w:t>
            </w:r>
          </w:p>
        </w:tc>
        <w:tc>
          <w:tcPr>
            <w:tcW w:w="614" w:type="pct"/>
            <w:tcBorders>
              <w:left w:val="nil"/>
              <w:right w:val="nil"/>
            </w:tcBorders>
            <w:hideMark/>
          </w:tcPr>
          <w:p w14:paraId="555CCDAF"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2</w:t>
            </w:r>
          </w:p>
        </w:tc>
        <w:tc>
          <w:tcPr>
            <w:tcW w:w="612" w:type="pct"/>
            <w:tcBorders>
              <w:left w:val="nil"/>
              <w:right w:val="nil"/>
            </w:tcBorders>
            <w:hideMark/>
          </w:tcPr>
          <w:p w14:paraId="644B9D58"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2</w:t>
            </w:r>
          </w:p>
        </w:tc>
        <w:tc>
          <w:tcPr>
            <w:tcW w:w="614" w:type="pct"/>
            <w:tcBorders>
              <w:left w:val="nil"/>
              <w:right w:val="nil"/>
            </w:tcBorders>
            <w:hideMark/>
          </w:tcPr>
          <w:p w14:paraId="43E032F4"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1</w:t>
            </w:r>
          </w:p>
        </w:tc>
        <w:tc>
          <w:tcPr>
            <w:tcW w:w="614" w:type="pct"/>
            <w:tcBorders>
              <w:left w:val="nil"/>
              <w:right w:val="nil"/>
            </w:tcBorders>
            <w:hideMark/>
          </w:tcPr>
          <w:p w14:paraId="0B0F8965"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Pr>
                <w:rFonts w:ascii="Georgia" w:hAnsi="Georgia" w:cs="Arial"/>
                <w:sz w:val="18"/>
                <w:szCs w:val="18"/>
              </w:rPr>
              <w:t>3</w:t>
            </w:r>
          </w:p>
        </w:tc>
        <w:tc>
          <w:tcPr>
            <w:tcW w:w="612" w:type="pct"/>
            <w:tcBorders>
              <w:left w:val="nil"/>
              <w:right w:val="nil"/>
            </w:tcBorders>
            <w:hideMark/>
          </w:tcPr>
          <w:p w14:paraId="6E16977E"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1</w:t>
            </w:r>
          </w:p>
        </w:tc>
        <w:tc>
          <w:tcPr>
            <w:tcW w:w="638" w:type="pct"/>
            <w:tcBorders>
              <w:left w:val="nil"/>
              <w:right w:val="nil"/>
            </w:tcBorders>
            <w:hideMark/>
          </w:tcPr>
          <w:p w14:paraId="73BEB8A1"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3</w:t>
            </w:r>
          </w:p>
        </w:tc>
        <w:tc>
          <w:tcPr>
            <w:tcW w:w="666" w:type="pct"/>
            <w:tcBorders>
              <w:left w:val="nil"/>
            </w:tcBorders>
            <w:hideMark/>
          </w:tcPr>
          <w:p w14:paraId="76BDDC11"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3</w:t>
            </w:r>
          </w:p>
        </w:tc>
      </w:tr>
      <w:tr w:rsidR="0049481D" w:rsidRPr="00067CC2" w14:paraId="1C5FDD5D" w14:textId="77777777" w:rsidTr="003A0690">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14:paraId="45975A8F" w14:textId="77777777" w:rsidR="0049481D" w:rsidRPr="00067CC2" w:rsidRDefault="0049481D" w:rsidP="003A0690">
            <w:pPr>
              <w:rPr>
                <w:rFonts w:ascii="Georgia" w:hAnsi="Georgia" w:cs="Arial"/>
                <w:sz w:val="18"/>
                <w:szCs w:val="18"/>
              </w:rPr>
            </w:pPr>
          </w:p>
        </w:tc>
        <w:tc>
          <w:tcPr>
            <w:tcW w:w="614" w:type="pct"/>
            <w:tcBorders>
              <w:top w:val="nil"/>
              <w:left w:val="nil"/>
              <w:bottom w:val="nil"/>
              <w:right w:val="nil"/>
            </w:tcBorders>
            <w:hideMark/>
          </w:tcPr>
          <w:p w14:paraId="5A79FB6F"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Pasitraukimo rizika neidentifikuota.</w:t>
            </w:r>
          </w:p>
        </w:tc>
        <w:tc>
          <w:tcPr>
            <w:tcW w:w="612" w:type="pct"/>
            <w:tcBorders>
              <w:top w:val="nil"/>
              <w:left w:val="nil"/>
              <w:bottom w:val="nil"/>
              <w:right w:val="nil"/>
            </w:tcBorders>
            <w:hideMark/>
          </w:tcPr>
          <w:p w14:paraId="14AFC936"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Neplanuoto pasitraukimo rizika gali pasireikšti. Rizika valdoma sutartimi.</w:t>
            </w:r>
          </w:p>
        </w:tc>
        <w:tc>
          <w:tcPr>
            <w:tcW w:w="614" w:type="pct"/>
            <w:tcBorders>
              <w:top w:val="nil"/>
              <w:left w:val="nil"/>
              <w:bottom w:val="nil"/>
              <w:right w:val="nil"/>
            </w:tcBorders>
            <w:hideMark/>
          </w:tcPr>
          <w:p w14:paraId="36C6E812"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Pasitraukimo rizika gali pasireikšti.</w:t>
            </w:r>
          </w:p>
        </w:tc>
        <w:tc>
          <w:tcPr>
            <w:tcW w:w="614" w:type="pct"/>
            <w:tcBorders>
              <w:top w:val="nil"/>
              <w:left w:val="nil"/>
              <w:bottom w:val="nil"/>
              <w:right w:val="nil"/>
            </w:tcBorders>
            <w:hideMark/>
          </w:tcPr>
          <w:p w14:paraId="07C1D103"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 xml:space="preserve">Pasitraukimo rizika neidentifikuota. </w:t>
            </w:r>
          </w:p>
        </w:tc>
        <w:tc>
          <w:tcPr>
            <w:tcW w:w="612" w:type="pct"/>
            <w:tcBorders>
              <w:top w:val="nil"/>
              <w:left w:val="nil"/>
              <w:bottom w:val="nil"/>
              <w:right w:val="nil"/>
            </w:tcBorders>
            <w:hideMark/>
          </w:tcPr>
          <w:p w14:paraId="317C04BB"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Pasitraukimo rizika gali pasireikšti.</w:t>
            </w:r>
          </w:p>
        </w:tc>
        <w:tc>
          <w:tcPr>
            <w:tcW w:w="638" w:type="pct"/>
            <w:tcBorders>
              <w:top w:val="nil"/>
              <w:left w:val="nil"/>
              <w:bottom w:val="nil"/>
              <w:right w:val="nil"/>
            </w:tcBorders>
            <w:hideMark/>
          </w:tcPr>
          <w:p w14:paraId="7DCE4CF3"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Pasitraukimo rizikos neidentifikuota.</w:t>
            </w:r>
          </w:p>
        </w:tc>
        <w:tc>
          <w:tcPr>
            <w:tcW w:w="666" w:type="pct"/>
            <w:tcBorders>
              <w:top w:val="nil"/>
              <w:left w:val="nil"/>
              <w:bottom w:val="nil"/>
              <w:right w:val="single" w:sz="8" w:space="0" w:color="C0504D" w:themeColor="accent2"/>
            </w:tcBorders>
            <w:hideMark/>
          </w:tcPr>
          <w:p w14:paraId="6E6B105E"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Pasireiškus vieno iš partnerių pasitraukimo rizikai kitas partneris galėtų kompensuoti galimas neigiamas pasekmes.</w:t>
            </w:r>
          </w:p>
        </w:tc>
      </w:tr>
      <w:tr w:rsidR="0049481D" w:rsidRPr="00067CC2" w14:paraId="766A4B5E" w14:textId="77777777" w:rsidTr="003A0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val="restart"/>
            <w:tcBorders>
              <w:bottom w:val="nil"/>
              <w:right w:val="nil"/>
            </w:tcBorders>
            <w:hideMark/>
          </w:tcPr>
          <w:p w14:paraId="24BBEBF7" w14:textId="77777777" w:rsidR="0049481D" w:rsidRPr="00067CC2" w:rsidRDefault="0049481D" w:rsidP="003A0690">
            <w:pPr>
              <w:jc w:val="both"/>
              <w:rPr>
                <w:rFonts w:ascii="Georgia" w:hAnsi="Georgia" w:cs="Arial"/>
                <w:sz w:val="18"/>
                <w:szCs w:val="18"/>
              </w:rPr>
            </w:pPr>
            <w:r w:rsidRPr="00067CC2">
              <w:rPr>
                <w:rFonts w:ascii="Georgia" w:hAnsi="Georgia" w:cs="Arial"/>
                <w:sz w:val="18"/>
                <w:szCs w:val="18"/>
              </w:rPr>
              <w:t>Kompetencijų nacionalinių lygiu kūrimas</w:t>
            </w:r>
          </w:p>
        </w:tc>
        <w:tc>
          <w:tcPr>
            <w:tcW w:w="614" w:type="pct"/>
            <w:tcBorders>
              <w:left w:val="nil"/>
              <w:right w:val="nil"/>
            </w:tcBorders>
            <w:hideMark/>
          </w:tcPr>
          <w:p w14:paraId="58581887"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2</w:t>
            </w:r>
          </w:p>
        </w:tc>
        <w:tc>
          <w:tcPr>
            <w:tcW w:w="612" w:type="pct"/>
            <w:tcBorders>
              <w:left w:val="nil"/>
              <w:right w:val="nil"/>
            </w:tcBorders>
            <w:hideMark/>
          </w:tcPr>
          <w:p w14:paraId="46B1DCEB"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1</w:t>
            </w:r>
          </w:p>
        </w:tc>
        <w:tc>
          <w:tcPr>
            <w:tcW w:w="614" w:type="pct"/>
            <w:tcBorders>
              <w:left w:val="nil"/>
              <w:right w:val="nil"/>
            </w:tcBorders>
            <w:hideMark/>
          </w:tcPr>
          <w:p w14:paraId="3074F019"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1</w:t>
            </w:r>
          </w:p>
        </w:tc>
        <w:tc>
          <w:tcPr>
            <w:tcW w:w="614" w:type="pct"/>
            <w:tcBorders>
              <w:left w:val="nil"/>
              <w:right w:val="nil"/>
            </w:tcBorders>
            <w:hideMark/>
          </w:tcPr>
          <w:p w14:paraId="112BC8ED"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2</w:t>
            </w:r>
          </w:p>
        </w:tc>
        <w:tc>
          <w:tcPr>
            <w:tcW w:w="612" w:type="pct"/>
            <w:tcBorders>
              <w:left w:val="nil"/>
              <w:right w:val="nil"/>
            </w:tcBorders>
            <w:hideMark/>
          </w:tcPr>
          <w:p w14:paraId="57C7D768"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2</w:t>
            </w:r>
          </w:p>
        </w:tc>
        <w:tc>
          <w:tcPr>
            <w:tcW w:w="638" w:type="pct"/>
            <w:tcBorders>
              <w:left w:val="nil"/>
              <w:right w:val="nil"/>
            </w:tcBorders>
            <w:hideMark/>
          </w:tcPr>
          <w:p w14:paraId="289F8A2C"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2</w:t>
            </w:r>
          </w:p>
        </w:tc>
        <w:tc>
          <w:tcPr>
            <w:tcW w:w="666" w:type="pct"/>
            <w:tcBorders>
              <w:left w:val="nil"/>
            </w:tcBorders>
            <w:hideMark/>
          </w:tcPr>
          <w:p w14:paraId="0B848837"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3</w:t>
            </w:r>
          </w:p>
        </w:tc>
      </w:tr>
      <w:tr w:rsidR="0049481D" w:rsidRPr="00067CC2" w14:paraId="50EC152A" w14:textId="77777777" w:rsidTr="003A0690">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14:paraId="66DA477D" w14:textId="77777777" w:rsidR="0049481D" w:rsidRPr="00067CC2" w:rsidRDefault="0049481D" w:rsidP="003A0690">
            <w:pPr>
              <w:rPr>
                <w:rFonts w:ascii="Georgia" w:hAnsi="Georgia" w:cs="Arial"/>
                <w:sz w:val="18"/>
                <w:szCs w:val="18"/>
              </w:rPr>
            </w:pPr>
          </w:p>
        </w:tc>
        <w:tc>
          <w:tcPr>
            <w:tcW w:w="614" w:type="pct"/>
            <w:tcBorders>
              <w:top w:val="nil"/>
              <w:left w:val="nil"/>
              <w:bottom w:val="nil"/>
              <w:right w:val="nil"/>
            </w:tcBorders>
            <w:hideMark/>
          </w:tcPr>
          <w:p w14:paraId="5EF56771"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Kompetencijos ir žinios kuriamos nacionaliniu lygiu tačiau tiesiogiai neišnaudojama tarptautinių institucijų patirtis.</w:t>
            </w:r>
          </w:p>
        </w:tc>
        <w:tc>
          <w:tcPr>
            <w:tcW w:w="612" w:type="pct"/>
            <w:tcBorders>
              <w:top w:val="nil"/>
              <w:left w:val="nil"/>
              <w:bottom w:val="nil"/>
              <w:right w:val="nil"/>
            </w:tcBorders>
            <w:hideMark/>
          </w:tcPr>
          <w:p w14:paraId="078E3C83"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Kompetencijos, patirtis ir žinios koncentruojamos ne Lietuvoje.</w:t>
            </w:r>
          </w:p>
        </w:tc>
        <w:tc>
          <w:tcPr>
            <w:tcW w:w="614" w:type="pct"/>
            <w:tcBorders>
              <w:top w:val="nil"/>
              <w:left w:val="nil"/>
              <w:bottom w:val="nil"/>
              <w:right w:val="nil"/>
            </w:tcBorders>
            <w:hideMark/>
          </w:tcPr>
          <w:p w14:paraId="76B414A0"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Kompetencijos, patirtis ir žinios koncentruojamos ne Lietuvoje.</w:t>
            </w:r>
          </w:p>
        </w:tc>
        <w:tc>
          <w:tcPr>
            <w:tcW w:w="614" w:type="pct"/>
            <w:tcBorders>
              <w:top w:val="nil"/>
              <w:left w:val="nil"/>
              <w:bottom w:val="nil"/>
              <w:right w:val="nil"/>
            </w:tcBorders>
            <w:hideMark/>
          </w:tcPr>
          <w:p w14:paraId="75883050"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Kompetencijos ir žinios kuriamos nacionaliniu lygiu, tačiau tiesiogiai neišnaudojama ta</w:t>
            </w:r>
            <w:r>
              <w:rPr>
                <w:rFonts w:ascii="Georgia" w:hAnsi="Georgia" w:cs="Arial"/>
                <w:sz w:val="18"/>
                <w:szCs w:val="18"/>
              </w:rPr>
              <w:t xml:space="preserve">rptautinių institucijų patirtis, tačiau siekiant </w:t>
            </w:r>
            <w:r>
              <w:rPr>
                <w:rFonts w:ascii="Georgia" w:hAnsi="Georgia" w:cs="Arial"/>
                <w:sz w:val="18"/>
                <w:szCs w:val="18"/>
              </w:rPr>
              <w:lastRenderedPageBreak/>
              <w:t>padidinti šias kompetencijas VIPA dalyvauja EBRD valdomame ELENA projekte, bei planuoja kitų projektų, perimančių tarptautinę gerąją praktiką įgyvendinimą.</w:t>
            </w:r>
          </w:p>
        </w:tc>
        <w:tc>
          <w:tcPr>
            <w:tcW w:w="612" w:type="pct"/>
            <w:tcBorders>
              <w:top w:val="nil"/>
              <w:left w:val="nil"/>
              <w:bottom w:val="nil"/>
              <w:right w:val="nil"/>
            </w:tcBorders>
            <w:hideMark/>
          </w:tcPr>
          <w:p w14:paraId="04B26660"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lastRenderedPageBreak/>
              <w:t>Nėra galimybių įvertinti, kadangi konkurse gali dalyvauti tiek užsienio, tiek nacionalinė organizacija.</w:t>
            </w:r>
          </w:p>
        </w:tc>
        <w:tc>
          <w:tcPr>
            <w:tcW w:w="638" w:type="pct"/>
            <w:tcBorders>
              <w:top w:val="nil"/>
              <w:left w:val="nil"/>
              <w:bottom w:val="nil"/>
              <w:right w:val="nil"/>
            </w:tcBorders>
            <w:hideMark/>
          </w:tcPr>
          <w:p w14:paraId="4B0E2759"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Kompetencijos ir žinios kuriamos nacionaliniu lygiu, tačiau tiesiogiai neišnaudojama tarptautinių institucijų patirtis.</w:t>
            </w:r>
          </w:p>
        </w:tc>
        <w:tc>
          <w:tcPr>
            <w:tcW w:w="666" w:type="pct"/>
            <w:tcBorders>
              <w:top w:val="nil"/>
              <w:left w:val="nil"/>
              <w:bottom w:val="nil"/>
              <w:right w:val="single" w:sz="8" w:space="0" w:color="C0504D" w:themeColor="accent2"/>
            </w:tcBorders>
            <w:hideMark/>
          </w:tcPr>
          <w:p w14:paraId="79085D31"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 xml:space="preserve">Įgyvendinamas siekis ugdyti kompetencijas ir žinias ir nacionalinio lygio institucijose. EIB kompetencijos ir žinios, padeda </w:t>
            </w:r>
            <w:r w:rsidRPr="00067CC2">
              <w:rPr>
                <w:rFonts w:ascii="Georgia" w:hAnsi="Georgia" w:cs="Arial"/>
                <w:sz w:val="18"/>
                <w:szCs w:val="18"/>
              </w:rPr>
              <w:lastRenderedPageBreak/>
              <w:t>ugdyti kompetencijas Lietuvoje.</w:t>
            </w:r>
          </w:p>
        </w:tc>
      </w:tr>
      <w:tr w:rsidR="0049481D" w:rsidRPr="00067CC2" w14:paraId="4082BCD9" w14:textId="77777777" w:rsidTr="003A0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val="restart"/>
            <w:tcBorders>
              <w:bottom w:val="nil"/>
              <w:right w:val="nil"/>
            </w:tcBorders>
            <w:hideMark/>
          </w:tcPr>
          <w:p w14:paraId="0BF4C98C" w14:textId="77777777" w:rsidR="0049481D" w:rsidRPr="00067CC2" w:rsidRDefault="0049481D" w:rsidP="003A0690">
            <w:pPr>
              <w:jc w:val="both"/>
              <w:rPr>
                <w:rFonts w:ascii="Georgia" w:hAnsi="Georgia" w:cs="Arial"/>
                <w:sz w:val="18"/>
                <w:szCs w:val="18"/>
              </w:rPr>
            </w:pPr>
            <w:r w:rsidRPr="00067CC2">
              <w:rPr>
                <w:rFonts w:ascii="Georgia" w:hAnsi="Georgia" w:cs="Arial"/>
                <w:sz w:val="18"/>
                <w:szCs w:val="18"/>
              </w:rPr>
              <w:lastRenderedPageBreak/>
              <w:t>Funkcionalumas</w:t>
            </w:r>
          </w:p>
        </w:tc>
        <w:tc>
          <w:tcPr>
            <w:tcW w:w="614" w:type="pct"/>
            <w:tcBorders>
              <w:left w:val="nil"/>
              <w:right w:val="nil"/>
            </w:tcBorders>
            <w:hideMark/>
          </w:tcPr>
          <w:p w14:paraId="48E4B8CE"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1 arba 3</w:t>
            </w:r>
          </w:p>
        </w:tc>
        <w:tc>
          <w:tcPr>
            <w:tcW w:w="612" w:type="pct"/>
            <w:tcBorders>
              <w:left w:val="nil"/>
              <w:right w:val="nil"/>
            </w:tcBorders>
            <w:hideMark/>
          </w:tcPr>
          <w:p w14:paraId="0992927A"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3</w:t>
            </w:r>
          </w:p>
        </w:tc>
        <w:tc>
          <w:tcPr>
            <w:tcW w:w="614" w:type="pct"/>
            <w:tcBorders>
              <w:left w:val="nil"/>
              <w:right w:val="nil"/>
            </w:tcBorders>
            <w:hideMark/>
          </w:tcPr>
          <w:p w14:paraId="570A0B6A"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2</w:t>
            </w:r>
          </w:p>
        </w:tc>
        <w:tc>
          <w:tcPr>
            <w:tcW w:w="614" w:type="pct"/>
            <w:tcBorders>
              <w:left w:val="nil"/>
              <w:right w:val="nil"/>
            </w:tcBorders>
            <w:hideMark/>
          </w:tcPr>
          <w:p w14:paraId="3764CB15"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3</w:t>
            </w:r>
          </w:p>
        </w:tc>
        <w:tc>
          <w:tcPr>
            <w:tcW w:w="612" w:type="pct"/>
            <w:tcBorders>
              <w:left w:val="nil"/>
              <w:right w:val="nil"/>
            </w:tcBorders>
            <w:hideMark/>
          </w:tcPr>
          <w:p w14:paraId="30CFBBD9"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3</w:t>
            </w:r>
          </w:p>
        </w:tc>
        <w:tc>
          <w:tcPr>
            <w:tcW w:w="638" w:type="pct"/>
            <w:tcBorders>
              <w:left w:val="nil"/>
              <w:right w:val="nil"/>
            </w:tcBorders>
            <w:hideMark/>
          </w:tcPr>
          <w:p w14:paraId="2C6637CB"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2</w:t>
            </w:r>
          </w:p>
        </w:tc>
        <w:tc>
          <w:tcPr>
            <w:tcW w:w="666" w:type="pct"/>
            <w:tcBorders>
              <w:left w:val="nil"/>
            </w:tcBorders>
            <w:hideMark/>
          </w:tcPr>
          <w:p w14:paraId="687736EB"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3</w:t>
            </w:r>
          </w:p>
        </w:tc>
      </w:tr>
      <w:tr w:rsidR="0049481D" w:rsidRPr="00067CC2" w14:paraId="4261BF76" w14:textId="77777777" w:rsidTr="003A0690">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left w:val="single" w:sz="8" w:space="0" w:color="C0504D" w:themeColor="accent2"/>
              <w:bottom w:val="nil"/>
              <w:right w:val="nil"/>
            </w:tcBorders>
            <w:vAlign w:val="center"/>
            <w:hideMark/>
          </w:tcPr>
          <w:p w14:paraId="7293A4C0" w14:textId="77777777" w:rsidR="0049481D" w:rsidRPr="00067CC2" w:rsidRDefault="0049481D" w:rsidP="003A0690">
            <w:pPr>
              <w:rPr>
                <w:rFonts w:ascii="Georgia" w:hAnsi="Georgia" w:cs="Arial"/>
                <w:sz w:val="18"/>
                <w:szCs w:val="18"/>
              </w:rPr>
            </w:pPr>
          </w:p>
        </w:tc>
        <w:tc>
          <w:tcPr>
            <w:tcW w:w="614" w:type="pct"/>
            <w:tcBorders>
              <w:top w:val="nil"/>
              <w:left w:val="nil"/>
              <w:bottom w:val="nil"/>
              <w:right w:val="nil"/>
            </w:tcBorders>
            <w:hideMark/>
          </w:tcPr>
          <w:p w14:paraId="25244460"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Tuo atveju, jei būtų pasirinktas jau veikiantis juridinis asmuo, tai šiai alternatyvai suteiktas tam juridiniam asmeniui skirtas vertinimo balas (žr. IV alternatyvos įvertinimą). Jei būtų pasirinktas naujas juridinis asmuo, tai jo funkcionalumas vertinamas 1.</w:t>
            </w:r>
          </w:p>
        </w:tc>
        <w:tc>
          <w:tcPr>
            <w:tcW w:w="612" w:type="pct"/>
            <w:tcBorders>
              <w:top w:val="nil"/>
              <w:left w:val="nil"/>
              <w:bottom w:val="nil"/>
              <w:right w:val="nil"/>
            </w:tcBorders>
            <w:hideMark/>
          </w:tcPr>
          <w:p w14:paraId="7B5FDCA1"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Pagrindiniai žmogiškieji ištekliai įsikūrę Liuksemburge. Mažesnės galimybės tiesiogiai bendrauti su rinkos dalyviais. Ilgai trunkančios ir sudėtingos vidinės procedūros. Tačiau šie apribojimai gali būti kompensuojami turimais resursais ir turima patirtimi valdant JESSICA fondą Lietuvoje.</w:t>
            </w:r>
          </w:p>
        </w:tc>
        <w:tc>
          <w:tcPr>
            <w:tcW w:w="614" w:type="pct"/>
            <w:tcBorders>
              <w:top w:val="nil"/>
              <w:left w:val="nil"/>
              <w:bottom w:val="nil"/>
              <w:right w:val="nil"/>
            </w:tcBorders>
            <w:hideMark/>
          </w:tcPr>
          <w:p w14:paraId="27A010D0"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Pagrindiniai žmogiškieji ištekliai įsikūrę ne Lietuvoje. Mažesnės galimybės tiesiogiai bendrauti su rinkos dalyviais. Ilgai trunkančios ir sudėtingos vidinės procedūros.</w:t>
            </w:r>
          </w:p>
        </w:tc>
        <w:tc>
          <w:tcPr>
            <w:tcW w:w="614" w:type="pct"/>
            <w:tcBorders>
              <w:top w:val="nil"/>
              <w:left w:val="nil"/>
              <w:bottom w:val="nil"/>
              <w:right w:val="nil"/>
            </w:tcBorders>
            <w:hideMark/>
          </w:tcPr>
          <w:p w14:paraId="42B1CD02" w14:textId="77777777" w:rsidR="0049481D" w:rsidRPr="00067CC2" w:rsidRDefault="0049481D" w:rsidP="003A0690">
            <w:pPr>
              <w:pStyle w:val="Komentarotekstas"/>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Valdžios institucijų kontroliuojamai finansų įstaigai yra tiesioginės galimybės betarpiškam darbui su valdžios institucijomis ir kitomis suinteresuotomis šalimis.</w:t>
            </w:r>
          </w:p>
        </w:tc>
        <w:tc>
          <w:tcPr>
            <w:tcW w:w="612" w:type="pct"/>
            <w:tcBorders>
              <w:top w:val="nil"/>
              <w:left w:val="nil"/>
              <w:bottom w:val="nil"/>
              <w:right w:val="nil"/>
            </w:tcBorders>
            <w:hideMark/>
          </w:tcPr>
          <w:p w14:paraId="3A12B093"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 xml:space="preserve">Nėra aišku, kurios institucijos / organizacijos dalyvautų </w:t>
            </w:r>
            <w:r>
              <w:rPr>
                <w:rFonts w:ascii="Georgia" w:hAnsi="Georgia" w:cs="Arial"/>
                <w:sz w:val="18"/>
                <w:szCs w:val="18"/>
              </w:rPr>
              <w:t>finansinės priemonės</w:t>
            </w:r>
            <w:r w:rsidRPr="00067CC2">
              <w:rPr>
                <w:rFonts w:ascii="Georgia" w:hAnsi="Georgia" w:cs="Arial"/>
                <w:sz w:val="18"/>
                <w:szCs w:val="18"/>
              </w:rPr>
              <w:t xml:space="preserve"> valdytojo atrankos konkurse. Siūlomo modelio funkcionalumo įvertinimas turėtų būti įtrauktas kaip vienas iš atrankos kriterijų.</w:t>
            </w:r>
          </w:p>
        </w:tc>
        <w:tc>
          <w:tcPr>
            <w:tcW w:w="638" w:type="pct"/>
            <w:tcBorders>
              <w:top w:val="nil"/>
              <w:left w:val="nil"/>
              <w:bottom w:val="nil"/>
              <w:right w:val="nil"/>
            </w:tcBorders>
            <w:hideMark/>
          </w:tcPr>
          <w:p w14:paraId="7A0CD1FD"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Ši alternatyva rekomenduojama tais atvejais, kuomet finansinės priemonės apimtis nėra didelė, taip pat nedidelis ir projektų skaičius. Tačiau nors skiriama lėšų apimtis priemonei nėra didelė, tačiau maža projektų vertė ir kompleksiškumas neleistų panaudoti šios alternatyvos funkcionalumo.</w:t>
            </w:r>
          </w:p>
        </w:tc>
        <w:tc>
          <w:tcPr>
            <w:tcW w:w="666" w:type="pct"/>
            <w:tcBorders>
              <w:top w:val="nil"/>
              <w:left w:val="nil"/>
              <w:bottom w:val="nil"/>
              <w:right w:val="single" w:sz="8" w:space="0" w:color="C0504D" w:themeColor="accent2"/>
            </w:tcBorders>
            <w:hideMark/>
          </w:tcPr>
          <w:p w14:paraId="58E0C7E7" w14:textId="77777777" w:rsidR="0049481D" w:rsidRPr="00067CC2" w:rsidRDefault="0049481D" w:rsidP="003A0690">
            <w:pPr>
              <w:cnfStyle w:val="000000000000" w:firstRow="0" w:lastRow="0" w:firstColumn="0" w:lastColumn="0" w:oddVBand="0" w:evenVBand="0" w:oddHBand="0" w:evenHBand="0" w:firstRowFirstColumn="0" w:firstRowLastColumn="0" w:lastRowFirstColumn="0" w:lastRowLastColumn="0"/>
              <w:rPr>
                <w:rFonts w:ascii="Georgia" w:hAnsi="Georgia" w:cs="Arial"/>
                <w:sz w:val="18"/>
                <w:szCs w:val="18"/>
              </w:rPr>
            </w:pPr>
            <w:r w:rsidRPr="00067CC2">
              <w:rPr>
                <w:rFonts w:ascii="Georgia" w:hAnsi="Georgia" w:cs="Arial"/>
                <w:sz w:val="18"/>
                <w:szCs w:val="18"/>
              </w:rPr>
              <w:t xml:space="preserve">Ši alternatyva įgalintų sinergijos tarp EIB ir nacionalinės finansų įstaigos atsiradimą. Būtų užtikrinamas </w:t>
            </w:r>
            <w:r>
              <w:rPr>
                <w:rFonts w:ascii="Georgia" w:hAnsi="Georgia" w:cs="Arial"/>
                <w:sz w:val="18"/>
                <w:szCs w:val="18"/>
              </w:rPr>
              <w:t>finansinės priemonės</w:t>
            </w:r>
            <w:r w:rsidRPr="00067CC2">
              <w:rPr>
                <w:rFonts w:ascii="Georgia" w:hAnsi="Georgia" w:cs="Arial"/>
                <w:sz w:val="18"/>
                <w:szCs w:val="18"/>
              </w:rPr>
              <w:t xml:space="preserve"> valdytojų ir rinkos dalyvių bendravimas ir komunikacija, aukštas bendradarbiavimo su nacionalinėmis institucijomis lygis. Efektyvumą gali apriboti tai, jog visi veiksmai turės būti suderinti tarp dviejų </w:t>
            </w:r>
            <w:r>
              <w:rPr>
                <w:rFonts w:ascii="Georgia" w:hAnsi="Georgia" w:cs="Arial"/>
                <w:sz w:val="18"/>
                <w:szCs w:val="18"/>
              </w:rPr>
              <w:t>finansinės priemonės</w:t>
            </w:r>
            <w:r w:rsidRPr="00067CC2">
              <w:rPr>
                <w:rFonts w:ascii="Georgia" w:hAnsi="Georgia" w:cs="Arial"/>
                <w:sz w:val="18"/>
                <w:szCs w:val="18"/>
              </w:rPr>
              <w:t xml:space="preserve"> valdytojų.</w:t>
            </w:r>
          </w:p>
        </w:tc>
      </w:tr>
      <w:tr w:rsidR="0049481D" w:rsidRPr="00067CC2" w14:paraId="222518E4" w14:textId="77777777" w:rsidTr="003A0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tcBorders>
              <w:right w:val="nil"/>
            </w:tcBorders>
            <w:hideMark/>
          </w:tcPr>
          <w:p w14:paraId="3AFAE3D7" w14:textId="77777777" w:rsidR="0049481D" w:rsidRPr="00067CC2" w:rsidRDefault="0049481D" w:rsidP="003A0690">
            <w:pPr>
              <w:jc w:val="both"/>
              <w:rPr>
                <w:rFonts w:ascii="Georgia" w:hAnsi="Georgia" w:cs="Arial"/>
                <w:b w:val="0"/>
                <w:sz w:val="18"/>
                <w:szCs w:val="18"/>
              </w:rPr>
            </w:pPr>
            <w:r w:rsidRPr="00067CC2">
              <w:rPr>
                <w:rFonts w:ascii="Georgia" w:hAnsi="Georgia" w:cs="Arial"/>
                <w:sz w:val="18"/>
                <w:szCs w:val="18"/>
              </w:rPr>
              <w:t>Rezultatai:</w:t>
            </w:r>
          </w:p>
        </w:tc>
        <w:tc>
          <w:tcPr>
            <w:tcW w:w="614" w:type="pct"/>
            <w:tcBorders>
              <w:left w:val="nil"/>
              <w:right w:val="nil"/>
            </w:tcBorders>
            <w:hideMark/>
          </w:tcPr>
          <w:p w14:paraId="46037E01"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sz w:val="18"/>
                <w:szCs w:val="18"/>
              </w:rPr>
            </w:pPr>
            <w:r w:rsidRPr="00067CC2">
              <w:rPr>
                <w:rFonts w:ascii="Georgia" w:hAnsi="Georgia" w:cs="Arial"/>
                <w:b/>
                <w:sz w:val="18"/>
                <w:szCs w:val="18"/>
              </w:rPr>
              <w:t>11 arba 15</w:t>
            </w:r>
          </w:p>
        </w:tc>
        <w:tc>
          <w:tcPr>
            <w:tcW w:w="612" w:type="pct"/>
            <w:tcBorders>
              <w:left w:val="nil"/>
              <w:right w:val="nil"/>
            </w:tcBorders>
            <w:hideMark/>
          </w:tcPr>
          <w:p w14:paraId="0F05D079"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sz w:val="18"/>
                <w:szCs w:val="18"/>
              </w:rPr>
            </w:pPr>
            <w:r>
              <w:rPr>
                <w:rFonts w:ascii="Georgia" w:hAnsi="Georgia" w:cs="Arial"/>
                <w:b/>
                <w:sz w:val="18"/>
                <w:szCs w:val="18"/>
              </w:rPr>
              <w:t>16</w:t>
            </w:r>
          </w:p>
        </w:tc>
        <w:tc>
          <w:tcPr>
            <w:tcW w:w="614" w:type="pct"/>
            <w:tcBorders>
              <w:left w:val="nil"/>
              <w:right w:val="nil"/>
            </w:tcBorders>
            <w:hideMark/>
          </w:tcPr>
          <w:p w14:paraId="6D1B58D8"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sz w:val="18"/>
                <w:szCs w:val="18"/>
              </w:rPr>
            </w:pPr>
            <w:r w:rsidRPr="00067CC2">
              <w:rPr>
                <w:rFonts w:ascii="Georgia" w:hAnsi="Georgia" w:cs="Arial"/>
                <w:b/>
                <w:sz w:val="18"/>
                <w:szCs w:val="18"/>
              </w:rPr>
              <w:t>12</w:t>
            </w:r>
          </w:p>
        </w:tc>
        <w:tc>
          <w:tcPr>
            <w:tcW w:w="614" w:type="pct"/>
            <w:tcBorders>
              <w:left w:val="nil"/>
              <w:right w:val="nil"/>
            </w:tcBorders>
            <w:hideMark/>
          </w:tcPr>
          <w:p w14:paraId="4D2C3AB9"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sz w:val="18"/>
                <w:szCs w:val="18"/>
              </w:rPr>
            </w:pPr>
            <w:r>
              <w:rPr>
                <w:rFonts w:ascii="Georgia" w:hAnsi="Georgia" w:cs="Arial"/>
                <w:b/>
                <w:sz w:val="18"/>
                <w:szCs w:val="18"/>
              </w:rPr>
              <w:t>21</w:t>
            </w:r>
          </w:p>
        </w:tc>
        <w:tc>
          <w:tcPr>
            <w:tcW w:w="612" w:type="pct"/>
            <w:tcBorders>
              <w:left w:val="nil"/>
              <w:right w:val="nil"/>
            </w:tcBorders>
            <w:hideMark/>
          </w:tcPr>
          <w:p w14:paraId="34D5A68C"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sz w:val="18"/>
                <w:szCs w:val="18"/>
              </w:rPr>
            </w:pPr>
            <w:r w:rsidRPr="00067CC2">
              <w:rPr>
                <w:rFonts w:ascii="Georgia" w:hAnsi="Georgia" w:cs="Arial"/>
                <w:b/>
                <w:sz w:val="18"/>
                <w:szCs w:val="18"/>
              </w:rPr>
              <w:t>15</w:t>
            </w:r>
          </w:p>
        </w:tc>
        <w:tc>
          <w:tcPr>
            <w:tcW w:w="638" w:type="pct"/>
            <w:tcBorders>
              <w:left w:val="nil"/>
              <w:right w:val="nil"/>
            </w:tcBorders>
            <w:hideMark/>
          </w:tcPr>
          <w:p w14:paraId="03630C73"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sz w:val="18"/>
                <w:szCs w:val="18"/>
              </w:rPr>
            </w:pPr>
            <w:r w:rsidRPr="00067CC2">
              <w:rPr>
                <w:rFonts w:ascii="Georgia" w:hAnsi="Georgia" w:cs="Arial"/>
                <w:b/>
                <w:sz w:val="18"/>
                <w:szCs w:val="18"/>
              </w:rPr>
              <w:t>17</w:t>
            </w:r>
          </w:p>
        </w:tc>
        <w:tc>
          <w:tcPr>
            <w:tcW w:w="666" w:type="pct"/>
            <w:tcBorders>
              <w:left w:val="nil"/>
            </w:tcBorders>
            <w:hideMark/>
          </w:tcPr>
          <w:p w14:paraId="09E1451D" w14:textId="77777777" w:rsidR="0049481D" w:rsidRPr="00067CC2" w:rsidRDefault="0049481D" w:rsidP="003A0690">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sz w:val="18"/>
                <w:szCs w:val="18"/>
              </w:rPr>
            </w:pPr>
            <w:r>
              <w:rPr>
                <w:rFonts w:ascii="Georgia" w:hAnsi="Georgia" w:cs="Arial"/>
                <w:b/>
                <w:sz w:val="18"/>
                <w:szCs w:val="18"/>
              </w:rPr>
              <w:t>20</w:t>
            </w:r>
          </w:p>
        </w:tc>
      </w:tr>
    </w:tbl>
    <w:p w14:paraId="0438B4E1" w14:textId="77777777" w:rsidR="0049481D" w:rsidRDefault="0049481D" w:rsidP="00242F76">
      <w:pPr>
        <w:rPr>
          <w:lang w:val="lt-LT"/>
        </w:rPr>
      </w:pPr>
    </w:p>
    <w:p w14:paraId="2817A4EE" w14:textId="77777777" w:rsidR="00242F76" w:rsidRPr="00B96F2B" w:rsidRDefault="00242F76" w:rsidP="00242F76">
      <w:pPr>
        <w:autoSpaceDE w:val="0"/>
        <w:autoSpaceDN w:val="0"/>
        <w:adjustRightInd w:val="0"/>
        <w:spacing w:after="0"/>
        <w:jc w:val="both"/>
        <w:rPr>
          <w:lang w:val="lt-LT"/>
        </w:rPr>
      </w:pPr>
    </w:p>
    <w:p w14:paraId="2E1F051F" w14:textId="77777777" w:rsidR="00374200" w:rsidRDefault="00374200" w:rsidP="008E6DE4">
      <w:pPr>
        <w:spacing w:after="0"/>
      </w:pPr>
    </w:p>
    <w:p w14:paraId="771434C0" w14:textId="77777777" w:rsidR="00374200" w:rsidRPr="00374200" w:rsidRDefault="00374200" w:rsidP="00DB2AF6">
      <w:pPr>
        <w:spacing w:after="0"/>
        <w:jc w:val="center"/>
        <w:rPr>
          <w:b/>
        </w:rPr>
      </w:pPr>
      <w:r w:rsidRPr="00374200">
        <w:rPr>
          <w:b/>
        </w:rPr>
        <w:t>_______________________________________________________________________________</w:t>
      </w:r>
    </w:p>
    <w:sectPr w:rsidR="00374200" w:rsidRPr="00374200" w:rsidSect="000E66DF">
      <w:pgSz w:w="15840" w:h="12240" w:orient="landscape" w:code="1"/>
      <w:pgMar w:top="1440" w:right="1276" w:bottom="1440" w:left="1440"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7837139" w15:done="0"/>
  <w15:commentEx w15:paraId="5EA94118" w15:done="0"/>
  <w15:commentEx w15:paraId="4D4EF0E2" w15:paraIdParent="5EA94118" w15:done="0"/>
  <w15:commentEx w15:paraId="1A226C1E" w15:done="0"/>
  <w15:commentEx w15:paraId="445EDEF3" w15:paraIdParent="1A226C1E" w15:done="0"/>
  <w15:commentEx w15:paraId="55F8C181" w15:done="0"/>
  <w15:commentEx w15:paraId="4937F450" w15:paraIdParent="55F8C181" w15:done="0"/>
  <w15:commentEx w15:paraId="6877A4C6" w15:done="0"/>
  <w15:commentEx w15:paraId="188277B7" w15:paraIdParent="6877A4C6" w15:done="0"/>
  <w15:commentEx w15:paraId="2036FD7C" w15:done="0"/>
  <w15:commentEx w15:paraId="6D97DE21" w15:paraIdParent="2036FD7C" w15:done="0"/>
  <w15:commentEx w15:paraId="24ECC02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837139" w16cid:durableId="1DB57B68"/>
  <w16cid:commentId w16cid:paraId="5EA94118" w16cid:durableId="1DB57B69"/>
  <w16cid:commentId w16cid:paraId="4D4EF0E2" w16cid:durableId="1DB6D6F2"/>
  <w16cid:commentId w16cid:paraId="1A226C1E" w16cid:durableId="1DB57B6A"/>
  <w16cid:commentId w16cid:paraId="445EDEF3" w16cid:durableId="1DB57ECE"/>
  <w16cid:commentId w16cid:paraId="55F8C181" w16cid:durableId="1DB57B6B"/>
  <w16cid:commentId w16cid:paraId="4937F450" w16cid:durableId="1DB57EB3"/>
  <w16cid:commentId w16cid:paraId="6877A4C6" w16cid:durableId="1DB57B6C"/>
  <w16cid:commentId w16cid:paraId="188277B7" w16cid:durableId="1DB6DD94"/>
  <w16cid:commentId w16cid:paraId="2036FD7C" w16cid:durableId="1DB57B6D"/>
  <w16cid:commentId w16cid:paraId="6D97DE21" w16cid:durableId="1DB6DE18"/>
  <w16cid:commentId w16cid:paraId="24ECC023" w16cid:durableId="1DB6EC0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190AEE" w14:textId="77777777" w:rsidR="00A65A8D" w:rsidRDefault="00A65A8D" w:rsidP="00EE14AD">
      <w:pPr>
        <w:spacing w:after="0" w:line="240" w:lineRule="auto"/>
      </w:pPr>
      <w:r>
        <w:separator/>
      </w:r>
    </w:p>
  </w:endnote>
  <w:endnote w:type="continuationSeparator" w:id="0">
    <w:p w14:paraId="308CE100" w14:textId="77777777" w:rsidR="00A65A8D" w:rsidRDefault="00A65A8D" w:rsidP="00EE14AD">
      <w:pPr>
        <w:spacing w:after="0" w:line="240" w:lineRule="auto"/>
      </w:pPr>
      <w:r>
        <w:continuationSeparator/>
      </w:r>
    </w:p>
  </w:endnote>
  <w:endnote w:type="continuationNotice" w:id="1">
    <w:p w14:paraId="52DF34C8" w14:textId="77777777" w:rsidR="00A65A8D" w:rsidRDefault="00A65A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EFF" w:usb1="C0007843" w:usb2="00000009" w:usb3="00000000" w:csb0="000001FF" w:csb1="00000000"/>
  </w:font>
  <w:font w:name="Georgia">
    <w:panose1 w:val="02040502050405020303"/>
    <w:charset w:val="BA"/>
    <w:family w:val="roman"/>
    <w:pitch w:val="variable"/>
    <w:sig w:usb0="00000287" w:usb1="00000000" w:usb2="00000000" w:usb3="00000000" w:csb0="0000009F" w:csb1="00000000"/>
  </w:font>
  <w:font w:name="FranklinGothicBookITC-Regular">
    <w:altName w:val="Arial"/>
    <w:panose1 w:val="00000000000000000000"/>
    <w:charset w:val="00"/>
    <w:family w:val="swiss"/>
    <w:notTrueType/>
    <w:pitch w:val="default"/>
    <w:sig w:usb0="00000003" w:usb1="08070000" w:usb2="00000010" w:usb3="00000000" w:csb0="00020001" w:csb1="00000000"/>
  </w:font>
  <w:font w:name="DokChampa">
    <w:altName w:val="Arial Unicode MS"/>
    <w:charset w:val="DE"/>
    <w:family w:val="swiss"/>
    <w:pitch w:val="variable"/>
    <w:sig w:usb0="00000000" w:usb1="00000000" w:usb2="00000000" w:usb3="00000000" w:csb0="00010001" w:csb1="00000000"/>
  </w:font>
  <w:font w:name="Cambria">
    <w:panose1 w:val="02040503050406030204"/>
    <w:charset w:val="BA"/>
    <w:family w:val="roman"/>
    <w:pitch w:val="variable"/>
    <w:sig w:usb0="E00002FF" w:usb1="400004FF"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BA"/>
    <w:family w:val="swiss"/>
    <w:pitch w:val="variable"/>
    <w:sig w:usb0="E1002EFF" w:usb1="C000605B" w:usb2="00000029" w:usb3="00000000" w:csb0="000101FF" w:csb1="00000000"/>
  </w:font>
  <w:font w:name="Univers 45 Light">
    <w:panose1 w:val="00000000000000000000"/>
    <w:charset w:val="00"/>
    <w:family w:val="auto"/>
    <w:pitch w:val="variable"/>
    <w:sig w:usb0="00000003" w:usb1="00000000" w:usb2="00000000" w:usb3="00000000" w:csb0="00000001" w:csb1="00000000"/>
  </w:font>
  <w:font w:name="FranklinGothicDemiITC">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Bold">
    <w:altName w:val="Times New Roman"/>
    <w:panose1 w:val="00000000000000000000"/>
    <w:charset w:val="00"/>
    <w:family w:val="auto"/>
    <w:notTrueType/>
    <w:pitch w:val="default"/>
    <w:sig w:usb0="00000003" w:usb1="00000000" w:usb2="00000000" w:usb3="00000000" w:csb0="00000001" w:csb1="00000000"/>
  </w:font>
  <w:font w:name="FranklinGothicBookCondITC-Reg">
    <w:altName w:val="MS Mincho"/>
    <w:panose1 w:val="00000000000000000000"/>
    <w:charset w:val="80"/>
    <w:family w:val="auto"/>
    <w:notTrueType/>
    <w:pitch w:val="default"/>
    <w:sig w:usb0="00000001" w:usb1="08070000" w:usb2="00000010" w:usb3="00000000" w:csb0="00020000" w:csb1="00000000"/>
  </w:font>
  <w:font w:name="Geogrotesque-Regular">
    <w:altName w:val="MS Gothic"/>
    <w:panose1 w:val="00000000000000000000"/>
    <w:charset w:val="80"/>
    <w:family w:val="swiss"/>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C6864C" w14:textId="77777777" w:rsidR="00A65A8D" w:rsidRDefault="00A65A8D" w:rsidP="00EE14AD">
      <w:pPr>
        <w:spacing w:after="0" w:line="240" w:lineRule="auto"/>
      </w:pPr>
      <w:r>
        <w:separator/>
      </w:r>
    </w:p>
  </w:footnote>
  <w:footnote w:type="continuationSeparator" w:id="0">
    <w:p w14:paraId="05EC9F43" w14:textId="77777777" w:rsidR="00A65A8D" w:rsidRDefault="00A65A8D" w:rsidP="00EE14AD">
      <w:pPr>
        <w:spacing w:after="0" w:line="240" w:lineRule="auto"/>
      </w:pPr>
      <w:r>
        <w:continuationSeparator/>
      </w:r>
    </w:p>
  </w:footnote>
  <w:footnote w:type="continuationNotice" w:id="1">
    <w:p w14:paraId="4BD6A187" w14:textId="77777777" w:rsidR="00A65A8D" w:rsidRDefault="00A65A8D">
      <w:pPr>
        <w:spacing w:after="0" w:line="240" w:lineRule="auto"/>
      </w:pPr>
    </w:p>
  </w:footnote>
  <w:footnote w:id="2">
    <w:p w14:paraId="2BAE8EB6" w14:textId="77777777" w:rsidR="00A65A8D" w:rsidRPr="00B76111" w:rsidRDefault="00A65A8D">
      <w:pPr>
        <w:pStyle w:val="Puslapioinaostekstas"/>
        <w:rPr>
          <w:lang w:val="lt-LT"/>
        </w:rPr>
      </w:pPr>
      <w:r w:rsidRPr="00A332C0">
        <w:rPr>
          <w:rStyle w:val="Puslapioinaosnuoroda"/>
          <w:lang w:val="lt-LT"/>
        </w:rPr>
        <w:footnoteRef/>
      </w:r>
      <w:r w:rsidRPr="00A332C0">
        <w:rPr>
          <w:lang w:val="lt-LT"/>
        </w:rPr>
        <w:t xml:space="preserve"> Finansų ministerijos 2014 metų balandžio 10 dienos raštu Nr. (24.39)-6K-1403042</w:t>
      </w:r>
    </w:p>
  </w:footnote>
  <w:footnote w:id="3">
    <w:p w14:paraId="62A5A76B" w14:textId="77777777" w:rsidR="00A65A8D" w:rsidRPr="001554CF" w:rsidRDefault="00A65A8D">
      <w:pPr>
        <w:pStyle w:val="Puslapioinaostekstas"/>
        <w:rPr>
          <w:lang w:val="lt-LT"/>
        </w:rPr>
      </w:pPr>
      <w:r w:rsidRPr="00A332C0">
        <w:rPr>
          <w:rStyle w:val="Puslapioinaosnuoroda"/>
          <w:lang w:val="lt-LT"/>
        </w:rPr>
        <w:footnoteRef/>
      </w:r>
      <w:r w:rsidRPr="00A332C0">
        <w:rPr>
          <w:lang w:val="lt-LT"/>
        </w:rPr>
        <w:t xml:space="preserve"> </w:t>
      </w:r>
      <w:r w:rsidRPr="00B76111">
        <w:rPr>
          <w:lang w:val="lt-LT"/>
        </w:rPr>
        <w:t xml:space="preserve">Energijos efektyvumo direktyvos 9.3 punktas. </w:t>
      </w:r>
    </w:p>
  </w:footnote>
  <w:footnote w:id="4">
    <w:p w14:paraId="0814A2C5" w14:textId="77777777" w:rsidR="00A65A8D" w:rsidRPr="001554CF" w:rsidRDefault="00A65A8D">
      <w:pPr>
        <w:pStyle w:val="Puslapioinaostekstas"/>
        <w:rPr>
          <w:lang w:val="lt-LT"/>
        </w:rPr>
      </w:pPr>
      <w:r w:rsidRPr="00A332C0">
        <w:rPr>
          <w:rStyle w:val="Puslapioinaosnuoroda"/>
          <w:lang w:val="lt-LT"/>
        </w:rPr>
        <w:footnoteRef/>
      </w:r>
      <w:r w:rsidRPr="00A332C0">
        <w:rPr>
          <w:lang w:val="lt-LT"/>
        </w:rPr>
        <w:t xml:space="preserve"> </w:t>
      </w:r>
      <w:r w:rsidRPr="00B76111">
        <w:rPr>
          <w:lang w:val="lt-LT"/>
        </w:rPr>
        <w:t>2014 m. rugsėjis</w:t>
      </w:r>
    </w:p>
  </w:footnote>
  <w:footnote w:id="5">
    <w:p w14:paraId="1AB50C73" w14:textId="77777777" w:rsidR="00A65A8D" w:rsidRPr="00FB240F" w:rsidRDefault="00A65A8D" w:rsidP="00336C16">
      <w:pPr>
        <w:pStyle w:val="Puslapioinaostekstas"/>
        <w:tabs>
          <w:tab w:val="clear" w:pos="360"/>
          <w:tab w:val="left" w:pos="0"/>
          <w:tab w:val="left" w:pos="426"/>
        </w:tabs>
        <w:ind w:left="0" w:firstLine="0"/>
        <w:jc w:val="both"/>
        <w:rPr>
          <w:szCs w:val="16"/>
          <w:lang w:val="lt-LT"/>
        </w:rPr>
      </w:pPr>
      <w:r w:rsidRPr="00B76111">
        <w:rPr>
          <w:rStyle w:val="Puslapioinaosnuoroda"/>
          <w:lang w:val="lt-LT"/>
        </w:rPr>
        <w:footnoteRef/>
      </w:r>
      <w:r w:rsidRPr="00B76111">
        <w:rPr>
          <w:lang w:val="lt-LT"/>
        </w:rPr>
        <w:t xml:space="preserve"> </w:t>
      </w:r>
      <w:r w:rsidRPr="001554CF">
        <w:rPr>
          <w:szCs w:val="16"/>
          <w:lang w:val="lt-LT"/>
        </w:rPr>
        <w:t xml:space="preserve">Europos socialiniai, teisiniai ir ekonominiai projektai; Sutkienė, Pilkauskas &amp; Partners, </w:t>
      </w:r>
      <w:r w:rsidRPr="00FB240F">
        <w:rPr>
          <w:i/>
          <w:color w:val="000000"/>
          <w:szCs w:val="16"/>
          <w:lang w:val="lt-LT"/>
        </w:rPr>
        <w:t>Annex to the Supplementary Study on JESSICA instruments for energy efficiency in Lithuania</w:t>
      </w:r>
      <w:r w:rsidRPr="00FB240F">
        <w:rPr>
          <w:color w:val="000000"/>
          <w:szCs w:val="16"/>
          <w:lang w:val="lt-LT"/>
        </w:rPr>
        <w:t xml:space="preserve">, </w:t>
      </w:r>
      <w:hyperlink r:id="rId1" w:history="1">
        <w:r w:rsidRPr="00FB240F">
          <w:rPr>
            <w:rStyle w:val="Hipersaitas"/>
            <w:szCs w:val="16"/>
            <w:lang w:val="lt-LT"/>
          </w:rPr>
          <w:t>http://www.eib.org/attachments/documents/annex-to-supplementary-study-on-JESSICA-instrument-for-energy-efficiency-in-lithuania.pdf</w:t>
        </w:r>
      </w:hyperlink>
      <w:r w:rsidRPr="00B76111">
        <w:rPr>
          <w:szCs w:val="16"/>
          <w:lang w:val="lt-LT"/>
        </w:rPr>
        <w:t xml:space="preserve">, 61-62 </w:t>
      </w:r>
      <w:r w:rsidRPr="001554CF">
        <w:rPr>
          <w:szCs w:val="16"/>
          <w:lang w:val="lt-LT"/>
        </w:rPr>
        <w:t>puslapiai</w:t>
      </w:r>
      <w:r w:rsidRPr="00FB240F">
        <w:rPr>
          <w:szCs w:val="16"/>
          <w:lang w:val="lt-LT"/>
        </w:rPr>
        <w:t>.</w:t>
      </w:r>
    </w:p>
    <w:p w14:paraId="2EAB6A0D" w14:textId="77777777" w:rsidR="00A65A8D" w:rsidRPr="00FB240F" w:rsidRDefault="00A65A8D" w:rsidP="00336C16">
      <w:pPr>
        <w:pStyle w:val="Puslapioinaostekstas"/>
        <w:rPr>
          <w:lang w:val="lt-LT"/>
        </w:rPr>
      </w:pPr>
    </w:p>
  </w:footnote>
  <w:footnote w:id="6">
    <w:p w14:paraId="01103923" w14:textId="77777777" w:rsidR="00A65A8D" w:rsidRPr="00FB240F" w:rsidRDefault="00A65A8D" w:rsidP="00336C16">
      <w:pPr>
        <w:pStyle w:val="Puslapioinaostekstas"/>
        <w:rPr>
          <w:szCs w:val="16"/>
          <w:lang w:val="lt-LT"/>
        </w:rPr>
      </w:pPr>
      <w:r w:rsidRPr="00B76111">
        <w:rPr>
          <w:rStyle w:val="Puslapioinaosnuoroda"/>
          <w:szCs w:val="16"/>
          <w:lang w:val="lt-LT"/>
        </w:rPr>
        <w:footnoteRef/>
      </w:r>
      <w:r w:rsidRPr="00B76111">
        <w:rPr>
          <w:szCs w:val="16"/>
          <w:lang w:val="lt-LT"/>
        </w:rPr>
        <w:t xml:space="preserve"> </w:t>
      </w:r>
      <w:r w:rsidRPr="001554CF">
        <w:rPr>
          <w:rFonts w:cs="Arial"/>
          <w:szCs w:val="16"/>
          <w:lang w:val="lt-LT"/>
        </w:rPr>
        <w:t>Commission staff working document, financial instruments in Cohesion Policy, SWD(2012) 36 final, Brussels, 27.2.2012.</w:t>
      </w:r>
    </w:p>
  </w:footnote>
  <w:footnote w:id="7">
    <w:p w14:paraId="666CA0F8" w14:textId="77777777" w:rsidR="00A65A8D" w:rsidRPr="001554CF" w:rsidRDefault="00A65A8D">
      <w:pPr>
        <w:pStyle w:val="Puslapioinaostekstas"/>
        <w:rPr>
          <w:lang w:val="lt-LT"/>
        </w:rPr>
      </w:pPr>
      <w:r w:rsidRPr="00A332C0">
        <w:rPr>
          <w:rStyle w:val="Puslapioinaosnuoroda"/>
          <w:lang w:val="lt-LT"/>
        </w:rPr>
        <w:footnoteRef/>
      </w:r>
      <w:r w:rsidRPr="00A332C0">
        <w:rPr>
          <w:lang w:val="lt-LT"/>
        </w:rPr>
        <w:t xml:space="preserve"> </w:t>
      </w:r>
      <w:r w:rsidRPr="00B76111">
        <w:rPr>
          <w:lang w:val="lt-LT"/>
        </w:rPr>
        <w:t>Bendrųjų nuostatų reglamento 38.3 punktas.</w:t>
      </w:r>
    </w:p>
  </w:footnote>
  <w:footnote w:id="8">
    <w:p w14:paraId="70683F35" w14:textId="77777777" w:rsidR="00A65A8D" w:rsidRPr="001554CF" w:rsidRDefault="00A65A8D" w:rsidP="008235B8">
      <w:pPr>
        <w:pStyle w:val="Puslapioinaostekstas"/>
        <w:tabs>
          <w:tab w:val="clear" w:pos="360"/>
          <w:tab w:val="left" w:pos="0"/>
        </w:tabs>
        <w:ind w:left="0" w:firstLine="0"/>
        <w:rPr>
          <w:szCs w:val="16"/>
          <w:lang w:val="lt-LT"/>
        </w:rPr>
      </w:pPr>
      <w:r w:rsidRPr="00B76111">
        <w:rPr>
          <w:rStyle w:val="Puslapioinaosnuoroda"/>
          <w:szCs w:val="16"/>
          <w:lang w:val="lt-LT"/>
        </w:rPr>
        <w:footnoteRef/>
      </w:r>
      <w:r w:rsidRPr="00B76111">
        <w:rPr>
          <w:szCs w:val="16"/>
          <w:lang w:val="lt-LT"/>
        </w:rPr>
        <w:t xml:space="preserve"> Daugiabučių namų atnauj</w:t>
      </w:r>
      <w:r w:rsidRPr="001554CF">
        <w:rPr>
          <w:szCs w:val="16"/>
          <w:lang w:val="lt-LT"/>
        </w:rPr>
        <w:t>inimo (modernizavimo) programa, patvirtinta Lietuvos Respublikos Vyriausybės 2004 m. rugsėjo 23 d. Nr. 1213 (Žin., 2013, Nr. 83-4153)</w:t>
      </w:r>
    </w:p>
  </w:footnote>
  <w:footnote w:id="9">
    <w:p w14:paraId="6A4DB5E2" w14:textId="77777777" w:rsidR="00A65A8D" w:rsidRPr="001554CF" w:rsidRDefault="00A65A8D" w:rsidP="008235B8">
      <w:pPr>
        <w:pStyle w:val="Puslapioinaostekstas"/>
        <w:rPr>
          <w:szCs w:val="16"/>
          <w:lang w:val="lt-LT"/>
        </w:rPr>
      </w:pPr>
      <w:r w:rsidRPr="00B76111">
        <w:rPr>
          <w:rStyle w:val="Puslapioinaosnuoroda"/>
          <w:szCs w:val="16"/>
          <w:lang w:val="lt-LT"/>
        </w:rPr>
        <w:footnoteRef/>
      </w:r>
      <w:r w:rsidRPr="00B76111">
        <w:rPr>
          <w:szCs w:val="16"/>
          <w:lang w:val="lt-LT"/>
        </w:rPr>
        <w:t xml:space="preserve"> </w:t>
      </w:r>
      <w:hyperlink r:id="rId2" w:history="1">
        <w:r w:rsidRPr="00FB240F">
          <w:rPr>
            <w:rStyle w:val="Hipersaitas"/>
            <w:rFonts w:cs="Georgia"/>
            <w:szCs w:val="16"/>
            <w:lang w:val="lt-LT"/>
          </w:rPr>
          <w:t>www.lsta.lt</w:t>
        </w:r>
      </w:hyperlink>
      <w:r w:rsidRPr="00B76111">
        <w:rPr>
          <w:rFonts w:cs="Georgia"/>
          <w:szCs w:val="16"/>
          <w:lang w:val="lt-LT"/>
        </w:rPr>
        <w:t xml:space="preserve"> </w:t>
      </w:r>
    </w:p>
  </w:footnote>
  <w:footnote w:id="10">
    <w:p w14:paraId="42479304" w14:textId="77777777" w:rsidR="00A65A8D" w:rsidRPr="00FB240F" w:rsidRDefault="00A65A8D">
      <w:pPr>
        <w:pStyle w:val="Puslapioinaostekstas"/>
        <w:rPr>
          <w:lang w:val="lt-LT"/>
        </w:rPr>
      </w:pPr>
      <w:r w:rsidRPr="00B76111">
        <w:rPr>
          <w:rStyle w:val="Puslapioinaosnuoroda"/>
          <w:szCs w:val="16"/>
          <w:lang w:val="lt-LT"/>
        </w:rPr>
        <w:footnoteRef/>
      </w:r>
      <w:r w:rsidRPr="00B76111">
        <w:rPr>
          <w:szCs w:val="16"/>
          <w:lang w:val="lt-LT"/>
        </w:rPr>
        <w:t xml:space="preserve"> </w:t>
      </w:r>
      <w:hyperlink r:id="rId3" w:history="1">
        <w:r w:rsidRPr="00FB240F">
          <w:rPr>
            <w:rStyle w:val="Hipersaitas"/>
            <w:rFonts w:cs="Georgia"/>
            <w:szCs w:val="16"/>
            <w:lang w:val="lt-LT"/>
          </w:rPr>
          <w:t>www.am.lt</w:t>
        </w:r>
      </w:hyperlink>
      <w:r w:rsidRPr="00B76111">
        <w:rPr>
          <w:rFonts w:cs="Georgia"/>
          <w:szCs w:val="16"/>
          <w:lang w:val="lt-LT"/>
        </w:rPr>
        <w:t xml:space="preserve"> </w:t>
      </w:r>
      <w:r w:rsidRPr="001554CF">
        <w:rPr>
          <w:rFonts w:cs="Georgia"/>
          <w:szCs w:val="16"/>
          <w:lang w:val="lt-LT"/>
        </w:rPr>
        <w:t>/statyba ir būstas/būstas</w:t>
      </w:r>
      <w:r w:rsidRPr="00FB240F">
        <w:rPr>
          <w:rFonts w:cs="Georgia"/>
          <w:szCs w:val="16"/>
          <w:lang w:val="lt-LT"/>
        </w:rPr>
        <w:t xml:space="preserve"> </w:t>
      </w:r>
    </w:p>
  </w:footnote>
  <w:footnote w:id="11">
    <w:p w14:paraId="4EDFDA37" w14:textId="77777777" w:rsidR="00A65A8D" w:rsidRPr="001554CF" w:rsidRDefault="00A65A8D" w:rsidP="008235B8">
      <w:pPr>
        <w:pStyle w:val="Puslapioinaostekstas"/>
        <w:rPr>
          <w:lang w:val="lt-LT"/>
        </w:rPr>
      </w:pPr>
      <w:r w:rsidRPr="00A332C0">
        <w:rPr>
          <w:rStyle w:val="Puslapioinaosnuoroda"/>
          <w:lang w:val="lt-LT"/>
        </w:rPr>
        <w:footnoteRef/>
      </w:r>
      <w:r w:rsidRPr="00A332C0">
        <w:rPr>
          <w:lang w:val="lt-LT"/>
        </w:rPr>
        <w:t xml:space="preserve"> </w:t>
      </w:r>
      <w:r w:rsidRPr="00B76111">
        <w:rPr>
          <w:lang w:val="lt-LT"/>
        </w:rPr>
        <w:t>2014 m. sausio mėn.</w:t>
      </w:r>
    </w:p>
  </w:footnote>
  <w:footnote w:id="12">
    <w:p w14:paraId="7CC3610B" w14:textId="77777777" w:rsidR="00A65A8D" w:rsidRPr="00A332C0" w:rsidRDefault="00A65A8D" w:rsidP="00082E94">
      <w:pPr>
        <w:pStyle w:val="Puslapioinaostekstas"/>
        <w:rPr>
          <w:lang w:val="lt-LT"/>
        </w:rPr>
      </w:pPr>
      <w:r w:rsidRPr="00A332C0">
        <w:rPr>
          <w:rStyle w:val="Puslapioinaosnuoroda"/>
          <w:lang w:val="lt-LT"/>
        </w:rPr>
        <w:footnoteRef/>
      </w:r>
      <w:r w:rsidRPr="00A332C0">
        <w:rPr>
          <w:lang w:val="lt-LT"/>
        </w:rPr>
        <w:t xml:space="preserve"> http://lpk.lt/sites/default/files/lpk_2014_01_28_1_0.pdf</w:t>
      </w:r>
    </w:p>
  </w:footnote>
  <w:footnote w:id="13">
    <w:p w14:paraId="6E6EE6DE" w14:textId="77777777" w:rsidR="00A65A8D" w:rsidRPr="00E67C77" w:rsidRDefault="00A65A8D">
      <w:pPr>
        <w:pStyle w:val="Puslapioinaostekstas"/>
        <w:rPr>
          <w:lang w:val="lt-LT"/>
        </w:rPr>
      </w:pPr>
      <w:r w:rsidRPr="00E67C77">
        <w:rPr>
          <w:rStyle w:val="Puslapioinaosnuoroda"/>
          <w:lang w:val="lt-LT"/>
        </w:rPr>
        <w:footnoteRef/>
      </w:r>
      <w:r w:rsidRPr="00E67C77">
        <w:rPr>
          <w:lang w:val="lt-LT"/>
        </w:rPr>
        <w:t xml:space="preserve"> UAB VIPA </w:t>
      </w:r>
      <w:r w:rsidRPr="00B76111">
        <w:rPr>
          <w:lang w:val="lt-LT"/>
        </w:rPr>
        <w:t>duomenys</w:t>
      </w:r>
      <w:r w:rsidRPr="00E67C77">
        <w:rPr>
          <w:lang w:val="lt-LT"/>
        </w:rPr>
        <w:t xml:space="preserve">. </w:t>
      </w:r>
    </w:p>
  </w:footnote>
  <w:footnote w:id="14">
    <w:p w14:paraId="2F9BC6DD" w14:textId="77777777" w:rsidR="00A65A8D" w:rsidRPr="001554CF" w:rsidRDefault="00A65A8D" w:rsidP="00BB7F6E">
      <w:pPr>
        <w:pStyle w:val="Puslapioinaostekstas"/>
        <w:rPr>
          <w:lang w:val="lt-LT"/>
        </w:rPr>
      </w:pPr>
      <w:r w:rsidRPr="00E67C77">
        <w:rPr>
          <w:rStyle w:val="Puslapioinaosnuoroda"/>
          <w:lang w:val="lt-LT"/>
        </w:rPr>
        <w:footnoteRef/>
      </w:r>
      <w:r w:rsidRPr="00E67C77">
        <w:rPr>
          <w:lang w:val="lt-LT"/>
        </w:rPr>
        <w:t xml:space="preserve"> </w:t>
      </w:r>
      <w:r w:rsidRPr="00B76111">
        <w:rPr>
          <w:lang w:val="lt-LT"/>
        </w:rPr>
        <w:t>Lentelėje pateikti 2014 m. rugsėjo 23 d. duomenys.</w:t>
      </w:r>
    </w:p>
  </w:footnote>
  <w:footnote w:id="15">
    <w:p w14:paraId="0628DBA3" w14:textId="77777777" w:rsidR="00A65A8D" w:rsidRPr="00B76111" w:rsidRDefault="00A65A8D" w:rsidP="00336C16">
      <w:pPr>
        <w:pStyle w:val="Puslapioinaostekstas"/>
        <w:rPr>
          <w:szCs w:val="16"/>
          <w:lang w:val="lt-LT"/>
        </w:rPr>
      </w:pPr>
      <w:r w:rsidRPr="00B76111">
        <w:rPr>
          <w:rStyle w:val="Puslapioinaosnuoroda"/>
          <w:szCs w:val="16"/>
          <w:lang w:val="lt-LT"/>
        </w:rPr>
        <w:footnoteRef/>
      </w:r>
      <w:r w:rsidRPr="00B76111">
        <w:rPr>
          <w:szCs w:val="16"/>
          <w:lang w:val="lt-LT"/>
        </w:rPr>
        <w:t xml:space="preserve"> LR Ūkio ministerija</w:t>
      </w:r>
      <w:r w:rsidRPr="001554CF">
        <w:rPr>
          <w:szCs w:val="16"/>
          <w:lang w:val="lt-LT"/>
        </w:rPr>
        <w:t xml:space="preserve">, </w:t>
      </w:r>
      <w:r w:rsidRPr="00FB240F">
        <w:rPr>
          <w:i/>
          <w:szCs w:val="16"/>
          <w:lang w:val="lt-LT"/>
        </w:rPr>
        <w:t xml:space="preserve">Viešosios paskirties pastatų renovavimas nacionaliniu lygiu VP3-3.4-ŪM-03-V, </w:t>
      </w:r>
      <w:r w:rsidRPr="00FB240F">
        <w:rPr>
          <w:szCs w:val="16"/>
          <w:lang w:val="lt-LT"/>
        </w:rPr>
        <w:t xml:space="preserve"> 23 May 2013, </w:t>
      </w:r>
      <w:hyperlink r:id="rId4" w:history="1">
        <w:r w:rsidRPr="00FB240F">
          <w:rPr>
            <w:rStyle w:val="Hipersaitas"/>
            <w:szCs w:val="16"/>
            <w:lang w:val="lt-LT"/>
          </w:rPr>
          <w:t>http://www.esparama.lt/priemone?priem_id=000bdd538000119e</w:t>
        </w:r>
      </w:hyperlink>
      <w:r w:rsidRPr="00B76111">
        <w:rPr>
          <w:szCs w:val="16"/>
          <w:lang w:val="lt-LT"/>
        </w:rPr>
        <w:t>.</w:t>
      </w:r>
    </w:p>
  </w:footnote>
  <w:footnote w:id="16">
    <w:p w14:paraId="687EBD66" w14:textId="77777777" w:rsidR="00A65A8D" w:rsidRPr="00B76111" w:rsidRDefault="00A65A8D" w:rsidP="00336C16">
      <w:pPr>
        <w:pStyle w:val="Puslapioinaostekstas"/>
        <w:rPr>
          <w:szCs w:val="16"/>
          <w:lang w:val="lt-LT"/>
        </w:rPr>
      </w:pPr>
      <w:r w:rsidRPr="00B76111">
        <w:rPr>
          <w:rStyle w:val="Puslapioinaosnuoroda"/>
          <w:szCs w:val="16"/>
          <w:lang w:val="lt-LT"/>
        </w:rPr>
        <w:footnoteRef/>
      </w:r>
      <w:r w:rsidRPr="00B76111">
        <w:rPr>
          <w:szCs w:val="16"/>
          <w:lang w:val="lt-LT"/>
        </w:rPr>
        <w:t xml:space="preserve"> LR Ūkio ministerija, </w:t>
      </w:r>
      <w:r w:rsidRPr="001554CF">
        <w:rPr>
          <w:rFonts w:cs="Arial"/>
          <w:bCs/>
          <w:i/>
          <w:szCs w:val="16"/>
          <w:lang w:val="lt-LT"/>
        </w:rPr>
        <w:t xml:space="preserve">Viešosios paskirties pastatų renovavimas regioniniu lygiu VP3-3.4-ŪM-04-R, </w:t>
      </w:r>
      <w:r w:rsidRPr="00FB240F">
        <w:rPr>
          <w:rFonts w:cs="Arial"/>
          <w:bCs/>
          <w:szCs w:val="16"/>
          <w:lang w:val="lt-LT"/>
        </w:rPr>
        <w:t>16 October 2008</w:t>
      </w:r>
      <w:r w:rsidRPr="00FB240F">
        <w:rPr>
          <w:szCs w:val="16"/>
          <w:lang w:val="lt-LT"/>
        </w:rPr>
        <w:t xml:space="preserve">, </w:t>
      </w:r>
      <w:hyperlink r:id="rId5" w:history="1">
        <w:r w:rsidRPr="00FB240F">
          <w:rPr>
            <w:rStyle w:val="Hipersaitas"/>
            <w:szCs w:val="16"/>
            <w:lang w:val="lt-LT"/>
          </w:rPr>
          <w:t>http://www.esparama.lt/priemone?priem_id=000bdd538000119f</w:t>
        </w:r>
      </w:hyperlink>
      <w:r w:rsidRPr="00B76111">
        <w:rPr>
          <w:szCs w:val="16"/>
          <w:lang w:val="lt-LT"/>
        </w:rPr>
        <w:t>.</w:t>
      </w:r>
    </w:p>
  </w:footnote>
  <w:footnote w:id="17">
    <w:p w14:paraId="6134F34E" w14:textId="77777777" w:rsidR="00A65A8D" w:rsidRPr="00B76111" w:rsidRDefault="00A65A8D" w:rsidP="00336C16">
      <w:pPr>
        <w:pStyle w:val="Puslapioinaostekstas"/>
        <w:rPr>
          <w:szCs w:val="16"/>
          <w:lang w:val="lt-LT"/>
        </w:rPr>
      </w:pPr>
      <w:r w:rsidRPr="00B76111">
        <w:rPr>
          <w:rStyle w:val="Puslapioinaosnuoroda"/>
          <w:szCs w:val="16"/>
          <w:lang w:val="lt-LT"/>
        </w:rPr>
        <w:footnoteRef/>
      </w:r>
      <w:r w:rsidRPr="00B76111">
        <w:rPr>
          <w:szCs w:val="16"/>
          <w:lang w:val="lt-LT"/>
        </w:rPr>
        <w:t xml:space="preserve"> LR Ūkio ministerija, </w:t>
      </w:r>
      <w:r w:rsidRPr="001554CF">
        <w:rPr>
          <w:rFonts w:cs="Arial"/>
          <w:bCs/>
          <w:i/>
          <w:szCs w:val="16"/>
          <w:lang w:val="lt-LT"/>
        </w:rPr>
        <w:t>Viešosios paskirties pastatų renovavimo projektai, atitinkantys Lietuvos 2004–2006 m. Bendrojo</w:t>
      </w:r>
      <w:r w:rsidRPr="00FB240F">
        <w:rPr>
          <w:rFonts w:cs="Arial"/>
          <w:bCs/>
          <w:i/>
          <w:szCs w:val="16"/>
          <w:lang w:val="lt-LT"/>
        </w:rPr>
        <w:t xml:space="preserve"> programavimo dokumento 1.2 priemonės „Energijos tiekimo stabilumo, prieinamumo ir didesnio energetikos efektyvumo užtikrinimas“ naudos ir kokybės vertinimo kriterijus VP3-3.4-ŪM-05-V</w:t>
      </w:r>
      <w:r w:rsidRPr="00FB240F">
        <w:rPr>
          <w:szCs w:val="16"/>
          <w:lang w:val="lt-LT"/>
        </w:rPr>
        <w:t xml:space="preserve">, 24 November 2011, </w:t>
      </w:r>
      <w:hyperlink r:id="rId6" w:history="1">
        <w:r w:rsidRPr="00FB240F">
          <w:rPr>
            <w:rStyle w:val="Hipersaitas"/>
            <w:szCs w:val="16"/>
            <w:lang w:val="lt-LT"/>
          </w:rPr>
          <w:t>http://www.esparama.lt/priemone?priem_id=000bdd53800011a0</w:t>
        </w:r>
      </w:hyperlink>
      <w:r w:rsidRPr="00B76111">
        <w:rPr>
          <w:szCs w:val="16"/>
          <w:lang w:val="lt-LT"/>
        </w:rPr>
        <w:t>.</w:t>
      </w:r>
    </w:p>
  </w:footnote>
  <w:footnote w:id="18">
    <w:p w14:paraId="4766DDD6" w14:textId="77777777" w:rsidR="00A65A8D" w:rsidRPr="001554CF" w:rsidRDefault="00A65A8D">
      <w:pPr>
        <w:pStyle w:val="Puslapioinaostekstas"/>
        <w:rPr>
          <w:lang w:val="lt-LT"/>
        </w:rPr>
      </w:pPr>
      <w:r w:rsidRPr="00E67C77">
        <w:rPr>
          <w:rStyle w:val="Puslapioinaosnuoroda"/>
          <w:lang w:val="lt-LT"/>
        </w:rPr>
        <w:footnoteRef/>
      </w:r>
      <w:r w:rsidRPr="00E67C77">
        <w:rPr>
          <w:lang w:val="lt-LT"/>
        </w:rPr>
        <w:t xml:space="preserve"> </w:t>
      </w:r>
      <w:hyperlink r:id="rId7" w:history="1">
        <w:r w:rsidRPr="00FB240F">
          <w:rPr>
            <w:rStyle w:val="Hipersaitas"/>
            <w:lang w:val="lt-LT"/>
          </w:rPr>
          <w:t>www.ppplietuva.lt</w:t>
        </w:r>
      </w:hyperlink>
      <w:r w:rsidRPr="00B76111">
        <w:rPr>
          <w:lang w:val="lt-LT"/>
        </w:rPr>
        <w:t xml:space="preserve"> </w:t>
      </w:r>
    </w:p>
  </w:footnote>
  <w:footnote w:id="19">
    <w:p w14:paraId="5059472A" w14:textId="77777777" w:rsidR="00A65A8D" w:rsidRPr="001554CF" w:rsidRDefault="00A65A8D" w:rsidP="00336C16">
      <w:pPr>
        <w:pStyle w:val="Puslapioinaostekstas"/>
        <w:rPr>
          <w:lang w:val="lt-LT"/>
        </w:rPr>
      </w:pPr>
      <w:r w:rsidRPr="00B76111">
        <w:rPr>
          <w:rStyle w:val="Puslapioinaosnuoroda"/>
          <w:lang w:val="lt-LT"/>
        </w:rPr>
        <w:footnoteRef/>
      </w:r>
      <w:r w:rsidRPr="00B76111">
        <w:rPr>
          <w:lang w:val="lt-LT"/>
        </w:rPr>
        <w:t xml:space="preserve"> http://www3.lrs.lt/pls/inter3/dokpaieska.showdoc_l?p_id=449907</w:t>
      </w:r>
    </w:p>
  </w:footnote>
  <w:footnote w:id="20">
    <w:p w14:paraId="0C0BE9BB" w14:textId="77777777" w:rsidR="00A65A8D" w:rsidRPr="00FB240F" w:rsidRDefault="00A65A8D" w:rsidP="00336C16">
      <w:pPr>
        <w:pStyle w:val="Puslapioinaostekstas"/>
        <w:rPr>
          <w:lang w:val="lt-LT"/>
        </w:rPr>
      </w:pPr>
      <w:r w:rsidRPr="00B76111">
        <w:rPr>
          <w:rStyle w:val="Puslapioinaosnuoroda"/>
          <w:lang w:val="lt-LT"/>
        </w:rPr>
        <w:footnoteRef/>
      </w:r>
      <w:r w:rsidRPr="00B76111">
        <w:rPr>
          <w:lang w:val="lt-LT"/>
        </w:rPr>
        <w:t xml:space="preserve"> http://www3.lrs.lt/pls/inter3/dokpaieska.showdo</w:t>
      </w:r>
      <w:r w:rsidRPr="001554CF">
        <w:rPr>
          <w:lang w:val="lt-LT"/>
        </w:rPr>
        <w:t>c_l?p_id=449512</w:t>
      </w:r>
    </w:p>
  </w:footnote>
  <w:footnote w:id="21">
    <w:p w14:paraId="40126BBF" w14:textId="77777777" w:rsidR="00A65A8D" w:rsidRPr="00FB240F" w:rsidRDefault="00A65A8D" w:rsidP="00336C16">
      <w:pPr>
        <w:pStyle w:val="Puslapioinaostekstas"/>
        <w:tabs>
          <w:tab w:val="left" w:pos="142"/>
        </w:tabs>
        <w:ind w:left="142" w:hanging="142"/>
        <w:rPr>
          <w:lang w:val="lt-LT"/>
        </w:rPr>
      </w:pPr>
      <w:r w:rsidRPr="00B76111">
        <w:rPr>
          <w:rStyle w:val="Puslapioinaosnuoroda"/>
          <w:lang w:val="lt-LT"/>
        </w:rPr>
        <w:footnoteRef/>
      </w:r>
      <w:r w:rsidRPr="00B76111">
        <w:rPr>
          <w:lang w:val="lt-LT"/>
        </w:rPr>
        <w:t xml:space="preserve"> LR aplinkos ministro 2012 m.  kovo  21  d. įsakymas Nr. D1-248; LR aplinkos ministro 2013 m. balandžio 24 d. įsakymas Nr. D1-280; LR aplinkos ministro </w:t>
      </w:r>
      <w:r w:rsidRPr="001554CF">
        <w:rPr>
          <w:szCs w:val="24"/>
          <w:lang w:val="lt-LT"/>
        </w:rPr>
        <w:t xml:space="preserve">2014 m. vasario 7 d. įsakymas Nr. D1-118. </w:t>
      </w:r>
    </w:p>
  </w:footnote>
  <w:footnote w:id="22">
    <w:p w14:paraId="1DBC5CCC" w14:textId="77777777" w:rsidR="00A65A8D" w:rsidRPr="00FB240F" w:rsidRDefault="00A65A8D" w:rsidP="00336C16">
      <w:pPr>
        <w:pStyle w:val="Puslapioinaostekstas"/>
        <w:rPr>
          <w:lang w:val="lt-LT"/>
        </w:rPr>
      </w:pPr>
      <w:r w:rsidRPr="00B76111">
        <w:rPr>
          <w:rStyle w:val="Puslapioinaosnuoroda"/>
          <w:lang w:val="lt-LT"/>
        </w:rPr>
        <w:footnoteRef/>
      </w:r>
      <w:r w:rsidRPr="00B76111">
        <w:rPr>
          <w:lang w:val="lt-LT"/>
        </w:rPr>
        <w:t xml:space="preserve"> http://www3.lrs.lt/pls/inter3/dokpaieska.s</w:t>
      </w:r>
      <w:r w:rsidRPr="001554CF">
        <w:rPr>
          <w:lang w:val="lt-LT"/>
        </w:rPr>
        <w:t>howdoc_l?p_id=468587&amp;p_tr2=2</w:t>
      </w:r>
    </w:p>
  </w:footnote>
  <w:footnote w:id="23">
    <w:p w14:paraId="5E40D2DA" w14:textId="77777777" w:rsidR="00A65A8D" w:rsidRPr="00B76111" w:rsidRDefault="00A65A8D">
      <w:pPr>
        <w:pStyle w:val="Puslapioinaostekstas"/>
        <w:rPr>
          <w:lang w:val="lt-LT"/>
        </w:rPr>
      </w:pPr>
      <w:r w:rsidRPr="00E67C77">
        <w:rPr>
          <w:rStyle w:val="Puslapioinaosnuoroda"/>
          <w:lang w:val="lt-LT"/>
        </w:rPr>
        <w:footnoteRef/>
      </w:r>
      <w:r w:rsidRPr="00E67C77">
        <w:rPr>
          <w:lang w:val="lt-LT"/>
        </w:rPr>
        <w:t xml:space="preserve"> http://www.lsta.lt/files/studijos/2012%20metu/A-77_V.Stankevicius_renovac_paskata.pdf</w:t>
      </w:r>
    </w:p>
  </w:footnote>
  <w:footnote w:id="24">
    <w:p w14:paraId="77E5DFBE" w14:textId="77777777" w:rsidR="00A65A8D" w:rsidRPr="00E67C77" w:rsidRDefault="00A65A8D">
      <w:pPr>
        <w:pStyle w:val="Puslapioinaostekstas"/>
        <w:rPr>
          <w:i/>
          <w:lang w:val="lt-LT"/>
        </w:rPr>
      </w:pPr>
      <w:r w:rsidRPr="00E67C77">
        <w:rPr>
          <w:rStyle w:val="Puslapioinaosnuoroda"/>
          <w:lang w:val="lt-LT"/>
        </w:rPr>
        <w:footnoteRef/>
      </w:r>
      <w:r w:rsidRPr="00E67C77">
        <w:rPr>
          <w:lang w:val="lt-LT"/>
        </w:rPr>
        <w:t xml:space="preserve"> The European ESCO market report 2013. </w:t>
      </w:r>
      <w:r w:rsidRPr="00E67C77">
        <w:rPr>
          <w:i/>
          <w:lang w:val="lt-LT"/>
        </w:rPr>
        <w:t>JRC science and policy reports, Paolo Bertoldi, Benigna Boza-Kiss, Strahil Panev, Nicola Labanca, 2014.</w:t>
      </w:r>
    </w:p>
  </w:footnote>
  <w:footnote w:id="25">
    <w:p w14:paraId="48C5611A" w14:textId="77777777" w:rsidR="00A65A8D" w:rsidRPr="001554CF" w:rsidRDefault="00A65A8D" w:rsidP="00583EB1">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hyperlink r:id="rId8" w:history="1">
        <w:r w:rsidRPr="00FB240F">
          <w:rPr>
            <w:rStyle w:val="Hipersaitas"/>
            <w:rFonts w:cs="Arial"/>
            <w:szCs w:val="16"/>
            <w:lang w:val="lt-LT"/>
          </w:rPr>
          <w:t>http://www.ebrd.com/pages/about/what/mission.shtml</w:t>
        </w:r>
      </w:hyperlink>
      <w:r w:rsidRPr="00B76111">
        <w:rPr>
          <w:rFonts w:cs="Arial"/>
          <w:szCs w:val="16"/>
          <w:lang w:val="lt-LT"/>
        </w:rPr>
        <w:t xml:space="preserve"> </w:t>
      </w:r>
    </w:p>
  </w:footnote>
  <w:footnote w:id="26">
    <w:p w14:paraId="572AFDA2" w14:textId="77777777" w:rsidR="00A65A8D" w:rsidRPr="00B76111" w:rsidRDefault="00A65A8D" w:rsidP="00583EB1">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r w:rsidRPr="001554CF">
        <w:rPr>
          <w:rFonts w:cs="Arial"/>
          <w:szCs w:val="16"/>
          <w:lang w:val="lt-LT"/>
        </w:rPr>
        <w:t>About the EBRD Factsheet, 08 January 2013 (</w:t>
      </w:r>
      <w:hyperlink r:id="rId9" w:history="1">
        <w:r w:rsidRPr="00FB240F">
          <w:rPr>
            <w:rStyle w:val="Hipersaitas"/>
            <w:rFonts w:cs="Arial"/>
            <w:szCs w:val="16"/>
            <w:lang w:val="lt-LT"/>
          </w:rPr>
          <w:t>http://www.ebrd.com/downloads/research/factsheets/about.pdf</w:t>
        </w:r>
      </w:hyperlink>
      <w:r w:rsidRPr="00B76111">
        <w:rPr>
          <w:rFonts w:cs="Arial"/>
          <w:szCs w:val="16"/>
          <w:lang w:val="lt-LT"/>
        </w:rPr>
        <w:t xml:space="preserve">) </w:t>
      </w:r>
    </w:p>
  </w:footnote>
  <w:footnote w:id="27">
    <w:p w14:paraId="27510BDE" w14:textId="77777777" w:rsidR="00A65A8D" w:rsidRPr="001554CF" w:rsidRDefault="00A65A8D" w:rsidP="00583EB1">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Angl. </w:t>
      </w:r>
      <w:r w:rsidRPr="001554CF">
        <w:rPr>
          <w:rFonts w:cs="Arial"/>
          <w:szCs w:val="16"/>
          <w:lang w:val="lt-LT"/>
        </w:rPr>
        <w:t>Annual Business Volume</w:t>
      </w:r>
    </w:p>
  </w:footnote>
  <w:footnote w:id="28">
    <w:p w14:paraId="6B40F938" w14:textId="77777777" w:rsidR="00A65A8D" w:rsidRPr="00FB240F" w:rsidRDefault="00A65A8D" w:rsidP="00583EB1">
      <w:pPr>
        <w:pStyle w:val="Puslapioinaostekstas"/>
        <w:rPr>
          <w:lang w:val="lt-LT"/>
        </w:rPr>
      </w:pPr>
      <w:r w:rsidRPr="00B76111">
        <w:rPr>
          <w:rStyle w:val="Puslapioinaosnuoroda"/>
          <w:rFonts w:cs="Arial"/>
          <w:szCs w:val="16"/>
          <w:lang w:val="lt-LT"/>
        </w:rPr>
        <w:footnoteRef/>
      </w:r>
      <w:r w:rsidRPr="00B76111">
        <w:rPr>
          <w:rFonts w:cs="Arial"/>
          <w:szCs w:val="16"/>
          <w:lang w:val="lt-LT"/>
        </w:rPr>
        <w:t xml:space="preserve"> </w:t>
      </w:r>
      <w:r w:rsidRPr="001554CF">
        <w:rPr>
          <w:rFonts w:cs="Arial"/>
          <w:szCs w:val="16"/>
          <w:lang w:val="lt-LT"/>
        </w:rPr>
        <w:t>Bruto.</w:t>
      </w:r>
    </w:p>
  </w:footnote>
  <w:footnote w:id="29">
    <w:p w14:paraId="36A5D4AD" w14:textId="77777777" w:rsidR="00A65A8D" w:rsidRPr="00E67C77" w:rsidRDefault="00A65A8D" w:rsidP="00583EB1">
      <w:pPr>
        <w:pStyle w:val="Puslapioinaostekstas"/>
        <w:rPr>
          <w:lang w:val="lt-LT"/>
        </w:rPr>
      </w:pPr>
      <w:r w:rsidRPr="00E67C77">
        <w:rPr>
          <w:rStyle w:val="Puslapioinaosnuoroda"/>
          <w:lang w:val="lt-LT"/>
        </w:rPr>
        <w:footnoteRef/>
      </w:r>
      <w:r w:rsidRPr="00E67C77">
        <w:rPr>
          <w:lang w:val="lt-LT"/>
        </w:rPr>
        <w:t xml:space="preserve"> EBRD Financial Report 2013 (http://www.ebrd.com/downloads/research/annual/ar13e.pdf);</w:t>
      </w:r>
    </w:p>
    <w:p w14:paraId="12DCCA17" w14:textId="77777777" w:rsidR="00A65A8D" w:rsidRPr="00E67C77" w:rsidRDefault="00A65A8D" w:rsidP="00583EB1">
      <w:pPr>
        <w:pStyle w:val="Puslapioinaostekstas"/>
        <w:rPr>
          <w:lang w:val="lt-LT"/>
        </w:rPr>
      </w:pPr>
      <w:r w:rsidRPr="00E67C77">
        <w:rPr>
          <w:lang w:val="lt-LT"/>
        </w:rPr>
        <w:t xml:space="preserve">EBRD Financial Report 2012 (http://www.ebrd.com/downloads/research/annual/fr12e.pdf); </w:t>
      </w:r>
    </w:p>
    <w:p w14:paraId="3B4194A5" w14:textId="77777777" w:rsidR="00A65A8D" w:rsidRPr="00E67C77" w:rsidRDefault="00A65A8D" w:rsidP="00583EB1">
      <w:pPr>
        <w:pStyle w:val="Puslapioinaostekstas"/>
        <w:rPr>
          <w:lang w:val="lt-LT"/>
        </w:rPr>
      </w:pPr>
      <w:r w:rsidRPr="00E67C77">
        <w:rPr>
          <w:lang w:val="lt-LT"/>
        </w:rPr>
        <w:t xml:space="preserve">EBRD Financial Report 2010 (http://www.ebrd.com/downloads/research/annual/fr10e.pdf); </w:t>
      </w:r>
    </w:p>
    <w:p w14:paraId="5DF051EF" w14:textId="77777777" w:rsidR="00A65A8D" w:rsidRPr="00B76111" w:rsidRDefault="00A65A8D" w:rsidP="00583EB1">
      <w:pPr>
        <w:pStyle w:val="Puslapioinaostekstas"/>
        <w:rPr>
          <w:lang w:val="lt-LT"/>
        </w:rPr>
      </w:pPr>
      <w:r w:rsidRPr="00E67C77">
        <w:rPr>
          <w:lang w:val="lt-LT"/>
        </w:rPr>
        <w:t>EBRD Financial Report 2008 (http://www.ebrd.com/downloads/research/annual/fs08e.pdf)</w:t>
      </w:r>
    </w:p>
  </w:footnote>
  <w:footnote w:id="30">
    <w:p w14:paraId="67842F6A" w14:textId="77777777" w:rsidR="00A65A8D" w:rsidRPr="001554CF" w:rsidRDefault="00A65A8D" w:rsidP="00583EB1">
      <w:pPr>
        <w:pStyle w:val="Puslapioinaostekstas"/>
        <w:rPr>
          <w:lang w:val="lt-LT"/>
        </w:rPr>
      </w:pPr>
      <w:r w:rsidRPr="00E67C77">
        <w:rPr>
          <w:rStyle w:val="Puslapioinaosnuoroda"/>
          <w:lang w:val="lt-LT"/>
        </w:rPr>
        <w:footnoteRef/>
      </w:r>
      <w:r w:rsidRPr="00E67C77">
        <w:rPr>
          <w:lang w:val="lt-LT"/>
        </w:rPr>
        <w:t xml:space="preserve"> </w:t>
      </w:r>
      <w:r w:rsidRPr="00B76111">
        <w:rPr>
          <w:rFonts w:cs="Arial"/>
          <w:i/>
          <w:lang w:val="lt-LT"/>
        </w:rPr>
        <w:t>Šaltinis: EBRD Annual Report 2013</w:t>
      </w:r>
    </w:p>
  </w:footnote>
  <w:footnote w:id="31">
    <w:p w14:paraId="551BDD6F" w14:textId="77777777" w:rsidR="00A65A8D" w:rsidRPr="001554CF" w:rsidRDefault="00A65A8D" w:rsidP="00583EB1">
      <w:pPr>
        <w:pStyle w:val="Puslapioinaostekstas"/>
        <w:rPr>
          <w:lang w:val="lt-LT"/>
        </w:rPr>
      </w:pPr>
      <w:r w:rsidRPr="00B76111">
        <w:rPr>
          <w:rStyle w:val="Puslapioinaosnuoroda"/>
          <w:lang w:val="lt-LT"/>
        </w:rPr>
        <w:footnoteRef/>
      </w:r>
      <w:r w:rsidRPr="00B76111">
        <w:rPr>
          <w:lang w:val="lt-LT"/>
        </w:rPr>
        <w:t xml:space="preserve"> </w:t>
      </w:r>
      <w:hyperlink r:id="rId10" w:history="1">
        <w:r w:rsidRPr="00FB240F">
          <w:rPr>
            <w:rStyle w:val="Hipersaitas"/>
            <w:lang w:val="lt-LT"/>
          </w:rPr>
          <w:t>www.ebrd.com/pages/sector/powerenergy/energy-strategy.shtml</w:t>
        </w:r>
      </w:hyperlink>
      <w:r w:rsidRPr="00B76111">
        <w:rPr>
          <w:lang w:val="lt-LT"/>
        </w:rPr>
        <w:t xml:space="preserve"> </w:t>
      </w:r>
    </w:p>
  </w:footnote>
  <w:footnote w:id="32">
    <w:p w14:paraId="290AC2B1" w14:textId="77777777" w:rsidR="00A65A8D" w:rsidRPr="00B76111" w:rsidRDefault="00A65A8D" w:rsidP="00583EB1">
      <w:pPr>
        <w:pStyle w:val="Puslapioinaostekstas"/>
        <w:rPr>
          <w:lang w:val="lt-LT"/>
        </w:rPr>
      </w:pPr>
      <w:r w:rsidRPr="00E67C77">
        <w:rPr>
          <w:rStyle w:val="Puslapioinaosnuoroda"/>
          <w:lang w:val="lt-LT"/>
        </w:rPr>
        <w:footnoteRef/>
      </w:r>
      <w:r w:rsidRPr="00E67C77">
        <w:rPr>
          <w:lang w:val="lt-LT"/>
        </w:rPr>
        <w:t xml:space="preserve"> angl. Extractive Industry Transparency Initiative</w:t>
      </w:r>
    </w:p>
  </w:footnote>
  <w:footnote w:id="33">
    <w:p w14:paraId="1CDBD233" w14:textId="77777777" w:rsidR="00A65A8D" w:rsidRPr="001554CF" w:rsidRDefault="00A65A8D" w:rsidP="00583EB1">
      <w:pPr>
        <w:pStyle w:val="Puslapioinaostekstas"/>
        <w:rPr>
          <w:rFonts w:cs="Arial"/>
          <w:szCs w:val="16"/>
          <w:lang w:val="lt-LT"/>
        </w:rPr>
      </w:pPr>
      <w:r w:rsidRPr="00B76111">
        <w:rPr>
          <w:rStyle w:val="Puslapioinaosnuoroda"/>
          <w:lang w:val="lt-LT"/>
        </w:rPr>
        <w:footnoteRef/>
      </w:r>
      <w:r w:rsidRPr="00B76111">
        <w:rPr>
          <w:lang w:val="lt-LT"/>
        </w:rPr>
        <w:t xml:space="preserve"> </w:t>
      </w:r>
      <w:hyperlink r:id="rId11" w:history="1">
        <w:r w:rsidRPr="00FB240F">
          <w:rPr>
            <w:rStyle w:val="Hipersaitas"/>
            <w:rFonts w:cs="Arial"/>
            <w:szCs w:val="16"/>
            <w:lang w:val="lt-LT"/>
          </w:rPr>
          <w:t>http://www.ebrdseff.com/en/seffs.html</w:t>
        </w:r>
      </w:hyperlink>
      <w:r w:rsidRPr="00B76111">
        <w:rPr>
          <w:rFonts w:cs="Arial"/>
          <w:szCs w:val="16"/>
          <w:lang w:val="lt-LT"/>
        </w:rPr>
        <w:t xml:space="preserve"> </w:t>
      </w:r>
    </w:p>
  </w:footnote>
  <w:footnote w:id="34">
    <w:p w14:paraId="381BB676" w14:textId="77777777" w:rsidR="00A65A8D" w:rsidRPr="00FB240F" w:rsidRDefault="00A65A8D" w:rsidP="00583EB1">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r w:rsidRPr="001554CF">
        <w:rPr>
          <w:rFonts w:cs="Arial"/>
          <w:szCs w:val="16"/>
          <w:lang w:val="lt-LT"/>
        </w:rPr>
        <w:t>Sustainable Energy Financing Facilities: Innovative Products for Businesses and Home Owners, EBRD</w:t>
      </w:r>
    </w:p>
    <w:p w14:paraId="1A338EBB" w14:textId="77777777" w:rsidR="00A65A8D" w:rsidRPr="00B76111" w:rsidRDefault="00A65A8D" w:rsidP="00583EB1">
      <w:pPr>
        <w:pStyle w:val="Puslapioinaostekstas"/>
        <w:rPr>
          <w:rFonts w:cs="Arial"/>
          <w:szCs w:val="16"/>
          <w:lang w:val="lt-LT"/>
        </w:rPr>
      </w:pPr>
      <w:r w:rsidRPr="00FB240F">
        <w:rPr>
          <w:rFonts w:cs="Arial"/>
          <w:szCs w:val="16"/>
          <w:lang w:val="lt-LT"/>
        </w:rPr>
        <w:t>(</w:t>
      </w:r>
      <w:hyperlink r:id="rId12" w:history="1">
        <w:r w:rsidRPr="00FB240F">
          <w:rPr>
            <w:rStyle w:val="Hipersaitas"/>
            <w:rFonts w:cs="Arial"/>
            <w:szCs w:val="16"/>
            <w:lang w:val="lt-LT"/>
          </w:rPr>
          <w:t>http://www.ebrd.com/downloads/sector/eecc/sei-seff.pdf</w:t>
        </w:r>
      </w:hyperlink>
      <w:r w:rsidRPr="00B76111">
        <w:rPr>
          <w:rFonts w:cs="Arial"/>
          <w:szCs w:val="16"/>
          <w:lang w:val="lt-LT"/>
        </w:rPr>
        <w:t>)</w:t>
      </w:r>
    </w:p>
  </w:footnote>
  <w:footnote w:id="35">
    <w:p w14:paraId="46F768CF" w14:textId="77777777" w:rsidR="00A65A8D" w:rsidRPr="00FB240F" w:rsidRDefault="00A65A8D" w:rsidP="00583EB1">
      <w:pPr>
        <w:pStyle w:val="Puslapioinaostekstas"/>
        <w:rPr>
          <w:lang w:val="lt-LT"/>
        </w:rPr>
      </w:pPr>
      <w:r w:rsidRPr="00B76111">
        <w:rPr>
          <w:rStyle w:val="Puslapioinaosnuoroda"/>
          <w:rFonts w:cs="Arial"/>
          <w:szCs w:val="16"/>
          <w:lang w:val="lt-LT"/>
        </w:rPr>
        <w:footnoteRef/>
      </w:r>
      <w:r w:rsidRPr="00B76111">
        <w:rPr>
          <w:rFonts w:cs="Arial"/>
          <w:szCs w:val="16"/>
          <w:lang w:val="lt-LT"/>
        </w:rPr>
        <w:t xml:space="preserve"> EBRD Annual Report 2013 (</w:t>
      </w:r>
      <w:hyperlink r:id="rId13" w:history="1">
        <w:r w:rsidRPr="00FB240F">
          <w:rPr>
            <w:rStyle w:val="Hipersaitas"/>
            <w:rFonts w:cs="Arial"/>
            <w:szCs w:val="16"/>
            <w:lang w:val="lt-LT"/>
          </w:rPr>
          <w:t>http://www.ebrd.com/downloads/research/annual/ar13e.pdf</w:t>
        </w:r>
      </w:hyperlink>
      <w:r w:rsidRPr="00B76111">
        <w:rPr>
          <w:rFonts w:cs="Arial"/>
          <w:szCs w:val="16"/>
          <w:lang w:val="lt-LT"/>
        </w:rPr>
        <w:t>)</w:t>
      </w:r>
      <w:r w:rsidRPr="001554CF">
        <w:rPr>
          <w:lang w:val="lt-LT"/>
        </w:rPr>
        <w:t xml:space="preserve"> </w:t>
      </w:r>
    </w:p>
  </w:footnote>
  <w:footnote w:id="36">
    <w:p w14:paraId="1C7CB4FA" w14:textId="77777777" w:rsidR="00A65A8D" w:rsidRPr="001554CF" w:rsidRDefault="00A65A8D" w:rsidP="00583EB1">
      <w:pPr>
        <w:pStyle w:val="Puslapioinaostekstas"/>
        <w:rPr>
          <w:szCs w:val="16"/>
          <w:lang w:val="lt-LT"/>
        </w:rPr>
      </w:pPr>
      <w:r w:rsidRPr="00B76111">
        <w:rPr>
          <w:rStyle w:val="Puslapioinaosnuoroda"/>
          <w:szCs w:val="16"/>
          <w:lang w:val="lt-LT"/>
        </w:rPr>
        <w:footnoteRef/>
      </w:r>
      <w:r w:rsidRPr="00B76111">
        <w:rPr>
          <w:szCs w:val="16"/>
          <w:lang w:val="lt-LT"/>
        </w:rPr>
        <w:t xml:space="preserve"> EBRD Annual Report 2013 (</w:t>
      </w:r>
      <w:hyperlink r:id="rId14" w:history="1">
        <w:r w:rsidRPr="00FB240F">
          <w:rPr>
            <w:rStyle w:val="Hipersaitas"/>
            <w:szCs w:val="16"/>
            <w:lang w:val="lt-LT"/>
          </w:rPr>
          <w:t>http://www.ebrd.com/downloads/research/annual/ar13e.pdf</w:t>
        </w:r>
      </w:hyperlink>
      <w:r w:rsidRPr="00B76111">
        <w:rPr>
          <w:szCs w:val="16"/>
          <w:lang w:val="lt-LT"/>
        </w:rPr>
        <w:t>)</w:t>
      </w:r>
    </w:p>
  </w:footnote>
  <w:footnote w:id="37">
    <w:p w14:paraId="7737A43F" w14:textId="77777777" w:rsidR="00A65A8D" w:rsidRPr="001554CF" w:rsidRDefault="00A65A8D" w:rsidP="00583EB1">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Document of </w:t>
      </w:r>
      <w:r w:rsidRPr="001554CF">
        <w:rPr>
          <w:rFonts w:cs="Arial"/>
          <w:szCs w:val="16"/>
          <w:lang w:val="lt-LT"/>
        </w:rPr>
        <w:t>European Banks of Reconstruction and Development, Strategy for Lithuania as approved by the Board of</w:t>
      </w:r>
    </w:p>
    <w:p w14:paraId="2CA50564" w14:textId="77777777" w:rsidR="00A65A8D" w:rsidRPr="00B76111" w:rsidRDefault="00A65A8D" w:rsidP="00583EB1">
      <w:pPr>
        <w:pStyle w:val="Puslapioinaostekstas"/>
        <w:rPr>
          <w:rFonts w:cs="Arial"/>
          <w:szCs w:val="16"/>
          <w:lang w:val="lt-LT"/>
        </w:rPr>
      </w:pPr>
      <w:r w:rsidRPr="00FB240F">
        <w:rPr>
          <w:rFonts w:cs="Arial"/>
          <w:szCs w:val="16"/>
          <w:lang w:val="lt-LT"/>
        </w:rPr>
        <w:t>Directors at its meeting on 13 November 2012 (</w:t>
      </w:r>
      <w:hyperlink r:id="rId15" w:history="1">
        <w:r w:rsidRPr="00FB240F">
          <w:rPr>
            <w:rStyle w:val="Hipersaitas"/>
            <w:rFonts w:cs="Arial"/>
            <w:szCs w:val="16"/>
            <w:lang w:val="lt-LT"/>
          </w:rPr>
          <w:t>http://www.ebrd.com/downloads/country/strategy/lithuania.pdf</w:t>
        </w:r>
      </w:hyperlink>
      <w:r w:rsidRPr="00B76111">
        <w:rPr>
          <w:rFonts w:cs="Arial"/>
          <w:szCs w:val="16"/>
          <w:lang w:val="lt-LT"/>
        </w:rPr>
        <w:t xml:space="preserve">) </w:t>
      </w:r>
    </w:p>
  </w:footnote>
  <w:footnote w:id="38">
    <w:p w14:paraId="51CC9496" w14:textId="77777777" w:rsidR="00A65A8D" w:rsidRPr="001554CF" w:rsidRDefault="00A65A8D" w:rsidP="00583EB1">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2014-2020 JESSICA Evaluation Study for Lithuania. Progress report task 2. 21 October 2013</w:t>
      </w:r>
    </w:p>
  </w:footnote>
  <w:footnote w:id="39">
    <w:p w14:paraId="306D0E5E" w14:textId="77777777" w:rsidR="00A65A8D" w:rsidRPr="00FB240F" w:rsidRDefault="00A65A8D" w:rsidP="00583EB1">
      <w:pPr>
        <w:pStyle w:val="Puslapioinaostekstas"/>
        <w:rPr>
          <w:szCs w:val="16"/>
          <w:lang w:val="lt-LT"/>
        </w:rPr>
      </w:pPr>
      <w:r w:rsidRPr="00B76111">
        <w:rPr>
          <w:rStyle w:val="Puslapioinaosnuoroda"/>
          <w:rFonts w:cs="Arial"/>
          <w:szCs w:val="16"/>
          <w:lang w:val="lt-LT"/>
        </w:rPr>
        <w:footnoteRef/>
      </w:r>
      <w:r w:rsidRPr="00B76111">
        <w:rPr>
          <w:rFonts w:cs="Arial"/>
          <w:szCs w:val="16"/>
          <w:lang w:val="lt-LT"/>
        </w:rPr>
        <w:t xml:space="preserve"> </w:t>
      </w:r>
      <w:r w:rsidRPr="001554CF">
        <w:rPr>
          <w:rFonts w:cs="Arial"/>
          <w:i/>
          <w:szCs w:val="16"/>
          <w:lang w:val="lt-LT"/>
        </w:rPr>
        <w:t>Angl. Net Cumulative Business Volume</w:t>
      </w:r>
    </w:p>
  </w:footnote>
  <w:footnote w:id="40">
    <w:p w14:paraId="62CCF7C0" w14:textId="77777777" w:rsidR="00A65A8D" w:rsidRPr="00FB240F" w:rsidRDefault="00A65A8D" w:rsidP="00583EB1">
      <w:pPr>
        <w:pStyle w:val="Puslapioinaostekstas"/>
        <w:rPr>
          <w:szCs w:val="16"/>
          <w:lang w:val="lt-LT"/>
        </w:rPr>
      </w:pPr>
      <w:r w:rsidRPr="00B76111">
        <w:rPr>
          <w:rStyle w:val="Puslapioinaosnuoroda"/>
          <w:szCs w:val="16"/>
          <w:lang w:val="lt-LT"/>
        </w:rPr>
        <w:footnoteRef/>
      </w:r>
      <w:r w:rsidRPr="00B76111">
        <w:rPr>
          <w:szCs w:val="16"/>
          <w:lang w:val="lt-LT"/>
        </w:rPr>
        <w:t xml:space="preserve"> </w:t>
      </w:r>
      <w:r w:rsidRPr="001554CF">
        <w:rPr>
          <w:rFonts w:cs="Arial"/>
          <w:i/>
          <w:szCs w:val="16"/>
          <w:lang w:val="lt-LT"/>
        </w:rPr>
        <w:t>Angl. Net Cumulative Business Volume/Investment</w:t>
      </w:r>
    </w:p>
  </w:footnote>
  <w:footnote w:id="41">
    <w:p w14:paraId="6C496527" w14:textId="77777777" w:rsidR="00A65A8D" w:rsidRPr="00FB240F" w:rsidRDefault="00A65A8D" w:rsidP="00583EB1">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r w:rsidRPr="001554CF">
        <w:rPr>
          <w:rFonts w:cs="Arial"/>
          <w:i/>
          <w:szCs w:val="16"/>
          <w:lang w:val="lt-LT"/>
        </w:rPr>
        <w:t>Angl. Annual Business Volume/Investment</w:t>
      </w:r>
    </w:p>
  </w:footnote>
  <w:footnote w:id="42">
    <w:p w14:paraId="56BA724B" w14:textId="77777777" w:rsidR="00A65A8D" w:rsidRPr="00FB240F" w:rsidRDefault="00A65A8D" w:rsidP="00583EB1">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r w:rsidRPr="001554CF">
        <w:rPr>
          <w:rFonts w:cs="Arial"/>
          <w:i/>
          <w:szCs w:val="16"/>
          <w:lang w:val="lt-LT"/>
        </w:rPr>
        <w:t>Angl. Gross Disbursements</w:t>
      </w:r>
    </w:p>
  </w:footnote>
  <w:footnote w:id="43">
    <w:p w14:paraId="49BF7B17" w14:textId="77777777" w:rsidR="00A65A8D" w:rsidRPr="00E67C77" w:rsidRDefault="00A65A8D" w:rsidP="00583EB1">
      <w:pPr>
        <w:pStyle w:val="Puslapioinaostekstas"/>
        <w:rPr>
          <w:lang w:val="lt-LT"/>
        </w:rPr>
      </w:pPr>
      <w:r w:rsidRPr="00E67C77">
        <w:rPr>
          <w:rStyle w:val="Puslapioinaosnuoroda"/>
          <w:lang w:val="lt-LT"/>
        </w:rPr>
        <w:footnoteRef/>
      </w:r>
      <w:r w:rsidRPr="00E67C77">
        <w:rPr>
          <w:lang w:val="lt-LT"/>
        </w:rPr>
        <w:t xml:space="preserve"> </w:t>
      </w:r>
      <w:hyperlink r:id="rId16" w:history="1">
        <w:r w:rsidRPr="00FB240F">
          <w:rPr>
            <w:rStyle w:val="Hipersaitas"/>
            <w:rFonts w:cs="Arial"/>
            <w:i/>
            <w:lang w:val="lt-LT"/>
          </w:rPr>
          <w:t>http://www.ebrd.com/downloads/country/strategy/lithuania.pdf</w:t>
        </w:r>
      </w:hyperlink>
    </w:p>
  </w:footnote>
  <w:footnote w:id="44">
    <w:p w14:paraId="51E20502" w14:textId="77777777" w:rsidR="00A65A8D" w:rsidRPr="001554CF" w:rsidRDefault="00A65A8D" w:rsidP="00583EB1">
      <w:pPr>
        <w:pStyle w:val="Puslapioinaostekstas"/>
        <w:rPr>
          <w:rFonts w:ascii="Arial" w:hAnsi="Arial" w:cs="Arial"/>
          <w:sz w:val="18"/>
          <w:lang w:val="lt-LT"/>
        </w:rPr>
      </w:pPr>
      <w:r w:rsidRPr="00B76111">
        <w:rPr>
          <w:rStyle w:val="Puslapioinaosnuoroda"/>
          <w:rFonts w:cs="Arial"/>
          <w:szCs w:val="16"/>
          <w:lang w:val="lt-LT"/>
        </w:rPr>
        <w:footnoteRef/>
      </w:r>
      <w:r w:rsidRPr="00B76111">
        <w:rPr>
          <w:rFonts w:cs="Arial"/>
          <w:szCs w:val="16"/>
          <w:lang w:val="lt-LT"/>
        </w:rPr>
        <w:t xml:space="preserve"> </w:t>
      </w:r>
      <w:r w:rsidRPr="001554CF">
        <w:rPr>
          <w:rFonts w:cs="Arial"/>
          <w:szCs w:val="16"/>
          <w:lang w:val="lt-LT"/>
        </w:rPr>
        <w:t xml:space="preserve">Lithuania Factsheet, 2013 </w:t>
      </w:r>
      <w:r w:rsidRPr="00FB240F">
        <w:rPr>
          <w:rFonts w:cs="Arial"/>
          <w:szCs w:val="16"/>
          <w:lang w:val="lt-LT"/>
        </w:rPr>
        <w:t>August (</w:t>
      </w:r>
      <w:hyperlink r:id="rId17" w:history="1">
        <w:r w:rsidRPr="00FB240F">
          <w:rPr>
            <w:rStyle w:val="Hipersaitas"/>
            <w:rFonts w:cs="Arial"/>
            <w:szCs w:val="16"/>
            <w:lang w:val="lt-LT"/>
          </w:rPr>
          <w:t>http://www.ebrd.com/downloads/research/factsheets/lithuania.pdf</w:t>
        </w:r>
      </w:hyperlink>
      <w:r w:rsidRPr="00B76111">
        <w:rPr>
          <w:rFonts w:cs="Arial"/>
          <w:szCs w:val="16"/>
          <w:lang w:val="lt-LT"/>
        </w:rPr>
        <w:t>)</w:t>
      </w:r>
      <w:r w:rsidRPr="001554CF">
        <w:rPr>
          <w:rFonts w:ascii="Arial" w:hAnsi="Arial" w:cs="Arial"/>
          <w:sz w:val="18"/>
          <w:lang w:val="lt-LT"/>
        </w:rPr>
        <w:t xml:space="preserve"> </w:t>
      </w:r>
    </w:p>
  </w:footnote>
  <w:footnote w:id="45">
    <w:p w14:paraId="66E70DE4" w14:textId="77777777" w:rsidR="00A65A8D" w:rsidRPr="001554CF" w:rsidRDefault="00A65A8D" w:rsidP="00583EB1">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Document of </w:t>
      </w:r>
      <w:r w:rsidRPr="001554CF">
        <w:rPr>
          <w:rFonts w:cs="Arial"/>
          <w:szCs w:val="16"/>
          <w:lang w:val="lt-LT"/>
        </w:rPr>
        <w:t>European Banks of Reconstruction and Development, Strategy for Lithuania as approved by the Board of</w:t>
      </w:r>
    </w:p>
    <w:p w14:paraId="490CE0CF" w14:textId="77777777" w:rsidR="00A65A8D" w:rsidRPr="00B76111" w:rsidRDefault="00A65A8D" w:rsidP="00583EB1">
      <w:pPr>
        <w:pStyle w:val="Puslapioinaostekstas"/>
        <w:rPr>
          <w:rFonts w:cs="Arial"/>
          <w:szCs w:val="16"/>
          <w:lang w:val="lt-LT"/>
        </w:rPr>
      </w:pPr>
      <w:r w:rsidRPr="00FB240F">
        <w:rPr>
          <w:rFonts w:cs="Arial"/>
          <w:szCs w:val="16"/>
          <w:lang w:val="lt-LT"/>
        </w:rPr>
        <w:t>Directors at its meeting on 13 November 2012 (</w:t>
      </w:r>
      <w:hyperlink r:id="rId18" w:history="1">
        <w:r w:rsidRPr="00FB240F">
          <w:rPr>
            <w:rStyle w:val="Hipersaitas"/>
            <w:rFonts w:cs="Arial"/>
            <w:szCs w:val="16"/>
            <w:lang w:val="lt-LT"/>
          </w:rPr>
          <w:t>http://www.ebrd.com/downloads/country/strategy/lithuania.pdf</w:t>
        </w:r>
      </w:hyperlink>
      <w:r w:rsidRPr="00B76111">
        <w:rPr>
          <w:rFonts w:cs="Arial"/>
          <w:szCs w:val="16"/>
          <w:lang w:val="lt-LT"/>
        </w:rPr>
        <w:t>),</w:t>
      </w:r>
    </w:p>
    <w:p w14:paraId="0E193E24" w14:textId="77777777" w:rsidR="00A65A8D" w:rsidRPr="001554CF" w:rsidRDefault="00A65A8D" w:rsidP="00583EB1">
      <w:pPr>
        <w:pStyle w:val="Puslapioinaostekstas"/>
        <w:rPr>
          <w:szCs w:val="16"/>
          <w:lang w:val="lt-LT"/>
        </w:rPr>
      </w:pPr>
      <w:hyperlink r:id="rId19" w:history="1">
        <w:r w:rsidRPr="00FB240F">
          <w:rPr>
            <w:rStyle w:val="Hipersaitas"/>
            <w:rFonts w:cs="Arial"/>
            <w:szCs w:val="16"/>
            <w:lang w:val="lt-LT"/>
          </w:rPr>
          <w:t>http://www.ebrd.com/english/pages/project/psd/2009/40437.shtml</w:t>
        </w:r>
      </w:hyperlink>
      <w:r w:rsidRPr="00B76111">
        <w:rPr>
          <w:rFonts w:cs="Arial"/>
          <w:szCs w:val="16"/>
          <w:lang w:val="lt-LT"/>
        </w:rPr>
        <w:t xml:space="preserve"> </w:t>
      </w:r>
    </w:p>
  </w:footnote>
  <w:footnote w:id="46">
    <w:p w14:paraId="7971B5DA" w14:textId="77777777" w:rsidR="00A65A8D" w:rsidRPr="001554CF" w:rsidRDefault="00A65A8D" w:rsidP="00583EB1">
      <w:pPr>
        <w:pStyle w:val="Puslapioinaostekstas"/>
        <w:rPr>
          <w:szCs w:val="16"/>
          <w:lang w:val="lt-LT"/>
        </w:rPr>
      </w:pPr>
      <w:r w:rsidRPr="00B76111">
        <w:rPr>
          <w:rStyle w:val="Puslapioinaosnuoroda"/>
          <w:szCs w:val="16"/>
          <w:lang w:val="lt-LT"/>
        </w:rPr>
        <w:footnoteRef/>
      </w:r>
      <w:r w:rsidRPr="00B76111">
        <w:rPr>
          <w:szCs w:val="16"/>
          <w:lang w:val="lt-LT"/>
        </w:rPr>
        <w:t xml:space="preserve"> </w:t>
      </w:r>
      <w:hyperlink r:id="rId20" w:history="1">
        <w:r w:rsidRPr="00FB240F">
          <w:rPr>
            <w:rStyle w:val="Hipersaitas"/>
            <w:szCs w:val="16"/>
            <w:lang w:val="lt-LT"/>
          </w:rPr>
          <w:t>http://www.ebrd.com/english/pages/project/psd/2009/40324.shtml</w:t>
        </w:r>
      </w:hyperlink>
      <w:r w:rsidRPr="00B76111">
        <w:rPr>
          <w:szCs w:val="16"/>
          <w:lang w:val="lt-LT"/>
        </w:rPr>
        <w:t xml:space="preserve"> </w:t>
      </w:r>
    </w:p>
  </w:footnote>
  <w:footnote w:id="47">
    <w:p w14:paraId="1A5A770A" w14:textId="77777777" w:rsidR="00A65A8D" w:rsidRPr="001554CF" w:rsidRDefault="00A65A8D" w:rsidP="00583EB1">
      <w:pPr>
        <w:pStyle w:val="Puslapioinaostekstas"/>
        <w:rPr>
          <w:lang w:val="lt-LT"/>
        </w:rPr>
      </w:pPr>
      <w:r w:rsidRPr="00B76111">
        <w:rPr>
          <w:rStyle w:val="Puslapioinaosnuoroda"/>
          <w:szCs w:val="16"/>
          <w:lang w:val="lt-LT"/>
        </w:rPr>
        <w:footnoteRef/>
      </w:r>
      <w:r w:rsidRPr="00B76111">
        <w:rPr>
          <w:szCs w:val="16"/>
          <w:lang w:val="lt-LT"/>
        </w:rPr>
        <w:t xml:space="preserve"> </w:t>
      </w:r>
      <w:hyperlink r:id="rId21" w:history="1">
        <w:r w:rsidRPr="00FB240F">
          <w:rPr>
            <w:rStyle w:val="Hipersaitas"/>
            <w:szCs w:val="16"/>
            <w:lang w:val="lt-LT"/>
          </w:rPr>
          <w:t>http://www.ebrd.com/english/pages/project/psd/2012/44212.shtml</w:t>
        </w:r>
      </w:hyperlink>
      <w:r w:rsidRPr="00B76111">
        <w:rPr>
          <w:lang w:val="lt-LT"/>
        </w:rPr>
        <w:t xml:space="preserve"> </w:t>
      </w:r>
    </w:p>
  </w:footnote>
  <w:footnote w:id="48">
    <w:p w14:paraId="1B958471" w14:textId="77777777" w:rsidR="00A65A8D" w:rsidRPr="00B76111" w:rsidRDefault="00A65A8D" w:rsidP="00583EB1">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Sąlygos priklauso nuo konkrečios paskolos.</w:t>
      </w:r>
    </w:p>
  </w:footnote>
  <w:footnote w:id="49">
    <w:p w14:paraId="5206934E" w14:textId="77777777" w:rsidR="00A65A8D" w:rsidRPr="001554CF" w:rsidRDefault="00A65A8D" w:rsidP="00583EB1">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r w:rsidRPr="001554CF">
        <w:rPr>
          <w:rFonts w:cs="Arial"/>
          <w:szCs w:val="16"/>
          <w:lang w:val="lt-LT"/>
        </w:rPr>
        <w:t>Angl. Income notes</w:t>
      </w:r>
    </w:p>
  </w:footnote>
  <w:footnote w:id="50">
    <w:p w14:paraId="614DF046" w14:textId="77777777" w:rsidR="00A65A8D" w:rsidRPr="00B76111" w:rsidRDefault="00A65A8D" w:rsidP="00583EB1">
      <w:pPr>
        <w:pStyle w:val="Puslapioinaostekstas"/>
        <w:rPr>
          <w:lang w:val="lt-LT"/>
        </w:rPr>
      </w:pPr>
      <w:r w:rsidRPr="00E67C77">
        <w:rPr>
          <w:rStyle w:val="Puslapioinaosnuoroda"/>
          <w:lang w:val="lt-LT"/>
        </w:rPr>
        <w:footnoteRef/>
      </w:r>
      <w:r w:rsidRPr="00E67C77">
        <w:rPr>
          <w:lang w:val="lt-LT"/>
        </w:rPr>
        <w:t xml:space="preserve"> </w:t>
      </w:r>
      <w:hyperlink r:id="rId22" w:history="1">
        <w:r w:rsidRPr="00FB240F">
          <w:rPr>
            <w:rStyle w:val="Hipersaitas"/>
            <w:rFonts w:cs="Arial"/>
            <w:i/>
            <w:lang w:val="lt-LT"/>
          </w:rPr>
          <w:t>http://www.ebrd.com/downloads/research/factsheets/guidetofinancing.pdf</w:t>
        </w:r>
      </w:hyperlink>
    </w:p>
  </w:footnote>
  <w:footnote w:id="51">
    <w:p w14:paraId="06079E93" w14:textId="77777777" w:rsidR="00A65A8D" w:rsidRPr="00B76111" w:rsidRDefault="00A65A8D" w:rsidP="00583EB1">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hyperlink r:id="rId23" w:history="1">
        <w:r w:rsidRPr="00FB240F">
          <w:rPr>
            <w:rStyle w:val="Hipersaitas"/>
            <w:rFonts w:cs="Arial"/>
            <w:szCs w:val="16"/>
            <w:lang w:val="lt-LT"/>
          </w:rPr>
          <w:t>http://www.nib.int/nib_in_brief/iaur_s_investicij_bankas</w:t>
        </w:r>
      </w:hyperlink>
      <w:r w:rsidRPr="00B76111">
        <w:rPr>
          <w:rFonts w:cs="Arial"/>
          <w:szCs w:val="16"/>
          <w:lang w:val="lt-LT"/>
        </w:rPr>
        <w:t xml:space="preserve"> </w:t>
      </w:r>
    </w:p>
  </w:footnote>
  <w:footnote w:id="52">
    <w:p w14:paraId="6D5B2B84" w14:textId="77777777" w:rsidR="00A65A8D" w:rsidRPr="00FB240F" w:rsidRDefault="00A65A8D" w:rsidP="00583EB1">
      <w:pPr>
        <w:pStyle w:val="Puslapioinaostekstas"/>
        <w:rPr>
          <w:lang w:val="lt-LT"/>
        </w:rPr>
      </w:pPr>
      <w:r w:rsidRPr="00B76111">
        <w:rPr>
          <w:rStyle w:val="Puslapioinaosnuoroda"/>
          <w:szCs w:val="16"/>
          <w:lang w:val="lt-LT"/>
        </w:rPr>
        <w:footnoteRef/>
      </w:r>
      <w:r w:rsidRPr="00B76111">
        <w:rPr>
          <w:szCs w:val="16"/>
          <w:lang w:val="lt-LT"/>
        </w:rPr>
        <w:t xml:space="preserve"> </w:t>
      </w:r>
      <w:r w:rsidRPr="001554CF">
        <w:rPr>
          <w:szCs w:val="16"/>
          <w:lang w:val="lt-LT"/>
        </w:rPr>
        <w:t>Angl. loans outstanding</w:t>
      </w:r>
    </w:p>
  </w:footnote>
  <w:footnote w:id="53">
    <w:p w14:paraId="5DA1570B" w14:textId="77777777" w:rsidR="00A65A8D" w:rsidRPr="00B76111" w:rsidRDefault="00A65A8D" w:rsidP="00583EB1">
      <w:pPr>
        <w:pStyle w:val="Puslapioinaostekstas"/>
        <w:rPr>
          <w:lang w:val="lt-LT"/>
        </w:rPr>
      </w:pPr>
      <w:r w:rsidRPr="00E67C77">
        <w:rPr>
          <w:rStyle w:val="Puslapioinaosnuoroda"/>
          <w:lang w:val="lt-LT"/>
        </w:rPr>
        <w:footnoteRef/>
      </w:r>
      <w:r w:rsidRPr="00E67C77">
        <w:rPr>
          <w:lang w:val="lt-LT"/>
        </w:rPr>
        <w:t xml:space="preserve"> NORDIC INVESTMENT BANK Annual Report 2012 (https://www.nib.int/filebank/a/1363075450/5de88df0ff299f86b33058ebf2ec4e16/2930-Annual_Report_2012.pdf); NORDIC INVESTMENT BANK Annual Report 2013 (http://annual.nib.int/2013/filebank/630-NIB_Annual_Report_2013.pdf)</w:t>
      </w:r>
    </w:p>
  </w:footnote>
  <w:footnote w:id="54">
    <w:p w14:paraId="11953703" w14:textId="77777777" w:rsidR="00A65A8D" w:rsidRPr="001554CF" w:rsidRDefault="00A65A8D" w:rsidP="00583EB1">
      <w:pPr>
        <w:pStyle w:val="Puslapioinaostekstas"/>
        <w:rPr>
          <w:lang w:val="lt-LT"/>
        </w:rPr>
      </w:pPr>
      <w:r w:rsidRPr="00E67C77">
        <w:rPr>
          <w:rStyle w:val="Puslapioinaosnuoroda"/>
          <w:lang w:val="lt-LT"/>
        </w:rPr>
        <w:footnoteRef/>
      </w:r>
      <w:r w:rsidRPr="00E67C77">
        <w:rPr>
          <w:lang w:val="lt-LT"/>
        </w:rPr>
        <w:t xml:space="preserve"> </w:t>
      </w:r>
      <w:r w:rsidRPr="00B76111">
        <w:rPr>
          <w:rFonts w:cs="Arial"/>
          <w:lang w:val="lt-LT"/>
        </w:rPr>
        <w:t>Šaltinis: NORDIC I</w:t>
      </w:r>
      <w:r w:rsidRPr="001554CF">
        <w:rPr>
          <w:rFonts w:cs="Arial"/>
          <w:lang w:val="lt-LT"/>
        </w:rPr>
        <w:t>NVESTMENT BANK Annual Report 2013 (</w:t>
      </w:r>
      <w:hyperlink r:id="rId24" w:history="1">
        <w:r w:rsidRPr="00FB240F">
          <w:rPr>
            <w:rStyle w:val="Hipersaitas"/>
            <w:rFonts w:cs="Arial"/>
            <w:color w:val="0563C1"/>
            <w:lang w:val="lt-LT"/>
          </w:rPr>
          <w:t>http://annual.nib.int/2013/filebank/630-NIB_Annual_Report_2013.pdf</w:t>
        </w:r>
      </w:hyperlink>
      <w:r w:rsidRPr="00B76111">
        <w:rPr>
          <w:rFonts w:cs="Arial"/>
          <w:lang w:val="lt-LT"/>
        </w:rPr>
        <w:t>)</w:t>
      </w:r>
    </w:p>
  </w:footnote>
  <w:footnote w:id="55">
    <w:p w14:paraId="246C24CA" w14:textId="77777777" w:rsidR="00A65A8D" w:rsidRPr="00FB240F" w:rsidRDefault="00A65A8D" w:rsidP="00583EB1">
      <w:pPr>
        <w:pStyle w:val="Puslapioinaostekstas"/>
        <w:rPr>
          <w:lang w:val="lt-LT"/>
        </w:rPr>
      </w:pPr>
      <w:r w:rsidRPr="00B76111">
        <w:rPr>
          <w:rStyle w:val="Puslapioinaosnuoroda"/>
          <w:lang w:val="lt-LT"/>
        </w:rPr>
        <w:footnoteRef/>
      </w:r>
      <w:r w:rsidRPr="00B76111">
        <w:rPr>
          <w:lang w:val="lt-LT"/>
        </w:rPr>
        <w:t xml:space="preserve"> Energetikos ir aplinkos sektoriai nuo 2012 m. metinėje ataskaitoje n</w:t>
      </w:r>
      <w:r w:rsidRPr="001554CF">
        <w:rPr>
          <w:lang w:val="lt-LT"/>
        </w:rPr>
        <w:t>urodomi kartu.</w:t>
      </w:r>
      <w:r w:rsidRPr="00FB240F">
        <w:rPr>
          <w:lang w:val="lt-LT"/>
        </w:rPr>
        <w:t xml:space="preserve"> Atkreiptinas dėmesys į tai, jog 2008-2011 m. laikotarpio duomenys apima tik energetikos sektorių, tuo tarpu 2012-2013 m. – energetikos ir aplinkos sektorius.</w:t>
      </w:r>
    </w:p>
  </w:footnote>
  <w:footnote w:id="56">
    <w:p w14:paraId="63CC23C9" w14:textId="77777777" w:rsidR="00A65A8D" w:rsidRPr="00B76111" w:rsidRDefault="00A65A8D" w:rsidP="00583EB1">
      <w:pPr>
        <w:pStyle w:val="Puslapioinaostekstas"/>
        <w:rPr>
          <w:lang w:val="lt-LT"/>
        </w:rPr>
      </w:pPr>
      <w:r w:rsidRPr="00E67C77">
        <w:rPr>
          <w:rStyle w:val="Puslapioinaosnuoroda"/>
          <w:lang w:val="lt-LT"/>
        </w:rPr>
        <w:footnoteRef/>
      </w:r>
      <w:r w:rsidRPr="00E67C77">
        <w:rPr>
          <w:lang w:val="lt-LT"/>
        </w:rPr>
        <w:t xml:space="preserve"> NORDIC INVESTMENT BANK Annual Report 2013, NORDIC INVESTMENT BANK Annual Report 2012, NORDIC INVESTMENT BANK Annual Report 2011, NORDIC INVESTMENT BANK Annual Report 2010, NORDIC INVESTMENT BANK Annual Report 2009, NORDIC INVESTMENT BANK Annual Report 2008.</w:t>
      </w:r>
    </w:p>
  </w:footnote>
  <w:footnote w:id="57">
    <w:p w14:paraId="2985BE06" w14:textId="77777777" w:rsidR="00A65A8D" w:rsidRPr="00B76111" w:rsidRDefault="00A65A8D" w:rsidP="00583EB1">
      <w:pPr>
        <w:pStyle w:val="Puslapioinaostekstas"/>
        <w:rPr>
          <w:lang w:val="lt-LT"/>
        </w:rPr>
      </w:pPr>
      <w:r w:rsidRPr="00B76111">
        <w:rPr>
          <w:rStyle w:val="Puslapioinaosnuoroda"/>
          <w:lang w:val="lt-LT"/>
        </w:rPr>
        <w:footnoteRef/>
      </w:r>
      <w:r w:rsidRPr="00B76111">
        <w:rPr>
          <w:lang w:val="lt-LT"/>
        </w:rPr>
        <w:t xml:space="preserve"> </w:t>
      </w:r>
      <w:r w:rsidRPr="001554CF">
        <w:rPr>
          <w:lang w:val="lt-LT"/>
        </w:rPr>
        <w:t>Annual Review 2013 (</w:t>
      </w:r>
      <w:hyperlink r:id="rId25" w:history="1">
        <w:r w:rsidRPr="00FB240F">
          <w:rPr>
            <w:rStyle w:val="Hipersaitas"/>
            <w:lang w:val="lt-LT"/>
          </w:rPr>
          <w:t>https://www.nib.int/filebank/a/1396520875/6690a07ca472a8382a5678b8d2579b1b/3689-A_Review_2013.pdf</w:t>
        </w:r>
      </w:hyperlink>
      <w:r w:rsidRPr="00B76111">
        <w:rPr>
          <w:lang w:val="lt-LT"/>
        </w:rPr>
        <w:t xml:space="preserve">) </w:t>
      </w:r>
    </w:p>
  </w:footnote>
  <w:footnote w:id="58">
    <w:p w14:paraId="0AD7A428" w14:textId="77777777" w:rsidR="00A65A8D" w:rsidRPr="00B76111" w:rsidRDefault="00A65A8D" w:rsidP="00583EB1">
      <w:pPr>
        <w:pStyle w:val="Puslapioinaostekstas"/>
        <w:rPr>
          <w:szCs w:val="16"/>
          <w:lang w:val="lt-LT"/>
        </w:rPr>
      </w:pPr>
      <w:r w:rsidRPr="00B76111">
        <w:rPr>
          <w:rStyle w:val="Puslapioinaosnuoroda"/>
          <w:szCs w:val="16"/>
          <w:lang w:val="lt-LT"/>
        </w:rPr>
        <w:footnoteRef/>
      </w:r>
      <w:r w:rsidRPr="00B76111">
        <w:rPr>
          <w:szCs w:val="16"/>
          <w:lang w:val="lt-LT"/>
        </w:rPr>
        <w:t xml:space="preserve"> </w:t>
      </w:r>
      <w:hyperlink r:id="rId26" w:history="1">
        <w:r w:rsidRPr="00FB240F">
          <w:rPr>
            <w:rStyle w:val="Hipersaitas"/>
            <w:rFonts w:cs="Arial"/>
            <w:szCs w:val="16"/>
            <w:lang w:val="lt-LT"/>
          </w:rPr>
          <w:t>http://www.finmin.lt/web/finmin/naujienos?erp_item=naujiena_001265</w:t>
        </w:r>
      </w:hyperlink>
      <w:r w:rsidRPr="00B76111">
        <w:rPr>
          <w:szCs w:val="16"/>
          <w:lang w:val="lt-LT"/>
        </w:rPr>
        <w:t xml:space="preserve"> </w:t>
      </w:r>
    </w:p>
  </w:footnote>
  <w:footnote w:id="59">
    <w:p w14:paraId="0DC139F2" w14:textId="77777777" w:rsidR="00A65A8D" w:rsidRPr="00FB240F" w:rsidRDefault="00A65A8D" w:rsidP="00583EB1">
      <w:pPr>
        <w:pStyle w:val="Puslapioinaostekstas"/>
        <w:rPr>
          <w:szCs w:val="16"/>
          <w:lang w:val="lt-LT"/>
        </w:rPr>
      </w:pPr>
      <w:r w:rsidRPr="00B76111">
        <w:rPr>
          <w:rStyle w:val="Puslapioinaosnuoroda"/>
          <w:szCs w:val="16"/>
          <w:lang w:val="lt-LT"/>
        </w:rPr>
        <w:footnoteRef/>
      </w:r>
      <w:r w:rsidRPr="00B76111">
        <w:rPr>
          <w:szCs w:val="16"/>
          <w:lang w:val="lt-LT"/>
        </w:rPr>
        <w:t xml:space="preserve"> </w:t>
      </w:r>
      <w:r w:rsidRPr="001554CF">
        <w:rPr>
          <w:rFonts w:cs="Arial"/>
          <w:szCs w:val="16"/>
          <w:lang w:val="lt-LT"/>
        </w:rPr>
        <w:t>Įmonės turinčios 250-3.000 darbuotojų.</w:t>
      </w:r>
    </w:p>
  </w:footnote>
  <w:footnote w:id="60">
    <w:p w14:paraId="48D8C138" w14:textId="77777777" w:rsidR="00A65A8D" w:rsidRPr="00FB240F" w:rsidRDefault="00A65A8D" w:rsidP="00583EB1">
      <w:pPr>
        <w:pStyle w:val="Puslapioinaostekstas"/>
        <w:rPr>
          <w:rFonts w:ascii="Arial" w:hAnsi="Arial" w:cs="Arial"/>
          <w:lang w:val="lt-LT"/>
        </w:rPr>
      </w:pPr>
      <w:r w:rsidRPr="00B76111">
        <w:rPr>
          <w:rStyle w:val="Puslapioinaosnuoroda"/>
          <w:rFonts w:cs="Arial"/>
          <w:szCs w:val="16"/>
          <w:lang w:val="lt-LT"/>
        </w:rPr>
        <w:footnoteRef/>
      </w:r>
      <w:r w:rsidRPr="00B76111">
        <w:rPr>
          <w:rFonts w:cs="Arial"/>
          <w:szCs w:val="16"/>
          <w:lang w:val="lt-LT"/>
        </w:rPr>
        <w:t xml:space="preserve"> Iki apsikeitimo sandorių (</w:t>
      </w:r>
      <w:r w:rsidRPr="001554CF">
        <w:rPr>
          <w:rFonts w:cs="Arial"/>
          <w:i/>
          <w:szCs w:val="16"/>
          <w:lang w:val="lt-LT"/>
        </w:rPr>
        <w:t>angl. before swaps</w:t>
      </w:r>
      <w:r w:rsidRPr="00FB240F">
        <w:rPr>
          <w:rFonts w:cs="Arial"/>
          <w:szCs w:val="16"/>
          <w:lang w:val="lt-LT"/>
        </w:rPr>
        <w:t>)</w:t>
      </w:r>
    </w:p>
  </w:footnote>
  <w:footnote w:id="61">
    <w:p w14:paraId="3E79660C" w14:textId="77777777" w:rsidR="00A65A8D" w:rsidRPr="00B76111" w:rsidRDefault="00A65A8D" w:rsidP="00583EB1">
      <w:pPr>
        <w:pStyle w:val="Puslapioinaostekstas"/>
        <w:rPr>
          <w:lang w:val="lt-LT"/>
        </w:rPr>
      </w:pPr>
      <w:r w:rsidRPr="00E67C77">
        <w:rPr>
          <w:rStyle w:val="Puslapioinaosnuoroda"/>
          <w:lang w:val="lt-LT"/>
        </w:rPr>
        <w:footnoteRef/>
      </w:r>
      <w:r w:rsidRPr="00E67C77">
        <w:rPr>
          <w:lang w:val="lt-LT"/>
        </w:rPr>
        <w:t xml:space="preserve"> EIB Statistical Report 2013, EIB Statistical Report 2012, EIB Statistical Report 2011, EIB Annual Report 2010 – "Statistical" volume, EIB Annual Report 2009 – "Statistical" volume, EIB Statistical Report 2008</w:t>
      </w:r>
    </w:p>
  </w:footnote>
  <w:footnote w:id="62">
    <w:p w14:paraId="524CB8FE" w14:textId="77777777" w:rsidR="00A65A8D" w:rsidRPr="001554CF" w:rsidRDefault="00A65A8D" w:rsidP="00583EB1">
      <w:pPr>
        <w:pStyle w:val="Puslapioinaostekstas"/>
        <w:rPr>
          <w:lang w:val="lt-LT"/>
        </w:rPr>
      </w:pPr>
      <w:r w:rsidRPr="00E67C77">
        <w:rPr>
          <w:rStyle w:val="Puslapioinaosnuoroda"/>
          <w:lang w:val="lt-LT"/>
        </w:rPr>
        <w:footnoteRef/>
      </w:r>
      <w:r w:rsidRPr="00E67C77">
        <w:rPr>
          <w:lang w:val="lt-LT"/>
        </w:rPr>
        <w:t xml:space="preserve"> </w:t>
      </w:r>
      <w:r w:rsidRPr="00B76111">
        <w:rPr>
          <w:rFonts w:cs="Arial"/>
          <w:i/>
          <w:lang w:val="lt-LT"/>
        </w:rPr>
        <w:t>Šaltinis: EIB Statistical Report 2013</w:t>
      </w:r>
    </w:p>
  </w:footnote>
  <w:footnote w:id="63">
    <w:p w14:paraId="6461D1EC" w14:textId="77777777" w:rsidR="00A65A8D" w:rsidRPr="001554CF" w:rsidRDefault="00A65A8D" w:rsidP="00583EB1">
      <w:pPr>
        <w:pStyle w:val="Puslapioinaostekstas"/>
        <w:rPr>
          <w:lang w:val="lt-LT"/>
        </w:rPr>
      </w:pPr>
      <w:r w:rsidRPr="00E67C77">
        <w:rPr>
          <w:rStyle w:val="Puslapioinaosnuoroda"/>
          <w:lang w:val="lt-LT"/>
        </w:rPr>
        <w:footnoteRef/>
      </w:r>
      <w:r w:rsidRPr="00E67C77">
        <w:rPr>
          <w:lang w:val="lt-LT"/>
        </w:rPr>
        <w:t xml:space="preserve"> </w:t>
      </w:r>
      <w:r w:rsidRPr="00B76111">
        <w:rPr>
          <w:rFonts w:cs="Arial"/>
          <w:i/>
          <w:lang w:val="lt-LT"/>
        </w:rPr>
        <w:t>EIB Statistical Report 2013</w:t>
      </w:r>
    </w:p>
  </w:footnote>
  <w:footnote w:id="64">
    <w:p w14:paraId="17BF28EC" w14:textId="77777777" w:rsidR="00A65A8D" w:rsidRPr="001554CF" w:rsidRDefault="00A65A8D" w:rsidP="00583EB1">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r w:rsidRPr="001554CF">
        <w:rPr>
          <w:rFonts w:cs="Arial"/>
          <w:szCs w:val="16"/>
          <w:lang w:val="lt-LT"/>
        </w:rPr>
        <w:t>Europos investicijų bankas, 2013 m. veiklos ataskaita</w:t>
      </w:r>
    </w:p>
  </w:footnote>
  <w:footnote w:id="65">
    <w:p w14:paraId="1B91A593" w14:textId="77777777" w:rsidR="00A65A8D" w:rsidRPr="001554CF" w:rsidRDefault="00A65A8D" w:rsidP="00583EB1">
      <w:pPr>
        <w:pStyle w:val="Puslapioinaostekstas"/>
        <w:rPr>
          <w:rFonts w:ascii="Arial" w:hAnsi="Arial" w:cs="Arial"/>
          <w:sz w:val="18"/>
          <w:szCs w:val="18"/>
          <w:lang w:val="lt-LT"/>
        </w:rPr>
      </w:pPr>
      <w:r w:rsidRPr="00B76111">
        <w:rPr>
          <w:rStyle w:val="Puslapioinaosnuoroda"/>
          <w:rFonts w:cs="Arial"/>
          <w:szCs w:val="16"/>
          <w:lang w:val="lt-LT"/>
        </w:rPr>
        <w:footnoteRef/>
      </w:r>
      <w:r w:rsidRPr="00B76111">
        <w:rPr>
          <w:rFonts w:cs="Arial"/>
          <w:szCs w:val="16"/>
          <w:lang w:val="lt-LT"/>
        </w:rPr>
        <w:t xml:space="preserve"> </w:t>
      </w:r>
      <w:r w:rsidRPr="001554CF">
        <w:rPr>
          <w:rFonts w:cs="Arial"/>
          <w:szCs w:val="16"/>
          <w:lang w:val="lt-LT"/>
        </w:rPr>
        <w:t>European Investment Bank, Prom</w:t>
      </w:r>
      <w:r w:rsidRPr="00FB240F">
        <w:rPr>
          <w:rFonts w:cs="Arial"/>
          <w:szCs w:val="16"/>
          <w:lang w:val="lt-LT"/>
        </w:rPr>
        <w:t>oting Energy Efficiency (</w:t>
      </w:r>
      <w:hyperlink r:id="rId27" w:history="1">
        <w:r w:rsidRPr="00FB240F">
          <w:rPr>
            <w:rStyle w:val="Hipersaitas"/>
            <w:rFonts w:cs="Arial"/>
            <w:szCs w:val="16"/>
            <w:lang w:val="lt-LT"/>
          </w:rPr>
          <w:t>http://www.eib.org/attachments/thematic/energy_efficiency_en.pdf</w:t>
        </w:r>
      </w:hyperlink>
      <w:r w:rsidRPr="00B76111">
        <w:rPr>
          <w:rFonts w:cs="Arial"/>
          <w:szCs w:val="16"/>
          <w:lang w:val="lt-LT"/>
        </w:rPr>
        <w:t>)</w:t>
      </w:r>
      <w:r w:rsidRPr="001554CF">
        <w:rPr>
          <w:rFonts w:ascii="Arial" w:hAnsi="Arial" w:cs="Arial"/>
          <w:sz w:val="18"/>
          <w:szCs w:val="18"/>
          <w:lang w:val="lt-LT"/>
        </w:rPr>
        <w:t xml:space="preserve"> </w:t>
      </w:r>
    </w:p>
  </w:footnote>
  <w:footnote w:id="66">
    <w:p w14:paraId="3D89C8F3" w14:textId="77777777" w:rsidR="00A65A8D" w:rsidRPr="00B76111" w:rsidRDefault="00A65A8D" w:rsidP="00583EB1">
      <w:pPr>
        <w:pStyle w:val="Puslapioinaostekstas"/>
        <w:rPr>
          <w:lang w:val="lt-LT"/>
        </w:rPr>
      </w:pPr>
      <w:r w:rsidRPr="00E67C77">
        <w:rPr>
          <w:rStyle w:val="Puslapioinaosnuoroda"/>
          <w:lang w:val="lt-LT"/>
        </w:rPr>
        <w:footnoteRef/>
      </w:r>
      <w:r w:rsidRPr="00E67C77">
        <w:rPr>
          <w:lang w:val="lt-LT"/>
        </w:rPr>
        <w:t xml:space="preserve"> angl. The Green for Growth Fund)</w:t>
      </w:r>
    </w:p>
  </w:footnote>
  <w:footnote w:id="67">
    <w:p w14:paraId="69EEF63B" w14:textId="77777777" w:rsidR="00A65A8D" w:rsidRPr="00B76111" w:rsidRDefault="00A65A8D" w:rsidP="00583EB1">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r w:rsidRPr="001554CF">
        <w:rPr>
          <w:rFonts w:cs="Arial"/>
          <w:szCs w:val="16"/>
          <w:lang w:val="lt-LT"/>
        </w:rPr>
        <w:t>European Investment Bank, Promoting Energy Eff</w:t>
      </w:r>
      <w:r w:rsidRPr="00FB240F">
        <w:rPr>
          <w:rFonts w:cs="Arial"/>
          <w:szCs w:val="16"/>
          <w:lang w:val="lt-LT"/>
        </w:rPr>
        <w:t>iciency (</w:t>
      </w:r>
      <w:hyperlink r:id="rId28" w:history="1">
        <w:r w:rsidRPr="00FB240F">
          <w:rPr>
            <w:rStyle w:val="Hipersaitas"/>
            <w:rFonts w:cs="Arial"/>
            <w:szCs w:val="16"/>
            <w:lang w:val="lt-LT"/>
          </w:rPr>
          <w:t>http://www.eib.org/attachments/thematic/energy_efficiency_en.pdf</w:t>
        </w:r>
      </w:hyperlink>
      <w:r w:rsidRPr="00B76111">
        <w:rPr>
          <w:rFonts w:cs="Arial"/>
          <w:szCs w:val="16"/>
          <w:lang w:val="lt-LT"/>
        </w:rPr>
        <w:t>)</w:t>
      </w:r>
    </w:p>
  </w:footnote>
  <w:footnote w:id="68">
    <w:p w14:paraId="0F691B1D" w14:textId="77777777" w:rsidR="00A65A8D" w:rsidRPr="00B76111" w:rsidRDefault="00A65A8D" w:rsidP="00583EB1">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hyperlink r:id="rId29" w:history="1">
        <w:r w:rsidRPr="00FB240F">
          <w:rPr>
            <w:rStyle w:val="Hipersaitas"/>
            <w:rFonts w:cs="Arial"/>
            <w:szCs w:val="16"/>
            <w:lang w:val="lt-LT"/>
          </w:rPr>
          <w:t>http://www.eeef.eu/objective-of-the-fund.html</w:t>
        </w:r>
      </w:hyperlink>
      <w:r w:rsidRPr="00B76111">
        <w:rPr>
          <w:rFonts w:cs="Arial"/>
          <w:szCs w:val="16"/>
          <w:lang w:val="lt-LT"/>
        </w:rPr>
        <w:t xml:space="preserve"> </w:t>
      </w:r>
    </w:p>
  </w:footnote>
  <w:footnote w:id="69">
    <w:p w14:paraId="4E41EDAB" w14:textId="77777777" w:rsidR="00A65A8D" w:rsidRPr="00B76111" w:rsidRDefault="00A65A8D" w:rsidP="00583EB1">
      <w:pPr>
        <w:pStyle w:val="Puslapioinaostekstas"/>
        <w:rPr>
          <w:lang w:val="lt-LT"/>
        </w:rPr>
      </w:pPr>
      <w:r w:rsidRPr="00E67C77">
        <w:rPr>
          <w:rStyle w:val="Puslapioinaosnuoroda"/>
          <w:lang w:val="lt-LT"/>
        </w:rPr>
        <w:footnoteRef/>
      </w:r>
      <w:r w:rsidRPr="00E67C77">
        <w:rPr>
          <w:lang w:val="lt-LT"/>
        </w:rPr>
        <w:t xml:space="preserve"> SPV (angl. special purpose vehicles)</w:t>
      </w:r>
    </w:p>
  </w:footnote>
  <w:footnote w:id="70">
    <w:p w14:paraId="5247938F" w14:textId="77777777" w:rsidR="00A65A8D" w:rsidRPr="00B76111" w:rsidRDefault="00A65A8D" w:rsidP="00583EB1">
      <w:pPr>
        <w:pStyle w:val="Puslapioinaostekstas"/>
        <w:rPr>
          <w:szCs w:val="16"/>
          <w:lang w:val="lt-LT"/>
        </w:rPr>
      </w:pPr>
      <w:r w:rsidRPr="00B76111">
        <w:rPr>
          <w:rStyle w:val="Puslapioinaosnuoroda"/>
          <w:rFonts w:cs="Arial"/>
          <w:szCs w:val="16"/>
          <w:lang w:val="lt-LT"/>
        </w:rPr>
        <w:footnoteRef/>
      </w:r>
      <w:r w:rsidRPr="00B76111">
        <w:rPr>
          <w:rFonts w:cs="Arial"/>
          <w:szCs w:val="16"/>
          <w:lang w:val="lt-LT"/>
        </w:rPr>
        <w:t xml:space="preserve"> </w:t>
      </w:r>
      <w:hyperlink r:id="rId30" w:history="1">
        <w:r w:rsidRPr="00FB240F">
          <w:rPr>
            <w:rStyle w:val="Hipersaitas"/>
            <w:rFonts w:cs="Arial"/>
            <w:szCs w:val="16"/>
            <w:lang w:val="lt-LT"/>
          </w:rPr>
          <w:t>http://www.eeef.eu/eligible-investments.html</w:t>
        </w:r>
      </w:hyperlink>
      <w:r w:rsidRPr="00B76111">
        <w:rPr>
          <w:szCs w:val="16"/>
          <w:lang w:val="lt-LT"/>
        </w:rPr>
        <w:t xml:space="preserve"> </w:t>
      </w:r>
    </w:p>
  </w:footnote>
  <w:footnote w:id="71">
    <w:p w14:paraId="1EF4B802" w14:textId="77777777" w:rsidR="00A65A8D" w:rsidRPr="00B76111" w:rsidRDefault="00A65A8D" w:rsidP="00583EB1">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r w:rsidRPr="001554CF">
        <w:rPr>
          <w:rFonts w:cs="Arial"/>
          <w:szCs w:val="16"/>
          <w:lang w:val="lt-LT"/>
        </w:rPr>
        <w:t>European Energy Efficiency Fund, Advancing Sustainable Energy for Europe Quarterly Fact Sheet a</w:t>
      </w:r>
      <w:r w:rsidRPr="00FB240F">
        <w:rPr>
          <w:rFonts w:cs="Arial"/>
          <w:szCs w:val="16"/>
          <w:lang w:val="lt-LT"/>
        </w:rPr>
        <w:t>s of 31/03/ 2014 (</w:t>
      </w:r>
      <w:hyperlink r:id="rId31" w:history="1">
        <w:r w:rsidRPr="00FB240F">
          <w:rPr>
            <w:rStyle w:val="Hipersaitas"/>
            <w:szCs w:val="16"/>
            <w:lang w:val="lt-LT"/>
          </w:rPr>
          <w:t>http://www.eeef.eu/tl_files/downloads/Quarterly_Reports/EEEF%20Quarterly%20Report%202014-Q1.pdf</w:t>
        </w:r>
      </w:hyperlink>
      <w:r w:rsidRPr="00B76111">
        <w:rPr>
          <w:rFonts w:cs="Arial"/>
          <w:szCs w:val="16"/>
          <w:lang w:val="lt-LT"/>
        </w:rPr>
        <w:t xml:space="preserve">)  </w:t>
      </w:r>
    </w:p>
  </w:footnote>
  <w:footnote w:id="72">
    <w:p w14:paraId="2D43DD26" w14:textId="77777777" w:rsidR="00A65A8D" w:rsidRPr="001554CF" w:rsidRDefault="00A65A8D" w:rsidP="00583EB1">
      <w:pPr>
        <w:pStyle w:val="Puslapioinaostekstas"/>
        <w:rPr>
          <w:szCs w:val="16"/>
          <w:lang w:val="lt-LT"/>
        </w:rPr>
      </w:pPr>
      <w:r w:rsidRPr="00B76111">
        <w:rPr>
          <w:rStyle w:val="Puslapioinaosnuoroda"/>
          <w:szCs w:val="16"/>
          <w:lang w:val="lt-LT"/>
        </w:rPr>
        <w:footnoteRef/>
      </w:r>
      <w:r w:rsidRPr="00B76111">
        <w:rPr>
          <w:szCs w:val="16"/>
          <w:lang w:val="lt-LT"/>
        </w:rPr>
        <w:t xml:space="preserve"> </w:t>
      </w:r>
      <w:hyperlink r:id="rId32" w:history="1">
        <w:r w:rsidRPr="00FB240F">
          <w:rPr>
            <w:rStyle w:val="Hipersaitas"/>
            <w:szCs w:val="16"/>
            <w:lang w:val="lt-LT"/>
          </w:rPr>
          <w:t>http://www.eib.org/products/elena/</w:t>
        </w:r>
      </w:hyperlink>
      <w:r w:rsidRPr="00B76111">
        <w:rPr>
          <w:szCs w:val="16"/>
          <w:lang w:val="lt-LT"/>
        </w:rPr>
        <w:t xml:space="preserve"> </w:t>
      </w:r>
    </w:p>
  </w:footnote>
  <w:footnote w:id="73">
    <w:p w14:paraId="1F87CC07" w14:textId="77777777" w:rsidR="00A65A8D" w:rsidRPr="00B76111" w:rsidRDefault="00A65A8D" w:rsidP="00583EB1">
      <w:pPr>
        <w:pStyle w:val="Puslapioinaostekstas"/>
        <w:rPr>
          <w:rFonts w:cs="Arial"/>
          <w:sz w:val="18"/>
          <w:lang w:val="lt-LT"/>
        </w:rPr>
      </w:pPr>
      <w:r w:rsidRPr="00B76111">
        <w:rPr>
          <w:rStyle w:val="Puslapioinaosnuoroda"/>
          <w:rFonts w:cs="Arial"/>
          <w:szCs w:val="16"/>
          <w:lang w:val="lt-LT"/>
        </w:rPr>
        <w:footnoteRef/>
      </w:r>
      <w:r w:rsidRPr="00B76111">
        <w:rPr>
          <w:rFonts w:cs="Arial"/>
          <w:szCs w:val="16"/>
          <w:lang w:val="lt-LT"/>
        </w:rPr>
        <w:t xml:space="preserve"> </w:t>
      </w:r>
      <w:hyperlink r:id="rId33" w:anchor="2" w:history="1">
        <w:r w:rsidRPr="00FB240F">
          <w:rPr>
            <w:rStyle w:val="Hipersaitas"/>
            <w:rFonts w:cs="Arial"/>
            <w:szCs w:val="16"/>
            <w:lang w:val="lt-LT"/>
          </w:rPr>
          <w:t>http://ec.europa.eu/regional_policy/thefunds/instruments/jessica_lt.cfm#2</w:t>
        </w:r>
      </w:hyperlink>
      <w:r w:rsidRPr="00B76111">
        <w:rPr>
          <w:rFonts w:cs="Arial"/>
          <w:sz w:val="18"/>
          <w:lang w:val="lt-LT"/>
        </w:rPr>
        <w:t xml:space="preserve"> </w:t>
      </w:r>
    </w:p>
  </w:footnote>
  <w:footnote w:id="74">
    <w:p w14:paraId="37AAFE7D" w14:textId="77777777" w:rsidR="00A65A8D" w:rsidRPr="00FB240F" w:rsidRDefault="00A65A8D" w:rsidP="00583EB1">
      <w:pPr>
        <w:pStyle w:val="Puslapioinaostekstas"/>
        <w:rPr>
          <w:szCs w:val="16"/>
          <w:lang w:val="lt-LT"/>
        </w:rPr>
      </w:pPr>
      <w:r w:rsidRPr="00B76111">
        <w:rPr>
          <w:rStyle w:val="Puslapioinaosnuoroda"/>
          <w:rFonts w:cs="Arial"/>
          <w:szCs w:val="16"/>
          <w:lang w:val="lt-LT"/>
        </w:rPr>
        <w:footnoteRef/>
      </w:r>
      <w:r w:rsidRPr="00B76111">
        <w:rPr>
          <w:rFonts w:cs="Arial"/>
          <w:szCs w:val="16"/>
          <w:lang w:val="lt-LT"/>
        </w:rPr>
        <w:t xml:space="preserve"> </w:t>
      </w:r>
      <w:r w:rsidRPr="001554CF">
        <w:rPr>
          <w:rFonts w:cs="Arial"/>
          <w:szCs w:val="16"/>
          <w:lang w:val="lt-LT"/>
        </w:rPr>
        <w:t xml:space="preserve">Europos investicijų </w:t>
      </w:r>
      <w:r w:rsidRPr="00FB240F">
        <w:rPr>
          <w:rFonts w:cs="Arial"/>
          <w:szCs w:val="16"/>
          <w:lang w:val="lt-LT"/>
        </w:rPr>
        <w:t>bankas, 2013 m. veiklos ataskaita</w:t>
      </w:r>
    </w:p>
  </w:footnote>
  <w:footnote w:id="75">
    <w:p w14:paraId="35F1C200" w14:textId="77777777" w:rsidR="00A65A8D" w:rsidRPr="00B76111" w:rsidRDefault="00A65A8D" w:rsidP="00583EB1">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Ten pat.</w:t>
      </w:r>
    </w:p>
  </w:footnote>
  <w:footnote w:id="76">
    <w:p w14:paraId="16AC4382" w14:textId="77777777" w:rsidR="00A65A8D" w:rsidRPr="001554CF" w:rsidRDefault="00A65A8D" w:rsidP="00583EB1">
      <w:pPr>
        <w:pStyle w:val="Puslapioinaostekstas"/>
        <w:rPr>
          <w:szCs w:val="16"/>
          <w:lang w:val="lt-LT"/>
        </w:rPr>
      </w:pPr>
      <w:r w:rsidRPr="00B76111">
        <w:rPr>
          <w:rStyle w:val="Puslapioinaosnuoroda"/>
          <w:szCs w:val="16"/>
          <w:lang w:val="lt-LT"/>
        </w:rPr>
        <w:footnoteRef/>
      </w:r>
      <w:r w:rsidRPr="00B76111">
        <w:rPr>
          <w:szCs w:val="16"/>
          <w:lang w:val="lt-LT"/>
        </w:rPr>
        <w:t xml:space="preserve"> </w:t>
      </w:r>
      <w:hyperlink r:id="rId34" w:history="1">
        <w:r w:rsidRPr="00FB240F">
          <w:rPr>
            <w:rStyle w:val="Hipersaitas"/>
            <w:szCs w:val="16"/>
            <w:lang w:val="lt-LT"/>
          </w:rPr>
          <w:t>http://www.eib.europa.eu/projects/press/2013/2013-204-institutional-investor-support-for-greater-gabbard-offshore-transmission-link-encouraged-by-first-use-of-project-bond-credit-enhancement-scheme-in-uk.htm</w:t>
        </w:r>
      </w:hyperlink>
      <w:r w:rsidRPr="00B76111">
        <w:rPr>
          <w:szCs w:val="16"/>
          <w:lang w:val="lt-LT"/>
        </w:rPr>
        <w:t xml:space="preserve"> </w:t>
      </w:r>
    </w:p>
  </w:footnote>
  <w:footnote w:id="77">
    <w:p w14:paraId="69A68CF8" w14:textId="77777777" w:rsidR="00A65A8D" w:rsidRPr="001554CF" w:rsidRDefault="00A65A8D" w:rsidP="00583EB1">
      <w:pPr>
        <w:pStyle w:val="Puslapioinaostekstas"/>
        <w:rPr>
          <w:szCs w:val="16"/>
          <w:lang w:val="lt-LT"/>
        </w:rPr>
      </w:pPr>
      <w:r w:rsidRPr="00B76111">
        <w:rPr>
          <w:rStyle w:val="Puslapioinaosnuoroda"/>
          <w:szCs w:val="16"/>
          <w:lang w:val="lt-LT"/>
        </w:rPr>
        <w:footnoteRef/>
      </w:r>
      <w:r w:rsidRPr="00B76111">
        <w:rPr>
          <w:szCs w:val="16"/>
          <w:lang w:val="lt-LT"/>
        </w:rPr>
        <w:t xml:space="preserve"> </w:t>
      </w:r>
      <w:hyperlink r:id="rId35" w:history="1">
        <w:r w:rsidRPr="00FB240F">
          <w:rPr>
            <w:rStyle w:val="Hipersaitas"/>
            <w:szCs w:val="16"/>
            <w:lang w:val="lt-LT"/>
          </w:rPr>
          <w:t>http://www.eib.europa.eu/projects/press/2014/2014-066-eib-backs-a11-belgian-motorway-link.htm</w:t>
        </w:r>
      </w:hyperlink>
      <w:r w:rsidRPr="00B76111">
        <w:rPr>
          <w:szCs w:val="16"/>
          <w:lang w:val="lt-LT"/>
        </w:rPr>
        <w:t xml:space="preserve"> </w:t>
      </w:r>
    </w:p>
  </w:footnote>
  <w:footnote w:id="78">
    <w:p w14:paraId="357AEF85" w14:textId="77777777" w:rsidR="00A65A8D" w:rsidRPr="00FB240F" w:rsidRDefault="00A65A8D" w:rsidP="00583EB1">
      <w:pPr>
        <w:pStyle w:val="Puslapioinaostekstas"/>
        <w:rPr>
          <w:szCs w:val="16"/>
          <w:lang w:val="lt-LT"/>
        </w:rPr>
      </w:pPr>
      <w:r w:rsidRPr="00B76111">
        <w:rPr>
          <w:rStyle w:val="Puslapioinaosnuoroda"/>
          <w:szCs w:val="16"/>
          <w:lang w:val="lt-LT"/>
        </w:rPr>
        <w:footnoteRef/>
      </w:r>
      <w:r w:rsidRPr="00B76111">
        <w:rPr>
          <w:szCs w:val="16"/>
          <w:lang w:val="lt-LT"/>
        </w:rPr>
        <w:t xml:space="preserve"> </w:t>
      </w:r>
      <w:r w:rsidRPr="001554CF">
        <w:rPr>
          <w:rFonts w:cs="Arial"/>
          <w:szCs w:val="16"/>
          <w:lang w:val="lt-LT"/>
        </w:rPr>
        <w:t>Europos investicijų bankas, 2013 m. veiklos ataskaita.</w:t>
      </w:r>
    </w:p>
  </w:footnote>
  <w:footnote w:id="79">
    <w:p w14:paraId="48438A99" w14:textId="77777777" w:rsidR="00A65A8D" w:rsidRPr="00FB240F" w:rsidRDefault="00A65A8D" w:rsidP="00583EB1">
      <w:pPr>
        <w:pStyle w:val="Puslapioinaostekstas"/>
        <w:rPr>
          <w:szCs w:val="16"/>
          <w:lang w:val="lt-LT"/>
        </w:rPr>
      </w:pPr>
      <w:r w:rsidRPr="00B76111">
        <w:rPr>
          <w:rStyle w:val="Puslapioinaosnuoroda"/>
          <w:szCs w:val="16"/>
          <w:lang w:val="lt-LT"/>
        </w:rPr>
        <w:footnoteRef/>
      </w:r>
      <w:r w:rsidRPr="00B76111">
        <w:rPr>
          <w:szCs w:val="16"/>
          <w:lang w:val="lt-LT"/>
        </w:rPr>
        <w:t xml:space="preserve"> </w:t>
      </w:r>
      <w:r w:rsidRPr="001554CF">
        <w:rPr>
          <w:rFonts w:cs="Arial"/>
          <w:szCs w:val="16"/>
          <w:lang w:val="lt-LT"/>
        </w:rPr>
        <w:t>Ten pat.</w:t>
      </w:r>
    </w:p>
  </w:footnote>
  <w:footnote w:id="80">
    <w:p w14:paraId="6228DBC8" w14:textId="77777777" w:rsidR="00A65A8D" w:rsidRPr="00B76111" w:rsidRDefault="00A65A8D" w:rsidP="00583EB1">
      <w:pPr>
        <w:pStyle w:val="Puslapioinaostekstas"/>
        <w:rPr>
          <w:lang w:val="lt-LT"/>
        </w:rPr>
      </w:pPr>
      <w:r w:rsidRPr="00E67C77">
        <w:rPr>
          <w:rStyle w:val="Puslapioinaosnuoroda"/>
          <w:lang w:val="lt-LT"/>
        </w:rPr>
        <w:footnoteRef/>
      </w:r>
      <w:r w:rsidRPr="00E67C77">
        <w:rPr>
          <w:lang w:val="lt-LT"/>
        </w:rPr>
        <w:t xml:space="preserve"> angl. Emissions Performance Standard </w:t>
      </w:r>
    </w:p>
  </w:footnote>
  <w:footnote w:id="81">
    <w:p w14:paraId="54847D71" w14:textId="77777777" w:rsidR="00A65A8D" w:rsidRPr="001554CF" w:rsidRDefault="00A65A8D" w:rsidP="00583EB1">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r w:rsidRPr="001554CF">
        <w:rPr>
          <w:rFonts w:cs="Arial"/>
          <w:szCs w:val="16"/>
          <w:lang w:val="lt-LT"/>
        </w:rPr>
        <w:t>European Investment Bank Group, Operational Plan 2013-2015</w:t>
      </w:r>
    </w:p>
  </w:footnote>
  <w:footnote w:id="82">
    <w:p w14:paraId="79CD4691" w14:textId="77777777" w:rsidR="00A65A8D" w:rsidRPr="00B76111" w:rsidRDefault="00A65A8D" w:rsidP="00583EB1">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Europos investicijų bankas, EIB Lietuvoje 2009-2013 metais, 2014 m. vasario mėn.</w:t>
      </w:r>
    </w:p>
  </w:footnote>
  <w:footnote w:id="83">
    <w:p w14:paraId="531925CE" w14:textId="77777777" w:rsidR="00A65A8D" w:rsidRPr="00FB240F" w:rsidRDefault="00A65A8D" w:rsidP="00583EB1">
      <w:pPr>
        <w:pStyle w:val="Puslapioinaostekstas"/>
        <w:rPr>
          <w:lang w:val="lt-LT"/>
        </w:rPr>
      </w:pPr>
      <w:r w:rsidRPr="00E67C77">
        <w:rPr>
          <w:rStyle w:val="Puslapioinaosnuoroda"/>
          <w:lang w:val="lt-LT"/>
        </w:rPr>
        <w:footnoteRef/>
      </w:r>
      <w:r w:rsidRPr="00E67C77">
        <w:rPr>
          <w:lang w:val="lt-LT"/>
        </w:rPr>
        <w:t xml:space="preserve"> </w:t>
      </w:r>
      <w:r w:rsidRPr="00B76111">
        <w:rPr>
          <w:rFonts w:cs="Arial"/>
          <w:i/>
          <w:lang w:val="lt-LT"/>
        </w:rPr>
        <w:t>Šaltinis: Europos investicijų bankas, EIB Lietuvoje 2009-2013 metais, 2014 m. vasar</w:t>
      </w:r>
      <w:r w:rsidRPr="001554CF">
        <w:rPr>
          <w:rFonts w:cs="Arial"/>
          <w:i/>
          <w:lang w:val="lt-LT"/>
        </w:rPr>
        <w:t>io mėn.</w:t>
      </w:r>
    </w:p>
  </w:footnote>
  <w:footnote w:id="84">
    <w:p w14:paraId="06CC36DE" w14:textId="77777777" w:rsidR="00A65A8D" w:rsidRPr="00B76111" w:rsidRDefault="00A65A8D" w:rsidP="00583EB1">
      <w:pPr>
        <w:pStyle w:val="Puslapioinaostekstas"/>
        <w:rPr>
          <w:lang w:val="lt-LT"/>
        </w:rPr>
      </w:pPr>
      <w:r w:rsidRPr="00E67C77">
        <w:rPr>
          <w:rStyle w:val="Puslapioinaosnuoroda"/>
          <w:lang w:val="lt-LT"/>
        </w:rPr>
        <w:footnoteRef/>
      </w:r>
      <w:r w:rsidRPr="00E67C77">
        <w:rPr>
          <w:lang w:val="lt-LT"/>
        </w:rPr>
        <w:t xml:space="preserve"> angl. Gas import facility Lithuania</w:t>
      </w:r>
    </w:p>
  </w:footnote>
  <w:footnote w:id="85">
    <w:p w14:paraId="63618CC2" w14:textId="77777777" w:rsidR="00A65A8D" w:rsidRPr="00FB240F" w:rsidRDefault="00A65A8D" w:rsidP="00583EB1">
      <w:pPr>
        <w:pStyle w:val="Puslapioinaostekstas"/>
        <w:rPr>
          <w:szCs w:val="16"/>
          <w:lang w:val="lt-LT"/>
        </w:rPr>
      </w:pPr>
      <w:r w:rsidRPr="00B76111">
        <w:rPr>
          <w:rStyle w:val="Puslapioinaosnuoroda"/>
          <w:szCs w:val="16"/>
          <w:lang w:val="lt-LT"/>
        </w:rPr>
        <w:footnoteRef/>
      </w:r>
      <w:r w:rsidRPr="00B76111">
        <w:rPr>
          <w:szCs w:val="16"/>
          <w:lang w:val="lt-LT"/>
        </w:rPr>
        <w:t xml:space="preserve"> </w:t>
      </w:r>
      <w:r w:rsidRPr="001554CF">
        <w:rPr>
          <w:rFonts w:cs="Arial"/>
          <w:szCs w:val="16"/>
          <w:lang w:val="lt-LT"/>
        </w:rPr>
        <w:t>Europos investicijų bankas, EIB Lietuvoje 2009-2013 metais, 2014 m. vasario mėn.</w:t>
      </w:r>
    </w:p>
  </w:footnote>
  <w:footnote w:id="86">
    <w:p w14:paraId="3061CB77" w14:textId="77777777" w:rsidR="00A65A8D" w:rsidRPr="00FB240F" w:rsidRDefault="00A65A8D" w:rsidP="00583EB1">
      <w:pPr>
        <w:pStyle w:val="Puslapioinaostekstas"/>
        <w:rPr>
          <w:szCs w:val="16"/>
          <w:lang w:val="lt-LT"/>
        </w:rPr>
      </w:pPr>
      <w:r w:rsidRPr="00B76111">
        <w:rPr>
          <w:rStyle w:val="Puslapioinaosnuoroda"/>
          <w:szCs w:val="16"/>
          <w:lang w:val="lt-LT"/>
        </w:rPr>
        <w:footnoteRef/>
      </w:r>
      <w:r w:rsidRPr="00B76111">
        <w:rPr>
          <w:szCs w:val="16"/>
          <w:lang w:val="lt-LT"/>
        </w:rPr>
        <w:t xml:space="preserve"> </w:t>
      </w:r>
      <w:r w:rsidRPr="001554CF">
        <w:rPr>
          <w:rFonts w:cs="Arial"/>
          <w:szCs w:val="16"/>
          <w:lang w:val="lt-LT"/>
        </w:rPr>
        <w:t>EIB Statistical Report 2013</w:t>
      </w:r>
    </w:p>
  </w:footnote>
  <w:footnote w:id="87">
    <w:p w14:paraId="32C757AB" w14:textId="77777777" w:rsidR="00A65A8D" w:rsidRPr="00B76111" w:rsidRDefault="00A65A8D" w:rsidP="00583EB1">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EIB Statistical Report 2012</w:t>
      </w:r>
    </w:p>
  </w:footnote>
  <w:footnote w:id="88">
    <w:p w14:paraId="247B00E2" w14:textId="77777777" w:rsidR="00A65A8D" w:rsidRPr="001554CF" w:rsidRDefault="00A65A8D" w:rsidP="00583EB1">
      <w:pPr>
        <w:pStyle w:val="Puslapioinaostekstas"/>
        <w:rPr>
          <w:rFonts w:ascii="Arial" w:hAnsi="Arial" w:cs="Arial"/>
          <w:sz w:val="18"/>
          <w:szCs w:val="18"/>
          <w:lang w:val="lt-LT"/>
        </w:rPr>
      </w:pPr>
      <w:r w:rsidRPr="00B76111">
        <w:rPr>
          <w:rStyle w:val="Puslapioinaosnuoroda"/>
          <w:rFonts w:cs="Arial"/>
          <w:szCs w:val="16"/>
          <w:lang w:val="lt-LT"/>
        </w:rPr>
        <w:footnoteRef/>
      </w:r>
      <w:r w:rsidRPr="00B76111">
        <w:rPr>
          <w:rFonts w:cs="Arial"/>
          <w:szCs w:val="16"/>
          <w:lang w:val="lt-LT"/>
        </w:rPr>
        <w:t xml:space="preserve"> Taip pat EIF.</w:t>
      </w:r>
    </w:p>
  </w:footnote>
  <w:footnote w:id="89">
    <w:p w14:paraId="1DDD95B3" w14:textId="77777777" w:rsidR="00A65A8D" w:rsidRPr="00FB240F" w:rsidRDefault="00A65A8D" w:rsidP="00583EB1">
      <w:pPr>
        <w:pStyle w:val="Puslapioinaostekstas"/>
        <w:rPr>
          <w:szCs w:val="16"/>
          <w:lang w:val="lt-LT"/>
        </w:rPr>
      </w:pPr>
      <w:r w:rsidRPr="00B76111">
        <w:rPr>
          <w:rStyle w:val="Puslapioinaosnuoroda"/>
          <w:szCs w:val="16"/>
          <w:lang w:val="lt-LT"/>
        </w:rPr>
        <w:footnoteRef/>
      </w:r>
      <w:r w:rsidRPr="00B76111">
        <w:rPr>
          <w:szCs w:val="16"/>
          <w:lang w:val="lt-LT"/>
        </w:rPr>
        <w:t xml:space="preserve"> </w:t>
      </w:r>
      <w:r w:rsidRPr="001554CF">
        <w:rPr>
          <w:szCs w:val="16"/>
          <w:lang w:val="lt-LT"/>
        </w:rPr>
        <w:t xml:space="preserve">Investicinės paskolos arba </w:t>
      </w:r>
      <w:r w:rsidRPr="00FB240F">
        <w:rPr>
          <w:szCs w:val="16"/>
          <w:lang w:val="lt-LT"/>
        </w:rPr>
        <w:t>daugiašalės paskolos (</w:t>
      </w:r>
      <w:r w:rsidRPr="00FB240F">
        <w:rPr>
          <w:i/>
          <w:szCs w:val="16"/>
          <w:lang w:val="lt-LT"/>
        </w:rPr>
        <w:t>angl. Investment loans or Framework loans</w:t>
      </w:r>
      <w:r w:rsidRPr="00FB240F">
        <w:rPr>
          <w:szCs w:val="16"/>
          <w:lang w:val="lt-LT"/>
        </w:rPr>
        <w:t>).</w:t>
      </w:r>
    </w:p>
  </w:footnote>
  <w:footnote w:id="90">
    <w:p w14:paraId="58C4C553" w14:textId="77777777" w:rsidR="00A65A8D" w:rsidRPr="00B76111" w:rsidRDefault="00A65A8D" w:rsidP="00583EB1">
      <w:pPr>
        <w:pStyle w:val="Puslapioinaostekstas"/>
        <w:rPr>
          <w:lang w:val="lt-LT"/>
        </w:rPr>
      </w:pPr>
      <w:r w:rsidRPr="00E67C77">
        <w:rPr>
          <w:rStyle w:val="Puslapioinaosnuoroda"/>
          <w:lang w:val="lt-LT"/>
        </w:rPr>
        <w:footnoteRef/>
      </w:r>
      <w:r w:rsidRPr="00E67C77">
        <w:rPr>
          <w:lang w:val="lt-LT"/>
        </w:rPr>
        <w:t xml:space="preserve"> EIB Statistical Report 2013, EIB Statistical Report 2012, EIB Statistical Report 2011, EIB Annual Report 2010 – "Statistical" volume, EIB Annual Report 2009 – "Statistical" volume, EIB Statistical Report 2008</w:t>
      </w:r>
    </w:p>
  </w:footnote>
  <w:footnote w:id="91">
    <w:p w14:paraId="0FD2DE11" w14:textId="77777777" w:rsidR="00A65A8D" w:rsidRPr="00B76111" w:rsidRDefault="00A65A8D" w:rsidP="00583EB1">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hyperlink r:id="rId36" w:history="1">
        <w:r w:rsidRPr="00FB240F">
          <w:rPr>
            <w:rStyle w:val="Hipersaitas"/>
            <w:rFonts w:cs="Arial"/>
            <w:szCs w:val="16"/>
            <w:lang w:val="lt-LT"/>
          </w:rPr>
          <w:t>http://www.eib.org/products/index.htm</w:t>
        </w:r>
      </w:hyperlink>
      <w:r w:rsidRPr="00B76111">
        <w:rPr>
          <w:rFonts w:cs="Arial"/>
          <w:szCs w:val="16"/>
          <w:lang w:val="lt-LT"/>
        </w:rPr>
        <w:t xml:space="preserve"> </w:t>
      </w:r>
    </w:p>
  </w:footnote>
  <w:footnote w:id="92">
    <w:p w14:paraId="279DEEA5" w14:textId="77777777" w:rsidR="00A65A8D" w:rsidRPr="00B76111" w:rsidRDefault="00A65A8D" w:rsidP="00583EB1">
      <w:pPr>
        <w:pStyle w:val="Puslapioinaostekstas"/>
        <w:rPr>
          <w:rFonts w:ascii="Arial" w:hAnsi="Arial" w:cs="Arial"/>
          <w:sz w:val="18"/>
          <w:szCs w:val="18"/>
          <w:lang w:val="lt-LT"/>
        </w:rPr>
      </w:pPr>
      <w:r w:rsidRPr="00B76111">
        <w:rPr>
          <w:rStyle w:val="Puslapioinaosnuoroda"/>
          <w:rFonts w:cs="Arial"/>
          <w:szCs w:val="16"/>
          <w:lang w:val="lt-LT"/>
        </w:rPr>
        <w:footnoteRef/>
      </w:r>
      <w:r w:rsidRPr="00B76111">
        <w:rPr>
          <w:rFonts w:cs="Arial"/>
          <w:szCs w:val="16"/>
          <w:lang w:val="lt-LT"/>
        </w:rPr>
        <w:t xml:space="preserve"> </w:t>
      </w:r>
      <w:hyperlink r:id="rId37" w:history="1">
        <w:r w:rsidRPr="00FB240F">
          <w:rPr>
            <w:rStyle w:val="Hipersaitas"/>
            <w:rFonts w:cs="Arial"/>
            <w:szCs w:val="16"/>
            <w:lang w:val="lt-LT"/>
          </w:rPr>
          <w:t>http://www.eib.org/products/loans/index.htm</w:t>
        </w:r>
      </w:hyperlink>
      <w:r w:rsidRPr="00B76111">
        <w:rPr>
          <w:rFonts w:ascii="Arial" w:hAnsi="Arial" w:cs="Arial"/>
          <w:sz w:val="18"/>
          <w:szCs w:val="18"/>
          <w:lang w:val="lt-LT"/>
        </w:rPr>
        <w:t xml:space="preserve"> </w:t>
      </w:r>
    </w:p>
  </w:footnote>
  <w:footnote w:id="93">
    <w:p w14:paraId="70D8F9D1" w14:textId="77777777" w:rsidR="00A65A8D" w:rsidRPr="00B76111" w:rsidRDefault="00A65A8D" w:rsidP="00583EB1">
      <w:pPr>
        <w:pStyle w:val="Puslapioinaostekstas"/>
        <w:rPr>
          <w:lang w:val="lt-LT"/>
        </w:rPr>
      </w:pPr>
      <w:r w:rsidRPr="00E67C77">
        <w:rPr>
          <w:rStyle w:val="Puslapioinaosnuoroda"/>
          <w:lang w:val="lt-LT"/>
        </w:rPr>
        <w:footnoteRef/>
      </w:r>
      <w:r w:rsidRPr="00E67C77">
        <w:rPr>
          <w:lang w:val="lt-LT"/>
        </w:rPr>
        <w:t xml:space="preserve"> angl. Structured Finance Facility</w:t>
      </w:r>
    </w:p>
  </w:footnote>
  <w:footnote w:id="94">
    <w:p w14:paraId="4EF4CAE0" w14:textId="77777777" w:rsidR="00A65A8D" w:rsidRPr="00B76111" w:rsidRDefault="00A65A8D" w:rsidP="00583EB1">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hyperlink r:id="rId38" w:history="1">
        <w:r w:rsidRPr="00FB240F">
          <w:rPr>
            <w:rStyle w:val="Hipersaitas"/>
            <w:rFonts w:cs="Arial"/>
            <w:szCs w:val="16"/>
            <w:lang w:val="lt-LT"/>
          </w:rPr>
          <w:t>http://www.eib.org/products/sff/index.htm</w:t>
        </w:r>
      </w:hyperlink>
      <w:r w:rsidRPr="00B76111">
        <w:rPr>
          <w:rFonts w:cs="Arial"/>
          <w:szCs w:val="16"/>
          <w:lang w:val="lt-LT"/>
        </w:rPr>
        <w:t xml:space="preserve"> </w:t>
      </w:r>
    </w:p>
  </w:footnote>
  <w:footnote w:id="95">
    <w:p w14:paraId="2017C845" w14:textId="77777777" w:rsidR="00A65A8D" w:rsidRPr="00B76111" w:rsidRDefault="00A65A8D" w:rsidP="00583EB1">
      <w:pPr>
        <w:pStyle w:val="Puslapioinaostekstas"/>
        <w:rPr>
          <w:lang w:val="lt-LT"/>
        </w:rPr>
      </w:pPr>
      <w:r w:rsidRPr="00E67C77">
        <w:rPr>
          <w:rStyle w:val="Puslapioinaosnuoroda"/>
          <w:lang w:val="lt-LT"/>
        </w:rPr>
        <w:footnoteRef/>
      </w:r>
      <w:r w:rsidRPr="00E67C77">
        <w:rPr>
          <w:lang w:val="lt-LT"/>
        </w:rPr>
        <w:t xml:space="preserve"> angl. debt service</w:t>
      </w:r>
    </w:p>
  </w:footnote>
  <w:footnote w:id="96">
    <w:p w14:paraId="4B6AD130" w14:textId="77777777" w:rsidR="00A65A8D" w:rsidRPr="00B76111" w:rsidRDefault="00A65A8D" w:rsidP="00583EB1">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hyperlink r:id="rId39" w:history="1">
        <w:r w:rsidRPr="00FB240F">
          <w:rPr>
            <w:rStyle w:val="Hipersaitas"/>
            <w:rFonts w:cs="Arial"/>
            <w:szCs w:val="16"/>
            <w:lang w:val="lt-LT"/>
          </w:rPr>
          <w:t>http://www.eib.org/products/guarantees/index.htm</w:t>
        </w:r>
      </w:hyperlink>
      <w:r w:rsidRPr="00B76111">
        <w:rPr>
          <w:rFonts w:cs="Arial"/>
          <w:szCs w:val="16"/>
          <w:lang w:val="lt-LT"/>
        </w:rPr>
        <w:t xml:space="preserve"> </w:t>
      </w:r>
    </w:p>
  </w:footnote>
  <w:footnote w:id="97">
    <w:p w14:paraId="5BE7FB46" w14:textId="77777777" w:rsidR="00A65A8D" w:rsidRPr="00B76111" w:rsidRDefault="00A65A8D" w:rsidP="00583EB1">
      <w:pPr>
        <w:pStyle w:val="Puslapioinaostekstas"/>
        <w:rPr>
          <w:rFonts w:cs="Arial"/>
          <w:szCs w:val="16"/>
          <w:lang w:val="lt-LT"/>
        </w:rPr>
      </w:pPr>
      <w:r w:rsidRPr="00B76111">
        <w:rPr>
          <w:rStyle w:val="Puslapioinaosnuoroda"/>
          <w:rFonts w:cs="Arial"/>
          <w:szCs w:val="16"/>
          <w:lang w:val="lt-LT"/>
        </w:rPr>
        <w:footnoteRef/>
      </w:r>
      <w:r w:rsidRPr="00B76111">
        <w:rPr>
          <w:rFonts w:cs="Arial"/>
          <w:szCs w:val="16"/>
          <w:lang w:val="lt-LT"/>
        </w:rPr>
        <w:t xml:space="preserve"> </w:t>
      </w:r>
      <w:hyperlink r:id="rId40" w:history="1">
        <w:r w:rsidRPr="00FB240F">
          <w:rPr>
            <w:rStyle w:val="Hipersaitas"/>
            <w:rFonts w:cs="Arial"/>
            <w:szCs w:val="16"/>
            <w:lang w:val="lt-LT"/>
          </w:rPr>
          <w:t>http://www.eib.org/products/equity_funds/index.htm</w:t>
        </w:r>
      </w:hyperlink>
      <w:r w:rsidRPr="00B76111">
        <w:rPr>
          <w:rFonts w:cs="Arial"/>
          <w:szCs w:val="16"/>
          <w:lang w:val="lt-LT"/>
        </w:rPr>
        <w:t xml:space="preserve"> </w:t>
      </w:r>
    </w:p>
  </w:footnote>
  <w:footnote w:id="98">
    <w:p w14:paraId="6D9F884A" w14:textId="77777777" w:rsidR="00A65A8D" w:rsidRPr="00FB240F" w:rsidRDefault="00A65A8D" w:rsidP="00583EB1">
      <w:pPr>
        <w:autoSpaceDE w:val="0"/>
        <w:autoSpaceDN w:val="0"/>
        <w:adjustRightInd w:val="0"/>
        <w:spacing w:after="0" w:line="240" w:lineRule="auto"/>
        <w:jc w:val="both"/>
        <w:rPr>
          <w:rFonts w:ascii="Georgia" w:hAnsi="Georgia"/>
          <w:sz w:val="16"/>
          <w:szCs w:val="16"/>
          <w:lang w:val="lt-LT"/>
        </w:rPr>
      </w:pPr>
      <w:r w:rsidRPr="00B76111">
        <w:rPr>
          <w:rStyle w:val="Puslapioinaosnuoroda"/>
          <w:rFonts w:ascii="Georgia" w:hAnsi="Georgia"/>
          <w:sz w:val="16"/>
          <w:szCs w:val="16"/>
          <w:lang w:val="lt-LT"/>
        </w:rPr>
        <w:footnoteRef/>
      </w:r>
      <w:r w:rsidRPr="00B76111">
        <w:rPr>
          <w:rFonts w:ascii="Georgia" w:hAnsi="Georgia"/>
          <w:sz w:val="16"/>
          <w:szCs w:val="16"/>
          <w:lang w:val="lt-LT"/>
        </w:rPr>
        <w:t xml:space="preserve"> </w:t>
      </w:r>
      <w:r w:rsidRPr="001554CF">
        <w:rPr>
          <w:rFonts w:ascii="Georgia" w:hAnsi="Georgia" w:cs="ArialMT"/>
          <w:sz w:val="16"/>
          <w:szCs w:val="16"/>
          <w:lang w:val="lt-LT" w:eastAsia="en-GB"/>
        </w:rPr>
        <w:t>Albanija, Bosnija ir Hercegovina, Bulgarija, Kroatija, Kipras, Čekija, Estija, Gruzija, Vengrija, Makedonija, Latvija, Lietuva, Malta, Juodkalnija, Moldova, Lenkija, S</w:t>
      </w:r>
      <w:r w:rsidRPr="00FB240F">
        <w:rPr>
          <w:rFonts w:ascii="Georgia" w:hAnsi="Georgia" w:cs="ArialMT"/>
          <w:sz w:val="16"/>
          <w:szCs w:val="16"/>
          <w:lang w:val="lt-LT" w:eastAsia="en-GB"/>
        </w:rPr>
        <w:t>lovakija, Rumunija, Serbija, Slovėnija, Turkija.</w:t>
      </w:r>
    </w:p>
  </w:footnote>
  <w:footnote w:id="99">
    <w:p w14:paraId="1C3C7340" w14:textId="77777777" w:rsidR="00A65A8D" w:rsidRPr="001554CF" w:rsidRDefault="00A65A8D" w:rsidP="00583EB1">
      <w:pPr>
        <w:pStyle w:val="Puslapioinaostekstas"/>
        <w:rPr>
          <w:lang w:val="lt-LT"/>
        </w:rPr>
      </w:pPr>
      <w:r w:rsidRPr="00B76111">
        <w:rPr>
          <w:rStyle w:val="Puslapioinaosnuoroda"/>
          <w:rFonts w:cs="Arial"/>
          <w:szCs w:val="16"/>
          <w:lang w:val="lt-LT"/>
        </w:rPr>
        <w:footnoteRef/>
      </w:r>
      <w:r w:rsidRPr="00B76111">
        <w:rPr>
          <w:rFonts w:cs="Arial"/>
          <w:szCs w:val="16"/>
          <w:lang w:val="lt-LT"/>
        </w:rPr>
        <w:t xml:space="preserve"> CEB Development Plan 2010-2014</w:t>
      </w:r>
    </w:p>
  </w:footnote>
  <w:footnote w:id="100">
    <w:p w14:paraId="561E152C" w14:textId="77777777" w:rsidR="00A65A8D" w:rsidRPr="00B76111" w:rsidRDefault="00A65A8D" w:rsidP="00583EB1">
      <w:pPr>
        <w:pStyle w:val="Puslapioinaostekstas"/>
        <w:rPr>
          <w:lang w:val="lt-LT"/>
        </w:rPr>
      </w:pPr>
      <w:r w:rsidRPr="00E67C77">
        <w:rPr>
          <w:rStyle w:val="Puslapioinaosnuoroda"/>
          <w:lang w:val="lt-LT"/>
        </w:rPr>
        <w:footnoteRef/>
      </w:r>
      <w:r w:rsidRPr="00E67C77">
        <w:rPr>
          <w:lang w:val="lt-LT"/>
        </w:rPr>
        <w:t xml:space="preserve"> CEB Annual Report 2013, CEB Annual Report 2012, CEB Annual Report 2011, CEB Annual Report 2010, CEB Annual Report 2009, CEB Annual Report 2008</w:t>
      </w:r>
    </w:p>
  </w:footnote>
  <w:footnote w:id="101">
    <w:p w14:paraId="5B1F184B" w14:textId="77777777" w:rsidR="00A65A8D" w:rsidRPr="00FB240F" w:rsidRDefault="00A65A8D" w:rsidP="00583EB1">
      <w:pPr>
        <w:pStyle w:val="Puslapioinaostekstas"/>
        <w:rPr>
          <w:lang w:val="lt-LT"/>
        </w:rPr>
      </w:pPr>
      <w:r w:rsidRPr="00E67C77">
        <w:rPr>
          <w:rStyle w:val="Puslapioinaosnuoroda"/>
          <w:lang w:val="lt-LT"/>
        </w:rPr>
        <w:footnoteRef/>
      </w:r>
      <w:r w:rsidRPr="00E67C77">
        <w:rPr>
          <w:lang w:val="lt-LT"/>
        </w:rPr>
        <w:t xml:space="preserve"> </w:t>
      </w:r>
      <w:r w:rsidRPr="00B76111">
        <w:rPr>
          <w:rFonts w:cs="Arial"/>
          <w:i/>
          <w:lang w:val="lt-LT"/>
        </w:rPr>
        <w:t xml:space="preserve">Šaltinis: </w:t>
      </w:r>
      <w:r w:rsidRPr="001554CF">
        <w:rPr>
          <w:rFonts w:cs="Arial"/>
          <w:i/>
          <w:lang w:val="lt-LT"/>
        </w:rPr>
        <w:t>http://www.coeban</w:t>
      </w:r>
      <w:r w:rsidRPr="00FB240F">
        <w:rPr>
          <w:rFonts w:cs="Arial"/>
          <w:i/>
          <w:lang w:val="lt-LT"/>
        </w:rPr>
        <w:t>k.org/Contenu.asp?arbo=90&amp;theme=2</w:t>
      </w:r>
    </w:p>
  </w:footnote>
  <w:footnote w:id="102">
    <w:p w14:paraId="52F3D0E2" w14:textId="77777777" w:rsidR="00A65A8D" w:rsidRPr="00FB240F" w:rsidRDefault="00A65A8D" w:rsidP="00583EB1">
      <w:pPr>
        <w:pStyle w:val="Puslapioinaostekstas"/>
        <w:jc w:val="both"/>
        <w:rPr>
          <w:rFonts w:cs="Arial"/>
          <w:sz w:val="18"/>
          <w:lang w:val="lt-LT"/>
        </w:rPr>
      </w:pPr>
      <w:r w:rsidRPr="00B76111">
        <w:rPr>
          <w:rStyle w:val="Puslapioinaosnuoroda"/>
          <w:rFonts w:cs="Arial"/>
          <w:lang w:val="lt-LT"/>
        </w:rPr>
        <w:footnoteRef/>
      </w:r>
      <w:r w:rsidRPr="00B76111">
        <w:rPr>
          <w:rFonts w:cs="Arial"/>
          <w:sz w:val="18"/>
          <w:lang w:val="lt-LT"/>
        </w:rPr>
        <w:t xml:space="preserve"> </w:t>
      </w:r>
      <w:r w:rsidRPr="001554CF">
        <w:rPr>
          <w:rFonts w:cs="Arial"/>
          <w:szCs w:val="16"/>
          <w:lang w:val="lt-LT"/>
        </w:rPr>
        <w:t>Co-financing a multi-faceted investment programme in the framework of the JESSICA initiative aimed at facilitating more dynamic and equitable economic and social growth by revitalising tar</w:t>
      </w:r>
      <w:r w:rsidRPr="00FB240F">
        <w:rPr>
          <w:rFonts w:cs="Arial"/>
          <w:szCs w:val="16"/>
          <w:lang w:val="lt-LT"/>
        </w:rPr>
        <w:t>geted run-down urban areas. Banco Bilbao Vizcaya Argentaria (BBVA Madrid)</w:t>
      </w:r>
    </w:p>
  </w:footnote>
  <w:footnote w:id="103">
    <w:p w14:paraId="6EA14D8F" w14:textId="77777777" w:rsidR="00A65A8D" w:rsidRPr="00E67C77" w:rsidRDefault="00A65A8D" w:rsidP="00583EB1">
      <w:pPr>
        <w:pStyle w:val="Puslapioinaostekstas"/>
        <w:rPr>
          <w:lang w:val="lt-LT"/>
        </w:rPr>
      </w:pPr>
      <w:r w:rsidRPr="00E67C77">
        <w:rPr>
          <w:rStyle w:val="Puslapioinaosnuoroda"/>
          <w:lang w:val="lt-LT"/>
        </w:rPr>
        <w:footnoteRef/>
      </w:r>
      <w:r w:rsidRPr="00E67C77">
        <w:rPr>
          <w:lang w:val="lt-LT"/>
        </w:rPr>
        <w:t xml:space="preserve"> angl. "Intelligent Energy – Europe II" (IEE II)</w:t>
      </w:r>
    </w:p>
  </w:footnote>
  <w:footnote w:id="104">
    <w:p w14:paraId="3D295086" w14:textId="77777777" w:rsidR="00A65A8D" w:rsidRPr="00B76111" w:rsidRDefault="00A65A8D" w:rsidP="00583EB1">
      <w:pPr>
        <w:pStyle w:val="Puslapioinaostekstas"/>
        <w:rPr>
          <w:lang w:val="lt-LT"/>
        </w:rPr>
      </w:pPr>
      <w:r w:rsidRPr="00E67C77">
        <w:rPr>
          <w:rStyle w:val="Puslapioinaosnuoroda"/>
          <w:lang w:val="lt-LT"/>
        </w:rPr>
        <w:footnoteRef/>
      </w:r>
      <w:r w:rsidRPr="00E67C77">
        <w:rPr>
          <w:lang w:val="lt-LT"/>
        </w:rPr>
        <w:t xml:space="preserve"> CEB – Annual Report 2013, Annual Report 2012, CEB – Annual Report 2011, CEB – Annual Report 2010, CEB – Annual Report 2009, CEB – Annual Report 2008</w:t>
      </w:r>
    </w:p>
  </w:footnote>
  <w:footnote w:id="105">
    <w:p w14:paraId="7502FBF8" w14:textId="77777777" w:rsidR="00A65A8D" w:rsidRPr="00B76111" w:rsidRDefault="00A65A8D" w:rsidP="00583EB1">
      <w:pPr>
        <w:pStyle w:val="Puslapioinaostekstas"/>
        <w:rPr>
          <w:szCs w:val="16"/>
          <w:lang w:val="lt-LT"/>
        </w:rPr>
      </w:pPr>
      <w:r w:rsidRPr="00B76111">
        <w:rPr>
          <w:rStyle w:val="Puslapioinaosnuoroda"/>
          <w:rFonts w:cs="Arial"/>
          <w:szCs w:val="16"/>
          <w:lang w:val="lt-LT"/>
        </w:rPr>
        <w:footnoteRef/>
      </w:r>
      <w:r w:rsidRPr="00B76111">
        <w:rPr>
          <w:rFonts w:cs="Arial"/>
          <w:szCs w:val="16"/>
          <w:lang w:val="lt-LT"/>
        </w:rPr>
        <w:t xml:space="preserve"> </w:t>
      </w:r>
      <w:hyperlink r:id="rId41" w:history="1">
        <w:r w:rsidRPr="00FB240F">
          <w:rPr>
            <w:rStyle w:val="Hipersaitas"/>
            <w:rFonts w:cs="Arial"/>
            <w:szCs w:val="16"/>
            <w:lang w:val="lt-LT"/>
          </w:rPr>
          <w:t>http://www.finmin.lt/web/finmin/naujienos?erp_item=naujiena_001152</w:t>
        </w:r>
      </w:hyperlink>
      <w:r w:rsidRPr="00B76111">
        <w:rPr>
          <w:szCs w:val="16"/>
          <w:lang w:val="lt-LT"/>
        </w:rPr>
        <w:t xml:space="preserve"> </w:t>
      </w:r>
    </w:p>
  </w:footnote>
  <w:footnote w:id="106">
    <w:p w14:paraId="0E894A63" w14:textId="77777777" w:rsidR="00A65A8D" w:rsidRPr="00B76111" w:rsidRDefault="00A65A8D" w:rsidP="00583EB1">
      <w:pPr>
        <w:pStyle w:val="Puslapioinaostekstas"/>
        <w:rPr>
          <w:lang w:val="lt-LT"/>
        </w:rPr>
      </w:pPr>
      <w:r w:rsidRPr="00E67C77">
        <w:rPr>
          <w:rStyle w:val="Puslapioinaosnuoroda"/>
          <w:lang w:val="lt-LT"/>
        </w:rPr>
        <w:footnoteRef/>
      </w:r>
      <w:r w:rsidRPr="00E67C77">
        <w:rPr>
          <w:lang w:val="lt-LT"/>
        </w:rPr>
        <w:t xml:space="preserve"> CEB, Loan and Project Financing Policy; CEB, Handbook for the Preparation and Monitoring of Projects</w:t>
      </w:r>
    </w:p>
  </w:footnote>
  <w:footnote w:id="107">
    <w:p w14:paraId="43F78404" w14:textId="77777777" w:rsidR="00A65A8D" w:rsidRPr="00A734A4" w:rsidRDefault="00A65A8D" w:rsidP="00280058">
      <w:pPr>
        <w:pStyle w:val="Puslapioinaostekstas"/>
        <w:rPr>
          <w:lang w:val="lt-LT"/>
        </w:rPr>
      </w:pPr>
      <w:r w:rsidRPr="00A734A4">
        <w:rPr>
          <w:rStyle w:val="Puslapioinaosnuoroda"/>
          <w:lang w:val="lt-LT"/>
        </w:rPr>
        <w:footnoteRef/>
      </w:r>
      <w:r w:rsidRPr="00A734A4">
        <w:rPr>
          <w:lang w:val="lt-LT"/>
        </w:rPr>
        <w:t xml:space="preserve"> http://www.lsta.lt/lt/pages/apie-silumos-uki/silumos-kainos </w:t>
      </w:r>
      <w:r w:rsidRPr="00B76111">
        <w:rPr>
          <w:lang w:val="lt-LT"/>
        </w:rPr>
        <w:t>2014-10-06 pateikta prognozė, kai taikomas 9 proc. lengvatinis PVM</w:t>
      </w:r>
    </w:p>
  </w:footnote>
  <w:footnote w:id="108">
    <w:p w14:paraId="0990754F" w14:textId="77777777" w:rsidR="00A65A8D" w:rsidRPr="00B76111" w:rsidRDefault="00A65A8D" w:rsidP="00280058">
      <w:pPr>
        <w:pStyle w:val="Puslapioinaostekstas"/>
        <w:rPr>
          <w:lang w:val="lt-LT"/>
        </w:rPr>
      </w:pPr>
      <w:r w:rsidRPr="00A734A4">
        <w:rPr>
          <w:rStyle w:val="Puslapioinaosnuoroda"/>
          <w:lang w:val="lt-LT"/>
        </w:rPr>
        <w:footnoteRef/>
      </w:r>
      <w:r w:rsidRPr="00A734A4">
        <w:rPr>
          <w:lang w:val="lt-LT"/>
        </w:rPr>
        <w:t xml:space="preserve"> http://www.lrv.lt/naujienos/?nid=15073</w:t>
      </w:r>
    </w:p>
  </w:footnote>
  <w:footnote w:id="109">
    <w:p w14:paraId="05F101BD" w14:textId="77777777" w:rsidR="00A65A8D" w:rsidRPr="001554CF" w:rsidRDefault="00A65A8D" w:rsidP="000833F4">
      <w:pPr>
        <w:pStyle w:val="Puslapioinaostekstas"/>
        <w:rPr>
          <w:lang w:val="lt-LT"/>
        </w:rPr>
      </w:pPr>
      <w:r w:rsidRPr="00B76111">
        <w:rPr>
          <w:rStyle w:val="Puslapioinaosnuoroda"/>
          <w:lang w:val="lt-LT"/>
        </w:rPr>
        <w:footnoteRef/>
      </w:r>
      <w:r w:rsidRPr="00B76111">
        <w:rPr>
          <w:lang w:val="lt-LT"/>
        </w:rPr>
        <w:t xml:space="preserve"> http://www.lrs.lt/pls/proj/dokpaieska.showdoc_l?p_id=241465</w:t>
      </w:r>
      <w:r w:rsidRPr="00B76111" w:rsidDel="00070879">
        <w:rPr>
          <w:lang w:val="lt-LT"/>
        </w:rPr>
        <w:t xml:space="preserve"> </w:t>
      </w:r>
    </w:p>
  </w:footnote>
  <w:footnote w:id="110">
    <w:p w14:paraId="09DC5F51" w14:textId="77777777" w:rsidR="00A65A8D" w:rsidRPr="00A734A4" w:rsidRDefault="00A65A8D" w:rsidP="00A734A4">
      <w:pPr>
        <w:pStyle w:val="Puslapioinaostekstas"/>
        <w:jc w:val="both"/>
        <w:rPr>
          <w:lang w:val="lt-LT"/>
        </w:rPr>
      </w:pPr>
      <w:r w:rsidRPr="00A734A4">
        <w:rPr>
          <w:rStyle w:val="Puslapioinaosnuoroda"/>
          <w:lang w:val="lt-LT"/>
        </w:rPr>
        <w:footnoteRef/>
      </w:r>
      <w:r w:rsidRPr="00A734A4">
        <w:rPr>
          <w:lang w:val="lt-LT"/>
        </w:rPr>
        <w:t xml:space="preserve"> Pasiekusius galutinius naudos gavėjus lėšos yra mažesnės už indėlį, nes pirmos paskolos numatomos suteikti tik 2017 metais, ko pasekoje grįžtančių lėšų įtaka galutinius naudos gavėjus pasiekusioms lėšoms bus minimali.</w:t>
      </w:r>
      <w:r>
        <w:rPr>
          <w:lang w:val="lt-LT"/>
        </w:rPr>
        <w:t xml:space="preserve"> Grįžtančių lėšų įtaka galutinius naudos gavėjus pasiekusioms lėšoms pasireikš tik vėlesniais laikotarpiais.</w:t>
      </w:r>
    </w:p>
  </w:footnote>
  <w:footnote w:id="111">
    <w:p w14:paraId="66416DFB" w14:textId="77777777" w:rsidR="00A65A8D" w:rsidRPr="00B76111" w:rsidRDefault="00A65A8D" w:rsidP="004F3A7E">
      <w:pPr>
        <w:pStyle w:val="Puslapioinaostekstas"/>
        <w:rPr>
          <w:lang w:val="lt-LT"/>
        </w:rPr>
      </w:pPr>
      <w:r w:rsidRPr="00B76111">
        <w:rPr>
          <w:rStyle w:val="Puslapioinaosnuoroda"/>
          <w:lang w:val="lt-LT"/>
        </w:rPr>
        <w:footnoteRef/>
      </w:r>
      <w:r w:rsidRPr="00B76111">
        <w:rPr>
          <w:lang w:val="lt-LT"/>
        </w:rPr>
        <w:t xml:space="preserve"> http://www.lrs.lt/pls/proj/dokpaieska.showdoc_l?p_id=241465</w:t>
      </w:r>
      <w:r w:rsidRPr="00B76111" w:rsidDel="00070879">
        <w:rPr>
          <w:lang w:val="lt-LT"/>
        </w:rPr>
        <w:t xml:space="preserve"> </w:t>
      </w:r>
    </w:p>
  </w:footnote>
  <w:footnote w:id="112">
    <w:p w14:paraId="772521ED" w14:textId="77777777" w:rsidR="00A65A8D" w:rsidRPr="00B76111" w:rsidRDefault="00A65A8D" w:rsidP="009D75AC">
      <w:pPr>
        <w:pStyle w:val="Puslapioinaostekstas"/>
        <w:rPr>
          <w:lang w:val="lt-LT"/>
        </w:rPr>
      </w:pPr>
      <w:r w:rsidRPr="00B76111">
        <w:rPr>
          <w:rStyle w:val="Puslapioinaosnuoroda"/>
          <w:lang w:val="lt-LT"/>
        </w:rPr>
        <w:footnoteRef/>
      </w:r>
      <w:r w:rsidRPr="00B76111">
        <w:rPr>
          <w:lang w:val="lt-LT"/>
        </w:rPr>
        <w:t xml:space="preserve"> http://www.lrs.lt/pls/proj/dokpaieska.showdoc_l?p_id=241465</w:t>
      </w:r>
      <w:r w:rsidRPr="00B76111" w:rsidDel="00070879">
        <w:rPr>
          <w:lang w:val="lt-LT"/>
        </w:rPr>
        <w:t xml:space="preserve"> </w:t>
      </w:r>
    </w:p>
  </w:footnote>
  <w:footnote w:id="113">
    <w:p w14:paraId="669388F1" w14:textId="77777777" w:rsidR="00A65A8D" w:rsidRPr="001554CF" w:rsidRDefault="00A65A8D" w:rsidP="00E65460">
      <w:pPr>
        <w:pStyle w:val="Puslapioinaostekstas"/>
        <w:rPr>
          <w:lang w:val="lt-LT"/>
        </w:rPr>
      </w:pPr>
      <w:r w:rsidRPr="00B76111">
        <w:rPr>
          <w:rStyle w:val="Puslapioinaosnuoroda"/>
          <w:lang w:val="lt-LT"/>
        </w:rPr>
        <w:footnoteRef/>
      </w:r>
      <w:r w:rsidRPr="00B76111">
        <w:rPr>
          <w:lang w:val="lt-LT"/>
        </w:rPr>
        <w:t xml:space="preserve"> http://www.lrs.lt/pls/proj/dokpaieska.showdoc_l?p_id=241465</w:t>
      </w:r>
      <w:r w:rsidRPr="00B76111" w:rsidDel="00070879">
        <w:rPr>
          <w:lang w:val="lt-LT"/>
        </w:rPr>
        <w:t xml:space="preserve"> </w:t>
      </w:r>
    </w:p>
  </w:footnote>
  <w:footnote w:id="114">
    <w:p w14:paraId="44F96B87" w14:textId="77777777" w:rsidR="00A65A8D" w:rsidRPr="001554CF" w:rsidRDefault="00A65A8D" w:rsidP="00C50605">
      <w:pPr>
        <w:pStyle w:val="Puslapioinaostekstas"/>
        <w:rPr>
          <w:lang w:val="lt-LT"/>
        </w:rPr>
      </w:pPr>
      <w:r w:rsidRPr="00B76111">
        <w:rPr>
          <w:rStyle w:val="Puslapioinaosnuoroda"/>
          <w:lang w:val="lt-LT"/>
        </w:rPr>
        <w:footnoteRef/>
      </w:r>
      <w:r w:rsidRPr="00B76111">
        <w:rPr>
          <w:lang w:val="lt-LT"/>
        </w:rPr>
        <w:t xml:space="preserve"> http://www.lrs.lt/pls/proj/dokpaieska.showdoc_l?p_id=241465</w:t>
      </w:r>
      <w:r w:rsidRPr="00B76111" w:rsidDel="00070879">
        <w:rPr>
          <w:lang w:val="lt-LT"/>
        </w:rPr>
        <w:t xml:space="preserve"> </w:t>
      </w:r>
    </w:p>
  </w:footnote>
  <w:footnote w:id="115">
    <w:p w14:paraId="013848AE" w14:textId="77777777" w:rsidR="00A65A8D" w:rsidRPr="001554CF" w:rsidRDefault="00A65A8D" w:rsidP="00280058">
      <w:pPr>
        <w:pStyle w:val="Puslapioinaostekstas"/>
        <w:rPr>
          <w:lang w:val="lt-LT"/>
        </w:rPr>
      </w:pPr>
      <w:r w:rsidRPr="00B76111">
        <w:rPr>
          <w:rStyle w:val="Puslapioinaosnuoroda"/>
          <w:lang w:val="lt-LT"/>
        </w:rPr>
        <w:footnoteRef/>
      </w:r>
      <w:r w:rsidRPr="00B76111">
        <w:rPr>
          <w:lang w:val="lt-LT"/>
        </w:rPr>
        <w:t xml:space="preserve"> http://www.lrs.lt/pls/proj/dokpaieska.showdoc_l?p_id=241465</w:t>
      </w:r>
      <w:r w:rsidRPr="001554CF" w:rsidDel="00070879">
        <w:rPr>
          <w:lang w:val="lt-LT"/>
        </w:rPr>
        <w:t xml:space="preserve"> </w:t>
      </w:r>
    </w:p>
  </w:footnote>
  <w:footnote w:id="116">
    <w:p w14:paraId="6748F966" w14:textId="77777777" w:rsidR="00A65A8D" w:rsidRPr="00FB240F" w:rsidRDefault="00A65A8D" w:rsidP="00280058">
      <w:pPr>
        <w:pStyle w:val="Puslapioinaostekstas"/>
        <w:rPr>
          <w:lang w:val="lt-LT"/>
        </w:rPr>
      </w:pPr>
      <w:r w:rsidRPr="00B76111">
        <w:rPr>
          <w:rStyle w:val="Puslapioinaosnuoroda"/>
          <w:lang w:val="lt-LT"/>
        </w:rPr>
        <w:footnoteRef/>
      </w:r>
      <w:r w:rsidRPr="00B76111">
        <w:rPr>
          <w:lang w:val="lt-LT"/>
        </w:rPr>
        <w:t xml:space="preserve"> http://www.lrs.lt/pls/proj/dokpaieska.showdoc_l?p_id=241465</w:t>
      </w:r>
      <w:r w:rsidRPr="001554CF" w:rsidDel="00070879">
        <w:rPr>
          <w:lang w:val="lt-LT"/>
        </w:rPr>
        <w:t xml:space="preserve"> </w:t>
      </w:r>
    </w:p>
  </w:footnote>
  <w:footnote w:id="117">
    <w:p w14:paraId="7594B51D" w14:textId="77777777" w:rsidR="00A65A8D" w:rsidRPr="00FB240F" w:rsidRDefault="00A65A8D" w:rsidP="00280058">
      <w:pPr>
        <w:pStyle w:val="Puslapioinaostekstas"/>
        <w:rPr>
          <w:lang w:val="lt-LT"/>
        </w:rPr>
      </w:pPr>
      <w:r w:rsidRPr="00B76111">
        <w:rPr>
          <w:rStyle w:val="Puslapioinaosnuoroda"/>
          <w:lang w:val="lt-LT"/>
        </w:rPr>
        <w:footnoteRef/>
      </w:r>
      <w:r w:rsidRPr="00B76111">
        <w:rPr>
          <w:lang w:val="lt-LT"/>
        </w:rPr>
        <w:t xml:space="preserve"> http://www.lrs.lt/pls/proj/dokpaieska.showdoc_l?p_id=241465</w:t>
      </w:r>
      <w:r w:rsidRPr="001554CF" w:rsidDel="00070879">
        <w:rPr>
          <w:lang w:val="lt-LT"/>
        </w:rPr>
        <w:t xml:space="preserve"> </w:t>
      </w:r>
    </w:p>
  </w:footnote>
  <w:footnote w:id="118">
    <w:p w14:paraId="64F516E3" w14:textId="77777777" w:rsidR="00A65A8D" w:rsidRPr="00FB240F" w:rsidRDefault="00A65A8D" w:rsidP="00280058">
      <w:pPr>
        <w:pStyle w:val="Puslapioinaostekstas"/>
        <w:rPr>
          <w:lang w:val="lt-LT"/>
        </w:rPr>
      </w:pPr>
      <w:r w:rsidRPr="00B76111">
        <w:rPr>
          <w:rStyle w:val="Puslapioinaosnuoroda"/>
          <w:lang w:val="lt-LT"/>
        </w:rPr>
        <w:footnoteRef/>
      </w:r>
      <w:r w:rsidRPr="00B76111">
        <w:rPr>
          <w:lang w:val="lt-LT"/>
        </w:rPr>
        <w:t xml:space="preserve"> http://www.lrs.lt/pls/proj</w:t>
      </w:r>
      <w:r w:rsidRPr="001554CF">
        <w:rPr>
          <w:lang w:val="lt-LT"/>
        </w:rPr>
        <w:t>/dokpaieska.showdoc_l?p_id=241465</w:t>
      </w:r>
      <w:r w:rsidRPr="00FB240F" w:rsidDel="00070879">
        <w:rPr>
          <w:lang w:val="lt-LT"/>
        </w:rPr>
        <w:t xml:space="preserve"> </w:t>
      </w:r>
    </w:p>
  </w:footnote>
  <w:footnote w:id="119">
    <w:p w14:paraId="297BFE53" w14:textId="77777777" w:rsidR="00A65A8D" w:rsidRPr="00FB240F" w:rsidRDefault="00A65A8D" w:rsidP="00280058">
      <w:pPr>
        <w:pStyle w:val="Puslapioinaostekstas"/>
        <w:rPr>
          <w:lang w:val="lt-LT"/>
        </w:rPr>
      </w:pPr>
      <w:r w:rsidRPr="00B76111">
        <w:rPr>
          <w:rStyle w:val="Puslapioinaosnuoroda"/>
          <w:lang w:val="lt-LT"/>
        </w:rPr>
        <w:footnoteRef/>
      </w:r>
      <w:r w:rsidRPr="00B76111">
        <w:rPr>
          <w:lang w:val="lt-LT"/>
        </w:rPr>
        <w:t xml:space="preserve"> http://www.lrs.lt/pls/proj/dokpaieska.showdoc_l?p_id=241465</w:t>
      </w:r>
      <w:r w:rsidRPr="001554CF" w:rsidDel="00070879">
        <w:rPr>
          <w:lang w:val="lt-LT"/>
        </w:rPr>
        <w:t xml:space="preserve"> </w:t>
      </w:r>
    </w:p>
  </w:footnote>
  <w:footnote w:id="120">
    <w:p w14:paraId="14D8734C" w14:textId="77777777" w:rsidR="00A65A8D" w:rsidRPr="00FB240F" w:rsidRDefault="00A65A8D" w:rsidP="00280058">
      <w:pPr>
        <w:pStyle w:val="Puslapioinaostekstas"/>
        <w:rPr>
          <w:lang w:val="lt-LT"/>
        </w:rPr>
      </w:pPr>
      <w:r w:rsidRPr="00B76111">
        <w:rPr>
          <w:rStyle w:val="Puslapioinaosnuoroda"/>
          <w:lang w:val="lt-LT"/>
        </w:rPr>
        <w:footnoteRef/>
      </w:r>
      <w:r w:rsidRPr="00B76111">
        <w:rPr>
          <w:lang w:val="lt-LT"/>
        </w:rPr>
        <w:t xml:space="preserve"> http://www.lrs.lt/pls/proj/dokpaieska.showdoc_l?p_id=241465</w:t>
      </w:r>
      <w:r w:rsidRPr="001554CF" w:rsidDel="00070879">
        <w:rPr>
          <w:lang w:val="lt-LT"/>
        </w:rPr>
        <w:t xml:space="preserve"> </w:t>
      </w:r>
    </w:p>
  </w:footnote>
  <w:footnote w:id="121">
    <w:p w14:paraId="4ECBE67A" w14:textId="77777777" w:rsidR="00A65A8D" w:rsidRPr="00FB240F" w:rsidRDefault="00A65A8D" w:rsidP="00280058">
      <w:pPr>
        <w:pStyle w:val="Puslapioinaostekstas"/>
        <w:rPr>
          <w:lang w:val="lt-LT"/>
        </w:rPr>
      </w:pPr>
      <w:r w:rsidRPr="00B76111">
        <w:rPr>
          <w:rStyle w:val="Puslapioinaosnuoroda"/>
          <w:lang w:val="lt-LT"/>
        </w:rPr>
        <w:footnoteRef/>
      </w:r>
      <w:r w:rsidRPr="00B76111">
        <w:rPr>
          <w:lang w:val="lt-LT"/>
        </w:rPr>
        <w:t xml:space="preserve"> http://www.lrs.lt/pls/proj/dokpaieska.showdoc_l?p_id=241465</w:t>
      </w:r>
      <w:r w:rsidRPr="001554CF" w:rsidDel="00070879">
        <w:rPr>
          <w:lang w:val="lt-LT"/>
        </w:rPr>
        <w:t xml:space="preserve"> </w:t>
      </w:r>
    </w:p>
  </w:footnote>
  <w:footnote w:id="122">
    <w:p w14:paraId="7F55B52D" w14:textId="77777777" w:rsidR="00A65A8D" w:rsidRPr="00E67C77" w:rsidRDefault="00A65A8D" w:rsidP="00E67C77">
      <w:pPr>
        <w:pStyle w:val="Puslapioinaostekstas"/>
        <w:jc w:val="both"/>
        <w:rPr>
          <w:lang w:val="lt-LT"/>
        </w:rPr>
      </w:pPr>
      <w:r>
        <w:rPr>
          <w:rStyle w:val="Puslapioinaosnuoroda"/>
        </w:rPr>
        <w:footnoteRef/>
      </w:r>
      <w:r>
        <w:t xml:space="preserve"> </w:t>
      </w:r>
      <w:r>
        <w:rPr>
          <w:lang w:val="lt-LT"/>
        </w:rPr>
        <w:t>Pažymėtina, kad 5 scenarijaus atveju multiplikatorius yra žemas, todėl kad p</w:t>
      </w:r>
      <w:r w:rsidRPr="00ED02FB">
        <w:rPr>
          <w:lang w:val="lt-LT"/>
        </w:rPr>
        <w:t>asiekusius galutinius naudos gavėjus lėšos yra mažesnės už indėlį, nes pirmos paskolos numatomos suteikti tik 2017 metais, ko pasekoje grįžtančių lėšų įtaka galutinius naudos gavėjus pasiekusioms lėšoms</w:t>
      </w:r>
      <w:r>
        <w:rPr>
          <w:lang w:val="lt-LT"/>
        </w:rPr>
        <w:t xml:space="preserve"> 2022 m.</w:t>
      </w:r>
      <w:r w:rsidRPr="00ED02FB">
        <w:rPr>
          <w:lang w:val="lt-LT"/>
        </w:rPr>
        <w:t xml:space="preserve"> bus minimali.</w:t>
      </w:r>
      <w:r>
        <w:rPr>
          <w:lang w:val="lt-LT"/>
        </w:rPr>
        <w:t xml:space="preserve"> Grįžtančių lėšų įtaka galutinius naudos gavėjus pasiekusioms lėšoms pasireikš tik vėlesniais laikotarpiais.</w:t>
      </w:r>
    </w:p>
  </w:footnote>
  <w:footnote w:id="123">
    <w:p w14:paraId="16147DE8" w14:textId="77777777" w:rsidR="00A65A8D" w:rsidRPr="00B76111" w:rsidRDefault="00A65A8D" w:rsidP="00280058">
      <w:pPr>
        <w:pStyle w:val="Puslapioinaostekstas"/>
        <w:rPr>
          <w:rFonts w:cstheme="minorBidi"/>
          <w:sz w:val="20"/>
          <w:lang w:val="lt-LT"/>
        </w:rPr>
      </w:pPr>
      <w:r w:rsidRPr="00E67C77">
        <w:rPr>
          <w:rStyle w:val="Puslapioinaosnuoroda"/>
          <w:lang w:val="lt-LT"/>
        </w:rPr>
        <w:footnoteRef/>
      </w:r>
      <w:r w:rsidRPr="00E67C77">
        <w:rPr>
          <w:lang w:val="lt-LT"/>
        </w:rPr>
        <w:t xml:space="preserve"> 2009 m. gruodžio 16 d. LRV nutarimas Nr. 1725 “Dėl valstybės paramos daugiabučiams namams atnaujinti (modernizuoti) teikimo ir daugiabučių namų atnaujinimo (modernizavimo) projektų įgyvendinimo priežiūros taisyklių patvirtinimo ir daugiabučio namo atnaujinimo (modernizavimo) projektui įgyvendinti skirto kaupiamojo įnašo ir (ar) kitų įmokų didžiausios mėnesinės įmokos nustatymo”</w:t>
      </w:r>
    </w:p>
  </w:footnote>
  <w:footnote w:id="124">
    <w:p w14:paraId="2B2ED8D1" w14:textId="77777777" w:rsidR="00A65A8D" w:rsidRPr="00B76111" w:rsidRDefault="00A65A8D" w:rsidP="00280058">
      <w:pPr>
        <w:pStyle w:val="Puslapioinaostekstas"/>
        <w:rPr>
          <w:rFonts w:asciiTheme="minorHAnsi" w:hAnsiTheme="minorHAnsi"/>
          <w:lang w:val="lt-LT"/>
        </w:rPr>
      </w:pPr>
      <w:r w:rsidRPr="00E67C77">
        <w:rPr>
          <w:rStyle w:val="Puslapioinaosnuoroda"/>
          <w:lang w:val="lt-LT"/>
        </w:rPr>
        <w:footnoteRef/>
      </w:r>
      <w:r w:rsidRPr="00E67C77">
        <w:rPr>
          <w:lang w:val="lt-LT"/>
        </w:rPr>
        <w:t xml:space="preserve"> 2009 m. gruodžio 16 d. LRV nutarimas Nr. 1725.</w:t>
      </w:r>
    </w:p>
  </w:footnote>
  <w:footnote w:id="125">
    <w:p w14:paraId="3F4091DB" w14:textId="77777777" w:rsidR="00A65A8D" w:rsidRPr="00E67C77" w:rsidRDefault="00A65A8D" w:rsidP="00280058">
      <w:pPr>
        <w:pStyle w:val="Puslapioinaostekstas"/>
        <w:rPr>
          <w:lang w:val="lt-LT"/>
        </w:rPr>
      </w:pPr>
      <w:r w:rsidRPr="00E67C77">
        <w:rPr>
          <w:rStyle w:val="Puslapioinaosnuoroda"/>
          <w:lang w:val="lt-LT"/>
        </w:rPr>
        <w:footnoteRef/>
      </w:r>
      <w:r w:rsidRPr="00E67C77">
        <w:rPr>
          <w:lang w:val="lt-LT"/>
        </w:rPr>
        <w:t xml:space="preserve"> </w:t>
      </w:r>
      <w:r w:rsidRPr="00B76111">
        <w:rPr>
          <w:lang w:val="lt-LT"/>
        </w:rPr>
        <w:t xml:space="preserve">2014 m. rugsėjo – spalio mėnuo. </w:t>
      </w:r>
    </w:p>
  </w:footnote>
  <w:footnote w:id="126">
    <w:p w14:paraId="2B2866C9" w14:textId="77777777" w:rsidR="00A65A8D" w:rsidRPr="00B76111" w:rsidRDefault="00A65A8D" w:rsidP="00EF6FC0">
      <w:pPr>
        <w:pStyle w:val="Puslapioinaostekstas"/>
        <w:rPr>
          <w:sz w:val="18"/>
          <w:szCs w:val="18"/>
          <w:lang w:val="lt-LT"/>
        </w:rPr>
      </w:pPr>
      <w:r w:rsidRPr="00E67C77">
        <w:rPr>
          <w:rStyle w:val="Puslapioinaosnuoroda"/>
          <w:sz w:val="18"/>
          <w:szCs w:val="18"/>
          <w:lang w:val="lt-LT"/>
        </w:rPr>
        <w:footnoteRef/>
      </w:r>
      <w:r w:rsidRPr="00E67C77">
        <w:rPr>
          <w:sz w:val="18"/>
          <w:szCs w:val="18"/>
          <w:lang w:val="lt-LT"/>
        </w:rPr>
        <w:t xml:space="preserve"> </w:t>
      </w:r>
      <w:r w:rsidRPr="00B76111">
        <w:rPr>
          <w:sz w:val="18"/>
          <w:szCs w:val="18"/>
          <w:lang w:val="lt-LT"/>
        </w:rPr>
        <w:t>ES Sutarties suvestinė redakcija, 107 str. (ex 87 str.)</w:t>
      </w:r>
    </w:p>
  </w:footnote>
  <w:footnote w:id="127">
    <w:p w14:paraId="47FBF9E5" w14:textId="77777777" w:rsidR="00A65A8D" w:rsidRPr="00B76111" w:rsidRDefault="00A65A8D" w:rsidP="00EF6FC0">
      <w:pPr>
        <w:pStyle w:val="Puslapioinaostekstas"/>
        <w:rPr>
          <w:lang w:val="lt-LT"/>
        </w:rPr>
      </w:pPr>
      <w:r w:rsidRPr="00E67C77">
        <w:rPr>
          <w:rStyle w:val="Puslapioinaosnuoroda"/>
          <w:sz w:val="18"/>
          <w:szCs w:val="18"/>
          <w:lang w:val="lt-LT"/>
        </w:rPr>
        <w:footnoteRef/>
      </w:r>
      <w:r w:rsidRPr="00E67C77">
        <w:rPr>
          <w:sz w:val="18"/>
          <w:szCs w:val="18"/>
          <w:lang w:val="lt-LT"/>
        </w:rPr>
        <w:t xml:space="preserve"> </w:t>
      </w:r>
      <w:hyperlink r:id="rId42" w:history="1">
        <w:r w:rsidRPr="00E67C77">
          <w:rPr>
            <w:rStyle w:val="Hipersaitas"/>
            <w:sz w:val="18"/>
            <w:szCs w:val="18"/>
            <w:lang w:val="lt-LT"/>
          </w:rPr>
          <w:t>Case C-290/07 P Commission v Scott [2010] ECR I-7763, para. 66</w:t>
        </w:r>
      </w:hyperlink>
      <w:r w:rsidRPr="00E67C77">
        <w:rPr>
          <w:sz w:val="18"/>
          <w:szCs w:val="18"/>
          <w:lang w:val="lt-LT"/>
        </w:rPr>
        <w:t>.</w:t>
      </w:r>
    </w:p>
  </w:footnote>
  <w:footnote w:id="128">
    <w:p w14:paraId="28AEADF8" w14:textId="77777777" w:rsidR="00A65A8D" w:rsidRPr="00B76111" w:rsidRDefault="00A65A8D" w:rsidP="00EF6FC0">
      <w:pPr>
        <w:pStyle w:val="Puslapioinaostekstas"/>
        <w:rPr>
          <w:sz w:val="18"/>
          <w:szCs w:val="18"/>
          <w:lang w:val="lt-LT"/>
        </w:rPr>
      </w:pPr>
      <w:r w:rsidRPr="00E67C77">
        <w:rPr>
          <w:rStyle w:val="Puslapioinaosnuoroda"/>
          <w:sz w:val="18"/>
          <w:szCs w:val="18"/>
          <w:lang w:val="lt-LT"/>
        </w:rPr>
        <w:footnoteRef/>
      </w:r>
      <w:r w:rsidRPr="00B76111">
        <w:rPr>
          <w:sz w:val="18"/>
          <w:szCs w:val="18"/>
          <w:lang w:val="lt-LT"/>
        </w:rPr>
        <w:t xml:space="preserve"> </w:t>
      </w:r>
      <w:hyperlink r:id="rId43" w:history="1">
        <w:r w:rsidRPr="00FB240F">
          <w:rPr>
            <w:rStyle w:val="Hipersaitas"/>
            <w:sz w:val="18"/>
            <w:szCs w:val="18"/>
            <w:lang w:val="lt-LT"/>
          </w:rPr>
          <w:t>Case C-482/99 France v Commission (Stardust) [2002] ECR I-4397, para. 57</w:t>
        </w:r>
      </w:hyperlink>
    </w:p>
  </w:footnote>
  <w:footnote w:id="129">
    <w:p w14:paraId="5054CC86" w14:textId="77777777" w:rsidR="00A65A8D" w:rsidRPr="00B76111" w:rsidRDefault="00A65A8D" w:rsidP="00EF6FC0">
      <w:pPr>
        <w:pStyle w:val="Puslapioinaostekstas"/>
        <w:rPr>
          <w:sz w:val="18"/>
          <w:szCs w:val="18"/>
          <w:lang w:val="lt-LT"/>
        </w:rPr>
      </w:pPr>
      <w:r w:rsidRPr="00E67C77">
        <w:rPr>
          <w:rStyle w:val="Puslapioinaosnuoroda"/>
          <w:sz w:val="18"/>
          <w:szCs w:val="18"/>
          <w:lang w:val="lt-LT"/>
        </w:rPr>
        <w:footnoteRef/>
      </w:r>
      <w:r w:rsidRPr="00B76111">
        <w:rPr>
          <w:sz w:val="18"/>
          <w:szCs w:val="18"/>
          <w:lang w:val="lt-LT"/>
        </w:rPr>
        <w:t xml:space="preserve"> </w:t>
      </w:r>
      <w:hyperlink r:id="rId44" w:history="1">
        <w:r w:rsidRPr="00FB240F">
          <w:rPr>
            <w:rStyle w:val="Hipersaitas"/>
            <w:sz w:val="18"/>
            <w:szCs w:val="18"/>
            <w:lang w:val="lt-LT"/>
          </w:rPr>
          <w:t>Case T-351/02 Deutsche Bahn AG v Commission [2006] ECR II-1047, para. 102</w:t>
        </w:r>
      </w:hyperlink>
    </w:p>
  </w:footnote>
  <w:footnote w:id="130">
    <w:p w14:paraId="60370AD1" w14:textId="77777777" w:rsidR="00A65A8D" w:rsidRPr="00B76111" w:rsidRDefault="00A65A8D" w:rsidP="00EF6FC0">
      <w:pPr>
        <w:pStyle w:val="Puslapioinaostekstas"/>
        <w:rPr>
          <w:sz w:val="18"/>
          <w:szCs w:val="18"/>
          <w:lang w:val="lt-LT"/>
        </w:rPr>
      </w:pPr>
      <w:r w:rsidRPr="00E67C77">
        <w:rPr>
          <w:rStyle w:val="Puslapioinaosnuoroda"/>
          <w:sz w:val="18"/>
          <w:szCs w:val="18"/>
          <w:lang w:val="lt-LT"/>
        </w:rPr>
        <w:footnoteRef/>
      </w:r>
      <w:r w:rsidRPr="00E67C77">
        <w:rPr>
          <w:sz w:val="18"/>
          <w:szCs w:val="18"/>
          <w:lang w:val="lt-LT"/>
        </w:rPr>
        <w:t xml:space="preserve"> </w:t>
      </w:r>
      <w:hyperlink r:id="rId45" w:history="1">
        <w:r w:rsidRPr="00E67C77">
          <w:rPr>
            <w:rStyle w:val="Hipersaitas"/>
            <w:sz w:val="18"/>
            <w:szCs w:val="18"/>
            <w:lang w:val="lt-LT"/>
          </w:rPr>
          <w:t>Joined Cases C-180/98 to C-184/98 Pavlov and Others [2000] ECR I-6451, para. 74</w:t>
        </w:r>
      </w:hyperlink>
    </w:p>
  </w:footnote>
  <w:footnote w:id="131">
    <w:p w14:paraId="3AA6E179" w14:textId="77777777" w:rsidR="00A65A8D" w:rsidRPr="00E67C77" w:rsidRDefault="00A65A8D" w:rsidP="00EF6FC0">
      <w:pPr>
        <w:pStyle w:val="Puslapioinaostekstas"/>
        <w:rPr>
          <w:sz w:val="18"/>
          <w:szCs w:val="18"/>
          <w:lang w:val="lt-LT"/>
        </w:rPr>
      </w:pPr>
      <w:r w:rsidRPr="00E67C77">
        <w:rPr>
          <w:rStyle w:val="Puslapioinaosnuoroda"/>
          <w:sz w:val="18"/>
          <w:szCs w:val="18"/>
          <w:lang w:val="lt-LT"/>
        </w:rPr>
        <w:footnoteRef/>
      </w:r>
      <w:r w:rsidRPr="00E67C77">
        <w:rPr>
          <w:sz w:val="18"/>
          <w:szCs w:val="18"/>
          <w:lang w:val="lt-LT"/>
        </w:rPr>
        <w:t xml:space="preserve"> </w:t>
      </w:r>
      <w:hyperlink r:id="rId46" w:history="1">
        <w:r w:rsidRPr="00E67C77">
          <w:rPr>
            <w:rStyle w:val="Hipersaitas"/>
            <w:sz w:val="18"/>
            <w:szCs w:val="18"/>
            <w:lang w:val="lt-LT"/>
          </w:rPr>
          <w:t>Case C-480/09 P AceaElectrabel Produzione SpA v Commission [2010] ECR I-13355 para. 47-55</w:t>
        </w:r>
      </w:hyperlink>
      <w:r w:rsidRPr="00E67C77">
        <w:rPr>
          <w:sz w:val="18"/>
          <w:szCs w:val="18"/>
          <w:lang w:val="lt-LT"/>
        </w:rPr>
        <w:t>.</w:t>
      </w:r>
    </w:p>
  </w:footnote>
  <w:footnote w:id="132">
    <w:p w14:paraId="2F24A7DD" w14:textId="77777777" w:rsidR="00A65A8D" w:rsidRPr="00B76111" w:rsidRDefault="00A65A8D" w:rsidP="00EF6FC0">
      <w:pPr>
        <w:pStyle w:val="Puslapioinaostekstas"/>
        <w:rPr>
          <w:lang w:val="lt-LT"/>
        </w:rPr>
      </w:pPr>
      <w:r w:rsidRPr="00E67C77">
        <w:rPr>
          <w:rStyle w:val="Puslapioinaosnuoroda"/>
          <w:sz w:val="18"/>
          <w:szCs w:val="18"/>
          <w:lang w:val="lt-LT"/>
        </w:rPr>
        <w:footnoteRef/>
      </w:r>
      <w:r w:rsidRPr="00E67C77">
        <w:rPr>
          <w:sz w:val="18"/>
          <w:szCs w:val="18"/>
          <w:lang w:val="lt-LT"/>
        </w:rPr>
        <w:t xml:space="preserve"> </w:t>
      </w:r>
      <w:hyperlink r:id="rId47" w:history="1">
        <w:r w:rsidRPr="00E67C77">
          <w:rPr>
            <w:rStyle w:val="Hipersaitas"/>
            <w:sz w:val="18"/>
            <w:szCs w:val="18"/>
            <w:lang w:val="lt-LT"/>
          </w:rPr>
          <w:t xml:space="preserve">Case C-364/92 </w:t>
        </w:r>
        <w:r w:rsidRPr="00E67C77">
          <w:rPr>
            <w:rStyle w:val="Hipersaitas"/>
            <w:i/>
            <w:iCs/>
            <w:sz w:val="18"/>
            <w:szCs w:val="18"/>
            <w:lang w:val="lt-LT"/>
          </w:rPr>
          <w:t xml:space="preserve">SAT </w:t>
        </w:r>
        <w:r w:rsidRPr="00E67C77">
          <w:rPr>
            <w:rStyle w:val="Hipersaitas"/>
            <w:sz w:val="18"/>
            <w:szCs w:val="18"/>
            <w:lang w:val="lt-LT"/>
          </w:rPr>
          <w:t>[1994] ECR I-43, para. 30.</w:t>
        </w:r>
      </w:hyperlink>
    </w:p>
  </w:footnote>
  <w:footnote w:id="133">
    <w:p w14:paraId="2C489903" w14:textId="77777777" w:rsidR="00A65A8D" w:rsidRPr="001554CF" w:rsidRDefault="00A65A8D" w:rsidP="00EF6FC0">
      <w:pPr>
        <w:autoSpaceDE w:val="0"/>
        <w:autoSpaceDN w:val="0"/>
        <w:adjustRightInd w:val="0"/>
        <w:spacing w:after="0" w:line="240" w:lineRule="auto"/>
        <w:jc w:val="both"/>
        <w:rPr>
          <w:rStyle w:val="Hipersaitas"/>
          <w:rFonts w:ascii="Georgia" w:hAnsi="Georgia" w:cs="Times New Roman"/>
          <w:sz w:val="18"/>
          <w:szCs w:val="18"/>
          <w:lang w:val="lt-LT"/>
        </w:rPr>
      </w:pPr>
      <w:r w:rsidRPr="00E67C77">
        <w:rPr>
          <w:rStyle w:val="Puslapioinaosnuoroda"/>
          <w:lang w:val="lt-LT"/>
        </w:rPr>
        <w:footnoteRef/>
      </w:r>
      <w:r w:rsidRPr="00E67C77">
        <w:rPr>
          <w:lang w:val="lt-LT"/>
        </w:rPr>
        <w:t xml:space="preserve"> </w:t>
      </w:r>
      <w:hyperlink r:id="rId48" w:history="1">
        <w:r w:rsidRPr="00FB240F">
          <w:rPr>
            <w:rStyle w:val="Hipersaitas"/>
            <w:rFonts w:ascii="Georgia" w:hAnsi="Georgia" w:cs="Times New Roman"/>
            <w:sz w:val="18"/>
            <w:szCs w:val="18"/>
            <w:lang w:val="lt-LT"/>
          </w:rPr>
          <w:t xml:space="preserve">Case C-403/10 </w:t>
        </w:r>
        <w:r w:rsidRPr="00FB240F">
          <w:rPr>
            <w:rStyle w:val="Hipersaitas"/>
            <w:rFonts w:ascii="Georgia" w:hAnsi="Georgia" w:cs="Times New Roman"/>
            <w:i/>
            <w:iCs/>
            <w:sz w:val="18"/>
            <w:szCs w:val="18"/>
            <w:lang w:val="lt-LT"/>
          </w:rPr>
          <w:t xml:space="preserve">Mediaset SpA v Commission </w:t>
        </w:r>
        <w:r w:rsidRPr="00FB240F">
          <w:rPr>
            <w:rStyle w:val="Hipersaitas"/>
            <w:rFonts w:ascii="Georgia" w:hAnsi="Georgia" w:cs="Times New Roman"/>
            <w:sz w:val="18"/>
            <w:szCs w:val="18"/>
            <w:lang w:val="lt-LT"/>
          </w:rPr>
          <w:t>[2011] ECR I-117, para. 73-77</w:t>
        </w:r>
      </w:hyperlink>
      <w:r w:rsidRPr="00B76111">
        <w:rPr>
          <w:rFonts w:ascii="Georgia" w:hAnsi="Georgia" w:cs="Times New Roman"/>
          <w:sz w:val="18"/>
          <w:szCs w:val="18"/>
          <w:lang w:val="lt-LT"/>
        </w:rPr>
        <w:t xml:space="preserve">; </w:t>
      </w:r>
      <w:r w:rsidRPr="001554CF">
        <w:rPr>
          <w:rFonts w:ascii="Georgia" w:hAnsi="Georgia" w:cs="Times New Roman"/>
          <w:sz w:val="18"/>
          <w:szCs w:val="18"/>
          <w:lang w:val="lt-LT"/>
        </w:rPr>
        <w:fldChar w:fldCharType="begin"/>
      </w:r>
      <w:r w:rsidRPr="00FB240F">
        <w:rPr>
          <w:rFonts w:ascii="Georgia" w:hAnsi="Georgia" w:cs="Times New Roman"/>
          <w:sz w:val="18"/>
          <w:szCs w:val="18"/>
          <w:lang w:val="lt-LT"/>
        </w:rPr>
        <w:instrText xml:space="preserve"> HYPERLINK "http://curia.europa.eu/juris/showPdf.jsf?text=&amp;docid=47413&amp;pageIndex=0&amp;doclang=EN&amp;mode=lst&amp;dir=&amp;occ=first&amp;part=1&amp;cid=86984" </w:instrText>
      </w:r>
      <w:r w:rsidRPr="001554CF">
        <w:rPr>
          <w:rFonts w:ascii="Georgia" w:hAnsi="Georgia" w:cs="Times New Roman"/>
          <w:sz w:val="18"/>
          <w:szCs w:val="18"/>
          <w:lang w:val="lt-LT"/>
        </w:rPr>
        <w:fldChar w:fldCharType="separate"/>
      </w:r>
      <w:r w:rsidRPr="001554CF">
        <w:rPr>
          <w:rStyle w:val="Hipersaitas"/>
          <w:rFonts w:ascii="Georgia" w:hAnsi="Georgia" w:cs="Times New Roman"/>
          <w:sz w:val="18"/>
          <w:szCs w:val="18"/>
          <w:lang w:val="lt-LT"/>
        </w:rPr>
        <w:t>Case C-382/99 Netherlands v</w:t>
      </w:r>
    </w:p>
    <w:p w14:paraId="7822C5C1" w14:textId="77777777" w:rsidR="00A65A8D" w:rsidRPr="00B76111" w:rsidRDefault="00A65A8D" w:rsidP="00EF6FC0">
      <w:pPr>
        <w:autoSpaceDE w:val="0"/>
        <w:autoSpaceDN w:val="0"/>
        <w:adjustRightInd w:val="0"/>
        <w:spacing w:after="0" w:line="240" w:lineRule="auto"/>
        <w:jc w:val="both"/>
        <w:rPr>
          <w:rFonts w:ascii="Georgia" w:hAnsi="Georgia"/>
          <w:sz w:val="18"/>
          <w:szCs w:val="18"/>
          <w:lang w:val="lt-LT"/>
        </w:rPr>
      </w:pPr>
      <w:r w:rsidRPr="00FB240F">
        <w:rPr>
          <w:rStyle w:val="Hipersaitas"/>
          <w:rFonts w:ascii="Georgia" w:hAnsi="Georgia" w:cs="Times New Roman"/>
          <w:sz w:val="18"/>
          <w:szCs w:val="18"/>
          <w:lang w:val="lt-LT"/>
        </w:rPr>
        <w:t>Commission [2002] ECR I-5163, para. 60-66</w:t>
      </w:r>
      <w:r w:rsidRPr="001554CF">
        <w:rPr>
          <w:rFonts w:ascii="Georgia" w:hAnsi="Georgia" w:cs="Times New Roman"/>
          <w:sz w:val="18"/>
          <w:szCs w:val="18"/>
          <w:lang w:val="lt-LT"/>
        </w:rPr>
        <w:fldChar w:fldCharType="end"/>
      </w:r>
    </w:p>
  </w:footnote>
  <w:footnote w:id="134">
    <w:p w14:paraId="690969C2" w14:textId="77777777" w:rsidR="00A65A8D" w:rsidRPr="00B76111" w:rsidRDefault="00A65A8D" w:rsidP="00EF6FC0">
      <w:pPr>
        <w:pStyle w:val="Puslapioinaostekstas"/>
        <w:jc w:val="both"/>
        <w:rPr>
          <w:sz w:val="18"/>
          <w:szCs w:val="18"/>
          <w:lang w:val="lt-LT"/>
        </w:rPr>
      </w:pPr>
      <w:r w:rsidRPr="00E67C77">
        <w:rPr>
          <w:rStyle w:val="Puslapioinaosnuoroda"/>
          <w:sz w:val="18"/>
          <w:szCs w:val="18"/>
          <w:lang w:val="lt-LT"/>
        </w:rPr>
        <w:footnoteRef/>
      </w:r>
      <w:r w:rsidRPr="00E67C77">
        <w:rPr>
          <w:sz w:val="18"/>
          <w:szCs w:val="18"/>
          <w:lang w:val="lt-LT"/>
        </w:rPr>
        <w:t xml:space="preserve"> </w:t>
      </w:r>
      <w:hyperlink r:id="rId49" w:history="1">
        <w:r w:rsidRPr="00FB240F">
          <w:rPr>
            <w:rStyle w:val="Hipersaitas"/>
            <w:sz w:val="18"/>
            <w:szCs w:val="18"/>
            <w:lang w:val="lt-LT"/>
          </w:rPr>
          <w:t xml:space="preserve">Case T-379/09 </w:t>
        </w:r>
        <w:r w:rsidRPr="00FB240F">
          <w:rPr>
            <w:rStyle w:val="Hipersaitas"/>
            <w:i/>
            <w:iCs/>
            <w:sz w:val="18"/>
            <w:szCs w:val="18"/>
            <w:lang w:val="lt-LT"/>
          </w:rPr>
          <w:t xml:space="preserve">Italy v Commission </w:t>
        </w:r>
        <w:r w:rsidRPr="00FB240F">
          <w:rPr>
            <w:rStyle w:val="Hipersaitas"/>
            <w:sz w:val="18"/>
            <w:szCs w:val="18"/>
            <w:lang w:val="lt-LT"/>
          </w:rPr>
          <w:t>[2012] ECR I-0000</w:t>
        </w:r>
        <w:r w:rsidRPr="00FB240F">
          <w:rPr>
            <w:rStyle w:val="Hipersaitas"/>
            <w:i/>
            <w:iCs/>
            <w:sz w:val="18"/>
            <w:szCs w:val="18"/>
            <w:lang w:val="lt-LT"/>
          </w:rPr>
          <w:t xml:space="preserve">, </w:t>
        </w:r>
        <w:r w:rsidRPr="00FB240F">
          <w:rPr>
            <w:rStyle w:val="Hipersaitas"/>
            <w:sz w:val="18"/>
            <w:szCs w:val="18"/>
            <w:lang w:val="lt-LT"/>
          </w:rPr>
          <w:t>para. 47</w:t>
        </w:r>
      </w:hyperlink>
      <w:r w:rsidRPr="00B76111">
        <w:rPr>
          <w:sz w:val="18"/>
          <w:szCs w:val="18"/>
          <w:lang w:val="lt-LT"/>
        </w:rPr>
        <w:t>.</w:t>
      </w:r>
    </w:p>
  </w:footnote>
  <w:footnote w:id="135">
    <w:p w14:paraId="292B2001" w14:textId="77777777" w:rsidR="00A65A8D" w:rsidRPr="00B76111" w:rsidRDefault="00A65A8D" w:rsidP="00EF6FC0">
      <w:pPr>
        <w:pStyle w:val="Puslapioinaostekstas"/>
        <w:jc w:val="both"/>
        <w:rPr>
          <w:sz w:val="18"/>
          <w:szCs w:val="18"/>
          <w:lang w:val="lt-LT"/>
        </w:rPr>
      </w:pPr>
      <w:r w:rsidRPr="00E67C77">
        <w:rPr>
          <w:rStyle w:val="Puslapioinaosnuoroda"/>
          <w:sz w:val="18"/>
          <w:szCs w:val="18"/>
          <w:lang w:val="lt-LT"/>
        </w:rPr>
        <w:footnoteRef/>
      </w:r>
      <w:r w:rsidRPr="00E67C77">
        <w:rPr>
          <w:sz w:val="18"/>
          <w:szCs w:val="18"/>
          <w:lang w:val="lt-LT"/>
        </w:rPr>
        <w:t xml:space="preserve"> </w:t>
      </w:r>
      <w:hyperlink r:id="rId50" w:history="1">
        <w:r w:rsidRPr="00E67C77">
          <w:rPr>
            <w:rStyle w:val="Hipersaitas"/>
            <w:sz w:val="18"/>
            <w:szCs w:val="18"/>
            <w:lang w:val="lt-LT"/>
          </w:rPr>
          <w:t>Case C-6/12 P Oy [2013] ECR I-0000, para. 27</w:t>
        </w:r>
      </w:hyperlink>
    </w:p>
  </w:footnote>
  <w:footnote w:id="136">
    <w:p w14:paraId="767788BF" w14:textId="77777777" w:rsidR="00A65A8D" w:rsidRPr="00E67C77" w:rsidRDefault="00A65A8D" w:rsidP="00EF6FC0">
      <w:pPr>
        <w:pStyle w:val="Puslapioinaostekstas"/>
        <w:jc w:val="both"/>
        <w:rPr>
          <w:rStyle w:val="Hipersaitas"/>
          <w:sz w:val="18"/>
          <w:szCs w:val="18"/>
          <w:lang w:val="lt-LT"/>
        </w:rPr>
      </w:pPr>
      <w:r w:rsidRPr="00E67C77">
        <w:rPr>
          <w:rStyle w:val="Puslapioinaosnuoroda"/>
          <w:sz w:val="18"/>
          <w:szCs w:val="18"/>
          <w:lang w:val="lt-LT"/>
        </w:rPr>
        <w:footnoteRef/>
      </w:r>
      <w:r w:rsidRPr="00E67C77">
        <w:rPr>
          <w:sz w:val="18"/>
          <w:szCs w:val="18"/>
          <w:lang w:val="lt-LT"/>
        </w:rPr>
        <w:t xml:space="preserve"> </w:t>
      </w:r>
      <w:hyperlink r:id="rId51" w:history="1">
        <w:r w:rsidRPr="00E67C77">
          <w:rPr>
            <w:rStyle w:val="Hipersaitas"/>
            <w:sz w:val="18"/>
            <w:szCs w:val="18"/>
            <w:lang w:val="lt-LT"/>
          </w:rPr>
          <w:t>Case C-279/08 P Commission v Netherlands (NOx) [2011] ECR I-7671, para. 62</w:t>
        </w:r>
      </w:hyperlink>
      <w:r w:rsidRPr="00E67C77">
        <w:rPr>
          <w:sz w:val="18"/>
          <w:szCs w:val="18"/>
          <w:lang w:val="lt-LT"/>
        </w:rPr>
        <w:t xml:space="preserve">; </w:t>
      </w:r>
      <w:r w:rsidRPr="00E67C77">
        <w:rPr>
          <w:sz w:val="18"/>
          <w:szCs w:val="18"/>
          <w:lang w:val="lt-LT"/>
        </w:rPr>
        <w:fldChar w:fldCharType="begin"/>
      </w:r>
      <w:r w:rsidRPr="00E67C77">
        <w:rPr>
          <w:sz w:val="18"/>
          <w:szCs w:val="18"/>
          <w:lang w:val="lt-LT"/>
        </w:rPr>
        <w:instrText xml:space="preserve"> HYPERLINK "http://curia.europa.eu/juris/showPdf.jsf?text=&amp;docid=97777&amp;pageIndex=0&amp;doclang=EN&amp;mode=lst&amp;dir=&amp;occ=first&amp;part=1&amp;cid=89019" </w:instrText>
      </w:r>
      <w:r w:rsidRPr="00E67C77">
        <w:rPr>
          <w:sz w:val="18"/>
          <w:szCs w:val="18"/>
          <w:lang w:val="lt-LT"/>
        </w:rPr>
        <w:fldChar w:fldCharType="separate"/>
      </w:r>
      <w:r w:rsidRPr="00E67C77">
        <w:rPr>
          <w:rStyle w:val="Hipersaitas"/>
          <w:sz w:val="18"/>
          <w:szCs w:val="18"/>
          <w:lang w:val="lt-LT"/>
        </w:rPr>
        <w:t>Joined Cases C-72/91 and</w:t>
      </w:r>
    </w:p>
    <w:p w14:paraId="62C6050A" w14:textId="77777777" w:rsidR="00A65A8D" w:rsidRPr="00B76111" w:rsidRDefault="00A65A8D" w:rsidP="00EF6FC0">
      <w:pPr>
        <w:pStyle w:val="Puslapioinaostekstas"/>
        <w:jc w:val="both"/>
        <w:rPr>
          <w:lang w:val="lt-LT"/>
        </w:rPr>
      </w:pPr>
      <w:r w:rsidRPr="00E67C77">
        <w:rPr>
          <w:rStyle w:val="Hipersaitas"/>
          <w:sz w:val="18"/>
          <w:szCs w:val="18"/>
          <w:lang w:val="lt-LT"/>
        </w:rPr>
        <w:t>C-73/91 Sloman Neptun [1993] ECR I-887, para. 21</w:t>
      </w:r>
      <w:r w:rsidRPr="00E67C77">
        <w:rPr>
          <w:sz w:val="18"/>
          <w:szCs w:val="18"/>
          <w:lang w:val="lt-LT"/>
        </w:rPr>
        <w:fldChar w:fldCharType="end"/>
      </w:r>
    </w:p>
  </w:footnote>
  <w:footnote w:id="137">
    <w:p w14:paraId="61BC41FF" w14:textId="77777777" w:rsidR="00A65A8D" w:rsidRPr="00B76111" w:rsidRDefault="00A65A8D" w:rsidP="00EF6FC0">
      <w:pPr>
        <w:pStyle w:val="Puslapioinaostekstas"/>
        <w:rPr>
          <w:sz w:val="18"/>
          <w:szCs w:val="18"/>
          <w:lang w:val="lt-LT"/>
        </w:rPr>
      </w:pPr>
      <w:r w:rsidRPr="00E67C77">
        <w:rPr>
          <w:rStyle w:val="Puslapioinaosnuoroda"/>
          <w:sz w:val="18"/>
          <w:szCs w:val="18"/>
          <w:lang w:val="lt-LT"/>
        </w:rPr>
        <w:footnoteRef/>
      </w:r>
      <w:r w:rsidRPr="00E67C77">
        <w:rPr>
          <w:sz w:val="18"/>
          <w:szCs w:val="18"/>
          <w:lang w:val="lt-LT"/>
        </w:rPr>
        <w:t xml:space="preserve"> </w:t>
      </w:r>
      <w:hyperlink r:id="rId52" w:history="1">
        <w:r w:rsidRPr="00E67C77">
          <w:rPr>
            <w:rStyle w:val="Hipersaitas"/>
            <w:sz w:val="18"/>
            <w:szCs w:val="18"/>
            <w:lang w:val="lt-LT"/>
          </w:rPr>
          <w:t>Case C-280/00 Altmark Trans [2003] ECR I-7747, para. 79</w:t>
        </w:r>
      </w:hyperlink>
    </w:p>
  </w:footnote>
  <w:footnote w:id="138">
    <w:p w14:paraId="0E3CCD06" w14:textId="77777777" w:rsidR="00A65A8D" w:rsidRPr="001554CF" w:rsidRDefault="00A65A8D" w:rsidP="00EF6FC0">
      <w:pPr>
        <w:pStyle w:val="Puslapioinaostekstas"/>
        <w:rPr>
          <w:lang w:val="lt-LT"/>
        </w:rPr>
      </w:pPr>
      <w:r w:rsidRPr="00E67C77">
        <w:rPr>
          <w:rStyle w:val="Puslapioinaosnuoroda"/>
          <w:sz w:val="18"/>
          <w:szCs w:val="18"/>
          <w:lang w:val="lt-LT"/>
        </w:rPr>
        <w:footnoteRef/>
      </w:r>
      <w:r w:rsidRPr="00E67C77">
        <w:rPr>
          <w:sz w:val="18"/>
          <w:szCs w:val="18"/>
          <w:lang w:val="lt-LT"/>
        </w:rPr>
        <w:t xml:space="preserve"> </w:t>
      </w:r>
      <w:r w:rsidRPr="00B76111">
        <w:rPr>
          <w:sz w:val="18"/>
          <w:szCs w:val="18"/>
          <w:lang w:val="lt-LT"/>
        </w:rPr>
        <w:t>Bendrųjų nuostatų reglamento 2 str. 1 d. 13 p.</w:t>
      </w:r>
    </w:p>
  </w:footnote>
  <w:footnote w:id="139">
    <w:p w14:paraId="4D921C8C" w14:textId="77777777" w:rsidR="00A65A8D" w:rsidRPr="00E67C77" w:rsidRDefault="00A65A8D" w:rsidP="00EF6FC0">
      <w:pPr>
        <w:pStyle w:val="Puslapioinaostekstas"/>
        <w:rPr>
          <w:lang w:val="lt-LT"/>
        </w:rPr>
      </w:pPr>
      <w:r w:rsidRPr="00E67C77">
        <w:rPr>
          <w:rStyle w:val="Puslapioinaosnuoroda"/>
          <w:lang w:val="lt-LT"/>
        </w:rPr>
        <w:footnoteRef/>
      </w:r>
      <w:r w:rsidRPr="00E67C77">
        <w:rPr>
          <w:lang w:val="lt-LT"/>
        </w:rPr>
        <w:t xml:space="preserve"> </w:t>
      </w:r>
      <w:r w:rsidRPr="00B76111">
        <w:rPr>
          <w:lang w:val="lt-LT"/>
        </w:rPr>
        <w:t>Lietuv</w:t>
      </w:r>
      <w:r w:rsidRPr="001554CF">
        <w:rPr>
          <w:lang w:val="lt-LT"/>
        </w:rPr>
        <w:t xml:space="preserve">ai nuo 2014-11-01 yra taikomas 0,55 </w:t>
      </w:r>
      <w:r w:rsidRPr="00E67C77">
        <w:rPr>
          <w:lang w:val="lt-LT"/>
        </w:rPr>
        <w:t xml:space="preserve">% IBOR. // </w:t>
      </w:r>
      <w:hyperlink r:id="rId53" w:history="1">
        <w:r w:rsidRPr="00E67C77">
          <w:rPr>
            <w:rStyle w:val="Hipersaitas"/>
            <w:lang w:val="lt-LT"/>
          </w:rPr>
          <w:t>http://ec.europa.eu/competition/state_aid/legislation/base_rates_eu28bis_en.pdf</w:t>
        </w:r>
      </w:hyperlink>
      <w:r w:rsidRPr="00E67C77">
        <w:rPr>
          <w:lang w:val="lt-LT"/>
        </w:rPr>
        <w:t xml:space="preserve"> </w:t>
      </w:r>
    </w:p>
  </w:footnote>
  <w:footnote w:id="140">
    <w:p w14:paraId="795DF7A1" w14:textId="77777777" w:rsidR="00A65A8D" w:rsidRPr="00B76111" w:rsidRDefault="00A65A8D" w:rsidP="00EF6FC0">
      <w:pPr>
        <w:pStyle w:val="Puslapioinaostekstas"/>
        <w:rPr>
          <w:lang w:val="lt-LT"/>
        </w:rPr>
      </w:pPr>
      <w:r w:rsidRPr="00E67C77">
        <w:rPr>
          <w:rStyle w:val="Puslapioinaosnuoroda"/>
          <w:lang w:val="lt-LT"/>
        </w:rPr>
        <w:footnoteRef/>
      </w:r>
      <w:r w:rsidRPr="00E67C77">
        <w:rPr>
          <w:lang w:val="lt-LT"/>
        </w:rPr>
        <w:t xml:space="preserve"> </w:t>
      </w:r>
      <w:r w:rsidRPr="00B76111">
        <w:rPr>
          <w:lang w:val="lt-LT"/>
        </w:rPr>
        <w:t>Lietuvai nuo 2014-11-01 yra ta</w:t>
      </w:r>
      <w:r w:rsidRPr="001554CF">
        <w:rPr>
          <w:lang w:val="lt-LT"/>
        </w:rPr>
        <w:t xml:space="preserve">ikomas 0,55 </w:t>
      </w:r>
      <w:r w:rsidRPr="00E67C77">
        <w:rPr>
          <w:lang w:val="lt-LT"/>
        </w:rPr>
        <w:t xml:space="preserve">% IBOR. // </w:t>
      </w:r>
      <w:hyperlink r:id="rId54" w:history="1">
        <w:r w:rsidRPr="00E67C77">
          <w:rPr>
            <w:rStyle w:val="Hipersaitas"/>
            <w:lang w:val="lt-LT"/>
          </w:rPr>
          <w:t>http://ec.europa.eu/competition/state_aid/legislation/base_rates_eu28bis_en.pdf</w:t>
        </w:r>
      </w:hyperlink>
    </w:p>
  </w:footnote>
  <w:footnote w:id="141">
    <w:p w14:paraId="24F1D459" w14:textId="77777777" w:rsidR="00A65A8D" w:rsidRPr="00E67C77" w:rsidRDefault="00A65A8D" w:rsidP="00EF6FC0">
      <w:pPr>
        <w:pStyle w:val="Puslapioinaostekstas"/>
        <w:rPr>
          <w:lang w:val="lt-LT"/>
        </w:rPr>
      </w:pPr>
      <w:r w:rsidRPr="00E67C77">
        <w:rPr>
          <w:rStyle w:val="Puslapioinaosnuoroda"/>
          <w:lang w:val="lt-LT"/>
        </w:rPr>
        <w:footnoteRef/>
      </w:r>
      <w:r w:rsidRPr="00E67C77">
        <w:rPr>
          <w:lang w:val="lt-LT"/>
        </w:rPr>
        <w:t xml:space="preserve"> </w:t>
      </w:r>
      <w:r w:rsidRPr="00B76111">
        <w:rPr>
          <w:lang w:val="lt-LT"/>
        </w:rPr>
        <w:t xml:space="preserve">Lietuvai nuo 2014-11-01 yra taikomas 0,55 </w:t>
      </w:r>
      <w:r w:rsidRPr="00E67C77">
        <w:rPr>
          <w:lang w:val="lt-LT"/>
        </w:rPr>
        <w:t xml:space="preserve">% IBOR. // </w:t>
      </w:r>
      <w:hyperlink r:id="rId55" w:history="1">
        <w:r w:rsidRPr="00E67C77">
          <w:rPr>
            <w:rStyle w:val="Hipersaitas"/>
            <w:lang w:val="lt-LT"/>
          </w:rPr>
          <w:t>http://ec.europa.eu/competition/state_aid/legislation/base_rates_eu28bis_en.pdf</w:t>
        </w:r>
      </w:hyperlink>
      <w:r w:rsidRPr="00E67C77">
        <w:rPr>
          <w:lang w:val="lt-LT"/>
        </w:rPr>
        <w:t xml:space="preserve"> </w:t>
      </w:r>
    </w:p>
  </w:footnote>
  <w:footnote w:id="142">
    <w:p w14:paraId="6C6C33B8" w14:textId="77777777" w:rsidR="00A65A8D" w:rsidRPr="00B76111" w:rsidRDefault="00A65A8D" w:rsidP="00EF6FC0">
      <w:pPr>
        <w:pStyle w:val="Puslapioinaostekstas"/>
        <w:rPr>
          <w:lang w:val="lt-LT"/>
        </w:rPr>
      </w:pPr>
      <w:r w:rsidRPr="00E67C77">
        <w:rPr>
          <w:rStyle w:val="Puslapioinaosnuoroda"/>
          <w:lang w:val="lt-LT"/>
        </w:rPr>
        <w:footnoteRef/>
      </w:r>
      <w:r w:rsidRPr="00E67C77">
        <w:rPr>
          <w:lang w:val="lt-LT"/>
        </w:rPr>
        <w:t xml:space="preserve"> </w:t>
      </w:r>
      <w:r w:rsidRPr="00B76111">
        <w:rPr>
          <w:lang w:val="lt-LT"/>
        </w:rPr>
        <w:t xml:space="preserve">Lietuvai nuo 2014-11-01 yra taikomas 0,55 </w:t>
      </w:r>
      <w:r w:rsidRPr="00E67C77">
        <w:rPr>
          <w:lang w:val="lt-LT"/>
        </w:rPr>
        <w:t xml:space="preserve">% IBOR. // </w:t>
      </w:r>
      <w:hyperlink r:id="rId56" w:history="1">
        <w:r w:rsidRPr="00E67C77">
          <w:rPr>
            <w:rStyle w:val="Hipersaitas"/>
            <w:lang w:val="lt-LT"/>
          </w:rPr>
          <w:t>http://ec.europa.eu/competition/state_aid/legislation/base_rates_eu28bis_en.pdf</w:t>
        </w:r>
      </w:hyperlink>
    </w:p>
  </w:footnote>
  <w:footnote w:id="143">
    <w:p w14:paraId="0E090E6F" w14:textId="77777777" w:rsidR="00A65A8D" w:rsidRPr="00FB240F" w:rsidRDefault="00A65A8D" w:rsidP="00EF6FC0">
      <w:pPr>
        <w:pStyle w:val="Puslapioinaostekstas"/>
        <w:rPr>
          <w:lang w:val="lt-LT"/>
        </w:rPr>
      </w:pPr>
      <w:r w:rsidRPr="00E67C77">
        <w:rPr>
          <w:rStyle w:val="Puslapioinaosnuoroda"/>
          <w:lang w:val="lt-LT"/>
        </w:rPr>
        <w:footnoteRef/>
      </w:r>
      <w:r w:rsidRPr="00B76111">
        <w:rPr>
          <w:lang w:val="lt-LT"/>
        </w:rPr>
        <w:t xml:space="preserve"> Komisijos pranešim</w:t>
      </w:r>
      <w:r w:rsidRPr="001554CF">
        <w:rPr>
          <w:lang w:val="lt-LT"/>
        </w:rPr>
        <w:t>o</w:t>
      </w:r>
      <w:r w:rsidRPr="00FB240F">
        <w:rPr>
          <w:lang w:val="lt-LT"/>
        </w:rPr>
        <w:t xml:space="preserve"> dėl EB sutarties 87 ir 88 straipsnių taikymo garantijomis suteikiamai valstybės pagalbai 3.4 p. f) p.</w:t>
      </w:r>
    </w:p>
  </w:footnote>
  <w:footnote w:id="144">
    <w:p w14:paraId="0C7B8415" w14:textId="77777777" w:rsidR="00A65A8D" w:rsidRPr="00E67C77" w:rsidRDefault="00A65A8D" w:rsidP="00A27CDB">
      <w:pPr>
        <w:pStyle w:val="Puslapioinaostekstas"/>
        <w:rPr>
          <w:lang w:val="lt-LT"/>
        </w:rPr>
      </w:pPr>
      <w:r w:rsidRPr="00E67C77">
        <w:rPr>
          <w:rStyle w:val="Puslapioinaosnuoroda"/>
          <w:lang w:val="lt-LT"/>
        </w:rPr>
        <w:footnoteRef/>
      </w:r>
      <w:r w:rsidRPr="00E67C77">
        <w:rPr>
          <w:lang w:val="lt-LT"/>
        </w:rPr>
        <w:t xml:space="preserve"> </w:t>
      </w:r>
      <w:r w:rsidRPr="00B76111">
        <w:rPr>
          <w:lang w:val="lt-LT"/>
        </w:rPr>
        <w:t xml:space="preserve">Lietuvai nuo 2014-11-01 yra taikomas 0,55 </w:t>
      </w:r>
      <w:r w:rsidRPr="00E67C77">
        <w:rPr>
          <w:lang w:val="lt-LT"/>
        </w:rPr>
        <w:t xml:space="preserve">% IBOR. // </w:t>
      </w:r>
      <w:hyperlink r:id="rId57" w:history="1">
        <w:r w:rsidRPr="00E67C77">
          <w:rPr>
            <w:rStyle w:val="Hipersaitas"/>
            <w:lang w:val="lt-LT"/>
          </w:rPr>
          <w:t>http://ec.europa.eu/competition/state_aid/legislation/base_rates_eu28bis_en.pdf</w:t>
        </w:r>
      </w:hyperlink>
      <w:r w:rsidRPr="00E67C77">
        <w:rPr>
          <w:lang w:val="lt-LT"/>
        </w:rPr>
        <w:t xml:space="preserve"> </w:t>
      </w:r>
    </w:p>
  </w:footnote>
  <w:footnote w:id="145">
    <w:p w14:paraId="7986BF3D" w14:textId="77777777" w:rsidR="00A65A8D" w:rsidRPr="00B76111" w:rsidRDefault="00A65A8D" w:rsidP="00A27CDB">
      <w:pPr>
        <w:pStyle w:val="Puslapioinaostekstas"/>
        <w:rPr>
          <w:lang w:val="lt-LT"/>
        </w:rPr>
      </w:pPr>
      <w:r w:rsidRPr="00E67C77">
        <w:rPr>
          <w:rStyle w:val="Puslapioinaosnuoroda"/>
          <w:lang w:val="lt-LT"/>
        </w:rPr>
        <w:footnoteRef/>
      </w:r>
      <w:r w:rsidRPr="00E67C77">
        <w:rPr>
          <w:lang w:val="lt-LT"/>
        </w:rPr>
        <w:t xml:space="preserve"> </w:t>
      </w:r>
      <w:r w:rsidRPr="00B76111">
        <w:rPr>
          <w:lang w:val="lt-LT"/>
        </w:rPr>
        <w:t>Liet</w:t>
      </w:r>
      <w:r w:rsidRPr="001554CF">
        <w:rPr>
          <w:lang w:val="lt-LT"/>
        </w:rPr>
        <w:t xml:space="preserve">uvai nuo 2014-11-01 yra taikomas 0,55 </w:t>
      </w:r>
      <w:r w:rsidRPr="00E67C77">
        <w:rPr>
          <w:lang w:val="lt-LT"/>
        </w:rPr>
        <w:t xml:space="preserve">% IBOR. // </w:t>
      </w:r>
      <w:hyperlink r:id="rId58" w:history="1">
        <w:r w:rsidRPr="00E67C77">
          <w:rPr>
            <w:rStyle w:val="Hipersaitas"/>
            <w:lang w:val="lt-LT"/>
          </w:rPr>
          <w:t>http://ec.europa.eu/competition/state_aid/legislation/base_rates_eu28bis_en.pdf</w:t>
        </w:r>
      </w:hyperlink>
    </w:p>
  </w:footnote>
  <w:footnote w:id="146">
    <w:p w14:paraId="41638E68" w14:textId="77777777" w:rsidR="00A65A8D" w:rsidRPr="00FB240F" w:rsidRDefault="00A65A8D" w:rsidP="00451BC7">
      <w:pPr>
        <w:pStyle w:val="Puslapioinaostekstas"/>
        <w:tabs>
          <w:tab w:val="clear" w:pos="360"/>
          <w:tab w:val="left" w:pos="0"/>
        </w:tabs>
        <w:ind w:left="0" w:firstLine="0"/>
        <w:jc w:val="both"/>
        <w:rPr>
          <w:lang w:val="lt-LT"/>
        </w:rPr>
      </w:pPr>
      <w:r w:rsidRPr="00B76111">
        <w:rPr>
          <w:rStyle w:val="Puslapioinaosnuoroda"/>
          <w:lang w:val="lt-LT"/>
        </w:rPr>
        <w:footnoteRef/>
      </w:r>
      <w:r w:rsidRPr="00B76111">
        <w:rPr>
          <w:lang w:val="lt-LT"/>
        </w:rPr>
        <w:t xml:space="preserve"> </w:t>
      </w:r>
      <w:r w:rsidRPr="001554CF">
        <w:rPr>
          <w:lang w:val="lt-LT"/>
        </w:rPr>
        <w:t>Atlikti interviu su G. Tautku</w:t>
      </w:r>
      <w:r w:rsidRPr="00FB240F">
        <w:rPr>
          <w:lang w:val="lt-LT"/>
        </w:rPr>
        <w:t>te, Būsto energijos taupymo agentūros direktoriaus pavaduotoja; J. Bumelyte, Europos investicijų banko atstove Lietuvoje; I. Kiškiu, LR Aplinkos ministerijos Europos Sąjungos paramos administravimo departamento direktoriumi.</w:t>
      </w:r>
    </w:p>
  </w:footnote>
  <w:footnote w:id="147">
    <w:p w14:paraId="235B0061" w14:textId="77777777" w:rsidR="00A65A8D" w:rsidRPr="00FB240F" w:rsidRDefault="00A65A8D" w:rsidP="00451BC7">
      <w:pPr>
        <w:pStyle w:val="Puslapioinaostekstas"/>
        <w:tabs>
          <w:tab w:val="clear" w:pos="360"/>
          <w:tab w:val="left" w:pos="0"/>
        </w:tabs>
        <w:ind w:left="0" w:firstLine="0"/>
        <w:jc w:val="both"/>
        <w:rPr>
          <w:lang w:val="lt-LT"/>
        </w:rPr>
      </w:pPr>
      <w:r w:rsidRPr="00B76111">
        <w:rPr>
          <w:rStyle w:val="Puslapioinaosnuoroda"/>
          <w:lang w:val="lt-LT"/>
        </w:rPr>
        <w:footnoteRef/>
      </w:r>
      <w:r w:rsidRPr="00B76111">
        <w:rPr>
          <w:lang w:val="lt-LT"/>
        </w:rPr>
        <w:t xml:space="preserve"> DG REGIO Summary of data on t</w:t>
      </w:r>
      <w:r w:rsidRPr="001554CF">
        <w:rPr>
          <w:lang w:val="lt-LT"/>
        </w:rPr>
        <w:t>he progress made in financing and implementing financial engineering instruments reported by the managing authorities in accordance with Article 67(2)(j) of Council Regulation (EC) No 1083/2006 Programming period 2007-2013 Situation as at 31 December 2012,</w:t>
      </w:r>
      <w:r w:rsidRPr="00FB240F">
        <w:rPr>
          <w:lang w:val="lt-LT"/>
        </w:rPr>
        <w:t xml:space="preserve"> 19/09/2013 COCOF_13-0093-00-EN</w:t>
      </w:r>
    </w:p>
  </w:footnote>
  <w:footnote w:id="148">
    <w:p w14:paraId="752A3F7C" w14:textId="77777777" w:rsidR="00A65A8D" w:rsidRPr="00FB240F" w:rsidRDefault="00A65A8D" w:rsidP="00451BC7">
      <w:pPr>
        <w:pStyle w:val="Puslapioinaostekstas"/>
        <w:jc w:val="both"/>
        <w:rPr>
          <w:lang w:val="lt-LT"/>
        </w:rPr>
      </w:pPr>
      <w:r w:rsidRPr="00B76111">
        <w:rPr>
          <w:rStyle w:val="Puslapioinaosnuoroda"/>
          <w:lang w:val="lt-LT"/>
        </w:rPr>
        <w:footnoteRef/>
      </w:r>
      <w:r w:rsidRPr="00B76111">
        <w:rPr>
          <w:lang w:val="lt-LT"/>
        </w:rPr>
        <w:t xml:space="preserve"> </w:t>
      </w:r>
      <w:r w:rsidRPr="001554CF">
        <w:rPr>
          <w:lang w:val="lt-LT"/>
        </w:rPr>
        <w:t>Energijos efektyvumą/atsinaujinančius energijos išteklius finansuojančios priemonės kaip atskira grupė išskirtos tik 2010 m.</w:t>
      </w:r>
      <w:r w:rsidRPr="00FB240F">
        <w:rPr>
          <w:rFonts w:ascii="Arial" w:hAnsi="Arial" w:cs="Arial"/>
          <w:bCs/>
          <w:lang w:val="lt-LT"/>
        </w:rPr>
        <w:t xml:space="preserve"> </w:t>
      </w:r>
    </w:p>
  </w:footnote>
  <w:footnote w:id="149">
    <w:p w14:paraId="70D2655D" w14:textId="77777777" w:rsidR="00A65A8D" w:rsidRPr="001554CF" w:rsidRDefault="00A65A8D" w:rsidP="00451BC7">
      <w:pPr>
        <w:pStyle w:val="Puslapioinaostekstas"/>
        <w:rPr>
          <w:lang w:val="lt-LT"/>
        </w:rPr>
      </w:pPr>
      <w:r w:rsidRPr="00B76111">
        <w:rPr>
          <w:rStyle w:val="Puslapioinaosnuoroda"/>
          <w:lang w:val="lt-LT"/>
        </w:rPr>
        <w:footnoteRef/>
      </w:r>
      <w:r w:rsidRPr="00B76111">
        <w:rPr>
          <w:lang w:val="lt-LT"/>
        </w:rPr>
        <w:t xml:space="preserve"> </w:t>
      </w:r>
      <w:r w:rsidRPr="001554CF">
        <w:rPr>
          <w:lang w:val="lt-LT"/>
        </w:rPr>
        <w:t xml:space="preserve">2012 m. įsteigta 10 naujų finansinių priemonių. </w:t>
      </w:r>
    </w:p>
  </w:footnote>
  <w:footnote w:id="150">
    <w:p w14:paraId="5287A196" w14:textId="77777777" w:rsidR="00A65A8D" w:rsidRPr="00FB240F" w:rsidRDefault="00A65A8D" w:rsidP="00451BC7">
      <w:pPr>
        <w:pStyle w:val="Puslapioinaostekstas"/>
        <w:rPr>
          <w:lang w:val="lt-LT"/>
        </w:rPr>
      </w:pPr>
      <w:r w:rsidRPr="00B76111">
        <w:rPr>
          <w:rStyle w:val="Puslapioinaosnuoroda"/>
          <w:lang w:val="lt-LT"/>
        </w:rPr>
        <w:footnoteRef/>
      </w:r>
      <w:r w:rsidRPr="00B76111">
        <w:rPr>
          <w:lang w:val="lt-LT"/>
        </w:rPr>
        <w:t xml:space="preserve"> 2010 m. birželio 16 d. Europos Parlamento i</w:t>
      </w:r>
      <w:r w:rsidRPr="001554CF">
        <w:rPr>
          <w:lang w:val="lt-LT"/>
        </w:rPr>
        <w:t>r Tarybos reglamentas (ES) Nr. 539/2010 keičiantis Tarybos reglamentą Nr. 1083/2006 (OL 2010 L 158, p. 1).</w:t>
      </w:r>
    </w:p>
  </w:footnote>
  <w:footnote w:id="151">
    <w:p w14:paraId="384EDAA0" w14:textId="77777777" w:rsidR="00A65A8D" w:rsidRPr="001554CF" w:rsidRDefault="00A65A8D" w:rsidP="00451BC7">
      <w:pPr>
        <w:pStyle w:val="Puslapioinaostekstas"/>
        <w:rPr>
          <w:lang w:val="lt-LT"/>
        </w:rPr>
      </w:pPr>
      <w:r w:rsidRPr="00B76111">
        <w:rPr>
          <w:rStyle w:val="Puslapioinaosnuoroda"/>
          <w:lang w:val="lt-LT"/>
        </w:rPr>
        <w:footnoteRef/>
      </w:r>
      <w:r w:rsidRPr="00B76111">
        <w:rPr>
          <w:lang w:val="lt-LT"/>
        </w:rPr>
        <w:t xml:space="preserve"> Financial Instruments: A Stock-taking Exercise in Preparation for the 2014-2020 Programming Period Study, EIB, 2013</w:t>
      </w:r>
    </w:p>
  </w:footnote>
  <w:footnote w:id="152">
    <w:p w14:paraId="4425EB84" w14:textId="77777777" w:rsidR="00A65A8D" w:rsidRPr="001554CF" w:rsidRDefault="00A65A8D" w:rsidP="00451BC7">
      <w:pPr>
        <w:pStyle w:val="Puslapioinaostekstas"/>
        <w:rPr>
          <w:lang w:val="lt-LT"/>
        </w:rPr>
      </w:pPr>
      <w:r w:rsidRPr="00B76111">
        <w:rPr>
          <w:rStyle w:val="Puslapioinaosnuoroda"/>
          <w:lang w:val="lt-LT"/>
        </w:rPr>
        <w:footnoteRef/>
      </w:r>
      <w:r w:rsidRPr="00B76111">
        <w:rPr>
          <w:lang w:val="lt-LT"/>
        </w:rPr>
        <w:t xml:space="preserve"> </w:t>
      </w:r>
      <w:r w:rsidRPr="001554CF">
        <w:rPr>
          <w:lang w:val="lt-LT"/>
        </w:rPr>
        <w:t>Penki per 2012 metus</w:t>
      </w:r>
    </w:p>
  </w:footnote>
  <w:footnote w:id="153">
    <w:p w14:paraId="7DC8F40D" w14:textId="77777777" w:rsidR="00A65A8D" w:rsidRPr="00B76111" w:rsidRDefault="00A65A8D" w:rsidP="00451BC7">
      <w:pPr>
        <w:pStyle w:val="Puslapioinaostekstas"/>
        <w:rPr>
          <w:lang w:val="lt-LT"/>
        </w:rPr>
      </w:pPr>
      <w:r w:rsidRPr="00E67C77">
        <w:rPr>
          <w:rStyle w:val="Puslapioinaosnuoroda"/>
          <w:lang w:val="lt-LT"/>
        </w:rPr>
        <w:footnoteRef/>
      </w:r>
      <w:r w:rsidRPr="00E67C77">
        <w:rPr>
          <w:lang w:val="lt-LT"/>
        </w:rPr>
        <w:t xml:space="preserve"> European Commission, Summary of data on the progress made in financing and implementing financial engineering instruments co-financed by Structural Funds, Programming period 2007-2013 Situation as at 31 December 2012, September 2013</w:t>
      </w:r>
    </w:p>
  </w:footnote>
  <w:footnote w:id="154">
    <w:p w14:paraId="21479368" w14:textId="77777777" w:rsidR="00A65A8D" w:rsidRPr="001554CF" w:rsidRDefault="00A65A8D" w:rsidP="00451BC7">
      <w:pPr>
        <w:pStyle w:val="Puslapioinaostekstas"/>
        <w:rPr>
          <w:lang w:val="lt-LT"/>
        </w:rPr>
      </w:pPr>
      <w:r w:rsidRPr="00B76111">
        <w:rPr>
          <w:rStyle w:val="Puslapioinaosnuoroda"/>
          <w:lang w:val="lt-LT"/>
        </w:rPr>
        <w:footnoteRef/>
      </w:r>
      <w:r w:rsidRPr="00B76111">
        <w:rPr>
          <w:lang w:val="lt-LT"/>
        </w:rPr>
        <w:t xml:space="preserve"> </w:t>
      </w:r>
      <w:hyperlink r:id="rId59" w:history="1">
        <w:r w:rsidRPr="00FB240F">
          <w:rPr>
            <w:rStyle w:val="Hipersaitas"/>
            <w:lang w:val="lt-LT"/>
          </w:rPr>
          <w:t>http://www.europarl.europa.eu/meetdocs/2009_2014/documents/cont/dv/ecasr22012_/ecasr22012_en.pdf</w:t>
        </w:r>
      </w:hyperlink>
      <w:r w:rsidRPr="00B76111">
        <w:rPr>
          <w:lang w:val="lt-LT"/>
        </w:rPr>
        <w:t xml:space="preserve"> </w:t>
      </w:r>
    </w:p>
  </w:footnote>
  <w:footnote w:id="155">
    <w:p w14:paraId="51EEB9D9" w14:textId="77777777" w:rsidR="00A65A8D" w:rsidRPr="001554CF" w:rsidRDefault="00A65A8D" w:rsidP="00451BC7">
      <w:pPr>
        <w:pStyle w:val="Puslapioinaostekstas"/>
        <w:rPr>
          <w:lang w:val="lt-LT"/>
        </w:rPr>
      </w:pPr>
      <w:r w:rsidRPr="00B76111">
        <w:rPr>
          <w:rStyle w:val="Puslapioinaosnuoroda"/>
          <w:lang w:val="lt-LT"/>
        </w:rPr>
        <w:footnoteRef/>
      </w:r>
      <w:r w:rsidRPr="00B76111">
        <w:rPr>
          <w:lang w:val="lt-LT"/>
        </w:rPr>
        <w:t xml:space="preserve"> </w:t>
      </w:r>
      <w:hyperlink r:id="rId60" w:history="1">
        <w:r w:rsidRPr="00FB240F">
          <w:rPr>
            <w:rStyle w:val="Hipersaitas"/>
            <w:lang w:val="lt-LT"/>
          </w:rPr>
          <w:t>http://ec.europa.eu/regional_policy/sources/docoffic/official/communic/financial/financial_instruments_2012_en.pdf</w:t>
        </w:r>
      </w:hyperlink>
      <w:r w:rsidRPr="00B76111">
        <w:rPr>
          <w:lang w:val="lt-LT"/>
        </w:rPr>
        <w:t xml:space="preserve"> </w:t>
      </w:r>
    </w:p>
  </w:footnote>
  <w:footnote w:id="156">
    <w:p w14:paraId="4E5C9518" w14:textId="77777777" w:rsidR="00A65A8D" w:rsidRPr="00B76111" w:rsidRDefault="00A65A8D" w:rsidP="00451BC7">
      <w:pPr>
        <w:pStyle w:val="Puslapioinaostekstas"/>
        <w:rPr>
          <w:lang w:val="lt-LT"/>
        </w:rPr>
      </w:pPr>
      <w:r w:rsidRPr="00B76111">
        <w:rPr>
          <w:rStyle w:val="Puslapioinaosnuoroda"/>
          <w:lang w:val="lt-LT"/>
        </w:rPr>
        <w:footnoteRef/>
      </w:r>
      <w:r w:rsidRPr="00B76111">
        <w:rPr>
          <w:lang w:val="lt-LT"/>
        </w:rPr>
        <w:t xml:space="preserve"> </w:t>
      </w:r>
      <w:hyperlink r:id="rId61" w:history="1">
        <w:r w:rsidRPr="00FB240F">
          <w:rPr>
            <w:rStyle w:val="Hipersaitas"/>
            <w:lang w:val="lt-LT"/>
          </w:rPr>
          <w:t>http://www.eib.org/attachments/documents/jessica_fg_final_report_en.pdf</w:t>
        </w:r>
      </w:hyperlink>
      <w:r w:rsidRPr="00B76111">
        <w:rPr>
          <w:lang w:val="lt-LT"/>
        </w:rPr>
        <w:t xml:space="preserve"> </w:t>
      </w:r>
    </w:p>
  </w:footnote>
  <w:footnote w:id="157">
    <w:p w14:paraId="50D09CB3" w14:textId="77777777" w:rsidR="00A65A8D" w:rsidRPr="00B76111" w:rsidRDefault="00A65A8D" w:rsidP="00451BC7">
      <w:pPr>
        <w:pStyle w:val="Puslapioinaostekstas"/>
        <w:rPr>
          <w:lang w:val="lt-LT"/>
        </w:rPr>
      </w:pPr>
      <w:r w:rsidRPr="00B76111">
        <w:rPr>
          <w:rStyle w:val="Puslapioinaosnuoroda"/>
          <w:lang w:val="lt-LT"/>
        </w:rPr>
        <w:footnoteRef/>
      </w:r>
      <w:r w:rsidRPr="00B76111">
        <w:rPr>
          <w:lang w:val="lt-LT"/>
        </w:rPr>
        <w:t xml:space="preserve"> </w:t>
      </w:r>
      <w:hyperlink r:id="rId62" w:history="1">
        <w:r w:rsidRPr="00FB240F">
          <w:rPr>
            <w:rStyle w:val="Hipersaitas"/>
            <w:lang w:val="lt-LT"/>
          </w:rPr>
          <w:t>http://www.eib.org/attachments/documents/jessica_energy_focused_udf_final_report_en.pdf</w:t>
        </w:r>
      </w:hyperlink>
      <w:r w:rsidRPr="00B76111">
        <w:rPr>
          <w:lang w:val="lt-LT"/>
        </w:rPr>
        <w:t xml:space="preserve"> </w:t>
      </w:r>
    </w:p>
  </w:footnote>
  <w:footnote w:id="158">
    <w:p w14:paraId="6E1856D7" w14:textId="77777777" w:rsidR="00A65A8D" w:rsidRPr="00B76111" w:rsidRDefault="00A65A8D" w:rsidP="00451BC7">
      <w:pPr>
        <w:pStyle w:val="Puslapioinaostekstas"/>
        <w:rPr>
          <w:lang w:val="lt-LT"/>
        </w:rPr>
      </w:pPr>
      <w:r w:rsidRPr="00B76111">
        <w:rPr>
          <w:rStyle w:val="Puslapioinaosnuoroda"/>
          <w:lang w:val="lt-LT"/>
        </w:rPr>
        <w:footnoteRef/>
      </w:r>
      <w:r w:rsidRPr="00B76111">
        <w:rPr>
          <w:lang w:val="lt-LT"/>
        </w:rPr>
        <w:t xml:space="preserve"> </w:t>
      </w:r>
      <w:hyperlink r:id="rId63" w:history="1">
        <w:r w:rsidRPr="00FB240F">
          <w:rPr>
            <w:rStyle w:val="Hipersaitas"/>
            <w:lang w:val="lt-LT"/>
          </w:rPr>
          <w:t>http://www.eib.org/attachments/documents/jessica_housing_study_final_report_en.pdf</w:t>
        </w:r>
      </w:hyperlink>
      <w:r w:rsidRPr="00B76111">
        <w:rPr>
          <w:lang w:val="lt-LT"/>
        </w:rPr>
        <w:t xml:space="preserve"> </w:t>
      </w:r>
    </w:p>
  </w:footnote>
  <w:footnote w:id="159">
    <w:p w14:paraId="36C871D0" w14:textId="77777777" w:rsidR="00A65A8D" w:rsidRPr="001554CF" w:rsidRDefault="00A65A8D" w:rsidP="00451BC7">
      <w:pPr>
        <w:pStyle w:val="Puslapioinaostekstas"/>
        <w:rPr>
          <w:lang w:val="lt-LT"/>
        </w:rPr>
      </w:pPr>
      <w:r w:rsidRPr="00B76111">
        <w:rPr>
          <w:rStyle w:val="Puslapioinaosnuoroda"/>
          <w:lang w:val="lt-LT"/>
        </w:rPr>
        <w:footnoteRef/>
      </w:r>
      <w:r w:rsidRPr="00B76111">
        <w:rPr>
          <w:lang w:val="lt-LT"/>
        </w:rPr>
        <w:t xml:space="preserve"> Berlin Energy Saving Partnership model (</w:t>
      </w:r>
      <w:hyperlink r:id="rId64" w:history="1">
        <w:r w:rsidRPr="00FB240F">
          <w:rPr>
            <w:rStyle w:val="Hipersaitas"/>
            <w:lang w:val="lt-LT"/>
          </w:rPr>
          <w:t>http://www.stadtentwicklung.berlin.de/umwelt/klimaschutz/</w:t>
        </w:r>
      </w:hyperlink>
      <w:r w:rsidRPr="00B76111">
        <w:rPr>
          <w:lang w:val="lt-LT"/>
        </w:rPr>
        <w:t xml:space="preserve">) </w:t>
      </w:r>
    </w:p>
  </w:footnote>
  <w:footnote w:id="160">
    <w:p w14:paraId="42C30E35" w14:textId="77777777" w:rsidR="00A65A8D" w:rsidRPr="00B76111" w:rsidRDefault="00A65A8D" w:rsidP="00451BC7">
      <w:pPr>
        <w:pStyle w:val="Puslapioinaostekstas"/>
        <w:rPr>
          <w:lang w:val="lt-LT"/>
        </w:rPr>
      </w:pPr>
      <w:r w:rsidRPr="00E67C77">
        <w:rPr>
          <w:rStyle w:val="Puslapioinaosnuoroda"/>
          <w:lang w:val="lt-LT"/>
        </w:rPr>
        <w:footnoteRef/>
      </w:r>
      <w:r w:rsidRPr="00E67C77">
        <w:rPr>
          <w:lang w:val="lt-LT"/>
        </w:rPr>
        <w:t xml:space="preserve"> angl. fuel poverty</w:t>
      </w:r>
    </w:p>
  </w:footnote>
  <w:footnote w:id="161">
    <w:p w14:paraId="5004D255" w14:textId="77777777" w:rsidR="00A65A8D" w:rsidRPr="001554CF" w:rsidRDefault="00A65A8D" w:rsidP="00451BC7">
      <w:pPr>
        <w:pStyle w:val="Puslapioinaostekstas"/>
        <w:rPr>
          <w:lang w:val="lt-LT"/>
        </w:rPr>
      </w:pPr>
      <w:r w:rsidRPr="00B76111">
        <w:rPr>
          <w:rStyle w:val="Puslapioinaosnuoroda"/>
          <w:lang w:val="lt-LT"/>
        </w:rPr>
        <w:footnoteRef/>
      </w:r>
      <w:r w:rsidRPr="00B76111">
        <w:rPr>
          <w:lang w:val="lt-LT"/>
        </w:rPr>
        <w:t xml:space="preserve"> Angl. mezzanine loans</w:t>
      </w:r>
    </w:p>
  </w:footnote>
  <w:footnote w:id="162">
    <w:p w14:paraId="6405E0DE" w14:textId="77777777" w:rsidR="00A65A8D" w:rsidRPr="00B76111" w:rsidRDefault="00A65A8D" w:rsidP="00451BC7">
      <w:pPr>
        <w:pStyle w:val="Puslapioinaostekstas"/>
        <w:rPr>
          <w:lang w:val="lt-LT"/>
        </w:rPr>
      </w:pPr>
      <w:r w:rsidRPr="00E67C77">
        <w:rPr>
          <w:rStyle w:val="Puslapioinaosnuoroda"/>
          <w:lang w:val="lt-LT"/>
        </w:rPr>
        <w:footnoteRef/>
      </w:r>
      <w:r w:rsidRPr="00E67C77">
        <w:rPr>
          <w:lang w:val="lt-LT"/>
        </w:rPr>
        <w:t xml:space="preserve"> angl. Joint Venture</w:t>
      </w:r>
    </w:p>
  </w:footnote>
  <w:footnote w:id="163">
    <w:p w14:paraId="50908442" w14:textId="77777777" w:rsidR="00A65A8D" w:rsidRPr="00FB240F" w:rsidRDefault="00A65A8D">
      <w:pPr>
        <w:pStyle w:val="Puslapioinaostekstas"/>
        <w:rPr>
          <w:lang w:val="lt-LT"/>
        </w:rPr>
      </w:pPr>
      <w:r w:rsidRPr="00E67C77">
        <w:rPr>
          <w:rStyle w:val="Puslapioinaosnuoroda"/>
          <w:lang w:val="lt-LT"/>
        </w:rPr>
        <w:footnoteRef/>
      </w:r>
      <w:r w:rsidRPr="00E67C77">
        <w:rPr>
          <w:lang w:val="lt-LT"/>
        </w:rPr>
        <w:t xml:space="preserve"> </w:t>
      </w:r>
      <w:r w:rsidRPr="00B76111">
        <w:rPr>
          <w:lang w:val="lt-LT"/>
        </w:rPr>
        <w:t>Sąlyginės paskolos sutartys apibrėžia tiksliai kokiam tiksl</w:t>
      </w:r>
      <w:r w:rsidRPr="001554CF">
        <w:rPr>
          <w:lang w:val="lt-LT"/>
        </w:rPr>
        <w:t xml:space="preserve">ui gali būti naudojami pinigai bei kokiomis sąlygomis. </w:t>
      </w:r>
    </w:p>
  </w:footnote>
  <w:footnote w:id="164">
    <w:p w14:paraId="532EA920" w14:textId="77777777" w:rsidR="00A65A8D" w:rsidRPr="00E67C77" w:rsidRDefault="00A65A8D" w:rsidP="002838B1">
      <w:pPr>
        <w:pStyle w:val="Puslapioinaostekstas"/>
        <w:rPr>
          <w:lang w:val="lt-LT"/>
        </w:rPr>
      </w:pPr>
      <w:r w:rsidRPr="00E67C77">
        <w:rPr>
          <w:rStyle w:val="Puslapioinaosnuoroda"/>
          <w:lang w:val="lt-LT"/>
        </w:rPr>
        <w:footnoteRef/>
      </w:r>
      <w:r w:rsidRPr="00E67C77">
        <w:rPr>
          <w:lang w:val="lt-LT"/>
        </w:rPr>
        <w:t xml:space="preserve"> </w:t>
      </w:r>
      <w:r w:rsidRPr="00E67C77">
        <w:rPr>
          <w:rFonts w:ascii="Calibri" w:eastAsia="Times New Roman" w:hAnsi="Calibri" w:cs="Arial"/>
          <w:color w:val="000000"/>
          <w:lang w:val="lt-LT" w:eastAsia="lt-LT"/>
        </w:rPr>
        <w:t>Tipinė centralizuoto aprūpinimo šiluma taršos faktoriaus reikšmė 0,2330 t CO2e/MWh</w:t>
      </w:r>
    </w:p>
  </w:footnote>
  <w:footnote w:id="165">
    <w:p w14:paraId="401AFF9A" w14:textId="77777777" w:rsidR="00A65A8D" w:rsidRPr="00B76111" w:rsidRDefault="00A65A8D">
      <w:pPr>
        <w:pStyle w:val="Puslapioinaostekstas"/>
        <w:rPr>
          <w:lang w:val="lt-LT"/>
        </w:rPr>
      </w:pPr>
      <w:r w:rsidRPr="00E67C77">
        <w:rPr>
          <w:rStyle w:val="Puslapioinaosnuoroda"/>
          <w:lang w:val="lt-LT"/>
        </w:rPr>
        <w:footnoteRef/>
      </w:r>
      <w:r w:rsidRPr="00E67C77">
        <w:rPr>
          <w:lang w:val="lt-LT"/>
        </w:rPr>
        <w:t xml:space="preserve"> Bendrųjų nuostatų reglamento (ES) Nr. 1303/2013 (angliškosios versijos) 2 straipsnio (12) dalies galutinio naudos gavėjo apibrėžimas – „'final recipient' means a legal or natural person receiving financial support from a financial instrument;“</w:t>
      </w:r>
    </w:p>
  </w:footnote>
  <w:footnote w:id="166">
    <w:p w14:paraId="66CC7BA7" w14:textId="77777777" w:rsidR="00A65A8D" w:rsidRPr="00B76111" w:rsidRDefault="00A65A8D" w:rsidP="00A04C05">
      <w:pPr>
        <w:pStyle w:val="Puslapioinaostekstas"/>
        <w:spacing w:line="276" w:lineRule="auto"/>
        <w:jc w:val="both"/>
        <w:rPr>
          <w:szCs w:val="16"/>
          <w:lang w:val="lt-LT"/>
        </w:rPr>
      </w:pPr>
      <w:r w:rsidRPr="00E67C77">
        <w:rPr>
          <w:rStyle w:val="Puslapioinaosnuoroda"/>
          <w:szCs w:val="16"/>
          <w:lang w:val="lt-LT"/>
        </w:rPr>
        <w:footnoteRef/>
      </w:r>
      <w:r w:rsidRPr="00E67C77">
        <w:rPr>
          <w:szCs w:val="16"/>
          <w:lang w:val="lt-LT"/>
        </w:rPr>
        <w:t xml:space="preserve"> </w:t>
      </w:r>
      <w:r w:rsidRPr="00B76111">
        <w:rPr>
          <w:szCs w:val="16"/>
          <w:lang w:val="lt-LT"/>
        </w:rPr>
        <w:t xml:space="preserve">Kaip tai apibrėžta Atsakomybės ir funkcijų paskirstymo taisyklėse. </w:t>
      </w:r>
    </w:p>
  </w:footnote>
  <w:footnote w:id="167">
    <w:p w14:paraId="4DB0A529" w14:textId="77777777" w:rsidR="00A65A8D" w:rsidRPr="00FB240F" w:rsidRDefault="00A65A8D" w:rsidP="00A04C05">
      <w:pPr>
        <w:pStyle w:val="Puslapioinaostekstas"/>
        <w:spacing w:line="276" w:lineRule="auto"/>
        <w:jc w:val="both"/>
        <w:rPr>
          <w:rFonts w:asciiTheme="minorHAnsi" w:hAnsiTheme="minorHAnsi"/>
          <w:sz w:val="20"/>
          <w:lang w:val="lt-LT"/>
        </w:rPr>
      </w:pPr>
      <w:r w:rsidRPr="00B76111">
        <w:rPr>
          <w:szCs w:val="16"/>
          <w:lang w:val="lt-LT"/>
        </w:rPr>
        <w:footnoteRef/>
      </w:r>
      <w:r w:rsidRPr="00B76111">
        <w:rPr>
          <w:szCs w:val="16"/>
          <w:lang w:val="lt-LT"/>
        </w:rPr>
        <w:t xml:space="preserve"> Kaip tai apibrėžta Bendrųjų nuostatų reglamento 123.7</w:t>
      </w:r>
      <w:r w:rsidRPr="001554CF">
        <w:rPr>
          <w:szCs w:val="16"/>
          <w:lang w:val="lt-LT"/>
        </w:rPr>
        <w:t xml:space="preserve"> punkte: „Valstybė narė arba vadovaujančioji institucija gali dalies veiksmų programos valdymą patikėti tarpinei institucijai pagal rašytinį valstybės narės arba vadovaujančiosios institucijos ir tarpinės institucijos susitarimą (visuotinė dotacija). Tarpi</w:t>
      </w:r>
      <w:r w:rsidRPr="00FB240F">
        <w:rPr>
          <w:szCs w:val="16"/>
          <w:lang w:val="lt-LT"/>
        </w:rPr>
        <w:t>nė institucija pateikia garantijas dėl savo mokumo ir kompetencijos atitinkamoje srityje ir jos administracinio bei finansų valdymo gebėjimų“.</w:t>
      </w:r>
    </w:p>
  </w:footnote>
  <w:footnote w:id="168">
    <w:p w14:paraId="0CBCFA87" w14:textId="77777777" w:rsidR="00A65A8D" w:rsidRPr="00FB240F" w:rsidRDefault="00A65A8D" w:rsidP="002838B1">
      <w:pPr>
        <w:pStyle w:val="Puslapioinaostekstas"/>
        <w:rPr>
          <w:lang w:val="lt-LT"/>
        </w:rPr>
      </w:pPr>
      <w:r w:rsidRPr="00B76111">
        <w:rPr>
          <w:rStyle w:val="Puslapioinaosnuoroda"/>
          <w:lang w:val="lt-LT"/>
        </w:rPr>
        <w:footnoteRef/>
      </w:r>
      <w:r w:rsidRPr="00B76111">
        <w:rPr>
          <w:lang w:val="lt-LT"/>
        </w:rPr>
        <w:t xml:space="preserve"> </w:t>
      </w:r>
      <w:r w:rsidRPr="001554CF">
        <w:rPr>
          <w:rFonts w:ascii="Calibri" w:eastAsia="Times New Roman" w:hAnsi="Calibri" w:cs="Arial"/>
          <w:color w:val="000000"/>
          <w:lang w:val="lt-LT" w:eastAsia="lt-LT"/>
        </w:rPr>
        <w:t>Tipinė centralizuoto aprūpinimo šiluma taršos faktoriaus reikšmė 0,2330 t CO2e/MWh</w:t>
      </w:r>
    </w:p>
  </w:footnote>
  <w:footnote w:id="169">
    <w:p w14:paraId="48E3BE58" w14:textId="77777777" w:rsidR="00A65A8D" w:rsidRPr="00B76111" w:rsidRDefault="00A65A8D" w:rsidP="0089727D">
      <w:pPr>
        <w:pStyle w:val="Puslapioinaostekstas"/>
        <w:rPr>
          <w:lang w:val="lt-LT"/>
        </w:rPr>
      </w:pPr>
      <w:r w:rsidRPr="00E67C77">
        <w:rPr>
          <w:rStyle w:val="Puslapioinaosnuoroda"/>
          <w:lang w:val="lt-LT"/>
        </w:rPr>
        <w:footnoteRef/>
      </w:r>
      <w:r w:rsidRPr="00E67C77">
        <w:rPr>
          <w:lang w:val="lt-LT"/>
        </w:rPr>
        <w:t xml:space="preserve"> Bendrųjų nuostatų reglamento (ES) Nr. 1303/2013 (angliškosios versijos) 2 straipsnio (12) dalies galutinio naudos gavėjo apibrėžimas – „'final recipient' means a legal or natural person receiving financial support from a financial instrument;“</w:t>
      </w:r>
    </w:p>
  </w:footnote>
  <w:footnote w:id="170">
    <w:p w14:paraId="640A23BD" w14:textId="77777777" w:rsidR="00A65A8D" w:rsidRPr="00FB240F" w:rsidRDefault="00A65A8D" w:rsidP="002A576D">
      <w:pPr>
        <w:pStyle w:val="Puslapioinaostekstas"/>
        <w:rPr>
          <w:lang w:val="lt-LT"/>
        </w:rPr>
      </w:pPr>
      <w:r w:rsidRPr="00B76111">
        <w:rPr>
          <w:rStyle w:val="Puslapioinaosnuoroda"/>
          <w:lang w:val="lt-LT"/>
        </w:rPr>
        <w:footnoteRef/>
      </w:r>
      <w:r w:rsidRPr="00B76111">
        <w:rPr>
          <w:lang w:val="lt-LT"/>
        </w:rPr>
        <w:t xml:space="preserve"> </w:t>
      </w:r>
      <w:r w:rsidRPr="001554CF">
        <w:rPr>
          <w:rFonts w:eastAsia="Times New Roman" w:cs="Arial"/>
          <w:color w:val="000000"/>
          <w:lang w:val="lt-LT" w:eastAsia="lt-LT"/>
        </w:rPr>
        <w:t>Tipinė centralizuoto aprūpinimo šilu</w:t>
      </w:r>
      <w:r w:rsidRPr="00FB240F">
        <w:rPr>
          <w:rFonts w:eastAsia="Times New Roman" w:cs="Arial"/>
          <w:color w:val="000000"/>
          <w:lang w:val="lt-LT" w:eastAsia="lt-LT"/>
        </w:rPr>
        <w:t>ma taršos faktoriaus reikšmė 0,2330 t CO2e/MWh</w:t>
      </w:r>
    </w:p>
  </w:footnote>
  <w:footnote w:id="171">
    <w:p w14:paraId="7409E778" w14:textId="77777777" w:rsidR="00A65A8D" w:rsidRPr="001554CF" w:rsidRDefault="00A65A8D" w:rsidP="00FD5FAE">
      <w:pPr>
        <w:pStyle w:val="Puslapioinaostekstas"/>
        <w:rPr>
          <w:lang w:val="lt-LT"/>
        </w:rPr>
      </w:pPr>
      <w:r w:rsidRPr="00B76111">
        <w:rPr>
          <w:rStyle w:val="Puslapioinaosnuoroda"/>
          <w:lang w:val="lt-LT"/>
        </w:rPr>
        <w:footnoteRef/>
      </w:r>
      <w:r w:rsidRPr="00B76111">
        <w:rPr>
          <w:lang w:val="lt-LT"/>
        </w:rPr>
        <w:t xml:space="preserve"> </w:t>
      </w:r>
      <w:r w:rsidRPr="001554CF">
        <w:rPr>
          <w:lang w:val="lt-LT"/>
        </w:rPr>
        <w:t>Eurais</w:t>
      </w:r>
    </w:p>
  </w:footnote>
  <w:footnote w:id="172">
    <w:p w14:paraId="3B01D051" w14:textId="77777777" w:rsidR="00A65A8D" w:rsidRPr="001554CF" w:rsidRDefault="00A65A8D" w:rsidP="00FD5FAE">
      <w:pPr>
        <w:pStyle w:val="Puslapioinaostekstas"/>
        <w:rPr>
          <w:lang w:val="lt-LT"/>
        </w:rPr>
      </w:pPr>
      <w:r w:rsidRPr="00B76111">
        <w:rPr>
          <w:rStyle w:val="Puslapioinaosnuoroda"/>
          <w:lang w:val="lt-LT"/>
        </w:rPr>
        <w:footnoteRef/>
      </w:r>
      <w:r w:rsidRPr="00B76111">
        <w:rPr>
          <w:lang w:val="lt-LT"/>
        </w:rPr>
        <w:t xml:space="preserve"> ESCO Market Report 2013, European Commission, 2014 (</w:t>
      </w:r>
      <w:hyperlink r:id="rId65" w:history="1">
        <w:r w:rsidRPr="00FB240F">
          <w:rPr>
            <w:rStyle w:val="Hipersaitas"/>
            <w:lang w:val="lt-LT"/>
          </w:rPr>
          <w:t>http://iet.jrc.ec.europa.eu/energyefficiency/sites/energyefficiency/files/jrc_89550_the_european_esco_market_report_2013_online.pdf</w:t>
        </w:r>
      </w:hyperlink>
      <w:r w:rsidRPr="00B76111">
        <w:rPr>
          <w:lang w:val="lt-LT"/>
        </w:rPr>
        <w:t xml:space="preserve">) </w:t>
      </w:r>
    </w:p>
  </w:footnote>
  <w:footnote w:id="173">
    <w:p w14:paraId="4FA198A7" w14:textId="77777777" w:rsidR="00A65A8D" w:rsidRPr="001554CF" w:rsidRDefault="00A65A8D" w:rsidP="00FD5FAE">
      <w:pPr>
        <w:pStyle w:val="Puslapioinaostekstas"/>
        <w:rPr>
          <w:lang w:val="lt-LT"/>
        </w:rPr>
      </w:pPr>
      <w:r w:rsidRPr="00B76111">
        <w:rPr>
          <w:rStyle w:val="Puslapioinaosnuoroda"/>
          <w:lang w:val="lt-LT"/>
        </w:rPr>
        <w:footnoteRef/>
      </w:r>
      <w:r w:rsidRPr="00B76111">
        <w:rPr>
          <w:lang w:val="lt-LT"/>
        </w:rPr>
        <w:t xml:space="preserve"> </w:t>
      </w:r>
      <w:r w:rsidRPr="001554CF">
        <w:rPr>
          <w:lang w:val="lt-LT"/>
        </w:rPr>
        <w:t>Nuo 2012 m. birželio.</w:t>
      </w:r>
    </w:p>
  </w:footnote>
  <w:footnote w:id="174">
    <w:p w14:paraId="056A27B9" w14:textId="77777777" w:rsidR="00A65A8D" w:rsidRPr="001554CF" w:rsidRDefault="00A65A8D" w:rsidP="00FD5FAE">
      <w:pPr>
        <w:pStyle w:val="Puslapioinaostekstas"/>
        <w:rPr>
          <w:lang w:val="lt-LT"/>
        </w:rPr>
      </w:pPr>
      <w:r w:rsidRPr="00B76111">
        <w:rPr>
          <w:rStyle w:val="Puslapioinaosnuoroda"/>
          <w:lang w:val="lt-LT"/>
        </w:rPr>
        <w:footnoteRef/>
      </w:r>
      <w:r w:rsidRPr="00B76111">
        <w:rPr>
          <w:lang w:val="lt-LT"/>
        </w:rPr>
        <w:t xml:space="preserve"> </w:t>
      </w:r>
      <w:r w:rsidRPr="001554CF">
        <w:rPr>
          <w:lang w:val="lt-LT"/>
        </w:rPr>
        <w:t>Nuo 2013 m. sausio.</w:t>
      </w:r>
    </w:p>
  </w:footnote>
  <w:footnote w:id="175">
    <w:p w14:paraId="54828AA5" w14:textId="77777777" w:rsidR="00A65A8D" w:rsidRPr="00B76111" w:rsidRDefault="00A65A8D" w:rsidP="00FD5FAE">
      <w:pPr>
        <w:pStyle w:val="Puslapioinaostekstas"/>
        <w:rPr>
          <w:lang w:val="lt-LT"/>
        </w:rPr>
      </w:pPr>
      <w:r w:rsidRPr="00B76111">
        <w:rPr>
          <w:rStyle w:val="Puslapioinaosnuoroda"/>
          <w:lang w:val="lt-LT"/>
        </w:rPr>
        <w:footnoteRef/>
      </w:r>
      <w:r w:rsidRPr="00B76111">
        <w:rPr>
          <w:lang w:val="lt-LT"/>
        </w:rPr>
        <w:t xml:space="preserve"> </w:t>
      </w:r>
      <w:hyperlink r:id="rId66" w:history="1">
        <w:r w:rsidRPr="00FB240F">
          <w:rPr>
            <w:rStyle w:val="Hipersaitas"/>
            <w:lang w:val="lt-LT"/>
          </w:rPr>
          <w:t>http://www.vtpsi.lt/</w:t>
        </w:r>
      </w:hyperlink>
      <w:r w:rsidRPr="00B76111">
        <w:rPr>
          <w:lang w:val="lt-LT"/>
        </w:rPr>
        <w:t xml:space="preserve"> </w:t>
      </w:r>
    </w:p>
  </w:footnote>
  <w:footnote w:id="176">
    <w:p w14:paraId="2F0DBCC0" w14:textId="77777777" w:rsidR="00A65A8D" w:rsidRPr="00B76111" w:rsidRDefault="00A65A8D" w:rsidP="00FD5FAE">
      <w:pPr>
        <w:pStyle w:val="Puslapioinaostekstas"/>
        <w:rPr>
          <w:lang w:val="lt-LT"/>
        </w:rPr>
      </w:pPr>
      <w:r w:rsidRPr="00B76111">
        <w:rPr>
          <w:rStyle w:val="Puslapioinaosnuoroda"/>
          <w:lang w:val="lt-LT"/>
        </w:rPr>
        <w:footnoteRef/>
      </w:r>
      <w:r w:rsidRPr="00B76111">
        <w:rPr>
          <w:lang w:val="lt-LT"/>
        </w:rPr>
        <w:t xml:space="preserve"> </w:t>
      </w:r>
      <w:hyperlink r:id="rId67" w:history="1">
        <w:r w:rsidRPr="00FB240F">
          <w:rPr>
            <w:rStyle w:val="Hipersaitas"/>
            <w:lang w:val="lt-LT"/>
          </w:rPr>
          <w:t>http://www.vtpsi.lt/</w:t>
        </w:r>
      </w:hyperlink>
      <w:r w:rsidRPr="00B76111">
        <w:rPr>
          <w:lang w:val="lt-LT"/>
        </w:rPr>
        <w:t xml:space="preserve"> </w:t>
      </w:r>
    </w:p>
  </w:footnote>
  <w:footnote w:id="177">
    <w:p w14:paraId="3D0EDF4D" w14:textId="77777777" w:rsidR="00A65A8D" w:rsidRPr="00B76111" w:rsidRDefault="00A65A8D" w:rsidP="00FD5FAE">
      <w:pPr>
        <w:pStyle w:val="Puslapioinaostekstas"/>
        <w:rPr>
          <w:lang w:val="lt-LT"/>
        </w:rPr>
      </w:pPr>
      <w:r w:rsidRPr="00B76111">
        <w:rPr>
          <w:rStyle w:val="Puslapioinaosnuoroda"/>
          <w:lang w:val="lt-LT"/>
        </w:rPr>
        <w:footnoteRef/>
      </w:r>
      <w:r w:rsidRPr="00B76111">
        <w:rPr>
          <w:lang w:val="lt-LT"/>
        </w:rPr>
        <w:t xml:space="preserve"> </w:t>
      </w:r>
      <w:r w:rsidRPr="001554CF">
        <w:rPr>
          <w:lang w:val="lt-LT"/>
        </w:rPr>
        <w:t xml:space="preserve">Pvz., </w:t>
      </w:r>
      <w:hyperlink r:id="rId68" w:history="1">
        <w:r w:rsidRPr="00FB240F">
          <w:rPr>
            <w:rStyle w:val="Hipersaitas"/>
            <w:lang w:val="lt-LT"/>
          </w:rPr>
          <w:t>http://www.delfi.lt/verslas/nekilnojamas-turtas/daugiabucio-modernizacijos-nesekme-plokstemis-neuzdengta-nama-pesioja-pauksciai.d?id=58723791</w:t>
        </w:r>
      </w:hyperlink>
      <w:r w:rsidRPr="00B76111">
        <w:rPr>
          <w:lang w:val="lt-LT"/>
        </w:rPr>
        <w:t xml:space="preserve"> </w:t>
      </w:r>
    </w:p>
  </w:footnote>
  <w:footnote w:id="178">
    <w:p w14:paraId="7E9966BC" w14:textId="77777777" w:rsidR="00A65A8D" w:rsidRPr="001554CF" w:rsidRDefault="00A65A8D" w:rsidP="00FD5FAE">
      <w:pPr>
        <w:pStyle w:val="Puslapioinaostekstas"/>
        <w:rPr>
          <w:lang w:val="lt-LT"/>
        </w:rPr>
      </w:pPr>
      <w:r w:rsidRPr="00B76111">
        <w:rPr>
          <w:rStyle w:val="Puslapioinaosnuoroda"/>
          <w:lang w:val="lt-LT"/>
        </w:rPr>
        <w:footnoteRef/>
      </w:r>
      <w:r w:rsidRPr="00B76111">
        <w:rPr>
          <w:lang w:val="lt-LT"/>
        </w:rPr>
        <w:t xml:space="preserve"> European Investment Bank, 2014-2020 JESSICA Evaluation Study for Lithuania, PwC</w:t>
      </w:r>
    </w:p>
  </w:footnote>
  <w:footnote w:id="179">
    <w:p w14:paraId="5E072B5D" w14:textId="77777777" w:rsidR="00A65A8D" w:rsidRPr="00B76111" w:rsidRDefault="00A65A8D" w:rsidP="00FD5FAE">
      <w:pPr>
        <w:pStyle w:val="Puslapioinaostekstas"/>
        <w:rPr>
          <w:lang w:val="lt-LT"/>
        </w:rPr>
      </w:pPr>
      <w:r w:rsidRPr="00B76111">
        <w:rPr>
          <w:rStyle w:val="Puslapioinaosnuoroda"/>
          <w:lang w:val="lt-LT"/>
        </w:rPr>
        <w:footnoteRef/>
      </w:r>
      <w:r w:rsidRPr="00B76111">
        <w:rPr>
          <w:lang w:val="lt-LT"/>
        </w:rPr>
        <w:t xml:space="preserve"> </w:t>
      </w:r>
      <w:hyperlink r:id="rId69" w:history="1">
        <w:r w:rsidRPr="00FB240F">
          <w:rPr>
            <w:rStyle w:val="Hipersaitas"/>
            <w:lang w:val="lt-LT"/>
          </w:rPr>
          <w:t>http://www.sb.lt/lt/naujienos/tyrimas-daugiabuciu-renovacijai-dazniausiai-pritaria-namu-seimininkes-ir-vaikus-auginancios-mamos/</w:t>
        </w:r>
      </w:hyperlink>
      <w:r w:rsidRPr="00B76111">
        <w:rPr>
          <w:lang w:val="lt-LT"/>
        </w:rPr>
        <w:t xml:space="preserve"> </w:t>
      </w:r>
    </w:p>
  </w:footnote>
  <w:footnote w:id="180">
    <w:p w14:paraId="54176C5F" w14:textId="77777777" w:rsidR="00A65A8D" w:rsidRPr="001554CF" w:rsidRDefault="00A65A8D" w:rsidP="00FD5FAE">
      <w:pPr>
        <w:pStyle w:val="Puslapioinaostekstas"/>
        <w:rPr>
          <w:lang w:val="lt-LT"/>
        </w:rPr>
      </w:pPr>
      <w:r w:rsidRPr="00B76111">
        <w:rPr>
          <w:rStyle w:val="Puslapioinaosnuoroda"/>
          <w:lang w:val="lt-LT"/>
        </w:rPr>
        <w:footnoteRef/>
      </w:r>
      <w:r w:rsidRPr="00B76111">
        <w:rPr>
          <w:lang w:val="lt-LT"/>
        </w:rPr>
        <w:t xml:space="preserve"> </w:t>
      </w:r>
      <w:r w:rsidRPr="001554CF">
        <w:rPr>
          <w:lang w:val="lt-LT"/>
        </w:rPr>
        <w:t>Ten pat.</w:t>
      </w:r>
    </w:p>
  </w:footnote>
  <w:footnote w:id="181">
    <w:p w14:paraId="21A54D55" w14:textId="77777777" w:rsidR="00A65A8D" w:rsidRPr="001554CF" w:rsidRDefault="00A65A8D" w:rsidP="00FD5FAE">
      <w:pPr>
        <w:pStyle w:val="Puslapioinaostekstas"/>
        <w:rPr>
          <w:lang w:val="lt-LT"/>
        </w:rPr>
      </w:pPr>
      <w:r w:rsidRPr="00B76111">
        <w:rPr>
          <w:rStyle w:val="Puslapioinaosnuoroda"/>
          <w:lang w:val="lt-LT"/>
        </w:rPr>
        <w:footnoteRef/>
      </w:r>
      <w:r w:rsidRPr="00B76111">
        <w:rPr>
          <w:lang w:val="lt-LT"/>
        </w:rPr>
        <w:t xml:space="preserve"> </w:t>
      </w:r>
      <w:hyperlink r:id="rId70" w:anchor="ixzz35ZA4yGiT" w:history="1">
        <w:r w:rsidRPr="00FB240F">
          <w:rPr>
            <w:rStyle w:val="Hipersaitas"/>
            <w:lang w:val="lt-LT"/>
          </w:rPr>
          <w:t>http://kauno.diena.lt/naujienos/lietuva/salies-pulsas/apklausa-daugiabuciu-namu-renovacija-lietuvoje-nematoma-406922#ixzz35ZA4yGiT</w:t>
        </w:r>
      </w:hyperlink>
      <w:r w:rsidRPr="00B76111">
        <w:rPr>
          <w:lang w:val="lt-LT"/>
        </w:rPr>
        <w:t xml:space="preserve"> </w:t>
      </w:r>
    </w:p>
  </w:footnote>
  <w:footnote w:id="182">
    <w:p w14:paraId="5D948108" w14:textId="77777777" w:rsidR="00A65A8D" w:rsidRPr="00B76111" w:rsidRDefault="00A65A8D" w:rsidP="00FD5FAE">
      <w:pPr>
        <w:pStyle w:val="Puslapioinaostekstas"/>
        <w:rPr>
          <w:lang w:val="lt-LT"/>
        </w:rPr>
      </w:pPr>
      <w:r w:rsidRPr="00B76111">
        <w:rPr>
          <w:rStyle w:val="Puslapioinaosnuoroda"/>
          <w:lang w:val="lt-LT"/>
        </w:rPr>
        <w:footnoteRef/>
      </w:r>
      <w:r w:rsidRPr="00B76111">
        <w:rPr>
          <w:lang w:val="lt-LT"/>
        </w:rPr>
        <w:t xml:space="preserve"> </w:t>
      </w:r>
      <w:hyperlink r:id="rId71" w:history="1">
        <w:r w:rsidRPr="00FB240F">
          <w:rPr>
            <w:rStyle w:val="Hipersaitas"/>
            <w:lang w:val="lt-LT"/>
          </w:rPr>
          <w:t>http://www.atnaujinkbusta.lt/index.php/lt/p/atnaujink-busta/apie-programa/statistika</w:t>
        </w:r>
      </w:hyperlink>
      <w:r w:rsidRPr="00B76111">
        <w:rPr>
          <w:lang w:val="lt-LT"/>
        </w:rPr>
        <w:t xml:space="preserve"> </w:t>
      </w:r>
    </w:p>
  </w:footnote>
  <w:footnote w:id="183">
    <w:p w14:paraId="2526F0DE" w14:textId="77777777" w:rsidR="00A65A8D" w:rsidRPr="00FB240F" w:rsidRDefault="00A65A8D" w:rsidP="00FD5FAE">
      <w:pPr>
        <w:pStyle w:val="Puslapioinaostekstas"/>
        <w:rPr>
          <w:lang w:val="lt-LT"/>
        </w:rPr>
      </w:pPr>
      <w:r w:rsidRPr="00B76111">
        <w:rPr>
          <w:rStyle w:val="Puslapioinaosnuoroda"/>
          <w:lang w:val="lt-LT"/>
        </w:rPr>
        <w:footnoteRef/>
      </w:r>
      <w:r w:rsidRPr="00B76111">
        <w:rPr>
          <w:lang w:val="lt-LT"/>
        </w:rPr>
        <w:t xml:space="preserve"> European Investment Bank, 2014-2020 JESSICA Evaluation Study for Lithuania, </w:t>
      </w:r>
      <w:r w:rsidRPr="001554CF">
        <w:rPr>
          <w:lang w:val="lt-LT"/>
        </w:rPr>
        <w:t>PwC</w:t>
      </w:r>
    </w:p>
  </w:footnote>
  <w:footnote w:id="184">
    <w:p w14:paraId="61F329C5" w14:textId="77777777" w:rsidR="00A65A8D" w:rsidRPr="001554CF" w:rsidRDefault="00A65A8D" w:rsidP="00FD5FAE">
      <w:pPr>
        <w:pStyle w:val="Puslapioinaostekstas"/>
        <w:rPr>
          <w:lang w:val="lt-LT"/>
        </w:rPr>
      </w:pPr>
      <w:r w:rsidRPr="00B76111">
        <w:rPr>
          <w:rStyle w:val="Puslapioinaosnuoroda"/>
          <w:lang w:val="lt-LT"/>
        </w:rPr>
        <w:footnoteRef/>
      </w:r>
      <w:r w:rsidRPr="00B76111">
        <w:rPr>
          <w:lang w:val="lt-LT"/>
        </w:rPr>
        <w:t xml:space="preserve"> European Investment Bank, 2014-2020 JESSICA Evaluation Study for Lithuania, PwC</w:t>
      </w:r>
    </w:p>
  </w:footnote>
  <w:footnote w:id="185">
    <w:p w14:paraId="48966274" w14:textId="77777777" w:rsidR="00A65A8D" w:rsidRPr="001554CF" w:rsidRDefault="00A65A8D" w:rsidP="00DF0329">
      <w:pPr>
        <w:pStyle w:val="Puslapioinaostekstas"/>
        <w:rPr>
          <w:lang w:val="lt-LT"/>
        </w:rPr>
      </w:pPr>
      <w:r w:rsidRPr="00B76111">
        <w:rPr>
          <w:rStyle w:val="Puslapioinaosnuoroda"/>
          <w:lang w:val="lt-LT"/>
        </w:rPr>
        <w:footnoteRef/>
      </w:r>
      <w:r w:rsidRPr="00B76111">
        <w:rPr>
          <w:lang w:val="lt-LT"/>
        </w:rPr>
        <w:t xml:space="preserve"> </w:t>
      </w:r>
      <w:r w:rsidRPr="001554CF">
        <w:rPr>
          <w:lang w:val="lt-LT"/>
        </w:rPr>
        <w:t>2014 m. kovo mėn.</w:t>
      </w:r>
    </w:p>
  </w:footnote>
  <w:footnote w:id="186">
    <w:p w14:paraId="4C4BC798" w14:textId="77777777" w:rsidR="00A65A8D" w:rsidRPr="001554CF" w:rsidRDefault="00A65A8D" w:rsidP="00DF0329">
      <w:pPr>
        <w:pStyle w:val="Puslapioinaostekstas"/>
        <w:rPr>
          <w:lang w:val="lt-LT"/>
        </w:rPr>
      </w:pPr>
      <w:r w:rsidRPr="00B76111">
        <w:rPr>
          <w:rStyle w:val="Puslapioinaosnuoroda"/>
          <w:lang w:val="lt-LT"/>
        </w:rPr>
        <w:footnoteRef/>
      </w:r>
      <w:r w:rsidRPr="00B76111">
        <w:rPr>
          <w:lang w:val="lt-LT"/>
        </w:rPr>
        <w:t xml:space="preserve"> Eurostat (</w:t>
      </w:r>
      <w:hyperlink r:id="rId72" w:history="1">
        <w:r w:rsidRPr="00FB240F">
          <w:rPr>
            <w:rStyle w:val="Hipersaitas"/>
            <w:lang w:val="lt-LT"/>
          </w:rPr>
          <w:t>http://epp.eurostat.ec.europa.eu/portal/page/portal/eurostat/home/</w:t>
        </w:r>
      </w:hyperlink>
      <w:r w:rsidRPr="00B76111">
        <w:rPr>
          <w:lang w:val="lt-LT"/>
        </w:rPr>
        <w:t>); РЕПУБЛИКА БЪЛГАРИЯ Национален статистически институт (</w:t>
      </w:r>
      <w:hyperlink r:id="rId73" w:history="1">
        <w:r w:rsidRPr="00FB240F">
          <w:rPr>
            <w:rStyle w:val="Hipersaitas"/>
            <w:lang w:val="lt-LT"/>
          </w:rPr>
          <w:t>http://www.nsi.bg/en</w:t>
        </w:r>
      </w:hyperlink>
      <w:r w:rsidRPr="00B76111">
        <w:rPr>
          <w:lang w:val="lt-LT"/>
        </w:rPr>
        <w:t xml:space="preserve">) </w:t>
      </w:r>
    </w:p>
  </w:footnote>
  <w:footnote w:id="187">
    <w:p w14:paraId="1234E8B0" w14:textId="77777777" w:rsidR="00A65A8D" w:rsidRPr="00B76111" w:rsidRDefault="00A65A8D" w:rsidP="00DF0329">
      <w:pPr>
        <w:pStyle w:val="Puslapioinaostekstas"/>
        <w:rPr>
          <w:lang w:val="lt-LT"/>
        </w:rPr>
      </w:pPr>
      <w:r w:rsidRPr="00B76111">
        <w:rPr>
          <w:rStyle w:val="Puslapioinaosnuoroda"/>
          <w:lang w:val="lt-LT"/>
        </w:rPr>
        <w:footnoteRef/>
      </w:r>
      <w:r w:rsidRPr="00B76111">
        <w:rPr>
          <w:lang w:val="lt-LT"/>
        </w:rPr>
        <w:t xml:space="preserve"> </w:t>
      </w:r>
      <w:hyperlink r:id="rId74" w:history="1">
        <w:r w:rsidRPr="00FB240F">
          <w:rPr>
            <w:rStyle w:val="Hipersaitas"/>
            <w:lang w:val="lt-LT"/>
          </w:rPr>
          <w:t>http://ec.europa.eu/economy_finance/eu/countries/bulgaria_en.htm</w:t>
        </w:r>
      </w:hyperlink>
      <w:r w:rsidRPr="00B76111">
        <w:rPr>
          <w:lang w:val="lt-LT"/>
        </w:rPr>
        <w:t xml:space="preserve"> </w:t>
      </w:r>
    </w:p>
  </w:footnote>
  <w:footnote w:id="188">
    <w:p w14:paraId="12CF72F2" w14:textId="77777777" w:rsidR="00A65A8D" w:rsidRPr="00B76111" w:rsidRDefault="00A65A8D" w:rsidP="00DF0329">
      <w:pPr>
        <w:pStyle w:val="Puslapioinaostekstas"/>
        <w:rPr>
          <w:lang w:val="lt-LT"/>
        </w:rPr>
      </w:pPr>
      <w:r w:rsidRPr="00B76111">
        <w:rPr>
          <w:rStyle w:val="Puslapioinaosnuoroda"/>
          <w:lang w:val="lt-LT"/>
        </w:rPr>
        <w:footnoteRef/>
      </w:r>
      <w:r w:rsidRPr="00B76111">
        <w:rPr>
          <w:lang w:val="lt-LT"/>
        </w:rPr>
        <w:t xml:space="preserve"> </w:t>
      </w:r>
      <w:r w:rsidRPr="001554CF">
        <w:rPr>
          <w:lang w:val="lt-LT"/>
        </w:rPr>
        <w:t>Bulgarian National Bank, Economic Review, 1/2014 (</w:t>
      </w:r>
      <w:hyperlink r:id="rId75" w:history="1">
        <w:r w:rsidRPr="00FB240F">
          <w:rPr>
            <w:rStyle w:val="Hipersaitas"/>
            <w:lang w:val="lt-LT"/>
          </w:rPr>
          <w:t>http://www.bnb.bg/bnbweb/groups/public/documents/bnb_publication/pub_ec_r_2014_01_en.pdf</w:t>
        </w:r>
      </w:hyperlink>
      <w:r w:rsidRPr="00B76111">
        <w:rPr>
          <w:lang w:val="lt-LT"/>
        </w:rPr>
        <w:t xml:space="preserve">) </w:t>
      </w:r>
    </w:p>
  </w:footnote>
  <w:footnote w:id="189">
    <w:p w14:paraId="3B795A92" w14:textId="77777777" w:rsidR="00A65A8D" w:rsidRPr="001554CF" w:rsidRDefault="00A65A8D" w:rsidP="00DF0329">
      <w:pPr>
        <w:pStyle w:val="Puslapioinaostekstas"/>
        <w:rPr>
          <w:lang w:val="lt-LT"/>
        </w:rPr>
      </w:pPr>
      <w:r w:rsidRPr="00B76111">
        <w:rPr>
          <w:rStyle w:val="Puslapioinaosnuoroda"/>
          <w:lang w:val="lt-LT"/>
        </w:rPr>
        <w:footnoteRef/>
      </w:r>
      <w:r w:rsidRPr="00B76111">
        <w:rPr>
          <w:lang w:val="lt-LT"/>
        </w:rPr>
        <w:t xml:space="preserve"> BTI 2014|Bulgaria Country Report, 2014 (</w:t>
      </w:r>
      <w:hyperlink r:id="rId76" w:history="1">
        <w:r w:rsidRPr="00FB240F">
          <w:rPr>
            <w:rStyle w:val="Hipersaitas"/>
            <w:lang w:val="lt-LT"/>
          </w:rPr>
          <w:t>http://www.bti-project.de/fileadmin/Inhalte/reports/2014/pdf/BTI%202014%20Bulgaria.pdf</w:t>
        </w:r>
      </w:hyperlink>
      <w:r w:rsidRPr="00B76111">
        <w:rPr>
          <w:lang w:val="lt-LT"/>
        </w:rPr>
        <w:t>)</w:t>
      </w:r>
    </w:p>
  </w:footnote>
  <w:footnote w:id="190">
    <w:p w14:paraId="399476C5" w14:textId="77777777" w:rsidR="00A65A8D" w:rsidRPr="001554CF" w:rsidRDefault="00A65A8D" w:rsidP="00DF0329">
      <w:pPr>
        <w:pStyle w:val="Puslapioinaostekstas"/>
        <w:rPr>
          <w:lang w:val="lt-LT"/>
        </w:rPr>
      </w:pPr>
      <w:r w:rsidRPr="00B76111">
        <w:rPr>
          <w:rStyle w:val="Puslapioinaosnuoroda"/>
          <w:lang w:val="lt-LT"/>
        </w:rPr>
        <w:footnoteRef/>
      </w:r>
      <w:r w:rsidRPr="00B76111">
        <w:rPr>
          <w:lang w:val="lt-LT"/>
        </w:rPr>
        <w:t xml:space="preserve"> Elektros</w:t>
      </w:r>
      <w:r w:rsidRPr="001554CF">
        <w:rPr>
          <w:lang w:val="lt-LT"/>
        </w:rPr>
        <w:t>, šildymo ir gamtinių dujų gamyba ir paskirstymas.</w:t>
      </w:r>
    </w:p>
  </w:footnote>
  <w:footnote w:id="191">
    <w:p w14:paraId="0F9D3458" w14:textId="77777777" w:rsidR="00A65A8D" w:rsidRPr="001554CF" w:rsidRDefault="00A65A8D" w:rsidP="00DF0329">
      <w:pPr>
        <w:pStyle w:val="Puslapioinaostekstas"/>
        <w:rPr>
          <w:lang w:val="lt-LT"/>
        </w:rPr>
      </w:pPr>
      <w:r w:rsidRPr="00B76111">
        <w:rPr>
          <w:rStyle w:val="Puslapioinaosnuoroda"/>
          <w:lang w:val="lt-LT"/>
        </w:rPr>
        <w:footnoteRef/>
      </w:r>
      <w:r w:rsidRPr="00B76111">
        <w:rPr>
          <w:lang w:val="lt-LT"/>
        </w:rPr>
        <w:t xml:space="preserve"> Bulgarian National Bank, Economic Review, 1/2014 (</w:t>
      </w:r>
      <w:hyperlink r:id="rId77" w:history="1">
        <w:r w:rsidRPr="00FB240F">
          <w:rPr>
            <w:rStyle w:val="Hipersaitas"/>
            <w:lang w:val="lt-LT"/>
          </w:rPr>
          <w:t>http://www.bnb.bg/bnbweb/groups/public/documents/bnb_publication/pub_ec_r_2014_01_en.pdf</w:t>
        </w:r>
      </w:hyperlink>
      <w:r w:rsidRPr="00B76111">
        <w:rPr>
          <w:lang w:val="lt-LT"/>
        </w:rPr>
        <w:t xml:space="preserve">) </w:t>
      </w:r>
    </w:p>
  </w:footnote>
  <w:footnote w:id="192">
    <w:p w14:paraId="1CEDC01B" w14:textId="77777777" w:rsidR="00A65A8D" w:rsidRPr="001554CF" w:rsidRDefault="00A65A8D" w:rsidP="00DF0329">
      <w:pPr>
        <w:pStyle w:val="Puslapioinaostekstas"/>
        <w:rPr>
          <w:lang w:val="lt-LT"/>
        </w:rPr>
      </w:pPr>
      <w:r w:rsidRPr="00B76111">
        <w:rPr>
          <w:rStyle w:val="Puslapioinaosnuoroda"/>
          <w:lang w:val="lt-LT"/>
        </w:rPr>
        <w:footnoteRef/>
      </w:r>
      <w:r w:rsidRPr="00B76111">
        <w:rPr>
          <w:lang w:val="lt-LT"/>
        </w:rPr>
        <w:t xml:space="preserve"> Implementing Nearly Zero-Energy Buildings (nZEB) in Bulgaria – Towards a Definition and Roadmap, BPIE, 2012 (</w:t>
      </w:r>
      <w:hyperlink r:id="rId78" w:history="1">
        <w:r w:rsidRPr="00FB240F">
          <w:rPr>
            <w:rStyle w:val="Hipersaitas"/>
            <w:lang w:val="lt-LT"/>
          </w:rPr>
          <w:t>http://www.ecofys.com/files/files/bpie_ecofys_2012_implementing_nzeb_in_bulgaria.pdf</w:t>
        </w:r>
      </w:hyperlink>
      <w:r w:rsidRPr="00B76111">
        <w:rPr>
          <w:lang w:val="lt-LT"/>
        </w:rPr>
        <w:t xml:space="preserve">)  </w:t>
      </w:r>
    </w:p>
  </w:footnote>
  <w:footnote w:id="193">
    <w:p w14:paraId="67EF7EC2" w14:textId="77777777" w:rsidR="00A65A8D" w:rsidRPr="00B76111" w:rsidRDefault="00A65A8D" w:rsidP="00DF0329">
      <w:pPr>
        <w:pStyle w:val="Puslapioinaostekstas"/>
        <w:rPr>
          <w:lang w:val="lt-LT"/>
        </w:rPr>
      </w:pPr>
      <w:r w:rsidRPr="00B76111">
        <w:rPr>
          <w:rStyle w:val="Puslapioinaosnuoroda"/>
          <w:lang w:val="lt-LT"/>
        </w:rPr>
        <w:footnoteRef/>
      </w:r>
      <w:r w:rsidRPr="00B76111">
        <w:rPr>
          <w:lang w:val="lt-LT"/>
        </w:rPr>
        <w:t xml:space="preserve"> </w:t>
      </w:r>
      <w:r w:rsidRPr="001554CF">
        <w:rPr>
          <w:lang w:val="lt-LT"/>
        </w:rPr>
        <w:t>ESCO Market Report 2013, European Commission, 2014 (</w:t>
      </w:r>
      <w:hyperlink r:id="rId79" w:history="1">
        <w:r w:rsidRPr="00FB240F">
          <w:rPr>
            <w:rStyle w:val="Hipersaitas"/>
            <w:lang w:val="lt-LT"/>
          </w:rPr>
          <w:t>http://iet.jrc.ec.europa.eu/energyefficiency/sites/energyefficiency/files/jrc_89550_the_european_esco_market_report_2013_online.pdf</w:t>
        </w:r>
      </w:hyperlink>
      <w:r w:rsidRPr="00B76111">
        <w:rPr>
          <w:lang w:val="lt-LT"/>
        </w:rPr>
        <w:t xml:space="preserve">) </w:t>
      </w:r>
    </w:p>
  </w:footnote>
  <w:footnote w:id="194">
    <w:p w14:paraId="69DEC618" w14:textId="77777777" w:rsidR="00A65A8D" w:rsidRPr="001554CF" w:rsidRDefault="00A65A8D" w:rsidP="00DF0329">
      <w:pPr>
        <w:pStyle w:val="Puslapioinaostekstas"/>
        <w:rPr>
          <w:lang w:val="lt-LT"/>
        </w:rPr>
      </w:pPr>
      <w:r w:rsidRPr="00B76111">
        <w:rPr>
          <w:rStyle w:val="Puslapioinaosnuoroda"/>
          <w:lang w:val="lt-LT"/>
        </w:rPr>
        <w:footnoteRef/>
      </w:r>
      <w:r w:rsidRPr="00B76111">
        <w:rPr>
          <w:lang w:val="lt-LT"/>
        </w:rPr>
        <w:t xml:space="preserve"> Implementing Nearly Zero-Energy Buildings (nZEB) in Bulgaria – Towards a Definition and</w:t>
      </w:r>
      <w:r w:rsidRPr="001554CF">
        <w:rPr>
          <w:lang w:val="lt-LT"/>
        </w:rPr>
        <w:t xml:space="preserve"> Roadmap, BPIE, 2012 (</w:t>
      </w:r>
      <w:hyperlink r:id="rId80" w:history="1">
        <w:r w:rsidRPr="00FB240F">
          <w:rPr>
            <w:lang w:val="lt-LT"/>
          </w:rPr>
          <w:t>http://www.ecofys.com/files/files/bpie_ecofys_2012_implementing_nzeb_in_bulgaria.pdf</w:t>
        </w:r>
      </w:hyperlink>
      <w:r w:rsidRPr="00B76111">
        <w:rPr>
          <w:lang w:val="lt-LT"/>
        </w:rPr>
        <w:t>)</w:t>
      </w:r>
    </w:p>
  </w:footnote>
  <w:footnote w:id="195">
    <w:p w14:paraId="22627CF5" w14:textId="77777777" w:rsidR="00A65A8D" w:rsidRPr="001554CF" w:rsidRDefault="00A65A8D" w:rsidP="00DF0329">
      <w:pPr>
        <w:pStyle w:val="Puslapioinaostekstas"/>
        <w:rPr>
          <w:lang w:val="lt-LT"/>
        </w:rPr>
      </w:pPr>
      <w:r w:rsidRPr="00B76111">
        <w:rPr>
          <w:rStyle w:val="Puslapioinaosnuoroda"/>
          <w:lang w:val="lt-LT"/>
        </w:rPr>
        <w:footnoteRef/>
      </w:r>
      <w:r w:rsidRPr="00B76111">
        <w:rPr>
          <w:lang w:val="lt-LT"/>
        </w:rPr>
        <w:t xml:space="preserve"> </w:t>
      </w:r>
      <w:r w:rsidRPr="001554CF">
        <w:rPr>
          <w:lang w:val="lt-LT"/>
        </w:rPr>
        <w:t>Ten pat.</w:t>
      </w:r>
    </w:p>
  </w:footnote>
  <w:footnote w:id="196">
    <w:p w14:paraId="37608E9B" w14:textId="77777777" w:rsidR="00A65A8D" w:rsidRPr="00FB240F" w:rsidRDefault="00A65A8D" w:rsidP="00DF0329">
      <w:pPr>
        <w:pStyle w:val="Puslapioinaostekstas"/>
        <w:rPr>
          <w:lang w:val="lt-LT"/>
        </w:rPr>
      </w:pPr>
      <w:r w:rsidRPr="00B76111">
        <w:rPr>
          <w:rStyle w:val="Puslapioinaosnuoroda"/>
          <w:lang w:val="lt-LT"/>
        </w:rPr>
        <w:footnoteRef/>
      </w:r>
      <w:r w:rsidRPr="00B76111">
        <w:rPr>
          <w:lang w:val="lt-LT"/>
        </w:rPr>
        <w:t xml:space="preserve"> http://www.ebrd.com/pages/news/pre</w:t>
      </w:r>
      <w:r w:rsidRPr="001554CF">
        <w:rPr>
          <w:lang w:val="lt-LT"/>
        </w:rPr>
        <w:t>ss/2013/131126a.shtml</w:t>
      </w:r>
    </w:p>
  </w:footnote>
  <w:footnote w:id="197">
    <w:p w14:paraId="0E4BB4B7" w14:textId="77777777" w:rsidR="00A65A8D" w:rsidRPr="001554CF" w:rsidRDefault="00A65A8D" w:rsidP="00DF0329">
      <w:pPr>
        <w:pStyle w:val="Puslapioinaostekstas"/>
        <w:rPr>
          <w:lang w:val="lt-LT"/>
        </w:rPr>
      </w:pPr>
      <w:r w:rsidRPr="00B76111">
        <w:rPr>
          <w:rStyle w:val="Puslapioinaosnuoroda"/>
          <w:lang w:val="lt-LT"/>
        </w:rPr>
        <w:footnoteRef/>
      </w:r>
      <w:r w:rsidRPr="00B76111">
        <w:rPr>
          <w:lang w:val="lt-LT"/>
        </w:rPr>
        <w:t xml:space="preserve"> http://www.energy-efficiency-watch.org/fileadmin/eew_documents/Documents/EEW2/Bulgaria.pdf</w:t>
      </w:r>
    </w:p>
  </w:footnote>
  <w:footnote w:id="198">
    <w:p w14:paraId="0960933F" w14:textId="77777777" w:rsidR="00A65A8D" w:rsidRPr="001554CF" w:rsidRDefault="00A65A8D" w:rsidP="00DF0329">
      <w:pPr>
        <w:pStyle w:val="Puslapioinaostekstas"/>
        <w:rPr>
          <w:lang w:val="lt-LT"/>
        </w:rPr>
      </w:pPr>
      <w:r w:rsidRPr="00B76111">
        <w:rPr>
          <w:rStyle w:val="Puslapioinaosnuoroda"/>
          <w:lang w:val="lt-LT"/>
        </w:rPr>
        <w:footnoteRef/>
      </w:r>
      <w:r w:rsidRPr="00B76111">
        <w:rPr>
          <w:lang w:val="lt-LT"/>
        </w:rPr>
        <w:t xml:space="preserve"> ESCO Market Report 2013, European Commission, 2014 (</w:t>
      </w:r>
      <w:hyperlink r:id="rId81" w:history="1">
        <w:r w:rsidRPr="00FB240F">
          <w:rPr>
            <w:rStyle w:val="Hipersaitas"/>
            <w:lang w:val="lt-LT"/>
          </w:rPr>
          <w:t>http://iet.jrc.ec.europa.eu/energyefficiency/sites/energyefficiency/files/jrc_89550_the_european_esco_market_report_2013_online.pdf</w:t>
        </w:r>
      </w:hyperlink>
      <w:r w:rsidRPr="00B76111">
        <w:rPr>
          <w:lang w:val="lt-LT"/>
        </w:rPr>
        <w:t xml:space="preserve">) </w:t>
      </w:r>
    </w:p>
  </w:footnote>
  <w:footnote w:id="199">
    <w:p w14:paraId="58FD854B" w14:textId="77777777" w:rsidR="00A65A8D" w:rsidRPr="00FB240F" w:rsidRDefault="00A65A8D" w:rsidP="00DF0329">
      <w:pPr>
        <w:pStyle w:val="Puslapioinaostekstas"/>
        <w:rPr>
          <w:lang w:val="lt-LT"/>
        </w:rPr>
      </w:pPr>
      <w:r w:rsidRPr="00B76111">
        <w:rPr>
          <w:rStyle w:val="Puslapioinaosnuoroda"/>
          <w:lang w:val="lt-LT"/>
        </w:rPr>
        <w:footnoteRef/>
      </w:r>
      <w:r w:rsidRPr="00B76111">
        <w:rPr>
          <w:lang w:val="lt-LT"/>
        </w:rPr>
        <w:t xml:space="preserve"> ESCO Market Report 2013, European Commission, 2014; Market </w:t>
      </w:r>
      <w:r w:rsidRPr="001554CF">
        <w:rPr>
          <w:lang w:val="lt-LT"/>
        </w:rPr>
        <w:t>demand study for energy efficiency projects in the public sector in Lithuania, Prepared by “KPMG Baltics”, UAB “Glimstedt”, law firm “Ekotermija”, UAB, 2014.</w:t>
      </w:r>
    </w:p>
  </w:footnote>
  <w:footnote w:id="200">
    <w:p w14:paraId="10EF6AF0" w14:textId="77777777" w:rsidR="00A65A8D" w:rsidRPr="001554CF" w:rsidRDefault="00A65A8D" w:rsidP="00DF0329">
      <w:pPr>
        <w:pStyle w:val="Puslapioinaostekstas"/>
        <w:rPr>
          <w:lang w:val="lt-LT"/>
        </w:rPr>
      </w:pPr>
      <w:r w:rsidRPr="00B76111">
        <w:rPr>
          <w:rStyle w:val="Puslapioinaosnuoroda"/>
          <w:lang w:val="lt-LT"/>
        </w:rPr>
        <w:footnoteRef/>
      </w:r>
      <w:r w:rsidRPr="00B76111">
        <w:rPr>
          <w:lang w:val="lt-LT"/>
        </w:rPr>
        <w:t xml:space="preserve"> </w:t>
      </w:r>
      <w:r w:rsidRPr="001554CF">
        <w:rPr>
          <w:lang w:val="lt-LT"/>
        </w:rPr>
        <w:t>Jungtinės Karalystės</w:t>
      </w:r>
    </w:p>
  </w:footnote>
  <w:footnote w:id="201">
    <w:p w14:paraId="4BE620C0" w14:textId="77777777" w:rsidR="00A65A8D" w:rsidRPr="001554CF" w:rsidRDefault="00A65A8D" w:rsidP="00DF0329">
      <w:pPr>
        <w:pStyle w:val="Puslapioinaostekstas"/>
        <w:rPr>
          <w:lang w:val="lt-LT"/>
        </w:rPr>
      </w:pPr>
      <w:r w:rsidRPr="00B76111">
        <w:rPr>
          <w:rStyle w:val="Puslapioinaosnuoroda"/>
          <w:lang w:val="lt-LT"/>
        </w:rPr>
        <w:footnoteRef/>
      </w:r>
      <w:r w:rsidRPr="00B76111">
        <w:rPr>
          <w:lang w:val="lt-LT"/>
        </w:rPr>
        <w:t xml:space="preserve"> Angl. m</w:t>
      </w:r>
      <w:r w:rsidRPr="001554CF">
        <w:rPr>
          <w:lang w:val="lt-LT"/>
        </w:rPr>
        <w:t>ezzanine loans</w:t>
      </w:r>
    </w:p>
  </w:footnote>
  <w:footnote w:id="202">
    <w:p w14:paraId="56833BFE" w14:textId="77777777" w:rsidR="00A65A8D" w:rsidRPr="001554CF" w:rsidRDefault="00A65A8D" w:rsidP="00DF0329">
      <w:pPr>
        <w:pStyle w:val="Puslapioinaostekstas"/>
        <w:rPr>
          <w:lang w:val="lt-LT"/>
        </w:rPr>
      </w:pPr>
      <w:r w:rsidRPr="00B76111">
        <w:rPr>
          <w:rStyle w:val="Puslapioinaosnuoroda"/>
          <w:lang w:val="lt-LT"/>
        </w:rPr>
        <w:footnoteRef/>
      </w:r>
      <w:r w:rsidRPr="00B76111">
        <w:rPr>
          <w:lang w:val="lt-LT"/>
        </w:rPr>
        <w:t xml:space="preserve"> </w:t>
      </w:r>
      <w:r w:rsidRPr="001554CF">
        <w:rPr>
          <w:lang w:val="lt-LT"/>
        </w:rPr>
        <w:t>UK National Statistics</w:t>
      </w:r>
    </w:p>
  </w:footnote>
  <w:footnote w:id="203">
    <w:p w14:paraId="03A15BBD" w14:textId="77777777" w:rsidR="00A65A8D" w:rsidRPr="00B76111" w:rsidRDefault="00A65A8D" w:rsidP="00DF0329">
      <w:pPr>
        <w:pStyle w:val="Puslapioinaostekstas"/>
        <w:rPr>
          <w:lang w:val="lt-LT"/>
        </w:rPr>
      </w:pPr>
      <w:r w:rsidRPr="00B76111">
        <w:rPr>
          <w:rStyle w:val="Puslapioinaosnuoroda"/>
          <w:lang w:val="lt-LT"/>
        </w:rPr>
        <w:footnoteRef/>
      </w:r>
      <w:r w:rsidRPr="00B76111">
        <w:rPr>
          <w:lang w:val="lt-LT"/>
        </w:rPr>
        <w:t xml:space="preserve"> </w:t>
      </w:r>
      <w:hyperlink r:id="rId82" w:history="1">
        <w:r w:rsidRPr="00FB240F">
          <w:rPr>
            <w:rStyle w:val="Hipersaitas"/>
            <w:lang w:val="lt-LT"/>
          </w:rPr>
          <w:t>http://www.carbontrust.com/about-us/</w:t>
        </w:r>
      </w:hyperlink>
      <w:r w:rsidRPr="00B76111">
        <w:rPr>
          <w:lang w:val="lt-LT"/>
        </w:rPr>
        <w:t xml:space="preserve"> </w:t>
      </w:r>
    </w:p>
  </w:footnote>
  <w:footnote w:id="204">
    <w:p w14:paraId="60491AAE" w14:textId="77777777" w:rsidR="00A65A8D" w:rsidRPr="00FB240F" w:rsidRDefault="00A65A8D" w:rsidP="003C0F55">
      <w:pPr>
        <w:pStyle w:val="Puslapioinaostekstas"/>
        <w:rPr>
          <w:lang w:val="lt-LT"/>
        </w:rPr>
      </w:pPr>
      <w:r w:rsidRPr="00B76111">
        <w:rPr>
          <w:rStyle w:val="Puslapioinaosnuoroda"/>
          <w:lang w:val="lt-LT"/>
        </w:rPr>
        <w:footnoteRef/>
      </w:r>
      <w:r w:rsidRPr="00B76111">
        <w:rPr>
          <w:lang w:val="lt-LT"/>
        </w:rPr>
        <w:t xml:space="preserve"> </w:t>
      </w:r>
      <w:r w:rsidRPr="001554CF">
        <w:rPr>
          <w:lang w:val="lt-LT"/>
        </w:rPr>
        <w:t>Priklauso nuo projektų, kuriuos finansuojant buvo pažeistos valstybės pagalbos taisyklės, apimties.</w:t>
      </w:r>
    </w:p>
  </w:footnote>
  <w:footnote w:id="205">
    <w:p w14:paraId="6F9167D0" w14:textId="77777777" w:rsidR="00A65A8D" w:rsidRPr="001554CF" w:rsidRDefault="00A65A8D" w:rsidP="003C0F55">
      <w:pPr>
        <w:pStyle w:val="Puslapioinaostekstas"/>
        <w:rPr>
          <w:lang w:val="lt-LT"/>
        </w:rPr>
      </w:pPr>
      <w:r w:rsidRPr="00B76111">
        <w:rPr>
          <w:rStyle w:val="Puslapioinaosnuoroda"/>
          <w:lang w:val="lt-LT"/>
        </w:rPr>
        <w:footnoteRef/>
      </w:r>
      <w:r w:rsidRPr="00B76111">
        <w:rPr>
          <w:lang w:val="lt-LT"/>
        </w:rPr>
        <w:t xml:space="preserve"> </w:t>
      </w:r>
      <w:r w:rsidRPr="001554CF">
        <w:rPr>
          <w:lang w:val="lt-LT"/>
        </w:rPr>
        <w:t>Vertinama situacija, kai planuojamas ženklus finansinio sverto efektas.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220B1" w14:textId="77777777" w:rsidR="00A65A8D" w:rsidRDefault="00A65A8D">
    <w:pPr>
      <w:pStyle w:val="Antrats"/>
    </w:pPr>
    <w:r w:rsidRPr="003D1E6F">
      <w:rPr>
        <w:noProof/>
        <w:color w:val="FFFFFF" w:themeColor="background1"/>
        <w:lang w:val="lt-LT" w:eastAsia="lt-LT"/>
      </w:rPr>
      <mc:AlternateContent>
        <mc:Choice Requires="wps">
          <w:drawing>
            <wp:anchor distT="0" distB="0" distL="114300" distR="114300" simplePos="0" relativeHeight="251660288" behindDoc="0" locked="0" layoutInCell="0" allowOverlap="1" wp14:anchorId="7F7B68C3" wp14:editId="3C6F0C48">
              <wp:simplePos x="0" y="0"/>
              <wp:positionH relativeFrom="margin">
                <wp:align>left</wp:align>
              </wp:positionH>
              <wp:positionV relativeFrom="topMargin">
                <wp:align>center</wp:align>
              </wp:positionV>
              <wp:extent cx="5943600" cy="170815"/>
              <wp:effectExtent l="0" t="0" r="0" b="1905"/>
              <wp:wrapNone/>
              <wp:docPr id="473" name="473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AE76D" w14:textId="77777777" w:rsidR="00A65A8D" w:rsidRPr="003D1E6F" w:rsidRDefault="00A65A8D">
                          <w:pPr>
                            <w:spacing w:after="0" w:line="240" w:lineRule="auto"/>
                            <w:rPr>
                              <w:rFonts w:ascii="Georgia" w:hAnsi="Georgia"/>
                              <w:sz w:val="20"/>
                              <w:szCs w:val="20"/>
                            </w:rPr>
                          </w:pPr>
                          <w:r w:rsidRPr="003D1E6F">
                            <w:rPr>
                              <w:rFonts w:ascii="Georgia" w:hAnsi="Georgia"/>
                              <w:sz w:val="20"/>
                              <w:szCs w:val="20"/>
                              <w:lang w:val="lt-LT"/>
                            </w:rPr>
                            <w:t>Energijos efektyvumo išankstinio (ex-ante) vertinimo ataskaita</w:t>
                          </w:r>
                          <w:r w:rsidRPr="003D1E6F">
                            <w:rPr>
                              <w:rFonts w:ascii="Georgia" w:hAnsi="Georgia"/>
                              <w:sz w:val="20"/>
                              <w:szCs w:val="20"/>
                            </w:rPr>
                            <w:t xml:space="preserve">                              201</w:t>
                          </w:r>
                          <w:r>
                            <w:rPr>
                              <w:rFonts w:ascii="Georgia" w:hAnsi="Georgia"/>
                              <w:sz w:val="20"/>
                              <w:szCs w:val="20"/>
                            </w:rPr>
                            <w:t>5</w:t>
                          </w:r>
                          <w:r w:rsidRPr="003D1E6F">
                            <w:rPr>
                              <w:rFonts w:ascii="Georgia" w:hAnsi="Georgia"/>
                              <w:sz w:val="20"/>
                              <w:szCs w:val="20"/>
                            </w:rPr>
                            <w:t>-</w:t>
                          </w:r>
                          <w:r>
                            <w:rPr>
                              <w:rFonts w:ascii="Georgia" w:hAnsi="Georgia"/>
                              <w:sz w:val="20"/>
                              <w:szCs w:val="20"/>
                            </w:rPr>
                            <w:t>09</w:t>
                          </w:r>
                          <w:r w:rsidRPr="003D1E6F">
                            <w:rPr>
                              <w:rFonts w:ascii="Georgia" w:hAnsi="Georgia"/>
                              <w:sz w:val="20"/>
                              <w:szCs w:val="20"/>
                            </w:rPr>
                            <w:t>-</w:t>
                          </w:r>
                          <w:r>
                            <w:rPr>
                              <w:rFonts w:ascii="Georgia" w:hAnsi="Georgia"/>
                              <w:sz w:val="20"/>
                              <w:szCs w:val="20"/>
                            </w:rPr>
                            <w:t>07</w:t>
                          </w:r>
                          <w:r w:rsidRPr="003D1E6F">
                            <w:rPr>
                              <w:rFonts w:ascii="Georgia" w:hAnsi="Georgia"/>
                              <w:sz w:val="20"/>
                              <w:szCs w:val="20"/>
                            </w:rPr>
                            <w:t xml:space="preserve"> </w:t>
                          </w:r>
                          <w:r>
                            <w:rPr>
                              <w:rFonts w:ascii="Georgia" w:hAnsi="Georgia"/>
                              <w:sz w:val="20"/>
                              <w:szCs w:val="20"/>
                            </w:rPr>
                            <w:t xml:space="preserve">PK </w:t>
                          </w:r>
                          <w:r w:rsidRPr="003D1E6F">
                            <w:rPr>
                              <w:rFonts w:ascii="Georgia" w:hAnsi="Georgia"/>
                              <w:sz w:val="20"/>
                              <w:szCs w:val="20"/>
                            </w:rPr>
                            <w:t>V</w:t>
                          </w:r>
                          <w:r>
                            <w:rPr>
                              <w:rFonts w:ascii="Georgia" w:hAnsi="Georgia"/>
                              <w:sz w:val="20"/>
                              <w:szCs w:val="20"/>
                            </w:rPr>
                            <w:t>2</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473 teksto laukas" o:spid="_x0000_s1216"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" o:allowincell="f" filled="f" stroked="f">
              <v:textbox style="mso-fit-shape-to-text:t" inset=",0,,0">
                <w:txbxContent>
                  <w:p w14:paraId="79AAE76D" w14:textId="77777777" w:rsidR="00A65A8D" w:rsidRPr="003D1E6F" w:rsidRDefault="00A65A8D">
                    <w:pPr>
                      <w:spacing w:after="0" w:line="240" w:lineRule="auto"/>
                      <w:rPr>
                        <w:rFonts w:ascii="Georgia" w:hAnsi="Georgia"/>
                        <w:sz w:val="20"/>
                        <w:szCs w:val="20"/>
                      </w:rPr>
                    </w:pPr>
                    <w:r w:rsidRPr="003D1E6F">
                      <w:rPr>
                        <w:rFonts w:ascii="Georgia" w:hAnsi="Georgia"/>
                        <w:sz w:val="20"/>
                        <w:szCs w:val="20"/>
                        <w:lang w:val="lt-LT"/>
                      </w:rPr>
                      <w:t>Energijos efektyvumo išankstinio (ex-ante) vertinimo ataskaita</w:t>
                    </w:r>
                    <w:r w:rsidRPr="003D1E6F">
                      <w:rPr>
                        <w:rFonts w:ascii="Georgia" w:hAnsi="Georgia"/>
                        <w:sz w:val="20"/>
                        <w:szCs w:val="20"/>
                      </w:rPr>
                      <w:t xml:space="preserve">                              201</w:t>
                    </w:r>
                    <w:r>
                      <w:rPr>
                        <w:rFonts w:ascii="Georgia" w:hAnsi="Georgia"/>
                        <w:sz w:val="20"/>
                        <w:szCs w:val="20"/>
                      </w:rPr>
                      <w:t>5</w:t>
                    </w:r>
                    <w:r w:rsidRPr="003D1E6F">
                      <w:rPr>
                        <w:rFonts w:ascii="Georgia" w:hAnsi="Georgia"/>
                        <w:sz w:val="20"/>
                        <w:szCs w:val="20"/>
                      </w:rPr>
                      <w:t>-</w:t>
                    </w:r>
                    <w:r>
                      <w:rPr>
                        <w:rFonts w:ascii="Georgia" w:hAnsi="Georgia"/>
                        <w:sz w:val="20"/>
                        <w:szCs w:val="20"/>
                      </w:rPr>
                      <w:t>09</w:t>
                    </w:r>
                    <w:r w:rsidRPr="003D1E6F">
                      <w:rPr>
                        <w:rFonts w:ascii="Georgia" w:hAnsi="Georgia"/>
                        <w:sz w:val="20"/>
                        <w:szCs w:val="20"/>
                      </w:rPr>
                      <w:t>-</w:t>
                    </w:r>
                    <w:r>
                      <w:rPr>
                        <w:rFonts w:ascii="Georgia" w:hAnsi="Georgia"/>
                        <w:sz w:val="20"/>
                        <w:szCs w:val="20"/>
                      </w:rPr>
                      <w:t>07</w:t>
                    </w:r>
                    <w:r w:rsidRPr="003D1E6F">
                      <w:rPr>
                        <w:rFonts w:ascii="Georgia" w:hAnsi="Georgia"/>
                        <w:sz w:val="20"/>
                        <w:szCs w:val="20"/>
                      </w:rPr>
                      <w:t xml:space="preserve"> </w:t>
                    </w:r>
                    <w:r>
                      <w:rPr>
                        <w:rFonts w:ascii="Georgia" w:hAnsi="Georgia"/>
                        <w:sz w:val="20"/>
                        <w:szCs w:val="20"/>
                      </w:rPr>
                      <w:t xml:space="preserve">PK </w:t>
                    </w:r>
                    <w:r w:rsidRPr="003D1E6F">
                      <w:rPr>
                        <w:rFonts w:ascii="Georgia" w:hAnsi="Georgia"/>
                        <w:sz w:val="20"/>
                        <w:szCs w:val="20"/>
                      </w:rPr>
                      <w:t>V</w:t>
                    </w:r>
                    <w:r>
                      <w:rPr>
                        <w:rFonts w:ascii="Georgia" w:hAnsi="Georgia"/>
                        <w:sz w:val="20"/>
                        <w:szCs w:val="20"/>
                      </w:rPr>
                      <w:t>2</w:t>
                    </w:r>
                  </w:p>
                </w:txbxContent>
              </v:textbox>
              <w10:wrap anchorx="margin" anchory="margin"/>
            </v:shape>
          </w:pict>
        </mc:Fallback>
      </mc:AlternateContent>
    </w:r>
    <w:r w:rsidRPr="003D1E6F">
      <w:rPr>
        <w:noProof/>
        <w:color w:val="FFFFFF" w:themeColor="background1"/>
        <w:lang w:val="lt-LT" w:eastAsia="lt-LT"/>
      </w:rPr>
      <mc:AlternateContent>
        <mc:Choice Requires="wps">
          <w:drawing>
            <wp:anchor distT="0" distB="0" distL="114300" distR="114300" simplePos="0" relativeHeight="251659264" behindDoc="0" locked="0" layoutInCell="0" allowOverlap="1" wp14:anchorId="0B370159" wp14:editId="583B68FB">
              <wp:simplePos x="0" y="0"/>
              <wp:positionH relativeFrom="page">
                <wp:align>left</wp:align>
              </wp:positionH>
              <wp:positionV relativeFrom="topMargin">
                <wp:align>center</wp:align>
              </wp:positionV>
              <wp:extent cx="914400" cy="170815"/>
              <wp:effectExtent l="0" t="0" r="0" b="0"/>
              <wp:wrapNone/>
              <wp:docPr id="474" name="474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14:paraId="5C260A7A" w14:textId="2FC321C5" w:rsidR="00A65A8D" w:rsidRDefault="00A65A8D">
                          <w:pPr>
                            <w:spacing w:after="0" w:line="240" w:lineRule="auto"/>
                            <w:jc w:val="right"/>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00CB6759" w:rsidRPr="00CB6759">
                            <w:rPr>
                              <w:noProof/>
                              <w:color w:val="FFFFFF" w:themeColor="background1"/>
                              <w:lang w:val="lt-LT"/>
                              <w14:numForm w14:val="lining"/>
                            </w:rPr>
                            <w:t>82</w:t>
                          </w:r>
                          <w:r>
                            <w:rPr>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474 teksto laukas" o:spid="_x0000_s1217"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" o:allowincell="f" fillcolor="#4f81bd [3204]" stroked="f">
              <v:textbox style="mso-fit-shape-to-text:t" inset=",0,,0">
                <w:txbxContent>
                  <w:p w14:paraId="5C260A7A" w14:textId="2FC321C5" w:rsidR="00A65A8D" w:rsidRDefault="00A65A8D">
                    <w:pPr>
                      <w:spacing w:after="0" w:line="240" w:lineRule="auto"/>
                      <w:jc w:val="right"/>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00CB6759" w:rsidRPr="00CB6759">
                      <w:rPr>
                        <w:noProof/>
                        <w:color w:val="FFFFFF" w:themeColor="background1"/>
                        <w:lang w:val="lt-LT"/>
                        <w14:numForm w14:val="lining"/>
                      </w:rPr>
                      <w:t>82</w:t>
                    </w:r>
                    <w:r>
                      <w:rPr>
                        <w:color w:val="FFFFFF" w:themeColor="background1"/>
                        <w14:numForm w14:val="lining"/>
                      </w:rPr>
                      <w:fldChar w:fldCharType="end"/>
                    </w:r>
                  </w:p>
                </w:txbxContent>
              </v:textbox>
              <w10:wrap anchorx="page"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1AEEF" w14:textId="77777777" w:rsidR="00A65A8D" w:rsidRDefault="00A65A8D">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7C663" w14:textId="77777777" w:rsidR="00A65A8D" w:rsidRDefault="00A65A8D" w:rsidP="00634DF6">
    <w:pPr>
      <w:pStyle w:val="Antrats"/>
    </w:pPr>
    <w:r w:rsidRPr="003D1E6F">
      <w:rPr>
        <w:noProof/>
        <w:color w:val="FFFFFF" w:themeColor="background1"/>
        <w:lang w:val="lt-LT" w:eastAsia="lt-LT"/>
      </w:rPr>
      <mc:AlternateContent>
        <mc:Choice Requires="wps">
          <w:drawing>
            <wp:anchor distT="0" distB="0" distL="114300" distR="114300" simplePos="0" relativeHeight="251663360" behindDoc="0" locked="0" layoutInCell="0" allowOverlap="1" wp14:anchorId="7A37411E" wp14:editId="34CA173B">
              <wp:simplePos x="0" y="0"/>
              <wp:positionH relativeFrom="margin">
                <wp:align>left</wp:align>
              </wp:positionH>
              <wp:positionV relativeFrom="topMargin">
                <wp:align>center</wp:align>
              </wp:positionV>
              <wp:extent cx="5943600" cy="170815"/>
              <wp:effectExtent l="0" t="0" r="0" b="1905"/>
              <wp:wrapNone/>
              <wp:docPr id="211" name="473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47116" w14:textId="77777777" w:rsidR="00A65A8D" w:rsidRPr="003D1E6F" w:rsidRDefault="00A65A8D" w:rsidP="00634DF6">
                          <w:pPr>
                            <w:spacing w:after="0" w:line="240" w:lineRule="auto"/>
                            <w:rPr>
                              <w:rFonts w:ascii="Georgia" w:hAnsi="Georgia"/>
                              <w:sz w:val="20"/>
                              <w:szCs w:val="20"/>
                            </w:rPr>
                          </w:pPr>
                          <w:r w:rsidRPr="003D1E6F">
                            <w:rPr>
                              <w:rFonts w:ascii="Georgia" w:hAnsi="Georgia"/>
                              <w:sz w:val="20"/>
                              <w:szCs w:val="20"/>
                              <w:lang w:val="lt-LT"/>
                            </w:rPr>
                            <w:t>Energijos efektyvumo išankstinio (ex-ante) vertinimo ataskaita</w:t>
                          </w:r>
                          <w:r w:rsidRPr="003D1E6F">
                            <w:rPr>
                              <w:rFonts w:ascii="Georgia" w:hAnsi="Georgia"/>
                              <w:sz w:val="20"/>
                              <w:szCs w:val="20"/>
                            </w:rPr>
                            <w:t xml:space="preserve">                             </w:t>
                          </w:r>
                          <w:r>
                            <w:rPr>
                              <w:rFonts w:ascii="Georgia" w:hAnsi="Georgia"/>
                              <w:sz w:val="20"/>
                              <w:szCs w:val="20"/>
                            </w:rPr>
                            <w:t xml:space="preserve">  2015-09</w:t>
                          </w:r>
                          <w:r w:rsidRPr="003D1E6F">
                            <w:rPr>
                              <w:rFonts w:ascii="Georgia" w:hAnsi="Georgia"/>
                              <w:sz w:val="20"/>
                              <w:szCs w:val="20"/>
                            </w:rPr>
                            <w:t xml:space="preserve">-07 </w:t>
                          </w:r>
                          <w:r>
                            <w:rPr>
                              <w:rFonts w:ascii="Georgia" w:hAnsi="Georgia"/>
                              <w:sz w:val="20"/>
                              <w:szCs w:val="20"/>
                            </w:rPr>
                            <w:t>PK V2</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8" type="#_x0000_t202" style="position:absolute;margin-left:0;margin-top:0;width:468pt;height:13.45pt;z-index:25166336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" o:allowincell="f" filled="f" stroked="f">
              <v:textbox style="mso-fit-shape-to-text:t" inset=",0,,0">
                <w:txbxContent>
                  <w:p w14:paraId="7BE47116" w14:textId="77777777" w:rsidR="00A65A8D" w:rsidRPr="003D1E6F" w:rsidRDefault="00A65A8D" w:rsidP="00634DF6">
                    <w:pPr>
                      <w:spacing w:after="0" w:line="240" w:lineRule="auto"/>
                      <w:rPr>
                        <w:rFonts w:ascii="Georgia" w:hAnsi="Georgia"/>
                        <w:sz w:val="20"/>
                        <w:szCs w:val="20"/>
                      </w:rPr>
                    </w:pPr>
                    <w:r w:rsidRPr="003D1E6F">
                      <w:rPr>
                        <w:rFonts w:ascii="Georgia" w:hAnsi="Georgia"/>
                        <w:sz w:val="20"/>
                        <w:szCs w:val="20"/>
                        <w:lang w:val="lt-LT"/>
                      </w:rPr>
                      <w:t>Energijos efektyvumo išankstinio (ex-ante) vertinimo ataskaita</w:t>
                    </w:r>
                    <w:r w:rsidRPr="003D1E6F">
                      <w:rPr>
                        <w:rFonts w:ascii="Georgia" w:hAnsi="Georgia"/>
                        <w:sz w:val="20"/>
                        <w:szCs w:val="20"/>
                      </w:rPr>
                      <w:t xml:space="preserve">                             </w:t>
                    </w:r>
                    <w:r>
                      <w:rPr>
                        <w:rFonts w:ascii="Georgia" w:hAnsi="Georgia"/>
                        <w:sz w:val="20"/>
                        <w:szCs w:val="20"/>
                      </w:rPr>
                      <w:t xml:space="preserve">  2015-09</w:t>
                    </w:r>
                    <w:r w:rsidRPr="003D1E6F">
                      <w:rPr>
                        <w:rFonts w:ascii="Georgia" w:hAnsi="Georgia"/>
                        <w:sz w:val="20"/>
                        <w:szCs w:val="20"/>
                      </w:rPr>
                      <w:t xml:space="preserve">-07 </w:t>
                    </w:r>
                    <w:r>
                      <w:rPr>
                        <w:rFonts w:ascii="Georgia" w:hAnsi="Georgia"/>
                        <w:sz w:val="20"/>
                        <w:szCs w:val="20"/>
                      </w:rPr>
                      <w:t>PK V2</w:t>
                    </w:r>
                  </w:p>
                </w:txbxContent>
              </v:textbox>
              <w10:wrap anchorx="margin" anchory="margin"/>
            </v:shape>
          </w:pict>
        </mc:Fallback>
      </mc:AlternateContent>
    </w:r>
    <w:r w:rsidRPr="003D1E6F">
      <w:rPr>
        <w:noProof/>
        <w:color w:val="FFFFFF" w:themeColor="background1"/>
        <w:lang w:val="lt-LT" w:eastAsia="lt-LT"/>
      </w:rPr>
      <mc:AlternateContent>
        <mc:Choice Requires="wps">
          <w:drawing>
            <wp:anchor distT="0" distB="0" distL="114300" distR="114300" simplePos="0" relativeHeight="251662336" behindDoc="0" locked="0" layoutInCell="0" allowOverlap="1" wp14:anchorId="47EA0BAC" wp14:editId="78CEAC22">
              <wp:simplePos x="0" y="0"/>
              <wp:positionH relativeFrom="page">
                <wp:align>left</wp:align>
              </wp:positionH>
              <wp:positionV relativeFrom="topMargin">
                <wp:align>center</wp:align>
              </wp:positionV>
              <wp:extent cx="914400" cy="170815"/>
              <wp:effectExtent l="0" t="0" r="0" b="0"/>
              <wp:wrapNone/>
              <wp:docPr id="212" name="474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14:paraId="1711D080" w14:textId="46FDB4E2" w:rsidR="00A65A8D" w:rsidRDefault="00A65A8D" w:rsidP="00634DF6">
                          <w:pPr>
                            <w:spacing w:after="0" w:line="240" w:lineRule="auto"/>
                            <w:jc w:val="right"/>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00CB6759" w:rsidRPr="00CB6759">
                            <w:rPr>
                              <w:noProof/>
                              <w:color w:val="FFFFFF" w:themeColor="background1"/>
                              <w:lang w:val="lt-LT"/>
                              <w14:numForm w14:val="lining"/>
                            </w:rPr>
                            <w:t>256</w:t>
                          </w:r>
                          <w:r>
                            <w:rPr>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_x0000_s1219" type="#_x0000_t202" style="position:absolute;margin-left:0;margin-top:0;width:1in;height:13.45pt;z-index:25166233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" o:allowincell="f" fillcolor="#4f81bd [3204]" stroked="f">
              <v:textbox style="mso-fit-shape-to-text:t" inset=",0,,0">
                <w:txbxContent>
                  <w:p w14:paraId="1711D080" w14:textId="46FDB4E2" w:rsidR="00A65A8D" w:rsidRDefault="00A65A8D" w:rsidP="00634DF6">
                    <w:pPr>
                      <w:spacing w:after="0" w:line="240" w:lineRule="auto"/>
                      <w:jc w:val="right"/>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00CB6759" w:rsidRPr="00CB6759">
                      <w:rPr>
                        <w:noProof/>
                        <w:color w:val="FFFFFF" w:themeColor="background1"/>
                        <w:lang w:val="lt-LT"/>
                        <w14:numForm w14:val="lining"/>
                      </w:rPr>
                      <w:t>256</w:t>
                    </w:r>
                    <w:r>
                      <w:rPr>
                        <w:color w:val="FFFFFF" w:themeColor="background1"/>
                        <w14:numForm w14:val="lining"/>
                      </w:rPr>
                      <w:fldChar w:fldCharType="end"/>
                    </w:r>
                  </w:p>
                </w:txbxContent>
              </v:textbox>
              <w10:wrap anchorx="page" anchory="margin"/>
            </v:shape>
          </w:pict>
        </mc:Fallback>
      </mc:AlternateContent>
    </w:r>
  </w:p>
  <w:p w14:paraId="71129615" w14:textId="77777777" w:rsidR="00A65A8D" w:rsidRDefault="00A65A8D">
    <w:pPr>
      <w:pStyle w:val="Antrats"/>
      <w:jc w:val="center"/>
    </w:pPr>
  </w:p>
  <w:p w14:paraId="7114A6D3" w14:textId="77777777" w:rsidR="00A65A8D" w:rsidRDefault="00A65A8D">
    <w:pPr>
      <w:pStyle w:val="Antrat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BDBAE" w14:textId="77777777" w:rsidR="00A65A8D" w:rsidRDefault="00A65A8D">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7C0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0A43587"/>
    <w:multiLevelType w:val="hybridMultilevel"/>
    <w:tmpl w:val="4ED24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261D15"/>
    <w:multiLevelType w:val="hybridMultilevel"/>
    <w:tmpl w:val="7F2C6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2662B3A"/>
    <w:multiLevelType w:val="hybridMultilevel"/>
    <w:tmpl w:val="154689D2"/>
    <w:lvl w:ilvl="0" w:tplc="0D88879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2995DD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7061847"/>
    <w:multiLevelType w:val="hybridMultilevel"/>
    <w:tmpl w:val="00FAE3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AC3D5F"/>
    <w:multiLevelType w:val="hybridMultilevel"/>
    <w:tmpl w:val="30823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A157D21"/>
    <w:multiLevelType w:val="multilevel"/>
    <w:tmpl w:val="ED2C6E5A"/>
    <w:lvl w:ilvl="0">
      <w:start w:val="1"/>
      <w:numFmt w:val="decimal"/>
      <w:lvlText w:val="%1."/>
      <w:lvlJc w:val="left"/>
      <w:pPr>
        <w:ind w:left="720" w:hanging="360"/>
      </w:pPr>
      <w:rPr>
        <w:rFonts w:cs="Arial" w:hint="default"/>
        <w:color w:val="00000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0B2C482D"/>
    <w:multiLevelType w:val="hybridMultilevel"/>
    <w:tmpl w:val="49B03DB0"/>
    <w:lvl w:ilvl="0" w:tplc="0427001B">
      <w:start w:val="1"/>
      <w:numFmt w:val="lowerRoman"/>
      <w:lvlText w:val="%1."/>
      <w:lvlJc w:val="right"/>
      <w:pPr>
        <w:ind w:left="6660" w:hanging="360"/>
      </w:pPr>
    </w:lvl>
    <w:lvl w:ilvl="1" w:tplc="04270019" w:tentative="1">
      <w:start w:val="1"/>
      <w:numFmt w:val="lowerLetter"/>
      <w:lvlText w:val="%2."/>
      <w:lvlJc w:val="left"/>
      <w:pPr>
        <w:ind w:left="7380" w:hanging="360"/>
      </w:pPr>
    </w:lvl>
    <w:lvl w:ilvl="2" w:tplc="0427001B" w:tentative="1">
      <w:start w:val="1"/>
      <w:numFmt w:val="lowerRoman"/>
      <w:lvlText w:val="%3."/>
      <w:lvlJc w:val="right"/>
      <w:pPr>
        <w:ind w:left="8100" w:hanging="180"/>
      </w:pPr>
    </w:lvl>
    <w:lvl w:ilvl="3" w:tplc="0427000F" w:tentative="1">
      <w:start w:val="1"/>
      <w:numFmt w:val="decimal"/>
      <w:lvlText w:val="%4."/>
      <w:lvlJc w:val="left"/>
      <w:pPr>
        <w:ind w:left="8820" w:hanging="360"/>
      </w:pPr>
    </w:lvl>
    <w:lvl w:ilvl="4" w:tplc="04270019" w:tentative="1">
      <w:start w:val="1"/>
      <w:numFmt w:val="lowerLetter"/>
      <w:lvlText w:val="%5."/>
      <w:lvlJc w:val="left"/>
      <w:pPr>
        <w:ind w:left="9540" w:hanging="360"/>
      </w:pPr>
    </w:lvl>
    <w:lvl w:ilvl="5" w:tplc="0427001B" w:tentative="1">
      <w:start w:val="1"/>
      <w:numFmt w:val="lowerRoman"/>
      <w:lvlText w:val="%6."/>
      <w:lvlJc w:val="right"/>
      <w:pPr>
        <w:ind w:left="10260" w:hanging="180"/>
      </w:pPr>
    </w:lvl>
    <w:lvl w:ilvl="6" w:tplc="0427000F" w:tentative="1">
      <w:start w:val="1"/>
      <w:numFmt w:val="decimal"/>
      <w:lvlText w:val="%7."/>
      <w:lvlJc w:val="left"/>
      <w:pPr>
        <w:ind w:left="10980" w:hanging="360"/>
      </w:pPr>
    </w:lvl>
    <w:lvl w:ilvl="7" w:tplc="04270019" w:tentative="1">
      <w:start w:val="1"/>
      <w:numFmt w:val="lowerLetter"/>
      <w:lvlText w:val="%8."/>
      <w:lvlJc w:val="left"/>
      <w:pPr>
        <w:ind w:left="11700" w:hanging="360"/>
      </w:pPr>
    </w:lvl>
    <w:lvl w:ilvl="8" w:tplc="0427001B" w:tentative="1">
      <w:start w:val="1"/>
      <w:numFmt w:val="lowerRoman"/>
      <w:lvlText w:val="%9."/>
      <w:lvlJc w:val="right"/>
      <w:pPr>
        <w:ind w:left="12420" w:hanging="180"/>
      </w:pPr>
    </w:lvl>
  </w:abstractNum>
  <w:abstractNum w:abstractNumId="9">
    <w:nsid w:val="0B963D67"/>
    <w:multiLevelType w:val="multilevel"/>
    <w:tmpl w:val="0427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0C5411D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CF075B1"/>
    <w:multiLevelType w:val="hybridMultilevel"/>
    <w:tmpl w:val="40BE1C88"/>
    <w:lvl w:ilvl="0" w:tplc="0427001B">
      <w:start w:val="1"/>
      <w:numFmt w:val="lowerRoman"/>
      <w:lvlText w:val="%1."/>
      <w:lvlJc w:val="right"/>
      <w:pPr>
        <w:ind w:left="6660" w:hanging="360"/>
      </w:pPr>
    </w:lvl>
    <w:lvl w:ilvl="1" w:tplc="04270019" w:tentative="1">
      <w:start w:val="1"/>
      <w:numFmt w:val="lowerLetter"/>
      <w:lvlText w:val="%2."/>
      <w:lvlJc w:val="left"/>
      <w:pPr>
        <w:ind w:left="7380" w:hanging="360"/>
      </w:pPr>
    </w:lvl>
    <w:lvl w:ilvl="2" w:tplc="0427001B" w:tentative="1">
      <w:start w:val="1"/>
      <w:numFmt w:val="lowerRoman"/>
      <w:lvlText w:val="%3."/>
      <w:lvlJc w:val="right"/>
      <w:pPr>
        <w:ind w:left="8100" w:hanging="180"/>
      </w:pPr>
    </w:lvl>
    <w:lvl w:ilvl="3" w:tplc="0427000F" w:tentative="1">
      <w:start w:val="1"/>
      <w:numFmt w:val="decimal"/>
      <w:lvlText w:val="%4."/>
      <w:lvlJc w:val="left"/>
      <w:pPr>
        <w:ind w:left="8820" w:hanging="360"/>
      </w:pPr>
    </w:lvl>
    <w:lvl w:ilvl="4" w:tplc="04270019" w:tentative="1">
      <w:start w:val="1"/>
      <w:numFmt w:val="lowerLetter"/>
      <w:lvlText w:val="%5."/>
      <w:lvlJc w:val="left"/>
      <w:pPr>
        <w:ind w:left="9540" w:hanging="360"/>
      </w:pPr>
    </w:lvl>
    <w:lvl w:ilvl="5" w:tplc="0427001B" w:tentative="1">
      <w:start w:val="1"/>
      <w:numFmt w:val="lowerRoman"/>
      <w:lvlText w:val="%6."/>
      <w:lvlJc w:val="right"/>
      <w:pPr>
        <w:ind w:left="10260" w:hanging="180"/>
      </w:pPr>
    </w:lvl>
    <w:lvl w:ilvl="6" w:tplc="0427000F" w:tentative="1">
      <w:start w:val="1"/>
      <w:numFmt w:val="decimal"/>
      <w:lvlText w:val="%7."/>
      <w:lvlJc w:val="left"/>
      <w:pPr>
        <w:ind w:left="10980" w:hanging="360"/>
      </w:pPr>
    </w:lvl>
    <w:lvl w:ilvl="7" w:tplc="04270019" w:tentative="1">
      <w:start w:val="1"/>
      <w:numFmt w:val="lowerLetter"/>
      <w:lvlText w:val="%8."/>
      <w:lvlJc w:val="left"/>
      <w:pPr>
        <w:ind w:left="11700" w:hanging="360"/>
      </w:pPr>
    </w:lvl>
    <w:lvl w:ilvl="8" w:tplc="0427001B" w:tentative="1">
      <w:start w:val="1"/>
      <w:numFmt w:val="lowerRoman"/>
      <w:lvlText w:val="%9."/>
      <w:lvlJc w:val="right"/>
      <w:pPr>
        <w:ind w:left="12420" w:hanging="180"/>
      </w:pPr>
    </w:lvl>
  </w:abstractNum>
  <w:abstractNum w:abstractNumId="12">
    <w:nsid w:val="10327C49"/>
    <w:multiLevelType w:val="hybridMultilevel"/>
    <w:tmpl w:val="524EFE42"/>
    <w:lvl w:ilvl="0" w:tplc="928C6788">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3">
    <w:nsid w:val="10E96A6F"/>
    <w:multiLevelType w:val="hybridMultilevel"/>
    <w:tmpl w:val="F6442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55068B"/>
    <w:multiLevelType w:val="hybridMultilevel"/>
    <w:tmpl w:val="762C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F47590"/>
    <w:multiLevelType w:val="hybridMultilevel"/>
    <w:tmpl w:val="83BE7826"/>
    <w:lvl w:ilvl="0" w:tplc="DBF27E5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6CC3EFF"/>
    <w:multiLevelType w:val="hybridMultilevel"/>
    <w:tmpl w:val="EEEC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5250CC"/>
    <w:multiLevelType w:val="hybridMultilevel"/>
    <w:tmpl w:val="F1A4E888"/>
    <w:lvl w:ilvl="0" w:tplc="BEE634A4">
      <w:start w:val="2"/>
      <w:numFmt w:val="bullet"/>
      <w:lvlText w:val="-"/>
      <w:lvlJc w:val="left"/>
      <w:pPr>
        <w:ind w:left="720" w:hanging="360"/>
      </w:pPr>
      <w:rPr>
        <w:rFonts w:ascii="Georgia" w:eastAsiaTheme="minorHAnsi" w:hAnsi="Georgia" w:cs="Georgia"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nsid w:val="175B2709"/>
    <w:multiLevelType w:val="hybridMultilevel"/>
    <w:tmpl w:val="8DE04D4A"/>
    <w:lvl w:ilvl="0" w:tplc="55E8FCBE">
      <w:start w:val="10"/>
      <w:numFmt w:val="bullet"/>
      <w:lvlText w:val="-"/>
      <w:lvlJc w:val="left"/>
      <w:pPr>
        <w:ind w:left="720" w:hanging="360"/>
      </w:pPr>
      <w:rPr>
        <w:rFonts w:ascii="Georgia" w:eastAsia="Calibri" w:hAnsi="Georgia"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nsid w:val="18150174"/>
    <w:multiLevelType w:val="hybridMultilevel"/>
    <w:tmpl w:val="FC3E65A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998068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A3E638F"/>
    <w:multiLevelType w:val="hybridMultilevel"/>
    <w:tmpl w:val="41B8B504"/>
    <w:lvl w:ilvl="0" w:tplc="0427001B">
      <w:start w:val="1"/>
      <w:numFmt w:val="lowerRoman"/>
      <w:lvlText w:val="%1."/>
      <w:lvlJc w:val="right"/>
      <w:pPr>
        <w:ind w:left="1080" w:hanging="360"/>
      </w:pPr>
    </w:lvl>
    <w:lvl w:ilvl="1" w:tplc="0427001B">
      <w:start w:val="1"/>
      <w:numFmt w:val="lowerRoman"/>
      <w:lvlText w:val="%2."/>
      <w:lvlJc w:val="righ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2">
    <w:nsid w:val="1C07025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1CC206BB"/>
    <w:multiLevelType w:val="hybridMultilevel"/>
    <w:tmpl w:val="41829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DC25710"/>
    <w:multiLevelType w:val="hybridMultilevel"/>
    <w:tmpl w:val="2E92E4BA"/>
    <w:lvl w:ilvl="0" w:tplc="DE108816">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5">
    <w:nsid w:val="1F4B2ABD"/>
    <w:multiLevelType w:val="hybridMultilevel"/>
    <w:tmpl w:val="9A74BFD8"/>
    <w:lvl w:ilvl="0" w:tplc="64044760">
      <w:start w:val="2013"/>
      <w:numFmt w:val="bullet"/>
      <w:lvlText w:val="-"/>
      <w:lvlJc w:val="left"/>
      <w:pPr>
        <w:ind w:left="720" w:hanging="360"/>
      </w:pPr>
      <w:rPr>
        <w:rFonts w:ascii="FranklinGothicBookITC-Regular" w:eastAsia="Calibri" w:hAnsi="FranklinGothicBookITC-Regular" w:cs="FranklinGothicBookITC-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07B537A"/>
    <w:multiLevelType w:val="hybridMultilevel"/>
    <w:tmpl w:val="40BE1C88"/>
    <w:lvl w:ilvl="0" w:tplc="0427001B">
      <w:start w:val="1"/>
      <w:numFmt w:val="lowerRoman"/>
      <w:lvlText w:val="%1."/>
      <w:lvlJc w:val="right"/>
      <w:pPr>
        <w:ind w:left="6660" w:hanging="360"/>
      </w:pPr>
    </w:lvl>
    <w:lvl w:ilvl="1" w:tplc="04270019" w:tentative="1">
      <w:start w:val="1"/>
      <w:numFmt w:val="lowerLetter"/>
      <w:lvlText w:val="%2."/>
      <w:lvlJc w:val="left"/>
      <w:pPr>
        <w:ind w:left="7380" w:hanging="360"/>
      </w:pPr>
    </w:lvl>
    <w:lvl w:ilvl="2" w:tplc="0427001B" w:tentative="1">
      <w:start w:val="1"/>
      <w:numFmt w:val="lowerRoman"/>
      <w:lvlText w:val="%3."/>
      <w:lvlJc w:val="right"/>
      <w:pPr>
        <w:ind w:left="8100" w:hanging="180"/>
      </w:pPr>
    </w:lvl>
    <w:lvl w:ilvl="3" w:tplc="0427000F" w:tentative="1">
      <w:start w:val="1"/>
      <w:numFmt w:val="decimal"/>
      <w:lvlText w:val="%4."/>
      <w:lvlJc w:val="left"/>
      <w:pPr>
        <w:ind w:left="8820" w:hanging="360"/>
      </w:pPr>
    </w:lvl>
    <w:lvl w:ilvl="4" w:tplc="04270019" w:tentative="1">
      <w:start w:val="1"/>
      <w:numFmt w:val="lowerLetter"/>
      <w:lvlText w:val="%5."/>
      <w:lvlJc w:val="left"/>
      <w:pPr>
        <w:ind w:left="9540" w:hanging="360"/>
      </w:pPr>
    </w:lvl>
    <w:lvl w:ilvl="5" w:tplc="0427001B" w:tentative="1">
      <w:start w:val="1"/>
      <w:numFmt w:val="lowerRoman"/>
      <w:lvlText w:val="%6."/>
      <w:lvlJc w:val="right"/>
      <w:pPr>
        <w:ind w:left="10260" w:hanging="180"/>
      </w:pPr>
    </w:lvl>
    <w:lvl w:ilvl="6" w:tplc="0427000F" w:tentative="1">
      <w:start w:val="1"/>
      <w:numFmt w:val="decimal"/>
      <w:lvlText w:val="%7."/>
      <w:lvlJc w:val="left"/>
      <w:pPr>
        <w:ind w:left="10980" w:hanging="360"/>
      </w:pPr>
    </w:lvl>
    <w:lvl w:ilvl="7" w:tplc="04270019" w:tentative="1">
      <w:start w:val="1"/>
      <w:numFmt w:val="lowerLetter"/>
      <w:lvlText w:val="%8."/>
      <w:lvlJc w:val="left"/>
      <w:pPr>
        <w:ind w:left="11700" w:hanging="360"/>
      </w:pPr>
    </w:lvl>
    <w:lvl w:ilvl="8" w:tplc="0427001B" w:tentative="1">
      <w:start w:val="1"/>
      <w:numFmt w:val="lowerRoman"/>
      <w:lvlText w:val="%9."/>
      <w:lvlJc w:val="right"/>
      <w:pPr>
        <w:ind w:left="12420" w:hanging="180"/>
      </w:pPr>
    </w:lvl>
  </w:abstractNum>
  <w:abstractNum w:abstractNumId="27">
    <w:nsid w:val="21211A80"/>
    <w:multiLevelType w:val="hybridMultilevel"/>
    <w:tmpl w:val="AAE23D9A"/>
    <w:lvl w:ilvl="0" w:tplc="04090011">
      <w:start w:val="1"/>
      <w:numFmt w:val="decimal"/>
      <w:lvlText w:val="%1)"/>
      <w:lvlJc w:val="left"/>
      <w:pPr>
        <w:ind w:left="720" w:hanging="360"/>
      </w:pPr>
    </w:lvl>
    <w:lvl w:ilvl="1" w:tplc="A8B0063A">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163796B"/>
    <w:multiLevelType w:val="hybridMultilevel"/>
    <w:tmpl w:val="90EC4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25B3F0B"/>
    <w:multiLevelType w:val="hybridMultilevel"/>
    <w:tmpl w:val="88A6D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3C4597E"/>
    <w:multiLevelType w:val="hybridMultilevel"/>
    <w:tmpl w:val="972617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4BC0165"/>
    <w:multiLevelType w:val="hybridMultilevel"/>
    <w:tmpl w:val="1C2067C6"/>
    <w:lvl w:ilvl="0" w:tplc="9A402642">
      <w:start w:val="1"/>
      <w:numFmt w:val="lowerLetter"/>
      <w:lvlText w:val="%1)"/>
      <w:lvlJc w:val="left"/>
      <w:pPr>
        <w:ind w:left="644" w:hanging="360"/>
      </w:pPr>
      <w:rPr>
        <w:rFonts w:hint="default"/>
        <w:sz w:val="20"/>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2">
    <w:nsid w:val="25887F80"/>
    <w:multiLevelType w:val="hybridMultilevel"/>
    <w:tmpl w:val="6F3CC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7274B53"/>
    <w:multiLevelType w:val="hybridMultilevel"/>
    <w:tmpl w:val="487075AC"/>
    <w:lvl w:ilvl="0" w:tplc="7142576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86D239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291B2F89"/>
    <w:multiLevelType w:val="hybridMultilevel"/>
    <w:tmpl w:val="F79A8E6C"/>
    <w:lvl w:ilvl="0" w:tplc="04270011">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6">
    <w:nsid w:val="29654F5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29FD1907"/>
    <w:multiLevelType w:val="multilevel"/>
    <w:tmpl w:val="0427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786"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2B9E1360"/>
    <w:multiLevelType w:val="multilevel"/>
    <w:tmpl w:val="0427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786"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2D392C06"/>
    <w:multiLevelType w:val="multilevel"/>
    <w:tmpl w:val="24B4770C"/>
    <w:lvl w:ilvl="0">
      <w:start w:val="1"/>
      <w:numFmt w:val="decimal"/>
      <w:lvlText w:val="%1."/>
      <w:lvlJc w:val="left"/>
      <w:pPr>
        <w:ind w:left="720" w:hanging="360"/>
      </w:pPr>
      <w:rPr>
        <w:rFonts w:hint="default"/>
      </w:rPr>
    </w:lvl>
    <w:lvl w:ilvl="1">
      <w:start w:val="2"/>
      <w:numFmt w:val="decimal"/>
      <w:isLgl/>
      <w:lvlText w:val="%1.%2."/>
      <w:lvlJc w:val="left"/>
      <w:pPr>
        <w:ind w:left="1200" w:hanging="840"/>
      </w:pPr>
      <w:rPr>
        <w:rFonts w:hint="default"/>
      </w:rPr>
    </w:lvl>
    <w:lvl w:ilvl="2">
      <w:start w:val="1"/>
      <w:numFmt w:val="decimal"/>
      <w:isLgl/>
      <w:lvlText w:val="%1.%2.%3."/>
      <w:lvlJc w:val="left"/>
      <w:pPr>
        <w:ind w:left="1200" w:hanging="840"/>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2D5305F0"/>
    <w:multiLevelType w:val="hybridMultilevel"/>
    <w:tmpl w:val="70B2D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DDE5C89"/>
    <w:multiLevelType w:val="hybridMultilevel"/>
    <w:tmpl w:val="5C7C5C0A"/>
    <w:lvl w:ilvl="0" w:tplc="0427001B">
      <w:start w:val="1"/>
      <w:numFmt w:val="lowerRoman"/>
      <w:lvlText w:val="%1."/>
      <w:lvlJc w:val="right"/>
      <w:pPr>
        <w:ind w:left="6660" w:hanging="360"/>
      </w:pPr>
    </w:lvl>
    <w:lvl w:ilvl="1" w:tplc="04270019" w:tentative="1">
      <w:start w:val="1"/>
      <w:numFmt w:val="lowerLetter"/>
      <w:lvlText w:val="%2."/>
      <w:lvlJc w:val="left"/>
      <w:pPr>
        <w:ind w:left="7380" w:hanging="360"/>
      </w:pPr>
    </w:lvl>
    <w:lvl w:ilvl="2" w:tplc="0427001B" w:tentative="1">
      <w:start w:val="1"/>
      <w:numFmt w:val="lowerRoman"/>
      <w:lvlText w:val="%3."/>
      <w:lvlJc w:val="right"/>
      <w:pPr>
        <w:ind w:left="8100" w:hanging="180"/>
      </w:pPr>
    </w:lvl>
    <w:lvl w:ilvl="3" w:tplc="0427000F" w:tentative="1">
      <w:start w:val="1"/>
      <w:numFmt w:val="decimal"/>
      <w:lvlText w:val="%4."/>
      <w:lvlJc w:val="left"/>
      <w:pPr>
        <w:ind w:left="8820" w:hanging="360"/>
      </w:pPr>
    </w:lvl>
    <w:lvl w:ilvl="4" w:tplc="04270019" w:tentative="1">
      <w:start w:val="1"/>
      <w:numFmt w:val="lowerLetter"/>
      <w:lvlText w:val="%5."/>
      <w:lvlJc w:val="left"/>
      <w:pPr>
        <w:ind w:left="9540" w:hanging="360"/>
      </w:pPr>
    </w:lvl>
    <w:lvl w:ilvl="5" w:tplc="0427001B" w:tentative="1">
      <w:start w:val="1"/>
      <w:numFmt w:val="lowerRoman"/>
      <w:lvlText w:val="%6."/>
      <w:lvlJc w:val="right"/>
      <w:pPr>
        <w:ind w:left="10260" w:hanging="180"/>
      </w:pPr>
    </w:lvl>
    <w:lvl w:ilvl="6" w:tplc="0427000F" w:tentative="1">
      <w:start w:val="1"/>
      <w:numFmt w:val="decimal"/>
      <w:lvlText w:val="%7."/>
      <w:lvlJc w:val="left"/>
      <w:pPr>
        <w:ind w:left="10980" w:hanging="360"/>
      </w:pPr>
    </w:lvl>
    <w:lvl w:ilvl="7" w:tplc="04270019" w:tentative="1">
      <w:start w:val="1"/>
      <w:numFmt w:val="lowerLetter"/>
      <w:lvlText w:val="%8."/>
      <w:lvlJc w:val="left"/>
      <w:pPr>
        <w:ind w:left="11700" w:hanging="360"/>
      </w:pPr>
    </w:lvl>
    <w:lvl w:ilvl="8" w:tplc="0427001B" w:tentative="1">
      <w:start w:val="1"/>
      <w:numFmt w:val="lowerRoman"/>
      <w:lvlText w:val="%9."/>
      <w:lvlJc w:val="right"/>
      <w:pPr>
        <w:ind w:left="12420" w:hanging="180"/>
      </w:pPr>
    </w:lvl>
  </w:abstractNum>
  <w:abstractNum w:abstractNumId="42">
    <w:nsid w:val="2F5A53A1"/>
    <w:multiLevelType w:val="hybridMultilevel"/>
    <w:tmpl w:val="8160B3D4"/>
    <w:lvl w:ilvl="0" w:tplc="3E48DA20">
      <w:start w:val="4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2FC312EA"/>
    <w:multiLevelType w:val="hybridMultilevel"/>
    <w:tmpl w:val="B544914A"/>
    <w:lvl w:ilvl="0" w:tplc="0409000F">
      <w:start w:val="1"/>
      <w:numFmt w:val="decimal"/>
      <w:lvlText w:val="%1."/>
      <w:lvlJc w:val="left"/>
      <w:pPr>
        <w:ind w:left="720" w:hanging="360"/>
      </w:p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4">
    <w:nsid w:val="31B470E3"/>
    <w:multiLevelType w:val="hybridMultilevel"/>
    <w:tmpl w:val="139E1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28F428F"/>
    <w:multiLevelType w:val="hybridMultilevel"/>
    <w:tmpl w:val="6FEAB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35B5F0F"/>
    <w:multiLevelType w:val="hybridMultilevel"/>
    <w:tmpl w:val="1F80E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48D3093"/>
    <w:multiLevelType w:val="hybridMultilevel"/>
    <w:tmpl w:val="67349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35A376BF"/>
    <w:multiLevelType w:val="hybridMultilevel"/>
    <w:tmpl w:val="AAE23D9A"/>
    <w:lvl w:ilvl="0" w:tplc="04090011">
      <w:start w:val="1"/>
      <w:numFmt w:val="decimal"/>
      <w:lvlText w:val="%1)"/>
      <w:lvlJc w:val="left"/>
      <w:pPr>
        <w:ind w:left="720" w:hanging="360"/>
      </w:pPr>
    </w:lvl>
    <w:lvl w:ilvl="1" w:tplc="A8B0063A">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6B7527E"/>
    <w:multiLevelType w:val="hybridMultilevel"/>
    <w:tmpl w:val="40BE1C88"/>
    <w:lvl w:ilvl="0" w:tplc="0427001B">
      <w:start w:val="1"/>
      <w:numFmt w:val="lowerRoman"/>
      <w:lvlText w:val="%1."/>
      <w:lvlJc w:val="right"/>
      <w:pPr>
        <w:ind w:left="6660" w:hanging="360"/>
      </w:pPr>
    </w:lvl>
    <w:lvl w:ilvl="1" w:tplc="04270019" w:tentative="1">
      <w:start w:val="1"/>
      <w:numFmt w:val="lowerLetter"/>
      <w:lvlText w:val="%2."/>
      <w:lvlJc w:val="left"/>
      <w:pPr>
        <w:ind w:left="7380" w:hanging="360"/>
      </w:pPr>
    </w:lvl>
    <w:lvl w:ilvl="2" w:tplc="0427001B" w:tentative="1">
      <w:start w:val="1"/>
      <w:numFmt w:val="lowerRoman"/>
      <w:lvlText w:val="%3."/>
      <w:lvlJc w:val="right"/>
      <w:pPr>
        <w:ind w:left="8100" w:hanging="180"/>
      </w:pPr>
    </w:lvl>
    <w:lvl w:ilvl="3" w:tplc="0427000F" w:tentative="1">
      <w:start w:val="1"/>
      <w:numFmt w:val="decimal"/>
      <w:lvlText w:val="%4."/>
      <w:lvlJc w:val="left"/>
      <w:pPr>
        <w:ind w:left="8820" w:hanging="360"/>
      </w:pPr>
    </w:lvl>
    <w:lvl w:ilvl="4" w:tplc="04270019" w:tentative="1">
      <w:start w:val="1"/>
      <w:numFmt w:val="lowerLetter"/>
      <w:lvlText w:val="%5."/>
      <w:lvlJc w:val="left"/>
      <w:pPr>
        <w:ind w:left="9540" w:hanging="360"/>
      </w:pPr>
    </w:lvl>
    <w:lvl w:ilvl="5" w:tplc="0427001B" w:tentative="1">
      <w:start w:val="1"/>
      <w:numFmt w:val="lowerRoman"/>
      <w:lvlText w:val="%6."/>
      <w:lvlJc w:val="right"/>
      <w:pPr>
        <w:ind w:left="10260" w:hanging="180"/>
      </w:pPr>
    </w:lvl>
    <w:lvl w:ilvl="6" w:tplc="0427000F" w:tentative="1">
      <w:start w:val="1"/>
      <w:numFmt w:val="decimal"/>
      <w:lvlText w:val="%7."/>
      <w:lvlJc w:val="left"/>
      <w:pPr>
        <w:ind w:left="10980" w:hanging="360"/>
      </w:pPr>
    </w:lvl>
    <w:lvl w:ilvl="7" w:tplc="04270019" w:tentative="1">
      <w:start w:val="1"/>
      <w:numFmt w:val="lowerLetter"/>
      <w:lvlText w:val="%8."/>
      <w:lvlJc w:val="left"/>
      <w:pPr>
        <w:ind w:left="11700" w:hanging="360"/>
      </w:pPr>
    </w:lvl>
    <w:lvl w:ilvl="8" w:tplc="0427001B" w:tentative="1">
      <w:start w:val="1"/>
      <w:numFmt w:val="lowerRoman"/>
      <w:lvlText w:val="%9."/>
      <w:lvlJc w:val="right"/>
      <w:pPr>
        <w:ind w:left="12420" w:hanging="180"/>
      </w:pPr>
    </w:lvl>
  </w:abstractNum>
  <w:abstractNum w:abstractNumId="50">
    <w:nsid w:val="37C71506"/>
    <w:multiLevelType w:val="hybridMultilevel"/>
    <w:tmpl w:val="1A127868"/>
    <w:lvl w:ilvl="0" w:tplc="2D68520C">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51">
    <w:nsid w:val="37E5091F"/>
    <w:multiLevelType w:val="hybridMultilevel"/>
    <w:tmpl w:val="9320BF46"/>
    <w:lvl w:ilvl="0" w:tplc="9A1E0E24">
      <w:start w:val="1"/>
      <w:numFmt w:val="lowerLetter"/>
      <w:lvlText w:val="%1)"/>
      <w:lvlJc w:val="left"/>
      <w:pPr>
        <w:ind w:left="644" w:hanging="360"/>
      </w:pPr>
      <w:rPr>
        <w:rFonts w:hint="default"/>
      </w:rPr>
    </w:lvl>
    <w:lvl w:ilvl="1" w:tplc="0427001B">
      <w:start w:val="1"/>
      <w:numFmt w:val="lowerRoman"/>
      <w:lvlText w:val="%2."/>
      <w:lvlJc w:val="righ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52">
    <w:nsid w:val="387F2BEE"/>
    <w:multiLevelType w:val="hybridMultilevel"/>
    <w:tmpl w:val="8CC25270"/>
    <w:lvl w:ilvl="0" w:tplc="12F4992A">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53">
    <w:nsid w:val="3A9776F9"/>
    <w:multiLevelType w:val="hybridMultilevel"/>
    <w:tmpl w:val="1B889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3BBC60AC"/>
    <w:multiLevelType w:val="hybridMultilevel"/>
    <w:tmpl w:val="02F4C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BEE5112"/>
    <w:multiLevelType w:val="hybridMultilevel"/>
    <w:tmpl w:val="D056F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C1D5A33"/>
    <w:multiLevelType w:val="multilevel"/>
    <w:tmpl w:val="73CA861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3E3110C2"/>
    <w:multiLevelType w:val="hybridMultilevel"/>
    <w:tmpl w:val="40BE1C88"/>
    <w:lvl w:ilvl="0" w:tplc="0427001B">
      <w:start w:val="1"/>
      <w:numFmt w:val="lowerRoman"/>
      <w:lvlText w:val="%1."/>
      <w:lvlJc w:val="right"/>
      <w:pPr>
        <w:ind w:left="6660" w:hanging="360"/>
      </w:pPr>
    </w:lvl>
    <w:lvl w:ilvl="1" w:tplc="04270019" w:tentative="1">
      <w:start w:val="1"/>
      <w:numFmt w:val="lowerLetter"/>
      <w:lvlText w:val="%2."/>
      <w:lvlJc w:val="left"/>
      <w:pPr>
        <w:ind w:left="7380" w:hanging="360"/>
      </w:pPr>
    </w:lvl>
    <w:lvl w:ilvl="2" w:tplc="0427001B" w:tentative="1">
      <w:start w:val="1"/>
      <w:numFmt w:val="lowerRoman"/>
      <w:lvlText w:val="%3."/>
      <w:lvlJc w:val="right"/>
      <w:pPr>
        <w:ind w:left="8100" w:hanging="180"/>
      </w:pPr>
    </w:lvl>
    <w:lvl w:ilvl="3" w:tplc="0427000F" w:tentative="1">
      <w:start w:val="1"/>
      <w:numFmt w:val="decimal"/>
      <w:lvlText w:val="%4."/>
      <w:lvlJc w:val="left"/>
      <w:pPr>
        <w:ind w:left="8820" w:hanging="360"/>
      </w:pPr>
    </w:lvl>
    <w:lvl w:ilvl="4" w:tplc="04270019" w:tentative="1">
      <w:start w:val="1"/>
      <w:numFmt w:val="lowerLetter"/>
      <w:lvlText w:val="%5."/>
      <w:lvlJc w:val="left"/>
      <w:pPr>
        <w:ind w:left="9540" w:hanging="360"/>
      </w:pPr>
    </w:lvl>
    <w:lvl w:ilvl="5" w:tplc="0427001B" w:tentative="1">
      <w:start w:val="1"/>
      <w:numFmt w:val="lowerRoman"/>
      <w:lvlText w:val="%6."/>
      <w:lvlJc w:val="right"/>
      <w:pPr>
        <w:ind w:left="10260" w:hanging="180"/>
      </w:pPr>
    </w:lvl>
    <w:lvl w:ilvl="6" w:tplc="0427000F" w:tentative="1">
      <w:start w:val="1"/>
      <w:numFmt w:val="decimal"/>
      <w:lvlText w:val="%7."/>
      <w:lvlJc w:val="left"/>
      <w:pPr>
        <w:ind w:left="10980" w:hanging="360"/>
      </w:pPr>
    </w:lvl>
    <w:lvl w:ilvl="7" w:tplc="04270019" w:tentative="1">
      <w:start w:val="1"/>
      <w:numFmt w:val="lowerLetter"/>
      <w:lvlText w:val="%8."/>
      <w:lvlJc w:val="left"/>
      <w:pPr>
        <w:ind w:left="11700" w:hanging="360"/>
      </w:pPr>
    </w:lvl>
    <w:lvl w:ilvl="8" w:tplc="0427001B" w:tentative="1">
      <w:start w:val="1"/>
      <w:numFmt w:val="lowerRoman"/>
      <w:lvlText w:val="%9."/>
      <w:lvlJc w:val="right"/>
      <w:pPr>
        <w:ind w:left="12420" w:hanging="180"/>
      </w:pPr>
    </w:lvl>
  </w:abstractNum>
  <w:abstractNum w:abstractNumId="58">
    <w:nsid w:val="3F5A19BE"/>
    <w:multiLevelType w:val="hybridMultilevel"/>
    <w:tmpl w:val="96C46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F8F17F9"/>
    <w:multiLevelType w:val="hybridMultilevel"/>
    <w:tmpl w:val="3744974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nsid w:val="3FD337AA"/>
    <w:multiLevelType w:val="hybridMultilevel"/>
    <w:tmpl w:val="F79A8E6C"/>
    <w:lvl w:ilvl="0" w:tplc="04270011">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61">
    <w:nsid w:val="404549BA"/>
    <w:multiLevelType w:val="hybridMultilevel"/>
    <w:tmpl w:val="642ED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04A24B3"/>
    <w:multiLevelType w:val="hybridMultilevel"/>
    <w:tmpl w:val="8DD481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nsid w:val="41050C88"/>
    <w:multiLevelType w:val="hybridMultilevel"/>
    <w:tmpl w:val="A5EA8640"/>
    <w:lvl w:ilvl="0" w:tplc="04270019">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4">
    <w:nsid w:val="420800C3"/>
    <w:multiLevelType w:val="hybridMultilevel"/>
    <w:tmpl w:val="49B03DB0"/>
    <w:lvl w:ilvl="0" w:tplc="0427001B">
      <w:start w:val="1"/>
      <w:numFmt w:val="lowerRoman"/>
      <w:lvlText w:val="%1."/>
      <w:lvlJc w:val="right"/>
      <w:pPr>
        <w:ind w:left="6660" w:hanging="360"/>
      </w:pPr>
    </w:lvl>
    <w:lvl w:ilvl="1" w:tplc="04270019" w:tentative="1">
      <w:start w:val="1"/>
      <w:numFmt w:val="lowerLetter"/>
      <w:lvlText w:val="%2."/>
      <w:lvlJc w:val="left"/>
      <w:pPr>
        <w:ind w:left="7380" w:hanging="360"/>
      </w:pPr>
    </w:lvl>
    <w:lvl w:ilvl="2" w:tplc="0427001B" w:tentative="1">
      <w:start w:val="1"/>
      <w:numFmt w:val="lowerRoman"/>
      <w:lvlText w:val="%3."/>
      <w:lvlJc w:val="right"/>
      <w:pPr>
        <w:ind w:left="8100" w:hanging="180"/>
      </w:pPr>
    </w:lvl>
    <w:lvl w:ilvl="3" w:tplc="0427000F" w:tentative="1">
      <w:start w:val="1"/>
      <w:numFmt w:val="decimal"/>
      <w:lvlText w:val="%4."/>
      <w:lvlJc w:val="left"/>
      <w:pPr>
        <w:ind w:left="8820" w:hanging="360"/>
      </w:pPr>
    </w:lvl>
    <w:lvl w:ilvl="4" w:tplc="04270019" w:tentative="1">
      <w:start w:val="1"/>
      <w:numFmt w:val="lowerLetter"/>
      <w:lvlText w:val="%5."/>
      <w:lvlJc w:val="left"/>
      <w:pPr>
        <w:ind w:left="9540" w:hanging="360"/>
      </w:pPr>
    </w:lvl>
    <w:lvl w:ilvl="5" w:tplc="0427001B" w:tentative="1">
      <w:start w:val="1"/>
      <w:numFmt w:val="lowerRoman"/>
      <w:lvlText w:val="%6."/>
      <w:lvlJc w:val="right"/>
      <w:pPr>
        <w:ind w:left="10260" w:hanging="180"/>
      </w:pPr>
    </w:lvl>
    <w:lvl w:ilvl="6" w:tplc="0427000F" w:tentative="1">
      <w:start w:val="1"/>
      <w:numFmt w:val="decimal"/>
      <w:lvlText w:val="%7."/>
      <w:lvlJc w:val="left"/>
      <w:pPr>
        <w:ind w:left="10980" w:hanging="360"/>
      </w:pPr>
    </w:lvl>
    <w:lvl w:ilvl="7" w:tplc="04270019" w:tentative="1">
      <w:start w:val="1"/>
      <w:numFmt w:val="lowerLetter"/>
      <w:lvlText w:val="%8."/>
      <w:lvlJc w:val="left"/>
      <w:pPr>
        <w:ind w:left="11700" w:hanging="360"/>
      </w:pPr>
    </w:lvl>
    <w:lvl w:ilvl="8" w:tplc="0427001B" w:tentative="1">
      <w:start w:val="1"/>
      <w:numFmt w:val="lowerRoman"/>
      <w:lvlText w:val="%9."/>
      <w:lvlJc w:val="right"/>
      <w:pPr>
        <w:ind w:left="12420" w:hanging="180"/>
      </w:pPr>
    </w:lvl>
  </w:abstractNum>
  <w:abstractNum w:abstractNumId="65">
    <w:nsid w:val="42296AF7"/>
    <w:multiLevelType w:val="hybridMultilevel"/>
    <w:tmpl w:val="A7C01DAC"/>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42AA2BA8"/>
    <w:multiLevelType w:val="hybridMultilevel"/>
    <w:tmpl w:val="10362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43997C06"/>
    <w:multiLevelType w:val="hybridMultilevel"/>
    <w:tmpl w:val="40BE1C88"/>
    <w:lvl w:ilvl="0" w:tplc="0427001B">
      <w:start w:val="1"/>
      <w:numFmt w:val="lowerRoman"/>
      <w:lvlText w:val="%1."/>
      <w:lvlJc w:val="right"/>
      <w:pPr>
        <w:ind w:left="6660" w:hanging="360"/>
      </w:pPr>
    </w:lvl>
    <w:lvl w:ilvl="1" w:tplc="04270019" w:tentative="1">
      <w:start w:val="1"/>
      <w:numFmt w:val="lowerLetter"/>
      <w:lvlText w:val="%2."/>
      <w:lvlJc w:val="left"/>
      <w:pPr>
        <w:ind w:left="7380" w:hanging="360"/>
      </w:pPr>
    </w:lvl>
    <w:lvl w:ilvl="2" w:tplc="0427001B" w:tentative="1">
      <w:start w:val="1"/>
      <w:numFmt w:val="lowerRoman"/>
      <w:lvlText w:val="%3."/>
      <w:lvlJc w:val="right"/>
      <w:pPr>
        <w:ind w:left="8100" w:hanging="180"/>
      </w:pPr>
    </w:lvl>
    <w:lvl w:ilvl="3" w:tplc="0427000F" w:tentative="1">
      <w:start w:val="1"/>
      <w:numFmt w:val="decimal"/>
      <w:lvlText w:val="%4."/>
      <w:lvlJc w:val="left"/>
      <w:pPr>
        <w:ind w:left="8820" w:hanging="360"/>
      </w:pPr>
    </w:lvl>
    <w:lvl w:ilvl="4" w:tplc="04270019" w:tentative="1">
      <w:start w:val="1"/>
      <w:numFmt w:val="lowerLetter"/>
      <w:lvlText w:val="%5."/>
      <w:lvlJc w:val="left"/>
      <w:pPr>
        <w:ind w:left="9540" w:hanging="360"/>
      </w:pPr>
    </w:lvl>
    <w:lvl w:ilvl="5" w:tplc="0427001B" w:tentative="1">
      <w:start w:val="1"/>
      <w:numFmt w:val="lowerRoman"/>
      <w:lvlText w:val="%6."/>
      <w:lvlJc w:val="right"/>
      <w:pPr>
        <w:ind w:left="10260" w:hanging="180"/>
      </w:pPr>
    </w:lvl>
    <w:lvl w:ilvl="6" w:tplc="0427000F" w:tentative="1">
      <w:start w:val="1"/>
      <w:numFmt w:val="decimal"/>
      <w:lvlText w:val="%7."/>
      <w:lvlJc w:val="left"/>
      <w:pPr>
        <w:ind w:left="10980" w:hanging="360"/>
      </w:pPr>
    </w:lvl>
    <w:lvl w:ilvl="7" w:tplc="04270019" w:tentative="1">
      <w:start w:val="1"/>
      <w:numFmt w:val="lowerLetter"/>
      <w:lvlText w:val="%8."/>
      <w:lvlJc w:val="left"/>
      <w:pPr>
        <w:ind w:left="11700" w:hanging="360"/>
      </w:pPr>
    </w:lvl>
    <w:lvl w:ilvl="8" w:tplc="0427001B" w:tentative="1">
      <w:start w:val="1"/>
      <w:numFmt w:val="lowerRoman"/>
      <w:lvlText w:val="%9."/>
      <w:lvlJc w:val="right"/>
      <w:pPr>
        <w:ind w:left="12420" w:hanging="180"/>
      </w:pPr>
    </w:lvl>
  </w:abstractNum>
  <w:abstractNum w:abstractNumId="68">
    <w:nsid w:val="43CE6EF8"/>
    <w:multiLevelType w:val="hybridMultilevel"/>
    <w:tmpl w:val="D03AE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40249BC"/>
    <w:multiLevelType w:val="hybridMultilevel"/>
    <w:tmpl w:val="D5328EFC"/>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70">
    <w:nsid w:val="44B462B6"/>
    <w:multiLevelType w:val="hybridMultilevel"/>
    <w:tmpl w:val="66CC40CE"/>
    <w:lvl w:ilvl="0" w:tplc="313C56EA">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1">
    <w:nsid w:val="44DC7321"/>
    <w:multiLevelType w:val="hybridMultilevel"/>
    <w:tmpl w:val="E570A2F4"/>
    <w:lvl w:ilvl="0" w:tplc="0054E77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44DC79D9"/>
    <w:multiLevelType w:val="multilevel"/>
    <w:tmpl w:val="059CB214"/>
    <w:lvl w:ilvl="0">
      <w:start w:val="2"/>
      <w:numFmt w:val="decimal"/>
      <w:lvlText w:val="%1."/>
      <w:lvlJc w:val="left"/>
      <w:pPr>
        <w:ind w:left="720" w:hanging="360"/>
      </w:pPr>
      <w:rPr>
        <w:rFonts w:cs="Arial" w:hint="default"/>
        <w:color w:val="000000"/>
      </w:rPr>
    </w:lvl>
    <w:lvl w:ilvl="1">
      <w:start w:val="1"/>
      <w:numFmt w:val="decimal"/>
      <w:isLgl/>
      <w:lvlText w:val="%1.%2."/>
      <w:lvlJc w:val="left"/>
      <w:pPr>
        <w:ind w:left="1855"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3">
    <w:nsid w:val="45580738"/>
    <w:multiLevelType w:val="hybridMultilevel"/>
    <w:tmpl w:val="40BE1C88"/>
    <w:lvl w:ilvl="0" w:tplc="0427001B">
      <w:start w:val="1"/>
      <w:numFmt w:val="lowerRoman"/>
      <w:lvlText w:val="%1."/>
      <w:lvlJc w:val="right"/>
      <w:pPr>
        <w:ind w:left="6660" w:hanging="360"/>
      </w:pPr>
    </w:lvl>
    <w:lvl w:ilvl="1" w:tplc="04270019" w:tentative="1">
      <w:start w:val="1"/>
      <w:numFmt w:val="lowerLetter"/>
      <w:lvlText w:val="%2."/>
      <w:lvlJc w:val="left"/>
      <w:pPr>
        <w:ind w:left="7380" w:hanging="360"/>
      </w:pPr>
    </w:lvl>
    <w:lvl w:ilvl="2" w:tplc="0427001B" w:tentative="1">
      <w:start w:val="1"/>
      <w:numFmt w:val="lowerRoman"/>
      <w:lvlText w:val="%3."/>
      <w:lvlJc w:val="right"/>
      <w:pPr>
        <w:ind w:left="8100" w:hanging="180"/>
      </w:pPr>
    </w:lvl>
    <w:lvl w:ilvl="3" w:tplc="0427000F" w:tentative="1">
      <w:start w:val="1"/>
      <w:numFmt w:val="decimal"/>
      <w:lvlText w:val="%4."/>
      <w:lvlJc w:val="left"/>
      <w:pPr>
        <w:ind w:left="8820" w:hanging="360"/>
      </w:pPr>
    </w:lvl>
    <w:lvl w:ilvl="4" w:tplc="04270019" w:tentative="1">
      <w:start w:val="1"/>
      <w:numFmt w:val="lowerLetter"/>
      <w:lvlText w:val="%5."/>
      <w:lvlJc w:val="left"/>
      <w:pPr>
        <w:ind w:left="9540" w:hanging="360"/>
      </w:pPr>
    </w:lvl>
    <w:lvl w:ilvl="5" w:tplc="0427001B" w:tentative="1">
      <w:start w:val="1"/>
      <w:numFmt w:val="lowerRoman"/>
      <w:lvlText w:val="%6."/>
      <w:lvlJc w:val="right"/>
      <w:pPr>
        <w:ind w:left="10260" w:hanging="180"/>
      </w:pPr>
    </w:lvl>
    <w:lvl w:ilvl="6" w:tplc="0427000F" w:tentative="1">
      <w:start w:val="1"/>
      <w:numFmt w:val="decimal"/>
      <w:lvlText w:val="%7."/>
      <w:lvlJc w:val="left"/>
      <w:pPr>
        <w:ind w:left="10980" w:hanging="360"/>
      </w:pPr>
    </w:lvl>
    <w:lvl w:ilvl="7" w:tplc="04270019" w:tentative="1">
      <w:start w:val="1"/>
      <w:numFmt w:val="lowerLetter"/>
      <w:lvlText w:val="%8."/>
      <w:lvlJc w:val="left"/>
      <w:pPr>
        <w:ind w:left="11700" w:hanging="360"/>
      </w:pPr>
    </w:lvl>
    <w:lvl w:ilvl="8" w:tplc="0427001B" w:tentative="1">
      <w:start w:val="1"/>
      <w:numFmt w:val="lowerRoman"/>
      <w:lvlText w:val="%9."/>
      <w:lvlJc w:val="right"/>
      <w:pPr>
        <w:ind w:left="12420" w:hanging="180"/>
      </w:pPr>
    </w:lvl>
  </w:abstractNum>
  <w:abstractNum w:abstractNumId="74">
    <w:nsid w:val="4875756C"/>
    <w:multiLevelType w:val="hybridMultilevel"/>
    <w:tmpl w:val="60C83BFE"/>
    <w:lvl w:ilvl="0" w:tplc="957AD8A8">
      <w:start w:val="1"/>
      <w:numFmt w:val="decimal"/>
      <w:lvlText w:val="%1."/>
      <w:lvlJc w:val="left"/>
      <w:pPr>
        <w:ind w:left="720" w:hanging="360"/>
      </w:pPr>
      <w:rPr>
        <w:rFonts w:cs="Arial" w:hint="default"/>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9806990"/>
    <w:multiLevelType w:val="hybridMultilevel"/>
    <w:tmpl w:val="FD847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9D3694B"/>
    <w:multiLevelType w:val="hybridMultilevel"/>
    <w:tmpl w:val="43B02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9F178C3"/>
    <w:multiLevelType w:val="hybridMultilevel"/>
    <w:tmpl w:val="2F58B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AC77EB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4B4D054B"/>
    <w:multiLevelType w:val="hybridMultilevel"/>
    <w:tmpl w:val="A1F6D5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507D1EEA"/>
    <w:multiLevelType w:val="hybridMultilevel"/>
    <w:tmpl w:val="524EFE42"/>
    <w:lvl w:ilvl="0" w:tplc="928C6788">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81">
    <w:nsid w:val="51E4525F"/>
    <w:multiLevelType w:val="multilevel"/>
    <w:tmpl w:val="783E7FF6"/>
    <w:lvl w:ilvl="0">
      <w:start w:val="1"/>
      <w:numFmt w:val="decimal"/>
      <w:lvlText w:val="%1."/>
      <w:lvlJc w:val="left"/>
      <w:pPr>
        <w:ind w:left="720" w:hanging="360"/>
      </w:pPr>
      <w:rPr>
        <w:rFonts w:hint="default"/>
      </w:rPr>
    </w:lvl>
    <w:lvl w:ilvl="1">
      <w:start w:val="2"/>
      <w:numFmt w:val="decimal"/>
      <w:isLgl/>
      <w:lvlText w:val="%1.%2."/>
      <w:lvlJc w:val="left"/>
      <w:pPr>
        <w:ind w:left="1200" w:hanging="840"/>
      </w:pPr>
      <w:rPr>
        <w:rFonts w:hint="default"/>
      </w:rPr>
    </w:lvl>
    <w:lvl w:ilvl="2">
      <w:start w:val="1"/>
      <w:numFmt w:val="decimal"/>
      <w:isLgl/>
      <w:lvlText w:val="%1.%2.%3."/>
      <w:lvlJc w:val="left"/>
      <w:pPr>
        <w:ind w:left="1200" w:hanging="84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2">
    <w:nsid w:val="53146583"/>
    <w:multiLevelType w:val="hybridMultilevel"/>
    <w:tmpl w:val="59707BA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3">
    <w:nsid w:val="534004F0"/>
    <w:multiLevelType w:val="hybridMultilevel"/>
    <w:tmpl w:val="1AF6B560"/>
    <w:lvl w:ilvl="0" w:tplc="EAF688C2">
      <w:start w:val="200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53DD1BA8"/>
    <w:multiLevelType w:val="hybridMultilevel"/>
    <w:tmpl w:val="5C7C5C0A"/>
    <w:lvl w:ilvl="0" w:tplc="0427001B">
      <w:start w:val="1"/>
      <w:numFmt w:val="lowerRoman"/>
      <w:lvlText w:val="%1."/>
      <w:lvlJc w:val="right"/>
      <w:pPr>
        <w:ind w:left="6660" w:hanging="360"/>
      </w:pPr>
    </w:lvl>
    <w:lvl w:ilvl="1" w:tplc="04270019" w:tentative="1">
      <w:start w:val="1"/>
      <w:numFmt w:val="lowerLetter"/>
      <w:lvlText w:val="%2."/>
      <w:lvlJc w:val="left"/>
      <w:pPr>
        <w:ind w:left="7380" w:hanging="360"/>
      </w:pPr>
    </w:lvl>
    <w:lvl w:ilvl="2" w:tplc="0427001B" w:tentative="1">
      <w:start w:val="1"/>
      <w:numFmt w:val="lowerRoman"/>
      <w:lvlText w:val="%3."/>
      <w:lvlJc w:val="right"/>
      <w:pPr>
        <w:ind w:left="8100" w:hanging="180"/>
      </w:pPr>
    </w:lvl>
    <w:lvl w:ilvl="3" w:tplc="0427000F" w:tentative="1">
      <w:start w:val="1"/>
      <w:numFmt w:val="decimal"/>
      <w:lvlText w:val="%4."/>
      <w:lvlJc w:val="left"/>
      <w:pPr>
        <w:ind w:left="8820" w:hanging="360"/>
      </w:pPr>
    </w:lvl>
    <w:lvl w:ilvl="4" w:tplc="04270019" w:tentative="1">
      <w:start w:val="1"/>
      <w:numFmt w:val="lowerLetter"/>
      <w:lvlText w:val="%5."/>
      <w:lvlJc w:val="left"/>
      <w:pPr>
        <w:ind w:left="9540" w:hanging="360"/>
      </w:pPr>
    </w:lvl>
    <w:lvl w:ilvl="5" w:tplc="0427001B" w:tentative="1">
      <w:start w:val="1"/>
      <w:numFmt w:val="lowerRoman"/>
      <w:lvlText w:val="%6."/>
      <w:lvlJc w:val="right"/>
      <w:pPr>
        <w:ind w:left="10260" w:hanging="180"/>
      </w:pPr>
    </w:lvl>
    <w:lvl w:ilvl="6" w:tplc="0427000F" w:tentative="1">
      <w:start w:val="1"/>
      <w:numFmt w:val="decimal"/>
      <w:lvlText w:val="%7."/>
      <w:lvlJc w:val="left"/>
      <w:pPr>
        <w:ind w:left="10980" w:hanging="360"/>
      </w:pPr>
    </w:lvl>
    <w:lvl w:ilvl="7" w:tplc="04270019" w:tentative="1">
      <w:start w:val="1"/>
      <w:numFmt w:val="lowerLetter"/>
      <w:lvlText w:val="%8."/>
      <w:lvlJc w:val="left"/>
      <w:pPr>
        <w:ind w:left="11700" w:hanging="360"/>
      </w:pPr>
    </w:lvl>
    <w:lvl w:ilvl="8" w:tplc="0427001B" w:tentative="1">
      <w:start w:val="1"/>
      <w:numFmt w:val="lowerRoman"/>
      <w:lvlText w:val="%9."/>
      <w:lvlJc w:val="right"/>
      <w:pPr>
        <w:ind w:left="12420" w:hanging="180"/>
      </w:pPr>
    </w:lvl>
  </w:abstractNum>
  <w:abstractNum w:abstractNumId="85">
    <w:nsid w:val="543D65F5"/>
    <w:multiLevelType w:val="hybridMultilevel"/>
    <w:tmpl w:val="4B94C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543E10FE"/>
    <w:multiLevelType w:val="multilevel"/>
    <w:tmpl w:val="D8721D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7">
    <w:nsid w:val="548132CA"/>
    <w:multiLevelType w:val="hybridMultilevel"/>
    <w:tmpl w:val="43D49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4C425D9"/>
    <w:multiLevelType w:val="hybridMultilevel"/>
    <w:tmpl w:val="1EA04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6024FB5"/>
    <w:multiLevelType w:val="hybridMultilevel"/>
    <w:tmpl w:val="A5EA8640"/>
    <w:lvl w:ilvl="0" w:tplc="04270019">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0">
    <w:nsid w:val="569B3B02"/>
    <w:multiLevelType w:val="hybridMultilevel"/>
    <w:tmpl w:val="0682F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56B93FC2"/>
    <w:multiLevelType w:val="hybridMultilevel"/>
    <w:tmpl w:val="40BE1C88"/>
    <w:lvl w:ilvl="0" w:tplc="0427001B">
      <w:start w:val="1"/>
      <w:numFmt w:val="lowerRoman"/>
      <w:lvlText w:val="%1."/>
      <w:lvlJc w:val="right"/>
      <w:pPr>
        <w:ind w:left="6660" w:hanging="360"/>
      </w:pPr>
    </w:lvl>
    <w:lvl w:ilvl="1" w:tplc="04270019" w:tentative="1">
      <w:start w:val="1"/>
      <w:numFmt w:val="lowerLetter"/>
      <w:lvlText w:val="%2."/>
      <w:lvlJc w:val="left"/>
      <w:pPr>
        <w:ind w:left="7380" w:hanging="360"/>
      </w:pPr>
    </w:lvl>
    <w:lvl w:ilvl="2" w:tplc="0427001B" w:tentative="1">
      <w:start w:val="1"/>
      <w:numFmt w:val="lowerRoman"/>
      <w:lvlText w:val="%3."/>
      <w:lvlJc w:val="right"/>
      <w:pPr>
        <w:ind w:left="8100" w:hanging="180"/>
      </w:pPr>
    </w:lvl>
    <w:lvl w:ilvl="3" w:tplc="0427000F" w:tentative="1">
      <w:start w:val="1"/>
      <w:numFmt w:val="decimal"/>
      <w:lvlText w:val="%4."/>
      <w:lvlJc w:val="left"/>
      <w:pPr>
        <w:ind w:left="8820" w:hanging="360"/>
      </w:pPr>
    </w:lvl>
    <w:lvl w:ilvl="4" w:tplc="04270019" w:tentative="1">
      <w:start w:val="1"/>
      <w:numFmt w:val="lowerLetter"/>
      <w:lvlText w:val="%5."/>
      <w:lvlJc w:val="left"/>
      <w:pPr>
        <w:ind w:left="9540" w:hanging="360"/>
      </w:pPr>
    </w:lvl>
    <w:lvl w:ilvl="5" w:tplc="0427001B" w:tentative="1">
      <w:start w:val="1"/>
      <w:numFmt w:val="lowerRoman"/>
      <w:lvlText w:val="%6."/>
      <w:lvlJc w:val="right"/>
      <w:pPr>
        <w:ind w:left="10260" w:hanging="180"/>
      </w:pPr>
    </w:lvl>
    <w:lvl w:ilvl="6" w:tplc="0427000F" w:tentative="1">
      <w:start w:val="1"/>
      <w:numFmt w:val="decimal"/>
      <w:lvlText w:val="%7."/>
      <w:lvlJc w:val="left"/>
      <w:pPr>
        <w:ind w:left="10980" w:hanging="360"/>
      </w:pPr>
    </w:lvl>
    <w:lvl w:ilvl="7" w:tplc="04270019" w:tentative="1">
      <w:start w:val="1"/>
      <w:numFmt w:val="lowerLetter"/>
      <w:lvlText w:val="%8."/>
      <w:lvlJc w:val="left"/>
      <w:pPr>
        <w:ind w:left="11700" w:hanging="360"/>
      </w:pPr>
    </w:lvl>
    <w:lvl w:ilvl="8" w:tplc="0427001B" w:tentative="1">
      <w:start w:val="1"/>
      <w:numFmt w:val="lowerRoman"/>
      <w:lvlText w:val="%9."/>
      <w:lvlJc w:val="right"/>
      <w:pPr>
        <w:ind w:left="12420" w:hanging="180"/>
      </w:pPr>
    </w:lvl>
  </w:abstractNum>
  <w:abstractNum w:abstractNumId="92">
    <w:nsid w:val="5737335E"/>
    <w:multiLevelType w:val="hybridMultilevel"/>
    <w:tmpl w:val="9D5C69F4"/>
    <w:lvl w:ilvl="0" w:tplc="4D841980">
      <w:start w:val="2013"/>
      <w:numFmt w:val="bullet"/>
      <w:lvlText w:val="-"/>
      <w:lvlJc w:val="left"/>
      <w:pPr>
        <w:ind w:left="720" w:hanging="360"/>
      </w:pPr>
      <w:rPr>
        <w:rFonts w:ascii="FranklinGothicBookITC-Regular" w:eastAsia="Calibri" w:hAnsi="FranklinGothicBookITC-Regular" w:cs="FranklinGothicBookITC-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58557FA8"/>
    <w:multiLevelType w:val="hybridMultilevel"/>
    <w:tmpl w:val="3ACE4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58F32FC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nsid w:val="59A00CBF"/>
    <w:multiLevelType w:val="hybridMultilevel"/>
    <w:tmpl w:val="6EE24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9C34E04"/>
    <w:multiLevelType w:val="hybridMultilevel"/>
    <w:tmpl w:val="5DB8B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A913425"/>
    <w:multiLevelType w:val="multilevel"/>
    <w:tmpl w:val="0427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nsid w:val="5ACA35A6"/>
    <w:multiLevelType w:val="hybridMultilevel"/>
    <w:tmpl w:val="524EFE42"/>
    <w:lvl w:ilvl="0" w:tplc="928C6788">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99">
    <w:nsid w:val="5AE0058C"/>
    <w:multiLevelType w:val="hybridMultilevel"/>
    <w:tmpl w:val="B0203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B1E616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nsid w:val="5C835CA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nsid w:val="5CB724BD"/>
    <w:multiLevelType w:val="hybridMultilevel"/>
    <w:tmpl w:val="8CC25270"/>
    <w:lvl w:ilvl="0" w:tplc="12F4992A">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03">
    <w:nsid w:val="5CC07C2E"/>
    <w:multiLevelType w:val="hybridMultilevel"/>
    <w:tmpl w:val="26ECAA3C"/>
    <w:lvl w:ilvl="0" w:tplc="F4088D2A">
      <w:start w:val="2014"/>
      <w:numFmt w:val="bullet"/>
      <w:lvlText w:val="-"/>
      <w:lvlJc w:val="left"/>
      <w:pPr>
        <w:ind w:left="720" w:hanging="360"/>
      </w:pPr>
      <w:rPr>
        <w:rFonts w:ascii="Calibri" w:eastAsiaTheme="minorHAnsi" w:hAnsi="Calibri"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4">
    <w:nsid w:val="5D525877"/>
    <w:multiLevelType w:val="hybridMultilevel"/>
    <w:tmpl w:val="0E842B30"/>
    <w:lvl w:ilvl="0" w:tplc="9C26CA50">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5D9D1835"/>
    <w:multiLevelType w:val="hybridMultilevel"/>
    <w:tmpl w:val="42D8D4F8"/>
    <w:lvl w:ilvl="0" w:tplc="9C840402">
      <w:start w:val="100"/>
      <w:numFmt w:val="bullet"/>
      <w:lvlText w:val="-"/>
      <w:lvlJc w:val="left"/>
      <w:pPr>
        <w:ind w:left="720" w:hanging="360"/>
      </w:pPr>
      <w:rPr>
        <w:rFonts w:ascii="Georgia" w:eastAsiaTheme="minorHAnsi" w:hAnsi="Georgia"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6">
    <w:nsid w:val="5E1F27D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nsid w:val="5E8D1192"/>
    <w:multiLevelType w:val="hybridMultilevel"/>
    <w:tmpl w:val="92DA2436"/>
    <w:lvl w:ilvl="0" w:tplc="957AD8A8">
      <w:start w:val="1"/>
      <w:numFmt w:val="decimal"/>
      <w:lvlText w:val="%1."/>
      <w:lvlJc w:val="left"/>
      <w:pPr>
        <w:ind w:left="720" w:hanging="360"/>
      </w:pPr>
      <w:rPr>
        <w:rFonts w:cs="Arial"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F587ADF"/>
    <w:multiLevelType w:val="hybridMultilevel"/>
    <w:tmpl w:val="12A6D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FB864C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nsid w:val="606B2F64"/>
    <w:multiLevelType w:val="hybridMultilevel"/>
    <w:tmpl w:val="FFDEA91A"/>
    <w:lvl w:ilvl="0" w:tplc="EAF688C2">
      <w:start w:val="200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60794A54"/>
    <w:multiLevelType w:val="hybridMultilevel"/>
    <w:tmpl w:val="6DB89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60B1372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nsid w:val="610C5B40"/>
    <w:multiLevelType w:val="hybridMultilevel"/>
    <w:tmpl w:val="7B167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614B38E4"/>
    <w:multiLevelType w:val="hybridMultilevel"/>
    <w:tmpl w:val="96641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63C0030B"/>
    <w:multiLevelType w:val="multilevel"/>
    <w:tmpl w:val="0427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786"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6">
    <w:nsid w:val="64380A56"/>
    <w:multiLevelType w:val="hybridMultilevel"/>
    <w:tmpl w:val="61B85BB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4AB3E5D"/>
    <w:multiLevelType w:val="hybridMultilevel"/>
    <w:tmpl w:val="40BE1C88"/>
    <w:lvl w:ilvl="0" w:tplc="0427001B">
      <w:start w:val="1"/>
      <w:numFmt w:val="lowerRoman"/>
      <w:lvlText w:val="%1."/>
      <w:lvlJc w:val="right"/>
      <w:pPr>
        <w:ind w:left="6660" w:hanging="360"/>
      </w:pPr>
    </w:lvl>
    <w:lvl w:ilvl="1" w:tplc="04270019" w:tentative="1">
      <w:start w:val="1"/>
      <w:numFmt w:val="lowerLetter"/>
      <w:lvlText w:val="%2."/>
      <w:lvlJc w:val="left"/>
      <w:pPr>
        <w:ind w:left="7380" w:hanging="360"/>
      </w:pPr>
    </w:lvl>
    <w:lvl w:ilvl="2" w:tplc="0427001B" w:tentative="1">
      <w:start w:val="1"/>
      <w:numFmt w:val="lowerRoman"/>
      <w:lvlText w:val="%3."/>
      <w:lvlJc w:val="right"/>
      <w:pPr>
        <w:ind w:left="8100" w:hanging="180"/>
      </w:pPr>
    </w:lvl>
    <w:lvl w:ilvl="3" w:tplc="0427000F" w:tentative="1">
      <w:start w:val="1"/>
      <w:numFmt w:val="decimal"/>
      <w:lvlText w:val="%4."/>
      <w:lvlJc w:val="left"/>
      <w:pPr>
        <w:ind w:left="8820" w:hanging="360"/>
      </w:pPr>
    </w:lvl>
    <w:lvl w:ilvl="4" w:tplc="04270019" w:tentative="1">
      <w:start w:val="1"/>
      <w:numFmt w:val="lowerLetter"/>
      <w:lvlText w:val="%5."/>
      <w:lvlJc w:val="left"/>
      <w:pPr>
        <w:ind w:left="9540" w:hanging="360"/>
      </w:pPr>
    </w:lvl>
    <w:lvl w:ilvl="5" w:tplc="0427001B" w:tentative="1">
      <w:start w:val="1"/>
      <w:numFmt w:val="lowerRoman"/>
      <w:lvlText w:val="%6."/>
      <w:lvlJc w:val="right"/>
      <w:pPr>
        <w:ind w:left="10260" w:hanging="180"/>
      </w:pPr>
    </w:lvl>
    <w:lvl w:ilvl="6" w:tplc="0427000F" w:tentative="1">
      <w:start w:val="1"/>
      <w:numFmt w:val="decimal"/>
      <w:lvlText w:val="%7."/>
      <w:lvlJc w:val="left"/>
      <w:pPr>
        <w:ind w:left="10980" w:hanging="360"/>
      </w:pPr>
    </w:lvl>
    <w:lvl w:ilvl="7" w:tplc="04270019" w:tentative="1">
      <w:start w:val="1"/>
      <w:numFmt w:val="lowerLetter"/>
      <w:lvlText w:val="%8."/>
      <w:lvlJc w:val="left"/>
      <w:pPr>
        <w:ind w:left="11700" w:hanging="360"/>
      </w:pPr>
    </w:lvl>
    <w:lvl w:ilvl="8" w:tplc="0427001B" w:tentative="1">
      <w:start w:val="1"/>
      <w:numFmt w:val="lowerRoman"/>
      <w:lvlText w:val="%9."/>
      <w:lvlJc w:val="right"/>
      <w:pPr>
        <w:ind w:left="12420" w:hanging="180"/>
      </w:pPr>
    </w:lvl>
  </w:abstractNum>
  <w:abstractNum w:abstractNumId="118">
    <w:nsid w:val="64D17EED"/>
    <w:multiLevelType w:val="hybridMultilevel"/>
    <w:tmpl w:val="8DD481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9">
    <w:nsid w:val="662B4978"/>
    <w:multiLevelType w:val="hybridMultilevel"/>
    <w:tmpl w:val="9FCE3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7CB1E90"/>
    <w:multiLevelType w:val="hybridMultilevel"/>
    <w:tmpl w:val="44EC7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8294C76"/>
    <w:multiLevelType w:val="hybridMultilevel"/>
    <w:tmpl w:val="3A8ED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9FC3324"/>
    <w:multiLevelType w:val="hybridMultilevel"/>
    <w:tmpl w:val="4852F21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23">
    <w:nsid w:val="6A687250"/>
    <w:multiLevelType w:val="hybridMultilevel"/>
    <w:tmpl w:val="4EDA9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nsid w:val="6AD65786"/>
    <w:multiLevelType w:val="hybridMultilevel"/>
    <w:tmpl w:val="B07CF27A"/>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5">
    <w:nsid w:val="6BF611D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nsid w:val="6D603AF3"/>
    <w:multiLevelType w:val="hybridMultilevel"/>
    <w:tmpl w:val="B77CA87A"/>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7">
    <w:nsid w:val="6DF0584C"/>
    <w:multiLevelType w:val="multilevel"/>
    <w:tmpl w:val="50A8AE64"/>
    <w:lvl w:ilvl="0">
      <w:start w:val="4"/>
      <w:numFmt w:val="decimal"/>
      <w:lvlText w:val="%1."/>
      <w:lvlJc w:val="left"/>
      <w:pPr>
        <w:ind w:left="630" w:hanging="630"/>
      </w:pPr>
      <w:rPr>
        <w:rFonts w:asciiTheme="majorHAnsi" w:eastAsiaTheme="majorEastAsia" w:hAnsiTheme="majorHAnsi" w:cstheme="majorBidi" w:hint="default"/>
        <w:b/>
        <w:color w:val="4F81BD" w:themeColor="accent1"/>
        <w:sz w:val="26"/>
      </w:rPr>
    </w:lvl>
    <w:lvl w:ilvl="1">
      <w:start w:val="2"/>
      <w:numFmt w:val="decimal"/>
      <w:lvlText w:val="%1.%2."/>
      <w:lvlJc w:val="left"/>
      <w:pPr>
        <w:ind w:left="720" w:hanging="720"/>
      </w:pPr>
      <w:rPr>
        <w:rFonts w:asciiTheme="majorHAnsi" w:eastAsiaTheme="majorEastAsia" w:hAnsiTheme="majorHAnsi" w:cstheme="majorBidi" w:hint="default"/>
        <w:b/>
        <w:color w:val="4F81BD" w:themeColor="accent1"/>
        <w:sz w:val="26"/>
      </w:rPr>
    </w:lvl>
    <w:lvl w:ilvl="2">
      <w:start w:val="1"/>
      <w:numFmt w:val="decimal"/>
      <w:lvlText w:val="%1.%2.%3."/>
      <w:lvlJc w:val="left"/>
      <w:pPr>
        <w:ind w:left="720" w:hanging="720"/>
      </w:pPr>
      <w:rPr>
        <w:rFonts w:asciiTheme="majorHAnsi" w:eastAsiaTheme="majorEastAsia" w:hAnsiTheme="majorHAnsi" w:cstheme="majorBidi" w:hint="default"/>
        <w:b/>
        <w:color w:val="4F81BD" w:themeColor="accent1"/>
        <w:sz w:val="26"/>
      </w:rPr>
    </w:lvl>
    <w:lvl w:ilvl="3">
      <w:start w:val="1"/>
      <w:numFmt w:val="decimal"/>
      <w:lvlText w:val="%1.%2.%3.%4."/>
      <w:lvlJc w:val="left"/>
      <w:pPr>
        <w:ind w:left="1080" w:hanging="1080"/>
      </w:pPr>
      <w:rPr>
        <w:rFonts w:asciiTheme="majorHAnsi" w:eastAsiaTheme="majorEastAsia" w:hAnsiTheme="majorHAnsi" w:cstheme="majorBidi" w:hint="default"/>
        <w:b/>
        <w:color w:val="4F81BD" w:themeColor="accent1"/>
        <w:sz w:val="26"/>
      </w:rPr>
    </w:lvl>
    <w:lvl w:ilvl="4">
      <w:start w:val="1"/>
      <w:numFmt w:val="decimal"/>
      <w:lvlText w:val="%1.%2.%3.%4.%5."/>
      <w:lvlJc w:val="left"/>
      <w:pPr>
        <w:ind w:left="1080" w:hanging="1080"/>
      </w:pPr>
      <w:rPr>
        <w:rFonts w:asciiTheme="majorHAnsi" w:eastAsiaTheme="majorEastAsia" w:hAnsiTheme="majorHAnsi" w:cstheme="majorBidi" w:hint="default"/>
        <w:b/>
        <w:color w:val="4F81BD" w:themeColor="accent1"/>
        <w:sz w:val="26"/>
      </w:rPr>
    </w:lvl>
    <w:lvl w:ilvl="5">
      <w:start w:val="1"/>
      <w:numFmt w:val="decimal"/>
      <w:lvlText w:val="%1.%2.%3.%4.%5.%6."/>
      <w:lvlJc w:val="left"/>
      <w:pPr>
        <w:ind w:left="1440" w:hanging="1440"/>
      </w:pPr>
      <w:rPr>
        <w:rFonts w:asciiTheme="majorHAnsi" w:eastAsiaTheme="majorEastAsia" w:hAnsiTheme="majorHAnsi" w:cstheme="majorBidi" w:hint="default"/>
        <w:b/>
        <w:color w:val="4F81BD" w:themeColor="accent1"/>
        <w:sz w:val="26"/>
      </w:rPr>
    </w:lvl>
    <w:lvl w:ilvl="6">
      <w:start w:val="1"/>
      <w:numFmt w:val="decimal"/>
      <w:lvlText w:val="%1.%2.%3.%4.%5.%6.%7."/>
      <w:lvlJc w:val="left"/>
      <w:pPr>
        <w:ind w:left="1440" w:hanging="1440"/>
      </w:pPr>
      <w:rPr>
        <w:rFonts w:asciiTheme="majorHAnsi" w:eastAsiaTheme="majorEastAsia" w:hAnsiTheme="majorHAnsi" w:cstheme="majorBidi" w:hint="default"/>
        <w:b/>
        <w:color w:val="4F81BD" w:themeColor="accent1"/>
        <w:sz w:val="26"/>
      </w:rPr>
    </w:lvl>
    <w:lvl w:ilvl="7">
      <w:start w:val="1"/>
      <w:numFmt w:val="decimal"/>
      <w:lvlText w:val="%1.%2.%3.%4.%5.%6.%7.%8."/>
      <w:lvlJc w:val="left"/>
      <w:pPr>
        <w:ind w:left="1800" w:hanging="1800"/>
      </w:pPr>
      <w:rPr>
        <w:rFonts w:asciiTheme="majorHAnsi" w:eastAsiaTheme="majorEastAsia" w:hAnsiTheme="majorHAnsi" w:cstheme="majorBidi" w:hint="default"/>
        <w:b/>
        <w:color w:val="4F81BD" w:themeColor="accent1"/>
        <w:sz w:val="26"/>
      </w:rPr>
    </w:lvl>
    <w:lvl w:ilvl="8">
      <w:start w:val="1"/>
      <w:numFmt w:val="decimal"/>
      <w:lvlText w:val="%1.%2.%3.%4.%5.%6.%7.%8.%9."/>
      <w:lvlJc w:val="left"/>
      <w:pPr>
        <w:ind w:left="1800" w:hanging="1800"/>
      </w:pPr>
      <w:rPr>
        <w:rFonts w:asciiTheme="majorHAnsi" w:eastAsiaTheme="majorEastAsia" w:hAnsiTheme="majorHAnsi" w:cstheme="majorBidi" w:hint="default"/>
        <w:b/>
        <w:color w:val="4F81BD" w:themeColor="accent1"/>
        <w:sz w:val="26"/>
      </w:rPr>
    </w:lvl>
  </w:abstractNum>
  <w:abstractNum w:abstractNumId="128">
    <w:nsid w:val="6E311280"/>
    <w:multiLevelType w:val="hybridMultilevel"/>
    <w:tmpl w:val="8CC25270"/>
    <w:lvl w:ilvl="0" w:tplc="12F4992A">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29">
    <w:nsid w:val="6F682790"/>
    <w:multiLevelType w:val="hybridMultilevel"/>
    <w:tmpl w:val="40BE1C88"/>
    <w:lvl w:ilvl="0" w:tplc="0427001B">
      <w:start w:val="1"/>
      <w:numFmt w:val="lowerRoman"/>
      <w:lvlText w:val="%1."/>
      <w:lvlJc w:val="right"/>
      <w:pPr>
        <w:ind w:left="6660" w:hanging="360"/>
      </w:pPr>
    </w:lvl>
    <w:lvl w:ilvl="1" w:tplc="04270019" w:tentative="1">
      <w:start w:val="1"/>
      <w:numFmt w:val="lowerLetter"/>
      <w:lvlText w:val="%2."/>
      <w:lvlJc w:val="left"/>
      <w:pPr>
        <w:ind w:left="7380" w:hanging="360"/>
      </w:pPr>
    </w:lvl>
    <w:lvl w:ilvl="2" w:tplc="0427001B" w:tentative="1">
      <w:start w:val="1"/>
      <w:numFmt w:val="lowerRoman"/>
      <w:lvlText w:val="%3."/>
      <w:lvlJc w:val="right"/>
      <w:pPr>
        <w:ind w:left="8100" w:hanging="180"/>
      </w:pPr>
    </w:lvl>
    <w:lvl w:ilvl="3" w:tplc="0427000F" w:tentative="1">
      <w:start w:val="1"/>
      <w:numFmt w:val="decimal"/>
      <w:lvlText w:val="%4."/>
      <w:lvlJc w:val="left"/>
      <w:pPr>
        <w:ind w:left="8820" w:hanging="360"/>
      </w:pPr>
    </w:lvl>
    <w:lvl w:ilvl="4" w:tplc="04270019" w:tentative="1">
      <w:start w:val="1"/>
      <w:numFmt w:val="lowerLetter"/>
      <w:lvlText w:val="%5."/>
      <w:lvlJc w:val="left"/>
      <w:pPr>
        <w:ind w:left="9540" w:hanging="360"/>
      </w:pPr>
    </w:lvl>
    <w:lvl w:ilvl="5" w:tplc="0427001B" w:tentative="1">
      <w:start w:val="1"/>
      <w:numFmt w:val="lowerRoman"/>
      <w:lvlText w:val="%6."/>
      <w:lvlJc w:val="right"/>
      <w:pPr>
        <w:ind w:left="10260" w:hanging="180"/>
      </w:pPr>
    </w:lvl>
    <w:lvl w:ilvl="6" w:tplc="0427000F" w:tentative="1">
      <w:start w:val="1"/>
      <w:numFmt w:val="decimal"/>
      <w:lvlText w:val="%7."/>
      <w:lvlJc w:val="left"/>
      <w:pPr>
        <w:ind w:left="10980" w:hanging="360"/>
      </w:pPr>
    </w:lvl>
    <w:lvl w:ilvl="7" w:tplc="04270019" w:tentative="1">
      <w:start w:val="1"/>
      <w:numFmt w:val="lowerLetter"/>
      <w:lvlText w:val="%8."/>
      <w:lvlJc w:val="left"/>
      <w:pPr>
        <w:ind w:left="11700" w:hanging="360"/>
      </w:pPr>
    </w:lvl>
    <w:lvl w:ilvl="8" w:tplc="0427001B" w:tentative="1">
      <w:start w:val="1"/>
      <w:numFmt w:val="lowerRoman"/>
      <w:lvlText w:val="%9."/>
      <w:lvlJc w:val="right"/>
      <w:pPr>
        <w:ind w:left="12420" w:hanging="180"/>
      </w:pPr>
    </w:lvl>
  </w:abstractNum>
  <w:abstractNum w:abstractNumId="130">
    <w:nsid w:val="71021C52"/>
    <w:multiLevelType w:val="hybridMultilevel"/>
    <w:tmpl w:val="8DA0A278"/>
    <w:lvl w:ilvl="0" w:tplc="A9B074BA">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72643696"/>
    <w:multiLevelType w:val="hybridMultilevel"/>
    <w:tmpl w:val="C234F8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5201B92"/>
    <w:multiLevelType w:val="hybridMultilevel"/>
    <w:tmpl w:val="C5F01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7692008A"/>
    <w:multiLevelType w:val="hybridMultilevel"/>
    <w:tmpl w:val="65142E96"/>
    <w:lvl w:ilvl="0" w:tplc="3F0043E6">
      <w:numFmt w:val="bullet"/>
      <w:lvlText w:val="-"/>
      <w:lvlJc w:val="left"/>
      <w:pPr>
        <w:ind w:left="720" w:hanging="360"/>
      </w:pPr>
      <w:rPr>
        <w:rFonts w:ascii="Calibri" w:eastAsia="Calibri" w:hAnsi="Calibri" w:cs="FranklinGothicBookITC-Regular"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nsid w:val="77B708FE"/>
    <w:multiLevelType w:val="hybridMultilevel"/>
    <w:tmpl w:val="423C5AE2"/>
    <w:lvl w:ilvl="0" w:tplc="96EC41F2">
      <w:start w:val="3"/>
      <w:numFmt w:val="bullet"/>
      <w:lvlText w:val="-"/>
      <w:lvlJc w:val="left"/>
      <w:pPr>
        <w:ind w:left="720" w:hanging="360"/>
      </w:pPr>
      <w:rPr>
        <w:rFonts w:ascii="Georgia" w:eastAsiaTheme="minorHAnsi" w:hAnsi="Georgia"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5">
    <w:nsid w:val="7915655B"/>
    <w:multiLevelType w:val="hybridMultilevel"/>
    <w:tmpl w:val="66843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AE61BEB"/>
    <w:multiLevelType w:val="hybridMultilevel"/>
    <w:tmpl w:val="F798459C"/>
    <w:lvl w:ilvl="0" w:tplc="453EE6B2">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37">
    <w:nsid w:val="7C731EEA"/>
    <w:multiLevelType w:val="hybridMultilevel"/>
    <w:tmpl w:val="4052F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6"/>
  </w:num>
  <w:num w:numId="2">
    <w:abstractNumId w:val="72"/>
  </w:num>
  <w:num w:numId="3">
    <w:abstractNumId w:val="6"/>
  </w:num>
  <w:num w:numId="4">
    <w:abstractNumId w:val="132"/>
  </w:num>
  <w:num w:numId="5">
    <w:abstractNumId w:val="40"/>
  </w:num>
  <w:num w:numId="6">
    <w:abstractNumId w:val="110"/>
  </w:num>
  <w:num w:numId="7">
    <w:abstractNumId w:val="83"/>
  </w:num>
  <w:num w:numId="8">
    <w:abstractNumId w:val="18"/>
  </w:num>
  <w:num w:numId="9">
    <w:abstractNumId w:val="114"/>
  </w:num>
  <w:num w:numId="10">
    <w:abstractNumId w:val="66"/>
  </w:num>
  <w:num w:numId="11">
    <w:abstractNumId w:val="23"/>
  </w:num>
  <w:num w:numId="12">
    <w:abstractNumId w:val="93"/>
  </w:num>
  <w:num w:numId="13">
    <w:abstractNumId w:val="42"/>
  </w:num>
  <w:num w:numId="14">
    <w:abstractNumId w:val="113"/>
  </w:num>
  <w:num w:numId="15">
    <w:abstractNumId w:val="33"/>
  </w:num>
  <w:num w:numId="16">
    <w:abstractNumId w:val="2"/>
  </w:num>
  <w:num w:numId="17">
    <w:abstractNumId w:val="44"/>
  </w:num>
  <w:num w:numId="18">
    <w:abstractNumId w:val="123"/>
  </w:num>
  <w:num w:numId="19">
    <w:abstractNumId w:val="32"/>
  </w:num>
  <w:num w:numId="20">
    <w:abstractNumId w:val="111"/>
  </w:num>
  <w:num w:numId="21">
    <w:abstractNumId w:val="53"/>
  </w:num>
  <w:num w:numId="22">
    <w:abstractNumId w:val="92"/>
  </w:num>
  <w:num w:numId="23">
    <w:abstractNumId w:val="25"/>
  </w:num>
  <w:num w:numId="24">
    <w:abstractNumId w:val="71"/>
  </w:num>
  <w:num w:numId="25">
    <w:abstractNumId w:val="104"/>
  </w:num>
  <w:num w:numId="26">
    <w:abstractNumId w:val="85"/>
  </w:num>
  <w:num w:numId="27">
    <w:abstractNumId w:val="133"/>
  </w:num>
  <w:num w:numId="28">
    <w:abstractNumId w:val="15"/>
  </w:num>
  <w:num w:numId="29">
    <w:abstractNumId w:val="3"/>
  </w:num>
  <w:num w:numId="30">
    <w:abstractNumId w:val="130"/>
  </w:num>
  <w:num w:numId="31">
    <w:abstractNumId w:val="47"/>
  </w:num>
  <w:num w:numId="32">
    <w:abstractNumId w:val="45"/>
  </w:num>
  <w:num w:numId="33">
    <w:abstractNumId w:val="97"/>
  </w:num>
  <w:num w:numId="34">
    <w:abstractNumId w:val="122"/>
  </w:num>
  <w:num w:numId="35">
    <w:abstractNumId w:val="105"/>
  </w:num>
  <w:num w:numId="36">
    <w:abstractNumId w:val="72"/>
  </w:num>
  <w:num w:numId="37">
    <w:abstractNumId w:val="134"/>
  </w:num>
  <w:num w:numId="3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8"/>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9"/>
  </w:num>
  <w:num w:numId="42">
    <w:abstractNumId w:val="75"/>
  </w:num>
  <w:num w:numId="43">
    <w:abstractNumId w:val="95"/>
  </w:num>
  <w:num w:numId="44">
    <w:abstractNumId w:val="14"/>
  </w:num>
  <w:num w:numId="45">
    <w:abstractNumId w:val="99"/>
  </w:num>
  <w:num w:numId="4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1"/>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6"/>
  </w:num>
  <w:num w:numId="52">
    <w:abstractNumId w:val="58"/>
  </w:num>
  <w:num w:numId="53">
    <w:abstractNumId w:val="131"/>
  </w:num>
  <w:num w:numId="54">
    <w:abstractNumId w:val="135"/>
  </w:num>
  <w:num w:numId="55">
    <w:abstractNumId w:val="61"/>
  </w:num>
  <w:num w:numId="5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
  </w:num>
  <w:num w:numId="60">
    <w:abstractNumId w:val="73"/>
  </w:num>
  <w:num w:numId="61">
    <w:abstractNumId w:val="8"/>
  </w:num>
  <w:num w:numId="62">
    <w:abstractNumId w:val="57"/>
  </w:num>
  <w:num w:numId="63">
    <w:abstractNumId w:val="117"/>
  </w:num>
  <w:num w:numId="64">
    <w:abstractNumId w:val="84"/>
  </w:num>
  <w:num w:numId="65">
    <w:abstractNumId w:val="48"/>
  </w:num>
  <w:num w:numId="66">
    <w:abstractNumId w:val="70"/>
  </w:num>
  <w:num w:numId="67">
    <w:abstractNumId w:val="67"/>
  </w:num>
  <w:num w:numId="68">
    <w:abstractNumId w:val="17"/>
  </w:num>
  <w:num w:numId="69">
    <w:abstractNumId w:val="39"/>
  </w:num>
  <w:num w:numId="70">
    <w:abstractNumId w:val="46"/>
  </w:num>
  <w:num w:numId="71">
    <w:abstractNumId w:val="56"/>
  </w:num>
  <w:num w:numId="72">
    <w:abstractNumId w:val="28"/>
  </w:num>
  <w:num w:numId="73">
    <w:abstractNumId w:val="68"/>
  </w:num>
  <w:num w:numId="74">
    <w:abstractNumId w:val="87"/>
  </w:num>
  <w:num w:numId="75">
    <w:abstractNumId w:val="108"/>
  </w:num>
  <w:num w:numId="76">
    <w:abstractNumId w:val="120"/>
  </w:num>
  <w:num w:numId="77">
    <w:abstractNumId w:val="69"/>
  </w:num>
  <w:num w:numId="78">
    <w:abstractNumId w:val="121"/>
  </w:num>
  <w:num w:numId="79">
    <w:abstractNumId w:val="96"/>
  </w:num>
  <w:num w:numId="80">
    <w:abstractNumId w:val="77"/>
  </w:num>
  <w:num w:numId="81">
    <w:abstractNumId w:val="137"/>
  </w:num>
  <w:num w:numId="82">
    <w:abstractNumId w:val="55"/>
  </w:num>
  <w:num w:numId="83">
    <w:abstractNumId w:val="38"/>
  </w:num>
  <w:num w:numId="84">
    <w:abstractNumId w:val="29"/>
  </w:num>
  <w:num w:numId="85">
    <w:abstractNumId w:val="127"/>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3"/>
    <w:lvlOverride w:ilvl="0">
      <w:startOverride w:val="1"/>
    </w:lvlOverride>
    <w:lvlOverride w:ilvl="1"/>
    <w:lvlOverride w:ilvl="2"/>
    <w:lvlOverride w:ilvl="3"/>
    <w:lvlOverride w:ilvl="4"/>
    <w:lvlOverride w:ilvl="5"/>
    <w:lvlOverride w:ilvl="6"/>
    <w:lvlOverride w:ilvl="7"/>
    <w:lvlOverride w:ilvl="8"/>
  </w:num>
  <w:num w:numId="8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4"/>
  </w:num>
  <w:num w:numId="90">
    <w:abstractNumId w:val="31"/>
  </w:num>
  <w:num w:numId="91">
    <w:abstractNumId w:val="51"/>
  </w:num>
  <w:num w:numId="92">
    <w:abstractNumId w:val="124"/>
  </w:num>
  <w:num w:numId="93">
    <w:abstractNumId w:val="136"/>
  </w:num>
  <w:num w:numId="94">
    <w:abstractNumId w:val="12"/>
  </w:num>
  <w:num w:numId="95">
    <w:abstractNumId w:val="102"/>
  </w:num>
  <w:num w:numId="96">
    <w:abstractNumId w:val="50"/>
  </w:num>
  <w:num w:numId="97">
    <w:abstractNumId w:val="24"/>
  </w:num>
  <w:num w:numId="98">
    <w:abstractNumId w:val="103"/>
  </w:num>
  <w:num w:numId="99">
    <w:abstractNumId w:val="16"/>
  </w:num>
  <w:num w:numId="100">
    <w:abstractNumId w:val="19"/>
  </w:num>
  <w:num w:numId="101">
    <w:abstractNumId w:val="1"/>
  </w:num>
  <w:num w:numId="102">
    <w:abstractNumId w:val="13"/>
  </w:num>
  <w:num w:numId="103">
    <w:abstractNumId w:val="90"/>
  </w:num>
  <w:num w:numId="104">
    <w:abstractNumId w:val="54"/>
  </w:num>
  <w:num w:numId="105">
    <w:abstractNumId w:val="1"/>
  </w:num>
  <w:num w:numId="106">
    <w:abstractNumId w:val="13"/>
  </w:num>
  <w:num w:numId="107">
    <w:abstractNumId w:val="83"/>
  </w:num>
  <w:num w:numId="108">
    <w:abstractNumId w:val="118"/>
  </w:num>
  <w:num w:numId="109">
    <w:abstractNumId w:val="9"/>
  </w:num>
  <w:num w:numId="110">
    <w:abstractNumId w:val="37"/>
  </w:num>
  <w:num w:numId="111">
    <w:abstractNumId w:val="30"/>
  </w:num>
  <w:num w:numId="112">
    <w:abstractNumId w:val="78"/>
  </w:num>
  <w:num w:numId="113">
    <w:abstractNumId w:val="125"/>
  </w:num>
  <w:num w:numId="114">
    <w:abstractNumId w:val="101"/>
  </w:num>
  <w:num w:numId="115">
    <w:abstractNumId w:val="34"/>
  </w:num>
  <w:num w:numId="116">
    <w:abstractNumId w:val="106"/>
  </w:num>
  <w:num w:numId="117">
    <w:abstractNumId w:val="109"/>
  </w:num>
  <w:num w:numId="118">
    <w:abstractNumId w:val="36"/>
  </w:num>
  <w:num w:numId="119">
    <w:abstractNumId w:val="100"/>
  </w:num>
  <w:num w:numId="120">
    <w:abstractNumId w:val="4"/>
  </w:num>
  <w:num w:numId="121">
    <w:abstractNumId w:val="98"/>
  </w:num>
  <w:num w:numId="122">
    <w:abstractNumId w:val="128"/>
  </w:num>
  <w:num w:numId="123">
    <w:abstractNumId w:val="10"/>
  </w:num>
  <w:num w:numId="124">
    <w:abstractNumId w:val="22"/>
  </w:num>
  <w:num w:numId="125">
    <w:abstractNumId w:val="20"/>
  </w:num>
  <w:num w:numId="126">
    <w:abstractNumId w:val="0"/>
  </w:num>
  <w:num w:numId="127">
    <w:abstractNumId w:val="80"/>
  </w:num>
  <w:num w:numId="128">
    <w:abstractNumId w:val="52"/>
  </w:num>
  <w:num w:numId="129">
    <w:abstractNumId w:val="112"/>
  </w:num>
  <w:num w:numId="130">
    <w:abstractNumId w:val="41"/>
  </w:num>
  <w:num w:numId="131">
    <w:abstractNumId w:val="64"/>
  </w:num>
  <w:num w:numId="132">
    <w:abstractNumId w:val="49"/>
  </w:num>
  <w:num w:numId="133">
    <w:abstractNumId w:val="11"/>
  </w:num>
  <w:num w:numId="134">
    <w:abstractNumId w:val="26"/>
  </w:num>
  <w:num w:numId="135">
    <w:abstractNumId w:val="129"/>
  </w:num>
  <w:num w:numId="136">
    <w:abstractNumId w:val="91"/>
  </w:num>
  <w:num w:numId="137">
    <w:abstractNumId w:val="59"/>
  </w:num>
  <w:num w:numId="138">
    <w:abstractNumId w:val="89"/>
  </w:num>
  <w:num w:numId="139">
    <w:abstractNumId w:val="63"/>
  </w:num>
  <w:num w:numId="140">
    <w:abstractNumId w:val="116"/>
  </w:num>
  <w:num w:numId="141">
    <w:abstractNumId w:val="79"/>
  </w:num>
  <w:num w:numId="1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26"/>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GrammaticalErrors/>
  <w:trackRevisions/>
  <w:defaultTabStop w:val="720"/>
  <w:hyphenationZone w:val="396"/>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4AD"/>
    <w:rsid w:val="00002019"/>
    <w:rsid w:val="00002662"/>
    <w:rsid w:val="00004814"/>
    <w:rsid w:val="00004EB1"/>
    <w:rsid w:val="00006C33"/>
    <w:rsid w:val="000070AA"/>
    <w:rsid w:val="000074A6"/>
    <w:rsid w:val="00007761"/>
    <w:rsid w:val="00012064"/>
    <w:rsid w:val="000135F1"/>
    <w:rsid w:val="00013A48"/>
    <w:rsid w:val="00014099"/>
    <w:rsid w:val="00014310"/>
    <w:rsid w:val="000202D0"/>
    <w:rsid w:val="000203BA"/>
    <w:rsid w:val="00021379"/>
    <w:rsid w:val="00021535"/>
    <w:rsid w:val="000245DA"/>
    <w:rsid w:val="00024E2B"/>
    <w:rsid w:val="00032456"/>
    <w:rsid w:val="0003414F"/>
    <w:rsid w:val="000344AE"/>
    <w:rsid w:val="00036AB8"/>
    <w:rsid w:val="00037033"/>
    <w:rsid w:val="00037FD3"/>
    <w:rsid w:val="00040115"/>
    <w:rsid w:val="00042A42"/>
    <w:rsid w:val="000470B4"/>
    <w:rsid w:val="000471E8"/>
    <w:rsid w:val="000471E9"/>
    <w:rsid w:val="00047C41"/>
    <w:rsid w:val="0005008F"/>
    <w:rsid w:val="000519AE"/>
    <w:rsid w:val="00051C41"/>
    <w:rsid w:val="00054968"/>
    <w:rsid w:val="0005727B"/>
    <w:rsid w:val="0006067E"/>
    <w:rsid w:val="000619E8"/>
    <w:rsid w:val="00061AD3"/>
    <w:rsid w:val="0006419A"/>
    <w:rsid w:val="000645D8"/>
    <w:rsid w:val="00065F2F"/>
    <w:rsid w:val="000666AD"/>
    <w:rsid w:val="000678F1"/>
    <w:rsid w:val="00067B48"/>
    <w:rsid w:val="00073F96"/>
    <w:rsid w:val="00074273"/>
    <w:rsid w:val="000755F8"/>
    <w:rsid w:val="00076A04"/>
    <w:rsid w:val="000774BC"/>
    <w:rsid w:val="000803C0"/>
    <w:rsid w:val="000805C8"/>
    <w:rsid w:val="00080FD5"/>
    <w:rsid w:val="0008139E"/>
    <w:rsid w:val="00082440"/>
    <w:rsid w:val="00082E94"/>
    <w:rsid w:val="000833F4"/>
    <w:rsid w:val="00084A1A"/>
    <w:rsid w:val="00085DBF"/>
    <w:rsid w:val="000869EA"/>
    <w:rsid w:val="00086D38"/>
    <w:rsid w:val="00087026"/>
    <w:rsid w:val="00090D53"/>
    <w:rsid w:val="00091A85"/>
    <w:rsid w:val="00091E92"/>
    <w:rsid w:val="00092DFB"/>
    <w:rsid w:val="00093B65"/>
    <w:rsid w:val="00094500"/>
    <w:rsid w:val="00096740"/>
    <w:rsid w:val="00096C5A"/>
    <w:rsid w:val="000978A1"/>
    <w:rsid w:val="00097A34"/>
    <w:rsid w:val="000A1145"/>
    <w:rsid w:val="000A1A3F"/>
    <w:rsid w:val="000A3E5B"/>
    <w:rsid w:val="000A4AB0"/>
    <w:rsid w:val="000A566C"/>
    <w:rsid w:val="000A60BA"/>
    <w:rsid w:val="000A61DA"/>
    <w:rsid w:val="000B28FE"/>
    <w:rsid w:val="000B4929"/>
    <w:rsid w:val="000B4D51"/>
    <w:rsid w:val="000B50CC"/>
    <w:rsid w:val="000B602C"/>
    <w:rsid w:val="000B6F3F"/>
    <w:rsid w:val="000B792D"/>
    <w:rsid w:val="000C21B9"/>
    <w:rsid w:val="000C3A6B"/>
    <w:rsid w:val="000C3F28"/>
    <w:rsid w:val="000C4574"/>
    <w:rsid w:val="000C5C2A"/>
    <w:rsid w:val="000C740B"/>
    <w:rsid w:val="000D0F73"/>
    <w:rsid w:val="000D10FC"/>
    <w:rsid w:val="000D1327"/>
    <w:rsid w:val="000D2689"/>
    <w:rsid w:val="000D54A5"/>
    <w:rsid w:val="000D5B6D"/>
    <w:rsid w:val="000E00FC"/>
    <w:rsid w:val="000E2287"/>
    <w:rsid w:val="000E3422"/>
    <w:rsid w:val="000E490D"/>
    <w:rsid w:val="000E4BA5"/>
    <w:rsid w:val="000E5569"/>
    <w:rsid w:val="000E59DF"/>
    <w:rsid w:val="000E66DF"/>
    <w:rsid w:val="000E6F4A"/>
    <w:rsid w:val="000F004B"/>
    <w:rsid w:val="000F0CDB"/>
    <w:rsid w:val="000F189A"/>
    <w:rsid w:val="000F206B"/>
    <w:rsid w:val="000F30CF"/>
    <w:rsid w:val="000F5239"/>
    <w:rsid w:val="000F589D"/>
    <w:rsid w:val="000F7001"/>
    <w:rsid w:val="00100B18"/>
    <w:rsid w:val="00100EF9"/>
    <w:rsid w:val="001013E9"/>
    <w:rsid w:val="00102228"/>
    <w:rsid w:val="001023CB"/>
    <w:rsid w:val="00103D6B"/>
    <w:rsid w:val="00104B42"/>
    <w:rsid w:val="00105627"/>
    <w:rsid w:val="00105B94"/>
    <w:rsid w:val="00105CED"/>
    <w:rsid w:val="00106EB8"/>
    <w:rsid w:val="00107264"/>
    <w:rsid w:val="0010799D"/>
    <w:rsid w:val="00107D1D"/>
    <w:rsid w:val="0011082B"/>
    <w:rsid w:val="001109AF"/>
    <w:rsid w:val="00111AF4"/>
    <w:rsid w:val="00113838"/>
    <w:rsid w:val="001142B2"/>
    <w:rsid w:val="00121072"/>
    <w:rsid w:val="0012159F"/>
    <w:rsid w:val="0012248F"/>
    <w:rsid w:val="001234D7"/>
    <w:rsid w:val="0012438E"/>
    <w:rsid w:val="0012485D"/>
    <w:rsid w:val="001251A5"/>
    <w:rsid w:val="00126F0B"/>
    <w:rsid w:val="00130776"/>
    <w:rsid w:val="00131276"/>
    <w:rsid w:val="00131688"/>
    <w:rsid w:val="00132166"/>
    <w:rsid w:val="00132D6F"/>
    <w:rsid w:val="00134B04"/>
    <w:rsid w:val="00134BF1"/>
    <w:rsid w:val="00135030"/>
    <w:rsid w:val="00135920"/>
    <w:rsid w:val="001361A4"/>
    <w:rsid w:val="001407F0"/>
    <w:rsid w:val="00142E41"/>
    <w:rsid w:val="0014336F"/>
    <w:rsid w:val="00144171"/>
    <w:rsid w:val="00144349"/>
    <w:rsid w:val="001450DB"/>
    <w:rsid w:val="00145BA8"/>
    <w:rsid w:val="00145C21"/>
    <w:rsid w:val="001470D3"/>
    <w:rsid w:val="00147BB0"/>
    <w:rsid w:val="00151543"/>
    <w:rsid w:val="00151E16"/>
    <w:rsid w:val="001539F0"/>
    <w:rsid w:val="001551F2"/>
    <w:rsid w:val="001554CF"/>
    <w:rsid w:val="001577DE"/>
    <w:rsid w:val="001579BA"/>
    <w:rsid w:val="001624AE"/>
    <w:rsid w:val="00163947"/>
    <w:rsid w:val="00164C88"/>
    <w:rsid w:val="0016625D"/>
    <w:rsid w:val="00167700"/>
    <w:rsid w:val="0017040A"/>
    <w:rsid w:val="00170EF5"/>
    <w:rsid w:val="001716B3"/>
    <w:rsid w:val="00171AB3"/>
    <w:rsid w:val="0017265C"/>
    <w:rsid w:val="001731D4"/>
    <w:rsid w:val="001760F8"/>
    <w:rsid w:val="00176533"/>
    <w:rsid w:val="00181329"/>
    <w:rsid w:val="00181772"/>
    <w:rsid w:val="00181C0E"/>
    <w:rsid w:val="0018202E"/>
    <w:rsid w:val="00183ED3"/>
    <w:rsid w:val="001849EF"/>
    <w:rsid w:val="0018584E"/>
    <w:rsid w:val="00187E05"/>
    <w:rsid w:val="00191C07"/>
    <w:rsid w:val="00193A8F"/>
    <w:rsid w:val="00193A90"/>
    <w:rsid w:val="001940A6"/>
    <w:rsid w:val="00194E46"/>
    <w:rsid w:val="001A0947"/>
    <w:rsid w:val="001A1E3E"/>
    <w:rsid w:val="001A2225"/>
    <w:rsid w:val="001A44B3"/>
    <w:rsid w:val="001A5AF6"/>
    <w:rsid w:val="001A7951"/>
    <w:rsid w:val="001B0469"/>
    <w:rsid w:val="001B06D8"/>
    <w:rsid w:val="001B0FE9"/>
    <w:rsid w:val="001B13C0"/>
    <w:rsid w:val="001B1701"/>
    <w:rsid w:val="001B17B7"/>
    <w:rsid w:val="001B3A89"/>
    <w:rsid w:val="001B41DF"/>
    <w:rsid w:val="001B607D"/>
    <w:rsid w:val="001B651C"/>
    <w:rsid w:val="001C0725"/>
    <w:rsid w:val="001C13B5"/>
    <w:rsid w:val="001C20A9"/>
    <w:rsid w:val="001C2822"/>
    <w:rsid w:val="001C3072"/>
    <w:rsid w:val="001C375E"/>
    <w:rsid w:val="001C3856"/>
    <w:rsid w:val="001C3C6A"/>
    <w:rsid w:val="001C3D24"/>
    <w:rsid w:val="001C4EC0"/>
    <w:rsid w:val="001C5C68"/>
    <w:rsid w:val="001C5DEC"/>
    <w:rsid w:val="001C63DB"/>
    <w:rsid w:val="001C7183"/>
    <w:rsid w:val="001D175C"/>
    <w:rsid w:val="001D284B"/>
    <w:rsid w:val="001D480B"/>
    <w:rsid w:val="001D4A0D"/>
    <w:rsid w:val="001D54C7"/>
    <w:rsid w:val="001D735D"/>
    <w:rsid w:val="001E0D9E"/>
    <w:rsid w:val="001E419B"/>
    <w:rsid w:val="001E465C"/>
    <w:rsid w:val="001E49D3"/>
    <w:rsid w:val="001E4B4F"/>
    <w:rsid w:val="001E4D05"/>
    <w:rsid w:val="001E5999"/>
    <w:rsid w:val="001E5E58"/>
    <w:rsid w:val="001E639C"/>
    <w:rsid w:val="001E6EFD"/>
    <w:rsid w:val="001E7ABA"/>
    <w:rsid w:val="001F044D"/>
    <w:rsid w:val="001F1860"/>
    <w:rsid w:val="001F3300"/>
    <w:rsid w:val="001F37D5"/>
    <w:rsid w:val="001F3E9F"/>
    <w:rsid w:val="001F41DE"/>
    <w:rsid w:val="001F51FD"/>
    <w:rsid w:val="001F59D9"/>
    <w:rsid w:val="001F5C99"/>
    <w:rsid w:val="001F6092"/>
    <w:rsid w:val="001F6F57"/>
    <w:rsid w:val="001F77D4"/>
    <w:rsid w:val="001F7D0D"/>
    <w:rsid w:val="0020039A"/>
    <w:rsid w:val="00200B3F"/>
    <w:rsid w:val="0020130A"/>
    <w:rsid w:val="00202033"/>
    <w:rsid w:val="00205ACC"/>
    <w:rsid w:val="00205D40"/>
    <w:rsid w:val="00206511"/>
    <w:rsid w:val="00206567"/>
    <w:rsid w:val="00206B18"/>
    <w:rsid w:val="00207DE6"/>
    <w:rsid w:val="00210E4E"/>
    <w:rsid w:val="00210E9F"/>
    <w:rsid w:val="00211526"/>
    <w:rsid w:val="0021225B"/>
    <w:rsid w:val="002131A3"/>
    <w:rsid w:val="00214DC9"/>
    <w:rsid w:val="00215FC7"/>
    <w:rsid w:val="002164A6"/>
    <w:rsid w:val="00217A8E"/>
    <w:rsid w:val="00220B64"/>
    <w:rsid w:val="002210FB"/>
    <w:rsid w:val="002238EE"/>
    <w:rsid w:val="00223E9F"/>
    <w:rsid w:val="002268D8"/>
    <w:rsid w:val="00230209"/>
    <w:rsid w:val="00231758"/>
    <w:rsid w:val="00231994"/>
    <w:rsid w:val="0023259F"/>
    <w:rsid w:val="00232A85"/>
    <w:rsid w:val="00233DDB"/>
    <w:rsid w:val="00234582"/>
    <w:rsid w:val="002345A2"/>
    <w:rsid w:val="00235614"/>
    <w:rsid w:val="002409A2"/>
    <w:rsid w:val="002418A3"/>
    <w:rsid w:val="00241C54"/>
    <w:rsid w:val="00242F76"/>
    <w:rsid w:val="00243DCC"/>
    <w:rsid w:val="00244115"/>
    <w:rsid w:val="00245D4D"/>
    <w:rsid w:val="0025047F"/>
    <w:rsid w:val="00251301"/>
    <w:rsid w:val="00252A54"/>
    <w:rsid w:val="00254881"/>
    <w:rsid w:val="00255212"/>
    <w:rsid w:val="002556CC"/>
    <w:rsid w:val="00256875"/>
    <w:rsid w:val="00260838"/>
    <w:rsid w:val="00260840"/>
    <w:rsid w:val="00260862"/>
    <w:rsid w:val="00263603"/>
    <w:rsid w:val="00264781"/>
    <w:rsid w:val="002651B6"/>
    <w:rsid w:val="00265B69"/>
    <w:rsid w:val="00267476"/>
    <w:rsid w:val="002674A0"/>
    <w:rsid w:val="002701C0"/>
    <w:rsid w:val="00272058"/>
    <w:rsid w:val="00272C16"/>
    <w:rsid w:val="0027348B"/>
    <w:rsid w:val="0027411F"/>
    <w:rsid w:val="00274302"/>
    <w:rsid w:val="00274FDA"/>
    <w:rsid w:val="00275B63"/>
    <w:rsid w:val="00275D8D"/>
    <w:rsid w:val="00280016"/>
    <w:rsid w:val="00280058"/>
    <w:rsid w:val="00280A4C"/>
    <w:rsid w:val="00280FFC"/>
    <w:rsid w:val="002813FD"/>
    <w:rsid w:val="002838B1"/>
    <w:rsid w:val="00284772"/>
    <w:rsid w:val="00285CE9"/>
    <w:rsid w:val="002872E8"/>
    <w:rsid w:val="002878F6"/>
    <w:rsid w:val="00287BC0"/>
    <w:rsid w:val="00290376"/>
    <w:rsid w:val="00290689"/>
    <w:rsid w:val="0029157D"/>
    <w:rsid w:val="0029181F"/>
    <w:rsid w:val="00292041"/>
    <w:rsid w:val="00292BC6"/>
    <w:rsid w:val="00293204"/>
    <w:rsid w:val="0029321A"/>
    <w:rsid w:val="002A1569"/>
    <w:rsid w:val="002A1F04"/>
    <w:rsid w:val="002A248B"/>
    <w:rsid w:val="002A2536"/>
    <w:rsid w:val="002A2BE4"/>
    <w:rsid w:val="002A3C61"/>
    <w:rsid w:val="002A576D"/>
    <w:rsid w:val="002A62EA"/>
    <w:rsid w:val="002A6510"/>
    <w:rsid w:val="002A6BA9"/>
    <w:rsid w:val="002A7A53"/>
    <w:rsid w:val="002B0A10"/>
    <w:rsid w:val="002B0C63"/>
    <w:rsid w:val="002B0DD9"/>
    <w:rsid w:val="002B1F52"/>
    <w:rsid w:val="002B204F"/>
    <w:rsid w:val="002B4E42"/>
    <w:rsid w:val="002B594C"/>
    <w:rsid w:val="002B60A9"/>
    <w:rsid w:val="002B6470"/>
    <w:rsid w:val="002C025E"/>
    <w:rsid w:val="002C12CB"/>
    <w:rsid w:val="002C1601"/>
    <w:rsid w:val="002C2968"/>
    <w:rsid w:val="002C49E5"/>
    <w:rsid w:val="002C6024"/>
    <w:rsid w:val="002C6638"/>
    <w:rsid w:val="002C7030"/>
    <w:rsid w:val="002C7AE0"/>
    <w:rsid w:val="002D0446"/>
    <w:rsid w:val="002D088D"/>
    <w:rsid w:val="002D188F"/>
    <w:rsid w:val="002D1F31"/>
    <w:rsid w:val="002D1FD0"/>
    <w:rsid w:val="002D4CDE"/>
    <w:rsid w:val="002D7697"/>
    <w:rsid w:val="002D7ED0"/>
    <w:rsid w:val="002D7F83"/>
    <w:rsid w:val="002E1966"/>
    <w:rsid w:val="002E2081"/>
    <w:rsid w:val="002E21E7"/>
    <w:rsid w:val="002E3C01"/>
    <w:rsid w:val="002E5596"/>
    <w:rsid w:val="002E61A1"/>
    <w:rsid w:val="002E72EF"/>
    <w:rsid w:val="002E74A2"/>
    <w:rsid w:val="002F06CB"/>
    <w:rsid w:val="002F0E7B"/>
    <w:rsid w:val="002F380F"/>
    <w:rsid w:val="002F5127"/>
    <w:rsid w:val="002F60CA"/>
    <w:rsid w:val="002F752F"/>
    <w:rsid w:val="00302148"/>
    <w:rsid w:val="0030263F"/>
    <w:rsid w:val="00302BD1"/>
    <w:rsid w:val="00303D27"/>
    <w:rsid w:val="003066FD"/>
    <w:rsid w:val="00307465"/>
    <w:rsid w:val="00307D8D"/>
    <w:rsid w:val="00307FA1"/>
    <w:rsid w:val="00310381"/>
    <w:rsid w:val="00310788"/>
    <w:rsid w:val="003128C5"/>
    <w:rsid w:val="00313A41"/>
    <w:rsid w:val="00313F07"/>
    <w:rsid w:val="003144BA"/>
    <w:rsid w:val="003203E9"/>
    <w:rsid w:val="0032057B"/>
    <w:rsid w:val="00320E9D"/>
    <w:rsid w:val="00321838"/>
    <w:rsid w:val="00322648"/>
    <w:rsid w:val="003231EF"/>
    <w:rsid w:val="00324A27"/>
    <w:rsid w:val="0032669C"/>
    <w:rsid w:val="00327745"/>
    <w:rsid w:val="0033068E"/>
    <w:rsid w:val="00330B74"/>
    <w:rsid w:val="003311E3"/>
    <w:rsid w:val="00332C26"/>
    <w:rsid w:val="00332DBD"/>
    <w:rsid w:val="00332E3E"/>
    <w:rsid w:val="00333C07"/>
    <w:rsid w:val="00333C84"/>
    <w:rsid w:val="00334FCF"/>
    <w:rsid w:val="003367EE"/>
    <w:rsid w:val="00336C16"/>
    <w:rsid w:val="00336DC1"/>
    <w:rsid w:val="00337064"/>
    <w:rsid w:val="003372A3"/>
    <w:rsid w:val="00337DA7"/>
    <w:rsid w:val="00342BFB"/>
    <w:rsid w:val="00343038"/>
    <w:rsid w:val="00347623"/>
    <w:rsid w:val="00347D22"/>
    <w:rsid w:val="00350C27"/>
    <w:rsid w:val="00350C5B"/>
    <w:rsid w:val="00352E8A"/>
    <w:rsid w:val="00353242"/>
    <w:rsid w:val="00353E18"/>
    <w:rsid w:val="00354704"/>
    <w:rsid w:val="003560CE"/>
    <w:rsid w:val="003564CF"/>
    <w:rsid w:val="00361850"/>
    <w:rsid w:val="0036297B"/>
    <w:rsid w:val="0036390E"/>
    <w:rsid w:val="0036438C"/>
    <w:rsid w:val="00364397"/>
    <w:rsid w:val="00364BF9"/>
    <w:rsid w:val="003652F3"/>
    <w:rsid w:val="00372767"/>
    <w:rsid w:val="003736DD"/>
    <w:rsid w:val="00374200"/>
    <w:rsid w:val="003744F0"/>
    <w:rsid w:val="00376196"/>
    <w:rsid w:val="00376E87"/>
    <w:rsid w:val="00377EBA"/>
    <w:rsid w:val="00380C4D"/>
    <w:rsid w:val="00381237"/>
    <w:rsid w:val="00381BAC"/>
    <w:rsid w:val="003835E8"/>
    <w:rsid w:val="00383B9E"/>
    <w:rsid w:val="00383C2C"/>
    <w:rsid w:val="00384869"/>
    <w:rsid w:val="00384EE7"/>
    <w:rsid w:val="0038564F"/>
    <w:rsid w:val="00386440"/>
    <w:rsid w:val="00386C76"/>
    <w:rsid w:val="00390353"/>
    <w:rsid w:val="00390E64"/>
    <w:rsid w:val="0039247F"/>
    <w:rsid w:val="00392701"/>
    <w:rsid w:val="00392908"/>
    <w:rsid w:val="00394EBB"/>
    <w:rsid w:val="00395495"/>
    <w:rsid w:val="003A0189"/>
    <w:rsid w:val="003A0690"/>
    <w:rsid w:val="003A1AA1"/>
    <w:rsid w:val="003A377A"/>
    <w:rsid w:val="003A3DA3"/>
    <w:rsid w:val="003A6D60"/>
    <w:rsid w:val="003A73FC"/>
    <w:rsid w:val="003B165A"/>
    <w:rsid w:val="003B242C"/>
    <w:rsid w:val="003B53C4"/>
    <w:rsid w:val="003B5D8E"/>
    <w:rsid w:val="003B7BB2"/>
    <w:rsid w:val="003C0B0D"/>
    <w:rsid w:val="003C0F55"/>
    <w:rsid w:val="003C27A6"/>
    <w:rsid w:val="003C3CFF"/>
    <w:rsid w:val="003C431C"/>
    <w:rsid w:val="003C45BF"/>
    <w:rsid w:val="003C5DAD"/>
    <w:rsid w:val="003C5DFE"/>
    <w:rsid w:val="003C6E00"/>
    <w:rsid w:val="003C6EB5"/>
    <w:rsid w:val="003C6ED8"/>
    <w:rsid w:val="003D15DE"/>
    <w:rsid w:val="003D1A96"/>
    <w:rsid w:val="003D1E6F"/>
    <w:rsid w:val="003D2247"/>
    <w:rsid w:val="003D2A3C"/>
    <w:rsid w:val="003D3348"/>
    <w:rsid w:val="003D4197"/>
    <w:rsid w:val="003D4F58"/>
    <w:rsid w:val="003D55FC"/>
    <w:rsid w:val="003D5B40"/>
    <w:rsid w:val="003D6309"/>
    <w:rsid w:val="003D63FC"/>
    <w:rsid w:val="003D7208"/>
    <w:rsid w:val="003E0D3C"/>
    <w:rsid w:val="003E1BAF"/>
    <w:rsid w:val="003E2438"/>
    <w:rsid w:val="003E3A3B"/>
    <w:rsid w:val="003E68D4"/>
    <w:rsid w:val="003E691C"/>
    <w:rsid w:val="003E7034"/>
    <w:rsid w:val="003E7AE1"/>
    <w:rsid w:val="003F2D79"/>
    <w:rsid w:val="003F3389"/>
    <w:rsid w:val="003F33B5"/>
    <w:rsid w:val="003F380F"/>
    <w:rsid w:val="003F381B"/>
    <w:rsid w:val="003F3AA6"/>
    <w:rsid w:val="003F690B"/>
    <w:rsid w:val="003F6B20"/>
    <w:rsid w:val="003F7B94"/>
    <w:rsid w:val="00400E38"/>
    <w:rsid w:val="004012BA"/>
    <w:rsid w:val="00401506"/>
    <w:rsid w:val="00402379"/>
    <w:rsid w:val="004040AF"/>
    <w:rsid w:val="004060D3"/>
    <w:rsid w:val="00406B8D"/>
    <w:rsid w:val="00407EB4"/>
    <w:rsid w:val="0041075A"/>
    <w:rsid w:val="004110D8"/>
    <w:rsid w:val="00412C7F"/>
    <w:rsid w:val="00417349"/>
    <w:rsid w:val="004174A5"/>
    <w:rsid w:val="004202B3"/>
    <w:rsid w:val="00421574"/>
    <w:rsid w:val="00422141"/>
    <w:rsid w:val="00422F7C"/>
    <w:rsid w:val="004235CF"/>
    <w:rsid w:val="00423FB2"/>
    <w:rsid w:val="0042455A"/>
    <w:rsid w:val="00424E53"/>
    <w:rsid w:val="004255D8"/>
    <w:rsid w:val="00426E3C"/>
    <w:rsid w:val="00430159"/>
    <w:rsid w:val="0043034C"/>
    <w:rsid w:val="0043040C"/>
    <w:rsid w:val="00434148"/>
    <w:rsid w:val="00434C94"/>
    <w:rsid w:val="00434ED1"/>
    <w:rsid w:val="00436FDC"/>
    <w:rsid w:val="00437AC4"/>
    <w:rsid w:val="004408A4"/>
    <w:rsid w:val="00440ED7"/>
    <w:rsid w:val="00440FFF"/>
    <w:rsid w:val="00441606"/>
    <w:rsid w:val="0044180E"/>
    <w:rsid w:val="0044207F"/>
    <w:rsid w:val="0044356A"/>
    <w:rsid w:val="00444AE6"/>
    <w:rsid w:val="00444F0B"/>
    <w:rsid w:val="00445E51"/>
    <w:rsid w:val="00446A41"/>
    <w:rsid w:val="00446A6A"/>
    <w:rsid w:val="00447111"/>
    <w:rsid w:val="00447E9E"/>
    <w:rsid w:val="004517DE"/>
    <w:rsid w:val="00451BC7"/>
    <w:rsid w:val="004521B7"/>
    <w:rsid w:val="004527AD"/>
    <w:rsid w:val="004530C1"/>
    <w:rsid w:val="00453D8D"/>
    <w:rsid w:val="00453F15"/>
    <w:rsid w:val="00454050"/>
    <w:rsid w:val="00455941"/>
    <w:rsid w:val="004569E3"/>
    <w:rsid w:val="00460265"/>
    <w:rsid w:val="00462E8B"/>
    <w:rsid w:val="00463247"/>
    <w:rsid w:val="00464B1C"/>
    <w:rsid w:val="00465277"/>
    <w:rsid w:val="004659B5"/>
    <w:rsid w:val="00466A70"/>
    <w:rsid w:val="00467B8E"/>
    <w:rsid w:val="004700B3"/>
    <w:rsid w:val="0047041F"/>
    <w:rsid w:val="00470AB9"/>
    <w:rsid w:val="004733EA"/>
    <w:rsid w:val="00473755"/>
    <w:rsid w:val="00473859"/>
    <w:rsid w:val="004756CD"/>
    <w:rsid w:val="004756DC"/>
    <w:rsid w:val="00483690"/>
    <w:rsid w:val="004838BF"/>
    <w:rsid w:val="00484327"/>
    <w:rsid w:val="00484C8D"/>
    <w:rsid w:val="00484FFB"/>
    <w:rsid w:val="00485E21"/>
    <w:rsid w:val="00490235"/>
    <w:rsid w:val="0049073E"/>
    <w:rsid w:val="00490E89"/>
    <w:rsid w:val="0049155C"/>
    <w:rsid w:val="004920C0"/>
    <w:rsid w:val="00492A9B"/>
    <w:rsid w:val="0049316B"/>
    <w:rsid w:val="0049481D"/>
    <w:rsid w:val="00494D1D"/>
    <w:rsid w:val="00494DA1"/>
    <w:rsid w:val="00495057"/>
    <w:rsid w:val="004951AB"/>
    <w:rsid w:val="00496433"/>
    <w:rsid w:val="0049688F"/>
    <w:rsid w:val="004968AE"/>
    <w:rsid w:val="00496AF7"/>
    <w:rsid w:val="004A00F8"/>
    <w:rsid w:val="004A014B"/>
    <w:rsid w:val="004A263A"/>
    <w:rsid w:val="004A5C4C"/>
    <w:rsid w:val="004B053B"/>
    <w:rsid w:val="004B095C"/>
    <w:rsid w:val="004B2E74"/>
    <w:rsid w:val="004B3BBF"/>
    <w:rsid w:val="004B3D85"/>
    <w:rsid w:val="004B43E6"/>
    <w:rsid w:val="004B5E13"/>
    <w:rsid w:val="004B6350"/>
    <w:rsid w:val="004B75FE"/>
    <w:rsid w:val="004B7B63"/>
    <w:rsid w:val="004C1BB5"/>
    <w:rsid w:val="004C1CFA"/>
    <w:rsid w:val="004C2EB2"/>
    <w:rsid w:val="004C31BA"/>
    <w:rsid w:val="004C3717"/>
    <w:rsid w:val="004C4604"/>
    <w:rsid w:val="004C4F8D"/>
    <w:rsid w:val="004D1FC7"/>
    <w:rsid w:val="004D45B4"/>
    <w:rsid w:val="004D4678"/>
    <w:rsid w:val="004D5A63"/>
    <w:rsid w:val="004D6DF4"/>
    <w:rsid w:val="004D7D62"/>
    <w:rsid w:val="004E1240"/>
    <w:rsid w:val="004E141A"/>
    <w:rsid w:val="004E3624"/>
    <w:rsid w:val="004E3657"/>
    <w:rsid w:val="004E3FB1"/>
    <w:rsid w:val="004F0CC9"/>
    <w:rsid w:val="004F374D"/>
    <w:rsid w:val="004F3A7E"/>
    <w:rsid w:val="004F3BC3"/>
    <w:rsid w:val="004F5AD0"/>
    <w:rsid w:val="004F7025"/>
    <w:rsid w:val="004F732A"/>
    <w:rsid w:val="004F7783"/>
    <w:rsid w:val="00502597"/>
    <w:rsid w:val="0050274C"/>
    <w:rsid w:val="005038C1"/>
    <w:rsid w:val="0050414C"/>
    <w:rsid w:val="00505F82"/>
    <w:rsid w:val="0050613B"/>
    <w:rsid w:val="00506FE0"/>
    <w:rsid w:val="00507148"/>
    <w:rsid w:val="005071E7"/>
    <w:rsid w:val="005075A3"/>
    <w:rsid w:val="00507C7A"/>
    <w:rsid w:val="00510258"/>
    <w:rsid w:val="005103AC"/>
    <w:rsid w:val="0051166B"/>
    <w:rsid w:val="00511C75"/>
    <w:rsid w:val="0051289E"/>
    <w:rsid w:val="00512A69"/>
    <w:rsid w:val="00512B6B"/>
    <w:rsid w:val="00514FA5"/>
    <w:rsid w:val="00516F84"/>
    <w:rsid w:val="005221A0"/>
    <w:rsid w:val="00522C86"/>
    <w:rsid w:val="005271F8"/>
    <w:rsid w:val="00530723"/>
    <w:rsid w:val="005340FB"/>
    <w:rsid w:val="00534790"/>
    <w:rsid w:val="0053513F"/>
    <w:rsid w:val="0053708C"/>
    <w:rsid w:val="00541073"/>
    <w:rsid w:val="005410F8"/>
    <w:rsid w:val="00541A2C"/>
    <w:rsid w:val="00543761"/>
    <w:rsid w:val="00545CB1"/>
    <w:rsid w:val="0054662E"/>
    <w:rsid w:val="00546927"/>
    <w:rsid w:val="00547662"/>
    <w:rsid w:val="005477F1"/>
    <w:rsid w:val="00547DFE"/>
    <w:rsid w:val="0055077D"/>
    <w:rsid w:val="00550D9B"/>
    <w:rsid w:val="00552343"/>
    <w:rsid w:val="00552C2C"/>
    <w:rsid w:val="00555750"/>
    <w:rsid w:val="00555B55"/>
    <w:rsid w:val="005606CE"/>
    <w:rsid w:val="0056099B"/>
    <w:rsid w:val="00561CE4"/>
    <w:rsid w:val="00561ECA"/>
    <w:rsid w:val="00562FAA"/>
    <w:rsid w:val="00564A13"/>
    <w:rsid w:val="0056546F"/>
    <w:rsid w:val="00573849"/>
    <w:rsid w:val="005764F4"/>
    <w:rsid w:val="00580C15"/>
    <w:rsid w:val="00582143"/>
    <w:rsid w:val="00583EB1"/>
    <w:rsid w:val="0058437E"/>
    <w:rsid w:val="00585A05"/>
    <w:rsid w:val="00585E78"/>
    <w:rsid w:val="00586810"/>
    <w:rsid w:val="00586DB4"/>
    <w:rsid w:val="00590AFD"/>
    <w:rsid w:val="00590B57"/>
    <w:rsid w:val="00591F98"/>
    <w:rsid w:val="005924F7"/>
    <w:rsid w:val="00593443"/>
    <w:rsid w:val="00594D44"/>
    <w:rsid w:val="005968BF"/>
    <w:rsid w:val="005A0765"/>
    <w:rsid w:val="005A0C26"/>
    <w:rsid w:val="005A10AB"/>
    <w:rsid w:val="005A110E"/>
    <w:rsid w:val="005A206F"/>
    <w:rsid w:val="005B0C29"/>
    <w:rsid w:val="005B353C"/>
    <w:rsid w:val="005B40F0"/>
    <w:rsid w:val="005B4195"/>
    <w:rsid w:val="005B4F18"/>
    <w:rsid w:val="005B58FC"/>
    <w:rsid w:val="005B6C13"/>
    <w:rsid w:val="005B7564"/>
    <w:rsid w:val="005C11C4"/>
    <w:rsid w:val="005C1F29"/>
    <w:rsid w:val="005C32B0"/>
    <w:rsid w:val="005C4343"/>
    <w:rsid w:val="005C45AC"/>
    <w:rsid w:val="005C47F2"/>
    <w:rsid w:val="005C552B"/>
    <w:rsid w:val="005C622E"/>
    <w:rsid w:val="005D15A9"/>
    <w:rsid w:val="005D34EE"/>
    <w:rsid w:val="005D4143"/>
    <w:rsid w:val="005D4222"/>
    <w:rsid w:val="005D499A"/>
    <w:rsid w:val="005D5116"/>
    <w:rsid w:val="005D5D30"/>
    <w:rsid w:val="005D7E32"/>
    <w:rsid w:val="005E0388"/>
    <w:rsid w:val="005E063B"/>
    <w:rsid w:val="005E23FC"/>
    <w:rsid w:val="005E26E0"/>
    <w:rsid w:val="005E3818"/>
    <w:rsid w:val="005E3EAC"/>
    <w:rsid w:val="005E5765"/>
    <w:rsid w:val="005E5944"/>
    <w:rsid w:val="005E62FB"/>
    <w:rsid w:val="005E68F7"/>
    <w:rsid w:val="005F1190"/>
    <w:rsid w:val="005F1D8E"/>
    <w:rsid w:val="005F2969"/>
    <w:rsid w:val="005F2FC2"/>
    <w:rsid w:val="005F4847"/>
    <w:rsid w:val="005F7073"/>
    <w:rsid w:val="0060276A"/>
    <w:rsid w:val="00604B71"/>
    <w:rsid w:val="00604DAF"/>
    <w:rsid w:val="006051D5"/>
    <w:rsid w:val="006055CB"/>
    <w:rsid w:val="006061BA"/>
    <w:rsid w:val="006078B9"/>
    <w:rsid w:val="00607C98"/>
    <w:rsid w:val="00607D37"/>
    <w:rsid w:val="0061061B"/>
    <w:rsid w:val="00610CEB"/>
    <w:rsid w:val="0061114F"/>
    <w:rsid w:val="006123C8"/>
    <w:rsid w:val="00612BE4"/>
    <w:rsid w:val="00614662"/>
    <w:rsid w:val="00614E55"/>
    <w:rsid w:val="00614FFF"/>
    <w:rsid w:val="006163E3"/>
    <w:rsid w:val="006167C8"/>
    <w:rsid w:val="006171DC"/>
    <w:rsid w:val="0062087D"/>
    <w:rsid w:val="00620AB2"/>
    <w:rsid w:val="00621306"/>
    <w:rsid w:val="00622D44"/>
    <w:rsid w:val="006232F8"/>
    <w:rsid w:val="00623A17"/>
    <w:rsid w:val="00624F9F"/>
    <w:rsid w:val="0062504A"/>
    <w:rsid w:val="00626F01"/>
    <w:rsid w:val="0062724A"/>
    <w:rsid w:val="00627E51"/>
    <w:rsid w:val="00631444"/>
    <w:rsid w:val="00631962"/>
    <w:rsid w:val="00632BFA"/>
    <w:rsid w:val="0063390D"/>
    <w:rsid w:val="00634DF6"/>
    <w:rsid w:val="00635781"/>
    <w:rsid w:val="00635BE7"/>
    <w:rsid w:val="006360E8"/>
    <w:rsid w:val="00637EC8"/>
    <w:rsid w:val="006402AA"/>
    <w:rsid w:val="00640C92"/>
    <w:rsid w:val="00640DEC"/>
    <w:rsid w:val="0064135E"/>
    <w:rsid w:val="006461F2"/>
    <w:rsid w:val="00647D22"/>
    <w:rsid w:val="00650348"/>
    <w:rsid w:val="00651031"/>
    <w:rsid w:val="00652226"/>
    <w:rsid w:val="00652347"/>
    <w:rsid w:val="00653947"/>
    <w:rsid w:val="00653EB5"/>
    <w:rsid w:val="00653FAF"/>
    <w:rsid w:val="006566FA"/>
    <w:rsid w:val="006571E5"/>
    <w:rsid w:val="006575E4"/>
    <w:rsid w:val="00657DED"/>
    <w:rsid w:val="0066126B"/>
    <w:rsid w:val="006615FC"/>
    <w:rsid w:val="00661682"/>
    <w:rsid w:val="00662878"/>
    <w:rsid w:val="00666C71"/>
    <w:rsid w:val="00667973"/>
    <w:rsid w:val="00667EEE"/>
    <w:rsid w:val="00670221"/>
    <w:rsid w:val="00670652"/>
    <w:rsid w:val="0067431F"/>
    <w:rsid w:val="0067492B"/>
    <w:rsid w:val="00674E02"/>
    <w:rsid w:val="00675F80"/>
    <w:rsid w:val="00676EA7"/>
    <w:rsid w:val="00680258"/>
    <w:rsid w:val="006802BC"/>
    <w:rsid w:val="00680662"/>
    <w:rsid w:val="00681225"/>
    <w:rsid w:val="0068192D"/>
    <w:rsid w:val="00684DED"/>
    <w:rsid w:val="006851A4"/>
    <w:rsid w:val="00687E0A"/>
    <w:rsid w:val="00690B2B"/>
    <w:rsid w:val="00691207"/>
    <w:rsid w:val="00692491"/>
    <w:rsid w:val="00693484"/>
    <w:rsid w:val="00694009"/>
    <w:rsid w:val="00694765"/>
    <w:rsid w:val="00695278"/>
    <w:rsid w:val="006A10A5"/>
    <w:rsid w:val="006A3B80"/>
    <w:rsid w:val="006A4D23"/>
    <w:rsid w:val="006A51D5"/>
    <w:rsid w:val="006B09E7"/>
    <w:rsid w:val="006B0B34"/>
    <w:rsid w:val="006B1B88"/>
    <w:rsid w:val="006B438E"/>
    <w:rsid w:val="006B4F57"/>
    <w:rsid w:val="006B605F"/>
    <w:rsid w:val="006C07C5"/>
    <w:rsid w:val="006C09D6"/>
    <w:rsid w:val="006C0CDA"/>
    <w:rsid w:val="006C3CAF"/>
    <w:rsid w:val="006C5A2A"/>
    <w:rsid w:val="006C788B"/>
    <w:rsid w:val="006D13C5"/>
    <w:rsid w:val="006D3781"/>
    <w:rsid w:val="006D41CA"/>
    <w:rsid w:val="006D46DC"/>
    <w:rsid w:val="006D51E6"/>
    <w:rsid w:val="006D530C"/>
    <w:rsid w:val="006D6CAB"/>
    <w:rsid w:val="006D7B66"/>
    <w:rsid w:val="006D7C76"/>
    <w:rsid w:val="006D7DCC"/>
    <w:rsid w:val="006E0671"/>
    <w:rsid w:val="006E0CD7"/>
    <w:rsid w:val="006E17B8"/>
    <w:rsid w:val="006E1AED"/>
    <w:rsid w:val="006E2EA8"/>
    <w:rsid w:val="006E3931"/>
    <w:rsid w:val="006E45D0"/>
    <w:rsid w:val="006E477E"/>
    <w:rsid w:val="006E5A9C"/>
    <w:rsid w:val="006E7508"/>
    <w:rsid w:val="006E7899"/>
    <w:rsid w:val="006F09C4"/>
    <w:rsid w:val="006F1100"/>
    <w:rsid w:val="006F15EA"/>
    <w:rsid w:val="006F40DD"/>
    <w:rsid w:val="00700BF7"/>
    <w:rsid w:val="00701BE5"/>
    <w:rsid w:val="0070352D"/>
    <w:rsid w:val="00703C24"/>
    <w:rsid w:val="00704E77"/>
    <w:rsid w:val="00707CB7"/>
    <w:rsid w:val="00707D65"/>
    <w:rsid w:val="00707DEC"/>
    <w:rsid w:val="007102DA"/>
    <w:rsid w:val="00710362"/>
    <w:rsid w:val="007103F9"/>
    <w:rsid w:val="00713038"/>
    <w:rsid w:val="00714494"/>
    <w:rsid w:val="00714B29"/>
    <w:rsid w:val="00714E80"/>
    <w:rsid w:val="00715E52"/>
    <w:rsid w:val="0072319B"/>
    <w:rsid w:val="007236CD"/>
    <w:rsid w:val="0072786C"/>
    <w:rsid w:val="00730DDF"/>
    <w:rsid w:val="00731024"/>
    <w:rsid w:val="00731158"/>
    <w:rsid w:val="00731246"/>
    <w:rsid w:val="00734601"/>
    <w:rsid w:val="00735707"/>
    <w:rsid w:val="0073615A"/>
    <w:rsid w:val="00736291"/>
    <w:rsid w:val="0074005A"/>
    <w:rsid w:val="00740966"/>
    <w:rsid w:val="00740E7F"/>
    <w:rsid w:val="007420C6"/>
    <w:rsid w:val="00743421"/>
    <w:rsid w:val="00746078"/>
    <w:rsid w:val="00747655"/>
    <w:rsid w:val="00750587"/>
    <w:rsid w:val="00751989"/>
    <w:rsid w:val="007527BD"/>
    <w:rsid w:val="007534B7"/>
    <w:rsid w:val="00753522"/>
    <w:rsid w:val="007538E7"/>
    <w:rsid w:val="00754A92"/>
    <w:rsid w:val="00755743"/>
    <w:rsid w:val="00756F4C"/>
    <w:rsid w:val="00757FF3"/>
    <w:rsid w:val="007609E7"/>
    <w:rsid w:val="00760B0B"/>
    <w:rsid w:val="00760FFB"/>
    <w:rsid w:val="00762242"/>
    <w:rsid w:val="00763259"/>
    <w:rsid w:val="00764447"/>
    <w:rsid w:val="007644FB"/>
    <w:rsid w:val="007659BD"/>
    <w:rsid w:val="00765A39"/>
    <w:rsid w:val="00765F40"/>
    <w:rsid w:val="0076713A"/>
    <w:rsid w:val="00767521"/>
    <w:rsid w:val="00767930"/>
    <w:rsid w:val="00767BAF"/>
    <w:rsid w:val="00772818"/>
    <w:rsid w:val="00772984"/>
    <w:rsid w:val="00773258"/>
    <w:rsid w:val="00773E5C"/>
    <w:rsid w:val="00775904"/>
    <w:rsid w:val="00775B14"/>
    <w:rsid w:val="00776C46"/>
    <w:rsid w:val="007772AB"/>
    <w:rsid w:val="00780631"/>
    <w:rsid w:val="00780B60"/>
    <w:rsid w:val="00782014"/>
    <w:rsid w:val="00782018"/>
    <w:rsid w:val="007838F9"/>
    <w:rsid w:val="00783E04"/>
    <w:rsid w:val="0078448E"/>
    <w:rsid w:val="007847AA"/>
    <w:rsid w:val="00784FA1"/>
    <w:rsid w:val="0078681E"/>
    <w:rsid w:val="0079044C"/>
    <w:rsid w:val="0079206D"/>
    <w:rsid w:val="0079319B"/>
    <w:rsid w:val="00794E15"/>
    <w:rsid w:val="0079578D"/>
    <w:rsid w:val="00796384"/>
    <w:rsid w:val="0079678D"/>
    <w:rsid w:val="007978AD"/>
    <w:rsid w:val="007A06B2"/>
    <w:rsid w:val="007A0E07"/>
    <w:rsid w:val="007A24E0"/>
    <w:rsid w:val="007A4102"/>
    <w:rsid w:val="007A49C1"/>
    <w:rsid w:val="007A547D"/>
    <w:rsid w:val="007A7740"/>
    <w:rsid w:val="007A7EF5"/>
    <w:rsid w:val="007B0844"/>
    <w:rsid w:val="007B1BB7"/>
    <w:rsid w:val="007B36D8"/>
    <w:rsid w:val="007B3C20"/>
    <w:rsid w:val="007B3E05"/>
    <w:rsid w:val="007B7A77"/>
    <w:rsid w:val="007B7CD4"/>
    <w:rsid w:val="007C1F55"/>
    <w:rsid w:val="007C22AB"/>
    <w:rsid w:val="007C2A52"/>
    <w:rsid w:val="007C3988"/>
    <w:rsid w:val="007C3B17"/>
    <w:rsid w:val="007C52FA"/>
    <w:rsid w:val="007C6757"/>
    <w:rsid w:val="007D0263"/>
    <w:rsid w:val="007D2AEC"/>
    <w:rsid w:val="007D46C3"/>
    <w:rsid w:val="007D567C"/>
    <w:rsid w:val="007D66EE"/>
    <w:rsid w:val="007D6F41"/>
    <w:rsid w:val="007D78B3"/>
    <w:rsid w:val="007E2877"/>
    <w:rsid w:val="007E3BE6"/>
    <w:rsid w:val="007E6337"/>
    <w:rsid w:val="007E7CE4"/>
    <w:rsid w:val="007F093A"/>
    <w:rsid w:val="007F2012"/>
    <w:rsid w:val="007F452B"/>
    <w:rsid w:val="007F4C4B"/>
    <w:rsid w:val="007F5417"/>
    <w:rsid w:val="007F5E19"/>
    <w:rsid w:val="007F6C5A"/>
    <w:rsid w:val="007F7145"/>
    <w:rsid w:val="00801198"/>
    <w:rsid w:val="00803156"/>
    <w:rsid w:val="008034DF"/>
    <w:rsid w:val="00807238"/>
    <w:rsid w:val="00807B2D"/>
    <w:rsid w:val="0081064D"/>
    <w:rsid w:val="00811096"/>
    <w:rsid w:val="008114DE"/>
    <w:rsid w:val="00812B9C"/>
    <w:rsid w:val="008134B7"/>
    <w:rsid w:val="00814263"/>
    <w:rsid w:val="00814A80"/>
    <w:rsid w:val="00815C69"/>
    <w:rsid w:val="008172F4"/>
    <w:rsid w:val="00817984"/>
    <w:rsid w:val="00820849"/>
    <w:rsid w:val="0082152E"/>
    <w:rsid w:val="00822D9C"/>
    <w:rsid w:val="008235B8"/>
    <w:rsid w:val="00826507"/>
    <w:rsid w:val="0082682D"/>
    <w:rsid w:val="00826892"/>
    <w:rsid w:val="0082696B"/>
    <w:rsid w:val="00826A9D"/>
    <w:rsid w:val="008278D4"/>
    <w:rsid w:val="00830DBF"/>
    <w:rsid w:val="008330A3"/>
    <w:rsid w:val="00833815"/>
    <w:rsid w:val="0083461E"/>
    <w:rsid w:val="008358C6"/>
    <w:rsid w:val="0084246B"/>
    <w:rsid w:val="00843869"/>
    <w:rsid w:val="00846EAC"/>
    <w:rsid w:val="00850371"/>
    <w:rsid w:val="00850D99"/>
    <w:rsid w:val="00851285"/>
    <w:rsid w:val="008525EF"/>
    <w:rsid w:val="008530F6"/>
    <w:rsid w:val="008547A1"/>
    <w:rsid w:val="00855713"/>
    <w:rsid w:val="00855CAB"/>
    <w:rsid w:val="00856093"/>
    <w:rsid w:val="00857E3D"/>
    <w:rsid w:val="00860402"/>
    <w:rsid w:val="00861D55"/>
    <w:rsid w:val="00864279"/>
    <w:rsid w:val="008642B2"/>
    <w:rsid w:val="008645AB"/>
    <w:rsid w:val="00865A23"/>
    <w:rsid w:val="008713EE"/>
    <w:rsid w:val="0087175A"/>
    <w:rsid w:val="00872767"/>
    <w:rsid w:val="008736FE"/>
    <w:rsid w:val="00873719"/>
    <w:rsid w:val="008749C5"/>
    <w:rsid w:val="00876410"/>
    <w:rsid w:val="0088058C"/>
    <w:rsid w:val="008818F7"/>
    <w:rsid w:val="00881C48"/>
    <w:rsid w:val="00881E2B"/>
    <w:rsid w:val="00882FF3"/>
    <w:rsid w:val="0088355D"/>
    <w:rsid w:val="0088418D"/>
    <w:rsid w:val="00884B93"/>
    <w:rsid w:val="00885951"/>
    <w:rsid w:val="00885CE3"/>
    <w:rsid w:val="00886939"/>
    <w:rsid w:val="0089031C"/>
    <w:rsid w:val="008903A9"/>
    <w:rsid w:val="00890820"/>
    <w:rsid w:val="00892C87"/>
    <w:rsid w:val="0089342F"/>
    <w:rsid w:val="00893929"/>
    <w:rsid w:val="00893A57"/>
    <w:rsid w:val="008959D0"/>
    <w:rsid w:val="00895C53"/>
    <w:rsid w:val="00895F5D"/>
    <w:rsid w:val="00896004"/>
    <w:rsid w:val="0089727D"/>
    <w:rsid w:val="00897B2C"/>
    <w:rsid w:val="008A0F26"/>
    <w:rsid w:val="008A17B0"/>
    <w:rsid w:val="008A4729"/>
    <w:rsid w:val="008A4CC0"/>
    <w:rsid w:val="008A509A"/>
    <w:rsid w:val="008A7148"/>
    <w:rsid w:val="008B4DD6"/>
    <w:rsid w:val="008B5027"/>
    <w:rsid w:val="008B59C8"/>
    <w:rsid w:val="008B6689"/>
    <w:rsid w:val="008B68BD"/>
    <w:rsid w:val="008B6AD0"/>
    <w:rsid w:val="008B7D10"/>
    <w:rsid w:val="008C091B"/>
    <w:rsid w:val="008C0A16"/>
    <w:rsid w:val="008C1458"/>
    <w:rsid w:val="008C214F"/>
    <w:rsid w:val="008C26C2"/>
    <w:rsid w:val="008C5F0B"/>
    <w:rsid w:val="008D0FB9"/>
    <w:rsid w:val="008D5323"/>
    <w:rsid w:val="008D5ACE"/>
    <w:rsid w:val="008D5EBC"/>
    <w:rsid w:val="008D6291"/>
    <w:rsid w:val="008D7228"/>
    <w:rsid w:val="008E06A6"/>
    <w:rsid w:val="008E1BAD"/>
    <w:rsid w:val="008E225B"/>
    <w:rsid w:val="008E34EA"/>
    <w:rsid w:val="008E38F9"/>
    <w:rsid w:val="008E45F0"/>
    <w:rsid w:val="008E5393"/>
    <w:rsid w:val="008E599D"/>
    <w:rsid w:val="008E59D5"/>
    <w:rsid w:val="008E5CC9"/>
    <w:rsid w:val="008E5FF8"/>
    <w:rsid w:val="008E6454"/>
    <w:rsid w:val="008E6592"/>
    <w:rsid w:val="008E65CB"/>
    <w:rsid w:val="008E66E4"/>
    <w:rsid w:val="008E6DE4"/>
    <w:rsid w:val="008E7CD2"/>
    <w:rsid w:val="008F0F03"/>
    <w:rsid w:val="008F18AD"/>
    <w:rsid w:val="008F2463"/>
    <w:rsid w:val="008F4620"/>
    <w:rsid w:val="008F5315"/>
    <w:rsid w:val="008F5394"/>
    <w:rsid w:val="008F5811"/>
    <w:rsid w:val="008F65CF"/>
    <w:rsid w:val="008F6DA3"/>
    <w:rsid w:val="008F73C3"/>
    <w:rsid w:val="008F79EF"/>
    <w:rsid w:val="00900E83"/>
    <w:rsid w:val="0090120E"/>
    <w:rsid w:val="00901478"/>
    <w:rsid w:val="00901BB2"/>
    <w:rsid w:val="009036C4"/>
    <w:rsid w:val="00904F12"/>
    <w:rsid w:val="009053C0"/>
    <w:rsid w:val="00905797"/>
    <w:rsid w:val="00906337"/>
    <w:rsid w:val="00907FE7"/>
    <w:rsid w:val="00910B6E"/>
    <w:rsid w:val="009111B9"/>
    <w:rsid w:val="00911CCD"/>
    <w:rsid w:val="009134CC"/>
    <w:rsid w:val="00914262"/>
    <w:rsid w:val="00914BE8"/>
    <w:rsid w:val="00916538"/>
    <w:rsid w:val="009167EA"/>
    <w:rsid w:val="009231AA"/>
    <w:rsid w:val="0092379A"/>
    <w:rsid w:val="009244B2"/>
    <w:rsid w:val="009245BD"/>
    <w:rsid w:val="00924ED7"/>
    <w:rsid w:val="00925633"/>
    <w:rsid w:val="00925D82"/>
    <w:rsid w:val="00926551"/>
    <w:rsid w:val="00927A94"/>
    <w:rsid w:val="00931CAF"/>
    <w:rsid w:val="00931E47"/>
    <w:rsid w:val="00932E77"/>
    <w:rsid w:val="00932EB1"/>
    <w:rsid w:val="0093327B"/>
    <w:rsid w:val="00934757"/>
    <w:rsid w:val="00934F2D"/>
    <w:rsid w:val="00935DC7"/>
    <w:rsid w:val="00936224"/>
    <w:rsid w:val="009366DB"/>
    <w:rsid w:val="00940524"/>
    <w:rsid w:val="0094112A"/>
    <w:rsid w:val="00943479"/>
    <w:rsid w:val="00944972"/>
    <w:rsid w:val="00944CA1"/>
    <w:rsid w:val="00944EEF"/>
    <w:rsid w:val="009520C9"/>
    <w:rsid w:val="00954DA6"/>
    <w:rsid w:val="00955298"/>
    <w:rsid w:val="009647A2"/>
    <w:rsid w:val="0096533A"/>
    <w:rsid w:val="00965B86"/>
    <w:rsid w:val="00967199"/>
    <w:rsid w:val="00970135"/>
    <w:rsid w:val="00970308"/>
    <w:rsid w:val="00970CCE"/>
    <w:rsid w:val="0097251F"/>
    <w:rsid w:val="00972C1F"/>
    <w:rsid w:val="00973FD2"/>
    <w:rsid w:val="0097428D"/>
    <w:rsid w:val="009742F9"/>
    <w:rsid w:val="00975CDA"/>
    <w:rsid w:val="00975EF2"/>
    <w:rsid w:val="00975FC4"/>
    <w:rsid w:val="00980F75"/>
    <w:rsid w:val="009816FF"/>
    <w:rsid w:val="00982988"/>
    <w:rsid w:val="0098329C"/>
    <w:rsid w:val="00983412"/>
    <w:rsid w:val="00983875"/>
    <w:rsid w:val="00983D68"/>
    <w:rsid w:val="00984FB1"/>
    <w:rsid w:val="0098678B"/>
    <w:rsid w:val="00986C23"/>
    <w:rsid w:val="009901F2"/>
    <w:rsid w:val="009928AE"/>
    <w:rsid w:val="0099296C"/>
    <w:rsid w:val="00995FCE"/>
    <w:rsid w:val="009974D0"/>
    <w:rsid w:val="009A1904"/>
    <w:rsid w:val="009A466E"/>
    <w:rsid w:val="009A4833"/>
    <w:rsid w:val="009A6D4D"/>
    <w:rsid w:val="009B17FE"/>
    <w:rsid w:val="009B1B43"/>
    <w:rsid w:val="009B313D"/>
    <w:rsid w:val="009B365D"/>
    <w:rsid w:val="009B4587"/>
    <w:rsid w:val="009B55B2"/>
    <w:rsid w:val="009B6EE0"/>
    <w:rsid w:val="009B7758"/>
    <w:rsid w:val="009B7A0D"/>
    <w:rsid w:val="009C0272"/>
    <w:rsid w:val="009C0F04"/>
    <w:rsid w:val="009C1B09"/>
    <w:rsid w:val="009C3D7D"/>
    <w:rsid w:val="009C52C7"/>
    <w:rsid w:val="009C5533"/>
    <w:rsid w:val="009C68B5"/>
    <w:rsid w:val="009C7B5E"/>
    <w:rsid w:val="009D0EC9"/>
    <w:rsid w:val="009D289E"/>
    <w:rsid w:val="009D411B"/>
    <w:rsid w:val="009D6C03"/>
    <w:rsid w:val="009D6D90"/>
    <w:rsid w:val="009D745D"/>
    <w:rsid w:val="009D75AC"/>
    <w:rsid w:val="009D772F"/>
    <w:rsid w:val="009E2C65"/>
    <w:rsid w:val="009E2E51"/>
    <w:rsid w:val="009E5C05"/>
    <w:rsid w:val="009E6096"/>
    <w:rsid w:val="009E6616"/>
    <w:rsid w:val="009F18FC"/>
    <w:rsid w:val="009F1AE2"/>
    <w:rsid w:val="009F2024"/>
    <w:rsid w:val="009F2192"/>
    <w:rsid w:val="009F3537"/>
    <w:rsid w:val="009F38CC"/>
    <w:rsid w:val="009F3ECA"/>
    <w:rsid w:val="009F55BB"/>
    <w:rsid w:val="009F745C"/>
    <w:rsid w:val="00A007CF"/>
    <w:rsid w:val="00A0110F"/>
    <w:rsid w:val="00A02C9A"/>
    <w:rsid w:val="00A03C4D"/>
    <w:rsid w:val="00A03FCF"/>
    <w:rsid w:val="00A04C05"/>
    <w:rsid w:val="00A0505B"/>
    <w:rsid w:val="00A074B2"/>
    <w:rsid w:val="00A0768D"/>
    <w:rsid w:val="00A07762"/>
    <w:rsid w:val="00A10E5E"/>
    <w:rsid w:val="00A11AA7"/>
    <w:rsid w:val="00A11E7B"/>
    <w:rsid w:val="00A1200D"/>
    <w:rsid w:val="00A12855"/>
    <w:rsid w:val="00A15822"/>
    <w:rsid w:val="00A15D1B"/>
    <w:rsid w:val="00A172E6"/>
    <w:rsid w:val="00A17E1B"/>
    <w:rsid w:val="00A2031A"/>
    <w:rsid w:val="00A20353"/>
    <w:rsid w:val="00A2090D"/>
    <w:rsid w:val="00A20FF9"/>
    <w:rsid w:val="00A23B09"/>
    <w:rsid w:val="00A26492"/>
    <w:rsid w:val="00A27CDB"/>
    <w:rsid w:val="00A27D63"/>
    <w:rsid w:val="00A310BD"/>
    <w:rsid w:val="00A332C0"/>
    <w:rsid w:val="00A33B71"/>
    <w:rsid w:val="00A3558B"/>
    <w:rsid w:val="00A35AA6"/>
    <w:rsid w:val="00A364D8"/>
    <w:rsid w:val="00A36B00"/>
    <w:rsid w:val="00A378E6"/>
    <w:rsid w:val="00A37F85"/>
    <w:rsid w:val="00A42808"/>
    <w:rsid w:val="00A43868"/>
    <w:rsid w:val="00A4530A"/>
    <w:rsid w:val="00A45AEE"/>
    <w:rsid w:val="00A502D4"/>
    <w:rsid w:val="00A555CA"/>
    <w:rsid w:val="00A556F4"/>
    <w:rsid w:val="00A57A16"/>
    <w:rsid w:val="00A604FC"/>
    <w:rsid w:val="00A60AF6"/>
    <w:rsid w:val="00A646BC"/>
    <w:rsid w:val="00A652EE"/>
    <w:rsid w:val="00A65A8D"/>
    <w:rsid w:val="00A65D38"/>
    <w:rsid w:val="00A66D78"/>
    <w:rsid w:val="00A67DBD"/>
    <w:rsid w:val="00A7090D"/>
    <w:rsid w:val="00A7138A"/>
    <w:rsid w:val="00A71EA8"/>
    <w:rsid w:val="00A72B3E"/>
    <w:rsid w:val="00A7318B"/>
    <w:rsid w:val="00A73399"/>
    <w:rsid w:val="00A734A4"/>
    <w:rsid w:val="00A7367C"/>
    <w:rsid w:val="00A73D0A"/>
    <w:rsid w:val="00A73D8E"/>
    <w:rsid w:val="00A7415B"/>
    <w:rsid w:val="00A7463E"/>
    <w:rsid w:val="00A75FE4"/>
    <w:rsid w:val="00A767C8"/>
    <w:rsid w:val="00A77872"/>
    <w:rsid w:val="00A80C23"/>
    <w:rsid w:val="00A84FBE"/>
    <w:rsid w:val="00A866E7"/>
    <w:rsid w:val="00A8682C"/>
    <w:rsid w:val="00A868F7"/>
    <w:rsid w:val="00A9076E"/>
    <w:rsid w:val="00A90CB3"/>
    <w:rsid w:val="00A9255E"/>
    <w:rsid w:val="00A93E24"/>
    <w:rsid w:val="00A948AA"/>
    <w:rsid w:val="00A95818"/>
    <w:rsid w:val="00A95A7F"/>
    <w:rsid w:val="00A95CBE"/>
    <w:rsid w:val="00A969C5"/>
    <w:rsid w:val="00A977CE"/>
    <w:rsid w:val="00AA1207"/>
    <w:rsid w:val="00AA12A4"/>
    <w:rsid w:val="00AA2B16"/>
    <w:rsid w:val="00AA3082"/>
    <w:rsid w:val="00AA32C1"/>
    <w:rsid w:val="00AA3FEF"/>
    <w:rsid w:val="00AB1E39"/>
    <w:rsid w:val="00AB1FC0"/>
    <w:rsid w:val="00AB269B"/>
    <w:rsid w:val="00AB326D"/>
    <w:rsid w:val="00AB34B1"/>
    <w:rsid w:val="00AB4B8B"/>
    <w:rsid w:val="00AB5BBF"/>
    <w:rsid w:val="00AC005E"/>
    <w:rsid w:val="00AC237A"/>
    <w:rsid w:val="00AC284E"/>
    <w:rsid w:val="00AC2CE1"/>
    <w:rsid w:val="00AC3318"/>
    <w:rsid w:val="00AC395E"/>
    <w:rsid w:val="00AC7DAF"/>
    <w:rsid w:val="00AD11DB"/>
    <w:rsid w:val="00AD2639"/>
    <w:rsid w:val="00AD3749"/>
    <w:rsid w:val="00AD3A3C"/>
    <w:rsid w:val="00AD3EEB"/>
    <w:rsid w:val="00AD42C1"/>
    <w:rsid w:val="00AD6A90"/>
    <w:rsid w:val="00AE1E09"/>
    <w:rsid w:val="00AE1EF0"/>
    <w:rsid w:val="00AE2576"/>
    <w:rsid w:val="00AE2BDD"/>
    <w:rsid w:val="00AE46E8"/>
    <w:rsid w:val="00AE5625"/>
    <w:rsid w:val="00AE7DC9"/>
    <w:rsid w:val="00AE7E91"/>
    <w:rsid w:val="00AF03CA"/>
    <w:rsid w:val="00AF10F6"/>
    <w:rsid w:val="00AF1768"/>
    <w:rsid w:val="00AF32E9"/>
    <w:rsid w:val="00AF4D5E"/>
    <w:rsid w:val="00AF6D99"/>
    <w:rsid w:val="00AF76FF"/>
    <w:rsid w:val="00B00F21"/>
    <w:rsid w:val="00B014A7"/>
    <w:rsid w:val="00B0192F"/>
    <w:rsid w:val="00B03408"/>
    <w:rsid w:val="00B04178"/>
    <w:rsid w:val="00B045AF"/>
    <w:rsid w:val="00B05955"/>
    <w:rsid w:val="00B05A30"/>
    <w:rsid w:val="00B0641F"/>
    <w:rsid w:val="00B07C81"/>
    <w:rsid w:val="00B07DD8"/>
    <w:rsid w:val="00B12DCD"/>
    <w:rsid w:val="00B16CE0"/>
    <w:rsid w:val="00B16EC6"/>
    <w:rsid w:val="00B20421"/>
    <w:rsid w:val="00B204BC"/>
    <w:rsid w:val="00B2141F"/>
    <w:rsid w:val="00B216CE"/>
    <w:rsid w:val="00B21E86"/>
    <w:rsid w:val="00B229FE"/>
    <w:rsid w:val="00B25970"/>
    <w:rsid w:val="00B2617B"/>
    <w:rsid w:val="00B27446"/>
    <w:rsid w:val="00B279A0"/>
    <w:rsid w:val="00B31690"/>
    <w:rsid w:val="00B32512"/>
    <w:rsid w:val="00B33C5C"/>
    <w:rsid w:val="00B34CBE"/>
    <w:rsid w:val="00B35144"/>
    <w:rsid w:val="00B36271"/>
    <w:rsid w:val="00B36FB1"/>
    <w:rsid w:val="00B378B1"/>
    <w:rsid w:val="00B411E7"/>
    <w:rsid w:val="00B427D7"/>
    <w:rsid w:val="00B43A53"/>
    <w:rsid w:val="00B47197"/>
    <w:rsid w:val="00B516BF"/>
    <w:rsid w:val="00B517E5"/>
    <w:rsid w:val="00B51CAE"/>
    <w:rsid w:val="00B527B8"/>
    <w:rsid w:val="00B54FE4"/>
    <w:rsid w:val="00B551C2"/>
    <w:rsid w:val="00B55B2F"/>
    <w:rsid w:val="00B613B7"/>
    <w:rsid w:val="00B62812"/>
    <w:rsid w:val="00B629C3"/>
    <w:rsid w:val="00B62D03"/>
    <w:rsid w:val="00B62D23"/>
    <w:rsid w:val="00B62EEF"/>
    <w:rsid w:val="00B63098"/>
    <w:rsid w:val="00B63B92"/>
    <w:rsid w:val="00B64833"/>
    <w:rsid w:val="00B674D2"/>
    <w:rsid w:val="00B67E82"/>
    <w:rsid w:val="00B70C59"/>
    <w:rsid w:val="00B718B4"/>
    <w:rsid w:val="00B71EB5"/>
    <w:rsid w:val="00B75C53"/>
    <w:rsid w:val="00B76111"/>
    <w:rsid w:val="00B80331"/>
    <w:rsid w:val="00B80731"/>
    <w:rsid w:val="00B80E6A"/>
    <w:rsid w:val="00B8187F"/>
    <w:rsid w:val="00B826D6"/>
    <w:rsid w:val="00B8370D"/>
    <w:rsid w:val="00B83AA2"/>
    <w:rsid w:val="00B851AE"/>
    <w:rsid w:val="00B86CD9"/>
    <w:rsid w:val="00B9064A"/>
    <w:rsid w:val="00B91262"/>
    <w:rsid w:val="00B951B8"/>
    <w:rsid w:val="00B956F8"/>
    <w:rsid w:val="00B95E03"/>
    <w:rsid w:val="00B962AE"/>
    <w:rsid w:val="00B974CF"/>
    <w:rsid w:val="00BA094C"/>
    <w:rsid w:val="00BA0AA7"/>
    <w:rsid w:val="00BA3E45"/>
    <w:rsid w:val="00BA6A0F"/>
    <w:rsid w:val="00BA6FE4"/>
    <w:rsid w:val="00BA71F4"/>
    <w:rsid w:val="00BA7570"/>
    <w:rsid w:val="00BB18F6"/>
    <w:rsid w:val="00BB2BD0"/>
    <w:rsid w:val="00BB3C86"/>
    <w:rsid w:val="00BB46D6"/>
    <w:rsid w:val="00BB54BF"/>
    <w:rsid w:val="00BB7F6E"/>
    <w:rsid w:val="00BC1134"/>
    <w:rsid w:val="00BC232B"/>
    <w:rsid w:val="00BC24A3"/>
    <w:rsid w:val="00BC2D48"/>
    <w:rsid w:val="00BC32BA"/>
    <w:rsid w:val="00BC4B59"/>
    <w:rsid w:val="00BC67D3"/>
    <w:rsid w:val="00BD165D"/>
    <w:rsid w:val="00BD28E9"/>
    <w:rsid w:val="00BD4B70"/>
    <w:rsid w:val="00BD4DEA"/>
    <w:rsid w:val="00BD6231"/>
    <w:rsid w:val="00BD7BE2"/>
    <w:rsid w:val="00BE11CD"/>
    <w:rsid w:val="00BE141E"/>
    <w:rsid w:val="00BE31B2"/>
    <w:rsid w:val="00BE363E"/>
    <w:rsid w:val="00BE4D36"/>
    <w:rsid w:val="00BE63D2"/>
    <w:rsid w:val="00BE7647"/>
    <w:rsid w:val="00BF0197"/>
    <w:rsid w:val="00BF0D20"/>
    <w:rsid w:val="00BF29D1"/>
    <w:rsid w:val="00BF2DBF"/>
    <w:rsid w:val="00BF33C4"/>
    <w:rsid w:val="00BF3698"/>
    <w:rsid w:val="00BF3BFA"/>
    <w:rsid w:val="00BF3E12"/>
    <w:rsid w:val="00BF4402"/>
    <w:rsid w:val="00BF610B"/>
    <w:rsid w:val="00BF68CC"/>
    <w:rsid w:val="00BF6CDF"/>
    <w:rsid w:val="00BF6EC7"/>
    <w:rsid w:val="00C003D1"/>
    <w:rsid w:val="00C0045E"/>
    <w:rsid w:val="00C007B6"/>
    <w:rsid w:val="00C02B9B"/>
    <w:rsid w:val="00C02C72"/>
    <w:rsid w:val="00C03122"/>
    <w:rsid w:val="00C03507"/>
    <w:rsid w:val="00C04C47"/>
    <w:rsid w:val="00C0604D"/>
    <w:rsid w:val="00C066BB"/>
    <w:rsid w:val="00C07CA4"/>
    <w:rsid w:val="00C07D9F"/>
    <w:rsid w:val="00C10BA7"/>
    <w:rsid w:val="00C125A4"/>
    <w:rsid w:val="00C15153"/>
    <w:rsid w:val="00C16595"/>
    <w:rsid w:val="00C16EE6"/>
    <w:rsid w:val="00C16F22"/>
    <w:rsid w:val="00C17625"/>
    <w:rsid w:val="00C212B6"/>
    <w:rsid w:val="00C21A19"/>
    <w:rsid w:val="00C220FF"/>
    <w:rsid w:val="00C24766"/>
    <w:rsid w:val="00C27241"/>
    <w:rsid w:val="00C307BC"/>
    <w:rsid w:val="00C30A45"/>
    <w:rsid w:val="00C319C3"/>
    <w:rsid w:val="00C331B4"/>
    <w:rsid w:val="00C33CA0"/>
    <w:rsid w:val="00C3403D"/>
    <w:rsid w:val="00C34BFC"/>
    <w:rsid w:val="00C3713C"/>
    <w:rsid w:val="00C405B5"/>
    <w:rsid w:val="00C408B0"/>
    <w:rsid w:val="00C413C6"/>
    <w:rsid w:val="00C41AA1"/>
    <w:rsid w:val="00C41D3C"/>
    <w:rsid w:val="00C427B7"/>
    <w:rsid w:val="00C42D86"/>
    <w:rsid w:val="00C43A42"/>
    <w:rsid w:val="00C45616"/>
    <w:rsid w:val="00C47852"/>
    <w:rsid w:val="00C47A63"/>
    <w:rsid w:val="00C47CDA"/>
    <w:rsid w:val="00C50605"/>
    <w:rsid w:val="00C519FD"/>
    <w:rsid w:val="00C5226A"/>
    <w:rsid w:val="00C52ACA"/>
    <w:rsid w:val="00C53ADB"/>
    <w:rsid w:val="00C53CE6"/>
    <w:rsid w:val="00C55C6F"/>
    <w:rsid w:val="00C57721"/>
    <w:rsid w:val="00C57902"/>
    <w:rsid w:val="00C60487"/>
    <w:rsid w:val="00C625C4"/>
    <w:rsid w:val="00C631B0"/>
    <w:rsid w:val="00C634B9"/>
    <w:rsid w:val="00C63521"/>
    <w:rsid w:val="00C6372C"/>
    <w:rsid w:val="00C63CC1"/>
    <w:rsid w:val="00C648A7"/>
    <w:rsid w:val="00C652A0"/>
    <w:rsid w:val="00C660CC"/>
    <w:rsid w:val="00C66B9D"/>
    <w:rsid w:val="00C71F31"/>
    <w:rsid w:val="00C73D56"/>
    <w:rsid w:val="00C741EC"/>
    <w:rsid w:val="00C75C01"/>
    <w:rsid w:val="00C812CA"/>
    <w:rsid w:val="00C821AE"/>
    <w:rsid w:val="00C83B40"/>
    <w:rsid w:val="00C83DB2"/>
    <w:rsid w:val="00C83F1B"/>
    <w:rsid w:val="00C845C3"/>
    <w:rsid w:val="00C86502"/>
    <w:rsid w:val="00C86588"/>
    <w:rsid w:val="00C8740B"/>
    <w:rsid w:val="00C90A1E"/>
    <w:rsid w:val="00C90B88"/>
    <w:rsid w:val="00C90F04"/>
    <w:rsid w:val="00C9172B"/>
    <w:rsid w:val="00C9334B"/>
    <w:rsid w:val="00C93691"/>
    <w:rsid w:val="00C93BAE"/>
    <w:rsid w:val="00C94A0E"/>
    <w:rsid w:val="00C94D06"/>
    <w:rsid w:val="00C95047"/>
    <w:rsid w:val="00CA0192"/>
    <w:rsid w:val="00CA250A"/>
    <w:rsid w:val="00CA3032"/>
    <w:rsid w:val="00CA41B6"/>
    <w:rsid w:val="00CA457D"/>
    <w:rsid w:val="00CA4726"/>
    <w:rsid w:val="00CA5497"/>
    <w:rsid w:val="00CA68B4"/>
    <w:rsid w:val="00CA6CEE"/>
    <w:rsid w:val="00CA70A6"/>
    <w:rsid w:val="00CA72C0"/>
    <w:rsid w:val="00CB1424"/>
    <w:rsid w:val="00CB2994"/>
    <w:rsid w:val="00CB320D"/>
    <w:rsid w:val="00CB466E"/>
    <w:rsid w:val="00CB6759"/>
    <w:rsid w:val="00CC243F"/>
    <w:rsid w:val="00CC2E6F"/>
    <w:rsid w:val="00CC2F77"/>
    <w:rsid w:val="00CC415A"/>
    <w:rsid w:val="00CC475A"/>
    <w:rsid w:val="00CC5D1F"/>
    <w:rsid w:val="00CC608A"/>
    <w:rsid w:val="00CC6487"/>
    <w:rsid w:val="00CC6B05"/>
    <w:rsid w:val="00CD01C4"/>
    <w:rsid w:val="00CD0DBE"/>
    <w:rsid w:val="00CD0EC9"/>
    <w:rsid w:val="00CD13E4"/>
    <w:rsid w:val="00CD5113"/>
    <w:rsid w:val="00CD5CE8"/>
    <w:rsid w:val="00CD63D2"/>
    <w:rsid w:val="00CE0059"/>
    <w:rsid w:val="00CE0337"/>
    <w:rsid w:val="00CE0CC9"/>
    <w:rsid w:val="00CE1699"/>
    <w:rsid w:val="00CE3F77"/>
    <w:rsid w:val="00CE43B8"/>
    <w:rsid w:val="00CE506B"/>
    <w:rsid w:val="00CE53CB"/>
    <w:rsid w:val="00CE551A"/>
    <w:rsid w:val="00CE5C6E"/>
    <w:rsid w:val="00CE62A8"/>
    <w:rsid w:val="00CE7E63"/>
    <w:rsid w:val="00CF0EE5"/>
    <w:rsid w:val="00CF1717"/>
    <w:rsid w:val="00CF4D5D"/>
    <w:rsid w:val="00D002D8"/>
    <w:rsid w:val="00D00F74"/>
    <w:rsid w:val="00D01E43"/>
    <w:rsid w:val="00D03092"/>
    <w:rsid w:val="00D07194"/>
    <w:rsid w:val="00D11D24"/>
    <w:rsid w:val="00D12A57"/>
    <w:rsid w:val="00D145FE"/>
    <w:rsid w:val="00D1469A"/>
    <w:rsid w:val="00D15257"/>
    <w:rsid w:val="00D16351"/>
    <w:rsid w:val="00D172E1"/>
    <w:rsid w:val="00D17B85"/>
    <w:rsid w:val="00D211A3"/>
    <w:rsid w:val="00D22911"/>
    <w:rsid w:val="00D22A62"/>
    <w:rsid w:val="00D22D58"/>
    <w:rsid w:val="00D255FF"/>
    <w:rsid w:val="00D260C8"/>
    <w:rsid w:val="00D26E4F"/>
    <w:rsid w:val="00D27628"/>
    <w:rsid w:val="00D309A9"/>
    <w:rsid w:val="00D3175A"/>
    <w:rsid w:val="00D33537"/>
    <w:rsid w:val="00D33DBF"/>
    <w:rsid w:val="00D40FF2"/>
    <w:rsid w:val="00D420EA"/>
    <w:rsid w:val="00D4248B"/>
    <w:rsid w:val="00D46D27"/>
    <w:rsid w:val="00D47E5A"/>
    <w:rsid w:val="00D50919"/>
    <w:rsid w:val="00D50963"/>
    <w:rsid w:val="00D51D20"/>
    <w:rsid w:val="00D51F4C"/>
    <w:rsid w:val="00D52068"/>
    <w:rsid w:val="00D53804"/>
    <w:rsid w:val="00D53ABF"/>
    <w:rsid w:val="00D545C4"/>
    <w:rsid w:val="00D553D5"/>
    <w:rsid w:val="00D555C1"/>
    <w:rsid w:val="00D56235"/>
    <w:rsid w:val="00D57871"/>
    <w:rsid w:val="00D5798F"/>
    <w:rsid w:val="00D57F2C"/>
    <w:rsid w:val="00D611FE"/>
    <w:rsid w:val="00D61FAD"/>
    <w:rsid w:val="00D62D9E"/>
    <w:rsid w:val="00D6498A"/>
    <w:rsid w:val="00D653AF"/>
    <w:rsid w:val="00D65DA9"/>
    <w:rsid w:val="00D65E7C"/>
    <w:rsid w:val="00D674FE"/>
    <w:rsid w:val="00D71716"/>
    <w:rsid w:val="00D720A3"/>
    <w:rsid w:val="00D723B0"/>
    <w:rsid w:val="00D72A01"/>
    <w:rsid w:val="00D7347A"/>
    <w:rsid w:val="00D73687"/>
    <w:rsid w:val="00D73A81"/>
    <w:rsid w:val="00D73FE5"/>
    <w:rsid w:val="00D7431A"/>
    <w:rsid w:val="00D76965"/>
    <w:rsid w:val="00D81B68"/>
    <w:rsid w:val="00D840AF"/>
    <w:rsid w:val="00D84B1D"/>
    <w:rsid w:val="00D85295"/>
    <w:rsid w:val="00D8610A"/>
    <w:rsid w:val="00D8690B"/>
    <w:rsid w:val="00D869D7"/>
    <w:rsid w:val="00D86F63"/>
    <w:rsid w:val="00D87C6F"/>
    <w:rsid w:val="00D87D0F"/>
    <w:rsid w:val="00D9122D"/>
    <w:rsid w:val="00D91720"/>
    <w:rsid w:val="00D9331E"/>
    <w:rsid w:val="00D9394C"/>
    <w:rsid w:val="00D939CA"/>
    <w:rsid w:val="00D95041"/>
    <w:rsid w:val="00D954C8"/>
    <w:rsid w:val="00D96817"/>
    <w:rsid w:val="00D97820"/>
    <w:rsid w:val="00D97A57"/>
    <w:rsid w:val="00DA36ED"/>
    <w:rsid w:val="00DA40CC"/>
    <w:rsid w:val="00DA496E"/>
    <w:rsid w:val="00DA55BB"/>
    <w:rsid w:val="00DA59DB"/>
    <w:rsid w:val="00DA61DD"/>
    <w:rsid w:val="00DA65C2"/>
    <w:rsid w:val="00DA6BF7"/>
    <w:rsid w:val="00DB1713"/>
    <w:rsid w:val="00DB1A83"/>
    <w:rsid w:val="00DB1F27"/>
    <w:rsid w:val="00DB253D"/>
    <w:rsid w:val="00DB27B8"/>
    <w:rsid w:val="00DB2AF6"/>
    <w:rsid w:val="00DB560A"/>
    <w:rsid w:val="00DB5CF8"/>
    <w:rsid w:val="00DB6074"/>
    <w:rsid w:val="00DB787D"/>
    <w:rsid w:val="00DB7D53"/>
    <w:rsid w:val="00DC0038"/>
    <w:rsid w:val="00DC052E"/>
    <w:rsid w:val="00DC1A38"/>
    <w:rsid w:val="00DC1B27"/>
    <w:rsid w:val="00DC1BDC"/>
    <w:rsid w:val="00DC1DCE"/>
    <w:rsid w:val="00DC5D31"/>
    <w:rsid w:val="00DC6825"/>
    <w:rsid w:val="00DC70F0"/>
    <w:rsid w:val="00DD23F6"/>
    <w:rsid w:val="00DD3EA1"/>
    <w:rsid w:val="00DD4CCF"/>
    <w:rsid w:val="00DD5D45"/>
    <w:rsid w:val="00DD767B"/>
    <w:rsid w:val="00DD7EAD"/>
    <w:rsid w:val="00DE06A4"/>
    <w:rsid w:val="00DE12D3"/>
    <w:rsid w:val="00DE194B"/>
    <w:rsid w:val="00DE30EC"/>
    <w:rsid w:val="00DE390F"/>
    <w:rsid w:val="00DE3E4D"/>
    <w:rsid w:val="00DE417F"/>
    <w:rsid w:val="00DE43AF"/>
    <w:rsid w:val="00DE453B"/>
    <w:rsid w:val="00DE6429"/>
    <w:rsid w:val="00DE6A5E"/>
    <w:rsid w:val="00DE6DED"/>
    <w:rsid w:val="00DE7CED"/>
    <w:rsid w:val="00DF0329"/>
    <w:rsid w:val="00DF0BA3"/>
    <w:rsid w:val="00DF38BD"/>
    <w:rsid w:val="00DF3A8E"/>
    <w:rsid w:val="00DF3D1D"/>
    <w:rsid w:val="00DF42CC"/>
    <w:rsid w:val="00DF4AD1"/>
    <w:rsid w:val="00DF5CA5"/>
    <w:rsid w:val="00E00040"/>
    <w:rsid w:val="00E00767"/>
    <w:rsid w:val="00E00A8E"/>
    <w:rsid w:val="00E015A6"/>
    <w:rsid w:val="00E03010"/>
    <w:rsid w:val="00E0446A"/>
    <w:rsid w:val="00E044B9"/>
    <w:rsid w:val="00E046A9"/>
    <w:rsid w:val="00E0492D"/>
    <w:rsid w:val="00E05515"/>
    <w:rsid w:val="00E05DE3"/>
    <w:rsid w:val="00E062B7"/>
    <w:rsid w:val="00E066AF"/>
    <w:rsid w:val="00E07E35"/>
    <w:rsid w:val="00E107EE"/>
    <w:rsid w:val="00E119EE"/>
    <w:rsid w:val="00E22181"/>
    <w:rsid w:val="00E225AD"/>
    <w:rsid w:val="00E233C4"/>
    <w:rsid w:val="00E26244"/>
    <w:rsid w:val="00E30E0C"/>
    <w:rsid w:val="00E318F9"/>
    <w:rsid w:val="00E35E1F"/>
    <w:rsid w:val="00E36FAE"/>
    <w:rsid w:val="00E40443"/>
    <w:rsid w:val="00E4242D"/>
    <w:rsid w:val="00E42FB6"/>
    <w:rsid w:val="00E43128"/>
    <w:rsid w:val="00E4375C"/>
    <w:rsid w:val="00E45F75"/>
    <w:rsid w:val="00E46A9C"/>
    <w:rsid w:val="00E479B2"/>
    <w:rsid w:val="00E502A5"/>
    <w:rsid w:val="00E50748"/>
    <w:rsid w:val="00E52E1C"/>
    <w:rsid w:val="00E540A6"/>
    <w:rsid w:val="00E547D4"/>
    <w:rsid w:val="00E55DDB"/>
    <w:rsid w:val="00E60F37"/>
    <w:rsid w:val="00E61C34"/>
    <w:rsid w:val="00E626D0"/>
    <w:rsid w:val="00E6354D"/>
    <w:rsid w:val="00E636DA"/>
    <w:rsid w:val="00E649A6"/>
    <w:rsid w:val="00E65460"/>
    <w:rsid w:val="00E67C77"/>
    <w:rsid w:val="00E700F9"/>
    <w:rsid w:val="00E731B2"/>
    <w:rsid w:val="00E73394"/>
    <w:rsid w:val="00E741D2"/>
    <w:rsid w:val="00E74298"/>
    <w:rsid w:val="00E74B65"/>
    <w:rsid w:val="00E74EA2"/>
    <w:rsid w:val="00E753A0"/>
    <w:rsid w:val="00E75CB4"/>
    <w:rsid w:val="00E761D9"/>
    <w:rsid w:val="00E7742A"/>
    <w:rsid w:val="00E80DDE"/>
    <w:rsid w:val="00E8284A"/>
    <w:rsid w:val="00E8360C"/>
    <w:rsid w:val="00E839AE"/>
    <w:rsid w:val="00E841C3"/>
    <w:rsid w:val="00E84A38"/>
    <w:rsid w:val="00E857BF"/>
    <w:rsid w:val="00E87EEB"/>
    <w:rsid w:val="00E90587"/>
    <w:rsid w:val="00E90FDC"/>
    <w:rsid w:val="00E91778"/>
    <w:rsid w:val="00E9190E"/>
    <w:rsid w:val="00E95099"/>
    <w:rsid w:val="00E95578"/>
    <w:rsid w:val="00E960B7"/>
    <w:rsid w:val="00E972EE"/>
    <w:rsid w:val="00E979CA"/>
    <w:rsid w:val="00E97AC0"/>
    <w:rsid w:val="00E97D41"/>
    <w:rsid w:val="00EA05EC"/>
    <w:rsid w:val="00EA16CD"/>
    <w:rsid w:val="00EA1C94"/>
    <w:rsid w:val="00EA341D"/>
    <w:rsid w:val="00EA5FE8"/>
    <w:rsid w:val="00EA70E7"/>
    <w:rsid w:val="00EA7A6C"/>
    <w:rsid w:val="00EB04CD"/>
    <w:rsid w:val="00EB0DF5"/>
    <w:rsid w:val="00EB0E47"/>
    <w:rsid w:val="00EB0FE9"/>
    <w:rsid w:val="00EB2227"/>
    <w:rsid w:val="00EB2BEE"/>
    <w:rsid w:val="00EB3C05"/>
    <w:rsid w:val="00EB3D81"/>
    <w:rsid w:val="00EB5E5F"/>
    <w:rsid w:val="00EB76AE"/>
    <w:rsid w:val="00EC0E98"/>
    <w:rsid w:val="00EC2811"/>
    <w:rsid w:val="00EC472F"/>
    <w:rsid w:val="00EC5CFD"/>
    <w:rsid w:val="00EC6257"/>
    <w:rsid w:val="00ED1C74"/>
    <w:rsid w:val="00ED2A8C"/>
    <w:rsid w:val="00ED54A4"/>
    <w:rsid w:val="00ED5B37"/>
    <w:rsid w:val="00EE119C"/>
    <w:rsid w:val="00EE11DE"/>
    <w:rsid w:val="00EE14AD"/>
    <w:rsid w:val="00EE2862"/>
    <w:rsid w:val="00EE2A26"/>
    <w:rsid w:val="00EE2A65"/>
    <w:rsid w:val="00EE330D"/>
    <w:rsid w:val="00EE3EE5"/>
    <w:rsid w:val="00EE477F"/>
    <w:rsid w:val="00EE5CB8"/>
    <w:rsid w:val="00EF0BFD"/>
    <w:rsid w:val="00EF4197"/>
    <w:rsid w:val="00EF41BB"/>
    <w:rsid w:val="00EF50FC"/>
    <w:rsid w:val="00EF6FC0"/>
    <w:rsid w:val="00F00915"/>
    <w:rsid w:val="00F02973"/>
    <w:rsid w:val="00F051E6"/>
    <w:rsid w:val="00F11059"/>
    <w:rsid w:val="00F11DB2"/>
    <w:rsid w:val="00F13377"/>
    <w:rsid w:val="00F13E62"/>
    <w:rsid w:val="00F143FD"/>
    <w:rsid w:val="00F14A64"/>
    <w:rsid w:val="00F15371"/>
    <w:rsid w:val="00F1654B"/>
    <w:rsid w:val="00F16C69"/>
    <w:rsid w:val="00F170D6"/>
    <w:rsid w:val="00F20933"/>
    <w:rsid w:val="00F20D34"/>
    <w:rsid w:val="00F214B9"/>
    <w:rsid w:val="00F233B0"/>
    <w:rsid w:val="00F25582"/>
    <w:rsid w:val="00F27C18"/>
    <w:rsid w:val="00F31090"/>
    <w:rsid w:val="00F3167A"/>
    <w:rsid w:val="00F31E76"/>
    <w:rsid w:val="00F32988"/>
    <w:rsid w:val="00F352FB"/>
    <w:rsid w:val="00F35FFC"/>
    <w:rsid w:val="00F36051"/>
    <w:rsid w:val="00F361D8"/>
    <w:rsid w:val="00F368B7"/>
    <w:rsid w:val="00F40185"/>
    <w:rsid w:val="00F40572"/>
    <w:rsid w:val="00F40BD0"/>
    <w:rsid w:val="00F40EFD"/>
    <w:rsid w:val="00F41B5A"/>
    <w:rsid w:val="00F42132"/>
    <w:rsid w:val="00F42B06"/>
    <w:rsid w:val="00F42EB1"/>
    <w:rsid w:val="00F42F19"/>
    <w:rsid w:val="00F434B3"/>
    <w:rsid w:val="00F435CE"/>
    <w:rsid w:val="00F4466A"/>
    <w:rsid w:val="00F4763C"/>
    <w:rsid w:val="00F5047B"/>
    <w:rsid w:val="00F50A4E"/>
    <w:rsid w:val="00F517E7"/>
    <w:rsid w:val="00F52F0D"/>
    <w:rsid w:val="00F603DA"/>
    <w:rsid w:val="00F6079F"/>
    <w:rsid w:val="00F62289"/>
    <w:rsid w:val="00F636BA"/>
    <w:rsid w:val="00F648EF"/>
    <w:rsid w:val="00F650B9"/>
    <w:rsid w:val="00F6547C"/>
    <w:rsid w:val="00F65508"/>
    <w:rsid w:val="00F65890"/>
    <w:rsid w:val="00F659F6"/>
    <w:rsid w:val="00F70089"/>
    <w:rsid w:val="00F70C37"/>
    <w:rsid w:val="00F77154"/>
    <w:rsid w:val="00F7739C"/>
    <w:rsid w:val="00F7741F"/>
    <w:rsid w:val="00F80CEC"/>
    <w:rsid w:val="00F81167"/>
    <w:rsid w:val="00F8217E"/>
    <w:rsid w:val="00F83739"/>
    <w:rsid w:val="00F850DD"/>
    <w:rsid w:val="00F86DDB"/>
    <w:rsid w:val="00F8724F"/>
    <w:rsid w:val="00F90A4B"/>
    <w:rsid w:val="00F90C05"/>
    <w:rsid w:val="00F918A0"/>
    <w:rsid w:val="00F9216D"/>
    <w:rsid w:val="00F939A5"/>
    <w:rsid w:val="00F948E4"/>
    <w:rsid w:val="00F9639E"/>
    <w:rsid w:val="00F9670E"/>
    <w:rsid w:val="00F96862"/>
    <w:rsid w:val="00F96867"/>
    <w:rsid w:val="00FA09DB"/>
    <w:rsid w:val="00FA4F44"/>
    <w:rsid w:val="00FA5E7B"/>
    <w:rsid w:val="00FA6E6D"/>
    <w:rsid w:val="00FA737A"/>
    <w:rsid w:val="00FB1432"/>
    <w:rsid w:val="00FB1E85"/>
    <w:rsid w:val="00FB240F"/>
    <w:rsid w:val="00FB2554"/>
    <w:rsid w:val="00FB328C"/>
    <w:rsid w:val="00FB3323"/>
    <w:rsid w:val="00FB38C1"/>
    <w:rsid w:val="00FB53F7"/>
    <w:rsid w:val="00FB5D92"/>
    <w:rsid w:val="00FC0211"/>
    <w:rsid w:val="00FC1669"/>
    <w:rsid w:val="00FC2CF2"/>
    <w:rsid w:val="00FC2E80"/>
    <w:rsid w:val="00FC44DA"/>
    <w:rsid w:val="00FC4DB3"/>
    <w:rsid w:val="00FC50FA"/>
    <w:rsid w:val="00FC52EA"/>
    <w:rsid w:val="00FC5A45"/>
    <w:rsid w:val="00FD11CF"/>
    <w:rsid w:val="00FD2347"/>
    <w:rsid w:val="00FD2D4A"/>
    <w:rsid w:val="00FD3C97"/>
    <w:rsid w:val="00FD4CD3"/>
    <w:rsid w:val="00FD5FAE"/>
    <w:rsid w:val="00FD613B"/>
    <w:rsid w:val="00FE13DC"/>
    <w:rsid w:val="00FE2754"/>
    <w:rsid w:val="00FE31F2"/>
    <w:rsid w:val="00FE33AF"/>
    <w:rsid w:val="00FE617D"/>
    <w:rsid w:val="00FE6564"/>
    <w:rsid w:val="00FE6AF7"/>
    <w:rsid w:val="00FE705A"/>
    <w:rsid w:val="00FF50C1"/>
    <w:rsid w:val="00FF5462"/>
    <w:rsid w:val="00FF5744"/>
    <w:rsid w:val="00FF6345"/>
    <w:rsid w:val="00FF73C5"/>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984D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087026"/>
  </w:style>
  <w:style w:type="paragraph" w:styleId="Antrat1">
    <w:name w:val="heading 1"/>
    <w:basedOn w:val="prastasis"/>
    <w:next w:val="prastasis"/>
    <w:link w:val="Antrat1Diagrama"/>
    <w:uiPriority w:val="9"/>
    <w:qFormat/>
    <w:rsid w:val="00EE14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unhideWhenUsed/>
    <w:qFormat/>
    <w:rsid w:val="00EE14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uiPriority w:val="9"/>
    <w:unhideWhenUsed/>
    <w:qFormat/>
    <w:rsid w:val="00EE14AD"/>
    <w:pPr>
      <w:keepNext/>
      <w:keepLines/>
      <w:spacing w:before="200" w:after="0"/>
      <w:outlineLvl w:val="2"/>
    </w:pPr>
    <w:rPr>
      <w:rFonts w:asciiTheme="majorHAnsi" w:eastAsiaTheme="majorEastAsia" w:hAnsiTheme="majorHAnsi" w:cstheme="majorBidi"/>
      <w:b/>
      <w:bCs/>
      <w:color w:val="4F81BD" w:themeColor="accent1"/>
      <w:sz w:val="24"/>
    </w:rPr>
  </w:style>
  <w:style w:type="paragraph" w:styleId="Antrat4">
    <w:name w:val="heading 4"/>
    <w:basedOn w:val="prastasis"/>
    <w:next w:val="prastasis"/>
    <w:link w:val="Antrat4Diagrama"/>
    <w:uiPriority w:val="9"/>
    <w:unhideWhenUsed/>
    <w:qFormat/>
    <w:rsid w:val="009134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E14AD"/>
    <w:rPr>
      <w:rFonts w:asciiTheme="majorHAnsi" w:eastAsiaTheme="majorEastAsia" w:hAnsiTheme="majorHAnsi" w:cstheme="majorBidi"/>
      <w:b/>
      <w:bCs/>
      <w:color w:val="365F91" w:themeColor="accent1" w:themeShade="BF"/>
      <w:sz w:val="28"/>
      <w:szCs w:val="28"/>
    </w:rPr>
  </w:style>
  <w:style w:type="character" w:customStyle="1" w:styleId="Antrat2Diagrama">
    <w:name w:val="Antraštė 2 Diagrama"/>
    <w:basedOn w:val="Numatytasispastraiposriftas"/>
    <w:link w:val="Antrat2"/>
    <w:uiPriority w:val="9"/>
    <w:rsid w:val="00EE14AD"/>
    <w:rPr>
      <w:rFonts w:asciiTheme="majorHAnsi" w:eastAsiaTheme="majorEastAsia" w:hAnsiTheme="majorHAnsi" w:cstheme="majorBidi"/>
      <w:b/>
      <w:bCs/>
      <w:color w:val="4F81BD" w:themeColor="accent1"/>
      <w:sz w:val="26"/>
      <w:szCs w:val="26"/>
    </w:rPr>
  </w:style>
  <w:style w:type="character" w:customStyle="1" w:styleId="Antrat3Diagrama">
    <w:name w:val="Antraštė 3 Diagrama"/>
    <w:basedOn w:val="Numatytasispastraiposriftas"/>
    <w:link w:val="Antrat3"/>
    <w:uiPriority w:val="9"/>
    <w:rsid w:val="00EE14AD"/>
    <w:rPr>
      <w:rFonts w:asciiTheme="majorHAnsi" w:eastAsiaTheme="majorEastAsia" w:hAnsiTheme="majorHAnsi" w:cstheme="majorBidi"/>
      <w:b/>
      <w:bCs/>
      <w:color w:val="4F81BD" w:themeColor="accent1"/>
      <w:sz w:val="24"/>
    </w:rPr>
  </w:style>
  <w:style w:type="character" w:customStyle="1" w:styleId="Antrat4Diagrama">
    <w:name w:val="Antraštė 4 Diagrama"/>
    <w:basedOn w:val="Numatytasispastraiposriftas"/>
    <w:link w:val="Antrat4"/>
    <w:uiPriority w:val="9"/>
    <w:rsid w:val="009134CC"/>
    <w:rPr>
      <w:rFonts w:asciiTheme="majorHAnsi" w:eastAsiaTheme="majorEastAsia" w:hAnsiTheme="majorHAnsi" w:cstheme="majorBidi"/>
      <w:b/>
      <w:bCs/>
      <w:i/>
      <w:iCs/>
      <w:color w:val="4F81BD" w:themeColor="accent1"/>
    </w:rPr>
  </w:style>
  <w:style w:type="paragraph" w:styleId="Sraopastraipa">
    <w:name w:val="List Paragraph"/>
    <w:aliases w:val="Table of contents numbered,Colorful List - Accent 11"/>
    <w:basedOn w:val="prastasis"/>
    <w:link w:val="SraopastraipaDiagrama"/>
    <w:uiPriority w:val="34"/>
    <w:qFormat/>
    <w:rsid w:val="00EE14AD"/>
    <w:pPr>
      <w:ind w:left="720"/>
      <w:contextualSpacing/>
    </w:pPr>
  </w:style>
  <w:style w:type="character" w:customStyle="1" w:styleId="SraopastraipaDiagrama">
    <w:name w:val="Sąrašo pastraipa Diagrama"/>
    <w:aliases w:val="Table of contents numbered Diagrama,Colorful List - Accent 11 Diagrama"/>
    <w:basedOn w:val="Numatytasispastraiposriftas"/>
    <w:link w:val="Sraopastraipa"/>
    <w:uiPriority w:val="34"/>
    <w:locked/>
    <w:rsid w:val="00EE14AD"/>
  </w:style>
  <w:style w:type="table" w:styleId="Lentelstinklelis">
    <w:name w:val="Table Grid"/>
    <w:aliases w:val="Smart Text Table"/>
    <w:basedOn w:val="prastojilentel"/>
    <w:uiPriority w:val="59"/>
    <w:rsid w:val="00EE1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uiPriority w:val="99"/>
    <w:rsid w:val="00EE14AD"/>
    <w:rPr>
      <w:color w:val="A32020"/>
      <w:u w:val="single"/>
    </w:rPr>
  </w:style>
  <w:style w:type="paragraph" w:styleId="Puslapioinaostekstas">
    <w:name w:val="footnote text"/>
    <w:aliases w:val="fn,footnote text,Footnotes,Footnote ak,fn Char,footnote text Char,Footnotes Char,Footnote ak Char,ft,fn cafc,Footnotes Char Char,Footnote Text Char Char,fn Char Char,footnote text Char Char Char Ch,fn1,footnote text1,ft1,Car"/>
    <w:basedOn w:val="prastasis"/>
    <w:link w:val="PuslapioinaostekstasDiagrama"/>
    <w:uiPriority w:val="99"/>
    <w:unhideWhenUsed/>
    <w:rsid w:val="00EE14AD"/>
    <w:pPr>
      <w:tabs>
        <w:tab w:val="left" w:pos="360"/>
      </w:tabs>
      <w:spacing w:after="0" w:line="240" w:lineRule="auto"/>
      <w:ind w:left="360" w:hanging="360"/>
    </w:pPr>
    <w:rPr>
      <w:rFonts w:ascii="Georgia" w:eastAsia="PMingLiU" w:hAnsi="Georgia" w:cs="Times New Roman"/>
      <w:sz w:val="16"/>
      <w:szCs w:val="20"/>
      <w:lang w:val="en-GB"/>
    </w:rPr>
  </w:style>
  <w:style w:type="character" w:customStyle="1" w:styleId="PuslapioinaostekstasDiagrama">
    <w:name w:val="Puslapio išnašos tekstas Diagrama"/>
    <w:aliases w:val="fn Diagrama,footnote text Diagrama,Footnotes Diagrama,Footnote ak Diagrama,fn Char Diagrama,footnote text Char Diagrama,Footnotes Char Diagrama,Footnote ak Char Diagrama,ft Diagrama,fn cafc Diagrama,fn1 Diagrama"/>
    <w:basedOn w:val="Numatytasispastraiposriftas"/>
    <w:link w:val="Puslapioinaostekstas"/>
    <w:uiPriority w:val="99"/>
    <w:rsid w:val="00EE14AD"/>
    <w:rPr>
      <w:rFonts w:ascii="Georgia" w:eastAsia="PMingLiU" w:hAnsi="Georgia" w:cs="Times New Roman"/>
      <w:sz w:val="16"/>
      <w:szCs w:val="20"/>
      <w:lang w:val="en-GB"/>
    </w:rPr>
  </w:style>
  <w:style w:type="character" w:styleId="Puslapioinaosnuoroda">
    <w:name w:val="footnote reference"/>
    <w:aliases w:val="Ref,de nota al pie,Ref1,de nota al pie1,Ref2,de nota al pie2,Ref11,de nota al pie11, BVI fnr,BVI fnr,Footnote symbol,Footnote reference number,Footnote,Times 10 Point,Exposant 3 Point,note TESI,SUPERS,EN Footnote text,number,E F"/>
    <w:uiPriority w:val="99"/>
    <w:unhideWhenUsed/>
    <w:rsid w:val="00EE14AD"/>
    <w:rPr>
      <w:vertAlign w:val="superscript"/>
    </w:rPr>
  </w:style>
  <w:style w:type="paragraph" w:styleId="Debesliotekstas">
    <w:name w:val="Balloon Text"/>
    <w:basedOn w:val="prastasis"/>
    <w:link w:val="DebesliotekstasDiagrama"/>
    <w:uiPriority w:val="99"/>
    <w:semiHidden/>
    <w:unhideWhenUsed/>
    <w:rsid w:val="00EE14AD"/>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E14AD"/>
    <w:rPr>
      <w:rFonts w:ascii="Tahoma" w:hAnsi="Tahoma" w:cs="Tahoma"/>
      <w:sz w:val="16"/>
      <w:szCs w:val="16"/>
    </w:rPr>
  </w:style>
  <w:style w:type="paragraph" w:customStyle="1" w:styleId="Default">
    <w:name w:val="Default"/>
    <w:uiPriority w:val="99"/>
    <w:rsid w:val="00EE14AD"/>
    <w:pPr>
      <w:autoSpaceDE w:val="0"/>
      <w:autoSpaceDN w:val="0"/>
      <w:adjustRightInd w:val="0"/>
      <w:spacing w:after="0" w:line="240" w:lineRule="auto"/>
    </w:pPr>
    <w:rPr>
      <w:rFonts w:ascii="Arial" w:hAnsi="Arial" w:cs="Arial"/>
      <w:color w:val="000000"/>
      <w:sz w:val="24"/>
      <w:szCs w:val="24"/>
      <w:lang w:val="lt-LT"/>
    </w:rPr>
  </w:style>
  <w:style w:type="table" w:customStyle="1" w:styleId="ListTable31">
    <w:name w:val="List Table 31"/>
    <w:basedOn w:val="prastojilentel"/>
    <w:uiPriority w:val="48"/>
    <w:rsid w:val="00EE14AD"/>
    <w:pPr>
      <w:spacing w:after="0" w:line="240" w:lineRule="auto"/>
    </w:pPr>
    <w:rPr>
      <w:rFonts w:eastAsiaTheme="minorEastAsia"/>
      <w:lang w:val="lt-LT"/>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Antrat">
    <w:name w:val="caption"/>
    <w:basedOn w:val="prastasis"/>
    <w:next w:val="prastasis"/>
    <w:uiPriority w:val="35"/>
    <w:qFormat/>
    <w:rsid w:val="00EE14AD"/>
    <w:pPr>
      <w:keepNext/>
      <w:spacing w:line="240" w:lineRule="auto"/>
    </w:pPr>
    <w:rPr>
      <w:rFonts w:ascii="Georgia" w:eastAsia="PMingLiU" w:hAnsi="Georgia" w:cs="Times New Roman"/>
      <w:b/>
      <w:bCs/>
      <w:color w:val="A32020"/>
      <w:sz w:val="20"/>
      <w:szCs w:val="18"/>
      <w:lang w:val="en-GB"/>
    </w:rPr>
  </w:style>
  <w:style w:type="paragraph" w:customStyle="1" w:styleId="Source">
    <w:name w:val="Source"/>
    <w:basedOn w:val="BodyText1"/>
    <w:link w:val="SourceChar"/>
    <w:qFormat/>
    <w:rsid w:val="00EE14AD"/>
    <w:pPr>
      <w:tabs>
        <w:tab w:val="left" w:pos="1134"/>
      </w:tabs>
      <w:spacing w:before="40"/>
      <w:ind w:left="851" w:hanging="851"/>
    </w:pPr>
    <w:rPr>
      <w:sz w:val="12"/>
    </w:rPr>
  </w:style>
  <w:style w:type="paragraph" w:customStyle="1" w:styleId="BodyText1">
    <w:name w:val="Body Text1"/>
    <w:basedOn w:val="prastasis"/>
    <w:link w:val="BodytextCharChar"/>
    <w:uiPriority w:val="99"/>
    <w:qFormat/>
    <w:rsid w:val="00EE14AD"/>
    <w:pPr>
      <w:spacing w:before="140" w:after="280" w:line="240" w:lineRule="auto"/>
    </w:pPr>
    <w:rPr>
      <w:rFonts w:ascii="Arial" w:hAnsi="Arial" w:cs="Arial"/>
      <w:noProof/>
      <w:color w:val="000000" w:themeColor="text1"/>
      <w:sz w:val="20"/>
      <w:lang w:val="en-GB"/>
    </w:rPr>
  </w:style>
  <w:style w:type="character" w:customStyle="1" w:styleId="BodytextCharChar">
    <w:name w:val="Body text Char Char"/>
    <w:link w:val="BodyText1"/>
    <w:uiPriority w:val="99"/>
    <w:locked/>
    <w:rsid w:val="00EE14AD"/>
    <w:rPr>
      <w:rFonts w:ascii="Arial" w:hAnsi="Arial" w:cs="Arial"/>
      <w:noProof/>
      <w:color w:val="000000" w:themeColor="text1"/>
      <w:sz w:val="20"/>
      <w:lang w:val="en-GB"/>
    </w:rPr>
  </w:style>
  <w:style w:type="character" w:customStyle="1" w:styleId="SourceChar">
    <w:name w:val="Source Char"/>
    <w:link w:val="Source"/>
    <w:rsid w:val="00EE14AD"/>
    <w:rPr>
      <w:rFonts w:ascii="Arial" w:hAnsi="Arial" w:cs="Arial"/>
      <w:noProof/>
      <w:color w:val="000000" w:themeColor="text1"/>
      <w:sz w:val="12"/>
      <w:lang w:val="en-GB"/>
    </w:rPr>
  </w:style>
  <w:style w:type="paragraph" w:customStyle="1" w:styleId="Tablecolumnright">
    <w:name w:val="Table column right"/>
    <w:basedOn w:val="prastasis"/>
    <w:uiPriority w:val="99"/>
    <w:qFormat/>
    <w:rsid w:val="00EE14AD"/>
    <w:pPr>
      <w:spacing w:before="40" w:after="40" w:line="240" w:lineRule="auto"/>
      <w:jc w:val="right"/>
    </w:pPr>
    <w:rPr>
      <w:rFonts w:ascii="Univers 45 Light" w:hAnsi="Univers 45 Light"/>
      <w:color w:val="000000" w:themeColor="text1"/>
      <w:sz w:val="18"/>
      <w:lang w:val="en-GB" w:eastAsia="en-GB"/>
    </w:rPr>
  </w:style>
  <w:style w:type="paragraph" w:customStyle="1" w:styleId="Graphic">
    <w:name w:val="Graphic"/>
    <w:basedOn w:val="prastasis"/>
    <w:next w:val="Source"/>
    <w:uiPriority w:val="99"/>
    <w:qFormat/>
    <w:rsid w:val="00EE14AD"/>
    <w:pPr>
      <w:spacing w:before="140" w:after="140" w:line="240" w:lineRule="auto"/>
      <w:jc w:val="center"/>
    </w:pPr>
    <w:rPr>
      <w:rFonts w:ascii="Univers 45 Light" w:eastAsia="Times New Roman" w:hAnsi="Univers 45 Light" w:cs="Times New Roman"/>
      <w:noProof/>
      <w:sz w:val="20"/>
      <w:szCs w:val="24"/>
      <w:lang w:val="en-GB" w:eastAsia="en-GB"/>
    </w:rPr>
  </w:style>
  <w:style w:type="character" w:customStyle="1" w:styleId="hps">
    <w:name w:val="hps"/>
    <w:basedOn w:val="Numatytasispastraiposriftas"/>
    <w:rsid w:val="00EE14AD"/>
  </w:style>
  <w:style w:type="paragraph" w:customStyle="1" w:styleId="pwc">
    <w:name w:val="pwc"/>
    <w:basedOn w:val="prastasis"/>
    <w:uiPriority w:val="99"/>
    <w:qFormat/>
    <w:rsid w:val="00EE14AD"/>
    <w:pPr>
      <w:suppressAutoHyphens/>
      <w:autoSpaceDE w:val="0"/>
      <w:autoSpaceDN w:val="0"/>
      <w:adjustRightInd w:val="0"/>
      <w:spacing w:after="0" w:line="288" w:lineRule="auto"/>
      <w:textAlignment w:val="center"/>
    </w:pPr>
    <w:rPr>
      <w:rFonts w:ascii="Times New Roman" w:eastAsia="Times New Roman" w:hAnsi="Times New Roman" w:cs="Times New Roman"/>
      <w:b/>
      <w:color w:val="E36C0A" w:themeColor="accent6" w:themeShade="BF"/>
      <w:sz w:val="24"/>
      <w:szCs w:val="24"/>
      <w:lang w:val="lt-LT"/>
    </w:rPr>
  </w:style>
  <w:style w:type="character" w:styleId="Komentaronuoroda">
    <w:name w:val="annotation reference"/>
    <w:basedOn w:val="Numatytasispastraiposriftas"/>
    <w:uiPriority w:val="99"/>
    <w:semiHidden/>
    <w:unhideWhenUsed/>
    <w:rsid w:val="00EE14AD"/>
    <w:rPr>
      <w:sz w:val="16"/>
      <w:szCs w:val="16"/>
    </w:rPr>
  </w:style>
  <w:style w:type="paragraph" w:styleId="Komentarotekstas">
    <w:name w:val="annotation text"/>
    <w:basedOn w:val="prastasis"/>
    <w:link w:val="KomentarotekstasDiagrama"/>
    <w:uiPriority w:val="99"/>
    <w:unhideWhenUsed/>
    <w:rsid w:val="00EE14AD"/>
    <w:pPr>
      <w:spacing w:line="240" w:lineRule="auto"/>
    </w:pPr>
    <w:rPr>
      <w:sz w:val="20"/>
      <w:szCs w:val="20"/>
      <w:lang w:val="lt-LT"/>
    </w:rPr>
  </w:style>
  <w:style w:type="character" w:customStyle="1" w:styleId="KomentarotekstasDiagrama">
    <w:name w:val="Komentaro tekstas Diagrama"/>
    <w:basedOn w:val="Numatytasispastraiposriftas"/>
    <w:link w:val="Komentarotekstas"/>
    <w:uiPriority w:val="99"/>
    <w:rsid w:val="00EE14AD"/>
    <w:rPr>
      <w:sz w:val="20"/>
      <w:szCs w:val="20"/>
      <w:lang w:val="lt-LT"/>
    </w:rPr>
  </w:style>
  <w:style w:type="paragraph" w:styleId="Komentarotema">
    <w:name w:val="annotation subject"/>
    <w:basedOn w:val="Komentarotekstas"/>
    <w:next w:val="Komentarotekstas"/>
    <w:link w:val="KomentarotemaDiagrama"/>
    <w:uiPriority w:val="99"/>
    <w:semiHidden/>
    <w:unhideWhenUsed/>
    <w:rsid w:val="00EE14AD"/>
    <w:rPr>
      <w:b/>
      <w:bCs/>
    </w:rPr>
  </w:style>
  <w:style w:type="character" w:customStyle="1" w:styleId="KomentarotemaDiagrama">
    <w:name w:val="Komentaro tema Diagrama"/>
    <w:basedOn w:val="KomentarotekstasDiagrama"/>
    <w:link w:val="Komentarotema"/>
    <w:uiPriority w:val="99"/>
    <w:semiHidden/>
    <w:rsid w:val="00EE14AD"/>
    <w:rPr>
      <w:b/>
      <w:bCs/>
      <w:sz w:val="20"/>
      <w:szCs w:val="20"/>
      <w:lang w:val="lt-LT"/>
    </w:rPr>
  </w:style>
  <w:style w:type="paragraph" w:styleId="Turinioantrat">
    <w:name w:val="TOC Heading"/>
    <w:basedOn w:val="Antrat1"/>
    <w:next w:val="prastasis"/>
    <w:uiPriority w:val="39"/>
    <w:semiHidden/>
    <w:unhideWhenUsed/>
    <w:qFormat/>
    <w:rsid w:val="00EE14AD"/>
    <w:pPr>
      <w:outlineLvl w:val="9"/>
    </w:pPr>
    <w:rPr>
      <w:lang w:eastAsia="ja-JP"/>
    </w:rPr>
  </w:style>
  <w:style w:type="paragraph" w:styleId="Turinys1">
    <w:name w:val="toc 1"/>
    <w:basedOn w:val="prastasis"/>
    <w:next w:val="prastasis"/>
    <w:autoRedefine/>
    <w:uiPriority w:val="39"/>
    <w:unhideWhenUsed/>
    <w:rsid w:val="00EE14AD"/>
    <w:pPr>
      <w:spacing w:after="100"/>
    </w:pPr>
  </w:style>
  <w:style w:type="paragraph" w:styleId="Turinys2">
    <w:name w:val="toc 2"/>
    <w:basedOn w:val="prastasis"/>
    <w:next w:val="prastasis"/>
    <w:autoRedefine/>
    <w:uiPriority w:val="39"/>
    <w:unhideWhenUsed/>
    <w:rsid w:val="00EE14AD"/>
    <w:pPr>
      <w:spacing w:after="100"/>
      <w:ind w:left="220"/>
    </w:pPr>
  </w:style>
  <w:style w:type="paragraph" w:styleId="Turinys3">
    <w:name w:val="toc 3"/>
    <w:basedOn w:val="prastasis"/>
    <w:next w:val="prastasis"/>
    <w:autoRedefine/>
    <w:uiPriority w:val="39"/>
    <w:unhideWhenUsed/>
    <w:rsid w:val="00BB54BF"/>
    <w:pPr>
      <w:tabs>
        <w:tab w:val="left" w:pos="1100"/>
        <w:tab w:val="right" w:leader="dot" w:pos="9350"/>
      </w:tabs>
      <w:spacing w:after="100"/>
      <w:ind w:left="284"/>
    </w:pPr>
  </w:style>
  <w:style w:type="character" w:styleId="Perirtashipersaitas">
    <w:name w:val="FollowedHyperlink"/>
    <w:basedOn w:val="Numatytasispastraiposriftas"/>
    <w:uiPriority w:val="99"/>
    <w:semiHidden/>
    <w:unhideWhenUsed/>
    <w:rsid w:val="00BE11CD"/>
    <w:rPr>
      <w:color w:val="800080" w:themeColor="followedHyperlink"/>
      <w:u w:val="single"/>
    </w:rPr>
  </w:style>
  <w:style w:type="paragraph" w:styleId="Antrats">
    <w:name w:val="header"/>
    <w:basedOn w:val="prastasis"/>
    <w:link w:val="AntratsDiagrama"/>
    <w:uiPriority w:val="99"/>
    <w:unhideWhenUsed/>
    <w:rsid w:val="00EB3C05"/>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EB3C05"/>
  </w:style>
  <w:style w:type="paragraph" w:styleId="Pagrindinistekstas">
    <w:name w:val="Body Text"/>
    <w:basedOn w:val="prastasis"/>
    <w:link w:val="PagrindinistekstasDiagrama"/>
    <w:uiPriority w:val="99"/>
    <w:qFormat/>
    <w:rsid w:val="000774BC"/>
    <w:pPr>
      <w:spacing w:after="240" w:line="240" w:lineRule="atLeast"/>
    </w:pPr>
    <w:rPr>
      <w:rFonts w:ascii="Georgia" w:eastAsia="PMingLiU" w:hAnsi="Georgia" w:cs="Times New Roman"/>
      <w:sz w:val="20"/>
      <w:szCs w:val="20"/>
      <w:lang w:val="en-GB"/>
    </w:rPr>
  </w:style>
  <w:style w:type="character" w:customStyle="1" w:styleId="PagrindinistekstasDiagrama">
    <w:name w:val="Pagrindinis tekstas Diagrama"/>
    <w:basedOn w:val="Numatytasispastraiposriftas"/>
    <w:link w:val="Pagrindinistekstas"/>
    <w:uiPriority w:val="99"/>
    <w:rsid w:val="000774BC"/>
    <w:rPr>
      <w:rFonts w:ascii="Georgia" w:eastAsia="PMingLiU" w:hAnsi="Georgia" w:cs="Times New Roman"/>
      <w:sz w:val="20"/>
      <w:szCs w:val="20"/>
      <w:lang w:val="en-GB"/>
    </w:rPr>
  </w:style>
  <w:style w:type="paragraph" w:customStyle="1" w:styleId="text-15-str">
    <w:name w:val="text-15-str"/>
    <w:basedOn w:val="prastasis"/>
    <w:uiPriority w:val="99"/>
    <w:rsid w:val="00DF032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shorttext">
    <w:name w:val="short_text"/>
    <w:basedOn w:val="Numatytasispastraiposriftas"/>
    <w:rsid w:val="00DF0329"/>
  </w:style>
  <w:style w:type="character" w:styleId="Emfaz">
    <w:name w:val="Emphasis"/>
    <w:basedOn w:val="Numatytasispastraiposriftas"/>
    <w:uiPriority w:val="20"/>
    <w:qFormat/>
    <w:rsid w:val="00DF0329"/>
    <w:rPr>
      <w:b/>
      <w:bCs/>
      <w:i w:val="0"/>
      <w:iCs w:val="0"/>
    </w:rPr>
  </w:style>
  <w:style w:type="table" w:customStyle="1" w:styleId="GridTable5Dark-Accent11">
    <w:name w:val="Grid Table 5 Dark - Accent 11"/>
    <w:basedOn w:val="prastojilentel"/>
    <w:uiPriority w:val="50"/>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Pa6">
    <w:name w:val="Pa6"/>
    <w:basedOn w:val="Default"/>
    <w:next w:val="Default"/>
    <w:uiPriority w:val="99"/>
    <w:rsid w:val="009134CC"/>
    <w:pPr>
      <w:spacing w:line="201" w:lineRule="atLeast"/>
    </w:pPr>
    <w:rPr>
      <w:rFonts w:ascii="FranklinGothicDemiITC" w:eastAsia="Calibri" w:hAnsi="FranklinGothicDemiITC" w:cs="Times New Roman"/>
      <w:color w:val="auto"/>
      <w:lang w:val="en-GB"/>
    </w:rPr>
  </w:style>
  <w:style w:type="table" w:customStyle="1" w:styleId="TableGridLight1">
    <w:name w:val="Table Grid Light1"/>
    <w:basedOn w:val="prastojilentel"/>
    <w:uiPriority w:val="40"/>
    <w:rsid w:val="009134CC"/>
    <w:pPr>
      <w:spacing w:after="0" w:line="240" w:lineRule="auto"/>
    </w:pPr>
    <w:rPr>
      <w:rFonts w:ascii="Calibri" w:eastAsia="Calibri" w:hAnsi="Calibri" w:cs="Times New Roman"/>
      <w:sz w:val="20"/>
      <w:szCs w:val="20"/>
      <w:lang w:val="lt-LT"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11">
    <w:name w:val="List Table 2 - Accent 11"/>
    <w:basedOn w:val="prastojilentel"/>
    <w:uiPriority w:val="47"/>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11">
    <w:name w:val="List Table 6 Colorful - Accent 11"/>
    <w:basedOn w:val="prastojilentel"/>
    <w:uiPriority w:val="51"/>
    <w:rsid w:val="009134CC"/>
    <w:pPr>
      <w:spacing w:after="0" w:line="240" w:lineRule="auto"/>
    </w:pPr>
    <w:rPr>
      <w:rFonts w:ascii="Calibri" w:eastAsia="Calibri" w:hAnsi="Calibri" w:cs="Times New Roman"/>
      <w:color w:val="2E74B5"/>
      <w:sz w:val="20"/>
      <w:szCs w:val="20"/>
      <w:lang w:val="lt-LT" w:eastAsia="lt-LT"/>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
    <w:name w:val="Table Grid1"/>
    <w:basedOn w:val="prastojilentel"/>
    <w:next w:val="Lentelstinklelis"/>
    <w:uiPriority w:val="39"/>
    <w:rsid w:val="009134CC"/>
    <w:pPr>
      <w:spacing w:after="0" w:line="240" w:lineRule="auto"/>
    </w:pPr>
    <w:rPr>
      <w:rFonts w:ascii="Calibri" w:eastAsia="Calibri" w:hAnsi="Calibri"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0">
    <w:name w:val="Grid Table 5 Dark - Accent 11"/>
    <w:basedOn w:val="prastojilentel"/>
    <w:next w:val="GridTable5Dark-Accent11"/>
    <w:uiPriority w:val="50"/>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3-Accent11">
    <w:name w:val="List Table 3 - Accent 11"/>
    <w:basedOn w:val="prastojilentel"/>
    <w:uiPriority w:val="48"/>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GridTable6Colorful-Accent11">
    <w:name w:val="Grid Table 6 Colorful - Accent 11"/>
    <w:basedOn w:val="prastojilentel"/>
    <w:uiPriority w:val="51"/>
    <w:rsid w:val="009134CC"/>
    <w:pPr>
      <w:spacing w:after="0" w:line="240" w:lineRule="auto"/>
    </w:pPr>
    <w:rPr>
      <w:rFonts w:ascii="Calibri" w:eastAsia="Calibri" w:hAnsi="Calibri" w:cs="Times New Roman"/>
      <w:color w:val="2E74B5"/>
      <w:sz w:val="20"/>
      <w:szCs w:val="20"/>
      <w:lang w:val="lt-LT" w:eastAsia="lt-L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
    <w:name w:val="Table Grid2"/>
    <w:basedOn w:val="prastojilentel"/>
    <w:next w:val="Lentelstinklelis"/>
    <w:uiPriority w:val="39"/>
    <w:rsid w:val="009134CC"/>
    <w:pPr>
      <w:spacing w:after="0" w:line="240" w:lineRule="auto"/>
    </w:pPr>
    <w:rPr>
      <w:rFonts w:ascii="Calibri" w:eastAsia="Calibri" w:hAnsi="Calibri"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2">
    <w:name w:val="Grid Table 5 Dark - Accent 12"/>
    <w:basedOn w:val="prastojilentel"/>
    <w:next w:val="GridTable5Dark-Accent11"/>
    <w:uiPriority w:val="50"/>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prastasistinklapis">
    <w:name w:val="Normal (Web)"/>
    <w:basedOn w:val="prastasis"/>
    <w:uiPriority w:val="99"/>
    <w:semiHidden/>
    <w:unhideWhenUsed/>
    <w:rsid w:val="009134C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GridTable4-Accent11">
    <w:name w:val="Grid Table 4 - Accent 11"/>
    <w:basedOn w:val="prastojilentel"/>
    <w:uiPriority w:val="49"/>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3">
    <w:name w:val="Table Grid3"/>
    <w:basedOn w:val="prastojilentel"/>
    <w:next w:val="Lentelstinklelis"/>
    <w:uiPriority w:val="39"/>
    <w:rsid w:val="009134CC"/>
    <w:pPr>
      <w:spacing w:after="0" w:line="240" w:lineRule="auto"/>
    </w:pPr>
    <w:rPr>
      <w:rFonts w:ascii="Calibri" w:eastAsia="Calibri" w:hAnsi="Calibri"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3">
    <w:name w:val="Grid Table 5 Dark - Accent 13"/>
    <w:basedOn w:val="prastojilentel"/>
    <w:next w:val="GridTable5Dark-Accent11"/>
    <w:uiPriority w:val="50"/>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atn">
    <w:name w:val="atn"/>
    <w:basedOn w:val="Numatytasispastraiposriftas"/>
    <w:rsid w:val="000A1145"/>
  </w:style>
  <w:style w:type="table" w:styleId="viesussraas2parykinimas">
    <w:name w:val="Light List Accent 2"/>
    <w:basedOn w:val="prastojilentel"/>
    <w:uiPriority w:val="61"/>
    <w:rsid w:val="00CD5113"/>
    <w:pPr>
      <w:spacing w:after="0" w:line="240" w:lineRule="auto"/>
    </w:pPr>
    <w:rPr>
      <w:lang w:val="lt-L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prastasis1">
    <w:name w:val="Įprastasis1"/>
    <w:basedOn w:val="prastasis"/>
    <w:rsid w:val="00C86502"/>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customStyle="1" w:styleId="ti-art">
    <w:name w:val="ti-art"/>
    <w:basedOn w:val="prastasis"/>
    <w:uiPriority w:val="99"/>
    <w:rsid w:val="00C86502"/>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styleId="Turinys4">
    <w:name w:val="toc 4"/>
    <w:basedOn w:val="prastasis"/>
    <w:next w:val="prastasis"/>
    <w:autoRedefine/>
    <w:uiPriority w:val="39"/>
    <w:unhideWhenUsed/>
    <w:rsid w:val="00D85295"/>
    <w:pPr>
      <w:spacing w:after="100"/>
      <w:ind w:left="660"/>
    </w:pPr>
    <w:rPr>
      <w:rFonts w:eastAsiaTheme="minorEastAsia"/>
      <w:lang w:val="lt-LT" w:eastAsia="lt-LT"/>
    </w:rPr>
  </w:style>
  <w:style w:type="paragraph" w:styleId="Turinys5">
    <w:name w:val="toc 5"/>
    <w:basedOn w:val="prastasis"/>
    <w:next w:val="prastasis"/>
    <w:autoRedefine/>
    <w:uiPriority w:val="39"/>
    <w:unhideWhenUsed/>
    <w:rsid w:val="00D85295"/>
    <w:pPr>
      <w:spacing w:after="100"/>
      <w:ind w:left="880"/>
    </w:pPr>
    <w:rPr>
      <w:rFonts w:eastAsiaTheme="minorEastAsia"/>
      <w:lang w:val="lt-LT" w:eastAsia="lt-LT"/>
    </w:rPr>
  </w:style>
  <w:style w:type="paragraph" w:styleId="Turinys6">
    <w:name w:val="toc 6"/>
    <w:basedOn w:val="prastasis"/>
    <w:next w:val="prastasis"/>
    <w:autoRedefine/>
    <w:uiPriority w:val="39"/>
    <w:unhideWhenUsed/>
    <w:rsid w:val="00D85295"/>
    <w:pPr>
      <w:spacing w:after="100"/>
      <w:ind w:left="1100"/>
    </w:pPr>
    <w:rPr>
      <w:rFonts w:eastAsiaTheme="minorEastAsia"/>
      <w:lang w:val="lt-LT" w:eastAsia="lt-LT"/>
    </w:rPr>
  </w:style>
  <w:style w:type="paragraph" w:styleId="Turinys7">
    <w:name w:val="toc 7"/>
    <w:basedOn w:val="prastasis"/>
    <w:next w:val="prastasis"/>
    <w:autoRedefine/>
    <w:uiPriority w:val="39"/>
    <w:unhideWhenUsed/>
    <w:rsid w:val="00D85295"/>
    <w:pPr>
      <w:spacing w:after="100"/>
      <w:ind w:left="1320"/>
    </w:pPr>
    <w:rPr>
      <w:rFonts w:eastAsiaTheme="minorEastAsia"/>
      <w:lang w:val="lt-LT" w:eastAsia="lt-LT"/>
    </w:rPr>
  </w:style>
  <w:style w:type="paragraph" w:styleId="Turinys8">
    <w:name w:val="toc 8"/>
    <w:basedOn w:val="prastasis"/>
    <w:next w:val="prastasis"/>
    <w:autoRedefine/>
    <w:uiPriority w:val="39"/>
    <w:unhideWhenUsed/>
    <w:rsid w:val="00D85295"/>
    <w:pPr>
      <w:spacing w:after="100"/>
      <w:ind w:left="1540"/>
    </w:pPr>
    <w:rPr>
      <w:rFonts w:eastAsiaTheme="minorEastAsia"/>
      <w:lang w:val="lt-LT" w:eastAsia="lt-LT"/>
    </w:rPr>
  </w:style>
  <w:style w:type="paragraph" w:styleId="Turinys9">
    <w:name w:val="toc 9"/>
    <w:basedOn w:val="prastasis"/>
    <w:next w:val="prastasis"/>
    <w:autoRedefine/>
    <w:uiPriority w:val="39"/>
    <w:unhideWhenUsed/>
    <w:rsid w:val="00D85295"/>
    <w:pPr>
      <w:spacing w:after="100"/>
      <w:ind w:left="1760"/>
    </w:pPr>
    <w:rPr>
      <w:rFonts w:eastAsiaTheme="minorEastAsia"/>
      <w:lang w:val="lt-LT" w:eastAsia="lt-LT"/>
    </w:rPr>
  </w:style>
  <w:style w:type="table" w:styleId="1vidutinisspalvinimas2parykinimas">
    <w:name w:val="Medium Shading 1 Accent 2"/>
    <w:basedOn w:val="prastojilentel"/>
    <w:uiPriority w:val="63"/>
    <w:rsid w:val="009C68B5"/>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vidutinistinklelis2parykinimas">
    <w:name w:val="Medium Grid 1 Accent 2"/>
    <w:basedOn w:val="prastojilentel"/>
    <w:uiPriority w:val="67"/>
    <w:rsid w:val="00505F82"/>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vidutinistinklelis2parykinimas">
    <w:name w:val="Medium Grid 3 Accent 2"/>
    <w:basedOn w:val="prastojilentel"/>
    <w:uiPriority w:val="69"/>
    <w:rsid w:val="00505F8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vidutinissraas2parykinimas">
    <w:name w:val="Medium List 1 Accent 2"/>
    <w:basedOn w:val="prastojilentel"/>
    <w:uiPriority w:val="65"/>
    <w:rsid w:val="00505F82"/>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styleId="Betarp">
    <w:name w:val="No Spacing"/>
    <w:link w:val="BetarpDiagrama"/>
    <w:uiPriority w:val="1"/>
    <w:qFormat/>
    <w:rsid w:val="00BF0197"/>
    <w:pPr>
      <w:spacing w:after="0" w:line="240" w:lineRule="auto"/>
    </w:pPr>
    <w:rPr>
      <w:rFonts w:eastAsiaTheme="minorEastAsia"/>
      <w:lang w:val="lt-LT"/>
    </w:rPr>
  </w:style>
  <w:style w:type="character" w:customStyle="1" w:styleId="BetarpDiagrama">
    <w:name w:val="Be tarpų Diagrama"/>
    <w:basedOn w:val="Numatytasispastraiposriftas"/>
    <w:link w:val="Betarp"/>
    <w:uiPriority w:val="1"/>
    <w:rsid w:val="00BF0197"/>
    <w:rPr>
      <w:rFonts w:eastAsiaTheme="minorEastAsia"/>
      <w:lang w:val="lt-LT"/>
    </w:rPr>
  </w:style>
  <w:style w:type="paragraph" w:styleId="Pataisymai">
    <w:name w:val="Revision"/>
    <w:hidden/>
    <w:uiPriority w:val="99"/>
    <w:semiHidden/>
    <w:rsid w:val="00DF3A8E"/>
    <w:pPr>
      <w:spacing w:after="0" w:line="240" w:lineRule="auto"/>
    </w:pPr>
  </w:style>
  <w:style w:type="paragraph" w:styleId="Porat">
    <w:name w:val="footer"/>
    <w:basedOn w:val="prastasis"/>
    <w:link w:val="PoratDiagrama"/>
    <w:uiPriority w:val="99"/>
    <w:unhideWhenUsed/>
    <w:rsid w:val="002E559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2E5596"/>
  </w:style>
  <w:style w:type="table" w:styleId="1vidutinisspalvinimas6parykinimas">
    <w:name w:val="Medium Shading 1 Accent 6"/>
    <w:basedOn w:val="prastojilentel"/>
    <w:uiPriority w:val="63"/>
    <w:rsid w:val="00FD234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viesustinklelis1parykinimas">
    <w:name w:val="Light Grid Accent 1"/>
    <w:basedOn w:val="prastojilentel"/>
    <w:uiPriority w:val="62"/>
    <w:rsid w:val="00FD234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viesustinklelis2parykinimas">
    <w:name w:val="Light Grid Accent 2"/>
    <w:basedOn w:val="prastojilentel"/>
    <w:uiPriority w:val="62"/>
    <w:rsid w:val="00FD234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palvotassraas2parykinimas">
    <w:name w:val="Colorful List Accent 2"/>
    <w:basedOn w:val="prastojilentel"/>
    <w:uiPriority w:val="72"/>
    <w:rsid w:val="0063390D"/>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styleId="Iliustracijsraas">
    <w:name w:val="table of figures"/>
    <w:basedOn w:val="prastasis"/>
    <w:next w:val="prastasis"/>
    <w:uiPriority w:val="99"/>
    <w:unhideWhenUsed/>
    <w:rsid w:val="001F5C99"/>
    <w:pPr>
      <w:spacing w:after="0"/>
    </w:pPr>
  </w:style>
  <w:style w:type="table" w:customStyle="1" w:styleId="viesussraas2parykinimas1">
    <w:name w:val="Šviesus sąrašas – 2 paryškinimas1"/>
    <w:basedOn w:val="prastojilentel"/>
    <w:next w:val="viesussraas2parykinimas"/>
    <w:uiPriority w:val="61"/>
    <w:rsid w:val="00765F40"/>
    <w:pPr>
      <w:spacing w:after="0" w:line="240" w:lineRule="auto"/>
    </w:pPr>
    <w:rPr>
      <w:lang w:val="lt-L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viesussraas2parykinimas2">
    <w:name w:val="Šviesus sąrašas – 2 paryškinimas2"/>
    <w:basedOn w:val="prastojilentel"/>
    <w:next w:val="viesussraas2parykinimas"/>
    <w:uiPriority w:val="61"/>
    <w:rsid w:val="006C0CDA"/>
    <w:pPr>
      <w:spacing w:after="0" w:line="240" w:lineRule="auto"/>
    </w:pPr>
    <w:rPr>
      <w:lang w:val="lt-L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viesussraas2parykinimas3">
    <w:name w:val="Šviesus sąrašas – 2 paryškinimas3"/>
    <w:basedOn w:val="prastojilentel"/>
    <w:next w:val="viesussraas2parykinimas"/>
    <w:uiPriority w:val="61"/>
    <w:rsid w:val="00210E9F"/>
    <w:pPr>
      <w:spacing w:after="0" w:line="240" w:lineRule="auto"/>
    </w:pPr>
    <w:rPr>
      <w:lang w:val="lt-L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viesussraas3parykinimas">
    <w:name w:val="Light List Accent 3"/>
    <w:basedOn w:val="prastojilentel"/>
    <w:uiPriority w:val="61"/>
    <w:rsid w:val="002A576D"/>
    <w:pPr>
      <w:spacing w:after="0" w:line="240" w:lineRule="auto"/>
    </w:pPr>
    <w:rPr>
      <w:lang w:val="lt-LT"/>
    </w:rPr>
    <w:tblPr>
      <w:tblStyleRowBandSize w:val="1"/>
      <w:tblStyleColBandSize w:val="1"/>
      <w:tblInd w:w="0" w:type="nil"/>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087026"/>
  </w:style>
  <w:style w:type="paragraph" w:styleId="Antrat1">
    <w:name w:val="heading 1"/>
    <w:basedOn w:val="prastasis"/>
    <w:next w:val="prastasis"/>
    <w:link w:val="Antrat1Diagrama"/>
    <w:uiPriority w:val="9"/>
    <w:qFormat/>
    <w:rsid w:val="00EE14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unhideWhenUsed/>
    <w:qFormat/>
    <w:rsid w:val="00EE14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uiPriority w:val="9"/>
    <w:unhideWhenUsed/>
    <w:qFormat/>
    <w:rsid w:val="00EE14AD"/>
    <w:pPr>
      <w:keepNext/>
      <w:keepLines/>
      <w:spacing w:before="200" w:after="0"/>
      <w:outlineLvl w:val="2"/>
    </w:pPr>
    <w:rPr>
      <w:rFonts w:asciiTheme="majorHAnsi" w:eastAsiaTheme="majorEastAsia" w:hAnsiTheme="majorHAnsi" w:cstheme="majorBidi"/>
      <w:b/>
      <w:bCs/>
      <w:color w:val="4F81BD" w:themeColor="accent1"/>
      <w:sz w:val="24"/>
    </w:rPr>
  </w:style>
  <w:style w:type="paragraph" w:styleId="Antrat4">
    <w:name w:val="heading 4"/>
    <w:basedOn w:val="prastasis"/>
    <w:next w:val="prastasis"/>
    <w:link w:val="Antrat4Diagrama"/>
    <w:uiPriority w:val="9"/>
    <w:unhideWhenUsed/>
    <w:qFormat/>
    <w:rsid w:val="009134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E14AD"/>
    <w:rPr>
      <w:rFonts w:asciiTheme="majorHAnsi" w:eastAsiaTheme="majorEastAsia" w:hAnsiTheme="majorHAnsi" w:cstheme="majorBidi"/>
      <w:b/>
      <w:bCs/>
      <w:color w:val="365F91" w:themeColor="accent1" w:themeShade="BF"/>
      <w:sz w:val="28"/>
      <w:szCs w:val="28"/>
    </w:rPr>
  </w:style>
  <w:style w:type="character" w:customStyle="1" w:styleId="Antrat2Diagrama">
    <w:name w:val="Antraštė 2 Diagrama"/>
    <w:basedOn w:val="Numatytasispastraiposriftas"/>
    <w:link w:val="Antrat2"/>
    <w:uiPriority w:val="9"/>
    <w:rsid w:val="00EE14AD"/>
    <w:rPr>
      <w:rFonts w:asciiTheme="majorHAnsi" w:eastAsiaTheme="majorEastAsia" w:hAnsiTheme="majorHAnsi" w:cstheme="majorBidi"/>
      <w:b/>
      <w:bCs/>
      <w:color w:val="4F81BD" w:themeColor="accent1"/>
      <w:sz w:val="26"/>
      <w:szCs w:val="26"/>
    </w:rPr>
  </w:style>
  <w:style w:type="character" w:customStyle="1" w:styleId="Antrat3Diagrama">
    <w:name w:val="Antraštė 3 Diagrama"/>
    <w:basedOn w:val="Numatytasispastraiposriftas"/>
    <w:link w:val="Antrat3"/>
    <w:uiPriority w:val="9"/>
    <w:rsid w:val="00EE14AD"/>
    <w:rPr>
      <w:rFonts w:asciiTheme="majorHAnsi" w:eastAsiaTheme="majorEastAsia" w:hAnsiTheme="majorHAnsi" w:cstheme="majorBidi"/>
      <w:b/>
      <w:bCs/>
      <w:color w:val="4F81BD" w:themeColor="accent1"/>
      <w:sz w:val="24"/>
    </w:rPr>
  </w:style>
  <w:style w:type="character" w:customStyle="1" w:styleId="Antrat4Diagrama">
    <w:name w:val="Antraštė 4 Diagrama"/>
    <w:basedOn w:val="Numatytasispastraiposriftas"/>
    <w:link w:val="Antrat4"/>
    <w:uiPriority w:val="9"/>
    <w:rsid w:val="009134CC"/>
    <w:rPr>
      <w:rFonts w:asciiTheme="majorHAnsi" w:eastAsiaTheme="majorEastAsia" w:hAnsiTheme="majorHAnsi" w:cstheme="majorBidi"/>
      <w:b/>
      <w:bCs/>
      <w:i/>
      <w:iCs/>
      <w:color w:val="4F81BD" w:themeColor="accent1"/>
    </w:rPr>
  </w:style>
  <w:style w:type="paragraph" w:styleId="Sraopastraipa">
    <w:name w:val="List Paragraph"/>
    <w:aliases w:val="Table of contents numbered,Colorful List - Accent 11"/>
    <w:basedOn w:val="prastasis"/>
    <w:link w:val="SraopastraipaDiagrama"/>
    <w:uiPriority w:val="34"/>
    <w:qFormat/>
    <w:rsid w:val="00EE14AD"/>
    <w:pPr>
      <w:ind w:left="720"/>
      <w:contextualSpacing/>
    </w:pPr>
  </w:style>
  <w:style w:type="character" w:customStyle="1" w:styleId="SraopastraipaDiagrama">
    <w:name w:val="Sąrašo pastraipa Diagrama"/>
    <w:aliases w:val="Table of contents numbered Diagrama,Colorful List - Accent 11 Diagrama"/>
    <w:basedOn w:val="Numatytasispastraiposriftas"/>
    <w:link w:val="Sraopastraipa"/>
    <w:uiPriority w:val="34"/>
    <w:locked/>
    <w:rsid w:val="00EE14AD"/>
  </w:style>
  <w:style w:type="table" w:styleId="Lentelstinklelis">
    <w:name w:val="Table Grid"/>
    <w:aliases w:val="Smart Text Table"/>
    <w:basedOn w:val="prastojilentel"/>
    <w:uiPriority w:val="59"/>
    <w:rsid w:val="00EE1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uiPriority w:val="99"/>
    <w:rsid w:val="00EE14AD"/>
    <w:rPr>
      <w:color w:val="A32020"/>
      <w:u w:val="single"/>
    </w:rPr>
  </w:style>
  <w:style w:type="paragraph" w:styleId="Puslapioinaostekstas">
    <w:name w:val="footnote text"/>
    <w:aliases w:val="fn,footnote text,Footnotes,Footnote ak,fn Char,footnote text Char,Footnotes Char,Footnote ak Char,ft,fn cafc,Footnotes Char Char,Footnote Text Char Char,fn Char Char,footnote text Char Char Char Ch,fn1,footnote text1,ft1,Car"/>
    <w:basedOn w:val="prastasis"/>
    <w:link w:val="PuslapioinaostekstasDiagrama"/>
    <w:uiPriority w:val="99"/>
    <w:unhideWhenUsed/>
    <w:rsid w:val="00EE14AD"/>
    <w:pPr>
      <w:tabs>
        <w:tab w:val="left" w:pos="360"/>
      </w:tabs>
      <w:spacing w:after="0" w:line="240" w:lineRule="auto"/>
      <w:ind w:left="360" w:hanging="360"/>
    </w:pPr>
    <w:rPr>
      <w:rFonts w:ascii="Georgia" w:eastAsia="PMingLiU" w:hAnsi="Georgia" w:cs="Times New Roman"/>
      <w:sz w:val="16"/>
      <w:szCs w:val="20"/>
      <w:lang w:val="en-GB"/>
    </w:rPr>
  </w:style>
  <w:style w:type="character" w:customStyle="1" w:styleId="PuslapioinaostekstasDiagrama">
    <w:name w:val="Puslapio išnašos tekstas Diagrama"/>
    <w:aliases w:val="fn Diagrama,footnote text Diagrama,Footnotes Diagrama,Footnote ak Diagrama,fn Char Diagrama,footnote text Char Diagrama,Footnotes Char Diagrama,Footnote ak Char Diagrama,ft Diagrama,fn cafc Diagrama,fn1 Diagrama"/>
    <w:basedOn w:val="Numatytasispastraiposriftas"/>
    <w:link w:val="Puslapioinaostekstas"/>
    <w:uiPriority w:val="99"/>
    <w:rsid w:val="00EE14AD"/>
    <w:rPr>
      <w:rFonts w:ascii="Georgia" w:eastAsia="PMingLiU" w:hAnsi="Georgia" w:cs="Times New Roman"/>
      <w:sz w:val="16"/>
      <w:szCs w:val="20"/>
      <w:lang w:val="en-GB"/>
    </w:rPr>
  </w:style>
  <w:style w:type="character" w:styleId="Puslapioinaosnuoroda">
    <w:name w:val="footnote reference"/>
    <w:aliases w:val="Ref,de nota al pie,Ref1,de nota al pie1,Ref2,de nota al pie2,Ref11,de nota al pie11, BVI fnr,BVI fnr,Footnote symbol,Footnote reference number,Footnote,Times 10 Point,Exposant 3 Point,note TESI,SUPERS,EN Footnote text,number,E F"/>
    <w:uiPriority w:val="99"/>
    <w:unhideWhenUsed/>
    <w:rsid w:val="00EE14AD"/>
    <w:rPr>
      <w:vertAlign w:val="superscript"/>
    </w:rPr>
  </w:style>
  <w:style w:type="paragraph" w:styleId="Debesliotekstas">
    <w:name w:val="Balloon Text"/>
    <w:basedOn w:val="prastasis"/>
    <w:link w:val="DebesliotekstasDiagrama"/>
    <w:uiPriority w:val="99"/>
    <w:semiHidden/>
    <w:unhideWhenUsed/>
    <w:rsid w:val="00EE14AD"/>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E14AD"/>
    <w:rPr>
      <w:rFonts w:ascii="Tahoma" w:hAnsi="Tahoma" w:cs="Tahoma"/>
      <w:sz w:val="16"/>
      <w:szCs w:val="16"/>
    </w:rPr>
  </w:style>
  <w:style w:type="paragraph" w:customStyle="1" w:styleId="Default">
    <w:name w:val="Default"/>
    <w:uiPriority w:val="99"/>
    <w:rsid w:val="00EE14AD"/>
    <w:pPr>
      <w:autoSpaceDE w:val="0"/>
      <w:autoSpaceDN w:val="0"/>
      <w:adjustRightInd w:val="0"/>
      <w:spacing w:after="0" w:line="240" w:lineRule="auto"/>
    </w:pPr>
    <w:rPr>
      <w:rFonts w:ascii="Arial" w:hAnsi="Arial" w:cs="Arial"/>
      <w:color w:val="000000"/>
      <w:sz w:val="24"/>
      <w:szCs w:val="24"/>
      <w:lang w:val="lt-LT"/>
    </w:rPr>
  </w:style>
  <w:style w:type="table" w:customStyle="1" w:styleId="ListTable31">
    <w:name w:val="List Table 31"/>
    <w:basedOn w:val="prastojilentel"/>
    <w:uiPriority w:val="48"/>
    <w:rsid w:val="00EE14AD"/>
    <w:pPr>
      <w:spacing w:after="0" w:line="240" w:lineRule="auto"/>
    </w:pPr>
    <w:rPr>
      <w:rFonts w:eastAsiaTheme="minorEastAsia"/>
      <w:lang w:val="lt-LT"/>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Antrat">
    <w:name w:val="caption"/>
    <w:basedOn w:val="prastasis"/>
    <w:next w:val="prastasis"/>
    <w:uiPriority w:val="35"/>
    <w:qFormat/>
    <w:rsid w:val="00EE14AD"/>
    <w:pPr>
      <w:keepNext/>
      <w:spacing w:line="240" w:lineRule="auto"/>
    </w:pPr>
    <w:rPr>
      <w:rFonts w:ascii="Georgia" w:eastAsia="PMingLiU" w:hAnsi="Georgia" w:cs="Times New Roman"/>
      <w:b/>
      <w:bCs/>
      <w:color w:val="A32020"/>
      <w:sz w:val="20"/>
      <w:szCs w:val="18"/>
      <w:lang w:val="en-GB"/>
    </w:rPr>
  </w:style>
  <w:style w:type="paragraph" w:customStyle="1" w:styleId="Source">
    <w:name w:val="Source"/>
    <w:basedOn w:val="BodyText1"/>
    <w:link w:val="SourceChar"/>
    <w:qFormat/>
    <w:rsid w:val="00EE14AD"/>
    <w:pPr>
      <w:tabs>
        <w:tab w:val="left" w:pos="1134"/>
      </w:tabs>
      <w:spacing w:before="40"/>
      <w:ind w:left="851" w:hanging="851"/>
    </w:pPr>
    <w:rPr>
      <w:sz w:val="12"/>
    </w:rPr>
  </w:style>
  <w:style w:type="paragraph" w:customStyle="1" w:styleId="BodyText1">
    <w:name w:val="Body Text1"/>
    <w:basedOn w:val="prastasis"/>
    <w:link w:val="BodytextCharChar"/>
    <w:uiPriority w:val="99"/>
    <w:qFormat/>
    <w:rsid w:val="00EE14AD"/>
    <w:pPr>
      <w:spacing w:before="140" w:after="280" w:line="240" w:lineRule="auto"/>
    </w:pPr>
    <w:rPr>
      <w:rFonts w:ascii="Arial" w:hAnsi="Arial" w:cs="Arial"/>
      <w:noProof/>
      <w:color w:val="000000" w:themeColor="text1"/>
      <w:sz w:val="20"/>
      <w:lang w:val="en-GB"/>
    </w:rPr>
  </w:style>
  <w:style w:type="character" w:customStyle="1" w:styleId="BodytextCharChar">
    <w:name w:val="Body text Char Char"/>
    <w:link w:val="BodyText1"/>
    <w:uiPriority w:val="99"/>
    <w:locked/>
    <w:rsid w:val="00EE14AD"/>
    <w:rPr>
      <w:rFonts w:ascii="Arial" w:hAnsi="Arial" w:cs="Arial"/>
      <w:noProof/>
      <w:color w:val="000000" w:themeColor="text1"/>
      <w:sz w:val="20"/>
      <w:lang w:val="en-GB"/>
    </w:rPr>
  </w:style>
  <w:style w:type="character" w:customStyle="1" w:styleId="SourceChar">
    <w:name w:val="Source Char"/>
    <w:link w:val="Source"/>
    <w:rsid w:val="00EE14AD"/>
    <w:rPr>
      <w:rFonts w:ascii="Arial" w:hAnsi="Arial" w:cs="Arial"/>
      <w:noProof/>
      <w:color w:val="000000" w:themeColor="text1"/>
      <w:sz w:val="12"/>
      <w:lang w:val="en-GB"/>
    </w:rPr>
  </w:style>
  <w:style w:type="paragraph" w:customStyle="1" w:styleId="Tablecolumnright">
    <w:name w:val="Table column right"/>
    <w:basedOn w:val="prastasis"/>
    <w:uiPriority w:val="99"/>
    <w:qFormat/>
    <w:rsid w:val="00EE14AD"/>
    <w:pPr>
      <w:spacing w:before="40" w:after="40" w:line="240" w:lineRule="auto"/>
      <w:jc w:val="right"/>
    </w:pPr>
    <w:rPr>
      <w:rFonts w:ascii="Univers 45 Light" w:hAnsi="Univers 45 Light"/>
      <w:color w:val="000000" w:themeColor="text1"/>
      <w:sz w:val="18"/>
      <w:lang w:val="en-GB" w:eastAsia="en-GB"/>
    </w:rPr>
  </w:style>
  <w:style w:type="paragraph" w:customStyle="1" w:styleId="Graphic">
    <w:name w:val="Graphic"/>
    <w:basedOn w:val="prastasis"/>
    <w:next w:val="Source"/>
    <w:uiPriority w:val="99"/>
    <w:qFormat/>
    <w:rsid w:val="00EE14AD"/>
    <w:pPr>
      <w:spacing w:before="140" w:after="140" w:line="240" w:lineRule="auto"/>
      <w:jc w:val="center"/>
    </w:pPr>
    <w:rPr>
      <w:rFonts w:ascii="Univers 45 Light" w:eastAsia="Times New Roman" w:hAnsi="Univers 45 Light" w:cs="Times New Roman"/>
      <w:noProof/>
      <w:sz w:val="20"/>
      <w:szCs w:val="24"/>
      <w:lang w:val="en-GB" w:eastAsia="en-GB"/>
    </w:rPr>
  </w:style>
  <w:style w:type="character" w:customStyle="1" w:styleId="hps">
    <w:name w:val="hps"/>
    <w:basedOn w:val="Numatytasispastraiposriftas"/>
    <w:rsid w:val="00EE14AD"/>
  </w:style>
  <w:style w:type="paragraph" w:customStyle="1" w:styleId="pwc">
    <w:name w:val="pwc"/>
    <w:basedOn w:val="prastasis"/>
    <w:uiPriority w:val="99"/>
    <w:qFormat/>
    <w:rsid w:val="00EE14AD"/>
    <w:pPr>
      <w:suppressAutoHyphens/>
      <w:autoSpaceDE w:val="0"/>
      <w:autoSpaceDN w:val="0"/>
      <w:adjustRightInd w:val="0"/>
      <w:spacing w:after="0" w:line="288" w:lineRule="auto"/>
      <w:textAlignment w:val="center"/>
    </w:pPr>
    <w:rPr>
      <w:rFonts w:ascii="Times New Roman" w:eastAsia="Times New Roman" w:hAnsi="Times New Roman" w:cs="Times New Roman"/>
      <w:b/>
      <w:color w:val="E36C0A" w:themeColor="accent6" w:themeShade="BF"/>
      <w:sz w:val="24"/>
      <w:szCs w:val="24"/>
      <w:lang w:val="lt-LT"/>
    </w:rPr>
  </w:style>
  <w:style w:type="character" w:styleId="Komentaronuoroda">
    <w:name w:val="annotation reference"/>
    <w:basedOn w:val="Numatytasispastraiposriftas"/>
    <w:uiPriority w:val="99"/>
    <w:semiHidden/>
    <w:unhideWhenUsed/>
    <w:rsid w:val="00EE14AD"/>
    <w:rPr>
      <w:sz w:val="16"/>
      <w:szCs w:val="16"/>
    </w:rPr>
  </w:style>
  <w:style w:type="paragraph" w:styleId="Komentarotekstas">
    <w:name w:val="annotation text"/>
    <w:basedOn w:val="prastasis"/>
    <w:link w:val="KomentarotekstasDiagrama"/>
    <w:uiPriority w:val="99"/>
    <w:unhideWhenUsed/>
    <w:rsid w:val="00EE14AD"/>
    <w:pPr>
      <w:spacing w:line="240" w:lineRule="auto"/>
    </w:pPr>
    <w:rPr>
      <w:sz w:val="20"/>
      <w:szCs w:val="20"/>
      <w:lang w:val="lt-LT"/>
    </w:rPr>
  </w:style>
  <w:style w:type="character" w:customStyle="1" w:styleId="KomentarotekstasDiagrama">
    <w:name w:val="Komentaro tekstas Diagrama"/>
    <w:basedOn w:val="Numatytasispastraiposriftas"/>
    <w:link w:val="Komentarotekstas"/>
    <w:uiPriority w:val="99"/>
    <w:rsid w:val="00EE14AD"/>
    <w:rPr>
      <w:sz w:val="20"/>
      <w:szCs w:val="20"/>
      <w:lang w:val="lt-LT"/>
    </w:rPr>
  </w:style>
  <w:style w:type="paragraph" w:styleId="Komentarotema">
    <w:name w:val="annotation subject"/>
    <w:basedOn w:val="Komentarotekstas"/>
    <w:next w:val="Komentarotekstas"/>
    <w:link w:val="KomentarotemaDiagrama"/>
    <w:uiPriority w:val="99"/>
    <w:semiHidden/>
    <w:unhideWhenUsed/>
    <w:rsid w:val="00EE14AD"/>
    <w:rPr>
      <w:b/>
      <w:bCs/>
    </w:rPr>
  </w:style>
  <w:style w:type="character" w:customStyle="1" w:styleId="KomentarotemaDiagrama">
    <w:name w:val="Komentaro tema Diagrama"/>
    <w:basedOn w:val="KomentarotekstasDiagrama"/>
    <w:link w:val="Komentarotema"/>
    <w:uiPriority w:val="99"/>
    <w:semiHidden/>
    <w:rsid w:val="00EE14AD"/>
    <w:rPr>
      <w:b/>
      <w:bCs/>
      <w:sz w:val="20"/>
      <w:szCs w:val="20"/>
      <w:lang w:val="lt-LT"/>
    </w:rPr>
  </w:style>
  <w:style w:type="paragraph" w:styleId="Turinioantrat">
    <w:name w:val="TOC Heading"/>
    <w:basedOn w:val="Antrat1"/>
    <w:next w:val="prastasis"/>
    <w:uiPriority w:val="39"/>
    <w:semiHidden/>
    <w:unhideWhenUsed/>
    <w:qFormat/>
    <w:rsid w:val="00EE14AD"/>
    <w:pPr>
      <w:outlineLvl w:val="9"/>
    </w:pPr>
    <w:rPr>
      <w:lang w:eastAsia="ja-JP"/>
    </w:rPr>
  </w:style>
  <w:style w:type="paragraph" w:styleId="Turinys1">
    <w:name w:val="toc 1"/>
    <w:basedOn w:val="prastasis"/>
    <w:next w:val="prastasis"/>
    <w:autoRedefine/>
    <w:uiPriority w:val="39"/>
    <w:unhideWhenUsed/>
    <w:rsid w:val="00EE14AD"/>
    <w:pPr>
      <w:spacing w:after="100"/>
    </w:pPr>
  </w:style>
  <w:style w:type="paragraph" w:styleId="Turinys2">
    <w:name w:val="toc 2"/>
    <w:basedOn w:val="prastasis"/>
    <w:next w:val="prastasis"/>
    <w:autoRedefine/>
    <w:uiPriority w:val="39"/>
    <w:unhideWhenUsed/>
    <w:rsid w:val="00EE14AD"/>
    <w:pPr>
      <w:spacing w:after="100"/>
      <w:ind w:left="220"/>
    </w:pPr>
  </w:style>
  <w:style w:type="paragraph" w:styleId="Turinys3">
    <w:name w:val="toc 3"/>
    <w:basedOn w:val="prastasis"/>
    <w:next w:val="prastasis"/>
    <w:autoRedefine/>
    <w:uiPriority w:val="39"/>
    <w:unhideWhenUsed/>
    <w:rsid w:val="00BB54BF"/>
    <w:pPr>
      <w:tabs>
        <w:tab w:val="left" w:pos="1100"/>
        <w:tab w:val="right" w:leader="dot" w:pos="9350"/>
      </w:tabs>
      <w:spacing w:after="100"/>
      <w:ind w:left="284"/>
    </w:pPr>
  </w:style>
  <w:style w:type="character" w:styleId="Perirtashipersaitas">
    <w:name w:val="FollowedHyperlink"/>
    <w:basedOn w:val="Numatytasispastraiposriftas"/>
    <w:uiPriority w:val="99"/>
    <w:semiHidden/>
    <w:unhideWhenUsed/>
    <w:rsid w:val="00BE11CD"/>
    <w:rPr>
      <w:color w:val="800080" w:themeColor="followedHyperlink"/>
      <w:u w:val="single"/>
    </w:rPr>
  </w:style>
  <w:style w:type="paragraph" w:styleId="Antrats">
    <w:name w:val="header"/>
    <w:basedOn w:val="prastasis"/>
    <w:link w:val="AntratsDiagrama"/>
    <w:uiPriority w:val="99"/>
    <w:unhideWhenUsed/>
    <w:rsid w:val="00EB3C05"/>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EB3C05"/>
  </w:style>
  <w:style w:type="paragraph" w:styleId="Pagrindinistekstas">
    <w:name w:val="Body Text"/>
    <w:basedOn w:val="prastasis"/>
    <w:link w:val="PagrindinistekstasDiagrama"/>
    <w:uiPriority w:val="99"/>
    <w:qFormat/>
    <w:rsid w:val="000774BC"/>
    <w:pPr>
      <w:spacing w:after="240" w:line="240" w:lineRule="atLeast"/>
    </w:pPr>
    <w:rPr>
      <w:rFonts w:ascii="Georgia" w:eastAsia="PMingLiU" w:hAnsi="Georgia" w:cs="Times New Roman"/>
      <w:sz w:val="20"/>
      <w:szCs w:val="20"/>
      <w:lang w:val="en-GB"/>
    </w:rPr>
  </w:style>
  <w:style w:type="character" w:customStyle="1" w:styleId="PagrindinistekstasDiagrama">
    <w:name w:val="Pagrindinis tekstas Diagrama"/>
    <w:basedOn w:val="Numatytasispastraiposriftas"/>
    <w:link w:val="Pagrindinistekstas"/>
    <w:uiPriority w:val="99"/>
    <w:rsid w:val="000774BC"/>
    <w:rPr>
      <w:rFonts w:ascii="Georgia" w:eastAsia="PMingLiU" w:hAnsi="Georgia" w:cs="Times New Roman"/>
      <w:sz w:val="20"/>
      <w:szCs w:val="20"/>
      <w:lang w:val="en-GB"/>
    </w:rPr>
  </w:style>
  <w:style w:type="paragraph" w:customStyle="1" w:styleId="text-15-str">
    <w:name w:val="text-15-str"/>
    <w:basedOn w:val="prastasis"/>
    <w:uiPriority w:val="99"/>
    <w:rsid w:val="00DF032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shorttext">
    <w:name w:val="short_text"/>
    <w:basedOn w:val="Numatytasispastraiposriftas"/>
    <w:rsid w:val="00DF0329"/>
  </w:style>
  <w:style w:type="character" w:styleId="Emfaz">
    <w:name w:val="Emphasis"/>
    <w:basedOn w:val="Numatytasispastraiposriftas"/>
    <w:uiPriority w:val="20"/>
    <w:qFormat/>
    <w:rsid w:val="00DF0329"/>
    <w:rPr>
      <w:b/>
      <w:bCs/>
      <w:i w:val="0"/>
      <w:iCs w:val="0"/>
    </w:rPr>
  </w:style>
  <w:style w:type="table" w:customStyle="1" w:styleId="GridTable5Dark-Accent11">
    <w:name w:val="Grid Table 5 Dark - Accent 11"/>
    <w:basedOn w:val="prastojilentel"/>
    <w:uiPriority w:val="50"/>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Pa6">
    <w:name w:val="Pa6"/>
    <w:basedOn w:val="Default"/>
    <w:next w:val="Default"/>
    <w:uiPriority w:val="99"/>
    <w:rsid w:val="009134CC"/>
    <w:pPr>
      <w:spacing w:line="201" w:lineRule="atLeast"/>
    </w:pPr>
    <w:rPr>
      <w:rFonts w:ascii="FranklinGothicDemiITC" w:eastAsia="Calibri" w:hAnsi="FranklinGothicDemiITC" w:cs="Times New Roman"/>
      <w:color w:val="auto"/>
      <w:lang w:val="en-GB"/>
    </w:rPr>
  </w:style>
  <w:style w:type="table" w:customStyle="1" w:styleId="TableGridLight1">
    <w:name w:val="Table Grid Light1"/>
    <w:basedOn w:val="prastojilentel"/>
    <w:uiPriority w:val="40"/>
    <w:rsid w:val="009134CC"/>
    <w:pPr>
      <w:spacing w:after="0" w:line="240" w:lineRule="auto"/>
    </w:pPr>
    <w:rPr>
      <w:rFonts w:ascii="Calibri" w:eastAsia="Calibri" w:hAnsi="Calibri" w:cs="Times New Roman"/>
      <w:sz w:val="20"/>
      <w:szCs w:val="20"/>
      <w:lang w:val="lt-LT"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11">
    <w:name w:val="List Table 2 - Accent 11"/>
    <w:basedOn w:val="prastojilentel"/>
    <w:uiPriority w:val="47"/>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11">
    <w:name w:val="List Table 6 Colorful - Accent 11"/>
    <w:basedOn w:val="prastojilentel"/>
    <w:uiPriority w:val="51"/>
    <w:rsid w:val="009134CC"/>
    <w:pPr>
      <w:spacing w:after="0" w:line="240" w:lineRule="auto"/>
    </w:pPr>
    <w:rPr>
      <w:rFonts w:ascii="Calibri" w:eastAsia="Calibri" w:hAnsi="Calibri" w:cs="Times New Roman"/>
      <w:color w:val="2E74B5"/>
      <w:sz w:val="20"/>
      <w:szCs w:val="20"/>
      <w:lang w:val="lt-LT" w:eastAsia="lt-LT"/>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
    <w:name w:val="Table Grid1"/>
    <w:basedOn w:val="prastojilentel"/>
    <w:next w:val="Lentelstinklelis"/>
    <w:uiPriority w:val="39"/>
    <w:rsid w:val="009134CC"/>
    <w:pPr>
      <w:spacing w:after="0" w:line="240" w:lineRule="auto"/>
    </w:pPr>
    <w:rPr>
      <w:rFonts w:ascii="Calibri" w:eastAsia="Calibri" w:hAnsi="Calibri"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0">
    <w:name w:val="Grid Table 5 Dark - Accent 11"/>
    <w:basedOn w:val="prastojilentel"/>
    <w:next w:val="GridTable5Dark-Accent11"/>
    <w:uiPriority w:val="50"/>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3-Accent11">
    <w:name w:val="List Table 3 - Accent 11"/>
    <w:basedOn w:val="prastojilentel"/>
    <w:uiPriority w:val="48"/>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GridTable6Colorful-Accent11">
    <w:name w:val="Grid Table 6 Colorful - Accent 11"/>
    <w:basedOn w:val="prastojilentel"/>
    <w:uiPriority w:val="51"/>
    <w:rsid w:val="009134CC"/>
    <w:pPr>
      <w:spacing w:after="0" w:line="240" w:lineRule="auto"/>
    </w:pPr>
    <w:rPr>
      <w:rFonts w:ascii="Calibri" w:eastAsia="Calibri" w:hAnsi="Calibri" w:cs="Times New Roman"/>
      <w:color w:val="2E74B5"/>
      <w:sz w:val="20"/>
      <w:szCs w:val="20"/>
      <w:lang w:val="lt-LT" w:eastAsia="lt-L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
    <w:name w:val="Table Grid2"/>
    <w:basedOn w:val="prastojilentel"/>
    <w:next w:val="Lentelstinklelis"/>
    <w:uiPriority w:val="39"/>
    <w:rsid w:val="009134CC"/>
    <w:pPr>
      <w:spacing w:after="0" w:line="240" w:lineRule="auto"/>
    </w:pPr>
    <w:rPr>
      <w:rFonts w:ascii="Calibri" w:eastAsia="Calibri" w:hAnsi="Calibri"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2">
    <w:name w:val="Grid Table 5 Dark - Accent 12"/>
    <w:basedOn w:val="prastojilentel"/>
    <w:next w:val="GridTable5Dark-Accent11"/>
    <w:uiPriority w:val="50"/>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prastasistinklapis">
    <w:name w:val="Normal (Web)"/>
    <w:basedOn w:val="prastasis"/>
    <w:uiPriority w:val="99"/>
    <w:semiHidden/>
    <w:unhideWhenUsed/>
    <w:rsid w:val="009134C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GridTable4-Accent11">
    <w:name w:val="Grid Table 4 - Accent 11"/>
    <w:basedOn w:val="prastojilentel"/>
    <w:uiPriority w:val="49"/>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3">
    <w:name w:val="Table Grid3"/>
    <w:basedOn w:val="prastojilentel"/>
    <w:next w:val="Lentelstinklelis"/>
    <w:uiPriority w:val="39"/>
    <w:rsid w:val="009134CC"/>
    <w:pPr>
      <w:spacing w:after="0" w:line="240" w:lineRule="auto"/>
    </w:pPr>
    <w:rPr>
      <w:rFonts w:ascii="Calibri" w:eastAsia="Calibri" w:hAnsi="Calibri"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3">
    <w:name w:val="Grid Table 5 Dark - Accent 13"/>
    <w:basedOn w:val="prastojilentel"/>
    <w:next w:val="GridTable5Dark-Accent11"/>
    <w:uiPriority w:val="50"/>
    <w:rsid w:val="009134CC"/>
    <w:pPr>
      <w:spacing w:after="0" w:line="240" w:lineRule="auto"/>
    </w:pPr>
    <w:rPr>
      <w:rFonts w:ascii="Calibri" w:eastAsia="Calibri" w:hAnsi="Calibri" w:cs="Times New Roman"/>
      <w:sz w:val="20"/>
      <w:szCs w:val="20"/>
      <w:lang w:val="lt-LT"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atn">
    <w:name w:val="atn"/>
    <w:basedOn w:val="Numatytasispastraiposriftas"/>
    <w:rsid w:val="000A1145"/>
  </w:style>
  <w:style w:type="table" w:styleId="viesussraas2parykinimas">
    <w:name w:val="Light List Accent 2"/>
    <w:basedOn w:val="prastojilentel"/>
    <w:uiPriority w:val="61"/>
    <w:rsid w:val="00CD5113"/>
    <w:pPr>
      <w:spacing w:after="0" w:line="240" w:lineRule="auto"/>
    </w:pPr>
    <w:rPr>
      <w:lang w:val="lt-L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prastasis1">
    <w:name w:val="Įprastasis1"/>
    <w:basedOn w:val="prastasis"/>
    <w:rsid w:val="00C86502"/>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customStyle="1" w:styleId="ti-art">
    <w:name w:val="ti-art"/>
    <w:basedOn w:val="prastasis"/>
    <w:uiPriority w:val="99"/>
    <w:rsid w:val="00C86502"/>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styleId="Turinys4">
    <w:name w:val="toc 4"/>
    <w:basedOn w:val="prastasis"/>
    <w:next w:val="prastasis"/>
    <w:autoRedefine/>
    <w:uiPriority w:val="39"/>
    <w:unhideWhenUsed/>
    <w:rsid w:val="00D85295"/>
    <w:pPr>
      <w:spacing w:after="100"/>
      <w:ind w:left="660"/>
    </w:pPr>
    <w:rPr>
      <w:rFonts w:eastAsiaTheme="minorEastAsia"/>
      <w:lang w:val="lt-LT" w:eastAsia="lt-LT"/>
    </w:rPr>
  </w:style>
  <w:style w:type="paragraph" w:styleId="Turinys5">
    <w:name w:val="toc 5"/>
    <w:basedOn w:val="prastasis"/>
    <w:next w:val="prastasis"/>
    <w:autoRedefine/>
    <w:uiPriority w:val="39"/>
    <w:unhideWhenUsed/>
    <w:rsid w:val="00D85295"/>
    <w:pPr>
      <w:spacing w:after="100"/>
      <w:ind w:left="880"/>
    </w:pPr>
    <w:rPr>
      <w:rFonts w:eastAsiaTheme="minorEastAsia"/>
      <w:lang w:val="lt-LT" w:eastAsia="lt-LT"/>
    </w:rPr>
  </w:style>
  <w:style w:type="paragraph" w:styleId="Turinys6">
    <w:name w:val="toc 6"/>
    <w:basedOn w:val="prastasis"/>
    <w:next w:val="prastasis"/>
    <w:autoRedefine/>
    <w:uiPriority w:val="39"/>
    <w:unhideWhenUsed/>
    <w:rsid w:val="00D85295"/>
    <w:pPr>
      <w:spacing w:after="100"/>
      <w:ind w:left="1100"/>
    </w:pPr>
    <w:rPr>
      <w:rFonts w:eastAsiaTheme="minorEastAsia"/>
      <w:lang w:val="lt-LT" w:eastAsia="lt-LT"/>
    </w:rPr>
  </w:style>
  <w:style w:type="paragraph" w:styleId="Turinys7">
    <w:name w:val="toc 7"/>
    <w:basedOn w:val="prastasis"/>
    <w:next w:val="prastasis"/>
    <w:autoRedefine/>
    <w:uiPriority w:val="39"/>
    <w:unhideWhenUsed/>
    <w:rsid w:val="00D85295"/>
    <w:pPr>
      <w:spacing w:after="100"/>
      <w:ind w:left="1320"/>
    </w:pPr>
    <w:rPr>
      <w:rFonts w:eastAsiaTheme="minorEastAsia"/>
      <w:lang w:val="lt-LT" w:eastAsia="lt-LT"/>
    </w:rPr>
  </w:style>
  <w:style w:type="paragraph" w:styleId="Turinys8">
    <w:name w:val="toc 8"/>
    <w:basedOn w:val="prastasis"/>
    <w:next w:val="prastasis"/>
    <w:autoRedefine/>
    <w:uiPriority w:val="39"/>
    <w:unhideWhenUsed/>
    <w:rsid w:val="00D85295"/>
    <w:pPr>
      <w:spacing w:after="100"/>
      <w:ind w:left="1540"/>
    </w:pPr>
    <w:rPr>
      <w:rFonts w:eastAsiaTheme="minorEastAsia"/>
      <w:lang w:val="lt-LT" w:eastAsia="lt-LT"/>
    </w:rPr>
  </w:style>
  <w:style w:type="paragraph" w:styleId="Turinys9">
    <w:name w:val="toc 9"/>
    <w:basedOn w:val="prastasis"/>
    <w:next w:val="prastasis"/>
    <w:autoRedefine/>
    <w:uiPriority w:val="39"/>
    <w:unhideWhenUsed/>
    <w:rsid w:val="00D85295"/>
    <w:pPr>
      <w:spacing w:after="100"/>
      <w:ind w:left="1760"/>
    </w:pPr>
    <w:rPr>
      <w:rFonts w:eastAsiaTheme="minorEastAsia"/>
      <w:lang w:val="lt-LT" w:eastAsia="lt-LT"/>
    </w:rPr>
  </w:style>
  <w:style w:type="table" w:styleId="1vidutinisspalvinimas2parykinimas">
    <w:name w:val="Medium Shading 1 Accent 2"/>
    <w:basedOn w:val="prastojilentel"/>
    <w:uiPriority w:val="63"/>
    <w:rsid w:val="009C68B5"/>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vidutinistinklelis2parykinimas">
    <w:name w:val="Medium Grid 1 Accent 2"/>
    <w:basedOn w:val="prastojilentel"/>
    <w:uiPriority w:val="67"/>
    <w:rsid w:val="00505F82"/>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vidutinistinklelis2parykinimas">
    <w:name w:val="Medium Grid 3 Accent 2"/>
    <w:basedOn w:val="prastojilentel"/>
    <w:uiPriority w:val="69"/>
    <w:rsid w:val="00505F8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vidutinissraas2parykinimas">
    <w:name w:val="Medium List 1 Accent 2"/>
    <w:basedOn w:val="prastojilentel"/>
    <w:uiPriority w:val="65"/>
    <w:rsid w:val="00505F82"/>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styleId="Betarp">
    <w:name w:val="No Spacing"/>
    <w:link w:val="BetarpDiagrama"/>
    <w:uiPriority w:val="1"/>
    <w:qFormat/>
    <w:rsid w:val="00BF0197"/>
    <w:pPr>
      <w:spacing w:after="0" w:line="240" w:lineRule="auto"/>
    </w:pPr>
    <w:rPr>
      <w:rFonts w:eastAsiaTheme="minorEastAsia"/>
      <w:lang w:val="lt-LT"/>
    </w:rPr>
  </w:style>
  <w:style w:type="character" w:customStyle="1" w:styleId="BetarpDiagrama">
    <w:name w:val="Be tarpų Diagrama"/>
    <w:basedOn w:val="Numatytasispastraiposriftas"/>
    <w:link w:val="Betarp"/>
    <w:uiPriority w:val="1"/>
    <w:rsid w:val="00BF0197"/>
    <w:rPr>
      <w:rFonts w:eastAsiaTheme="minorEastAsia"/>
      <w:lang w:val="lt-LT"/>
    </w:rPr>
  </w:style>
  <w:style w:type="paragraph" w:styleId="Pataisymai">
    <w:name w:val="Revision"/>
    <w:hidden/>
    <w:uiPriority w:val="99"/>
    <w:semiHidden/>
    <w:rsid w:val="00DF3A8E"/>
    <w:pPr>
      <w:spacing w:after="0" w:line="240" w:lineRule="auto"/>
    </w:pPr>
  </w:style>
  <w:style w:type="paragraph" w:styleId="Porat">
    <w:name w:val="footer"/>
    <w:basedOn w:val="prastasis"/>
    <w:link w:val="PoratDiagrama"/>
    <w:uiPriority w:val="99"/>
    <w:unhideWhenUsed/>
    <w:rsid w:val="002E559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2E5596"/>
  </w:style>
  <w:style w:type="table" w:styleId="1vidutinisspalvinimas6parykinimas">
    <w:name w:val="Medium Shading 1 Accent 6"/>
    <w:basedOn w:val="prastojilentel"/>
    <w:uiPriority w:val="63"/>
    <w:rsid w:val="00FD234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viesustinklelis1parykinimas">
    <w:name w:val="Light Grid Accent 1"/>
    <w:basedOn w:val="prastojilentel"/>
    <w:uiPriority w:val="62"/>
    <w:rsid w:val="00FD234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viesustinklelis2parykinimas">
    <w:name w:val="Light Grid Accent 2"/>
    <w:basedOn w:val="prastojilentel"/>
    <w:uiPriority w:val="62"/>
    <w:rsid w:val="00FD234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palvotassraas2parykinimas">
    <w:name w:val="Colorful List Accent 2"/>
    <w:basedOn w:val="prastojilentel"/>
    <w:uiPriority w:val="72"/>
    <w:rsid w:val="0063390D"/>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styleId="Iliustracijsraas">
    <w:name w:val="table of figures"/>
    <w:basedOn w:val="prastasis"/>
    <w:next w:val="prastasis"/>
    <w:uiPriority w:val="99"/>
    <w:unhideWhenUsed/>
    <w:rsid w:val="001F5C99"/>
    <w:pPr>
      <w:spacing w:after="0"/>
    </w:pPr>
  </w:style>
  <w:style w:type="table" w:customStyle="1" w:styleId="viesussraas2parykinimas1">
    <w:name w:val="Šviesus sąrašas – 2 paryškinimas1"/>
    <w:basedOn w:val="prastojilentel"/>
    <w:next w:val="viesussraas2parykinimas"/>
    <w:uiPriority w:val="61"/>
    <w:rsid w:val="00765F40"/>
    <w:pPr>
      <w:spacing w:after="0" w:line="240" w:lineRule="auto"/>
    </w:pPr>
    <w:rPr>
      <w:lang w:val="lt-L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viesussraas2parykinimas2">
    <w:name w:val="Šviesus sąrašas – 2 paryškinimas2"/>
    <w:basedOn w:val="prastojilentel"/>
    <w:next w:val="viesussraas2parykinimas"/>
    <w:uiPriority w:val="61"/>
    <w:rsid w:val="006C0CDA"/>
    <w:pPr>
      <w:spacing w:after="0" w:line="240" w:lineRule="auto"/>
    </w:pPr>
    <w:rPr>
      <w:lang w:val="lt-L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viesussraas2parykinimas3">
    <w:name w:val="Šviesus sąrašas – 2 paryškinimas3"/>
    <w:basedOn w:val="prastojilentel"/>
    <w:next w:val="viesussraas2parykinimas"/>
    <w:uiPriority w:val="61"/>
    <w:rsid w:val="00210E9F"/>
    <w:pPr>
      <w:spacing w:after="0" w:line="240" w:lineRule="auto"/>
    </w:pPr>
    <w:rPr>
      <w:lang w:val="lt-L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viesussraas3parykinimas">
    <w:name w:val="Light List Accent 3"/>
    <w:basedOn w:val="prastojilentel"/>
    <w:uiPriority w:val="61"/>
    <w:rsid w:val="002A576D"/>
    <w:pPr>
      <w:spacing w:after="0" w:line="240" w:lineRule="auto"/>
    </w:pPr>
    <w:rPr>
      <w:lang w:val="lt-LT"/>
    </w:rPr>
    <w:tblPr>
      <w:tblStyleRowBandSize w:val="1"/>
      <w:tblStyleColBandSize w:val="1"/>
      <w:tblInd w:w="0" w:type="nil"/>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60904">
      <w:bodyDiv w:val="1"/>
      <w:marLeft w:val="0"/>
      <w:marRight w:val="0"/>
      <w:marTop w:val="0"/>
      <w:marBottom w:val="0"/>
      <w:divBdr>
        <w:top w:val="none" w:sz="0" w:space="0" w:color="auto"/>
        <w:left w:val="none" w:sz="0" w:space="0" w:color="auto"/>
        <w:bottom w:val="none" w:sz="0" w:space="0" w:color="auto"/>
        <w:right w:val="none" w:sz="0" w:space="0" w:color="auto"/>
      </w:divBdr>
    </w:div>
    <w:div w:id="83890990">
      <w:bodyDiv w:val="1"/>
      <w:marLeft w:val="0"/>
      <w:marRight w:val="0"/>
      <w:marTop w:val="0"/>
      <w:marBottom w:val="0"/>
      <w:divBdr>
        <w:top w:val="none" w:sz="0" w:space="0" w:color="auto"/>
        <w:left w:val="none" w:sz="0" w:space="0" w:color="auto"/>
        <w:bottom w:val="none" w:sz="0" w:space="0" w:color="auto"/>
        <w:right w:val="none" w:sz="0" w:space="0" w:color="auto"/>
      </w:divBdr>
    </w:div>
    <w:div w:id="101849349">
      <w:bodyDiv w:val="1"/>
      <w:marLeft w:val="0"/>
      <w:marRight w:val="0"/>
      <w:marTop w:val="0"/>
      <w:marBottom w:val="0"/>
      <w:divBdr>
        <w:top w:val="none" w:sz="0" w:space="0" w:color="auto"/>
        <w:left w:val="none" w:sz="0" w:space="0" w:color="auto"/>
        <w:bottom w:val="none" w:sz="0" w:space="0" w:color="auto"/>
        <w:right w:val="none" w:sz="0" w:space="0" w:color="auto"/>
      </w:divBdr>
    </w:div>
    <w:div w:id="123624146">
      <w:bodyDiv w:val="1"/>
      <w:marLeft w:val="0"/>
      <w:marRight w:val="0"/>
      <w:marTop w:val="0"/>
      <w:marBottom w:val="0"/>
      <w:divBdr>
        <w:top w:val="none" w:sz="0" w:space="0" w:color="auto"/>
        <w:left w:val="none" w:sz="0" w:space="0" w:color="auto"/>
        <w:bottom w:val="none" w:sz="0" w:space="0" w:color="auto"/>
        <w:right w:val="none" w:sz="0" w:space="0" w:color="auto"/>
      </w:divBdr>
    </w:div>
    <w:div w:id="128598577">
      <w:bodyDiv w:val="1"/>
      <w:marLeft w:val="0"/>
      <w:marRight w:val="0"/>
      <w:marTop w:val="0"/>
      <w:marBottom w:val="0"/>
      <w:divBdr>
        <w:top w:val="none" w:sz="0" w:space="0" w:color="auto"/>
        <w:left w:val="none" w:sz="0" w:space="0" w:color="auto"/>
        <w:bottom w:val="none" w:sz="0" w:space="0" w:color="auto"/>
        <w:right w:val="none" w:sz="0" w:space="0" w:color="auto"/>
      </w:divBdr>
    </w:div>
    <w:div w:id="223878127">
      <w:bodyDiv w:val="1"/>
      <w:marLeft w:val="0"/>
      <w:marRight w:val="0"/>
      <w:marTop w:val="0"/>
      <w:marBottom w:val="0"/>
      <w:divBdr>
        <w:top w:val="none" w:sz="0" w:space="0" w:color="auto"/>
        <w:left w:val="none" w:sz="0" w:space="0" w:color="auto"/>
        <w:bottom w:val="none" w:sz="0" w:space="0" w:color="auto"/>
        <w:right w:val="none" w:sz="0" w:space="0" w:color="auto"/>
      </w:divBdr>
    </w:div>
    <w:div w:id="275067621">
      <w:bodyDiv w:val="1"/>
      <w:marLeft w:val="0"/>
      <w:marRight w:val="0"/>
      <w:marTop w:val="0"/>
      <w:marBottom w:val="0"/>
      <w:divBdr>
        <w:top w:val="none" w:sz="0" w:space="0" w:color="auto"/>
        <w:left w:val="none" w:sz="0" w:space="0" w:color="auto"/>
        <w:bottom w:val="none" w:sz="0" w:space="0" w:color="auto"/>
        <w:right w:val="none" w:sz="0" w:space="0" w:color="auto"/>
      </w:divBdr>
    </w:div>
    <w:div w:id="305168331">
      <w:bodyDiv w:val="1"/>
      <w:marLeft w:val="0"/>
      <w:marRight w:val="0"/>
      <w:marTop w:val="0"/>
      <w:marBottom w:val="0"/>
      <w:divBdr>
        <w:top w:val="none" w:sz="0" w:space="0" w:color="auto"/>
        <w:left w:val="none" w:sz="0" w:space="0" w:color="auto"/>
        <w:bottom w:val="none" w:sz="0" w:space="0" w:color="auto"/>
        <w:right w:val="none" w:sz="0" w:space="0" w:color="auto"/>
      </w:divBdr>
    </w:div>
    <w:div w:id="314994216">
      <w:bodyDiv w:val="1"/>
      <w:marLeft w:val="0"/>
      <w:marRight w:val="0"/>
      <w:marTop w:val="0"/>
      <w:marBottom w:val="0"/>
      <w:divBdr>
        <w:top w:val="none" w:sz="0" w:space="0" w:color="auto"/>
        <w:left w:val="none" w:sz="0" w:space="0" w:color="auto"/>
        <w:bottom w:val="none" w:sz="0" w:space="0" w:color="auto"/>
        <w:right w:val="none" w:sz="0" w:space="0" w:color="auto"/>
      </w:divBdr>
    </w:div>
    <w:div w:id="320079912">
      <w:bodyDiv w:val="1"/>
      <w:marLeft w:val="0"/>
      <w:marRight w:val="0"/>
      <w:marTop w:val="0"/>
      <w:marBottom w:val="0"/>
      <w:divBdr>
        <w:top w:val="none" w:sz="0" w:space="0" w:color="auto"/>
        <w:left w:val="none" w:sz="0" w:space="0" w:color="auto"/>
        <w:bottom w:val="none" w:sz="0" w:space="0" w:color="auto"/>
        <w:right w:val="none" w:sz="0" w:space="0" w:color="auto"/>
      </w:divBdr>
    </w:div>
    <w:div w:id="331226552">
      <w:bodyDiv w:val="1"/>
      <w:marLeft w:val="0"/>
      <w:marRight w:val="0"/>
      <w:marTop w:val="0"/>
      <w:marBottom w:val="0"/>
      <w:divBdr>
        <w:top w:val="none" w:sz="0" w:space="0" w:color="auto"/>
        <w:left w:val="none" w:sz="0" w:space="0" w:color="auto"/>
        <w:bottom w:val="none" w:sz="0" w:space="0" w:color="auto"/>
        <w:right w:val="none" w:sz="0" w:space="0" w:color="auto"/>
      </w:divBdr>
    </w:div>
    <w:div w:id="351346109">
      <w:bodyDiv w:val="1"/>
      <w:marLeft w:val="0"/>
      <w:marRight w:val="0"/>
      <w:marTop w:val="0"/>
      <w:marBottom w:val="0"/>
      <w:divBdr>
        <w:top w:val="none" w:sz="0" w:space="0" w:color="auto"/>
        <w:left w:val="none" w:sz="0" w:space="0" w:color="auto"/>
        <w:bottom w:val="none" w:sz="0" w:space="0" w:color="auto"/>
        <w:right w:val="none" w:sz="0" w:space="0" w:color="auto"/>
      </w:divBdr>
    </w:div>
    <w:div w:id="380591490">
      <w:bodyDiv w:val="1"/>
      <w:marLeft w:val="0"/>
      <w:marRight w:val="0"/>
      <w:marTop w:val="0"/>
      <w:marBottom w:val="0"/>
      <w:divBdr>
        <w:top w:val="none" w:sz="0" w:space="0" w:color="auto"/>
        <w:left w:val="none" w:sz="0" w:space="0" w:color="auto"/>
        <w:bottom w:val="none" w:sz="0" w:space="0" w:color="auto"/>
        <w:right w:val="none" w:sz="0" w:space="0" w:color="auto"/>
      </w:divBdr>
    </w:div>
    <w:div w:id="410086216">
      <w:bodyDiv w:val="1"/>
      <w:marLeft w:val="0"/>
      <w:marRight w:val="0"/>
      <w:marTop w:val="0"/>
      <w:marBottom w:val="0"/>
      <w:divBdr>
        <w:top w:val="none" w:sz="0" w:space="0" w:color="auto"/>
        <w:left w:val="none" w:sz="0" w:space="0" w:color="auto"/>
        <w:bottom w:val="none" w:sz="0" w:space="0" w:color="auto"/>
        <w:right w:val="none" w:sz="0" w:space="0" w:color="auto"/>
      </w:divBdr>
    </w:div>
    <w:div w:id="427392589">
      <w:bodyDiv w:val="1"/>
      <w:marLeft w:val="0"/>
      <w:marRight w:val="0"/>
      <w:marTop w:val="0"/>
      <w:marBottom w:val="0"/>
      <w:divBdr>
        <w:top w:val="none" w:sz="0" w:space="0" w:color="auto"/>
        <w:left w:val="none" w:sz="0" w:space="0" w:color="auto"/>
        <w:bottom w:val="none" w:sz="0" w:space="0" w:color="auto"/>
        <w:right w:val="none" w:sz="0" w:space="0" w:color="auto"/>
      </w:divBdr>
    </w:div>
    <w:div w:id="429812319">
      <w:bodyDiv w:val="1"/>
      <w:marLeft w:val="0"/>
      <w:marRight w:val="0"/>
      <w:marTop w:val="0"/>
      <w:marBottom w:val="0"/>
      <w:divBdr>
        <w:top w:val="none" w:sz="0" w:space="0" w:color="auto"/>
        <w:left w:val="none" w:sz="0" w:space="0" w:color="auto"/>
        <w:bottom w:val="none" w:sz="0" w:space="0" w:color="auto"/>
        <w:right w:val="none" w:sz="0" w:space="0" w:color="auto"/>
      </w:divBdr>
    </w:div>
    <w:div w:id="444471520">
      <w:bodyDiv w:val="1"/>
      <w:marLeft w:val="0"/>
      <w:marRight w:val="0"/>
      <w:marTop w:val="0"/>
      <w:marBottom w:val="0"/>
      <w:divBdr>
        <w:top w:val="none" w:sz="0" w:space="0" w:color="auto"/>
        <w:left w:val="none" w:sz="0" w:space="0" w:color="auto"/>
        <w:bottom w:val="none" w:sz="0" w:space="0" w:color="auto"/>
        <w:right w:val="none" w:sz="0" w:space="0" w:color="auto"/>
      </w:divBdr>
    </w:div>
    <w:div w:id="483399798">
      <w:bodyDiv w:val="1"/>
      <w:marLeft w:val="0"/>
      <w:marRight w:val="0"/>
      <w:marTop w:val="0"/>
      <w:marBottom w:val="0"/>
      <w:divBdr>
        <w:top w:val="none" w:sz="0" w:space="0" w:color="auto"/>
        <w:left w:val="none" w:sz="0" w:space="0" w:color="auto"/>
        <w:bottom w:val="none" w:sz="0" w:space="0" w:color="auto"/>
        <w:right w:val="none" w:sz="0" w:space="0" w:color="auto"/>
      </w:divBdr>
    </w:div>
    <w:div w:id="483863681">
      <w:bodyDiv w:val="1"/>
      <w:marLeft w:val="0"/>
      <w:marRight w:val="0"/>
      <w:marTop w:val="0"/>
      <w:marBottom w:val="0"/>
      <w:divBdr>
        <w:top w:val="none" w:sz="0" w:space="0" w:color="auto"/>
        <w:left w:val="none" w:sz="0" w:space="0" w:color="auto"/>
        <w:bottom w:val="none" w:sz="0" w:space="0" w:color="auto"/>
        <w:right w:val="none" w:sz="0" w:space="0" w:color="auto"/>
      </w:divBdr>
    </w:div>
    <w:div w:id="490218479">
      <w:bodyDiv w:val="1"/>
      <w:marLeft w:val="0"/>
      <w:marRight w:val="0"/>
      <w:marTop w:val="0"/>
      <w:marBottom w:val="0"/>
      <w:divBdr>
        <w:top w:val="none" w:sz="0" w:space="0" w:color="auto"/>
        <w:left w:val="none" w:sz="0" w:space="0" w:color="auto"/>
        <w:bottom w:val="none" w:sz="0" w:space="0" w:color="auto"/>
        <w:right w:val="none" w:sz="0" w:space="0" w:color="auto"/>
      </w:divBdr>
    </w:div>
    <w:div w:id="498619942">
      <w:bodyDiv w:val="1"/>
      <w:marLeft w:val="0"/>
      <w:marRight w:val="0"/>
      <w:marTop w:val="0"/>
      <w:marBottom w:val="0"/>
      <w:divBdr>
        <w:top w:val="none" w:sz="0" w:space="0" w:color="auto"/>
        <w:left w:val="none" w:sz="0" w:space="0" w:color="auto"/>
        <w:bottom w:val="none" w:sz="0" w:space="0" w:color="auto"/>
        <w:right w:val="none" w:sz="0" w:space="0" w:color="auto"/>
      </w:divBdr>
    </w:div>
    <w:div w:id="539242814">
      <w:bodyDiv w:val="1"/>
      <w:marLeft w:val="0"/>
      <w:marRight w:val="0"/>
      <w:marTop w:val="0"/>
      <w:marBottom w:val="0"/>
      <w:divBdr>
        <w:top w:val="none" w:sz="0" w:space="0" w:color="auto"/>
        <w:left w:val="none" w:sz="0" w:space="0" w:color="auto"/>
        <w:bottom w:val="none" w:sz="0" w:space="0" w:color="auto"/>
        <w:right w:val="none" w:sz="0" w:space="0" w:color="auto"/>
      </w:divBdr>
    </w:div>
    <w:div w:id="566259501">
      <w:bodyDiv w:val="1"/>
      <w:marLeft w:val="0"/>
      <w:marRight w:val="0"/>
      <w:marTop w:val="0"/>
      <w:marBottom w:val="0"/>
      <w:divBdr>
        <w:top w:val="none" w:sz="0" w:space="0" w:color="auto"/>
        <w:left w:val="none" w:sz="0" w:space="0" w:color="auto"/>
        <w:bottom w:val="none" w:sz="0" w:space="0" w:color="auto"/>
        <w:right w:val="none" w:sz="0" w:space="0" w:color="auto"/>
      </w:divBdr>
    </w:div>
    <w:div w:id="573707133">
      <w:bodyDiv w:val="1"/>
      <w:marLeft w:val="0"/>
      <w:marRight w:val="0"/>
      <w:marTop w:val="0"/>
      <w:marBottom w:val="0"/>
      <w:divBdr>
        <w:top w:val="none" w:sz="0" w:space="0" w:color="auto"/>
        <w:left w:val="none" w:sz="0" w:space="0" w:color="auto"/>
        <w:bottom w:val="none" w:sz="0" w:space="0" w:color="auto"/>
        <w:right w:val="none" w:sz="0" w:space="0" w:color="auto"/>
      </w:divBdr>
    </w:div>
    <w:div w:id="667681009">
      <w:bodyDiv w:val="1"/>
      <w:marLeft w:val="0"/>
      <w:marRight w:val="0"/>
      <w:marTop w:val="0"/>
      <w:marBottom w:val="0"/>
      <w:divBdr>
        <w:top w:val="none" w:sz="0" w:space="0" w:color="auto"/>
        <w:left w:val="none" w:sz="0" w:space="0" w:color="auto"/>
        <w:bottom w:val="none" w:sz="0" w:space="0" w:color="auto"/>
        <w:right w:val="none" w:sz="0" w:space="0" w:color="auto"/>
      </w:divBdr>
    </w:div>
    <w:div w:id="675814221">
      <w:bodyDiv w:val="1"/>
      <w:marLeft w:val="0"/>
      <w:marRight w:val="0"/>
      <w:marTop w:val="0"/>
      <w:marBottom w:val="0"/>
      <w:divBdr>
        <w:top w:val="none" w:sz="0" w:space="0" w:color="auto"/>
        <w:left w:val="none" w:sz="0" w:space="0" w:color="auto"/>
        <w:bottom w:val="none" w:sz="0" w:space="0" w:color="auto"/>
        <w:right w:val="none" w:sz="0" w:space="0" w:color="auto"/>
      </w:divBdr>
    </w:div>
    <w:div w:id="676080419">
      <w:bodyDiv w:val="1"/>
      <w:marLeft w:val="0"/>
      <w:marRight w:val="0"/>
      <w:marTop w:val="0"/>
      <w:marBottom w:val="0"/>
      <w:divBdr>
        <w:top w:val="none" w:sz="0" w:space="0" w:color="auto"/>
        <w:left w:val="none" w:sz="0" w:space="0" w:color="auto"/>
        <w:bottom w:val="none" w:sz="0" w:space="0" w:color="auto"/>
        <w:right w:val="none" w:sz="0" w:space="0" w:color="auto"/>
      </w:divBdr>
    </w:div>
    <w:div w:id="680548129">
      <w:bodyDiv w:val="1"/>
      <w:marLeft w:val="0"/>
      <w:marRight w:val="0"/>
      <w:marTop w:val="0"/>
      <w:marBottom w:val="0"/>
      <w:divBdr>
        <w:top w:val="none" w:sz="0" w:space="0" w:color="auto"/>
        <w:left w:val="none" w:sz="0" w:space="0" w:color="auto"/>
        <w:bottom w:val="none" w:sz="0" w:space="0" w:color="auto"/>
        <w:right w:val="none" w:sz="0" w:space="0" w:color="auto"/>
      </w:divBdr>
    </w:div>
    <w:div w:id="691494952">
      <w:bodyDiv w:val="1"/>
      <w:marLeft w:val="0"/>
      <w:marRight w:val="0"/>
      <w:marTop w:val="0"/>
      <w:marBottom w:val="0"/>
      <w:divBdr>
        <w:top w:val="none" w:sz="0" w:space="0" w:color="auto"/>
        <w:left w:val="none" w:sz="0" w:space="0" w:color="auto"/>
        <w:bottom w:val="none" w:sz="0" w:space="0" w:color="auto"/>
        <w:right w:val="none" w:sz="0" w:space="0" w:color="auto"/>
      </w:divBdr>
    </w:div>
    <w:div w:id="749352713">
      <w:bodyDiv w:val="1"/>
      <w:marLeft w:val="0"/>
      <w:marRight w:val="0"/>
      <w:marTop w:val="0"/>
      <w:marBottom w:val="0"/>
      <w:divBdr>
        <w:top w:val="none" w:sz="0" w:space="0" w:color="auto"/>
        <w:left w:val="none" w:sz="0" w:space="0" w:color="auto"/>
        <w:bottom w:val="none" w:sz="0" w:space="0" w:color="auto"/>
        <w:right w:val="none" w:sz="0" w:space="0" w:color="auto"/>
      </w:divBdr>
    </w:div>
    <w:div w:id="782576698">
      <w:bodyDiv w:val="1"/>
      <w:marLeft w:val="0"/>
      <w:marRight w:val="0"/>
      <w:marTop w:val="0"/>
      <w:marBottom w:val="0"/>
      <w:divBdr>
        <w:top w:val="none" w:sz="0" w:space="0" w:color="auto"/>
        <w:left w:val="none" w:sz="0" w:space="0" w:color="auto"/>
        <w:bottom w:val="none" w:sz="0" w:space="0" w:color="auto"/>
        <w:right w:val="none" w:sz="0" w:space="0" w:color="auto"/>
      </w:divBdr>
    </w:div>
    <w:div w:id="798229612">
      <w:bodyDiv w:val="1"/>
      <w:marLeft w:val="0"/>
      <w:marRight w:val="0"/>
      <w:marTop w:val="0"/>
      <w:marBottom w:val="0"/>
      <w:divBdr>
        <w:top w:val="none" w:sz="0" w:space="0" w:color="auto"/>
        <w:left w:val="none" w:sz="0" w:space="0" w:color="auto"/>
        <w:bottom w:val="none" w:sz="0" w:space="0" w:color="auto"/>
        <w:right w:val="none" w:sz="0" w:space="0" w:color="auto"/>
      </w:divBdr>
    </w:div>
    <w:div w:id="800225148">
      <w:bodyDiv w:val="1"/>
      <w:marLeft w:val="0"/>
      <w:marRight w:val="0"/>
      <w:marTop w:val="0"/>
      <w:marBottom w:val="0"/>
      <w:divBdr>
        <w:top w:val="none" w:sz="0" w:space="0" w:color="auto"/>
        <w:left w:val="none" w:sz="0" w:space="0" w:color="auto"/>
        <w:bottom w:val="none" w:sz="0" w:space="0" w:color="auto"/>
        <w:right w:val="none" w:sz="0" w:space="0" w:color="auto"/>
      </w:divBdr>
    </w:div>
    <w:div w:id="868252934">
      <w:bodyDiv w:val="1"/>
      <w:marLeft w:val="0"/>
      <w:marRight w:val="0"/>
      <w:marTop w:val="0"/>
      <w:marBottom w:val="0"/>
      <w:divBdr>
        <w:top w:val="none" w:sz="0" w:space="0" w:color="auto"/>
        <w:left w:val="none" w:sz="0" w:space="0" w:color="auto"/>
        <w:bottom w:val="none" w:sz="0" w:space="0" w:color="auto"/>
        <w:right w:val="none" w:sz="0" w:space="0" w:color="auto"/>
      </w:divBdr>
    </w:div>
    <w:div w:id="883257028">
      <w:bodyDiv w:val="1"/>
      <w:marLeft w:val="0"/>
      <w:marRight w:val="0"/>
      <w:marTop w:val="0"/>
      <w:marBottom w:val="0"/>
      <w:divBdr>
        <w:top w:val="none" w:sz="0" w:space="0" w:color="auto"/>
        <w:left w:val="none" w:sz="0" w:space="0" w:color="auto"/>
        <w:bottom w:val="none" w:sz="0" w:space="0" w:color="auto"/>
        <w:right w:val="none" w:sz="0" w:space="0" w:color="auto"/>
      </w:divBdr>
    </w:div>
    <w:div w:id="1048533408">
      <w:bodyDiv w:val="1"/>
      <w:marLeft w:val="0"/>
      <w:marRight w:val="0"/>
      <w:marTop w:val="0"/>
      <w:marBottom w:val="0"/>
      <w:divBdr>
        <w:top w:val="none" w:sz="0" w:space="0" w:color="auto"/>
        <w:left w:val="none" w:sz="0" w:space="0" w:color="auto"/>
        <w:bottom w:val="none" w:sz="0" w:space="0" w:color="auto"/>
        <w:right w:val="none" w:sz="0" w:space="0" w:color="auto"/>
      </w:divBdr>
    </w:div>
    <w:div w:id="1057581883">
      <w:bodyDiv w:val="1"/>
      <w:marLeft w:val="0"/>
      <w:marRight w:val="0"/>
      <w:marTop w:val="0"/>
      <w:marBottom w:val="0"/>
      <w:divBdr>
        <w:top w:val="none" w:sz="0" w:space="0" w:color="auto"/>
        <w:left w:val="none" w:sz="0" w:space="0" w:color="auto"/>
        <w:bottom w:val="none" w:sz="0" w:space="0" w:color="auto"/>
        <w:right w:val="none" w:sz="0" w:space="0" w:color="auto"/>
      </w:divBdr>
    </w:div>
    <w:div w:id="1107888647">
      <w:bodyDiv w:val="1"/>
      <w:marLeft w:val="0"/>
      <w:marRight w:val="0"/>
      <w:marTop w:val="0"/>
      <w:marBottom w:val="0"/>
      <w:divBdr>
        <w:top w:val="none" w:sz="0" w:space="0" w:color="auto"/>
        <w:left w:val="none" w:sz="0" w:space="0" w:color="auto"/>
        <w:bottom w:val="none" w:sz="0" w:space="0" w:color="auto"/>
        <w:right w:val="none" w:sz="0" w:space="0" w:color="auto"/>
      </w:divBdr>
    </w:div>
    <w:div w:id="1201430885">
      <w:bodyDiv w:val="1"/>
      <w:marLeft w:val="0"/>
      <w:marRight w:val="0"/>
      <w:marTop w:val="0"/>
      <w:marBottom w:val="0"/>
      <w:divBdr>
        <w:top w:val="none" w:sz="0" w:space="0" w:color="auto"/>
        <w:left w:val="none" w:sz="0" w:space="0" w:color="auto"/>
        <w:bottom w:val="none" w:sz="0" w:space="0" w:color="auto"/>
        <w:right w:val="none" w:sz="0" w:space="0" w:color="auto"/>
      </w:divBdr>
    </w:div>
    <w:div w:id="1233808564">
      <w:bodyDiv w:val="1"/>
      <w:marLeft w:val="0"/>
      <w:marRight w:val="0"/>
      <w:marTop w:val="0"/>
      <w:marBottom w:val="0"/>
      <w:divBdr>
        <w:top w:val="none" w:sz="0" w:space="0" w:color="auto"/>
        <w:left w:val="none" w:sz="0" w:space="0" w:color="auto"/>
        <w:bottom w:val="none" w:sz="0" w:space="0" w:color="auto"/>
        <w:right w:val="none" w:sz="0" w:space="0" w:color="auto"/>
      </w:divBdr>
    </w:div>
    <w:div w:id="1287545879">
      <w:bodyDiv w:val="1"/>
      <w:marLeft w:val="0"/>
      <w:marRight w:val="0"/>
      <w:marTop w:val="0"/>
      <w:marBottom w:val="0"/>
      <w:divBdr>
        <w:top w:val="none" w:sz="0" w:space="0" w:color="auto"/>
        <w:left w:val="none" w:sz="0" w:space="0" w:color="auto"/>
        <w:bottom w:val="none" w:sz="0" w:space="0" w:color="auto"/>
        <w:right w:val="none" w:sz="0" w:space="0" w:color="auto"/>
      </w:divBdr>
    </w:div>
    <w:div w:id="1293026114">
      <w:bodyDiv w:val="1"/>
      <w:marLeft w:val="0"/>
      <w:marRight w:val="0"/>
      <w:marTop w:val="0"/>
      <w:marBottom w:val="0"/>
      <w:divBdr>
        <w:top w:val="none" w:sz="0" w:space="0" w:color="auto"/>
        <w:left w:val="none" w:sz="0" w:space="0" w:color="auto"/>
        <w:bottom w:val="none" w:sz="0" w:space="0" w:color="auto"/>
        <w:right w:val="none" w:sz="0" w:space="0" w:color="auto"/>
      </w:divBdr>
    </w:div>
    <w:div w:id="1382047992">
      <w:bodyDiv w:val="1"/>
      <w:marLeft w:val="0"/>
      <w:marRight w:val="0"/>
      <w:marTop w:val="0"/>
      <w:marBottom w:val="0"/>
      <w:divBdr>
        <w:top w:val="none" w:sz="0" w:space="0" w:color="auto"/>
        <w:left w:val="none" w:sz="0" w:space="0" w:color="auto"/>
        <w:bottom w:val="none" w:sz="0" w:space="0" w:color="auto"/>
        <w:right w:val="none" w:sz="0" w:space="0" w:color="auto"/>
      </w:divBdr>
    </w:div>
    <w:div w:id="1416587513">
      <w:bodyDiv w:val="1"/>
      <w:marLeft w:val="0"/>
      <w:marRight w:val="0"/>
      <w:marTop w:val="0"/>
      <w:marBottom w:val="0"/>
      <w:divBdr>
        <w:top w:val="none" w:sz="0" w:space="0" w:color="auto"/>
        <w:left w:val="none" w:sz="0" w:space="0" w:color="auto"/>
        <w:bottom w:val="none" w:sz="0" w:space="0" w:color="auto"/>
        <w:right w:val="none" w:sz="0" w:space="0" w:color="auto"/>
      </w:divBdr>
    </w:div>
    <w:div w:id="1492136458">
      <w:bodyDiv w:val="1"/>
      <w:marLeft w:val="0"/>
      <w:marRight w:val="0"/>
      <w:marTop w:val="0"/>
      <w:marBottom w:val="0"/>
      <w:divBdr>
        <w:top w:val="none" w:sz="0" w:space="0" w:color="auto"/>
        <w:left w:val="none" w:sz="0" w:space="0" w:color="auto"/>
        <w:bottom w:val="none" w:sz="0" w:space="0" w:color="auto"/>
        <w:right w:val="none" w:sz="0" w:space="0" w:color="auto"/>
      </w:divBdr>
    </w:div>
    <w:div w:id="1495800518">
      <w:bodyDiv w:val="1"/>
      <w:marLeft w:val="0"/>
      <w:marRight w:val="0"/>
      <w:marTop w:val="0"/>
      <w:marBottom w:val="0"/>
      <w:divBdr>
        <w:top w:val="none" w:sz="0" w:space="0" w:color="auto"/>
        <w:left w:val="none" w:sz="0" w:space="0" w:color="auto"/>
        <w:bottom w:val="none" w:sz="0" w:space="0" w:color="auto"/>
        <w:right w:val="none" w:sz="0" w:space="0" w:color="auto"/>
      </w:divBdr>
    </w:div>
    <w:div w:id="1503348334">
      <w:bodyDiv w:val="1"/>
      <w:marLeft w:val="0"/>
      <w:marRight w:val="0"/>
      <w:marTop w:val="0"/>
      <w:marBottom w:val="0"/>
      <w:divBdr>
        <w:top w:val="none" w:sz="0" w:space="0" w:color="auto"/>
        <w:left w:val="none" w:sz="0" w:space="0" w:color="auto"/>
        <w:bottom w:val="none" w:sz="0" w:space="0" w:color="auto"/>
        <w:right w:val="none" w:sz="0" w:space="0" w:color="auto"/>
      </w:divBdr>
    </w:div>
    <w:div w:id="1524708670">
      <w:bodyDiv w:val="1"/>
      <w:marLeft w:val="0"/>
      <w:marRight w:val="0"/>
      <w:marTop w:val="0"/>
      <w:marBottom w:val="0"/>
      <w:divBdr>
        <w:top w:val="none" w:sz="0" w:space="0" w:color="auto"/>
        <w:left w:val="none" w:sz="0" w:space="0" w:color="auto"/>
        <w:bottom w:val="none" w:sz="0" w:space="0" w:color="auto"/>
        <w:right w:val="none" w:sz="0" w:space="0" w:color="auto"/>
      </w:divBdr>
    </w:div>
    <w:div w:id="1540194224">
      <w:bodyDiv w:val="1"/>
      <w:marLeft w:val="0"/>
      <w:marRight w:val="0"/>
      <w:marTop w:val="0"/>
      <w:marBottom w:val="0"/>
      <w:divBdr>
        <w:top w:val="none" w:sz="0" w:space="0" w:color="auto"/>
        <w:left w:val="none" w:sz="0" w:space="0" w:color="auto"/>
        <w:bottom w:val="none" w:sz="0" w:space="0" w:color="auto"/>
        <w:right w:val="none" w:sz="0" w:space="0" w:color="auto"/>
      </w:divBdr>
    </w:div>
    <w:div w:id="1584877911">
      <w:bodyDiv w:val="1"/>
      <w:marLeft w:val="0"/>
      <w:marRight w:val="0"/>
      <w:marTop w:val="0"/>
      <w:marBottom w:val="0"/>
      <w:divBdr>
        <w:top w:val="none" w:sz="0" w:space="0" w:color="auto"/>
        <w:left w:val="none" w:sz="0" w:space="0" w:color="auto"/>
        <w:bottom w:val="none" w:sz="0" w:space="0" w:color="auto"/>
        <w:right w:val="none" w:sz="0" w:space="0" w:color="auto"/>
      </w:divBdr>
    </w:div>
    <w:div w:id="1604605151">
      <w:bodyDiv w:val="1"/>
      <w:marLeft w:val="0"/>
      <w:marRight w:val="0"/>
      <w:marTop w:val="0"/>
      <w:marBottom w:val="0"/>
      <w:divBdr>
        <w:top w:val="none" w:sz="0" w:space="0" w:color="auto"/>
        <w:left w:val="none" w:sz="0" w:space="0" w:color="auto"/>
        <w:bottom w:val="none" w:sz="0" w:space="0" w:color="auto"/>
        <w:right w:val="none" w:sz="0" w:space="0" w:color="auto"/>
      </w:divBdr>
    </w:div>
    <w:div w:id="1618946545">
      <w:bodyDiv w:val="1"/>
      <w:marLeft w:val="0"/>
      <w:marRight w:val="0"/>
      <w:marTop w:val="0"/>
      <w:marBottom w:val="0"/>
      <w:divBdr>
        <w:top w:val="none" w:sz="0" w:space="0" w:color="auto"/>
        <w:left w:val="none" w:sz="0" w:space="0" w:color="auto"/>
        <w:bottom w:val="none" w:sz="0" w:space="0" w:color="auto"/>
        <w:right w:val="none" w:sz="0" w:space="0" w:color="auto"/>
      </w:divBdr>
    </w:div>
    <w:div w:id="1645621009">
      <w:bodyDiv w:val="1"/>
      <w:marLeft w:val="0"/>
      <w:marRight w:val="0"/>
      <w:marTop w:val="0"/>
      <w:marBottom w:val="0"/>
      <w:divBdr>
        <w:top w:val="none" w:sz="0" w:space="0" w:color="auto"/>
        <w:left w:val="none" w:sz="0" w:space="0" w:color="auto"/>
        <w:bottom w:val="none" w:sz="0" w:space="0" w:color="auto"/>
        <w:right w:val="none" w:sz="0" w:space="0" w:color="auto"/>
      </w:divBdr>
    </w:div>
    <w:div w:id="1710379368">
      <w:bodyDiv w:val="1"/>
      <w:marLeft w:val="0"/>
      <w:marRight w:val="0"/>
      <w:marTop w:val="0"/>
      <w:marBottom w:val="0"/>
      <w:divBdr>
        <w:top w:val="none" w:sz="0" w:space="0" w:color="auto"/>
        <w:left w:val="none" w:sz="0" w:space="0" w:color="auto"/>
        <w:bottom w:val="none" w:sz="0" w:space="0" w:color="auto"/>
        <w:right w:val="none" w:sz="0" w:space="0" w:color="auto"/>
      </w:divBdr>
    </w:div>
    <w:div w:id="1720471377">
      <w:bodyDiv w:val="1"/>
      <w:marLeft w:val="0"/>
      <w:marRight w:val="0"/>
      <w:marTop w:val="0"/>
      <w:marBottom w:val="0"/>
      <w:divBdr>
        <w:top w:val="none" w:sz="0" w:space="0" w:color="auto"/>
        <w:left w:val="none" w:sz="0" w:space="0" w:color="auto"/>
        <w:bottom w:val="none" w:sz="0" w:space="0" w:color="auto"/>
        <w:right w:val="none" w:sz="0" w:space="0" w:color="auto"/>
      </w:divBdr>
    </w:div>
    <w:div w:id="1831746899">
      <w:bodyDiv w:val="1"/>
      <w:marLeft w:val="0"/>
      <w:marRight w:val="0"/>
      <w:marTop w:val="0"/>
      <w:marBottom w:val="0"/>
      <w:divBdr>
        <w:top w:val="none" w:sz="0" w:space="0" w:color="auto"/>
        <w:left w:val="none" w:sz="0" w:space="0" w:color="auto"/>
        <w:bottom w:val="none" w:sz="0" w:space="0" w:color="auto"/>
        <w:right w:val="none" w:sz="0" w:space="0" w:color="auto"/>
      </w:divBdr>
    </w:div>
    <w:div w:id="1856261169">
      <w:bodyDiv w:val="1"/>
      <w:marLeft w:val="0"/>
      <w:marRight w:val="0"/>
      <w:marTop w:val="0"/>
      <w:marBottom w:val="0"/>
      <w:divBdr>
        <w:top w:val="none" w:sz="0" w:space="0" w:color="auto"/>
        <w:left w:val="none" w:sz="0" w:space="0" w:color="auto"/>
        <w:bottom w:val="none" w:sz="0" w:space="0" w:color="auto"/>
        <w:right w:val="none" w:sz="0" w:space="0" w:color="auto"/>
      </w:divBdr>
    </w:div>
    <w:div w:id="1868443926">
      <w:bodyDiv w:val="1"/>
      <w:marLeft w:val="0"/>
      <w:marRight w:val="0"/>
      <w:marTop w:val="0"/>
      <w:marBottom w:val="0"/>
      <w:divBdr>
        <w:top w:val="none" w:sz="0" w:space="0" w:color="auto"/>
        <w:left w:val="none" w:sz="0" w:space="0" w:color="auto"/>
        <w:bottom w:val="none" w:sz="0" w:space="0" w:color="auto"/>
        <w:right w:val="none" w:sz="0" w:space="0" w:color="auto"/>
      </w:divBdr>
    </w:div>
    <w:div w:id="1934439308">
      <w:bodyDiv w:val="1"/>
      <w:marLeft w:val="0"/>
      <w:marRight w:val="0"/>
      <w:marTop w:val="0"/>
      <w:marBottom w:val="0"/>
      <w:divBdr>
        <w:top w:val="none" w:sz="0" w:space="0" w:color="auto"/>
        <w:left w:val="none" w:sz="0" w:space="0" w:color="auto"/>
        <w:bottom w:val="none" w:sz="0" w:space="0" w:color="auto"/>
        <w:right w:val="none" w:sz="0" w:space="0" w:color="auto"/>
      </w:divBdr>
    </w:div>
    <w:div w:id="1965849027">
      <w:bodyDiv w:val="1"/>
      <w:marLeft w:val="0"/>
      <w:marRight w:val="0"/>
      <w:marTop w:val="0"/>
      <w:marBottom w:val="0"/>
      <w:divBdr>
        <w:top w:val="none" w:sz="0" w:space="0" w:color="auto"/>
        <w:left w:val="none" w:sz="0" w:space="0" w:color="auto"/>
        <w:bottom w:val="none" w:sz="0" w:space="0" w:color="auto"/>
        <w:right w:val="none" w:sz="0" w:space="0" w:color="auto"/>
      </w:divBdr>
    </w:div>
    <w:div w:id="1990862057">
      <w:bodyDiv w:val="1"/>
      <w:marLeft w:val="0"/>
      <w:marRight w:val="0"/>
      <w:marTop w:val="0"/>
      <w:marBottom w:val="0"/>
      <w:divBdr>
        <w:top w:val="none" w:sz="0" w:space="0" w:color="auto"/>
        <w:left w:val="none" w:sz="0" w:space="0" w:color="auto"/>
        <w:bottom w:val="none" w:sz="0" w:space="0" w:color="auto"/>
        <w:right w:val="none" w:sz="0" w:space="0" w:color="auto"/>
      </w:divBdr>
    </w:div>
    <w:div w:id="2041128451">
      <w:bodyDiv w:val="1"/>
      <w:marLeft w:val="0"/>
      <w:marRight w:val="0"/>
      <w:marTop w:val="0"/>
      <w:marBottom w:val="0"/>
      <w:divBdr>
        <w:top w:val="none" w:sz="0" w:space="0" w:color="auto"/>
        <w:left w:val="none" w:sz="0" w:space="0" w:color="auto"/>
        <w:bottom w:val="none" w:sz="0" w:space="0" w:color="auto"/>
        <w:right w:val="none" w:sz="0" w:space="0" w:color="auto"/>
      </w:divBdr>
    </w:div>
    <w:div w:id="2082749872">
      <w:bodyDiv w:val="1"/>
      <w:marLeft w:val="0"/>
      <w:marRight w:val="0"/>
      <w:marTop w:val="0"/>
      <w:marBottom w:val="0"/>
      <w:divBdr>
        <w:top w:val="none" w:sz="0" w:space="0" w:color="auto"/>
        <w:left w:val="none" w:sz="0" w:space="0" w:color="auto"/>
        <w:bottom w:val="none" w:sz="0" w:space="0" w:color="auto"/>
        <w:right w:val="none" w:sz="0" w:space="0" w:color="auto"/>
      </w:divBdr>
    </w:div>
    <w:div w:id="2094277511">
      <w:bodyDiv w:val="1"/>
      <w:marLeft w:val="0"/>
      <w:marRight w:val="0"/>
      <w:marTop w:val="0"/>
      <w:marBottom w:val="0"/>
      <w:divBdr>
        <w:top w:val="none" w:sz="0" w:space="0" w:color="auto"/>
        <w:left w:val="none" w:sz="0" w:space="0" w:color="auto"/>
        <w:bottom w:val="none" w:sz="0" w:space="0" w:color="auto"/>
        <w:right w:val="none" w:sz="0" w:space="0" w:color="auto"/>
      </w:divBdr>
    </w:div>
    <w:div w:id="2101481532">
      <w:bodyDiv w:val="1"/>
      <w:marLeft w:val="0"/>
      <w:marRight w:val="0"/>
      <w:marTop w:val="0"/>
      <w:marBottom w:val="0"/>
      <w:divBdr>
        <w:top w:val="none" w:sz="0" w:space="0" w:color="auto"/>
        <w:left w:val="none" w:sz="0" w:space="0" w:color="auto"/>
        <w:bottom w:val="none" w:sz="0" w:space="0" w:color="auto"/>
        <w:right w:val="none" w:sz="0" w:space="0" w:color="auto"/>
      </w:divBdr>
    </w:div>
    <w:div w:id="2132674724">
      <w:bodyDiv w:val="1"/>
      <w:marLeft w:val="0"/>
      <w:marRight w:val="0"/>
      <w:marTop w:val="0"/>
      <w:marBottom w:val="0"/>
      <w:divBdr>
        <w:top w:val="none" w:sz="0" w:space="0" w:color="auto"/>
        <w:left w:val="none" w:sz="0" w:space="0" w:color="auto"/>
        <w:bottom w:val="none" w:sz="0" w:space="0" w:color="auto"/>
        <w:right w:val="none" w:sz="0" w:space="0" w:color="auto"/>
      </w:divBdr>
    </w:div>
    <w:div w:id="213556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image" Target="media/image83.emf"/><Relationship Id="rId21" Type="http://schemas.openxmlformats.org/officeDocument/2006/relationships/image" Target="media/image5.emf"/><Relationship Id="rId42" Type="http://schemas.openxmlformats.org/officeDocument/2006/relationships/image" Target="media/image15.emf"/><Relationship Id="rId47" Type="http://schemas.openxmlformats.org/officeDocument/2006/relationships/image" Target="media/image19.png"/><Relationship Id="rId63" Type="http://schemas.openxmlformats.org/officeDocument/2006/relationships/image" Target="media/image35.jpeg"/><Relationship Id="rId68" Type="http://schemas.openxmlformats.org/officeDocument/2006/relationships/image" Target="media/image40.jpeg"/><Relationship Id="rId84" Type="http://schemas.openxmlformats.org/officeDocument/2006/relationships/image" Target="media/image56.jpeg"/><Relationship Id="rId89" Type="http://schemas.openxmlformats.org/officeDocument/2006/relationships/image" Target="media/image61.png"/><Relationship Id="rId112" Type="http://schemas.openxmlformats.org/officeDocument/2006/relationships/image" Target="media/image79.png"/><Relationship Id="rId133" Type="http://schemas.openxmlformats.org/officeDocument/2006/relationships/hyperlink" Target="http://ec.europa.eu/economy_finance/eu/countries/bulgaria_en.htm" TargetMode="External"/><Relationship Id="rId138" Type="http://schemas.openxmlformats.org/officeDocument/2006/relationships/hyperlink" Target="http://www.bgeef.com/_private/Portfolio_Banks_EN.jpg" TargetMode="External"/><Relationship Id="rId16" Type="http://schemas.openxmlformats.org/officeDocument/2006/relationships/diagramLayout" Target="diagrams/layout1.xml"/><Relationship Id="rId107" Type="http://schemas.openxmlformats.org/officeDocument/2006/relationships/image" Target="media/image77.emf"/><Relationship Id="rId11" Type="http://schemas.openxmlformats.org/officeDocument/2006/relationships/image" Target="media/image2.jpeg"/><Relationship Id="rId32" Type="http://schemas.openxmlformats.org/officeDocument/2006/relationships/hyperlink" Target="http://www.nib.int/loans/loan_characteristics" TargetMode="External"/><Relationship Id="rId37" Type="http://schemas.openxmlformats.org/officeDocument/2006/relationships/image" Target="media/image12.png"/><Relationship Id="rId53" Type="http://schemas.openxmlformats.org/officeDocument/2006/relationships/image" Target="media/image25.jpeg"/><Relationship Id="rId58" Type="http://schemas.openxmlformats.org/officeDocument/2006/relationships/image" Target="media/image30.png"/><Relationship Id="rId74" Type="http://schemas.openxmlformats.org/officeDocument/2006/relationships/image" Target="media/image46.jpeg"/><Relationship Id="rId79" Type="http://schemas.openxmlformats.org/officeDocument/2006/relationships/image" Target="media/image51.jpeg"/><Relationship Id="rId102" Type="http://schemas.openxmlformats.org/officeDocument/2006/relationships/image" Target="media/image74.png"/><Relationship Id="rId123" Type="http://schemas.openxmlformats.org/officeDocument/2006/relationships/image" Target="media/image86.emf"/><Relationship Id="rId128" Type="http://schemas.openxmlformats.org/officeDocument/2006/relationships/package" Target="embeddings/Microsoft_Visio_Drawing13141414.vsdx"/><Relationship Id="rId144" Type="http://schemas.openxmlformats.org/officeDocument/2006/relationships/header" Target="header3.xml"/><Relationship Id="rId149" Type="http://schemas.microsoft.com/office/2011/relationships/commentsExtended" Target="commentsExtended.xml"/><Relationship Id="rId5" Type="http://schemas.microsoft.com/office/2007/relationships/stylesWithEffects" Target="stylesWithEffects.xml"/><Relationship Id="rId90" Type="http://schemas.openxmlformats.org/officeDocument/2006/relationships/image" Target="media/image62.jpeg"/><Relationship Id="rId95" Type="http://schemas.openxmlformats.org/officeDocument/2006/relationships/image" Target="media/image67.jpeg"/><Relationship Id="rId22" Type="http://schemas.openxmlformats.org/officeDocument/2006/relationships/image" Target="media/image6.png"/><Relationship Id="rId27" Type="http://schemas.openxmlformats.org/officeDocument/2006/relationships/hyperlink" Target="http://www.ebrd.com/pages/country/lithuania.shtml" TargetMode="External"/><Relationship Id="rId43" Type="http://schemas.openxmlformats.org/officeDocument/2006/relationships/package" Target="embeddings/Microsoft_Visio_Drawing2333.vsdx"/><Relationship Id="rId48" Type="http://schemas.openxmlformats.org/officeDocument/2006/relationships/image" Target="media/image20.jpeg"/><Relationship Id="rId64" Type="http://schemas.openxmlformats.org/officeDocument/2006/relationships/image" Target="media/image36.png"/><Relationship Id="rId69" Type="http://schemas.openxmlformats.org/officeDocument/2006/relationships/image" Target="media/image41.png"/><Relationship Id="rId113" Type="http://schemas.openxmlformats.org/officeDocument/2006/relationships/image" Target="media/image80.png"/><Relationship Id="rId118" Type="http://schemas.openxmlformats.org/officeDocument/2006/relationships/package" Target="embeddings/Microsoft_Visio_Drawing8999.vsdx"/><Relationship Id="rId134" Type="http://schemas.openxmlformats.org/officeDocument/2006/relationships/hyperlink" Target="http://www.ecofys.com/files/files/bpie_ecofys_2012_implementing_nzeb_in_bulgaria.pdf" TargetMode="External"/><Relationship Id="rId139" Type="http://schemas.openxmlformats.org/officeDocument/2006/relationships/image" Target="media/image92.jpeg"/><Relationship Id="rId80" Type="http://schemas.openxmlformats.org/officeDocument/2006/relationships/image" Target="media/image52.png"/><Relationship Id="rId85" Type="http://schemas.openxmlformats.org/officeDocument/2006/relationships/image" Target="media/image57.png"/><Relationship Id="rId3" Type="http://schemas.openxmlformats.org/officeDocument/2006/relationships/numbering" Target="numbering.xml"/><Relationship Id="rId12" Type="http://schemas.openxmlformats.org/officeDocument/2006/relationships/hyperlink" Target="http://www.enmin.lt/lt/activity/veiklos_kryptys/strateginis_planavimas_ir_ES/ESCO_studija.pdf" TargetMode="External"/><Relationship Id="rId17" Type="http://schemas.openxmlformats.org/officeDocument/2006/relationships/diagramQuickStyle" Target="diagrams/quickStyle1.xml"/><Relationship Id="rId25" Type="http://schemas.openxmlformats.org/officeDocument/2006/relationships/chart" Target="charts/chart3.xml"/><Relationship Id="rId33" Type="http://schemas.openxmlformats.org/officeDocument/2006/relationships/chart" Target="charts/chart4.xml"/><Relationship Id="rId38" Type="http://schemas.openxmlformats.org/officeDocument/2006/relationships/image" Target="media/image13.emf"/><Relationship Id="rId46" Type="http://schemas.openxmlformats.org/officeDocument/2006/relationships/image" Target="media/image18.jpeg"/><Relationship Id="rId59" Type="http://schemas.openxmlformats.org/officeDocument/2006/relationships/image" Target="media/image31.jpeg"/><Relationship Id="rId67" Type="http://schemas.openxmlformats.org/officeDocument/2006/relationships/image" Target="media/image39.png"/><Relationship Id="rId103" Type="http://schemas.openxmlformats.org/officeDocument/2006/relationships/header" Target="header1.xml"/><Relationship Id="rId108" Type="http://schemas.openxmlformats.org/officeDocument/2006/relationships/package" Target="embeddings/Microsoft_Visio_Drawing4555.vsdx"/><Relationship Id="rId116" Type="http://schemas.openxmlformats.org/officeDocument/2006/relationships/package" Target="embeddings/Microsoft_Visio_Drawing7888.vsdx"/><Relationship Id="rId124" Type="http://schemas.openxmlformats.org/officeDocument/2006/relationships/package" Target="embeddings/Microsoft_Visio_Drawing11121212.vsdx"/><Relationship Id="rId129" Type="http://schemas.openxmlformats.org/officeDocument/2006/relationships/image" Target="media/image89.emf"/><Relationship Id="rId137" Type="http://schemas.openxmlformats.org/officeDocument/2006/relationships/hyperlink" Target="http://www.bgeef.com/display.aspx?page=products" TargetMode="External"/><Relationship Id="rId20" Type="http://schemas.openxmlformats.org/officeDocument/2006/relationships/hyperlink" Target="http://www.esparama.lt" TargetMode="External"/><Relationship Id="rId41" Type="http://schemas.openxmlformats.org/officeDocument/2006/relationships/package" Target="embeddings/Microsoft_Visio_Drawing1222.vsdx"/><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jpeg"/><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image" Target="media/image60.jpeg"/><Relationship Id="rId91" Type="http://schemas.openxmlformats.org/officeDocument/2006/relationships/image" Target="media/image63.png"/><Relationship Id="rId96" Type="http://schemas.openxmlformats.org/officeDocument/2006/relationships/image" Target="media/image68.png"/><Relationship Id="rId111" Type="http://schemas.openxmlformats.org/officeDocument/2006/relationships/package" Target="embeddings/Microsoft_Visio_Drawing6777.vsdx"/><Relationship Id="rId132" Type="http://schemas.openxmlformats.org/officeDocument/2006/relationships/package" Target="embeddings/Microsoft_Visio_Drawing15161616.vsdx"/><Relationship Id="rId140" Type="http://schemas.openxmlformats.org/officeDocument/2006/relationships/hyperlink" Target="http://www.bgeef.com/display.aspx?page=products" TargetMode="External"/><Relationship Id="rId14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chart" Target="charts/chart1.xml"/><Relationship Id="rId28" Type="http://schemas.openxmlformats.org/officeDocument/2006/relationships/image" Target="media/image8.png"/><Relationship Id="rId36" Type="http://schemas.openxmlformats.org/officeDocument/2006/relationships/hyperlink" Target="http://www.eib.org/products/loans/index.htm" TargetMode="External"/><Relationship Id="rId49" Type="http://schemas.openxmlformats.org/officeDocument/2006/relationships/image" Target="media/image21.png"/><Relationship Id="rId57" Type="http://schemas.openxmlformats.org/officeDocument/2006/relationships/image" Target="media/image29.jpeg"/><Relationship Id="rId106" Type="http://schemas.openxmlformats.org/officeDocument/2006/relationships/package" Target="embeddings/Microsoft_Visio_Drawing3444.vsdx"/><Relationship Id="rId114" Type="http://schemas.openxmlformats.org/officeDocument/2006/relationships/image" Target="media/image81.png"/><Relationship Id="rId119" Type="http://schemas.openxmlformats.org/officeDocument/2006/relationships/image" Target="media/image84.emf"/><Relationship Id="rId127" Type="http://schemas.openxmlformats.org/officeDocument/2006/relationships/image" Target="media/image88.emf"/><Relationship Id="rId10" Type="http://schemas.openxmlformats.org/officeDocument/2006/relationships/image" Target="media/image1.jpeg"/><Relationship Id="rId31" Type="http://schemas.openxmlformats.org/officeDocument/2006/relationships/hyperlink" Target="http://www.nib.int/loans/agreed_loans" TargetMode="External"/><Relationship Id="rId44" Type="http://schemas.openxmlformats.org/officeDocument/2006/relationships/image" Target="media/image16.jpe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jpe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jpeg"/><Relationship Id="rId94" Type="http://schemas.openxmlformats.org/officeDocument/2006/relationships/image" Target="media/image66.png"/><Relationship Id="rId99" Type="http://schemas.openxmlformats.org/officeDocument/2006/relationships/image" Target="media/image71.jpeg"/><Relationship Id="rId101" Type="http://schemas.openxmlformats.org/officeDocument/2006/relationships/image" Target="media/image73.jpeg"/><Relationship Id="rId122" Type="http://schemas.openxmlformats.org/officeDocument/2006/relationships/package" Target="embeddings/Microsoft_Visio_Drawing10111111.vsdx"/><Relationship Id="rId130" Type="http://schemas.openxmlformats.org/officeDocument/2006/relationships/package" Target="embeddings/Microsoft_Visio_Drawing14151515.vsdx"/><Relationship Id="rId135" Type="http://schemas.openxmlformats.org/officeDocument/2006/relationships/hyperlink" Target="http://www.bgeef.com/_private/Portfolio_ESCO_EN.jpg" TargetMode="External"/><Relationship Id="rId143" Type="http://schemas.openxmlformats.org/officeDocument/2006/relationships/header" Target="header2.xml"/><Relationship Id="rId148" Type="http://schemas.microsoft.com/office/2016/09/relationships/commentsIds" Target="commentsIds.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diagramColors" Target="diagrams/colors1.xml"/><Relationship Id="rId39" Type="http://schemas.openxmlformats.org/officeDocument/2006/relationships/package" Target="embeddings/Microsoft_Visio_Drawing111.vsdx"/><Relationship Id="rId109" Type="http://schemas.openxmlformats.org/officeDocument/2006/relationships/image" Target="media/image78.emf"/><Relationship Id="rId34" Type="http://schemas.openxmlformats.org/officeDocument/2006/relationships/image" Target="media/image10.png"/><Relationship Id="rId50" Type="http://schemas.openxmlformats.org/officeDocument/2006/relationships/image" Target="media/image22.png"/><Relationship Id="rId55" Type="http://schemas.openxmlformats.org/officeDocument/2006/relationships/image" Target="media/image27.jpeg"/><Relationship Id="rId76" Type="http://schemas.openxmlformats.org/officeDocument/2006/relationships/image" Target="media/image48.jpeg"/><Relationship Id="rId97" Type="http://schemas.openxmlformats.org/officeDocument/2006/relationships/image" Target="media/image69.jpeg"/><Relationship Id="rId104" Type="http://schemas.openxmlformats.org/officeDocument/2006/relationships/image" Target="media/image75.jpeg"/><Relationship Id="rId120" Type="http://schemas.openxmlformats.org/officeDocument/2006/relationships/package" Target="embeddings/Microsoft_Visio_Drawing9101010.vsdx"/><Relationship Id="rId125" Type="http://schemas.openxmlformats.org/officeDocument/2006/relationships/image" Target="media/image87.emf"/><Relationship Id="rId141" Type="http://schemas.openxmlformats.org/officeDocument/2006/relationships/hyperlink" Target="http://www.bgeef.com/display.aspx?page=case_stud" TargetMode="External"/><Relationship Id="rId14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43.png"/><Relationship Id="rId92" Type="http://schemas.openxmlformats.org/officeDocument/2006/relationships/image" Target="media/image64.jpe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chart" Target="charts/chart2.xml"/><Relationship Id="rId40" Type="http://schemas.openxmlformats.org/officeDocument/2006/relationships/image" Target="media/image14.emf"/><Relationship Id="rId45" Type="http://schemas.openxmlformats.org/officeDocument/2006/relationships/image" Target="media/image17.png"/><Relationship Id="rId66" Type="http://schemas.openxmlformats.org/officeDocument/2006/relationships/image" Target="media/image38.png"/><Relationship Id="rId87" Type="http://schemas.openxmlformats.org/officeDocument/2006/relationships/image" Target="media/image59.png"/><Relationship Id="rId110" Type="http://schemas.openxmlformats.org/officeDocument/2006/relationships/package" Target="embeddings/Microsoft_Visio_Drawing5666.vsdx"/><Relationship Id="rId115" Type="http://schemas.openxmlformats.org/officeDocument/2006/relationships/image" Target="media/image82.emf"/><Relationship Id="rId131" Type="http://schemas.openxmlformats.org/officeDocument/2006/relationships/image" Target="media/image90.emf"/><Relationship Id="rId136" Type="http://schemas.openxmlformats.org/officeDocument/2006/relationships/image" Target="media/image91.jpeg"/><Relationship Id="rId61" Type="http://schemas.openxmlformats.org/officeDocument/2006/relationships/image" Target="media/image33.jpeg"/><Relationship Id="rId82" Type="http://schemas.openxmlformats.org/officeDocument/2006/relationships/image" Target="media/image54.jpeg"/><Relationship Id="rId19" Type="http://schemas.microsoft.com/office/2007/relationships/diagramDrawing" Target="diagrams/drawing1.xml"/><Relationship Id="rId14" Type="http://schemas.openxmlformats.org/officeDocument/2006/relationships/image" Target="media/image4.png"/><Relationship Id="rId30" Type="http://schemas.openxmlformats.org/officeDocument/2006/relationships/hyperlink" Target="http://www.nib.int/loans/environmental_lending_base_cleere" TargetMode="External"/><Relationship Id="rId35" Type="http://schemas.openxmlformats.org/officeDocument/2006/relationships/image" Target="media/image11.png"/><Relationship Id="rId56" Type="http://schemas.openxmlformats.org/officeDocument/2006/relationships/image" Target="media/image28.png"/><Relationship Id="rId77" Type="http://schemas.openxmlformats.org/officeDocument/2006/relationships/image" Target="media/image49.png"/><Relationship Id="rId100" Type="http://schemas.openxmlformats.org/officeDocument/2006/relationships/image" Target="media/image72.png"/><Relationship Id="rId105" Type="http://schemas.openxmlformats.org/officeDocument/2006/relationships/image" Target="media/image76.emf"/><Relationship Id="rId126" Type="http://schemas.openxmlformats.org/officeDocument/2006/relationships/package" Target="embeddings/Microsoft_Visio_Drawing12131313.vsdx"/><Relationship Id="rId14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3.jpeg"/><Relationship Id="rId72" Type="http://schemas.openxmlformats.org/officeDocument/2006/relationships/image" Target="media/image44.jpeg"/><Relationship Id="rId93" Type="http://schemas.openxmlformats.org/officeDocument/2006/relationships/image" Target="media/image65.png"/><Relationship Id="rId98" Type="http://schemas.openxmlformats.org/officeDocument/2006/relationships/image" Target="media/image70.png"/><Relationship Id="rId121" Type="http://schemas.openxmlformats.org/officeDocument/2006/relationships/image" Target="media/image85.emf"/><Relationship Id="rId142" Type="http://schemas.openxmlformats.org/officeDocument/2006/relationships/hyperlink" Target="http://www.bgeef.com/display.aspx?page=case_stud"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ebrd.com/downloads/research/annual/ar13e.pdf" TargetMode="External"/><Relationship Id="rId18" Type="http://schemas.openxmlformats.org/officeDocument/2006/relationships/hyperlink" Target="http://www.ebrd.com/downloads/country/strategy/lithuania.pdf" TargetMode="External"/><Relationship Id="rId26" Type="http://schemas.openxmlformats.org/officeDocument/2006/relationships/hyperlink" Target="http://www.finmin.lt/web/finmin/naujienos?erp_item=naujiena_001265" TargetMode="External"/><Relationship Id="rId39" Type="http://schemas.openxmlformats.org/officeDocument/2006/relationships/hyperlink" Target="http://www.eib.org/products/guarantees/index.htm" TargetMode="External"/><Relationship Id="rId21" Type="http://schemas.openxmlformats.org/officeDocument/2006/relationships/hyperlink" Target="http://www.ebrd.com/english/pages/project/psd/2012/44212.shtml" TargetMode="External"/><Relationship Id="rId34" Type="http://schemas.openxmlformats.org/officeDocument/2006/relationships/hyperlink" Target="http://www.eib.europa.eu/projects/press/2013/2013-204-institutional-investor-support-for-greater-gabbard-offshore-transmission-link-encouraged-by-first-use-of-project-bond-credit-enhancement-scheme-in-uk.htm" TargetMode="External"/><Relationship Id="rId42" Type="http://schemas.openxmlformats.org/officeDocument/2006/relationships/hyperlink" Target="http://curia.europa.eu/juris/document/document.jsf?text=&amp;docid=81510&amp;pageIndex=0&amp;doclang=EN&amp;mode=lst&amp;dir=&amp;occ=first&amp;part=1&amp;cid=210447" TargetMode="External"/><Relationship Id="rId47" Type="http://schemas.openxmlformats.org/officeDocument/2006/relationships/hyperlink" Target="http://curia.europa.eu/juris/showPdf.jsf?text=&amp;docid=98685&amp;pageIndex=0&amp;doclang=EN&amp;mode=lst&amp;dir=&amp;occ=first&amp;part=1&amp;cid=213139" TargetMode="External"/><Relationship Id="rId50" Type="http://schemas.openxmlformats.org/officeDocument/2006/relationships/hyperlink" Target="http://curia.europa.eu/juris/document/document.jsf?text=&amp;docid=139759&amp;pageIndex=0&amp;doclang=EN&amp;mode=lst&amp;dir=&amp;occ=first&amp;part=1&amp;cid=89019" TargetMode="External"/><Relationship Id="rId55" Type="http://schemas.openxmlformats.org/officeDocument/2006/relationships/hyperlink" Target="http://ec.europa.eu/competition/state_aid/legislation/base_rates_eu28bis_en.pdf" TargetMode="External"/><Relationship Id="rId63" Type="http://schemas.openxmlformats.org/officeDocument/2006/relationships/hyperlink" Target="http://www.eib.org/attachments/documents/jessica_housing_study_final_report_en.pdf" TargetMode="External"/><Relationship Id="rId68" Type="http://schemas.openxmlformats.org/officeDocument/2006/relationships/hyperlink" Target="http://www.delfi.lt/verslas/nekilnojamas-turtas/daugiabucio-modernizacijos-nesekme-plokstemis-neuzdengta-nama-pesioja-pauksciai.d?id=58723791" TargetMode="External"/><Relationship Id="rId76" Type="http://schemas.openxmlformats.org/officeDocument/2006/relationships/hyperlink" Target="http://www.bti-project.de/fileadmin/Inhalte/reports/2014/pdf/BTI%202014%20Bulgaria.pdf" TargetMode="External"/><Relationship Id="rId7" Type="http://schemas.openxmlformats.org/officeDocument/2006/relationships/hyperlink" Target="http://www.ppplietuva.lt" TargetMode="External"/><Relationship Id="rId71" Type="http://schemas.openxmlformats.org/officeDocument/2006/relationships/hyperlink" Target="http://www.atnaujinkbusta.lt/index.php/lt/p/atnaujink-busta/apie-programa/statistika" TargetMode="External"/><Relationship Id="rId2" Type="http://schemas.openxmlformats.org/officeDocument/2006/relationships/hyperlink" Target="http://www.lsta.lt" TargetMode="External"/><Relationship Id="rId16" Type="http://schemas.openxmlformats.org/officeDocument/2006/relationships/hyperlink" Target="http://www.ebrd.com/downloads/country/strategy/lithuania.pdf" TargetMode="External"/><Relationship Id="rId29" Type="http://schemas.openxmlformats.org/officeDocument/2006/relationships/hyperlink" Target="http://www.eeef.eu/objective-of-the-fund.html" TargetMode="External"/><Relationship Id="rId11" Type="http://schemas.openxmlformats.org/officeDocument/2006/relationships/hyperlink" Target="http://www.ebrdseff.com/en/seffs.html" TargetMode="External"/><Relationship Id="rId24" Type="http://schemas.openxmlformats.org/officeDocument/2006/relationships/hyperlink" Target="http://annual.nib.int/2013/filebank/630-NIB_Annual_Report_2013.pdf" TargetMode="External"/><Relationship Id="rId32" Type="http://schemas.openxmlformats.org/officeDocument/2006/relationships/hyperlink" Target="http://www.eib.org/products/elena/" TargetMode="External"/><Relationship Id="rId37" Type="http://schemas.openxmlformats.org/officeDocument/2006/relationships/hyperlink" Target="http://www.eib.org/products/loans/index.htm" TargetMode="External"/><Relationship Id="rId40" Type="http://schemas.openxmlformats.org/officeDocument/2006/relationships/hyperlink" Target="http://www.eib.org/products/equity_funds/index.htm" TargetMode="External"/><Relationship Id="rId45" Type="http://schemas.openxmlformats.org/officeDocument/2006/relationships/hyperlink" Target="http://curia.europa.eu/juris/showPdf.jsf?text=&amp;docid=45608&amp;pageIndex=0&amp;doclang=EN&amp;mode=lst&amp;dir=&amp;occ=first&amp;part=1&amp;cid=210600" TargetMode="External"/><Relationship Id="rId53" Type="http://schemas.openxmlformats.org/officeDocument/2006/relationships/hyperlink" Target="http://ec.europa.eu/competition/state_aid/legislation/base_rates_eu28bis_en.pdf" TargetMode="External"/><Relationship Id="rId58" Type="http://schemas.openxmlformats.org/officeDocument/2006/relationships/hyperlink" Target="http://ec.europa.eu/competition/state_aid/legislation/base_rates_eu28bis_en.pdf" TargetMode="External"/><Relationship Id="rId66" Type="http://schemas.openxmlformats.org/officeDocument/2006/relationships/hyperlink" Target="http://www.vtpsi.lt/" TargetMode="External"/><Relationship Id="rId74" Type="http://schemas.openxmlformats.org/officeDocument/2006/relationships/hyperlink" Target="http://ec.europa.eu/economy_finance/eu/countries/bulgaria_en.htm" TargetMode="External"/><Relationship Id="rId79" Type="http://schemas.openxmlformats.org/officeDocument/2006/relationships/hyperlink" Target="http://iet.jrc.ec.europa.eu/energyefficiency/sites/energyefficiency/files/jrc_89550_the_european_esco_market_report_2013_online.pdf" TargetMode="External"/><Relationship Id="rId5" Type="http://schemas.openxmlformats.org/officeDocument/2006/relationships/hyperlink" Target="http://www.esparama.lt/priemone?priem_id=000bdd538000119f" TargetMode="External"/><Relationship Id="rId61" Type="http://schemas.openxmlformats.org/officeDocument/2006/relationships/hyperlink" Target="http://www.eib.org/attachments/documents/jessica_fg_final_report_en.pdf" TargetMode="External"/><Relationship Id="rId82" Type="http://schemas.openxmlformats.org/officeDocument/2006/relationships/hyperlink" Target="http://www.carbontrust.com/about-us/" TargetMode="External"/><Relationship Id="rId10" Type="http://schemas.openxmlformats.org/officeDocument/2006/relationships/hyperlink" Target="http://www.ebrd.com/pages/sector/powerenergy/energy-strategy.shtml" TargetMode="External"/><Relationship Id="rId19" Type="http://schemas.openxmlformats.org/officeDocument/2006/relationships/hyperlink" Target="http://www.ebrd.com/english/pages/project/psd/2009/40437.shtml" TargetMode="External"/><Relationship Id="rId31" Type="http://schemas.openxmlformats.org/officeDocument/2006/relationships/hyperlink" Target="http://www.eeef.eu/tl_files/downloads/Quarterly_Reports/EEEF%20Quarterly%20Report%202014-Q1.pdf" TargetMode="External"/><Relationship Id="rId44" Type="http://schemas.openxmlformats.org/officeDocument/2006/relationships/hyperlink" Target="http://curia.europa.eu/juris/showPdf.jsf?text=&amp;docid=55528&amp;pageIndex=0&amp;doclang=EN&amp;mode=lst&amp;dir=&amp;occ=first&amp;part=1&amp;cid=86389" TargetMode="External"/><Relationship Id="rId52" Type="http://schemas.openxmlformats.org/officeDocument/2006/relationships/hyperlink" Target="http://curia.europa.eu/juris/showPdf.jsf?text=&amp;docid=48533&amp;pageIndex=0&amp;doclang=EN&amp;mode=lst&amp;dir=&amp;occ=first&amp;part=1&amp;cid=96641" TargetMode="External"/><Relationship Id="rId60" Type="http://schemas.openxmlformats.org/officeDocument/2006/relationships/hyperlink" Target="http://ec.europa.eu/regional_policy/sources/docoffic/official/communic/financial/financial_instruments_2012_en.pdf" TargetMode="External"/><Relationship Id="rId65" Type="http://schemas.openxmlformats.org/officeDocument/2006/relationships/hyperlink" Target="http://iet.jrc.ec.europa.eu/energyefficiency/sites/energyefficiency/files/jrc_89550_the_european_esco_market_report_2013_online.pdf" TargetMode="External"/><Relationship Id="rId73" Type="http://schemas.openxmlformats.org/officeDocument/2006/relationships/hyperlink" Target="http://www.nsi.bg/en" TargetMode="External"/><Relationship Id="rId78" Type="http://schemas.openxmlformats.org/officeDocument/2006/relationships/hyperlink" Target="http://www.ecofys.com/files/files/bpie_ecofys_2012_implementing_nzeb_in_bulgaria.pdf" TargetMode="External"/><Relationship Id="rId81" Type="http://schemas.openxmlformats.org/officeDocument/2006/relationships/hyperlink" Target="http://iet.jrc.ec.europa.eu/energyefficiency/sites/energyefficiency/files/jrc_89550_the_european_esco_market_report_2013_online.pdf" TargetMode="External"/><Relationship Id="rId4" Type="http://schemas.openxmlformats.org/officeDocument/2006/relationships/hyperlink" Target="http://www.esparama.lt/priemone?priem_id=000bdd538000119e" TargetMode="External"/><Relationship Id="rId9" Type="http://schemas.openxmlformats.org/officeDocument/2006/relationships/hyperlink" Target="http://www.ebrd.com/downloads/research/factsheets/about.pdf" TargetMode="External"/><Relationship Id="rId14" Type="http://schemas.openxmlformats.org/officeDocument/2006/relationships/hyperlink" Target="http://www.ebrd.com/downloads/research/annual/ar13e.pdf" TargetMode="External"/><Relationship Id="rId22" Type="http://schemas.openxmlformats.org/officeDocument/2006/relationships/hyperlink" Target="http://www.ebrd.com/downloads/research/factsheets/guidetofinancing.pdf" TargetMode="External"/><Relationship Id="rId27" Type="http://schemas.openxmlformats.org/officeDocument/2006/relationships/hyperlink" Target="http://www.eib.org/attachments/thematic/energy_efficiency_en.pdf" TargetMode="External"/><Relationship Id="rId30" Type="http://schemas.openxmlformats.org/officeDocument/2006/relationships/hyperlink" Target="http://www.eeef.eu/eligible-investments.html" TargetMode="External"/><Relationship Id="rId35" Type="http://schemas.openxmlformats.org/officeDocument/2006/relationships/hyperlink" Target="http://www.eib.europa.eu/projects/press/2014/2014-066-eib-backs-a11-belgian-motorway-link.htm" TargetMode="External"/><Relationship Id="rId43" Type="http://schemas.openxmlformats.org/officeDocument/2006/relationships/hyperlink" Target="http://curia.europa.eu/juris/showPdf.jsf?text=&amp;docid=47344&amp;pageIndex=0&amp;doclang=EN&amp;mode=lst&amp;dir=&amp;occ=first&amp;part=1&amp;cid=86024" TargetMode="External"/><Relationship Id="rId48" Type="http://schemas.openxmlformats.org/officeDocument/2006/relationships/hyperlink" Target="http://curia.europa.eu/juris/document/document.jsf?text=&amp;docid=114865&amp;pageIndex=0&amp;doclang=EN&amp;mode=lst&amp;dir=&amp;occ=first&amp;part=1&amp;cid=86822" TargetMode="External"/><Relationship Id="rId56" Type="http://schemas.openxmlformats.org/officeDocument/2006/relationships/hyperlink" Target="http://ec.europa.eu/competition/state_aid/legislation/base_rates_eu28bis_en.pdf" TargetMode="External"/><Relationship Id="rId64" Type="http://schemas.openxmlformats.org/officeDocument/2006/relationships/hyperlink" Target="http://www.stadtentwicklung.berlin.de/umwelt/klimaschutz/" TargetMode="External"/><Relationship Id="rId69" Type="http://schemas.openxmlformats.org/officeDocument/2006/relationships/hyperlink" Target="http://www.sb.lt/lt/naujienos/tyrimas-daugiabuciu-renovacijai-dazniausiai-pritaria-namu-seimininkes-ir-vaikus-auginancios-mamos/" TargetMode="External"/><Relationship Id="rId77" Type="http://schemas.openxmlformats.org/officeDocument/2006/relationships/hyperlink" Target="http://www.bnb.bg/bnbweb/groups/public/documents/bnb_publication/pub_ec_r_2014_01_en.pdf" TargetMode="External"/><Relationship Id="rId8" Type="http://schemas.openxmlformats.org/officeDocument/2006/relationships/hyperlink" Target="http://www.ebrd.com/pages/about/what/mission.shtml" TargetMode="External"/><Relationship Id="rId51" Type="http://schemas.openxmlformats.org/officeDocument/2006/relationships/hyperlink" Target="http://curia.europa.eu/juris/document/document.jsf?text=&amp;docid=109245&amp;pageIndex=0&amp;doclang=EN&amp;mode=lst&amp;dir=&amp;occ=first&amp;part=1&amp;cid=89019" TargetMode="External"/><Relationship Id="rId72" Type="http://schemas.openxmlformats.org/officeDocument/2006/relationships/hyperlink" Target="http://epp.eurostat.ec.europa.eu/portal/page/portal/eurostat/home/" TargetMode="External"/><Relationship Id="rId80" Type="http://schemas.openxmlformats.org/officeDocument/2006/relationships/hyperlink" Target="http://www.ecofys.com/files/files/bpie_ecofys_2012_implementing_nzeb_in_bulgaria.pdf" TargetMode="External"/><Relationship Id="rId3" Type="http://schemas.openxmlformats.org/officeDocument/2006/relationships/hyperlink" Target="http://www.am.lt" TargetMode="External"/><Relationship Id="rId12" Type="http://schemas.openxmlformats.org/officeDocument/2006/relationships/hyperlink" Target="http://www.ebrd.com/downloads/sector/eecc/sei-seff.pdf" TargetMode="External"/><Relationship Id="rId17" Type="http://schemas.openxmlformats.org/officeDocument/2006/relationships/hyperlink" Target="http://www.ebrd.com/downloads/research/factsheets/lithuania.pdf" TargetMode="External"/><Relationship Id="rId25" Type="http://schemas.openxmlformats.org/officeDocument/2006/relationships/hyperlink" Target="https://www.nib.int/filebank/a/1396520875/6690a07ca472a8382a5678b8d2579b1b/3689-A_Review_2013.pdf" TargetMode="External"/><Relationship Id="rId33" Type="http://schemas.openxmlformats.org/officeDocument/2006/relationships/hyperlink" Target="http://ec.europa.eu/regional_policy/thefunds/instruments/jessica_lt.cfm" TargetMode="External"/><Relationship Id="rId38" Type="http://schemas.openxmlformats.org/officeDocument/2006/relationships/hyperlink" Target="http://www.eib.org/products/sff/index.htm" TargetMode="External"/><Relationship Id="rId46" Type="http://schemas.openxmlformats.org/officeDocument/2006/relationships/hyperlink" Target="http://curia.europa.eu/juris/document/document.jsf?text=&amp;docid=79387&amp;pageIndex=0&amp;doclang=EN&amp;mode=lst&amp;dir=&amp;occ=first&amp;part=1&amp;cid=212184" TargetMode="External"/><Relationship Id="rId59" Type="http://schemas.openxmlformats.org/officeDocument/2006/relationships/hyperlink" Target="http://www.europarl.europa.eu/meetdocs/2009_2014/documents/cont/dv/ecasr22012_/ecasr22012_en.pdf" TargetMode="External"/><Relationship Id="rId67" Type="http://schemas.openxmlformats.org/officeDocument/2006/relationships/hyperlink" Target="http://www.vtpsi.lt/" TargetMode="External"/><Relationship Id="rId20" Type="http://schemas.openxmlformats.org/officeDocument/2006/relationships/hyperlink" Target="http://www.ebrd.com/english/pages/project/psd/2009/40324.shtml" TargetMode="External"/><Relationship Id="rId41" Type="http://schemas.openxmlformats.org/officeDocument/2006/relationships/hyperlink" Target="http://www.finmin.lt/web/finmin/naujienos?erp_item=naujiena_001152" TargetMode="External"/><Relationship Id="rId54" Type="http://schemas.openxmlformats.org/officeDocument/2006/relationships/hyperlink" Target="http://ec.europa.eu/competition/state_aid/legislation/base_rates_eu28bis_en.pdf" TargetMode="External"/><Relationship Id="rId62" Type="http://schemas.openxmlformats.org/officeDocument/2006/relationships/hyperlink" Target="http://www.eib.org/attachments/documents/jessica_energy_focused_udf_final_report_en.pdf" TargetMode="External"/><Relationship Id="rId70" Type="http://schemas.openxmlformats.org/officeDocument/2006/relationships/hyperlink" Target="http://kauno.diena.lt/naujienos/lietuva/salies-pulsas/apklausa-daugiabuciu-namu-renovacija-lietuvoje-nematoma-406922" TargetMode="External"/><Relationship Id="rId75" Type="http://schemas.openxmlformats.org/officeDocument/2006/relationships/hyperlink" Target="http://www.bnb.bg/bnbweb/groups/public/documents/bnb_publication/pub_ec_r_2014_01_en.pdf" TargetMode="External"/><Relationship Id="rId1" Type="http://schemas.openxmlformats.org/officeDocument/2006/relationships/hyperlink" Target="http://www.eib.org/attachments/documents/annex-to-supplementary-study-on-jessica-instrument-for-energy-efficiency-in-lithuania.pdf" TargetMode="External"/><Relationship Id="rId6" Type="http://schemas.openxmlformats.org/officeDocument/2006/relationships/hyperlink" Target="http://www.esparama.lt/priemone?priem_id=000bdd53800011a0" TargetMode="External"/><Relationship Id="rId15" Type="http://schemas.openxmlformats.org/officeDocument/2006/relationships/hyperlink" Target="http://www.ebrd.com/downloads/country/strategy/lithuania.pdf" TargetMode="External"/><Relationship Id="rId23" Type="http://schemas.openxmlformats.org/officeDocument/2006/relationships/hyperlink" Target="http://www.nib.int/nib_in_brief/iaur_s_investicij_bankas" TargetMode="External"/><Relationship Id="rId28" Type="http://schemas.openxmlformats.org/officeDocument/2006/relationships/hyperlink" Target="http://www.eib.org/attachments/thematic/energy_efficiency_en.pdf" TargetMode="External"/><Relationship Id="rId36" Type="http://schemas.openxmlformats.org/officeDocument/2006/relationships/hyperlink" Target="http://www.eib.org/products/index.htm" TargetMode="External"/><Relationship Id="rId49" Type="http://schemas.openxmlformats.org/officeDocument/2006/relationships/hyperlink" Target="http://curia.europa.eu/juris/document/document.jsf?text=&amp;docid=126821&amp;pageIndex=0&amp;doclang=FR&amp;mode=lst&amp;dir=&amp;occ=first&amp;part=1&amp;cid=89019" TargetMode="External"/><Relationship Id="rId57" Type="http://schemas.openxmlformats.org/officeDocument/2006/relationships/hyperlink" Target="http://ec.europa.eu/competition/state_aid/legislation/base_rates_eu28bis_en.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kristina.gabartaite\Downloads\Eksportuota%20matricin&#279;%20lentel&#279;.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ristina.gabartaite\Desktop\Copy%20of%20excel%20ESC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ristina.gabartaite\Desktop\Copy%20of%20excel%20ESC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ustinas.bucys\AppData\Local\Microsoft\Windows\Temporary%20Internet%20Files\Content.Outlook\WPQUIE0O\Grafikai%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sz="1400"/>
              <a:t>Pastatų remonto sąnaudų kainų indeksas</a:t>
            </a:r>
            <a:r>
              <a:rPr lang="en-US" sz="1400"/>
              <a:t> 2004-2014</a:t>
            </a:r>
            <a:r>
              <a:rPr lang="lt-LT" sz="1400"/>
              <a:t>,  2010 m. </a:t>
            </a:r>
            <a:r>
              <a:rPr lang="en-US" sz="1400"/>
              <a:t>=</a:t>
            </a:r>
            <a:r>
              <a:rPr lang="en-US" sz="1400" baseline="0"/>
              <a:t> 100</a:t>
            </a:r>
            <a:endParaRPr lang="en-US" sz="1400"/>
          </a:p>
        </c:rich>
      </c:tx>
      <c:layout/>
      <c:overlay val="0"/>
    </c:title>
    <c:autoTitleDeleted val="0"/>
    <c:plotArea>
      <c:layout/>
      <c:lineChart>
        <c:grouping val="standard"/>
        <c:varyColors val="0"/>
        <c:ser>
          <c:idx val="0"/>
          <c:order val="0"/>
          <c:tx>
            <c:v>Kainų indeksas</c:v>
          </c:tx>
          <c:marker>
            <c:symbol val="none"/>
          </c:marker>
          <c:cat>
            <c:strRef>
              <c:f>'[Eksportuota matricinė lentelė.xls]Report'!$B$52:$B$177</c:f>
              <c:strCache>
                <c:ptCount val="126"/>
                <c:pt idx="0">
                  <c:v>2004M01</c:v>
                </c:pt>
                <c:pt idx="1">
                  <c:v>2004M02</c:v>
                </c:pt>
                <c:pt idx="2">
                  <c:v>2004M03</c:v>
                </c:pt>
                <c:pt idx="3">
                  <c:v>2004M04</c:v>
                </c:pt>
                <c:pt idx="4">
                  <c:v>2004M05</c:v>
                </c:pt>
                <c:pt idx="5">
                  <c:v>2004M06</c:v>
                </c:pt>
                <c:pt idx="6">
                  <c:v>2004M07</c:v>
                </c:pt>
                <c:pt idx="7">
                  <c:v>2004M08</c:v>
                </c:pt>
                <c:pt idx="8">
                  <c:v>2004M09</c:v>
                </c:pt>
                <c:pt idx="9">
                  <c:v>2004M10</c:v>
                </c:pt>
                <c:pt idx="10">
                  <c:v>2004M11</c:v>
                </c:pt>
                <c:pt idx="11">
                  <c:v>2004M12</c:v>
                </c:pt>
                <c:pt idx="12">
                  <c:v>2005M01</c:v>
                </c:pt>
                <c:pt idx="13">
                  <c:v>2005M02</c:v>
                </c:pt>
                <c:pt idx="14">
                  <c:v>2005M03</c:v>
                </c:pt>
                <c:pt idx="15">
                  <c:v>2005M04</c:v>
                </c:pt>
                <c:pt idx="16">
                  <c:v>2005M05</c:v>
                </c:pt>
                <c:pt idx="17">
                  <c:v>2005M06</c:v>
                </c:pt>
                <c:pt idx="18">
                  <c:v>2005M07</c:v>
                </c:pt>
                <c:pt idx="19">
                  <c:v>2005M08</c:v>
                </c:pt>
                <c:pt idx="20">
                  <c:v>2005M09</c:v>
                </c:pt>
                <c:pt idx="21">
                  <c:v>2005M10</c:v>
                </c:pt>
                <c:pt idx="22">
                  <c:v>2005M11</c:v>
                </c:pt>
                <c:pt idx="23">
                  <c:v>2005M12</c:v>
                </c:pt>
                <c:pt idx="24">
                  <c:v>2006M01</c:v>
                </c:pt>
                <c:pt idx="25">
                  <c:v>2006M02</c:v>
                </c:pt>
                <c:pt idx="26">
                  <c:v>2006M03</c:v>
                </c:pt>
                <c:pt idx="27">
                  <c:v>2006M04</c:v>
                </c:pt>
                <c:pt idx="28">
                  <c:v>2006M05</c:v>
                </c:pt>
                <c:pt idx="29">
                  <c:v>2006M06</c:v>
                </c:pt>
                <c:pt idx="30">
                  <c:v>2006M07</c:v>
                </c:pt>
                <c:pt idx="31">
                  <c:v>2006M08</c:v>
                </c:pt>
                <c:pt idx="32">
                  <c:v>2006M09</c:v>
                </c:pt>
                <c:pt idx="33">
                  <c:v>2006M10</c:v>
                </c:pt>
                <c:pt idx="34">
                  <c:v>2006M11</c:v>
                </c:pt>
                <c:pt idx="35">
                  <c:v>2006M12</c:v>
                </c:pt>
                <c:pt idx="36">
                  <c:v>2007M01</c:v>
                </c:pt>
                <c:pt idx="37">
                  <c:v>2007M02</c:v>
                </c:pt>
                <c:pt idx="38">
                  <c:v>2007M03</c:v>
                </c:pt>
                <c:pt idx="39">
                  <c:v>2007M04</c:v>
                </c:pt>
                <c:pt idx="40">
                  <c:v>2007M05</c:v>
                </c:pt>
                <c:pt idx="41">
                  <c:v>2007M06</c:v>
                </c:pt>
                <c:pt idx="42">
                  <c:v>2007M07</c:v>
                </c:pt>
                <c:pt idx="43">
                  <c:v>2007M08</c:v>
                </c:pt>
                <c:pt idx="44">
                  <c:v>2007M09</c:v>
                </c:pt>
                <c:pt idx="45">
                  <c:v>2007M10</c:v>
                </c:pt>
                <c:pt idx="46">
                  <c:v>2007M11</c:v>
                </c:pt>
                <c:pt idx="47">
                  <c:v>2007M12</c:v>
                </c:pt>
                <c:pt idx="48">
                  <c:v>2008M01</c:v>
                </c:pt>
                <c:pt idx="49">
                  <c:v>2008M02</c:v>
                </c:pt>
                <c:pt idx="50">
                  <c:v>2008M03</c:v>
                </c:pt>
                <c:pt idx="51">
                  <c:v>2008M04</c:v>
                </c:pt>
                <c:pt idx="52">
                  <c:v>2008M05</c:v>
                </c:pt>
                <c:pt idx="53">
                  <c:v>2008M06</c:v>
                </c:pt>
                <c:pt idx="54">
                  <c:v>2008M07</c:v>
                </c:pt>
                <c:pt idx="55">
                  <c:v>2008M08</c:v>
                </c:pt>
                <c:pt idx="56">
                  <c:v>2008M09</c:v>
                </c:pt>
                <c:pt idx="57">
                  <c:v>2008M10</c:v>
                </c:pt>
                <c:pt idx="58">
                  <c:v>2008M11</c:v>
                </c:pt>
                <c:pt idx="59">
                  <c:v>2008M12</c:v>
                </c:pt>
                <c:pt idx="60">
                  <c:v>2009M01</c:v>
                </c:pt>
                <c:pt idx="61">
                  <c:v>2009M02</c:v>
                </c:pt>
                <c:pt idx="62">
                  <c:v>2009M03</c:v>
                </c:pt>
                <c:pt idx="63">
                  <c:v>2009M04</c:v>
                </c:pt>
                <c:pt idx="64">
                  <c:v>2009M05</c:v>
                </c:pt>
                <c:pt idx="65">
                  <c:v>2009M06</c:v>
                </c:pt>
                <c:pt idx="66">
                  <c:v>2009M07</c:v>
                </c:pt>
                <c:pt idx="67">
                  <c:v>2009M08</c:v>
                </c:pt>
                <c:pt idx="68">
                  <c:v>2009M09</c:v>
                </c:pt>
                <c:pt idx="69">
                  <c:v>2009M10</c:v>
                </c:pt>
                <c:pt idx="70">
                  <c:v>2009M11</c:v>
                </c:pt>
                <c:pt idx="71">
                  <c:v>2009M12</c:v>
                </c:pt>
                <c:pt idx="72">
                  <c:v>2010M01</c:v>
                </c:pt>
                <c:pt idx="73">
                  <c:v>2010M02</c:v>
                </c:pt>
                <c:pt idx="74">
                  <c:v>2010M03</c:v>
                </c:pt>
                <c:pt idx="75">
                  <c:v>2010M04</c:v>
                </c:pt>
                <c:pt idx="76">
                  <c:v>2010M05</c:v>
                </c:pt>
                <c:pt idx="77">
                  <c:v>2010M06</c:v>
                </c:pt>
                <c:pt idx="78">
                  <c:v>2010M07</c:v>
                </c:pt>
                <c:pt idx="79">
                  <c:v>2010M08</c:v>
                </c:pt>
                <c:pt idx="80">
                  <c:v>2010M09</c:v>
                </c:pt>
                <c:pt idx="81">
                  <c:v>2010M10</c:v>
                </c:pt>
                <c:pt idx="82">
                  <c:v>2010M11</c:v>
                </c:pt>
                <c:pt idx="83">
                  <c:v>2010M12</c:v>
                </c:pt>
                <c:pt idx="84">
                  <c:v>2011M01</c:v>
                </c:pt>
                <c:pt idx="85">
                  <c:v>2011M02</c:v>
                </c:pt>
                <c:pt idx="86">
                  <c:v>2011M03</c:v>
                </c:pt>
                <c:pt idx="87">
                  <c:v>2011M04</c:v>
                </c:pt>
                <c:pt idx="88">
                  <c:v>2011M05</c:v>
                </c:pt>
                <c:pt idx="89">
                  <c:v>2011M06</c:v>
                </c:pt>
                <c:pt idx="90">
                  <c:v>2011M07</c:v>
                </c:pt>
                <c:pt idx="91">
                  <c:v>2011M08</c:v>
                </c:pt>
                <c:pt idx="92">
                  <c:v>2011M09</c:v>
                </c:pt>
                <c:pt idx="93">
                  <c:v>2011M10</c:v>
                </c:pt>
                <c:pt idx="94">
                  <c:v>2011M11</c:v>
                </c:pt>
                <c:pt idx="95">
                  <c:v>2011M12</c:v>
                </c:pt>
                <c:pt idx="96">
                  <c:v>2012M01</c:v>
                </c:pt>
                <c:pt idx="97">
                  <c:v>2012M02</c:v>
                </c:pt>
                <c:pt idx="98">
                  <c:v>2012M03</c:v>
                </c:pt>
                <c:pt idx="99">
                  <c:v>2012M04</c:v>
                </c:pt>
                <c:pt idx="100">
                  <c:v>2012M05</c:v>
                </c:pt>
                <c:pt idx="101">
                  <c:v>2012M06</c:v>
                </c:pt>
                <c:pt idx="102">
                  <c:v>2012M07</c:v>
                </c:pt>
                <c:pt idx="103">
                  <c:v>2012M08</c:v>
                </c:pt>
                <c:pt idx="104">
                  <c:v>2012M09</c:v>
                </c:pt>
                <c:pt idx="105">
                  <c:v>2012M10</c:v>
                </c:pt>
                <c:pt idx="106">
                  <c:v>2012M11</c:v>
                </c:pt>
                <c:pt idx="107">
                  <c:v>2012M12</c:v>
                </c:pt>
                <c:pt idx="108">
                  <c:v>2013M01</c:v>
                </c:pt>
                <c:pt idx="109">
                  <c:v>2013M02</c:v>
                </c:pt>
                <c:pt idx="110">
                  <c:v>2013M03</c:v>
                </c:pt>
                <c:pt idx="111">
                  <c:v>2013M04</c:v>
                </c:pt>
                <c:pt idx="112">
                  <c:v>2013M05</c:v>
                </c:pt>
                <c:pt idx="113">
                  <c:v>2013M06</c:v>
                </c:pt>
                <c:pt idx="114">
                  <c:v>2013M07</c:v>
                </c:pt>
                <c:pt idx="115">
                  <c:v>2013M08</c:v>
                </c:pt>
                <c:pt idx="116">
                  <c:v>2013M09</c:v>
                </c:pt>
                <c:pt idx="117">
                  <c:v>2013M10</c:v>
                </c:pt>
                <c:pt idx="118">
                  <c:v>2013M11</c:v>
                </c:pt>
                <c:pt idx="119">
                  <c:v>2013M12</c:v>
                </c:pt>
                <c:pt idx="120">
                  <c:v>2014M01</c:v>
                </c:pt>
                <c:pt idx="121">
                  <c:v>2014M02</c:v>
                </c:pt>
                <c:pt idx="122">
                  <c:v>2014M03</c:v>
                </c:pt>
                <c:pt idx="123">
                  <c:v>2014M04</c:v>
                </c:pt>
                <c:pt idx="124">
                  <c:v>2014M05</c:v>
                </c:pt>
                <c:pt idx="125">
                  <c:v>2014M06</c:v>
                </c:pt>
              </c:strCache>
            </c:strRef>
          </c:cat>
          <c:val>
            <c:numRef>
              <c:f>'[Eksportuota matricinė lentelė.xls]Report'!$C$52:$C$177</c:f>
              <c:numCache>
                <c:formatCode>General</c:formatCode>
                <c:ptCount val="126"/>
                <c:pt idx="0">
                  <c:v>79.102099999999993</c:v>
                </c:pt>
                <c:pt idx="1">
                  <c:v>79.483199999999997</c:v>
                </c:pt>
                <c:pt idx="2">
                  <c:v>79.716099999999997</c:v>
                </c:pt>
                <c:pt idx="3">
                  <c:v>81.204499999999996</c:v>
                </c:pt>
                <c:pt idx="4">
                  <c:v>82.885999999999996</c:v>
                </c:pt>
                <c:pt idx="5">
                  <c:v>83.122399999999999</c:v>
                </c:pt>
                <c:pt idx="6">
                  <c:v>84.248599999999996</c:v>
                </c:pt>
                <c:pt idx="7">
                  <c:v>84.476799999999997</c:v>
                </c:pt>
                <c:pt idx="8">
                  <c:v>84.823400000000007</c:v>
                </c:pt>
                <c:pt idx="9">
                  <c:v>86.291399999999996</c:v>
                </c:pt>
                <c:pt idx="10">
                  <c:v>86.279899999999998</c:v>
                </c:pt>
                <c:pt idx="11">
                  <c:v>86.153099999999995</c:v>
                </c:pt>
                <c:pt idx="12">
                  <c:v>86.262</c:v>
                </c:pt>
                <c:pt idx="13">
                  <c:v>86.342100000000002</c:v>
                </c:pt>
                <c:pt idx="14">
                  <c:v>86.350899999999996</c:v>
                </c:pt>
                <c:pt idx="15">
                  <c:v>86.350899999999996</c:v>
                </c:pt>
                <c:pt idx="16">
                  <c:v>87.936199999999999</c:v>
                </c:pt>
                <c:pt idx="17">
                  <c:v>89.086399999999998</c:v>
                </c:pt>
                <c:pt idx="18">
                  <c:v>90.141800000000003</c:v>
                </c:pt>
                <c:pt idx="19">
                  <c:v>90.1614</c:v>
                </c:pt>
                <c:pt idx="20">
                  <c:v>91.328500000000005</c:v>
                </c:pt>
                <c:pt idx="21">
                  <c:v>92.141099999999994</c:v>
                </c:pt>
                <c:pt idx="22">
                  <c:v>92.304500000000004</c:v>
                </c:pt>
                <c:pt idx="23">
                  <c:v>92.469200000000001</c:v>
                </c:pt>
                <c:pt idx="24">
                  <c:v>92.750200000000007</c:v>
                </c:pt>
                <c:pt idx="25">
                  <c:v>93.020499999999998</c:v>
                </c:pt>
                <c:pt idx="26">
                  <c:v>93.571899999999999</c:v>
                </c:pt>
                <c:pt idx="27">
                  <c:v>95.466099999999997</c:v>
                </c:pt>
                <c:pt idx="28">
                  <c:v>96.010300000000001</c:v>
                </c:pt>
                <c:pt idx="29">
                  <c:v>97.371899999999997</c:v>
                </c:pt>
                <c:pt idx="30">
                  <c:v>98.686000000000007</c:v>
                </c:pt>
                <c:pt idx="31">
                  <c:v>98.969499999999996</c:v>
                </c:pt>
                <c:pt idx="32">
                  <c:v>100.3583</c:v>
                </c:pt>
                <c:pt idx="33">
                  <c:v>100.46980000000001</c:v>
                </c:pt>
                <c:pt idx="34">
                  <c:v>101.17910000000001</c:v>
                </c:pt>
                <c:pt idx="35">
                  <c:v>102.8593</c:v>
                </c:pt>
                <c:pt idx="36">
                  <c:v>102.1621</c:v>
                </c:pt>
                <c:pt idx="37">
                  <c:v>103.5866</c:v>
                </c:pt>
                <c:pt idx="38">
                  <c:v>104.39019999999999</c:v>
                </c:pt>
                <c:pt idx="39">
                  <c:v>107.9717</c:v>
                </c:pt>
                <c:pt idx="40">
                  <c:v>108.5129</c:v>
                </c:pt>
                <c:pt idx="41">
                  <c:v>110.965</c:v>
                </c:pt>
                <c:pt idx="42">
                  <c:v>111.96639999999999</c:v>
                </c:pt>
                <c:pt idx="43">
                  <c:v>113.0776</c:v>
                </c:pt>
                <c:pt idx="44">
                  <c:v>115.25360000000001</c:v>
                </c:pt>
                <c:pt idx="45">
                  <c:v>115.3116</c:v>
                </c:pt>
                <c:pt idx="46">
                  <c:v>116.89149999999999</c:v>
                </c:pt>
                <c:pt idx="47">
                  <c:v>117.9828</c:v>
                </c:pt>
                <c:pt idx="48">
                  <c:v>117.67100000000001</c:v>
                </c:pt>
                <c:pt idx="49">
                  <c:v>118.44880000000001</c:v>
                </c:pt>
                <c:pt idx="50">
                  <c:v>120.5326</c:v>
                </c:pt>
                <c:pt idx="51">
                  <c:v>120.29179999999999</c:v>
                </c:pt>
                <c:pt idx="52">
                  <c:v>121.4504</c:v>
                </c:pt>
                <c:pt idx="53">
                  <c:v>122.551</c:v>
                </c:pt>
                <c:pt idx="54">
                  <c:v>122.13590000000001</c:v>
                </c:pt>
                <c:pt idx="55">
                  <c:v>123.04259999999999</c:v>
                </c:pt>
                <c:pt idx="56">
                  <c:v>121.49420000000001</c:v>
                </c:pt>
                <c:pt idx="57">
                  <c:v>118.2238</c:v>
                </c:pt>
                <c:pt idx="58">
                  <c:v>117.46639999999999</c:v>
                </c:pt>
                <c:pt idx="59">
                  <c:v>115.38200000000001</c:v>
                </c:pt>
                <c:pt idx="60">
                  <c:v>113.5234</c:v>
                </c:pt>
                <c:pt idx="61">
                  <c:v>109.1914</c:v>
                </c:pt>
                <c:pt idx="62">
                  <c:v>106.88890000000001</c:v>
                </c:pt>
                <c:pt idx="63">
                  <c:v>104.8488</c:v>
                </c:pt>
                <c:pt idx="64">
                  <c:v>104.6189</c:v>
                </c:pt>
                <c:pt idx="65">
                  <c:v>103.4927</c:v>
                </c:pt>
                <c:pt idx="66">
                  <c:v>102.3004</c:v>
                </c:pt>
                <c:pt idx="67">
                  <c:v>102.8005</c:v>
                </c:pt>
                <c:pt idx="68">
                  <c:v>101.9002</c:v>
                </c:pt>
                <c:pt idx="69">
                  <c:v>100.17140000000001</c:v>
                </c:pt>
                <c:pt idx="70">
                  <c:v>99.634900000000002</c:v>
                </c:pt>
                <c:pt idx="71">
                  <c:v>99.288600000000002</c:v>
                </c:pt>
                <c:pt idx="72">
                  <c:v>98.239599999999996</c:v>
                </c:pt>
                <c:pt idx="73">
                  <c:v>99.015900000000002</c:v>
                </c:pt>
                <c:pt idx="74">
                  <c:v>98.675600000000003</c:v>
                </c:pt>
                <c:pt idx="75">
                  <c:v>98.761200000000002</c:v>
                </c:pt>
                <c:pt idx="76">
                  <c:v>99.367800000000003</c:v>
                </c:pt>
                <c:pt idx="77">
                  <c:v>100.01179999999999</c:v>
                </c:pt>
                <c:pt idx="78">
                  <c:v>101.2294</c:v>
                </c:pt>
                <c:pt idx="79">
                  <c:v>100.919</c:v>
                </c:pt>
                <c:pt idx="80">
                  <c:v>101.35129999999999</c:v>
                </c:pt>
                <c:pt idx="81">
                  <c:v>101.35599999999999</c:v>
                </c:pt>
                <c:pt idx="82">
                  <c:v>100.893</c:v>
                </c:pt>
                <c:pt idx="83">
                  <c:v>100.1795</c:v>
                </c:pt>
                <c:pt idx="84">
                  <c:v>100.15479999999999</c:v>
                </c:pt>
                <c:pt idx="85">
                  <c:v>99.573499999999996</c:v>
                </c:pt>
                <c:pt idx="86">
                  <c:v>99.013199999999998</c:v>
                </c:pt>
                <c:pt idx="87">
                  <c:v>102.41419999999999</c:v>
                </c:pt>
                <c:pt idx="88">
                  <c:v>103.4722</c:v>
                </c:pt>
                <c:pt idx="89">
                  <c:v>104.9451</c:v>
                </c:pt>
                <c:pt idx="90">
                  <c:v>105.9282</c:v>
                </c:pt>
                <c:pt idx="91">
                  <c:v>105.55970000000001</c:v>
                </c:pt>
                <c:pt idx="92">
                  <c:v>105.3849</c:v>
                </c:pt>
                <c:pt idx="93">
                  <c:v>106.3874</c:v>
                </c:pt>
                <c:pt idx="94">
                  <c:v>105.54340000000001</c:v>
                </c:pt>
                <c:pt idx="95">
                  <c:v>104.92319999999999</c:v>
                </c:pt>
                <c:pt idx="96">
                  <c:v>103.6795</c:v>
                </c:pt>
                <c:pt idx="97">
                  <c:v>104.21040000000001</c:v>
                </c:pt>
                <c:pt idx="98">
                  <c:v>103.4098</c:v>
                </c:pt>
                <c:pt idx="99">
                  <c:v>105.3738</c:v>
                </c:pt>
                <c:pt idx="100">
                  <c:v>105.5248</c:v>
                </c:pt>
                <c:pt idx="101">
                  <c:v>106.9813</c:v>
                </c:pt>
                <c:pt idx="102">
                  <c:v>107.8717</c:v>
                </c:pt>
                <c:pt idx="103">
                  <c:v>107.76049999999999</c:v>
                </c:pt>
                <c:pt idx="104">
                  <c:v>109.20399999999999</c:v>
                </c:pt>
                <c:pt idx="105">
                  <c:v>107.95699999999999</c:v>
                </c:pt>
                <c:pt idx="106">
                  <c:v>108.6328</c:v>
                </c:pt>
                <c:pt idx="107">
                  <c:v>109.0733</c:v>
                </c:pt>
                <c:pt idx="108">
                  <c:v>109.44629999999999</c:v>
                </c:pt>
                <c:pt idx="109">
                  <c:v>109.4576</c:v>
                </c:pt>
                <c:pt idx="110">
                  <c:v>108.7439</c:v>
                </c:pt>
                <c:pt idx="111">
                  <c:v>109.4629</c:v>
                </c:pt>
                <c:pt idx="112">
                  <c:v>110.66589999999999</c:v>
                </c:pt>
                <c:pt idx="113">
                  <c:v>113.9667</c:v>
                </c:pt>
                <c:pt idx="114">
                  <c:v>112.4665</c:v>
                </c:pt>
                <c:pt idx="115">
                  <c:v>113.4594</c:v>
                </c:pt>
                <c:pt idx="116">
                  <c:v>113.9653</c:v>
                </c:pt>
                <c:pt idx="117">
                  <c:v>112.7212</c:v>
                </c:pt>
                <c:pt idx="118">
                  <c:v>113.6349</c:v>
                </c:pt>
                <c:pt idx="119">
                  <c:v>114.47669999999999</c:v>
                </c:pt>
                <c:pt idx="120">
                  <c:v>114.7381</c:v>
                </c:pt>
                <c:pt idx="121">
                  <c:v>114.1803</c:v>
                </c:pt>
                <c:pt idx="122">
                  <c:v>113.9195</c:v>
                </c:pt>
                <c:pt idx="123">
                  <c:v>114.1696</c:v>
                </c:pt>
                <c:pt idx="124">
                  <c:v>115.0945</c:v>
                </c:pt>
                <c:pt idx="125">
                  <c:v>116.7497</c:v>
                </c:pt>
              </c:numCache>
            </c:numRef>
          </c:val>
          <c:smooth val="0"/>
          <c:extLst xmlns:c16r2="http://schemas.microsoft.com/office/drawing/2015/06/chart">
            <c:ext xmlns:c16="http://schemas.microsoft.com/office/drawing/2014/chart" uri="{C3380CC4-5D6E-409C-BE32-E72D297353CC}">
              <c16:uniqueId val="{00000000-0C4E-460A-9E0E-A7277A4FA472}"/>
            </c:ext>
          </c:extLst>
        </c:ser>
        <c:dLbls>
          <c:showLegendKey val="0"/>
          <c:showVal val="0"/>
          <c:showCatName val="0"/>
          <c:showSerName val="0"/>
          <c:showPercent val="0"/>
          <c:showBubbleSize val="0"/>
        </c:dLbls>
        <c:hiLowLines/>
        <c:marker val="1"/>
        <c:smooth val="0"/>
        <c:axId val="53732480"/>
        <c:axId val="53734016"/>
      </c:lineChart>
      <c:catAx>
        <c:axId val="53732480"/>
        <c:scaling>
          <c:orientation val="minMax"/>
        </c:scaling>
        <c:delete val="0"/>
        <c:axPos val="b"/>
        <c:numFmt formatCode="General" sourceLinked="0"/>
        <c:majorTickMark val="none"/>
        <c:minorTickMark val="none"/>
        <c:tickLblPos val="nextTo"/>
        <c:txPr>
          <a:bodyPr/>
          <a:lstStyle/>
          <a:p>
            <a:pPr>
              <a:defRPr sz="900"/>
            </a:pPr>
            <a:endParaRPr lang="lt-LT"/>
          </a:p>
        </c:txPr>
        <c:crossAx val="53734016"/>
        <c:crosses val="autoZero"/>
        <c:auto val="1"/>
        <c:lblAlgn val="ctr"/>
        <c:lblOffset val="100"/>
        <c:noMultiLvlLbl val="0"/>
      </c:catAx>
      <c:valAx>
        <c:axId val="53734016"/>
        <c:scaling>
          <c:orientation val="minMax"/>
          <c:min val="60"/>
        </c:scaling>
        <c:delete val="0"/>
        <c:axPos val="l"/>
        <c:majorGridlines/>
        <c:title>
          <c:tx>
            <c:rich>
              <a:bodyPr/>
              <a:lstStyle/>
              <a:p>
                <a:pPr>
                  <a:defRPr sz="900"/>
                </a:pPr>
                <a:r>
                  <a:rPr lang="lt-LT" sz="900"/>
                  <a:t>Kainų ineksas, 2010 m. </a:t>
                </a:r>
                <a:r>
                  <a:rPr lang="en-US" sz="900"/>
                  <a:t>=</a:t>
                </a:r>
                <a:r>
                  <a:rPr lang="en-US" sz="900" baseline="0"/>
                  <a:t> 100</a:t>
                </a:r>
                <a:r>
                  <a:rPr lang="lt-LT" sz="900"/>
                  <a:t> </a:t>
                </a:r>
                <a:endParaRPr lang="en-US" sz="900"/>
              </a:p>
            </c:rich>
          </c:tx>
          <c:layout/>
          <c:overlay val="0"/>
        </c:title>
        <c:numFmt formatCode="General" sourceLinked="1"/>
        <c:majorTickMark val="out"/>
        <c:minorTickMark val="none"/>
        <c:tickLblPos val="nextTo"/>
        <c:crossAx val="53732480"/>
        <c:crosses val="autoZero"/>
        <c:crossBetween val="between"/>
      </c:valAx>
    </c:plotArea>
    <c:legend>
      <c:legendPos val="r"/>
      <c:layout/>
      <c:overlay val="0"/>
      <c:txPr>
        <a:bodyPr/>
        <a:lstStyle/>
        <a:p>
          <a:pPr>
            <a:defRPr sz="900"/>
          </a:pPr>
          <a:endParaRPr lang="lt-LT"/>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radarChart>
        <c:radarStyle val="marker"/>
        <c:varyColors val="0"/>
        <c:ser>
          <c:idx val="0"/>
          <c:order val="0"/>
          <c:cat>
            <c:strRef>
              <c:f>Lapas1!$B$9:$B$17</c:f>
              <c:strCache>
                <c:ptCount val="9"/>
                <c:pt idx="0">
                  <c:v>Nėra ESCO reglamentavimo</c:v>
                </c:pt>
                <c:pt idx="1">
                  <c:v>Ribojanti politika</c:v>
                </c:pt>
                <c:pt idx="2">
                  <c:v>Skirtingos skatinimo priemonės</c:v>
                </c:pt>
                <c:pt idx="3">
                  <c:v>Aukšti sandorių kaštai</c:v>
                </c:pt>
                <c:pt idx="4">
                  <c:v>Vidaus konkurencija</c:v>
                </c:pt>
                <c:pt idx="5">
                  <c:v>Pasitikėjimo trūkumas</c:v>
                </c:pt>
                <c:pt idx="6">
                  <c:v>Žemas supratimo lygis</c:v>
                </c:pt>
                <c:pt idx="7">
                  <c:v>Konkurencingi finansavimo instrumentai</c:v>
                </c:pt>
                <c:pt idx="8">
                  <c:v>Finansavimo problemos</c:v>
                </c:pt>
              </c:strCache>
            </c:strRef>
          </c:cat>
          <c:val>
            <c:numRef>
              <c:f>Lapas1!$C$9:$C$17</c:f>
              <c:numCache>
                <c:formatCode>General</c:formatCode>
                <c:ptCount val="9"/>
                <c:pt idx="0">
                  <c:v>1</c:v>
                </c:pt>
                <c:pt idx="1">
                  <c:v>1</c:v>
                </c:pt>
                <c:pt idx="2">
                  <c:v>0.2</c:v>
                </c:pt>
                <c:pt idx="3">
                  <c:v>0.2</c:v>
                </c:pt>
                <c:pt idx="4">
                  <c:v>0.2</c:v>
                </c:pt>
                <c:pt idx="5">
                  <c:v>0.6</c:v>
                </c:pt>
                <c:pt idx="6">
                  <c:v>1</c:v>
                </c:pt>
                <c:pt idx="7">
                  <c:v>0.8</c:v>
                </c:pt>
                <c:pt idx="8">
                  <c:v>0.8</c:v>
                </c:pt>
              </c:numCache>
            </c:numRef>
          </c:val>
          <c:extLst xmlns:c16r2="http://schemas.microsoft.com/office/drawing/2015/06/chart">
            <c:ext xmlns:c16="http://schemas.microsoft.com/office/drawing/2014/chart" uri="{C3380CC4-5D6E-409C-BE32-E72D297353CC}">
              <c16:uniqueId val="{00000000-0089-4BF1-A9C2-4848B597B5B3}"/>
            </c:ext>
          </c:extLst>
        </c:ser>
        <c:dLbls>
          <c:showLegendKey val="0"/>
          <c:showVal val="0"/>
          <c:showCatName val="0"/>
          <c:showSerName val="0"/>
          <c:showPercent val="0"/>
          <c:showBubbleSize val="0"/>
        </c:dLbls>
        <c:axId val="57490816"/>
        <c:axId val="57508992"/>
      </c:radarChart>
      <c:catAx>
        <c:axId val="57490816"/>
        <c:scaling>
          <c:orientation val="minMax"/>
        </c:scaling>
        <c:delete val="0"/>
        <c:axPos val="b"/>
        <c:majorGridlines/>
        <c:numFmt formatCode="General" sourceLinked="0"/>
        <c:majorTickMark val="out"/>
        <c:minorTickMark val="none"/>
        <c:tickLblPos val="nextTo"/>
        <c:crossAx val="57508992"/>
        <c:crosses val="autoZero"/>
        <c:auto val="1"/>
        <c:lblAlgn val="ctr"/>
        <c:lblOffset val="100"/>
        <c:noMultiLvlLbl val="0"/>
      </c:catAx>
      <c:valAx>
        <c:axId val="57508992"/>
        <c:scaling>
          <c:orientation val="minMax"/>
        </c:scaling>
        <c:delete val="0"/>
        <c:axPos val="l"/>
        <c:majorGridlines/>
        <c:numFmt formatCode="General" sourceLinked="1"/>
        <c:majorTickMark val="cross"/>
        <c:minorTickMark val="none"/>
        <c:tickLblPos val="nextTo"/>
        <c:crossAx val="57490816"/>
        <c:crosses val="autoZero"/>
        <c:crossBetween val="between"/>
        <c:majorUnit val="0.2"/>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radarChart>
        <c:radarStyle val="marker"/>
        <c:varyColors val="0"/>
        <c:ser>
          <c:idx val="0"/>
          <c:order val="0"/>
          <c:cat>
            <c:strRef>
              <c:f>Lapas1!$B$33:$B$41</c:f>
              <c:strCache>
                <c:ptCount val="9"/>
                <c:pt idx="0">
                  <c:v>ESCO rinkos plėtra</c:v>
                </c:pt>
                <c:pt idx="1">
                  <c:v>Politinis palaikymas</c:v>
                </c:pt>
                <c:pt idx="2">
                  <c:v>Tiesioginė parama</c:v>
                </c:pt>
                <c:pt idx="3">
                  <c:v>Ribojantys faktoriai (viešasis sektorius) </c:v>
                </c:pt>
                <c:pt idx="4">
                  <c:v>Ribojantys faktoriai (privatus sektorius)</c:v>
                </c:pt>
                <c:pt idx="5">
                  <c:v>Gyvybingi projektai</c:v>
                </c:pt>
                <c:pt idx="6">
                  <c:v>Konkurencingi finansavimo instrumentai</c:v>
                </c:pt>
                <c:pt idx="7">
                  <c:v>Pasitikėjimas</c:v>
                </c:pt>
                <c:pt idx="8">
                  <c:v>Informacija</c:v>
                </c:pt>
              </c:strCache>
            </c:strRef>
          </c:cat>
          <c:val>
            <c:numRef>
              <c:f>Lapas1!$C$33:$C$41</c:f>
              <c:numCache>
                <c:formatCode>General</c:formatCode>
                <c:ptCount val="9"/>
                <c:pt idx="0">
                  <c:v>0.2</c:v>
                </c:pt>
                <c:pt idx="1">
                  <c:v>0.4</c:v>
                </c:pt>
                <c:pt idx="2">
                  <c:v>0.2</c:v>
                </c:pt>
                <c:pt idx="3">
                  <c:v>0.2</c:v>
                </c:pt>
                <c:pt idx="4">
                  <c:v>0.2</c:v>
                </c:pt>
                <c:pt idx="5">
                  <c:v>0.8</c:v>
                </c:pt>
                <c:pt idx="6">
                  <c:v>0.4</c:v>
                </c:pt>
                <c:pt idx="7">
                  <c:v>0.2</c:v>
                </c:pt>
                <c:pt idx="8">
                  <c:v>0.2</c:v>
                </c:pt>
              </c:numCache>
            </c:numRef>
          </c:val>
          <c:extLst xmlns:c16r2="http://schemas.microsoft.com/office/drawing/2015/06/chart">
            <c:ext xmlns:c16="http://schemas.microsoft.com/office/drawing/2014/chart" uri="{C3380CC4-5D6E-409C-BE32-E72D297353CC}">
              <c16:uniqueId val="{00000000-E680-46D6-A84E-2CEA2BE9B6F8}"/>
            </c:ext>
          </c:extLst>
        </c:ser>
        <c:dLbls>
          <c:showLegendKey val="0"/>
          <c:showVal val="0"/>
          <c:showCatName val="0"/>
          <c:showSerName val="0"/>
          <c:showPercent val="0"/>
          <c:showBubbleSize val="0"/>
        </c:dLbls>
        <c:axId val="57529088"/>
        <c:axId val="57530624"/>
      </c:radarChart>
      <c:catAx>
        <c:axId val="57529088"/>
        <c:scaling>
          <c:orientation val="minMax"/>
        </c:scaling>
        <c:delete val="0"/>
        <c:axPos val="b"/>
        <c:majorGridlines/>
        <c:numFmt formatCode="General" sourceLinked="0"/>
        <c:majorTickMark val="out"/>
        <c:minorTickMark val="none"/>
        <c:tickLblPos val="nextTo"/>
        <c:crossAx val="57530624"/>
        <c:crosses val="autoZero"/>
        <c:auto val="1"/>
        <c:lblAlgn val="ctr"/>
        <c:lblOffset val="100"/>
        <c:noMultiLvlLbl val="0"/>
      </c:catAx>
      <c:valAx>
        <c:axId val="57530624"/>
        <c:scaling>
          <c:orientation val="minMax"/>
        </c:scaling>
        <c:delete val="0"/>
        <c:axPos val="l"/>
        <c:majorGridlines/>
        <c:numFmt formatCode="General" sourceLinked="1"/>
        <c:majorTickMark val="cross"/>
        <c:minorTickMark val="none"/>
        <c:tickLblPos val="nextTo"/>
        <c:crossAx val="57529088"/>
        <c:crosses val="autoZero"/>
        <c:crossBetween val="between"/>
        <c:majorUnit val="0.2"/>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hade val="40000"/>
                </a:scheme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CE1C-470A-BCDD-7FCFE6FB2CB0}"/>
              </c:ext>
            </c:extLst>
          </c:dPt>
          <c:dPt>
            <c:idx val="1"/>
            <c:bubble3D val="0"/>
            <c:spPr>
              <a:solidFill>
                <a:schemeClr val="accent1">
                  <a:shade val="51000"/>
                </a:scheme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CE1C-470A-BCDD-7FCFE6FB2CB0}"/>
              </c:ext>
            </c:extLst>
          </c:dPt>
          <c:dPt>
            <c:idx val="2"/>
            <c:bubble3D val="0"/>
            <c:spPr>
              <a:solidFill>
                <a:schemeClr val="accent1">
                  <a:shade val="62000"/>
                </a:scheme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CE1C-470A-BCDD-7FCFE6FB2CB0}"/>
              </c:ext>
            </c:extLst>
          </c:dPt>
          <c:dPt>
            <c:idx val="3"/>
            <c:bubble3D val="0"/>
            <c:spPr>
              <a:solidFill>
                <a:schemeClr val="accent1">
                  <a:shade val="73000"/>
                </a:scheme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CE1C-470A-BCDD-7FCFE6FB2CB0}"/>
              </c:ext>
            </c:extLst>
          </c:dPt>
          <c:dPt>
            <c:idx val="4"/>
            <c:bubble3D val="0"/>
            <c:spPr>
              <a:solidFill>
                <a:schemeClr val="accent1">
                  <a:shade val="83000"/>
                </a:scheme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CE1C-470A-BCDD-7FCFE6FB2CB0}"/>
              </c:ext>
            </c:extLst>
          </c:dPt>
          <c:dPt>
            <c:idx val="5"/>
            <c:bubble3D val="0"/>
            <c:spPr>
              <a:solidFill>
                <a:schemeClr val="accent1">
                  <a:shade val="94000"/>
                </a:scheme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CE1C-470A-BCDD-7FCFE6FB2CB0}"/>
              </c:ext>
            </c:extLst>
          </c:dPt>
          <c:dPt>
            <c:idx val="6"/>
            <c:bubble3D val="0"/>
            <c:spPr>
              <a:solidFill>
                <a:schemeClr val="accent1">
                  <a:tint val="95000"/>
                </a:scheme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CE1C-470A-BCDD-7FCFE6FB2CB0}"/>
              </c:ext>
            </c:extLst>
          </c:dPt>
          <c:dPt>
            <c:idx val="7"/>
            <c:bubble3D val="0"/>
            <c:spPr>
              <a:solidFill>
                <a:schemeClr val="accent1">
                  <a:tint val="84000"/>
                </a:scheme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CE1C-470A-BCDD-7FCFE6FB2CB0}"/>
              </c:ext>
            </c:extLst>
          </c:dPt>
          <c:dPt>
            <c:idx val="8"/>
            <c:bubble3D val="0"/>
            <c:spPr>
              <a:solidFill>
                <a:schemeClr val="accent1">
                  <a:tint val="74000"/>
                </a:scheme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CE1C-470A-BCDD-7FCFE6FB2CB0}"/>
              </c:ext>
            </c:extLst>
          </c:dPt>
          <c:dPt>
            <c:idx val="9"/>
            <c:bubble3D val="0"/>
            <c:spPr>
              <a:solidFill>
                <a:schemeClr val="accent1">
                  <a:tint val="63000"/>
                </a:scheme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CE1C-470A-BCDD-7FCFE6FB2CB0}"/>
              </c:ext>
            </c:extLst>
          </c:dPt>
          <c:dPt>
            <c:idx val="10"/>
            <c:bubble3D val="0"/>
            <c:spPr>
              <a:solidFill>
                <a:schemeClr val="accent1">
                  <a:tint val="52000"/>
                </a:scheme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CE1C-470A-BCDD-7FCFE6FB2CB0}"/>
              </c:ext>
            </c:extLst>
          </c:dPt>
          <c:dPt>
            <c:idx val="11"/>
            <c:bubble3D val="0"/>
            <c:spPr>
              <a:solidFill>
                <a:schemeClr val="accent1">
                  <a:tint val="41000"/>
                </a:scheme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CE1C-470A-BCDD-7FCFE6FB2CB0}"/>
              </c:ext>
            </c:extLst>
          </c:dPt>
          <c:dLbls>
            <c:dLbl>
              <c:idx val="0"/>
              <c:layout>
                <c:manualLayout>
                  <c:x val="-4.8645660585959094E-2"/>
                  <c:y val="-1.1994001110625615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hade val="40000"/>
                        </a:schemeClr>
                      </a:solidFill>
                      <a:latin typeface="+mn-lt"/>
                      <a:ea typeface="+mn-ea"/>
                      <a:cs typeface="+mn-cs"/>
                    </a:defRPr>
                  </a:pPr>
                  <a:endParaRPr lang="lt-LT"/>
                </a:p>
              </c:txPr>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E1C-470A-BCDD-7FCFE6FB2CB0}"/>
                </c:ext>
              </c:extLst>
            </c:dLbl>
            <c:dLbl>
              <c:idx val="1"/>
              <c:layout>
                <c:manualLayout>
                  <c:x val="0"/>
                  <c:y val="-0.13593201258709031"/>
                </c:manualLayout>
              </c:layout>
              <c:spPr>
                <a:noFill/>
                <a:ln>
                  <a:noFill/>
                </a:ln>
                <a:effectLst/>
              </c:spPr>
              <c:txPr>
                <a:bodyPr rot="0" spcFirstLastPara="1" vertOverflow="ellipsis" vert="horz" wrap="square" lIns="38100" tIns="19050" rIns="38100" bIns="19050" anchor="ctr" anchorCtr="1">
                  <a:spAutoFit/>
                </a:bodyPr>
                <a:lstStyle/>
                <a:p>
                  <a:pPr algn="ctr" rtl="0">
                    <a:defRPr lang="en-US" sz="800" b="1" i="0" u="none" strike="noStrike" kern="1200" spc="0" baseline="0">
                      <a:solidFill>
                        <a:srgbClr val="5B9BD5">
                          <a:shade val="40000"/>
                        </a:srgbClr>
                      </a:solidFill>
                      <a:latin typeface="+mn-lt"/>
                      <a:ea typeface="+mn-ea"/>
                      <a:cs typeface="+mn-cs"/>
                    </a:defRPr>
                  </a:pPr>
                  <a:endParaRPr lang="lt-LT"/>
                </a:p>
              </c:txPr>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E1C-470A-BCDD-7FCFE6FB2CB0}"/>
                </c:ext>
              </c:extLst>
            </c:dLbl>
            <c:dLbl>
              <c:idx val="2"/>
              <c:layout>
                <c:manualLayout>
                  <c:x val="3.5199442974778929E-2"/>
                  <c:y val="-4.4937160462381762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hade val="62000"/>
                        </a:schemeClr>
                      </a:solidFill>
                      <a:latin typeface="+mn-lt"/>
                      <a:ea typeface="+mn-ea"/>
                      <a:cs typeface="+mn-cs"/>
                    </a:defRPr>
                  </a:pPr>
                  <a:endParaRPr lang="lt-LT"/>
                </a:p>
              </c:txPr>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E1C-470A-BCDD-7FCFE6FB2CB0}"/>
                </c:ext>
              </c:extLst>
            </c:dLbl>
            <c:dLbl>
              <c:idx val="3"/>
              <c:layout>
                <c:manualLayout>
                  <c:x val="0.2459690516493562"/>
                  <c:y val="-2.456795637170581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hade val="73000"/>
                        </a:schemeClr>
                      </a:solidFill>
                      <a:latin typeface="+mn-lt"/>
                      <a:ea typeface="+mn-ea"/>
                      <a:cs typeface="+mn-cs"/>
                    </a:defRPr>
                  </a:pPr>
                  <a:endParaRPr lang="lt-LT"/>
                </a:p>
              </c:txPr>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E1C-470A-BCDD-7FCFE6FB2CB0}"/>
                </c:ext>
              </c:extLst>
            </c:dLbl>
            <c:dLbl>
              <c:idx val="4"/>
              <c:layout>
                <c:manualLayout>
                  <c:x val="5.0326147042564953E-2"/>
                  <c:y val="0.11994001110625614"/>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hade val="83000"/>
                        </a:schemeClr>
                      </a:solidFill>
                      <a:latin typeface="+mn-lt"/>
                      <a:ea typeface="+mn-ea"/>
                      <a:cs typeface="+mn-cs"/>
                    </a:defRPr>
                  </a:pPr>
                  <a:endParaRPr lang="lt-LT"/>
                </a:p>
              </c:txPr>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E1C-470A-BCDD-7FCFE6FB2CB0}"/>
                </c:ext>
              </c:extLst>
            </c:dLbl>
            <c:dLbl>
              <c:idx val="5"/>
              <c:layout>
                <c:manualLayout>
                  <c:x val="-9.9502487562189129E-2"/>
                  <c:y val="7.1964006663753688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hade val="94000"/>
                        </a:schemeClr>
                      </a:solidFill>
                      <a:latin typeface="+mn-lt"/>
                      <a:ea typeface="+mn-ea"/>
                      <a:cs typeface="+mn-cs"/>
                    </a:defRPr>
                  </a:pPr>
                  <a:endParaRPr lang="lt-LT"/>
                </a:p>
              </c:txPr>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E1C-470A-BCDD-7FCFE6FB2CB0}"/>
                </c:ext>
              </c:extLst>
            </c:dLbl>
            <c:dLbl>
              <c:idx val="6"/>
              <c:layout>
                <c:manualLayout>
                  <c:x val="-2.4322830292979547E-2"/>
                  <c:y val="3.1984002961668305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tint val="95000"/>
                        </a:schemeClr>
                      </a:solidFill>
                      <a:latin typeface="+mn-lt"/>
                      <a:ea typeface="+mn-ea"/>
                      <a:cs typeface="+mn-cs"/>
                    </a:defRPr>
                  </a:pPr>
                  <a:endParaRPr lang="lt-LT"/>
                </a:p>
              </c:txPr>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E1C-470A-BCDD-7FCFE6FB2CB0}"/>
                </c:ext>
              </c:extLst>
            </c:dLbl>
            <c:dLbl>
              <c:idx val="7"/>
              <c:layout>
                <c:manualLayout>
                  <c:x val="0"/>
                  <c:y val="9.0696883111217749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tint val="84000"/>
                        </a:schemeClr>
                      </a:solidFill>
                      <a:latin typeface="+mn-lt"/>
                      <a:ea typeface="+mn-ea"/>
                      <a:cs typeface="+mn-cs"/>
                    </a:defRPr>
                  </a:pPr>
                  <a:endParaRPr lang="lt-LT"/>
                </a:p>
              </c:txPr>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CE1C-470A-BCDD-7FCFE6FB2CB0}"/>
                </c:ext>
              </c:extLst>
            </c:dLbl>
            <c:dLbl>
              <c:idx val="8"/>
              <c:layout>
                <c:manualLayout>
                  <c:x val="0"/>
                  <c:y val="9.1954008514796376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tint val="74000"/>
                        </a:schemeClr>
                      </a:solidFill>
                      <a:latin typeface="+mn-lt"/>
                      <a:ea typeface="+mn-ea"/>
                      <a:cs typeface="+mn-cs"/>
                    </a:defRPr>
                  </a:pPr>
                  <a:endParaRPr lang="lt-LT"/>
                </a:p>
              </c:txPr>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CE1C-470A-BCDD-7FCFE6FB2CB0}"/>
                </c:ext>
              </c:extLst>
            </c:dLbl>
            <c:dLbl>
              <c:idx val="9"/>
              <c:layout>
                <c:manualLayout>
                  <c:x val="0"/>
                  <c:y val="1.599200148083408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tint val="63000"/>
                        </a:schemeClr>
                      </a:solidFill>
                      <a:latin typeface="+mn-lt"/>
                      <a:ea typeface="+mn-ea"/>
                      <a:cs typeface="+mn-cs"/>
                    </a:defRPr>
                  </a:pPr>
                  <a:endParaRPr lang="lt-LT"/>
                </a:p>
              </c:txPr>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CE1C-470A-BCDD-7FCFE6FB2CB0}"/>
                </c:ext>
              </c:extLst>
            </c:dLbl>
            <c:dLbl>
              <c:idx val="10"/>
              <c:layout>
                <c:manualLayout>
                  <c:x val="0"/>
                  <c:y val="-0.19990001851042694"/>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lt-LT"/>
                </a:p>
              </c:txPr>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CE1C-470A-BCDD-7FCFE6FB2CB0}"/>
                </c:ext>
              </c:extLst>
            </c:dLbl>
            <c:dLbl>
              <c:idx val="11"/>
              <c:layout>
                <c:manualLayout>
                  <c:x val="-5.0856826976229973E-2"/>
                  <c:y val="-7.1964006663753674E-2"/>
                </c:manualLayout>
              </c:layout>
              <c:spPr>
                <a:noFill/>
                <a:ln>
                  <a:noFill/>
                </a:ln>
                <a:effectLst/>
              </c:spPr>
              <c:txPr>
                <a:bodyPr rot="0" spcFirstLastPara="1" vertOverflow="ellipsis" vert="horz" wrap="square" lIns="38100" tIns="19050" rIns="38100" bIns="19050" anchor="ctr" anchorCtr="1">
                  <a:spAutoFit/>
                </a:bodyPr>
                <a:lstStyle/>
                <a:p>
                  <a:pPr algn="ctr" rtl="0">
                    <a:defRPr lang="en-US" sz="800" b="1" i="0" u="none" strike="noStrike" kern="1200" spc="0" baseline="0">
                      <a:solidFill>
                        <a:srgbClr val="5B9BD5">
                          <a:shade val="40000"/>
                        </a:srgbClr>
                      </a:solidFill>
                      <a:latin typeface="+mn-lt"/>
                      <a:ea typeface="+mn-ea"/>
                      <a:cs typeface="+mn-cs"/>
                    </a:defRPr>
                  </a:pPr>
                  <a:endParaRPr lang="lt-LT"/>
                </a:p>
              </c:txPr>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CE1C-470A-BCDD-7FCFE6FB2CB0}"/>
                </c:ext>
              </c:extLst>
            </c:dLbl>
            <c:dLbl>
              <c:idx val="12"/>
              <c:layout>
                <c:manualLayout>
                  <c:x val="-5.9701492537313453E-2"/>
                  <c:y val="-2.3988002221251224E-2"/>
                </c:manualLayout>
              </c:layout>
              <c:spPr/>
              <c:txPr>
                <a:bodyPr/>
                <a:lstStyle/>
                <a:p>
                  <a:pPr algn="ctr" rtl="0">
                    <a:defRPr lang="en-US" sz="800" b="1" i="0" u="none" strike="noStrike" kern="1200" spc="0" baseline="0">
                      <a:solidFill>
                        <a:srgbClr val="5B9BD5">
                          <a:shade val="40000"/>
                        </a:srgbClr>
                      </a:solidFill>
                      <a:latin typeface="+mn-lt"/>
                      <a:ea typeface="+mn-ea"/>
                      <a:cs typeface="+mn-cs"/>
                    </a:defRPr>
                  </a:pPr>
                  <a:endParaRPr lang="lt-LT"/>
                </a:p>
              </c:txPr>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CE1C-470A-BCDD-7FCFE6FB2CB0}"/>
                </c:ext>
              </c:extLst>
            </c:dLbl>
            <c:spPr>
              <a:noFill/>
              <a:ln>
                <a:noFill/>
              </a:ln>
              <a:effectLst/>
            </c:spPr>
            <c:txPr>
              <a:bodyPr/>
              <a:lstStyle/>
              <a:p>
                <a:pPr>
                  <a:defRPr sz="800"/>
                </a:pPr>
                <a:endParaRPr lang="lt-LT"/>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'[Grafikai (1).xlsx]Sheet1'!$M$51:$M$62</c:f>
              <c:strCache>
                <c:ptCount val="12"/>
                <c:pt idx="0">
                  <c:v>Energetika</c:v>
                </c:pt>
                <c:pt idx="1">
                  <c:v>Transportas</c:v>
                </c:pt>
                <c:pt idx="2">
                  <c:v>Kita</c:v>
                </c:pt>
                <c:pt idx="3">
                  <c:v>Vandentvarka, nuotekos, atliekos</c:v>
                </c:pt>
                <c:pt idx="4">
                  <c:v>Miestų plėtra</c:v>
                </c:pt>
                <c:pt idx="5">
                  <c:v>Mišri infrastruktūra</c:v>
                </c:pt>
                <c:pt idx="6">
                  <c:v>Pramonė</c:v>
                </c:pt>
                <c:pt idx="7">
                  <c:v>Paslaugos</c:v>
                </c:pt>
                <c:pt idx="8">
                  <c:v>Švietimas</c:v>
                </c:pt>
                <c:pt idx="9">
                  <c:v>Sveikatos apsauga</c:v>
                </c:pt>
                <c:pt idx="10">
                  <c:v>Žemės ūkis, žuvininkystė, miškininkystė</c:v>
                </c:pt>
                <c:pt idx="11">
                  <c:v>Kredito linijos</c:v>
                </c:pt>
              </c:strCache>
            </c:strRef>
          </c:cat>
          <c:val>
            <c:numRef>
              <c:f>'[Grafikai (1).xlsx]Sheet1'!$N$51:$N$62</c:f>
              <c:numCache>
                <c:formatCode>0</c:formatCode>
                <c:ptCount val="12"/>
                <c:pt idx="0">
                  <c:v>9078</c:v>
                </c:pt>
                <c:pt idx="1">
                  <c:v>11637</c:v>
                </c:pt>
                <c:pt idx="2">
                  <c:v>8321</c:v>
                </c:pt>
                <c:pt idx="3">
                  <c:v>4457</c:v>
                </c:pt>
                <c:pt idx="4">
                  <c:v>1208</c:v>
                </c:pt>
                <c:pt idx="6">
                  <c:v>7163</c:v>
                </c:pt>
                <c:pt idx="7">
                  <c:v>3810</c:v>
                </c:pt>
                <c:pt idx="11">
                  <c:v>18345</c:v>
                </c:pt>
              </c:numCache>
            </c:numRef>
          </c:val>
          <c:extLst xmlns:c16r2="http://schemas.microsoft.com/office/drawing/2015/06/chart">
            <c:ext xmlns:c16="http://schemas.microsoft.com/office/drawing/2014/chart" uri="{C3380CC4-5D6E-409C-BE32-E72D297353CC}">
              <c16:uniqueId val="{00000019-CE1C-470A-BCDD-7FCFE6FB2CB0}"/>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A677D1-FB83-4738-BB97-F0FBA01981B3}"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lt-LT"/>
        </a:p>
      </dgm:t>
    </dgm:pt>
    <dgm:pt modelId="{F36DF0F7-0B4E-4817-89DE-20FB7C1958A2}">
      <dgm:prSet phldrT="[Tekstas]"/>
      <dgm:spPr/>
      <dgm:t>
        <a:bodyPr/>
        <a:lstStyle/>
        <a:p>
          <a:r>
            <a:rPr lang="lt-LT"/>
            <a:t>Gyvenamųjų ir viešosios paskirties pastatų sutaupymas kievienais metais - 121,8 GWh</a:t>
          </a:r>
        </a:p>
      </dgm:t>
    </dgm:pt>
    <dgm:pt modelId="{86B1B663-3755-442C-8661-0B2D6A39D6E5}" type="parTrans" cxnId="{DDC9C78F-2B76-4241-B25E-1E7D82F2FA71}">
      <dgm:prSet/>
      <dgm:spPr/>
      <dgm:t>
        <a:bodyPr/>
        <a:lstStyle/>
        <a:p>
          <a:endParaRPr lang="lt-LT"/>
        </a:p>
      </dgm:t>
    </dgm:pt>
    <dgm:pt modelId="{AE26535E-A9CB-41AB-A015-2F07FEACFBE7}" type="sibTrans" cxnId="{DDC9C78F-2B76-4241-B25E-1E7D82F2FA71}">
      <dgm:prSet/>
      <dgm:spPr/>
      <dgm:t>
        <a:bodyPr/>
        <a:lstStyle/>
        <a:p>
          <a:endParaRPr lang="lt-LT"/>
        </a:p>
      </dgm:t>
    </dgm:pt>
    <dgm:pt modelId="{BFCBE543-8B23-4D8A-B274-7B7210E65581}">
      <dgm:prSet phldrT="[Tekstas]"/>
      <dgm:spPr/>
      <dgm:t>
        <a:bodyPr/>
        <a:lstStyle/>
        <a:p>
          <a:r>
            <a:rPr lang="lt-LT"/>
            <a:t>Viešosios paskirties pastatų sutaupymas kievienais metais (30 proc. arba 36,6 GWh)</a:t>
          </a:r>
        </a:p>
      </dgm:t>
    </dgm:pt>
    <dgm:pt modelId="{26238944-C45E-4A5C-8621-C778EAB841BC}" type="parTrans" cxnId="{742D6D2F-FD96-49E1-8A42-55B535A410F3}">
      <dgm:prSet/>
      <dgm:spPr/>
      <dgm:t>
        <a:bodyPr/>
        <a:lstStyle/>
        <a:p>
          <a:endParaRPr lang="lt-LT"/>
        </a:p>
      </dgm:t>
    </dgm:pt>
    <dgm:pt modelId="{2B6B3DE6-51AD-486F-B3F2-40B256647E82}" type="sibTrans" cxnId="{742D6D2F-FD96-49E1-8A42-55B535A410F3}">
      <dgm:prSet/>
      <dgm:spPr/>
      <dgm:t>
        <a:bodyPr/>
        <a:lstStyle/>
        <a:p>
          <a:endParaRPr lang="lt-LT"/>
        </a:p>
      </dgm:t>
    </dgm:pt>
    <dgm:pt modelId="{61FEEA3B-D487-411F-B802-AC1B282C1573}">
      <dgm:prSet phldrT="[Tekstas]"/>
      <dgm:spPr/>
      <dgm:t>
        <a:bodyPr/>
        <a:lstStyle/>
        <a:p>
          <a:pPr algn="ctr"/>
          <a:r>
            <a:rPr lang="lt-LT"/>
            <a:t>Centrinės valdžios pastatų sutaupymas </a:t>
          </a:r>
          <a:r>
            <a:rPr lang="en-US"/>
            <a:t>: </a:t>
          </a:r>
          <a:endParaRPr lang="lt-LT"/>
        </a:p>
        <a:p>
          <a:pPr algn="l"/>
          <a:r>
            <a:rPr lang="en-US"/>
            <a:t>a) skir</a:t>
          </a:r>
          <a:r>
            <a:rPr lang="lt-LT"/>
            <a:t>s</a:t>
          </a:r>
          <a:r>
            <a:rPr lang="en-US"/>
            <a:t>tant vie</a:t>
          </a:r>
          <a:r>
            <a:rPr lang="lt-LT"/>
            <a:t>šuosius pastatus proporcingai - 15,4 GWh</a:t>
          </a:r>
        </a:p>
        <a:p>
          <a:pPr algn="l"/>
          <a:r>
            <a:rPr lang="lt-LT"/>
            <a:t>b) pagal Energijos efektyvumo direktyvą - 9,5 GWh </a:t>
          </a:r>
          <a:endParaRPr lang="en-US"/>
        </a:p>
      </dgm:t>
    </dgm:pt>
    <dgm:pt modelId="{7C1964B3-602B-486A-93EC-8C32C962E408}" type="parTrans" cxnId="{68777140-F42B-477F-9F0C-D482A992E4FA}">
      <dgm:prSet/>
      <dgm:spPr/>
      <dgm:t>
        <a:bodyPr/>
        <a:lstStyle/>
        <a:p>
          <a:endParaRPr lang="lt-LT"/>
        </a:p>
      </dgm:t>
    </dgm:pt>
    <dgm:pt modelId="{E799451D-8573-47FF-9C5F-0869EA01C4E8}" type="sibTrans" cxnId="{68777140-F42B-477F-9F0C-D482A992E4FA}">
      <dgm:prSet/>
      <dgm:spPr/>
      <dgm:t>
        <a:bodyPr/>
        <a:lstStyle/>
        <a:p>
          <a:endParaRPr lang="lt-LT"/>
        </a:p>
      </dgm:t>
    </dgm:pt>
    <dgm:pt modelId="{BE176E23-EA63-472E-87A6-5C23C49CBF2D}">
      <dgm:prSet phldrT="[Tekstas]"/>
      <dgm:spPr/>
      <dgm:t>
        <a:bodyPr/>
        <a:lstStyle/>
        <a:p>
          <a:pPr algn="ctr"/>
          <a:r>
            <a:rPr lang="lt-LT"/>
            <a:t>Savivaldybių pastatų sutaupymai:</a:t>
          </a:r>
        </a:p>
        <a:p>
          <a:pPr algn="l"/>
          <a:r>
            <a:rPr lang="en-US"/>
            <a:t>a) skir</a:t>
          </a:r>
          <a:r>
            <a:rPr lang="lt-LT"/>
            <a:t>s</a:t>
          </a:r>
          <a:r>
            <a:rPr lang="en-US"/>
            <a:t>tant vie</a:t>
          </a:r>
          <a:r>
            <a:rPr lang="lt-LT"/>
            <a:t>šuosius pastatus proporcingai - 21,2 GWh</a:t>
          </a:r>
        </a:p>
        <a:p>
          <a:pPr algn="l"/>
          <a:r>
            <a:rPr lang="lt-LT"/>
            <a:t>b) pagal Energijos efektyvumo direktyvą - 27,1 GWh </a:t>
          </a:r>
        </a:p>
      </dgm:t>
    </dgm:pt>
    <dgm:pt modelId="{FF7DCD98-F79F-49DB-9C23-02B2AC6768B5}" type="parTrans" cxnId="{5D5C84D4-4A0A-4EE7-946B-80D5B73D1890}">
      <dgm:prSet/>
      <dgm:spPr/>
      <dgm:t>
        <a:bodyPr/>
        <a:lstStyle/>
        <a:p>
          <a:endParaRPr lang="lt-LT"/>
        </a:p>
      </dgm:t>
    </dgm:pt>
    <dgm:pt modelId="{26C8200B-4EF7-41A3-A560-9181E5CA4107}" type="sibTrans" cxnId="{5D5C84D4-4A0A-4EE7-946B-80D5B73D1890}">
      <dgm:prSet/>
      <dgm:spPr/>
      <dgm:t>
        <a:bodyPr/>
        <a:lstStyle/>
        <a:p>
          <a:endParaRPr lang="lt-LT"/>
        </a:p>
      </dgm:t>
    </dgm:pt>
    <dgm:pt modelId="{C7E4F070-2AC5-431E-B8A3-BEF8825C10EB}">
      <dgm:prSet phldrT="[Tekstas]"/>
      <dgm:spPr/>
      <dgm:t>
        <a:bodyPr/>
        <a:lstStyle/>
        <a:p>
          <a:r>
            <a:rPr lang="lt-LT"/>
            <a:t>Daugiabučių sutaupymas kiekvienais metais (70 proc. arba 85,3 GWh)</a:t>
          </a:r>
        </a:p>
      </dgm:t>
    </dgm:pt>
    <dgm:pt modelId="{8ED34BC3-6A2D-4D04-A6D9-845BF2AD8F83}" type="parTrans" cxnId="{DA370368-CF6B-438A-8A04-04820442495A}">
      <dgm:prSet/>
      <dgm:spPr/>
      <dgm:t>
        <a:bodyPr/>
        <a:lstStyle/>
        <a:p>
          <a:endParaRPr lang="lt-LT"/>
        </a:p>
      </dgm:t>
    </dgm:pt>
    <dgm:pt modelId="{C901C162-6B14-4B40-BE82-05EED7ECA917}" type="sibTrans" cxnId="{DA370368-CF6B-438A-8A04-04820442495A}">
      <dgm:prSet/>
      <dgm:spPr/>
      <dgm:t>
        <a:bodyPr/>
        <a:lstStyle/>
        <a:p>
          <a:endParaRPr lang="lt-LT"/>
        </a:p>
      </dgm:t>
    </dgm:pt>
    <dgm:pt modelId="{A3F4F399-EF87-44BE-9227-614931049B92}" type="pres">
      <dgm:prSet presAssocID="{C3A677D1-FB83-4738-BB97-F0FBA01981B3}" presName="Name0" presStyleCnt="0">
        <dgm:presLayoutVars>
          <dgm:chPref val="1"/>
          <dgm:dir/>
          <dgm:animOne val="branch"/>
          <dgm:animLvl val="lvl"/>
          <dgm:resizeHandles/>
        </dgm:presLayoutVars>
      </dgm:prSet>
      <dgm:spPr/>
      <dgm:t>
        <a:bodyPr/>
        <a:lstStyle/>
        <a:p>
          <a:endParaRPr lang="lt-LT"/>
        </a:p>
      </dgm:t>
    </dgm:pt>
    <dgm:pt modelId="{F8564EFF-F5CD-42CF-A169-B3C9DF8773A0}" type="pres">
      <dgm:prSet presAssocID="{F36DF0F7-0B4E-4817-89DE-20FB7C1958A2}" presName="vertOne" presStyleCnt="0"/>
      <dgm:spPr/>
    </dgm:pt>
    <dgm:pt modelId="{4682F709-1D14-4730-8670-01CEEADD3792}" type="pres">
      <dgm:prSet presAssocID="{F36DF0F7-0B4E-4817-89DE-20FB7C1958A2}" presName="txOne" presStyleLbl="node0" presStyleIdx="0" presStyleCnt="1" custScaleY="57395">
        <dgm:presLayoutVars>
          <dgm:chPref val="3"/>
        </dgm:presLayoutVars>
      </dgm:prSet>
      <dgm:spPr/>
      <dgm:t>
        <a:bodyPr/>
        <a:lstStyle/>
        <a:p>
          <a:endParaRPr lang="lt-LT"/>
        </a:p>
      </dgm:t>
    </dgm:pt>
    <dgm:pt modelId="{F3CCCB97-0195-466D-A415-864FCC8D892E}" type="pres">
      <dgm:prSet presAssocID="{F36DF0F7-0B4E-4817-89DE-20FB7C1958A2}" presName="parTransOne" presStyleCnt="0"/>
      <dgm:spPr/>
    </dgm:pt>
    <dgm:pt modelId="{790EA5E1-C106-4C86-B053-DC6B5ADE4D96}" type="pres">
      <dgm:prSet presAssocID="{F36DF0F7-0B4E-4817-89DE-20FB7C1958A2}" presName="horzOne" presStyleCnt="0"/>
      <dgm:spPr/>
    </dgm:pt>
    <dgm:pt modelId="{D900FBAF-5149-4684-8C12-424DE0E28D55}" type="pres">
      <dgm:prSet presAssocID="{BFCBE543-8B23-4D8A-B274-7B7210E65581}" presName="vertTwo" presStyleCnt="0"/>
      <dgm:spPr/>
    </dgm:pt>
    <dgm:pt modelId="{EED2EAE6-91EE-4DCA-84EA-1449C9E0DA02}" type="pres">
      <dgm:prSet presAssocID="{BFCBE543-8B23-4D8A-B274-7B7210E65581}" presName="txTwo" presStyleLbl="node2" presStyleIdx="0" presStyleCnt="2" custScaleY="58913" custLinFactNeighborX="-18">
        <dgm:presLayoutVars>
          <dgm:chPref val="3"/>
        </dgm:presLayoutVars>
      </dgm:prSet>
      <dgm:spPr/>
      <dgm:t>
        <a:bodyPr/>
        <a:lstStyle/>
        <a:p>
          <a:endParaRPr lang="lt-LT"/>
        </a:p>
      </dgm:t>
    </dgm:pt>
    <dgm:pt modelId="{4D2736A6-8449-48D2-BDD9-15C031538723}" type="pres">
      <dgm:prSet presAssocID="{BFCBE543-8B23-4D8A-B274-7B7210E65581}" presName="parTransTwo" presStyleCnt="0"/>
      <dgm:spPr/>
    </dgm:pt>
    <dgm:pt modelId="{F4BAF53A-92E2-4205-AE9E-1DD0BD153EC5}" type="pres">
      <dgm:prSet presAssocID="{BFCBE543-8B23-4D8A-B274-7B7210E65581}" presName="horzTwo" presStyleCnt="0"/>
      <dgm:spPr/>
    </dgm:pt>
    <dgm:pt modelId="{1B3E0564-2EEB-4FED-A10C-E12190B5449C}" type="pres">
      <dgm:prSet presAssocID="{61FEEA3B-D487-411F-B802-AC1B282C1573}" presName="vertThree" presStyleCnt="0"/>
      <dgm:spPr/>
    </dgm:pt>
    <dgm:pt modelId="{B0763725-0814-4B6D-B0F3-770EBBD35542}" type="pres">
      <dgm:prSet presAssocID="{61FEEA3B-D487-411F-B802-AC1B282C1573}" presName="txThree" presStyleLbl="node3" presStyleIdx="0" presStyleCnt="2">
        <dgm:presLayoutVars>
          <dgm:chPref val="3"/>
        </dgm:presLayoutVars>
      </dgm:prSet>
      <dgm:spPr/>
      <dgm:t>
        <a:bodyPr/>
        <a:lstStyle/>
        <a:p>
          <a:endParaRPr lang="lt-LT"/>
        </a:p>
      </dgm:t>
    </dgm:pt>
    <dgm:pt modelId="{8914F65D-BA24-4DD4-8BCA-6EAD613A966D}" type="pres">
      <dgm:prSet presAssocID="{61FEEA3B-D487-411F-B802-AC1B282C1573}" presName="horzThree" presStyleCnt="0"/>
      <dgm:spPr/>
    </dgm:pt>
    <dgm:pt modelId="{7C194333-753E-4C12-9318-42527BB3FA3D}" type="pres">
      <dgm:prSet presAssocID="{E799451D-8573-47FF-9C5F-0869EA01C4E8}" presName="sibSpaceThree" presStyleCnt="0"/>
      <dgm:spPr/>
    </dgm:pt>
    <dgm:pt modelId="{BC73EEC9-E7C4-4D6A-B6FA-13310FF29088}" type="pres">
      <dgm:prSet presAssocID="{BE176E23-EA63-472E-87A6-5C23C49CBF2D}" presName="vertThree" presStyleCnt="0"/>
      <dgm:spPr/>
    </dgm:pt>
    <dgm:pt modelId="{85E7B232-5471-4E11-8200-D3FFC485E82F}" type="pres">
      <dgm:prSet presAssocID="{BE176E23-EA63-472E-87A6-5C23C49CBF2D}" presName="txThree" presStyleLbl="node3" presStyleIdx="1" presStyleCnt="2">
        <dgm:presLayoutVars>
          <dgm:chPref val="3"/>
        </dgm:presLayoutVars>
      </dgm:prSet>
      <dgm:spPr/>
      <dgm:t>
        <a:bodyPr/>
        <a:lstStyle/>
        <a:p>
          <a:endParaRPr lang="lt-LT"/>
        </a:p>
      </dgm:t>
    </dgm:pt>
    <dgm:pt modelId="{B341E570-87C3-47BB-A092-4817940F774B}" type="pres">
      <dgm:prSet presAssocID="{BE176E23-EA63-472E-87A6-5C23C49CBF2D}" presName="horzThree" presStyleCnt="0"/>
      <dgm:spPr/>
    </dgm:pt>
    <dgm:pt modelId="{5F7AAF4D-A3CD-4A14-AF67-6DDEF248DB78}" type="pres">
      <dgm:prSet presAssocID="{2B6B3DE6-51AD-486F-B3F2-40B256647E82}" presName="sibSpaceTwo" presStyleCnt="0"/>
      <dgm:spPr/>
    </dgm:pt>
    <dgm:pt modelId="{953BB729-F014-40C5-94E6-630016796DB4}" type="pres">
      <dgm:prSet presAssocID="{C7E4F070-2AC5-431E-B8A3-BEF8825C10EB}" presName="vertTwo" presStyleCnt="0"/>
      <dgm:spPr/>
    </dgm:pt>
    <dgm:pt modelId="{EC32C20A-D494-475C-9AC4-9951E6045CB2}" type="pres">
      <dgm:prSet presAssocID="{C7E4F070-2AC5-431E-B8A3-BEF8825C10EB}" presName="txTwo" presStyleLbl="node2" presStyleIdx="1" presStyleCnt="2">
        <dgm:presLayoutVars>
          <dgm:chPref val="3"/>
        </dgm:presLayoutVars>
      </dgm:prSet>
      <dgm:spPr/>
      <dgm:t>
        <a:bodyPr/>
        <a:lstStyle/>
        <a:p>
          <a:endParaRPr lang="lt-LT"/>
        </a:p>
      </dgm:t>
    </dgm:pt>
    <dgm:pt modelId="{2961D558-23B7-4A03-8DCE-004834308961}" type="pres">
      <dgm:prSet presAssocID="{C7E4F070-2AC5-431E-B8A3-BEF8825C10EB}" presName="horzTwo" presStyleCnt="0"/>
      <dgm:spPr/>
    </dgm:pt>
  </dgm:ptLst>
  <dgm:cxnLst>
    <dgm:cxn modelId="{5D5C84D4-4A0A-4EE7-946B-80D5B73D1890}" srcId="{BFCBE543-8B23-4D8A-B274-7B7210E65581}" destId="{BE176E23-EA63-472E-87A6-5C23C49CBF2D}" srcOrd="1" destOrd="0" parTransId="{FF7DCD98-F79F-49DB-9C23-02B2AC6768B5}" sibTransId="{26C8200B-4EF7-41A3-A560-9181E5CA4107}"/>
    <dgm:cxn modelId="{382E89C7-16E7-4F2F-84DB-D9F99B473418}" type="presOf" srcId="{C7E4F070-2AC5-431E-B8A3-BEF8825C10EB}" destId="{EC32C20A-D494-475C-9AC4-9951E6045CB2}" srcOrd="0" destOrd="0" presId="urn:microsoft.com/office/officeart/2005/8/layout/hierarchy4"/>
    <dgm:cxn modelId="{657F9259-F195-4AFE-8970-37EBAB7E5F2B}" type="presOf" srcId="{BFCBE543-8B23-4D8A-B274-7B7210E65581}" destId="{EED2EAE6-91EE-4DCA-84EA-1449C9E0DA02}" srcOrd="0" destOrd="0" presId="urn:microsoft.com/office/officeart/2005/8/layout/hierarchy4"/>
    <dgm:cxn modelId="{DBE28DCA-C902-4F3C-8459-5CC77F59BB25}" type="presOf" srcId="{BE176E23-EA63-472E-87A6-5C23C49CBF2D}" destId="{85E7B232-5471-4E11-8200-D3FFC485E82F}" srcOrd="0" destOrd="0" presId="urn:microsoft.com/office/officeart/2005/8/layout/hierarchy4"/>
    <dgm:cxn modelId="{699B7C93-19AF-4742-8135-C25CFB605132}" type="presOf" srcId="{61FEEA3B-D487-411F-B802-AC1B282C1573}" destId="{B0763725-0814-4B6D-B0F3-770EBBD35542}" srcOrd="0" destOrd="0" presId="urn:microsoft.com/office/officeart/2005/8/layout/hierarchy4"/>
    <dgm:cxn modelId="{742D6D2F-FD96-49E1-8A42-55B535A410F3}" srcId="{F36DF0F7-0B4E-4817-89DE-20FB7C1958A2}" destId="{BFCBE543-8B23-4D8A-B274-7B7210E65581}" srcOrd="0" destOrd="0" parTransId="{26238944-C45E-4A5C-8621-C778EAB841BC}" sibTransId="{2B6B3DE6-51AD-486F-B3F2-40B256647E82}"/>
    <dgm:cxn modelId="{07E53709-9014-49BB-BD55-5A2740626253}" type="presOf" srcId="{F36DF0F7-0B4E-4817-89DE-20FB7C1958A2}" destId="{4682F709-1D14-4730-8670-01CEEADD3792}" srcOrd="0" destOrd="0" presId="urn:microsoft.com/office/officeart/2005/8/layout/hierarchy4"/>
    <dgm:cxn modelId="{DDC9C78F-2B76-4241-B25E-1E7D82F2FA71}" srcId="{C3A677D1-FB83-4738-BB97-F0FBA01981B3}" destId="{F36DF0F7-0B4E-4817-89DE-20FB7C1958A2}" srcOrd="0" destOrd="0" parTransId="{86B1B663-3755-442C-8661-0B2D6A39D6E5}" sibTransId="{AE26535E-A9CB-41AB-A015-2F07FEACFBE7}"/>
    <dgm:cxn modelId="{DA370368-CF6B-438A-8A04-04820442495A}" srcId="{F36DF0F7-0B4E-4817-89DE-20FB7C1958A2}" destId="{C7E4F070-2AC5-431E-B8A3-BEF8825C10EB}" srcOrd="1" destOrd="0" parTransId="{8ED34BC3-6A2D-4D04-A6D9-845BF2AD8F83}" sibTransId="{C901C162-6B14-4B40-BE82-05EED7ECA917}"/>
    <dgm:cxn modelId="{CE8FE874-B1B4-4BCE-8036-62C5364FF9CA}" type="presOf" srcId="{C3A677D1-FB83-4738-BB97-F0FBA01981B3}" destId="{A3F4F399-EF87-44BE-9227-614931049B92}" srcOrd="0" destOrd="0" presId="urn:microsoft.com/office/officeart/2005/8/layout/hierarchy4"/>
    <dgm:cxn modelId="{68777140-F42B-477F-9F0C-D482A992E4FA}" srcId="{BFCBE543-8B23-4D8A-B274-7B7210E65581}" destId="{61FEEA3B-D487-411F-B802-AC1B282C1573}" srcOrd="0" destOrd="0" parTransId="{7C1964B3-602B-486A-93EC-8C32C962E408}" sibTransId="{E799451D-8573-47FF-9C5F-0869EA01C4E8}"/>
    <dgm:cxn modelId="{5DAE6CC0-92FA-4AF7-A26F-75ED56FBA5BB}" type="presParOf" srcId="{A3F4F399-EF87-44BE-9227-614931049B92}" destId="{F8564EFF-F5CD-42CF-A169-B3C9DF8773A0}" srcOrd="0" destOrd="0" presId="urn:microsoft.com/office/officeart/2005/8/layout/hierarchy4"/>
    <dgm:cxn modelId="{EA5F26AF-3E15-4C6F-A246-BFEC2C2427B2}" type="presParOf" srcId="{F8564EFF-F5CD-42CF-A169-B3C9DF8773A0}" destId="{4682F709-1D14-4730-8670-01CEEADD3792}" srcOrd="0" destOrd="0" presId="urn:microsoft.com/office/officeart/2005/8/layout/hierarchy4"/>
    <dgm:cxn modelId="{B824264E-1659-4F41-9284-99956E5268D7}" type="presParOf" srcId="{F8564EFF-F5CD-42CF-A169-B3C9DF8773A0}" destId="{F3CCCB97-0195-466D-A415-864FCC8D892E}" srcOrd="1" destOrd="0" presId="urn:microsoft.com/office/officeart/2005/8/layout/hierarchy4"/>
    <dgm:cxn modelId="{7D47DB90-63D4-45CE-9796-32D953F06A98}" type="presParOf" srcId="{F8564EFF-F5CD-42CF-A169-B3C9DF8773A0}" destId="{790EA5E1-C106-4C86-B053-DC6B5ADE4D96}" srcOrd="2" destOrd="0" presId="urn:microsoft.com/office/officeart/2005/8/layout/hierarchy4"/>
    <dgm:cxn modelId="{6A76C76F-3EEB-4D22-813D-B55FE6D0A3F1}" type="presParOf" srcId="{790EA5E1-C106-4C86-B053-DC6B5ADE4D96}" destId="{D900FBAF-5149-4684-8C12-424DE0E28D55}" srcOrd="0" destOrd="0" presId="urn:microsoft.com/office/officeart/2005/8/layout/hierarchy4"/>
    <dgm:cxn modelId="{441CD7C4-65C3-4443-ACF0-52E12B05BAD0}" type="presParOf" srcId="{D900FBAF-5149-4684-8C12-424DE0E28D55}" destId="{EED2EAE6-91EE-4DCA-84EA-1449C9E0DA02}" srcOrd="0" destOrd="0" presId="urn:microsoft.com/office/officeart/2005/8/layout/hierarchy4"/>
    <dgm:cxn modelId="{252CBE8D-2C84-41D7-BB73-4D35AF7A3A5C}" type="presParOf" srcId="{D900FBAF-5149-4684-8C12-424DE0E28D55}" destId="{4D2736A6-8449-48D2-BDD9-15C031538723}" srcOrd="1" destOrd="0" presId="urn:microsoft.com/office/officeart/2005/8/layout/hierarchy4"/>
    <dgm:cxn modelId="{1F3C52FD-FC0D-4717-B690-694FDFD992C2}" type="presParOf" srcId="{D900FBAF-5149-4684-8C12-424DE0E28D55}" destId="{F4BAF53A-92E2-4205-AE9E-1DD0BD153EC5}" srcOrd="2" destOrd="0" presId="urn:microsoft.com/office/officeart/2005/8/layout/hierarchy4"/>
    <dgm:cxn modelId="{E843C1B9-6390-49EB-9488-35BDDC8B18B6}" type="presParOf" srcId="{F4BAF53A-92E2-4205-AE9E-1DD0BD153EC5}" destId="{1B3E0564-2EEB-4FED-A10C-E12190B5449C}" srcOrd="0" destOrd="0" presId="urn:microsoft.com/office/officeart/2005/8/layout/hierarchy4"/>
    <dgm:cxn modelId="{46ED1C3A-9445-4D00-A257-5F39856F3469}" type="presParOf" srcId="{1B3E0564-2EEB-4FED-A10C-E12190B5449C}" destId="{B0763725-0814-4B6D-B0F3-770EBBD35542}" srcOrd="0" destOrd="0" presId="urn:microsoft.com/office/officeart/2005/8/layout/hierarchy4"/>
    <dgm:cxn modelId="{38C07E3F-D7E7-4D12-BF95-A3CDD8E69CC9}" type="presParOf" srcId="{1B3E0564-2EEB-4FED-A10C-E12190B5449C}" destId="{8914F65D-BA24-4DD4-8BCA-6EAD613A966D}" srcOrd="1" destOrd="0" presId="urn:microsoft.com/office/officeart/2005/8/layout/hierarchy4"/>
    <dgm:cxn modelId="{C89A0D79-CC23-4D36-BFCA-DDC3431D4FFB}" type="presParOf" srcId="{F4BAF53A-92E2-4205-AE9E-1DD0BD153EC5}" destId="{7C194333-753E-4C12-9318-42527BB3FA3D}" srcOrd="1" destOrd="0" presId="urn:microsoft.com/office/officeart/2005/8/layout/hierarchy4"/>
    <dgm:cxn modelId="{390660CD-DDC3-4490-BD1A-C3AA2AB73696}" type="presParOf" srcId="{F4BAF53A-92E2-4205-AE9E-1DD0BD153EC5}" destId="{BC73EEC9-E7C4-4D6A-B6FA-13310FF29088}" srcOrd="2" destOrd="0" presId="urn:microsoft.com/office/officeart/2005/8/layout/hierarchy4"/>
    <dgm:cxn modelId="{C3CF73DD-65DA-4A86-B8BF-7220E75BB7F4}" type="presParOf" srcId="{BC73EEC9-E7C4-4D6A-B6FA-13310FF29088}" destId="{85E7B232-5471-4E11-8200-D3FFC485E82F}" srcOrd="0" destOrd="0" presId="urn:microsoft.com/office/officeart/2005/8/layout/hierarchy4"/>
    <dgm:cxn modelId="{A17F3E2D-E72D-48CC-ACF4-408F359FD2B3}" type="presParOf" srcId="{BC73EEC9-E7C4-4D6A-B6FA-13310FF29088}" destId="{B341E570-87C3-47BB-A092-4817940F774B}" srcOrd="1" destOrd="0" presId="urn:microsoft.com/office/officeart/2005/8/layout/hierarchy4"/>
    <dgm:cxn modelId="{A506E62A-A6AA-41C6-8308-89CA25A54A3C}" type="presParOf" srcId="{790EA5E1-C106-4C86-B053-DC6B5ADE4D96}" destId="{5F7AAF4D-A3CD-4A14-AF67-6DDEF248DB78}" srcOrd="1" destOrd="0" presId="urn:microsoft.com/office/officeart/2005/8/layout/hierarchy4"/>
    <dgm:cxn modelId="{8273BAC7-9D5B-486F-BA79-F8EC78E534CC}" type="presParOf" srcId="{790EA5E1-C106-4C86-B053-DC6B5ADE4D96}" destId="{953BB729-F014-40C5-94E6-630016796DB4}" srcOrd="2" destOrd="0" presId="urn:microsoft.com/office/officeart/2005/8/layout/hierarchy4"/>
    <dgm:cxn modelId="{A735FF92-F3CC-478D-AEE6-4038C1232ABA}" type="presParOf" srcId="{953BB729-F014-40C5-94E6-630016796DB4}" destId="{EC32C20A-D494-475C-9AC4-9951E6045CB2}" srcOrd="0" destOrd="0" presId="urn:microsoft.com/office/officeart/2005/8/layout/hierarchy4"/>
    <dgm:cxn modelId="{F5E36C14-673F-43DE-B992-6DCD4CEAF341}" type="presParOf" srcId="{953BB729-F014-40C5-94E6-630016796DB4}" destId="{2961D558-23B7-4A03-8DCE-004834308961}" srcOrd="1" destOrd="0" presId="urn:microsoft.com/office/officeart/2005/8/layout/hierarchy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82F709-1D14-4730-8670-01CEEADD3792}">
      <dsp:nvSpPr>
        <dsp:cNvPr id="0" name=""/>
        <dsp:cNvSpPr/>
      </dsp:nvSpPr>
      <dsp:spPr>
        <a:xfrm>
          <a:off x="651" y="329"/>
          <a:ext cx="5675102" cy="10863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lt-LT" sz="2400" kern="1200"/>
            <a:t>Gyvenamųjų ir viešosios paskirties pastatų sutaupymas kievienais metais - 121,8 GWh</a:t>
          </a:r>
        </a:p>
      </dsp:txBody>
      <dsp:txXfrm>
        <a:off x="32468" y="32146"/>
        <a:ext cx="5611468" cy="1022694"/>
      </dsp:txXfrm>
    </dsp:sp>
    <dsp:sp modelId="{EED2EAE6-91EE-4DCA-84EA-1449C9E0DA02}">
      <dsp:nvSpPr>
        <dsp:cNvPr id="0" name=""/>
        <dsp:cNvSpPr/>
      </dsp:nvSpPr>
      <dsp:spPr>
        <a:xfrm>
          <a:off x="5524" y="1224332"/>
          <a:ext cx="3699915" cy="11150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lt-LT" sz="1900" kern="1200"/>
            <a:t>Viešosios paskirties pastatų sutaupymas kievienais metais (30 proc. arba 36,6 GWh)</a:t>
          </a:r>
        </a:p>
      </dsp:txBody>
      <dsp:txXfrm>
        <a:off x="38183" y="1256991"/>
        <a:ext cx="3634597" cy="1049741"/>
      </dsp:txXfrm>
    </dsp:sp>
    <dsp:sp modelId="{B0763725-0814-4B6D-B0F3-770EBBD35542}">
      <dsp:nvSpPr>
        <dsp:cNvPr id="0" name=""/>
        <dsp:cNvSpPr/>
      </dsp:nvSpPr>
      <dsp:spPr>
        <a:xfrm>
          <a:off x="6190" y="2477067"/>
          <a:ext cx="1811907" cy="18927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lt-LT" sz="1300" kern="1200"/>
            <a:t>Centrinės valdžios pastatų sutaupymas </a:t>
          </a:r>
          <a:r>
            <a:rPr lang="en-US" sz="1300" kern="1200"/>
            <a:t>: </a:t>
          </a:r>
          <a:endParaRPr lang="lt-LT" sz="1300" kern="1200"/>
        </a:p>
        <a:p>
          <a:pPr lvl="0" algn="l" defTabSz="577850">
            <a:lnSpc>
              <a:spcPct val="90000"/>
            </a:lnSpc>
            <a:spcBef>
              <a:spcPct val="0"/>
            </a:spcBef>
            <a:spcAft>
              <a:spcPct val="35000"/>
            </a:spcAft>
          </a:pPr>
          <a:r>
            <a:rPr lang="en-US" sz="1300" kern="1200"/>
            <a:t>a) skir</a:t>
          </a:r>
          <a:r>
            <a:rPr lang="lt-LT" sz="1300" kern="1200"/>
            <a:t>s</a:t>
          </a:r>
          <a:r>
            <a:rPr lang="en-US" sz="1300" kern="1200"/>
            <a:t>tant vie</a:t>
          </a:r>
          <a:r>
            <a:rPr lang="lt-LT" sz="1300" kern="1200"/>
            <a:t>šuosius pastatus proporcingai - 15,4 GWh</a:t>
          </a:r>
        </a:p>
        <a:p>
          <a:pPr lvl="0" algn="l" defTabSz="577850">
            <a:lnSpc>
              <a:spcPct val="90000"/>
            </a:lnSpc>
            <a:spcBef>
              <a:spcPct val="0"/>
            </a:spcBef>
            <a:spcAft>
              <a:spcPct val="35000"/>
            </a:spcAft>
          </a:pPr>
          <a:r>
            <a:rPr lang="lt-LT" sz="1300" kern="1200"/>
            <a:t>b) pagal Energijos efektyvumo direktyvą - 9,5 GWh </a:t>
          </a:r>
          <a:endParaRPr lang="en-US" sz="1300" kern="1200"/>
        </a:p>
      </dsp:txBody>
      <dsp:txXfrm>
        <a:off x="59259" y="2530136"/>
        <a:ext cx="1705769" cy="1786584"/>
      </dsp:txXfrm>
    </dsp:sp>
    <dsp:sp modelId="{85E7B232-5471-4E11-8200-D3FFC485E82F}">
      <dsp:nvSpPr>
        <dsp:cNvPr id="0" name=""/>
        <dsp:cNvSpPr/>
      </dsp:nvSpPr>
      <dsp:spPr>
        <a:xfrm>
          <a:off x="1894198" y="2477067"/>
          <a:ext cx="1811907" cy="18927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lt-LT" sz="1300" kern="1200"/>
            <a:t>Savivaldybių pastatų sutaupymai:</a:t>
          </a:r>
        </a:p>
        <a:p>
          <a:pPr lvl="0" algn="l" defTabSz="577850">
            <a:lnSpc>
              <a:spcPct val="90000"/>
            </a:lnSpc>
            <a:spcBef>
              <a:spcPct val="0"/>
            </a:spcBef>
            <a:spcAft>
              <a:spcPct val="35000"/>
            </a:spcAft>
          </a:pPr>
          <a:r>
            <a:rPr lang="en-US" sz="1300" kern="1200"/>
            <a:t>a) skir</a:t>
          </a:r>
          <a:r>
            <a:rPr lang="lt-LT" sz="1300" kern="1200"/>
            <a:t>s</a:t>
          </a:r>
          <a:r>
            <a:rPr lang="en-US" sz="1300" kern="1200"/>
            <a:t>tant vie</a:t>
          </a:r>
          <a:r>
            <a:rPr lang="lt-LT" sz="1300" kern="1200"/>
            <a:t>šuosius pastatus proporcingai - 21,2 GWh</a:t>
          </a:r>
        </a:p>
        <a:p>
          <a:pPr lvl="0" algn="l" defTabSz="577850">
            <a:lnSpc>
              <a:spcPct val="90000"/>
            </a:lnSpc>
            <a:spcBef>
              <a:spcPct val="0"/>
            </a:spcBef>
            <a:spcAft>
              <a:spcPct val="35000"/>
            </a:spcAft>
          </a:pPr>
          <a:r>
            <a:rPr lang="lt-LT" sz="1300" kern="1200"/>
            <a:t>b) pagal Energijos efektyvumo direktyvą - 27,1 GWh </a:t>
          </a:r>
        </a:p>
      </dsp:txBody>
      <dsp:txXfrm>
        <a:off x="1947267" y="2530136"/>
        <a:ext cx="1705769" cy="1786584"/>
      </dsp:txXfrm>
    </dsp:sp>
    <dsp:sp modelId="{EC32C20A-D494-475C-9AC4-9951E6045CB2}">
      <dsp:nvSpPr>
        <dsp:cNvPr id="0" name=""/>
        <dsp:cNvSpPr/>
      </dsp:nvSpPr>
      <dsp:spPr>
        <a:xfrm>
          <a:off x="3858306" y="1224332"/>
          <a:ext cx="1811907" cy="18927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lt-LT" sz="1900" kern="1200"/>
            <a:t>Daugiabučių sutaupymas kiekvienais metais (70 proc. arba 85,3 GWh)</a:t>
          </a:r>
        </a:p>
      </dsp:txBody>
      <dsp:txXfrm>
        <a:off x="3911375" y="1277401"/>
        <a:ext cx="1705769" cy="178658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A9AB5B-EB4E-4516-B3AA-3297F2290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398</Pages>
  <Words>648456</Words>
  <Characters>369621</Characters>
  <Application>Microsoft Office Word</Application>
  <DocSecurity>0</DocSecurity>
  <Lines>3080</Lines>
  <Paragraphs>2032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LinksUpToDate>false</LinksUpToDate>
  <CharactersWithSpaces>1016045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2017-11-22T08:34:00Z</dcterms:created>
  <dcterms:modified xsi:type="dcterms:W3CDTF">2017-11-22T09:03:00Z</dcterms:modified>
</cp:coreProperties>
</file>